
<file path=[Content_Types].xml><?xml version="1.0" encoding="utf-8"?>
<Types xmlns="http://schemas.openxmlformats.org/package/2006/content-types">
  <Default Extension="png" ContentType="image/png"/>
  <Default Extension="emf" ContentType="image/x-emf"/>
  <Default Extension="wmf" ContentType="image/x-wmf"/>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2.xml" ContentType="application/vnd.openxmlformats-officedocument.wordprocessingml.footer+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charts/chart6.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6.xml" ContentType="application/vnd.openxmlformats-officedocument.themeOverride+xml"/>
  <Override PartName="/word/charts/chart7.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7.xml" ContentType="application/vnd.openxmlformats-officedocument.themeOverride+xml"/>
  <Override PartName="/word/charts/chart8.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8.xml" ContentType="application/vnd.openxmlformats-officedocument.themeOverride+xml"/>
  <Override PartName="/word/charts/chart9.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9.xml" ContentType="application/vnd.openxmlformats-officedocument.themeOverride+xml"/>
  <Override PartName="/word/charts/chart10.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10.xml" ContentType="application/vnd.openxmlformats-officedocument.themeOverride+xml"/>
  <Override PartName="/word/charts/chart11.xml" ContentType="application/vnd.openxmlformats-officedocument.drawingml.chart+xml"/>
  <Override PartName="/word/charts/style8.xml" ContentType="application/vnd.ms-office.chartstyle+xml"/>
  <Override PartName="/word/charts/colors8.xml" ContentType="application/vnd.ms-office.chartcolorstyle+xml"/>
  <Override PartName="/word/theme/themeOverride11.xml" ContentType="application/vnd.openxmlformats-officedocument.themeOverride+xml"/>
  <Override PartName="/word/charts/chart12.xml" ContentType="application/vnd.openxmlformats-officedocument.drawingml.chart+xml"/>
  <Override PartName="/word/charts/style9.xml" ContentType="application/vnd.ms-office.chartstyle+xml"/>
  <Override PartName="/word/charts/colors9.xml" ContentType="application/vnd.ms-office.chartcolorstyle+xml"/>
  <Override PartName="/word/theme/themeOverride12.xml" ContentType="application/vnd.openxmlformats-officedocument.themeOverride+xml"/>
  <Override PartName="/word/charts/chart13.xml" ContentType="application/vnd.openxmlformats-officedocument.drawingml.chart+xml"/>
  <Override PartName="/word/charts/style10.xml" ContentType="application/vnd.ms-office.chartstyle+xml"/>
  <Override PartName="/word/charts/colors10.xml" ContentType="application/vnd.ms-office.chartcolorstyle+xml"/>
  <Override PartName="/word/theme/themeOverride13.xml" ContentType="application/vnd.openxmlformats-officedocument.themeOverride+xml"/>
  <Override PartName="/word/charts/chart14.xml" ContentType="application/vnd.openxmlformats-officedocument.drawingml.chart+xml"/>
  <Override PartName="/word/charts/style11.xml" ContentType="application/vnd.ms-office.chartstyle+xml"/>
  <Override PartName="/word/charts/colors11.xml" ContentType="application/vnd.ms-office.chartcolorstyle+xml"/>
  <Override PartName="/word/theme/themeOverride14.xml" ContentType="application/vnd.openxmlformats-officedocument.themeOverride+xml"/>
  <Override PartName="/word/charts/chart15.xml" ContentType="application/vnd.openxmlformats-officedocument.drawingml.chart+xml"/>
  <Override PartName="/word/charts/style12.xml" ContentType="application/vnd.ms-office.chartstyle+xml"/>
  <Override PartName="/word/charts/colors12.xml" ContentType="application/vnd.ms-office.chartcolorstyle+xml"/>
  <Override PartName="/word/theme/themeOverride15.xml" ContentType="application/vnd.openxmlformats-officedocument.themeOverride+xml"/>
  <Override PartName="/word/charts/chart16.xml" ContentType="application/vnd.openxmlformats-officedocument.drawingml.chart+xml"/>
  <Override PartName="/word/charts/style13.xml" ContentType="application/vnd.ms-office.chartstyle+xml"/>
  <Override PartName="/word/charts/colors13.xml" ContentType="application/vnd.ms-office.chartcolorstyle+xml"/>
  <Override PartName="/word/theme/themeOverride16.xml" ContentType="application/vnd.openxmlformats-officedocument.themeOverride+xml"/>
  <Override PartName="/word/charts/chart17.xml" ContentType="application/vnd.openxmlformats-officedocument.drawingml.chart+xml"/>
  <Override PartName="/word/charts/style14.xml" ContentType="application/vnd.ms-office.chartstyle+xml"/>
  <Override PartName="/word/charts/colors14.xml" ContentType="application/vnd.ms-office.chartcolorstyle+xml"/>
  <Override PartName="/word/theme/themeOverride17.xml" ContentType="application/vnd.openxmlformats-officedocument.themeOverride+xml"/>
  <Override PartName="/word/charts/chart18.xml" ContentType="application/vnd.openxmlformats-officedocument.drawingml.chart+xml"/>
  <Override PartName="/word/charts/style15.xml" ContentType="application/vnd.ms-office.chartstyle+xml"/>
  <Override PartName="/word/charts/colors15.xml" ContentType="application/vnd.ms-office.chartcolorstyle+xml"/>
  <Override PartName="/word/theme/themeOverride18.xml" ContentType="application/vnd.openxmlformats-officedocument.themeOverride+xml"/>
  <Override PartName="/word/charts/chart19.xml" ContentType="application/vnd.openxmlformats-officedocument.drawingml.chart+xml"/>
  <Override PartName="/word/charts/style16.xml" ContentType="application/vnd.ms-office.chartstyle+xml"/>
  <Override PartName="/word/charts/colors16.xml" ContentType="application/vnd.ms-office.chartcolorstyle+xml"/>
  <Override PartName="/word/theme/themeOverride19.xml" ContentType="application/vnd.openxmlformats-officedocument.themeOverride+xml"/>
  <Override PartName="/word/charts/chart20.xml" ContentType="application/vnd.openxmlformats-officedocument.drawingml.chart+xml"/>
  <Override PartName="/word/charts/style17.xml" ContentType="application/vnd.ms-office.chartstyle+xml"/>
  <Override PartName="/word/charts/colors17.xml" ContentType="application/vnd.ms-office.chartcolorstyle+xml"/>
  <Override PartName="/word/theme/themeOverride20.xml" ContentType="application/vnd.openxmlformats-officedocument.themeOverride+xml"/>
  <Override PartName="/word/charts/chart21.xml" ContentType="application/vnd.openxmlformats-officedocument.drawingml.chart+xml"/>
  <Override PartName="/word/charts/style18.xml" ContentType="application/vnd.ms-office.chartstyle+xml"/>
  <Override PartName="/word/charts/colors18.xml" ContentType="application/vnd.ms-office.chartcolorstyle+xml"/>
  <Override PartName="/word/theme/themeOverride21.xml" ContentType="application/vnd.openxmlformats-officedocument.themeOverride+xml"/>
  <Override PartName="/word/charts/chart22.xml" ContentType="application/vnd.openxmlformats-officedocument.drawingml.chart+xml"/>
  <Override PartName="/word/charts/style19.xml" ContentType="application/vnd.ms-office.chartstyle+xml"/>
  <Override PartName="/word/charts/colors19.xml" ContentType="application/vnd.ms-office.chartcolorstyle+xml"/>
  <Override PartName="/word/theme/themeOverride22.xml" ContentType="application/vnd.openxmlformats-officedocument.themeOverride+xml"/>
  <Override PartName="/word/charts/chart23.xml" ContentType="application/vnd.openxmlformats-officedocument.drawingml.chart+xml"/>
  <Override PartName="/word/charts/style20.xml" ContentType="application/vnd.ms-office.chartstyle+xml"/>
  <Override PartName="/word/charts/colors20.xml" ContentType="application/vnd.ms-office.chartcolorstyle+xml"/>
  <Override PartName="/word/theme/themeOverride23.xml" ContentType="application/vnd.openxmlformats-officedocument.themeOverride+xml"/>
  <Override PartName="/word/header1.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997DF69" w14:textId="77777777" w:rsidR="00AB04ED" w:rsidRPr="00A9330B" w:rsidRDefault="00AB04ED" w:rsidP="00CF7003">
      <w:bookmarkStart w:id="0" w:name="_Toc43726477"/>
      <w:bookmarkStart w:id="1" w:name="_Toc45517128"/>
      <w:bookmarkStart w:id="2" w:name="_Toc45520706"/>
      <w:bookmarkStart w:id="3" w:name="_Toc45521624"/>
      <w:bookmarkStart w:id="4" w:name="_Toc45526362"/>
      <w:bookmarkStart w:id="5" w:name="_Toc46416162"/>
      <w:bookmarkStart w:id="6" w:name="_Toc46416539"/>
      <w:bookmarkStart w:id="7" w:name="_Toc46416802"/>
      <w:bookmarkStart w:id="8" w:name="_Toc46417374"/>
      <w:bookmarkStart w:id="9" w:name="_Toc523850022"/>
      <w:bookmarkStart w:id="10" w:name="_Toc523850196"/>
      <w:bookmarkStart w:id="11" w:name="_Toc523758605"/>
      <w:bookmarkStart w:id="12" w:name="_Hlk523842456"/>
      <w:bookmarkStart w:id="13" w:name="_Toc535244503"/>
      <w:r w:rsidRPr="00A9330B">
        <w:rPr>
          <w:noProof/>
          <w:lang w:eastAsia="fr-FR"/>
        </w:rPr>
        <w:drawing>
          <wp:anchor distT="0" distB="0" distL="114300" distR="114300" simplePos="0" relativeHeight="251660288" behindDoc="0" locked="0" layoutInCell="1" allowOverlap="1" wp14:anchorId="0B15D945" wp14:editId="603CE336">
            <wp:simplePos x="0" y="0"/>
            <wp:positionH relativeFrom="margin">
              <wp:posOffset>5748655</wp:posOffset>
            </wp:positionH>
            <wp:positionV relativeFrom="paragraph">
              <wp:posOffset>-24765</wp:posOffset>
            </wp:positionV>
            <wp:extent cx="692150" cy="698500"/>
            <wp:effectExtent l="0" t="0" r="0" b="6350"/>
            <wp:wrapNone/>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 1"/>
                    <pic:cNvPicPr>
                      <a:picLocks noChangeAspect="1"/>
                    </pic:cNvPicPr>
                  </pic:nvPicPr>
                  <pic:blipFill>
                    <a:blip r:embed="rId8" cstate="print">
                      <a:extLst>
                        <a:ext uri="{28A0092B-C50C-407E-A947-70E740481C1C}">
                          <a14:useLocalDpi xmlns:a14="http://schemas.microsoft.com/office/drawing/2010/main" val="0"/>
                        </a:ext>
                      </a:extLst>
                    </a:blip>
                    <a:stretch>
                      <a:fillRect/>
                    </a:stretch>
                  </pic:blipFill>
                  <pic:spPr>
                    <a:xfrm>
                      <a:off x="0" y="0"/>
                      <a:ext cx="692150" cy="698500"/>
                    </a:xfrm>
                    <a:prstGeom prst="rect">
                      <a:avLst/>
                    </a:prstGeom>
                  </pic:spPr>
                </pic:pic>
              </a:graphicData>
            </a:graphic>
            <wp14:sizeRelH relativeFrom="margin">
              <wp14:pctWidth>0</wp14:pctWidth>
            </wp14:sizeRelH>
            <wp14:sizeRelV relativeFrom="margin">
              <wp14:pctHeight>0</wp14:pctHeight>
            </wp14:sizeRelV>
          </wp:anchor>
        </w:drawing>
      </w:r>
      <w:r w:rsidRPr="00A9330B">
        <w:rPr>
          <w:noProof/>
          <w:lang w:eastAsia="fr-FR"/>
        </w:rPr>
        <w:drawing>
          <wp:anchor distT="0" distB="0" distL="114300" distR="114300" simplePos="0" relativeHeight="251659264" behindDoc="1" locked="0" layoutInCell="1" allowOverlap="1" wp14:anchorId="1AE582D5" wp14:editId="71D8F4A6">
            <wp:simplePos x="0" y="0"/>
            <wp:positionH relativeFrom="column">
              <wp:posOffset>-438150</wp:posOffset>
            </wp:positionH>
            <wp:positionV relativeFrom="page">
              <wp:posOffset>356235</wp:posOffset>
            </wp:positionV>
            <wp:extent cx="904875" cy="819150"/>
            <wp:effectExtent l="0" t="0" r="9525" b="0"/>
            <wp:wrapTight wrapText="bothSides">
              <wp:wrapPolygon edited="0">
                <wp:start x="0" y="0"/>
                <wp:lineTo x="0" y="21098"/>
                <wp:lineTo x="21373" y="21098"/>
                <wp:lineTo x="21373" y="0"/>
                <wp:lineTo x="0" y="0"/>
              </wp:wrapPolygon>
            </wp:wrapTight>
            <wp:docPr id="30"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904875" cy="819150"/>
                    </a:xfrm>
                    <a:prstGeom prst="rect">
                      <a:avLst/>
                    </a:prstGeom>
                    <a:noFill/>
                    <a:ln>
                      <a:noFill/>
                    </a:ln>
                  </pic:spPr>
                </pic:pic>
              </a:graphicData>
            </a:graphic>
          </wp:anchor>
        </w:drawing>
      </w:r>
      <w:r w:rsidRPr="00A9330B">
        <w:rPr>
          <w:noProof/>
          <w:lang w:eastAsia="fr-FR"/>
        </w:rPr>
        <mc:AlternateContent>
          <mc:Choice Requires="wps">
            <w:drawing>
              <wp:anchor distT="45720" distB="45720" distL="114300" distR="114300" simplePos="0" relativeHeight="251658240" behindDoc="0" locked="0" layoutInCell="1" allowOverlap="1" wp14:anchorId="2B2E8B41" wp14:editId="33A0F556">
                <wp:simplePos x="0" y="0"/>
                <wp:positionH relativeFrom="margin">
                  <wp:posOffset>453390</wp:posOffset>
                </wp:positionH>
                <wp:positionV relativeFrom="margin">
                  <wp:posOffset>-90805</wp:posOffset>
                </wp:positionV>
                <wp:extent cx="1362075" cy="685800"/>
                <wp:effectExtent l="0" t="0" r="9525" b="0"/>
                <wp:wrapSquare wrapText="bothSides"/>
                <wp:docPr id="21" name="Zone de texte 2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2075" cy="685800"/>
                        </a:xfrm>
                        <a:prstGeom prst="rect">
                          <a:avLst/>
                        </a:prstGeom>
                        <a:solidFill>
                          <a:srgbClr val="FFFFFF"/>
                        </a:solidFill>
                        <a:ln w="9525">
                          <a:noFill/>
                          <a:miter lim="800000"/>
                          <a:headEnd/>
                          <a:tailEnd/>
                        </a:ln>
                      </wps:spPr>
                      <wps:txbx>
                        <w:txbxContent>
                          <w:p w14:paraId="19130BB4" w14:textId="77777777" w:rsidR="00803148" w:rsidRPr="003144DE" w:rsidRDefault="00803148" w:rsidP="00AB04ED">
                            <w:pPr>
                              <w:spacing w:line="240" w:lineRule="auto"/>
                              <w:rPr>
                                <w:rFonts w:ascii="Candara" w:hAnsi="Candara"/>
                                <w:b/>
                              </w:rPr>
                            </w:pPr>
                            <w:r w:rsidRPr="003144DE">
                              <w:rPr>
                                <w:rFonts w:ascii="Candara" w:hAnsi="Candara"/>
                                <w:b/>
                              </w:rPr>
                              <w:t xml:space="preserve">PRESIDENCE </w:t>
                            </w:r>
                          </w:p>
                          <w:p w14:paraId="0AB4C532" w14:textId="77777777" w:rsidR="00803148" w:rsidRPr="003144DE" w:rsidRDefault="00803148" w:rsidP="00AB04ED">
                            <w:pPr>
                              <w:spacing w:line="240" w:lineRule="auto"/>
                              <w:rPr>
                                <w:rFonts w:ascii="Candara" w:hAnsi="Candara"/>
                                <w:b/>
                              </w:rPr>
                            </w:pPr>
                            <w:r w:rsidRPr="003144DE">
                              <w:rPr>
                                <w:rFonts w:ascii="Candara" w:hAnsi="Candara"/>
                                <w:b/>
                              </w:rPr>
                              <w:t>DE LA REPUBLIQUE</w:t>
                            </w:r>
                          </w:p>
                          <w:p w14:paraId="53FDD51C" w14:textId="77777777" w:rsidR="00803148" w:rsidRPr="003144DE" w:rsidRDefault="00803148" w:rsidP="00AB04ED">
                            <w:pPr>
                              <w:spacing w:line="240" w:lineRule="auto"/>
                              <w:rPr>
                                <w:rFonts w:ascii="Candara" w:hAnsi="Candara"/>
                                <w:b/>
                              </w:rPr>
                            </w:pPr>
                            <w:r w:rsidRPr="003144DE">
                              <w:rPr>
                                <w:rFonts w:ascii="Candara" w:hAnsi="Candara"/>
                                <w:b/>
                              </w:rPr>
                              <w:t>DU BENIN</w:t>
                            </w:r>
                          </w:p>
                          <w:p w14:paraId="4BE56F5F" w14:textId="77777777" w:rsidR="00803148" w:rsidRPr="00BD2C7B" w:rsidRDefault="00803148" w:rsidP="00AB04ED">
                            <w:pPr>
                              <w:rPr>
                                <w:rFonts w:ascii="Candara" w:hAnsi="Candara"/>
                                <w:b/>
                              </w:rPr>
                            </w:pPr>
                          </w:p>
                          <w:p w14:paraId="3BEE69BA" w14:textId="77777777" w:rsidR="00803148" w:rsidRPr="00BD2C7B" w:rsidRDefault="00803148" w:rsidP="00AB04ED">
                            <w:pPr>
                              <w:rPr>
                                <w:rFonts w:ascii="Candara" w:hAnsi="Candara"/>
                                <w:b/>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B2E8B41" id="_x0000_t202" coordsize="21600,21600" o:spt="202" path="m,l,21600r21600,l21600,xe">
                <v:stroke joinstyle="miter"/>
                <v:path gradientshapeok="t" o:connecttype="rect"/>
              </v:shapetype>
              <v:shape id="Zone de texte 217" o:spid="_x0000_s1026" type="#_x0000_t202" style="position:absolute;margin-left:35.7pt;margin-top:-7.15pt;width:107.25pt;height:54pt;z-index:2516582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" stroked="f">
                <v:textbox>
                  <w:txbxContent>
                    <w:p w14:paraId="19130BB4" w14:textId="77777777" w:rsidR="00803148" w:rsidRPr="003144DE" w:rsidRDefault="00803148" w:rsidP="00AB04ED">
                      <w:pPr>
                        <w:spacing w:line="240" w:lineRule="auto"/>
                        <w:rPr>
                          <w:rFonts w:ascii="Candara" w:hAnsi="Candara"/>
                          <w:b/>
                        </w:rPr>
                      </w:pPr>
                      <w:r w:rsidRPr="003144DE">
                        <w:rPr>
                          <w:rFonts w:ascii="Candara" w:hAnsi="Candara"/>
                          <w:b/>
                        </w:rPr>
                        <w:t xml:space="preserve">PRESIDENCE </w:t>
                      </w:r>
                    </w:p>
                    <w:p w14:paraId="0AB4C532" w14:textId="77777777" w:rsidR="00803148" w:rsidRPr="003144DE" w:rsidRDefault="00803148" w:rsidP="00AB04ED">
                      <w:pPr>
                        <w:spacing w:line="240" w:lineRule="auto"/>
                        <w:rPr>
                          <w:rFonts w:ascii="Candara" w:hAnsi="Candara"/>
                          <w:b/>
                        </w:rPr>
                      </w:pPr>
                      <w:r w:rsidRPr="003144DE">
                        <w:rPr>
                          <w:rFonts w:ascii="Candara" w:hAnsi="Candara"/>
                          <w:b/>
                        </w:rPr>
                        <w:t>DE LA REPUBLIQUE</w:t>
                      </w:r>
                    </w:p>
                    <w:p w14:paraId="53FDD51C" w14:textId="77777777" w:rsidR="00803148" w:rsidRPr="003144DE" w:rsidRDefault="00803148" w:rsidP="00AB04ED">
                      <w:pPr>
                        <w:spacing w:line="240" w:lineRule="auto"/>
                        <w:rPr>
                          <w:rFonts w:ascii="Candara" w:hAnsi="Candara"/>
                          <w:b/>
                        </w:rPr>
                      </w:pPr>
                      <w:r w:rsidRPr="003144DE">
                        <w:rPr>
                          <w:rFonts w:ascii="Candara" w:hAnsi="Candara"/>
                          <w:b/>
                        </w:rPr>
                        <w:t>DU BENIN</w:t>
                      </w:r>
                    </w:p>
                    <w:p w14:paraId="4BE56F5F" w14:textId="77777777" w:rsidR="00803148" w:rsidRPr="00BD2C7B" w:rsidRDefault="00803148" w:rsidP="00AB04ED">
                      <w:pPr>
                        <w:rPr>
                          <w:rFonts w:ascii="Candara" w:hAnsi="Candara"/>
                          <w:b/>
                        </w:rPr>
                      </w:pPr>
                    </w:p>
                    <w:p w14:paraId="3BEE69BA" w14:textId="77777777" w:rsidR="00803148" w:rsidRPr="00BD2C7B" w:rsidRDefault="00803148" w:rsidP="00AB04ED">
                      <w:pPr>
                        <w:rPr>
                          <w:rFonts w:ascii="Candara" w:hAnsi="Candara"/>
                          <w:b/>
                        </w:rPr>
                      </w:pPr>
                    </w:p>
                  </w:txbxContent>
                </v:textbox>
                <w10:wrap type="square" anchorx="margin" anchory="margin"/>
              </v:shape>
            </w:pict>
          </mc:Fallback>
        </mc:AlternateContent>
      </w:r>
      <w:bookmarkEnd w:id="0"/>
      <w:bookmarkEnd w:id="1"/>
      <w:bookmarkEnd w:id="2"/>
      <w:bookmarkEnd w:id="3"/>
      <w:bookmarkEnd w:id="4"/>
      <w:bookmarkEnd w:id="5"/>
      <w:bookmarkEnd w:id="6"/>
      <w:bookmarkEnd w:id="7"/>
      <w:bookmarkEnd w:id="8"/>
    </w:p>
    <w:bookmarkEnd w:id="9"/>
    <w:bookmarkEnd w:id="10"/>
    <w:bookmarkEnd w:id="11"/>
    <w:p w14:paraId="3262AEB7" w14:textId="77777777" w:rsidR="00DB55C0" w:rsidRPr="00A9330B" w:rsidRDefault="00DB55C0" w:rsidP="00DB55C0">
      <w:pPr>
        <w:spacing w:line="300" w:lineRule="auto"/>
        <w:rPr>
          <w:b/>
          <w:caps/>
          <w:sz w:val="26"/>
          <w:szCs w:val="26"/>
        </w:rPr>
      </w:pPr>
    </w:p>
    <w:p w14:paraId="0ED567B8" w14:textId="77777777" w:rsidR="00DB55C0" w:rsidRPr="00A9330B" w:rsidRDefault="00DB55C0" w:rsidP="00DB55C0">
      <w:pPr>
        <w:spacing w:line="300" w:lineRule="auto"/>
        <w:jc w:val="center"/>
        <w:rPr>
          <w:b/>
          <w:caps/>
          <w:sz w:val="26"/>
          <w:szCs w:val="26"/>
        </w:rPr>
      </w:pPr>
    </w:p>
    <w:p w14:paraId="2BF8AB07" w14:textId="77777777" w:rsidR="00AB04ED" w:rsidRPr="00A9330B" w:rsidRDefault="00AB04ED" w:rsidP="00DB55C0">
      <w:pPr>
        <w:spacing w:line="300" w:lineRule="auto"/>
        <w:ind w:left="2124" w:firstLine="708"/>
        <w:rPr>
          <w:b/>
          <w:caps/>
          <w:sz w:val="26"/>
          <w:szCs w:val="26"/>
        </w:rPr>
      </w:pPr>
      <w:r w:rsidRPr="00A9330B">
        <w:rPr>
          <w:b/>
          <w:caps/>
          <w:sz w:val="26"/>
          <w:szCs w:val="26"/>
        </w:rPr>
        <w:t>agence du cadre de vie pour le développement du territoire (acv-dt)</w:t>
      </w:r>
    </w:p>
    <w:p w14:paraId="7DC5F352" w14:textId="1352448F" w:rsidR="00AB04ED" w:rsidRPr="00A9330B" w:rsidRDefault="00AB04ED" w:rsidP="00AB04ED">
      <w:pPr>
        <w:jc w:val="center"/>
        <w:rPr>
          <w:rFonts w:ascii="Times New Roman" w:eastAsia="Times New Roman" w:hAnsi="Times New Roman" w:cs="Times New Roman"/>
          <w:b/>
          <w:bCs/>
          <w:color w:val="auto"/>
          <w:spacing w:val="1"/>
          <w:sz w:val="24"/>
          <w:szCs w:val="24"/>
          <w:lang w:eastAsia="fr-FR"/>
        </w:rPr>
      </w:pPr>
      <w:bookmarkStart w:id="14" w:name="_Toc523758610"/>
      <w:bookmarkStart w:id="15" w:name="_Toc523850026"/>
      <w:bookmarkStart w:id="16" w:name="_Toc523850200"/>
      <w:r w:rsidRPr="00A9330B">
        <w:rPr>
          <w:rFonts w:ascii="Times New Roman" w:eastAsia="Times New Roman" w:hAnsi="Times New Roman" w:cs="Times New Roman"/>
          <w:b/>
          <w:bCs/>
          <w:color w:val="auto"/>
          <w:spacing w:val="1"/>
          <w:sz w:val="24"/>
          <w:szCs w:val="24"/>
          <w:lang w:eastAsia="fr-FR"/>
        </w:rPr>
        <w:t>PR</w:t>
      </w:r>
      <w:r w:rsidR="0030299F" w:rsidRPr="00A9330B">
        <w:rPr>
          <w:rFonts w:ascii="Times New Roman" w:eastAsia="Times New Roman" w:hAnsi="Times New Roman" w:cs="Times New Roman"/>
          <w:b/>
          <w:bCs/>
          <w:color w:val="auto"/>
          <w:spacing w:val="1"/>
          <w:sz w:val="24"/>
          <w:szCs w:val="24"/>
          <w:lang w:eastAsia="fr-FR"/>
        </w:rPr>
        <w:t xml:space="preserve">OJET </w:t>
      </w:r>
      <w:r w:rsidRPr="00A9330B">
        <w:rPr>
          <w:rFonts w:ascii="Times New Roman" w:eastAsia="Times New Roman" w:hAnsi="Times New Roman" w:cs="Times New Roman"/>
          <w:b/>
          <w:bCs/>
          <w:color w:val="auto"/>
          <w:spacing w:val="1"/>
          <w:sz w:val="24"/>
          <w:szCs w:val="24"/>
          <w:lang w:eastAsia="fr-FR"/>
        </w:rPr>
        <w:t>D’ACTION DU GOUVERNEMENT (PAG)</w:t>
      </w:r>
      <w:bookmarkEnd w:id="14"/>
      <w:bookmarkEnd w:id="15"/>
      <w:bookmarkEnd w:id="16"/>
    </w:p>
    <w:p w14:paraId="2E149171" w14:textId="77777777" w:rsidR="00AB04ED" w:rsidRPr="00A9330B" w:rsidRDefault="00AB04ED" w:rsidP="00AB04ED">
      <w:pPr>
        <w:jc w:val="center"/>
        <w:rPr>
          <w:rFonts w:ascii="Times New Roman" w:eastAsia="Times New Roman" w:hAnsi="Times New Roman" w:cs="Times New Roman"/>
          <w:b/>
          <w:bCs/>
          <w:color w:val="auto"/>
          <w:spacing w:val="1"/>
          <w:sz w:val="24"/>
          <w:szCs w:val="24"/>
          <w:lang w:eastAsia="fr-FR"/>
        </w:rPr>
      </w:pPr>
    </w:p>
    <w:p w14:paraId="661C713E" w14:textId="7000B481" w:rsidR="00AB04ED" w:rsidRPr="00A9330B" w:rsidRDefault="00457368" w:rsidP="00AB04ED">
      <w:pPr>
        <w:spacing w:line="276" w:lineRule="auto"/>
        <w:jc w:val="center"/>
        <w:rPr>
          <w:rFonts w:ascii="Times New Roman" w:hAnsi="Times New Roman" w:cs="Times New Roman"/>
          <w:b/>
          <w:caps/>
          <w:color w:val="4472C4" w:themeColor="accent5"/>
          <w:sz w:val="28"/>
          <w:szCs w:val="28"/>
        </w:rPr>
      </w:pPr>
      <w:bookmarkStart w:id="17" w:name="_Toc523758611"/>
      <w:bookmarkStart w:id="18" w:name="_Toc523850027"/>
      <w:bookmarkStart w:id="19" w:name="_Toc523850201"/>
      <w:r w:rsidRPr="00A9330B">
        <w:rPr>
          <w:rFonts w:ascii="Times New Roman" w:hAnsi="Times New Roman" w:cs="Times New Roman"/>
          <w:b/>
          <w:caps/>
          <w:color w:val="4472C4" w:themeColor="accent5"/>
          <w:sz w:val="28"/>
          <w:szCs w:val="28"/>
        </w:rPr>
        <w:t>ProJET</w:t>
      </w:r>
      <w:r w:rsidR="00AB04ED" w:rsidRPr="00A9330B">
        <w:rPr>
          <w:rFonts w:ascii="Times New Roman" w:hAnsi="Times New Roman" w:cs="Times New Roman"/>
          <w:b/>
          <w:caps/>
          <w:color w:val="4472C4" w:themeColor="accent5"/>
          <w:sz w:val="28"/>
          <w:szCs w:val="28"/>
        </w:rPr>
        <w:t xml:space="preserve"> d’assainissement Plu</w:t>
      </w:r>
      <w:r w:rsidRPr="00A9330B">
        <w:rPr>
          <w:rFonts w:ascii="Times New Roman" w:hAnsi="Times New Roman" w:cs="Times New Roman"/>
          <w:b/>
          <w:caps/>
          <w:color w:val="4472C4" w:themeColor="accent5"/>
          <w:sz w:val="28"/>
          <w:szCs w:val="28"/>
        </w:rPr>
        <w:t>vial des villes</w:t>
      </w:r>
      <w:r w:rsidR="00AB04ED" w:rsidRPr="00A9330B">
        <w:rPr>
          <w:rFonts w:ascii="Times New Roman" w:hAnsi="Times New Roman" w:cs="Times New Roman"/>
          <w:b/>
          <w:caps/>
          <w:color w:val="4472C4" w:themeColor="accent5"/>
          <w:sz w:val="28"/>
          <w:szCs w:val="28"/>
        </w:rPr>
        <w:t xml:space="preserve"> DE PORTO-NOVO, SEME-PODJI, ABOMEY-CALAVI, OUIDAH, ABOMEY, BOHICON, PARAKOU et NATITINGOU</w:t>
      </w:r>
    </w:p>
    <w:bookmarkEnd w:id="17"/>
    <w:bookmarkEnd w:id="18"/>
    <w:bookmarkEnd w:id="19"/>
    <w:p w14:paraId="6C314584" w14:textId="77777777" w:rsidR="00AB04ED" w:rsidRPr="00A9330B" w:rsidRDefault="00AB04ED" w:rsidP="00AB04ED">
      <w:pPr>
        <w:spacing w:line="276" w:lineRule="auto"/>
        <w:jc w:val="center"/>
        <w:rPr>
          <w:rFonts w:ascii="Times New Roman" w:hAnsi="Times New Roman" w:cs="Times New Roman"/>
          <w:b/>
          <w:caps/>
          <w:color w:val="FF0000"/>
          <w:sz w:val="32"/>
          <w:szCs w:val="36"/>
        </w:rPr>
      </w:pPr>
      <w:r w:rsidRPr="00A9330B">
        <w:rPr>
          <w:rFonts w:ascii="Times New Roman" w:hAnsi="Times New Roman" w:cs="Times New Roman"/>
          <w:b/>
          <w:caps/>
          <w:color w:val="FF0000"/>
          <w:sz w:val="32"/>
          <w:szCs w:val="36"/>
        </w:rPr>
        <w:t xml:space="preserve">Ville de </w:t>
      </w:r>
      <w:r w:rsidR="00701C80" w:rsidRPr="00A9330B">
        <w:rPr>
          <w:rFonts w:ascii="Times New Roman" w:hAnsi="Times New Roman" w:cs="Times New Roman"/>
          <w:b/>
          <w:caps/>
          <w:color w:val="FF0000"/>
          <w:sz w:val="32"/>
          <w:szCs w:val="36"/>
        </w:rPr>
        <w:t xml:space="preserve">NATITINGOU </w:t>
      </w:r>
    </w:p>
    <w:tbl>
      <w:tblPr>
        <w:tblW w:w="7986" w:type="dxa"/>
        <w:jc w:val="center"/>
        <w:tblLook w:val="04A0" w:firstRow="1" w:lastRow="0" w:firstColumn="1" w:lastColumn="0" w:noHBand="0" w:noVBand="1"/>
      </w:tblPr>
      <w:tblGrid>
        <w:gridCol w:w="7986"/>
      </w:tblGrid>
      <w:tr w:rsidR="00AB04ED" w:rsidRPr="00A9330B" w14:paraId="1F463C8F" w14:textId="77777777" w:rsidTr="00701C80">
        <w:trPr>
          <w:trHeight w:val="3652"/>
          <w:jc w:val="center"/>
        </w:trPr>
        <w:tc>
          <w:tcPr>
            <w:tcW w:w="7986" w:type="dxa"/>
            <w:vAlign w:val="center"/>
          </w:tcPr>
          <w:p w14:paraId="3944CBAB" w14:textId="6E8C1710" w:rsidR="00AB04ED" w:rsidRPr="00A9330B" w:rsidRDefault="009719FE" w:rsidP="00701C80">
            <w:pPr>
              <w:jc w:val="center"/>
              <w:rPr>
                <w:rFonts w:cs="Arial"/>
                <w:b/>
                <w:color w:val="auto"/>
                <w:sz w:val="28"/>
                <w:szCs w:val="28"/>
              </w:rPr>
            </w:pPr>
            <w:r w:rsidRPr="00A9330B">
              <w:rPr>
                <w:rFonts w:cs="Arial"/>
                <w:b/>
                <w:noProof/>
                <w:color w:val="00B050"/>
                <w:sz w:val="28"/>
                <w:szCs w:val="28"/>
                <w:lang w:eastAsia="fr-FR"/>
              </w:rPr>
              <mc:AlternateContent>
                <mc:Choice Requires="wps">
                  <w:drawing>
                    <wp:anchor distT="0" distB="0" distL="114300" distR="114300" simplePos="0" relativeHeight="251675648" behindDoc="0" locked="0" layoutInCell="1" allowOverlap="1" wp14:anchorId="019961A0" wp14:editId="2066624B">
                      <wp:simplePos x="0" y="0"/>
                      <wp:positionH relativeFrom="margin">
                        <wp:posOffset>-201930</wp:posOffset>
                      </wp:positionH>
                      <wp:positionV relativeFrom="paragraph">
                        <wp:posOffset>2180590</wp:posOffset>
                      </wp:positionV>
                      <wp:extent cx="5467350" cy="1276350"/>
                      <wp:effectExtent l="0" t="0" r="19050" b="19050"/>
                      <wp:wrapNone/>
                      <wp:docPr id="26" name="Zone de texte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67350" cy="1276350"/>
                              </a:xfrm>
                              <a:prstGeom prst="roundRect">
                                <a:avLst/>
                              </a:prstGeom>
                              <a:solidFill>
                                <a:srgbClr val="5B9BD5">
                                  <a:lumMod val="40000"/>
                                  <a:lumOff val="60000"/>
                                </a:srgbClr>
                              </a:solidFill>
                              <a:ln w="6350">
                                <a:solidFill>
                                  <a:prstClr val="black"/>
                                </a:solidFill>
                              </a:ln>
                            </wps:spPr>
                            <wps:txbx>
                              <w:txbxContent>
                                <w:p w14:paraId="3B7E4CA8" w14:textId="77777777" w:rsidR="00803148" w:rsidRPr="00D31E30" w:rsidRDefault="00803148" w:rsidP="009719FE">
                                  <w:pPr>
                                    <w:spacing w:before="0" w:line="240" w:lineRule="auto"/>
                                    <w:jc w:val="center"/>
                                    <w:rPr>
                                      <w:rFonts w:ascii="Times New Roman" w:eastAsia="Times New Roman" w:hAnsi="Times New Roman" w:cs="Times New Roman"/>
                                      <w:b/>
                                      <w:sz w:val="34"/>
                                      <w:szCs w:val="34"/>
                                      <w:lang w:eastAsia="fr-FR"/>
                                    </w:rPr>
                                  </w:pPr>
                                  <w:r w:rsidRPr="00D31E30">
                                    <w:rPr>
                                      <w:rFonts w:ascii="Times New Roman" w:eastAsia="Times New Roman" w:hAnsi="Times New Roman" w:cs="Times New Roman"/>
                                      <w:b/>
                                      <w:noProof/>
                                      <w:sz w:val="34"/>
                                      <w:szCs w:val="34"/>
                                      <w:lang w:eastAsia="fr-FR"/>
                                    </w:rPr>
                                    <w:t>RAPPORT D’ETUDE D’IMPACT ENVIRONNEMENTAL</w:t>
                                  </w:r>
                                  <w:r w:rsidRPr="00D31E30">
                                    <w:rPr>
                                      <w:rFonts w:ascii="Times New Roman" w:eastAsia="Times New Roman" w:hAnsi="Times New Roman" w:cs="Times New Roman"/>
                                      <w:b/>
                                      <w:bCs/>
                                      <w:sz w:val="34"/>
                                      <w:szCs w:val="34"/>
                                      <w:lang w:eastAsia="fr-FR"/>
                                    </w:rPr>
                                    <w:t xml:space="preserve"> ET SOCIAL (EIES) </w:t>
                                  </w:r>
                                  <w:r>
                                    <w:rPr>
                                      <w:rFonts w:ascii="Times New Roman" w:eastAsia="Times New Roman" w:hAnsi="Times New Roman" w:cs="Times New Roman"/>
                                      <w:b/>
                                      <w:bCs/>
                                      <w:sz w:val="34"/>
                                      <w:szCs w:val="34"/>
                                      <w:lang w:eastAsia="fr-FR"/>
                                    </w:rPr>
                                    <w:t>APPROFONDIE</w:t>
                                  </w:r>
                                </w:p>
                                <w:p w14:paraId="774F8B31" w14:textId="6D38124A" w:rsidR="00803148" w:rsidRPr="00D31E30" w:rsidRDefault="00803148" w:rsidP="009719FE">
                                  <w:pPr>
                                    <w:spacing w:line="240" w:lineRule="auto"/>
                                    <w:jc w:val="center"/>
                                    <w:rPr>
                                      <w:rFonts w:ascii="Times New Roman" w:eastAsia="Times New Roman" w:hAnsi="Times New Roman" w:cs="Times New Roman"/>
                                      <w:b/>
                                      <w:bCs/>
                                      <w:spacing w:val="1"/>
                                      <w:sz w:val="34"/>
                                      <w:szCs w:val="34"/>
                                      <w:lang w:eastAsia="fr-FR"/>
                                    </w:rPr>
                                  </w:pPr>
                                  <w:r>
                                    <w:rPr>
                                      <w:rFonts w:ascii="Times New Roman" w:eastAsia="Times New Roman" w:hAnsi="Times New Roman" w:cs="Times New Roman"/>
                                      <w:b/>
                                      <w:bCs/>
                                      <w:spacing w:val="1"/>
                                      <w:sz w:val="34"/>
                                      <w:szCs w:val="34"/>
                                      <w:lang w:eastAsia="fr-FR"/>
                                    </w:rPr>
                                    <w:t>(Rapport final)</w:t>
                                  </w:r>
                                </w:p>
                                <w:p w14:paraId="419BBF8D" w14:textId="77777777" w:rsidR="00803148" w:rsidRDefault="00803148" w:rsidP="009719FE">
                                  <w:pPr>
                                    <w:spacing w:before="0" w:line="240" w:lineRule="auto"/>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oundrect w14:anchorId="019961A0" id="Zone de texte 26" o:spid="_x0000_s1027" style="position:absolute;left:0;text-align:left;margin-left:-15.9pt;margin-top:171.7pt;width:430.5pt;height:100.5pt;z-index:251675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" fillcolor="#bdd7ee" strokeweight=".5pt">
                      <v:path arrowok="t"/>
                      <v:textbox>
                        <w:txbxContent>
                          <w:p w14:paraId="3B7E4CA8" w14:textId="77777777" w:rsidR="00803148" w:rsidRPr="00D31E30" w:rsidRDefault="00803148" w:rsidP="009719FE">
                            <w:pPr>
                              <w:spacing w:before="0" w:line="240" w:lineRule="auto"/>
                              <w:jc w:val="center"/>
                              <w:rPr>
                                <w:rFonts w:ascii="Times New Roman" w:eastAsia="Times New Roman" w:hAnsi="Times New Roman" w:cs="Times New Roman"/>
                                <w:b/>
                                <w:sz w:val="34"/>
                                <w:szCs w:val="34"/>
                                <w:lang w:eastAsia="fr-FR"/>
                              </w:rPr>
                            </w:pPr>
                            <w:r w:rsidRPr="00D31E30">
                              <w:rPr>
                                <w:rFonts w:ascii="Times New Roman" w:eastAsia="Times New Roman" w:hAnsi="Times New Roman" w:cs="Times New Roman"/>
                                <w:b/>
                                <w:noProof/>
                                <w:sz w:val="34"/>
                                <w:szCs w:val="34"/>
                                <w:lang w:eastAsia="fr-FR"/>
                              </w:rPr>
                              <w:t>RAPPORT D’ETUDE D’IMPACT ENVIRONNEMENTAL</w:t>
                            </w:r>
                            <w:r w:rsidRPr="00D31E30">
                              <w:rPr>
                                <w:rFonts w:ascii="Times New Roman" w:eastAsia="Times New Roman" w:hAnsi="Times New Roman" w:cs="Times New Roman"/>
                                <w:b/>
                                <w:bCs/>
                                <w:sz w:val="34"/>
                                <w:szCs w:val="34"/>
                                <w:lang w:eastAsia="fr-FR"/>
                              </w:rPr>
                              <w:t xml:space="preserve"> ET SOCIAL (EIES) </w:t>
                            </w:r>
                            <w:r>
                              <w:rPr>
                                <w:rFonts w:ascii="Times New Roman" w:eastAsia="Times New Roman" w:hAnsi="Times New Roman" w:cs="Times New Roman"/>
                                <w:b/>
                                <w:bCs/>
                                <w:sz w:val="34"/>
                                <w:szCs w:val="34"/>
                                <w:lang w:eastAsia="fr-FR"/>
                              </w:rPr>
                              <w:t>APPROFONDIE</w:t>
                            </w:r>
                          </w:p>
                          <w:p w14:paraId="774F8B31" w14:textId="6D38124A" w:rsidR="00803148" w:rsidRPr="00D31E30" w:rsidRDefault="00803148" w:rsidP="009719FE">
                            <w:pPr>
                              <w:spacing w:line="240" w:lineRule="auto"/>
                              <w:jc w:val="center"/>
                              <w:rPr>
                                <w:rFonts w:ascii="Times New Roman" w:eastAsia="Times New Roman" w:hAnsi="Times New Roman" w:cs="Times New Roman"/>
                                <w:b/>
                                <w:bCs/>
                                <w:spacing w:val="1"/>
                                <w:sz w:val="34"/>
                                <w:szCs w:val="34"/>
                                <w:lang w:eastAsia="fr-FR"/>
                              </w:rPr>
                            </w:pPr>
                            <w:r>
                              <w:rPr>
                                <w:rFonts w:ascii="Times New Roman" w:eastAsia="Times New Roman" w:hAnsi="Times New Roman" w:cs="Times New Roman"/>
                                <w:b/>
                                <w:bCs/>
                                <w:spacing w:val="1"/>
                                <w:sz w:val="34"/>
                                <w:szCs w:val="34"/>
                                <w:lang w:eastAsia="fr-FR"/>
                              </w:rPr>
                              <w:t>(Rapport final)</w:t>
                            </w:r>
                          </w:p>
                          <w:p w14:paraId="419BBF8D" w14:textId="77777777" w:rsidR="00803148" w:rsidRDefault="00803148" w:rsidP="009719FE">
                            <w:pPr>
                              <w:spacing w:before="0" w:line="240" w:lineRule="auto"/>
                            </w:pPr>
                          </w:p>
                        </w:txbxContent>
                      </v:textbox>
                      <w10:wrap anchorx="margin"/>
                    </v:roundrect>
                  </w:pict>
                </mc:Fallback>
              </mc:AlternateContent>
            </w:r>
            <w:r w:rsidR="00701C80" w:rsidRPr="00A9330B">
              <w:rPr>
                <w:rFonts w:ascii="Arial Narrow" w:eastAsia="Calibri" w:hAnsi="Arial Narrow" w:cs="Century"/>
                <w:b/>
                <w:bCs/>
                <w:i/>
                <w:iCs/>
                <w:noProof/>
                <w:color w:val="000000"/>
                <w:sz w:val="18"/>
                <w:szCs w:val="28"/>
                <w:lang w:eastAsia="fr-FR"/>
              </w:rPr>
              <w:drawing>
                <wp:inline distT="0" distB="0" distL="0" distR="0" wp14:anchorId="40F0AAFA" wp14:editId="6BDBFE47">
                  <wp:extent cx="4905955" cy="2097405"/>
                  <wp:effectExtent l="0" t="0" r="9525" b="0"/>
                  <wp:docPr id="3147" name="Image 3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908570" cy="2098523"/>
                          </a:xfrm>
                          <a:prstGeom prst="rect">
                            <a:avLst/>
                          </a:prstGeom>
                          <a:noFill/>
                        </pic:spPr>
                      </pic:pic>
                    </a:graphicData>
                  </a:graphic>
                </wp:inline>
              </w:drawing>
            </w:r>
          </w:p>
        </w:tc>
      </w:tr>
    </w:tbl>
    <w:p w14:paraId="648E00D4" w14:textId="4C86E856" w:rsidR="00AB04ED" w:rsidRPr="00A9330B" w:rsidRDefault="00AB04ED" w:rsidP="00AB04ED">
      <w:pPr>
        <w:tabs>
          <w:tab w:val="left" w:pos="1252"/>
        </w:tabs>
        <w:rPr>
          <w:rFonts w:cs="Arial"/>
          <w:b/>
          <w:color w:val="00B050"/>
          <w:sz w:val="28"/>
          <w:szCs w:val="28"/>
        </w:rPr>
      </w:pPr>
    </w:p>
    <w:p w14:paraId="36C2BEC6" w14:textId="04A5FF4A" w:rsidR="00AB04ED" w:rsidRPr="00A9330B" w:rsidRDefault="00AB04ED" w:rsidP="00AB04ED">
      <w:pPr>
        <w:tabs>
          <w:tab w:val="left" w:pos="1252"/>
        </w:tabs>
        <w:rPr>
          <w:rFonts w:cs="Arial"/>
          <w:b/>
          <w:color w:val="00B050"/>
          <w:sz w:val="28"/>
          <w:szCs w:val="28"/>
        </w:rPr>
      </w:pPr>
    </w:p>
    <w:p w14:paraId="681D9223" w14:textId="77777777" w:rsidR="00AB04ED" w:rsidRPr="00A9330B" w:rsidRDefault="00AB04ED" w:rsidP="00AB04ED">
      <w:pPr>
        <w:tabs>
          <w:tab w:val="left" w:pos="1252"/>
        </w:tabs>
        <w:rPr>
          <w:rFonts w:cs="Arial"/>
          <w:b/>
          <w:color w:val="00B050"/>
          <w:sz w:val="28"/>
          <w:szCs w:val="28"/>
        </w:rPr>
      </w:pPr>
    </w:p>
    <w:p w14:paraId="517C2B3F" w14:textId="453DCC79" w:rsidR="00AB04ED" w:rsidRPr="00A9330B" w:rsidRDefault="00AB04ED" w:rsidP="00AB04ED">
      <w:pPr>
        <w:tabs>
          <w:tab w:val="left" w:pos="1252"/>
        </w:tabs>
        <w:rPr>
          <w:rFonts w:cs="Arial"/>
          <w:b/>
          <w:color w:val="00B050"/>
          <w:sz w:val="28"/>
          <w:szCs w:val="28"/>
        </w:rPr>
      </w:pPr>
    </w:p>
    <w:tbl>
      <w:tblPr>
        <w:tblpPr w:leftFromText="141" w:rightFromText="141" w:vertAnchor="text" w:horzAnchor="page" w:tblpX="1169" w:tblpY="289"/>
        <w:tblW w:w="9497" w:type="dxa"/>
        <w:tblLook w:val="04A0" w:firstRow="1" w:lastRow="0" w:firstColumn="1" w:lastColumn="0" w:noHBand="0" w:noVBand="1"/>
      </w:tblPr>
      <w:tblGrid>
        <w:gridCol w:w="2835"/>
        <w:gridCol w:w="425"/>
        <w:gridCol w:w="6237"/>
      </w:tblGrid>
      <w:tr w:rsidR="00AB04ED" w:rsidRPr="00A9330B" w14:paraId="02353D6F" w14:textId="77777777" w:rsidTr="00701C80">
        <w:trPr>
          <w:trHeight w:val="990"/>
        </w:trPr>
        <w:tc>
          <w:tcPr>
            <w:tcW w:w="2835" w:type="dxa"/>
          </w:tcPr>
          <w:p w14:paraId="2393E442" w14:textId="77777777" w:rsidR="00AB04ED" w:rsidRPr="00A9330B" w:rsidRDefault="00AB04ED" w:rsidP="00701C80">
            <w:pPr>
              <w:spacing w:line="240" w:lineRule="auto"/>
              <w:rPr>
                <w:rFonts w:ascii="Book Antiqua" w:hAnsi="Book Antiqua"/>
                <w:b/>
                <w:caps/>
              </w:rPr>
            </w:pPr>
            <w:bookmarkStart w:id="20" w:name="_Toc523758608"/>
            <w:r w:rsidRPr="00A9330B">
              <w:rPr>
                <w:rFonts w:ascii="Book Antiqua" w:hAnsi="Book Antiqua"/>
                <w:b/>
                <w:caps/>
              </w:rPr>
              <w:t>Maître d’Ouvrage</w:t>
            </w:r>
          </w:p>
        </w:tc>
        <w:tc>
          <w:tcPr>
            <w:tcW w:w="425" w:type="dxa"/>
          </w:tcPr>
          <w:p w14:paraId="7BA87FAE" w14:textId="77777777" w:rsidR="00AB04ED" w:rsidRPr="00A9330B" w:rsidRDefault="00AB04ED" w:rsidP="00701C80">
            <w:pPr>
              <w:spacing w:line="240" w:lineRule="auto"/>
              <w:rPr>
                <w:rFonts w:ascii="Book Antiqua" w:hAnsi="Book Antiqua"/>
              </w:rPr>
            </w:pPr>
            <w:r w:rsidRPr="00A9330B">
              <w:rPr>
                <w:rFonts w:ascii="Book Antiqua" w:hAnsi="Book Antiqua"/>
              </w:rPr>
              <w:t>:</w:t>
            </w:r>
          </w:p>
        </w:tc>
        <w:tc>
          <w:tcPr>
            <w:tcW w:w="6237" w:type="dxa"/>
          </w:tcPr>
          <w:p w14:paraId="0A372FE6" w14:textId="77777777" w:rsidR="00AB04ED" w:rsidRPr="00A9330B" w:rsidRDefault="00AB04ED" w:rsidP="00701C80">
            <w:pPr>
              <w:spacing w:line="240" w:lineRule="auto"/>
              <w:rPr>
                <w:rFonts w:ascii="Book Antiqua" w:hAnsi="Book Antiqua"/>
              </w:rPr>
            </w:pPr>
            <w:r w:rsidRPr="00A9330B">
              <w:rPr>
                <w:rFonts w:ascii="Book Antiqua" w:hAnsi="Book Antiqua"/>
              </w:rPr>
              <w:t>Ministère du Cadre de Vie et du Développement Durable (MCVDD), à travers l’Agence du Cadre de Vie pour le Développement du Territoire (ACV-DT)</w:t>
            </w:r>
          </w:p>
        </w:tc>
      </w:tr>
      <w:tr w:rsidR="00AB04ED" w:rsidRPr="00A9330B" w14:paraId="2D2CE893" w14:textId="77777777" w:rsidTr="00701C80">
        <w:trPr>
          <w:trHeight w:val="834"/>
        </w:trPr>
        <w:tc>
          <w:tcPr>
            <w:tcW w:w="2835" w:type="dxa"/>
          </w:tcPr>
          <w:p w14:paraId="4F828B9D" w14:textId="77777777" w:rsidR="00AB04ED" w:rsidRPr="00A9330B" w:rsidRDefault="00AB04ED" w:rsidP="00701C80">
            <w:pPr>
              <w:spacing w:line="240" w:lineRule="auto"/>
              <w:rPr>
                <w:rFonts w:ascii="Book Antiqua" w:hAnsi="Book Antiqua"/>
                <w:b/>
                <w:caps/>
              </w:rPr>
            </w:pPr>
            <w:r w:rsidRPr="00A9330B">
              <w:rPr>
                <w:rFonts w:ascii="Book Antiqua" w:hAnsi="Book Antiqua"/>
                <w:b/>
                <w:caps/>
              </w:rPr>
              <w:t>ETUDES FINANCÉES PAR</w:t>
            </w:r>
          </w:p>
        </w:tc>
        <w:tc>
          <w:tcPr>
            <w:tcW w:w="425" w:type="dxa"/>
          </w:tcPr>
          <w:p w14:paraId="5E32DA08" w14:textId="77777777" w:rsidR="00AB04ED" w:rsidRPr="00A9330B" w:rsidRDefault="00AB04ED" w:rsidP="00701C80">
            <w:pPr>
              <w:spacing w:line="240" w:lineRule="auto"/>
              <w:rPr>
                <w:rFonts w:ascii="Book Antiqua" w:hAnsi="Book Antiqua"/>
              </w:rPr>
            </w:pPr>
            <w:r w:rsidRPr="00A9330B">
              <w:rPr>
                <w:rFonts w:ascii="Book Antiqua" w:hAnsi="Book Antiqua"/>
              </w:rPr>
              <w:t>:</w:t>
            </w:r>
          </w:p>
        </w:tc>
        <w:tc>
          <w:tcPr>
            <w:tcW w:w="6237" w:type="dxa"/>
          </w:tcPr>
          <w:p w14:paraId="5FE34723" w14:textId="77777777" w:rsidR="00AB04ED" w:rsidRPr="00A9330B" w:rsidRDefault="00AB04ED" w:rsidP="00701C80">
            <w:pPr>
              <w:spacing w:line="240" w:lineRule="auto"/>
              <w:rPr>
                <w:rFonts w:ascii="Book Antiqua" w:hAnsi="Book Antiqua"/>
              </w:rPr>
            </w:pPr>
            <w:r w:rsidRPr="00A9330B">
              <w:rPr>
                <w:rFonts w:ascii="Book Antiqua" w:hAnsi="Book Antiqua"/>
              </w:rPr>
              <w:t>Budget National</w:t>
            </w:r>
          </w:p>
        </w:tc>
      </w:tr>
      <w:tr w:rsidR="00AB04ED" w:rsidRPr="00A9330B" w14:paraId="12F1EBE8" w14:textId="77777777" w:rsidTr="00701C80">
        <w:trPr>
          <w:trHeight w:val="570"/>
        </w:trPr>
        <w:tc>
          <w:tcPr>
            <w:tcW w:w="2835" w:type="dxa"/>
          </w:tcPr>
          <w:p w14:paraId="2EE32798" w14:textId="77777777" w:rsidR="00AB04ED" w:rsidRPr="00A9330B" w:rsidRDefault="00AB04ED" w:rsidP="00701C80">
            <w:pPr>
              <w:spacing w:line="240" w:lineRule="auto"/>
              <w:rPr>
                <w:rFonts w:ascii="Book Antiqua" w:hAnsi="Book Antiqua"/>
                <w:b/>
                <w:caps/>
              </w:rPr>
            </w:pPr>
            <w:r w:rsidRPr="00A9330B">
              <w:rPr>
                <w:rFonts w:ascii="Book Antiqua" w:hAnsi="Book Antiqua"/>
                <w:b/>
                <w:caps/>
              </w:rPr>
              <w:t>bureau d’etudes</w:t>
            </w:r>
          </w:p>
          <w:p w14:paraId="5B72C40A" w14:textId="2BB2C721" w:rsidR="00AB04ED" w:rsidRPr="00A9330B" w:rsidRDefault="00AB04ED" w:rsidP="00701C80">
            <w:pPr>
              <w:spacing w:line="240" w:lineRule="auto"/>
              <w:rPr>
                <w:rFonts w:ascii="Book Antiqua" w:hAnsi="Book Antiqua"/>
                <w:b/>
                <w:caps/>
              </w:rPr>
            </w:pPr>
          </w:p>
        </w:tc>
        <w:tc>
          <w:tcPr>
            <w:tcW w:w="425" w:type="dxa"/>
          </w:tcPr>
          <w:p w14:paraId="5CD79AF5" w14:textId="77777777" w:rsidR="00AB04ED" w:rsidRPr="00A9330B" w:rsidRDefault="00AB04ED" w:rsidP="00701C80">
            <w:pPr>
              <w:spacing w:line="240" w:lineRule="auto"/>
              <w:rPr>
                <w:rFonts w:ascii="Book Antiqua" w:hAnsi="Book Antiqua"/>
              </w:rPr>
            </w:pPr>
            <w:r w:rsidRPr="00A9330B">
              <w:rPr>
                <w:rFonts w:ascii="Book Antiqua" w:hAnsi="Book Antiqua"/>
              </w:rPr>
              <w:t>:</w:t>
            </w:r>
          </w:p>
        </w:tc>
        <w:tc>
          <w:tcPr>
            <w:tcW w:w="6237" w:type="dxa"/>
          </w:tcPr>
          <w:p w14:paraId="56609559" w14:textId="1BFDF20B" w:rsidR="00AB04ED" w:rsidRPr="00A9330B" w:rsidRDefault="00AB04ED" w:rsidP="00701C80">
            <w:pPr>
              <w:spacing w:line="240" w:lineRule="auto"/>
              <w:rPr>
                <w:rFonts w:ascii="Arial Narrow" w:eastAsia="Calibri" w:hAnsi="Arial Narrow" w:cs="Times New Roman"/>
                <w:color w:val="0070C0"/>
              </w:rPr>
            </w:pPr>
            <w:r w:rsidRPr="00A9330B">
              <w:rPr>
                <w:rFonts w:ascii="Arial Narrow" w:eastAsia="Calibri" w:hAnsi="Arial Narrow" w:cs="Times New Roman"/>
                <w:b/>
                <w:color w:val="0070C0"/>
              </w:rPr>
              <w:t xml:space="preserve">CECO-BTP Ingénieurs </w:t>
            </w:r>
            <w:r w:rsidR="00AB7F3D" w:rsidRPr="00A9330B">
              <w:rPr>
                <w:rFonts w:ascii="Arial Narrow" w:eastAsia="Calibri" w:hAnsi="Arial Narrow" w:cs="Times New Roman"/>
                <w:b/>
                <w:color w:val="0070C0"/>
              </w:rPr>
              <w:t xml:space="preserve">- </w:t>
            </w:r>
            <w:r w:rsidRPr="00A9330B">
              <w:rPr>
                <w:rFonts w:ascii="Arial Narrow" w:eastAsia="Calibri" w:hAnsi="Arial Narrow" w:cs="Times New Roman"/>
                <w:b/>
                <w:color w:val="0070C0"/>
              </w:rPr>
              <w:t>Conseils</w:t>
            </w:r>
            <w:r w:rsidRPr="00A9330B">
              <w:rPr>
                <w:rFonts w:ascii="Arial Narrow" w:eastAsia="Calibri" w:hAnsi="Arial Narrow" w:cs="Times New Roman"/>
                <w:color w:val="0070C0"/>
              </w:rPr>
              <w:t xml:space="preserve">      </w:t>
            </w:r>
            <w:r w:rsidRPr="00A9330B">
              <w:rPr>
                <w:rFonts w:ascii="Arial Narrow" w:eastAsia="Calibri" w:hAnsi="Arial Narrow" w:cs="Times New Roman"/>
                <w:color w:val="0070C0"/>
              </w:rPr>
              <w:tab/>
            </w:r>
            <w:r w:rsidRPr="00A9330B">
              <w:rPr>
                <w:rFonts w:ascii="Arial Narrow" w:eastAsia="Calibri" w:hAnsi="Arial Narrow" w:cs="Times New Roman"/>
                <w:color w:val="0070C0"/>
              </w:rPr>
              <w:tab/>
              <w:t xml:space="preserve">           </w:t>
            </w:r>
          </w:p>
          <w:p w14:paraId="524E6A32" w14:textId="77777777" w:rsidR="00AB04ED" w:rsidRPr="00A9330B" w:rsidRDefault="00AB04ED" w:rsidP="00701C80">
            <w:pPr>
              <w:spacing w:line="240" w:lineRule="auto"/>
              <w:rPr>
                <w:rFonts w:ascii="Arial Narrow" w:eastAsia="Calibri" w:hAnsi="Arial Narrow" w:cs="Times New Roman"/>
                <w:b/>
                <w:color w:val="0070C0"/>
              </w:rPr>
            </w:pPr>
            <w:r w:rsidRPr="00A9330B">
              <w:rPr>
                <w:rFonts w:ascii="Arial Narrow" w:eastAsia="Calibri" w:hAnsi="Arial Narrow" w:cs="Times New Roman"/>
                <w:b/>
                <w:color w:val="0070C0"/>
              </w:rPr>
              <w:t>04 BP 1165 Cotonou Tél : (229) 21 38 36 52</w:t>
            </w:r>
          </w:p>
          <w:p w14:paraId="254CEB77" w14:textId="343E672E" w:rsidR="00AB04ED" w:rsidRPr="00A9330B" w:rsidRDefault="00AB04ED" w:rsidP="00701C80">
            <w:pPr>
              <w:spacing w:line="240" w:lineRule="auto"/>
              <w:rPr>
                <w:rFonts w:ascii="Book Antiqua" w:hAnsi="Book Antiqua"/>
                <w:caps/>
              </w:rPr>
            </w:pPr>
            <w:r w:rsidRPr="00A9330B">
              <w:rPr>
                <w:rFonts w:ascii="Arial Narrow" w:eastAsia="Calibri" w:hAnsi="Arial Narrow" w:cs="Times New Roman"/>
                <w:b/>
                <w:color w:val="000000"/>
              </w:rPr>
              <w:t xml:space="preserve"> </w:t>
            </w:r>
            <w:r w:rsidRPr="00A9330B">
              <w:rPr>
                <w:rFonts w:ascii="Arial Narrow" w:eastAsia="Calibri" w:hAnsi="Arial Narrow" w:cs="Times New Roman"/>
                <w:b/>
                <w:color w:val="0070C0"/>
              </w:rPr>
              <w:t>Fax </w:t>
            </w:r>
            <w:r w:rsidR="00AB7F3D" w:rsidRPr="00A9330B">
              <w:rPr>
                <w:rFonts w:ascii="Arial Narrow" w:eastAsia="Calibri" w:hAnsi="Arial Narrow" w:cs="Times New Roman"/>
                <w:b/>
                <w:color w:val="0070C0"/>
              </w:rPr>
              <w:t>: (</w:t>
            </w:r>
            <w:r w:rsidRPr="00A9330B">
              <w:rPr>
                <w:rFonts w:ascii="Arial Narrow" w:eastAsia="Calibri" w:hAnsi="Arial Narrow" w:cs="Times New Roman"/>
                <w:b/>
                <w:color w:val="0070C0"/>
              </w:rPr>
              <w:t>229) 21 38 09 24   E-mail : cecobtp@cecobtp.com</w:t>
            </w:r>
          </w:p>
        </w:tc>
      </w:tr>
    </w:tbl>
    <w:bookmarkEnd w:id="12"/>
    <w:bookmarkEnd w:id="20"/>
    <w:p w14:paraId="65F3D52E" w14:textId="6EDA1B8A" w:rsidR="00AB04ED" w:rsidRPr="00A9330B" w:rsidRDefault="008028BC" w:rsidP="00AB04ED">
      <w:pPr>
        <w:jc w:val="center"/>
        <w:rPr>
          <w:rFonts w:ascii="Arial Narrow" w:eastAsia="Calibri" w:hAnsi="Arial Narrow" w:cs="Times New Roman"/>
          <w:b/>
          <w:color w:val="auto"/>
          <w:sz w:val="40"/>
        </w:rPr>
        <w:sectPr w:rsidR="00AB04ED" w:rsidRPr="00A9330B">
          <w:footerReference w:type="default" r:id="rId11"/>
          <w:pgSz w:w="11900" w:h="16838"/>
          <w:pgMar w:top="623" w:right="1406" w:bottom="1440" w:left="1056" w:header="0" w:footer="0" w:gutter="0"/>
          <w:cols w:space="720" w:equalWidth="0">
            <w:col w:w="9444"/>
          </w:cols>
        </w:sectPr>
      </w:pPr>
      <w:r w:rsidRPr="00A9330B">
        <w:rPr>
          <w:noProof/>
          <w:lang w:eastAsia="fr-FR"/>
        </w:rPr>
        <mc:AlternateContent>
          <mc:Choice Requires="wps">
            <w:drawing>
              <wp:anchor distT="45720" distB="45720" distL="114300" distR="114300" simplePos="0" relativeHeight="251662336" behindDoc="0" locked="0" layoutInCell="1" allowOverlap="1" wp14:anchorId="2C492991" wp14:editId="52F0228D">
                <wp:simplePos x="0" y="0"/>
                <wp:positionH relativeFrom="margin">
                  <wp:posOffset>4806315</wp:posOffset>
                </wp:positionH>
                <wp:positionV relativeFrom="paragraph">
                  <wp:posOffset>2242820</wp:posOffset>
                </wp:positionV>
                <wp:extent cx="1547495" cy="344805"/>
                <wp:effectExtent l="0" t="0" r="0" b="0"/>
                <wp:wrapSquare wrapText="bothSides"/>
                <wp:docPr id="27"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47495" cy="344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249CB4" w14:textId="5440BD05" w:rsidR="00803148" w:rsidRPr="00844023" w:rsidRDefault="00803148" w:rsidP="00AB04ED">
                            <w:pPr>
                              <w:pStyle w:val="DateduCV"/>
                              <w:spacing w:before="120" w:after="0" w:line="240" w:lineRule="auto"/>
                              <w:ind w:right="142"/>
                              <w:jc w:val="center"/>
                              <w:rPr>
                                <w:rFonts w:asciiTheme="minorBidi" w:hAnsiTheme="minorBidi"/>
                                <w:b/>
                                <w:bCs/>
                                <w:caps/>
                                <w:color w:val="C00000"/>
                              </w:rPr>
                            </w:pPr>
                            <w:r>
                              <w:rPr>
                                <w:rFonts w:asciiTheme="minorBidi" w:hAnsiTheme="minorBidi"/>
                                <w:b/>
                                <w:bCs/>
                                <w:caps/>
                                <w:color w:val="C00000"/>
                                <w:highlight w:val="lightGray"/>
                              </w:rPr>
                              <w:t xml:space="preserve">SEPTEMBRE </w:t>
                            </w:r>
                            <w:r w:rsidRPr="00844023">
                              <w:rPr>
                                <w:rFonts w:asciiTheme="minorBidi" w:hAnsiTheme="minorBidi"/>
                                <w:b/>
                                <w:bCs/>
                                <w:caps/>
                                <w:color w:val="C00000"/>
                                <w:highlight w:val="lightGray"/>
                              </w:rPr>
                              <w:t xml:space="preserve"> 2020</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C492991" id="Text Box 10" o:spid="_x0000_s1028" type="#_x0000_t202" style="position:absolute;left:0;text-align:left;margin-left:378.45pt;margin-top:176.6pt;width:121.85pt;height:27.15pt;z-index:2516623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" filled="f" stroked="f">
                <v:textbox>
                  <w:txbxContent>
                    <w:p w14:paraId="05249CB4" w14:textId="5440BD05" w:rsidR="00803148" w:rsidRPr="00844023" w:rsidRDefault="00803148" w:rsidP="00AB04ED">
                      <w:pPr>
                        <w:pStyle w:val="DateduCV"/>
                        <w:spacing w:before="120" w:after="0" w:line="240" w:lineRule="auto"/>
                        <w:ind w:right="142"/>
                        <w:jc w:val="center"/>
                        <w:rPr>
                          <w:rFonts w:asciiTheme="minorBidi" w:hAnsiTheme="minorBidi"/>
                          <w:b/>
                          <w:bCs/>
                          <w:caps/>
                          <w:color w:val="C00000"/>
                        </w:rPr>
                      </w:pPr>
                      <w:r>
                        <w:rPr>
                          <w:rFonts w:asciiTheme="minorBidi" w:hAnsiTheme="minorBidi"/>
                          <w:b/>
                          <w:bCs/>
                          <w:caps/>
                          <w:color w:val="C00000"/>
                          <w:highlight w:val="lightGray"/>
                        </w:rPr>
                        <w:t xml:space="preserve">SEPTEMBRE </w:t>
                      </w:r>
                      <w:r w:rsidRPr="00844023">
                        <w:rPr>
                          <w:rFonts w:asciiTheme="minorBidi" w:hAnsiTheme="minorBidi"/>
                          <w:b/>
                          <w:bCs/>
                          <w:caps/>
                          <w:color w:val="C00000"/>
                          <w:highlight w:val="lightGray"/>
                        </w:rPr>
                        <w:t xml:space="preserve"> 2020</w:t>
                      </w:r>
                    </w:p>
                  </w:txbxContent>
                </v:textbox>
                <w10:wrap type="square" anchorx="margin"/>
              </v:shape>
            </w:pict>
          </mc:Fallback>
        </mc:AlternateContent>
      </w:r>
      <w:r w:rsidR="00AB7F3D" w:rsidRPr="00A9330B">
        <w:rPr>
          <w:rFonts w:eastAsia="Calibri" w:cs="Times New Roman"/>
          <w:noProof/>
          <w:color w:val="auto"/>
          <w:sz w:val="28"/>
          <w:lang w:eastAsia="fr-FR"/>
        </w:rPr>
        <w:drawing>
          <wp:anchor distT="0" distB="0" distL="114300" distR="114300" simplePos="0" relativeHeight="251671552" behindDoc="1" locked="0" layoutInCell="1" allowOverlap="1" wp14:anchorId="75E34B34" wp14:editId="1DE91732">
            <wp:simplePos x="0" y="0"/>
            <wp:positionH relativeFrom="column">
              <wp:posOffset>121920</wp:posOffset>
            </wp:positionH>
            <wp:positionV relativeFrom="paragraph">
              <wp:posOffset>1639570</wp:posOffset>
            </wp:positionV>
            <wp:extent cx="1005840" cy="1082040"/>
            <wp:effectExtent l="0" t="0" r="0" b="3810"/>
            <wp:wrapNone/>
            <wp:docPr id="33" name="Image 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pic:cNvPicPr preferRelativeResize="0">
                      <a:picLocks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005840" cy="10820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64644DD" w14:textId="741F14FD" w:rsidR="009315B3" w:rsidRPr="00A9330B" w:rsidRDefault="00AD5193" w:rsidP="0064324E">
      <w:pPr>
        <w:pStyle w:val="Titre1"/>
        <w:rPr>
          <w:rStyle w:val="Accentuation"/>
          <w:i w:val="0"/>
          <w:iCs w:val="0"/>
        </w:rPr>
      </w:pPr>
      <w:bookmarkStart w:id="21" w:name="_Toc46416540"/>
      <w:bookmarkStart w:id="22" w:name="_Toc51843898"/>
      <w:bookmarkStart w:id="23" w:name="_Toc52869524"/>
      <w:bookmarkStart w:id="24" w:name="_Toc52869814"/>
      <w:r w:rsidRPr="00A9330B">
        <w:rPr>
          <w:rStyle w:val="Accentuation"/>
          <w:i w:val="0"/>
          <w:iCs w:val="0"/>
        </w:rPr>
        <w:lastRenderedPageBreak/>
        <w:t>SOMMAIRE</w:t>
      </w:r>
      <w:bookmarkEnd w:id="21"/>
      <w:bookmarkEnd w:id="22"/>
      <w:bookmarkEnd w:id="23"/>
      <w:bookmarkEnd w:id="24"/>
      <w:r w:rsidRPr="00A9330B">
        <w:rPr>
          <w:rStyle w:val="Accentuation"/>
          <w:i w:val="0"/>
          <w:iCs w:val="0"/>
        </w:rPr>
        <w:t xml:space="preserve"> </w:t>
      </w:r>
    </w:p>
    <w:p w14:paraId="5AE2D906" w14:textId="6B1C6AEB" w:rsidR="003E0C70" w:rsidRPr="003E0C70" w:rsidRDefault="00C26ACB" w:rsidP="003E0C70">
      <w:pPr>
        <w:pStyle w:val="TM1"/>
        <w:tabs>
          <w:tab w:val="right" w:leader="dot" w:pos="9345"/>
        </w:tabs>
        <w:spacing w:before="60" w:after="0" w:line="240" w:lineRule="auto"/>
        <w:rPr>
          <w:rFonts w:ascii="Arial" w:eastAsiaTheme="minorEastAsia" w:hAnsi="Arial" w:cs="Arial"/>
          <w:b w:val="0"/>
          <w:bCs w:val="0"/>
          <w:caps w:val="0"/>
          <w:noProof/>
          <w:color w:val="auto"/>
          <w:lang w:eastAsia="fr-FR"/>
        </w:rPr>
      </w:pPr>
      <w:r w:rsidRPr="003E0C70">
        <w:rPr>
          <w:rFonts w:ascii="Arial" w:hAnsi="Arial" w:cs="Arial"/>
        </w:rPr>
        <w:fldChar w:fldCharType="begin"/>
      </w:r>
      <w:r w:rsidRPr="003E0C70">
        <w:rPr>
          <w:rFonts w:ascii="Arial" w:hAnsi="Arial" w:cs="Arial"/>
        </w:rPr>
        <w:instrText xml:space="preserve"> TOC \o "1-2" \h \z \u </w:instrText>
      </w:r>
      <w:r w:rsidRPr="003E0C70">
        <w:rPr>
          <w:rFonts w:ascii="Arial" w:hAnsi="Arial" w:cs="Arial"/>
        </w:rPr>
        <w:fldChar w:fldCharType="separate"/>
      </w:r>
    </w:p>
    <w:p w14:paraId="4BACAFC5" w14:textId="28E9A7FF" w:rsidR="003E0C70" w:rsidRPr="003E0C70" w:rsidRDefault="003E0C70" w:rsidP="003E0C70">
      <w:pPr>
        <w:pStyle w:val="TM1"/>
        <w:tabs>
          <w:tab w:val="right" w:leader="dot" w:pos="9345"/>
        </w:tabs>
        <w:spacing w:before="60" w:after="0" w:line="240" w:lineRule="auto"/>
        <w:rPr>
          <w:rFonts w:ascii="Arial" w:eastAsiaTheme="minorEastAsia" w:hAnsi="Arial" w:cs="Arial"/>
          <w:b w:val="0"/>
          <w:bCs w:val="0"/>
          <w:caps w:val="0"/>
          <w:noProof/>
          <w:color w:val="auto"/>
          <w:sz w:val="19"/>
          <w:szCs w:val="19"/>
          <w:lang w:eastAsia="fr-FR"/>
        </w:rPr>
      </w:pPr>
      <w:hyperlink w:anchor="_Toc52869815" w:history="1">
        <w:r w:rsidRPr="003E0C70">
          <w:rPr>
            <w:rStyle w:val="Lienhypertexte"/>
            <w:rFonts w:ascii="Arial" w:hAnsi="Arial" w:cs="Arial"/>
            <w:noProof/>
            <w:sz w:val="19"/>
            <w:szCs w:val="19"/>
          </w:rPr>
          <w:t>LISTE DES TABLEAUX</w:t>
        </w:r>
        <w:r w:rsidRPr="003E0C70">
          <w:rPr>
            <w:rFonts w:ascii="Arial" w:hAnsi="Arial" w:cs="Arial"/>
            <w:noProof/>
            <w:webHidden/>
            <w:sz w:val="19"/>
            <w:szCs w:val="19"/>
          </w:rPr>
          <w:tab/>
        </w:r>
        <w:r w:rsidRPr="003E0C70">
          <w:rPr>
            <w:rFonts w:ascii="Arial" w:hAnsi="Arial" w:cs="Arial"/>
            <w:noProof/>
            <w:webHidden/>
            <w:sz w:val="19"/>
            <w:szCs w:val="19"/>
          </w:rPr>
          <w:fldChar w:fldCharType="begin"/>
        </w:r>
        <w:r w:rsidRPr="003E0C70">
          <w:rPr>
            <w:rFonts w:ascii="Arial" w:hAnsi="Arial" w:cs="Arial"/>
            <w:noProof/>
            <w:webHidden/>
            <w:sz w:val="19"/>
            <w:szCs w:val="19"/>
          </w:rPr>
          <w:instrText xml:space="preserve"> PAGEREF _Toc52869815 \h </w:instrText>
        </w:r>
        <w:r w:rsidRPr="003E0C70">
          <w:rPr>
            <w:rFonts w:ascii="Arial" w:hAnsi="Arial" w:cs="Arial"/>
            <w:noProof/>
            <w:webHidden/>
            <w:sz w:val="19"/>
            <w:szCs w:val="19"/>
          </w:rPr>
        </w:r>
        <w:r w:rsidRPr="003E0C70">
          <w:rPr>
            <w:rFonts w:ascii="Arial" w:hAnsi="Arial" w:cs="Arial"/>
            <w:noProof/>
            <w:webHidden/>
            <w:sz w:val="19"/>
            <w:szCs w:val="19"/>
          </w:rPr>
          <w:fldChar w:fldCharType="separate"/>
        </w:r>
        <w:r w:rsidR="009E27E4">
          <w:rPr>
            <w:rFonts w:ascii="Arial" w:hAnsi="Arial" w:cs="Arial"/>
            <w:noProof/>
            <w:webHidden/>
            <w:sz w:val="19"/>
            <w:szCs w:val="19"/>
          </w:rPr>
          <w:t>iii</w:t>
        </w:r>
        <w:r w:rsidRPr="003E0C70">
          <w:rPr>
            <w:rFonts w:ascii="Arial" w:hAnsi="Arial" w:cs="Arial"/>
            <w:noProof/>
            <w:webHidden/>
            <w:sz w:val="19"/>
            <w:szCs w:val="19"/>
          </w:rPr>
          <w:fldChar w:fldCharType="end"/>
        </w:r>
      </w:hyperlink>
    </w:p>
    <w:p w14:paraId="3ADFE452" w14:textId="49F06750" w:rsidR="003E0C70" w:rsidRPr="003E0C70" w:rsidRDefault="003E0C70" w:rsidP="003E0C70">
      <w:pPr>
        <w:pStyle w:val="TM1"/>
        <w:tabs>
          <w:tab w:val="right" w:leader="dot" w:pos="9345"/>
        </w:tabs>
        <w:spacing w:before="60" w:after="0" w:line="240" w:lineRule="auto"/>
        <w:rPr>
          <w:rFonts w:ascii="Arial" w:eastAsiaTheme="minorEastAsia" w:hAnsi="Arial" w:cs="Arial"/>
          <w:b w:val="0"/>
          <w:bCs w:val="0"/>
          <w:caps w:val="0"/>
          <w:noProof/>
          <w:color w:val="auto"/>
          <w:sz w:val="19"/>
          <w:szCs w:val="19"/>
          <w:lang w:eastAsia="fr-FR"/>
        </w:rPr>
      </w:pPr>
      <w:hyperlink w:anchor="_Toc52869816" w:history="1">
        <w:r w:rsidRPr="003E0C70">
          <w:rPr>
            <w:rStyle w:val="Lienhypertexte"/>
            <w:rFonts w:ascii="Arial" w:hAnsi="Arial" w:cs="Arial"/>
            <w:noProof/>
            <w:sz w:val="19"/>
            <w:szCs w:val="19"/>
          </w:rPr>
          <w:t>LISTE DES FIGURES</w:t>
        </w:r>
        <w:r w:rsidRPr="003E0C70">
          <w:rPr>
            <w:rFonts w:ascii="Arial" w:hAnsi="Arial" w:cs="Arial"/>
            <w:noProof/>
            <w:webHidden/>
            <w:sz w:val="19"/>
            <w:szCs w:val="19"/>
          </w:rPr>
          <w:tab/>
        </w:r>
        <w:r w:rsidRPr="003E0C70">
          <w:rPr>
            <w:rFonts w:ascii="Arial" w:hAnsi="Arial" w:cs="Arial"/>
            <w:noProof/>
            <w:webHidden/>
            <w:sz w:val="19"/>
            <w:szCs w:val="19"/>
          </w:rPr>
          <w:fldChar w:fldCharType="begin"/>
        </w:r>
        <w:r w:rsidRPr="003E0C70">
          <w:rPr>
            <w:rFonts w:ascii="Arial" w:hAnsi="Arial" w:cs="Arial"/>
            <w:noProof/>
            <w:webHidden/>
            <w:sz w:val="19"/>
            <w:szCs w:val="19"/>
          </w:rPr>
          <w:instrText xml:space="preserve"> PAGEREF _Toc52869816 \h </w:instrText>
        </w:r>
        <w:r w:rsidRPr="003E0C70">
          <w:rPr>
            <w:rFonts w:ascii="Arial" w:hAnsi="Arial" w:cs="Arial"/>
            <w:noProof/>
            <w:webHidden/>
            <w:sz w:val="19"/>
            <w:szCs w:val="19"/>
          </w:rPr>
        </w:r>
        <w:r w:rsidRPr="003E0C70">
          <w:rPr>
            <w:rFonts w:ascii="Arial" w:hAnsi="Arial" w:cs="Arial"/>
            <w:noProof/>
            <w:webHidden/>
            <w:sz w:val="19"/>
            <w:szCs w:val="19"/>
          </w:rPr>
          <w:fldChar w:fldCharType="separate"/>
        </w:r>
        <w:r w:rsidR="009E27E4">
          <w:rPr>
            <w:rFonts w:ascii="Arial" w:hAnsi="Arial" w:cs="Arial"/>
            <w:noProof/>
            <w:webHidden/>
            <w:sz w:val="19"/>
            <w:szCs w:val="19"/>
          </w:rPr>
          <w:t>v</w:t>
        </w:r>
        <w:r w:rsidRPr="003E0C70">
          <w:rPr>
            <w:rFonts w:ascii="Arial" w:hAnsi="Arial" w:cs="Arial"/>
            <w:noProof/>
            <w:webHidden/>
            <w:sz w:val="19"/>
            <w:szCs w:val="19"/>
          </w:rPr>
          <w:fldChar w:fldCharType="end"/>
        </w:r>
      </w:hyperlink>
    </w:p>
    <w:p w14:paraId="3A46E9C4" w14:textId="036C479F" w:rsidR="003E0C70" w:rsidRPr="003E0C70" w:rsidRDefault="003E0C70" w:rsidP="003E0C70">
      <w:pPr>
        <w:pStyle w:val="TM1"/>
        <w:tabs>
          <w:tab w:val="right" w:leader="dot" w:pos="9345"/>
        </w:tabs>
        <w:spacing w:before="60" w:after="0" w:line="240" w:lineRule="auto"/>
        <w:rPr>
          <w:rFonts w:ascii="Arial" w:eastAsiaTheme="minorEastAsia" w:hAnsi="Arial" w:cs="Arial"/>
          <w:b w:val="0"/>
          <w:bCs w:val="0"/>
          <w:caps w:val="0"/>
          <w:noProof/>
          <w:color w:val="auto"/>
          <w:sz w:val="19"/>
          <w:szCs w:val="19"/>
          <w:lang w:eastAsia="fr-FR"/>
        </w:rPr>
      </w:pPr>
      <w:hyperlink w:anchor="_Toc52869817" w:history="1">
        <w:r w:rsidRPr="003E0C70">
          <w:rPr>
            <w:rStyle w:val="Lienhypertexte"/>
            <w:rFonts w:ascii="Arial" w:hAnsi="Arial" w:cs="Arial"/>
            <w:noProof/>
            <w:sz w:val="19"/>
            <w:szCs w:val="19"/>
          </w:rPr>
          <w:t>Planches et photos</w:t>
        </w:r>
        <w:r w:rsidRPr="003E0C70">
          <w:rPr>
            <w:rFonts w:ascii="Arial" w:hAnsi="Arial" w:cs="Arial"/>
            <w:noProof/>
            <w:webHidden/>
            <w:sz w:val="19"/>
            <w:szCs w:val="19"/>
          </w:rPr>
          <w:tab/>
        </w:r>
        <w:r w:rsidRPr="003E0C70">
          <w:rPr>
            <w:rFonts w:ascii="Arial" w:hAnsi="Arial" w:cs="Arial"/>
            <w:noProof/>
            <w:webHidden/>
            <w:sz w:val="19"/>
            <w:szCs w:val="19"/>
          </w:rPr>
          <w:fldChar w:fldCharType="begin"/>
        </w:r>
        <w:r w:rsidRPr="003E0C70">
          <w:rPr>
            <w:rFonts w:ascii="Arial" w:hAnsi="Arial" w:cs="Arial"/>
            <w:noProof/>
            <w:webHidden/>
            <w:sz w:val="19"/>
            <w:szCs w:val="19"/>
          </w:rPr>
          <w:instrText xml:space="preserve"> PAGEREF _Toc52869817 \h </w:instrText>
        </w:r>
        <w:r w:rsidRPr="003E0C70">
          <w:rPr>
            <w:rFonts w:ascii="Arial" w:hAnsi="Arial" w:cs="Arial"/>
            <w:noProof/>
            <w:webHidden/>
            <w:sz w:val="19"/>
            <w:szCs w:val="19"/>
          </w:rPr>
        </w:r>
        <w:r w:rsidRPr="003E0C70">
          <w:rPr>
            <w:rFonts w:ascii="Arial" w:hAnsi="Arial" w:cs="Arial"/>
            <w:noProof/>
            <w:webHidden/>
            <w:sz w:val="19"/>
            <w:szCs w:val="19"/>
          </w:rPr>
          <w:fldChar w:fldCharType="separate"/>
        </w:r>
        <w:r w:rsidR="009E27E4">
          <w:rPr>
            <w:rFonts w:ascii="Arial" w:hAnsi="Arial" w:cs="Arial"/>
            <w:noProof/>
            <w:webHidden/>
            <w:sz w:val="19"/>
            <w:szCs w:val="19"/>
          </w:rPr>
          <w:t>v</w:t>
        </w:r>
        <w:r w:rsidRPr="003E0C70">
          <w:rPr>
            <w:rFonts w:ascii="Arial" w:hAnsi="Arial" w:cs="Arial"/>
            <w:noProof/>
            <w:webHidden/>
            <w:sz w:val="19"/>
            <w:szCs w:val="19"/>
          </w:rPr>
          <w:fldChar w:fldCharType="end"/>
        </w:r>
      </w:hyperlink>
    </w:p>
    <w:p w14:paraId="4D82E516" w14:textId="7F5A82BB" w:rsidR="003E0C70" w:rsidRPr="003E0C70" w:rsidRDefault="003E0C70" w:rsidP="003E0C70">
      <w:pPr>
        <w:pStyle w:val="TM1"/>
        <w:tabs>
          <w:tab w:val="right" w:leader="dot" w:pos="9345"/>
        </w:tabs>
        <w:spacing w:before="60" w:after="0" w:line="240" w:lineRule="auto"/>
        <w:rPr>
          <w:rFonts w:ascii="Arial" w:eastAsiaTheme="minorEastAsia" w:hAnsi="Arial" w:cs="Arial"/>
          <w:b w:val="0"/>
          <w:bCs w:val="0"/>
          <w:caps w:val="0"/>
          <w:noProof/>
          <w:color w:val="auto"/>
          <w:sz w:val="19"/>
          <w:szCs w:val="19"/>
          <w:lang w:eastAsia="fr-FR"/>
        </w:rPr>
      </w:pPr>
      <w:hyperlink w:anchor="_Toc52869818" w:history="1">
        <w:r w:rsidRPr="003E0C70">
          <w:rPr>
            <w:rStyle w:val="Lienhypertexte"/>
            <w:rFonts w:ascii="Arial" w:hAnsi="Arial" w:cs="Arial"/>
            <w:noProof/>
            <w:sz w:val="19"/>
            <w:szCs w:val="19"/>
          </w:rPr>
          <w:t>SIGLES ET ABBREVIATIONS</w:t>
        </w:r>
        <w:r w:rsidRPr="003E0C70">
          <w:rPr>
            <w:rFonts w:ascii="Arial" w:hAnsi="Arial" w:cs="Arial"/>
            <w:noProof/>
            <w:webHidden/>
            <w:sz w:val="19"/>
            <w:szCs w:val="19"/>
          </w:rPr>
          <w:tab/>
        </w:r>
        <w:r w:rsidRPr="003E0C70">
          <w:rPr>
            <w:rFonts w:ascii="Arial" w:hAnsi="Arial" w:cs="Arial"/>
            <w:noProof/>
            <w:webHidden/>
            <w:sz w:val="19"/>
            <w:szCs w:val="19"/>
          </w:rPr>
          <w:fldChar w:fldCharType="begin"/>
        </w:r>
        <w:r w:rsidRPr="003E0C70">
          <w:rPr>
            <w:rFonts w:ascii="Arial" w:hAnsi="Arial" w:cs="Arial"/>
            <w:noProof/>
            <w:webHidden/>
            <w:sz w:val="19"/>
            <w:szCs w:val="19"/>
          </w:rPr>
          <w:instrText xml:space="preserve"> PAGEREF _Toc52869818 \h </w:instrText>
        </w:r>
        <w:r w:rsidRPr="003E0C70">
          <w:rPr>
            <w:rFonts w:ascii="Arial" w:hAnsi="Arial" w:cs="Arial"/>
            <w:noProof/>
            <w:webHidden/>
            <w:sz w:val="19"/>
            <w:szCs w:val="19"/>
          </w:rPr>
        </w:r>
        <w:r w:rsidRPr="003E0C70">
          <w:rPr>
            <w:rFonts w:ascii="Arial" w:hAnsi="Arial" w:cs="Arial"/>
            <w:noProof/>
            <w:webHidden/>
            <w:sz w:val="19"/>
            <w:szCs w:val="19"/>
          </w:rPr>
          <w:fldChar w:fldCharType="separate"/>
        </w:r>
        <w:r w:rsidR="009E27E4">
          <w:rPr>
            <w:rFonts w:ascii="Arial" w:hAnsi="Arial" w:cs="Arial"/>
            <w:noProof/>
            <w:webHidden/>
            <w:sz w:val="19"/>
            <w:szCs w:val="19"/>
          </w:rPr>
          <w:t>vi</w:t>
        </w:r>
        <w:r w:rsidRPr="003E0C70">
          <w:rPr>
            <w:rFonts w:ascii="Arial" w:hAnsi="Arial" w:cs="Arial"/>
            <w:noProof/>
            <w:webHidden/>
            <w:sz w:val="19"/>
            <w:szCs w:val="19"/>
          </w:rPr>
          <w:fldChar w:fldCharType="end"/>
        </w:r>
      </w:hyperlink>
    </w:p>
    <w:p w14:paraId="319B5183" w14:textId="5CDEDC5C" w:rsidR="003E0C70" w:rsidRPr="003E0C70" w:rsidRDefault="003E0C70" w:rsidP="003E0C70">
      <w:pPr>
        <w:pStyle w:val="TM1"/>
        <w:tabs>
          <w:tab w:val="right" w:leader="dot" w:pos="9345"/>
        </w:tabs>
        <w:spacing w:before="60" w:after="0" w:line="240" w:lineRule="auto"/>
        <w:rPr>
          <w:rFonts w:ascii="Arial" w:eastAsiaTheme="minorEastAsia" w:hAnsi="Arial" w:cs="Arial"/>
          <w:b w:val="0"/>
          <w:bCs w:val="0"/>
          <w:caps w:val="0"/>
          <w:noProof/>
          <w:color w:val="auto"/>
          <w:sz w:val="19"/>
          <w:szCs w:val="19"/>
          <w:lang w:eastAsia="fr-FR"/>
        </w:rPr>
      </w:pPr>
      <w:hyperlink w:anchor="_Toc52869819" w:history="1">
        <w:r w:rsidRPr="003E0C70">
          <w:rPr>
            <w:rStyle w:val="Lienhypertexte"/>
            <w:rFonts w:ascii="Arial" w:hAnsi="Arial" w:cs="Arial"/>
            <w:noProof/>
            <w:sz w:val="19"/>
            <w:szCs w:val="19"/>
          </w:rPr>
          <w:t>RESUME non technique</w:t>
        </w:r>
        <w:r w:rsidRPr="003E0C70">
          <w:rPr>
            <w:rFonts w:ascii="Arial" w:hAnsi="Arial" w:cs="Arial"/>
            <w:noProof/>
            <w:webHidden/>
            <w:sz w:val="19"/>
            <w:szCs w:val="19"/>
          </w:rPr>
          <w:tab/>
        </w:r>
        <w:r w:rsidRPr="003E0C70">
          <w:rPr>
            <w:rFonts w:ascii="Arial" w:hAnsi="Arial" w:cs="Arial"/>
            <w:noProof/>
            <w:webHidden/>
            <w:sz w:val="19"/>
            <w:szCs w:val="19"/>
          </w:rPr>
          <w:fldChar w:fldCharType="begin"/>
        </w:r>
        <w:r w:rsidRPr="003E0C70">
          <w:rPr>
            <w:rFonts w:ascii="Arial" w:hAnsi="Arial" w:cs="Arial"/>
            <w:noProof/>
            <w:webHidden/>
            <w:sz w:val="19"/>
            <w:szCs w:val="19"/>
          </w:rPr>
          <w:instrText xml:space="preserve"> PAGEREF _Toc52869819 \h </w:instrText>
        </w:r>
        <w:r w:rsidRPr="003E0C70">
          <w:rPr>
            <w:rFonts w:ascii="Arial" w:hAnsi="Arial" w:cs="Arial"/>
            <w:noProof/>
            <w:webHidden/>
            <w:sz w:val="19"/>
            <w:szCs w:val="19"/>
          </w:rPr>
        </w:r>
        <w:r w:rsidRPr="003E0C70">
          <w:rPr>
            <w:rFonts w:ascii="Arial" w:hAnsi="Arial" w:cs="Arial"/>
            <w:noProof/>
            <w:webHidden/>
            <w:sz w:val="19"/>
            <w:szCs w:val="19"/>
          </w:rPr>
          <w:fldChar w:fldCharType="separate"/>
        </w:r>
        <w:r w:rsidR="009E27E4">
          <w:rPr>
            <w:rFonts w:ascii="Arial" w:hAnsi="Arial" w:cs="Arial"/>
            <w:noProof/>
            <w:webHidden/>
            <w:sz w:val="19"/>
            <w:szCs w:val="19"/>
          </w:rPr>
          <w:t>viii</w:t>
        </w:r>
        <w:r w:rsidRPr="003E0C70">
          <w:rPr>
            <w:rFonts w:ascii="Arial" w:hAnsi="Arial" w:cs="Arial"/>
            <w:noProof/>
            <w:webHidden/>
            <w:sz w:val="19"/>
            <w:szCs w:val="19"/>
          </w:rPr>
          <w:fldChar w:fldCharType="end"/>
        </w:r>
      </w:hyperlink>
    </w:p>
    <w:p w14:paraId="6B495CCF" w14:textId="7FAA6B84" w:rsidR="003E0C70" w:rsidRPr="003E0C70" w:rsidRDefault="003E0C70" w:rsidP="003E0C70">
      <w:pPr>
        <w:pStyle w:val="TM1"/>
        <w:tabs>
          <w:tab w:val="left" w:pos="440"/>
          <w:tab w:val="right" w:leader="dot" w:pos="9345"/>
        </w:tabs>
        <w:spacing w:before="60" w:after="0" w:line="240" w:lineRule="auto"/>
        <w:rPr>
          <w:rFonts w:ascii="Arial" w:eastAsiaTheme="minorEastAsia" w:hAnsi="Arial" w:cs="Arial"/>
          <w:b w:val="0"/>
          <w:bCs w:val="0"/>
          <w:caps w:val="0"/>
          <w:noProof/>
          <w:color w:val="auto"/>
          <w:sz w:val="19"/>
          <w:szCs w:val="19"/>
          <w:lang w:eastAsia="fr-FR"/>
        </w:rPr>
      </w:pPr>
      <w:hyperlink w:anchor="_Toc52869827" w:history="1">
        <w:r w:rsidRPr="003E0C70">
          <w:rPr>
            <w:rStyle w:val="Lienhypertexte"/>
            <w:rFonts w:ascii="Arial" w:hAnsi="Arial" w:cs="Arial"/>
            <w:noProof/>
            <w:sz w:val="19"/>
            <w:szCs w:val="19"/>
          </w:rPr>
          <w:t>I.</w:t>
        </w:r>
        <w:r w:rsidRPr="003E0C70">
          <w:rPr>
            <w:rFonts w:ascii="Arial" w:eastAsiaTheme="minorEastAsia" w:hAnsi="Arial" w:cs="Arial"/>
            <w:b w:val="0"/>
            <w:bCs w:val="0"/>
            <w:caps w:val="0"/>
            <w:noProof/>
            <w:color w:val="auto"/>
            <w:sz w:val="19"/>
            <w:szCs w:val="19"/>
            <w:lang w:eastAsia="fr-FR"/>
          </w:rPr>
          <w:tab/>
        </w:r>
        <w:r w:rsidRPr="003E0C70">
          <w:rPr>
            <w:rStyle w:val="Lienhypertexte"/>
            <w:rFonts w:ascii="Arial" w:hAnsi="Arial" w:cs="Arial"/>
            <w:noProof/>
            <w:sz w:val="19"/>
            <w:szCs w:val="19"/>
          </w:rPr>
          <w:t>INTRODUCTION</w:t>
        </w:r>
        <w:r w:rsidRPr="003E0C70">
          <w:rPr>
            <w:rFonts w:ascii="Arial" w:hAnsi="Arial" w:cs="Arial"/>
            <w:noProof/>
            <w:webHidden/>
            <w:sz w:val="19"/>
            <w:szCs w:val="19"/>
          </w:rPr>
          <w:tab/>
        </w:r>
        <w:r w:rsidRPr="003E0C70">
          <w:rPr>
            <w:rFonts w:ascii="Arial" w:hAnsi="Arial" w:cs="Arial"/>
            <w:noProof/>
            <w:webHidden/>
            <w:sz w:val="19"/>
            <w:szCs w:val="19"/>
          </w:rPr>
          <w:fldChar w:fldCharType="begin"/>
        </w:r>
        <w:r w:rsidRPr="003E0C70">
          <w:rPr>
            <w:rFonts w:ascii="Arial" w:hAnsi="Arial" w:cs="Arial"/>
            <w:noProof/>
            <w:webHidden/>
            <w:sz w:val="19"/>
            <w:szCs w:val="19"/>
          </w:rPr>
          <w:instrText xml:space="preserve"> PAGEREF _Toc52869827 \h </w:instrText>
        </w:r>
        <w:r w:rsidRPr="003E0C70">
          <w:rPr>
            <w:rFonts w:ascii="Arial" w:hAnsi="Arial" w:cs="Arial"/>
            <w:noProof/>
            <w:webHidden/>
            <w:sz w:val="19"/>
            <w:szCs w:val="19"/>
          </w:rPr>
        </w:r>
        <w:r w:rsidRPr="003E0C70">
          <w:rPr>
            <w:rFonts w:ascii="Arial" w:hAnsi="Arial" w:cs="Arial"/>
            <w:noProof/>
            <w:webHidden/>
            <w:sz w:val="19"/>
            <w:szCs w:val="19"/>
          </w:rPr>
          <w:fldChar w:fldCharType="separate"/>
        </w:r>
        <w:r w:rsidR="009E27E4">
          <w:rPr>
            <w:rFonts w:ascii="Arial" w:hAnsi="Arial" w:cs="Arial"/>
            <w:noProof/>
            <w:webHidden/>
            <w:sz w:val="19"/>
            <w:szCs w:val="19"/>
          </w:rPr>
          <w:t>1</w:t>
        </w:r>
        <w:r w:rsidRPr="003E0C70">
          <w:rPr>
            <w:rFonts w:ascii="Arial" w:hAnsi="Arial" w:cs="Arial"/>
            <w:noProof/>
            <w:webHidden/>
            <w:sz w:val="19"/>
            <w:szCs w:val="19"/>
          </w:rPr>
          <w:fldChar w:fldCharType="end"/>
        </w:r>
      </w:hyperlink>
    </w:p>
    <w:p w14:paraId="787A5CCB" w14:textId="36FCB554" w:rsidR="003E0C70" w:rsidRPr="003E0C70" w:rsidRDefault="003E0C70" w:rsidP="003E0C70">
      <w:pPr>
        <w:pStyle w:val="TM2"/>
        <w:rPr>
          <w:rFonts w:eastAsiaTheme="minorEastAsia"/>
          <w:b w:val="0"/>
          <w:i w:val="0"/>
          <w:caps w:val="0"/>
          <w:color w:val="auto"/>
          <w:sz w:val="19"/>
          <w:szCs w:val="19"/>
        </w:rPr>
      </w:pPr>
      <w:hyperlink w:anchor="_Toc52869828" w:history="1">
        <w:r w:rsidRPr="003E0C70">
          <w:rPr>
            <w:rStyle w:val="Lienhypertexte"/>
            <w:rFonts w:eastAsiaTheme="majorEastAsia"/>
            <w:sz w:val="19"/>
            <w:szCs w:val="19"/>
          </w:rPr>
          <w:t>1.1. Contexte général</w:t>
        </w:r>
        <w:r w:rsidRPr="003E0C70">
          <w:rPr>
            <w:webHidden/>
            <w:sz w:val="19"/>
            <w:szCs w:val="19"/>
          </w:rPr>
          <w:tab/>
        </w:r>
        <w:r w:rsidRPr="003E0C70">
          <w:rPr>
            <w:webHidden/>
            <w:sz w:val="19"/>
            <w:szCs w:val="19"/>
          </w:rPr>
          <w:fldChar w:fldCharType="begin"/>
        </w:r>
        <w:r w:rsidRPr="003E0C70">
          <w:rPr>
            <w:webHidden/>
            <w:sz w:val="19"/>
            <w:szCs w:val="19"/>
          </w:rPr>
          <w:instrText xml:space="preserve"> PAGEREF _Toc52869828 \h </w:instrText>
        </w:r>
        <w:r w:rsidRPr="003E0C70">
          <w:rPr>
            <w:webHidden/>
            <w:sz w:val="19"/>
            <w:szCs w:val="19"/>
          </w:rPr>
        </w:r>
        <w:r w:rsidRPr="003E0C70">
          <w:rPr>
            <w:webHidden/>
            <w:sz w:val="19"/>
            <w:szCs w:val="19"/>
          </w:rPr>
          <w:fldChar w:fldCharType="separate"/>
        </w:r>
        <w:r w:rsidR="009E27E4">
          <w:rPr>
            <w:webHidden/>
            <w:sz w:val="19"/>
            <w:szCs w:val="19"/>
          </w:rPr>
          <w:t>1</w:t>
        </w:r>
        <w:r w:rsidRPr="003E0C70">
          <w:rPr>
            <w:webHidden/>
            <w:sz w:val="19"/>
            <w:szCs w:val="19"/>
          </w:rPr>
          <w:fldChar w:fldCharType="end"/>
        </w:r>
      </w:hyperlink>
    </w:p>
    <w:p w14:paraId="0946D1A8" w14:textId="0453929A" w:rsidR="003E0C70" w:rsidRPr="003E0C70" w:rsidRDefault="003E0C70" w:rsidP="003E0C70">
      <w:pPr>
        <w:pStyle w:val="TM2"/>
        <w:rPr>
          <w:rFonts w:eastAsiaTheme="minorEastAsia"/>
          <w:b w:val="0"/>
          <w:i w:val="0"/>
          <w:caps w:val="0"/>
          <w:color w:val="auto"/>
          <w:sz w:val="19"/>
          <w:szCs w:val="19"/>
        </w:rPr>
      </w:pPr>
      <w:hyperlink w:anchor="_Toc52869829" w:history="1">
        <w:r w:rsidRPr="003E0C70">
          <w:rPr>
            <w:rStyle w:val="Lienhypertexte"/>
            <w:rFonts w:eastAsiaTheme="majorEastAsia"/>
            <w:sz w:val="19"/>
            <w:szCs w:val="19"/>
          </w:rPr>
          <w:t>1.2. Portée de l’étude d’impact environnemental et social</w:t>
        </w:r>
        <w:r w:rsidRPr="003E0C70">
          <w:rPr>
            <w:webHidden/>
            <w:sz w:val="19"/>
            <w:szCs w:val="19"/>
          </w:rPr>
          <w:tab/>
        </w:r>
        <w:r w:rsidRPr="003E0C70">
          <w:rPr>
            <w:webHidden/>
            <w:sz w:val="19"/>
            <w:szCs w:val="19"/>
          </w:rPr>
          <w:fldChar w:fldCharType="begin"/>
        </w:r>
        <w:r w:rsidRPr="003E0C70">
          <w:rPr>
            <w:webHidden/>
            <w:sz w:val="19"/>
            <w:szCs w:val="19"/>
          </w:rPr>
          <w:instrText xml:space="preserve"> PAGEREF _Toc52869829 \h </w:instrText>
        </w:r>
        <w:r w:rsidRPr="003E0C70">
          <w:rPr>
            <w:webHidden/>
            <w:sz w:val="19"/>
            <w:szCs w:val="19"/>
          </w:rPr>
        </w:r>
        <w:r w:rsidRPr="003E0C70">
          <w:rPr>
            <w:webHidden/>
            <w:sz w:val="19"/>
            <w:szCs w:val="19"/>
          </w:rPr>
          <w:fldChar w:fldCharType="separate"/>
        </w:r>
        <w:r w:rsidR="009E27E4">
          <w:rPr>
            <w:webHidden/>
            <w:sz w:val="19"/>
            <w:szCs w:val="19"/>
          </w:rPr>
          <w:t>8</w:t>
        </w:r>
        <w:r w:rsidRPr="003E0C70">
          <w:rPr>
            <w:webHidden/>
            <w:sz w:val="19"/>
            <w:szCs w:val="19"/>
          </w:rPr>
          <w:fldChar w:fldCharType="end"/>
        </w:r>
      </w:hyperlink>
    </w:p>
    <w:p w14:paraId="7CE5E1E2" w14:textId="4F77F21A" w:rsidR="003E0C70" w:rsidRPr="003E0C70" w:rsidRDefault="003E0C70" w:rsidP="003E0C70">
      <w:pPr>
        <w:pStyle w:val="TM2"/>
        <w:rPr>
          <w:rFonts w:eastAsiaTheme="minorEastAsia"/>
          <w:b w:val="0"/>
          <w:i w:val="0"/>
          <w:caps w:val="0"/>
          <w:color w:val="auto"/>
          <w:sz w:val="19"/>
          <w:szCs w:val="19"/>
        </w:rPr>
      </w:pPr>
      <w:hyperlink w:anchor="_Toc52869830" w:history="1">
        <w:r w:rsidRPr="003E0C70">
          <w:rPr>
            <w:rStyle w:val="Lienhypertexte"/>
            <w:rFonts w:eastAsiaTheme="majorEastAsia"/>
            <w:sz w:val="19"/>
            <w:szCs w:val="19"/>
          </w:rPr>
          <w:t>1.3. Démarche méthodologique</w:t>
        </w:r>
        <w:r w:rsidRPr="003E0C70">
          <w:rPr>
            <w:webHidden/>
            <w:sz w:val="19"/>
            <w:szCs w:val="19"/>
          </w:rPr>
          <w:tab/>
        </w:r>
        <w:r w:rsidRPr="003E0C70">
          <w:rPr>
            <w:webHidden/>
            <w:sz w:val="19"/>
            <w:szCs w:val="19"/>
          </w:rPr>
          <w:fldChar w:fldCharType="begin"/>
        </w:r>
        <w:r w:rsidRPr="003E0C70">
          <w:rPr>
            <w:webHidden/>
            <w:sz w:val="19"/>
            <w:szCs w:val="19"/>
          </w:rPr>
          <w:instrText xml:space="preserve"> PAGEREF _Toc52869830 \h </w:instrText>
        </w:r>
        <w:r w:rsidRPr="003E0C70">
          <w:rPr>
            <w:webHidden/>
            <w:sz w:val="19"/>
            <w:szCs w:val="19"/>
          </w:rPr>
        </w:r>
        <w:r w:rsidRPr="003E0C70">
          <w:rPr>
            <w:webHidden/>
            <w:sz w:val="19"/>
            <w:szCs w:val="19"/>
          </w:rPr>
          <w:fldChar w:fldCharType="separate"/>
        </w:r>
        <w:r w:rsidR="009E27E4">
          <w:rPr>
            <w:webHidden/>
            <w:sz w:val="19"/>
            <w:szCs w:val="19"/>
          </w:rPr>
          <w:t>8</w:t>
        </w:r>
        <w:r w:rsidRPr="003E0C70">
          <w:rPr>
            <w:webHidden/>
            <w:sz w:val="19"/>
            <w:szCs w:val="19"/>
          </w:rPr>
          <w:fldChar w:fldCharType="end"/>
        </w:r>
      </w:hyperlink>
    </w:p>
    <w:p w14:paraId="1A17A2B9" w14:textId="6CC00E4D" w:rsidR="003E0C70" w:rsidRPr="003E0C70" w:rsidRDefault="003E0C70" w:rsidP="003E0C70">
      <w:pPr>
        <w:pStyle w:val="TM1"/>
        <w:tabs>
          <w:tab w:val="right" w:leader="dot" w:pos="9345"/>
        </w:tabs>
        <w:spacing w:before="60" w:after="0" w:line="240" w:lineRule="auto"/>
        <w:rPr>
          <w:rFonts w:ascii="Arial" w:eastAsiaTheme="minorEastAsia" w:hAnsi="Arial" w:cs="Arial"/>
          <w:b w:val="0"/>
          <w:bCs w:val="0"/>
          <w:caps w:val="0"/>
          <w:noProof/>
          <w:color w:val="auto"/>
          <w:sz w:val="19"/>
          <w:szCs w:val="19"/>
          <w:lang w:eastAsia="fr-FR"/>
        </w:rPr>
      </w:pPr>
      <w:hyperlink w:anchor="_Toc52869831" w:history="1">
        <w:r w:rsidRPr="003E0C70">
          <w:rPr>
            <w:rStyle w:val="Lienhypertexte"/>
            <w:rFonts w:ascii="Arial" w:hAnsi="Arial" w:cs="Arial"/>
            <w:noProof/>
            <w:sz w:val="19"/>
            <w:szCs w:val="19"/>
          </w:rPr>
          <w:t>2. ANALYSE DU CADRE POLITIQUE, JURIDIQUE ET INSTITUTIONNEL DU PROJET</w:t>
        </w:r>
        <w:r w:rsidRPr="003E0C70">
          <w:rPr>
            <w:rFonts w:ascii="Arial" w:hAnsi="Arial" w:cs="Arial"/>
            <w:noProof/>
            <w:webHidden/>
            <w:sz w:val="19"/>
            <w:szCs w:val="19"/>
          </w:rPr>
          <w:tab/>
        </w:r>
        <w:r w:rsidRPr="003E0C70">
          <w:rPr>
            <w:rFonts w:ascii="Arial" w:hAnsi="Arial" w:cs="Arial"/>
            <w:noProof/>
            <w:webHidden/>
            <w:sz w:val="19"/>
            <w:szCs w:val="19"/>
          </w:rPr>
          <w:fldChar w:fldCharType="begin"/>
        </w:r>
        <w:r w:rsidRPr="003E0C70">
          <w:rPr>
            <w:rFonts w:ascii="Arial" w:hAnsi="Arial" w:cs="Arial"/>
            <w:noProof/>
            <w:webHidden/>
            <w:sz w:val="19"/>
            <w:szCs w:val="19"/>
          </w:rPr>
          <w:instrText xml:space="preserve"> PAGEREF _Toc52869831 \h </w:instrText>
        </w:r>
        <w:r w:rsidRPr="003E0C70">
          <w:rPr>
            <w:rFonts w:ascii="Arial" w:hAnsi="Arial" w:cs="Arial"/>
            <w:noProof/>
            <w:webHidden/>
            <w:sz w:val="19"/>
            <w:szCs w:val="19"/>
          </w:rPr>
        </w:r>
        <w:r w:rsidRPr="003E0C70">
          <w:rPr>
            <w:rFonts w:ascii="Arial" w:hAnsi="Arial" w:cs="Arial"/>
            <w:noProof/>
            <w:webHidden/>
            <w:sz w:val="19"/>
            <w:szCs w:val="19"/>
          </w:rPr>
          <w:fldChar w:fldCharType="separate"/>
        </w:r>
        <w:r w:rsidR="009E27E4">
          <w:rPr>
            <w:rFonts w:ascii="Arial" w:hAnsi="Arial" w:cs="Arial"/>
            <w:noProof/>
            <w:webHidden/>
            <w:sz w:val="19"/>
            <w:szCs w:val="19"/>
          </w:rPr>
          <w:t>30</w:t>
        </w:r>
        <w:r w:rsidRPr="003E0C70">
          <w:rPr>
            <w:rFonts w:ascii="Arial" w:hAnsi="Arial" w:cs="Arial"/>
            <w:noProof/>
            <w:webHidden/>
            <w:sz w:val="19"/>
            <w:szCs w:val="19"/>
          </w:rPr>
          <w:fldChar w:fldCharType="end"/>
        </w:r>
      </w:hyperlink>
    </w:p>
    <w:p w14:paraId="17CA645B" w14:textId="36025706" w:rsidR="003E0C70" w:rsidRPr="003E0C70" w:rsidRDefault="003E0C70" w:rsidP="003E0C70">
      <w:pPr>
        <w:pStyle w:val="TM2"/>
        <w:rPr>
          <w:rFonts w:eastAsiaTheme="minorEastAsia"/>
          <w:b w:val="0"/>
          <w:i w:val="0"/>
          <w:caps w:val="0"/>
          <w:color w:val="auto"/>
          <w:sz w:val="19"/>
          <w:szCs w:val="19"/>
        </w:rPr>
      </w:pPr>
      <w:hyperlink w:anchor="_Toc52869832" w:history="1">
        <w:r w:rsidRPr="003E0C70">
          <w:rPr>
            <w:rStyle w:val="Lienhypertexte"/>
            <w:rFonts w:eastAsiaTheme="majorEastAsia"/>
            <w:sz w:val="19"/>
            <w:szCs w:val="19"/>
          </w:rPr>
          <w:t>2.1. Cadre politique</w:t>
        </w:r>
        <w:r w:rsidRPr="003E0C70">
          <w:rPr>
            <w:webHidden/>
            <w:sz w:val="19"/>
            <w:szCs w:val="19"/>
          </w:rPr>
          <w:tab/>
        </w:r>
        <w:r w:rsidRPr="003E0C70">
          <w:rPr>
            <w:webHidden/>
            <w:sz w:val="19"/>
            <w:szCs w:val="19"/>
          </w:rPr>
          <w:fldChar w:fldCharType="begin"/>
        </w:r>
        <w:r w:rsidRPr="003E0C70">
          <w:rPr>
            <w:webHidden/>
            <w:sz w:val="19"/>
            <w:szCs w:val="19"/>
          </w:rPr>
          <w:instrText xml:space="preserve"> PAGEREF _Toc52869832 \h </w:instrText>
        </w:r>
        <w:r w:rsidRPr="003E0C70">
          <w:rPr>
            <w:webHidden/>
            <w:sz w:val="19"/>
            <w:szCs w:val="19"/>
          </w:rPr>
        </w:r>
        <w:r w:rsidRPr="003E0C70">
          <w:rPr>
            <w:webHidden/>
            <w:sz w:val="19"/>
            <w:szCs w:val="19"/>
          </w:rPr>
          <w:fldChar w:fldCharType="separate"/>
        </w:r>
        <w:r w:rsidR="009E27E4">
          <w:rPr>
            <w:webHidden/>
            <w:sz w:val="19"/>
            <w:szCs w:val="19"/>
          </w:rPr>
          <w:t>30</w:t>
        </w:r>
        <w:r w:rsidRPr="003E0C70">
          <w:rPr>
            <w:webHidden/>
            <w:sz w:val="19"/>
            <w:szCs w:val="19"/>
          </w:rPr>
          <w:fldChar w:fldCharType="end"/>
        </w:r>
      </w:hyperlink>
    </w:p>
    <w:p w14:paraId="4A78C608" w14:textId="04DFBD85" w:rsidR="003E0C70" w:rsidRPr="003E0C70" w:rsidRDefault="003E0C70" w:rsidP="003E0C70">
      <w:pPr>
        <w:pStyle w:val="TM2"/>
        <w:rPr>
          <w:rFonts w:eastAsiaTheme="minorEastAsia"/>
          <w:b w:val="0"/>
          <w:i w:val="0"/>
          <w:caps w:val="0"/>
          <w:color w:val="auto"/>
          <w:sz w:val="19"/>
          <w:szCs w:val="19"/>
        </w:rPr>
      </w:pPr>
      <w:hyperlink w:anchor="_Toc52869833" w:history="1">
        <w:r w:rsidRPr="003E0C70">
          <w:rPr>
            <w:rStyle w:val="Lienhypertexte"/>
            <w:rFonts w:eastAsiaTheme="majorEastAsia"/>
            <w:sz w:val="19"/>
            <w:szCs w:val="19"/>
          </w:rPr>
          <w:t>2.2. CADRE JURIDIQUE DU PROJET</w:t>
        </w:r>
        <w:r w:rsidRPr="003E0C70">
          <w:rPr>
            <w:webHidden/>
            <w:sz w:val="19"/>
            <w:szCs w:val="19"/>
          </w:rPr>
          <w:tab/>
        </w:r>
        <w:r w:rsidRPr="003E0C70">
          <w:rPr>
            <w:webHidden/>
            <w:sz w:val="19"/>
            <w:szCs w:val="19"/>
          </w:rPr>
          <w:fldChar w:fldCharType="begin"/>
        </w:r>
        <w:r w:rsidRPr="003E0C70">
          <w:rPr>
            <w:webHidden/>
            <w:sz w:val="19"/>
            <w:szCs w:val="19"/>
          </w:rPr>
          <w:instrText xml:space="preserve"> PAGEREF _Toc52869833 \h </w:instrText>
        </w:r>
        <w:r w:rsidRPr="003E0C70">
          <w:rPr>
            <w:webHidden/>
            <w:sz w:val="19"/>
            <w:szCs w:val="19"/>
          </w:rPr>
        </w:r>
        <w:r w:rsidRPr="003E0C70">
          <w:rPr>
            <w:webHidden/>
            <w:sz w:val="19"/>
            <w:szCs w:val="19"/>
          </w:rPr>
          <w:fldChar w:fldCharType="separate"/>
        </w:r>
        <w:r w:rsidR="009E27E4">
          <w:rPr>
            <w:webHidden/>
            <w:sz w:val="19"/>
            <w:szCs w:val="19"/>
          </w:rPr>
          <w:t>30</w:t>
        </w:r>
        <w:r w:rsidRPr="003E0C70">
          <w:rPr>
            <w:webHidden/>
            <w:sz w:val="19"/>
            <w:szCs w:val="19"/>
          </w:rPr>
          <w:fldChar w:fldCharType="end"/>
        </w:r>
      </w:hyperlink>
    </w:p>
    <w:p w14:paraId="16520BFB" w14:textId="505A1F5C" w:rsidR="003E0C70" w:rsidRPr="003E0C70" w:rsidRDefault="003E0C70" w:rsidP="003E0C70">
      <w:pPr>
        <w:pStyle w:val="TM1"/>
        <w:tabs>
          <w:tab w:val="right" w:leader="dot" w:pos="9345"/>
        </w:tabs>
        <w:spacing w:before="60" w:after="0" w:line="240" w:lineRule="auto"/>
        <w:rPr>
          <w:rFonts w:ascii="Arial" w:eastAsiaTheme="minorEastAsia" w:hAnsi="Arial" w:cs="Arial"/>
          <w:b w:val="0"/>
          <w:bCs w:val="0"/>
          <w:caps w:val="0"/>
          <w:noProof/>
          <w:color w:val="auto"/>
          <w:sz w:val="19"/>
          <w:szCs w:val="19"/>
          <w:lang w:eastAsia="fr-FR"/>
        </w:rPr>
      </w:pPr>
      <w:hyperlink w:anchor="_Toc52869834" w:history="1">
        <w:r w:rsidRPr="003E0C70">
          <w:rPr>
            <w:rStyle w:val="Lienhypertexte"/>
            <w:rFonts w:ascii="Arial" w:hAnsi="Arial" w:cs="Arial"/>
            <w:noProof/>
            <w:sz w:val="19"/>
            <w:szCs w:val="19"/>
          </w:rPr>
          <w:t>3. DESCRIPTION DU MILIEU RECEPTEUR des interventions du projeT</w:t>
        </w:r>
        <w:r w:rsidRPr="003E0C70">
          <w:rPr>
            <w:rFonts w:ascii="Arial" w:hAnsi="Arial" w:cs="Arial"/>
            <w:noProof/>
            <w:webHidden/>
            <w:sz w:val="19"/>
            <w:szCs w:val="19"/>
          </w:rPr>
          <w:tab/>
        </w:r>
        <w:r w:rsidRPr="003E0C70">
          <w:rPr>
            <w:rFonts w:ascii="Arial" w:hAnsi="Arial" w:cs="Arial"/>
            <w:noProof/>
            <w:webHidden/>
            <w:sz w:val="19"/>
            <w:szCs w:val="19"/>
          </w:rPr>
          <w:fldChar w:fldCharType="begin"/>
        </w:r>
        <w:r w:rsidRPr="003E0C70">
          <w:rPr>
            <w:rFonts w:ascii="Arial" w:hAnsi="Arial" w:cs="Arial"/>
            <w:noProof/>
            <w:webHidden/>
            <w:sz w:val="19"/>
            <w:szCs w:val="19"/>
          </w:rPr>
          <w:instrText xml:space="preserve"> PAGEREF _Toc52869834 \h </w:instrText>
        </w:r>
        <w:r w:rsidRPr="003E0C70">
          <w:rPr>
            <w:rFonts w:ascii="Arial" w:hAnsi="Arial" w:cs="Arial"/>
            <w:noProof/>
            <w:webHidden/>
            <w:sz w:val="19"/>
            <w:szCs w:val="19"/>
          </w:rPr>
        </w:r>
        <w:r w:rsidRPr="003E0C70">
          <w:rPr>
            <w:rFonts w:ascii="Arial" w:hAnsi="Arial" w:cs="Arial"/>
            <w:noProof/>
            <w:webHidden/>
            <w:sz w:val="19"/>
            <w:szCs w:val="19"/>
          </w:rPr>
          <w:fldChar w:fldCharType="separate"/>
        </w:r>
        <w:r w:rsidR="009E27E4">
          <w:rPr>
            <w:rFonts w:ascii="Arial" w:hAnsi="Arial" w:cs="Arial"/>
            <w:noProof/>
            <w:webHidden/>
            <w:sz w:val="19"/>
            <w:szCs w:val="19"/>
          </w:rPr>
          <w:t>48</w:t>
        </w:r>
        <w:r w:rsidRPr="003E0C70">
          <w:rPr>
            <w:rFonts w:ascii="Arial" w:hAnsi="Arial" w:cs="Arial"/>
            <w:noProof/>
            <w:webHidden/>
            <w:sz w:val="19"/>
            <w:szCs w:val="19"/>
          </w:rPr>
          <w:fldChar w:fldCharType="end"/>
        </w:r>
      </w:hyperlink>
    </w:p>
    <w:p w14:paraId="64A26550" w14:textId="2B9AE77C" w:rsidR="003E0C70" w:rsidRPr="003E0C70" w:rsidRDefault="003E0C70" w:rsidP="003E0C70">
      <w:pPr>
        <w:pStyle w:val="TM2"/>
        <w:rPr>
          <w:rFonts w:eastAsiaTheme="minorEastAsia"/>
          <w:b w:val="0"/>
          <w:i w:val="0"/>
          <w:caps w:val="0"/>
          <w:color w:val="auto"/>
          <w:sz w:val="19"/>
          <w:szCs w:val="19"/>
        </w:rPr>
      </w:pPr>
      <w:hyperlink w:anchor="_Toc52869835" w:history="1">
        <w:r w:rsidRPr="003E0C70">
          <w:rPr>
            <w:rStyle w:val="Lienhypertexte"/>
            <w:sz w:val="19"/>
            <w:szCs w:val="19"/>
          </w:rPr>
          <w:t>3.1 Généralités sur la zone d’étude</w:t>
        </w:r>
        <w:r w:rsidRPr="003E0C70">
          <w:rPr>
            <w:webHidden/>
            <w:sz w:val="19"/>
            <w:szCs w:val="19"/>
          </w:rPr>
          <w:tab/>
        </w:r>
        <w:r w:rsidRPr="003E0C70">
          <w:rPr>
            <w:webHidden/>
            <w:sz w:val="19"/>
            <w:szCs w:val="19"/>
          </w:rPr>
          <w:fldChar w:fldCharType="begin"/>
        </w:r>
        <w:r w:rsidRPr="003E0C70">
          <w:rPr>
            <w:webHidden/>
            <w:sz w:val="19"/>
            <w:szCs w:val="19"/>
          </w:rPr>
          <w:instrText xml:space="preserve"> PAGEREF _Toc52869835 \h </w:instrText>
        </w:r>
        <w:r w:rsidRPr="003E0C70">
          <w:rPr>
            <w:webHidden/>
            <w:sz w:val="19"/>
            <w:szCs w:val="19"/>
          </w:rPr>
        </w:r>
        <w:r w:rsidRPr="003E0C70">
          <w:rPr>
            <w:webHidden/>
            <w:sz w:val="19"/>
            <w:szCs w:val="19"/>
          </w:rPr>
          <w:fldChar w:fldCharType="separate"/>
        </w:r>
        <w:r w:rsidR="009E27E4">
          <w:rPr>
            <w:webHidden/>
            <w:sz w:val="19"/>
            <w:szCs w:val="19"/>
          </w:rPr>
          <w:t>48</w:t>
        </w:r>
        <w:r w:rsidRPr="003E0C70">
          <w:rPr>
            <w:webHidden/>
            <w:sz w:val="19"/>
            <w:szCs w:val="19"/>
          </w:rPr>
          <w:fldChar w:fldCharType="end"/>
        </w:r>
      </w:hyperlink>
    </w:p>
    <w:p w14:paraId="451592B1" w14:textId="0E1BB90D" w:rsidR="003E0C70" w:rsidRPr="003E0C70" w:rsidRDefault="003E0C70" w:rsidP="003E0C70">
      <w:pPr>
        <w:pStyle w:val="TM2"/>
        <w:rPr>
          <w:rFonts w:eastAsiaTheme="minorEastAsia"/>
          <w:b w:val="0"/>
          <w:i w:val="0"/>
          <w:caps w:val="0"/>
          <w:color w:val="auto"/>
          <w:sz w:val="19"/>
          <w:szCs w:val="19"/>
        </w:rPr>
      </w:pPr>
      <w:hyperlink w:anchor="_Toc52869836" w:history="1">
        <w:r w:rsidRPr="003E0C70">
          <w:rPr>
            <w:rStyle w:val="Lienhypertexte"/>
            <w:rFonts w:eastAsiaTheme="majorEastAsia"/>
            <w:sz w:val="19"/>
            <w:szCs w:val="19"/>
          </w:rPr>
          <w:t>3.2 Description des milieux restreint des rues et collecteurs du Projet</w:t>
        </w:r>
        <w:r w:rsidRPr="003E0C70">
          <w:rPr>
            <w:webHidden/>
            <w:sz w:val="19"/>
            <w:szCs w:val="19"/>
          </w:rPr>
          <w:tab/>
        </w:r>
        <w:r w:rsidRPr="003E0C70">
          <w:rPr>
            <w:webHidden/>
            <w:sz w:val="19"/>
            <w:szCs w:val="19"/>
          </w:rPr>
          <w:fldChar w:fldCharType="begin"/>
        </w:r>
        <w:r w:rsidRPr="003E0C70">
          <w:rPr>
            <w:webHidden/>
            <w:sz w:val="19"/>
            <w:szCs w:val="19"/>
          </w:rPr>
          <w:instrText xml:space="preserve"> PAGEREF _Toc52869836 \h </w:instrText>
        </w:r>
        <w:r w:rsidRPr="003E0C70">
          <w:rPr>
            <w:webHidden/>
            <w:sz w:val="19"/>
            <w:szCs w:val="19"/>
          </w:rPr>
        </w:r>
        <w:r w:rsidRPr="003E0C70">
          <w:rPr>
            <w:webHidden/>
            <w:sz w:val="19"/>
            <w:szCs w:val="19"/>
          </w:rPr>
          <w:fldChar w:fldCharType="separate"/>
        </w:r>
        <w:r w:rsidR="009E27E4">
          <w:rPr>
            <w:webHidden/>
            <w:sz w:val="19"/>
            <w:szCs w:val="19"/>
          </w:rPr>
          <w:t>68</w:t>
        </w:r>
        <w:r w:rsidRPr="003E0C70">
          <w:rPr>
            <w:webHidden/>
            <w:sz w:val="19"/>
            <w:szCs w:val="19"/>
          </w:rPr>
          <w:fldChar w:fldCharType="end"/>
        </w:r>
      </w:hyperlink>
    </w:p>
    <w:p w14:paraId="67A967F7" w14:textId="2F1BFCEC" w:rsidR="003E0C70" w:rsidRPr="003E0C70" w:rsidRDefault="003E0C70" w:rsidP="003E0C70">
      <w:pPr>
        <w:pStyle w:val="TM1"/>
        <w:tabs>
          <w:tab w:val="right" w:leader="dot" w:pos="9345"/>
        </w:tabs>
        <w:spacing w:before="60" w:after="0" w:line="240" w:lineRule="auto"/>
        <w:rPr>
          <w:rFonts w:ascii="Arial" w:eastAsiaTheme="minorEastAsia" w:hAnsi="Arial" w:cs="Arial"/>
          <w:b w:val="0"/>
          <w:bCs w:val="0"/>
          <w:caps w:val="0"/>
          <w:noProof/>
          <w:color w:val="auto"/>
          <w:sz w:val="19"/>
          <w:szCs w:val="19"/>
          <w:lang w:eastAsia="fr-FR"/>
        </w:rPr>
      </w:pPr>
      <w:hyperlink w:anchor="_Toc52869837" w:history="1">
        <w:r w:rsidRPr="003E0C70">
          <w:rPr>
            <w:rStyle w:val="Lienhypertexte"/>
            <w:rFonts w:ascii="Arial" w:eastAsiaTheme="majorEastAsia" w:hAnsi="Arial" w:cs="Arial"/>
            <w:noProof/>
            <w:sz w:val="19"/>
            <w:szCs w:val="19"/>
          </w:rPr>
          <w:t>4. CONSULTATIONS PUBLIQUES</w:t>
        </w:r>
        <w:r w:rsidRPr="003E0C70">
          <w:rPr>
            <w:rFonts w:ascii="Arial" w:hAnsi="Arial" w:cs="Arial"/>
            <w:noProof/>
            <w:webHidden/>
            <w:sz w:val="19"/>
            <w:szCs w:val="19"/>
          </w:rPr>
          <w:tab/>
        </w:r>
        <w:r w:rsidRPr="003E0C70">
          <w:rPr>
            <w:rFonts w:ascii="Arial" w:hAnsi="Arial" w:cs="Arial"/>
            <w:noProof/>
            <w:webHidden/>
            <w:sz w:val="19"/>
            <w:szCs w:val="19"/>
          </w:rPr>
          <w:fldChar w:fldCharType="begin"/>
        </w:r>
        <w:r w:rsidRPr="003E0C70">
          <w:rPr>
            <w:rFonts w:ascii="Arial" w:hAnsi="Arial" w:cs="Arial"/>
            <w:noProof/>
            <w:webHidden/>
            <w:sz w:val="19"/>
            <w:szCs w:val="19"/>
          </w:rPr>
          <w:instrText xml:space="preserve"> PAGEREF _Toc52869837 \h </w:instrText>
        </w:r>
        <w:r w:rsidRPr="003E0C70">
          <w:rPr>
            <w:rFonts w:ascii="Arial" w:hAnsi="Arial" w:cs="Arial"/>
            <w:noProof/>
            <w:webHidden/>
            <w:sz w:val="19"/>
            <w:szCs w:val="19"/>
          </w:rPr>
        </w:r>
        <w:r w:rsidRPr="003E0C70">
          <w:rPr>
            <w:rFonts w:ascii="Arial" w:hAnsi="Arial" w:cs="Arial"/>
            <w:noProof/>
            <w:webHidden/>
            <w:sz w:val="19"/>
            <w:szCs w:val="19"/>
          </w:rPr>
          <w:fldChar w:fldCharType="separate"/>
        </w:r>
        <w:r w:rsidR="009E27E4">
          <w:rPr>
            <w:rFonts w:ascii="Arial" w:hAnsi="Arial" w:cs="Arial"/>
            <w:noProof/>
            <w:webHidden/>
            <w:sz w:val="19"/>
            <w:szCs w:val="19"/>
          </w:rPr>
          <w:t>92</w:t>
        </w:r>
        <w:r w:rsidRPr="003E0C70">
          <w:rPr>
            <w:rFonts w:ascii="Arial" w:hAnsi="Arial" w:cs="Arial"/>
            <w:noProof/>
            <w:webHidden/>
            <w:sz w:val="19"/>
            <w:szCs w:val="19"/>
          </w:rPr>
          <w:fldChar w:fldCharType="end"/>
        </w:r>
      </w:hyperlink>
    </w:p>
    <w:p w14:paraId="69065C80" w14:textId="4E7C6893" w:rsidR="003E0C70" w:rsidRPr="003E0C70" w:rsidRDefault="003E0C70" w:rsidP="003E0C70">
      <w:pPr>
        <w:pStyle w:val="TM2"/>
        <w:rPr>
          <w:rFonts w:eastAsiaTheme="minorEastAsia"/>
          <w:b w:val="0"/>
          <w:i w:val="0"/>
          <w:caps w:val="0"/>
          <w:color w:val="auto"/>
          <w:sz w:val="19"/>
          <w:szCs w:val="19"/>
        </w:rPr>
      </w:pPr>
      <w:hyperlink w:anchor="_Toc52869838" w:history="1">
        <w:r w:rsidRPr="003E0C70">
          <w:rPr>
            <w:rStyle w:val="Lienhypertexte"/>
            <w:rFonts w:eastAsiaTheme="majorEastAsia"/>
            <w:sz w:val="19"/>
            <w:szCs w:val="19"/>
          </w:rPr>
          <w:t>4.1.  Perception des autorités communales, parties intéressées et des riverains</w:t>
        </w:r>
        <w:r w:rsidRPr="003E0C70">
          <w:rPr>
            <w:webHidden/>
            <w:sz w:val="19"/>
            <w:szCs w:val="19"/>
          </w:rPr>
          <w:tab/>
        </w:r>
        <w:r w:rsidRPr="003E0C70">
          <w:rPr>
            <w:webHidden/>
            <w:sz w:val="19"/>
            <w:szCs w:val="19"/>
          </w:rPr>
          <w:fldChar w:fldCharType="begin"/>
        </w:r>
        <w:r w:rsidRPr="003E0C70">
          <w:rPr>
            <w:webHidden/>
            <w:sz w:val="19"/>
            <w:szCs w:val="19"/>
          </w:rPr>
          <w:instrText xml:space="preserve"> PAGEREF _Toc52869838 \h </w:instrText>
        </w:r>
        <w:r w:rsidRPr="003E0C70">
          <w:rPr>
            <w:webHidden/>
            <w:sz w:val="19"/>
            <w:szCs w:val="19"/>
          </w:rPr>
        </w:r>
        <w:r w:rsidRPr="003E0C70">
          <w:rPr>
            <w:webHidden/>
            <w:sz w:val="19"/>
            <w:szCs w:val="19"/>
          </w:rPr>
          <w:fldChar w:fldCharType="separate"/>
        </w:r>
        <w:r w:rsidR="009E27E4">
          <w:rPr>
            <w:webHidden/>
            <w:sz w:val="19"/>
            <w:szCs w:val="19"/>
          </w:rPr>
          <w:t>92</w:t>
        </w:r>
        <w:r w:rsidRPr="003E0C70">
          <w:rPr>
            <w:webHidden/>
            <w:sz w:val="19"/>
            <w:szCs w:val="19"/>
          </w:rPr>
          <w:fldChar w:fldCharType="end"/>
        </w:r>
      </w:hyperlink>
    </w:p>
    <w:p w14:paraId="34177850" w14:textId="3339113C" w:rsidR="003E0C70" w:rsidRPr="003E0C70" w:rsidRDefault="003E0C70" w:rsidP="003E0C70">
      <w:pPr>
        <w:pStyle w:val="TM2"/>
        <w:rPr>
          <w:rFonts w:eastAsiaTheme="minorEastAsia"/>
          <w:b w:val="0"/>
          <w:i w:val="0"/>
          <w:caps w:val="0"/>
          <w:color w:val="auto"/>
          <w:sz w:val="19"/>
          <w:szCs w:val="19"/>
        </w:rPr>
      </w:pPr>
      <w:hyperlink w:anchor="_Toc52869839" w:history="1">
        <w:r w:rsidRPr="003E0C70">
          <w:rPr>
            <w:rStyle w:val="Lienhypertexte"/>
            <w:rFonts w:eastAsiaTheme="majorEastAsia"/>
            <w:sz w:val="19"/>
            <w:szCs w:val="19"/>
          </w:rPr>
          <w:t>4.2.  Position des groupes sociaux face au projet, à ses contraintes et conditions</w:t>
        </w:r>
        <w:r w:rsidRPr="003E0C70">
          <w:rPr>
            <w:webHidden/>
            <w:sz w:val="19"/>
            <w:szCs w:val="19"/>
          </w:rPr>
          <w:tab/>
        </w:r>
        <w:r w:rsidRPr="003E0C70">
          <w:rPr>
            <w:webHidden/>
            <w:sz w:val="19"/>
            <w:szCs w:val="19"/>
          </w:rPr>
          <w:fldChar w:fldCharType="begin"/>
        </w:r>
        <w:r w:rsidRPr="003E0C70">
          <w:rPr>
            <w:webHidden/>
            <w:sz w:val="19"/>
            <w:szCs w:val="19"/>
          </w:rPr>
          <w:instrText xml:space="preserve"> PAGEREF _Toc52869839 \h </w:instrText>
        </w:r>
        <w:r w:rsidRPr="003E0C70">
          <w:rPr>
            <w:webHidden/>
            <w:sz w:val="19"/>
            <w:szCs w:val="19"/>
          </w:rPr>
        </w:r>
        <w:r w:rsidRPr="003E0C70">
          <w:rPr>
            <w:webHidden/>
            <w:sz w:val="19"/>
            <w:szCs w:val="19"/>
          </w:rPr>
          <w:fldChar w:fldCharType="separate"/>
        </w:r>
        <w:r w:rsidR="009E27E4">
          <w:rPr>
            <w:webHidden/>
            <w:sz w:val="19"/>
            <w:szCs w:val="19"/>
          </w:rPr>
          <w:t>92</w:t>
        </w:r>
        <w:r w:rsidRPr="003E0C70">
          <w:rPr>
            <w:webHidden/>
            <w:sz w:val="19"/>
            <w:szCs w:val="19"/>
          </w:rPr>
          <w:fldChar w:fldCharType="end"/>
        </w:r>
      </w:hyperlink>
    </w:p>
    <w:p w14:paraId="036F586D" w14:textId="346020AB" w:rsidR="003E0C70" w:rsidRPr="003E0C70" w:rsidRDefault="003E0C70" w:rsidP="003E0C70">
      <w:pPr>
        <w:pStyle w:val="TM1"/>
        <w:tabs>
          <w:tab w:val="right" w:leader="dot" w:pos="9345"/>
        </w:tabs>
        <w:spacing w:before="60" w:after="0" w:line="240" w:lineRule="auto"/>
        <w:rPr>
          <w:rFonts w:ascii="Arial" w:eastAsiaTheme="minorEastAsia" w:hAnsi="Arial" w:cs="Arial"/>
          <w:b w:val="0"/>
          <w:bCs w:val="0"/>
          <w:caps w:val="0"/>
          <w:noProof/>
          <w:color w:val="auto"/>
          <w:sz w:val="19"/>
          <w:szCs w:val="19"/>
          <w:lang w:eastAsia="fr-FR"/>
        </w:rPr>
      </w:pPr>
      <w:hyperlink w:anchor="_Toc52869840" w:history="1">
        <w:r w:rsidRPr="003E0C70">
          <w:rPr>
            <w:rStyle w:val="Lienhypertexte"/>
            <w:rFonts w:ascii="Arial" w:hAnsi="Arial" w:cs="Arial"/>
            <w:noProof/>
            <w:sz w:val="19"/>
            <w:szCs w:val="19"/>
          </w:rPr>
          <w:t>5. DESCRIPTION DU PROJET</w:t>
        </w:r>
        <w:r w:rsidRPr="003E0C70">
          <w:rPr>
            <w:rFonts w:ascii="Arial" w:hAnsi="Arial" w:cs="Arial"/>
            <w:noProof/>
            <w:webHidden/>
            <w:sz w:val="19"/>
            <w:szCs w:val="19"/>
          </w:rPr>
          <w:tab/>
        </w:r>
        <w:r w:rsidRPr="003E0C70">
          <w:rPr>
            <w:rFonts w:ascii="Arial" w:hAnsi="Arial" w:cs="Arial"/>
            <w:noProof/>
            <w:webHidden/>
            <w:sz w:val="19"/>
            <w:szCs w:val="19"/>
          </w:rPr>
          <w:fldChar w:fldCharType="begin"/>
        </w:r>
        <w:r w:rsidRPr="003E0C70">
          <w:rPr>
            <w:rFonts w:ascii="Arial" w:hAnsi="Arial" w:cs="Arial"/>
            <w:noProof/>
            <w:webHidden/>
            <w:sz w:val="19"/>
            <w:szCs w:val="19"/>
          </w:rPr>
          <w:instrText xml:space="preserve"> PAGEREF _Toc52869840 \h </w:instrText>
        </w:r>
        <w:r w:rsidRPr="003E0C70">
          <w:rPr>
            <w:rFonts w:ascii="Arial" w:hAnsi="Arial" w:cs="Arial"/>
            <w:noProof/>
            <w:webHidden/>
            <w:sz w:val="19"/>
            <w:szCs w:val="19"/>
          </w:rPr>
        </w:r>
        <w:r w:rsidRPr="003E0C70">
          <w:rPr>
            <w:rFonts w:ascii="Arial" w:hAnsi="Arial" w:cs="Arial"/>
            <w:noProof/>
            <w:webHidden/>
            <w:sz w:val="19"/>
            <w:szCs w:val="19"/>
          </w:rPr>
          <w:fldChar w:fldCharType="separate"/>
        </w:r>
        <w:r w:rsidR="009E27E4">
          <w:rPr>
            <w:rFonts w:ascii="Arial" w:hAnsi="Arial" w:cs="Arial"/>
            <w:noProof/>
            <w:webHidden/>
            <w:sz w:val="19"/>
            <w:szCs w:val="19"/>
          </w:rPr>
          <w:t>96</w:t>
        </w:r>
        <w:r w:rsidRPr="003E0C70">
          <w:rPr>
            <w:rFonts w:ascii="Arial" w:hAnsi="Arial" w:cs="Arial"/>
            <w:noProof/>
            <w:webHidden/>
            <w:sz w:val="19"/>
            <w:szCs w:val="19"/>
          </w:rPr>
          <w:fldChar w:fldCharType="end"/>
        </w:r>
      </w:hyperlink>
    </w:p>
    <w:p w14:paraId="61A00C63" w14:textId="2551C302" w:rsidR="003E0C70" w:rsidRPr="003E0C70" w:rsidRDefault="003E0C70" w:rsidP="003E0C70">
      <w:pPr>
        <w:pStyle w:val="TM2"/>
        <w:rPr>
          <w:rFonts w:eastAsiaTheme="minorEastAsia"/>
          <w:b w:val="0"/>
          <w:i w:val="0"/>
          <w:caps w:val="0"/>
          <w:color w:val="auto"/>
          <w:sz w:val="19"/>
          <w:szCs w:val="19"/>
        </w:rPr>
      </w:pPr>
      <w:hyperlink w:anchor="_Toc52869841" w:history="1">
        <w:r w:rsidRPr="003E0C70">
          <w:rPr>
            <w:rStyle w:val="Lienhypertexte"/>
            <w:rFonts w:eastAsiaTheme="majorEastAsia"/>
            <w:sz w:val="19"/>
            <w:szCs w:val="19"/>
          </w:rPr>
          <w:t>5.1. Titre du projet</w:t>
        </w:r>
        <w:r w:rsidRPr="003E0C70">
          <w:rPr>
            <w:webHidden/>
            <w:sz w:val="19"/>
            <w:szCs w:val="19"/>
          </w:rPr>
          <w:tab/>
        </w:r>
        <w:r w:rsidRPr="003E0C70">
          <w:rPr>
            <w:webHidden/>
            <w:sz w:val="19"/>
            <w:szCs w:val="19"/>
          </w:rPr>
          <w:fldChar w:fldCharType="begin"/>
        </w:r>
        <w:r w:rsidRPr="003E0C70">
          <w:rPr>
            <w:webHidden/>
            <w:sz w:val="19"/>
            <w:szCs w:val="19"/>
          </w:rPr>
          <w:instrText xml:space="preserve"> PAGEREF _Toc52869841 \h </w:instrText>
        </w:r>
        <w:r w:rsidRPr="003E0C70">
          <w:rPr>
            <w:webHidden/>
            <w:sz w:val="19"/>
            <w:szCs w:val="19"/>
          </w:rPr>
        </w:r>
        <w:r w:rsidRPr="003E0C70">
          <w:rPr>
            <w:webHidden/>
            <w:sz w:val="19"/>
            <w:szCs w:val="19"/>
          </w:rPr>
          <w:fldChar w:fldCharType="separate"/>
        </w:r>
        <w:r w:rsidR="009E27E4">
          <w:rPr>
            <w:webHidden/>
            <w:sz w:val="19"/>
            <w:szCs w:val="19"/>
          </w:rPr>
          <w:t>96</w:t>
        </w:r>
        <w:r w:rsidRPr="003E0C70">
          <w:rPr>
            <w:webHidden/>
            <w:sz w:val="19"/>
            <w:szCs w:val="19"/>
          </w:rPr>
          <w:fldChar w:fldCharType="end"/>
        </w:r>
      </w:hyperlink>
    </w:p>
    <w:p w14:paraId="5408140C" w14:textId="04B46F08" w:rsidR="003E0C70" w:rsidRPr="003E0C70" w:rsidRDefault="003E0C70" w:rsidP="003E0C70">
      <w:pPr>
        <w:pStyle w:val="TM2"/>
        <w:rPr>
          <w:rFonts w:eastAsiaTheme="minorEastAsia"/>
          <w:b w:val="0"/>
          <w:i w:val="0"/>
          <w:caps w:val="0"/>
          <w:color w:val="auto"/>
          <w:sz w:val="19"/>
          <w:szCs w:val="19"/>
        </w:rPr>
      </w:pPr>
      <w:hyperlink w:anchor="_Toc52869842" w:history="1">
        <w:r w:rsidRPr="003E0C70">
          <w:rPr>
            <w:rStyle w:val="Lienhypertexte"/>
            <w:rFonts w:eastAsiaTheme="majorEastAsia"/>
            <w:sz w:val="19"/>
            <w:szCs w:val="19"/>
          </w:rPr>
          <w:t>5.2- Type de projet</w:t>
        </w:r>
        <w:r w:rsidRPr="003E0C70">
          <w:rPr>
            <w:webHidden/>
            <w:sz w:val="19"/>
            <w:szCs w:val="19"/>
          </w:rPr>
          <w:tab/>
        </w:r>
        <w:r w:rsidRPr="003E0C70">
          <w:rPr>
            <w:webHidden/>
            <w:sz w:val="19"/>
            <w:szCs w:val="19"/>
          </w:rPr>
          <w:fldChar w:fldCharType="begin"/>
        </w:r>
        <w:r w:rsidRPr="003E0C70">
          <w:rPr>
            <w:webHidden/>
            <w:sz w:val="19"/>
            <w:szCs w:val="19"/>
          </w:rPr>
          <w:instrText xml:space="preserve"> PAGEREF _Toc52869842 \h </w:instrText>
        </w:r>
        <w:r w:rsidRPr="003E0C70">
          <w:rPr>
            <w:webHidden/>
            <w:sz w:val="19"/>
            <w:szCs w:val="19"/>
          </w:rPr>
        </w:r>
        <w:r w:rsidRPr="003E0C70">
          <w:rPr>
            <w:webHidden/>
            <w:sz w:val="19"/>
            <w:szCs w:val="19"/>
          </w:rPr>
          <w:fldChar w:fldCharType="separate"/>
        </w:r>
        <w:r w:rsidR="009E27E4">
          <w:rPr>
            <w:webHidden/>
            <w:sz w:val="19"/>
            <w:szCs w:val="19"/>
          </w:rPr>
          <w:t>96</w:t>
        </w:r>
        <w:r w:rsidRPr="003E0C70">
          <w:rPr>
            <w:webHidden/>
            <w:sz w:val="19"/>
            <w:szCs w:val="19"/>
          </w:rPr>
          <w:fldChar w:fldCharType="end"/>
        </w:r>
      </w:hyperlink>
    </w:p>
    <w:p w14:paraId="54F5E148" w14:textId="3754BD00" w:rsidR="003E0C70" w:rsidRPr="003E0C70" w:rsidRDefault="003E0C70" w:rsidP="003E0C70">
      <w:pPr>
        <w:pStyle w:val="TM2"/>
        <w:rPr>
          <w:rFonts w:eastAsiaTheme="minorEastAsia"/>
          <w:b w:val="0"/>
          <w:i w:val="0"/>
          <w:caps w:val="0"/>
          <w:color w:val="auto"/>
          <w:sz w:val="19"/>
          <w:szCs w:val="19"/>
        </w:rPr>
      </w:pPr>
      <w:hyperlink w:anchor="_Toc52869843" w:history="1">
        <w:r w:rsidRPr="003E0C70">
          <w:rPr>
            <w:rStyle w:val="Lienhypertexte"/>
            <w:rFonts w:eastAsiaTheme="majorEastAsia"/>
            <w:sz w:val="19"/>
            <w:szCs w:val="19"/>
          </w:rPr>
          <w:t>5.3 contenu du projet</w:t>
        </w:r>
        <w:r w:rsidRPr="003E0C70">
          <w:rPr>
            <w:webHidden/>
            <w:sz w:val="19"/>
            <w:szCs w:val="19"/>
          </w:rPr>
          <w:tab/>
        </w:r>
        <w:r w:rsidRPr="003E0C70">
          <w:rPr>
            <w:webHidden/>
            <w:sz w:val="19"/>
            <w:szCs w:val="19"/>
          </w:rPr>
          <w:fldChar w:fldCharType="begin"/>
        </w:r>
        <w:r w:rsidRPr="003E0C70">
          <w:rPr>
            <w:webHidden/>
            <w:sz w:val="19"/>
            <w:szCs w:val="19"/>
          </w:rPr>
          <w:instrText xml:space="preserve"> PAGEREF _Toc52869843 \h </w:instrText>
        </w:r>
        <w:r w:rsidRPr="003E0C70">
          <w:rPr>
            <w:webHidden/>
            <w:sz w:val="19"/>
            <w:szCs w:val="19"/>
          </w:rPr>
        </w:r>
        <w:r w:rsidRPr="003E0C70">
          <w:rPr>
            <w:webHidden/>
            <w:sz w:val="19"/>
            <w:szCs w:val="19"/>
          </w:rPr>
          <w:fldChar w:fldCharType="separate"/>
        </w:r>
        <w:r w:rsidR="009E27E4">
          <w:rPr>
            <w:webHidden/>
            <w:sz w:val="19"/>
            <w:szCs w:val="19"/>
          </w:rPr>
          <w:t>96</w:t>
        </w:r>
        <w:r w:rsidRPr="003E0C70">
          <w:rPr>
            <w:webHidden/>
            <w:sz w:val="19"/>
            <w:szCs w:val="19"/>
          </w:rPr>
          <w:fldChar w:fldCharType="end"/>
        </w:r>
      </w:hyperlink>
    </w:p>
    <w:p w14:paraId="77D06796" w14:textId="58AC9FF8" w:rsidR="003E0C70" w:rsidRPr="003E0C70" w:rsidRDefault="003E0C70" w:rsidP="003E0C70">
      <w:pPr>
        <w:pStyle w:val="TM1"/>
        <w:tabs>
          <w:tab w:val="right" w:leader="dot" w:pos="9345"/>
        </w:tabs>
        <w:spacing w:before="60" w:after="0" w:line="240" w:lineRule="auto"/>
        <w:rPr>
          <w:rFonts w:ascii="Arial" w:eastAsiaTheme="minorEastAsia" w:hAnsi="Arial" w:cs="Arial"/>
          <w:b w:val="0"/>
          <w:bCs w:val="0"/>
          <w:caps w:val="0"/>
          <w:noProof/>
          <w:color w:val="auto"/>
          <w:sz w:val="19"/>
          <w:szCs w:val="19"/>
          <w:lang w:eastAsia="fr-FR"/>
        </w:rPr>
      </w:pPr>
      <w:hyperlink w:anchor="_Toc52869844" w:history="1">
        <w:r w:rsidRPr="003E0C70">
          <w:rPr>
            <w:rStyle w:val="Lienhypertexte"/>
            <w:rFonts w:ascii="Arial" w:eastAsiaTheme="majorEastAsia" w:hAnsi="Arial" w:cs="Arial"/>
            <w:noProof/>
            <w:sz w:val="19"/>
            <w:szCs w:val="19"/>
          </w:rPr>
          <w:t>6. ANALYSE DES choix et VARIANTES DU PROJET</w:t>
        </w:r>
        <w:r w:rsidRPr="003E0C70">
          <w:rPr>
            <w:rFonts w:ascii="Arial" w:hAnsi="Arial" w:cs="Arial"/>
            <w:noProof/>
            <w:webHidden/>
            <w:sz w:val="19"/>
            <w:szCs w:val="19"/>
          </w:rPr>
          <w:tab/>
        </w:r>
        <w:r w:rsidRPr="003E0C70">
          <w:rPr>
            <w:rFonts w:ascii="Arial" w:hAnsi="Arial" w:cs="Arial"/>
            <w:noProof/>
            <w:webHidden/>
            <w:sz w:val="19"/>
            <w:szCs w:val="19"/>
          </w:rPr>
          <w:fldChar w:fldCharType="begin"/>
        </w:r>
        <w:r w:rsidRPr="003E0C70">
          <w:rPr>
            <w:rFonts w:ascii="Arial" w:hAnsi="Arial" w:cs="Arial"/>
            <w:noProof/>
            <w:webHidden/>
            <w:sz w:val="19"/>
            <w:szCs w:val="19"/>
          </w:rPr>
          <w:instrText xml:space="preserve"> PAGEREF _Toc52869844 \h </w:instrText>
        </w:r>
        <w:r w:rsidRPr="003E0C70">
          <w:rPr>
            <w:rFonts w:ascii="Arial" w:hAnsi="Arial" w:cs="Arial"/>
            <w:noProof/>
            <w:webHidden/>
            <w:sz w:val="19"/>
            <w:szCs w:val="19"/>
          </w:rPr>
        </w:r>
        <w:r w:rsidRPr="003E0C70">
          <w:rPr>
            <w:rFonts w:ascii="Arial" w:hAnsi="Arial" w:cs="Arial"/>
            <w:noProof/>
            <w:webHidden/>
            <w:sz w:val="19"/>
            <w:szCs w:val="19"/>
          </w:rPr>
          <w:fldChar w:fldCharType="separate"/>
        </w:r>
        <w:r w:rsidR="009E27E4">
          <w:rPr>
            <w:rFonts w:ascii="Arial" w:hAnsi="Arial" w:cs="Arial"/>
            <w:noProof/>
            <w:webHidden/>
            <w:sz w:val="19"/>
            <w:szCs w:val="19"/>
          </w:rPr>
          <w:t>106</w:t>
        </w:r>
        <w:r w:rsidRPr="003E0C70">
          <w:rPr>
            <w:rFonts w:ascii="Arial" w:hAnsi="Arial" w:cs="Arial"/>
            <w:noProof/>
            <w:webHidden/>
            <w:sz w:val="19"/>
            <w:szCs w:val="19"/>
          </w:rPr>
          <w:fldChar w:fldCharType="end"/>
        </w:r>
      </w:hyperlink>
    </w:p>
    <w:p w14:paraId="1122DCEE" w14:textId="1D0F7599" w:rsidR="003E0C70" w:rsidRPr="003E0C70" w:rsidRDefault="003E0C70" w:rsidP="003E0C70">
      <w:pPr>
        <w:pStyle w:val="TM2"/>
        <w:rPr>
          <w:rFonts w:eastAsiaTheme="minorEastAsia"/>
          <w:b w:val="0"/>
          <w:i w:val="0"/>
          <w:caps w:val="0"/>
          <w:color w:val="auto"/>
          <w:sz w:val="19"/>
          <w:szCs w:val="19"/>
        </w:rPr>
      </w:pPr>
      <w:hyperlink w:anchor="_Toc52869845" w:history="1">
        <w:r w:rsidRPr="003E0C70">
          <w:rPr>
            <w:rStyle w:val="Lienhypertexte"/>
            <w:rFonts w:eastAsiaTheme="majorEastAsia"/>
            <w:sz w:val="19"/>
            <w:szCs w:val="19"/>
          </w:rPr>
          <w:t>6.1. ANALYSE DES variantes</w:t>
        </w:r>
        <w:r w:rsidRPr="003E0C70">
          <w:rPr>
            <w:webHidden/>
            <w:sz w:val="19"/>
            <w:szCs w:val="19"/>
          </w:rPr>
          <w:tab/>
        </w:r>
        <w:r w:rsidRPr="003E0C70">
          <w:rPr>
            <w:webHidden/>
            <w:sz w:val="19"/>
            <w:szCs w:val="19"/>
          </w:rPr>
          <w:fldChar w:fldCharType="begin"/>
        </w:r>
        <w:r w:rsidRPr="003E0C70">
          <w:rPr>
            <w:webHidden/>
            <w:sz w:val="19"/>
            <w:szCs w:val="19"/>
          </w:rPr>
          <w:instrText xml:space="preserve"> PAGEREF _Toc52869845 \h </w:instrText>
        </w:r>
        <w:r w:rsidRPr="003E0C70">
          <w:rPr>
            <w:webHidden/>
            <w:sz w:val="19"/>
            <w:szCs w:val="19"/>
          </w:rPr>
        </w:r>
        <w:r w:rsidRPr="003E0C70">
          <w:rPr>
            <w:webHidden/>
            <w:sz w:val="19"/>
            <w:szCs w:val="19"/>
          </w:rPr>
          <w:fldChar w:fldCharType="separate"/>
        </w:r>
        <w:r w:rsidR="009E27E4">
          <w:rPr>
            <w:webHidden/>
            <w:sz w:val="19"/>
            <w:szCs w:val="19"/>
          </w:rPr>
          <w:t>106</w:t>
        </w:r>
        <w:r w:rsidRPr="003E0C70">
          <w:rPr>
            <w:webHidden/>
            <w:sz w:val="19"/>
            <w:szCs w:val="19"/>
          </w:rPr>
          <w:fldChar w:fldCharType="end"/>
        </w:r>
      </w:hyperlink>
    </w:p>
    <w:p w14:paraId="01825E9F" w14:textId="4A24C02F" w:rsidR="003E0C70" w:rsidRPr="003E0C70" w:rsidRDefault="003E0C70" w:rsidP="003E0C70">
      <w:pPr>
        <w:pStyle w:val="TM2"/>
        <w:rPr>
          <w:rFonts w:eastAsiaTheme="minorEastAsia"/>
          <w:b w:val="0"/>
          <w:i w:val="0"/>
          <w:caps w:val="0"/>
          <w:color w:val="auto"/>
          <w:sz w:val="19"/>
          <w:szCs w:val="19"/>
        </w:rPr>
      </w:pPr>
      <w:hyperlink w:anchor="_Toc52869846" w:history="1">
        <w:r w:rsidRPr="003E0C70">
          <w:rPr>
            <w:rStyle w:val="Lienhypertexte"/>
            <w:rFonts w:eastAsiaTheme="majorEastAsia"/>
            <w:sz w:val="19"/>
            <w:szCs w:val="19"/>
          </w:rPr>
          <w:t>6.2. Présentation de la variante choisie</w:t>
        </w:r>
        <w:r w:rsidRPr="003E0C70">
          <w:rPr>
            <w:webHidden/>
            <w:sz w:val="19"/>
            <w:szCs w:val="19"/>
          </w:rPr>
          <w:tab/>
        </w:r>
        <w:r w:rsidRPr="003E0C70">
          <w:rPr>
            <w:webHidden/>
            <w:sz w:val="19"/>
            <w:szCs w:val="19"/>
          </w:rPr>
          <w:fldChar w:fldCharType="begin"/>
        </w:r>
        <w:r w:rsidRPr="003E0C70">
          <w:rPr>
            <w:webHidden/>
            <w:sz w:val="19"/>
            <w:szCs w:val="19"/>
          </w:rPr>
          <w:instrText xml:space="preserve"> PAGEREF _Toc52869846 \h </w:instrText>
        </w:r>
        <w:r w:rsidRPr="003E0C70">
          <w:rPr>
            <w:webHidden/>
            <w:sz w:val="19"/>
            <w:szCs w:val="19"/>
          </w:rPr>
        </w:r>
        <w:r w:rsidRPr="003E0C70">
          <w:rPr>
            <w:webHidden/>
            <w:sz w:val="19"/>
            <w:szCs w:val="19"/>
          </w:rPr>
          <w:fldChar w:fldCharType="separate"/>
        </w:r>
        <w:r w:rsidR="009E27E4">
          <w:rPr>
            <w:webHidden/>
            <w:sz w:val="19"/>
            <w:szCs w:val="19"/>
          </w:rPr>
          <w:t>109</w:t>
        </w:r>
        <w:r w:rsidRPr="003E0C70">
          <w:rPr>
            <w:webHidden/>
            <w:sz w:val="19"/>
            <w:szCs w:val="19"/>
          </w:rPr>
          <w:fldChar w:fldCharType="end"/>
        </w:r>
      </w:hyperlink>
    </w:p>
    <w:p w14:paraId="0174AA2B" w14:textId="7FBF60F3" w:rsidR="003E0C70" w:rsidRPr="003E0C70" w:rsidRDefault="003E0C70" w:rsidP="003E0C70">
      <w:pPr>
        <w:pStyle w:val="TM1"/>
        <w:tabs>
          <w:tab w:val="right" w:leader="dot" w:pos="9345"/>
        </w:tabs>
        <w:spacing w:before="60" w:after="0" w:line="240" w:lineRule="auto"/>
        <w:rPr>
          <w:rFonts w:ascii="Arial" w:eastAsiaTheme="minorEastAsia" w:hAnsi="Arial" w:cs="Arial"/>
          <w:b w:val="0"/>
          <w:bCs w:val="0"/>
          <w:caps w:val="0"/>
          <w:noProof/>
          <w:color w:val="auto"/>
          <w:sz w:val="19"/>
          <w:szCs w:val="19"/>
          <w:lang w:eastAsia="fr-FR"/>
        </w:rPr>
      </w:pPr>
      <w:hyperlink w:anchor="_Toc52869847" w:history="1">
        <w:r w:rsidRPr="003E0C70">
          <w:rPr>
            <w:rStyle w:val="Lienhypertexte"/>
            <w:rFonts w:ascii="Arial" w:eastAsiaTheme="majorEastAsia" w:hAnsi="Arial" w:cs="Arial"/>
            <w:noProof/>
            <w:sz w:val="19"/>
            <w:szCs w:val="19"/>
          </w:rPr>
          <w:t>7. PRINCIPAUX ENJEUX ENVIRONNEMENTAUX ET SOCIAUX DU PROJET</w:t>
        </w:r>
        <w:r w:rsidRPr="003E0C70">
          <w:rPr>
            <w:rFonts w:ascii="Arial" w:hAnsi="Arial" w:cs="Arial"/>
            <w:noProof/>
            <w:webHidden/>
            <w:sz w:val="19"/>
            <w:szCs w:val="19"/>
          </w:rPr>
          <w:tab/>
        </w:r>
        <w:r w:rsidRPr="003E0C70">
          <w:rPr>
            <w:rFonts w:ascii="Arial" w:hAnsi="Arial" w:cs="Arial"/>
            <w:noProof/>
            <w:webHidden/>
            <w:sz w:val="19"/>
            <w:szCs w:val="19"/>
          </w:rPr>
          <w:fldChar w:fldCharType="begin"/>
        </w:r>
        <w:r w:rsidRPr="003E0C70">
          <w:rPr>
            <w:rFonts w:ascii="Arial" w:hAnsi="Arial" w:cs="Arial"/>
            <w:noProof/>
            <w:webHidden/>
            <w:sz w:val="19"/>
            <w:szCs w:val="19"/>
          </w:rPr>
          <w:instrText xml:space="preserve"> PAGEREF _Toc52869847 \h </w:instrText>
        </w:r>
        <w:r w:rsidRPr="003E0C70">
          <w:rPr>
            <w:rFonts w:ascii="Arial" w:hAnsi="Arial" w:cs="Arial"/>
            <w:noProof/>
            <w:webHidden/>
            <w:sz w:val="19"/>
            <w:szCs w:val="19"/>
          </w:rPr>
        </w:r>
        <w:r w:rsidRPr="003E0C70">
          <w:rPr>
            <w:rFonts w:ascii="Arial" w:hAnsi="Arial" w:cs="Arial"/>
            <w:noProof/>
            <w:webHidden/>
            <w:sz w:val="19"/>
            <w:szCs w:val="19"/>
          </w:rPr>
          <w:fldChar w:fldCharType="separate"/>
        </w:r>
        <w:r w:rsidR="009E27E4">
          <w:rPr>
            <w:rFonts w:ascii="Arial" w:hAnsi="Arial" w:cs="Arial"/>
            <w:noProof/>
            <w:webHidden/>
            <w:sz w:val="19"/>
            <w:szCs w:val="19"/>
          </w:rPr>
          <w:t>116</w:t>
        </w:r>
        <w:r w:rsidRPr="003E0C70">
          <w:rPr>
            <w:rFonts w:ascii="Arial" w:hAnsi="Arial" w:cs="Arial"/>
            <w:noProof/>
            <w:webHidden/>
            <w:sz w:val="19"/>
            <w:szCs w:val="19"/>
          </w:rPr>
          <w:fldChar w:fldCharType="end"/>
        </w:r>
      </w:hyperlink>
    </w:p>
    <w:p w14:paraId="73B0F422" w14:textId="08A0A60E" w:rsidR="003E0C70" w:rsidRPr="003E0C70" w:rsidRDefault="003E0C70" w:rsidP="003E0C70">
      <w:pPr>
        <w:pStyle w:val="TM2"/>
        <w:rPr>
          <w:rFonts w:eastAsiaTheme="minorEastAsia"/>
          <w:b w:val="0"/>
          <w:i w:val="0"/>
          <w:caps w:val="0"/>
          <w:color w:val="auto"/>
          <w:sz w:val="19"/>
          <w:szCs w:val="19"/>
        </w:rPr>
      </w:pPr>
      <w:hyperlink w:anchor="_Toc52869848" w:history="1">
        <w:r w:rsidRPr="003E0C70">
          <w:rPr>
            <w:rStyle w:val="Lienhypertexte"/>
            <w:rFonts w:eastAsia="Calibri"/>
            <w:sz w:val="19"/>
            <w:szCs w:val="19"/>
          </w:rPr>
          <w:t xml:space="preserve">7.1. </w:t>
        </w:r>
        <w:r w:rsidRPr="003E0C70">
          <w:rPr>
            <w:rStyle w:val="Lienhypertexte"/>
            <w:rFonts w:eastAsiaTheme="majorEastAsia"/>
            <w:sz w:val="19"/>
            <w:szCs w:val="19"/>
          </w:rPr>
          <w:t>Enjeux politiques et institutionnels</w:t>
        </w:r>
        <w:r w:rsidRPr="003E0C70">
          <w:rPr>
            <w:webHidden/>
            <w:sz w:val="19"/>
            <w:szCs w:val="19"/>
          </w:rPr>
          <w:tab/>
        </w:r>
        <w:r w:rsidRPr="003E0C70">
          <w:rPr>
            <w:webHidden/>
            <w:sz w:val="19"/>
            <w:szCs w:val="19"/>
          </w:rPr>
          <w:fldChar w:fldCharType="begin"/>
        </w:r>
        <w:r w:rsidRPr="003E0C70">
          <w:rPr>
            <w:webHidden/>
            <w:sz w:val="19"/>
            <w:szCs w:val="19"/>
          </w:rPr>
          <w:instrText xml:space="preserve"> PAGEREF _Toc52869848 \h </w:instrText>
        </w:r>
        <w:r w:rsidRPr="003E0C70">
          <w:rPr>
            <w:webHidden/>
            <w:sz w:val="19"/>
            <w:szCs w:val="19"/>
          </w:rPr>
        </w:r>
        <w:r w:rsidRPr="003E0C70">
          <w:rPr>
            <w:webHidden/>
            <w:sz w:val="19"/>
            <w:szCs w:val="19"/>
          </w:rPr>
          <w:fldChar w:fldCharType="separate"/>
        </w:r>
        <w:r w:rsidR="009E27E4">
          <w:rPr>
            <w:webHidden/>
            <w:sz w:val="19"/>
            <w:szCs w:val="19"/>
          </w:rPr>
          <w:t>116</w:t>
        </w:r>
        <w:r w:rsidRPr="003E0C70">
          <w:rPr>
            <w:webHidden/>
            <w:sz w:val="19"/>
            <w:szCs w:val="19"/>
          </w:rPr>
          <w:fldChar w:fldCharType="end"/>
        </w:r>
      </w:hyperlink>
    </w:p>
    <w:p w14:paraId="6692B0C0" w14:textId="5D834C16" w:rsidR="003E0C70" w:rsidRPr="003E0C70" w:rsidRDefault="003E0C70" w:rsidP="003E0C70">
      <w:pPr>
        <w:pStyle w:val="TM2"/>
        <w:rPr>
          <w:rFonts w:eastAsiaTheme="minorEastAsia"/>
          <w:b w:val="0"/>
          <w:i w:val="0"/>
          <w:caps w:val="0"/>
          <w:color w:val="auto"/>
          <w:sz w:val="19"/>
          <w:szCs w:val="19"/>
        </w:rPr>
      </w:pPr>
      <w:hyperlink w:anchor="_Toc52869849" w:history="1">
        <w:r w:rsidRPr="003E0C70">
          <w:rPr>
            <w:rStyle w:val="Lienhypertexte"/>
            <w:rFonts w:eastAsiaTheme="majorEastAsia"/>
            <w:sz w:val="19"/>
            <w:szCs w:val="19"/>
          </w:rPr>
          <w:t>7.2. Enjeux environnementaux</w:t>
        </w:r>
        <w:r w:rsidRPr="003E0C70">
          <w:rPr>
            <w:webHidden/>
            <w:sz w:val="19"/>
            <w:szCs w:val="19"/>
          </w:rPr>
          <w:tab/>
        </w:r>
        <w:r w:rsidRPr="003E0C70">
          <w:rPr>
            <w:webHidden/>
            <w:sz w:val="19"/>
            <w:szCs w:val="19"/>
          </w:rPr>
          <w:fldChar w:fldCharType="begin"/>
        </w:r>
        <w:r w:rsidRPr="003E0C70">
          <w:rPr>
            <w:webHidden/>
            <w:sz w:val="19"/>
            <w:szCs w:val="19"/>
          </w:rPr>
          <w:instrText xml:space="preserve"> PAGEREF _Toc52869849 \h </w:instrText>
        </w:r>
        <w:r w:rsidRPr="003E0C70">
          <w:rPr>
            <w:webHidden/>
            <w:sz w:val="19"/>
            <w:szCs w:val="19"/>
          </w:rPr>
        </w:r>
        <w:r w:rsidRPr="003E0C70">
          <w:rPr>
            <w:webHidden/>
            <w:sz w:val="19"/>
            <w:szCs w:val="19"/>
          </w:rPr>
          <w:fldChar w:fldCharType="separate"/>
        </w:r>
        <w:r w:rsidR="009E27E4">
          <w:rPr>
            <w:webHidden/>
            <w:sz w:val="19"/>
            <w:szCs w:val="19"/>
          </w:rPr>
          <w:t>116</w:t>
        </w:r>
        <w:r w:rsidRPr="003E0C70">
          <w:rPr>
            <w:webHidden/>
            <w:sz w:val="19"/>
            <w:szCs w:val="19"/>
          </w:rPr>
          <w:fldChar w:fldCharType="end"/>
        </w:r>
      </w:hyperlink>
    </w:p>
    <w:p w14:paraId="249392BD" w14:textId="65561311" w:rsidR="003E0C70" w:rsidRPr="003E0C70" w:rsidRDefault="003E0C70" w:rsidP="003E0C70">
      <w:pPr>
        <w:pStyle w:val="TM2"/>
        <w:rPr>
          <w:rFonts w:eastAsiaTheme="minorEastAsia"/>
          <w:b w:val="0"/>
          <w:i w:val="0"/>
          <w:caps w:val="0"/>
          <w:color w:val="auto"/>
          <w:sz w:val="19"/>
          <w:szCs w:val="19"/>
        </w:rPr>
      </w:pPr>
      <w:hyperlink w:anchor="_Toc52869850" w:history="1">
        <w:r w:rsidRPr="003E0C70">
          <w:rPr>
            <w:rStyle w:val="Lienhypertexte"/>
            <w:rFonts w:eastAsiaTheme="majorEastAsia"/>
            <w:sz w:val="19"/>
            <w:szCs w:val="19"/>
          </w:rPr>
          <w:t>7.3. Enjeux sur la santé</w:t>
        </w:r>
        <w:r w:rsidRPr="003E0C70">
          <w:rPr>
            <w:webHidden/>
            <w:sz w:val="19"/>
            <w:szCs w:val="19"/>
          </w:rPr>
          <w:tab/>
        </w:r>
        <w:r w:rsidRPr="003E0C70">
          <w:rPr>
            <w:webHidden/>
            <w:sz w:val="19"/>
            <w:szCs w:val="19"/>
          </w:rPr>
          <w:fldChar w:fldCharType="begin"/>
        </w:r>
        <w:r w:rsidRPr="003E0C70">
          <w:rPr>
            <w:webHidden/>
            <w:sz w:val="19"/>
            <w:szCs w:val="19"/>
          </w:rPr>
          <w:instrText xml:space="preserve"> PAGEREF _Toc52869850 \h </w:instrText>
        </w:r>
        <w:r w:rsidRPr="003E0C70">
          <w:rPr>
            <w:webHidden/>
            <w:sz w:val="19"/>
            <w:szCs w:val="19"/>
          </w:rPr>
        </w:r>
        <w:r w:rsidRPr="003E0C70">
          <w:rPr>
            <w:webHidden/>
            <w:sz w:val="19"/>
            <w:szCs w:val="19"/>
          </w:rPr>
          <w:fldChar w:fldCharType="separate"/>
        </w:r>
        <w:r w:rsidR="009E27E4">
          <w:rPr>
            <w:webHidden/>
            <w:sz w:val="19"/>
            <w:szCs w:val="19"/>
          </w:rPr>
          <w:t>117</w:t>
        </w:r>
        <w:r w:rsidRPr="003E0C70">
          <w:rPr>
            <w:webHidden/>
            <w:sz w:val="19"/>
            <w:szCs w:val="19"/>
          </w:rPr>
          <w:fldChar w:fldCharType="end"/>
        </w:r>
      </w:hyperlink>
    </w:p>
    <w:p w14:paraId="4C712018" w14:textId="037957B7" w:rsidR="003E0C70" w:rsidRPr="003E0C70" w:rsidRDefault="003E0C70" w:rsidP="003E0C70">
      <w:pPr>
        <w:pStyle w:val="TM2"/>
        <w:rPr>
          <w:rFonts w:eastAsiaTheme="minorEastAsia"/>
          <w:b w:val="0"/>
          <w:i w:val="0"/>
          <w:caps w:val="0"/>
          <w:color w:val="auto"/>
          <w:sz w:val="19"/>
          <w:szCs w:val="19"/>
        </w:rPr>
      </w:pPr>
      <w:hyperlink w:anchor="_Toc52869851" w:history="1">
        <w:r w:rsidRPr="003E0C70">
          <w:rPr>
            <w:rStyle w:val="Lienhypertexte"/>
            <w:rFonts w:eastAsiaTheme="majorEastAsia"/>
            <w:sz w:val="19"/>
            <w:szCs w:val="19"/>
          </w:rPr>
          <w:t>7.4. Enjeux socio-économiques</w:t>
        </w:r>
        <w:r w:rsidRPr="003E0C70">
          <w:rPr>
            <w:webHidden/>
            <w:sz w:val="19"/>
            <w:szCs w:val="19"/>
          </w:rPr>
          <w:tab/>
        </w:r>
        <w:r w:rsidRPr="003E0C70">
          <w:rPr>
            <w:webHidden/>
            <w:sz w:val="19"/>
            <w:szCs w:val="19"/>
          </w:rPr>
          <w:fldChar w:fldCharType="begin"/>
        </w:r>
        <w:r w:rsidRPr="003E0C70">
          <w:rPr>
            <w:webHidden/>
            <w:sz w:val="19"/>
            <w:szCs w:val="19"/>
          </w:rPr>
          <w:instrText xml:space="preserve"> PAGEREF _Toc52869851 \h </w:instrText>
        </w:r>
        <w:r w:rsidRPr="003E0C70">
          <w:rPr>
            <w:webHidden/>
            <w:sz w:val="19"/>
            <w:szCs w:val="19"/>
          </w:rPr>
        </w:r>
        <w:r w:rsidRPr="003E0C70">
          <w:rPr>
            <w:webHidden/>
            <w:sz w:val="19"/>
            <w:szCs w:val="19"/>
          </w:rPr>
          <w:fldChar w:fldCharType="separate"/>
        </w:r>
        <w:r w:rsidR="009E27E4">
          <w:rPr>
            <w:webHidden/>
            <w:sz w:val="19"/>
            <w:szCs w:val="19"/>
          </w:rPr>
          <w:t>118</w:t>
        </w:r>
        <w:r w:rsidRPr="003E0C70">
          <w:rPr>
            <w:webHidden/>
            <w:sz w:val="19"/>
            <w:szCs w:val="19"/>
          </w:rPr>
          <w:fldChar w:fldCharType="end"/>
        </w:r>
      </w:hyperlink>
    </w:p>
    <w:p w14:paraId="2AE924D8" w14:textId="2401F025" w:rsidR="003E0C70" w:rsidRPr="003E0C70" w:rsidRDefault="003E0C70" w:rsidP="003E0C70">
      <w:pPr>
        <w:pStyle w:val="TM1"/>
        <w:tabs>
          <w:tab w:val="right" w:leader="dot" w:pos="9345"/>
        </w:tabs>
        <w:spacing w:before="60" w:after="0" w:line="240" w:lineRule="auto"/>
        <w:rPr>
          <w:rFonts w:ascii="Arial" w:eastAsiaTheme="minorEastAsia" w:hAnsi="Arial" w:cs="Arial"/>
          <w:b w:val="0"/>
          <w:bCs w:val="0"/>
          <w:caps w:val="0"/>
          <w:noProof/>
          <w:color w:val="auto"/>
          <w:sz w:val="19"/>
          <w:szCs w:val="19"/>
          <w:lang w:eastAsia="fr-FR"/>
        </w:rPr>
      </w:pPr>
      <w:hyperlink w:anchor="_Toc52869852" w:history="1">
        <w:r w:rsidRPr="003E0C70">
          <w:rPr>
            <w:rStyle w:val="Lienhypertexte"/>
            <w:rFonts w:ascii="Arial" w:eastAsiaTheme="majorEastAsia" w:hAnsi="Arial" w:cs="Arial"/>
            <w:noProof/>
            <w:sz w:val="19"/>
            <w:szCs w:val="19"/>
          </w:rPr>
          <w:t>8. analyse environnementale</w:t>
        </w:r>
        <w:r w:rsidRPr="003E0C70">
          <w:rPr>
            <w:rFonts w:ascii="Arial" w:hAnsi="Arial" w:cs="Arial"/>
            <w:noProof/>
            <w:webHidden/>
            <w:sz w:val="19"/>
            <w:szCs w:val="19"/>
          </w:rPr>
          <w:tab/>
        </w:r>
        <w:r w:rsidRPr="003E0C70">
          <w:rPr>
            <w:rFonts w:ascii="Arial" w:hAnsi="Arial" w:cs="Arial"/>
            <w:noProof/>
            <w:webHidden/>
            <w:sz w:val="19"/>
            <w:szCs w:val="19"/>
          </w:rPr>
          <w:fldChar w:fldCharType="begin"/>
        </w:r>
        <w:r w:rsidRPr="003E0C70">
          <w:rPr>
            <w:rFonts w:ascii="Arial" w:hAnsi="Arial" w:cs="Arial"/>
            <w:noProof/>
            <w:webHidden/>
            <w:sz w:val="19"/>
            <w:szCs w:val="19"/>
          </w:rPr>
          <w:instrText xml:space="preserve"> PAGEREF _Toc52869852 \h </w:instrText>
        </w:r>
        <w:r w:rsidRPr="003E0C70">
          <w:rPr>
            <w:rFonts w:ascii="Arial" w:hAnsi="Arial" w:cs="Arial"/>
            <w:noProof/>
            <w:webHidden/>
            <w:sz w:val="19"/>
            <w:szCs w:val="19"/>
          </w:rPr>
        </w:r>
        <w:r w:rsidRPr="003E0C70">
          <w:rPr>
            <w:rFonts w:ascii="Arial" w:hAnsi="Arial" w:cs="Arial"/>
            <w:noProof/>
            <w:webHidden/>
            <w:sz w:val="19"/>
            <w:szCs w:val="19"/>
          </w:rPr>
          <w:fldChar w:fldCharType="separate"/>
        </w:r>
        <w:r w:rsidR="009E27E4">
          <w:rPr>
            <w:rFonts w:ascii="Arial" w:hAnsi="Arial" w:cs="Arial"/>
            <w:noProof/>
            <w:webHidden/>
            <w:sz w:val="19"/>
            <w:szCs w:val="19"/>
          </w:rPr>
          <w:t>119</w:t>
        </w:r>
        <w:r w:rsidRPr="003E0C70">
          <w:rPr>
            <w:rFonts w:ascii="Arial" w:hAnsi="Arial" w:cs="Arial"/>
            <w:noProof/>
            <w:webHidden/>
            <w:sz w:val="19"/>
            <w:szCs w:val="19"/>
          </w:rPr>
          <w:fldChar w:fldCharType="end"/>
        </w:r>
      </w:hyperlink>
    </w:p>
    <w:p w14:paraId="4D372A11" w14:textId="6E7148B9" w:rsidR="003E0C70" w:rsidRPr="003E0C70" w:rsidRDefault="003E0C70" w:rsidP="003E0C70">
      <w:pPr>
        <w:pStyle w:val="TM2"/>
        <w:rPr>
          <w:rFonts w:eastAsiaTheme="minorEastAsia"/>
          <w:b w:val="0"/>
          <w:i w:val="0"/>
          <w:caps w:val="0"/>
          <w:color w:val="auto"/>
          <w:sz w:val="19"/>
          <w:szCs w:val="19"/>
        </w:rPr>
      </w:pPr>
      <w:hyperlink w:anchor="_Toc52869853" w:history="1">
        <w:r w:rsidRPr="003E0C70">
          <w:rPr>
            <w:rStyle w:val="Lienhypertexte"/>
            <w:rFonts w:eastAsiaTheme="majorEastAsia"/>
            <w:sz w:val="19"/>
            <w:szCs w:val="19"/>
          </w:rPr>
          <w:t>8.1- Identification des impacts</w:t>
        </w:r>
        <w:r w:rsidRPr="003E0C70">
          <w:rPr>
            <w:webHidden/>
            <w:sz w:val="19"/>
            <w:szCs w:val="19"/>
          </w:rPr>
          <w:tab/>
        </w:r>
        <w:r w:rsidRPr="003E0C70">
          <w:rPr>
            <w:webHidden/>
            <w:sz w:val="19"/>
            <w:szCs w:val="19"/>
          </w:rPr>
          <w:fldChar w:fldCharType="begin"/>
        </w:r>
        <w:r w:rsidRPr="003E0C70">
          <w:rPr>
            <w:webHidden/>
            <w:sz w:val="19"/>
            <w:szCs w:val="19"/>
          </w:rPr>
          <w:instrText xml:space="preserve"> PAGEREF _Toc52869853 \h </w:instrText>
        </w:r>
        <w:r w:rsidRPr="003E0C70">
          <w:rPr>
            <w:webHidden/>
            <w:sz w:val="19"/>
            <w:szCs w:val="19"/>
          </w:rPr>
        </w:r>
        <w:r w:rsidRPr="003E0C70">
          <w:rPr>
            <w:webHidden/>
            <w:sz w:val="19"/>
            <w:szCs w:val="19"/>
          </w:rPr>
          <w:fldChar w:fldCharType="separate"/>
        </w:r>
        <w:r w:rsidR="009E27E4">
          <w:rPr>
            <w:webHidden/>
            <w:sz w:val="19"/>
            <w:szCs w:val="19"/>
          </w:rPr>
          <w:t>119</w:t>
        </w:r>
        <w:r w:rsidRPr="003E0C70">
          <w:rPr>
            <w:webHidden/>
            <w:sz w:val="19"/>
            <w:szCs w:val="19"/>
          </w:rPr>
          <w:fldChar w:fldCharType="end"/>
        </w:r>
      </w:hyperlink>
    </w:p>
    <w:p w14:paraId="58559F79" w14:textId="14BF532C" w:rsidR="003E0C70" w:rsidRPr="003E0C70" w:rsidRDefault="003E0C70" w:rsidP="003E0C70">
      <w:pPr>
        <w:pStyle w:val="TM2"/>
        <w:rPr>
          <w:rFonts w:eastAsiaTheme="minorEastAsia"/>
          <w:b w:val="0"/>
          <w:i w:val="0"/>
          <w:caps w:val="0"/>
          <w:color w:val="auto"/>
          <w:sz w:val="19"/>
          <w:szCs w:val="19"/>
        </w:rPr>
      </w:pPr>
      <w:hyperlink w:anchor="_Toc52869854" w:history="1">
        <w:r w:rsidRPr="003E0C70">
          <w:rPr>
            <w:rStyle w:val="Lienhypertexte"/>
            <w:rFonts w:eastAsiaTheme="majorEastAsia"/>
            <w:sz w:val="19"/>
            <w:szCs w:val="19"/>
          </w:rPr>
          <w:t>8.2. Proposition de mesures</w:t>
        </w:r>
        <w:r w:rsidRPr="003E0C70">
          <w:rPr>
            <w:webHidden/>
            <w:sz w:val="19"/>
            <w:szCs w:val="19"/>
          </w:rPr>
          <w:tab/>
        </w:r>
        <w:r w:rsidRPr="003E0C70">
          <w:rPr>
            <w:webHidden/>
            <w:sz w:val="19"/>
            <w:szCs w:val="19"/>
          </w:rPr>
          <w:fldChar w:fldCharType="begin"/>
        </w:r>
        <w:r w:rsidRPr="003E0C70">
          <w:rPr>
            <w:webHidden/>
            <w:sz w:val="19"/>
            <w:szCs w:val="19"/>
          </w:rPr>
          <w:instrText xml:space="preserve"> PAGEREF _Toc52869854 \h </w:instrText>
        </w:r>
        <w:r w:rsidRPr="003E0C70">
          <w:rPr>
            <w:webHidden/>
            <w:sz w:val="19"/>
            <w:szCs w:val="19"/>
          </w:rPr>
        </w:r>
        <w:r w:rsidRPr="003E0C70">
          <w:rPr>
            <w:webHidden/>
            <w:sz w:val="19"/>
            <w:szCs w:val="19"/>
          </w:rPr>
          <w:fldChar w:fldCharType="separate"/>
        </w:r>
        <w:r w:rsidR="009E27E4">
          <w:rPr>
            <w:webHidden/>
            <w:sz w:val="19"/>
            <w:szCs w:val="19"/>
          </w:rPr>
          <w:t>140</w:t>
        </w:r>
        <w:r w:rsidRPr="003E0C70">
          <w:rPr>
            <w:webHidden/>
            <w:sz w:val="19"/>
            <w:szCs w:val="19"/>
          </w:rPr>
          <w:fldChar w:fldCharType="end"/>
        </w:r>
      </w:hyperlink>
    </w:p>
    <w:p w14:paraId="67D3C1DE" w14:textId="46040791" w:rsidR="003E0C70" w:rsidRPr="003E0C70" w:rsidRDefault="003E0C70" w:rsidP="003E0C70">
      <w:pPr>
        <w:pStyle w:val="TM1"/>
        <w:tabs>
          <w:tab w:val="right" w:leader="dot" w:pos="9345"/>
        </w:tabs>
        <w:spacing w:before="60" w:after="0" w:line="240" w:lineRule="auto"/>
        <w:rPr>
          <w:rFonts w:ascii="Arial" w:eastAsiaTheme="minorEastAsia" w:hAnsi="Arial" w:cs="Arial"/>
          <w:b w:val="0"/>
          <w:bCs w:val="0"/>
          <w:caps w:val="0"/>
          <w:noProof/>
          <w:color w:val="auto"/>
          <w:sz w:val="19"/>
          <w:szCs w:val="19"/>
          <w:lang w:eastAsia="fr-FR"/>
        </w:rPr>
      </w:pPr>
      <w:hyperlink w:anchor="_Toc52869855" w:history="1">
        <w:r w:rsidRPr="003E0C70">
          <w:rPr>
            <w:rStyle w:val="Lienhypertexte"/>
            <w:rFonts w:ascii="Arial" w:eastAsiaTheme="majorEastAsia" w:hAnsi="Arial" w:cs="Arial"/>
            <w:noProof/>
            <w:sz w:val="19"/>
            <w:szCs w:val="19"/>
          </w:rPr>
          <w:t>9. Gestion des risques et accidents</w:t>
        </w:r>
        <w:r w:rsidRPr="003E0C70">
          <w:rPr>
            <w:rFonts w:ascii="Arial" w:hAnsi="Arial" w:cs="Arial"/>
            <w:noProof/>
            <w:webHidden/>
            <w:sz w:val="19"/>
            <w:szCs w:val="19"/>
          </w:rPr>
          <w:tab/>
        </w:r>
        <w:r w:rsidRPr="003E0C70">
          <w:rPr>
            <w:rFonts w:ascii="Arial" w:hAnsi="Arial" w:cs="Arial"/>
            <w:noProof/>
            <w:webHidden/>
            <w:sz w:val="19"/>
            <w:szCs w:val="19"/>
          </w:rPr>
          <w:fldChar w:fldCharType="begin"/>
        </w:r>
        <w:r w:rsidRPr="003E0C70">
          <w:rPr>
            <w:rFonts w:ascii="Arial" w:hAnsi="Arial" w:cs="Arial"/>
            <w:noProof/>
            <w:webHidden/>
            <w:sz w:val="19"/>
            <w:szCs w:val="19"/>
          </w:rPr>
          <w:instrText xml:space="preserve"> PAGEREF _Toc52869855 \h </w:instrText>
        </w:r>
        <w:r w:rsidRPr="003E0C70">
          <w:rPr>
            <w:rFonts w:ascii="Arial" w:hAnsi="Arial" w:cs="Arial"/>
            <w:noProof/>
            <w:webHidden/>
            <w:sz w:val="19"/>
            <w:szCs w:val="19"/>
          </w:rPr>
        </w:r>
        <w:r w:rsidRPr="003E0C70">
          <w:rPr>
            <w:rFonts w:ascii="Arial" w:hAnsi="Arial" w:cs="Arial"/>
            <w:noProof/>
            <w:webHidden/>
            <w:sz w:val="19"/>
            <w:szCs w:val="19"/>
          </w:rPr>
          <w:fldChar w:fldCharType="separate"/>
        </w:r>
        <w:r w:rsidR="009E27E4">
          <w:rPr>
            <w:rFonts w:ascii="Arial" w:hAnsi="Arial" w:cs="Arial"/>
            <w:noProof/>
            <w:webHidden/>
            <w:sz w:val="19"/>
            <w:szCs w:val="19"/>
          </w:rPr>
          <w:t>157</w:t>
        </w:r>
        <w:r w:rsidRPr="003E0C70">
          <w:rPr>
            <w:rFonts w:ascii="Arial" w:hAnsi="Arial" w:cs="Arial"/>
            <w:noProof/>
            <w:webHidden/>
            <w:sz w:val="19"/>
            <w:szCs w:val="19"/>
          </w:rPr>
          <w:fldChar w:fldCharType="end"/>
        </w:r>
      </w:hyperlink>
    </w:p>
    <w:p w14:paraId="41C1447B" w14:textId="4136DC92" w:rsidR="003E0C70" w:rsidRPr="003E0C70" w:rsidRDefault="003E0C70" w:rsidP="003E0C70">
      <w:pPr>
        <w:pStyle w:val="TM2"/>
        <w:rPr>
          <w:rFonts w:eastAsiaTheme="minorEastAsia"/>
          <w:b w:val="0"/>
          <w:i w:val="0"/>
          <w:caps w:val="0"/>
          <w:color w:val="auto"/>
          <w:sz w:val="19"/>
          <w:szCs w:val="19"/>
        </w:rPr>
      </w:pPr>
      <w:hyperlink w:anchor="_Toc52869856" w:history="1">
        <w:r w:rsidRPr="003E0C70">
          <w:rPr>
            <w:rStyle w:val="Lienhypertexte"/>
            <w:rFonts w:eastAsiaTheme="majorEastAsia"/>
            <w:sz w:val="19"/>
            <w:szCs w:val="19"/>
          </w:rPr>
          <w:t>9.1. Rappel de la définition du RISQUE</w:t>
        </w:r>
        <w:r w:rsidRPr="003E0C70">
          <w:rPr>
            <w:webHidden/>
            <w:sz w:val="19"/>
            <w:szCs w:val="19"/>
          </w:rPr>
          <w:tab/>
        </w:r>
        <w:r w:rsidRPr="003E0C70">
          <w:rPr>
            <w:webHidden/>
            <w:sz w:val="19"/>
            <w:szCs w:val="19"/>
          </w:rPr>
          <w:fldChar w:fldCharType="begin"/>
        </w:r>
        <w:r w:rsidRPr="003E0C70">
          <w:rPr>
            <w:webHidden/>
            <w:sz w:val="19"/>
            <w:szCs w:val="19"/>
          </w:rPr>
          <w:instrText xml:space="preserve"> PAGEREF _Toc52869856 \h </w:instrText>
        </w:r>
        <w:r w:rsidRPr="003E0C70">
          <w:rPr>
            <w:webHidden/>
            <w:sz w:val="19"/>
            <w:szCs w:val="19"/>
          </w:rPr>
        </w:r>
        <w:r w:rsidRPr="003E0C70">
          <w:rPr>
            <w:webHidden/>
            <w:sz w:val="19"/>
            <w:szCs w:val="19"/>
          </w:rPr>
          <w:fldChar w:fldCharType="separate"/>
        </w:r>
        <w:r w:rsidR="009E27E4">
          <w:rPr>
            <w:webHidden/>
            <w:sz w:val="19"/>
            <w:szCs w:val="19"/>
          </w:rPr>
          <w:t>157</w:t>
        </w:r>
        <w:r w:rsidRPr="003E0C70">
          <w:rPr>
            <w:webHidden/>
            <w:sz w:val="19"/>
            <w:szCs w:val="19"/>
          </w:rPr>
          <w:fldChar w:fldCharType="end"/>
        </w:r>
      </w:hyperlink>
    </w:p>
    <w:p w14:paraId="2E6CEC90" w14:textId="74269718" w:rsidR="003E0C70" w:rsidRPr="003E0C70" w:rsidRDefault="003E0C70" w:rsidP="003E0C70">
      <w:pPr>
        <w:pStyle w:val="TM2"/>
        <w:rPr>
          <w:rFonts w:eastAsiaTheme="minorEastAsia"/>
          <w:b w:val="0"/>
          <w:i w:val="0"/>
          <w:caps w:val="0"/>
          <w:color w:val="auto"/>
          <w:sz w:val="19"/>
          <w:szCs w:val="19"/>
        </w:rPr>
      </w:pPr>
      <w:hyperlink w:anchor="_Toc52869857" w:history="1">
        <w:r w:rsidRPr="003E0C70">
          <w:rPr>
            <w:rStyle w:val="Lienhypertexte"/>
            <w:rFonts w:eastAsiaTheme="majorEastAsia"/>
            <w:sz w:val="19"/>
            <w:szCs w:val="19"/>
          </w:rPr>
          <w:t>9.2. Risques vis-à-vis des personnes pour chaque type d’activités</w:t>
        </w:r>
        <w:r w:rsidRPr="003E0C70">
          <w:rPr>
            <w:webHidden/>
            <w:sz w:val="19"/>
            <w:szCs w:val="19"/>
          </w:rPr>
          <w:tab/>
        </w:r>
        <w:r w:rsidRPr="003E0C70">
          <w:rPr>
            <w:webHidden/>
            <w:sz w:val="19"/>
            <w:szCs w:val="19"/>
          </w:rPr>
          <w:fldChar w:fldCharType="begin"/>
        </w:r>
        <w:r w:rsidRPr="003E0C70">
          <w:rPr>
            <w:webHidden/>
            <w:sz w:val="19"/>
            <w:szCs w:val="19"/>
          </w:rPr>
          <w:instrText xml:space="preserve"> PAGEREF _Toc52869857 \h </w:instrText>
        </w:r>
        <w:r w:rsidRPr="003E0C70">
          <w:rPr>
            <w:webHidden/>
            <w:sz w:val="19"/>
            <w:szCs w:val="19"/>
          </w:rPr>
        </w:r>
        <w:r w:rsidRPr="003E0C70">
          <w:rPr>
            <w:webHidden/>
            <w:sz w:val="19"/>
            <w:szCs w:val="19"/>
          </w:rPr>
          <w:fldChar w:fldCharType="separate"/>
        </w:r>
        <w:r w:rsidR="009E27E4">
          <w:rPr>
            <w:webHidden/>
            <w:sz w:val="19"/>
            <w:szCs w:val="19"/>
          </w:rPr>
          <w:t>157</w:t>
        </w:r>
        <w:r w:rsidRPr="003E0C70">
          <w:rPr>
            <w:webHidden/>
            <w:sz w:val="19"/>
            <w:szCs w:val="19"/>
          </w:rPr>
          <w:fldChar w:fldCharType="end"/>
        </w:r>
      </w:hyperlink>
    </w:p>
    <w:p w14:paraId="23BC2DE6" w14:textId="3B956443" w:rsidR="003E0C70" w:rsidRPr="003E0C70" w:rsidRDefault="003E0C70" w:rsidP="003E0C70">
      <w:pPr>
        <w:pStyle w:val="TM2"/>
        <w:rPr>
          <w:rFonts w:eastAsiaTheme="minorEastAsia"/>
          <w:b w:val="0"/>
          <w:i w:val="0"/>
          <w:caps w:val="0"/>
          <w:color w:val="auto"/>
          <w:sz w:val="19"/>
          <w:szCs w:val="19"/>
        </w:rPr>
      </w:pPr>
      <w:hyperlink w:anchor="_Toc52869858" w:history="1">
        <w:r w:rsidRPr="003E0C70">
          <w:rPr>
            <w:rStyle w:val="Lienhypertexte"/>
            <w:rFonts w:eastAsiaTheme="majorEastAsia"/>
            <w:sz w:val="19"/>
            <w:szCs w:val="19"/>
          </w:rPr>
          <w:t>9.3. Travaux de déplacement des réseaux divers (eau, électricité, ligne téléphonique, etc</w:t>
        </w:r>
        <w:r w:rsidRPr="003E0C70">
          <w:rPr>
            <w:webHidden/>
            <w:sz w:val="19"/>
            <w:szCs w:val="19"/>
          </w:rPr>
          <w:tab/>
        </w:r>
        <w:r w:rsidRPr="003E0C70">
          <w:rPr>
            <w:webHidden/>
            <w:sz w:val="19"/>
            <w:szCs w:val="19"/>
          </w:rPr>
          <w:fldChar w:fldCharType="begin"/>
        </w:r>
        <w:r w:rsidRPr="003E0C70">
          <w:rPr>
            <w:webHidden/>
            <w:sz w:val="19"/>
            <w:szCs w:val="19"/>
          </w:rPr>
          <w:instrText xml:space="preserve"> PAGEREF _Toc52869858 \h </w:instrText>
        </w:r>
        <w:r w:rsidRPr="003E0C70">
          <w:rPr>
            <w:webHidden/>
            <w:sz w:val="19"/>
            <w:szCs w:val="19"/>
          </w:rPr>
        </w:r>
        <w:r w:rsidRPr="003E0C70">
          <w:rPr>
            <w:webHidden/>
            <w:sz w:val="19"/>
            <w:szCs w:val="19"/>
          </w:rPr>
          <w:fldChar w:fldCharType="separate"/>
        </w:r>
        <w:r w:rsidR="009E27E4">
          <w:rPr>
            <w:webHidden/>
            <w:sz w:val="19"/>
            <w:szCs w:val="19"/>
          </w:rPr>
          <w:t>158</w:t>
        </w:r>
        <w:r w:rsidRPr="003E0C70">
          <w:rPr>
            <w:webHidden/>
            <w:sz w:val="19"/>
            <w:szCs w:val="19"/>
          </w:rPr>
          <w:fldChar w:fldCharType="end"/>
        </w:r>
      </w:hyperlink>
    </w:p>
    <w:p w14:paraId="0539A561" w14:textId="087E6153" w:rsidR="003E0C70" w:rsidRPr="003E0C70" w:rsidRDefault="003E0C70" w:rsidP="003E0C70">
      <w:pPr>
        <w:pStyle w:val="TM2"/>
        <w:rPr>
          <w:rFonts w:eastAsiaTheme="minorEastAsia"/>
          <w:b w:val="0"/>
          <w:i w:val="0"/>
          <w:caps w:val="0"/>
          <w:color w:val="auto"/>
          <w:sz w:val="19"/>
          <w:szCs w:val="19"/>
        </w:rPr>
      </w:pPr>
      <w:hyperlink w:anchor="_Toc52869859" w:history="1">
        <w:r w:rsidRPr="003E0C70">
          <w:rPr>
            <w:rStyle w:val="Lienhypertexte"/>
            <w:rFonts w:eastAsiaTheme="majorEastAsia"/>
            <w:sz w:val="19"/>
            <w:szCs w:val="19"/>
          </w:rPr>
          <w:t>9.4. Aménagement des déviations</w:t>
        </w:r>
        <w:r w:rsidRPr="003E0C70">
          <w:rPr>
            <w:webHidden/>
            <w:sz w:val="19"/>
            <w:szCs w:val="19"/>
          </w:rPr>
          <w:tab/>
        </w:r>
        <w:r w:rsidRPr="003E0C70">
          <w:rPr>
            <w:webHidden/>
            <w:sz w:val="19"/>
            <w:szCs w:val="19"/>
          </w:rPr>
          <w:fldChar w:fldCharType="begin"/>
        </w:r>
        <w:r w:rsidRPr="003E0C70">
          <w:rPr>
            <w:webHidden/>
            <w:sz w:val="19"/>
            <w:szCs w:val="19"/>
          </w:rPr>
          <w:instrText xml:space="preserve"> PAGEREF _Toc52869859 \h </w:instrText>
        </w:r>
        <w:r w:rsidRPr="003E0C70">
          <w:rPr>
            <w:webHidden/>
            <w:sz w:val="19"/>
            <w:szCs w:val="19"/>
          </w:rPr>
        </w:r>
        <w:r w:rsidRPr="003E0C70">
          <w:rPr>
            <w:webHidden/>
            <w:sz w:val="19"/>
            <w:szCs w:val="19"/>
          </w:rPr>
          <w:fldChar w:fldCharType="separate"/>
        </w:r>
        <w:r w:rsidR="009E27E4">
          <w:rPr>
            <w:webHidden/>
            <w:sz w:val="19"/>
            <w:szCs w:val="19"/>
          </w:rPr>
          <w:t>159</w:t>
        </w:r>
        <w:r w:rsidRPr="003E0C70">
          <w:rPr>
            <w:webHidden/>
            <w:sz w:val="19"/>
            <w:szCs w:val="19"/>
          </w:rPr>
          <w:fldChar w:fldCharType="end"/>
        </w:r>
      </w:hyperlink>
    </w:p>
    <w:p w14:paraId="0F8A1F08" w14:textId="071EC8DA" w:rsidR="003E0C70" w:rsidRPr="003E0C70" w:rsidRDefault="003E0C70" w:rsidP="003E0C70">
      <w:pPr>
        <w:pStyle w:val="TM2"/>
        <w:rPr>
          <w:rFonts w:eastAsiaTheme="minorEastAsia"/>
          <w:b w:val="0"/>
          <w:i w:val="0"/>
          <w:caps w:val="0"/>
          <w:color w:val="auto"/>
          <w:sz w:val="19"/>
          <w:szCs w:val="19"/>
        </w:rPr>
      </w:pPr>
      <w:hyperlink w:anchor="_Toc52869860" w:history="1">
        <w:r w:rsidRPr="003E0C70">
          <w:rPr>
            <w:rStyle w:val="Lienhypertexte"/>
            <w:rFonts w:eastAsiaTheme="majorEastAsia"/>
            <w:sz w:val="19"/>
            <w:szCs w:val="19"/>
          </w:rPr>
          <w:t>9.5. Terrassement, décapage, travaux de fouilles et mis en dépôt</w:t>
        </w:r>
        <w:r w:rsidRPr="003E0C70">
          <w:rPr>
            <w:webHidden/>
            <w:sz w:val="19"/>
            <w:szCs w:val="19"/>
          </w:rPr>
          <w:tab/>
        </w:r>
        <w:r w:rsidRPr="003E0C70">
          <w:rPr>
            <w:webHidden/>
            <w:sz w:val="19"/>
            <w:szCs w:val="19"/>
          </w:rPr>
          <w:fldChar w:fldCharType="begin"/>
        </w:r>
        <w:r w:rsidRPr="003E0C70">
          <w:rPr>
            <w:webHidden/>
            <w:sz w:val="19"/>
            <w:szCs w:val="19"/>
          </w:rPr>
          <w:instrText xml:space="preserve"> PAGEREF _Toc52869860 \h </w:instrText>
        </w:r>
        <w:r w:rsidRPr="003E0C70">
          <w:rPr>
            <w:webHidden/>
            <w:sz w:val="19"/>
            <w:szCs w:val="19"/>
          </w:rPr>
        </w:r>
        <w:r w:rsidRPr="003E0C70">
          <w:rPr>
            <w:webHidden/>
            <w:sz w:val="19"/>
            <w:szCs w:val="19"/>
          </w:rPr>
          <w:fldChar w:fldCharType="separate"/>
        </w:r>
        <w:r w:rsidR="009E27E4">
          <w:rPr>
            <w:webHidden/>
            <w:sz w:val="19"/>
            <w:szCs w:val="19"/>
          </w:rPr>
          <w:t>160</w:t>
        </w:r>
        <w:r w:rsidRPr="003E0C70">
          <w:rPr>
            <w:webHidden/>
            <w:sz w:val="19"/>
            <w:szCs w:val="19"/>
          </w:rPr>
          <w:fldChar w:fldCharType="end"/>
        </w:r>
      </w:hyperlink>
    </w:p>
    <w:p w14:paraId="40D53080" w14:textId="40E43516" w:rsidR="003E0C70" w:rsidRPr="003E0C70" w:rsidRDefault="003E0C70" w:rsidP="003E0C70">
      <w:pPr>
        <w:pStyle w:val="TM2"/>
        <w:rPr>
          <w:rFonts w:eastAsiaTheme="minorEastAsia"/>
          <w:b w:val="0"/>
          <w:i w:val="0"/>
          <w:caps w:val="0"/>
          <w:color w:val="auto"/>
          <w:sz w:val="19"/>
          <w:szCs w:val="19"/>
        </w:rPr>
      </w:pPr>
      <w:hyperlink w:anchor="_Toc52869861" w:history="1">
        <w:r w:rsidRPr="003E0C70">
          <w:rPr>
            <w:rStyle w:val="Lienhypertexte"/>
            <w:rFonts w:eastAsiaTheme="majorEastAsia"/>
            <w:sz w:val="19"/>
            <w:szCs w:val="19"/>
          </w:rPr>
          <w:t>9.7. Purge importante et mise en dépôt des produits, transport et mise en remblai des terres</w:t>
        </w:r>
        <w:r w:rsidRPr="003E0C70">
          <w:rPr>
            <w:webHidden/>
            <w:sz w:val="19"/>
            <w:szCs w:val="19"/>
          </w:rPr>
          <w:tab/>
        </w:r>
        <w:r w:rsidRPr="003E0C70">
          <w:rPr>
            <w:webHidden/>
            <w:sz w:val="19"/>
            <w:szCs w:val="19"/>
          </w:rPr>
          <w:fldChar w:fldCharType="begin"/>
        </w:r>
        <w:r w:rsidRPr="003E0C70">
          <w:rPr>
            <w:webHidden/>
            <w:sz w:val="19"/>
            <w:szCs w:val="19"/>
          </w:rPr>
          <w:instrText xml:space="preserve"> PAGEREF _Toc52869861 \h </w:instrText>
        </w:r>
        <w:r w:rsidRPr="003E0C70">
          <w:rPr>
            <w:webHidden/>
            <w:sz w:val="19"/>
            <w:szCs w:val="19"/>
          </w:rPr>
        </w:r>
        <w:r w:rsidRPr="003E0C70">
          <w:rPr>
            <w:webHidden/>
            <w:sz w:val="19"/>
            <w:szCs w:val="19"/>
          </w:rPr>
          <w:fldChar w:fldCharType="separate"/>
        </w:r>
        <w:r w:rsidR="009E27E4">
          <w:rPr>
            <w:webHidden/>
            <w:sz w:val="19"/>
            <w:szCs w:val="19"/>
          </w:rPr>
          <w:t>161</w:t>
        </w:r>
        <w:r w:rsidRPr="003E0C70">
          <w:rPr>
            <w:webHidden/>
            <w:sz w:val="19"/>
            <w:szCs w:val="19"/>
          </w:rPr>
          <w:fldChar w:fldCharType="end"/>
        </w:r>
      </w:hyperlink>
    </w:p>
    <w:p w14:paraId="4DB279FD" w14:textId="4DBD17B9" w:rsidR="003E0C70" w:rsidRPr="003E0C70" w:rsidRDefault="003E0C70" w:rsidP="003E0C70">
      <w:pPr>
        <w:pStyle w:val="TM2"/>
        <w:rPr>
          <w:rFonts w:eastAsiaTheme="minorEastAsia"/>
          <w:b w:val="0"/>
          <w:i w:val="0"/>
          <w:caps w:val="0"/>
          <w:color w:val="auto"/>
          <w:sz w:val="19"/>
          <w:szCs w:val="19"/>
        </w:rPr>
      </w:pPr>
      <w:hyperlink w:anchor="_Toc52869862" w:history="1">
        <w:r w:rsidRPr="003E0C70">
          <w:rPr>
            <w:rStyle w:val="Lienhypertexte"/>
            <w:rFonts w:eastAsiaTheme="majorEastAsia"/>
            <w:sz w:val="19"/>
            <w:szCs w:val="19"/>
          </w:rPr>
          <w:t>9.7. Dépose de pavés, démolition d’ouvrage d’assainissement existant enterrés et aériens-remblaiement et réfection de voirie</w:t>
        </w:r>
        <w:r w:rsidRPr="003E0C70">
          <w:rPr>
            <w:webHidden/>
            <w:sz w:val="19"/>
            <w:szCs w:val="19"/>
          </w:rPr>
          <w:tab/>
        </w:r>
        <w:r w:rsidRPr="003E0C70">
          <w:rPr>
            <w:webHidden/>
            <w:sz w:val="19"/>
            <w:szCs w:val="19"/>
          </w:rPr>
          <w:fldChar w:fldCharType="begin"/>
        </w:r>
        <w:r w:rsidRPr="003E0C70">
          <w:rPr>
            <w:webHidden/>
            <w:sz w:val="19"/>
            <w:szCs w:val="19"/>
          </w:rPr>
          <w:instrText xml:space="preserve"> PAGEREF _Toc52869862 \h </w:instrText>
        </w:r>
        <w:r w:rsidRPr="003E0C70">
          <w:rPr>
            <w:webHidden/>
            <w:sz w:val="19"/>
            <w:szCs w:val="19"/>
          </w:rPr>
        </w:r>
        <w:r w:rsidRPr="003E0C70">
          <w:rPr>
            <w:webHidden/>
            <w:sz w:val="19"/>
            <w:szCs w:val="19"/>
          </w:rPr>
          <w:fldChar w:fldCharType="separate"/>
        </w:r>
        <w:r w:rsidR="009E27E4">
          <w:rPr>
            <w:webHidden/>
            <w:sz w:val="19"/>
            <w:szCs w:val="19"/>
          </w:rPr>
          <w:t>162</w:t>
        </w:r>
        <w:r w:rsidRPr="003E0C70">
          <w:rPr>
            <w:webHidden/>
            <w:sz w:val="19"/>
            <w:szCs w:val="19"/>
          </w:rPr>
          <w:fldChar w:fldCharType="end"/>
        </w:r>
      </w:hyperlink>
    </w:p>
    <w:p w14:paraId="52FEB06E" w14:textId="4E06F1E3" w:rsidR="003E0C70" w:rsidRPr="003E0C70" w:rsidRDefault="003E0C70" w:rsidP="003E0C70">
      <w:pPr>
        <w:pStyle w:val="TM2"/>
        <w:rPr>
          <w:rFonts w:eastAsiaTheme="minorEastAsia"/>
          <w:b w:val="0"/>
          <w:i w:val="0"/>
          <w:caps w:val="0"/>
          <w:color w:val="auto"/>
          <w:sz w:val="19"/>
          <w:szCs w:val="19"/>
        </w:rPr>
      </w:pPr>
      <w:hyperlink w:anchor="_Toc52869863" w:history="1">
        <w:r w:rsidRPr="003E0C70">
          <w:rPr>
            <w:rStyle w:val="Lienhypertexte"/>
            <w:rFonts w:eastAsiaTheme="majorEastAsia"/>
            <w:sz w:val="19"/>
            <w:szCs w:val="19"/>
          </w:rPr>
          <w:t>9.8. Travaux de construction des ouvrages d’assainissement (gros œuvre et mise en place de remblai compacté)</w:t>
        </w:r>
        <w:r w:rsidRPr="003E0C70">
          <w:rPr>
            <w:webHidden/>
            <w:sz w:val="19"/>
            <w:szCs w:val="19"/>
          </w:rPr>
          <w:tab/>
        </w:r>
        <w:r w:rsidRPr="003E0C70">
          <w:rPr>
            <w:webHidden/>
            <w:sz w:val="19"/>
            <w:szCs w:val="19"/>
          </w:rPr>
          <w:fldChar w:fldCharType="begin"/>
        </w:r>
        <w:r w:rsidRPr="003E0C70">
          <w:rPr>
            <w:webHidden/>
            <w:sz w:val="19"/>
            <w:szCs w:val="19"/>
          </w:rPr>
          <w:instrText xml:space="preserve"> PAGEREF _Toc52869863 \h </w:instrText>
        </w:r>
        <w:r w:rsidRPr="003E0C70">
          <w:rPr>
            <w:webHidden/>
            <w:sz w:val="19"/>
            <w:szCs w:val="19"/>
          </w:rPr>
        </w:r>
        <w:r w:rsidRPr="003E0C70">
          <w:rPr>
            <w:webHidden/>
            <w:sz w:val="19"/>
            <w:szCs w:val="19"/>
          </w:rPr>
          <w:fldChar w:fldCharType="separate"/>
        </w:r>
        <w:r w:rsidR="009E27E4">
          <w:rPr>
            <w:webHidden/>
            <w:sz w:val="19"/>
            <w:szCs w:val="19"/>
          </w:rPr>
          <w:t>164</w:t>
        </w:r>
        <w:r w:rsidRPr="003E0C70">
          <w:rPr>
            <w:webHidden/>
            <w:sz w:val="19"/>
            <w:szCs w:val="19"/>
          </w:rPr>
          <w:fldChar w:fldCharType="end"/>
        </w:r>
      </w:hyperlink>
    </w:p>
    <w:p w14:paraId="0FC35DC8" w14:textId="2610F75E" w:rsidR="003E0C70" w:rsidRPr="003E0C70" w:rsidRDefault="003E0C70" w:rsidP="003E0C70">
      <w:pPr>
        <w:pStyle w:val="TM2"/>
        <w:rPr>
          <w:rFonts w:eastAsiaTheme="minorEastAsia"/>
          <w:b w:val="0"/>
          <w:i w:val="0"/>
          <w:caps w:val="0"/>
          <w:color w:val="auto"/>
          <w:sz w:val="19"/>
          <w:szCs w:val="19"/>
        </w:rPr>
      </w:pPr>
      <w:hyperlink w:anchor="_Toc52869864" w:history="1">
        <w:r w:rsidRPr="003E0C70">
          <w:rPr>
            <w:rStyle w:val="Lienhypertexte"/>
            <w:rFonts w:eastAsiaTheme="majorEastAsia"/>
            <w:sz w:val="19"/>
            <w:szCs w:val="19"/>
          </w:rPr>
          <w:t>9.9. Terrassement pour l’aménagement de la voirie (pose des pavés et aménagement jusqu’aux riverains)</w:t>
        </w:r>
        <w:r w:rsidRPr="003E0C70">
          <w:rPr>
            <w:webHidden/>
            <w:sz w:val="19"/>
            <w:szCs w:val="19"/>
          </w:rPr>
          <w:tab/>
        </w:r>
        <w:r w:rsidRPr="003E0C70">
          <w:rPr>
            <w:webHidden/>
            <w:sz w:val="19"/>
            <w:szCs w:val="19"/>
          </w:rPr>
          <w:fldChar w:fldCharType="begin"/>
        </w:r>
        <w:r w:rsidRPr="003E0C70">
          <w:rPr>
            <w:webHidden/>
            <w:sz w:val="19"/>
            <w:szCs w:val="19"/>
          </w:rPr>
          <w:instrText xml:space="preserve"> PAGEREF _Toc52869864 \h </w:instrText>
        </w:r>
        <w:r w:rsidRPr="003E0C70">
          <w:rPr>
            <w:webHidden/>
            <w:sz w:val="19"/>
            <w:szCs w:val="19"/>
          </w:rPr>
        </w:r>
        <w:r w:rsidRPr="003E0C70">
          <w:rPr>
            <w:webHidden/>
            <w:sz w:val="19"/>
            <w:szCs w:val="19"/>
          </w:rPr>
          <w:fldChar w:fldCharType="separate"/>
        </w:r>
        <w:r w:rsidR="009E27E4">
          <w:rPr>
            <w:webHidden/>
            <w:sz w:val="19"/>
            <w:szCs w:val="19"/>
          </w:rPr>
          <w:t>165</w:t>
        </w:r>
        <w:r w:rsidRPr="003E0C70">
          <w:rPr>
            <w:webHidden/>
            <w:sz w:val="19"/>
            <w:szCs w:val="19"/>
          </w:rPr>
          <w:fldChar w:fldCharType="end"/>
        </w:r>
      </w:hyperlink>
    </w:p>
    <w:p w14:paraId="54F171C2" w14:textId="22AD256B" w:rsidR="003E0C70" w:rsidRPr="003E0C70" w:rsidRDefault="003E0C70" w:rsidP="003E0C70">
      <w:pPr>
        <w:pStyle w:val="TM2"/>
        <w:rPr>
          <w:rFonts w:eastAsiaTheme="minorEastAsia"/>
          <w:b w:val="0"/>
          <w:i w:val="0"/>
          <w:caps w:val="0"/>
          <w:color w:val="auto"/>
          <w:sz w:val="19"/>
          <w:szCs w:val="19"/>
        </w:rPr>
      </w:pPr>
      <w:hyperlink w:anchor="_Toc52869865" w:history="1">
        <w:r w:rsidRPr="003E0C70">
          <w:rPr>
            <w:rStyle w:val="Lienhypertexte"/>
            <w:rFonts w:eastAsiaTheme="majorEastAsia"/>
            <w:sz w:val="19"/>
            <w:szCs w:val="19"/>
          </w:rPr>
          <w:t>9.10. Mise en service des ouvrages et entretien pendant la période de garantie</w:t>
        </w:r>
        <w:r w:rsidRPr="003E0C70">
          <w:rPr>
            <w:webHidden/>
            <w:sz w:val="19"/>
            <w:szCs w:val="19"/>
          </w:rPr>
          <w:tab/>
        </w:r>
        <w:r w:rsidRPr="003E0C70">
          <w:rPr>
            <w:webHidden/>
            <w:sz w:val="19"/>
            <w:szCs w:val="19"/>
          </w:rPr>
          <w:fldChar w:fldCharType="begin"/>
        </w:r>
        <w:r w:rsidRPr="003E0C70">
          <w:rPr>
            <w:webHidden/>
            <w:sz w:val="19"/>
            <w:szCs w:val="19"/>
          </w:rPr>
          <w:instrText xml:space="preserve"> PAGEREF _Toc52869865 \h </w:instrText>
        </w:r>
        <w:r w:rsidRPr="003E0C70">
          <w:rPr>
            <w:webHidden/>
            <w:sz w:val="19"/>
            <w:szCs w:val="19"/>
          </w:rPr>
        </w:r>
        <w:r w:rsidRPr="003E0C70">
          <w:rPr>
            <w:webHidden/>
            <w:sz w:val="19"/>
            <w:szCs w:val="19"/>
          </w:rPr>
          <w:fldChar w:fldCharType="separate"/>
        </w:r>
        <w:r w:rsidR="009E27E4">
          <w:rPr>
            <w:webHidden/>
            <w:sz w:val="19"/>
            <w:szCs w:val="19"/>
          </w:rPr>
          <w:t>166</w:t>
        </w:r>
        <w:r w:rsidRPr="003E0C70">
          <w:rPr>
            <w:webHidden/>
            <w:sz w:val="19"/>
            <w:szCs w:val="19"/>
          </w:rPr>
          <w:fldChar w:fldCharType="end"/>
        </w:r>
      </w:hyperlink>
    </w:p>
    <w:p w14:paraId="4DA610D8" w14:textId="62287BD4" w:rsidR="003E0C70" w:rsidRPr="003E0C70" w:rsidRDefault="003E0C70" w:rsidP="003E0C70">
      <w:pPr>
        <w:pStyle w:val="TM2"/>
        <w:rPr>
          <w:rFonts w:eastAsiaTheme="minorEastAsia"/>
          <w:b w:val="0"/>
          <w:i w:val="0"/>
          <w:caps w:val="0"/>
          <w:color w:val="auto"/>
          <w:sz w:val="19"/>
          <w:szCs w:val="19"/>
        </w:rPr>
      </w:pPr>
      <w:hyperlink w:anchor="_Toc52869866" w:history="1">
        <w:r w:rsidRPr="003E0C70">
          <w:rPr>
            <w:rStyle w:val="Lienhypertexte"/>
            <w:rFonts w:eastAsiaTheme="majorEastAsia"/>
            <w:sz w:val="19"/>
            <w:szCs w:val="19"/>
          </w:rPr>
          <w:t>9.11. Risques vis-à-vis des biens et du milieu naturel pour chaque type d’activités</w:t>
        </w:r>
        <w:r w:rsidRPr="003E0C70">
          <w:rPr>
            <w:webHidden/>
            <w:sz w:val="19"/>
            <w:szCs w:val="19"/>
          </w:rPr>
          <w:tab/>
        </w:r>
        <w:r w:rsidRPr="003E0C70">
          <w:rPr>
            <w:webHidden/>
            <w:sz w:val="19"/>
            <w:szCs w:val="19"/>
          </w:rPr>
          <w:fldChar w:fldCharType="begin"/>
        </w:r>
        <w:r w:rsidRPr="003E0C70">
          <w:rPr>
            <w:webHidden/>
            <w:sz w:val="19"/>
            <w:szCs w:val="19"/>
          </w:rPr>
          <w:instrText xml:space="preserve"> PAGEREF _Toc52869866 \h </w:instrText>
        </w:r>
        <w:r w:rsidRPr="003E0C70">
          <w:rPr>
            <w:webHidden/>
            <w:sz w:val="19"/>
            <w:szCs w:val="19"/>
          </w:rPr>
        </w:r>
        <w:r w:rsidRPr="003E0C70">
          <w:rPr>
            <w:webHidden/>
            <w:sz w:val="19"/>
            <w:szCs w:val="19"/>
          </w:rPr>
          <w:fldChar w:fldCharType="separate"/>
        </w:r>
        <w:r w:rsidR="009E27E4">
          <w:rPr>
            <w:webHidden/>
            <w:sz w:val="19"/>
            <w:szCs w:val="19"/>
          </w:rPr>
          <w:t>167</w:t>
        </w:r>
        <w:r w:rsidRPr="003E0C70">
          <w:rPr>
            <w:webHidden/>
            <w:sz w:val="19"/>
            <w:szCs w:val="19"/>
          </w:rPr>
          <w:fldChar w:fldCharType="end"/>
        </w:r>
      </w:hyperlink>
    </w:p>
    <w:p w14:paraId="76E1017C" w14:textId="57682E73" w:rsidR="003E0C70" w:rsidRPr="003E0C70" w:rsidRDefault="003E0C70" w:rsidP="003E0C70">
      <w:pPr>
        <w:pStyle w:val="TM2"/>
        <w:rPr>
          <w:rFonts w:eastAsiaTheme="minorEastAsia"/>
          <w:b w:val="0"/>
          <w:i w:val="0"/>
          <w:caps w:val="0"/>
          <w:color w:val="auto"/>
          <w:sz w:val="19"/>
          <w:szCs w:val="19"/>
        </w:rPr>
      </w:pPr>
      <w:hyperlink w:anchor="_Toc52869867" w:history="1">
        <w:r w:rsidRPr="003E0C70">
          <w:rPr>
            <w:rStyle w:val="Lienhypertexte"/>
            <w:rFonts w:eastAsiaTheme="majorEastAsia"/>
            <w:sz w:val="19"/>
            <w:szCs w:val="19"/>
          </w:rPr>
          <w:t>9.12. Mesures générales de prévention et minimisation des risques pendant les travaux</w:t>
        </w:r>
        <w:r w:rsidRPr="003E0C70">
          <w:rPr>
            <w:webHidden/>
            <w:sz w:val="19"/>
            <w:szCs w:val="19"/>
          </w:rPr>
          <w:tab/>
        </w:r>
        <w:r w:rsidRPr="003E0C70">
          <w:rPr>
            <w:webHidden/>
            <w:sz w:val="19"/>
            <w:szCs w:val="19"/>
          </w:rPr>
          <w:fldChar w:fldCharType="begin"/>
        </w:r>
        <w:r w:rsidRPr="003E0C70">
          <w:rPr>
            <w:webHidden/>
            <w:sz w:val="19"/>
            <w:szCs w:val="19"/>
          </w:rPr>
          <w:instrText xml:space="preserve"> PAGEREF _Toc52869867 \h </w:instrText>
        </w:r>
        <w:r w:rsidRPr="003E0C70">
          <w:rPr>
            <w:webHidden/>
            <w:sz w:val="19"/>
            <w:szCs w:val="19"/>
          </w:rPr>
        </w:r>
        <w:r w:rsidRPr="003E0C70">
          <w:rPr>
            <w:webHidden/>
            <w:sz w:val="19"/>
            <w:szCs w:val="19"/>
          </w:rPr>
          <w:fldChar w:fldCharType="separate"/>
        </w:r>
        <w:r w:rsidR="009E27E4">
          <w:rPr>
            <w:webHidden/>
            <w:sz w:val="19"/>
            <w:szCs w:val="19"/>
          </w:rPr>
          <w:t>172</w:t>
        </w:r>
        <w:r w:rsidRPr="003E0C70">
          <w:rPr>
            <w:webHidden/>
            <w:sz w:val="19"/>
            <w:szCs w:val="19"/>
          </w:rPr>
          <w:fldChar w:fldCharType="end"/>
        </w:r>
      </w:hyperlink>
    </w:p>
    <w:p w14:paraId="3102FC24" w14:textId="48B8C0A8" w:rsidR="003E0C70" w:rsidRPr="003E0C70" w:rsidRDefault="003E0C70" w:rsidP="003E0C70">
      <w:pPr>
        <w:pStyle w:val="TM2"/>
        <w:rPr>
          <w:rFonts w:eastAsiaTheme="minorEastAsia"/>
          <w:b w:val="0"/>
          <w:i w:val="0"/>
          <w:caps w:val="0"/>
          <w:color w:val="auto"/>
          <w:sz w:val="19"/>
          <w:szCs w:val="19"/>
        </w:rPr>
      </w:pPr>
      <w:hyperlink w:anchor="_Toc52869868" w:history="1">
        <w:r w:rsidRPr="003E0C70">
          <w:rPr>
            <w:rStyle w:val="Lienhypertexte"/>
            <w:rFonts w:eastAsiaTheme="majorEastAsia"/>
            <w:sz w:val="19"/>
            <w:szCs w:val="19"/>
          </w:rPr>
          <w:t>9.13. Mesures spécifiques a chaque type d’activités</w:t>
        </w:r>
        <w:r w:rsidRPr="003E0C70">
          <w:rPr>
            <w:webHidden/>
            <w:sz w:val="19"/>
            <w:szCs w:val="19"/>
          </w:rPr>
          <w:tab/>
        </w:r>
        <w:r w:rsidRPr="003E0C70">
          <w:rPr>
            <w:webHidden/>
            <w:sz w:val="19"/>
            <w:szCs w:val="19"/>
          </w:rPr>
          <w:fldChar w:fldCharType="begin"/>
        </w:r>
        <w:r w:rsidRPr="003E0C70">
          <w:rPr>
            <w:webHidden/>
            <w:sz w:val="19"/>
            <w:szCs w:val="19"/>
          </w:rPr>
          <w:instrText xml:space="preserve"> PAGEREF _Toc52869868 \h </w:instrText>
        </w:r>
        <w:r w:rsidRPr="003E0C70">
          <w:rPr>
            <w:webHidden/>
            <w:sz w:val="19"/>
            <w:szCs w:val="19"/>
          </w:rPr>
        </w:r>
        <w:r w:rsidRPr="003E0C70">
          <w:rPr>
            <w:webHidden/>
            <w:sz w:val="19"/>
            <w:szCs w:val="19"/>
          </w:rPr>
          <w:fldChar w:fldCharType="separate"/>
        </w:r>
        <w:r w:rsidR="009E27E4">
          <w:rPr>
            <w:webHidden/>
            <w:sz w:val="19"/>
            <w:szCs w:val="19"/>
          </w:rPr>
          <w:t>175</w:t>
        </w:r>
        <w:r w:rsidRPr="003E0C70">
          <w:rPr>
            <w:webHidden/>
            <w:sz w:val="19"/>
            <w:szCs w:val="19"/>
          </w:rPr>
          <w:fldChar w:fldCharType="end"/>
        </w:r>
      </w:hyperlink>
    </w:p>
    <w:p w14:paraId="5A8FC1ED" w14:textId="5C7A61A1" w:rsidR="003E0C70" w:rsidRPr="003E0C70" w:rsidRDefault="003E0C70" w:rsidP="003E0C70">
      <w:pPr>
        <w:pStyle w:val="TM2"/>
        <w:rPr>
          <w:rFonts w:eastAsiaTheme="minorEastAsia"/>
          <w:b w:val="0"/>
          <w:i w:val="0"/>
          <w:caps w:val="0"/>
          <w:color w:val="auto"/>
          <w:sz w:val="19"/>
          <w:szCs w:val="19"/>
        </w:rPr>
      </w:pPr>
      <w:hyperlink w:anchor="_Toc52869869" w:history="1">
        <w:r w:rsidRPr="003E0C70">
          <w:rPr>
            <w:rStyle w:val="Lienhypertexte"/>
            <w:rFonts w:eastAsiaTheme="majorEastAsia"/>
            <w:sz w:val="19"/>
            <w:szCs w:val="19"/>
          </w:rPr>
          <w:t>9.15. Mesures générales de prévention et de minimisation des risques pendant l’exploitation</w:t>
        </w:r>
        <w:r w:rsidRPr="003E0C70">
          <w:rPr>
            <w:webHidden/>
            <w:sz w:val="19"/>
            <w:szCs w:val="19"/>
          </w:rPr>
          <w:tab/>
        </w:r>
        <w:r w:rsidRPr="003E0C70">
          <w:rPr>
            <w:webHidden/>
            <w:sz w:val="19"/>
            <w:szCs w:val="19"/>
          </w:rPr>
          <w:fldChar w:fldCharType="begin"/>
        </w:r>
        <w:r w:rsidRPr="003E0C70">
          <w:rPr>
            <w:webHidden/>
            <w:sz w:val="19"/>
            <w:szCs w:val="19"/>
          </w:rPr>
          <w:instrText xml:space="preserve"> PAGEREF _Toc52869869 \h </w:instrText>
        </w:r>
        <w:r w:rsidRPr="003E0C70">
          <w:rPr>
            <w:webHidden/>
            <w:sz w:val="19"/>
            <w:szCs w:val="19"/>
          </w:rPr>
        </w:r>
        <w:r w:rsidRPr="003E0C70">
          <w:rPr>
            <w:webHidden/>
            <w:sz w:val="19"/>
            <w:szCs w:val="19"/>
          </w:rPr>
          <w:fldChar w:fldCharType="separate"/>
        </w:r>
        <w:r w:rsidR="009E27E4">
          <w:rPr>
            <w:webHidden/>
            <w:sz w:val="19"/>
            <w:szCs w:val="19"/>
          </w:rPr>
          <w:t>183</w:t>
        </w:r>
        <w:r w:rsidRPr="003E0C70">
          <w:rPr>
            <w:webHidden/>
            <w:sz w:val="19"/>
            <w:szCs w:val="19"/>
          </w:rPr>
          <w:fldChar w:fldCharType="end"/>
        </w:r>
      </w:hyperlink>
    </w:p>
    <w:p w14:paraId="580F7A90" w14:textId="4C094426" w:rsidR="003E0C70" w:rsidRPr="003E0C70" w:rsidRDefault="003E0C70" w:rsidP="003E0C70">
      <w:pPr>
        <w:pStyle w:val="TM1"/>
        <w:tabs>
          <w:tab w:val="right" w:leader="dot" w:pos="9345"/>
        </w:tabs>
        <w:spacing w:before="60" w:after="0" w:line="240" w:lineRule="auto"/>
        <w:rPr>
          <w:rFonts w:ascii="Arial" w:eastAsiaTheme="minorEastAsia" w:hAnsi="Arial" w:cs="Arial"/>
          <w:b w:val="0"/>
          <w:bCs w:val="0"/>
          <w:caps w:val="0"/>
          <w:noProof/>
          <w:color w:val="auto"/>
          <w:sz w:val="19"/>
          <w:szCs w:val="19"/>
          <w:lang w:eastAsia="fr-FR"/>
        </w:rPr>
      </w:pPr>
      <w:hyperlink w:anchor="_Toc52869870" w:history="1">
        <w:r w:rsidRPr="003E0C70">
          <w:rPr>
            <w:rStyle w:val="Lienhypertexte"/>
            <w:rFonts w:ascii="Arial" w:hAnsi="Arial" w:cs="Arial"/>
            <w:noProof/>
            <w:sz w:val="19"/>
            <w:szCs w:val="19"/>
          </w:rPr>
          <w:t>10. RESUME DU plan d’ACTION DE REINSTALLATION</w:t>
        </w:r>
        <w:r w:rsidRPr="003E0C70">
          <w:rPr>
            <w:rFonts w:ascii="Arial" w:hAnsi="Arial" w:cs="Arial"/>
            <w:noProof/>
            <w:webHidden/>
            <w:sz w:val="19"/>
            <w:szCs w:val="19"/>
          </w:rPr>
          <w:tab/>
        </w:r>
        <w:r w:rsidRPr="003E0C70">
          <w:rPr>
            <w:rFonts w:ascii="Arial" w:hAnsi="Arial" w:cs="Arial"/>
            <w:noProof/>
            <w:webHidden/>
            <w:sz w:val="19"/>
            <w:szCs w:val="19"/>
          </w:rPr>
          <w:fldChar w:fldCharType="begin"/>
        </w:r>
        <w:r w:rsidRPr="003E0C70">
          <w:rPr>
            <w:rFonts w:ascii="Arial" w:hAnsi="Arial" w:cs="Arial"/>
            <w:noProof/>
            <w:webHidden/>
            <w:sz w:val="19"/>
            <w:szCs w:val="19"/>
          </w:rPr>
          <w:instrText xml:space="preserve"> PAGEREF _Toc52869870 \h </w:instrText>
        </w:r>
        <w:r w:rsidRPr="003E0C70">
          <w:rPr>
            <w:rFonts w:ascii="Arial" w:hAnsi="Arial" w:cs="Arial"/>
            <w:noProof/>
            <w:webHidden/>
            <w:sz w:val="19"/>
            <w:szCs w:val="19"/>
          </w:rPr>
        </w:r>
        <w:r w:rsidRPr="003E0C70">
          <w:rPr>
            <w:rFonts w:ascii="Arial" w:hAnsi="Arial" w:cs="Arial"/>
            <w:noProof/>
            <w:webHidden/>
            <w:sz w:val="19"/>
            <w:szCs w:val="19"/>
          </w:rPr>
          <w:fldChar w:fldCharType="separate"/>
        </w:r>
        <w:r w:rsidR="009E27E4">
          <w:rPr>
            <w:rFonts w:ascii="Arial" w:hAnsi="Arial" w:cs="Arial"/>
            <w:noProof/>
            <w:webHidden/>
            <w:sz w:val="19"/>
            <w:szCs w:val="19"/>
          </w:rPr>
          <w:t>184</w:t>
        </w:r>
        <w:r w:rsidRPr="003E0C70">
          <w:rPr>
            <w:rFonts w:ascii="Arial" w:hAnsi="Arial" w:cs="Arial"/>
            <w:noProof/>
            <w:webHidden/>
            <w:sz w:val="19"/>
            <w:szCs w:val="19"/>
          </w:rPr>
          <w:fldChar w:fldCharType="end"/>
        </w:r>
      </w:hyperlink>
    </w:p>
    <w:p w14:paraId="64DDBB81" w14:textId="792F20E7" w:rsidR="003E0C70" w:rsidRPr="003E0C70" w:rsidRDefault="003E0C70" w:rsidP="003E0C70">
      <w:pPr>
        <w:pStyle w:val="TM2"/>
        <w:rPr>
          <w:rFonts w:eastAsiaTheme="minorEastAsia"/>
          <w:b w:val="0"/>
          <w:i w:val="0"/>
          <w:caps w:val="0"/>
          <w:color w:val="auto"/>
          <w:sz w:val="19"/>
          <w:szCs w:val="19"/>
        </w:rPr>
      </w:pPr>
      <w:hyperlink w:anchor="_Toc52869871" w:history="1">
        <w:r w:rsidRPr="003E0C70">
          <w:rPr>
            <w:rStyle w:val="Lienhypertexte"/>
            <w:rFonts w:eastAsiaTheme="majorEastAsia"/>
            <w:sz w:val="19"/>
            <w:szCs w:val="19"/>
          </w:rPr>
          <w:t>10.1. Personnes impactées par le projet</w:t>
        </w:r>
        <w:r w:rsidRPr="003E0C70">
          <w:rPr>
            <w:webHidden/>
            <w:sz w:val="19"/>
            <w:szCs w:val="19"/>
          </w:rPr>
          <w:tab/>
        </w:r>
        <w:r w:rsidRPr="003E0C70">
          <w:rPr>
            <w:webHidden/>
            <w:sz w:val="19"/>
            <w:szCs w:val="19"/>
          </w:rPr>
          <w:fldChar w:fldCharType="begin"/>
        </w:r>
        <w:r w:rsidRPr="003E0C70">
          <w:rPr>
            <w:webHidden/>
            <w:sz w:val="19"/>
            <w:szCs w:val="19"/>
          </w:rPr>
          <w:instrText xml:space="preserve"> PAGEREF _Toc52869871 \h </w:instrText>
        </w:r>
        <w:r w:rsidRPr="003E0C70">
          <w:rPr>
            <w:webHidden/>
            <w:sz w:val="19"/>
            <w:szCs w:val="19"/>
          </w:rPr>
        </w:r>
        <w:r w:rsidRPr="003E0C70">
          <w:rPr>
            <w:webHidden/>
            <w:sz w:val="19"/>
            <w:szCs w:val="19"/>
          </w:rPr>
          <w:fldChar w:fldCharType="separate"/>
        </w:r>
        <w:r w:rsidR="009E27E4">
          <w:rPr>
            <w:webHidden/>
            <w:sz w:val="19"/>
            <w:szCs w:val="19"/>
          </w:rPr>
          <w:t>185</w:t>
        </w:r>
        <w:r w:rsidRPr="003E0C70">
          <w:rPr>
            <w:webHidden/>
            <w:sz w:val="19"/>
            <w:szCs w:val="19"/>
          </w:rPr>
          <w:fldChar w:fldCharType="end"/>
        </w:r>
      </w:hyperlink>
    </w:p>
    <w:p w14:paraId="296F31DC" w14:textId="5B279764" w:rsidR="003E0C70" w:rsidRPr="003E0C70" w:rsidRDefault="003E0C70" w:rsidP="003E0C70">
      <w:pPr>
        <w:pStyle w:val="TM2"/>
        <w:rPr>
          <w:rFonts w:eastAsiaTheme="minorEastAsia"/>
          <w:b w:val="0"/>
          <w:i w:val="0"/>
          <w:caps w:val="0"/>
          <w:color w:val="auto"/>
          <w:sz w:val="19"/>
          <w:szCs w:val="19"/>
        </w:rPr>
      </w:pPr>
      <w:hyperlink w:anchor="_Toc52869872" w:history="1">
        <w:r w:rsidRPr="003E0C70">
          <w:rPr>
            <w:rStyle w:val="Lienhypertexte"/>
            <w:rFonts w:eastAsiaTheme="majorEastAsia"/>
            <w:sz w:val="19"/>
            <w:szCs w:val="19"/>
          </w:rPr>
          <w:t>10.2. Informations générales sur le PAR</w:t>
        </w:r>
        <w:r w:rsidRPr="003E0C70">
          <w:rPr>
            <w:webHidden/>
            <w:sz w:val="19"/>
            <w:szCs w:val="19"/>
          </w:rPr>
          <w:tab/>
        </w:r>
        <w:r w:rsidRPr="003E0C70">
          <w:rPr>
            <w:webHidden/>
            <w:sz w:val="19"/>
            <w:szCs w:val="19"/>
          </w:rPr>
          <w:fldChar w:fldCharType="begin"/>
        </w:r>
        <w:r w:rsidRPr="003E0C70">
          <w:rPr>
            <w:webHidden/>
            <w:sz w:val="19"/>
            <w:szCs w:val="19"/>
          </w:rPr>
          <w:instrText xml:space="preserve"> PAGEREF _Toc52869872 \h </w:instrText>
        </w:r>
        <w:r w:rsidRPr="003E0C70">
          <w:rPr>
            <w:webHidden/>
            <w:sz w:val="19"/>
            <w:szCs w:val="19"/>
          </w:rPr>
        </w:r>
        <w:r w:rsidRPr="003E0C70">
          <w:rPr>
            <w:webHidden/>
            <w:sz w:val="19"/>
            <w:szCs w:val="19"/>
          </w:rPr>
          <w:fldChar w:fldCharType="separate"/>
        </w:r>
        <w:r w:rsidR="009E27E4">
          <w:rPr>
            <w:webHidden/>
            <w:sz w:val="19"/>
            <w:szCs w:val="19"/>
          </w:rPr>
          <w:t>185</w:t>
        </w:r>
        <w:r w:rsidRPr="003E0C70">
          <w:rPr>
            <w:webHidden/>
            <w:sz w:val="19"/>
            <w:szCs w:val="19"/>
          </w:rPr>
          <w:fldChar w:fldCharType="end"/>
        </w:r>
      </w:hyperlink>
    </w:p>
    <w:p w14:paraId="29D89147" w14:textId="0C002ABC" w:rsidR="003E0C70" w:rsidRPr="003E0C70" w:rsidRDefault="003E0C70" w:rsidP="003E0C70">
      <w:pPr>
        <w:pStyle w:val="TM2"/>
        <w:rPr>
          <w:rFonts w:eastAsiaTheme="minorEastAsia"/>
          <w:b w:val="0"/>
          <w:i w:val="0"/>
          <w:caps w:val="0"/>
          <w:color w:val="auto"/>
          <w:sz w:val="19"/>
          <w:szCs w:val="19"/>
        </w:rPr>
      </w:pPr>
      <w:hyperlink w:anchor="_Toc52869873" w:history="1">
        <w:r w:rsidRPr="003E0C70">
          <w:rPr>
            <w:rStyle w:val="Lienhypertexte"/>
            <w:rFonts w:eastAsiaTheme="majorEastAsia"/>
            <w:sz w:val="19"/>
            <w:szCs w:val="19"/>
          </w:rPr>
          <w:t>10.3. Les activités du PAR</w:t>
        </w:r>
        <w:r w:rsidRPr="003E0C70">
          <w:rPr>
            <w:webHidden/>
            <w:sz w:val="19"/>
            <w:szCs w:val="19"/>
          </w:rPr>
          <w:tab/>
        </w:r>
        <w:r w:rsidRPr="003E0C70">
          <w:rPr>
            <w:webHidden/>
            <w:sz w:val="19"/>
            <w:szCs w:val="19"/>
          </w:rPr>
          <w:fldChar w:fldCharType="begin"/>
        </w:r>
        <w:r w:rsidRPr="003E0C70">
          <w:rPr>
            <w:webHidden/>
            <w:sz w:val="19"/>
            <w:szCs w:val="19"/>
          </w:rPr>
          <w:instrText xml:space="preserve"> PAGEREF _Toc52869873 \h </w:instrText>
        </w:r>
        <w:r w:rsidRPr="003E0C70">
          <w:rPr>
            <w:webHidden/>
            <w:sz w:val="19"/>
            <w:szCs w:val="19"/>
          </w:rPr>
        </w:r>
        <w:r w:rsidRPr="003E0C70">
          <w:rPr>
            <w:webHidden/>
            <w:sz w:val="19"/>
            <w:szCs w:val="19"/>
          </w:rPr>
          <w:fldChar w:fldCharType="separate"/>
        </w:r>
        <w:r w:rsidR="009E27E4">
          <w:rPr>
            <w:webHidden/>
            <w:sz w:val="19"/>
            <w:szCs w:val="19"/>
          </w:rPr>
          <w:t>186</w:t>
        </w:r>
        <w:r w:rsidRPr="003E0C70">
          <w:rPr>
            <w:webHidden/>
            <w:sz w:val="19"/>
            <w:szCs w:val="19"/>
          </w:rPr>
          <w:fldChar w:fldCharType="end"/>
        </w:r>
      </w:hyperlink>
    </w:p>
    <w:p w14:paraId="744A07CA" w14:textId="6D5FC228" w:rsidR="003E0C70" w:rsidRPr="003E0C70" w:rsidRDefault="003E0C70" w:rsidP="003E0C70">
      <w:pPr>
        <w:pStyle w:val="TM2"/>
        <w:rPr>
          <w:rFonts w:eastAsiaTheme="minorEastAsia"/>
          <w:b w:val="0"/>
          <w:i w:val="0"/>
          <w:caps w:val="0"/>
          <w:color w:val="auto"/>
          <w:sz w:val="19"/>
          <w:szCs w:val="19"/>
        </w:rPr>
      </w:pPr>
      <w:hyperlink w:anchor="_Toc52869874" w:history="1">
        <w:r w:rsidRPr="003E0C70">
          <w:rPr>
            <w:rStyle w:val="Lienhypertexte"/>
            <w:rFonts w:eastAsiaTheme="majorEastAsia"/>
            <w:sz w:val="19"/>
            <w:szCs w:val="19"/>
          </w:rPr>
          <w:t xml:space="preserve">10.4. </w:t>
        </w:r>
        <w:r w:rsidRPr="003E0C70">
          <w:rPr>
            <w:rStyle w:val="Lienhypertexte"/>
            <w:sz w:val="19"/>
            <w:szCs w:val="19"/>
          </w:rPr>
          <w:t>Approche méthodologique de réalisation du PAR</w:t>
        </w:r>
        <w:r w:rsidRPr="003E0C70">
          <w:rPr>
            <w:webHidden/>
            <w:sz w:val="19"/>
            <w:szCs w:val="19"/>
          </w:rPr>
          <w:tab/>
        </w:r>
        <w:r w:rsidRPr="003E0C70">
          <w:rPr>
            <w:webHidden/>
            <w:sz w:val="19"/>
            <w:szCs w:val="19"/>
          </w:rPr>
          <w:fldChar w:fldCharType="begin"/>
        </w:r>
        <w:r w:rsidRPr="003E0C70">
          <w:rPr>
            <w:webHidden/>
            <w:sz w:val="19"/>
            <w:szCs w:val="19"/>
          </w:rPr>
          <w:instrText xml:space="preserve"> PAGEREF _Toc52869874 \h </w:instrText>
        </w:r>
        <w:r w:rsidRPr="003E0C70">
          <w:rPr>
            <w:webHidden/>
            <w:sz w:val="19"/>
            <w:szCs w:val="19"/>
          </w:rPr>
        </w:r>
        <w:r w:rsidRPr="003E0C70">
          <w:rPr>
            <w:webHidden/>
            <w:sz w:val="19"/>
            <w:szCs w:val="19"/>
          </w:rPr>
          <w:fldChar w:fldCharType="separate"/>
        </w:r>
        <w:r w:rsidR="009E27E4">
          <w:rPr>
            <w:webHidden/>
            <w:sz w:val="19"/>
            <w:szCs w:val="19"/>
          </w:rPr>
          <w:t>186</w:t>
        </w:r>
        <w:r w:rsidRPr="003E0C70">
          <w:rPr>
            <w:webHidden/>
            <w:sz w:val="19"/>
            <w:szCs w:val="19"/>
          </w:rPr>
          <w:fldChar w:fldCharType="end"/>
        </w:r>
      </w:hyperlink>
    </w:p>
    <w:p w14:paraId="5719B6A9" w14:textId="1160AABD" w:rsidR="003E0C70" w:rsidRPr="003E0C70" w:rsidRDefault="003E0C70" w:rsidP="003E0C70">
      <w:pPr>
        <w:pStyle w:val="TM2"/>
        <w:rPr>
          <w:rFonts w:eastAsiaTheme="minorEastAsia"/>
          <w:b w:val="0"/>
          <w:i w:val="0"/>
          <w:caps w:val="0"/>
          <w:color w:val="auto"/>
          <w:sz w:val="19"/>
          <w:szCs w:val="19"/>
        </w:rPr>
      </w:pPr>
      <w:hyperlink w:anchor="_Toc52869875" w:history="1">
        <w:r w:rsidRPr="003E0C70">
          <w:rPr>
            <w:rStyle w:val="Lienhypertexte"/>
            <w:rFonts w:eastAsiaTheme="majorEastAsia"/>
            <w:sz w:val="19"/>
            <w:szCs w:val="19"/>
          </w:rPr>
          <w:t>10.4.1. Outil de collecte des données du PAR</w:t>
        </w:r>
        <w:r w:rsidRPr="003E0C70">
          <w:rPr>
            <w:webHidden/>
            <w:sz w:val="19"/>
            <w:szCs w:val="19"/>
          </w:rPr>
          <w:tab/>
        </w:r>
        <w:r w:rsidRPr="003E0C70">
          <w:rPr>
            <w:webHidden/>
            <w:sz w:val="19"/>
            <w:szCs w:val="19"/>
          </w:rPr>
          <w:fldChar w:fldCharType="begin"/>
        </w:r>
        <w:r w:rsidRPr="003E0C70">
          <w:rPr>
            <w:webHidden/>
            <w:sz w:val="19"/>
            <w:szCs w:val="19"/>
          </w:rPr>
          <w:instrText xml:space="preserve"> PAGEREF _Toc52869875 \h </w:instrText>
        </w:r>
        <w:r w:rsidRPr="003E0C70">
          <w:rPr>
            <w:webHidden/>
            <w:sz w:val="19"/>
            <w:szCs w:val="19"/>
          </w:rPr>
        </w:r>
        <w:r w:rsidRPr="003E0C70">
          <w:rPr>
            <w:webHidden/>
            <w:sz w:val="19"/>
            <w:szCs w:val="19"/>
          </w:rPr>
          <w:fldChar w:fldCharType="separate"/>
        </w:r>
        <w:r w:rsidR="009E27E4">
          <w:rPr>
            <w:webHidden/>
            <w:sz w:val="19"/>
            <w:szCs w:val="19"/>
          </w:rPr>
          <w:t>187</w:t>
        </w:r>
        <w:r w:rsidRPr="003E0C70">
          <w:rPr>
            <w:webHidden/>
            <w:sz w:val="19"/>
            <w:szCs w:val="19"/>
          </w:rPr>
          <w:fldChar w:fldCharType="end"/>
        </w:r>
      </w:hyperlink>
    </w:p>
    <w:p w14:paraId="108148FD" w14:textId="6A52C0B8" w:rsidR="003E0C70" w:rsidRPr="003E0C70" w:rsidRDefault="003E0C70" w:rsidP="003E0C70">
      <w:pPr>
        <w:pStyle w:val="TM2"/>
        <w:rPr>
          <w:rFonts w:eastAsiaTheme="minorEastAsia"/>
          <w:b w:val="0"/>
          <w:i w:val="0"/>
          <w:caps w:val="0"/>
          <w:color w:val="auto"/>
          <w:sz w:val="19"/>
          <w:szCs w:val="19"/>
        </w:rPr>
      </w:pPr>
      <w:hyperlink w:anchor="_Toc52869876" w:history="1">
        <w:r w:rsidRPr="003E0C70">
          <w:rPr>
            <w:rStyle w:val="Lienhypertexte"/>
            <w:rFonts w:eastAsiaTheme="majorEastAsia"/>
            <w:sz w:val="19"/>
            <w:szCs w:val="19"/>
          </w:rPr>
          <w:t xml:space="preserve">10.5. </w:t>
        </w:r>
        <w:r w:rsidRPr="003E0C70">
          <w:rPr>
            <w:rStyle w:val="Lienhypertexte"/>
            <w:sz w:val="19"/>
            <w:szCs w:val="19"/>
            <w:lang w:eastAsia="de-DE"/>
          </w:rPr>
          <w:t>Analyse du cadre juridique du projet</w:t>
        </w:r>
        <w:r w:rsidRPr="003E0C70">
          <w:rPr>
            <w:webHidden/>
            <w:sz w:val="19"/>
            <w:szCs w:val="19"/>
          </w:rPr>
          <w:tab/>
        </w:r>
        <w:r w:rsidRPr="003E0C70">
          <w:rPr>
            <w:webHidden/>
            <w:sz w:val="19"/>
            <w:szCs w:val="19"/>
          </w:rPr>
          <w:fldChar w:fldCharType="begin"/>
        </w:r>
        <w:r w:rsidRPr="003E0C70">
          <w:rPr>
            <w:webHidden/>
            <w:sz w:val="19"/>
            <w:szCs w:val="19"/>
          </w:rPr>
          <w:instrText xml:space="preserve"> PAGEREF _Toc52869876 \h </w:instrText>
        </w:r>
        <w:r w:rsidRPr="003E0C70">
          <w:rPr>
            <w:webHidden/>
            <w:sz w:val="19"/>
            <w:szCs w:val="19"/>
          </w:rPr>
        </w:r>
        <w:r w:rsidRPr="003E0C70">
          <w:rPr>
            <w:webHidden/>
            <w:sz w:val="19"/>
            <w:szCs w:val="19"/>
          </w:rPr>
          <w:fldChar w:fldCharType="separate"/>
        </w:r>
        <w:r w:rsidR="009E27E4">
          <w:rPr>
            <w:webHidden/>
            <w:sz w:val="19"/>
            <w:szCs w:val="19"/>
          </w:rPr>
          <w:t>188</w:t>
        </w:r>
        <w:r w:rsidRPr="003E0C70">
          <w:rPr>
            <w:webHidden/>
            <w:sz w:val="19"/>
            <w:szCs w:val="19"/>
          </w:rPr>
          <w:fldChar w:fldCharType="end"/>
        </w:r>
      </w:hyperlink>
    </w:p>
    <w:p w14:paraId="4AD9D259" w14:textId="4D7CD164" w:rsidR="003E0C70" w:rsidRPr="003E0C70" w:rsidRDefault="003E0C70" w:rsidP="003E0C70">
      <w:pPr>
        <w:pStyle w:val="TM2"/>
        <w:rPr>
          <w:rFonts w:eastAsiaTheme="minorEastAsia"/>
          <w:b w:val="0"/>
          <w:i w:val="0"/>
          <w:caps w:val="0"/>
          <w:color w:val="auto"/>
          <w:sz w:val="19"/>
          <w:szCs w:val="19"/>
        </w:rPr>
      </w:pPr>
      <w:hyperlink w:anchor="_Toc52869877" w:history="1">
        <w:r w:rsidRPr="003E0C70">
          <w:rPr>
            <w:rStyle w:val="Lienhypertexte"/>
            <w:rFonts w:eastAsiaTheme="majorEastAsia"/>
            <w:sz w:val="19"/>
            <w:szCs w:val="19"/>
          </w:rPr>
          <w:t xml:space="preserve">10.6. </w:t>
        </w:r>
        <w:r w:rsidRPr="003E0C70">
          <w:rPr>
            <w:rStyle w:val="Lienhypertexte"/>
            <w:sz w:val="19"/>
            <w:szCs w:val="19"/>
            <w:lang w:eastAsia="de-DE"/>
          </w:rPr>
          <w:t>Cadre institutionnel</w:t>
        </w:r>
        <w:r w:rsidRPr="003E0C70">
          <w:rPr>
            <w:webHidden/>
            <w:sz w:val="19"/>
            <w:szCs w:val="19"/>
          </w:rPr>
          <w:tab/>
        </w:r>
        <w:r w:rsidRPr="003E0C70">
          <w:rPr>
            <w:webHidden/>
            <w:sz w:val="19"/>
            <w:szCs w:val="19"/>
          </w:rPr>
          <w:fldChar w:fldCharType="begin"/>
        </w:r>
        <w:r w:rsidRPr="003E0C70">
          <w:rPr>
            <w:webHidden/>
            <w:sz w:val="19"/>
            <w:szCs w:val="19"/>
          </w:rPr>
          <w:instrText xml:space="preserve"> PAGEREF _Toc52869877 \h </w:instrText>
        </w:r>
        <w:r w:rsidRPr="003E0C70">
          <w:rPr>
            <w:webHidden/>
            <w:sz w:val="19"/>
            <w:szCs w:val="19"/>
          </w:rPr>
        </w:r>
        <w:r w:rsidRPr="003E0C70">
          <w:rPr>
            <w:webHidden/>
            <w:sz w:val="19"/>
            <w:szCs w:val="19"/>
          </w:rPr>
          <w:fldChar w:fldCharType="separate"/>
        </w:r>
        <w:r w:rsidR="009E27E4">
          <w:rPr>
            <w:webHidden/>
            <w:sz w:val="19"/>
            <w:szCs w:val="19"/>
          </w:rPr>
          <w:t>188</w:t>
        </w:r>
        <w:r w:rsidRPr="003E0C70">
          <w:rPr>
            <w:webHidden/>
            <w:sz w:val="19"/>
            <w:szCs w:val="19"/>
          </w:rPr>
          <w:fldChar w:fldCharType="end"/>
        </w:r>
      </w:hyperlink>
    </w:p>
    <w:p w14:paraId="21678244" w14:textId="014CC54A" w:rsidR="003E0C70" w:rsidRPr="003E0C70" w:rsidRDefault="003E0C70" w:rsidP="003E0C70">
      <w:pPr>
        <w:pStyle w:val="TM2"/>
        <w:rPr>
          <w:rFonts w:eastAsiaTheme="minorEastAsia"/>
          <w:b w:val="0"/>
          <w:i w:val="0"/>
          <w:caps w:val="0"/>
          <w:color w:val="auto"/>
          <w:sz w:val="19"/>
          <w:szCs w:val="19"/>
        </w:rPr>
      </w:pPr>
      <w:hyperlink w:anchor="_Toc52869878" w:history="1">
        <w:r w:rsidRPr="003E0C70">
          <w:rPr>
            <w:rStyle w:val="Lienhypertexte"/>
            <w:rFonts w:eastAsiaTheme="majorEastAsia"/>
            <w:sz w:val="19"/>
            <w:szCs w:val="19"/>
          </w:rPr>
          <w:t xml:space="preserve">10.7. </w:t>
        </w:r>
        <w:r w:rsidRPr="003E0C70">
          <w:rPr>
            <w:rStyle w:val="Lienhypertexte"/>
            <w:sz w:val="19"/>
            <w:szCs w:val="19"/>
            <w:lang w:eastAsia="de-DE"/>
          </w:rPr>
          <w:t>Eligibilité et date butoir</w:t>
        </w:r>
        <w:r w:rsidRPr="003E0C70">
          <w:rPr>
            <w:webHidden/>
            <w:sz w:val="19"/>
            <w:szCs w:val="19"/>
          </w:rPr>
          <w:tab/>
        </w:r>
        <w:r w:rsidRPr="003E0C70">
          <w:rPr>
            <w:webHidden/>
            <w:sz w:val="19"/>
            <w:szCs w:val="19"/>
          </w:rPr>
          <w:fldChar w:fldCharType="begin"/>
        </w:r>
        <w:r w:rsidRPr="003E0C70">
          <w:rPr>
            <w:webHidden/>
            <w:sz w:val="19"/>
            <w:szCs w:val="19"/>
          </w:rPr>
          <w:instrText xml:space="preserve"> PAGEREF _Toc52869878 \h </w:instrText>
        </w:r>
        <w:r w:rsidRPr="003E0C70">
          <w:rPr>
            <w:webHidden/>
            <w:sz w:val="19"/>
            <w:szCs w:val="19"/>
          </w:rPr>
        </w:r>
        <w:r w:rsidRPr="003E0C70">
          <w:rPr>
            <w:webHidden/>
            <w:sz w:val="19"/>
            <w:szCs w:val="19"/>
          </w:rPr>
          <w:fldChar w:fldCharType="separate"/>
        </w:r>
        <w:r w:rsidR="009E27E4">
          <w:rPr>
            <w:webHidden/>
            <w:sz w:val="19"/>
            <w:szCs w:val="19"/>
          </w:rPr>
          <w:t>188</w:t>
        </w:r>
        <w:r w:rsidRPr="003E0C70">
          <w:rPr>
            <w:webHidden/>
            <w:sz w:val="19"/>
            <w:szCs w:val="19"/>
          </w:rPr>
          <w:fldChar w:fldCharType="end"/>
        </w:r>
      </w:hyperlink>
    </w:p>
    <w:p w14:paraId="1AFD2DB1" w14:textId="29220235" w:rsidR="003E0C70" w:rsidRPr="003E0C70" w:rsidRDefault="003E0C70" w:rsidP="003E0C70">
      <w:pPr>
        <w:pStyle w:val="TM2"/>
        <w:rPr>
          <w:rFonts w:eastAsiaTheme="minorEastAsia"/>
          <w:b w:val="0"/>
          <w:i w:val="0"/>
          <w:caps w:val="0"/>
          <w:color w:val="auto"/>
          <w:sz w:val="19"/>
          <w:szCs w:val="19"/>
        </w:rPr>
      </w:pPr>
      <w:hyperlink w:anchor="_Toc52869879" w:history="1">
        <w:r w:rsidRPr="003E0C70">
          <w:rPr>
            <w:rStyle w:val="Lienhypertexte"/>
            <w:rFonts w:eastAsiaTheme="majorEastAsia"/>
            <w:sz w:val="19"/>
            <w:szCs w:val="19"/>
          </w:rPr>
          <w:t xml:space="preserve">10.8. </w:t>
        </w:r>
        <w:r w:rsidRPr="003E0C70">
          <w:rPr>
            <w:rStyle w:val="Lienhypertexte"/>
            <w:sz w:val="19"/>
            <w:szCs w:val="19"/>
            <w:lang w:eastAsia="de-DE"/>
          </w:rPr>
          <w:t>Caractérisation des PAP</w:t>
        </w:r>
        <w:r w:rsidRPr="003E0C70">
          <w:rPr>
            <w:webHidden/>
            <w:sz w:val="19"/>
            <w:szCs w:val="19"/>
          </w:rPr>
          <w:tab/>
        </w:r>
        <w:r w:rsidRPr="003E0C70">
          <w:rPr>
            <w:webHidden/>
            <w:sz w:val="19"/>
            <w:szCs w:val="19"/>
          </w:rPr>
          <w:fldChar w:fldCharType="begin"/>
        </w:r>
        <w:r w:rsidRPr="003E0C70">
          <w:rPr>
            <w:webHidden/>
            <w:sz w:val="19"/>
            <w:szCs w:val="19"/>
          </w:rPr>
          <w:instrText xml:space="preserve"> PAGEREF _Toc52869879 \h </w:instrText>
        </w:r>
        <w:r w:rsidRPr="003E0C70">
          <w:rPr>
            <w:webHidden/>
            <w:sz w:val="19"/>
            <w:szCs w:val="19"/>
          </w:rPr>
        </w:r>
        <w:r w:rsidRPr="003E0C70">
          <w:rPr>
            <w:webHidden/>
            <w:sz w:val="19"/>
            <w:szCs w:val="19"/>
          </w:rPr>
          <w:fldChar w:fldCharType="separate"/>
        </w:r>
        <w:r w:rsidR="009E27E4">
          <w:rPr>
            <w:webHidden/>
            <w:sz w:val="19"/>
            <w:szCs w:val="19"/>
          </w:rPr>
          <w:t>188</w:t>
        </w:r>
        <w:r w:rsidRPr="003E0C70">
          <w:rPr>
            <w:webHidden/>
            <w:sz w:val="19"/>
            <w:szCs w:val="19"/>
          </w:rPr>
          <w:fldChar w:fldCharType="end"/>
        </w:r>
      </w:hyperlink>
    </w:p>
    <w:p w14:paraId="7DCEA19C" w14:textId="6B6C8CB8" w:rsidR="003E0C70" w:rsidRPr="003E0C70" w:rsidRDefault="003E0C70" w:rsidP="003E0C70">
      <w:pPr>
        <w:pStyle w:val="TM2"/>
        <w:rPr>
          <w:rFonts w:eastAsiaTheme="minorEastAsia"/>
          <w:b w:val="0"/>
          <w:i w:val="0"/>
          <w:caps w:val="0"/>
          <w:color w:val="auto"/>
          <w:sz w:val="19"/>
          <w:szCs w:val="19"/>
        </w:rPr>
      </w:pPr>
      <w:hyperlink w:anchor="_Toc52869880" w:history="1">
        <w:r w:rsidRPr="003E0C70">
          <w:rPr>
            <w:rStyle w:val="Lienhypertexte"/>
            <w:sz w:val="19"/>
            <w:szCs w:val="19"/>
          </w:rPr>
          <w:t>10.9. Activités génératrices de revenus des PAP</w:t>
        </w:r>
        <w:r w:rsidRPr="003E0C70">
          <w:rPr>
            <w:webHidden/>
            <w:sz w:val="19"/>
            <w:szCs w:val="19"/>
          </w:rPr>
          <w:tab/>
        </w:r>
        <w:r w:rsidRPr="003E0C70">
          <w:rPr>
            <w:webHidden/>
            <w:sz w:val="19"/>
            <w:szCs w:val="19"/>
          </w:rPr>
          <w:fldChar w:fldCharType="begin"/>
        </w:r>
        <w:r w:rsidRPr="003E0C70">
          <w:rPr>
            <w:webHidden/>
            <w:sz w:val="19"/>
            <w:szCs w:val="19"/>
          </w:rPr>
          <w:instrText xml:space="preserve"> PAGEREF _Toc52869880 \h </w:instrText>
        </w:r>
        <w:r w:rsidRPr="003E0C70">
          <w:rPr>
            <w:webHidden/>
            <w:sz w:val="19"/>
            <w:szCs w:val="19"/>
          </w:rPr>
        </w:r>
        <w:r w:rsidRPr="003E0C70">
          <w:rPr>
            <w:webHidden/>
            <w:sz w:val="19"/>
            <w:szCs w:val="19"/>
          </w:rPr>
          <w:fldChar w:fldCharType="separate"/>
        </w:r>
        <w:r w:rsidR="009E27E4">
          <w:rPr>
            <w:webHidden/>
            <w:sz w:val="19"/>
            <w:szCs w:val="19"/>
          </w:rPr>
          <w:t>191</w:t>
        </w:r>
        <w:r w:rsidRPr="003E0C70">
          <w:rPr>
            <w:webHidden/>
            <w:sz w:val="19"/>
            <w:szCs w:val="19"/>
          </w:rPr>
          <w:fldChar w:fldCharType="end"/>
        </w:r>
      </w:hyperlink>
    </w:p>
    <w:p w14:paraId="7B1AD45B" w14:textId="6AA799F9" w:rsidR="003E0C70" w:rsidRPr="003E0C70" w:rsidRDefault="003E0C70" w:rsidP="003E0C70">
      <w:pPr>
        <w:pStyle w:val="TM2"/>
        <w:rPr>
          <w:rFonts w:eastAsiaTheme="minorEastAsia"/>
          <w:b w:val="0"/>
          <w:i w:val="0"/>
          <w:caps w:val="0"/>
          <w:color w:val="auto"/>
          <w:sz w:val="19"/>
          <w:szCs w:val="19"/>
        </w:rPr>
      </w:pPr>
      <w:hyperlink w:anchor="_Toc52869881" w:history="1">
        <w:r w:rsidRPr="003E0C70">
          <w:rPr>
            <w:rStyle w:val="Lienhypertexte"/>
            <w:sz w:val="19"/>
            <w:szCs w:val="19"/>
          </w:rPr>
          <w:t>10.10. Biens affectés dans l’emprise des travaux dans la ville de NATITINGOU</w:t>
        </w:r>
        <w:r w:rsidRPr="003E0C70">
          <w:rPr>
            <w:webHidden/>
            <w:sz w:val="19"/>
            <w:szCs w:val="19"/>
          </w:rPr>
          <w:tab/>
        </w:r>
        <w:r w:rsidRPr="003E0C70">
          <w:rPr>
            <w:webHidden/>
            <w:sz w:val="19"/>
            <w:szCs w:val="19"/>
          </w:rPr>
          <w:fldChar w:fldCharType="begin"/>
        </w:r>
        <w:r w:rsidRPr="003E0C70">
          <w:rPr>
            <w:webHidden/>
            <w:sz w:val="19"/>
            <w:szCs w:val="19"/>
          </w:rPr>
          <w:instrText xml:space="preserve"> PAGEREF _Toc52869881 \h </w:instrText>
        </w:r>
        <w:r w:rsidRPr="003E0C70">
          <w:rPr>
            <w:webHidden/>
            <w:sz w:val="19"/>
            <w:szCs w:val="19"/>
          </w:rPr>
        </w:r>
        <w:r w:rsidRPr="003E0C70">
          <w:rPr>
            <w:webHidden/>
            <w:sz w:val="19"/>
            <w:szCs w:val="19"/>
          </w:rPr>
          <w:fldChar w:fldCharType="separate"/>
        </w:r>
        <w:r w:rsidR="009E27E4">
          <w:rPr>
            <w:webHidden/>
            <w:sz w:val="19"/>
            <w:szCs w:val="19"/>
          </w:rPr>
          <w:t>194</w:t>
        </w:r>
        <w:r w:rsidRPr="003E0C70">
          <w:rPr>
            <w:webHidden/>
            <w:sz w:val="19"/>
            <w:szCs w:val="19"/>
          </w:rPr>
          <w:fldChar w:fldCharType="end"/>
        </w:r>
      </w:hyperlink>
    </w:p>
    <w:p w14:paraId="4F519C78" w14:textId="0FC330A7" w:rsidR="003E0C70" w:rsidRPr="003E0C70" w:rsidRDefault="003E0C70" w:rsidP="003E0C70">
      <w:pPr>
        <w:pStyle w:val="TM2"/>
        <w:rPr>
          <w:rFonts w:eastAsiaTheme="minorEastAsia"/>
          <w:b w:val="0"/>
          <w:i w:val="0"/>
          <w:caps w:val="0"/>
          <w:color w:val="auto"/>
          <w:sz w:val="19"/>
          <w:szCs w:val="19"/>
        </w:rPr>
      </w:pPr>
      <w:hyperlink w:anchor="_Toc52869882" w:history="1">
        <w:r w:rsidRPr="003E0C70">
          <w:rPr>
            <w:rStyle w:val="Lienhypertexte"/>
            <w:rFonts w:eastAsiaTheme="majorEastAsia"/>
            <w:sz w:val="19"/>
            <w:szCs w:val="19"/>
          </w:rPr>
          <w:t xml:space="preserve">10 .11. </w:t>
        </w:r>
        <w:r w:rsidRPr="003E0C70">
          <w:rPr>
            <w:rStyle w:val="Lienhypertexte"/>
            <w:bCs/>
            <w:iCs/>
            <w:sz w:val="19"/>
            <w:szCs w:val="19"/>
          </w:rPr>
          <w:t>Processus d’indemnisation</w:t>
        </w:r>
        <w:r w:rsidRPr="003E0C70">
          <w:rPr>
            <w:webHidden/>
            <w:sz w:val="19"/>
            <w:szCs w:val="19"/>
          </w:rPr>
          <w:tab/>
        </w:r>
        <w:r w:rsidRPr="003E0C70">
          <w:rPr>
            <w:webHidden/>
            <w:sz w:val="19"/>
            <w:szCs w:val="19"/>
          </w:rPr>
          <w:fldChar w:fldCharType="begin"/>
        </w:r>
        <w:r w:rsidRPr="003E0C70">
          <w:rPr>
            <w:webHidden/>
            <w:sz w:val="19"/>
            <w:szCs w:val="19"/>
          </w:rPr>
          <w:instrText xml:space="preserve"> PAGEREF _Toc52869882 \h </w:instrText>
        </w:r>
        <w:r w:rsidRPr="003E0C70">
          <w:rPr>
            <w:webHidden/>
            <w:sz w:val="19"/>
            <w:szCs w:val="19"/>
          </w:rPr>
        </w:r>
        <w:r w:rsidRPr="003E0C70">
          <w:rPr>
            <w:webHidden/>
            <w:sz w:val="19"/>
            <w:szCs w:val="19"/>
          </w:rPr>
          <w:fldChar w:fldCharType="separate"/>
        </w:r>
        <w:r w:rsidR="009E27E4">
          <w:rPr>
            <w:webHidden/>
            <w:sz w:val="19"/>
            <w:szCs w:val="19"/>
          </w:rPr>
          <w:t>195</w:t>
        </w:r>
        <w:r w:rsidRPr="003E0C70">
          <w:rPr>
            <w:webHidden/>
            <w:sz w:val="19"/>
            <w:szCs w:val="19"/>
          </w:rPr>
          <w:fldChar w:fldCharType="end"/>
        </w:r>
      </w:hyperlink>
    </w:p>
    <w:p w14:paraId="08EC99B7" w14:textId="5FD0D40C" w:rsidR="003E0C70" w:rsidRPr="003E0C70" w:rsidRDefault="003E0C70" w:rsidP="003E0C70">
      <w:pPr>
        <w:pStyle w:val="TM2"/>
        <w:rPr>
          <w:rFonts w:eastAsiaTheme="minorEastAsia"/>
          <w:b w:val="0"/>
          <w:i w:val="0"/>
          <w:caps w:val="0"/>
          <w:color w:val="auto"/>
          <w:sz w:val="19"/>
          <w:szCs w:val="19"/>
        </w:rPr>
      </w:pPr>
      <w:hyperlink w:anchor="_Toc52869883" w:history="1">
        <w:r w:rsidRPr="003E0C70">
          <w:rPr>
            <w:rStyle w:val="Lienhypertexte"/>
            <w:sz w:val="19"/>
            <w:szCs w:val="19"/>
          </w:rPr>
          <w:t>10.12. Mesures de compensation</w:t>
        </w:r>
        <w:r w:rsidRPr="003E0C70">
          <w:rPr>
            <w:webHidden/>
            <w:sz w:val="19"/>
            <w:szCs w:val="19"/>
          </w:rPr>
          <w:tab/>
        </w:r>
        <w:r w:rsidRPr="003E0C70">
          <w:rPr>
            <w:webHidden/>
            <w:sz w:val="19"/>
            <w:szCs w:val="19"/>
          </w:rPr>
          <w:fldChar w:fldCharType="begin"/>
        </w:r>
        <w:r w:rsidRPr="003E0C70">
          <w:rPr>
            <w:webHidden/>
            <w:sz w:val="19"/>
            <w:szCs w:val="19"/>
          </w:rPr>
          <w:instrText xml:space="preserve"> PAGEREF _Toc52869883 \h </w:instrText>
        </w:r>
        <w:r w:rsidRPr="003E0C70">
          <w:rPr>
            <w:webHidden/>
            <w:sz w:val="19"/>
            <w:szCs w:val="19"/>
          </w:rPr>
        </w:r>
        <w:r w:rsidRPr="003E0C70">
          <w:rPr>
            <w:webHidden/>
            <w:sz w:val="19"/>
            <w:szCs w:val="19"/>
          </w:rPr>
          <w:fldChar w:fldCharType="separate"/>
        </w:r>
        <w:r w:rsidR="009E27E4">
          <w:rPr>
            <w:webHidden/>
            <w:sz w:val="19"/>
            <w:szCs w:val="19"/>
          </w:rPr>
          <w:t>196</w:t>
        </w:r>
        <w:r w:rsidRPr="003E0C70">
          <w:rPr>
            <w:webHidden/>
            <w:sz w:val="19"/>
            <w:szCs w:val="19"/>
          </w:rPr>
          <w:fldChar w:fldCharType="end"/>
        </w:r>
      </w:hyperlink>
    </w:p>
    <w:p w14:paraId="77D1A717" w14:textId="30C449D8" w:rsidR="003E0C70" w:rsidRPr="003E0C70" w:rsidRDefault="003E0C70" w:rsidP="003E0C70">
      <w:pPr>
        <w:pStyle w:val="TM2"/>
        <w:rPr>
          <w:rFonts w:eastAsiaTheme="minorEastAsia"/>
          <w:b w:val="0"/>
          <w:i w:val="0"/>
          <w:caps w:val="0"/>
          <w:color w:val="auto"/>
          <w:sz w:val="19"/>
          <w:szCs w:val="19"/>
        </w:rPr>
      </w:pPr>
      <w:hyperlink w:anchor="_Toc52869884" w:history="1">
        <w:r w:rsidRPr="003E0C70">
          <w:rPr>
            <w:rStyle w:val="Lienhypertexte"/>
            <w:rFonts w:eastAsiaTheme="majorEastAsia"/>
            <w:sz w:val="19"/>
            <w:szCs w:val="19"/>
          </w:rPr>
          <w:t xml:space="preserve">10.13. </w:t>
        </w:r>
        <w:r w:rsidRPr="003E0C70">
          <w:rPr>
            <w:rStyle w:val="Lienhypertexte"/>
            <w:sz w:val="19"/>
            <w:szCs w:val="19"/>
          </w:rPr>
          <w:t>Mesures d’accompagnement du PAR</w:t>
        </w:r>
        <w:r w:rsidRPr="003E0C70">
          <w:rPr>
            <w:webHidden/>
            <w:sz w:val="19"/>
            <w:szCs w:val="19"/>
          </w:rPr>
          <w:tab/>
        </w:r>
        <w:r w:rsidRPr="003E0C70">
          <w:rPr>
            <w:webHidden/>
            <w:sz w:val="19"/>
            <w:szCs w:val="19"/>
          </w:rPr>
          <w:fldChar w:fldCharType="begin"/>
        </w:r>
        <w:r w:rsidRPr="003E0C70">
          <w:rPr>
            <w:webHidden/>
            <w:sz w:val="19"/>
            <w:szCs w:val="19"/>
          </w:rPr>
          <w:instrText xml:space="preserve"> PAGEREF _Toc52869884 \h </w:instrText>
        </w:r>
        <w:r w:rsidRPr="003E0C70">
          <w:rPr>
            <w:webHidden/>
            <w:sz w:val="19"/>
            <w:szCs w:val="19"/>
          </w:rPr>
        </w:r>
        <w:r w:rsidRPr="003E0C70">
          <w:rPr>
            <w:webHidden/>
            <w:sz w:val="19"/>
            <w:szCs w:val="19"/>
          </w:rPr>
          <w:fldChar w:fldCharType="separate"/>
        </w:r>
        <w:r w:rsidR="009E27E4">
          <w:rPr>
            <w:webHidden/>
            <w:sz w:val="19"/>
            <w:szCs w:val="19"/>
          </w:rPr>
          <w:t>197</w:t>
        </w:r>
        <w:r w:rsidRPr="003E0C70">
          <w:rPr>
            <w:webHidden/>
            <w:sz w:val="19"/>
            <w:szCs w:val="19"/>
          </w:rPr>
          <w:fldChar w:fldCharType="end"/>
        </w:r>
      </w:hyperlink>
    </w:p>
    <w:p w14:paraId="4104249A" w14:textId="5C372D1A" w:rsidR="003E0C70" w:rsidRPr="003E0C70" w:rsidRDefault="003E0C70" w:rsidP="003E0C70">
      <w:pPr>
        <w:pStyle w:val="TM2"/>
        <w:rPr>
          <w:rFonts w:eastAsiaTheme="minorEastAsia"/>
          <w:b w:val="0"/>
          <w:i w:val="0"/>
          <w:caps w:val="0"/>
          <w:color w:val="auto"/>
          <w:sz w:val="19"/>
          <w:szCs w:val="19"/>
        </w:rPr>
      </w:pPr>
      <w:hyperlink w:anchor="_Toc52869885" w:history="1">
        <w:r w:rsidRPr="003E0C70">
          <w:rPr>
            <w:rStyle w:val="Lienhypertexte"/>
            <w:sz w:val="19"/>
            <w:szCs w:val="19"/>
          </w:rPr>
          <w:t>10.14. Procédures de règlement des griefs</w:t>
        </w:r>
        <w:r w:rsidRPr="003E0C70">
          <w:rPr>
            <w:webHidden/>
            <w:sz w:val="19"/>
            <w:szCs w:val="19"/>
          </w:rPr>
          <w:tab/>
        </w:r>
        <w:r w:rsidRPr="003E0C70">
          <w:rPr>
            <w:webHidden/>
            <w:sz w:val="19"/>
            <w:szCs w:val="19"/>
          </w:rPr>
          <w:fldChar w:fldCharType="begin"/>
        </w:r>
        <w:r w:rsidRPr="003E0C70">
          <w:rPr>
            <w:webHidden/>
            <w:sz w:val="19"/>
            <w:szCs w:val="19"/>
          </w:rPr>
          <w:instrText xml:space="preserve"> PAGEREF _Toc52869885 \h </w:instrText>
        </w:r>
        <w:r w:rsidRPr="003E0C70">
          <w:rPr>
            <w:webHidden/>
            <w:sz w:val="19"/>
            <w:szCs w:val="19"/>
          </w:rPr>
        </w:r>
        <w:r w:rsidRPr="003E0C70">
          <w:rPr>
            <w:webHidden/>
            <w:sz w:val="19"/>
            <w:szCs w:val="19"/>
          </w:rPr>
          <w:fldChar w:fldCharType="separate"/>
        </w:r>
        <w:r w:rsidR="009E27E4">
          <w:rPr>
            <w:webHidden/>
            <w:sz w:val="19"/>
            <w:szCs w:val="19"/>
          </w:rPr>
          <w:t>198</w:t>
        </w:r>
        <w:r w:rsidRPr="003E0C70">
          <w:rPr>
            <w:webHidden/>
            <w:sz w:val="19"/>
            <w:szCs w:val="19"/>
          </w:rPr>
          <w:fldChar w:fldCharType="end"/>
        </w:r>
      </w:hyperlink>
    </w:p>
    <w:p w14:paraId="56FCFC8A" w14:textId="25A1DCB5" w:rsidR="003E0C70" w:rsidRPr="003E0C70" w:rsidRDefault="003E0C70" w:rsidP="003E0C70">
      <w:pPr>
        <w:pStyle w:val="TM2"/>
        <w:rPr>
          <w:rFonts w:eastAsiaTheme="minorEastAsia"/>
          <w:b w:val="0"/>
          <w:i w:val="0"/>
          <w:caps w:val="0"/>
          <w:color w:val="auto"/>
          <w:sz w:val="19"/>
          <w:szCs w:val="19"/>
        </w:rPr>
      </w:pPr>
      <w:hyperlink w:anchor="_Toc52869886" w:history="1">
        <w:r w:rsidRPr="003E0C70">
          <w:rPr>
            <w:rStyle w:val="Lienhypertexte"/>
            <w:rFonts w:eastAsiaTheme="majorEastAsia"/>
            <w:sz w:val="19"/>
            <w:szCs w:val="19"/>
          </w:rPr>
          <w:t xml:space="preserve">10.15. </w:t>
        </w:r>
        <w:r w:rsidRPr="003E0C70">
          <w:rPr>
            <w:rStyle w:val="Lienhypertexte"/>
            <w:sz w:val="19"/>
            <w:szCs w:val="19"/>
          </w:rPr>
          <w:t>Responsabilités organisationnelles de la mise en œuvre du PAR</w:t>
        </w:r>
        <w:r w:rsidRPr="003E0C70">
          <w:rPr>
            <w:webHidden/>
            <w:sz w:val="19"/>
            <w:szCs w:val="19"/>
          </w:rPr>
          <w:tab/>
        </w:r>
        <w:r w:rsidRPr="003E0C70">
          <w:rPr>
            <w:webHidden/>
            <w:sz w:val="19"/>
            <w:szCs w:val="19"/>
          </w:rPr>
          <w:fldChar w:fldCharType="begin"/>
        </w:r>
        <w:r w:rsidRPr="003E0C70">
          <w:rPr>
            <w:webHidden/>
            <w:sz w:val="19"/>
            <w:szCs w:val="19"/>
          </w:rPr>
          <w:instrText xml:space="preserve"> PAGEREF _Toc52869886 \h </w:instrText>
        </w:r>
        <w:r w:rsidRPr="003E0C70">
          <w:rPr>
            <w:webHidden/>
            <w:sz w:val="19"/>
            <w:szCs w:val="19"/>
          </w:rPr>
        </w:r>
        <w:r w:rsidRPr="003E0C70">
          <w:rPr>
            <w:webHidden/>
            <w:sz w:val="19"/>
            <w:szCs w:val="19"/>
          </w:rPr>
          <w:fldChar w:fldCharType="separate"/>
        </w:r>
        <w:r w:rsidR="009E27E4">
          <w:rPr>
            <w:webHidden/>
            <w:sz w:val="19"/>
            <w:szCs w:val="19"/>
          </w:rPr>
          <w:t>198</w:t>
        </w:r>
        <w:r w:rsidRPr="003E0C70">
          <w:rPr>
            <w:webHidden/>
            <w:sz w:val="19"/>
            <w:szCs w:val="19"/>
          </w:rPr>
          <w:fldChar w:fldCharType="end"/>
        </w:r>
      </w:hyperlink>
    </w:p>
    <w:p w14:paraId="427116BF" w14:textId="143B2B42" w:rsidR="003E0C70" w:rsidRPr="003E0C70" w:rsidRDefault="003E0C70" w:rsidP="003E0C70">
      <w:pPr>
        <w:pStyle w:val="TM2"/>
        <w:rPr>
          <w:rFonts w:eastAsiaTheme="minorEastAsia"/>
          <w:b w:val="0"/>
          <w:i w:val="0"/>
          <w:caps w:val="0"/>
          <w:color w:val="auto"/>
          <w:sz w:val="19"/>
          <w:szCs w:val="19"/>
        </w:rPr>
      </w:pPr>
      <w:hyperlink w:anchor="_Toc52869887" w:history="1">
        <w:r w:rsidRPr="003E0C70">
          <w:rPr>
            <w:rStyle w:val="Lienhypertexte"/>
            <w:rFonts w:eastAsiaTheme="majorEastAsia"/>
            <w:sz w:val="19"/>
            <w:szCs w:val="19"/>
          </w:rPr>
          <w:t>10.16. Suivi et évaluation</w:t>
        </w:r>
        <w:r w:rsidRPr="003E0C70">
          <w:rPr>
            <w:webHidden/>
            <w:sz w:val="19"/>
            <w:szCs w:val="19"/>
          </w:rPr>
          <w:tab/>
        </w:r>
        <w:r w:rsidRPr="003E0C70">
          <w:rPr>
            <w:webHidden/>
            <w:sz w:val="19"/>
            <w:szCs w:val="19"/>
          </w:rPr>
          <w:fldChar w:fldCharType="begin"/>
        </w:r>
        <w:r w:rsidRPr="003E0C70">
          <w:rPr>
            <w:webHidden/>
            <w:sz w:val="19"/>
            <w:szCs w:val="19"/>
          </w:rPr>
          <w:instrText xml:space="preserve"> PAGEREF _Toc52869887 \h </w:instrText>
        </w:r>
        <w:r w:rsidRPr="003E0C70">
          <w:rPr>
            <w:webHidden/>
            <w:sz w:val="19"/>
            <w:szCs w:val="19"/>
          </w:rPr>
        </w:r>
        <w:r w:rsidRPr="003E0C70">
          <w:rPr>
            <w:webHidden/>
            <w:sz w:val="19"/>
            <w:szCs w:val="19"/>
          </w:rPr>
          <w:fldChar w:fldCharType="separate"/>
        </w:r>
        <w:r w:rsidR="009E27E4">
          <w:rPr>
            <w:webHidden/>
            <w:sz w:val="19"/>
            <w:szCs w:val="19"/>
          </w:rPr>
          <w:t>198</w:t>
        </w:r>
        <w:r w:rsidRPr="003E0C70">
          <w:rPr>
            <w:webHidden/>
            <w:sz w:val="19"/>
            <w:szCs w:val="19"/>
          </w:rPr>
          <w:fldChar w:fldCharType="end"/>
        </w:r>
      </w:hyperlink>
    </w:p>
    <w:p w14:paraId="07826459" w14:textId="76FBA341" w:rsidR="003E0C70" w:rsidRPr="003E0C70" w:rsidRDefault="003E0C70" w:rsidP="003E0C70">
      <w:pPr>
        <w:pStyle w:val="TM2"/>
        <w:rPr>
          <w:rFonts w:eastAsiaTheme="minorEastAsia"/>
          <w:b w:val="0"/>
          <w:i w:val="0"/>
          <w:caps w:val="0"/>
          <w:color w:val="auto"/>
          <w:sz w:val="19"/>
          <w:szCs w:val="19"/>
        </w:rPr>
      </w:pPr>
      <w:hyperlink w:anchor="_Toc52869888" w:history="1">
        <w:r w:rsidRPr="003E0C70">
          <w:rPr>
            <w:rStyle w:val="Lienhypertexte"/>
            <w:rFonts w:eastAsiaTheme="majorEastAsia"/>
            <w:sz w:val="19"/>
            <w:szCs w:val="19"/>
          </w:rPr>
          <w:t xml:space="preserve">10.17. </w:t>
        </w:r>
        <w:r w:rsidRPr="003E0C70">
          <w:rPr>
            <w:rStyle w:val="Lienhypertexte"/>
            <w:bCs/>
            <w:iCs/>
            <w:sz w:val="19"/>
            <w:szCs w:val="19"/>
          </w:rPr>
          <w:t>Diffusion</w:t>
        </w:r>
        <w:r w:rsidRPr="003E0C70">
          <w:rPr>
            <w:webHidden/>
            <w:sz w:val="19"/>
            <w:szCs w:val="19"/>
          </w:rPr>
          <w:tab/>
        </w:r>
        <w:r w:rsidRPr="003E0C70">
          <w:rPr>
            <w:webHidden/>
            <w:sz w:val="19"/>
            <w:szCs w:val="19"/>
          </w:rPr>
          <w:fldChar w:fldCharType="begin"/>
        </w:r>
        <w:r w:rsidRPr="003E0C70">
          <w:rPr>
            <w:webHidden/>
            <w:sz w:val="19"/>
            <w:szCs w:val="19"/>
          </w:rPr>
          <w:instrText xml:space="preserve"> PAGEREF _Toc52869888 \h </w:instrText>
        </w:r>
        <w:r w:rsidRPr="003E0C70">
          <w:rPr>
            <w:webHidden/>
            <w:sz w:val="19"/>
            <w:szCs w:val="19"/>
          </w:rPr>
        </w:r>
        <w:r w:rsidRPr="003E0C70">
          <w:rPr>
            <w:webHidden/>
            <w:sz w:val="19"/>
            <w:szCs w:val="19"/>
          </w:rPr>
          <w:fldChar w:fldCharType="separate"/>
        </w:r>
        <w:r w:rsidR="009E27E4">
          <w:rPr>
            <w:webHidden/>
            <w:sz w:val="19"/>
            <w:szCs w:val="19"/>
          </w:rPr>
          <w:t>201</w:t>
        </w:r>
        <w:r w:rsidRPr="003E0C70">
          <w:rPr>
            <w:webHidden/>
            <w:sz w:val="19"/>
            <w:szCs w:val="19"/>
          </w:rPr>
          <w:fldChar w:fldCharType="end"/>
        </w:r>
      </w:hyperlink>
    </w:p>
    <w:p w14:paraId="30505E55" w14:textId="1E78B4F0" w:rsidR="003E0C70" w:rsidRPr="003E0C70" w:rsidRDefault="003E0C70" w:rsidP="003E0C70">
      <w:pPr>
        <w:pStyle w:val="TM2"/>
        <w:rPr>
          <w:rFonts w:eastAsiaTheme="minorEastAsia"/>
          <w:b w:val="0"/>
          <w:i w:val="0"/>
          <w:caps w:val="0"/>
          <w:color w:val="auto"/>
          <w:sz w:val="19"/>
          <w:szCs w:val="19"/>
        </w:rPr>
      </w:pPr>
      <w:hyperlink w:anchor="_Toc52869889" w:history="1">
        <w:r w:rsidRPr="003E0C70">
          <w:rPr>
            <w:rStyle w:val="Lienhypertexte"/>
            <w:rFonts w:eastAsiaTheme="majorEastAsia"/>
            <w:sz w:val="19"/>
            <w:szCs w:val="19"/>
          </w:rPr>
          <w:t xml:space="preserve">10.18. </w:t>
        </w:r>
        <w:r w:rsidRPr="003E0C70">
          <w:rPr>
            <w:rStyle w:val="Lienhypertexte"/>
            <w:bCs/>
            <w:iCs/>
            <w:sz w:val="19"/>
            <w:szCs w:val="19"/>
          </w:rPr>
          <w:t>Coût et budget</w:t>
        </w:r>
        <w:r w:rsidRPr="003E0C70">
          <w:rPr>
            <w:webHidden/>
            <w:sz w:val="19"/>
            <w:szCs w:val="19"/>
          </w:rPr>
          <w:tab/>
        </w:r>
        <w:r w:rsidRPr="003E0C70">
          <w:rPr>
            <w:webHidden/>
            <w:sz w:val="19"/>
            <w:szCs w:val="19"/>
          </w:rPr>
          <w:fldChar w:fldCharType="begin"/>
        </w:r>
        <w:r w:rsidRPr="003E0C70">
          <w:rPr>
            <w:webHidden/>
            <w:sz w:val="19"/>
            <w:szCs w:val="19"/>
          </w:rPr>
          <w:instrText xml:space="preserve"> PAGEREF _Toc52869889 \h </w:instrText>
        </w:r>
        <w:r w:rsidRPr="003E0C70">
          <w:rPr>
            <w:webHidden/>
            <w:sz w:val="19"/>
            <w:szCs w:val="19"/>
          </w:rPr>
        </w:r>
        <w:r w:rsidRPr="003E0C70">
          <w:rPr>
            <w:webHidden/>
            <w:sz w:val="19"/>
            <w:szCs w:val="19"/>
          </w:rPr>
          <w:fldChar w:fldCharType="separate"/>
        </w:r>
        <w:r w:rsidR="009E27E4">
          <w:rPr>
            <w:webHidden/>
            <w:sz w:val="19"/>
            <w:szCs w:val="19"/>
          </w:rPr>
          <w:t>201</w:t>
        </w:r>
        <w:r w:rsidRPr="003E0C70">
          <w:rPr>
            <w:webHidden/>
            <w:sz w:val="19"/>
            <w:szCs w:val="19"/>
          </w:rPr>
          <w:fldChar w:fldCharType="end"/>
        </w:r>
      </w:hyperlink>
    </w:p>
    <w:p w14:paraId="163FBEF8" w14:textId="0F230E9C" w:rsidR="003E0C70" w:rsidRPr="003E0C70" w:rsidRDefault="003E0C70" w:rsidP="003E0C70">
      <w:pPr>
        <w:pStyle w:val="TM1"/>
        <w:tabs>
          <w:tab w:val="right" w:leader="dot" w:pos="9345"/>
        </w:tabs>
        <w:spacing w:before="60" w:after="0" w:line="240" w:lineRule="auto"/>
        <w:rPr>
          <w:rFonts w:ascii="Arial" w:eastAsiaTheme="minorEastAsia" w:hAnsi="Arial" w:cs="Arial"/>
          <w:b w:val="0"/>
          <w:bCs w:val="0"/>
          <w:caps w:val="0"/>
          <w:noProof/>
          <w:color w:val="auto"/>
          <w:sz w:val="19"/>
          <w:szCs w:val="19"/>
          <w:lang w:eastAsia="fr-FR"/>
        </w:rPr>
      </w:pPr>
      <w:hyperlink w:anchor="_Toc52869890" w:history="1">
        <w:r w:rsidRPr="003E0C70">
          <w:rPr>
            <w:rStyle w:val="Lienhypertexte"/>
            <w:rFonts w:ascii="Arial" w:eastAsia="Calibri" w:hAnsi="Arial" w:cs="Arial"/>
            <w:noProof/>
            <w:sz w:val="19"/>
            <w:szCs w:val="19"/>
          </w:rPr>
          <w:t>11.  plan de gestion environneMentale et sociale</w:t>
        </w:r>
        <w:r w:rsidRPr="003E0C70">
          <w:rPr>
            <w:rFonts w:ascii="Arial" w:hAnsi="Arial" w:cs="Arial"/>
            <w:noProof/>
            <w:webHidden/>
            <w:sz w:val="19"/>
            <w:szCs w:val="19"/>
          </w:rPr>
          <w:tab/>
        </w:r>
        <w:r w:rsidRPr="003E0C70">
          <w:rPr>
            <w:rFonts w:ascii="Arial" w:hAnsi="Arial" w:cs="Arial"/>
            <w:noProof/>
            <w:webHidden/>
            <w:sz w:val="19"/>
            <w:szCs w:val="19"/>
          </w:rPr>
          <w:fldChar w:fldCharType="begin"/>
        </w:r>
        <w:r w:rsidRPr="003E0C70">
          <w:rPr>
            <w:rFonts w:ascii="Arial" w:hAnsi="Arial" w:cs="Arial"/>
            <w:noProof/>
            <w:webHidden/>
            <w:sz w:val="19"/>
            <w:szCs w:val="19"/>
          </w:rPr>
          <w:instrText xml:space="preserve"> PAGEREF _Toc52869890 \h </w:instrText>
        </w:r>
        <w:r w:rsidRPr="003E0C70">
          <w:rPr>
            <w:rFonts w:ascii="Arial" w:hAnsi="Arial" w:cs="Arial"/>
            <w:noProof/>
            <w:webHidden/>
            <w:sz w:val="19"/>
            <w:szCs w:val="19"/>
          </w:rPr>
        </w:r>
        <w:r w:rsidRPr="003E0C70">
          <w:rPr>
            <w:rFonts w:ascii="Arial" w:hAnsi="Arial" w:cs="Arial"/>
            <w:noProof/>
            <w:webHidden/>
            <w:sz w:val="19"/>
            <w:szCs w:val="19"/>
          </w:rPr>
          <w:fldChar w:fldCharType="separate"/>
        </w:r>
        <w:r w:rsidR="009E27E4">
          <w:rPr>
            <w:rFonts w:ascii="Arial" w:hAnsi="Arial" w:cs="Arial"/>
            <w:noProof/>
            <w:webHidden/>
            <w:sz w:val="19"/>
            <w:szCs w:val="19"/>
          </w:rPr>
          <w:t>203</w:t>
        </w:r>
        <w:r w:rsidRPr="003E0C70">
          <w:rPr>
            <w:rFonts w:ascii="Arial" w:hAnsi="Arial" w:cs="Arial"/>
            <w:noProof/>
            <w:webHidden/>
            <w:sz w:val="19"/>
            <w:szCs w:val="19"/>
          </w:rPr>
          <w:fldChar w:fldCharType="end"/>
        </w:r>
      </w:hyperlink>
    </w:p>
    <w:p w14:paraId="268DECA3" w14:textId="06B1749D" w:rsidR="003E0C70" w:rsidRPr="003E0C70" w:rsidRDefault="003E0C70" w:rsidP="003E0C70">
      <w:pPr>
        <w:pStyle w:val="TM2"/>
        <w:rPr>
          <w:rFonts w:eastAsiaTheme="minorEastAsia"/>
          <w:b w:val="0"/>
          <w:i w:val="0"/>
          <w:caps w:val="0"/>
          <w:color w:val="auto"/>
          <w:sz w:val="19"/>
          <w:szCs w:val="19"/>
        </w:rPr>
      </w:pPr>
      <w:hyperlink w:anchor="_Toc52869891" w:history="1">
        <w:r w:rsidRPr="003E0C70">
          <w:rPr>
            <w:rStyle w:val="Lienhypertexte"/>
            <w:rFonts w:eastAsiaTheme="majorEastAsia"/>
            <w:sz w:val="19"/>
            <w:szCs w:val="19"/>
          </w:rPr>
          <w:t>11.1. Plan d’atténuation, de maximisation et de prévention des risques</w:t>
        </w:r>
        <w:r w:rsidRPr="003E0C70">
          <w:rPr>
            <w:webHidden/>
            <w:sz w:val="19"/>
            <w:szCs w:val="19"/>
          </w:rPr>
          <w:tab/>
        </w:r>
        <w:r w:rsidRPr="003E0C70">
          <w:rPr>
            <w:webHidden/>
            <w:sz w:val="19"/>
            <w:szCs w:val="19"/>
          </w:rPr>
          <w:fldChar w:fldCharType="begin"/>
        </w:r>
        <w:r w:rsidRPr="003E0C70">
          <w:rPr>
            <w:webHidden/>
            <w:sz w:val="19"/>
            <w:szCs w:val="19"/>
          </w:rPr>
          <w:instrText xml:space="preserve"> PAGEREF _Toc52869891 \h </w:instrText>
        </w:r>
        <w:r w:rsidRPr="003E0C70">
          <w:rPr>
            <w:webHidden/>
            <w:sz w:val="19"/>
            <w:szCs w:val="19"/>
          </w:rPr>
        </w:r>
        <w:r w:rsidRPr="003E0C70">
          <w:rPr>
            <w:webHidden/>
            <w:sz w:val="19"/>
            <w:szCs w:val="19"/>
          </w:rPr>
          <w:fldChar w:fldCharType="separate"/>
        </w:r>
        <w:r w:rsidR="009E27E4">
          <w:rPr>
            <w:webHidden/>
            <w:sz w:val="19"/>
            <w:szCs w:val="19"/>
          </w:rPr>
          <w:t>203</w:t>
        </w:r>
        <w:r w:rsidRPr="003E0C70">
          <w:rPr>
            <w:webHidden/>
            <w:sz w:val="19"/>
            <w:szCs w:val="19"/>
          </w:rPr>
          <w:fldChar w:fldCharType="end"/>
        </w:r>
      </w:hyperlink>
    </w:p>
    <w:p w14:paraId="2DBBFA10" w14:textId="2551169F" w:rsidR="003E0C70" w:rsidRPr="003E0C70" w:rsidRDefault="003E0C70" w:rsidP="003E0C70">
      <w:pPr>
        <w:pStyle w:val="TM2"/>
        <w:rPr>
          <w:rFonts w:eastAsiaTheme="minorEastAsia"/>
          <w:b w:val="0"/>
          <w:i w:val="0"/>
          <w:caps w:val="0"/>
          <w:color w:val="auto"/>
          <w:sz w:val="19"/>
          <w:szCs w:val="19"/>
        </w:rPr>
      </w:pPr>
      <w:hyperlink w:anchor="_Toc52869892" w:history="1">
        <w:r w:rsidRPr="003E0C70">
          <w:rPr>
            <w:rStyle w:val="Lienhypertexte"/>
            <w:rFonts w:eastAsiaTheme="majorEastAsia"/>
            <w:sz w:val="19"/>
            <w:szCs w:val="19"/>
          </w:rPr>
          <w:t>11.2. Programme de surveillance environnementale</w:t>
        </w:r>
        <w:r w:rsidRPr="003E0C70">
          <w:rPr>
            <w:webHidden/>
            <w:sz w:val="19"/>
            <w:szCs w:val="19"/>
          </w:rPr>
          <w:tab/>
        </w:r>
        <w:r w:rsidRPr="003E0C70">
          <w:rPr>
            <w:webHidden/>
            <w:sz w:val="19"/>
            <w:szCs w:val="19"/>
          </w:rPr>
          <w:fldChar w:fldCharType="begin"/>
        </w:r>
        <w:r w:rsidRPr="003E0C70">
          <w:rPr>
            <w:webHidden/>
            <w:sz w:val="19"/>
            <w:szCs w:val="19"/>
          </w:rPr>
          <w:instrText xml:space="preserve"> PAGEREF _Toc52869892 \h </w:instrText>
        </w:r>
        <w:r w:rsidRPr="003E0C70">
          <w:rPr>
            <w:webHidden/>
            <w:sz w:val="19"/>
            <w:szCs w:val="19"/>
          </w:rPr>
        </w:r>
        <w:r w:rsidRPr="003E0C70">
          <w:rPr>
            <w:webHidden/>
            <w:sz w:val="19"/>
            <w:szCs w:val="19"/>
          </w:rPr>
          <w:fldChar w:fldCharType="separate"/>
        </w:r>
        <w:r w:rsidR="009E27E4">
          <w:rPr>
            <w:webHidden/>
            <w:sz w:val="19"/>
            <w:szCs w:val="19"/>
          </w:rPr>
          <w:t>204</w:t>
        </w:r>
        <w:r w:rsidRPr="003E0C70">
          <w:rPr>
            <w:webHidden/>
            <w:sz w:val="19"/>
            <w:szCs w:val="19"/>
          </w:rPr>
          <w:fldChar w:fldCharType="end"/>
        </w:r>
      </w:hyperlink>
    </w:p>
    <w:p w14:paraId="1F751147" w14:textId="79724E21" w:rsidR="003E0C70" w:rsidRPr="003E0C70" w:rsidRDefault="003E0C70" w:rsidP="003E0C70">
      <w:pPr>
        <w:pStyle w:val="TM2"/>
        <w:rPr>
          <w:rFonts w:eastAsiaTheme="minorEastAsia"/>
          <w:b w:val="0"/>
          <w:i w:val="0"/>
          <w:caps w:val="0"/>
          <w:color w:val="auto"/>
          <w:sz w:val="19"/>
          <w:szCs w:val="19"/>
        </w:rPr>
      </w:pPr>
      <w:hyperlink w:anchor="_Toc52869893" w:history="1">
        <w:r w:rsidRPr="003E0C70">
          <w:rPr>
            <w:rStyle w:val="Lienhypertexte"/>
            <w:rFonts w:eastAsiaTheme="majorEastAsia"/>
            <w:sz w:val="19"/>
            <w:szCs w:val="19"/>
          </w:rPr>
          <w:t>11.3. Mécanisme de gestion des plaintes</w:t>
        </w:r>
        <w:r w:rsidRPr="003E0C70">
          <w:rPr>
            <w:webHidden/>
            <w:sz w:val="19"/>
            <w:szCs w:val="19"/>
          </w:rPr>
          <w:tab/>
        </w:r>
        <w:r w:rsidRPr="003E0C70">
          <w:rPr>
            <w:webHidden/>
            <w:sz w:val="19"/>
            <w:szCs w:val="19"/>
          </w:rPr>
          <w:fldChar w:fldCharType="begin"/>
        </w:r>
        <w:r w:rsidRPr="003E0C70">
          <w:rPr>
            <w:webHidden/>
            <w:sz w:val="19"/>
            <w:szCs w:val="19"/>
          </w:rPr>
          <w:instrText xml:space="preserve"> PAGEREF _Toc52869893 \h </w:instrText>
        </w:r>
        <w:r w:rsidRPr="003E0C70">
          <w:rPr>
            <w:webHidden/>
            <w:sz w:val="19"/>
            <w:szCs w:val="19"/>
          </w:rPr>
        </w:r>
        <w:r w:rsidRPr="003E0C70">
          <w:rPr>
            <w:webHidden/>
            <w:sz w:val="19"/>
            <w:szCs w:val="19"/>
          </w:rPr>
          <w:fldChar w:fldCharType="separate"/>
        </w:r>
        <w:r w:rsidR="009E27E4">
          <w:rPr>
            <w:webHidden/>
            <w:sz w:val="19"/>
            <w:szCs w:val="19"/>
          </w:rPr>
          <w:t>205</w:t>
        </w:r>
        <w:r w:rsidRPr="003E0C70">
          <w:rPr>
            <w:webHidden/>
            <w:sz w:val="19"/>
            <w:szCs w:val="19"/>
          </w:rPr>
          <w:fldChar w:fldCharType="end"/>
        </w:r>
      </w:hyperlink>
    </w:p>
    <w:p w14:paraId="6924A5FC" w14:textId="07CF5486" w:rsidR="003E0C70" w:rsidRPr="003E0C70" w:rsidRDefault="003E0C70" w:rsidP="003E0C70">
      <w:pPr>
        <w:pStyle w:val="TM2"/>
        <w:rPr>
          <w:rFonts w:eastAsiaTheme="minorEastAsia"/>
          <w:b w:val="0"/>
          <w:i w:val="0"/>
          <w:caps w:val="0"/>
          <w:color w:val="auto"/>
          <w:sz w:val="19"/>
          <w:szCs w:val="19"/>
        </w:rPr>
      </w:pPr>
      <w:hyperlink w:anchor="_Toc52869894" w:history="1">
        <w:r w:rsidRPr="003E0C70">
          <w:rPr>
            <w:rStyle w:val="Lienhypertexte"/>
            <w:rFonts w:eastAsiaTheme="majorEastAsia"/>
            <w:sz w:val="19"/>
            <w:szCs w:val="19"/>
          </w:rPr>
          <w:t>11.4. Programme de suivi environnemental.</w:t>
        </w:r>
        <w:r w:rsidRPr="003E0C70">
          <w:rPr>
            <w:webHidden/>
            <w:sz w:val="19"/>
            <w:szCs w:val="19"/>
          </w:rPr>
          <w:tab/>
        </w:r>
        <w:r w:rsidRPr="003E0C70">
          <w:rPr>
            <w:webHidden/>
            <w:sz w:val="19"/>
            <w:szCs w:val="19"/>
          </w:rPr>
          <w:fldChar w:fldCharType="begin"/>
        </w:r>
        <w:r w:rsidRPr="003E0C70">
          <w:rPr>
            <w:webHidden/>
            <w:sz w:val="19"/>
            <w:szCs w:val="19"/>
          </w:rPr>
          <w:instrText xml:space="preserve"> PAGEREF _Toc52869894 \h </w:instrText>
        </w:r>
        <w:r w:rsidRPr="003E0C70">
          <w:rPr>
            <w:webHidden/>
            <w:sz w:val="19"/>
            <w:szCs w:val="19"/>
          </w:rPr>
        </w:r>
        <w:r w:rsidRPr="003E0C70">
          <w:rPr>
            <w:webHidden/>
            <w:sz w:val="19"/>
            <w:szCs w:val="19"/>
          </w:rPr>
          <w:fldChar w:fldCharType="separate"/>
        </w:r>
        <w:r w:rsidR="009E27E4">
          <w:rPr>
            <w:webHidden/>
            <w:sz w:val="19"/>
            <w:szCs w:val="19"/>
          </w:rPr>
          <w:t>206</w:t>
        </w:r>
        <w:r w:rsidRPr="003E0C70">
          <w:rPr>
            <w:webHidden/>
            <w:sz w:val="19"/>
            <w:szCs w:val="19"/>
          </w:rPr>
          <w:fldChar w:fldCharType="end"/>
        </w:r>
      </w:hyperlink>
    </w:p>
    <w:p w14:paraId="3E00A28B" w14:textId="330B059C" w:rsidR="003E0C70" w:rsidRPr="003E0C70" w:rsidRDefault="003E0C70" w:rsidP="003E0C70">
      <w:pPr>
        <w:pStyle w:val="TM2"/>
        <w:rPr>
          <w:rFonts w:eastAsiaTheme="minorEastAsia"/>
          <w:b w:val="0"/>
          <w:i w:val="0"/>
          <w:caps w:val="0"/>
          <w:color w:val="auto"/>
          <w:sz w:val="19"/>
          <w:szCs w:val="19"/>
        </w:rPr>
      </w:pPr>
      <w:hyperlink w:anchor="_Toc52869895" w:history="1">
        <w:r w:rsidRPr="003E0C70">
          <w:rPr>
            <w:rStyle w:val="Lienhypertexte"/>
            <w:rFonts w:eastAsiaTheme="majorEastAsia"/>
            <w:sz w:val="19"/>
            <w:szCs w:val="19"/>
          </w:rPr>
          <w:t>11.5. Plan de gestion environnementale et sociale « tableau de synthèse »</w:t>
        </w:r>
        <w:r w:rsidRPr="003E0C70">
          <w:rPr>
            <w:webHidden/>
            <w:sz w:val="19"/>
            <w:szCs w:val="19"/>
          </w:rPr>
          <w:tab/>
        </w:r>
        <w:r w:rsidRPr="003E0C70">
          <w:rPr>
            <w:webHidden/>
            <w:sz w:val="19"/>
            <w:szCs w:val="19"/>
          </w:rPr>
          <w:fldChar w:fldCharType="begin"/>
        </w:r>
        <w:r w:rsidRPr="003E0C70">
          <w:rPr>
            <w:webHidden/>
            <w:sz w:val="19"/>
            <w:szCs w:val="19"/>
          </w:rPr>
          <w:instrText xml:space="preserve"> PAGEREF _Toc52869895 \h </w:instrText>
        </w:r>
        <w:r w:rsidRPr="003E0C70">
          <w:rPr>
            <w:webHidden/>
            <w:sz w:val="19"/>
            <w:szCs w:val="19"/>
          </w:rPr>
        </w:r>
        <w:r w:rsidRPr="003E0C70">
          <w:rPr>
            <w:webHidden/>
            <w:sz w:val="19"/>
            <w:szCs w:val="19"/>
          </w:rPr>
          <w:fldChar w:fldCharType="separate"/>
        </w:r>
        <w:r w:rsidR="009E27E4">
          <w:rPr>
            <w:webHidden/>
            <w:sz w:val="19"/>
            <w:szCs w:val="19"/>
          </w:rPr>
          <w:t>207</w:t>
        </w:r>
        <w:r w:rsidRPr="003E0C70">
          <w:rPr>
            <w:webHidden/>
            <w:sz w:val="19"/>
            <w:szCs w:val="19"/>
          </w:rPr>
          <w:fldChar w:fldCharType="end"/>
        </w:r>
      </w:hyperlink>
    </w:p>
    <w:p w14:paraId="39687AD9" w14:textId="466BF2B9" w:rsidR="003E0C70" w:rsidRPr="003E0C70" w:rsidRDefault="003E0C70" w:rsidP="003E0C70">
      <w:pPr>
        <w:pStyle w:val="TM1"/>
        <w:tabs>
          <w:tab w:val="right" w:leader="dot" w:pos="9345"/>
        </w:tabs>
        <w:spacing w:before="60" w:after="0" w:line="240" w:lineRule="auto"/>
        <w:rPr>
          <w:rFonts w:ascii="Arial" w:eastAsiaTheme="minorEastAsia" w:hAnsi="Arial" w:cs="Arial"/>
          <w:b w:val="0"/>
          <w:bCs w:val="0"/>
          <w:caps w:val="0"/>
          <w:noProof/>
          <w:color w:val="auto"/>
          <w:sz w:val="19"/>
          <w:szCs w:val="19"/>
          <w:lang w:eastAsia="fr-FR"/>
        </w:rPr>
      </w:pPr>
      <w:hyperlink w:anchor="_Toc52869896" w:history="1">
        <w:r w:rsidRPr="003E0C70">
          <w:rPr>
            <w:rStyle w:val="Lienhypertexte"/>
            <w:rFonts w:ascii="Arial" w:eastAsia="Calibri" w:hAnsi="Arial" w:cs="Arial"/>
            <w:noProof/>
            <w:sz w:val="19"/>
            <w:szCs w:val="19"/>
          </w:rPr>
          <w:t>12. Renforcement de capacité pour le suivi de la mise en œuvre des mesures</w:t>
        </w:r>
        <w:r w:rsidRPr="003E0C70">
          <w:rPr>
            <w:rFonts w:ascii="Arial" w:hAnsi="Arial" w:cs="Arial"/>
            <w:noProof/>
            <w:webHidden/>
            <w:sz w:val="19"/>
            <w:szCs w:val="19"/>
          </w:rPr>
          <w:tab/>
        </w:r>
        <w:r w:rsidRPr="003E0C70">
          <w:rPr>
            <w:rFonts w:ascii="Arial" w:hAnsi="Arial" w:cs="Arial"/>
            <w:noProof/>
            <w:webHidden/>
            <w:sz w:val="19"/>
            <w:szCs w:val="19"/>
          </w:rPr>
          <w:fldChar w:fldCharType="begin"/>
        </w:r>
        <w:r w:rsidRPr="003E0C70">
          <w:rPr>
            <w:rFonts w:ascii="Arial" w:hAnsi="Arial" w:cs="Arial"/>
            <w:noProof/>
            <w:webHidden/>
            <w:sz w:val="19"/>
            <w:szCs w:val="19"/>
          </w:rPr>
          <w:instrText xml:space="preserve"> PAGEREF _Toc52869896 \h </w:instrText>
        </w:r>
        <w:r w:rsidRPr="003E0C70">
          <w:rPr>
            <w:rFonts w:ascii="Arial" w:hAnsi="Arial" w:cs="Arial"/>
            <w:noProof/>
            <w:webHidden/>
            <w:sz w:val="19"/>
            <w:szCs w:val="19"/>
          </w:rPr>
        </w:r>
        <w:r w:rsidRPr="003E0C70">
          <w:rPr>
            <w:rFonts w:ascii="Arial" w:hAnsi="Arial" w:cs="Arial"/>
            <w:noProof/>
            <w:webHidden/>
            <w:sz w:val="19"/>
            <w:szCs w:val="19"/>
          </w:rPr>
          <w:fldChar w:fldCharType="separate"/>
        </w:r>
        <w:r w:rsidR="009E27E4">
          <w:rPr>
            <w:rFonts w:ascii="Arial" w:hAnsi="Arial" w:cs="Arial"/>
            <w:noProof/>
            <w:webHidden/>
            <w:sz w:val="19"/>
            <w:szCs w:val="19"/>
          </w:rPr>
          <w:t>222</w:t>
        </w:r>
        <w:r w:rsidRPr="003E0C70">
          <w:rPr>
            <w:rFonts w:ascii="Arial" w:hAnsi="Arial" w:cs="Arial"/>
            <w:noProof/>
            <w:webHidden/>
            <w:sz w:val="19"/>
            <w:szCs w:val="19"/>
          </w:rPr>
          <w:fldChar w:fldCharType="end"/>
        </w:r>
      </w:hyperlink>
    </w:p>
    <w:p w14:paraId="783DB431" w14:textId="08C12A45" w:rsidR="003E0C70" w:rsidRPr="003E0C70" w:rsidRDefault="003E0C70" w:rsidP="003E0C70">
      <w:pPr>
        <w:pStyle w:val="TM2"/>
        <w:rPr>
          <w:rFonts w:eastAsiaTheme="minorEastAsia"/>
          <w:b w:val="0"/>
          <w:i w:val="0"/>
          <w:caps w:val="0"/>
          <w:color w:val="auto"/>
          <w:sz w:val="19"/>
          <w:szCs w:val="19"/>
        </w:rPr>
      </w:pPr>
      <w:hyperlink w:anchor="_Toc52869897" w:history="1">
        <w:r w:rsidRPr="003E0C70">
          <w:rPr>
            <w:rStyle w:val="Lienhypertexte"/>
            <w:rFonts w:eastAsiaTheme="majorEastAsia"/>
            <w:sz w:val="19"/>
            <w:szCs w:val="19"/>
          </w:rPr>
          <w:t>12.1. Cibles concernées par le renforcement</w:t>
        </w:r>
        <w:r w:rsidRPr="003E0C70">
          <w:rPr>
            <w:webHidden/>
            <w:sz w:val="19"/>
            <w:szCs w:val="19"/>
          </w:rPr>
          <w:tab/>
        </w:r>
        <w:r w:rsidRPr="003E0C70">
          <w:rPr>
            <w:webHidden/>
            <w:sz w:val="19"/>
            <w:szCs w:val="19"/>
          </w:rPr>
          <w:fldChar w:fldCharType="begin"/>
        </w:r>
        <w:r w:rsidRPr="003E0C70">
          <w:rPr>
            <w:webHidden/>
            <w:sz w:val="19"/>
            <w:szCs w:val="19"/>
          </w:rPr>
          <w:instrText xml:space="preserve"> PAGEREF _Toc52869897 \h </w:instrText>
        </w:r>
        <w:r w:rsidRPr="003E0C70">
          <w:rPr>
            <w:webHidden/>
            <w:sz w:val="19"/>
            <w:szCs w:val="19"/>
          </w:rPr>
        </w:r>
        <w:r w:rsidRPr="003E0C70">
          <w:rPr>
            <w:webHidden/>
            <w:sz w:val="19"/>
            <w:szCs w:val="19"/>
          </w:rPr>
          <w:fldChar w:fldCharType="separate"/>
        </w:r>
        <w:r w:rsidR="009E27E4">
          <w:rPr>
            <w:webHidden/>
            <w:sz w:val="19"/>
            <w:szCs w:val="19"/>
          </w:rPr>
          <w:t>222</w:t>
        </w:r>
        <w:r w:rsidRPr="003E0C70">
          <w:rPr>
            <w:webHidden/>
            <w:sz w:val="19"/>
            <w:szCs w:val="19"/>
          </w:rPr>
          <w:fldChar w:fldCharType="end"/>
        </w:r>
      </w:hyperlink>
    </w:p>
    <w:p w14:paraId="7236A213" w14:textId="2DC837C4" w:rsidR="003E0C70" w:rsidRPr="003E0C70" w:rsidRDefault="003E0C70" w:rsidP="003E0C70">
      <w:pPr>
        <w:pStyle w:val="TM2"/>
        <w:rPr>
          <w:rFonts w:eastAsiaTheme="minorEastAsia"/>
          <w:b w:val="0"/>
          <w:i w:val="0"/>
          <w:caps w:val="0"/>
          <w:color w:val="auto"/>
          <w:sz w:val="19"/>
          <w:szCs w:val="19"/>
        </w:rPr>
      </w:pPr>
      <w:hyperlink w:anchor="_Toc52869898" w:history="1">
        <w:r w:rsidRPr="003E0C70">
          <w:rPr>
            <w:rStyle w:val="Lienhypertexte"/>
            <w:rFonts w:eastAsiaTheme="majorEastAsia"/>
            <w:sz w:val="19"/>
            <w:szCs w:val="19"/>
          </w:rPr>
          <w:t>12.2. Mission des structures de suivi environnemental</w:t>
        </w:r>
        <w:r w:rsidRPr="003E0C70">
          <w:rPr>
            <w:webHidden/>
            <w:sz w:val="19"/>
            <w:szCs w:val="19"/>
          </w:rPr>
          <w:tab/>
        </w:r>
        <w:r w:rsidRPr="003E0C70">
          <w:rPr>
            <w:webHidden/>
            <w:sz w:val="19"/>
            <w:szCs w:val="19"/>
          </w:rPr>
          <w:fldChar w:fldCharType="begin"/>
        </w:r>
        <w:r w:rsidRPr="003E0C70">
          <w:rPr>
            <w:webHidden/>
            <w:sz w:val="19"/>
            <w:szCs w:val="19"/>
          </w:rPr>
          <w:instrText xml:space="preserve"> PAGEREF _Toc52869898 \h </w:instrText>
        </w:r>
        <w:r w:rsidRPr="003E0C70">
          <w:rPr>
            <w:webHidden/>
            <w:sz w:val="19"/>
            <w:szCs w:val="19"/>
          </w:rPr>
        </w:r>
        <w:r w:rsidRPr="003E0C70">
          <w:rPr>
            <w:webHidden/>
            <w:sz w:val="19"/>
            <w:szCs w:val="19"/>
          </w:rPr>
          <w:fldChar w:fldCharType="separate"/>
        </w:r>
        <w:r w:rsidR="009E27E4">
          <w:rPr>
            <w:webHidden/>
            <w:sz w:val="19"/>
            <w:szCs w:val="19"/>
          </w:rPr>
          <w:t>222</w:t>
        </w:r>
        <w:r w:rsidRPr="003E0C70">
          <w:rPr>
            <w:webHidden/>
            <w:sz w:val="19"/>
            <w:szCs w:val="19"/>
          </w:rPr>
          <w:fldChar w:fldCharType="end"/>
        </w:r>
      </w:hyperlink>
    </w:p>
    <w:p w14:paraId="34F4B0DC" w14:textId="0941E054" w:rsidR="003E0C70" w:rsidRPr="003E0C70" w:rsidRDefault="003E0C70" w:rsidP="003E0C70">
      <w:pPr>
        <w:pStyle w:val="TM2"/>
        <w:rPr>
          <w:rFonts w:eastAsiaTheme="minorEastAsia"/>
          <w:b w:val="0"/>
          <w:i w:val="0"/>
          <w:caps w:val="0"/>
          <w:color w:val="auto"/>
          <w:sz w:val="19"/>
          <w:szCs w:val="19"/>
        </w:rPr>
      </w:pPr>
      <w:hyperlink w:anchor="_Toc52869899" w:history="1">
        <w:r w:rsidRPr="003E0C70">
          <w:rPr>
            <w:rStyle w:val="Lienhypertexte"/>
            <w:rFonts w:eastAsiaTheme="majorEastAsia"/>
            <w:sz w:val="19"/>
            <w:szCs w:val="19"/>
          </w:rPr>
          <w:t>12.3. Capacités, besoins en formation et coûts des entités publiques</w:t>
        </w:r>
        <w:r w:rsidRPr="003E0C70">
          <w:rPr>
            <w:webHidden/>
            <w:sz w:val="19"/>
            <w:szCs w:val="19"/>
          </w:rPr>
          <w:tab/>
        </w:r>
        <w:r w:rsidRPr="003E0C70">
          <w:rPr>
            <w:webHidden/>
            <w:sz w:val="19"/>
            <w:szCs w:val="19"/>
          </w:rPr>
          <w:fldChar w:fldCharType="begin"/>
        </w:r>
        <w:r w:rsidRPr="003E0C70">
          <w:rPr>
            <w:webHidden/>
            <w:sz w:val="19"/>
            <w:szCs w:val="19"/>
          </w:rPr>
          <w:instrText xml:space="preserve"> PAGEREF _Toc52869899 \h </w:instrText>
        </w:r>
        <w:r w:rsidRPr="003E0C70">
          <w:rPr>
            <w:webHidden/>
            <w:sz w:val="19"/>
            <w:szCs w:val="19"/>
          </w:rPr>
        </w:r>
        <w:r w:rsidRPr="003E0C70">
          <w:rPr>
            <w:webHidden/>
            <w:sz w:val="19"/>
            <w:szCs w:val="19"/>
          </w:rPr>
          <w:fldChar w:fldCharType="separate"/>
        </w:r>
        <w:r w:rsidR="009E27E4">
          <w:rPr>
            <w:webHidden/>
            <w:sz w:val="19"/>
            <w:szCs w:val="19"/>
          </w:rPr>
          <w:t>222</w:t>
        </w:r>
        <w:r w:rsidRPr="003E0C70">
          <w:rPr>
            <w:webHidden/>
            <w:sz w:val="19"/>
            <w:szCs w:val="19"/>
          </w:rPr>
          <w:fldChar w:fldCharType="end"/>
        </w:r>
      </w:hyperlink>
    </w:p>
    <w:p w14:paraId="2A31A870" w14:textId="3A825042" w:rsidR="003E0C70" w:rsidRPr="003E0C70" w:rsidRDefault="003E0C70" w:rsidP="003E0C70">
      <w:pPr>
        <w:pStyle w:val="TM1"/>
        <w:tabs>
          <w:tab w:val="right" w:leader="dot" w:pos="9345"/>
        </w:tabs>
        <w:spacing w:before="60" w:after="0" w:line="240" w:lineRule="auto"/>
        <w:rPr>
          <w:rFonts w:ascii="Arial" w:eastAsiaTheme="minorEastAsia" w:hAnsi="Arial" w:cs="Arial"/>
          <w:b w:val="0"/>
          <w:bCs w:val="0"/>
          <w:caps w:val="0"/>
          <w:noProof/>
          <w:color w:val="auto"/>
          <w:sz w:val="19"/>
          <w:szCs w:val="19"/>
          <w:lang w:eastAsia="fr-FR"/>
        </w:rPr>
      </w:pPr>
      <w:hyperlink w:anchor="_Toc52869900" w:history="1">
        <w:r w:rsidRPr="003E0C70">
          <w:rPr>
            <w:rStyle w:val="Lienhypertexte"/>
            <w:rFonts w:ascii="Arial" w:eastAsiaTheme="majorEastAsia" w:hAnsi="Arial" w:cs="Arial"/>
            <w:noProof/>
            <w:sz w:val="19"/>
            <w:szCs w:val="19"/>
          </w:rPr>
          <w:t>Conclusion</w:t>
        </w:r>
        <w:r w:rsidRPr="003E0C70">
          <w:rPr>
            <w:rFonts w:ascii="Arial" w:hAnsi="Arial" w:cs="Arial"/>
            <w:noProof/>
            <w:webHidden/>
            <w:sz w:val="19"/>
            <w:szCs w:val="19"/>
          </w:rPr>
          <w:tab/>
        </w:r>
        <w:r w:rsidRPr="003E0C70">
          <w:rPr>
            <w:rFonts w:ascii="Arial" w:hAnsi="Arial" w:cs="Arial"/>
            <w:noProof/>
            <w:webHidden/>
            <w:sz w:val="19"/>
            <w:szCs w:val="19"/>
          </w:rPr>
          <w:fldChar w:fldCharType="begin"/>
        </w:r>
        <w:r w:rsidRPr="003E0C70">
          <w:rPr>
            <w:rFonts w:ascii="Arial" w:hAnsi="Arial" w:cs="Arial"/>
            <w:noProof/>
            <w:webHidden/>
            <w:sz w:val="19"/>
            <w:szCs w:val="19"/>
          </w:rPr>
          <w:instrText xml:space="preserve"> PAGEREF _Toc52869900 \h </w:instrText>
        </w:r>
        <w:r w:rsidRPr="003E0C70">
          <w:rPr>
            <w:rFonts w:ascii="Arial" w:hAnsi="Arial" w:cs="Arial"/>
            <w:noProof/>
            <w:webHidden/>
            <w:sz w:val="19"/>
            <w:szCs w:val="19"/>
          </w:rPr>
        </w:r>
        <w:r w:rsidRPr="003E0C70">
          <w:rPr>
            <w:rFonts w:ascii="Arial" w:hAnsi="Arial" w:cs="Arial"/>
            <w:noProof/>
            <w:webHidden/>
            <w:sz w:val="19"/>
            <w:szCs w:val="19"/>
          </w:rPr>
          <w:fldChar w:fldCharType="separate"/>
        </w:r>
        <w:r w:rsidR="009E27E4">
          <w:rPr>
            <w:rFonts w:ascii="Arial" w:hAnsi="Arial" w:cs="Arial"/>
            <w:noProof/>
            <w:webHidden/>
            <w:sz w:val="19"/>
            <w:szCs w:val="19"/>
          </w:rPr>
          <w:t>225</w:t>
        </w:r>
        <w:r w:rsidRPr="003E0C70">
          <w:rPr>
            <w:rFonts w:ascii="Arial" w:hAnsi="Arial" w:cs="Arial"/>
            <w:noProof/>
            <w:webHidden/>
            <w:sz w:val="19"/>
            <w:szCs w:val="19"/>
          </w:rPr>
          <w:fldChar w:fldCharType="end"/>
        </w:r>
      </w:hyperlink>
    </w:p>
    <w:p w14:paraId="4E179339" w14:textId="26456EF7" w:rsidR="003E0C70" w:rsidRPr="003E0C70" w:rsidRDefault="003E0C70" w:rsidP="003E0C70">
      <w:pPr>
        <w:pStyle w:val="TM1"/>
        <w:tabs>
          <w:tab w:val="right" w:leader="dot" w:pos="9345"/>
        </w:tabs>
        <w:spacing w:before="60" w:after="0" w:line="240" w:lineRule="auto"/>
        <w:rPr>
          <w:rFonts w:ascii="Arial" w:eastAsiaTheme="minorEastAsia" w:hAnsi="Arial" w:cs="Arial"/>
          <w:b w:val="0"/>
          <w:bCs w:val="0"/>
          <w:caps w:val="0"/>
          <w:noProof/>
          <w:color w:val="auto"/>
          <w:sz w:val="19"/>
          <w:szCs w:val="19"/>
          <w:lang w:eastAsia="fr-FR"/>
        </w:rPr>
      </w:pPr>
      <w:hyperlink w:anchor="_Toc52869901" w:history="1">
        <w:r w:rsidRPr="003E0C70">
          <w:rPr>
            <w:rStyle w:val="Lienhypertexte"/>
            <w:rFonts w:ascii="Arial" w:eastAsia="Times New Roman" w:hAnsi="Arial" w:cs="Arial"/>
            <w:noProof/>
            <w:sz w:val="19"/>
            <w:szCs w:val="19"/>
            <w:lang w:eastAsia="fr-FR"/>
          </w:rPr>
          <w:t>BIBLIOGRAPHIE</w:t>
        </w:r>
        <w:r w:rsidRPr="003E0C70">
          <w:rPr>
            <w:rFonts w:ascii="Arial" w:hAnsi="Arial" w:cs="Arial"/>
            <w:noProof/>
            <w:webHidden/>
            <w:sz w:val="19"/>
            <w:szCs w:val="19"/>
          </w:rPr>
          <w:tab/>
        </w:r>
        <w:r w:rsidRPr="003E0C70">
          <w:rPr>
            <w:rFonts w:ascii="Arial" w:hAnsi="Arial" w:cs="Arial"/>
            <w:noProof/>
            <w:webHidden/>
            <w:sz w:val="19"/>
            <w:szCs w:val="19"/>
          </w:rPr>
          <w:fldChar w:fldCharType="begin"/>
        </w:r>
        <w:r w:rsidRPr="003E0C70">
          <w:rPr>
            <w:rFonts w:ascii="Arial" w:hAnsi="Arial" w:cs="Arial"/>
            <w:noProof/>
            <w:webHidden/>
            <w:sz w:val="19"/>
            <w:szCs w:val="19"/>
          </w:rPr>
          <w:instrText xml:space="preserve"> PAGEREF _Toc52869901 \h </w:instrText>
        </w:r>
        <w:r w:rsidRPr="003E0C70">
          <w:rPr>
            <w:rFonts w:ascii="Arial" w:hAnsi="Arial" w:cs="Arial"/>
            <w:noProof/>
            <w:webHidden/>
            <w:sz w:val="19"/>
            <w:szCs w:val="19"/>
          </w:rPr>
        </w:r>
        <w:r w:rsidRPr="003E0C70">
          <w:rPr>
            <w:rFonts w:ascii="Arial" w:hAnsi="Arial" w:cs="Arial"/>
            <w:noProof/>
            <w:webHidden/>
            <w:sz w:val="19"/>
            <w:szCs w:val="19"/>
          </w:rPr>
          <w:fldChar w:fldCharType="separate"/>
        </w:r>
        <w:r w:rsidR="009E27E4">
          <w:rPr>
            <w:rFonts w:ascii="Arial" w:hAnsi="Arial" w:cs="Arial"/>
            <w:noProof/>
            <w:webHidden/>
            <w:sz w:val="19"/>
            <w:szCs w:val="19"/>
          </w:rPr>
          <w:t>226</w:t>
        </w:r>
        <w:r w:rsidRPr="003E0C70">
          <w:rPr>
            <w:rFonts w:ascii="Arial" w:hAnsi="Arial" w:cs="Arial"/>
            <w:noProof/>
            <w:webHidden/>
            <w:sz w:val="19"/>
            <w:szCs w:val="19"/>
          </w:rPr>
          <w:fldChar w:fldCharType="end"/>
        </w:r>
      </w:hyperlink>
    </w:p>
    <w:p w14:paraId="7977D6EF" w14:textId="3F6C0BE4" w:rsidR="003E0C70" w:rsidRPr="003E0C70" w:rsidRDefault="003E0C70" w:rsidP="003E0C70">
      <w:pPr>
        <w:pStyle w:val="TM1"/>
        <w:tabs>
          <w:tab w:val="right" w:leader="dot" w:pos="9345"/>
        </w:tabs>
        <w:spacing w:before="60" w:after="0" w:line="240" w:lineRule="auto"/>
        <w:rPr>
          <w:rFonts w:ascii="Arial" w:eastAsiaTheme="minorEastAsia" w:hAnsi="Arial" w:cs="Arial"/>
          <w:b w:val="0"/>
          <w:bCs w:val="0"/>
          <w:caps w:val="0"/>
          <w:noProof/>
          <w:color w:val="auto"/>
          <w:sz w:val="19"/>
          <w:szCs w:val="19"/>
          <w:lang w:eastAsia="fr-FR"/>
        </w:rPr>
      </w:pPr>
      <w:hyperlink w:anchor="_Toc52869902" w:history="1">
        <w:r w:rsidRPr="003E0C70">
          <w:rPr>
            <w:rStyle w:val="Lienhypertexte"/>
            <w:rFonts w:ascii="Arial" w:eastAsiaTheme="majorEastAsia" w:hAnsi="Arial" w:cs="Arial"/>
            <w:noProof/>
            <w:sz w:val="19"/>
            <w:szCs w:val="19"/>
          </w:rPr>
          <w:t>ANNEXES</w:t>
        </w:r>
        <w:r w:rsidRPr="003E0C70">
          <w:rPr>
            <w:rFonts w:ascii="Arial" w:hAnsi="Arial" w:cs="Arial"/>
            <w:noProof/>
            <w:webHidden/>
            <w:sz w:val="19"/>
            <w:szCs w:val="19"/>
          </w:rPr>
          <w:tab/>
        </w:r>
        <w:r w:rsidRPr="003E0C70">
          <w:rPr>
            <w:rFonts w:ascii="Arial" w:hAnsi="Arial" w:cs="Arial"/>
            <w:noProof/>
            <w:webHidden/>
            <w:sz w:val="19"/>
            <w:szCs w:val="19"/>
          </w:rPr>
          <w:fldChar w:fldCharType="begin"/>
        </w:r>
        <w:r w:rsidRPr="003E0C70">
          <w:rPr>
            <w:rFonts w:ascii="Arial" w:hAnsi="Arial" w:cs="Arial"/>
            <w:noProof/>
            <w:webHidden/>
            <w:sz w:val="19"/>
            <w:szCs w:val="19"/>
          </w:rPr>
          <w:instrText xml:space="preserve"> PAGEREF _Toc52869902 \h </w:instrText>
        </w:r>
        <w:r w:rsidRPr="003E0C70">
          <w:rPr>
            <w:rFonts w:ascii="Arial" w:hAnsi="Arial" w:cs="Arial"/>
            <w:noProof/>
            <w:webHidden/>
            <w:sz w:val="19"/>
            <w:szCs w:val="19"/>
          </w:rPr>
        </w:r>
        <w:r w:rsidRPr="003E0C70">
          <w:rPr>
            <w:rFonts w:ascii="Arial" w:hAnsi="Arial" w:cs="Arial"/>
            <w:noProof/>
            <w:webHidden/>
            <w:sz w:val="19"/>
            <w:szCs w:val="19"/>
          </w:rPr>
          <w:fldChar w:fldCharType="separate"/>
        </w:r>
        <w:r w:rsidR="009E27E4">
          <w:rPr>
            <w:rFonts w:ascii="Arial" w:hAnsi="Arial" w:cs="Arial"/>
            <w:noProof/>
            <w:webHidden/>
            <w:sz w:val="19"/>
            <w:szCs w:val="19"/>
          </w:rPr>
          <w:t>232</w:t>
        </w:r>
        <w:r w:rsidRPr="003E0C70">
          <w:rPr>
            <w:rFonts w:ascii="Arial" w:hAnsi="Arial" w:cs="Arial"/>
            <w:noProof/>
            <w:webHidden/>
            <w:sz w:val="19"/>
            <w:szCs w:val="19"/>
          </w:rPr>
          <w:fldChar w:fldCharType="end"/>
        </w:r>
      </w:hyperlink>
    </w:p>
    <w:p w14:paraId="057D77E1" w14:textId="38DDDEC7" w:rsidR="003E0C70" w:rsidRPr="003E0C70" w:rsidRDefault="003E0C70" w:rsidP="003E0C70">
      <w:pPr>
        <w:pStyle w:val="TM2"/>
        <w:rPr>
          <w:rFonts w:eastAsiaTheme="minorEastAsia"/>
          <w:b w:val="0"/>
          <w:i w:val="0"/>
          <w:caps w:val="0"/>
          <w:color w:val="auto"/>
          <w:sz w:val="19"/>
          <w:szCs w:val="19"/>
        </w:rPr>
      </w:pPr>
      <w:hyperlink w:anchor="_Toc52869903" w:history="1">
        <w:r w:rsidRPr="003E0C70">
          <w:rPr>
            <w:rStyle w:val="Lienhypertexte"/>
            <w:rFonts w:eastAsiaTheme="majorEastAsia"/>
            <w:sz w:val="19"/>
            <w:szCs w:val="19"/>
          </w:rPr>
          <w:t>Annexe 1 : Terme de référence</w:t>
        </w:r>
        <w:r w:rsidRPr="003E0C70">
          <w:rPr>
            <w:webHidden/>
            <w:sz w:val="19"/>
            <w:szCs w:val="19"/>
          </w:rPr>
          <w:tab/>
        </w:r>
        <w:r w:rsidRPr="003E0C70">
          <w:rPr>
            <w:webHidden/>
            <w:sz w:val="19"/>
            <w:szCs w:val="19"/>
          </w:rPr>
          <w:fldChar w:fldCharType="begin"/>
        </w:r>
        <w:r w:rsidRPr="003E0C70">
          <w:rPr>
            <w:webHidden/>
            <w:sz w:val="19"/>
            <w:szCs w:val="19"/>
          </w:rPr>
          <w:instrText xml:space="preserve"> PAGEREF _Toc52869903 \h </w:instrText>
        </w:r>
        <w:r w:rsidRPr="003E0C70">
          <w:rPr>
            <w:webHidden/>
            <w:sz w:val="19"/>
            <w:szCs w:val="19"/>
          </w:rPr>
        </w:r>
        <w:r w:rsidRPr="003E0C70">
          <w:rPr>
            <w:webHidden/>
            <w:sz w:val="19"/>
            <w:szCs w:val="19"/>
          </w:rPr>
          <w:fldChar w:fldCharType="separate"/>
        </w:r>
        <w:r w:rsidR="009E27E4">
          <w:rPr>
            <w:webHidden/>
            <w:sz w:val="19"/>
            <w:szCs w:val="19"/>
          </w:rPr>
          <w:t>232</w:t>
        </w:r>
        <w:r w:rsidRPr="003E0C70">
          <w:rPr>
            <w:webHidden/>
            <w:sz w:val="19"/>
            <w:szCs w:val="19"/>
          </w:rPr>
          <w:fldChar w:fldCharType="end"/>
        </w:r>
      </w:hyperlink>
    </w:p>
    <w:p w14:paraId="396C9954" w14:textId="65A3A378" w:rsidR="003E0C70" w:rsidRPr="003E0C70" w:rsidRDefault="003E0C70" w:rsidP="003E0C70">
      <w:pPr>
        <w:pStyle w:val="TM2"/>
        <w:rPr>
          <w:rFonts w:eastAsiaTheme="minorEastAsia"/>
          <w:b w:val="0"/>
          <w:i w:val="0"/>
          <w:caps w:val="0"/>
          <w:color w:val="auto"/>
          <w:sz w:val="19"/>
          <w:szCs w:val="19"/>
        </w:rPr>
      </w:pPr>
      <w:hyperlink w:anchor="_Toc52869904" w:history="1">
        <w:r w:rsidRPr="003E0C70">
          <w:rPr>
            <w:rStyle w:val="Lienhypertexte"/>
            <w:rFonts w:eastAsiaTheme="majorEastAsia"/>
            <w:sz w:val="19"/>
            <w:szCs w:val="19"/>
          </w:rPr>
          <w:t>Annexe 2 : Fiche d’enquête</w:t>
        </w:r>
        <w:r w:rsidRPr="003E0C70">
          <w:rPr>
            <w:webHidden/>
            <w:sz w:val="19"/>
            <w:szCs w:val="19"/>
          </w:rPr>
          <w:tab/>
        </w:r>
        <w:r w:rsidRPr="003E0C70">
          <w:rPr>
            <w:webHidden/>
            <w:sz w:val="19"/>
            <w:szCs w:val="19"/>
          </w:rPr>
          <w:fldChar w:fldCharType="begin"/>
        </w:r>
        <w:r w:rsidRPr="003E0C70">
          <w:rPr>
            <w:webHidden/>
            <w:sz w:val="19"/>
            <w:szCs w:val="19"/>
          </w:rPr>
          <w:instrText xml:space="preserve"> PAGEREF _Toc52869904 \h </w:instrText>
        </w:r>
        <w:r w:rsidRPr="003E0C70">
          <w:rPr>
            <w:webHidden/>
            <w:sz w:val="19"/>
            <w:szCs w:val="19"/>
          </w:rPr>
        </w:r>
        <w:r w:rsidRPr="003E0C70">
          <w:rPr>
            <w:webHidden/>
            <w:sz w:val="19"/>
            <w:szCs w:val="19"/>
          </w:rPr>
          <w:fldChar w:fldCharType="separate"/>
        </w:r>
        <w:r w:rsidR="009E27E4">
          <w:rPr>
            <w:webHidden/>
            <w:sz w:val="19"/>
            <w:szCs w:val="19"/>
          </w:rPr>
          <w:t>232</w:t>
        </w:r>
        <w:r w:rsidRPr="003E0C70">
          <w:rPr>
            <w:webHidden/>
            <w:sz w:val="19"/>
            <w:szCs w:val="19"/>
          </w:rPr>
          <w:fldChar w:fldCharType="end"/>
        </w:r>
      </w:hyperlink>
    </w:p>
    <w:p w14:paraId="1642F3E6" w14:textId="441F8038" w:rsidR="003E0C70" w:rsidRPr="003E0C70" w:rsidRDefault="003E0C70" w:rsidP="003E0C70">
      <w:pPr>
        <w:pStyle w:val="TM2"/>
        <w:rPr>
          <w:rFonts w:eastAsiaTheme="minorEastAsia"/>
          <w:b w:val="0"/>
          <w:i w:val="0"/>
          <w:caps w:val="0"/>
          <w:color w:val="auto"/>
          <w:sz w:val="19"/>
          <w:szCs w:val="19"/>
        </w:rPr>
      </w:pPr>
      <w:hyperlink w:anchor="_Toc52869905" w:history="1">
        <w:r w:rsidRPr="003E0C70">
          <w:rPr>
            <w:rStyle w:val="Lienhypertexte"/>
            <w:rFonts w:eastAsiaTheme="majorEastAsia"/>
            <w:sz w:val="19"/>
            <w:szCs w:val="19"/>
          </w:rPr>
          <w:t>Annexe 3 : Rapports de consultation publique</w:t>
        </w:r>
        <w:r w:rsidRPr="003E0C70">
          <w:rPr>
            <w:webHidden/>
            <w:sz w:val="19"/>
            <w:szCs w:val="19"/>
          </w:rPr>
          <w:tab/>
        </w:r>
        <w:r w:rsidRPr="003E0C70">
          <w:rPr>
            <w:webHidden/>
            <w:sz w:val="19"/>
            <w:szCs w:val="19"/>
          </w:rPr>
          <w:fldChar w:fldCharType="begin"/>
        </w:r>
        <w:r w:rsidRPr="003E0C70">
          <w:rPr>
            <w:webHidden/>
            <w:sz w:val="19"/>
            <w:szCs w:val="19"/>
          </w:rPr>
          <w:instrText xml:space="preserve"> PAGEREF _Toc52869905 \h </w:instrText>
        </w:r>
        <w:r w:rsidRPr="003E0C70">
          <w:rPr>
            <w:webHidden/>
            <w:sz w:val="19"/>
            <w:szCs w:val="19"/>
          </w:rPr>
        </w:r>
        <w:r w:rsidRPr="003E0C70">
          <w:rPr>
            <w:webHidden/>
            <w:sz w:val="19"/>
            <w:szCs w:val="19"/>
          </w:rPr>
          <w:fldChar w:fldCharType="separate"/>
        </w:r>
        <w:r w:rsidR="009E27E4">
          <w:rPr>
            <w:webHidden/>
            <w:sz w:val="19"/>
            <w:szCs w:val="19"/>
          </w:rPr>
          <w:t>232</w:t>
        </w:r>
        <w:r w:rsidRPr="003E0C70">
          <w:rPr>
            <w:webHidden/>
            <w:sz w:val="19"/>
            <w:szCs w:val="19"/>
          </w:rPr>
          <w:fldChar w:fldCharType="end"/>
        </w:r>
      </w:hyperlink>
    </w:p>
    <w:p w14:paraId="219383DE" w14:textId="568E6A81" w:rsidR="003E0C70" w:rsidRPr="003E0C70" w:rsidRDefault="003E0C70" w:rsidP="003E0C70">
      <w:pPr>
        <w:pStyle w:val="TM2"/>
        <w:rPr>
          <w:rFonts w:eastAsiaTheme="minorEastAsia"/>
          <w:b w:val="0"/>
          <w:i w:val="0"/>
          <w:caps w:val="0"/>
          <w:color w:val="auto"/>
          <w:sz w:val="19"/>
          <w:szCs w:val="19"/>
        </w:rPr>
      </w:pPr>
      <w:hyperlink w:anchor="_Toc52869906" w:history="1">
        <w:r w:rsidRPr="003E0C70">
          <w:rPr>
            <w:rStyle w:val="Lienhypertexte"/>
            <w:rFonts w:eastAsiaTheme="majorEastAsia"/>
            <w:sz w:val="19"/>
            <w:szCs w:val="19"/>
          </w:rPr>
          <w:t>Annexe 4 : Plan d’hygiène sante sécurité et environnement</w:t>
        </w:r>
        <w:r w:rsidRPr="003E0C70">
          <w:rPr>
            <w:webHidden/>
            <w:sz w:val="19"/>
            <w:szCs w:val="19"/>
          </w:rPr>
          <w:tab/>
        </w:r>
        <w:r w:rsidRPr="003E0C70">
          <w:rPr>
            <w:webHidden/>
            <w:sz w:val="19"/>
            <w:szCs w:val="19"/>
          </w:rPr>
          <w:fldChar w:fldCharType="begin"/>
        </w:r>
        <w:r w:rsidRPr="003E0C70">
          <w:rPr>
            <w:webHidden/>
            <w:sz w:val="19"/>
            <w:szCs w:val="19"/>
          </w:rPr>
          <w:instrText xml:space="preserve"> PAGEREF _Toc52869906 \h </w:instrText>
        </w:r>
        <w:r w:rsidRPr="003E0C70">
          <w:rPr>
            <w:webHidden/>
            <w:sz w:val="19"/>
            <w:szCs w:val="19"/>
          </w:rPr>
        </w:r>
        <w:r w:rsidRPr="003E0C70">
          <w:rPr>
            <w:webHidden/>
            <w:sz w:val="19"/>
            <w:szCs w:val="19"/>
          </w:rPr>
          <w:fldChar w:fldCharType="separate"/>
        </w:r>
        <w:r w:rsidR="009E27E4">
          <w:rPr>
            <w:webHidden/>
            <w:sz w:val="19"/>
            <w:szCs w:val="19"/>
          </w:rPr>
          <w:t>232</w:t>
        </w:r>
        <w:r w:rsidRPr="003E0C70">
          <w:rPr>
            <w:webHidden/>
            <w:sz w:val="19"/>
            <w:szCs w:val="19"/>
          </w:rPr>
          <w:fldChar w:fldCharType="end"/>
        </w:r>
      </w:hyperlink>
    </w:p>
    <w:p w14:paraId="33368FCD" w14:textId="6F3DDE59" w:rsidR="003E0C70" w:rsidRPr="003E0C70" w:rsidRDefault="003E0C70" w:rsidP="003E0C70">
      <w:pPr>
        <w:pStyle w:val="TM2"/>
        <w:rPr>
          <w:rFonts w:eastAsiaTheme="minorEastAsia"/>
          <w:b w:val="0"/>
          <w:i w:val="0"/>
          <w:caps w:val="0"/>
          <w:color w:val="auto"/>
          <w:sz w:val="19"/>
          <w:szCs w:val="19"/>
        </w:rPr>
      </w:pPr>
      <w:hyperlink w:anchor="_Toc52869907" w:history="1">
        <w:r w:rsidRPr="003E0C70">
          <w:rPr>
            <w:rStyle w:val="Lienhypertexte"/>
            <w:rFonts w:eastAsiaTheme="majorEastAsia"/>
            <w:sz w:val="19"/>
            <w:szCs w:val="19"/>
          </w:rPr>
          <w:t>Annexe 5 : Prescriptions environnementales et sociale</w:t>
        </w:r>
        <w:r w:rsidRPr="003E0C70">
          <w:rPr>
            <w:webHidden/>
            <w:sz w:val="19"/>
            <w:szCs w:val="19"/>
          </w:rPr>
          <w:tab/>
        </w:r>
        <w:r w:rsidRPr="003E0C70">
          <w:rPr>
            <w:webHidden/>
            <w:sz w:val="19"/>
            <w:szCs w:val="19"/>
          </w:rPr>
          <w:fldChar w:fldCharType="begin"/>
        </w:r>
        <w:r w:rsidRPr="003E0C70">
          <w:rPr>
            <w:webHidden/>
            <w:sz w:val="19"/>
            <w:szCs w:val="19"/>
          </w:rPr>
          <w:instrText xml:space="preserve"> PAGEREF _Toc52869907 \h </w:instrText>
        </w:r>
        <w:r w:rsidRPr="003E0C70">
          <w:rPr>
            <w:webHidden/>
            <w:sz w:val="19"/>
            <w:szCs w:val="19"/>
          </w:rPr>
        </w:r>
        <w:r w:rsidRPr="003E0C70">
          <w:rPr>
            <w:webHidden/>
            <w:sz w:val="19"/>
            <w:szCs w:val="19"/>
          </w:rPr>
          <w:fldChar w:fldCharType="separate"/>
        </w:r>
        <w:r w:rsidR="009E27E4">
          <w:rPr>
            <w:webHidden/>
            <w:sz w:val="19"/>
            <w:szCs w:val="19"/>
          </w:rPr>
          <w:t>232</w:t>
        </w:r>
        <w:r w:rsidRPr="003E0C70">
          <w:rPr>
            <w:webHidden/>
            <w:sz w:val="19"/>
            <w:szCs w:val="19"/>
          </w:rPr>
          <w:fldChar w:fldCharType="end"/>
        </w:r>
      </w:hyperlink>
    </w:p>
    <w:p w14:paraId="4F376F22" w14:textId="03BEDC35" w:rsidR="003E0C70" w:rsidRPr="003E0C70" w:rsidRDefault="003E0C70" w:rsidP="003E0C70">
      <w:pPr>
        <w:pStyle w:val="TM2"/>
        <w:rPr>
          <w:rFonts w:eastAsiaTheme="minorEastAsia"/>
          <w:b w:val="0"/>
          <w:i w:val="0"/>
          <w:caps w:val="0"/>
          <w:color w:val="auto"/>
          <w:sz w:val="19"/>
          <w:szCs w:val="19"/>
        </w:rPr>
      </w:pPr>
      <w:hyperlink w:anchor="_Toc52869908" w:history="1">
        <w:r w:rsidRPr="003E0C70">
          <w:rPr>
            <w:rStyle w:val="Lienhypertexte"/>
            <w:rFonts w:eastAsiaTheme="majorEastAsia"/>
            <w:sz w:val="19"/>
            <w:szCs w:val="19"/>
          </w:rPr>
          <w:t>Annexe 6 : Plan de communication</w:t>
        </w:r>
        <w:r w:rsidRPr="003E0C70">
          <w:rPr>
            <w:webHidden/>
            <w:sz w:val="19"/>
            <w:szCs w:val="19"/>
          </w:rPr>
          <w:tab/>
        </w:r>
        <w:r w:rsidRPr="003E0C70">
          <w:rPr>
            <w:webHidden/>
            <w:sz w:val="19"/>
            <w:szCs w:val="19"/>
          </w:rPr>
          <w:fldChar w:fldCharType="begin"/>
        </w:r>
        <w:r w:rsidRPr="003E0C70">
          <w:rPr>
            <w:webHidden/>
            <w:sz w:val="19"/>
            <w:szCs w:val="19"/>
          </w:rPr>
          <w:instrText xml:space="preserve"> PAGEREF _Toc52869908 \h </w:instrText>
        </w:r>
        <w:r w:rsidRPr="003E0C70">
          <w:rPr>
            <w:webHidden/>
            <w:sz w:val="19"/>
            <w:szCs w:val="19"/>
          </w:rPr>
        </w:r>
        <w:r w:rsidRPr="003E0C70">
          <w:rPr>
            <w:webHidden/>
            <w:sz w:val="19"/>
            <w:szCs w:val="19"/>
          </w:rPr>
          <w:fldChar w:fldCharType="separate"/>
        </w:r>
        <w:r w:rsidR="009E27E4">
          <w:rPr>
            <w:webHidden/>
            <w:sz w:val="19"/>
            <w:szCs w:val="19"/>
          </w:rPr>
          <w:t>232</w:t>
        </w:r>
        <w:r w:rsidRPr="003E0C70">
          <w:rPr>
            <w:webHidden/>
            <w:sz w:val="19"/>
            <w:szCs w:val="19"/>
          </w:rPr>
          <w:fldChar w:fldCharType="end"/>
        </w:r>
      </w:hyperlink>
    </w:p>
    <w:p w14:paraId="1CAF4604" w14:textId="01C82AC5" w:rsidR="003E0C70" w:rsidRPr="003E0C70" w:rsidRDefault="003E0C70" w:rsidP="003E0C70">
      <w:pPr>
        <w:pStyle w:val="TM2"/>
        <w:rPr>
          <w:rFonts w:eastAsiaTheme="minorEastAsia"/>
          <w:b w:val="0"/>
          <w:i w:val="0"/>
          <w:caps w:val="0"/>
          <w:color w:val="auto"/>
          <w:sz w:val="19"/>
          <w:szCs w:val="19"/>
        </w:rPr>
      </w:pPr>
      <w:hyperlink w:anchor="_Toc52869909" w:history="1">
        <w:r w:rsidRPr="003E0C70">
          <w:rPr>
            <w:rStyle w:val="Lienhypertexte"/>
            <w:rFonts w:eastAsiaTheme="majorEastAsia"/>
            <w:sz w:val="19"/>
            <w:szCs w:val="19"/>
          </w:rPr>
          <w:t>Annexe 7 : Liste des personnes rencontrées</w:t>
        </w:r>
        <w:r w:rsidRPr="003E0C70">
          <w:rPr>
            <w:webHidden/>
            <w:sz w:val="19"/>
            <w:szCs w:val="19"/>
          </w:rPr>
          <w:tab/>
        </w:r>
        <w:r w:rsidRPr="003E0C70">
          <w:rPr>
            <w:webHidden/>
            <w:sz w:val="19"/>
            <w:szCs w:val="19"/>
          </w:rPr>
          <w:fldChar w:fldCharType="begin"/>
        </w:r>
        <w:r w:rsidRPr="003E0C70">
          <w:rPr>
            <w:webHidden/>
            <w:sz w:val="19"/>
            <w:szCs w:val="19"/>
          </w:rPr>
          <w:instrText xml:space="preserve"> PAGEREF _Toc52869909 \h </w:instrText>
        </w:r>
        <w:r w:rsidRPr="003E0C70">
          <w:rPr>
            <w:webHidden/>
            <w:sz w:val="19"/>
            <w:szCs w:val="19"/>
          </w:rPr>
        </w:r>
        <w:r w:rsidRPr="003E0C70">
          <w:rPr>
            <w:webHidden/>
            <w:sz w:val="19"/>
            <w:szCs w:val="19"/>
          </w:rPr>
          <w:fldChar w:fldCharType="separate"/>
        </w:r>
        <w:r w:rsidR="009E27E4">
          <w:rPr>
            <w:webHidden/>
            <w:sz w:val="19"/>
            <w:szCs w:val="19"/>
          </w:rPr>
          <w:t>232</w:t>
        </w:r>
        <w:r w:rsidRPr="003E0C70">
          <w:rPr>
            <w:webHidden/>
            <w:sz w:val="19"/>
            <w:szCs w:val="19"/>
          </w:rPr>
          <w:fldChar w:fldCharType="end"/>
        </w:r>
      </w:hyperlink>
    </w:p>
    <w:p w14:paraId="0B1DD90E" w14:textId="41370479" w:rsidR="003E0C70" w:rsidRPr="003E0C70" w:rsidRDefault="003E0C70" w:rsidP="003E0C70">
      <w:pPr>
        <w:pStyle w:val="TM2"/>
        <w:rPr>
          <w:rFonts w:eastAsiaTheme="minorEastAsia"/>
          <w:b w:val="0"/>
          <w:i w:val="0"/>
          <w:caps w:val="0"/>
          <w:color w:val="auto"/>
          <w:sz w:val="19"/>
          <w:szCs w:val="19"/>
        </w:rPr>
      </w:pPr>
      <w:hyperlink w:anchor="_Toc52869910" w:history="1">
        <w:r w:rsidRPr="003E0C70">
          <w:rPr>
            <w:rStyle w:val="Lienhypertexte"/>
            <w:rFonts w:eastAsiaTheme="majorEastAsia"/>
            <w:sz w:val="19"/>
            <w:szCs w:val="19"/>
          </w:rPr>
          <w:t>Annexe 8 : Carte des rues de Natitingou</w:t>
        </w:r>
        <w:r w:rsidRPr="003E0C70">
          <w:rPr>
            <w:webHidden/>
            <w:sz w:val="19"/>
            <w:szCs w:val="19"/>
          </w:rPr>
          <w:tab/>
        </w:r>
        <w:r w:rsidRPr="003E0C70">
          <w:rPr>
            <w:webHidden/>
            <w:sz w:val="19"/>
            <w:szCs w:val="19"/>
          </w:rPr>
          <w:fldChar w:fldCharType="begin"/>
        </w:r>
        <w:r w:rsidRPr="003E0C70">
          <w:rPr>
            <w:webHidden/>
            <w:sz w:val="19"/>
            <w:szCs w:val="19"/>
          </w:rPr>
          <w:instrText xml:space="preserve"> PAGEREF _Toc52869910 \h </w:instrText>
        </w:r>
        <w:r w:rsidRPr="003E0C70">
          <w:rPr>
            <w:webHidden/>
            <w:sz w:val="19"/>
            <w:szCs w:val="19"/>
          </w:rPr>
        </w:r>
        <w:r w:rsidRPr="003E0C70">
          <w:rPr>
            <w:webHidden/>
            <w:sz w:val="19"/>
            <w:szCs w:val="19"/>
          </w:rPr>
          <w:fldChar w:fldCharType="separate"/>
        </w:r>
        <w:r w:rsidR="009E27E4">
          <w:rPr>
            <w:webHidden/>
            <w:sz w:val="19"/>
            <w:szCs w:val="19"/>
          </w:rPr>
          <w:t>232</w:t>
        </w:r>
        <w:r w:rsidRPr="003E0C70">
          <w:rPr>
            <w:webHidden/>
            <w:sz w:val="19"/>
            <w:szCs w:val="19"/>
          </w:rPr>
          <w:fldChar w:fldCharType="end"/>
        </w:r>
      </w:hyperlink>
    </w:p>
    <w:p w14:paraId="131C9A26" w14:textId="5B76068F" w:rsidR="003E0C70" w:rsidRPr="003E0C70" w:rsidRDefault="003E0C70" w:rsidP="003E0C70">
      <w:pPr>
        <w:pStyle w:val="TM2"/>
        <w:rPr>
          <w:rFonts w:eastAsiaTheme="minorEastAsia"/>
          <w:b w:val="0"/>
          <w:i w:val="0"/>
          <w:caps w:val="0"/>
          <w:color w:val="auto"/>
          <w:sz w:val="19"/>
          <w:szCs w:val="19"/>
        </w:rPr>
      </w:pPr>
      <w:hyperlink w:anchor="_Toc52869911" w:history="1">
        <w:r w:rsidRPr="003E0C70">
          <w:rPr>
            <w:rStyle w:val="Lienhypertexte"/>
            <w:rFonts w:eastAsiaTheme="majorEastAsia"/>
            <w:sz w:val="19"/>
            <w:szCs w:val="19"/>
          </w:rPr>
          <w:t>Annexe 9 : Mesure d’accompagnement  _ Infrastructures sociocommunautaires recensées dans la zone d’influence du projet</w:t>
        </w:r>
        <w:r w:rsidRPr="003E0C70">
          <w:rPr>
            <w:webHidden/>
            <w:sz w:val="19"/>
            <w:szCs w:val="19"/>
          </w:rPr>
          <w:tab/>
        </w:r>
        <w:r w:rsidRPr="003E0C70">
          <w:rPr>
            <w:webHidden/>
            <w:sz w:val="19"/>
            <w:szCs w:val="19"/>
          </w:rPr>
          <w:fldChar w:fldCharType="begin"/>
        </w:r>
        <w:r w:rsidRPr="003E0C70">
          <w:rPr>
            <w:webHidden/>
            <w:sz w:val="19"/>
            <w:szCs w:val="19"/>
          </w:rPr>
          <w:instrText xml:space="preserve"> PAGEREF _Toc52869911 \h </w:instrText>
        </w:r>
        <w:r w:rsidRPr="003E0C70">
          <w:rPr>
            <w:webHidden/>
            <w:sz w:val="19"/>
            <w:szCs w:val="19"/>
          </w:rPr>
        </w:r>
        <w:r w:rsidRPr="003E0C70">
          <w:rPr>
            <w:webHidden/>
            <w:sz w:val="19"/>
            <w:szCs w:val="19"/>
          </w:rPr>
          <w:fldChar w:fldCharType="separate"/>
        </w:r>
        <w:r w:rsidR="009E27E4">
          <w:rPr>
            <w:webHidden/>
            <w:sz w:val="19"/>
            <w:szCs w:val="19"/>
          </w:rPr>
          <w:t>232</w:t>
        </w:r>
        <w:r w:rsidRPr="003E0C70">
          <w:rPr>
            <w:webHidden/>
            <w:sz w:val="19"/>
            <w:szCs w:val="19"/>
          </w:rPr>
          <w:fldChar w:fldCharType="end"/>
        </w:r>
      </w:hyperlink>
    </w:p>
    <w:p w14:paraId="4B524FCA" w14:textId="79CB91D8" w:rsidR="003E0C70" w:rsidRPr="003E0C70" w:rsidRDefault="003E0C70" w:rsidP="003E0C70">
      <w:pPr>
        <w:pStyle w:val="TM1"/>
        <w:tabs>
          <w:tab w:val="right" w:leader="dot" w:pos="9345"/>
        </w:tabs>
        <w:spacing w:before="60" w:after="0" w:line="240" w:lineRule="auto"/>
        <w:rPr>
          <w:rFonts w:ascii="Arial" w:eastAsiaTheme="minorEastAsia" w:hAnsi="Arial" w:cs="Arial"/>
          <w:b w:val="0"/>
          <w:bCs w:val="0"/>
          <w:caps w:val="0"/>
          <w:noProof/>
          <w:color w:val="auto"/>
          <w:sz w:val="19"/>
          <w:szCs w:val="19"/>
          <w:lang w:eastAsia="fr-FR"/>
        </w:rPr>
      </w:pPr>
      <w:hyperlink w:anchor="_Toc52869912" w:history="1">
        <w:r w:rsidRPr="003E0C70">
          <w:rPr>
            <w:rStyle w:val="Lienhypertexte"/>
            <w:rFonts w:ascii="Arial" w:eastAsiaTheme="majorEastAsia" w:hAnsi="Arial" w:cs="Arial"/>
            <w:noProof/>
            <w:sz w:val="19"/>
            <w:szCs w:val="19"/>
          </w:rPr>
          <w:t>table des matieres</w:t>
        </w:r>
        <w:r w:rsidRPr="003E0C70">
          <w:rPr>
            <w:rFonts w:ascii="Arial" w:hAnsi="Arial" w:cs="Arial"/>
            <w:noProof/>
            <w:webHidden/>
            <w:sz w:val="19"/>
            <w:szCs w:val="19"/>
          </w:rPr>
          <w:tab/>
        </w:r>
        <w:r w:rsidRPr="003E0C70">
          <w:rPr>
            <w:rFonts w:ascii="Arial" w:hAnsi="Arial" w:cs="Arial"/>
            <w:noProof/>
            <w:webHidden/>
            <w:sz w:val="19"/>
            <w:szCs w:val="19"/>
          </w:rPr>
          <w:fldChar w:fldCharType="begin"/>
        </w:r>
        <w:r w:rsidRPr="003E0C70">
          <w:rPr>
            <w:rFonts w:ascii="Arial" w:hAnsi="Arial" w:cs="Arial"/>
            <w:noProof/>
            <w:webHidden/>
            <w:sz w:val="19"/>
            <w:szCs w:val="19"/>
          </w:rPr>
          <w:instrText xml:space="preserve"> PAGEREF _Toc52869912 \h </w:instrText>
        </w:r>
        <w:r w:rsidRPr="003E0C70">
          <w:rPr>
            <w:rFonts w:ascii="Arial" w:hAnsi="Arial" w:cs="Arial"/>
            <w:noProof/>
            <w:webHidden/>
            <w:sz w:val="19"/>
            <w:szCs w:val="19"/>
          </w:rPr>
        </w:r>
        <w:r w:rsidRPr="003E0C70">
          <w:rPr>
            <w:rFonts w:ascii="Arial" w:hAnsi="Arial" w:cs="Arial"/>
            <w:noProof/>
            <w:webHidden/>
            <w:sz w:val="19"/>
            <w:szCs w:val="19"/>
          </w:rPr>
          <w:fldChar w:fldCharType="separate"/>
        </w:r>
        <w:r w:rsidR="009E27E4">
          <w:rPr>
            <w:rFonts w:ascii="Arial" w:hAnsi="Arial" w:cs="Arial"/>
            <w:noProof/>
            <w:webHidden/>
            <w:sz w:val="19"/>
            <w:szCs w:val="19"/>
          </w:rPr>
          <w:t>233</w:t>
        </w:r>
        <w:r w:rsidRPr="003E0C70">
          <w:rPr>
            <w:rFonts w:ascii="Arial" w:hAnsi="Arial" w:cs="Arial"/>
            <w:noProof/>
            <w:webHidden/>
            <w:sz w:val="19"/>
            <w:szCs w:val="19"/>
          </w:rPr>
          <w:fldChar w:fldCharType="end"/>
        </w:r>
      </w:hyperlink>
    </w:p>
    <w:p w14:paraId="3517183F" w14:textId="5CC05DFF" w:rsidR="00AB04ED" w:rsidRPr="00A9330B" w:rsidRDefault="00C26ACB" w:rsidP="003E0C70">
      <w:pPr>
        <w:spacing w:before="60" w:line="240" w:lineRule="auto"/>
        <w:jc w:val="center"/>
        <w:rPr>
          <w:rFonts w:ascii="Arial Narrow" w:eastAsia="Calibri" w:hAnsi="Arial Narrow" w:cs="Times New Roman"/>
          <w:b/>
          <w:color w:val="auto"/>
          <w:sz w:val="40"/>
        </w:rPr>
      </w:pPr>
      <w:r w:rsidRPr="003E0C70">
        <w:rPr>
          <w:rFonts w:eastAsia="Calibri" w:cs="Arial"/>
          <w:b/>
          <w:i/>
          <w:color w:val="auto"/>
          <w:sz w:val="20"/>
          <w:szCs w:val="20"/>
        </w:rPr>
        <w:fldChar w:fldCharType="end"/>
      </w:r>
      <w:r w:rsidR="00AB04ED" w:rsidRPr="00A9330B">
        <w:rPr>
          <w:rFonts w:ascii="Arial Narrow" w:eastAsia="Calibri" w:hAnsi="Arial Narrow" w:cs="Times New Roman"/>
          <w:b/>
          <w:color w:val="auto"/>
          <w:sz w:val="40"/>
        </w:rPr>
        <w:br w:type="page"/>
      </w:r>
    </w:p>
    <w:p w14:paraId="5209EFC5" w14:textId="77777777" w:rsidR="00AB04ED" w:rsidRPr="00A9330B" w:rsidRDefault="00AB04ED" w:rsidP="0064324E">
      <w:pPr>
        <w:pStyle w:val="Titre1"/>
      </w:pPr>
      <w:bookmarkStart w:id="25" w:name="_Toc533015975"/>
      <w:bookmarkStart w:id="26" w:name="_Toc535244505"/>
      <w:bookmarkStart w:id="27" w:name="_Toc52869525"/>
      <w:bookmarkStart w:id="28" w:name="_Toc52869815"/>
      <w:bookmarkEnd w:id="13"/>
      <w:r w:rsidRPr="00A9330B">
        <w:lastRenderedPageBreak/>
        <w:t>LISTE DES TABLEAUX</w:t>
      </w:r>
      <w:bookmarkEnd w:id="27"/>
      <w:bookmarkEnd w:id="28"/>
      <w:r w:rsidRPr="00A9330B">
        <w:t xml:space="preserve"> </w:t>
      </w:r>
    </w:p>
    <w:p w14:paraId="62402BF6" w14:textId="77777777" w:rsidR="00EC72A9" w:rsidRPr="00A9330B" w:rsidRDefault="00EC72A9" w:rsidP="00EC72A9">
      <w:pPr>
        <w:rPr>
          <w:lang w:eastAsia="fr-FR"/>
        </w:rPr>
      </w:pPr>
    </w:p>
    <w:p w14:paraId="1E4FFCA2" w14:textId="508DB95D" w:rsidR="009E27E4" w:rsidRPr="009E27E4" w:rsidRDefault="00EC72A9" w:rsidP="009E27E4">
      <w:pPr>
        <w:pStyle w:val="Tabledesillustrations"/>
        <w:tabs>
          <w:tab w:val="right" w:leader="dot" w:pos="9345"/>
        </w:tabs>
        <w:spacing w:before="80"/>
        <w:rPr>
          <w:rFonts w:eastAsiaTheme="minorEastAsia" w:cs="Arial"/>
          <w:i/>
          <w:noProof/>
          <w:sz w:val="20"/>
          <w:szCs w:val="20"/>
          <w:lang w:eastAsia="fr-FR"/>
        </w:rPr>
      </w:pPr>
      <w:r w:rsidRPr="009E27E4">
        <w:rPr>
          <w:rFonts w:cs="Arial"/>
          <w:i/>
          <w:sz w:val="20"/>
          <w:szCs w:val="20"/>
        </w:rPr>
        <w:fldChar w:fldCharType="begin"/>
      </w:r>
      <w:r w:rsidRPr="009E27E4">
        <w:rPr>
          <w:rFonts w:cs="Arial"/>
          <w:i/>
          <w:sz w:val="20"/>
          <w:szCs w:val="20"/>
        </w:rPr>
        <w:instrText xml:space="preserve"> TOC \h \z \c "Tableau" </w:instrText>
      </w:r>
      <w:r w:rsidRPr="009E27E4">
        <w:rPr>
          <w:rFonts w:cs="Arial"/>
          <w:i/>
          <w:sz w:val="20"/>
          <w:szCs w:val="20"/>
        </w:rPr>
        <w:fldChar w:fldCharType="separate"/>
      </w:r>
      <w:hyperlink w:anchor="_Toc52873725" w:history="1">
        <w:r w:rsidR="009E27E4" w:rsidRPr="009E27E4">
          <w:rPr>
            <w:rStyle w:val="Lienhypertexte"/>
            <w:rFonts w:cs="Arial"/>
            <w:i/>
            <w:noProof/>
            <w:sz w:val="20"/>
            <w:szCs w:val="20"/>
          </w:rPr>
          <w:t>Tableau 1 : Equipe de consultants ayant réalisé les EIES et PAR</w:t>
        </w:r>
        <w:r w:rsidR="009E27E4" w:rsidRPr="009E27E4">
          <w:rPr>
            <w:rFonts w:cs="Arial"/>
            <w:i/>
            <w:noProof/>
            <w:webHidden/>
            <w:sz w:val="20"/>
            <w:szCs w:val="20"/>
          </w:rPr>
          <w:tab/>
        </w:r>
        <w:r w:rsidR="009E27E4" w:rsidRPr="009E27E4">
          <w:rPr>
            <w:rFonts w:cs="Arial"/>
            <w:i/>
            <w:noProof/>
            <w:webHidden/>
            <w:sz w:val="20"/>
            <w:szCs w:val="20"/>
          </w:rPr>
          <w:fldChar w:fldCharType="begin"/>
        </w:r>
        <w:r w:rsidR="009E27E4" w:rsidRPr="009E27E4">
          <w:rPr>
            <w:rFonts w:cs="Arial"/>
            <w:i/>
            <w:noProof/>
            <w:webHidden/>
            <w:sz w:val="20"/>
            <w:szCs w:val="20"/>
          </w:rPr>
          <w:instrText xml:space="preserve"> PAGEREF _Toc52873725 \h </w:instrText>
        </w:r>
        <w:r w:rsidR="009E27E4" w:rsidRPr="009E27E4">
          <w:rPr>
            <w:rFonts w:cs="Arial"/>
            <w:i/>
            <w:noProof/>
            <w:webHidden/>
            <w:sz w:val="20"/>
            <w:szCs w:val="20"/>
          </w:rPr>
        </w:r>
        <w:r w:rsidR="009E27E4" w:rsidRPr="009E27E4">
          <w:rPr>
            <w:rFonts w:cs="Arial"/>
            <w:i/>
            <w:noProof/>
            <w:webHidden/>
            <w:sz w:val="20"/>
            <w:szCs w:val="20"/>
          </w:rPr>
          <w:fldChar w:fldCharType="separate"/>
        </w:r>
        <w:r w:rsidR="009E27E4" w:rsidRPr="009E27E4">
          <w:rPr>
            <w:rFonts w:cs="Arial"/>
            <w:i/>
            <w:noProof/>
            <w:webHidden/>
            <w:sz w:val="20"/>
            <w:szCs w:val="20"/>
          </w:rPr>
          <w:t>3</w:t>
        </w:r>
        <w:r w:rsidR="009E27E4" w:rsidRPr="009E27E4">
          <w:rPr>
            <w:rFonts w:cs="Arial"/>
            <w:i/>
            <w:noProof/>
            <w:webHidden/>
            <w:sz w:val="20"/>
            <w:szCs w:val="20"/>
          </w:rPr>
          <w:fldChar w:fldCharType="end"/>
        </w:r>
      </w:hyperlink>
    </w:p>
    <w:p w14:paraId="7D9B9FCD" w14:textId="34FD5B38" w:rsidR="009E27E4" w:rsidRPr="009E27E4" w:rsidRDefault="009E27E4" w:rsidP="009E27E4">
      <w:pPr>
        <w:pStyle w:val="Tabledesillustrations"/>
        <w:tabs>
          <w:tab w:val="right" w:leader="dot" w:pos="9345"/>
        </w:tabs>
        <w:spacing w:before="80"/>
        <w:rPr>
          <w:rFonts w:eastAsiaTheme="minorEastAsia" w:cs="Arial"/>
          <w:i/>
          <w:noProof/>
          <w:sz w:val="20"/>
          <w:szCs w:val="20"/>
          <w:lang w:eastAsia="fr-FR"/>
        </w:rPr>
      </w:pPr>
      <w:hyperlink w:anchor="_Toc52873726" w:history="1">
        <w:r w:rsidRPr="009E27E4">
          <w:rPr>
            <w:rStyle w:val="Lienhypertexte"/>
            <w:rFonts w:cs="Arial"/>
            <w:i/>
            <w:noProof/>
            <w:sz w:val="20"/>
            <w:szCs w:val="20"/>
          </w:rPr>
          <w:t>Tableau 2 : Méthodes de collecte des données sur le milieu humain</w:t>
        </w:r>
        <w:r w:rsidRPr="009E27E4">
          <w:rPr>
            <w:rFonts w:cs="Arial"/>
            <w:i/>
            <w:noProof/>
            <w:webHidden/>
            <w:sz w:val="20"/>
            <w:szCs w:val="20"/>
          </w:rPr>
          <w:tab/>
        </w:r>
        <w:r w:rsidRPr="009E27E4">
          <w:rPr>
            <w:rFonts w:cs="Arial"/>
            <w:i/>
            <w:noProof/>
            <w:webHidden/>
            <w:sz w:val="20"/>
            <w:szCs w:val="20"/>
          </w:rPr>
          <w:fldChar w:fldCharType="begin"/>
        </w:r>
        <w:r w:rsidRPr="009E27E4">
          <w:rPr>
            <w:rFonts w:cs="Arial"/>
            <w:i/>
            <w:noProof/>
            <w:webHidden/>
            <w:sz w:val="20"/>
            <w:szCs w:val="20"/>
          </w:rPr>
          <w:instrText xml:space="preserve"> PAGEREF _Toc52873726 \h </w:instrText>
        </w:r>
        <w:r w:rsidRPr="009E27E4">
          <w:rPr>
            <w:rFonts w:cs="Arial"/>
            <w:i/>
            <w:noProof/>
            <w:webHidden/>
            <w:sz w:val="20"/>
            <w:szCs w:val="20"/>
          </w:rPr>
        </w:r>
        <w:r w:rsidRPr="009E27E4">
          <w:rPr>
            <w:rFonts w:cs="Arial"/>
            <w:i/>
            <w:noProof/>
            <w:webHidden/>
            <w:sz w:val="20"/>
            <w:szCs w:val="20"/>
          </w:rPr>
          <w:fldChar w:fldCharType="separate"/>
        </w:r>
        <w:r w:rsidRPr="009E27E4">
          <w:rPr>
            <w:rFonts w:cs="Arial"/>
            <w:i/>
            <w:noProof/>
            <w:webHidden/>
            <w:sz w:val="20"/>
            <w:szCs w:val="20"/>
          </w:rPr>
          <w:t>13</w:t>
        </w:r>
        <w:r w:rsidRPr="009E27E4">
          <w:rPr>
            <w:rFonts w:cs="Arial"/>
            <w:i/>
            <w:noProof/>
            <w:webHidden/>
            <w:sz w:val="20"/>
            <w:szCs w:val="20"/>
          </w:rPr>
          <w:fldChar w:fldCharType="end"/>
        </w:r>
      </w:hyperlink>
    </w:p>
    <w:p w14:paraId="564E6A37" w14:textId="70C70A2A" w:rsidR="009E27E4" w:rsidRPr="009E27E4" w:rsidRDefault="009E27E4" w:rsidP="009E27E4">
      <w:pPr>
        <w:pStyle w:val="Tabledesillustrations"/>
        <w:tabs>
          <w:tab w:val="right" w:leader="dot" w:pos="9345"/>
        </w:tabs>
        <w:spacing w:before="80"/>
        <w:rPr>
          <w:rFonts w:eastAsiaTheme="minorEastAsia" w:cs="Arial"/>
          <w:i/>
          <w:noProof/>
          <w:sz w:val="20"/>
          <w:szCs w:val="20"/>
          <w:lang w:eastAsia="fr-FR"/>
        </w:rPr>
      </w:pPr>
      <w:hyperlink w:anchor="_Toc52873727" w:history="1">
        <w:r w:rsidRPr="009E27E4">
          <w:rPr>
            <w:rStyle w:val="Lienhypertexte"/>
            <w:rFonts w:cs="Arial"/>
            <w:i/>
            <w:noProof/>
            <w:sz w:val="20"/>
            <w:szCs w:val="20"/>
          </w:rPr>
          <w:t>Tableau 3 : Plan d’échantillonnage pour NATITINGOU</w:t>
        </w:r>
        <w:r w:rsidRPr="009E27E4">
          <w:rPr>
            <w:rFonts w:cs="Arial"/>
            <w:i/>
            <w:noProof/>
            <w:webHidden/>
            <w:sz w:val="20"/>
            <w:szCs w:val="20"/>
          </w:rPr>
          <w:tab/>
        </w:r>
        <w:r w:rsidRPr="009E27E4">
          <w:rPr>
            <w:rFonts w:cs="Arial"/>
            <w:i/>
            <w:noProof/>
            <w:webHidden/>
            <w:sz w:val="20"/>
            <w:szCs w:val="20"/>
          </w:rPr>
          <w:fldChar w:fldCharType="begin"/>
        </w:r>
        <w:r w:rsidRPr="009E27E4">
          <w:rPr>
            <w:rFonts w:cs="Arial"/>
            <w:i/>
            <w:noProof/>
            <w:webHidden/>
            <w:sz w:val="20"/>
            <w:szCs w:val="20"/>
          </w:rPr>
          <w:instrText xml:space="preserve"> PAGEREF _Toc52873727 \h </w:instrText>
        </w:r>
        <w:r w:rsidRPr="009E27E4">
          <w:rPr>
            <w:rFonts w:cs="Arial"/>
            <w:i/>
            <w:noProof/>
            <w:webHidden/>
            <w:sz w:val="20"/>
            <w:szCs w:val="20"/>
          </w:rPr>
        </w:r>
        <w:r w:rsidRPr="009E27E4">
          <w:rPr>
            <w:rFonts w:cs="Arial"/>
            <w:i/>
            <w:noProof/>
            <w:webHidden/>
            <w:sz w:val="20"/>
            <w:szCs w:val="20"/>
          </w:rPr>
          <w:fldChar w:fldCharType="separate"/>
        </w:r>
        <w:r w:rsidRPr="009E27E4">
          <w:rPr>
            <w:rFonts w:cs="Arial"/>
            <w:i/>
            <w:noProof/>
            <w:webHidden/>
            <w:sz w:val="20"/>
            <w:szCs w:val="20"/>
          </w:rPr>
          <w:t>16</w:t>
        </w:r>
        <w:r w:rsidRPr="009E27E4">
          <w:rPr>
            <w:rFonts w:cs="Arial"/>
            <w:i/>
            <w:noProof/>
            <w:webHidden/>
            <w:sz w:val="20"/>
            <w:szCs w:val="20"/>
          </w:rPr>
          <w:fldChar w:fldCharType="end"/>
        </w:r>
      </w:hyperlink>
    </w:p>
    <w:p w14:paraId="194DABCE" w14:textId="4759BFD7" w:rsidR="009E27E4" w:rsidRPr="009E27E4" w:rsidRDefault="009E27E4" w:rsidP="009E27E4">
      <w:pPr>
        <w:pStyle w:val="Tabledesillustrations"/>
        <w:tabs>
          <w:tab w:val="right" w:leader="dot" w:pos="9345"/>
        </w:tabs>
        <w:spacing w:before="80"/>
        <w:rPr>
          <w:rFonts w:eastAsiaTheme="minorEastAsia" w:cs="Arial"/>
          <w:i/>
          <w:noProof/>
          <w:sz w:val="20"/>
          <w:szCs w:val="20"/>
          <w:lang w:eastAsia="fr-FR"/>
        </w:rPr>
      </w:pPr>
      <w:hyperlink w:anchor="_Toc52873728" w:history="1">
        <w:r w:rsidRPr="009E27E4">
          <w:rPr>
            <w:rStyle w:val="Lienhypertexte"/>
            <w:rFonts w:cs="Arial"/>
            <w:i/>
            <w:noProof/>
            <w:sz w:val="20"/>
            <w:szCs w:val="20"/>
          </w:rPr>
          <w:t>Tableau 4 : Modèle d’identification des composantes du milieu susceptibles d’être affectés par le projet</w:t>
        </w:r>
        <w:r w:rsidRPr="009E27E4">
          <w:rPr>
            <w:rFonts w:cs="Arial"/>
            <w:i/>
            <w:noProof/>
            <w:webHidden/>
            <w:sz w:val="20"/>
            <w:szCs w:val="20"/>
          </w:rPr>
          <w:tab/>
        </w:r>
        <w:r w:rsidRPr="009E27E4">
          <w:rPr>
            <w:rFonts w:cs="Arial"/>
            <w:i/>
            <w:noProof/>
            <w:webHidden/>
            <w:sz w:val="20"/>
            <w:szCs w:val="20"/>
          </w:rPr>
          <w:fldChar w:fldCharType="begin"/>
        </w:r>
        <w:r w:rsidRPr="009E27E4">
          <w:rPr>
            <w:rFonts w:cs="Arial"/>
            <w:i/>
            <w:noProof/>
            <w:webHidden/>
            <w:sz w:val="20"/>
            <w:szCs w:val="20"/>
          </w:rPr>
          <w:instrText xml:space="preserve"> PAGEREF _Toc52873728 \h </w:instrText>
        </w:r>
        <w:r w:rsidRPr="009E27E4">
          <w:rPr>
            <w:rFonts w:cs="Arial"/>
            <w:i/>
            <w:noProof/>
            <w:webHidden/>
            <w:sz w:val="20"/>
            <w:szCs w:val="20"/>
          </w:rPr>
        </w:r>
        <w:r w:rsidRPr="009E27E4">
          <w:rPr>
            <w:rFonts w:cs="Arial"/>
            <w:i/>
            <w:noProof/>
            <w:webHidden/>
            <w:sz w:val="20"/>
            <w:szCs w:val="20"/>
          </w:rPr>
          <w:fldChar w:fldCharType="separate"/>
        </w:r>
        <w:r w:rsidRPr="009E27E4">
          <w:rPr>
            <w:rFonts w:cs="Arial"/>
            <w:i/>
            <w:noProof/>
            <w:webHidden/>
            <w:sz w:val="20"/>
            <w:szCs w:val="20"/>
          </w:rPr>
          <w:t>23</w:t>
        </w:r>
        <w:r w:rsidRPr="009E27E4">
          <w:rPr>
            <w:rFonts w:cs="Arial"/>
            <w:i/>
            <w:noProof/>
            <w:webHidden/>
            <w:sz w:val="20"/>
            <w:szCs w:val="20"/>
          </w:rPr>
          <w:fldChar w:fldCharType="end"/>
        </w:r>
      </w:hyperlink>
    </w:p>
    <w:p w14:paraId="53C4BFEC" w14:textId="3705F96F" w:rsidR="009E27E4" w:rsidRPr="009E27E4" w:rsidRDefault="009E27E4" w:rsidP="009E27E4">
      <w:pPr>
        <w:pStyle w:val="Tabledesillustrations"/>
        <w:tabs>
          <w:tab w:val="right" w:leader="dot" w:pos="9345"/>
        </w:tabs>
        <w:spacing w:before="80"/>
        <w:rPr>
          <w:rFonts w:eastAsiaTheme="minorEastAsia" w:cs="Arial"/>
          <w:i/>
          <w:noProof/>
          <w:sz w:val="20"/>
          <w:szCs w:val="20"/>
          <w:lang w:eastAsia="fr-FR"/>
        </w:rPr>
      </w:pPr>
      <w:hyperlink w:anchor="_Toc52873729" w:history="1">
        <w:r w:rsidRPr="009E27E4">
          <w:rPr>
            <w:rStyle w:val="Lienhypertexte"/>
            <w:rFonts w:cs="Arial"/>
            <w:i/>
            <w:noProof/>
            <w:sz w:val="20"/>
            <w:szCs w:val="20"/>
          </w:rPr>
          <w:t>Tableau 5 : Cadre de référence pour l’évaluation des impacts</w:t>
        </w:r>
        <w:r w:rsidRPr="009E27E4">
          <w:rPr>
            <w:rFonts w:cs="Arial"/>
            <w:i/>
            <w:noProof/>
            <w:webHidden/>
            <w:sz w:val="20"/>
            <w:szCs w:val="20"/>
          </w:rPr>
          <w:tab/>
        </w:r>
        <w:r w:rsidRPr="009E27E4">
          <w:rPr>
            <w:rFonts w:cs="Arial"/>
            <w:i/>
            <w:noProof/>
            <w:webHidden/>
            <w:sz w:val="20"/>
            <w:szCs w:val="20"/>
          </w:rPr>
          <w:fldChar w:fldCharType="begin"/>
        </w:r>
        <w:r w:rsidRPr="009E27E4">
          <w:rPr>
            <w:rFonts w:cs="Arial"/>
            <w:i/>
            <w:noProof/>
            <w:webHidden/>
            <w:sz w:val="20"/>
            <w:szCs w:val="20"/>
          </w:rPr>
          <w:instrText xml:space="preserve"> PAGEREF _Toc52873729 \h </w:instrText>
        </w:r>
        <w:r w:rsidRPr="009E27E4">
          <w:rPr>
            <w:rFonts w:cs="Arial"/>
            <w:i/>
            <w:noProof/>
            <w:webHidden/>
            <w:sz w:val="20"/>
            <w:szCs w:val="20"/>
          </w:rPr>
        </w:r>
        <w:r w:rsidRPr="009E27E4">
          <w:rPr>
            <w:rFonts w:cs="Arial"/>
            <w:i/>
            <w:noProof/>
            <w:webHidden/>
            <w:sz w:val="20"/>
            <w:szCs w:val="20"/>
          </w:rPr>
          <w:fldChar w:fldCharType="separate"/>
        </w:r>
        <w:r w:rsidRPr="009E27E4">
          <w:rPr>
            <w:rFonts w:cs="Arial"/>
            <w:i/>
            <w:noProof/>
            <w:webHidden/>
            <w:sz w:val="20"/>
            <w:szCs w:val="20"/>
          </w:rPr>
          <w:t>24</w:t>
        </w:r>
        <w:r w:rsidRPr="009E27E4">
          <w:rPr>
            <w:rFonts w:cs="Arial"/>
            <w:i/>
            <w:noProof/>
            <w:webHidden/>
            <w:sz w:val="20"/>
            <w:szCs w:val="20"/>
          </w:rPr>
          <w:fldChar w:fldCharType="end"/>
        </w:r>
      </w:hyperlink>
    </w:p>
    <w:p w14:paraId="3E03A284" w14:textId="09164406" w:rsidR="009E27E4" w:rsidRPr="009E27E4" w:rsidRDefault="009E27E4" w:rsidP="009E27E4">
      <w:pPr>
        <w:pStyle w:val="Tabledesillustrations"/>
        <w:tabs>
          <w:tab w:val="right" w:leader="dot" w:pos="9345"/>
        </w:tabs>
        <w:spacing w:before="80"/>
        <w:rPr>
          <w:rFonts w:eastAsiaTheme="minorEastAsia" w:cs="Arial"/>
          <w:i/>
          <w:noProof/>
          <w:sz w:val="20"/>
          <w:szCs w:val="20"/>
          <w:lang w:eastAsia="fr-FR"/>
        </w:rPr>
      </w:pPr>
      <w:hyperlink w:anchor="_Toc52873730" w:history="1">
        <w:r w:rsidRPr="009E27E4">
          <w:rPr>
            <w:rStyle w:val="Lienhypertexte"/>
            <w:rFonts w:cs="Arial"/>
            <w:i/>
            <w:noProof/>
            <w:sz w:val="20"/>
            <w:szCs w:val="20"/>
          </w:rPr>
          <w:t xml:space="preserve">Tableau 6 : </w:t>
        </w:r>
        <w:r w:rsidRPr="009E27E4">
          <w:rPr>
            <w:rStyle w:val="Lienhypertexte"/>
            <w:rFonts w:eastAsia="Calibri" w:cs="Arial"/>
            <w:i/>
            <w:noProof/>
            <w:sz w:val="20"/>
            <w:szCs w:val="20"/>
          </w:rPr>
          <w:t>Synthèse et évaluation de l’importance des impacts</w:t>
        </w:r>
        <w:r w:rsidRPr="009E27E4">
          <w:rPr>
            <w:rFonts w:cs="Arial"/>
            <w:i/>
            <w:noProof/>
            <w:webHidden/>
            <w:sz w:val="20"/>
            <w:szCs w:val="20"/>
          </w:rPr>
          <w:tab/>
        </w:r>
        <w:r w:rsidRPr="009E27E4">
          <w:rPr>
            <w:rFonts w:cs="Arial"/>
            <w:i/>
            <w:noProof/>
            <w:webHidden/>
            <w:sz w:val="20"/>
            <w:szCs w:val="20"/>
          </w:rPr>
          <w:fldChar w:fldCharType="begin"/>
        </w:r>
        <w:r w:rsidRPr="009E27E4">
          <w:rPr>
            <w:rFonts w:cs="Arial"/>
            <w:i/>
            <w:noProof/>
            <w:webHidden/>
            <w:sz w:val="20"/>
            <w:szCs w:val="20"/>
          </w:rPr>
          <w:instrText xml:space="preserve"> PAGEREF _Toc52873730 \h </w:instrText>
        </w:r>
        <w:r w:rsidRPr="009E27E4">
          <w:rPr>
            <w:rFonts w:cs="Arial"/>
            <w:i/>
            <w:noProof/>
            <w:webHidden/>
            <w:sz w:val="20"/>
            <w:szCs w:val="20"/>
          </w:rPr>
        </w:r>
        <w:r w:rsidRPr="009E27E4">
          <w:rPr>
            <w:rFonts w:cs="Arial"/>
            <w:i/>
            <w:noProof/>
            <w:webHidden/>
            <w:sz w:val="20"/>
            <w:szCs w:val="20"/>
          </w:rPr>
          <w:fldChar w:fldCharType="separate"/>
        </w:r>
        <w:r w:rsidRPr="009E27E4">
          <w:rPr>
            <w:rFonts w:cs="Arial"/>
            <w:i/>
            <w:noProof/>
            <w:webHidden/>
            <w:sz w:val="20"/>
            <w:szCs w:val="20"/>
          </w:rPr>
          <w:t>25</w:t>
        </w:r>
        <w:r w:rsidRPr="009E27E4">
          <w:rPr>
            <w:rFonts w:cs="Arial"/>
            <w:i/>
            <w:noProof/>
            <w:webHidden/>
            <w:sz w:val="20"/>
            <w:szCs w:val="20"/>
          </w:rPr>
          <w:fldChar w:fldCharType="end"/>
        </w:r>
      </w:hyperlink>
    </w:p>
    <w:p w14:paraId="2C7E7D5E" w14:textId="00C32537" w:rsidR="009E27E4" w:rsidRPr="009E27E4" w:rsidRDefault="009E27E4" w:rsidP="009E27E4">
      <w:pPr>
        <w:pStyle w:val="Tabledesillustrations"/>
        <w:tabs>
          <w:tab w:val="right" w:leader="dot" w:pos="9345"/>
        </w:tabs>
        <w:spacing w:before="80"/>
        <w:rPr>
          <w:rFonts w:eastAsiaTheme="minorEastAsia" w:cs="Arial"/>
          <w:i/>
          <w:noProof/>
          <w:sz w:val="20"/>
          <w:szCs w:val="20"/>
          <w:lang w:eastAsia="fr-FR"/>
        </w:rPr>
      </w:pPr>
      <w:hyperlink w:anchor="_Toc52873731" w:history="1">
        <w:r w:rsidRPr="009E27E4">
          <w:rPr>
            <w:rStyle w:val="Lienhypertexte"/>
            <w:rFonts w:cs="Arial"/>
            <w:i/>
            <w:noProof/>
            <w:sz w:val="20"/>
            <w:szCs w:val="20"/>
          </w:rPr>
          <w:t>Tableau 7 : Synthèse des impacts et des mesures d’atténuation et de bonification</w:t>
        </w:r>
        <w:r w:rsidRPr="009E27E4">
          <w:rPr>
            <w:rFonts w:cs="Arial"/>
            <w:i/>
            <w:noProof/>
            <w:webHidden/>
            <w:sz w:val="20"/>
            <w:szCs w:val="20"/>
          </w:rPr>
          <w:tab/>
        </w:r>
        <w:r w:rsidRPr="009E27E4">
          <w:rPr>
            <w:rFonts w:cs="Arial"/>
            <w:i/>
            <w:noProof/>
            <w:webHidden/>
            <w:sz w:val="20"/>
            <w:szCs w:val="20"/>
          </w:rPr>
          <w:fldChar w:fldCharType="begin"/>
        </w:r>
        <w:r w:rsidRPr="009E27E4">
          <w:rPr>
            <w:rFonts w:cs="Arial"/>
            <w:i/>
            <w:noProof/>
            <w:webHidden/>
            <w:sz w:val="20"/>
            <w:szCs w:val="20"/>
          </w:rPr>
          <w:instrText xml:space="preserve"> PAGEREF _Toc52873731 \h </w:instrText>
        </w:r>
        <w:r w:rsidRPr="009E27E4">
          <w:rPr>
            <w:rFonts w:cs="Arial"/>
            <w:i/>
            <w:noProof/>
            <w:webHidden/>
            <w:sz w:val="20"/>
            <w:szCs w:val="20"/>
          </w:rPr>
        </w:r>
        <w:r w:rsidRPr="009E27E4">
          <w:rPr>
            <w:rFonts w:cs="Arial"/>
            <w:i/>
            <w:noProof/>
            <w:webHidden/>
            <w:sz w:val="20"/>
            <w:szCs w:val="20"/>
          </w:rPr>
          <w:fldChar w:fldCharType="separate"/>
        </w:r>
        <w:r w:rsidRPr="009E27E4">
          <w:rPr>
            <w:rFonts w:cs="Arial"/>
            <w:i/>
            <w:noProof/>
            <w:webHidden/>
            <w:sz w:val="20"/>
            <w:szCs w:val="20"/>
          </w:rPr>
          <w:t>26</w:t>
        </w:r>
        <w:r w:rsidRPr="009E27E4">
          <w:rPr>
            <w:rFonts w:cs="Arial"/>
            <w:i/>
            <w:noProof/>
            <w:webHidden/>
            <w:sz w:val="20"/>
            <w:szCs w:val="20"/>
          </w:rPr>
          <w:fldChar w:fldCharType="end"/>
        </w:r>
      </w:hyperlink>
    </w:p>
    <w:p w14:paraId="0B9C49B5" w14:textId="4C325D42" w:rsidR="009E27E4" w:rsidRPr="009E27E4" w:rsidRDefault="009E27E4" w:rsidP="009E27E4">
      <w:pPr>
        <w:pStyle w:val="Tabledesillustrations"/>
        <w:tabs>
          <w:tab w:val="right" w:leader="dot" w:pos="9345"/>
        </w:tabs>
        <w:spacing w:before="80"/>
        <w:rPr>
          <w:rFonts w:eastAsiaTheme="minorEastAsia" w:cs="Arial"/>
          <w:i/>
          <w:noProof/>
          <w:sz w:val="20"/>
          <w:szCs w:val="20"/>
          <w:lang w:eastAsia="fr-FR"/>
        </w:rPr>
      </w:pPr>
      <w:hyperlink w:anchor="_Toc52873732" w:history="1">
        <w:r w:rsidRPr="009E27E4">
          <w:rPr>
            <w:rStyle w:val="Lienhypertexte"/>
            <w:rFonts w:cs="Arial"/>
            <w:i/>
            <w:noProof/>
            <w:sz w:val="20"/>
            <w:szCs w:val="20"/>
          </w:rPr>
          <w:t>Tableau 8 : Grille d’évaluation des risques</w:t>
        </w:r>
        <w:r w:rsidRPr="009E27E4">
          <w:rPr>
            <w:rFonts w:cs="Arial"/>
            <w:i/>
            <w:noProof/>
            <w:webHidden/>
            <w:sz w:val="20"/>
            <w:szCs w:val="20"/>
          </w:rPr>
          <w:tab/>
        </w:r>
        <w:r w:rsidRPr="009E27E4">
          <w:rPr>
            <w:rFonts w:cs="Arial"/>
            <w:i/>
            <w:noProof/>
            <w:webHidden/>
            <w:sz w:val="20"/>
            <w:szCs w:val="20"/>
          </w:rPr>
          <w:fldChar w:fldCharType="begin"/>
        </w:r>
        <w:r w:rsidRPr="009E27E4">
          <w:rPr>
            <w:rFonts w:cs="Arial"/>
            <w:i/>
            <w:noProof/>
            <w:webHidden/>
            <w:sz w:val="20"/>
            <w:szCs w:val="20"/>
          </w:rPr>
          <w:instrText xml:space="preserve"> PAGEREF _Toc52873732 \h </w:instrText>
        </w:r>
        <w:r w:rsidRPr="009E27E4">
          <w:rPr>
            <w:rFonts w:cs="Arial"/>
            <w:i/>
            <w:noProof/>
            <w:webHidden/>
            <w:sz w:val="20"/>
            <w:szCs w:val="20"/>
          </w:rPr>
        </w:r>
        <w:r w:rsidRPr="009E27E4">
          <w:rPr>
            <w:rFonts w:cs="Arial"/>
            <w:i/>
            <w:noProof/>
            <w:webHidden/>
            <w:sz w:val="20"/>
            <w:szCs w:val="20"/>
          </w:rPr>
          <w:fldChar w:fldCharType="separate"/>
        </w:r>
        <w:r w:rsidRPr="009E27E4">
          <w:rPr>
            <w:rFonts w:cs="Arial"/>
            <w:i/>
            <w:noProof/>
            <w:webHidden/>
            <w:sz w:val="20"/>
            <w:szCs w:val="20"/>
          </w:rPr>
          <w:t>27</w:t>
        </w:r>
        <w:r w:rsidRPr="009E27E4">
          <w:rPr>
            <w:rFonts w:cs="Arial"/>
            <w:i/>
            <w:noProof/>
            <w:webHidden/>
            <w:sz w:val="20"/>
            <w:szCs w:val="20"/>
          </w:rPr>
          <w:fldChar w:fldCharType="end"/>
        </w:r>
      </w:hyperlink>
    </w:p>
    <w:p w14:paraId="05C44DF8" w14:textId="4E1DFC30" w:rsidR="009E27E4" w:rsidRPr="009E27E4" w:rsidRDefault="009E27E4" w:rsidP="009E27E4">
      <w:pPr>
        <w:pStyle w:val="Tabledesillustrations"/>
        <w:tabs>
          <w:tab w:val="right" w:leader="dot" w:pos="9345"/>
        </w:tabs>
        <w:spacing w:before="80"/>
        <w:rPr>
          <w:rFonts w:eastAsiaTheme="minorEastAsia" w:cs="Arial"/>
          <w:i/>
          <w:noProof/>
          <w:sz w:val="20"/>
          <w:szCs w:val="20"/>
          <w:lang w:eastAsia="fr-FR"/>
        </w:rPr>
      </w:pPr>
      <w:hyperlink w:anchor="_Toc52873733" w:history="1">
        <w:r w:rsidRPr="009E27E4">
          <w:rPr>
            <w:rStyle w:val="Lienhypertexte"/>
            <w:rFonts w:cs="Arial"/>
            <w:i/>
            <w:noProof/>
            <w:sz w:val="20"/>
            <w:szCs w:val="20"/>
          </w:rPr>
          <w:t>Tableau 9 : Matrice d’évaluation des risques</w:t>
        </w:r>
        <w:r w:rsidRPr="009E27E4">
          <w:rPr>
            <w:rFonts w:cs="Arial"/>
            <w:i/>
            <w:noProof/>
            <w:webHidden/>
            <w:sz w:val="20"/>
            <w:szCs w:val="20"/>
          </w:rPr>
          <w:tab/>
        </w:r>
        <w:r w:rsidRPr="009E27E4">
          <w:rPr>
            <w:rFonts w:cs="Arial"/>
            <w:i/>
            <w:noProof/>
            <w:webHidden/>
            <w:sz w:val="20"/>
            <w:szCs w:val="20"/>
          </w:rPr>
          <w:fldChar w:fldCharType="begin"/>
        </w:r>
        <w:r w:rsidRPr="009E27E4">
          <w:rPr>
            <w:rFonts w:cs="Arial"/>
            <w:i/>
            <w:noProof/>
            <w:webHidden/>
            <w:sz w:val="20"/>
            <w:szCs w:val="20"/>
          </w:rPr>
          <w:instrText xml:space="preserve"> PAGEREF _Toc52873733 \h </w:instrText>
        </w:r>
        <w:r w:rsidRPr="009E27E4">
          <w:rPr>
            <w:rFonts w:cs="Arial"/>
            <w:i/>
            <w:noProof/>
            <w:webHidden/>
            <w:sz w:val="20"/>
            <w:szCs w:val="20"/>
          </w:rPr>
        </w:r>
        <w:r w:rsidRPr="009E27E4">
          <w:rPr>
            <w:rFonts w:cs="Arial"/>
            <w:i/>
            <w:noProof/>
            <w:webHidden/>
            <w:sz w:val="20"/>
            <w:szCs w:val="20"/>
          </w:rPr>
          <w:fldChar w:fldCharType="separate"/>
        </w:r>
        <w:r w:rsidRPr="009E27E4">
          <w:rPr>
            <w:rFonts w:cs="Arial"/>
            <w:i/>
            <w:noProof/>
            <w:webHidden/>
            <w:sz w:val="20"/>
            <w:szCs w:val="20"/>
          </w:rPr>
          <w:t>27</w:t>
        </w:r>
        <w:r w:rsidRPr="009E27E4">
          <w:rPr>
            <w:rFonts w:cs="Arial"/>
            <w:i/>
            <w:noProof/>
            <w:webHidden/>
            <w:sz w:val="20"/>
            <w:szCs w:val="20"/>
          </w:rPr>
          <w:fldChar w:fldCharType="end"/>
        </w:r>
      </w:hyperlink>
    </w:p>
    <w:p w14:paraId="56EFD2D2" w14:textId="4459BE18" w:rsidR="009E27E4" w:rsidRPr="009E27E4" w:rsidRDefault="009E27E4" w:rsidP="009E27E4">
      <w:pPr>
        <w:pStyle w:val="Tabledesillustrations"/>
        <w:tabs>
          <w:tab w:val="right" w:leader="dot" w:pos="9345"/>
        </w:tabs>
        <w:spacing w:before="80"/>
        <w:rPr>
          <w:rFonts w:eastAsiaTheme="minorEastAsia" w:cs="Arial"/>
          <w:i/>
          <w:noProof/>
          <w:sz w:val="20"/>
          <w:szCs w:val="20"/>
          <w:lang w:eastAsia="fr-FR"/>
        </w:rPr>
      </w:pPr>
      <w:hyperlink w:anchor="_Toc52873734" w:history="1">
        <w:r w:rsidRPr="009E27E4">
          <w:rPr>
            <w:rStyle w:val="Lienhypertexte"/>
            <w:rFonts w:cs="Arial"/>
            <w:i/>
            <w:noProof/>
            <w:sz w:val="20"/>
            <w:szCs w:val="20"/>
          </w:rPr>
          <w:t>Tableau 10 : Matrice d’évaluation de priorité</w:t>
        </w:r>
        <w:r w:rsidRPr="009E27E4">
          <w:rPr>
            <w:rFonts w:cs="Arial"/>
            <w:i/>
            <w:noProof/>
            <w:webHidden/>
            <w:sz w:val="20"/>
            <w:szCs w:val="20"/>
          </w:rPr>
          <w:tab/>
        </w:r>
        <w:r w:rsidRPr="009E27E4">
          <w:rPr>
            <w:rFonts w:cs="Arial"/>
            <w:i/>
            <w:noProof/>
            <w:webHidden/>
            <w:sz w:val="20"/>
            <w:szCs w:val="20"/>
          </w:rPr>
          <w:fldChar w:fldCharType="begin"/>
        </w:r>
        <w:r w:rsidRPr="009E27E4">
          <w:rPr>
            <w:rFonts w:cs="Arial"/>
            <w:i/>
            <w:noProof/>
            <w:webHidden/>
            <w:sz w:val="20"/>
            <w:szCs w:val="20"/>
          </w:rPr>
          <w:instrText xml:space="preserve"> PAGEREF _Toc52873734 \h </w:instrText>
        </w:r>
        <w:r w:rsidRPr="009E27E4">
          <w:rPr>
            <w:rFonts w:cs="Arial"/>
            <w:i/>
            <w:noProof/>
            <w:webHidden/>
            <w:sz w:val="20"/>
            <w:szCs w:val="20"/>
          </w:rPr>
        </w:r>
        <w:r w:rsidRPr="009E27E4">
          <w:rPr>
            <w:rFonts w:cs="Arial"/>
            <w:i/>
            <w:noProof/>
            <w:webHidden/>
            <w:sz w:val="20"/>
            <w:szCs w:val="20"/>
          </w:rPr>
          <w:fldChar w:fldCharType="separate"/>
        </w:r>
        <w:r w:rsidRPr="009E27E4">
          <w:rPr>
            <w:rFonts w:cs="Arial"/>
            <w:i/>
            <w:noProof/>
            <w:webHidden/>
            <w:sz w:val="20"/>
            <w:szCs w:val="20"/>
          </w:rPr>
          <w:t>27</w:t>
        </w:r>
        <w:r w:rsidRPr="009E27E4">
          <w:rPr>
            <w:rFonts w:cs="Arial"/>
            <w:i/>
            <w:noProof/>
            <w:webHidden/>
            <w:sz w:val="20"/>
            <w:szCs w:val="20"/>
          </w:rPr>
          <w:fldChar w:fldCharType="end"/>
        </w:r>
      </w:hyperlink>
    </w:p>
    <w:p w14:paraId="4977B72D" w14:textId="4F38EA77" w:rsidR="009E27E4" w:rsidRPr="009E27E4" w:rsidRDefault="009E27E4" w:rsidP="009E27E4">
      <w:pPr>
        <w:pStyle w:val="Tabledesillustrations"/>
        <w:tabs>
          <w:tab w:val="right" w:leader="dot" w:pos="9345"/>
        </w:tabs>
        <w:spacing w:before="80"/>
        <w:rPr>
          <w:rFonts w:eastAsiaTheme="minorEastAsia" w:cs="Arial"/>
          <w:i/>
          <w:noProof/>
          <w:sz w:val="20"/>
          <w:szCs w:val="20"/>
          <w:lang w:eastAsia="fr-FR"/>
        </w:rPr>
      </w:pPr>
      <w:hyperlink w:anchor="_Toc52873735" w:history="1">
        <w:r w:rsidRPr="009E27E4">
          <w:rPr>
            <w:rStyle w:val="Lienhypertexte"/>
            <w:rFonts w:cs="Arial"/>
            <w:i/>
            <w:noProof/>
            <w:sz w:val="20"/>
            <w:szCs w:val="20"/>
          </w:rPr>
          <w:t>Tableau 11 : Modèle de présentation de la synthèse du PGES du PAPVS</w:t>
        </w:r>
        <w:r w:rsidRPr="009E27E4">
          <w:rPr>
            <w:rFonts w:cs="Arial"/>
            <w:i/>
            <w:noProof/>
            <w:webHidden/>
            <w:sz w:val="20"/>
            <w:szCs w:val="20"/>
          </w:rPr>
          <w:tab/>
        </w:r>
        <w:r w:rsidRPr="009E27E4">
          <w:rPr>
            <w:rFonts w:cs="Arial"/>
            <w:i/>
            <w:noProof/>
            <w:webHidden/>
            <w:sz w:val="20"/>
            <w:szCs w:val="20"/>
          </w:rPr>
          <w:fldChar w:fldCharType="begin"/>
        </w:r>
        <w:r w:rsidRPr="009E27E4">
          <w:rPr>
            <w:rFonts w:cs="Arial"/>
            <w:i/>
            <w:noProof/>
            <w:webHidden/>
            <w:sz w:val="20"/>
            <w:szCs w:val="20"/>
          </w:rPr>
          <w:instrText xml:space="preserve"> PAGEREF _Toc52873735 \h </w:instrText>
        </w:r>
        <w:r w:rsidRPr="009E27E4">
          <w:rPr>
            <w:rFonts w:cs="Arial"/>
            <w:i/>
            <w:noProof/>
            <w:webHidden/>
            <w:sz w:val="20"/>
            <w:szCs w:val="20"/>
          </w:rPr>
        </w:r>
        <w:r w:rsidRPr="009E27E4">
          <w:rPr>
            <w:rFonts w:cs="Arial"/>
            <w:i/>
            <w:noProof/>
            <w:webHidden/>
            <w:sz w:val="20"/>
            <w:szCs w:val="20"/>
          </w:rPr>
          <w:fldChar w:fldCharType="separate"/>
        </w:r>
        <w:r w:rsidRPr="009E27E4">
          <w:rPr>
            <w:rFonts w:cs="Arial"/>
            <w:i/>
            <w:noProof/>
            <w:webHidden/>
            <w:sz w:val="20"/>
            <w:szCs w:val="20"/>
          </w:rPr>
          <w:t>28</w:t>
        </w:r>
        <w:r w:rsidRPr="009E27E4">
          <w:rPr>
            <w:rFonts w:cs="Arial"/>
            <w:i/>
            <w:noProof/>
            <w:webHidden/>
            <w:sz w:val="20"/>
            <w:szCs w:val="20"/>
          </w:rPr>
          <w:fldChar w:fldCharType="end"/>
        </w:r>
      </w:hyperlink>
    </w:p>
    <w:p w14:paraId="10BB20FA" w14:textId="00CB17AB" w:rsidR="009E27E4" w:rsidRPr="009E27E4" w:rsidRDefault="009E27E4" w:rsidP="009E27E4">
      <w:pPr>
        <w:pStyle w:val="Tabledesillustrations"/>
        <w:tabs>
          <w:tab w:val="right" w:leader="dot" w:pos="9345"/>
        </w:tabs>
        <w:spacing w:before="80"/>
        <w:rPr>
          <w:rFonts w:eastAsiaTheme="minorEastAsia" w:cs="Arial"/>
          <w:i/>
          <w:noProof/>
          <w:sz w:val="20"/>
          <w:szCs w:val="20"/>
          <w:lang w:eastAsia="fr-FR"/>
        </w:rPr>
      </w:pPr>
      <w:hyperlink w:anchor="_Toc52873736" w:history="1">
        <w:r w:rsidRPr="009E27E4">
          <w:rPr>
            <w:rStyle w:val="Lienhypertexte"/>
            <w:rFonts w:cs="Arial"/>
            <w:i/>
            <w:noProof/>
            <w:sz w:val="20"/>
            <w:szCs w:val="20"/>
          </w:rPr>
          <w:t>Tableau 12 : Tableau-type pour l’estimation du coût de mise en œuvre du PGES</w:t>
        </w:r>
        <w:r w:rsidRPr="009E27E4">
          <w:rPr>
            <w:rFonts w:cs="Arial"/>
            <w:i/>
            <w:noProof/>
            <w:webHidden/>
            <w:sz w:val="20"/>
            <w:szCs w:val="20"/>
          </w:rPr>
          <w:tab/>
        </w:r>
        <w:r w:rsidRPr="009E27E4">
          <w:rPr>
            <w:rFonts w:cs="Arial"/>
            <w:i/>
            <w:noProof/>
            <w:webHidden/>
            <w:sz w:val="20"/>
            <w:szCs w:val="20"/>
          </w:rPr>
          <w:fldChar w:fldCharType="begin"/>
        </w:r>
        <w:r w:rsidRPr="009E27E4">
          <w:rPr>
            <w:rFonts w:cs="Arial"/>
            <w:i/>
            <w:noProof/>
            <w:webHidden/>
            <w:sz w:val="20"/>
            <w:szCs w:val="20"/>
          </w:rPr>
          <w:instrText xml:space="preserve"> PAGEREF _Toc52873736 \h </w:instrText>
        </w:r>
        <w:r w:rsidRPr="009E27E4">
          <w:rPr>
            <w:rFonts w:cs="Arial"/>
            <w:i/>
            <w:noProof/>
            <w:webHidden/>
            <w:sz w:val="20"/>
            <w:szCs w:val="20"/>
          </w:rPr>
        </w:r>
        <w:r w:rsidRPr="009E27E4">
          <w:rPr>
            <w:rFonts w:cs="Arial"/>
            <w:i/>
            <w:noProof/>
            <w:webHidden/>
            <w:sz w:val="20"/>
            <w:szCs w:val="20"/>
          </w:rPr>
          <w:fldChar w:fldCharType="separate"/>
        </w:r>
        <w:r w:rsidRPr="009E27E4">
          <w:rPr>
            <w:rFonts w:cs="Arial"/>
            <w:i/>
            <w:noProof/>
            <w:webHidden/>
            <w:sz w:val="20"/>
            <w:szCs w:val="20"/>
          </w:rPr>
          <w:t>29</w:t>
        </w:r>
        <w:r w:rsidRPr="009E27E4">
          <w:rPr>
            <w:rFonts w:cs="Arial"/>
            <w:i/>
            <w:noProof/>
            <w:webHidden/>
            <w:sz w:val="20"/>
            <w:szCs w:val="20"/>
          </w:rPr>
          <w:fldChar w:fldCharType="end"/>
        </w:r>
      </w:hyperlink>
    </w:p>
    <w:p w14:paraId="75ECD24F" w14:textId="3D09BFED" w:rsidR="009E27E4" w:rsidRPr="009E27E4" w:rsidRDefault="009E27E4" w:rsidP="009E27E4">
      <w:pPr>
        <w:pStyle w:val="Tabledesillustrations"/>
        <w:tabs>
          <w:tab w:val="right" w:leader="dot" w:pos="9345"/>
        </w:tabs>
        <w:spacing w:before="80"/>
        <w:rPr>
          <w:rFonts w:eastAsiaTheme="minorEastAsia" w:cs="Arial"/>
          <w:i/>
          <w:noProof/>
          <w:sz w:val="20"/>
          <w:szCs w:val="20"/>
          <w:lang w:eastAsia="fr-FR"/>
        </w:rPr>
      </w:pPr>
      <w:hyperlink w:anchor="_Toc52873737" w:history="1">
        <w:r w:rsidRPr="009E27E4">
          <w:rPr>
            <w:rStyle w:val="Lienhypertexte"/>
            <w:rFonts w:cs="Arial"/>
            <w:i/>
            <w:noProof/>
            <w:sz w:val="20"/>
            <w:szCs w:val="20"/>
          </w:rPr>
          <w:t>Tableau 13 : Données sur la température minimale et maximale moyenne journalière</w:t>
        </w:r>
        <w:r w:rsidRPr="009E27E4">
          <w:rPr>
            <w:rFonts w:cs="Arial"/>
            <w:i/>
            <w:noProof/>
            <w:webHidden/>
            <w:sz w:val="20"/>
            <w:szCs w:val="20"/>
          </w:rPr>
          <w:tab/>
        </w:r>
        <w:r w:rsidRPr="009E27E4">
          <w:rPr>
            <w:rFonts w:cs="Arial"/>
            <w:i/>
            <w:noProof/>
            <w:webHidden/>
            <w:sz w:val="20"/>
            <w:szCs w:val="20"/>
          </w:rPr>
          <w:fldChar w:fldCharType="begin"/>
        </w:r>
        <w:r w:rsidRPr="009E27E4">
          <w:rPr>
            <w:rFonts w:cs="Arial"/>
            <w:i/>
            <w:noProof/>
            <w:webHidden/>
            <w:sz w:val="20"/>
            <w:szCs w:val="20"/>
          </w:rPr>
          <w:instrText xml:space="preserve"> PAGEREF _Toc52873737 \h </w:instrText>
        </w:r>
        <w:r w:rsidRPr="009E27E4">
          <w:rPr>
            <w:rFonts w:cs="Arial"/>
            <w:i/>
            <w:noProof/>
            <w:webHidden/>
            <w:sz w:val="20"/>
            <w:szCs w:val="20"/>
          </w:rPr>
        </w:r>
        <w:r w:rsidRPr="009E27E4">
          <w:rPr>
            <w:rFonts w:cs="Arial"/>
            <w:i/>
            <w:noProof/>
            <w:webHidden/>
            <w:sz w:val="20"/>
            <w:szCs w:val="20"/>
          </w:rPr>
          <w:fldChar w:fldCharType="separate"/>
        </w:r>
        <w:r w:rsidRPr="009E27E4">
          <w:rPr>
            <w:rFonts w:cs="Arial"/>
            <w:i/>
            <w:noProof/>
            <w:webHidden/>
            <w:sz w:val="20"/>
            <w:szCs w:val="20"/>
          </w:rPr>
          <w:t>52</w:t>
        </w:r>
        <w:r w:rsidRPr="009E27E4">
          <w:rPr>
            <w:rFonts w:cs="Arial"/>
            <w:i/>
            <w:noProof/>
            <w:webHidden/>
            <w:sz w:val="20"/>
            <w:szCs w:val="20"/>
          </w:rPr>
          <w:fldChar w:fldCharType="end"/>
        </w:r>
      </w:hyperlink>
    </w:p>
    <w:p w14:paraId="194D2972" w14:textId="0B19AC2B" w:rsidR="009E27E4" w:rsidRPr="009E27E4" w:rsidRDefault="009E27E4" w:rsidP="009E27E4">
      <w:pPr>
        <w:pStyle w:val="Tabledesillustrations"/>
        <w:tabs>
          <w:tab w:val="right" w:leader="dot" w:pos="9345"/>
        </w:tabs>
        <w:spacing w:before="80"/>
        <w:rPr>
          <w:rFonts w:eastAsiaTheme="minorEastAsia" w:cs="Arial"/>
          <w:i/>
          <w:noProof/>
          <w:sz w:val="20"/>
          <w:szCs w:val="20"/>
          <w:lang w:eastAsia="fr-FR"/>
        </w:rPr>
      </w:pPr>
      <w:hyperlink w:anchor="_Toc52873738" w:history="1">
        <w:r w:rsidRPr="009E27E4">
          <w:rPr>
            <w:rStyle w:val="Lienhypertexte"/>
            <w:rFonts w:cs="Arial"/>
            <w:i/>
            <w:noProof/>
            <w:sz w:val="20"/>
            <w:szCs w:val="20"/>
          </w:rPr>
          <w:t>Tableau 14</w:t>
        </w:r>
        <w:r w:rsidRPr="009E27E4">
          <w:rPr>
            <w:rStyle w:val="Lienhypertexte"/>
            <w:rFonts w:cs="Arial"/>
            <w:bCs/>
            <w:i/>
            <w:noProof/>
            <w:sz w:val="20"/>
            <w:szCs w:val="20"/>
            <w:lang w:eastAsia="it-IT"/>
          </w:rPr>
          <w:t xml:space="preserve"> : Coordonnées de la station</w:t>
        </w:r>
        <w:r w:rsidRPr="009E27E4">
          <w:rPr>
            <w:rFonts w:cs="Arial"/>
            <w:i/>
            <w:noProof/>
            <w:webHidden/>
            <w:sz w:val="20"/>
            <w:szCs w:val="20"/>
          </w:rPr>
          <w:tab/>
        </w:r>
        <w:r w:rsidRPr="009E27E4">
          <w:rPr>
            <w:rFonts w:cs="Arial"/>
            <w:i/>
            <w:noProof/>
            <w:webHidden/>
            <w:sz w:val="20"/>
            <w:szCs w:val="20"/>
          </w:rPr>
          <w:fldChar w:fldCharType="begin"/>
        </w:r>
        <w:r w:rsidRPr="009E27E4">
          <w:rPr>
            <w:rFonts w:cs="Arial"/>
            <w:i/>
            <w:noProof/>
            <w:webHidden/>
            <w:sz w:val="20"/>
            <w:szCs w:val="20"/>
          </w:rPr>
          <w:instrText xml:space="preserve"> PAGEREF _Toc52873738 \h </w:instrText>
        </w:r>
        <w:r w:rsidRPr="009E27E4">
          <w:rPr>
            <w:rFonts w:cs="Arial"/>
            <w:i/>
            <w:noProof/>
            <w:webHidden/>
            <w:sz w:val="20"/>
            <w:szCs w:val="20"/>
          </w:rPr>
        </w:r>
        <w:r w:rsidRPr="009E27E4">
          <w:rPr>
            <w:rFonts w:cs="Arial"/>
            <w:i/>
            <w:noProof/>
            <w:webHidden/>
            <w:sz w:val="20"/>
            <w:szCs w:val="20"/>
          </w:rPr>
          <w:fldChar w:fldCharType="separate"/>
        </w:r>
        <w:r w:rsidRPr="009E27E4">
          <w:rPr>
            <w:rFonts w:cs="Arial"/>
            <w:i/>
            <w:noProof/>
            <w:webHidden/>
            <w:sz w:val="20"/>
            <w:szCs w:val="20"/>
          </w:rPr>
          <w:t>52</w:t>
        </w:r>
        <w:r w:rsidRPr="009E27E4">
          <w:rPr>
            <w:rFonts w:cs="Arial"/>
            <w:i/>
            <w:noProof/>
            <w:webHidden/>
            <w:sz w:val="20"/>
            <w:szCs w:val="20"/>
          </w:rPr>
          <w:fldChar w:fldCharType="end"/>
        </w:r>
      </w:hyperlink>
    </w:p>
    <w:p w14:paraId="403BC0EC" w14:textId="291F1D15" w:rsidR="009E27E4" w:rsidRPr="009E27E4" w:rsidRDefault="009E27E4" w:rsidP="009E27E4">
      <w:pPr>
        <w:pStyle w:val="Tabledesillustrations"/>
        <w:tabs>
          <w:tab w:val="right" w:leader="dot" w:pos="9345"/>
        </w:tabs>
        <w:spacing w:before="80"/>
        <w:rPr>
          <w:rFonts w:eastAsiaTheme="minorEastAsia" w:cs="Arial"/>
          <w:i/>
          <w:noProof/>
          <w:sz w:val="20"/>
          <w:szCs w:val="20"/>
          <w:lang w:eastAsia="fr-FR"/>
        </w:rPr>
      </w:pPr>
      <w:hyperlink w:anchor="_Toc52873739" w:history="1">
        <w:r w:rsidRPr="009E27E4">
          <w:rPr>
            <w:rStyle w:val="Lienhypertexte"/>
            <w:rFonts w:cs="Arial"/>
            <w:i/>
            <w:noProof/>
            <w:sz w:val="20"/>
            <w:szCs w:val="20"/>
          </w:rPr>
          <w:t>Tableau 15</w:t>
        </w:r>
        <w:r w:rsidRPr="009E27E4">
          <w:rPr>
            <w:rStyle w:val="Lienhypertexte"/>
            <w:rFonts w:cs="Arial"/>
            <w:bCs/>
            <w:i/>
            <w:noProof/>
            <w:sz w:val="20"/>
            <w:szCs w:val="20"/>
            <w:lang w:eastAsia="it-IT"/>
          </w:rPr>
          <w:t xml:space="preserve"> : Données sur l’insolation</w:t>
        </w:r>
        <w:r w:rsidRPr="009E27E4">
          <w:rPr>
            <w:rFonts w:cs="Arial"/>
            <w:i/>
            <w:noProof/>
            <w:webHidden/>
            <w:sz w:val="20"/>
            <w:szCs w:val="20"/>
          </w:rPr>
          <w:tab/>
        </w:r>
        <w:r w:rsidRPr="009E27E4">
          <w:rPr>
            <w:rFonts w:cs="Arial"/>
            <w:i/>
            <w:noProof/>
            <w:webHidden/>
            <w:sz w:val="20"/>
            <w:szCs w:val="20"/>
          </w:rPr>
          <w:fldChar w:fldCharType="begin"/>
        </w:r>
        <w:r w:rsidRPr="009E27E4">
          <w:rPr>
            <w:rFonts w:cs="Arial"/>
            <w:i/>
            <w:noProof/>
            <w:webHidden/>
            <w:sz w:val="20"/>
            <w:szCs w:val="20"/>
          </w:rPr>
          <w:instrText xml:space="preserve"> PAGEREF _Toc52873739 \h </w:instrText>
        </w:r>
        <w:r w:rsidRPr="009E27E4">
          <w:rPr>
            <w:rFonts w:cs="Arial"/>
            <w:i/>
            <w:noProof/>
            <w:webHidden/>
            <w:sz w:val="20"/>
            <w:szCs w:val="20"/>
          </w:rPr>
        </w:r>
        <w:r w:rsidRPr="009E27E4">
          <w:rPr>
            <w:rFonts w:cs="Arial"/>
            <w:i/>
            <w:noProof/>
            <w:webHidden/>
            <w:sz w:val="20"/>
            <w:szCs w:val="20"/>
          </w:rPr>
          <w:fldChar w:fldCharType="separate"/>
        </w:r>
        <w:r w:rsidRPr="009E27E4">
          <w:rPr>
            <w:rFonts w:cs="Arial"/>
            <w:i/>
            <w:noProof/>
            <w:webHidden/>
            <w:sz w:val="20"/>
            <w:szCs w:val="20"/>
          </w:rPr>
          <w:t>53</w:t>
        </w:r>
        <w:r w:rsidRPr="009E27E4">
          <w:rPr>
            <w:rFonts w:cs="Arial"/>
            <w:i/>
            <w:noProof/>
            <w:webHidden/>
            <w:sz w:val="20"/>
            <w:szCs w:val="20"/>
          </w:rPr>
          <w:fldChar w:fldCharType="end"/>
        </w:r>
      </w:hyperlink>
    </w:p>
    <w:p w14:paraId="4F64F4A7" w14:textId="334174D8" w:rsidR="009E27E4" w:rsidRPr="009E27E4" w:rsidRDefault="009E27E4" w:rsidP="009E27E4">
      <w:pPr>
        <w:pStyle w:val="Tabledesillustrations"/>
        <w:tabs>
          <w:tab w:val="right" w:leader="dot" w:pos="9345"/>
        </w:tabs>
        <w:spacing w:before="80"/>
        <w:rPr>
          <w:rFonts w:eastAsiaTheme="minorEastAsia" w:cs="Arial"/>
          <w:i/>
          <w:noProof/>
          <w:sz w:val="20"/>
          <w:szCs w:val="20"/>
          <w:lang w:eastAsia="fr-FR"/>
        </w:rPr>
      </w:pPr>
      <w:hyperlink w:anchor="_Toc52873740" w:history="1">
        <w:r w:rsidRPr="009E27E4">
          <w:rPr>
            <w:rStyle w:val="Lienhypertexte"/>
            <w:rFonts w:cs="Arial"/>
            <w:i/>
            <w:noProof/>
            <w:sz w:val="20"/>
            <w:szCs w:val="20"/>
          </w:rPr>
          <w:t>Tableau 16</w:t>
        </w:r>
        <w:r w:rsidRPr="009E27E4">
          <w:rPr>
            <w:rStyle w:val="Lienhypertexte"/>
            <w:rFonts w:cs="Arial"/>
            <w:bCs/>
            <w:i/>
            <w:noProof/>
            <w:sz w:val="20"/>
            <w:szCs w:val="20"/>
            <w:lang w:eastAsia="it-IT"/>
          </w:rPr>
          <w:t xml:space="preserve"> : </w:t>
        </w:r>
        <w:r w:rsidRPr="009E27E4">
          <w:rPr>
            <w:rStyle w:val="Lienhypertexte"/>
            <w:rFonts w:eastAsia="Times New Roman" w:cs="Arial"/>
            <w:bCs/>
            <w:i/>
            <w:noProof/>
            <w:sz w:val="20"/>
            <w:szCs w:val="20"/>
            <w:lang w:eastAsia="it-IT"/>
          </w:rPr>
          <w:t>Résultat du traitement statistique de la pluviométrie</w:t>
        </w:r>
        <w:r w:rsidRPr="009E27E4">
          <w:rPr>
            <w:rFonts w:cs="Arial"/>
            <w:i/>
            <w:noProof/>
            <w:webHidden/>
            <w:sz w:val="20"/>
            <w:szCs w:val="20"/>
          </w:rPr>
          <w:tab/>
        </w:r>
        <w:r w:rsidRPr="009E27E4">
          <w:rPr>
            <w:rFonts w:cs="Arial"/>
            <w:i/>
            <w:noProof/>
            <w:webHidden/>
            <w:sz w:val="20"/>
            <w:szCs w:val="20"/>
          </w:rPr>
          <w:fldChar w:fldCharType="begin"/>
        </w:r>
        <w:r w:rsidRPr="009E27E4">
          <w:rPr>
            <w:rFonts w:cs="Arial"/>
            <w:i/>
            <w:noProof/>
            <w:webHidden/>
            <w:sz w:val="20"/>
            <w:szCs w:val="20"/>
          </w:rPr>
          <w:instrText xml:space="preserve"> PAGEREF _Toc52873740 \h </w:instrText>
        </w:r>
        <w:r w:rsidRPr="009E27E4">
          <w:rPr>
            <w:rFonts w:cs="Arial"/>
            <w:i/>
            <w:noProof/>
            <w:webHidden/>
            <w:sz w:val="20"/>
            <w:szCs w:val="20"/>
          </w:rPr>
        </w:r>
        <w:r w:rsidRPr="009E27E4">
          <w:rPr>
            <w:rFonts w:cs="Arial"/>
            <w:i/>
            <w:noProof/>
            <w:webHidden/>
            <w:sz w:val="20"/>
            <w:szCs w:val="20"/>
          </w:rPr>
          <w:fldChar w:fldCharType="separate"/>
        </w:r>
        <w:r w:rsidRPr="009E27E4">
          <w:rPr>
            <w:rFonts w:cs="Arial"/>
            <w:i/>
            <w:noProof/>
            <w:webHidden/>
            <w:sz w:val="20"/>
            <w:szCs w:val="20"/>
          </w:rPr>
          <w:t>53</w:t>
        </w:r>
        <w:r w:rsidRPr="009E27E4">
          <w:rPr>
            <w:rFonts w:cs="Arial"/>
            <w:i/>
            <w:noProof/>
            <w:webHidden/>
            <w:sz w:val="20"/>
            <w:szCs w:val="20"/>
          </w:rPr>
          <w:fldChar w:fldCharType="end"/>
        </w:r>
      </w:hyperlink>
    </w:p>
    <w:p w14:paraId="6F0A791E" w14:textId="4728C138" w:rsidR="009E27E4" w:rsidRPr="009E27E4" w:rsidRDefault="009E27E4" w:rsidP="009E27E4">
      <w:pPr>
        <w:pStyle w:val="Tabledesillustrations"/>
        <w:tabs>
          <w:tab w:val="right" w:leader="dot" w:pos="9345"/>
        </w:tabs>
        <w:spacing w:before="80"/>
        <w:rPr>
          <w:rFonts w:eastAsiaTheme="minorEastAsia" w:cs="Arial"/>
          <w:i/>
          <w:noProof/>
          <w:sz w:val="20"/>
          <w:szCs w:val="20"/>
          <w:lang w:eastAsia="fr-FR"/>
        </w:rPr>
      </w:pPr>
      <w:hyperlink w:anchor="_Toc52873741" w:history="1">
        <w:r w:rsidRPr="009E27E4">
          <w:rPr>
            <w:rStyle w:val="Lienhypertexte"/>
            <w:rFonts w:cs="Arial"/>
            <w:i/>
            <w:noProof/>
            <w:sz w:val="20"/>
            <w:szCs w:val="20"/>
          </w:rPr>
          <w:t xml:space="preserve">Tableau 17 </w:t>
        </w:r>
        <w:r w:rsidRPr="009E27E4">
          <w:rPr>
            <w:rStyle w:val="Lienhypertexte"/>
            <w:rFonts w:cs="Arial"/>
            <w:bCs/>
            <w:i/>
            <w:noProof/>
            <w:sz w:val="20"/>
            <w:szCs w:val="20"/>
            <w:lang w:eastAsia="it-IT"/>
          </w:rPr>
          <w:t>: Pluviométrie mensuelle</w:t>
        </w:r>
        <w:r w:rsidRPr="009E27E4">
          <w:rPr>
            <w:rFonts w:cs="Arial"/>
            <w:i/>
            <w:noProof/>
            <w:webHidden/>
            <w:sz w:val="20"/>
            <w:szCs w:val="20"/>
          </w:rPr>
          <w:tab/>
        </w:r>
        <w:r w:rsidRPr="009E27E4">
          <w:rPr>
            <w:rFonts w:cs="Arial"/>
            <w:i/>
            <w:noProof/>
            <w:webHidden/>
            <w:sz w:val="20"/>
            <w:szCs w:val="20"/>
          </w:rPr>
          <w:fldChar w:fldCharType="begin"/>
        </w:r>
        <w:r w:rsidRPr="009E27E4">
          <w:rPr>
            <w:rFonts w:cs="Arial"/>
            <w:i/>
            <w:noProof/>
            <w:webHidden/>
            <w:sz w:val="20"/>
            <w:szCs w:val="20"/>
          </w:rPr>
          <w:instrText xml:space="preserve"> PAGEREF _Toc52873741 \h </w:instrText>
        </w:r>
        <w:r w:rsidRPr="009E27E4">
          <w:rPr>
            <w:rFonts w:cs="Arial"/>
            <w:i/>
            <w:noProof/>
            <w:webHidden/>
            <w:sz w:val="20"/>
            <w:szCs w:val="20"/>
          </w:rPr>
        </w:r>
        <w:r w:rsidRPr="009E27E4">
          <w:rPr>
            <w:rFonts w:cs="Arial"/>
            <w:i/>
            <w:noProof/>
            <w:webHidden/>
            <w:sz w:val="20"/>
            <w:szCs w:val="20"/>
          </w:rPr>
          <w:fldChar w:fldCharType="separate"/>
        </w:r>
        <w:r w:rsidRPr="009E27E4">
          <w:rPr>
            <w:rFonts w:cs="Arial"/>
            <w:i/>
            <w:noProof/>
            <w:webHidden/>
            <w:sz w:val="20"/>
            <w:szCs w:val="20"/>
          </w:rPr>
          <w:t>53</w:t>
        </w:r>
        <w:r w:rsidRPr="009E27E4">
          <w:rPr>
            <w:rFonts w:cs="Arial"/>
            <w:i/>
            <w:noProof/>
            <w:webHidden/>
            <w:sz w:val="20"/>
            <w:szCs w:val="20"/>
          </w:rPr>
          <w:fldChar w:fldCharType="end"/>
        </w:r>
      </w:hyperlink>
    </w:p>
    <w:p w14:paraId="7FD5548D" w14:textId="2175CD88" w:rsidR="009E27E4" w:rsidRPr="009E27E4" w:rsidRDefault="009E27E4" w:rsidP="009E27E4">
      <w:pPr>
        <w:pStyle w:val="Tabledesillustrations"/>
        <w:tabs>
          <w:tab w:val="right" w:leader="dot" w:pos="9345"/>
        </w:tabs>
        <w:spacing w:before="80"/>
        <w:rPr>
          <w:rFonts w:eastAsiaTheme="minorEastAsia" w:cs="Arial"/>
          <w:i/>
          <w:noProof/>
          <w:sz w:val="20"/>
          <w:szCs w:val="20"/>
          <w:lang w:eastAsia="fr-FR"/>
        </w:rPr>
      </w:pPr>
      <w:hyperlink w:anchor="_Toc52873742" w:history="1">
        <w:r w:rsidRPr="009E27E4">
          <w:rPr>
            <w:rStyle w:val="Lienhypertexte"/>
            <w:rFonts w:cs="Arial"/>
            <w:i/>
            <w:noProof/>
            <w:sz w:val="20"/>
            <w:szCs w:val="20"/>
          </w:rPr>
          <w:t xml:space="preserve">Tableau 18 </w:t>
        </w:r>
        <w:r w:rsidRPr="009E27E4">
          <w:rPr>
            <w:rStyle w:val="Lienhypertexte"/>
            <w:rFonts w:eastAsia="Times New Roman" w:cs="Arial"/>
            <w:bCs/>
            <w:i/>
            <w:noProof/>
            <w:sz w:val="20"/>
            <w:szCs w:val="20"/>
            <w:lang w:eastAsia="it-IT"/>
          </w:rPr>
          <w:t>: Pluviométrie saisonnière</w:t>
        </w:r>
        <w:r w:rsidRPr="009E27E4">
          <w:rPr>
            <w:rFonts w:cs="Arial"/>
            <w:i/>
            <w:noProof/>
            <w:webHidden/>
            <w:sz w:val="20"/>
            <w:szCs w:val="20"/>
          </w:rPr>
          <w:tab/>
        </w:r>
        <w:r w:rsidRPr="009E27E4">
          <w:rPr>
            <w:rFonts w:cs="Arial"/>
            <w:i/>
            <w:noProof/>
            <w:webHidden/>
            <w:sz w:val="20"/>
            <w:szCs w:val="20"/>
          </w:rPr>
          <w:fldChar w:fldCharType="begin"/>
        </w:r>
        <w:r w:rsidRPr="009E27E4">
          <w:rPr>
            <w:rFonts w:cs="Arial"/>
            <w:i/>
            <w:noProof/>
            <w:webHidden/>
            <w:sz w:val="20"/>
            <w:szCs w:val="20"/>
          </w:rPr>
          <w:instrText xml:space="preserve"> PAGEREF _Toc52873742 \h </w:instrText>
        </w:r>
        <w:r w:rsidRPr="009E27E4">
          <w:rPr>
            <w:rFonts w:cs="Arial"/>
            <w:i/>
            <w:noProof/>
            <w:webHidden/>
            <w:sz w:val="20"/>
            <w:szCs w:val="20"/>
          </w:rPr>
        </w:r>
        <w:r w:rsidRPr="009E27E4">
          <w:rPr>
            <w:rFonts w:cs="Arial"/>
            <w:i/>
            <w:noProof/>
            <w:webHidden/>
            <w:sz w:val="20"/>
            <w:szCs w:val="20"/>
          </w:rPr>
          <w:fldChar w:fldCharType="separate"/>
        </w:r>
        <w:r w:rsidRPr="009E27E4">
          <w:rPr>
            <w:rFonts w:cs="Arial"/>
            <w:i/>
            <w:noProof/>
            <w:webHidden/>
            <w:sz w:val="20"/>
            <w:szCs w:val="20"/>
          </w:rPr>
          <w:t>54</w:t>
        </w:r>
        <w:r w:rsidRPr="009E27E4">
          <w:rPr>
            <w:rFonts w:cs="Arial"/>
            <w:i/>
            <w:noProof/>
            <w:webHidden/>
            <w:sz w:val="20"/>
            <w:szCs w:val="20"/>
          </w:rPr>
          <w:fldChar w:fldCharType="end"/>
        </w:r>
      </w:hyperlink>
    </w:p>
    <w:p w14:paraId="3619B1B7" w14:textId="5631EECC" w:rsidR="009E27E4" w:rsidRPr="009E27E4" w:rsidRDefault="009E27E4" w:rsidP="009E27E4">
      <w:pPr>
        <w:pStyle w:val="Tabledesillustrations"/>
        <w:tabs>
          <w:tab w:val="right" w:leader="dot" w:pos="9345"/>
        </w:tabs>
        <w:spacing w:before="80"/>
        <w:rPr>
          <w:rFonts w:eastAsiaTheme="minorEastAsia" w:cs="Arial"/>
          <w:i/>
          <w:noProof/>
          <w:sz w:val="20"/>
          <w:szCs w:val="20"/>
          <w:lang w:eastAsia="fr-FR"/>
        </w:rPr>
      </w:pPr>
      <w:hyperlink w:anchor="_Toc52873743" w:history="1">
        <w:r w:rsidRPr="009E27E4">
          <w:rPr>
            <w:rStyle w:val="Lienhypertexte"/>
            <w:rFonts w:cs="Arial"/>
            <w:i/>
            <w:noProof/>
            <w:sz w:val="20"/>
            <w:szCs w:val="20"/>
          </w:rPr>
          <w:t xml:space="preserve">Tableau 19 </w:t>
        </w:r>
        <w:r w:rsidRPr="009E27E4">
          <w:rPr>
            <w:rStyle w:val="Lienhypertexte"/>
            <w:rFonts w:eastAsia="Times New Roman" w:cs="Arial"/>
            <w:bCs/>
            <w:i/>
            <w:noProof/>
            <w:sz w:val="20"/>
            <w:szCs w:val="20"/>
            <w:lang w:eastAsia="it-IT"/>
          </w:rPr>
          <w:t>: Valeurs des pluies journalières maximales pour différentes périodes de retour</w:t>
        </w:r>
        <w:r w:rsidRPr="009E27E4">
          <w:rPr>
            <w:rFonts w:cs="Arial"/>
            <w:i/>
            <w:noProof/>
            <w:webHidden/>
            <w:sz w:val="20"/>
            <w:szCs w:val="20"/>
          </w:rPr>
          <w:tab/>
        </w:r>
        <w:r w:rsidRPr="009E27E4">
          <w:rPr>
            <w:rFonts w:cs="Arial"/>
            <w:i/>
            <w:noProof/>
            <w:webHidden/>
            <w:sz w:val="20"/>
            <w:szCs w:val="20"/>
          </w:rPr>
          <w:fldChar w:fldCharType="begin"/>
        </w:r>
        <w:r w:rsidRPr="009E27E4">
          <w:rPr>
            <w:rFonts w:cs="Arial"/>
            <w:i/>
            <w:noProof/>
            <w:webHidden/>
            <w:sz w:val="20"/>
            <w:szCs w:val="20"/>
          </w:rPr>
          <w:instrText xml:space="preserve"> PAGEREF _Toc52873743 \h </w:instrText>
        </w:r>
        <w:r w:rsidRPr="009E27E4">
          <w:rPr>
            <w:rFonts w:cs="Arial"/>
            <w:i/>
            <w:noProof/>
            <w:webHidden/>
            <w:sz w:val="20"/>
            <w:szCs w:val="20"/>
          </w:rPr>
        </w:r>
        <w:r w:rsidRPr="009E27E4">
          <w:rPr>
            <w:rFonts w:cs="Arial"/>
            <w:i/>
            <w:noProof/>
            <w:webHidden/>
            <w:sz w:val="20"/>
            <w:szCs w:val="20"/>
          </w:rPr>
          <w:fldChar w:fldCharType="separate"/>
        </w:r>
        <w:r w:rsidRPr="009E27E4">
          <w:rPr>
            <w:rFonts w:cs="Arial"/>
            <w:i/>
            <w:noProof/>
            <w:webHidden/>
            <w:sz w:val="20"/>
            <w:szCs w:val="20"/>
          </w:rPr>
          <w:t>54</w:t>
        </w:r>
        <w:r w:rsidRPr="009E27E4">
          <w:rPr>
            <w:rFonts w:cs="Arial"/>
            <w:i/>
            <w:noProof/>
            <w:webHidden/>
            <w:sz w:val="20"/>
            <w:szCs w:val="20"/>
          </w:rPr>
          <w:fldChar w:fldCharType="end"/>
        </w:r>
      </w:hyperlink>
    </w:p>
    <w:p w14:paraId="12C38323" w14:textId="4FCA0539" w:rsidR="009E27E4" w:rsidRPr="009E27E4" w:rsidRDefault="009E27E4" w:rsidP="009E27E4">
      <w:pPr>
        <w:pStyle w:val="Tabledesillustrations"/>
        <w:tabs>
          <w:tab w:val="right" w:leader="dot" w:pos="9345"/>
        </w:tabs>
        <w:spacing w:before="80"/>
        <w:rPr>
          <w:rFonts w:eastAsiaTheme="minorEastAsia" w:cs="Arial"/>
          <w:i/>
          <w:noProof/>
          <w:sz w:val="20"/>
          <w:szCs w:val="20"/>
          <w:lang w:eastAsia="fr-FR"/>
        </w:rPr>
      </w:pPr>
      <w:hyperlink w:anchor="_Toc52873744" w:history="1">
        <w:r w:rsidRPr="009E27E4">
          <w:rPr>
            <w:rStyle w:val="Lienhypertexte"/>
            <w:rFonts w:cs="Arial"/>
            <w:i/>
            <w:noProof/>
            <w:sz w:val="20"/>
            <w:szCs w:val="20"/>
          </w:rPr>
          <w:t>Tableau 20</w:t>
        </w:r>
        <w:r w:rsidRPr="009E27E4">
          <w:rPr>
            <w:rStyle w:val="Lienhypertexte"/>
            <w:rFonts w:eastAsia="Calibri" w:cs="Arial"/>
            <w:i/>
            <w:noProof/>
            <w:sz w:val="20"/>
            <w:szCs w:val="20"/>
          </w:rPr>
          <w:t xml:space="preserve"> </w:t>
        </w:r>
        <w:r w:rsidRPr="009E27E4">
          <w:rPr>
            <w:rStyle w:val="Lienhypertexte"/>
            <w:rFonts w:eastAsia="SimSun" w:cs="Arial"/>
            <w:bCs/>
            <w:i/>
            <w:noProof/>
            <w:sz w:val="20"/>
            <w:szCs w:val="20"/>
          </w:rPr>
          <w:t xml:space="preserve">: </w:t>
        </w:r>
        <w:r w:rsidRPr="009E27E4">
          <w:rPr>
            <w:rStyle w:val="Lienhypertexte"/>
            <w:rFonts w:eastAsia="Calibri" w:cs="Arial"/>
            <w:i/>
            <w:noProof/>
            <w:sz w:val="20"/>
            <w:szCs w:val="20"/>
          </w:rPr>
          <w:t>Découpage administratif de la ville de Natitingou</w:t>
        </w:r>
        <w:r w:rsidRPr="009E27E4">
          <w:rPr>
            <w:rFonts w:cs="Arial"/>
            <w:i/>
            <w:noProof/>
            <w:webHidden/>
            <w:sz w:val="20"/>
            <w:szCs w:val="20"/>
          </w:rPr>
          <w:tab/>
        </w:r>
        <w:r w:rsidRPr="009E27E4">
          <w:rPr>
            <w:rFonts w:cs="Arial"/>
            <w:i/>
            <w:noProof/>
            <w:webHidden/>
            <w:sz w:val="20"/>
            <w:szCs w:val="20"/>
          </w:rPr>
          <w:fldChar w:fldCharType="begin"/>
        </w:r>
        <w:r w:rsidRPr="009E27E4">
          <w:rPr>
            <w:rFonts w:cs="Arial"/>
            <w:i/>
            <w:noProof/>
            <w:webHidden/>
            <w:sz w:val="20"/>
            <w:szCs w:val="20"/>
          </w:rPr>
          <w:instrText xml:space="preserve"> PAGEREF _Toc52873744 \h </w:instrText>
        </w:r>
        <w:r w:rsidRPr="009E27E4">
          <w:rPr>
            <w:rFonts w:cs="Arial"/>
            <w:i/>
            <w:noProof/>
            <w:webHidden/>
            <w:sz w:val="20"/>
            <w:szCs w:val="20"/>
          </w:rPr>
        </w:r>
        <w:r w:rsidRPr="009E27E4">
          <w:rPr>
            <w:rFonts w:cs="Arial"/>
            <w:i/>
            <w:noProof/>
            <w:webHidden/>
            <w:sz w:val="20"/>
            <w:szCs w:val="20"/>
          </w:rPr>
          <w:fldChar w:fldCharType="separate"/>
        </w:r>
        <w:r w:rsidRPr="009E27E4">
          <w:rPr>
            <w:rFonts w:cs="Arial"/>
            <w:i/>
            <w:noProof/>
            <w:webHidden/>
            <w:sz w:val="20"/>
            <w:szCs w:val="20"/>
          </w:rPr>
          <w:t>67</w:t>
        </w:r>
        <w:r w:rsidRPr="009E27E4">
          <w:rPr>
            <w:rFonts w:cs="Arial"/>
            <w:i/>
            <w:noProof/>
            <w:webHidden/>
            <w:sz w:val="20"/>
            <w:szCs w:val="20"/>
          </w:rPr>
          <w:fldChar w:fldCharType="end"/>
        </w:r>
      </w:hyperlink>
    </w:p>
    <w:p w14:paraId="718A9E65" w14:textId="6603DCDA" w:rsidR="009E27E4" w:rsidRPr="009E27E4" w:rsidRDefault="009E27E4" w:rsidP="009E27E4">
      <w:pPr>
        <w:pStyle w:val="Tabledesillustrations"/>
        <w:tabs>
          <w:tab w:val="right" w:leader="dot" w:pos="9345"/>
        </w:tabs>
        <w:spacing w:before="80"/>
        <w:rPr>
          <w:rFonts w:eastAsiaTheme="minorEastAsia" w:cs="Arial"/>
          <w:i/>
          <w:noProof/>
          <w:sz w:val="20"/>
          <w:szCs w:val="20"/>
          <w:lang w:eastAsia="fr-FR"/>
        </w:rPr>
      </w:pPr>
      <w:hyperlink w:anchor="_Toc52873745" w:history="1">
        <w:r w:rsidRPr="009E27E4">
          <w:rPr>
            <w:rStyle w:val="Lienhypertexte"/>
            <w:rFonts w:cs="Arial"/>
            <w:i/>
            <w:noProof/>
            <w:sz w:val="20"/>
            <w:szCs w:val="20"/>
          </w:rPr>
          <w:t>Tableau 21 : Arrondissements et quartiers parcourus</w:t>
        </w:r>
        <w:r w:rsidRPr="009E27E4">
          <w:rPr>
            <w:rFonts w:cs="Arial"/>
            <w:i/>
            <w:noProof/>
            <w:webHidden/>
            <w:sz w:val="20"/>
            <w:szCs w:val="20"/>
          </w:rPr>
          <w:tab/>
        </w:r>
        <w:r w:rsidRPr="009E27E4">
          <w:rPr>
            <w:rFonts w:cs="Arial"/>
            <w:i/>
            <w:noProof/>
            <w:webHidden/>
            <w:sz w:val="20"/>
            <w:szCs w:val="20"/>
          </w:rPr>
          <w:fldChar w:fldCharType="begin"/>
        </w:r>
        <w:r w:rsidRPr="009E27E4">
          <w:rPr>
            <w:rFonts w:cs="Arial"/>
            <w:i/>
            <w:noProof/>
            <w:webHidden/>
            <w:sz w:val="20"/>
            <w:szCs w:val="20"/>
          </w:rPr>
          <w:instrText xml:space="preserve"> PAGEREF _Toc52873745 \h </w:instrText>
        </w:r>
        <w:r w:rsidRPr="009E27E4">
          <w:rPr>
            <w:rFonts w:cs="Arial"/>
            <w:i/>
            <w:noProof/>
            <w:webHidden/>
            <w:sz w:val="20"/>
            <w:szCs w:val="20"/>
          </w:rPr>
        </w:r>
        <w:r w:rsidRPr="009E27E4">
          <w:rPr>
            <w:rFonts w:cs="Arial"/>
            <w:i/>
            <w:noProof/>
            <w:webHidden/>
            <w:sz w:val="20"/>
            <w:szCs w:val="20"/>
          </w:rPr>
          <w:fldChar w:fldCharType="separate"/>
        </w:r>
        <w:r w:rsidRPr="009E27E4">
          <w:rPr>
            <w:rFonts w:cs="Arial"/>
            <w:i/>
            <w:noProof/>
            <w:webHidden/>
            <w:sz w:val="20"/>
            <w:szCs w:val="20"/>
          </w:rPr>
          <w:t>69</w:t>
        </w:r>
        <w:r w:rsidRPr="009E27E4">
          <w:rPr>
            <w:rFonts w:cs="Arial"/>
            <w:i/>
            <w:noProof/>
            <w:webHidden/>
            <w:sz w:val="20"/>
            <w:szCs w:val="20"/>
          </w:rPr>
          <w:fldChar w:fldCharType="end"/>
        </w:r>
      </w:hyperlink>
    </w:p>
    <w:p w14:paraId="6DEB69DF" w14:textId="050C225A" w:rsidR="009E27E4" w:rsidRPr="009E27E4" w:rsidRDefault="009E27E4" w:rsidP="009E27E4">
      <w:pPr>
        <w:pStyle w:val="Tabledesillustrations"/>
        <w:tabs>
          <w:tab w:val="right" w:leader="dot" w:pos="9345"/>
        </w:tabs>
        <w:spacing w:before="80"/>
        <w:rPr>
          <w:rFonts w:eastAsiaTheme="minorEastAsia" w:cs="Arial"/>
          <w:i/>
          <w:noProof/>
          <w:sz w:val="20"/>
          <w:szCs w:val="20"/>
          <w:lang w:eastAsia="fr-FR"/>
        </w:rPr>
      </w:pPr>
      <w:hyperlink w:anchor="_Toc52873746" w:history="1">
        <w:r w:rsidRPr="009E27E4">
          <w:rPr>
            <w:rStyle w:val="Lienhypertexte"/>
            <w:rFonts w:cs="Arial"/>
            <w:i/>
            <w:noProof/>
            <w:sz w:val="20"/>
            <w:szCs w:val="20"/>
          </w:rPr>
          <w:t>Tableau 22 : Linéaires des Collecteurs</w:t>
        </w:r>
        <w:r w:rsidRPr="009E27E4">
          <w:rPr>
            <w:rFonts w:cs="Arial"/>
            <w:i/>
            <w:noProof/>
            <w:webHidden/>
            <w:sz w:val="20"/>
            <w:szCs w:val="20"/>
          </w:rPr>
          <w:tab/>
        </w:r>
        <w:r w:rsidRPr="009E27E4">
          <w:rPr>
            <w:rFonts w:cs="Arial"/>
            <w:i/>
            <w:noProof/>
            <w:webHidden/>
            <w:sz w:val="20"/>
            <w:szCs w:val="20"/>
          </w:rPr>
          <w:fldChar w:fldCharType="begin"/>
        </w:r>
        <w:r w:rsidRPr="009E27E4">
          <w:rPr>
            <w:rFonts w:cs="Arial"/>
            <w:i/>
            <w:noProof/>
            <w:webHidden/>
            <w:sz w:val="20"/>
            <w:szCs w:val="20"/>
          </w:rPr>
          <w:instrText xml:space="preserve"> PAGEREF _Toc52873746 \h </w:instrText>
        </w:r>
        <w:r w:rsidRPr="009E27E4">
          <w:rPr>
            <w:rFonts w:cs="Arial"/>
            <w:i/>
            <w:noProof/>
            <w:webHidden/>
            <w:sz w:val="20"/>
            <w:szCs w:val="20"/>
          </w:rPr>
        </w:r>
        <w:r w:rsidRPr="009E27E4">
          <w:rPr>
            <w:rFonts w:cs="Arial"/>
            <w:i/>
            <w:noProof/>
            <w:webHidden/>
            <w:sz w:val="20"/>
            <w:szCs w:val="20"/>
          </w:rPr>
          <w:fldChar w:fldCharType="separate"/>
        </w:r>
        <w:r w:rsidRPr="009E27E4">
          <w:rPr>
            <w:rFonts w:cs="Arial"/>
            <w:i/>
            <w:noProof/>
            <w:webHidden/>
            <w:sz w:val="20"/>
            <w:szCs w:val="20"/>
          </w:rPr>
          <w:t>69</w:t>
        </w:r>
        <w:r w:rsidRPr="009E27E4">
          <w:rPr>
            <w:rFonts w:cs="Arial"/>
            <w:i/>
            <w:noProof/>
            <w:webHidden/>
            <w:sz w:val="20"/>
            <w:szCs w:val="20"/>
          </w:rPr>
          <w:fldChar w:fldCharType="end"/>
        </w:r>
      </w:hyperlink>
    </w:p>
    <w:p w14:paraId="7B49807A" w14:textId="3C8A1130" w:rsidR="009E27E4" w:rsidRPr="009E27E4" w:rsidRDefault="009E27E4" w:rsidP="009E27E4">
      <w:pPr>
        <w:pStyle w:val="Tabledesillustrations"/>
        <w:tabs>
          <w:tab w:val="right" w:leader="dot" w:pos="9345"/>
        </w:tabs>
        <w:spacing w:before="80"/>
        <w:rPr>
          <w:rFonts w:eastAsiaTheme="minorEastAsia" w:cs="Arial"/>
          <w:i/>
          <w:noProof/>
          <w:sz w:val="20"/>
          <w:szCs w:val="20"/>
          <w:lang w:eastAsia="fr-FR"/>
        </w:rPr>
      </w:pPr>
      <w:hyperlink w:anchor="_Toc52873747" w:history="1">
        <w:r w:rsidRPr="009E27E4">
          <w:rPr>
            <w:rStyle w:val="Lienhypertexte"/>
            <w:rFonts w:cs="Arial"/>
            <w:i/>
            <w:noProof/>
            <w:sz w:val="20"/>
            <w:szCs w:val="20"/>
          </w:rPr>
          <w:t>Tableau 23 : Linéaires de rues</w:t>
        </w:r>
        <w:r w:rsidRPr="009E27E4">
          <w:rPr>
            <w:rFonts w:cs="Arial"/>
            <w:i/>
            <w:noProof/>
            <w:webHidden/>
            <w:sz w:val="20"/>
            <w:szCs w:val="20"/>
          </w:rPr>
          <w:tab/>
        </w:r>
        <w:r w:rsidRPr="009E27E4">
          <w:rPr>
            <w:rFonts w:cs="Arial"/>
            <w:i/>
            <w:noProof/>
            <w:webHidden/>
            <w:sz w:val="20"/>
            <w:szCs w:val="20"/>
          </w:rPr>
          <w:fldChar w:fldCharType="begin"/>
        </w:r>
        <w:r w:rsidRPr="009E27E4">
          <w:rPr>
            <w:rFonts w:cs="Arial"/>
            <w:i/>
            <w:noProof/>
            <w:webHidden/>
            <w:sz w:val="20"/>
            <w:szCs w:val="20"/>
          </w:rPr>
          <w:instrText xml:space="preserve"> PAGEREF _Toc52873747 \h </w:instrText>
        </w:r>
        <w:r w:rsidRPr="009E27E4">
          <w:rPr>
            <w:rFonts w:cs="Arial"/>
            <w:i/>
            <w:noProof/>
            <w:webHidden/>
            <w:sz w:val="20"/>
            <w:szCs w:val="20"/>
          </w:rPr>
        </w:r>
        <w:r w:rsidRPr="009E27E4">
          <w:rPr>
            <w:rFonts w:cs="Arial"/>
            <w:i/>
            <w:noProof/>
            <w:webHidden/>
            <w:sz w:val="20"/>
            <w:szCs w:val="20"/>
          </w:rPr>
          <w:fldChar w:fldCharType="separate"/>
        </w:r>
        <w:r w:rsidRPr="009E27E4">
          <w:rPr>
            <w:rFonts w:cs="Arial"/>
            <w:i/>
            <w:noProof/>
            <w:webHidden/>
            <w:sz w:val="20"/>
            <w:szCs w:val="20"/>
          </w:rPr>
          <w:t>70</w:t>
        </w:r>
        <w:r w:rsidRPr="009E27E4">
          <w:rPr>
            <w:rFonts w:cs="Arial"/>
            <w:i/>
            <w:noProof/>
            <w:webHidden/>
            <w:sz w:val="20"/>
            <w:szCs w:val="20"/>
          </w:rPr>
          <w:fldChar w:fldCharType="end"/>
        </w:r>
      </w:hyperlink>
    </w:p>
    <w:p w14:paraId="4DD2BAE3" w14:textId="1FE9117E" w:rsidR="009E27E4" w:rsidRPr="009E27E4" w:rsidRDefault="009E27E4" w:rsidP="009E27E4">
      <w:pPr>
        <w:pStyle w:val="Tabledesillustrations"/>
        <w:tabs>
          <w:tab w:val="right" w:leader="dot" w:pos="9345"/>
        </w:tabs>
        <w:spacing w:before="80"/>
        <w:rPr>
          <w:rFonts w:eastAsiaTheme="minorEastAsia" w:cs="Arial"/>
          <w:i/>
          <w:noProof/>
          <w:sz w:val="20"/>
          <w:szCs w:val="20"/>
          <w:lang w:eastAsia="fr-FR"/>
        </w:rPr>
      </w:pPr>
      <w:hyperlink w:anchor="_Toc52873748" w:history="1">
        <w:r w:rsidRPr="009E27E4">
          <w:rPr>
            <w:rStyle w:val="Lienhypertexte"/>
            <w:rFonts w:cs="Arial"/>
            <w:i/>
            <w:noProof/>
            <w:sz w:val="20"/>
            <w:szCs w:val="20"/>
          </w:rPr>
          <w:t>Tableau 24 : Espèces végétales au niveau du canal A</w:t>
        </w:r>
        <w:r w:rsidRPr="009E27E4">
          <w:rPr>
            <w:rFonts w:cs="Arial"/>
            <w:i/>
            <w:noProof/>
            <w:webHidden/>
            <w:sz w:val="20"/>
            <w:szCs w:val="20"/>
          </w:rPr>
          <w:tab/>
        </w:r>
        <w:r w:rsidRPr="009E27E4">
          <w:rPr>
            <w:rFonts w:cs="Arial"/>
            <w:i/>
            <w:noProof/>
            <w:webHidden/>
            <w:sz w:val="20"/>
            <w:szCs w:val="20"/>
          </w:rPr>
          <w:fldChar w:fldCharType="begin"/>
        </w:r>
        <w:r w:rsidRPr="009E27E4">
          <w:rPr>
            <w:rFonts w:cs="Arial"/>
            <w:i/>
            <w:noProof/>
            <w:webHidden/>
            <w:sz w:val="20"/>
            <w:szCs w:val="20"/>
          </w:rPr>
          <w:instrText xml:space="preserve"> PAGEREF _Toc52873748 \h </w:instrText>
        </w:r>
        <w:r w:rsidRPr="009E27E4">
          <w:rPr>
            <w:rFonts w:cs="Arial"/>
            <w:i/>
            <w:noProof/>
            <w:webHidden/>
            <w:sz w:val="20"/>
            <w:szCs w:val="20"/>
          </w:rPr>
        </w:r>
        <w:r w:rsidRPr="009E27E4">
          <w:rPr>
            <w:rFonts w:cs="Arial"/>
            <w:i/>
            <w:noProof/>
            <w:webHidden/>
            <w:sz w:val="20"/>
            <w:szCs w:val="20"/>
          </w:rPr>
          <w:fldChar w:fldCharType="separate"/>
        </w:r>
        <w:r w:rsidRPr="009E27E4">
          <w:rPr>
            <w:rFonts w:cs="Arial"/>
            <w:i/>
            <w:noProof/>
            <w:webHidden/>
            <w:sz w:val="20"/>
            <w:szCs w:val="20"/>
          </w:rPr>
          <w:t>73</w:t>
        </w:r>
        <w:r w:rsidRPr="009E27E4">
          <w:rPr>
            <w:rFonts w:cs="Arial"/>
            <w:i/>
            <w:noProof/>
            <w:webHidden/>
            <w:sz w:val="20"/>
            <w:szCs w:val="20"/>
          </w:rPr>
          <w:fldChar w:fldCharType="end"/>
        </w:r>
      </w:hyperlink>
    </w:p>
    <w:p w14:paraId="285865F7" w14:textId="73A826D1" w:rsidR="009E27E4" w:rsidRPr="009E27E4" w:rsidRDefault="009E27E4" w:rsidP="009E27E4">
      <w:pPr>
        <w:pStyle w:val="Tabledesillustrations"/>
        <w:tabs>
          <w:tab w:val="right" w:leader="dot" w:pos="9345"/>
        </w:tabs>
        <w:spacing w:before="80"/>
        <w:rPr>
          <w:rFonts w:eastAsiaTheme="minorEastAsia" w:cs="Arial"/>
          <w:i/>
          <w:noProof/>
          <w:sz w:val="20"/>
          <w:szCs w:val="20"/>
          <w:lang w:eastAsia="fr-FR"/>
        </w:rPr>
      </w:pPr>
      <w:hyperlink w:anchor="_Toc52873749" w:history="1">
        <w:r w:rsidRPr="009E27E4">
          <w:rPr>
            <w:rStyle w:val="Lienhypertexte"/>
            <w:rFonts w:cs="Arial"/>
            <w:i/>
            <w:noProof/>
            <w:sz w:val="20"/>
            <w:szCs w:val="20"/>
          </w:rPr>
          <w:t>Tableau 25 : Espèces végétales au niveau du canal B</w:t>
        </w:r>
        <w:r w:rsidRPr="009E27E4">
          <w:rPr>
            <w:rFonts w:cs="Arial"/>
            <w:i/>
            <w:noProof/>
            <w:webHidden/>
            <w:sz w:val="20"/>
            <w:szCs w:val="20"/>
          </w:rPr>
          <w:tab/>
        </w:r>
        <w:r w:rsidRPr="009E27E4">
          <w:rPr>
            <w:rFonts w:cs="Arial"/>
            <w:i/>
            <w:noProof/>
            <w:webHidden/>
            <w:sz w:val="20"/>
            <w:szCs w:val="20"/>
          </w:rPr>
          <w:fldChar w:fldCharType="begin"/>
        </w:r>
        <w:r w:rsidRPr="009E27E4">
          <w:rPr>
            <w:rFonts w:cs="Arial"/>
            <w:i/>
            <w:noProof/>
            <w:webHidden/>
            <w:sz w:val="20"/>
            <w:szCs w:val="20"/>
          </w:rPr>
          <w:instrText xml:space="preserve"> PAGEREF _Toc52873749 \h </w:instrText>
        </w:r>
        <w:r w:rsidRPr="009E27E4">
          <w:rPr>
            <w:rFonts w:cs="Arial"/>
            <w:i/>
            <w:noProof/>
            <w:webHidden/>
            <w:sz w:val="20"/>
            <w:szCs w:val="20"/>
          </w:rPr>
        </w:r>
        <w:r w:rsidRPr="009E27E4">
          <w:rPr>
            <w:rFonts w:cs="Arial"/>
            <w:i/>
            <w:noProof/>
            <w:webHidden/>
            <w:sz w:val="20"/>
            <w:szCs w:val="20"/>
          </w:rPr>
          <w:fldChar w:fldCharType="separate"/>
        </w:r>
        <w:r w:rsidRPr="009E27E4">
          <w:rPr>
            <w:rFonts w:cs="Arial"/>
            <w:i/>
            <w:noProof/>
            <w:webHidden/>
            <w:sz w:val="20"/>
            <w:szCs w:val="20"/>
          </w:rPr>
          <w:t>74</w:t>
        </w:r>
        <w:r w:rsidRPr="009E27E4">
          <w:rPr>
            <w:rFonts w:cs="Arial"/>
            <w:i/>
            <w:noProof/>
            <w:webHidden/>
            <w:sz w:val="20"/>
            <w:szCs w:val="20"/>
          </w:rPr>
          <w:fldChar w:fldCharType="end"/>
        </w:r>
      </w:hyperlink>
    </w:p>
    <w:p w14:paraId="624C83DA" w14:textId="02FD6D61" w:rsidR="009E27E4" w:rsidRPr="009E27E4" w:rsidRDefault="009E27E4" w:rsidP="009E27E4">
      <w:pPr>
        <w:pStyle w:val="Tabledesillustrations"/>
        <w:tabs>
          <w:tab w:val="right" w:leader="dot" w:pos="9345"/>
        </w:tabs>
        <w:spacing w:before="80"/>
        <w:rPr>
          <w:rFonts w:eastAsiaTheme="minorEastAsia" w:cs="Arial"/>
          <w:i/>
          <w:noProof/>
          <w:sz w:val="20"/>
          <w:szCs w:val="20"/>
          <w:lang w:eastAsia="fr-FR"/>
        </w:rPr>
      </w:pPr>
      <w:hyperlink w:anchor="_Toc52873750" w:history="1">
        <w:r w:rsidRPr="009E27E4">
          <w:rPr>
            <w:rStyle w:val="Lienhypertexte"/>
            <w:rFonts w:cs="Arial"/>
            <w:i/>
            <w:noProof/>
            <w:sz w:val="20"/>
            <w:szCs w:val="20"/>
          </w:rPr>
          <w:t>Tableau 26 : Synthèse de la consultation publique dans les Arrondissements de la ville de Natitingou</w:t>
        </w:r>
        <w:r w:rsidRPr="009E27E4">
          <w:rPr>
            <w:rFonts w:cs="Arial"/>
            <w:i/>
            <w:noProof/>
            <w:webHidden/>
            <w:sz w:val="20"/>
            <w:szCs w:val="20"/>
          </w:rPr>
          <w:tab/>
        </w:r>
        <w:r w:rsidRPr="009E27E4">
          <w:rPr>
            <w:rFonts w:cs="Arial"/>
            <w:i/>
            <w:noProof/>
            <w:webHidden/>
            <w:sz w:val="20"/>
            <w:szCs w:val="20"/>
          </w:rPr>
          <w:fldChar w:fldCharType="begin"/>
        </w:r>
        <w:r w:rsidRPr="009E27E4">
          <w:rPr>
            <w:rFonts w:cs="Arial"/>
            <w:i/>
            <w:noProof/>
            <w:webHidden/>
            <w:sz w:val="20"/>
            <w:szCs w:val="20"/>
          </w:rPr>
          <w:instrText xml:space="preserve"> PAGEREF _Toc52873750 \h </w:instrText>
        </w:r>
        <w:r w:rsidRPr="009E27E4">
          <w:rPr>
            <w:rFonts w:cs="Arial"/>
            <w:i/>
            <w:noProof/>
            <w:webHidden/>
            <w:sz w:val="20"/>
            <w:szCs w:val="20"/>
          </w:rPr>
        </w:r>
        <w:r w:rsidRPr="009E27E4">
          <w:rPr>
            <w:rFonts w:cs="Arial"/>
            <w:i/>
            <w:noProof/>
            <w:webHidden/>
            <w:sz w:val="20"/>
            <w:szCs w:val="20"/>
          </w:rPr>
          <w:fldChar w:fldCharType="separate"/>
        </w:r>
        <w:r w:rsidRPr="009E27E4">
          <w:rPr>
            <w:rFonts w:cs="Arial"/>
            <w:i/>
            <w:noProof/>
            <w:webHidden/>
            <w:sz w:val="20"/>
            <w:szCs w:val="20"/>
          </w:rPr>
          <w:t>95</w:t>
        </w:r>
        <w:r w:rsidRPr="009E27E4">
          <w:rPr>
            <w:rFonts w:cs="Arial"/>
            <w:i/>
            <w:noProof/>
            <w:webHidden/>
            <w:sz w:val="20"/>
            <w:szCs w:val="20"/>
          </w:rPr>
          <w:fldChar w:fldCharType="end"/>
        </w:r>
      </w:hyperlink>
    </w:p>
    <w:p w14:paraId="2C6B3B35" w14:textId="17DB1D54" w:rsidR="009E27E4" w:rsidRPr="009E27E4" w:rsidRDefault="009E27E4" w:rsidP="009E27E4">
      <w:pPr>
        <w:pStyle w:val="Tabledesillustrations"/>
        <w:tabs>
          <w:tab w:val="right" w:leader="dot" w:pos="9345"/>
        </w:tabs>
        <w:spacing w:before="80"/>
        <w:rPr>
          <w:rFonts w:eastAsiaTheme="minorEastAsia" w:cs="Arial"/>
          <w:i/>
          <w:noProof/>
          <w:sz w:val="20"/>
          <w:szCs w:val="20"/>
          <w:lang w:eastAsia="fr-FR"/>
        </w:rPr>
      </w:pPr>
      <w:hyperlink w:anchor="_Toc52873751" w:history="1">
        <w:r w:rsidRPr="009E27E4">
          <w:rPr>
            <w:rStyle w:val="Lienhypertexte"/>
            <w:rFonts w:eastAsia="Times New Roman" w:cs="Arial"/>
            <w:i/>
            <w:noProof/>
            <w:sz w:val="20"/>
            <w:szCs w:val="20"/>
            <w:lang w:eastAsia="fr-FR"/>
          </w:rPr>
          <w:t>Tableau 27 : Liste, linéaires et caractéristiques des collecteurs retenus pour PAPVS Natitingou</w:t>
        </w:r>
        <w:r w:rsidRPr="009E27E4">
          <w:rPr>
            <w:rFonts w:cs="Arial"/>
            <w:i/>
            <w:noProof/>
            <w:webHidden/>
            <w:sz w:val="20"/>
            <w:szCs w:val="20"/>
          </w:rPr>
          <w:tab/>
        </w:r>
        <w:r w:rsidRPr="009E27E4">
          <w:rPr>
            <w:rFonts w:cs="Arial"/>
            <w:i/>
            <w:noProof/>
            <w:webHidden/>
            <w:sz w:val="20"/>
            <w:szCs w:val="20"/>
          </w:rPr>
          <w:fldChar w:fldCharType="begin"/>
        </w:r>
        <w:r w:rsidRPr="009E27E4">
          <w:rPr>
            <w:rFonts w:cs="Arial"/>
            <w:i/>
            <w:noProof/>
            <w:webHidden/>
            <w:sz w:val="20"/>
            <w:szCs w:val="20"/>
          </w:rPr>
          <w:instrText xml:space="preserve"> PAGEREF _Toc52873751 \h </w:instrText>
        </w:r>
        <w:r w:rsidRPr="009E27E4">
          <w:rPr>
            <w:rFonts w:cs="Arial"/>
            <w:i/>
            <w:noProof/>
            <w:webHidden/>
            <w:sz w:val="20"/>
            <w:szCs w:val="20"/>
          </w:rPr>
        </w:r>
        <w:r w:rsidRPr="009E27E4">
          <w:rPr>
            <w:rFonts w:cs="Arial"/>
            <w:i/>
            <w:noProof/>
            <w:webHidden/>
            <w:sz w:val="20"/>
            <w:szCs w:val="20"/>
          </w:rPr>
          <w:fldChar w:fldCharType="separate"/>
        </w:r>
        <w:r w:rsidRPr="009E27E4">
          <w:rPr>
            <w:rFonts w:cs="Arial"/>
            <w:i/>
            <w:noProof/>
            <w:webHidden/>
            <w:sz w:val="20"/>
            <w:szCs w:val="20"/>
          </w:rPr>
          <w:t>97</w:t>
        </w:r>
        <w:r w:rsidRPr="009E27E4">
          <w:rPr>
            <w:rFonts w:cs="Arial"/>
            <w:i/>
            <w:noProof/>
            <w:webHidden/>
            <w:sz w:val="20"/>
            <w:szCs w:val="20"/>
          </w:rPr>
          <w:fldChar w:fldCharType="end"/>
        </w:r>
      </w:hyperlink>
    </w:p>
    <w:p w14:paraId="28CB2125" w14:textId="3C473837" w:rsidR="009E27E4" w:rsidRPr="009E27E4" w:rsidRDefault="009E27E4" w:rsidP="009E27E4">
      <w:pPr>
        <w:pStyle w:val="Tabledesillustrations"/>
        <w:tabs>
          <w:tab w:val="right" w:leader="dot" w:pos="9345"/>
        </w:tabs>
        <w:spacing w:before="80"/>
        <w:rPr>
          <w:rFonts w:eastAsiaTheme="minorEastAsia" w:cs="Arial"/>
          <w:i/>
          <w:noProof/>
          <w:sz w:val="20"/>
          <w:szCs w:val="20"/>
          <w:lang w:eastAsia="fr-FR"/>
        </w:rPr>
      </w:pPr>
      <w:hyperlink w:anchor="_Toc52873752" w:history="1">
        <w:r w:rsidRPr="009E27E4">
          <w:rPr>
            <w:rStyle w:val="Lienhypertexte"/>
            <w:rFonts w:eastAsia="Times New Roman" w:cs="Arial"/>
            <w:i/>
            <w:noProof/>
            <w:sz w:val="20"/>
            <w:szCs w:val="20"/>
            <w:lang w:eastAsia="fr-FR"/>
          </w:rPr>
          <w:t>Tableau 28 : Liste, linéaires et caractéristiques des rues retenus pour PAPVS</w:t>
        </w:r>
        <w:r w:rsidRPr="009E27E4">
          <w:rPr>
            <w:rFonts w:cs="Arial"/>
            <w:i/>
            <w:noProof/>
            <w:webHidden/>
            <w:sz w:val="20"/>
            <w:szCs w:val="20"/>
          </w:rPr>
          <w:tab/>
        </w:r>
        <w:r w:rsidRPr="009E27E4">
          <w:rPr>
            <w:rFonts w:cs="Arial"/>
            <w:i/>
            <w:noProof/>
            <w:webHidden/>
            <w:sz w:val="20"/>
            <w:szCs w:val="20"/>
          </w:rPr>
          <w:fldChar w:fldCharType="begin"/>
        </w:r>
        <w:r w:rsidRPr="009E27E4">
          <w:rPr>
            <w:rFonts w:cs="Arial"/>
            <w:i/>
            <w:noProof/>
            <w:webHidden/>
            <w:sz w:val="20"/>
            <w:szCs w:val="20"/>
          </w:rPr>
          <w:instrText xml:space="preserve"> PAGEREF _Toc52873752 \h </w:instrText>
        </w:r>
        <w:r w:rsidRPr="009E27E4">
          <w:rPr>
            <w:rFonts w:cs="Arial"/>
            <w:i/>
            <w:noProof/>
            <w:webHidden/>
            <w:sz w:val="20"/>
            <w:szCs w:val="20"/>
          </w:rPr>
        </w:r>
        <w:r w:rsidRPr="009E27E4">
          <w:rPr>
            <w:rFonts w:cs="Arial"/>
            <w:i/>
            <w:noProof/>
            <w:webHidden/>
            <w:sz w:val="20"/>
            <w:szCs w:val="20"/>
          </w:rPr>
          <w:fldChar w:fldCharType="separate"/>
        </w:r>
        <w:r w:rsidRPr="009E27E4">
          <w:rPr>
            <w:rFonts w:cs="Arial"/>
            <w:i/>
            <w:noProof/>
            <w:webHidden/>
            <w:sz w:val="20"/>
            <w:szCs w:val="20"/>
          </w:rPr>
          <w:t>98</w:t>
        </w:r>
        <w:r w:rsidRPr="009E27E4">
          <w:rPr>
            <w:rFonts w:cs="Arial"/>
            <w:i/>
            <w:noProof/>
            <w:webHidden/>
            <w:sz w:val="20"/>
            <w:szCs w:val="20"/>
          </w:rPr>
          <w:fldChar w:fldCharType="end"/>
        </w:r>
      </w:hyperlink>
    </w:p>
    <w:p w14:paraId="13C34776" w14:textId="360A4442" w:rsidR="009E27E4" w:rsidRPr="009E27E4" w:rsidRDefault="009E27E4" w:rsidP="009E27E4">
      <w:pPr>
        <w:pStyle w:val="Tabledesillustrations"/>
        <w:tabs>
          <w:tab w:val="right" w:leader="dot" w:pos="9345"/>
        </w:tabs>
        <w:spacing w:before="80"/>
        <w:rPr>
          <w:rFonts w:eastAsiaTheme="minorEastAsia" w:cs="Arial"/>
          <w:i/>
          <w:noProof/>
          <w:sz w:val="20"/>
          <w:szCs w:val="20"/>
          <w:lang w:eastAsia="fr-FR"/>
        </w:rPr>
      </w:pPr>
      <w:hyperlink w:anchor="_Toc52873753" w:history="1">
        <w:r w:rsidRPr="009E27E4">
          <w:rPr>
            <w:rStyle w:val="Lienhypertexte"/>
            <w:rFonts w:cs="Arial"/>
            <w:i/>
            <w:noProof/>
            <w:sz w:val="20"/>
            <w:szCs w:val="20"/>
          </w:rPr>
          <w:t>Tableau 29 : Variante forme</w:t>
        </w:r>
        <w:r w:rsidRPr="009E27E4">
          <w:rPr>
            <w:rFonts w:cs="Arial"/>
            <w:i/>
            <w:noProof/>
            <w:webHidden/>
            <w:sz w:val="20"/>
            <w:szCs w:val="20"/>
          </w:rPr>
          <w:tab/>
        </w:r>
        <w:r w:rsidRPr="009E27E4">
          <w:rPr>
            <w:rFonts w:cs="Arial"/>
            <w:i/>
            <w:noProof/>
            <w:webHidden/>
            <w:sz w:val="20"/>
            <w:szCs w:val="20"/>
          </w:rPr>
          <w:fldChar w:fldCharType="begin"/>
        </w:r>
        <w:r w:rsidRPr="009E27E4">
          <w:rPr>
            <w:rFonts w:cs="Arial"/>
            <w:i/>
            <w:noProof/>
            <w:webHidden/>
            <w:sz w:val="20"/>
            <w:szCs w:val="20"/>
          </w:rPr>
          <w:instrText xml:space="preserve"> PAGEREF _Toc52873753 \h </w:instrText>
        </w:r>
        <w:r w:rsidRPr="009E27E4">
          <w:rPr>
            <w:rFonts w:cs="Arial"/>
            <w:i/>
            <w:noProof/>
            <w:webHidden/>
            <w:sz w:val="20"/>
            <w:szCs w:val="20"/>
          </w:rPr>
        </w:r>
        <w:r w:rsidRPr="009E27E4">
          <w:rPr>
            <w:rFonts w:cs="Arial"/>
            <w:i/>
            <w:noProof/>
            <w:webHidden/>
            <w:sz w:val="20"/>
            <w:szCs w:val="20"/>
          </w:rPr>
          <w:fldChar w:fldCharType="separate"/>
        </w:r>
        <w:r w:rsidRPr="009E27E4">
          <w:rPr>
            <w:rFonts w:cs="Arial"/>
            <w:i/>
            <w:noProof/>
            <w:webHidden/>
            <w:sz w:val="20"/>
            <w:szCs w:val="20"/>
          </w:rPr>
          <w:t>106</w:t>
        </w:r>
        <w:r w:rsidRPr="009E27E4">
          <w:rPr>
            <w:rFonts w:cs="Arial"/>
            <w:i/>
            <w:noProof/>
            <w:webHidden/>
            <w:sz w:val="20"/>
            <w:szCs w:val="20"/>
          </w:rPr>
          <w:fldChar w:fldCharType="end"/>
        </w:r>
      </w:hyperlink>
    </w:p>
    <w:p w14:paraId="45992420" w14:textId="7F76489B" w:rsidR="009E27E4" w:rsidRPr="009E27E4" w:rsidRDefault="009E27E4" w:rsidP="009E27E4">
      <w:pPr>
        <w:pStyle w:val="Tabledesillustrations"/>
        <w:tabs>
          <w:tab w:val="right" w:leader="dot" w:pos="9345"/>
        </w:tabs>
        <w:spacing w:before="80"/>
        <w:rPr>
          <w:rFonts w:eastAsiaTheme="minorEastAsia" w:cs="Arial"/>
          <w:i/>
          <w:noProof/>
          <w:sz w:val="20"/>
          <w:szCs w:val="20"/>
          <w:lang w:eastAsia="fr-FR"/>
        </w:rPr>
      </w:pPr>
      <w:hyperlink w:anchor="_Toc52873754" w:history="1">
        <w:r w:rsidRPr="009E27E4">
          <w:rPr>
            <w:rStyle w:val="Lienhypertexte"/>
            <w:rFonts w:eastAsia="Times New Roman" w:cs="Arial"/>
            <w:i/>
            <w:noProof/>
            <w:sz w:val="20"/>
            <w:szCs w:val="20"/>
            <w:lang w:eastAsia="fr-FR"/>
          </w:rPr>
          <w:t>Tableau 30 : Analyse des options d’aménagement des rues</w:t>
        </w:r>
        <w:r w:rsidRPr="009E27E4">
          <w:rPr>
            <w:rFonts w:cs="Arial"/>
            <w:i/>
            <w:noProof/>
            <w:webHidden/>
            <w:sz w:val="20"/>
            <w:szCs w:val="20"/>
          </w:rPr>
          <w:tab/>
        </w:r>
        <w:r w:rsidRPr="009E27E4">
          <w:rPr>
            <w:rFonts w:cs="Arial"/>
            <w:i/>
            <w:noProof/>
            <w:webHidden/>
            <w:sz w:val="20"/>
            <w:szCs w:val="20"/>
          </w:rPr>
          <w:fldChar w:fldCharType="begin"/>
        </w:r>
        <w:r w:rsidRPr="009E27E4">
          <w:rPr>
            <w:rFonts w:cs="Arial"/>
            <w:i/>
            <w:noProof/>
            <w:webHidden/>
            <w:sz w:val="20"/>
            <w:szCs w:val="20"/>
          </w:rPr>
          <w:instrText xml:space="preserve"> PAGEREF _Toc52873754 \h </w:instrText>
        </w:r>
        <w:r w:rsidRPr="009E27E4">
          <w:rPr>
            <w:rFonts w:cs="Arial"/>
            <w:i/>
            <w:noProof/>
            <w:webHidden/>
            <w:sz w:val="20"/>
            <w:szCs w:val="20"/>
          </w:rPr>
        </w:r>
        <w:r w:rsidRPr="009E27E4">
          <w:rPr>
            <w:rFonts w:cs="Arial"/>
            <w:i/>
            <w:noProof/>
            <w:webHidden/>
            <w:sz w:val="20"/>
            <w:szCs w:val="20"/>
          </w:rPr>
          <w:fldChar w:fldCharType="separate"/>
        </w:r>
        <w:r w:rsidRPr="009E27E4">
          <w:rPr>
            <w:rFonts w:cs="Arial"/>
            <w:i/>
            <w:noProof/>
            <w:webHidden/>
            <w:sz w:val="20"/>
            <w:szCs w:val="20"/>
          </w:rPr>
          <w:t>108</w:t>
        </w:r>
        <w:r w:rsidRPr="009E27E4">
          <w:rPr>
            <w:rFonts w:cs="Arial"/>
            <w:i/>
            <w:noProof/>
            <w:webHidden/>
            <w:sz w:val="20"/>
            <w:szCs w:val="20"/>
          </w:rPr>
          <w:fldChar w:fldCharType="end"/>
        </w:r>
      </w:hyperlink>
    </w:p>
    <w:p w14:paraId="1F0BCA8D" w14:textId="0A59FDFB" w:rsidR="009E27E4" w:rsidRPr="009E27E4" w:rsidRDefault="009E27E4" w:rsidP="009E27E4">
      <w:pPr>
        <w:pStyle w:val="Tabledesillustrations"/>
        <w:tabs>
          <w:tab w:val="right" w:leader="dot" w:pos="9345"/>
        </w:tabs>
        <w:spacing w:before="80"/>
        <w:rPr>
          <w:rFonts w:eastAsiaTheme="minorEastAsia" w:cs="Arial"/>
          <w:i/>
          <w:noProof/>
          <w:sz w:val="20"/>
          <w:szCs w:val="20"/>
          <w:lang w:eastAsia="fr-FR"/>
        </w:rPr>
      </w:pPr>
      <w:hyperlink w:anchor="_Toc52873755" w:history="1">
        <w:r w:rsidRPr="009E27E4">
          <w:rPr>
            <w:rStyle w:val="Lienhypertexte"/>
            <w:rFonts w:cs="Arial"/>
            <w:i/>
            <w:noProof/>
            <w:sz w:val="20"/>
            <w:szCs w:val="20"/>
          </w:rPr>
          <w:t>Tableau 31 : Structures de chaussées retenues</w:t>
        </w:r>
        <w:r w:rsidRPr="009E27E4">
          <w:rPr>
            <w:rFonts w:cs="Arial"/>
            <w:i/>
            <w:noProof/>
            <w:webHidden/>
            <w:sz w:val="20"/>
            <w:szCs w:val="20"/>
          </w:rPr>
          <w:tab/>
        </w:r>
        <w:r w:rsidRPr="009E27E4">
          <w:rPr>
            <w:rFonts w:cs="Arial"/>
            <w:i/>
            <w:noProof/>
            <w:webHidden/>
            <w:sz w:val="20"/>
            <w:szCs w:val="20"/>
          </w:rPr>
          <w:fldChar w:fldCharType="begin"/>
        </w:r>
        <w:r w:rsidRPr="009E27E4">
          <w:rPr>
            <w:rFonts w:cs="Arial"/>
            <w:i/>
            <w:noProof/>
            <w:webHidden/>
            <w:sz w:val="20"/>
            <w:szCs w:val="20"/>
          </w:rPr>
          <w:instrText xml:space="preserve"> PAGEREF _Toc52873755 \h </w:instrText>
        </w:r>
        <w:r w:rsidRPr="009E27E4">
          <w:rPr>
            <w:rFonts w:cs="Arial"/>
            <w:i/>
            <w:noProof/>
            <w:webHidden/>
            <w:sz w:val="20"/>
            <w:szCs w:val="20"/>
          </w:rPr>
        </w:r>
        <w:r w:rsidRPr="009E27E4">
          <w:rPr>
            <w:rFonts w:cs="Arial"/>
            <w:i/>
            <w:noProof/>
            <w:webHidden/>
            <w:sz w:val="20"/>
            <w:szCs w:val="20"/>
          </w:rPr>
          <w:fldChar w:fldCharType="separate"/>
        </w:r>
        <w:r w:rsidRPr="009E27E4">
          <w:rPr>
            <w:rFonts w:cs="Arial"/>
            <w:i/>
            <w:noProof/>
            <w:webHidden/>
            <w:sz w:val="20"/>
            <w:szCs w:val="20"/>
          </w:rPr>
          <w:t>111</w:t>
        </w:r>
        <w:r w:rsidRPr="009E27E4">
          <w:rPr>
            <w:rFonts w:cs="Arial"/>
            <w:i/>
            <w:noProof/>
            <w:webHidden/>
            <w:sz w:val="20"/>
            <w:szCs w:val="20"/>
          </w:rPr>
          <w:fldChar w:fldCharType="end"/>
        </w:r>
      </w:hyperlink>
    </w:p>
    <w:p w14:paraId="22663E6B" w14:textId="007C350B" w:rsidR="009E27E4" w:rsidRPr="009E27E4" w:rsidRDefault="009E27E4" w:rsidP="009E27E4">
      <w:pPr>
        <w:pStyle w:val="Tabledesillustrations"/>
        <w:tabs>
          <w:tab w:val="right" w:leader="dot" w:pos="9345"/>
        </w:tabs>
        <w:spacing w:before="80"/>
        <w:rPr>
          <w:rFonts w:eastAsiaTheme="minorEastAsia" w:cs="Arial"/>
          <w:i/>
          <w:noProof/>
          <w:sz w:val="20"/>
          <w:szCs w:val="20"/>
          <w:lang w:eastAsia="fr-FR"/>
        </w:rPr>
      </w:pPr>
      <w:hyperlink w:anchor="_Toc52873756" w:history="1">
        <w:r w:rsidRPr="009E27E4">
          <w:rPr>
            <w:rStyle w:val="Lienhypertexte"/>
            <w:rFonts w:cs="Arial"/>
            <w:i/>
            <w:noProof/>
            <w:sz w:val="20"/>
            <w:szCs w:val="20"/>
          </w:rPr>
          <w:t>Tableau 32: Liste des rues avec leurs structures</w:t>
        </w:r>
        <w:r w:rsidRPr="009E27E4">
          <w:rPr>
            <w:rFonts w:cs="Arial"/>
            <w:i/>
            <w:noProof/>
            <w:webHidden/>
            <w:sz w:val="20"/>
            <w:szCs w:val="20"/>
          </w:rPr>
          <w:tab/>
        </w:r>
        <w:r w:rsidRPr="009E27E4">
          <w:rPr>
            <w:rFonts w:cs="Arial"/>
            <w:i/>
            <w:noProof/>
            <w:webHidden/>
            <w:sz w:val="20"/>
            <w:szCs w:val="20"/>
          </w:rPr>
          <w:fldChar w:fldCharType="begin"/>
        </w:r>
        <w:r w:rsidRPr="009E27E4">
          <w:rPr>
            <w:rFonts w:cs="Arial"/>
            <w:i/>
            <w:noProof/>
            <w:webHidden/>
            <w:sz w:val="20"/>
            <w:szCs w:val="20"/>
          </w:rPr>
          <w:instrText xml:space="preserve"> PAGEREF _Toc52873756 \h </w:instrText>
        </w:r>
        <w:r w:rsidRPr="009E27E4">
          <w:rPr>
            <w:rFonts w:cs="Arial"/>
            <w:i/>
            <w:noProof/>
            <w:webHidden/>
            <w:sz w:val="20"/>
            <w:szCs w:val="20"/>
          </w:rPr>
        </w:r>
        <w:r w:rsidRPr="009E27E4">
          <w:rPr>
            <w:rFonts w:cs="Arial"/>
            <w:i/>
            <w:noProof/>
            <w:webHidden/>
            <w:sz w:val="20"/>
            <w:szCs w:val="20"/>
          </w:rPr>
          <w:fldChar w:fldCharType="separate"/>
        </w:r>
        <w:r w:rsidRPr="009E27E4">
          <w:rPr>
            <w:rFonts w:cs="Arial"/>
            <w:i/>
            <w:noProof/>
            <w:webHidden/>
            <w:sz w:val="20"/>
            <w:szCs w:val="20"/>
          </w:rPr>
          <w:t>111</w:t>
        </w:r>
        <w:r w:rsidRPr="009E27E4">
          <w:rPr>
            <w:rFonts w:cs="Arial"/>
            <w:i/>
            <w:noProof/>
            <w:webHidden/>
            <w:sz w:val="20"/>
            <w:szCs w:val="20"/>
          </w:rPr>
          <w:fldChar w:fldCharType="end"/>
        </w:r>
      </w:hyperlink>
    </w:p>
    <w:p w14:paraId="47755561" w14:textId="50455EC7" w:rsidR="009E27E4" w:rsidRPr="009E27E4" w:rsidRDefault="009E27E4" w:rsidP="009E27E4">
      <w:pPr>
        <w:pStyle w:val="Tabledesillustrations"/>
        <w:tabs>
          <w:tab w:val="right" w:leader="dot" w:pos="9345"/>
        </w:tabs>
        <w:spacing w:before="80"/>
        <w:rPr>
          <w:rFonts w:eastAsiaTheme="minorEastAsia" w:cs="Arial"/>
          <w:i/>
          <w:noProof/>
          <w:sz w:val="20"/>
          <w:szCs w:val="20"/>
          <w:lang w:eastAsia="fr-FR"/>
        </w:rPr>
      </w:pPr>
      <w:hyperlink w:anchor="_Toc52873757" w:history="1">
        <w:r w:rsidRPr="009E27E4">
          <w:rPr>
            <w:rStyle w:val="Lienhypertexte"/>
            <w:rFonts w:eastAsia="Times New Roman" w:cs="Arial"/>
            <w:i/>
            <w:noProof/>
            <w:sz w:val="20"/>
            <w:szCs w:val="20"/>
            <w:lang w:eastAsia="fr-FR"/>
          </w:rPr>
          <w:t>Tableau 33 : Récapitulatif des activités de démarrage du projet</w:t>
        </w:r>
        <w:r w:rsidRPr="009E27E4">
          <w:rPr>
            <w:rFonts w:cs="Arial"/>
            <w:i/>
            <w:noProof/>
            <w:webHidden/>
            <w:sz w:val="20"/>
            <w:szCs w:val="20"/>
          </w:rPr>
          <w:tab/>
        </w:r>
        <w:r w:rsidRPr="009E27E4">
          <w:rPr>
            <w:rFonts w:cs="Arial"/>
            <w:i/>
            <w:noProof/>
            <w:webHidden/>
            <w:sz w:val="20"/>
            <w:szCs w:val="20"/>
          </w:rPr>
          <w:fldChar w:fldCharType="begin"/>
        </w:r>
        <w:r w:rsidRPr="009E27E4">
          <w:rPr>
            <w:rFonts w:cs="Arial"/>
            <w:i/>
            <w:noProof/>
            <w:webHidden/>
            <w:sz w:val="20"/>
            <w:szCs w:val="20"/>
          </w:rPr>
          <w:instrText xml:space="preserve"> PAGEREF _Toc52873757 \h </w:instrText>
        </w:r>
        <w:r w:rsidRPr="009E27E4">
          <w:rPr>
            <w:rFonts w:cs="Arial"/>
            <w:i/>
            <w:noProof/>
            <w:webHidden/>
            <w:sz w:val="20"/>
            <w:szCs w:val="20"/>
          </w:rPr>
        </w:r>
        <w:r w:rsidRPr="009E27E4">
          <w:rPr>
            <w:rFonts w:cs="Arial"/>
            <w:i/>
            <w:noProof/>
            <w:webHidden/>
            <w:sz w:val="20"/>
            <w:szCs w:val="20"/>
          </w:rPr>
          <w:fldChar w:fldCharType="separate"/>
        </w:r>
        <w:r w:rsidRPr="009E27E4">
          <w:rPr>
            <w:rFonts w:cs="Arial"/>
            <w:i/>
            <w:noProof/>
            <w:webHidden/>
            <w:sz w:val="20"/>
            <w:szCs w:val="20"/>
          </w:rPr>
          <w:t>112</w:t>
        </w:r>
        <w:r w:rsidRPr="009E27E4">
          <w:rPr>
            <w:rFonts w:cs="Arial"/>
            <w:i/>
            <w:noProof/>
            <w:webHidden/>
            <w:sz w:val="20"/>
            <w:szCs w:val="20"/>
          </w:rPr>
          <w:fldChar w:fldCharType="end"/>
        </w:r>
      </w:hyperlink>
    </w:p>
    <w:p w14:paraId="7B594127" w14:textId="1E65AF98" w:rsidR="009E27E4" w:rsidRPr="009E27E4" w:rsidRDefault="009E27E4" w:rsidP="009E27E4">
      <w:pPr>
        <w:pStyle w:val="Tabledesillustrations"/>
        <w:tabs>
          <w:tab w:val="right" w:leader="dot" w:pos="9345"/>
        </w:tabs>
        <w:spacing w:before="80"/>
        <w:rPr>
          <w:rFonts w:eastAsiaTheme="minorEastAsia" w:cs="Arial"/>
          <w:i/>
          <w:noProof/>
          <w:sz w:val="20"/>
          <w:szCs w:val="20"/>
          <w:lang w:eastAsia="fr-FR"/>
        </w:rPr>
      </w:pPr>
      <w:hyperlink w:anchor="_Toc52873758" w:history="1">
        <w:r w:rsidRPr="009E27E4">
          <w:rPr>
            <w:rStyle w:val="Lienhypertexte"/>
            <w:rFonts w:eastAsia="Times New Roman" w:cs="Arial"/>
            <w:i/>
            <w:noProof/>
            <w:sz w:val="20"/>
            <w:szCs w:val="20"/>
            <w:lang w:eastAsia="fr-FR"/>
          </w:rPr>
          <w:t>Tableau 34 : Récapitulatif des activités de la phase de construction du projet</w:t>
        </w:r>
        <w:r w:rsidRPr="009E27E4">
          <w:rPr>
            <w:rFonts w:cs="Arial"/>
            <w:i/>
            <w:noProof/>
            <w:webHidden/>
            <w:sz w:val="20"/>
            <w:szCs w:val="20"/>
          </w:rPr>
          <w:tab/>
        </w:r>
        <w:r w:rsidRPr="009E27E4">
          <w:rPr>
            <w:rFonts w:cs="Arial"/>
            <w:i/>
            <w:noProof/>
            <w:webHidden/>
            <w:sz w:val="20"/>
            <w:szCs w:val="20"/>
          </w:rPr>
          <w:fldChar w:fldCharType="begin"/>
        </w:r>
        <w:r w:rsidRPr="009E27E4">
          <w:rPr>
            <w:rFonts w:cs="Arial"/>
            <w:i/>
            <w:noProof/>
            <w:webHidden/>
            <w:sz w:val="20"/>
            <w:szCs w:val="20"/>
          </w:rPr>
          <w:instrText xml:space="preserve"> PAGEREF _Toc52873758 \h </w:instrText>
        </w:r>
        <w:r w:rsidRPr="009E27E4">
          <w:rPr>
            <w:rFonts w:cs="Arial"/>
            <w:i/>
            <w:noProof/>
            <w:webHidden/>
            <w:sz w:val="20"/>
            <w:szCs w:val="20"/>
          </w:rPr>
        </w:r>
        <w:r w:rsidRPr="009E27E4">
          <w:rPr>
            <w:rFonts w:cs="Arial"/>
            <w:i/>
            <w:noProof/>
            <w:webHidden/>
            <w:sz w:val="20"/>
            <w:szCs w:val="20"/>
          </w:rPr>
          <w:fldChar w:fldCharType="separate"/>
        </w:r>
        <w:r w:rsidRPr="009E27E4">
          <w:rPr>
            <w:rFonts w:cs="Arial"/>
            <w:i/>
            <w:noProof/>
            <w:webHidden/>
            <w:sz w:val="20"/>
            <w:szCs w:val="20"/>
          </w:rPr>
          <w:t>113</w:t>
        </w:r>
        <w:r w:rsidRPr="009E27E4">
          <w:rPr>
            <w:rFonts w:cs="Arial"/>
            <w:i/>
            <w:noProof/>
            <w:webHidden/>
            <w:sz w:val="20"/>
            <w:szCs w:val="20"/>
          </w:rPr>
          <w:fldChar w:fldCharType="end"/>
        </w:r>
      </w:hyperlink>
    </w:p>
    <w:p w14:paraId="2A2569FC" w14:textId="196F23BD" w:rsidR="009E27E4" w:rsidRPr="009E27E4" w:rsidRDefault="009E27E4" w:rsidP="009E27E4">
      <w:pPr>
        <w:pStyle w:val="Tabledesillustrations"/>
        <w:tabs>
          <w:tab w:val="right" w:leader="dot" w:pos="9345"/>
        </w:tabs>
        <w:spacing w:before="80"/>
        <w:rPr>
          <w:rFonts w:eastAsiaTheme="minorEastAsia" w:cs="Arial"/>
          <w:i/>
          <w:noProof/>
          <w:sz w:val="20"/>
          <w:szCs w:val="20"/>
          <w:lang w:eastAsia="fr-FR"/>
        </w:rPr>
      </w:pPr>
      <w:hyperlink w:anchor="_Toc52873759" w:history="1">
        <w:r w:rsidRPr="009E27E4">
          <w:rPr>
            <w:rStyle w:val="Lienhypertexte"/>
            <w:rFonts w:eastAsia="Times New Roman" w:cs="Arial"/>
            <w:i/>
            <w:noProof/>
            <w:sz w:val="20"/>
            <w:szCs w:val="20"/>
            <w:lang w:eastAsia="fr-FR"/>
          </w:rPr>
          <w:t>Tableau 35 : Récapitulatif des activités de la phase d’exploitation des ouvrages et rues</w:t>
        </w:r>
        <w:r w:rsidRPr="009E27E4">
          <w:rPr>
            <w:rFonts w:cs="Arial"/>
            <w:i/>
            <w:noProof/>
            <w:webHidden/>
            <w:sz w:val="20"/>
            <w:szCs w:val="20"/>
          </w:rPr>
          <w:tab/>
        </w:r>
        <w:r w:rsidRPr="009E27E4">
          <w:rPr>
            <w:rFonts w:cs="Arial"/>
            <w:i/>
            <w:noProof/>
            <w:webHidden/>
            <w:sz w:val="20"/>
            <w:szCs w:val="20"/>
          </w:rPr>
          <w:fldChar w:fldCharType="begin"/>
        </w:r>
        <w:r w:rsidRPr="009E27E4">
          <w:rPr>
            <w:rFonts w:cs="Arial"/>
            <w:i/>
            <w:noProof/>
            <w:webHidden/>
            <w:sz w:val="20"/>
            <w:szCs w:val="20"/>
          </w:rPr>
          <w:instrText xml:space="preserve"> PAGEREF _Toc52873759 \h </w:instrText>
        </w:r>
        <w:r w:rsidRPr="009E27E4">
          <w:rPr>
            <w:rFonts w:cs="Arial"/>
            <w:i/>
            <w:noProof/>
            <w:webHidden/>
            <w:sz w:val="20"/>
            <w:szCs w:val="20"/>
          </w:rPr>
        </w:r>
        <w:r w:rsidRPr="009E27E4">
          <w:rPr>
            <w:rFonts w:cs="Arial"/>
            <w:i/>
            <w:noProof/>
            <w:webHidden/>
            <w:sz w:val="20"/>
            <w:szCs w:val="20"/>
          </w:rPr>
          <w:fldChar w:fldCharType="separate"/>
        </w:r>
        <w:r w:rsidRPr="009E27E4">
          <w:rPr>
            <w:rFonts w:cs="Arial"/>
            <w:i/>
            <w:noProof/>
            <w:webHidden/>
            <w:sz w:val="20"/>
            <w:szCs w:val="20"/>
          </w:rPr>
          <w:t>115</w:t>
        </w:r>
        <w:r w:rsidRPr="009E27E4">
          <w:rPr>
            <w:rFonts w:cs="Arial"/>
            <w:i/>
            <w:noProof/>
            <w:webHidden/>
            <w:sz w:val="20"/>
            <w:szCs w:val="20"/>
          </w:rPr>
          <w:fldChar w:fldCharType="end"/>
        </w:r>
      </w:hyperlink>
    </w:p>
    <w:p w14:paraId="785FA2EA" w14:textId="77E85060" w:rsidR="009E27E4" w:rsidRPr="009E27E4" w:rsidRDefault="009E27E4" w:rsidP="009E27E4">
      <w:pPr>
        <w:pStyle w:val="Tabledesillustrations"/>
        <w:tabs>
          <w:tab w:val="right" w:leader="dot" w:pos="9345"/>
        </w:tabs>
        <w:spacing w:before="80"/>
        <w:rPr>
          <w:rFonts w:eastAsiaTheme="minorEastAsia" w:cs="Arial"/>
          <w:i/>
          <w:noProof/>
          <w:sz w:val="20"/>
          <w:szCs w:val="20"/>
          <w:lang w:eastAsia="fr-FR"/>
        </w:rPr>
      </w:pPr>
      <w:hyperlink w:anchor="_Toc52873760" w:history="1">
        <w:r w:rsidRPr="009E27E4">
          <w:rPr>
            <w:rStyle w:val="Lienhypertexte"/>
            <w:rFonts w:eastAsia="Times New Roman" w:cs="Arial"/>
            <w:i/>
            <w:noProof/>
            <w:sz w:val="20"/>
            <w:szCs w:val="20"/>
            <w:lang w:eastAsia="fr-FR"/>
          </w:rPr>
          <w:t>Tableau 36 : Interrelations entre activités du projet et composantes susceptibles d’être affectées</w:t>
        </w:r>
        <w:r w:rsidRPr="009E27E4">
          <w:rPr>
            <w:rFonts w:cs="Arial"/>
            <w:i/>
            <w:noProof/>
            <w:webHidden/>
            <w:sz w:val="20"/>
            <w:szCs w:val="20"/>
          </w:rPr>
          <w:tab/>
        </w:r>
        <w:r w:rsidRPr="009E27E4">
          <w:rPr>
            <w:rFonts w:cs="Arial"/>
            <w:i/>
            <w:noProof/>
            <w:webHidden/>
            <w:sz w:val="20"/>
            <w:szCs w:val="20"/>
          </w:rPr>
          <w:fldChar w:fldCharType="begin"/>
        </w:r>
        <w:r w:rsidRPr="009E27E4">
          <w:rPr>
            <w:rFonts w:cs="Arial"/>
            <w:i/>
            <w:noProof/>
            <w:webHidden/>
            <w:sz w:val="20"/>
            <w:szCs w:val="20"/>
          </w:rPr>
          <w:instrText xml:space="preserve"> PAGEREF _Toc52873760 \h </w:instrText>
        </w:r>
        <w:r w:rsidRPr="009E27E4">
          <w:rPr>
            <w:rFonts w:cs="Arial"/>
            <w:i/>
            <w:noProof/>
            <w:webHidden/>
            <w:sz w:val="20"/>
            <w:szCs w:val="20"/>
          </w:rPr>
        </w:r>
        <w:r w:rsidRPr="009E27E4">
          <w:rPr>
            <w:rFonts w:cs="Arial"/>
            <w:i/>
            <w:noProof/>
            <w:webHidden/>
            <w:sz w:val="20"/>
            <w:szCs w:val="20"/>
          </w:rPr>
          <w:fldChar w:fldCharType="separate"/>
        </w:r>
        <w:r w:rsidRPr="009E27E4">
          <w:rPr>
            <w:rFonts w:cs="Arial"/>
            <w:i/>
            <w:noProof/>
            <w:webHidden/>
            <w:sz w:val="20"/>
            <w:szCs w:val="20"/>
          </w:rPr>
          <w:t>119</w:t>
        </w:r>
        <w:r w:rsidRPr="009E27E4">
          <w:rPr>
            <w:rFonts w:cs="Arial"/>
            <w:i/>
            <w:noProof/>
            <w:webHidden/>
            <w:sz w:val="20"/>
            <w:szCs w:val="20"/>
          </w:rPr>
          <w:fldChar w:fldCharType="end"/>
        </w:r>
      </w:hyperlink>
    </w:p>
    <w:p w14:paraId="07F9D7F5" w14:textId="04D777F7" w:rsidR="009E27E4" w:rsidRPr="009E27E4" w:rsidRDefault="009E27E4" w:rsidP="009E27E4">
      <w:pPr>
        <w:pStyle w:val="Tabledesillustrations"/>
        <w:tabs>
          <w:tab w:val="right" w:leader="dot" w:pos="9345"/>
        </w:tabs>
        <w:spacing w:before="80"/>
        <w:rPr>
          <w:rFonts w:eastAsiaTheme="minorEastAsia" w:cs="Arial"/>
          <w:i/>
          <w:noProof/>
          <w:sz w:val="20"/>
          <w:szCs w:val="20"/>
          <w:lang w:eastAsia="fr-FR"/>
        </w:rPr>
      </w:pPr>
      <w:hyperlink w:anchor="_Toc52873761" w:history="1">
        <w:r w:rsidRPr="009E27E4">
          <w:rPr>
            <w:rStyle w:val="Lienhypertexte"/>
            <w:rFonts w:eastAsia="Times New Roman" w:cs="Arial"/>
            <w:i/>
            <w:noProof/>
            <w:sz w:val="20"/>
            <w:szCs w:val="20"/>
            <w:lang w:eastAsia="fr-FR"/>
          </w:rPr>
          <w:t>Tableau 37 : Impacts positifs du projet</w:t>
        </w:r>
        <w:r w:rsidRPr="009E27E4">
          <w:rPr>
            <w:rFonts w:cs="Arial"/>
            <w:i/>
            <w:noProof/>
            <w:webHidden/>
            <w:sz w:val="20"/>
            <w:szCs w:val="20"/>
          </w:rPr>
          <w:tab/>
        </w:r>
        <w:r w:rsidRPr="009E27E4">
          <w:rPr>
            <w:rFonts w:cs="Arial"/>
            <w:i/>
            <w:noProof/>
            <w:webHidden/>
            <w:sz w:val="20"/>
            <w:szCs w:val="20"/>
          </w:rPr>
          <w:fldChar w:fldCharType="begin"/>
        </w:r>
        <w:r w:rsidRPr="009E27E4">
          <w:rPr>
            <w:rFonts w:cs="Arial"/>
            <w:i/>
            <w:noProof/>
            <w:webHidden/>
            <w:sz w:val="20"/>
            <w:szCs w:val="20"/>
          </w:rPr>
          <w:instrText xml:space="preserve"> PAGEREF _Toc52873761 \h </w:instrText>
        </w:r>
        <w:r w:rsidRPr="009E27E4">
          <w:rPr>
            <w:rFonts w:cs="Arial"/>
            <w:i/>
            <w:noProof/>
            <w:webHidden/>
            <w:sz w:val="20"/>
            <w:szCs w:val="20"/>
          </w:rPr>
        </w:r>
        <w:r w:rsidRPr="009E27E4">
          <w:rPr>
            <w:rFonts w:cs="Arial"/>
            <w:i/>
            <w:noProof/>
            <w:webHidden/>
            <w:sz w:val="20"/>
            <w:szCs w:val="20"/>
          </w:rPr>
          <w:fldChar w:fldCharType="separate"/>
        </w:r>
        <w:r w:rsidRPr="009E27E4">
          <w:rPr>
            <w:rFonts w:cs="Arial"/>
            <w:i/>
            <w:noProof/>
            <w:webHidden/>
            <w:sz w:val="20"/>
            <w:szCs w:val="20"/>
          </w:rPr>
          <w:t>122</w:t>
        </w:r>
        <w:r w:rsidRPr="009E27E4">
          <w:rPr>
            <w:rFonts w:cs="Arial"/>
            <w:i/>
            <w:noProof/>
            <w:webHidden/>
            <w:sz w:val="20"/>
            <w:szCs w:val="20"/>
          </w:rPr>
          <w:fldChar w:fldCharType="end"/>
        </w:r>
      </w:hyperlink>
    </w:p>
    <w:p w14:paraId="16DE89AE" w14:textId="346549CA" w:rsidR="009E27E4" w:rsidRPr="009E27E4" w:rsidRDefault="009E27E4" w:rsidP="009E27E4">
      <w:pPr>
        <w:pStyle w:val="Tabledesillustrations"/>
        <w:tabs>
          <w:tab w:val="right" w:leader="dot" w:pos="9345"/>
        </w:tabs>
        <w:spacing w:before="80"/>
        <w:rPr>
          <w:rFonts w:eastAsiaTheme="minorEastAsia" w:cs="Arial"/>
          <w:i/>
          <w:noProof/>
          <w:sz w:val="20"/>
          <w:szCs w:val="20"/>
          <w:lang w:eastAsia="fr-FR"/>
        </w:rPr>
      </w:pPr>
      <w:hyperlink w:anchor="_Toc52873762" w:history="1">
        <w:r w:rsidRPr="009E27E4">
          <w:rPr>
            <w:rStyle w:val="Lienhypertexte"/>
            <w:rFonts w:eastAsia="Times New Roman" w:cs="Arial"/>
            <w:i/>
            <w:noProof/>
            <w:sz w:val="20"/>
            <w:szCs w:val="20"/>
            <w:lang w:eastAsia="fr-FR"/>
          </w:rPr>
          <w:t>Tableau 38 : Identification des impacts négatifs : phase préparatoire</w:t>
        </w:r>
        <w:r w:rsidRPr="009E27E4">
          <w:rPr>
            <w:rFonts w:cs="Arial"/>
            <w:i/>
            <w:noProof/>
            <w:webHidden/>
            <w:sz w:val="20"/>
            <w:szCs w:val="20"/>
          </w:rPr>
          <w:tab/>
        </w:r>
        <w:r w:rsidRPr="009E27E4">
          <w:rPr>
            <w:rFonts w:cs="Arial"/>
            <w:i/>
            <w:noProof/>
            <w:webHidden/>
            <w:sz w:val="20"/>
            <w:szCs w:val="20"/>
          </w:rPr>
          <w:fldChar w:fldCharType="begin"/>
        </w:r>
        <w:r w:rsidRPr="009E27E4">
          <w:rPr>
            <w:rFonts w:cs="Arial"/>
            <w:i/>
            <w:noProof/>
            <w:webHidden/>
            <w:sz w:val="20"/>
            <w:szCs w:val="20"/>
          </w:rPr>
          <w:instrText xml:space="preserve"> PAGEREF _Toc52873762 \h </w:instrText>
        </w:r>
        <w:r w:rsidRPr="009E27E4">
          <w:rPr>
            <w:rFonts w:cs="Arial"/>
            <w:i/>
            <w:noProof/>
            <w:webHidden/>
            <w:sz w:val="20"/>
            <w:szCs w:val="20"/>
          </w:rPr>
        </w:r>
        <w:r w:rsidRPr="009E27E4">
          <w:rPr>
            <w:rFonts w:cs="Arial"/>
            <w:i/>
            <w:noProof/>
            <w:webHidden/>
            <w:sz w:val="20"/>
            <w:szCs w:val="20"/>
          </w:rPr>
          <w:fldChar w:fldCharType="separate"/>
        </w:r>
        <w:r w:rsidRPr="009E27E4">
          <w:rPr>
            <w:rFonts w:cs="Arial"/>
            <w:i/>
            <w:noProof/>
            <w:webHidden/>
            <w:sz w:val="20"/>
            <w:szCs w:val="20"/>
          </w:rPr>
          <w:t>126</w:t>
        </w:r>
        <w:r w:rsidRPr="009E27E4">
          <w:rPr>
            <w:rFonts w:cs="Arial"/>
            <w:i/>
            <w:noProof/>
            <w:webHidden/>
            <w:sz w:val="20"/>
            <w:szCs w:val="20"/>
          </w:rPr>
          <w:fldChar w:fldCharType="end"/>
        </w:r>
      </w:hyperlink>
    </w:p>
    <w:p w14:paraId="72548A1C" w14:textId="67A457F6" w:rsidR="009E27E4" w:rsidRPr="009E27E4" w:rsidRDefault="009E27E4" w:rsidP="009E27E4">
      <w:pPr>
        <w:pStyle w:val="Tabledesillustrations"/>
        <w:tabs>
          <w:tab w:val="right" w:leader="dot" w:pos="9345"/>
        </w:tabs>
        <w:spacing w:before="80"/>
        <w:rPr>
          <w:rFonts w:eastAsiaTheme="minorEastAsia" w:cs="Arial"/>
          <w:i/>
          <w:noProof/>
          <w:sz w:val="20"/>
          <w:szCs w:val="20"/>
          <w:lang w:eastAsia="fr-FR"/>
        </w:rPr>
      </w:pPr>
      <w:hyperlink w:anchor="_Toc52873763" w:history="1">
        <w:r w:rsidRPr="009E27E4">
          <w:rPr>
            <w:rStyle w:val="Lienhypertexte"/>
            <w:rFonts w:eastAsia="Times New Roman" w:cs="Arial"/>
            <w:i/>
            <w:noProof/>
            <w:sz w:val="20"/>
            <w:szCs w:val="20"/>
            <w:lang w:eastAsia="fr-FR"/>
          </w:rPr>
          <w:t xml:space="preserve">Tableau 39 </w:t>
        </w:r>
        <w:r w:rsidRPr="009E27E4">
          <w:rPr>
            <w:rStyle w:val="Lienhypertexte"/>
            <w:rFonts w:cs="Arial"/>
            <w:i/>
            <w:noProof/>
            <w:sz w:val="20"/>
            <w:szCs w:val="20"/>
          </w:rPr>
          <w:t>:</w:t>
        </w:r>
        <w:r w:rsidRPr="009E27E4">
          <w:rPr>
            <w:rStyle w:val="Lienhypertexte"/>
            <w:rFonts w:eastAsia="Times New Roman" w:cs="Arial"/>
            <w:i/>
            <w:noProof/>
            <w:sz w:val="20"/>
            <w:szCs w:val="20"/>
            <w:lang w:eastAsia="fr-FR"/>
          </w:rPr>
          <w:t xml:space="preserve"> Identification des impacts négatifs potentiels de la phase  de construction</w:t>
        </w:r>
        <w:r w:rsidRPr="009E27E4">
          <w:rPr>
            <w:rFonts w:cs="Arial"/>
            <w:i/>
            <w:noProof/>
            <w:webHidden/>
            <w:sz w:val="20"/>
            <w:szCs w:val="20"/>
          </w:rPr>
          <w:tab/>
        </w:r>
        <w:r w:rsidRPr="009E27E4">
          <w:rPr>
            <w:rFonts w:cs="Arial"/>
            <w:i/>
            <w:noProof/>
            <w:webHidden/>
            <w:sz w:val="20"/>
            <w:szCs w:val="20"/>
          </w:rPr>
          <w:fldChar w:fldCharType="begin"/>
        </w:r>
        <w:r w:rsidRPr="009E27E4">
          <w:rPr>
            <w:rFonts w:cs="Arial"/>
            <w:i/>
            <w:noProof/>
            <w:webHidden/>
            <w:sz w:val="20"/>
            <w:szCs w:val="20"/>
          </w:rPr>
          <w:instrText xml:space="preserve"> PAGEREF _Toc52873763 \h </w:instrText>
        </w:r>
        <w:r w:rsidRPr="009E27E4">
          <w:rPr>
            <w:rFonts w:cs="Arial"/>
            <w:i/>
            <w:noProof/>
            <w:webHidden/>
            <w:sz w:val="20"/>
            <w:szCs w:val="20"/>
          </w:rPr>
        </w:r>
        <w:r w:rsidRPr="009E27E4">
          <w:rPr>
            <w:rFonts w:cs="Arial"/>
            <w:i/>
            <w:noProof/>
            <w:webHidden/>
            <w:sz w:val="20"/>
            <w:szCs w:val="20"/>
          </w:rPr>
          <w:fldChar w:fldCharType="separate"/>
        </w:r>
        <w:r w:rsidRPr="009E27E4">
          <w:rPr>
            <w:rFonts w:cs="Arial"/>
            <w:i/>
            <w:noProof/>
            <w:webHidden/>
            <w:sz w:val="20"/>
            <w:szCs w:val="20"/>
          </w:rPr>
          <w:t>129</w:t>
        </w:r>
        <w:r w:rsidRPr="009E27E4">
          <w:rPr>
            <w:rFonts w:cs="Arial"/>
            <w:i/>
            <w:noProof/>
            <w:webHidden/>
            <w:sz w:val="20"/>
            <w:szCs w:val="20"/>
          </w:rPr>
          <w:fldChar w:fldCharType="end"/>
        </w:r>
      </w:hyperlink>
    </w:p>
    <w:p w14:paraId="30435354" w14:textId="540A905C" w:rsidR="009E27E4" w:rsidRPr="009E27E4" w:rsidRDefault="009E27E4" w:rsidP="009E27E4">
      <w:pPr>
        <w:pStyle w:val="Tabledesillustrations"/>
        <w:tabs>
          <w:tab w:val="right" w:leader="dot" w:pos="9345"/>
        </w:tabs>
        <w:spacing w:before="80"/>
        <w:rPr>
          <w:rFonts w:eastAsiaTheme="minorEastAsia" w:cs="Arial"/>
          <w:i/>
          <w:noProof/>
          <w:sz w:val="20"/>
          <w:szCs w:val="20"/>
          <w:lang w:eastAsia="fr-FR"/>
        </w:rPr>
      </w:pPr>
      <w:hyperlink w:anchor="_Toc52873764" w:history="1">
        <w:r w:rsidRPr="009E27E4">
          <w:rPr>
            <w:rStyle w:val="Lienhypertexte"/>
            <w:rFonts w:eastAsia="Times New Roman" w:cs="Arial"/>
            <w:i/>
            <w:noProof/>
            <w:sz w:val="20"/>
            <w:szCs w:val="20"/>
            <w:lang w:eastAsia="fr-FR"/>
          </w:rPr>
          <w:t xml:space="preserve">Tableau 40 </w:t>
        </w:r>
        <w:r w:rsidRPr="009E27E4">
          <w:rPr>
            <w:rStyle w:val="Lienhypertexte"/>
            <w:rFonts w:cs="Arial"/>
            <w:i/>
            <w:noProof/>
            <w:sz w:val="20"/>
            <w:szCs w:val="20"/>
          </w:rPr>
          <w:t xml:space="preserve">: </w:t>
        </w:r>
        <w:r w:rsidRPr="009E27E4">
          <w:rPr>
            <w:rStyle w:val="Lienhypertexte"/>
            <w:rFonts w:eastAsia="Times New Roman" w:cs="Arial"/>
            <w:i/>
            <w:noProof/>
            <w:sz w:val="20"/>
            <w:szCs w:val="20"/>
            <w:lang w:eastAsia="fr-FR"/>
          </w:rPr>
          <w:t>Identification des impacts négatifs : phase  d’exploitation et d’entretien</w:t>
        </w:r>
        <w:r w:rsidRPr="009E27E4">
          <w:rPr>
            <w:rFonts w:cs="Arial"/>
            <w:i/>
            <w:noProof/>
            <w:webHidden/>
            <w:sz w:val="20"/>
            <w:szCs w:val="20"/>
          </w:rPr>
          <w:tab/>
        </w:r>
        <w:r w:rsidRPr="009E27E4">
          <w:rPr>
            <w:rFonts w:cs="Arial"/>
            <w:i/>
            <w:noProof/>
            <w:webHidden/>
            <w:sz w:val="20"/>
            <w:szCs w:val="20"/>
          </w:rPr>
          <w:fldChar w:fldCharType="begin"/>
        </w:r>
        <w:r w:rsidRPr="009E27E4">
          <w:rPr>
            <w:rFonts w:cs="Arial"/>
            <w:i/>
            <w:noProof/>
            <w:webHidden/>
            <w:sz w:val="20"/>
            <w:szCs w:val="20"/>
          </w:rPr>
          <w:instrText xml:space="preserve"> PAGEREF _Toc52873764 \h </w:instrText>
        </w:r>
        <w:r w:rsidRPr="009E27E4">
          <w:rPr>
            <w:rFonts w:cs="Arial"/>
            <w:i/>
            <w:noProof/>
            <w:webHidden/>
            <w:sz w:val="20"/>
            <w:szCs w:val="20"/>
          </w:rPr>
        </w:r>
        <w:r w:rsidRPr="009E27E4">
          <w:rPr>
            <w:rFonts w:cs="Arial"/>
            <w:i/>
            <w:noProof/>
            <w:webHidden/>
            <w:sz w:val="20"/>
            <w:szCs w:val="20"/>
          </w:rPr>
          <w:fldChar w:fldCharType="separate"/>
        </w:r>
        <w:r w:rsidRPr="009E27E4">
          <w:rPr>
            <w:rFonts w:cs="Arial"/>
            <w:i/>
            <w:noProof/>
            <w:webHidden/>
            <w:sz w:val="20"/>
            <w:szCs w:val="20"/>
          </w:rPr>
          <w:t>138</w:t>
        </w:r>
        <w:r w:rsidRPr="009E27E4">
          <w:rPr>
            <w:rFonts w:cs="Arial"/>
            <w:i/>
            <w:noProof/>
            <w:webHidden/>
            <w:sz w:val="20"/>
            <w:szCs w:val="20"/>
          </w:rPr>
          <w:fldChar w:fldCharType="end"/>
        </w:r>
      </w:hyperlink>
    </w:p>
    <w:p w14:paraId="21E07A6F" w14:textId="4A11508C" w:rsidR="009E27E4" w:rsidRPr="009E27E4" w:rsidRDefault="009E27E4" w:rsidP="009E27E4">
      <w:pPr>
        <w:pStyle w:val="Tabledesillustrations"/>
        <w:tabs>
          <w:tab w:val="right" w:leader="dot" w:pos="9345"/>
        </w:tabs>
        <w:spacing w:before="80"/>
        <w:rPr>
          <w:rFonts w:eastAsiaTheme="minorEastAsia" w:cs="Arial"/>
          <w:i/>
          <w:noProof/>
          <w:sz w:val="20"/>
          <w:szCs w:val="20"/>
          <w:lang w:eastAsia="fr-FR"/>
        </w:rPr>
      </w:pPr>
      <w:hyperlink w:anchor="_Toc52873765" w:history="1">
        <w:r w:rsidRPr="009E27E4">
          <w:rPr>
            <w:rStyle w:val="Lienhypertexte"/>
            <w:rFonts w:eastAsia="Times New Roman" w:cs="Arial"/>
            <w:i/>
            <w:noProof/>
            <w:sz w:val="20"/>
            <w:szCs w:val="20"/>
            <w:lang w:eastAsia="fr-FR"/>
          </w:rPr>
          <w:t>Tableau 41 : Tableau de synthèse des impacts et mesures</w:t>
        </w:r>
        <w:r w:rsidRPr="009E27E4">
          <w:rPr>
            <w:rFonts w:cs="Arial"/>
            <w:i/>
            <w:noProof/>
            <w:webHidden/>
            <w:sz w:val="20"/>
            <w:szCs w:val="20"/>
          </w:rPr>
          <w:tab/>
        </w:r>
        <w:r w:rsidRPr="009E27E4">
          <w:rPr>
            <w:rFonts w:cs="Arial"/>
            <w:i/>
            <w:noProof/>
            <w:webHidden/>
            <w:sz w:val="20"/>
            <w:szCs w:val="20"/>
          </w:rPr>
          <w:fldChar w:fldCharType="begin"/>
        </w:r>
        <w:r w:rsidRPr="009E27E4">
          <w:rPr>
            <w:rFonts w:cs="Arial"/>
            <w:i/>
            <w:noProof/>
            <w:webHidden/>
            <w:sz w:val="20"/>
            <w:szCs w:val="20"/>
          </w:rPr>
          <w:instrText xml:space="preserve"> PAGEREF _Toc52873765 \h </w:instrText>
        </w:r>
        <w:r w:rsidRPr="009E27E4">
          <w:rPr>
            <w:rFonts w:cs="Arial"/>
            <w:i/>
            <w:noProof/>
            <w:webHidden/>
            <w:sz w:val="20"/>
            <w:szCs w:val="20"/>
          </w:rPr>
        </w:r>
        <w:r w:rsidRPr="009E27E4">
          <w:rPr>
            <w:rFonts w:cs="Arial"/>
            <w:i/>
            <w:noProof/>
            <w:webHidden/>
            <w:sz w:val="20"/>
            <w:szCs w:val="20"/>
          </w:rPr>
          <w:fldChar w:fldCharType="separate"/>
        </w:r>
        <w:r w:rsidRPr="009E27E4">
          <w:rPr>
            <w:rFonts w:cs="Arial"/>
            <w:i/>
            <w:noProof/>
            <w:webHidden/>
            <w:sz w:val="20"/>
            <w:szCs w:val="20"/>
          </w:rPr>
          <w:t>141</w:t>
        </w:r>
        <w:r w:rsidRPr="009E27E4">
          <w:rPr>
            <w:rFonts w:cs="Arial"/>
            <w:i/>
            <w:noProof/>
            <w:webHidden/>
            <w:sz w:val="20"/>
            <w:szCs w:val="20"/>
          </w:rPr>
          <w:fldChar w:fldCharType="end"/>
        </w:r>
      </w:hyperlink>
    </w:p>
    <w:p w14:paraId="3BC5C1A7" w14:textId="21B772C9" w:rsidR="009E27E4" w:rsidRPr="009E27E4" w:rsidRDefault="009E27E4" w:rsidP="009E27E4">
      <w:pPr>
        <w:pStyle w:val="Tabledesillustrations"/>
        <w:tabs>
          <w:tab w:val="right" w:leader="dot" w:pos="9345"/>
        </w:tabs>
        <w:spacing w:before="80"/>
        <w:rPr>
          <w:rFonts w:eastAsiaTheme="minorEastAsia" w:cs="Arial"/>
          <w:i/>
          <w:noProof/>
          <w:sz w:val="20"/>
          <w:szCs w:val="20"/>
          <w:lang w:eastAsia="fr-FR"/>
        </w:rPr>
      </w:pPr>
      <w:hyperlink w:anchor="_Toc52873766" w:history="1">
        <w:r w:rsidRPr="009E27E4">
          <w:rPr>
            <w:rStyle w:val="Lienhypertexte"/>
            <w:rFonts w:eastAsia="Times New Roman" w:cs="Arial"/>
            <w:i/>
            <w:noProof/>
            <w:sz w:val="20"/>
            <w:szCs w:val="20"/>
            <w:lang w:eastAsia="fr-FR"/>
          </w:rPr>
          <w:t>Tableau 42 : Grille d’évaluation des risques</w:t>
        </w:r>
        <w:r w:rsidRPr="009E27E4">
          <w:rPr>
            <w:rFonts w:cs="Arial"/>
            <w:i/>
            <w:noProof/>
            <w:webHidden/>
            <w:sz w:val="20"/>
            <w:szCs w:val="20"/>
          </w:rPr>
          <w:tab/>
        </w:r>
        <w:r w:rsidRPr="009E27E4">
          <w:rPr>
            <w:rFonts w:cs="Arial"/>
            <w:i/>
            <w:noProof/>
            <w:webHidden/>
            <w:sz w:val="20"/>
            <w:szCs w:val="20"/>
          </w:rPr>
          <w:fldChar w:fldCharType="begin"/>
        </w:r>
        <w:r w:rsidRPr="009E27E4">
          <w:rPr>
            <w:rFonts w:cs="Arial"/>
            <w:i/>
            <w:noProof/>
            <w:webHidden/>
            <w:sz w:val="20"/>
            <w:szCs w:val="20"/>
          </w:rPr>
          <w:instrText xml:space="preserve"> PAGEREF _Toc52873766 \h </w:instrText>
        </w:r>
        <w:r w:rsidRPr="009E27E4">
          <w:rPr>
            <w:rFonts w:cs="Arial"/>
            <w:i/>
            <w:noProof/>
            <w:webHidden/>
            <w:sz w:val="20"/>
            <w:szCs w:val="20"/>
          </w:rPr>
        </w:r>
        <w:r w:rsidRPr="009E27E4">
          <w:rPr>
            <w:rFonts w:cs="Arial"/>
            <w:i/>
            <w:noProof/>
            <w:webHidden/>
            <w:sz w:val="20"/>
            <w:szCs w:val="20"/>
          </w:rPr>
          <w:fldChar w:fldCharType="separate"/>
        </w:r>
        <w:r w:rsidRPr="009E27E4">
          <w:rPr>
            <w:rFonts w:cs="Arial"/>
            <w:i/>
            <w:noProof/>
            <w:webHidden/>
            <w:sz w:val="20"/>
            <w:szCs w:val="20"/>
          </w:rPr>
          <w:t>157</w:t>
        </w:r>
        <w:r w:rsidRPr="009E27E4">
          <w:rPr>
            <w:rFonts w:cs="Arial"/>
            <w:i/>
            <w:noProof/>
            <w:webHidden/>
            <w:sz w:val="20"/>
            <w:szCs w:val="20"/>
          </w:rPr>
          <w:fldChar w:fldCharType="end"/>
        </w:r>
      </w:hyperlink>
    </w:p>
    <w:p w14:paraId="2CA2E887" w14:textId="46384EFB" w:rsidR="009E27E4" w:rsidRPr="009E27E4" w:rsidRDefault="009E27E4" w:rsidP="009E27E4">
      <w:pPr>
        <w:pStyle w:val="Tabledesillustrations"/>
        <w:tabs>
          <w:tab w:val="right" w:leader="dot" w:pos="9345"/>
        </w:tabs>
        <w:spacing w:before="80"/>
        <w:rPr>
          <w:rFonts w:eastAsiaTheme="minorEastAsia" w:cs="Arial"/>
          <w:i/>
          <w:noProof/>
          <w:sz w:val="20"/>
          <w:szCs w:val="20"/>
          <w:lang w:eastAsia="fr-FR"/>
        </w:rPr>
      </w:pPr>
      <w:hyperlink w:anchor="_Toc52873767" w:history="1">
        <w:r w:rsidRPr="009E27E4">
          <w:rPr>
            <w:rStyle w:val="Lienhypertexte"/>
            <w:rFonts w:cs="Arial"/>
            <w:i/>
            <w:noProof/>
            <w:sz w:val="20"/>
            <w:szCs w:val="20"/>
          </w:rPr>
          <w:t>Tableau 43</w:t>
        </w:r>
        <w:r w:rsidRPr="009E27E4">
          <w:rPr>
            <w:rStyle w:val="Lienhypertexte"/>
            <w:rFonts w:eastAsia="Calibri" w:cs="Arial"/>
            <w:i/>
            <w:noProof/>
            <w:sz w:val="20"/>
            <w:szCs w:val="20"/>
            <w:lang w:eastAsia="de-DE"/>
          </w:rPr>
          <w:t xml:space="preserve"> : Matrice d’évaluation des risques</w:t>
        </w:r>
        <w:r w:rsidRPr="009E27E4">
          <w:rPr>
            <w:rFonts w:cs="Arial"/>
            <w:i/>
            <w:noProof/>
            <w:webHidden/>
            <w:sz w:val="20"/>
            <w:szCs w:val="20"/>
          </w:rPr>
          <w:tab/>
        </w:r>
        <w:r w:rsidRPr="009E27E4">
          <w:rPr>
            <w:rFonts w:cs="Arial"/>
            <w:i/>
            <w:noProof/>
            <w:webHidden/>
            <w:sz w:val="20"/>
            <w:szCs w:val="20"/>
          </w:rPr>
          <w:fldChar w:fldCharType="begin"/>
        </w:r>
        <w:r w:rsidRPr="009E27E4">
          <w:rPr>
            <w:rFonts w:cs="Arial"/>
            <w:i/>
            <w:noProof/>
            <w:webHidden/>
            <w:sz w:val="20"/>
            <w:szCs w:val="20"/>
          </w:rPr>
          <w:instrText xml:space="preserve"> PAGEREF _Toc52873767 \h </w:instrText>
        </w:r>
        <w:r w:rsidRPr="009E27E4">
          <w:rPr>
            <w:rFonts w:cs="Arial"/>
            <w:i/>
            <w:noProof/>
            <w:webHidden/>
            <w:sz w:val="20"/>
            <w:szCs w:val="20"/>
          </w:rPr>
        </w:r>
        <w:r w:rsidRPr="009E27E4">
          <w:rPr>
            <w:rFonts w:cs="Arial"/>
            <w:i/>
            <w:noProof/>
            <w:webHidden/>
            <w:sz w:val="20"/>
            <w:szCs w:val="20"/>
          </w:rPr>
          <w:fldChar w:fldCharType="separate"/>
        </w:r>
        <w:r w:rsidRPr="009E27E4">
          <w:rPr>
            <w:rFonts w:cs="Arial"/>
            <w:i/>
            <w:noProof/>
            <w:webHidden/>
            <w:sz w:val="20"/>
            <w:szCs w:val="20"/>
          </w:rPr>
          <w:t>157</w:t>
        </w:r>
        <w:r w:rsidRPr="009E27E4">
          <w:rPr>
            <w:rFonts w:cs="Arial"/>
            <w:i/>
            <w:noProof/>
            <w:webHidden/>
            <w:sz w:val="20"/>
            <w:szCs w:val="20"/>
          </w:rPr>
          <w:fldChar w:fldCharType="end"/>
        </w:r>
      </w:hyperlink>
    </w:p>
    <w:p w14:paraId="00BF5A1D" w14:textId="321EF31A" w:rsidR="009E27E4" w:rsidRPr="009E27E4" w:rsidRDefault="009E27E4" w:rsidP="009E27E4">
      <w:pPr>
        <w:pStyle w:val="Tabledesillustrations"/>
        <w:tabs>
          <w:tab w:val="right" w:leader="dot" w:pos="9345"/>
        </w:tabs>
        <w:spacing w:before="80"/>
        <w:rPr>
          <w:rFonts w:eastAsiaTheme="minorEastAsia" w:cs="Arial"/>
          <w:i/>
          <w:noProof/>
          <w:sz w:val="20"/>
          <w:szCs w:val="20"/>
          <w:lang w:eastAsia="fr-FR"/>
        </w:rPr>
      </w:pPr>
      <w:hyperlink w:anchor="_Toc52873768" w:history="1">
        <w:r w:rsidRPr="009E27E4">
          <w:rPr>
            <w:rStyle w:val="Lienhypertexte"/>
            <w:rFonts w:cs="Arial"/>
            <w:i/>
            <w:noProof/>
            <w:sz w:val="20"/>
            <w:szCs w:val="20"/>
          </w:rPr>
          <w:t>Tableau 44 : Grille d’évaluation des priorités</w:t>
        </w:r>
        <w:r w:rsidRPr="009E27E4">
          <w:rPr>
            <w:rFonts w:cs="Arial"/>
            <w:i/>
            <w:noProof/>
            <w:webHidden/>
            <w:sz w:val="20"/>
            <w:szCs w:val="20"/>
          </w:rPr>
          <w:tab/>
        </w:r>
        <w:r w:rsidRPr="009E27E4">
          <w:rPr>
            <w:rFonts w:cs="Arial"/>
            <w:i/>
            <w:noProof/>
            <w:webHidden/>
            <w:sz w:val="20"/>
            <w:szCs w:val="20"/>
          </w:rPr>
          <w:fldChar w:fldCharType="begin"/>
        </w:r>
        <w:r w:rsidRPr="009E27E4">
          <w:rPr>
            <w:rFonts w:cs="Arial"/>
            <w:i/>
            <w:noProof/>
            <w:webHidden/>
            <w:sz w:val="20"/>
            <w:szCs w:val="20"/>
          </w:rPr>
          <w:instrText xml:space="preserve"> PAGEREF _Toc52873768 \h </w:instrText>
        </w:r>
        <w:r w:rsidRPr="009E27E4">
          <w:rPr>
            <w:rFonts w:cs="Arial"/>
            <w:i/>
            <w:noProof/>
            <w:webHidden/>
            <w:sz w:val="20"/>
            <w:szCs w:val="20"/>
          </w:rPr>
        </w:r>
        <w:r w:rsidRPr="009E27E4">
          <w:rPr>
            <w:rFonts w:cs="Arial"/>
            <w:i/>
            <w:noProof/>
            <w:webHidden/>
            <w:sz w:val="20"/>
            <w:szCs w:val="20"/>
          </w:rPr>
          <w:fldChar w:fldCharType="separate"/>
        </w:r>
        <w:r w:rsidRPr="009E27E4">
          <w:rPr>
            <w:rFonts w:cs="Arial"/>
            <w:i/>
            <w:noProof/>
            <w:webHidden/>
            <w:sz w:val="20"/>
            <w:szCs w:val="20"/>
          </w:rPr>
          <w:t>157</w:t>
        </w:r>
        <w:r w:rsidRPr="009E27E4">
          <w:rPr>
            <w:rFonts w:cs="Arial"/>
            <w:i/>
            <w:noProof/>
            <w:webHidden/>
            <w:sz w:val="20"/>
            <w:szCs w:val="20"/>
          </w:rPr>
          <w:fldChar w:fldCharType="end"/>
        </w:r>
      </w:hyperlink>
    </w:p>
    <w:p w14:paraId="47F0C08F" w14:textId="3598765D" w:rsidR="009E27E4" w:rsidRPr="009E27E4" w:rsidRDefault="009E27E4" w:rsidP="009E27E4">
      <w:pPr>
        <w:pStyle w:val="Tabledesillustrations"/>
        <w:tabs>
          <w:tab w:val="right" w:leader="dot" w:pos="9345"/>
        </w:tabs>
        <w:spacing w:before="80"/>
        <w:rPr>
          <w:rFonts w:eastAsiaTheme="minorEastAsia" w:cs="Arial"/>
          <w:i/>
          <w:noProof/>
          <w:sz w:val="20"/>
          <w:szCs w:val="20"/>
          <w:lang w:eastAsia="fr-FR"/>
        </w:rPr>
      </w:pPr>
      <w:hyperlink w:anchor="_Toc52873769" w:history="1">
        <w:r w:rsidRPr="009E27E4">
          <w:rPr>
            <w:rStyle w:val="Lienhypertexte"/>
            <w:rFonts w:eastAsia="Times New Roman" w:cs="Arial"/>
            <w:i/>
            <w:noProof/>
            <w:sz w:val="20"/>
            <w:szCs w:val="20"/>
            <w:lang w:eastAsia="fr-FR"/>
          </w:rPr>
          <w:t>Tableau 45 : Analyse des risques pour les travaux de déplacement de réseaux divers</w:t>
        </w:r>
        <w:r w:rsidRPr="009E27E4">
          <w:rPr>
            <w:rFonts w:cs="Arial"/>
            <w:i/>
            <w:noProof/>
            <w:webHidden/>
            <w:sz w:val="20"/>
            <w:szCs w:val="20"/>
          </w:rPr>
          <w:tab/>
        </w:r>
        <w:r w:rsidRPr="009E27E4">
          <w:rPr>
            <w:rFonts w:cs="Arial"/>
            <w:i/>
            <w:noProof/>
            <w:webHidden/>
            <w:sz w:val="20"/>
            <w:szCs w:val="20"/>
          </w:rPr>
          <w:fldChar w:fldCharType="begin"/>
        </w:r>
        <w:r w:rsidRPr="009E27E4">
          <w:rPr>
            <w:rFonts w:cs="Arial"/>
            <w:i/>
            <w:noProof/>
            <w:webHidden/>
            <w:sz w:val="20"/>
            <w:szCs w:val="20"/>
          </w:rPr>
          <w:instrText xml:space="preserve"> PAGEREF _Toc52873769 \h </w:instrText>
        </w:r>
        <w:r w:rsidRPr="009E27E4">
          <w:rPr>
            <w:rFonts w:cs="Arial"/>
            <w:i/>
            <w:noProof/>
            <w:webHidden/>
            <w:sz w:val="20"/>
            <w:szCs w:val="20"/>
          </w:rPr>
        </w:r>
        <w:r w:rsidRPr="009E27E4">
          <w:rPr>
            <w:rFonts w:cs="Arial"/>
            <w:i/>
            <w:noProof/>
            <w:webHidden/>
            <w:sz w:val="20"/>
            <w:szCs w:val="20"/>
          </w:rPr>
          <w:fldChar w:fldCharType="separate"/>
        </w:r>
        <w:r w:rsidRPr="009E27E4">
          <w:rPr>
            <w:rFonts w:cs="Arial"/>
            <w:i/>
            <w:noProof/>
            <w:webHidden/>
            <w:sz w:val="20"/>
            <w:szCs w:val="20"/>
          </w:rPr>
          <w:t>158</w:t>
        </w:r>
        <w:r w:rsidRPr="009E27E4">
          <w:rPr>
            <w:rFonts w:cs="Arial"/>
            <w:i/>
            <w:noProof/>
            <w:webHidden/>
            <w:sz w:val="20"/>
            <w:szCs w:val="20"/>
          </w:rPr>
          <w:fldChar w:fldCharType="end"/>
        </w:r>
      </w:hyperlink>
    </w:p>
    <w:p w14:paraId="7A18065D" w14:textId="72E156F8" w:rsidR="009E27E4" w:rsidRPr="009E27E4" w:rsidRDefault="009E27E4" w:rsidP="009E27E4">
      <w:pPr>
        <w:pStyle w:val="Tabledesillustrations"/>
        <w:tabs>
          <w:tab w:val="right" w:leader="dot" w:pos="9345"/>
        </w:tabs>
        <w:spacing w:before="80"/>
        <w:rPr>
          <w:rFonts w:eastAsiaTheme="minorEastAsia" w:cs="Arial"/>
          <w:i/>
          <w:noProof/>
          <w:sz w:val="20"/>
          <w:szCs w:val="20"/>
          <w:lang w:eastAsia="fr-FR"/>
        </w:rPr>
      </w:pPr>
      <w:hyperlink w:anchor="_Toc52873770" w:history="1">
        <w:r w:rsidRPr="009E27E4">
          <w:rPr>
            <w:rStyle w:val="Lienhypertexte"/>
            <w:rFonts w:cs="Arial"/>
            <w:i/>
            <w:noProof/>
            <w:sz w:val="20"/>
            <w:szCs w:val="20"/>
          </w:rPr>
          <w:t>Tableau 46 : Analyse des risques pour les travaux d’aménagement des déviations</w:t>
        </w:r>
        <w:r w:rsidRPr="009E27E4">
          <w:rPr>
            <w:rFonts w:cs="Arial"/>
            <w:i/>
            <w:noProof/>
            <w:webHidden/>
            <w:sz w:val="20"/>
            <w:szCs w:val="20"/>
          </w:rPr>
          <w:tab/>
        </w:r>
        <w:r w:rsidRPr="009E27E4">
          <w:rPr>
            <w:rFonts w:cs="Arial"/>
            <w:i/>
            <w:noProof/>
            <w:webHidden/>
            <w:sz w:val="20"/>
            <w:szCs w:val="20"/>
          </w:rPr>
          <w:fldChar w:fldCharType="begin"/>
        </w:r>
        <w:r w:rsidRPr="009E27E4">
          <w:rPr>
            <w:rFonts w:cs="Arial"/>
            <w:i/>
            <w:noProof/>
            <w:webHidden/>
            <w:sz w:val="20"/>
            <w:szCs w:val="20"/>
          </w:rPr>
          <w:instrText xml:space="preserve"> PAGEREF _Toc52873770 \h </w:instrText>
        </w:r>
        <w:r w:rsidRPr="009E27E4">
          <w:rPr>
            <w:rFonts w:cs="Arial"/>
            <w:i/>
            <w:noProof/>
            <w:webHidden/>
            <w:sz w:val="20"/>
            <w:szCs w:val="20"/>
          </w:rPr>
        </w:r>
        <w:r w:rsidRPr="009E27E4">
          <w:rPr>
            <w:rFonts w:cs="Arial"/>
            <w:i/>
            <w:noProof/>
            <w:webHidden/>
            <w:sz w:val="20"/>
            <w:szCs w:val="20"/>
          </w:rPr>
          <w:fldChar w:fldCharType="separate"/>
        </w:r>
        <w:r w:rsidRPr="009E27E4">
          <w:rPr>
            <w:rFonts w:cs="Arial"/>
            <w:i/>
            <w:noProof/>
            <w:webHidden/>
            <w:sz w:val="20"/>
            <w:szCs w:val="20"/>
          </w:rPr>
          <w:t>159</w:t>
        </w:r>
        <w:r w:rsidRPr="009E27E4">
          <w:rPr>
            <w:rFonts w:cs="Arial"/>
            <w:i/>
            <w:noProof/>
            <w:webHidden/>
            <w:sz w:val="20"/>
            <w:szCs w:val="20"/>
          </w:rPr>
          <w:fldChar w:fldCharType="end"/>
        </w:r>
      </w:hyperlink>
    </w:p>
    <w:p w14:paraId="06B90FFB" w14:textId="148A5E7E" w:rsidR="009E27E4" w:rsidRPr="009E27E4" w:rsidRDefault="009E27E4" w:rsidP="009E27E4">
      <w:pPr>
        <w:pStyle w:val="Tabledesillustrations"/>
        <w:tabs>
          <w:tab w:val="right" w:leader="dot" w:pos="9345"/>
        </w:tabs>
        <w:spacing w:before="80"/>
        <w:rPr>
          <w:rFonts w:eastAsiaTheme="minorEastAsia" w:cs="Arial"/>
          <w:i/>
          <w:noProof/>
          <w:sz w:val="20"/>
          <w:szCs w:val="20"/>
          <w:lang w:eastAsia="fr-FR"/>
        </w:rPr>
      </w:pPr>
      <w:hyperlink w:anchor="_Toc52873771" w:history="1">
        <w:r w:rsidRPr="009E27E4">
          <w:rPr>
            <w:rStyle w:val="Lienhypertexte"/>
            <w:rFonts w:eastAsia="Times New Roman" w:cs="Arial"/>
            <w:i/>
            <w:noProof/>
            <w:sz w:val="20"/>
            <w:szCs w:val="20"/>
            <w:lang w:eastAsia="fr-FR"/>
          </w:rPr>
          <w:t>Tableau 47</w:t>
        </w:r>
        <w:r w:rsidRPr="009E27E4">
          <w:rPr>
            <w:rStyle w:val="Lienhypertexte"/>
            <w:rFonts w:eastAsia="Calibri" w:cs="Arial"/>
            <w:i/>
            <w:noProof/>
            <w:sz w:val="20"/>
            <w:szCs w:val="20"/>
            <w:lang w:eastAsia="fr-FR"/>
          </w:rPr>
          <w:t> : Analyse des risques pour les terrassements, travaux de fouilles  et mise en dépôts des terres</w:t>
        </w:r>
        <w:r w:rsidRPr="009E27E4">
          <w:rPr>
            <w:rFonts w:cs="Arial"/>
            <w:i/>
            <w:noProof/>
            <w:webHidden/>
            <w:sz w:val="20"/>
            <w:szCs w:val="20"/>
          </w:rPr>
          <w:tab/>
        </w:r>
        <w:r w:rsidRPr="009E27E4">
          <w:rPr>
            <w:rFonts w:cs="Arial"/>
            <w:i/>
            <w:noProof/>
            <w:webHidden/>
            <w:sz w:val="20"/>
            <w:szCs w:val="20"/>
          </w:rPr>
          <w:fldChar w:fldCharType="begin"/>
        </w:r>
        <w:r w:rsidRPr="009E27E4">
          <w:rPr>
            <w:rFonts w:cs="Arial"/>
            <w:i/>
            <w:noProof/>
            <w:webHidden/>
            <w:sz w:val="20"/>
            <w:szCs w:val="20"/>
          </w:rPr>
          <w:instrText xml:space="preserve"> PAGEREF _Toc52873771 \h </w:instrText>
        </w:r>
        <w:r w:rsidRPr="009E27E4">
          <w:rPr>
            <w:rFonts w:cs="Arial"/>
            <w:i/>
            <w:noProof/>
            <w:webHidden/>
            <w:sz w:val="20"/>
            <w:szCs w:val="20"/>
          </w:rPr>
        </w:r>
        <w:r w:rsidRPr="009E27E4">
          <w:rPr>
            <w:rFonts w:cs="Arial"/>
            <w:i/>
            <w:noProof/>
            <w:webHidden/>
            <w:sz w:val="20"/>
            <w:szCs w:val="20"/>
          </w:rPr>
          <w:fldChar w:fldCharType="separate"/>
        </w:r>
        <w:r w:rsidRPr="009E27E4">
          <w:rPr>
            <w:rFonts w:cs="Arial"/>
            <w:i/>
            <w:noProof/>
            <w:webHidden/>
            <w:sz w:val="20"/>
            <w:szCs w:val="20"/>
          </w:rPr>
          <w:t>160</w:t>
        </w:r>
        <w:r w:rsidRPr="009E27E4">
          <w:rPr>
            <w:rFonts w:cs="Arial"/>
            <w:i/>
            <w:noProof/>
            <w:webHidden/>
            <w:sz w:val="20"/>
            <w:szCs w:val="20"/>
          </w:rPr>
          <w:fldChar w:fldCharType="end"/>
        </w:r>
      </w:hyperlink>
    </w:p>
    <w:p w14:paraId="04A6BCC5" w14:textId="7D333FB3" w:rsidR="009E27E4" w:rsidRPr="009E27E4" w:rsidRDefault="009E27E4" w:rsidP="009E27E4">
      <w:pPr>
        <w:pStyle w:val="Tabledesillustrations"/>
        <w:tabs>
          <w:tab w:val="right" w:leader="dot" w:pos="9345"/>
        </w:tabs>
        <w:spacing w:before="80"/>
        <w:rPr>
          <w:rFonts w:eastAsiaTheme="minorEastAsia" w:cs="Arial"/>
          <w:i/>
          <w:noProof/>
          <w:sz w:val="20"/>
          <w:szCs w:val="20"/>
          <w:lang w:eastAsia="fr-FR"/>
        </w:rPr>
      </w:pPr>
      <w:hyperlink w:anchor="_Toc52873772" w:history="1">
        <w:r w:rsidRPr="009E27E4">
          <w:rPr>
            <w:rStyle w:val="Lienhypertexte"/>
            <w:rFonts w:cs="Arial"/>
            <w:i/>
            <w:noProof/>
            <w:sz w:val="20"/>
            <w:szCs w:val="20"/>
          </w:rPr>
          <w:t>Tableau 48</w:t>
        </w:r>
        <w:r w:rsidRPr="009E27E4">
          <w:rPr>
            <w:rStyle w:val="Lienhypertexte"/>
            <w:rFonts w:eastAsia="Calibri" w:cs="Arial"/>
            <w:i/>
            <w:noProof/>
            <w:sz w:val="20"/>
            <w:szCs w:val="20"/>
            <w:lang w:eastAsia="de-DE"/>
          </w:rPr>
          <w:t> : Analyse des risques pour les travaux de purge importante et mise en dépôt des produits, transport et mise en remblai des terres</w:t>
        </w:r>
        <w:r w:rsidRPr="009E27E4">
          <w:rPr>
            <w:rFonts w:cs="Arial"/>
            <w:i/>
            <w:noProof/>
            <w:webHidden/>
            <w:sz w:val="20"/>
            <w:szCs w:val="20"/>
          </w:rPr>
          <w:tab/>
        </w:r>
        <w:r w:rsidRPr="009E27E4">
          <w:rPr>
            <w:rFonts w:cs="Arial"/>
            <w:i/>
            <w:noProof/>
            <w:webHidden/>
            <w:sz w:val="20"/>
            <w:szCs w:val="20"/>
          </w:rPr>
          <w:fldChar w:fldCharType="begin"/>
        </w:r>
        <w:r w:rsidRPr="009E27E4">
          <w:rPr>
            <w:rFonts w:cs="Arial"/>
            <w:i/>
            <w:noProof/>
            <w:webHidden/>
            <w:sz w:val="20"/>
            <w:szCs w:val="20"/>
          </w:rPr>
          <w:instrText xml:space="preserve"> PAGEREF _Toc52873772 \h </w:instrText>
        </w:r>
        <w:r w:rsidRPr="009E27E4">
          <w:rPr>
            <w:rFonts w:cs="Arial"/>
            <w:i/>
            <w:noProof/>
            <w:webHidden/>
            <w:sz w:val="20"/>
            <w:szCs w:val="20"/>
          </w:rPr>
        </w:r>
        <w:r w:rsidRPr="009E27E4">
          <w:rPr>
            <w:rFonts w:cs="Arial"/>
            <w:i/>
            <w:noProof/>
            <w:webHidden/>
            <w:sz w:val="20"/>
            <w:szCs w:val="20"/>
          </w:rPr>
          <w:fldChar w:fldCharType="separate"/>
        </w:r>
        <w:r w:rsidRPr="009E27E4">
          <w:rPr>
            <w:rFonts w:cs="Arial"/>
            <w:i/>
            <w:noProof/>
            <w:webHidden/>
            <w:sz w:val="20"/>
            <w:szCs w:val="20"/>
          </w:rPr>
          <w:t>161</w:t>
        </w:r>
        <w:r w:rsidRPr="009E27E4">
          <w:rPr>
            <w:rFonts w:cs="Arial"/>
            <w:i/>
            <w:noProof/>
            <w:webHidden/>
            <w:sz w:val="20"/>
            <w:szCs w:val="20"/>
          </w:rPr>
          <w:fldChar w:fldCharType="end"/>
        </w:r>
      </w:hyperlink>
    </w:p>
    <w:p w14:paraId="0BA487F8" w14:textId="3FF26E48" w:rsidR="009E27E4" w:rsidRPr="009E27E4" w:rsidRDefault="009E27E4" w:rsidP="009E27E4">
      <w:pPr>
        <w:pStyle w:val="Tabledesillustrations"/>
        <w:tabs>
          <w:tab w:val="right" w:leader="dot" w:pos="9345"/>
        </w:tabs>
        <w:spacing w:before="80"/>
        <w:rPr>
          <w:rFonts w:eastAsiaTheme="minorEastAsia" w:cs="Arial"/>
          <w:i/>
          <w:noProof/>
          <w:sz w:val="20"/>
          <w:szCs w:val="20"/>
          <w:lang w:eastAsia="fr-FR"/>
        </w:rPr>
      </w:pPr>
      <w:hyperlink w:anchor="_Toc52873773" w:history="1">
        <w:r w:rsidRPr="009E27E4">
          <w:rPr>
            <w:rStyle w:val="Lienhypertexte"/>
            <w:rFonts w:cs="Arial"/>
            <w:i/>
            <w:noProof/>
            <w:sz w:val="20"/>
            <w:szCs w:val="20"/>
          </w:rPr>
          <w:t xml:space="preserve">Tableau 49 </w:t>
        </w:r>
        <w:r w:rsidRPr="009E27E4">
          <w:rPr>
            <w:rStyle w:val="Lienhypertexte"/>
            <w:rFonts w:eastAsia="Calibri" w:cs="Arial"/>
            <w:i/>
            <w:noProof/>
            <w:sz w:val="20"/>
            <w:szCs w:val="20"/>
            <w:lang w:eastAsia="de-DE"/>
          </w:rPr>
          <w:t>: Analyse des risques pour la dépose de pavé, démolition d’ouvrage d’assainissement existant enterrés et aériens; le remblaiement et la réfection de chaussées</w:t>
        </w:r>
        <w:r w:rsidRPr="009E27E4">
          <w:rPr>
            <w:rFonts w:cs="Arial"/>
            <w:i/>
            <w:noProof/>
            <w:webHidden/>
            <w:sz w:val="20"/>
            <w:szCs w:val="20"/>
          </w:rPr>
          <w:tab/>
        </w:r>
        <w:r w:rsidRPr="009E27E4">
          <w:rPr>
            <w:rFonts w:cs="Arial"/>
            <w:i/>
            <w:noProof/>
            <w:webHidden/>
            <w:sz w:val="20"/>
            <w:szCs w:val="20"/>
          </w:rPr>
          <w:fldChar w:fldCharType="begin"/>
        </w:r>
        <w:r w:rsidRPr="009E27E4">
          <w:rPr>
            <w:rFonts w:cs="Arial"/>
            <w:i/>
            <w:noProof/>
            <w:webHidden/>
            <w:sz w:val="20"/>
            <w:szCs w:val="20"/>
          </w:rPr>
          <w:instrText xml:space="preserve"> PAGEREF _Toc52873773 \h </w:instrText>
        </w:r>
        <w:r w:rsidRPr="009E27E4">
          <w:rPr>
            <w:rFonts w:cs="Arial"/>
            <w:i/>
            <w:noProof/>
            <w:webHidden/>
            <w:sz w:val="20"/>
            <w:szCs w:val="20"/>
          </w:rPr>
        </w:r>
        <w:r w:rsidRPr="009E27E4">
          <w:rPr>
            <w:rFonts w:cs="Arial"/>
            <w:i/>
            <w:noProof/>
            <w:webHidden/>
            <w:sz w:val="20"/>
            <w:szCs w:val="20"/>
          </w:rPr>
          <w:fldChar w:fldCharType="separate"/>
        </w:r>
        <w:r w:rsidRPr="009E27E4">
          <w:rPr>
            <w:rFonts w:cs="Arial"/>
            <w:i/>
            <w:noProof/>
            <w:webHidden/>
            <w:sz w:val="20"/>
            <w:szCs w:val="20"/>
          </w:rPr>
          <w:t>163</w:t>
        </w:r>
        <w:r w:rsidRPr="009E27E4">
          <w:rPr>
            <w:rFonts w:cs="Arial"/>
            <w:i/>
            <w:noProof/>
            <w:webHidden/>
            <w:sz w:val="20"/>
            <w:szCs w:val="20"/>
          </w:rPr>
          <w:fldChar w:fldCharType="end"/>
        </w:r>
      </w:hyperlink>
    </w:p>
    <w:p w14:paraId="4200E3A0" w14:textId="79A0501C" w:rsidR="009E27E4" w:rsidRPr="009E27E4" w:rsidRDefault="009E27E4" w:rsidP="009E27E4">
      <w:pPr>
        <w:pStyle w:val="Tabledesillustrations"/>
        <w:tabs>
          <w:tab w:val="right" w:leader="dot" w:pos="9345"/>
        </w:tabs>
        <w:spacing w:before="80"/>
        <w:rPr>
          <w:rFonts w:eastAsiaTheme="minorEastAsia" w:cs="Arial"/>
          <w:i/>
          <w:noProof/>
          <w:sz w:val="20"/>
          <w:szCs w:val="20"/>
          <w:lang w:eastAsia="fr-FR"/>
        </w:rPr>
      </w:pPr>
      <w:hyperlink w:anchor="_Toc52873774" w:history="1">
        <w:r w:rsidRPr="009E27E4">
          <w:rPr>
            <w:rStyle w:val="Lienhypertexte"/>
            <w:rFonts w:cs="Arial"/>
            <w:i/>
            <w:noProof/>
            <w:sz w:val="20"/>
            <w:szCs w:val="20"/>
          </w:rPr>
          <w:t>Tableau 50 : Analyse des risques pour le gros œuvre</w:t>
        </w:r>
        <w:r w:rsidRPr="009E27E4">
          <w:rPr>
            <w:rFonts w:cs="Arial"/>
            <w:i/>
            <w:noProof/>
            <w:webHidden/>
            <w:sz w:val="20"/>
            <w:szCs w:val="20"/>
          </w:rPr>
          <w:tab/>
        </w:r>
        <w:r w:rsidRPr="009E27E4">
          <w:rPr>
            <w:rFonts w:cs="Arial"/>
            <w:i/>
            <w:noProof/>
            <w:webHidden/>
            <w:sz w:val="20"/>
            <w:szCs w:val="20"/>
          </w:rPr>
          <w:fldChar w:fldCharType="begin"/>
        </w:r>
        <w:r w:rsidRPr="009E27E4">
          <w:rPr>
            <w:rFonts w:cs="Arial"/>
            <w:i/>
            <w:noProof/>
            <w:webHidden/>
            <w:sz w:val="20"/>
            <w:szCs w:val="20"/>
          </w:rPr>
          <w:instrText xml:space="preserve"> PAGEREF _Toc52873774 \h </w:instrText>
        </w:r>
        <w:r w:rsidRPr="009E27E4">
          <w:rPr>
            <w:rFonts w:cs="Arial"/>
            <w:i/>
            <w:noProof/>
            <w:webHidden/>
            <w:sz w:val="20"/>
            <w:szCs w:val="20"/>
          </w:rPr>
        </w:r>
        <w:r w:rsidRPr="009E27E4">
          <w:rPr>
            <w:rFonts w:cs="Arial"/>
            <w:i/>
            <w:noProof/>
            <w:webHidden/>
            <w:sz w:val="20"/>
            <w:szCs w:val="20"/>
          </w:rPr>
          <w:fldChar w:fldCharType="separate"/>
        </w:r>
        <w:r w:rsidRPr="009E27E4">
          <w:rPr>
            <w:rFonts w:cs="Arial"/>
            <w:i/>
            <w:noProof/>
            <w:webHidden/>
            <w:sz w:val="20"/>
            <w:szCs w:val="20"/>
          </w:rPr>
          <w:t>164</w:t>
        </w:r>
        <w:r w:rsidRPr="009E27E4">
          <w:rPr>
            <w:rFonts w:cs="Arial"/>
            <w:i/>
            <w:noProof/>
            <w:webHidden/>
            <w:sz w:val="20"/>
            <w:szCs w:val="20"/>
          </w:rPr>
          <w:fldChar w:fldCharType="end"/>
        </w:r>
      </w:hyperlink>
    </w:p>
    <w:p w14:paraId="3729433F" w14:textId="6195CB72" w:rsidR="009E27E4" w:rsidRPr="009E27E4" w:rsidRDefault="009E27E4" w:rsidP="009E27E4">
      <w:pPr>
        <w:pStyle w:val="Tabledesillustrations"/>
        <w:tabs>
          <w:tab w:val="right" w:leader="dot" w:pos="9345"/>
        </w:tabs>
        <w:spacing w:before="80"/>
        <w:rPr>
          <w:rFonts w:eastAsiaTheme="minorEastAsia" w:cs="Arial"/>
          <w:i/>
          <w:noProof/>
          <w:sz w:val="20"/>
          <w:szCs w:val="20"/>
          <w:lang w:eastAsia="fr-FR"/>
        </w:rPr>
      </w:pPr>
      <w:hyperlink w:anchor="_Toc52873775" w:history="1">
        <w:r w:rsidRPr="009E27E4">
          <w:rPr>
            <w:rStyle w:val="Lienhypertexte"/>
            <w:rFonts w:cs="Arial"/>
            <w:i/>
            <w:noProof/>
            <w:sz w:val="20"/>
            <w:szCs w:val="20"/>
          </w:rPr>
          <w:t>Tableau 51</w:t>
        </w:r>
        <w:r w:rsidRPr="009E27E4">
          <w:rPr>
            <w:rStyle w:val="Lienhypertexte"/>
            <w:rFonts w:eastAsia="Calibri" w:cs="Arial"/>
            <w:i/>
            <w:noProof/>
            <w:sz w:val="20"/>
            <w:szCs w:val="20"/>
            <w:lang w:eastAsia="de-DE"/>
          </w:rPr>
          <w:t> : Analyse des risques pour l’aménagement de la voirie (pose des pavés et aménagement jusqu’aux riverains)</w:t>
        </w:r>
        <w:r w:rsidRPr="009E27E4">
          <w:rPr>
            <w:rFonts w:cs="Arial"/>
            <w:i/>
            <w:noProof/>
            <w:webHidden/>
            <w:sz w:val="20"/>
            <w:szCs w:val="20"/>
          </w:rPr>
          <w:tab/>
        </w:r>
        <w:r w:rsidRPr="009E27E4">
          <w:rPr>
            <w:rFonts w:cs="Arial"/>
            <w:i/>
            <w:noProof/>
            <w:webHidden/>
            <w:sz w:val="20"/>
            <w:szCs w:val="20"/>
          </w:rPr>
          <w:fldChar w:fldCharType="begin"/>
        </w:r>
        <w:r w:rsidRPr="009E27E4">
          <w:rPr>
            <w:rFonts w:cs="Arial"/>
            <w:i/>
            <w:noProof/>
            <w:webHidden/>
            <w:sz w:val="20"/>
            <w:szCs w:val="20"/>
          </w:rPr>
          <w:instrText xml:space="preserve"> PAGEREF _Toc52873775 \h </w:instrText>
        </w:r>
        <w:r w:rsidRPr="009E27E4">
          <w:rPr>
            <w:rFonts w:cs="Arial"/>
            <w:i/>
            <w:noProof/>
            <w:webHidden/>
            <w:sz w:val="20"/>
            <w:szCs w:val="20"/>
          </w:rPr>
        </w:r>
        <w:r w:rsidRPr="009E27E4">
          <w:rPr>
            <w:rFonts w:cs="Arial"/>
            <w:i/>
            <w:noProof/>
            <w:webHidden/>
            <w:sz w:val="20"/>
            <w:szCs w:val="20"/>
          </w:rPr>
          <w:fldChar w:fldCharType="separate"/>
        </w:r>
        <w:r w:rsidRPr="009E27E4">
          <w:rPr>
            <w:rFonts w:cs="Arial"/>
            <w:i/>
            <w:noProof/>
            <w:webHidden/>
            <w:sz w:val="20"/>
            <w:szCs w:val="20"/>
          </w:rPr>
          <w:t>165</w:t>
        </w:r>
        <w:r w:rsidRPr="009E27E4">
          <w:rPr>
            <w:rFonts w:cs="Arial"/>
            <w:i/>
            <w:noProof/>
            <w:webHidden/>
            <w:sz w:val="20"/>
            <w:szCs w:val="20"/>
          </w:rPr>
          <w:fldChar w:fldCharType="end"/>
        </w:r>
      </w:hyperlink>
    </w:p>
    <w:p w14:paraId="4505A4B9" w14:textId="3107020D" w:rsidR="009E27E4" w:rsidRPr="009E27E4" w:rsidRDefault="009E27E4" w:rsidP="009E27E4">
      <w:pPr>
        <w:pStyle w:val="Tabledesillustrations"/>
        <w:tabs>
          <w:tab w:val="right" w:leader="dot" w:pos="9345"/>
        </w:tabs>
        <w:spacing w:before="80"/>
        <w:rPr>
          <w:rFonts w:eastAsiaTheme="minorEastAsia" w:cs="Arial"/>
          <w:i/>
          <w:noProof/>
          <w:sz w:val="20"/>
          <w:szCs w:val="20"/>
          <w:lang w:eastAsia="fr-FR"/>
        </w:rPr>
      </w:pPr>
      <w:hyperlink w:anchor="_Toc52873776" w:history="1">
        <w:r w:rsidRPr="009E27E4">
          <w:rPr>
            <w:rStyle w:val="Lienhypertexte"/>
            <w:rFonts w:cs="Arial"/>
            <w:i/>
            <w:noProof/>
            <w:sz w:val="20"/>
            <w:szCs w:val="20"/>
          </w:rPr>
          <w:t>Tableau 52</w:t>
        </w:r>
        <w:r w:rsidRPr="009E27E4">
          <w:rPr>
            <w:rStyle w:val="Lienhypertexte"/>
            <w:rFonts w:eastAsia="Calibri" w:cs="Arial"/>
            <w:i/>
            <w:noProof/>
            <w:sz w:val="20"/>
            <w:szCs w:val="20"/>
          </w:rPr>
          <w:t> : Analyse des risques liés à la phase d’exploitation</w:t>
        </w:r>
        <w:r w:rsidRPr="009E27E4">
          <w:rPr>
            <w:rFonts w:cs="Arial"/>
            <w:i/>
            <w:noProof/>
            <w:webHidden/>
            <w:sz w:val="20"/>
            <w:szCs w:val="20"/>
          </w:rPr>
          <w:tab/>
        </w:r>
        <w:r w:rsidRPr="009E27E4">
          <w:rPr>
            <w:rFonts w:cs="Arial"/>
            <w:i/>
            <w:noProof/>
            <w:webHidden/>
            <w:sz w:val="20"/>
            <w:szCs w:val="20"/>
          </w:rPr>
          <w:fldChar w:fldCharType="begin"/>
        </w:r>
        <w:r w:rsidRPr="009E27E4">
          <w:rPr>
            <w:rFonts w:cs="Arial"/>
            <w:i/>
            <w:noProof/>
            <w:webHidden/>
            <w:sz w:val="20"/>
            <w:szCs w:val="20"/>
          </w:rPr>
          <w:instrText xml:space="preserve"> PAGEREF _Toc52873776 \h </w:instrText>
        </w:r>
        <w:r w:rsidRPr="009E27E4">
          <w:rPr>
            <w:rFonts w:cs="Arial"/>
            <w:i/>
            <w:noProof/>
            <w:webHidden/>
            <w:sz w:val="20"/>
            <w:szCs w:val="20"/>
          </w:rPr>
        </w:r>
        <w:r w:rsidRPr="009E27E4">
          <w:rPr>
            <w:rFonts w:cs="Arial"/>
            <w:i/>
            <w:noProof/>
            <w:webHidden/>
            <w:sz w:val="20"/>
            <w:szCs w:val="20"/>
          </w:rPr>
          <w:fldChar w:fldCharType="separate"/>
        </w:r>
        <w:r w:rsidRPr="009E27E4">
          <w:rPr>
            <w:rFonts w:cs="Arial"/>
            <w:i/>
            <w:noProof/>
            <w:webHidden/>
            <w:sz w:val="20"/>
            <w:szCs w:val="20"/>
          </w:rPr>
          <w:t>167</w:t>
        </w:r>
        <w:r w:rsidRPr="009E27E4">
          <w:rPr>
            <w:rFonts w:cs="Arial"/>
            <w:i/>
            <w:noProof/>
            <w:webHidden/>
            <w:sz w:val="20"/>
            <w:szCs w:val="20"/>
          </w:rPr>
          <w:fldChar w:fldCharType="end"/>
        </w:r>
      </w:hyperlink>
    </w:p>
    <w:p w14:paraId="048D2913" w14:textId="1AA62D6C" w:rsidR="009E27E4" w:rsidRPr="009E27E4" w:rsidRDefault="009E27E4" w:rsidP="009E27E4">
      <w:pPr>
        <w:pStyle w:val="Tabledesillustrations"/>
        <w:tabs>
          <w:tab w:val="right" w:leader="dot" w:pos="9345"/>
        </w:tabs>
        <w:spacing w:before="80"/>
        <w:rPr>
          <w:rFonts w:eastAsiaTheme="minorEastAsia" w:cs="Arial"/>
          <w:i/>
          <w:noProof/>
          <w:sz w:val="20"/>
          <w:szCs w:val="20"/>
          <w:lang w:eastAsia="fr-FR"/>
        </w:rPr>
      </w:pPr>
      <w:hyperlink w:anchor="_Toc52873777" w:history="1">
        <w:r w:rsidRPr="009E27E4">
          <w:rPr>
            <w:rStyle w:val="Lienhypertexte"/>
            <w:rFonts w:eastAsia="Times New Roman" w:cs="Arial"/>
            <w:i/>
            <w:noProof/>
            <w:sz w:val="20"/>
            <w:szCs w:val="20"/>
            <w:lang w:eastAsia="fr-FR"/>
          </w:rPr>
          <w:t>Tableau 53</w:t>
        </w:r>
        <w:r w:rsidRPr="009E27E4">
          <w:rPr>
            <w:rStyle w:val="Lienhypertexte"/>
            <w:rFonts w:eastAsia="Calibri" w:cs="Arial"/>
            <w:i/>
            <w:noProof/>
            <w:sz w:val="20"/>
            <w:szCs w:val="20"/>
            <w:lang w:eastAsia="fr-FR"/>
          </w:rPr>
          <w:t> : Analyse des risques liés à la perte ou la dégradation des biens et du milieu naturel</w:t>
        </w:r>
        <w:r w:rsidRPr="009E27E4">
          <w:rPr>
            <w:rFonts w:cs="Arial"/>
            <w:i/>
            <w:noProof/>
            <w:webHidden/>
            <w:sz w:val="20"/>
            <w:szCs w:val="20"/>
          </w:rPr>
          <w:tab/>
        </w:r>
        <w:r w:rsidRPr="009E27E4">
          <w:rPr>
            <w:rFonts w:cs="Arial"/>
            <w:i/>
            <w:noProof/>
            <w:webHidden/>
            <w:sz w:val="20"/>
            <w:szCs w:val="20"/>
          </w:rPr>
          <w:fldChar w:fldCharType="begin"/>
        </w:r>
        <w:r w:rsidRPr="009E27E4">
          <w:rPr>
            <w:rFonts w:cs="Arial"/>
            <w:i/>
            <w:noProof/>
            <w:webHidden/>
            <w:sz w:val="20"/>
            <w:szCs w:val="20"/>
          </w:rPr>
          <w:instrText xml:space="preserve"> PAGEREF _Toc52873777 \h </w:instrText>
        </w:r>
        <w:r w:rsidRPr="009E27E4">
          <w:rPr>
            <w:rFonts w:cs="Arial"/>
            <w:i/>
            <w:noProof/>
            <w:webHidden/>
            <w:sz w:val="20"/>
            <w:szCs w:val="20"/>
          </w:rPr>
        </w:r>
        <w:r w:rsidRPr="009E27E4">
          <w:rPr>
            <w:rFonts w:cs="Arial"/>
            <w:i/>
            <w:noProof/>
            <w:webHidden/>
            <w:sz w:val="20"/>
            <w:szCs w:val="20"/>
          </w:rPr>
          <w:fldChar w:fldCharType="separate"/>
        </w:r>
        <w:r w:rsidRPr="009E27E4">
          <w:rPr>
            <w:rFonts w:cs="Arial"/>
            <w:i/>
            <w:noProof/>
            <w:webHidden/>
            <w:sz w:val="20"/>
            <w:szCs w:val="20"/>
          </w:rPr>
          <w:t>168</w:t>
        </w:r>
        <w:r w:rsidRPr="009E27E4">
          <w:rPr>
            <w:rFonts w:cs="Arial"/>
            <w:i/>
            <w:noProof/>
            <w:webHidden/>
            <w:sz w:val="20"/>
            <w:szCs w:val="20"/>
          </w:rPr>
          <w:fldChar w:fldCharType="end"/>
        </w:r>
      </w:hyperlink>
    </w:p>
    <w:p w14:paraId="366D658A" w14:textId="1E9859F4" w:rsidR="009E27E4" w:rsidRPr="009E27E4" w:rsidRDefault="009E27E4" w:rsidP="009E27E4">
      <w:pPr>
        <w:pStyle w:val="Tabledesillustrations"/>
        <w:tabs>
          <w:tab w:val="right" w:leader="dot" w:pos="9345"/>
        </w:tabs>
        <w:spacing w:before="80"/>
        <w:rPr>
          <w:rFonts w:eastAsiaTheme="minorEastAsia" w:cs="Arial"/>
          <w:i/>
          <w:noProof/>
          <w:sz w:val="20"/>
          <w:szCs w:val="20"/>
          <w:lang w:eastAsia="fr-FR"/>
        </w:rPr>
      </w:pPr>
      <w:hyperlink w:anchor="_Toc52873778" w:history="1">
        <w:r w:rsidRPr="009E27E4">
          <w:rPr>
            <w:rStyle w:val="Lienhypertexte"/>
            <w:rFonts w:eastAsia="Times New Roman" w:cs="Arial"/>
            <w:i/>
            <w:noProof/>
            <w:sz w:val="20"/>
            <w:szCs w:val="20"/>
            <w:lang w:eastAsia="fr-FR"/>
          </w:rPr>
          <w:t xml:space="preserve">Tableau 54 </w:t>
        </w:r>
        <w:r w:rsidRPr="009E27E4">
          <w:rPr>
            <w:rStyle w:val="Lienhypertexte"/>
            <w:rFonts w:eastAsia="Calibri" w:cs="Arial"/>
            <w:i/>
            <w:noProof/>
            <w:sz w:val="20"/>
            <w:szCs w:val="20"/>
            <w:lang w:eastAsia="fr-FR"/>
          </w:rPr>
          <w:t>: Objectifs et mesures de prévention des risques pour les travaux de déplacement de réseaux</w:t>
        </w:r>
        <w:r w:rsidRPr="009E27E4">
          <w:rPr>
            <w:rFonts w:cs="Arial"/>
            <w:i/>
            <w:noProof/>
            <w:webHidden/>
            <w:sz w:val="20"/>
            <w:szCs w:val="20"/>
          </w:rPr>
          <w:tab/>
        </w:r>
        <w:r w:rsidRPr="009E27E4">
          <w:rPr>
            <w:rFonts w:cs="Arial"/>
            <w:i/>
            <w:noProof/>
            <w:webHidden/>
            <w:sz w:val="20"/>
            <w:szCs w:val="20"/>
          </w:rPr>
          <w:fldChar w:fldCharType="begin"/>
        </w:r>
        <w:r w:rsidRPr="009E27E4">
          <w:rPr>
            <w:rFonts w:cs="Arial"/>
            <w:i/>
            <w:noProof/>
            <w:webHidden/>
            <w:sz w:val="20"/>
            <w:szCs w:val="20"/>
          </w:rPr>
          <w:instrText xml:space="preserve"> PAGEREF _Toc52873778 \h </w:instrText>
        </w:r>
        <w:r w:rsidRPr="009E27E4">
          <w:rPr>
            <w:rFonts w:cs="Arial"/>
            <w:i/>
            <w:noProof/>
            <w:webHidden/>
            <w:sz w:val="20"/>
            <w:szCs w:val="20"/>
          </w:rPr>
        </w:r>
        <w:r w:rsidRPr="009E27E4">
          <w:rPr>
            <w:rFonts w:cs="Arial"/>
            <w:i/>
            <w:noProof/>
            <w:webHidden/>
            <w:sz w:val="20"/>
            <w:szCs w:val="20"/>
          </w:rPr>
          <w:fldChar w:fldCharType="separate"/>
        </w:r>
        <w:r w:rsidRPr="009E27E4">
          <w:rPr>
            <w:rFonts w:cs="Arial"/>
            <w:i/>
            <w:noProof/>
            <w:webHidden/>
            <w:sz w:val="20"/>
            <w:szCs w:val="20"/>
          </w:rPr>
          <w:t>175</w:t>
        </w:r>
        <w:r w:rsidRPr="009E27E4">
          <w:rPr>
            <w:rFonts w:cs="Arial"/>
            <w:i/>
            <w:noProof/>
            <w:webHidden/>
            <w:sz w:val="20"/>
            <w:szCs w:val="20"/>
          </w:rPr>
          <w:fldChar w:fldCharType="end"/>
        </w:r>
      </w:hyperlink>
    </w:p>
    <w:p w14:paraId="1DDD3C59" w14:textId="76761E20" w:rsidR="009E27E4" w:rsidRPr="009E27E4" w:rsidRDefault="009E27E4" w:rsidP="009E27E4">
      <w:pPr>
        <w:pStyle w:val="Tabledesillustrations"/>
        <w:tabs>
          <w:tab w:val="right" w:leader="dot" w:pos="9345"/>
        </w:tabs>
        <w:spacing w:before="80"/>
        <w:rPr>
          <w:rFonts w:eastAsiaTheme="minorEastAsia" w:cs="Arial"/>
          <w:i/>
          <w:noProof/>
          <w:sz w:val="20"/>
          <w:szCs w:val="20"/>
          <w:lang w:eastAsia="fr-FR"/>
        </w:rPr>
      </w:pPr>
      <w:hyperlink w:anchor="_Toc52873779" w:history="1">
        <w:r w:rsidRPr="009E27E4">
          <w:rPr>
            <w:rStyle w:val="Lienhypertexte"/>
            <w:rFonts w:eastAsia="Times New Roman" w:cs="Arial"/>
            <w:i/>
            <w:noProof/>
            <w:sz w:val="20"/>
            <w:szCs w:val="20"/>
            <w:lang w:eastAsia="fr-FR"/>
          </w:rPr>
          <w:t>Tableau 55 : Objectifs et mesures de prévention et minimisation des risques pour les travaux de de construction : aménagement de déviations, purge, démolition et gros œuvre</w:t>
        </w:r>
        <w:r w:rsidRPr="009E27E4">
          <w:rPr>
            <w:rFonts w:cs="Arial"/>
            <w:i/>
            <w:noProof/>
            <w:webHidden/>
            <w:sz w:val="20"/>
            <w:szCs w:val="20"/>
          </w:rPr>
          <w:tab/>
        </w:r>
        <w:r w:rsidRPr="009E27E4">
          <w:rPr>
            <w:rFonts w:cs="Arial"/>
            <w:i/>
            <w:noProof/>
            <w:webHidden/>
            <w:sz w:val="20"/>
            <w:szCs w:val="20"/>
          </w:rPr>
          <w:fldChar w:fldCharType="begin"/>
        </w:r>
        <w:r w:rsidRPr="009E27E4">
          <w:rPr>
            <w:rFonts w:cs="Arial"/>
            <w:i/>
            <w:noProof/>
            <w:webHidden/>
            <w:sz w:val="20"/>
            <w:szCs w:val="20"/>
          </w:rPr>
          <w:instrText xml:space="preserve"> PAGEREF _Toc52873779 \h </w:instrText>
        </w:r>
        <w:r w:rsidRPr="009E27E4">
          <w:rPr>
            <w:rFonts w:cs="Arial"/>
            <w:i/>
            <w:noProof/>
            <w:webHidden/>
            <w:sz w:val="20"/>
            <w:szCs w:val="20"/>
          </w:rPr>
        </w:r>
        <w:r w:rsidRPr="009E27E4">
          <w:rPr>
            <w:rFonts w:cs="Arial"/>
            <w:i/>
            <w:noProof/>
            <w:webHidden/>
            <w:sz w:val="20"/>
            <w:szCs w:val="20"/>
          </w:rPr>
          <w:fldChar w:fldCharType="separate"/>
        </w:r>
        <w:r w:rsidRPr="009E27E4">
          <w:rPr>
            <w:rFonts w:cs="Arial"/>
            <w:i/>
            <w:noProof/>
            <w:webHidden/>
            <w:sz w:val="20"/>
            <w:szCs w:val="20"/>
          </w:rPr>
          <w:t>177</w:t>
        </w:r>
        <w:r w:rsidRPr="009E27E4">
          <w:rPr>
            <w:rFonts w:cs="Arial"/>
            <w:i/>
            <w:noProof/>
            <w:webHidden/>
            <w:sz w:val="20"/>
            <w:szCs w:val="20"/>
          </w:rPr>
          <w:fldChar w:fldCharType="end"/>
        </w:r>
      </w:hyperlink>
    </w:p>
    <w:p w14:paraId="4B60D44F" w14:textId="5A343456" w:rsidR="009E27E4" w:rsidRPr="009E27E4" w:rsidRDefault="009E27E4" w:rsidP="009E27E4">
      <w:pPr>
        <w:pStyle w:val="Tabledesillustrations"/>
        <w:tabs>
          <w:tab w:val="right" w:leader="dot" w:pos="9345"/>
        </w:tabs>
        <w:spacing w:before="80"/>
        <w:rPr>
          <w:rFonts w:eastAsiaTheme="minorEastAsia" w:cs="Arial"/>
          <w:i/>
          <w:noProof/>
          <w:sz w:val="20"/>
          <w:szCs w:val="20"/>
          <w:lang w:eastAsia="fr-FR"/>
        </w:rPr>
      </w:pPr>
      <w:hyperlink w:anchor="_Toc52873780" w:history="1">
        <w:r w:rsidRPr="009E27E4">
          <w:rPr>
            <w:rStyle w:val="Lienhypertexte"/>
            <w:rFonts w:eastAsia="Times New Roman" w:cs="Arial"/>
            <w:i/>
            <w:noProof/>
            <w:sz w:val="20"/>
            <w:szCs w:val="20"/>
            <w:lang w:eastAsia="fr-FR"/>
          </w:rPr>
          <w:t xml:space="preserve">Tableau 56 : </w:t>
        </w:r>
        <w:r w:rsidRPr="009E27E4">
          <w:rPr>
            <w:rStyle w:val="Lienhypertexte"/>
            <w:rFonts w:eastAsia="Calibri" w:cs="Arial"/>
            <w:i/>
            <w:noProof/>
            <w:sz w:val="20"/>
            <w:szCs w:val="20"/>
            <w:lang w:eastAsia="fr-FR"/>
          </w:rPr>
          <w:t>Objectifs et mesures de prévention et minimisation des risques pour la pose des pavés</w:t>
        </w:r>
        <w:r w:rsidRPr="009E27E4">
          <w:rPr>
            <w:rFonts w:cs="Arial"/>
            <w:i/>
            <w:noProof/>
            <w:webHidden/>
            <w:sz w:val="20"/>
            <w:szCs w:val="20"/>
          </w:rPr>
          <w:tab/>
        </w:r>
        <w:r w:rsidRPr="009E27E4">
          <w:rPr>
            <w:rFonts w:cs="Arial"/>
            <w:i/>
            <w:noProof/>
            <w:webHidden/>
            <w:sz w:val="20"/>
            <w:szCs w:val="20"/>
          </w:rPr>
          <w:fldChar w:fldCharType="begin"/>
        </w:r>
        <w:r w:rsidRPr="009E27E4">
          <w:rPr>
            <w:rFonts w:cs="Arial"/>
            <w:i/>
            <w:noProof/>
            <w:webHidden/>
            <w:sz w:val="20"/>
            <w:szCs w:val="20"/>
          </w:rPr>
          <w:instrText xml:space="preserve"> PAGEREF _Toc52873780 \h </w:instrText>
        </w:r>
        <w:r w:rsidRPr="009E27E4">
          <w:rPr>
            <w:rFonts w:cs="Arial"/>
            <w:i/>
            <w:noProof/>
            <w:webHidden/>
            <w:sz w:val="20"/>
            <w:szCs w:val="20"/>
          </w:rPr>
        </w:r>
        <w:r w:rsidRPr="009E27E4">
          <w:rPr>
            <w:rFonts w:cs="Arial"/>
            <w:i/>
            <w:noProof/>
            <w:webHidden/>
            <w:sz w:val="20"/>
            <w:szCs w:val="20"/>
          </w:rPr>
          <w:fldChar w:fldCharType="separate"/>
        </w:r>
        <w:r w:rsidRPr="009E27E4">
          <w:rPr>
            <w:rFonts w:cs="Arial"/>
            <w:i/>
            <w:noProof/>
            <w:webHidden/>
            <w:sz w:val="20"/>
            <w:szCs w:val="20"/>
          </w:rPr>
          <w:t>180</w:t>
        </w:r>
        <w:r w:rsidRPr="009E27E4">
          <w:rPr>
            <w:rFonts w:cs="Arial"/>
            <w:i/>
            <w:noProof/>
            <w:webHidden/>
            <w:sz w:val="20"/>
            <w:szCs w:val="20"/>
          </w:rPr>
          <w:fldChar w:fldCharType="end"/>
        </w:r>
      </w:hyperlink>
    </w:p>
    <w:p w14:paraId="5CBDBA75" w14:textId="4E4EB648" w:rsidR="009E27E4" w:rsidRPr="009E27E4" w:rsidRDefault="009E27E4" w:rsidP="009E27E4">
      <w:pPr>
        <w:pStyle w:val="Tabledesillustrations"/>
        <w:tabs>
          <w:tab w:val="right" w:leader="dot" w:pos="9345"/>
        </w:tabs>
        <w:spacing w:before="80"/>
        <w:rPr>
          <w:rFonts w:eastAsiaTheme="minorEastAsia" w:cs="Arial"/>
          <w:i/>
          <w:noProof/>
          <w:sz w:val="20"/>
          <w:szCs w:val="20"/>
          <w:lang w:eastAsia="fr-FR"/>
        </w:rPr>
      </w:pPr>
      <w:hyperlink w:anchor="_Toc52873781" w:history="1">
        <w:r w:rsidRPr="009E27E4">
          <w:rPr>
            <w:rStyle w:val="Lienhypertexte"/>
            <w:rFonts w:eastAsia="Times New Roman" w:cs="Arial"/>
            <w:i/>
            <w:noProof/>
            <w:sz w:val="20"/>
            <w:szCs w:val="20"/>
            <w:lang w:eastAsia="fr-FR"/>
          </w:rPr>
          <w:t>Tableau 57 : Analyse des risques liés à l’exploitation</w:t>
        </w:r>
        <w:r w:rsidRPr="009E27E4">
          <w:rPr>
            <w:rFonts w:cs="Arial"/>
            <w:i/>
            <w:noProof/>
            <w:webHidden/>
            <w:sz w:val="20"/>
            <w:szCs w:val="20"/>
          </w:rPr>
          <w:tab/>
        </w:r>
        <w:r w:rsidRPr="009E27E4">
          <w:rPr>
            <w:rFonts w:cs="Arial"/>
            <w:i/>
            <w:noProof/>
            <w:webHidden/>
            <w:sz w:val="20"/>
            <w:szCs w:val="20"/>
          </w:rPr>
          <w:fldChar w:fldCharType="begin"/>
        </w:r>
        <w:r w:rsidRPr="009E27E4">
          <w:rPr>
            <w:rFonts w:cs="Arial"/>
            <w:i/>
            <w:noProof/>
            <w:webHidden/>
            <w:sz w:val="20"/>
            <w:szCs w:val="20"/>
          </w:rPr>
          <w:instrText xml:space="preserve"> PAGEREF _Toc52873781 \h </w:instrText>
        </w:r>
        <w:r w:rsidRPr="009E27E4">
          <w:rPr>
            <w:rFonts w:cs="Arial"/>
            <w:i/>
            <w:noProof/>
            <w:webHidden/>
            <w:sz w:val="20"/>
            <w:szCs w:val="20"/>
          </w:rPr>
        </w:r>
        <w:r w:rsidRPr="009E27E4">
          <w:rPr>
            <w:rFonts w:cs="Arial"/>
            <w:i/>
            <w:noProof/>
            <w:webHidden/>
            <w:sz w:val="20"/>
            <w:szCs w:val="20"/>
          </w:rPr>
          <w:fldChar w:fldCharType="separate"/>
        </w:r>
        <w:r w:rsidRPr="009E27E4">
          <w:rPr>
            <w:rFonts w:cs="Arial"/>
            <w:i/>
            <w:noProof/>
            <w:webHidden/>
            <w:sz w:val="20"/>
            <w:szCs w:val="20"/>
          </w:rPr>
          <w:t>182</w:t>
        </w:r>
        <w:r w:rsidRPr="009E27E4">
          <w:rPr>
            <w:rFonts w:cs="Arial"/>
            <w:i/>
            <w:noProof/>
            <w:webHidden/>
            <w:sz w:val="20"/>
            <w:szCs w:val="20"/>
          </w:rPr>
          <w:fldChar w:fldCharType="end"/>
        </w:r>
      </w:hyperlink>
    </w:p>
    <w:p w14:paraId="75A6F996" w14:textId="4C46B650" w:rsidR="009E27E4" w:rsidRPr="009E27E4" w:rsidRDefault="009E27E4" w:rsidP="009E27E4">
      <w:pPr>
        <w:pStyle w:val="Tabledesillustrations"/>
        <w:tabs>
          <w:tab w:val="right" w:leader="dot" w:pos="9345"/>
        </w:tabs>
        <w:spacing w:before="80"/>
        <w:rPr>
          <w:rFonts w:eastAsiaTheme="minorEastAsia" w:cs="Arial"/>
          <w:i/>
          <w:noProof/>
          <w:sz w:val="20"/>
          <w:szCs w:val="20"/>
          <w:lang w:eastAsia="fr-FR"/>
        </w:rPr>
      </w:pPr>
      <w:hyperlink w:anchor="_Toc52873782" w:history="1">
        <w:r w:rsidRPr="009E27E4">
          <w:rPr>
            <w:rStyle w:val="Lienhypertexte"/>
            <w:rFonts w:cs="Arial"/>
            <w:i/>
            <w:noProof/>
            <w:sz w:val="20"/>
            <w:szCs w:val="20"/>
          </w:rPr>
          <w:t>Tableau 58 : Bénéficiaires par arrondissement du PAPVS - NATITINGOU</w:t>
        </w:r>
        <w:r w:rsidRPr="009E27E4">
          <w:rPr>
            <w:rFonts w:cs="Arial"/>
            <w:i/>
            <w:noProof/>
            <w:webHidden/>
            <w:sz w:val="20"/>
            <w:szCs w:val="20"/>
          </w:rPr>
          <w:tab/>
        </w:r>
        <w:r w:rsidRPr="009E27E4">
          <w:rPr>
            <w:rFonts w:cs="Arial"/>
            <w:i/>
            <w:noProof/>
            <w:webHidden/>
            <w:sz w:val="20"/>
            <w:szCs w:val="20"/>
          </w:rPr>
          <w:fldChar w:fldCharType="begin"/>
        </w:r>
        <w:r w:rsidRPr="009E27E4">
          <w:rPr>
            <w:rFonts w:cs="Arial"/>
            <w:i/>
            <w:noProof/>
            <w:webHidden/>
            <w:sz w:val="20"/>
            <w:szCs w:val="20"/>
          </w:rPr>
          <w:instrText xml:space="preserve"> PAGEREF _Toc52873782 \h </w:instrText>
        </w:r>
        <w:r w:rsidRPr="009E27E4">
          <w:rPr>
            <w:rFonts w:cs="Arial"/>
            <w:i/>
            <w:noProof/>
            <w:webHidden/>
            <w:sz w:val="20"/>
            <w:szCs w:val="20"/>
          </w:rPr>
        </w:r>
        <w:r w:rsidRPr="009E27E4">
          <w:rPr>
            <w:rFonts w:cs="Arial"/>
            <w:i/>
            <w:noProof/>
            <w:webHidden/>
            <w:sz w:val="20"/>
            <w:szCs w:val="20"/>
          </w:rPr>
          <w:fldChar w:fldCharType="separate"/>
        </w:r>
        <w:r w:rsidRPr="009E27E4">
          <w:rPr>
            <w:rFonts w:cs="Arial"/>
            <w:i/>
            <w:noProof/>
            <w:webHidden/>
            <w:sz w:val="20"/>
            <w:szCs w:val="20"/>
          </w:rPr>
          <w:t>185</w:t>
        </w:r>
        <w:r w:rsidRPr="009E27E4">
          <w:rPr>
            <w:rFonts w:cs="Arial"/>
            <w:i/>
            <w:noProof/>
            <w:webHidden/>
            <w:sz w:val="20"/>
            <w:szCs w:val="20"/>
          </w:rPr>
          <w:fldChar w:fldCharType="end"/>
        </w:r>
      </w:hyperlink>
    </w:p>
    <w:p w14:paraId="21C1DC97" w14:textId="1376F3F6" w:rsidR="009E27E4" w:rsidRPr="009E27E4" w:rsidRDefault="009E27E4" w:rsidP="009E27E4">
      <w:pPr>
        <w:pStyle w:val="Tabledesillustrations"/>
        <w:tabs>
          <w:tab w:val="right" w:leader="dot" w:pos="9345"/>
        </w:tabs>
        <w:spacing w:before="80"/>
        <w:rPr>
          <w:rFonts w:eastAsiaTheme="minorEastAsia" w:cs="Arial"/>
          <w:i/>
          <w:noProof/>
          <w:sz w:val="20"/>
          <w:szCs w:val="20"/>
          <w:lang w:eastAsia="fr-FR"/>
        </w:rPr>
      </w:pPr>
      <w:hyperlink w:anchor="_Toc52873783" w:history="1">
        <w:r w:rsidRPr="009E27E4">
          <w:rPr>
            <w:rStyle w:val="Lienhypertexte"/>
            <w:rFonts w:cs="Arial"/>
            <w:i/>
            <w:noProof/>
            <w:sz w:val="20"/>
            <w:szCs w:val="20"/>
          </w:rPr>
          <w:t>Tableau 59</w:t>
        </w:r>
        <w:r w:rsidRPr="009E27E4">
          <w:rPr>
            <w:rStyle w:val="Lienhypertexte"/>
            <w:rFonts w:eastAsia="Times New Roman" w:cs="Arial"/>
            <w:i/>
            <w:noProof/>
            <w:sz w:val="20"/>
            <w:szCs w:val="20"/>
            <w:lang w:eastAsia="de-DE"/>
          </w:rPr>
          <w:t> : Feuille récapitulative de la réinstallation</w:t>
        </w:r>
        <w:r w:rsidRPr="009E27E4">
          <w:rPr>
            <w:rFonts w:cs="Arial"/>
            <w:i/>
            <w:noProof/>
            <w:webHidden/>
            <w:sz w:val="20"/>
            <w:szCs w:val="20"/>
          </w:rPr>
          <w:tab/>
        </w:r>
        <w:r w:rsidRPr="009E27E4">
          <w:rPr>
            <w:rFonts w:cs="Arial"/>
            <w:i/>
            <w:noProof/>
            <w:webHidden/>
            <w:sz w:val="20"/>
            <w:szCs w:val="20"/>
          </w:rPr>
          <w:fldChar w:fldCharType="begin"/>
        </w:r>
        <w:r w:rsidRPr="009E27E4">
          <w:rPr>
            <w:rFonts w:cs="Arial"/>
            <w:i/>
            <w:noProof/>
            <w:webHidden/>
            <w:sz w:val="20"/>
            <w:szCs w:val="20"/>
          </w:rPr>
          <w:instrText xml:space="preserve"> PAGEREF _Toc52873783 \h </w:instrText>
        </w:r>
        <w:r w:rsidRPr="009E27E4">
          <w:rPr>
            <w:rFonts w:cs="Arial"/>
            <w:i/>
            <w:noProof/>
            <w:webHidden/>
            <w:sz w:val="20"/>
            <w:szCs w:val="20"/>
          </w:rPr>
        </w:r>
        <w:r w:rsidRPr="009E27E4">
          <w:rPr>
            <w:rFonts w:cs="Arial"/>
            <w:i/>
            <w:noProof/>
            <w:webHidden/>
            <w:sz w:val="20"/>
            <w:szCs w:val="20"/>
          </w:rPr>
          <w:fldChar w:fldCharType="separate"/>
        </w:r>
        <w:r w:rsidRPr="009E27E4">
          <w:rPr>
            <w:rFonts w:cs="Arial"/>
            <w:i/>
            <w:noProof/>
            <w:webHidden/>
            <w:sz w:val="20"/>
            <w:szCs w:val="20"/>
          </w:rPr>
          <w:t>185</w:t>
        </w:r>
        <w:r w:rsidRPr="009E27E4">
          <w:rPr>
            <w:rFonts w:cs="Arial"/>
            <w:i/>
            <w:noProof/>
            <w:webHidden/>
            <w:sz w:val="20"/>
            <w:szCs w:val="20"/>
          </w:rPr>
          <w:fldChar w:fldCharType="end"/>
        </w:r>
      </w:hyperlink>
    </w:p>
    <w:p w14:paraId="25385251" w14:textId="3E4C110F" w:rsidR="009E27E4" w:rsidRPr="009E27E4" w:rsidRDefault="009E27E4" w:rsidP="009E27E4">
      <w:pPr>
        <w:pStyle w:val="Tabledesillustrations"/>
        <w:tabs>
          <w:tab w:val="right" w:leader="dot" w:pos="9345"/>
        </w:tabs>
        <w:spacing w:before="80"/>
        <w:rPr>
          <w:rFonts w:eastAsiaTheme="minorEastAsia" w:cs="Arial"/>
          <w:i/>
          <w:noProof/>
          <w:sz w:val="20"/>
          <w:szCs w:val="20"/>
          <w:lang w:eastAsia="fr-FR"/>
        </w:rPr>
      </w:pPr>
      <w:hyperlink w:anchor="_Toc52873784" w:history="1">
        <w:r w:rsidRPr="009E27E4">
          <w:rPr>
            <w:rStyle w:val="Lienhypertexte"/>
            <w:rFonts w:cs="Arial"/>
            <w:i/>
            <w:noProof/>
            <w:sz w:val="20"/>
            <w:szCs w:val="20"/>
          </w:rPr>
          <w:t xml:space="preserve">Tableau 60 </w:t>
        </w:r>
        <w:r w:rsidRPr="009E27E4">
          <w:rPr>
            <w:rStyle w:val="Lienhypertexte"/>
            <w:rFonts w:eastAsia="Calibri" w:cs="Arial"/>
            <w:i/>
            <w:noProof/>
            <w:sz w:val="20"/>
            <w:szCs w:val="20"/>
          </w:rPr>
          <w:t>: Répartition par Âges et par sexe des PAP</w:t>
        </w:r>
        <w:r w:rsidRPr="009E27E4">
          <w:rPr>
            <w:rFonts w:cs="Arial"/>
            <w:i/>
            <w:noProof/>
            <w:webHidden/>
            <w:sz w:val="20"/>
            <w:szCs w:val="20"/>
          </w:rPr>
          <w:tab/>
        </w:r>
        <w:r w:rsidRPr="009E27E4">
          <w:rPr>
            <w:rFonts w:cs="Arial"/>
            <w:i/>
            <w:noProof/>
            <w:webHidden/>
            <w:sz w:val="20"/>
            <w:szCs w:val="20"/>
          </w:rPr>
          <w:fldChar w:fldCharType="begin"/>
        </w:r>
        <w:r w:rsidRPr="009E27E4">
          <w:rPr>
            <w:rFonts w:cs="Arial"/>
            <w:i/>
            <w:noProof/>
            <w:webHidden/>
            <w:sz w:val="20"/>
            <w:szCs w:val="20"/>
          </w:rPr>
          <w:instrText xml:space="preserve"> PAGEREF _Toc52873784 \h </w:instrText>
        </w:r>
        <w:r w:rsidRPr="009E27E4">
          <w:rPr>
            <w:rFonts w:cs="Arial"/>
            <w:i/>
            <w:noProof/>
            <w:webHidden/>
            <w:sz w:val="20"/>
            <w:szCs w:val="20"/>
          </w:rPr>
        </w:r>
        <w:r w:rsidRPr="009E27E4">
          <w:rPr>
            <w:rFonts w:cs="Arial"/>
            <w:i/>
            <w:noProof/>
            <w:webHidden/>
            <w:sz w:val="20"/>
            <w:szCs w:val="20"/>
          </w:rPr>
          <w:fldChar w:fldCharType="separate"/>
        </w:r>
        <w:r w:rsidRPr="009E27E4">
          <w:rPr>
            <w:rFonts w:cs="Arial"/>
            <w:i/>
            <w:noProof/>
            <w:webHidden/>
            <w:sz w:val="20"/>
            <w:szCs w:val="20"/>
          </w:rPr>
          <w:t>189</w:t>
        </w:r>
        <w:r w:rsidRPr="009E27E4">
          <w:rPr>
            <w:rFonts w:cs="Arial"/>
            <w:i/>
            <w:noProof/>
            <w:webHidden/>
            <w:sz w:val="20"/>
            <w:szCs w:val="20"/>
          </w:rPr>
          <w:fldChar w:fldCharType="end"/>
        </w:r>
      </w:hyperlink>
    </w:p>
    <w:p w14:paraId="7CBAAF82" w14:textId="19D22AE3" w:rsidR="009E27E4" w:rsidRPr="009E27E4" w:rsidRDefault="009E27E4" w:rsidP="009E27E4">
      <w:pPr>
        <w:pStyle w:val="Tabledesillustrations"/>
        <w:tabs>
          <w:tab w:val="right" w:leader="dot" w:pos="9345"/>
        </w:tabs>
        <w:spacing w:before="80"/>
        <w:rPr>
          <w:rFonts w:eastAsiaTheme="minorEastAsia" w:cs="Arial"/>
          <w:i/>
          <w:noProof/>
          <w:sz w:val="20"/>
          <w:szCs w:val="20"/>
          <w:lang w:eastAsia="fr-FR"/>
        </w:rPr>
      </w:pPr>
      <w:hyperlink w:anchor="_Toc52873785" w:history="1">
        <w:r w:rsidRPr="009E27E4">
          <w:rPr>
            <w:rStyle w:val="Lienhypertexte"/>
            <w:rFonts w:cs="Arial"/>
            <w:i/>
            <w:noProof/>
            <w:sz w:val="20"/>
            <w:szCs w:val="20"/>
          </w:rPr>
          <w:t xml:space="preserve">Tableau 61 : </w:t>
        </w:r>
        <w:r w:rsidRPr="009E27E4">
          <w:rPr>
            <w:rStyle w:val="Lienhypertexte"/>
            <w:rFonts w:eastAsia="Times New Roman" w:cs="Arial"/>
            <w:i/>
            <w:noProof/>
            <w:sz w:val="20"/>
            <w:szCs w:val="20"/>
          </w:rPr>
          <w:t>Statut social des PAP</w:t>
        </w:r>
        <w:r w:rsidRPr="009E27E4">
          <w:rPr>
            <w:rFonts w:cs="Arial"/>
            <w:i/>
            <w:noProof/>
            <w:webHidden/>
            <w:sz w:val="20"/>
            <w:szCs w:val="20"/>
          </w:rPr>
          <w:tab/>
        </w:r>
        <w:r w:rsidRPr="009E27E4">
          <w:rPr>
            <w:rFonts w:cs="Arial"/>
            <w:i/>
            <w:noProof/>
            <w:webHidden/>
            <w:sz w:val="20"/>
            <w:szCs w:val="20"/>
          </w:rPr>
          <w:fldChar w:fldCharType="begin"/>
        </w:r>
        <w:r w:rsidRPr="009E27E4">
          <w:rPr>
            <w:rFonts w:cs="Arial"/>
            <w:i/>
            <w:noProof/>
            <w:webHidden/>
            <w:sz w:val="20"/>
            <w:szCs w:val="20"/>
          </w:rPr>
          <w:instrText xml:space="preserve"> PAGEREF _Toc52873785 \h </w:instrText>
        </w:r>
        <w:r w:rsidRPr="009E27E4">
          <w:rPr>
            <w:rFonts w:cs="Arial"/>
            <w:i/>
            <w:noProof/>
            <w:webHidden/>
            <w:sz w:val="20"/>
            <w:szCs w:val="20"/>
          </w:rPr>
        </w:r>
        <w:r w:rsidRPr="009E27E4">
          <w:rPr>
            <w:rFonts w:cs="Arial"/>
            <w:i/>
            <w:noProof/>
            <w:webHidden/>
            <w:sz w:val="20"/>
            <w:szCs w:val="20"/>
          </w:rPr>
          <w:fldChar w:fldCharType="separate"/>
        </w:r>
        <w:r w:rsidRPr="009E27E4">
          <w:rPr>
            <w:rFonts w:cs="Arial"/>
            <w:i/>
            <w:noProof/>
            <w:webHidden/>
            <w:sz w:val="20"/>
            <w:szCs w:val="20"/>
          </w:rPr>
          <w:t>189</w:t>
        </w:r>
        <w:r w:rsidRPr="009E27E4">
          <w:rPr>
            <w:rFonts w:cs="Arial"/>
            <w:i/>
            <w:noProof/>
            <w:webHidden/>
            <w:sz w:val="20"/>
            <w:szCs w:val="20"/>
          </w:rPr>
          <w:fldChar w:fldCharType="end"/>
        </w:r>
      </w:hyperlink>
    </w:p>
    <w:p w14:paraId="20EC1660" w14:textId="2E9F9E38" w:rsidR="009E27E4" w:rsidRPr="009E27E4" w:rsidRDefault="009E27E4" w:rsidP="009E27E4">
      <w:pPr>
        <w:pStyle w:val="Tabledesillustrations"/>
        <w:tabs>
          <w:tab w:val="right" w:leader="dot" w:pos="9345"/>
        </w:tabs>
        <w:spacing w:before="80"/>
        <w:rPr>
          <w:rFonts w:eastAsiaTheme="minorEastAsia" w:cs="Arial"/>
          <w:i/>
          <w:noProof/>
          <w:sz w:val="20"/>
          <w:szCs w:val="20"/>
          <w:lang w:eastAsia="fr-FR"/>
        </w:rPr>
      </w:pPr>
      <w:hyperlink w:anchor="_Toc52873786" w:history="1">
        <w:r w:rsidRPr="009E27E4">
          <w:rPr>
            <w:rStyle w:val="Lienhypertexte"/>
            <w:rFonts w:cs="Arial"/>
            <w:i/>
            <w:noProof/>
            <w:sz w:val="20"/>
            <w:szCs w:val="20"/>
          </w:rPr>
          <w:t xml:space="preserve">Tableau 62 : </w:t>
        </w:r>
        <w:r w:rsidRPr="009E27E4">
          <w:rPr>
            <w:rStyle w:val="Lienhypertexte"/>
            <w:rFonts w:eastAsia="Times New Roman" w:cs="Arial"/>
            <w:i/>
            <w:noProof/>
            <w:sz w:val="20"/>
            <w:szCs w:val="20"/>
          </w:rPr>
          <w:t>Répartition des PAP par Groupe sociolinguistique</w:t>
        </w:r>
        <w:r w:rsidRPr="009E27E4">
          <w:rPr>
            <w:rFonts w:cs="Arial"/>
            <w:i/>
            <w:noProof/>
            <w:webHidden/>
            <w:sz w:val="20"/>
            <w:szCs w:val="20"/>
          </w:rPr>
          <w:tab/>
        </w:r>
        <w:r w:rsidRPr="009E27E4">
          <w:rPr>
            <w:rFonts w:cs="Arial"/>
            <w:i/>
            <w:noProof/>
            <w:webHidden/>
            <w:sz w:val="20"/>
            <w:szCs w:val="20"/>
          </w:rPr>
          <w:fldChar w:fldCharType="begin"/>
        </w:r>
        <w:r w:rsidRPr="009E27E4">
          <w:rPr>
            <w:rFonts w:cs="Arial"/>
            <w:i/>
            <w:noProof/>
            <w:webHidden/>
            <w:sz w:val="20"/>
            <w:szCs w:val="20"/>
          </w:rPr>
          <w:instrText xml:space="preserve"> PAGEREF _Toc52873786 \h </w:instrText>
        </w:r>
        <w:r w:rsidRPr="009E27E4">
          <w:rPr>
            <w:rFonts w:cs="Arial"/>
            <w:i/>
            <w:noProof/>
            <w:webHidden/>
            <w:sz w:val="20"/>
            <w:szCs w:val="20"/>
          </w:rPr>
        </w:r>
        <w:r w:rsidRPr="009E27E4">
          <w:rPr>
            <w:rFonts w:cs="Arial"/>
            <w:i/>
            <w:noProof/>
            <w:webHidden/>
            <w:sz w:val="20"/>
            <w:szCs w:val="20"/>
          </w:rPr>
          <w:fldChar w:fldCharType="separate"/>
        </w:r>
        <w:r w:rsidRPr="009E27E4">
          <w:rPr>
            <w:rFonts w:cs="Arial"/>
            <w:i/>
            <w:noProof/>
            <w:webHidden/>
            <w:sz w:val="20"/>
            <w:szCs w:val="20"/>
          </w:rPr>
          <w:t>189</w:t>
        </w:r>
        <w:r w:rsidRPr="009E27E4">
          <w:rPr>
            <w:rFonts w:cs="Arial"/>
            <w:i/>
            <w:noProof/>
            <w:webHidden/>
            <w:sz w:val="20"/>
            <w:szCs w:val="20"/>
          </w:rPr>
          <w:fldChar w:fldCharType="end"/>
        </w:r>
      </w:hyperlink>
    </w:p>
    <w:p w14:paraId="1C231600" w14:textId="3F66FB8A" w:rsidR="009E27E4" w:rsidRPr="009E27E4" w:rsidRDefault="009E27E4" w:rsidP="009E27E4">
      <w:pPr>
        <w:pStyle w:val="Tabledesillustrations"/>
        <w:tabs>
          <w:tab w:val="right" w:leader="dot" w:pos="9345"/>
        </w:tabs>
        <w:spacing w:before="80"/>
        <w:rPr>
          <w:rFonts w:eastAsiaTheme="minorEastAsia" w:cs="Arial"/>
          <w:i/>
          <w:noProof/>
          <w:sz w:val="20"/>
          <w:szCs w:val="20"/>
          <w:lang w:eastAsia="fr-FR"/>
        </w:rPr>
      </w:pPr>
      <w:hyperlink w:anchor="_Toc52873787" w:history="1">
        <w:r w:rsidRPr="009E27E4">
          <w:rPr>
            <w:rStyle w:val="Lienhypertexte"/>
            <w:rFonts w:cs="Arial"/>
            <w:i/>
            <w:noProof/>
            <w:sz w:val="20"/>
            <w:szCs w:val="20"/>
          </w:rPr>
          <w:t>Tableau 63 :</w:t>
        </w:r>
        <w:r w:rsidRPr="009E27E4">
          <w:rPr>
            <w:rStyle w:val="Lienhypertexte"/>
            <w:rFonts w:eastAsia="Times New Roman" w:cs="Arial"/>
            <w:i/>
            <w:noProof/>
            <w:sz w:val="20"/>
            <w:szCs w:val="20"/>
          </w:rPr>
          <w:t xml:space="preserve"> Répartition des PAP par religion</w:t>
        </w:r>
        <w:r w:rsidRPr="009E27E4">
          <w:rPr>
            <w:rFonts w:cs="Arial"/>
            <w:i/>
            <w:noProof/>
            <w:webHidden/>
            <w:sz w:val="20"/>
            <w:szCs w:val="20"/>
          </w:rPr>
          <w:tab/>
        </w:r>
        <w:r w:rsidRPr="009E27E4">
          <w:rPr>
            <w:rFonts w:cs="Arial"/>
            <w:i/>
            <w:noProof/>
            <w:webHidden/>
            <w:sz w:val="20"/>
            <w:szCs w:val="20"/>
          </w:rPr>
          <w:fldChar w:fldCharType="begin"/>
        </w:r>
        <w:r w:rsidRPr="009E27E4">
          <w:rPr>
            <w:rFonts w:cs="Arial"/>
            <w:i/>
            <w:noProof/>
            <w:webHidden/>
            <w:sz w:val="20"/>
            <w:szCs w:val="20"/>
          </w:rPr>
          <w:instrText xml:space="preserve"> PAGEREF _Toc52873787 \h </w:instrText>
        </w:r>
        <w:r w:rsidRPr="009E27E4">
          <w:rPr>
            <w:rFonts w:cs="Arial"/>
            <w:i/>
            <w:noProof/>
            <w:webHidden/>
            <w:sz w:val="20"/>
            <w:szCs w:val="20"/>
          </w:rPr>
        </w:r>
        <w:r w:rsidRPr="009E27E4">
          <w:rPr>
            <w:rFonts w:cs="Arial"/>
            <w:i/>
            <w:noProof/>
            <w:webHidden/>
            <w:sz w:val="20"/>
            <w:szCs w:val="20"/>
          </w:rPr>
          <w:fldChar w:fldCharType="separate"/>
        </w:r>
        <w:r w:rsidRPr="009E27E4">
          <w:rPr>
            <w:rFonts w:cs="Arial"/>
            <w:i/>
            <w:noProof/>
            <w:webHidden/>
            <w:sz w:val="20"/>
            <w:szCs w:val="20"/>
          </w:rPr>
          <w:t>191</w:t>
        </w:r>
        <w:r w:rsidRPr="009E27E4">
          <w:rPr>
            <w:rFonts w:cs="Arial"/>
            <w:i/>
            <w:noProof/>
            <w:webHidden/>
            <w:sz w:val="20"/>
            <w:szCs w:val="20"/>
          </w:rPr>
          <w:fldChar w:fldCharType="end"/>
        </w:r>
      </w:hyperlink>
    </w:p>
    <w:p w14:paraId="090FCF87" w14:textId="57B9499D" w:rsidR="009E27E4" w:rsidRPr="009E27E4" w:rsidRDefault="009E27E4" w:rsidP="009E27E4">
      <w:pPr>
        <w:pStyle w:val="Tabledesillustrations"/>
        <w:tabs>
          <w:tab w:val="right" w:leader="dot" w:pos="9345"/>
        </w:tabs>
        <w:spacing w:before="80"/>
        <w:rPr>
          <w:rFonts w:eastAsiaTheme="minorEastAsia" w:cs="Arial"/>
          <w:i/>
          <w:noProof/>
          <w:sz w:val="20"/>
          <w:szCs w:val="20"/>
          <w:lang w:eastAsia="fr-FR"/>
        </w:rPr>
      </w:pPr>
      <w:hyperlink w:anchor="_Toc52873788" w:history="1">
        <w:r w:rsidRPr="009E27E4">
          <w:rPr>
            <w:rStyle w:val="Lienhypertexte"/>
            <w:rFonts w:cs="Arial"/>
            <w:i/>
            <w:noProof/>
            <w:sz w:val="20"/>
            <w:szCs w:val="20"/>
          </w:rPr>
          <w:t xml:space="preserve">Tableau 64 </w:t>
        </w:r>
        <w:r w:rsidRPr="009E27E4">
          <w:rPr>
            <w:rStyle w:val="Lienhypertexte"/>
            <w:rFonts w:eastAsia="Times New Roman" w:cs="Arial"/>
            <w:i/>
            <w:noProof/>
            <w:sz w:val="20"/>
            <w:szCs w:val="20"/>
          </w:rPr>
          <w:t xml:space="preserve"> : Répartition des PAP par niveau d’instruction</w:t>
        </w:r>
        <w:r w:rsidRPr="009E27E4">
          <w:rPr>
            <w:rFonts w:cs="Arial"/>
            <w:i/>
            <w:noProof/>
            <w:webHidden/>
            <w:sz w:val="20"/>
            <w:szCs w:val="20"/>
          </w:rPr>
          <w:tab/>
        </w:r>
        <w:r w:rsidRPr="009E27E4">
          <w:rPr>
            <w:rFonts w:cs="Arial"/>
            <w:i/>
            <w:noProof/>
            <w:webHidden/>
            <w:sz w:val="20"/>
            <w:szCs w:val="20"/>
          </w:rPr>
          <w:fldChar w:fldCharType="begin"/>
        </w:r>
        <w:r w:rsidRPr="009E27E4">
          <w:rPr>
            <w:rFonts w:cs="Arial"/>
            <w:i/>
            <w:noProof/>
            <w:webHidden/>
            <w:sz w:val="20"/>
            <w:szCs w:val="20"/>
          </w:rPr>
          <w:instrText xml:space="preserve"> PAGEREF _Toc52873788 \h </w:instrText>
        </w:r>
        <w:r w:rsidRPr="009E27E4">
          <w:rPr>
            <w:rFonts w:cs="Arial"/>
            <w:i/>
            <w:noProof/>
            <w:webHidden/>
            <w:sz w:val="20"/>
            <w:szCs w:val="20"/>
          </w:rPr>
        </w:r>
        <w:r w:rsidRPr="009E27E4">
          <w:rPr>
            <w:rFonts w:cs="Arial"/>
            <w:i/>
            <w:noProof/>
            <w:webHidden/>
            <w:sz w:val="20"/>
            <w:szCs w:val="20"/>
          </w:rPr>
          <w:fldChar w:fldCharType="separate"/>
        </w:r>
        <w:r w:rsidRPr="009E27E4">
          <w:rPr>
            <w:rFonts w:cs="Arial"/>
            <w:i/>
            <w:noProof/>
            <w:webHidden/>
            <w:sz w:val="20"/>
            <w:szCs w:val="20"/>
          </w:rPr>
          <w:t>191</w:t>
        </w:r>
        <w:r w:rsidRPr="009E27E4">
          <w:rPr>
            <w:rFonts w:cs="Arial"/>
            <w:i/>
            <w:noProof/>
            <w:webHidden/>
            <w:sz w:val="20"/>
            <w:szCs w:val="20"/>
          </w:rPr>
          <w:fldChar w:fldCharType="end"/>
        </w:r>
      </w:hyperlink>
    </w:p>
    <w:p w14:paraId="3E991322" w14:textId="15C69C6D" w:rsidR="009E27E4" w:rsidRPr="009E27E4" w:rsidRDefault="009E27E4" w:rsidP="009E27E4">
      <w:pPr>
        <w:pStyle w:val="Tabledesillustrations"/>
        <w:tabs>
          <w:tab w:val="right" w:leader="dot" w:pos="9345"/>
        </w:tabs>
        <w:spacing w:before="80"/>
        <w:rPr>
          <w:rFonts w:eastAsiaTheme="minorEastAsia" w:cs="Arial"/>
          <w:i/>
          <w:noProof/>
          <w:sz w:val="20"/>
          <w:szCs w:val="20"/>
          <w:lang w:eastAsia="fr-FR"/>
        </w:rPr>
      </w:pPr>
      <w:hyperlink w:anchor="_Toc52873789" w:history="1">
        <w:r w:rsidRPr="009E27E4">
          <w:rPr>
            <w:rStyle w:val="Lienhypertexte"/>
            <w:rFonts w:cs="Arial"/>
            <w:i/>
            <w:noProof/>
            <w:sz w:val="20"/>
            <w:szCs w:val="20"/>
          </w:rPr>
          <w:t>Tableau 65 :</w:t>
        </w:r>
        <w:r w:rsidRPr="009E27E4">
          <w:rPr>
            <w:rStyle w:val="Lienhypertexte"/>
            <w:rFonts w:eastAsia="Times New Roman" w:cs="Arial"/>
            <w:i/>
            <w:noProof/>
            <w:sz w:val="20"/>
            <w:szCs w:val="20"/>
          </w:rPr>
          <w:t xml:space="preserve"> Secteurs d’activités génératrices des PAP</w:t>
        </w:r>
        <w:r w:rsidRPr="009E27E4">
          <w:rPr>
            <w:rFonts w:cs="Arial"/>
            <w:i/>
            <w:noProof/>
            <w:webHidden/>
            <w:sz w:val="20"/>
            <w:szCs w:val="20"/>
          </w:rPr>
          <w:tab/>
        </w:r>
        <w:r w:rsidRPr="009E27E4">
          <w:rPr>
            <w:rFonts w:cs="Arial"/>
            <w:i/>
            <w:noProof/>
            <w:webHidden/>
            <w:sz w:val="20"/>
            <w:szCs w:val="20"/>
          </w:rPr>
          <w:fldChar w:fldCharType="begin"/>
        </w:r>
        <w:r w:rsidRPr="009E27E4">
          <w:rPr>
            <w:rFonts w:cs="Arial"/>
            <w:i/>
            <w:noProof/>
            <w:webHidden/>
            <w:sz w:val="20"/>
            <w:szCs w:val="20"/>
          </w:rPr>
          <w:instrText xml:space="preserve"> PAGEREF _Toc52873789 \h </w:instrText>
        </w:r>
        <w:r w:rsidRPr="009E27E4">
          <w:rPr>
            <w:rFonts w:cs="Arial"/>
            <w:i/>
            <w:noProof/>
            <w:webHidden/>
            <w:sz w:val="20"/>
            <w:szCs w:val="20"/>
          </w:rPr>
        </w:r>
        <w:r w:rsidRPr="009E27E4">
          <w:rPr>
            <w:rFonts w:cs="Arial"/>
            <w:i/>
            <w:noProof/>
            <w:webHidden/>
            <w:sz w:val="20"/>
            <w:szCs w:val="20"/>
          </w:rPr>
          <w:fldChar w:fldCharType="separate"/>
        </w:r>
        <w:r w:rsidRPr="009E27E4">
          <w:rPr>
            <w:rFonts w:cs="Arial"/>
            <w:i/>
            <w:noProof/>
            <w:webHidden/>
            <w:sz w:val="20"/>
            <w:szCs w:val="20"/>
          </w:rPr>
          <w:t>191</w:t>
        </w:r>
        <w:r w:rsidRPr="009E27E4">
          <w:rPr>
            <w:rFonts w:cs="Arial"/>
            <w:i/>
            <w:noProof/>
            <w:webHidden/>
            <w:sz w:val="20"/>
            <w:szCs w:val="20"/>
          </w:rPr>
          <w:fldChar w:fldCharType="end"/>
        </w:r>
      </w:hyperlink>
    </w:p>
    <w:p w14:paraId="117FD5D2" w14:textId="57C1C3ED" w:rsidR="009E27E4" w:rsidRPr="009E27E4" w:rsidRDefault="009E27E4" w:rsidP="009E27E4">
      <w:pPr>
        <w:pStyle w:val="Tabledesillustrations"/>
        <w:tabs>
          <w:tab w:val="right" w:leader="dot" w:pos="9345"/>
        </w:tabs>
        <w:spacing w:before="80"/>
        <w:rPr>
          <w:rFonts w:eastAsiaTheme="minorEastAsia" w:cs="Arial"/>
          <w:i/>
          <w:noProof/>
          <w:sz w:val="20"/>
          <w:szCs w:val="20"/>
          <w:lang w:eastAsia="fr-FR"/>
        </w:rPr>
      </w:pPr>
      <w:hyperlink w:anchor="_Toc52873790" w:history="1">
        <w:r w:rsidRPr="009E27E4">
          <w:rPr>
            <w:rStyle w:val="Lienhypertexte"/>
            <w:rFonts w:cs="Arial"/>
            <w:i/>
            <w:noProof/>
            <w:sz w:val="20"/>
            <w:szCs w:val="20"/>
          </w:rPr>
          <w:t>Tableau 66 :</w:t>
        </w:r>
        <w:r w:rsidRPr="009E27E4">
          <w:rPr>
            <w:rStyle w:val="Lienhypertexte"/>
            <w:rFonts w:eastAsia="Times New Roman" w:cs="Arial"/>
            <w:i/>
            <w:noProof/>
            <w:sz w:val="20"/>
            <w:szCs w:val="20"/>
            <w:lang w:eastAsia="de-DE"/>
          </w:rPr>
          <w:t xml:space="preserve"> Activités des personnes vulnérables</w:t>
        </w:r>
        <w:r w:rsidRPr="009E27E4">
          <w:rPr>
            <w:rFonts w:cs="Arial"/>
            <w:i/>
            <w:noProof/>
            <w:webHidden/>
            <w:sz w:val="20"/>
            <w:szCs w:val="20"/>
          </w:rPr>
          <w:tab/>
        </w:r>
        <w:r w:rsidRPr="009E27E4">
          <w:rPr>
            <w:rFonts w:cs="Arial"/>
            <w:i/>
            <w:noProof/>
            <w:webHidden/>
            <w:sz w:val="20"/>
            <w:szCs w:val="20"/>
          </w:rPr>
          <w:fldChar w:fldCharType="begin"/>
        </w:r>
        <w:r w:rsidRPr="009E27E4">
          <w:rPr>
            <w:rFonts w:cs="Arial"/>
            <w:i/>
            <w:noProof/>
            <w:webHidden/>
            <w:sz w:val="20"/>
            <w:szCs w:val="20"/>
          </w:rPr>
          <w:instrText xml:space="preserve"> PAGEREF _Toc52873790 \h </w:instrText>
        </w:r>
        <w:r w:rsidRPr="009E27E4">
          <w:rPr>
            <w:rFonts w:cs="Arial"/>
            <w:i/>
            <w:noProof/>
            <w:webHidden/>
            <w:sz w:val="20"/>
            <w:szCs w:val="20"/>
          </w:rPr>
        </w:r>
        <w:r w:rsidRPr="009E27E4">
          <w:rPr>
            <w:rFonts w:cs="Arial"/>
            <w:i/>
            <w:noProof/>
            <w:webHidden/>
            <w:sz w:val="20"/>
            <w:szCs w:val="20"/>
          </w:rPr>
          <w:fldChar w:fldCharType="separate"/>
        </w:r>
        <w:r w:rsidRPr="009E27E4">
          <w:rPr>
            <w:rFonts w:cs="Arial"/>
            <w:i/>
            <w:noProof/>
            <w:webHidden/>
            <w:sz w:val="20"/>
            <w:szCs w:val="20"/>
          </w:rPr>
          <w:t>194</w:t>
        </w:r>
        <w:r w:rsidRPr="009E27E4">
          <w:rPr>
            <w:rFonts w:cs="Arial"/>
            <w:i/>
            <w:noProof/>
            <w:webHidden/>
            <w:sz w:val="20"/>
            <w:szCs w:val="20"/>
          </w:rPr>
          <w:fldChar w:fldCharType="end"/>
        </w:r>
      </w:hyperlink>
    </w:p>
    <w:p w14:paraId="703AA44A" w14:textId="11E54042" w:rsidR="009E27E4" w:rsidRPr="009E27E4" w:rsidRDefault="009E27E4" w:rsidP="009E27E4">
      <w:pPr>
        <w:pStyle w:val="Tabledesillustrations"/>
        <w:tabs>
          <w:tab w:val="right" w:leader="dot" w:pos="9345"/>
        </w:tabs>
        <w:spacing w:before="80"/>
        <w:rPr>
          <w:rFonts w:eastAsiaTheme="minorEastAsia" w:cs="Arial"/>
          <w:i/>
          <w:noProof/>
          <w:sz w:val="20"/>
          <w:szCs w:val="20"/>
          <w:lang w:eastAsia="fr-FR"/>
        </w:rPr>
      </w:pPr>
      <w:hyperlink w:anchor="_Toc52873791" w:history="1">
        <w:r w:rsidRPr="009E27E4">
          <w:rPr>
            <w:rStyle w:val="Lienhypertexte"/>
            <w:rFonts w:cs="Arial"/>
            <w:i/>
            <w:noProof/>
            <w:sz w:val="20"/>
            <w:szCs w:val="20"/>
          </w:rPr>
          <w:t>Tableau 67 :</w:t>
        </w:r>
        <w:r w:rsidRPr="009E27E4">
          <w:rPr>
            <w:rStyle w:val="Lienhypertexte"/>
            <w:rFonts w:eastAsia="Times New Roman" w:cs="Arial"/>
            <w:i/>
            <w:noProof/>
            <w:sz w:val="20"/>
            <w:szCs w:val="20"/>
          </w:rPr>
          <w:t xml:space="preserve"> Présentation des biens affectés</w:t>
        </w:r>
        <w:r w:rsidRPr="009E27E4">
          <w:rPr>
            <w:rFonts w:cs="Arial"/>
            <w:i/>
            <w:noProof/>
            <w:webHidden/>
            <w:sz w:val="20"/>
            <w:szCs w:val="20"/>
          </w:rPr>
          <w:tab/>
        </w:r>
        <w:r w:rsidRPr="009E27E4">
          <w:rPr>
            <w:rFonts w:cs="Arial"/>
            <w:i/>
            <w:noProof/>
            <w:webHidden/>
            <w:sz w:val="20"/>
            <w:szCs w:val="20"/>
          </w:rPr>
          <w:fldChar w:fldCharType="begin"/>
        </w:r>
        <w:r w:rsidRPr="009E27E4">
          <w:rPr>
            <w:rFonts w:cs="Arial"/>
            <w:i/>
            <w:noProof/>
            <w:webHidden/>
            <w:sz w:val="20"/>
            <w:szCs w:val="20"/>
          </w:rPr>
          <w:instrText xml:space="preserve"> PAGEREF _Toc52873791 \h </w:instrText>
        </w:r>
        <w:r w:rsidRPr="009E27E4">
          <w:rPr>
            <w:rFonts w:cs="Arial"/>
            <w:i/>
            <w:noProof/>
            <w:webHidden/>
            <w:sz w:val="20"/>
            <w:szCs w:val="20"/>
          </w:rPr>
        </w:r>
        <w:r w:rsidRPr="009E27E4">
          <w:rPr>
            <w:rFonts w:cs="Arial"/>
            <w:i/>
            <w:noProof/>
            <w:webHidden/>
            <w:sz w:val="20"/>
            <w:szCs w:val="20"/>
          </w:rPr>
          <w:fldChar w:fldCharType="separate"/>
        </w:r>
        <w:r w:rsidRPr="009E27E4">
          <w:rPr>
            <w:rFonts w:cs="Arial"/>
            <w:i/>
            <w:noProof/>
            <w:webHidden/>
            <w:sz w:val="20"/>
            <w:szCs w:val="20"/>
          </w:rPr>
          <w:t>194</w:t>
        </w:r>
        <w:r w:rsidRPr="009E27E4">
          <w:rPr>
            <w:rFonts w:cs="Arial"/>
            <w:i/>
            <w:noProof/>
            <w:webHidden/>
            <w:sz w:val="20"/>
            <w:szCs w:val="20"/>
          </w:rPr>
          <w:fldChar w:fldCharType="end"/>
        </w:r>
      </w:hyperlink>
    </w:p>
    <w:p w14:paraId="14BDA445" w14:textId="74E62957" w:rsidR="009E27E4" w:rsidRPr="009E27E4" w:rsidRDefault="009E27E4" w:rsidP="009E27E4">
      <w:pPr>
        <w:pStyle w:val="Tabledesillustrations"/>
        <w:tabs>
          <w:tab w:val="right" w:leader="dot" w:pos="9345"/>
        </w:tabs>
        <w:spacing w:before="80"/>
        <w:rPr>
          <w:rFonts w:eastAsiaTheme="minorEastAsia" w:cs="Arial"/>
          <w:i/>
          <w:noProof/>
          <w:sz w:val="20"/>
          <w:szCs w:val="20"/>
          <w:lang w:eastAsia="fr-FR"/>
        </w:rPr>
      </w:pPr>
      <w:hyperlink w:anchor="_Toc52873792" w:history="1">
        <w:r w:rsidRPr="009E27E4">
          <w:rPr>
            <w:rStyle w:val="Lienhypertexte"/>
            <w:rFonts w:cs="Arial"/>
            <w:i/>
            <w:noProof/>
            <w:sz w:val="20"/>
            <w:szCs w:val="20"/>
          </w:rPr>
          <w:t>Tableau 68 :</w:t>
        </w:r>
        <w:r w:rsidRPr="009E27E4">
          <w:rPr>
            <w:rStyle w:val="Lienhypertexte"/>
            <w:rFonts w:eastAsia="Times New Roman" w:cs="Arial"/>
            <w:i/>
            <w:noProof/>
            <w:sz w:val="20"/>
            <w:szCs w:val="20"/>
          </w:rPr>
          <w:t> Matrice d’indemnisation</w:t>
        </w:r>
        <w:r w:rsidRPr="009E27E4">
          <w:rPr>
            <w:rFonts w:cs="Arial"/>
            <w:i/>
            <w:noProof/>
            <w:webHidden/>
            <w:sz w:val="20"/>
            <w:szCs w:val="20"/>
          </w:rPr>
          <w:tab/>
        </w:r>
        <w:r w:rsidRPr="009E27E4">
          <w:rPr>
            <w:rFonts w:cs="Arial"/>
            <w:i/>
            <w:noProof/>
            <w:webHidden/>
            <w:sz w:val="20"/>
            <w:szCs w:val="20"/>
          </w:rPr>
          <w:fldChar w:fldCharType="begin"/>
        </w:r>
        <w:r w:rsidRPr="009E27E4">
          <w:rPr>
            <w:rFonts w:cs="Arial"/>
            <w:i/>
            <w:noProof/>
            <w:webHidden/>
            <w:sz w:val="20"/>
            <w:szCs w:val="20"/>
          </w:rPr>
          <w:instrText xml:space="preserve"> PAGEREF _Toc52873792 \h </w:instrText>
        </w:r>
        <w:r w:rsidRPr="009E27E4">
          <w:rPr>
            <w:rFonts w:cs="Arial"/>
            <w:i/>
            <w:noProof/>
            <w:webHidden/>
            <w:sz w:val="20"/>
            <w:szCs w:val="20"/>
          </w:rPr>
        </w:r>
        <w:r w:rsidRPr="009E27E4">
          <w:rPr>
            <w:rFonts w:cs="Arial"/>
            <w:i/>
            <w:noProof/>
            <w:webHidden/>
            <w:sz w:val="20"/>
            <w:szCs w:val="20"/>
          </w:rPr>
          <w:fldChar w:fldCharType="separate"/>
        </w:r>
        <w:r w:rsidRPr="009E27E4">
          <w:rPr>
            <w:rFonts w:cs="Arial"/>
            <w:i/>
            <w:noProof/>
            <w:webHidden/>
            <w:sz w:val="20"/>
            <w:szCs w:val="20"/>
          </w:rPr>
          <w:t>196</w:t>
        </w:r>
        <w:r w:rsidRPr="009E27E4">
          <w:rPr>
            <w:rFonts w:cs="Arial"/>
            <w:i/>
            <w:noProof/>
            <w:webHidden/>
            <w:sz w:val="20"/>
            <w:szCs w:val="20"/>
          </w:rPr>
          <w:fldChar w:fldCharType="end"/>
        </w:r>
      </w:hyperlink>
    </w:p>
    <w:p w14:paraId="4A53A86F" w14:textId="41D7C2E1" w:rsidR="009E27E4" w:rsidRPr="009E27E4" w:rsidRDefault="009E27E4" w:rsidP="009E27E4">
      <w:pPr>
        <w:pStyle w:val="Tabledesillustrations"/>
        <w:tabs>
          <w:tab w:val="left" w:pos="440"/>
          <w:tab w:val="right" w:leader="dot" w:pos="9345"/>
        </w:tabs>
        <w:spacing w:before="80"/>
        <w:rPr>
          <w:rFonts w:eastAsiaTheme="minorEastAsia" w:cs="Arial"/>
          <w:i/>
          <w:noProof/>
          <w:sz w:val="20"/>
          <w:szCs w:val="20"/>
          <w:lang w:eastAsia="fr-FR"/>
        </w:rPr>
      </w:pPr>
      <w:hyperlink w:anchor="_Toc52873793" w:history="1">
        <w:r w:rsidRPr="009E27E4">
          <w:rPr>
            <w:rStyle w:val="Lienhypertexte"/>
            <w:rFonts w:cs="Arial"/>
            <w:i/>
            <w:noProof/>
            <w:sz w:val="20"/>
            <w:szCs w:val="20"/>
          </w:rPr>
          <w:t>Tableau 69 : Synthèse des informations sur les PAP Vulnérables</w:t>
        </w:r>
        <w:r w:rsidRPr="009E27E4">
          <w:rPr>
            <w:rFonts w:cs="Arial"/>
            <w:i/>
            <w:noProof/>
            <w:webHidden/>
            <w:sz w:val="20"/>
            <w:szCs w:val="20"/>
          </w:rPr>
          <w:tab/>
        </w:r>
        <w:r w:rsidRPr="009E27E4">
          <w:rPr>
            <w:rFonts w:cs="Arial"/>
            <w:i/>
            <w:noProof/>
            <w:webHidden/>
            <w:sz w:val="20"/>
            <w:szCs w:val="20"/>
          </w:rPr>
          <w:fldChar w:fldCharType="begin"/>
        </w:r>
        <w:r w:rsidRPr="009E27E4">
          <w:rPr>
            <w:rFonts w:cs="Arial"/>
            <w:i/>
            <w:noProof/>
            <w:webHidden/>
            <w:sz w:val="20"/>
            <w:szCs w:val="20"/>
          </w:rPr>
          <w:instrText xml:space="preserve"> PAGEREF _Toc52873793 \h </w:instrText>
        </w:r>
        <w:r w:rsidRPr="009E27E4">
          <w:rPr>
            <w:rFonts w:cs="Arial"/>
            <w:i/>
            <w:noProof/>
            <w:webHidden/>
            <w:sz w:val="20"/>
            <w:szCs w:val="20"/>
          </w:rPr>
        </w:r>
        <w:r w:rsidRPr="009E27E4">
          <w:rPr>
            <w:rFonts w:cs="Arial"/>
            <w:i/>
            <w:noProof/>
            <w:webHidden/>
            <w:sz w:val="20"/>
            <w:szCs w:val="20"/>
          </w:rPr>
          <w:fldChar w:fldCharType="separate"/>
        </w:r>
        <w:r w:rsidRPr="009E27E4">
          <w:rPr>
            <w:rFonts w:cs="Arial"/>
            <w:i/>
            <w:noProof/>
            <w:webHidden/>
            <w:sz w:val="20"/>
            <w:szCs w:val="20"/>
          </w:rPr>
          <w:t>197</w:t>
        </w:r>
        <w:r w:rsidRPr="009E27E4">
          <w:rPr>
            <w:rFonts w:cs="Arial"/>
            <w:i/>
            <w:noProof/>
            <w:webHidden/>
            <w:sz w:val="20"/>
            <w:szCs w:val="20"/>
          </w:rPr>
          <w:fldChar w:fldCharType="end"/>
        </w:r>
      </w:hyperlink>
    </w:p>
    <w:p w14:paraId="06717B1A" w14:textId="08FF5DD0" w:rsidR="009E27E4" w:rsidRPr="009E27E4" w:rsidRDefault="009E27E4" w:rsidP="009E27E4">
      <w:pPr>
        <w:pStyle w:val="Tabledesillustrations"/>
        <w:tabs>
          <w:tab w:val="right" w:leader="dot" w:pos="9345"/>
        </w:tabs>
        <w:spacing w:before="80"/>
        <w:rPr>
          <w:rFonts w:eastAsiaTheme="minorEastAsia" w:cs="Arial"/>
          <w:i/>
          <w:noProof/>
          <w:sz w:val="20"/>
          <w:szCs w:val="20"/>
          <w:lang w:eastAsia="fr-FR"/>
        </w:rPr>
      </w:pPr>
      <w:hyperlink w:anchor="_Toc52873794" w:history="1">
        <w:r w:rsidRPr="009E27E4">
          <w:rPr>
            <w:rStyle w:val="Lienhypertexte"/>
            <w:rFonts w:eastAsia="Calibri" w:cs="Arial"/>
            <w:i/>
            <w:noProof/>
            <w:sz w:val="20"/>
            <w:szCs w:val="20"/>
            <w:lang w:eastAsia="fr-FR"/>
          </w:rPr>
          <w:t>Tableau 70 : Synthèse de  la mise en œuvre  et suivi – évaluation du PAR</w:t>
        </w:r>
        <w:r w:rsidRPr="009E27E4">
          <w:rPr>
            <w:rFonts w:cs="Arial"/>
            <w:i/>
            <w:noProof/>
            <w:webHidden/>
            <w:sz w:val="20"/>
            <w:szCs w:val="20"/>
          </w:rPr>
          <w:tab/>
        </w:r>
        <w:r w:rsidRPr="009E27E4">
          <w:rPr>
            <w:rFonts w:cs="Arial"/>
            <w:i/>
            <w:noProof/>
            <w:webHidden/>
            <w:sz w:val="20"/>
            <w:szCs w:val="20"/>
          </w:rPr>
          <w:fldChar w:fldCharType="begin"/>
        </w:r>
        <w:r w:rsidRPr="009E27E4">
          <w:rPr>
            <w:rFonts w:cs="Arial"/>
            <w:i/>
            <w:noProof/>
            <w:webHidden/>
            <w:sz w:val="20"/>
            <w:szCs w:val="20"/>
          </w:rPr>
          <w:instrText xml:space="preserve"> PAGEREF _Toc52873794 \h </w:instrText>
        </w:r>
        <w:r w:rsidRPr="009E27E4">
          <w:rPr>
            <w:rFonts w:cs="Arial"/>
            <w:i/>
            <w:noProof/>
            <w:webHidden/>
            <w:sz w:val="20"/>
            <w:szCs w:val="20"/>
          </w:rPr>
        </w:r>
        <w:r w:rsidRPr="009E27E4">
          <w:rPr>
            <w:rFonts w:cs="Arial"/>
            <w:i/>
            <w:noProof/>
            <w:webHidden/>
            <w:sz w:val="20"/>
            <w:szCs w:val="20"/>
          </w:rPr>
          <w:fldChar w:fldCharType="separate"/>
        </w:r>
        <w:r w:rsidRPr="009E27E4">
          <w:rPr>
            <w:rFonts w:cs="Arial"/>
            <w:i/>
            <w:noProof/>
            <w:webHidden/>
            <w:sz w:val="20"/>
            <w:szCs w:val="20"/>
          </w:rPr>
          <w:t>199</w:t>
        </w:r>
        <w:r w:rsidRPr="009E27E4">
          <w:rPr>
            <w:rFonts w:cs="Arial"/>
            <w:i/>
            <w:noProof/>
            <w:webHidden/>
            <w:sz w:val="20"/>
            <w:szCs w:val="20"/>
          </w:rPr>
          <w:fldChar w:fldCharType="end"/>
        </w:r>
      </w:hyperlink>
    </w:p>
    <w:p w14:paraId="4A8C4094" w14:textId="6D6E75AC" w:rsidR="009E27E4" w:rsidRPr="009E27E4" w:rsidRDefault="009E27E4" w:rsidP="009E27E4">
      <w:pPr>
        <w:pStyle w:val="Tabledesillustrations"/>
        <w:tabs>
          <w:tab w:val="right" w:leader="dot" w:pos="9345"/>
        </w:tabs>
        <w:spacing w:before="80"/>
        <w:rPr>
          <w:rFonts w:eastAsiaTheme="minorEastAsia" w:cs="Arial"/>
          <w:i/>
          <w:noProof/>
          <w:sz w:val="20"/>
          <w:szCs w:val="20"/>
          <w:lang w:eastAsia="fr-FR"/>
        </w:rPr>
      </w:pPr>
      <w:hyperlink w:anchor="_Toc52873795" w:history="1">
        <w:r w:rsidRPr="009E27E4">
          <w:rPr>
            <w:rStyle w:val="Lienhypertexte"/>
            <w:rFonts w:cs="Arial"/>
            <w:i/>
            <w:noProof/>
            <w:sz w:val="20"/>
            <w:szCs w:val="20"/>
          </w:rPr>
          <w:t>Tableau 71 :</w:t>
        </w:r>
        <w:r w:rsidRPr="009E27E4">
          <w:rPr>
            <w:rStyle w:val="Lienhypertexte"/>
            <w:rFonts w:eastAsia="Times New Roman" w:cs="Arial"/>
            <w:i/>
            <w:noProof/>
            <w:sz w:val="20"/>
            <w:szCs w:val="20"/>
          </w:rPr>
          <w:t xml:space="preserve"> Synthèse du budget de mise en œuvre du PAR</w:t>
        </w:r>
        <w:r w:rsidRPr="009E27E4">
          <w:rPr>
            <w:rFonts w:cs="Arial"/>
            <w:i/>
            <w:noProof/>
            <w:webHidden/>
            <w:sz w:val="20"/>
            <w:szCs w:val="20"/>
          </w:rPr>
          <w:tab/>
        </w:r>
        <w:r w:rsidRPr="009E27E4">
          <w:rPr>
            <w:rFonts w:cs="Arial"/>
            <w:i/>
            <w:noProof/>
            <w:webHidden/>
            <w:sz w:val="20"/>
            <w:szCs w:val="20"/>
          </w:rPr>
          <w:fldChar w:fldCharType="begin"/>
        </w:r>
        <w:r w:rsidRPr="009E27E4">
          <w:rPr>
            <w:rFonts w:cs="Arial"/>
            <w:i/>
            <w:noProof/>
            <w:webHidden/>
            <w:sz w:val="20"/>
            <w:szCs w:val="20"/>
          </w:rPr>
          <w:instrText xml:space="preserve"> PAGEREF _Toc52873795 \h </w:instrText>
        </w:r>
        <w:r w:rsidRPr="009E27E4">
          <w:rPr>
            <w:rFonts w:cs="Arial"/>
            <w:i/>
            <w:noProof/>
            <w:webHidden/>
            <w:sz w:val="20"/>
            <w:szCs w:val="20"/>
          </w:rPr>
        </w:r>
        <w:r w:rsidRPr="009E27E4">
          <w:rPr>
            <w:rFonts w:cs="Arial"/>
            <w:i/>
            <w:noProof/>
            <w:webHidden/>
            <w:sz w:val="20"/>
            <w:szCs w:val="20"/>
          </w:rPr>
          <w:fldChar w:fldCharType="separate"/>
        </w:r>
        <w:r w:rsidRPr="009E27E4">
          <w:rPr>
            <w:rFonts w:cs="Arial"/>
            <w:i/>
            <w:noProof/>
            <w:webHidden/>
            <w:sz w:val="20"/>
            <w:szCs w:val="20"/>
          </w:rPr>
          <w:t>201</w:t>
        </w:r>
        <w:r w:rsidRPr="009E27E4">
          <w:rPr>
            <w:rFonts w:cs="Arial"/>
            <w:i/>
            <w:noProof/>
            <w:webHidden/>
            <w:sz w:val="20"/>
            <w:szCs w:val="20"/>
          </w:rPr>
          <w:fldChar w:fldCharType="end"/>
        </w:r>
      </w:hyperlink>
    </w:p>
    <w:p w14:paraId="01964716" w14:textId="096DB555" w:rsidR="009E27E4" w:rsidRPr="009E27E4" w:rsidRDefault="009E27E4" w:rsidP="009E27E4">
      <w:pPr>
        <w:pStyle w:val="Tabledesillustrations"/>
        <w:tabs>
          <w:tab w:val="right" w:leader="dot" w:pos="9345"/>
        </w:tabs>
        <w:spacing w:before="80"/>
        <w:rPr>
          <w:rFonts w:eastAsiaTheme="minorEastAsia" w:cs="Arial"/>
          <w:i/>
          <w:noProof/>
          <w:sz w:val="20"/>
          <w:szCs w:val="20"/>
          <w:lang w:eastAsia="fr-FR"/>
        </w:rPr>
      </w:pPr>
      <w:hyperlink w:anchor="_Toc52873796" w:history="1">
        <w:r w:rsidRPr="009E27E4">
          <w:rPr>
            <w:rStyle w:val="Lienhypertexte"/>
            <w:rFonts w:cs="Arial"/>
            <w:i/>
            <w:noProof/>
            <w:sz w:val="20"/>
            <w:szCs w:val="20"/>
          </w:rPr>
          <w:t>Tableau 72 : Structures du PGES : rôles et responsabilités</w:t>
        </w:r>
        <w:r w:rsidRPr="009E27E4">
          <w:rPr>
            <w:rFonts w:cs="Arial"/>
            <w:i/>
            <w:noProof/>
            <w:webHidden/>
            <w:sz w:val="20"/>
            <w:szCs w:val="20"/>
          </w:rPr>
          <w:tab/>
        </w:r>
        <w:r w:rsidRPr="009E27E4">
          <w:rPr>
            <w:rFonts w:cs="Arial"/>
            <w:i/>
            <w:noProof/>
            <w:webHidden/>
            <w:sz w:val="20"/>
            <w:szCs w:val="20"/>
          </w:rPr>
          <w:fldChar w:fldCharType="begin"/>
        </w:r>
        <w:r w:rsidRPr="009E27E4">
          <w:rPr>
            <w:rFonts w:cs="Arial"/>
            <w:i/>
            <w:noProof/>
            <w:webHidden/>
            <w:sz w:val="20"/>
            <w:szCs w:val="20"/>
          </w:rPr>
          <w:instrText xml:space="preserve"> PAGEREF _Toc52873796 \h </w:instrText>
        </w:r>
        <w:r w:rsidRPr="009E27E4">
          <w:rPr>
            <w:rFonts w:cs="Arial"/>
            <w:i/>
            <w:noProof/>
            <w:webHidden/>
            <w:sz w:val="20"/>
            <w:szCs w:val="20"/>
          </w:rPr>
        </w:r>
        <w:r w:rsidRPr="009E27E4">
          <w:rPr>
            <w:rFonts w:cs="Arial"/>
            <w:i/>
            <w:noProof/>
            <w:webHidden/>
            <w:sz w:val="20"/>
            <w:szCs w:val="20"/>
          </w:rPr>
          <w:fldChar w:fldCharType="separate"/>
        </w:r>
        <w:r w:rsidRPr="009E27E4">
          <w:rPr>
            <w:rFonts w:cs="Arial"/>
            <w:i/>
            <w:noProof/>
            <w:webHidden/>
            <w:sz w:val="20"/>
            <w:szCs w:val="20"/>
          </w:rPr>
          <w:t>206</w:t>
        </w:r>
        <w:r w:rsidRPr="009E27E4">
          <w:rPr>
            <w:rFonts w:cs="Arial"/>
            <w:i/>
            <w:noProof/>
            <w:webHidden/>
            <w:sz w:val="20"/>
            <w:szCs w:val="20"/>
          </w:rPr>
          <w:fldChar w:fldCharType="end"/>
        </w:r>
      </w:hyperlink>
    </w:p>
    <w:p w14:paraId="7D31B7E2" w14:textId="7039783B" w:rsidR="009E27E4" w:rsidRPr="009E27E4" w:rsidRDefault="009E27E4" w:rsidP="009E27E4">
      <w:pPr>
        <w:pStyle w:val="Tabledesillustrations"/>
        <w:tabs>
          <w:tab w:val="right" w:leader="dot" w:pos="9345"/>
        </w:tabs>
        <w:spacing w:before="80"/>
        <w:rPr>
          <w:rFonts w:eastAsiaTheme="minorEastAsia" w:cs="Arial"/>
          <w:i/>
          <w:noProof/>
          <w:sz w:val="20"/>
          <w:szCs w:val="20"/>
          <w:lang w:eastAsia="fr-FR"/>
        </w:rPr>
      </w:pPr>
      <w:hyperlink w:anchor="_Toc52873797" w:history="1">
        <w:r w:rsidRPr="009E27E4">
          <w:rPr>
            <w:rStyle w:val="Lienhypertexte"/>
            <w:rFonts w:eastAsia="Times New Roman" w:cs="Arial"/>
            <w:i/>
            <w:noProof/>
            <w:sz w:val="20"/>
            <w:szCs w:val="20"/>
            <w:lang w:eastAsia="fr-FR"/>
          </w:rPr>
          <w:t>Tableau 73 : Matrice du Plan de gestion environnementale et sociale</w:t>
        </w:r>
        <w:r w:rsidRPr="009E27E4">
          <w:rPr>
            <w:rFonts w:cs="Arial"/>
            <w:i/>
            <w:noProof/>
            <w:webHidden/>
            <w:sz w:val="20"/>
            <w:szCs w:val="20"/>
          </w:rPr>
          <w:tab/>
        </w:r>
        <w:r w:rsidRPr="009E27E4">
          <w:rPr>
            <w:rFonts w:cs="Arial"/>
            <w:i/>
            <w:noProof/>
            <w:webHidden/>
            <w:sz w:val="20"/>
            <w:szCs w:val="20"/>
          </w:rPr>
          <w:fldChar w:fldCharType="begin"/>
        </w:r>
        <w:r w:rsidRPr="009E27E4">
          <w:rPr>
            <w:rFonts w:cs="Arial"/>
            <w:i/>
            <w:noProof/>
            <w:webHidden/>
            <w:sz w:val="20"/>
            <w:szCs w:val="20"/>
          </w:rPr>
          <w:instrText xml:space="preserve"> PAGEREF _Toc52873797 \h </w:instrText>
        </w:r>
        <w:r w:rsidRPr="009E27E4">
          <w:rPr>
            <w:rFonts w:cs="Arial"/>
            <w:i/>
            <w:noProof/>
            <w:webHidden/>
            <w:sz w:val="20"/>
            <w:szCs w:val="20"/>
          </w:rPr>
        </w:r>
        <w:r w:rsidRPr="009E27E4">
          <w:rPr>
            <w:rFonts w:cs="Arial"/>
            <w:i/>
            <w:noProof/>
            <w:webHidden/>
            <w:sz w:val="20"/>
            <w:szCs w:val="20"/>
          </w:rPr>
          <w:fldChar w:fldCharType="separate"/>
        </w:r>
        <w:r w:rsidRPr="009E27E4">
          <w:rPr>
            <w:rFonts w:cs="Arial"/>
            <w:i/>
            <w:noProof/>
            <w:webHidden/>
            <w:sz w:val="20"/>
            <w:szCs w:val="20"/>
          </w:rPr>
          <w:t>208</w:t>
        </w:r>
        <w:r w:rsidRPr="009E27E4">
          <w:rPr>
            <w:rFonts w:cs="Arial"/>
            <w:i/>
            <w:noProof/>
            <w:webHidden/>
            <w:sz w:val="20"/>
            <w:szCs w:val="20"/>
          </w:rPr>
          <w:fldChar w:fldCharType="end"/>
        </w:r>
      </w:hyperlink>
    </w:p>
    <w:p w14:paraId="77684F56" w14:textId="75EC2345" w:rsidR="009E27E4" w:rsidRPr="009E27E4" w:rsidRDefault="009E27E4" w:rsidP="009E27E4">
      <w:pPr>
        <w:pStyle w:val="Tabledesillustrations"/>
        <w:tabs>
          <w:tab w:val="right" w:leader="dot" w:pos="9345"/>
        </w:tabs>
        <w:spacing w:before="80"/>
        <w:rPr>
          <w:rFonts w:eastAsiaTheme="minorEastAsia" w:cs="Arial"/>
          <w:i/>
          <w:noProof/>
          <w:sz w:val="20"/>
          <w:szCs w:val="20"/>
          <w:lang w:eastAsia="fr-FR"/>
        </w:rPr>
      </w:pPr>
      <w:hyperlink w:anchor="_Toc52873798" w:history="1">
        <w:r w:rsidRPr="009E27E4">
          <w:rPr>
            <w:rStyle w:val="Lienhypertexte"/>
            <w:rFonts w:eastAsia="Times New Roman" w:cs="Arial"/>
            <w:i/>
            <w:noProof/>
            <w:sz w:val="20"/>
            <w:szCs w:val="20"/>
            <w:lang w:eastAsia="fr-FR"/>
          </w:rPr>
          <w:t xml:space="preserve">Tableau 74 : </w:t>
        </w:r>
        <w:r>
          <w:rPr>
            <w:rStyle w:val="Lienhypertexte"/>
            <w:rFonts w:eastAsia="Times New Roman" w:cs="Arial"/>
            <w:i/>
            <w:noProof/>
            <w:sz w:val="20"/>
            <w:szCs w:val="20"/>
            <w:lang w:eastAsia="fr-FR"/>
          </w:rPr>
          <w:t>Dé</w:t>
        </w:r>
        <w:r w:rsidRPr="009E27E4">
          <w:rPr>
            <w:rStyle w:val="Lienhypertexte"/>
            <w:rFonts w:eastAsia="Times New Roman" w:cs="Arial"/>
            <w:i/>
            <w:noProof/>
            <w:sz w:val="20"/>
            <w:szCs w:val="20"/>
            <w:lang w:eastAsia="fr-FR"/>
          </w:rPr>
          <w:t>tails du cout des mesures du pges</w:t>
        </w:r>
        <w:r w:rsidRPr="009E27E4">
          <w:rPr>
            <w:rFonts w:cs="Arial"/>
            <w:i/>
            <w:noProof/>
            <w:webHidden/>
            <w:sz w:val="20"/>
            <w:szCs w:val="20"/>
          </w:rPr>
          <w:tab/>
        </w:r>
        <w:r w:rsidRPr="009E27E4">
          <w:rPr>
            <w:rFonts w:cs="Arial"/>
            <w:i/>
            <w:noProof/>
            <w:webHidden/>
            <w:sz w:val="20"/>
            <w:szCs w:val="20"/>
          </w:rPr>
          <w:fldChar w:fldCharType="begin"/>
        </w:r>
        <w:r w:rsidRPr="009E27E4">
          <w:rPr>
            <w:rFonts w:cs="Arial"/>
            <w:i/>
            <w:noProof/>
            <w:webHidden/>
            <w:sz w:val="20"/>
            <w:szCs w:val="20"/>
          </w:rPr>
          <w:instrText xml:space="preserve"> PAGEREF _Toc52873798 \h </w:instrText>
        </w:r>
        <w:r w:rsidRPr="009E27E4">
          <w:rPr>
            <w:rFonts w:cs="Arial"/>
            <w:i/>
            <w:noProof/>
            <w:webHidden/>
            <w:sz w:val="20"/>
            <w:szCs w:val="20"/>
          </w:rPr>
        </w:r>
        <w:r w:rsidRPr="009E27E4">
          <w:rPr>
            <w:rFonts w:cs="Arial"/>
            <w:i/>
            <w:noProof/>
            <w:webHidden/>
            <w:sz w:val="20"/>
            <w:szCs w:val="20"/>
          </w:rPr>
          <w:fldChar w:fldCharType="separate"/>
        </w:r>
        <w:r w:rsidRPr="009E27E4">
          <w:rPr>
            <w:rFonts w:cs="Arial"/>
            <w:i/>
            <w:noProof/>
            <w:webHidden/>
            <w:sz w:val="20"/>
            <w:szCs w:val="20"/>
          </w:rPr>
          <w:t>219</w:t>
        </w:r>
        <w:r w:rsidRPr="009E27E4">
          <w:rPr>
            <w:rFonts w:cs="Arial"/>
            <w:i/>
            <w:noProof/>
            <w:webHidden/>
            <w:sz w:val="20"/>
            <w:szCs w:val="20"/>
          </w:rPr>
          <w:fldChar w:fldCharType="end"/>
        </w:r>
      </w:hyperlink>
    </w:p>
    <w:p w14:paraId="77B893BE" w14:textId="3F1D996C" w:rsidR="009E27E4" w:rsidRPr="009E27E4" w:rsidRDefault="009E27E4" w:rsidP="009E27E4">
      <w:pPr>
        <w:pStyle w:val="Tabledesillustrations"/>
        <w:tabs>
          <w:tab w:val="right" w:leader="dot" w:pos="9345"/>
        </w:tabs>
        <w:spacing w:before="80"/>
        <w:rPr>
          <w:rFonts w:eastAsiaTheme="minorEastAsia" w:cs="Arial"/>
          <w:i/>
          <w:noProof/>
          <w:sz w:val="20"/>
          <w:szCs w:val="20"/>
          <w:lang w:eastAsia="fr-FR"/>
        </w:rPr>
      </w:pPr>
      <w:hyperlink w:anchor="_Toc52873799" w:history="1">
        <w:r w:rsidRPr="009E27E4">
          <w:rPr>
            <w:rStyle w:val="Lienhypertexte"/>
            <w:rFonts w:cs="Arial"/>
            <w:i/>
            <w:noProof/>
            <w:sz w:val="20"/>
            <w:szCs w:val="20"/>
          </w:rPr>
          <w:t xml:space="preserve">Tableau 75 </w:t>
        </w:r>
        <w:r w:rsidRPr="009E27E4">
          <w:rPr>
            <w:rStyle w:val="Lienhypertexte"/>
            <w:rFonts w:eastAsia="Calibri" w:cs="Arial"/>
            <w:i/>
            <w:noProof/>
            <w:sz w:val="20"/>
            <w:szCs w:val="20"/>
          </w:rPr>
          <w:t>: Besoins en formation, thèmes et coûts en fonction des cibles</w:t>
        </w:r>
        <w:r w:rsidRPr="009E27E4">
          <w:rPr>
            <w:rFonts w:cs="Arial"/>
            <w:i/>
            <w:noProof/>
            <w:webHidden/>
            <w:sz w:val="20"/>
            <w:szCs w:val="20"/>
          </w:rPr>
          <w:tab/>
        </w:r>
        <w:r w:rsidRPr="009E27E4">
          <w:rPr>
            <w:rFonts w:cs="Arial"/>
            <w:i/>
            <w:noProof/>
            <w:webHidden/>
            <w:sz w:val="20"/>
            <w:szCs w:val="20"/>
          </w:rPr>
          <w:fldChar w:fldCharType="begin"/>
        </w:r>
        <w:r w:rsidRPr="009E27E4">
          <w:rPr>
            <w:rFonts w:cs="Arial"/>
            <w:i/>
            <w:noProof/>
            <w:webHidden/>
            <w:sz w:val="20"/>
            <w:szCs w:val="20"/>
          </w:rPr>
          <w:instrText xml:space="preserve"> PAGEREF _Toc52873799 \h </w:instrText>
        </w:r>
        <w:r w:rsidRPr="009E27E4">
          <w:rPr>
            <w:rFonts w:cs="Arial"/>
            <w:i/>
            <w:noProof/>
            <w:webHidden/>
            <w:sz w:val="20"/>
            <w:szCs w:val="20"/>
          </w:rPr>
        </w:r>
        <w:r w:rsidRPr="009E27E4">
          <w:rPr>
            <w:rFonts w:cs="Arial"/>
            <w:i/>
            <w:noProof/>
            <w:webHidden/>
            <w:sz w:val="20"/>
            <w:szCs w:val="20"/>
          </w:rPr>
          <w:fldChar w:fldCharType="separate"/>
        </w:r>
        <w:r w:rsidRPr="009E27E4">
          <w:rPr>
            <w:rFonts w:cs="Arial"/>
            <w:i/>
            <w:noProof/>
            <w:webHidden/>
            <w:sz w:val="20"/>
            <w:szCs w:val="20"/>
          </w:rPr>
          <w:t>223</w:t>
        </w:r>
        <w:r w:rsidRPr="009E27E4">
          <w:rPr>
            <w:rFonts w:cs="Arial"/>
            <w:i/>
            <w:noProof/>
            <w:webHidden/>
            <w:sz w:val="20"/>
            <w:szCs w:val="20"/>
          </w:rPr>
          <w:fldChar w:fldCharType="end"/>
        </w:r>
      </w:hyperlink>
    </w:p>
    <w:p w14:paraId="7630B43D" w14:textId="52624077" w:rsidR="00AB04ED" w:rsidRPr="009E27E4" w:rsidRDefault="00EC72A9" w:rsidP="009E27E4">
      <w:pPr>
        <w:spacing w:before="80" w:line="240" w:lineRule="auto"/>
        <w:rPr>
          <w:rFonts w:cs="Arial"/>
          <w:i/>
          <w:sz w:val="20"/>
          <w:szCs w:val="20"/>
        </w:rPr>
      </w:pPr>
      <w:r w:rsidRPr="009E27E4">
        <w:rPr>
          <w:rFonts w:cs="Arial"/>
          <w:i/>
          <w:sz w:val="20"/>
          <w:szCs w:val="20"/>
        </w:rPr>
        <w:fldChar w:fldCharType="end"/>
      </w:r>
    </w:p>
    <w:p w14:paraId="457F8C55" w14:textId="77777777" w:rsidR="00AB04ED" w:rsidRPr="00A9330B" w:rsidRDefault="00AB04ED" w:rsidP="000A3FEC">
      <w:pPr>
        <w:spacing w:before="60" w:line="240" w:lineRule="auto"/>
        <w:rPr>
          <w:i/>
          <w:sz w:val="20"/>
          <w:szCs w:val="20"/>
        </w:rPr>
      </w:pPr>
      <w:r w:rsidRPr="00A9330B">
        <w:rPr>
          <w:i/>
          <w:sz w:val="20"/>
          <w:szCs w:val="20"/>
        </w:rPr>
        <w:br/>
      </w:r>
    </w:p>
    <w:p w14:paraId="4937829A" w14:textId="77777777" w:rsidR="00AB04ED" w:rsidRPr="00A9330B" w:rsidRDefault="00AB04ED" w:rsidP="00AB04ED">
      <w:pPr>
        <w:spacing w:line="120" w:lineRule="auto"/>
        <w:jc w:val="center"/>
        <w:rPr>
          <w:rFonts w:eastAsiaTheme="majorEastAsia" w:cstheme="majorBidi"/>
          <w:b/>
          <w:color w:val="00B050"/>
          <w:sz w:val="28"/>
          <w:szCs w:val="24"/>
        </w:rPr>
      </w:pPr>
      <w:r w:rsidRPr="00A9330B">
        <w:br w:type="page"/>
      </w:r>
    </w:p>
    <w:p w14:paraId="719A3319" w14:textId="511582BF" w:rsidR="00AB04ED" w:rsidRPr="00A9330B" w:rsidRDefault="00AB04ED" w:rsidP="0064324E">
      <w:pPr>
        <w:pStyle w:val="Titre1"/>
      </w:pPr>
      <w:bookmarkStart w:id="29" w:name="_Toc52869526"/>
      <w:bookmarkStart w:id="30" w:name="_Toc52869816"/>
      <w:r w:rsidRPr="00A9330B">
        <w:lastRenderedPageBreak/>
        <w:t>LISTE DES FIGURE</w:t>
      </w:r>
      <w:r w:rsidR="00EC72A9" w:rsidRPr="00A9330B">
        <w:t>S</w:t>
      </w:r>
      <w:bookmarkEnd w:id="29"/>
      <w:bookmarkEnd w:id="30"/>
      <w:r w:rsidRPr="00A9330B">
        <w:t xml:space="preserve"> </w:t>
      </w:r>
      <w:r w:rsidR="004253ED" w:rsidRPr="00A9330B">
        <w:t xml:space="preserve"> </w:t>
      </w:r>
    </w:p>
    <w:p w14:paraId="6F6A8597" w14:textId="6AC25B8A" w:rsidR="00E02DA1" w:rsidRPr="00A9330B" w:rsidRDefault="00EC72A9" w:rsidP="00E02DA1">
      <w:pPr>
        <w:pStyle w:val="Tabledesillustrations"/>
        <w:tabs>
          <w:tab w:val="right" w:leader="dot" w:pos="9345"/>
        </w:tabs>
        <w:rPr>
          <w:rFonts w:asciiTheme="minorHAnsi" w:eastAsiaTheme="minorEastAsia" w:hAnsiTheme="minorHAnsi"/>
          <w:i/>
          <w:noProof/>
          <w:sz w:val="20"/>
          <w:szCs w:val="20"/>
          <w:lang w:eastAsia="fr-FR"/>
        </w:rPr>
      </w:pPr>
      <w:r w:rsidRPr="00A9330B">
        <w:rPr>
          <w:i/>
          <w:sz w:val="20"/>
          <w:szCs w:val="20"/>
          <w:lang w:eastAsia="fr-FR"/>
        </w:rPr>
        <w:fldChar w:fldCharType="begin"/>
      </w:r>
      <w:r w:rsidRPr="00A9330B">
        <w:rPr>
          <w:i/>
          <w:sz w:val="20"/>
          <w:szCs w:val="20"/>
          <w:lang w:eastAsia="fr-FR"/>
        </w:rPr>
        <w:instrText xml:space="preserve"> TOC \h \z \c "Figure" </w:instrText>
      </w:r>
      <w:r w:rsidRPr="00A9330B">
        <w:rPr>
          <w:i/>
          <w:sz w:val="20"/>
          <w:szCs w:val="20"/>
          <w:lang w:eastAsia="fr-FR"/>
        </w:rPr>
        <w:fldChar w:fldCharType="separate"/>
      </w:r>
      <w:hyperlink w:anchor="_Toc51844214" w:history="1">
        <w:r w:rsidR="00E02DA1" w:rsidRPr="00A9330B">
          <w:rPr>
            <w:rStyle w:val="Lienhypertexte"/>
            <w:i/>
            <w:noProof/>
            <w:sz w:val="20"/>
            <w:szCs w:val="20"/>
          </w:rPr>
          <w:t>Figure 1 : Schéma représentant les différentes aires d'étude</w:t>
        </w:r>
        <w:r w:rsidR="00E02DA1" w:rsidRPr="00A9330B">
          <w:rPr>
            <w:i/>
            <w:noProof/>
            <w:webHidden/>
            <w:sz w:val="20"/>
            <w:szCs w:val="20"/>
          </w:rPr>
          <w:tab/>
        </w:r>
        <w:r w:rsidR="00E02DA1" w:rsidRPr="00A9330B">
          <w:rPr>
            <w:i/>
            <w:noProof/>
            <w:webHidden/>
            <w:sz w:val="20"/>
            <w:szCs w:val="20"/>
          </w:rPr>
          <w:fldChar w:fldCharType="begin"/>
        </w:r>
        <w:r w:rsidR="00E02DA1" w:rsidRPr="00A9330B">
          <w:rPr>
            <w:i/>
            <w:noProof/>
            <w:webHidden/>
            <w:sz w:val="20"/>
            <w:szCs w:val="20"/>
          </w:rPr>
          <w:instrText xml:space="preserve"> PAGEREF _Toc51844214 \h </w:instrText>
        </w:r>
        <w:r w:rsidR="00E02DA1" w:rsidRPr="00A9330B">
          <w:rPr>
            <w:i/>
            <w:noProof/>
            <w:webHidden/>
            <w:sz w:val="20"/>
            <w:szCs w:val="20"/>
          </w:rPr>
        </w:r>
        <w:r w:rsidR="00E02DA1" w:rsidRPr="00A9330B">
          <w:rPr>
            <w:i/>
            <w:noProof/>
            <w:webHidden/>
            <w:sz w:val="20"/>
            <w:szCs w:val="20"/>
          </w:rPr>
          <w:fldChar w:fldCharType="separate"/>
        </w:r>
        <w:r w:rsidR="009E27E4">
          <w:rPr>
            <w:i/>
            <w:noProof/>
            <w:webHidden/>
            <w:sz w:val="20"/>
            <w:szCs w:val="20"/>
          </w:rPr>
          <w:t>10</w:t>
        </w:r>
        <w:r w:rsidR="00E02DA1" w:rsidRPr="00A9330B">
          <w:rPr>
            <w:i/>
            <w:noProof/>
            <w:webHidden/>
            <w:sz w:val="20"/>
            <w:szCs w:val="20"/>
          </w:rPr>
          <w:fldChar w:fldCharType="end"/>
        </w:r>
      </w:hyperlink>
    </w:p>
    <w:p w14:paraId="6493EDDC" w14:textId="272C895F" w:rsidR="00E02DA1" w:rsidRPr="00A9330B" w:rsidRDefault="00D24D0D" w:rsidP="00E02DA1">
      <w:pPr>
        <w:pStyle w:val="Tabledesillustrations"/>
        <w:tabs>
          <w:tab w:val="right" w:leader="dot" w:pos="9345"/>
        </w:tabs>
        <w:rPr>
          <w:rFonts w:asciiTheme="minorHAnsi" w:eastAsiaTheme="minorEastAsia" w:hAnsiTheme="minorHAnsi"/>
          <w:i/>
          <w:noProof/>
          <w:sz w:val="20"/>
          <w:szCs w:val="20"/>
          <w:lang w:eastAsia="fr-FR"/>
        </w:rPr>
      </w:pPr>
      <w:hyperlink w:anchor="_Toc51844215" w:history="1">
        <w:r w:rsidR="00E02DA1" w:rsidRPr="00A9330B">
          <w:rPr>
            <w:rStyle w:val="Lienhypertexte"/>
            <w:i/>
            <w:noProof/>
            <w:sz w:val="20"/>
            <w:szCs w:val="20"/>
          </w:rPr>
          <w:t>Figure 2 : Représentation d’une charte d’estimation visuelle</w:t>
        </w:r>
        <w:r w:rsidR="00E02DA1" w:rsidRPr="00A9330B">
          <w:rPr>
            <w:i/>
            <w:noProof/>
            <w:webHidden/>
            <w:sz w:val="20"/>
            <w:szCs w:val="20"/>
          </w:rPr>
          <w:tab/>
        </w:r>
        <w:r w:rsidR="00E02DA1" w:rsidRPr="00A9330B">
          <w:rPr>
            <w:i/>
            <w:noProof/>
            <w:webHidden/>
            <w:sz w:val="20"/>
            <w:szCs w:val="20"/>
          </w:rPr>
          <w:fldChar w:fldCharType="begin"/>
        </w:r>
        <w:r w:rsidR="00E02DA1" w:rsidRPr="00A9330B">
          <w:rPr>
            <w:i/>
            <w:noProof/>
            <w:webHidden/>
            <w:sz w:val="20"/>
            <w:szCs w:val="20"/>
          </w:rPr>
          <w:instrText xml:space="preserve"> PAGEREF _Toc51844215 \h </w:instrText>
        </w:r>
        <w:r w:rsidR="00E02DA1" w:rsidRPr="00A9330B">
          <w:rPr>
            <w:i/>
            <w:noProof/>
            <w:webHidden/>
            <w:sz w:val="20"/>
            <w:szCs w:val="20"/>
          </w:rPr>
        </w:r>
        <w:r w:rsidR="00E02DA1" w:rsidRPr="00A9330B">
          <w:rPr>
            <w:i/>
            <w:noProof/>
            <w:webHidden/>
            <w:sz w:val="20"/>
            <w:szCs w:val="20"/>
          </w:rPr>
          <w:fldChar w:fldCharType="separate"/>
        </w:r>
        <w:r w:rsidR="009E27E4">
          <w:rPr>
            <w:i/>
            <w:noProof/>
            <w:webHidden/>
            <w:sz w:val="20"/>
            <w:szCs w:val="20"/>
          </w:rPr>
          <w:t>13</w:t>
        </w:r>
        <w:r w:rsidR="00E02DA1" w:rsidRPr="00A9330B">
          <w:rPr>
            <w:i/>
            <w:noProof/>
            <w:webHidden/>
            <w:sz w:val="20"/>
            <w:szCs w:val="20"/>
          </w:rPr>
          <w:fldChar w:fldCharType="end"/>
        </w:r>
      </w:hyperlink>
    </w:p>
    <w:p w14:paraId="1A190271" w14:textId="4E0ADA26" w:rsidR="00E02DA1" w:rsidRPr="00A9330B" w:rsidRDefault="00D24D0D" w:rsidP="00E02DA1">
      <w:pPr>
        <w:pStyle w:val="Tabledesillustrations"/>
        <w:tabs>
          <w:tab w:val="right" w:leader="dot" w:pos="9345"/>
        </w:tabs>
        <w:rPr>
          <w:rFonts w:asciiTheme="minorHAnsi" w:eastAsiaTheme="minorEastAsia" w:hAnsiTheme="minorHAnsi"/>
          <w:i/>
          <w:noProof/>
          <w:sz w:val="20"/>
          <w:szCs w:val="20"/>
          <w:lang w:eastAsia="fr-FR"/>
        </w:rPr>
      </w:pPr>
      <w:hyperlink w:anchor="_Toc51844216" w:history="1">
        <w:r w:rsidR="00E02DA1" w:rsidRPr="00A9330B">
          <w:rPr>
            <w:rStyle w:val="Lienhypertexte"/>
            <w:i/>
            <w:noProof/>
            <w:sz w:val="20"/>
            <w:szCs w:val="20"/>
          </w:rPr>
          <w:t>Figure 3 : Echantillonnage réalisés dans le cadre de l’enquête socio-économique  dans la ville de Natitingou</w:t>
        </w:r>
        <w:r w:rsidR="00E02DA1" w:rsidRPr="00A9330B">
          <w:rPr>
            <w:i/>
            <w:noProof/>
            <w:webHidden/>
            <w:sz w:val="20"/>
            <w:szCs w:val="20"/>
          </w:rPr>
          <w:tab/>
        </w:r>
        <w:r w:rsidR="00E02DA1" w:rsidRPr="00A9330B">
          <w:rPr>
            <w:i/>
            <w:noProof/>
            <w:webHidden/>
            <w:sz w:val="20"/>
            <w:szCs w:val="20"/>
          </w:rPr>
          <w:fldChar w:fldCharType="begin"/>
        </w:r>
        <w:r w:rsidR="00E02DA1" w:rsidRPr="00A9330B">
          <w:rPr>
            <w:i/>
            <w:noProof/>
            <w:webHidden/>
            <w:sz w:val="20"/>
            <w:szCs w:val="20"/>
          </w:rPr>
          <w:instrText xml:space="preserve"> PAGEREF _Toc51844216 \h </w:instrText>
        </w:r>
        <w:r w:rsidR="00E02DA1" w:rsidRPr="00A9330B">
          <w:rPr>
            <w:i/>
            <w:noProof/>
            <w:webHidden/>
            <w:sz w:val="20"/>
            <w:szCs w:val="20"/>
          </w:rPr>
        </w:r>
        <w:r w:rsidR="00E02DA1" w:rsidRPr="00A9330B">
          <w:rPr>
            <w:i/>
            <w:noProof/>
            <w:webHidden/>
            <w:sz w:val="20"/>
            <w:szCs w:val="20"/>
          </w:rPr>
          <w:fldChar w:fldCharType="separate"/>
        </w:r>
        <w:r w:rsidR="009E27E4">
          <w:rPr>
            <w:i/>
            <w:noProof/>
            <w:webHidden/>
            <w:sz w:val="20"/>
            <w:szCs w:val="20"/>
          </w:rPr>
          <w:t>18</w:t>
        </w:r>
        <w:r w:rsidR="00E02DA1" w:rsidRPr="00A9330B">
          <w:rPr>
            <w:i/>
            <w:noProof/>
            <w:webHidden/>
            <w:sz w:val="20"/>
            <w:szCs w:val="20"/>
          </w:rPr>
          <w:fldChar w:fldCharType="end"/>
        </w:r>
      </w:hyperlink>
    </w:p>
    <w:p w14:paraId="4C7F63A5" w14:textId="23B8950F" w:rsidR="00E02DA1" w:rsidRPr="00A9330B" w:rsidRDefault="00D24D0D" w:rsidP="00E02DA1">
      <w:pPr>
        <w:pStyle w:val="Tabledesillustrations"/>
        <w:tabs>
          <w:tab w:val="right" w:leader="dot" w:pos="9345"/>
        </w:tabs>
        <w:rPr>
          <w:rFonts w:asciiTheme="minorHAnsi" w:eastAsiaTheme="minorEastAsia" w:hAnsiTheme="minorHAnsi"/>
          <w:i/>
          <w:noProof/>
          <w:sz w:val="20"/>
          <w:szCs w:val="20"/>
          <w:lang w:eastAsia="fr-FR"/>
        </w:rPr>
      </w:pPr>
      <w:hyperlink w:anchor="_Toc51844217" w:history="1">
        <w:r w:rsidR="00E02DA1" w:rsidRPr="00A9330B">
          <w:rPr>
            <w:rStyle w:val="Lienhypertexte"/>
            <w:i/>
            <w:noProof/>
            <w:sz w:val="20"/>
            <w:szCs w:val="20"/>
          </w:rPr>
          <w:t>Figure 4 : Répartition des personnes enquêtées dans la ville de Natitingou</w:t>
        </w:r>
        <w:r w:rsidR="00E02DA1" w:rsidRPr="00A9330B">
          <w:rPr>
            <w:i/>
            <w:noProof/>
            <w:webHidden/>
            <w:sz w:val="20"/>
            <w:szCs w:val="20"/>
          </w:rPr>
          <w:tab/>
        </w:r>
        <w:r w:rsidR="00E02DA1" w:rsidRPr="00A9330B">
          <w:rPr>
            <w:i/>
            <w:noProof/>
            <w:webHidden/>
            <w:sz w:val="20"/>
            <w:szCs w:val="20"/>
          </w:rPr>
          <w:fldChar w:fldCharType="begin"/>
        </w:r>
        <w:r w:rsidR="00E02DA1" w:rsidRPr="00A9330B">
          <w:rPr>
            <w:i/>
            <w:noProof/>
            <w:webHidden/>
            <w:sz w:val="20"/>
            <w:szCs w:val="20"/>
          </w:rPr>
          <w:instrText xml:space="preserve"> PAGEREF _Toc51844217 \h </w:instrText>
        </w:r>
        <w:r w:rsidR="00E02DA1" w:rsidRPr="00A9330B">
          <w:rPr>
            <w:i/>
            <w:noProof/>
            <w:webHidden/>
            <w:sz w:val="20"/>
            <w:szCs w:val="20"/>
          </w:rPr>
        </w:r>
        <w:r w:rsidR="00E02DA1" w:rsidRPr="00A9330B">
          <w:rPr>
            <w:i/>
            <w:noProof/>
            <w:webHidden/>
            <w:sz w:val="20"/>
            <w:szCs w:val="20"/>
          </w:rPr>
          <w:fldChar w:fldCharType="separate"/>
        </w:r>
        <w:r w:rsidR="009E27E4">
          <w:rPr>
            <w:i/>
            <w:noProof/>
            <w:webHidden/>
            <w:sz w:val="20"/>
            <w:szCs w:val="20"/>
          </w:rPr>
          <w:t>21</w:t>
        </w:r>
        <w:r w:rsidR="00E02DA1" w:rsidRPr="00A9330B">
          <w:rPr>
            <w:i/>
            <w:noProof/>
            <w:webHidden/>
            <w:sz w:val="20"/>
            <w:szCs w:val="20"/>
          </w:rPr>
          <w:fldChar w:fldCharType="end"/>
        </w:r>
      </w:hyperlink>
    </w:p>
    <w:p w14:paraId="4E1E8C6E" w14:textId="28F0494D" w:rsidR="00E02DA1" w:rsidRPr="00A9330B" w:rsidRDefault="00D24D0D" w:rsidP="00E02DA1">
      <w:pPr>
        <w:pStyle w:val="Tabledesillustrations"/>
        <w:tabs>
          <w:tab w:val="right" w:leader="dot" w:pos="9345"/>
        </w:tabs>
        <w:rPr>
          <w:rFonts w:asciiTheme="minorHAnsi" w:eastAsiaTheme="minorEastAsia" w:hAnsiTheme="minorHAnsi"/>
          <w:i/>
          <w:noProof/>
          <w:sz w:val="20"/>
          <w:szCs w:val="20"/>
          <w:lang w:eastAsia="fr-FR"/>
        </w:rPr>
      </w:pPr>
      <w:hyperlink w:anchor="_Toc51844218" w:history="1">
        <w:r w:rsidR="00E02DA1" w:rsidRPr="00A9330B">
          <w:rPr>
            <w:rStyle w:val="Lienhypertexte"/>
            <w:i/>
            <w:noProof/>
            <w:sz w:val="20"/>
            <w:szCs w:val="20"/>
          </w:rPr>
          <w:t xml:space="preserve">Figure 5 : </w:t>
        </w:r>
        <w:r w:rsidR="00E02DA1" w:rsidRPr="00A9330B">
          <w:rPr>
            <w:rStyle w:val="Lienhypertexte"/>
            <w:rFonts w:eastAsia="Calibri"/>
            <w:i/>
            <w:noProof/>
            <w:sz w:val="20"/>
            <w:szCs w:val="20"/>
          </w:rPr>
          <w:t>Situation géographique et administrative de la ville de Natitingou</w:t>
        </w:r>
        <w:r w:rsidR="00E02DA1" w:rsidRPr="00A9330B">
          <w:rPr>
            <w:i/>
            <w:noProof/>
            <w:webHidden/>
            <w:sz w:val="20"/>
            <w:szCs w:val="20"/>
          </w:rPr>
          <w:tab/>
        </w:r>
        <w:r w:rsidR="00E02DA1" w:rsidRPr="00A9330B">
          <w:rPr>
            <w:i/>
            <w:noProof/>
            <w:webHidden/>
            <w:sz w:val="20"/>
            <w:szCs w:val="20"/>
          </w:rPr>
          <w:fldChar w:fldCharType="begin"/>
        </w:r>
        <w:r w:rsidR="00E02DA1" w:rsidRPr="00A9330B">
          <w:rPr>
            <w:i/>
            <w:noProof/>
            <w:webHidden/>
            <w:sz w:val="20"/>
            <w:szCs w:val="20"/>
          </w:rPr>
          <w:instrText xml:space="preserve"> PAGEREF _Toc51844218 \h </w:instrText>
        </w:r>
        <w:r w:rsidR="00E02DA1" w:rsidRPr="00A9330B">
          <w:rPr>
            <w:i/>
            <w:noProof/>
            <w:webHidden/>
            <w:sz w:val="20"/>
            <w:szCs w:val="20"/>
          </w:rPr>
        </w:r>
        <w:r w:rsidR="00E02DA1" w:rsidRPr="00A9330B">
          <w:rPr>
            <w:i/>
            <w:noProof/>
            <w:webHidden/>
            <w:sz w:val="20"/>
            <w:szCs w:val="20"/>
          </w:rPr>
          <w:fldChar w:fldCharType="separate"/>
        </w:r>
        <w:r w:rsidR="009E27E4">
          <w:rPr>
            <w:i/>
            <w:noProof/>
            <w:webHidden/>
            <w:sz w:val="20"/>
            <w:szCs w:val="20"/>
          </w:rPr>
          <w:t>49</w:t>
        </w:r>
        <w:r w:rsidR="00E02DA1" w:rsidRPr="00A9330B">
          <w:rPr>
            <w:i/>
            <w:noProof/>
            <w:webHidden/>
            <w:sz w:val="20"/>
            <w:szCs w:val="20"/>
          </w:rPr>
          <w:fldChar w:fldCharType="end"/>
        </w:r>
      </w:hyperlink>
    </w:p>
    <w:p w14:paraId="04FE297D" w14:textId="0EE177EF" w:rsidR="00E02DA1" w:rsidRPr="00A9330B" w:rsidRDefault="00D24D0D" w:rsidP="00E02DA1">
      <w:pPr>
        <w:pStyle w:val="Tabledesillustrations"/>
        <w:tabs>
          <w:tab w:val="right" w:leader="dot" w:pos="9345"/>
        </w:tabs>
        <w:rPr>
          <w:rFonts w:asciiTheme="minorHAnsi" w:eastAsiaTheme="minorEastAsia" w:hAnsiTheme="minorHAnsi"/>
          <w:i/>
          <w:noProof/>
          <w:sz w:val="20"/>
          <w:szCs w:val="20"/>
          <w:lang w:eastAsia="fr-FR"/>
        </w:rPr>
      </w:pPr>
      <w:hyperlink w:anchor="_Toc51844219" w:history="1">
        <w:r w:rsidR="00E02DA1" w:rsidRPr="00A9330B">
          <w:rPr>
            <w:rStyle w:val="Lienhypertexte"/>
            <w:i/>
            <w:noProof/>
            <w:sz w:val="20"/>
            <w:szCs w:val="20"/>
          </w:rPr>
          <w:t xml:space="preserve">Figure 6 </w:t>
        </w:r>
        <w:r w:rsidR="00E02DA1" w:rsidRPr="00A9330B">
          <w:rPr>
            <w:rStyle w:val="Lienhypertexte"/>
            <w:rFonts w:eastAsia="Calibri"/>
            <w:bCs/>
            <w:i/>
            <w:noProof/>
            <w:sz w:val="20"/>
            <w:szCs w:val="20"/>
          </w:rPr>
          <w:t>:</w:t>
        </w:r>
        <w:r w:rsidR="00E02DA1" w:rsidRPr="00A9330B">
          <w:rPr>
            <w:rStyle w:val="Lienhypertexte"/>
            <w:rFonts w:eastAsia="Calibri"/>
            <w:i/>
            <w:noProof/>
            <w:sz w:val="20"/>
            <w:szCs w:val="20"/>
          </w:rPr>
          <w:t xml:space="preserve"> Régime interannuel des pluies dans la ville de Natitingou (1971-2014)</w:t>
        </w:r>
        <w:r w:rsidR="00E02DA1" w:rsidRPr="00A9330B">
          <w:rPr>
            <w:i/>
            <w:noProof/>
            <w:webHidden/>
            <w:sz w:val="20"/>
            <w:szCs w:val="20"/>
          </w:rPr>
          <w:tab/>
        </w:r>
        <w:r w:rsidR="00E02DA1" w:rsidRPr="00A9330B">
          <w:rPr>
            <w:i/>
            <w:noProof/>
            <w:webHidden/>
            <w:sz w:val="20"/>
            <w:szCs w:val="20"/>
          </w:rPr>
          <w:fldChar w:fldCharType="begin"/>
        </w:r>
        <w:r w:rsidR="00E02DA1" w:rsidRPr="00A9330B">
          <w:rPr>
            <w:i/>
            <w:noProof/>
            <w:webHidden/>
            <w:sz w:val="20"/>
            <w:szCs w:val="20"/>
          </w:rPr>
          <w:instrText xml:space="preserve"> PAGEREF _Toc51844219 \h </w:instrText>
        </w:r>
        <w:r w:rsidR="00E02DA1" w:rsidRPr="00A9330B">
          <w:rPr>
            <w:i/>
            <w:noProof/>
            <w:webHidden/>
            <w:sz w:val="20"/>
            <w:szCs w:val="20"/>
          </w:rPr>
        </w:r>
        <w:r w:rsidR="00E02DA1" w:rsidRPr="00A9330B">
          <w:rPr>
            <w:i/>
            <w:noProof/>
            <w:webHidden/>
            <w:sz w:val="20"/>
            <w:szCs w:val="20"/>
          </w:rPr>
          <w:fldChar w:fldCharType="separate"/>
        </w:r>
        <w:r w:rsidR="009E27E4">
          <w:rPr>
            <w:i/>
            <w:noProof/>
            <w:webHidden/>
            <w:sz w:val="20"/>
            <w:szCs w:val="20"/>
          </w:rPr>
          <w:t>50</w:t>
        </w:r>
        <w:r w:rsidR="00E02DA1" w:rsidRPr="00A9330B">
          <w:rPr>
            <w:i/>
            <w:noProof/>
            <w:webHidden/>
            <w:sz w:val="20"/>
            <w:szCs w:val="20"/>
          </w:rPr>
          <w:fldChar w:fldCharType="end"/>
        </w:r>
      </w:hyperlink>
    </w:p>
    <w:p w14:paraId="258A4580" w14:textId="1CC1782E" w:rsidR="00E02DA1" w:rsidRPr="00A9330B" w:rsidRDefault="00D24D0D" w:rsidP="00E02DA1">
      <w:pPr>
        <w:pStyle w:val="Tabledesillustrations"/>
        <w:tabs>
          <w:tab w:val="right" w:leader="dot" w:pos="9345"/>
        </w:tabs>
        <w:rPr>
          <w:rFonts w:asciiTheme="minorHAnsi" w:eastAsiaTheme="minorEastAsia" w:hAnsiTheme="minorHAnsi"/>
          <w:i/>
          <w:noProof/>
          <w:sz w:val="20"/>
          <w:szCs w:val="20"/>
          <w:lang w:eastAsia="fr-FR"/>
        </w:rPr>
      </w:pPr>
      <w:hyperlink w:anchor="_Toc51844220" w:history="1">
        <w:r w:rsidR="00E02DA1" w:rsidRPr="00A9330B">
          <w:rPr>
            <w:rStyle w:val="Lienhypertexte"/>
            <w:i/>
            <w:noProof/>
            <w:sz w:val="20"/>
            <w:szCs w:val="20"/>
          </w:rPr>
          <w:t xml:space="preserve">Figure 7 </w:t>
        </w:r>
        <w:r w:rsidR="00E02DA1" w:rsidRPr="00A9330B">
          <w:rPr>
            <w:rStyle w:val="Lienhypertexte"/>
            <w:rFonts w:eastAsia="Calibri"/>
            <w:i/>
            <w:noProof/>
            <w:sz w:val="20"/>
            <w:szCs w:val="20"/>
          </w:rPr>
          <w:t xml:space="preserve">: Régime mensuel de température dans </w:t>
        </w:r>
        <w:r w:rsidR="00E02DA1" w:rsidRPr="00A9330B">
          <w:rPr>
            <w:rStyle w:val="Lienhypertexte"/>
            <w:rFonts w:eastAsia="Calibri"/>
            <w:bCs/>
            <w:i/>
            <w:noProof/>
            <w:sz w:val="20"/>
            <w:szCs w:val="20"/>
          </w:rPr>
          <w:t>la ville de Natitingou (1971-2014)</w:t>
        </w:r>
        <w:r w:rsidR="00E02DA1" w:rsidRPr="00A9330B">
          <w:rPr>
            <w:i/>
            <w:noProof/>
            <w:webHidden/>
            <w:sz w:val="20"/>
            <w:szCs w:val="20"/>
          </w:rPr>
          <w:tab/>
        </w:r>
        <w:r w:rsidR="00E02DA1" w:rsidRPr="00A9330B">
          <w:rPr>
            <w:i/>
            <w:noProof/>
            <w:webHidden/>
            <w:sz w:val="20"/>
            <w:szCs w:val="20"/>
          </w:rPr>
          <w:fldChar w:fldCharType="begin"/>
        </w:r>
        <w:r w:rsidR="00E02DA1" w:rsidRPr="00A9330B">
          <w:rPr>
            <w:i/>
            <w:noProof/>
            <w:webHidden/>
            <w:sz w:val="20"/>
            <w:szCs w:val="20"/>
          </w:rPr>
          <w:instrText xml:space="preserve"> PAGEREF _Toc51844220 \h </w:instrText>
        </w:r>
        <w:r w:rsidR="00E02DA1" w:rsidRPr="00A9330B">
          <w:rPr>
            <w:i/>
            <w:noProof/>
            <w:webHidden/>
            <w:sz w:val="20"/>
            <w:szCs w:val="20"/>
          </w:rPr>
        </w:r>
        <w:r w:rsidR="00E02DA1" w:rsidRPr="00A9330B">
          <w:rPr>
            <w:i/>
            <w:noProof/>
            <w:webHidden/>
            <w:sz w:val="20"/>
            <w:szCs w:val="20"/>
          </w:rPr>
          <w:fldChar w:fldCharType="separate"/>
        </w:r>
        <w:r w:rsidR="009E27E4">
          <w:rPr>
            <w:i/>
            <w:noProof/>
            <w:webHidden/>
            <w:sz w:val="20"/>
            <w:szCs w:val="20"/>
          </w:rPr>
          <w:t>51</w:t>
        </w:r>
        <w:r w:rsidR="00E02DA1" w:rsidRPr="00A9330B">
          <w:rPr>
            <w:i/>
            <w:noProof/>
            <w:webHidden/>
            <w:sz w:val="20"/>
            <w:szCs w:val="20"/>
          </w:rPr>
          <w:fldChar w:fldCharType="end"/>
        </w:r>
      </w:hyperlink>
    </w:p>
    <w:p w14:paraId="449915F8" w14:textId="4ECDCA3E" w:rsidR="00E02DA1" w:rsidRPr="00A9330B" w:rsidRDefault="00D24D0D" w:rsidP="00E02DA1">
      <w:pPr>
        <w:pStyle w:val="Tabledesillustrations"/>
        <w:tabs>
          <w:tab w:val="right" w:leader="dot" w:pos="9345"/>
        </w:tabs>
        <w:rPr>
          <w:rFonts w:asciiTheme="minorHAnsi" w:eastAsiaTheme="minorEastAsia" w:hAnsiTheme="minorHAnsi"/>
          <w:i/>
          <w:noProof/>
          <w:sz w:val="20"/>
          <w:szCs w:val="20"/>
          <w:lang w:eastAsia="fr-FR"/>
        </w:rPr>
      </w:pPr>
      <w:hyperlink w:anchor="_Toc51844221" w:history="1">
        <w:r w:rsidR="00E02DA1" w:rsidRPr="00A9330B">
          <w:rPr>
            <w:rStyle w:val="Lienhypertexte"/>
            <w:i/>
            <w:noProof/>
            <w:sz w:val="20"/>
            <w:szCs w:val="20"/>
          </w:rPr>
          <w:t>Figure 8 : Courbe IDF obtenue au moyen du modèle de Montana pour la station de Natitingou</w:t>
        </w:r>
        <w:r w:rsidR="00E02DA1" w:rsidRPr="00A9330B">
          <w:rPr>
            <w:i/>
            <w:noProof/>
            <w:webHidden/>
            <w:sz w:val="20"/>
            <w:szCs w:val="20"/>
          </w:rPr>
          <w:tab/>
        </w:r>
        <w:r w:rsidR="00E02DA1" w:rsidRPr="00A9330B">
          <w:rPr>
            <w:i/>
            <w:noProof/>
            <w:webHidden/>
            <w:sz w:val="20"/>
            <w:szCs w:val="20"/>
          </w:rPr>
          <w:fldChar w:fldCharType="begin"/>
        </w:r>
        <w:r w:rsidR="00E02DA1" w:rsidRPr="00A9330B">
          <w:rPr>
            <w:i/>
            <w:noProof/>
            <w:webHidden/>
            <w:sz w:val="20"/>
            <w:szCs w:val="20"/>
          </w:rPr>
          <w:instrText xml:space="preserve"> PAGEREF _Toc51844221 \h </w:instrText>
        </w:r>
        <w:r w:rsidR="00E02DA1" w:rsidRPr="00A9330B">
          <w:rPr>
            <w:i/>
            <w:noProof/>
            <w:webHidden/>
            <w:sz w:val="20"/>
            <w:szCs w:val="20"/>
          </w:rPr>
        </w:r>
        <w:r w:rsidR="00E02DA1" w:rsidRPr="00A9330B">
          <w:rPr>
            <w:i/>
            <w:noProof/>
            <w:webHidden/>
            <w:sz w:val="20"/>
            <w:szCs w:val="20"/>
          </w:rPr>
          <w:fldChar w:fldCharType="separate"/>
        </w:r>
        <w:r w:rsidR="009E27E4">
          <w:rPr>
            <w:i/>
            <w:noProof/>
            <w:webHidden/>
            <w:sz w:val="20"/>
            <w:szCs w:val="20"/>
          </w:rPr>
          <w:t>54</w:t>
        </w:r>
        <w:r w:rsidR="00E02DA1" w:rsidRPr="00A9330B">
          <w:rPr>
            <w:i/>
            <w:noProof/>
            <w:webHidden/>
            <w:sz w:val="20"/>
            <w:szCs w:val="20"/>
          </w:rPr>
          <w:fldChar w:fldCharType="end"/>
        </w:r>
      </w:hyperlink>
    </w:p>
    <w:p w14:paraId="3FEC9619" w14:textId="3F72AC9D" w:rsidR="00E02DA1" w:rsidRPr="00A9330B" w:rsidRDefault="00D24D0D" w:rsidP="00E02DA1">
      <w:pPr>
        <w:pStyle w:val="Tabledesillustrations"/>
        <w:tabs>
          <w:tab w:val="right" w:leader="dot" w:pos="9345"/>
        </w:tabs>
        <w:rPr>
          <w:rFonts w:asciiTheme="minorHAnsi" w:eastAsiaTheme="minorEastAsia" w:hAnsiTheme="minorHAnsi"/>
          <w:i/>
          <w:noProof/>
          <w:sz w:val="20"/>
          <w:szCs w:val="20"/>
          <w:lang w:eastAsia="fr-FR"/>
        </w:rPr>
      </w:pPr>
      <w:hyperlink w:anchor="_Toc51844222" w:history="1">
        <w:r w:rsidR="00E02DA1" w:rsidRPr="00A9330B">
          <w:rPr>
            <w:rStyle w:val="Lienhypertexte"/>
            <w:i/>
            <w:noProof/>
            <w:sz w:val="20"/>
            <w:szCs w:val="20"/>
          </w:rPr>
          <w:t>Figure 9 : Hyétogrammes des averses biannuelle et décennale pour la station de Natitingou</w:t>
        </w:r>
        <w:r w:rsidR="00E02DA1" w:rsidRPr="00A9330B">
          <w:rPr>
            <w:i/>
            <w:noProof/>
            <w:webHidden/>
            <w:sz w:val="20"/>
            <w:szCs w:val="20"/>
          </w:rPr>
          <w:tab/>
        </w:r>
        <w:r w:rsidR="00E02DA1" w:rsidRPr="00A9330B">
          <w:rPr>
            <w:i/>
            <w:noProof/>
            <w:webHidden/>
            <w:sz w:val="20"/>
            <w:szCs w:val="20"/>
          </w:rPr>
          <w:fldChar w:fldCharType="begin"/>
        </w:r>
        <w:r w:rsidR="00E02DA1" w:rsidRPr="00A9330B">
          <w:rPr>
            <w:i/>
            <w:noProof/>
            <w:webHidden/>
            <w:sz w:val="20"/>
            <w:szCs w:val="20"/>
          </w:rPr>
          <w:instrText xml:space="preserve"> PAGEREF _Toc51844222 \h </w:instrText>
        </w:r>
        <w:r w:rsidR="00E02DA1" w:rsidRPr="00A9330B">
          <w:rPr>
            <w:i/>
            <w:noProof/>
            <w:webHidden/>
            <w:sz w:val="20"/>
            <w:szCs w:val="20"/>
          </w:rPr>
        </w:r>
        <w:r w:rsidR="00E02DA1" w:rsidRPr="00A9330B">
          <w:rPr>
            <w:i/>
            <w:noProof/>
            <w:webHidden/>
            <w:sz w:val="20"/>
            <w:szCs w:val="20"/>
          </w:rPr>
          <w:fldChar w:fldCharType="separate"/>
        </w:r>
        <w:r w:rsidR="009E27E4">
          <w:rPr>
            <w:i/>
            <w:noProof/>
            <w:webHidden/>
            <w:sz w:val="20"/>
            <w:szCs w:val="20"/>
          </w:rPr>
          <w:t>55</w:t>
        </w:r>
        <w:r w:rsidR="00E02DA1" w:rsidRPr="00A9330B">
          <w:rPr>
            <w:i/>
            <w:noProof/>
            <w:webHidden/>
            <w:sz w:val="20"/>
            <w:szCs w:val="20"/>
          </w:rPr>
          <w:fldChar w:fldCharType="end"/>
        </w:r>
      </w:hyperlink>
    </w:p>
    <w:p w14:paraId="7247101A" w14:textId="298267E1" w:rsidR="00E02DA1" w:rsidRPr="00A9330B" w:rsidRDefault="00D24D0D" w:rsidP="00E02DA1">
      <w:pPr>
        <w:pStyle w:val="Tabledesillustrations"/>
        <w:tabs>
          <w:tab w:val="right" w:leader="dot" w:pos="9345"/>
        </w:tabs>
        <w:rPr>
          <w:rFonts w:asciiTheme="minorHAnsi" w:eastAsiaTheme="minorEastAsia" w:hAnsiTheme="minorHAnsi"/>
          <w:i/>
          <w:noProof/>
          <w:sz w:val="20"/>
          <w:szCs w:val="20"/>
          <w:lang w:eastAsia="fr-FR"/>
        </w:rPr>
      </w:pPr>
      <w:hyperlink w:anchor="_Toc51844223" w:history="1">
        <w:r w:rsidR="00E02DA1" w:rsidRPr="00A9330B">
          <w:rPr>
            <w:rStyle w:val="Lienhypertexte"/>
            <w:i/>
            <w:noProof/>
            <w:sz w:val="20"/>
            <w:szCs w:val="20"/>
          </w:rPr>
          <w:t xml:space="preserve">Figure 10 </w:t>
        </w:r>
        <w:r w:rsidR="00E02DA1" w:rsidRPr="00A9330B">
          <w:rPr>
            <w:rStyle w:val="Lienhypertexte"/>
            <w:rFonts w:eastAsia="Calibri"/>
            <w:bCs/>
            <w:i/>
            <w:noProof/>
            <w:sz w:val="20"/>
            <w:szCs w:val="20"/>
          </w:rPr>
          <w:t> :</w:t>
        </w:r>
        <w:r w:rsidR="00E02DA1" w:rsidRPr="00A9330B">
          <w:rPr>
            <w:rStyle w:val="Lienhypertexte"/>
            <w:rFonts w:eastAsia="Calibri"/>
            <w:i/>
            <w:noProof/>
            <w:sz w:val="20"/>
            <w:szCs w:val="20"/>
          </w:rPr>
          <w:t xml:space="preserve"> Reliefs et pentes dans la ville de Natitingou</w:t>
        </w:r>
        <w:r w:rsidR="00E02DA1" w:rsidRPr="00A9330B">
          <w:rPr>
            <w:i/>
            <w:noProof/>
            <w:webHidden/>
            <w:sz w:val="20"/>
            <w:szCs w:val="20"/>
          </w:rPr>
          <w:tab/>
        </w:r>
        <w:r w:rsidR="00E02DA1" w:rsidRPr="00A9330B">
          <w:rPr>
            <w:i/>
            <w:noProof/>
            <w:webHidden/>
            <w:sz w:val="20"/>
            <w:szCs w:val="20"/>
          </w:rPr>
          <w:fldChar w:fldCharType="begin"/>
        </w:r>
        <w:r w:rsidR="00E02DA1" w:rsidRPr="00A9330B">
          <w:rPr>
            <w:i/>
            <w:noProof/>
            <w:webHidden/>
            <w:sz w:val="20"/>
            <w:szCs w:val="20"/>
          </w:rPr>
          <w:instrText xml:space="preserve"> PAGEREF _Toc51844223 \h </w:instrText>
        </w:r>
        <w:r w:rsidR="00E02DA1" w:rsidRPr="00A9330B">
          <w:rPr>
            <w:i/>
            <w:noProof/>
            <w:webHidden/>
            <w:sz w:val="20"/>
            <w:szCs w:val="20"/>
          </w:rPr>
        </w:r>
        <w:r w:rsidR="00E02DA1" w:rsidRPr="00A9330B">
          <w:rPr>
            <w:i/>
            <w:noProof/>
            <w:webHidden/>
            <w:sz w:val="20"/>
            <w:szCs w:val="20"/>
          </w:rPr>
          <w:fldChar w:fldCharType="separate"/>
        </w:r>
        <w:r w:rsidR="009E27E4">
          <w:rPr>
            <w:i/>
            <w:noProof/>
            <w:webHidden/>
            <w:sz w:val="20"/>
            <w:szCs w:val="20"/>
          </w:rPr>
          <w:t>58</w:t>
        </w:r>
        <w:r w:rsidR="00E02DA1" w:rsidRPr="00A9330B">
          <w:rPr>
            <w:i/>
            <w:noProof/>
            <w:webHidden/>
            <w:sz w:val="20"/>
            <w:szCs w:val="20"/>
          </w:rPr>
          <w:fldChar w:fldCharType="end"/>
        </w:r>
      </w:hyperlink>
    </w:p>
    <w:p w14:paraId="2B41992D" w14:textId="18C8650C" w:rsidR="00E02DA1" w:rsidRPr="00A9330B" w:rsidRDefault="00D24D0D" w:rsidP="00E02DA1">
      <w:pPr>
        <w:pStyle w:val="Tabledesillustrations"/>
        <w:tabs>
          <w:tab w:val="right" w:leader="dot" w:pos="9345"/>
        </w:tabs>
        <w:rPr>
          <w:rFonts w:asciiTheme="minorHAnsi" w:eastAsiaTheme="minorEastAsia" w:hAnsiTheme="minorHAnsi"/>
          <w:i/>
          <w:noProof/>
          <w:sz w:val="20"/>
          <w:szCs w:val="20"/>
          <w:lang w:eastAsia="fr-FR"/>
        </w:rPr>
      </w:pPr>
      <w:hyperlink w:anchor="_Toc51844224" w:history="1">
        <w:r w:rsidR="00E02DA1" w:rsidRPr="00A9330B">
          <w:rPr>
            <w:rStyle w:val="Lienhypertexte"/>
            <w:i/>
            <w:noProof/>
            <w:sz w:val="20"/>
            <w:szCs w:val="20"/>
          </w:rPr>
          <w:t xml:space="preserve">Figure 11 </w:t>
        </w:r>
        <w:r w:rsidR="00E02DA1" w:rsidRPr="00A9330B">
          <w:rPr>
            <w:rStyle w:val="Lienhypertexte"/>
            <w:rFonts w:eastAsia="Calibri"/>
            <w:i/>
            <w:noProof/>
            <w:sz w:val="20"/>
            <w:szCs w:val="20"/>
          </w:rPr>
          <w:t>: Situation géologique de la Commune de  Natitingou</w:t>
        </w:r>
        <w:r w:rsidR="00E02DA1" w:rsidRPr="00A9330B">
          <w:rPr>
            <w:i/>
            <w:noProof/>
            <w:webHidden/>
            <w:sz w:val="20"/>
            <w:szCs w:val="20"/>
          </w:rPr>
          <w:tab/>
        </w:r>
        <w:r w:rsidR="00E02DA1" w:rsidRPr="00A9330B">
          <w:rPr>
            <w:i/>
            <w:noProof/>
            <w:webHidden/>
            <w:sz w:val="20"/>
            <w:szCs w:val="20"/>
          </w:rPr>
          <w:fldChar w:fldCharType="begin"/>
        </w:r>
        <w:r w:rsidR="00E02DA1" w:rsidRPr="00A9330B">
          <w:rPr>
            <w:i/>
            <w:noProof/>
            <w:webHidden/>
            <w:sz w:val="20"/>
            <w:szCs w:val="20"/>
          </w:rPr>
          <w:instrText xml:space="preserve"> PAGEREF _Toc51844224 \h </w:instrText>
        </w:r>
        <w:r w:rsidR="00E02DA1" w:rsidRPr="00A9330B">
          <w:rPr>
            <w:i/>
            <w:noProof/>
            <w:webHidden/>
            <w:sz w:val="20"/>
            <w:szCs w:val="20"/>
          </w:rPr>
        </w:r>
        <w:r w:rsidR="00E02DA1" w:rsidRPr="00A9330B">
          <w:rPr>
            <w:i/>
            <w:noProof/>
            <w:webHidden/>
            <w:sz w:val="20"/>
            <w:szCs w:val="20"/>
          </w:rPr>
          <w:fldChar w:fldCharType="separate"/>
        </w:r>
        <w:r w:rsidR="009E27E4">
          <w:rPr>
            <w:i/>
            <w:noProof/>
            <w:webHidden/>
            <w:sz w:val="20"/>
            <w:szCs w:val="20"/>
          </w:rPr>
          <w:t>59</w:t>
        </w:r>
        <w:r w:rsidR="00E02DA1" w:rsidRPr="00A9330B">
          <w:rPr>
            <w:i/>
            <w:noProof/>
            <w:webHidden/>
            <w:sz w:val="20"/>
            <w:szCs w:val="20"/>
          </w:rPr>
          <w:fldChar w:fldCharType="end"/>
        </w:r>
      </w:hyperlink>
    </w:p>
    <w:p w14:paraId="0E9E2433" w14:textId="5AAEC257" w:rsidR="00E02DA1" w:rsidRPr="00A9330B" w:rsidRDefault="00D24D0D" w:rsidP="00E02DA1">
      <w:pPr>
        <w:pStyle w:val="Tabledesillustrations"/>
        <w:tabs>
          <w:tab w:val="right" w:leader="dot" w:pos="9345"/>
        </w:tabs>
        <w:rPr>
          <w:rFonts w:asciiTheme="minorHAnsi" w:eastAsiaTheme="minorEastAsia" w:hAnsiTheme="minorHAnsi"/>
          <w:i/>
          <w:noProof/>
          <w:sz w:val="20"/>
          <w:szCs w:val="20"/>
          <w:lang w:eastAsia="fr-FR"/>
        </w:rPr>
      </w:pPr>
      <w:hyperlink w:anchor="_Toc51844225" w:history="1">
        <w:r w:rsidR="00E02DA1" w:rsidRPr="00A9330B">
          <w:rPr>
            <w:rStyle w:val="Lienhypertexte"/>
            <w:i/>
            <w:noProof/>
            <w:sz w:val="20"/>
            <w:szCs w:val="20"/>
          </w:rPr>
          <w:t>Figure 12 :</w:t>
        </w:r>
        <w:r w:rsidR="00E02DA1" w:rsidRPr="00A9330B">
          <w:rPr>
            <w:rStyle w:val="Lienhypertexte"/>
            <w:rFonts w:eastAsia="Calibri"/>
            <w:i/>
            <w:noProof/>
            <w:sz w:val="20"/>
            <w:szCs w:val="20"/>
          </w:rPr>
          <w:t xml:space="preserve"> Type de sols dans la commune de Natitingou</w:t>
        </w:r>
        <w:r w:rsidR="00E02DA1" w:rsidRPr="00A9330B">
          <w:rPr>
            <w:i/>
            <w:noProof/>
            <w:webHidden/>
            <w:sz w:val="20"/>
            <w:szCs w:val="20"/>
          </w:rPr>
          <w:tab/>
        </w:r>
        <w:r w:rsidR="00E02DA1" w:rsidRPr="00A9330B">
          <w:rPr>
            <w:i/>
            <w:noProof/>
            <w:webHidden/>
            <w:sz w:val="20"/>
            <w:szCs w:val="20"/>
          </w:rPr>
          <w:fldChar w:fldCharType="begin"/>
        </w:r>
        <w:r w:rsidR="00E02DA1" w:rsidRPr="00A9330B">
          <w:rPr>
            <w:i/>
            <w:noProof/>
            <w:webHidden/>
            <w:sz w:val="20"/>
            <w:szCs w:val="20"/>
          </w:rPr>
          <w:instrText xml:space="preserve"> PAGEREF _Toc51844225 \h </w:instrText>
        </w:r>
        <w:r w:rsidR="00E02DA1" w:rsidRPr="00A9330B">
          <w:rPr>
            <w:i/>
            <w:noProof/>
            <w:webHidden/>
            <w:sz w:val="20"/>
            <w:szCs w:val="20"/>
          </w:rPr>
        </w:r>
        <w:r w:rsidR="00E02DA1" w:rsidRPr="00A9330B">
          <w:rPr>
            <w:i/>
            <w:noProof/>
            <w:webHidden/>
            <w:sz w:val="20"/>
            <w:szCs w:val="20"/>
          </w:rPr>
          <w:fldChar w:fldCharType="separate"/>
        </w:r>
        <w:r w:rsidR="009E27E4">
          <w:rPr>
            <w:i/>
            <w:noProof/>
            <w:webHidden/>
            <w:sz w:val="20"/>
            <w:szCs w:val="20"/>
          </w:rPr>
          <w:t>61</w:t>
        </w:r>
        <w:r w:rsidR="00E02DA1" w:rsidRPr="00A9330B">
          <w:rPr>
            <w:i/>
            <w:noProof/>
            <w:webHidden/>
            <w:sz w:val="20"/>
            <w:szCs w:val="20"/>
          </w:rPr>
          <w:fldChar w:fldCharType="end"/>
        </w:r>
      </w:hyperlink>
    </w:p>
    <w:p w14:paraId="63DF6BA0" w14:textId="464DBA8C" w:rsidR="00E02DA1" w:rsidRPr="00A9330B" w:rsidRDefault="00D24D0D" w:rsidP="00E02DA1">
      <w:pPr>
        <w:pStyle w:val="Tabledesillustrations"/>
        <w:tabs>
          <w:tab w:val="right" w:leader="dot" w:pos="9345"/>
        </w:tabs>
        <w:rPr>
          <w:rFonts w:asciiTheme="minorHAnsi" w:eastAsiaTheme="minorEastAsia" w:hAnsiTheme="minorHAnsi"/>
          <w:i/>
          <w:noProof/>
          <w:sz w:val="20"/>
          <w:szCs w:val="20"/>
          <w:lang w:eastAsia="fr-FR"/>
        </w:rPr>
      </w:pPr>
      <w:hyperlink w:anchor="_Toc51844226" w:history="1">
        <w:r w:rsidR="00E02DA1" w:rsidRPr="00A9330B">
          <w:rPr>
            <w:rStyle w:val="Lienhypertexte"/>
            <w:i/>
            <w:noProof/>
            <w:sz w:val="20"/>
            <w:szCs w:val="20"/>
          </w:rPr>
          <w:t xml:space="preserve">Figure 13 </w:t>
        </w:r>
        <w:r w:rsidR="00E02DA1" w:rsidRPr="00A9330B">
          <w:rPr>
            <w:rStyle w:val="Lienhypertexte"/>
            <w:rFonts w:eastAsia="Calibri"/>
            <w:i/>
            <w:noProof/>
            <w:sz w:val="20"/>
            <w:szCs w:val="20"/>
          </w:rPr>
          <w:t>: Réseau hydrographique  dans la ville de Natitingou</w:t>
        </w:r>
        <w:r w:rsidR="00E02DA1" w:rsidRPr="00A9330B">
          <w:rPr>
            <w:i/>
            <w:noProof/>
            <w:webHidden/>
            <w:sz w:val="20"/>
            <w:szCs w:val="20"/>
          </w:rPr>
          <w:tab/>
        </w:r>
        <w:r w:rsidR="00E02DA1" w:rsidRPr="00A9330B">
          <w:rPr>
            <w:i/>
            <w:noProof/>
            <w:webHidden/>
            <w:sz w:val="20"/>
            <w:szCs w:val="20"/>
          </w:rPr>
          <w:fldChar w:fldCharType="begin"/>
        </w:r>
        <w:r w:rsidR="00E02DA1" w:rsidRPr="00A9330B">
          <w:rPr>
            <w:i/>
            <w:noProof/>
            <w:webHidden/>
            <w:sz w:val="20"/>
            <w:szCs w:val="20"/>
          </w:rPr>
          <w:instrText xml:space="preserve"> PAGEREF _Toc51844226 \h </w:instrText>
        </w:r>
        <w:r w:rsidR="00E02DA1" w:rsidRPr="00A9330B">
          <w:rPr>
            <w:i/>
            <w:noProof/>
            <w:webHidden/>
            <w:sz w:val="20"/>
            <w:szCs w:val="20"/>
          </w:rPr>
        </w:r>
        <w:r w:rsidR="00E02DA1" w:rsidRPr="00A9330B">
          <w:rPr>
            <w:i/>
            <w:noProof/>
            <w:webHidden/>
            <w:sz w:val="20"/>
            <w:szCs w:val="20"/>
          </w:rPr>
          <w:fldChar w:fldCharType="separate"/>
        </w:r>
        <w:r w:rsidR="009E27E4">
          <w:rPr>
            <w:i/>
            <w:noProof/>
            <w:webHidden/>
            <w:sz w:val="20"/>
            <w:szCs w:val="20"/>
          </w:rPr>
          <w:t>63</w:t>
        </w:r>
        <w:r w:rsidR="00E02DA1" w:rsidRPr="00A9330B">
          <w:rPr>
            <w:i/>
            <w:noProof/>
            <w:webHidden/>
            <w:sz w:val="20"/>
            <w:szCs w:val="20"/>
          </w:rPr>
          <w:fldChar w:fldCharType="end"/>
        </w:r>
      </w:hyperlink>
    </w:p>
    <w:p w14:paraId="0D30D4AF" w14:textId="5479D2C5" w:rsidR="00E02DA1" w:rsidRPr="00A9330B" w:rsidRDefault="00D24D0D" w:rsidP="00E02DA1">
      <w:pPr>
        <w:pStyle w:val="Tabledesillustrations"/>
        <w:tabs>
          <w:tab w:val="right" w:leader="dot" w:pos="9345"/>
        </w:tabs>
        <w:rPr>
          <w:rFonts w:asciiTheme="minorHAnsi" w:eastAsiaTheme="minorEastAsia" w:hAnsiTheme="minorHAnsi"/>
          <w:i/>
          <w:noProof/>
          <w:sz w:val="20"/>
          <w:szCs w:val="20"/>
          <w:lang w:eastAsia="fr-FR"/>
        </w:rPr>
      </w:pPr>
      <w:hyperlink w:anchor="_Toc51844227" w:history="1">
        <w:r w:rsidR="00E02DA1" w:rsidRPr="00A9330B">
          <w:rPr>
            <w:rStyle w:val="Lienhypertexte"/>
            <w:i/>
            <w:noProof/>
            <w:sz w:val="20"/>
            <w:szCs w:val="20"/>
          </w:rPr>
          <w:t xml:space="preserve">Figure 14 </w:t>
        </w:r>
        <w:r w:rsidR="00E02DA1" w:rsidRPr="00A9330B">
          <w:rPr>
            <w:rStyle w:val="Lienhypertexte"/>
            <w:bCs/>
            <w:i/>
            <w:noProof/>
            <w:sz w:val="20"/>
            <w:szCs w:val="20"/>
          </w:rPr>
          <w:t xml:space="preserve">: </w:t>
        </w:r>
        <w:r w:rsidR="00E02DA1" w:rsidRPr="00A9330B">
          <w:rPr>
            <w:rStyle w:val="Lienhypertexte"/>
            <w:i/>
            <w:noProof/>
            <w:sz w:val="20"/>
            <w:szCs w:val="20"/>
          </w:rPr>
          <w:t>Occupation des sols dans la ville de Natitingou</w:t>
        </w:r>
        <w:r w:rsidR="00E02DA1" w:rsidRPr="00A9330B">
          <w:rPr>
            <w:i/>
            <w:noProof/>
            <w:webHidden/>
            <w:sz w:val="20"/>
            <w:szCs w:val="20"/>
          </w:rPr>
          <w:tab/>
        </w:r>
        <w:r w:rsidR="00E02DA1" w:rsidRPr="00A9330B">
          <w:rPr>
            <w:i/>
            <w:noProof/>
            <w:webHidden/>
            <w:sz w:val="20"/>
            <w:szCs w:val="20"/>
          </w:rPr>
          <w:fldChar w:fldCharType="begin"/>
        </w:r>
        <w:r w:rsidR="00E02DA1" w:rsidRPr="00A9330B">
          <w:rPr>
            <w:i/>
            <w:noProof/>
            <w:webHidden/>
            <w:sz w:val="20"/>
            <w:szCs w:val="20"/>
          </w:rPr>
          <w:instrText xml:space="preserve"> PAGEREF _Toc51844227 \h </w:instrText>
        </w:r>
        <w:r w:rsidR="00E02DA1" w:rsidRPr="00A9330B">
          <w:rPr>
            <w:i/>
            <w:noProof/>
            <w:webHidden/>
            <w:sz w:val="20"/>
            <w:szCs w:val="20"/>
          </w:rPr>
        </w:r>
        <w:r w:rsidR="00E02DA1" w:rsidRPr="00A9330B">
          <w:rPr>
            <w:i/>
            <w:noProof/>
            <w:webHidden/>
            <w:sz w:val="20"/>
            <w:szCs w:val="20"/>
          </w:rPr>
          <w:fldChar w:fldCharType="separate"/>
        </w:r>
        <w:r w:rsidR="009E27E4">
          <w:rPr>
            <w:i/>
            <w:noProof/>
            <w:webHidden/>
            <w:sz w:val="20"/>
            <w:szCs w:val="20"/>
          </w:rPr>
          <w:t>65</w:t>
        </w:r>
        <w:r w:rsidR="00E02DA1" w:rsidRPr="00A9330B">
          <w:rPr>
            <w:i/>
            <w:noProof/>
            <w:webHidden/>
            <w:sz w:val="20"/>
            <w:szCs w:val="20"/>
          </w:rPr>
          <w:fldChar w:fldCharType="end"/>
        </w:r>
      </w:hyperlink>
    </w:p>
    <w:p w14:paraId="255C0535" w14:textId="38E862D0" w:rsidR="00E02DA1" w:rsidRPr="00A9330B" w:rsidRDefault="00D24D0D" w:rsidP="00E02DA1">
      <w:pPr>
        <w:pStyle w:val="Tabledesillustrations"/>
        <w:tabs>
          <w:tab w:val="right" w:leader="dot" w:pos="9345"/>
        </w:tabs>
        <w:rPr>
          <w:rFonts w:asciiTheme="minorHAnsi" w:eastAsiaTheme="minorEastAsia" w:hAnsiTheme="minorHAnsi"/>
          <w:i/>
          <w:noProof/>
          <w:sz w:val="20"/>
          <w:szCs w:val="20"/>
          <w:lang w:eastAsia="fr-FR"/>
        </w:rPr>
      </w:pPr>
      <w:hyperlink w:anchor="_Toc51844228" w:history="1">
        <w:r w:rsidR="00E02DA1" w:rsidRPr="00A9330B">
          <w:rPr>
            <w:rStyle w:val="Lienhypertexte"/>
            <w:i/>
            <w:noProof/>
            <w:sz w:val="20"/>
            <w:szCs w:val="20"/>
          </w:rPr>
          <w:t xml:space="preserve">Figure 15 : </w:t>
        </w:r>
        <w:r w:rsidR="00E02DA1" w:rsidRPr="00A9330B">
          <w:rPr>
            <w:rStyle w:val="Lienhypertexte"/>
            <w:rFonts w:eastAsia="Calibri"/>
            <w:i/>
            <w:noProof/>
            <w:sz w:val="20"/>
            <w:szCs w:val="20"/>
          </w:rPr>
          <w:t>Evolution de la population de la ville de Natitingou</w:t>
        </w:r>
        <w:r w:rsidR="00E02DA1" w:rsidRPr="00A9330B">
          <w:rPr>
            <w:i/>
            <w:noProof/>
            <w:webHidden/>
            <w:sz w:val="20"/>
            <w:szCs w:val="20"/>
          </w:rPr>
          <w:tab/>
        </w:r>
        <w:r w:rsidR="00E02DA1" w:rsidRPr="00A9330B">
          <w:rPr>
            <w:i/>
            <w:noProof/>
            <w:webHidden/>
            <w:sz w:val="20"/>
            <w:szCs w:val="20"/>
          </w:rPr>
          <w:fldChar w:fldCharType="begin"/>
        </w:r>
        <w:r w:rsidR="00E02DA1" w:rsidRPr="00A9330B">
          <w:rPr>
            <w:i/>
            <w:noProof/>
            <w:webHidden/>
            <w:sz w:val="20"/>
            <w:szCs w:val="20"/>
          </w:rPr>
          <w:instrText xml:space="preserve"> PAGEREF _Toc51844228 \h </w:instrText>
        </w:r>
        <w:r w:rsidR="00E02DA1" w:rsidRPr="00A9330B">
          <w:rPr>
            <w:i/>
            <w:noProof/>
            <w:webHidden/>
            <w:sz w:val="20"/>
            <w:szCs w:val="20"/>
          </w:rPr>
        </w:r>
        <w:r w:rsidR="00E02DA1" w:rsidRPr="00A9330B">
          <w:rPr>
            <w:i/>
            <w:noProof/>
            <w:webHidden/>
            <w:sz w:val="20"/>
            <w:szCs w:val="20"/>
          </w:rPr>
          <w:fldChar w:fldCharType="separate"/>
        </w:r>
        <w:r w:rsidR="009E27E4">
          <w:rPr>
            <w:i/>
            <w:noProof/>
            <w:webHidden/>
            <w:sz w:val="20"/>
            <w:szCs w:val="20"/>
          </w:rPr>
          <w:t>67</w:t>
        </w:r>
        <w:r w:rsidR="00E02DA1" w:rsidRPr="00A9330B">
          <w:rPr>
            <w:i/>
            <w:noProof/>
            <w:webHidden/>
            <w:sz w:val="20"/>
            <w:szCs w:val="20"/>
          </w:rPr>
          <w:fldChar w:fldCharType="end"/>
        </w:r>
      </w:hyperlink>
    </w:p>
    <w:p w14:paraId="56408E9B" w14:textId="5C31ABEC" w:rsidR="00E02DA1" w:rsidRPr="00A9330B" w:rsidRDefault="00D24D0D" w:rsidP="00E02DA1">
      <w:pPr>
        <w:pStyle w:val="Tabledesillustrations"/>
        <w:tabs>
          <w:tab w:val="right" w:leader="dot" w:pos="9345"/>
        </w:tabs>
        <w:rPr>
          <w:rFonts w:asciiTheme="minorHAnsi" w:eastAsiaTheme="minorEastAsia" w:hAnsiTheme="minorHAnsi"/>
          <w:i/>
          <w:noProof/>
          <w:sz w:val="20"/>
          <w:szCs w:val="20"/>
          <w:lang w:eastAsia="fr-FR"/>
        </w:rPr>
      </w:pPr>
      <w:hyperlink w:anchor="_Toc51844229" w:history="1">
        <w:r w:rsidR="00E02DA1" w:rsidRPr="00A9330B">
          <w:rPr>
            <w:rStyle w:val="Lienhypertexte"/>
            <w:i/>
            <w:noProof/>
            <w:sz w:val="20"/>
            <w:szCs w:val="20"/>
          </w:rPr>
          <w:t>Figure 16</w:t>
        </w:r>
        <w:r w:rsidR="00E02DA1" w:rsidRPr="00A9330B">
          <w:rPr>
            <w:rStyle w:val="Lienhypertexte"/>
            <w:rFonts w:eastAsia="Calibri"/>
            <w:i/>
            <w:noProof/>
            <w:sz w:val="20"/>
            <w:szCs w:val="20"/>
          </w:rPr>
          <w:t> : Projection de la population de la ville de Natitingou en 2035</w:t>
        </w:r>
        <w:r w:rsidR="00E02DA1" w:rsidRPr="00A9330B">
          <w:rPr>
            <w:i/>
            <w:noProof/>
            <w:webHidden/>
            <w:sz w:val="20"/>
            <w:szCs w:val="20"/>
          </w:rPr>
          <w:tab/>
        </w:r>
        <w:r w:rsidR="00E02DA1" w:rsidRPr="00A9330B">
          <w:rPr>
            <w:i/>
            <w:noProof/>
            <w:webHidden/>
            <w:sz w:val="20"/>
            <w:szCs w:val="20"/>
          </w:rPr>
          <w:fldChar w:fldCharType="begin"/>
        </w:r>
        <w:r w:rsidR="00E02DA1" w:rsidRPr="00A9330B">
          <w:rPr>
            <w:i/>
            <w:noProof/>
            <w:webHidden/>
            <w:sz w:val="20"/>
            <w:szCs w:val="20"/>
          </w:rPr>
          <w:instrText xml:space="preserve"> PAGEREF _Toc51844229 \h </w:instrText>
        </w:r>
        <w:r w:rsidR="00E02DA1" w:rsidRPr="00A9330B">
          <w:rPr>
            <w:i/>
            <w:noProof/>
            <w:webHidden/>
            <w:sz w:val="20"/>
            <w:szCs w:val="20"/>
          </w:rPr>
        </w:r>
        <w:r w:rsidR="00E02DA1" w:rsidRPr="00A9330B">
          <w:rPr>
            <w:i/>
            <w:noProof/>
            <w:webHidden/>
            <w:sz w:val="20"/>
            <w:szCs w:val="20"/>
          </w:rPr>
          <w:fldChar w:fldCharType="separate"/>
        </w:r>
        <w:r w:rsidR="009E27E4">
          <w:rPr>
            <w:i/>
            <w:noProof/>
            <w:webHidden/>
            <w:sz w:val="20"/>
            <w:szCs w:val="20"/>
          </w:rPr>
          <w:t>68</w:t>
        </w:r>
        <w:r w:rsidR="00E02DA1" w:rsidRPr="00A9330B">
          <w:rPr>
            <w:i/>
            <w:noProof/>
            <w:webHidden/>
            <w:sz w:val="20"/>
            <w:szCs w:val="20"/>
          </w:rPr>
          <w:fldChar w:fldCharType="end"/>
        </w:r>
      </w:hyperlink>
    </w:p>
    <w:p w14:paraId="05ABADAC" w14:textId="477C5229" w:rsidR="00E02DA1" w:rsidRPr="00A9330B" w:rsidRDefault="00D24D0D" w:rsidP="00E02DA1">
      <w:pPr>
        <w:pStyle w:val="Tabledesillustrations"/>
        <w:tabs>
          <w:tab w:val="right" w:leader="dot" w:pos="9345"/>
        </w:tabs>
        <w:rPr>
          <w:rFonts w:asciiTheme="minorHAnsi" w:eastAsiaTheme="minorEastAsia" w:hAnsiTheme="minorHAnsi"/>
          <w:i/>
          <w:noProof/>
          <w:sz w:val="20"/>
          <w:szCs w:val="20"/>
          <w:lang w:eastAsia="fr-FR"/>
        </w:rPr>
      </w:pPr>
      <w:hyperlink w:anchor="_Toc51844230" w:history="1">
        <w:r w:rsidR="00E02DA1" w:rsidRPr="00A9330B">
          <w:rPr>
            <w:rStyle w:val="Lienhypertexte"/>
            <w:i/>
            <w:noProof/>
            <w:sz w:val="20"/>
            <w:szCs w:val="20"/>
          </w:rPr>
          <w:t xml:space="preserve">Figure 17 : </w:t>
        </w:r>
        <w:r w:rsidR="00E02DA1" w:rsidRPr="00A9330B">
          <w:rPr>
            <w:rStyle w:val="Lienhypertexte"/>
            <w:rFonts w:eastAsia="Calibri"/>
            <w:i/>
            <w:noProof/>
            <w:sz w:val="20"/>
            <w:szCs w:val="20"/>
          </w:rPr>
          <w:t>Familles des espèces inventoriées sur les sites des ouvrages à Natitingou</w:t>
        </w:r>
        <w:r w:rsidR="00E02DA1" w:rsidRPr="00A9330B">
          <w:rPr>
            <w:i/>
            <w:noProof/>
            <w:webHidden/>
            <w:sz w:val="20"/>
            <w:szCs w:val="20"/>
          </w:rPr>
          <w:tab/>
        </w:r>
        <w:r w:rsidR="00E02DA1" w:rsidRPr="00A9330B">
          <w:rPr>
            <w:i/>
            <w:noProof/>
            <w:webHidden/>
            <w:sz w:val="20"/>
            <w:szCs w:val="20"/>
          </w:rPr>
          <w:fldChar w:fldCharType="begin"/>
        </w:r>
        <w:r w:rsidR="00E02DA1" w:rsidRPr="00A9330B">
          <w:rPr>
            <w:i/>
            <w:noProof/>
            <w:webHidden/>
            <w:sz w:val="20"/>
            <w:szCs w:val="20"/>
          </w:rPr>
          <w:instrText xml:space="preserve"> PAGEREF _Toc51844230 \h </w:instrText>
        </w:r>
        <w:r w:rsidR="00E02DA1" w:rsidRPr="00A9330B">
          <w:rPr>
            <w:i/>
            <w:noProof/>
            <w:webHidden/>
            <w:sz w:val="20"/>
            <w:szCs w:val="20"/>
          </w:rPr>
        </w:r>
        <w:r w:rsidR="00E02DA1" w:rsidRPr="00A9330B">
          <w:rPr>
            <w:i/>
            <w:noProof/>
            <w:webHidden/>
            <w:sz w:val="20"/>
            <w:szCs w:val="20"/>
          </w:rPr>
          <w:fldChar w:fldCharType="separate"/>
        </w:r>
        <w:r w:rsidR="009E27E4">
          <w:rPr>
            <w:i/>
            <w:noProof/>
            <w:webHidden/>
            <w:sz w:val="20"/>
            <w:szCs w:val="20"/>
          </w:rPr>
          <w:t>72</w:t>
        </w:r>
        <w:r w:rsidR="00E02DA1" w:rsidRPr="00A9330B">
          <w:rPr>
            <w:i/>
            <w:noProof/>
            <w:webHidden/>
            <w:sz w:val="20"/>
            <w:szCs w:val="20"/>
          </w:rPr>
          <w:fldChar w:fldCharType="end"/>
        </w:r>
      </w:hyperlink>
    </w:p>
    <w:p w14:paraId="26325F66" w14:textId="595FAC2D" w:rsidR="00E02DA1" w:rsidRPr="00A9330B" w:rsidRDefault="00D24D0D" w:rsidP="00E02DA1">
      <w:pPr>
        <w:pStyle w:val="Tabledesillustrations"/>
        <w:tabs>
          <w:tab w:val="right" w:leader="dot" w:pos="9345"/>
        </w:tabs>
        <w:rPr>
          <w:rFonts w:asciiTheme="minorHAnsi" w:eastAsiaTheme="minorEastAsia" w:hAnsiTheme="minorHAnsi"/>
          <w:i/>
          <w:noProof/>
          <w:sz w:val="20"/>
          <w:szCs w:val="20"/>
          <w:lang w:eastAsia="fr-FR"/>
        </w:rPr>
      </w:pPr>
      <w:hyperlink w:anchor="_Toc51844231" w:history="1">
        <w:r w:rsidR="00E02DA1" w:rsidRPr="00A9330B">
          <w:rPr>
            <w:rStyle w:val="Lienhypertexte"/>
            <w:i/>
            <w:noProof/>
            <w:sz w:val="20"/>
            <w:szCs w:val="20"/>
          </w:rPr>
          <w:t>Figure 18 </w:t>
        </w:r>
        <w:r w:rsidR="00E02DA1" w:rsidRPr="00A9330B">
          <w:rPr>
            <w:rStyle w:val="Lienhypertexte"/>
            <w:rFonts w:eastAsia="Calibri"/>
            <w:i/>
            <w:noProof/>
            <w:sz w:val="20"/>
            <w:szCs w:val="20"/>
          </w:rPr>
          <w:t>: Ancienneté dans le quartier</w:t>
        </w:r>
        <w:r w:rsidR="00E02DA1" w:rsidRPr="00A9330B">
          <w:rPr>
            <w:i/>
            <w:noProof/>
            <w:webHidden/>
            <w:sz w:val="20"/>
            <w:szCs w:val="20"/>
          </w:rPr>
          <w:tab/>
        </w:r>
        <w:r w:rsidR="00E02DA1" w:rsidRPr="00A9330B">
          <w:rPr>
            <w:i/>
            <w:noProof/>
            <w:webHidden/>
            <w:sz w:val="20"/>
            <w:szCs w:val="20"/>
          </w:rPr>
          <w:fldChar w:fldCharType="begin"/>
        </w:r>
        <w:r w:rsidR="00E02DA1" w:rsidRPr="00A9330B">
          <w:rPr>
            <w:i/>
            <w:noProof/>
            <w:webHidden/>
            <w:sz w:val="20"/>
            <w:szCs w:val="20"/>
          </w:rPr>
          <w:instrText xml:space="preserve"> PAGEREF _Toc51844231 \h </w:instrText>
        </w:r>
        <w:r w:rsidR="00E02DA1" w:rsidRPr="00A9330B">
          <w:rPr>
            <w:i/>
            <w:noProof/>
            <w:webHidden/>
            <w:sz w:val="20"/>
            <w:szCs w:val="20"/>
          </w:rPr>
        </w:r>
        <w:r w:rsidR="00E02DA1" w:rsidRPr="00A9330B">
          <w:rPr>
            <w:i/>
            <w:noProof/>
            <w:webHidden/>
            <w:sz w:val="20"/>
            <w:szCs w:val="20"/>
          </w:rPr>
          <w:fldChar w:fldCharType="separate"/>
        </w:r>
        <w:r w:rsidR="009E27E4">
          <w:rPr>
            <w:i/>
            <w:noProof/>
            <w:webHidden/>
            <w:sz w:val="20"/>
            <w:szCs w:val="20"/>
          </w:rPr>
          <w:t>79</w:t>
        </w:r>
        <w:r w:rsidR="00E02DA1" w:rsidRPr="00A9330B">
          <w:rPr>
            <w:i/>
            <w:noProof/>
            <w:webHidden/>
            <w:sz w:val="20"/>
            <w:szCs w:val="20"/>
          </w:rPr>
          <w:fldChar w:fldCharType="end"/>
        </w:r>
      </w:hyperlink>
    </w:p>
    <w:p w14:paraId="7582A391" w14:textId="7CB0FD89" w:rsidR="00E02DA1" w:rsidRPr="00A9330B" w:rsidRDefault="00D24D0D" w:rsidP="00E02DA1">
      <w:pPr>
        <w:pStyle w:val="Tabledesillustrations"/>
        <w:tabs>
          <w:tab w:val="right" w:leader="dot" w:pos="9345"/>
        </w:tabs>
        <w:rPr>
          <w:rFonts w:asciiTheme="minorHAnsi" w:eastAsiaTheme="minorEastAsia" w:hAnsiTheme="minorHAnsi"/>
          <w:i/>
          <w:noProof/>
          <w:sz w:val="20"/>
          <w:szCs w:val="20"/>
          <w:lang w:eastAsia="fr-FR"/>
        </w:rPr>
      </w:pPr>
      <w:hyperlink w:anchor="_Toc51844232" w:history="1">
        <w:r w:rsidR="00E02DA1" w:rsidRPr="00A9330B">
          <w:rPr>
            <w:rStyle w:val="Lienhypertexte"/>
            <w:i/>
            <w:noProof/>
            <w:sz w:val="20"/>
            <w:szCs w:val="20"/>
          </w:rPr>
          <w:t xml:space="preserve">Figure 19 </w:t>
        </w:r>
        <w:r w:rsidR="00E02DA1" w:rsidRPr="00A9330B">
          <w:rPr>
            <w:rStyle w:val="Lienhypertexte"/>
            <w:rFonts w:eastAsia="Calibri" w:cs="Arial"/>
            <w:i/>
            <w:noProof/>
            <w:sz w:val="20"/>
            <w:szCs w:val="20"/>
          </w:rPr>
          <w:t>: Motifs d’installation des ménages dans le milieu récepteur du projet</w:t>
        </w:r>
        <w:r w:rsidR="00E02DA1" w:rsidRPr="00A9330B">
          <w:rPr>
            <w:i/>
            <w:noProof/>
            <w:webHidden/>
            <w:sz w:val="20"/>
            <w:szCs w:val="20"/>
          </w:rPr>
          <w:tab/>
        </w:r>
        <w:r w:rsidR="00E02DA1" w:rsidRPr="00A9330B">
          <w:rPr>
            <w:i/>
            <w:noProof/>
            <w:webHidden/>
            <w:sz w:val="20"/>
            <w:szCs w:val="20"/>
          </w:rPr>
          <w:fldChar w:fldCharType="begin"/>
        </w:r>
        <w:r w:rsidR="00E02DA1" w:rsidRPr="00A9330B">
          <w:rPr>
            <w:i/>
            <w:noProof/>
            <w:webHidden/>
            <w:sz w:val="20"/>
            <w:szCs w:val="20"/>
          </w:rPr>
          <w:instrText xml:space="preserve"> PAGEREF _Toc51844232 \h </w:instrText>
        </w:r>
        <w:r w:rsidR="00E02DA1" w:rsidRPr="00A9330B">
          <w:rPr>
            <w:i/>
            <w:noProof/>
            <w:webHidden/>
            <w:sz w:val="20"/>
            <w:szCs w:val="20"/>
          </w:rPr>
        </w:r>
        <w:r w:rsidR="00E02DA1" w:rsidRPr="00A9330B">
          <w:rPr>
            <w:i/>
            <w:noProof/>
            <w:webHidden/>
            <w:sz w:val="20"/>
            <w:szCs w:val="20"/>
          </w:rPr>
          <w:fldChar w:fldCharType="separate"/>
        </w:r>
        <w:r w:rsidR="009E27E4">
          <w:rPr>
            <w:i/>
            <w:noProof/>
            <w:webHidden/>
            <w:sz w:val="20"/>
            <w:szCs w:val="20"/>
          </w:rPr>
          <w:t>80</w:t>
        </w:r>
        <w:r w:rsidR="00E02DA1" w:rsidRPr="00A9330B">
          <w:rPr>
            <w:i/>
            <w:noProof/>
            <w:webHidden/>
            <w:sz w:val="20"/>
            <w:szCs w:val="20"/>
          </w:rPr>
          <w:fldChar w:fldCharType="end"/>
        </w:r>
      </w:hyperlink>
    </w:p>
    <w:p w14:paraId="2FC9F7E0" w14:textId="45634F9E" w:rsidR="00E02DA1" w:rsidRPr="00A9330B" w:rsidRDefault="00D24D0D" w:rsidP="00E02DA1">
      <w:pPr>
        <w:pStyle w:val="Tabledesillustrations"/>
        <w:tabs>
          <w:tab w:val="right" w:leader="dot" w:pos="9345"/>
        </w:tabs>
        <w:rPr>
          <w:rFonts w:asciiTheme="minorHAnsi" w:eastAsiaTheme="minorEastAsia" w:hAnsiTheme="minorHAnsi"/>
          <w:i/>
          <w:noProof/>
          <w:sz w:val="20"/>
          <w:szCs w:val="20"/>
          <w:lang w:eastAsia="fr-FR"/>
        </w:rPr>
      </w:pPr>
      <w:hyperlink w:anchor="_Toc51844233" w:history="1">
        <w:r w:rsidR="00E02DA1" w:rsidRPr="00A9330B">
          <w:rPr>
            <w:rStyle w:val="Lienhypertexte"/>
            <w:i/>
            <w:noProof/>
            <w:sz w:val="20"/>
            <w:szCs w:val="20"/>
          </w:rPr>
          <w:t xml:space="preserve">Figure 20 </w:t>
        </w:r>
        <w:r w:rsidR="00E02DA1" w:rsidRPr="00A9330B">
          <w:rPr>
            <w:rStyle w:val="Lienhypertexte"/>
            <w:rFonts w:eastAsia="Calibri" w:cs="Arial"/>
            <w:i/>
            <w:noProof/>
            <w:sz w:val="20"/>
            <w:szCs w:val="20"/>
          </w:rPr>
          <w:t>: Sexe des chefs de ménages</w:t>
        </w:r>
        <w:r w:rsidR="00E02DA1" w:rsidRPr="00A9330B">
          <w:rPr>
            <w:i/>
            <w:noProof/>
            <w:webHidden/>
            <w:sz w:val="20"/>
            <w:szCs w:val="20"/>
          </w:rPr>
          <w:tab/>
        </w:r>
        <w:r w:rsidR="00E02DA1" w:rsidRPr="00A9330B">
          <w:rPr>
            <w:i/>
            <w:noProof/>
            <w:webHidden/>
            <w:sz w:val="20"/>
            <w:szCs w:val="20"/>
          </w:rPr>
          <w:fldChar w:fldCharType="begin"/>
        </w:r>
        <w:r w:rsidR="00E02DA1" w:rsidRPr="00A9330B">
          <w:rPr>
            <w:i/>
            <w:noProof/>
            <w:webHidden/>
            <w:sz w:val="20"/>
            <w:szCs w:val="20"/>
          </w:rPr>
          <w:instrText xml:space="preserve"> PAGEREF _Toc51844233 \h </w:instrText>
        </w:r>
        <w:r w:rsidR="00E02DA1" w:rsidRPr="00A9330B">
          <w:rPr>
            <w:i/>
            <w:noProof/>
            <w:webHidden/>
            <w:sz w:val="20"/>
            <w:szCs w:val="20"/>
          </w:rPr>
        </w:r>
        <w:r w:rsidR="00E02DA1" w:rsidRPr="00A9330B">
          <w:rPr>
            <w:i/>
            <w:noProof/>
            <w:webHidden/>
            <w:sz w:val="20"/>
            <w:szCs w:val="20"/>
          </w:rPr>
          <w:fldChar w:fldCharType="separate"/>
        </w:r>
        <w:r w:rsidR="009E27E4">
          <w:rPr>
            <w:i/>
            <w:noProof/>
            <w:webHidden/>
            <w:sz w:val="20"/>
            <w:szCs w:val="20"/>
          </w:rPr>
          <w:t>80</w:t>
        </w:r>
        <w:r w:rsidR="00E02DA1" w:rsidRPr="00A9330B">
          <w:rPr>
            <w:i/>
            <w:noProof/>
            <w:webHidden/>
            <w:sz w:val="20"/>
            <w:szCs w:val="20"/>
          </w:rPr>
          <w:fldChar w:fldCharType="end"/>
        </w:r>
      </w:hyperlink>
    </w:p>
    <w:p w14:paraId="72370C23" w14:textId="20D0A669" w:rsidR="00E02DA1" w:rsidRPr="00A9330B" w:rsidRDefault="00D24D0D" w:rsidP="00E02DA1">
      <w:pPr>
        <w:pStyle w:val="Tabledesillustrations"/>
        <w:tabs>
          <w:tab w:val="right" w:leader="dot" w:pos="9345"/>
        </w:tabs>
        <w:rPr>
          <w:rFonts w:asciiTheme="minorHAnsi" w:eastAsiaTheme="minorEastAsia" w:hAnsiTheme="minorHAnsi"/>
          <w:i/>
          <w:noProof/>
          <w:sz w:val="20"/>
          <w:szCs w:val="20"/>
          <w:lang w:eastAsia="fr-FR"/>
        </w:rPr>
      </w:pPr>
      <w:hyperlink w:anchor="_Toc51844234" w:history="1">
        <w:r w:rsidR="00E02DA1" w:rsidRPr="00A9330B">
          <w:rPr>
            <w:rStyle w:val="Lienhypertexte"/>
            <w:i/>
            <w:noProof/>
            <w:sz w:val="20"/>
            <w:szCs w:val="20"/>
          </w:rPr>
          <w:t>Figure 21 : Tranche des ménages enquêtés</w:t>
        </w:r>
        <w:r w:rsidR="00E02DA1" w:rsidRPr="00A9330B">
          <w:rPr>
            <w:i/>
            <w:noProof/>
            <w:webHidden/>
            <w:sz w:val="20"/>
            <w:szCs w:val="20"/>
          </w:rPr>
          <w:tab/>
        </w:r>
        <w:r w:rsidR="00E02DA1" w:rsidRPr="00A9330B">
          <w:rPr>
            <w:i/>
            <w:noProof/>
            <w:webHidden/>
            <w:sz w:val="20"/>
            <w:szCs w:val="20"/>
          </w:rPr>
          <w:fldChar w:fldCharType="begin"/>
        </w:r>
        <w:r w:rsidR="00E02DA1" w:rsidRPr="00A9330B">
          <w:rPr>
            <w:i/>
            <w:noProof/>
            <w:webHidden/>
            <w:sz w:val="20"/>
            <w:szCs w:val="20"/>
          </w:rPr>
          <w:instrText xml:space="preserve"> PAGEREF _Toc51844234 \h </w:instrText>
        </w:r>
        <w:r w:rsidR="00E02DA1" w:rsidRPr="00A9330B">
          <w:rPr>
            <w:i/>
            <w:noProof/>
            <w:webHidden/>
            <w:sz w:val="20"/>
            <w:szCs w:val="20"/>
          </w:rPr>
        </w:r>
        <w:r w:rsidR="00E02DA1" w:rsidRPr="00A9330B">
          <w:rPr>
            <w:i/>
            <w:noProof/>
            <w:webHidden/>
            <w:sz w:val="20"/>
            <w:szCs w:val="20"/>
          </w:rPr>
          <w:fldChar w:fldCharType="separate"/>
        </w:r>
        <w:r w:rsidR="009E27E4">
          <w:rPr>
            <w:i/>
            <w:noProof/>
            <w:webHidden/>
            <w:sz w:val="20"/>
            <w:szCs w:val="20"/>
          </w:rPr>
          <w:t>81</w:t>
        </w:r>
        <w:r w:rsidR="00E02DA1" w:rsidRPr="00A9330B">
          <w:rPr>
            <w:i/>
            <w:noProof/>
            <w:webHidden/>
            <w:sz w:val="20"/>
            <w:szCs w:val="20"/>
          </w:rPr>
          <w:fldChar w:fldCharType="end"/>
        </w:r>
      </w:hyperlink>
    </w:p>
    <w:p w14:paraId="44D98AA8" w14:textId="59F67905" w:rsidR="00E02DA1" w:rsidRPr="00A9330B" w:rsidRDefault="00D24D0D" w:rsidP="00E02DA1">
      <w:pPr>
        <w:pStyle w:val="Tabledesillustrations"/>
        <w:tabs>
          <w:tab w:val="right" w:leader="dot" w:pos="9345"/>
        </w:tabs>
        <w:rPr>
          <w:rFonts w:asciiTheme="minorHAnsi" w:eastAsiaTheme="minorEastAsia" w:hAnsiTheme="minorHAnsi"/>
          <w:i/>
          <w:noProof/>
          <w:sz w:val="20"/>
          <w:szCs w:val="20"/>
          <w:lang w:eastAsia="fr-FR"/>
        </w:rPr>
      </w:pPr>
      <w:hyperlink w:anchor="_Toc51844235" w:history="1">
        <w:r w:rsidR="00E02DA1" w:rsidRPr="00A9330B">
          <w:rPr>
            <w:rStyle w:val="Lienhypertexte"/>
            <w:i/>
            <w:noProof/>
            <w:sz w:val="20"/>
            <w:szCs w:val="20"/>
          </w:rPr>
          <w:t xml:space="preserve">Figure 22 </w:t>
        </w:r>
        <w:r w:rsidR="00E02DA1" w:rsidRPr="00A9330B">
          <w:rPr>
            <w:rStyle w:val="Lienhypertexte"/>
            <w:rFonts w:eastAsia="Calibri" w:cs="Arial"/>
            <w:i/>
            <w:noProof/>
            <w:sz w:val="20"/>
            <w:szCs w:val="20"/>
          </w:rPr>
          <w:t>: Religions pratiquées par les ménages enquêtés</w:t>
        </w:r>
        <w:r w:rsidR="00E02DA1" w:rsidRPr="00A9330B">
          <w:rPr>
            <w:i/>
            <w:noProof/>
            <w:webHidden/>
            <w:sz w:val="20"/>
            <w:szCs w:val="20"/>
          </w:rPr>
          <w:tab/>
        </w:r>
        <w:r w:rsidR="00E02DA1" w:rsidRPr="00A9330B">
          <w:rPr>
            <w:i/>
            <w:noProof/>
            <w:webHidden/>
            <w:sz w:val="20"/>
            <w:szCs w:val="20"/>
          </w:rPr>
          <w:fldChar w:fldCharType="begin"/>
        </w:r>
        <w:r w:rsidR="00E02DA1" w:rsidRPr="00A9330B">
          <w:rPr>
            <w:i/>
            <w:noProof/>
            <w:webHidden/>
            <w:sz w:val="20"/>
            <w:szCs w:val="20"/>
          </w:rPr>
          <w:instrText xml:space="preserve"> PAGEREF _Toc51844235 \h </w:instrText>
        </w:r>
        <w:r w:rsidR="00E02DA1" w:rsidRPr="00A9330B">
          <w:rPr>
            <w:i/>
            <w:noProof/>
            <w:webHidden/>
            <w:sz w:val="20"/>
            <w:szCs w:val="20"/>
          </w:rPr>
        </w:r>
        <w:r w:rsidR="00E02DA1" w:rsidRPr="00A9330B">
          <w:rPr>
            <w:i/>
            <w:noProof/>
            <w:webHidden/>
            <w:sz w:val="20"/>
            <w:szCs w:val="20"/>
          </w:rPr>
          <w:fldChar w:fldCharType="separate"/>
        </w:r>
        <w:r w:rsidR="009E27E4">
          <w:rPr>
            <w:i/>
            <w:noProof/>
            <w:webHidden/>
            <w:sz w:val="20"/>
            <w:szCs w:val="20"/>
          </w:rPr>
          <w:t>81</w:t>
        </w:r>
        <w:r w:rsidR="00E02DA1" w:rsidRPr="00A9330B">
          <w:rPr>
            <w:i/>
            <w:noProof/>
            <w:webHidden/>
            <w:sz w:val="20"/>
            <w:szCs w:val="20"/>
          </w:rPr>
          <w:fldChar w:fldCharType="end"/>
        </w:r>
      </w:hyperlink>
    </w:p>
    <w:p w14:paraId="68A93741" w14:textId="583E6B51" w:rsidR="00E02DA1" w:rsidRPr="00A9330B" w:rsidRDefault="00D24D0D" w:rsidP="00E02DA1">
      <w:pPr>
        <w:pStyle w:val="Tabledesillustrations"/>
        <w:tabs>
          <w:tab w:val="right" w:leader="dot" w:pos="9345"/>
        </w:tabs>
        <w:rPr>
          <w:rFonts w:asciiTheme="minorHAnsi" w:eastAsiaTheme="minorEastAsia" w:hAnsiTheme="minorHAnsi"/>
          <w:i/>
          <w:noProof/>
          <w:sz w:val="20"/>
          <w:szCs w:val="20"/>
          <w:lang w:eastAsia="fr-FR"/>
        </w:rPr>
      </w:pPr>
      <w:hyperlink w:anchor="_Toc51844236" w:history="1">
        <w:r w:rsidR="00E02DA1" w:rsidRPr="00A9330B">
          <w:rPr>
            <w:rStyle w:val="Lienhypertexte"/>
            <w:i/>
            <w:noProof/>
            <w:sz w:val="20"/>
            <w:szCs w:val="20"/>
          </w:rPr>
          <w:t xml:space="preserve">Figure 23 </w:t>
        </w:r>
        <w:r w:rsidR="00E02DA1" w:rsidRPr="00A9330B">
          <w:rPr>
            <w:rStyle w:val="Lienhypertexte"/>
            <w:rFonts w:eastAsia="Calibri" w:cs="Arial"/>
            <w:i/>
            <w:noProof/>
            <w:sz w:val="20"/>
            <w:szCs w:val="20"/>
          </w:rPr>
          <w:t>: Activités principales exercées par les riverains dans les emprises du projet</w:t>
        </w:r>
        <w:r w:rsidR="00E02DA1" w:rsidRPr="00A9330B">
          <w:rPr>
            <w:i/>
            <w:noProof/>
            <w:webHidden/>
            <w:sz w:val="20"/>
            <w:szCs w:val="20"/>
          </w:rPr>
          <w:tab/>
        </w:r>
        <w:r w:rsidR="00E02DA1" w:rsidRPr="00A9330B">
          <w:rPr>
            <w:i/>
            <w:noProof/>
            <w:webHidden/>
            <w:sz w:val="20"/>
            <w:szCs w:val="20"/>
          </w:rPr>
          <w:fldChar w:fldCharType="begin"/>
        </w:r>
        <w:r w:rsidR="00E02DA1" w:rsidRPr="00A9330B">
          <w:rPr>
            <w:i/>
            <w:noProof/>
            <w:webHidden/>
            <w:sz w:val="20"/>
            <w:szCs w:val="20"/>
          </w:rPr>
          <w:instrText xml:space="preserve"> PAGEREF _Toc51844236 \h </w:instrText>
        </w:r>
        <w:r w:rsidR="00E02DA1" w:rsidRPr="00A9330B">
          <w:rPr>
            <w:i/>
            <w:noProof/>
            <w:webHidden/>
            <w:sz w:val="20"/>
            <w:szCs w:val="20"/>
          </w:rPr>
        </w:r>
        <w:r w:rsidR="00E02DA1" w:rsidRPr="00A9330B">
          <w:rPr>
            <w:i/>
            <w:noProof/>
            <w:webHidden/>
            <w:sz w:val="20"/>
            <w:szCs w:val="20"/>
          </w:rPr>
          <w:fldChar w:fldCharType="separate"/>
        </w:r>
        <w:r w:rsidR="009E27E4">
          <w:rPr>
            <w:i/>
            <w:noProof/>
            <w:webHidden/>
            <w:sz w:val="20"/>
            <w:szCs w:val="20"/>
          </w:rPr>
          <w:t>82</w:t>
        </w:r>
        <w:r w:rsidR="00E02DA1" w:rsidRPr="00A9330B">
          <w:rPr>
            <w:i/>
            <w:noProof/>
            <w:webHidden/>
            <w:sz w:val="20"/>
            <w:szCs w:val="20"/>
          </w:rPr>
          <w:fldChar w:fldCharType="end"/>
        </w:r>
      </w:hyperlink>
    </w:p>
    <w:p w14:paraId="3EB9ABDA" w14:textId="5F4085C4" w:rsidR="00E02DA1" w:rsidRPr="00A9330B" w:rsidRDefault="00D24D0D" w:rsidP="00E02DA1">
      <w:pPr>
        <w:pStyle w:val="Tabledesillustrations"/>
        <w:tabs>
          <w:tab w:val="right" w:leader="dot" w:pos="9345"/>
        </w:tabs>
        <w:rPr>
          <w:rFonts w:asciiTheme="minorHAnsi" w:eastAsiaTheme="minorEastAsia" w:hAnsiTheme="minorHAnsi"/>
          <w:i/>
          <w:noProof/>
          <w:sz w:val="20"/>
          <w:szCs w:val="20"/>
          <w:lang w:eastAsia="fr-FR"/>
        </w:rPr>
      </w:pPr>
      <w:hyperlink w:anchor="_Toc51844237" w:history="1">
        <w:r w:rsidR="00E02DA1" w:rsidRPr="00A9330B">
          <w:rPr>
            <w:rStyle w:val="Lienhypertexte"/>
            <w:i/>
            <w:noProof/>
            <w:sz w:val="20"/>
            <w:szCs w:val="20"/>
          </w:rPr>
          <w:t xml:space="preserve">Figure 24 </w:t>
        </w:r>
        <w:r w:rsidR="00E02DA1" w:rsidRPr="00A9330B">
          <w:rPr>
            <w:rStyle w:val="Lienhypertexte"/>
            <w:rFonts w:eastAsia="Calibri" w:cs="Arial"/>
            <w:i/>
            <w:noProof/>
            <w:sz w:val="20"/>
            <w:szCs w:val="20"/>
          </w:rPr>
          <w:t>: Périodes d’activité dans l’emprise du projet</w:t>
        </w:r>
        <w:r w:rsidR="00E02DA1" w:rsidRPr="00A9330B">
          <w:rPr>
            <w:i/>
            <w:noProof/>
            <w:webHidden/>
            <w:sz w:val="20"/>
            <w:szCs w:val="20"/>
          </w:rPr>
          <w:tab/>
        </w:r>
        <w:r w:rsidR="00E02DA1" w:rsidRPr="00A9330B">
          <w:rPr>
            <w:i/>
            <w:noProof/>
            <w:webHidden/>
            <w:sz w:val="20"/>
            <w:szCs w:val="20"/>
          </w:rPr>
          <w:fldChar w:fldCharType="begin"/>
        </w:r>
        <w:r w:rsidR="00E02DA1" w:rsidRPr="00A9330B">
          <w:rPr>
            <w:i/>
            <w:noProof/>
            <w:webHidden/>
            <w:sz w:val="20"/>
            <w:szCs w:val="20"/>
          </w:rPr>
          <w:instrText xml:space="preserve"> PAGEREF _Toc51844237 \h </w:instrText>
        </w:r>
        <w:r w:rsidR="00E02DA1" w:rsidRPr="00A9330B">
          <w:rPr>
            <w:i/>
            <w:noProof/>
            <w:webHidden/>
            <w:sz w:val="20"/>
            <w:szCs w:val="20"/>
          </w:rPr>
        </w:r>
        <w:r w:rsidR="00E02DA1" w:rsidRPr="00A9330B">
          <w:rPr>
            <w:i/>
            <w:noProof/>
            <w:webHidden/>
            <w:sz w:val="20"/>
            <w:szCs w:val="20"/>
          </w:rPr>
          <w:fldChar w:fldCharType="separate"/>
        </w:r>
        <w:r w:rsidR="009E27E4">
          <w:rPr>
            <w:i/>
            <w:noProof/>
            <w:webHidden/>
            <w:sz w:val="20"/>
            <w:szCs w:val="20"/>
          </w:rPr>
          <w:t>82</w:t>
        </w:r>
        <w:r w:rsidR="00E02DA1" w:rsidRPr="00A9330B">
          <w:rPr>
            <w:i/>
            <w:noProof/>
            <w:webHidden/>
            <w:sz w:val="20"/>
            <w:szCs w:val="20"/>
          </w:rPr>
          <w:fldChar w:fldCharType="end"/>
        </w:r>
      </w:hyperlink>
    </w:p>
    <w:p w14:paraId="7402B1F8" w14:textId="66300898" w:rsidR="00E02DA1" w:rsidRPr="00A9330B" w:rsidRDefault="00D24D0D" w:rsidP="00E02DA1">
      <w:pPr>
        <w:pStyle w:val="Tabledesillustrations"/>
        <w:tabs>
          <w:tab w:val="right" w:leader="dot" w:pos="9345"/>
        </w:tabs>
        <w:rPr>
          <w:rFonts w:asciiTheme="minorHAnsi" w:eastAsiaTheme="minorEastAsia" w:hAnsiTheme="minorHAnsi"/>
          <w:i/>
          <w:noProof/>
          <w:sz w:val="20"/>
          <w:szCs w:val="20"/>
          <w:lang w:eastAsia="fr-FR"/>
        </w:rPr>
      </w:pPr>
      <w:hyperlink w:anchor="_Toc51844238" w:history="1">
        <w:r w:rsidR="00E02DA1" w:rsidRPr="00A9330B">
          <w:rPr>
            <w:rStyle w:val="Lienhypertexte"/>
            <w:i/>
            <w:noProof/>
            <w:sz w:val="20"/>
            <w:szCs w:val="20"/>
          </w:rPr>
          <w:t xml:space="preserve">Figure 25 </w:t>
        </w:r>
        <w:r w:rsidR="00E02DA1" w:rsidRPr="00A9330B">
          <w:rPr>
            <w:rStyle w:val="Lienhypertexte"/>
            <w:rFonts w:eastAsia="Calibri" w:cs="Arial"/>
            <w:i/>
            <w:noProof/>
            <w:sz w:val="20"/>
            <w:szCs w:val="20"/>
          </w:rPr>
          <w:t>: Impacts des inondations sur les activités économiques</w:t>
        </w:r>
        <w:r w:rsidR="00E02DA1" w:rsidRPr="00A9330B">
          <w:rPr>
            <w:i/>
            <w:noProof/>
            <w:webHidden/>
            <w:sz w:val="20"/>
            <w:szCs w:val="20"/>
          </w:rPr>
          <w:tab/>
        </w:r>
        <w:r w:rsidR="00E02DA1" w:rsidRPr="00A9330B">
          <w:rPr>
            <w:i/>
            <w:noProof/>
            <w:webHidden/>
            <w:sz w:val="20"/>
            <w:szCs w:val="20"/>
          </w:rPr>
          <w:fldChar w:fldCharType="begin"/>
        </w:r>
        <w:r w:rsidR="00E02DA1" w:rsidRPr="00A9330B">
          <w:rPr>
            <w:i/>
            <w:noProof/>
            <w:webHidden/>
            <w:sz w:val="20"/>
            <w:szCs w:val="20"/>
          </w:rPr>
          <w:instrText xml:space="preserve"> PAGEREF _Toc51844238 \h </w:instrText>
        </w:r>
        <w:r w:rsidR="00E02DA1" w:rsidRPr="00A9330B">
          <w:rPr>
            <w:i/>
            <w:noProof/>
            <w:webHidden/>
            <w:sz w:val="20"/>
            <w:szCs w:val="20"/>
          </w:rPr>
        </w:r>
        <w:r w:rsidR="00E02DA1" w:rsidRPr="00A9330B">
          <w:rPr>
            <w:i/>
            <w:noProof/>
            <w:webHidden/>
            <w:sz w:val="20"/>
            <w:szCs w:val="20"/>
          </w:rPr>
          <w:fldChar w:fldCharType="separate"/>
        </w:r>
        <w:r w:rsidR="009E27E4">
          <w:rPr>
            <w:i/>
            <w:noProof/>
            <w:webHidden/>
            <w:sz w:val="20"/>
            <w:szCs w:val="20"/>
          </w:rPr>
          <w:t>83</w:t>
        </w:r>
        <w:r w:rsidR="00E02DA1" w:rsidRPr="00A9330B">
          <w:rPr>
            <w:i/>
            <w:noProof/>
            <w:webHidden/>
            <w:sz w:val="20"/>
            <w:szCs w:val="20"/>
          </w:rPr>
          <w:fldChar w:fldCharType="end"/>
        </w:r>
      </w:hyperlink>
    </w:p>
    <w:p w14:paraId="267266E3" w14:textId="6F2AE094" w:rsidR="00E02DA1" w:rsidRPr="00A9330B" w:rsidRDefault="00D24D0D" w:rsidP="00E02DA1">
      <w:pPr>
        <w:pStyle w:val="Tabledesillustrations"/>
        <w:tabs>
          <w:tab w:val="right" w:leader="dot" w:pos="9345"/>
        </w:tabs>
        <w:rPr>
          <w:rFonts w:asciiTheme="minorHAnsi" w:eastAsiaTheme="minorEastAsia" w:hAnsiTheme="minorHAnsi"/>
          <w:i/>
          <w:noProof/>
          <w:sz w:val="20"/>
          <w:szCs w:val="20"/>
          <w:lang w:eastAsia="fr-FR"/>
        </w:rPr>
      </w:pPr>
      <w:hyperlink w:anchor="_Toc51844239" w:history="1">
        <w:r w:rsidR="00E02DA1" w:rsidRPr="00A9330B">
          <w:rPr>
            <w:rStyle w:val="Lienhypertexte"/>
            <w:rFonts w:cs="Arial"/>
            <w:i/>
            <w:noProof/>
            <w:sz w:val="20"/>
            <w:szCs w:val="20"/>
          </w:rPr>
          <w:t xml:space="preserve">Figure 26 </w:t>
        </w:r>
        <w:r w:rsidR="00E02DA1" w:rsidRPr="00A9330B">
          <w:rPr>
            <w:rStyle w:val="Lienhypertexte"/>
            <w:rFonts w:eastAsia="Calibri" w:cs="Arial"/>
            <w:i/>
            <w:noProof/>
            <w:sz w:val="20"/>
            <w:szCs w:val="20"/>
          </w:rPr>
          <w:t>: Impacts des inondations dans les localités traversées par le projet</w:t>
        </w:r>
        <w:r w:rsidR="00E02DA1" w:rsidRPr="00A9330B">
          <w:rPr>
            <w:i/>
            <w:noProof/>
            <w:webHidden/>
            <w:sz w:val="20"/>
            <w:szCs w:val="20"/>
          </w:rPr>
          <w:tab/>
        </w:r>
        <w:r w:rsidR="00E02DA1" w:rsidRPr="00A9330B">
          <w:rPr>
            <w:i/>
            <w:noProof/>
            <w:webHidden/>
            <w:sz w:val="20"/>
            <w:szCs w:val="20"/>
          </w:rPr>
          <w:fldChar w:fldCharType="begin"/>
        </w:r>
        <w:r w:rsidR="00E02DA1" w:rsidRPr="00A9330B">
          <w:rPr>
            <w:i/>
            <w:noProof/>
            <w:webHidden/>
            <w:sz w:val="20"/>
            <w:szCs w:val="20"/>
          </w:rPr>
          <w:instrText xml:space="preserve"> PAGEREF _Toc51844239 \h </w:instrText>
        </w:r>
        <w:r w:rsidR="00E02DA1" w:rsidRPr="00A9330B">
          <w:rPr>
            <w:i/>
            <w:noProof/>
            <w:webHidden/>
            <w:sz w:val="20"/>
            <w:szCs w:val="20"/>
          </w:rPr>
        </w:r>
        <w:r w:rsidR="00E02DA1" w:rsidRPr="00A9330B">
          <w:rPr>
            <w:i/>
            <w:noProof/>
            <w:webHidden/>
            <w:sz w:val="20"/>
            <w:szCs w:val="20"/>
          </w:rPr>
          <w:fldChar w:fldCharType="separate"/>
        </w:r>
        <w:r w:rsidR="009E27E4">
          <w:rPr>
            <w:i/>
            <w:noProof/>
            <w:webHidden/>
            <w:sz w:val="20"/>
            <w:szCs w:val="20"/>
          </w:rPr>
          <w:t>83</w:t>
        </w:r>
        <w:r w:rsidR="00E02DA1" w:rsidRPr="00A9330B">
          <w:rPr>
            <w:i/>
            <w:noProof/>
            <w:webHidden/>
            <w:sz w:val="20"/>
            <w:szCs w:val="20"/>
          </w:rPr>
          <w:fldChar w:fldCharType="end"/>
        </w:r>
      </w:hyperlink>
    </w:p>
    <w:p w14:paraId="0DE1EC9B" w14:textId="3CE854EA" w:rsidR="00E02DA1" w:rsidRPr="00A9330B" w:rsidRDefault="00D24D0D" w:rsidP="00E02DA1">
      <w:pPr>
        <w:pStyle w:val="Tabledesillustrations"/>
        <w:tabs>
          <w:tab w:val="right" w:leader="dot" w:pos="9345"/>
        </w:tabs>
        <w:rPr>
          <w:rFonts w:asciiTheme="minorHAnsi" w:eastAsiaTheme="minorEastAsia" w:hAnsiTheme="minorHAnsi"/>
          <w:i/>
          <w:noProof/>
          <w:sz w:val="20"/>
          <w:szCs w:val="20"/>
          <w:lang w:eastAsia="fr-FR"/>
        </w:rPr>
      </w:pPr>
      <w:hyperlink w:anchor="_Toc51844240" w:history="1">
        <w:r w:rsidR="00E02DA1" w:rsidRPr="00A9330B">
          <w:rPr>
            <w:rStyle w:val="Lienhypertexte"/>
            <w:i/>
            <w:noProof/>
            <w:sz w:val="20"/>
            <w:szCs w:val="20"/>
          </w:rPr>
          <w:t>Figure 27 :</w:t>
        </w:r>
        <w:r w:rsidR="00E02DA1" w:rsidRPr="00A9330B">
          <w:rPr>
            <w:rStyle w:val="Lienhypertexte"/>
            <w:rFonts w:eastAsia="Calibri"/>
            <w:i/>
            <w:noProof/>
            <w:sz w:val="20"/>
            <w:szCs w:val="20"/>
          </w:rPr>
          <w:t xml:space="preserve"> Approvisionnement en eau pendant les inondations dans le milieu</w:t>
        </w:r>
        <w:r w:rsidR="00E02DA1" w:rsidRPr="00A9330B">
          <w:rPr>
            <w:i/>
            <w:noProof/>
            <w:webHidden/>
            <w:sz w:val="20"/>
            <w:szCs w:val="20"/>
          </w:rPr>
          <w:tab/>
        </w:r>
        <w:r w:rsidR="00E02DA1" w:rsidRPr="00A9330B">
          <w:rPr>
            <w:i/>
            <w:noProof/>
            <w:webHidden/>
            <w:sz w:val="20"/>
            <w:szCs w:val="20"/>
          </w:rPr>
          <w:fldChar w:fldCharType="begin"/>
        </w:r>
        <w:r w:rsidR="00E02DA1" w:rsidRPr="00A9330B">
          <w:rPr>
            <w:i/>
            <w:noProof/>
            <w:webHidden/>
            <w:sz w:val="20"/>
            <w:szCs w:val="20"/>
          </w:rPr>
          <w:instrText xml:space="preserve"> PAGEREF _Toc51844240 \h </w:instrText>
        </w:r>
        <w:r w:rsidR="00E02DA1" w:rsidRPr="00A9330B">
          <w:rPr>
            <w:i/>
            <w:noProof/>
            <w:webHidden/>
            <w:sz w:val="20"/>
            <w:szCs w:val="20"/>
          </w:rPr>
        </w:r>
        <w:r w:rsidR="00E02DA1" w:rsidRPr="00A9330B">
          <w:rPr>
            <w:i/>
            <w:noProof/>
            <w:webHidden/>
            <w:sz w:val="20"/>
            <w:szCs w:val="20"/>
          </w:rPr>
          <w:fldChar w:fldCharType="separate"/>
        </w:r>
        <w:r w:rsidR="009E27E4">
          <w:rPr>
            <w:i/>
            <w:noProof/>
            <w:webHidden/>
            <w:sz w:val="20"/>
            <w:szCs w:val="20"/>
          </w:rPr>
          <w:t>84</w:t>
        </w:r>
        <w:r w:rsidR="00E02DA1" w:rsidRPr="00A9330B">
          <w:rPr>
            <w:i/>
            <w:noProof/>
            <w:webHidden/>
            <w:sz w:val="20"/>
            <w:szCs w:val="20"/>
          </w:rPr>
          <w:fldChar w:fldCharType="end"/>
        </w:r>
      </w:hyperlink>
    </w:p>
    <w:p w14:paraId="2F3EBD7E" w14:textId="1BA8790D" w:rsidR="00E02DA1" w:rsidRPr="00A9330B" w:rsidRDefault="00D24D0D" w:rsidP="00E02DA1">
      <w:pPr>
        <w:pStyle w:val="Tabledesillustrations"/>
        <w:tabs>
          <w:tab w:val="right" w:leader="dot" w:pos="9345"/>
        </w:tabs>
        <w:rPr>
          <w:rFonts w:asciiTheme="minorHAnsi" w:eastAsiaTheme="minorEastAsia" w:hAnsiTheme="minorHAnsi"/>
          <w:i/>
          <w:noProof/>
          <w:sz w:val="20"/>
          <w:szCs w:val="20"/>
          <w:lang w:eastAsia="fr-FR"/>
        </w:rPr>
      </w:pPr>
      <w:hyperlink w:anchor="_Toc51844241" w:history="1">
        <w:r w:rsidR="00E02DA1" w:rsidRPr="00A9330B">
          <w:rPr>
            <w:rStyle w:val="Lienhypertexte"/>
            <w:i/>
            <w:noProof/>
            <w:sz w:val="20"/>
            <w:szCs w:val="20"/>
          </w:rPr>
          <w:t>Figure 30 </w:t>
        </w:r>
        <w:r w:rsidR="00E02DA1" w:rsidRPr="00A9330B">
          <w:rPr>
            <w:rStyle w:val="Lienhypertexte"/>
            <w:rFonts w:eastAsia="Calibri" w:cs="Arial"/>
            <w:i/>
            <w:noProof/>
            <w:sz w:val="20"/>
            <w:szCs w:val="20"/>
          </w:rPr>
          <w:t>: Gestion des déchets par les ménages</w:t>
        </w:r>
        <w:r w:rsidR="00E02DA1" w:rsidRPr="00A9330B">
          <w:rPr>
            <w:i/>
            <w:noProof/>
            <w:webHidden/>
            <w:sz w:val="20"/>
            <w:szCs w:val="20"/>
          </w:rPr>
          <w:tab/>
        </w:r>
        <w:r w:rsidR="00E02DA1" w:rsidRPr="00A9330B">
          <w:rPr>
            <w:i/>
            <w:noProof/>
            <w:webHidden/>
            <w:sz w:val="20"/>
            <w:szCs w:val="20"/>
          </w:rPr>
          <w:fldChar w:fldCharType="begin"/>
        </w:r>
        <w:r w:rsidR="00E02DA1" w:rsidRPr="00A9330B">
          <w:rPr>
            <w:i/>
            <w:noProof/>
            <w:webHidden/>
            <w:sz w:val="20"/>
            <w:szCs w:val="20"/>
          </w:rPr>
          <w:instrText xml:space="preserve"> PAGEREF _Toc51844241 \h </w:instrText>
        </w:r>
        <w:r w:rsidR="00E02DA1" w:rsidRPr="00A9330B">
          <w:rPr>
            <w:i/>
            <w:noProof/>
            <w:webHidden/>
            <w:sz w:val="20"/>
            <w:szCs w:val="20"/>
          </w:rPr>
        </w:r>
        <w:r w:rsidR="00E02DA1" w:rsidRPr="00A9330B">
          <w:rPr>
            <w:i/>
            <w:noProof/>
            <w:webHidden/>
            <w:sz w:val="20"/>
            <w:szCs w:val="20"/>
          </w:rPr>
          <w:fldChar w:fldCharType="separate"/>
        </w:r>
        <w:r w:rsidR="009E27E4">
          <w:rPr>
            <w:i/>
            <w:noProof/>
            <w:webHidden/>
            <w:sz w:val="20"/>
            <w:szCs w:val="20"/>
          </w:rPr>
          <w:t>85</w:t>
        </w:r>
        <w:r w:rsidR="00E02DA1" w:rsidRPr="00A9330B">
          <w:rPr>
            <w:i/>
            <w:noProof/>
            <w:webHidden/>
            <w:sz w:val="20"/>
            <w:szCs w:val="20"/>
          </w:rPr>
          <w:fldChar w:fldCharType="end"/>
        </w:r>
      </w:hyperlink>
    </w:p>
    <w:p w14:paraId="14F853AE" w14:textId="7DFF8A2B" w:rsidR="00E02DA1" w:rsidRPr="00A9330B" w:rsidRDefault="00D24D0D" w:rsidP="00E02DA1">
      <w:pPr>
        <w:pStyle w:val="Tabledesillustrations"/>
        <w:tabs>
          <w:tab w:val="right" w:leader="dot" w:pos="9345"/>
        </w:tabs>
        <w:rPr>
          <w:rFonts w:asciiTheme="minorHAnsi" w:eastAsiaTheme="minorEastAsia" w:hAnsiTheme="minorHAnsi"/>
          <w:i/>
          <w:noProof/>
          <w:sz w:val="20"/>
          <w:szCs w:val="20"/>
          <w:lang w:eastAsia="fr-FR"/>
        </w:rPr>
      </w:pPr>
      <w:hyperlink w:anchor="_Toc51844242" w:history="1">
        <w:r w:rsidR="00E02DA1" w:rsidRPr="00A9330B">
          <w:rPr>
            <w:rStyle w:val="Lienhypertexte"/>
            <w:i/>
            <w:noProof/>
            <w:sz w:val="20"/>
            <w:szCs w:val="20"/>
          </w:rPr>
          <w:t>Figure 29 </w:t>
        </w:r>
        <w:r w:rsidR="00E02DA1" w:rsidRPr="00A9330B">
          <w:rPr>
            <w:rStyle w:val="Lienhypertexte"/>
            <w:rFonts w:eastAsia="Calibri" w:cs="Arial"/>
            <w:i/>
            <w:noProof/>
            <w:sz w:val="20"/>
            <w:szCs w:val="20"/>
          </w:rPr>
          <w:t>: Stratégies de gestion des infrastructures d’hygiène et d’assainissement</w:t>
        </w:r>
        <w:r w:rsidR="00E02DA1" w:rsidRPr="00A9330B">
          <w:rPr>
            <w:i/>
            <w:noProof/>
            <w:webHidden/>
            <w:sz w:val="20"/>
            <w:szCs w:val="20"/>
          </w:rPr>
          <w:tab/>
        </w:r>
        <w:r w:rsidR="00E02DA1" w:rsidRPr="00A9330B">
          <w:rPr>
            <w:i/>
            <w:noProof/>
            <w:webHidden/>
            <w:sz w:val="20"/>
            <w:szCs w:val="20"/>
          </w:rPr>
          <w:fldChar w:fldCharType="begin"/>
        </w:r>
        <w:r w:rsidR="00E02DA1" w:rsidRPr="00A9330B">
          <w:rPr>
            <w:i/>
            <w:noProof/>
            <w:webHidden/>
            <w:sz w:val="20"/>
            <w:szCs w:val="20"/>
          </w:rPr>
          <w:instrText xml:space="preserve"> PAGEREF _Toc51844242 \h </w:instrText>
        </w:r>
        <w:r w:rsidR="00E02DA1" w:rsidRPr="00A9330B">
          <w:rPr>
            <w:i/>
            <w:noProof/>
            <w:webHidden/>
            <w:sz w:val="20"/>
            <w:szCs w:val="20"/>
          </w:rPr>
        </w:r>
        <w:r w:rsidR="00E02DA1" w:rsidRPr="00A9330B">
          <w:rPr>
            <w:i/>
            <w:noProof/>
            <w:webHidden/>
            <w:sz w:val="20"/>
            <w:szCs w:val="20"/>
          </w:rPr>
          <w:fldChar w:fldCharType="separate"/>
        </w:r>
        <w:r w:rsidR="009E27E4">
          <w:rPr>
            <w:i/>
            <w:noProof/>
            <w:webHidden/>
            <w:sz w:val="20"/>
            <w:szCs w:val="20"/>
          </w:rPr>
          <w:t>86</w:t>
        </w:r>
        <w:r w:rsidR="00E02DA1" w:rsidRPr="00A9330B">
          <w:rPr>
            <w:i/>
            <w:noProof/>
            <w:webHidden/>
            <w:sz w:val="20"/>
            <w:szCs w:val="20"/>
          </w:rPr>
          <w:fldChar w:fldCharType="end"/>
        </w:r>
      </w:hyperlink>
    </w:p>
    <w:p w14:paraId="15AF09F0" w14:textId="5DDE961F" w:rsidR="00E02DA1" w:rsidRPr="00A9330B" w:rsidRDefault="00D24D0D" w:rsidP="00E02DA1">
      <w:pPr>
        <w:pStyle w:val="Tabledesillustrations"/>
        <w:tabs>
          <w:tab w:val="right" w:leader="dot" w:pos="9345"/>
        </w:tabs>
        <w:rPr>
          <w:rFonts w:asciiTheme="minorHAnsi" w:eastAsiaTheme="minorEastAsia" w:hAnsiTheme="minorHAnsi"/>
          <w:i/>
          <w:noProof/>
          <w:sz w:val="20"/>
          <w:szCs w:val="20"/>
          <w:lang w:eastAsia="fr-FR"/>
        </w:rPr>
      </w:pPr>
      <w:hyperlink w:anchor="_Toc51844243" w:history="1">
        <w:r w:rsidR="00E02DA1" w:rsidRPr="00A9330B">
          <w:rPr>
            <w:rStyle w:val="Lienhypertexte"/>
            <w:i/>
            <w:noProof/>
            <w:sz w:val="20"/>
            <w:szCs w:val="20"/>
          </w:rPr>
          <w:t>Figure 30 : Dépotoirs sauvages dans la ville de Natitingou</w:t>
        </w:r>
        <w:r w:rsidR="00E02DA1" w:rsidRPr="00A9330B">
          <w:rPr>
            <w:i/>
            <w:noProof/>
            <w:webHidden/>
            <w:sz w:val="20"/>
            <w:szCs w:val="20"/>
          </w:rPr>
          <w:tab/>
        </w:r>
        <w:r w:rsidR="00E02DA1" w:rsidRPr="00A9330B">
          <w:rPr>
            <w:i/>
            <w:noProof/>
            <w:webHidden/>
            <w:sz w:val="20"/>
            <w:szCs w:val="20"/>
          </w:rPr>
          <w:fldChar w:fldCharType="begin"/>
        </w:r>
        <w:r w:rsidR="00E02DA1" w:rsidRPr="00A9330B">
          <w:rPr>
            <w:i/>
            <w:noProof/>
            <w:webHidden/>
            <w:sz w:val="20"/>
            <w:szCs w:val="20"/>
          </w:rPr>
          <w:instrText xml:space="preserve"> PAGEREF _Toc51844243 \h </w:instrText>
        </w:r>
        <w:r w:rsidR="00E02DA1" w:rsidRPr="00A9330B">
          <w:rPr>
            <w:i/>
            <w:noProof/>
            <w:webHidden/>
            <w:sz w:val="20"/>
            <w:szCs w:val="20"/>
          </w:rPr>
        </w:r>
        <w:r w:rsidR="00E02DA1" w:rsidRPr="00A9330B">
          <w:rPr>
            <w:i/>
            <w:noProof/>
            <w:webHidden/>
            <w:sz w:val="20"/>
            <w:szCs w:val="20"/>
          </w:rPr>
          <w:fldChar w:fldCharType="separate"/>
        </w:r>
        <w:r w:rsidR="009E27E4">
          <w:rPr>
            <w:i/>
            <w:noProof/>
            <w:webHidden/>
            <w:sz w:val="20"/>
            <w:szCs w:val="20"/>
          </w:rPr>
          <w:t>87</w:t>
        </w:r>
        <w:r w:rsidR="00E02DA1" w:rsidRPr="00A9330B">
          <w:rPr>
            <w:i/>
            <w:noProof/>
            <w:webHidden/>
            <w:sz w:val="20"/>
            <w:szCs w:val="20"/>
          </w:rPr>
          <w:fldChar w:fldCharType="end"/>
        </w:r>
      </w:hyperlink>
    </w:p>
    <w:p w14:paraId="771CF9DA" w14:textId="00708A73" w:rsidR="00E02DA1" w:rsidRPr="00A9330B" w:rsidRDefault="00D24D0D" w:rsidP="00E02DA1">
      <w:pPr>
        <w:pStyle w:val="Tabledesillustrations"/>
        <w:tabs>
          <w:tab w:val="right" w:leader="dot" w:pos="9345"/>
        </w:tabs>
        <w:rPr>
          <w:rFonts w:asciiTheme="minorHAnsi" w:eastAsiaTheme="minorEastAsia" w:hAnsiTheme="minorHAnsi"/>
          <w:i/>
          <w:noProof/>
          <w:sz w:val="20"/>
          <w:szCs w:val="20"/>
          <w:lang w:eastAsia="fr-FR"/>
        </w:rPr>
      </w:pPr>
      <w:hyperlink w:anchor="_Toc51844244" w:history="1">
        <w:r w:rsidR="00E02DA1" w:rsidRPr="00A9330B">
          <w:rPr>
            <w:rStyle w:val="Lienhypertexte"/>
            <w:i/>
            <w:noProof/>
            <w:sz w:val="20"/>
            <w:szCs w:val="20"/>
          </w:rPr>
          <w:t>Figure 31 : Craintes par rapport à la réalisation des travaux</w:t>
        </w:r>
        <w:r w:rsidR="00E02DA1" w:rsidRPr="00A9330B">
          <w:rPr>
            <w:i/>
            <w:noProof/>
            <w:webHidden/>
            <w:sz w:val="20"/>
            <w:szCs w:val="20"/>
          </w:rPr>
          <w:tab/>
        </w:r>
        <w:r w:rsidR="00E02DA1" w:rsidRPr="00A9330B">
          <w:rPr>
            <w:i/>
            <w:noProof/>
            <w:webHidden/>
            <w:sz w:val="20"/>
            <w:szCs w:val="20"/>
          </w:rPr>
          <w:fldChar w:fldCharType="begin"/>
        </w:r>
        <w:r w:rsidR="00E02DA1" w:rsidRPr="00A9330B">
          <w:rPr>
            <w:i/>
            <w:noProof/>
            <w:webHidden/>
            <w:sz w:val="20"/>
            <w:szCs w:val="20"/>
          </w:rPr>
          <w:instrText xml:space="preserve"> PAGEREF _Toc51844244 \h </w:instrText>
        </w:r>
        <w:r w:rsidR="00E02DA1" w:rsidRPr="00A9330B">
          <w:rPr>
            <w:i/>
            <w:noProof/>
            <w:webHidden/>
            <w:sz w:val="20"/>
            <w:szCs w:val="20"/>
          </w:rPr>
        </w:r>
        <w:r w:rsidR="00E02DA1" w:rsidRPr="00A9330B">
          <w:rPr>
            <w:i/>
            <w:noProof/>
            <w:webHidden/>
            <w:sz w:val="20"/>
            <w:szCs w:val="20"/>
          </w:rPr>
          <w:fldChar w:fldCharType="separate"/>
        </w:r>
        <w:r w:rsidR="009E27E4">
          <w:rPr>
            <w:i/>
            <w:noProof/>
            <w:webHidden/>
            <w:sz w:val="20"/>
            <w:szCs w:val="20"/>
          </w:rPr>
          <w:t>88</w:t>
        </w:r>
        <w:r w:rsidR="00E02DA1" w:rsidRPr="00A9330B">
          <w:rPr>
            <w:i/>
            <w:noProof/>
            <w:webHidden/>
            <w:sz w:val="20"/>
            <w:szCs w:val="20"/>
          </w:rPr>
          <w:fldChar w:fldCharType="end"/>
        </w:r>
      </w:hyperlink>
    </w:p>
    <w:p w14:paraId="2DAA0CD8" w14:textId="4D078142" w:rsidR="00E02DA1" w:rsidRPr="00A9330B" w:rsidRDefault="00D24D0D" w:rsidP="00E02DA1">
      <w:pPr>
        <w:pStyle w:val="Tabledesillustrations"/>
        <w:tabs>
          <w:tab w:val="right" w:leader="dot" w:pos="9345"/>
        </w:tabs>
        <w:rPr>
          <w:rFonts w:asciiTheme="minorHAnsi" w:eastAsiaTheme="minorEastAsia" w:hAnsiTheme="minorHAnsi"/>
          <w:i/>
          <w:noProof/>
          <w:sz w:val="20"/>
          <w:szCs w:val="20"/>
          <w:lang w:eastAsia="fr-FR"/>
        </w:rPr>
      </w:pPr>
      <w:hyperlink w:anchor="_Toc51844245" w:history="1">
        <w:r w:rsidR="00E02DA1" w:rsidRPr="00A9330B">
          <w:rPr>
            <w:rStyle w:val="Lienhypertexte"/>
            <w:rFonts w:cs="Arial"/>
            <w:i/>
            <w:noProof/>
            <w:sz w:val="20"/>
            <w:szCs w:val="20"/>
          </w:rPr>
          <w:t>Figure 32 </w:t>
        </w:r>
        <w:r w:rsidR="00E02DA1" w:rsidRPr="00A9330B">
          <w:rPr>
            <w:rStyle w:val="Lienhypertexte"/>
            <w:rFonts w:eastAsia="Calibri" w:cs="Arial"/>
            <w:i/>
            <w:noProof/>
            <w:sz w:val="20"/>
            <w:szCs w:val="20"/>
          </w:rPr>
          <w:t>: Craintes des populations après la réalisation des travaux</w:t>
        </w:r>
        <w:r w:rsidR="00E02DA1" w:rsidRPr="00A9330B">
          <w:rPr>
            <w:i/>
            <w:noProof/>
            <w:webHidden/>
            <w:sz w:val="20"/>
            <w:szCs w:val="20"/>
          </w:rPr>
          <w:tab/>
        </w:r>
        <w:r w:rsidR="00E02DA1" w:rsidRPr="00A9330B">
          <w:rPr>
            <w:i/>
            <w:noProof/>
            <w:webHidden/>
            <w:sz w:val="20"/>
            <w:szCs w:val="20"/>
          </w:rPr>
          <w:fldChar w:fldCharType="begin"/>
        </w:r>
        <w:r w:rsidR="00E02DA1" w:rsidRPr="00A9330B">
          <w:rPr>
            <w:i/>
            <w:noProof/>
            <w:webHidden/>
            <w:sz w:val="20"/>
            <w:szCs w:val="20"/>
          </w:rPr>
          <w:instrText xml:space="preserve"> PAGEREF _Toc51844245 \h </w:instrText>
        </w:r>
        <w:r w:rsidR="00E02DA1" w:rsidRPr="00A9330B">
          <w:rPr>
            <w:i/>
            <w:noProof/>
            <w:webHidden/>
            <w:sz w:val="20"/>
            <w:szCs w:val="20"/>
          </w:rPr>
        </w:r>
        <w:r w:rsidR="00E02DA1" w:rsidRPr="00A9330B">
          <w:rPr>
            <w:i/>
            <w:noProof/>
            <w:webHidden/>
            <w:sz w:val="20"/>
            <w:szCs w:val="20"/>
          </w:rPr>
          <w:fldChar w:fldCharType="separate"/>
        </w:r>
        <w:r w:rsidR="009E27E4">
          <w:rPr>
            <w:i/>
            <w:noProof/>
            <w:webHidden/>
            <w:sz w:val="20"/>
            <w:szCs w:val="20"/>
          </w:rPr>
          <w:t>89</w:t>
        </w:r>
        <w:r w:rsidR="00E02DA1" w:rsidRPr="00A9330B">
          <w:rPr>
            <w:i/>
            <w:noProof/>
            <w:webHidden/>
            <w:sz w:val="20"/>
            <w:szCs w:val="20"/>
          </w:rPr>
          <w:fldChar w:fldCharType="end"/>
        </w:r>
      </w:hyperlink>
    </w:p>
    <w:p w14:paraId="6FBB7CA1" w14:textId="15B26035" w:rsidR="00E02DA1" w:rsidRPr="00A9330B" w:rsidRDefault="00D24D0D" w:rsidP="00E02DA1">
      <w:pPr>
        <w:pStyle w:val="Tabledesillustrations"/>
        <w:tabs>
          <w:tab w:val="right" w:leader="dot" w:pos="9345"/>
        </w:tabs>
        <w:rPr>
          <w:rFonts w:asciiTheme="minorHAnsi" w:eastAsiaTheme="minorEastAsia" w:hAnsiTheme="minorHAnsi"/>
          <w:i/>
          <w:noProof/>
          <w:sz w:val="20"/>
          <w:szCs w:val="20"/>
          <w:lang w:eastAsia="fr-FR"/>
        </w:rPr>
      </w:pPr>
      <w:hyperlink w:anchor="_Toc51844246" w:history="1">
        <w:r w:rsidR="00E02DA1" w:rsidRPr="00A9330B">
          <w:rPr>
            <w:rStyle w:val="Lienhypertexte"/>
            <w:i/>
            <w:noProof/>
            <w:sz w:val="20"/>
            <w:szCs w:val="20"/>
          </w:rPr>
          <w:t>Figure 33 </w:t>
        </w:r>
        <w:r w:rsidR="00E02DA1" w:rsidRPr="00A9330B">
          <w:rPr>
            <w:rStyle w:val="Lienhypertexte"/>
            <w:rFonts w:eastAsia="Calibri" w:cs="Arial"/>
            <w:i/>
            <w:noProof/>
            <w:sz w:val="20"/>
            <w:szCs w:val="20"/>
          </w:rPr>
          <w:t>:</w:t>
        </w:r>
        <w:r w:rsidR="00E02DA1" w:rsidRPr="00A9330B">
          <w:rPr>
            <w:rStyle w:val="Lienhypertexte"/>
            <w:rFonts w:eastAsia="Times New Roman" w:cs="Arial"/>
            <w:i/>
            <w:noProof/>
            <w:sz w:val="20"/>
            <w:szCs w:val="20"/>
          </w:rPr>
          <w:t xml:space="preserve"> Avis de la population sur les impacts économiques et sociaux du projet</w:t>
        </w:r>
        <w:r w:rsidR="00E02DA1" w:rsidRPr="00A9330B">
          <w:rPr>
            <w:i/>
            <w:noProof/>
            <w:webHidden/>
            <w:sz w:val="20"/>
            <w:szCs w:val="20"/>
          </w:rPr>
          <w:tab/>
        </w:r>
        <w:r w:rsidR="00E02DA1" w:rsidRPr="00A9330B">
          <w:rPr>
            <w:i/>
            <w:noProof/>
            <w:webHidden/>
            <w:sz w:val="20"/>
            <w:szCs w:val="20"/>
          </w:rPr>
          <w:fldChar w:fldCharType="begin"/>
        </w:r>
        <w:r w:rsidR="00E02DA1" w:rsidRPr="00A9330B">
          <w:rPr>
            <w:i/>
            <w:noProof/>
            <w:webHidden/>
            <w:sz w:val="20"/>
            <w:szCs w:val="20"/>
          </w:rPr>
          <w:instrText xml:space="preserve"> PAGEREF _Toc51844246 \h </w:instrText>
        </w:r>
        <w:r w:rsidR="00E02DA1" w:rsidRPr="00A9330B">
          <w:rPr>
            <w:i/>
            <w:noProof/>
            <w:webHidden/>
            <w:sz w:val="20"/>
            <w:szCs w:val="20"/>
          </w:rPr>
        </w:r>
        <w:r w:rsidR="00E02DA1" w:rsidRPr="00A9330B">
          <w:rPr>
            <w:i/>
            <w:noProof/>
            <w:webHidden/>
            <w:sz w:val="20"/>
            <w:szCs w:val="20"/>
          </w:rPr>
          <w:fldChar w:fldCharType="separate"/>
        </w:r>
        <w:r w:rsidR="009E27E4">
          <w:rPr>
            <w:i/>
            <w:noProof/>
            <w:webHidden/>
            <w:sz w:val="20"/>
            <w:szCs w:val="20"/>
          </w:rPr>
          <w:t>90</w:t>
        </w:r>
        <w:r w:rsidR="00E02DA1" w:rsidRPr="00A9330B">
          <w:rPr>
            <w:i/>
            <w:noProof/>
            <w:webHidden/>
            <w:sz w:val="20"/>
            <w:szCs w:val="20"/>
          </w:rPr>
          <w:fldChar w:fldCharType="end"/>
        </w:r>
      </w:hyperlink>
    </w:p>
    <w:p w14:paraId="06A9153E" w14:textId="5AC2D90E" w:rsidR="00E02DA1" w:rsidRPr="00A9330B" w:rsidRDefault="00D24D0D" w:rsidP="00E02DA1">
      <w:pPr>
        <w:pStyle w:val="Tabledesillustrations"/>
        <w:tabs>
          <w:tab w:val="right" w:leader="dot" w:pos="9345"/>
        </w:tabs>
        <w:rPr>
          <w:rFonts w:asciiTheme="minorHAnsi" w:eastAsiaTheme="minorEastAsia" w:hAnsiTheme="minorHAnsi"/>
          <w:i/>
          <w:noProof/>
          <w:sz w:val="20"/>
          <w:szCs w:val="20"/>
          <w:lang w:eastAsia="fr-FR"/>
        </w:rPr>
      </w:pPr>
      <w:hyperlink w:anchor="_Toc51844247" w:history="1">
        <w:r w:rsidR="00E02DA1" w:rsidRPr="00A9330B">
          <w:rPr>
            <w:rStyle w:val="Lienhypertexte"/>
            <w:i/>
            <w:noProof/>
            <w:sz w:val="20"/>
            <w:szCs w:val="20"/>
          </w:rPr>
          <w:t>Figure 34 : Occupation de l’emprise du collecteur A1 (Fourigninkè) dans la ville de Natitingou</w:t>
        </w:r>
        <w:r w:rsidR="00E02DA1" w:rsidRPr="00A9330B">
          <w:rPr>
            <w:i/>
            <w:noProof/>
            <w:webHidden/>
            <w:sz w:val="20"/>
            <w:szCs w:val="20"/>
          </w:rPr>
          <w:tab/>
        </w:r>
        <w:r w:rsidR="00E02DA1" w:rsidRPr="00A9330B">
          <w:rPr>
            <w:i/>
            <w:noProof/>
            <w:webHidden/>
            <w:sz w:val="20"/>
            <w:szCs w:val="20"/>
          </w:rPr>
          <w:fldChar w:fldCharType="begin"/>
        </w:r>
        <w:r w:rsidR="00E02DA1" w:rsidRPr="00A9330B">
          <w:rPr>
            <w:i/>
            <w:noProof/>
            <w:webHidden/>
            <w:sz w:val="20"/>
            <w:szCs w:val="20"/>
          </w:rPr>
          <w:instrText xml:space="preserve"> PAGEREF _Toc51844247 \h </w:instrText>
        </w:r>
        <w:r w:rsidR="00E02DA1" w:rsidRPr="00A9330B">
          <w:rPr>
            <w:i/>
            <w:noProof/>
            <w:webHidden/>
            <w:sz w:val="20"/>
            <w:szCs w:val="20"/>
          </w:rPr>
        </w:r>
        <w:r w:rsidR="00E02DA1" w:rsidRPr="00A9330B">
          <w:rPr>
            <w:i/>
            <w:noProof/>
            <w:webHidden/>
            <w:sz w:val="20"/>
            <w:szCs w:val="20"/>
          </w:rPr>
          <w:fldChar w:fldCharType="separate"/>
        </w:r>
        <w:r w:rsidR="009E27E4">
          <w:rPr>
            <w:i/>
            <w:noProof/>
            <w:webHidden/>
            <w:sz w:val="20"/>
            <w:szCs w:val="20"/>
          </w:rPr>
          <w:t>100</w:t>
        </w:r>
        <w:r w:rsidR="00E02DA1" w:rsidRPr="00A9330B">
          <w:rPr>
            <w:i/>
            <w:noProof/>
            <w:webHidden/>
            <w:sz w:val="20"/>
            <w:szCs w:val="20"/>
          </w:rPr>
          <w:fldChar w:fldCharType="end"/>
        </w:r>
      </w:hyperlink>
    </w:p>
    <w:p w14:paraId="1FA09C9B" w14:textId="2CAD15E8" w:rsidR="00E02DA1" w:rsidRPr="00A9330B" w:rsidRDefault="00D24D0D" w:rsidP="00E02DA1">
      <w:pPr>
        <w:pStyle w:val="Tabledesillustrations"/>
        <w:tabs>
          <w:tab w:val="right" w:leader="dot" w:pos="9345"/>
        </w:tabs>
        <w:rPr>
          <w:rFonts w:asciiTheme="minorHAnsi" w:eastAsiaTheme="minorEastAsia" w:hAnsiTheme="minorHAnsi"/>
          <w:i/>
          <w:noProof/>
          <w:sz w:val="20"/>
          <w:szCs w:val="20"/>
          <w:lang w:eastAsia="fr-FR"/>
        </w:rPr>
      </w:pPr>
      <w:hyperlink w:anchor="_Toc51844248" w:history="1">
        <w:r w:rsidR="00E02DA1" w:rsidRPr="00A9330B">
          <w:rPr>
            <w:rStyle w:val="Lienhypertexte"/>
            <w:i/>
            <w:noProof/>
            <w:sz w:val="20"/>
            <w:szCs w:val="20"/>
          </w:rPr>
          <w:t>Figure 35 : Occupation de l’emprise du collecteur A2 (Fourigninkè) dans la ville de Natitingou</w:t>
        </w:r>
        <w:r w:rsidR="00E02DA1" w:rsidRPr="00A9330B">
          <w:rPr>
            <w:i/>
            <w:noProof/>
            <w:webHidden/>
            <w:sz w:val="20"/>
            <w:szCs w:val="20"/>
          </w:rPr>
          <w:tab/>
        </w:r>
        <w:r w:rsidR="00E02DA1" w:rsidRPr="00A9330B">
          <w:rPr>
            <w:i/>
            <w:noProof/>
            <w:webHidden/>
            <w:sz w:val="20"/>
            <w:szCs w:val="20"/>
          </w:rPr>
          <w:fldChar w:fldCharType="begin"/>
        </w:r>
        <w:r w:rsidR="00E02DA1" w:rsidRPr="00A9330B">
          <w:rPr>
            <w:i/>
            <w:noProof/>
            <w:webHidden/>
            <w:sz w:val="20"/>
            <w:szCs w:val="20"/>
          </w:rPr>
          <w:instrText xml:space="preserve"> PAGEREF _Toc51844248 \h </w:instrText>
        </w:r>
        <w:r w:rsidR="00E02DA1" w:rsidRPr="00A9330B">
          <w:rPr>
            <w:i/>
            <w:noProof/>
            <w:webHidden/>
            <w:sz w:val="20"/>
            <w:szCs w:val="20"/>
          </w:rPr>
        </w:r>
        <w:r w:rsidR="00E02DA1" w:rsidRPr="00A9330B">
          <w:rPr>
            <w:i/>
            <w:noProof/>
            <w:webHidden/>
            <w:sz w:val="20"/>
            <w:szCs w:val="20"/>
          </w:rPr>
          <w:fldChar w:fldCharType="separate"/>
        </w:r>
        <w:r w:rsidR="009E27E4">
          <w:rPr>
            <w:i/>
            <w:noProof/>
            <w:webHidden/>
            <w:sz w:val="20"/>
            <w:szCs w:val="20"/>
          </w:rPr>
          <w:t>101</w:t>
        </w:r>
        <w:r w:rsidR="00E02DA1" w:rsidRPr="00A9330B">
          <w:rPr>
            <w:i/>
            <w:noProof/>
            <w:webHidden/>
            <w:sz w:val="20"/>
            <w:szCs w:val="20"/>
          </w:rPr>
          <w:fldChar w:fldCharType="end"/>
        </w:r>
      </w:hyperlink>
    </w:p>
    <w:p w14:paraId="6FA498CF" w14:textId="1404A9E7" w:rsidR="00E02DA1" w:rsidRPr="00A9330B" w:rsidRDefault="00D24D0D" w:rsidP="00E02DA1">
      <w:pPr>
        <w:pStyle w:val="Tabledesillustrations"/>
        <w:tabs>
          <w:tab w:val="right" w:leader="dot" w:pos="9345"/>
        </w:tabs>
        <w:rPr>
          <w:rFonts w:asciiTheme="minorHAnsi" w:eastAsiaTheme="minorEastAsia" w:hAnsiTheme="minorHAnsi"/>
          <w:i/>
          <w:noProof/>
          <w:sz w:val="20"/>
          <w:szCs w:val="20"/>
          <w:lang w:eastAsia="fr-FR"/>
        </w:rPr>
      </w:pPr>
      <w:hyperlink w:anchor="_Toc51844249" w:history="1">
        <w:r w:rsidR="00E02DA1" w:rsidRPr="00A9330B">
          <w:rPr>
            <w:rStyle w:val="Lienhypertexte"/>
            <w:i/>
            <w:noProof/>
            <w:sz w:val="20"/>
            <w:szCs w:val="20"/>
          </w:rPr>
          <w:t>Figure 36 : Occupation de l’emprise du canal B (Wadata) dans la ville de Natitingou</w:t>
        </w:r>
        <w:r w:rsidR="00E02DA1" w:rsidRPr="00A9330B">
          <w:rPr>
            <w:i/>
            <w:noProof/>
            <w:webHidden/>
            <w:sz w:val="20"/>
            <w:szCs w:val="20"/>
          </w:rPr>
          <w:tab/>
        </w:r>
        <w:r w:rsidR="00E02DA1" w:rsidRPr="00A9330B">
          <w:rPr>
            <w:i/>
            <w:noProof/>
            <w:webHidden/>
            <w:sz w:val="20"/>
            <w:szCs w:val="20"/>
          </w:rPr>
          <w:fldChar w:fldCharType="begin"/>
        </w:r>
        <w:r w:rsidR="00E02DA1" w:rsidRPr="00A9330B">
          <w:rPr>
            <w:i/>
            <w:noProof/>
            <w:webHidden/>
            <w:sz w:val="20"/>
            <w:szCs w:val="20"/>
          </w:rPr>
          <w:instrText xml:space="preserve"> PAGEREF _Toc51844249 \h </w:instrText>
        </w:r>
        <w:r w:rsidR="00E02DA1" w:rsidRPr="00A9330B">
          <w:rPr>
            <w:i/>
            <w:noProof/>
            <w:webHidden/>
            <w:sz w:val="20"/>
            <w:szCs w:val="20"/>
          </w:rPr>
        </w:r>
        <w:r w:rsidR="00E02DA1" w:rsidRPr="00A9330B">
          <w:rPr>
            <w:i/>
            <w:noProof/>
            <w:webHidden/>
            <w:sz w:val="20"/>
            <w:szCs w:val="20"/>
          </w:rPr>
          <w:fldChar w:fldCharType="separate"/>
        </w:r>
        <w:r w:rsidR="009E27E4">
          <w:rPr>
            <w:i/>
            <w:noProof/>
            <w:webHidden/>
            <w:sz w:val="20"/>
            <w:szCs w:val="20"/>
          </w:rPr>
          <w:t>102</w:t>
        </w:r>
        <w:r w:rsidR="00E02DA1" w:rsidRPr="00A9330B">
          <w:rPr>
            <w:i/>
            <w:noProof/>
            <w:webHidden/>
            <w:sz w:val="20"/>
            <w:szCs w:val="20"/>
          </w:rPr>
          <w:fldChar w:fldCharType="end"/>
        </w:r>
      </w:hyperlink>
    </w:p>
    <w:p w14:paraId="18872760" w14:textId="40A353A8" w:rsidR="00E02DA1" w:rsidRPr="00A9330B" w:rsidRDefault="00D24D0D" w:rsidP="00E02DA1">
      <w:pPr>
        <w:pStyle w:val="Tabledesillustrations"/>
        <w:tabs>
          <w:tab w:val="right" w:leader="dot" w:pos="9345"/>
        </w:tabs>
        <w:rPr>
          <w:rFonts w:asciiTheme="minorHAnsi" w:eastAsiaTheme="minorEastAsia" w:hAnsiTheme="minorHAnsi"/>
          <w:i/>
          <w:noProof/>
          <w:sz w:val="20"/>
          <w:szCs w:val="20"/>
          <w:lang w:eastAsia="fr-FR"/>
        </w:rPr>
      </w:pPr>
      <w:hyperlink w:anchor="_Toc51844250" w:history="1">
        <w:r w:rsidR="00E02DA1" w:rsidRPr="00A9330B">
          <w:rPr>
            <w:rStyle w:val="Lienhypertexte"/>
            <w:i/>
            <w:noProof/>
            <w:sz w:val="20"/>
            <w:szCs w:val="20"/>
          </w:rPr>
          <w:t>Figure 37 : Occupation de l’emprise du collecteur A13a1 dans la ville de Natitingou</w:t>
        </w:r>
        <w:r w:rsidR="00E02DA1" w:rsidRPr="00A9330B">
          <w:rPr>
            <w:i/>
            <w:noProof/>
            <w:webHidden/>
            <w:sz w:val="20"/>
            <w:szCs w:val="20"/>
          </w:rPr>
          <w:tab/>
        </w:r>
        <w:r w:rsidR="00E02DA1" w:rsidRPr="00A9330B">
          <w:rPr>
            <w:i/>
            <w:noProof/>
            <w:webHidden/>
            <w:sz w:val="20"/>
            <w:szCs w:val="20"/>
          </w:rPr>
          <w:fldChar w:fldCharType="begin"/>
        </w:r>
        <w:r w:rsidR="00E02DA1" w:rsidRPr="00A9330B">
          <w:rPr>
            <w:i/>
            <w:noProof/>
            <w:webHidden/>
            <w:sz w:val="20"/>
            <w:szCs w:val="20"/>
          </w:rPr>
          <w:instrText xml:space="preserve"> PAGEREF _Toc51844250 \h </w:instrText>
        </w:r>
        <w:r w:rsidR="00E02DA1" w:rsidRPr="00A9330B">
          <w:rPr>
            <w:i/>
            <w:noProof/>
            <w:webHidden/>
            <w:sz w:val="20"/>
            <w:szCs w:val="20"/>
          </w:rPr>
        </w:r>
        <w:r w:rsidR="00E02DA1" w:rsidRPr="00A9330B">
          <w:rPr>
            <w:i/>
            <w:noProof/>
            <w:webHidden/>
            <w:sz w:val="20"/>
            <w:szCs w:val="20"/>
          </w:rPr>
          <w:fldChar w:fldCharType="separate"/>
        </w:r>
        <w:r w:rsidR="009E27E4">
          <w:rPr>
            <w:i/>
            <w:noProof/>
            <w:webHidden/>
            <w:sz w:val="20"/>
            <w:szCs w:val="20"/>
          </w:rPr>
          <w:t>103</w:t>
        </w:r>
        <w:r w:rsidR="00E02DA1" w:rsidRPr="00A9330B">
          <w:rPr>
            <w:i/>
            <w:noProof/>
            <w:webHidden/>
            <w:sz w:val="20"/>
            <w:szCs w:val="20"/>
          </w:rPr>
          <w:fldChar w:fldCharType="end"/>
        </w:r>
      </w:hyperlink>
    </w:p>
    <w:p w14:paraId="13FE5031" w14:textId="5EC1918B" w:rsidR="00E02DA1" w:rsidRPr="00A9330B" w:rsidRDefault="00D24D0D" w:rsidP="00E02DA1">
      <w:pPr>
        <w:pStyle w:val="Tabledesillustrations"/>
        <w:tabs>
          <w:tab w:val="right" w:leader="dot" w:pos="9345"/>
        </w:tabs>
        <w:rPr>
          <w:rFonts w:asciiTheme="minorHAnsi" w:eastAsiaTheme="minorEastAsia" w:hAnsiTheme="minorHAnsi"/>
          <w:i/>
          <w:noProof/>
          <w:sz w:val="20"/>
          <w:szCs w:val="20"/>
          <w:lang w:eastAsia="fr-FR"/>
        </w:rPr>
      </w:pPr>
      <w:hyperlink w:anchor="_Toc51844251" w:history="1">
        <w:r w:rsidR="00E02DA1" w:rsidRPr="00A9330B">
          <w:rPr>
            <w:rStyle w:val="Lienhypertexte"/>
            <w:i/>
            <w:noProof/>
            <w:sz w:val="20"/>
            <w:szCs w:val="20"/>
          </w:rPr>
          <w:t>Figure 38 : Occupation de l’emprise du collecteur A8a dans la ville de Natitingou</w:t>
        </w:r>
        <w:r w:rsidR="00E02DA1" w:rsidRPr="00A9330B">
          <w:rPr>
            <w:i/>
            <w:noProof/>
            <w:webHidden/>
            <w:sz w:val="20"/>
            <w:szCs w:val="20"/>
          </w:rPr>
          <w:tab/>
        </w:r>
        <w:r w:rsidR="00E02DA1" w:rsidRPr="00A9330B">
          <w:rPr>
            <w:i/>
            <w:noProof/>
            <w:webHidden/>
            <w:sz w:val="20"/>
            <w:szCs w:val="20"/>
          </w:rPr>
          <w:fldChar w:fldCharType="begin"/>
        </w:r>
        <w:r w:rsidR="00E02DA1" w:rsidRPr="00A9330B">
          <w:rPr>
            <w:i/>
            <w:noProof/>
            <w:webHidden/>
            <w:sz w:val="20"/>
            <w:szCs w:val="20"/>
          </w:rPr>
          <w:instrText xml:space="preserve"> PAGEREF _Toc51844251 \h </w:instrText>
        </w:r>
        <w:r w:rsidR="00E02DA1" w:rsidRPr="00A9330B">
          <w:rPr>
            <w:i/>
            <w:noProof/>
            <w:webHidden/>
            <w:sz w:val="20"/>
            <w:szCs w:val="20"/>
          </w:rPr>
        </w:r>
        <w:r w:rsidR="00E02DA1" w:rsidRPr="00A9330B">
          <w:rPr>
            <w:i/>
            <w:noProof/>
            <w:webHidden/>
            <w:sz w:val="20"/>
            <w:szCs w:val="20"/>
          </w:rPr>
          <w:fldChar w:fldCharType="separate"/>
        </w:r>
        <w:r w:rsidR="009E27E4">
          <w:rPr>
            <w:i/>
            <w:noProof/>
            <w:webHidden/>
            <w:sz w:val="20"/>
            <w:szCs w:val="20"/>
          </w:rPr>
          <w:t>104</w:t>
        </w:r>
        <w:r w:rsidR="00E02DA1" w:rsidRPr="00A9330B">
          <w:rPr>
            <w:i/>
            <w:noProof/>
            <w:webHidden/>
            <w:sz w:val="20"/>
            <w:szCs w:val="20"/>
          </w:rPr>
          <w:fldChar w:fldCharType="end"/>
        </w:r>
      </w:hyperlink>
    </w:p>
    <w:p w14:paraId="1E5711C3" w14:textId="765C5F71" w:rsidR="00E02DA1" w:rsidRPr="00A9330B" w:rsidRDefault="00D24D0D" w:rsidP="00E02DA1">
      <w:pPr>
        <w:pStyle w:val="Tabledesillustrations"/>
        <w:tabs>
          <w:tab w:val="right" w:leader="dot" w:pos="9345"/>
        </w:tabs>
        <w:rPr>
          <w:rFonts w:asciiTheme="minorHAnsi" w:eastAsiaTheme="minorEastAsia" w:hAnsiTheme="minorHAnsi"/>
          <w:i/>
          <w:noProof/>
          <w:sz w:val="20"/>
          <w:szCs w:val="20"/>
          <w:lang w:eastAsia="fr-FR"/>
        </w:rPr>
      </w:pPr>
      <w:hyperlink w:anchor="_Toc51844252" w:history="1">
        <w:r w:rsidR="00E02DA1" w:rsidRPr="00A9330B">
          <w:rPr>
            <w:rStyle w:val="Lienhypertexte"/>
            <w:i/>
            <w:noProof/>
            <w:sz w:val="20"/>
            <w:szCs w:val="20"/>
          </w:rPr>
          <w:t>Figure 39 : Occupation de l’emprise des collecteurs A6a3 et A6a1 dans la ville de Natitingou</w:t>
        </w:r>
        <w:r w:rsidR="00E02DA1" w:rsidRPr="00A9330B">
          <w:rPr>
            <w:i/>
            <w:noProof/>
            <w:webHidden/>
            <w:sz w:val="20"/>
            <w:szCs w:val="20"/>
          </w:rPr>
          <w:tab/>
        </w:r>
        <w:r w:rsidR="00E02DA1" w:rsidRPr="00A9330B">
          <w:rPr>
            <w:i/>
            <w:noProof/>
            <w:webHidden/>
            <w:sz w:val="20"/>
            <w:szCs w:val="20"/>
          </w:rPr>
          <w:fldChar w:fldCharType="begin"/>
        </w:r>
        <w:r w:rsidR="00E02DA1" w:rsidRPr="00A9330B">
          <w:rPr>
            <w:i/>
            <w:noProof/>
            <w:webHidden/>
            <w:sz w:val="20"/>
            <w:szCs w:val="20"/>
          </w:rPr>
          <w:instrText xml:space="preserve"> PAGEREF _Toc51844252 \h </w:instrText>
        </w:r>
        <w:r w:rsidR="00E02DA1" w:rsidRPr="00A9330B">
          <w:rPr>
            <w:i/>
            <w:noProof/>
            <w:webHidden/>
            <w:sz w:val="20"/>
            <w:szCs w:val="20"/>
          </w:rPr>
        </w:r>
        <w:r w:rsidR="00E02DA1" w:rsidRPr="00A9330B">
          <w:rPr>
            <w:i/>
            <w:noProof/>
            <w:webHidden/>
            <w:sz w:val="20"/>
            <w:szCs w:val="20"/>
          </w:rPr>
          <w:fldChar w:fldCharType="separate"/>
        </w:r>
        <w:r w:rsidR="009E27E4">
          <w:rPr>
            <w:i/>
            <w:noProof/>
            <w:webHidden/>
            <w:sz w:val="20"/>
            <w:szCs w:val="20"/>
          </w:rPr>
          <w:t>104</w:t>
        </w:r>
        <w:r w:rsidR="00E02DA1" w:rsidRPr="00A9330B">
          <w:rPr>
            <w:i/>
            <w:noProof/>
            <w:webHidden/>
            <w:sz w:val="20"/>
            <w:szCs w:val="20"/>
          </w:rPr>
          <w:fldChar w:fldCharType="end"/>
        </w:r>
      </w:hyperlink>
    </w:p>
    <w:p w14:paraId="0D5134E5" w14:textId="66598D88" w:rsidR="00E02DA1" w:rsidRPr="00A9330B" w:rsidRDefault="00D24D0D" w:rsidP="00E02DA1">
      <w:pPr>
        <w:pStyle w:val="Tabledesillustrations"/>
        <w:tabs>
          <w:tab w:val="right" w:leader="dot" w:pos="9345"/>
        </w:tabs>
        <w:rPr>
          <w:rFonts w:asciiTheme="minorHAnsi" w:eastAsiaTheme="minorEastAsia" w:hAnsiTheme="minorHAnsi"/>
          <w:i/>
          <w:noProof/>
          <w:sz w:val="20"/>
          <w:szCs w:val="20"/>
          <w:lang w:eastAsia="fr-FR"/>
        </w:rPr>
      </w:pPr>
      <w:hyperlink w:anchor="_Toc51844253" w:history="1">
        <w:r w:rsidR="00E02DA1" w:rsidRPr="00A9330B">
          <w:rPr>
            <w:rStyle w:val="Lienhypertexte"/>
            <w:i/>
            <w:noProof/>
            <w:sz w:val="20"/>
            <w:szCs w:val="20"/>
          </w:rPr>
          <w:t>Figure 40 : Occupation de l’emprise des collecteurs A6a4 et A6a2 dans la ville de Natitingou</w:t>
        </w:r>
        <w:r w:rsidR="00E02DA1" w:rsidRPr="00A9330B">
          <w:rPr>
            <w:i/>
            <w:noProof/>
            <w:webHidden/>
            <w:sz w:val="20"/>
            <w:szCs w:val="20"/>
          </w:rPr>
          <w:tab/>
        </w:r>
        <w:r w:rsidR="00E02DA1" w:rsidRPr="00A9330B">
          <w:rPr>
            <w:i/>
            <w:noProof/>
            <w:webHidden/>
            <w:sz w:val="20"/>
            <w:szCs w:val="20"/>
          </w:rPr>
          <w:fldChar w:fldCharType="begin"/>
        </w:r>
        <w:r w:rsidR="00E02DA1" w:rsidRPr="00A9330B">
          <w:rPr>
            <w:i/>
            <w:noProof/>
            <w:webHidden/>
            <w:sz w:val="20"/>
            <w:szCs w:val="20"/>
          </w:rPr>
          <w:instrText xml:space="preserve"> PAGEREF _Toc51844253 \h </w:instrText>
        </w:r>
        <w:r w:rsidR="00E02DA1" w:rsidRPr="00A9330B">
          <w:rPr>
            <w:i/>
            <w:noProof/>
            <w:webHidden/>
            <w:sz w:val="20"/>
            <w:szCs w:val="20"/>
          </w:rPr>
        </w:r>
        <w:r w:rsidR="00E02DA1" w:rsidRPr="00A9330B">
          <w:rPr>
            <w:i/>
            <w:noProof/>
            <w:webHidden/>
            <w:sz w:val="20"/>
            <w:szCs w:val="20"/>
          </w:rPr>
          <w:fldChar w:fldCharType="separate"/>
        </w:r>
        <w:r w:rsidR="009E27E4">
          <w:rPr>
            <w:i/>
            <w:noProof/>
            <w:webHidden/>
            <w:sz w:val="20"/>
            <w:szCs w:val="20"/>
          </w:rPr>
          <w:t>105</w:t>
        </w:r>
        <w:r w:rsidR="00E02DA1" w:rsidRPr="00A9330B">
          <w:rPr>
            <w:i/>
            <w:noProof/>
            <w:webHidden/>
            <w:sz w:val="20"/>
            <w:szCs w:val="20"/>
          </w:rPr>
          <w:fldChar w:fldCharType="end"/>
        </w:r>
      </w:hyperlink>
    </w:p>
    <w:p w14:paraId="0E045DE1" w14:textId="5EA9702B" w:rsidR="00EC72A9" w:rsidRPr="00A9330B" w:rsidRDefault="00EC72A9" w:rsidP="00E02DA1">
      <w:pPr>
        <w:spacing w:before="0" w:line="240" w:lineRule="auto"/>
        <w:rPr>
          <w:i/>
          <w:sz w:val="20"/>
          <w:szCs w:val="20"/>
          <w:lang w:eastAsia="fr-FR"/>
        </w:rPr>
      </w:pPr>
      <w:r w:rsidRPr="00A9330B">
        <w:rPr>
          <w:i/>
          <w:sz w:val="20"/>
          <w:szCs w:val="20"/>
          <w:lang w:eastAsia="fr-FR"/>
        </w:rPr>
        <w:fldChar w:fldCharType="end"/>
      </w:r>
    </w:p>
    <w:p w14:paraId="254117DC" w14:textId="77777777" w:rsidR="00E02DA1" w:rsidRPr="00A9330B" w:rsidRDefault="00E02DA1" w:rsidP="00E02DA1">
      <w:pPr>
        <w:spacing w:before="0" w:line="240" w:lineRule="auto"/>
        <w:rPr>
          <w:i/>
          <w:sz w:val="20"/>
          <w:szCs w:val="20"/>
          <w:lang w:eastAsia="fr-FR"/>
        </w:rPr>
      </w:pPr>
    </w:p>
    <w:p w14:paraId="7A1C9868" w14:textId="77777777" w:rsidR="00EC72A9" w:rsidRPr="00A9330B" w:rsidRDefault="00DB55C0" w:rsidP="0064324E">
      <w:pPr>
        <w:pStyle w:val="Titre1"/>
      </w:pPr>
      <w:bookmarkStart w:id="31" w:name="_Toc45520709"/>
      <w:bookmarkStart w:id="32" w:name="_Toc52869527"/>
      <w:bookmarkStart w:id="33" w:name="_Toc52869817"/>
      <w:r w:rsidRPr="00A9330B">
        <w:t>Planches et photos</w:t>
      </w:r>
      <w:bookmarkEnd w:id="31"/>
      <w:bookmarkEnd w:id="32"/>
      <w:bookmarkEnd w:id="33"/>
      <w:r w:rsidRPr="00A9330B">
        <w:t xml:space="preserve"> </w:t>
      </w:r>
    </w:p>
    <w:p w14:paraId="4A2CFEA9" w14:textId="4017A3E8" w:rsidR="003E0C70" w:rsidRPr="003E0C70" w:rsidRDefault="00EC72A9" w:rsidP="003E0C70">
      <w:pPr>
        <w:pStyle w:val="Tabledesillustrations"/>
        <w:tabs>
          <w:tab w:val="right" w:leader="dot" w:pos="9345"/>
        </w:tabs>
        <w:spacing w:before="80"/>
        <w:rPr>
          <w:rFonts w:asciiTheme="minorHAnsi" w:eastAsiaTheme="minorEastAsia" w:hAnsiTheme="minorHAnsi"/>
          <w:i/>
          <w:noProof/>
          <w:sz w:val="20"/>
          <w:szCs w:val="20"/>
          <w:lang w:eastAsia="fr-FR"/>
        </w:rPr>
      </w:pPr>
      <w:r w:rsidRPr="003E0C70">
        <w:rPr>
          <w:rFonts w:cs="Arial"/>
          <w:i/>
          <w:sz w:val="20"/>
          <w:szCs w:val="20"/>
        </w:rPr>
        <w:fldChar w:fldCharType="begin"/>
      </w:r>
      <w:r w:rsidRPr="003E0C70">
        <w:rPr>
          <w:rFonts w:cs="Arial"/>
          <w:i/>
          <w:sz w:val="20"/>
          <w:szCs w:val="20"/>
        </w:rPr>
        <w:instrText xml:space="preserve"> TOC \h \z \c "Planche " </w:instrText>
      </w:r>
      <w:r w:rsidRPr="003E0C70">
        <w:rPr>
          <w:rFonts w:cs="Arial"/>
          <w:i/>
          <w:sz w:val="20"/>
          <w:szCs w:val="20"/>
        </w:rPr>
        <w:fldChar w:fldCharType="separate"/>
      </w:r>
      <w:hyperlink w:anchor="_Toc52870059" w:history="1">
        <w:r w:rsidR="003E0C70" w:rsidRPr="003E0C70">
          <w:rPr>
            <w:rStyle w:val="Lienhypertexte"/>
            <w:i/>
            <w:noProof/>
            <w:sz w:val="20"/>
            <w:szCs w:val="20"/>
          </w:rPr>
          <w:t>Planche  1 : Les couloirs d’écoulement des eaux pluviales, ouvrages d’art  et la dégradation des rues à Natitingou, juin 2020</w:t>
        </w:r>
        <w:r w:rsidR="003E0C70" w:rsidRPr="003E0C70">
          <w:rPr>
            <w:i/>
            <w:noProof/>
            <w:webHidden/>
            <w:sz w:val="20"/>
            <w:szCs w:val="20"/>
          </w:rPr>
          <w:tab/>
        </w:r>
        <w:r w:rsidR="003E0C70" w:rsidRPr="003E0C70">
          <w:rPr>
            <w:i/>
            <w:noProof/>
            <w:webHidden/>
            <w:sz w:val="20"/>
            <w:szCs w:val="20"/>
          </w:rPr>
          <w:fldChar w:fldCharType="begin"/>
        </w:r>
        <w:r w:rsidR="003E0C70" w:rsidRPr="003E0C70">
          <w:rPr>
            <w:i/>
            <w:noProof/>
            <w:webHidden/>
            <w:sz w:val="20"/>
            <w:szCs w:val="20"/>
          </w:rPr>
          <w:instrText xml:space="preserve"> PAGEREF _Toc52870059 \h </w:instrText>
        </w:r>
        <w:r w:rsidR="003E0C70" w:rsidRPr="003E0C70">
          <w:rPr>
            <w:i/>
            <w:noProof/>
            <w:webHidden/>
            <w:sz w:val="20"/>
            <w:szCs w:val="20"/>
          </w:rPr>
        </w:r>
        <w:r w:rsidR="003E0C70" w:rsidRPr="003E0C70">
          <w:rPr>
            <w:i/>
            <w:noProof/>
            <w:webHidden/>
            <w:sz w:val="20"/>
            <w:szCs w:val="20"/>
          </w:rPr>
          <w:fldChar w:fldCharType="separate"/>
        </w:r>
        <w:r w:rsidR="009E27E4">
          <w:rPr>
            <w:i/>
            <w:noProof/>
            <w:webHidden/>
            <w:sz w:val="20"/>
            <w:szCs w:val="20"/>
          </w:rPr>
          <w:t>6</w:t>
        </w:r>
        <w:r w:rsidR="003E0C70" w:rsidRPr="003E0C70">
          <w:rPr>
            <w:i/>
            <w:noProof/>
            <w:webHidden/>
            <w:sz w:val="20"/>
            <w:szCs w:val="20"/>
          </w:rPr>
          <w:fldChar w:fldCharType="end"/>
        </w:r>
      </w:hyperlink>
    </w:p>
    <w:p w14:paraId="3B3278B4" w14:textId="6F2DDE23" w:rsidR="003E0C70" w:rsidRPr="003E0C70" w:rsidRDefault="003E0C70" w:rsidP="003E0C70">
      <w:pPr>
        <w:pStyle w:val="Tabledesillustrations"/>
        <w:tabs>
          <w:tab w:val="right" w:leader="dot" w:pos="9345"/>
        </w:tabs>
        <w:spacing w:before="80"/>
        <w:rPr>
          <w:rFonts w:asciiTheme="minorHAnsi" w:eastAsiaTheme="minorEastAsia" w:hAnsiTheme="minorHAnsi"/>
          <w:i/>
          <w:noProof/>
          <w:sz w:val="20"/>
          <w:szCs w:val="20"/>
          <w:lang w:eastAsia="fr-FR"/>
        </w:rPr>
      </w:pPr>
      <w:hyperlink w:anchor="_Toc52870060" w:history="1">
        <w:r w:rsidRPr="003E0C70">
          <w:rPr>
            <w:rStyle w:val="Lienhypertexte"/>
            <w:i/>
            <w:noProof/>
            <w:sz w:val="20"/>
            <w:szCs w:val="20"/>
          </w:rPr>
          <w:t>Planche  2 </w:t>
        </w:r>
        <w:r w:rsidRPr="003E0C70">
          <w:rPr>
            <w:rStyle w:val="Lienhypertexte"/>
            <w:rFonts w:eastAsia="Calibri"/>
            <w:i/>
            <w:noProof/>
            <w:sz w:val="20"/>
            <w:szCs w:val="20"/>
          </w:rPr>
          <w:t>: Les lits des rivières Fourigninkèrè à Bagri (a) et Waadata à Boriyouré (b)</w:t>
        </w:r>
        <w:r w:rsidRPr="003E0C70">
          <w:rPr>
            <w:i/>
            <w:noProof/>
            <w:webHidden/>
            <w:sz w:val="20"/>
            <w:szCs w:val="20"/>
          </w:rPr>
          <w:tab/>
        </w:r>
        <w:r w:rsidRPr="003E0C70">
          <w:rPr>
            <w:i/>
            <w:noProof/>
            <w:webHidden/>
            <w:sz w:val="20"/>
            <w:szCs w:val="20"/>
          </w:rPr>
          <w:fldChar w:fldCharType="begin"/>
        </w:r>
        <w:r w:rsidRPr="003E0C70">
          <w:rPr>
            <w:i/>
            <w:noProof/>
            <w:webHidden/>
            <w:sz w:val="20"/>
            <w:szCs w:val="20"/>
          </w:rPr>
          <w:instrText xml:space="preserve"> PAGEREF _Toc52870060 \h </w:instrText>
        </w:r>
        <w:r w:rsidRPr="003E0C70">
          <w:rPr>
            <w:i/>
            <w:noProof/>
            <w:webHidden/>
            <w:sz w:val="20"/>
            <w:szCs w:val="20"/>
          </w:rPr>
        </w:r>
        <w:r w:rsidRPr="003E0C70">
          <w:rPr>
            <w:i/>
            <w:noProof/>
            <w:webHidden/>
            <w:sz w:val="20"/>
            <w:szCs w:val="20"/>
          </w:rPr>
          <w:fldChar w:fldCharType="separate"/>
        </w:r>
        <w:r w:rsidR="009E27E4">
          <w:rPr>
            <w:i/>
            <w:noProof/>
            <w:webHidden/>
            <w:sz w:val="20"/>
            <w:szCs w:val="20"/>
          </w:rPr>
          <w:t>62</w:t>
        </w:r>
        <w:r w:rsidRPr="003E0C70">
          <w:rPr>
            <w:i/>
            <w:noProof/>
            <w:webHidden/>
            <w:sz w:val="20"/>
            <w:szCs w:val="20"/>
          </w:rPr>
          <w:fldChar w:fldCharType="end"/>
        </w:r>
      </w:hyperlink>
    </w:p>
    <w:p w14:paraId="1A4D6D08" w14:textId="70C2938C" w:rsidR="003E0C70" w:rsidRPr="003E0C70" w:rsidRDefault="003E0C70" w:rsidP="003E0C70">
      <w:pPr>
        <w:pStyle w:val="Tabledesillustrations"/>
        <w:tabs>
          <w:tab w:val="right" w:leader="dot" w:pos="9345"/>
        </w:tabs>
        <w:spacing w:before="80"/>
        <w:rPr>
          <w:rFonts w:asciiTheme="minorHAnsi" w:eastAsiaTheme="minorEastAsia" w:hAnsiTheme="minorHAnsi"/>
          <w:i/>
          <w:noProof/>
          <w:sz w:val="20"/>
          <w:szCs w:val="20"/>
          <w:lang w:eastAsia="fr-FR"/>
        </w:rPr>
      </w:pPr>
      <w:hyperlink w:anchor="_Toc52870061" w:history="1">
        <w:r w:rsidRPr="003E0C70">
          <w:rPr>
            <w:rStyle w:val="Lienhypertexte"/>
            <w:i/>
            <w:noProof/>
            <w:sz w:val="20"/>
            <w:szCs w:val="20"/>
          </w:rPr>
          <w:t xml:space="preserve">Planche  3 </w:t>
        </w:r>
        <w:r w:rsidRPr="003E0C70">
          <w:rPr>
            <w:rStyle w:val="Lienhypertexte"/>
            <w:rFonts w:eastAsia="Calibri"/>
            <w:i/>
            <w:noProof/>
            <w:sz w:val="20"/>
            <w:szCs w:val="20"/>
          </w:rPr>
          <w:t>: Périmètr</w:t>
        </w:r>
        <w:bookmarkStart w:id="34" w:name="_GoBack"/>
        <w:bookmarkEnd w:id="34"/>
        <w:r w:rsidRPr="003E0C70">
          <w:rPr>
            <w:rStyle w:val="Lienhypertexte"/>
            <w:rFonts w:eastAsia="Calibri"/>
            <w:i/>
            <w:noProof/>
            <w:sz w:val="20"/>
            <w:szCs w:val="20"/>
          </w:rPr>
          <w:t>e de reboisement de la ville de Natitingou à Tchirimina (a) et forêt galerie de la rivière Wadata à Bouriyouré (b)</w:t>
        </w:r>
        <w:r w:rsidRPr="003E0C70">
          <w:rPr>
            <w:i/>
            <w:noProof/>
            <w:webHidden/>
            <w:sz w:val="20"/>
            <w:szCs w:val="20"/>
          </w:rPr>
          <w:tab/>
        </w:r>
        <w:r w:rsidRPr="003E0C70">
          <w:rPr>
            <w:i/>
            <w:noProof/>
            <w:webHidden/>
            <w:sz w:val="20"/>
            <w:szCs w:val="20"/>
          </w:rPr>
          <w:fldChar w:fldCharType="begin"/>
        </w:r>
        <w:r w:rsidRPr="003E0C70">
          <w:rPr>
            <w:i/>
            <w:noProof/>
            <w:webHidden/>
            <w:sz w:val="20"/>
            <w:szCs w:val="20"/>
          </w:rPr>
          <w:instrText xml:space="preserve"> PAGEREF _Toc52870061 \h </w:instrText>
        </w:r>
        <w:r w:rsidRPr="003E0C70">
          <w:rPr>
            <w:i/>
            <w:noProof/>
            <w:webHidden/>
            <w:sz w:val="20"/>
            <w:szCs w:val="20"/>
          </w:rPr>
        </w:r>
        <w:r w:rsidRPr="003E0C70">
          <w:rPr>
            <w:i/>
            <w:noProof/>
            <w:webHidden/>
            <w:sz w:val="20"/>
            <w:szCs w:val="20"/>
          </w:rPr>
          <w:fldChar w:fldCharType="separate"/>
        </w:r>
        <w:r w:rsidR="009E27E4">
          <w:rPr>
            <w:i/>
            <w:noProof/>
            <w:webHidden/>
            <w:sz w:val="20"/>
            <w:szCs w:val="20"/>
          </w:rPr>
          <w:t>66</w:t>
        </w:r>
        <w:r w:rsidRPr="003E0C70">
          <w:rPr>
            <w:i/>
            <w:noProof/>
            <w:webHidden/>
            <w:sz w:val="20"/>
            <w:szCs w:val="20"/>
          </w:rPr>
          <w:fldChar w:fldCharType="end"/>
        </w:r>
      </w:hyperlink>
    </w:p>
    <w:p w14:paraId="275C8501" w14:textId="597AE516" w:rsidR="003E0C70" w:rsidRPr="003E0C70" w:rsidRDefault="003E0C70" w:rsidP="003E0C70">
      <w:pPr>
        <w:pStyle w:val="Tabledesillustrations"/>
        <w:tabs>
          <w:tab w:val="right" w:leader="dot" w:pos="9345"/>
        </w:tabs>
        <w:spacing w:before="80"/>
        <w:rPr>
          <w:rFonts w:asciiTheme="minorHAnsi" w:eastAsiaTheme="minorEastAsia" w:hAnsiTheme="minorHAnsi"/>
          <w:i/>
          <w:noProof/>
          <w:sz w:val="20"/>
          <w:szCs w:val="20"/>
          <w:lang w:eastAsia="fr-FR"/>
        </w:rPr>
      </w:pPr>
      <w:hyperlink w:anchor="_Toc52870062" w:history="1">
        <w:r w:rsidRPr="003E0C70">
          <w:rPr>
            <w:rStyle w:val="Lienhypertexte"/>
            <w:i/>
            <w:noProof/>
            <w:sz w:val="20"/>
            <w:szCs w:val="20"/>
          </w:rPr>
          <w:t>Planche  4 : Equipe des consultants  sur le terrain</w:t>
        </w:r>
        <w:r w:rsidRPr="003E0C70">
          <w:rPr>
            <w:i/>
            <w:noProof/>
            <w:webHidden/>
            <w:sz w:val="20"/>
            <w:szCs w:val="20"/>
          </w:rPr>
          <w:tab/>
        </w:r>
        <w:r w:rsidRPr="003E0C70">
          <w:rPr>
            <w:i/>
            <w:noProof/>
            <w:webHidden/>
            <w:sz w:val="20"/>
            <w:szCs w:val="20"/>
          </w:rPr>
          <w:fldChar w:fldCharType="begin"/>
        </w:r>
        <w:r w:rsidRPr="003E0C70">
          <w:rPr>
            <w:i/>
            <w:noProof/>
            <w:webHidden/>
            <w:sz w:val="20"/>
            <w:szCs w:val="20"/>
          </w:rPr>
          <w:instrText xml:space="preserve"> PAGEREF _Toc52870062 \h </w:instrText>
        </w:r>
        <w:r w:rsidRPr="003E0C70">
          <w:rPr>
            <w:i/>
            <w:noProof/>
            <w:webHidden/>
            <w:sz w:val="20"/>
            <w:szCs w:val="20"/>
          </w:rPr>
        </w:r>
        <w:r w:rsidRPr="003E0C70">
          <w:rPr>
            <w:i/>
            <w:noProof/>
            <w:webHidden/>
            <w:sz w:val="20"/>
            <w:szCs w:val="20"/>
          </w:rPr>
          <w:fldChar w:fldCharType="separate"/>
        </w:r>
        <w:r w:rsidR="009E27E4">
          <w:rPr>
            <w:i/>
            <w:noProof/>
            <w:webHidden/>
            <w:sz w:val="20"/>
            <w:szCs w:val="20"/>
          </w:rPr>
          <w:t>70</w:t>
        </w:r>
        <w:r w:rsidRPr="003E0C70">
          <w:rPr>
            <w:i/>
            <w:noProof/>
            <w:webHidden/>
            <w:sz w:val="20"/>
            <w:szCs w:val="20"/>
          </w:rPr>
          <w:fldChar w:fldCharType="end"/>
        </w:r>
      </w:hyperlink>
    </w:p>
    <w:p w14:paraId="23673A93" w14:textId="2C3C84E2" w:rsidR="003E0C70" w:rsidRPr="003E0C70" w:rsidRDefault="003E0C70" w:rsidP="003E0C70">
      <w:pPr>
        <w:pStyle w:val="Tabledesillustrations"/>
        <w:tabs>
          <w:tab w:val="right" w:leader="dot" w:pos="9345"/>
        </w:tabs>
        <w:spacing w:before="80"/>
        <w:rPr>
          <w:rFonts w:asciiTheme="minorHAnsi" w:eastAsiaTheme="minorEastAsia" w:hAnsiTheme="minorHAnsi"/>
          <w:i/>
          <w:noProof/>
          <w:sz w:val="20"/>
          <w:szCs w:val="20"/>
          <w:lang w:eastAsia="fr-FR"/>
        </w:rPr>
      </w:pPr>
      <w:hyperlink w:anchor="_Toc52870063" w:history="1">
        <w:r w:rsidRPr="003E0C70">
          <w:rPr>
            <w:rStyle w:val="Lienhypertexte"/>
            <w:i/>
            <w:noProof/>
            <w:sz w:val="20"/>
            <w:szCs w:val="20"/>
          </w:rPr>
          <w:t>Planche  5</w:t>
        </w:r>
        <w:r w:rsidRPr="003E0C70">
          <w:rPr>
            <w:rStyle w:val="Lienhypertexte"/>
            <w:rFonts w:eastAsia="Calibri" w:cs="Arial"/>
            <w:i/>
            <w:noProof/>
            <w:sz w:val="20"/>
            <w:szCs w:val="20"/>
          </w:rPr>
          <w:t> : Occupation des emprises des rues et collecteurs dans la ville de Natitingou</w:t>
        </w:r>
        <w:r w:rsidRPr="003E0C70">
          <w:rPr>
            <w:i/>
            <w:noProof/>
            <w:webHidden/>
            <w:sz w:val="20"/>
            <w:szCs w:val="20"/>
          </w:rPr>
          <w:tab/>
        </w:r>
        <w:r w:rsidRPr="003E0C70">
          <w:rPr>
            <w:i/>
            <w:noProof/>
            <w:webHidden/>
            <w:sz w:val="20"/>
            <w:szCs w:val="20"/>
          </w:rPr>
          <w:fldChar w:fldCharType="begin"/>
        </w:r>
        <w:r w:rsidRPr="003E0C70">
          <w:rPr>
            <w:i/>
            <w:noProof/>
            <w:webHidden/>
            <w:sz w:val="20"/>
            <w:szCs w:val="20"/>
          </w:rPr>
          <w:instrText xml:space="preserve"> PAGEREF _Toc52870063 \h </w:instrText>
        </w:r>
        <w:r w:rsidRPr="003E0C70">
          <w:rPr>
            <w:i/>
            <w:noProof/>
            <w:webHidden/>
            <w:sz w:val="20"/>
            <w:szCs w:val="20"/>
          </w:rPr>
        </w:r>
        <w:r w:rsidRPr="003E0C70">
          <w:rPr>
            <w:i/>
            <w:noProof/>
            <w:webHidden/>
            <w:sz w:val="20"/>
            <w:szCs w:val="20"/>
          </w:rPr>
          <w:fldChar w:fldCharType="separate"/>
        </w:r>
        <w:r w:rsidR="009E27E4">
          <w:rPr>
            <w:i/>
            <w:noProof/>
            <w:webHidden/>
            <w:sz w:val="20"/>
            <w:szCs w:val="20"/>
          </w:rPr>
          <w:t>71</w:t>
        </w:r>
        <w:r w:rsidRPr="003E0C70">
          <w:rPr>
            <w:i/>
            <w:noProof/>
            <w:webHidden/>
            <w:sz w:val="20"/>
            <w:szCs w:val="20"/>
          </w:rPr>
          <w:fldChar w:fldCharType="end"/>
        </w:r>
      </w:hyperlink>
    </w:p>
    <w:p w14:paraId="4A3EF09E" w14:textId="4A6B865A" w:rsidR="003E0C70" w:rsidRPr="003E0C70" w:rsidRDefault="003E0C70" w:rsidP="003E0C70">
      <w:pPr>
        <w:pStyle w:val="Tabledesillustrations"/>
        <w:tabs>
          <w:tab w:val="right" w:leader="dot" w:pos="9345"/>
        </w:tabs>
        <w:spacing w:before="80"/>
        <w:rPr>
          <w:rFonts w:asciiTheme="minorHAnsi" w:eastAsiaTheme="minorEastAsia" w:hAnsiTheme="minorHAnsi"/>
          <w:i/>
          <w:noProof/>
          <w:sz w:val="20"/>
          <w:szCs w:val="20"/>
          <w:lang w:eastAsia="fr-FR"/>
        </w:rPr>
      </w:pPr>
      <w:hyperlink w:anchor="_Toc52870064" w:history="1">
        <w:r w:rsidRPr="003E0C70">
          <w:rPr>
            <w:rStyle w:val="Lienhypertexte"/>
            <w:i/>
            <w:noProof/>
            <w:sz w:val="20"/>
            <w:szCs w:val="20"/>
          </w:rPr>
          <w:t xml:space="preserve">Planche  6 : </w:t>
        </w:r>
        <w:r w:rsidRPr="003E0C70">
          <w:rPr>
            <w:rStyle w:val="Lienhypertexte"/>
            <w:rFonts w:eastAsia="Calibri" w:cs="Arial"/>
            <w:i/>
            <w:noProof/>
            <w:sz w:val="20"/>
            <w:szCs w:val="20"/>
          </w:rPr>
          <w:t>Quelques biens présents dans certaines emprises dans la ville de Natitingou</w:t>
        </w:r>
        <w:r w:rsidRPr="003E0C70">
          <w:rPr>
            <w:i/>
            <w:noProof/>
            <w:webHidden/>
            <w:sz w:val="20"/>
            <w:szCs w:val="20"/>
          </w:rPr>
          <w:tab/>
        </w:r>
        <w:r w:rsidRPr="003E0C70">
          <w:rPr>
            <w:i/>
            <w:noProof/>
            <w:webHidden/>
            <w:sz w:val="20"/>
            <w:szCs w:val="20"/>
          </w:rPr>
          <w:fldChar w:fldCharType="begin"/>
        </w:r>
        <w:r w:rsidRPr="003E0C70">
          <w:rPr>
            <w:i/>
            <w:noProof/>
            <w:webHidden/>
            <w:sz w:val="20"/>
            <w:szCs w:val="20"/>
          </w:rPr>
          <w:instrText xml:space="preserve"> PAGEREF _Toc52870064 \h </w:instrText>
        </w:r>
        <w:r w:rsidRPr="003E0C70">
          <w:rPr>
            <w:i/>
            <w:noProof/>
            <w:webHidden/>
            <w:sz w:val="20"/>
            <w:szCs w:val="20"/>
          </w:rPr>
        </w:r>
        <w:r w:rsidRPr="003E0C70">
          <w:rPr>
            <w:i/>
            <w:noProof/>
            <w:webHidden/>
            <w:sz w:val="20"/>
            <w:szCs w:val="20"/>
          </w:rPr>
          <w:fldChar w:fldCharType="separate"/>
        </w:r>
        <w:r w:rsidR="009E27E4">
          <w:rPr>
            <w:i/>
            <w:noProof/>
            <w:webHidden/>
            <w:sz w:val="20"/>
            <w:szCs w:val="20"/>
          </w:rPr>
          <w:t>71</w:t>
        </w:r>
        <w:r w:rsidRPr="003E0C70">
          <w:rPr>
            <w:i/>
            <w:noProof/>
            <w:webHidden/>
            <w:sz w:val="20"/>
            <w:szCs w:val="20"/>
          </w:rPr>
          <w:fldChar w:fldCharType="end"/>
        </w:r>
      </w:hyperlink>
    </w:p>
    <w:p w14:paraId="6BA1C7B8" w14:textId="2491E74F" w:rsidR="003E0C70" w:rsidRPr="003E0C70" w:rsidRDefault="003E0C70" w:rsidP="003E0C70">
      <w:pPr>
        <w:pStyle w:val="Tabledesillustrations"/>
        <w:tabs>
          <w:tab w:val="right" w:leader="dot" w:pos="9345"/>
        </w:tabs>
        <w:spacing w:before="80"/>
        <w:rPr>
          <w:rFonts w:asciiTheme="minorHAnsi" w:eastAsiaTheme="minorEastAsia" w:hAnsiTheme="minorHAnsi"/>
          <w:i/>
          <w:noProof/>
          <w:sz w:val="20"/>
          <w:szCs w:val="20"/>
          <w:lang w:eastAsia="fr-FR"/>
        </w:rPr>
      </w:pPr>
      <w:hyperlink w:anchor="_Toc52870065" w:history="1">
        <w:r w:rsidRPr="003E0C70">
          <w:rPr>
            <w:rStyle w:val="Lienhypertexte"/>
            <w:i/>
            <w:noProof/>
            <w:sz w:val="20"/>
            <w:szCs w:val="20"/>
          </w:rPr>
          <w:t>Planche  7 </w:t>
        </w:r>
        <w:r w:rsidRPr="003E0C70">
          <w:rPr>
            <w:rStyle w:val="Lienhypertexte"/>
            <w:rFonts w:eastAsia="Arial Narrow"/>
            <w:i/>
            <w:noProof/>
            <w:sz w:val="20"/>
            <w:szCs w:val="20"/>
          </w:rPr>
          <w:t>: Quelques espèces floristiques dans l’emprise du projet dans la ville de Natitingou</w:t>
        </w:r>
        <w:r w:rsidRPr="003E0C70">
          <w:rPr>
            <w:i/>
            <w:noProof/>
            <w:webHidden/>
            <w:sz w:val="20"/>
            <w:szCs w:val="20"/>
          </w:rPr>
          <w:tab/>
        </w:r>
        <w:r w:rsidRPr="003E0C70">
          <w:rPr>
            <w:i/>
            <w:noProof/>
            <w:webHidden/>
            <w:sz w:val="20"/>
            <w:szCs w:val="20"/>
          </w:rPr>
          <w:fldChar w:fldCharType="begin"/>
        </w:r>
        <w:r w:rsidRPr="003E0C70">
          <w:rPr>
            <w:i/>
            <w:noProof/>
            <w:webHidden/>
            <w:sz w:val="20"/>
            <w:szCs w:val="20"/>
          </w:rPr>
          <w:instrText xml:space="preserve"> PAGEREF _Toc52870065 \h </w:instrText>
        </w:r>
        <w:r w:rsidRPr="003E0C70">
          <w:rPr>
            <w:i/>
            <w:noProof/>
            <w:webHidden/>
            <w:sz w:val="20"/>
            <w:szCs w:val="20"/>
          </w:rPr>
        </w:r>
        <w:r w:rsidRPr="003E0C70">
          <w:rPr>
            <w:i/>
            <w:noProof/>
            <w:webHidden/>
            <w:sz w:val="20"/>
            <w:szCs w:val="20"/>
          </w:rPr>
          <w:fldChar w:fldCharType="separate"/>
        </w:r>
        <w:r w:rsidR="009E27E4">
          <w:rPr>
            <w:i/>
            <w:noProof/>
            <w:webHidden/>
            <w:sz w:val="20"/>
            <w:szCs w:val="20"/>
          </w:rPr>
          <w:t>74</w:t>
        </w:r>
        <w:r w:rsidRPr="003E0C70">
          <w:rPr>
            <w:i/>
            <w:noProof/>
            <w:webHidden/>
            <w:sz w:val="20"/>
            <w:szCs w:val="20"/>
          </w:rPr>
          <w:fldChar w:fldCharType="end"/>
        </w:r>
      </w:hyperlink>
    </w:p>
    <w:p w14:paraId="3877D462" w14:textId="614AB1B9" w:rsidR="003E0C70" w:rsidRPr="003E0C70" w:rsidRDefault="003E0C70" w:rsidP="003E0C70">
      <w:pPr>
        <w:pStyle w:val="Tabledesillustrations"/>
        <w:tabs>
          <w:tab w:val="right" w:leader="dot" w:pos="9345"/>
        </w:tabs>
        <w:spacing w:before="80"/>
        <w:rPr>
          <w:rFonts w:asciiTheme="minorHAnsi" w:eastAsiaTheme="minorEastAsia" w:hAnsiTheme="minorHAnsi"/>
          <w:i/>
          <w:noProof/>
          <w:sz w:val="20"/>
          <w:szCs w:val="20"/>
          <w:lang w:eastAsia="fr-FR"/>
        </w:rPr>
      </w:pPr>
      <w:hyperlink w:anchor="_Toc52870066" w:history="1">
        <w:r w:rsidRPr="003E0C70">
          <w:rPr>
            <w:rStyle w:val="Lienhypertexte"/>
            <w:i/>
            <w:noProof/>
            <w:sz w:val="20"/>
            <w:szCs w:val="20"/>
          </w:rPr>
          <w:t xml:space="preserve">Planche  8 </w:t>
        </w:r>
        <w:r w:rsidRPr="003E0C70">
          <w:rPr>
            <w:rStyle w:val="Lienhypertexte"/>
            <w:rFonts w:eastAsia="Arial Narrow"/>
            <w:i/>
            <w:noProof/>
            <w:sz w:val="20"/>
            <w:szCs w:val="20"/>
          </w:rPr>
          <w:t>: Quelques espèces floristiques dans l’emprise de la rivière W</w:t>
        </w:r>
        <w:r w:rsidRPr="003E0C70">
          <w:rPr>
            <w:rStyle w:val="Lienhypertexte"/>
            <w:i/>
            <w:noProof/>
            <w:sz w:val="20"/>
            <w:szCs w:val="20"/>
          </w:rPr>
          <w:t>adata</w:t>
        </w:r>
        <w:r w:rsidRPr="003E0C70">
          <w:rPr>
            <w:i/>
            <w:noProof/>
            <w:webHidden/>
            <w:sz w:val="20"/>
            <w:szCs w:val="20"/>
          </w:rPr>
          <w:tab/>
        </w:r>
        <w:r w:rsidRPr="003E0C70">
          <w:rPr>
            <w:i/>
            <w:noProof/>
            <w:webHidden/>
            <w:sz w:val="20"/>
            <w:szCs w:val="20"/>
          </w:rPr>
          <w:fldChar w:fldCharType="begin"/>
        </w:r>
        <w:r w:rsidRPr="003E0C70">
          <w:rPr>
            <w:i/>
            <w:noProof/>
            <w:webHidden/>
            <w:sz w:val="20"/>
            <w:szCs w:val="20"/>
          </w:rPr>
          <w:instrText xml:space="preserve"> PAGEREF _Toc52870066 \h </w:instrText>
        </w:r>
        <w:r w:rsidRPr="003E0C70">
          <w:rPr>
            <w:i/>
            <w:noProof/>
            <w:webHidden/>
            <w:sz w:val="20"/>
            <w:szCs w:val="20"/>
          </w:rPr>
        </w:r>
        <w:r w:rsidRPr="003E0C70">
          <w:rPr>
            <w:i/>
            <w:noProof/>
            <w:webHidden/>
            <w:sz w:val="20"/>
            <w:szCs w:val="20"/>
          </w:rPr>
          <w:fldChar w:fldCharType="separate"/>
        </w:r>
        <w:r w:rsidR="009E27E4">
          <w:rPr>
            <w:i/>
            <w:noProof/>
            <w:webHidden/>
            <w:sz w:val="20"/>
            <w:szCs w:val="20"/>
          </w:rPr>
          <w:t>76</w:t>
        </w:r>
        <w:r w:rsidRPr="003E0C70">
          <w:rPr>
            <w:i/>
            <w:noProof/>
            <w:webHidden/>
            <w:sz w:val="20"/>
            <w:szCs w:val="20"/>
          </w:rPr>
          <w:fldChar w:fldCharType="end"/>
        </w:r>
      </w:hyperlink>
    </w:p>
    <w:p w14:paraId="681B74DD" w14:textId="15E47E8D" w:rsidR="003E0C70" w:rsidRPr="003E0C70" w:rsidRDefault="003E0C70" w:rsidP="003E0C70">
      <w:pPr>
        <w:pStyle w:val="Tabledesillustrations"/>
        <w:tabs>
          <w:tab w:val="right" w:leader="dot" w:pos="9345"/>
        </w:tabs>
        <w:spacing w:before="80"/>
        <w:rPr>
          <w:rFonts w:asciiTheme="minorHAnsi" w:eastAsiaTheme="minorEastAsia" w:hAnsiTheme="minorHAnsi"/>
          <w:i/>
          <w:noProof/>
          <w:sz w:val="20"/>
          <w:szCs w:val="20"/>
          <w:lang w:eastAsia="fr-FR"/>
        </w:rPr>
      </w:pPr>
      <w:hyperlink w:anchor="_Toc52870067" w:history="1">
        <w:r w:rsidRPr="003E0C70">
          <w:rPr>
            <w:rStyle w:val="Lienhypertexte"/>
            <w:i/>
            <w:noProof/>
            <w:sz w:val="20"/>
            <w:szCs w:val="20"/>
          </w:rPr>
          <w:t xml:space="preserve">Planche  9 </w:t>
        </w:r>
        <w:r w:rsidRPr="003E0C70">
          <w:rPr>
            <w:rStyle w:val="Lienhypertexte"/>
            <w:rFonts w:eastAsia="Arial Narrow"/>
            <w:i/>
            <w:noProof/>
            <w:sz w:val="20"/>
            <w:szCs w:val="20"/>
          </w:rPr>
          <w:t>: Séances de consultation publique dans les arrondissements de Natitingou</w:t>
        </w:r>
        <w:r w:rsidRPr="003E0C70">
          <w:rPr>
            <w:i/>
            <w:noProof/>
            <w:webHidden/>
            <w:sz w:val="20"/>
            <w:szCs w:val="20"/>
          </w:rPr>
          <w:tab/>
        </w:r>
        <w:r w:rsidRPr="003E0C70">
          <w:rPr>
            <w:i/>
            <w:noProof/>
            <w:webHidden/>
            <w:sz w:val="20"/>
            <w:szCs w:val="20"/>
          </w:rPr>
          <w:fldChar w:fldCharType="begin"/>
        </w:r>
        <w:r w:rsidRPr="003E0C70">
          <w:rPr>
            <w:i/>
            <w:noProof/>
            <w:webHidden/>
            <w:sz w:val="20"/>
            <w:szCs w:val="20"/>
          </w:rPr>
          <w:instrText xml:space="preserve"> PAGEREF _Toc52870067 \h </w:instrText>
        </w:r>
        <w:r w:rsidRPr="003E0C70">
          <w:rPr>
            <w:i/>
            <w:noProof/>
            <w:webHidden/>
            <w:sz w:val="20"/>
            <w:szCs w:val="20"/>
          </w:rPr>
        </w:r>
        <w:r w:rsidRPr="003E0C70">
          <w:rPr>
            <w:i/>
            <w:noProof/>
            <w:webHidden/>
            <w:sz w:val="20"/>
            <w:szCs w:val="20"/>
          </w:rPr>
          <w:fldChar w:fldCharType="separate"/>
        </w:r>
        <w:r w:rsidR="009E27E4">
          <w:rPr>
            <w:i/>
            <w:noProof/>
            <w:webHidden/>
            <w:sz w:val="20"/>
            <w:szCs w:val="20"/>
          </w:rPr>
          <w:t>94</w:t>
        </w:r>
        <w:r w:rsidRPr="003E0C70">
          <w:rPr>
            <w:i/>
            <w:noProof/>
            <w:webHidden/>
            <w:sz w:val="20"/>
            <w:szCs w:val="20"/>
          </w:rPr>
          <w:fldChar w:fldCharType="end"/>
        </w:r>
      </w:hyperlink>
    </w:p>
    <w:p w14:paraId="1E0DBBDC" w14:textId="77777777" w:rsidR="005F4B0D" w:rsidRDefault="00EC72A9" w:rsidP="003E0C70">
      <w:pPr>
        <w:pStyle w:val="Titre1"/>
        <w:spacing w:before="80" w:after="0"/>
        <w:rPr>
          <w:b w:val="0"/>
          <w:i/>
          <w:sz w:val="20"/>
          <w:szCs w:val="20"/>
        </w:rPr>
      </w:pPr>
      <w:r w:rsidRPr="003E0C70">
        <w:rPr>
          <w:b w:val="0"/>
          <w:i/>
          <w:sz w:val="20"/>
          <w:szCs w:val="20"/>
        </w:rPr>
        <w:fldChar w:fldCharType="end"/>
      </w:r>
    </w:p>
    <w:p w14:paraId="5D11B0EA" w14:textId="77777777" w:rsidR="005F4B0D" w:rsidRDefault="005F4B0D" w:rsidP="003E0C70">
      <w:pPr>
        <w:pStyle w:val="Titre1"/>
        <w:spacing w:before="80" w:after="0"/>
        <w:rPr>
          <w:b w:val="0"/>
          <w:i/>
          <w:sz w:val="20"/>
          <w:szCs w:val="20"/>
        </w:rPr>
      </w:pPr>
    </w:p>
    <w:p w14:paraId="709F82A3" w14:textId="7DA2793A" w:rsidR="00AB04ED" w:rsidRPr="00A9330B" w:rsidRDefault="00DB55C0" w:rsidP="003E0C70">
      <w:pPr>
        <w:pStyle w:val="Titre1"/>
        <w:spacing w:before="80" w:after="0"/>
      </w:pPr>
      <w:r w:rsidRPr="00A9330B">
        <w:br w:type="page"/>
      </w:r>
      <w:bookmarkStart w:id="35" w:name="_Toc52869528"/>
      <w:bookmarkStart w:id="36" w:name="_Toc52869818"/>
      <w:r w:rsidR="00AB04ED" w:rsidRPr="00A9330B">
        <w:lastRenderedPageBreak/>
        <w:t>SIGLES ET ABBREVIATIONS</w:t>
      </w:r>
      <w:bookmarkEnd w:id="35"/>
      <w:bookmarkEnd w:id="36"/>
      <w:r w:rsidR="00AB04ED" w:rsidRPr="00A9330B">
        <w:t xml:space="preserve"> </w:t>
      </w:r>
    </w:p>
    <w:tbl>
      <w:tblPr>
        <w:tblStyle w:val="Grilledutableau"/>
        <w:tblW w:w="0" w:type="auto"/>
        <w:tblLook w:val="04A0" w:firstRow="1" w:lastRow="0" w:firstColumn="1" w:lastColumn="0" w:noHBand="0" w:noVBand="1"/>
      </w:tblPr>
      <w:tblGrid>
        <w:gridCol w:w="1372"/>
        <w:gridCol w:w="6946"/>
      </w:tblGrid>
      <w:tr w:rsidR="00CB6BF2" w:rsidRPr="00A9330B" w14:paraId="1884E7A3" w14:textId="77777777" w:rsidTr="0011523E">
        <w:tc>
          <w:tcPr>
            <w:tcW w:w="1271" w:type="dxa"/>
            <w:hideMark/>
          </w:tcPr>
          <w:p w14:paraId="2B56072D" w14:textId="77777777" w:rsidR="00CB6BF2" w:rsidRPr="00A9330B" w:rsidRDefault="00CB6BF2" w:rsidP="008F6974">
            <w:pPr>
              <w:jc w:val="left"/>
              <w:rPr>
                <w:rFonts w:cs="Arial"/>
                <w:b/>
                <w:i/>
                <w:color w:val="auto"/>
                <w:sz w:val="20"/>
                <w:szCs w:val="20"/>
              </w:rPr>
            </w:pPr>
            <w:r w:rsidRPr="00A9330B">
              <w:rPr>
                <w:rFonts w:cs="Arial"/>
                <w:b/>
                <w:i/>
                <w:sz w:val="20"/>
                <w:szCs w:val="20"/>
              </w:rPr>
              <w:t>ABE</w:t>
            </w:r>
          </w:p>
        </w:tc>
        <w:tc>
          <w:tcPr>
            <w:tcW w:w="6946" w:type="dxa"/>
            <w:hideMark/>
          </w:tcPr>
          <w:p w14:paraId="1E5E08D0" w14:textId="77777777" w:rsidR="00CB6BF2" w:rsidRPr="00A9330B" w:rsidRDefault="00CB6BF2" w:rsidP="008F6974">
            <w:pPr>
              <w:jc w:val="left"/>
              <w:rPr>
                <w:rFonts w:cs="Arial"/>
                <w:i/>
                <w:sz w:val="20"/>
                <w:szCs w:val="20"/>
              </w:rPr>
            </w:pPr>
            <w:r w:rsidRPr="00A9330B">
              <w:rPr>
                <w:rFonts w:cs="Arial"/>
                <w:i/>
                <w:sz w:val="20"/>
                <w:szCs w:val="20"/>
                <w:lang w:eastAsia="fr-FR"/>
              </w:rPr>
              <w:t xml:space="preserve">Agence Béninoise pour l’Environnement </w:t>
            </w:r>
          </w:p>
        </w:tc>
      </w:tr>
      <w:tr w:rsidR="00CB6BF2" w:rsidRPr="00A9330B" w14:paraId="2C2F3700" w14:textId="77777777" w:rsidTr="0011523E">
        <w:tc>
          <w:tcPr>
            <w:tcW w:w="1271" w:type="dxa"/>
            <w:hideMark/>
          </w:tcPr>
          <w:p w14:paraId="3DB7040C" w14:textId="77777777" w:rsidR="00CB6BF2" w:rsidRPr="00A9330B" w:rsidRDefault="00CB6BF2" w:rsidP="008F6974">
            <w:pPr>
              <w:jc w:val="left"/>
              <w:rPr>
                <w:rFonts w:cs="Arial"/>
                <w:b/>
                <w:i/>
                <w:sz w:val="20"/>
                <w:szCs w:val="20"/>
              </w:rPr>
            </w:pPr>
            <w:r w:rsidRPr="00A9330B">
              <w:rPr>
                <w:rFonts w:cs="Arial"/>
                <w:b/>
                <w:i/>
                <w:sz w:val="20"/>
                <w:szCs w:val="20"/>
              </w:rPr>
              <w:t>ACVDT</w:t>
            </w:r>
          </w:p>
        </w:tc>
        <w:tc>
          <w:tcPr>
            <w:tcW w:w="6946" w:type="dxa"/>
            <w:hideMark/>
          </w:tcPr>
          <w:p w14:paraId="3123242A" w14:textId="77777777" w:rsidR="00CB6BF2" w:rsidRPr="00A9330B" w:rsidRDefault="00CB6BF2" w:rsidP="008F6974">
            <w:pPr>
              <w:jc w:val="left"/>
              <w:rPr>
                <w:rFonts w:cs="Arial"/>
                <w:i/>
                <w:sz w:val="20"/>
                <w:szCs w:val="20"/>
              </w:rPr>
            </w:pPr>
            <w:r w:rsidRPr="00A9330B">
              <w:rPr>
                <w:rFonts w:cs="Arial"/>
                <w:i/>
                <w:sz w:val="20"/>
                <w:szCs w:val="20"/>
                <w:lang w:eastAsia="fr-FR"/>
              </w:rPr>
              <w:t xml:space="preserve">Agence du Cadre de Vie pour le Développement du Territoire  </w:t>
            </w:r>
          </w:p>
        </w:tc>
      </w:tr>
      <w:tr w:rsidR="00CB6BF2" w:rsidRPr="00A9330B" w14:paraId="76F71B68" w14:textId="77777777" w:rsidTr="0011523E">
        <w:tc>
          <w:tcPr>
            <w:tcW w:w="1271" w:type="dxa"/>
            <w:hideMark/>
          </w:tcPr>
          <w:p w14:paraId="2A5DC960" w14:textId="77777777" w:rsidR="00CB6BF2" w:rsidRPr="00A9330B" w:rsidRDefault="00CB6BF2" w:rsidP="008F6974">
            <w:pPr>
              <w:jc w:val="left"/>
              <w:rPr>
                <w:rFonts w:cs="Arial"/>
                <w:b/>
                <w:i/>
                <w:sz w:val="20"/>
                <w:szCs w:val="20"/>
              </w:rPr>
            </w:pPr>
            <w:r w:rsidRPr="00A9330B">
              <w:rPr>
                <w:rFonts w:cs="Arial"/>
                <w:b/>
                <w:i/>
                <w:sz w:val="20"/>
                <w:szCs w:val="20"/>
              </w:rPr>
              <w:t>AMO</w:t>
            </w:r>
          </w:p>
        </w:tc>
        <w:tc>
          <w:tcPr>
            <w:tcW w:w="6946" w:type="dxa"/>
            <w:hideMark/>
          </w:tcPr>
          <w:p w14:paraId="6B034190" w14:textId="77777777" w:rsidR="00CB6BF2" w:rsidRPr="00A9330B" w:rsidRDefault="00CB6BF2" w:rsidP="008F6974">
            <w:pPr>
              <w:jc w:val="left"/>
              <w:rPr>
                <w:rFonts w:cs="Arial"/>
                <w:i/>
                <w:sz w:val="20"/>
                <w:szCs w:val="20"/>
                <w:lang w:eastAsia="fr-FR"/>
              </w:rPr>
            </w:pPr>
            <w:r w:rsidRPr="00A9330B">
              <w:rPr>
                <w:rFonts w:cs="Arial"/>
                <w:i/>
                <w:sz w:val="20"/>
                <w:szCs w:val="20"/>
                <w:lang w:eastAsia="fr-FR"/>
              </w:rPr>
              <w:t xml:space="preserve">Agence de Maîtrise d’Ouvrage </w:t>
            </w:r>
          </w:p>
        </w:tc>
      </w:tr>
      <w:tr w:rsidR="00CB6BF2" w:rsidRPr="00A9330B" w14:paraId="7A8EC73B" w14:textId="77777777" w:rsidTr="0011523E">
        <w:tc>
          <w:tcPr>
            <w:tcW w:w="1271" w:type="dxa"/>
            <w:hideMark/>
          </w:tcPr>
          <w:p w14:paraId="00E36CC8" w14:textId="77777777" w:rsidR="00CB6BF2" w:rsidRPr="00A9330B" w:rsidRDefault="00CB6BF2" w:rsidP="008F6974">
            <w:pPr>
              <w:jc w:val="left"/>
              <w:rPr>
                <w:rFonts w:cs="Arial"/>
                <w:b/>
                <w:i/>
                <w:sz w:val="20"/>
                <w:szCs w:val="20"/>
              </w:rPr>
            </w:pPr>
            <w:r w:rsidRPr="00A9330B">
              <w:rPr>
                <w:rFonts w:cs="Arial"/>
                <w:b/>
                <w:i/>
                <w:sz w:val="20"/>
                <w:szCs w:val="20"/>
              </w:rPr>
              <w:t>ANAT</w:t>
            </w:r>
          </w:p>
        </w:tc>
        <w:tc>
          <w:tcPr>
            <w:tcW w:w="6946" w:type="dxa"/>
            <w:hideMark/>
          </w:tcPr>
          <w:p w14:paraId="2FD0DBD8" w14:textId="77777777" w:rsidR="00CB6BF2" w:rsidRPr="00A9330B" w:rsidRDefault="00CB6BF2" w:rsidP="008F6974">
            <w:pPr>
              <w:jc w:val="left"/>
              <w:rPr>
                <w:rFonts w:cs="Arial"/>
                <w:i/>
                <w:sz w:val="20"/>
                <w:szCs w:val="20"/>
                <w:lang w:eastAsia="fr-FR"/>
              </w:rPr>
            </w:pPr>
            <w:r w:rsidRPr="00A9330B">
              <w:rPr>
                <w:rFonts w:eastAsia="Calibri" w:cs="Arial"/>
                <w:i/>
                <w:iCs/>
                <w:sz w:val="20"/>
                <w:szCs w:val="20"/>
              </w:rPr>
              <w:t xml:space="preserve">Agence Nationale d’Aménagement du Territoire </w:t>
            </w:r>
          </w:p>
        </w:tc>
      </w:tr>
      <w:tr w:rsidR="00CB6BF2" w:rsidRPr="00A9330B" w14:paraId="5CBA55F6" w14:textId="77777777" w:rsidTr="0011523E">
        <w:tc>
          <w:tcPr>
            <w:tcW w:w="1271" w:type="dxa"/>
            <w:hideMark/>
          </w:tcPr>
          <w:p w14:paraId="527E1F00" w14:textId="77777777" w:rsidR="00CB6BF2" w:rsidRPr="00A9330B" w:rsidRDefault="00CB6BF2" w:rsidP="008F6974">
            <w:pPr>
              <w:jc w:val="left"/>
              <w:rPr>
                <w:rFonts w:cs="Arial"/>
                <w:b/>
                <w:i/>
                <w:sz w:val="20"/>
                <w:szCs w:val="20"/>
              </w:rPr>
            </w:pPr>
            <w:r w:rsidRPr="00A9330B">
              <w:rPr>
                <w:rFonts w:cs="Arial"/>
                <w:b/>
                <w:i/>
                <w:sz w:val="20"/>
                <w:szCs w:val="20"/>
              </w:rPr>
              <w:t>ANDF</w:t>
            </w:r>
          </w:p>
        </w:tc>
        <w:tc>
          <w:tcPr>
            <w:tcW w:w="6946" w:type="dxa"/>
            <w:hideMark/>
          </w:tcPr>
          <w:p w14:paraId="4B782F45" w14:textId="77777777" w:rsidR="00CB6BF2" w:rsidRPr="00A9330B" w:rsidRDefault="00CB6BF2" w:rsidP="008F6974">
            <w:pPr>
              <w:jc w:val="left"/>
              <w:rPr>
                <w:rFonts w:eastAsia="Calibri" w:cs="Arial"/>
                <w:i/>
                <w:iCs/>
                <w:sz w:val="20"/>
                <w:szCs w:val="20"/>
              </w:rPr>
            </w:pPr>
            <w:bookmarkStart w:id="37" w:name="_Toc45555266"/>
            <w:bookmarkStart w:id="38" w:name="_Toc45557292"/>
            <w:r w:rsidRPr="00A9330B">
              <w:rPr>
                <w:rFonts w:eastAsia="Calibri" w:cs="Arial"/>
                <w:i/>
                <w:sz w:val="20"/>
                <w:szCs w:val="20"/>
              </w:rPr>
              <w:t>Agence Nationale du Domaine et du Foncier</w:t>
            </w:r>
            <w:bookmarkEnd w:id="37"/>
            <w:bookmarkEnd w:id="38"/>
          </w:p>
        </w:tc>
      </w:tr>
      <w:tr w:rsidR="00CB6BF2" w:rsidRPr="00A9330B" w14:paraId="1DED5026" w14:textId="77777777" w:rsidTr="0011523E">
        <w:tc>
          <w:tcPr>
            <w:tcW w:w="1271" w:type="dxa"/>
            <w:hideMark/>
          </w:tcPr>
          <w:p w14:paraId="7380ADC8" w14:textId="77777777" w:rsidR="00CB6BF2" w:rsidRPr="00A9330B" w:rsidRDefault="00CB6BF2" w:rsidP="008F6974">
            <w:pPr>
              <w:jc w:val="left"/>
              <w:rPr>
                <w:rFonts w:cs="Arial"/>
                <w:b/>
                <w:i/>
                <w:sz w:val="20"/>
                <w:szCs w:val="20"/>
              </w:rPr>
            </w:pPr>
            <w:r w:rsidRPr="00A9330B">
              <w:rPr>
                <w:rFonts w:cs="Arial"/>
                <w:b/>
                <w:i/>
                <w:sz w:val="20"/>
                <w:szCs w:val="20"/>
              </w:rPr>
              <w:t>ANPC</w:t>
            </w:r>
          </w:p>
        </w:tc>
        <w:tc>
          <w:tcPr>
            <w:tcW w:w="6946" w:type="dxa"/>
            <w:hideMark/>
          </w:tcPr>
          <w:p w14:paraId="2A97D5AE" w14:textId="77777777" w:rsidR="00CB6BF2" w:rsidRPr="00A9330B" w:rsidRDefault="00CB6BF2" w:rsidP="008F6974">
            <w:pPr>
              <w:jc w:val="left"/>
              <w:rPr>
                <w:rFonts w:eastAsia="Calibri" w:cs="Arial"/>
                <w:i/>
                <w:iCs/>
                <w:sz w:val="20"/>
                <w:szCs w:val="20"/>
              </w:rPr>
            </w:pPr>
            <w:bookmarkStart w:id="39" w:name="_Toc45555267"/>
            <w:bookmarkStart w:id="40" w:name="_Toc45557293"/>
            <w:r w:rsidRPr="00A9330B">
              <w:rPr>
                <w:rFonts w:eastAsia="Calibri" w:cs="Arial"/>
                <w:i/>
                <w:iCs/>
                <w:sz w:val="20"/>
                <w:szCs w:val="20"/>
              </w:rPr>
              <w:t>Agence Nationale de Protection Civile</w:t>
            </w:r>
            <w:bookmarkEnd w:id="39"/>
            <w:bookmarkEnd w:id="40"/>
          </w:p>
        </w:tc>
      </w:tr>
      <w:tr w:rsidR="00CB6BF2" w:rsidRPr="00A9330B" w14:paraId="1DD9AF89" w14:textId="77777777" w:rsidTr="0011523E">
        <w:tc>
          <w:tcPr>
            <w:tcW w:w="1271" w:type="dxa"/>
            <w:hideMark/>
          </w:tcPr>
          <w:p w14:paraId="342896C6" w14:textId="77777777" w:rsidR="00CB6BF2" w:rsidRPr="00A9330B" w:rsidRDefault="00CB6BF2" w:rsidP="008F6974">
            <w:pPr>
              <w:jc w:val="left"/>
              <w:rPr>
                <w:rFonts w:cs="Arial"/>
                <w:b/>
                <w:i/>
                <w:sz w:val="20"/>
                <w:szCs w:val="20"/>
              </w:rPr>
            </w:pPr>
            <w:r w:rsidRPr="00A9330B">
              <w:rPr>
                <w:rFonts w:cs="Arial"/>
                <w:b/>
                <w:i/>
                <w:sz w:val="20"/>
                <w:szCs w:val="20"/>
              </w:rPr>
              <w:t>BAA</w:t>
            </w:r>
          </w:p>
        </w:tc>
        <w:tc>
          <w:tcPr>
            <w:tcW w:w="6946" w:type="dxa"/>
            <w:hideMark/>
          </w:tcPr>
          <w:p w14:paraId="142D0306" w14:textId="77777777" w:rsidR="00CB6BF2" w:rsidRPr="00A9330B" w:rsidRDefault="00CB6BF2" w:rsidP="008F6974">
            <w:pPr>
              <w:jc w:val="left"/>
              <w:rPr>
                <w:rFonts w:eastAsiaTheme="minorEastAsia" w:cs="Arial"/>
                <w:i/>
                <w:sz w:val="20"/>
                <w:szCs w:val="20"/>
                <w:lang w:eastAsia="fr-FR"/>
              </w:rPr>
            </w:pPr>
            <w:r w:rsidRPr="00A9330B">
              <w:rPr>
                <w:rFonts w:cs="Arial"/>
                <w:i/>
                <w:sz w:val="20"/>
                <w:szCs w:val="20"/>
              </w:rPr>
              <w:t>Bureau d’Appui aux Artisans</w:t>
            </w:r>
          </w:p>
        </w:tc>
      </w:tr>
      <w:tr w:rsidR="00CB6BF2" w:rsidRPr="00A9330B" w14:paraId="46703BD7" w14:textId="77777777" w:rsidTr="0011523E">
        <w:tc>
          <w:tcPr>
            <w:tcW w:w="1271" w:type="dxa"/>
            <w:hideMark/>
          </w:tcPr>
          <w:p w14:paraId="432FD0A5" w14:textId="77777777" w:rsidR="00CB6BF2" w:rsidRPr="00A9330B" w:rsidRDefault="00CB6BF2" w:rsidP="008F6974">
            <w:pPr>
              <w:jc w:val="left"/>
              <w:rPr>
                <w:rFonts w:cs="Arial"/>
                <w:b/>
                <w:i/>
                <w:sz w:val="20"/>
                <w:szCs w:val="20"/>
              </w:rPr>
            </w:pPr>
            <w:r w:rsidRPr="00A9330B">
              <w:rPr>
                <w:rFonts w:cs="Arial"/>
                <w:b/>
                <w:i/>
                <w:sz w:val="20"/>
                <w:szCs w:val="20"/>
              </w:rPr>
              <w:t>BAD</w:t>
            </w:r>
          </w:p>
        </w:tc>
        <w:tc>
          <w:tcPr>
            <w:tcW w:w="6946" w:type="dxa"/>
            <w:hideMark/>
          </w:tcPr>
          <w:p w14:paraId="1C64146C" w14:textId="77777777" w:rsidR="00CB6BF2" w:rsidRPr="00A9330B" w:rsidRDefault="00CB6BF2" w:rsidP="008F6974">
            <w:pPr>
              <w:jc w:val="left"/>
              <w:rPr>
                <w:rFonts w:cs="Arial"/>
                <w:i/>
                <w:sz w:val="20"/>
                <w:szCs w:val="20"/>
                <w:lang w:eastAsia="fr-FR"/>
              </w:rPr>
            </w:pPr>
            <w:r w:rsidRPr="00A9330B">
              <w:rPr>
                <w:rFonts w:eastAsiaTheme="minorEastAsia" w:cs="Arial"/>
                <w:i/>
                <w:sz w:val="20"/>
                <w:szCs w:val="20"/>
                <w:lang w:eastAsia="fr-FR"/>
              </w:rPr>
              <w:t xml:space="preserve">Banque Africaine de Développement </w:t>
            </w:r>
          </w:p>
        </w:tc>
      </w:tr>
      <w:tr w:rsidR="00CB6BF2" w:rsidRPr="00A9330B" w14:paraId="66AE8655" w14:textId="77777777" w:rsidTr="0011523E">
        <w:tc>
          <w:tcPr>
            <w:tcW w:w="1271" w:type="dxa"/>
            <w:hideMark/>
          </w:tcPr>
          <w:p w14:paraId="5AB48151" w14:textId="77777777" w:rsidR="00CB6BF2" w:rsidRPr="00A9330B" w:rsidRDefault="00CB6BF2" w:rsidP="008F6974">
            <w:pPr>
              <w:jc w:val="left"/>
              <w:rPr>
                <w:rFonts w:cs="Arial"/>
                <w:b/>
                <w:i/>
                <w:sz w:val="20"/>
                <w:szCs w:val="20"/>
              </w:rPr>
            </w:pPr>
            <w:r w:rsidRPr="00A9330B">
              <w:rPr>
                <w:rFonts w:cs="Arial"/>
                <w:b/>
                <w:i/>
                <w:sz w:val="20"/>
                <w:szCs w:val="20"/>
              </w:rPr>
              <w:t>BT</w:t>
            </w:r>
          </w:p>
        </w:tc>
        <w:tc>
          <w:tcPr>
            <w:tcW w:w="6946" w:type="dxa"/>
            <w:hideMark/>
          </w:tcPr>
          <w:p w14:paraId="59D1F4F0" w14:textId="77777777" w:rsidR="00CB6BF2" w:rsidRPr="00A9330B" w:rsidRDefault="00CB6BF2" w:rsidP="008F6974">
            <w:pPr>
              <w:jc w:val="left"/>
              <w:rPr>
                <w:rFonts w:cs="Arial"/>
                <w:i/>
                <w:sz w:val="20"/>
                <w:szCs w:val="20"/>
              </w:rPr>
            </w:pPr>
            <w:r w:rsidRPr="00A9330B">
              <w:rPr>
                <w:rFonts w:cs="Arial"/>
                <w:i/>
                <w:sz w:val="20"/>
                <w:szCs w:val="20"/>
              </w:rPr>
              <w:t xml:space="preserve">Basse Tension </w:t>
            </w:r>
          </w:p>
        </w:tc>
      </w:tr>
      <w:tr w:rsidR="00CB6BF2" w:rsidRPr="00A9330B" w14:paraId="65A45B93" w14:textId="77777777" w:rsidTr="0011523E">
        <w:tc>
          <w:tcPr>
            <w:tcW w:w="1271" w:type="dxa"/>
            <w:hideMark/>
          </w:tcPr>
          <w:p w14:paraId="50646157" w14:textId="77777777" w:rsidR="00CB6BF2" w:rsidRPr="00A9330B" w:rsidRDefault="00CB6BF2" w:rsidP="008F6974">
            <w:pPr>
              <w:jc w:val="left"/>
              <w:rPr>
                <w:rFonts w:cs="Arial"/>
                <w:b/>
                <w:i/>
                <w:sz w:val="20"/>
                <w:szCs w:val="20"/>
              </w:rPr>
            </w:pPr>
            <w:r w:rsidRPr="00A9330B">
              <w:rPr>
                <w:rFonts w:cs="Arial"/>
                <w:b/>
                <w:i/>
                <w:sz w:val="20"/>
                <w:szCs w:val="20"/>
              </w:rPr>
              <w:t>BTI</w:t>
            </w:r>
          </w:p>
        </w:tc>
        <w:tc>
          <w:tcPr>
            <w:tcW w:w="6946" w:type="dxa"/>
            <w:hideMark/>
          </w:tcPr>
          <w:p w14:paraId="35F7271D" w14:textId="77777777" w:rsidR="00CB6BF2" w:rsidRPr="00A9330B" w:rsidRDefault="00CB6BF2" w:rsidP="008F6974">
            <w:pPr>
              <w:jc w:val="left"/>
              <w:rPr>
                <w:rFonts w:cs="Arial"/>
                <w:i/>
                <w:sz w:val="20"/>
                <w:szCs w:val="20"/>
              </w:rPr>
            </w:pPr>
            <w:r w:rsidRPr="00A9330B">
              <w:rPr>
                <w:rFonts w:cs="Arial"/>
                <w:i/>
                <w:sz w:val="20"/>
                <w:szCs w:val="20"/>
              </w:rPr>
              <w:t xml:space="preserve">Bénin Télécom et Infrastructures </w:t>
            </w:r>
          </w:p>
        </w:tc>
      </w:tr>
      <w:tr w:rsidR="00CB6BF2" w:rsidRPr="00A9330B" w14:paraId="624E89AF" w14:textId="77777777" w:rsidTr="0011523E">
        <w:tc>
          <w:tcPr>
            <w:tcW w:w="1271" w:type="dxa"/>
            <w:hideMark/>
          </w:tcPr>
          <w:p w14:paraId="6D5A00A6" w14:textId="77777777" w:rsidR="00CB6BF2" w:rsidRPr="00A9330B" w:rsidRDefault="00CB6BF2" w:rsidP="008F6974">
            <w:pPr>
              <w:jc w:val="left"/>
              <w:rPr>
                <w:rFonts w:cs="Arial"/>
                <w:b/>
                <w:i/>
                <w:sz w:val="20"/>
                <w:szCs w:val="20"/>
              </w:rPr>
            </w:pPr>
            <w:r w:rsidRPr="00A9330B">
              <w:rPr>
                <w:rFonts w:cs="Arial"/>
                <w:b/>
                <w:i/>
                <w:sz w:val="20"/>
                <w:szCs w:val="20"/>
              </w:rPr>
              <w:t>CA</w:t>
            </w:r>
          </w:p>
        </w:tc>
        <w:tc>
          <w:tcPr>
            <w:tcW w:w="6946" w:type="dxa"/>
            <w:hideMark/>
          </w:tcPr>
          <w:p w14:paraId="30D7CFE0" w14:textId="77777777" w:rsidR="00CB6BF2" w:rsidRPr="00A9330B" w:rsidRDefault="00CB6BF2" w:rsidP="008F6974">
            <w:pPr>
              <w:jc w:val="left"/>
              <w:rPr>
                <w:rFonts w:cs="Arial"/>
                <w:i/>
                <w:sz w:val="20"/>
                <w:szCs w:val="20"/>
              </w:rPr>
            </w:pPr>
            <w:r w:rsidRPr="00A9330B">
              <w:rPr>
                <w:rFonts w:cs="Arial"/>
                <w:i/>
                <w:sz w:val="20"/>
                <w:szCs w:val="20"/>
              </w:rPr>
              <w:t xml:space="preserve">Chef d’Arrondissement </w:t>
            </w:r>
          </w:p>
        </w:tc>
      </w:tr>
      <w:tr w:rsidR="00CB6BF2" w:rsidRPr="00A9330B" w14:paraId="20F87332" w14:textId="77777777" w:rsidTr="0011523E">
        <w:tc>
          <w:tcPr>
            <w:tcW w:w="1271" w:type="dxa"/>
            <w:hideMark/>
          </w:tcPr>
          <w:p w14:paraId="7A04D916" w14:textId="77777777" w:rsidR="00CB6BF2" w:rsidRPr="00A9330B" w:rsidRDefault="00CB6BF2" w:rsidP="008F6974">
            <w:pPr>
              <w:jc w:val="left"/>
              <w:rPr>
                <w:rFonts w:cs="Arial"/>
                <w:b/>
                <w:i/>
                <w:sz w:val="20"/>
                <w:szCs w:val="20"/>
              </w:rPr>
            </w:pPr>
            <w:r w:rsidRPr="00A9330B">
              <w:rPr>
                <w:rFonts w:cs="Arial"/>
                <w:b/>
                <w:i/>
                <w:sz w:val="20"/>
                <w:szCs w:val="20"/>
              </w:rPr>
              <w:t>CAS</w:t>
            </w:r>
          </w:p>
        </w:tc>
        <w:tc>
          <w:tcPr>
            <w:tcW w:w="6946" w:type="dxa"/>
            <w:hideMark/>
          </w:tcPr>
          <w:p w14:paraId="27090B04" w14:textId="77777777" w:rsidR="00CB6BF2" w:rsidRPr="00A9330B" w:rsidRDefault="00CB6BF2" w:rsidP="008F6974">
            <w:pPr>
              <w:jc w:val="left"/>
              <w:rPr>
                <w:rFonts w:cs="Arial"/>
                <w:i/>
                <w:sz w:val="20"/>
                <w:szCs w:val="20"/>
              </w:rPr>
            </w:pPr>
            <w:r w:rsidRPr="00A9330B">
              <w:rPr>
                <w:rFonts w:cs="Arial"/>
                <w:i/>
                <w:sz w:val="20"/>
                <w:szCs w:val="20"/>
              </w:rPr>
              <w:t>Centre des Arts et Sports</w:t>
            </w:r>
          </w:p>
        </w:tc>
      </w:tr>
      <w:tr w:rsidR="00CB6BF2" w:rsidRPr="00A9330B" w14:paraId="73B6D192" w14:textId="77777777" w:rsidTr="0011523E">
        <w:tc>
          <w:tcPr>
            <w:tcW w:w="1271" w:type="dxa"/>
            <w:hideMark/>
          </w:tcPr>
          <w:p w14:paraId="7667F75D" w14:textId="77777777" w:rsidR="00CB6BF2" w:rsidRPr="00A9330B" w:rsidRDefault="00CB6BF2" w:rsidP="008F6974">
            <w:pPr>
              <w:jc w:val="left"/>
              <w:rPr>
                <w:rFonts w:cs="Arial"/>
                <w:b/>
                <w:i/>
                <w:sz w:val="20"/>
                <w:szCs w:val="20"/>
              </w:rPr>
            </w:pPr>
            <w:r w:rsidRPr="00A9330B">
              <w:rPr>
                <w:rFonts w:cs="Arial"/>
                <w:b/>
                <w:i/>
                <w:sz w:val="20"/>
                <w:szCs w:val="20"/>
              </w:rPr>
              <w:t>CEDEAO</w:t>
            </w:r>
          </w:p>
        </w:tc>
        <w:tc>
          <w:tcPr>
            <w:tcW w:w="6946" w:type="dxa"/>
            <w:hideMark/>
          </w:tcPr>
          <w:p w14:paraId="0D899F74" w14:textId="77777777" w:rsidR="00CB6BF2" w:rsidRPr="00A9330B" w:rsidRDefault="00CB6BF2" w:rsidP="008F6974">
            <w:pPr>
              <w:jc w:val="left"/>
              <w:rPr>
                <w:rFonts w:cs="Arial"/>
                <w:i/>
                <w:sz w:val="20"/>
                <w:szCs w:val="20"/>
              </w:rPr>
            </w:pPr>
            <w:r w:rsidRPr="00A9330B">
              <w:rPr>
                <w:rFonts w:cs="Arial"/>
                <w:i/>
                <w:sz w:val="20"/>
                <w:szCs w:val="20"/>
              </w:rPr>
              <w:t>Communauté Economique des Etats de l’Afrique de l’Ouest</w:t>
            </w:r>
          </w:p>
        </w:tc>
      </w:tr>
      <w:tr w:rsidR="00CB6BF2" w:rsidRPr="00A9330B" w14:paraId="2E2F73A1" w14:textId="77777777" w:rsidTr="0011523E">
        <w:tc>
          <w:tcPr>
            <w:tcW w:w="1271" w:type="dxa"/>
            <w:hideMark/>
          </w:tcPr>
          <w:p w14:paraId="4792C33A" w14:textId="77777777" w:rsidR="00CB6BF2" w:rsidRPr="00A9330B" w:rsidRDefault="00CB6BF2" w:rsidP="008F6974">
            <w:pPr>
              <w:jc w:val="left"/>
              <w:rPr>
                <w:rFonts w:cs="Arial"/>
                <w:b/>
                <w:i/>
                <w:sz w:val="20"/>
                <w:szCs w:val="20"/>
              </w:rPr>
            </w:pPr>
            <w:r w:rsidRPr="00A9330B">
              <w:rPr>
                <w:rFonts w:cs="Arial"/>
                <w:b/>
                <w:i/>
                <w:sz w:val="20"/>
                <w:szCs w:val="20"/>
              </w:rPr>
              <w:t>CIM</w:t>
            </w:r>
          </w:p>
        </w:tc>
        <w:tc>
          <w:tcPr>
            <w:tcW w:w="6946" w:type="dxa"/>
            <w:hideMark/>
          </w:tcPr>
          <w:p w14:paraId="64586534" w14:textId="77777777" w:rsidR="00CB6BF2" w:rsidRPr="00A9330B" w:rsidRDefault="00CB6BF2" w:rsidP="008F6974">
            <w:pPr>
              <w:jc w:val="left"/>
              <w:rPr>
                <w:rFonts w:eastAsia="Calibri" w:cs="Arial"/>
                <w:i/>
                <w:sz w:val="20"/>
                <w:szCs w:val="20"/>
              </w:rPr>
            </w:pPr>
            <w:r w:rsidRPr="00A9330B">
              <w:rPr>
                <w:rFonts w:cs="Arial"/>
                <w:i/>
                <w:sz w:val="20"/>
                <w:szCs w:val="20"/>
              </w:rPr>
              <w:t>Chambre Interdépartementale de Métiers</w:t>
            </w:r>
          </w:p>
        </w:tc>
      </w:tr>
      <w:tr w:rsidR="00CB6BF2" w:rsidRPr="00A9330B" w14:paraId="49260128" w14:textId="77777777" w:rsidTr="0011523E">
        <w:tc>
          <w:tcPr>
            <w:tcW w:w="1271" w:type="dxa"/>
            <w:hideMark/>
          </w:tcPr>
          <w:p w14:paraId="6D73A501" w14:textId="77777777" w:rsidR="00CB6BF2" w:rsidRPr="00A9330B" w:rsidRDefault="00CB6BF2" w:rsidP="008F6974">
            <w:pPr>
              <w:jc w:val="left"/>
              <w:rPr>
                <w:rFonts w:cs="Arial"/>
                <w:b/>
                <w:i/>
                <w:sz w:val="20"/>
                <w:szCs w:val="20"/>
              </w:rPr>
            </w:pPr>
            <w:r w:rsidRPr="00A9330B">
              <w:rPr>
                <w:rFonts w:cs="Arial"/>
                <w:b/>
                <w:i/>
                <w:sz w:val="20"/>
                <w:szCs w:val="20"/>
              </w:rPr>
              <w:t>CHD</w:t>
            </w:r>
          </w:p>
        </w:tc>
        <w:tc>
          <w:tcPr>
            <w:tcW w:w="6946" w:type="dxa"/>
            <w:hideMark/>
          </w:tcPr>
          <w:p w14:paraId="088DF614" w14:textId="77777777" w:rsidR="00CB6BF2" w:rsidRPr="00A9330B" w:rsidRDefault="00CB6BF2" w:rsidP="008F6974">
            <w:pPr>
              <w:jc w:val="left"/>
              <w:rPr>
                <w:rFonts w:cs="Arial"/>
                <w:i/>
                <w:sz w:val="20"/>
                <w:szCs w:val="20"/>
              </w:rPr>
            </w:pPr>
            <w:r w:rsidRPr="00A9330B">
              <w:rPr>
                <w:rFonts w:cs="Arial"/>
                <w:i/>
                <w:sz w:val="20"/>
                <w:szCs w:val="20"/>
              </w:rPr>
              <w:t>Centre Hospitalier Départemental</w:t>
            </w:r>
          </w:p>
        </w:tc>
      </w:tr>
      <w:tr w:rsidR="00CB6BF2" w:rsidRPr="00A9330B" w14:paraId="0798D524" w14:textId="77777777" w:rsidTr="0011523E">
        <w:tc>
          <w:tcPr>
            <w:tcW w:w="1271" w:type="dxa"/>
            <w:hideMark/>
          </w:tcPr>
          <w:p w14:paraId="52073598" w14:textId="77777777" w:rsidR="00CB6BF2" w:rsidRPr="00A9330B" w:rsidRDefault="00CB6BF2" w:rsidP="008F6974">
            <w:pPr>
              <w:jc w:val="left"/>
              <w:rPr>
                <w:rFonts w:cs="Arial"/>
                <w:b/>
                <w:i/>
                <w:sz w:val="20"/>
                <w:szCs w:val="20"/>
              </w:rPr>
            </w:pPr>
            <w:r w:rsidRPr="00A9330B">
              <w:rPr>
                <w:rFonts w:cs="Arial"/>
                <w:b/>
                <w:i/>
                <w:sz w:val="20"/>
                <w:szCs w:val="20"/>
              </w:rPr>
              <w:t>CQ</w:t>
            </w:r>
          </w:p>
        </w:tc>
        <w:tc>
          <w:tcPr>
            <w:tcW w:w="6946" w:type="dxa"/>
            <w:hideMark/>
          </w:tcPr>
          <w:p w14:paraId="799FEECB" w14:textId="77777777" w:rsidR="00CB6BF2" w:rsidRPr="00A9330B" w:rsidRDefault="00CB6BF2" w:rsidP="008F6974">
            <w:pPr>
              <w:jc w:val="left"/>
              <w:rPr>
                <w:rFonts w:cs="Arial"/>
                <w:i/>
                <w:sz w:val="20"/>
                <w:szCs w:val="20"/>
              </w:rPr>
            </w:pPr>
            <w:r w:rsidRPr="00A9330B">
              <w:rPr>
                <w:rFonts w:cs="Arial"/>
                <w:i/>
                <w:sz w:val="20"/>
                <w:szCs w:val="20"/>
              </w:rPr>
              <w:t xml:space="preserve">Chef de Quartier </w:t>
            </w:r>
          </w:p>
        </w:tc>
      </w:tr>
      <w:tr w:rsidR="00CB6BF2" w:rsidRPr="00A9330B" w14:paraId="57FEEAAC" w14:textId="77777777" w:rsidTr="0011523E">
        <w:tc>
          <w:tcPr>
            <w:tcW w:w="1271" w:type="dxa"/>
            <w:hideMark/>
          </w:tcPr>
          <w:p w14:paraId="0D356F11" w14:textId="77777777" w:rsidR="00CB6BF2" w:rsidRPr="00A9330B" w:rsidRDefault="00CB6BF2" w:rsidP="008F6974">
            <w:pPr>
              <w:jc w:val="left"/>
              <w:rPr>
                <w:rFonts w:cs="Arial"/>
                <w:b/>
                <w:i/>
                <w:sz w:val="20"/>
                <w:szCs w:val="20"/>
              </w:rPr>
            </w:pPr>
            <w:r w:rsidRPr="00A9330B">
              <w:rPr>
                <w:rFonts w:cs="Arial"/>
                <w:b/>
                <w:i/>
                <w:sz w:val="20"/>
                <w:szCs w:val="20"/>
              </w:rPr>
              <w:t>CSA</w:t>
            </w:r>
          </w:p>
        </w:tc>
        <w:tc>
          <w:tcPr>
            <w:tcW w:w="6946" w:type="dxa"/>
            <w:hideMark/>
          </w:tcPr>
          <w:p w14:paraId="55F2A05D" w14:textId="77777777" w:rsidR="00CB6BF2" w:rsidRPr="00A9330B" w:rsidRDefault="00CB6BF2" w:rsidP="008F6974">
            <w:pPr>
              <w:jc w:val="left"/>
              <w:rPr>
                <w:rFonts w:cs="Arial"/>
                <w:i/>
                <w:sz w:val="20"/>
                <w:szCs w:val="20"/>
              </w:rPr>
            </w:pPr>
            <w:r w:rsidRPr="00A9330B">
              <w:rPr>
                <w:rFonts w:cs="Arial"/>
                <w:i/>
                <w:sz w:val="20"/>
                <w:szCs w:val="20"/>
              </w:rPr>
              <w:t>Centre de Santé d’Arrondissement Centre de Santé d’Arrondissement</w:t>
            </w:r>
          </w:p>
        </w:tc>
      </w:tr>
      <w:tr w:rsidR="00CB6BF2" w:rsidRPr="00A9330B" w14:paraId="71B92E90" w14:textId="77777777" w:rsidTr="0011523E">
        <w:tc>
          <w:tcPr>
            <w:tcW w:w="1271" w:type="dxa"/>
            <w:hideMark/>
          </w:tcPr>
          <w:p w14:paraId="697DAEFC" w14:textId="77777777" w:rsidR="00CB6BF2" w:rsidRPr="00A9330B" w:rsidRDefault="00CB6BF2" w:rsidP="008F6974">
            <w:pPr>
              <w:jc w:val="left"/>
              <w:rPr>
                <w:rFonts w:cs="Arial"/>
                <w:b/>
                <w:i/>
                <w:sz w:val="20"/>
                <w:szCs w:val="20"/>
              </w:rPr>
            </w:pPr>
            <w:r w:rsidRPr="00A9330B">
              <w:rPr>
                <w:rFonts w:cs="Arial"/>
                <w:b/>
                <w:i/>
                <w:sz w:val="20"/>
                <w:szCs w:val="20"/>
              </w:rPr>
              <w:t>CSC</w:t>
            </w:r>
          </w:p>
        </w:tc>
        <w:tc>
          <w:tcPr>
            <w:tcW w:w="6946" w:type="dxa"/>
            <w:hideMark/>
          </w:tcPr>
          <w:p w14:paraId="15AEE5F9" w14:textId="77777777" w:rsidR="00CB6BF2" w:rsidRPr="00A9330B" w:rsidRDefault="00CB6BF2" w:rsidP="008F6974">
            <w:pPr>
              <w:jc w:val="left"/>
              <w:rPr>
                <w:rFonts w:cs="Arial"/>
                <w:i/>
                <w:sz w:val="20"/>
                <w:szCs w:val="20"/>
              </w:rPr>
            </w:pPr>
            <w:r w:rsidRPr="00A9330B">
              <w:rPr>
                <w:rFonts w:cs="Arial"/>
                <w:i/>
                <w:sz w:val="20"/>
                <w:szCs w:val="20"/>
              </w:rPr>
              <w:t>Centre de Santé Communal</w:t>
            </w:r>
          </w:p>
        </w:tc>
      </w:tr>
      <w:tr w:rsidR="00CB6BF2" w:rsidRPr="00A9330B" w14:paraId="7CCF3AE6" w14:textId="77777777" w:rsidTr="0011523E">
        <w:tc>
          <w:tcPr>
            <w:tcW w:w="1271" w:type="dxa"/>
            <w:hideMark/>
          </w:tcPr>
          <w:p w14:paraId="683C317D" w14:textId="77777777" w:rsidR="00CB6BF2" w:rsidRPr="00A9330B" w:rsidRDefault="00CB6BF2" w:rsidP="008F6974">
            <w:pPr>
              <w:jc w:val="left"/>
              <w:rPr>
                <w:rFonts w:cs="Arial"/>
                <w:b/>
                <w:i/>
                <w:sz w:val="20"/>
                <w:szCs w:val="20"/>
              </w:rPr>
            </w:pPr>
            <w:r w:rsidRPr="00A9330B">
              <w:rPr>
                <w:rFonts w:cs="Arial"/>
                <w:b/>
                <w:i/>
                <w:sz w:val="20"/>
                <w:szCs w:val="20"/>
              </w:rPr>
              <w:t>DBM</w:t>
            </w:r>
          </w:p>
        </w:tc>
        <w:tc>
          <w:tcPr>
            <w:tcW w:w="6946" w:type="dxa"/>
            <w:hideMark/>
          </w:tcPr>
          <w:p w14:paraId="684366E5" w14:textId="77777777" w:rsidR="00CB6BF2" w:rsidRPr="00A9330B" w:rsidRDefault="00CB6BF2" w:rsidP="008F6974">
            <w:pPr>
              <w:jc w:val="left"/>
              <w:rPr>
                <w:rFonts w:cs="Arial"/>
                <w:i/>
                <w:sz w:val="20"/>
                <w:szCs w:val="20"/>
              </w:rPr>
            </w:pPr>
            <w:r w:rsidRPr="00A9330B">
              <w:rPr>
                <w:rFonts w:cs="Arial"/>
                <w:i/>
                <w:sz w:val="20"/>
                <w:szCs w:val="20"/>
              </w:rPr>
              <w:t>Déchets Biomédicaux</w:t>
            </w:r>
          </w:p>
        </w:tc>
      </w:tr>
      <w:tr w:rsidR="00CB6BF2" w:rsidRPr="00A9330B" w14:paraId="5ED64DB2" w14:textId="77777777" w:rsidTr="0011523E">
        <w:tc>
          <w:tcPr>
            <w:tcW w:w="1271" w:type="dxa"/>
            <w:hideMark/>
          </w:tcPr>
          <w:p w14:paraId="35139659" w14:textId="77777777" w:rsidR="00CB6BF2" w:rsidRPr="00A9330B" w:rsidRDefault="00CB6BF2" w:rsidP="008F6974">
            <w:pPr>
              <w:jc w:val="left"/>
              <w:rPr>
                <w:rFonts w:cs="Arial"/>
                <w:b/>
                <w:i/>
                <w:sz w:val="20"/>
                <w:szCs w:val="20"/>
              </w:rPr>
            </w:pPr>
            <w:r w:rsidRPr="00A9330B">
              <w:rPr>
                <w:rFonts w:cs="Arial"/>
                <w:b/>
                <w:i/>
                <w:sz w:val="20"/>
                <w:szCs w:val="20"/>
              </w:rPr>
              <w:t>DDCVDD</w:t>
            </w:r>
          </w:p>
        </w:tc>
        <w:tc>
          <w:tcPr>
            <w:tcW w:w="6946" w:type="dxa"/>
            <w:hideMark/>
          </w:tcPr>
          <w:p w14:paraId="4B7B937F" w14:textId="77777777" w:rsidR="00CB6BF2" w:rsidRPr="00A9330B" w:rsidRDefault="00CB6BF2" w:rsidP="008F6974">
            <w:pPr>
              <w:jc w:val="left"/>
              <w:rPr>
                <w:rFonts w:cs="Arial"/>
                <w:i/>
                <w:sz w:val="20"/>
                <w:szCs w:val="20"/>
              </w:rPr>
            </w:pPr>
            <w:r w:rsidRPr="00A9330B">
              <w:rPr>
                <w:rFonts w:cs="Arial"/>
                <w:i/>
                <w:sz w:val="20"/>
                <w:szCs w:val="20"/>
              </w:rPr>
              <w:t>Direction Départementale du Cadre de Vie et du Développement Durable</w:t>
            </w:r>
          </w:p>
        </w:tc>
      </w:tr>
      <w:tr w:rsidR="00CB6BF2" w:rsidRPr="00A9330B" w14:paraId="4735B542" w14:textId="77777777" w:rsidTr="0011523E">
        <w:tc>
          <w:tcPr>
            <w:tcW w:w="1271" w:type="dxa"/>
            <w:hideMark/>
          </w:tcPr>
          <w:p w14:paraId="5E6F8858" w14:textId="77777777" w:rsidR="00CB6BF2" w:rsidRPr="00A9330B" w:rsidRDefault="00CB6BF2" w:rsidP="008F6974">
            <w:pPr>
              <w:jc w:val="left"/>
              <w:rPr>
                <w:rFonts w:cs="Arial"/>
                <w:b/>
                <w:i/>
                <w:sz w:val="20"/>
                <w:szCs w:val="20"/>
              </w:rPr>
            </w:pPr>
            <w:r w:rsidRPr="00A9330B">
              <w:rPr>
                <w:rFonts w:cs="Arial"/>
                <w:b/>
                <w:i/>
                <w:sz w:val="20"/>
                <w:szCs w:val="20"/>
              </w:rPr>
              <w:t>DGEC</w:t>
            </w:r>
          </w:p>
        </w:tc>
        <w:tc>
          <w:tcPr>
            <w:tcW w:w="6946" w:type="dxa"/>
            <w:hideMark/>
          </w:tcPr>
          <w:p w14:paraId="77CE7A46" w14:textId="77777777" w:rsidR="00CB6BF2" w:rsidRPr="00A9330B" w:rsidRDefault="00CB6BF2" w:rsidP="008F6974">
            <w:pPr>
              <w:jc w:val="left"/>
              <w:rPr>
                <w:rFonts w:eastAsia="Calibri" w:cs="Arial"/>
                <w:i/>
                <w:iCs/>
                <w:sz w:val="20"/>
                <w:szCs w:val="20"/>
              </w:rPr>
            </w:pPr>
            <w:bookmarkStart w:id="41" w:name="_Toc45555268"/>
            <w:bookmarkStart w:id="42" w:name="_Toc45557294"/>
            <w:r w:rsidRPr="00A9330B">
              <w:rPr>
                <w:rFonts w:eastAsia="Calibri" w:cs="Arial"/>
                <w:i/>
                <w:iCs/>
                <w:sz w:val="20"/>
                <w:szCs w:val="20"/>
              </w:rPr>
              <w:t>Direction Générale de l’Environnement et du Climat</w:t>
            </w:r>
            <w:bookmarkEnd w:id="41"/>
            <w:bookmarkEnd w:id="42"/>
          </w:p>
        </w:tc>
      </w:tr>
      <w:tr w:rsidR="00CB6BF2" w:rsidRPr="00A9330B" w14:paraId="644EFC6E" w14:textId="77777777" w:rsidTr="0011523E">
        <w:tc>
          <w:tcPr>
            <w:tcW w:w="1271" w:type="dxa"/>
            <w:hideMark/>
          </w:tcPr>
          <w:p w14:paraId="7277791E" w14:textId="77777777" w:rsidR="00CB6BF2" w:rsidRPr="00A9330B" w:rsidRDefault="00CB6BF2" w:rsidP="008F6974">
            <w:pPr>
              <w:jc w:val="left"/>
              <w:rPr>
                <w:rFonts w:cs="Arial"/>
                <w:b/>
                <w:i/>
                <w:sz w:val="20"/>
                <w:szCs w:val="20"/>
              </w:rPr>
            </w:pPr>
            <w:r w:rsidRPr="00A9330B">
              <w:rPr>
                <w:rFonts w:eastAsia="Calibri" w:cs="Arial"/>
                <w:b/>
                <w:i/>
                <w:sz w:val="20"/>
                <w:szCs w:val="20"/>
              </w:rPr>
              <w:t>DNSP</w:t>
            </w:r>
          </w:p>
        </w:tc>
        <w:tc>
          <w:tcPr>
            <w:tcW w:w="6946" w:type="dxa"/>
            <w:hideMark/>
          </w:tcPr>
          <w:p w14:paraId="6C6E736D" w14:textId="77777777" w:rsidR="00CB6BF2" w:rsidRPr="00A9330B" w:rsidRDefault="00CB6BF2" w:rsidP="008F6974">
            <w:pPr>
              <w:jc w:val="left"/>
              <w:rPr>
                <w:rFonts w:eastAsia="Calibri" w:cs="Arial"/>
                <w:i/>
                <w:iCs/>
                <w:sz w:val="20"/>
                <w:szCs w:val="20"/>
              </w:rPr>
            </w:pPr>
            <w:bookmarkStart w:id="43" w:name="_Toc45555269"/>
            <w:bookmarkStart w:id="44" w:name="_Toc45557295"/>
            <w:r w:rsidRPr="00A9330B">
              <w:rPr>
                <w:rFonts w:eastAsia="Calibri" w:cs="Arial"/>
                <w:i/>
                <w:iCs/>
                <w:sz w:val="20"/>
                <w:szCs w:val="20"/>
              </w:rPr>
              <w:t>Direction Nationale de la Santé Publique</w:t>
            </w:r>
            <w:bookmarkEnd w:id="43"/>
            <w:bookmarkEnd w:id="44"/>
          </w:p>
        </w:tc>
      </w:tr>
      <w:tr w:rsidR="00CB6BF2" w:rsidRPr="00A9330B" w14:paraId="50AF05E6" w14:textId="77777777" w:rsidTr="0011523E">
        <w:tc>
          <w:tcPr>
            <w:tcW w:w="1271" w:type="dxa"/>
            <w:hideMark/>
          </w:tcPr>
          <w:p w14:paraId="4536EE17" w14:textId="77777777" w:rsidR="00CB6BF2" w:rsidRPr="00A9330B" w:rsidRDefault="00CB6BF2" w:rsidP="008F6974">
            <w:pPr>
              <w:jc w:val="left"/>
              <w:rPr>
                <w:rFonts w:eastAsia="Calibri" w:cs="Arial"/>
                <w:b/>
                <w:i/>
                <w:sz w:val="20"/>
                <w:szCs w:val="20"/>
              </w:rPr>
            </w:pPr>
            <w:r w:rsidRPr="00A9330B">
              <w:rPr>
                <w:rFonts w:eastAsia="Calibri" w:cs="Arial"/>
                <w:b/>
                <w:i/>
                <w:sz w:val="20"/>
                <w:szCs w:val="20"/>
              </w:rPr>
              <w:t>DPNE</w:t>
            </w:r>
          </w:p>
        </w:tc>
        <w:tc>
          <w:tcPr>
            <w:tcW w:w="6946" w:type="dxa"/>
            <w:hideMark/>
          </w:tcPr>
          <w:p w14:paraId="6758B1EF" w14:textId="77777777" w:rsidR="00CB6BF2" w:rsidRPr="00A9330B" w:rsidRDefault="00CB6BF2" w:rsidP="008F6974">
            <w:pPr>
              <w:jc w:val="left"/>
              <w:rPr>
                <w:rFonts w:eastAsia="Calibri" w:cs="Arial"/>
                <w:i/>
                <w:iCs/>
                <w:sz w:val="20"/>
                <w:szCs w:val="20"/>
              </w:rPr>
            </w:pPr>
            <w:bookmarkStart w:id="45" w:name="_Toc45555270"/>
            <w:bookmarkStart w:id="46" w:name="_Toc45557296"/>
            <w:r w:rsidRPr="00A9330B">
              <w:rPr>
                <w:rFonts w:eastAsia="Calibri" w:cs="Arial"/>
                <w:i/>
                <w:iCs/>
                <w:sz w:val="20"/>
                <w:szCs w:val="20"/>
              </w:rPr>
              <w:t>Document de Politique Nationale de l’Eau</w:t>
            </w:r>
            <w:bookmarkEnd w:id="45"/>
            <w:bookmarkEnd w:id="46"/>
          </w:p>
        </w:tc>
      </w:tr>
      <w:tr w:rsidR="00CB6BF2" w:rsidRPr="00A9330B" w14:paraId="26D66873" w14:textId="77777777" w:rsidTr="0011523E">
        <w:tc>
          <w:tcPr>
            <w:tcW w:w="1271" w:type="dxa"/>
            <w:hideMark/>
          </w:tcPr>
          <w:p w14:paraId="65822DDB" w14:textId="77777777" w:rsidR="00CB6BF2" w:rsidRPr="00A9330B" w:rsidRDefault="00CB6BF2" w:rsidP="008F6974">
            <w:pPr>
              <w:jc w:val="left"/>
              <w:rPr>
                <w:rFonts w:eastAsia="Calibri" w:cs="Arial"/>
                <w:b/>
                <w:i/>
                <w:sz w:val="20"/>
                <w:szCs w:val="20"/>
              </w:rPr>
            </w:pPr>
            <w:r w:rsidRPr="00A9330B">
              <w:rPr>
                <w:rFonts w:eastAsia="Calibri" w:cs="Arial"/>
                <w:b/>
                <w:i/>
                <w:sz w:val="20"/>
                <w:szCs w:val="20"/>
              </w:rPr>
              <w:t>DST</w:t>
            </w:r>
          </w:p>
        </w:tc>
        <w:tc>
          <w:tcPr>
            <w:tcW w:w="6946" w:type="dxa"/>
            <w:hideMark/>
          </w:tcPr>
          <w:p w14:paraId="4E261A93" w14:textId="77777777" w:rsidR="00CB6BF2" w:rsidRPr="00A9330B" w:rsidRDefault="00CB6BF2" w:rsidP="008F6974">
            <w:pPr>
              <w:jc w:val="left"/>
              <w:rPr>
                <w:rFonts w:eastAsia="Calibri" w:cs="Arial"/>
                <w:i/>
                <w:iCs/>
                <w:sz w:val="20"/>
                <w:szCs w:val="20"/>
              </w:rPr>
            </w:pPr>
            <w:bookmarkStart w:id="47" w:name="_Toc45555271"/>
            <w:bookmarkStart w:id="48" w:name="_Toc45557297"/>
            <w:r w:rsidRPr="00A9330B">
              <w:rPr>
                <w:rFonts w:eastAsia="Calibri" w:cs="Arial"/>
                <w:i/>
                <w:iCs/>
                <w:sz w:val="20"/>
                <w:szCs w:val="20"/>
              </w:rPr>
              <w:t>Direction des Services Techniques</w:t>
            </w:r>
            <w:bookmarkEnd w:id="47"/>
            <w:bookmarkEnd w:id="48"/>
            <w:r w:rsidRPr="00A9330B">
              <w:rPr>
                <w:rFonts w:eastAsia="Calibri" w:cs="Arial"/>
                <w:i/>
                <w:iCs/>
                <w:sz w:val="20"/>
                <w:szCs w:val="20"/>
              </w:rPr>
              <w:t xml:space="preserve"> </w:t>
            </w:r>
          </w:p>
        </w:tc>
      </w:tr>
      <w:tr w:rsidR="00CB6BF2" w:rsidRPr="00A9330B" w14:paraId="32DBF532" w14:textId="77777777" w:rsidTr="0011523E">
        <w:tc>
          <w:tcPr>
            <w:tcW w:w="1271" w:type="dxa"/>
            <w:hideMark/>
          </w:tcPr>
          <w:p w14:paraId="0A71BE9A" w14:textId="77777777" w:rsidR="00CB6BF2" w:rsidRPr="00A9330B" w:rsidRDefault="00CB6BF2" w:rsidP="008F6974">
            <w:pPr>
              <w:jc w:val="left"/>
              <w:rPr>
                <w:rFonts w:cs="Arial"/>
                <w:b/>
                <w:i/>
                <w:sz w:val="20"/>
                <w:szCs w:val="20"/>
              </w:rPr>
            </w:pPr>
            <w:r w:rsidRPr="00A9330B">
              <w:rPr>
                <w:rFonts w:cs="Arial"/>
                <w:b/>
                <w:i/>
                <w:sz w:val="20"/>
                <w:szCs w:val="20"/>
              </w:rPr>
              <w:t>EIES</w:t>
            </w:r>
          </w:p>
        </w:tc>
        <w:tc>
          <w:tcPr>
            <w:tcW w:w="6946" w:type="dxa"/>
            <w:hideMark/>
          </w:tcPr>
          <w:p w14:paraId="48A9BD9C" w14:textId="77777777" w:rsidR="00CB6BF2" w:rsidRPr="00A9330B" w:rsidRDefault="00CB6BF2" w:rsidP="008F6974">
            <w:pPr>
              <w:jc w:val="left"/>
              <w:rPr>
                <w:rFonts w:cs="Arial"/>
                <w:i/>
                <w:sz w:val="20"/>
                <w:szCs w:val="20"/>
              </w:rPr>
            </w:pPr>
            <w:r w:rsidRPr="00A9330B">
              <w:rPr>
                <w:rFonts w:cs="Arial"/>
                <w:i/>
                <w:sz w:val="20"/>
                <w:szCs w:val="20"/>
                <w:lang w:eastAsia="fr-FR"/>
              </w:rPr>
              <w:t xml:space="preserve">Etude d’Impact Environnemental et Social </w:t>
            </w:r>
          </w:p>
        </w:tc>
      </w:tr>
      <w:tr w:rsidR="00CB6BF2" w:rsidRPr="00A9330B" w14:paraId="5189F503" w14:textId="77777777" w:rsidTr="0011523E">
        <w:tc>
          <w:tcPr>
            <w:tcW w:w="1271" w:type="dxa"/>
            <w:hideMark/>
          </w:tcPr>
          <w:p w14:paraId="3B5A4BBE" w14:textId="77777777" w:rsidR="00CB6BF2" w:rsidRPr="00A9330B" w:rsidRDefault="00CB6BF2" w:rsidP="008F6974">
            <w:pPr>
              <w:jc w:val="left"/>
              <w:rPr>
                <w:rFonts w:cs="Arial"/>
                <w:b/>
                <w:i/>
                <w:sz w:val="20"/>
                <w:szCs w:val="20"/>
              </w:rPr>
            </w:pPr>
            <w:r w:rsidRPr="00A9330B">
              <w:rPr>
                <w:rFonts w:cs="Arial"/>
                <w:b/>
                <w:i/>
                <w:sz w:val="20"/>
                <w:szCs w:val="20"/>
              </w:rPr>
              <w:t>EPCI</w:t>
            </w:r>
          </w:p>
        </w:tc>
        <w:tc>
          <w:tcPr>
            <w:tcW w:w="6946" w:type="dxa"/>
            <w:hideMark/>
          </w:tcPr>
          <w:p w14:paraId="121883EE" w14:textId="77777777" w:rsidR="00CB6BF2" w:rsidRPr="00A9330B" w:rsidRDefault="00CB6BF2" w:rsidP="008F6974">
            <w:pPr>
              <w:jc w:val="left"/>
              <w:rPr>
                <w:rFonts w:cs="Arial"/>
                <w:i/>
                <w:sz w:val="20"/>
                <w:szCs w:val="20"/>
                <w:lang w:eastAsia="fr-FR"/>
              </w:rPr>
            </w:pPr>
            <w:r w:rsidRPr="00A9330B">
              <w:rPr>
                <w:rFonts w:cs="Arial"/>
                <w:i/>
                <w:sz w:val="20"/>
                <w:szCs w:val="20"/>
                <w:lang w:eastAsia="fr-FR"/>
              </w:rPr>
              <w:t xml:space="preserve">Etablissements Publics de Coopération Intercommunale </w:t>
            </w:r>
          </w:p>
        </w:tc>
      </w:tr>
      <w:tr w:rsidR="00CB6BF2" w:rsidRPr="00A9330B" w14:paraId="5A56D47D" w14:textId="77777777" w:rsidTr="0011523E">
        <w:tc>
          <w:tcPr>
            <w:tcW w:w="1271" w:type="dxa"/>
            <w:hideMark/>
          </w:tcPr>
          <w:p w14:paraId="34894CBB" w14:textId="77777777" w:rsidR="00CB6BF2" w:rsidRPr="00A9330B" w:rsidRDefault="00CB6BF2" w:rsidP="008F6974">
            <w:pPr>
              <w:jc w:val="left"/>
              <w:rPr>
                <w:rFonts w:eastAsia="Arial" w:cs="Arial"/>
                <w:b/>
                <w:i/>
                <w:sz w:val="20"/>
                <w:szCs w:val="20"/>
                <w:highlight w:val="yellow"/>
                <w:lang w:eastAsia="fr-FR"/>
              </w:rPr>
            </w:pPr>
            <w:r w:rsidRPr="00A9330B">
              <w:rPr>
                <w:rFonts w:eastAsia="Times New Roman" w:cs="Arial"/>
                <w:b/>
                <w:i/>
                <w:sz w:val="20"/>
                <w:szCs w:val="20"/>
                <w:lang w:eastAsia="fr-FR"/>
              </w:rPr>
              <w:t>FPM</w:t>
            </w:r>
          </w:p>
        </w:tc>
        <w:tc>
          <w:tcPr>
            <w:tcW w:w="6946" w:type="dxa"/>
            <w:hideMark/>
          </w:tcPr>
          <w:p w14:paraId="12517735" w14:textId="77777777" w:rsidR="00CB6BF2" w:rsidRPr="00A9330B" w:rsidRDefault="00CB6BF2" w:rsidP="008F6974">
            <w:pPr>
              <w:jc w:val="left"/>
              <w:rPr>
                <w:rFonts w:cs="Arial"/>
                <w:i/>
                <w:sz w:val="20"/>
                <w:szCs w:val="20"/>
                <w:lang w:eastAsia="fr-FR"/>
              </w:rPr>
            </w:pPr>
            <w:r w:rsidRPr="00A9330B">
              <w:rPr>
                <w:rFonts w:eastAsia="Times New Roman" w:cs="Arial"/>
                <w:i/>
                <w:sz w:val="20"/>
                <w:szCs w:val="20"/>
                <w:lang w:eastAsia="fr-FR"/>
              </w:rPr>
              <w:t xml:space="preserve">Forage à Pompe Manuelle </w:t>
            </w:r>
          </w:p>
        </w:tc>
      </w:tr>
      <w:tr w:rsidR="00CB6BF2" w:rsidRPr="00A9330B" w14:paraId="3513B3D7" w14:textId="77777777" w:rsidTr="0011523E">
        <w:tc>
          <w:tcPr>
            <w:tcW w:w="1271" w:type="dxa"/>
            <w:hideMark/>
          </w:tcPr>
          <w:p w14:paraId="5022AE01" w14:textId="77777777" w:rsidR="00CB6BF2" w:rsidRPr="00A9330B" w:rsidRDefault="00CB6BF2" w:rsidP="008F6974">
            <w:pPr>
              <w:jc w:val="left"/>
              <w:rPr>
                <w:rFonts w:eastAsia="Times New Roman" w:cs="Arial"/>
                <w:b/>
                <w:i/>
                <w:sz w:val="20"/>
                <w:szCs w:val="20"/>
                <w:lang w:eastAsia="fr-FR"/>
              </w:rPr>
            </w:pPr>
            <w:r w:rsidRPr="00A9330B">
              <w:rPr>
                <w:rFonts w:eastAsia="Times New Roman" w:cs="Arial"/>
                <w:b/>
                <w:i/>
                <w:sz w:val="20"/>
                <w:szCs w:val="20"/>
                <w:lang w:eastAsia="fr-FR"/>
              </w:rPr>
              <w:t>IGN</w:t>
            </w:r>
          </w:p>
        </w:tc>
        <w:tc>
          <w:tcPr>
            <w:tcW w:w="6946" w:type="dxa"/>
            <w:hideMark/>
          </w:tcPr>
          <w:p w14:paraId="5D7A3A19" w14:textId="77777777" w:rsidR="00CB6BF2" w:rsidRPr="00A9330B" w:rsidRDefault="00CB6BF2" w:rsidP="008F6974">
            <w:pPr>
              <w:jc w:val="left"/>
              <w:rPr>
                <w:rFonts w:eastAsia="Times New Roman" w:cs="Arial"/>
                <w:i/>
                <w:sz w:val="20"/>
                <w:szCs w:val="20"/>
                <w:lang w:eastAsia="fr-FR"/>
              </w:rPr>
            </w:pPr>
            <w:r w:rsidRPr="00A9330B">
              <w:rPr>
                <w:rFonts w:eastAsia="Times New Roman" w:cs="Arial"/>
                <w:i/>
                <w:sz w:val="20"/>
                <w:szCs w:val="20"/>
                <w:lang w:eastAsia="fr-FR"/>
              </w:rPr>
              <w:t>Institut Géographique National</w:t>
            </w:r>
          </w:p>
        </w:tc>
      </w:tr>
      <w:tr w:rsidR="00CB6BF2" w:rsidRPr="00A9330B" w14:paraId="36153A57" w14:textId="77777777" w:rsidTr="0011523E">
        <w:tc>
          <w:tcPr>
            <w:tcW w:w="1271" w:type="dxa"/>
            <w:hideMark/>
          </w:tcPr>
          <w:p w14:paraId="4FE70204" w14:textId="77777777" w:rsidR="00CB6BF2" w:rsidRPr="00A9330B" w:rsidRDefault="00CB6BF2" w:rsidP="008F6974">
            <w:pPr>
              <w:jc w:val="left"/>
              <w:rPr>
                <w:rFonts w:eastAsia="Times New Roman" w:cs="Arial"/>
                <w:b/>
                <w:i/>
                <w:sz w:val="20"/>
                <w:szCs w:val="20"/>
                <w:highlight w:val="yellow"/>
                <w:lang w:eastAsia="fr-FR"/>
              </w:rPr>
            </w:pPr>
            <w:r w:rsidRPr="00A9330B">
              <w:rPr>
                <w:rFonts w:eastAsia="Times New Roman" w:cs="Arial"/>
                <w:b/>
                <w:i/>
                <w:sz w:val="20"/>
                <w:szCs w:val="20"/>
                <w:lang w:eastAsia="fr-FR"/>
              </w:rPr>
              <w:t>INSAE</w:t>
            </w:r>
          </w:p>
        </w:tc>
        <w:tc>
          <w:tcPr>
            <w:tcW w:w="6946" w:type="dxa"/>
            <w:hideMark/>
          </w:tcPr>
          <w:p w14:paraId="6C453528" w14:textId="77777777" w:rsidR="00CB6BF2" w:rsidRPr="00A9330B" w:rsidRDefault="00CB6BF2" w:rsidP="008F6974">
            <w:pPr>
              <w:jc w:val="left"/>
              <w:rPr>
                <w:rFonts w:eastAsia="Times New Roman" w:cs="Arial"/>
                <w:i/>
                <w:sz w:val="20"/>
                <w:szCs w:val="20"/>
                <w:lang w:eastAsia="fr-FR"/>
              </w:rPr>
            </w:pPr>
            <w:r w:rsidRPr="00A9330B">
              <w:rPr>
                <w:rFonts w:eastAsia="Times New Roman" w:cs="Arial"/>
                <w:i/>
                <w:sz w:val="20"/>
                <w:szCs w:val="20"/>
                <w:lang w:eastAsia="fr-FR"/>
              </w:rPr>
              <w:t xml:space="preserve">Institut National de la Statistique et de l’Analyse Economique </w:t>
            </w:r>
          </w:p>
        </w:tc>
      </w:tr>
      <w:tr w:rsidR="00CB6BF2" w:rsidRPr="00A9330B" w14:paraId="57263590" w14:textId="77777777" w:rsidTr="0011523E">
        <w:tc>
          <w:tcPr>
            <w:tcW w:w="1271" w:type="dxa"/>
            <w:hideMark/>
          </w:tcPr>
          <w:p w14:paraId="676BEA5A" w14:textId="77777777" w:rsidR="00CB6BF2" w:rsidRPr="00A9330B" w:rsidRDefault="00CB6BF2" w:rsidP="008F6974">
            <w:pPr>
              <w:jc w:val="left"/>
              <w:rPr>
                <w:rFonts w:cs="Arial"/>
                <w:b/>
                <w:i/>
                <w:sz w:val="20"/>
                <w:szCs w:val="20"/>
              </w:rPr>
            </w:pPr>
            <w:r w:rsidRPr="00A9330B">
              <w:rPr>
                <w:rFonts w:cs="Arial"/>
                <w:b/>
                <w:i/>
                <w:sz w:val="20"/>
                <w:szCs w:val="20"/>
              </w:rPr>
              <w:t>MCVDD</w:t>
            </w:r>
          </w:p>
        </w:tc>
        <w:tc>
          <w:tcPr>
            <w:tcW w:w="6946" w:type="dxa"/>
            <w:hideMark/>
          </w:tcPr>
          <w:p w14:paraId="320A7B3A" w14:textId="77777777" w:rsidR="00CB6BF2" w:rsidRPr="00A9330B" w:rsidRDefault="00CB6BF2" w:rsidP="008F6974">
            <w:pPr>
              <w:jc w:val="left"/>
              <w:rPr>
                <w:rFonts w:cs="Arial"/>
                <w:i/>
                <w:sz w:val="20"/>
                <w:szCs w:val="20"/>
              </w:rPr>
            </w:pPr>
            <w:r w:rsidRPr="00A9330B">
              <w:rPr>
                <w:rFonts w:eastAsia="Calibri" w:cs="Arial"/>
                <w:i/>
                <w:sz w:val="20"/>
                <w:szCs w:val="20"/>
                <w:lang w:eastAsia="fr-FR"/>
              </w:rPr>
              <w:t>Ministère du Cadre de Vie et du Développement Durable</w:t>
            </w:r>
          </w:p>
        </w:tc>
      </w:tr>
      <w:tr w:rsidR="00CB6BF2" w:rsidRPr="00A9330B" w14:paraId="4EEB3977" w14:textId="77777777" w:rsidTr="0011523E">
        <w:tc>
          <w:tcPr>
            <w:tcW w:w="1271" w:type="dxa"/>
            <w:hideMark/>
          </w:tcPr>
          <w:p w14:paraId="6FE1B8D1" w14:textId="77777777" w:rsidR="00CB6BF2" w:rsidRPr="00A9330B" w:rsidRDefault="00CB6BF2" w:rsidP="008F6974">
            <w:pPr>
              <w:jc w:val="left"/>
              <w:rPr>
                <w:rFonts w:cs="Arial"/>
                <w:b/>
                <w:i/>
                <w:sz w:val="20"/>
                <w:szCs w:val="20"/>
              </w:rPr>
            </w:pPr>
            <w:r w:rsidRPr="00A9330B">
              <w:rPr>
                <w:rFonts w:cs="Arial"/>
                <w:b/>
                <w:i/>
                <w:sz w:val="20"/>
                <w:szCs w:val="20"/>
              </w:rPr>
              <w:t>MT</w:t>
            </w:r>
          </w:p>
        </w:tc>
        <w:tc>
          <w:tcPr>
            <w:tcW w:w="6946" w:type="dxa"/>
            <w:hideMark/>
          </w:tcPr>
          <w:p w14:paraId="417C0C28" w14:textId="77777777" w:rsidR="00CB6BF2" w:rsidRPr="00A9330B" w:rsidRDefault="00CB6BF2" w:rsidP="008F6974">
            <w:pPr>
              <w:jc w:val="left"/>
              <w:rPr>
                <w:rFonts w:cs="Arial"/>
                <w:i/>
                <w:sz w:val="20"/>
                <w:szCs w:val="20"/>
              </w:rPr>
            </w:pPr>
            <w:r w:rsidRPr="00A9330B">
              <w:rPr>
                <w:rFonts w:cs="Arial"/>
                <w:i/>
                <w:sz w:val="20"/>
                <w:szCs w:val="20"/>
              </w:rPr>
              <w:t xml:space="preserve">Moyenne Tension </w:t>
            </w:r>
          </w:p>
        </w:tc>
      </w:tr>
      <w:tr w:rsidR="00CB6BF2" w:rsidRPr="00A9330B" w14:paraId="2041C73F" w14:textId="77777777" w:rsidTr="0011523E">
        <w:tc>
          <w:tcPr>
            <w:tcW w:w="1271" w:type="dxa"/>
            <w:hideMark/>
          </w:tcPr>
          <w:p w14:paraId="31086964" w14:textId="77777777" w:rsidR="00CB6BF2" w:rsidRPr="00A9330B" w:rsidRDefault="00CB6BF2" w:rsidP="008F6974">
            <w:pPr>
              <w:jc w:val="left"/>
              <w:rPr>
                <w:rFonts w:cs="Arial"/>
                <w:b/>
                <w:i/>
                <w:sz w:val="20"/>
                <w:szCs w:val="20"/>
              </w:rPr>
            </w:pPr>
            <w:r w:rsidRPr="00A9330B">
              <w:rPr>
                <w:rFonts w:cs="Arial"/>
                <w:b/>
                <w:i/>
                <w:sz w:val="20"/>
                <w:szCs w:val="20"/>
              </w:rPr>
              <w:t>OMS</w:t>
            </w:r>
          </w:p>
        </w:tc>
        <w:tc>
          <w:tcPr>
            <w:tcW w:w="6946" w:type="dxa"/>
            <w:hideMark/>
          </w:tcPr>
          <w:p w14:paraId="2ABFEF08" w14:textId="77777777" w:rsidR="00CB6BF2" w:rsidRPr="00A9330B" w:rsidRDefault="00CB6BF2" w:rsidP="008F6974">
            <w:pPr>
              <w:jc w:val="left"/>
              <w:rPr>
                <w:rFonts w:cs="Arial"/>
                <w:i/>
                <w:sz w:val="20"/>
                <w:szCs w:val="20"/>
              </w:rPr>
            </w:pPr>
            <w:r w:rsidRPr="00A9330B">
              <w:rPr>
                <w:rFonts w:cs="Arial"/>
                <w:i/>
                <w:sz w:val="20"/>
                <w:szCs w:val="20"/>
              </w:rPr>
              <w:t>Organisation Mondiale de la Santé</w:t>
            </w:r>
          </w:p>
        </w:tc>
      </w:tr>
      <w:tr w:rsidR="00CB6BF2" w:rsidRPr="00A9330B" w14:paraId="16366007" w14:textId="77777777" w:rsidTr="0011523E">
        <w:tc>
          <w:tcPr>
            <w:tcW w:w="1271" w:type="dxa"/>
            <w:hideMark/>
          </w:tcPr>
          <w:p w14:paraId="16857E5A" w14:textId="77777777" w:rsidR="00CB6BF2" w:rsidRPr="00A9330B" w:rsidRDefault="00CB6BF2" w:rsidP="008F6974">
            <w:pPr>
              <w:jc w:val="left"/>
              <w:rPr>
                <w:rFonts w:cs="Arial"/>
                <w:b/>
                <w:i/>
                <w:sz w:val="20"/>
                <w:szCs w:val="20"/>
              </w:rPr>
            </w:pPr>
            <w:r w:rsidRPr="00A9330B">
              <w:rPr>
                <w:rFonts w:cs="Arial"/>
                <w:b/>
                <w:i/>
                <w:sz w:val="20"/>
                <w:szCs w:val="20"/>
              </w:rPr>
              <w:t>ONG</w:t>
            </w:r>
          </w:p>
        </w:tc>
        <w:tc>
          <w:tcPr>
            <w:tcW w:w="6946" w:type="dxa"/>
            <w:hideMark/>
          </w:tcPr>
          <w:p w14:paraId="1A4CFA98" w14:textId="77777777" w:rsidR="00CB6BF2" w:rsidRPr="00A9330B" w:rsidRDefault="00CB6BF2" w:rsidP="008F6974">
            <w:pPr>
              <w:jc w:val="left"/>
              <w:rPr>
                <w:rFonts w:cs="Arial"/>
                <w:i/>
                <w:sz w:val="20"/>
                <w:szCs w:val="20"/>
              </w:rPr>
            </w:pPr>
            <w:r w:rsidRPr="00A9330B">
              <w:rPr>
                <w:rFonts w:cs="Arial"/>
                <w:i/>
                <w:sz w:val="20"/>
                <w:szCs w:val="20"/>
              </w:rPr>
              <w:t xml:space="preserve">Organisation Non Gouvernementale </w:t>
            </w:r>
          </w:p>
        </w:tc>
      </w:tr>
      <w:tr w:rsidR="00CB6BF2" w:rsidRPr="00A9330B" w14:paraId="12C69F65" w14:textId="77777777" w:rsidTr="0011523E">
        <w:tc>
          <w:tcPr>
            <w:tcW w:w="1271" w:type="dxa"/>
            <w:hideMark/>
          </w:tcPr>
          <w:p w14:paraId="3F0EB8F8" w14:textId="77777777" w:rsidR="00CB6BF2" w:rsidRPr="00A9330B" w:rsidRDefault="00CB6BF2" w:rsidP="008F6974">
            <w:pPr>
              <w:jc w:val="left"/>
              <w:rPr>
                <w:rFonts w:cs="Arial"/>
                <w:b/>
                <w:i/>
                <w:sz w:val="20"/>
                <w:szCs w:val="20"/>
              </w:rPr>
            </w:pPr>
            <w:r w:rsidRPr="00A9330B">
              <w:rPr>
                <w:rFonts w:cs="Arial"/>
                <w:b/>
                <w:i/>
                <w:sz w:val="20"/>
                <w:szCs w:val="20"/>
                <w:lang w:eastAsia="fr-FR"/>
              </w:rPr>
              <w:t>PAG</w:t>
            </w:r>
          </w:p>
        </w:tc>
        <w:tc>
          <w:tcPr>
            <w:tcW w:w="6946" w:type="dxa"/>
            <w:hideMark/>
          </w:tcPr>
          <w:p w14:paraId="32DAE66D" w14:textId="77777777" w:rsidR="00CB6BF2" w:rsidRPr="00A9330B" w:rsidRDefault="00CB6BF2" w:rsidP="008F6974">
            <w:pPr>
              <w:jc w:val="left"/>
              <w:rPr>
                <w:rFonts w:cs="Arial"/>
                <w:i/>
                <w:sz w:val="20"/>
                <w:szCs w:val="20"/>
              </w:rPr>
            </w:pPr>
            <w:r w:rsidRPr="00A9330B">
              <w:rPr>
                <w:rFonts w:cs="Arial"/>
                <w:i/>
                <w:sz w:val="20"/>
                <w:szCs w:val="20"/>
                <w:lang w:eastAsia="fr-FR"/>
              </w:rPr>
              <w:t xml:space="preserve">Programme d’Actions du Gouvernement </w:t>
            </w:r>
          </w:p>
        </w:tc>
      </w:tr>
      <w:tr w:rsidR="00CB6BF2" w:rsidRPr="00A9330B" w14:paraId="30D4CD7B" w14:textId="77777777" w:rsidTr="0011523E">
        <w:tc>
          <w:tcPr>
            <w:tcW w:w="1271" w:type="dxa"/>
            <w:hideMark/>
          </w:tcPr>
          <w:p w14:paraId="68DD9738" w14:textId="77777777" w:rsidR="00CB6BF2" w:rsidRPr="00A9330B" w:rsidRDefault="00CB6BF2" w:rsidP="008F6974">
            <w:pPr>
              <w:jc w:val="left"/>
              <w:rPr>
                <w:rFonts w:cs="Arial"/>
                <w:b/>
                <w:i/>
                <w:sz w:val="20"/>
                <w:szCs w:val="20"/>
                <w:lang w:eastAsia="fr-FR"/>
              </w:rPr>
            </w:pPr>
            <w:r w:rsidRPr="00A9330B">
              <w:rPr>
                <w:rFonts w:cs="Arial"/>
                <w:b/>
                <w:i/>
                <w:sz w:val="20"/>
                <w:szCs w:val="20"/>
                <w:lang w:eastAsia="fr-FR"/>
              </w:rPr>
              <w:t>PAGEFCOM</w:t>
            </w:r>
          </w:p>
        </w:tc>
        <w:tc>
          <w:tcPr>
            <w:tcW w:w="6946" w:type="dxa"/>
            <w:hideMark/>
          </w:tcPr>
          <w:p w14:paraId="17FF1BA8" w14:textId="77777777" w:rsidR="00CB6BF2" w:rsidRPr="00A9330B" w:rsidRDefault="00CB6BF2" w:rsidP="008F6974">
            <w:pPr>
              <w:jc w:val="left"/>
              <w:rPr>
                <w:rFonts w:cs="Arial"/>
                <w:i/>
                <w:sz w:val="20"/>
                <w:szCs w:val="20"/>
                <w:lang w:eastAsia="fr-FR"/>
              </w:rPr>
            </w:pPr>
            <w:r w:rsidRPr="00A9330B">
              <w:rPr>
                <w:rFonts w:cs="Arial"/>
                <w:i/>
                <w:sz w:val="20"/>
                <w:szCs w:val="20"/>
                <w:lang w:eastAsia="fr-FR"/>
              </w:rPr>
              <w:t xml:space="preserve">Projet d’Appui à la Gestion des Forêts Communales </w:t>
            </w:r>
          </w:p>
        </w:tc>
      </w:tr>
      <w:tr w:rsidR="00CB6BF2" w:rsidRPr="00A9330B" w14:paraId="5AD58A52" w14:textId="77777777" w:rsidTr="0011523E">
        <w:tc>
          <w:tcPr>
            <w:tcW w:w="1271" w:type="dxa"/>
            <w:hideMark/>
          </w:tcPr>
          <w:p w14:paraId="6EDBAC2A" w14:textId="77777777" w:rsidR="00CB6BF2" w:rsidRPr="00A9330B" w:rsidRDefault="00CB6BF2" w:rsidP="008F6974">
            <w:pPr>
              <w:jc w:val="left"/>
              <w:rPr>
                <w:rFonts w:cs="Arial"/>
                <w:b/>
                <w:i/>
                <w:sz w:val="20"/>
                <w:szCs w:val="20"/>
                <w:lang w:eastAsia="fr-FR"/>
              </w:rPr>
            </w:pPr>
            <w:r w:rsidRPr="00A9330B">
              <w:rPr>
                <w:rFonts w:cs="Arial"/>
                <w:b/>
                <w:i/>
                <w:sz w:val="20"/>
                <w:szCs w:val="20"/>
              </w:rPr>
              <w:t>PAPC</w:t>
            </w:r>
          </w:p>
        </w:tc>
        <w:tc>
          <w:tcPr>
            <w:tcW w:w="6946" w:type="dxa"/>
            <w:hideMark/>
          </w:tcPr>
          <w:p w14:paraId="7C68C835" w14:textId="77777777" w:rsidR="00CB6BF2" w:rsidRPr="00A9330B" w:rsidRDefault="00CB6BF2" w:rsidP="008F6974">
            <w:pPr>
              <w:jc w:val="left"/>
              <w:rPr>
                <w:rFonts w:cs="Arial"/>
                <w:i/>
                <w:sz w:val="20"/>
                <w:szCs w:val="20"/>
                <w:lang w:eastAsia="fr-FR"/>
              </w:rPr>
            </w:pPr>
            <w:r w:rsidRPr="00A9330B">
              <w:rPr>
                <w:rFonts w:cs="Arial"/>
                <w:i/>
                <w:sz w:val="20"/>
                <w:szCs w:val="20"/>
              </w:rPr>
              <w:t>Programme d’Assainissement Pluvial de Cotonou</w:t>
            </w:r>
          </w:p>
        </w:tc>
      </w:tr>
      <w:tr w:rsidR="00CB6BF2" w:rsidRPr="00A9330B" w14:paraId="47BAC3D1" w14:textId="77777777" w:rsidTr="0011523E">
        <w:tc>
          <w:tcPr>
            <w:tcW w:w="1271" w:type="dxa"/>
            <w:hideMark/>
          </w:tcPr>
          <w:p w14:paraId="4D284960" w14:textId="77777777" w:rsidR="00CB6BF2" w:rsidRPr="00A9330B" w:rsidRDefault="00CB6BF2" w:rsidP="008F6974">
            <w:pPr>
              <w:jc w:val="left"/>
              <w:rPr>
                <w:rFonts w:cs="Arial"/>
                <w:b/>
                <w:i/>
                <w:sz w:val="20"/>
                <w:szCs w:val="20"/>
                <w:lang w:eastAsia="fr-FR"/>
              </w:rPr>
            </w:pPr>
            <w:r w:rsidRPr="00A9330B">
              <w:rPr>
                <w:rFonts w:cs="Arial"/>
                <w:b/>
                <w:i/>
                <w:sz w:val="20"/>
                <w:szCs w:val="20"/>
              </w:rPr>
              <w:t>PAPVS</w:t>
            </w:r>
          </w:p>
        </w:tc>
        <w:tc>
          <w:tcPr>
            <w:tcW w:w="6946" w:type="dxa"/>
            <w:hideMark/>
          </w:tcPr>
          <w:p w14:paraId="1D93BCB2" w14:textId="77777777" w:rsidR="00CB6BF2" w:rsidRPr="00A9330B" w:rsidRDefault="00CB6BF2" w:rsidP="008F6974">
            <w:pPr>
              <w:jc w:val="left"/>
              <w:rPr>
                <w:rFonts w:cs="Arial"/>
                <w:i/>
                <w:sz w:val="20"/>
                <w:szCs w:val="20"/>
                <w:lang w:eastAsia="fr-FR"/>
              </w:rPr>
            </w:pPr>
            <w:r w:rsidRPr="00A9330B">
              <w:rPr>
                <w:rFonts w:cs="Arial"/>
                <w:i/>
                <w:sz w:val="20"/>
                <w:szCs w:val="20"/>
                <w:lang w:eastAsia="fr-FR"/>
              </w:rPr>
              <w:t xml:space="preserve">Projet d’Assainissement Pluvial des Villes Secondaires </w:t>
            </w:r>
          </w:p>
        </w:tc>
      </w:tr>
      <w:tr w:rsidR="00CB6BF2" w:rsidRPr="00A9330B" w14:paraId="372DB861" w14:textId="77777777" w:rsidTr="0011523E">
        <w:tc>
          <w:tcPr>
            <w:tcW w:w="1271" w:type="dxa"/>
            <w:hideMark/>
          </w:tcPr>
          <w:p w14:paraId="62F709E2" w14:textId="77777777" w:rsidR="00CB6BF2" w:rsidRPr="00A9330B" w:rsidRDefault="00CB6BF2" w:rsidP="008F6974">
            <w:pPr>
              <w:jc w:val="left"/>
              <w:rPr>
                <w:rFonts w:cs="Arial"/>
                <w:b/>
                <w:i/>
                <w:sz w:val="20"/>
                <w:szCs w:val="20"/>
              </w:rPr>
            </w:pPr>
            <w:r w:rsidRPr="00A9330B">
              <w:rPr>
                <w:rFonts w:cs="Arial"/>
                <w:b/>
                <w:i/>
                <w:sz w:val="20"/>
                <w:szCs w:val="20"/>
              </w:rPr>
              <w:lastRenderedPageBreak/>
              <w:t>PAR</w:t>
            </w:r>
          </w:p>
        </w:tc>
        <w:tc>
          <w:tcPr>
            <w:tcW w:w="6946" w:type="dxa"/>
            <w:hideMark/>
          </w:tcPr>
          <w:p w14:paraId="3A42FE97" w14:textId="77777777" w:rsidR="00CB6BF2" w:rsidRPr="00A9330B" w:rsidRDefault="00CB6BF2" w:rsidP="008F6974">
            <w:pPr>
              <w:jc w:val="left"/>
              <w:rPr>
                <w:rFonts w:cs="Arial"/>
                <w:i/>
                <w:sz w:val="20"/>
                <w:szCs w:val="20"/>
                <w:lang w:eastAsia="fr-FR"/>
              </w:rPr>
            </w:pPr>
            <w:r w:rsidRPr="00A9330B">
              <w:rPr>
                <w:rFonts w:cs="Arial"/>
                <w:i/>
                <w:sz w:val="20"/>
                <w:szCs w:val="20"/>
              </w:rPr>
              <w:t xml:space="preserve">Plan d’Action de Réinstallation </w:t>
            </w:r>
          </w:p>
        </w:tc>
      </w:tr>
      <w:tr w:rsidR="00CB6BF2" w:rsidRPr="00A9330B" w14:paraId="653C48B8" w14:textId="77777777" w:rsidTr="0011523E">
        <w:tc>
          <w:tcPr>
            <w:tcW w:w="1271" w:type="dxa"/>
            <w:hideMark/>
          </w:tcPr>
          <w:p w14:paraId="70072CB0" w14:textId="77777777" w:rsidR="00CB6BF2" w:rsidRPr="00A9330B" w:rsidRDefault="00CB6BF2" w:rsidP="008F6974">
            <w:pPr>
              <w:jc w:val="left"/>
              <w:rPr>
                <w:rFonts w:cs="Arial"/>
                <w:b/>
                <w:i/>
                <w:sz w:val="20"/>
                <w:szCs w:val="20"/>
              </w:rPr>
            </w:pPr>
            <w:r w:rsidRPr="00A9330B">
              <w:rPr>
                <w:rFonts w:cs="Arial"/>
                <w:b/>
                <w:i/>
                <w:sz w:val="20"/>
                <w:szCs w:val="20"/>
              </w:rPr>
              <w:t>PAURAD</w:t>
            </w:r>
          </w:p>
        </w:tc>
        <w:tc>
          <w:tcPr>
            <w:tcW w:w="6946" w:type="dxa"/>
            <w:hideMark/>
          </w:tcPr>
          <w:p w14:paraId="5E4A58C4" w14:textId="77777777" w:rsidR="00CB6BF2" w:rsidRPr="00A9330B" w:rsidRDefault="00CB6BF2" w:rsidP="008F6974">
            <w:pPr>
              <w:jc w:val="left"/>
              <w:rPr>
                <w:rFonts w:cs="Arial"/>
                <w:i/>
                <w:sz w:val="20"/>
                <w:szCs w:val="20"/>
                <w:lang w:eastAsia="fr-FR"/>
              </w:rPr>
            </w:pPr>
            <w:r w:rsidRPr="00A9330B">
              <w:rPr>
                <w:rFonts w:cs="Arial"/>
                <w:i/>
                <w:sz w:val="20"/>
                <w:szCs w:val="20"/>
              </w:rPr>
              <w:t>Projet d’Aménagement Urbain et d’Appui à la Décentralisation</w:t>
            </w:r>
          </w:p>
        </w:tc>
      </w:tr>
      <w:tr w:rsidR="00CB6BF2" w:rsidRPr="00A9330B" w14:paraId="58EEC8E3" w14:textId="77777777" w:rsidTr="0011523E">
        <w:tc>
          <w:tcPr>
            <w:tcW w:w="1271" w:type="dxa"/>
            <w:hideMark/>
          </w:tcPr>
          <w:p w14:paraId="54BE9BCD" w14:textId="77777777" w:rsidR="00CB6BF2" w:rsidRPr="00A9330B" w:rsidRDefault="00CB6BF2" w:rsidP="008F6974">
            <w:pPr>
              <w:jc w:val="left"/>
              <w:rPr>
                <w:rFonts w:cs="Arial"/>
                <w:b/>
                <w:i/>
                <w:sz w:val="20"/>
                <w:szCs w:val="20"/>
                <w:lang w:eastAsia="fr-FR"/>
              </w:rPr>
            </w:pPr>
            <w:r w:rsidRPr="00A9330B">
              <w:rPr>
                <w:rFonts w:cs="Arial"/>
                <w:b/>
                <w:i/>
                <w:sz w:val="20"/>
                <w:szCs w:val="20"/>
              </w:rPr>
              <w:t>PC</w:t>
            </w:r>
          </w:p>
        </w:tc>
        <w:tc>
          <w:tcPr>
            <w:tcW w:w="6946" w:type="dxa"/>
            <w:hideMark/>
          </w:tcPr>
          <w:p w14:paraId="2F6BE2F6" w14:textId="77777777" w:rsidR="00CB6BF2" w:rsidRPr="00A9330B" w:rsidRDefault="00CB6BF2" w:rsidP="008F6974">
            <w:pPr>
              <w:jc w:val="left"/>
              <w:rPr>
                <w:rFonts w:cs="Arial"/>
                <w:i/>
                <w:sz w:val="20"/>
                <w:szCs w:val="20"/>
                <w:lang w:eastAsia="fr-FR"/>
              </w:rPr>
            </w:pPr>
            <w:r w:rsidRPr="00A9330B">
              <w:rPr>
                <w:rFonts w:cs="Arial"/>
                <w:i/>
                <w:sz w:val="20"/>
                <w:szCs w:val="20"/>
              </w:rPr>
              <w:t>Plan de Contingence</w:t>
            </w:r>
          </w:p>
        </w:tc>
      </w:tr>
      <w:tr w:rsidR="00CB6BF2" w:rsidRPr="00A9330B" w14:paraId="22E0F321" w14:textId="77777777" w:rsidTr="0011523E">
        <w:tc>
          <w:tcPr>
            <w:tcW w:w="1271" w:type="dxa"/>
            <w:hideMark/>
          </w:tcPr>
          <w:p w14:paraId="5B9D9E48" w14:textId="77777777" w:rsidR="00CB6BF2" w:rsidRPr="00A9330B" w:rsidRDefault="00CB6BF2" w:rsidP="008F6974">
            <w:pPr>
              <w:jc w:val="left"/>
              <w:rPr>
                <w:rFonts w:cs="Arial"/>
                <w:b/>
                <w:i/>
                <w:sz w:val="20"/>
                <w:szCs w:val="20"/>
                <w:highlight w:val="yellow"/>
                <w:lang w:eastAsia="fr-FR"/>
              </w:rPr>
            </w:pPr>
            <w:r w:rsidRPr="00A9330B">
              <w:rPr>
                <w:rFonts w:cs="Arial"/>
                <w:b/>
                <w:i/>
                <w:sz w:val="20"/>
                <w:szCs w:val="20"/>
                <w:lang w:eastAsia="fr-FR"/>
              </w:rPr>
              <w:t>PDA</w:t>
            </w:r>
          </w:p>
        </w:tc>
        <w:tc>
          <w:tcPr>
            <w:tcW w:w="6946" w:type="dxa"/>
            <w:hideMark/>
          </w:tcPr>
          <w:p w14:paraId="48CE06A0" w14:textId="77777777" w:rsidR="00CB6BF2" w:rsidRPr="00A9330B" w:rsidRDefault="00CB6BF2" w:rsidP="008F6974">
            <w:pPr>
              <w:jc w:val="left"/>
              <w:rPr>
                <w:rFonts w:cs="Arial"/>
                <w:i/>
                <w:sz w:val="20"/>
                <w:szCs w:val="20"/>
                <w:lang w:eastAsia="fr-FR"/>
              </w:rPr>
            </w:pPr>
            <w:r w:rsidRPr="00A9330B">
              <w:rPr>
                <w:rFonts w:cs="Arial"/>
                <w:i/>
                <w:sz w:val="20"/>
                <w:szCs w:val="20"/>
                <w:lang w:eastAsia="fr-FR"/>
              </w:rPr>
              <w:t>Plan Directeur d’Assainissement</w:t>
            </w:r>
          </w:p>
        </w:tc>
      </w:tr>
      <w:tr w:rsidR="00CB6BF2" w:rsidRPr="00A9330B" w14:paraId="73AA3546" w14:textId="77777777" w:rsidTr="0011523E">
        <w:tc>
          <w:tcPr>
            <w:tcW w:w="1271" w:type="dxa"/>
            <w:hideMark/>
          </w:tcPr>
          <w:p w14:paraId="2ADC0C03" w14:textId="77777777" w:rsidR="00CB6BF2" w:rsidRPr="00A9330B" w:rsidRDefault="00CB6BF2" w:rsidP="008F6974">
            <w:pPr>
              <w:jc w:val="left"/>
              <w:rPr>
                <w:rFonts w:cs="Arial"/>
                <w:b/>
                <w:i/>
                <w:sz w:val="20"/>
                <w:szCs w:val="20"/>
                <w:highlight w:val="yellow"/>
                <w:lang w:eastAsia="fr-FR"/>
              </w:rPr>
            </w:pPr>
            <w:r w:rsidRPr="00A9330B">
              <w:rPr>
                <w:rFonts w:cs="Arial"/>
                <w:b/>
                <w:i/>
                <w:sz w:val="20"/>
                <w:szCs w:val="20"/>
                <w:lang w:eastAsia="fr-FR"/>
              </w:rPr>
              <w:t>PDU</w:t>
            </w:r>
          </w:p>
        </w:tc>
        <w:tc>
          <w:tcPr>
            <w:tcW w:w="6946" w:type="dxa"/>
            <w:hideMark/>
          </w:tcPr>
          <w:p w14:paraId="56C58C74" w14:textId="77777777" w:rsidR="00CB6BF2" w:rsidRPr="00A9330B" w:rsidRDefault="00CB6BF2" w:rsidP="008F6974">
            <w:pPr>
              <w:jc w:val="left"/>
              <w:rPr>
                <w:rFonts w:cs="Arial"/>
                <w:i/>
                <w:sz w:val="20"/>
                <w:szCs w:val="20"/>
                <w:lang w:eastAsia="fr-FR"/>
              </w:rPr>
            </w:pPr>
            <w:r w:rsidRPr="00A9330B">
              <w:rPr>
                <w:rFonts w:cs="Arial"/>
                <w:i/>
                <w:sz w:val="20"/>
                <w:szCs w:val="20"/>
                <w:lang w:eastAsia="fr-FR"/>
              </w:rPr>
              <w:t>Plan du Développement Urbain</w:t>
            </w:r>
          </w:p>
        </w:tc>
      </w:tr>
      <w:tr w:rsidR="00CB6BF2" w:rsidRPr="00A9330B" w14:paraId="0CAE2AA9" w14:textId="77777777" w:rsidTr="0011523E">
        <w:tc>
          <w:tcPr>
            <w:tcW w:w="1271" w:type="dxa"/>
            <w:hideMark/>
          </w:tcPr>
          <w:p w14:paraId="63CAB74A" w14:textId="77777777" w:rsidR="00CB6BF2" w:rsidRPr="00A9330B" w:rsidRDefault="00CB6BF2" w:rsidP="008F6974">
            <w:pPr>
              <w:jc w:val="left"/>
              <w:rPr>
                <w:rFonts w:cs="Arial"/>
                <w:b/>
                <w:i/>
                <w:sz w:val="20"/>
                <w:szCs w:val="20"/>
              </w:rPr>
            </w:pPr>
            <w:r w:rsidRPr="00A9330B">
              <w:rPr>
                <w:rFonts w:cs="Arial"/>
                <w:b/>
                <w:i/>
                <w:sz w:val="20"/>
                <w:szCs w:val="20"/>
              </w:rPr>
              <w:t>PGES</w:t>
            </w:r>
          </w:p>
        </w:tc>
        <w:tc>
          <w:tcPr>
            <w:tcW w:w="6946" w:type="dxa"/>
            <w:hideMark/>
          </w:tcPr>
          <w:p w14:paraId="72E66B45" w14:textId="77777777" w:rsidR="00CB6BF2" w:rsidRPr="00A9330B" w:rsidRDefault="00CB6BF2" w:rsidP="008F6974">
            <w:pPr>
              <w:jc w:val="left"/>
              <w:rPr>
                <w:rFonts w:cs="Arial"/>
                <w:i/>
                <w:sz w:val="20"/>
                <w:szCs w:val="20"/>
                <w:lang w:eastAsia="fr-FR"/>
              </w:rPr>
            </w:pPr>
            <w:r w:rsidRPr="00A9330B">
              <w:rPr>
                <w:rFonts w:eastAsia="Calibri" w:cs="Arial"/>
                <w:i/>
                <w:sz w:val="20"/>
                <w:szCs w:val="20"/>
              </w:rPr>
              <w:t xml:space="preserve">Plan de Gestion Environnementale et Sociale </w:t>
            </w:r>
          </w:p>
        </w:tc>
      </w:tr>
      <w:tr w:rsidR="00CB6BF2" w:rsidRPr="00A9330B" w14:paraId="27A4A385" w14:textId="77777777" w:rsidTr="0011523E">
        <w:tc>
          <w:tcPr>
            <w:tcW w:w="1271" w:type="dxa"/>
            <w:hideMark/>
          </w:tcPr>
          <w:p w14:paraId="10A73AC9" w14:textId="77777777" w:rsidR="00CB6BF2" w:rsidRPr="00A9330B" w:rsidRDefault="00CB6BF2" w:rsidP="008F6974">
            <w:pPr>
              <w:jc w:val="left"/>
              <w:rPr>
                <w:rFonts w:cs="Arial"/>
                <w:b/>
                <w:i/>
                <w:sz w:val="20"/>
                <w:szCs w:val="20"/>
              </w:rPr>
            </w:pPr>
            <w:r w:rsidRPr="00A9330B">
              <w:rPr>
                <w:rFonts w:cs="Arial"/>
                <w:b/>
                <w:i/>
                <w:sz w:val="20"/>
                <w:szCs w:val="20"/>
              </w:rPr>
              <w:t>PME</w:t>
            </w:r>
          </w:p>
        </w:tc>
        <w:tc>
          <w:tcPr>
            <w:tcW w:w="6946" w:type="dxa"/>
            <w:hideMark/>
          </w:tcPr>
          <w:p w14:paraId="7A86FCFE" w14:textId="77777777" w:rsidR="00CB6BF2" w:rsidRPr="00A9330B" w:rsidRDefault="00CB6BF2" w:rsidP="008F6974">
            <w:pPr>
              <w:jc w:val="left"/>
              <w:rPr>
                <w:rFonts w:eastAsia="Calibri" w:cs="Arial"/>
                <w:i/>
                <w:sz w:val="20"/>
                <w:szCs w:val="20"/>
              </w:rPr>
            </w:pPr>
            <w:r w:rsidRPr="00A9330B">
              <w:rPr>
                <w:rFonts w:eastAsia="Calibri" w:cs="Arial"/>
                <w:i/>
                <w:sz w:val="20"/>
                <w:szCs w:val="20"/>
              </w:rPr>
              <w:t>Petites et Moyennes Entreprises</w:t>
            </w:r>
          </w:p>
        </w:tc>
      </w:tr>
      <w:tr w:rsidR="00CB6BF2" w:rsidRPr="00A9330B" w14:paraId="0B7D76F0" w14:textId="77777777" w:rsidTr="0011523E">
        <w:tc>
          <w:tcPr>
            <w:tcW w:w="1271" w:type="dxa"/>
            <w:hideMark/>
          </w:tcPr>
          <w:p w14:paraId="7221F9E8" w14:textId="77777777" w:rsidR="00CB6BF2" w:rsidRPr="00A9330B" w:rsidRDefault="00CB6BF2" w:rsidP="008F6974">
            <w:pPr>
              <w:jc w:val="left"/>
              <w:rPr>
                <w:rFonts w:cs="Arial"/>
                <w:b/>
                <w:i/>
                <w:sz w:val="20"/>
                <w:szCs w:val="20"/>
                <w:highlight w:val="yellow"/>
              </w:rPr>
            </w:pPr>
            <w:r w:rsidRPr="00A9330B">
              <w:rPr>
                <w:rFonts w:cs="Arial"/>
                <w:b/>
                <w:i/>
                <w:sz w:val="20"/>
                <w:szCs w:val="20"/>
              </w:rPr>
              <w:t>PMI</w:t>
            </w:r>
          </w:p>
        </w:tc>
        <w:tc>
          <w:tcPr>
            <w:tcW w:w="6946" w:type="dxa"/>
            <w:hideMark/>
          </w:tcPr>
          <w:p w14:paraId="1C7D3C42" w14:textId="77777777" w:rsidR="00CB6BF2" w:rsidRPr="00A9330B" w:rsidRDefault="00CB6BF2" w:rsidP="008F6974">
            <w:pPr>
              <w:jc w:val="left"/>
              <w:rPr>
                <w:rFonts w:eastAsia="Calibri" w:cs="Arial"/>
                <w:i/>
                <w:sz w:val="20"/>
                <w:szCs w:val="20"/>
              </w:rPr>
            </w:pPr>
            <w:r w:rsidRPr="00A9330B">
              <w:rPr>
                <w:rFonts w:eastAsia="Calibri" w:cs="Arial"/>
                <w:i/>
                <w:sz w:val="20"/>
                <w:szCs w:val="20"/>
              </w:rPr>
              <w:t>Petites et Moyennes Industries</w:t>
            </w:r>
          </w:p>
        </w:tc>
      </w:tr>
      <w:tr w:rsidR="00CB6BF2" w:rsidRPr="00A9330B" w14:paraId="47704196" w14:textId="77777777" w:rsidTr="0011523E">
        <w:tc>
          <w:tcPr>
            <w:tcW w:w="1271" w:type="dxa"/>
            <w:hideMark/>
          </w:tcPr>
          <w:p w14:paraId="67488930" w14:textId="77777777" w:rsidR="00CB6BF2" w:rsidRPr="00A9330B" w:rsidRDefault="00CB6BF2" w:rsidP="008F6974">
            <w:pPr>
              <w:jc w:val="left"/>
              <w:rPr>
                <w:rFonts w:cs="Arial"/>
                <w:b/>
                <w:i/>
                <w:sz w:val="20"/>
                <w:szCs w:val="20"/>
              </w:rPr>
            </w:pPr>
            <w:r w:rsidRPr="00A9330B">
              <w:rPr>
                <w:rFonts w:cs="Arial"/>
                <w:b/>
                <w:i/>
                <w:sz w:val="20"/>
                <w:szCs w:val="20"/>
                <w:lang w:eastAsia="fr-FR"/>
              </w:rPr>
              <w:t>PHSSE</w:t>
            </w:r>
          </w:p>
        </w:tc>
        <w:tc>
          <w:tcPr>
            <w:tcW w:w="6946" w:type="dxa"/>
            <w:hideMark/>
          </w:tcPr>
          <w:p w14:paraId="64C3D286" w14:textId="77777777" w:rsidR="00CB6BF2" w:rsidRPr="00A9330B" w:rsidRDefault="00CB6BF2" w:rsidP="008F6974">
            <w:pPr>
              <w:jc w:val="left"/>
              <w:rPr>
                <w:rFonts w:eastAsia="Calibri" w:cs="Arial"/>
                <w:i/>
                <w:sz w:val="20"/>
                <w:szCs w:val="20"/>
              </w:rPr>
            </w:pPr>
            <w:r w:rsidRPr="00A9330B">
              <w:rPr>
                <w:rFonts w:cs="Arial"/>
                <w:i/>
                <w:sz w:val="20"/>
                <w:szCs w:val="20"/>
                <w:lang w:eastAsia="fr-FR"/>
              </w:rPr>
              <w:t>Plan d’Hygiène, Santé et Sécurité</w:t>
            </w:r>
          </w:p>
        </w:tc>
      </w:tr>
      <w:tr w:rsidR="00CB6BF2" w:rsidRPr="00A9330B" w14:paraId="483726BB" w14:textId="77777777" w:rsidTr="0011523E">
        <w:tc>
          <w:tcPr>
            <w:tcW w:w="1271" w:type="dxa"/>
            <w:hideMark/>
          </w:tcPr>
          <w:p w14:paraId="3890E857" w14:textId="77777777" w:rsidR="00CB6BF2" w:rsidRPr="00A9330B" w:rsidRDefault="00CB6BF2" w:rsidP="008F6974">
            <w:pPr>
              <w:jc w:val="left"/>
              <w:rPr>
                <w:rFonts w:cs="Arial"/>
                <w:b/>
                <w:i/>
                <w:sz w:val="20"/>
                <w:szCs w:val="20"/>
              </w:rPr>
            </w:pPr>
            <w:r w:rsidRPr="00A9330B">
              <w:rPr>
                <w:rFonts w:cs="Arial"/>
                <w:b/>
                <w:i/>
                <w:iCs/>
                <w:sz w:val="20"/>
                <w:szCs w:val="20"/>
                <w:lang w:eastAsia="fr-FR"/>
              </w:rPr>
              <w:t>PNHA</w:t>
            </w:r>
          </w:p>
        </w:tc>
        <w:tc>
          <w:tcPr>
            <w:tcW w:w="6946" w:type="dxa"/>
            <w:hideMark/>
          </w:tcPr>
          <w:p w14:paraId="2A2E2B12" w14:textId="77777777" w:rsidR="00CB6BF2" w:rsidRPr="00A9330B" w:rsidRDefault="00CB6BF2" w:rsidP="008F6974">
            <w:pPr>
              <w:jc w:val="left"/>
              <w:rPr>
                <w:rFonts w:cs="Arial"/>
                <w:i/>
                <w:sz w:val="20"/>
                <w:szCs w:val="20"/>
                <w:vertAlign w:val="superscript"/>
                <w:lang w:eastAsia="fr-FR"/>
              </w:rPr>
            </w:pPr>
            <w:r w:rsidRPr="00A9330B">
              <w:rPr>
                <w:rFonts w:cs="Arial"/>
                <w:i/>
                <w:iCs/>
                <w:sz w:val="20"/>
                <w:szCs w:val="20"/>
                <w:lang w:eastAsia="fr-FR"/>
              </w:rPr>
              <w:t>Politique Nationale de l’Hygiène et de l’Assainissement</w:t>
            </w:r>
          </w:p>
        </w:tc>
      </w:tr>
      <w:tr w:rsidR="00CB6BF2" w:rsidRPr="00A9330B" w14:paraId="599C6FEC" w14:textId="77777777" w:rsidTr="0011523E">
        <w:tc>
          <w:tcPr>
            <w:tcW w:w="1271" w:type="dxa"/>
            <w:hideMark/>
          </w:tcPr>
          <w:p w14:paraId="06D5C1EF" w14:textId="77777777" w:rsidR="00CB6BF2" w:rsidRPr="00A9330B" w:rsidRDefault="00CB6BF2" w:rsidP="008F6974">
            <w:pPr>
              <w:jc w:val="left"/>
              <w:rPr>
                <w:rFonts w:cs="Arial"/>
                <w:b/>
                <w:i/>
                <w:iCs/>
                <w:sz w:val="20"/>
                <w:szCs w:val="20"/>
                <w:highlight w:val="yellow"/>
                <w:lang w:eastAsia="fr-FR"/>
              </w:rPr>
            </w:pPr>
            <w:r w:rsidRPr="00A9330B">
              <w:rPr>
                <w:rFonts w:cs="Arial"/>
                <w:b/>
                <w:i/>
                <w:iCs/>
                <w:sz w:val="20"/>
                <w:szCs w:val="20"/>
                <w:lang w:eastAsia="fr-FR"/>
              </w:rPr>
              <w:t>PNPGIC</w:t>
            </w:r>
          </w:p>
        </w:tc>
        <w:tc>
          <w:tcPr>
            <w:tcW w:w="6946" w:type="dxa"/>
            <w:hideMark/>
          </w:tcPr>
          <w:p w14:paraId="517D93D0" w14:textId="77777777" w:rsidR="00CB6BF2" w:rsidRPr="00A9330B" w:rsidRDefault="00CB6BF2" w:rsidP="008F6974">
            <w:pPr>
              <w:jc w:val="left"/>
              <w:rPr>
                <w:rFonts w:cs="Arial"/>
                <w:i/>
                <w:iCs/>
                <w:sz w:val="20"/>
                <w:szCs w:val="20"/>
                <w:lang w:eastAsia="fr-FR"/>
              </w:rPr>
            </w:pPr>
            <w:r w:rsidRPr="00A9330B">
              <w:rPr>
                <w:rFonts w:cs="Arial"/>
                <w:i/>
                <w:iCs/>
                <w:sz w:val="20"/>
                <w:szCs w:val="20"/>
                <w:lang w:eastAsia="fr-FR"/>
              </w:rPr>
              <w:t xml:space="preserve">Politique Nationale de Prévention et de Gestion Intégrée des Catastrophes    </w:t>
            </w:r>
          </w:p>
        </w:tc>
      </w:tr>
      <w:tr w:rsidR="00CB6BF2" w:rsidRPr="00A9330B" w14:paraId="12D38B25" w14:textId="77777777" w:rsidTr="0011523E">
        <w:tc>
          <w:tcPr>
            <w:tcW w:w="1271" w:type="dxa"/>
            <w:hideMark/>
          </w:tcPr>
          <w:p w14:paraId="617E9703" w14:textId="77777777" w:rsidR="00CB6BF2" w:rsidRPr="00A9330B" w:rsidRDefault="00CB6BF2" w:rsidP="008F6974">
            <w:pPr>
              <w:jc w:val="left"/>
              <w:rPr>
                <w:rFonts w:eastAsia="Times New Roman" w:cs="Arial"/>
                <w:b/>
                <w:i/>
                <w:sz w:val="20"/>
                <w:szCs w:val="20"/>
                <w:lang w:eastAsia="fr-FR"/>
              </w:rPr>
            </w:pPr>
            <w:r w:rsidRPr="00A9330B">
              <w:rPr>
                <w:rFonts w:eastAsia="Times New Roman" w:cs="Arial"/>
                <w:b/>
                <w:i/>
                <w:sz w:val="20"/>
                <w:szCs w:val="20"/>
                <w:lang w:eastAsia="fr-FR"/>
              </w:rPr>
              <w:t>PTF</w:t>
            </w:r>
          </w:p>
        </w:tc>
        <w:tc>
          <w:tcPr>
            <w:tcW w:w="6946" w:type="dxa"/>
            <w:hideMark/>
          </w:tcPr>
          <w:p w14:paraId="5074259B" w14:textId="77777777" w:rsidR="00CB6BF2" w:rsidRPr="00A9330B" w:rsidRDefault="00CB6BF2" w:rsidP="008F6974">
            <w:pPr>
              <w:jc w:val="left"/>
              <w:rPr>
                <w:rFonts w:eastAsia="Times New Roman" w:cs="Arial"/>
                <w:i/>
                <w:sz w:val="20"/>
                <w:szCs w:val="20"/>
                <w:lang w:eastAsia="fr-FR"/>
              </w:rPr>
            </w:pPr>
            <w:r w:rsidRPr="00A9330B">
              <w:rPr>
                <w:rFonts w:eastAsia="Times New Roman" w:cs="Arial"/>
                <w:i/>
                <w:sz w:val="20"/>
                <w:szCs w:val="20"/>
                <w:lang w:eastAsia="fr-FR"/>
              </w:rPr>
              <w:t xml:space="preserve">Partenaires Techniques et Financiers </w:t>
            </w:r>
          </w:p>
        </w:tc>
      </w:tr>
      <w:tr w:rsidR="00CB6BF2" w:rsidRPr="00A9330B" w14:paraId="027F9591" w14:textId="77777777" w:rsidTr="0011523E">
        <w:tc>
          <w:tcPr>
            <w:tcW w:w="1271" w:type="dxa"/>
            <w:hideMark/>
          </w:tcPr>
          <w:p w14:paraId="588DCA21" w14:textId="77777777" w:rsidR="00CB6BF2" w:rsidRPr="00A9330B" w:rsidRDefault="00CB6BF2" w:rsidP="008F6974">
            <w:pPr>
              <w:jc w:val="left"/>
              <w:rPr>
                <w:rFonts w:cs="Arial"/>
                <w:b/>
                <w:i/>
                <w:sz w:val="20"/>
                <w:szCs w:val="20"/>
              </w:rPr>
            </w:pPr>
            <w:r w:rsidRPr="00A9330B">
              <w:rPr>
                <w:rFonts w:eastAsia="Calibri" w:cs="Arial"/>
                <w:b/>
                <w:i/>
                <w:sz w:val="20"/>
                <w:szCs w:val="20"/>
                <w:lang w:eastAsia="fr-FR"/>
              </w:rPr>
              <w:t>PUGEMU</w:t>
            </w:r>
          </w:p>
        </w:tc>
        <w:tc>
          <w:tcPr>
            <w:tcW w:w="6946" w:type="dxa"/>
            <w:hideMark/>
          </w:tcPr>
          <w:p w14:paraId="52903CF6" w14:textId="77777777" w:rsidR="00CB6BF2" w:rsidRPr="00A9330B" w:rsidRDefault="00CB6BF2" w:rsidP="008F6974">
            <w:pPr>
              <w:jc w:val="left"/>
              <w:rPr>
                <w:rFonts w:cs="Arial"/>
                <w:i/>
                <w:sz w:val="20"/>
                <w:szCs w:val="20"/>
                <w:lang w:eastAsia="fr-FR"/>
              </w:rPr>
            </w:pPr>
            <w:r w:rsidRPr="00A9330B">
              <w:rPr>
                <w:rFonts w:eastAsia="Calibri" w:cs="Arial"/>
                <w:i/>
                <w:sz w:val="20"/>
                <w:szCs w:val="20"/>
                <w:lang w:eastAsia="fr-FR"/>
              </w:rPr>
              <w:t xml:space="preserve">Projet d’Urgence de Gestion Environnementale en Milieu Urbain </w:t>
            </w:r>
          </w:p>
        </w:tc>
      </w:tr>
      <w:tr w:rsidR="00CB6BF2" w:rsidRPr="00A9330B" w14:paraId="49E40C64" w14:textId="77777777" w:rsidTr="0011523E">
        <w:tc>
          <w:tcPr>
            <w:tcW w:w="1271" w:type="dxa"/>
            <w:hideMark/>
          </w:tcPr>
          <w:p w14:paraId="73999A3D" w14:textId="77777777" w:rsidR="00CB6BF2" w:rsidRPr="00A9330B" w:rsidRDefault="00CB6BF2" w:rsidP="008F6974">
            <w:pPr>
              <w:jc w:val="left"/>
              <w:rPr>
                <w:rFonts w:eastAsia="Times New Roman" w:cs="Arial"/>
                <w:b/>
                <w:i/>
                <w:sz w:val="20"/>
                <w:szCs w:val="20"/>
                <w:highlight w:val="yellow"/>
                <w:lang w:eastAsia="fr-FR"/>
              </w:rPr>
            </w:pPr>
            <w:r w:rsidRPr="00A9330B">
              <w:rPr>
                <w:rFonts w:eastAsia="Times New Roman" w:cs="Arial"/>
                <w:b/>
                <w:i/>
                <w:sz w:val="20"/>
                <w:szCs w:val="20"/>
                <w:lang w:eastAsia="fr-FR"/>
              </w:rPr>
              <w:t>RGPH</w:t>
            </w:r>
          </w:p>
        </w:tc>
        <w:tc>
          <w:tcPr>
            <w:tcW w:w="6946" w:type="dxa"/>
            <w:hideMark/>
          </w:tcPr>
          <w:p w14:paraId="66BF09B3" w14:textId="77777777" w:rsidR="00CB6BF2" w:rsidRPr="00A9330B" w:rsidRDefault="00CB6BF2" w:rsidP="008F6974">
            <w:pPr>
              <w:jc w:val="left"/>
              <w:rPr>
                <w:rFonts w:eastAsia="Times New Roman" w:cs="Arial"/>
                <w:i/>
                <w:sz w:val="20"/>
                <w:szCs w:val="20"/>
                <w:lang w:eastAsia="fr-FR"/>
              </w:rPr>
            </w:pPr>
            <w:r w:rsidRPr="00A9330B">
              <w:rPr>
                <w:rFonts w:eastAsia="Times New Roman" w:cs="Arial"/>
                <w:i/>
                <w:sz w:val="20"/>
                <w:szCs w:val="20"/>
                <w:lang w:eastAsia="fr-FR"/>
              </w:rPr>
              <w:t xml:space="preserve">Recensement Général de la Population et de l’Habitat </w:t>
            </w:r>
          </w:p>
        </w:tc>
      </w:tr>
      <w:tr w:rsidR="00CB6BF2" w:rsidRPr="00A9330B" w14:paraId="2E174CB8" w14:textId="77777777" w:rsidTr="0011523E">
        <w:tc>
          <w:tcPr>
            <w:tcW w:w="1271" w:type="dxa"/>
            <w:hideMark/>
          </w:tcPr>
          <w:p w14:paraId="4CBC358A" w14:textId="77777777" w:rsidR="00CB6BF2" w:rsidRPr="00A9330B" w:rsidRDefault="00CB6BF2" w:rsidP="008F6974">
            <w:pPr>
              <w:jc w:val="left"/>
              <w:rPr>
                <w:rFonts w:cs="Arial"/>
                <w:b/>
                <w:i/>
                <w:sz w:val="20"/>
                <w:szCs w:val="20"/>
              </w:rPr>
            </w:pPr>
            <w:r w:rsidRPr="00A9330B">
              <w:rPr>
                <w:rFonts w:cs="Arial"/>
                <w:b/>
                <w:i/>
                <w:sz w:val="20"/>
                <w:szCs w:val="20"/>
              </w:rPr>
              <w:t>SBEE</w:t>
            </w:r>
          </w:p>
        </w:tc>
        <w:tc>
          <w:tcPr>
            <w:tcW w:w="6946" w:type="dxa"/>
            <w:hideMark/>
          </w:tcPr>
          <w:p w14:paraId="6B5EC779" w14:textId="77777777" w:rsidR="00CB6BF2" w:rsidRPr="00A9330B" w:rsidRDefault="00CB6BF2" w:rsidP="008F6974">
            <w:pPr>
              <w:jc w:val="left"/>
              <w:rPr>
                <w:rFonts w:cs="Arial"/>
                <w:i/>
                <w:sz w:val="20"/>
                <w:szCs w:val="20"/>
              </w:rPr>
            </w:pPr>
            <w:r w:rsidRPr="00A9330B">
              <w:rPr>
                <w:rFonts w:cs="Arial"/>
                <w:i/>
                <w:sz w:val="20"/>
                <w:szCs w:val="20"/>
              </w:rPr>
              <w:t xml:space="preserve">Société Béninoise d’Energie Electrique </w:t>
            </w:r>
          </w:p>
        </w:tc>
      </w:tr>
      <w:tr w:rsidR="00CB6BF2" w:rsidRPr="00A9330B" w14:paraId="372E9163" w14:textId="77777777" w:rsidTr="0011523E">
        <w:tc>
          <w:tcPr>
            <w:tcW w:w="1271" w:type="dxa"/>
            <w:hideMark/>
          </w:tcPr>
          <w:p w14:paraId="4EE6E7B7" w14:textId="77777777" w:rsidR="00CB6BF2" w:rsidRPr="00A9330B" w:rsidRDefault="00CB6BF2" w:rsidP="008F6974">
            <w:pPr>
              <w:jc w:val="left"/>
              <w:rPr>
                <w:rFonts w:eastAsia="Times New Roman" w:cs="Arial"/>
                <w:b/>
                <w:i/>
                <w:sz w:val="20"/>
                <w:szCs w:val="20"/>
                <w:lang w:eastAsia="fr-FR"/>
              </w:rPr>
            </w:pPr>
            <w:r w:rsidRPr="00A9330B">
              <w:rPr>
                <w:rFonts w:eastAsia="Times New Roman" w:cs="Arial"/>
                <w:b/>
                <w:i/>
                <w:sz w:val="20"/>
                <w:szCs w:val="20"/>
                <w:lang w:eastAsia="fr-FR"/>
              </w:rPr>
              <w:t>SDAC</w:t>
            </w:r>
          </w:p>
        </w:tc>
        <w:tc>
          <w:tcPr>
            <w:tcW w:w="6946" w:type="dxa"/>
            <w:hideMark/>
          </w:tcPr>
          <w:p w14:paraId="0B542C27" w14:textId="77777777" w:rsidR="00CB6BF2" w:rsidRPr="00A9330B" w:rsidRDefault="00CB6BF2" w:rsidP="008F6974">
            <w:pPr>
              <w:jc w:val="left"/>
              <w:rPr>
                <w:rFonts w:eastAsia="Times New Roman" w:cs="Arial"/>
                <w:i/>
                <w:sz w:val="20"/>
                <w:szCs w:val="20"/>
                <w:lang w:eastAsia="fr-FR"/>
              </w:rPr>
            </w:pPr>
            <w:r w:rsidRPr="00A9330B">
              <w:rPr>
                <w:rFonts w:eastAsia="Times New Roman" w:cs="Arial"/>
                <w:i/>
                <w:sz w:val="20"/>
                <w:szCs w:val="20"/>
                <w:lang w:eastAsia="fr-FR"/>
              </w:rPr>
              <w:t xml:space="preserve">Schéma Directeur d’Aménagement de la Commune </w:t>
            </w:r>
          </w:p>
        </w:tc>
      </w:tr>
      <w:tr w:rsidR="00CB6BF2" w:rsidRPr="00A9330B" w14:paraId="79CE842E" w14:textId="77777777" w:rsidTr="0011523E">
        <w:tc>
          <w:tcPr>
            <w:tcW w:w="1271" w:type="dxa"/>
            <w:hideMark/>
          </w:tcPr>
          <w:p w14:paraId="108C45CE" w14:textId="77777777" w:rsidR="00CB6BF2" w:rsidRPr="00A9330B" w:rsidRDefault="00CB6BF2" w:rsidP="008F6974">
            <w:pPr>
              <w:jc w:val="left"/>
              <w:rPr>
                <w:rFonts w:cs="Arial"/>
                <w:b/>
                <w:i/>
                <w:sz w:val="20"/>
                <w:szCs w:val="20"/>
              </w:rPr>
            </w:pPr>
            <w:r w:rsidRPr="00A9330B">
              <w:rPr>
                <w:rFonts w:cs="Arial"/>
                <w:b/>
                <w:i/>
                <w:sz w:val="20"/>
                <w:szCs w:val="20"/>
              </w:rPr>
              <w:t>SIG</w:t>
            </w:r>
          </w:p>
        </w:tc>
        <w:tc>
          <w:tcPr>
            <w:tcW w:w="6946" w:type="dxa"/>
            <w:hideMark/>
          </w:tcPr>
          <w:p w14:paraId="705EA435" w14:textId="77777777" w:rsidR="00CB6BF2" w:rsidRPr="00A9330B" w:rsidRDefault="00CB6BF2" w:rsidP="008F6974">
            <w:pPr>
              <w:jc w:val="left"/>
              <w:rPr>
                <w:rFonts w:cs="Arial"/>
                <w:i/>
                <w:sz w:val="20"/>
                <w:szCs w:val="20"/>
                <w:vertAlign w:val="superscript"/>
                <w:lang w:eastAsia="fr-FR"/>
              </w:rPr>
            </w:pPr>
            <w:r w:rsidRPr="00A9330B">
              <w:rPr>
                <w:rFonts w:cs="Arial"/>
                <w:i/>
                <w:iCs/>
                <w:sz w:val="20"/>
                <w:szCs w:val="20"/>
                <w:lang w:eastAsia="fr-FR"/>
              </w:rPr>
              <w:t xml:space="preserve"> Système d’Information Géographique </w:t>
            </w:r>
          </w:p>
        </w:tc>
      </w:tr>
      <w:tr w:rsidR="00CB6BF2" w:rsidRPr="00A9330B" w14:paraId="2F669F18" w14:textId="77777777" w:rsidTr="0011523E">
        <w:tc>
          <w:tcPr>
            <w:tcW w:w="1271" w:type="dxa"/>
            <w:hideMark/>
          </w:tcPr>
          <w:p w14:paraId="02B1CD87" w14:textId="77777777" w:rsidR="00CB6BF2" w:rsidRPr="00A9330B" w:rsidRDefault="00CB6BF2" w:rsidP="008F6974">
            <w:pPr>
              <w:jc w:val="left"/>
              <w:rPr>
                <w:rFonts w:cs="Arial"/>
                <w:b/>
                <w:i/>
                <w:sz w:val="20"/>
                <w:szCs w:val="20"/>
              </w:rPr>
            </w:pPr>
            <w:r w:rsidRPr="00A9330B">
              <w:rPr>
                <w:rFonts w:cs="Arial"/>
                <w:b/>
                <w:i/>
                <w:sz w:val="20"/>
                <w:szCs w:val="20"/>
              </w:rPr>
              <w:t>SNGD</w:t>
            </w:r>
          </w:p>
        </w:tc>
        <w:tc>
          <w:tcPr>
            <w:tcW w:w="6946" w:type="dxa"/>
            <w:hideMark/>
          </w:tcPr>
          <w:p w14:paraId="7A266E69" w14:textId="77777777" w:rsidR="00CB6BF2" w:rsidRPr="00A9330B" w:rsidRDefault="00CB6BF2" w:rsidP="008F6974">
            <w:pPr>
              <w:jc w:val="left"/>
              <w:rPr>
                <w:rFonts w:cs="Arial"/>
                <w:i/>
                <w:iCs/>
                <w:sz w:val="20"/>
                <w:szCs w:val="20"/>
                <w:lang w:eastAsia="fr-FR"/>
              </w:rPr>
            </w:pPr>
            <w:r w:rsidRPr="00A9330B">
              <w:rPr>
                <w:rFonts w:cs="Arial"/>
                <w:i/>
                <w:iCs/>
                <w:sz w:val="20"/>
                <w:szCs w:val="20"/>
                <w:lang w:eastAsia="fr-FR"/>
              </w:rPr>
              <w:t xml:space="preserve">Stratégie Nationale de Gestion des Déchets </w:t>
            </w:r>
          </w:p>
        </w:tc>
      </w:tr>
      <w:tr w:rsidR="00CB6BF2" w:rsidRPr="00A9330B" w14:paraId="06FA218E" w14:textId="77777777" w:rsidTr="0011523E">
        <w:tc>
          <w:tcPr>
            <w:tcW w:w="1271" w:type="dxa"/>
            <w:hideMark/>
          </w:tcPr>
          <w:p w14:paraId="0EF22A52" w14:textId="77777777" w:rsidR="00CB6BF2" w:rsidRPr="00A9330B" w:rsidRDefault="00CB6BF2" w:rsidP="008F6974">
            <w:pPr>
              <w:jc w:val="left"/>
              <w:rPr>
                <w:rFonts w:cs="Arial"/>
                <w:b/>
                <w:i/>
                <w:sz w:val="20"/>
                <w:szCs w:val="20"/>
              </w:rPr>
            </w:pPr>
            <w:r w:rsidRPr="00A9330B">
              <w:rPr>
                <w:rFonts w:cs="Arial"/>
                <w:b/>
                <w:i/>
                <w:iCs/>
                <w:sz w:val="20"/>
                <w:szCs w:val="20"/>
                <w:lang w:eastAsia="fr-FR"/>
              </w:rPr>
              <w:t>SNPHAB</w:t>
            </w:r>
          </w:p>
        </w:tc>
        <w:tc>
          <w:tcPr>
            <w:tcW w:w="6946" w:type="dxa"/>
            <w:hideMark/>
          </w:tcPr>
          <w:p w14:paraId="7B4E5404" w14:textId="77777777" w:rsidR="00CB6BF2" w:rsidRPr="00A9330B" w:rsidRDefault="00CB6BF2" w:rsidP="008F6974">
            <w:pPr>
              <w:jc w:val="left"/>
              <w:rPr>
                <w:rFonts w:cs="Arial"/>
                <w:i/>
                <w:iCs/>
                <w:sz w:val="20"/>
                <w:szCs w:val="20"/>
                <w:lang w:eastAsia="fr-FR"/>
              </w:rPr>
            </w:pPr>
            <w:r w:rsidRPr="00A9330B">
              <w:rPr>
                <w:rFonts w:cs="Arial"/>
                <w:i/>
                <w:iCs/>
                <w:sz w:val="20"/>
                <w:szCs w:val="20"/>
                <w:lang w:eastAsia="fr-FR"/>
              </w:rPr>
              <w:t>Stratégie Nationale de Promotion de l’Hygiène et de l’Assainissement</w:t>
            </w:r>
          </w:p>
        </w:tc>
      </w:tr>
      <w:tr w:rsidR="00CB6BF2" w:rsidRPr="00A9330B" w14:paraId="4B79C451" w14:textId="77777777" w:rsidTr="0011523E">
        <w:tc>
          <w:tcPr>
            <w:tcW w:w="1271" w:type="dxa"/>
            <w:hideMark/>
          </w:tcPr>
          <w:p w14:paraId="44E6010E" w14:textId="77777777" w:rsidR="00CB6BF2" w:rsidRPr="00A9330B" w:rsidRDefault="00CB6BF2" w:rsidP="008F6974">
            <w:pPr>
              <w:jc w:val="left"/>
              <w:rPr>
                <w:rFonts w:cs="Arial"/>
                <w:b/>
                <w:i/>
                <w:sz w:val="20"/>
                <w:szCs w:val="20"/>
              </w:rPr>
            </w:pPr>
            <w:r w:rsidRPr="00A9330B">
              <w:rPr>
                <w:rFonts w:cs="Arial"/>
                <w:b/>
                <w:i/>
                <w:sz w:val="20"/>
                <w:szCs w:val="20"/>
                <w:lang w:eastAsia="fr-FR"/>
              </w:rPr>
              <w:t>SO</w:t>
            </w:r>
          </w:p>
        </w:tc>
        <w:tc>
          <w:tcPr>
            <w:tcW w:w="6946" w:type="dxa"/>
            <w:hideMark/>
          </w:tcPr>
          <w:p w14:paraId="46C33FF7" w14:textId="77777777" w:rsidR="00CB6BF2" w:rsidRPr="00A9330B" w:rsidRDefault="00CB6BF2" w:rsidP="008F6974">
            <w:pPr>
              <w:jc w:val="left"/>
              <w:rPr>
                <w:rFonts w:cs="Arial"/>
                <w:i/>
                <w:sz w:val="20"/>
                <w:szCs w:val="20"/>
                <w:lang w:eastAsia="fr-FR"/>
              </w:rPr>
            </w:pPr>
            <w:r w:rsidRPr="00A9330B">
              <w:rPr>
                <w:rFonts w:cs="Arial"/>
                <w:i/>
                <w:sz w:val="20"/>
                <w:szCs w:val="20"/>
                <w:lang w:eastAsia="fr-FR"/>
              </w:rPr>
              <w:t xml:space="preserve">Sauvegardes Opérationnelles </w:t>
            </w:r>
          </w:p>
        </w:tc>
      </w:tr>
      <w:tr w:rsidR="00CB6BF2" w:rsidRPr="00A9330B" w14:paraId="233DB898" w14:textId="77777777" w:rsidTr="0011523E">
        <w:tc>
          <w:tcPr>
            <w:tcW w:w="1271" w:type="dxa"/>
            <w:hideMark/>
          </w:tcPr>
          <w:p w14:paraId="196D2C3F" w14:textId="77777777" w:rsidR="00CB6BF2" w:rsidRPr="00A9330B" w:rsidRDefault="00CB6BF2" w:rsidP="008F6974">
            <w:pPr>
              <w:jc w:val="left"/>
              <w:rPr>
                <w:rFonts w:cs="Arial"/>
                <w:b/>
                <w:i/>
                <w:sz w:val="20"/>
                <w:szCs w:val="20"/>
              </w:rPr>
            </w:pPr>
            <w:r w:rsidRPr="00A9330B">
              <w:rPr>
                <w:rFonts w:cs="Arial"/>
                <w:b/>
                <w:i/>
                <w:sz w:val="20"/>
                <w:szCs w:val="20"/>
              </w:rPr>
              <w:t xml:space="preserve">SONEB </w:t>
            </w:r>
          </w:p>
        </w:tc>
        <w:tc>
          <w:tcPr>
            <w:tcW w:w="6946" w:type="dxa"/>
            <w:hideMark/>
          </w:tcPr>
          <w:p w14:paraId="0C47380B" w14:textId="77777777" w:rsidR="00CB6BF2" w:rsidRPr="00A9330B" w:rsidRDefault="00CB6BF2" w:rsidP="008F6974">
            <w:pPr>
              <w:jc w:val="left"/>
              <w:rPr>
                <w:rFonts w:cs="Arial"/>
                <w:i/>
                <w:sz w:val="20"/>
                <w:szCs w:val="20"/>
              </w:rPr>
            </w:pPr>
            <w:r w:rsidRPr="00A9330B">
              <w:rPr>
                <w:rFonts w:cs="Arial"/>
                <w:i/>
                <w:sz w:val="20"/>
                <w:szCs w:val="20"/>
              </w:rPr>
              <w:t xml:space="preserve">Société Nationale des Eaux du Bénin </w:t>
            </w:r>
          </w:p>
        </w:tc>
      </w:tr>
      <w:tr w:rsidR="00CB6BF2" w:rsidRPr="00A9330B" w14:paraId="6514FE39" w14:textId="77777777" w:rsidTr="0011523E">
        <w:tc>
          <w:tcPr>
            <w:tcW w:w="1271" w:type="dxa"/>
            <w:hideMark/>
          </w:tcPr>
          <w:p w14:paraId="11DF5459" w14:textId="77777777" w:rsidR="00CB6BF2" w:rsidRPr="00A9330B" w:rsidRDefault="00CB6BF2" w:rsidP="008F6974">
            <w:pPr>
              <w:jc w:val="left"/>
              <w:rPr>
                <w:rFonts w:cs="Arial"/>
                <w:b/>
                <w:i/>
                <w:sz w:val="20"/>
                <w:szCs w:val="20"/>
              </w:rPr>
            </w:pPr>
            <w:r w:rsidRPr="00A9330B">
              <w:rPr>
                <w:rFonts w:cs="Arial"/>
                <w:b/>
                <w:i/>
                <w:sz w:val="20"/>
                <w:szCs w:val="20"/>
                <w:lang w:eastAsia="fr-FR"/>
              </w:rPr>
              <w:t>SSI</w:t>
            </w:r>
          </w:p>
        </w:tc>
        <w:tc>
          <w:tcPr>
            <w:tcW w:w="6946" w:type="dxa"/>
            <w:hideMark/>
          </w:tcPr>
          <w:p w14:paraId="3FB3857E" w14:textId="77777777" w:rsidR="00CB6BF2" w:rsidRPr="00A9330B" w:rsidRDefault="00CB6BF2" w:rsidP="008F6974">
            <w:pPr>
              <w:jc w:val="left"/>
              <w:rPr>
                <w:rFonts w:cs="Arial"/>
                <w:i/>
                <w:sz w:val="20"/>
                <w:szCs w:val="20"/>
              </w:rPr>
            </w:pPr>
            <w:r w:rsidRPr="00A9330B">
              <w:rPr>
                <w:rFonts w:cs="Arial"/>
                <w:i/>
                <w:sz w:val="20"/>
                <w:szCs w:val="20"/>
                <w:lang w:eastAsia="fr-FR"/>
              </w:rPr>
              <w:t xml:space="preserve">Système  de Sauvegarde Intégré </w:t>
            </w:r>
          </w:p>
        </w:tc>
      </w:tr>
      <w:tr w:rsidR="00CB6BF2" w:rsidRPr="00A9330B" w14:paraId="099BFBD0" w14:textId="77777777" w:rsidTr="0011523E">
        <w:tc>
          <w:tcPr>
            <w:tcW w:w="1271" w:type="dxa"/>
            <w:hideMark/>
          </w:tcPr>
          <w:p w14:paraId="7169CD89" w14:textId="77777777" w:rsidR="00CB6BF2" w:rsidRPr="00A9330B" w:rsidRDefault="00CB6BF2" w:rsidP="008F6974">
            <w:pPr>
              <w:jc w:val="left"/>
              <w:rPr>
                <w:rFonts w:cs="Arial"/>
                <w:b/>
                <w:i/>
                <w:sz w:val="20"/>
                <w:szCs w:val="20"/>
                <w:lang w:eastAsia="fr-FR"/>
              </w:rPr>
            </w:pPr>
            <w:r w:rsidRPr="00A9330B">
              <w:rPr>
                <w:rFonts w:eastAsia="Times New Roman" w:cs="Arial"/>
                <w:b/>
                <w:i/>
                <w:sz w:val="20"/>
                <w:szCs w:val="20"/>
                <w:lang w:eastAsia="fr-FR"/>
              </w:rPr>
              <w:t>STD</w:t>
            </w:r>
          </w:p>
        </w:tc>
        <w:tc>
          <w:tcPr>
            <w:tcW w:w="6946" w:type="dxa"/>
            <w:hideMark/>
          </w:tcPr>
          <w:p w14:paraId="02FEF224" w14:textId="77777777" w:rsidR="00CB6BF2" w:rsidRPr="00A9330B" w:rsidRDefault="00CB6BF2" w:rsidP="008F6974">
            <w:pPr>
              <w:jc w:val="left"/>
              <w:rPr>
                <w:rFonts w:cs="Arial"/>
                <w:i/>
                <w:sz w:val="20"/>
                <w:szCs w:val="20"/>
              </w:rPr>
            </w:pPr>
            <w:r w:rsidRPr="00A9330B">
              <w:rPr>
                <w:rFonts w:eastAsia="Times New Roman" w:cs="Arial"/>
                <w:i/>
                <w:sz w:val="20"/>
                <w:szCs w:val="20"/>
                <w:lang w:eastAsia="fr-FR"/>
              </w:rPr>
              <w:t>Service Technique Déconcentré</w:t>
            </w:r>
          </w:p>
        </w:tc>
      </w:tr>
      <w:tr w:rsidR="00CB6BF2" w:rsidRPr="00A9330B" w14:paraId="05E0226A" w14:textId="77777777" w:rsidTr="0011523E">
        <w:tc>
          <w:tcPr>
            <w:tcW w:w="1271" w:type="dxa"/>
            <w:hideMark/>
          </w:tcPr>
          <w:p w14:paraId="40181EE6" w14:textId="77777777" w:rsidR="00CB6BF2" w:rsidRPr="00A9330B" w:rsidRDefault="00CB6BF2" w:rsidP="008F6974">
            <w:pPr>
              <w:jc w:val="left"/>
              <w:rPr>
                <w:rFonts w:cs="Arial"/>
                <w:b/>
                <w:i/>
                <w:sz w:val="20"/>
                <w:szCs w:val="20"/>
                <w:lang w:eastAsia="fr-FR"/>
              </w:rPr>
            </w:pPr>
            <w:r w:rsidRPr="00A9330B">
              <w:rPr>
                <w:rFonts w:cs="Arial"/>
                <w:b/>
                <w:i/>
                <w:sz w:val="20"/>
                <w:szCs w:val="20"/>
                <w:lang w:eastAsia="fr-FR"/>
              </w:rPr>
              <w:t>TDR</w:t>
            </w:r>
          </w:p>
        </w:tc>
        <w:tc>
          <w:tcPr>
            <w:tcW w:w="6946" w:type="dxa"/>
            <w:hideMark/>
          </w:tcPr>
          <w:p w14:paraId="78664132" w14:textId="77777777" w:rsidR="00CB6BF2" w:rsidRPr="00A9330B" w:rsidRDefault="00CB6BF2" w:rsidP="008F6974">
            <w:pPr>
              <w:jc w:val="left"/>
              <w:rPr>
                <w:rFonts w:cs="Arial"/>
                <w:i/>
                <w:sz w:val="20"/>
                <w:szCs w:val="20"/>
                <w:lang w:eastAsia="fr-FR"/>
              </w:rPr>
            </w:pPr>
            <w:r w:rsidRPr="00A9330B">
              <w:rPr>
                <w:rFonts w:cs="Arial"/>
                <w:i/>
                <w:sz w:val="20"/>
                <w:szCs w:val="20"/>
                <w:lang w:eastAsia="fr-FR"/>
              </w:rPr>
              <w:t xml:space="preserve">Thème De Référence </w:t>
            </w:r>
          </w:p>
        </w:tc>
      </w:tr>
      <w:tr w:rsidR="00CB6BF2" w:rsidRPr="00A9330B" w14:paraId="23B51164" w14:textId="77777777" w:rsidTr="0011523E">
        <w:tc>
          <w:tcPr>
            <w:tcW w:w="1271" w:type="dxa"/>
            <w:hideMark/>
          </w:tcPr>
          <w:p w14:paraId="0294EABE" w14:textId="77777777" w:rsidR="00CB6BF2" w:rsidRPr="00A9330B" w:rsidRDefault="00CB6BF2" w:rsidP="008F6974">
            <w:pPr>
              <w:jc w:val="left"/>
              <w:rPr>
                <w:rFonts w:cs="Arial"/>
                <w:b/>
                <w:i/>
                <w:sz w:val="20"/>
                <w:szCs w:val="20"/>
              </w:rPr>
            </w:pPr>
            <w:r w:rsidRPr="00A9330B">
              <w:rPr>
                <w:rFonts w:cs="Arial"/>
                <w:b/>
                <w:i/>
                <w:sz w:val="20"/>
                <w:szCs w:val="20"/>
              </w:rPr>
              <w:t>TIC</w:t>
            </w:r>
          </w:p>
        </w:tc>
        <w:tc>
          <w:tcPr>
            <w:tcW w:w="6946" w:type="dxa"/>
            <w:hideMark/>
          </w:tcPr>
          <w:p w14:paraId="25FE3146" w14:textId="77777777" w:rsidR="00CB6BF2" w:rsidRPr="00A9330B" w:rsidRDefault="00CB6BF2" w:rsidP="008F6974">
            <w:pPr>
              <w:jc w:val="left"/>
              <w:rPr>
                <w:rFonts w:cs="Arial"/>
                <w:i/>
                <w:sz w:val="20"/>
                <w:szCs w:val="20"/>
              </w:rPr>
            </w:pPr>
            <w:r w:rsidRPr="00A9330B">
              <w:rPr>
                <w:rFonts w:cs="Arial"/>
                <w:i/>
                <w:sz w:val="20"/>
                <w:szCs w:val="20"/>
              </w:rPr>
              <w:t xml:space="preserve">Technologies de l’Information et de la Communication </w:t>
            </w:r>
          </w:p>
        </w:tc>
      </w:tr>
      <w:tr w:rsidR="00CB6BF2" w:rsidRPr="00A9330B" w14:paraId="2D3DE249" w14:textId="77777777" w:rsidTr="0011523E">
        <w:tc>
          <w:tcPr>
            <w:tcW w:w="1271" w:type="dxa"/>
            <w:hideMark/>
          </w:tcPr>
          <w:p w14:paraId="7468F454" w14:textId="77777777" w:rsidR="00CB6BF2" w:rsidRPr="00A9330B" w:rsidRDefault="00CB6BF2" w:rsidP="008F6974">
            <w:pPr>
              <w:jc w:val="left"/>
              <w:rPr>
                <w:rFonts w:cs="Arial"/>
                <w:b/>
                <w:i/>
                <w:sz w:val="20"/>
                <w:szCs w:val="20"/>
              </w:rPr>
            </w:pPr>
            <w:r w:rsidRPr="00A9330B">
              <w:rPr>
                <w:rFonts w:cs="Arial"/>
                <w:b/>
                <w:i/>
                <w:sz w:val="20"/>
                <w:szCs w:val="20"/>
              </w:rPr>
              <w:t>UNESCO</w:t>
            </w:r>
          </w:p>
        </w:tc>
        <w:tc>
          <w:tcPr>
            <w:tcW w:w="6946" w:type="dxa"/>
            <w:hideMark/>
          </w:tcPr>
          <w:p w14:paraId="797233E5" w14:textId="77777777" w:rsidR="00CB6BF2" w:rsidRPr="00A9330B" w:rsidRDefault="00CB6BF2" w:rsidP="008F6974">
            <w:pPr>
              <w:jc w:val="left"/>
              <w:rPr>
                <w:rFonts w:cs="Arial"/>
                <w:i/>
                <w:sz w:val="20"/>
                <w:szCs w:val="20"/>
              </w:rPr>
            </w:pPr>
            <w:r w:rsidRPr="00A9330B">
              <w:rPr>
                <w:rFonts w:cs="Arial"/>
                <w:i/>
                <w:sz w:val="20"/>
                <w:szCs w:val="20"/>
              </w:rPr>
              <w:t xml:space="preserve">Organisation des Nations Unies pour l’Education, la Science et la Culture </w:t>
            </w:r>
          </w:p>
        </w:tc>
      </w:tr>
      <w:tr w:rsidR="00CB6BF2" w:rsidRPr="00A9330B" w14:paraId="4250223B" w14:textId="77777777" w:rsidTr="0011523E">
        <w:tc>
          <w:tcPr>
            <w:tcW w:w="1271" w:type="dxa"/>
            <w:hideMark/>
          </w:tcPr>
          <w:p w14:paraId="3A1EDB5E" w14:textId="77777777" w:rsidR="00CB6BF2" w:rsidRPr="00A9330B" w:rsidRDefault="00CB6BF2" w:rsidP="008F6974">
            <w:pPr>
              <w:jc w:val="left"/>
              <w:rPr>
                <w:rFonts w:cs="Arial"/>
                <w:b/>
                <w:i/>
                <w:sz w:val="20"/>
                <w:szCs w:val="20"/>
              </w:rPr>
            </w:pPr>
            <w:r w:rsidRPr="00A9330B">
              <w:rPr>
                <w:rFonts w:cs="Arial"/>
                <w:b/>
                <w:i/>
                <w:sz w:val="20"/>
                <w:szCs w:val="20"/>
              </w:rPr>
              <w:t>USQ</w:t>
            </w:r>
          </w:p>
        </w:tc>
        <w:tc>
          <w:tcPr>
            <w:tcW w:w="6946" w:type="dxa"/>
            <w:hideMark/>
          </w:tcPr>
          <w:p w14:paraId="4CD27E9D" w14:textId="77777777" w:rsidR="00CB6BF2" w:rsidRPr="00A9330B" w:rsidRDefault="00CB6BF2" w:rsidP="008F6974">
            <w:pPr>
              <w:jc w:val="left"/>
              <w:rPr>
                <w:rFonts w:cs="Arial"/>
                <w:i/>
                <w:sz w:val="20"/>
                <w:szCs w:val="20"/>
              </w:rPr>
            </w:pPr>
            <w:r w:rsidRPr="00A9330B">
              <w:rPr>
                <w:rFonts w:cs="Arial"/>
                <w:i/>
                <w:sz w:val="20"/>
                <w:szCs w:val="20"/>
              </w:rPr>
              <w:t xml:space="preserve">Unités de Santé de Quartier </w:t>
            </w:r>
          </w:p>
        </w:tc>
      </w:tr>
      <w:tr w:rsidR="00CB6BF2" w:rsidRPr="00A9330B" w14:paraId="7E419166" w14:textId="77777777" w:rsidTr="0011523E">
        <w:tc>
          <w:tcPr>
            <w:tcW w:w="1271" w:type="dxa"/>
            <w:hideMark/>
          </w:tcPr>
          <w:p w14:paraId="173DF911" w14:textId="77777777" w:rsidR="00CB6BF2" w:rsidRPr="00A9330B" w:rsidRDefault="00CB6BF2" w:rsidP="008F6974">
            <w:pPr>
              <w:jc w:val="left"/>
              <w:rPr>
                <w:rFonts w:cs="Arial"/>
                <w:b/>
                <w:i/>
                <w:sz w:val="20"/>
                <w:szCs w:val="20"/>
              </w:rPr>
            </w:pPr>
            <w:r w:rsidRPr="00A9330B">
              <w:rPr>
                <w:rFonts w:cs="Arial"/>
                <w:b/>
                <w:i/>
                <w:sz w:val="20"/>
                <w:szCs w:val="20"/>
              </w:rPr>
              <w:t>UVS</w:t>
            </w:r>
          </w:p>
        </w:tc>
        <w:tc>
          <w:tcPr>
            <w:tcW w:w="6946" w:type="dxa"/>
            <w:hideMark/>
          </w:tcPr>
          <w:p w14:paraId="3F88CD87" w14:textId="77777777" w:rsidR="00CB6BF2" w:rsidRPr="00A9330B" w:rsidRDefault="00CB6BF2" w:rsidP="008F6974">
            <w:pPr>
              <w:jc w:val="left"/>
              <w:rPr>
                <w:rFonts w:cs="Arial"/>
                <w:i/>
                <w:sz w:val="20"/>
                <w:szCs w:val="20"/>
              </w:rPr>
            </w:pPr>
            <w:r w:rsidRPr="00A9330B">
              <w:rPr>
                <w:rFonts w:cs="Arial"/>
                <w:i/>
                <w:sz w:val="20"/>
                <w:szCs w:val="20"/>
              </w:rPr>
              <w:t>Unité Villageoise de la Santé</w:t>
            </w:r>
          </w:p>
        </w:tc>
      </w:tr>
    </w:tbl>
    <w:p w14:paraId="0227597A" w14:textId="77777777" w:rsidR="00AB04ED" w:rsidRPr="00A9330B" w:rsidRDefault="00AB04ED" w:rsidP="00AB04ED">
      <w:pPr>
        <w:rPr>
          <w:rFonts w:cs="Arial"/>
          <w:sz w:val="28"/>
          <w:szCs w:val="28"/>
        </w:rPr>
      </w:pPr>
    </w:p>
    <w:p w14:paraId="3AA040E9" w14:textId="77777777" w:rsidR="00AB04ED" w:rsidRPr="00A9330B" w:rsidRDefault="00AB04ED" w:rsidP="00AB04ED">
      <w:pPr>
        <w:spacing w:line="120" w:lineRule="auto"/>
        <w:jc w:val="center"/>
        <w:rPr>
          <w:rFonts w:eastAsiaTheme="majorEastAsia" w:cstheme="majorBidi"/>
          <w:b/>
          <w:color w:val="00B050"/>
          <w:sz w:val="28"/>
          <w:szCs w:val="24"/>
        </w:rPr>
      </w:pPr>
      <w:r w:rsidRPr="00A9330B">
        <w:br w:type="page"/>
      </w:r>
    </w:p>
    <w:p w14:paraId="30E70F34" w14:textId="6F9194B9" w:rsidR="00AB04ED" w:rsidRPr="00A9330B" w:rsidRDefault="00AB04ED" w:rsidP="0064324E">
      <w:pPr>
        <w:pStyle w:val="Titre1"/>
      </w:pPr>
      <w:bookmarkStart w:id="49" w:name="_Toc52869529"/>
      <w:bookmarkStart w:id="50" w:name="_Toc52869819"/>
      <w:r w:rsidRPr="00A9330B">
        <w:lastRenderedPageBreak/>
        <w:t xml:space="preserve">RESUME </w:t>
      </w:r>
      <w:r w:rsidR="009962DA" w:rsidRPr="00A9330B">
        <w:t>non technique</w:t>
      </w:r>
      <w:bookmarkEnd w:id="49"/>
      <w:bookmarkEnd w:id="50"/>
      <w:r w:rsidR="009962DA" w:rsidRPr="00A9330B">
        <w:t xml:space="preserve"> </w:t>
      </w:r>
    </w:p>
    <w:p w14:paraId="6CB4449D" w14:textId="77777777" w:rsidR="00AD5193" w:rsidRPr="00A9330B" w:rsidRDefault="00AD5193" w:rsidP="006E37A6">
      <w:pPr>
        <w:pStyle w:val="Titre20"/>
      </w:pPr>
      <w:bookmarkStart w:id="51" w:name="_Toc52869530"/>
      <w:bookmarkStart w:id="52" w:name="_Toc52869820"/>
      <w:r w:rsidRPr="00A9330B">
        <w:t>A. Aperçu sur le projet</w:t>
      </w:r>
      <w:bookmarkEnd w:id="51"/>
      <w:bookmarkEnd w:id="52"/>
      <w:r w:rsidRPr="00A9330B">
        <w:t xml:space="preserve"> </w:t>
      </w:r>
    </w:p>
    <w:p w14:paraId="5AB9220F" w14:textId="77777777" w:rsidR="00AD5193" w:rsidRPr="00A9330B" w:rsidRDefault="00AD5193" w:rsidP="00BD2F72">
      <w:pPr>
        <w:pStyle w:val="Titre40"/>
        <w:numPr>
          <w:ilvl w:val="0"/>
          <w:numId w:val="131"/>
        </w:numPr>
      </w:pPr>
      <w:bookmarkStart w:id="53" w:name="_Toc45520720"/>
      <w:bookmarkStart w:id="54" w:name="_Toc52869531"/>
      <w:r w:rsidRPr="00A9330B">
        <w:t>Contexte</w:t>
      </w:r>
      <w:bookmarkEnd w:id="53"/>
      <w:bookmarkEnd w:id="54"/>
      <w:r w:rsidRPr="00A9330B">
        <w:t xml:space="preserve"> </w:t>
      </w:r>
    </w:p>
    <w:p w14:paraId="5303C684" w14:textId="6EDC9ADF" w:rsidR="008028BC" w:rsidRPr="00A9330B" w:rsidRDefault="008028BC" w:rsidP="000F7BA7">
      <w:r w:rsidRPr="00A9330B">
        <w:t>La situation des principales villes du Bénin reste marquée par l’inadaptation du cadre de vie et du niveau de services aux besoins de bien-être des populations, par le manque d’attractivité et le dysfonctionnement des principales agglomérations. Ces villes subissent des inondations régulières dues en grande partie à l’inadéquation des systèmes de drainage et d’assainissement, et des difficultés de mise en œuvre de la politique de l’aménagement du territoire.</w:t>
      </w:r>
    </w:p>
    <w:p w14:paraId="0B5C905D" w14:textId="5A498F1A" w:rsidR="00AD5193" w:rsidRPr="00A9330B" w:rsidRDefault="00AD5193" w:rsidP="00AD5193">
      <w:pPr>
        <w:jc w:val="both"/>
        <w:rPr>
          <w:rFonts w:cs="Arial"/>
        </w:rPr>
      </w:pPr>
      <w:r w:rsidRPr="00A9330B">
        <w:rPr>
          <w:rFonts w:cs="Arial"/>
        </w:rPr>
        <w:t>Dans la Commune de Natitingou, plusieurs facteurs engendrent des inondations qui impactent la vie socio-économique des populations. Il s’agit entre autres :</w:t>
      </w:r>
    </w:p>
    <w:p w14:paraId="791AFD60" w14:textId="77777777" w:rsidR="00AD5193" w:rsidRPr="00A9330B" w:rsidRDefault="00AD5193" w:rsidP="00BD2F72">
      <w:pPr>
        <w:pStyle w:val="Paragraphedeliste"/>
        <w:numPr>
          <w:ilvl w:val="0"/>
          <w:numId w:val="82"/>
        </w:numPr>
        <w:jc w:val="both"/>
        <w:rPr>
          <w:rFonts w:cs="Arial"/>
          <w:lang w:val="fr-FR"/>
        </w:rPr>
      </w:pPr>
      <w:r w:rsidRPr="00A9330B">
        <w:rPr>
          <w:rFonts w:cs="Arial"/>
          <w:lang w:val="fr-FR"/>
        </w:rPr>
        <w:t>de la faible couverture de la commune en mètre linéaire de caniveaux ;</w:t>
      </w:r>
    </w:p>
    <w:p w14:paraId="1B77318E" w14:textId="77777777" w:rsidR="00AD5193" w:rsidRPr="00A9330B" w:rsidRDefault="00AD5193" w:rsidP="00BD2F72">
      <w:pPr>
        <w:pStyle w:val="Paragraphedeliste"/>
        <w:numPr>
          <w:ilvl w:val="0"/>
          <w:numId w:val="82"/>
        </w:numPr>
        <w:jc w:val="both"/>
        <w:rPr>
          <w:rFonts w:cs="Arial"/>
          <w:lang w:val="fr-FR"/>
        </w:rPr>
      </w:pPr>
      <w:r w:rsidRPr="00A9330B">
        <w:rPr>
          <w:rFonts w:cs="Arial"/>
          <w:lang w:val="fr-FR"/>
        </w:rPr>
        <w:t xml:space="preserve">l’irrégularité ou dans d’autres cas l’absence des opérations de curage de ces caniveaux et collecteurs qui augmentent les désagréments causés par la stagnation des eaux (puanteur, gites larvaires de moustiques et autres insectes, inondation des maisons avoisinantes…) ; </w:t>
      </w:r>
    </w:p>
    <w:p w14:paraId="46B4DACB" w14:textId="77777777" w:rsidR="00AD5193" w:rsidRPr="00A9330B" w:rsidRDefault="00AD5193" w:rsidP="00BD2F72">
      <w:pPr>
        <w:pStyle w:val="Paragraphedeliste"/>
        <w:numPr>
          <w:ilvl w:val="0"/>
          <w:numId w:val="82"/>
        </w:numPr>
        <w:jc w:val="both"/>
        <w:rPr>
          <w:rFonts w:cs="Arial"/>
          <w:lang w:val="fr-FR"/>
        </w:rPr>
      </w:pPr>
      <w:r w:rsidRPr="00A9330B">
        <w:rPr>
          <w:rFonts w:cs="Arial"/>
          <w:lang w:val="fr-FR"/>
        </w:rPr>
        <w:t>de l’occupation des zones d’écoulement naturel des eaux par certaines populations;</w:t>
      </w:r>
    </w:p>
    <w:p w14:paraId="233A7F28" w14:textId="77777777" w:rsidR="00AD5193" w:rsidRPr="00A9330B" w:rsidRDefault="00AD5193" w:rsidP="00BD2F72">
      <w:pPr>
        <w:pStyle w:val="Paragraphedeliste"/>
        <w:numPr>
          <w:ilvl w:val="0"/>
          <w:numId w:val="82"/>
        </w:numPr>
        <w:jc w:val="both"/>
        <w:rPr>
          <w:rFonts w:cs="Arial"/>
          <w:lang w:val="fr-FR"/>
        </w:rPr>
      </w:pPr>
      <w:r w:rsidRPr="00A9330B">
        <w:rPr>
          <w:rFonts w:cs="Arial"/>
          <w:lang w:val="fr-FR"/>
        </w:rPr>
        <w:t xml:space="preserve">de l’absence d’aménagement des exutoires des eaux pluviales ; </w:t>
      </w:r>
    </w:p>
    <w:p w14:paraId="162CDA1B" w14:textId="77777777" w:rsidR="00AD5193" w:rsidRPr="00A9330B" w:rsidRDefault="00AD5193" w:rsidP="00BD2F72">
      <w:pPr>
        <w:pStyle w:val="Paragraphedeliste"/>
        <w:numPr>
          <w:ilvl w:val="0"/>
          <w:numId w:val="82"/>
        </w:numPr>
        <w:jc w:val="both"/>
        <w:rPr>
          <w:rFonts w:cs="Arial"/>
          <w:lang w:val="fr-FR"/>
        </w:rPr>
      </w:pPr>
      <w:r w:rsidRPr="00A9330B">
        <w:rPr>
          <w:rFonts w:cs="Arial"/>
          <w:lang w:val="fr-FR"/>
        </w:rPr>
        <w:t xml:space="preserve">de la transformation des caniveaux et collecteurs en dépotoirs de déchets de toutes natures. </w:t>
      </w:r>
    </w:p>
    <w:p w14:paraId="51B7F69A" w14:textId="77777777" w:rsidR="00AD5193" w:rsidRPr="00A9330B" w:rsidRDefault="00AD5193" w:rsidP="00AD5193">
      <w:pPr>
        <w:rPr>
          <w:rFonts w:cs="Arial"/>
        </w:rPr>
      </w:pPr>
      <w:r w:rsidRPr="00A9330B">
        <w:rPr>
          <w:rFonts w:cs="Arial"/>
        </w:rPr>
        <w:t>Pour apporter des solutions à ce phénomène, plusieurs programmes ont été mis en œuvre, par le Gouvernement dans le but de réduire les peines des populations et des usagers de la ville de Natitingou, sans de véritables succès.</w:t>
      </w:r>
    </w:p>
    <w:p w14:paraId="197C6603" w14:textId="4342CB17" w:rsidR="00AD5193" w:rsidRPr="00A9330B" w:rsidRDefault="00AD5193" w:rsidP="000F7BA7">
      <w:pPr>
        <w:jc w:val="both"/>
        <w:rPr>
          <w:rFonts w:eastAsiaTheme="minorEastAsia" w:cs="Arial"/>
          <w:lang w:eastAsia="fr-FR"/>
        </w:rPr>
      </w:pPr>
      <w:r w:rsidRPr="00A9330B">
        <w:rPr>
          <w:rFonts w:eastAsia="Arial" w:cs="Arial"/>
          <w:lang w:eastAsia="fr-FR"/>
        </w:rPr>
        <w:t xml:space="preserve">Le projet d’assainissement pluvial de la ville de Natitingou </w:t>
      </w:r>
      <w:r w:rsidR="008028BC" w:rsidRPr="00A9330B">
        <w:rPr>
          <w:rFonts w:eastAsia="Arial" w:cs="Arial"/>
          <w:lang w:eastAsia="fr-FR"/>
        </w:rPr>
        <w:t xml:space="preserve">a été </w:t>
      </w:r>
      <w:r w:rsidRPr="00A9330B">
        <w:rPr>
          <w:rFonts w:eastAsia="Arial" w:cs="Arial"/>
          <w:lang w:eastAsia="fr-FR"/>
        </w:rPr>
        <w:t>initié par le Gouvernement pour apporter une solution aux préoccupations liées aux inondations afin d’offrir aux populations de Natitingou et aux usagers, un cadre de vie durable.</w:t>
      </w:r>
    </w:p>
    <w:p w14:paraId="5462426D" w14:textId="77777777" w:rsidR="00AD5193" w:rsidRPr="00A9330B" w:rsidRDefault="00AD5193" w:rsidP="000F7BA7">
      <w:pPr>
        <w:jc w:val="both"/>
        <w:rPr>
          <w:rFonts w:eastAsiaTheme="minorEastAsia" w:cs="Arial"/>
          <w:lang w:eastAsia="fr-FR"/>
        </w:rPr>
      </w:pPr>
      <w:r w:rsidRPr="00A9330B">
        <w:rPr>
          <w:rFonts w:eastAsia="Arial" w:cs="Arial"/>
          <w:lang w:eastAsia="fr-FR"/>
        </w:rPr>
        <w:t>Il prend en compte les aménagements des rues à travers la construction de caniveaux, de collecteurs, et d’aménagement des rues adjacentes dans 03 arrondissements. Conformément aux dispositions de la loi-cadre sur l’environnement (loi n°1998-03 du 12 février 1999 en son titre 5 article 88), "Nul ne peut entreprendre des aménagements, des opérations sans suivre la procédure d’étude d’impact sur l’environnement, lorsque cette dernière est exigée par les lois et règlements".</w:t>
      </w:r>
    </w:p>
    <w:p w14:paraId="589B386C" w14:textId="5F6D09C5" w:rsidR="00AD5193" w:rsidRPr="00A9330B" w:rsidRDefault="00AD5193" w:rsidP="000F7BA7">
      <w:pPr>
        <w:jc w:val="both"/>
        <w:rPr>
          <w:rFonts w:eastAsia="Arial" w:cs="Arial"/>
          <w:lang w:eastAsia="fr-FR"/>
        </w:rPr>
      </w:pPr>
      <w:r w:rsidRPr="00A9330B">
        <w:rPr>
          <w:rFonts w:eastAsia="Arial" w:cs="Arial"/>
          <w:lang w:eastAsia="fr-FR"/>
        </w:rPr>
        <w:t>Au regard de cette disposition</w:t>
      </w:r>
      <w:r w:rsidR="00E278DB" w:rsidRPr="00A9330B">
        <w:rPr>
          <w:rFonts w:eastAsia="Arial" w:cs="Arial"/>
          <w:lang w:eastAsia="fr-FR"/>
        </w:rPr>
        <w:t>,</w:t>
      </w:r>
      <w:r w:rsidRPr="00A9330B">
        <w:rPr>
          <w:rFonts w:eastAsia="Arial" w:cs="Arial"/>
          <w:lang w:eastAsia="fr-FR"/>
        </w:rPr>
        <w:t xml:space="preserve"> couplée avec les exigences de la Banque Africaine de Développement</w:t>
      </w:r>
      <w:r w:rsidR="00D94FF6" w:rsidRPr="00A9330B">
        <w:rPr>
          <w:rFonts w:eastAsia="Arial" w:cs="Arial"/>
          <w:lang w:eastAsia="fr-FR"/>
        </w:rPr>
        <w:t xml:space="preserve"> (BAD)</w:t>
      </w:r>
      <w:r w:rsidRPr="00A9330B">
        <w:rPr>
          <w:rFonts w:eastAsia="Arial" w:cs="Arial"/>
          <w:lang w:eastAsia="fr-FR"/>
        </w:rPr>
        <w:t>, ce projet doit faire l’objet d’Etude d’Impact Environnemental et Social (EIES) approfondie.</w:t>
      </w:r>
    </w:p>
    <w:p w14:paraId="55D0657E" w14:textId="77777777" w:rsidR="00AD5193" w:rsidRPr="00A9330B" w:rsidRDefault="00AD5193" w:rsidP="00BD2F72">
      <w:pPr>
        <w:pStyle w:val="Titre40"/>
        <w:numPr>
          <w:ilvl w:val="0"/>
          <w:numId w:val="99"/>
        </w:numPr>
        <w:rPr>
          <w:rFonts w:eastAsiaTheme="minorEastAsia"/>
          <w:lang w:eastAsia="fr-FR"/>
        </w:rPr>
      </w:pPr>
      <w:bookmarkStart w:id="55" w:name="_Toc45520721"/>
      <w:bookmarkStart w:id="56" w:name="_Toc52869532"/>
      <w:r w:rsidRPr="00A9330B">
        <w:rPr>
          <w:lang w:eastAsia="fr-FR"/>
        </w:rPr>
        <w:t>Objectifs du projet</w:t>
      </w:r>
      <w:bookmarkEnd w:id="55"/>
      <w:bookmarkEnd w:id="56"/>
      <w:r w:rsidRPr="00A9330B">
        <w:rPr>
          <w:lang w:eastAsia="fr-FR"/>
        </w:rPr>
        <w:t xml:space="preserve"> </w:t>
      </w:r>
    </w:p>
    <w:p w14:paraId="4B6ED3B4" w14:textId="77777777" w:rsidR="008028BC" w:rsidRPr="00A9330B" w:rsidRDefault="008028BC" w:rsidP="008028BC">
      <w:pPr>
        <w:rPr>
          <w:rFonts w:cs="Arial"/>
        </w:rPr>
      </w:pPr>
      <w:r w:rsidRPr="00A9330B">
        <w:rPr>
          <w:rFonts w:cs="Arial"/>
          <w:b/>
          <w:bCs/>
        </w:rPr>
        <w:t xml:space="preserve">Objectif général : </w:t>
      </w:r>
      <w:r w:rsidRPr="00A9330B">
        <w:rPr>
          <w:rFonts w:cs="Arial"/>
        </w:rPr>
        <w:t>Améliorer le drainage et l’Assainissement Pluvial des villes secondaires par la construction de nouveaux ouvrages et le renforcement des aménagements existants.</w:t>
      </w:r>
    </w:p>
    <w:p w14:paraId="75BC7E1F" w14:textId="77777777" w:rsidR="008028BC" w:rsidRPr="00A9330B" w:rsidRDefault="008028BC" w:rsidP="008028BC">
      <w:pPr>
        <w:rPr>
          <w:rFonts w:cs="Arial"/>
        </w:rPr>
      </w:pPr>
      <w:r w:rsidRPr="00A9330B">
        <w:rPr>
          <w:rFonts w:cs="Arial"/>
        </w:rPr>
        <w:t>Parvenir à un aménagement équilibré du territoire, à l’amélioration progressive mais effective du cadre de vie des populations.</w:t>
      </w:r>
    </w:p>
    <w:p w14:paraId="5B3F7461" w14:textId="77777777" w:rsidR="008028BC" w:rsidRPr="00A9330B" w:rsidRDefault="008028BC" w:rsidP="008028BC">
      <w:pPr>
        <w:rPr>
          <w:rFonts w:cs="Arial"/>
        </w:rPr>
      </w:pPr>
      <w:r w:rsidRPr="00A9330B">
        <w:rPr>
          <w:rFonts w:cs="Arial"/>
          <w:b/>
          <w:bCs/>
        </w:rPr>
        <w:t>Objectifs spécifiques :</w:t>
      </w:r>
    </w:p>
    <w:p w14:paraId="2C6096AA" w14:textId="77777777" w:rsidR="008028BC" w:rsidRPr="00A9330B" w:rsidRDefault="008028BC" w:rsidP="00BD2F72">
      <w:pPr>
        <w:pStyle w:val="Paragraphedeliste"/>
        <w:numPr>
          <w:ilvl w:val="0"/>
          <w:numId w:val="98"/>
        </w:numPr>
        <w:spacing w:line="240" w:lineRule="auto"/>
        <w:jc w:val="both"/>
        <w:rPr>
          <w:rFonts w:cs="Arial"/>
          <w:lang w:val="fr-FR"/>
        </w:rPr>
      </w:pPr>
      <w:r w:rsidRPr="00A9330B">
        <w:rPr>
          <w:rFonts w:cs="Arial"/>
          <w:lang w:val="fr-FR"/>
        </w:rPr>
        <w:t>réaliser les ouvrages primaires de drainage et d’assainissement dans les villes concernées ;</w:t>
      </w:r>
    </w:p>
    <w:p w14:paraId="1080C10A" w14:textId="77777777" w:rsidR="008028BC" w:rsidRPr="00A9330B" w:rsidRDefault="008028BC" w:rsidP="00BD2F72">
      <w:pPr>
        <w:pStyle w:val="Paragraphedeliste"/>
        <w:numPr>
          <w:ilvl w:val="0"/>
          <w:numId w:val="98"/>
        </w:numPr>
        <w:spacing w:line="240" w:lineRule="auto"/>
        <w:jc w:val="both"/>
        <w:rPr>
          <w:rFonts w:cs="Arial"/>
          <w:lang w:val="fr-FR"/>
        </w:rPr>
      </w:pPr>
      <w:r w:rsidRPr="00A9330B">
        <w:rPr>
          <w:rFonts w:cs="Arial"/>
          <w:lang w:val="fr-FR"/>
        </w:rPr>
        <w:t>réduire la vulnérabilité aux inondations des villes bénéficiaires;</w:t>
      </w:r>
    </w:p>
    <w:p w14:paraId="367A68D6" w14:textId="77777777" w:rsidR="008028BC" w:rsidRPr="00A9330B" w:rsidRDefault="008028BC" w:rsidP="00BD2F72">
      <w:pPr>
        <w:pStyle w:val="Paragraphedeliste"/>
        <w:numPr>
          <w:ilvl w:val="0"/>
          <w:numId w:val="98"/>
        </w:numPr>
        <w:spacing w:line="240" w:lineRule="auto"/>
        <w:jc w:val="both"/>
        <w:rPr>
          <w:rFonts w:cs="Arial"/>
          <w:lang w:val="fr-FR"/>
        </w:rPr>
      </w:pPr>
      <w:r w:rsidRPr="00A9330B">
        <w:rPr>
          <w:rFonts w:cs="Arial"/>
          <w:lang w:val="fr-FR"/>
        </w:rPr>
        <w:lastRenderedPageBreak/>
        <w:t>améliorer substantiellement l’environnement urbain, la situation d’hygiène et d’assainissement de ces villes ;</w:t>
      </w:r>
    </w:p>
    <w:p w14:paraId="1114A92B" w14:textId="77777777" w:rsidR="008028BC" w:rsidRPr="00A9330B" w:rsidRDefault="008028BC" w:rsidP="00BD2F72">
      <w:pPr>
        <w:pStyle w:val="Paragraphedeliste"/>
        <w:numPr>
          <w:ilvl w:val="0"/>
          <w:numId w:val="98"/>
        </w:numPr>
        <w:spacing w:line="240" w:lineRule="auto"/>
        <w:jc w:val="both"/>
        <w:rPr>
          <w:rFonts w:cs="Arial"/>
          <w:lang w:val="fr-FR"/>
        </w:rPr>
      </w:pPr>
      <w:r w:rsidRPr="00A9330B">
        <w:rPr>
          <w:rFonts w:cs="Arial"/>
          <w:lang w:val="fr-FR"/>
        </w:rPr>
        <w:t>réduire les niveaux de pollution et d’insalubrité dans ces villes ;</w:t>
      </w:r>
    </w:p>
    <w:p w14:paraId="60AA9EC6" w14:textId="77777777" w:rsidR="008028BC" w:rsidRPr="00A9330B" w:rsidRDefault="008028BC" w:rsidP="00BD2F72">
      <w:pPr>
        <w:pStyle w:val="Paragraphedeliste"/>
        <w:numPr>
          <w:ilvl w:val="0"/>
          <w:numId w:val="98"/>
        </w:numPr>
        <w:spacing w:line="240" w:lineRule="auto"/>
        <w:jc w:val="both"/>
        <w:rPr>
          <w:rFonts w:cs="Arial"/>
          <w:lang w:val="fr-FR"/>
        </w:rPr>
      </w:pPr>
      <w:r w:rsidRPr="00A9330B">
        <w:rPr>
          <w:rFonts w:cs="Arial"/>
          <w:lang w:val="fr-FR"/>
        </w:rPr>
        <w:t xml:space="preserve">améliorer la mobilité urbaine </w:t>
      </w:r>
    </w:p>
    <w:p w14:paraId="0C9A0F10" w14:textId="77777777" w:rsidR="008028BC" w:rsidRPr="00A9330B" w:rsidRDefault="008028BC" w:rsidP="00BD2F72">
      <w:pPr>
        <w:pStyle w:val="Paragraphedeliste"/>
        <w:numPr>
          <w:ilvl w:val="0"/>
          <w:numId w:val="98"/>
        </w:numPr>
        <w:jc w:val="both"/>
        <w:rPr>
          <w:rFonts w:cs="Arial"/>
          <w:lang w:val="fr-FR"/>
        </w:rPr>
      </w:pPr>
      <w:r w:rsidRPr="00A9330B">
        <w:rPr>
          <w:rFonts w:cs="Arial"/>
          <w:lang w:val="fr-FR"/>
        </w:rPr>
        <w:t>renforcer la résilience aux risques d’inondation de la ville et des communautés riveraines des réservoirs, des exutoires et des zones humides.</w:t>
      </w:r>
    </w:p>
    <w:p w14:paraId="0D409954" w14:textId="77777777" w:rsidR="008028BC" w:rsidRPr="00A9330B" w:rsidRDefault="008028BC" w:rsidP="00D94FF6">
      <w:pPr>
        <w:rPr>
          <w:rFonts w:cs="Arial"/>
        </w:rPr>
      </w:pPr>
      <w:r w:rsidRPr="00A9330B">
        <w:rPr>
          <w:rFonts w:cs="Arial"/>
        </w:rPr>
        <w:t>Le PAPVS est aussi indispensable à la mise en œuvre de la phase B du « Projet Asphaltage ».</w:t>
      </w:r>
    </w:p>
    <w:p w14:paraId="25C8FCB3" w14:textId="77777777" w:rsidR="00AD5193" w:rsidRPr="00A9330B" w:rsidRDefault="00AD5193" w:rsidP="000F7BA7">
      <w:pPr>
        <w:pStyle w:val="Titre40"/>
        <w:rPr>
          <w:lang w:eastAsia="fr-FR"/>
        </w:rPr>
      </w:pPr>
      <w:bookmarkStart w:id="57" w:name="_Toc45520722"/>
      <w:bookmarkStart w:id="58" w:name="_Toc52869533"/>
      <w:r w:rsidRPr="00A9330B">
        <w:rPr>
          <w:lang w:eastAsia="fr-FR"/>
        </w:rPr>
        <w:t>Composantes du projet</w:t>
      </w:r>
      <w:bookmarkEnd w:id="57"/>
      <w:bookmarkEnd w:id="58"/>
      <w:r w:rsidRPr="00A9330B">
        <w:rPr>
          <w:lang w:eastAsia="fr-FR"/>
        </w:rPr>
        <w:t xml:space="preserve"> </w:t>
      </w:r>
    </w:p>
    <w:p w14:paraId="2A933379" w14:textId="4215A10F" w:rsidR="00AD5193" w:rsidRPr="00A9330B" w:rsidRDefault="00AD5193" w:rsidP="000F7BA7">
      <w:pPr>
        <w:jc w:val="both"/>
        <w:rPr>
          <w:lang w:eastAsia="fr-FR"/>
        </w:rPr>
      </w:pPr>
      <w:r w:rsidRPr="00A9330B">
        <w:rPr>
          <w:rFonts w:cs="Arial"/>
        </w:rPr>
        <w:t xml:space="preserve">Ce projet vise à améliorer la mobilité urbaine à travers l’aménagement de voiries urbaines et le développement </w:t>
      </w:r>
      <w:r w:rsidR="00736197" w:rsidRPr="00A9330B">
        <w:rPr>
          <w:rFonts w:cs="Arial"/>
        </w:rPr>
        <w:t>d</w:t>
      </w:r>
      <w:r w:rsidRPr="00A9330B">
        <w:rPr>
          <w:rFonts w:cs="Arial"/>
        </w:rPr>
        <w:t>es infrastructures pour l’assainissement, la collecte et le drainage des eaux pluviales dans l</w:t>
      </w:r>
      <w:r w:rsidR="00736197" w:rsidRPr="00A9330B">
        <w:rPr>
          <w:rFonts w:cs="Arial"/>
        </w:rPr>
        <w:t>a ville de Natitingou</w:t>
      </w:r>
      <w:r w:rsidRPr="00A9330B">
        <w:rPr>
          <w:rFonts w:cs="Arial"/>
        </w:rPr>
        <w:t>. Le projet vise aussi à renforcer la résilience des villes secondaires ainsi que celle des populations urbaines aux impacts du changement climatique notamment aux risques d’inondations.</w:t>
      </w:r>
    </w:p>
    <w:p w14:paraId="6C2A77A1" w14:textId="77777777" w:rsidR="00AD5193" w:rsidRPr="00A9330B" w:rsidRDefault="00AD5193" w:rsidP="00BD2F72">
      <w:pPr>
        <w:pStyle w:val="Titre40"/>
        <w:numPr>
          <w:ilvl w:val="0"/>
          <w:numId w:val="100"/>
        </w:numPr>
      </w:pPr>
      <w:bookmarkStart w:id="59" w:name="_Toc45520723"/>
      <w:bookmarkStart w:id="60" w:name="_Toc52869534"/>
      <w:r w:rsidRPr="00A9330B">
        <w:t>Collecteurs à construire</w:t>
      </w:r>
      <w:bookmarkEnd w:id="59"/>
      <w:bookmarkEnd w:id="60"/>
      <w:r w:rsidRPr="00A9330B">
        <w:t xml:space="preserve"> </w:t>
      </w:r>
    </w:p>
    <w:p w14:paraId="343C510D" w14:textId="5A15B0CF" w:rsidR="00AD5193" w:rsidRPr="00A9330B" w:rsidRDefault="00AD5193" w:rsidP="00AD5193">
      <w:pPr>
        <w:jc w:val="both"/>
      </w:pPr>
      <w:r w:rsidRPr="00A9330B">
        <w:t>La RNIE 3 traversant la ville est parcouru</w:t>
      </w:r>
      <w:r w:rsidR="00A860F6" w:rsidRPr="00A9330B">
        <w:t>e</w:t>
      </w:r>
      <w:r w:rsidRPr="00A9330B">
        <w:t xml:space="preserve"> par plusieurs ouvrages hydrauliques qui rejettent les eaux dans la nature, créant des rigoles de très grandes dimensions. Les deux rivières sont non aménagées et charrient d’énormes quantités de déchets de tout genre obstruant le passage des eaux au niveau des dalots et buses.</w:t>
      </w:r>
    </w:p>
    <w:p w14:paraId="08FE396A" w14:textId="77777777" w:rsidR="00AD5193" w:rsidRPr="00A9330B" w:rsidRDefault="00AD5193" w:rsidP="00AD5193">
      <w:pPr>
        <w:jc w:val="both"/>
      </w:pPr>
      <w:r w:rsidRPr="00A9330B">
        <w:t xml:space="preserve">Pour les besoins de l’étude les collecteurs à aménager sont répartis suivant les formes à savoir : </w:t>
      </w:r>
    </w:p>
    <w:p w14:paraId="1BED5B3F" w14:textId="0407146F" w:rsidR="00AD5193" w:rsidRPr="00A9330B" w:rsidRDefault="00AD5193" w:rsidP="00BD2F72">
      <w:pPr>
        <w:pStyle w:val="Paragraphedeliste"/>
        <w:numPr>
          <w:ilvl w:val="0"/>
          <w:numId w:val="79"/>
        </w:numPr>
        <w:jc w:val="both"/>
        <w:rPr>
          <w:lang w:val="fr-FR"/>
        </w:rPr>
      </w:pPr>
      <w:r w:rsidRPr="00A9330B">
        <w:rPr>
          <w:lang w:val="fr-FR"/>
        </w:rPr>
        <w:t>les canaux principaux</w:t>
      </w:r>
      <w:r w:rsidR="001C6D4B" w:rsidRPr="00A9330B">
        <w:rPr>
          <w:lang w:val="fr-FR"/>
        </w:rPr>
        <w:t> ;</w:t>
      </w:r>
    </w:p>
    <w:p w14:paraId="1B969FCB" w14:textId="6C0C8B62" w:rsidR="001C6D4B" w:rsidRPr="00A9330B" w:rsidRDefault="001C6D4B" w:rsidP="00BD2F72">
      <w:pPr>
        <w:pStyle w:val="Paragraphedeliste"/>
        <w:numPr>
          <w:ilvl w:val="0"/>
          <w:numId w:val="79"/>
        </w:numPr>
        <w:jc w:val="both"/>
        <w:rPr>
          <w:lang w:val="fr-FR"/>
        </w:rPr>
      </w:pPr>
      <w:r w:rsidRPr="00A9330B">
        <w:rPr>
          <w:lang w:val="fr-FR"/>
        </w:rPr>
        <w:t xml:space="preserve">les collecteurs à ciel ouvert de forme </w:t>
      </w:r>
      <w:r w:rsidR="00D94FF6" w:rsidRPr="00A9330B">
        <w:rPr>
          <w:lang w:val="fr-FR"/>
        </w:rPr>
        <w:t>trapézoïdale</w:t>
      </w:r>
      <w:r w:rsidRPr="00A9330B">
        <w:rPr>
          <w:lang w:val="fr-FR"/>
        </w:rPr>
        <w:t xml:space="preserve"> ; </w:t>
      </w:r>
    </w:p>
    <w:p w14:paraId="4B343B02" w14:textId="77777777" w:rsidR="00AD5193" w:rsidRPr="00A9330B" w:rsidRDefault="00AD5193" w:rsidP="00BD2F72">
      <w:pPr>
        <w:pStyle w:val="Paragraphedeliste"/>
        <w:numPr>
          <w:ilvl w:val="0"/>
          <w:numId w:val="79"/>
        </w:numPr>
        <w:jc w:val="both"/>
        <w:rPr>
          <w:lang w:val="fr-FR"/>
        </w:rPr>
      </w:pPr>
      <w:r w:rsidRPr="00A9330B">
        <w:rPr>
          <w:lang w:val="fr-FR"/>
        </w:rPr>
        <w:t>les collecteurs cadre fermés au niveau de l’aménagement des voiries.</w:t>
      </w:r>
    </w:p>
    <w:p w14:paraId="3FF4E14E" w14:textId="59649A26" w:rsidR="00824618" w:rsidRPr="00A9330B" w:rsidRDefault="00824618" w:rsidP="00824618">
      <w:pPr>
        <w:jc w:val="both"/>
        <w:rPr>
          <w:b/>
        </w:rPr>
      </w:pPr>
      <w:r w:rsidRPr="00A9330B">
        <w:t xml:space="preserve">D’une manière générale le linéaire total réel des rues et collecteurs retenues dans la ville de Natitingou est d’environ </w:t>
      </w:r>
      <w:r w:rsidRPr="00A9330B">
        <w:rPr>
          <w:b/>
        </w:rPr>
        <w:t>32,497 km dont :</w:t>
      </w:r>
    </w:p>
    <w:p w14:paraId="4321381D" w14:textId="77777777" w:rsidR="00824618" w:rsidRPr="00A9330B" w:rsidRDefault="00824618" w:rsidP="00BD2F72">
      <w:pPr>
        <w:pStyle w:val="Paragraphedeliste"/>
        <w:numPr>
          <w:ilvl w:val="0"/>
          <w:numId w:val="132"/>
        </w:numPr>
        <w:jc w:val="both"/>
        <w:rPr>
          <w:lang w:val="fr-FR"/>
        </w:rPr>
      </w:pPr>
      <w:r w:rsidRPr="00A9330B">
        <w:rPr>
          <w:lang w:val="fr-FR"/>
        </w:rPr>
        <w:t xml:space="preserve">Linéaire des rues en projet : 10,929 km </w:t>
      </w:r>
    </w:p>
    <w:p w14:paraId="5FA0275C" w14:textId="77777777" w:rsidR="00824618" w:rsidRPr="00A9330B" w:rsidRDefault="00824618" w:rsidP="00BD2F72">
      <w:pPr>
        <w:pStyle w:val="Paragraphedeliste"/>
        <w:numPr>
          <w:ilvl w:val="0"/>
          <w:numId w:val="132"/>
        </w:numPr>
        <w:jc w:val="both"/>
        <w:rPr>
          <w:lang w:val="fr-FR"/>
        </w:rPr>
      </w:pPr>
      <w:r w:rsidRPr="00A9330B">
        <w:rPr>
          <w:lang w:val="fr-FR"/>
        </w:rPr>
        <w:t xml:space="preserve">Linéaire des collecteurs en projet : 21,567 km </w:t>
      </w:r>
    </w:p>
    <w:p w14:paraId="299EFAC8" w14:textId="5988B299" w:rsidR="00AD5193" w:rsidRPr="00A9330B" w:rsidRDefault="00AD5193" w:rsidP="000F7BA7">
      <w:pPr>
        <w:spacing w:after="120"/>
        <w:jc w:val="both"/>
        <w:rPr>
          <w:b/>
          <w:sz w:val="20"/>
          <w:szCs w:val="20"/>
        </w:rPr>
      </w:pPr>
      <w:r w:rsidRPr="00A9330B">
        <w:rPr>
          <w:b/>
          <w:sz w:val="20"/>
          <w:szCs w:val="20"/>
        </w:rPr>
        <w:t xml:space="preserve">Tableau I : Linéaires des Collecteurs </w:t>
      </w:r>
    </w:p>
    <w:tbl>
      <w:tblPr>
        <w:tblStyle w:val="Grilledutableau"/>
        <w:tblW w:w="3887" w:type="pct"/>
        <w:jc w:val="center"/>
        <w:tblLayout w:type="fixed"/>
        <w:tblLook w:val="04A0" w:firstRow="1" w:lastRow="0" w:firstColumn="1" w:lastColumn="0" w:noHBand="0" w:noVBand="1"/>
      </w:tblPr>
      <w:tblGrid>
        <w:gridCol w:w="2667"/>
        <w:gridCol w:w="1543"/>
        <w:gridCol w:w="1452"/>
        <w:gridCol w:w="1603"/>
      </w:tblGrid>
      <w:tr w:rsidR="001C6D4B" w:rsidRPr="00A9330B" w14:paraId="75F7EFAD" w14:textId="77777777" w:rsidTr="000F7BA7">
        <w:trPr>
          <w:trHeight w:val="20"/>
          <w:jc w:val="center"/>
        </w:trPr>
        <w:tc>
          <w:tcPr>
            <w:tcW w:w="1836" w:type="pct"/>
            <w:shd w:val="clear" w:color="auto" w:fill="00B0F0"/>
            <w:noWrap/>
          </w:tcPr>
          <w:p w14:paraId="178D41F8" w14:textId="48F4EEC3" w:rsidR="001C6D4B" w:rsidRPr="00A9330B" w:rsidRDefault="001C6D4B" w:rsidP="001C6D4B">
            <w:pPr>
              <w:spacing w:line="240" w:lineRule="auto"/>
              <w:rPr>
                <w:rFonts w:cs="Arial"/>
                <w:b/>
                <w:iCs/>
                <w:sz w:val="20"/>
                <w:szCs w:val="20"/>
              </w:rPr>
            </w:pPr>
            <w:r w:rsidRPr="00A9330B">
              <w:rPr>
                <w:rFonts w:cs="Arial"/>
                <w:b/>
                <w:sz w:val="20"/>
                <w:szCs w:val="20"/>
              </w:rPr>
              <w:t xml:space="preserve">Types de collecteurs </w:t>
            </w:r>
          </w:p>
        </w:tc>
        <w:tc>
          <w:tcPr>
            <w:tcW w:w="1062" w:type="pct"/>
            <w:shd w:val="clear" w:color="auto" w:fill="00B0F0"/>
            <w:noWrap/>
          </w:tcPr>
          <w:p w14:paraId="2128861C" w14:textId="77787F62" w:rsidR="001C6D4B" w:rsidRPr="00A9330B" w:rsidRDefault="001C6D4B" w:rsidP="001C6D4B">
            <w:pPr>
              <w:spacing w:line="240" w:lineRule="auto"/>
              <w:rPr>
                <w:rFonts w:cs="Arial"/>
                <w:b/>
                <w:iCs/>
                <w:sz w:val="20"/>
                <w:szCs w:val="20"/>
              </w:rPr>
            </w:pPr>
            <w:r w:rsidRPr="00A9330B">
              <w:rPr>
                <w:rFonts w:cs="Arial"/>
                <w:b/>
                <w:sz w:val="20"/>
                <w:szCs w:val="20"/>
              </w:rPr>
              <w:t>Quantité</w:t>
            </w:r>
          </w:p>
        </w:tc>
        <w:tc>
          <w:tcPr>
            <w:tcW w:w="999" w:type="pct"/>
            <w:shd w:val="clear" w:color="auto" w:fill="00B0F0"/>
            <w:noWrap/>
          </w:tcPr>
          <w:p w14:paraId="2AADB0CC" w14:textId="64BBDCEB" w:rsidR="001C6D4B" w:rsidRPr="00A9330B" w:rsidRDefault="001C6D4B" w:rsidP="001C6D4B">
            <w:pPr>
              <w:spacing w:line="240" w:lineRule="auto"/>
              <w:rPr>
                <w:rFonts w:cs="Arial"/>
                <w:b/>
                <w:iCs/>
                <w:sz w:val="20"/>
                <w:szCs w:val="20"/>
              </w:rPr>
            </w:pPr>
            <w:r w:rsidRPr="00A9330B">
              <w:rPr>
                <w:rFonts w:cs="Arial"/>
                <w:b/>
                <w:iCs/>
                <w:sz w:val="20"/>
                <w:szCs w:val="20"/>
              </w:rPr>
              <w:t xml:space="preserve">Forme </w:t>
            </w:r>
          </w:p>
        </w:tc>
        <w:tc>
          <w:tcPr>
            <w:tcW w:w="1103" w:type="pct"/>
            <w:shd w:val="clear" w:color="auto" w:fill="00B0F0"/>
            <w:noWrap/>
          </w:tcPr>
          <w:p w14:paraId="646446AB" w14:textId="16170934" w:rsidR="001C6D4B" w:rsidRPr="00A9330B" w:rsidRDefault="001C6D4B" w:rsidP="000F7BA7">
            <w:pPr>
              <w:spacing w:line="240" w:lineRule="auto"/>
              <w:rPr>
                <w:rFonts w:cs="Arial"/>
                <w:b/>
                <w:iCs/>
                <w:sz w:val="20"/>
                <w:szCs w:val="20"/>
              </w:rPr>
            </w:pPr>
            <w:r w:rsidRPr="00A9330B">
              <w:rPr>
                <w:rFonts w:cs="Arial"/>
                <w:b/>
                <w:sz w:val="20"/>
                <w:szCs w:val="20"/>
              </w:rPr>
              <w:t>Linéaires (km)</w:t>
            </w:r>
          </w:p>
        </w:tc>
      </w:tr>
      <w:tr w:rsidR="001C6D4B" w:rsidRPr="00A9330B" w14:paraId="0A2CA06D" w14:textId="77777777" w:rsidTr="000F7BA7">
        <w:trPr>
          <w:trHeight w:val="20"/>
          <w:jc w:val="center"/>
        </w:trPr>
        <w:tc>
          <w:tcPr>
            <w:tcW w:w="1836" w:type="pct"/>
            <w:noWrap/>
          </w:tcPr>
          <w:p w14:paraId="5AA6E72B" w14:textId="3A38342C" w:rsidR="001C6D4B" w:rsidRPr="00A9330B" w:rsidRDefault="001C6D4B" w:rsidP="000F7BA7">
            <w:pPr>
              <w:spacing w:line="240" w:lineRule="auto"/>
              <w:jc w:val="left"/>
              <w:rPr>
                <w:rFonts w:cs="Arial"/>
                <w:iCs/>
                <w:sz w:val="20"/>
                <w:szCs w:val="20"/>
              </w:rPr>
            </w:pPr>
            <w:r w:rsidRPr="00A9330B">
              <w:rPr>
                <w:rFonts w:cs="Arial"/>
                <w:iCs/>
                <w:sz w:val="20"/>
                <w:szCs w:val="20"/>
              </w:rPr>
              <w:t>CANAL A (rivière Fourigninkèrè)</w:t>
            </w:r>
          </w:p>
        </w:tc>
        <w:tc>
          <w:tcPr>
            <w:tcW w:w="1062" w:type="pct"/>
            <w:noWrap/>
          </w:tcPr>
          <w:p w14:paraId="4FFF49DE" w14:textId="1936505B" w:rsidR="001C6D4B" w:rsidRPr="00A9330B" w:rsidRDefault="001C6D4B" w:rsidP="001C6D4B">
            <w:pPr>
              <w:spacing w:line="240" w:lineRule="auto"/>
              <w:rPr>
                <w:rFonts w:cs="Arial"/>
                <w:iCs/>
                <w:sz w:val="20"/>
                <w:szCs w:val="20"/>
              </w:rPr>
            </w:pPr>
            <w:r w:rsidRPr="00A9330B">
              <w:rPr>
                <w:rFonts w:cs="Arial"/>
                <w:iCs/>
                <w:sz w:val="20"/>
                <w:szCs w:val="20"/>
              </w:rPr>
              <w:t>exutoire</w:t>
            </w:r>
          </w:p>
        </w:tc>
        <w:tc>
          <w:tcPr>
            <w:tcW w:w="999" w:type="pct"/>
            <w:noWrap/>
          </w:tcPr>
          <w:p w14:paraId="0FC19D0C" w14:textId="236707CD" w:rsidR="001C6D4B" w:rsidRPr="00A9330B" w:rsidRDefault="00D94FF6" w:rsidP="001C6D4B">
            <w:pPr>
              <w:spacing w:line="240" w:lineRule="auto"/>
              <w:rPr>
                <w:rFonts w:cs="Arial"/>
                <w:iCs/>
                <w:sz w:val="20"/>
                <w:szCs w:val="20"/>
              </w:rPr>
            </w:pPr>
            <w:r w:rsidRPr="00A9330B">
              <w:rPr>
                <w:rFonts w:cs="Arial"/>
                <w:iCs/>
                <w:sz w:val="20"/>
                <w:szCs w:val="20"/>
              </w:rPr>
              <w:t>trapézoïdale</w:t>
            </w:r>
          </w:p>
        </w:tc>
        <w:tc>
          <w:tcPr>
            <w:tcW w:w="1103" w:type="pct"/>
            <w:noWrap/>
          </w:tcPr>
          <w:p w14:paraId="11B28F35" w14:textId="74338485" w:rsidR="001C6D4B" w:rsidRPr="00A9330B" w:rsidRDefault="001C6D4B" w:rsidP="001C6D4B">
            <w:pPr>
              <w:spacing w:line="240" w:lineRule="auto"/>
              <w:jc w:val="right"/>
              <w:rPr>
                <w:rFonts w:cs="Arial"/>
                <w:iCs/>
                <w:sz w:val="20"/>
                <w:szCs w:val="20"/>
              </w:rPr>
            </w:pPr>
            <w:r w:rsidRPr="00A9330B">
              <w:rPr>
                <w:rFonts w:cs="Arial"/>
                <w:iCs/>
                <w:sz w:val="20"/>
                <w:szCs w:val="20"/>
              </w:rPr>
              <w:t>8650.15</w:t>
            </w:r>
          </w:p>
        </w:tc>
      </w:tr>
      <w:tr w:rsidR="001C6D4B" w:rsidRPr="00A9330B" w14:paraId="65DB9750" w14:textId="77777777" w:rsidTr="000F7BA7">
        <w:trPr>
          <w:trHeight w:val="20"/>
          <w:jc w:val="center"/>
        </w:trPr>
        <w:tc>
          <w:tcPr>
            <w:tcW w:w="1836" w:type="pct"/>
            <w:noWrap/>
            <w:hideMark/>
          </w:tcPr>
          <w:p w14:paraId="43B2ACB8" w14:textId="6E47B5A4" w:rsidR="001C6D4B" w:rsidRPr="00A9330B" w:rsidRDefault="00D94FF6" w:rsidP="000F7BA7">
            <w:pPr>
              <w:spacing w:line="240" w:lineRule="auto"/>
              <w:jc w:val="left"/>
              <w:rPr>
                <w:rFonts w:cs="Arial"/>
                <w:iCs/>
                <w:sz w:val="20"/>
                <w:szCs w:val="20"/>
              </w:rPr>
            </w:pPr>
            <w:r w:rsidRPr="00A9330B">
              <w:rPr>
                <w:rFonts w:cs="Arial"/>
                <w:iCs/>
                <w:sz w:val="20"/>
                <w:szCs w:val="20"/>
              </w:rPr>
              <w:t>CANAL B (rivière W</w:t>
            </w:r>
            <w:r w:rsidR="001C6D4B" w:rsidRPr="00A9330B">
              <w:rPr>
                <w:rFonts w:cs="Arial"/>
                <w:iCs/>
                <w:sz w:val="20"/>
                <w:szCs w:val="20"/>
              </w:rPr>
              <w:t>a</w:t>
            </w:r>
            <w:r w:rsidRPr="00A9330B">
              <w:rPr>
                <w:rFonts w:cs="Arial"/>
                <w:iCs/>
                <w:sz w:val="20"/>
                <w:szCs w:val="20"/>
              </w:rPr>
              <w:t>a</w:t>
            </w:r>
            <w:r w:rsidR="001C6D4B" w:rsidRPr="00A9330B">
              <w:rPr>
                <w:rFonts w:cs="Arial"/>
                <w:iCs/>
                <w:sz w:val="20"/>
                <w:szCs w:val="20"/>
              </w:rPr>
              <w:t>data)</w:t>
            </w:r>
          </w:p>
        </w:tc>
        <w:tc>
          <w:tcPr>
            <w:tcW w:w="1062" w:type="pct"/>
            <w:noWrap/>
            <w:hideMark/>
          </w:tcPr>
          <w:p w14:paraId="3898E5D6" w14:textId="77777777" w:rsidR="001C6D4B" w:rsidRPr="00A9330B" w:rsidRDefault="001C6D4B" w:rsidP="001C6D4B">
            <w:pPr>
              <w:spacing w:line="240" w:lineRule="auto"/>
              <w:rPr>
                <w:rFonts w:cs="Arial"/>
                <w:iCs/>
                <w:sz w:val="20"/>
                <w:szCs w:val="20"/>
              </w:rPr>
            </w:pPr>
            <w:r w:rsidRPr="00A9330B">
              <w:rPr>
                <w:rFonts w:cs="Arial"/>
                <w:iCs/>
                <w:sz w:val="20"/>
                <w:szCs w:val="20"/>
              </w:rPr>
              <w:t>exutoire</w:t>
            </w:r>
          </w:p>
        </w:tc>
        <w:tc>
          <w:tcPr>
            <w:tcW w:w="999" w:type="pct"/>
            <w:noWrap/>
            <w:hideMark/>
          </w:tcPr>
          <w:p w14:paraId="5CB61829" w14:textId="27D2B7F4" w:rsidR="001C6D4B" w:rsidRPr="00A9330B" w:rsidRDefault="00D94FF6" w:rsidP="001C6D4B">
            <w:pPr>
              <w:spacing w:line="240" w:lineRule="auto"/>
              <w:rPr>
                <w:rFonts w:cs="Arial"/>
                <w:iCs/>
                <w:sz w:val="20"/>
                <w:szCs w:val="20"/>
              </w:rPr>
            </w:pPr>
            <w:r w:rsidRPr="00A9330B">
              <w:rPr>
                <w:rFonts w:cs="Arial"/>
                <w:iCs/>
                <w:sz w:val="20"/>
                <w:szCs w:val="20"/>
              </w:rPr>
              <w:t>trapézoïdale</w:t>
            </w:r>
          </w:p>
        </w:tc>
        <w:tc>
          <w:tcPr>
            <w:tcW w:w="1103" w:type="pct"/>
            <w:noWrap/>
            <w:hideMark/>
          </w:tcPr>
          <w:p w14:paraId="50C9B96E" w14:textId="77777777" w:rsidR="001C6D4B" w:rsidRPr="00A9330B" w:rsidRDefault="001C6D4B" w:rsidP="001C6D4B">
            <w:pPr>
              <w:spacing w:line="240" w:lineRule="auto"/>
              <w:jc w:val="right"/>
              <w:rPr>
                <w:rFonts w:cs="Arial"/>
                <w:iCs/>
                <w:sz w:val="20"/>
                <w:szCs w:val="20"/>
              </w:rPr>
            </w:pPr>
            <w:r w:rsidRPr="00A9330B">
              <w:rPr>
                <w:rFonts w:cs="Arial"/>
                <w:iCs/>
                <w:sz w:val="20"/>
                <w:szCs w:val="20"/>
              </w:rPr>
              <w:t>5690.88</w:t>
            </w:r>
          </w:p>
        </w:tc>
      </w:tr>
      <w:tr w:rsidR="001C6D4B" w:rsidRPr="00A9330B" w14:paraId="34A7B7AC" w14:textId="77777777" w:rsidTr="000F7BA7">
        <w:trPr>
          <w:trHeight w:val="20"/>
          <w:jc w:val="center"/>
        </w:trPr>
        <w:tc>
          <w:tcPr>
            <w:tcW w:w="1836" w:type="pct"/>
            <w:noWrap/>
          </w:tcPr>
          <w:p w14:paraId="0EA541BF" w14:textId="6502975C" w:rsidR="001C6D4B" w:rsidRPr="00A9330B" w:rsidRDefault="001C6D4B" w:rsidP="000F7BA7">
            <w:pPr>
              <w:spacing w:line="240" w:lineRule="auto"/>
              <w:jc w:val="left"/>
              <w:rPr>
                <w:rFonts w:cs="Arial"/>
                <w:iCs/>
                <w:sz w:val="20"/>
                <w:szCs w:val="20"/>
              </w:rPr>
            </w:pPr>
            <w:r w:rsidRPr="00A9330B">
              <w:rPr>
                <w:rFonts w:cs="Arial"/>
                <w:iCs/>
                <w:sz w:val="20"/>
                <w:szCs w:val="20"/>
              </w:rPr>
              <w:t>TOTAL COLLECTEURS PRIMAIRES</w:t>
            </w:r>
          </w:p>
        </w:tc>
        <w:tc>
          <w:tcPr>
            <w:tcW w:w="1062" w:type="pct"/>
            <w:noWrap/>
          </w:tcPr>
          <w:p w14:paraId="74D7F794" w14:textId="77777777" w:rsidR="001C6D4B" w:rsidRPr="00A9330B" w:rsidRDefault="001C6D4B" w:rsidP="001C6D4B">
            <w:pPr>
              <w:spacing w:line="240" w:lineRule="auto"/>
              <w:rPr>
                <w:rFonts w:cs="Arial"/>
                <w:iCs/>
                <w:sz w:val="20"/>
                <w:szCs w:val="20"/>
              </w:rPr>
            </w:pPr>
          </w:p>
        </w:tc>
        <w:tc>
          <w:tcPr>
            <w:tcW w:w="999" w:type="pct"/>
            <w:noWrap/>
          </w:tcPr>
          <w:p w14:paraId="1C41D5A4" w14:textId="77777777" w:rsidR="001C6D4B" w:rsidRPr="00A9330B" w:rsidRDefault="001C6D4B" w:rsidP="001C6D4B">
            <w:pPr>
              <w:spacing w:line="240" w:lineRule="auto"/>
              <w:rPr>
                <w:rFonts w:cs="Arial"/>
                <w:iCs/>
                <w:sz w:val="20"/>
                <w:szCs w:val="20"/>
              </w:rPr>
            </w:pPr>
          </w:p>
        </w:tc>
        <w:tc>
          <w:tcPr>
            <w:tcW w:w="1103" w:type="pct"/>
            <w:noWrap/>
          </w:tcPr>
          <w:p w14:paraId="24ADA535" w14:textId="40025515" w:rsidR="001C6D4B" w:rsidRPr="00A9330B" w:rsidRDefault="001C6D4B" w:rsidP="001C6D4B">
            <w:pPr>
              <w:spacing w:line="240" w:lineRule="auto"/>
              <w:jc w:val="right"/>
              <w:rPr>
                <w:rFonts w:cs="Arial"/>
                <w:iCs/>
                <w:sz w:val="20"/>
                <w:szCs w:val="20"/>
              </w:rPr>
            </w:pPr>
            <w:r w:rsidRPr="00A9330B">
              <w:rPr>
                <w:rFonts w:cs="Arial"/>
                <w:iCs/>
                <w:sz w:val="20"/>
                <w:szCs w:val="20"/>
              </w:rPr>
              <w:t>14341.03</w:t>
            </w:r>
          </w:p>
        </w:tc>
      </w:tr>
      <w:tr w:rsidR="001C6D4B" w:rsidRPr="00A9330B" w14:paraId="778A495F" w14:textId="77777777" w:rsidTr="000F7BA7">
        <w:trPr>
          <w:trHeight w:val="20"/>
          <w:jc w:val="center"/>
        </w:trPr>
        <w:tc>
          <w:tcPr>
            <w:tcW w:w="1836" w:type="pct"/>
            <w:noWrap/>
          </w:tcPr>
          <w:p w14:paraId="3B46B052" w14:textId="6189059D" w:rsidR="001C6D4B" w:rsidRPr="00A9330B" w:rsidRDefault="001C6D4B" w:rsidP="000F7BA7">
            <w:pPr>
              <w:spacing w:line="240" w:lineRule="auto"/>
              <w:jc w:val="left"/>
              <w:rPr>
                <w:rFonts w:cs="Arial"/>
                <w:iCs/>
                <w:sz w:val="20"/>
                <w:szCs w:val="20"/>
              </w:rPr>
            </w:pPr>
            <w:r w:rsidRPr="00A9330B">
              <w:rPr>
                <w:rFonts w:cs="Arial"/>
                <w:iCs/>
                <w:sz w:val="20"/>
                <w:szCs w:val="20"/>
              </w:rPr>
              <w:t>TOTAL COLLECTEURS SECONDAIRES</w:t>
            </w:r>
          </w:p>
        </w:tc>
        <w:tc>
          <w:tcPr>
            <w:tcW w:w="1062" w:type="pct"/>
            <w:noWrap/>
          </w:tcPr>
          <w:p w14:paraId="21E70F0F" w14:textId="0CB699FE" w:rsidR="001C6D4B" w:rsidRPr="00A9330B" w:rsidRDefault="001C6D4B" w:rsidP="001C6D4B">
            <w:pPr>
              <w:spacing w:line="240" w:lineRule="auto"/>
              <w:rPr>
                <w:rFonts w:cs="Arial"/>
                <w:iCs/>
                <w:sz w:val="20"/>
                <w:szCs w:val="20"/>
              </w:rPr>
            </w:pPr>
            <w:r w:rsidRPr="00A9330B">
              <w:rPr>
                <w:rFonts w:cs="Arial"/>
                <w:iCs/>
                <w:sz w:val="20"/>
                <w:szCs w:val="20"/>
              </w:rPr>
              <w:t>12</w:t>
            </w:r>
          </w:p>
        </w:tc>
        <w:tc>
          <w:tcPr>
            <w:tcW w:w="999" w:type="pct"/>
            <w:noWrap/>
          </w:tcPr>
          <w:p w14:paraId="3839810D" w14:textId="7C425717" w:rsidR="001C6D4B" w:rsidRPr="00A9330B" w:rsidRDefault="00D94FF6" w:rsidP="001C6D4B">
            <w:pPr>
              <w:spacing w:line="240" w:lineRule="auto"/>
              <w:rPr>
                <w:rFonts w:cs="Arial"/>
                <w:iCs/>
                <w:sz w:val="20"/>
                <w:szCs w:val="20"/>
              </w:rPr>
            </w:pPr>
            <w:r w:rsidRPr="00A9330B">
              <w:rPr>
                <w:rFonts w:cs="Arial"/>
                <w:iCs/>
                <w:sz w:val="20"/>
                <w:szCs w:val="20"/>
              </w:rPr>
              <w:t>trapézoïdale</w:t>
            </w:r>
          </w:p>
        </w:tc>
        <w:tc>
          <w:tcPr>
            <w:tcW w:w="1103" w:type="pct"/>
            <w:noWrap/>
          </w:tcPr>
          <w:p w14:paraId="111897F5" w14:textId="2888133D" w:rsidR="001C6D4B" w:rsidRPr="00A9330B" w:rsidRDefault="001C6D4B" w:rsidP="001C6D4B">
            <w:pPr>
              <w:spacing w:line="240" w:lineRule="auto"/>
              <w:jc w:val="right"/>
              <w:rPr>
                <w:rFonts w:cs="Arial"/>
                <w:iCs/>
                <w:sz w:val="20"/>
                <w:szCs w:val="20"/>
              </w:rPr>
            </w:pPr>
            <w:r w:rsidRPr="00A9330B">
              <w:rPr>
                <w:rFonts w:cs="Arial"/>
                <w:iCs/>
                <w:sz w:val="20"/>
                <w:szCs w:val="20"/>
              </w:rPr>
              <w:t>7226.027</w:t>
            </w:r>
          </w:p>
        </w:tc>
      </w:tr>
      <w:tr w:rsidR="001C6D4B" w:rsidRPr="00A9330B" w14:paraId="35E62A95" w14:textId="77777777" w:rsidTr="000F7BA7">
        <w:trPr>
          <w:trHeight w:val="20"/>
          <w:jc w:val="center"/>
        </w:trPr>
        <w:tc>
          <w:tcPr>
            <w:tcW w:w="1836" w:type="pct"/>
            <w:noWrap/>
          </w:tcPr>
          <w:p w14:paraId="557CBC2A" w14:textId="511F0B84" w:rsidR="001C6D4B" w:rsidRPr="00A9330B" w:rsidRDefault="001C6D4B" w:rsidP="000F7BA7">
            <w:pPr>
              <w:spacing w:line="240" w:lineRule="auto"/>
              <w:jc w:val="left"/>
              <w:rPr>
                <w:rFonts w:cs="Arial"/>
                <w:iCs/>
                <w:sz w:val="20"/>
                <w:szCs w:val="20"/>
              </w:rPr>
            </w:pPr>
            <w:r w:rsidRPr="00A9330B">
              <w:rPr>
                <w:rFonts w:cs="Arial"/>
                <w:iCs/>
                <w:sz w:val="20"/>
                <w:szCs w:val="20"/>
              </w:rPr>
              <w:t>TOTAL LINEAIRE DE COLLECTEURS</w:t>
            </w:r>
          </w:p>
        </w:tc>
        <w:tc>
          <w:tcPr>
            <w:tcW w:w="1062" w:type="pct"/>
            <w:noWrap/>
          </w:tcPr>
          <w:p w14:paraId="2D4B894D" w14:textId="2F09B121" w:rsidR="001C6D4B" w:rsidRPr="00A9330B" w:rsidRDefault="001C6D4B" w:rsidP="001C6D4B">
            <w:pPr>
              <w:spacing w:line="240" w:lineRule="auto"/>
              <w:rPr>
                <w:rFonts w:cs="Arial"/>
                <w:iCs/>
                <w:sz w:val="20"/>
                <w:szCs w:val="20"/>
              </w:rPr>
            </w:pPr>
            <w:r w:rsidRPr="00A9330B">
              <w:rPr>
                <w:rFonts w:cs="Arial"/>
                <w:iCs/>
                <w:sz w:val="20"/>
                <w:szCs w:val="20"/>
              </w:rPr>
              <w:t> </w:t>
            </w:r>
          </w:p>
        </w:tc>
        <w:tc>
          <w:tcPr>
            <w:tcW w:w="999" w:type="pct"/>
            <w:noWrap/>
          </w:tcPr>
          <w:p w14:paraId="45DF13FB" w14:textId="21DD013A" w:rsidR="001C6D4B" w:rsidRPr="00A9330B" w:rsidRDefault="001C6D4B" w:rsidP="001C6D4B">
            <w:pPr>
              <w:spacing w:line="240" w:lineRule="auto"/>
              <w:rPr>
                <w:rFonts w:cs="Arial"/>
                <w:iCs/>
                <w:sz w:val="20"/>
                <w:szCs w:val="20"/>
              </w:rPr>
            </w:pPr>
            <w:r w:rsidRPr="00A9330B">
              <w:rPr>
                <w:rFonts w:cs="Arial"/>
                <w:iCs/>
                <w:sz w:val="20"/>
                <w:szCs w:val="20"/>
              </w:rPr>
              <w:t> </w:t>
            </w:r>
          </w:p>
        </w:tc>
        <w:tc>
          <w:tcPr>
            <w:tcW w:w="1103" w:type="pct"/>
            <w:noWrap/>
          </w:tcPr>
          <w:p w14:paraId="1A0E6931" w14:textId="3684D76D" w:rsidR="001C6D4B" w:rsidRPr="00A9330B" w:rsidRDefault="001C6D4B" w:rsidP="001C6D4B">
            <w:pPr>
              <w:spacing w:line="240" w:lineRule="auto"/>
              <w:jc w:val="right"/>
              <w:rPr>
                <w:rFonts w:cs="Arial"/>
                <w:iCs/>
                <w:sz w:val="20"/>
                <w:szCs w:val="20"/>
              </w:rPr>
            </w:pPr>
            <w:r w:rsidRPr="00A9330B">
              <w:rPr>
                <w:rFonts w:cs="Arial"/>
                <w:b/>
                <w:bCs/>
                <w:iCs/>
                <w:sz w:val="20"/>
                <w:szCs w:val="20"/>
              </w:rPr>
              <w:t>21567.057</w:t>
            </w:r>
          </w:p>
        </w:tc>
      </w:tr>
    </w:tbl>
    <w:p w14:paraId="64170D36" w14:textId="77777777" w:rsidR="00AD5193" w:rsidRPr="00A9330B" w:rsidRDefault="00AD5193" w:rsidP="000F7BA7">
      <w:pPr>
        <w:ind w:left="708" w:firstLine="708"/>
        <w:rPr>
          <w:b/>
          <w:i/>
          <w:sz w:val="20"/>
          <w:lang w:eastAsia="fr-FR"/>
        </w:rPr>
      </w:pPr>
      <w:r w:rsidRPr="00A9330B">
        <w:rPr>
          <w:b/>
          <w:i/>
          <w:sz w:val="20"/>
          <w:lang w:eastAsia="fr-FR"/>
        </w:rPr>
        <w:t>Source : CECO-BTP, 2020</w:t>
      </w:r>
    </w:p>
    <w:p w14:paraId="6362B23F" w14:textId="77777777" w:rsidR="00AD5193" w:rsidRPr="00A9330B" w:rsidRDefault="00AD5193" w:rsidP="00BD2F72">
      <w:pPr>
        <w:pStyle w:val="Titre40"/>
        <w:numPr>
          <w:ilvl w:val="0"/>
          <w:numId w:val="100"/>
        </w:numPr>
      </w:pPr>
      <w:bookmarkStart w:id="61" w:name="_Toc45520724"/>
      <w:bookmarkStart w:id="62" w:name="_Toc52869535"/>
      <w:r w:rsidRPr="00A9330B">
        <w:t>Voiries à aménager</w:t>
      </w:r>
      <w:bookmarkEnd w:id="61"/>
      <w:bookmarkEnd w:id="62"/>
      <w:r w:rsidRPr="00A9330B">
        <w:t xml:space="preserve"> </w:t>
      </w:r>
    </w:p>
    <w:p w14:paraId="5C5D0EB9" w14:textId="77777777" w:rsidR="00AD5193" w:rsidRPr="00A9330B" w:rsidRDefault="00AD5193" w:rsidP="00AD5193">
      <w:pPr>
        <w:jc w:val="both"/>
      </w:pPr>
      <w:r w:rsidRPr="00A9330B">
        <w:t xml:space="preserve">Le projet PAPVS intègre l’aménagement de voiries dans les villes concernées. </w:t>
      </w:r>
    </w:p>
    <w:p w14:paraId="790AC85D" w14:textId="0CC8BD9A" w:rsidR="00AD5193" w:rsidRPr="00A9330B" w:rsidRDefault="00AD5193" w:rsidP="00AD5193">
      <w:pPr>
        <w:jc w:val="both"/>
      </w:pPr>
      <w:r w:rsidRPr="00A9330B">
        <w:rPr>
          <w:rFonts w:ascii="Century Gothic" w:eastAsia="Times New Roman" w:hAnsi="Century Gothic" w:cs="Arial"/>
          <w:b/>
          <w:bCs/>
          <w:i/>
          <w:iCs/>
        </w:rPr>
        <w:t>Le linéaire total des rues sélectionnées est de 10,</w:t>
      </w:r>
      <w:r w:rsidR="005E52E2" w:rsidRPr="00A9330B">
        <w:rPr>
          <w:rFonts w:ascii="Century Gothic" w:eastAsia="Times New Roman" w:hAnsi="Century Gothic" w:cs="Arial"/>
          <w:b/>
          <w:bCs/>
          <w:i/>
          <w:iCs/>
        </w:rPr>
        <w:t xml:space="preserve">929 </w:t>
      </w:r>
      <w:r w:rsidRPr="00A9330B">
        <w:rPr>
          <w:rFonts w:ascii="Century Gothic" w:eastAsia="Times New Roman" w:hAnsi="Century Gothic" w:cs="Arial"/>
          <w:b/>
          <w:bCs/>
          <w:i/>
          <w:iCs/>
        </w:rPr>
        <w:t>km</w:t>
      </w:r>
      <w:r w:rsidRPr="00A9330B">
        <w:t xml:space="preserve"> </w:t>
      </w:r>
    </w:p>
    <w:p w14:paraId="2DB58CF9" w14:textId="7692FA5C" w:rsidR="00AD5193" w:rsidRPr="00A9330B" w:rsidRDefault="00AD5193" w:rsidP="00AD5193">
      <w:pPr>
        <w:jc w:val="both"/>
        <w:rPr>
          <w:rFonts w:ascii="Century Gothic" w:eastAsia="Times New Roman" w:hAnsi="Century Gothic" w:cs="Arial"/>
          <w:b/>
          <w:bCs/>
          <w:i/>
          <w:iCs/>
        </w:rPr>
      </w:pPr>
      <w:r w:rsidRPr="00A9330B">
        <w:t xml:space="preserve">Dans la ville de </w:t>
      </w:r>
      <w:r w:rsidR="00A860F6" w:rsidRPr="00A9330B">
        <w:t>Natitingou</w:t>
      </w:r>
      <w:r w:rsidRPr="00A9330B">
        <w:t>, les rues retenues sont choisies :</w:t>
      </w:r>
    </w:p>
    <w:p w14:paraId="28EE0998" w14:textId="77777777" w:rsidR="00AD5193" w:rsidRPr="00A9330B" w:rsidRDefault="00AD5193" w:rsidP="00AD5193">
      <w:pPr>
        <w:numPr>
          <w:ilvl w:val="0"/>
          <w:numId w:val="2"/>
        </w:numPr>
        <w:spacing w:before="0" w:after="160" w:line="259" w:lineRule="auto"/>
        <w:contextualSpacing/>
        <w:jc w:val="both"/>
        <w:rPr>
          <w:rFonts w:eastAsia="Times New Roman" w:cs="Arial"/>
          <w:color w:val="auto"/>
        </w:rPr>
      </w:pPr>
      <w:r w:rsidRPr="00A9330B">
        <w:rPr>
          <w:rFonts w:eastAsia="Times New Roman" w:cs="Arial"/>
          <w:color w:val="auto"/>
        </w:rPr>
        <w:t>Pour leur caractère structurant,</w:t>
      </w:r>
    </w:p>
    <w:p w14:paraId="4EF2DD97" w14:textId="77777777" w:rsidR="00AD5193" w:rsidRPr="00A9330B" w:rsidRDefault="00AD5193" w:rsidP="00AD5193">
      <w:pPr>
        <w:numPr>
          <w:ilvl w:val="0"/>
          <w:numId w:val="2"/>
        </w:numPr>
        <w:spacing w:before="0" w:after="160" w:line="259" w:lineRule="auto"/>
        <w:contextualSpacing/>
        <w:jc w:val="both"/>
        <w:rPr>
          <w:rFonts w:eastAsia="Times New Roman" w:cs="Arial"/>
          <w:color w:val="auto"/>
        </w:rPr>
      </w:pPr>
      <w:r w:rsidRPr="00A9330B">
        <w:rPr>
          <w:rFonts w:eastAsia="Times New Roman" w:cs="Arial"/>
          <w:color w:val="auto"/>
        </w:rPr>
        <w:lastRenderedPageBreak/>
        <w:t>Pour leur interface avec les rues du projet asphaltage,</w:t>
      </w:r>
    </w:p>
    <w:p w14:paraId="562BCDBC" w14:textId="77777777" w:rsidR="00AD5193" w:rsidRPr="00A9330B" w:rsidRDefault="00AD5193" w:rsidP="00AD5193">
      <w:pPr>
        <w:numPr>
          <w:ilvl w:val="0"/>
          <w:numId w:val="2"/>
        </w:numPr>
        <w:spacing w:before="0" w:after="160" w:line="259" w:lineRule="auto"/>
        <w:contextualSpacing/>
        <w:jc w:val="both"/>
        <w:rPr>
          <w:rFonts w:eastAsia="Times New Roman" w:cs="Arial"/>
          <w:color w:val="auto"/>
        </w:rPr>
      </w:pPr>
      <w:r w:rsidRPr="00A9330B">
        <w:rPr>
          <w:rFonts w:eastAsia="Times New Roman" w:cs="Arial"/>
          <w:color w:val="auto"/>
        </w:rPr>
        <w:t>Pour permettre l’accessibilité aux collecteurs.</w:t>
      </w:r>
    </w:p>
    <w:p w14:paraId="69808401" w14:textId="77777777" w:rsidR="00AD5193" w:rsidRPr="00A9330B" w:rsidRDefault="00AD5193" w:rsidP="00AD5193">
      <w:pPr>
        <w:jc w:val="both"/>
      </w:pPr>
      <w:r w:rsidRPr="00A9330B">
        <w:t>Compte tenu des pentes très fortes observées, toutes les rues seront bitumées.</w:t>
      </w:r>
    </w:p>
    <w:p w14:paraId="13931940" w14:textId="77777777" w:rsidR="00AD5193" w:rsidRPr="00A9330B" w:rsidRDefault="00AD5193" w:rsidP="00A9330B">
      <w:pPr>
        <w:pStyle w:val="Lgende"/>
      </w:pPr>
      <w:r w:rsidRPr="00A9330B">
        <w:t xml:space="preserve">Tableau II : Linéaires de rues </w:t>
      </w:r>
    </w:p>
    <w:tbl>
      <w:tblPr>
        <w:tblStyle w:val="Grilledutableau"/>
        <w:tblW w:w="0" w:type="auto"/>
        <w:jc w:val="center"/>
        <w:tblLook w:val="04A0" w:firstRow="1" w:lastRow="0" w:firstColumn="1" w:lastColumn="0" w:noHBand="0" w:noVBand="1"/>
      </w:tblPr>
      <w:tblGrid>
        <w:gridCol w:w="2547"/>
        <w:gridCol w:w="1983"/>
        <w:gridCol w:w="2266"/>
      </w:tblGrid>
      <w:tr w:rsidR="00AD5193" w:rsidRPr="00A9330B" w14:paraId="5090A923" w14:textId="77777777" w:rsidTr="000F7BA7">
        <w:trPr>
          <w:jc w:val="center"/>
        </w:trPr>
        <w:tc>
          <w:tcPr>
            <w:tcW w:w="2547" w:type="dxa"/>
            <w:shd w:val="clear" w:color="auto" w:fill="00B0F0"/>
          </w:tcPr>
          <w:p w14:paraId="0D3C6C78" w14:textId="77777777" w:rsidR="00AD5193" w:rsidRPr="00A9330B" w:rsidRDefault="00AD5193" w:rsidP="00AD5193">
            <w:pPr>
              <w:rPr>
                <w:rFonts w:eastAsia="Times New Roman" w:cs="Arial"/>
                <w:b/>
                <w:bCs/>
                <w:i/>
                <w:iCs/>
                <w:sz w:val="20"/>
                <w:szCs w:val="20"/>
              </w:rPr>
            </w:pPr>
            <w:r w:rsidRPr="00A9330B">
              <w:rPr>
                <w:rFonts w:cs="Arial"/>
                <w:b/>
                <w:sz w:val="20"/>
                <w:szCs w:val="20"/>
              </w:rPr>
              <w:t>Types de rues</w:t>
            </w:r>
          </w:p>
        </w:tc>
        <w:tc>
          <w:tcPr>
            <w:tcW w:w="1983" w:type="dxa"/>
            <w:shd w:val="clear" w:color="auto" w:fill="00B0F0"/>
          </w:tcPr>
          <w:p w14:paraId="6219F542" w14:textId="77777777" w:rsidR="00AD5193" w:rsidRPr="00A9330B" w:rsidRDefault="00AD5193" w:rsidP="00AD5193">
            <w:pPr>
              <w:rPr>
                <w:rFonts w:eastAsia="Times New Roman" w:cs="Arial"/>
                <w:b/>
                <w:bCs/>
                <w:i/>
                <w:iCs/>
                <w:sz w:val="20"/>
                <w:szCs w:val="20"/>
              </w:rPr>
            </w:pPr>
            <w:r w:rsidRPr="00A9330B">
              <w:rPr>
                <w:rFonts w:cs="Arial"/>
                <w:b/>
                <w:sz w:val="20"/>
                <w:szCs w:val="20"/>
              </w:rPr>
              <w:t>Quantité</w:t>
            </w:r>
          </w:p>
        </w:tc>
        <w:tc>
          <w:tcPr>
            <w:tcW w:w="2266" w:type="dxa"/>
            <w:shd w:val="clear" w:color="auto" w:fill="00B0F0"/>
          </w:tcPr>
          <w:p w14:paraId="18E2D1A0" w14:textId="5F405CD2" w:rsidR="00AD5193" w:rsidRPr="00A9330B" w:rsidRDefault="00AD5193" w:rsidP="00AD5193">
            <w:pPr>
              <w:rPr>
                <w:rFonts w:eastAsia="Times New Roman" w:cs="Arial"/>
                <w:b/>
                <w:bCs/>
                <w:i/>
                <w:iCs/>
                <w:sz w:val="20"/>
                <w:szCs w:val="20"/>
              </w:rPr>
            </w:pPr>
            <w:r w:rsidRPr="00A9330B">
              <w:rPr>
                <w:rFonts w:cs="Arial"/>
                <w:b/>
                <w:sz w:val="20"/>
                <w:szCs w:val="20"/>
              </w:rPr>
              <w:t>Linéaires (m)</w:t>
            </w:r>
          </w:p>
        </w:tc>
      </w:tr>
      <w:tr w:rsidR="00AD5193" w:rsidRPr="00A9330B" w14:paraId="2AB9B203" w14:textId="77777777" w:rsidTr="00AD5193">
        <w:trPr>
          <w:jc w:val="center"/>
        </w:trPr>
        <w:tc>
          <w:tcPr>
            <w:tcW w:w="2547" w:type="dxa"/>
          </w:tcPr>
          <w:p w14:paraId="58B57E87" w14:textId="4335D907" w:rsidR="00AD5193" w:rsidRPr="00A9330B" w:rsidRDefault="005E52E2" w:rsidP="00AD5193">
            <w:pPr>
              <w:jc w:val="both"/>
              <w:rPr>
                <w:rFonts w:eastAsia="Times New Roman" w:cs="Arial"/>
                <w:bCs/>
                <w:iCs/>
                <w:sz w:val="20"/>
                <w:szCs w:val="20"/>
              </w:rPr>
            </w:pPr>
            <w:r w:rsidRPr="00A9330B">
              <w:rPr>
                <w:rFonts w:eastAsia="Times New Roman" w:cs="Arial"/>
                <w:bCs/>
                <w:iCs/>
                <w:sz w:val="20"/>
                <w:szCs w:val="20"/>
              </w:rPr>
              <w:t xml:space="preserve">RUES SECONDAIRES </w:t>
            </w:r>
          </w:p>
        </w:tc>
        <w:tc>
          <w:tcPr>
            <w:tcW w:w="1983" w:type="dxa"/>
          </w:tcPr>
          <w:p w14:paraId="45C3E094" w14:textId="03D3BB3C" w:rsidR="00AD5193" w:rsidRPr="00A9330B" w:rsidRDefault="005E52E2" w:rsidP="00AD5193">
            <w:pPr>
              <w:rPr>
                <w:rFonts w:eastAsia="Times New Roman" w:cs="Arial"/>
                <w:bCs/>
                <w:iCs/>
                <w:sz w:val="20"/>
                <w:szCs w:val="20"/>
              </w:rPr>
            </w:pPr>
            <w:r w:rsidRPr="00A9330B">
              <w:rPr>
                <w:rFonts w:eastAsia="Times New Roman" w:cs="Arial"/>
                <w:bCs/>
                <w:iCs/>
                <w:sz w:val="20"/>
                <w:szCs w:val="20"/>
              </w:rPr>
              <w:t>03</w:t>
            </w:r>
          </w:p>
        </w:tc>
        <w:tc>
          <w:tcPr>
            <w:tcW w:w="2266" w:type="dxa"/>
          </w:tcPr>
          <w:p w14:paraId="068B57F3" w14:textId="6CC2B088" w:rsidR="00AD5193" w:rsidRPr="00A9330B" w:rsidRDefault="005E52E2" w:rsidP="00AD5193">
            <w:pPr>
              <w:rPr>
                <w:rFonts w:eastAsia="Times New Roman" w:cs="Arial"/>
                <w:bCs/>
                <w:iCs/>
                <w:sz w:val="20"/>
                <w:szCs w:val="20"/>
              </w:rPr>
            </w:pPr>
            <w:r w:rsidRPr="00A9330B">
              <w:rPr>
                <w:rFonts w:ascii="Century Gothic" w:hAnsi="Century Gothic" w:cs="Calibri"/>
                <w:bCs/>
                <w:i/>
                <w:iCs/>
                <w:sz w:val="20"/>
                <w:szCs w:val="20"/>
              </w:rPr>
              <w:t>5303.630</w:t>
            </w:r>
          </w:p>
        </w:tc>
      </w:tr>
      <w:tr w:rsidR="00AD5193" w:rsidRPr="00A9330B" w14:paraId="775E140D" w14:textId="77777777" w:rsidTr="00AD5193">
        <w:trPr>
          <w:jc w:val="center"/>
        </w:trPr>
        <w:tc>
          <w:tcPr>
            <w:tcW w:w="2547" w:type="dxa"/>
          </w:tcPr>
          <w:p w14:paraId="30EEE16D" w14:textId="03FB330B" w:rsidR="00AD5193" w:rsidRPr="00A9330B" w:rsidRDefault="005E52E2" w:rsidP="0008610C">
            <w:pPr>
              <w:jc w:val="both"/>
              <w:rPr>
                <w:rFonts w:eastAsia="Times New Roman" w:cs="Arial"/>
                <w:bCs/>
                <w:iCs/>
                <w:sz w:val="20"/>
                <w:szCs w:val="20"/>
              </w:rPr>
            </w:pPr>
            <w:r w:rsidRPr="00A9330B">
              <w:rPr>
                <w:rFonts w:eastAsia="Times New Roman" w:cs="Arial"/>
                <w:bCs/>
                <w:iCs/>
                <w:sz w:val="20"/>
                <w:szCs w:val="20"/>
              </w:rPr>
              <w:t xml:space="preserve">RUES TERTIAIRES </w:t>
            </w:r>
          </w:p>
        </w:tc>
        <w:tc>
          <w:tcPr>
            <w:tcW w:w="1983" w:type="dxa"/>
          </w:tcPr>
          <w:p w14:paraId="574ADF40" w14:textId="56E1D42F" w:rsidR="00AD5193" w:rsidRPr="00A9330B" w:rsidRDefault="005E52E2" w:rsidP="00AD5193">
            <w:pPr>
              <w:rPr>
                <w:rFonts w:eastAsia="Times New Roman" w:cs="Arial"/>
                <w:bCs/>
                <w:iCs/>
                <w:sz w:val="20"/>
                <w:szCs w:val="20"/>
              </w:rPr>
            </w:pPr>
            <w:r w:rsidRPr="00A9330B">
              <w:rPr>
                <w:rFonts w:eastAsia="Times New Roman" w:cs="Arial"/>
                <w:bCs/>
                <w:iCs/>
                <w:sz w:val="20"/>
                <w:szCs w:val="20"/>
              </w:rPr>
              <w:t>13</w:t>
            </w:r>
          </w:p>
        </w:tc>
        <w:tc>
          <w:tcPr>
            <w:tcW w:w="2266" w:type="dxa"/>
          </w:tcPr>
          <w:p w14:paraId="6E636D1E" w14:textId="3095E8D7" w:rsidR="00AD5193" w:rsidRPr="00A9330B" w:rsidRDefault="005E52E2" w:rsidP="00AD5193">
            <w:pPr>
              <w:rPr>
                <w:rFonts w:eastAsia="Times New Roman" w:cs="Arial"/>
                <w:bCs/>
                <w:iCs/>
                <w:sz w:val="20"/>
                <w:szCs w:val="20"/>
              </w:rPr>
            </w:pPr>
            <w:r w:rsidRPr="00A9330B">
              <w:rPr>
                <w:rFonts w:ascii="Century Gothic" w:hAnsi="Century Gothic" w:cs="Calibri"/>
                <w:bCs/>
                <w:i/>
                <w:iCs/>
                <w:sz w:val="20"/>
                <w:szCs w:val="20"/>
              </w:rPr>
              <w:t>5626.3</w:t>
            </w:r>
          </w:p>
        </w:tc>
      </w:tr>
      <w:tr w:rsidR="00AD5193" w:rsidRPr="00A9330B" w14:paraId="7BC09DF6" w14:textId="77777777" w:rsidTr="00AD5193">
        <w:trPr>
          <w:jc w:val="center"/>
        </w:trPr>
        <w:tc>
          <w:tcPr>
            <w:tcW w:w="2547" w:type="dxa"/>
          </w:tcPr>
          <w:p w14:paraId="6F34362C" w14:textId="02124AD0" w:rsidR="00AD5193" w:rsidRPr="00A9330B" w:rsidRDefault="005E52E2" w:rsidP="00AD5193">
            <w:pPr>
              <w:jc w:val="both"/>
              <w:rPr>
                <w:rFonts w:eastAsia="Times New Roman" w:cs="Arial"/>
                <w:b/>
                <w:bCs/>
                <w:iCs/>
                <w:sz w:val="20"/>
                <w:szCs w:val="20"/>
              </w:rPr>
            </w:pPr>
            <w:r w:rsidRPr="00A9330B">
              <w:rPr>
                <w:rFonts w:eastAsia="Times New Roman" w:cs="Arial"/>
                <w:b/>
                <w:bCs/>
                <w:iCs/>
                <w:sz w:val="20"/>
                <w:szCs w:val="20"/>
              </w:rPr>
              <w:t xml:space="preserve">TOTAL </w:t>
            </w:r>
          </w:p>
        </w:tc>
        <w:tc>
          <w:tcPr>
            <w:tcW w:w="1983" w:type="dxa"/>
          </w:tcPr>
          <w:p w14:paraId="410F3523" w14:textId="77777777" w:rsidR="00AD5193" w:rsidRPr="00A9330B" w:rsidRDefault="00AD5193" w:rsidP="00AD5193">
            <w:pPr>
              <w:rPr>
                <w:rFonts w:eastAsia="Times New Roman" w:cs="Arial"/>
                <w:b/>
                <w:bCs/>
                <w:iCs/>
                <w:sz w:val="20"/>
                <w:szCs w:val="20"/>
              </w:rPr>
            </w:pPr>
            <w:r w:rsidRPr="00A9330B">
              <w:rPr>
                <w:rFonts w:eastAsia="Times New Roman" w:cs="Arial"/>
                <w:b/>
                <w:bCs/>
                <w:iCs/>
                <w:sz w:val="20"/>
                <w:szCs w:val="20"/>
              </w:rPr>
              <w:t>16</w:t>
            </w:r>
          </w:p>
        </w:tc>
        <w:tc>
          <w:tcPr>
            <w:tcW w:w="2266" w:type="dxa"/>
          </w:tcPr>
          <w:p w14:paraId="7F7662FE" w14:textId="12CCC4B6" w:rsidR="00AD5193" w:rsidRPr="00A9330B" w:rsidRDefault="005E52E2" w:rsidP="00AD5193">
            <w:pPr>
              <w:rPr>
                <w:rFonts w:eastAsia="Times New Roman" w:cs="Arial"/>
                <w:b/>
                <w:bCs/>
                <w:iCs/>
                <w:sz w:val="20"/>
                <w:szCs w:val="20"/>
              </w:rPr>
            </w:pPr>
            <w:r w:rsidRPr="00A9330B">
              <w:rPr>
                <w:rFonts w:cs="Arial"/>
                <w:b/>
                <w:sz w:val="20"/>
                <w:szCs w:val="20"/>
              </w:rPr>
              <w:t>10929, 930</w:t>
            </w:r>
          </w:p>
        </w:tc>
      </w:tr>
    </w:tbl>
    <w:p w14:paraId="2778D197" w14:textId="77777777" w:rsidR="00AD5193" w:rsidRPr="00A9330B" w:rsidRDefault="00AD5193" w:rsidP="00AD5193">
      <w:pPr>
        <w:ind w:firstLine="708"/>
        <w:rPr>
          <w:b/>
          <w:i/>
          <w:sz w:val="20"/>
          <w:lang w:eastAsia="fr-FR"/>
        </w:rPr>
      </w:pPr>
      <w:r w:rsidRPr="00A9330B">
        <w:rPr>
          <w:b/>
          <w:i/>
          <w:sz w:val="20"/>
          <w:lang w:eastAsia="fr-FR"/>
        </w:rPr>
        <w:t>Source : CECO-BTP, 2020</w:t>
      </w:r>
    </w:p>
    <w:p w14:paraId="610D64FF" w14:textId="79851137" w:rsidR="00AD5193" w:rsidRPr="00A9330B" w:rsidRDefault="00AD5193" w:rsidP="000F7BA7">
      <w:pPr>
        <w:spacing w:line="288" w:lineRule="auto"/>
        <w:jc w:val="both"/>
      </w:pPr>
      <w:r w:rsidRPr="00A9330B">
        <w:t>Le projet vise la transformation qualitative et conséquente du réseau existant de manière à épouser le caractère de voie urbaine qui semble se dessiner de plus en plus avec la multiplication et l’émergence moyennes agglomérations et grandes agglomérations.</w:t>
      </w:r>
    </w:p>
    <w:p w14:paraId="00F25B01" w14:textId="654AAC29" w:rsidR="00FC172B" w:rsidRPr="00A9330B" w:rsidRDefault="00FC172B" w:rsidP="000F7BA7">
      <w:pPr>
        <w:spacing w:line="288" w:lineRule="auto"/>
        <w:jc w:val="both"/>
      </w:pPr>
      <w:r w:rsidRPr="00A9330B">
        <w:t>La figure A présente les ouvrages prévues dans la ville de Natitingou.</w:t>
      </w:r>
    </w:p>
    <w:p w14:paraId="04553A3E" w14:textId="77777777" w:rsidR="00FC172B" w:rsidRPr="00A9330B" w:rsidRDefault="00FC172B" w:rsidP="00A9330B">
      <w:pPr>
        <w:pStyle w:val="Lgende"/>
      </w:pPr>
      <w:r w:rsidRPr="00A9330B">
        <w:lastRenderedPageBreak/>
        <w:t>Figure A : Carte des ouvrages dans la ville de Natitingou</w:t>
      </w:r>
    </w:p>
    <w:p w14:paraId="54A80429" w14:textId="77777777" w:rsidR="00FC172B" w:rsidRPr="00A9330B" w:rsidRDefault="00FC172B" w:rsidP="00FC172B">
      <w:r w:rsidRPr="00A9330B">
        <w:rPr>
          <w:noProof/>
          <w:lang w:eastAsia="fr-FR"/>
        </w:rPr>
        <w:drawing>
          <wp:inline distT="0" distB="0" distL="0" distR="0" wp14:anchorId="4223C226" wp14:editId="70DC0B8F">
            <wp:extent cx="5621584" cy="7943850"/>
            <wp:effectExtent l="0" t="0" r="0" b="0"/>
            <wp:docPr id="28" name="Image 28" descr="C:\Users\WILFRI~1\AppData\Local\Temp\NAT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WILFRI~1\AppData\Local\Temp\NAT1.jpe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622808" cy="7945580"/>
                    </a:xfrm>
                    <a:prstGeom prst="rect">
                      <a:avLst/>
                    </a:prstGeom>
                    <a:noFill/>
                    <a:ln>
                      <a:noFill/>
                    </a:ln>
                  </pic:spPr>
                </pic:pic>
              </a:graphicData>
            </a:graphic>
          </wp:inline>
        </w:drawing>
      </w:r>
    </w:p>
    <w:p w14:paraId="7CBB8A64" w14:textId="4CB4761B" w:rsidR="00FC172B" w:rsidRPr="00A9330B" w:rsidRDefault="00FC172B" w:rsidP="00FC172B">
      <w:pPr>
        <w:spacing w:line="288" w:lineRule="auto"/>
        <w:jc w:val="both"/>
      </w:pPr>
      <w:r w:rsidRPr="00A9330B">
        <w:br w:type="page"/>
      </w:r>
    </w:p>
    <w:p w14:paraId="59E86DFE" w14:textId="54A347F8" w:rsidR="00AD5193" w:rsidRPr="00A9330B" w:rsidRDefault="00AD5193" w:rsidP="00BD2F72">
      <w:pPr>
        <w:pStyle w:val="Paragraphedeliste"/>
        <w:numPr>
          <w:ilvl w:val="0"/>
          <w:numId w:val="133"/>
        </w:numPr>
        <w:spacing w:before="240" w:after="120"/>
        <w:jc w:val="both"/>
        <w:rPr>
          <w:rFonts w:eastAsiaTheme="majorEastAsia" w:cstheme="majorBidi"/>
          <w:b/>
          <w:i/>
          <w:iCs/>
          <w:color w:val="auto"/>
          <w:sz w:val="24"/>
          <w:szCs w:val="22"/>
          <w:lang w:val="fr-FR" w:eastAsia="en-US"/>
        </w:rPr>
      </w:pPr>
      <w:r w:rsidRPr="00A9330B">
        <w:rPr>
          <w:rFonts w:eastAsiaTheme="majorEastAsia" w:cstheme="majorBidi"/>
          <w:b/>
          <w:i/>
          <w:iCs/>
          <w:color w:val="auto"/>
          <w:sz w:val="24"/>
          <w:szCs w:val="22"/>
          <w:lang w:val="fr-FR" w:eastAsia="en-US"/>
        </w:rPr>
        <w:lastRenderedPageBreak/>
        <w:t xml:space="preserve">Les activités du projet </w:t>
      </w:r>
    </w:p>
    <w:tbl>
      <w:tblPr>
        <w:tblW w:w="938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81"/>
        <w:gridCol w:w="6804"/>
      </w:tblGrid>
      <w:tr w:rsidR="00AD5193" w:rsidRPr="00A9330B" w14:paraId="51A04BBC" w14:textId="77777777" w:rsidTr="00AD5193">
        <w:trPr>
          <w:tblHeader/>
        </w:trPr>
        <w:tc>
          <w:tcPr>
            <w:tcW w:w="2581" w:type="dxa"/>
            <w:shd w:val="clear" w:color="auto" w:fill="00B0F0"/>
            <w:hideMark/>
          </w:tcPr>
          <w:p w14:paraId="44D07D91" w14:textId="77777777" w:rsidR="00AD5193" w:rsidRPr="00A9330B" w:rsidRDefault="00AD5193" w:rsidP="000F7BA7">
            <w:pPr>
              <w:spacing w:before="0" w:line="240" w:lineRule="auto"/>
              <w:rPr>
                <w:rFonts w:eastAsia="Calibri" w:cs="Arial"/>
                <w:b/>
                <w:sz w:val="20"/>
                <w:szCs w:val="20"/>
                <w:lang w:bidi="he-IL"/>
              </w:rPr>
            </w:pPr>
            <w:r w:rsidRPr="00A9330B">
              <w:rPr>
                <w:rFonts w:eastAsia="Calibri" w:cs="Arial"/>
                <w:b/>
                <w:sz w:val="20"/>
                <w:szCs w:val="20"/>
                <w:lang w:bidi="he-IL"/>
              </w:rPr>
              <w:t>Phase du Projet</w:t>
            </w:r>
          </w:p>
        </w:tc>
        <w:tc>
          <w:tcPr>
            <w:tcW w:w="6804" w:type="dxa"/>
            <w:shd w:val="clear" w:color="auto" w:fill="00B0F0"/>
            <w:hideMark/>
          </w:tcPr>
          <w:p w14:paraId="0D6E0AC8" w14:textId="77777777" w:rsidR="00AD5193" w:rsidRPr="00A9330B" w:rsidRDefault="00AD5193" w:rsidP="000F7BA7">
            <w:pPr>
              <w:spacing w:before="0" w:line="240" w:lineRule="auto"/>
              <w:rPr>
                <w:rFonts w:eastAsia="Calibri" w:cs="Arial"/>
                <w:b/>
                <w:sz w:val="20"/>
                <w:szCs w:val="20"/>
                <w:lang w:bidi="he-IL"/>
              </w:rPr>
            </w:pPr>
            <w:r w:rsidRPr="00A9330B">
              <w:rPr>
                <w:rFonts w:eastAsia="Calibri" w:cs="Arial"/>
                <w:b/>
                <w:sz w:val="20"/>
                <w:szCs w:val="20"/>
                <w:lang w:bidi="he-IL"/>
              </w:rPr>
              <w:t>Activités sources d’Impact</w:t>
            </w:r>
          </w:p>
        </w:tc>
      </w:tr>
      <w:tr w:rsidR="00AD5193" w:rsidRPr="00A9330B" w14:paraId="3FF0B8A1" w14:textId="77777777" w:rsidTr="00AD5193">
        <w:tc>
          <w:tcPr>
            <w:tcW w:w="2581" w:type="dxa"/>
            <w:vAlign w:val="center"/>
            <w:hideMark/>
          </w:tcPr>
          <w:p w14:paraId="0D86442A" w14:textId="77777777" w:rsidR="00AD5193" w:rsidRPr="00A9330B" w:rsidRDefault="00AD5193" w:rsidP="000F7BA7">
            <w:pPr>
              <w:spacing w:before="0" w:line="240" w:lineRule="auto"/>
              <w:jc w:val="center"/>
              <w:rPr>
                <w:rFonts w:eastAsia="Calibri" w:cs="Arial"/>
                <w:b/>
                <w:sz w:val="20"/>
                <w:szCs w:val="20"/>
                <w:lang w:bidi="he-IL"/>
              </w:rPr>
            </w:pPr>
            <w:r w:rsidRPr="00A9330B">
              <w:rPr>
                <w:rFonts w:eastAsia="Calibri" w:cs="Arial"/>
                <w:b/>
                <w:sz w:val="20"/>
                <w:szCs w:val="20"/>
                <w:lang w:bidi="he-IL"/>
              </w:rPr>
              <w:t>Phase de préparation</w:t>
            </w:r>
          </w:p>
        </w:tc>
        <w:tc>
          <w:tcPr>
            <w:tcW w:w="6804" w:type="dxa"/>
            <w:hideMark/>
          </w:tcPr>
          <w:p w14:paraId="72F1C311" w14:textId="77777777" w:rsidR="00AD5193" w:rsidRPr="00A9330B" w:rsidRDefault="00AD5193" w:rsidP="000F7BA7">
            <w:pPr>
              <w:widowControl w:val="0"/>
              <w:autoSpaceDE w:val="0"/>
              <w:autoSpaceDN w:val="0"/>
              <w:adjustRightInd w:val="0"/>
              <w:spacing w:before="0" w:line="240" w:lineRule="auto"/>
              <w:rPr>
                <w:rFonts w:cs="Arial"/>
                <w:spacing w:val="-1"/>
                <w:sz w:val="20"/>
                <w:szCs w:val="20"/>
              </w:rPr>
            </w:pPr>
            <w:r w:rsidRPr="00A9330B">
              <w:rPr>
                <w:rFonts w:cs="Arial"/>
                <w:spacing w:val="-1"/>
                <w:sz w:val="20"/>
                <w:szCs w:val="20"/>
              </w:rPr>
              <w:t xml:space="preserve">Etudes techniques </w:t>
            </w:r>
          </w:p>
          <w:p w14:paraId="3FD54BC7" w14:textId="77777777" w:rsidR="00AD5193" w:rsidRPr="00A9330B" w:rsidRDefault="00AD5193" w:rsidP="000F7BA7">
            <w:pPr>
              <w:widowControl w:val="0"/>
              <w:autoSpaceDE w:val="0"/>
              <w:autoSpaceDN w:val="0"/>
              <w:adjustRightInd w:val="0"/>
              <w:spacing w:before="0" w:line="240" w:lineRule="auto"/>
              <w:rPr>
                <w:rFonts w:cs="Arial"/>
                <w:spacing w:val="-1"/>
                <w:sz w:val="20"/>
                <w:szCs w:val="20"/>
              </w:rPr>
            </w:pPr>
            <w:r w:rsidRPr="00A9330B">
              <w:rPr>
                <w:rFonts w:cs="Arial"/>
                <w:spacing w:val="-1"/>
                <w:sz w:val="20"/>
                <w:szCs w:val="20"/>
              </w:rPr>
              <w:t>Information des populations et groupe cibles concernés sur les enjeux du projet</w:t>
            </w:r>
          </w:p>
          <w:p w14:paraId="74C8DAA5" w14:textId="77777777" w:rsidR="00AD5193" w:rsidRPr="00A9330B" w:rsidRDefault="00AD5193" w:rsidP="000F7BA7">
            <w:pPr>
              <w:widowControl w:val="0"/>
              <w:autoSpaceDE w:val="0"/>
              <w:autoSpaceDN w:val="0"/>
              <w:adjustRightInd w:val="0"/>
              <w:spacing w:before="0" w:line="240" w:lineRule="auto"/>
              <w:rPr>
                <w:rFonts w:cs="Arial"/>
                <w:spacing w:val="-1"/>
                <w:sz w:val="20"/>
                <w:szCs w:val="20"/>
              </w:rPr>
            </w:pPr>
            <w:r w:rsidRPr="00A9330B">
              <w:rPr>
                <w:rFonts w:cs="Arial"/>
                <w:spacing w:val="-1"/>
                <w:sz w:val="20"/>
                <w:szCs w:val="20"/>
              </w:rPr>
              <w:t xml:space="preserve">Etude d’Impact Environnemental et Social </w:t>
            </w:r>
          </w:p>
          <w:p w14:paraId="5878E579" w14:textId="77777777" w:rsidR="00AD5193" w:rsidRPr="00A9330B" w:rsidRDefault="00AD5193" w:rsidP="000F7BA7">
            <w:pPr>
              <w:widowControl w:val="0"/>
              <w:autoSpaceDE w:val="0"/>
              <w:autoSpaceDN w:val="0"/>
              <w:adjustRightInd w:val="0"/>
              <w:spacing w:before="0" w:line="240" w:lineRule="auto"/>
              <w:rPr>
                <w:rFonts w:cs="Arial"/>
                <w:spacing w:val="-1"/>
                <w:sz w:val="20"/>
                <w:szCs w:val="20"/>
              </w:rPr>
            </w:pPr>
            <w:r w:rsidRPr="00A9330B">
              <w:rPr>
                <w:rFonts w:cs="Arial"/>
                <w:spacing w:val="-1"/>
                <w:sz w:val="20"/>
                <w:szCs w:val="20"/>
              </w:rPr>
              <w:t xml:space="preserve">Élaboration du PAR pour les populations dans les emprises des collecteurs, rues et exutoires </w:t>
            </w:r>
          </w:p>
          <w:p w14:paraId="310844C6" w14:textId="77777777" w:rsidR="00AD5193" w:rsidRPr="00A9330B" w:rsidRDefault="00AD5193" w:rsidP="000F7BA7">
            <w:pPr>
              <w:spacing w:before="0" w:line="240" w:lineRule="auto"/>
              <w:rPr>
                <w:rFonts w:cs="Arial"/>
                <w:sz w:val="20"/>
                <w:szCs w:val="20"/>
              </w:rPr>
            </w:pPr>
            <w:r w:rsidRPr="00A9330B">
              <w:rPr>
                <w:rFonts w:cs="Arial"/>
                <w:sz w:val="20"/>
                <w:szCs w:val="20"/>
              </w:rPr>
              <w:t>I</w:t>
            </w:r>
            <w:r w:rsidRPr="00A9330B">
              <w:rPr>
                <w:rFonts w:cs="Arial"/>
                <w:spacing w:val="-1"/>
                <w:sz w:val="20"/>
                <w:szCs w:val="20"/>
              </w:rPr>
              <w:t>ns</w:t>
            </w:r>
            <w:r w:rsidRPr="00A9330B">
              <w:rPr>
                <w:rFonts w:cs="Arial"/>
                <w:sz w:val="20"/>
                <w:szCs w:val="20"/>
              </w:rPr>
              <w:t>ta</w:t>
            </w:r>
            <w:r w:rsidRPr="00A9330B">
              <w:rPr>
                <w:rFonts w:cs="Arial"/>
                <w:spacing w:val="-1"/>
                <w:sz w:val="20"/>
                <w:szCs w:val="20"/>
              </w:rPr>
              <w:t>l</w:t>
            </w:r>
            <w:r w:rsidRPr="00A9330B">
              <w:rPr>
                <w:rFonts w:cs="Arial"/>
                <w:sz w:val="20"/>
                <w:szCs w:val="20"/>
              </w:rPr>
              <w:t>lat</w:t>
            </w:r>
            <w:r w:rsidRPr="00A9330B">
              <w:rPr>
                <w:rFonts w:cs="Arial"/>
                <w:spacing w:val="-1"/>
                <w:sz w:val="20"/>
                <w:szCs w:val="20"/>
              </w:rPr>
              <w:t>i</w:t>
            </w:r>
            <w:r w:rsidRPr="00A9330B">
              <w:rPr>
                <w:rFonts w:cs="Arial"/>
                <w:spacing w:val="1"/>
                <w:sz w:val="20"/>
                <w:szCs w:val="20"/>
              </w:rPr>
              <w:t>o</w:t>
            </w:r>
            <w:r w:rsidRPr="00A9330B">
              <w:rPr>
                <w:rFonts w:cs="Arial"/>
                <w:sz w:val="20"/>
                <w:szCs w:val="20"/>
              </w:rPr>
              <w:t>n</w:t>
            </w:r>
            <w:r w:rsidRPr="00A9330B">
              <w:rPr>
                <w:rFonts w:cs="Arial"/>
                <w:spacing w:val="1"/>
                <w:sz w:val="20"/>
                <w:szCs w:val="20"/>
              </w:rPr>
              <w:t xml:space="preserve"> </w:t>
            </w:r>
            <w:r w:rsidRPr="00A9330B">
              <w:rPr>
                <w:rFonts w:cs="Arial"/>
                <w:spacing w:val="-1"/>
                <w:sz w:val="20"/>
                <w:szCs w:val="20"/>
              </w:rPr>
              <w:t>d</w:t>
            </w:r>
            <w:r w:rsidRPr="00A9330B">
              <w:rPr>
                <w:rFonts w:cs="Arial"/>
                <w:sz w:val="20"/>
                <w:szCs w:val="20"/>
              </w:rPr>
              <w:t>e</w:t>
            </w:r>
            <w:r w:rsidRPr="00A9330B">
              <w:rPr>
                <w:rFonts w:cs="Arial"/>
                <w:spacing w:val="-1"/>
                <w:sz w:val="20"/>
                <w:szCs w:val="20"/>
              </w:rPr>
              <w:t xml:space="preserve"> </w:t>
            </w:r>
            <w:r w:rsidRPr="00A9330B">
              <w:rPr>
                <w:rFonts w:cs="Arial"/>
                <w:spacing w:val="1"/>
                <w:sz w:val="20"/>
                <w:szCs w:val="20"/>
              </w:rPr>
              <w:t>c</w:t>
            </w:r>
            <w:r w:rsidRPr="00A9330B">
              <w:rPr>
                <w:rFonts w:cs="Arial"/>
                <w:spacing w:val="-1"/>
                <w:sz w:val="20"/>
                <w:szCs w:val="20"/>
              </w:rPr>
              <w:t>h</w:t>
            </w:r>
            <w:r w:rsidRPr="00A9330B">
              <w:rPr>
                <w:rFonts w:cs="Arial"/>
                <w:sz w:val="20"/>
                <w:szCs w:val="20"/>
              </w:rPr>
              <w:t>a</w:t>
            </w:r>
            <w:r w:rsidRPr="00A9330B">
              <w:rPr>
                <w:rFonts w:cs="Arial"/>
                <w:spacing w:val="1"/>
                <w:sz w:val="20"/>
                <w:szCs w:val="20"/>
              </w:rPr>
              <w:t>n</w:t>
            </w:r>
            <w:r w:rsidRPr="00A9330B">
              <w:rPr>
                <w:rFonts w:cs="Arial"/>
                <w:sz w:val="20"/>
                <w:szCs w:val="20"/>
              </w:rPr>
              <w:t>t</w:t>
            </w:r>
            <w:r w:rsidRPr="00A9330B">
              <w:rPr>
                <w:rFonts w:cs="Arial"/>
                <w:spacing w:val="-1"/>
                <w:sz w:val="20"/>
                <w:szCs w:val="20"/>
              </w:rPr>
              <w:t>ie</w:t>
            </w:r>
            <w:r w:rsidRPr="00A9330B">
              <w:rPr>
                <w:rFonts w:cs="Arial"/>
                <w:sz w:val="20"/>
                <w:szCs w:val="20"/>
              </w:rPr>
              <w:t>r/signalisation de l’entreprise</w:t>
            </w:r>
          </w:p>
          <w:p w14:paraId="25433666" w14:textId="77777777" w:rsidR="00AD5193" w:rsidRPr="00A9330B" w:rsidRDefault="00AD5193" w:rsidP="000F7BA7">
            <w:pPr>
              <w:spacing w:before="0" w:line="240" w:lineRule="auto"/>
              <w:rPr>
                <w:rFonts w:cs="Arial"/>
                <w:sz w:val="20"/>
                <w:szCs w:val="20"/>
              </w:rPr>
            </w:pPr>
            <w:r w:rsidRPr="00A9330B">
              <w:rPr>
                <w:rFonts w:cs="Arial"/>
                <w:sz w:val="20"/>
                <w:szCs w:val="20"/>
              </w:rPr>
              <w:t xml:space="preserve">Installation des bases vie </w:t>
            </w:r>
          </w:p>
          <w:p w14:paraId="1E8AB20F" w14:textId="77777777" w:rsidR="00AD5193" w:rsidRPr="00A9330B" w:rsidRDefault="00AD5193" w:rsidP="000F7BA7">
            <w:pPr>
              <w:spacing w:before="0" w:line="240" w:lineRule="auto"/>
              <w:rPr>
                <w:rFonts w:cs="Arial"/>
                <w:sz w:val="20"/>
                <w:szCs w:val="20"/>
              </w:rPr>
            </w:pPr>
            <w:r w:rsidRPr="00A9330B">
              <w:rPr>
                <w:rFonts w:cs="Arial"/>
                <w:sz w:val="20"/>
                <w:szCs w:val="20"/>
              </w:rPr>
              <w:t>Déplacement de réseaux</w:t>
            </w:r>
          </w:p>
          <w:p w14:paraId="49DDBC78" w14:textId="77777777" w:rsidR="00AD5193" w:rsidRPr="00A9330B" w:rsidRDefault="00AD5193" w:rsidP="000F7BA7">
            <w:pPr>
              <w:widowControl w:val="0"/>
              <w:autoSpaceDE w:val="0"/>
              <w:autoSpaceDN w:val="0"/>
              <w:adjustRightInd w:val="0"/>
              <w:spacing w:before="0" w:line="240" w:lineRule="auto"/>
              <w:rPr>
                <w:rFonts w:cs="Arial"/>
                <w:spacing w:val="1"/>
                <w:sz w:val="20"/>
                <w:szCs w:val="20"/>
              </w:rPr>
            </w:pPr>
            <w:r w:rsidRPr="00A9330B">
              <w:rPr>
                <w:rFonts w:cs="Arial"/>
                <w:spacing w:val="1"/>
                <w:sz w:val="20"/>
                <w:szCs w:val="20"/>
              </w:rPr>
              <w:t>Dédommagement des populations déplacées</w:t>
            </w:r>
          </w:p>
          <w:p w14:paraId="5A942B52" w14:textId="77777777" w:rsidR="00AD5193" w:rsidRPr="00A9330B" w:rsidRDefault="00AD5193" w:rsidP="000F7BA7">
            <w:pPr>
              <w:spacing w:before="0" w:line="240" w:lineRule="auto"/>
              <w:rPr>
                <w:rFonts w:cs="Arial"/>
                <w:sz w:val="20"/>
                <w:szCs w:val="20"/>
              </w:rPr>
            </w:pPr>
            <w:r w:rsidRPr="00A9330B">
              <w:rPr>
                <w:rFonts w:cs="Arial"/>
                <w:sz w:val="20"/>
                <w:szCs w:val="20"/>
              </w:rPr>
              <w:t xml:space="preserve">Libération des emprises </w:t>
            </w:r>
          </w:p>
          <w:p w14:paraId="014EDFEE" w14:textId="77777777" w:rsidR="00AD5193" w:rsidRPr="00A9330B" w:rsidRDefault="00AD5193" w:rsidP="000F7BA7">
            <w:pPr>
              <w:widowControl w:val="0"/>
              <w:tabs>
                <w:tab w:val="left" w:pos="426"/>
                <w:tab w:val="left" w:pos="851"/>
                <w:tab w:val="left" w:pos="1134"/>
              </w:tabs>
              <w:overflowPunct w:val="0"/>
              <w:autoSpaceDE w:val="0"/>
              <w:autoSpaceDN w:val="0"/>
              <w:adjustRightInd w:val="0"/>
              <w:spacing w:before="0" w:line="240" w:lineRule="auto"/>
              <w:textAlignment w:val="baseline"/>
              <w:rPr>
                <w:rFonts w:cs="Arial"/>
                <w:sz w:val="20"/>
                <w:szCs w:val="20"/>
              </w:rPr>
            </w:pPr>
            <w:r w:rsidRPr="00A9330B">
              <w:rPr>
                <w:rFonts w:cs="Arial"/>
                <w:sz w:val="20"/>
                <w:szCs w:val="20"/>
              </w:rPr>
              <w:t xml:space="preserve">Aménagement des déviations </w:t>
            </w:r>
          </w:p>
          <w:p w14:paraId="49F15998" w14:textId="77777777" w:rsidR="00AD5193" w:rsidRPr="00A9330B" w:rsidRDefault="00AD5193" w:rsidP="000F7BA7">
            <w:pPr>
              <w:widowControl w:val="0"/>
              <w:autoSpaceDE w:val="0"/>
              <w:autoSpaceDN w:val="0"/>
              <w:adjustRightInd w:val="0"/>
              <w:spacing w:before="0" w:line="240" w:lineRule="auto"/>
              <w:rPr>
                <w:rFonts w:cs="Arial"/>
                <w:sz w:val="20"/>
                <w:szCs w:val="20"/>
              </w:rPr>
            </w:pPr>
            <w:r w:rsidRPr="00A9330B">
              <w:rPr>
                <w:rFonts w:cs="Arial"/>
                <w:spacing w:val="-1"/>
                <w:sz w:val="20"/>
                <w:szCs w:val="20"/>
              </w:rPr>
              <w:t>Ges</w:t>
            </w:r>
            <w:r w:rsidRPr="00A9330B">
              <w:rPr>
                <w:rFonts w:cs="Arial"/>
                <w:sz w:val="20"/>
                <w:szCs w:val="20"/>
              </w:rPr>
              <w:t>t</w:t>
            </w:r>
            <w:r w:rsidRPr="00A9330B">
              <w:rPr>
                <w:rFonts w:cs="Arial"/>
                <w:spacing w:val="-1"/>
                <w:sz w:val="20"/>
                <w:szCs w:val="20"/>
              </w:rPr>
              <w:t>i</w:t>
            </w:r>
            <w:r w:rsidRPr="00A9330B">
              <w:rPr>
                <w:rFonts w:cs="Arial"/>
                <w:spacing w:val="1"/>
                <w:sz w:val="20"/>
                <w:szCs w:val="20"/>
              </w:rPr>
              <w:t>o</w:t>
            </w:r>
            <w:r w:rsidRPr="00A9330B">
              <w:rPr>
                <w:rFonts w:cs="Arial"/>
                <w:sz w:val="20"/>
                <w:szCs w:val="20"/>
              </w:rPr>
              <w:t>n</w:t>
            </w:r>
            <w:r w:rsidRPr="00A9330B">
              <w:rPr>
                <w:rFonts w:cs="Arial"/>
                <w:spacing w:val="1"/>
                <w:sz w:val="20"/>
                <w:szCs w:val="20"/>
              </w:rPr>
              <w:t xml:space="preserve"> </w:t>
            </w:r>
            <w:r w:rsidRPr="00A9330B">
              <w:rPr>
                <w:rFonts w:cs="Arial"/>
                <w:spacing w:val="-1"/>
                <w:sz w:val="20"/>
                <w:szCs w:val="20"/>
              </w:rPr>
              <w:t>de la base vie de</w:t>
            </w:r>
            <w:r w:rsidRPr="00A9330B">
              <w:rPr>
                <w:rFonts w:cs="Arial"/>
                <w:sz w:val="20"/>
                <w:szCs w:val="20"/>
              </w:rPr>
              <w:t xml:space="preserve"> </w:t>
            </w:r>
            <w:r w:rsidRPr="00A9330B">
              <w:rPr>
                <w:rFonts w:cs="Arial"/>
                <w:spacing w:val="-1"/>
                <w:sz w:val="20"/>
                <w:szCs w:val="20"/>
              </w:rPr>
              <w:t>l</w:t>
            </w:r>
            <w:r w:rsidRPr="00A9330B">
              <w:rPr>
                <w:rFonts w:cs="Arial"/>
                <w:sz w:val="20"/>
                <w:szCs w:val="20"/>
              </w:rPr>
              <w:t>’</w:t>
            </w:r>
            <w:r w:rsidRPr="00A9330B">
              <w:rPr>
                <w:rFonts w:cs="Arial"/>
                <w:spacing w:val="-1"/>
                <w:sz w:val="20"/>
                <w:szCs w:val="20"/>
              </w:rPr>
              <w:t>en</w:t>
            </w:r>
            <w:r w:rsidRPr="00A9330B">
              <w:rPr>
                <w:rFonts w:cs="Arial"/>
                <w:sz w:val="20"/>
                <w:szCs w:val="20"/>
              </w:rPr>
              <w:t>t</w:t>
            </w:r>
            <w:r w:rsidRPr="00A9330B">
              <w:rPr>
                <w:rFonts w:cs="Arial"/>
                <w:spacing w:val="-1"/>
                <w:sz w:val="20"/>
                <w:szCs w:val="20"/>
              </w:rPr>
              <w:t>r</w:t>
            </w:r>
            <w:r w:rsidRPr="00A9330B">
              <w:rPr>
                <w:rFonts w:cs="Arial"/>
                <w:spacing w:val="1"/>
                <w:sz w:val="20"/>
                <w:szCs w:val="20"/>
              </w:rPr>
              <w:t>e</w:t>
            </w:r>
            <w:r w:rsidRPr="00A9330B">
              <w:rPr>
                <w:rFonts w:cs="Arial"/>
                <w:spacing w:val="-1"/>
                <w:sz w:val="20"/>
                <w:szCs w:val="20"/>
              </w:rPr>
              <w:t>p</w:t>
            </w:r>
            <w:r w:rsidRPr="00A9330B">
              <w:rPr>
                <w:rFonts w:cs="Arial"/>
                <w:sz w:val="20"/>
                <w:szCs w:val="20"/>
              </w:rPr>
              <w:t>r</w:t>
            </w:r>
            <w:r w:rsidRPr="00A9330B">
              <w:rPr>
                <w:rFonts w:cs="Arial"/>
                <w:spacing w:val="-1"/>
                <w:sz w:val="20"/>
                <w:szCs w:val="20"/>
              </w:rPr>
              <w:t>i</w:t>
            </w:r>
            <w:r w:rsidRPr="00A9330B">
              <w:rPr>
                <w:rFonts w:cs="Arial"/>
                <w:spacing w:val="1"/>
                <w:sz w:val="20"/>
                <w:szCs w:val="20"/>
              </w:rPr>
              <w:t>s</w:t>
            </w:r>
            <w:r w:rsidRPr="00A9330B">
              <w:rPr>
                <w:rFonts w:cs="Arial"/>
                <w:sz w:val="20"/>
                <w:szCs w:val="20"/>
              </w:rPr>
              <w:t xml:space="preserve">e </w:t>
            </w:r>
          </w:p>
          <w:p w14:paraId="4B06F589" w14:textId="77777777" w:rsidR="00AD5193" w:rsidRPr="00A9330B" w:rsidRDefault="00AD5193" w:rsidP="000F7BA7">
            <w:pPr>
              <w:widowControl w:val="0"/>
              <w:autoSpaceDE w:val="0"/>
              <w:autoSpaceDN w:val="0"/>
              <w:adjustRightInd w:val="0"/>
              <w:spacing w:before="0" w:line="240" w:lineRule="auto"/>
              <w:rPr>
                <w:rFonts w:cs="Arial"/>
                <w:spacing w:val="-1"/>
                <w:sz w:val="20"/>
                <w:szCs w:val="20"/>
              </w:rPr>
            </w:pPr>
            <w:r w:rsidRPr="00A9330B">
              <w:rPr>
                <w:rFonts w:cs="Arial"/>
                <w:spacing w:val="-1"/>
                <w:sz w:val="20"/>
                <w:szCs w:val="20"/>
              </w:rPr>
              <w:t>Gestion des déchets de chantiers (solides et liquides)</w:t>
            </w:r>
          </w:p>
          <w:p w14:paraId="65065B7D" w14:textId="77777777" w:rsidR="00AD5193" w:rsidRPr="00A9330B" w:rsidRDefault="00AD5193" w:rsidP="000F7BA7">
            <w:pPr>
              <w:widowControl w:val="0"/>
              <w:autoSpaceDE w:val="0"/>
              <w:autoSpaceDN w:val="0"/>
              <w:adjustRightInd w:val="0"/>
              <w:spacing w:before="0" w:line="240" w:lineRule="auto"/>
              <w:ind w:left="288"/>
              <w:rPr>
                <w:rFonts w:eastAsia="Calibri" w:cs="Arial"/>
                <w:sz w:val="20"/>
                <w:szCs w:val="20"/>
              </w:rPr>
            </w:pPr>
          </w:p>
        </w:tc>
      </w:tr>
      <w:tr w:rsidR="00AD5193" w:rsidRPr="00A9330B" w14:paraId="1B713D3B" w14:textId="77777777" w:rsidTr="00AD5193">
        <w:tc>
          <w:tcPr>
            <w:tcW w:w="2581" w:type="dxa"/>
            <w:vAlign w:val="center"/>
            <w:hideMark/>
          </w:tcPr>
          <w:p w14:paraId="10E7D9C0" w14:textId="77777777" w:rsidR="00AD5193" w:rsidRPr="00A9330B" w:rsidRDefault="00AD5193" w:rsidP="000F7BA7">
            <w:pPr>
              <w:spacing w:before="0" w:line="240" w:lineRule="auto"/>
              <w:jc w:val="center"/>
              <w:rPr>
                <w:rFonts w:eastAsia="Calibri" w:cs="Arial"/>
                <w:b/>
                <w:sz w:val="20"/>
                <w:szCs w:val="20"/>
                <w:lang w:bidi="he-IL"/>
              </w:rPr>
            </w:pPr>
            <w:r w:rsidRPr="00A9330B">
              <w:rPr>
                <w:rFonts w:eastAsia="Calibri" w:cs="Arial"/>
                <w:b/>
                <w:sz w:val="20"/>
                <w:szCs w:val="20"/>
                <w:lang w:bidi="he-IL"/>
              </w:rPr>
              <w:t>Phase de construction / aménagement</w:t>
            </w:r>
          </w:p>
        </w:tc>
        <w:tc>
          <w:tcPr>
            <w:tcW w:w="6804" w:type="dxa"/>
            <w:hideMark/>
          </w:tcPr>
          <w:p w14:paraId="29994563" w14:textId="77777777" w:rsidR="00AD5193" w:rsidRPr="00A9330B" w:rsidRDefault="00AD5193" w:rsidP="000F7BA7">
            <w:pPr>
              <w:widowControl w:val="0"/>
              <w:tabs>
                <w:tab w:val="left" w:pos="426"/>
                <w:tab w:val="left" w:pos="851"/>
                <w:tab w:val="left" w:pos="1134"/>
              </w:tabs>
              <w:overflowPunct w:val="0"/>
              <w:autoSpaceDE w:val="0"/>
              <w:autoSpaceDN w:val="0"/>
              <w:adjustRightInd w:val="0"/>
              <w:spacing w:before="0" w:line="240" w:lineRule="auto"/>
              <w:textAlignment w:val="baseline"/>
              <w:rPr>
                <w:rFonts w:cs="Arial"/>
                <w:sz w:val="20"/>
                <w:szCs w:val="20"/>
              </w:rPr>
            </w:pPr>
            <w:r w:rsidRPr="00A9330B">
              <w:rPr>
                <w:rFonts w:cs="Arial"/>
                <w:sz w:val="20"/>
                <w:szCs w:val="20"/>
              </w:rPr>
              <w:t xml:space="preserve">Signalisation </w:t>
            </w:r>
          </w:p>
          <w:p w14:paraId="7807A800" w14:textId="77777777" w:rsidR="00AD5193" w:rsidRPr="00A9330B" w:rsidRDefault="00AD5193" w:rsidP="000F7BA7">
            <w:pPr>
              <w:widowControl w:val="0"/>
              <w:tabs>
                <w:tab w:val="left" w:pos="426"/>
                <w:tab w:val="left" w:pos="851"/>
                <w:tab w:val="left" w:pos="1134"/>
              </w:tabs>
              <w:overflowPunct w:val="0"/>
              <w:autoSpaceDE w:val="0"/>
              <w:autoSpaceDN w:val="0"/>
              <w:adjustRightInd w:val="0"/>
              <w:spacing w:before="0" w:line="240" w:lineRule="auto"/>
              <w:textAlignment w:val="baseline"/>
              <w:rPr>
                <w:rFonts w:cs="Arial"/>
                <w:sz w:val="20"/>
                <w:szCs w:val="20"/>
              </w:rPr>
            </w:pPr>
            <w:r w:rsidRPr="00A9330B">
              <w:rPr>
                <w:rFonts w:cs="Arial"/>
                <w:sz w:val="20"/>
                <w:szCs w:val="20"/>
              </w:rPr>
              <w:t xml:space="preserve">Délimitation des emprises </w:t>
            </w:r>
          </w:p>
          <w:p w14:paraId="58C4FB50" w14:textId="77777777" w:rsidR="00AD5193" w:rsidRPr="00A9330B" w:rsidRDefault="00AD5193" w:rsidP="000F7BA7">
            <w:pPr>
              <w:widowControl w:val="0"/>
              <w:tabs>
                <w:tab w:val="left" w:pos="426"/>
                <w:tab w:val="left" w:pos="851"/>
                <w:tab w:val="left" w:pos="1134"/>
              </w:tabs>
              <w:overflowPunct w:val="0"/>
              <w:autoSpaceDE w:val="0"/>
              <w:autoSpaceDN w:val="0"/>
              <w:adjustRightInd w:val="0"/>
              <w:spacing w:before="0" w:line="240" w:lineRule="auto"/>
              <w:textAlignment w:val="baseline"/>
              <w:rPr>
                <w:rFonts w:cs="Arial"/>
                <w:sz w:val="20"/>
                <w:szCs w:val="20"/>
              </w:rPr>
            </w:pPr>
            <w:r w:rsidRPr="00A9330B">
              <w:rPr>
                <w:rFonts w:cs="Arial"/>
                <w:sz w:val="20"/>
                <w:szCs w:val="20"/>
              </w:rPr>
              <w:t xml:space="preserve">Aménagement et entretiens des déviations </w:t>
            </w:r>
          </w:p>
          <w:p w14:paraId="17EA1AE2" w14:textId="77777777" w:rsidR="00AD5193" w:rsidRPr="00A9330B" w:rsidRDefault="00AD5193" w:rsidP="000F7BA7">
            <w:pPr>
              <w:spacing w:before="0" w:line="240" w:lineRule="auto"/>
              <w:rPr>
                <w:rFonts w:cs="Arial"/>
                <w:sz w:val="20"/>
                <w:szCs w:val="20"/>
              </w:rPr>
            </w:pPr>
            <w:r w:rsidRPr="00A9330B">
              <w:rPr>
                <w:rFonts w:cs="Arial"/>
                <w:sz w:val="20"/>
                <w:szCs w:val="20"/>
              </w:rPr>
              <w:t>Déplacement de réseaux (minimes)</w:t>
            </w:r>
          </w:p>
          <w:p w14:paraId="0B161C62" w14:textId="77777777" w:rsidR="00AD5193" w:rsidRPr="00A9330B" w:rsidRDefault="00AD5193" w:rsidP="000F7BA7">
            <w:pPr>
              <w:spacing w:before="0" w:line="240" w:lineRule="auto"/>
              <w:rPr>
                <w:rFonts w:cs="Arial"/>
                <w:sz w:val="20"/>
                <w:szCs w:val="20"/>
              </w:rPr>
            </w:pPr>
            <w:r w:rsidRPr="00A9330B">
              <w:rPr>
                <w:rFonts w:cs="Arial"/>
                <w:sz w:val="20"/>
                <w:szCs w:val="20"/>
              </w:rPr>
              <w:t>Préparation des plates-formes</w:t>
            </w:r>
          </w:p>
          <w:p w14:paraId="6A4B8BA1" w14:textId="77777777" w:rsidR="00AD5193" w:rsidRPr="00A9330B" w:rsidRDefault="00AD5193" w:rsidP="000F7BA7">
            <w:pPr>
              <w:spacing w:before="0" w:line="240" w:lineRule="auto"/>
              <w:rPr>
                <w:rFonts w:cs="Arial"/>
                <w:sz w:val="20"/>
                <w:szCs w:val="20"/>
              </w:rPr>
            </w:pPr>
            <w:r w:rsidRPr="00A9330B">
              <w:rPr>
                <w:rFonts w:cs="Arial"/>
                <w:sz w:val="20"/>
                <w:szCs w:val="20"/>
              </w:rPr>
              <w:t>Préparation des assises des collecteurs</w:t>
            </w:r>
          </w:p>
          <w:p w14:paraId="6F3889E2" w14:textId="77777777" w:rsidR="00AD5193" w:rsidRPr="00A9330B" w:rsidRDefault="00AD5193" w:rsidP="000F7BA7">
            <w:pPr>
              <w:spacing w:before="0" w:line="240" w:lineRule="auto"/>
              <w:rPr>
                <w:rFonts w:cs="Arial"/>
                <w:sz w:val="20"/>
                <w:szCs w:val="20"/>
              </w:rPr>
            </w:pPr>
            <w:r w:rsidRPr="00A9330B">
              <w:rPr>
                <w:rFonts w:cs="Arial"/>
                <w:sz w:val="20"/>
                <w:szCs w:val="20"/>
              </w:rPr>
              <w:t xml:space="preserve">Terrassement </w:t>
            </w:r>
          </w:p>
          <w:p w14:paraId="670EA09B" w14:textId="77777777" w:rsidR="00AD5193" w:rsidRPr="00A9330B" w:rsidRDefault="00AD5193" w:rsidP="000F7BA7">
            <w:pPr>
              <w:spacing w:before="0" w:line="240" w:lineRule="auto"/>
              <w:rPr>
                <w:rFonts w:cs="Arial"/>
                <w:sz w:val="20"/>
                <w:szCs w:val="20"/>
              </w:rPr>
            </w:pPr>
            <w:r w:rsidRPr="00A9330B">
              <w:rPr>
                <w:rFonts w:cs="Arial"/>
                <w:sz w:val="20"/>
                <w:szCs w:val="20"/>
              </w:rPr>
              <w:t xml:space="preserve">Dépose des pavés </w:t>
            </w:r>
          </w:p>
          <w:p w14:paraId="37343DBD" w14:textId="77777777" w:rsidR="00AD5193" w:rsidRPr="00A9330B" w:rsidRDefault="00AD5193" w:rsidP="000F7BA7">
            <w:pPr>
              <w:spacing w:before="0" w:line="240" w:lineRule="auto"/>
              <w:rPr>
                <w:rFonts w:cs="Arial"/>
                <w:sz w:val="20"/>
                <w:szCs w:val="20"/>
              </w:rPr>
            </w:pPr>
            <w:r w:rsidRPr="00A9330B">
              <w:rPr>
                <w:rFonts w:cs="Arial"/>
                <w:sz w:val="20"/>
                <w:szCs w:val="20"/>
              </w:rPr>
              <w:t>Déblais en grande masse en terrain meuble et mis en dépôt</w:t>
            </w:r>
          </w:p>
          <w:p w14:paraId="6A3156EC" w14:textId="77777777" w:rsidR="00AD5193" w:rsidRPr="00A9330B" w:rsidRDefault="00AD5193" w:rsidP="000F7BA7">
            <w:pPr>
              <w:spacing w:before="0" w:line="240" w:lineRule="auto"/>
              <w:rPr>
                <w:rFonts w:cs="Arial"/>
                <w:sz w:val="20"/>
                <w:szCs w:val="20"/>
              </w:rPr>
            </w:pPr>
            <w:r w:rsidRPr="00A9330B">
              <w:rPr>
                <w:rFonts w:cs="Arial"/>
                <w:sz w:val="20"/>
                <w:szCs w:val="20"/>
              </w:rPr>
              <w:t xml:space="preserve">Emprunts de matériaux </w:t>
            </w:r>
          </w:p>
          <w:p w14:paraId="01E07EB8" w14:textId="77777777" w:rsidR="00AD5193" w:rsidRPr="00A9330B" w:rsidRDefault="00AD5193" w:rsidP="000F7BA7">
            <w:pPr>
              <w:spacing w:before="0" w:line="240" w:lineRule="auto"/>
              <w:rPr>
                <w:rFonts w:cs="Arial"/>
                <w:sz w:val="20"/>
                <w:szCs w:val="20"/>
              </w:rPr>
            </w:pPr>
            <w:r w:rsidRPr="00A9330B">
              <w:rPr>
                <w:rFonts w:cs="Arial"/>
                <w:sz w:val="20"/>
                <w:szCs w:val="20"/>
              </w:rPr>
              <w:t xml:space="preserve">Carrières </w:t>
            </w:r>
          </w:p>
          <w:p w14:paraId="1C6A0A4D" w14:textId="77777777" w:rsidR="00AD5193" w:rsidRPr="00A9330B" w:rsidRDefault="00AD5193" w:rsidP="000F7BA7">
            <w:pPr>
              <w:spacing w:before="0" w:line="240" w:lineRule="auto"/>
              <w:rPr>
                <w:rFonts w:cs="Arial"/>
                <w:sz w:val="20"/>
                <w:szCs w:val="20"/>
              </w:rPr>
            </w:pPr>
            <w:r w:rsidRPr="00A9330B">
              <w:rPr>
                <w:rFonts w:cs="Arial"/>
                <w:sz w:val="20"/>
                <w:szCs w:val="20"/>
              </w:rPr>
              <w:t xml:space="preserve">Construction des collecteurs </w:t>
            </w:r>
          </w:p>
          <w:p w14:paraId="2B19DAF5" w14:textId="77777777" w:rsidR="00AD5193" w:rsidRPr="00A9330B" w:rsidRDefault="00AD5193" w:rsidP="000F7BA7">
            <w:pPr>
              <w:spacing w:before="0" w:line="240" w:lineRule="auto"/>
              <w:rPr>
                <w:rFonts w:cs="Arial"/>
                <w:sz w:val="20"/>
                <w:szCs w:val="20"/>
              </w:rPr>
            </w:pPr>
            <w:r w:rsidRPr="00A9330B">
              <w:rPr>
                <w:rFonts w:cs="Arial"/>
                <w:sz w:val="20"/>
                <w:szCs w:val="20"/>
              </w:rPr>
              <w:t>Constructions des Chaussée et Trottoirs</w:t>
            </w:r>
          </w:p>
          <w:p w14:paraId="19F1AF37" w14:textId="77777777" w:rsidR="00AD5193" w:rsidRPr="00A9330B" w:rsidRDefault="00AD5193" w:rsidP="000F7BA7">
            <w:pPr>
              <w:spacing w:before="0" w:line="240" w:lineRule="auto"/>
              <w:rPr>
                <w:rFonts w:cs="Arial"/>
                <w:sz w:val="20"/>
                <w:szCs w:val="20"/>
              </w:rPr>
            </w:pPr>
            <w:r w:rsidRPr="00A9330B">
              <w:rPr>
                <w:rFonts w:cs="Arial"/>
                <w:sz w:val="20"/>
                <w:szCs w:val="20"/>
              </w:rPr>
              <w:t>Assainissement et drainage</w:t>
            </w:r>
          </w:p>
          <w:p w14:paraId="67DB8C06" w14:textId="77777777" w:rsidR="00AD5193" w:rsidRPr="00A9330B" w:rsidRDefault="00AD5193" w:rsidP="000F7BA7">
            <w:pPr>
              <w:spacing w:before="0" w:line="240" w:lineRule="auto"/>
              <w:rPr>
                <w:rFonts w:cs="Arial"/>
                <w:sz w:val="20"/>
                <w:szCs w:val="20"/>
              </w:rPr>
            </w:pPr>
            <w:r w:rsidRPr="00A9330B">
              <w:rPr>
                <w:rFonts w:cs="Arial"/>
                <w:sz w:val="20"/>
                <w:szCs w:val="20"/>
              </w:rPr>
              <w:t>Plantation d’arbres (ceinture verte)</w:t>
            </w:r>
          </w:p>
          <w:p w14:paraId="6C97A11D" w14:textId="550E4C5A" w:rsidR="00AD5193" w:rsidRPr="00A9330B" w:rsidRDefault="00AD5193" w:rsidP="000F7BA7">
            <w:pPr>
              <w:spacing w:before="0" w:line="240" w:lineRule="auto"/>
              <w:rPr>
                <w:rFonts w:cs="Arial"/>
                <w:sz w:val="20"/>
                <w:szCs w:val="20"/>
              </w:rPr>
            </w:pPr>
            <w:r w:rsidRPr="00A9330B">
              <w:rPr>
                <w:rFonts w:cs="Arial"/>
                <w:sz w:val="20"/>
                <w:szCs w:val="20"/>
              </w:rPr>
              <w:t xml:space="preserve">Mesures d’accompagnement </w:t>
            </w:r>
            <w:r w:rsidR="00D24D0D" w:rsidRPr="00A9330B">
              <w:rPr>
                <w:rFonts w:cs="Arial"/>
                <w:sz w:val="20"/>
                <w:szCs w:val="20"/>
              </w:rPr>
              <w:t>(construction de clôtures d’infrastructures sociocommunautaires, construction de latrines modernes dans les écoles publiques, réalisation de forages, construction de points de regroupements de déchets solides, etc.)</w:t>
            </w:r>
          </w:p>
          <w:p w14:paraId="100CB4B3" w14:textId="77777777" w:rsidR="00AD5193" w:rsidRPr="00A9330B" w:rsidRDefault="00AD5193" w:rsidP="000F7BA7">
            <w:pPr>
              <w:spacing w:before="0" w:line="240" w:lineRule="auto"/>
              <w:rPr>
                <w:rFonts w:cs="Arial"/>
                <w:sz w:val="20"/>
                <w:szCs w:val="20"/>
              </w:rPr>
            </w:pPr>
            <w:r w:rsidRPr="00A9330B">
              <w:rPr>
                <w:rFonts w:cs="Arial"/>
                <w:sz w:val="20"/>
                <w:szCs w:val="20"/>
              </w:rPr>
              <w:t xml:space="preserve">Repli du chantier </w:t>
            </w:r>
          </w:p>
          <w:p w14:paraId="527CDE84" w14:textId="77777777" w:rsidR="00AD5193" w:rsidRPr="00A9330B" w:rsidRDefault="00AD5193" w:rsidP="000F7BA7">
            <w:pPr>
              <w:widowControl w:val="0"/>
              <w:autoSpaceDE w:val="0"/>
              <w:autoSpaceDN w:val="0"/>
              <w:adjustRightInd w:val="0"/>
              <w:spacing w:before="0" w:line="240" w:lineRule="auto"/>
              <w:rPr>
                <w:rFonts w:cs="Arial"/>
                <w:spacing w:val="-1"/>
                <w:sz w:val="20"/>
                <w:szCs w:val="20"/>
              </w:rPr>
            </w:pPr>
          </w:p>
        </w:tc>
      </w:tr>
      <w:tr w:rsidR="00AD5193" w:rsidRPr="00A9330B" w14:paraId="2A41254B" w14:textId="77777777" w:rsidTr="00AD5193">
        <w:tc>
          <w:tcPr>
            <w:tcW w:w="2581" w:type="dxa"/>
            <w:vAlign w:val="center"/>
          </w:tcPr>
          <w:p w14:paraId="6246BAA7" w14:textId="77777777" w:rsidR="00AD5193" w:rsidRPr="00A9330B" w:rsidRDefault="00AD5193" w:rsidP="000F7BA7">
            <w:pPr>
              <w:spacing w:before="0" w:line="240" w:lineRule="auto"/>
              <w:jc w:val="center"/>
              <w:rPr>
                <w:rFonts w:eastAsia="Calibri" w:cs="Arial"/>
                <w:b/>
                <w:sz w:val="20"/>
                <w:szCs w:val="20"/>
                <w:lang w:bidi="he-IL"/>
              </w:rPr>
            </w:pPr>
            <w:r w:rsidRPr="00A9330B">
              <w:rPr>
                <w:rFonts w:cs="Arial"/>
                <w:b/>
                <w:sz w:val="20"/>
                <w:szCs w:val="20"/>
                <w:lang w:bidi="he-IL"/>
              </w:rPr>
              <w:t>Phase d’exploitation et d’entretien</w:t>
            </w:r>
          </w:p>
        </w:tc>
        <w:tc>
          <w:tcPr>
            <w:tcW w:w="6804" w:type="dxa"/>
          </w:tcPr>
          <w:p w14:paraId="4E7377AD" w14:textId="77777777" w:rsidR="00AD5193" w:rsidRPr="00A9330B" w:rsidRDefault="00AD5193" w:rsidP="000F7BA7">
            <w:pPr>
              <w:spacing w:before="0" w:line="240" w:lineRule="auto"/>
              <w:rPr>
                <w:rFonts w:cs="Arial"/>
                <w:sz w:val="20"/>
                <w:szCs w:val="20"/>
              </w:rPr>
            </w:pPr>
            <w:r w:rsidRPr="00A9330B">
              <w:rPr>
                <w:rFonts w:cs="Arial"/>
                <w:sz w:val="20"/>
                <w:szCs w:val="20"/>
              </w:rPr>
              <w:t>Mise en service des collecteurs et rues aménagées</w:t>
            </w:r>
          </w:p>
          <w:p w14:paraId="3EC30DFA" w14:textId="77777777" w:rsidR="00AD5193" w:rsidRPr="00A9330B" w:rsidRDefault="00AD5193" w:rsidP="000F7BA7">
            <w:pPr>
              <w:spacing w:before="0" w:line="240" w:lineRule="auto"/>
              <w:rPr>
                <w:rFonts w:cs="Arial"/>
                <w:sz w:val="20"/>
                <w:szCs w:val="20"/>
              </w:rPr>
            </w:pPr>
            <w:r w:rsidRPr="00A9330B">
              <w:rPr>
                <w:rFonts w:cs="Arial"/>
                <w:sz w:val="20"/>
                <w:szCs w:val="20"/>
              </w:rPr>
              <w:t>Désherbage des bordures</w:t>
            </w:r>
          </w:p>
          <w:p w14:paraId="6C9BA621" w14:textId="5CA6F5F5" w:rsidR="00AD5193" w:rsidRPr="00A9330B" w:rsidRDefault="00AD5193" w:rsidP="00D24D0D">
            <w:pPr>
              <w:spacing w:before="0" w:line="240" w:lineRule="auto"/>
              <w:rPr>
                <w:rFonts w:cs="Arial"/>
                <w:sz w:val="20"/>
                <w:szCs w:val="20"/>
              </w:rPr>
            </w:pPr>
            <w:r w:rsidRPr="00A9330B">
              <w:rPr>
                <w:rFonts w:cs="Arial"/>
                <w:sz w:val="20"/>
                <w:szCs w:val="20"/>
              </w:rPr>
              <w:t xml:space="preserve">Entretien périodique </w:t>
            </w:r>
          </w:p>
        </w:tc>
      </w:tr>
    </w:tbl>
    <w:p w14:paraId="204077E7" w14:textId="77777777" w:rsidR="00AD5193" w:rsidRPr="00A9330B" w:rsidRDefault="00AD5193" w:rsidP="00AD5193">
      <w:pPr>
        <w:pStyle w:val="Paragraphedeliste"/>
        <w:rPr>
          <w:b/>
          <w:sz w:val="20"/>
          <w:lang w:val="fr-FR"/>
        </w:rPr>
      </w:pPr>
      <w:r w:rsidRPr="00A9330B">
        <w:rPr>
          <w:b/>
          <w:sz w:val="20"/>
          <w:lang w:val="fr-FR"/>
        </w:rPr>
        <w:t xml:space="preserve">Source : CECO BTP </w:t>
      </w:r>
    </w:p>
    <w:p w14:paraId="1BB5A595" w14:textId="5995FF19" w:rsidR="00AD5193" w:rsidRPr="00A9330B" w:rsidRDefault="00AD5193" w:rsidP="00AD5193">
      <w:pPr>
        <w:sectPr w:rsidR="00AD5193" w:rsidRPr="00A9330B" w:rsidSect="00AD5193">
          <w:pgSz w:w="11906" w:h="16838"/>
          <w:pgMar w:top="993" w:right="1133" w:bottom="1134" w:left="1418" w:header="709" w:footer="372" w:gutter="0"/>
          <w:pgNumType w:fmt="lowerRoman" w:start="1"/>
          <w:cols w:space="708"/>
          <w:docGrid w:linePitch="360"/>
        </w:sectPr>
      </w:pPr>
    </w:p>
    <w:p w14:paraId="229E112F" w14:textId="77777777" w:rsidR="00AD5193" w:rsidRPr="00A9330B" w:rsidRDefault="00AD5193" w:rsidP="006E37A6">
      <w:pPr>
        <w:pStyle w:val="Titre20"/>
      </w:pPr>
      <w:bookmarkStart w:id="63" w:name="_Toc52869536"/>
      <w:bookmarkStart w:id="64" w:name="_Toc52869821"/>
      <w:r w:rsidRPr="00A9330B">
        <w:lastRenderedPageBreak/>
        <w:t>B. Description du site d’accueil du projet</w:t>
      </w:r>
      <w:bookmarkEnd w:id="63"/>
      <w:bookmarkEnd w:id="64"/>
    </w:p>
    <w:p w14:paraId="2505F990" w14:textId="77777777" w:rsidR="00AD5193" w:rsidRPr="00A9330B" w:rsidRDefault="00AD5193" w:rsidP="00BD2F72">
      <w:pPr>
        <w:pStyle w:val="Titre40"/>
        <w:numPr>
          <w:ilvl w:val="0"/>
          <w:numId w:val="100"/>
        </w:numPr>
      </w:pPr>
      <w:bookmarkStart w:id="65" w:name="_Toc45520726"/>
      <w:bookmarkStart w:id="66" w:name="_Toc52869537"/>
      <w:r w:rsidRPr="00A9330B">
        <w:t>Localisation du projet</w:t>
      </w:r>
      <w:bookmarkEnd w:id="65"/>
      <w:bookmarkEnd w:id="66"/>
      <w:r w:rsidRPr="00A9330B">
        <w:t xml:space="preserve"> </w:t>
      </w:r>
    </w:p>
    <w:p w14:paraId="7143D9B5" w14:textId="77777777" w:rsidR="00AD5193" w:rsidRPr="00A9330B" w:rsidRDefault="00AD5193" w:rsidP="00AD5193">
      <w:pPr>
        <w:spacing w:line="240" w:lineRule="auto"/>
        <w:jc w:val="both"/>
        <w:rPr>
          <w:rFonts w:eastAsia="Calibri" w:cs="Arial"/>
          <w:color w:val="auto"/>
          <w:szCs w:val="28"/>
          <w:lang w:eastAsia="fr-FR"/>
        </w:rPr>
      </w:pPr>
      <w:r w:rsidRPr="00A9330B">
        <w:rPr>
          <w:rFonts w:eastAsia="Calibri" w:cs="Arial"/>
          <w:noProof/>
          <w:color w:val="auto"/>
          <w:szCs w:val="28"/>
        </w:rPr>
        <w:t xml:space="preserve">Située au Nord-ouest du Bénin et au Centre du département de l'Atacora, la ville de Natitingou est limitée au Nord par l’arrondissement de Péporiyakou, à l’Est et au Sud-Est par l’arrondissement de Kotopounga, au Sud-Ouest par l’arrondissement de Kouandata et à l’Ouest par l’arrondissement de Kouaba. </w:t>
      </w:r>
      <w:r w:rsidRPr="00A9330B">
        <w:rPr>
          <w:rFonts w:eastAsia="Calibri" w:cs="Arial"/>
          <w:color w:val="auto"/>
          <w:szCs w:val="28"/>
          <w:lang w:eastAsia="fr-FR"/>
        </w:rPr>
        <w:t xml:space="preserve">Elle couvrait 1580 ha en 2002. Aujourd’hui, la superficie de la ville de Natitingou est d’environ 2200 ha (ALI IDRISSOU Y.K.A., 2014). </w:t>
      </w:r>
      <w:r w:rsidRPr="00A9330B">
        <w:rPr>
          <w:rFonts w:eastAsia="Calibri" w:cs="Arial"/>
          <w:noProof/>
          <w:color w:val="auto"/>
          <w:szCs w:val="28"/>
        </w:rPr>
        <w:t>Elle compte trois (03) arrondissemt urbains, Natitingou 1, Natitingou 2 et Natitingou 3.</w:t>
      </w:r>
    </w:p>
    <w:p w14:paraId="5303F122" w14:textId="77777777" w:rsidR="00AD5193" w:rsidRPr="00A9330B" w:rsidRDefault="00AD5193" w:rsidP="00A9330B">
      <w:pPr>
        <w:pStyle w:val="Lgende"/>
      </w:pPr>
      <w:r w:rsidRPr="00A9330B">
        <w:t xml:space="preserve">Tableau III : </w:t>
      </w:r>
      <w:bookmarkStart w:id="67" w:name="_Toc533060544"/>
      <w:bookmarkStart w:id="68" w:name="_Toc529226760"/>
      <w:r w:rsidRPr="00A9330B">
        <w:t>Bénéficiaires par arrondissement du PAPVS - NATITINGOU</w:t>
      </w:r>
    </w:p>
    <w:tbl>
      <w:tblPr>
        <w:tblW w:w="429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CellMar>
          <w:left w:w="70" w:type="dxa"/>
          <w:right w:w="70" w:type="dxa"/>
        </w:tblCellMar>
        <w:tblLook w:val="04A0" w:firstRow="1" w:lastRow="0" w:firstColumn="1" w:lastColumn="0" w:noHBand="0" w:noVBand="1"/>
      </w:tblPr>
      <w:tblGrid>
        <w:gridCol w:w="2392"/>
        <w:gridCol w:w="5383"/>
      </w:tblGrid>
      <w:tr w:rsidR="00AD5193" w:rsidRPr="00A9330B" w14:paraId="465B720B" w14:textId="77777777" w:rsidTr="003634C9">
        <w:trPr>
          <w:trHeight w:val="221"/>
          <w:jc w:val="center"/>
        </w:trPr>
        <w:tc>
          <w:tcPr>
            <w:tcW w:w="1538" w:type="pct"/>
            <w:shd w:val="clear" w:color="auto" w:fill="00B0F0"/>
            <w:noWrap/>
            <w:vAlign w:val="center"/>
            <w:hideMark/>
          </w:tcPr>
          <w:p w14:paraId="59469345" w14:textId="77777777" w:rsidR="00AD5193" w:rsidRPr="00A9330B" w:rsidRDefault="00AD5193" w:rsidP="00AD5193">
            <w:pPr>
              <w:spacing w:line="240" w:lineRule="auto"/>
              <w:jc w:val="both"/>
              <w:rPr>
                <w:rFonts w:eastAsia="Calibri" w:cs="Arial"/>
                <w:b/>
                <w:color w:val="auto"/>
                <w:szCs w:val="20"/>
                <w:lang w:eastAsia="fr-FR"/>
              </w:rPr>
            </w:pPr>
            <w:r w:rsidRPr="00A9330B">
              <w:rPr>
                <w:rFonts w:eastAsia="Calibri" w:cs="Arial"/>
                <w:b/>
                <w:color w:val="auto"/>
                <w:szCs w:val="20"/>
                <w:lang w:eastAsia="fr-FR"/>
              </w:rPr>
              <w:t>Arrondissements</w:t>
            </w:r>
          </w:p>
        </w:tc>
        <w:tc>
          <w:tcPr>
            <w:tcW w:w="3462" w:type="pct"/>
            <w:shd w:val="clear" w:color="auto" w:fill="00B0F0"/>
            <w:noWrap/>
            <w:vAlign w:val="center"/>
            <w:hideMark/>
          </w:tcPr>
          <w:p w14:paraId="038CA9D1" w14:textId="77777777" w:rsidR="00AD5193" w:rsidRPr="00A9330B" w:rsidRDefault="00AD5193" w:rsidP="00AD5193">
            <w:pPr>
              <w:spacing w:line="240" w:lineRule="auto"/>
              <w:jc w:val="center"/>
              <w:rPr>
                <w:rFonts w:eastAsia="Calibri" w:cs="Arial"/>
                <w:b/>
                <w:color w:val="auto"/>
                <w:szCs w:val="20"/>
                <w:lang w:eastAsia="fr-FR"/>
              </w:rPr>
            </w:pPr>
            <w:r w:rsidRPr="00A9330B">
              <w:rPr>
                <w:rFonts w:eastAsia="Calibri" w:cs="Arial"/>
                <w:b/>
                <w:color w:val="auto"/>
                <w:szCs w:val="20"/>
                <w:lang w:eastAsia="fr-FR"/>
              </w:rPr>
              <w:t>Quartiers</w:t>
            </w:r>
          </w:p>
        </w:tc>
      </w:tr>
      <w:tr w:rsidR="00AD5193" w:rsidRPr="00A9330B" w14:paraId="7863BC4A" w14:textId="77777777" w:rsidTr="003634C9">
        <w:trPr>
          <w:trHeight w:val="283"/>
          <w:jc w:val="center"/>
        </w:trPr>
        <w:tc>
          <w:tcPr>
            <w:tcW w:w="1538" w:type="pct"/>
            <w:shd w:val="clear" w:color="auto" w:fill="FFFFFF"/>
            <w:noWrap/>
            <w:vAlign w:val="center"/>
          </w:tcPr>
          <w:p w14:paraId="3D32F5E6" w14:textId="77777777" w:rsidR="00AD5193" w:rsidRPr="00A9330B" w:rsidRDefault="00AD5193" w:rsidP="00AD5193">
            <w:pPr>
              <w:spacing w:line="240" w:lineRule="auto"/>
              <w:jc w:val="both"/>
              <w:rPr>
                <w:rFonts w:eastAsia="Calibri" w:cs="Arial"/>
                <w:b/>
                <w:bCs/>
                <w:color w:val="auto"/>
                <w:szCs w:val="20"/>
                <w:lang w:eastAsia="fr-FR"/>
              </w:rPr>
            </w:pPr>
            <w:r w:rsidRPr="00A9330B">
              <w:rPr>
                <w:rFonts w:eastAsia="Calibri" w:cs="Arial"/>
                <w:b/>
                <w:bCs/>
                <w:color w:val="auto"/>
                <w:szCs w:val="20"/>
                <w:lang w:eastAsia="fr-FR"/>
              </w:rPr>
              <w:t> Natitingou I</w:t>
            </w:r>
          </w:p>
        </w:tc>
        <w:tc>
          <w:tcPr>
            <w:tcW w:w="3462" w:type="pct"/>
            <w:shd w:val="clear" w:color="auto" w:fill="FFFFFF"/>
            <w:noWrap/>
            <w:vAlign w:val="bottom"/>
          </w:tcPr>
          <w:p w14:paraId="67105397" w14:textId="77777777" w:rsidR="00AD5193" w:rsidRPr="00A9330B" w:rsidRDefault="00AD5193" w:rsidP="00AD5193">
            <w:pPr>
              <w:spacing w:line="240" w:lineRule="auto"/>
              <w:rPr>
                <w:rFonts w:eastAsia="Calibri" w:cs="Arial"/>
                <w:color w:val="auto"/>
                <w:szCs w:val="20"/>
                <w:lang w:eastAsia="fr-FR"/>
              </w:rPr>
            </w:pPr>
            <w:r w:rsidRPr="00A9330B">
              <w:rPr>
                <w:rFonts w:eastAsia="Calibri" w:cs="Arial"/>
                <w:color w:val="auto"/>
                <w:szCs w:val="20"/>
                <w:lang w:eastAsia="fr-FR"/>
              </w:rPr>
              <w:t>Bagri, Djindjiré-béri, Kantchagoutamou, Sountchirantikou, Tchirimina, Yokossi</w:t>
            </w:r>
          </w:p>
        </w:tc>
      </w:tr>
      <w:tr w:rsidR="00AD5193" w:rsidRPr="00A9330B" w14:paraId="36FE8BEE" w14:textId="77777777" w:rsidTr="003634C9">
        <w:trPr>
          <w:trHeight w:val="297"/>
          <w:jc w:val="center"/>
        </w:trPr>
        <w:tc>
          <w:tcPr>
            <w:tcW w:w="1538" w:type="pct"/>
            <w:shd w:val="clear" w:color="auto" w:fill="FFFFFF"/>
            <w:noWrap/>
            <w:vAlign w:val="center"/>
          </w:tcPr>
          <w:p w14:paraId="253B6D6D" w14:textId="77777777" w:rsidR="00AD5193" w:rsidRPr="00A9330B" w:rsidRDefault="00AD5193" w:rsidP="00AD5193">
            <w:pPr>
              <w:spacing w:line="240" w:lineRule="auto"/>
              <w:jc w:val="both"/>
              <w:rPr>
                <w:rFonts w:eastAsia="Calibri" w:cs="Arial"/>
                <w:b/>
                <w:bCs/>
                <w:color w:val="auto"/>
                <w:szCs w:val="20"/>
                <w:lang w:eastAsia="fr-FR"/>
              </w:rPr>
            </w:pPr>
            <w:r w:rsidRPr="00A9330B">
              <w:rPr>
                <w:rFonts w:eastAsia="Calibri" w:cs="Arial"/>
                <w:b/>
                <w:bCs/>
                <w:color w:val="auto"/>
                <w:szCs w:val="20"/>
                <w:lang w:eastAsia="fr-FR"/>
              </w:rPr>
              <w:t>Natitingou II</w:t>
            </w:r>
          </w:p>
        </w:tc>
        <w:tc>
          <w:tcPr>
            <w:tcW w:w="3462" w:type="pct"/>
            <w:shd w:val="clear" w:color="auto" w:fill="FFFFFF"/>
            <w:noWrap/>
            <w:vAlign w:val="center"/>
          </w:tcPr>
          <w:p w14:paraId="73E1C2E4" w14:textId="77777777" w:rsidR="00AD5193" w:rsidRPr="00A9330B" w:rsidRDefault="00AD5193" w:rsidP="00AD5193">
            <w:pPr>
              <w:spacing w:line="240" w:lineRule="auto"/>
              <w:rPr>
                <w:rFonts w:eastAsia="Calibri" w:cs="Arial"/>
                <w:color w:val="auto"/>
                <w:szCs w:val="20"/>
                <w:lang w:eastAsia="fr-FR"/>
              </w:rPr>
            </w:pPr>
            <w:r w:rsidRPr="00A9330B">
              <w:rPr>
                <w:rFonts w:eastAsia="Calibri" w:cs="Arial"/>
                <w:color w:val="auto"/>
                <w:szCs w:val="20"/>
                <w:lang w:eastAsia="fr-FR"/>
              </w:rPr>
              <w:t>Bokoro, Boriyouré, Dassakaté, Ouroubonna, Ourkparbou, Santa</w:t>
            </w:r>
          </w:p>
        </w:tc>
      </w:tr>
      <w:tr w:rsidR="00AD5193" w:rsidRPr="00A9330B" w14:paraId="6ECFC0D4" w14:textId="77777777" w:rsidTr="003634C9">
        <w:trPr>
          <w:trHeight w:val="495"/>
          <w:jc w:val="center"/>
        </w:trPr>
        <w:tc>
          <w:tcPr>
            <w:tcW w:w="1538" w:type="pct"/>
            <w:shd w:val="clear" w:color="auto" w:fill="FFFFFF"/>
            <w:noWrap/>
            <w:vAlign w:val="center"/>
          </w:tcPr>
          <w:p w14:paraId="5E4B00E7" w14:textId="77777777" w:rsidR="00AD5193" w:rsidRPr="00A9330B" w:rsidRDefault="00AD5193" w:rsidP="00AD5193">
            <w:pPr>
              <w:spacing w:line="240" w:lineRule="auto"/>
              <w:jc w:val="both"/>
              <w:rPr>
                <w:rFonts w:eastAsia="Calibri" w:cs="Arial"/>
                <w:b/>
                <w:bCs/>
                <w:color w:val="auto"/>
                <w:szCs w:val="20"/>
                <w:lang w:eastAsia="fr-FR"/>
              </w:rPr>
            </w:pPr>
            <w:r w:rsidRPr="00A9330B">
              <w:rPr>
                <w:rFonts w:eastAsia="Calibri" w:cs="Arial"/>
                <w:b/>
                <w:bCs/>
                <w:color w:val="auto"/>
                <w:szCs w:val="20"/>
                <w:lang w:eastAsia="fr-FR"/>
              </w:rPr>
              <w:t>Natitingou III</w:t>
            </w:r>
          </w:p>
        </w:tc>
        <w:tc>
          <w:tcPr>
            <w:tcW w:w="3462" w:type="pct"/>
            <w:shd w:val="clear" w:color="auto" w:fill="FFFFFF"/>
            <w:noWrap/>
            <w:vAlign w:val="bottom"/>
          </w:tcPr>
          <w:p w14:paraId="7E6E76C8" w14:textId="77777777" w:rsidR="00AD5193" w:rsidRPr="00A9330B" w:rsidRDefault="00AD5193" w:rsidP="00AD5193">
            <w:pPr>
              <w:spacing w:line="240" w:lineRule="auto"/>
              <w:rPr>
                <w:rFonts w:eastAsia="Calibri" w:cs="Arial"/>
                <w:color w:val="auto"/>
                <w:szCs w:val="20"/>
                <w:lang w:eastAsia="fr-FR"/>
              </w:rPr>
            </w:pPr>
            <w:r w:rsidRPr="00A9330B">
              <w:rPr>
                <w:rFonts w:eastAsia="Calibri" w:cs="Arial"/>
                <w:color w:val="auto"/>
                <w:szCs w:val="20"/>
                <w:lang w:eastAsia="fr-FR"/>
              </w:rPr>
              <w:t>Bérécingou, Didapoumbor, Kantaborifa, Koussantikou, Ourbouga, Winkè, Yétapo, Yimporima</w:t>
            </w:r>
          </w:p>
        </w:tc>
      </w:tr>
      <w:tr w:rsidR="00AD5193" w:rsidRPr="00A9330B" w14:paraId="6C117C0B" w14:textId="77777777" w:rsidTr="003634C9">
        <w:trPr>
          <w:trHeight w:val="495"/>
          <w:jc w:val="center"/>
        </w:trPr>
        <w:tc>
          <w:tcPr>
            <w:tcW w:w="1538" w:type="pct"/>
            <w:shd w:val="clear" w:color="auto" w:fill="FFFFFF"/>
            <w:noWrap/>
            <w:vAlign w:val="center"/>
          </w:tcPr>
          <w:p w14:paraId="33256DB1" w14:textId="77777777" w:rsidR="00AD5193" w:rsidRPr="00A9330B" w:rsidRDefault="00AD5193" w:rsidP="00AD5193">
            <w:pPr>
              <w:spacing w:line="240" w:lineRule="auto"/>
              <w:jc w:val="both"/>
              <w:rPr>
                <w:rFonts w:eastAsia="Calibri" w:cs="Arial"/>
                <w:b/>
                <w:bCs/>
                <w:color w:val="auto"/>
                <w:szCs w:val="20"/>
                <w:lang w:eastAsia="fr-FR"/>
              </w:rPr>
            </w:pPr>
            <w:r w:rsidRPr="00A9330B">
              <w:rPr>
                <w:rFonts w:eastAsia="Calibri" w:cs="Arial"/>
                <w:b/>
                <w:bCs/>
                <w:color w:val="auto"/>
                <w:szCs w:val="20"/>
                <w:lang w:eastAsia="fr-FR"/>
              </w:rPr>
              <w:t xml:space="preserve">TOTAL </w:t>
            </w:r>
          </w:p>
        </w:tc>
        <w:tc>
          <w:tcPr>
            <w:tcW w:w="3462" w:type="pct"/>
            <w:shd w:val="clear" w:color="auto" w:fill="FFFFFF"/>
            <w:noWrap/>
            <w:vAlign w:val="bottom"/>
          </w:tcPr>
          <w:p w14:paraId="3DEDEFB3" w14:textId="77777777" w:rsidR="00AD5193" w:rsidRPr="00A9330B" w:rsidRDefault="00AD5193" w:rsidP="00AD5193">
            <w:pPr>
              <w:spacing w:line="240" w:lineRule="auto"/>
              <w:jc w:val="both"/>
              <w:rPr>
                <w:rFonts w:eastAsia="Calibri" w:cs="Arial"/>
                <w:b/>
                <w:color w:val="auto"/>
                <w:szCs w:val="20"/>
                <w:lang w:eastAsia="fr-FR"/>
              </w:rPr>
            </w:pPr>
          </w:p>
        </w:tc>
      </w:tr>
    </w:tbl>
    <w:p w14:paraId="75D09FEA" w14:textId="77777777" w:rsidR="00AD5193" w:rsidRPr="00A9330B" w:rsidRDefault="00AD5193" w:rsidP="00A9330B">
      <w:pPr>
        <w:pStyle w:val="Lgende"/>
      </w:pPr>
      <w:r w:rsidRPr="00A9330B">
        <w:t>Source : RGPH4, 2013</w:t>
      </w:r>
    </w:p>
    <w:p w14:paraId="5F93BFD4" w14:textId="77777777" w:rsidR="00AD5193" w:rsidRPr="00A9330B" w:rsidRDefault="00AD5193" w:rsidP="00BD2F72">
      <w:pPr>
        <w:pStyle w:val="Titre40"/>
        <w:numPr>
          <w:ilvl w:val="0"/>
          <w:numId w:val="123"/>
        </w:numPr>
      </w:pPr>
      <w:bookmarkStart w:id="69" w:name="_Toc45520727"/>
      <w:bookmarkStart w:id="70" w:name="_Toc52869538"/>
      <w:r w:rsidRPr="00A9330B">
        <w:t>Hydrographie de la ville</w:t>
      </w:r>
      <w:bookmarkEnd w:id="69"/>
      <w:bookmarkEnd w:id="70"/>
      <w:r w:rsidRPr="00A9330B">
        <w:t xml:space="preserve"> </w:t>
      </w:r>
    </w:p>
    <w:p w14:paraId="4233108A" w14:textId="36126DDA" w:rsidR="00AD5193" w:rsidRPr="00A9330B" w:rsidRDefault="00AD5193" w:rsidP="0011523E">
      <w:pPr>
        <w:jc w:val="both"/>
        <w:rPr>
          <w:rFonts w:eastAsia="Calibri" w:cs="Arial"/>
          <w:szCs w:val="24"/>
        </w:rPr>
      </w:pPr>
      <w:r w:rsidRPr="00A9330B">
        <w:rPr>
          <w:rFonts w:eastAsia="Calibri" w:cs="Arial"/>
          <w:szCs w:val="24"/>
          <w:lang w:eastAsia="fr-FR"/>
        </w:rPr>
        <w:t>La ville de Natitingou se développe dans la vallée du cours d’eau Funrigninkèrè à l’ouest et à l’est, le long de la vallée de la Yarpao, derrière la colline de Kantaborifa. La rivière Funrigninkèrè est le principal exutoire naturel qui reçoit les eaux pluviales de plus de 4/5 des quartiers de la ville. Tchouchoukou et Yori-Nyèri sont ses principaux affluents. Le tissu urbain de Natitingou s’est développé de part et d’autre de cette rivière. Il s’agit des quartiers comme Bagri, Yokossi, Dassakaté, Winkè, Santa, Boriyouré, Tchirimina, Djindjiré-béri, Kokotamou, Kantchagoutamou, Sountchirantikou, Yimporima, Nagoutantè, Ourbouga, etc. Du côté est de la</w:t>
      </w:r>
      <w:r w:rsidR="00D94FF6" w:rsidRPr="00A9330B">
        <w:rPr>
          <w:rFonts w:eastAsia="Calibri" w:cs="Arial"/>
          <w:szCs w:val="24"/>
          <w:lang w:eastAsia="fr-FR"/>
        </w:rPr>
        <w:t xml:space="preserve"> ville, se trouve les rivières Wa</w:t>
      </w:r>
      <w:r w:rsidRPr="00A9330B">
        <w:rPr>
          <w:rFonts w:eastAsia="Calibri" w:cs="Arial"/>
          <w:szCs w:val="24"/>
          <w:lang w:eastAsia="fr-FR"/>
        </w:rPr>
        <w:t>adata, puis Yarpao, derrière la colline de Kantaborifa. Elle Constitue l’exutoire naturel des eaux pluviales de la périphérie et de la ville de Natitingou.</w:t>
      </w:r>
    </w:p>
    <w:p w14:paraId="3C0E66E2" w14:textId="17D2704A" w:rsidR="00AD5193" w:rsidRPr="00A9330B" w:rsidRDefault="00AD5193" w:rsidP="0011523E">
      <w:pPr>
        <w:jc w:val="both"/>
        <w:rPr>
          <w:rFonts w:eastAsia="Calibri" w:cs="Arial"/>
          <w:color w:val="auto"/>
          <w:szCs w:val="24"/>
        </w:rPr>
      </w:pPr>
      <w:r w:rsidRPr="00A9330B">
        <w:rPr>
          <w:rFonts w:eastAsia="Calibri" w:cs="Arial"/>
          <w:color w:val="auto"/>
          <w:szCs w:val="24"/>
        </w:rPr>
        <w:t xml:space="preserve">Le réseau de drainage actuel de la ville de Natitingou est concentré autour des axes routiers principaux et au niveau des voies urbaines en cours de construction. Le réseau existant est marqué par le manque d’aménagement des exutoires ou le non prolongement des canaux principaux jusqu’aux exutoires adéquats. </w:t>
      </w:r>
    </w:p>
    <w:p w14:paraId="5E7CA84F" w14:textId="2A6EBFD3" w:rsidR="00940ABD" w:rsidRPr="00A9330B" w:rsidRDefault="00AD5193" w:rsidP="0011523E">
      <w:pPr>
        <w:jc w:val="both"/>
        <w:rPr>
          <w:rFonts w:eastAsia="Calibri" w:cs="Arial"/>
          <w:color w:val="auto"/>
          <w:szCs w:val="24"/>
        </w:rPr>
      </w:pPr>
      <w:r w:rsidRPr="00A9330B">
        <w:rPr>
          <w:rFonts w:eastAsia="Calibri" w:cs="Arial"/>
          <w:color w:val="auto"/>
          <w:szCs w:val="24"/>
        </w:rPr>
        <w:t>Par ailleurs, de nombreux thalwegs qui drainent d’importantes quantités d’eaux de pluie ne sont pas aménagés, les ruissellements se font de manière naturelle</w:t>
      </w:r>
      <w:r w:rsidR="00940ABD" w:rsidRPr="00A9330B">
        <w:rPr>
          <w:rFonts w:eastAsia="Calibri" w:cs="Arial"/>
          <w:color w:val="auto"/>
          <w:szCs w:val="24"/>
        </w:rPr>
        <w:t>.</w:t>
      </w:r>
    </w:p>
    <w:p w14:paraId="4C8DC49F" w14:textId="26C13E38" w:rsidR="00AD5193" w:rsidRPr="00A9330B" w:rsidRDefault="00AD5193" w:rsidP="0011523E">
      <w:pPr>
        <w:jc w:val="both"/>
        <w:rPr>
          <w:rFonts w:eastAsia="Calibri" w:cs="Arial"/>
          <w:color w:val="auto"/>
          <w:szCs w:val="24"/>
        </w:rPr>
        <w:sectPr w:rsidR="00AD5193" w:rsidRPr="00A9330B" w:rsidSect="00C26ACB">
          <w:pgSz w:w="11906" w:h="16838" w:code="9"/>
          <w:pgMar w:top="1418" w:right="1418" w:bottom="1418" w:left="1418" w:header="709" w:footer="709" w:gutter="0"/>
          <w:pgNumType w:fmt="lowerRoman"/>
          <w:cols w:space="708"/>
          <w:docGrid w:linePitch="360"/>
        </w:sectPr>
      </w:pPr>
      <w:r w:rsidRPr="00A9330B">
        <w:rPr>
          <w:rFonts w:eastAsia="Calibri" w:cs="Arial"/>
          <w:color w:val="auto"/>
          <w:szCs w:val="24"/>
        </w:rPr>
        <w:t>.</w:t>
      </w:r>
    </w:p>
    <w:p w14:paraId="4AFA450E" w14:textId="77777777" w:rsidR="00AD5193" w:rsidRPr="00A9330B" w:rsidRDefault="00AD5193" w:rsidP="0011523E">
      <w:pPr>
        <w:spacing w:line="240" w:lineRule="auto"/>
        <w:jc w:val="center"/>
        <w:rPr>
          <w:b/>
          <w:sz w:val="20"/>
          <w:szCs w:val="20"/>
          <w:lang w:eastAsia="fr-FR"/>
        </w:rPr>
      </w:pPr>
      <w:r w:rsidRPr="00A9330B">
        <w:rPr>
          <w:b/>
          <w:sz w:val="20"/>
          <w:szCs w:val="20"/>
        </w:rPr>
        <w:lastRenderedPageBreak/>
        <w:t>Figure B :</w:t>
      </w:r>
      <w:r w:rsidRPr="00A9330B">
        <w:rPr>
          <w:rFonts w:eastAsia="Calibri"/>
          <w:b/>
          <w:sz w:val="20"/>
          <w:szCs w:val="20"/>
        </w:rPr>
        <w:t xml:space="preserve"> Réseau hydrographique dans la ville de Natitingou</w:t>
      </w:r>
    </w:p>
    <w:p w14:paraId="7E380E09" w14:textId="77777777" w:rsidR="00AD5193" w:rsidRPr="00A9330B" w:rsidRDefault="00AD5193" w:rsidP="00AD5193">
      <w:pPr>
        <w:rPr>
          <w:b/>
        </w:rPr>
      </w:pPr>
    </w:p>
    <w:p w14:paraId="76AAD573" w14:textId="4B67DBF1" w:rsidR="00B522BB" w:rsidRPr="00A9330B" w:rsidRDefault="00B522BB" w:rsidP="00AD5193">
      <w:pPr>
        <w:rPr>
          <w:b/>
        </w:rPr>
        <w:sectPr w:rsidR="00B522BB" w:rsidRPr="00A9330B" w:rsidSect="00AD5193">
          <w:pgSz w:w="16838" w:h="11906" w:orient="landscape" w:code="9"/>
          <w:pgMar w:top="1418" w:right="992" w:bottom="1134" w:left="1134" w:header="709" w:footer="374" w:gutter="0"/>
          <w:pgNumType w:fmt="lowerRoman"/>
          <w:cols w:space="708"/>
          <w:docGrid w:linePitch="360"/>
        </w:sectPr>
      </w:pPr>
      <w:r w:rsidRPr="00A9330B">
        <w:rPr>
          <w:rFonts w:ascii="Calibri" w:eastAsia="Calibri" w:hAnsi="Calibri" w:cs="Times New Roman"/>
          <w:noProof/>
          <w:color w:val="auto"/>
          <w:lang w:eastAsia="fr-FR"/>
        </w:rPr>
        <w:drawing>
          <wp:inline distT="0" distB="0" distL="0" distR="0" wp14:anchorId="6A6D7DB2" wp14:editId="057C0B01">
            <wp:extent cx="7520151" cy="5024482"/>
            <wp:effectExtent l="0" t="0" r="5080" b="5080"/>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542660" cy="5039521"/>
                    </a:xfrm>
                    <a:prstGeom prst="rect">
                      <a:avLst/>
                    </a:prstGeom>
                    <a:noFill/>
                    <a:ln>
                      <a:noFill/>
                    </a:ln>
                  </pic:spPr>
                </pic:pic>
              </a:graphicData>
            </a:graphic>
          </wp:inline>
        </w:drawing>
      </w:r>
    </w:p>
    <w:p w14:paraId="477F7B4F" w14:textId="77777777" w:rsidR="00AD5193" w:rsidRPr="00A9330B" w:rsidRDefault="00AD5193" w:rsidP="00BD2F72">
      <w:pPr>
        <w:pStyle w:val="Titre40"/>
        <w:numPr>
          <w:ilvl w:val="0"/>
          <w:numId w:val="100"/>
        </w:numPr>
      </w:pPr>
      <w:bookmarkStart w:id="71" w:name="_Toc45520728"/>
      <w:bookmarkStart w:id="72" w:name="_Toc52869539"/>
      <w:r w:rsidRPr="00A9330B">
        <w:lastRenderedPageBreak/>
        <w:t>Formations végétales</w:t>
      </w:r>
      <w:bookmarkEnd w:id="71"/>
      <w:bookmarkEnd w:id="72"/>
      <w:r w:rsidRPr="00A9330B">
        <w:t xml:space="preserve"> </w:t>
      </w:r>
    </w:p>
    <w:p w14:paraId="00AA7246" w14:textId="6348A307" w:rsidR="00AD5193" w:rsidRPr="00A9330B" w:rsidRDefault="00AD5193" w:rsidP="000F7BA7">
      <w:pPr>
        <w:jc w:val="both"/>
        <w:rPr>
          <w:lang w:eastAsia="de-DE"/>
        </w:rPr>
      </w:pPr>
      <w:r w:rsidRPr="00A9330B">
        <w:t>Les formations végétales constituent également une variable</w:t>
      </w:r>
      <w:r w:rsidR="00940ABD" w:rsidRPr="00A9330B">
        <w:t> </w:t>
      </w:r>
      <w:r w:rsidRPr="00A9330B">
        <w:t>importante de l’environnement.</w:t>
      </w:r>
    </w:p>
    <w:p w14:paraId="25EEA27A" w14:textId="74A32360" w:rsidR="00AD5193" w:rsidRPr="00A9330B" w:rsidRDefault="00AD5193" w:rsidP="00940ABD">
      <w:pPr>
        <w:spacing w:after="120" w:line="240" w:lineRule="auto"/>
        <w:jc w:val="both"/>
        <w:rPr>
          <w:rFonts w:eastAsia="Calibri" w:cs="Arial"/>
          <w:color w:val="auto"/>
        </w:rPr>
      </w:pPr>
      <w:r w:rsidRPr="00A9330B">
        <w:rPr>
          <w:rFonts w:eastAsia="Calibri" w:cs="Arial"/>
        </w:rPr>
        <w:t xml:space="preserve">La </w:t>
      </w:r>
      <w:r w:rsidRPr="00A9330B">
        <w:rPr>
          <w:rFonts w:eastAsia="Calibri" w:cs="Arial"/>
          <w:color w:val="auto"/>
        </w:rPr>
        <w:t xml:space="preserve">visite </w:t>
      </w:r>
      <w:r w:rsidRPr="00A9330B">
        <w:rPr>
          <w:rFonts w:eastAsia="Calibri" w:cs="Arial"/>
        </w:rPr>
        <w:t xml:space="preserve">des sites </w:t>
      </w:r>
      <w:r w:rsidRPr="00A9330B">
        <w:rPr>
          <w:rFonts w:eastAsia="Calibri" w:cs="Arial"/>
          <w:color w:val="auto"/>
        </w:rPr>
        <w:t>a permis de faire des constats concernant l’état de l’occupation des emprises des rues et collecteurs concernés</w:t>
      </w:r>
      <w:r w:rsidRPr="00A9330B">
        <w:rPr>
          <w:rFonts w:eastAsia="Calibri" w:cs="Arial"/>
        </w:rPr>
        <w:t xml:space="preserve"> par</w:t>
      </w:r>
      <w:r w:rsidRPr="00A9330B">
        <w:rPr>
          <w:rFonts w:eastAsia="Calibri" w:cs="Arial"/>
          <w:color w:val="auto"/>
        </w:rPr>
        <w:t xml:space="preserve"> le couvert végétal urbain, etc. </w:t>
      </w:r>
    </w:p>
    <w:p w14:paraId="4EDBDAE4" w14:textId="77777777" w:rsidR="00AD5193" w:rsidRPr="00A9330B" w:rsidRDefault="00AD5193" w:rsidP="000F7BA7">
      <w:pPr>
        <w:spacing w:after="120" w:line="240" w:lineRule="auto"/>
        <w:jc w:val="both"/>
      </w:pPr>
      <w:r w:rsidRPr="00A9330B">
        <w:rPr>
          <w:rFonts w:eastAsia="Calibri" w:cs="Arial"/>
          <w:color w:val="auto"/>
        </w:rPr>
        <w:t xml:space="preserve">La majorité des emprises sont occupées par des galeries forestières et des habitations surtout </w:t>
      </w:r>
      <w:r w:rsidRPr="00A9330B">
        <w:t xml:space="preserve">dans l’emprise des collecteurs. </w:t>
      </w:r>
    </w:p>
    <w:p w14:paraId="6369477D" w14:textId="77777777" w:rsidR="00AD5193" w:rsidRPr="00A9330B" w:rsidRDefault="00AD5193" w:rsidP="00940ABD">
      <w:pPr>
        <w:spacing w:line="240" w:lineRule="auto"/>
        <w:jc w:val="both"/>
        <w:rPr>
          <w:rFonts w:eastAsia="Times New Roman" w:cs="Arial"/>
          <w:color w:val="auto"/>
          <w:szCs w:val="24"/>
          <w:lang w:eastAsia="fr-FR"/>
        </w:rPr>
      </w:pPr>
      <w:r w:rsidRPr="00A9330B">
        <w:rPr>
          <w:rFonts w:eastAsia="Calibri" w:cs="Arial"/>
          <w:color w:val="auto"/>
          <w:szCs w:val="24"/>
          <w:lang w:eastAsia="fr-FR"/>
        </w:rPr>
        <w:t>La végétation de la ville est essentiellement composée des espèces exotiques plantées et de quelque rares espèces autochtones protégées par endroit.</w:t>
      </w:r>
    </w:p>
    <w:p w14:paraId="58E862B8" w14:textId="77777777" w:rsidR="00AD5193" w:rsidRPr="00A9330B" w:rsidRDefault="00AD5193" w:rsidP="007E530D">
      <w:pPr>
        <w:spacing w:line="240" w:lineRule="auto"/>
        <w:jc w:val="both"/>
        <w:rPr>
          <w:rFonts w:eastAsia="Calibri" w:cs="Arial"/>
          <w:color w:val="auto"/>
          <w:szCs w:val="24"/>
          <w:lang w:eastAsia="fr-FR"/>
        </w:rPr>
      </w:pPr>
      <w:r w:rsidRPr="00A9330B">
        <w:rPr>
          <w:rFonts w:eastAsia="Calibri" w:cs="Arial"/>
          <w:color w:val="auto"/>
          <w:szCs w:val="24"/>
          <w:lang w:eastAsia="fr-FR"/>
        </w:rPr>
        <w:t xml:space="preserve">La forte urbanisation constitue le facteur clé de la perte de la diversité floristique. La végétation spontanée ne se limite qu’à quelques espèces </w:t>
      </w:r>
    </w:p>
    <w:p w14:paraId="264B6A94" w14:textId="77777777" w:rsidR="00C55B18" w:rsidRPr="00A9330B" w:rsidRDefault="00C55B18" w:rsidP="00A9330B">
      <w:pPr>
        <w:pStyle w:val="Lgende"/>
        <w:rPr>
          <w:rFonts w:eastAsia="Calibri"/>
        </w:rPr>
      </w:pPr>
      <w:r w:rsidRPr="00A9330B">
        <w:t xml:space="preserve">Figure C : </w:t>
      </w:r>
      <w:r w:rsidRPr="00A9330B">
        <w:rPr>
          <w:rFonts w:eastAsia="Calibri"/>
        </w:rPr>
        <w:t>Familles des espèces inventoriées sur les sites des ouvrages à Natitingou</w:t>
      </w:r>
    </w:p>
    <w:p w14:paraId="662024A7" w14:textId="77777777" w:rsidR="00AD5193" w:rsidRPr="00A9330B" w:rsidRDefault="00AD5193" w:rsidP="00AD5193">
      <w:pPr>
        <w:spacing w:line="360" w:lineRule="auto"/>
        <w:jc w:val="center"/>
        <w:rPr>
          <w:rFonts w:ascii="Times New Roman" w:eastAsia="Calibri" w:hAnsi="Times New Roman" w:cs="Times New Roman"/>
          <w:color w:val="auto"/>
          <w:sz w:val="24"/>
          <w:szCs w:val="24"/>
          <w:lang w:eastAsia="fr-FR"/>
        </w:rPr>
      </w:pPr>
      <w:r w:rsidRPr="00A9330B">
        <w:rPr>
          <w:rFonts w:ascii="Times New Roman" w:eastAsia="Calibri" w:hAnsi="Times New Roman" w:cs="Times New Roman"/>
          <w:noProof/>
          <w:color w:val="auto"/>
          <w:sz w:val="24"/>
          <w:szCs w:val="24"/>
          <w:lang w:eastAsia="fr-FR"/>
        </w:rPr>
        <w:drawing>
          <wp:inline distT="0" distB="0" distL="0" distR="0" wp14:anchorId="59E91495" wp14:editId="5DC78213">
            <wp:extent cx="4382219" cy="2682815"/>
            <wp:effectExtent l="0" t="0" r="18415" b="3810"/>
            <wp:docPr id="31" name="Graphique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5F7F738A" w14:textId="77777777" w:rsidR="00AD5193" w:rsidRPr="00A9330B" w:rsidRDefault="00AD5193" w:rsidP="00AD5193">
      <w:pPr>
        <w:spacing w:after="120" w:line="240" w:lineRule="auto"/>
        <w:jc w:val="center"/>
        <w:rPr>
          <w:rFonts w:eastAsia="Calibri" w:cs="Arial"/>
          <w:color w:val="auto"/>
          <w:szCs w:val="24"/>
          <w:lang w:eastAsia="fr-FR"/>
        </w:rPr>
      </w:pPr>
      <w:r w:rsidRPr="00A9330B">
        <w:rPr>
          <w:rFonts w:eastAsia="Calibri" w:cs="Arial"/>
          <w:b/>
          <w:color w:val="auto"/>
          <w:szCs w:val="24"/>
          <w:lang w:eastAsia="fr-FR"/>
        </w:rPr>
        <w:t>Source </w:t>
      </w:r>
      <w:r w:rsidRPr="00A9330B">
        <w:rPr>
          <w:rFonts w:eastAsia="Calibri" w:cs="Arial"/>
          <w:color w:val="auto"/>
          <w:szCs w:val="24"/>
          <w:lang w:eastAsia="fr-FR"/>
        </w:rPr>
        <w:t>: Enquête de terrain, juin 2020</w:t>
      </w:r>
    </w:p>
    <w:p w14:paraId="37806633" w14:textId="77777777" w:rsidR="00AD5193" w:rsidRPr="00A9330B" w:rsidRDefault="00AD5193" w:rsidP="0011523E">
      <w:pPr>
        <w:jc w:val="both"/>
        <w:rPr>
          <w:rFonts w:eastAsia="Calibri" w:cs="Arial"/>
          <w:i/>
        </w:rPr>
      </w:pPr>
      <w:r w:rsidRPr="00A9330B">
        <w:t xml:space="preserve">Beaucoup d’espèces végétales seront affectées par le projet. Il s’agit précisément de </w:t>
      </w:r>
      <w:r w:rsidRPr="00A9330B">
        <w:rPr>
          <w:i/>
        </w:rPr>
        <w:t>Azadirachta indica, Mangifera indica, Tectona grandis, Gmelina arborea, Terminalia mantaly, Terminalia catappa, Vitellaria paradoxa, Parkia biglobosa, Anacardium occidentale.</w:t>
      </w:r>
    </w:p>
    <w:p w14:paraId="53DD9009" w14:textId="77777777" w:rsidR="00AD5193" w:rsidRPr="00A9330B" w:rsidRDefault="00AD5193" w:rsidP="00BD2F72">
      <w:pPr>
        <w:pStyle w:val="Titre40"/>
        <w:numPr>
          <w:ilvl w:val="0"/>
          <w:numId w:val="100"/>
        </w:numPr>
      </w:pPr>
      <w:r w:rsidRPr="00A9330B">
        <w:t xml:space="preserve"> </w:t>
      </w:r>
      <w:bookmarkStart w:id="73" w:name="_Toc45520729"/>
      <w:bookmarkStart w:id="74" w:name="_Toc52869540"/>
      <w:r w:rsidRPr="00A9330B">
        <w:t>Occupation du sol</w:t>
      </w:r>
      <w:bookmarkEnd w:id="73"/>
      <w:bookmarkEnd w:id="74"/>
      <w:r w:rsidRPr="00A9330B">
        <w:t xml:space="preserve"> </w:t>
      </w:r>
    </w:p>
    <w:p w14:paraId="75EB9D7B" w14:textId="0864E0D2" w:rsidR="00AD5193" w:rsidRPr="00A9330B" w:rsidRDefault="00AD5193" w:rsidP="00AD5193">
      <w:pPr>
        <w:jc w:val="both"/>
      </w:pPr>
      <w:r w:rsidRPr="00A9330B">
        <w:t xml:space="preserve">Certains biens seront probablement touchés pendant la phase d’exécution des travaux. Il s’agit notamment des habitations, des hangars, </w:t>
      </w:r>
      <w:r w:rsidR="00940ABD" w:rsidRPr="00A9330B">
        <w:t xml:space="preserve">des </w:t>
      </w:r>
      <w:r w:rsidRPr="00A9330B">
        <w:t xml:space="preserve">rampes, </w:t>
      </w:r>
      <w:r w:rsidR="00940ABD" w:rsidRPr="00A9330B">
        <w:t xml:space="preserve">des </w:t>
      </w:r>
      <w:r w:rsidRPr="00A9330B">
        <w:t xml:space="preserve">escaliers, </w:t>
      </w:r>
      <w:r w:rsidR="00940ABD" w:rsidRPr="00A9330B">
        <w:t xml:space="preserve">des </w:t>
      </w:r>
      <w:r w:rsidRPr="00A9330B">
        <w:t xml:space="preserve">champs, </w:t>
      </w:r>
      <w:r w:rsidR="00940ABD" w:rsidRPr="00A9330B">
        <w:t xml:space="preserve">des </w:t>
      </w:r>
      <w:r w:rsidRPr="00A9330B">
        <w:t xml:space="preserve">jardins de cases, des bas-fonds, des galeries forestières, des pépinières, etc. </w:t>
      </w:r>
      <w:r w:rsidRPr="00A9330B">
        <w:rPr>
          <w:rFonts w:cs="Arial"/>
        </w:rPr>
        <w:t xml:space="preserve">La figure ci-dessous présente l’occupation de l’emprise d’un ouvrage dans la ville de Natitingou.   </w:t>
      </w:r>
    </w:p>
    <w:bookmarkEnd w:id="67"/>
    <w:bookmarkEnd w:id="68"/>
    <w:p w14:paraId="4B48C8A4" w14:textId="77777777" w:rsidR="0011523E" w:rsidRPr="00A9330B" w:rsidRDefault="0011523E">
      <w:pPr>
        <w:spacing w:before="0" w:after="160" w:line="259" w:lineRule="auto"/>
        <w:rPr>
          <w:b/>
          <w:sz w:val="20"/>
          <w:szCs w:val="20"/>
        </w:rPr>
      </w:pPr>
      <w:r w:rsidRPr="00A9330B">
        <w:rPr>
          <w:b/>
          <w:sz w:val="20"/>
          <w:szCs w:val="20"/>
        </w:rPr>
        <w:br w:type="page"/>
      </w:r>
    </w:p>
    <w:p w14:paraId="4A3FC385" w14:textId="5A178E81" w:rsidR="00AD5193" w:rsidRPr="00A9330B" w:rsidRDefault="00AD5193" w:rsidP="00AD5193">
      <w:pPr>
        <w:rPr>
          <w:b/>
          <w:sz w:val="20"/>
          <w:szCs w:val="20"/>
        </w:rPr>
      </w:pPr>
      <w:r w:rsidRPr="00A9330B">
        <w:rPr>
          <w:b/>
          <w:sz w:val="20"/>
          <w:szCs w:val="20"/>
        </w:rPr>
        <w:lastRenderedPageBreak/>
        <w:t xml:space="preserve">Figure </w:t>
      </w:r>
      <w:r w:rsidR="003634C9" w:rsidRPr="00A9330B">
        <w:rPr>
          <w:b/>
          <w:sz w:val="20"/>
          <w:szCs w:val="20"/>
        </w:rPr>
        <w:t xml:space="preserve">D : </w:t>
      </w:r>
      <w:r w:rsidRPr="00A9330B">
        <w:rPr>
          <w:b/>
          <w:sz w:val="20"/>
          <w:szCs w:val="20"/>
        </w:rPr>
        <w:t>Occupation de l’emprise du collecteur A1 (Fourigninkè) dans la ville de Natitingou</w:t>
      </w:r>
    </w:p>
    <w:p w14:paraId="66D6D8E8" w14:textId="2D242FE9" w:rsidR="00C55B18" w:rsidRPr="00A9330B" w:rsidRDefault="00C55B18" w:rsidP="00AD5193">
      <w:pPr>
        <w:rPr>
          <w:b/>
          <w:sz w:val="20"/>
          <w:szCs w:val="20"/>
        </w:rPr>
      </w:pPr>
      <w:r w:rsidRPr="00A9330B">
        <w:rPr>
          <w:noProof/>
          <w:lang w:eastAsia="fr-FR"/>
        </w:rPr>
        <w:drawing>
          <wp:inline distT="0" distB="0" distL="0" distR="0" wp14:anchorId="604ECB91" wp14:editId="05D9F37E">
            <wp:extent cx="5448300" cy="8046301"/>
            <wp:effectExtent l="0" t="0" r="0" b="0"/>
            <wp:docPr id="38" name="Image 38" descr="C:\Users\HP\Desktop\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HP\Desktop\1.png"/>
                    <pic:cNvPicPr>
                      <a:picLocks noChangeAspect="1" noChangeArrowheads="1"/>
                    </pic:cNvPicPr>
                  </pic:nvPicPr>
                  <pic:blipFill rotWithShape="1">
                    <a:blip r:embed="rId16">
                      <a:extLst>
                        <a:ext uri="{28A0092B-C50C-407E-A947-70E740481C1C}">
                          <a14:useLocalDpi xmlns:a14="http://schemas.microsoft.com/office/drawing/2010/main" val="0"/>
                        </a:ext>
                      </a:extLst>
                    </a:blip>
                    <a:srcRect l="1819" r="9387"/>
                    <a:stretch/>
                  </pic:blipFill>
                  <pic:spPr bwMode="auto">
                    <a:xfrm>
                      <a:off x="0" y="0"/>
                      <a:ext cx="5456227" cy="8058008"/>
                    </a:xfrm>
                    <a:prstGeom prst="rect">
                      <a:avLst/>
                    </a:prstGeom>
                    <a:noFill/>
                    <a:ln>
                      <a:noFill/>
                    </a:ln>
                    <a:extLst>
                      <a:ext uri="{53640926-AAD7-44D8-BBD7-CCE9431645EC}">
                        <a14:shadowObscured xmlns:a14="http://schemas.microsoft.com/office/drawing/2010/main"/>
                      </a:ext>
                    </a:extLst>
                  </pic:spPr>
                </pic:pic>
              </a:graphicData>
            </a:graphic>
          </wp:inline>
        </w:drawing>
      </w:r>
    </w:p>
    <w:p w14:paraId="0B3CB257" w14:textId="1F591294" w:rsidR="00AD5193" w:rsidRPr="00A9330B" w:rsidRDefault="00AD5193" w:rsidP="000F7BA7">
      <w:pPr>
        <w:jc w:val="both"/>
      </w:pPr>
      <w:r w:rsidRPr="00A9330B">
        <w:t>L’emprise du colle</w:t>
      </w:r>
      <w:r w:rsidR="00D94FF6" w:rsidRPr="00A9330B">
        <w:t>c</w:t>
      </w:r>
      <w:r w:rsidRPr="00A9330B">
        <w:t xml:space="preserve">teur A1 est occupée par des maisons, des enclos d’élevage, des clôtures, des fosses septiques, des cuisines. Il ressort de l’analyse de cette figure que plusieurs biens seront affectés par la construction de ce collecteur. Ces biens ayant bénéficié d’un recensement doivent faire objet d’indemnisation aux personnes affectées par le projet avant le démarrage des travaux. </w:t>
      </w:r>
    </w:p>
    <w:p w14:paraId="33CF42D9" w14:textId="1FDDC95B" w:rsidR="00002D78" w:rsidRPr="00A9330B" w:rsidRDefault="00002D78" w:rsidP="00002D78">
      <w:pPr>
        <w:pStyle w:val="Corpsdetexte"/>
        <w:tabs>
          <w:tab w:val="left" w:pos="3573"/>
          <w:tab w:val="left" w:pos="4469"/>
        </w:tabs>
        <w:jc w:val="both"/>
        <w:rPr>
          <w:rFonts w:eastAsia="Calibri" w:cs="Arial"/>
        </w:rPr>
      </w:pPr>
      <w:r w:rsidRPr="00A9330B">
        <w:rPr>
          <w:rFonts w:eastAsia="Calibri" w:cs="Arial"/>
        </w:rPr>
        <w:lastRenderedPageBreak/>
        <w:t>Compte tenu du relief montagneux et des pentes, l’inondation est ressentie dans les bas-fonds et autour des cours d’eau dans les années pluvieuses ou après des pluies diluviennes. Un recensement des bas-fonds fait au niveau du CeCPA Natitingou donne 616 ha environ (Projet PUASA).</w:t>
      </w:r>
    </w:p>
    <w:p w14:paraId="6259AD3B" w14:textId="09CCF1B1" w:rsidR="006F0EBF" w:rsidRPr="00A9330B" w:rsidRDefault="006F0EBF" w:rsidP="006F0EBF">
      <w:pPr>
        <w:pStyle w:val="Corpsdetexte"/>
        <w:tabs>
          <w:tab w:val="left" w:pos="3573"/>
          <w:tab w:val="left" w:pos="4469"/>
        </w:tabs>
        <w:jc w:val="both"/>
        <w:rPr>
          <w:rFonts w:eastAsia="Calibri" w:cs="Arial"/>
        </w:rPr>
      </w:pPr>
      <w:r w:rsidRPr="00A9330B">
        <w:rPr>
          <w:rFonts w:eastAsia="Calibri" w:cs="Arial"/>
        </w:rPr>
        <w:t xml:space="preserve">Le système d’assainissement est composé d’une série de collecteurs longitudinaux réalisés en deux types de matériaux pour l’essentiel. Il s’agit </w:t>
      </w:r>
      <w:r w:rsidR="0008610C" w:rsidRPr="00A9330B">
        <w:rPr>
          <w:rFonts w:eastAsia="Calibri" w:cs="Arial"/>
        </w:rPr>
        <w:t xml:space="preserve">de </w:t>
      </w:r>
      <w:r w:rsidRPr="00A9330B">
        <w:rPr>
          <w:rFonts w:eastAsia="Calibri" w:cs="Arial"/>
        </w:rPr>
        <w:t>:</w:t>
      </w:r>
    </w:p>
    <w:p w14:paraId="2557A34D" w14:textId="4B0284F6" w:rsidR="006F0EBF" w:rsidRPr="00A9330B" w:rsidRDefault="006F0EBF" w:rsidP="00BD2F72">
      <w:pPr>
        <w:pStyle w:val="Corpsdetexte"/>
        <w:numPr>
          <w:ilvl w:val="0"/>
          <w:numId w:val="134"/>
        </w:numPr>
        <w:tabs>
          <w:tab w:val="left" w:pos="3573"/>
          <w:tab w:val="left" w:pos="4469"/>
        </w:tabs>
        <w:jc w:val="both"/>
        <w:rPr>
          <w:rFonts w:eastAsia="Calibri" w:cs="Arial"/>
        </w:rPr>
      </w:pPr>
      <w:r w:rsidRPr="00A9330B">
        <w:rPr>
          <w:rFonts w:eastAsia="Calibri" w:cs="Arial"/>
        </w:rPr>
        <w:t>collecteurs en perrés maçonnés localisés au niveau des rues situées à l’est de la RNIE 3,</w:t>
      </w:r>
    </w:p>
    <w:p w14:paraId="2E2085E8" w14:textId="01814C3C" w:rsidR="006F0EBF" w:rsidRPr="00A9330B" w:rsidRDefault="006F0EBF" w:rsidP="00BD2F72">
      <w:pPr>
        <w:pStyle w:val="Corpsdetexte"/>
        <w:numPr>
          <w:ilvl w:val="0"/>
          <w:numId w:val="134"/>
        </w:numPr>
        <w:tabs>
          <w:tab w:val="left" w:pos="3573"/>
          <w:tab w:val="left" w:pos="4469"/>
        </w:tabs>
        <w:jc w:val="both"/>
        <w:rPr>
          <w:rFonts w:eastAsia="Calibri" w:cs="Arial"/>
        </w:rPr>
      </w:pPr>
      <w:r w:rsidRPr="00A9330B">
        <w:rPr>
          <w:rFonts w:eastAsia="Calibri" w:cs="Arial"/>
        </w:rPr>
        <w:t>collecteurs en béton armé situés au niveau des rues localisées à l’ouest de la RNIE 3.</w:t>
      </w:r>
    </w:p>
    <w:p w14:paraId="30BDF351" w14:textId="2A58EF36" w:rsidR="006F0EBF" w:rsidRPr="00A9330B" w:rsidRDefault="006F0EBF" w:rsidP="006F0EBF">
      <w:pPr>
        <w:pStyle w:val="Corpsdetexte"/>
        <w:tabs>
          <w:tab w:val="left" w:pos="3573"/>
          <w:tab w:val="left" w:pos="4469"/>
        </w:tabs>
        <w:jc w:val="both"/>
        <w:rPr>
          <w:rFonts w:eastAsia="Calibri" w:cs="Arial"/>
        </w:rPr>
      </w:pPr>
      <w:r w:rsidRPr="00A9330B">
        <w:rPr>
          <w:rFonts w:eastAsia="Calibri" w:cs="Arial"/>
        </w:rPr>
        <w:t>Ces collecteurs conduisent les eaux vers des canaux naturels non aménagés.</w:t>
      </w:r>
    </w:p>
    <w:p w14:paraId="7D9696A9" w14:textId="6F1BB438" w:rsidR="0008610C" w:rsidRPr="00A9330B" w:rsidRDefault="006F0EBF" w:rsidP="006F0EBF">
      <w:pPr>
        <w:pStyle w:val="Corpsdetexte"/>
        <w:tabs>
          <w:tab w:val="left" w:pos="3573"/>
          <w:tab w:val="left" w:pos="4469"/>
        </w:tabs>
        <w:jc w:val="both"/>
        <w:rPr>
          <w:rFonts w:eastAsia="Calibri" w:cs="Arial"/>
        </w:rPr>
      </w:pPr>
      <w:r w:rsidRPr="00A9330B">
        <w:rPr>
          <w:rFonts w:eastAsia="Calibri" w:cs="Arial"/>
        </w:rPr>
        <w:t>Le système de drainage des eaux pluviales existant est en mauvais état dans la ville de Natitingou. La faible canalisation dans la ville de Natitingou entraîne le ravinement des voies par les eaux de ruissellement surtout à cause des fortes pentes</w:t>
      </w:r>
      <w:r w:rsidR="0008610C" w:rsidRPr="00A9330B">
        <w:rPr>
          <w:rFonts w:eastAsia="Calibri" w:cs="Arial"/>
        </w:rPr>
        <w:t>.</w:t>
      </w:r>
    </w:p>
    <w:p w14:paraId="14DDC0CB" w14:textId="4FF7A0BB" w:rsidR="0008610C" w:rsidRPr="00A9330B" w:rsidRDefault="0008610C" w:rsidP="006F0EBF">
      <w:pPr>
        <w:pStyle w:val="Corpsdetexte"/>
        <w:tabs>
          <w:tab w:val="left" w:pos="3573"/>
          <w:tab w:val="left" w:pos="4469"/>
        </w:tabs>
        <w:jc w:val="both"/>
        <w:rPr>
          <w:rFonts w:eastAsia="Calibri" w:cs="Arial"/>
        </w:rPr>
      </w:pPr>
      <w:r w:rsidRPr="00A9330B">
        <w:rPr>
          <w:rFonts w:eastAsia="Calibri" w:cs="Arial"/>
        </w:rPr>
        <w:t>La majorité des rues ne possède pas d’ouvrages d’assainissement et les existants sont parfois en mauvais état ou n’arrivent pas à collecter les toutes les eaux vers les exutoires.</w:t>
      </w:r>
    </w:p>
    <w:p w14:paraId="69DE0F21" w14:textId="30822FCB" w:rsidR="0008610C" w:rsidRPr="00A9330B" w:rsidRDefault="0008610C" w:rsidP="0008610C">
      <w:pPr>
        <w:pStyle w:val="Corpsdetexte"/>
        <w:tabs>
          <w:tab w:val="left" w:pos="3573"/>
          <w:tab w:val="left" w:pos="4469"/>
        </w:tabs>
        <w:jc w:val="both"/>
        <w:rPr>
          <w:rFonts w:eastAsia="Times New Roman" w:cs="Arial"/>
          <w:b/>
          <w:color w:val="000000"/>
          <w:sz w:val="20"/>
          <w:szCs w:val="20"/>
          <w:lang w:eastAsia="fr-FR"/>
        </w:rPr>
      </w:pPr>
      <w:r w:rsidRPr="00A9330B">
        <w:rPr>
          <w:rFonts w:eastAsia="Times New Roman" w:cs="Arial"/>
          <w:b/>
          <w:color w:val="000000"/>
          <w:sz w:val="20"/>
          <w:szCs w:val="20"/>
          <w:lang w:eastAsia="fr-FR"/>
        </w:rPr>
        <w:t xml:space="preserve">Images qui illustrent le système d’assainissement dans la ville de Natitingou </w:t>
      </w:r>
    </w:p>
    <w:p w14:paraId="0D70440F" w14:textId="24DBCA73" w:rsidR="0008610C" w:rsidRPr="00A9330B" w:rsidRDefault="0008610C" w:rsidP="0008610C">
      <w:pPr>
        <w:pStyle w:val="Corpsdetexte"/>
        <w:tabs>
          <w:tab w:val="left" w:pos="3573"/>
          <w:tab w:val="left" w:pos="4469"/>
        </w:tabs>
        <w:jc w:val="both"/>
        <w:rPr>
          <w:rFonts w:eastAsia="Calibri" w:cs="Arial"/>
        </w:rPr>
      </w:pPr>
      <w:r w:rsidRPr="00A9330B">
        <w:rPr>
          <w:rFonts w:ascii="Century Gothic" w:hAnsi="Century Gothic" w:cs="Arial"/>
          <w:noProof/>
          <w:lang w:eastAsia="fr-FR"/>
        </w:rPr>
        <w:drawing>
          <wp:inline distT="0" distB="0" distL="0" distR="0" wp14:anchorId="228F98E1" wp14:editId="79E8AB9A">
            <wp:extent cx="3133520" cy="2351315"/>
            <wp:effectExtent l="0" t="0" r="0" b="0"/>
            <wp:docPr id="5" name="Image 5" descr="C:\Users\hp\Desktop\PAPVS_CECO\IMG_20200607_174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hp\Desktop\PAPVS_CECO\IMG_20200607_174106.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156086" cy="2368248"/>
                    </a:xfrm>
                    <a:prstGeom prst="rect">
                      <a:avLst/>
                    </a:prstGeom>
                    <a:noFill/>
                    <a:ln>
                      <a:noFill/>
                    </a:ln>
                  </pic:spPr>
                </pic:pic>
              </a:graphicData>
            </a:graphic>
          </wp:inline>
        </w:drawing>
      </w:r>
    </w:p>
    <w:p w14:paraId="4F1455E6" w14:textId="668857B5" w:rsidR="0008610C" w:rsidRPr="00A9330B" w:rsidRDefault="0008610C" w:rsidP="0008610C">
      <w:pPr>
        <w:pStyle w:val="Corpsdetexte"/>
        <w:tabs>
          <w:tab w:val="left" w:pos="3573"/>
          <w:tab w:val="left" w:pos="4469"/>
        </w:tabs>
        <w:jc w:val="both"/>
        <w:rPr>
          <w:rFonts w:eastAsia="SimSun"/>
          <w:b/>
          <w:sz w:val="20"/>
          <w:szCs w:val="20"/>
        </w:rPr>
      </w:pPr>
      <w:bookmarkStart w:id="75" w:name="_Toc45823500"/>
      <w:r w:rsidRPr="00A9330B">
        <w:rPr>
          <w:rFonts w:eastAsia="SimSun"/>
          <w:b/>
          <w:sz w:val="20"/>
          <w:szCs w:val="20"/>
        </w:rPr>
        <w:t xml:space="preserve">Photo </w:t>
      </w:r>
      <w:r w:rsidRPr="00A9330B">
        <w:rPr>
          <w:rFonts w:eastAsia="SimSun"/>
          <w:b/>
          <w:sz w:val="20"/>
          <w:szCs w:val="20"/>
        </w:rPr>
        <w:fldChar w:fldCharType="begin"/>
      </w:r>
      <w:r w:rsidRPr="00A9330B">
        <w:rPr>
          <w:rFonts w:eastAsia="SimSun"/>
          <w:b/>
          <w:sz w:val="20"/>
          <w:szCs w:val="20"/>
        </w:rPr>
        <w:instrText xml:space="preserve"> SEQ Photo \* ARABIC </w:instrText>
      </w:r>
      <w:r w:rsidRPr="00A9330B">
        <w:rPr>
          <w:rFonts w:eastAsia="SimSun"/>
          <w:b/>
          <w:sz w:val="20"/>
          <w:szCs w:val="20"/>
        </w:rPr>
        <w:fldChar w:fldCharType="separate"/>
      </w:r>
      <w:r w:rsidRPr="00A9330B">
        <w:rPr>
          <w:rFonts w:eastAsia="SimSun"/>
          <w:b/>
          <w:noProof/>
          <w:sz w:val="20"/>
          <w:szCs w:val="20"/>
        </w:rPr>
        <w:t>1</w:t>
      </w:r>
      <w:r w:rsidRPr="00A9330B">
        <w:rPr>
          <w:rFonts w:eastAsia="SimSun"/>
          <w:b/>
          <w:sz w:val="20"/>
          <w:szCs w:val="20"/>
        </w:rPr>
        <w:fldChar w:fldCharType="end"/>
      </w:r>
      <w:r w:rsidRPr="00A9330B">
        <w:rPr>
          <w:rFonts w:eastAsia="SimSun"/>
          <w:b/>
          <w:sz w:val="20"/>
          <w:szCs w:val="20"/>
        </w:rPr>
        <w:t> : Dalot 5x250x200 fonctionnel la rivière Funrigninkèrè</w:t>
      </w:r>
      <w:bookmarkEnd w:id="75"/>
    </w:p>
    <w:p w14:paraId="73FE9A25" w14:textId="3190FFEE" w:rsidR="0008610C" w:rsidRPr="00A9330B" w:rsidRDefault="0008610C" w:rsidP="000F7BA7">
      <w:pPr>
        <w:pStyle w:val="Corpsdetexte"/>
        <w:tabs>
          <w:tab w:val="left" w:pos="3573"/>
          <w:tab w:val="left" w:pos="4469"/>
        </w:tabs>
        <w:jc w:val="right"/>
        <w:rPr>
          <w:rFonts w:eastAsia="Calibri" w:cs="Arial"/>
        </w:rPr>
      </w:pPr>
      <w:r w:rsidRPr="00A9330B">
        <w:rPr>
          <w:rFonts w:ascii="Century Gothic" w:hAnsi="Century Gothic" w:cs="Arial"/>
          <w:noProof/>
          <w:lang w:eastAsia="fr-FR"/>
        </w:rPr>
        <w:drawing>
          <wp:inline distT="0" distB="0" distL="0" distR="0" wp14:anchorId="0B0150C4" wp14:editId="4C8423BA">
            <wp:extent cx="2977085" cy="2233930"/>
            <wp:effectExtent l="0" t="0" r="0" b="0"/>
            <wp:docPr id="225" name="Image 225" descr="C:\Users\hp\Desktop\PAPVS_CECO\IMG_20200607_1608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hp\Desktop\PAPVS_CECO\IMG_20200607_160812.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992351" cy="2245385"/>
                    </a:xfrm>
                    <a:prstGeom prst="rect">
                      <a:avLst/>
                    </a:prstGeom>
                    <a:noFill/>
                    <a:ln>
                      <a:noFill/>
                    </a:ln>
                  </pic:spPr>
                </pic:pic>
              </a:graphicData>
            </a:graphic>
          </wp:inline>
        </w:drawing>
      </w:r>
    </w:p>
    <w:p w14:paraId="3982E678" w14:textId="4BF4E5F1" w:rsidR="0008610C" w:rsidRPr="00A9330B" w:rsidRDefault="0008610C" w:rsidP="0008610C">
      <w:pPr>
        <w:pStyle w:val="Corpsdetexte"/>
        <w:tabs>
          <w:tab w:val="left" w:pos="3573"/>
          <w:tab w:val="left" w:pos="4469"/>
        </w:tabs>
        <w:jc w:val="right"/>
        <w:rPr>
          <w:b/>
          <w:sz w:val="20"/>
          <w:szCs w:val="20"/>
        </w:rPr>
      </w:pPr>
      <w:bookmarkStart w:id="76" w:name="_Toc45823504"/>
      <w:r w:rsidRPr="00A9330B">
        <w:rPr>
          <w:b/>
          <w:sz w:val="20"/>
          <w:szCs w:val="20"/>
        </w:rPr>
        <w:t xml:space="preserve">Photo </w:t>
      </w:r>
      <w:r w:rsidRPr="00A9330B">
        <w:rPr>
          <w:b/>
          <w:sz w:val="20"/>
          <w:szCs w:val="20"/>
        </w:rPr>
        <w:fldChar w:fldCharType="begin"/>
      </w:r>
      <w:r w:rsidRPr="00A9330B">
        <w:rPr>
          <w:b/>
          <w:sz w:val="20"/>
          <w:szCs w:val="20"/>
        </w:rPr>
        <w:instrText xml:space="preserve"> SEQ Photo \* ARABIC </w:instrText>
      </w:r>
      <w:r w:rsidRPr="00A9330B">
        <w:rPr>
          <w:b/>
          <w:sz w:val="20"/>
          <w:szCs w:val="20"/>
        </w:rPr>
        <w:fldChar w:fldCharType="separate"/>
      </w:r>
      <w:r w:rsidRPr="00A9330B">
        <w:rPr>
          <w:b/>
          <w:noProof/>
          <w:sz w:val="20"/>
          <w:szCs w:val="20"/>
        </w:rPr>
        <w:t>2</w:t>
      </w:r>
      <w:r w:rsidRPr="00A9330B">
        <w:rPr>
          <w:b/>
          <w:noProof/>
          <w:sz w:val="20"/>
          <w:szCs w:val="20"/>
        </w:rPr>
        <w:fldChar w:fldCharType="end"/>
      </w:r>
      <w:r w:rsidRPr="00A9330B">
        <w:rPr>
          <w:b/>
          <w:sz w:val="20"/>
          <w:szCs w:val="20"/>
        </w:rPr>
        <w:t> : Bactérie de buses inondé</w:t>
      </w:r>
      <w:r w:rsidR="00EB4FF6" w:rsidRPr="00A9330B">
        <w:rPr>
          <w:b/>
          <w:sz w:val="20"/>
          <w:szCs w:val="20"/>
        </w:rPr>
        <w:t>e</w:t>
      </w:r>
      <w:r w:rsidRPr="00A9330B">
        <w:rPr>
          <w:b/>
          <w:sz w:val="20"/>
          <w:szCs w:val="20"/>
        </w:rPr>
        <w:t xml:space="preserve"> en période de crue</w:t>
      </w:r>
      <w:bookmarkEnd w:id="76"/>
      <w:r w:rsidRPr="00A9330B">
        <w:rPr>
          <w:b/>
          <w:sz w:val="20"/>
          <w:szCs w:val="20"/>
        </w:rPr>
        <w:t xml:space="preserve"> </w:t>
      </w:r>
    </w:p>
    <w:p w14:paraId="0F1D1D25" w14:textId="455F4B5D" w:rsidR="0008610C" w:rsidRPr="00A9330B" w:rsidRDefault="0008610C" w:rsidP="000F7BA7">
      <w:pPr>
        <w:rPr>
          <w:lang w:eastAsia="fr-FR"/>
        </w:rPr>
      </w:pPr>
      <w:r w:rsidRPr="00A9330B">
        <w:rPr>
          <w:rFonts w:ascii="Century Gothic" w:hAnsi="Century Gothic"/>
          <w:noProof/>
          <w:lang w:eastAsia="fr-FR"/>
        </w:rPr>
        <w:lastRenderedPageBreak/>
        <w:drawing>
          <wp:inline distT="0" distB="0" distL="0" distR="0" wp14:anchorId="73DB1030" wp14:editId="360906BC">
            <wp:extent cx="3023367" cy="2268659"/>
            <wp:effectExtent l="0" t="0" r="5715" b="0"/>
            <wp:docPr id="226" name="Image 226" descr="C:\Users\hp\Desktop\PAPVS_CECO\IMG_20200607_1525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hp\Desktop\PAPVS_CECO\IMG_20200607_152523.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040175" cy="2281271"/>
                    </a:xfrm>
                    <a:prstGeom prst="rect">
                      <a:avLst/>
                    </a:prstGeom>
                    <a:noFill/>
                    <a:ln>
                      <a:noFill/>
                    </a:ln>
                  </pic:spPr>
                </pic:pic>
              </a:graphicData>
            </a:graphic>
          </wp:inline>
        </w:drawing>
      </w:r>
    </w:p>
    <w:p w14:paraId="68ED5085" w14:textId="7CA34B37" w:rsidR="0008610C" w:rsidRPr="00A9330B" w:rsidRDefault="0008610C" w:rsidP="00A9330B">
      <w:pPr>
        <w:pStyle w:val="Lgende"/>
        <w:rPr>
          <w:sz w:val="28"/>
        </w:rPr>
      </w:pPr>
      <w:bookmarkStart w:id="77" w:name="_Toc45823505"/>
      <w:r w:rsidRPr="00A9330B">
        <w:t xml:space="preserve">Photo </w:t>
      </w:r>
      <w:r w:rsidR="00D24D0D" w:rsidRPr="00A9330B">
        <w:fldChar w:fldCharType="begin"/>
      </w:r>
      <w:r w:rsidR="00D24D0D" w:rsidRPr="00A9330B">
        <w:instrText xml:space="preserve"> SEQ Photo \* ARABIC </w:instrText>
      </w:r>
      <w:r w:rsidR="00D24D0D" w:rsidRPr="00A9330B">
        <w:fldChar w:fldCharType="separate"/>
      </w:r>
      <w:r w:rsidRPr="00A9330B">
        <w:rPr>
          <w:noProof/>
        </w:rPr>
        <w:t>3</w:t>
      </w:r>
      <w:r w:rsidR="00D24D0D" w:rsidRPr="00A9330B">
        <w:rPr>
          <w:noProof/>
        </w:rPr>
        <w:fldChar w:fldCharType="end"/>
      </w:r>
      <w:r w:rsidRPr="00A9330B">
        <w:t> : Couloir d’écoulement</w:t>
      </w:r>
      <w:bookmarkEnd w:id="77"/>
      <w:r w:rsidRPr="00A9330B">
        <w:t xml:space="preserve"> </w:t>
      </w:r>
      <w:r w:rsidR="00EB4FF6" w:rsidRPr="00A9330B">
        <w:t xml:space="preserve">des eaux </w:t>
      </w:r>
    </w:p>
    <w:p w14:paraId="32927219" w14:textId="29837DF2" w:rsidR="00AD5193" w:rsidRPr="00A9330B" w:rsidRDefault="0011523E" w:rsidP="006E37A6">
      <w:pPr>
        <w:pStyle w:val="Titre20"/>
      </w:pPr>
      <w:bookmarkStart w:id="78" w:name="_Toc45520730"/>
      <w:bookmarkStart w:id="79" w:name="_Toc52869541"/>
      <w:bookmarkStart w:id="80" w:name="_Toc52869822"/>
      <w:r w:rsidRPr="00A9330B">
        <w:t xml:space="preserve">C. </w:t>
      </w:r>
      <w:r w:rsidR="00AD5193" w:rsidRPr="00A9330B">
        <w:t>Les principaux enjeux du projet</w:t>
      </w:r>
      <w:bookmarkEnd w:id="78"/>
      <w:bookmarkEnd w:id="79"/>
      <w:bookmarkEnd w:id="80"/>
      <w:r w:rsidR="00AD5193" w:rsidRPr="00A9330B">
        <w:t xml:space="preserve"> </w:t>
      </w:r>
    </w:p>
    <w:p w14:paraId="372FEF4A" w14:textId="77777777" w:rsidR="00AD5193" w:rsidRPr="00A9330B" w:rsidRDefault="00AD5193" w:rsidP="0011523E">
      <w:pPr>
        <w:jc w:val="both"/>
      </w:pPr>
      <w:r w:rsidRPr="00A9330B">
        <w:t>La mise en œuvre du projet fait appel à des enjeux environnementaux et sociaux non négligeables.</w:t>
      </w:r>
    </w:p>
    <w:p w14:paraId="44FBCB4A" w14:textId="77777777" w:rsidR="00AD5193" w:rsidRPr="00A9330B" w:rsidRDefault="00AD5193" w:rsidP="0011523E">
      <w:pPr>
        <w:jc w:val="both"/>
      </w:pPr>
      <w:r w:rsidRPr="00A9330B">
        <w:rPr>
          <w:b/>
        </w:rPr>
        <w:t>Meilleur assainissement de la ville</w:t>
      </w:r>
      <w:r w:rsidRPr="00A9330B">
        <w:t xml:space="preserve"> (le projet permettra de lutter efficacement contre les inondations, l’érosion des voies et contribuera fortement au bien-être des populations). </w:t>
      </w:r>
    </w:p>
    <w:p w14:paraId="0AB2B4D2" w14:textId="77777777" w:rsidR="00AD5193" w:rsidRPr="00A9330B" w:rsidRDefault="00AD5193" w:rsidP="0011523E">
      <w:pPr>
        <w:jc w:val="both"/>
        <w:rPr>
          <w:lang w:eastAsia="fr-FR"/>
        </w:rPr>
      </w:pPr>
      <w:r w:rsidRPr="00A9330B">
        <w:rPr>
          <w:b/>
          <w:noProof/>
        </w:rPr>
        <w:t>Modification de l’aspect paysager</w:t>
      </w:r>
      <w:r w:rsidRPr="00A9330B">
        <w:rPr>
          <w:noProof/>
        </w:rPr>
        <w:t xml:space="preserve"> (l</w:t>
      </w:r>
      <w:r w:rsidRPr="00A9330B">
        <w:rPr>
          <w:lang w:eastAsia="fr-FR"/>
        </w:rPr>
        <w:t>e paysage, récepteur du projet est l’agglomération dans la mesure où les travaux se feront en milieu urbain et périurbain et les impacts seront principalement perçus par les populations. Les effets sur le paysage seront suffisamment perçus : les collecteurs à ciel ouvert sont de grandes dimensions et traversent pratiquement la ville sur plusieurs tronçons). Les rues à aménager permettront de mieux structurer l’espace et le résultat sera une ville plus belle.</w:t>
      </w:r>
    </w:p>
    <w:p w14:paraId="04CF9517" w14:textId="77777777" w:rsidR="00AD5193" w:rsidRPr="00A9330B" w:rsidRDefault="00AD5193" w:rsidP="0011523E">
      <w:pPr>
        <w:jc w:val="both"/>
      </w:pPr>
      <w:r w:rsidRPr="00A9330B">
        <w:rPr>
          <w:b/>
          <w:noProof/>
        </w:rPr>
        <w:t>Déplacement des persones et des biens</w:t>
      </w:r>
      <w:r w:rsidRPr="00A9330B">
        <w:rPr>
          <w:noProof/>
        </w:rPr>
        <w:t xml:space="preserve"> (l</w:t>
      </w:r>
      <w:r w:rsidRPr="00A9330B">
        <w:t>e projet se déroule en milieu où l’occupation est dense. Il a été constaté que les itinéraires proposés traversent des domaines privés ou abritent parfois des installations dont les plus importants sont : les habitations, les espaces maraichers, des installations commerciales, etc. La libération des emprises aura aussi pour conséquences le déplacement des installations et des biens existants dans l’emprise).</w:t>
      </w:r>
    </w:p>
    <w:p w14:paraId="2A973AB2" w14:textId="77777777" w:rsidR="00AD5193" w:rsidRPr="00A9330B" w:rsidRDefault="00AD5193" w:rsidP="0011523E">
      <w:pPr>
        <w:jc w:val="both"/>
      </w:pPr>
      <w:r w:rsidRPr="00A9330B">
        <w:rPr>
          <w:b/>
        </w:rPr>
        <w:t>Amélioration des conditions de vie</w:t>
      </w:r>
      <w:r w:rsidRPr="00A9330B">
        <w:t xml:space="preserve"> (l’amélioration des conditions de vie et de santé dans les zones concernées surtout les zones défavorisées et la contribution à la résolution des questions de développement humain et social).</w:t>
      </w:r>
    </w:p>
    <w:p w14:paraId="06B38001" w14:textId="77777777" w:rsidR="00AD5193" w:rsidRPr="00A9330B" w:rsidRDefault="00AD5193" w:rsidP="0011523E">
      <w:pPr>
        <w:jc w:val="both"/>
        <w:rPr>
          <w:lang w:eastAsia="fr-FR"/>
        </w:rPr>
      </w:pPr>
      <w:r w:rsidRPr="00A9330B">
        <w:rPr>
          <w:b/>
        </w:rPr>
        <w:t>Amélioration de la santé</w:t>
      </w:r>
      <w:r w:rsidRPr="00A9330B">
        <w:t xml:space="preserve"> (l</w:t>
      </w:r>
      <w:r w:rsidRPr="00A9330B">
        <w:rPr>
          <w:lang w:eastAsia="fr-FR"/>
        </w:rPr>
        <w:t xml:space="preserve">’assainissement permettra l’amélioration de la santé des populations bénéficiaires par une réduction des maladies hydriques. Il permettra aux populations d’avoir accès à l’eau potable et donc d’éviter les maladies hydriques et d’avoir une bonne santé). </w:t>
      </w:r>
    </w:p>
    <w:p w14:paraId="2F4268D3" w14:textId="77777777" w:rsidR="00AD5193" w:rsidRPr="00A9330B" w:rsidRDefault="00AD5193" w:rsidP="0011523E">
      <w:pPr>
        <w:jc w:val="both"/>
        <w:rPr>
          <w:lang w:eastAsia="fr-FR"/>
        </w:rPr>
      </w:pPr>
      <w:r w:rsidRPr="00A9330B">
        <w:rPr>
          <w:b/>
          <w:noProof/>
        </w:rPr>
        <w:t>Foncier</w:t>
      </w:r>
      <w:r w:rsidRPr="00A9330B">
        <w:rPr>
          <w:noProof/>
        </w:rPr>
        <w:t xml:space="preserve"> (la </w:t>
      </w:r>
      <w:r w:rsidRPr="00A9330B">
        <w:rPr>
          <w:lang w:eastAsia="fr-FR"/>
        </w:rPr>
        <w:t xml:space="preserve">réalisation du projet nécessitera l’acquisition de terre pour la construction des installations. Les propriétaires et les exploitants actuels perdront définitivement leurs domaines. Il y aura par conséquent un déplacement involontaire de personnes affectées par le projet et une perte temporaire ou définitive de revenus tirés de l’exploitation de terres. Cette situation constitue un enjeu majeur pour les populations affectées et nécessite une indemnisation juste et équitable qui ne doit pas faire l’objet de contestation. L’indemnisation doit permettre aux populations de rétablir leur ancien niveau de revenu ou de l’améliorer. Pour ce faire, il faut un suivi social des personnes affectées et le processus d’indemnisation doit impliquer toute structure compétente en la matière). </w:t>
      </w:r>
    </w:p>
    <w:p w14:paraId="21BC44EA" w14:textId="120722F8" w:rsidR="00AD5193" w:rsidRPr="00A9330B" w:rsidRDefault="0011523E" w:rsidP="006E37A6">
      <w:pPr>
        <w:pStyle w:val="Titre20"/>
        <w:rPr>
          <w:lang w:eastAsia="de-DE"/>
        </w:rPr>
      </w:pPr>
      <w:bookmarkStart w:id="81" w:name="_Toc52869542"/>
      <w:bookmarkStart w:id="82" w:name="_Toc52869823"/>
      <w:r w:rsidRPr="00A9330B">
        <w:rPr>
          <w:lang w:eastAsia="de-DE"/>
        </w:rPr>
        <w:lastRenderedPageBreak/>
        <w:t>D</w:t>
      </w:r>
      <w:r w:rsidR="00AD5193" w:rsidRPr="00A9330B">
        <w:rPr>
          <w:lang w:eastAsia="de-DE"/>
        </w:rPr>
        <w:t>. Cadre politique, juridique et institutionnel du projet</w:t>
      </w:r>
      <w:bookmarkEnd w:id="81"/>
      <w:bookmarkEnd w:id="82"/>
    </w:p>
    <w:p w14:paraId="4EAC8BD1" w14:textId="2A15641C" w:rsidR="00AD5193" w:rsidRPr="00A9330B" w:rsidRDefault="00AD5193" w:rsidP="0011523E">
      <w:pPr>
        <w:jc w:val="both"/>
      </w:pPr>
      <w:r w:rsidRPr="00A9330B">
        <w:t xml:space="preserve">En tenant compte des exigences au plan national d’une part et des contingences internationales d’autre part, </w:t>
      </w:r>
      <w:r w:rsidRPr="00A9330B">
        <w:rPr>
          <w:lang w:eastAsia="fr-FR"/>
        </w:rPr>
        <w:t xml:space="preserve">le Bénin s’est doté de plusieurs documents de politiques stratégiques en rapport avec la question de la gestion des eaux pluviales et l’assainissement du cadre de vie des populations. Il s’agit notamment : a) du document de Politique Nationale de l’Hygiène et de l’Assainissement (PNHA) ; b) de la Stratégie Nationale de Promotion de l’Hygiène et de l’Assainissement (SNPHAB) en milieu rural et semi urbain ; c) du Document de Politique Nationale de l’Eau ; d) de la Stratégie Nationale de Gestion des Déchets, f) de la Politique Nationale de Prévention et de Gestion Intégrée des Catastrophes, du Plan </w:t>
      </w:r>
      <w:r w:rsidR="00940ABD" w:rsidRPr="00A9330B">
        <w:rPr>
          <w:lang w:eastAsia="fr-FR"/>
        </w:rPr>
        <w:t>D</w:t>
      </w:r>
      <w:r w:rsidRPr="00A9330B">
        <w:rPr>
          <w:lang w:eastAsia="fr-FR"/>
        </w:rPr>
        <w:t xml:space="preserve">irecteur d’Assainissement (PDA) </w:t>
      </w:r>
      <w:r w:rsidR="00940ABD" w:rsidRPr="00A9330B">
        <w:rPr>
          <w:lang w:eastAsia="fr-FR"/>
        </w:rPr>
        <w:t xml:space="preserve">de la ville de Natitingou </w:t>
      </w:r>
      <w:r w:rsidRPr="00A9330B">
        <w:rPr>
          <w:lang w:eastAsia="fr-FR"/>
        </w:rPr>
        <w:t xml:space="preserve">et du Schéma Directeur d’Aménagement de la Commune (SDAC) de </w:t>
      </w:r>
      <w:r w:rsidR="00940ABD" w:rsidRPr="00A9330B">
        <w:rPr>
          <w:lang w:eastAsia="fr-FR"/>
        </w:rPr>
        <w:t xml:space="preserve"> Natitingou</w:t>
      </w:r>
      <w:r w:rsidRPr="00A9330B">
        <w:rPr>
          <w:lang w:eastAsia="fr-FR"/>
        </w:rPr>
        <w:t xml:space="preserve">.. </w:t>
      </w:r>
    </w:p>
    <w:p w14:paraId="204D46DA" w14:textId="3B31B70F" w:rsidR="00DE6881" w:rsidRPr="00A9330B" w:rsidRDefault="00DE6881" w:rsidP="0011523E">
      <w:pPr>
        <w:jc w:val="both"/>
      </w:pPr>
      <w:r w:rsidRPr="00A9330B">
        <w:t>Ces documents de stratégie indiquent les lignes directrices à suivre dans les domaines concernés en matière d’aménagement, d’hygiène, d’assainissement et de prévention des risques et sont appuyés par des dispositions internationales (accords et conventions signés et ratifiés par le Bénin) et des textes législatifs et réglementaires qui sont d’ordre international et national.</w:t>
      </w:r>
    </w:p>
    <w:p w14:paraId="4FA3CCD2" w14:textId="29C3170D" w:rsidR="00DE6881" w:rsidRPr="00A9330B" w:rsidRDefault="00DE6881" w:rsidP="0011523E">
      <w:pPr>
        <w:jc w:val="both"/>
      </w:pPr>
      <w:r w:rsidRPr="00A9330B">
        <w:t xml:space="preserve">L’un des plus importants est la Conformément aux dispositions de la loi- cadre sur l’environnement (loi n°1998-03 du 12 février 1999 en son titre 5 article 88), qui dispose en </w:t>
      </w:r>
      <w:r w:rsidR="004112EB" w:rsidRPr="00A9330B">
        <w:t xml:space="preserve">son </w:t>
      </w:r>
      <w:r w:rsidRPr="00A9330B">
        <w:t>article 88 que</w:t>
      </w:r>
      <w:r w:rsidR="00EB4FF6" w:rsidRPr="00A9330B">
        <w:t xml:space="preserve"> </w:t>
      </w:r>
      <w:r w:rsidRPr="00A9330B">
        <w:t xml:space="preserve">: "Nul ne peut entreprendre des aménagements, des opérations sans suivre la procédure d’étude d’impact sur l’environnement, lorsque cette dernière est exigée par les lois et règlements". </w:t>
      </w:r>
    </w:p>
    <w:p w14:paraId="59F573E5" w14:textId="64C0DD25" w:rsidR="00DE6881" w:rsidRPr="00A9330B" w:rsidRDefault="00DE6881" w:rsidP="0011523E">
      <w:pPr>
        <w:jc w:val="both"/>
      </w:pPr>
      <w:r w:rsidRPr="00A9330B">
        <w:t xml:space="preserve">Au regard de cette disposition et de celles contenues dans le décret N°2017-332 du 06 juillet 2017 portant organisation des procédures d’évaluation environnementale en </w:t>
      </w:r>
      <w:r w:rsidR="00EB096D" w:rsidRPr="00A9330B">
        <w:t>R</w:t>
      </w:r>
      <w:r w:rsidRPr="00A9330B">
        <w:t xml:space="preserve">épublique du </w:t>
      </w:r>
      <w:r w:rsidR="0011523E" w:rsidRPr="00A9330B">
        <w:t>Bénin, et</w:t>
      </w:r>
      <w:r w:rsidRPr="00A9330B">
        <w:t xml:space="preserve"> couplée avec les exigences de la Banque Africaine de Développement, le PAPVS projet doit faire l’objet d’Etude d’Impact Environnemental et Social (EIES) approfondie.</w:t>
      </w:r>
    </w:p>
    <w:p w14:paraId="59AC8F5B" w14:textId="77777777" w:rsidR="00EB096D" w:rsidRPr="00A9330B" w:rsidRDefault="00DE6881" w:rsidP="000F7BA7">
      <w:pPr>
        <w:jc w:val="both"/>
        <w:rPr>
          <w:iCs/>
        </w:rPr>
      </w:pPr>
      <w:r w:rsidRPr="00A9330B">
        <w:t>Le projet est classé Catégorie 2 conformément aux</w:t>
      </w:r>
      <w:r w:rsidR="00EB096D" w:rsidRPr="00A9330B">
        <w:t xml:space="preserve"> Sauvegardes Opérationnelles (SO) du Système de Sauvegardes Intégré (SSI) de la Banque Africaine de Développement (BAD) qui est le Partenaire Technique et Financier (PTF). Il </w:t>
      </w:r>
      <w:r w:rsidR="00EB096D" w:rsidRPr="00A9330B">
        <w:rPr>
          <w:lang w:eastAsia="fr-FR"/>
        </w:rPr>
        <w:t xml:space="preserve">s’agit de </w:t>
      </w:r>
      <w:r w:rsidR="00EB096D" w:rsidRPr="00A9330B">
        <w:rPr>
          <w:rFonts w:eastAsia="Calibri"/>
          <w:lang w:eastAsia="fr-FR"/>
        </w:rPr>
        <w:t>SO1 : Évaluation environnementale et sociale </w:t>
      </w:r>
      <w:r w:rsidR="00EB096D" w:rsidRPr="00A9330B">
        <w:rPr>
          <w:iCs/>
        </w:rPr>
        <w:t xml:space="preserve">; </w:t>
      </w:r>
      <w:r w:rsidR="00EB096D" w:rsidRPr="00A9330B">
        <w:rPr>
          <w:rFonts w:eastAsia="Calibri"/>
          <w:lang w:eastAsia="fr-FR"/>
        </w:rPr>
        <w:t>SO 2 : Réinstallation involontaire : acquisition de terres, déplacement et indemnisation des populations SO 3 : Biodiversité et services écosystémiques ; SO 4 : Prévention et contrôle de la pollution, gaz à effet de serre, matières dangereuses et utilisation efficiente des ressources </w:t>
      </w:r>
      <w:r w:rsidR="00EB096D" w:rsidRPr="00A9330B">
        <w:rPr>
          <w:iCs/>
        </w:rPr>
        <w:t xml:space="preserve">; </w:t>
      </w:r>
      <w:r w:rsidR="00EB096D" w:rsidRPr="00A9330B">
        <w:rPr>
          <w:rFonts w:eastAsia="Calibri"/>
          <w:lang w:eastAsia="fr-FR"/>
        </w:rPr>
        <w:t>SO 5 : Conditions de travail, santé et sécurité.</w:t>
      </w:r>
    </w:p>
    <w:p w14:paraId="3C03460D" w14:textId="0522BD6B" w:rsidR="00DE6881" w:rsidRPr="00A9330B" w:rsidRDefault="00DE6881" w:rsidP="0011523E">
      <w:pPr>
        <w:jc w:val="both"/>
      </w:pPr>
      <w:r w:rsidRPr="00A9330B">
        <w:t xml:space="preserve">Sur le plan national, plusieurs textes législatifs et réglementaires sont applicables au présent projet au nombre desquels on peut citer entre autres : a) </w:t>
      </w:r>
      <w:r w:rsidR="00EB096D" w:rsidRPr="00A9330B">
        <w:t xml:space="preserve">la </w:t>
      </w:r>
      <w:r w:rsidRPr="00A9330B">
        <w:t xml:space="preserve">loi n° 98-030 du 12 février 1999 portant loi-cadre sur l’environnement en République du Bénin ; b)  </w:t>
      </w:r>
      <w:r w:rsidR="00EB096D" w:rsidRPr="00A9330B">
        <w:t xml:space="preserve"> la l</w:t>
      </w:r>
      <w:r w:rsidRPr="00A9330B">
        <w:t xml:space="preserve">oi n° 2017-15 modifiant et complétant la loi n° 2013-01 du 14 août 2013 portant code foncier et domanial en République du Benin ; c) la loi n° 97-029 du 15 janvier 1999 portant organisation des communes en République du Bénin ; d) </w:t>
      </w:r>
      <w:r w:rsidR="00EB096D" w:rsidRPr="00A9330B">
        <w:t>la l</w:t>
      </w:r>
      <w:r w:rsidRPr="00A9330B">
        <w:t xml:space="preserve">oi N°2018 - du 06 Août 2018 sur les changements climatiques en République du Bénin ; </w:t>
      </w:r>
      <w:r w:rsidR="00EB096D" w:rsidRPr="00A9330B">
        <w:t>e</w:t>
      </w:r>
      <w:r w:rsidRPr="00A9330B">
        <w:t>) la loi portant code de l’hygiène publique, complétée par son décret d’application N°097-616 du 18 décembre 1987 portant code d</w:t>
      </w:r>
      <w:r w:rsidR="00002D78" w:rsidRPr="00A9330B">
        <w:t xml:space="preserve">e l’hygiène publique, etc., </w:t>
      </w:r>
      <w:r w:rsidRPr="00A9330B">
        <w:t>et leurs décrets d’application.</w:t>
      </w:r>
    </w:p>
    <w:p w14:paraId="6D138055" w14:textId="77777777" w:rsidR="0011523E" w:rsidRPr="00A9330B" w:rsidRDefault="0011523E" w:rsidP="0011523E">
      <w:pPr>
        <w:jc w:val="both"/>
        <w:rPr>
          <w:color w:val="auto"/>
        </w:rPr>
      </w:pPr>
      <w:r w:rsidRPr="00A9330B">
        <w:rPr>
          <w:color w:val="auto"/>
          <w:lang w:eastAsia="fr-FR"/>
        </w:rPr>
        <w:t xml:space="preserve">Sur le plan </w:t>
      </w:r>
      <w:r w:rsidRPr="00A9330B">
        <w:rPr>
          <w:color w:val="auto"/>
        </w:rPr>
        <w:t>institutionnel, les structures impliquées dans la mise en œuvre de ce projet sont :</w:t>
      </w:r>
      <w:r w:rsidRPr="00A9330B" w:rsidDel="00BE0EB3">
        <w:rPr>
          <w:color w:val="auto"/>
        </w:rPr>
        <w:t xml:space="preserve"> </w:t>
      </w:r>
    </w:p>
    <w:p w14:paraId="79A20381" w14:textId="77777777" w:rsidR="0008610C" w:rsidRPr="00A9330B" w:rsidRDefault="0008610C" w:rsidP="00BD2F72">
      <w:pPr>
        <w:pStyle w:val="Paragraphedeliste"/>
        <w:numPr>
          <w:ilvl w:val="0"/>
          <w:numId w:val="135"/>
        </w:numPr>
        <w:jc w:val="both"/>
        <w:rPr>
          <w:lang w:val="fr-FR"/>
        </w:rPr>
      </w:pPr>
      <w:r w:rsidRPr="00A9330B">
        <w:rPr>
          <w:b/>
          <w:lang w:val="fr-FR"/>
        </w:rPr>
        <w:t>le Maitre d’Ouvrage</w:t>
      </w:r>
      <w:r w:rsidRPr="00A9330B">
        <w:rPr>
          <w:lang w:val="fr-FR"/>
        </w:rPr>
        <w:t xml:space="preserve"> : Le Ministère du Cadre de Vie et du Développement Durable (MCVDD);</w:t>
      </w:r>
    </w:p>
    <w:p w14:paraId="576D61A6" w14:textId="77777777" w:rsidR="0008610C" w:rsidRPr="00A9330B" w:rsidRDefault="0008610C" w:rsidP="00BD2F72">
      <w:pPr>
        <w:pStyle w:val="Paragraphedeliste"/>
        <w:numPr>
          <w:ilvl w:val="0"/>
          <w:numId w:val="135"/>
        </w:numPr>
        <w:jc w:val="both"/>
        <w:rPr>
          <w:lang w:val="fr-FR"/>
        </w:rPr>
      </w:pPr>
      <w:r w:rsidRPr="00A9330B">
        <w:rPr>
          <w:b/>
          <w:lang w:val="fr-FR"/>
        </w:rPr>
        <w:t>Bénéficiaires</w:t>
      </w:r>
      <w:r w:rsidRPr="00A9330B">
        <w:rPr>
          <w:lang w:val="fr-FR"/>
        </w:rPr>
        <w:t xml:space="preserve"> : Les villes de Porto-Novo, Sèmè-Podji, Abomey-Calavi, Ouidah, Abomey, Bohicon, Parakou et Natitingou. Elles seront Maître d’Ouvrage après transfert de propriété sur la base de convention spécifique de transfert à signer avec l’Etat. </w:t>
      </w:r>
    </w:p>
    <w:p w14:paraId="1A480BD4" w14:textId="77777777" w:rsidR="0008610C" w:rsidRPr="00A9330B" w:rsidRDefault="0008610C" w:rsidP="00BD2F72">
      <w:pPr>
        <w:pStyle w:val="Paragraphedeliste"/>
        <w:numPr>
          <w:ilvl w:val="0"/>
          <w:numId w:val="135"/>
        </w:numPr>
        <w:jc w:val="both"/>
        <w:rPr>
          <w:lang w:val="fr-FR"/>
        </w:rPr>
      </w:pPr>
      <w:r w:rsidRPr="00A9330B">
        <w:rPr>
          <w:b/>
          <w:lang w:val="fr-FR"/>
        </w:rPr>
        <w:t>le Conseil d’Administration (CA)</w:t>
      </w:r>
      <w:r w:rsidRPr="00A9330B">
        <w:rPr>
          <w:lang w:val="fr-FR"/>
        </w:rPr>
        <w:t xml:space="preserve"> de l’Agence du Cadre de Vie pour le Développement du Territoire (ACVDT) jouera le rôle de Comité de pilotage du programme. Les sessions du CA de l’ACVDT dédiées au Programme d’Assainissement Pluvial des Villes </w:t>
      </w:r>
      <w:r w:rsidRPr="00A9330B">
        <w:rPr>
          <w:lang w:val="fr-FR"/>
        </w:rPr>
        <w:lastRenderedPageBreak/>
        <w:t>Secondaires seront ouvertes aux Maires ou leurs représentants qui auront droit de décision au même titre que les autres membres (confère détails de la liste des membres dans le cadre institutionnel) ;</w:t>
      </w:r>
    </w:p>
    <w:p w14:paraId="58FA746B" w14:textId="77777777" w:rsidR="0008610C" w:rsidRPr="00A9330B" w:rsidRDefault="0008610C" w:rsidP="00BD2F72">
      <w:pPr>
        <w:pStyle w:val="Paragraphedeliste"/>
        <w:numPr>
          <w:ilvl w:val="0"/>
          <w:numId w:val="135"/>
        </w:numPr>
        <w:jc w:val="both"/>
        <w:rPr>
          <w:lang w:val="fr-FR"/>
        </w:rPr>
      </w:pPr>
      <w:r w:rsidRPr="00A9330B">
        <w:rPr>
          <w:b/>
          <w:lang w:val="fr-FR"/>
        </w:rPr>
        <w:t>l’ACVDT</w:t>
      </w:r>
      <w:r w:rsidRPr="00A9330B">
        <w:rPr>
          <w:lang w:val="fr-FR"/>
        </w:rPr>
        <w:t> : est l’entité d’exécution du PAPVS qui va constituer un « Pool d’Experts » exclusivement dédié au programme à travers le recrutement du personnel clé (POOL PAPVS est intégré à l’organigramme du personnel de l’ACVDT).</w:t>
      </w:r>
    </w:p>
    <w:p w14:paraId="1B5113C0" w14:textId="6AAABCE3" w:rsidR="0008610C" w:rsidRPr="00A9330B" w:rsidRDefault="0008610C" w:rsidP="00BD2F72">
      <w:pPr>
        <w:pStyle w:val="Paragraphedeliste"/>
        <w:numPr>
          <w:ilvl w:val="0"/>
          <w:numId w:val="124"/>
        </w:numPr>
        <w:contextualSpacing w:val="0"/>
        <w:jc w:val="both"/>
        <w:rPr>
          <w:rFonts w:eastAsia="Calibri"/>
          <w:lang w:val="fr-FR"/>
        </w:rPr>
      </w:pPr>
      <w:r w:rsidRPr="00A9330B">
        <w:rPr>
          <w:rFonts w:eastAsia="Calibri"/>
          <w:b/>
          <w:lang w:val="fr-FR"/>
        </w:rPr>
        <w:t>l’Agence Béninoise pour l’Environnement (ABE)</w:t>
      </w:r>
      <w:r w:rsidRPr="00A9330B">
        <w:rPr>
          <w:rFonts w:eastAsia="Calibri"/>
          <w:lang w:val="fr-FR"/>
        </w:rPr>
        <w:t> : procédera à l’examen et à l’approbation de la présente Etude d’Impact Environnemental et Social et participera aussi au suivi externe de la mise en œuvre du Plan de Gestion Environnementale et Social</w:t>
      </w:r>
      <w:r w:rsidR="00AE180F" w:rsidRPr="00A9330B">
        <w:rPr>
          <w:rFonts w:eastAsia="Calibri"/>
          <w:lang w:val="fr-FR"/>
        </w:rPr>
        <w:t>e</w:t>
      </w:r>
      <w:r w:rsidRPr="00A9330B">
        <w:rPr>
          <w:rFonts w:eastAsia="Calibri"/>
          <w:lang w:val="fr-FR"/>
        </w:rPr>
        <w:t xml:space="preserve"> (PGES) ; </w:t>
      </w:r>
    </w:p>
    <w:p w14:paraId="106F6F4A" w14:textId="39E22093" w:rsidR="0008610C" w:rsidRPr="00A9330B" w:rsidRDefault="0008610C" w:rsidP="00BD2F72">
      <w:pPr>
        <w:pStyle w:val="Paragraphedeliste"/>
        <w:numPr>
          <w:ilvl w:val="0"/>
          <w:numId w:val="124"/>
        </w:numPr>
        <w:jc w:val="both"/>
        <w:rPr>
          <w:rFonts w:eastAsia="Calibri"/>
          <w:lang w:val="fr-FR"/>
        </w:rPr>
      </w:pPr>
      <w:r w:rsidRPr="00A9330B">
        <w:rPr>
          <w:rFonts w:eastAsia="Calibri"/>
          <w:b/>
          <w:lang w:val="fr-FR"/>
        </w:rPr>
        <w:t>les Services Techniques Déconcentrés du MCVDD</w:t>
      </w:r>
      <w:r w:rsidRPr="00A9330B">
        <w:rPr>
          <w:rFonts w:eastAsia="Calibri"/>
          <w:lang w:val="fr-FR"/>
        </w:rPr>
        <w:t xml:space="preserve"> notamment la Direction Générale de l’Environnement et du Climat, et la Direction Départementale du Cadre de Vie et du Développement Durable </w:t>
      </w:r>
      <w:r w:rsidR="006D02D8" w:rsidRPr="00A9330B">
        <w:rPr>
          <w:rFonts w:eastAsia="Calibri"/>
          <w:lang w:val="fr-FR"/>
        </w:rPr>
        <w:t>de l’Atacora/Donga</w:t>
      </w:r>
      <w:r w:rsidRPr="00A9330B">
        <w:rPr>
          <w:rFonts w:eastAsia="Calibri"/>
          <w:lang w:val="fr-FR"/>
        </w:rPr>
        <w:t xml:space="preserve"> (DDCVDD-</w:t>
      </w:r>
      <w:r w:rsidR="006D02D8" w:rsidRPr="00A9330B">
        <w:rPr>
          <w:rFonts w:eastAsia="Calibri"/>
          <w:lang w:val="fr-FR"/>
        </w:rPr>
        <w:t>A/D</w:t>
      </w:r>
      <w:r w:rsidRPr="00A9330B">
        <w:rPr>
          <w:rFonts w:eastAsia="Calibri"/>
          <w:lang w:val="fr-FR"/>
        </w:rPr>
        <w:t xml:space="preserve">) apporteront leur contribution dans la mise en œuvre du Plan de Gestion Environnementale et Sociale (PGES) ; </w:t>
      </w:r>
    </w:p>
    <w:p w14:paraId="1E0D28C0" w14:textId="77777777" w:rsidR="0008610C" w:rsidRPr="00A9330B" w:rsidRDefault="0008610C" w:rsidP="00EB4FF6">
      <w:pPr>
        <w:pStyle w:val="Paragraphedeliste"/>
        <w:numPr>
          <w:ilvl w:val="0"/>
          <w:numId w:val="124"/>
        </w:numPr>
        <w:ind w:hanging="294"/>
        <w:jc w:val="both"/>
        <w:rPr>
          <w:lang w:val="fr-FR"/>
        </w:rPr>
      </w:pPr>
      <w:r w:rsidRPr="00A9330B">
        <w:rPr>
          <w:b/>
          <w:lang w:val="fr-FR"/>
        </w:rPr>
        <w:t>les entreprises adjudicataires/prestataires</w:t>
      </w:r>
      <w:r w:rsidRPr="00A9330B">
        <w:rPr>
          <w:lang w:val="fr-FR"/>
        </w:rPr>
        <w:t xml:space="preserve"> (Contrôle–surveillance et exécution des travaux) : ils ont pour responsabilité à travers leurs Experts en Environnement, la mise en œuvre des obligations du PGES sur le chantier ; </w:t>
      </w:r>
    </w:p>
    <w:p w14:paraId="79E1106F" w14:textId="77777777" w:rsidR="0008610C" w:rsidRPr="00A9330B" w:rsidRDefault="0008610C" w:rsidP="00BD2F72">
      <w:pPr>
        <w:pStyle w:val="Paragraphedeliste"/>
        <w:numPr>
          <w:ilvl w:val="0"/>
          <w:numId w:val="124"/>
        </w:numPr>
        <w:jc w:val="both"/>
        <w:rPr>
          <w:lang w:val="fr-FR"/>
        </w:rPr>
      </w:pPr>
      <w:r w:rsidRPr="00A9330B">
        <w:rPr>
          <w:b/>
          <w:lang w:val="fr-FR"/>
        </w:rPr>
        <w:t>les ONGs et les Associations actives :</w:t>
      </w:r>
      <w:r w:rsidRPr="00A9330B">
        <w:rPr>
          <w:lang w:val="fr-FR"/>
        </w:rPr>
        <w:t xml:space="preserve"> En plus de la mobilisation sociale, elles participeront à la sensibilisation des populations et au suivi de la mise en œuvre des obligations du PGES à travers l’interpellation des principaux acteurs impliqués dans la réalisation des activités ;</w:t>
      </w:r>
    </w:p>
    <w:p w14:paraId="4A40657D" w14:textId="77777777" w:rsidR="0008610C" w:rsidRPr="00A9330B" w:rsidRDefault="0008610C" w:rsidP="00BD2F72">
      <w:pPr>
        <w:pStyle w:val="Paragraphedeliste"/>
        <w:numPr>
          <w:ilvl w:val="0"/>
          <w:numId w:val="124"/>
        </w:numPr>
        <w:jc w:val="both"/>
        <w:rPr>
          <w:lang w:val="fr-FR"/>
        </w:rPr>
      </w:pPr>
      <w:r w:rsidRPr="00A9330B">
        <w:rPr>
          <w:b/>
          <w:lang w:val="fr-FR"/>
        </w:rPr>
        <w:t>la BAD</w:t>
      </w:r>
      <w:r w:rsidRPr="00A9330B">
        <w:rPr>
          <w:lang w:val="fr-FR"/>
        </w:rPr>
        <w:t xml:space="preserve"> dispose d’un droit de suivi environnemental et social, conformément à ces sauvegardes opérationnelles. </w:t>
      </w:r>
    </w:p>
    <w:p w14:paraId="23824D4B" w14:textId="5DFE7F9E" w:rsidR="0008610C" w:rsidRPr="00A9330B" w:rsidRDefault="0008610C" w:rsidP="0064324E">
      <w:pPr>
        <w:pStyle w:val="Igip1"/>
      </w:pPr>
      <w:r w:rsidRPr="00A9330B">
        <w:t>Figure F : L’organigramme institutionnel du programme</w:t>
      </w:r>
    </w:p>
    <w:p w14:paraId="58DC0AC4" w14:textId="77777777" w:rsidR="0008610C" w:rsidRPr="00A9330B" w:rsidRDefault="0008610C" w:rsidP="0064324E">
      <w:pPr>
        <w:pStyle w:val="Igip1"/>
      </w:pPr>
      <w:r w:rsidRPr="00A9330B">
        <w:rPr>
          <w:lang w:eastAsia="fr-FR"/>
        </w:rPr>
        <w:drawing>
          <wp:inline distT="0" distB="0" distL="0" distR="0" wp14:anchorId="6B600DE8" wp14:editId="44B746C6">
            <wp:extent cx="5305425" cy="2724150"/>
            <wp:effectExtent l="38100" t="38100" r="47625" b="38100"/>
            <wp:docPr id="16" name="Diagramme 1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0" r:lo="rId21" r:qs="rId22" r:cs="rId23"/>
              </a:graphicData>
            </a:graphic>
          </wp:inline>
        </w:drawing>
      </w:r>
    </w:p>
    <w:p w14:paraId="0C95D6DA" w14:textId="77777777" w:rsidR="0008610C" w:rsidRPr="00A9330B" w:rsidRDefault="0008610C" w:rsidP="006E37A6">
      <w:pPr>
        <w:pStyle w:val="Igip1"/>
      </w:pPr>
      <w:r w:rsidRPr="00A9330B">
        <w:t>NB :  Le POOL PAPVS est intégré à l’organigramme du personnel de l’ACVDT</w:t>
      </w:r>
    </w:p>
    <w:p w14:paraId="26B1E9F7" w14:textId="6E96D349" w:rsidR="00AD5193" w:rsidRPr="00A9330B" w:rsidRDefault="00E82414" w:rsidP="00EB4FF6">
      <w:pPr>
        <w:pStyle w:val="Paragraphedeliste"/>
        <w:numPr>
          <w:ilvl w:val="0"/>
          <w:numId w:val="149"/>
        </w:numPr>
        <w:ind w:left="567" w:hanging="283"/>
        <w:rPr>
          <w:b/>
          <w:lang w:val="fr-FR"/>
        </w:rPr>
      </w:pPr>
      <w:bookmarkStart w:id="83" w:name="_Toc45520734"/>
      <w:bookmarkStart w:id="84" w:name="_Toc51843634"/>
      <w:r w:rsidRPr="00A9330B">
        <w:rPr>
          <w:b/>
          <w:lang w:val="fr-FR"/>
        </w:rPr>
        <w:t>l</w:t>
      </w:r>
      <w:r w:rsidR="00AD5193" w:rsidRPr="00A9330B">
        <w:rPr>
          <w:b/>
          <w:lang w:val="fr-FR"/>
        </w:rPr>
        <w:t>es bénéficiaires du projet</w:t>
      </w:r>
      <w:bookmarkEnd w:id="83"/>
      <w:bookmarkEnd w:id="84"/>
      <w:r w:rsidR="00AD5193" w:rsidRPr="00A9330B">
        <w:rPr>
          <w:b/>
          <w:lang w:val="fr-FR"/>
        </w:rPr>
        <w:t xml:space="preserve"> </w:t>
      </w:r>
    </w:p>
    <w:p w14:paraId="12697DDA" w14:textId="612278BC" w:rsidR="00AD5193" w:rsidRPr="00A9330B" w:rsidRDefault="00AD5193" w:rsidP="000F7BA7">
      <w:pPr>
        <w:spacing w:after="120" w:line="312" w:lineRule="auto"/>
        <w:jc w:val="both"/>
      </w:pPr>
      <w:r w:rsidRPr="00A9330B">
        <w:t xml:space="preserve">La population de la commune de </w:t>
      </w:r>
      <w:r w:rsidR="00584002" w:rsidRPr="00A9330B">
        <w:t xml:space="preserve">Natitingou </w:t>
      </w:r>
      <w:r w:rsidRPr="00A9330B">
        <w:t xml:space="preserve">constitue la première bénéficiaire du projet ne subira plus les désagréments des inondations périodiques et </w:t>
      </w:r>
      <w:r w:rsidR="00584002" w:rsidRPr="00A9330B">
        <w:t xml:space="preserve">que son </w:t>
      </w:r>
      <w:r w:rsidRPr="00A9330B">
        <w:t xml:space="preserve">cadre de vie sera amélioré. Le projet permettra la création d’emplois temporaires pendant la phase des travaux aussi </w:t>
      </w:r>
      <w:r w:rsidR="00584002" w:rsidRPr="00A9330B">
        <w:t xml:space="preserve">bien </w:t>
      </w:r>
      <w:r w:rsidRPr="00A9330B">
        <w:t xml:space="preserve">pour </w:t>
      </w:r>
      <w:r w:rsidRPr="00A9330B">
        <w:lastRenderedPageBreak/>
        <w:t xml:space="preserve">les hommes que </w:t>
      </w:r>
      <w:r w:rsidR="00584002" w:rsidRPr="00A9330B">
        <w:t xml:space="preserve">pour </w:t>
      </w:r>
      <w:r w:rsidRPr="00A9330B">
        <w:t xml:space="preserve">les femmes. Les petites et moyennes entreprises, les commerces, ateliers et prestataires </w:t>
      </w:r>
      <w:r w:rsidR="00584002" w:rsidRPr="00A9330B">
        <w:t xml:space="preserve">profiteront </w:t>
      </w:r>
      <w:r w:rsidRPr="00A9330B">
        <w:t>largement de cette opportunité d’affaires pour avoir des revenus.</w:t>
      </w:r>
    </w:p>
    <w:p w14:paraId="740DE05B" w14:textId="0A55283F" w:rsidR="00AD5193" w:rsidRPr="00A9330B" w:rsidRDefault="00AD5193" w:rsidP="000F7BA7">
      <w:pPr>
        <w:jc w:val="both"/>
        <w:rPr>
          <w:rFonts w:eastAsia="Arial"/>
        </w:rPr>
      </w:pPr>
      <w:r w:rsidRPr="00A9330B">
        <w:t xml:space="preserve">Enfin, la Mairie de </w:t>
      </w:r>
      <w:r w:rsidR="00584002" w:rsidRPr="00A9330B">
        <w:t xml:space="preserve">Natitingou </w:t>
      </w:r>
      <w:r w:rsidRPr="00A9330B">
        <w:t xml:space="preserve">constitue aussi un bénéficiaire direct du projet PAPVS car c’est </w:t>
      </w:r>
      <w:r w:rsidRPr="00A9330B">
        <w:rPr>
          <w:rFonts w:eastAsia="Arial"/>
        </w:rPr>
        <w:t>le premier maillon en matière de gestion directe des inondations au regard des articles 84 et 86, de la loi 97-029 du 15 janvier 1999 portant organisation des communes en République du Bénin.</w:t>
      </w:r>
    </w:p>
    <w:p w14:paraId="5365088B" w14:textId="18DE2B98" w:rsidR="00AD5193" w:rsidRPr="00A9330B" w:rsidRDefault="00002D78" w:rsidP="006E37A6">
      <w:pPr>
        <w:pStyle w:val="Titre20"/>
      </w:pPr>
      <w:bookmarkStart w:id="85" w:name="_Toc52869543"/>
      <w:bookmarkStart w:id="86" w:name="_Toc52869824"/>
      <w:r w:rsidRPr="00A9330B">
        <w:rPr>
          <w:rFonts w:eastAsia="Arial"/>
        </w:rPr>
        <w:t>E</w:t>
      </w:r>
      <w:r w:rsidR="00AD5193" w:rsidRPr="00A9330B">
        <w:rPr>
          <w:rFonts w:eastAsia="Arial"/>
        </w:rPr>
        <w:t>. Les impacts majeurs du projet</w:t>
      </w:r>
      <w:bookmarkEnd w:id="85"/>
      <w:bookmarkEnd w:id="86"/>
      <w:r w:rsidR="00AD5193" w:rsidRPr="00A9330B">
        <w:rPr>
          <w:rFonts w:eastAsia="Arial"/>
        </w:rPr>
        <w:t xml:space="preserve"> </w:t>
      </w:r>
    </w:p>
    <w:p w14:paraId="660599EE" w14:textId="77777777" w:rsidR="00AD5193" w:rsidRPr="00A9330B" w:rsidRDefault="00AD5193" w:rsidP="00AD5193">
      <w:r w:rsidRPr="00A9330B">
        <w:t xml:space="preserve">Les impacts positifs et négatifs ont été identifiés à travers les différentes phases du projet. Il s’agit : </w:t>
      </w:r>
    </w:p>
    <w:p w14:paraId="7FEF2CB4" w14:textId="6A9053E1" w:rsidR="00AD5193" w:rsidRPr="00A9330B" w:rsidRDefault="00AD5193" w:rsidP="00AD5193">
      <w:pPr>
        <w:spacing w:after="120"/>
        <w:rPr>
          <w:b/>
        </w:rPr>
      </w:pPr>
      <w:r w:rsidRPr="00A9330B">
        <w:rPr>
          <w:b/>
        </w:rPr>
        <w:t>Tableau </w:t>
      </w:r>
      <w:r w:rsidR="003634C9" w:rsidRPr="00A9330B">
        <w:rPr>
          <w:b/>
        </w:rPr>
        <w:t>IV</w:t>
      </w:r>
      <w:r w:rsidR="00002D78" w:rsidRPr="00A9330B">
        <w:rPr>
          <w:b/>
        </w:rPr>
        <w:t xml:space="preserve"> </w:t>
      </w:r>
      <w:r w:rsidRPr="00A9330B">
        <w:rPr>
          <w:b/>
        </w:rPr>
        <w:t>: Impacts positifs </w:t>
      </w:r>
    </w:p>
    <w:tbl>
      <w:tblPr>
        <w:tblStyle w:val="Grilledutableau"/>
        <w:tblW w:w="0" w:type="auto"/>
        <w:jc w:val="center"/>
        <w:tblLook w:val="04A0" w:firstRow="1" w:lastRow="0" w:firstColumn="1" w:lastColumn="0" w:noHBand="0" w:noVBand="1"/>
      </w:tblPr>
      <w:tblGrid>
        <w:gridCol w:w="3256"/>
        <w:gridCol w:w="5670"/>
      </w:tblGrid>
      <w:tr w:rsidR="00AD5193" w:rsidRPr="00A9330B" w14:paraId="6E4BE67D" w14:textId="77777777" w:rsidTr="00AD5193">
        <w:trPr>
          <w:tblHeader/>
          <w:jc w:val="center"/>
        </w:trPr>
        <w:tc>
          <w:tcPr>
            <w:tcW w:w="3256" w:type="dxa"/>
            <w:shd w:val="clear" w:color="auto" w:fill="00B0F0"/>
            <w:vAlign w:val="center"/>
          </w:tcPr>
          <w:p w14:paraId="1592EF27" w14:textId="77777777" w:rsidR="00AD5193" w:rsidRPr="00A9330B" w:rsidRDefault="00AD5193" w:rsidP="00002D78">
            <w:pPr>
              <w:rPr>
                <w:b/>
                <w:sz w:val="20"/>
                <w:szCs w:val="20"/>
              </w:rPr>
            </w:pPr>
            <w:r w:rsidRPr="00A9330B">
              <w:rPr>
                <w:b/>
                <w:sz w:val="20"/>
                <w:szCs w:val="20"/>
              </w:rPr>
              <w:t>Impacts positifs potentiels</w:t>
            </w:r>
          </w:p>
        </w:tc>
        <w:tc>
          <w:tcPr>
            <w:tcW w:w="5670" w:type="dxa"/>
            <w:shd w:val="clear" w:color="auto" w:fill="00B0F0"/>
            <w:vAlign w:val="center"/>
          </w:tcPr>
          <w:p w14:paraId="40ED6516" w14:textId="77777777" w:rsidR="00AD5193" w:rsidRPr="00A9330B" w:rsidRDefault="00AD5193" w:rsidP="00002D78">
            <w:pPr>
              <w:rPr>
                <w:b/>
                <w:sz w:val="20"/>
                <w:szCs w:val="20"/>
              </w:rPr>
            </w:pPr>
            <w:r w:rsidRPr="00A9330B">
              <w:rPr>
                <w:b/>
                <w:sz w:val="20"/>
                <w:szCs w:val="20"/>
              </w:rPr>
              <w:t>Description</w:t>
            </w:r>
          </w:p>
        </w:tc>
      </w:tr>
      <w:tr w:rsidR="00AD5193" w:rsidRPr="00A9330B" w14:paraId="7C5E3015" w14:textId="77777777" w:rsidTr="00AD5193">
        <w:trPr>
          <w:jc w:val="center"/>
        </w:trPr>
        <w:tc>
          <w:tcPr>
            <w:tcW w:w="3256" w:type="dxa"/>
          </w:tcPr>
          <w:p w14:paraId="70D64005" w14:textId="77777777" w:rsidR="00AD5193" w:rsidRPr="00A9330B" w:rsidRDefault="00AD5193" w:rsidP="000F7BA7">
            <w:pPr>
              <w:jc w:val="both"/>
              <w:rPr>
                <w:sz w:val="20"/>
                <w:szCs w:val="20"/>
              </w:rPr>
            </w:pPr>
            <w:r w:rsidRPr="00A9330B">
              <w:rPr>
                <w:sz w:val="20"/>
                <w:szCs w:val="20"/>
              </w:rPr>
              <w:t>Création d’emplois temporaires pour les ouvriers et techniciens</w:t>
            </w:r>
          </w:p>
        </w:tc>
        <w:tc>
          <w:tcPr>
            <w:tcW w:w="5670" w:type="dxa"/>
          </w:tcPr>
          <w:p w14:paraId="6662EE55" w14:textId="77777777" w:rsidR="00AD5193" w:rsidRPr="00A9330B" w:rsidRDefault="00AD5193" w:rsidP="000F7BA7">
            <w:pPr>
              <w:jc w:val="both"/>
              <w:rPr>
                <w:sz w:val="20"/>
                <w:szCs w:val="20"/>
              </w:rPr>
            </w:pPr>
            <w:r w:rsidRPr="00A9330B">
              <w:rPr>
                <w:sz w:val="20"/>
                <w:szCs w:val="20"/>
              </w:rPr>
              <w:t>Des ouvriers seront recrutés pour réaliser les travaux et ainsi avoir des revenus</w:t>
            </w:r>
          </w:p>
        </w:tc>
      </w:tr>
      <w:tr w:rsidR="00AD5193" w:rsidRPr="00A9330B" w14:paraId="6E54DAA3" w14:textId="77777777" w:rsidTr="00AD5193">
        <w:trPr>
          <w:jc w:val="center"/>
        </w:trPr>
        <w:tc>
          <w:tcPr>
            <w:tcW w:w="3256" w:type="dxa"/>
          </w:tcPr>
          <w:p w14:paraId="44678379" w14:textId="77777777" w:rsidR="00AD5193" w:rsidRPr="00A9330B" w:rsidRDefault="00AD5193" w:rsidP="000F7BA7">
            <w:pPr>
              <w:jc w:val="both"/>
              <w:rPr>
                <w:sz w:val="20"/>
                <w:szCs w:val="20"/>
              </w:rPr>
            </w:pPr>
            <w:r w:rsidRPr="00A9330B">
              <w:rPr>
                <w:sz w:val="20"/>
                <w:szCs w:val="20"/>
              </w:rPr>
              <w:t>Création de nouvelles opportunités d’affaires</w:t>
            </w:r>
          </w:p>
        </w:tc>
        <w:tc>
          <w:tcPr>
            <w:tcW w:w="5670" w:type="dxa"/>
          </w:tcPr>
          <w:p w14:paraId="522B9DE2" w14:textId="77777777" w:rsidR="00AD5193" w:rsidRPr="00A9330B" w:rsidRDefault="00AD5193" w:rsidP="000F7BA7">
            <w:pPr>
              <w:jc w:val="both"/>
              <w:rPr>
                <w:sz w:val="20"/>
                <w:szCs w:val="20"/>
              </w:rPr>
            </w:pPr>
            <w:r w:rsidRPr="00A9330B">
              <w:rPr>
                <w:sz w:val="20"/>
                <w:szCs w:val="20"/>
              </w:rPr>
              <w:t>La présence des ouvriers dans les bases vie ou sur les chantiers aura un impact positif sur le fonctionnement de nombreuses petites unités commerciales, vente de denrées alimentaires et petits métiers.</w:t>
            </w:r>
          </w:p>
        </w:tc>
      </w:tr>
      <w:tr w:rsidR="00AD5193" w:rsidRPr="00A9330B" w14:paraId="4B8DC3E8" w14:textId="77777777" w:rsidTr="00AD5193">
        <w:trPr>
          <w:jc w:val="center"/>
        </w:trPr>
        <w:tc>
          <w:tcPr>
            <w:tcW w:w="3256" w:type="dxa"/>
          </w:tcPr>
          <w:p w14:paraId="4854A2DD" w14:textId="77777777" w:rsidR="00AD5193" w:rsidRPr="00A9330B" w:rsidRDefault="00AD5193" w:rsidP="000F7BA7">
            <w:pPr>
              <w:jc w:val="both"/>
              <w:rPr>
                <w:sz w:val="20"/>
                <w:szCs w:val="20"/>
              </w:rPr>
            </w:pPr>
            <w:r w:rsidRPr="00A9330B">
              <w:rPr>
                <w:sz w:val="20"/>
                <w:szCs w:val="20"/>
              </w:rPr>
              <w:t>Mise à disposition de bois de feu et de bois d’œuvre</w:t>
            </w:r>
          </w:p>
          <w:p w14:paraId="71F8D7AB" w14:textId="77777777" w:rsidR="00AD5193" w:rsidRPr="00A9330B" w:rsidRDefault="00AD5193" w:rsidP="000F7BA7">
            <w:pPr>
              <w:jc w:val="both"/>
              <w:rPr>
                <w:sz w:val="20"/>
                <w:szCs w:val="20"/>
              </w:rPr>
            </w:pPr>
            <w:r w:rsidRPr="00A9330B">
              <w:rPr>
                <w:sz w:val="20"/>
                <w:szCs w:val="20"/>
              </w:rPr>
              <w:t xml:space="preserve">Création de revenus </w:t>
            </w:r>
          </w:p>
        </w:tc>
        <w:tc>
          <w:tcPr>
            <w:tcW w:w="5670" w:type="dxa"/>
          </w:tcPr>
          <w:p w14:paraId="72769DB9" w14:textId="1387C6FE" w:rsidR="00AD5193" w:rsidRPr="00A9330B" w:rsidRDefault="00AD5193" w:rsidP="000F7BA7">
            <w:pPr>
              <w:jc w:val="both"/>
              <w:rPr>
                <w:sz w:val="20"/>
                <w:szCs w:val="20"/>
              </w:rPr>
            </w:pPr>
            <w:r w:rsidRPr="00A9330B">
              <w:rPr>
                <w:sz w:val="20"/>
                <w:szCs w:val="20"/>
              </w:rPr>
              <w:t>La libération des emprises implique l’abattage des arbres qui sont affectés par le projet. Si la commune et les quartiers sont bien organisés, les produits d’abattage seront mis à la disposition de la population pour en tirer profit</w:t>
            </w:r>
          </w:p>
        </w:tc>
      </w:tr>
      <w:tr w:rsidR="00AD5193" w:rsidRPr="00A9330B" w14:paraId="39C56901" w14:textId="77777777" w:rsidTr="00AD5193">
        <w:trPr>
          <w:jc w:val="center"/>
        </w:trPr>
        <w:tc>
          <w:tcPr>
            <w:tcW w:w="3256" w:type="dxa"/>
          </w:tcPr>
          <w:p w14:paraId="18A1854F" w14:textId="77777777" w:rsidR="00AD5193" w:rsidRPr="00A9330B" w:rsidRDefault="00AD5193" w:rsidP="00002D78">
            <w:pPr>
              <w:rPr>
                <w:sz w:val="20"/>
                <w:szCs w:val="20"/>
              </w:rPr>
            </w:pPr>
            <w:r w:rsidRPr="00A9330B">
              <w:rPr>
                <w:sz w:val="20"/>
                <w:szCs w:val="20"/>
              </w:rPr>
              <w:t xml:space="preserve">Mobilité urbaine </w:t>
            </w:r>
          </w:p>
          <w:p w14:paraId="0783DC01" w14:textId="77777777" w:rsidR="00AD5193" w:rsidRPr="00A9330B" w:rsidRDefault="00AD5193" w:rsidP="00002D78">
            <w:pPr>
              <w:rPr>
                <w:sz w:val="20"/>
                <w:szCs w:val="20"/>
              </w:rPr>
            </w:pPr>
          </w:p>
        </w:tc>
        <w:tc>
          <w:tcPr>
            <w:tcW w:w="5670" w:type="dxa"/>
          </w:tcPr>
          <w:p w14:paraId="689BBD98" w14:textId="77777777" w:rsidR="00AD5193" w:rsidRPr="00A9330B" w:rsidRDefault="00AD5193" w:rsidP="000F7BA7">
            <w:pPr>
              <w:jc w:val="both"/>
              <w:rPr>
                <w:sz w:val="20"/>
                <w:szCs w:val="20"/>
              </w:rPr>
            </w:pPr>
            <w:r w:rsidRPr="00A9330B">
              <w:rPr>
                <w:sz w:val="20"/>
                <w:szCs w:val="20"/>
              </w:rPr>
              <w:t>En effet, en offrant un réseau d’infrastructures développé et en bon état et des services de transport performants et compétitifs, on aboutit à la réduction des coûts, le bon approvisionnement des marchés et le développement des activités économiques, l’accès aux ressources, le confort dans la circulation,  etc.</w:t>
            </w:r>
          </w:p>
        </w:tc>
      </w:tr>
      <w:tr w:rsidR="00AD5193" w:rsidRPr="00A9330B" w14:paraId="1A887381" w14:textId="77777777" w:rsidTr="00AD5193">
        <w:trPr>
          <w:jc w:val="center"/>
        </w:trPr>
        <w:tc>
          <w:tcPr>
            <w:tcW w:w="3256" w:type="dxa"/>
          </w:tcPr>
          <w:p w14:paraId="655A1DB5" w14:textId="77777777" w:rsidR="00AD5193" w:rsidRPr="00A9330B" w:rsidRDefault="00AD5193" w:rsidP="00002D78">
            <w:pPr>
              <w:rPr>
                <w:sz w:val="20"/>
                <w:szCs w:val="20"/>
              </w:rPr>
            </w:pPr>
            <w:r w:rsidRPr="00A9330B">
              <w:rPr>
                <w:sz w:val="20"/>
                <w:szCs w:val="20"/>
              </w:rPr>
              <w:t>Création d’emploi dû aux travaux</w:t>
            </w:r>
          </w:p>
          <w:p w14:paraId="4D329A7F" w14:textId="77777777" w:rsidR="00AD5193" w:rsidRPr="00A9330B" w:rsidRDefault="00AD5193" w:rsidP="00002D78">
            <w:pPr>
              <w:rPr>
                <w:sz w:val="20"/>
                <w:szCs w:val="20"/>
              </w:rPr>
            </w:pPr>
            <w:r w:rsidRPr="00A9330B">
              <w:rPr>
                <w:sz w:val="20"/>
                <w:szCs w:val="20"/>
              </w:rPr>
              <w:t xml:space="preserve">Création d’opportunités économiques pour les prestataires </w:t>
            </w:r>
          </w:p>
          <w:p w14:paraId="295DC9A3" w14:textId="77777777" w:rsidR="00AD5193" w:rsidRPr="00A9330B" w:rsidRDefault="00AD5193" w:rsidP="00002D78">
            <w:pPr>
              <w:rPr>
                <w:sz w:val="20"/>
                <w:szCs w:val="20"/>
              </w:rPr>
            </w:pPr>
          </w:p>
        </w:tc>
        <w:tc>
          <w:tcPr>
            <w:tcW w:w="5670" w:type="dxa"/>
          </w:tcPr>
          <w:p w14:paraId="0E0D4158" w14:textId="77777777" w:rsidR="00AD5193" w:rsidRPr="00A9330B" w:rsidRDefault="00AD5193" w:rsidP="000F7BA7">
            <w:pPr>
              <w:jc w:val="both"/>
              <w:rPr>
                <w:sz w:val="20"/>
                <w:szCs w:val="20"/>
              </w:rPr>
            </w:pPr>
            <w:r w:rsidRPr="00A9330B">
              <w:rPr>
                <w:sz w:val="20"/>
                <w:szCs w:val="20"/>
              </w:rPr>
              <w:t>La réalisation du projet permettra la création d'emplois durant la phase de construction, et induira une augmentation du revenu contribuant ainsi à la lutte contre la pauvreté.</w:t>
            </w:r>
          </w:p>
          <w:p w14:paraId="2D907941" w14:textId="77777777" w:rsidR="00AD5193" w:rsidRPr="00A9330B" w:rsidRDefault="00AD5193" w:rsidP="000F7BA7">
            <w:pPr>
              <w:jc w:val="both"/>
              <w:rPr>
                <w:sz w:val="20"/>
                <w:szCs w:val="20"/>
              </w:rPr>
            </w:pPr>
            <w:r w:rsidRPr="00A9330B">
              <w:rPr>
                <w:sz w:val="20"/>
                <w:szCs w:val="20"/>
              </w:rPr>
              <w:t xml:space="preserve">Les opérateurs économiques et les prestataires de service auront des opportunités d’affaires à travers les approvisionnements en matériaux, la sous-traitance, la location des engins et équipements, etc, </w:t>
            </w:r>
          </w:p>
        </w:tc>
      </w:tr>
      <w:tr w:rsidR="00AD5193" w:rsidRPr="00A9330B" w14:paraId="72BE24B3" w14:textId="77777777" w:rsidTr="00AD5193">
        <w:trPr>
          <w:jc w:val="center"/>
        </w:trPr>
        <w:tc>
          <w:tcPr>
            <w:tcW w:w="3256" w:type="dxa"/>
          </w:tcPr>
          <w:p w14:paraId="7FC3DAE0" w14:textId="77777777" w:rsidR="00AD5193" w:rsidRPr="00A9330B" w:rsidRDefault="00AD5193" w:rsidP="00002D78">
            <w:pPr>
              <w:rPr>
                <w:sz w:val="20"/>
                <w:szCs w:val="20"/>
              </w:rPr>
            </w:pPr>
            <w:r w:rsidRPr="00A9330B">
              <w:rPr>
                <w:sz w:val="20"/>
                <w:szCs w:val="20"/>
              </w:rPr>
              <w:t>Amélioration de l’accessibilité</w:t>
            </w:r>
          </w:p>
          <w:p w14:paraId="17B0BA5D" w14:textId="77777777" w:rsidR="00AD5193" w:rsidRPr="00A9330B" w:rsidRDefault="00AD5193" w:rsidP="00002D78">
            <w:pPr>
              <w:rPr>
                <w:sz w:val="20"/>
                <w:szCs w:val="20"/>
              </w:rPr>
            </w:pPr>
          </w:p>
        </w:tc>
        <w:tc>
          <w:tcPr>
            <w:tcW w:w="5670" w:type="dxa"/>
          </w:tcPr>
          <w:p w14:paraId="71EA4658" w14:textId="77777777" w:rsidR="00AD5193" w:rsidRPr="00A9330B" w:rsidRDefault="00AD5193" w:rsidP="000F7BA7">
            <w:pPr>
              <w:jc w:val="both"/>
              <w:rPr>
                <w:sz w:val="20"/>
                <w:szCs w:val="20"/>
              </w:rPr>
            </w:pPr>
            <w:r w:rsidRPr="00A9330B">
              <w:rPr>
                <w:sz w:val="20"/>
                <w:szCs w:val="20"/>
              </w:rPr>
              <w:t xml:space="preserve">L’amélioration de l’accessibilité est effective notamment pour l’accès aux équipements scolaires, administratifs et de santé de même que les marchés. </w:t>
            </w:r>
          </w:p>
          <w:p w14:paraId="43997F87" w14:textId="77777777" w:rsidR="00AD5193" w:rsidRPr="00A9330B" w:rsidRDefault="00AD5193" w:rsidP="000F7BA7">
            <w:pPr>
              <w:jc w:val="both"/>
              <w:rPr>
                <w:sz w:val="20"/>
                <w:szCs w:val="20"/>
              </w:rPr>
            </w:pPr>
            <w:r w:rsidRPr="00A9330B">
              <w:rPr>
                <w:sz w:val="20"/>
                <w:szCs w:val="20"/>
              </w:rPr>
              <w:t>Sur le plan social, les infrastructures en bon état facilitent l’accès aux services de base.</w:t>
            </w:r>
          </w:p>
        </w:tc>
      </w:tr>
      <w:tr w:rsidR="00AD5193" w:rsidRPr="00A9330B" w14:paraId="0A886EDA" w14:textId="77777777" w:rsidTr="00AD5193">
        <w:trPr>
          <w:jc w:val="center"/>
        </w:trPr>
        <w:tc>
          <w:tcPr>
            <w:tcW w:w="3256" w:type="dxa"/>
          </w:tcPr>
          <w:p w14:paraId="0392CBE3" w14:textId="77777777" w:rsidR="00AD5193" w:rsidRPr="00A9330B" w:rsidRDefault="00AD5193" w:rsidP="00002D78">
            <w:pPr>
              <w:rPr>
                <w:sz w:val="20"/>
                <w:szCs w:val="20"/>
              </w:rPr>
            </w:pPr>
            <w:r w:rsidRPr="00A9330B">
              <w:rPr>
                <w:sz w:val="20"/>
                <w:szCs w:val="20"/>
              </w:rPr>
              <w:t>Le désenclavement des populations </w:t>
            </w:r>
          </w:p>
        </w:tc>
        <w:tc>
          <w:tcPr>
            <w:tcW w:w="5670" w:type="dxa"/>
          </w:tcPr>
          <w:p w14:paraId="31A46376" w14:textId="77777777" w:rsidR="00AD5193" w:rsidRPr="00A9330B" w:rsidRDefault="00AD5193" w:rsidP="000F7BA7">
            <w:pPr>
              <w:jc w:val="both"/>
              <w:rPr>
                <w:sz w:val="20"/>
                <w:szCs w:val="20"/>
              </w:rPr>
            </w:pPr>
            <w:r w:rsidRPr="00A9330B">
              <w:rPr>
                <w:sz w:val="20"/>
                <w:szCs w:val="20"/>
              </w:rPr>
              <w:t>La réalisation de la route permettra l’amélioration de l’accès aux zones difficiles surtout en saison des pluies, la facilitation des échanges (commerce), l’accès plus facile aux infrastructures sociocommunautaires </w:t>
            </w:r>
          </w:p>
        </w:tc>
      </w:tr>
      <w:tr w:rsidR="00AD5193" w:rsidRPr="00A9330B" w14:paraId="06B9A484" w14:textId="77777777" w:rsidTr="00AD5193">
        <w:trPr>
          <w:jc w:val="center"/>
        </w:trPr>
        <w:tc>
          <w:tcPr>
            <w:tcW w:w="3256" w:type="dxa"/>
          </w:tcPr>
          <w:p w14:paraId="2F115187" w14:textId="77777777" w:rsidR="00AD5193" w:rsidRPr="00A9330B" w:rsidRDefault="00AD5193" w:rsidP="00002D78">
            <w:pPr>
              <w:rPr>
                <w:sz w:val="20"/>
                <w:szCs w:val="20"/>
              </w:rPr>
            </w:pPr>
            <w:r w:rsidRPr="00A9330B">
              <w:rPr>
                <w:sz w:val="20"/>
                <w:szCs w:val="20"/>
              </w:rPr>
              <w:t xml:space="preserve">L’amélioration du trafic </w:t>
            </w:r>
          </w:p>
        </w:tc>
        <w:tc>
          <w:tcPr>
            <w:tcW w:w="5670" w:type="dxa"/>
          </w:tcPr>
          <w:p w14:paraId="46716196" w14:textId="77777777" w:rsidR="00AD5193" w:rsidRPr="00A9330B" w:rsidRDefault="00AD5193" w:rsidP="000F7BA7">
            <w:pPr>
              <w:jc w:val="both"/>
              <w:rPr>
                <w:sz w:val="20"/>
                <w:szCs w:val="20"/>
              </w:rPr>
            </w:pPr>
            <w:r w:rsidRPr="00A9330B">
              <w:rPr>
                <w:sz w:val="20"/>
                <w:szCs w:val="20"/>
              </w:rPr>
              <w:t xml:space="preserve">L’augmentation de la capacité et l’amélioration de la mobilité  et la mise aux normes des rues et ouvrages </w:t>
            </w:r>
          </w:p>
        </w:tc>
      </w:tr>
      <w:tr w:rsidR="00AD5193" w:rsidRPr="00A9330B" w14:paraId="02B6AE2C" w14:textId="77777777" w:rsidTr="00AD5193">
        <w:trPr>
          <w:jc w:val="center"/>
        </w:trPr>
        <w:tc>
          <w:tcPr>
            <w:tcW w:w="3256" w:type="dxa"/>
          </w:tcPr>
          <w:p w14:paraId="1AE91A72" w14:textId="77777777" w:rsidR="00AD5193" w:rsidRPr="00A9330B" w:rsidRDefault="00AD5193" w:rsidP="00002D78">
            <w:pPr>
              <w:rPr>
                <w:sz w:val="20"/>
                <w:szCs w:val="20"/>
              </w:rPr>
            </w:pPr>
            <w:r w:rsidRPr="00A9330B">
              <w:rPr>
                <w:sz w:val="20"/>
                <w:szCs w:val="20"/>
              </w:rPr>
              <w:t xml:space="preserve">L’amélioration du drainage des eaux pluviales par la mise en </w:t>
            </w:r>
            <w:r w:rsidRPr="00A9330B">
              <w:rPr>
                <w:sz w:val="20"/>
                <w:szCs w:val="20"/>
              </w:rPr>
              <w:lastRenderedPageBreak/>
              <w:t>place d’ouvrages d’assainissement </w:t>
            </w:r>
          </w:p>
        </w:tc>
        <w:tc>
          <w:tcPr>
            <w:tcW w:w="5670" w:type="dxa"/>
          </w:tcPr>
          <w:p w14:paraId="7BA84D9E" w14:textId="77777777" w:rsidR="00AD5193" w:rsidRPr="00A9330B" w:rsidRDefault="00AD5193" w:rsidP="000F7BA7">
            <w:pPr>
              <w:jc w:val="both"/>
              <w:rPr>
                <w:sz w:val="20"/>
                <w:szCs w:val="20"/>
              </w:rPr>
            </w:pPr>
            <w:r w:rsidRPr="00A9330B">
              <w:rPr>
                <w:sz w:val="20"/>
                <w:szCs w:val="20"/>
              </w:rPr>
              <w:lastRenderedPageBreak/>
              <w:t xml:space="preserve">Les ouvrages d’assainissement ont pour rôle de collecter l’eau (avaloirs, drains), de faire transiter l’eau (fossés, descente d’eau, traversées) et enfin d’évacuer l’eau (exutoires, chenal </w:t>
            </w:r>
            <w:r w:rsidRPr="00A9330B">
              <w:rPr>
                <w:sz w:val="20"/>
                <w:szCs w:val="20"/>
              </w:rPr>
              <w:lastRenderedPageBreak/>
              <w:t>aval d’ouvrages). La gestion des eaux dans les ouvrages routiers est particulièrement importante, permettant ainsi : la durabilité de la chaussée</w:t>
            </w:r>
          </w:p>
        </w:tc>
      </w:tr>
      <w:tr w:rsidR="00AD5193" w:rsidRPr="00A9330B" w14:paraId="6BF08817" w14:textId="77777777" w:rsidTr="00AD5193">
        <w:trPr>
          <w:jc w:val="center"/>
        </w:trPr>
        <w:tc>
          <w:tcPr>
            <w:tcW w:w="3256" w:type="dxa"/>
          </w:tcPr>
          <w:p w14:paraId="3544868E" w14:textId="77777777" w:rsidR="00AD5193" w:rsidRPr="00A9330B" w:rsidRDefault="00AD5193" w:rsidP="000F7BA7">
            <w:pPr>
              <w:jc w:val="both"/>
              <w:rPr>
                <w:sz w:val="20"/>
                <w:szCs w:val="20"/>
              </w:rPr>
            </w:pPr>
            <w:r w:rsidRPr="00A9330B">
              <w:rPr>
                <w:sz w:val="20"/>
                <w:szCs w:val="20"/>
              </w:rPr>
              <w:lastRenderedPageBreak/>
              <w:t xml:space="preserve">La durabilité et la viabilité des rues et leur mise en conformité aux normes de sécurité </w:t>
            </w:r>
          </w:p>
        </w:tc>
        <w:tc>
          <w:tcPr>
            <w:tcW w:w="5670" w:type="dxa"/>
          </w:tcPr>
          <w:p w14:paraId="20EAD4C0" w14:textId="77777777" w:rsidR="00AD5193" w:rsidRPr="00A9330B" w:rsidRDefault="00AD5193" w:rsidP="000F7BA7">
            <w:pPr>
              <w:jc w:val="both"/>
              <w:rPr>
                <w:sz w:val="20"/>
                <w:szCs w:val="20"/>
              </w:rPr>
            </w:pPr>
            <w:r w:rsidRPr="00A9330B">
              <w:rPr>
                <w:sz w:val="20"/>
                <w:szCs w:val="20"/>
              </w:rPr>
              <w:t xml:space="preserve">L’élargissement des rues va permettre de les conformer aux normes admises dans la sous-région et de supporter aisément et en toute sécurité le trafic dans un contexte d’intégration sous régionale </w:t>
            </w:r>
          </w:p>
        </w:tc>
      </w:tr>
      <w:tr w:rsidR="00AD5193" w:rsidRPr="00A9330B" w14:paraId="10CF5EBE" w14:textId="77777777" w:rsidTr="00AD5193">
        <w:trPr>
          <w:jc w:val="center"/>
        </w:trPr>
        <w:tc>
          <w:tcPr>
            <w:tcW w:w="3256" w:type="dxa"/>
          </w:tcPr>
          <w:p w14:paraId="05A1B8FE" w14:textId="77777777" w:rsidR="00AD5193" w:rsidRPr="00A9330B" w:rsidRDefault="00AD5193" w:rsidP="000F7BA7">
            <w:pPr>
              <w:jc w:val="both"/>
              <w:rPr>
                <w:sz w:val="20"/>
                <w:szCs w:val="20"/>
              </w:rPr>
            </w:pPr>
            <w:r w:rsidRPr="00A9330B">
              <w:rPr>
                <w:sz w:val="20"/>
                <w:szCs w:val="20"/>
              </w:rPr>
              <w:t>Amélioration de la sécurité routière</w:t>
            </w:r>
          </w:p>
        </w:tc>
        <w:tc>
          <w:tcPr>
            <w:tcW w:w="5670" w:type="dxa"/>
          </w:tcPr>
          <w:p w14:paraId="2842ABA3" w14:textId="77777777" w:rsidR="00AD5193" w:rsidRPr="00A9330B" w:rsidRDefault="00AD5193" w:rsidP="00BD2F72">
            <w:pPr>
              <w:pStyle w:val="Paragraphedeliste"/>
              <w:numPr>
                <w:ilvl w:val="0"/>
                <w:numId w:val="125"/>
              </w:numPr>
              <w:jc w:val="both"/>
              <w:rPr>
                <w:sz w:val="20"/>
                <w:lang w:val="fr-FR"/>
              </w:rPr>
            </w:pPr>
            <w:r w:rsidRPr="00A9330B">
              <w:rPr>
                <w:sz w:val="20"/>
                <w:lang w:val="fr-FR"/>
              </w:rPr>
              <w:t xml:space="preserve">l’amélioration de la sécurité routière est effective par </w:t>
            </w:r>
          </w:p>
          <w:p w14:paraId="20BF4B02" w14:textId="77777777" w:rsidR="00AD5193" w:rsidRPr="00A9330B" w:rsidRDefault="00AD5193" w:rsidP="00BD2F72">
            <w:pPr>
              <w:pStyle w:val="Paragraphedeliste"/>
              <w:numPr>
                <w:ilvl w:val="0"/>
                <w:numId w:val="125"/>
              </w:numPr>
              <w:jc w:val="both"/>
              <w:rPr>
                <w:sz w:val="20"/>
                <w:lang w:val="fr-FR"/>
              </w:rPr>
            </w:pPr>
            <w:r w:rsidRPr="00A9330B">
              <w:rPr>
                <w:sz w:val="20"/>
                <w:lang w:val="fr-FR"/>
              </w:rPr>
              <w:t>l’amélioration des caractéristiques techniques qui favorisent un bon écoulement du trafic ;</w:t>
            </w:r>
          </w:p>
          <w:p w14:paraId="65AD4771" w14:textId="77777777" w:rsidR="00AD5193" w:rsidRPr="00A9330B" w:rsidRDefault="00AD5193" w:rsidP="00BD2F72">
            <w:pPr>
              <w:pStyle w:val="Paragraphedeliste"/>
              <w:numPr>
                <w:ilvl w:val="0"/>
                <w:numId w:val="125"/>
              </w:numPr>
              <w:jc w:val="both"/>
              <w:rPr>
                <w:sz w:val="20"/>
                <w:lang w:val="fr-FR"/>
              </w:rPr>
            </w:pPr>
            <w:r w:rsidRPr="00A9330B">
              <w:rPr>
                <w:sz w:val="20"/>
                <w:lang w:val="fr-FR"/>
              </w:rPr>
              <w:t>la garantie importante de sécurité dans le déplacement des populations ;</w:t>
            </w:r>
          </w:p>
          <w:p w14:paraId="439AB156" w14:textId="77777777" w:rsidR="00AD5193" w:rsidRPr="00A9330B" w:rsidRDefault="00AD5193" w:rsidP="00BD2F72">
            <w:pPr>
              <w:pStyle w:val="Paragraphedeliste"/>
              <w:numPr>
                <w:ilvl w:val="0"/>
                <w:numId w:val="125"/>
              </w:numPr>
              <w:jc w:val="both"/>
              <w:rPr>
                <w:sz w:val="20"/>
                <w:lang w:val="fr-FR"/>
              </w:rPr>
            </w:pPr>
            <w:r w:rsidRPr="00A9330B">
              <w:rPr>
                <w:sz w:val="20"/>
                <w:lang w:val="fr-FR"/>
              </w:rPr>
              <w:t>la mise en place de ralentisseurs et de panneaux de signalisation ;</w:t>
            </w:r>
          </w:p>
          <w:p w14:paraId="209210AD" w14:textId="77777777" w:rsidR="00AD5193" w:rsidRPr="00A9330B" w:rsidRDefault="00AD5193" w:rsidP="00BD2F72">
            <w:pPr>
              <w:pStyle w:val="Paragraphedeliste"/>
              <w:numPr>
                <w:ilvl w:val="0"/>
                <w:numId w:val="125"/>
              </w:numPr>
              <w:jc w:val="both"/>
              <w:rPr>
                <w:sz w:val="20"/>
                <w:lang w:val="fr-FR"/>
              </w:rPr>
            </w:pPr>
            <w:r w:rsidRPr="00A9330B">
              <w:rPr>
                <w:sz w:val="20"/>
                <w:lang w:val="fr-FR"/>
              </w:rPr>
              <w:t xml:space="preserve">la mise en place des feux tricolores pour réguler le trafic ; </w:t>
            </w:r>
          </w:p>
          <w:p w14:paraId="1E968DEC" w14:textId="7FF5B20E" w:rsidR="00AD5193" w:rsidRPr="00A9330B" w:rsidRDefault="00AD5193" w:rsidP="00BD2F72">
            <w:pPr>
              <w:pStyle w:val="Paragraphedeliste"/>
              <w:numPr>
                <w:ilvl w:val="0"/>
                <w:numId w:val="125"/>
              </w:numPr>
              <w:jc w:val="both"/>
              <w:rPr>
                <w:sz w:val="20"/>
                <w:lang w:val="fr-FR"/>
              </w:rPr>
            </w:pPr>
            <w:r w:rsidRPr="00A9330B">
              <w:rPr>
                <w:sz w:val="20"/>
                <w:lang w:val="fr-FR"/>
              </w:rPr>
              <w:t xml:space="preserve">la mise en place des dispositifs et mesures d’accompagnement pour garantir la sécurité des populations et des usagers de la route </w:t>
            </w:r>
          </w:p>
        </w:tc>
      </w:tr>
      <w:tr w:rsidR="00AD5193" w:rsidRPr="00A9330B" w14:paraId="19A037E6" w14:textId="77777777" w:rsidTr="00AD5193">
        <w:trPr>
          <w:jc w:val="center"/>
        </w:trPr>
        <w:tc>
          <w:tcPr>
            <w:tcW w:w="3256" w:type="dxa"/>
          </w:tcPr>
          <w:p w14:paraId="7E7267DA" w14:textId="77777777" w:rsidR="00AD5193" w:rsidRPr="00A9330B" w:rsidRDefault="00AD5193" w:rsidP="000F7BA7">
            <w:pPr>
              <w:jc w:val="both"/>
              <w:rPr>
                <w:sz w:val="20"/>
                <w:szCs w:val="20"/>
              </w:rPr>
            </w:pPr>
            <w:r w:rsidRPr="00A9330B">
              <w:rPr>
                <w:sz w:val="20"/>
                <w:szCs w:val="20"/>
              </w:rPr>
              <w:t>Amélioration du confort et du cadre de vie</w:t>
            </w:r>
          </w:p>
          <w:p w14:paraId="06070551" w14:textId="77777777" w:rsidR="00AD5193" w:rsidRPr="00A9330B" w:rsidRDefault="00AD5193" w:rsidP="00002D78">
            <w:pPr>
              <w:rPr>
                <w:sz w:val="20"/>
                <w:szCs w:val="20"/>
              </w:rPr>
            </w:pPr>
          </w:p>
          <w:p w14:paraId="5663B649" w14:textId="77777777" w:rsidR="00AD5193" w:rsidRPr="00A9330B" w:rsidRDefault="00AD5193" w:rsidP="00002D78">
            <w:pPr>
              <w:rPr>
                <w:sz w:val="20"/>
                <w:szCs w:val="20"/>
              </w:rPr>
            </w:pPr>
          </w:p>
        </w:tc>
        <w:tc>
          <w:tcPr>
            <w:tcW w:w="5670" w:type="dxa"/>
          </w:tcPr>
          <w:p w14:paraId="4A5501C2" w14:textId="0FBCB3A2" w:rsidR="00AD5193" w:rsidRPr="00A9330B" w:rsidRDefault="00AD5193" w:rsidP="000F7BA7">
            <w:pPr>
              <w:jc w:val="both"/>
              <w:rPr>
                <w:sz w:val="20"/>
                <w:szCs w:val="20"/>
              </w:rPr>
            </w:pPr>
            <w:r w:rsidRPr="00A9330B">
              <w:rPr>
                <w:sz w:val="20"/>
                <w:szCs w:val="20"/>
              </w:rPr>
              <w:t>Outre les effets positifs dans le domaine de la sécurité des usagers et des riverains de la route, le bitumage des routes permet de :</w:t>
            </w:r>
          </w:p>
          <w:p w14:paraId="3A315741" w14:textId="77777777" w:rsidR="00AD5193" w:rsidRPr="00A9330B" w:rsidRDefault="00AD5193" w:rsidP="00BD2F72">
            <w:pPr>
              <w:pStyle w:val="Paragraphedeliste"/>
              <w:numPr>
                <w:ilvl w:val="0"/>
                <w:numId w:val="126"/>
              </w:numPr>
              <w:jc w:val="both"/>
              <w:rPr>
                <w:sz w:val="20"/>
                <w:lang w:val="fr-FR"/>
              </w:rPr>
            </w:pPr>
            <w:r w:rsidRPr="00A9330B">
              <w:rPr>
                <w:sz w:val="20"/>
                <w:lang w:val="fr-FR"/>
              </w:rPr>
              <w:t>améliorer le confort routier</w:t>
            </w:r>
          </w:p>
          <w:p w14:paraId="11ED220C" w14:textId="77777777" w:rsidR="00AD5193" w:rsidRPr="00A9330B" w:rsidRDefault="00AD5193" w:rsidP="00BD2F72">
            <w:pPr>
              <w:pStyle w:val="Paragraphedeliste"/>
              <w:numPr>
                <w:ilvl w:val="0"/>
                <w:numId w:val="126"/>
              </w:numPr>
              <w:jc w:val="both"/>
              <w:rPr>
                <w:sz w:val="20"/>
                <w:lang w:val="fr-FR"/>
              </w:rPr>
            </w:pPr>
            <w:r w:rsidRPr="00A9330B">
              <w:rPr>
                <w:sz w:val="20"/>
                <w:lang w:val="fr-FR"/>
              </w:rPr>
              <w:t>réduire l’émission de poussière pour les habitations situées à proximité de la route</w:t>
            </w:r>
          </w:p>
          <w:p w14:paraId="513FDA22" w14:textId="2BF6D092" w:rsidR="00AD5193" w:rsidRPr="00A9330B" w:rsidRDefault="00AD5193" w:rsidP="00BD2F72">
            <w:pPr>
              <w:pStyle w:val="Paragraphedeliste"/>
              <w:numPr>
                <w:ilvl w:val="0"/>
                <w:numId w:val="126"/>
              </w:numPr>
              <w:jc w:val="both"/>
              <w:rPr>
                <w:sz w:val="20"/>
                <w:lang w:val="fr-FR"/>
              </w:rPr>
            </w:pPr>
            <w:r w:rsidRPr="00A9330B">
              <w:rPr>
                <w:sz w:val="20"/>
                <w:lang w:val="fr-FR"/>
              </w:rPr>
              <w:t xml:space="preserve">réaliser des gains de temps de déplacement pour les usagers </w:t>
            </w:r>
          </w:p>
        </w:tc>
      </w:tr>
      <w:tr w:rsidR="00AD5193" w:rsidRPr="00A9330B" w14:paraId="765D9DE2" w14:textId="77777777" w:rsidTr="00AD5193">
        <w:trPr>
          <w:jc w:val="center"/>
        </w:trPr>
        <w:tc>
          <w:tcPr>
            <w:tcW w:w="3256" w:type="dxa"/>
          </w:tcPr>
          <w:p w14:paraId="328D3B76" w14:textId="77777777" w:rsidR="00AD5193" w:rsidRPr="00A9330B" w:rsidRDefault="00AD5193" w:rsidP="000F7BA7">
            <w:pPr>
              <w:jc w:val="both"/>
              <w:rPr>
                <w:sz w:val="20"/>
                <w:szCs w:val="20"/>
              </w:rPr>
            </w:pPr>
            <w:r w:rsidRPr="00A9330B">
              <w:rPr>
                <w:sz w:val="20"/>
                <w:szCs w:val="20"/>
              </w:rPr>
              <w:t>La fluidité du trafic</w:t>
            </w:r>
          </w:p>
        </w:tc>
        <w:tc>
          <w:tcPr>
            <w:tcW w:w="5670" w:type="dxa"/>
          </w:tcPr>
          <w:p w14:paraId="6F2EED97" w14:textId="36AC3573" w:rsidR="00AD5193" w:rsidRPr="00A9330B" w:rsidRDefault="00AD5193" w:rsidP="000F7BA7">
            <w:pPr>
              <w:jc w:val="both"/>
              <w:rPr>
                <w:sz w:val="20"/>
                <w:szCs w:val="20"/>
              </w:rPr>
            </w:pPr>
            <w:r w:rsidRPr="00A9330B">
              <w:rPr>
                <w:sz w:val="20"/>
                <w:szCs w:val="20"/>
              </w:rPr>
              <w:t>La fluidité facilitera les déplacements humains, la rapidité de transports des biens et de</w:t>
            </w:r>
            <w:r w:rsidR="00065554" w:rsidRPr="00A9330B">
              <w:rPr>
                <w:sz w:val="20"/>
                <w:szCs w:val="20"/>
              </w:rPr>
              <w:t xml:space="preserve"> la fourniture de</w:t>
            </w:r>
            <w:r w:rsidRPr="00A9330B">
              <w:rPr>
                <w:sz w:val="20"/>
                <w:szCs w:val="20"/>
              </w:rPr>
              <w:t>s services, la sécurité des produ</w:t>
            </w:r>
            <w:r w:rsidR="00065554" w:rsidRPr="00A9330B">
              <w:rPr>
                <w:sz w:val="20"/>
                <w:szCs w:val="20"/>
              </w:rPr>
              <w:t xml:space="preserve">its </w:t>
            </w:r>
            <w:r w:rsidRPr="00A9330B">
              <w:rPr>
                <w:sz w:val="20"/>
                <w:szCs w:val="20"/>
              </w:rPr>
              <w:t xml:space="preserve"> en circulation, l’accès aux marchés locaux, l’accessibilité aux biens localement produits et la possibilité pour chaque milieu de valoriser ses avantages comparatifs dans les échanges commerciaux.</w:t>
            </w:r>
          </w:p>
        </w:tc>
      </w:tr>
      <w:tr w:rsidR="00AD5193" w:rsidRPr="00A9330B" w14:paraId="03EE136B" w14:textId="77777777" w:rsidTr="00AD5193">
        <w:trPr>
          <w:jc w:val="center"/>
        </w:trPr>
        <w:tc>
          <w:tcPr>
            <w:tcW w:w="3256" w:type="dxa"/>
          </w:tcPr>
          <w:p w14:paraId="007ED3D4" w14:textId="77777777" w:rsidR="00AD5193" w:rsidRPr="00A9330B" w:rsidRDefault="00AD5193" w:rsidP="000F7BA7">
            <w:pPr>
              <w:jc w:val="both"/>
              <w:rPr>
                <w:sz w:val="20"/>
                <w:szCs w:val="20"/>
              </w:rPr>
            </w:pPr>
            <w:r w:rsidRPr="00A9330B">
              <w:rPr>
                <w:sz w:val="20"/>
                <w:szCs w:val="20"/>
              </w:rPr>
              <w:t xml:space="preserve">Diminution du coût d’entretien des véhicules </w:t>
            </w:r>
          </w:p>
        </w:tc>
        <w:tc>
          <w:tcPr>
            <w:tcW w:w="5670" w:type="dxa"/>
          </w:tcPr>
          <w:p w14:paraId="1C910EB6" w14:textId="77777777" w:rsidR="00AD5193" w:rsidRPr="00A9330B" w:rsidRDefault="00AD5193" w:rsidP="000F7BA7">
            <w:pPr>
              <w:jc w:val="both"/>
              <w:rPr>
                <w:sz w:val="20"/>
                <w:szCs w:val="20"/>
              </w:rPr>
            </w:pPr>
            <w:r w:rsidRPr="00A9330B">
              <w:rPr>
                <w:sz w:val="20"/>
                <w:szCs w:val="20"/>
              </w:rPr>
              <w:t>La réhabilitation et/ou le bitumage des rues contribuent à diminuer le coût d’entretien des véhicules.</w:t>
            </w:r>
          </w:p>
        </w:tc>
      </w:tr>
      <w:tr w:rsidR="00AD5193" w:rsidRPr="00A9330B" w14:paraId="2940C0CD" w14:textId="77777777" w:rsidTr="00AD5193">
        <w:trPr>
          <w:jc w:val="center"/>
        </w:trPr>
        <w:tc>
          <w:tcPr>
            <w:tcW w:w="3256" w:type="dxa"/>
          </w:tcPr>
          <w:p w14:paraId="5F6BB0CB" w14:textId="77777777" w:rsidR="00AD5193" w:rsidRPr="00A9330B" w:rsidRDefault="00AD5193" w:rsidP="000F7BA7">
            <w:pPr>
              <w:jc w:val="both"/>
              <w:rPr>
                <w:sz w:val="20"/>
                <w:szCs w:val="20"/>
              </w:rPr>
            </w:pPr>
            <w:r w:rsidRPr="00A9330B">
              <w:rPr>
                <w:sz w:val="20"/>
                <w:szCs w:val="20"/>
              </w:rPr>
              <w:t>Création de nouvelles potentialités économiques et d’emplois</w:t>
            </w:r>
          </w:p>
          <w:p w14:paraId="416A57CA" w14:textId="77777777" w:rsidR="00AD5193" w:rsidRPr="00A9330B" w:rsidRDefault="00AD5193" w:rsidP="000F7BA7">
            <w:pPr>
              <w:jc w:val="both"/>
              <w:rPr>
                <w:sz w:val="20"/>
                <w:szCs w:val="20"/>
              </w:rPr>
            </w:pPr>
          </w:p>
        </w:tc>
        <w:tc>
          <w:tcPr>
            <w:tcW w:w="5670" w:type="dxa"/>
          </w:tcPr>
          <w:p w14:paraId="27B6C217" w14:textId="77777777" w:rsidR="00AD5193" w:rsidRPr="00A9330B" w:rsidRDefault="00AD5193" w:rsidP="000F7BA7">
            <w:pPr>
              <w:jc w:val="both"/>
              <w:rPr>
                <w:sz w:val="20"/>
                <w:szCs w:val="20"/>
              </w:rPr>
            </w:pPr>
            <w:r w:rsidRPr="00A9330B">
              <w:rPr>
                <w:sz w:val="20"/>
                <w:szCs w:val="20"/>
              </w:rPr>
              <w:t>L’exécution d’un projet favorise la création de nouvelles potentialités économiques la création d’emplois temporaires durant la phase de construction/réhabilitation, l'augmentation du revenu, ce qui réduira le taux de chômage. Il pourra également engendrer une économie locale de proximité, basée sur l’artisanat et le tourisme. C’est une contribution à la lutte contre la pauvreté</w:t>
            </w:r>
          </w:p>
        </w:tc>
      </w:tr>
      <w:tr w:rsidR="00AD5193" w:rsidRPr="00A9330B" w14:paraId="0FF7A8F4" w14:textId="77777777" w:rsidTr="00AD5193">
        <w:trPr>
          <w:jc w:val="center"/>
        </w:trPr>
        <w:tc>
          <w:tcPr>
            <w:tcW w:w="3256" w:type="dxa"/>
          </w:tcPr>
          <w:p w14:paraId="34314726" w14:textId="77777777" w:rsidR="00AD5193" w:rsidRPr="00A9330B" w:rsidRDefault="00AD5193" w:rsidP="000F7BA7">
            <w:pPr>
              <w:jc w:val="both"/>
              <w:rPr>
                <w:sz w:val="20"/>
                <w:szCs w:val="20"/>
              </w:rPr>
            </w:pPr>
            <w:r w:rsidRPr="00A9330B">
              <w:rPr>
                <w:sz w:val="20"/>
                <w:szCs w:val="20"/>
              </w:rPr>
              <w:t xml:space="preserve">Modification positives qualitatives des conditions de vie </w:t>
            </w:r>
          </w:p>
        </w:tc>
        <w:tc>
          <w:tcPr>
            <w:tcW w:w="5670" w:type="dxa"/>
          </w:tcPr>
          <w:p w14:paraId="61834C01" w14:textId="77777777" w:rsidR="00AD5193" w:rsidRPr="00A9330B" w:rsidRDefault="00AD5193" w:rsidP="000F7BA7">
            <w:pPr>
              <w:jc w:val="both"/>
              <w:rPr>
                <w:sz w:val="20"/>
                <w:szCs w:val="20"/>
              </w:rPr>
            </w:pPr>
            <w:r w:rsidRPr="00A9330B">
              <w:rPr>
                <w:sz w:val="20"/>
                <w:szCs w:val="20"/>
              </w:rPr>
              <w:t>Les modifications positives de la qualité de vie des populations de la zone par les nouvelles conditions de transport, de circulation, de communication et les interrelations, de même que l’accès plus rapide et plus aisé aux centres de soins </w:t>
            </w:r>
          </w:p>
          <w:p w14:paraId="05079BFB" w14:textId="21AEE819" w:rsidR="00AD5193" w:rsidRPr="00A9330B" w:rsidRDefault="00AD5193" w:rsidP="000F7BA7">
            <w:pPr>
              <w:jc w:val="both"/>
              <w:rPr>
                <w:sz w:val="20"/>
                <w:szCs w:val="20"/>
              </w:rPr>
            </w:pPr>
            <w:r w:rsidRPr="00A9330B">
              <w:rPr>
                <w:sz w:val="20"/>
                <w:szCs w:val="20"/>
              </w:rPr>
              <w:t>L’amélioration des conditions de vie et de santé dans les zones concernées ou</w:t>
            </w:r>
            <w:r w:rsidR="00065554" w:rsidRPr="00A9330B">
              <w:rPr>
                <w:sz w:val="20"/>
                <w:szCs w:val="20"/>
              </w:rPr>
              <w:t xml:space="preserve"> dans </w:t>
            </w:r>
            <w:r w:rsidRPr="00A9330B">
              <w:rPr>
                <w:sz w:val="20"/>
                <w:szCs w:val="20"/>
              </w:rPr>
              <w:t xml:space="preserve"> les zones défavorisées et la contribution à la résolution des questions de développement humain et social </w:t>
            </w:r>
          </w:p>
        </w:tc>
      </w:tr>
      <w:tr w:rsidR="00AD5193" w:rsidRPr="00A9330B" w14:paraId="38013B0B" w14:textId="77777777" w:rsidTr="00AD5193">
        <w:trPr>
          <w:jc w:val="center"/>
        </w:trPr>
        <w:tc>
          <w:tcPr>
            <w:tcW w:w="3256" w:type="dxa"/>
          </w:tcPr>
          <w:p w14:paraId="2B195808" w14:textId="77777777" w:rsidR="00AD5193" w:rsidRPr="00A9330B" w:rsidRDefault="00AD5193" w:rsidP="000F7BA7">
            <w:pPr>
              <w:jc w:val="both"/>
              <w:rPr>
                <w:sz w:val="20"/>
                <w:szCs w:val="20"/>
              </w:rPr>
            </w:pPr>
            <w:r w:rsidRPr="00A9330B">
              <w:rPr>
                <w:sz w:val="20"/>
                <w:szCs w:val="20"/>
              </w:rPr>
              <w:lastRenderedPageBreak/>
              <w:t>La revalorisation du foncier </w:t>
            </w:r>
          </w:p>
        </w:tc>
        <w:tc>
          <w:tcPr>
            <w:tcW w:w="5670" w:type="dxa"/>
          </w:tcPr>
          <w:p w14:paraId="0652F803" w14:textId="77777777" w:rsidR="00AD5193" w:rsidRPr="00A9330B" w:rsidRDefault="00AD5193" w:rsidP="000F7BA7">
            <w:pPr>
              <w:jc w:val="both"/>
              <w:rPr>
                <w:sz w:val="20"/>
                <w:szCs w:val="20"/>
              </w:rPr>
            </w:pPr>
            <w:r w:rsidRPr="00A9330B">
              <w:rPr>
                <w:sz w:val="20"/>
                <w:szCs w:val="20"/>
              </w:rPr>
              <w:t>L’aménagement de la route va permettre un accès plus rapide et plus facile à ces zones et ainsi favoriser l’augmentation de la valeur monétaire des terres.</w:t>
            </w:r>
          </w:p>
        </w:tc>
      </w:tr>
      <w:tr w:rsidR="00AD5193" w:rsidRPr="00A9330B" w14:paraId="299502E7" w14:textId="77777777" w:rsidTr="00AD5193">
        <w:trPr>
          <w:jc w:val="center"/>
        </w:trPr>
        <w:tc>
          <w:tcPr>
            <w:tcW w:w="3256" w:type="dxa"/>
          </w:tcPr>
          <w:p w14:paraId="2242F86E" w14:textId="77777777" w:rsidR="00AD5193" w:rsidRPr="00A9330B" w:rsidRDefault="00AD5193" w:rsidP="000F7BA7">
            <w:pPr>
              <w:jc w:val="both"/>
              <w:rPr>
                <w:sz w:val="20"/>
                <w:szCs w:val="20"/>
                <w:lang w:eastAsia="fr-FR"/>
              </w:rPr>
            </w:pPr>
            <w:r w:rsidRPr="00A9330B">
              <w:rPr>
                <w:sz w:val="20"/>
                <w:szCs w:val="20"/>
                <w:lang w:eastAsia="fr-FR"/>
              </w:rPr>
              <w:t>Création de nouvelles opportunités d’affaires</w:t>
            </w:r>
          </w:p>
        </w:tc>
        <w:tc>
          <w:tcPr>
            <w:tcW w:w="5670" w:type="dxa"/>
          </w:tcPr>
          <w:p w14:paraId="7E4148DB" w14:textId="77777777" w:rsidR="00AD5193" w:rsidRPr="00A9330B" w:rsidRDefault="00AD5193" w:rsidP="000F7BA7">
            <w:pPr>
              <w:jc w:val="both"/>
              <w:rPr>
                <w:sz w:val="20"/>
                <w:szCs w:val="20"/>
                <w:lang w:eastAsia="fr-FR"/>
              </w:rPr>
            </w:pPr>
            <w:r w:rsidRPr="00A9330B">
              <w:rPr>
                <w:sz w:val="20"/>
                <w:szCs w:val="20"/>
                <w:lang w:eastAsia="fr-FR"/>
              </w:rPr>
              <w:t>L’accessibilité de la route et certainement la dynamisation du trafic et son intensification avec un impact sur le fonctionnement de nombreuses petites unités commerciales et petits métiers</w:t>
            </w:r>
          </w:p>
        </w:tc>
      </w:tr>
      <w:tr w:rsidR="00AD5193" w:rsidRPr="00A9330B" w14:paraId="0994170A" w14:textId="77777777" w:rsidTr="00AD5193">
        <w:trPr>
          <w:jc w:val="center"/>
        </w:trPr>
        <w:tc>
          <w:tcPr>
            <w:tcW w:w="3256" w:type="dxa"/>
          </w:tcPr>
          <w:p w14:paraId="549D2FCF" w14:textId="77777777" w:rsidR="00AD5193" w:rsidRPr="00A9330B" w:rsidRDefault="00AD5193" w:rsidP="000F7BA7">
            <w:pPr>
              <w:jc w:val="both"/>
              <w:rPr>
                <w:b/>
                <w:sz w:val="20"/>
                <w:szCs w:val="20"/>
                <w:lang w:eastAsia="fr-FR"/>
              </w:rPr>
            </w:pPr>
            <w:r w:rsidRPr="00A9330B">
              <w:rPr>
                <w:sz w:val="20"/>
                <w:szCs w:val="20"/>
                <w:lang w:eastAsia="fr-FR"/>
              </w:rPr>
              <w:t>Possibilité de changement de statut social</w:t>
            </w:r>
          </w:p>
        </w:tc>
        <w:tc>
          <w:tcPr>
            <w:tcW w:w="5670" w:type="dxa"/>
          </w:tcPr>
          <w:p w14:paraId="2D3FF483" w14:textId="078B5067" w:rsidR="00AD5193" w:rsidRPr="00A9330B" w:rsidRDefault="00AD5193" w:rsidP="000F7BA7">
            <w:pPr>
              <w:jc w:val="both"/>
              <w:rPr>
                <w:b/>
                <w:sz w:val="20"/>
                <w:szCs w:val="20"/>
                <w:lang w:eastAsia="fr-FR"/>
              </w:rPr>
            </w:pPr>
            <w:r w:rsidRPr="00A9330B">
              <w:rPr>
                <w:sz w:val="20"/>
                <w:szCs w:val="20"/>
                <w:lang w:eastAsia="fr-FR"/>
              </w:rPr>
              <w:t>Le changement d’activité économique et les modifications dans la structure socio-professionnelle par passage d’un statut d’agriculteur, à celui de revendeur, commerçant ou artisan : facteur de mobilité ascendante dans la société</w:t>
            </w:r>
          </w:p>
        </w:tc>
      </w:tr>
    </w:tbl>
    <w:p w14:paraId="11449F1F" w14:textId="77777777" w:rsidR="00AD5193" w:rsidRPr="00A9330B" w:rsidRDefault="00AD5193" w:rsidP="00AD5193"/>
    <w:p w14:paraId="10991C7D" w14:textId="0B3E0349" w:rsidR="00AD5193" w:rsidRPr="00A9330B" w:rsidRDefault="00AD5193" w:rsidP="00AD5193">
      <w:pPr>
        <w:spacing w:after="120"/>
        <w:rPr>
          <w:b/>
        </w:rPr>
      </w:pPr>
      <w:r w:rsidRPr="00A9330B">
        <w:rPr>
          <w:b/>
        </w:rPr>
        <w:t>Tableau </w:t>
      </w:r>
      <w:r w:rsidR="003634C9" w:rsidRPr="00A9330B">
        <w:rPr>
          <w:b/>
        </w:rPr>
        <w:t xml:space="preserve">V </w:t>
      </w:r>
      <w:r w:rsidRPr="00A9330B">
        <w:rPr>
          <w:b/>
        </w:rPr>
        <w:t>: impacts négatifs</w:t>
      </w:r>
    </w:p>
    <w:tbl>
      <w:tblPr>
        <w:tblStyle w:val="Grilledutableau"/>
        <w:tblW w:w="4702" w:type="pct"/>
        <w:tblInd w:w="279" w:type="dxa"/>
        <w:tblLook w:val="04A0" w:firstRow="1" w:lastRow="0" w:firstColumn="1" w:lastColumn="0" w:noHBand="0" w:noVBand="1"/>
      </w:tblPr>
      <w:tblGrid>
        <w:gridCol w:w="3533"/>
        <w:gridCol w:w="5255"/>
      </w:tblGrid>
      <w:tr w:rsidR="00E82414" w:rsidRPr="00A9330B" w14:paraId="1CDEF6F0" w14:textId="77777777" w:rsidTr="00002D78">
        <w:trPr>
          <w:trHeight w:val="544"/>
        </w:trPr>
        <w:tc>
          <w:tcPr>
            <w:tcW w:w="2010" w:type="pct"/>
            <w:shd w:val="clear" w:color="auto" w:fill="00B0F0"/>
            <w:hideMark/>
          </w:tcPr>
          <w:p w14:paraId="668CD85E" w14:textId="77777777" w:rsidR="00E82414" w:rsidRPr="00A9330B" w:rsidRDefault="00E82414" w:rsidP="00002D78">
            <w:pPr>
              <w:rPr>
                <w:b/>
                <w:color w:val="auto"/>
                <w:sz w:val="20"/>
                <w:szCs w:val="20"/>
              </w:rPr>
            </w:pPr>
            <w:r w:rsidRPr="00A9330B">
              <w:rPr>
                <w:b/>
                <w:sz w:val="20"/>
                <w:szCs w:val="20"/>
              </w:rPr>
              <w:t>Impacts négatifs potentiels</w:t>
            </w:r>
          </w:p>
        </w:tc>
        <w:tc>
          <w:tcPr>
            <w:tcW w:w="2990" w:type="pct"/>
            <w:shd w:val="clear" w:color="auto" w:fill="00B0F0"/>
            <w:hideMark/>
          </w:tcPr>
          <w:p w14:paraId="4455710E" w14:textId="77777777" w:rsidR="00E82414" w:rsidRPr="00A9330B" w:rsidRDefault="00E82414" w:rsidP="00002D78">
            <w:pPr>
              <w:rPr>
                <w:b/>
                <w:sz w:val="20"/>
                <w:szCs w:val="20"/>
              </w:rPr>
            </w:pPr>
            <w:r w:rsidRPr="00A9330B">
              <w:rPr>
                <w:b/>
                <w:sz w:val="20"/>
                <w:szCs w:val="20"/>
              </w:rPr>
              <w:t>Description</w:t>
            </w:r>
          </w:p>
        </w:tc>
      </w:tr>
      <w:tr w:rsidR="00E82414" w:rsidRPr="00A9330B" w14:paraId="4DF18401" w14:textId="77777777" w:rsidTr="00E82414">
        <w:trPr>
          <w:trHeight w:val="426"/>
        </w:trPr>
        <w:tc>
          <w:tcPr>
            <w:tcW w:w="2010" w:type="pct"/>
            <w:hideMark/>
          </w:tcPr>
          <w:p w14:paraId="30B4084A" w14:textId="77777777" w:rsidR="00E82414" w:rsidRPr="00A9330B" w:rsidRDefault="00E82414" w:rsidP="000F7BA7">
            <w:pPr>
              <w:jc w:val="both"/>
              <w:rPr>
                <w:sz w:val="20"/>
                <w:szCs w:val="20"/>
              </w:rPr>
            </w:pPr>
            <w:r w:rsidRPr="00A9330B">
              <w:rPr>
                <w:sz w:val="20"/>
                <w:szCs w:val="20"/>
              </w:rPr>
              <w:t>Perte de biens fonciers, cultures, arbres ou activités</w:t>
            </w:r>
          </w:p>
          <w:p w14:paraId="05AED415" w14:textId="77777777" w:rsidR="00E82414" w:rsidRPr="00A9330B" w:rsidRDefault="00E82414" w:rsidP="000F7BA7">
            <w:pPr>
              <w:jc w:val="both"/>
              <w:rPr>
                <w:sz w:val="20"/>
                <w:szCs w:val="20"/>
              </w:rPr>
            </w:pPr>
            <w:r w:rsidRPr="00A9330B">
              <w:rPr>
                <w:sz w:val="20"/>
                <w:szCs w:val="20"/>
              </w:rPr>
              <w:t>Expropriation</w:t>
            </w:r>
          </w:p>
        </w:tc>
        <w:tc>
          <w:tcPr>
            <w:tcW w:w="2990" w:type="pct"/>
            <w:hideMark/>
          </w:tcPr>
          <w:p w14:paraId="1F0ACAE6" w14:textId="18905222" w:rsidR="00E82414" w:rsidRPr="00A9330B" w:rsidRDefault="00E82414" w:rsidP="000F7BA7">
            <w:pPr>
              <w:spacing w:before="60" w:line="240" w:lineRule="auto"/>
              <w:jc w:val="both"/>
              <w:rPr>
                <w:rFonts w:eastAsia="Times New Roman" w:cs="Arial"/>
                <w:color w:val="000000"/>
                <w:sz w:val="20"/>
                <w:szCs w:val="20"/>
                <w:lang w:eastAsia="fr-FR"/>
              </w:rPr>
            </w:pPr>
            <w:r w:rsidRPr="00A9330B">
              <w:rPr>
                <w:sz w:val="20"/>
                <w:szCs w:val="20"/>
              </w:rPr>
              <w:t>La libération de l’emprise des rues et des collecteurs pour les travaux affectera des biens fonciers et immobiliers (</w:t>
            </w:r>
            <w:r w:rsidR="006B3249" w:rsidRPr="00A9330B">
              <w:rPr>
                <w:sz w:val="20"/>
                <w:szCs w:val="20"/>
              </w:rPr>
              <w:t>467</w:t>
            </w:r>
            <w:r w:rsidRPr="00A9330B">
              <w:rPr>
                <w:sz w:val="20"/>
                <w:szCs w:val="20"/>
              </w:rPr>
              <w:t xml:space="preserve">) suivants : </w:t>
            </w:r>
            <w:r w:rsidRPr="00A9330B">
              <w:rPr>
                <w:rFonts w:eastAsia="Times New Roman" w:cs="Arial"/>
                <w:color w:val="000000"/>
                <w:sz w:val="20"/>
                <w:szCs w:val="20"/>
                <w:lang w:eastAsia="fr-FR"/>
              </w:rPr>
              <w:t>Clôture, Cuisine, Hangar, Boutique, Puits, Terrasse, Toilette, Maison, Ap</w:t>
            </w:r>
            <w:r w:rsidR="00FC172B" w:rsidRPr="00A9330B">
              <w:rPr>
                <w:rFonts w:eastAsia="Times New Roman" w:cs="Arial"/>
                <w:color w:val="000000"/>
                <w:sz w:val="20"/>
                <w:szCs w:val="20"/>
                <w:lang w:eastAsia="fr-FR"/>
              </w:rPr>
              <w:t>p</w:t>
            </w:r>
            <w:r w:rsidRPr="00A9330B">
              <w:rPr>
                <w:rFonts w:eastAsia="Times New Roman" w:cs="Arial"/>
                <w:color w:val="000000"/>
                <w:sz w:val="20"/>
                <w:szCs w:val="20"/>
                <w:lang w:eastAsia="fr-FR"/>
              </w:rPr>
              <w:t xml:space="preserve">atam, Atelier, Baraque, </w:t>
            </w:r>
            <w:r w:rsidR="00002D78" w:rsidRPr="00A9330B">
              <w:rPr>
                <w:rFonts w:eastAsia="Times New Roman" w:cs="Arial"/>
                <w:color w:val="000000"/>
                <w:sz w:val="20"/>
                <w:szCs w:val="20"/>
                <w:lang w:eastAsia="fr-FR"/>
              </w:rPr>
              <w:t>Château</w:t>
            </w:r>
            <w:r w:rsidR="00964BE0" w:rsidRPr="00A9330B">
              <w:rPr>
                <w:rFonts w:eastAsia="Times New Roman" w:cs="Arial"/>
                <w:color w:val="000000"/>
                <w:sz w:val="20"/>
                <w:szCs w:val="20"/>
                <w:lang w:eastAsia="fr-FR"/>
              </w:rPr>
              <w:t xml:space="preserve"> d’eau</w:t>
            </w:r>
            <w:r w:rsidR="00002D78" w:rsidRPr="00A9330B">
              <w:rPr>
                <w:rFonts w:eastAsia="Times New Roman" w:cs="Arial"/>
                <w:color w:val="000000"/>
                <w:sz w:val="20"/>
                <w:szCs w:val="20"/>
                <w:lang w:eastAsia="fr-FR"/>
              </w:rPr>
              <w:t>, Kiosque</w:t>
            </w:r>
            <w:r w:rsidRPr="00A9330B">
              <w:rPr>
                <w:rFonts w:eastAsia="Times New Roman" w:cs="Arial"/>
                <w:color w:val="000000"/>
                <w:sz w:val="20"/>
                <w:szCs w:val="20"/>
                <w:lang w:eastAsia="fr-FR"/>
              </w:rPr>
              <w:t xml:space="preserve"> et des Étalages mobiles.  </w:t>
            </w:r>
          </w:p>
          <w:p w14:paraId="7C16A5E7" w14:textId="352F949A" w:rsidR="00E82414" w:rsidRPr="00A9330B" w:rsidRDefault="00E82414" w:rsidP="000F7BA7">
            <w:pPr>
              <w:spacing w:before="60" w:line="240" w:lineRule="auto"/>
              <w:jc w:val="both"/>
              <w:rPr>
                <w:rFonts w:eastAsia="Times New Roman" w:cs="Arial"/>
                <w:color w:val="000000"/>
                <w:sz w:val="20"/>
                <w:szCs w:val="20"/>
                <w:lang w:eastAsia="fr-FR"/>
              </w:rPr>
            </w:pPr>
            <w:r w:rsidRPr="00A9330B">
              <w:rPr>
                <w:rFonts w:eastAsia="Times New Roman" w:cs="Arial"/>
                <w:color w:val="000000"/>
                <w:sz w:val="20"/>
                <w:szCs w:val="20"/>
                <w:lang w:eastAsia="fr-FR"/>
              </w:rPr>
              <w:t xml:space="preserve">En dehors des biens, plusieurs activités génératrices de revenus seront perturbées du fait des travaux ; les PAP enregistrées dans l’emprise sont : </w:t>
            </w:r>
            <w:r w:rsidRPr="00A9330B">
              <w:rPr>
                <w:rFonts w:eastAsia="Calibri"/>
                <w:sz w:val="20"/>
                <w:szCs w:val="20"/>
              </w:rPr>
              <w:t>les agriculteurs, les restauratrices</w:t>
            </w:r>
            <w:r w:rsidR="00BF5279" w:rsidRPr="00A9330B">
              <w:rPr>
                <w:rFonts w:eastAsia="Calibri"/>
                <w:sz w:val="20"/>
                <w:szCs w:val="20"/>
              </w:rPr>
              <w:t>, Meunier, Soudeur, éleveur, Coiffeuse, Jardinier</w:t>
            </w:r>
            <w:r w:rsidRPr="00A9330B">
              <w:rPr>
                <w:rFonts w:eastAsia="Calibri"/>
                <w:sz w:val="20"/>
                <w:szCs w:val="20"/>
              </w:rPr>
              <w:t xml:space="preserve">, etc. les activités de </w:t>
            </w:r>
            <w:r w:rsidR="00BF5279" w:rsidRPr="00A9330B">
              <w:rPr>
                <w:rFonts w:eastAsia="Calibri"/>
                <w:sz w:val="20"/>
                <w:szCs w:val="20"/>
              </w:rPr>
              <w:t>7</w:t>
            </w:r>
            <w:r w:rsidRPr="00A9330B">
              <w:rPr>
                <w:rFonts w:eastAsia="Calibri"/>
                <w:sz w:val="20"/>
                <w:szCs w:val="20"/>
              </w:rPr>
              <w:t xml:space="preserve"> PAP seront perturbées par les travaux.</w:t>
            </w:r>
          </w:p>
          <w:p w14:paraId="0BE792A5" w14:textId="1AC43E4F" w:rsidR="00E82414" w:rsidRPr="00A9330B" w:rsidRDefault="00E82414" w:rsidP="000F7BA7">
            <w:pPr>
              <w:spacing w:before="60" w:line="240" w:lineRule="auto"/>
              <w:jc w:val="both"/>
              <w:rPr>
                <w:rFonts w:eastAsia="Times New Roman" w:cs="Arial"/>
                <w:color w:val="000000"/>
                <w:sz w:val="20"/>
                <w:szCs w:val="20"/>
                <w:lang w:eastAsia="fr-FR"/>
              </w:rPr>
            </w:pPr>
            <w:r w:rsidRPr="00A9330B">
              <w:rPr>
                <w:rFonts w:eastAsia="Times New Roman" w:cs="Arial"/>
                <w:color w:val="000000"/>
                <w:sz w:val="20"/>
                <w:szCs w:val="20"/>
                <w:lang w:eastAsia="fr-FR"/>
              </w:rPr>
              <w:t>Il faut noter que les travaux pourraient aussi occasionner le déplacement de 0</w:t>
            </w:r>
            <w:r w:rsidR="00BF5279" w:rsidRPr="00A9330B">
              <w:rPr>
                <w:rFonts w:eastAsia="Times New Roman" w:cs="Arial"/>
                <w:color w:val="000000"/>
                <w:sz w:val="20"/>
                <w:szCs w:val="20"/>
                <w:lang w:eastAsia="fr-FR"/>
              </w:rPr>
              <w:t>2 divinités, 3 tombes et la coupe de deux arbres fétiches</w:t>
            </w:r>
            <w:r w:rsidRPr="00A9330B">
              <w:rPr>
                <w:rFonts w:eastAsia="Times New Roman" w:cs="Arial"/>
                <w:color w:val="000000"/>
                <w:sz w:val="20"/>
                <w:szCs w:val="20"/>
                <w:lang w:eastAsia="fr-FR"/>
              </w:rPr>
              <w:t>.</w:t>
            </w:r>
          </w:p>
        </w:tc>
      </w:tr>
      <w:tr w:rsidR="00E82414" w:rsidRPr="00A9330B" w14:paraId="6DF0300B" w14:textId="77777777" w:rsidTr="00E82414">
        <w:trPr>
          <w:trHeight w:val="426"/>
        </w:trPr>
        <w:tc>
          <w:tcPr>
            <w:tcW w:w="2010" w:type="pct"/>
          </w:tcPr>
          <w:p w14:paraId="4561FFD1" w14:textId="56B637BD" w:rsidR="00E82414" w:rsidRPr="00A9330B" w:rsidRDefault="00E82414" w:rsidP="000F7BA7">
            <w:pPr>
              <w:jc w:val="both"/>
              <w:rPr>
                <w:color w:val="auto"/>
                <w:sz w:val="20"/>
                <w:szCs w:val="20"/>
              </w:rPr>
            </w:pPr>
            <w:r w:rsidRPr="00A9330B">
              <w:rPr>
                <w:sz w:val="20"/>
                <w:szCs w:val="20"/>
              </w:rPr>
              <w:t xml:space="preserve">Emissions de poussières </w:t>
            </w:r>
            <w:r w:rsidR="009E0AAB" w:rsidRPr="00A9330B">
              <w:rPr>
                <w:sz w:val="20"/>
                <w:szCs w:val="20"/>
              </w:rPr>
              <w:t xml:space="preserve">et de </w:t>
            </w:r>
            <w:r w:rsidRPr="00A9330B">
              <w:rPr>
                <w:sz w:val="20"/>
                <w:szCs w:val="20"/>
              </w:rPr>
              <w:t xml:space="preserve">particules dans l’air </w:t>
            </w:r>
          </w:p>
          <w:p w14:paraId="5B9FCC84" w14:textId="77777777" w:rsidR="00E82414" w:rsidRPr="00A9330B" w:rsidRDefault="00E82414" w:rsidP="000F7BA7">
            <w:pPr>
              <w:jc w:val="both"/>
              <w:rPr>
                <w:sz w:val="20"/>
                <w:szCs w:val="20"/>
              </w:rPr>
            </w:pPr>
          </w:p>
        </w:tc>
        <w:tc>
          <w:tcPr>
            <w:tcW w:w="2990" w:type="pct"/>
            <w:hideMark/>
          </w:tcPr>
          <w:p w14:paraId="1C75CAC2" w14:textId="77777777" w:rsidR="00E82414" w:rsidRPr="00A9330B" w:rsidRDefault="00E82414" w:rsidP="000F7BA7">
            <w:pPr>
              <w:jc w:val="both"/>
              <w:rPr>
                <w:b/>
                <w:sz w:val="20"/>
                <w:szCs w:val="20"/>
              </w:rPr>
            </w:pPr>
            <w:r w:rsidRPr="00A9330B">
              <w:rPr>
                <w:sz w:val="20"/>
                <w:szCs w:val="20"/>
              </w:rPr>
              <w:t xml:space="preserve">Les actions de terrassement, de transports et de déchargement de matériaux entraînent une augmentation de la concentration des poussières (sables, latérite, etc.) dans l’atmosphère. L’impact de la pollution atmosphérique sur les populations se présente avec beaucoup d’acuité au niveau des zones habitées et particulièrement en milieu urbain et périurbain. </w:t>
            </w:r>
          </w:p>
        </w:tc>
      </w:tr>
      <w:tr w:rsidR="00E82414" w:rsidRPr="00A9330B" w14:paraId="646AAFA6" w14:textId="77777777" w:rsidTr="00E82414">
        <w:trPr>
          <w:trHeight w:val="300"/>
        </w:trPr>
        <w:tc>
          <w:tcPr>
            <w:tcW w:w="2010" w:type="pct"/>
          </w:tcPr>
          <w:p w14:paraId="326FFF59" w14:textId="77777777" w:rsidR="00E82414" w:rsidRPr="00A9330B" w:rsidRDefault="00E82414" w:rsidP="000F7BA7">
            <w:pPr>
              <w:jc w:val="both"/>
              <w:rPr>
                <w:sz w:val="20"/>
                <w:szCs w:val="20"/>
              </w:rPr>
            </w:pPr>
            <w:r w:rsidRPr="00A9330B">
              <w:rPr>
                <w:sz w:val="20"/>
                <w:szCs w:val="20"/>
              </w:rPr>
              <w:t>Destruction de la végétation et la faune</w:t>
            </w:r>
          </w:p>
          <w:p w14:paraId="0DA3BBCC" w14:textId="77777777" w:rsidR="00E82414" w:rsidRPr="00A9330B" w:rsidRDefault="00E82414" w:rsidP="000F7BA7">
            <w:pPr>
              <w:jc w:val="both"/>
              <w:rPr>
                <w:sz w:val="20"/>
                <w:szCs w:val="20"/>
              </w:rPr>
            </w:pPr>
          </w:p>
        </w:tc>
        <w:tc>
          <w:tcPr>
            <w:tcW w:w="2990" w:type="pct"/>
            <w:hideMark/>
          </w:tcPr>
          <w:p w14:paraId="5D683901" w14:textId="77777777" w:rsidR="00E82414" w:rsidRPr="00A9330B" w:rsidRDefault="00E82414" w:rsidP="000F7BA7">
            <w:pPr>
              <w:spacing w:line="240" w:lineRule="auto"/>
              <w:jc w:val="both"/>
              <w:rPr>
                <w:sz w:val="20"/>
                <w:szCs w:val="20"/>
              </w:rPr>
            </w:pPr>
            <w:r w:rsidRPr="00A9330B">
              <w:rPr>
                <w:sz w:val="20"/>
                <w:szCs w:val="20"/>
              </w:rPr>
              <w:t>Des arbres et des plantations pourraient être détruites du fait de l’occupation de l’espace qu’il est indispensable de libérer pour installer la base vie avant la réalisation des travaux.</w:t>
            </w:r>
          </w:p>
          <w:p w14:paraId="025FC88A" w14:textId="77777777" w:rsidR="00E82414" w:rsidRPr="00A9330B" w:rsidRDefault="00E82414" w:rsidP="000F7BA7">
            <w:pPr>
              <w:spacing w:line="240" w:lineRule="auto"/>
              <w:jc w:val="both"/>
              <w:rPr>
                <w:sz w:val="20"/>
                <w:szCs w:val="20"/>
              </w:rPr>
            </w:pPr>
            <w:r w:rsidRPr="00A9330B">
              <w:rPr>
                <w:sz w:val="20"/>
                <w:szCs w:val="20"/>
              </w:rPr>
              <w:t>En effet, la localisation de la base vie permettra de faire le bilan exhaustif de la flore et éventuellement de la faune susceptible d’être affectées</w:t>
            </w:r>
          </w:p>
          <w:p w14:paraId="2F9CFC33" w14:textId="77777777" w:rsidR="00E82414" w:rsidRPr="00A9330B" w:rsidRDefault="00E82414" w:rsidP="000F7BA7">
            <w:pPr>
              <w:spacing w:line="240" w:lineRule="auto"/>
              <w:jc w:val="both"/>
              <w:rPr>
                <w:sz w:val="20"/>
                <w:szCs w:val="20"/>
              </w:rPr>
            </w:pPr>
            <w:r w:rsidRPr="00A9330B">
              <w:rPr>
                <w:sz w:val="20"/>
                <w:szCs w:val="20"/>
              </w:rPr>
              <w:t xml:space="preserve">La végétation située dans l’emprise du projet sera détruite et par conséquent la faune qui y est liée. La végétation concernée est celle qui se trouve aux abords des collecteurs et des rues concernées. Environ 157 pieds d’arbres ont été recensés </w:t>
            </w:r>
          </w:p>
          <w:p w14:paraId="3483EE7F" w14:textId="5B0B79F2" w:rsidR="00E82414" w:rsidRPr="00A9330B" w:rsidRDefault="00E82414" w:rsidP="000F7BA7">
            <w:pPr>
              <w:spacing w:line="240" w:lineRule="auto"/>
              <w:jc w:val="both"/>
              <w:rPr>
                <w:sz w:val="20"/>
                <w:szCs w:val="20"/>
              </w:rPr>
            </w:pPr>
            <w:r w:rsidRPr="00A9330B">
              <w:rPr>
                <w:sz w:val="20"/>
                <w:szCs w:val="20"/>
              </w:rPr>
              <w:t>On peut également citer quelques champs et jardins maraichers (</w:t>
            </w:r>
            <w:r w:rsidR="008A3AB7" w:rsidRPr="00A9330B">
              <w:rPr>
                <w:sz w:val="20"/>
                <w:szCs w:val="20"/>
              </w:rPr>
              <w:t>37</w:t>
            </w:r>
            <w:r w:rsidRPr="00A9330B">
              <w:rPr>
                <w:sz w:val="20"/>
                <w:szCs w:val="20"/>
              </w:rPr>
              <w:t xml:space="preserve"> enregistrés) mis en place au bord des couloirs d’eau ou jardins de cases </w:t>
            </w:r>
          </w:p>
          <w:p w14:paraId="446150EF" w14:textId="069827CF" w:rsidR="00E82414" w:rsidRPr="00A9330B" w:rsidRDefault="00E82414" w:rsidP="000F7BA7">
            <w:pPr>
              <w:spacing w:line="240" w:lineRule="auto"/>
              <w:jc w:val="both"/>
              <w:rPr>
                <w:b/>
                <w:sz w:val="20"/>
                <w:szCs w:val="20"/>
              </w:rPr>
            </w:pPr>
            <w:r w:rsidRPr="00A9330B">
              <w:rPr>
                <w:sz w:val="20"/>
                <w:szCs w:val="20"/>
              </w:rPr>
              <w:lastRenderedPageBreak/>
              <w:t>Les détails concern</w:t>
            </w:r>
            <w:r w:rsidR="009E0AAB" w:rsidRPr="00A9330B">
              <w:rPr>
                <w:sz w:val="20"/>
                <w:szCs w:val="20"/>
              </w:rPr>
              <w:t xml:space="preserve">ant </w:t>
            </w:r>
            <w:r w:rsidRPr="00A9330B">
              <w:rPr>
                <w:sz w:val="20"/>
                <w:szCs w:val="20"/>
              </w:rPr>
              <w:t xml:space="preserve"> les inventaires des biens et activités se trouvent dans le PAR en annexe de l’EIES.</w:t>
            </w:r>
          </w:p>
        </w:tc>
      </w:tr>
      <w:tr w:rsidR="00E82414" w:rsidRPr="00A9330B" w14:paraId="587B2DFC" w14:textId="77777777" w:rsidTr="00E82414">
        <w:trPr>
          <w:trHeight w:val="300"/>
        </w:trPr>
        <w:tc>
          <w:tcPr>
            <w:tcW w:w="2010" w:type="pct"/>
          </w:tcPr>
          <w:p w14:paraId="6BE15070" w14:textId="77777777" w:rsidR="00E82414" w:rsidRPr="00A9330B" w:rsidRDefault="00E82414" w:rsidP="000F7BA7">
            <w:pPr>
              <w:jc w:val="both"/>
              <w:rPr>
                <w:sz w:val="20"/>
                <w:szCs w:val="20"/>
              </w:rPr>
            </w:pPr>
            <w:r w:rsidRPr="00A9330B">
              <w:rPr>
                <w:sz w:val="20"/>
                <w:szCs w:val="20"/>
              </w:rPr>
              <w:lastRenderedPageBreak/>
              <w:t>Pollution du sol par les déchets solides</w:t>
            </w:r>
          </w:p>
          <w:p w14:paraId="3DD7D06C" w14:textId="77777777" w:rsidR="00E82414" w:rsidRPr="00A9330B" w:rsidRDefault="00E82414" w:rsidP="000F7BA7">
            <w:pPr>
              <w:jc w:val="both"/>
              <w:rPr>
                <w:sz w:val="20"/>
                <w:szCs w:val="20"/>
              </w:rPr>
            </w:pPr>
          </w:p>
        </w:tc>
        <w:tc>
          <w:tcPr>
            <w:tcW w:w="2990" w:type="pct"/>
            <w:hideMark/>
          </w:tcPr>
          <w:p w14:paraId="1B63A344" w14:textId="77777777" w:rsidR="00E82414" w:rsidRPr="00A9330B" w:rsidRDefault="00E82414" w:rsidP="000F7BA7">
            <w:pPr>
              <w:jc w:val="both"/>
              <w:rPr>
                <w:b/>
                <w:sz w:val="20"/>
                <w:szCs w:val="20"/>
              </w:rPr>
            </w:pPr>
            <w:r w:rsidRPr="00A9330B">
              <w:rPr>
                <w:sz w:val="20"/>
                <w:szCs w:val="20"/>
              </w:rPr>
              <w:t>Au niveau des ateliers, garages d’entretien et de réparation et stations d’approvisionnement en carburant, les activités génèrent des nuisances certaines sur l’environnement, dont les plus significatives portent sur la production de toutes sortes de déchets.</w:t>
            </w:r>
          </w:p>
        </w:tc>
      </w:tr>
      <w:tr w:rsidR="00E82414" w:rsidRPr="00A9330B" w14:paraId="31382AF2" w14:textId="77777777" w:rsidTr="00E82414">
        <w:trPr>
          <w:trHeight w:val="300"/>
        </w:trPr>
        <w:tc>
          <w:tcPr>
            <w:tcW w:w="2010" w:type="pct"/>
          </w:tcPr>
          <w:p w14:paraId="08A004ED" w14:textId="77777777" w:rsidR="00E82414" w:rsidRPr="00A9330B" w:rsidRDefault="00E82414" w:rsidP="000F7BA7">
            <w:pPr>
              <w:jc w:val="both"/>
              <w:rPr>
                <w:sz w:val="20"/>
                <w:szCs w:val="20"/>
              </w:rPr>
            </w:pPr>
            <w:r w:rsidRPr="00A9330B">
              <w:rPr>
                <w:sz w:val="20"/>
                <w:szCs w:val="20"/>
              </w:rPr>
              <w:t>Pollution du sol par les eaux usées</w:t>
            </w:r>
          </w:p>
          <w:p w14:paraId="7DE9AC8B" w14:textId="77777777" w:rsidR="00E82414" w:rsidRPr="00A9330B" w:rsidRDefault="00E82414" w:rsidP="000F7BA7">
            <w:pPr>
              <w:jc w:val="both"/>
              <w:rPr>
                <w:sz w:val="20"/>
                <w:szCs w:val="20"/>
              </w:rPr>
            </w:pPr>
          </w:p>
        </w:tc>
        <w:tc>
          <w:tcPr>
            <w:tcW w:w="2990" w:type="pct"/>
            <w:hideMark/>
          </w:tcPr>
          <w:p w14:paraId="088D5666" w14:textId="2589C411" w:rsidR="00E82414" w:rsidRPr="00A9330B" w:rsidRDefault="00E82414" w:rsidP="000F7BA7">
            <w:pPr>
              <w:jc w:val="both"/>
              <w:rPr>
                <w:b/>
                <w:sz w:val="20"/>
                <w:szCs w:val="20"/>
              </w:rPr>
            </w:pPr>
            <w:r w:rsidRPr="00A9330B">
              <w:rPr>
                <w:sz w:val="20"/>
                <w:szCs w:val="20"/>
              </w:rPr>
              <w:t>La pollution de l’environnement et du cadre de vie par des rejets des produits de vidange et de lavage dans le milieu naturel (huiles usées, graisses, hydrocarbures et de composés organiques au plomb, pièces défectueuses,</w:t>
            </w:r>
            <w:r w:rsidR="00964BE0" w:rsidRPr="00A9330B">
              <w:rPr>
                <w:sz w:val="20"/>
                <w:szCs w:val="20"/>
              </w:rPr>
              <w:t xml:space="preserve"> </w:t>
            </w:r>
            <w:r w:rsidRPr="00A9330B">
              <w:rPr>
                <w:sz w:val="20"/>
                <w:szCs w:val="20"/>
              </w:rPr>
              <w:t>etc.)</w:t>
            </w:r>
          </w:p>
        </w:tc>
      </w:tr>
      <w:tr w:rsidR="00E82414" w:rsidRPr="00A9330B" w14:paraId="36BFA85F" w14:textId="77777777" w:rsidTr="00E82414">
        <w:trPr>
          <w:trHeight w:val="300"/>
        </w:trPr>
        <w:tc>
          <w:tcPr>
            <w:tcW w:w="2010" w:type="pct"/>
          </w:tcPr>
          <w:p w14:paraId="52D45FFA" w14:textId="77777777" w:rsidR="00E82414" w:rsidRPr="00A9330B" w:rsidRDefault="00E82414" w:rsidP="000F7BA7">
            <w:pPr>
              <w:jc w:val="both"/>
              <w:rPr>
                <w:sz w:val="20"/>
                <w:szCs w:val="20"/>
              </w:rPr>
            </w:pPr>
            <w:r w:rsidRPr="00A9330B">
              <w:rPr>
                <w:sz w:val="20"/>
                <w:szCs w:val="20"/>
              </w:rPr>
              <w:t xml:space="preserve">Destruction de milieu naturel par l’exploitation des carrières et des zones d’emprunt </w:t>
            </w:r>
          </w:p>
          <w:p w14:paraId="3872E066" w14:textId="77777777" w:rsidR="00E82414" w:rsidRPr="00A9330B" w:rsidRDefault="00E82414" w:rsidP="000F7BA7">
            <w:pPr>
              <w:jc w:val="both"/>
              <w:rPr>
                <w:sz w:val="20"/>
                <w:szCs w:val="20"/>
              </w:rPr>
            </w:pPr>
            <w:r w:rsidRPr="00A9330B">
              <w:rPr>
                <w:sz w:val="20"/>
                <w:szCs w:val="20"/>
              </w:rPr>
              <w:t>.</w:t>
            </w:r>
          </w:p>
          <w:p w14:paraId="2A177615" w14:textId="77777777" w:rsidR="00E82414" w:rsidRPr="00A9330B" w:rsidRDefault="00E82414" w:rsidP="000F7BA7">
            <w:pPr>
              <w:jc w:val="both"/>
              <w:rPr>
                <w:sz w:val="20"/>
                <w:szCs w:val="20"/>
              </w:rPr>
            </w:pPr>
          </w:p>
        </w:tc>
        <w:tc>
          <w:tcPr>
            <w:tcW w:w="2990" w:type="pct"/>
            <w:hideMark/>
          </w:tcPr>
          <w:p w14:paraId="6119D2FA" w14:textId="77777777" w:rsidR="00E82414" w:rsidRPr="00A9330B" w:rsidRDefault="00E82414" w:rsidP="000F7BA7">
            <w:pPr>
              <w:jc w:val="both"/>
              <w:rPr>
                <w:rFonts w:cs="Arial"/>
                <w:b/>
                <w:sz w:val="20"/>
                <w:szCs w:val="20"/>
              </w:rPr>
            </w:pPr>
            <w:r w:rsidRPr="00A9330B">
              <w:rPr>
                <w:sz w:val="20"/>
                <w:szCs w:val="20"/>
              </w:rPr>
              <w:t>L’approvisionnement en matériaux de construction se fera au niveau des carrières existantes ou ouvertes pour les besoins du chantier. L’ouverture et l’exploitation de carrières de matériaux de construction (sable, gravier, latérite, etc.) participent aussi à la dégradation du paysage avec les nuisances liées aux excavations délaissées après le prélèvement des matériaux.</w:t>
            </w:r>
            <w:r w:rsidRPr="00A9330B">
              <w:rPr>
                <w:rFonts w:cs="Arial"/>
                <w:sz w:val="20"/>
                <w:szCs w:val="20"/>
              </w:rPr>
              <w:t xml:space="preserve"> </w:t>
            </w:r>
          </w:p>
        </w:tc>
      </w:tr>
      <w:tr w:rsidR="00E82414" w:rsidRPr="00A9330B" w14:paraId="59979E02" w14:textId="77777777" w:rsidTr="00E82414">
        <w:trPr>
          <w:trHeight w:val="300"/>
        </w:trPr>
        <w:tc>
          <w:tcPr>
            <w:tcW w:w="2010" w:type="pct"/>
            <w:hideMark/>
          </w:tcPr>
          <w:p w14:paraId="71AB1F66" w14:textId="559C245D" w:rsidR="00E82414" w:rsidRPr="00A9330B" w:rsidRDefault="00E82414" w:rsidP="000F7BA7">
            <w:pPr>
              <w:jc w:val="both"/>
              <w:rPr>
                <w:sz w:val="20"/>
                <w:szCs w:val="20"/>
              </w:rPr>
            </w:pPr>
            <w:r w:rsidRPr="00A9330B">
              <w:rPr>
                <w:sz w:val="20"/>
                <w:szCs w:val="20"/>
              </w:rPr>
              <w:t xml:space="preserve">Pollution du sol et des nappes par les eaux usées, huiles usagées (graisses, hydrocarbures, lubrifiants) et de composés organiques au plomb </w:t>
            </w:r>
          </w:p>
        </w:tc>
        <w:tc>
          <w:tcPr>
            <w:tcW w:w="2990" w:type="pct"/>
            <w:hideMark/>
          </w:tcPr>
          <w:p w14:paraId="4CE0728E" w14:textId="77777777" w:rsidR="00E82414" w:rsidRPr="00A9330B" w:rsidRDefault="00E82414" w:rsidP="000F7BA7">
            <w:pPr>
              <w:jc w:val="both"/>
              <w:rPr>
                <w:b/>
                <w:sz w:val="20"/>
                <w:szCs w:val="20"/>
              </w:rPr>
            </w:pPr>
            <w:r w:rsidRPr="00A9330B">
              <w:rPr>
                <w:sz w:val="20"/>
                <w:szCs w:val="20"/>
              </w:rPr>
              <w:t xml:space="preserve">Les déversements peuvent par infiltration contaminer le sol et atteindre les nappes  </w:t>
            </w:r>
          </w:p>
        </w:tc>
      </w:tr>
    </w:tbl>
    <w:p w14:paraId="36287DB9" w14:textId="3EE34B8C" w:rsidR="00AD5193" w:rsidRPr="00A9330B" w:rsidRDefault="00002D78" w:rsidP="006E37A6">
      <w:pPr>
        <w:pStyle w:val="Titre20"/>
      </w:pPr>
      <w:bookmarkStart w:id="87" w:name="_Toc52869544"/>
      <w:bookmarkStart w:id="88" w:name="_Toc52869825"/>
      <w:r w:rsidRPr="00A9330B">
        <w:t>F</w:t>
      </w:r>
      <w:r w:rsidR="00AD5193" w:rsidRPr="00A9330B">
        <w:t>. Consultations publiques</w:t>
      </w:r>
      <w:bookmarkEnd w:id="87"/>
      <w:bookmarkEnd w:id="88"/>
    </w:p>
    <w:p w14:paraId="4A6BF6BA" w14:textId="77777777" w:rsidR="00AD5193" w:rsidRPr="00A9330B" w:rsidRDefault="00AD5193" w:rsidP="00002D78">
      <w:pPr>
        <w:jc w:val="both"/>
      </w:pPr>
      <w:r w:rsidRPr="00A9330B">
        <w:t>Lors de la réalisation de l’EIES, une place importante a été accordée à la consultation publique qui est une procédure de participation du public au processus de décision. Elle a pour objectif d'informer le public concerné sur l'existence d'un projet et de recueillir son avis sur les différents aspects de conception et d'exécution dudit projet.</w:t>
      </w:r>
    </w:p>
    <w:p w14:paraId="2AE51337" w14:textId="62ABC77D" w:rsidR="00AD5193" w:rsidRPr="00A9330B" w:rsidRDefault="00AD5193" w:rsidP="00002D78">
      <w:pPr>
        <w:jc w:val="both"/>
        <w:rPr>
          <w:rFonts w:cs="Arial"/>
        </w:rPr>
      </w:pPr>
      <w:r w:rsidRPr="00A9330B">
        <w:rPr>
          <w:rFonts w:cs="Arial"/>
        </w:rPr>
        <w:t>En dehors des enquêtes individuelles</w:t>
      </w:r>
      <w:r w:rsidRPr="00A9330B">
        <w:t>, des consultations et des réunions ont été organisées sur le terrain, a</w:t>
      </w:r>
      <w:r w:rsidR="009C2C40" w:rsidRPr="00A9330B">
        <w:t>vec</w:t>
      </w:r>
      <w:r w:rsidRPr="00A9330B">
        <w:t xml:space="preserve"> </w:t>
      </w:r>
      <w:r w:rsidR="009C2C40" w:rsidRPr="00A9330B">
        <w:t>l</w:t>
      </w:r>
      <w:r w:rsidRPr="00A9330B">
        <w:t xml:space="preserve">es parties prenantes à plusieurs niveaux : central, décentralisé, local et riverains afin de </w:t>
      </w:r>
      <w:r w:rsidR="009C2C40" w:rsidRPr="00A9330B">
        <w:t xml:space="preserve">les informer sur le projet et mesurer la perception des parties </w:t>
      </w:r>
      <w:r w:rsidR="00C230F5" w:rsidRPr="00A9330B">
        <w:t>prenante</w:t>
      </w:r>
      <w:r w:rsidR="009C2C40" w:rsidRPr="00A9330B">
        <w:t xml:space="preserve"> </w:t>
      </w:r>
      <w:r w:rsidR="00C230F5" w:rsidRPr="00A9330B">
        <w:t xml:space="preserve">par rapport aux future travaux </w:t>
      </w:r>
      <w:r w:rsidRPr="00A9330B">
        <w:t>(que ce soit en matière d’environnement, protection de la faune et de la flore, social, développement économique, genre, santé, inclusion sociale, respect des cultes et de la culture, sécurité</w:t>
      </w:r>
      <w:r w:rsidR="00C230F5" w:rsidRPr="00A9330B">
        <w:t>,</w:t>
      </w:r>
      <w:r w:rsidRPr="00A9330B">
        <w:t xml:space="preserve"> droits humains</w:t>
      </w:r>
      <w:r w:rsidR="00C230F5" w:rsidRPr="00A9330B">
        <w:t xml:space="preserve"> et cadre de vie</w:t>
      </w:r>
      <w:r w:rsidRPr="00A9330B">
        <w:t>).</w:t>
      </w:r>
    </w:p>
    <w:p w14:paraId="311EF00F" w14:textId="77777777" w:rsidR="00AD5193" w:rsidRPr="00A9330B" w:rsidRDefault="00AD5193" w:rsidP="00002D78">
      <w:pPr>
        <w:jc w:val="both"/>
      </w:pPr>
      <w:r w:rsidRPr="00A9330B">
        <w:t xml:space="preserve">Elles visent à créer un climat de confiance et de parole libérée propice à collecter le maximum d’informations (griefs, attentes) et de conseils pour réduire au maximum les impacts négatifs du projet (environnement, social, genre, santé, sécurité, droits humains) sur les parties prenantes dans leur vie quotidienne et activités socio-économiques ; ceci en vue d’obtenir l’adhésion de tous dans une perspective de développement durable. </w:t>
      </w:r>
    </w:p>
    <w:p w14:paraId="39147335" w14:textId="1CE1DE1E" w:rsidR="00C230F5" w:rsidRPr="00A9330B" w:rsidRDefault="00C230F5" w:rsidP="00002D78">
      <w:pPr>
        <w:jc w:val="both"/>
        <w:rPr>
          <w:lang w:eastAsia="fr-FR"/>
        </w:rPr>
      </w:pPr>
      <w:r w:rsidRPr="00A9330B">
        <w:rPr>
          <w:lang w:eastAsia="fr-FR"/>
        </w:rPr>
        <w:t>Plusieurs séances de travail formel</w:t>
      </w:r>
      <w:r w:rsidR="009E0AAB" w:rsidRPr="00A9330B">
        <w:rPr>
          <w:lang w:eastAsia="fr-FR"/>
        </w:rPr>
        <w:t>les</w:t>
      </w:r>
      <w:r w:rsidRPr="00A9330B">
        <w:rPr>
          <w:lang w:eastAsia="fr-FR"/>
        </w:rPr>
        <w:t xml:space="preserve"> (physique et téléphonique) ont eu lieu avec les autorités communales pour les informer, leur expliquer les procédures surtout en ce qui concerne le déroulent du PAR et pour planifier les réunions publiques. Ainsi des échanges ont eu lieu avec le Secrétaire </w:t>
      </w:r>
      <w:r w:rsidR="009E0AAB" w:rsidRPr="00A9330B">
        <w:rPr>
          <w:lang w:eastAsia="fr-FR"/>
        </w:rPr>
        <w:t>G</w:t>
      </w:r>
      <w:r w:rsidRPr="00A9330B">
        <w:rPr>
          <w:lang w:eastAsia="fr-FR"/>
        </w:rPr>
        <w:t>énéral de la Commune, le Chef du Service</w:t>
      </w:r>
      <w:r w:rsidR="009E0AAB" w:rsidRPr="00A9330B">
        <w:rPr>
          <w:lang w:eastAsia="fr-FR"/>
        </w:rPr>
        <w:t xml:space="preserve"> T</w:t>
      </w:r>
      <w:r w:rsidRPr="00A9330B">
        <w:rPr>
          <w:lang w:eastAsia="fr-FR"/>
        </w:rPr>
        <w:t xml:space="preserve">echnique, le Chef </w:t>
      </w:r>
      <w:r w:rsidR="009E0AAB" w:rsidRPr="00A9330B">
        <w:rPr>
          <w:lang w:eastAsia="fr-FR"/>
        </w:rPr>
        <w:t>S</w:t>
      </w:r>
      <w:r w:rsidRPr="00A9330B">
        <w:rPr>
          <w:lang w:eastAsia="fr-FR"/>
        </w:rPr>
        <w:t xml:space="preserve">ervice Affaires Domaniales, le Chef du </w:t>
      </w:r>
      <w:r w:rsidR="009E0AAB" w:rsidRPr="00A9330B">
        <w:rPr>
          <w:lang w:eastAsia="fr-FR"/>
        </w:rPr>
        <w:t>S</w:t>
      </w:r>
      <w:r w:rsidRPr="00A9330B">
        <w:rPr>
          <w:lang w:eastAsia="fr-FR"/>
        </w:rPr>
        <w:t xml:space="preserve">ervice de la Planification, les </w:t>
      </w:r>
      <w:r w:rsidR="009E0AAB" w:rsidRPr="00A9330B">
        <w:rPr>
          <w:lang w:eastAsia="fr-FR"/>
        </w:rPr>
        <w:t>C</w:t>
      </w:r>
      <w:r w:rsidRPr="00A9330B">
        <w:rPr>
          <w:lang w:eastAsia="fr-FR"/>
        </w:rPr>
        <w:t>hefs d’</w:t>
      </w:r>
      <w:r w:rsidR="009E0AAB" w:rsidRPr="00A9330B">
        <w:rPr>
          <w:lang w:eastAsia="fr-FR"/>
        </w:rPr>
        <w:t>A</w:t>
      </w:r>
      <w:r w:rsidRPr="00A9330B">
        <w:rPr>
          <w:lang w:eastAsia="fr-FR"/>
        </w:rPr>
        <w:t xml:space="preserve">rrondissements et </w:t>
      </w:r>
      <w:r w:rsidR="009E0AAB" w:rsidRPr="00A9330B">
        <w:rPr>
          <w:lang w:eastAsia="fr-FR"/>
        </w:rPr>
        <w:t>C</w:t>
      </w:r>
      <w:r w:rsidRPr="00A9330B">
        <w:rPr>
          <w:lang w:eastAsia="fr-FR"/>
        </w:rPr>
        <w:t xml:space="preserve">hefs de </w:t>
      </w:r>
      <w:r w:rsidR="009E0AAB" w:rsidRPr="00A9330B">
        <w:rPr>
          <w:lang w:eastAsia="fr-FR"/>
        </w:rPr>
        <w:t>Q</w:t>
      </w:r>
      <w:r w:rsidRPr="00A9330B">
        <w:rPr>
          <w:lang w:eastAsia="fr-FR"/>
        </w:rPr>
        <w:t xml:space="preserve">uartiers. </w:t>
      </w:r>
    </w:p>
    <w:p w14:paraId="6FC60253" w14:textId="20000821" w:rsidR="00310C03" w:rsidRPr="00A9330B" w:rsidRDefault="00C230F5" w:rsidP="00002D78">
      <w:pPr>
        <w:jc w:val="both"/>
        <w:rPr>
          <w:lang w:eastAsia="fr-FR"/>
        </w:rPr>
      </w:pPr>
      <w:r w:rsidRPr="00A9330B">
        <w:rPr>
          <w:lang w:eastAsia="fr-FR"/>
        </w:rPr>
        <w:t xml:space="preserve">Ce travail individuel a été renforcé par les consultations publiques au niveau des arrondissements en option groupés selon le cas, en collaboration avec les autorités politico-administratives. Il faut mentionner que toutes les autorités locales ont apporté leur contribution à la réalisation des </w:t>
      </w:r>
      <w:r w:rsidRPr="00A9330B">
        <w:rPr>
          <w:lang w:eastAsia="fr-FR"/>
        </w:rPr>
        <w:lastRenderedPageBreak/>
        <w:t>enquêtes et consultations, du fait de l’intérêt qu’</w:t>
      </w:r>
      <w:r w:rsidR="009E0AAB" w:rsidRPr="00A9330B">
        <w:rPr>
          <w:lang w:eastAsia="fr-FR"/>
        </w:rPr>
        <w:t xml:space="preserve">elles </w:t>
      </w:r>
      <w:r w:rsidRPr="00A9330B">
        <w:rPr>
          <w:lang w:eastAsia="fr-FR"/>
        </w:rPr>
        <w:t>accordent au programme qu’</w:t>
      </w:r>
      <w:r w:rsidR="009E0AAB" w:rsidRPr="00A9330B">
        <w:rPr>
          <w:lang w:eastAsia="fr-FR"/>
        </w:rPr>
        <w:t xml:space="preserve">elles </w:t>
      </w:r>
      <w:r w:rsidRPr="00A9330B">
        <w:rPr>
          <w:lang w:eastAsia="fr-FR"/>
        </w:rPr>
        <w:t>juge</w:t>
      </w:r>
      <w:r w:rsidR="009E0AAB" w:rsidRPr="00A9330B">
        <w:rPr>
          <w:lang w:eastAsia="fr-FR"/>
        </w:rPr>
        <w:t>nt</w:t>
      </w:r>
      <w:r w:rsidRPr="00A9330B">
        <w:rPr>
          <w:lang w:eastAsia="fr-FR"/>
        </w:rPr>
        <w:t xml:space="preserve"> durable. </w:t>
      </w:r>
    </w:p>
    <w:p w14:paraId="70B30C3C" w14:textId="2671F0D8" w:rsidR="00310C03" w:rsidRPr="00A9330B" w:rsidRDefault="00310C03" w:rsidP="00002D78">
      <w:pPr>
        <w:jc w:val="both"/>
        <w:rPr>
          <w:lang w:eastAsia="fr-FR"/>
        </w:rPr>
      </w:pPr>
      <w:r w:rsidRPr="00A9330B">
        <w:rPr>
          <w:lang w:eastAsia="fr-FR"/>
        </w:rPr>
        <w:t xml:space="preserve">Dans la </w:t>
      </w:r>
      <w:r w:rsidR="009E0AAB" w:rsidRPr="00A9330B">
        <w:rPr>
          <w:lang w:eastAsia="fr-FR"/>
        </w:rPr>
        <w:t>v</w:t>
      </w:r>
      <w:r w:rsidRPr="00A9330B">
        <w:rPr>
          <w:lang w:eastAsia="fr-FR"/>
        </w:rPr>
        <w:t>ille de Natitingou, plusieurs consultations publiques ont été réalisées :</w:t>
      </w:r>
    </w:p>
    <w:p w14:paraId="0906AE92" w14:textId="6CC5EA54" w:rsidR="00310C03" w:rsidRPr="00A9330B" w:rsidRDefault="00310C03" w:rsidP="00FC172B">
      <w:pPr>
        <w:pStyle w:val="Paragraphedeliste"/>
        <w:numPr>
          <w:ilvl w:val="0"/>
          <w:numId w:val="151"/>
        </w:numPr>
        <w:jc w:val="both"/>
        <w:rPr>
          <w:lang w:val="fr-FR" w:eastAsia="fr-FR"/>
        </w:rPr>
      </w:pPr>
      <w:r w:rsidRPr="00A9330B">
        <w:rPr>
          <w:lang w:val="fr-FR" w:eastAsia="fr-FR"/>
        </w:rPr>
        <w:t>la réunion de lancement du PAR le 04 juin 2020 qui a connu la participation des représentants de la Mairie, des Chefs quartiers, notables, et de riverains. L’objectif était d’informer sur le projet et ses objectifs et communiquer les dates de démarrage et de fin des recensements du PAR.</w:t>
      </w:r>
    </w:p>
    <w:p w14:paraId="258E0CF9" w14:textId="704E2FF6" w:rsidR="00310C03" w:rsidRPr="00A9330B" w:rsidRDefault="00310C03" w:rsidP="00FC172B">
      <w:pPr>
        <w:pStyle w:val="Paragraphedeliste"/>
        <w:numPr>
          <w:ilvl w:val="0"/>
          <w:numId w:val="151"/>
        </w:numPr>
        <w:jc w:val="both"/>
        <w:rPr>
          <w:lang w:val="fr-FR" w:eastAsia="fr-FR"/>
        </w:rPr>
      </w:pPr>
      <w:r w:rsidRPr="00A9330B">
        <w:rPr>
          <w:lang w:val="fr-FR" w:eastAsia="fr-FR"/>
        </w:rPr>
        <w:t xml:space="preserve">Consultation publique pour EIES dans </w:t>
      </w:r>
      <w:r w:rsidR="00266379" w:rsidRPr="00A9330B">
        <w:rPr>
          <w:lang w:val="fr-FR" w:eastAsia="fr-FR"/>
        </w:rPr>
        <w:t xml:space="preserve">chacun des arrondissements : </w:t>
      </w:r>
      <w:r w:rsidR="0048283A" w:rsidRPr="00A9330B">
        <w:rPr>
          <w:lang w:val="fr-FR" w:eastAsia="fr-FR"/>
        </w:rPr>
        <w:t>1</w:t>
      </w:r>
      <w:r w:rsidR="0048283A" w:rsidRPr="00A9330B">
        <w:rPr>
          <w:vertAlign w:val="superscript"/>
          <w:lang w:val="fr-FR" w:eastAsia="fr-FR"/>
        </w:rPr>
        <w:t>er</w:t>
      </w:r>
      <w:r w:rsidR="0048283A" w:rsidRPr="00A9330B">
        <w:rPr>
          <w:lang w:val="fr-FR" w:eastAsia="fr-FR"/>
        </w:rPr>
        <w:t xml:space="preserve">, </w:t>
      </w:r>
      <w:r w:rsidR="00266379" w:rsidRPr="00A9330B">
        <w:rPr>
          <w:lang w:val="fr-FR" w:eastAsia="fr-FR"/>
        </w:rPr>
        <w:t>2</w:t>
      </w:r>
      <w:r w:rsidR="00266379" w:rsidRPr="00A9330B">
        <w:rPr>
          <w:vertAlign w:val="superscript"/>
          <w:lang w:val="fr-FR" w:eastAsia="fr-FR"/>
        </w:rPr>
        <w:t>ème</w:t>
      </w:r>
      <w:r w:rsidR="00266379" w:rsidRPr="00A9330B">
        <w:rPr>
          <w:lang w:val="fr-FR" w:eastAsia="fr-FR"/>
        </w:rPr>
        <w:t xml:space="preserve"> et 3</w:t>
      </w:r>
      <w:r w:rsidR="00266379" w:rsidRPr="00A9330B">
        <w:rPr>
          <w:vertAlign w:val="superscript"/>
          <w:lang w:val="fr-FR" w:eastAsia="fr-FR"/>
        </w:rPr>
        <w:t>ème</w:t>
      </w:r>
      <w:r w:rsidR="00266379" w:rsidRPr="00A9330B">
        <w:rPr>
          <w:lang w:val="fr-FR" w:eastAsia="fr-FR"/>
        </w:rPr>
        <w:t xml:space="preserve"> de Natitingou le 16</w:t>
      </w:r>
      <w:r w:rsidRPr="00A9330B">
        <w:rPr>
          <w:lang w:val="fr-FR" w:eastAsia="fr-FR"/>
        </w:rPr>
        <w:t xml:space="preserve"> juin 2020 (toute la journée) avec la participation des Chefs d’Arrondissements et de </w:t>
      </w:r>
      <w:r w:rsidR="009E0AAB" w:rsidRPr="00A9330B">
        <w:rPr>
          <w:lang w:val="fr-FR" w:eastAsia="fr-FR"/>
        </w:rPr>
        <w:t>Q</w:t>
      </w:r>
      <w:r w:rsidRPr="00A9330B">
        <w:rPr>
          <w:lang w:val="fr-FR" w:eastAsia="fr-FR"/>
        </w:rPr>
        <w:t>uartiers et les représentants de la population. Le but est d’échanger sur le projet et les résultats de l’EIES et recueillir les préoccupations des participants.</w:t>
      </w:r>
    </w:p>
    <w:p w14:paraId="58388DC1" w14:textId="77777777" w:rsidR="00AD5193" w:rsidRPr="00A9330B" w:rsidRDefault="00AD5193" w:rsidP="00002D78">
      <w:pPr>
        <w:jc w:val="both"/>
        <w:rPr>
          <w:rFonts w:eastAsia="Calibri" w:cs="Arial"/>
        </w:rPr>
      </w:pPr>
      <w:r w:rsidRPr="00A9330B">
        <w:rPr>
          <w:rFonts w:eastAsia="Calibri" w:cs="Arial"/>
        </w:rPr>
        <w:t xml:space="preserve">Les principales préoccupations des participants à la consultation publique sont : </w:t>
      </w:r>
    </w:p>
    <w:p w14:paraId="0CA31A74" w14:textId="30CF5F42" w:rsidR="00AD5193" w:rsidRPr="00A9330B" w:rsidRDefault="00AD5193" w:rsidP="00BD2F72">
      <w:pPr>
        <w:numPr>
          <w:ilvl w:val="0"/>
          <w:numId w:val="47"/>
        </w:numPr>
        <w:jc w:val="both"/>
        <w:rPr>
          <w:rFonts w:eastAsia="Times New Roman" w:cs="Arial"/>
          <w:szCs w:val="20"/>
          <w:lang w:eastAsia="de-DE"/>
        </w:rPr>
      </w:pPr>
      <w:r w:rsidRPr="00A9330B">
        <w:rPr>
          <w:rFonts w:eastAsia="Times New Roman" w:cs="Arial"/>
          <w:szCs w:val="20"/>
          <w:lang w:eastAsia="de-DE"/>
        </w:rPr>
        <w:t xml:space="preserve">les rues du projet PAPVS sont telles différentes  de celles </w:t>
      </w:r>
      <w:r w:rsidR="0048283A" w:rsidRPr="00A9330B">
        <w:rPr>
          <w:rFonts w:eastAsia="Times New Roman" w:cs="Arial"/>
          <w:szCs w:val="20"/>
          <w:lang w:eastAsia="de-DE"/>
        </w:rPr>
        <w:t xml:space="preserve">du projet </w:t>
      </w:r>
      <w:r w:rsidRPr="00A9330B">
        <w:rPr>
          <w:rFonts w:eastAsia="Times New Roman" w:cs="Arial"/>
          <w:szCs w:val="20"/>
          <w:lang w:eastAsia="de-DE"/>
        </w:rPr>
        <w:t>Asphaltage</w:t>
      </w:r>
      <w:r w:rsidR="0048283A" w:rsidRPr="00A9330B">
        <w:rPr>
          <w:rFonts w:eastAsia="Times New Roman" w:cs="Arial"/>
          <w:szCs w:val="20"/>
          <w:lang w:eastAsia="de-DE"/>
        </w:rPr>
        <w:t xml:space="preserve"> phase B</w:t>
      </w:r>
      <w:r w:rsidRPr="00A9330B">
        <w:rPr>
          <w:rFonts w:eastAsia="Times New Roman" w:cs="Arial"/>
          <w:szCs w:val="20"/>
          <w:lang w:eastAsia="de-DE"/>
        </w:rPr>
        <w:t> ?</w:t>
      </w:r>
    </w:p>
    <w:p w14:paraId="683A98D9" w14:textId="77777777" w:rsidR="00AD5193" w:rsidRPr="00A9330B" w:rsidRDefault="00AD5193" w:rsidP="00BD2F72">
      <w:pPr>
        <w:numPr>
          <w:ilvl w:val="0"/>
          <w:numId w:val="47"/>
        </w:numPr>
        <w:jc w:val="both"/>
        <w:rPr>
          <w:rFonts w:eastAsia="Times New Roman" w:cs="Arial"/>
          <w:szCs w:val="20"/>
          <w:lang w:eastAsia="de-DE"/>
        </w:rPr>
      </w:pPr>
      <w:r w:rsidRPr="00A9330B">
        <w:rPr>
          <w:rFonts w:eastAsia="Times New Roman" w:cs="Arial"/>
          <w:szCs w:val="20"/>
          <w:lang w:eastAsia="de-DE"/>
        </w:rPr>
        <w:t>aurait-il la phase II pour le projet asphaltage pour prendre en compte de nouvelle rue?</w:t>
      </w:r>
    </w:p>
    <w:p w14:paraId="2B06AC54" w14:textId="77777777" w:rsidR="00AD5193" w:rsidRPr="00A9330B" w:rsidRDefault="00AD5193" w:rsidP="00BD2F72">
      <w:pPr>
        <w:numPr>
          <w:ilvl w:val="0"/>
          <w:numId w:val="47"/>
        </w:numPr>
        <w:jc w:val="both"/>
        <w:rPr>
          <w:rFonts w:eastAsia="Times New Roman" w:cs="Arial"/>
          <w:szCs w:val="20"/>
          <w:lang w:eastAsia="de-DE"/>
        </w:rPr>
      </w:pPr>
      <w:r w:rsidRPr="00A9330B">
        <w:rPr>
          <w:rFonts w:eastAsia="Times New Roman" w:cs="Arial"/>
          <w:szCs w:val="20"/>
          <w:lang w:eastAsia="de-DE"/>
        </w:rPr>
        <w:t>les ouvrages seront-ils fermés ou ouverts ?</w:t>
      </w:r>
    </w:p>
    <w:p w14:paraId="3A0DD0C8" w14:textId="77777777" w:rsidR="00AD5193" w:rsidRPr="00A9330B" w:rsidRDefault="00AD5193" w:rsidP="00BD2F72">
      <w:pPr>
        <w:numPr>
          <w:ilvl w:val="0"/>
          <w:numId w:val="47"/>
        </w:numPr>
        <w:jc w:val="both"/>
        <w:rPr>
          <w:rFonts w:eastAsia="Times New Roman" w:cs="Arial"/>
          <w:szCs w:val="20"/>
          <w:lang w:eastAsia="de-DE"/>
        </w:rPr>
      </w:pPr>
      <w:r w:rsidRPr="00A9330B">
        <w:rPr>
          <w:rFonts w:eastAsia="Times New Roman" w:cs="Arial"/>
          <w:szCs w:val="20"/>
          <w:lang w:eastAsia="de-DE"/>
        </w:rPr>
        <w:t>A quand le démarrage du projet ?</w:t>
      </w:r>
    </w:p>
    <w:p w14:paraId="3F0F6053" w14:textId="77777777" w:rsidR="00AD5193" w:rsidRPr="00A9330B" w:rsidRDefault="00AD5193" w:rsidP="00385BF7">
      <w:pPr>
        <w:numPr>
          <w:ilvl w:val="0"/>
          <w:numId w:val="47"/>
        </w:numPr>
        <w:ind w:left="714" w:hanging="357"/>
        <w:jc w:val="both"/>
        <w:rPr>
          <w:rFonts w:eastAsia="Times New Roman" w:cs="Arial"/>
          <w:szCs w:val="20"/>
          <w:lang w:eastAsia="de-DE"/>
        </w:rPr>
      </w:pPr>
      <w:r w:rsidRPr="00A9330B">
        <w:rPr>
          <w:rFonts w:eastAsia="Times New Roman" w:cs="Arial"/>
          <w:szCs w:val="20"/>
          <w:lang w:eastAsia="de-DE"/>
        </w:rPr>
        <w:t>Dans la mesure où plusieurs personnes se trouvent dans l’emprise, la population sollicite l’accompagnement de l’Etat pour les personnes affectées par le Projet.</w:t>
      </w:r>
    </w:p>
    <w:p w14:paraId="5D2B1FE8" w14:textId="77777777" w:rsidR="0048283A" w:rsidRPr="00A9330B" w:rsidRDefault="00AD5193" w:rsidP="00BD2F72">
      <w:pPr>
        <w:numPr>
          <w:ilvl w:val="0"/>
          <w:numId w:val="47"/>
        </w:numPr>
        <w:jc w:val="both"/>
        <w:rPr>
          <w:rFonts w:eastAsia="Times New Roman" w:cs="Arial"/>
          <w:szCs w:val="20"/>
          <w:lang w:eastAsia="de-DE"/>
        </w:rPr>
      </w:pPr>
      <w:r w:rsidRPr="00A9330B">
        <w:rPr>
          <w:rFonts w:eastAsia="Times New Roman" w:cs="Arial"/>
          <w:szCs w:val="20"/>
          <w:lang w:eastAsia="de-DE"/>
        </w:rPr>
        <w:t>en quoi consistera l’implication des élus locaux et quels est les délais pour libérer les emprises des rues concernées ?</w:t>
      </w:r>
    </w:p>
    <w:p w14:paraId="7BA638D9" w14:textId="3D5E2136" w:rsidR="0048283A" w:rsidRPr="00A9330B" w:rsidRDefault="0048283A" w:rsidP="00BD2F72">
      <w:pPr>
        <w:numPr>
          <w:ilvl w:val="0"/>
          <w:numId w:val="47"/>
        </w:numPr>
        <w:jc w:val="both"/>
        <w:rPr>
          <w:rFonts w:eastAsia="Times New Roman" w:cs="Arial"/>
          <w:szCs w:val="20"/>
          <w:lang w:eastAsia="de-DE"/>
        </w:rPr>
      </w:pPr>
      <w:r w:rsidRPr="00A9330B">
        <w:rPr>
          <w:rFonts w:eastAsia="Times New Roman" w:cs="Arial"/>
          <w:szCs w:val="20"/>
          <w:lang w:eastAsia="de-DE"/>
        </w:rPr>
        <w:t>comment faire pour impliquer les locaux lors de la réalisation des travaux ?</w:t>
      </w:r>
    </w:p>
    <w:p w14:paraId="32DFD9AA" w14:textId="3F3C63F8" w:rsidR="0048283A" w:rsidRPr="00A9330B" w:rsidRDefault="0048283A" w:rsidP="00BD2F72">
      <w:pPr>
        <w:numPr>
          <w:ilvl w:val="0"/>
          <w:numId w:val="47"/>
        </w:numPr>
        <w:jc w:val="both"/>
        <w:rPr>
          <w:rFonts w:eastAsia="Times New Roman" w:cs="Arial"/>
          <w:szCs w:val="20"/>
          <w:lang w:eastAsia="de-DE"/>
        </w:rPr>
      </w:pPr>
      <w:r w:rsidRPr="00A9330B">
        <w:rPr>
          <w:rFonts w:eastAsia="Times New Roman" w:cs="Arial"/>
          <w:szCs w:val="20"/>
          <w:lang w:eastAsia="de-DE"/>
        </w:rPr>
        <w:t>il y a des arrondissements qui ont été privilégiés par rapport à d’autres en ce qui concerne la voirie ;</w:t>
      </w:r>
    </w:p>
    <w:p w14:paraId="5631E1F8" w14:textId="3C5B0C04" w:rsidR="00D9264D" w:rsidRPr="00A9330B" w:rsidRDefault="00D9264D" w:rsidP="00D9264D">
      <w:pPr>
        <w:jc w:val="both"/>
        <w:rPr>
          <w:rFonts w:cs="Arial"/>
        </w:rPr>
      </w:pPr>
      <w:r w:rsidRPr="00A9330B">
        <w:rPr>
          <w:rFonts w:cs="Arial"/>
        </w:rPr>
        <w:t>Les réponses apportées à ses préoccupations sont :</w:t>
      </w:r>
    </w:p>
    <w:p w14:paraId="2A62FF2B" w14:textId="45107527" w:rsidR="00385BF7" w:rsidRPr="00A9330B" w:rsidRDefault="00385BF7" w:rsidP="00385BF7">
      <w:pPr>
        <w:pStyle w:val="Paragraphedeliste"/>
        <w:numPr>
          <w:ilvl w:val="0"/>
          <w:numId w:val="150"/>
        </w:numPr>
        <w:spacing w:line="264" w:lineRule="auto"/>
        <w:ind w:left="714" w:hanging="357"/>
        <w:contextualSpacing w:val="0"/>
        <w:jc w:val="both"/>
        <w:rPr>
          <w:rFonts w:cs="Arial"/>
          <w:lang w:val="fr-FR"/>
        </w:rPr>
      </w:pPr>
      <w:r w:rsidRPr="00A9330B">
        <w:rPr>
          <w:rFonts w:cs="Arial"/>
          <w:lang w:val="fr-FR"/>
        </w:rPr>
        <w:t>un seul projet ne peut pas prendre en compte toutes les rues de l’Arrondissement ;</w:t>
      </w:r>
    </w:p>
    <w:p w14:paraId="236B43B8" w14:textId="27ED3375" w:rsidR="00385BF7" w:rsidRPr="00A9330B" w:rsidRDefault="00385BF7" w:rsidP="00385BF7">
      <w:pPr>
        <w:pStyle w:val="Paragraphedeliste"/>
        <w:numPr>
          <w:ilvl w:val="0"/>
          <w:numId w:val="150"/>
        </w:numPr>
        <w:spacing w:line="264" w:lineRule="auto"/>
        <w:ind w:left="714" w:hanging="357"/>
        <w:contextualSpacing w:val="0"/>
        <w:jc w:val="both"/>
        <w:rPr>
          <w:rFonts w:cs="Arial"/>
          <w:lang w:val="fr-FR"/>
        </w:rPr>
      </w:pPr>
      <w:r w:rsidRPr="00A9330B">
        <w:rPr>
          <w:rFonts w:cs="Arial"/>
          <w:lang w:val="fr-FR"/>
        </w:rPr>
        <w:t xml:space="preserve">la phase II du projet asphaltage viendra renforcer le </w:t>
      </w:r>
      <w:r w:rsidR="005A0043" w:rsidRPr="00A9330B">
        <w:rPr>
          <w:rFonts w:cs="Arial"/>
          <w:lang w:val="fr-FR"/>
        </w:rPr>
        <w:t>présent</w:t>
      </w:r>
      <w:r w:rsidRPr="00A9330B">
        <w:rPr>
          <w:rFonts w:cs="Arial"/>
          <w:lang w:val="fr-FR"/>
        </w:rPr>
        <w:t xml:space="preserve"> projet car elle prend en compte des rues différentes de celles-ci ;</w:t>
      </w:r>
    </w:p>
    <w:p w14:paraId="62F85535" w14:textId="70D09F1E" w:rsidR="00385BF7" w:rsidRPr="00A9330B" w:rsidRDefault="005A0043" w:rsidP="00C34E24">
      <w:pPr>
        <w:pStyle w:val="Paragraphedeliste"/>
        <w:numPr>
          <w:ilvl w:val="0"/>
          <w:numId w:val="150"/>
        </w:numPr>
        <w:spacing w:line="264" w:lineRule="auto"/>
        <w:ind w:left="714" w:hanging="357"/>
        <w:contextualSpacing w:val="0"/>
        <w:jc w:val="both"/>
        <w:rPr>
          <w:rFonts w:cs="Arial"/>
          <w:lang w:val="fr-FR"/>
        </w:rPr>
      </w:pPr>
      <w:r w:rsidRPr="00A9330B">
        <w:rPr>
          <w:rFonts w:cs="Arial"/>
          <w:lang w:val="fr-FR"/>
        </w:rPr>
        <w:t>l</w:t>
      </w:r>
      <w:r w:rsidR="00385BF7" w:rsidRPr="00A9330B">
        <w:rPr>
          <w:rFonts w:cs="Arial"/>
          <w:lang w:val="fr-FR"/>
        </w:rPr>
        <w:t xml:space="preserve">es riverains affectés par le </w:t>
      </w:r>
      <w:r w:rsidRPr="00A9330B">
        <w:rPr>
          <w:rFonts w:cs="Arial"/>
          <w:lang w:val="fr-FR"/>
        </w:rPr>
        <w:t>projet ont été recensés. En conséquence, l</w:t>
      </w:r>
      <w:r w:rsidR="00385BF7" w:rsidRPr="00A9330B">
        <w:rPr>
          <w:rFonts w:cs="Arial"/>
          <w:lang w:val="fr-FR"/>
        </w:rPr>
        <w:t xml:space="preserve">es </w:t>
      </w:r>
      <w:r w:rsidRPr="00A9330B">
        <w:rPr>
          <w:rFonts w:cs="Arial"/>
          <w:lang w:val="fr-FR"/>
        </w:rPr>
        <w:t xml:space="preserve">ayants droits </w:t>
      </w:r>
      <w:r w:rsidR="00385BF7" w:rsidRPr="00A9330B">
        <w:rPr>
          <w:rFonts w:cs="Arial"/>
          <w:lang w:val="fr-FR"/>
        </w:rPr>
        <w:t xml:space="preserve">seront indemnisés pour les biens affectées </w:t>
      </w:r>
      <w:r w:rsidRPr="00A9330B">
        <w:rPr>
          <w:rFonts w:cs="Arial"/>
          <w:lang w:val="fr-FR"/>
        </w:rPr>
        <w:t>;</w:t>
      </w:r>
    </w:p>
    <w:p w14:paraId="0BE8D8E3" w14:textId="4BB075D0" w:rsidR="00D9264D" w:rsidRPr="00A9330B" w:rsidRDefault="005A0043" w:rsidP="00C34E24">
      <w:pPr>
        <w:pStyle w:val="Paragraphedeliste"/>
        <w:numPr>
          <w:ilvl w:val="0"/>
          <w:numId w:val="150"/>
        </w:numPr>
        <w:spacing w:line="264" w:lineRule="auto"/>
        <w:ind w:left="714" w:hanging="357"/>
        <w:contextualSpacing w:val="0"/>
        <w:jc w:val="both"/>
        <w:rPr>
          <w:rFonts w:cs="Arial"/>
          <w:lang w:val="fr-FR"/>
        </w:rPr>
      </w:pPr>
      <w:r w:rsidRPr="00A9330B">
        <w:rPr>
          <w:rFonts w:cs="Arial"/>
          <w:lang w:val="fr-FR"/>
        </w:rPr>
        <w:t>u</w:t>
      </w:r>
      <w:r w:rsidR="00385BF7" w:rsidRPr="00A9330B">
        <w:rPr>
          <w:rFonts w:cs="Arial"/>
          <w:lang w:val="fr-FR"/>
        </w:rPr>
        <w:t xml:space="preserve">ne priorité sera accordée à la main d’œuvre </w:t>
      </w:r>
      <w:r w:rsidRPr="00A9330B">
        <w:rPr>
          <w:rFonts w:cs="Arial"/>
          <w:lang w:val="fr-FR"/>
        </w:rPr>
        <w:t>locale. C</w:t>
      </w:r>
      <w:r w:rsidR="00385BF7" w:rsidRPr="00A9330B">
        <w:rPr>
          <w:rFonts w:cs="Arial"/>
          <w:lang w:val="fr-FR"/>
        </w:rPr>
        <w:t xml:space="preserve">ette mesure figure dans le PGES et devra être appliquée </w:t>
      </w:r>
      <w:r w:rsidRPr="00A9330B">
        <w:rPr>
          <w:rFonts w:cs="Arial"/>
          <w:lang w:val="fr-FR"/>
        </w:rPr>
        <w:t>;</w:t>
      </w:r>
    </w:p>
    <w:p w14:paraId="50AE19E9" w14:textId="085EBADC" w:rsidR="0048283A" w:rsidRPr="00A9330B" w:rsidRDefault="0048283A" w:rsidP="00D9264D">
      <w:pPr>
        <w:jc w:val="both"/>
        <w:rPr>
          <w:rFonts w:eastAsia="Times New Roman" w:cs="Arial"/>
          <w:szCs w:val="20"/>
          <w:lang w:eastAsia="de-DE"/>
        </w:rPr>
      </w:pPr>
      <w:r w:rsidRPr="00A9330B">
        <w:rPr>
          <w:rFonts w:eastAsia="Times New Roman" w:cs="Arial"/>
          <w:szCs w:val="20"/>
          <w:lang w:eastAsia="de-DE"/>
        </w:rPr>
        <w:t xml:space="preserve">Suite </w:t>
      </w:r>
      <w:r w:rsidR="00FC172B" w:rsidRPr="00A9330B">
        <w:rPr>
          <w:rFonts w:eastAsia="Times New Roman" w:cs="Arial"/>
          <w:szCs w:val="20"/>
          <w:lang w:eastAsia="de-DE"/>
        </w:rPr>
        <w:t xml:space="preserve">aux </w:t>
      </w:r>
      <w:r w:rsidR="005A0043" w:rsidRPr="00A9330B">
        <w:rPr>
          <w:rFonts w:eastAsia="Times New Roman" w:cs="Arial"/>
          <w:szCs w:val="20"/>
          <w:lang w:eastAsia="de-DE"/>
        </w:rPr>
        <w:t>échanges,</w:t>
      </w:r>
      <w:r w:rsidRPr="00A9330B">
        <w:rPr>
          <w:rFonts w:eastAsia="Times New Roman" w:cs="Arial"/>
          <w:szCs w:val="20"/>
          <w:lang w:eastAsia="de-DE"/>
        </w:rPr>
        <w:t xml:space="preserve"> les recommandations suivantes ont été formulées : </w:t>
      </w:r>
    </w:p>
    <w:p w14:paraId="4224E09A" w14:textId="4D766115" w:rsidR="0048283A" w:rsidRPr="00A9330B" w:rsidRDefault="0048283A" w:rsidP="00BD2F72">
      <w:pPr>
        <w:numPr>
          <w:ilvl w:val="0"/>
          <w:numId w:val="47"/>
        </w:numPr>
        <w:jc w:val="both"/>
        <w:rPr>
          <w:rFonts w:eastAsia="Times New Roman" w:cs="Arial"/>
          <w:szCs w:val="20"/>
          <w:lang w:eastAsia="de-DE"/>
        </w:rPr>
      </w:pPr>
      <w:r w:rsidRPr="00A9330B">
        <w:rPr>
          <w:rFonts w:eastAsia="Times New Roman" w:cs="Arial"/>
          <w:szCs w:val="20"/>
          <w:lang w:eastAsia="de-DE"/>
        </w:rPr>
        <w:t>recruter la main d’œuvre locale lors des travaux ;</w:t>
      </w:r>
    </w:p>
    <w:p w14:paraId="1BC94F6F" w14:textId="0D088F7A" w:rsidR="0048283A" w:rsidRPr="00A9330B" w:rsidRDefault="0048283A" w:rsidP="00BD2F72">
      <w:pPr>
        <w:numPr>
          <w:ilvl w:val="0"/>
          <w:numId w:val="47"/>
        </w:numPr>
        <w:jc w:val="both"/>
        <w:rPr>
          <w:rFonts w:eastAsia="Times New Roman" w:cs="Arial"/>
          <w:szCs w:val="20"/>
          <w:lang w:eastAsia="de-DE"/>
        </w:rPr>
      </w:pPr>
      <w:r w:rsidRPr="00A9330B">
        <w:rPr>
          <w:rFonts w:eastAsia="Times New Roman" w:cs="Arial"/>
          <w:szCs w:val="20"/>
          <w:lang w:eastAsia="de-DE"/>
        </w:rPr>
        <w:t xml:space="preserve">réaliser </w:t>
      </w:r>
      <w:r w:rsidR="00002D78" w:rsidRPr="00A9330B">
        <w:rPr>
          <w:rFonts w:eastAsia="Times New Roman" w:cs="Arial"/>
          <w:szCs w:val="20"/>
          <w:lang w:eastAsia="de-DE"/>
        </w:rPr>
        <w:t>des garde</w:t>
      </w:r>
      <w:r w:rsidRPr="00A9330B">
        <w:rPr>
          <w:rFonts w:eastAsia="Times New Roman" w:cs="Arial"/>
          <w:szCs w:val="20"/>
          <w:lang w:eastAsia="de-DE"/>
        </w:rPr>
        <w:t>-corps en béton ;</w:t>
      </w:r>
    </w:p>
    <w:p w14:paraId="14F926D9" w14:textId="6514042D" w:rsidR="0048283A" w:rsidRPr="00A9330B" w:rsidRDefault="0048283A" w:rsidP="00BD2F72">
      <w:pPr>
        <w:numPr>
          <w:ilvl w:val="0"/>
          <w:numId w:val="47"/>
        </w:numPr>
        <w:jc w:val="both"/>
        <w:rPr>
          <w:rFonts w:eastAsia="Times New Roman" w:cs="Arial"/>
          <w:szCs w:val="20"/>
          <w:lang w:eastAsia="de-DE"/>
        </w:rPr>
      </w:pPr>
      <w:r w:rsidRPr="00A9330B">
        <w:rPr>
          <w:rFonts w:eastAsia="Times New Roman" w:cs="Arial"/>
          <w:szCs w:val="20"/>
          <w:lang w:eastAsia="de-DE"/>
        </w:rPr>
        <w:t>limiter les collecteurs à ciel ouvert et rapprocher sur les collecteurs les ouvrages de franchissement ;</w:t>
      </w:r>
    </w:p>
    <w:p w14:paraId="35541E49" w14:textId="5A40D69D" w:rsidR="0048283A" w:rsidRPr="00A9330B" w:rsidRDefault="0048283A" w:rsidP="00BD2F72">
      <w:pPr>
        <w:numPr>
          <w:ilvl w:val="0"/>
          <w:numId w:val="47"/>
        </w:numPr>
        <w:jc w:val="both"/>
        <w:rPr>
          <w:rFonts w:eastAsia="Times New Roman" w:cs="Arial"/>
          <w:szCs w:val="20"/>
          <w:lang w:eastAsia="de-DE"/>
        </w:rPr>
      </w:pPr>
      <w:r w:rsidRPr="00A9330B">
        <w:rPr>
          <w:rFonts w:eastAsia="Times New Roman" w:cs="Arial"/>
          <w:szCs w:val="20"/>
          <w:lang w:eastAsia="de-DE"/>
        </w:rPr>
        <w:t>dédommager effectivement toutes les PAP avant les travaux.</w:t>
      </w:r>
    </w:p>
    <w:p w14:paraId="4BEF178F" w14:textId="79D0BAF4" w:rsidR="00AD5193" w:rsidRPr="00A9330B" w:rsidRDefault="0048283A" w:rsidP="000F7BA7">
      <w:pPr>
        <w:jc w:val="both"/>
        <w:rPr>
          <w:rFonts w:eastAsia="Times New Roman" w:cs="Arial"/>
          <w:szCs w:val="20"/>
          <w:lang w:eastAsia="de-DE"/>
        </w:rPr>
      </w:pPr>
      <w:r w:rsidRPr="00A9330B">
        <w:rPr>
          <w:rFonts w:eastAsia="Times New Roman" w:cs="Arial"/>
          <w:szCs w:val="20"/>
          <w:lang w:eastAsia="de-DE"/>
        </w:rPr>
        <w:t>Les PV de consultations publiques, les photos et les listes de présence des participants et des personnes rencontrées se trouvent en Annexe 3</w:t>
      </w:r>
    </w:p>
    <w:p w14:paraId="57A11521" w14:textId="77777777" w:rsidR="005A0043" w:rsidRPr="00A9330B" w:rsidRDefault="005A0043" w:rsidP="000F7BA7">
      <w:pPr>
        <w:jc w:val="both"/>
        <w:rPr>
          <w:rFonts w:eastAsia="Times New Roman" w:cs="Arial"/>
          <w:szCs w:val="20"/>
          <w:lang w:eastAsia="de-DE"/>
        </w:rPr>
      </w:pPr>
    </w:p>
    <w:p w14:paraId="2E67A6C3" w14:textId="36C7B3AA" w:rsidR="00AD5193" w:rsidRPr="00A9330B" w:rsidRDefault="00002D78" w:rsidP="006E37A6">
      <w:pPr>
        <w:pStyle w:val="Titre20"/>
      </w:pPr>
      <w:bookmarkStart w:id="89" w:name="_Toc52869545"/>
      <w:bookmarkStart w:id="90" w:name="_Toc52869826"/>
      <w:r w:rsidRPr="00A9330B">
        <w:lastRenderedPageBreak/>
        <w:t>G</w:t>
      </w:r>
      <w:r w:rsidR="00AD5193" w:rsidRPr="00A9330B">
        <w:t>. Plan de Gestion Environnementale et Sociale</w:t>
      </w:r>
      <w:bookmarkEnd w:id="89"/>
      <w:bookmarkEnd w:id="90"/>
    </w:p>
    <w:p w14:paraId="65A3DA77" w14:textId="77777777" w:rsidR="00002D78" w:rsidRPr="00A9330B" w:rsidRDefault="00002D78" w:rsidP="00002D78">
      <w:pPr>
        <w:jc w:val="both"/>
        <w:rPr>
          <w:b/>
          <w:color w:val="auto"/>
        </w:rPr>
      </w:pPr>
      <w:r w:rsidRPr="00A9330B">
        <w:rPr>
          <w:b/>
          <w:color w:val="auto"/>
        </w:rPr>
        <w:t>Plan d’atténuation, de maximisation et de prévention des risques</w:t>
      </w:r>
    </w:p>
    <w:p w14:paraId="5A010303" w14:textId="77777777" w:rsidR="00002D78" w:rsidRPr="00A9330B" w:rsidRDefault="00002D78" w:rsidP="00002D78">
      <w:pPr>
        <w:jc w:val="both"/>
        <w:rPr>
          <w:color w:val="auto"/>
        </w:rPr>
      </w:pPr>
      <w:r w:rsidRPr="00A9330B">
        <w:rPr>
          <w:color w:val="auto"/>
        </w:rPr>
        <w:t>Des mesures d’atténuation, des mesures de gestion des risques, des recommandations et autres dispositions ont été prises pour limiter les impacts négatifs des travaux du projet. Des mesures de maximisation ont été apportées aux impacts positifs. Les principales mesures proposées sont :</w:t>
      </w:r>
    </w:p>
    <w:p w14:paraId="73DD66A0" w14:textId="77777777" w:rsidR="00002D78" w:rsidRPr="00A9330B" w:rsidRDefault="00002D78" w:rsidP="00BD2F72">
      <w:pPr>
        <w:numPr>
          <w:ilvl w:val="0"/>
          <w:numId w:val="101"/>
        </w:numPr>
        <w:overflowPunct w:val="0"/>
        <w:autoSpaceDE w:val="0"/>
        <w:autoSpaceDN w:val="0"/>
        <w:adjustRightInd w:val="0"/>
        <w:spacing w:line="288" w:lineRule="auto"/>
        <w:contextualSpacing/>
        <w:jc w:val="both"/>
        <w:rPr>
          <w:rFonts w:eastAsia="Times New Roman" w:cs="Times New Roman"/>
          <w:szCs w:val="20"/>
          <w:lang w:eastAsia="de-DE"/>
        </w:rPr>
      </w:pPr>
      <w:r w:rsidRPr="00A9330B">
        <w:rPr>
          <w:rFonts w:eastAsia="Times New Roman" w:cs="Times New Roman"/>
          <w:szCs w:val="20"/>
          <w:lang w:eastAsia="de-DE"/>
        </w:rPr>
        <w:t>Maximisation :  accorder une priorité à la main d’œuvre locale à compétence égale, faire la promotion des prestataires locaux, effectuer des sensibilisations sur la sécurité routière.</w:t>
      </w:r>
    </w:p>
    <w:p w14:paraId="0FB6EE7B" w14:textId="74EE2A84" w:rsidR="00002D78" w:rsidRPr="00A9330B" w:rsidRDefault="00002D78" w:rsidP="00BD2F72">
      <w:pPr>
        <w:numPr>
          <w:ilvl w:val="0"/>
          <w:numId w:val="101"/>
        </w:numPr>
        <w:overflowPunct w:val="0"/>
        <w:autoSpaceDE w:val="0"/>
        <w:autoSpaceDN w:val="0"/>
        <w:adjustRightInd w:val="0"/>
        <w:spacing w:line="288" w:lineRule="auto"/>
        <w:contextualSpacing/>
        <w:jc w:val="both"/>
        <w:rPr>
          <w:rFonts w:eastAsia="Times New Roman" w:cs="Times New Roman"/>
          <w:szCs w:val="20"/>
          <w:lang w:eastAsia="de-DE"/>
        </w:rPr>
      </w:pPr>
      <w:r w:rsidRPr="00A9330B">
        <w:rPr>
          <w:rFonts w:eastAsia="Times New Roman" w:cs="Times New Roman"/>
          <w:szCs w:val="20"/>
          <w:lang w:eastAsia="de-DE"/>
        </w:rPr>
        <w:t xml:space="preserve">Atténuation :  les mesures sont relatives à la sécurité des travailleurs, usagers et des riverains des ouvrages projetés (port des EPI, sécurité des chantiers et des déviations, sensibilisations sur les mesures HSE, dispositif de régulation de la circulation), à la mise </w:t>
      </w:r>
      <w:r w:rsidR="002558B6" w:rsidRPr="00A9330B">
        <w:rPr>
          <w:rFonts w:eastAsia="Times New Roman" w:cs="Times New Roman"/>
          <w:szCs w:val="20"/>
          <w:lang w:eastAsia="de-DE"/>
        </w:rPr>
        <w:t xml:space="preserve">en œuvre </w:t>
      </w:r>
      <w:r w:rsidRPr="00A9330B">
        <w:rPr>
          <w:rFonts w:eastAsia="Times New Roman" w:cs="Times New Roman"/>
          <w:szCs w:val="20"/>
          <w:lang w:eastAsia="de-DE"/>
        </w:rPr>
        <w:t>effective des mesures de compensation et d’accompagnement (dédommagement pour les biens, compensation des pertes d’activités, accompagnement des personnes vulnérables,  compensation pour les biens cultuels), à la compensation des pertes de ressources naturelles (reboisement, plantation d’arbres d’alignement, aménagement d’espaces verts), aux sensibilisations sur l’hygiène et la santé (VIH SIDA, Covid 19 et autres pandémies), les mesures de protection des ressources naturelles (restauration des carrières, étanchéisation des aires de manipulation des huiles, graisses, lubrifiants, hydrocarbures, produits dangereux, dispositifs de récupération des eaux usées et huiles usag</w:t>
      </w:r>
      <w:r w:rsidR="002558B6" w:rsidRPr="00A9330B">
        <w:rPr>
          <w:rFonts w:eastAsia="Times New Roman" w:cs="Times New Roman"/>
          <w:szCs w:val="20"/>
          <w:lang w:eastAsia="de-DE"/>
        </w:rPr>
        <w:t>é</w:t>
      </w:r>
      <w:r w:rsidRPr="00A9330B">
        <w:rPr>
          <w:rFonts w:eastAsia="Times New Roman" w:cs="Times New Roman"/>
          <w:szCs w:val="20"/>
          <w:lang w:eastAsia="de-DE"/>
        </w:rPr>
        <w:t>es), etc.;</w:t>
      </w:r>
    </w:p>
    <w:p w14:paraId="77E79CF4" w14:textId="77777777" w:rsidR="00002D78" w:rsidRPr="00A9330B" w:rsidRDefault="00002D78" w:rsidP="00BD2F72">
      <w:pPr>
        <w:numPr>
          <w:ilvl w:val="0"/>
          <w:numId w:val="101"/>
        </w:numPr>
        <w:overflowPunct w:val="0"/>
        <w:autoSpaceDE w:val="0"/>
        <w:autoSpaceDN w:val="0"/>
        <w:adjustRightInd w:val="0"/>
        <w:spacing w:line="288" w:lineRule="auto"/>
        <w:contextualSpacing/>
        <w:jc w:val="both"/>
        <w:rPr>
          <w:rFonts w:eastAsia="Times New Roman" w:cs="Times New Roman"/>
          <w:szCs w:val="20"/>
          <w:lang w:eastAsia="de-DE"/>
        </w:rPr>
      </w:pPr>
      <w:r w:rsidRPr="00A9330B">
        <w:rPr>
          <w:rFonts w:eastAsia="Times New Roman" w:cs="Times New Roman"/>
          <w:szCs w:val="20"/>
          <w:lang w:eastAsia="de-DE"/>
        </w:rPr>
        <w:t>Accompagnement et renforcement des capacités : ces mesures visent à apporter une assistance aux PAP dans le cadre du projet en terme de construction de clôture, d’infrastructures sanitaires, etc. Le second volet permet de préparer les bénéficiaires à une prise en charge adéquate des acquis à travers des formations.</w:t>
      </w:r>
    </w:p>
    <w:p w14:paraId="0B7D264B" w14:textId="77777777" w:rsidR="00002D78" w:rsidRPr="00A9330B" w:rsidRDefault="00002D78" w:rsidP="00BD2F72">
      <w:pPr>
        <w:numPr>
          <w:ilvl w:val="0"/>
          <w:numId w:val="101"/>
        </w:numPr>
        <w:overflowPunct w:val="0"/>
        <w:autoSpaceDE w:val="0"/>
        <w:autoSpaceDN w:val="0"/>
        <w:adjustRightInd w:val="0"/>
        <w:spacing w:line="288" w:lineRule="auto"/>
        <w:contextualSpacing/>
        <w:jc w:val="both"/>
        <w:rPr>
          <w:rFonts w:eastAsia="Times New Roman" w:cs="Times New Roman"/>
          <w:szCs w:val="20"/>
          <w:lang w:eastAsia="de-DE"/>
        </w:rPr>
      </w:pPr>
      <w:r w:rsidRPr="00A9330B">
        <w:rPr>
          <w:rFonts w:eastAsia="Times New Roman" w:cs="Times New Roman"/>
          <w:szCs w:val="20"/>
          <w:lang w:eastAsia="de-DE"/>
        </w:rPr>
        <w:t xml:space="preserve">Prévention et limitation des risques : les principales mesures sont la protection du personnel sur site par les EPI et les protections collectives (éviter l’exposition au danger : balises, barrières, échafaudages, panneaux, restrictions d’accès, etc., protection des engins et équipements : capots, encoffrements, écrans fixes et mobiles lors des manutentions). Elle implique aussi l’élaboration d’un PHSSE par chaque entreprise devant intervenir en phase travaux afin de maîtriser les risques. La prévention intègre aussi la préservation de la santé du personnel et la prise en charge en cas de maladie (infirmerie, boite à pharmacie, </w:t>
      </w:r>
      <w:r w:rsidRPr="00A9330B">
        <w:rPr>
          <w:rFonts w:eastAsia="Times New Roman" w:cs="Arial"/>
          <w:szCs w:val="20"/>
          <w:lang w:eastAsia="de-DE"/>
        </w:rPr>
        <w:t>secouriste, identification d’établissements et de personnel de santé adapté en cas d’accident ou de maladie), la formation et la sensibilisation sur la prévention des risques, la sécurité incendie et l’organisation des secours en cas de sinistre.</w:t>
      </w:r>
    </w:p>
    <w:p w14:paraId="5B32C337" w14:textId="77777777" w:rsidR="00002D78" w:rsidRPr="00A9330B" w:rsidRDefault="00002D78" w:rsidP="00BD2F72">
      <w:pPr>
        <w:numPr>
          <w:ilvl w:val="0"/>
          <w:numId w:val="101"/>
        </w:numPr>
        <w:overflowPunct w:val="0"/>
        <w:autoSpaceDE w:val="0"/>
        <w:autoSpaceDN w:val="0"/>
        <w:adjustRightInd w:val="0"/>
        <w:spacing w:line="288" w:lineRule="auto"/>
        <w:contextualSpacing/>
        <w:jc w:val="both"/>
        <w:rPr>
          <w:rFonts w:eastAsia="Times New Roman" w:cs="Times New Roman"/>
          <w:szCs w:val="20"/>
          <w:lang w:eastAsia="de-DE"/>
        </w:rPr>
      </w:pPr>
      <w:r w:rsidRPr="00A9330B">
        <w:rPr>
          <w:rFonts w:eastAsia="Times New Roman" w:cs="Arial"/>
          <w:szCs w:val="20"/>
          <w:lang w:eastAsia="de-DE"/>
        </w:rPr>
        <w:t>Respect des prescriptions environnementales et sociales : Un plan d’action pour la mise en œuvre des normes Environnementales et sociales, d’hygiène et de sécurité (ESHS) et d’Hygiène et de sécurité au travail (HST) et la prévention des violences basées sur le genre (VBG) et les violences contre les enfants (VCE) de même que des codes de conduite et des lignes directrices seront élaborés dans la phase de mise en œuvre du projet par les entreprises, bureau de contrôle, etc..</w:t>
      </w:r>
    </w:p>
    <w:p w14:paraId="4578091F" w14:textId="77777777" w:rsidR="00002D78" w:rsidRPr="00A9330B" w:rsidRDefault="00002D78" w:rsidP="00002D78">
      <w:pPr>
        <w:jc w:val="both"/>
        <w:rPr>
          <w:color w:val="auto"/>
        </w:rPr>
      </w:pPr>
      <w:r w:rsidRPr="00A9330B">
        <w:rPr>
          <w:color w:val="auto"/>
        </w:rPr>
        <w:t>Ces mesures ont été compilées dans la matrice du PGES et doivent faire l’objet d’une supervision environnementale.</w:t>
      </w:r>
    </w:p>
    <w:p w14:paraId="2902B292" w14:textId="77777777" w:rsidR="00002D78" w:rsidRPr="00A9330B" w:rsidRDefault="00002D78" w:rsidP="00002D78">
      <w:pPr>
        <w:jc w:val="both"/>
        <w:rPr>
          <w:color w:val="auto"/>
        </w:rPr>
      </w:pPr>
      <w:r w:rsidRPr="00A9330B">
        <w:rPr>
          <w:color w:val="auto"/>
        </w:rPr>
        <w:t>Cette supervision environnementale permet de vérifier que le projet se réalise en conformité avec les conditions environnementales. Elle comporte deux volets : (i) la surveillance environnementale et (ii) le suivi environnemental qui sont des plans d’actions synthétisés dans un tableau de bord communément appelé Plan de Gestion Environnementale.</w:t>
      </w:r>
    </w:p>
    <w:p w14:paraId="67894961" w14:textId="77777777" w:rsidR="00002D78" w:rsidRPr="00A9330B" w:rsidRDefault="00002D78" w:rsidP="00002D78">
      <w:pPr>
        <w:spacing w:before="240" w:after="120"/>
        <w:jc w:val="both"/>
        <w:rPr>
          <w:rFonts w:eastAsia="Times New Roman"/>
          <w:b/>
          <w:color w:val="auto"/>
        </w:rPr>
      </w:pPr>
      <w:r w:rsidRPr="00A9330B">
        <w:rPr>
          <w:b/>
          <w:color w:val="auto"/>
        </w:rPr>
        <w:lastRenderedPageBreak/>
        <w:t xml:space="preserve">Programme de surveillance environnementale </w:t>
      </w:r>
    </w:p>
    <w:p w14:paraId="18D0ECE0" w14:textId="77777777" w:rsidR="00002D78" w:rsidRPr="00A9330B" w:rsidRDefault="00002D78" w:rsidP="00002D78">
      <w:pPr>
        <w:jc w:val="both"/>
        <w:rPr>
          <w:color w:val="auto"/>
        </w:rPr>
      </w:pPr>
      <w:r w:rsidRPr="00A9330B">
        <w:rPr>
          <w:color w:val="auto"/>
        </w:rPr>
        <w:t xml:space="preserve">La surveillance environnementale est l’ensemble des activités permettant de vérifier si les mesures proposées sont mises en œuvre dans les meilleures conditions de qualité, de délais et de coût. Elle fait intervenir les acteurs ci-après : </w:t>
      </w:r>
    </w:p>
    <w:p w14:paraId="221C10AA" w14:textId="77777777" w:rsidR="00002D78" w:rsidRPr="00A9330B" w:rsidRDefault="00002D78" w:rsidP="00BD2F72">
      <w:pPr>
        <w:numPr>
          <w:ilvl w:val="0"/>
          <w:numId w:val="101"/>
        </w:numPr>
        <w:overflowPunct w:val="0"/>
        <w:autoSpaceDE w:val="0"/>
        <w:autoSpaceDN w:val="0"/>
        <w:adjustRightInd w:val="0"/>
        <w:spacing w:line="288" w:lineRule="auto"/>
        <w:contextualSpacing/>
        <w:jc w:val="both"/>
        <w:rPr>
          <w:rFonts w:eastAsia="Times New Roman" w:cs="Times New Roman"/>
          <w:szCs w:val="20"/>
          <w:lang w:eastAsia="de-DE"/>
        </w:rPr>
      </w:pPr>
      <w:r w:rsidRPr="00A9330B">
        <w:rPr>
          <w:rFonts w:eastAsia="Times New Roman" w:cs="Times New Roman"/>
          <w:szCs w:val="20"/>
          <w:lang w:eastAsia="de-DE"/>
        </w:rPr>
        <w:t>les entreprises adjudicataires ;</w:t>
      </w:r>
    </w:p>
    <w:p w14:paraId="29B80195" w14:textId="77777777" w:rsidR="00002D78" w:rsidRPr="00A9330B" w:rsidRDefault="00002D78" w:rsidP="00BD2F72">
      <w:pPr>
        <w:numPr>
          <w:ilvl w:val="0"/>
          <w:numId w:val="101"/>
        </w:numPr>
        <w:overflowPunct w:val="0"/>
        <w:autoSpaceDE w:val="0"/>
        <w:autoSpaceDN w:val="0"/>
        <w:adjustRightInd w:val="0"/>
        <w:spacing w:line="288" w:lineRule="auto"/>
        <w:contextualSpacing/>
        <w:jc w:val="both"/>
        <w:rPr>
          <w:rFonts w:eastAsia="Times New Roman" w:cs="Times New Roman"/>
          <w:szCs w:val="20"/>
          <w:lang w:eastAsia="de-DE"/>
        </w:rPr>
      </w:pPr>
      <w:r w:rsidRPr="00A9330B">
        <w:rPr>
          <w:rFonts w:eastAsia="Times New Roman" w:cs="Times New Roman"/>
          <w:szCs w:val="20"/>
          <w:lang w:eastAsia="de-DE"/>
        </w:rPr>
        <w:t>les entreprises sous-traitantes ;</w:t>
      </w:r>
    </w:p>
    <w:p w14:paraId="132170F9" w14:textId="77777777" w:rsidR="00002D78" w:rsidRPr="00A9330B" w:rsidRDefault="00002D78" w:rsidP="00BD2F72">
      <w:pPr>
        <w:numPr>
          <w:ilvl w:val="0"/>
          <w:numId w:val="101"/>
        </w:numPr>
        <w:overflowPunct w:val="0"/>
        <w:autoSpaceDE w:val="0"/>
        <w:autoSpaceDN w:val="0"/>
        <w:adjustRightInd w:val="0"/>
        <w:spacing w:line="288" w:lineRule="auto"/>
        <w:contextualSpacing/>
        <w:jc w:val="both"/>
        <w:rPr>
          <w:rFonts w:eastAsia="Times New Roman" w:cs="Times New Roman"/>
          <w:szCs w:val="20"/>
          <w:lang w:eastAsia="de-DE"/>
        </w:rPr>
      </w:pPr>
      <w:r w:rsidRPr="00A9330B">
        <w:rPr>
          <w:rFonts w:eastAsia="Times New Roman" w:cs="Times New Roman"/>
          <w:szCs w:val="20"/>
          <w:lang w:eastAsia="de-DE"/>
        </w:rPr>
        <w:t xml:space="preserve">les missions de contrôles techniques et environnementales des travaux ; </w:t>
      </w:r>
    </w:p>
    <w:p w14:paraId="04F7AAA5" w14:textId="77777777" w:rsidR="00002D78" w:rsidRPr="00A9330B" w:rsidRDefault="00002D78" w:rsidP="00BD2F72">
      <w:pPr>
        <w:numPr>
          <w:ilvl w:val="0"/>
          <w:numId w:val="101"/>
        </w:numPr>
        <w:overflowPunct w:val="0"/>
        <w:autoSpaceDE w:val="0"/>
        <w:autoSpaceDN w:val="0"/>
        <w:adjustRightInd w:val="0"/>
        <w:spacing w:line="288" w:lineRule="auto"/>
        <w:contextualSpacing/>
        <w:jc w:val="both"/>
        <w:rPr>
          <w:rFonts w:eastAsia="Times New Roman" w:cs="Times New Roman"/>
          <w:szCs w:val="20"/>
          <w:lang w:eastAsia="de-DE"/>
        </w:rPr>
      </w:pPr>
      <w:r w:rsidRPr="00A9330B">
        <w:rPr>
          <w:rFonts w:eastAsia="Times New Roman" w:cs="Times New Roman"/>
          <w:szCs w:val="20"/>
          <w:lang w:eastAsia="de-DE"/>
        </w:rPr>
        <w:t>les experts et consultants ;</w:t>
      </w:r>
    </w:p>
    <w:p w14:paraId="2C5A3989" w14:textId="77777777" w:rsidR="00002D78" w:rsidRPr="00A9330B" w:rsidRDefault="00002D78" w:rsidP="00BD2F72">
      <w:pPr>
        <w:numPr>
          <w:ilvl w:val="0"/>
          <w:numId w:val="101"/>
        </w:numPr>
        <w:overflowPunct w:val="0"/>
        <w:autoSpaceDE w:val="0"/>
        <w:autoSpaceDN w:val="0"/>
        <w:adjustRightInd w:val="0"/>
        <w:spacing w:line="288" w:lineRule="auto"/>
        <w:contextualSpacing/>
        <w:jc w:val="both"/>
        <w:rPr>
          <w:rFonts w:eastAsia="Times New Roman" w:cs="Times New Roman"/>
          <w:szCs w:val="20"/>
          <w:lang w:eastAsia="de-DE"/>
        </w:rPr>
      </w:pPr>
      <w:r w:rsidRPr="00A9330B">
        <w:rPr>
          <w:rFonts w:eastAsia="Times New Roman" w:cs="Times New Roman"/>
          <w:szCs w:val="20"/>
          <w:lang w:eastAsia="de-DE"/>
        </w:rPr>
        <w:t>l’AMO ;</w:t>
      </w:r>
    </w:p>
    <w:p w14:paraId="1C5DFC16" w14:textId="77777777" w:rsidR="00002D78" w:rsidRPr="00A9330B" w:rsidRDefault="00002D78" w:rsidP="00002D78">
      <w:pPr>
        <w:jc w:val="both"/>
        <w:rPr>
          <w:color w:val="auto"/>
        </w:rPr>
      </w:pPr>
      <w:r w:rsidRPr="00A9330B">
        <w:rPr>
          <w:color w:val="auto"/>
        </w:rPr>
        <w:t>Les actions sont (i) des prescriptions à introduire dans les cahiers de charges des Entreprises qui réaliseront les travaux (mesures HSE, mesures de prévention des risques, préservation de la santé, organisation des secours, sécurité incendie, etc.), (ii) des missions à confier à la mission de contrôle ou des consultants individuels dans le cadre d’un contrat (sensibilisations, vérification des mesures HSE, validation des planning de sensibilisations, validations des documents : PHSSE, PGES-Chantier, Plan de communication de l’entreprise, plan d’urgence, etc., expertises particulières, etc.).</w:t>
      </w:r>
    </w:p>
    <w:p w14:paraId="5C9C9E20" w14:textId="77777777" w:rsidR="00002D78" w:rsidRPr="00A9330B" w:rsidRDefault="00002D78" w:rsidP="00002D78">
      <w:pPr>
        <w:jc w:val="both"/>
        <w:rPr>
          <w:color w:val="auto"/>
        </w:rPr>
      </w:pPr>
      <w:r w:rsidRPr="00A9330B">
        <w:rPr>
          <w:color w:val="auto"/>
        </w:rPr>
        <w:t>Les travaux réalisés feront l’objet d’une réception provisoire au cours de laquelle le respect des prescriptions environnementales est vérifié et constaté au même titre que celui des prescriptions d’ordre technique.</w:t>
      </w:r>
    </w:p>
    <w:p w14:paraId="7F6B0C0F" w14:textId="77777777" w:rsidR="00002D78" w:rsidRPr="00A9330B" w:rsidRDefault="00002D78" w:rsidP="00002D78">
      <w:pPr>
        <w:jc w:val="both"/>
        <w:rPr>
          <w:color w:val="auto"/>
        </w:rPr>
      </w:pPr>
      <w:r w:rsidRPr="00A9330B">
        <w:rPr>
          <w:color w:val="auto"/>
        </w:rPr>
        <w:t>La responsabilité de la surveillance incombe au Maître d’Ouvrage (ACVDT). Celui-ci doit responsabiliser les prestataires de service que sont : les Entrepreneurs, la ou les Mission(s) de Contrôle, les consultants individuels, etc.</w:t>
      </w:r>
    </w:p>
    <w:p w14:paraId="48BAA4DE" w14:textId="77777777" w:rsidR="00002D78" w:rsidRPr="00A9330B" w:rsidRDefault="00002D78" w:rsidP="00002D78">
      <w:pPr>
        <w:jc w:val="both"/>
        <w:rPr>
          <w:color w:val="auto"/>
        </w:rPr>
      </w:pPr>
      <w:r w:rsidRPr="00A9330B">
        <w:rPr>
          <w:color w:val="auto"/>
        </w:rPr>
        <w:t>Le rapport de surveillance environnementale sera adopté pendant la réception provisoire par la structure compétente qui délivrera le quitus environnemental.</w:t>
      </w:r>
    </w:p>
    <w:p w14:paraId="457416DA" w14:textId="325DB968" w:rsidR="00E27E68" w:rsidRPr="00A9330B" w:rsidRDefault="00E27E68" w:rsidP="00E27E68">
      <w:pPr>
        <w:spacing w:before="240" w:after="160" w:line="256" w:lineRule="auto"/>
        <w:rPr>
          <w:rFonts w:eastAsia="Calibri" w:cs="Times New Roman"/>
          <w:b/>
          <w:color w:val="auto"/>
        </w:rPr>
      </w:pPr>
      <w:r w:rsidRPr="00A9330B">
        <w:rPr>
          <w:rFonts w:eastAsia="Calibri" w:cs="Times New Roman"/>
          <w:b/>
          <w:color w:val="auto"/>
        </w:rPr>
        <w:t xml:space="preserve">Mécanisme de gestion des plaintes </w:t>
      </w:r>
    </w:p>
    <w:p w14:paraId="119D89DB" w14:textId="0A623F94" w:rsidR="00E27E68" w:rsidRPr="00A9330B" w:rsidRDefault="00E27E68" w:rsidP="00E27E68">
      <w:pPr>
        <w:spacing w:after="120" w:line="312" w:lineRule="auto"/>
        <w:jc w:val="both"/>
        <w:rPr>
          <w:rFonts w:eastAsia="Calibri" w:cs="Arial"/>
          <w:color w:val="auto"/>
        </w:rPr>
      </w:pPr>
      <w:r w:rsidRPr="00A9330B">
        <w:rPr>
          <w:rFonts w:eastAsia="Calibri" w:cs="Arial"/>
          <w:color w:val="auto"/>
        </w:rPr>
        <w:t xml:space="preserve">Un mécanisme de gestion des plaintes est proposé pour résoudre les conflits qui peuvent naître lors des travaux de mise en œuvre du Projet d’Assainissement Pluvial de la </w:t>
      </w:r>
      <w:r w:rsidR="002558B6" w:rsidRPr="00A9330B">
        <w:rPr>
          <w:rFonts w:eastAsia="Calibri" w:cs="Arial"/>
          <w:color w:val="auto"/>
        </w:rPr>
        <w:t>v</w:t>
      </w:r>
      <w:r w:rsidRPr="00A9330B">
        <w:rPr>
          <w:rFonts w:eastAsia="Calibri" w:cs="Arial"/>
          <w:color w:val="auto"/>
        </w:rPr>
        <w:t xml:space="preserve">ille </w:t>
      </w:r>
      <w:r w:rsidR="00002D78" w:rsidRPr="00A9330B">
        <w:rPr>
          <w:rFonts w:eastAsia="Calibri" w:cs="Arial"/>
          <w:color w:val="auto"/>
        </w:rPr>
        <w:t>de Natitingou</w:t>
      </w:r>
      <w:r w:rsidRPr="00A9330B">
        <w:rPr>
          <w:rFonts w:eastAsia="Calibri" w:cs="Arial"/>
          <w:color w:val="auto"/>
        </w:rPr>
        <w:t xml:space="preserve">. Le processus comprend trois (03) phases : la phase de règlement à l’amiable, la phase d’arbitrage-négociation et la phase judiciaire. </w:t>
      </w:r>
    </w:p>
    <w:p w14:paraId="63BE562C" w14:textId="77777777" w:rsidR="00E27E68" w:rsidRPr="00A9330B" w:rsidRDefault="00E27E68" w:rsidP="00E27E68">
      <w:pPr>
        <w:jc w:val="both"/>
        <w:rPr>
          <w:rFonts w:eastAsia="Calibri" w:cs="Arial"/>
          <w:color w:val="auto"/>
        </w:rPr>
      </w:pPr>
      <w:r w:rsidRPr="00A9330B">
        <w:rPr>
          <w:rFonts w:eastAsia="Calibri" w:cs="Arial"/>
          <w:color w:val="auto"/>
        </w:rPr>
        <w:t>Le comité local de médiation (niveau quartier) et la commission de conciliation (niveau arrondissement) créés pour le PAR peuvent être maintenues et mis à contribution à la fin du PAR pour gérer les plaintes relatives à la mise en œuvre des travaux. Ces comités aideront à remonter les plaintes vers les acteurs indiqués ci-après et les assisteront pour les arbitrage et négociation.</w:t>
      </w:r>
    </w:p>
    <w:p w14:paraId="17FCB7FE" w14:textId="77777777" w:rsidR="00E27E68" w:rsidRPr="00A9330B" w:rsidRDefault="00E27E68" w:rsidP="00E27E68">
      <w:pPr>
        <w:jc w:val="both"/>
        <w:rPr>
          <w:rFonts w:eastAsia="Calibri" w:cs="Arial"/>
          <w:color w:val="auto"/>
        </w:rPr>
      </w:pPr>
      <w:r w:rsidRPr="00A9330B">
        <w:rPr>
          <w:rFonts w:eastAsia="Calibri" w:cs="Arial"/>
          <w:color w:val="auto"/>
        </w:rPr>
        <w:t>Des dispositions seront prises pour que les plaintes soient enregistrées à trois niveaux (03) :</w:t>
      </w:r>
    </w:p>
    <w:p w14:paraId="552B553A" w14:textId="77777777" w:rsidR="00E27E68" w:rsidRPr="00A9330B" w:rsidRDefault="00E27E68" w:rsidP="00BD2F72">
      <w:pPr>
        <w:numPr>
          <w:ilvl w:val="0"/>
          <w:numId w:val="101"/>
        </w:numPr>
        <w:overflowPunct w:val="0"/>
        <w:autoSpaceDE w:val="0"/>
        <w:autoSpaceDN w:val="0"/>
        <w:adjustRightInd w:val="0"/>
        <w:spacing w:line="288" w:lineRule="auto"/>
        <w:contextualSpacing/>
        <w:jc w:val="both"/>
        <w:rPr>
          <w:rFonts w:eastAsia="Times New Roman" w:cs="Arial"/>
          <w:szCs w:val="20"/>
          <w:lang w:eastAsia="de-DE"/>
        </w:rPr>
      </w:pPr>
      <w:r w:rsidRPr="00A9330B">
        <w:rPr>
          <w:rFonts w:eastAsia="Times New Roman" w:cs="Arial"/>
          <w:szCs w:val="20"/>
          <w:lang w:eastAsia="de-DE"/>
        </w:rPr>
        <w:t>au niveau entreprise (service HSE)</w:t>
      </w:r>
    </w:p>
    <w:p w14:paraId="7A71769F" w14:textId="77777777" w:rsidR="00E27E68" w:rsidRPr="00A9330B" w:rsidRDefault="00E27E68" w:rsidP="00BD2F72">
      <w:pPr>
        <w:numPr>
          <w:ilvl w:val="0"/>
          <w:numId w:val="101"/>
        </w:numPr>
        <w:overflowPunct w:val="0"/>
        <w:autoSpaceDE w:val="0"/>
        <w:autoSpaceDN w:val="0"/>
        <w:adjustRightInd w:val="0"/>
        <w:spacing w:line="288" w:lineRule="auto"/>
        <w:contextualSpacing/>
        <w:jc w:val="both"/>
        <w:rPr>
          <w:rFonts w:eastAsia="Times New Roman" w:cs="Arial"/>
          <w:szCs w:val="20"/>
          <w:lang w:eastAsia="de-DE"/>
        </w:rPr>
      </w:pPr>
      <w:r w:rsidRPr="00A9330B">
        <w:rPr>
          <w:rFonts w:eastAsia="Times New Roman" w:cs="Arial"/>
          <w:szCs w:val="20"/>
          <w:lang w:eastAsia="de-DE"/>
        </w:rPr>
        <w:t>au niveau de la mission de Contrôle (bureau HSE)</w:t>
      </w:r>
    </w:p>
    <w:p w14:paraId="6DE0A8D2" w14:textId="2D7588AB" w:rsidR="00E27E68" w:rsidRPr="00A9330B" w:rsidRDefault="00E27E68" w:rsidP="00BD2F72">
      <w:pPr>
        <w:numPr>
          <w:ilvl w:val="0"/>
          <w:numId w:val="101"/>
        </w:numPr>
        <w:overflowPunct w:val="0"/>
        <w:autoSpaceDE w:val="0"/>
        <w:autoSpaceDN w:val="0"/>
        <w:adjustRightInd w:val="0"/>
        <w:spacing w:line="288" w:lineRule="auto"/>
        <w:contextualSpacing/>
        <w:jc w:val="both"/>
        <w:rPr>
          <w:rFonts w:eastAsia="Times New Roman" w:cs="Arial"/>
          <w:szCs w:val="20"/>
          <w:lang w:eastAsia="de-DE"/>
        </w:rPr>
      </w:pPr>
      <w:r w:rsidRPr="00A9330B">
        <w:rPr>
          <w:rFonts w:eastAsia="Times New Roman" w:cs="Arial"/>
          <w:szCs w:val="20"/>
          <w:lang w:eastAsia="de-DE"/>
        </w:rPr>
        <w:t xml:space="preserve">au niveau de la Mairie </w:t>
      </w:r>
      <w:r w:rsidR="00002D78" w:rsidRPr="00A9330B">
        <w:rPr>
          <w:rFonts w:eastAsia="Times New Roman" w:cs="Arial"/>
          <w:szCs w:val="20"/>
          <w:lang w:eastAsia="de-DE"/>
        </w:rPr>
        <w:t>de Natitingou</w:t>
      </w:r>
      <w:r w:rsidRPr="00A9330B">
        <w:rPr>
          <w:rFonts w:eastAsia="Times New Roman" w:cs="Arial"/>
          <w:szCs w:val="20"/>
          <w:lang w:eastAsia="de-DE"/>
        </w:rPr>
        <w:t xml:space="preserve"> (Services techniques notamment le Service Assainissement et Environnement). </w:t>
      </w:r>
    </w:p>
    <w:p w14:paraId="5EB97241" w14:textId="03605A57" w:rsidR="00E27E68" w:rsidRPr="00A9330B" w:rsidRDefault="00E27E68" w:rsidP="00E27E68">
      <w:pPr>
        <w:jc w:val="both"/>
        <w:rPr>
          <w:rFonts w:eastAsia="Calibri" w:cs="Arial"/>
          <w:color w:val="auto"/>
        </w:rPr>
      </w:pPr>
      <w:r w:rsidRPr="00A9330B">
        <w:rPr>
          <w:rFonts w:eastAsia="Calibri" w:cs="Arial"/>
          <w:color w:val="auto"/>
        </w:rPr>
        <w:t>Les plaintes reçues à un niveau supérieur (ACVDT, MCVDD</w:t>
      </w:r>
      <w:r w:rsidR="00313248" w:rsidRPr="00A9330B">
        <w:rPr>
          <w:rFonts w:eastAsia="Calibri" w:cs="Arial"/>
          <w:color w:val="auto"/>
        </w:rPr>
        <w:t>, DDCVDD</w:t>
      </w:r>
      <w:r w:rsidRPr="00A9330B">
        <w:rPr>
          <w:rFonts w:eastAsia="Calibri" w:cs="Arial"/>
          <w:color w:val="auto"/>
        </w:rPr>
        <w:t>) seront renvoyées vers la mission de contrôle pour traitement.</w:t>
      </w:r>
    </w:p>
    <w:p w14:paraId="0B610C18" w14:textId="77777777" w:rsidR="00E27E68" w:rsidRPr="00A9330B" w:rsidRDefault="00E27E68" w:rsidP="00E27E68">
      <w:pPr>
        <w:spacing w:after="120" w:line="312" w:lineRule="auto"/>
        <w:jc w:val="both"/>
        <w:rPr>
          <w:rFonts w:eastAsia="Calibri" w:cs="Arial"/>
          <w:color w:val="auto"/>
        </w:rPr>
      </w:pPr>
      <w:r w:rsidRPr="00A9330B">
        <w:rPr>
          <w:rFonts w:eastAsia="Calibri" w:cs="Arial"/>
          <w:color w:val="auto"/>
        </w:rPr>
        <w:t xml:space="preserve">Les plaintes enregistrées seront traitées au niveau entreprise si possible avec un suivi de la mission de contrôle. Si le plaignant n’est pas satisfait, la plainte remontera vers la mission de contrôle pour trouver une meilleure solution et des instructions seront données à l’entreprise. </w:t>
      </w:r>
    </w:p>
    <w:p w14:paraId="2519BE73" w14:textId="77777777" w:rsidR="00E27E68" w:rsidRPr="00A9330B" w:rsidRDefault="00E27E68" w:rsidP="00E27E68">
      <w:pPr>
        <w:spacing w:after="120" w:line="312" w:lineRule="auto"/>
        <w:jc w:val="both"/>
        <w:rPr>
          <w:rFonts w:eastAsia="Calibri" w:cs="Arial"/>
          <w:color w:val="auto"/>
        </w:rPr>
      </w:pPr>
      <w:r w:rsidRPr="00A9330B">
        <w:rPr>
          <w:rFonts w:eastAsia="Calibri" w:cs="Arial"/>
          <w:color w:val="auto"/>
        </w:rPr>
        <w:lastRenderedPageBreak/>
        <w:t>A ce niveau pourront être impliqués les comités locaux (quartiers et arrondissements) et les représentants de la Mairie. Si la solution n’est pas trouvée à ce niveau, la plainte devra remonter vers les administrations habilitées (ACVDT, MCVDD).</w:t>
      </w:r>
    </w:p>
    <w:p w14:paraId="67AC116D" w14:textId="4D95AF2B" w:rsidR="00E27E68" w:rsidRPr="00A9330B" w:rsidRDefault="00E27E68" w:rsidP="00E27E68">
      <w:pPr>
        <w:spacing w:after="120" w:line="312" w:lineRule="auto"/>
        <w:jc w:val="both"/>
        <w:rPr>
          <w:rFonts w:eastAsia="Calibri" w:cs="Arial"/>
          <w:color w:val="auto"/>
        </w:rPr>
      </w:pPr>
      <w:r w:rsidRPr="00A9330B">
        <w:rPr>
          <w:rFonts w:eastAsia="Calibri" w:cs="Arial"/>
          <w:color w:val="auto"/>
        </w:rPr>
        <w:t>Si la plainte n’a pas pu être traité</w:t>
      </w:r>
      <w:r w:rsidR="002558B6" w:rsidRPr="00A9330B">
        <w:rPr>
          <w:rFonts w:eastAsia="Calibri" w:cs="Arial"/>
          <w:color w:val="auto"/>
        </w:rPr>
        <w:t>e</w:t>
      </w:r>
      <w:r w:rsidRPr="00A9330B">
        <w:rPr>
          <w:rFonts w:eastAsia="Calibri" w:cs="Arial"/>
          <w:color w:val="auto"/>
        </w:rPr>
        <w:t xml:space="preserve"> au niveau de ces dernières alors il ne restera que la procédure judicaire.</w:t>
      </w:r>
    </w:p>
    <w:p w14:paraId="4F255FA8" w14:textId="7721871D" w:rsidR="00E27E68" w:rsidRPr="00A9330B" w:rsidRDefault="00E27E68" w:rsidP="00E27E68">
      <w:pPr>
        <w:jc w:val="both"/>
        <w:rPr>
          <w:rFonts w:eastAsia="Calibri" w:cs="Times New Roman"/>
          <w:b/>
          <w:color w:val="auto"/>
        </w:rPr>
      </w:pPr>
      <w:r w:rsidRPr="00A9330B">
        <w:rPr>
          <w:rFonts w:eastAsia="Calibri" w:cs="Arial"/>
          <w:color w:val="auto"/>
        </w:rPr>
        <w:t>Les délais de traitement des plaintes au niveau de ces différents paliers ne doivent pas excéder quinze (15) jours, pour compter de la date de la réception de la plainte. De façon spécifique, il sera mis à la disposition des personnes affectées, des riverains et usagers les numéros de téléphones pour faciliter les échanges et le dépôt des plaintes éventuellement. Un registre sera ouvert à cet effet à chaque niveau pour recueillir les plaintes et procéd</w:t>
      </w:r>
      <w:r w:rsidR="002558B6" w:rsidRPr="00A9330B">
        <w:rPr>
          <w:rFonts w:eastAsia="Calibri" w:cs="Arial"/>
          <w:color w:val="auto"/>
        </w:rPr>
        <w:t>er</w:t>
      </w:r>
      <w:r w:rsidRPr="00A9330B">
        <w:rPr>
          <w:rFonts w:eastAsia="Calibri" w:cs="Arial"/>
          <w:color w:val="auto"/>
        </w:rPr>
        <w:t xml:space="preserve"> à leur traitement. Les plaintes et doléances seront dépouillées selon une périodicité à définir.</w:t>
      </w:r>
    </w:p>
    <w:p w14:paraId="038FFB23" w14:textId="77777777" w:rsidR="00FA6F0D" w:rsidRPr="00A9330B" w:rsidRDefault="00FA6F0D" w:rsidP="00FA6F0D">
      <w:pPr>
        <w:spacing w:before="240" w:after="120"/>
        <w:jc w:val="both"/>
        <w:rPr>
          <w:rFonts w:eastAsia="Calibri" w:cs="Times New Roman"/>
          <w:b/>
          <w:color w:val="auto"/>
        </w:rPr>
      </w:pPr>
      <w:r w:rsidRPr="00A9330B">
        <w:rPr>
          <w:rFonts w:eastAsia="Calibri" w:cs="Times New Roman"/>
          <w:b/>
          <w:color w:val="auto"/>
        </w:rPr>
        <w:t>Programme de suivi environnemental.</w:t>
      </w:r>
    </w:p>
    <w:p w14:paraId="45A216B3" w14:textId="77777777" w:rsidR="00FA6F0D" w:rsidRPr="00A9330B" w:rsidRDefault="00FA6F0D" w:rsidP="00FA6F0D">
      <w:pPr>
        <w:jc w:val="both"/>
        <w:rPr>
          <w:rFonts w:eastAsia="Calibri" w:cs="Arial"/>
          <w:color w:val="auto"/>
        </w:rPr>
      </w:pPr>
      <w:r w:rsidRPr="00A9330B">
        <w:rPr>
          <w:rFonts w:eastAsia="Calibri" w:cs="Times New Roman"/>
          <w:color w:val="auto"/>
        </w:rPr>
        <w:t>Sur le plan administratif, le suivi environnemental consiste à faire le bilan environnemental du projet et à rendre compte au Promoteur et à l’Etat. C’est pour cela que cette responsabilité est confiée aux services techniques. Dans le cas du présent projet l’ACVDT assure le suivi interne et rend compte a</w:t>
      </w:r>
      <w:r w:rsidRPr="00A9330B">
        <w:rPr>
          <w:rFonts w:eastAsia="Calibri" w:cs="Times New Roman"/>
          <w:b/>
          <w:bCs/>
          <w:color w:val="auto"/>
        </w:rPr>
        <w:t xml:space="preserve">u </w:t>
      </w:r>
      <w:r w:rsidRPr="00A9330B">
        <w:rPr>
          <w:rFonts w:eastAsia="Calibri" w:cs="Arial"/>
          <w:b/>
          <w:bCs/>
          <w:color w:val="auto"/>
        </w:rPr>
        <w:t>Ministère du Cadre de Vie et du Développement Durable.</w:t>
      </w:r>
      <w:r w:rsidRPr="00A9330B">
        <w:rPr>
          <w:rFonts w:eastAsia="Calibri" w:cs="Arial"/>
          <w:color w:val="auto"/>
        </w:rPr>
        <w:t xml:space="preserve"> </w:t>
      </w:r>
    </w:p>
    <w:p w14:paraId="764DB893" w14:textId="77777777" w:rsidR="00FA6F0D" w:rsidRPr="00A9330B" w:rsidRDefault="00FA6F0D" w:rsidP="00FA6F0D">
      <w:pPr>
        <w:jc w:val="both"/>
        <w:rPr>
          <w:rFonts w:eastAsia="Calibri" w:cs="Arial"/>
          <w:color w:val="auto"/>
        </w:rPr>
      </w:pPr>
      <w:r w:rsidRPr="00A9330B">
        <w:rPr>
          <w:rFonts w:eastAsia="Calibri" w:cs="Arial"/>
          <w:color w:val="auto"/>
        </w:rPr>
        <w:t>Les bénéficiaires du projet ont aussi une mission dans le suivi surtout lors des phases préparatoires et des travaux. Leur mission de suivi interne permet de s’assurer que toutes les parties prenantes sont impliquées et que toutes les PAP sont bien dédommagées et qu’aucune plainte relative à la mise en œuvre du PAR n’est restée sans traitement et satisfaction.</w:t>
      </w:r>
    </w:p>
    <w:p w14:paraId="1EAEE0A8" w14:textId="003A573D" w:rsidR="00FA6F0D" w:rsidRPr="00A9330B" w:rsidRDefault="00FA6F0D" w:rsidP="00FA6F0D">
      <w:pPr>
        <w:jc w:val="both"/>
        <w:rPr>
          <w:rFonts w:eastAsia="Calibri" w:cs="Arial"/>
          <w:color w:val="auto"/>
        </w:rPr>
      </w:pPr>
      <w:r w:rsidRPr="00A9330B">
        <w:rPr>
          <w:rFonts w:eastAsia="Calibri" w:cs="Arial"/>
          <w:color w:val="auto"/>
        </w:rPr>
        <w:t>Ils ont aussi le devoir de vérifier que les mesures HSE sont effectivement mise</w:t>
      </w:r>
      <w:r w:rsidR="002558B6" w:rsidRPr="00A9330B">
        <w:rPr>
          <w:rFonts w:eastAsia="Calibri" w:cs="Arial"/>
          <w:color w:val="auto"/>
        </w:rPr>
        <w:t>s</w:t>
      </w:r>
      <w:r w:rsidRPr="00A9330B">
        <w:rPr>
          <w:rFonts w:eastAsia="Calibri" w:cs="Arial"/>
          <w:color w:val="auto"/>
        </w:rPr>
        <w:t xml:space="preserve"> en œuvre et que les dispositions idoines sont prises pour veiller à la sécurité des usagers et des riverains lors des travaux. Ils sont représentés par les représentants de la Mairie (Services Techniques et Affaires Domaniales et par le comité des riverains, ou le Comité Technique de Réinstallation dans le cadre du PAR).</w:t>
      </w:r>
    </w:p>
    <w:p w14:paraId="35ED4D3F" w14:textId="77777777" w:rsidR="00FA6F0D" w:rsidRPr="00A9330B" w:rsidRDefault="00FA6F0D" w:rsidP="00FA6F0D">
      <w:pPr>
        <w:jc w:val="both"/>
        <w:rPr>
          <w:rFonts w:eastAsia="Calibri" w:cs="Arial"/>
          <w:color w:val="auto"/>
        </w:rPr>
      </w:pPr>
      <w:r w:rsidRPr="00A9330B">
        <w:rPr>
          <w:rFonts w:eastAsia="Calibri" w:cs="Times New Roman"/>
          <w:color w:val="auto"/>
        </w:rPr>
        <w:t>L’</w:t>
      </w:r>
      <w:r w:rsidRPr="00A9330B">
        <w:rPr>
          <w:rFonts w:eastAsia="Calibri" w:cs="Times New Roman"/>
          <w:b/>
          <w:bCs/>
          <w:color w:val="auto"/>
        </w:rPr>
        <w:t>Agence Béninoise pour l’Environnement</w:t>
      </w:r>
      <w:r w:rsidRPr="00A9330B">
        <w:rPr>
          <w:rFonts w:eastAsia="Calibri" w:cs="Times New Roman"/>
          <w:color w:val="auto"/>
        </w:rPr>
        <w:t xml:space="preserve">, structure étatique en charge des évaluations environnementales et sociales assure un suivi externe </w:t>
      </w:r>
      <w:r w:rsidRPr="00A9330B">
        <w:rPr>
          <w:rFonts w:eastAsia="Calibri" w:cs="Times New Roman"/>
          <w:b/>
          <w:bCs/>
          <w:color w:val="auto"/>
        </w:rPr>
        <w:t xml:space="preserve">sous la supervision du </w:t>
      </w:r>
      <w:r w:rsidRPr="00A9330B">
        <w:rPr>
          <w:rFonts w:eastAsia="Calibri" w:cs="Arial"/>
          <w:b/>
          <w:bCs/>
          <w:color w:val="auto"/>
        </w:rPr>
        <w:t>Ministère du Cadre de Vie et du Développement Durable</w:t>
      </w:r>
      <w:r w:rsidRPr="00A9330B">
        <w:rPr>
          <w:rFonts w:eastAsia="Calibri" w:cs="Arial"/>
          <w:color w:val="auto"/>
        </w:rPr>
        <w:t>.</w:t>
      </w:r>
    </w:p>
    <w:p w14:paraId="6BB936E9" w14:textId="77777777" w:rsidR="00FA6F0D" w:rsidRPr="00A9330B" w:rsidRDefault="00FA6F0D" w:rsidP="00FA6F0D">
      <w:pPr>
        <w:jc w:val="both"/>
        <w:rPr>
          <w:rFonts w:eastAsia="Calibri" w:cs="Arial"/>
          <w:color w:val="auto"/>
        </w:rPr>
      </w:pPr>
      <w:r w:rsidRPr="00A9330B">
        <w:rPr>
          <w:rFonts w:eastAsia="Calibri" w:cs="Arial"/>
          <w:color w:val="auto"/>
        </w:rPr>
        <w:t xml:space="preserve">Les structures déconcentrées de l’Etat ont aussi un rôle à jouer : l’ABE peut déléguer le suivi externe de certaines activités aux structures départementales ou locales compétentes. </w:t>
      </w:r>
    </w:p>
    <w:p w14:paraId="3B7C7E5C" w14:textId="77777777" w:rsidR="00FA6F0D" w:rsidRPr="00A9330B" w:rsidRDefault="00FA6F0D" w:rsidP="00FA6F0D">
      <w:pPr>
        <w:jc w:val="both"/>
        <w:rPr>
          <w:rFonts w:eastAsia="Calibri" w:cs="Times New Roman"/>
          <w:color w:val="auto"/>
        </w:rPr>
      </w:pPr>
      <w:r w:rsidRPr="00A9330B">
        <w:rPr>
          <w:rFonts w:eastAsia="Calibri" w:cs="Times New Roman"/>
          <w:color w:val="auto"/>
        </w:rPr>
        <w:t xml:space="preserve">Le responsable du suivi externe l’ABE aura surtout pour mission d’évaluer l’ensemble des actions sur les chapitres Hygiène, Santé, Sécurité et Environnement. Il organisera des visites périodiques des lieux où les travaux sont en cours d’exécution ou ont été exécutés en mesurant l’efficacité à long terme. Il fera aussi un audit du PGES pour s’assurer de la mise en œuvre effective de ses activités. </w:t>
      </w:r>
    </w:p>
    <w:p w14:paraId="320850B0" w14:textId="77777777" w:rsidR="00FA6F0D" w:rsidRPr="00A9330B" w:rsidRDefault="00FA6F0D" w:rsidP="00FA6F0D">
      <w:pPr>
        <w:spacing w:after="120"/>
        <w:ind w:left="708" w:firstLine="708"/>
        <w:jc w:val="both"/>
        <w:rPr>
          <w:rFonts w:eastAsia="Calibri" w:cs="Times New Roman"/>
          <w:b/>
          <w:color w:val="auto"/>
          <w:sz w:val="20"/>
          <w:szCs w:val="20"/>
        </w:rPr>
      </w:pPr>
      <w:r w:rsidRPr="00A9330B">
        <w:rPr>
          <w:rFonts w:eastAsia="Calibri" w:cs="Times New Roman"/>
          <w:b/>
          <w:color w:val="auto"/>
          <w:sz w:val="20"/>
          <w:szCs w:val="20"/>
        </w:rPr>
        <w:t>Tableau VII : Structures du PGES : rôles et responsabilités</w:t>
      </w:r>
    </w:p>
    <w:tbl>
      <w:tblPr>
        <w:tblStyle w:val="Grilledutableau24"/>
        <w:tblW w:w="4775" w:type="pct"/>
        <w:tblInd w:w="421" w:type="dxa"/>
        <w:tblLook w:val="04A0" w:firstRow="1" w:lastRow="0" w:firstColumn="1" w:lastColumn="0" w:noHBand="0" w:noVBand="1"/>
      </w:tblPr>
      <w:tblGrid>
        <w:gridCol w:w="2693"/>
        <w:gridCol w:w="6231"/>
      </w:tblGrid>
      <w:tr w:rsidR="00FA6F0D" w:rsidRPr="00A9330B" w14:paraId="0F05DF68" w14:textId="77777777" w:rsidTr="00FA6F0D">
        <w:tc>
          <w:tcPr>
            <w:tcW w:w="1509" w:type="pct"/>
            <w:tcBorders>
              <w:top w:val="single" w:sz="4" w:space="0" w:color="auto"/>
              <w:left w:val="single" w:sz="4" w:space="0" w:color="auto"/>
              <w:bottom w:val="single" w:sz="4" w:space="0" w:color="auto"/>
              <w:right w:val="single" w:sz="4" w:space="0" w:color="auto"/>
            </w:tcBorders>
            <w:shd w:val="clear" w:color="auto" w:fill="00B0F0"/>
            <w:hideMark/>
          </w:tcPr>
          <w:p w14:paraId="040C2B6F" w14:textId="77777777" w:rsidR="00FA6F0D" w:rsidRPr="00A9330B" w:rsidRDefault="00FA6F0D" w:rsidP="00002D78">
            <w:pPr>
              <w:spacing w:before="40" w:line="240" w:lineRule="auto"/>
              <w:rPr>
                <w:rFonts w:cs="Arial"/>
                <w:b/>
                <w:color w:val="auto"/>
                <w:sz w:val="20"/>
                <w:szCs w:val="20"/>
              </w:rPr>
            </w:pPr>
            <w:r w:rsidRPr="00A9330B">
              <w:rPr>
                <w:rFonts w:cs="Arial"/>
                <w:b/>
                <w:color w:val="auto"/>
                <w:sz w:val="20"/>
                <w:szCs w:val="20"/>
              </w:rPr>
              <w:t>Structures</w:t>
            </w:r>
          </w:p>
        </w:tc>
        <w:tc>
          <w:tcPr>
            <w:tcW w:w="3491" w:type="pct"/>
            <w:tcBorders>
              <w:top w:val="single" w:sz="4" w:space="0" w:color="auto"/>
              <w:left w:val="single" w:sz="4" w:space="0" w:color="auto"/>
              <w:bottom w:val="single" w:sz="4" w:space="0" w:color="auto"/>
              <w:right w:val="single" w:sz="4" w:space="0" w:color="auto"/>
            </w:tcBorders>
            <w:shd w:val="clear" w:color="auto" w:fill="00B0F0"/>
            <w:hideMark/>
          </w:tcPr>
          <w:p w14:paraId="61EAFD57" w14:textId="77777777" w:rsidR="00FA6F0D" w:rsidRPr="00A9330B" w:rsidRDefault="00FA6F0D" w:rsidP="00002D78">
            <w:pPr>
              <w:spacing w:before="40" w:line="240" w:lineRule="auto"/>
              <w:rPr>
                <w:rFonts w:cs="Arial"/>
                <w:b/>
                <w:color w:val="auto"/>
                <w:sz w:val="20"/>
                <w:szCs w:val="20"/>
              </w:rPr>
            </w:pPr>
            <w:r w:rsidRPr="00A9330B">
              <w:rPr>
                <w:rFonts w:cs="Arial"/>
                <w:b/>
                <w:color w:val="auto"/>
                <w:sz w:val="20"/>
                <w:szCs w:val="20"/>
              </w:rPr>
              <w:t>Rôles</w:t>
            </w:r>
          </w:p>
        </w:tc>
      </w:tr>
      <w:tr w:rsidR="00FA6F0D" w:rsidRPr="00A9330B" w14:paraId="27F6E2B9" w14:textId="77777777" w:rsidTr="00FA6F0D">
        <w:tc>
          <w:tcPr>
            <w:tcW w:w="5000" w:type="pct"/>
            <w:gridSpan w:val="2"/>
            <w:tcBorders>
              <w:top w:val="single" w:sz="4" w:space="0" w:color="auto"/>
              <w:left w:val="single" w:sz="4" w:space="0" w:color="auto"/>
              <w:bottom w:val="single" w:sz="4" w:space="0" w:color="auto"/>
              <w:right w:val="single" w:sz="4" w:space="0" w:color="auto"/>
            </w:tcBorders>
            <w:shd w:val="clear" w:color="auto" w:fill="D5DCE4" w:themeFill="text2" w:themeFillTint="33"/>
            <w:hideMark/>
          </w:tcPr>
          <w:p w14:paraId="6F58425D" w14:textId="77777777" w:rsidR="00FA6F0D" w:rsidRPr="00A9330B" w:rsidRDefault="00FA6F0D" w:rsidP="00002D78">
            <w:pPr>
              <w:spacing w:before="40" w:line="240" w:lineRule="auto"/>
              <w:rPr>
                <w:rFonts w:cs="Arial"/>
                <w:b/>
                <w:color w:val="auto"/>
                <w:sz w:val="20"/>
                <w:szCs w:val="20"/>
              </w:rPr>
            </w:pPr>
            <w:r w:rsidRPr="00A9330B">
              <w:rPr>
                <w:rFonts w:cs="Arial"/>
                <w:b/>
                <w:color w:val="auto"/>
                <w:sz w:val="20"/>
                <w:szCs w:val="20"/>
              </w:rPr>
              <w:t>Surveillance</w:t>
            </w:r>
          </w:p>
        </w:tc>
      </w:tr>
      <w:tr w:rsidR="00FA6F0D" w:rsidRPr="00A9330B" w14:paraId="4B6E28C8" w14:textId="77777777" w:rsidTr="00FA6F0D">
        <w:tc>
          <w:tcPr>
            <w:tcW w:w="1509" w:type="pct"/>
            <w:tcBorders>
              <w:top w:val="single" w:sz="4" w:space="0" w:color="auto"/>
              <w:left w:val="single" w:sz="4" w:space="0" w:color="auto"/>
              <w:bottom w:val="single" w:sz="4" w:space="0" w:color="auto"/>
              <w:right w:val="single" w:sz="4" w:space="0" w:color="auto"/>
            </w:tcBorders>
            <w:hideMark/>
          </w:tcPr>
          <w:p w14:paraId="45648D47" w14:textId="77777777" w:rsidR="00FA6F0D" w:rsidRPr="00A9330B" w:rsidRDefault="00FA6F0D" w:rsidP="000F7BA7">
            <w:pPr>
              <w:spacing w:before="40" w:line="240" w:lineRule="auto"/>
              <w:jc w:val="both"/>
              <w:rPr>
                <w:rFonts w:cs="Arial"/>
                <w:color w:val="auto"/>
                <w:sz w:val="20"/>
                <w:szCs w:val="20"/>
              </w:rPr>
            </w:pPr>
            <w:r w:rsidRPr="00A9330B">
              <w:rPr>
                <w:rFonts w:cs="Arial"/>
                <w:color w:val="auto"/>
                <w:sz w:val="20"/>
                <w:szCs w:val="20"/>
              </w:rPr>
              <w:t xml:space="preserve">Entreprises adjudicataires </w:t>
            </w:r>
          </w:p>
        </w:tc>
        <w:tc>
          <w:tcPr>
            <w:tcW w:w="3491" w:type="pct"/>
            <w:tcBorders>
              <w:top w:val="single" w:sz="4" w:space="0" w:color="auto"/>
              <w:left w:val="single" w:sz="4" w:space="0" w:color="auto"/>
              <w:bottom w:val="single" w:sz="4" w:space="0" w:color="auto"/>
              <w:right w:val="single" w:sz="4" w:space="0" w:color="auto"/>
            </w:tcBorders>
            <w:hideMark/>
          </w:tcPr>
          <w:p w14:paraId="3D8CADDE" w14:textId="77777777" w:rsidR="00FA6F0D" w:rsidRPr="00A9330B" w:rsidRDefault="00FA6F0D" w:rsidP="000F7BA7">
            <w:pPr>
              <w:spacing w:before="40" w:line="240" w:lineRule="auto"/>
              <w:jc w:val="both"/>
              <w:rPr>
                <w:rFonts w:cs="Arial"/>
                <w:color w:val="auto"/>
                <w:sz w:val="20"/>
                <w:szCs w:val="20"/>
              </w:rPr>
            </w:pPr>
            <w:r w:rsidRPr="00A9330B">
              <w:rPr>
                <w:rFonts w:cs="Arial"/>
                <w:color w:val="auto"/>
                <w:sz w:val="20"/>
                <w:szCs w:val="20"/>
              </w:rPr>
              <w:t xml:space="preserve">Mise en œuvre des activités du PGES </w:t>
            </w:r>
          </w:p>
          <w:p w14:paraId="58F6E5A7" w14:textId="77777777" w:rsidR="00FA6F0D" w:rsidRPr="00A9330B" w:rsidRDefault="00FA6F0D" w:rsidP="000F7BA7">
            <w:pPr>
              <w:spacing w:before="40" w:line="240" w:lineRule="auto"/>
              <w:jc w:val="both"/>
              <w:rPr>
                <w:rFonts w:cs="Arial"/>
                <w:color w:val="auto"/>
                <w:sz w:val="20"/>
                <w:szCs w:val="20"/>
              </w:rPr>
            </w:pPr>
            <w:r w:rsidRPr="00A9330B">
              <w:rPr>
                <w:rFonts w:cs="Arial"/>
                <w:color w:val="auto"/>
                <w:sz w:val="20"/>
                <w:szCs w:val="20"/>
              </w:rPr>
              <w:t>Mise en œuvre des prescriptions environnementales et sociales</w:t>
            </w:r>
          </w:p>
          <w:p w14:paraId="12D526DD" w14:textId="77777777" w:rsidR="00FA6F0D" w:rsidRPr="00A9330B" w:rsidRDefault="00FA6F0D" w:rsidP="000F7BA7">
            <w:pPr>
              <w:spacing w:before="40" w:line="240" w:lineRule="auto"/>
              <w:jc w:val="both"/>
              <w:rPr>
                <w:rFonts w:cs="Arial"/>
                <w:color w:val="auto"/>
                <w:sz w:val="20"/>
                <w:szCs w:val="20"/>
              </w:rPr>
            </w:pPr>
            <w:r w:rsidRPr="00A9330B">
              <w:rPr>
                <w:rFonts w:cs="Arial"/>
                <w:color w:val="auto"/>
                <w:sz w:val="20"/>
                <w:szCs w:val="20"/>
              </w:rPr>
              <w:t xml:space="preserve">Mise en œuvre des mesures de prévention des risques </w:t>
            </w:r>
          </w:p>
          <w:p w14:paraId="1640B50B" w14:textId="77777777" w:rsidR="00FA6F0D" w:rsidRPr="00A9330B" w:rsidRDefault="00FA6F0D" w:rsidP="000F7BA7">
            <w:pPr>
              <w:spacing w:before="40" w:line="240" w:lineRule="auto"/>
              <w:jc w:val="both"/>
              <w:rPr>
                <w:rFonts w:cs="Arial"/>
                <w:color w:val="auto"/>
                <w:sz w:val="20"/>
                <w:szCs w:val="20"/>
              </w:rPr>
            </w:pPr>
            <w:r w:rsidRPr="00A9330B">
              <w:rPr>
                <w:rFonts w:cs="Arial"/>
                <w:color w:val="auto"/>
                <w:sz w:val="20"/>
                <w:szCs w:val="20"/>
              </w:rPr>
              <w:t xml:space="preserve">Gestion des plaintes </w:t>
            </w:r>
          </w:p>
        </w:tc>
      </w:tr>
      <w:tr w:rsidR="00FA6F0D" w:rsidRPr="00A9330B" w14:paraId="006E4B91" w14:textId="77777777" w:rsidTr="00FA6F0D">
        <w:tc>
          <w:tcPr>
            <w:tcW w:w="1509" w:type="pct"/>
            <w:tcBorders>
              <w:top w:val="single" w:sz="4" w:space="0" w:color="auto"/>
              <w:left w:val="single" w:sz="4" w:space="0" w:color="auto"/>
              <w:bottom w:val="single" w:sz="4" w:space="0" w:color="auto"/>
              <w:right w:val="single" w:sz="4" w:space="0" w:color="auto"/>
            </w:tcBorders>
            <w:hideMark/>
          </w:tcPr>
          <w:p w14:paraId="5C1F6CED" w14:textId="77777777" w:rsidR="00FA6F0D" w:rsidRPr="00A9330B" w:rsidRDefault="00FA6F0D" w:rsidP="000F7BA7">
            <w:pPr>
              <w:spacing w:before="40" w:line="240" w:lineRule="auto"/>
              <w:jc w:val="both"/>
              <w:rPr>
                <w:rFonts w:cs="Arial"/>
                <w:color w:val="auto"/>
                <w:sz w:val="20"/>
                <w:szCs w:val="20"/>
              </w:rPr>
            </w:pPr>
            <w:r w:rsidRPr="00A9330B">
              <w:rPr>
                <w:rFonts w:cs="Arial"/>
                <w:color w:val="auto"/>
                <w:sz w:val="20"/>
                <w:szCs w:val="20"/>
              </w:rPr>
              <w:t>Entreprises sous-traitantes</w:t>
            </w:r>
          </w:p>
        </w:tc>
        <w:tc>
          <w:tcPr>
            <w:tcW w:w="3491" w:type="pct"/>
            <w:tcBorders>
              <w:top w:val="single" w:sz="4" w:space="0" w:color="auto"/>
              <w:left w:val="single" w:sz="4" w:space="0" w:color="auto"/>
              <w:bottom w:val="single" w:sz="4" w:space="0" w:color="auto"/>
              <w:right w:val="single" w:sz="4" w:space="0" w:color="auto"/>
            </w:tcBorders>
            <w:hideMark/>
          </w:tcPr>
          <w:p w14:paraId="3CA2ABFF" w14:textId="77777777" w:rsidR="00FA6F0D" w:rsidRPr="00A9330B" w:rsidRDefault="00FA6F0D" w:rsidP="000F7BA7">
            <w:pPr>
              <w:spacing w:before="40" w:line="240" w:lineRule="auto"/>
              <w:jc w:val="both"/>
              <w:rPr>
                <w:rFonts w:cs="Arial"/>
                <w:color w:val="auto"/>
                <w:sz w:val="20"/>
                <w:szCs w:val="20"/>
              </w:rPr>
            </w:pPr>
            <w:r w:rsidRPr="00A9330B">
              <w:rPr>
                <w:rFonts w:cs="Arial"/>
                <w:color w:val="auto"/>
                <w:sz w:val="20"/>
                <w:szCs w:val="20"/>
              </w:rPr>
              <w:t xml:space="preserve">Mise en œuvre des activités du PGES </w:t>
            </w:r>
          </w:p>
          <w:p w14:paraId="47AD1EB1" w14:textId="77777777" w:rsidR="00FA6F0D" w:rsidRPr="00A9330B" w:rsidRDefault="00FA6F0D" w:rsidP="000F7BA7">
            <w:pPr>
              <w:spacing w:before="40" w:line="240" w:lineRule="auto"/>
              <w:jc w:val="both"/>
              <w:rPr>
                <w:rFonts w:cs="Arial"/>
                <w:color w:val="auto"/>
                <w:sz w:val="20"/>
                <w:szCs w:val="20"/>
              </w:rPr>
            </w:pPr>
            <w:r w:rsidRPr="00A9330B">
              <w:rPr>
                <w:rFonts w:cs="Arial"/>
                <w:color w:val="auto"/>
                <w:sz w:val="20"/>
                <w:szCs w:val="20"/>
              </w:rPr>
              <w:t>Mise en œuvre des prescriptions environnementales et sociales</w:t>
            </w:r>
          </w:p>
          <w:p w14:paraId="577F49F6" w14:textId="77777777" w:rsidR="00FA6F0D" w:rsidRPr="00A9330B" w:rsidRDefault="00FA6F0D" w:rsidP="000F7BA7">
            <w:pPr>
              <w:spacing w:before="40" w:line="240" w:lineRule="auto"/>
              <w:jc w:val="both"/>
              <w:rPr>
                <w:rFonts w:cs="Arial"/>
                <w:color w:val="auto"/>
                <w:sz w:val="20"/>
                <w:szCs w:val="20"/>
              </w:rPr>
            </w:pPr>
            <w:r w:rsidRPr="00A9330B">
              <w:rPr>
                <w:rFonts w:cs="Arial"/>
                <w:color w:val="auto"/>
                <w:sz w:val="20"/>
                <w:szCs w:val="20"/>
              </w:rPr>
              <w:t xml:space="preserve">Mise en œuvre des mesures de prévention des risques </w:t>
            </w:r>
          </w:p>
          <w:p w14:paraId="49453E27" w14:textId="77777777" w:rsidR="00FA6F0D" w:rsidRPr="00A9330B" w:rsidRDefault="00FA6F0D" w:rsidP="000F7BA7">
            <w:pPr>
              <w:spacing w:before="40" w:line="240" w:lineRule="auto"/>
              <w:jc w:val="both"/>
              <w:rPr>
                <w:rFonts w:cs="Arial"/>
                <w:color w:val="auto"/>
                <w:sz w:val="20"/>
                <w:szCs w:val="20"/>
              </w:rPr>
            </w:pPr>
            <w:r w:rsidRPr="00A9330B">
              <w:rPr>
                <w:rFonts w:cs="Arial"/>
                <w:color w:val="auto"/>
                <w:sz w:val="20"/>
                <w:szCs w:val="20"/>
              </w:rPr>
              <w:t>Gestion des plaintes</w:t>
            </w:r>
          </w:p>
        </w:tc>
      </w:tr>
      <w:tr w:rsidR="00FA6F0D" w:rsidRPr="00A9330B" w14:paraId="62AF54D3" w14:textId="77777777" w:rsidTr="00FA6F0D">
        <w:tc>
          <w:tcPr>
            <w:tcW w:w="1509" w:type="pct"/>
            <w:tcBorders>
              <w:top w:val="single" w:sz="4" w:space="0" w:color="auto"/>
              <w:left w:val="single" w:sz="4" w:space="0" w:color="auto"/>
              <w:bottom w:val="single" w:sz="4" w:space="0" w:color="auto"/>
              <w:right w:val="single" w:sz="4" w:space="0" w:color="auto"/>
            </w:tcBorders>
            <w:hideMark/>
          </w:tcPr>
          <w:p w14:paraId="2255B4A6" w14:textId="77777777" w:rsidR="00FA6F0D" w:rsidRPr="00A9330B" w:rsidRDefault="00FA6F0D" w:rsidP="000F7BA7">
            <w:pPr>
              <w:spacing w:before="40" w:line="240" w:lineRule="auto"/>
              <w:jc w:val="both"/>
              <w:rPr>
                <w:rFonts w:cs="Arial"/>
                <w:color w:val="auto"/>
                <w:sz w:val="20"/>
                <w:szCs w:val="20"/>
              </w:rPr>
            </w:pPr>
            <w:r w:rsidRPr="00A9330B">
              <w:rPr>
                <w:rFonts w:cs="Arial"/>
                <w:color w:val="auto"/>
                <w:sz w:val="20"/>
                <w:szCs w:val="20"/>
              </w:rPr>
              <w:lastRenderedPageBreak/>
              <w:t xml:space="preserve">Mission de contrôle </w:t>
            </w:r>
          </w:p>
        </w:tc>
        <w:tc>
          <w:tcPr>
            <w:tcW w:w="3491" w:type="pct"/>
            <w:tcBorders>
              <w:top w:val="single" w:sz="4" w:space="0" w:color="auto"/>
              <w:left w:val="single" w:sz="4" w:space="0" w:color="auto"/>
              <w:bottom w:val="single" w:sz="4" w:space="0" w:color="auto"/>
              <w:right w:val="single" w:sz="4" w:space="0" w:color="auto"/>
            </w:tcBorders>
            <w:hideMark/>
          </w:tcPr>
          <w:p w14:paraId="4CFFF5E8" w14:textId="77777777" w:rsidR="00FA6F0D" w:rsidRPr="00A9330B" w:rsidRDefault="00FA6F0D" w:rsidP="000F7BA7">
            <w:pPr>
              <w:spacing w:before="40" w:line="240" w:lineRule="auto"/>
              <w:jc w:val="both"/>
              <w:rPr>
                <w:rFonts w:cs="Arial"/>
                <w:color w:val="auto"/>
                <w:sz w:val="20"/>
                <w:szCs w:val="20"/>
              </w:rPr>
            </w:pPr>
            <w:r w:rsidRPr="00A9330B">
              <w:rPr>
                <w:rFonts w:cs="Arial"/>
                <w:color w:val="auto"/>
                <w:sz w:val="20"/>
                <w:szCs w:val="20"/>
              </w:rPr>
              <w:t xml:space="preserve">Contrôle des mesures HSE sur le chantier </w:t>
            </w:r>
          </w:p>
          <w:p w14:paraId="1289B411" w14:textId="77777777" w:rsidR="00FA6F0D" w:rsidRPr="00A9330B" w:rsidRDefault="00FA6F0D" w:rsidP="000F7BA7">
            <w:pPr>
              <w:spacing w:before="40" w:line="240" w:lineRule="auto"/>
              <w:jc w:val="both"/>
              <w:rPr>
                <w:rFonts w:cs="Arial"/>
                <w:color w:val="auto"/>
                <w:sz w:val="20"/>
                <w:szCs w:val="20"/>
              </w:rPr>
            </w:pPr>
            <w:r w:rsidRPr="00A9330B">
              <w:rPr>
                <w:rFonts w:cs="Arial"/>
                <w:color w:val="auto"/>
                <w:sz w:val="20"/>
                <w:szCs w:val="20"/>
              </w:rPr>
              <w:t xml:space="preserve">Analyse et gestion des nouveaux risques </w:t>
            </w:r>
          </w:p>
          <w:p w14:paraId="47CDA5D3" w14:textId="77777777" w:rsidR="00FA6F0D" w:rsidRPr="00A9330B" w:rsidRDefault="00FA6F0D" w:rsidP="000F7BA7">
            <w:pPr>
              <w:spacing w:before="40" w:line="240" w:lineRule="auto"/>
              <w:jc w:val="both"/>
              <w:rPr>
                <w:rFonts w:cs="Arial"/>
                <w:color w:val="auto"/>
                <w:sz w:val="20"/>
                <w:szCs w:val="20"/>
              </w:rPr>
            </w:pPr>
            <w:r w:rsidRPr="00A9330B">
              <w:rPr>
                <w:rFonts w:cs="Arial"/>
                <w:color w:val="auto"/>
                <w:sz w:val="20"/>
                <w:szCs w:val="20"/>
              </w:rPr>
              <w:t>Approbation des documents PHSSE, PGES-chantier, Plan d’urgence, Contrat divers (HSE)</w:t>
            </w:r>
          </w:p>
          <w:p w14:paraId="375F6B97" w14:textId="77777777" w:rsidR="00FA6F0D" w:rsidRPr="00A9330B" w:rsidRDefault="00FA6F0D" w:rsidP="000F7BA7">
            <w:pPr>
              <w:spacing w:before="40" w:line="240" w:lineRule="auto"/>
              <w:jc w:val="both"/>
              <w:rPr>
                <w:rFonts w:cs="Arial"/>
                <w:color w:val="auto"/>
                <w:sz w:val="20"/>
                <w:szCs w:val="20"/>
              </w:rPr>
            </w:pPr>
            <w:r w:rsidRPr="00A9330B">
              <w:rPr>
                <w:rFonts w:cs="Arial"/>
                <w:color w:val="auto"/>
                <w:sz w:val="20"/>
                <w:szCs w:val="20"/>
              </w:rPr>
              <w:t xml:space="preserve">Gestion des plaintes  </w:t>
            </w:r>
          </w:p>
        </w:tc>
      </w:tr>
      <w:tr w:rsidR="00FA6F0D" w:rsidRPr="00A9330B" w14:paraId="5B058F01" w14:textId="77777777" w:rsidTr="00FA6F0D">
        <w:tc>
          <w:tcPr>
            <w:tcW w:w="1509" w:type="pct"/>
            <w:tcBorders>
              <w:top w:val="single" w:sz="4" w:space="0" w:color="auto"/>
              <w:left w:val="single" w:sz="4" w:space="0" w:color="auto"/>
              <w:bottom w:val="single" w:sz="4" w:space="0" w:color="auto"/>
              <w:right w:val="single" w:sz="4" w:space="0" w:color="auto"/>
            </w:tcBorders>
            <w:hideMark/>
          </w:tcPr>
          <w:p w14:paraId="7B55FBBD" w14:textId="77777777" w:rsidR="00FA6F0D" w:rsidRPr="00A9330B" w:rsidRDefault="00FA6F0D" w:rsidP="000F7BA7">
            <w:pPr>
              <w:spacing w:before="40" w:line="240" w:lineRule="auto"/>
              <w:jc w:val="both"/>
              <w:rPr>
                <w:rFonts w:cs="Arial"/>
                <w:color w:val="auto"/>
                <w:sz w:val="20"/>
                <w:szCs w:val="20"/>
              </w:rPr>
            </w:pPr>
            <w:r w:rsidRPr="00A9330B">
              <w:rPr>
                <w:rFonts w:cs="Arial"/>
                <w:color w:val="auto"/>
                <w:sz w:val="20"/>
                <w:szCs w:val="20"/>
              </w:rPr>
              <w:t xml:space="preserve">Experts et consultants </w:t>
            </w:r>
          </w:p>
        </w:tc>
        <w:tc>
          <w:tcPr>
            <w:tcW w:w="3491" w:type="pct"/>
            <w:tcBorders>
              <w:top w:val="single" w:sz="4" w:space="0" w:color="auto"/>
              <w:left w:val="single" w:sz="4" w:space="0" w:color="auto"/>
              <w:bottom w:val="single" w:sz="4" w:space="0" w:color="auto"/>
              <w:right w:val="single" w:sz="4" w:space="0" w:color="auto"/>
            </w:tcBorders>
            <w:hideMark/>
          </w:tcPr>
          <w:p w14:paraId="2CA780BD" w14:textId="77777777" w:rsidR="00FA6F0D" w:rsidRPr="00A9330B" w:rsidRDefault="00FA6F0D" w:rsidP="000F7BA7">
            <w:pPr>
              <w:spacing w:before="40" w:line="240" w:lineRule="auto"/>
              <w:jc w:val="both"/>
              <w:rPr>
                <w:rFonts w:cs="Arial"/>
                <w:color w:val="auto"/>
                <w:sz w:val="20"/>
                <w:szCs w:val="20"/>
              </w:rPr>
            </w:pPr>
            <w:r w:rsidRPr="00A9330B">
              <w:rPr>
                <w:rFonts w:cs="Arial"/>
                <w:color w:val="auto"/>
                <w:sz w:val="20"/>
                <w:szCs w:val="20"/>
              </w:rPr>
              <w:t>Mise en œuvre ou contrôle des mesures HSE</w:t>
            </w:r>
          </w:p>
          <w:p w14:paraId="3102AEE6" w14:textId="77777777" w:rsidR="00FA6F0D" w:rsidRPr="00A9330B" w:rsidRDefault="00FA6F0D" w:rsidP="000F7BA7">
            <w:pPr>
              <w:spacing w:before="40" w:line="240" w:lineRule="auto"/>
              <w:jc w:val="both"/>
              <w:rPr>
                <w:rFonts w:cs="Arial"/>
                <w:color w:val="auto"/>
                <w:sz w:val="20"/>
                <w:szCs w:val="20"/>
              </w:rPr>
            </w:pPr>
            <w:r w:rsidRPr="00A9330B">
              <w:rPr>
                <w:rFonts w:cs="Arial"/>
                <w:color w:val="auto"/>
                <w:sz w:val="20"/>
                <w:szCs w:val="20"/>
              </w:rPr>
              <w:t xml:space="preserve">Médiation lors des travaux </w:t>
            </w:r>
          </w:p>
          <w:p w14:paraId="4EFC7808" w14:textId="77777777" w:rsidR="00FA6F0D" w:rsidRPr="00A9330B" w:rsidRDefault="00FA6F0D" w:rsidP="000F7BA7">
            <w:pPr>
              <w:spacing w:before="40" w:line="240" w:lineRule="auto"/>
              <w:jc w:val="both"/>
              <w:rPr>
                <w:rFonts w:cs="Arial"/>
                <w:color w:val="auto"/>
                <w:sz w:val="20"/>
                <w:szCs w:val="20"/>
              </w:rPr>
            </w:pPr>
            <w:r w:rsidRPr="00A9330B">
              <w:rPr>
                <w:rFonts w:cs="Arial"/>
                <w:color w:val="auto"/>
                <w:sz w:val="20"/>
                <w:szCs w:val="20"/>
              </w:rPr>
              <w:t>Planification et réalisation des sensibilisations grand public</w:t>
            </w:r>
          </w:p>
          <w:p w14:paraId="4695B9E0" w14:textId="77777777" w:rsidR="00FA6F0D" w:rsidRPr="00A9330B" w:rsidRDefault="00FA6F0D" w:rsidP="000F7BA7">
            <w:pPr>
              <w:spacing w:before="40" w:line="240" w:lineRule="auto"/>
              <w:jc w:val="both"/>
              <w:rPr>
                <w:rFonts w:cs="Arial"/>
                <w:color w:val="auto"/>
                <w:sz w:val="20"/>
                <w:szCs w:val="20"/>
              </w:rPr>
            </w:pPr>
            <w:r w:rsidRPr="00A9330B">
              <w:rPr>
                <w:rFonts w:cs="Arial"/>
                <w:color w:val="auto"/>
                <w:sz w:val="20"/>
                <w:szCs w:val="20"/>
              </w:rPr>
              <w:t xml:space="preserve">Formation du personnel </w:t>
            </w:r>
          </w:p>
          <w:p w14:paraId="7908A096" w14:textId="77777777" w:rsidR="00FA6F0D" w:rsidRPr="00A9330B" w:rsidRDefault="00FA6F0D" w:rsidP="000F7BA7">
            <w:pPr>
              <w:spacing w:before="40" w:line="240" w:lineRule="auto"/>
              <w:jc w:val="both"/>
              <w:rPr>
                <w:rFonts w:cs="Arial"/>
                <w:color w:val="auto"/>
                <w:sz w:val="20"/>
                <w:szCs w:val="20"/>
              </w:rPr>
            </w:pPr>
            <w:r w:rsidRPr="00A9330B">
              <w:rPr>
                <w:rFonts w:cs="Arial"/>
                <w:color w:val="auto"/>
                <w:sz w:val="20"/>
                <w:szCs w:val="20"/>
              </w:rPr>
              <w:t xml:space="preserve">Renforcement des capacités </w:t>
            </w:r>
          </w:p>
        </w:tc>
      </w:tr>
      <w:tr w:rsidR="00FA6F0D" w:rsidRPr="00A9330B" w14:paraId="429FDB7C" w14:textId="77777777" w:rsidTr="00FA6F0D">
        <w:tc>
          <w:tcPr>
            <w:tcW w:w="1509" w:type="pct"/>
            <w:tcBorders>
              <w:top w:val="single" w:sz="4" w:space="0" w:color="auto"/>
              <w:left w:val="single" w:sz="4" w:space="0" w:color="auto"/>
              <w:bottom w:val="single" w:sz="4" w:space="0" w:color="auto"/>
              <w:right w:val="single" w:sz="4" w:space="0" w:color="auto"/>
            </w:tcBorders>
            <w:hideMark/>
          </w:tcPr>
          <w:p w14:paraId="7F4C0495" w14:textId="77777777" w:rsidR="00FA6F0D" w:rsidRPr="00A9330B" w:rsidRDefault="00FA6F0D" w:rsidP="000F7BA7">
            <w:pPr>
              <w:spacing w:before="40" w:line="240" w:lineRule="auto"/>
              <w:jc w:val="both"/>
              <w:rPr>
                <w:rFonts w:cs="Arial"/>
                <w:color w:val="auto"/>
                <w:sz w:val="20"/>
                <w:szCs w:val="20"/>
              </w:rPr>
            </w:pPr>
            <w:r w:rsidRPr="00A9330B">
              <w:rPr>
                <w:rFonts w:cs="Arial"/>
                <w:color w:val="auto"/>
                <w:sz w:val="20"/>
                <w:szCs w:val="20"/>
              </w:rPr>
              <w:t xml:space="preserve">AMO /AVCDT </w:t>
            </w:r>
          </w:p>
        </w:tc>
        <w:tc>
          <w:tcPr>
            <w:tcW w:w="3491" w:type="pct"/>
            <w:tcBorders>
              <w:top w:val="single" w:sz="4" w:space="0" w:color="auto"/>
              <w:left w:val="single" w:sz="4" w:space="0" w:color="auto"/>
              <w:bottom w:val="single" w:sz="4" w:space="0" w:color="auto"/>
              <w:right w:val="single" w:sz="4" w:space="0" w:color="auto"/>
            </w:tcBorders>
            <w:hideMark/>
          </w:tcPr>
          <w:p w14:paraId="14E35E1B" w14:textId="77777777" w:rsidR="00FA6F0D" w:rsidRPr="00A9330B" w:rsidRDefault="00FA6F0D" w:rsidP="000F7BA7">
            <w:pPr>
              <w:spacing w:before="40" w:line="240" w:lineRule="auto"/>
              <w:jc w:val="both"/>
              <w:rPr>
                <w:rFonts w:cs="Arial"/>
                <w:color w:val="auto"/>
                <w:sz w:val="20"/>
                <w:szCs w:val="20"/>
              </w:rPr>
            </w:pPr>
            <w:r w:rsidRPr="00A9330B">
              <w:rPr>
                <w:rFonts w:cs="Arial"/>
                <w:color w:val="auto"/>
                <w:sz w:val="20"/>
                <w:szCs w:val="20"/>
              </w:rPr>
              <w:t xml:space="preserve">Supervision de la surveillance </w:t>
            </w:r>
          </w:p>
          <w:p w14:paraId="2258C590" w14:textId="7EBF8878" w:rsidR="00EA5A97" w:rsidRPr="00A9330B" w:rsidRDefault="00EA5A97" w:rsidP="000F7BA7">
            <w:pPr>
              <w:spacing w:before="40" w:line="240" w:lineRule="auto"/>
              <w:jc w:val="both"/>
              <w:rPr>
                <w:rFonts w:cs="Arial"/>
                <w:color w:val="auto"/>
                <w:sz w:val="20"/>
                <w:szCs w:val="20"/>
              </w:rPr>
            </w:pPr>
          </w:p>
        </w:tc>
      </w:tr>
      <w:tr w:rsidR="00FA6F0D" w:rsidRPr="00A9330B" w14:paraId="5AFFC98A" w14:textId="77777777" w:rsidTr="00FA6F0D">
        <w:tc>
          <w:tcPr>
            <w:tcW w:w="5000" w:type="pct"/>
            <w:gridSpan w:val="2"/>
            <w:tcBorders>
              <w:top w:val="single" w:sz="4" w:space="0" w:color="auto"/>
              <w:left w:val="single" w:sz="4" w:space="0" w:color="auto"/>
              <w:bottom w:val="single" w:sz="4" w:space="0" w:color="auto"/>
              <w:right w:val="single" w:sz="4" w:space="0" w:color="auto"/>
            </w:tcBorders>
            <w:shd w:val="clear" w:color="auto" w:fill="D5DCE4" w:themeFill="text2" w:themeFillTint="33"/>
            <w:vAlign w:val="center"/>
            <w:hideMark/>
          </w:tcPr>
          <w:p w14:paraId="09B40A67" w14:textId="77777777" w:rsidR="00FA6F0D" w:rsidRPr="00A9330B" w:rsidRDefault="00FA6F0D" w:rsidP="00002D78">
            <w:pPr>
              <w:spacing w:before="40" w:line="240" w:lineRule="auto"/>
              <w:rPr>
                <w:rFonts w:cs="Arial"/>
                <w:color w:val="auto"/>
                <w:sz w:val="20"/>
                <w:szCs w:val="20"/>
              </w:rPr>
            </w:pPr>
            <w:r w:rsidRPr="00A9330B">
              <w:rPr>
                <w:rFonts w:cs="Arial"/>
                <w:b/>
                <w:color w:val="auto"/>
                <w:sz w:val="20"/>
                <w:szCs w:val="20"/>
              </w:rPr>
              <w:t>Suivi interne</w:t>
            </w:r>
          </w:p>
        </w:tc>
      </w:tr>
      <w:tr w:rsidR="00FA6F0D" w:rsidRPr="00A9330B" w14:paraId="72279D35" w14:textId="77777777" w:rsidTr="00FA6F0D">
        <w:tc>
          <w:tcPr>
            <w:tcW w:w="1509" w:type="pct"/>
            <w:tcBorders>
              <w:top w:val="single" w:sz="4" w:space="0" w:color="auto"/>
              <w:left w:val="single" w:sz="4" w:space="0" w:color="auto"/>
              <w:bottom w:val="single" w:sz="4" w:space="0" w:color="auto"/>
              <w:right w:val="single" w:sz="4" w:space="0" w:color="auto"/>
            </w:tcBorders>
            <w:hideMark/>
          </w:tcPr>
          <w:p w14:paraId="21E38ED9" w14:textId="77777777" w:rsidR="00FA6F0D" w:rsidRPr="00A9330B" w:rsidRDefault="00FA6F0D" w:rsidP="000F7BA7">
            <w:pPr>
              <w:spacing w:before="40" w:line="240" w:lineRule="auto"/>
              <w:jc w:val="both"/>
              <w:rPr>
                <w:rFonts w:cs="Arial"/>
                <w:b/>
                <w:color w:val="auto"/>
                <w:sz w:val="20"/>
                <w:szCs w:val="20"/>
              </w:rPr>
            </w:pPr>
            <w:r w:rsidRPr="00A9330B">
              <w:rPr>
                <w:rFonts w:cs="Arial"/>
                <w:color w:val="auto"/>
                <w:sz w:val="20"/>
                <w:szCs w:val="20"/>
              </w:rPr>
              <w:t xml:space="preserve">ACVDT </w:t>
            </w:r>
          </w:p>
        </w:tc>
        <w:tc>
          <w:tcPr>
            <w:tcW w:w="3491" w:type="pct"/>
            <w:tcBorders>
              <w:top w:val="single" w:sz="4" w:space="0" w:color="auto"/>
              <w:left w:val="single" w:sz="4" w:space="0" w:color="auto"/>
              <w:bottom w:val="single" w:sz="4" w:space="0" w:color="auto"/>
              <w:right w:val="single" w:sz="4" w:space="0" w:color="auto"/>
            </w:tcBorders>
            <w:hideMark/>
          </w:tcPr>
          <w:p w14:paraId="31EBDAE6" w14:textId="77777777" w:rsidR="00FA6F0D" w:rsidRPr="00A9330B" w:rsidRDefault="00FA6F0D" w:rsidP="000F7BA7">
            <w:pPr>
              <w:spacing w:before="40" w:line="240" w:lineRule="auto"/>
              <w:jc w:val="both"/>
              <w:rPr>
                <w:rFonts w:cs="Arial"/>
                <w:color w:val="auto"/>
                <w:sz w:val="20"/>
                <w:szCs w:val="20"/>
              </w:rPr>
            </w:pPr>
            <w:r w:rsidRPr="00A9330B">
              <w:rPr>
                <w:rFonts w:cs="Arial"/>
                <w:color w:val="auto"/>
                <w:sz w:val="20"/>
                <w:szCs w:val="20"/>
              </w:rPr>
              <w:t xml:space="preserve">Vérification des activités de surveillance environnementale et sociales </w:t>
            </w:r>
          </w:p>
          <w:p w14:paraId="403968A5" w14:textId="77777777" w:rsidR="00FA6F0D" w:rsidRPr="00A9330B" w:rsidRDefault="00FA6F0D" w:rsidP="000F7BA7">
            <w:pPr>
              <w:spacing w:before="40" w:line="240" w:lineRule="auto"/>
              <w:jc w:val="both"/>
              <w:rPr>
                <w:rFonts w:cs="Arial"/>
                <w:color w:val="auto"/>
                <w:sz w:val="20"/>
                <w:szCs w:val="20"/>
              </w:rPr>
            </w:pPr>
            <w:r w:rsidRPr="00A9330B">
              <w:rPr>
                <w:rFonts w:cs="Arial"/>
                <w:color w:val="auto"/>
                <w:sz w:val="20"/>
                <w:szCs w:val="20"/>
              </w:rPr>
              <w:t xml:space="preserve">Vérification des mesures HSE sur les sites </w:t>
            </w:r>
          </w:p>
          <w:p w14:paraId="75705988" w14:textId="77777777" w:rsidR="00FA6F0D" w:rsidRPr="00A9330B" w:rsidRDefault="00FA6F0D" w:rsidP="000F7BA7">
            <w:pPr>
              <w:spacing w:before="40" w:line="240" w:lineRule="auto"/>
              <w:jc w:val="both"/>
              <w:rPr>
                <w:rFonts w:cs="Arial"/>
                <w:color w:val="auto"/>
                <w:sz w:val="20"/>
                <w:szCs w:val="20"/>
              </w:rPr>
            </w:pPr>
            <w:r w:rsidRPr="00A9330B">
              <w:rPr>
                <w:rFonts w:cs="Arial"/>
                <w:color w:val="auto"/>
                <w:sz w:val="20"/>
                <w:szCs w:val="20"/>
              </w:rPr>
              <w:t xml:space="preserve">Vérification des mesures de sécurité et de prévention des risques </w:t>
            </w:r>
          </w:p>
        </w:tc>
      </w:tr>
      <w:tr w:rsidR="00FA6F0D" w:rsidRPr="00A9330B" w14:paraId="1BCB0923" w14:textId="77777777" w:rsidTr="00FA6F0D">
        <w:tc>
          <w:tcPr>
            <w:tcW w:w="1509" w:type="pct"/>
            <w:tcBorders>
              <w:top w:val="single" w:sz="4" w:space="0" w:color="auto"/>
              <w:left w:val="single" w:sz="4" w:space="0" w:color="auto"/>
              <w:bottom w:val="single" w:sz="4" w:space="0" w:color="auto"/>
              <w:right w:val="single" w:sz="4" w:space="0" w:color="auto"/>
            </w:tcBorders>
            <w:hideMark/>
          </w:tcPr>
          <w:p w14:paraId="74C6DC2F" w14:textId="77777777" w:rsidR="00FA6F0D" w:rsidRPr="00A9330B" w:rsidRDefault="00FA6F0D" w:rsidP="000F7BA7">
            <w:pPr>
              <w:spacing w:before="40" w:line="240" w:lineRule="auto"/>
              <w:jc w:val="both"/>
              <w:rPr>
                <w:rFonts w:cs="Arial"/>
                <w:color w:val="auto"/>
                <w:sz w:val="20"/>
                <w:szCs w:val="20"/>
              </w:rPr>
            </w:pPr>
            <w:r w:rsidRPr="00A9330B">
              <w:rPr>
                <w:rFonts w:cs="Arial"/>
                <w:color w:val="auto"/>
                <w:sz w:val="20"/>
                <w:szCs w:val="20"/>
              </w:rPr>
              <w:t xml:space="preserve">Bénéficiaires du projet </w:t>
            </w:r>
          </w:p>
          <w:p w14:paraId="0BF9E080" w14:textId="77777777" w:rsidR="00FA6F0D" w:rsidRPr="00A9330B" w:rsidRDefault="00FA6F0D" w:rsidP="000F7BA7">
            <w:pPr>
              <w:spacing w:before="40" w:line="240" w:lineRule="auto"/>
              <w:jc w:val="both"/>
              <w:rPr>
                <w:rFonts w:cs="Arial"/>
                <w:color w:val="auto"/>
                <w:sz w:val="20"/>
                <w:szCs w:val="20"/>
              </w:rPr>
            </w:pPr>
            <w:r w:rsidRPr="00A9330B">
              <w:rPr>
                <w:rFonts w:cs="Arial"/>
                <w:color w:val="auto"/>
                <w:sz w:val="20"/>
                <w:szCs w:val="20"/>
              </w:rPr>
              <w:t xml:space="preserve">Services techniques de la Mairie </w:t>
            </w:r>
          </w:p>
          <w:p w14:paraId="0C2657DC" w14:textId="77777777" w:rsidR="00FA6F0D" w:rsidRPr="00A9330B" w:rsidRDefault="00FA6F0D" w:rsidP="000F7BA7">
            <w:pPr>
              <w:spacing w:before="40" w:line="240" w:lineRule="auto"/>
              <w:jc w:val="both"/>
              <w:rPr>
                <w:rFonts w:cs="Arial"/>
                <w:color w:val="auto"/>
                <w:sz w:val="20"/>
                <w:szCs w:val="20"/>
              </w:rPr>
            </w:pPr>
            <w:r w:rsidRPr="00A9330B">
              <w:rPr>
                <w:rFonts w:cs="Arial"/>
                <w:color w:val="auto"/>
                <w:sz w:val="20"/>
                <w:szCs w:val="20"/>
              </w:rPr>
              <w:t xml:space="preserve">Comité local de médiation </w:t>
            </w:r>
          </w:p>
          <w:p w14:paraId="36053FBB" w14:textId="77777777" w:rsidR="00FA6F0D" w:rsidRPr="00A9330B" w:rsidRDefault="00FA6F0D" w:rsidP="000F7BA7">
            <w:pPr>
              <w:spacing w:before="40" w:line="240" w:lineRule="auto"/>
              <w:jc w:val="both"/>
              <w:rPr>
                <w:rFonts w:cs="Arial"/>
                <w:b/>
                <w:color w:val="auto"/>
                <w:sz w:val="20"/>
                <w:szCs w:val="20"/>
              </w:rPr>
            </w:pPr>
            <w:r w:rsidRPr="00A9330B">
              <w:rPr>
                <w:rFonts w:cs="Arial"/>
                <w:color w:val="auto"/>
                <w:sz w:val="20"/>
                <w:szCs w:val="20"/>
              </w:rPr>
              <w:t xml:space="preserve">Commission de conciliation </w:t>
            </w:r>
          </w:p>
        </w:tc>
        <w:tc>
          <w:tcPr>
            <w:tcW w:w="3491" w:type="pct"/>
            <w:tcBorders>
              <w:top w:val="single" w:sz="4" w:space="0" w:color="auto"/>
              <w:left w:val="single" w:sz="4" w:space="0" w:color="auto"/>
              <w:bottom w:val="single" w:sz="4" w:space="0" w:color="auto"/>
              <w:right w:val="single" w:sz="4" w:space="0" w:color="auto"/>
            </w:tcBorders>
            <w:hideMark/>
          </w:tcPr>
          <w:p w14:paraId="026AB43E" w14:textId="77777777" w:rsidR="00FA6F0D" w:rsidRPr="00A9330B" w:rsidRDefault="00FA6F0D" w:rsidP="000F7BA7">
            <w:pPr>
              <w:spacing w:before="40" w:line="240" w:lineRule="auto"/>
              <w:jc w:val="both"/>
              <w:rPr>
                <w:rFonts w:cs="Arial"/>
                <w:color w:val="auto"/>
                <w:sz w:val="20"/>
                <w:szCs w:val="20"/>
              </w:rPr>
            </w:pPr>
            <w:r w:rsidRPr="00A9330B">
              <w:rPr>
                <w:rFonts w:cs="Arial"/>
                <w:color w:val="auto"/>
                <w:sz w:val="20"/>
                <w:szCs w:val="20"/>
              </w:rPr>
              <w:t xml:space="preserve">Contrôle de la mise en œuvre adéquate des mesures HSE </w:t>
            </w:r>
          </w:p>
          <w:p w14:paraId="529150B1" w14:textId="77777777" w:rsidR="00FA6F0D" w:rsidRPr="00A9330B" w:rsidRDefault="00FA6F0D" w:rsidP="000F7BA7">
            <w:pPr>
              <w:spacing w:before="40" w:line="240" w:lineRule="auto"/>
              <w:jc w:val="both"/>
              <w:rPr>
                <w:rFonts w:cs="Arial"/>
                <w:color w:val="auto"/>
                <w:sz w:val="20"/>
                <w:szCs w:val="20"/>
              </w:rPr>
            </w:pPr>
            <w:r w:rsidRPr="00A9330B">
              <w:rPr>
                <w:rFonts w:cs="Arial"/>
                <w:color w:val="auto"/>
                <w:sz w:val="20"/>
                <w:szCs w:val="20"/>
              </w:rPr>
              <w:t>Contrôle de la mise en œuvre du PAR</w:t>
            </w:r>
          </w:p>
          <w:p w14:paraId="2BD1698D" w14:textId="77777777" w:rsidR="00FA6F0D" w:rsidRPr="00A9330B" w:rsidRDefault="00FA6F0D" w:rsidP="000F7BA7">
            <w:pPr>
              <w:spacing w:before="40" w:line="240" w:lineRule="auto"/>
              <w:jc w:val="both"/>
              <w:rPr>
                <w:rFonts w:cs="Arial"/>
                <w:color w:val="auto"/>
                <w:sz w:val="20"/>
                <w:szCs w:val="20"/>
              </w:rPr>
            </w:pPr>
            <w:r w:rsidRPr="00A9330B">
              <w:rPr>
                <w:rFonts w:cs="Arial"/>
                <w:color w:val="auto"/>
                <w:sz w:val="20"/>
                <w:szCs w:val="20"/>
              </w:rPr>
              <w:t xml:space="preserve">Gestion des plaintes </w:t>
            </w:r>
          </w:p>
        </w:tc>
      </w:tr>
      <w:tr w:rsidR="00FA6F0D" w:rsidRPr="00A9330B" w14:paraId="0AC1F6E6" w14:textId="77777777" w:rsidTr="00FA6F0D">
        <w:tc>
          <w:tcPr>
            <w:tcW w:w="5000" w:type="pct"/>
            <w:gridSpan w:val="2"/>
            <w:tcBorders>
              <w:top w:val="single" w:sz="4" w:space="0" w:color="auto"/>
              <w:left w:val="single" w:sz="4" w:space="0" w:color="auto"/>
              <w:bottom w:val="single" w:sz="4" w:space="0" w:color="auto"/>
              <w:right w:val="single" w:sz="4" w:space="0" w:color="auto"/>
            </w:tcBorders>
            <w:shd w:val="clear" w:color="auto" w:fill="D5DCE4" w:themeFill="text2" w:themeFillTint="33"/>
            <w:vAlign w:val="center"/>
            <w:hideMark/>
          </w:tcPr>
          <w:p w14:paraId="572A3F0F" w14:textId="77777777" w:rsidR="00FA6F0D" w:rsidRPr="00A9330B" w:rsidRDefault="00FA6F0D" w:rsidP="00002D78">
            <w:pPr>
              <w:spacing w:before="40" w:line="240" w:lineRule="auto"/>
              <w:rPr>
                <w:rFonts w:cs="Arial"/>
                <w:b/>
                <w:color w:val="auto"/>
                <w:sz w:val="20"/>
                <w:szCs w:val="20"/>
              </w:rPr>
            </w:pPr>
            <w:r w:rsidRPr="00A9330B">
              <w:rPr>
                <w:rFonts w:cs="Arial"/>
                <w:b/>
                <w:color w:val="auto"/>
                <w:sz w:val="20"/>
                <w:szCs w:val="20"/>
              </w:rPr>
              <w:t>Suivi externe</w:t>
            </w:r>
          </w:p>
        </w:tc>
      </w:tr>
      <w:tr w:rsidR="00FA6F0D" w:rsidRPr="00A9330B" w14:paraId="14986A73" w14:textId="77777777" w:rsidTr="00FA6F0D">
        <w:tc>
          <w:tcPr>
            <w:tcW w:w="1509" w:type="pct"/>
            <w:tcBorders>
              <w:top w:val="single" w:sz="4" w:space="0" w:color="auto"/>
              <w:left w:val="single" w:sz="4" w:space="0" w:color="auto"/>
              <w:bottom w:val="single" w:sz="4" w:space="0" w:color="auto"/>
              <w:right w:val="single" w:sz="4" w:space="0" w:color="auto"/>
            </w:tcBorders>
            <w:hideMark/>
          </w:tcPr>
          <w:p w14:paraId="4E297DDE" w14:textId="77777777" w:rsidR="00FA6F0D" w:rsidRPr="00A9330B" w:rsidRDefault="00FA6F0D" w:rsidP="000F7BA7">
            <w:pPr>
              <w:spacing w:before="40" w:line="240" w:lineRule="auto"/>
              <w:jc w:val="both"/>
              <w:rPr>
                <w:rFonts w:cs="Arial"/>
                <w:color w:val="auto"/>
                <w:sz w:val="20"/>
                <w:szCs w:val="20"/>
              </w:rPr>
            </w:pPr>
            <w:r w:rsidRPr="00A9330B">
              <w:rPr>
                <w:rFonts w:cs="Arial"/>
                <w:color w:val="auto"/>
                <w:sz w:val="20"/>
                <w:szCs w:val="20"/>
              </w:rPr>
              <w:t>MCVDD</w:t>
            </w:r>
          </w:p>
        </w:tc>
        <w:tc>
          <w:tcPr>
            <w:tcW w:w="3491" w:type="pct"/>
            <w:tcBorders>
              <w:top w:val="single" w:sz="4" w:space="0" w:color="auto"/>
              <w:left w:val="single" w:sz="4" w:space="0" w:color="auto"/>
              <w:bottom w:val="single" w:sz="4" w:space="0" w:color="auto"/>
              <w:right w:val="single" w:sz="4" w:space="0" w:color="auto"/>
            </w:tcBorders>
            <w:hideMark/>
          </w:tcPr>
          <w:p w14:paraId="28CE7CD9" w14:textId="77777777" w:rsidR="00FA6F0D" w:rsidRPr="00A9330B" w:rsidRDefault="00FA6F0D" w:rsidP="000F7BA7">
            <w:pPr>
              <w:spacing w:before="40" w:line="240" w:lineRule="auto"/>
              <w:jc w:val="both"/>
              <w:rPr>
                <w:rFonts w:cs="Arial"/>
                <w:color w:val="auto"/>
                <w:sz w:val="20"/>
                <w:szCs w:val="20"/>
              </w:rPr>
            </w:pPr>
            <w:r w:rsidRPr="00A9330B">
              <w:rPr>
                <w:rFonts w:cs="Arial"/>
                <w:color w:val="auto"/>
                <w:sz w:val="20"/>
                <w:szCs w:val="20"/>
              </w:rPr>
              <w:t xml:space="preserve">Supervision du suivi externe </w:t>
            </w:r>
          </w:p>
        </w:tc>
      </w:tr>
      <w:tr w:rsidR="00FA6F0D" w:rsidRPr="00A9330B" w14:paraId="0F7EF2A8" w14:textId="77777777" w:rsidTr="00FA6F0D">
        <w:tc>
          <w:tcPr>
            <w:tcW w:w="1509" w:type="pct"/>
            <w:tcBorders>
              <w:top w:val="single" w:sz="4" w:space="0" w:color="auto"/>
              <w:left w:val="single" w:sz="4" w:space="0" w:color="auto"/>
              <w:bottom w:val="single" w:sz="4" w:space="0" w:color="auto"/>
              <w:right w:val="single" w:sz="4" w:space="0" w:color="auto"/>
            </w:tcBorders>
            <w:hideMark/>
          </w:tcPr>
          <w:p w14:paraId="36387A8C" w14:textId="77777777" w:rsidR="00FA6F0D" w:rsidRPr="00A9330B" w:rsidRDefault="00FA6F0D" w:rsidP="000F7BA7">
            <w:pPr>
              <w:spacing w:before="40" w:line="240" w:lineRule="auto"/>
              <w:jc w:val="both"/>
              <w:rPr>
                <w:rFonts w:cs="Arial"/>
                <w:color w:val="auto"/>
                <w:sz w:val="20"/>
                <w:szCs w:val="20"/>
              </w:rPr>
            </w:pPr>
            <w:r w:rsidRPr="00A9330B">
              <w:rPr>
                <w:rFonts w:cs="Arial"/>
                <w:color w:val="auto"/>
                <w:sz w:val="20"/>
                <w:szCs w:val="20"/>
              </w:rPr>
              <w:t xml:space="preserve">ABE </w:t>
            </w:r>
          </w:p>
        </w:tc>
        <w:tc>
          <w:tcPr>
            <w:tcW w:w="3491" w:type="pct"/>
            <w:tcBorders>
              <w:top w:val="single" w:sz="4" w:space="0" w:color="auto"/>
              <w:left w:val="single" w:sz="4" w:space="0" w:color="auto"/>
              <w:bottom w:val="single" w:sz="4" w:space="0" w:color="auto"/>
              <w:right w:val="single" w:sz="4" w:space="0" w:color="auto"/>
            </w:tcBorders>
            <w:hideMark/>
          </w:tcPr>
          <w:p w14:paraId="2FC20C40" w14:textId="77777777" w:rsidR="00FA6F0D" w:rsidRPr="00A9330B" w:rsidRDefault="00FA6F0D" w:rsidP="000F7BA7">
            <w:pPr>
              <w:spacing w:before="40" w:line="240" w:lineRule="auto"/>
              <w:jc w:val="both"/>
              <w:rPr>
                <w:rFonts w:cs="Arial"/>
                <w:color w:val="auto"/>
                <w:sz w:val="20"/>
                <w:szCs w:val="20"/>
              </w:rPr>
            </w:pPr>
            <w:r w:rsidRPr="00A9330B">
              <w:rPr>
                <w:rFonts w:cs="Arial"/>
                <w:color w:val="auto"/>
                <w:sz w:val="20"/>
                <w:szCs w:val="20"/>
              </w:rPr>
              <w:t>Suivi de la mise en œuvre du PGES et du PAR</w:t>
            </w:r>
          </w:p>
          <w:p w14:paraId="425CC05A" w14:textId="77777777" w:rsidR="00FA6F0D" w:rsidRPr="00A9330B" w:rsidRDefault="00FA6F0D" w:rsidP="000F7BA7">
            <w:pPr>
              <w:spacing w:before="40" w:line="240" w:lineRule="auto"/>
              <w:jc w:val="both"/>
              <w:rPr>
                <w:rFonts w:cs="Arial"/>
                <w:color w:val="auto"/>
                <w:sz w:val="20"/>
                <w:szCs w:val="20"/>
              </w:rPr>
            </w:pPr>
            <w:r w:rsidRPr="00A9330B">
              <w:rPr>
                <w:rFonts w:cs="Arial"/>
                <w:color w:val="auto"/>
                <w:sz w:val="20"/>
                <w:szCs w:val="20"/>
              </w:rPr>
              <w:t xml:space="preserve">Vérification de conformité </w:t>
            </w:r>
          </w:p>
          <w:p w14:paraId="7B4C1302" w14:textId="77777777" w:rsidR="00FA6F0D" w:rsidRPr="00A9330B" w:rsidRDefault="00FA6F0D" w:rsidP="000F7BA7">
            <w:pPr>
              <w:spacing w:before="40" w:line="240" w:lineRule="auto"/>
              <w:jc w:val="both"/>
              <w:rPr>
                <w:rFonts w:cs="Arial"/>
                <w:color w:val="auto"/>
                <w:sz w:val="20"/>
                <w:szCs w:val="20"/>
              </w:rPr>
            </w:pPr>
            <w:r w:rsidRPr="00A9330B">
              <w:rPr>
                <w:rFonts w:cs="Arial"/>
                <w:color w:val="auto"/>
                <w:sz w:val="20"/>
                <w:szCs w:val="20"/>
              </w:rPr>
              <w:t xml:space="preserve">Efficacité des mesures proposées </w:t>
            </w:r>
          </w:p>
          <w:p w14:paraId="30823D85" w14:textId="77777777" w:rsidR="00FA6F0D" w:rsidRPr="00A9330B" w:rsidRDefault="00FA6F0D" w:rsidP="000F7BA7">
            <w:pPr>
              <w:spacing w:before="40" w:line="240" w:lineRule="auto"/>
              <w:jc w:val="both"/>
              <w:rPr>
                <w:rFonts w:cs="Arial"/>
                <w:color w:val="auto"/>
                <w:sz w:val="20"/>
                <w:szCs w:val="20"/>
              </w:rPr>
            </w:pPr>
            <w:r w:rsidRPr="00A9330B">
              <w:rPr>
                <w:rFonts w:cs="Arial"/>
                <w:color w:val="auto"/>
                <w:sz w:val="20"/>
                <w:szCs w:val="20"/>
              </w:rPr>
              <w:t xml:space="preserve">Audit externe </w:t>
            </w:r>
          </w:p>
        </w:tc>
      </w:tr>
      <w:tr w:rsidR="00FA6F0D" w:rsidRPr="00A9330B" w14:paraId="1A90183E" w14:textId="77777777" w:rsidTr="00FA6F0D">
        <w:tc>
          <w:tcPr>
            <w:tcW w:w="1509" w:type="pct"/>
            <w:tcBorders>
              <w:top w:val="single" w:sz="4" w:space="0" w:color="auto"/>
              <w:left w:val="single" w:sz="4" w:space="0" w:color="auto"/>
              <w:bottom w:val="single" w:sz="4" w:space="0" w:color="auto"/>
              <w:right w:val="single" w:sz="4" w:space="0" w:color="auto"/>
            </w:tcBorders>
            <w:hideMark/>
          </w:tcPr>
          <w:p w14:paraId="142FDA9F" w14:textId="4D29153D" w:rsidR="00FA6F0D" w:rsidRPr="00A9330B" w:rsidRDefault="00FA6F0D" w:rsidP="000F7BA7">
            <w:pPr>
              <w:spacing w:before="40" w:line="240" w:lineRule="auto"/>
              <w:jc w:val="both"/>
              <w:rPr>
                <w:rFonts w:cs="Arial"/>
                <w:color w:val="auto"/>
                <w:sz w:val="20"/>
                <w:szCs w:val="20"/>
              </w:rPr>
            </w:pPr>
            <w:r w:rsidRPr="00A9330B">
              <w:rPr>
                <w:rFonts w:cs="Arial"/>
                <w:color w:val="auto"/>
                <w:sz w:val="20"/>
                <w:szCs w:val="20"/>
              </w:rPr>
              <w:t>Structures déconcentrées</w:t>
            </w:r>
            <w:r w:rsidR="00C07BE5" w:rsidRPr="00A9330B">
              <w:rPr>
                <w:rFonts w:cs="Arial"/>
                <w:color w:val="auto"/>
                <w:sz w:val="20"/>
                <w:szCs w:val="20"/>
              </w:rPr>
              <w:t xml:space="preserve"> (DDCVDD, SONEB, etc.)</w:t>
            </w:r>
            <w:r w:rsidRPr="00A9330B">
              <w:rPr>
                <w:rFonts w:cs="Arial"/>
                <w:color w:val="auto"/>
                <w:sz w:val="20"/>
                <w:szCs w:val="20"/>
              </w:rPr>
              <w:t xml:space="preserve"> </w:t>
            </w:r>
          </w:p>
        </w:tc>
        <w:tc>
          <w:tcPr>
            <w:tcW w:w="3491" w:type="pct"/>
            <w:tcBorders>
              <w:top w:val="single" w:sz="4" w:space="0" w:color="auto"/>
              <w:left w:val="single" w:sz="4" w:space="0" w:color="auto"/>
              <w:bottom w:val="single" w:sz="4" w:space="0" w:color="auto"/>
              <w:right w:val="single" w:sz="4" w:space="0" w:color="auto"/>
            </w:tcBorders>
            <w:hideMark/>
          </w:tcPr>
          <w:p w14:paraId="0AE2B319" w14:textId="77777777" w:rsidR="00FA6F0D" w:rsidRPr="00A9330B" w:rsidRDefault="00FA6F0D" w:rsidP="000F7BA7">
            <w:pPr>
              <w:spacing w:before="40" w:line="240" w:lineRule="auto"/>
              <w:jc w:val="both"/>
              <w:rPr>
                <w:rFonts w:cs="Arial"/>
                <w:color w:val="auto"/>
                <w:sz w:val="20"/>
                <w:szCs w:val="20"/>
              </w:rPr>
            </w:pPr>
            <w:r w:rsidRPr="00A9330B">
              <w:rPr>
                <w:rFonts w:cs="Arial"/>
                <w:color w:val="auto"/>
                <w:sz w:val="20"/>
                <w:szCs w:val="20"/>
              </w:rPr>
              <w:t xml:space="preserve">Suivi de la mise en œuvre des activités du PGES par dérogation </w:t>
            </w:r>
          </w:p>
          <w:p w14:paraId="35FD7570" w14:textId="77777777" w:rsidR="00FA6F0D" w:rsidRPr="00A9330B" w:rsidRDefault="00FA6F0D" w:rsidP="000F7BA7">
            <w:pPr>
              <w:spacing w:before="40" w:line="240" w:lineRule="auto"/>
              <w:jc w:val="both"/>
              <w:rPr>
                <w:rFonts w:cs="Arial"/>
                <w:color w:val="auto"/>
                <w:sz w:val="20"/>
                <w:szCs w:val="20"/>
              </w:rPr>
            </w:pPr>
            <w:r w:rsidRPr="00A9330B">
              <w:rPr>
                <w:rFonts w:cs="Arial"/>
                <w:color w:val="auto"/>
                <w:sz w:val="20"/>
                <w:szCs w:val="20"/>
              </w:rPr>
              <w:t xml:space="preserve">Vérification de conformité </w:t>
            </w:r>
          </w:p>
          <w:p w14:paraId="578F1BBC" w14:textId="77777777" w:rsidR="00FA6F0D" w:rsidRPr="00A9330B" w:rsidRDefault="00FA6F0D" w:rsidP="000F7BA7">
            <w:pPr>
              <w:spacing w:before="40" w:line="240" w:lineRule="auto"/>
              <w:jc w:val="both"/>
              <w:rPr>
                <w:rFonts w:cs="Arial"/>
                <w:color w:val="auto"/>
                <w:sz w:val="20"/>
                <w:szCs w:val="20"/>
              </w:rPr>
            </w:pPr>
            <w:r w:rsidRPr="00A9330B">
              <w:rPr>
                <w:rFonts w:cs="Arial"/>
                <w:color w:val="auto"/>
                <w:sz w:val="20"/>
                <w:szCs w:val="20"/>
              </w:rPr>
              <w:t xml:space="preserve">Efficacité des mesures proposées </w:t>
            </w:r>
          </w:p>
          <w:p w14:paraId="2827D12B" w14:textId="77777777" w:rsidR="00FA6F0D" w:rsidRPr="00A9330B" w:rsidRDefault="00FA6F0D" w:rsidP="000F7BA7">
            <w:pPr>
              <w:spacing w:before="40" w:line="240" w:lineRule="auto"/>
              <w:jc w:val="both"/>
              <w:rPr>
                <w:rFonts w:cs="Arial"/>
                <w:color w:val="auto"/>
                <w:sz w:val="20"/>
                <w:szCs w:val="20"/>
              </w:rPr>
            </w:pPr>
            <w:r w:rsidRPr="00A9330B">
              <w:rPr>
                <w:rFonts w:cs="Arial"/>
                <w:color w:val="auto"/>
                <w:sz w:val="20"/>
                <w:szCs w:val="20"/>
              </w:rPr>
              <w:t xml:space="preserve">Arbitrage dans la gestion des plaintes </w:t>
            </w:r>
          </w:p>
        </w:tc>
      </w:tr>
    </w:tbl>
    <w:p w14:paraId="17A180C2" w14:textId="7B4EBE25" w:rsidR="00FA6F0D" w:rsidRPr="00A9330B" w:rsidRDefault="00FA6F0D" w:rsidP="00AD5193">
      <w:pPr>
        <w:spacing w:after="120" w:line="312" w:lineRule="auto"/>
        <w:rPr>
          <w:rFonts w:cs="Arial"/>
        </w:rPr>
      </w:pPr>
    </w:p>
    <w:p w14:paraId="0B98FAA2" w14:textId="29D53FBC" w:rsidR="00AD5193" w:rsidRPr="00A9330B" w:rsidRDefault="00AD5193" w:rsidP="00AD5193">
      <w:pPr>
        <w:spacing w:after="120" w:line="312" w:lineRule="auto"/>
        <w:rPr>
          <w:rFonts w:cs="Arial"/>
        </w:rPr>
      </w:pPr>
      <w:r w:rsidRPr="00A9330B">
        <w:rPr>
          <w:rFonts w:cs="Arial"/>
        </w:rPr>
        <w:t xml:space="preserve">. </w:t>
      </w:r>
      <w:r w:rsidRPr="00A9330B">
        <w:rPr>
          <w:b/>
        </w:rPr>
        <w:br w:type="page"/>
      </w:r>
    </w:p>
    <w:p w14:paraId="06D3C464" w14:textId="77777777" w:rsidR="00AD5193" w:rsidRPr="00A9330B" w:rsidRDefault="00AD5193" w:rsidP="00AD5193">
      <w:pPr>
        <w:rPr>
          <w:b/>
        </w:rPr>
        <w:sectPr w:rsidR="00AD5193" w:rsidRPr="00A9330B" w:rsidSect="00AD5193">
          <w:pgSz w:w="11906" w:h="16838"/>
          <w:pgMar w:top="993" w:right="1133" w:bottom="1134" w:left="1418" w:header="709" w:footer="372" w:gutter="0"/>
          <w:pgNumType w:fmt="lowerRoman"/>
          <w:cols w:space="708"/>
          <w:docGrid w:linePitch="360"/>
        </w:sectPr>
      </w:pPr>
    </w:p>
    <w:p w14:paraId="0521D1E6" w14:textId="4D25D50F" w:rsidR="00AD5193" w:rsidRDefault="00002D78" w:rsidP="00AD5193">
      <w:pPr>
        <w:spacing w:after="120"/>
        <w:rPr>
          <w:b/>
        </w:rPr>
      </w:pPr>
      <w:r w:rsidRPr="00A9330B">
        <w:rPr>
          <w:b/>
        </w:rPr>
        <w:lastRenderedPageBreak/>
        <w:t xml:space="preserve">Tableau VIII :  </w:t>
      </w:r>
      <w:r w:rsidR="00AD5193" w:rsidRPr="00A9330B">
        <w:rPr>
          <w:b/>
        </w:rPr>
        <w:t xml:space="preserve">Matrice du PGES </w:t>
      </w:r>
    </w:p>
    <w:tbl>
      <w:tblPr>
        <w:tblW w:w="4904" w:type="pct"/>
        <w:tblInd w:w="274" w:type="dxa"/>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CellMar>
          <w:left w:w="70" w:type="dxa"/>
          <w:right w:w="70" w:type="dxa"/>
        </w:tblCellMar>
        <w:tblLook w:val="04A0" w:firstRow="1" w:lastRow="0" w:firstColumn="1" w:lastColumn="0" w:noHBand="0" w:noVBand="1"/>
      </w:tblPr>
      <w:tblGrid>
        <w:gridCol w:w="2871"/>
        <w:gridCol w:w="2640"/>
        <w:gridCol w:w="1836"/>
        <w:gridCol w:w="1893"/>
        <w:gridCol w:w="2585"/>
        <w:gridCol w:w="2585"/>
      </w:tblGrid>
      <w:tr w:rsidR="00CB4E93" w:rsidRPr="00A9330B" w14:paraId="0C0A2DF7" w14:textId="77777777" w:rsidTr="00CB4E93">
        <w:trPr>
          <w:trHeight w:val="182"/>
          <w:tblHeader/>
        </w:trPr>
        <w:tc>
          <w:tcPr>
            <w:tcW w:w="996" w:type="pct"/>
            <w:vMerge w:val="restart"/>
            <w:tcBorders>
              <w:top w:val="single" w:sz="8" w:space="0" w:color="auto"/>
              <w:left w:val="single" w:sz="8" w:space="0" w:color="auto"/>
              <w:bottom w:val="single" w:sz="6" w:space="0" w:color="auto"/>
              <w:right w:val="single" w:sz="6" w:space="0" w:color="auto"/>
            </w:tcBorders>
            <w:shd w:val="clear" w:color="auto" w:fill="DBE5F1"/>
            <w:hideMark/>
          </w:tcPr>
          <w:p w14:paraId="65BC3E7C" w14:textId="77777777" w:rsidR="00CB4E93" w:rsidRPr="00A9330B" w:rsidRDefault="00CB4E93" w:rsidP="00CB4E93">
            <w:pPr>
              <w:widowControl w:val="0"/>
              <w:spacing w:before="60" w:line="240" w:lineRule="auto"/>
              <w:jc w:val="center"/>
              <w:rPr>
                <w:rFonts w:eastAsia="Times New Roman" w:cs="Arial"/>
                <w:b/>
                <w:color w:val="auto"/>
                <w:sz w:val="18"/>
                <w:szCs w:val="18"/>
              </w:rPr>
            </w:pPr>
            <w:r w:rsidRPr="00A9330B">
              <w:rPr>
                <w:rFonts w:eastAsia="Calibri" w:cs="Arial"/>
                <w:b/>
                <w:color w:val="auto"/>
                <w:sz w:val="18"/>
                <w:szCs w:val="18"/>
              </w:rPr>
              <w:t>ACTIVITES</w:t>
            </w:r>
          </w:p>
        </w:tc>
        <w:tc>
          <w:tcPr>
            <w:tcW w:w="916" w:type="pct"/>
            <w:vMerge w:val="restart"/>
            <w:tcBorders>
              <w:top w:val="single" w:sz="8" w:space="0" w:color="auto"/>
              <w:left w:val="single" w:sz="6" w:space="0" w:color="auto"/>
              <w:bottom w:val="single" w:sz="6" w:space="0" w:color="auto"/>
              <w:right w:val="single" w:sz="6" w:space="0" w:color="auto"/>
            </w:tcBorders>
            <w:shd w:val="clear" w:color="auto" w:fill="DBE5F1"/>
            <w:hideMark/>
          </w:tcPr>
          <w:p w14:paraId="01B5F63D" w14:textId="77777777" w:rsidR="00CB4E93" w:rsidRPr="00A9330B" w:rsidRDefault="00CB4E93" w:rsidP="00CB4E93">
            <w:pPr>
              <w:widowControl w:val="0"/>
              <w:spacing w:before="60" w:line="240" w:lineRule="auto"/>
              <w:jc w:val="center"/>
              <w:rPr>
                <w:rFonts w:eastAsia="Calibri" w:cs="Arial"/>
                <w:b/>
                <w:color w:val="auto"/>
                <w:sz w:val="18"/>
                <w:szCs w:val="18"/>
              </w:rPr>
            </w:pPr>
            <w:r w:rsidRPr="00A9330B">
              <w:rPr>
                <w:rFonts w:eastAsia="Calibri" w:cs="Arial"/>
                <w:b/>
                <w:color w:val="auto"/>
                <w:sz w:val="18"/>
                <w:szCs w:val="18"/>
              </w:rPr>
              <w:t>INDICATEURS DE SUIVI</w:t>
            </w:r>
          </w:p>
        </w:tc>
        <w:tc>
          <w:tcPr>
            <w:tcW w:w="637" w:type="pct"/>
            <w:vMerge w:val="restart"/>
            <w:tcBorders>
              <w:top w:val="single" w:sz="8" w:space="0" w:color="auto"/>
              <w:left w:val="single" w:sz="6" w:space="0" w:color="auto"/>
              <w:bottom w:val="single" w:sz="6" w:space="0" w:color="auto"/>
              <w:right w:val="single" w:sz="6" w:space="0" w:color="auto"/>
            </w:tcBorders>
            <w:shd w:val="clear" w:color="auto" w:fill="DBE5F1"/>
            <w:hideMark/>
          </w:tcPr>
          <w:p w14:paraId="3CB437CF" w14:textId="77777777" w:rsidR="00CB4E93" w:rsidRPr="00A9330B" w:rsidRDefault="00CB4E93" w:rsidP="00CB4E93">
            <w:pPr>
              <w:widowControl w:val="0"/>
              <w:spacing w:before="60" w:line="240" w:lineRule="auto"/>
              <w:jc w:val="center"/>
              <w:rPr>
                <w:rFonts w:eastAsia="Calibri" w:cs="Arial"/>
                <w:b/>
                <w:color w:val="auto"/>
                <w:sz w:val="18"/>
                <w:szCs w:val="18"/>
              </w:rPr>
            </w:pPr>
            <w:r w:rsidRPr="00A9330B">
              <w:rPr>
                <w:rFonts w:eastAsia="Calibri" w:cs="Arial"/>
                <w:b/>
                <w:color w:val="auto"/>
                <w:sz w:val="18"/>
                <w:szCs w:val="18"/>
              </w:rPr>
              <w:t>PHASE DU PROJET</w:t>
            </w:r>
          </w:p>
        </w:tc>
        <w:tc>
          <w:tcPr>
            <w:tcW w:w="1554" w:type="pct"/>
            <w:gridSpan w:val="2"/>
            <w:tcBorders>
              <w:top w:val="single" w:sz="8" w:space="0" w:color="auto"/>
              <w:left w:val="single" w:sz="6" w:space="0" w:color="auto"/>
              <w:bottom w:val="single" w:sz="6" w:space="0" w:color="auto"/>
              <w:right w:val="single" w:sz="8" w:space="0" w:color="auto"/>
            </w:tcBorders>
            <w:shd w:val="clear" w:color="auto" w:fill="DBE5F1"/>
            <w:hideMark/>
          </w:tcPr>
          <w:p w14:paraId="68CDDC23" w14:textId="77777777" w:rsidR="00CB4E93" w:rsidRPr="00A9330B" w:rsidRDefault="00CB4E93" w:rsidP="00CB4E93">
            <w:pPr>
              <w:widowControl w:val="0"/>
              <w:spacing w:before="60" w:line="240" w:lineRule="auto"/>
              <w:jc w:val="center"/>
              <w:rPr>
                <w:rFonts w:eastAsia="Calibri" w:cs="Arial"/>
                <w:b/>
                <w:color w:val="auto"/>
                <w:sz w:val="18"/>
                <w:szCs w:val="18"/>
              </w:rPr>
            </w:pPr>
            <w:r w:rsidRPr="00A9330B">
              <w:rPr>
                <w:rFonts w:eastAsia="Calibri" w:cs="Arial"/>
                <w:b/>
                <w:color w:val="auto"/>
                <w:sz w:val="18"/>
                <w:szCs w:val="18"/>
              </w:rPr>
              <w:t>RESPONSABLE</w:t>
            </w:r>
          </w:p>
        </w:tc>
        <w:tc>
          <w:tcPr>
            <w:tcW w:w="897" w:type="pct"/>
            <w:tcBorders>
              <w:top w:val="single" w:sz="8" w:space="0" w:color="auto"/>
              <w:left w:val="single" w:sz="6" w:space="0" w:color="auto"/>
              <w:bottom w:val="single" w:sz="6" w:space="0" w:color="auto"/>
              <w:right w:val="single" w:sz="8" w:space="0" w:color="auto"/>
            </w:tcBorders>
            <w:shd w:val="clear" w:color="auto" w:fill="DBE5F1"/>
          </w:tcPr>
          <w:p w14:paraId="3C8316B0" w14:textId="77777777" w:rsidR="00CB4E93" w:rsidRPr="00A9330B" w:rsidRDefault="00CB4E93" w:rsidP="00CB4E93">
            <w:pPr>
              <w:widowControl w:val="0"/>
              <w:spacing w:before="60" w:line="240" w:lineRule="auto"/>
              <w:rPr>
                <w:rFonts w:eastAsia="Calibri" w:cs="Arial"/>
                <w:b/>
                <w:color w:val="auto"/>
                <w:sz w:val="18"/>
                <w:szCs w:val="18"/>
              </w:rPr>
            </w:pPr>
            <w:r w:rsidRPr="00A9330B">
              <w:rPr>
                <w:rFonts w:eastAsia="Calibri" w:cs="Arial"/>
                <w:b/>
                <w:color w:val="auto"/>
                <w:sz w:val="18"/>
                <w:szCs w:val="18"/>
              </w:rPr>
              <w:t xml:space="preserve">COUT DES ACTIVITES </w:t>
            </w:r>
          </w:p>
        </w:tc>
      </w:tr>
      <w:tr w:rsidR="00CB4E93" w:rsidRPr="00A9330B" w14:paraId="64B95B8A" w14:textId="77777777" w:rsidTr="00CB4E93">
        <w:trPr>
          <w:trHeight w:val="340"/>
          <w:tblHeader/>
        </w:trPr>
        <w:tc>
          <w:tcPr>
            <w:tcW w:w="996" w:type="pct"/>
            <w:vMerge/>
            <w:tcBorders>
              <w:top w:val="single" w:sz="8" w:space="0" w:color="auto"/>
              <w:left w:val="single" w:sz="8" w:space="0" w:color="auto"/>
              <w:bottom w:val="single" w:sz="6" w:space="0" w:color="auto"/>
              <w:right w:val="single" w:sz="6" w:space="0" w:color="auto"/>
            </w:tcBorders>
            <w:vAlign w:val="center"/>
            <w:hideMark/>
          </w:tcPr>
          <w:p w14:paraId="7D920FE7" w14:textId="77777777" w:rsidR="00CB4E93" w:rsidRPr="00A9330B" w:rsidRDefault="00CB4E93" w:rsidP="00CB4E93">
            <w:pPr>
              <w:widowControl w:val="0"/>
              <w:spacing w:before="60" w:line="240" w:lineRule="auto"/>
              <w:jc w:val="both"/>
              <w:rPr>
                <w:rFonts w:eastAsia="Times New Roman" w:cs="Arial"/>
                <w:b/>
                <w:color w:val="auto"/>
                <w:sz w:val="18"/>
                <w:szCs w:val="18"/>
              </w:rPr>
            </w:pPr>
          </w:p>
        </w:tc>
        <w:tc>
          <w:tcPr>
            <w:tcW w:w="916" w:type="pct"/>
            <w:vMerge/>
            <w:tcBorders>
              <w:top w:val="single" w:sz="8" w:space="0" w:color="auto"/>
              <w:left w:val="single" w:sz="6" w:space="0" w:color="auto"/>
              <w:bottom w:val="single" w:sz="6" w:space="0" w:color="auto"/>
              <w:right w:val="single" w:sz="6" w:space="0" w:color="auto"/>
            </w:tcBorders>
            <w:vAlign w:val="center"/>
            <w:hideMark/>
          </w:tcPr>
          <w:p w14:paraId="67791371" w14:textId="77777777" w:rsidR="00CB4E93" w:rsidRPr="00A9330B" w:rsidRDefault="00CB4E93" w:rsidP="00CB4E93">
            <w:pPr>
              <w:widowControl w:val="0"/>
              <w:spacing w:before="60" w:line="240" w:lineRule="auto"/>
              <w:jc w:val="both"/>
              <w:rPr>
                <w:rFonts w:eastAsia="Calibri" w:cs="Arial"/>
                <w:b/>
                <w:color w:val="auto"/>
                <w:sz w:val="18"/>
                <w:szCs w:val="18"/>
              </w:rPr>
            </w:pPr>
          </w:p>
        </w:tc>
        <w:tc>
          <w:tcPr>
            <w:tcW w:w="637" w:type="pct"/>
            <w:vMerge/>
            <w:tcBorders>
              <w:top w:val="single" w:sz="8" w:space="0" w:color="auto"/>
              <w:left w:val="single" w:sz="6" w:space="0" w:color="auto"/>
              <w:bottom w:val="single" w:sz="6" w:space="0" w:color="auto"/>
              <w:right w:val="single" w:sz="6" w:space="0" w:color="auto"/>
            </w:tcBorders>
            <w:vAlign w:val="center"/>
            <w:hideMark/>
          </w:tcPr>
          <w:p w14:paraId="2AEBC013" w14:textId="77777777" w:rsidR="00CB4E93" w:rsidRPr="00A9330B" w:rsidRDefault="00CB4E93" w:rsidP="00CB4E93">
            <w:pPr>
              <w:widowControl w:val="0"/>
              <w:spacing w:before="60" w:line="240" w:lineRule="auto"/>
              <w:jc w:val="center"/>
              <w:rPr>
                <w:rFonts w:eastAsia="Calibri" w:cs="Arial"/>
                <w:b/>
                <w:color w:val="auto"/>
                <w:sz w:val="18"/>
                <w:szCs w:val="18"/>
              </w:rPr>
            </w:pPr>
          </w:p>
        </w:tc>
        <w:tc>
          <w:tcPr>
            <w:tcW w:w="657" w:type="pct"/>
            <w:tcBorders>
              <w:top w:val="single" w:sz="6" w:space="0" w:color="auto"/>
              <w:left w:val="single" w:sz="6" w:space="0" w:color="auto"/>
              <w:bottom w:val="single" w:sz="6" w:space="0" w:color="auto"/>
              <w:right w:val="single" w:sz="6" w:space="0" w:color="auto"/>
            </w:tcBorders>
            <w:shd w:val="clear" w:color="auto" w:fill="DBE5F1"/>
            <w:hideMark/>
          </w:tcPr>
          <w:p w14:paraId="31347391" w14:textId="77777777" w:rsidR="00CB4E93" w:rsidRPr="00A9330B" w:rsidRDefault="00CB4E93" w:rsidP="00CB4E93">
            <w:pPr>
              <w:widowControl w:val="0"/>
              <w:spacing w:before="60" w:line="240" w:lineRule="auto"/>
              <w:rPr>
                <w:rFonts w:eastAsia="Calibri" w:cs="Arial"/>
                <w:b/>
                <w:color w:val="auto"/>
                <w:sz w:val="18"/>
                <w:szCs w:val="18"/>
              </w:rPr>
            </w:pPr>
            <w:r w:rsidRPr="00A9330B">
              <w:rPr>
                <w:rFonts w:cs="Arial"/>
                <w:b/>
                <w:color w:val="auto"/>
                <w:sz w:val="18"/>
                <w:szCs w:val="18"/>
              </w:rPr>
              <w:t xml:space="preserve">SURVEILLANCE </w:t>
            </w:r>
          </w:p>
        </w:tc>
        <w:tc>
          <w:tcPr>
            <w:tcW w:w="897" w:type="pct"/>
            <w:tcBorders>
              <w:top w:val="single" w:sz="6" w:space="0" w:color="auto"/>
              <w:left w:val="single" w:sz="6" w:space="0" w:color="auto"/>
              <w:bottom w:val="single" w:sz="6" w:space="0" w:color="auto"/>
              <w:right w:val="single" w:sz="8" w:space="0" w:color="auto"/>
            </w:tcBorders>
            <w:shd w:val="clear" w:color="auto" w:fill="DBE5F1"/>
            <w:hideMark/>
          </w:tcPr>
          <w:p w14:paraId="44425346" w14:textId="77777777" w:rsidR="00CB4E93" w:rsidRPr="00A9330B" w:rsidRDefault="00CB4E93" w:rsidP="00CB4E93">
            <w:pPr>
              <w:widowControl w:val="0"/>
              <w:spacing w:before="60" w:line="240" w:lineRule="auto"/>
              <w:rPr>
                <w:rFonts w:eastAsia="Calibri" w:cs="Arial"/>
                <w:b/>
                <w:color w:val="auto"/>
                <w:sz w:val="18"/>
                <w:szCs w:val="18"/>
              </w:rPr>
            </w:pPr>
            <w:r w:rsidRPr="00A9330B">
              <w:rPr>
                <w:rFonts w:eastAsia="Calibri" w:cs="Arial"/>
                <w:b/>
                <w:color w:val="auto"/>
                <w:sz w:val="18"/>
                <w:szCs w:val="18"/>
              </w:rPr>
              <w:t>SUIVI</w:t>
            </w:r>
          </w:p>
        </w:tc>
        <w:tc>
          <w:tcPr>
            <w:tcW w:w="897" w:type="pct"/>
            <w:tcBorders>
              <w:top w:val="single" w:sz="6" w:space="0" w:color="auto"/>
              <w:left w:val="single" w:sz="6" w:space="0" w:color="auto"/>
              <w:bottom w:val="single" w:sz="6" w:space="0" w:color="auto"/>
              <w:right w:val="single" w:sz="8" w:space="0" w:color="auto"/>
            </w:tcBorders>
            <w:shd w:val="clear" w:color="auto" w:fill="DBE5F1"/>
          </w:tcPr>
          <w:p w14:paraId="3F8176DA" w14:textId="77777777" w:rsidR="00CB4E93" w:rsidRPr="00A9330B" w:rsidRDefault="00CB4E93" w:rsidP="00CB4E93">
            <w:pPr>
              <w:widowControl w:val="0"/>
              <w:spacing w:before="60" w:line="240" w:lineRule="auto"/>
              <w:rPr>
                <w:rFonts w:eastAsia="Calibri" w:cs="Arial"/>
                <w:b/>
                <w:color w:val="auto"/>
                <w:sz w:val="18"/>
                <w:szCs w:val="18"/>
              </w:rPr>
            </w:pPr>
          </w:p>
        </w:tc>
      </w:tr>
      <w:tr w:rsidR="00CB4E93" w:rsidRPr="00A9330B" w14:paraId="546AE4F7" w14:textId="77777777" w:rsidTr="00CB4E93">
        <w:trPr>
          <w:trHeight w:val="992"/>
        </w:trPr>
        <w:tc>
          <w:tcPr>
            <w:tcW w:w="996" w:type="pct"/>
            <w:tcBorders>
              <w:top w:val="single" w:sz="6" w:space="0" w:color="auto"/>
              <w:left w:val="single" w:sz="8" w:space="0" w:color="auto"/>
              <w:bottom w:val="single" w:sz="6" w:space="0" w:color="auto"/>
              <w:right w:val="single" w:sz="6" w:space="0" w:color="auto"/>
            </w:tcBorders>
          </w:tcPr>
          <w:p w14:paraId="35F9AEE0" w14:textId="77777777" w:rsidR="00CB4E93" w:rsidRPr="00A9330B" w:rsidRDefault="00CB4E93" w:rsidP="00CB4E93">
            <w:pPr>
              <w:widowControl w:val="0"/>
              <w:spacing w:before="60" w:line="240" w:lineRule="auto"/>
              <w:jc w:val="both"/>
              <w:rPr>
                <w:rFonts w:eastAsia="Calibri" w:cs="Arial"/>
                <w:color w:val="auto"/>
                <w:sz w:val="18"/>
                <w:szCs w:val="18"/>
              </w:rPr>
            </w:pPr>
            <w:r w:rsidRPr="00A9330B">
              <w:rPr>
                <w:rFonts w:eastAsia="Calibri" w:cs="Arial"/>
                <w:color w:val="auto"/>
                <w:sz w:val="18"/>
                <w:szCs w:val="18"/>
              </w:rPr>
              <w:t xml:space="preserve">1.1.b.1.1. ; 2.8.b.2.1 ; </w:t>
            </w:r>
          </w:p>
          <w:p w14:paraId="46B696E0" w14:textId="77777777" w:rsidR="00CB4E93" w:rsidRPr="00A9330B" w:rsidRDefault="00CB4E93" w:rsidP="00CB4E93">
            <w:pPr>
              <w:widowControl w:val="0"/>
              <w:spacing w:before="60" w:line="240" w:lineRule="auto"/>
              <w:jc w:val="both"/>
              <w:rPr>
                <w:rFonts w:eastAsia="Calibri" w:cs="Arial"/>
                <w:color w:val="auto"/>
                <w:sz w:val="18"/>
                <w:szCs w:val="18"/>
                <w:lang w:eastAsia="fr-FR"/>
              </w:rPr>
            </w:pPr>
            <w:r w:rsidRPr="00A9330B">
              <w:rPr>
                <w:rFonts w:eastAsia="Calibri" w:cs="Arial"/>
                <w:color w:val="auto"/>
                <w:sz w:val="18"/>
                <w:szCs w:val="18"/>
              </w:rPr>
              <w:t>Donner priorité à la main d’œuvre locale à compétence égale</w:t>
            </w:r>
          </w:p>
        </w:tc>
        <w:tc>
          <w:tcPr>
            <w:tcW w:w="916" w:type="pct"/>
            <w:tcBorders>
              <w:top w:val="single" w:sz="6" w:space="0" w:color="auto"/>
              <w:left w:val="single" w:sz="6" w:space="0" w:color="auto"/>
              <w:bottom w:val="single" w:sz="6" w:space="0" w:color="auto"/>
              <w:right w:val="single" w:sz="6" w:space="0" w:color="auto"/>
            </w:tcBorders>
          </w:tcPr>
          <w:p w14:paraId="65C6DE7F" w14:textId="77777777" w:rsidR="00CB4E93" w:rsidRPr="00A9330B" w:rsidRDefault="00CB4E93" w:rsidP="00CB4E93">
            <w:pPr>
              <w:widowControl w:val="0"/>
              <w:autoSpaceDE w:val="0"/>
              <w:autoSpaceDN w:val="0"/>
              <w:adjustRightInd w:val="0"/>
              <w:spacing w:before="60" w:line="240" w:lineRule="auto"/>
              <w:jc w:val="both"/>
              <w:rPr>
                <w:rFonts w:eastAsia="Calibri" w:cs="Arial"/>
                <w:color w:val="auto"/>
                <w:sz w:val="18"/>
                <w:szCs w:val="18"/>
              </w:rPr>
            </w:pPr>
            <w:r w:rsidRPr="00A9330B">
              <w:rPr>
                <w:rFonts w:eastAsia="Calibri" w:cs="Arial"/>
                <w:color w:val="auto"/>
                <w:sz w:val="18"/>
                <w:szCs w:val="18"/>
              </w:rPr>
              <w:t xml:space="preserve">50 % au moins d’ouvriers et manœuvres locaux recrutés </w:t>
            </w:r>
          </w:p>
          <w:p w14:paraId="1952A726" w14:textId="77777777" w:rsidR="00CB4E93" w:rsidRPr="00A9330B" w:rsidRDefault="00CB4E93" w:rsidP="00CB4E93">
            <w:pPr>
              <w:widowControl w:val="0"/>
              <w:autoSpaceDE w:val="0"/>
              <w:autoSpaceDN w:val="0"/>
              <w:adjustRightInd w:val="0"/>
              <w:spacing w:before="60" w:line="240" w:lineRule="auto"/>
              <w:jc w:val="both"/>
              <w:rPr>
                <w:rFonts w:eastAsia="Calibri" w:cs="Arial"/>
                <w:color w:val="auto"/>
                <w:sz w:val="18"/>
                <w:szCs w:val="18"/>
              </w:rPr>
            </w:pPr>
            <w:r w:rsidRPr="00A9330B">
              <w:rPr>
                <w:rFonts w:eastAsia="Calibri" w:cs="Arial"/>
                <w:color w:val="auto"/>
                <w:sz w:val="18"/>
                <w:szCs w:val="18"/>
              </w:rPr>
              <w:t>Nombre d’ouvriers locaux travaillant sur les chantiers</w:t>
            </w:r>
          </w:p>
        </w:tc>
        <w:tc>
          <w:tcPr>
            <w:tcW w:w="637" w:type="pct"/>
            <w:tcBorders>
              <w:top w:val="single" w:sz="6" w:space="0" w:color="auto"/>
              <w:left w:val="single" w:sz="6" w:space="0" w:color="auto"/>
              <w:bottom w:val="single" w:sz="6" w:space="0" w:color="auto"/>
              <w:right w:val="single" w:sz="6" w:space="0" w:color="auto"/>
            </w:tcBorders>
          </w:tcPr>
          <w:p w14:paraId="12E31DB2" w14:textId="77777777" w:rsidR="00CB4E93" w:rsidRPr="00A9330B" w:rsidRDefault="00CB4E93" w:rsidP="00CB4E93">
            <w:pPr>
              <w:widowControl w:val="0"/>
              <w:spacing w:before="60" w:line="240" w:lineRule="auto"/>
              <w:jc w:val="center"/>
              <w:rPr>
                <w:rFonts w:eastAsia="Calibri" w:cs="Arial"/>
                <w:color w:val="auto"/>
                <w:sz w:val="18"/>
                <w:szCs w:val="18"/>
              </w:rPr>
            </w:pPr>
            <w:r w:rsidRPr="00A9330B">
              <w:rPr>
                <w:rFonts w:eastAsia="Calibri" w:cs="Arial"/>
                <w:color w:val="auto"/>
                <w:sz w:val="18"/>
                <w:szCs w:val="18"/>
              </w:rPr>
              <w:t>Toutes les phases du projet</w:t>
            </w:r>
          </w:p>
        </w:tc>
        <w:tc>
          <w:tcPr>
            <w:tcW w:w="657" w:type="pct"/>
            <w:tcBorders>
              <w:top w:val="single" w:sz="6" w:space="0" w:color="auto"/>
              <w:left w:val="single" w:sz="6" w:space="0" w:color="auto"/>
              <w:bottom w:val="single" w:sz="6" w:space="0" w:color="auto"/>
              <w:right w:val="single" w:sz="6" w:space="0" w:color="auto"/>
            </w:tcBorders>
          </w:tcPr>
          <w:p w14:paraId="2DF6F4AE" w14:textId="77777777" w:rsidR="00CB4E93" w:rsidRPr="00A9330B" w:rsidRDefault="00CB4E93" w:rsidP="00CB4E93">
            <w:pPr>
              <w:widowControl w:val="0"/>
              <w:spacing w:before="60" w:line="240" w:lineRule="auto"/>
              <w:jc w:val="center"/>
              <w:rPr>
                <w:rFonts w:eastAsia="Calibri" w:cs="Arial"/>
                <w:color w:val="auto"/>
                <w:sz w:val="18"/>
                <w:szCs w:val="18"/>
              </w:rPr>
            </w:pPr>
            <w:r w:rsidRPr="00A9330B">
              <w:rPr>
                <w:rFonts w:eastAsia="Calibri" w:cs="Arial"/>
                <w:color w:val="auto"/>
                <w:sz w:val="18"/>
                <w:szCs w:val="18"/>
              </w:rPr>
              <w:t>MDC</w:t>
            </w:r>
          </w:p>
          <w:p w14:paraId="761587D5" w14:textId="77777777" w:rsidR="00CB4E93" w:rsidRPr="00A9330B" w:rsidRDefault="00CB4E93" w:rsidP="00CB4E93">
            <w:pPr>
              <w:widowControl w:val="0"/>
              <w:spacing w:before="60" w:line="240" w:lineRule="auto"/>
              <w:jc w:val="center"/>
              <w:rPr>
                <w:rFonts w:eastAsia="Calibri" w:cs="Arial"/>
                <w:color w:val="auto"/>
                <w:sz w:val="18"/>
                <w:szCs w:val="18"/>
              </w:rPr>
            </w:pPr>
            <w:r w:rsidRPr="00A9330B">
              <w:rPr>
                <w:rFonts w:eastAsia="Calibri" w:cs="Arial"/>
                <w:color w:val="auto"/>
                <w:sz w:val="18"/>
                <w:szCs w:val="18"/>
              </w:rPr>
              <w:t>Entreprise chargée des travaux</w:t>
            </w:r>
          </w:p>
        </w:tc>
        <w:tc>
          <w:tcPr>
            <w:tcW w:w="897" w:type="pct"/>
            <w:tcBorders>
              <w:top w:val="single" w:sz="6" w:space="0" w:color="auto"/>
              <w:left w:val="single" w:sz="6" w:space="0" w:color="auto"/>
              <w:bottom w:val="single" w:sz="6" w:space="0" w:color="auto"/>
              <w:right w:val="single" w:sz="8" w:space="0" w:color="auto"/>
            </w:tcBorders>
          </w:tcPr>
          <w:p w14:paraId="3308E14D" w14:textId="77777777" w:rsidR="00CB4E93" w:rsidRPr="00A9330B" w:rsidRDefault="00CB4E93" w:rsidP="00CB4E93">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t>Mairie de Natitingou</w:t>
            </w:r>
          </w:p>
          <w:p w14:paraId="76B8289A" w14:textId="77777777" w:rsidR="00CB4E93" w:rsidRPr="00A9330B" w:rsidRDefault="00CB4E93" w:rsidP="00CB4E93">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t>Direction Départementale du Cadre de Vie et du Développement Durable (DDCVDD- AD)</w:t>
            </w:r>
          </w:p>
        </w:tc>
        <w:tc>
          <w:tcPr>
            <w:tcW w:w="897" w:type="pct"/>
            <w:tcBorders>
              <w:top w:val="single" w:sz="6" w:space="0" w:color="auto"/>
              <w:left w:val="single" w:sz="6" w:space="0" w:color="auto"/>
              <w:bottom w:val="single" w:sz="6" w:space="0" w:color="auto"/>
              <w:right w:val="single" w:sz="8" w:space="0" w:color="auto"/>
            </w:tcBorders>
          </w:tcPr>
          <w:p w14:paraId="11FA8FCA" w14:textId="77777777" w:rsidR="00CB4E93" w:rsidRPr="00A9330B" w:rsidRDefault="00CB4E93" w:rsidP="00CB4E93">
            <w:pPr>
              <w:widowControl w:val="0"/>
              <w:autoSpaceDE w:val="0"/>
              <w:autoSpaceDN w:val="0"/>
              <w:adjustRightInd w:val="0"/>
              <w:spacing w:before="60" w:line="240" w:lineRule="auto"/>
              <w:jc w:val="center"/>
              <w:rPr>
                <w:rFonts w:eastAsia="Calibri" w:cs="Arial"/>
                <w:color w:val="auto"/>
                <w:sz w:val="18"/>
                <w:szCs w:val="18"/>
              </w:rPr>
            </w:pPr>
            <w:r w:rsidRPr="00A9330B">
              <w:rPr>
                <w:rFonts w:eastAsia="Calibri" w:cs="Arial"/>
                <w:color w:val="auto"/>
                <w:sz w:val="18"/>
                <w:szCs w:val="18"/>
              </w:rPr>
              <w:t>Aucun</w:t>
            </w:r>
          </w:p>
        </w:tc>
      </w:tr>
      <w:tr w:rsidR="00CB4E93" w:rsidRPr="00A9330B" w14:paraId="1750BE09" w14:textId="77777777" w:rsidTr="00CB4E93">
        <w:trPr>
          <w:trHeight w:val="1264"/>
        </w:trPr>
        <w:tc>
          <w:tcPr>
            <w:tcW w:w="996" w:type="pct"/>
            <w:tcBorders>
              <w:top w:val="single" w:sz="6" w:space="0" w:color="auto"/>
              <w:left w:val="single" w:sz="8" w:space="0" w:color="auto"/>
              <w:bottom w:val="single" w:sz="6" w:space="0" w:color="auto"/>
              <w:right w:val="single" w:sz="6" w:space="0" w:color="auto"/>
            </w:tcBorders>
          </w:tcPr>
          <w:p w14:paraId="23DEB47E" w14:textId="77777777" w:rsidR="00CB4E93" w:rsidRPr="00A9330B" w:rsidRDefault="00CB4E93" w:rsidP="00CB4E93">
            <w:pPr>
              <w:widowControl w:val="0"/>
              <w:tabs>
                <w:tab w:val="center" w:pos="1607"/>
              </w:tabs>
              <w:spacing w:before="60" w:line="240" w:lineRule="auto"/>
              <w:jc w:val="both"/>
              <w:rPr>
                <w:rFonts w:eastAsia="Calibri" w:cs="Arial"/>
                <w:color w:val="auto"/>
                <w:sz w:val="18"/>
                <w:szCs w:val="18"/>
              </w:rPr>
            </w:pPr>
            <w:r w:rsidRPr="00A9330B">
              <w:rPr>
                <w:rFonts w:eastAsia="Calibri" w:cs="Arial"/>
                <w:color w:val="auto"/>
                <w:sz w:val="18"/>
                <w:szCs w:val="18"/>
              </w:rPr>
              <w:t>1.1.b.2.1. ; 2.8.b.2.2. ; 3.2.b.1.1</w:t>
            </w:r>
            <w:r w:rsidRPr="00A9330B">
              <w:rPr>
                <w:rFonts w:eastAsia="Calibri" w:cs="Arial"/>
                <w:color w:val="auto"/>
                <w:sz w:val="18"/>
                <w:szCs w:val="18"/>
              </w:rPr>
              <w:tab/>
            </w:r>
          </w:p>
          <w:p w14:paraId="31BF1AAB" w14:textId="77777777" w:rsidR="00CB4E93" w:rsidRPr="00A9330B" w:rsidRDefault="00CB4E93" w:rsidP="00CB4E93">
            <w:pPr>
              <w:widowControl w:val="0"/>
              <w:spacing w:before="60" w:line="240" w:lineRule="auto"/>
              <w:jc w:val="both"/>
              <w:rPr>
                <w:rFonts w:eastAsia="Calibri" w:cs="Arial"/>
                <w:color w:val="auto"/>
                <w:sz w:val="18"/>
                <w:szCs w:val="18"/>
                <w:lang w:eastAsia="fr-FR"/>
              </w:rPr>
            </w:pPr>
            <w:r w:rsidRPr="00A9330B">
              <w:rPr>
                <w:rFonts w:eastAsia="Calibri" w:cs="Arial"/>
                <w:color w:val="auto"/>
                <w:sz w:val="18"/>
                <w:szCs w:val="18"/>
              </w:rPr>
              <w:t xml:space="preserve">Faire la promotion des prestataires locaux </w:t>
            </w:r>
          </w:p>
        </w:tc>
        <w:tc>
          <w:tcPr>
            <w:tcW w:w="916" w:type="pct"/>
            <w:tcBorders>
              <w:top w:val="single" w:sz="6" w:space="0" w:color="auto"/>
              <w:left w:val="single" w:sz="6" w:space="0" w:color="auto"/>
              <w:bottom w:val="single" w:sz="6" w:space="0" w:color="auto"/>
              <w:right w:val="single" w:sz="6" w:space="0" w:color="auto"/>
            </w:tcBorders>
          </w:tcPr>
          <w:p w14:paraId="0B6EE43F" w14:textId="77777777" w:rsidR="00CB4E93" w:rsidRPr="00A9330B" w:rsidRDefault="00CB4E93" w:rsidP="00CB4E93">
            <w:pPr>
              <w:widowControl w:val="0"/>
              <w:autoSpaceDE w:val="0"/>
              <w:autoSpaceDN w:val="0"/>
              <w:adjustRightInd w:val="0"/>
              <w:spacing w:before="60" w:line="240" w:lineRule="auto"/>
              <w:jc w:val="both"/>
              <w:rPr>
                <w:rFonts w:eastAsia="Calibri" w:cs="Arial"/>
                <w:color w:val="auto"/>
                <w:sz w:val="18"/>
                <w:szCs w:val="18"/>
              </w:rPr>
            </w:pPr>
            <w:r w:rsidRPr="00A9330B">
              <w:rPr>
                <w:rFonts w:eastAsia="Calibri" w:cs="Arial"/>
                <w:color w:val="auto"/>
                <w:sz w:val="18"/>
                <w:szCs w:val="18"/>
              </w:rPr>
              <w:t>50 % au moins de prestataires et sous-traitants locaux recrutés sur les chantiers</w:t>
            </w:r>
          </w:p>
          <w:p w14:paraId="3836FB5C" w14:textId="77777777" w:rsidR="00CB4E93" w:rsidRPr="00A9330B" w:rsidRDefault="00CB4E93" w:rsidP="00CB4E93">
            <w:pPr>
              <w:widowControl w:val="0"/>
              <w:spacing w:before="60" w:line="240" w:lineRule="auto"/>
              <w:jc w:val="both"/>
              <w:rPr>
                <w:rFonts w:eastAsia="Calibri" w:cs="Arial"/>
                <w:color w:val="auto"/>
                <w:sz w:val="18"/>
                <w:szCs w:val="18"/>
              </w:rPr>
            </w:pPr>
          </w:p>
        </w:tc>
        <w:tc>
          <w:tcPr>
            <w:tcW w:w="637" w:type="pct"/>
            <w:tcBorders>
              <w:top w:val="single" w:sz="6" w:space="0" w:color="auto"/>
              <w:left w:val="single" w:sz="6" w:space="0" w:color="auto"/>
              <w:bottom w:val="single" w:sz="6" w:space="0" w:color="auto"/>
              <w:right w:val="single" w:sz="6" w:space="0" w:color="auto"/>
            </w:tcBorders>
          </w:tcPr>
          <w:p w14:paraId="3055D449" w14:textId="77777777" w:rsidR="00CB4E93" w:rsidRPr="00A9330B" w:rsidRDefault="00CB4E93" w:rsidP="00CB4E93">
            <w:pPr>
              <w:widowControl w:val="0"/>
              <w:spacing w:before="60" w:line="240" w:lineRule="auto"/>
              <w:jc w:val="center"/>
              <w:rPr>
                <w:rFonts w:eastAsia="Calibri" w:cs="Arial"/>
                <w:color w:val="auto"/>
                <w:sz w:val="18"/>
                <w:szCs w:val="18"/>
              </w:rPr>
            </w:pPr>
            <w:r w:rsidRPr="00A9330B">
              <w:rPr>
                <w:rFonts w:eastAsia="Calibri" w:cs="Arial"/>
                <w:color w:val="auto"/>
                <w:sz w:val="18"/>
                <w:szCs w:val="18"/>
              </w:rPr>
              <w:t>Toutes les phases du projet</w:t>
            </w:r>
          </w:p>
        </w:tc>
        <w:tc>
          <w:tcPr>
            <w:tcW w:w="657" w:type="pct"/>
            <w:tcBorders>
              <w:top w:val="single" w:sz="6" w:space="0" w:color="auto"/>
              <w:left w:val="single" w:sz="6" w:space="0" w:color="auto"/>
              <w:bottom w:val="single" w:sz="6" w:space="0" w:color="auto"/>
              <w:right w:val="single" w:sz="6" w:space="0" w:color="auto"/>
            </w:tcBorders>
          </w:tcPr>
          <w:p w14:paraId="67BDC285" w14:textId="77777777" w:rsidR="00CB4E93" w:rsidRPr="00A9330B" w:rsidRDefault="00CB4E93" w:rsidP="00CB4E93">
            <w:pPr>
              <w:widowControl w:val="0"/>
              <w:spacing w:before="60" w:line="240" w:lineRule="auto"/>
              <w:jc w:val="center"/>
              <w:rPr>
                <w:rFonts w:eastAsia="Calibri" w:cs="Arial"/>
                <w:color w:val="auto"/>
                <w:sz w:val="18"/>
                <w:szCs w:val="18"/>
              </w:rPr>
            </w:pPr>
            <w:r w:rsidRPr="00A9330B">
              <w:rPr>
                <w:rFonts w:eastAsia="Calibri" w:cs="Arial"/>
                <w:color w:val="auto"/>
                <w:sz w:val="18"/>
                <w:szCs w:val="18"/>
              </w:rPr>
              <w:t>MDC</w:t>
            </w:r>
          </w:p>
          <w:p w14:paraId="75DC4586" w14:textId="77777777" w:rsidR="00CB4E93" w:rsidRPr="00A9330B" w:rsidRDefault="00CB4E93" w:rsidP="00CB4E93">
            <w:pPr>
              <w:widowControl w:val="0"/>
              <w:spacing w:before="60" w:line="240" w:lineRule="auto"/>
              <w:jc w:val="center"/>
              <w:rPr>
                <w:rFonts w:eastAsia="Calibri" w:cs="Arial"/>
                <w:color w:val="auto"/>
                <w:sz w:val="18"/>
                <w:szCs w:val="18"/>
              </w:rPr>
            </w:pPr>
            <w:r w:rsidRPr="00A9330B">
              <w:rPr>
                <w:rFonts w:eastAsia="Calibri" w:cs="Arial"/>
                <w:color w:val="auto"/>
                <w:sz w:val="18"/>
                <w:szCs w:val="18"/>
              </w:rPr>
              <w:t>Entreprise chargée des travaux</w:t>
            </w:r>
          </w:p>
        </w:tc>
        <w:tc>
          <w:tcPr>
            <w:tcW w:w="897" w:type="pct"/>
            <w:tcBorders>
              <w:top w:val="single" w:sz="6" w:space="0" w:color="auto"/>
              <w:left w:val="single" w:sz="6" w:space="0" w:color="auto"/>
              <w:bottom w:val="single" w:sz="6" w:space="0" w:color="auto"/>
              <w:right w:val="single" w:sz="8" w:space="0" w:color="auto"/>
            </w:tcBorders>
          </w:tcPr>
          <w:p w14:paraId="1E642463" w14:textId="77777777" w:rsidR="00CB4E93" w:rsidRPr="00A9330B" w:rsidRDefault="00CB4E93" w:rsidP="00CB4E93">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t xml:space="preserve">Mairie concernée (Natitingou) </w:t>
            </w:r>
          </w:p>
          <w:p w14:paraId="02D4A370" w14:textId="77777777" w:rsidR="00CB4E93" w:rsidRPr="00A9330B" w:rsidRDefault="00CB4E93" w:rsidP="00CB4E93">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t>Direction Départementale du Cadre de Vie et du Développement Durable (DDCVDD-AD)</w:t>
            </w:r>
          </w:p>
          <w:p w14:paraId="328EBF61" w14:textId="77777777" w:rsidR="00CB4E93" w:rsidRPr="00A9330B" w:rsidRDefault="00CB4E93" w:rsidP="00CB4E93">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t>Direction Départementale des Impôts / Ministère de l’Economie et des Finances (DDI/MEF)</w:t>
            </w:r>
          </w:p>
        </w:tc>
        <w:tc>
          <w:tcPr>
            <w:tcW w:w="897" w:type="pct"/>
            <w:tcBorders>
              <w:top w:val="single" w:sz="6" w:space="0" w:color="auto"/>
              <w:left w:val="single" w:sz="6" w:space="0" w:color="auto"/>
              <w:bottom w:val="single" w:sz="6" w:space="0" w:color="auto"/>
              <w:right w:val="single" w:sz="8" w:space="0" w:color="auto"/>
            </w:tcBorders>
          </w:tcPr>
          <w:p w14:paraId="2950AEDB" w14:textId="77777777" w:rsidR="00CB4E93" w:rsidRPr="00A9330B" w:rsidRDefault="00CB4E93" w:rsidP="00CB4E93">
            <w:pPr>
              <w:widowControl w:val="0"/>
              <w:autoSpaceDE w:val="0"/>
              <w:autoSpaceDN w:val="0"/>
              <w:adjustRightInd w:val="0"/>
              <w:spacing w:before="60" w:line="240" w:lineRule="auto"/>
              <w:jc w:val="center"/>
              <w:rPr>
                <w:rFonts w:eastAsia="Calibri" w:cs="Arial"/>
                <w:color w:val="auto"/>
                <w:sz w:val="18"/>
                <w:szCs w:val="18"/>
              </w:rPr>
            </w:pPr>
            <w:r w:rsidRPr="00A9330B">
              <w:rPr>
                <w:rFonts w:eastAsia="Calibri" w:cs="Arial"/>
                <w:color w:val="auto"/>
                <w:sz w:val="18"/>
                <w:szCs w:val="18"/>
              </w:rPr>
              <w:t>Aucun</w:t>
            </w:r>
          </w:p>
        </w:tc>
      </w:tr>
      <w:tr w:rsidR="00CB4E93" w:rsidRPr="00A9330B" w14:paraId="4DDA4FE2" w14:textId="77777777" w:rsidTr="00CB4E93">
        <w:trPr>
          <w:trHeight w:val="431"/>
        </w:trPr>
        <w:tc>
          <w:tcPr>
            <w:tcW w:w="996" w:type="pct"/>
            <w:tcBorders>
              <w:top w:val="single" w:sz="6" w:space="0" w:color="auto"/>
              <w:left w:val="single" w:sz="8" w:space="0" w:color="auto"/>
              <w:bottom w:val="single" w:sz="6" w:space="0" w:color="auto"/>
              <w:right w:val="single" w:sz="6" w:space="0" w:color="auto"/>
            </w:tcBorders>
          </w:tcPr>
          <w:p w14:paraId="0F9714C6" w14:textId="77777777" w:rsidR="00CB4E93" w:rsidRPr="00A9330B" w:rsidRDefault="00CB4E93" w:rsidP="00CB4E93">
            <w:pPr>
              <w:widowControl w:val="0"/>
              <w:spacing w:before="60" w:line="240" w:lineRule="auto"/>
              <w:jc w:val="both"/>
              <w:rPr>
                <w:rFonts w:eastAsia="Calibri" w:cs="Arial"/>
                <w:color w:val="auto"/>
                <w:sz w:val="18"/>
                <w:szCs w:val="18"/>
              </w:rPr>
            </w:pPr>
            <w:r w:rsidRPr="00A9330B">
              <w:rPr>
                <w:rFonts w:eastAsia="Calibri" w:cs="Arial"/>
                <w:color w:val="auto"/>
                <w:sz w:val="18"/>
                <w:szCs w:val="18"/>
              </w:rPr>
              <w:t xml:space="preserve">1.1.a.1.1 ; 1.2.a.1.1 ; </w:t>
            </w:r>
            <w:r w:rsidRPr="00A9330B">
              <w:rPr>
                <w:rFonts w:cs="Arial"/>
                <w:color w:val="auto"/>
                <w:sz w:val="18"/>
                <w:szCs w:val="18"/>
              </w:rPr>
              <w:t>2.3.a.2.1. </w:t>
            </w:r>
            <w:r w:rsidRPr="00A9330B">
              <w:rPr>
                <w:rFonts w:eastAsia="Calibri" w:cs="Arial"/>
                <w:color w:val="auto"/>
                <w:sz w:val="18"/>
                <w:szCs w:val="18"/>
              </w:rPr>
              <w:t xml:space="preserve">; 2.4.a.2.1 ; 2.4.a.3.1 ; 2.5.a.1.1 ; 2.5.a.2.1 ; 2.6.a.1.1 ; 2.7.a.2.1 ;  </w:t>
            </w:r>
            <w:r w:rsidRPr="00A9330B">
              <w:rPr>
                <w:rFonts w:cs="Arial"/>
                <w:color w:val="auto"/>
                <w:sz w:val="18"/>
                <w:szCs w:val="18"/>
              </w:rPr>
              <w:t xml:space="preserve">2.8.a.8.2 ;  </w:t>
            </w:r>
            <w:r w:rsidRPr="00A9330B">
              <w:rPr>
                <w:rFonts w:eastAsia="Calibri" w:cs="Arial"/>
                <w:color w:val="auto"/>
                <w:sz w:val="18"/>
                <w:szCs w:val="18"/>
              </w:rPr>
              <w:t>2.10.a.1.1. </w:t>
            </w:r>
          </w:p>
          <w:p w14:paraId="32049791" w14:textId="77777777" w:rsidR="00CB4E93" w:rsidRPr="00A9330B" w:rsidRDefault="00CB4E93" w:rsidP="00CB4E93">
            <w:pPr>
              <w:widowControl w:val="0"/>
              <w:spacing w:before="60" w:line="240" w:lineRule="auto"/>
              <w:jc w:val="both"/>
              <w:rPr>
                <w:rFonts w:eastAsia="Calibri" w:cs="Arial"/>
                <w:color w:val="auto"/>
                <w:sz w:val="18"/>
                <w:szCs w:val="18"/>
              </w:rPr>
            </w:pPr>
            <w:r w:rsidRPr="00A9330B">
              <w:rPr>
                <w:rFonts w:eastAsia="Calibri" w:cs="Arial"/>
                <w:color w:val="auto"/>
                <w:sz w:val="18"/>
                <w:szCs w:val="18"/>
              </w:rPr>
              <w:t>Doter le personnel de chantier des équipements de protection individuels (EPI : cache nez, bouchon  d’oreille, casque anti-bruit, Casques, gants, chaussures de sécurité, gilets, masques, gants, et autres EPI spécifiques, …) et veiller à leur port effectif</w:t>
            </w:r>
          </w:p>
        </w:tc>
        <w:tc>
          <w:tcPr>
            <w:tcW w:w="916" w:type="pct"/>
            <w:tcBorders>
              <w:top w:val="single" w:sz="6" w:space="0" w:color="auto"/>
              <w:left w:val="single" w:sz="6" w:space="0" w:color="auto"/>
              <w:bottom w:val="single" w:sz="6" w:space="0" w:color="auto"/>
              <w:right w:val="single" w:sz="6" w:space="0" w:color="auto"/>
            </w:tcBorders>
          </w:tcPr>
          <w:p w14:paraId="753772E2" w14:textId="77777777" w:rsidR="00CB4E93" w:rsidRPr="00A9330B" w:rsidRDefault="00CB4E93" w:rsidP="00CB4E93">
            <w:pPr>
              <w:widowControl w:val="0"/>
              <w:autoSpaceDE w:val="0"/>
              <w:autoSpaceDN w:val="0"/>
              <w:adjustRightInd w:val="0"/>
              <w:spacing w:before="60" w:line="240" w:lineRule="auto"/>
              <w:jc w:val="both"/>
              <w:rPr>
                <w:rFonts w:eastAsia="Calibri" w:cs="Arial"/>
                <w:color w:val="auto"/>
                <w:sz w:val="18"/>
                <w:szCs w:val="18"/>
              </w:rPr>
            </w:pPr>
            <w:r w:rsidRPr="00A9330B">
              <w:rPr>
                <w:rFonts w:eastAsia="Calibri" w:cs="Arial"/>
                <w:color w:val="auto"/>
                <w:sz w:val="18"/>
                <w:szCs w:val="18"/>
              </w:rPr>
              <w:t>Existence et port effectif des EPI</w:t>
            </w:r>
          </w:p>
          <w:p w14:paraId="6B3F46CE" w14:textId="77777777" w:rsidR="00CB4E93" w:rsidRPr="00A9330B" w:rsidRDefault="00CB4E93" w:rsidP="00CB4E93">
            <w:pPr>
              <w:widowControl w:val="0"/>
              <w:autoSpaceDE w:val="0"/>
              <w:autoSpaceDN w:val="0"/>
              <w:adjustRightInd w:val="0"/>
              <w:spacing w:before="60" w:line="240" w:lineRule="auto"/>
              <w:jc w:val="both"/>
              <w:rPr>
                <w:rFonts w:eastAsia="Calibri" w:cs="Arial"/>
                <w:color w:val="auto"/>
                <w:sz w:val="18"/>
                <w:szCs w:val="18"/>
              </w:rPr>
            </w:pPr>
            <w:r w:rsidRPr="00A9330B">
              <w:rPr>
                <w:rFonts w:eastAsia="Calibri" w:cs="Arial"/>
                <w:color w:val="auto"/>
                <w:sz w:val="18"/>
                <w:szCs w:val="18"/>
              </w:rPr>
              <w:t>100 % des travailleurs et usagers du chantier portent des EPI</w:t>
            </w:r>
            <w:r w:rsidRPr="00A9330B">
              <w:rPr>
                <w:rFonts w:eastAsia="Calibri" w:cs="Arial"/>
                <w:color w:val="auto"/>
                <w:sz w:val="18"/>
                <w:szCs w:val="18"/>
              </w:rPr>
              <w:tab/>
              <w:t>pendant les travaux</w:t>
            </w:r>
          </w:p>
        </w:tc>
        <w:tc>
          <w:tcPr>
            <w:tcW w:w="637" w:type="pct"/>
            <w:tcBorders>
              <w:top w:val="single" w:sz="6" w:space="0" w:color="auto"/>
              <w:left w:val="single" w:sz="6" w:space="0" w:color="auto"/>
              <w:bottom w:val="single" w:sz="6" w:space="0" w:color="auto"/>
              <w:right w:val="single" w:sz="6" w:space="0" w:color="auto"/>
            </w:tcBorders>
          </w:tcPr>
          <w:p w14:paraId="758C2CAB" w14:textId="77777777" w:rsidR="00CB4E93" w:rsidRPr="00A9330B" w:rsidRDefault="00CB4E93" w:rsidP="00CB4E93">
            <w:pPr>
              <w:widowControl w:val="0"/>
              <w:spacing w:before="60" w:line="240" w:lineRule="auto"/>
              <w:jc w:val="center"/>
              <w:rPr>
                <w:rFonts w:eastAsia="Calibri" w:cs="Arial"/>
                <w:color w:val="auto"/>
                <w:sz w:val="18"/>
                <w:szCs w:val="18"/>
              </w:rPr>
            </w:pPr>
            <w:r w:rsidRPr="00A9330B">
              <w:rPr>
                <w:rFonts w:eastAsia="Calibri" w:cs="Arial"/>
                <w:color w:val="auto"/>
                <w:sz w:val="18"/>
                <w:szCs w:val="18"/>
              </w:rPr>
              <w:t>Toutes les phases du projet</w:t>
            </w:r>
          </w:p>
        </w:tc>
        <w:tc>
          <w:tcPr>
            <w:tcW w:w="657" w:type="pct"/>
            <w:tcBorders>
              <w:top w:val="single" w:sz="6" w:space="0" w:color="auto"/>
              <w:left w:val="single" w:sz="6" w:space="0" w:color="auto"/>
              <w:bottom w:val="single" w:sz="6" w:space="0" w:color="auto"/>
              <w:right w:val="single" w:sz="6" w:space="0" w:color="auto"/>
            </w:tcBorders>
          </w:tcPr>
          <w:p w14:paraId="1D9A8240" w14:textId="77777777" w:rsidR="00CB4E93" w:rsidRPr="00A9330B" w:rsidRDefault="00CB4E93" w:rsidP="00CB4E93">
            <w:pPr>
              <w:widowControl w:val="0"/>
              <w:spacing w:before="60" w:line="240" w:lineRule="auto"/>
              <w:jc w:val="center"/>
              <w:rPr>
                <w:rFonts w:eastAsia="Calibri" w:cs="Arial"/>
                <w:color w:val="auto"/>
                <w:sz w:val="18"/>
                <w:szCs w:val="18"/>
              </w:rPr>
            </w:pPr>
            <w:r w:rsidRPr="00A9330B">
              <w:rPr>
                <w:rFonts w:eastAsia="Calibri" w:cs="Arial"/>
                <w:color w:val="auto"/>
                <w:sz w:val="18"/>
                <w:szCs w:val="18"/>
              </w:rPr>
              <w:t>MDC</w:t>
            </w:r>
          </w:p>
          <w:p w14:paraId="4B839AE7" w14:textId="77777777" w:rsidR="00CB4E93" w:rsidRPr="00A9330B" w:rsidRDefault="00CB4E93" w:rsidP="00CB4E93">
            <w:pPr>
              <w:widowControl w:val="0"/>
              <w:spacing w:before="60" w:line="240" w:lineRule="auto"/>
              <w:jc w:val="center"/>
              <w:rPr>
                <w:rFonts w:eastAsia="Calibri" w:cs="Arial"/>
                <w:color w:val="auto"/>
                <w:sz w:val="18"/>
                <w:szCs w:val="18"/>
              </w:rPr>
            </w:pPr>
            <w:r w:rsidRPr="00A9330B">
              <w:rPr>
                <w:rFonts w:eastAsia="Calibri" w:cs="Arial"/>
                <w:color w:val="auto"/>
                <w:sz w:val="18"/>
                <w:szCs w:val="18"/>
              </w:rPr>
              <w:t>Entreprise chargée des travaux</w:t>
            </w:r>
          </w:p>
        </w:tc>
        <w:tc>
          <w:tcPr>
            <w:tcW w:w="897" w:type="pct"/>
            <w:tcBorders>
              <w:top w:val="single" w:sz="6" w:space="0" w:color="auto"/>
              <w:left w:val="single" w:sz="6" w:space="0" w:color="auto"/>
              <w:bottom w:val="single" w:sz="6" w:space="0" w:color="auto"/>
              <w:right w:val="single" w:sz="8" w:space="0" w:color="auto"/>
            </w:tcBorders>
          </w:tcPr>
          <w:p w14:paraId="12DA7EF7" w14:textId="77777777" w:rsidR="00CB4E93" w:rsidRPr="00A9330B" w:rsidRDefault="00CB4E93" w:rsidP="00CB4E93">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t xml:space="preserve">Mairie concernée (Natitingou)  </w:t>
            </w:r>
          </w:p>
          <w:p w14:paraId="6345848C" w14:textId="77777777" w:rsidR="00CB4E93" w:rsidRPr="00A9330B" w:rsidRDefault="00CB4E93" w:rsidP="00CB4E93">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t>Direction Départementale du Cadre de Vie et du Développement Durable (DDCVDD-AD)</w:t>
            </w:r>
          </w:p>
          <w:p w14:paraId="7CFADF40" w14:textId="77777777" w:rsidR="00CB4E93" w:rsidRPr="00A9330B" w:rsidRDefault="00CB4E93" w:rsidP="00CB4E93">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t xml:space="preserve">Direction Départementale des Infrastructures et des Transports </w:t>
            </w:r>
          </w:p>
          <w:p w14:paraId="3F5385C6" w14:textId="77777777" w:rsidR="00CB4E93" w:rsidRPr="00A9330B" w:rsidRDefault="00CB4E93" w:rsidP="00CB4E93">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t>DDS</w:t>
            </w:r>
          </w:p>
        </w:tc>
        <w:tc>
          <w:tcPr>
            <w:tcW w:w="897" w:type="pct"/>
            <w:tcBorders>
              <w:top w:val="single" w:sz="6" w:space="0" w:color="auto"/>
              <w:left w:val="single" w:sz="6" w:space="0" w:color="auto"/>
              <w:bottom w:val="single" w:sz="6" w:space="0" w:color="auto"/>
              <w:right w:val="single" w:sz="8" w:space="0" w:color="auto"/>
            </w:tcBorders>
          </w:tcPr>
          <w:p w14:paraId="023FC996" w14:textId="77777777" w:rsidR="00CB4E93" w:rsidRPr="00A9330B" w:rsidRDefault="00CB4E93" w:rsidP="00CB4E93">
            <w:pPr>
              <w:widowControl w:val="0"/>
              <w:autoSpaceDE w:val="0"/>
              <w:autoSpaceDN w:val="0"/>
              <w:adjustRightInd w:val="0"/>
              <w:spacing w:before="60" w:line="240" w:lineRule="auto"/>
              <w:rPr>
                <w:rFonts w:eastAsia="Calibri" w:cs="Arial"/>
                <w:sz w:val="20"/>
                <w:szCs w:val="20"/>
              </w:rPr>
            </w:pPr>
            <w:r w:rsidRPr="00A9330B">
              <w:rPr>
                <w:rFonts w:eastAsia="Calibri" w:cs="Arial"/>
                <w:sz w:val="20"/>
                <w:szCs w:val="20"/>
              </w:rPr>
              <w:t xml:space="preserve">Prévoir dans les DAO une ligne budgétaire HSE pour la mise œuvre de cette mesure </w:t>
            </w:r>
          </w:p>
          <w:p w14:paraId="64252BFF" w14:textId="77777777" w:rsidR="00CB4E93" w:rsidRPr="00A9330B" w:rsidRDefault="00CB4E93" w:rsidP="00CB4E93">
            <w:pPr>
              <w:widowControl w:val="0"/>
              <w:autoSpaceDE w:val="0"/>
              <w:autoSpaceDN w:val="0"/>
              <w:adjustRightInd w:val="0"/>
              <w:spacing w:before="60" w:line="240" w:lineRule="auto"/>
              <w:ind w:left="45"/>
              <w:rPr>
                <w:rFonts w:eastAsia="Calibri" w:cs="Arial"/>
                <w:sz w:val="20"/>
                <w:szCs w:val="20"/>
              </w:rPr>
            </w:pPr>
            <w:r w:rsidRPr="00A9330B">
              <w:rPr>
                <w:rFonts w:eastAsia="Calibri" w:cs="Arial"/>
                <w:sz w:val="20"/>
                <w:szCs w:val="20"/>
              </w:rPr>
              <w:t xml:space="preserve">1- Acquisition des EPI </w:t>
            </w:r>
          </w:p>
          <w:p w14:paraId="0115D1CD" w14:textId="77777777" w:rsidR="00CB4E93" w:rsidRPr="00A9330B" w:rsidRDefault="00CB4E93" w:rsidP="00CB4E93">
            <w:pPr>
              <w:widowControl w:val="0"/>
              <w:autoSpaceDE w:val="0"/>
              <w:autoSpaceDN w:val="0"/>
              <w:adjustRightInd w:val="0"/>
              <w:spacing w:before="60" w:line="240" w:lineRule="auto"/>
              <w:rPr>
                <w:rFonts w:eastAsia="Calibri" w:cs="Arial"/>
                <w:b/>
                <w:sz w:val="20"/>
                <w:szCs w:val="20"/>
              </w:rPr>
            </w:pPr>
            <w:r w:rsidRPr="00A9330B">
              <w:rPr>
                <w:rFonts w:eastAsia="Calibri" w:cs="Arial"/>
                <w:b/>
                <w:sz w:val="20"/>
                <w:szCs w:val="20"/>
              </w:rPr>
              <w:t>60 000 000 FCFA ou an</w:t>
            </w:r>
          </w:p>
          <w:p w14:paraId="3D1E48C4" w14:textId="77777777" w:rsidR="00CB4E93" w:rsidRPr="00A9330B" w:rsidRDefault="00CB4E93" w:rsidP="00CB4E93">
            <w:pPr>
              <w:widowControl w:val="0"/>
              <w:autoSpaceDE w:val="0"/>
              <w:autoSpaceDN w:val="0"/>
              <w:adjustRightInd w:val="0"/>
              <w:spacing w:before="60" w:line="240" w:lineRule="auto"/>
              <w:rPr>
                <w:rFonts w:eastAsia="Calibri" w:cs="Arial"/>
                <w:color w:val="auto"/>
                <w:sz w:val="18"/>
                <w:szCs w:val="18"/>
              </w:rPr>
            </w:pPr>
            <w:r w:rsidRPr="00A9330B">
              <w:rPr>
                <w:rFonts w:eastAsia="Calibri" w:cs="Arial"/>
                <w:sz w:val="20"/>
                <w:szCs w:val="20"/>
              </w:rPr>
              <w:t>(chaussures de sécurité, gilets, masques, gants, casques, et autres EPI spécifiques)</w:t>
            </w:r>
          </w:p>
        </w:tc>
      </w:tr>
      <w:tr w:rsidR="00CB4E93" w:rsidRPr="00A9330B" w14:paraId="3E9D42BE" w14:textId="77777777" w:rsidTr="00CB4E93">
        <w:trPr>
          <w:trHeight w:val="701"/>
        </w:trPr>
        <w:tc>
          <w:tcPr>
            <w:tcW w:w="996" w:type="pct"/>
            <w:tcBorders>
              <w:top w:val="single" w:sz="6" w:space="0" w:color="auto"/>
              <w:left w:val="single" w:sz="8" w:space="0" w:color="auto"/>
              <w:bottom w:val="single" w:sz="6" w:space="0" w:color="auto"/>
              <w:right w:val="single" w:sz="6" w:space="0" w:color="auto"/>
            </w:tcBorders>
          </w:tcPr>
          <w:p w14:paraId="4B377DBF" w14:textId="77777777" w:rsidR="00CB4E93" w:rsidRPr="00A9330B" w:rsidRDefault="00CB4E93" w:rsidP="00CB4E93">
            <w:pPr>
              <w:widowControl w:val="0"/>
              <w:spacing w:before="60" w:line="240" w:lineRule="auto"/>
              <w:jc w:val="both"/>
              <w:rPr>
                <w:rFonts w:eastAsia="Calibri" w:cs="Arial"/>
                <w:color w:val="auto"/>
                <w:sz w:val="18"/>
                <w:szCs w:val="18"/>
              </w:rPr>
            </w:pPr>
            <w:r w:rsidRPr="00A9330B">
              <w:rPr>
                <w:rFonts w:eastAsia="Calibri" w:cs="Arial"/>
                <w:color w:val="auto"/>
                <w:sz w:val="18"/>
                <w:szCs w:val="18"/>
              </w:rPr>
              <w:t>1.2.a.3.1. ; 2.10.a.2.1 </w:t>
            </w:r>
          </w:p>
          <w:p w14:paraId="2ADFF0C3" w14:textId="77777777" w:rsidR="00CB4E93" w:rsidRPr="00A9330B" w:rsidRDefault="00CB4E93" w:rsidP="00CB4E93">
            <w:pPr>
              <w:widowControl w:val="0"/>
              <w:spacing w:before="60" w:line="240" w:lineRule="auto"/>
              <w:jc w:val="both"/>
              <w:rPr>
                <w:rFonts w:eastAsia="Calibri" w:cs="Arial"/>
                <w:color w:val="auto"/>
                <w:sz w:val="18"/>
                <w:szCs w:val="18"/>
              </w:rPr>
            </w:pPr>
            <w:r w:rsidRPr="00A9330B">
              <w:rPr>
                <w:rFonts w:eastAsia="Calibri" w:cs="Arial"/>
                <w:color w:val="auto"/>
                <w:sz w:val="18"/>
                <w:szCs w:val="18"/>
              </w:rPr>
              <w:t>Prendre l’autorisation de l’inspection forestière avant toute coupe d’arbres</w:t>
            </w:r>
          </w:p>
        </w:tc>
        <w:tc>
          <w:tcPr>
            <w:tcW w:w="916" w:type="pct"/>
            <w:tcBorders>
              <w:top w:val="single" w:sz="6" w:space="0" w:color="auto"/>
              <w:left w:val="single" w:sz="6" w:space="0" w:color="auto"/>
              <w:bottom w:val="single" w:sz="6" w:space="0" w:color="auto"/>
              <w:right w:val="single" w:sz="6" w:space="0" w:color="auto"/>
            </w:tcBorders>
          </w:tcPr>
          <w:p w14:paraId="6C2443A7" w14:textId="77777777" w:rsidR="00CB4E93" w:rsidRPr="00A9330B" w:rsidRDefault="00CB4E93" w:rsidP="00CB4E93">
            <w:pPr>
              <w:widowControl w:val="0"/>
              <w:autoSpaceDE w:val="0"/>
              <w:autoSpaceDN w:val="0"/>
              <w:adjustRightInd w:val="0"/>
              <w:spacing w:before="60" w:line="240" w:lineRule="auto"/>
              <w:jc w:val="both"/>
              <w:rPr>
                <w:rFonts w:eastAsia="Calibri" w:cs="Arial"/>
                <w:color w:val="auto"/>
                <w:sz w:val="18"/>
                <w:szCs w:val="18"/>
              </w:rPr>
            </w:pPr>
            <w:r w:rsidRPr="00A9330B">
              <w:rPr>
                <w:rFonts w:eastAsia="Calibri" w:cs="Arial"/>
                <w:color w:val="auto"/>
                <w:sz w:val="18"/>
                <w:szCs w:val="18"/>
              </w:rPr>
              <w:t>Disponibilité de l’autorisation de coupe d’arbre de l’inspection forestière</w:t>
            </w:r>
            <w:r w:rsidRPr="00A9330B">
              <w:rPr>
                <w:rFonts w:eastAsia="Calibri" w:cs="Arial"/>
                <w:color w:val="auto"/>
                <w:sz w:val="18"/>
                <w:szCs w:val="18"/>
              </w:rPr>
              <w:tab/>
            </w:r>
          </w:p>
        </w:tc>
        <w:tc>
          <w:tcPr>
            <w:tcW w:w="637" w:type="pct"/>
            <w:tcBorders>
              <w:top w:val="single" w:sz="6" w:space="0" w:color="auto"/>
              <w:left w:val="single" w:sz="6" w:space="0" w:color="auto"/>
              <w:bottom w:val="single" w:sz="6" w:space="0" w:color="auto"/>
              <w:right w:val="single" w:sz="6" w:space="0" w:color="auto"/>
            </w:tcBorders>
          </w:tcPr>
          <w:p w14:paraId="46443D34" w14:textId="77777777" w:rsidR="00CB4E93" w:rsidRPr="00A9330B" w:rsidRDefault="00CB4E93" w:rsidP="00CB4E93">
            <w:pPr>
              <w:widowControl w:val="0"/>
              <w:spacing w:before="60" w:line="240" w:lineRule="auto"/>
              <w:jc w:val="center"/>
              <w:rPr>
                <w:rFonts w:eastAsia="Calibri" w:cs="Arial"/>
                <w:color w:val="auto"/>
                <w:sz w:val="18"/>
                <w:szCs w:val="18"/>
              </w:rPr>
            </w:pPr>
            <w:r w:rsidRPr="00A9330B">
              <w:rPr>
                <w:rFonts w:eastAsia="Calibri" w:cs="Arial"/>
                <w:color w:val="auto"/>
                <w:sz w:val="18"/>
                <w:szCs w:val="18"/>
              </w:rPr>
              <w:t>Phase de préparation et de construction</w:t>
            </w:r>
          </w:p>
        </w:tc>
        <w:tc>
          <w:tcPr>
            <w:tcW w:w="657" w:type="pct"/>
            <w:tcBorders>
              <w:top w:val="single" w:sz="6" w:space="0" w:color="auto"/>
              <w:left w:val="single" w:sz="6" w:space="0" w:color="auto"/>
              <w:bottom w:val="single" w:sz="6" w:space="0" w:color="auto"/>
              <w:right w:val="single" w:sz="6" w:space="0" w:color="auto"/>
            </w:tcBorders>
          </w:tcPr>
          <w:p w14:paraId="42ECBE25" w14:textId="77777777" w:rsidR="00CB4E93" w:rsidRPr="00A9330B" w:rsidRDefault="00CB4E93" w:rsidP="00CB4E93">
            <w:pPr>
              <w:widowControl w:val="0"/>
              <w:spacing w:before="60" w:line="240" w:lineRule="auto"/>
              <w:jc w:val="center"/>
              <w:rPr>
                <w:rFonts w:eastAsia="Calibri" w:cs="Arial"/>
                <w:color w:val="auto"/>
                <w:sz w:val="18"/>
                <w:szCs w:val="18"/>
              </w:rPr>
            </w:pPr>
            <w:r w:rsidRPr="00A9330B">
              <w:rPr>
                <w:rFonts w:eastAsia="Calibri" w:cs="Arial"/>
                <w:color w:val="auto"/>
                <w:sz w:val="18"/>
                <w:szCs w:val="18"/>
              </w:rPr>
              <w:t>MDC</w:t>
            </w:r>
          </w:p>
          <w:p w14:paraId="0F476B82" w14:textId="77777777" w:rsidR="00CB4E93" w:rsidRPr="00A9330B" w:rsidRDefault="00CB4E93" w:rsidP="00CB4E93">
            <w:pPr>
              <w:widowControl w:val="0"/>
              <w:spacing w:before="60" w:line="240" w:lineRule="auto"/>
              <w:jc w:val="center"/>
              <w:rPr>
                <w:rFonts w:eastAsia="Calibri" w:cs="Arial"/>
                <w:color w:val="auto"/>
                <w:sz w:val="18"/>
                <w:szCs w:val="18"/>
              </w:rPr>
            </w:pPr>
            <w:r w:rsidRPr="00A9330B">
              <w:rPr>
                <w:rFonts w:eastAsia="Calibri" w:cs="Arial"/>
                <w:color w:val="auto"/>
                <w:sz w:val="18"/>
                <w:szCs w:val="18"/>
              </w:rPr>
              <w:t>Entreprise chargée des travaux</w:t>
            </w:r>
          </w:p>
        </w:tc>
        <w:tc>
          <w:tcPr>
            <w:tcW w:w="897" w:type="pct"/>
            <w:tcBorders>
              <w:top w:val="single" w:sz="6" w:space="0" w:color="auto"/>
              <w:left w:val="single" w:sz="6" w:space="0" w:color="auto"/>
              <w:bottom w:val="single" w:sz="6" w:space="0" w:color="auto"/>
              <w:right w:val="single" w:sz="8" w:space="0" w:color="auto"/>
            </w:tcBorders>
          </w:tcPr>
          <w:p w14:paraId="41F41A71" w14:textId="77777777" w:rsidR="00CB4E93" w:rsidRPr="00A9330B" w:rsidRDefault="00CB4E93" w:rsidP="00CB4E93">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t xml:space="preserve">Mairie concernée (Natitingou)  </w:t>
            </w:r>
          </w:p>
          <w:p w14:paraId="4CA72E14" w14:textId="77777777" w:rsidR="00CB4E93" w:rsidRPr="00A9330B" w:rsidRDefault="00CB4E93" w:rsidP="00CB4E93">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t>Direction Départementale du Cadre de Vie et du Développement Durable (DDCVDD-AD)</w:t>
            </w:r>
          </w:p>
          <w:p w14:paraId="449F849D" w14:textId="77777777" w:rsidR="00CB4E93" w:rsidRPr="00A9330B" w:rsidRDefault="00CB4E93" w:rsidP="00CB4E93">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t>Inspection Forestière AD</w:t>
            </w:r>
          </w:p>
        </w:tc>
        <w:tc>
          <w:tcPr>
            <w:tcW w:w="897" w:type="pct"/>
            <w:tcBorders>
              <w:top w:val="single" w:sz="6" w:space="0" w:color="auto"/>
              <w:left w:val="single" w:sz="6" w:space="0" w:color="auto"/>
              <w:bottom w:val="single" w:sz="6" w:space="0" w:color="auto"/>
              <w:right w:val="single" w:sz="8" w:space="0" w:color="auto"/>
            </w:tcBorders>
          </w:tcPr>
          <w:p w14:paraId="36AF6296" w14:textId="77777777" w:rsidR="00CB4E93" w:rsidRPr="00A9330B" w:rsidRDefault="00CB4E93" w:rsidP="00CB4E93">
            <w:pPr>
              <w:widowControl w:val="0"/>
              <w:autoSpaceDE w:val="0"/>
              <w:autoSpaceDN w:val="0"/>
              <w:adjustRightInd w:val="0"/>
              <w:spacing w:before="60" w:line="240" w:lineRule="auto"/>
              <w:jc w:val="center"/>
              <w:rPr>
                <w:rFonts w:eastAsia="Calibri" w:cs="Arial"/>
                <w:color w:val="auto"/>
                <w:sz w:val="18"/>
                <w:szCs w:val="18"/>
              </w:rPr>
            </w:pPr>
          </w:p>
          <w:p w14:paraId="0165EF62" w14:textId="77777777" w:rsidR="00CB4E93" w:rsidRPr="00A9330B" w:rsidRDefault="00CB4E93" w:rsidP="00CB4E93">
            <w:pPr>
              <w:widowControl w:val="0"/>
              <w:autoSpaceDE w:val="0"/>
              <w:autoSpaceDN w:val="0"/>
              <w:adjustRightInd w:val="0"/>
              <w:spacing w:before="60" w:line="240" w:lineRule="auto"/>
              <w:jc w:val="center"/>
              <w:rPr>
                <w:rFonts w:eastAsia="Calibri" w:cs="Arial"/>
                <w:color w:val="auto"/>
                <w:sz w:val="18"/>
                <w:szCs w:val="18"/>
              </w:rPr>
            </w:pPr>
            <w:r w:rsidRPr="00A9330B">
              <w:rPr>
                <w:rFonts w:eastAsia="Calibri" w:cs="Arial"/>
                <w:color w:val="auto"/>
                <w:sz w:val="18"/>
                <w:szCs w:val="18"/>
              </w:rPr>
              <w:t>Aucun</w:t>
            </w:r>
          </w:p>
        </w:tc>
      </w:tr>
      <w:tr w:rsidR="00CB4E93" w:rsidRPr="00A9330B" w14:paraId="1D36A9B4" w14:textId="77777777" w:rsidTr="00CB4E93">
        <w:trPr>
          <w:trHeight w:val="332"/>
        </w:trPr>
        <w:tc>
          <w:tcPr>
            <w:tcW w:w="996" w:type="pct"/>
            <w:tcBorders>
              <w:top w:val="single" w:sz="6" w:space="0" w:color="auto"/>
              <w:left w:val="single" w:sz="8" w:space="0" w:color="auto"/>
              <w:bottom w:val="single" w:sz="6" w:space="0" w:color="auto"/>
              <w:right w:val="single" w:sz="6" w:space="0" w:color="auto"/>
            </w:tcBorders>
          </w:tcPr>
          <w:p w14:paraId="32163915" w14:textId="77777777" w:rsidR="00CB4E93" w:rsidRPr="00A9330B" w:rsidRDefault="00CB4E93" w:rsidP="00CB4E93">
            <w:pPr>
              <w:widowControl w:val="0"/>
              <w:spacing w:before="60" w:line="240" w:lineRule="auto"/>
              <w:jc w:val="both"/>
              <w:rPr>
                <w:rFonts w:eastAsia="Calibri" w:cs="Arial"/>
                <w:color w:val="auto"/>
                <w:sz w:val="18"/>
                <w:szCs w:val="18"/>
              </w:rPr>
            </w:pPr>
            <w:r w:rsidRPr="00A9330B">
              <w:rPr>
                <w:rFonts w:eastAsia="Calibri" w:cs="Arial"/>
                <w:color w:val="auto"/>
                <w:sz w:val="18"/>
                <w:szCs w:val="18"/>
              </w:rPr>
              <w:t xml:space="preserve">1.2.a.3.2. ; 2.3.a.1.1 2.4.a.1.1. ; 2.7.a.1.1. ; 2.8.a.1.1. ; </w:t>
            </w:r>
          </w:p>
          <w:p w14:paraId="1998B991" w14:textId="77777777" w:rsidR="00CB4E93" w:rsidRPr="00A9330B" w:rsidRDefault="00CB4E93" w:rsidP="00CB4E93">
            <w:pPr>
              <w:widowControl w:val="0"/>
              <w:spacing w:before="60" w:line="240" w:lineRule="auto"/>
              <w:jc w:val="both"/>
              <w:rPr>
                <w:rFonts w:eastAsia="Calibri" w:cs="Arial"/>
                <w:color w:val="auto"/>
                <w:sz w:val="18"/>
                <w:szCs w:val="18"/>
              </w:rPr>
            </w:pPr>
            <w:r w:rsidRPr="00A9330B">
              <w:rPr>
                <w:rFonts w:eastAsia="Calibri" w:cs="Arial"/>
                <w:color w:val="auto"/>
                <w:sz w:val="18"/>
                <w:szCs w:val="18"/>
              </w:rPr>
              <w:t xml:space="preserve">Elaborer  et mettre en œuvre un </w:t>
            </w:r>
            <w:r w:rsidRPr="00A9330B">
              <w:rPr>
                <w:rFonts w:eastAsia="Calibri" w:cs="Arial"/>
                <w:color w:val="auto"/>
                <w:sz w:val="18"/>
                <w:szCs w:val="18"/>
              </w:rPr>
              <w:lastRenderedPageBreak/>
              <w:t>plan de reboisement en compensation sur un site à identifier par l’entreprise</w:t>
            </w:r>
          </w:p>
        </w:tc>
        <w:tc>
          <w:tcPr>
            <w:tcW w:w="916" w:type="pct"/>
            <w:tcBorders>
              <w:top w:val="single" w:sz="6" w:space="0" w:color="auto"/>
              <w:left w:val="single" w:sz="6" w:space="0" w:color="auto"/>
              <w:bottom w:val="single" w:sz="6" w:space="0" w:color="auto"/>
              <w:right w:val="single" w:sz="6" w:space="0" w:color="auto"/>
            </w:tcBorders>
          </w:tcPr>
          <w:p w14:paraId="1313A879" w14:textId="77777777" w:rsidR="00CB4E93" w:rsidRPr="00A9330B" w:rsidRDefault="00CB4E93" w:rsidP="00CB4E93">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lastRenderedPageBreak/>
              <w:t>2000 plants mis en terre</w:t>
            </w:r>
          </w:p>
          <w:p w14:paraId="7432F7A8" w14:textId="77777777" w:rsidR="00CB4E93" w:rsidRPr="00A9330B" w:rsidRDefault="00CB4E93" w:rsidP="00CB4E93">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t xml:space="preserve">3000 d’arbres plantés sur les sites identifiés </w:t>
            </w:r>
          </w:p>
          <w:p w14:paraId="6253CFBB" w14:textId="77777777" w:rsidR="00CB4E93" w:rsidRPr="00A9330B" w:rsidRDefault="00CB4E93" w:rsidP="00CB4E93">
            <w:pPr>
              <w:widowControl w:val="0"/>
              <w:autoSpaceDE w:val="0"/>
              <w:autoSpaceDN w:val="0"/>
              <w:adjustRightInd w:val="0"/>
              <w:spacing w:before="60" w:line="240" w:lineRule="auto"/>
              <w:jc w:val="both"/>
              <w:rPr>
                <w:rFonts w:eastAsia="Calibri" w:cs="Arial"/>
                <w:color w:val="auto"/>
                <w:sz w:val="18"/>
                <w:szCs w:val="18"/>
              </w:rPr>
            </w:pPr>
          </w:p>
        </w:tc>
        <w:tc>
          <w:tcPr>
            <w:tcW w:w="637" w:type="pct"/>
            <w:tcBorders>
              <w:top w:val="single" w:sz="6" w:space="0" w:color="auto"/>
              <w:left w:val="single" w:sz="6" w:space="0" w:color="auto"/>
              <w:bottom w:val="single" w:sz="6" w:space="0" w:color="auto"/>
              <w:right w:val="single" w:sz="6" w:space="0" w:color="auto"/>
            </w:tcBorders>
          </w:tcPr>
          <w:p w14:paraId="445521C2" w14:textId="77777777" w:rsidR="00CB4E93" w:rsidRPr="00A9330B" w:rsidRDefault="00CB4E93" w:rsidP="00CB4E93">
            <w:pPr>
              <w:widowControl w:val="0"/>
              <w:autoSpaceDE w:val="0"/>
              <w:autoSpaceDN w:val="0"/>
              <w:adjustRightInd w:val="0"/>
              <w:spacing w:before="60" w:line="240" w:lineRule="auto"/>
              <w:jc w:val="center"/>
              <w:rPr>
                <w:rFonts w:eastAsia="Calibri" w:cs="Arial"/>
                <w:color w:val="auto"/>
                <w:sz w:val="18"/>
                <w:szCs w:val="18"/>
              </w:rPr>
            </w:pPr>
            <w:r w:rsidRPr="00A9330B">
              <w:rPr>
                <w:rFonts w:eastAsia="Calibri" w:cs="Arial"/>
                <w:color w:val="auto"/>
                <w:sz w:val="18"/>
                <w:szCs w:val="18"/>
              </w:rPr>
              <w:lastRenderedPageBreak/>
              <w:t>Phase de construction et d’exploitation</w:t>
            </w:r>
          </w:p>
        </w:tc>
        <w:tc>
          <w:tcPr>
            <w:tcW w:w="657" w:type="pct"/>
            <w:tcBorders>
              <w:top w:val="single" w:sz="6" w:space="0" w:color="auto"/>
              <w:left w:val="single" w:sz="6" w:space="0" w:color="auto"/>
              <w:bottom w:val="single" w:sz="6" w:space="0" w:color="auto"/>
              <w:right w:val="single" w:sz="6" w:space="0" w:color="auto"/>
            </w:tcBorders>
          </w:tcPr>
          <w:p w14:paraId="10FCEDBD" w14:textId="77777777" w:rsidR="00CB4E93" w:rsidRPr="00A9330B" w:rsidRDefault="00CB4E93" w:rsidP="00CB4E93">
            <w:pPr>
              <w:widowControl w:val="0"/>
              <w:spacing w:before="40" w:line="240" w:lineRule="auto"/>
              <w:jc w:val="center"/>
              <w:rPr>
                <w:rFonts w:eastAsia="Calibri" w:cs="Arial"/>
                <w:sz w:val="18"/>
                <w:szCs w:val="18"/>
              </w:rPr>
            </w:pPr>
            <w:r w:rsidRPr="00A9330B">
              <w:rPr>
                <w:rFonts w:eastAsia="Calibri" w:cs="Arial"/>
                <w:sz w:val="18"/>
                <w:szCs w:val="18"/>
              </w:rPr>
              <w:t>MDC</w:t>
            </w:r>
          </w:p>
          <w:p w14:paraId="52393277" w14:textId="77777777" w:rsidR="00CB4E93" w:rsidRPr="00A9330B" w:rsidRDefault="00CB4E93" w:rsidP="00CB4E93">
            <w:pPr>
              <w:widowControl w:val="0"/>
              <w:spacing w:before="40" w:line="240" w:lineRule="auto"/>
              <w:jc w:val="center"/>
              <w:rPr>
                <w:rFonts w:eastAsia="Calibri" w:cs="Arial"/>
                <w:sz w:val="18"/>
                <w:szCs w:val="18"/>
              </w:rPr>
            </w:pPr>
            <w:r w:rsidRPr="00A9330B">
              <w:rPr>
                <w:rFonts w:eastAsia="Calibri" w:cs="Arial"/>
                <w:sz w:val="18"/>
                <w:szCs w:val="18"/>
              </w:rPr>
              <w:t>Entreprise chargée des travaux</w:t>
            </w:r>
          </w:p>
          <w:p w14:paraId="7751F204" w14:textId="77777777" w:rsidR="00CB4E93" w:rsidRPr="00A9330B" w:rsidRDefault="00CB4E93" w:rsidP="00CB4E93">
            <w:pPr>
              <w:widowControl w:val="0"/>
              <w:spacing w:before="60" w:line="240" w:lineRule="auto"/>
              <w:jc w:val="center"/>
              <w:rPr>
                <w:rFonts w:eastAsia="Calibri" w:cs="Arial"/>
                <w:color w:val="auto"/>
                <w:sz w:val="18"/>
                <w:szCs w:val="18"/>
              </w:rPr>
            </w:pPr>
            <w:r w:rsidRPr="00A9330B">
              <w:rPr>
                <w:rFonts w:eastAsia="Calibri" w:cs="Arial"/>
                <w:sz w:val="18"/>
                <w:szCs w:val="18"/>
              </w:rPr>
              <w:lastRenderedPageBreak/>
              <w:t xml:space="preserve">Entreprise contractante  </w:t>
            </w:r>
          </w:p>
        </w:tc>
        <w:tc>
          <w:tcPr>
            <w:tcW w:w="897" w:type="pct"/>
            <w:tcBorders>
              <w:top w:val="single" w:sz="6" w:space="0" w:color="auto"/>
              <w:left w:val="single" w:sz="6" w:space="0" w:color="auto"/>
              <w:bottom w:val="single" w:sz="6" w:space="0" w:color="auto"/>
              <w:right w:val="single" w:sz="8" w:space="0" w:color="auto"/>
            </w:tcBorders>
          </w:tcPr>
          <w:p w14:paraId="1DBE8E26" w14:textId="77777777" w:rsidR="00CB4E93" w:rsidRPr="00A9330B" w:rsidRDefault="00CB4E93" w:rsidP="00CB4E93">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lastRenderedPageBreak/>
              <w:t xml:space="preserve">Mairie concernée (Natitingou)  </w:t>
            </w:r>
          </w:p>
          <w:p w14:paraId="326003AC" w14:textId="77777777" w:rsidR="00CB4E93" w:rsidRPr="00A9330B" w:rsidRDefault="00CB4E93" w:rsidP="00CB4E93">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t xml:space="preserve">Direction Départementale du Cadre de Vie et du </w:t>
            </w:r>
            <w:r w:rsidRPr="00A9330B">
              <w:rPr>
                <w:rFonts w:eastAsia="Calibri" w:cs="Arial"/>
                <w:color w:val="auto"/>
                <w:sz w:val="18"/>
                <w:szCs w:val="18"/>
              </w:rPr>
              <w:lastRenderedPageBreak/>
              <w:t>Développement Durable (DDCVDD-AD)</w:t>
            </w:r>
          </w:p>
          <w:p w14:paraId="2879BC58" w14:textId="77777777" w:rsidR="00CB4E93" w:rsidRPr="00A9330B" w:rsidRDefault="00CB4E93" w:rsidP="00CB4E93">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t>Inspection Forestière AD</w:t>
            </w:r>
          </w:p>
          <w:p w14:paraId="613B5428" w14:textId="77777777" w:rsidR="00CB4E93" w:rsidRPr="00A9330B" w:rsidRDefault="00CB4E93" w:rsidP="00CB4E93">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t xml:space="preserve">Direction Départementale des Infrastructures et des Transports </w:t>
            </w:r>
          </w:p>
        </w:tc>
        <w:tc>
          <w:tcPr>
            <w:tcW w:w="897" w:type="pct"/>
            <w:tcBorders>
              <w:top w:val="single" w:sz="6" w:space="0" w:color="auto"/>
              <w:left w:val="single" w:sz="6" w:space="0" w:color="auto"/>
              <w:bottom w:val="single" w:sz="6" w:space="0" w:color="auto"/>
              <w:right w:val="single" w:sz="8" w:space="0" w:color="auto"/>
            </w:tcBorders>
          </w:tcPr>
          <w:p w14:paraId="3C187AB7" w14:textId="77777777" w:rsidR="00CB4E93" w:rsidRPr="00A9330B" w:rsidRDefault="00CB4E93" w:rsidP="00CB4E93">
            <w:pPr>
              <w:widowControl w:val="0"/>
              <w:numPr>
                <w:ilvl w:val="0"/>
                <w:numId w:val="74"/>
              </w:numPr>
              <w:autoSpaceDE w:val="0"/>
              <w:autoSpaceDN w:val="0"/>
              <w:adjustRightInd w:val="0"/>
              <w:spacing w:before="60" w:line="240" w:lineRule="auto"/>
              <w:contextualSpacing/>
              <w:rPr>
                <w:rFonts w:eastAsia="Calibri" w:cs="Arial"/>
                <w:sz w:val="18"/>
                <w:szCs w:val="18"/>
                <w:lang w:eastAsia="de-DE"/>
              </w:rPr>
            </w:pPr>
            <w:r w:rsidRPr="00A9330B">
              <w:rPr>
                <w:rFonts w:eastAsia="Calibri" w:cs="Arial"/>
                <w:sz w:val="18"/>
                <w:szCs w:val="18"/>
                <w:lang w:eastAsia="de-DE"/>
              </w:rPr>
              <w:lastRenderedPageBreak/>
              <w:t xml:space="preserve">Mise en terre de de 4000 plants </w:t>
            </w:r>
          </w:p>
          <w:p w14:paraId="1228A5CF" w14:textId="77777777" w:rsidR="00CB4E93" w:rsidRPr="00A9330B" w:rsidRDefault="00CB4E93" w:rsidP="00CB4E93">
            <w:pPr>
              <w:widowControl w:val="0"/>
              <w:overflowPunct w:val="0"/>
              <w:autoSpaceDE w:val="0"/>
              <w:autoSpaceDN w:val="0"/>
              <w:adjustRightInd w:val="0"/>
              <w:spacing w:before="60" w:line="288" w:lineRule="auto"/>
              <w:ind w:left="405"/>
              <w:contextualSpacing/>
              <w:rPr>
                <w:rFonts w:eastAsia="Calibri" w:cs="Arial"/>
                <w:sz w:val="18"/>
                <w:szCs w:val="18"/>
                <w:lang w:eastAsia="de-DE"/>
              </w:rPr>
            </w:pPr>
          </w:p>
          <w:p w14:paraId="3C6DBC2F" w14:textId="77777777" w:rsidR="00CB4E93" w:rsidRPr="00A9330B" w:rsidRDefault="00CB4E93" w:rsidP="00CB4E93">
            <w:pPr>
              <w:widowControl w:val="0"/>
              <w:numPr>
                <w:ilvl w:val="0"/>
                <w:numId w:val="74"/>
              </w:numPr>
              <w:autoSpaceDE w:val="0"/>
              <w:autoSpaceDN w:val="0"/>
              <w:adjustRightInd w:val="0"/>
              <w:spacing w:before="60" w:line="240" w:lineRule="auto"/>
              <w:contextualSpacing/>
              <w:rPr>
                <w:rFonts w:eastAsia="Calibri" w:cs="Arial"/>
                <w:sz w:val="18"/>
                <w:szCs w:val="18"/>
                <w:lang w:eastAsia="de-DE"/>
              </w:rPr>
            </w:pPr>
            <w:r w:rsidRPr="00A9330B">
              <w:rPr>
                <w:rFonts w:eastAsia="Calibri" w:cs="Arial"/>
                <w:sz w:val="18"/>
                <w:szCs w:val="18"/>
                <w:lang w:eastAsia="de-DE"/>
              </w:rPr>
              <w:t xml:space="preserve">Mise en terre de 500 </w:t>
            </w:r>
            <w:r w:rsidRPr="00A9330B">
              <w:rPr>
                <w:rFonts w:eastAsia="Calibri" w:cs="Arial"/>
                <w:sz w:val="18"/>
                <w:szCs w:val="18"/>
                <w:lang w:eastAsia="de-DE"/>
              </w:rPr>
              <w:lastRenderedPageBreak/>
              <w:t xml:space="preserve">plants par site après le démantèlement des bases vie (02) </w:t>
            </w:r>
          </w:p>
          <w:p w14:paraId="58D92393" w14:textId="77777777" w:rsidR="00CB4E93" w:rsidRPr="00A9330B" w:rsidRDefault="00CB4E93" w:rsidP="00CB4E93">
            <w:pPr>
              <w:widowControl w:val="0"/>
              <w:autoSpaceDE w:val="0"/>
              <w:autoSpaceDN w:val="0"/>
              <w:adjustRightInd w:val="0"/>
              <w:spacing w:before="60" w:line="240" w:lineRule="auto"/>
              <w:rPr>
                <w:rFonts w:eastAsia="Calibri" w:cs="Arial"/>
                <w:color w:val="auto"/>
                <w:sz w:val="18"/>
                <w:szCs w:val="18"/>
              </w:rPr>
            </w:pPr>
            <w:r w:rsidRPr="00A9330B">
              <w:rPr>
                <w:rFonts w:eastAsia="Calibri" w:cs="Arial"/>
                <w:sz w:val="18"/>
                <w:szCs w:val="18"/>
              </w:rPr>
              <w:t xml:space="preserve"> </w:t>
            </w:r>
            <w:r w:rsidRPr="00A9330B">
              <w:rPr>
                <w:rFonts w:eastAsia="Calibri" w:cs="Arial"/>
                <w:b/>
              </w:rPr>
              <w:t>13 500 000 FCFA</w:t>
            </w:r>
          </w:p>
        </w:tc>
      </w:tr>
      <w:tr w:rsidR="00CB4E93" w:rsidRPr="00A9330B" w14:paraId="52E49BE4" w14:textId="77777777" w:rsidTr="00CB4E93">
        <w:trPr>
          <w:trHeight w:val="271"/>
        </w:trPr>
        <w:tc>
          <w:tcPr>
            <w:tcW w:w="996" w:type="pct"/>
            <w:tcBorders>
              <w:top w:val="single" w:sz="6" w:space="0" w:color="auto"/>
              <w:left w:val="single" w:sz="8" w:space="0" w:color="auto"/>
              <w:bottom w:val="single" w:sz="6" w:space="0" w:color="auto"/>
              <w:right w:val="single" w:sz="6" w:space="0" w:color="auto"/>
            </w:tcBorders>
          </w:tcPr>
          <w:p w14:paraId="55191610" w14:textId="77777777" w:rsidR="00CB4E93" w:rsidRPr="00A9330B" w:rsidRDefault="00CB4E93" w:rsidP="00CB4E93">
            <w:pPr>
              <w:widowControl w:val="0"/>
              <w:spacing w:before="60" w:line="240" w:lineRule="auto"/>
              <w:jc w:val="both"/>
              <w:rPr>
                <w:rFonts w:eastAsia="Calibri" w:cs="Arial"/>
                <w:color w:val="auto"/>
                <w:sz w:val="18"/>
                <w:szCs w:val="18"/>
              </w:rPr>
            </w:pPr>
            <w:r w:rsidRPr="00A9330B">
              <w:rPr>
                <w:rFonts w:eastAsia="Calibri" w:cs="Arial"/>
                <w:color w:val="auto"/>
                <w:sz w:val="18"/>
                <w:szCs w:val="18"/>
              </w:rPr>
              <w:lastRenderedPageBreak/>
              <w:t>2.8.a.1.2. </w:t>
            </w:r>
          </w:p>
          <w:p w14:paraId="3E703C14" w14:textId="77777777" w:rsidR="00CB4E93" w:rsidRPr="00A9330B" w:rsidRDefault="00CB4E93" w:rsidP="00CB4E93">
            <w:pPr>
              <w:widowControl w:val="0"/>
              <w:spacing w:before="60" w:line="240" w:lineRule="auto"/>
              <w:jc w:val="both"/>
              <w:rPr>
                <w:rFonts w:eastAsia="Calibri" w:cs="Arial"/>
                <w:color w:val="auto"/>
                <w:sz w:val="18"/>
                <w:szCs w:val="18"/>
              </w:rPr>
            </w:pPr>
            <w:r w:rsidRPr="00A9330B">
              <w:rPr>
                <w:rFonts w:eastAsia="Calibri" w:cs="Arial"/>
                <w:color w:val="auto"/>
                <w:sz w:val="18"/>
                <w:szCs w:val="18"/>
              </w:rPr>
              <w:t>Faire un aménagement paysager pour les rues</w:t>
            </w:r>
          </w:p>
        </w:tc>
        <w:tc>
          <w:tcPr>
            <w:tcW w:w="916" w:type="pct"/>
            <w:tcBorders>
              <w:top w:val="single" w:sz="6" w:space="0" w:color="auto"/>
              <w:left w:val="single" w:sz="6" w:space="0" w:color="auto"/>
              <w:bottom w:val="single" w:sz="6" w:space="0" w:color="auto"/>
              <w:right w:val="single" w:sz="6" w:space="0" w:color="auto"/>
            </w:tcBorders>
          </w:tcPr>
          <w:p w14:paraId="72BDA40E" w14:textId="77777777" w:rsidR="00CB4E93" w:rsidRPr="00A9330B" w:rsidRDefault="00CB4E93" w:rsidP="00CB4E93">
            <w:pPr>
              <w:widowControl w:val="0"/>
              <w:autoSpaceDE w:val="0"/>
              <w:autoSpaceDN w:val="0"/>
              <w:adjustRightInd w:val="0"/>
              <w:spacing w:before="60" w:line="240" w:lineRule="auto"/>
              <w:jc w:val="both"/>
              <w:rPr>
                <w:rFonts w:eastAsia="Calibri" w:cs="Arial"/>
                <w:color w:val="auto"/>
                <w:sz w:val="18"/>
                <w:szCs w:val="18"/>
              </w:rPr>
            </w:pPr>
            <w:r w:rsidRPr="00A9330B">
              <w:rPr>
                <w:rFonts w:eastAsia="Calibri" w:cs="Arial"/>
                <w:color w:val="auto"/>
                <w:sz w:val="18"/>
                <w:szCs w:val="18"/>
              </w:rPr>
              <w:t xml:space="preserve">Présence d’arbres ou d’espace vert aménagé sur les terre-pleins et le long des axes routiers </w:t>
            </w:r>
          </w:p>
        </w:tc>
        <w:tc>
          <w:tcPr>
            <w:tcW w:w="637" w:type="pct"/>
            <w:tcBorders>
              <w:top w:val="single" w:sz="6" w:space="0" w:color="auto"/>
              <w:left w:val="single" w:sz="6" w:space="0" w:color="auto"/>
              <w:bottom w:val="single" w:sz="6" w:space="0" w:color="auto"/>
              <w:right w:val="single" w:sz="6" w:space="0" w:color="auto"/>
            </w:tcBorders>
          </w:tcPr>
          <w:p w14:paraId="704B904A" w14:textId="77777777" w:rsidR="00CB4E93" w:rsidRPr="00A9330B" w:rsidRDefault="00CB4E93" w:rsidP="00CB4E93">
            <w:pPr>
              <w:widowControl w:val="0"/>
              <w:autoSpaceDE w:val="0"/>
              <w:autoSpaceDN w:val="0"/>
              <w:adjustRightInd w:val="0"/>
              <w:spacing w:before="60" w:line="240" w:lineRule="auto"/>
              <w:jc w:val="center"/>
              <w:rPr>
                <w:rFonts w:eastAsia="Calibri" w:cs="Arial"/>
                <w:color w:val="auto"/>
                <w:sz w:val="18"/>
                <w:szCs w:val="18"/>
              </w:rPr>
            </w:pPr>
            <w:r w:rsidRPr="00A9330B">
              <w:rPr>
                <w:rFonts w:eastAsia="Calibri" w:cs="Arial"/>
                <w:color w:val="auto"/>
                <w:sz w:val="18"/>
                <w:szCs w:val="18"/>
              </w:rPr>
              <w:t>Phase de construction et d’exploitation</w:t>
            </w:r>
          </w:p>
        </w:tc>
        <w:tc>
          <w:tcPr>
            <w:tcW w:w="657" w:type="pct"/>
            <w:tcBorders>
              <w:top w:val="single" w:sz="6" w:space="0" w:color="auto"/>
              <w:left w:val="single" w:sz="6" w:space="0" w:color="auto"/>
              <w:bottom w:val="single" w:sz="6" w:space="0" w:color="auto"/>
              <w:right w:val="single" w:sz="6" w:space="0" w:color="auto"/>
            </w:tcBorders>
          </w:tcPr>
          <w:p w14:paraId="1DEB539B" w14:textId="77777777" w:rsidR="00CB4E93" w:rsidRPr="00A9330B" w:rsidRDefault="00CB4E93" w:rsidP="00CB4E93">
            <w:pPr>
              <w:widowControl w:val="0"/>
              <w:spacing w:before="40" w:line="240" w:lineRule="auto"/>
              <w:jc w:val="center"/>
              <w:rPr>
                <w:rFonts w:eastAsia="Calibri" w:cs="Arial"/>
                <w:sz w:val="18"/>
                <w:szCs w:val="18"/>
              </w:rPr>
            </w:pPr>
            <w:r w:rsidRPr="00A9330B">
              <w:rPr>
                <w:rFonts w:eastAsia="Calibri" w:cs="Arial"/>
                <w:sz w:val="18"/>
                <w:szCs w:val="18"/>
              </w:rPr>
              <w:t>MDC</w:t>
            </w:r>
          </w:p>
          <w:p w14:paraId="67F32A5D" w14:textId="77777777" w:rsidR="00CB4E93" w:rsidRPr="00A9330B" w:rsidRDefault="00CB4E93" w:rsidP="00CB4E93">
            <w:pPr>
              <w:widowControl w:val="0"/>
              <w:spacing w:before="40" w:line="240" w:lineRule="auto"/>
              <w:jc w:val="center"/>
              <w:rPr>
                <w:rFonts w:eastAsia="Calibri" w:cs="Arial"/>
                <w:sz w:val="18"/>
                <w:szCs w:val="18"/>
              </w:rPr>
            </w:pPr>
            <w:r w:rsidRPr="00A9330B">
              <w:rPr>
                <w:rFonts w:eastAsia="Calibri" w:cs="Arial"/>
                <w:sz w:val="18"/>
                <w:szCs w:val="18"/>
              </w:rPr>
              <w:t>Entreprise chargée des travaux</w:t>
            </w:r>
          </w:p>
          <w:p w14:paraId="76AD0F71" w14:textId="77777777" w:rsidR="00CB4E93" w:rsidRPr="00A9330B" w:rsidRDefault="00CB4E93" w:rsidP="00CB4E93">
            <w:pPr>
              <w:widowControl w:val="0"/>
              <w:spacing w:before="60" w:line="240" w:lineRule="auto"/>
              <w:jc w:val="center"/>
              <w:rPr>
                <w:rFonts w:eastAsia="Calibri" w:cs="Arial"/>
                <w:color w:val="auto"/>
                <w:sz w:val="18"/>
                <w:szCs w:val="18"/>
              </w:rPr>
            </w:pPr>
            <w:r w:rsidRPr="00A9330B">
              <w:rPr>
                <w:rFonts w:eastAsia="Calibri" w:cs="Arial"/>
                <w:sz w:val="18"/>
                <w:szCs w:val="18"/>
              </w:rPr>
              <w:t>Entreprise contractante</w:t>
            </w:r>
          </w:p>
        </w:tc>
        <w:tc>
          <w:tcPr>
            <w:tcW w:w="897" w:type="pct"/>
            <w:tcBorders>
              <w:top w:val="single" w:sz="6" w:space="0" w:color="auto"/>
              <w:left w:val="single" w:sz="6" w:space="0" w:color="auto"/>
              <w:bottom w:val="single" w:sz="6" w:space="0" w:color="auto"/>
              <w:right w:val="single" w:sz="8" w:space="0" w:color="auto"/>
            </w:tcBorders>
          </w:tcPr>
          <w:p w14:paraId="68366433" w14:textId="77777777" w:rsidR="00CB4E93" w:rsidRPr="00A9330B" w:rsidRDefault="00CB4E93" w:rsidP="00CB4E93">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t xml:space="preserve">Mairie concernée (Natitingou)  </w:t>
            </w:r>
          </w:p>
          <w:p w14:paraId="09AEE600" w14:textId="77777777" w:rsidR="00CB4E93" w:rsidRPr="00A9330B" w:rsidRDefault="00CB4E93" w:rsidP="00CB4E93">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t>Direction Départementale du Cadre de Vie et du Développement Durable (DDCVDD-AD)</w:t>
            </w:r>
          </w:p>
          <w:p w14:paraId="15BA4FF1" w14:textId="77777777" w:rsidR="00CB4E93" w:rsidRPr="00A9330B" w:rsidRDefault="00CB4E93" w:rsidP="00CB4E93">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t xml:space="preserve">Inspection Forestière </w:t>
            </w:r>
          </w:p>
          <w:p w14:paraId="27997E09" w14:textId="77777777" w:rsidR="00CB4E93" w:rsidRPr="00A9330B" w:rsidRDefault="00CB4E93" w:rsidP="00CB4E93">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t xml:space="preserve">Direction Départementale des Infrastructures et des Transports </w:t>
            </w:r>
          </w:p>
        </w:tc>
        <w:tc>
          <w:tcPr>
            <w:tcW w:w="897" w:type="pct"/>
            <w:tcBorders>
              <w:top w:val="single" w:sz="6" w:space="0" w:color="auto"/>
              <w:left w:val="single" w:sz="6" w:space="0" w:color="auto"/>
              <w:bottom w:val="single" w:sz="6" w:space="0" w:color="auto"/>
              <w:right w:val="single" w:sz="8" w:space="0" w:color="auto"/>
            </w:tcBorders>
          </w:tcPr>
          <w:p w14:paraId="4684DC90" w14:textId="77777777" w:rsidR="00CB4E93" w:rsidRPr="00A9330B" w:rsidRDefault="00CB4E93" w:rsidP="00CB4E93">
            <w:pPr>
              <w:widowControl w:val="0"/>
              <w:autoSpaceDE w:val="0"/>
              <w:autoSpaceDN w:val="0"/>
              <w:adjustRightInd w:val="0"/>
              <w:spacing w:before="60"/>
              <w:rPr>
                <w:rFonts w:eastAsia="Calibri" w:cs="Arial"/>
                <w:sz w:val="18"/>
                <w:szCs w:val="18"/>
              </w:rPr>
            </w:pPr>
            <w:r w:rsidRPr="00A9330B">
              <w:rPr>
                <w:rFonts w:eastAsia="Calibri" w:cs="Arial"/>
                <w:sz w:val="18"/>
                <w:szCs w:val="18"/>
              </w:rPr>
              <w:t xml:space="preserve">Mise en terre des arbres d’alignement sur environ 2000 plants </w:t>
            </w:r>
          </w:p>
          <w:p w14:paraId="720E4A1D" w14:textId="77777777" w:rsidR="00CB4E93" w:rsidRPr="00A9330B" w:rsidRDefault="00CB4E93" w:rsidP="00CB4E93">
            <w:pPr>
              <w:widowControl w:val="0"/>
              <w:autoSpaceDE w:val="0"/>
              <w:autoSpaceDN w:val="0"/>
              <w:adjustRightInd w:val="0"/>
              <w:spacing w:before="60"/>
              <w:rPr>
                <w:rFonts w:eastAsia="Calibri" w:cs="Arial"/>
                <w:sz w:val="18"/>
                <w:szCs w:val="18"/>
              </w:rPr>
            </w:pPr>
          </w:p>
          <w:p w14:paraId="293E3784" w14:textId="77777777" w:rsidR="00CB4E93" w:rsidRPr="00A9330B" w:rsidRDefault="00CB4E93" w:rsidP="00CB4E93">
            <w:pPr>
              <w:widowControl w:val="0"/>
              <w:autoSpaceDE w:val="0"/>
              <w:autoSpaceDN w:val="0"/>
              <w:adjustRightInd w:val="0"/>
              <w:spacing w:before="60" w:line="240" w:lineRule="auto"/>
              <w:rPr>
                <w:rFonts w:eastAsia="Calibri" w:cs="Arial"/>
                <w:color w:val="auto"/>
                <w:sz w:val="18"/>
                <w:szCs w:val="18"/>
              </w:rPr>
            </w:pPr>
            <w:r w:rsidRPr="00A9330B">
              <w:rPr>
                <w:rFonts w:eastAsia="Calibri" w:cs="Arial"/>
                <w:b/>
              </w:rPr>
              <w:t xml:space="preserve">6 000 000 FCFA  </w:t>
            </w:r>
          </w:p>
        </w:tc>
      </w:tr>
      <w:tr w:rsidR="00CB4E93" w:rsidRPr="00A9330B" w14:paraId="06CFA4C9" w14:textId="77777777" w:rsidTr="00CB4E93">
        <w:trPr>
          <w:trHeight w:val="976"/>
        </w:trPr>
        <w:tc>
          <w:tcPr>
            <w:tcW w:w="996" w:type="pct"/>
            <w:tcBorders>
              <w:top w:val="single" w:sz="6" w:space="0" w:color="auto"/>
              <w:left w:val="single" w:sz="8" w:space="0" w:color="auto"/>
              <w:bottom w:val="single" w:sz="6" w:space="0" w:color="auto"/>
              <w:right w:val="single" w:sz="6" w:space="0" w:color="auto"/>
            </w:tcBorders>
          </w:tcPr>
          <w:p w14:paraId="273D6AF9" w14:textId="77777777" w:rsidR="00CB4E93" w:rsidRPr="00A9330B" w:rsidRDefault="00CB4E93" w:rsidP="00CB4E93">
            <w:pPr>
              <w:widowControl w:val="0"/>
              <w:spacing w:before="60" w:line="240" w:lineRule="auto"/>
              <w:jc w:val="both"/>
              <w:rPr>
                <w:rFonts w:eastAsia="Calibri" w:cs="Arial"/>
                <w:color w:val="auto"/>
                <w:sz w:val="18"/>
                <w:szCs w:val="18"/>
              </w:rPr>
            </w:pPr>
            <w:r w:rsidRPr="00A9330B">
              <w:rPr>
                <w:rFonts w:eastAsia="Calibri" w:cs="Arial"/>
                <w:color w:val="auto"/>
                <w:sz w:val="18"/>
                <w:szCs w:val="18"/>
              </w:rPr>
              <w:t xml:space="preserve">1.2.a.4.1. </w:t>
            </w:r>
          </w:p>
          <w:p w14:paraId="7A3D9092" w14:textId="77777777" w:rsidR="00CB4E93" w:rsidRPr="00A9330B" w:rsidRDefault="00CB4E93" w:rsidP="00CB4E93">
            <w:pPr>
              <w:widowControl w:val="0"/>
              <w:spacing w:before="60" w:line="240" w:lineRule="auto"/>
              <w:jc w:val="both"/>
              <w:rPr>
                <w:rFonts w:eastAsia="Calibri" w:cs="Arial"/>
                <w:color w:val="auto"/>
                <w:sz w:val="18"/>
                <w:szCs w:val="18"/>
              </w:rPr>
            </w:pPr>
            <w:r w:rsidRPr="00A9330B">
              <w:rPr>
                <w:rFonts w:eastAsia="Calibri" w:cs="Arial"/>
                <w:color w:val="auto"/>
                <w:sz w:val="18"/>
                <w:szCs w:val="18"/>
              </w:rPr>
              <w:t xml:space="preserve">Disposer de poubelles sur la base vie </w:t>
            </w:r>
          </w:p>
        </w:tc>
        <w:tc>
          <w:tcPr>
            <w:tcW w:w="916" w:type="pct"/>
            <w:tcBorders>
              <w:top w:val="single" w:sz="6" w:space="0" w:color="auto"/>
              <w:left w:val="single" w:sz="6" w:space="0" w:color="auto"/>
              <w:bottom w:val="single" w:sz="6" w:space="0" w:color="auto"/>
              <w:right w:val="single" w:sz="6" w:space="0" w:color="auto"/>
            </w:tcBorders>
          </w:tcPr>
          <w:p w14:paraId="26E02122" w14:textId="77777777" w:rsidR="00CB4E93" w:rsidRPr="00A9330B" w:rsidRDefault="00CB4E93" w:rsidP="00CB4E93">
            <w:pPr>
              <w:widowControl w:val="0"/>
              <w:autoSpaceDE w:val="0"/>
              <w:autoSpaceDN w:val="0"/>
              <w:adjustRightInd w:val="0"/>
              <w:spacing w:before="60" w:line="240" w:lineRule="auto"/>
              <w:jc w:val="both"/>
              <w:rPr>
                <w:rFonts w:eastAsia="Calibri" w:cs="Arial"/>
                <w:color w:val="auto"/>
                <w:sz w:val="18"/>
                <w:szCs w:val="18"/>
              </w:rPr>
            </w:pPr>
            <w:r w:rsidRPr="00A9330B">
              <w:rPr>
                <w:rFonts w:eastAsia="Calibri" w:cs="Arial"/>
                <w:color w:val="auto"/>
                <w:sz w:val="18"/>
                <w:szCs w:val="18"/>
              </w:rPr>
              <w:t xml:space="preserve">Au moins 10 poubelles installées sur la base vie </w:t>
            </w:r>
          </w:p>
        </w:tc>
        <w:tc>
          <w:tcPr>
            <w:tcW w:w="637" w:type="pct"/>
            <w:tcBorders>
              <w:top w:val="single" w:sz="6" w:space="0" w:color="auto"/>
              <w:left w:val="single" w:sz="6" w:space="0" w:color="auto"/>
              <w:bottom w:val="single" w:sz="6" w:space="0" w:color="auto"/>
              <w:right w:val="single" w:sz="6" w:space="0" w:color="auto"/>
            </w:tcBorders>
          </w:tcPr>
          <w:p w14:paraId="7F63E4FF" w14:textId="77777777" w:rsidR="00CB4E93" w:rsidRPr="00A9330B" w:rsidRDefault="00CB4E93" w:rsidP="00CB4E93">
            <w:pPr>
              <w:widowControl w:val="0"/>
              <w:autoSpaceDE w:val="0"/>
              <w:autoSpaceDN w:val="0"/>
              <w:adjustRightInd w:val="0"/>
              <w:spacing w:before="60" w:line="240" w:lineRule="auto"/>
              <w:jc w:val="center"/>
              <w:rPr>
                <w:rFonts w:eastAsia="Calibri" w:cs="Arial"/>
                <w:color w:val="auto"/>
                <w:sz w:val="18"/>
                <w:szCs w:val="18"/>
              </w:rPr>
            </w:pPr>
            <w:r w:rsidRPr="00A9330B">
              <w:rPr>
                <w:rFonts w:eastAsia="Calibri" w:cs="Arial"/>
                <w:color w:val="auto"/>
                <w:sz w:val="18"/>
                <w:szCs w:val="18"/>
              </w:rPr>
              <w:t>Toutes les phases du projet</w:t>
            </w:r>
          </w:p>
        </w:tc>
        <w:tc>
          <w:tcPr>
            <w:tcW w:w="657" w:type="pct"/>
            <w:tcBorders>
              <w:top w:val="single" w:sz="6" w:space="0" w:color="auto"/>
              <w:left w:val="single" w:sz="6" w:space="0" w:color="auto"/>
              <w:bottom w:val="single" w:sz="6" w:space="0" w:color="auto"/>
              <w:right w:val="single" w:sz="6" w:space="0" w:color="auto"/>
            </w:tcBorders>
          </w:tcPr>
          <w:p w14:paraId="36550E10" w14:textId="77777777" w:rsidR="00CB4E93" w:rsidRPr="00A9330B" w:rsidRDefault="00CB4E93" w:rsidP="00CB4E93">
            <w:pPr>
              <w:widowControl w:val="0"/>
              <w:spacing w:before="60" w:line="240" w:lineRule="auto"/>
              <w:jc w:val="center"/>
              <w:rPr>
                <w:rFonts w:eastAsia="Calibri" w:cs="Arial"/>
                <w:color w:val="auto"/>
                <w:sz w:val="18"/>
                <w:szCs w:val="18"/>
              </w:rPr>
            </w:pPr>
            <w:r w:rsidRPr="00A9330B">
              <w:rPr>
                <w:rFonts w:eastAsia="Calibri" w:cs="Arial"/>
                <w:color w:val="auto"/>
                <w:sz w:val="18"/>
                <w:szCs w:val="18"/>
              </w:rPr>
              <w:t>MDC</w:t>
            </w:r>
          </w:p>
          <w:p w14:paraId="7809465D" w14:textId="77777777" w:rsidR="00CB4E93" w:rsidRPr="00A9330B" w:rsidRDefault="00CB4E93" w:rsidP="00CB4E93">
            <w:pPr>
              <w:widowControl w:val="0"/>
              <w:spacing w:before="60" w:line="240" w:lineRule="auto"/>
              <w:jc w:val="center"/>
              <w:rPr>
                <w:rFonts w:eastAsia="Calibri" w:cs="Arial"/>
                <w:color w:val="auto"/>
                <w:sz w:val="18"/>
                <w:szCs w:val="18"/>
              </w:rPr>
            </w:pPr>
            <w:r w:rsidRPr="00A9330B">
              <w:rPr>
                <w:rFonts w:eastAsia="Calibri" w:cs="Arial"/>
                <w:color w:val="auto"/>
                <w:sz w:val="18"/>
                <w:szCs w:val="18"/>
              </w:rPr>
              <w:t>Entreprise chargée des travaux</w:t>
            </w:r>
          </w:p>
        </w:tc>
        <w:tc>
          <w:tcPr>
            <w:tcW w:w="897" w:type="pct"/>
            <w:tcBorders>
              <w:top w:val="single" w:sz="6" w:space="0" w:color="auto"/>
              <w:left w:val="single" w:sz="6" w:space="0" w:color="auto"/>
              <w:bottom w:val="single" w:sz="6" w:space="0" w:color="auto"/>
              <w:right w:val="single" w:sz="8" w:space="0" w:color="auto"/>
            </w:tcBorders>
          </w:tcPr>
          <w:p w14:paraId="16DD53BA" w14:textId="77777777" w:rsidR="00CB4E93" w:rsidRPr="00A9330B" w:rsidRDefault="00CB4E93" w:rsidP="00CB4E93">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t xml:space="preserve">Mairie concernée (Natitingou)  </w:t>
            </w:r>
          </w:p>
          <w:p w14:paraId="43E1B673" w14:textId="77777777" w:rsidR="00CB4E93" w:rsidRPr="00A9330B" w:rsidRDefault="00CB4E93" w:rsidP="00CB4E93">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t>Direction Départementale du Cadre de Vie et du Développement Durable (DDCVDD-AD)</w:t>
            </w:r>
          </w:p>
        </w:tc>
        <w:tc>
          <w:tcPr>
            <w:tcW w:w="897" w:type="pct"/>
            <w:tcBorders>
              <w:top w:val="single" w:sz="6" w:space="0" w:color="auto"/>
              <w:left w:val="single" w:sz="6" w:space="0" w:color="auto"/>
              <w:bottom w:val="single" w:sz="6" w:space="0" w:color="auto"/>
              <w:right w:val="single" w:sz="8" w:space="0" w:color="auto"/>
            </w:tcBorders>
          </w:tcPr>
          <w:p w14:paraId="4521363D" w14:textId="77777777" w:rsidR="00CB4E93" w:rsidRPr="00A9330B" w:rsidRDefault="00CB4E93" w:rsidP="00CB4E93">
            <w:pPr>
              <w:widowControl w:val="0"/>
              <w:autoSpaceDE w:val="0"/>
              <w:autoSpaceDN w:val="0"/>
              <w:adjustRightInd w:val="0"/>
              <w:spacing w:before="60" w:line="240" w:lineRule="auto"/>
              <w:rPr>
                <w:rFonts w:eastAsia="Calibri" w:cs="Arial"/>
                <w:sz w:val="20"/>
                <w:szCs w:val="20"/>
              </w:rPr>
            </w:pPr>
            <w:r w:rsidRPr="00A9330B">
              <w:rPr>
                <w:rFonts w:eastAsia="Calibri" w:cs="Arial"/>
                <w:sz w:val="20"/>
                <w:szCs w:val="20"/>
              </w:rPr>
              <w:t xml:space="preserve">1- Ligne budgétaire HSE </w:t>
            </w:r>
          </w:p>
          <w:p w14:paraId="262AA18C" w14:textId="77777777" w:rsidR="00CB4E93" w:rsidRPr="00A9330B" w:rsidRDefault="00CB4E93" w:rsidP="00CB4E93">
            <w:pPr>
              <w:widowControl w:val="0"/>
              <w:autoSpaceDE w:val="0"/>
              <w:autoSpaceDN w:val="0"/>
              <w:adjustRightInd w:val="0"/>
              <w:spacing w:before="60" w:line="240" w:lineRule="auto"/>
              <w:rPr>
                <w:rFonts w:eastAsia="Calibri" w:cs="Arial"/>
                <w:sz w:val="20"/>
                <w:szCs w:val="20"/>
              </w:rPr>
            </w:pPr>
            <w:r w:rsidRPr="00A9330B">
              <w:rPr>
                <w:rFonts w:eastAsia="Calibri" w:cs="Arial"/>
                <w:sz w:val="20"/>
                <w:szCs w:val="20"/>
              </w:rPr>
              <w:t xml:space="preserve">2- Entretien des bases vie </w:t>
            </w:r>
          </w:p>
          <w:p w14:paraId="4C84341A" w14:textId="77777777" w:rsidR="00CB4E93" w:rsidRPr="00A9330B" w:rsidRDefault="00CB4E93" w:rsidP="00CB4E93">
            <w:pPr>
              <w:widowControl w:val="0"/>
              <w:autoSpaceDE w:val="0"/>
              <w:autoSpaceDN w:val="0"/>
              <w:adjustRightInd w:val="0"/>
              <w:spacing w:before="60" w:line="240" w:lineRule="auto"/>
              <w:rPr>
                <w:rFonts w:eastAsia="Calibri" w:cs="Arial"/>
                <w:color w:val="auto"/>
                <w:sz w:val="18"/>
                <w:szCs w:val="18"/>
              </w:rPr>
            </w:pPr>
            <w:r w:rsidRPr="00A9330B">
              <w:rPr>
                <w:rFonts w:eastAsia="Calibri" w:cs="Arial"/>
                <w:sz w:val="20"/>
              </w:rPr>
              <w:t>(voir gestion des déchets)</w:t>
            </w:r>
          </w:p>
        </w:tc>
      </w:tr>
      <w:tr w:rsidR="00CB4E93" w:rsidRPr="00A9330B" w14:paraId="52C13572" w14:textId="77777777" w:rsidTr="00CB4E93">
        <w:trPr>
          <w:trHeight w:val="1264"/>
        </w:trPr>
        <w:tc>
          <w:tcPr>
            <w:tcW w:w="996" w:type="pct"/>
            <w:tcBorders>
              <w:top w:val="single" w:sz="6" w:space="0" w:color="auto"/>
              <w:left w:val="single" w:sz="8" w:space="0" w:color="auto"/>
              <w:bottom w:val="single" w:sz="6" w:space="0" w:color="auto"/>
              <w:right w:val="single" w:sz="6" w:space="0" w:color="auto"/>
            </w:tcBorders>
          </w:tcPr>
          <w:p w14:paraId="66F1769A" w14:textId="77777777" w:rsidR="00CB4E93" w:rsidRPr="00A9330B" w:rsidRDefault="00CB4E93" w:rsidP="00CB4E93">
            <w:pPr>
              <w:widowControl w:val="0"/>
              <w:spacing w:before="60" w:line="240" w:lineRule="auto"/>
              <w:jc w:val="both"/>
              <w:rPr>
                <w:rFonts w:cs="Arial"/>
                <w:color w:val="auto"/>
                <w:sz w:val="18"/>
                <w:szCs w:val="18"/>
              </w:rPr>
            </w:pPr>
            <w:r w:rsidRPr="00A9330B">
              <w:rPr>
                <w:rFonts w:eastAsia="Calibri" w:cs="Arial"/>
                <w:color w:val="auto"/>
                <w:sz w:val="18"/>
                <w:szCs w:val="18"/>
              </w:rPr>
              <w:t xml:space="preserve">1.2.a.4.2 ; 1.2.a.5.2 ; 2.8.a.2.5 ; </w:t>
            </w:r>
            <w:r w:rsidRPr="00A9330B">
              <w:rPr>
                <w:rFonts w:cs="Arial"/>
                <w:color w:val="auto"/>
                <w:sz w:val="18"/>
                <w:szCs w:val="18"/>
              </w:rPr>
              <w:t xml:space="preserve">2.8.a.3.3 ; </w:t>
            </w:r>
            <w:r w:rsidRPr="00A9330B">
              <w:rPr>
                <w:rFonts w:eastAsia="Calibri" w:cs="Arial"/>
                <w:color w:val="auto"/>
                <w:sz w:val="18"/>
                <w:szCs w:val="18"/>
              </w:rPr>
              <w:t>2.8.a.4.1 ; 2.10.a.3.1 ;</w:t>
            </w:r>
            <w:r w:rsidRPr="00A9330B">
              <w:rPr>
                <w:rFonts w:cs="Arial"/>
                <w:color w:val="auto"/>
                <w:sz w:val="18"/>
                <w:szCs w:val="18"/>
              </w:rPr>
              <w:t xml:space="preserve"> 2.10.a.4.3 ; 2.10.a.5.3 ;</w:t>
            </w:r>
          </w:p>
          <w:p w14:paraId="585FEC01" w14:textId="77777777" w:rsidR="00CB4E93" w:rsidRPr="00A9330B" w:rsidRDefault="00CB4E93" w:rsidP="00CB4E93">
            <w:pPr>
              <w:widowControl w:val="0"/>
              <w:spacing w:before="60" w:line="240" w:lineRule="auto"/>
              <w:jc w:val="both"/>
              <w:rPr>
                <w:rFonts w:eastAsia="Calibri" w:cs="Arial"/>
                <w:color w:val="auto"/>
                <w:sz w:val="18"/>
                <w:szCs w:val="18"/>
              </w:rPr>
            </w:pPr>
            <w:r w:rsidRPr="00A9330B">
              <w:rPr>
                <w:rFonts w:cs="Arial"/>
                <w:color w:val="auto"/>
                <w:sz w:val="18"/>
                <w:szCs w:val="18"/>
              </w:rPr>
              <w:t>2.10.a.6.3.</w:t>
            </w:r>
          </w:p>
          <w:p w14:paraId="72EDB814" w14:textId="77777777" w:rsidR="00CB4E93" w:rsidRPr="00A9330B" w:rsidRDefault="00CB4E93" w:rsidP="00CB4E93">
            <w:pPr>
              <w:widowControl w:val="0"/>
              <w:spacing w:before="60" w:line="240" w:lineRule="auto"/>
              <w:jc w:val="both"/>
              <w:rPr>
                <w:rFonts w:eastAsia="Calibri" w:cs="Arial"/>
                <w:color w:val="auto"/>
                <w:sz w:val="18"/>
                <w:szCs w:val="18"/>
              </w:rPr>
            </w:pPr>
            <w:r w:rsidRPr="00A9330B">
              <w:rPr>
                <w:rFonts w:eastAsia="Calibri" w:cs="Arial"/>
                <w:color w:val="auto"/>
                <w:sz w:val="18"/>
                <w:szCs w:val="18"/>
              </w:rPr>
              <w:t>Veiller à la collecte et à l’enlèvement des déchets solides et des huiles usagées par une structure agréée</w:t>
            </w:r>
          </w:p>
        </w:tc>
        <w:tc>
          <w:tcPr>
            <w:tcW w:w="916" w:type="pct"/>
            <w:tcBorders>
              <w:top w:val="single" w:sz="6" w:space="0" w:color="auto"/>
              <w:left w:val="single" w:sz="6" w:space="0" w:color="auto"/>
              <w:bottom w:val="single" w:sz="6" w:space="0" w:color="auto"/>
              <w:right w:val="single" w:sz="6" w:space="0" w:color="auto"/>
            </w:tcBorders>
          </w:tcPr>
          <w:p w14:paraId="24BBCFAD" w14:textId="77777777" w:rsidR="00CB4E93" w:rsidRPr="00A9330B" w:rsidRDefault="00CB4E93" w:rsidP="00CB4E93">
            <w:pPr>
              <w:widowControl w:val="0"/>
              <w:autoSpaceDE w:val="0"/>
              <w:autoSpaceDN w:val="0"/>
              <w:adjustRightInd w:val="0"/>
              <w:spacing w:before="60" w:line="240" w:lineRule="auto"/>
              <w:jc w:val="both"/>
              <w:rPr>
                <w:rFonts w:eastAsia="Calibri" w:cs="Arial"/>
                <w:color w:val="auto"/>
                <w:sz w:val="18"/>
                <w:szCs w:val="18"/>
              </w:rPr>
            </w:pPr>
            <w:r w:rsidRPr="00A9330B">
              <w:rPr>
                <w:rFonts w:eastAsia="Calibri" w:cs="Arial"/>
                <w:color w:val="auto"/>
                <w:sz w:val="18"/>
                <w:szCs w:val="18"/>
              </w:rPr>
              <w:t xml:space="preserve">Contrat avec une structure agréée de gestion des déchets </w:t>
            </w:r>
          </w:p>
          <w:p w14:paraId="541AF5CA" w14:textId="77777777" w:rsidR="00CB4E93" w:rsidRPr="00A9330B" w:rsidRDefault="00CB4E93" w:rsidP="00CB4E93">
            <w:pPr>
              <w:widowControl w:val="0"/>
              <w:autoSpaceDE w:val="0"/>
              <w:autoSpaceDN w:val="0"/>
              <w:adjustRightInd w:val="0"/>
              <w:spacing w:before="60" w:line="240" w:lineRule="auto"/>
              <w:jc w:val="both"/>
              <w:rPr>
                <w:rFonts w:eastAsia="Calibri" w:cs="Arial"/>
                <w:color w:val="auto"/>
                <w:sz w:val="18"/>
                <w:szCs w:val="18"/>
              </w:rPr>
            </w:pPr>
            <w:r w:rsidRPr="00A9330B">
              <w:rPr>
                <w:rFonts w:eastAsia="Calibri" w:cs="Arial"/>
                <w:color w:val="auto"/>
                <w:sz w:val="18"/>
                <w:szCs w:val="18"/>
              </w:rPr>
              <w:t xml:space="preserve">Fréquence et procédure de collecte et d’enlèvement des déchets </w:t>
            </w:r>
          </w:p>
          <w:p w14:paraId="29542D56" w14:textId="77777777" w:rsidR="00CB4E93" w:rsidRPr="00A9330B" w:rsidRDefault="00CB4E93" w:rsidP="00CB4E93">
            <w:pPr>
              <w:widowControl w:val="0"/>
              <w:autoSpaceDE w:val="0"/>
              <w:autoSpaceDN w:val="0"/>
              <w:adjustRightInd w:val="0"/>
              <w:spacing w:before="60" w:line="240" w:lineRule="auto"/>
              <w:jc w:val="both"/>
              <w:rPr>
                <w:rFonts w:eastAsia="Calibri" w:cs="Arial"/>
                <w:color w:val="auto"/>
                <w:sz w:val="18"/>
                <w:szCs w:val="18"/>
              </w:rPr>
            </w:pPr>
            <w:r w:rsidRPr="00A9330B">
              <w:rPr>
                <w:rFonts w:eastAsia="Calibri" w:cs="Arial"/>
                <w:color w:val="auto"/>
                <w:sz w:val="18"/>
                <w:szCs w:val="18"/>
              </w:rPr>
              <w:t xml:space="preserve">Inexistence de dépotoirs sauvages ou activités jugées polluantes sur le site </w:t>
            </w:r>
          </w:p>
        </w:tc>
        <w:tc>
          <w:tcPr>
            <w:tcW w:w="637" w:type="pct"/>
            <w:tcBorders>
              <w:top w:val="single" w:sz="6" w:space="0" w:color="auto"/>
              <w:left w:val="single" w:sz="6" w:space="0" w:color="auto"/>
              <w:bottom w:val="single" w:sz="6" w:space="0" w:color="auto"/>
              <w:right w:val="single" w:sz="6" w:space="0" w:color="auto"/>
            </w:tcBorders>
          </w:tcPr>
          <w:p w14:paraId="1D5C05C0" w14:textId="77777777" w:rsidR="00CB4E93" w:rsidRPr="00A9330B" w:rsidRDefault="00CB4E93" w:rsidP="00CB4E93">
            <w:pPr>
              <w:widowControl w:val="0"/>
              <w:autoSpaceDE w:val="0"/>
              <w:autoSpaceDN w:val="0"/>
              <w:adjustRightInd w:val="0"/>
              <w:spacing w:before="60" w:line="240" w:lineRule="auto"/>
              <w:jc w:val="center"/>
              <w:rPr>
                <w:rFonts w:eastAsia="Calibri" w:cs="Arial"/>
                <w:color w:val="auto"/>
                <w:sz w:val="18"/>
                <w:szCs w:val="18"/>
              </w:rPr>
            </w:pPr>
            <w:r w:rsidRPr="00A9330B">
              <w:rPr>
                <w:rFonts w:eastAsia="Calibri" w:cs="Arial"/>
                <w:color w:val="auto"/>
                <w:sz w:val="18"/>
                <w:szCs w:val="18"/>
              </w:rPr>
              <w:t>Toutes les phases du projet</w:t>
            </w:r>
          </w:p>
        </w:tc>
        <w:tc>
          <w:tcPr>
            <w:tcW w:w="657" w:type="pct"/>
            <w:tcBorders>
              <w:top w:val="single" w:sz="6" w:space="0" w:color="auto"/>
              <w:left w:val="single" w:sz="6" w:space="0" w:color="auto"/>
              <w:bottom w:val="single" w:sz="6" w:space="0" w:color="auto"/>
              <w:right w:val="single" w:sz="6" w:space="0" w:color="auto"/>
            </w:tcBorders>
          </w:tcPr>
          <w:p w14:paraId="6E55517E" w14:textId="77777777" w:rsidR="00CB4E93" w:rsidRPr="00A9330B" w:rsidRDefault="00CB4E93" w:rsidP="00CB4E93">
            <w:pPr>
              <w:widowControl w:val="0"/>
              <w:spacing w:before="60" w:line="240" w:lineRule="auto"/>
              <w:jc w:val="center"/>
              <w:rPr>
                <w:rFonts w:eastAsia="Calibri" w:cs="Arial"/>
                <w:color w:val="auto"/>
                <w:sz w:val="18"/>
                <w:szCs w:val="18"/>
              </w:rPr>
            </w:pPr>
            <w:r w:rsidRPr="00A9330B">
              <w:rPr>
                <w:rFonts w:eastAsia="Calibri" w:cs="Arial"/>
                <w:color w:val="auto"/>
                <w:sz w:val="18"/>
                <w:szCs w:val="18"/>
              </w:rPr>
              <w:t>MDC</w:t>
            </w:r>
          </w:p>
          <w:p w14:paraId="5A243832" w14:textId="77777777" w:rsidR="00CB4E93" w:rsidRPr="00A9330B" w:rsidRDefault="00CB4E93" w:rsidP="00CB4E93">
            <w:pPr>
              <w:widowControl w:val="0"/>
              <w:spacing w:before="60" w:line="240" w:lineRule="auto"/>
              <w:jc w:val="center"/>
              <w:rPr>
                <w:rFonts w:eastAsia="Calibri" w:cs="Arial"/>
                <w:color w:val="auto"/>
                <w:sz w:val="18"/>
                <w:szCs w:val="18"/>
              </w:rPr>
            </w:pPr>
            <w:r w:rsidRPr="00A9330B">
              <w:rPr>
                <w:rFonts w:eastAsia="Calibri" w:cs="Arial"/>
                <w:color w:val="auto"/>
                <w:sz w:val="18"/>
                <w:szCs w:val="18"/>
              </w:rPr>
              <w:t>Entreprise chargée des travaux</w:t>
            </w:r>
          </w:p>
        </w:tc>
        <w:tc>
          <w:tcPr>
            <w:tcW w:w="897" w:type="pct"/>
            <w:tcBorders>
              <w:top w:val="single" w:sz="6" w:space="0" w:color="auto"/>
              <w:left w:val="single" w:sz="6" w:space="0" w:color="auto"/>
              <w:bottom w:val="single" w:sz="6" w:space="0" w:color="auto"/>
              <w:right w:val="single" w:sz="8" w:space="0" w:color="auto"/>
            </w:tcBorders>
          </w:tcPr>
          <w:p w14:paraId="3A8CC5E2" w14:textId="77777777" w:rsidR="00CB4E93" w:rsidRPr="00A9330B" w:rsidRDefault="00CB4E93" w:rsidP="00CB4E93">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t xml:space="preserve">Mairie concernée (Natitingou)  </w:t>
            </w:r>
          </w:p>
          <w:p w14:paraId="45904246" w14:textId="77777777" w:rsidR="00CB4E93" w:rsidRPr="00A9330B" w:rsidRDefault="00CB4E93" w:rsidP="00CB4E93">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t>Direction Départementale du Cadre de Vie et du Développement Durable (DDCVDD-AD)</w:t>
            </w:r>
          </w:p>
        </w:tc>
        <w:tc>
          <w:tcPr>
            <w:tcW w:w="897" w:type="pct"/>
            <w:tcBorders>
              <w:top w:val="single" w:sz="6" w:space="0" w:color="auto"/>
              <w:left w:val="single" w:sz="6" w:space="0" w:color="auto"/>
              <w:bottom w:val="single" w:sz="6" w:space="0" w:color="auto"/>
              <w:right w:val="single" w:sz="8" w:space="0" w:color="auto"/>
            </w:tcBorders>
          </w:tcPr>
          <w:p w14:paraId="4A4B42BB" w14:textId="77777777" w:rsidR="00CB4E93" w:rsidRPr="00A9330B" w:rsidRDefault="00CB4E93" w:rsidP="00CB4E93">
            <w:pPr>
              <w:widowControl w:val="0"/>
              <w:autoSpaceDE w:val="0"/>
              <w:autoSpaceDN w:val="0"/>
              <w:adjustRightInd w:val="0"/>
              <w:spacing w:before="60" w:line="240" w:lineRule="auto"/>
              <w:rPr>
                <w:rFonts w:eastAsia="Calibri" w:cs="Arial"/>
                <w:sz w:val="20"/>
                <w:szCs w:val="20"/>
              </w:rPr>
            </w:pPr>
            <w:r w:rsidRPr="00A9330B">
              <w:rPr>
                <w:rFonts w:eastAsia="Calibri" w:cs="Arial"/>
                <w:sz w:val="20"/>
                <w:szCs w:val="20"/>
              </w:rPr>
              <w:t xml:space="preserve">1- Ligne budgétaire HSE </w:t>
            </w:r>
          </w:p>
          <w:p w14:paraId="444BEED4" w14:textId="77777777" w:rsidR="00CB4E93" w:rsidRPr="00A9330B" w:rsidRDefault="00CB4E93" w:rsidP="00CB4E93">
            <w:pPr>
              <w:widowControl w:val="0"/>
              <w:autoSpaceDE w:val="0"/>
              <w:autoSpaceDN w:val="0"/>
              <w:adjustRightInd w:val="0"/>
              <w:spacing w:before="60" w:line="240" w:lineRule="auto"/>
              <w:rPr>
                <w:rFonts w:eastAsia="Calibri" w:cs="Arial"/>
                <w:sz w:val="20"/>
                <w:szCs w:val="20"/>
              </w:rPr>
            </w:pPr>
            <w:r w:rsidRPr="00A9330B">
              <w:rPr>
                <w:rFonts w:eastAsia="Calibri" w:cs="Arial"/>
                <w:sz w:val="20"/>
                <w:szCs w:val="20"/>
              </w:rPr>
              <w:t xml:space="preserve">2- Entretien des bases vie </w:t>
            </w:r>
          </w:p>
          <w:p w14:paraId="30160E43" w14:textId="77777777" w:rsidR="00CB4E93" w:rsidRPr="00A9330B" w:rsidRDefault="00CB4E93" w:rsidP="00CB4E93">
            <w:pPr>
              <w:widowControl w:val="0"/>
              <w:autoSpaceDE w:val="0"/>
              <w:autoSpaceDN w:val="0"/>
              <w:adjustRightInd w:val="0"/>
              <w:spacing w:before="60" w:line="240" w:lineRule="auto"/>
              <w:rPr>
                <w:rFonts w:eastAsia="Calibri" w:cs="Arial"/>
                <w:sz w:val="20"/>
                <w:szCs w:val="20"/>
              </w:rPr>
            </w:pPr>
            <w:r w:rsidRPr="00A9330B">
              <w:rPr>
                <w:rFonts w:eastAsia="Calibri" w:cs="Arial"/>
                <w:sz w:val="20"/>
                <w:szCs w:val="20"/>
              </w:rPr>
              <w:t>(02 agents d’entretien, acquisition et renouvellement des poubelles, abonnement à une structure de collecte, …)</w:t>
            </w:r>
          </w:p>
          <w:p w14:paraId="592DF29C" w14:textId="77777777" w:rsidR="00CB4E93" w:rsidRPr="00A9330B" w:rsidRDefault="00CB4E93" w:rsidP="00CB4E93">
            <w:pPr>
              <w:widowControl w:val="0"/>
              <w:autoSpaceDE w:val="0"/>
              <w:autoSpaceDN w:val="0"/>
              <w:adjustRightInd w:val="0"/>
              <w:spacing w:before="60" w:line="240" w:lineRule="auto"/>
              <w:rPr>
                <w:rFonts w:eastAsia="Calibri" w:cs="Arial"/>
                <w:color w:val="auto"/>
                <w:sz w:val="18"/>
                <w:szCs w:val="18"/>
              </w:rPr>
            </w:pPr>
            <w:r w:rsidRPr="00A9330B">
              <w:rPr>
                <w:rFonts w:eastAsia="Calibri" w:cs="Arial"/>
                <w:b/>
                <w:sz w:val="20"/>
                <w:szCs w:val="20"/>
              </w:rPr>
              <w:t xml:space="preserve">20 000 000 FCFA ou an </w:t>
            </w:r>
          </w:p>
        </w:tc>
      </w:tr>
      <w:tr w:rsidR="00CB4E93" w:rsidRPr="00A9330B" w14:paraId="7614AC15" w14:textId="77777777" w:rsidTr="00CB4E93">
        <w:trPr>
          <w:trHeight w:val="1264"/>
        </w:trPr>
        <w:tc>
          <w:tcPr>
            <w:tcW w:w="996" w:type="pct"/>
            <w:tcBorders>
              <w:top w:val="single" w:sz="6" w:space="0" w:color="auto"/>
              <w:left w:val="single" w:sz="8" w:space="0" w:color="auto"/>
              <w:bottom w:val="single" w:sz="6" w:space="0" w:color="auto"/>
              <w:right w:val="single" w:sz="6" w:space="0" w:color="auto"/>
            </w:tcBorders>
          </w:tcPr>
          <w:p w14:paraId="592C2A08" w14:textId="77777777" w:rsidR="00CB4E93" w:rsidRPr="00A9330B" w:rsidRDefault="00CB4E93" w:rsidP="00CB4E93">
            <w:pPr>
              <w:widowControl w:val="0"/>
              <w:spacing w:before="60" w:line="240" w:lineRule="auto"/>
              <w:rPr>
                <w:rFonts w:eastAsia="Calibri" w:cs="Arial"/>
                <w:color w:val="auto"/>
                <w:sz w:val="18"/>
                <w:szCs w:val="18"/>
              </w:rPr>
            </w:pPr>
            <w:r w:rsidRPr="00A9330B">
              <w:rPr>
                <w:rFonts w:eastAsia="Calibri" w:cs="Arial"/>
                <w:color w:val="auto"/>
                <w:sz w:val="18"/>
                <w:szCs w:val="18"/>
              </w:rPr>
              <w:t>1.2.a.6.1. ; 2.5.a.3.1. ; 2.8.a.2.1. </w:t>
            </w:r>
          </w:p>
          <w:p w14:paraId="0E556A06" w14:textId="77777777" w:rsidR="00CB4E93" w:rsidRPr="00A9330B" w:rsidRDefault="00CB4E93" w:rsidP="00CB4E93">
            <w:pPr>
              <w:widowControl w:val="0"/>
              <w:spacing w:before="60" w:line="240" w:lineRule="auto"/>
              <w:rPr>
                <w:rFonts w:eastAsia="Calibri" w:cs="Arial"/>
                <w:color w:val="auto"/>
                <w:sz w:val="18"/>
                <w:szCs w:val="18"/>
              </w:rPr>
            </w:pPr>
            <w:r w:rsidRPr="00A9330B">
              <w:rPr>
                <w:rFonts w:eastAsia="Calibri" w:cs="Arial"/>
                <w:color w:val="auto"/>
                <w:sz w:val="18"/>
                <w:szCs w:val="18"/>
              </w:rPr>
              <w:t xml:space="preserve">Aménager des bassins de décantation dans la base vie au niveau de l’atelier de mécanique, des centrales à béton et à enrobé pour la collecte des eaux usées </w:t>
            </w:r>
          </w:p>
        </w:tc>
        <w:tc>
          <w:tcPr>
            <w:tcW w:w="916" w:type="pct"/>
            <w:tcBorders>
              <w:top w:val="single" w:sz="6" w:space="0" w:color="auto"/>
              <w:left w:val="single" w:sz="6" w:space="0" w:color="auto"/>
              <w:bottom w:val="single" w:sz="6" w:space="0" w:color="auto"/>
              <w:right w:val="single" w:sz="6" w:space="0" w:color="auto"/>
            </w:tcBorders>
          </w:tcPr>
          <w:p w14:paraId="7DD117FB" w14:textId="77777777" w:rsidR="00CB4E93" w:rsidRPr="00A9330B" w:rsidRDefault="00CB4E93" w:rsidP="00CB4E93">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t xml:space="preserve">Présence de bassins/bacs de décantation aux endroits indiqués sur le site </w:t>
            </w:r>
          </w:p>
        </w:tc>
        <w:tc>
          <w:tcPr>
            <w:tcW w:w="637" w:type="pct"/>
            <w:tcBorders>
              <w:top w:val="single" w:sz="6" w:space="0" w:color="auto"/>
              <w:left w:val="single" w:sz="6" w:space="0" w:color="auto"/>
              <w:bottom w:val="single" w:sz="6" w:space="0" w:color="auto"/>
              <w:right w:val="single" w:sz="6" w:space="0" w:color="auto"/>
            </w:tcBorders>
          </w:tcPr>
          <w:p w14:paraId="5991F40A" w14:textId="77777777" w:rsidR="00CB4E93" w:rsidRPr="00A9330B" w:rsidRDefault="00CB4E93" w:rsidP="00CB4E93">
            <w:pPr>
              <w:widowControl w:val="0"/>
              <w:autoSpaceDE w:val="0"/>
              <w:autoSpaceDN w:val="0"/>
              <w:adjustRightInd w:val="0"/>
              <w:spacing w:before="60" w:line="240" w:lineRule="auto"/>
              <w:jc w:val="center"/>
              <w:rPr>
                <w:rFonts w:eastAsia="Calibri" w:cs="Arial"/>
                <w:color w:val="auto"/>
                <w:sz w:val="18"/>
                <w:szCs w:val="18"/>
              </w:rPr>
            </w:pPr>
            <w:r w:rsidRPr="00A9330B">
              <w:rPr>
                <w:rFonts w:eastAsia="Calibri" w:cs="Arial"/>
                <w:color w:val="auto"/>
                <w:sz w:val="18"/>
                <w:szCs w:val="18"/>
              </w:rPr>
              <w:t>Phase de préparation et de construction</w:t>
            </w:r>
          </w:p>
        </w:tc>
        <w:tc>
          <w:tcPr>
            <w:tcW w:w="657" w:type="pct"/>
            <w:tcBorders>
              <w:top w:val="single" w:sz="6" w:space="0" w:color="auto"/>
              <w:left w:val="single" w:sz="6" w:space="0" w:color="auto"/>
              <w:bottom w:val="single" w:sz="6" w:space="0" w:color="auto"/>
              <w:right w:val="single" w:sz="6" w:space="0" w:color="auto"/>
            </w:tcBorders>
          </w:tcPr>
          <w:p w14:paraId="4F4C0736" w14:textId="77777777" w:rsidR="00CB4E93" w:rsidRPr="00A9330B" w:rsidRDefault="00CB4E93" w:rsidP="00CB4E93">
            <w:pPr>
              <w:widowControl w:val="0"/>
              <w:spacing w:before="60" w:line="240" w:lineRule="auto"/>
              <w:jc w:val="center"/>
              <w:rPr>
                <w:rFonts w:eastAsia="Calibri" w:cs="Arial"/>
                <w:color w:val="auto"/>
                <w:sz w:val="18"/>
                <w:szCs w:val="18"/>
              </w:rPr>
            </w:pPr>
            <w:r w:rsidRPr="00A9330B">
              <w:rPr>
                <w:rFonts w:eastAsia="Calibri" w:cs="Arial"/>
                <w:color w:val="auto"/>
                <w:sz w:val="18"/>
                <w:szCs w:val="18"/>
              </w:rPr>
              <w:t>MDC</w:t>
            </w:r>
          </w:p>
          <w:p w14:paraId="32BD8BD1" w14:textId="77777777" w:rsidR="00CB4E93" w:rsidRPr="00A9330B" w:rsidRDefault="00CB4E93" w:rsidP="00CB4E93">
            <w:pPr>
              <w:widowControl w:val="0"/>
              <w:spacing w:before="60" w:line="240" w:lineRule="auto"/>
              <w:jc w:val="center"/>
              <w:rPr>
                <w:rFonts w:eastAsia="Calibri" w:cs="Arial"/>
                <w:color w:val="auto"/>
                <w:sz w:val="18"/>
                <w:szCs w:val="18"/>
              </w:rPr>
            </w:pPr>
            <w:r w:rsidRPr="00A9330B">
              <w:rPr>
                <w:rFonts w:eastAsia="Calibri" w:cs="Arial"/>
                <w:color w:val="auto"/>
                <w:sz w:val="18"/>
                <w:szCs w:val="18"/>
              </w:rPr>
              <w:t>Entreprise chargée des travaux</w:t>
            </w:r>
          </w:p>
        </w:tc>
        <w:tc>
          <w:tcPr>
            <w:tcW w:w="897" w:type="pct"/>
            <w:tcBorders>
              <w:top w:val="single" w:sz="6" w:space="0" w:color="auto"/>
              <w:left w:val="single" w:sz="6" w:space="0" w:color="auto"/>
              <w:bottom w:val="single" w:sz="6" w:space="0" w:color="auto"/>
              <w:right w:val="single" w:sz="8" w:space="0" w:color="auto"/>
            </w:tcBorders>
          </w:tcPr>
          <w:p w14:paraId="2CA9ABAA" w14:textId="77777777" w:rsidR="00CB4E93" w:rsidRPr="00A9330B" w:rsidRDefault="00CB4E93" w:rsidP="00CB4E93">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t>Mairie de Natitingou</w:t>
            </w:r>
          </w:p>
          <w:p w14:paraId="042B7154" w14:textId="77777777" w:rsidR="00CB4E93" w:rsidRPr="00A9330B" w:rsidRDefault="00CB4E93" w:rsidP="00CB4E93">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t>Direction Départementale du Cadre de Vie et du Développement Durable (DDCVDD- AD)</w:t>
            </w:r>
          </w:p>
        </w:tc>
        <w:tc>
          <w:tcPr>
            <w:tcW w:w="897" w:type="pct"/>
            <w:tcBorders>
              <w:top w:val="single" w:sz="6" w:space="0" w:color="auto"/>
              <w:left w:val="single" w:sz="6" w:space="0" w:color="auto"/>
              <w:bottom w:val="single" w:sz="6" w:space="0" w:color="auto"/>
              <w:right w:val="single" w:sz="8" w:space="0" w:color="auto"/>
            </w:tcBorders>
          </w:tcPr>
          <w:p w14:paraId="11A74B75" w14:textId="77777777" w:rsidR="00CB4E93" w:rsidRPr="00A9330B" w:rsidRDefault="00CB4E93" w:rsidP="00CB4E93">
            <w:pPr>
              <w:widowControl w:val="0"/>
              <w:autoSpaceDE w:val="0"/>
              <w:autoSpaceDN w:val="0"/>
              <w:adjustRightInd w:val="0"/>
              <w:spacing w:before="60" w:line="240" w:lineRule="auto"/>
              <w:rPr>
                <w:rFonts w:eastAsia="Calibri" w:cs="Arial"/>
                <w:sz w:val="20"/>
                <w:szCs w:val="20"/>
              </w:rPr>
            </w:pPr>
            <w:r w:rsidRPr="00A9330B">
              <w:rPr>
                <w:rFonts w:eastAsia="Calibri" w:cs="Arial"/>
                <w:sz w:val="20"/>
                <w:szCs w:val="20"/>
              </w:rPr>
              <w:t>Installation de chantier</w:t>
            </w:r>
          </w:p>
          <w:p w14:paraId="5A0673DC" w14:textId="77777777" w:rsidR="00CB4E93" w:rsidRPr="00A9330B" w:rsidRDefault="00CB4E93" w:rsidP="00CB4E93">
            <w:pPr>
              <w:widowControl w:val="0"/>
              <w:autoSpaceDE w:val="0"/>
              <w:autoSpaceDN w:val="0"/>
              <w:adjustRightInd w:val="0"/>
              <w:spacing w:before="60" w:line="240" w:lineRule="auto"/>
              <w:rPr>
                <w:rFonts w:eastAsia="Calibri" w:cs="Arial"/>
                <w:sz w:val="20"/>
                <w:szCs w:val="20"/>
              </w:rPr>
            </w:pPr>
          </w:p>
          <w:p w14:paraId="4497AD24" w14:textId="77777777" w:rsidR="00CB4E93" w:rsidRPr="00A9330B" w:rsidRDefault="00CB4E93" w:rsidP="00CB4E93">
            <w:pPr>
              <w:widowControl w:val="0"/>
              <w:autoSpaceDE w:val="0"/>
              <w:autoSpaceDN w:val="0"/>
              <w:adjustRightInd w:val="0"/>
              <w:spacing w:before="60" w:line="240" w:lineRule="auto"/>
              <w:rPr>
                <w:rFonts w:eastAsia="Calibri" w:cs="Arial"/>
                <w:sz w:val="20"/>
                <w:szCs w:val="20"/>
              </w:rPr>
            </w:pPr>
          </w:p>
          <w:p w14:paraId="09DA1F57" w14:textId="77777777" w:rsidR="00CB4E93" w:rsidRPr="00A9330B" w:rsidRDefault="00CB4E93" w:rsidP="00CB4E93">
            <w:pPr>
              <w:widowControl w:val="0"/>
              <w:autoSpaceDE w:val="0"/>
              <w:autoSpaceDN w:val="0"/>
              <w:adjustRightInd w:val="0"/>
              <w:spacing w:before="60" w:line="240" w:lineRule="auto"/>
              <w:rPr>
                <w:rFonts w:eastAsia="Calibri" w:cs="Arial"/>
                <w:sz w:val="20"/>
                <w:szCs w:val="20"/>
              </w:rPr>
            </w:pPr>
          </w:p>
          <w:p w14:paraId="0FF0F73E" w14:textId="77777777" w:rsidR="00CB4E93" w:rsidRPr="00A9330B" w:rsidRDefault="00CB4E93" w:rsidP="00CB4E93">
            <w:pPr>
              <w:widowControl w:val="0"/>
              <w:autoSpaceDE w:val="0"/>
              <w:autoSpaceDN w:val="0"/>
              <w:adjustRightInd w:val="0"/>
              <w:spacing w:before="60" w:line="240" w:lineRule="auto"/>
              <w:rPr>
                <w:rFonts w:eastAsia="Calibri" w:cs="Arial"/>
                <w:sz w:val="20"/>
                <w:szCs w:val="20"/>
              </w:rPr>
            </w:pPr>
          </w:p>
          <w:p w14:paraId="2A49C690" w14:textId="77777777" w:rsidR="00CB4E93" w:rsidRPr="00A9330B" w:rsidRDefault="00CB4E93" w:rsidP="00CB4E93">
            <w:pPr>
              <w:widowControl w:val="0"/>
              <w:autoSpaceDE w:val="0"/>
              <w:autoSpaceDN w:val="0"/>
              <w:adjustRightInd w:val="0"/>
              <w:spacing w:before="60" w:line="240" w:lineRule="auto"/>
              <w:rPr>
                <w:rFonts w:eastAsia="Calibri" w:cs="Arial"/>
                <w:sz w:val="20"/>
                <w:szCs w:val="20"/>
              </w:rPr>
            </w:pPr>
          </w:p>
          <w:p w14:paraId="6B534F43" w14:textId="77777777" w:rsidR="00CB4E93" w:rsidRPr="00A9330B" w:rsidRDefault="00CB4E93" w:rsidP="00CB4E93">
            <w:pPr>
              <w:widowControl w:val="0"/>
              <w:autoSpaceDE w:val="0"/>
              <w:autoSpaceDN w:val="0"/>
              <w:adjustRightInd w:val="0"/>
              <w:spacing w:before="60" w:line="240" w:lineRule="auto"/>
              <w:rPr>
                <w:rFonts w:eastAsia="Calibri" w:cs="Arial"/>
                <w:color w:val="auto"/>
                <w:sz w:val="18"/>
                <w:szCs w:val="18"/>
              </w:rPr>
            </w:pPr>
          </w:p>
        </w:tc>
      </w:tr>
      <w:tr w:rsidR="00CB4E93" w:rsidRPr="00A9330B" w14:paraId="62088006" w14:textId="77777777" w:rsidTr="00CB4E93">
        <w:trPr>
          <w:trHeight w:val="190"/>
        </w:trPr>
        <w:tc>
          <w:tcPr>
            <w:tcW w:w="996" w:type="pct"/>
            <w:tcBorders>
              <w:top w:val="single" w:sz="6" w:space="0" w:color="auto"/>
              <w:left w:val="single" w:sz="8" w:space="0" w:color="auto"/>
              <w:bottom w:val="single" w:sz="6" w:space="0" w:color="auto"/>
              <w:right w:val="single" w:sz="6" w:space="0" w:color="auto"/>
            </w:tcBorders>
          </w:tcPr>
          <w:p w14:paraId="121A8D74" w14:textId="77777777" w:rsidR="00CB4E93" w:rsidRPr="00A9330B" w:rsidRDefault="00CB4E93" w:rsidP="00CB4E93">
            <w:pPr>
              <w:widowControl w:val="0"/>
              <w:spacing w:before="60" w:line="240" w:lineRule="auto"/>
              <w:rPr>
                <w:rFonts w:eastAsia="Calibri" w:cs="Arial"/>
                <w:color w:val="auto"/>
                <w:sz w:val="18"/>
                <w:szCs w:val="18"/>
              </w:rPr>
            </w:pPr>
            <w:r w:rsidRPr="00A9330B">
              <w:rPr>
                <w:rFonts w:eastAsia="Calibri" w:cs="Arial"/>
                <w:color w:val="auto"/>
                <w:sz w:val="18"/>
                <w:szCs w:val="18"/>
              </w:rPr>
              <w:lastRenderedPageBreak/>
              <w:t>1.2.a.5.1 ; 2.5.a.3.2 ; 2.8.a.3.1. ; 2.10.a.4.1. ; 2.10.a.5.1 ; 2.10.a.6.1</w:t>
            </w:r>
          </w:p>
          <w:p w14:paraId="1FB15D4E" w14:textId="77777777" w:rsidR="00CB4E93" w:rsidRPr="00A9330B" w:rsidRDefault="00CB4E93" w:rsidP="00CB4E93">
            <w:pPr>
              <w:widowControl w:val="0"/>
              <w:spacing w:before="60" w:line="240" w:lineRule="auto"/>
              <w:jc w:val="both"/>
              <w:rPr>
                <w:rFonts w:eastAsia="Calibri" w:cs="Arial"/>
                <w:color w:val="auto"/>
                <w:sz w:val="18"/>
                <w:szCs w:val="18"/>
              </w:rPr>
            </w:pPr>
            <w:r w:rsidRPr="00A9330B">
              <w:rPr>
                <w:rFonts w:eastAsia="Calibri" w:cs="Arial"/>
                <w:color w:val="auto"/>
                <w:sz w:val="18"/>
                <w:szCs w:val="18"/>
              </w:rPr>
              <w:t>Aménager des aires étanches pour la manipulation des huiles usagées, graisses, hydrocarbures … dans la base vie</w:t>
            </w:r>
          </w:p>
        </w:tc>
        <w:tc>
          <w:tcPr>
            <w:tcW w:w="916" w:type="pct"/>
            <w:tcBorders>
              <w:top w:val="single" w:sz="6" w:space="0" w:color="auto"/>
              <w:left w:val="single" w:sz="6" w:space="0" w:color="auto"/>
              <w:bottom w:val="single" w:sz="6" w:space="0" w:color="auto"/>
              <w:right w:val="single" w:sz="6" w:space="0" w:color="auto"/>
            </w:tcBorders>
          </w:tcPr>
          <w:p w14:paraId="72553BB8" w14:textId="77777777" w:rsidR="00CB4E93" w:rsidRPr="00A9330B" w:rsidRDefault="00CB4E93" w:rsidP="00CB4E93">
            <w:pPr>
              <w:widowControl w:val="0"/>
              <w:autoSpaceDE w:val="0"/>
              <w:autoSpaceDN w:val="0"/>
              <w:adjustRightInd w:val="0"/>
              <w:spacing w:before="60" w:line="240" w:lineRule="auto"/>
              <w:jc w:val="both"/>
              <w:rPr>
                <w:rFonts w:eastAsia="Calibri" w:cs="Arial"/>
                <w:color w:val="auto"/>
                <w:sz w:val="18"/>
                <w:szCs w:val="18"/>
              </w:rPr>
            </w:pPr>
            <w:r w:rsidRPr="00A9330B">
              <w:rPr>
                <w:rFonts w:eastAsia="Calibri" w:cs="Arial"/>
                <w:color w:val="auto"/>
                <w:sz w:val="18"/>
                <w:szCs w:val="18"/>
              </w:rPr>
              <w:t xml:space="preserve">Etat de propreté de la base technique et des chantiers ; </w:t>
            </w:r>
          </w:p>
          <w:p w14:paraId="4AE0FF80" w14:textId="77777777" w:rsidR="00CB4E93" w:rsidRPr="00A9330B" w:rsidRDefault="00CB4E93" w:rsidP="00CB4E93">
            <w:pPr>
              <w:widowControl w:val="0"/>
              <w:autoSpaceDE w:val="0"/>
              <w:autoSpaceDN w:val="0"/>
              <w:adjustRightInd w:val="0"/>
              <w:spacing w:before="60" w:line="240" w:lineRule="auto"/>
              <w:jc w:val="both"/>
              <w:rPr>
                <w:rFonts w:eastAsia="Calibri" w:cs="Arial"/>
                <w:color w:val="auto"/>
                <w:sz w:val="18"/>
                <w:szCs w:val="18"/>
              </w:rPr>
            </w:pPr>
            <w:r w:rsidRPr="00A9330B">
              <w:rPr>
                <w:rFonts w:eastAsia="Calibri" w:cs="Arial"/>
                <w:color w:val="auto"/>
                <w:sz w:val="18"/>
                <w:szCs w:val="18"/>
              </w:rPr>
              <w:t>Absence d’indice de déversements au sol ;</w:t>
            </w:r>
          </w:p>
          <w:p w14:paraId="34B69C81" w14:textId="77777777" w:rsidR="00CB4E93" w:rsidRPr="00A9330B" w:rsidRDefault="00CB4E93" w:rsidP="00CB4E93">
            <w:pPr>
              <w:widowControl w:val="0"/>
              <w:autoSpaceDE w:val="0"/>
              <w:autoSpaceDN w:val="0"/>
              <w:adjustRightInd w:val="0"/>
              <w:spacing w:before="60" w:line="240" w:lineRule="auto"/>
              <w:jc w:val="both"/>
              <w:rPr>
                <w:rFonts w:eastAsia="Calibri" w:cs="Arial"/>
                <w:color w:val="auto"/>
                <w:sz w:val="18"/>
                <w:szCs w:val="18"/>
              </w:rPr>
            </w:pPr>
            <w:r w:rsidRPr="00A9330B">
              <w:rPr>
                <w:rFonts w:eastAsia="Calibri" w:cs="Arial"/>
                <w:color w:val="auto"/>
                <w:sz w:val="18"/>
                <w:szCs w:val="18"/>
              </w:rPr>
              <w:t>Existence du dispositif de protection du sol.</w:t>
            </w:r>
          </w:p>
        </w:tc>
        <w:tc>
          <w:tcPr>
            <w:tcW w:w="637" w:type="pct"/>
            <w:tcBorders>
              <w:top w:val="single" w:sz="6" w:space="0" w:color="auto"/>
              <w:left w:val="single" w:sz="6" w:space="0" w:color="auto"/>
              <w:bottom w:val="single" w:sz="6" w:space="0" w:color="auto"/>
              <w:right w:val="single" w:sz="6" w:space="0" w:color="auto"/>
            </w:tcBorders>
          </w:tcPr>
          <w:p w14:paraId="5C9ED3E2" w14:textId="77777777" w:rsidR="00CB4E93" w:rsidRPr="00A9330B" w:rsidRDefault="00CB4E93" w:rsidP="00CB4E93">
            <w:pPr>
              <w:widowControl w:val="0"/>
              <w:autoSpaceDE w:val="0"/>
              <w:autoSpaceDN w:val="0"/>
              <w:adjustRightInd w:val="0"/>
              <w:spacing w:before="60" w:line="240" w:lineRule="auto"/>
              <w:jc w:val="center"/>
              <w:rPr>
                <w:rFonts w:eastAsia="Calibri" w:cs="Arial"/>
                <w:color w:val="auto"/>
                <w:sz w:val="18"/>
                <w:szCs w:val="18"/>
              </w:rPr>
            </w:pPr>
            <w:r w:rsidRPr="00A9330B">
              <w:rPr>
                <w:rFonts w:eastAsia="Calibri" w:cs="Arial"/>
                <w:color w:val="auto"/>
                <w:sz w:val="18"/>
                <w:szCs w:val="18"/>
              </w:rPr>
              <w:t>Phase de préparation et de construction</w:t>
            </w:r>
          </w:p>
        </w:tc>
        <w:tc>
          <w:tcPr>
            <w:tcW w:w="657" w:type="pct"/>
            <w:tcBorders>
              <w:top w:val="single" w:sz="6" w:space="0" w:color="auto"/>
              <w:left w:val="single" w:sz="6" w:space="0" w:color="auto"/>
              <w:bottom w:val="single" w:sz="6" w:space="0" w:color="auto"/>
              <w:right w:val="single" w:sz="6" w:space="0" w:color="auto"/>
            </w:tcBorders>
          </w:tcPr>
          <w:p w14:paraId="543368D5" w14:textId="77777777" w:rsidR="00CB4E93" w:rsidRPr="00A9330B" w:rsidRDefault="00CB4E93" w:rsidP="00CB4E93">
            <w:pPr>
              <w:widowControl w:val="0"/>
              <w:spacing w:before="60" w:line="240" w:lineRule="auto"/>
              <w:jc w:val="center"/>
              <w:rPr>
                <w:rFonts w:eastAsia="Calibri" w:cs="Arial"/>
                <w:color w:val="auto"/>
                <w:sz w:val="18"/>
                <w:szCs w:val="18"/>
              </w:rPr>
            </w:pPr>
            <w:r w:rsidRPr="00A9330B">
              <w:rPr>
                <w:rFonts w:eastAsia="Calibri" w:cs="Arial"/>
                <w:color w:val="auto"/>
                <w:sz w:val="18"/>
                <w:szCs w:val="18"/>
              </w:rPr>
              <w:t>MDC</w:t>
            </w:r>
          </w:p>
          <w:p w14:paraId="53498427" w14:textId="77777777" w:rsidR="00CB4E93" w:rsidRPr="00A9330B" w:rsidRDefault="00CB4E93" w:rsidP="00CB4E93">
            <w:pPr>
              <w:widowControl w:val="0"/>
              <w:spacing w:before="60" w:line="240" w:lineRule="auto"/>
              <w:jc w:val="center"/>
              <w:rPr>
                <w:rFonts w:eastAsia="Calibri" w:cs="Arial"/>
                <w:color w:val="auto"/>
                <w:sz w:val="18"/>
                <w:szCs w:val="18"/>
              </w:rPr>
            </w:pPr>
            <w:r w:rsidRPr="00A9330B">
              <w:rPr>
                <w:rFonts w:eastAsia="Calibri" w:cs="Arial"/>
                <w:color w:val="auto"/>
                <w:sz w:val="18"/>
                <w:szCs w:val="18"/>
              </w:rPr>
              <w:t>Entreprise chargée des travaux</w:t>
            </w:r>
          </w:p>
        </w:tc>
        <w:tc>
          <w:tcPr>
            <w:tcW w:w="897" w:type="pct"/>
            <w:tcBorders>
              <w:top w:val="single" w:sz="6" w:space="0" w:color="auto"/>
              <w:left w:val="single" w:sz="6" w:space="0" w:color="auto"/>
              <w:bottom w:val="single" w:sz="6" w:space="0" w:color="auto"/>
              <w:right w:val="single" w:sz="8" w:space="0" w:color="auto"/>
            </w:tcBorders>
          </w:tcPr>
          <w:p w14:paraId="465F9EAA" w14:textId="77777777" w:rsidR="00CB4E93" w:rsidRPr="00A9330B" w:rsidRDefault="00CB4E93" w:rsidP="00CB4E93">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t xml:space="preserve">Mairie concernée (Natitingou)  </w:t>
            </w:r>
          </w:p>
          <w:p w14:paraId="5D56B912" w14:textId="77777777" w:rsidR="00CB4E93" w:rsidRPr="00A9330B" w:rsidRDefault="00CB4E93" w:rsidP="00CB4E93">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t>Direction Départementale du Cadre de Vie et du Développement Durable (DDCVDD-AD)</w:t>
            </w:r>
          </w:p>
        </w:tc>
        <w:tc>
          <w:tcPr>
            <w:tcW w:w="897" w:type="pct"/>
            <w:tcBorders>
              <w:top w:val="single" w:sz="6" w:space="0" w:color="auto"/>
              <w:left w:val="single" w:sz="6" w:space="0" w:color="auto"/>
              <w:bottom w:val="single" w:sz="6" w:space="0" w:color="auto"/>
              <w:right w:val="single" w:sz="8" w:space="0" w:color="auto"/>
            </w:tcBorders>
          </w:tcPr>
          <w:p w14:paraId="6306D528" w14:textId="77777777" w:rsidR="00CB4E93" w:rsidRPr="00A9330B" w:rsidRDefault="00CB4E93" w:rsidP="00CB4E93">
            <w:pPr>
              <w:widowControl w:val="0"/>
              <w:autoSpaceDE w:val="0"/>
              <w:autoSpaceDN w:val="0"/>
              <w:adjustRightInd w:val="0"/>
              <w:spacing w:before="60" w:line="240" w:lineRule="auto"/>
              <w:rPr>
                <w:rFonts w:eastAsia="Calibri" w:cs="Arial"/>
                <w:sz w:val="20"/>
                <w:szCs w:val="20"/>
              </w:rPr>
            </w:pPr>
            <w:r w:rsidRPr="00A9330B">
              <w:rPr>
                <w:rFonts w:eastAsia="Calibri" w:cs="Arial"/>
                <w:sz w:val="20"/>
                <w:szCs w:val="20"/>
              </w:rPr>
              <w:t>Installation de chantier</w:t>
            </w:r>
          </w:p>
          <w:p w14:paraId="182C55C5" w14:textId="77777777" w:rsidR="00CB4E93" w:rsidRPr="00A9330B" w:rsidRDefault="00CB4E93" w:rsidP="00CB4E93">
            <w:pPr>
              <w:widowControl w:val="0"/>
              <w:autoSpaceDE w:val="0"/>
              <w:autoSpaceDN w:val="0"/>
              <w:adjustRightInd w:val="0"/>
              <w:spacing w:before="60" w:line="240" w:lineRule="auto"/>
              <w:rPr>
                <w:rFonts w:eastAsia="Calibri" w:cs="Arial"/>
                <w:sz w:val="20"/>
                <w:szCs w:val="20"/>
              </w:rPr>
            </w:pPr>
          </w:p>
          <w:p w14:paraId="77E3322A" w14:textId="77777777" w:rsidR="00CB4E93" w:rsidRPr="00A9330B" w:rsidRDefault="00CB4E93" w:rsidP="00CB4E93">
            <w:pPr>
              <w:widowControl w:val="0"/>
              <w:autoSpaceDE w:val="0"/>
              <w:autoSpaceDN w:val="0"/>
              <w:adjustRightInd w:val="0"/>
              <w:spacing w:before="60" w:line="240" w:lineRule="auto"/>
              <w:rPr>
                <w:rFonts w:eastAsia="Calibri" w:cs="Arial"/>
                <w:color w:val="auto"/>
                <w:sz w:val="18"/>
                <w:szCs w:val="18"/>
              </w:rPr>
            </w:pPr>
          </w:p>
        </w:tc>
      </w:tr>
      <w:tr w:rsidR="00CB4E93" w:rsidRPr="00A9330B" w14:paraId="32CBBE82" w14:textId="77777777" w:rsidTr="00CB4E93">
        <w:trPr>
          <w:trHeight w:val="959"/>
        </w:trPr>
        <w:tc>
          <w:tcPr>
            <w:tcW w:w="996" w:type="pct"/>
            <w:tcBorders>
              <w:top w:val="single" w:sz="6" w:space="0" w:color="auto"/>
              <w:left w:val="single" w:sz="8" w:space="0" w:color="auto"/>
              <w:bottom w:val="single" w:sz="6" w:space="0" w:color="auto"/>
              <w:right w:val="single" w:sz="6" w:space="0" w:color="auto"/>
            </w:tcBorders>
          </w:tcPr>
          <w:p w14:paraId="7B244F4D" w14:textId="77777777" w:rsidR="00CB4E93" w:rsidRPr="00A9330B" w:rsidRDefault="00CB4E93" w:rsidP="00CB4E93">
            <w:pPr>
              <w:widowControl w:val="0"/>
              <w:spacing w:before="60" w:line="240" w:lineRule="auto"/>
              <w:jc w:val="both"/>
              <w:rPr>
                <w:rFonts w:eastAsia="Calibri" w:cs="Arial"/>
                <w:color w:val="auto"/>
                <w:sz w:val="18"/>
                <w:szCs w:val="18"/>
              </w:rPr>
            </w:pPr>
            <w:r w:rsidRPr="00A9330B">
              <w:rPr>
                <w:rFonts w:eastAsia="Calibri" w:cs="Arial"/>
                <w:color w:val="auto"/>
                <w:sz w:val="18"/>
                <w:szCs w:val="18"/>
              </w:rPr>
              <w:t>1.2.a.6.2. ; 2.5.a.3.3. ; 2.5.a.4.1. Installer un déshuileur au niveau du système de collecte des eaux usées</w:t>
            </w:r>
          </w:p>
        </w:tc>
        <w:tc>
          <w:tcPr>
            <w:tcW w:w="916" w:type="pct"/>
            <w:tcBorders>
              <w:top w:val="single" w:sz="6" w:space="0" w:color="auto"/>
              <w:left w:val="single" w:sz="6" w:space="0" w:color="auto"/>
              <w:bottom w:val="single" w:sz="6" w:space="0" w:color="auto"/>
              <w:right w:val="single" w:sz="6" w:space="0" w:color="auto"/>
            </w:tcBorders>
          </w:tcPr>
          <w:p w14:paraId="3B03371B" w14:textId="77777777" w:rsidR="00CB4E93" w:rsidRPr="00A9330B" w:rsidRDefault="00CB4E93" w:rsidP="00CB4E93">
            <w:pPr>
              <w:widowControl w:val="0"/>
              <w:autoSpaceDE w:val="0"/>
              <w:autoSpaceDN w:val="0"/>
              <w:adjustRightInd w:val="0"/>
              <w:spacing w:before="60" w:line="240" w:lineRule="auto"/>
              <w:jc w:val="both"/>
              <w:rPr>
                <w:rFonts w:eastAsia="Calibri" w:cs="Arial"/>
                <w:color w:val="auto"/>
                <w:sz w:val="18"/>
                <w:szCs w:val="18"/>
              </w:rPr>
            </w:pPr>
            <w:r w:rsidRPr="00A9330B">
              <w:rPr>
                <w:rFonts w:eastAsia="Calibri" w:cs="Arial"/>
                <w:color w:val="auto"/>
                <w:sz w:val="18"/>
                <w:szCs w:val="18"/>
              </w:rPr>
              <w:t>Absence d’indice de déversements des eaux usées au sol</w:t>
            </w:r>
          </w:p>
        </w:tc>
        <w:tc>
          <w:tcPr>
            <w:tcW w:w="637" w:type="pct"/>
            <w:tcBorders>
              <w:top w:val="single" w:sz="6" w:space="0" w:color="auto"/>
              <w:left w:val="single" w:sz="6" w:space="0" w:color="auto"/>
              <w:bottom w:val="single" w:sz="6" w:space="0" w:color="auto"/>
              <w:right w:val="single" w:sz="6" w:space="0" w:color="auto"/>
            </w:tcBorders>
          </w:tcPr>
          <w:p w14:paraId="0565E3A6" w14:textId="77777777" w:rsidR="00CB4E93" w:rsidRPr="00A9330B" w:rsidRDefault="00CB4E93" w:rsidP="00CB4E93">
            <w:pPr>
              <w:widowControl w:val="0"/>
              <w:autoSpaceDE w:val="0"/>
              <w:autoSpaceDN w:val="0"/>
              <w:adjustRightInd w:val="0"/>
              <w:spacing w:before="60" w:line="240" w:lineRule="auto"/>
              <w:jc w:val="center"/>
              <w:rPr>
                <w:rFonts w:eastAsia="Calibri" w:cs="Arial"/>
                <w:color w:val="auto"/>
                <w:sz w:val="18"/>
                <w:szCs w:val="18"/>
              </w:rPr>
            </w:pPr>
            <w:r w:rsidRPr="00A9330B">
              <w:rPr>
                <w:rFonts w:eastAsia="Calibri" w:cs="Arial"/>
                <w:color w:val="auto"/>
                <w:sz w:val="18"/>
                <w:szCs w:val="18"/>
              </w:rPr>
              <w:t>Phase de préparation et de construction</w:t>
            </w:r>
          </w:p>
        </w:tc>
        <w:tc>
          <w:tcPr>
            <w:tcW w:w="657" w:type="pct"/>
            <w:tcBorders>
              <w:top w:val="single" w:sz="6" w:space="0" w:color="auto"/>
              <w:left w:val="single" w:sz="6" w:space="0" w:color="auto"/>
              <w:bottom w:val="single" w:sz="6" w:space="0" w:color="auto"/>
              <w:right w:val="single" w:sz="6" w:space="0" w:color="auto"/>
            </w:tcBorders>
          </w:tcPr>
          <w:p w14:paraId="30DB0CCE" w14:textId="77777777" w:rsidR="00CB4E93" w:rsidRPr="00A9330B" w:rsidRDefault="00CB4E93" w:rsidP="00CB4E93">
            <w:pPr>
              <w:widowControl w:val="0"/>
              <w:spacing w:before="60" w:line="240" w:lineRule="auto"/>
              <w:jc w:val="center"/>
              <w:rPr>
                <w:rFonts w:eastAsia="Calibri" w:cs="Arial"/>
                <w:color w:val="auto"/>
                <w:sz w:val="18"/>
                <w:szCs w:val="18"/>
              </w:rPr>
            </w:pPr>
            <w:r w:rsidRPr="00A9330B">
              <w:rPr>
                <w:rFonts w:eastAsia="Calibri" w:cs="Arial"/>
                <w:color w:val="auto"/>
                <w:sz w:val="18"/>
                <w:szCs w:val="18"/>
              </w:rPr>
              <w:t>MDC</w:t>
            </w:r>
          </w:p>
          <w:p w14:paraId="5E8708D6" w14:textId="77777777" w:rsidR="00CB4E93" w:rsidRPr="00A9330B" w:rsidRDefault="00CB4E93" w:rsidP="00CB4E93">
            <w:pPr>
              <w:widowControl w:val="0"/>
              <w:spacing w:before="60" w:line="240" w:lineRule="auto"/>
              <w:jc w:val="center"/>
              <w:rPr>
                <w:rFonts w:eastAsia="Calibri" w:cs="Arial"/>
                <w:color w:val="auto"/>
                <w:sz w:val="18"/>
                <w:szCs w:val="18"/>
              </w:rPr>
            </w:pPr>
            <w:r w:rsidRPr="00A9330B">
              <w:rPr>
                <w:rFonts w:eastAsia="Calibri" w:cs="Arial"/>
                <w:color w:val="auto"/>
                <w:sz w:val="18"/>
                <w:szCs w:val="18"/>
              </w:rPr>
              <w:t>Entreprise chargée des travaux</w:t>
            </w:r>
          </w:p>
        </w:tc>
        <w:tc>
          <w:tcPr>
            <w:tcW w:w="897" w:type="pct"/>
            <w:tcBorders>
              <w:top w:val="single" w:sz="6" w:space="0" w:color="auto"/>
              <w:left w:val="single" w:sz="6" w:space="0" w:color="auto"/>
              <w:bottom w:val="single" w:sz="6" w:space="0" w:color="auto"/>
              <w:right w:val="single" w:sz="8" w:space="0" w:color="auto"/>
            </w:tcBorders>
          </w:tcPr>
          <w:p w14:paraId="7D6AD6F3" w14:textId="77777777" w:rsidR="00CB4E93" w:rsidRPr="00A9330B" w:rsidRDefault="00CB4E93" w:rsidP="00CB4E93">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t xml:space="preserve">Mairie concernée (Natitingou)  </w:t>
            </w:r>
          </w:p>
          <w:p w14:paraId="06C526FC" w14:textId="77777777" w:rsidR="00CB4E93" w:rsidRPr="00A9330B" w:rsidRDefault="00CB4E93" w:rsidP="00CB4E93">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t>Direction Départementale du Cadre de Vie et du Développement Durable (DDCVDD-AD)</w:t>
            </w:r>
          </w:p>
        </w:tc>
        <w:tc>
          <w:tcPr>
            <w:tcW w:w="897" w:type="pct"/>
            <w:tcBorders>
              <w:top w:val="single" w:sz="6" w:space="0" w:color="auto"/>
              <w:left w:val="single" w:sz="6" w:space="0" w:color="auto"/>
              <w:bottom w:val="single" w:sz="6" w:space="0" w:color="auto"/>
              <w:right w:val="single" w:sz="8" w:space="0" w:color="auto"/>
            </w:tcBorders>
          </w:tcPr>
          <w:p w14:paraId="54754B04" w14:textId="77777777" w:rsidR="00CB4E93" w:rsidRPr="00A9330B" w:rsidRDefault="00CB4E93" w:rsidP="00CB4E93">
            <w:pPr>
              <w:widowControl w:val="0"/>
              <w:autoSpaceDE w:val="0"/>
              <w:autoSpaceDN w:val="0"/>
              <w:adjustRightInd w:val="0"/>
              <w:spacing w:before="60" w:line="240" w:lineRule="auto"/>
              <w:rPr>
                <w:rFonts w:eastAsia="Calibri" w:cs="Arial"/>
                <w:color w:val="auto"/>
                <w:sz w:val="18"/>
                <w:szCs w:val="18"/>
              </w:rPr>
            </w:pPr>
            <w:r w:rsidRPr="00A9330B">
              <w:rPr>
                <w:rFonts w:eastAsia="Calibri" w:cs="Arial"/>
                <w:sz w:val="20"/>
                <w:szCs w:val="20"/>
              </w:rPr>
              <w:t xml:space="preserve">Installation de chantier </w:t>
            </w:r>
          </w:p>
        </w:tc>
      </w:tr>
      <w:tr w:rsidR="00CB4E93" w:rsidRPr="00A9330B" w14:paraId="59D53787" w14:textId="77777777" w:rsidTr="00CB4E93">
        <w:trPr>
          <w:trHeight w:val="1264"/>
        </w:trPr>
        <w:tc>
          <w:tcPr>
            <w:tcW w:w="996" w:type="pct"/>
            <w:tcBorders>
              <w:top w:val="single" w:sz="6" w:space="0" w:color="auto"/>
              <w:left w:val="single" w:sz="8" w:space="0" w:color="auto"/>
              <w:bottom w:val="single" w:sz="6" w:space="0" w:color="auto"/>
              <w:right w:val="single" w:sz="6" w:space="0" w:color="auto"/>
            </w:tcBorders>
          </w:tcPr>
          <w:p w14:paraId="4D5843D6" w14:textId="77777777" w:rsidR="00CB4E93" w:rsidRPr="00A9330B" w:rsidRDefault="00CB4E93" w:rsidP="00CB4E93">
            <w:pPr>
              <w:widowControl w:val="0"/>
              <w:autoSpaceDE w:val="0"/>
              <w:autoSpaceDN w:val="0"/>
              <w:adjustRightInd w:val="0"/>
              <w:spacing w:before="60" w:line="240" w:lineRule="auto"/>
              <w:jc w:val="both"/>
              <w:rPr>
                <w:rFonts w:eastAsia="Calibri" w:cs="Arial"/>
                <w:color w:val="auto"/>
                <w:sz w:val="18"/>
                <w:szCs w:val="18"/>
              </w:rPr>
            </w:pPr>
            <w:r w:rsidRPr="00A9330B">
              <w:rPr>
                <w:rFonts w:eastAsia="Calibri" w:cs="Arial"/>
                <w:color w:val="auto"/>
                <w:sz w:val="18"/>
                <w:szCs w:val="18"/>
              </w:rPr>
              <w:t xml:space="preserve">2.8.a.3.2. ; 2.10.a.4.2. ; 2.10.a.5.2. ; 2.10.a.6.2. </w:t>
            </w:r>
            <w:r w:rsidRPr="00A9330B">
              <w:rPr>
                <w:rFonts w:cs="Arial"/>
                <w:color w:val="auto"/>
                <w:sz w:val="18"/>
                <w:szCs w:val="18"/>
              </w:rPr>
              <w:t>3.1.a.1.1. </w:t>
            </w:r>
          </w:p>
          <w:p w14:paraId="4E2F54F0" w14:textId="77777777" w:rsidR="00CB4E93" w:rsidRPr="00A9330B" w:rsidRDefault="00CB4E93" w:rsidP="00CB4E93">
            <w:pPr>
              <w:widowControl w:val="0"/>
              <w:autoSpaceDE w:val="0"/>
              <w:autoSpaceDN w:val="0"/>
              <w:adjustRightInd w:val="0"/>
              <w:spacing w:before="60" w:line="240" w:lineRule="auto"/>
              <w:jc w:val="both"/>
              <w:rPr>
                <w:rFonts w:eastAsia="Calibri" w:cs="Arial"/>
                <w:color w:val="auto"/>
                <w:sz w:val="18"/>
                <w:szCs w:val="18"/>
              </w:rPr>
            </w:pPr>
            <w:r w:rsidRPr="00A9330B">
              <w:rPr>
                <w:rFonts w:eastAsia="Calibri" w:cs="Arial"/>
                <w:color w:val="auto"/>
                <w:sz w:val="18"/>
                <w:szCs w:val="18"/>
              </w:rPr>
              <w:t>Prévoir des dispositifs pour confiner et ramasser les produits (liquides et solides) déversés</w:t>
            </w:r>
          </w:p>
        </w:tc>
        <w:tc>
          <w:tcPr>
            <w:tcW w:w="916" w:type="pct"/>
            <w:tcBorders>
              <w:top w:val="single" w:sz="6" w:space="0" w:color="auto"/>
              <w:left w:val="single" w:sz="6" w:space="0" w:color="auto"/>
              <w:bottom w:val="single" w:sz="6" w:space="0" w:color="auto"/>
              <w:right w:val="single" w:sz="6" w:space="0" w:color="auto"/>
            </w:tcBorders>
          </w:tcPr>
          <w:p w14:paraId="08DA601F" w14:textId="77777777" w:rsidR="00CB4E93" w:rsidRPr="00A9330B" w:rsidRDefault="00CB4E93" w:rsidP="00CB4E93">
            <w:pPr>
              <w:widowControl w:val="0"/>
              <w:autoSpaceDE w:val="0"/>
              <w:autoSpaceDN w:val="0"/>
              <w:adjustRightInd w:val="0"/>
              <w:spacing w:before="60" w:line="240" w:lineRule="auto"/>
              <w:jc w:val="both"/>
              <w:rPr>
                <w:rFonts w:eastAsia="Calibri" w:cs="Arial"/>
                <w:color w:val="auto"/>
                <w:sz w:val="18"/>
                <w:szCs w:val="18"/>
              </w:rPr>
            </w:pPr>
            <w:r w:rsidRPr="00A9330B">
              <w:rPr>
                <w:rFonts w:eastAsia="Calibri" w:cs="Arial"/>
                <w:color w:val="auto"/>
                <w:sz w:val="18"/>
                <w:szCs w:val="18"/>
              </w:rPr>
              <w:t xml:space="preserve">Existence de bac de rétention </w:t>
            </w:r>
          </w:p>
          <w:p w14:paraId="3CA62C13" w14:textId="77777777" w:rsidR="00CB4E93" w:rsidRPr="00A9330B" w:rsidRDefault="00CB4E93" w:rsidP="00CB4E93">
            <w:pPr>
              <w:widowControl w:val="0"/>
              <w:autoSpaceDE w:val="0"/>
              <w:autoSpaceDN w:val="0"/>
              <w:adjustRightInd w:val="0"/>
              <w:spacing w:before="60" w:line="240" w:lineRule="auto"/>
              <w:jc w:val="both"/>
              <w:rPr>
                <w:rFonts w:eastAsia="Calibri" w:cs="Arial"/>
                <w:color w:val="auto"/>
                <w:sz w:val="18"/>
                <w:szCs w:val="18"/>
              </w:rPr>
            </w:pPr>
            <w:r w:rsidRPr="00A9330B">
              <w:rPr>
                <w:rFonts w:eastAsia="Calibri" w:cs="Arial"/>
                <w:color w:val="auto"/>
                <w:sz w:val="18"/>
                <w:szCs w:val="18"/>
              </w:rPr>
              <w:t>Absence des traces de souillure du sol à proximité des réserves d’hydrocarbures</w:t>
            </w:r>
          </w:p>
          <w:p w14:paraId="4DF5B230" w14:textId="77777777" w:rsidR="00CB4E93" w:rsidRPr="00A9330B" w:rsidRDefault="00CB4E93" w:rsidP="00CB4E93">
            <w:pPr>
              <w:widowControl w:val="0"/>
              <w:autoSpaceDE w:val="0"/>
              <w:autoSpaceDN w:val="0"/>
              <w:adjustRightInd w:val="0"/>
              <w:spacing w:before="60" w:line="240" w:lineRule="auto"/>
              <w:jc w:val="both"/>
              <w:rPr>
                <w:rFonts w:eastAsia="Calibri" w:cs="Arial"/>
                <w:color w:val="auto"/>
                <w:sz w:val="18"/>
                <w:szCs w:val="18"/>
              </w:rPr>
            </w:pPr>
            <w:r w:rsidRPr="00A9330B">
              <w:rPr>
                <w:rFonts w:eastAsia="Calibri" w:cs="Arial"/>
                <w:color w:val="auto"/>
                <w:sz w:val="18"/>
                <w:szCs w:val="18"/>
              </w:rPr>
              <w:t>Disponibilité et fonctionnalité des dispositifs de récupération</w:t>
            </w:r>
          </w:p>
        </w:tc>
        <w:tc>
          <w:tcPr>
            <w:tcW w:w="637" w:type="pct"/>
            <w:tcBorders>
              <w:top w:val="single" w:sz="6" w:space="0" w:color="auto"/>
              <w:left w:val="single" w:sz="6" w:space="0" w:color="auto"/>
              <w:bottom w:val="single" w:sz="6" w:space="0" w:color="auto"/>
              <w:right w:val="single" w:sz="6" w:space="0" w:color="auto"/>
            </w:tcBorders>
          </w:tcPr>
          <w:p w14:paraId="65C1BABF" w14:textId="77777777" w:rsidR="00CB4E93" w:rsidRPr="00A9330B" w:rsidRDefault="00CB4E93" w:rsidP="00CB4E93">
            <w:pPr>
              <w:widowControl w:val="0"/>
              <w:autoSpaceDE w:val="0"/>
              <w:autoSpaceDN w:val="0"/>
              <w:adjustRightInd w:val="0"/>
              <w:spacing w:before="60" w:line="240" w:lineRule="auto"/>
              <w:jc w:val="center"/>
              <w:rPr>
                <w:rFonts w:eastAsia="Calibri" w:cs="Arial"/>
                <w:color w:val="auto"/>
                <w:sz w:val="18"/>
                <w:szCs w:val="18"/>
              </w:rPr>
            </w:pPr>
            <w:r w:rsidRPr="00A9330B">
              <w:rPr>
                <w:rFonts w:eastAsia="Calibri" w:cs="Arial"/>
                <w:color w:val="auto"/>
                <w:sz w:val="18"/>
                <w:szCs w:val="18"/>
              </w:rPr>
              <w:t>Phase de préparation et de construction</w:t>
            </w:r>
          </w:p>
        </w:tc>
        <w:tc>
          <w:tcPr>
            <w:tcW w:w="657" w:type="pct"/>
            <w:tcBorders>
              <w:top w:val="single" w:sz="6" w:space="0" w:color="auto"/>
              <w:left w:val="single" w:sz="6" w:space="0" w:color="auto"/>
              <w:bottom w:val="single" w:sz="6" w:space="0" w:color="auto"/>
              <w:right w:val="single" w:sz="6" w:space="0" w:color="auto"/>
            </w:tcBorders>
          </w:tcPr>
          <w:p w14:paraId="54260D06" w14:textId="77777777" w:rsidR="00CB4E93" w:rsidRPr="00A9330B" w:rsidRDefault="00CB4E93" w:rsidP="00CB4E93">
            <w:pPr>
              <w:widowControl w:val="0"/>
              <w:autoSpaceDE w:val="0"/>
              <w:autoSpaceDN w:val="0"/>
              <w:adjustRightInd w:val="0"/>
              <w:spacing w:before="60" w:line="240" w:lineRule="auto"/>
              <w:jc w:val="center"/>
              <w:rPr>
                <w:rFonts w:eastAsia="Calibri" w:cs="Arial"/>
                <w:color w:val="auto"/>
                <w:sz w:val="18"/>
                <w:szCs w:val="18"/>
              </w:rPr>
            </w:pPr>
            <w:r w:rsidRPr="00A9330B">
              <w:rPr>
                <w:rFonts w:eastAsia="Calibri" w:cs="Arial"/>
                <w:color w:val="auto"/>
                <w:sz w:val="18"/>
                <w:szCs w:val="18"/>
              </w:rPr>
              <w:t>MDC</w:t>
            </w:r>
          </w:p>
          <w:p w14:paraId="52CE7EA3" w14:textId="77777777" w:rsidR="00CB4E93" w:rsidRPr="00A9330B" w:rsidRDefault="00CB4E93" w:rsidP="00CB4E93">
            <w:pPr>
              <w:widowControl w:val="0"/>
              <w:autoSpaceDE w:val="0"/>
              <w:autoSpaceDN w:val="0"/>
              <w:adjustRightInd w:val="0"/>
              <w:spacing w:before="60" w:line="240" w:lineRule="auto"/>
              <w:jc w:val="center"/>
              <w:rPr>
                <w:rFonts w:eastAsia="Calibri" w:cs="Arial"/>
                <w:color w:val="auto"/>
                <w:sz w:val="18"/>
                <w:szCs w:val="18"/>
              </w:rPr>
            </w:pPr>
            <w:r w:rsidRPr="00A9330B">
              <w:rPr>
                <w:rFonts w:eastAsia="Calibri" w:cs="Arial"/>
                <w:color w:val="auto"/>
                <w:sz w:val="18"/>
                <w:szCs w:val="18"/>
              </w:rPr>
              <w:t>Entreprise chargée des travaux</w:t>
            </w:r>
          </w:p>
        </w:tc>
        <w:tc>
          <w:tcPr>
            <w:tcW w:w="897" w:type="pct"/>
            <w:tcBorders>
              <w:top w:val="single" w:sz="6" w:space="0" w:color="auto"/>
              <w:left w:val="single" w:sz="6" w:space="0" w:color="auto"/>
              <w:bottom w:val="single" w:sz="6" w:space="0" w:color="auto"/>
              <w:right w:val="single" w:sz="8" w:space="0" w:color="auto"/>
            </w:tcBorders>
          </w:tcPr>
          <w:p w14:paraId="56DD1CCA" w14:textId="77777777" w:rsidR="00CB4E93" w:rsidRPr="00A9330B" w:rsidRDefault="00CB4E93" w:rsidP="00CB4E93">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t>Mairie de Natitingou</w:t>
            </w:r>
          </w:p>
          <w:p w14:paraId="7BA64899" w14:textId="77777777" w:rsidR="00CB4E93" w:rsidRPr="00A9330B" w:rsidRDefault="00CB4E93" w:rsidP="00CB4E93">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t>Direction Départementale du Cadre de Vie et du Développement Durable (DDCVDD- AD)</w:t>
            </w:r>
          </w:p>
        </w:tc>
        <w:tc>
          <w:tcPr>
            <w:tcW w:w="897" w:type="pct"/>
            <w:tcBorders>
              <w:top w:val="single" w:sz="6" w:space="0" w:color="auto"/>
              <w:left w:val="single" w:sz="6" w:space="0" w:color="auto"/>
              <w:bottom w:val="single" w:sz="6" w:space="0" w:color="auto"/>
              <w:right w:val="single" w:sz="8" w:space="0" w:color="auto"/>
            </w:tcBorders>
          </w:tcPr>
          <w:p w14:paraId="353BFFE8" w14:textId="77777777" w:rsidR="00CB4E93" w:rsidRPr="00A9330B" w:rsidRDefault="00CB4E93" w:rsidP="00CB4E93">
            <w:pPr>
              <w:widowControl w:val="0"/>
              <w:autoSpaceDE w:val="0"/>
              <w:autoSpaceDN w:val="0"/>
              <w:adjustRightInd w:val="0"/>
              <w:spacing w:before="60" w:line="240" w:lineRule="auto"/>
              <w:rPr>
                <w:rFonts w:eastAsia="Calibri" w:cs="Arial"/>
                <w:color w:val="auto"/>
                <w:sz w:val="18"/>
                <w:szCs w:val="18"/>
              </w:rPr>
            </w:pPr>
            <w:r w:rsidRPr="00A9330B">
              <w:rPr>
                <w:rFonts w:eastAsia="Calibri" w:cs="Arial"/>
                <w:sz w:val="20"/>
                <w:szCs w:val="20"/>
              </w:rPr>
              <w:t>Installation de chantier</w:t>
            </w:r>
          </w:p>
        </w:tc>
      </w:tr>
      <w:tr w:rsidR="00CB4E93" w:rsidRPr="00A9330B" w14:paraId="61F2CA8B" w14:textId="77777777" w:rsidTr="00CB4E93">
        <w:trPr>
          <w:trHeight w:val="258"/>
        </w:trPr>
        <w:tc>
          <w:tcPr>
            <w:tcW w:w="996" w:type="pct"/>
            <w:tcBorders>
              <w:top w:val="single" w:sz="6" w:space="0" w:color="auto"/>
              <w:left w:val="single" w:sz="8" w:space="0" w:color="auto"/>
              <w:bottom w:val="single" w:sz="6" w:space="0" w:color="auto"/>
              <w:right w:val="single" w:sz="6" w:space="0" w:color="auto"/>
            </w:tcBorders>
          </w:tcPr>
          <w:p w14:paraId="63C0247C" w14:textId="77777777" w:rsidR="00CB4E93" w:rsidRPr="00A9330B" w:rsidRDefault="00CB4E93" w:rsidP="00CB4E93">
            <w:pPr>
              <w:widowControl w:val="0"/>
              <w:spacing w:before="60" w:line="240" w:lineRule="auto"/>
              <w:jc w:val="both"/>
              <w:rPr>
                <w:rFonts w:eastAsia="Calibri" w:cs="Arial"/>
                <w:color w:val="auto"/>
                <w:sz w:val="18"/>
                <w:szCs w:val="18"/>
              </w:rPr>
            </w:pPr>
            <w:r w:rsidRPr="00A9330B">
              <w:rPr>
                <w:rFonts w:eastAsia="Calibri" w:cs="Arial"/>
                <w:color w:val="auto"/>
                <w:sz w:val="18"/>
                <w:szCs w:val="18"/>
              </w:rPr>
              <w:t>1.3.a.1.1. ; 1.3.a.2.1. ;  1.3.a.3.1 ; 1.3.a.4.1 ;.</w:t>
            </w:r>
          </w:p>
          <w:p w14:paraId="5D449F35" w14:textId="77777777" w:rsidR="00CB4E93" w:rsidRPr="00A9330B" w:rsidRDefault="00CB4E93" w:rsidP="00CB4E93">
            <w:pPr>
              <w:widowControl w:val="0"/>
              <w:spacing w:before="60" w:line="240" w:lineRule="auto"/>
              <w:jc w:val="both"/>
              <w:rPr>
                <w:rFonts w:eastAsia="Calibri" w:cs="Arial"/>
                <w:color w:val="auto"/>
                <w:sz w:val="18"/>
                <w:szCs w:val="18"/>
              </w:rPr>
            </w:pPr>
            <w:r w:rsidRPr="00A9330B">
              <w:rPr>
                <w:rFonts w:eastAsia="Calibri" w:cs="Arial"/>
                <w:color w:val="auto"/>
                <w:sz w:val="18"/>
                <w:szCs w:val="18"/>
              </w:rPr>
              <w:t>2.1.a.2.1. ; 2.8.a.5.1. 2.8.a.5.2</w:t>
            </w:r>
          </w:p>
          <w:p w14:paraId="2C9C9F41" w14:textId="77777777" w:rsidR="00CB4E93" w:rsidRPr="00A9330B" w:rsidRDefault="00CB4E93" w:rsidP="00CB4E93">
            <w:pPr>
              <w:widowControl w:val="0"/>
              <w:spacing w:before="60" w:line="240" w:lineRule="auto"/>
              <w:jc w:val="both"/>
              <w:rPr>
                <w:rFonts w:eastAsia="Calibri" w:cs="Arial"/>
                <w:color w:val="auto"/>
                <w:sz w:val="18"/>
                <w:szCs w:val="18"/>
              </w:rPr>
            </w:pPr>
            <w:r w:rsidRPr="00A9330B">
              <w:rPr>
                <w:rFonts w:eastAsia="Calibri" w:cs="Arial"/>
                <w:color w:val="auto"/>
                <w:sz w:val="18"/>
                <w:szCs w:val="18"/>
              </w:rPr>
              <w:t>Elaborer  et mettre en œuvre le PAR (dédommagement des PAPs)</w:t>
            </w:r>
          </w:p>
        </w:tc>
        <w:tc>
          <w:tcPr>
            <w:tcW w:w="916" w:type="pct"/>
            <w:tcBorders>
              <w:top w:val="single" w:sz="6" w:space="0" w:color="auto"/>
              <w:left w:val="single" w:sz="6" w:space="0" w:color="auto"/>
              <w:bottom w:val="single" w:sz="6" w:space="0" w:color="auto"/>
              <w:right w:val="single" w:sz="6" w:space="0" w:color="auto"/>
            </w:tcBorders>
          </w:tcPr>
          <w:p w14:paraId="0F9642C7" w14:textId="77777777" w:rsidR="00CB4E93" w:rsidRPr="00A9330B" w:rsidRDefault="00CB4E93" w:rsidP="00CB4E93">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t>100 % des personnes affectées par le projet indemnisé</w:t>
            </w:r>
          </w:p>
          <w:p w14:paraId="128C8EAF" w14:textId="77777777" w:rsidR="00CB4E93" w:rsidRPr="00A9330B" w:rsidRDefault="00CB4E93" w:rsidP="00CB4E93">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t>100 % des infrastructures et équipements sociocommunautaires restaurés</w:t>
            </w:r>
          </w:p>
          <w:p w14:paraId="354A8081" w14:textId="77777777" w:rsidR="00CB4E93" w:rsidRPr="00A9330B" w:rsidRDefault="00CB4E93" w:rsidP="00CB4E93">
            <w:pPr>
              <w:widowControl w:val="0"/>
              <w:autoSpaceDE w:val="0"/>
              <w:autoSpaceDN w:val="0"/>
              <w:adjustRightInd w:val="0"/>
              <w:spacing w:before="60" w:line="240" w:lineRule="auto"/>
              <w:jc w:val="both"/>
              <w:rPr>
                <w:rFonts w:eastAsia="Calibri" w:cs="Arial"/>
                <w:color w:val="auto"/>
                <w:sz w:val="18"/>
                <w:szCs w:val="18"/>
              </w:rPr>
            </w:pPr>
            <w:r w:rsidRPr="00A9330B">
              <w:rPr>
                <w:rFonts w:eastAsia="Calibri" w:cs="Arial"/>
                <w:color w:val="auto"/>
                <w:sz w:val="18"/>
                <w:szCs w:val="18"/>
              </w:rPr>
              <w:t>100 % des patrimoines affectés restaurés</w:t>
            </w:r>
          </w:p>
          <w:p w14:paraId="06309FCC" w14:textId="77777777" w:rsidR="00CB4E93" w:rsidRPr="00A9330B" w:rsidRDefault="00CB4E93" w:rsidP="00CB4E93">
            <w:pPr>
              <w:widowControl w:val="0"/>
              <w:autoSpaceDE w:val="0"/>
              <w:autoSpaceDN w:val="0"/>
              <w:adjustRightInd w:val="0"/>
              <w:spacing w:before="60" w:line="240" w:lineRule="auto"/>
              <w:jc w:val="both"/>
              <w:rPr>
                <w:rFonts w:eastAsia="Calibri" w:cs="Arial"/>
                <w:color w:val="auto"/>
                <w:sz w:val="18"/>
                <w:szCs w:val="18"/>
              </w:rPr>
            </w:pPr>
            <w:r w:rsidRPr="00A9330B">
              <w:rPr>
                <w:rFonts w:eastAsia="Calibri" w:cs="Arial"/>
                <w:color w:val="auto"/>
                <w:sz w:val="18"/>
                <w:szCs w:val="18"/>
              </w:rPr>
              <w:t>Nombre de plaintes enregistrées</w:t>
            </w:r>
          </w:p>
        </w:tc>
        <w:tc>
          <w:tcPr>
            <w:tcW w:w="637" w:type="pct"/>
            <w:tcBorders>
              <w:top w:val="single" w:sz="6" w:space="0" w:color="auto"/>
              <w:left w:val="single" w:sz="6" w:space="0" w:color="auto"/>
              <w:bottom w:val="single" w:sz="6" w:space="0" w:color="auto"/>
              <w:right w:val="single" w:sz="6" w:space="0" w:color="auto"/>
            </w:tcBorders>
          </w:tcPr>
          <w:p w14:paraId="126EFACD" w14:textId="77777777" w:rsidR="00CB4E93" w:rsidRPr="00A9330B" w:rsidRDefault="00CB4E93" w:rsidP="00CB4E93">
            <w:pPr>
              <w:widowControl w:val="0"/>
              <w:autoSpaceDE w:val="0"/>
              <w:autoSpaceDN w:val="0"/>
              <w:adjustRightInd w:val="0"/>
              <w:spacing w:before="60" w:line="240" w:lineRule="auto"/>
              <w:jc w:val="center"/>
              <w:rPr>
                <w:rFonts w:eastAsia="Calibri" w:cs="Arial"/>
                <w:color w:val="auto"/>
                <w:sz w:val="18"/>
                <w:szCs w:val="18"/>
              </w:rPr>
            </w:pPr>
            <w:r w:rsidRPr="00A9330B">
              <w:rPr>
                <w:rFonts w:eastAsia="Calibri" w:cs="Arial"/>
                <w:color w:val="auto"/>
                <w:sz w:val="18"/>
                <w:szCs w:val="18"/>
              </w:rPr>
              <w:t>Phase de préparation et de construction</w:t>
            </w:r>
          </w:p>
        </w:tc>
        <w:tc>
          <w:tcPr>
            <w:tcW w:w="657" w:type="pct"/>
            <w:tcBorders>
              <w:top w:val="single" w:sz="6" w:space="0" w:color="auto"/>
              <w:left w:val="single" w:sz="6" w:space="0" w:color="auto"/>
              <w:bottom w:val="single" w:sz="6" w:space="0" w:color="auto"/>
              <w:right w:val="single" w:sz="6" w:space="0" w:color="auto"/>
            </w:tcBorders>
          </w:tcPr>
          <w:p w14:paraId="46984BF6" w14:textId="77777777" w:rsidR="00CB4E93" w:rsidRPr="00A9330B" w:rsidRDefault="00CB4E93" w:rsidP="00CB4E93">
            <w:pPr>
              <w:widowControl w:val="0"/>
              <w:spacing w:before="40" w:line="240" w:lineRule="auto"/>
              <w:jc w:val="center"/>
              <w:rPr>
                <w:rFonts w:eastAsia="Calibri" w:cs="Arial"/>
                <w:sz w:val="18"/>
                <w:szCs w:val="18"/>
              </w:rPr>
            </w:pPr>
            <w:r w:rsidRPr="00A9330B">
              <w:rPr>
                <w:rFonts w:eastAsia="Calibri" w:cs="Arial"/>
                <w:sz w:val="18"/>
                <w:szCs w:val="18"/>
              </w:rPr>
              <w:t>MDC</w:t>
            </w:r>
          </w:p>
          <w:p w14:paraId="5BA6ECC4" w14:textId="77777777" w:rsidR="00CB4E93" w:rsidRPr="00A9330B" w:rsidRDefault="00CB4E93" w:rsidP="00CB4E93">
            <w:pPr>
              <w:widowControl w:val="0"/>
              <w:spacing w:before="40" w:line="240" w:lineRule="auto"/>
              <w:jc w:val="center"/>
              <w:rPr>
                <w:rFonts w:eastAsia="Calibri" w:cs="Arial"/>
                <w:sz w:val="18"/>
                <w:szCs w:val="18"/>
              </w:rPr>
            </w:pPr>
            <w:r w:rsidRPr="00A9330B">
              <w:rPr>
                <w:rFonts w:eastAsia="Calibri" w:cs="Arial"/>
                <w:sz w:val="18"/>
                <w:szCs w:val="18"/>
              </w:rPr>
              <w:t xml:space="preserve">ACVDT </w:t>
            </w:r>
          </w:p>
          <w:p w14:paraId="2DD5F139" w14:textId="77777777" w:rsidR="00CB4E93" w:rsidRPr="00A9330B" w:rsidRDefault="00CB4E93" w:rsidP="00CB4E93">
            <w:pPr>
              <w:widowControl w:val="0"/>
              <w:spacing w:before="60" w:line="240" w:lineRule="auto"/>
              <w:jc w:val="center"/>
              <w:rPr>
                <w:rFonts w:eastAsia="Calibri" w:cs="Arial"/>
                <w:color w:val="auto"/>
                <w:sz w:val="18"/>
                <w:szCs w:val="18"/>
              </w:rPr>
            </w:pPr>
            <w:r w:rsidRPr="00A9330B">
              <w:rPr>
                <w:rFonts w:eastAsia="Calibri" w:cs="Arial"/>
                <w:sz w:val="18"/>
                <w:szCs w:val="18"/>
              </w:rPr>
              <w:t xml:space="preserve">Consultant </w:t>
            </w:r>
          </w:p>
        </w:tc>
        <w:tc>
          <w:tcPr>
            <w:tcW w:w="897" w:type="pct"/>
            <w:tcBorders>
              <w:top w:val="single" w:sz="6" w:space="0" w:color="auto"/>
              <w:left w:val="single" w:sz="6" w:space="0" w:color="auto"/>
              <w:bottom w:val="single" w:sz="6" w:space="0" w:color="auto"/>
              <w:right w:val="single" w:sz="8" w:space="0" w:color="auto"/>
            </w:tcBorders>
          </w:tcPr>
          <w:p w14:paraId="0393DF44" w14:textId="77777777" w:rsidR="00CB4E93" w:rsidRPr="00A9330B" w:rsidRDefault="00CB4E93" w:rsidP="00CB4E93">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t xml:space="preserve">Mairie concernée (Natitingou)  </w:t>
            </w:r>
          </w:p>
          <w:p w14:paraId="5AE8F916" w14:textId="77777777" w:rsidR="00CB4E93" w:rsidRPr="00A9330B" w:rsidRDefault="00CB4E93" w:rsidP="00CB4E93">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t>Direction Départementale du Cadre de Vie et du Développement Durable (DDCVDD-AD)</w:t>
            </w:r>
          </w:p>
          <w:p w14:paraId="36A8A27A" w14:textId="77777777" w:rsidR="00CB4E93" w:rsidRPr="00A9330B" w:rsidRDefault="00CB4E93" w:rsidP="00CB4E93">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t>Direction Départementale des Infrastructures et des Transports</w:t>
            </w:r>
          </w:p>
        </w:tc>
        <w:tc>
          <w:tcPr>
            <w:tcW w:w="897" w:type="pct"/>
            <w:tcBorders>
              <w:top w:val="single" w:sz="6" w:space="0" w:color="auto"/>
              <w:left w:val="single" w:sz="6" w:space="0" w:color="auto"/>
              <w:bottom w:val="single" w:sz="6" w:space="0" w:color="auto"/>
              <w:right w:val="single" w:sz="8" w:space="0" w:color="auto"/>
            </w:tcBorders>
          </w:tcPr>
          <w:p w14:paraId="7E6DE1DB" w14:textId="77777777" w:rsidR="00CB4E93" w:rsidRPr="00A9330B" w:rsidRDefault="00CB4E93" w:rsidP="00CB4E93">
            <w:pPr>
              <w:widowControl w:val="0"/>
              <w:autoSpaceDE w:val="0"/>
              <w:autoSpaceDN w:val="0"/>
              <w:adjustRightInd w:val="0"/>
              <w:spacing w:before="40" w:line="240" w:lineRule="auto"/>
              <w:rPr>
                <w:rFonts w:cs="Arial"/>
                <w:b/>
                <w:bCs/>
                <w:color w:val="000000"/>
                <w:sz w:val="20"/>
                <w:szCs w:val="20"/>
              </w:rPr>
            </w:pPr>
            <w:r w:rsidRPr="00A9330B">
              <w:rPr>
                <w:rFonts w:cs="Arial"/>
                <w:b/>
                <w:bCs/>
                <w:color w:val="000000"/>
                <w:sz w:val="20"/>
                <w:szCs w:val="20"/>
              </w:rPr>
              <w:t>Cout du PAR</w:t>
            </w:r>
          </w:p>
          <w:p w14:paraId="587E8FF5" w14:textId="77777777" w:rsidR="00CB4E93" w:rsidRPr="00A9330B" w:rsidRDefault="00CB4E93" w:rsidP="00CB4E93">
            <w:pPr>
              <w:spacing w:line="240" w:lineRule="auto"/>
              <w:rPr>
                <w:rFonts w:cs="Arial"/>
                <w:b/>
                <w:sz w:val="20"/>
                <w:szCs w:val="20"/>
              </w:rPr>
            </w:pPr>
            <w:r w:rsidRPr="00A9330B">
              <w:rPr>
                <w:rFonts w:cs="Arial"/>
                <w:b/>
                <w:color w:val="000000"/>
                <w:sz w:val="20"/>
                <w:szCs w:val="20"/>
              </w:rPr>
              <w:t xml:space="preserve">780 985 639 </w:t>
            </w:r>
            <w:r w:rsidRPr="00A9330B">
              <w:rPr>
                <w:rFonts w:cs="Arial"/>
                <w:b/>
                <w:sz w:val="20"/>
                <w:szCs w:val="20"/>
              </w:rPr>
              <w:t>F CFA</w:t>
            </w:r>
          </w:p>
          <w:p w14:paraId="0A659E85" w14:textId="77777777" w:rsidR="00CB4E93" w:rsidRPr="00A9330B" w:rsidRDefault="00CB4E93" w:rsidP="00CB4E93">
            <w:pPr>
              <w:tabs>
                <w:tab w:val="left" w:pos="5474"/>
              </w:tabs>
              <w:rPr>
                <w:rFonts w:cs="Arial"/>
                <w:b/>
                <w:color w:val="000000"/>
                <w:sz w:val="20"/>
                <w:szCs w:val="20"/>
              </w:rPr>
            </w:pPr>
            <w:r w:rsidRPr="00A9330B">
              <w:rPr>
                <w:rFonts w:cs="Arial"/>
                <w:b/>
                <w:bCs/>
                <w:color w:val="000000"/>
                <w:sz w:val="20"/>
                <w:szCs w:val="20"/>
              </w:rPr>
              <w:t>Soit 1 56 1971,28 Dollars US</w:t>
            </w:r>
          </w:p>
          <w:p w14:paraId="777F1919" w14:textId="77777777" w:rsidR="00CB4E93" w:rsidRPr="00A9330B" w:rsidRDefault="00CB4E93" w:rsidP="00CB4E93">
            <w:pPr>
              <w:widowControl w:val="0"/>
              <w:autoSpaceDE w:val="0"/>
              <w:autoSpaceDN w:val="0"/>
              <w:adjustRightInd w:val="0"/>
              <w:spacing w:before="60" w:line="240" w:lineRule="auto"/>
              <w:rPr>
                <w:rFonts w:eastAsia="Calibri" w:cs="Arial"/>
                <w:color w:val="auto"/>
                <w:sz w:val="18"/>
                <w:szCs w:val="18"/>
              </w:rPr>
            </w:pPr>
            <w:r w:rsidRPr="00A9330B">
              <w:rPr>
                <w:rFonts w:cs="Arial"/>
                <w:b/>
                <w:sz w:val="20"/>
                <w:szCs w:val="20"/>
              </w:rPr>
              <w:t>A la charge du Budget National</w:t>
            </w:r>
          </w:p>
        </w:tc>
      </w:tr>
      <w:tr w:rsidR="00CB4E93" w:rsidRPr="00A9330B" w14:paraId="3DE21314" w14:textId="77777777" w:rsidTr="00CB4E93">
        <w:trPr>
          <w:trHeight w:val="713"/>
        </w:trPr>
        <w:tc>
          <w:tcPr>
            <w:tcW w:w="996" w:type="pct"/>
            <w:tcBorders>
              <w:top w:val="single" w:sz="6" w:space="0" w:color="auto"/>
              <w:left w:val="single" w:sz="8" w:space="0" w:color="auto"/>
              <w:bottom w:val="single" w:sz="6" w:space="0" w:color="auto"/>
              <w:right w:val="single" w:sz="6" w:space="0" w:color="auto"/>
            </w:tcBorders>
          </w:tcPr>
          <w:p w14:paraId="3A511714" w14:textId="77777777" w:rsidR="00CB4E93" w:rsidRPr="00A9330B" w:rsidRDefault="00CB4E93" w:rsidP="00CB4E93">
            <w:pPr>
              <w:widowControl w:val="0"/>
              <w:spacing w:before="60" w:line="240" w:lineRule="auto"/>
              <w:jc w:val="both"/>
              <w:rPr>
                <w:rFonts w:eastAsia="Calibri" w:cs="Arial"/>
                <w:color w:val="auto"/>
                <w:sz w:val="18"/>
                <w:szCs w:val="18"/>
              </w:rPr>
            </w:pPr>
            <w:r w:rsidRPr="00A9330B">
              <w:rPr>
                <w:rFonts w:eastAsia="Calibri" w:cs="Arial"/>
                <w:color w:val="auto"/>
                <w:sz w:val="18"/>
                <w:szCs w:val="18"/>
              </w:rPr>
              <w:lastRenderedPageBreak/>
              <w:t xml:space="preserve">1.4.a.1.1. Refermer les fouilles ou les baliser correctement suivant l’évolution des travaux  </w:t>
            </w:r>
          </w:p>
        </w:tc>
        <w:tc>
          <w:tcPr>
            <w:tcW w:w="916" w:type="pct"/>
            <w:tcBorders>
              <w:top w:val="single" w:sz="6" w:space="0" w:color="auto"/>
              <w:left w:val="single" w:sz="6" w:space="0" w:color="auto"/>
              <w:bottom w:val="single" w:sz="6" w:space="0" w:color="auto"/>
              <w:right w:val="single" w:sz="6" w:space="0" w:color="auto"/>
            </w:tcBorders>
          </w:tcPr>
          <w:p w14:paraId="53EF3946" w14:textId="77777777" w:rsidR="00CB4E93" w:rsidRPr="00A9330B" w:rsidRDefault="00CB4E93" w:rsidP="00CB4E93">
            <w:pPr>
              <w:widowControl w:val="0"/>
              <w:autoSpaceDE w:val="0"/>
              <w:autoSpaceDN w:val="0"/>
              <w:adjustRightInd w:val="0"/>
              <w:spacing w:before="60" w:line="240" w:lineRule="auto"/>
              <w:jc w:val="both"/>
              <w:rPr>
                <w:rFonts w:eastAsia="Calibri" w:cs="Arial"/>
                <w:color w:val="auto"/>
                <w:sz w:val="18"/>
                <w:szCs w:val="18"/>
              </w:rPr>
            </w:pPr>
            <w:r w:rsidRPr="00A9330B">
              <w:rPr>
                <w:rFonts w:eastAsia="Calibri" w:cs="Arial"/>
                <w:color w:val="auto"/>
                <w:sz w:val="18"/>
                <w:szCs w:val="18"/>
              </w:rPr>
              <w:t>Nombre de cas d’accidents enregistrés ;</w:t>
            </w:r>
          </w:p>
          <w:p w14:paraId="1B75188F" w14:textId="77777777" w:rsidR="00CB4E93" w:rsidRPr="00A9330B" w:rsidRDefault="00CB4E93" w:rsidP="00CB4E93">
            <w:pPr>
              <w:widowControl w:val="0"/>
              <w:autoSpaceDE w:val="0"/>
              <w:autoSpaceDN w:val="0"/>
              <w:adjustRightInd w:val="0"/>
              <w:spacing w:before="60" w:line="240" w:lineRule="auto"/>
              <w:jc w:val="both"/>
              <w:rPr>
                <w:rFonts w:eastAsia="Calibri" w:cs="Arial"/>
                <w:color w:val="auto"/>
                <w:sz w:val="18"/>
                <w:szCs w:val="18"/>
              </w:rPr>
            </w:pPr>
            <w:r w:rsidRPr="00A9330B">
              <w:rPr>
                <w:rFonts w:eastAsia="Calibri" w:cs="Arial"/>
                <w:color w:val="auto"/>
                <w:sz w:val="18"/>
                <w:szCs w:val="18"/>
              </w:rPr>
              <w:t>Nombre de plaintes enregistrées ;</w:t>
            </w:r>
          </w:p>
          <w:p w14:paraId="763BEF87" w14:textId="77777777" w:rsidR="00CB4E93" w:rsidRPr="00A9330B" w:rsidRDefault="00CB4E93" w:rsidP="00CB4E93">
            <w:pPr>
              <w:widowControl w:val="0"/>
              <w:autoSpaceDE w:val="0"/>
              <w:autoSpaceDN w:val="0"/>
              <w:adjustRightInd w:val="0"/>
              <w:spacing w:before="60" w:line="240" w:lineRule="auto"/>
              <w:jc w:val="both"/>
              <w:rPr>
                <w:rFonts w:eastAsia="Calibri" w:cs="Arial"/>
                <w:color w:val="auto"/>
                <w:sz w:val="18"/>
                <w:szCs w:val="18"/>
              </w:rPr>
            </w:pPr>
            <w:r w:rsidRPr="00A9330B">
              <w:rPr>
                <w:rFonts w:eastAsia="Calibri" w:cs="Arial"/>
                <w:color w:val="auto"/>
                <w:sz w:val="18"/>
                <w:szCs w:val="18"/>
              </w:rPr>
              <w:t>Présence de balise ou de cônes de signalisation autour des fouilles.</w:t>
            </w:r>
          </w:p>
        </w:tc>
        <w:tc>
          <w:tcPr>
            <w:tcW w:w="637" w:type="pct"/>
            <w:tcBorders>
              <w:top w:val="single" w:sz="6" w:space="0" w:color="auto"/>
              <w:left w:val="single" w:sz="6" w:space="0" w:color="auto"/>
              <w:bottom w:val="single" w:sz="6" w:space="0" w:color="auto"/>
              <w:right w:val="single" w:sz="6" w:space="0" w:color="auto"/>
            </w:tcBorders>
          </w:tcPr>
          <w:p w14:paraId="7460F61E" w14:textId="77777777" w:rsidR="00CB4E93" w:rsidRPr="00A9330B" w:rsidRDefault="00CB4E93" w:rsidP="00CB4E93">
            <w:pPr>
              <w:widowControl w:val="0"/>
              <w:autoSpaceDE w:val="0"/>
              <w:autoSpaceDN w:val="0"/>
              <w:adjustRightInd w:val="0"/>
              <w:spacing w:before="60" w:line="240" w:lineRule="auto"/>
              <w:jc w:val="center"/>
              <w:rPr>
                <w:rFonts w:eastAsia="Calibri" w:cs="Arial"/>
                <w:color w:val="auto"/>
                <w:sz w:val="18"/>
                <w:szCs w:val="18"/>
              </w:rPr>
            </w:pPr>
            <w:r w:rsidRPr="00A9330B">
              <w:rPr>
                <w:rFonts w:eastAsia="Calibri" w:cs="Arial"/>
                <w:color w:val="auto"/>
                <w:sz w:val="18"/>
                <w:szCs w:val="18"/>
              </w:rPr>
              <w:t>Phase de préparation et de construction</w:t>
            </w:r>
          </w:p>
        </w:tc>
        <w:tc>
          <w:tcPr>
            <w:tcW w:w="657" w:type="pct"/>
            <w:tcBorders>
              <w:top w:val="single" w:sz="6" w:space="0" w:color="auto"/>
              <w:left w:val="single" w:sz="6" w:space="0" w:color="auto"/>
              <w:bottom w:val="single" w:sz="6" w:space="0" w:color="auto"/>
              <w:right w:val="single" w:sz="6" w:space="0" w:color="auto"/>
            </w:tcBorders>
          </w:tcPr>
          <w:p w14:paraId="46CEC247" w14:textId="77777777" w:rsidR="00CB4E93" w:rsidRPr="00A9330B" w:rsidRDefault="00CB4E93" w:rsidP="00CB4E93">
            <w:pPr>
              <w:widowControl w:val="0"/>
              <w:spacing w:before="60" w:line="240" w:lineRule="auto"/>
              <w:jc w:val="center"/>
              <w:rPr>
                <w:rFonts w:eastAsia="Calibri" w:cs="Arial"/>
                <w:color w:val="auto"/>
                <w:sz w:val="18"/>
                <w:szCs w:val="18"/>
              </w:rPr>
            </w:pPr>
            <w:r w:rsidRPr="00A9330B">
              <w:rPr>
                <w:rFonts w:eastAsia="Calibri" w:cs="Arial"/>
                <w:color w:val="auto"/>
                <w:sz w:val="18"/>
                <w:szCs w:val="18"/>
              </w:rPr>
              <w:t>MDC</w:t>
            </w:r>
          </w:p>
          <w:p w14:paraId="04FFEE7F" w14:textId="77777777" w:rsidR="00CB4E93" w:rsidRPr="00A9330B" w:rsidRDefault="00CB4E93" w:rsidP="00CB4E93">
            <w:pPr>
              <w:widowControl w:val="0"/>
              <w:spacing w:before="60" w:line="240" w:lineRule="auto"/>
              <w:jc w:val="center"/>
              <w:rPr>
                <w:rFonts w:eastAsia="Calibri" w:cs="Arial"/>
                <w:color w:val="auto"/>
                <w:sz w:val="18"/>
                <w:szCs w:val="18"/>
              </w:rPr>
            </w:pPr>
            <w:r w:rsidRPr="00A9330B">
              <w:rPr>
                <w:rFonts w:eastAsia="Calibri" w:cs="Arial"/>
                <w:color w:val="auto"/>
                <w:sz w:val="18"/>
                <w:szCs w:val="18"/>
              </w:rPr>
              <w:t>Entreprise chargée des travaux</w:t>
            </w:r>
          </w:p>
        </w:tc>
        <w:tc>
          <w:tcPr>
            <w:tcW w:w="897" w:type="pct"/>
            <w:tcBorders>
              <w:top w:val="single" w:sz="6" w:space="0" w:color="auto"/>
              <w:left w:val="single" w:sz="6" w:space="0" w:color="auto"/>
              <w:bottom w:val="single" w:sz="6" w:space="0" w:color="auto"/>
              <w:right w:val="single" w:sz="8" w:space="0" w:color="auto"/>
            </w:tcBorders>
          </w:tcPr>
          <w:p w14:paraId="696D234D" w14:textId="77777777" w:rsidR="00CB4E93" w:rsidRPr="00A9330B" w:rsidRDefault="00CB4E93" w:rsidP="00CB4E93">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t xml:space="preserve">Mairie concernée (Natitingou)  </w:t>
            </w:r>
          </w:p>
          <w:p w14:paraId="1AF01E69" w14:textId="77777777" w:rsidR="00CB4E93" w:rsidRPr="00A9330B" w:rsidRDefault="00CB4E93" w:rsidP="00CB4E93">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t>Direction Départementale du Cadre de Vie et du Développement Durable (DDCVDD-AD)</w:t>
            </w:r>
          </w:p>
          <w:p w14:paraId="08CB6908" w14:textId="77777777" w:rsidR="00CB4E93" w:rsidRPr="00A9330B" w:rsidRDefault="00CB4E93" w:rsidP="00CB4E93">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t>Direction Départementale des Infrastructures et des Transports</w:t>
            </w:r>
          </w:p>
        </w:tc>
        <w:tc>
          <w:tcPr>
            <w:tcW w:w="897" w:type="pct"/>
            <w:tcBorders>
              <w:top w:val="single" w:sz="6" w:space="0" w:color="auto"/>
              <w:left w:val="single" w:sz="6" w:space="0" w:color="auto"/>
              <w:bottom w:val="single" w:sz="6" w:space="0" w:color="auto"/>
              <w:right w:val="single" w:sz="8" w:space="0" w:color="auto"/>
            </w:tcBorders>
          </w:tcPr>
          <w:p w14:paraId="7E8904EF" w14:textId="77777777" w:rsidR="00CB4E93" w:rsidRPr="00A9330B" w:rsidRDefault="00CB4E93" w:rsidP="00CB4E93">
            <w:pPr>
              <w:widowControl w:val="0"/>
              <w:autoSpaceDE w:val="0"/>
              <w:autoSpaceDN w:val="0"/>
              <w:adjustRightInd w:val="0"/>
              <w:spacing w:before="40" w:line="240" w:lineRule="auto"/>
              <w:rPr>
                <w:rFonts w:eastAsia="Calibri" w:cs="Arial"/>
                <w:color w:val="auto"/>
                <w:sz w:val="18"/>
                <w:szCs w:val="18"/>
              </w:rPr>
            </w:pPr>
            <w:r w:rsidRPr="00A9330B">
              <w:rPr>
                <w:rFonts w:cs="Arial"/>
                <w:b/>
                <w:bCs/>
                <w:color w:val="000000"/>
                <w:sz w:val="20"/>
                <w:szCs w:val="20"/>
              </w:rPr>
              <w:t xml:space="preserve"> </w:t>
            </w:r>
          </w:p>
          <w:p w14:paraId="698F4B65" w14:textId="77777777" w:rsidR="00CB4E93" w:rsidRPr="00A9330B" w:rsidRDefault="00CB4E93" w:rsidP="00CB4E93">
            <w:pPr>
              <w:widowControl w:val="0"/>
              <w:autoSpaceDE w:val="0"/>
              <w:autoSpaceDN w:val="0"/>
              <w:adjustRightInd w:val="0"/>
              <w:spacing w:before="60" w:line="240" w:lineRule="auto"/>
              <w:rPr>
                <w:rFonts w:eastAsia="Calibri" w:cs="Arial"/>
                <w:sz w:val="20"/>
                <w:szCs w:val="20"/>
              </w:rPr>
            </w:pPr>
            <w:r w:rsidRPr="00A9330B">
              <w:rPr>
                <w:rFonts w:eastAsia="Calibri" w:cs="Arial"/>
                <w:sz w:val="20"/>
                <w:szCs w:val="20"/>
              </w:rPr>
              <w:t>Intégrer dans sécurité de chantier (DAO travaux)</w:t>
            </w:r>
          </w:p>
          <w:p w14:paraId="394C4439" w14:textId="77777777" w:rsidR="00CB4E93" w:rsidRPr="00A9330B" w:rsidRDefault="00CB4E93" w:rsidP="00CB4E93">
            <w:pPr>
              <w:widowControl w:val="0"/>
              <w:autoSpaceDE w:val="0"/>
              <w:autoSpaceDN w:val="0"/>
              <w:adjustRightInd w:val="0"/>
              <w:spacing w:before="60" w:line="240" w:lineRule="auto"/>
              <w:rPr>
                <w:rFonts w:eastAsia="Calibri" w:cs="Arial"/>
                <w:color w:val="auto"/>
                <w:sz w:val="18"/>
                <w:szCs w:val="18"/>
              </w:rPr>
            </w:pPr>
          </w:p>
        </w:tc>
      </w:tr>
      <w:tr w:rsidR="00CB4E93" w:rsidRPr="00A9330B" w14:paraId="240A5D6D" w14:textId="77777777" w:rsidTr="00CB4E93">
        <w:trPr>
          <w:trHeight w:val="258"/>
        </w:trPr>
        <w:tc>
          <w:tcPr>
            <w:tcW w:w="996" w:type="pct"/>
            <w:tcBorders>
              <w:top w:val="single" w:sz="6" w:space="0" w:color="auto"/>
              <w:left w:val="single" w:sz="8" w:space="0" w:color="auto"/>
              <w:bottom w:val="single" w:sz="6" w:space="0" w:color="auto"/>
              <w:right w:val="single" w:sz="6" w:space="0" w:color="auto"/>
            </w:tcBorders>
          </w:tcPr>
          <w:p w14:paraId="2502ADF9" w14:textId="77777777" w:rsidR="00CB4E93" w:rsidRPr="00A9330B" w:rsidRDefault="00CB4E93" w:rsidP="00CB4E93">
            <w:pPr>
              <w:widowControl w:val="0"/>
              <w:spacing w:before="60" w:line="240" w:lineRule="auto"/>
              <w:jc w:val="both"/>
              <w:rPr>
                <w:rFonts w:eastAsia="Calibri" w:cs="Arial"/>
                <w:color w:val="auto"/>
                <w:sz w:val="18"/>
                <w:szCs w:val="18"/>
              </w:rPr>
            </w:pPr>
            <w:r w:rsidRPr="00A9330B">
              <w:rPr>
                <w:rFonts w:eastAsia="Calibri" w:cs="Arial"/>
                <w:color w:val="auto"/>
                <w:sz w:val="18"/>
                <w:szCs w:val="18"/>
              </w:rPr>
              <w:t xml:space="preserve">1.4.a.1.2. Mettre en place un système de surveillance et de signalisation pour la sécurité des populations </w:t>
            </w:r>
          </w:p>
        </w:tc>
        <w:tc>
          <w:tcPr>
            <w:tcW w:w="916" w:type="pct"/>
            <w:tcBorders>
              <w:top w:val="single" w:sz="6" w:space="0" w:color="auto"/>
              <w:left w:val="single" w:sz="6" w:space="0" w:color="auto"/>
              <w:bottom w:val="single" w:sz="6" w:space="0" w:color="auto"/>
              <w:right w:val="single" w:sz="6" w:space="0" w:color="auto"/>
            </w:tcBorders>
          </w:tcPr>
          <w:p w14:paraId="72D8FCC6" w14:textId="77777777" w:rsidR="00CB4E93" w:rsidRPr="00A9330B" w:rsidRDefault="00CB4E93" w:rsidP="00CB4E93">
            <w:pPr>
              <w:widowControl w:val="0"/>
              <w:autoSpaceDE w:val="0"/>
              <w:autoSpaceDN w:val="0"/>
              <w:adjustRightInd w:val="0"/>
              <w:spacing w:before="60" w:line="240" w:lineRule="auto"/>
              <w:jc w:val="both"/>
              <w:rPr>
                <w:rFonts w:eastAsia="Calibri" w:cs="Arial"/>
                <w:color w:val="auto"/>
                <w:sz w:val="18"/>
                <w:szCs w:val="18"/>
              </w:rPr>
            </w:pPr>
            <w:r w:rsidRPr="00A9330B">
              <w:rPr>
                <w:rFonts w:eastAsia="Calibri" w:cs="Arial"/>
                <w:color w:val="auto"/>
                <w:sz w:val="18"/>
                <w:szCs w:val="18"/>
              </w:rPr>
              <w:t>Existence d’affiches portant des consignes de sécurité sur la base technique et les chantiers</w:t>
            </w:r>
          </w:p>
          <w:p w14:paraId="09663789" w14:textId="77777777" w:rsidR="00CB4E93" w:rsidRPr="00A9330B" w:rsidRDefault="00CB4E93" w:rsidP="00CB4E93">
            <w:pPr>
              <w:widowControl w:val="0"/>
              <w:autoSpaceDE w:val="0"/>
              <w:autoSpaceDN w:val="0"/>
              <w:adjustRightInd w:val="0"/>
              <w:spacing w:before="60" w:line="240" w:lineRule="auto"/>
              <w:jc w:val="both"/>
              <w:rPr>
                <w:rFonts w:eastAsia="Calibri" w:cs="Arial"/>
                <w:color w:val="auto"/>
                <w:sz w:val="18"/>
                <w:szCs w:val="18"/>
              </w:rPr>
            </w:pPr>
            <w:r w:rsidRPr="00A9330B">
              <w:rPr>
                <w:rFonts w:eastAsia="Calibri" w:cs="Arial"/>
                <w:color w:val="auto"/>
                <w:sz w:val="18"/>
                <w:szCs w:val="18"/>
              </w:rPr>
              <w:t xml:space="preserve">Présence des agents HSE sur le chantier </w:t>
            </w:r>
          </w:p>
        </w:tc>
        <w:tc>
          <w:tcPr>
            <w:tcW w:w="637" w:type="pct"/>
            <w:tcBorders>
              <w:top w:val="single" w:sz="6" w:space="0" w:color="auto"/>
              <w:left w:val="single" w:sz="6" w:space="0" w:color="auto"/>
              <w:bottom w:val="single" w:sz="6" w:space="0" w:color="auto"/>
              <w:right w:val="single" w:sz="6" w:space="0" w:color="auto"/>
            </w:tcBorders>
          </w:tcPr>
          <w:p w14:paraId="316D4322" w14:textId="77777777" w:rsidR="00CB4E93" w:rsidRPr="00A9330B" w:rsidRDefault="00CB4E93" w:rsidP="00CB4E93">
            <w:pPr>
              <w:widowControl w:val="0"/>
              <w:autoSpaceDE w:val="0"/>
              <w:autoSpaceDN w:val="0"/>
              <w:adjustRightInd w:val="0"/>
              <w:spacing w:before="60" w:line="240" w:lineRule="auto"/>
              <w:jc w:val="center"/>
              <w:rPr>
                <w:rFonts w:eastAsia="Calibri" w:cs="Arial"/>
                <w:color w:val="auto"/>
                <w:sz w:val="18"/>
                <w:szCs w:val="18"/>
              </w:rPr>
            </w:pPr>
            <w:r w:rsidRPr="00A9330B">
              <w:rPr>
                <w:rFonts w:eastAsia="Calibri" w:cs="Arial"/>
                <w:color w:val="auto"/>
                <w:sz w:val="18"/>
                <w:szCs w:val="18"/>
              </w:rPr>
              <w:t>Phase de préparation et de construction</w:t>
            </w:r>
          </w:p>
        </w:tc>
        <w:tc>
          <w:tcPr>
            <w:tcW w:w="657" w:type="pct"/>
            <w:tcBorders>
              <w:top w:val="single" w:sz="6" w:space="0" w:color="auto"/>
              <w:left w:val="single" w:sz="6" w:space="0" w:color="auto"/>
              <w:bottom w:val="single" w:sz="6" w:space="0" w:color="auto"/>
              <w:right w:val="single" w:sz="6" w:space="0" w:color="auto"/>
            </w:tcBorders>
          </w:tcPr>
          <w:p w14:paraId="47B54A50" w14:textId="77777777" w:rsidR="00CB4E93" w:rsidRPr="00A9330B" w:rsidRDefault="00CB4E93" w:rsidP="00CB4E93">
            <w:pPr>
              <w:widowControl w:val="0"/>
              <w:spacing w:before="60" w:line="240" w:lineRule="auto"/>
              <w:jc w:val="center"/>
              <w:rPr>
                <w:rFonts w:eastAsia="Calibri" w:cs="Arial"/>
                <w:color w:val="auto"/>
                <w:sz w:val="18"/>
                <w:szCs w:val="18"/>
              </w:rPr>
            </w:pPr>
            <w:r w:rsidRPr="00A9330B">
              <w:rPr>
                <w:rFonts w:eastAsia="Calibri" w:cs="Arial"/>
                <w:color w:val="auto"/>
                <w:sz w:val="18"/>
                <w:szCs w:val="18"/>
              </w:rPr>
              <w:t>MDC</w:t>
            </w:r>
          </w:p>
          <w:p w14:paraId="10F0CC89" w14:textId="77777777" w:rsidR="00CB4E93" w:rsidRPr="00A9330B" w:rsidRDefault="00CB4E93" w:rsidP="00CB4E93">
            <w:pPr>
              <w:widowControl w:val="0"/>
              <w:spacing w:before="60" w:line="240" w:lineRule="auto"/>
              <w:jc w:val="center"/>
              <w:rPr>
                <w:rFonts w:eastAsia="Calibri" w:cs="Arial"/>
                <w:color w:val="auto"/>
                <w:sz w:val="18"/>
                <w:szCs w:val="18"/>
              </w:rPr>
            </w:pPr>
            <w:r w:rsidRPr="00A9330B">
              <w:rPr>
                <w:rFonts w:eastAsia="Calibri" w:cs="Arial"/>
                <w:color w:val="auto"/>
                <w:sz w:val="18"/>
                <w:szCs w:val="18"/>
              </w:rPr>
              <w:t>Entreprise chargée des travaux</w:t>
            </w:r>
          </w:p>
        </w:tc>
        <w:tc>
          <w:tcPr>
            <w:tcW w:w="897" w:type="pct"/>
            <w:tcBorders>
              <w:top w:val="single" w:sz="6" w:space="0" w:color="auto"/>
              <w:left w:val="single" w:sz="6" w:space="0" w:color="auto"/>
              <w:bottom w:val="single" w:sz="6" w:space="0" w:color="auto"/>
              <w:right w:val="single" w:sz="8" w:space="0" w:color="auto"/>
            </w:tcBorders>
          </w:tcPr>
          <w:p w14:paraId="00E365B6" w14:textId="77777777" w:rsidR="00CB4E93" w:rsidRPr="00A9330B" w:rsidRDefault="00CB4E93" w:rsidP="00CB4E93">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t xml:space="preserve">Mairie concernée (Natitingou)  </w:t>
            </w:r>
          </w:p>
          <w:p w14:paraId="2EC1A49A" w14:textId="77777777" w:rsidR="00CB4E93" w:rsidRPr="00A9330B" w:rsidRDefault="00CB4E93" w:rsidP="00CB4E93">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t>Direction Départementale du Cadre de Vie et du Développement Durable (DDCVDD-AD)</w:t>
            </w:r>
          </w:p>
          <w:p w14:paraId="55D4653D" w14:textId="77777777" w:rsidR="00CB4E93" w:rsidRPr="00A9330B" w:rsidRDefault="00CB4E93" w:rsidP="00CB4E93">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t>Direction Départementale des Infrastructures et des Transports</w:t>
            </w:r>
          </w:p>
        </w:tc>
        <w:tc>
          <w:tcPr>
            <w:tcW w:w="897" w:type="pct"/>
            <w:tcBorders>
              <w:top w:val="single" w:sz="6" w:space="0" w:color="auto"/>
              <w:left w:val="single" w:sz="6" w:space="0" w:color="auto"/>
              <w:bottom w:val="single" w:sz="6" w:space="0" w:color="auto"/>
              <w:right w:val="single" w:sz="8" w:space="0" w:color="auto"/>
            </w:tcBorders>
          </w:tcPr>
          <w:p w14:paraId="503CAA77" w14:textId="77777777" w:rsidR="00CB4E93" w:rsidRPr="00A9330B" w:rsidRDefault="00CB4E93" w:rsidP="00CB4E93">
            <w:pPr>
              <w:widowControl w:val="0"/>
              <w:autoSpaceDE w:val="0"/>
              <w:autoSpaceDN w:val="0"/>
              <w:adjustRightInd w:val="0"/>
              <w:spacing w:before="60" w:line="240" w:lineRule="auto"/>
              <w:rPr>
                <w:rFonts w:eastAsia="Calibri" w:cs="Arial"/>
                <w:sz w:val="20"/>
                <w:szCs w:val="20"/>
              </w:rPr>
            </w:pPr>
            <w:r w:rsidRPr="00A9330B">
              <w:rPr>
                <w:rFonts w:eastAsia="Calibri" w:cs="Arial"/>
                <w:sz w:val="20"/>
                <w:szCs w:val="20"/>
              </w:rPr>
              <w:t>Intégrer dans sécurité de chantier (DAO travaux)</w:t>
            </w:r>
          </w:p>
          <w:p w14:paraId="42647C89" w14:textId="77777777" w:rsidR="00CB4E93" w:rsidRPr="00A9330B" w:rsidRDefault="00CB4E93" w:rsidP="00CB4E93">
            <w:pPr>
              <w:widowControl w:val="0"/>
              <w:autoSpaceDE w:val="0"/>
              <w:autoSpaceDN w:val="0"/>
              <w:adjustRightInd w:val="0"/>
              <w:spacing w:before="60" w:line="240" w:lineRule="auto"/>
              <w:rPr>
                <w:rFonts w:eastAsia="Calibri" w:cs="Arial"/>
                <w:color w:val="auto"/>
                <w:sz w:val="18"/>
                <w:szCs w:val="18"/>
              </w:rPr>
            </w:pPr>
          </w:p>
        </w:tc>
      </w:tr>
      <w:tr w:rsidR="00CB4E93" w:rsidRPr="00A9330B" w14:paraId="46114C42" w14:textId="77777777" w:rsidTr="00CB4E93">
        <w:trPr>
          <w:trHeight w:val="190"/>
        </w:trPr>
        <w:tc>
          <w:tcPr>
            <w:tcW w:w="996" w:type="pct"/>
            <w:tcBorders>
              <w:top w:val="single" w:sz="6" w:space="0" w:color="auto"/>
              <w:left w:val="single" w:sz="8" w:space="0" w:color="auto"/>
              <w:bottom w:val="single" w:sz="6" w:space="0" w:color="auto"/>
              <w:right w:val="single" w:sz="6" w:space="0" w:color="auto"/>
            </w:tcBorders>
          </w:tcPr>
          <w:p w14:paraId="3CAEE747" w14:textId="77777777" w:rsidR="00CB4E93" w:rsidRPr="00A9330B" w:rsidRDefault="00CB4E93" w:rsidP="00CB4E93">
            <w:pPr>
              <w:widowControl w:val="0"/>
              <w:spacing w:before="60" w:line="240" w:lineRule="auto"/>
              <w:jc w:val="both"/>
              <w:rPr>
                <w:rFonts w:eastAsia="Calibri" w:cs="Arial"/>
                <w:color w:val="auto"/>
                <w:sz w:val="18"/>
                <w:szCs w:val="18"/>
              </w:rPr>
            </w:pPr>
            <w:r w:rsidRPr="00A9330B">
              <w:rPr>
                <w:rFonts w:eastAsia="Calibri" w:cs="Arial"/>
                <w:color w:val="auto"/>
                <w:sz w:val="18"/>
                <w:szCs w:val="18"/>
              </w:rPr>
              <w:t xml:space="preserve">2.3.a.2.2 ; 2.4.a.2.2. ; </w:t>
            </w:r>
            <w:r w:rsidRPr="00A9330B">
              <w:rPr>
                <w:rFonts w:cs="Arial"/>
                <w:color w:val="auto"/>
                <w:sz w:val="18"/>
                <w:szCs w:val="18"/>
              </w:rPr>
              <w:t>2.6.a.1.3.</w:t>
            </w:r>
          </w:p>
          <w:p w14:paraId="1CEB6FFA" w14:textId="77777777" w:rsidR="00CB4E93" w:rsidRPr="00A9330B" w:rsidRDefault="00CB4E93" w:rsidP="00CB4E93">
            <w:pPr>
              <w:widowControl w:val="0"/>
              <w:spacing w:before="60" w:line="240" w:lineRule="auto"/>
              <w:jc w:val="both"/>
              <w:rPr>
                <w:rFonts w:eastAsia="Calibri" w:cs="Arial"/>
                <w:color w:val="auto"/>
                <w:sz w:val="18"/>
                <w:szCs w:val="18"/>
              </w:rPr>
            </w:pPr>
            <w:r w:rsidRPr="00A9330B">
              <w:rPr>
                <w:rFonts w:eastAsia="Calibri" w:cs="Arial"/>
                <w:color w:val="auto"/>
                <w:sz w:val="18"/>
                <w:szCs w:val="18"/>
              </w:rPr>
              <w:t>Arroser les voies de circulation, les déviations et les plates-formes en phase chantier</w:t>
            </w:r>
          </w:p>
        </w:tc>
        <w:tc>
          <w:tcPr>
            <w:tcW w:w="916" w:type="pct"/>
            <w:tcBorders>
              <w:top w:val="single" w:sz="6" w:space="0" w:color="auto"/>
              <w:left w:val="single" w:sz="6" w:space="0" w:color="auto"/>
              <w:bottom w:val="single" w:sz="6" w:space="0" w:color="auto"/>
              <w:right w:val="single" w:sz="6" w:space="0" w:color="auto"/>
            </w:tcBorders>
          </w:tcPr>
          <w:p w14:paraId="0F3393DA" w14:textId="77777777" w:rsidR="00CB4E93" w:rsidRPr="00A9330B" w:rsidRDefault="00CB4E93" w:rsidP="00CB4E93">
            <w:pPr>
              <w:widowControl w:val="0"/>
              <w:tabs>
                <w:tab w:val="left" w:pos="984"/>
              </w:tabs>
              <w:spacing w:before="60" w:line="240" w:lineRule="auto"/>
              <w:jc w:val="both"/>
              <w:rPr>
                <w:rFonts w:eastAsia="Calibri" w:cs="Arial"/>
                <w:color w:val="auto"/>
                <w:sz w:val="18"/>
                <w:szCs w:val="18"/>
              </w:rPr>
            </w:pPr>
            <w:r w:rsidRPr="00A9330B">
              <w:rPr>
                <w:rFonts w:eastAsia="Calibri" w:cs="Arial"/>
                <w:color w:val="auto"/>
                <w:sz w:val="18"/>
                <w:szCs w:val="18"/>
              </w:rPr>
              <w:t>Absence de plaintes des populations riveraines et des usagers</w:t>
            </w:r>
          </w:p>
          <w:p w14:paraId="48BBD75B" w14:textId="77777777" w:rsidR="00CB4E93" w:rsidRPr="00A9330B" w:rsidRDefault="00CB4E93" w:rsidP="00CB4E93">
            <w:pPr>
              <w:widowControl w:val="0"/>
              <w:tabs>
                <w:tab w:val="left" w:pos="984"/>
              </w:tabs>
              <w:spacing w:before="60" w:line="240" w:lineRule="auto"/>
              <w:jc w:val="both"/>
              <w:rPr>
                <w:rFonts w:eastAsia="Calibri" w:cs="Arial"/>
                <w:color w:val="auto"/>
                <w:sz w:val="18"/>
                <w:szCs w:val="18"/>
              </w:rPr>
            </w:pPr>
          </w:p>
        </w:tc>
        <w:tc>
          <w:tcPr>
            <w:tcW w:w="637" w:type="pct"/>
            <w:tcBorders>
              <w:top w:val="single" w:sz="6" w:space="0" w:color="auto"/>
              <w:left w:val="single" w:sz="6" w:space="0" w:color="auto"/>
              <w:bottom w:val="single" w:sz="6" w:space="0" w:color="auto"/>
              <w:right w:val="single" w:sz="6" w:space="0" w:color="auto"/>
            </w:tcBorders>
          </w:tcPr>
          <w:p w14:paraId="69418AA2" w14:textId="77777777" w:rsidR="00CB4E93" w:rsidRPr="00A9330B" w:rsidRDefault="00CB4E93" w:rsidP="00CB4E93">
            <w:pPr>
              <w:widowControl w:val="0"/>
              <w:spacing w:before="60" w:line="240" w:lineRule="auto"/>
              <w:jc w:val="center"/>
              <w:rPr>
                <w:rFonts w:eastAsia="Calibri" w:cs="Arial"/>
                <w:color w:val="auto"/>
                <w:sz w:val="18"/>
                <w:szCs w:val="18"/>
              </w:rPr>
            </w:pPr>
            <w:r w:rsidRPr="00A9330B">
              <w:rPr>
                <w:rFonts w:eastAsia="Calibri" w:cs="Arial"/>
                <w:color w:val="auto"/>
                <w:sz w:val="18"/>
                <w:szCs w:val="18"/>
              </w:rPr>
              <w:t>Au démarrage et pendant les travaux</w:t>
            </w:r>
          </w:p>
        </w:tc>
        <w:tc>
          <w:tcPr>
            <w:tcW w:w="657" w:type="pct"/>
            <w:tcBorders>
              <w:top w:val="single" w:sz="6" w:space="0" w:color="auto"/>
              <w:left w:val="single" w:sz="6" w:space="0" w:color="auto"/>
              <w:bottom w:val="single" w:sz="6" w:space="0" w:color="auto"/>
              <w:right w:val="single" w:sz="6" w:space="0" w:color="auto"/>
            </w:tcBorders>
          </w:tcPr>
          <w:p w14:paraId="12705B1F" w14:textId="77777777" w:rsidR="00CB4E93" w:rsidRPr="00A9330B" w:rsidRDefault="00CB4E93" w:rsidP="00CB4E93">
            <w:pPr>
              <w:widowControl w:val="0"/>
              <w:spacing w:before="60" w:line="240" w:lineRule="auto"/>
              <w:jc w:val="center"/>
              <w:rPr>
                <w:rFonts w:eastAsia="Calibri" w:cs="Arial"/>
                <w:color w:val="auto"/>
                <w:sz w:val="18"/>
                <w:szCs w:val="18"/>
              </w:rPr>
            </w:pPr>
            <w:r w:rsidRPr="00A9330B">
              <w:rPr>
                <w:rFonts w:eastAsia="Calibri" w:cs="Arial"/>
                <w:color w:val="auto"/>
                <w:sz w:val="18"/>
                <w:szCs w:val="18"/>
              </w:rPr>
              <w:t>MDC</w:t>
            </w:r>
          </w:p>
          <w:p w14:paraId="7B6467CF" w14:textId="77777777" w:rsidR="00CB4E93" w:rsidRPr="00A9330B" w:rsidRDefault="00CB4E93" w:rsidP="00CB4E93">
            <w:pPr>
              <w:widowControl w:val="0"/>
              <w:spacing w:before="60" w:line="240" w:lineRule="auto"/>
              <w:jc w:val="center"/>
              <w:rPr>
                <w:rFonts w:eastAsia="Calibri" w:cs="Arial"/>
                <w:color w:val="auto"/>
                <w:sz w:val="18"/>
                <w:szCs w:val="18"/>
              </w:rPr>
            </w:pPr>
            <w:r w:rsidRPr="00A9330B">
              <w:rPr>
                <w:rFonts w:eastAsia="Calibri" w:cs="Arial"/>
                <w:color w:val="auto"/>
                <w:sz w:val="18"/>
                <w:szCs w:val="18"/>
              </w:rPr>
              <w:t>Entreprise chargée des travaux</w:t>
            </w:r>
          </w:p>
        </w:tc>
        <w:tc>
          <w:tcPr>
            <w:tcW w:w="897" w:type="pct"/>
            <w:tcBorders>
              <w:top w:val="single" w:sz="6" w:space="0" w:color="auto"/>
              <w:left w:val="single" w:sz="6" w:space="0" w:color="auto"/>
              <w:bottom w:val="single" w:sz="6" w:space="0" w:color="auto"/>
              <w:right w:val="single" w:sz="8" w:space="0" w:color="auto"/>
            </w:tcBorders>
          </w:tcPr>
          <w:p w14:paraId="55EF6F34" w14:textId="77777777" w:rsidR="00CB4E93" w:rsidRPr="00A9330B" w:rsidRDefault="00CB4E93" w:rsidP="00CB4E93">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t>Mairie de Natitingou (Services Techniques)</w:t>
            </w:r>
          </w:p>
          <w:p w14:paraId="5D89F33C" w14:textId="77777777" w:rsidR="00CB4E93" w:rsidRPr="00A9330B" w:rsidRDefault="00CB4E93" w:rsidP="00CB4E93">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t>Direction Départementale des Infrastructures et des Transports</w:t>
            </w:r>
          </w:p>
        </w:tc>
        <w:tc>
          <w:tcPr>
            <w:tcW w:w="897" w:type="pct"/>
            <w:tcBorders>
              <w:top w:val="single" w:sz="6" w:space="0" w:color="auto"/>
              <w:left w:val="single" w:sz="6" w:space="0" w:color="auto"/>
              <w:bottom w:val="single" w:sz="6" w:space="0" w:color="auto"/>
              <w:right w:val="single" w:sz="8" w:space="0" w:color="auto"/>
            </w:tcBorders>
          </w:tcPr>
          <w:p w14:paraId="10451A5E" w14:textId="77777777" w:rsidR="00CB4E93" w:rsidRPr="00A9330B" w:rsidRDefault="00CB4E93" w:rsidP="00CB4E93">
            <w:pPr>
              <w:widowControl w:val="0"/>
              <w:autoSpaceDE w:val="0"/>
              <w:autoSpaceDN w:val="0"/>
              <w:adjustRightInd w:val="0"/>
              <w:spacing w:before="60" w:line="240" w:lineRule="auto"/>
              <w:rPr>
                <w:rFonts w:eastAsia="Calibri" w:cs="Arial"/>
                <w:sz w:val="20"/>
                <w:szCs w:val="20"/>
              </w:rPr>
            </w:pPr>
            <w:r w:rsidRPr="00A9330B">
              <w:rPr>
                <w:rFonts w:eastAsia="Calibri" w:cs="Arial"/>
                <w:sz w:val="20"/>
                <w:szCs w:val="20"/>
              </w:rPr>
              <w:t>Intégrer dans sécurité de chantier (DAO travaux)</w:t>
            </w:r>
          </w:p>
        </w:tc>
      </w:tr>
      <w:tr w:rsidR="00CB4E93" w:rsidRPr="00A9330B" w14:paraId="7CFCF307" w14:textId="77777777" w:rsidTr="00CB4E93">
        <w:trPr>
          <w:trHeight w:val="454"/>
        </w:trPr>
        <w:tc>
          <w:tcPr>
            <w:tcW w:w="996" w:type="pct"/>
            <w:tcBorders>
              <w:top w:val="single" w:sz="6" w:space="0" w:color="auto"/>
              <w:left w:val="single" w:sz="8" w:space="0" w:color="auto"/>
              <w:bottom w:val="single" w:sz="6" w:space="0" w:color="auto"/>
              <w:right w:val="single" w:sz="6" w:space="0" w:color="auto"/>
            </w:tcBorders>
          </w:tcPr>
          <w:p w14:paraId="20A75E17" w14:textId="77777777" w:rsidR="00CB4E93" w:rsidRPr="00A9330B" w:rsidRDefault="00CB4E93" w:rsidP="00CB4E93">
            <w:pPr>
              <w:widowControl w:val="0"/>
              <w:spacing w:before="60" w:line="240" w:lineRule="auto"/>
              <w:jc w:val="both"/>
              <w:rPr>
                <w:rFonts w:eastAsia="Calibri" w:cs="Arial"/>
                <w:color w:val="auto"/>
                <w:sz w:val="18"/>
                <w:szCs w:val="18"/>
              </w:rPr>
            </w:pPr>
            <w:r w:rsidRPr="00A9330B">
              <w:rPr>
                <w:rFonts w:eastAsia="Calibri" w:cs="Arial"/>
                <w:color w:val="auto"/>
                <w:sz w:val="18"/>
                <w:szCs w:val="18"/>
              </w:rPr>
              <w:t>2.4.a.4.1. ; 2.4.a.4.2 ; 2.8.a.7.2. ;. ; 2.8.a.7.3. </w:t>
            </w:r>
          </w:p>
          <w:p w14:paraId="4FD1513A" w14:textId="77777777" w:rsidR="00CB4E93" w:rsidRPr="00A9330B" w:rsidRDefault="00CB4E93" w:rsidP="00CB4E93">
            <w:pPr>
              <w:widowControl w:val="0"/>
              <w:spacing w:before="60" w:line="240" w:lineRule="auto"/>
              <w:jc w:val="both"/>
              <w:rPr>
                <w:rFonts w:eastAsia="Calibri" w:cs="Arial"/>
                <w:color w:val="auto"/>
                <w:sz w:val="18"/>
                <w:szCs w:val="18"/>
              </w:rPr>
            </w:pPr>
            <w:r w:rsidRPr="00A9330B">
              <w:rPr>
                <w:rFonts w:eastAsia="Calibri" w:cs="Arial"/>
                <w:color w:val="auto"/>
                <w:sz w:val="18"/>
                <w:szCs w:val="18"/>
              </w:rPr>
              <w:t>Mettre des panneaux de signalisation dans les zones de travaux</w:t>
            </w:r>
          </w:p>
        </w:tc>
        <w:tc>
          <w:tcPr>
            <w:tcW w:w="916" w:type="pct"/>
            <w:tcBorders>
              <w:top w:val="single" w:sz="6" w:space="0" w:color="auto"/>
              <w:left w:val="single" w:sz="6" w:space="0" w:color="auto"/>
              <w:bottom w:val="single" w:sz="6" w:space="0" w:color="auto"/>
              <w:right w:val="single" w:sz="6" w:space="0" w:color="auto"/>
            </w:tcBorders>
          </w:tcPr>
          <w:p w14:paraId="2C25F2BE" w14:textId="77777777" w:rsidR="00CB4E93" w:rsidRPr="00A9330B" w:rsidRDefault="00CB4E93" w:rsidP="00CB4E93">
            <w:pPr>
              <w:widowControl w:val="0"/>
              <w:autoSpaceDE w:val="0"/>
              <w:autoSpaceDN w:val="0"/>
              <w:adjustRightInd w:val="0"/>
              <w:spacing w:before="60" w:line="240" w:lineRule="auto"/>
              <w:jc w:val="both"/>
              <w:rPr>
                <w:rFonts w:eastAsia="Calibri" w:cs="Arial"/>
                <w:color w:val="auto"/>
                <w:sz w:val="18"/>
                <w:szCs w:val="18"/>
              </w:rPr>
            </w:pPr>
            <w:r w:rsidRPr="00A9330B">
              <w:rPr>
                <w:rFonts w:eastAsia="Calibri" w:cs="Arial"/>
                <w:color w:val="auto"/>
                <w:sz w:val="18"/>
                <w:szCs w:val="18"/>
              </w:rPr>
              <w:t>Existence de barrières, de balise et de signalisation visible</w:t>
            </w:r>
          </w:p>
          <w:p w14:paraId="46DE203D" w14:textId="77777777" w:rsidR="00CB4E93" w:rsidRPr="00A9330B" w:rsidRDefault="00CB4E93" w:rsidP="00CB4E93">
            <w:pPr>
              <w:widowControl w:val="0"/>
              <w:autoSpaceDE w:val="0"/>
              <w:autoSpaceDN w:val="0"/>
              <w:adjustRightInd w:val="0"/>
              <w:spacing w:before="60" w:line="240" w:lineRule="auto"/>
              <w:jc w:val="both"/>
              <w:rPr>
                <w:rFonts w:eastAsia="Calibri" w:cs="Arial"/>
                <w:color w:val="auto"/>
                <w:sz w:val="18"/>
                <w:szCs w:val="18"/>
              </w:rPr>
            </w:pPr>
            <w:r w:rsidRPr="00A9330B">
              <w:rPr>
                <w:rFonts w:eastAsia="Calibri" w:cs="Arial"/>
                <w:color w:val="auto"/>
                <w:sz w:val="18"/>
                <w:szCs w:val="18"/>
              </w:rPr>
              <w:t xml:space="preserve">Présence d’agents munis de fanions </w:t>
            </w:r>
          </w:p>
          <w:p w14:paraId="5287AD5C" w14:textId="77777777" w:rsidR="00CB4E93" w:rsidRPr="00A9330B" w:rsidRDefault="00CB4E93" w:rsidP="00CB4E93">
            <w:pPr>
              <w:widowControl w:val="0"/>
              <w:spacing w:before="60" w:line="240" w:lineRule="auto"/>
              <w:jc w:val="both"/>
              <w:rPr>
                <w:rFonts w:eastAsia="Calibri" w:cs="Arial"/>
                <w:color w:val="auto"/>
                <w:sz w:val="18"/>
                <w:szCs w:val="18"/>
              </w:rPr>
            </w:pPr>
            <w:r w:rsidRPr="00A9330B">
              <w:rPr>
                <w:rFonts w:eastAsia="Calibri" w:cs="Arial"/>
                <w:color w:val="auto"/>
                <w:sz w:val="18"/>
                <w:szCs w:val="18"/>
              </w:rPr>
              <w:t xml:space="preserve">Existence de panneaux de chantier, </w:t>
            </w:r>
          </w:p>
          <w:p w14:paraId="3A127D29" w14:textId="77777777" w:rsidR="00CB4E93" w:rsidRPr="00A9330B" w:rsidRDefault="00CB4E93" w:rsidP="00CB4E93">
            <w:pPr>
              <w:widowControl w:val="0"/>
              <w:autoSpaceDE w:val="0"/>
              <w:autoSpaceDN w:val="0"/>
              <w:adjustRightInd w:val="0"/>
              <w:spacing w:before="60" w:line="240" w:lineRule="auto"/>
              <w:jc w:val="both"/>
              <w:rPr>
                <w:rFonts w:eastAsia="Calibri" w:cs="Arial"/>
                <w:color w:val="auto"/>
                <w:sz w:val="18"/>
                <w:szCs w:val="18"/>
              </w:rPr>
            </w:pPr>
            <w:r w:rsidRPr="00A9330B">
              <w:rPr>
                <w:rFonts w:eastAsia="Calibri" w:cs="Arial"/>
                <w:color w:val="auto"/>
                <w:sz w:val="18"/>
                <w:szCs w:val="18"/>
              </w:rPr>
              <w:t xml:space="preserve">Existence d’alarme sur les engins </w:t>
            </w:r>
          </w:p>
        </w:tc>
        <w:tc>
          <w:tcPr>
            <w:tcW w:w="637" w:type="pct"/>
            <w:tcBorders>
              <w:top w:val="single" w:sz="6" w:space="0" w:color="auto"/>
              <w:left w:val="single" w:sz="6" w:space="0" w:color="auto"/>
              <w:bottom w:val="single" w:sz="6" w:space="0" w:color="auto"/>
              <w:right w:val="single" w:sz="6" w:space="0" w:color="auto"/>
            </w:tcBorders>
          </w:tcPr>
          <w:p w14:paraId="72586675" w14:textId="77777777" w:rsidR="00CB4E93" w:rsidRPr="00A9330B" w:rsidRDefault="00CB4E93" w:rsidP="00CB4E93">
            <w:pPr>
              <w:widowControl w:val="0"/>
              <w:autoSpaceDE w:val="0"/>
              <w:autoSpaceDN w:val="0"/>
              <w:adjustRightInd w:val="0"/>
              <w:spacing w:before="60" w:line="240" w:lineRule="auto"/>
              <w:jc w:val="center"/>
              <w:rPr>
                <w:rFonts w:eastAsia="Calibri" w:cs="Arial"/>
                <w:color w:val="auto"/>
                <w:sz w:val="18"/>
                <w:szCs w:val="18"/>
              </w:rPr>
            </w:pPr>
            <w:r w:rsidRPr="00A9330B">
              <w:rPr>
                <w:rFonts w:eastAsia="Calibri" w:cs="Arial"/>
                <w:color w:val="auto"/>
                <w:sz w:val="18"/>
                <w:szCs w:val="18"/>
              </w:rPr>
              <w:t>Au démarrage et pendant les travaux</w:t>
            </w:r>
          </w:p>
        </w:tc>
        <w:tc>
          <w:tcPr>
            <w:tcW w:w="657" w:type="pct"/>
            <w:tcBorders>
              <w:top w:val="single" w:sz="6" w:space="0" w:color="auto"/>
              <w:left w:val="single" w:sz="6" w:space="0" w:color="auto"/>
              <w:bottom w:val="single" w:sz="6" w:space="0" w:color="auto"/>
              <w:right w:val="single" w:sz="6" w:space="0" w:color="auto"/>
            </w:tcBorders>
          </w:tcPr>
          <w:p w14:paraId="445F8B2B" w14:textId="77777777" w:rsidR="00CB4E93" w:rsidRPr="00A9330B" w:rsidRDefault="00CB4E93" w:rsidP="00CB4E93">
            <w:pPr>
              <w:widowControl w:val="0"/>
              <w:spacing w:before="60" w:line="240" w:lineRule="auto"/>
              <w:jc w:val="center"/>
              <w:rPr>
                <w:rFonts w:eastAsia="Calibri" w:cs="Arial"/>
                <w:color w:val="auto"/>
                <w:sz w:val="18"/>
                <w:szCs w:val="18"/>
              </w:rPr>
            </w:pPr>
            <w:r w:rsidRPr="00A9330B">
              <w:rPr>
                <w:rFonts w:eastAsia="Calibri" w:cs="Arial"/>
                <w:color w:val="auto"/>
                <w:sz w:val="18"/>
                <w:szCs w:val="18"/>
              </w:rPr>
              <w:t>MDC</w:t>
            </w:r>
          </w:p>
          <w:p w14:paraId="206AC36B" w14:textId="77777777" w:rsidR="00CB4E93" w:rsidRPr="00A9330B" w:rsidRDefault="00CB4E93" w:rsidP="00CB4E93">
            <w:pPr>
              <w:widowControl w:val="0"/>
              <w:spacing w:before="60" w:line="240" w:lineRule="auto"/>
              <w:jc w:val="center"/>
              <w:rPr>
                <w:rFonts w:eastAsia="Calibri" w:cs="Arial"/>
                <w:color w:val="auto"/>
                <w:sz w:val="18"/>
                <w:szCs w:val="18"/>
              </w:rPr>
            </w:pPr>
            <w:r w:rsidRPr="00A9330B">
              <w:rPr>
                <w:rFonts w:eastAsia="Calibri" w:cs="Arial"/>
                <w:color w:val="auto"/>
                <w:sz w:val="18"/>
                <w:szCs w:val="18"/>
              </w:rPr>
              <w:t>Entreprise chargée des travaux</w:t>
            </w:r>
          </w:p>
        </w:tc>
        <w:tc>
          <w:tcPr>
            <w:tcW w:w="897" w:type="pct"/>
            <w:tcBorders>
              <w:top w:val="single" w:sz="6" w:space="0" w:color="auto"/>
              <w:left w:val="single" w:sz="6" w:space="0" w:color="auto"/>
              <w:bottom w:val="single" w:sz="6" w:space="0" w:color="auto"/>
              <w:right w:val="single" w:sz="8" w:space="0" w:color="auto"/>
            </w:tcBorders>
          </w:tcPr>
          <w:p w14:paraId="3AD7AEB2" w14:textId="77777777" w:rsidR="00CB4E93" w:rsidRPr="00A9330B" w:rsidRDefault="00CB4E93" w:rsidP="00CB4E93">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t>Mairie de Natitingou (Services Techniques)</w:t>
            </w:r>
          </w:p>
          <w:p w14:paraId="7F55BFCC" w14:textId="77777777" w:rsidR="00CB4E93" w:rsidRPr="00A9330B" w:rsidRDefault="00CB4E93" w:rsidP="00CB4E93">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t>DDCVDD-AD</w:t>
            </w:r>
          </w:p>
          <w:p w14:paraId="17ABECD9" w14:textId="77777777" w:rsidR="00CB4E93" w:rsidRPr="00A9330B" w:rsidRDefault="00CB4E93" w:rsidP="00CB4E93">
            <w:pPr>
              <w:widowControl w:val="0"/>
              <w:autoSpaceDE w:val="0"/>
              <w:autoSpaceDN w:val="0"/>
              <w:adjustRightInd w:val="0"/>
              <w:spacing w:before="60" w:line="240" w:lineRule="auto"/>
              <w:rPr>
                <w:rFonts w:eastAsia="Calibri" w:cs="Arial"/>
                <w:color w:val="auto"/>
                <w:sz w:val="18"/>
                <w:szCs w:val="18"/>
              </w:rPr>
            </w:pPr>
          </w:p>
        </w:tc>
        <w:tc>
          <w:tcPr>
            <w:tcW w:w="897" w:type="pct"/>
            <w:tcBorders>
              <w:top w:val="single" w:sz="6" w:space="0" w:color="auto"/>
              <w:left w:val="single" w:sz="6" w:space="0" w:color="auto"/>
              <w:bottom w:val="single" w:sz="6" w:space="0" w:color="auto"/>
              <w:right w:val="single" w:sz="8" w:space="0" w:color="auto"/>
            </w:tcBorders>
          </w:tcPr>
          <w:p w14:paraId="39A9FE80" w14:textId="77777777" w:rsidR="00CB4E93" w:rsidRPr="00A9330B" w:rsidRDefault="00CB4E93" w:rsidP="00CB4E93">
            <w:pPr>
              <w:widowControl w:val="0"/>
              <w:autoSpaceDE w:val="0"/>
              <w:autoSpaceDN w:val="0"/>
              <w:adjustRightInd w:val="0"/>
              <w:spacing w:before="60" w:line="240" w:lineRule="auto"/>
              <w:rPr>
                <w:rFonts w:eastAsia="Calibri" w:cs="Arial"/>
                <w:sz w:val="20"/>
                <w:szCs w:val="20"/>
              </w:rPr>
            </w:pPr>
            <w:r w:rsidRPr="00A9330B">
              <w:rPr>
                <w:rFonts w:eastAsia="Calibri" w:cs="Arial"/>
                <w:sz w:val="20"/>
                <w:szCs w:val="20"/>
              </w:rPr>
              <w:t>Intégrer dans sécurité de chantier (DAO travaux)</w:t>
            </w:r>
          </w:p>
          <w:p w14:paraId="49953AC8" w14:textId="77777777" w:rsidR="00CB4E93" w:rsidRPr="00A9330B" w:rsidRDefault="00CB4E93" w:rsidP="00CB4E93">
            <w:pPr>
              <w:widowControl w:val="0"/>
              <w:autoSpaceDE w:val="0"/>
              <w:autoSpaceDN w:val="0"/>
              <w:adjustRightInd w:val="0"/>
              <w:spacing w:before="60" w:line="240" w:lineRule="auto"/>
              <w:rPr>
                <w:rFonts w:eastAsia="Calibri" w:cs="Arial"/>
                <w:color w:val="auto"/>
                <w:sz w:val="18"/>
                <w:szCs w:val="18"/>
              </w:rPr>
            </w:pPr>
          </w:p>
        </w:tc>
      </w:tr>
      <w:tr w:rsidR="00CB4E93" w:rsidRPr="00A9330B" w14:paraId="25DD9D35" w14:textId="77777777" w:rsidTr="00CB4E93">
        <w:trPr>
          <w:trHeight w:val="1264"/>
        </w:trPr>
        <w:tc>
          <w:tcPr>
            <w:tcW w:w="996" w:type="pct"/>
            <w:tcBorders>
              <w:top w:val="single" w:sz="6" w:space="0" w:color="auto"/>
              <w:left w:val="single" w:sz="8" w:space="0" w:color="auto"/>
              <w:bottom w:val="single" w:sz="6" w:space="0" w:color="auto"/>
              <w:right w:val="single" w:sz="6" w:space="0" w:color="auto"/>
            </w:tcBorders>
          </w:tcPr>
          <w:p w14:paraId="0F0454B9" w14:textId="77777777" w:rsidR="00CB4E93" w:rsidRPr="00A9330B" w:rsidRDefault="00CB4E93" w:rsidP="00CB4E93">
            <w:pPr>
              <w:widowControl w:val="0"/>
              <w:spacing w:before="60" w:line="240" w:lineRule="auto"/>
              <w:jc w:val="both"/>
              <w:rPr>
                <w:rFonts w:eastAsia="Calibri" w:cs="Arial"/>
                <w:color w:val="auto"/>
                <w:sz w:val="18"/>
                <w:szCs w:val="18"/>
              </w:rPr>
            </w:pPr>
          </w:p>
          <w:p w14:paraId="3432F661" w14:textId="77777777" w:rsidR="00CB4E93" w:rsidRPr="00A9330B" w:rsidRDefault="00CB4E93" w:rsidP="00CB4E93">
            <w:pPr>
              <w:widowControl w:val="0"/>
              <w:spacing w:before="60" w:line="240" w:lineRule="auto"/>
              <w:jc w:val="both"/>
              <w:rPr>
                <w:rFonts w:eastAsia="Calibri" w:cs="Arial"/>
                <w:color w:val="auto"/>
                <w:sz w:val="18"/>
                <w:szCs w:val="18"/>
              </w:rPr>
            </w:pPr>
            <w:r w:rsidRPr="00A9330B">
              <w:rPr>
                <w:rFonts w:eastAsia="Calibri" w:cs="Arial"/>
                <w:color w:val="auto"/>
                <w:sz w:val="18"/>
                <w:szCs w:val="18"/>
              </w:rPr>
              <w:t xml:space="preserve">2.5.a.1.2. ; </w:t>
            </w:r>
            <w:r w:rsidRPr="00A9330B">
              <w:rPr>
                <w:rFonts w:cs="Arial"/>
                <w:color w:val="auto"/>
                <w:sz w:val="18"/>
                <w:szCs w:val="18"/>
              </w:rPr>
              <w:t>2.5.a.2.2. ; </w:t>
            </w:r>
            <w:r w:rsidRPr="00A9330B">
              <w:rPr>
                <w:rFonts w:eastAsia="Calibri" w:cs="Arial"/>
                <w:color w:val="auto"/>
                <w:sz w:val="18"/>
                <w:szCs w:val="18"/>
              </w:rPr>
              <w:t>2.6.a.1.2. ; 2.7.a.2.2.   Veiller à l’entretien des engins et véhicules de chantier</w:t>
            </w:r>
          </w:p>
        </w:tc>
        <w:tc>
          <w:tcPr>
            <w:tcW w:w="916" w:type="pct"/>
            <w:tcBorders>
              <w:top w:val="single" w:sz="6" w:space="0" w:color="auto"/>
              <w:left w:val="single" w:sz="6" w:space="0" w:color="auto"/>
              <w:bottom w:val="single" w:sz="6" w:space="0" w:color="auto"/>
              <w:right w:val="single" w:sz="6" w:space="0" w:color="auto"/>
            </w:tcBorders>
          </w:tcPr>
          <w:p w14:paraId="2222B16B" w14:textId="77777777" w:rsidR="00CB4E93" w:rsidRPr="00A9330B" w:rsidRDefault="00CB4E93" w:rsidP="00CB4E93">
            <w:pPr>
              <w:widowControl w:val="0"/>
              <w:autoSpaceDE w:val="0"/>
              <w:autoSpaceDN w:val="0"/>
              <w:adjustRightInd w:val="0"/>
              <w:spacing w:before="60" w:line="240" w:lineRule="auto"/>
              <w:jc w:val="both"/>
              <w:rPr>
                <w:rFonts w:eastAsia="Calibri" w:cs="Arial"/>
                <w:color w:val="auto"/>
                <w:sz w:val="18"/>
                <w:szCs w:val="18"/>
              </w:rPr>
            </w:pPr>
            <w:r w:rsidRPr="00A9330B">
              <w:rPr>
                <w:rFonts w:eastAsia="Calibri" w:cs="Arial"/>
                <w:color w:val="auto"/>
                <w:sz w:val="18"/>
                <w:szCs w:val="18"/>
              </w:rPr>
              <w:t>Disponibilité des certificats de visites techniques ;</w:t>
            </w:r>
          </w:p>
          <w:p w14:paraId="27FD28F8" w14:textId="77777777" w:rsidR="00CB4E93" w:rsidRPr="00A9330B" w:rsidRDefault="00CB4E93" w:rsidP="00CB4E93">
            <w:pPr>
              <w:widowControl w:val="0"/>
              <w:autoSpaceDE w:val="0"/>
              <w:autoSpaceDN w:val="0"/>
              <w:adjustRightInd w:val="0"/>
              <w:spacing w:before="60" w:line="240" w:lineRule="auto"/>
              <w:jc w:val="both"/>
              <w:rPr>
                <w:rFonts w:eastAsia="Calibri" w:cs="Arial"/>
                <w:color w:val="auto"/>
                <w:sz w:val="18"/>
                <w:szCs w:val="18"/>
              </w:rPr>
            </w:pPr>
            <w:r w:rsidRPr="00A9330B">
              <w:rPr>
                <w:rFonts w:eastAsia="Calibri" w:cs="Arial"/>
                <w:color w:val="auto"/>
                <w:sz w:val="18"/>
                <w:szCs w:val="18"/>
              </w:rPr>
              <w:t>Conformité des émissions des véhicules et engins aux normes admises ;</w:t>
            </w:r>
          </w:p>
          <w:p w14:paraId="3619766E" w14:textId="77777777" w:rsidR="00CB4E93" w:rsidRPr="00A9330B" w:rsidRDefault="00CB4E93" w:rsidP="00CB4E93">
            <w:pPr>
              <w:widowControl w:val="0"/>
              <w:autoSpaceDE w:val="0"/>
              <w:autoSpaceDN w:val="0"/>
              <w:adjustRightInd w:val="0"/>
              <w:spacing w:before="60" w:line="240" w:lineRule="auto"/>
              <w:jc w:val="both"/>
              <w:rPr>
                <w:rFonts w:eastAsia="Calibri" w:cs="Arial"/>
                <w:color w:val="auto"/>
                <w:sz w:val="18"/>
                <w:szCs w:val="18"/>
              </w:rPr>
            </w:pPr>
            <w:r w:rsidRPr="00A9330B">
              <w:rPr>
                <w:rFonts w:eastAsia="Calibri" w:cs="Arial"/>
                <w:color w:val="auto"/>
                <w:sz w:val="18"/>
                <w:szCs w:val="18"/>
              </w:rPr>
              <w:t>Absence de plaintes des riverains relatives aux horaires de travail.</w:t>
            </w:r>
          </w:p>
        </w:tc>
        <w:tc>
          <w:tcPr>
            <w:tcW w:w="637" w:type="pct"/>
            <w:tcBorders>
              <w:top w:val="single" w:sz="6" w:space="0" w:color="auto"/>
              <w:left w:val="single" w:sz="6" w:space="0" w:color="auto"/>
              <w:bottom w:val="single" w:sz="6" w:space="0" w:color="auto"/>
              <w:right w:val="single" w:sz="6" w:space="0" w:color="auto"/>
            </w:tcBorders>
          </w:tcPr>
          <w:p w14:paraId="09E1269E" w14:textId="77777777" w:rsidR="00CB4E93" w:rsidRPr="00A9330B" w:rsidRDefault="00CB4E93" w:rsidP="00CB4E93">
            <w:pPr>
              <w:widowControl w:val="0"/>
              <w:autoSpaceDE w:val="0"/>
              <w:autoSpaceDN w:val="0"/>
              <w:adjustRightInd w:val="0"/>
              <w:spacing w:before="60" w:line="240" w:lineRule="auto"/>
              <w:jc w:val="center"/>
              <w:rPr>
                <w:rFonts w:eastAsia="Calibri" w:cs="Arial"/>
                <w:color w:val="auto"/>
                <w:sz w:val="18"/>
                <w:szCs w:val="18"/>
              </w:rPr>
            </w:pPr>
            <w:r w:rsidRPr="00A9330B">
              <w:rPr>
                <w:rFonts w:eastAsia="Calibri" w:cs="Arial"/>
                <w:color w:val="auto"/>
                <w:sz w:val="18"/>
                <w:szCs w:val="18"/>
              </w:rPr>
              <w:t>Toutes les phases du projet</w:t>
            </w:r>
          </w:p>
        </w:tc>
        <w:tc>
          <w:tcPr>
            <w:tcW w:w="657" w:type="pct"/>
            <w:tcBorders>
              <w:top w:val="single" w:sz="6" w:space="0" w:color="auto"/>
              <w:left w:val="single" w:sz="6" w:space="0" w:color="auto"/>
              <w:bottom w:val="single" w:sz="6" w:space="0" w:color="auto"/>
              <w:right w:val="single" w:sz="6" w:space="0" w:color="auto"/>
            </w:tcBorders>
          </w:tcPr>
          <w:p w14:paraId="1D9327E9" w14:textId="77777777" w:rsidR="00CB4E93" w:rsidRPr="00A9330B" w:rsidRDefault="00CB4E93" w:rsidP="00CB4E93">
            <w:pPr>
              <w:widowControl w:val="0"/>
              <w:spacing w:before="60" w:line="240" w:lineRule="auto"/>
              <w:jc w:val="center"/>
              <w:rPr>
                <w:rFonts w:eastAsia="Calibri" w:cs="Arial"/>
                <w:color w:val="auto"/>
                <w:sz w:val="18"/>
                <w:szCs w:val="18"/>
              </w:rPr>
            </w:pPr>
            <w:r w:rsidRPr="00A9330B">
              <w:rPr>
                <w:rFonts w:eastAsia="Calibri" w:cs="Arial"/>
                <w:color w:val="auto"/>
                <w:sz w:val="18"/>
                <w:szCs w:val="18"/>
              </w:rPr>
              <w:t>MDC</w:t>
            </w:r>
          </w:p>
          <w:p w14:paraId="316EC513" w14:textId="77777777" w:rsidR="00CB4E93" w:rsidRPr="00A9330B" w:rsidRDefault="00CB4E93" w:rsidP="00CB4E93">
            <w:pPr>
              <w:widowControl w:val="0"/>
              <w:spacing w:before="60" w:line="240" w:lineRule="auto"/>
              <w:jc w:val="center"/>
              <w:rPr>
                <w:rFonts w:eastAsia="Calibri" w:cs="Arial"/>
                <w:color w:val="auto"/>
                <w:sz w:val="18"/>
                <w:szCs w:val="18"/>
              </w:rPr>
            </w:pPr>
            <w:r w:rsidRPr="00A9330B">
              <w:rPr>
                <w:rFonts w:eastAsia="Calibri" w:cs="Arial"/>
                <w:color w:val="auto"/>
                <w:sz w:val="18"/>
                <w:szCs w:val="18"/>
              </w:rPr>
              <w:t>Entreprise chargée des travaux</w:t>
            </w:r>
          </w:p>
          <w:p w14:paraId="018B42EC" w14:textId="77777777" w:rsidR="00CB4E93" w:rsidRPr="00A9330B" w:rsidRDefault="00CB4E93" w:rsidP="00CB4E93">
            <w:pPr>
              <w:widowControl w:val="0"/>
              <w:spacing w:before="60" w:line="240" w:lineRule="auto"/>
              <w:jc w:val="center"/>
              <w:rPr>
                <w:rFonts w:eastAsia="Calibri" w:cs="Arial"/>
                <w:color w:val="auto"/>
                <w:sz w:val="18"/>
                <w:szCs w:val="18"/>
              </w:rPr>
            </w:pPr>
          </w:p>
        </w:tc>
        <w:tc>
          <w:tcPr>
            <w:tcW w:w="897" w:type="pct"/>
            <w:tcBorders>
              <w:top w:val="single" w:sz="6" w:space="0" w:color="auto"/>
              <w:left w:val="single" w:sz="6" w:space="0" w:color="auto"/>
              <w:bottom w:val="single" w:sz="6" w:space="0" w:color="auto"/>
              <w:right w:val="single" w:sz="8" w:space="0" w:color="auto"/>
            </w:tcBorders>
          </w:tcPr>
          <w:p w14:paraId="5693031E" w14:textId="77777777" w:rsidR="00CB4E93" w:rsidRPr="00A9330B" w:rsidRDefault="00CB4E93" w:rsidP="00CB4E93">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t xml:space="preserve">Mairie concernée (Natitingou)  </w:t>
            </w:r>
          </w:p>
          <w:p w14:paraId="60EB7641" w14:textId="77777777" w:rsidR="00CB4E93" w:rsidRPr="00A9330B" w:rsidRDefault="00CB4E93" w:rsidP="00CB4E93">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t>Direction Départementale du Cadre de Vie et du Développement Durable (DDCVDD-AD)</w:t>
            </w:r>
          </w:p>
          <w:p w14:paraId="4424978B" w14:textId="77777777" w:rsidR="00CB4E93" w:rsidRPr="00A9330B" w:rsidRDefault="00CB4E93" w:rsidP="00CB4E93">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t>Direction Départementale des Infrastructures et des Transports</w:t>
            </w:r>
          </w:p>
        </w:tc>
        <w:tc>
          <w:tcPr>
            <w:tcW w:w="897" w:type="pct"/>
            <w:tcBorders>
              <w:top w:val="single" w:sz="6" w:space="0" w:color="auto"/>
              <w:left w:val="single" w:sz="6" w:space="0" w:color="auto"/>
              <w:bottom w:val="single" w:sz="6" w:space="0" w:color="auto"/>
              <w:right w:val="single" w:sz="8" w:space="0" w:color="auto"/>
            </w:tcBorders>
          </w:tcPr>
          <w:p w14:paraId="4AD699F8" w14:textId="77777777" w:rsidR="00CB4E93" w:rsidRPr="00A9330B" w:rsidRDefault="00CB4E93" w:rsidP="00CB4E93">
            <w:pPr>
              <w:widowControl w:val="0"/>
              <w:autoSpaceDE w:val="0"/>
              <w:autoSpaceDN w:val="0"/>
              <w:adjustRightInd w:val="0"/>
              <w:spacing w:before="60" w:line="240" w:lineRule="auto"/>
              <w:jc w:val="center"/>
              <w:rPr>
                <w:rFonts w:eastAsia="Calibri" w:cs="Arial"/>
                <w:color w:val="auto"/>
                <w:sz w:val="18"/>
                <w:szCs w:val="18"/>
              </w:rPr>
            </w:pPr>
            <w:r w:rsidRPr="00A9330B">
              <w:rPr>
                <w:rFonts w:eastAsia="Calibri" w:cs="Arial"/>
                <w:color w:val="auto"/>
                <w:sz w:val="18"/>
                <w:szCs w:val="18"/>
              </w:rPr>
              <w:t>Aucun</w:t>
            </w:r>
          </w:p>
        </w:tc>
      </w:tr>
      <w:tr w:rsidR="00CB4E93" w:rsidRPr="00A9330B" w14:paraId="19DFC2FB" w14:textId="77777777" w:rsidTr="00CB4E93">
        <w:trPr>
          <w:trHeight w:val="257"/>
        </w:trPr>
        <w:tc>
          <w:tcPr>
            <w:tcW w:w="996" w:type="pct"/>
            <w:tcBorders>
              <w:top w:val="single" w:sz="6" w:space="0" w:color="auto"/>
              <w:left w:val="single" w:sz="8" w:space="0" w:color="auto"/>
              <w:bottom w:val="single" w:sz="6" w:space="0" w:color="auto"/>
              <w:right w:val="single" w:sz="6" w:space="0" w:color="auto"/>
            </w:tcBorders>
          </w:tcPr>
          <w:p w14:paraId="41E4B320" w14:textId="77777777" w:rsidR="00CB4E93" w:rsidRPr="00A9330B" w:rsidRDefault="00CB4E93" w:rsidP="00CB4E93">
            <w:pPr>
              <w:widowControl w:val="0"/>
              <w:autoSpaceDE w:val="0"/>
              <w:autoSpaceDN w:val="0"/>
              <w:adjustRightInd w:val="0"/>
              <w:spacing w:before="60" w:line="240" w:lineRule="auto"/>
              <w:jc w:val="both"/>
              <w:rPr>
                <w:rFonts w:eastAsia="Calibri" w:cs="Arial"/>
                <w:color w:val="auto"/>
                <w:sz w:val="18"/>
                <w:szCs w:val="18"/>
              </w:rPr>
            </w:pPr>
            <w:r w:rsidRPr="00A9330B">
              <w:rPr>
                <w:rFonts w:eastAsia="Calibri" w:cs="Arial"/>
                <w:color w:val="auto"/>
                <w:sz w:val="18"/>
                <w:szCs w:val="18"/>
              </w:rPr>
              <w:lastRenderedPageBreak/>
              <w:t xml:space="preserve">2.5.a.5.1. ; 2.8.a.7.4. ; </w:t>
            </w:r>
          </w:p>
          <w:p w14:paraId="7DB8A74A" w14:textId="77777777" w:rsidR="00CB4E93" w:rsidRPr="00A9330B" w:rsidRDefault="00CB4E93" w:rsidP="00CB4E93">
            <w:pPr>
              <w:widowControl w:val="0"/>
              <w:autoSpaceDE w:val="0"/>
              <w:autoSpaceDN w:val="0"/>
              <w:adjustRightInd w:val="0"/>
              <w:spacing w:before="60" w:line="240" w:lineRule="auto"/>
              <w:jc w:val="both"/>
              <w:rPr>
                <w:rFonts w:eastAsia="Calibri" w:cs="Arial"/>
                <w:color w:val="auto"/>
                <w:sz w:val="18"/>
                <w:szCs w:val="18"/>
              </w:rPr>
            </w:pPr>
            <w:r w:rsidRPr="00A9330B">
              <w:rPr>
                <w:rFonts w:eastAsia="Calibri" w:cs="Arial"/>
                <w:color w:val="auto"/>
                <w:sz w:val="18"/>
                <w:szCs w:val="18"/>
              </w:rPr>
              <w:t xml:space="preserve">Veiller à l’entreposage adéquat des matériaux </w:t>
            </w:r>
          </w:p>
        </w:tc>
        <w:tc>
          <w:tcPr>
            <w:tcW w:w="916" w:type="pct"/>
            <w:tcBorders>
              <w:top w:val="single" w:sz="6" w:space="0" w:color="auto"/>
              <w:left w:val="single" w:sz="6" w:space="0" w:color="auto"/>
              <w:bottom w:val="single" w:sz="6" w:space="0" w:color="auto"/>
              <w:right w:val="single" w:sz="6" w:space="0" w:color="auto"/>
            </w:tcBorders>
          </w:tcPr>
          <w:p w14:paraId="2FF6CBD4" w14:textId="77777777" w:rsidR="00CB4E93" w:rsidRPr="00A9330B" w:rsidRDefault="00CB4E93" w:rsidP="00CB4E93">
            <w:pPr>
              <w:widowControl w:val="0"/>
              <w:autoSpaceDE w:val="0"/>
              <w:autoSpaceDN w:val="0"/>
              <w:adjustRightInd w:val="0"/>
              <w:spacing w:before="60" w:line="240" w:lineRule="auto"/>
              <w:jc w:val="both"/>
              <w:rPr>
                <w:rFonts w:eastAsia="Calibri" w:cs="Arial"/>
                <w:color w:val="auto"/>
                <w:sz w:val="18"/>
                <w:szCs w:val="18"/>
              </w:rPr>
            </w:pPr>
            <w:r w:rsidRPr="00A9330B">
              <w:rPr>
                <w:rFonts w:eastAsia="Calibri" w:cs="Arial"/>
                <w:color w:val="auto"/>
                <w:sz w:val="18"/>
                <w:szCs w:val="18"/>
              </w:rPr>
              <w:t xml:space="preserve">Organisation de chantier et aménagement du site </w:t>
            </w:r>
          </w:p>
          <w:p w14:paraId="29F646EE" w14:textId="77777777" w:rsidR="00CB4E93" w:rsidRPr="00A9330B" w:rsidRDefault="00CB4E93" w:rsidP="00CB4E93">
            <w:pPr>
              <w:widowControl w:val="0"/>
              <w:autoSpaceDE w:val="0"/>
              <w:autoSpaceDN w:val="0"/>
              <w:adjustRightInd w:val="0"/>
              <w:spacing w:before="60" w:line="240" w:lineRule="auto"/>
              <w:jc w:val="both"/>
              <w:rPr>
                <w:rFonts w:eastAsia="Calibri" w:cs="Arial"/>
                <w:color w:val="auto"/>
                <w:sz w:val="18"/>
                <w:szCs w:val="18"/>
              </w:rPr>
            </w:pPr>
            <w:r w:rsidRPr="00A9330B">
              <w:rPr>
                <w:rFonts w:eastAsia="Calibri" w:cs="Arial"/>
                <w:color w:val="auto"/>
                <w:sz w:val="18"/>
                <w:szCs w:val="18"/>
              </w:rPr>
              <w:t>Nombre de plaintes enregistrées</w:t>
            </w:r>
          </w:p>
        </w:tc>
        <w:tc>
          <w:tcPr>
            <w:tcW w:w="637" w:type="pct"/>
            <w:tcBorders>
              <w:top w:val="single" w:sz="6" w:space="0" w:color="auto"/>
              <w:left w:val="single" w:sz="6" w:space="0" w:color="auto"/>
              <w:bottom w:val="single" w:sz="6" w:space="0" w:color="auto"/>
              <w:right w:val="single" w:sz="6" w:space="0" w:color="auto"/>
            </w:tcBorders>
          </w:tcPr>
          <w:p w14:paraId="680BD3CD" w14:textId="77777777" w:rsidR="00CB4E93" w:rsidRPr="00A9330B" w:rsidRDefault="00CB4E93" w:rsidP="00CB4E93">
            <w:pPr>
              <w:widowControl w:val="0"/>
              <w:autoSpaceDE w:val="0"/>
              <w:autoSpaceDN w:val="0"/>
              <w:adjustRightInd w:val="0"/>
              <w:spacing w:before="60" w:line="240" w:lineRule="auto"/>
              <w:jc w:val="center"/>
              <w:rPr>
                <w:rFonts w:eastAsia="Calibri" w:cs="Arial"/>
                <w:color w:val="auto"/>
                <w:sz w:val="18"/>
                <w:szCs w:val="18"/>
              </w:rPr>
            </w:pPr>
            <w:r w:rsidRPr="00A9330B">
              <w:rPr>
                <w:rFonts w:eastAsia="Calibri" w:cs="Arial"/>
                <w:color w:val="auto"/>
                <w:sz w:val="18"/>
                <w:szCs w:val="18"/>
              </w:rPr>
              <w:t>Pendant et à la fin des travaux</w:t>
            </w:r>
          </w:p>
        </w:tc>
        <w:tc>
          <w:tcPr>
            <w:tcW w:w="657" w:type="pct"/>
            <w:tcBorders>
              <w:top w:val="single" w:sz="6" w:space="0" w:color="auto"/>
              <w:left w:val="single" w:sz="6" w:space="0" w:color="auto"/>
              <w:bottom w:val="single" w:sz="6" w:space="0" w:color="auto"/>
              <w:right w:val="single" w:sz="6" w:space="0" w:color="auto"/>
            </w:tcBorders>
          </w:tcPr>
          <w:p w14:paraId="28C95A48" w14:textId="77777777" w:rsidR="00CB4E93" w:rsidRPr="00A9330B" w:rsidRDefault="00CB4E93" w:rsidP="00CB4E93">
            <w:pPr>
              <w:widowControl w:val="0"/>
              <w:autoSpaceDE w:val="0"/>
              <w:autoSpaceDN w:val="0"/>
              <w:adjustRightInd w:val="0"/>
              <w:spacing w:before="60" w:line="240" w:lineRule="auto"/>
              <w:jc w:val="center"/>
              <w:rPr>
                <w:rFonts w:eastAsia="Calibri" w:cs="Arial"/>
                <w:color w:val="auto"/>
                <w:sz w:val="18"/>
                <w:szCs w:val="18"/>
              </w:rPr>
            </w:pPr>
            <w:r w:rsidRPr="00A9330B">
              <w:rPr>
                <w:rFonts w:eastAsia="Calibri" w:cs="Arial"/>
                <w:color w:val="auto"/>
                <w:sz w:val="18"/>
                <w:szCs w:val="18"/>
              </w:rPr>
              <w:t>MDC</w:t>
            </w:r>
          </w:p>
          <w:p w14:paraId="4F994AD5" w14:textId="77777777" w:rsidR="00CB4E93" w:rsidRPr="00A9330B" w:rsidRDefault="00CB4E93" w:rsidP="00CB4E93">
            <w:pPr>
              <w:widowControl w:val="0"/>
              <w:autoSpaceDE w:val="0"/>
              <w:autoSpaceDN w:val="0"/>
              <w:adjustRightInd w:val="0"/>
              <w:spacing w:before="60" w:line="240" w:lineRule="auto"/>
              <w:jc w:val="center"/>
              <w:rPr>
                <w:rFonts w:eastAsia="Calibri" w:cs="Arial"/>
                <w:color w:val="auto"/>
                <w:sz w:val="18"/>
                <w:szCs w:val="18"/>
              </w:rPr>
            </w:pPr>
            <w:r w:rsidRPr="00A9330B">
              <w:rPr>
                <w:rFonts w:eastAsia="Calibri" w:cs="Arial"/>
                <w:color w:val="auto"/>
                <w:sz w:val="18"/>
                <w:szCs w:val="18"/>
              </w:rPr>
              <w:t>Entreprise chargée des travaux</w:t>
            </w:r>
          </w:p>
        </w:tc>
        <w:tc>
          <w:tcPr>
            <w:tcW w:w="897" w:type="pct"/>
            <w:tcBorders>
              <w:top w:val="single" w:sz="6" w:space="0" w:color="auto"/>
              <w:left w:val="single" w:sz="6" w:space="0" w:color="auto"/>
              <w:bottom w:val="single" w:sz="6" w:space="0" w:color="auto"/>
              <w:right w:val="single" w:sz="8" w:space="0" w:color="auto"/>
            </w:tcBorders>
          </w:tcPr>
          <w:p w14:paraId="46D89C94" w14:textId="77777777" w:rsidR="00CB4E93" w:rsidRPr="00A9330B" w:rsidRDefault="00CB4E93" w:rsidP="00CB4E93">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t>Mairie de Natitingou</w:t>
            </w:r>
          </w:p>
          <w:p w14:paraId="7EFBB360" w14:textId="77777777" w:rsidR="00CB4E93" w:rsidRPr="00A9330B" w:rsidRDefault="00CB4E93" w:rsidP="00CB4E93">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t>Direction Départementale du Cadre de Vie et du Développement Durable (DDCVDD- AD)</w:t>
            </w:r>
          </w:p>
        </w:tc>
        <w:tc>
          <w:tcPr>
            <w:tcW w:w="897" w:type="pct"/>
            <w:tcBorders>
              <w:top w:val="single" w:sz="6" w:space="0" w:color="auto"/>
              <w:left w:val="single" w:sz="6" w:space="0" w:color="auto"/>
              <w:bottom w:val="single" w:sz="6" w:space="0" w:color="auto"/>
              <w:right w:val="single" w:sz="8" w:space="0" w:color="auto"/>
            </w:tcBorders>
          </w:tcPr>
          <w:p w14:paraId="191D735F" w14:textId="77777777" w:rsidR="00CB4E93" w:rsidRPr="00A9330B" w:rsidRDefault="00CB4E93" w:rsidP="00CB4E93">
            <w:pPr>
              <w:widowControl w:val="0"/>
              <w:autoSpaceDE w:val="0"/>
              <w:autoSpaceDN w:val="0"/>
              <w:adjustRightInd w:val="0"/>
              <w:spacing w:before="60" w:line="240" w:lineRule="auto"/>
              <w:jc w:val="center"/>
              <w:rPr>
                <w:rFonts w:eastAsia="Calibri" w:cs="Arial"/>
                <w:color w:val="auto"/>
                <w:sz w:val="18"/>
                <w:szCs w:val="18"/>
              </w:rPr>
            </w:pPr>
            <w:r w:rsidRPr="00A9330B">
              <w:rPr>
                <w:rFonts w:eastAsia="Calibri" w:cs="Arial"/>
                <w:color w:val="auto"/>
                <w:sz w:val="18"/>
                <w:szCs w:val="18"/>
              </w:rPr>
              <w:t>Aucun</w:t>
            </w:r>
          </w:p>
        </w:tc>
      </w:tr>
      <w:tr w:rsidR="00CB4E93" w:rsidRPr="00A9330B" w14:paraId="0F4686B6" w14:textId="77777777" w:rsidTr="00CB4E93">
        <w:trPr>
          <w:trHeight w:val="791"/>
        </w:trPr>
        <w:tc>
          <w:tcPr>
            <w:tcW w:w="996" w:type="pct"/>
            <w:tcBorders>
              <w:top w:val="single" w:sz="6" w:space="0" w:color="auto"/>
              <w:left w:val="single" w:sz="8" w:space="0" w:color="auto"/>
              <w:bottom w:val="single" w:sz="6" w:space="0" w:color="auto"/>
              <w:right w:val="single" w:sz="6" w:space="0" w:color="auto"/>
            </w:tcBorders>
          </w:tcPr>
          <w:p w14:paraId="3847C4E4" w14:textId="77777777" w:rsidR="00CB4E93" w:rsidRPr="00A9330B" w:rsidRDefault="00CB4E93" w:rsidP="00CB4E93">
            <w:pPr>
              <w:widowControl w:val="0"/>
              <w:spacing w:before="60" w:line="240" w:lineRule="auto"/>
              <w:jc w:val="both"/>
              <w:rPr>
                <w:rFonts w:eastAsia="Calibri" w:cs="Arial"/>
                <w:color w:val="auto"/>
                <w:sz w:val="18"/>
                <w:szCs w:val="18"/>
              </w:rPr>
            </w:pPr>
            <w:r w:rsidRPr="00A9330B">
              <w:rPr>
                <w:rFonts w:eastAsia="Calibri" w:cs="Arial"/>
                <w:color w:val="auto"/>
                <w:sz w:val="18"/>
                <w:szCs w:val="18"/>
              </w:rPr>
              <w:t>2.6.a.2.1. ; 2.7.a.3.1.</w:t>
            </w:r>
          </w:p>
          <w:p w14:paraId="34593107" w14:textId="77777777" w:rsidR="00CB4E93" w:rsidRPr="00A9330B" w:rsidRDefault="00CB4E93" w:rsidP="00CB4E93">
            <w:pPr>
              <w:widowControl w:val="0"/>
              <w:spacing w:before="60" w:line="240" w:lineRule="auto"/>
              <w:jc w:val="both"/>
              <w:rPr>
                <w:rFonts w:eastAsia="Calibri" w:cs="Arial"/>
                <w:color w:val="auto"/>
                <w:sz w:val="18"/>
                <w:szCs w:val="18"/>
              </w:rPr>
            </w:pPr>
            <w:r w:rsidRPr="00A9330B">
              <w:rPr>
                <w:rFonts w:eastAsia="Calibri" w:cs="Arial"/>
                <w:color w:val="auto"/>
                <w:sz w:val="18"/>
                <w:szCs w:val="18"/>
              </w:rPr>
              <w:t>Couvrir de bâches les camions qui transportent les matériaux  venant des carrières et des emprunts</w:t>
            </w:r>
          </w:p>
        </w:tc>
        <w:tc>
          <w:tcPr>
            <w:tcW w:w="916" w:type="pct"/>
            <w:tcBorders>
              <w:top w:val="single" w:sz="6" w:space="0" w:color="auto"/>
              <w:left w:val="single" w:sz="6" w:space="0" w:color="auto"/>
              <w:bottom w:val="single" w:sz="6" w:space="0" w:color="auto"/>
              <w:right w:val="single" w:sz="6" w:space="0" w:color="auto"/>
            </w:tcBorders>
          </w:tcPr>
          <w:p w14:paraId="5CBA96FC" w14:textId="77777777" w:rsidR="00CB4E93" w:rsidRPr="00A9330B" w:rsidRDefault="00CB4E93" w:rsidP="00CB4E93">
            <w:pPr>
              <w:widowControl w:val="0"/>
              <w:autoSpaceDE w:val="0"/>
              <w:autoSpaceDN w:val="0"/>
              <w:adjustRightInd w:val="0"/>
              <w:spacing w:before="60" w:line="240" w:lineRule="auto"/>
              <w:jc w:val="both"/>
              <w:rPr>
                <w:rFonts w:eastAsia="Calibri" w:cs="Arial"/>
                <w:color w:val="auto"/>
                <w:sz w:val="18"/>
                <w:szCs w:val="18"/>
              </w:rPr>
            </w:pPr>
            <w:r w:rsidRPr="00A9330B">
              <w:rPr>
                <w:rFonts w:eastAsia="Calibri" w:cs="Arial"/>
                <w:color w:val="auto"/>
                <w:sz w:val="18"/>
                <w:szCs w:val="18"/>
              </w:rPr>
              <w:t xml:space="preserve">Epandage de matériaux sur les trajets </w:t>
            </w:r>
          </w:p>
          <w:p w14:paraId="7D3F1949" w14:textId="77777777" w:rsidR="00CB4E93" w:rsidRPr="00A9330B" w:rsidRDefault="00CB4E93" w:rsidP="00CB4E93">
            <w:pPr>
              <w:widowControl w:val="0"/>
              <w:autoSpaceDE w:val="0"/>
              <w:autoSpaceDN w:val="0"/>
              <w:adjustRightInd w:val="0"/>
              <w:spacing w:before="60" w:line="240" w:lineRule="auto"/>
              <w:jc w:val="both"/>
              <w:rPr>
                <w:rFonts w:eastAsia="Calibri" w:cs="Arial"/>
                <w:color w:val="auto"/>
                <w:sz w:val="18"/>
                <w:szCs w:val="18"/>
              </w:rPr>
            </w:pPr>
            <w:r w:rsidRPr="00A9330B">
              <w:rPr>
                <w:rFonts w:eastAsia="Calibri" w:cs="Arial"/>
                <w:color w:val="auto"/>
                <w:sz w:val="18"/>
                <w:szCs w:val="18"/>
              </w:rPr>
              <w:t xml:space="preserve">Présence de bâche sur les chargements </w:t>
            </w:r>
          </w:p>
        </w:tc>
        <w:tc>
          <w:tcPr>
            <w:tcW w:w="637" w:type="pct"/>
            <w:tcBorders>
              <w:top w:val="single" w:sz="6" w:space="0" w:color="auto"/>
              <w:left w:val="single" w:sz="6" w:space="0" w:color="auto"/>
              <w:bottom w:val="single" w:sz="6" w:space="0" w:color="auto"/>
              <w:right w:val="single" w:sz="6" w:space="0" w:color="auto"/>
            </w:tcBorders>
          </w:tcPr>
          <w:p w14:paraId="78B9FA41" w14:textId="77777777" w:rsidR="00CB4E93" w:rsidRPr="00A9330B" w:rsidRDefault="00CB4E93" w:rsidP="00CB4E93">
            <w:pPr>
              <w:widowControl w:val="0"/>
              <w:autoSpaceDE w:val="0"/>
              <w:autoSpaceDN w:val="0"/>
              <w:adjustRightInd w:val="0"/>
              <w:spacing w:before="60" w:line="240" w:lineRule="auto"/>
              <w:jc w:val="center"/>
              <w:rPr>
                <w:rFonts w:eastAsia="Calibri" w:cs="Arial"/>
                <w:color w:val="auto"/>
                <w:sz w:val="18"/>
                <w:szCs w:val="18"/>
              </w:rPr>
            </w:pPr>
            <w:r w:rsidRPr="00A9330B">
              <w:rPr>
                <w:rFonts w:eastAsia="Calibri" w:cs="Arial"/>
                <w:color w:val="auto"/>
                <w:sz w:val="18"/>
                <w:szCs w:val="18"/>
              </w:rPr>
              <w:t>Phase préparatoire et de construction</w:t>
            </w:r>
          </w:p>
        </w:tc>
        <w:tc>
          <w:tcPr>
            <w:tcW w:w="657" w:type="pct"/>
            <w:tcBorders>
              <w:top w:val="single" w:sz="6" w:space="0" w:color="auto"/>
              <w:left w:val="single" w:sz="6" w:space="0" w:color="auto"/>
              <w:bottom w:val="single" w:sz="6" w:space="0" w:color="auto"/>
              <w:right w:val="single" w:sz="6" w:space="0" w:color="auto"/>
            </w:tcBorders>
          </w:tcPr>
          <w:p w14:paraId="11C28FD2" w14:textId="77777777" w:rsidR="00CB4E93" w:rsidRPr="00A9330B" w:rsidRDefault="00CB4E93" w:rsidP="00CB4E93">
            <w:pPr>
              <w:widowControl w:val="0"/>
              <w:spacing w:before="60" w:line="240" w:lineRule="auto"/>
              <w:jc w:val="center"/>
              <w:rPr>
                <w:rFonts w:eastAsia="Calibri" w:cs="Arial"/>
                <w:color w:val="auto"/>
                <w:sz w:val="18"/>
                <w:szCs w:val="18"/>
              </w:rPr>
            </w:pPr>
            <w:r w:rsidRPr="00A9330B">
              <w:rPr>
                <w:rFonts w:eastAsia="Calibri" w:cs="Arial"/>
                <w:color w:val="auto"/>
                <w:sz w:val="18"/>
                <w:szCs w:val="18"/>
              </w:rPr>
              <w:t>MDC</w:t>
            </w:r>
          </w:p>
          <w:p w14:paraId="701416AC" w14:textId="77777777" w:rsidR="00CB4E93" w:rsidRPr="00A9330B" w:rsidRDefault="00CB4E93" w:rsidP="00CB4E93">
            <w:pPr>
              <w:widowControl w:val="0"/>
              <w:spacing w:before="60" w:line="240" w:lineRule="auto"/>
              <w:jc w:val="center"/>
              <w:rPr>
                <w:rFonts w:eastAsia="Calibri" w:cs="Arial"/>
                <w:color w:val="auto"/>
                <w:sz w:val="18"/>
                <w:szCs w:val="18"/>
              </w:rPr>
            </w:pPr>
            <w:r w:rsidRPr="00A9330B">
              <w:rPr>
                <w:rFonts w:eastAsia="Calibri" w:cs="Arial"/>
                <w:color w:val="auto"/>
                <w:sz w:val="18"/>
                <w:szCs w:val="18"/>
              </w:rPr>
              <w:t>Entreprise chargée des travaux</w:t>
            </w:r>
          </w:p>
          <w:p w14:paraId="4DB6A4D7" w14:textId="77777777" w:rsidR="00CB4E93" w:rsidRPr="00A9330B" w:rsidRDefault="00CB4E93" w:rsidP="00CB4E93">
            <w:pPr>
              <w:widowControl w:val="0"/>
              <w:spacing w:before="60" w:line="240" w:lineRule="auto"/>
              <w:jc w:val="center"/>
              <w:rPr>
                <w:rFonts w:eastAsia="Calibri" w:cs="Arial"/>
                <w:color w:val="auto"/>
                <w:sz w:val="18"/>
                <w:szCs w:val="18"/>
              </w:rPr>
            </w:pPr>
          </w:p>
        </w:tc>
        <w:tc>
          <w:tcPr>
            <w:tcW w:w="897" w:type="pct"/>
            <w:tcBorders>
              <w:top w:val="single" w:sz="6" w:space="0" w:color="auto"/>
              <w:left w:val="single" w:sz="6" w:space="0" w:color="auto"/>
              <w:bottom w:val="single" w:sz="6" w:space="0" w:color="auto"/>
              <w:right w:val="single" w:sz="8" w:space="0" w:color="auto"/>
            </w:tcBorders>
          </w:tcPr>
          <w:p w14:paraId="72DEBCB8" w14:textId="77777777" w:rsidR="00CB4E93" w:rsidRPr="00A9330B" w:rsidRDefault="00CB4E93" w:rsidP="00CB4E93">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t xml:space="preserve">Mairie concernée (Natitingou)  </w:t>
            </w:r>
          </w:p>
          <w:p w14:paraId="65FADF45" w14:textId="77777777" w:rsidR="00CB4E93" w:rsidRPr="00A9330B" w:rsidRDefault="00CB4E93" w:rsidP="00CB4E93">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t>Direction Départementale du Cadre de Vie et du Développement Durable (DDCVDD-AD)</w:t>
            </w:r>
          </w:p>
        </w:tc>
        <w:tc>
          <w:tcPr>
            <w:tcW w:w="897" w:type="pct"/>
            <w:tcBorders>
              <w:top w:val="single" w:sz="6" w:space="0" w:color="auto"/>
              <w:left w:val="single" w:sz="6" w:space="0" w:color="auto"/>
              <w:bottom w:val="single" w:sz="6" w:space="0" w:color="auto"/>
              <w:right w:val="single" w:sz="8" w:space="0" w:color="auto"/>
            </w:tcBorders>
          </w:tcPr>
          <w:p w14:paraId="645440CB" w14:textId="77777777" w:rsidR="00CB4E93" w:rsidRPr="00A9330B" w:rsidRDefault="00CB4E93" w:rsidP="00CB4E93">
            <w:pPr>
              <w:widowControl w:val="0"/>
              <w:autoSpaceDE w:val="0"/>
              <w:autoSpaceDN w:val="0"/>
              <w:adjustRightInd w:val="0"/>
              <w:spacing w:before="60" w:line="240" w:lineRule="auto"/>
              <w:rPr>
                <w:rFonts w:eastAsia="Calibri" w:cs="Arial"/>
                <w:color w:val="auto"/>
                <w:sz w:val="18"/>
                <w:szCs w:val="18"/>
              </w:rPr>
            </w:pPr>
          </w:p>
        </w:tc>
      </w:tr>
      <w:tr w:rsidR="00CB4E93" w:rsidRPr="00A9330B" w14:paraId="66D0BECF" w14:textId="77777777" w:rsidTr="00CB4E93">
        <w:trPr>
          <w:trHeight w:val="791"/>
        </w:trPr>
        <w:tc>
          <w:tcPr>
            <w:tcW w:w="996" w:type="pct"/>
            <w:tcBorders>
              <w:top w:val="single" w:sz="6" w:space="0" w:color="auto"/>
              <w:left w:val="single" w:sz="8" w:space="0" w:color="auto"/>
              <w:bottom w:val="single" w:sz="6" w:space="0" w:color="auto"/>
              <w:right w:val="single" w:sz="6" w:space="0" w:color="auto"/>
            </w:tcBorders>
          </w:tcPr>
          <w:p w14:paraId="1FAABB3A" w14:textId="77777777" w:rsidR="00CB4E93" w:rsidRPr="00A9330B" w:rsidRDefault="00CB4E93" w:rsidP="00CB4E93">
            <w:pPr>
              <w:spacing w:before="60" w:line="240" w:lineRule="auto"/>
              <w:rPr>
                <w:rFonts w:eastAsia="Calibri" w:cs="Arial"/>
                <w:color w:val="auto"/>
                <w:sz w:val="18"/>
                <w:szCs w:val="18"/>
              </w:rPr>
            </w:pPr>
            <w:r w:rsidRPr="00A9330B">
              <w:rPr>
                <w:rFonts w:eastAsia="Calibri" w:cs="Arial"/>
                <w:color w:val="auto"/>
                <w:sz w:val="18"/>
                <w:szCs w:val="18"/>
              </w:rPr>
              <w:t>2.7.a.1.3. S’approvisionner auprès des carrières agréées</w:t>
            </w:r>
          </w:p>
        </w:tc>
        <w:tc>
          <w:tcPr>
            <w:tcW w:w="916" w:type="pct"/>
            <w:tcBorders>
              <w:top w:val="single" w:sz="6" w:space="0" w:color="auto"/>
              <w:left w:val="single" w:sz="6" w:space="0" w:color="auto"/>
              <w:bottom w:val="single" w:sz="6" w:space="0" w:color="auto"/>
              <w:right w:val="single" w:sz="6" w:space="0" w:color="auto"/>
            </w:tcBorders>
          </w:tcPr>
          <w:p w14:paraId="73DD6201" w14:textId="77777777" w:rsidR="00CB4E93" w:rsidRPr="00A9330B" w:rsidRDefault="00CB4E93" w:rsidP="00CB4E93">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t xml:space="preserve">Existence des autorisations </w:t>
            </w:r>
          </w:p>
        </w:tc>
        <w:tc>
          <w:tcPr>
            <w:tcW w:w="637" w:type="pct"/>
            <w:tcBorders>
              <w:top w:val="single" w:sz="6" w:space="0" w:color="auto"/>
              <w:left w:val="single" w:sz="6" w:space="0" w:color="auto"/>
              <w:bottom w:val="single" w:sz="6" w:space="0" w:color="auto"/>
              <w:right w:val="single" w:sz="6" w:space="0" w:color="auto"/>
            </w:tcBorders>
          </w:tcPr>
          <w:p w14:paraId="0F05BA93" w14:textId="77777777" w:rsidR="00CB4E93" w:rsidRPr="00A9330B" w:rsidRDefault="00CB4E93" w:rsidP="00CB4E93">
            <w:pPr>
              <w:widowControl w:val="0"/>
              <w:autoSpaceDE w:val="0"/>
              <w:autoSpaceDN w:val="0"/>
              <w:adjustRightInd w:val="0"/>
              <w:spacing w:before="60" w:line="240" w:lineRule="auto"/>
              <w:jc w:val="center"/>
              <w:rPr>
                <w:rFonts w:eastAsia="Calibri" w:cs="Arial"/>
                <w:color w:val="auto"/>
                <w:sz w:val="18"/>
                <w:szCs w:val="18"/>
              </w:rPr>
            </w:pPr>
            <w:r w:rsidRPr="00A9330B">
              <w:rPr>
                <w:rFonts w:eastAsia="Calibri" w:cs="Arial"/>
                <w:color w:val="auto"/>
                <w:sz w:val="18"/>
                <w:szCs w:val="18"/>
              </w:rPr>
              <w:t>Phase préparatoire et de construction</w:t>
            </w:r>
          </w:p>
        </w:tc>
        <w:tc>
          <w:tcPr>
            <w:tcW w:w="657" w:type="pct"/>
            <w:tcBorders>
              <w:top w:val="single" w:sz="6" w:space="0" w:color="auto"/>
              <w:left w:val="single" w:sz="6" w:space="0" w:color="auto"/>
              <w:bottom w:val="single" w:sz="6" w:space="0" w:color="auto"/>
              <w:right w:val="single" w:sz="6" w:space="0" w:color="auto"/>
            </w:tcBorders>
          </w:tcPr>
          <w:p w14:paraId="69D356C4" w14:textId="77777777" w:rsidR="00CB4E93" w:rsidRPr="00A9330B" w:rsidRDefault="00CB4E93" w:rsidP="00CB4E93">
            <w:pPr>
              <w:widowControl w:val="0"/>
              <w:spacing w:before="60" w:line="240" w:lineRule="auto"/>
              <w:jc w:val="center"/>
              <w:rPr>
                <w:rFonts w:eastAsia="Calibri" w:cs="Arial"/>
                <w:color w:val="auto"/>
                <w:sz w:val="18"/>
                <w:szCs w:val="18"/>
              </w:rPr>
            </w:pPr>
            <w:r w:rsidRPr="00A9330B">
              <w:rPr>
                <w:rFonts w:eastAsia="Calibri" w:cs="Arial"/>
                <w:color w:val="auto"/>
                <w:sz w:val="18"/>
                <w:szCs w:val="18"/>
              </w:rPr>
              <w:t>MDC</w:t>
            </w:r>
          </w:p>
          <w:p w14:paraId="6BB49456" w14:textId="77777777" w:rsidR="00CB4E93" w:rsidRPr="00A9330B" w:rsidRDefault="00CB4E93" w:rsidP="00CB4E93">
            <w:pPr>
              <w:widowControl w:val="0"/>
              <w:spacing w:before="60" w:line="240" w:lineRule="auto"/>
              <w:jc w:val="center"/>
              <w:rPr>
                <w:rFonts w:eastAsia="Calibri" w:cs="Arial"/>
                <w:color w:val="auto"/>
                <w:sz w:val="18"/>
                <w:szCs w:val="18"/>
              </w:rPr>
            </w:pPr>
            <w:r w:rsidRPr="00A9330B">
              <w:rPr>
                <w:rFonts w:eastAsia="Calibri" w:cs="Arial"/>
                <w:color w:val="auto"/>
                <w:sz w:val="18"/>
                <w:szCs w:val="18"/>
              </w:rPr>
              <w:t>Entreprise chargée des travaux</w:t>
            </w:r>
          </w:p>
        </w:tc>
        <w:tc>
          <w:tcPr>
            <w:tcW w:w="897" w:type="pct"/>
            <w:tcBorders>
              <w:top w:val="single" w:sz="6" w:space="0" w:color="auto"/>
              <w:left w:val="single" w:sz="6" w:space="0" w:color="auto"/>
              <w:bottom w:val="single" w:sz="6" w:space="0" w:color="auto"/>
              <w:right w:val="single" w:sz="8" w:space="0" w:color="auto"/>
            </w:tcBorders>
          </w:tcPr>
          <w:p w14:paraId="09ABA01B" w14:textId="77777777" w:rsidR="00CB4E93" w:rsidRPr="00A9330B" w:rsidRDefault="00CB4E93" w:rsidP="00CB4E93">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t>Mairie de Natitingou</w:t>
            </w:r>
          </w:p>
          <w:p w14:paraId="1829DED6" w14:textId="77777777" w:rsidR="00CB4E93" w:rsidRPr="00A9330B" w:rsidRDefault="00CB4E93" w:rsidP="00CB4E93">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t>Direction Départementale du Cadre de Vie et du Développement Durable (DDCVDD- AD)</w:t>
            </w:r>
          </w:p>
          <w:p w14:paraId="195685F8" w14:textId="77777777" w:rsidR="00CB4E93" w:rsidRPr="00A9330B" w:rsidRDefault="00CB4E93" w:rsidP="00CB4E93">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t>Administrations Minière</w:t>
            </w:r>
          </w:p>
        </w:tc>
        <w:tc>
          <w:tcPr>
            <w:tcW w:w="897" w:type="pct"/>
            <w:tcBorders>
              <w:top w:val="single" w:sz="6" w:space="0" w:color="auto"/>
              <w:left w:val="single" w:sz="6" w:space="0" w:color="auto"/>
              <w:bottom w:val="single" w:sz="6" w:space="0" w:color="auto"/>
              <w:right w:val="single" w:sz="8" w:space="0" w:color="auto"/>
            </w:tcBorders>
          </w:tcPr>
          <w:p w14:paraId="275E46D9" w14:textId="77777777" w:rsidR="00CB4E93" w:rsidRPr="00A9330B" w:rsidRDefault="00CB4E93" w:rsidP="00CB4E93">
            <w:pPr>
              <w:widowControl w:val="0"/>
              <w:autoSpaceDE w:val="0"/>
              <w:autoSpaceDN w:val="0"/>
              <w:adjustRightInd w:val="0"/>
              <w:spacing w:before="60" w:line="240" w:lineRule="auto"/>
              <w:rPr>
                <w:rFonts w:eastAsia="Calibri" w:cs="Arial"/>
                <w:color w:val="auto"/>
                <w:sz w:val="18"/>
                <w:szCs w:val="18"/>
              </w:rPr>
            </w:pPr>
          </w:p>
        </w:tc>
      </w:tr>
      <w:tr w:rsidR="00CB4E93" w:rsidRPr="00A9330B" w14:paraId="09886885" w14:textId="77777777" w:rsidTr="00CB4E93">
        <w:trPr>
          <w:trHeight w:val="796"/>
        </w:trPr>
        <w:tc>
          <w:tcPr>
            <w:tcW w:w="996" w:type="pct"/>
            <w:tcBorders>
              <w:top w:val="single" w:sz="6" w:space="0" w:color="auto"/>
              <w:left w:val="single" w:sz="8" w:space="0" w:color="auto"/>
              <w:bottom w:val="single" w:sz="6" w:space="0" w:color="auto"/>
              <w:right w:val="single" w:sz="6" w:space="0" w:color="auto"/>
            </w:tcBorders>
          </w:tcPr>
          <w:p w14:paraId="7134EC14" w14:textId="77777777" w:rsidR="00CB4E93" w:rsidRPr="00A9330B" w:rsidRDefault="00CB4E93" w:rsidP="00CB4E93">
            <w:pPr>
              <w:widowControl w:val="0"/>
              <w:spacing w:before="60" w:line="240" w:lineRule="auto"/>
              <w:jc w:val="both"/>
              <w:rPr>
                <w:rFonts w:eastAsia="Calibri" w:cs="Arial"/>
                <w:color w:val="auto"/>
                <w:sz w:val="18"/>
                <w:szCs w:val="18"/>
              </w:rPr>
            </w:pPr>
            <w:r w:rsidRPr="00A9330B">
              <w:rPr>
                <w:rFonts w:eastAsia="Calibri" w:cs="Arial"/>
                <w:color w:val="auto"/>
                <w:sz w:val="18"/>
                <w:szCs w:val="18"/>
              </w:rPr>
              <w:t>2.8.a.1.3. ; 2.10.a.2.2. ;</w:t>
            </w:r>
          </w:p>
          <w:p w14:paraId="1651B627" w14:textId="77777777" w:rsidR="00CB4E93" w:rsidRPr="00A9330B" w:rsidRDefault="00CB4E93" w:rsidP="00CB4E93">
            <w:pPr>
              <w:widowControl w:val="0"/>
              <w:spacing w:before="60" w:line="240" w:lineRule="auto"/>
              <w:jc w:val="both"/>
              <w:rPr>
                <w:rFonts w:eastAsia="Calibri" w:cs="Arial"/>
                <w:color w:val="auto"/>
                <w:sz w:val="18"/>
                <w:szCs w:val="18"/>
              </w:rPr>
            </w:pPr>
            <w:r w:rsidRPr="00A9330B">
              <w:rPr>
                <w:rFonts w:eastAsia="Calibri" w:cs="Arial"/>
                <w:color w:val="auto"/>
                <w:sz w:val="18"/>
                <w:szCs w:val="18"/>
              </w:rPr>
              <w:t>Préserver les essences de valeur et celles en voie de disparition situées le long des rues et collecteurs à aménager</w:t>
            </w:r>
          </w:p>
        </w:tc>
        <w:tc>
          <w:tcPr>
            <w:tcW w:w="916" w:type="pct"/>
            <w:tcBorders>
              <w:top w:val="single" w:sz="6" w:space="0" w:color="auto"/>
              <w:left w:val="single" w:sz="6" w:space="0" w:color="auto"/>
              <w:bottom w:val="single" w:sz="6" w:space="0" w:color="auto"/>
              <w:right w:val="single" w:sz="6" w:space="0" w:color="auto"/>
            </w:tcBorders>
          </w:tcPr>
          <w:p w14:paraId="57C5A572" w14:textId="77777777" w:rsidR="00CB4E93" w:rsidRPr="00A9330B" w:rsidRDefault="00CB4E93" w:rsidP="00CB4E93">
            <w:pPr>
              <w:widowControl w:val="0"/>
              <w:spacing w:before="60" w:line="240" w:lineRule="auto"/>
              <w:jc w:val="both"/>
              <w:rPr>
                <w:rFonts w:eastAsia="Calibri" w:cs="Arial"/>
                <w:color w:val="auto"/>
                <w:sz w:val="18"/>
                <w:szCs w:val="18"/>
              </w:rPr>
            </w:pPr>
            <w:r w:rsidRPr="00A9330B">
              <w:rPr>
                <w:rFonts w:eastAsia="Calibri" w:cs="Arial"/>
                <w:color w:val="auto"/>
                <w:sz w:val="18"/>
                <w:szCs w:val="18"/>
              </w:rPr>
              <w:t>Nombre d’essences forestières de valeur et menacées préservées</w:t>
            </w:r>
          </w:p>
        </w:tc>
        <w:tc>
          <w:tcPr>
            <w:tcW w:w="637" w:type="pct"/>
            <w:tcBorders>
              <w:top w:val="single" w:sz="6" w:space="0" w:color="auto"/>
              <w:left w:val="single" w:sz="6" w:space="0" w:color="auto"/>
              <w:bottom w:val="single" w:sz="6" w:space="0" w:color="auto"/>
              <w:right w:val="single" w:sz="6" w:space="0" w:color="auto"/>
            </w:tcBorders>
          </w:tcPr>
          <w:p w14:paraId="5468F7DB" w14:textId="77777777" w:rsidR="00CB4E93" w:rsidRPr="00A9330B" w:rsidRDefault="00CB4E93" w:rsidP="00CB4E93">
            <w:pPr>
              <w:widowControl w:val="0"/>
              <w:autoSpaceDE w:val="0"/>
              <w:autoSpaceDN w:val="0"/>
              <w:adjustRightInd w:val="0"/>
              <w:spacing w:before="60" w:line="240" w:lineRule="auto"/>
              <w:jc w:val="center"/>
              <w:rPr>
                <w:rFonts w:eastAsia="Calibri" w:cs="Arial"/>
                <w:color w:val="auto"/>
                <w:sz w:val="18"/>
                <w:szCs w:val="18"/>
              </w:rPr>
            </w:pPr>
            <w:r w:rsidRPr="00A9330B">
              <w:rPr>
                <w:rFonts w:eastAsia="Calibri" w:cs="Arial"/>
                <w:color w:val="auto"/>
                <w:sz w:val="18"/>
                <w:szCs w:val="18"/>
              </w:rPr>
              <w:t>Phase préparatoire et de construction</w:t>
            </w:r>
          </w:p>
        </w:tc>
        <w:tc>
          <w:tcPr>
            <w:tcW w:w="657" w:type="pct"/>
            <w:tcBorders>
              <w:top w:val="single" w:sz="6" w:space="0" w:color="auto"/>
              <w:left w:val="single" w:sz="6" w:space="0" w:color="auto"/>
              <w:bottom w:val="single" w:sz="6" w:space="0" w:color="auto"/>
              <w:right w:val="single" w:sz="6" w:space="0" w:color="auto"/>
            </w:tcBorders>
          </w:tcPr>
          <w:p w14:paraId="59F9668C" w14:textId="77777777" w:rsidR="00CB4E93" w:rsidRPr="00A9330B" w:rsidRDefault="00CB4E93" w:rsidP="00CB4E93">
            <w:pPr>
              <w:widowControl w:val="0"/>
              <w:spacing w:before="60" w:line="240" w:lineRule="auto"/>
              <w:jc w:val="center"/>
              <w:rPr>
                <w:rFonts w:eastAsia="Calibri" w:cs="Arial"/>
                <w:color w:val="auto"/>
                <w:sz w:val="18"/>
                <w:szCs w:val="18"/>
              </w:rPr>
            </w:pPr>
            <w:r w:rsidRPr="00A9330B">
              <w:rPr>
                <w:rFonts w:eastAsia="Calibri" w:cs="Arial"/>
                <w:color w:val="auto"/>
                <w:sz w:val="18"/>
                <w:szCs w:val="18"/>
              </w:rPr>
              <w:t>MDC</w:t>
            </w:r>
          </w:p>
          <w:p w14:paraId="4FDFE878" w14:textId="77777777" w:rsidR="00CB4E93" w:rsidRPr="00A9330B" w:rsidRDefault="00CB4E93" w:rsidP="00CB4E93">
            <w:pPr>
              <w:widowControl w:val="0"/>
              <w:spacing w:before="60" w:line="240" w:lineRule="auto"/>
              <w:jc w:val="center"/>
              <w:rPr>
                <w:rFonts w:eastAsia="Calibri" w:cs="Arial"/>
                <w:color w:val="auto"/>
                <w:sz w:val="18"/>
                <w:szCs w:val="18"/>
              </w:rPr>
            </w:pPr>
            <w:r w:rsidRPr="00A9330B">
              <w:rPr>
                <w:rFonts w:eastAsia="Calibri" w:cs="Arial"/>
                <w:color w:val="auto"/>
                <w:sz w:val="18"/>
                <w:szCs w:val="18"/>
              </w:rPr>
              <w:t>Entreprise chargée des travaux</w:t>
            </w:r>
          </w:p>
        </w:tc>
        <w:tc>
          <w:tcPr>
            <w:tcW w:w="897" w:type="pct"/>
            <w:tcBorders>
              <w:top w:val="single" w:sz="6" w:space="0" w:color="auto"/>
              <w:left w:val="single" w:sz="6" w:space="0" w:color="auto"/>
              <w:bottom w:val="single" w:sz="6" w:space="0" w:color="auto"/>
              <w:right w:val="single" w:sz="8" w:space="0" w:color="auto"/>
            </w:tcBorders>
          </w:tcPr>
          <w:p w14:paraId="5BE614BD" w14:textId="77777777" w:rsidR="00CB4E93" w:rsidRPr="00A9330B" w:rsidRDefault="00CB4E93" w:rsidP="00CB4E93">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t xml:space="preserve">Mairie concernée (Natitingou)  </w:t>
            </w:r>
          </w:p>
          <w:p w14:paraId="24B68C00" w14:textId="77777777" w:rsidR="00CB4E93" w:rsidRPr="00A9330B" w:rsidRDefault="00CB4E93" w:rsidP="00CB4E93">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t>Direction Départementale du Cadre de Vie et du Développement Durable (DDCVDD-AD)</w:t>
            </w:r>
          </w:p>
          <w:p w14:paraId="0A25A0B6" w14:textId="77777777" w:rsidR="00CB4E93" w:rsidRPr="00A9330B" w:rsidRDefault="00CB4E93" w:rsidP="00CB4E93">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t xml:space="preserve">Inspection forestière AD </w:t>
            </w:r>
          </w:p>
        </w:tc>
        <w:tc>
          <w:tcPr>
            <w:tcW w:w="897" w:type="pct"/>
            <w:tcBorders>
              <w:top w:val="single" w:sz="6" w:space="0" w:color="auto"/>
              <w:left w:val="single" w:sz="6" w:space="0" w:color="auto"/>
              <w:bottom w:val="single" w:sz="6" w:space="0" w:color="auto"/>
              <w:right w:val="single" w:sz="8" w:space="0" w:color="auto"/>
            </w:tcBorders>
          </w:tcPr>
          <w:p w14:paraId="60932F3F" w14:textId="77777777" w:rsidR="00CB4E93" w:rsidRPr="00A9330B" w:rsidRDefault="00CB4E93" w:rsidP="00CB4E93">
            <w:pPr>
              <w:widowControl w:val="0"/>
              <w:autoSpaceDE w:val="0"/>
              <w:autoSpaceDN w:val="0"/>
              <w:adjustRightInd w:val="0"/>
              <w:spacing w:before="60" w:line="240" w:lineRule="auto"/>
              <w:rPr>
                <w:rFonts w:eastAsia="Calibri" w:cs="Arial"/>
                <w:color w:val="auto"/>
                <w:sz w:val="18"/>
                <w:szCs w:val="18"/>
              </w:rPr>
            </w:pPr>
          </w:p>
        </w:tc>
      </w:tr>
      <w:tr w:rsidR="00CB4E93" w:rsidRPr="00A9330B" w14:paraId="5B890B09" w14:textId="77777777" w:rsidTr="00CB4E93">
        <w:trPr>
          <w:trHeight w:val="796"/>
        </w:trPr>
        <w:tc>
          <w:tcPr>
            <w:tcW w:w="996" w:type="pct"/>
            <w:tcBorders>
              <w:top w:val="single" w:sz="6" w:space="0" w:color="auto"/>
              <w:left w:val="single" w:sz="8" w:space="0" w:color="auto"/>
              <w:bottom w:val="single" w:sz="6" w:space="0" w:color="auto"/>
              <w:right w:val="single" w:sz="6" w:space="0" w:color="auto"/>
            </w:tcBorders>
          </w:tcPr>
          <w:p w14:paraId="511E679E" w14:textId="77777777" w:rsidR="00CB4E93" w:rsidRPr="00A9330B" w:rsidRDefault="00CB4E93" w:rsidP="00CB4E93">
            <w:pPr>
              <w:spacing w:before="60" w:line="240" w:lineRule="auto"/>
              <w:rPr>
                <w:rFonts w:eastAsia="Calibri" w:cs="Arial"/>
                <w:color w:val="auto"/>
                <w:sz w:val="18"/>
                <w:szCs w:val="18"/>
              </w:rPr>
            </w:pPr>
            <w:r w:rsidRPr="00A9330B">
              <w:rPr>
                <w:rFonts w:eastAsia="Calibri" w:cs="Arial"/>
                <w:color w:val="auto"/>
                <w:sz w:val="18"/>
                <w:szCs w:val="18"/>
              </w:rPr>
              <w:t xml:space="preserve">2.5.a.4.2. </w:t>
            </w:r>
          </w:p>
          <w:p w14:paraId="167A062C" w14:textId="77777777" w:rsidR="00CB4E93" w:rsidRPr="00A9330B" w:rsidRDefault="00CB4E93" w:rsidP="00CB4E93">
            <w:pPr>
              <w:spacing w:before="60" w:line="240" w:lineRule="auto"/>
              <w:rPr>
                <w:rFonts w:eastAsia="Calibri" w:cs="Arial"/>
                <w:color w:val="auto"/>
                <w:sz w:val="18"/>
                <w:szCs w:val="18"/>
              </w:rPr>
            </w:pPr>
            <w:r w:rsidRPr="00A9330B">
              <w:rPr>
                <w:rFonts w:eastAsia="Calibri" w:cs="Arial"/>
                <w:color w:val="auto"/>
                <w:sz w:val="18"/>
                <w:szCs w:val="18"/>
              </w:rPr>
              <w:t>Elaborer et mettre en œuvre un plan de restauration des carrières et emprunts et un Plan de Protection Environnementale du Site (PPES)</w:t>
            </w:r>
          </w:p>
        </w:tc>
        <w:tc>
          <w:tcPr>
            <w:tcW w:w="916" w:type="pct"/>
            <w:tcBorders>
              <w:top w:val="single" w:sz="6" w:space="0" w:color="auto"/>
              <w:left w:val="single" w:sz="6" w:space="0" w:color="auto"/>
              <w:bottom w:val="single" w:sz="6" w:space="0" w:color="auto"/>
              <w:right w:val="single" w:sz="6" w:space="0" w:color="auto"/>
            </w:tcBorders>
          </w:tcPr>
          <w:p w14:paraId="624B7D6E" w14:textId="77777777" w:rsidR="00CB4E93" w:rsidRPr="00A9330B" w:rsidRDefault="00CB4E93" w:rsidP="00CB4E93">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t xml:space="preserve">Etat de la carrière </w:t>
            </w:r>
          </w:p>
          <w:p w14:paraId="0517CEB0" w14:textId="77777777" w:rsidR="00CB4E93" w:rsidRPr="00A9330B" w:rsidRDefault="00CB4E93" w:rsidP="00CB4E93">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t>Absence d’excavation abandonnée sur les sites d’emprunts</w:t>
            </w:r>
          </w:p>
        </w:tc>
        <w:tc>
          <w:tcPr>
            <w:tcW w:w="637" w:type="pct"/>
            <w:tcBorders>
              <w:top w:val="single" w:sz="6" w:space="0" w:color="auto"/>
              <w:left w:val="single" w:sz="6" w:space="0" w:color="auto"/>
              <w:bottom w:val="single" w:sz="6" w:space="0" w:color="auto"/>
              <w:right w:val="single" w:sz="6" w:space="0" w:color="auto"/>
            </w:tcBorders>
          </w:tcPr>
          <w:p w14:paraId="7D60F4B9" w14:textId="77777777" w:rsidR="00CB4E93" w:rsidRPr="00A9330B" w:rsidRDefault="00CB4E93" w:rsidP="00CB4E93">
            <w:pPr>
              <w:widowControl w:val="0"/>
              <w:autoSpaceDE w:val="0"/>
              <w:autoSpaceDN w:val="0"/>
              <w:adjustRightInd w:val="0"/>
              <w:spacing w:before="60" w:line="240" w:lineRule="auto"/>
              <w:jc w:val="center"/>
              <w:rPr>
                <w:rFonts w:eastAsia="Calibri" w:cs="Arial"/>
                <w:color w:val="auto"/>
                <w:sz w:val="18"/>
                <w:szCs w:val="18"/>
              </w:rPr>
            </w:pPr>
            <w:r w:rsidRPr="00A9330B">
              <w:rPr>
                <w:rFonts w:eastAsia="Calibri" w:cs="Arial"/>
                <w:color w:val="auto"/>
                <w:sz w:val="18"/>
                <w:szCs w:val="18"/>
              </w:rPr>
              <w:t>Phase préparatoire et de construction</w:t>
            </w:r>
          </w:p>
        </w:tc>
        <w:tc>
          <w:tcPr>
            <w:tcW w:w="657" w:type="pct"/>
            <w:tcBorders>
              <w:top w:val="single" w:sz="6" w:space="0" w:color="auto"/>
              <w:left w:val="single" w:sz="6" w:space="0" w:color="auto"/>
              <w:bottom w:val="single" w:sz="6" w:space="0" w:color="auto"/>
              <w:right w:val="single" w:sz="6" w:space="0" w:color="auto"/>
            </w:tcBorders>
          </w:tcPr>
          <w:p w14:paraId="0B9965A8" w14:textId="77777777" w:rsidR="00CB4E93" w:rsidRPr="00A9330B" w:rsidRDefault="00CB4E93" w:rsidP="00CB4E93">
            <w:pPr>
              <w:widowControl w:val="0"/>
              <w:spacing w:before="60" w:line="240" w:lineRule="auto"/>
              <w:jc w:val="center"/>
              <w:rPr>
                <w:rFonts w:eastAsia="Calibri" w:cs="Arial"/>
                <w:color w:val="auto"/>
                <w:sz w:val="18"/>
                <w:szCs w:val="18"/>
              </w:rPr>
            </w:pPr>
            <w:r w:rsidRPr="00A9330B">
              <w:rPr>
                <w:rFonts w:eastAsia="Calibri" w:cs="Arial"/>
                <w:color w:val="auto"/>
                <w:sz w:val="18"/>
                <w:szCs w:val="18"/>
              </w:rPr>
              <w:t>MDC</w:t>
            </w:r>
          </w:p>
          <w:p w14:paraId="16DD88AB" w14:textId="77777777" w:rsidR="00CB4E93" w:rsidRPr="00A9330B" w:rsidRDefault="00CB4E93" w:rsidP="00CB4E93">
            <w:pPr>
              <w:widowControl w:val="0"/>
              <w:spacing w:before="60" w:line="240" w:lineRule="auto"/>
              <w:jc w:val="center"/>
              <w:rPr>
                <w:rFonts w:eastAsia="Calibri" w:cs="Arial"/>
                <w:color w:val="auto"/>
                <w:sz w:val="18"/>
                <w:szCs w:val="18"/>
              </w:rPr>
            </w:pPr>
            <w:r w:rsidRPr="00A9330B">
              <w:rPr>
                <w:rFonts w:eastAsia="Calibri" w:cs="Arial"/>
                <w:color w:val="auto"/>
                <w:sz w:val="18"/>
                <w:szCs w:val="18"/>
              </w:rPr>
              <w:t>Entreprise chargée des travaux</w:t>
            </w:r>
          </w:p>
          <w:p w14:paraId="4BD0C929" w14:textId="77777777" w:rsidR="00CB4E93" w:rsidRPr="00A9330B" w:rsidRDefault="00CB4E93" w:rsidP="00CB4E93">
            <w:pPr>
              <w:widowControl w:val="0"/>
              <w:spacing w:before="60" w:line="240" w:lineRule="auto"/>
              <w:jc w:val="center"/>
              <w:rPr>
                <w:rFonts w:eastAsia="Calibri" w:cs="Arial"/>
                <w:color w:val="auto"/>
                <w:sz w:val="18"/>
                <w:szCs w:val="18"/>
              </w:rPr>
            </w:pPr>
          </w:p>
        </w:tc>
        <w:tc>
          <w:tcPr>
            <w:tcW w:w="897" w:type="pct"/>
            <w:tcBorders>
              <w:top w:val="single" w:sz="6" w:space="0" w:color="auto"/>
              <w:left w:val="single" w:sz="6" w:space="0" w:color="auto"/>
              <w:bottom w:val="single" w:sz="6" w:space="0" w:color="auto"/>
              <w:right w:val="single" w:sz="8" w:space="0" w:color="auto"/>
            </w:tcBorders>
          </w:tcPr>
          <w:p w14:paraId="23C1F6D9" w14:textId="77777777" w:rsidR="00CB4E93" w:rsidRPr="00A9330B" w:rsidRDefault="00CB4E93" w:rsidP="00CB4E93">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t>Mairie de Natitingou</w:t>
            </w:r>
          </w:p>
          <w:p w14:paraId="6327AB36" w14:textId="77777777" w:rsidR="00CB4E93" w:rsidRPr="00A9330B" w:rsidRDefault="00CB4E93" w:rsidP="00CB4E93">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t>Direction Départementale du Cadre de Vie et du Développement Durable (DDCVDD- AD)</w:t>
            </w:r>
          </w:p>
          <w:p w14:paraId="03E0224B" w14:textId="77777777" w:rsidR="00CB4E93" w:rsidRPr="00A9330B" w:rsidRDefault="00CB4E93" w:rsidP="00CB4E93">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t>Inspection Forestières – AD</w:t>
            </w:r>
          </w:p>
          <w:p w14:paraId="48904B65" w14:textId="77777777" w:rsidR="00CB4E93" w:rsidRPr="00A9330B" w:rsidRDefault="00CB4E93" w:rsidP="00CB4E93">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t>Administration Minière</w:t>
            </w:r>
          </w:p>
        </w:tc>
        <w:tc>
          <w:tcPr>
            <w:tcW w:w="897" w:type="pct"/>
            <w:tcBorders>
              <w:top w:val="single" w:sz="6" w:space="0" w:color="auto"/>
              <w:left w:val="single" w:sz="6" w:space="0" w:color="auto"/>
              <w:bottom w:val="single" w:sz="6" w:space="0" w:color="auto"/>
              <w:right w:val="single" w:sz="8" w:space="0" w:color="auto"/>
            </w:tcBorders>
          </w:tcPr>
          <w:p w14:paraId="62A94BB7" w14:textId="77777777" w:rsidR="00CB4E93" w:rsidRPr="00A9330B" w:rsidRDefault="00CB4E93" w:rsidP="00CB4E93">
            <w:pPr>
              <w:widowControl w:val="0"/>
              <w:autoSpaceDE w:val="0"/>
              <w:autoSpaceDN w:val="0"/>
              <w:adjustRightInd w:val="0"/>
              <w:spacing w:before="60" w:line="240" w:lineRule="auto"/>
              <w:rPr>
                <w:rFonts w:eastAsia="Calibri" w:cs="Arial"/>
                <w:sz w:val="20"/>
                <w:szCs w:val="20"/>
              </w:rPr>
            </w:pPr>
            <w:r w:rsidRPr="00A9330B">
              <w:rPr>
                <w:rFonts w:eastAsia="Calibri" w:cs="Arial"/>
                <w:sz w:val="20"/>
                <w:szCs w:val="20"/>
              </w:rPr>
              <w:t>Intégrer dans sécurité de chantier (DAO travaux)</w:t>
            </w:r>
          </w:p>
          <w:p w14:paraId="13CA8626" w14:textId="77777777" w:rsidR="00CB4E93" w:rsidRPr="00A9330B" w:rsidRDefault="00CB4E93" w:rsidP="00CB4E93">
            <w:pPr>
              <w:widowControl w:val="0"/>
              <w:autoSpaceDE w:val="0"/>
              <w:autoSpaceDN w:val="0"/>
              <w:adjustRightInd w:val="0"/>
              <w:spacing w:before="60" w:line="240" w:lineRule="auto"/>
              <w:rPr>
                <w:rFonts w:eastAsia="Calibri" w:cs="Arial"/>
                <w:color w:val="auto"/>
                <w:sz w:val="18"/>
                <w:szCs w:val="18"/>
              </w:rPr>
            </w:pPr>
          </w:p>
        </w:tc>
      </w:tr>
      <w:tr w:rsidR="00CB4E93" w:rsidRPr="00A9330B" w14:paraId="39C2842B" w14:textId="77777777" w:rsidTr="00CB4E93">
        <w:trPr>
          <w:trHeight w:val="1050"/>
        </w:trPr>
        <w:tc>
          <w:tcPr>
            <w:tcW w:w="996" w:type="pct"/>
            <w:tcBorders>
              <w:top w:val="single" w:sz="6" w:space="0" w:color="auto"/>
              <w:left w:val="single" w:sz="8" w:space="0" w:color="auto"/>
              <w:bottom w:val="single" w:sz="6" w:space="0" w:color="auto"/>
              <w:right w:val="single" w:sz="6" w:space="0" w:color="auto"/>
            </w:tcBorders>
          </w:tcPr>
          <w:p w14:paraId="3379510E" w14:textId="77777777" w:rsidR="00CB4E93" w:rsidRPr="00A9330B" w:rsidRDefault="00CB4E93" w:rsidP="00CB4E93">
            <w:pPr>
              <w:spacing w:before="60" w:line="240" w:lineRule="auto"/>
              <w:rPr>
                <w:rFonts w:eastAsia="Calibri" w:cs="Arial"/>
                <w:color w:val="auto"/>
                <w:sz w:val="18"/>
                <w:szCs w:val="18"/>
              </w:rPr>
            </w:pPr>
            <w:r w:rsidRPr="00A9330B">
              <w:rPr>
                <w:rFonts w:eastAsia="Calibri" w:cs="Arial"/>
                <w:color w:val="auto"/>
                <w:sz w:val="18"/>
                <w:szCs w:val="18"/>
              </w:rPr>
              <w:t xml:space="preserve">2.7.a.1.2. </w:t>
            </w:r>
          </w:p>
          <w:p w14:paraId="5027586E" w14:textId="77777777" w:rsidR="00CB4E93" w:rsidRPr="00A9330B" w:rsidRDefault="00CB4E93" w:rsidP="00CB4E93">
            <w:pPr>
              <w:spacing w:before="60" w:line="240" w:lineRule="auto"/>
              <w:rPr>
                <w:rFonts w:eastAsia="Calibri" w:cs="Arial"/>
                <w:color w:val="auto"/>
                <w:sz w:val="18"/>
                <w:szCs w:val="18"/>
              </w:rPr>
            </w:pPr>
            <w:r w:rsidRPr="00A9330B">
              <w:rPr>
                <w:rFonts w:eastAsia="Calibri" w:cs="Arial"/>
                <w:color w:val="auto"/>
                <w:sz w:val="18"/>
                <w:szCs w:val="18"/>
              </w:rPr>
              <w:t>Prendre toutes les autorisations nécessaires pour l’ouverture de carrières ou d’emprunts</w:t>
            </w:r>
          </w:p>
        </w:tc>
        <w:tc>
          <w:tcPr>
            <w:tcW w:w="916" w:type="pct"/>
            <w:tcBorders>
              <w:top w:val="single" w:sz="6" w:space="0" w:color="auto"/>
              <w:left w:val="single" w:sz="6" w:space="0" w:color="auto"/>
              <w:bottom w:val="single" w:sz="6" w:space="0" w:color="auto"/>
              <w:right w:val="single" w:sz="6" w:space="0" w:color="auto"/>
            </w:tcBorders>
          </w:tcPr>
          <w:p w14:paraId="107865B5" w14:textId="77777777" w:rsidR="00CB4E93" w:rsidRPr="00A9330B" w:rsidRDefault="00CB4E93" w:rsidP="00CB4E93">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t xml:space="preserve">Existence des autorisations </w:t>
            </w:r>
          </w:p>
          <w:p w14:paraId="75E279E3" w14:textId="77777777" w:rsidR="00CB4E93" w:rsidRPr="00A9330B" w:rsidRDefault="00CB4E93" w:rsidP="00CB4E93">
            <w:pPr>
              <w:widowControl w:val="0"/>
              <w:autoSpaceDE w:val="0"/>
              <w:autoSpaceDN w:val="0"/>
              <w:adjustRightInd w:val="0"/>
              <w:spacing w:before="60" w:line="240" w:lineRule="auto"/>
              <w:rPr>
                <w:rFonts w:eastAsia="Calibri" w:cs="Arial"/>
                <w:color w:val="auto"/>
                <w:sz w:val="18"/>
                <w:szCs w:val="18"/>
              </w:rPr>
            </w:pPr>
          </w:p>
          <w:p w14:paraId="0C6AEEF5" w14:textId="77777777" w:rsidR="00CB4E93" w:rsidRPr="00A9330B" w:rsidRDefault="00CB4E93" w:rsidP="00CB4E93">
            <w:pPr>
              <w:widowControl w:val="0"/>
              <w:autoSpaceDE w:val="0"/>
              <w:autoSpaceDN w:val="0"/>
              <w:adjustRightInd w:val="0"/>
              <w:spacing w:before="60" w:line="240" w:lineRule="auto"/>
              <w:rPr>
                <w:rFonts w:eastAsia="Calibri" w:cs="Arial"/>
                <w:color w:val="auto"/>
                <w:sz w:val="18"/>
                <w:szCs w:val="18"/>
              </w:rPr>
            </w:pPr>
          </w:p>
        </w:tc>
        <w:tc>
          <w:tcPr>
            <w:tcW w:w="637" w:type="pct"/>
            <w:tcBorders>
              <w:top w:val="single" w:sz="6" w:space="0" w:color="auto"/>
              <w:left w:val="single" w:sz="6" w:space="0" w:color="auto"/>
              <w:bottom w:val="single" w:sz="6" w:space="0" w:color="auto"/>
              <w:right w:val="single" w:sz="6" w:space="0" w:color="auto"/>
            </w:tcBorders>
          </w:tcPr>
          <w:p w14:paraId="7D5DD948" w14:textId="77777777" w:rsidR="00CB4E93" w:rsidRPr="00A9330B" w:rsidRDefault="00CB4E93" w:rsidP="00CB4E93">
            <w:pPr>
              <w:widowControl w:val="0"/>
              <w:autoSpaceDE w:val="0"/>
              <w:autoSpaceDN w:val="0"/>
              <w:adjustRightInd w:val="0"/>
              <w:spacing w:before="60" w:line="240" w:lineRule="auto"/>
              <w:jc w:val="center"/>
              <w:rPr>
                <w:rFonts w:eastAsia="Calibri" w:cs="Arial"/>
                <w:color w:val="auto"/>
                <w:sz w:val="18"/>
                <w:szCs w:val="18"/>
              </w:rPr>
            </w:pPr>
            <w:r w:rsidRPr="00A9330B">
              <w:rPr>
                <w:rFonts w:eastAsia="Calibri" w:cs="Arial"/>
                <w:color w:val="auto"/>
                <w:sz w:val="18"/>
                <w:szCs w:val="18"/>
              </w:rPr>
              <w:t>Phase préparatoire et de construction</w:t>
            </w:r>
          </w:p>
        </w:tc>
        <w:tc>
          <w:tcPr>
            <w:tcW w:w="657" w:type="pct"/>
            <w:tcBorders>
              <w:top w:val="single" w:sz="6" w:space="0" w:color="auto"/>
              <w:left w:val="single" w:sz="6" w:space="0" w:color="auto"/>
              <w:bottom w:val="single" w:sz="6" w:space="0" w:color="auto"/>
              <w:right w:val="single" w:sz="6" w:space="0" w:color="auto"/>
            </w:tcBorders>
          </w:tcPr>
          <w:p w14:paraId="1465ACC6" w14:textId="77777777" w:rsidR="00CB4E93" w:rsidRPr="00A9330B" w:rsidRDefault="00CB4E93" w:rsidP="00CB4E93">
            <w:pPr>
              <w:widowControl w:val="0"/>
              <w:spacing w:before="60" w:line="240" w:lineRule="auto"/>
              <w:jc w:val="center"/>
              <w:rPr>
                <w:rFonts w:eastAsia="Calibri" w:cs="Arial"/>
                <w:color w:val="auto"/>
                <w:sz w:val="18"/>
                <w:szCs w:val="18"/>
              </w:rPr>
            </w:pPr>
            <w:r w:rsidRPr="00A9330B">
              <w:rPr>
                <w:rFonts w:eastAsia="Calibri" w:cs="Arial"/>
                <w:color w:val="auto"/>
                <w:sz w:val="18"/>
                <w:szCs w:val="18"/>
              </w:rPr>
              <w:t>MDC</w:t>
            </w:r>
          </w:p>
          <w:p w14:paraId="1BA1E719" w14:textId="77777777" w:rsidR="00CB4E93" w:rsidRPr="00A9330B" w:rsidRDefault="00CB4E93" w:rsidP="00CB4E93">
            <w:pPr>
              <w:widowControl w:val="0"/>
              <w:spacing w:before="60" w:line="240" w:lineRule="auto"/>
              <w:jc w:val="center"/>
              <w:rPr>
                <w:rFonts w:eastAsia="Calibri" w:cs="Arial"/>
                <w:color w:val="auto"/>
                <w:sz w:val="18"/>
                <w:szCs w:val="18"/>
              </w:rPr>
            </w:pPr>
            <w:r w:rsidRPr="00A9330B">
              <w:rPr>
                <w:rFonts w:eastAsia="Calibri" w:cs="Arial"/>
                <w:color w:val="auto"/>
                <w:sz w:val="18"/>
                <w:szCs w:val="18"/>
              </w:rPr>
              <w:t>Entreprise chargée des travaux</w:t>
            </w:r>
          </w:p>
        </w:tc>
        <w:tc>
          <w:tcPr>
            <w:tcW w:w="897" w:type="pct"/>
            <w:tcBorders>
              <w:top w:val="single" w:sz="6" w:space="0" w:color="auto"/>
              <w:left w:val="single" w:sz="6" w:space="0" w:color="auto"/>
              <w:bottom w:val="single" w:sz="6" w:space="0" w:color="auto"/>
              <w:right w:val="single" w:sz="8" w:space="0" w:color="auto"/>
            </w:tcBorders>
          </w:tcPr>
          <w:p w14:paraId="2D2B6248" w14:textId="77777777" w:rsidR="00CB4E93" w:rsidRPr="00A9330B" w:rsidRDefault="00CB4E93" w:rsidP="00CB4E93">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t>Mairie de Natitingou</w:t>
            </w:r>
          </w:p>
          <w:p w14:paraId="74662078" w14:textId="77777777" w:rsidR="00CB4E93" w:rsidRPr="00A9330B" w:rsidRDefault="00CB4E93" w:rsidP="00CB4E93">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t>Direction Départementale du Cadre de Vie et du Développement Durable (DDCVDD- AD)</w:t>
            </w:r>
          </w:p>
        </w:tc>
        <w:tc>
          <w:tcPr>
            <w:tcW w:w="897" w:type="pct"/>
            <w:tcBorders>
              <w:top w:val="single" w:sz="6" w:space="0" w:color="auto"/>
              <w:left w:val="single" w:sz="6" w:space="0" w:color="auto"/>
              <w:bottom w:val="single" w:sz="6" w:space="0" w:color="auto"/>
              <w:right w:val="single" w:sz="8" w:space="0" w:color="auto"/>
            </w:tcBorders>
          </w:tcPr>
          <w:p w14:paraId="0CF8A444" w14:textId="77777777" w:rsidR="00CB4E93" w:rsidRPr="00A9330B" w:rsidRDefault="00CB4E93" w:rsidP="00CB4E93">
            <w:pPr>
              <w:widowControl w:val="0"/>
              <w:autoSpaceDE w:val="0"/>
              <w:autoSpaceDN w:val="0"/>
              <w:adjustRightInd w:val="0"/>
              <w:spacing w:before="60" w:line="240" w:lineRule="auto"/>
              <w:rPr>
                <w:rFonts w:eastAsia="Calibri" w:cs="Arial"/>
                <w:color w:val="auto"/>
                <w:sz w:val="18"/>
                <w:szCs w:val="18"/>
              </w:rPr>
            </w:pPr>
          </w:p>
        </w:tc>
      </w:tr>
      <w:tr w:rsidR="00CB4E93" w:rsidRPr="00A9330B" w14:paraId="26D27490" w14:textId="77777777" w:rsidTr="00CB4E93">
        <w:trPr>
          <w:trHeight w:val="554"/>
        </w:trPr>
        <w:tc>
          <w:tcPr>
            <w:tcW w:w="996" w:type="pct"/>
            <w:tcBorders>
              <w:top w:val="single" w:sz="6" w:space="0" w:color="auto"/>
              <w:left w:val="single" w:sz="8" w:space="0" w:color="auto"/>
              <w:bottom w:val="single" w:sz="6" w:space="0" w:color="auto"/>
              <w:right w:val="single" w:sz="6" w:space="0" w:color="auto"/>
            </w:tcBorders>
          </w:tcPr>
          <w:p w14:paraId="765539B0" w14:textId="77777777" w:rsidR="00CB4E93" w:rsidRPr="00A9330B" w:rsidRDefault="00CB4E93" w:rsidP="00CB4E93">
            <w:pPr>
              <w:widowControl w:val="0"/>
              <w:spacing w:before="60" w:line="240" w:lineRule="auto"/>
              <w:jc w:val="both"/>
              <w:rPr>
                <w:rFonts w:eastAsia="Calibri" w:cs="Arial"/>
                <w:color w:val="auto"/>
                <w:sz w:val="18"/>
                <w:szCs w:val="18"/>
              </w:rPr>
            </w:pPr>
            <w:r w:rsidRPr="00A9330B">
              <w:rPr>
                <w:rFonts w:eastAsia="Calibri" w:cs="Arial"/>
                <w:color w:val="auto"/>
                <w:sz w:val="18"/>
                <w:szCs w:val="18"/>
              </w:rPr>
              <w:t xml:space="preserve">2.8.a.2.3. ; 2.8.a.2.2.  Interdire le nettoyage des engins et véhicules </w:t>
            </w:r>
            <w:r w:rsidRPr="00A9330B">
              <w:rPr>
                <w:rFonts w:eastAsia="Calibri" w:cs="Arial"/>
                <w:color w:val="auto"/>
                <w:sz w:val="18"/>
                <w:szCs w:val="18"/>
              </w:rPr>
              <w:lastRenderedPageBreak/>
              <w:t>de chantiers et le déversement d’huiles usagées et de déchets au bord des plans d’eau</w:t>
            </w:r>
          </w:p>
        </w:tc>
        <w:tc>
          <w:tcPr>
            <w:tcW w:w="916" w:type="pct"/>
            <w:tcBorders>
              <w:top w:val="single" w:sz="6" w:space="0" w:color="auto"/>
              <w:left w:val="single" w:sz="6" w:space="0" w:color="auto"/>
              <w:bottom w:val="single" w:sz="6" w:space="0" w:color="auto"/>
              <w:right w:val="single" w:sz="6" w:space="0" w:color="auto"/>
            </w:tcBorders>
          </w:tcPr>
          <w:p w14:paraId="3E930D7F" w14:textId="77777777" w:rsidR="00CB4E93" w:rsidRPr="00A9330B" w:rsidRDefault="00CB4E93" w:rsidP="00CB4E93">
            <w:pPr>
              <w:widowControl w:val="0"/>
              <w:autoSpaceDE w:val="0"/>
              <w:autoSpaceDN w:val="0"/>
              <w:adjustRightInd w:val="0"/>
              <w:spacing w:before="60" w:line="240" w:lineRule="auto"/>
              <w:jc w:val="both"/>
              <w:rPr>
                <w:rFonts w:eastAsia="Calibri" w:cs="Arial"/>
                <w:color w:val="auto"/>
                <w:sz w:val="18"/>
                <w:szCs w:val="18"/>
              </w:rPr>
            </w:pPr>
            <w:r w:rsidRPr="00A9330B">
              <w:rPr>
                <w:rFonts w:eastAsia="Calibri" w:cs="Arial"/>
                <w:color w:val="auto"/>
                <w:sz w:val="18"/>
                <w:szCs w:val="18"/>
              </w:rPr>
              <w:lastRenderedPageBreak/>
              <w:t xml:space="preserve">Aménagement d’une aire de lavage et d’entretien des engins </w:t>
            </w:r>
            <w:r w:rsidRPr="00A9330B">
              <w:rPr>
                <w:rFonts w:eastAsia="Calibri" w:cs="Arial"/>
                <w:color w:val="auto"/>
                <w:sz w:val="18"/>
                <w:szCs w:val="18"/>
              </w:rPr>
              <w:lastRenderedPageBreak/>
              <w:t xml:space="preserve">et véhicules à la base vie </w:t>
            </w:r>
          </w:p>
          <w:p w14:paraId="2A79A505" w14:textId="77777777" w:rsidR="00CB4E93" w:rsidRPr="00A9330B" w:rsidRDefault="00CB4E93" w:rsidP="00CB4E93">
            <w:pPr>
              <w:widowControl w:val="0"/>
              <w:autoSpaceDE w:val="0"/>
              <w:autoSpaceDN w:val="0"/>
              <w:adjustRightInd w:val="0"/>
              <w:spacing w:before="60" w:line="240" w:lineRule="auto"/>
              <w:jc w:val="both"/>
              <w:rPr>
                <w:rFonts w:eastAsia="Calibri" w:cs="Arial"/>
                <w:color w:val="auto"/>
                <w:sz w:val="18"/>
                <w:szCs w:val="18"/>
              </w:rPr>
            </w:pPr>
            <w:r w:rsidRPr="00A9330B">
              <w:rPr>
                <w:rFonts w:eastAsia="Calibri" w:cs="Arial"/>
                <w:color w:val="auto"/>
                <w:sz w:val="18"/>
                <w:szCs w:val="18"/>
              </w:rPr>
              <w:t xml:space="preserve">Note d’interdiction du nettoyage des engins dans les plans d’eau </w:t>
            </w:r>
          </w:p>
        </w:tc>
        <w:tc>
          <w:tcPr>
            <w:tcW w:w="637" w:type="pct"/>
            <w:tcBorders>
              <w:top w:val="single" w:sz="6" w:space="0" w:color="auto"/>
              <w:left w:val="single" w:sz="6" w:space="0" w:color="auto"/>
              <w:bottom w:val="single" w:sz="6" w:space="0" w:color="auto"/>
              <w:right w:val="single" w:sz="6" w:space="0" w:color="auto"/>
            </w:tcBorders>
          </w:tcPr>
          <w:p w14:paraId="17BC692A" w14:textId="77777777" w:rsidR="00CB4E93" w:rsidRPr="00A9330B" w:rsidRDefault="00CB4E93" w:rsidP="00CB4E93">
            <w:pPr>
              <w:widowControl w:val="0"/>
              <w:autoSpaceDE w:val="0"/>
              <w:autoSpaceDN w:val="0"/>
              <w:adjustRightInd w:val="0"/>
              <w:spacing w:before="60" w:line="240" w:lineRule="auto"/>
              <w:jc w:val="center"/>
              <w:rPr>
                <w:rFonts w:eastAsia="Calibri" w:cs="Arial"/>
                <w:color w:val="auto"/>
                <w:sz w:val="18"/>
                <w:szCs w:val="18"/>
              </w:rPr>
            </w:pPr>
            <w:r w:rsidRPr="00A9330B">
              <w:rPr>
                <w:rFonts w:eastAsia="Calibri" w:cs="Arial"/>
                <w:color w:val="auto"/>
                <w:sz w:val="18"/>
                <w:szCs w:val="18"/>
              </w:rPr>
              <w:lastRenderedPageBreak/>
              <w:t>Phase préparatoire et de construction</w:t>
            </w:r>
          </w:p>
        </w:tc>
        <w:tc>
          <w:tcPr>
            <w:tcW w:w="657" w:type="pct"/>
            <w:tcBorders>
              <w:top w:val="single" w:sz="6" w:space="0" w:color="auto"/>
              <w:left w:val="single" w:sz="6" w:space="0" w:color="auto"/>
              <w:bottom w:val="single" w:sz="6" w:space="0" w:color="auto"/>
              <w:right w:val="single" w:sz="6" w:space="0" w:color="auto"/>
            </w:tcBorders>
          </w:tcPr>
          <w:p w14:paraId="321B3A83" w14:textId="77777777" w:rsidR="00CB4E93" w:rsidRPr="00A9330B" w:rsidRDefault="00CB4E93" w:rsidP="00CB4E93">
            <w:pPr>
              <w:widowControl w:val="0"/>
              <w:spacing w:before="60" w:line="240" w:lineRule="auto"/>
              <w:jc w:val="center"/>
              <w:rPr>
                <w:rFonts w:eastAsia="Calibri" w:cs="Arial"/>
                <w:color w:val="auto"/>
                <w:sz w:val="18"/>
                <w:szCs w:val="18"/>
              </w:rPr>
            </w:pPr>
            <w:r w:rsidRPr="00A9330B">
              <w:rPr>
                <w:rFonts w:eastAsia="Calibri" w:cs="Arial"/>
                <w:color w:val="auto"/>
                <w:sz w:val="18"/>
                <w:szCs w:val="18"/>
              </w:rPr>
              <w:t>MDC</w:t>
            </w:r>
          </w:p>
          <w:p w14:paraId="59A08DA7" w14:textId="77777777" w:rsidR="00CB4E93" w:rsidRPr="00A9330B" w:rsidRDefault="00CB4E93" w:rsidP="00CB4E93">
            <w:pPr>
              <w:widowControl w:val="0"/>
              <w:spacing w:before="60" w:line="240" w:lineRule="auto"/>
              <w:jc w:val="center"/>
              <w:rPr>
                <w:rFonts w:eastAsia="Calibri" w:cs="Arial"/>
                <w:color w:val="auto"/>
                <w:sz w:val="18"/>
                <w:szCs w:val="18"/>
              </w:rPr>
            </w:pPr>
            <w:r w:rsidRPr="00A9330B">
              <w:rPr>
                <w:rFonts w:eastAsia="Calibri" w:cs="Arial"/>
                <w:color w:val="auto"/>
                <w:sz w:val="18"/>
                <w:szCs w:val="18"/>
              </w:rPr>
              <w:t xml:space="preserve">Entreprise chargée </w:t>
            </w:r>
            <w:r w:rsidRPr="00A9330B">
              <w:rPr>
                <w:rFonts w:eastAsia="Calibri" w:cs="Arial"/>
                <w:color w:val="auto"/>
                <w:sz w:val="18"/>
                <w:szCs w:val="18"/>
              </w:rPr>
              <w:lastRenderedPageBreak/>
              <w:t>des travaux</w:t>
            </w:r>
          </w:p>
        </w:tc>
        <w:tc>
          <w:tcPr>
            <w:tcW w:w="897" w:type="pct"/>
            <w:tcBorders>
              <w:top w:val="single" w:sz="6" w:space="0" w:color="auto"/>
              <w:left w:val="single" w:sz="6" w:space="0" w:color="auto"/>
              <w:bottom w:val="single" w:sz="6" w:space="0" w:color="auto"/>
              <w:right w:val="single" w:sz="8" w:space="0" w:color="auto"/>
            </w:tcBorders>
          </w:tcPr>
          <w:p w14:paraId="7F67263E" w14:textId="77777777" w:rsidR="00CB4E93" w:rsidRPr="00A9330B" w:rsidRDefault="00CB4E93" w:rsidP="00CB4E93">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lastRenderedPageBreak/>
              <w:t xml:space="preserve">Mairie concernées (Natitingou)  </w:t>
            </w:r>
          </w:p>
          <w:p w14:paraId="33330BEA" w14:textId="77777777" w:rsidR="00CB4E93" w:rsidRPr="00A9330B" w:rsidRDefault="00CB4E93" w:rsidP="00CB4E93">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lastRenderedPageBreak/>
              <w:t>Direction Départementale du Cadre de Vie et du Développement Durable (DDCVDD-AD)</w:t>
            </w:r>
          </w:p>
          <w:p w14:paraId="485CDF5B" w14:textId="77777777" w:rsidR="00CB4E93" w:rsidRPr="00A9330B" w:rsidRDefault="00CB4E93" w:rsidP="00CB4E93">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t>DDS</w:t>
            </w:r>
          </w:p>
        </w:tc>
        <w:tc>
          <w:tcPr>
            <w:tcW w:w="897" w:type="pct"/>
            <w:tcBorders>
              <w:top w:val="single" w:sz="6" w:space="0" w:color="auto"/>
              <w:left w:val="single" w:sz="6" w:space="0" w:color="auto"/>
              <w:bottom w:val="single" w:sz="6" w:space="0" w:color="auto"/>
              <w:right w:val="single" w:sz="8" w:space="0" w:color="auto"/>
            </w:tcBorders>
          </w:tcPr>
          <w:p w14:paraId="2DF18D9C" w14:textId="77777777" w:rsidR="00CB4E93" w:rsidRPr="00A9330B" w:rsidRDefault="00CB4E93" w:rsidP="00CB4E93">
            <w:pPr>
              <w:widowControl w:val="0"/>
              <w:autoSpaceDE w:val="0"/>
              <w:autoSpaceDN w:val="0"/>
              <w:adjustRightInd w:val="0"/>
              <w:spacing w:before="60" w:line="240" w:lineRule="auto"/>
              <w:rPr>
                <w:rFonts w:eastAsia="Calibri" w:cs="Arial"/>
                <w:color w:val="auto"/>
                <w:sz w:val="18"/>
                <w:szCs w:val="18"/>
              </w:rPr>
            </w:pPr>
          </w:p>
        </w:tc>
      </w:tr>
      <w:tr w:rsidR="00CB4E93" w:rsidRPr="00A9330B" w14:paraId="7102E879" w14:textId="77777777" w:rsidTr="00CB4E93">
        <w:trPr>
          <w:trHeight w:val="554"/>
        </w:trPr>
        <w:tc>
          <w:tcPr>
            <w:tcW w:w="996" w:type="pct"/>
            <w:tcBorders>
              <w:top w:val="single" w:sz="6" w:space="0" w:color="auto"/>
              <w:left w:val="single" w:sz="8" w:space="0" w:color="auto"/>
              <w:bottom w:val="single" w:sz="6" w:space="0" w:color="auto"/>
              <w:right w:val="single" w:sz="6" w:space="0" w:color="auto"/>
            </w:tcBorders>
          </w:tcPr>
          <w:p w14:paraId="72CE7873" w14:textId="77777777" w:rsidR="00CB4E93" w:rsidRPr="00A9330B" w:rsidRDefault="00CB4E93" w:rsidP="00CB4E93">
            <w:pPr>
              <w:widowControl w:val="0"/>
              <w:autoSpaceDE w:val="0"/>
              <w:autoSpaceDN w:val="0"/>
              <w:adjustRightInd w:val="0"/>
              <w:spacing w:before="60" w:line="240" w:lineRule="auto"/>
              <w:jc w:val="both"/>
              <w:rPr>
                <w:rFonts w:eastAsia="Calibri" w:cs="Arial"/>
                <w:color w:val="auto"/>
                <w:sz w:val="18"/>
                <w:szCs w:val="18"/>
              </w:rPr>
            </w:pPr>
            <w:r w:rsidRPr="00A9330B">
              <w:rPr>
                <w:rFonts w:eastAsia="Calibri" w:cs="Arial"/>
                <w:color w:val="auto"/>
                <w:sz w:val="18"/>
                <w:szCs w:val="18"/>
              </w:rPr>
              <w:lastRenderedPageBreak/>
              <w:t>2.8.a.2.4. Respecter les prescriptions environnementales (installation de chantier, entretien des véhicules et engins, gestion des substances dangereuses…)</w:t>
            </w:r>
          </w:p>
        </w:tc>
        <w:tc>
          <w:tcPr>
            <w:tcW w:w="916" w:type="pct"/>
            <w:tcBorders>
              <w:top w:val="single" w:sz="6" w:space="0" w:color="auto"/>
              <w:left w:val="single" w:sz="6" w:space="0" w:color="auto"/>
              <w:bottom w:val="single" w:sz="6" w:space="0" w:color="auto"/>
              <w:right w:val="single" w:sz="6" w:space="0" w:color="auto"/>
            </w:tcBorders>
          </w:tcPr>
          <w:p w14:paraId="75EFC032" w14:textId="77777777" w:rsidR="00CB4E93" w:rsidRPr="00A9330B" w:rsidRDefault="00CB4E93" w:rsidP="00CB4E93">
            <w:pPr>
              <w:widowControl w:val="0"/>
              <w:autoSpaceDE w:val="0"/>
              <w:autoSpaceDN w:val="0"/>
              <w:adjustRightInd w:val="0"/>
              <w:spacing w:before="60" w:line="240" w:lineRule="auto"/>
              <w:jc w:val="both"/>
              <w:rPr>
                <w:rFonts w:eastAsia="Calibri" w:cs="Arial"/>
                <w:color w:val="auto"/>
                <w:sz w:val="18"/>
                <w:szCs w:val="18"/>
              </w:rPr>
            </w:pPr>
            <w:r w:rsidRPr="00A9330B">
              <w:rPr>
                <w:rFonts w:eastAsia="Calibri" w:cs="Arial"/>
                <w:color w:val="auto"/>
                <w:sz w:val="18"/>
                <w:szCs w:val="18"/>
              </w:rPr>
              <w:t xml:space="preserve">Etat du sol </w:t>
            </w:r>
          </w:p>
          <w:p w14:paraId="09AD3813" w14:textId="77777777" w:rsidR="00CB4E93" w:rsidRPr="00A9330B" w:rsidRDefault="00CB4E93" w:rsidP="00CB4E93">
            <w:pPr>
              <w:widowControl w:val="0"/>
              <w:autoSpaceDE w:val="0"/>
              <w:autoSpaceDN w:val="0"/>
              <w:adjustRightInd w:val="0"/>
              <w:spacing w:before="60" w:line="240" w:lineRule="auto"/>
              <w:jc w:val="both"/>
              <w:rPr>
                <w:rFonts w:eastAsia="Calibri" w:cs="Arial"/>
                <w:color w:val="auto"/>
                <w:sz w:val="18"/>
                <w:szCs w:val="18"/>
              </w:rPr>
            </w:pPr>
            <w:r w:rsidRPr="00A9330B">
              <w:rPr>
                <w:rFonts w:eastAsia="Calibri" w:cs="Arial"/>
                <w:color w:val="auto"/>
                <w:sz w:val="18"/>
                <w:szCs w:val="18"/>
              </w:rPr>
              <w:t>Absence d’indice de déversement au sol</w:t>
            </w:r>
          </w:p>
          <w:p w14:paraId="554CF8C2" w14:textId="77777777" w:rsidR="00CB4E93" w:rsidRPr="00A9330B" w:rsidRDefault="00CB4E93" w:rsidP="00CB4E93">
            <w:pPr>
              <w:widowControl w:val="0"/>
              <w:autoSpaceDE w:val="0"/>
              <w:autoSpaceDN w:val="0"/>
              <w:adjustRightInd w:val="0"/>
              <w:spacing w:before="60" w:line="240" w:lineRule="auto"/>
              <w:jc w:val="both"/>
              <w:rPr>
                <w:rFonts w:eastAsia="Calibri" w:cs="Arial"/>
                <w:color w:val="auto"/>
                <w:sz w:val="18"/>
                <w:szCs w:val="18"/>
              </w:rPr>
            </w:pPr>
            <w:r w:rsidRPr="00A9330B">
              <w:rPr>
                <w:rFonts w:eastAsia="Calibri" w:cs="Arial"/>
                <w:color w:val="auto"/>
                <w:sz w:val="18"/>
                <w:szCs w:val="18"/>
              </w:rPr>
              <w:t>Absence d’impact d’huiles dans les eaux</w:t>
            </w:r>
          </w:p>
        </w:tc>
        <w:tc>
          <w:tcPr>
            <w:tcW w:w="637" w:type="pct"/>
            <w:tcBorders>
              <w:top w:val="single" w:sz="6" w:space="0" w:color="auto"/>
              <w:left w:val="single" w:sz="6" w:space="0" w:color="auto"/>
              <w:bottom w:val="single" w:sz="6" w:space="0" w:color="auto"/>
              <w:right w:val="single" w:sz="6" w:space="0" w:color="auto"/>
            </w:tcBorders>
          </w:tcPr>
          <w:p w14:paraId="04F00BBD" w14:textId="77777777" w:rsidR="00CB4E93" w:rsidRPr="00A9330B" w:rsidRDefault="00CB4E93" w:rsidP="00CB4E93">
            <w:pPr>
              <w:widowControl w:val="0"/>
              <w:autoSpaceDE w:val="0"/>
              <w:autoSpaceDN w:val="0"/>
              <w:adjustRightInd w:val="0"/>
              <w:spacing w:before="60" w:line="240" w:lineRule="auto"/>
              <w:jc w:val="center"/>
              <w:rPr>
                <w:rFonts w:eastAsia="Calibri" w:cs="Arial"/>
                <w:color w:val="auto"/>
                <w:sz w:val="18"/>
                <w:szCs w:val="18"/>
              </w:rPr>
            </w:pPr>
            <w:r w:rsidRPr="00A9330B">
              <w:rPr>
                <w:rFonts w:eastAsia="Calibri" w:cs="Arial"/>
                <w:color w:val="auto"/>
                <w:sz w:val="18"/>
                <w:szCs w:val="18"/>
              </w:rPr>
              <w:t>Pendant toutes les phases du projet</w:t>
            </w:r>
          </w:p>
          <w:p w14:paraId="07FEFC4C" w14:textId="77777777" w:rsidR="00CB4E93" w:rsidRPr="00A9330B" w:rsidRDefault="00CB4E93" w:rsidP="00CB4E93">
            <w:pPr>
              <w:widowControl w:val="0"/>
              <w:autoSpaceDE w:val="0"/>
              <w:autoSpaceDN w:val="0"/>
              <w:adjustRightInd w:val="0"/>
              <w:spacing w:before="60" w:line="240" w:lineRule="auto"/>
              <w:jc w:val="center"/>
              <w:rPr>
                <w:rFonts w:eastAsia="Calibri" w:cs="Arial"/>
                <w:color w:val="auto"/>
                <w:sz w:val="18"/>
                <w:szCs w:val="18"/>
              </w:rPr>
            </w:pPr>
          </w:p>
          <w:p w14:paraId="5C21B0A5" w14:textId="77777777" w:rsidR="00CB4E93" w:rsidRPr="00A9330B" w:rsidRDefault="00CB4E93" w:rsidP="00CB4E93">
            <w:pPr>
              <w:widowControl w:val="0"/>
              <w:autoSpaceDE w:val="0"/>
              <w:autoSpaceDN w:val="0"/>
              <w:adjustRightInd w:val="0"/>
              <w:spacing w:before="60" w:line="240" w:lineRule="auto"/>
              <w:jc w:val="center"/>
              <w:rPr>
                <w:rFonts w:eastAsia="Calibri" w:cs="Arial"/>
                <w:color w:val="auto"/>
                <w:sz w:val="18"/>
                <w:szCs w:val="18"/>
              </w:rPr>
            </w:pPr>
          </w:p>
        </w:tc>
        <w:tc>
          <w:tcPr>
            <w:tcW w:w="657" w:type="pct"/>
            <w:tcBorders>
              <w:top w:val="single" w:sz="6" w:space="0" w:color="auto"/>
              <w:left w:val="single" w:sz="6" w:space="0" w:color="auto"/>
              <w:bottom w:val="single" w:sz="6" w:space="0" w:color="auto"/>
              <w:right w:val="single" w:sz="6" w:space="0" w:color="auto"/>
            </w:tcBorders>
          </w:tcPr>
          <w:p w14:paraId="13829D42" w14:textId="77777777" w:rsidR="00CB4E93" w:rsidRPr="00A9330B" w:rsidRDefault="00CB4E93" w:rsidP="00CB4E93">
            <w:pPr>
              <w:widowControl w:val="0"/>
              <w:autoSpaceDE w:val="0"/>
              <w:autoSpaceDN w:val="0"/>
              <w:adjustRightInd w:val="0"/>
              <w:spacing w:before="60" w:line="240" w:lineRule="auto"/>
              <w:jc w:val="center"/>
              <w:rPr>
                <w:rFonts w:eastAsia="Calibri" w:cs="Arial"/>
                <w:color w:val="auto"/>
                <w:sz w:val="18"/>
                <w:szCs w:val="18"/>
              </w:rPr>
            </w:pPr>
            <w:r w:rsidRPr="00A9330B">
              <w:rPr>
                <w:rFonts w:eastAsia="Calibri" w:cs="Arial"/>
                <w:color w:val="auto"/>
                <w:sz w:val="18"/>
                <w:szCs w:val="18"/>
              </w:rPr>
              <w:t>MDC</w:t>
            </w:r>
          </w:p>
          <w:p w14:paraId="14D7B55C" w14:textId="77777777" w:rsidR="00CB4E93" w:rsidRPr="00A9330B" w:rsidRDefault="00CB4E93" w:rsidP="00CB4E93">
            <w:pPr>
              <w:widowControl w:val="0"/>
              <w:autoSpaceDE w:val="0"/>
              <w:autoSpaceDN w:val="0"/>
              <w:adjustRightInd w:val="0"/>
              <w:spacing w:before="60" w:line="240" w:lineRule="auto"/>
              <w:jc w:val="center"/>
              <w:rPr>
                <w:rFonts w:eastAsia="Calibri" w:cs="Arial"/>
                <w:color w:val="auto"/>
                <w:sz w:val="18"/>
                <w:szCs w:val="18"/>
              </w:rPr>
            </w:pPr>
            <w:r w:rsidRPr="00A9330B">
              <w:rPr>
                <w:rFonts w:eastAsia="Calibri" w:cs="Arial"/>
                <w:color w:val="auto"/>
                <w:sz w:val="18"/>
                <w:szCs w:val="18"/>
              </w:rPr>
              <w:t>Entreprise chargée des travaux</w:t>
            </w:r>
          </w:p>
          <w:p w14:paraId="32554FBB" w14:textId="77777777" w:rsidR="00CB4E93" w:rsidRPr="00A9330B" w:rsidRDefault="00CB4E93" w:rsidP="00CB4E93">
            <w:pPr>
              <w:widowControl w:val="0"/>
              <w:autoSpaceDE w:val="0"/>
              <w:autoSpaceDN w:val="0"/>
              <w:adjustRightInd w:val="0"/>
              <w:spacing w:before="60" w:line="240" w:lineRule="auto"/>
              <w:jc w:val="center"/>
              <w:rPr>
                <w:rFonts w:eastAsia="Calibri" w:cs="Arial"/>
                <w:color w:val="auto"/>
                <w:sz w:val="18"/>
                <w:szCs w:val="18"/>
              </w:rPr>
            </w:pPr>
          </w:p>
          <w:p w14:paraId="0DE09373" w14:textId="77777777" w:rsidR="00CB4E93" w:rsidRPr="00A9330B" w:rsidRDefault="00CB4E93" w:rsidP="00CB4E93">
            <w:pPr>
              <w:widowControl w:val="0"/>
              <w:autoSpaceDE w:val="0"/>
              <w:autoSpaceDN w:val="0"/>
              <w:adjustRightInd w:val="0"/>
              <w:spacing w:before="60" w:line="240" w:lineRule="auto"/>
              <w:jc w:val="center"/>
              <w:rPr>
                <w:rFonts w:eastAsia="Calibri" w:cs="Arial"/>
                <w:color w:val="auto"/>
                <w:sz w:val="18"/>
                <w:szCs w:val="18"/>
              </w:rPr>
            </w:pPr>
          </w:p>
        </w:tc>
        <w:tc>
          <w:tcPr>
            <w:tcW w:w="897" w:type="pct"/>
            <w:tcBorders>
              <w:top w:val="single" w:sz="6" w:space="0" w:color="auto"/>
              <w:left w:val="single" w:sz="6" w:space="0" w:color="auto"/>
              <w:bottom w:val="single" w:sz="6" w:space="0" w:color="auto"/>
              <w:right w:val="single" w:sz="8" w:space="0" w:color="auto"/>
            </w:tcBorders>
          </w:tcPr>
          <w:p w14:paraId="7B85666F" w14:textId="77777777" w:rsidR="00CB4E93" w:rsidRPr="00A9330B" w:rsidRDefault="00CB4E93" w:rsidP="00CB4E93">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t>Mairie de Natitingou (Services Techniques)</w:t>
            </w:r>
          </w:p>
          <w:p w14:paraId="47B7B15A" w14:textId="77777777" w:rsidR="00CB4E93" w:rsidRPr="00A9330B" w:rsidRDefault="00CB4E93" w:rsidP="00CB4E93">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t>DDCVDD- AD</w:t>
            </w:r>
          </w:p>
        </w:tc>
        <w:tc>
          <w:tcPr>
            <w:tcW w:w="897" w:type="pct"/>
            <w:tcBorders>
              <w:top w:val="single" w:sz="6" w:space="0" w:color="auto"/>
              <w:left w:val="single" w:sz="6" w:space="0" w:color="auto"/>
              <w:bottom w:val="single" w:sz="6" w:space="0" w:color="auto"/>
              <w:right w:val="single" w:sz="8" w:space="0" w:color="auto"/>
            </w:tcBorders>
          </w:tcPr>
          <w:p w14:paraId="6D1B9B71" w14:textId="77777777" w:rsidR="00CB4E93" w:rsidRPr="00A9330B" w:rsidRDefault="00CB4E93" w:rsidP="00CB4E93">
            <w:pPr>
              <w:widowControl w:val="0"/>
              <w:autoSpaceDE w:val="0"/>
              <w:autoSpaceDN w:val="0"/>
              <w:adjustRightInd w:val="0"/>
              <w:spacing w:before="60"/>
              <w:rPr>
                <w:rFonts w:eastAsia="Calibri" w:cs="Arial"/>
                <w:sz w:val="20"/>
                <w:szCs w:val="20"/>
              </w:rPr>
            </w:pPr>
            <w:r w:rsidRPr="00A9330B">
              <w:rPr>
                <w:rFonts w:eastAsia="Calibri" w:cs="Arial"/>
                <w:sz w:val="20"/>
                <w:szCs w:val="20"/>
              </w:rPr>
              <w:t xml:space="preserve">Recrutement d’agents HSE à la mission de contrôle </w:t>
            </w:r>
          </w:p>
          <w:p w14:paraId="57271E68" w14:textId="77777777" w:rsidR="00CB4E93" w:rsidRPr="00A9330B" w:rsidRDefault="00CB4E93" w:rsidP="00CB4E93">
            <w:pPr>
              <w:widowControl w:val="0"/>
              <w:autoSpaceDE w:val="0"/>
              <w:autoSpaceDN w:val="0"/>
              <w:adjustRightInd w:val="0"/>
              <w:spacing w:before="60"/>
              <w:rPr>
                <w:rFonts w:eastAsia="Calibri" w:cs="Arial"/>
                <w:sz w:val="20"/>
                <w:szCs w:val="20"/>
              </w:rPr>
            </w:pPr>
            <w:r w:rsidRPr="00A9330B">
              <w:rPr>
                <w:rFonts w:eastAsia="Calibri" w:cs="Arial"/>
                <w:sz w:val="20"/>
                <w:szCs w:val="20"/>
              </w:rPr>
              <w:t xml:space="preserve">01 Responsable </w:t>
            </w:r>
          </w:p>
          <w:p w14:paraId="12C66C67" w14:textId="77777777" w:rsidR="00CB4E93" w:rsidRPr="00A9330B" w:rsidRDefault="00CB4E93" w:rsidP="00CB4E93">
            <w:pPr>
              <w:widowControl w:val="0"/>
              <w:autoSpaceDE w:val="0"/>
              <w:autoSpaceDN w:val="0"/>
              <w:adjustRightInd w:val="0"/>
              <w:spacing w:before="60"/>
              <w:rPr>
                <w:rFonts w:eastAsia="Calibri" w:cs="Arial"/>
                <w:sz w:val="20"/>
                <w:szCs w:val="20"/>
              </w:rPr>
            </w:pPr>
            <w:r w:rsidRPr="00A9330B">
              <w:rPr>
                <w:rFonts w:eastAsia="Calibri" w:cs="Arial"/>
                <w:sz w:val="20"/>
                <w:szCs w:val="20"/>
              </w:rPr>
              <w:t xml:space="preserve">01 assistant </w:t>
            </w:r>
          </w:p>
          <w:p w14:paraId="61395F1E" w14:textId="77777777" w:rsidR="00CB4E93" w:rsidRPr="00A9330B" w:rsidRDefault="00CB4E93" w:rsidP="00CB4E93">
            <w:pPr>
              <w:widowControl w:val="0"/>
              <w:autoSpaceDE w:val="0"/>
              <w:autoSpaceDN w:val="0"/>
              <w:adjustRightInd w:val="0"/>
              <w:spacing w:before="60" w:line="240" w:lineRule="auto"/>
              <w:rPr>
                <w:rFonts w:eastAsia="Calibri" w:cs="Arial"/>
                <w:color w:val="auto"/>
                <w:sz w:val="18"/>
                <w:szCs w:val="18"/>
              </w:rPr>
            </w:pPr>
            <w:r w:rsidRPr="00A9330B">
              <w:rPr>
                <w:rFonts w:eastAsia="Calibri" w:cs="Arial"/>
                <w:b/>
                <w:sz w:val="20"/>
                <w:szCs w:val="20"/>
              </w:rPr>
              <w:t>Coût : 24 000 000 F CFA / an</w:t>
            </w:r>
          </w:p>
        </w:tc>
      </w:tr>
      <w:tr w:rsidR="00CB4E93" w:rsidRPr="00A9330B" w14:paraId="32E288F5" w14:textId="77777777" w:rsidTr="00CB4E93">
        <w:trPr>
          <w:trHeight w:val="832"/>
        </w:trPr>
        <w:tc>
          <w:tcPr>
            <w:tcW w:w="996" w:type="pct"/>
            <w:tcBorders>
              <w:top w:val="single" w:sz="6" w:space="0" w:color="auto"/>
              <w:left w:val="single" w:sz="8" w:space="0" w:color="auto"/>
              <w:bottom w:val="single" w:sz="6" w:space="0" w:color="auto"/>
              <w:right w:val="single" w:sz="6" w:space="0" w:color="auto"/>
            </w:tcBorders>
          </w:tcPr>
          <w:p w14:paraId="179D5D59" w14:textId="77777777" w:rsidR="00CB4E93" w:rsidRPr="00A9330B" w:rsidRDefault="00CB4E93" w:rsidP="00CB4E93">
            <w:pPr>
              <w:widowControl w:val="0"/>
              <w:spacing w:before="60" w:line="240" w:lineRule="auto"/>
              <w:rPr>
                <w:rFonts w:eastAsia="Calibri" w:cs="Arial"/>
                <w:color w:val="auto"/>
                <w:sz w:val="18"/>
                <w:szCs w:val="18"/>
              </w:rPr>
            </w:pPr>
            <w:r w:rsidRPr="00A9330B">
              <w:rPr>
                <w:rFonts w:eastAsia="Calibri" w:cs="Arial"/>
                <w:color w:val="auto"/>
                <w:sz w:val="18"/>
                <w:szCs w:val="18"/>
              </w:rPr>
              <w:t>2.8.a.5.3.</w:t>
            </w:r>
          </w:p>
          <w:p w14:paraId="0B12EEAF" w14:textId="77777777" w:rsidR="00CB4E93" w:rsidRPr="00A9330B" w:rsidRDefault="00CB4E93" w:rsidP="00CB4E93">
            <w:pPr>
              <w:widowControl w:val="0"/>
              <w:spacing w:before="60" w:line="240" w:lineRule="auto"/>
              <w:rPr>
                <w:rFonts w:eastAsia="Calibri" w:cs="Arial"/>
                <w:color w:val="auto"/>
                <w:sz w:val="18"/>
                <w:szCs w:val="18"/>
              </w:rPr>
            </w:pPr>
            <w:r w:rsidRPr="00A9330B">
              <w:rPr>
                <w:rFonts w:eastAsia="Calibri" w:cs="Arial"/>
                <w:color w:val="auto"/>
                <w:sz w:val="18"/>
                <w:szCs w:val="18"/>
              </w:rPr>
              <w:t>Elaborer et mettre en œuvre un plan de communication et de sensibilisation pour la libération des emprises des  routes et collecteurs à aménager</w:t>
            </w:r>
          </w:p>
        </w:tc>
        <w:tc>
          <w:tcPr>
            <w:tcW w:w="916" w:type="pct"/>
            <w:tcBorders>
              <w:top w:val="single" w:sz="6" w:space="0" w:color="auto"/>
              <w:left w:val="single" w:sz="6" w:space="0" w:color="auto"/>
              <w:bottom w:val="single" w:sz="6" w:space="0" w:color="auto"/>
              <w:right w:val="single" w:sz="6" w:space="0" w:color="auto"/>
            </w:tcBorders>
          </w:tcPr>
          <w:p w14:paraId="705B70C2" w14:textId="77777777" w:rsidR="00CB4E93" w:rsidRPr="00A9330B" w:rsidRDefault="00CB4E93" w:rsidP="00CB4E93">
            <w:pPr>
              <w:widowControl w:val="0"/>
              <w:autoSpaceDE w:val="0"/>
              <w:autoSpaceDN w:val="0"/>
              <w:adjustRightInd w:val="0"/>
              <w:spacing w:before="60" w:line="240" w:lineRule="auto"/>
              <w:jc w:val="both"/>
              <w:rPr>
                <w:rFonts w:eastAsia="Calibri" w:cs="Arial"/>
                <w:color w:val="auto"/>
                <w:sz w:val="18"/>
                <w:szCs w:val="18"/>
              </w:rPr>
            </w:pPr>
            <w:r w:rsidRPr="00A9330B">
              <w:rPr>
                <w:rFonts w:eastAsia="Calibri" w:cs="Arial"/>
                <w:color w:val="auto"/>
                <w:sz w:val="18"/>
                <w:szCs w:val="18"/>
              </w:rPr>
              <w:t xml:space="preserve">Rapport de séance de sensibilisation effectué </w:t>
            </w:r>
          </w:p>
          <w:p w14:paraId="7F01C3B9" w14:textId="77777777" w:rsidR="00CB4E93" w:rsidRPr="00A9330B" w:rsidRDefault="00CB4E93" w:rsidP="00CB4E93">
            <w:pPr>
              <w:widowControl w:val="0"/>
              <w:autoSpaceDE w:val="0"/>
              <w:autoSpaceDN w:val="0"/>
              <w:adjustRightInd w:val="0"/>
              <w:spacing w:before="60" w:line="240" w:lineRule="auto"/>
              <w:jc w:val="both"/>
              <w:rPr>
                <w:rFonts w:eastAsia="Calibri" w:cs="Arial"/>
                <w:color w:val="auto"/>
                <w:sz w:val="18"/>
                <w:szCs w:val="18"/>
              </w:rPr>
            </w:pPr>
            <w:r w:rsidRPr="00A9330B">
              <w:rPr>
                <w:rFonts w:eastAsia="Calibri" w:cs="Arial"/>
                <w:color w:val="auto"/>
                <w:sz w:val="18"/>
                <w:szCs w:val="18"/>
              </w:rPr>
              <w:t xml:space="preserve">Contrat de prestation avec les médias </w:t>
            </w:r>
          </w:p>
          <w:p w14:paraId="01BE9D27" w14:textId="77777777" w:rsidR="00CB4E93" w:rsidRPr="00A9330B" w:rsidRDefault="00CB4E93" w:rsidP="00CB4E93">
            <w:pPr>
              <w:widowControl w:val="0"/>
              <w:spacing w:before="60" w:line="240" w:lineRule="auto"/>
              <w:jc w:val="both"/>
              <w:rPr>
                <w:rFonts w:eastAsia="Calibri" w:cs="Arial"/>
                <w:color w:val="auto"/>
                <w:sz w:val="18"/>
                <w:szCs w:val="18"/>
              </w:rPr>
            </w:pPr>
            <w:r w:rsidRPr="00A9330B">
              <w:rPr>
                <w:rFonts w:eastAsia="Calibri" w:cs="Arial"/>
                <w:color w:val="auto"/>
                <w:sz w:val="18"/>
                <w:szCs w:val="18"/>
              </w:rPr>
              <w:t>PV de réunions et de séances de sensibilisation organisées avec les PAPs</w:t>
            </w:r>
          </w:p>
          <w:p w14:paraId="089F87E9" w14:textId="77777777" w:rsidR="00CB4E93" w:rsidRPr="00A9330B" w:rsidRDefault="00CB4E93" w:rsidP="00CB4E93">
            <w:pPr>
              <w:widowControl w:val="0"/>
              <w:spacing w:before="60" w:line="240" w:lineRule="auto"/>
              <w:jc w:val="both"/>
              <w:rPr>
                <w:rFonts w:eastAsia="Calibri" w:cs="Arial"/>
                <w:color w:val="auto"/>
                <w:sz w:val="18"/>
                <w:szCs w:val="18"/>
              </w:rPr>
            </w:pPr>
            <w:r w:rsidRPr="00A9330B">
              <w:rPr>
                <w:rFonts w:eastAsia="Calibri" w:cs="Arial"/>
                <w:color w:val="auto"/>
                <w:sz w:val="18"/>
                <w:szCs w:val="18"/>
              </w:rPr>
              <w:t>Nombre de plaintes enregistrées et gérées</w:t>
            </w:r>
          </w:p>
        </w:tc>
        <w:tc>
          <w:tcPr>
            <w:tcW w:w="637" w:type="pct"/>
            <w:tcBorders>
              <w:top w:val="single" w:sz="6" w:space="0" w:color="auto"/>
              <w:left w:val="single" w:sz="6" w:space="0" w:color="auto"/>
              <w:bottom w:val="single" w:sz="6" w:space="0" w:color="auto"/>
              <w:right w:val="single" w:sz="6" w:space="0" w:color="auto"/>
            </w:tcBorders>
          </w:tcPr>
          <w:p w14:paraId="6B2DA599" w14:textId="77777777" w:rsidR="00CB4E93" w:rsidRPr="00A9330B" w:rsidRDefault="00CB4E93" w:rsidP="00CB4E93">
            <w:pPr>
              <w:widowControl w:val="0"/>
              <w:autoSpaceDE w:val="0"/>
              <w:autoSpaceDN w:val="0"/>
              <w:adjustRightInd w:val="0"/>
              <w:spacing w:before="60" w:line="240" w:lineRule="auto"/>
              <w:jc w:val="center"/>
              <w:rPr>
                <w:rFonts w:eastAsia="Calibri" w:cs="Arial"/>
                <w:color w:val="auto"/>
                <w:sz w:val="18"/>
                <w:szCs w:val="18"/>
              </w:rPr>
            </w:pPr>
            <w:r w:rsidRPr="00A9330B">
              <w:rPr>
                <w:rFonts w:eastAsia="Calibri" w:cs="Arial"/>
                <w:color w:val="auto"/>
                <w:sz w:val="18"/>
                <w:szCs w:val="18"/>
              </w:rPr>
              <w:t>Pendant toutes les phases du projet</w:t>
            </w:r>
          </w:p>
          <w:p w14:paraId="5136D901" w14:textId="77777777" w:rsidR="00CB4E93" w:rsidRPr="00A9330B" w:rsidRDefault="00CB4E93" w:rsidP="00CB4E93">
            <w:pPr>
              <w:widowControl w:val="0"/>
              <w:autoSpaceDE w:val="0"/>
              <w:autoSpaceDN w:val="0"/>
              <w:adjustRightInd w:val="0"/>
              <w:spacing w:before="60" w:line="240" w:lineRule="auto"/>
              <w:jc w:val="center"/>
              <w:rPr>
                <w:rFonts w:eastAsia="Calibri" w:cs="Arial"/>
                <w:color w:val="auto"/>
                <w:sz w:val="18"/>
                <w:szCs w:val="18"/>
              </w:rPr>
            </w:pPr>
          </w:p>
          <w:p w14:paraId="402FE4CA" w14:textId="77777777" w:rsidR="00CB4E93" w:rsidRPr="00A9330B" w:rsidRDefault="00CB4E93" w:rsidP="00CB4E93">
            <w:pPr>
              <w:widowControl w:val="0"/>
              <w:autoSpaceDE w:val="0"/>
              <w:autoSpaceDN w:val="0"/>
              <w:adjustRightInd w:val="0"/>
              <w:spacing w:before="60" w:line="240" w:lineRule="auto"/>
              <w:jc w:val="center"/>
              <w:rPr>
                <w:rFonts w:eastAsia="Calibri" w:cs="Arial"/>
                <w:color w:val="auto"/>
                <w:sz w:val="18"/>
                <w:szCs w:val="18"/>
              </w:rPr>
            </w:pPr>
          </w:p>
        </w:tc>
        <w:tc>
          <w:tcPr>
            <w:tcW w:w="657" w:type="pct"/>
            <w:tcBorders>
              <w:top w:val="single" w:sz="6" w:space="0" w:color="auto"/>
              <w:left w:val="single" w:sz="6" w:space="0" w:color="auto"/>
              <w:bottom w:val="single" w:sz="6" w:space="0" w:color="auto"/>
              <w:right w:val="single" w:sz="6" w:space="0" w:color="auto"/>
            </w:tcBorders>
          </w:tcPr>
          <w:p w14:paraId="0868E2AB" w14:textId="77777777" w:rsidR="00CB4E93" w:rsidRPr="00A9330B" w:rsidRDefault="00CB4E93" w:rsidP="00CB4E93">
            <w:pPr>
              <w:widowControl w:val="0"/>
              <w:autoSpaceDE w:val="0"/>
              <w:autoSpaceDN w:val="0"/>
              <w:adjustRightInd w:val="0"/>
              <w:spacing w:before="60" w:line="240" w:lineRule="auto"/>
              <w:jc w:val="center"/>
              <w:rPr>
                <w:rFonts w:eastAsia="Calibri" w:cs="Arial"/>
                <w:color w:val="auto"/>
                <w:sz w:val="18"/>
                <w:szCs w:val="18"/>
              </w:rPr>
            </w:pPr>
            <w:r w:rsidRPr="00A9330B">
              <w:rPr>
                <w:rFonts w:eastAsia="Calibri" w:cs="Arial"/>
                <w:color w:val="auto"/>
                <w:sz w:val="18"/>
                <w:szCs w:val="18"/>
              </w:rPr>
              <w:t>MDC</w:t>
            </w:r>
          </w:p>
          <w:p w14:paraId="3ACC5FF6" w14:textId="77777777" w:rsidR="00CB4E93" w:rsidRPr="00A9330B" w:rsidRDefault="00CB4E93" w:rsidP="00CB4E93">
            <w:pPr>
              <w:widowControl w:val="0"/>
              <w:autoSpaceDE w:val="0"/>
              <w:autoSpaceDN w:val="0"/>
              <w:adjustRightInd w:val="0"/>
              <w:spacing w:before="60" w:line="240" w:lineRule="auto"/>
              <w:jc w:val="center"/>
              <w:rPr>
                <w:rFonts w:eastAsia="Calibri" w:cs="Arial"/>
                <w:color w:val="auto"/>
                <w:sz w:val="18"/>
                <w:szCs w:val="18"/>
              </w:rPr>
            </w:pPr>
            <w:r w:rsidRPr="00A9330B">
              <w:rPr>
                <w:rFonts w:eastAsia="Calibri" w:cs="Arial"/>
                <w:color w:val="auto"/>
                <w:sz w:val="18"/>
                <w:szCs w:val="18"/>
              </w:rPr>
              <w:t>Entreprise chargée des travaux</w:t>
            </w:r>
          </w:p>
          <w:p w14:paraId="4D8A2FCA" w14:textId="77777777" w:rsidR="00CB4E93" w:rsidRPr="00A9330B" w:rsidRDefault="00CB4E93" w:rsidP="00CB4E93">
            <w:pPr>
              <w:widowControl w:val="0"/>
              <w:autoSpaceDE w:val="0"/>
              <w:autoSpaceDN w:val="0"/>
              <w:adjustRightInd w:val="0"/>
              <w:spacing w:before="60" w:line="240" w:lineRule="auto"/>
              <w:jc w:val="center"/>
              <w:rPr>
                <w:rFonts w:eastAsia="Calibri" w:cs="Arial"/>
                <w:color w:val="auto"/>
                <w:sz w:val="18"/>
                <w:szCs w:val="18"/>
              </w:rPr>
            </w:pPr>
          </w:p>
        </w:tc>
        <w:tc>
          <w:tcPr>
            <w:tcW w:w="897" w:type="pct"/>
            <w:tcBorders>
              <w:top w:val="single" w:sz="6" w:space="0" w:color="auto"/>
              <w:left w:val="single" w:sz="6" w:space="0" w:color="auto"/>
              <w:bottom w:val="single" w:sz="6" w:space="0" w:color="auto"/>
              <w:right w:val="single" w:sz="8" w:space="0" w:color="auto"/>
            </w:tcBorders>
          </w:tcPr>
          <w:p w14:paraId="495846E7" w14:textId="77777777" w:rsidR="00CB4E93" w:rsidRPr="00A9330B" w:rsidRDefault="00CB4E93" w:rsidP="00CB4E93">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t>Mairie de Natitingou (Services Techniques)</w:t>
            </w:r>
          </w:p>
          <w:p w14:paraId="5AA4E2AF" w14:textId="77777777" w:rsidR="00CB4E93" w:rsidRPr="00A9330B" w:rsidRDefault="00CB4E93" w:rsidP="00CB4E93">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t>DDCVDD-AD</w:t>
            </w:r>
          </w:p>
          <w:p w14:paraId="02993A74" w14:textId="77777777" w:rsidR="00CB4E93" w:rsidRPr="00A9330B" w:rsidRDefault="00CB4E93" w:rsidP="00CB4E93">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t>Direction Départementale des Infrastructures et des Transports</w:t>
            </w:r>
          </w:p>
        </w:tc>
        <w:tc>
          <w:tcPr>
            <w:tcW w:w="897" w:type="pct"/>
            <w:tcBorders>
              <w:top w:val="single" w:sz="6" w:space="0" w:color="auto"/>
              <w:left w:val="single" w:sz="6" w:space="0" w:color="auto"/>
              <w:bottom w:val="single" w:sz="6" w:space="0" w:color="auto"/>
              <w:right w:val="single" w:sz="8" w:space="0" w:color="auto"/>
            </w:tcBorders>
          </w:tcPr>
          <w:p w14:paraId="4B6436AD" w14:textId="77777777" w:rsidR="00CB4E93" w:rsidRPr="00A9330B" w:rsidRDefault="00CB4E93" w:rsidP="00CB4E93">
            <w:pPr>
              <w:widowControl w:val="0"/>
              <w:autoSpaceDE w:val="0"/>
              <w:autoSpaceDN w:val="0"/>
              <w:adjustRightInd w:val="0"/>
              <w:spacing w:before="60" w:line="240" w:lineRule="auto"/>
              <w:rPr>
                <w:rFonts w:eastAsia="Calibri" w:cs="Arial"/>
                <w:sz w:val="20"/>
                <w:szCs w:val="20"/>
              </w:rPr>
            </w:pPr>
            <w:r w:rsidRPr="00A9330B">
              <w:rPr>
                <w:rFonts w:eastAsia="Calibri" w:cs="Arial"/>
                <w:sz w:val="20"/>
                <w:szCs w:val="20"/>
              </w:rPr>
              <w:t>Sensibilisation par les crieurs publics, les radios locales et porte à porte par les agents HSE (03 séquences espacées de deux semaines)</w:t>
            </w:r>
          </w:p>
          <w:p w14:paraId="5E927014" w14:textId="77777777" w:rsidR="00CB4E93" w:rsidRPr="00A9330B" w:rsidRDefault="00CB4E93" w:rsidP="00CB4E93">
            <w:pPr>
              <w:widowControl w:val="0"/>
              <w:autoSpaceDE w:val="0"/>
              <w:autoSpaceDN w:val="0"/>
              <w:adjustRightInd w:val="0"/>
              <w:spacing w:before="60" w:line="240" w:lineRule="auto"/>
              <w:rPr>
                <w:rFonts w:eastAsia="Calibri" w:cs="Arial"/>
                <w:color w:val="auto"/>
                <w:sz w:val="18"/>
                <w:szCs w:val="18"/>
              </w:rPr>
            </w:pPr>
            <w:r w:rsidRPr="00A9330B">
              <w:rPr>
                <w:rFonts w:eastAsia="Calibri" w:cs="Arial"/>
                <w:b/>
                <w:sz w:val="20"/>
                <w:szCs w:val="20"/>
              </w:rPr>
              <w:t>Cout :   2 100 000  FCFA</w:t>
            </w:r>
          </w:p>
        </w:tc>
      </w:tr>
      <w:tr w:rsidR="00CB4E93" w:rsidRPr="00A9330B" w14:paraId="732AADC9" w14:textId="77777777" w:rsidTr="00CB4E93">
        <w:trPr>
          <w:trHeight w:val="1105"/>
        </w:trPr>
        <w:tc>
          <w:tcPr>
            <w:tcW w:w="996" w:type="pct"/>
            <w:tcBorders>
              <w:top w:val="single" w:sz="6" w:space="0" w:color="auto"/>
              <w:left w:val="single" w:sz="8" w:space="0" w:color="auto"/>
              <w:bottom w:val="single" w:sz="6" w:space="0" w:color="auto"/>
              <w:right w:val="single" w:sz="6" w:space="0" w:color="auto"/>
            </w:tcBorders>
          </w:tcPr>
          <w:p w14:paraId="37ACE2BD" w14:textId="77777777" w:rsidR="00CB4E93" w:rsidRPr="00A9330B" w:rsidRDefault="00CB4E93" w:rsidP="00CB4E93">
            <w:pPr>
              <w:widowControl w:val="0"/>
              <w:spacing w:before="60" w:line="240" w:lineRule="auto"/>
              <w:jc w:val="both"/>
              <w:rPr>
                <w:rFonts w:eastAsia="Calibri" w:cs="Arial"/>
                <w:color w:val="auto"/>
                <w:sz w:val="18"/>
                <w:szCs w:val="18"/>
              </w:rPr>
            </w:pPr>
            <w:r w:rsidRPr="00A9330B">
              <w:rPr>
                <w:rFonts w:eastAsia="Calibri" w:cs="Arial"/>
                <w:color w:val="auto"/>
                <w:sz w:val="18"/>
                <w:szCs w:val="18"/>
              </w:rPr>
              <w:t xml:space="preserve">2.8.a.6.1. Travailler en collaboration avec les concessionnaires pour réduire les dommages sur les réseaux et bénéficier d’une intervention prompte en cas de dommage </w:t>
            </w:r>
          </w:p>
        </w:tc>
        <w:tc>
          <w:tcPr>
            <w:tcW w:w="916" w:type="pct"/>
            <w:tcBorders>
              <w:top w:val="single" w:sz="6" w:space="0" w:color="auto"/>
              <w:left w:val="single" w:sz="6" w:space="0" w:color="auto"/>
              <w:bottom w:val="single" w:sz="6" w:space="0" w:color="auto"/>
              <w:right w:val="single" w:sz="6" w:space="0" w:color="auto"/>
            </w:tcBorders>
          </w:tcPr>
          <w:p w14:paraId="7E834E4A" w14:textId="77777777" w:rsidR="00CB4E93" w:rsidRPr="00A9330B" w:rsidRDefault="00CB4E93" w:rsidP="00CB4E93">
            <w:pPr>
              <w:widowControl w:val="0"/>
              <w:autoSpaceDE w:val="0"/>
              <w:autoSpaceDN w:val="0"/>
              <w:adjustRightInd w:val="0"/>
              <w:spacing w:before="60" w:line="240" w:lineRule="auto"/>
              <w:jc w:val="both"/>
              <w:rPr>
                <w:rFonts w:eastAsia="Calibri" w:cs="Arial"/>
                <w:color w:val="auto"/>
                <w:sz w:val="18"/>
                <w:szCs w:val="18"/>
              </w:rPr>
            </w:pPr>
            <w:r w:rsidRPr="00A9330B">
              <w:rPr>
                <w:rFonts w:eastAsia="Calibri" w:cs="Arial"/>
                <w:color w:val="auto"/>
                <w:sz w:val="18"/>
                <w:szCs w:val="18"/>
              </w:rPr>
              <w:t xml:space="preserve">Existence de rapport de réhabilitation des réseaux </w:t>
            </w:r>
          </w:p>
          <w:p w14:paraId="0E5F60BA" w14:textId="77777777" w:rsidR="00CB4E93" w:rsidRPr="00A9330B" w:rsidRDefault="00CB4E93" w:rsidP="00CB4E93">
            <w:pPr>
              <w:widowControl w:val="0"/>
              <w:autoSpaceDE w:val="0"/>
              <w:autoSpaceDN w:val="0"/>
              <w:adjustRightInd w:val="0"/>
              <w:spacing w:before="60" w:line="240" w:lineRule="auto"/>
              <w:jc w:val="both"/>
              <w:rPr>
                <w:rFonts w:eastAsia="Calibri" w:cs="Arial"/>
                <w:color w:val="auto"/>
                <w:sz w:val="18"/>
                <w:szCs w:val="18"/>
              </w:rPr>
            </w:pPr>
            <w:r w:rsidRPr="00A9330B">
              <w:rPr>
                <w:rFonts w:eastAsia="Calibri" w:cs="Arial"/>
                <w:color w:val="auto"/>
                <w:sz w:val="18"/>
                <w:szCs w:val="18"/>
              </w:rPr>
              <w:t xml:space="preserve">Nombre de casses réparés sur réseaux existants </w:t>
            </w:r>
          </w:p>
          <w:p w14:paraId="7C0E6C26" w14:textId="77777777" w:rsidR="00CB4E93" w:rsidRPr="00A9330B" w:rsidRDefault="00CB4E93" w:rsidP="00CB4E93">
            <w:pPr>
              <w:widowControl w:val="0"/>
              <w:autoSpaceDE w:val="0"/>
              <w:autoSpaceDN w:val="0"/>
              <w:adjustRightInd w:val="0"/>
              <w:spacing w:before="60" w:line="240" w:lineRule="auto"/>
              <w:jc w:val="both"/>
              <w:rPr>
                <w:rFonts w:eastAsia="Calibri" w:cs="Arial"/>
                <w:color w:val="auto"/>
                <w:sz w:val="18"/>
                <w:szCs w:val="18"/>
              </w:rPr>
            </w:pPr>
            <w:r w:rsidRPr="00A9330B">
              <w:rPr>
                <w:rFonts w:eastAsia="Calibri" w:cs="Arial"/>
                <w:color w:val="auto"/>
                <w:sz w:val="18"/>
                <w:szCs w:val="18"/>
              </w:rPr>
              <w:t>Nombre de plaintes des riverains enregistrées et gérées</w:t>
            </w:r>
          </w:p>
        </w:tc>
        <w:tc>
          <w:tcPr>
            <w:tcW w:w="637" w:type="pct"/>
            <w:tcBorders>
              <w:top w:val="single" w:sz="6" w:space="0" w:color="auto"/>
              <w:left w:val="single" w:sz="6" w:space="0" w:color="auto"/>
              <w:bottom w:val="single" w:sz="6" w:space="0" w:color="auto"/>
              <w:right w:val="single" w:sz="6" w:space="0" w:color="auto"/>
            </w:tcBorders>
          </w:tcPr>
          <w:p w14:paraId="5057F0EE" w14:textId="77777777" w:rsidR="00CB4E93" w:rsidRPr="00A9330B" w:rsidRDefault="00CB4E93" w:rsidP="00CB4E93">
            <w:pPr>
              <w:widowControl w:val="0"/>
              <w:spacing w:before="60" w:line="240" w:lineRule="auto"/>
              <w:jc w:val="center"/>
              <w:rPr>
                <w:rFonts w:eastAsia="Calibri" w:cs="Arial"/>
                <w:color w:val="auto"/>
                <w:sz w:val="18"/>
                <w:szCs w:val="18"/>
              </w:rPr>
            </w:pPr>
            <w:r w:rsidRPr="00A9330B">
              <w:rPr>
                <w:rFonts w:eastAsia="Calibri" w:cs="Arial"/>
                <w:color w:val="auto"/>
                <w:sz w:val="18"/>
                <w:szCs w:val="18"/>
              </w:rPr>
              <w:t>Pendant les travaux</w:t>
            </w:r>
          </w:p>
        </w:tc>
        <w:tc>
          <w:tcPr>
            <w:tcW w:w="657" w:type="pct"/>
            <w:tcBorders>
              <w:top w:val="single" w:sz="6" w:space="0" w:color="auto"/>
              <w:left w:val="single" w:sz="6" w:space="0" w:color="auto"/>
              <w:bottom w:val="single" w:sz="6" w:space="0" w:color="auto"/>
              <w:right w:val="single" w:sz="6" w:space="0" w:color="auto"/>
            </w:tcBorders>
          </w:tcPr>
          <w:p w14:paraId="58C2AF81" w14:textId="77777777" w:rsidR="00CB4E93" w:rsidRPr="00A9330B" w:rsidRDefault="00CB4E93" w:rsidP="00CB4E93">
            <w:pPr>
              <w:widowControl w:val="0"/>
              <w:spacing w:before="60" w:line="240" w:lineRule="auto"/>
              <w:jc w:val="center"/>
              <w:rPr>
                <w:rFonts w:eastAsia="Calibri" w:cs="Arial"/>
                <w:color w:val="auto"/>
                <w:sz w:val="18"/>
                <w:szCs w:val="18"/>
              </w:rPr>
            </w:pPr>
            <w:r w:rsidRPr="00A9330B">
              <w:rPr>
                <w:rFonts w:eastAsia="Calibri" w:cs="Arial"/>
                <w:color w:val="auto"/>
                <w:sz w:val="18"/>
                <w:szCs w:val="18"/>
              </w:rPr>
              <w:t>MDC</w:t>
            </w:r>
          </w:p>
          <w:p w14:paraId="3FD3C7EC" w14:textId="77777777" w:rsidR="00CB4E93" w:rsidRPr="00A9330B" w:rsidRDefault="00CB4E93" w:rsidP="00CB4E93">
            <w:pPr>
              <w:widowControl w:val="0"/>
              <w:spacing w:before="60" w:line="240" w:lineRule="auto"/>
              <w:jc w:val="center"/>
              <w:rPr>
                <w:rFonts w:eastAsia="Calibri" w:cs="Arial"/>
                <w:color w:val="auto"/>
                <w:sz w:val="18"/>
                <w:szCs w:val="18"/>
              </w:rPr>
            </w:pPr>
            <w:r w:rsidRPr="00A9330B">
              <w:rPr>
                <w:rFonts w:eastAsia="Calibri" w:cs="Arial"/>
                <w:color w:val="auto"/>
                <w:sz w:val="18"/>
                <w:szCs w:val="18"/>
              </w:rPr>
              <w:t>Entreprise chargée des travaux</w:t>
            </w:r>
          </w:p>
        </w:tc>
        <w:tc>
          <w:tcPr>
            <w:tcW w:w="897" w:type="pct"/>
            <w:tcBorders>
              <w:top w:val="single" w:sz="6" w:space="0" w:color="auto"/>
              <w:left w:val="single" w:sz="6" w:space="0" w:color="auto"/>
              <w:bottom w:val="single" w:sz="6" w:space="0" w:color="auto"/>
              <w:right w:val="single" w:sz="8" w:space="0" w:color="auto"/>
            </w:tcBorders>
          </w:tcPr>
          <w:p w14:paraId="3AA97D54" w14:textId="77777777" w:rsidR="00CB4E93" w:rsidRPr="00A9330B" w:rsidRDefault="00CB4E93" w:rsidP="00CB4E93">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t>Mairie de Natitingou (Services Techniques)</w:t>
            </w:r>
          </w:p>
          <w:p w14:paraId="1339DC21" w14:textId="77777777" w:rsidR="00CB4E93" w:rsidRPr="00A9330B" w:rsidRDefault="00CB4E93" w:rsidP="00CB4E93">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t>DDCVDD-AD</w:t>
            </w:r>
          </w:p>
          <w:p w14:paraId="2DBEA4F2" w14:textId="77777777" w:rsidR="00CB4E93" w:rsidRPr="00A9330B" w:rsidRDefault="00CB4E93" w:rsidP="00CB4E93">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t>SBEE</w:t>
            </w:r>
          </w:p>
          <w:p w14:paraId="05CAB248" w14:textId="77777777" w:rsidR="00CB4E93" w:rsidRPr="00A9330B" w:rsidRDefault="00CB4E93" w:rsidP="00CB4E93">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t>SONEB</w:t>
            </w:r>
          </w:p>
          <w:p w14:paraId="4C2629E1" w14:textId="77777777" w:rsidR="00CB4E93" w:rsidRPr="00A9330B" w:rsidRDefault="00CB4E93" w:rsidP="00CB4E93">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t>BENIN TELECOM, etc.</w:t>
            </w:r>
          </w:p>
        </w:tc>
        <w:tc>
          <w:tcPr>
            <w:tcW w:w="897" w:type="pct"/>
            <w:tcBorders>
              <w:top w:val="single" w:sz="6" w:space="0" w:color="auto"/>
              <w:left w:val="single" w:sz="6" w:space="0" w:color="auto"/>
              <w:bottom w:val="single" w:sz="6" w:space="0" w:color="auto"/>
              <w:right w:val="single" w:sz="8" w:space="0" w:color="auto"/>
            </w:tcBorders>
          </w:tcPr>
          <w:p w14:paraId="6F217FA4" w14:textId="77777777" w:rsidR="00CB4E93" w:rsidRPr="00A9330B" w:rsidRDefault="00CB4E93" w:rsidP="00CB4E93">
            <w:pPr>
              <w:widowControl w:val="0"/>
              <w:autoSpaceDE w:val="0"/>
              <w:autoSpaceDN w:val="0"/>
              <w:adjustRightInd w:val="0"/>
              <w:spacing w:before="60" w:line="240" w:lineRule="auto"/>
              <w:rPr>
                <w:rFonts w:eastAsia="Calibri" w:cs="Arial"/>
                <w:color w:val="auto"/>
                <w:sz w:val="18"/>
                <w:szCs w:val="18"/>
              </w:rPr>
            </w:pPr>
            <w:r w:rsidRPr="00A9330B">
              <w:rPr>
                <w:rFonts w:eastAsia="Calibri" w:cs="Arial"/>
                <w:sz w:val="20"/>
                <w:szCs w:val="20"/>
              </w:rPr>
              <w:t>Intégrer dans sécurité de chantier (DAO travaux</w:t>
            </w:r>
          </w:p>
        </w:tc>
      </w:tr>
      <w:tr w:rsidR="00CB4E93" w:rsidRPr="00A9330B" w14:paraId="0067C431" w14:textId="77777777" w:rsidTr="00CB4E93">
        <w:trPr>
          <w:trHeight w:val="683"/>
        </w:trPr>
        <w:tc>
          <w:tcPr>
            <w:tcW w:w="996" w:type="pct"/>
            <w:tcBorders>
              <w:top w:val="single" w:sz="6" w:space="0" w:color="auto"/>
              <w:left w:val="single" w:sz="8" w:space="0" w:color="auto"/>
              <w:bottom w:val="single" w:sz="6" w:space="0" w:color="auto"/>
              <w:right w:val="single" w:sz="6" w:space="0" w:color="auto"/>
            </w:tcBorders>
          </w:tcPr>
          <w:p w14:paraId="4759F7EC" w14:textId="77777777" w:rsidR="00CB4E93" w:rsidRPr="00A9330B" w:rsidRDefault="00CB4E93" w:rsidP="00CB4E93">
            <w:pPr>
              <w:widowControl w:val="0"/>
              <w:spacing w:before="60" w:line="240" w:lineRule="auto"/>
              <w:jc w:val="both"/>
              <w:rPr>
                <w:rFonts w:eastAsia="Calibri" w:cs="Arial"/>
                <w:color w:val="auto"/>
                <w:sz w:val="18"/>
                <w:szCs w:val="18"/>
              </w:rPr>
            </w:pPr>
            <w:r w:rsidRPr="00A9330B">
              <w:rPr>
                <w:rFonts w:eastAsia="Calibri" w:cs="Arial"/>
                <w:color w:val="auto"/>
                <w:sz w:val="18"/>
                <w:szCs w:val="18"/>
              </w:rPr>
              <w:t>2.8.a.6.2. Informer les populations riveraines et les usagers des réseaux de toute perturbation envisagée</w:t>
            </w:r>
          </w:p>
        </w:tc>
        <w:tc>
          <w:tcPr>
            <w:tcW w:w="916" w:type="pct"/>
            <w:tcBorders>
              <w:top w:val="single" w:sz="6" w:space="0" w:color="auto"/>
              <w:left w:val="single" w:sz="6" w:space="0" w:color="auto"/>
              <w:bottom w:val="single" w:sz="6" w:space="0" w:color="auto"/>
              <w:right w:val="single" w:sz="6" w:space="0" w:color="auto"/>
            </w:tcBorders>
          </w:tcPr>
          <w:p w14:paraId="6188F4F8" w14:textId="77777777" w:rsidR="00CB4E93" w:rsidRPr="00A9330B" w:rsidRDefault="00CB4E93" w:rsidP="00CB4E93">
            <w:pPr>
              <w:widowControl w:val="0"/>
              <w:autoSpaceDE w:val="0"/>
              <w:autoSpaceDN w:val="0"/>
              <w:adjustRightInd w:val="0"/>
              <w:spacing w:before="60" w:line="240" w:lineRule="auto"/>
              <w:jc w:val="both"/>
              <w:rPr>
                <w:rFonts w:eastAsia="Calibri" w:cs="Arial"/>
                <w:color w:val="auto"/>
                <w:sz w:val="18"/>
                <w:szCs w:val="18"/>
              </w:rPr>
            </w:pPr>
            <w:r w:rsidRPr="00A9330B">
              <w:rPr>
                <w:rFonts w:eastAsia="Calibri" w:cs="Arial"/>
                <w:color w:val="auto"/>
                <w:sz w:val="18"/>
                <w:szCs w:val="18"/>
              </w:rPr>
              <w:t>Nombre de plaintes des riverains enregistrées et gérées</w:t>
            </w:r>
          </w:p>
          <w:p w14:paraId="5E2ABEEF" w14:textId="77777777" w:rsidR="00CB4E93" w:rsidRPr="00A9330B" w:rsidRDefault="00CB4E93" w:rsidP="00CB4E93">
            <w:pPr>
              <w:widowControl w:val="0"/>
              <w:autoSpaceDE w:val="0"/>
              <w:autoSpaceDN w:val="0"/>
              <w:adjustRightInd w:val="0"/>
              <w:spacing w:before="60" w:line="240" w:lineRule="auto"/>
              <w:jc w:val="both"/>
              <w:rPr>
                <w:rFonts w:eastAsia="Calibri" w:cs="Arial"/>
                <w:color w:val="auto"/>
                <w:sz w:val="18"/>
                <w:szCs w:val="18"/>
              </w:rPr>
            </w:pPr>
            <w:r w:rsidRPr="00A9330B">
              <w:rPr>
                <w:rFonts w:eastAsia="Calibri" w:cs="Arial"/>
                <w:color w:val="auto"/>
                <w:sz w:val="18"/>
                <w:szCs w:val="18"/>
              </w:rPr>
              <w:t xml:space="preserve">Existence de plan de communication </w:t>
            </w:r>
          </w:p>
          <w:p w14:paraId="28EBC5CB" w14:textId="77777777" w:rsidR="00CB4E93" w:rsidRPr="00A9330B" w:rsidRDefault="00CB4E93" w:rsidP="00CB4E93">
            <w:pPr>
              <w:widowControl w:val="0"/>
              <w:autoSpaceDE w:val="0"/>
              <w:autoSpaceDN w:val="0"/>
              <w:adjustRightInd w:val="0"/>
              <w:spacing w:before="60" w:line="240" w:lineRule="auto"/>
              <w:jc w:val="both"/>
              <w:rPr>
                <w:rFonts w:eastAsia="Calibri" w:cs="Arial"/>
                <w:color w:val="auto"/>
                <w:sz w:val="18"/>
                <w:szCs w:val="18"/>
              </w:rPr>
            </w:pPr>
            <w:r w:rsidRPr="00A9330B">
              <w:rPr>
                <w:rFonts w:eastAsia="Calibri" w:cs="Arial"/>
                <w:color w:val="auto"/>
                <w:sz w:val="18"/>
                <w:szCs w:val="18"/>
              </w:rPr>
              <w:t xml:space="preserve">Existence de façon spécifique de communiqué de presse </w:t>
            </w:r>
          </w:p>
        </w:tc>
        <w:tc>
          <w:tcPr>
            <w:tcW w:w="637" w:type="pct"/>
            <w:tcBorders>
              <w:top w:val="single" w:sz="6" w:space="0" w:color="auto"/>
              <w:left w:val="single" w:sz="6" w:space="0" w:color="auto"/>
              <w:bottom w:val="single" w:sz="6" w:space="0" w:color="auto"/>
              <w:right w:val="single" w:sz="6" w:space="0" w:color="auto"/>
            </w:tcBorders>
          </w:tcPr>
          <w:p w14:paraId="780FD6F5" w14:textId="77777777" w:rsidR="00CB4E93" w:rsidRPr="00A9330B" w:rsidRDefault="00CB4E93" w:rsidP="00CB4E93">
            <w:pPr>
              <w:widowControl w:val="0"/>
              <w:spacing w:before="60" w:line="240" w:lineRule="auto"/>
              <w:jc w:val="center"/>
              <w:rPr>
                <w:rFonts w:eastAsia="Calibri" w:cs="Arial"/>
                <w:color w:val="auto"/>
                <w:sz w:val="18"/>
                <w:szCs w:val="18"/>
              </w:rPr>
            </w:pPr>
            <w:r w:rsidRPr="00A9330B">
              <w:rPr>
                <w:rFonts w:eastAsia="Calibri" w:cs="Arial"/>
                <w:color w:val="auto"/>
                <w:sz w:val="18"/>
                <w:szCs w:val="18"/>
              </w:rPr>
              <w:t>Pendant les travaux</w:t>
            </w:r>
          </w:p>
        </w:tc>
        <w:tc>
          <w:tcPr>
            <w:tcW w:w="657" w:type="pct"/>
            <w:tcBorders>
              <w:top w:val="single" w:sz="6" w:space="0" w:color="auto"/>
              <w:left w:val="single" w:sz="6" w:space="0" w:color="auto"/>
              <w:bottom w:val="single" w:sz="6" w:space="0" w:color="auto"/>
              <w:right w:val="single" w:sz="6" w:space="0" w:color="auto"/>
            </w:tcBorders>
          </w:tcPr>
          <w:p w14:paraId="12B66985" w14:textId="77777777" w:rsidR="00CB4E93" w:rsidRPr="00A9330B" w:rsidRDefault="00CB4E93" w:rsidP="00CB4E93">
            <w:pPr>
              <w:widowControl w:val="0"/>
              <w:spacing w:before="60" w:line="240" w:lineRule="auto"/>
              <w:jc w:val="center"/>
              <w:rPr>
                <w:rFonts w:eastAsia="Calibri" w:cs="Arial"/>
                <w:color w:val="auto"/>
                <w:sz w:val="18"/>
                <w:szCs w:val="18"/>
              </w:rPr>
            </w:pPr>
            <w:r w:rsidRPr="00A9330B">
              <w:rPr>
                <w:rFonts w:eastAsia="Calibri" w:cs="Arial"/>
                <w:color w:val="auto"/>
                <w:sz w:val="18"/>
                <w:szCs w:val="18"/>
              </w:rPr>
              <w:t>MDC</w:t>
            </w:r>
          </w:p>
          <w:p w14:paraId="7AFAD82C" w14:textId="77777777" w:rsidR="00CB4E93" w:rsidRPr="00A9330B" w:rsidRDefault="00CB4E93" w:rsidP="00CB4E93">
            <w:pPr>
              <w:widowControl w:val="0"/>
              <w:spacing w:before="60" w:line="240" w:lineRule="auto"/>
              <w:jc w:val="center"/>
              <w:rPr>
                <w:rFonts w:eastAsia="Calibri" w:cs="Arial"/>
                <w:color w:val="auto"/>
                <w:sz w:val="18"/>
                <w:szCs w:val="18"/>
              </w:rPr>
            </w:pPr>
            <w:r w:rsidRPr="00A9330B">
              <w:rPr>
                <w:rFonts w:eastAsia="Calibri" w:cs="Arial"/>
                <w:color w:val="auto"/>
                <w:sz w:val="18"/>
                <w:szCs w:val="18"/>
              </w:rPr>
              <w:t>Entreprise chargée des travaux</w:t>
            </w:r>
          </w:p>
        </w:tc>
        <w:tc>
          <w:tcPr>
            <w:tcW w:w="897" w:type="pct"/>
            <w:tcBorders>
              <w:top w:val="single" w:sz="6" w:space="0" w:color="auto"/>
              <w:left w:val="single" w:sz="6" w:space="0" w:color="auto"/>
              <w:bottom w:val="single" w:sz="6" w:space="0" w:color="auto"/>
              <w:right w:val="single" w:sz="8" w:space="0" w:color="auto"/>
            </w:tcBorders>
          </w:tcPr>
          <w:p w14:paraId="04440D6B" w14:textId="77777777" w:rsidR="00CB4E93" w:rsidRPr="00A9330B" w:rsidRDefault="00CB4E93" w:rsidP="00CB4E93">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t>Mairie de Natitingou (Services Techniques)</w:t>
            </w:r>
          </w:p>
          <w:p w14:paraId="41C3780B" w14:textId="77777777" w:rsidR="00CB4E93" w:rsidRPr="00A9330B" w:rsidRDefault="00CB4E93" w:rsidP="00CB4E93">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t>DDCVDD-AD</w:t>
            </w:r>
          </w:p>
          <w:p w14:paraId="02E1245A" w14:textId="77777777" w:rsidR="00CB4E93" w:rsidRPr="00A9330B" w:rsidRDefault="00CB4E93" w:rsidP="00CB4E93">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t>SBEE</w:t>
            </w:r>
          </w:p>
          <w:p w14:paraId="123C48D2" w14:textId="77777777" w:rsidR="00CB4E93" w:rsidRPr="00A9330B" w:rsidRDefault="00CB4E93" w:rsidP="00CB4E93">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t>SONEB</w:t>
            </w:r>
          </w:p>
          <w:p w14:paraId="2DC255A4" w14:textId="77777777" w:rsidR="00CB4E93" w:rsidRPr="00A9330B" w:rsidRDefault="00CB4E93" w:rsidP="00CB4E93">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t>BENIN TELECOM, etc.</w:t>
            </w:r>
          </w:p>
        </w:tc>
        <w:tc>
          <w:tcPr>
            <w:tcW w:w="897" w:type="pct"/>
            <w:tcBorders>
              <w:top w:val="single" w:sz="6" w:space="0" w:color="auto"/>
              <w:left w:val="single" w:sz="6" w:space="0" w:color="auto"/>
              <w:bottom w:val="single" w:sz="6" w:space="0" w:color="auto"/>
              <w:right w:val="single" w:sz="8" w:space="0" w:color="auto"/>
            </w:tcBorders>
          </w:tcPr>
          <w:p w14:paraId="135C4BA6" w14:textId="77777777" w:rsidR="00CB4E93" w:rsidRPr="00A9330B" w:rsidRDefault="00CB4E93" w:rsidP="00CB4E93">
            <w:pPr>
              <w:widowControl w:val="0"/>
              <w:autoSpaceDE w:val="0"/>
              <w:autoSpaceDN w:val="0"/>
              <w:adjustRightInd w:val="0"/>
              <w:spacing w:before="60" w:line="240" w:lineRule="auto"/>
              <w:rPr>
                <w:rFonts w:eastAsia="Calibri" w:cs="Arial"/>
                <w:b/>
                <w:sz w:val="20"/>
                <w:szCs w:val="20"/>
              </w:rPr>
            </w:pPr>
            <w:r w:rsidRPr="00A9330B">
              <w:rPr>
                <w:rFonts w:eastAsia="Calibri" w:cs="Arial"/>
                <w:sz w:val="20"/>
                <w:szCs w:val="20"/>
              </w:rPr>
              <w:t>Sensibilisation par les crieurs publics, les radios locales (chaque fois au besoin)</w:t>
            </w:r>
          </w:p>
          <w:p w14:paraId="56CED554" w14:textId="77777777" w:rsidR="00CB4E93" w:rsidRPr="00A9330B" w:rsidRDefault="00CB4E93" w:rsidP="00CB4E93">
            <w:pPr>
              <w:widowControl w:val="0"/>
              <w:autoSpaceDE w:val="0"/>
              <w:autoSpaceDN w:val="0"/>
              <w:adjustRightInd w:val="0"/>
              <w:spacing w:before="60" w:line="240" w:lineRule="auto"/>
              <w:rPr>
                <w:rFonts w:eastAsia="Calibri" w:cs="Arial"/>
                <w:b/>
                <w:sz w:val="20"/>
                <w:szCs w:val="20"/>
              </w:rPr>
            </w:pPr>
          </w:p>
          <w:p w14:paraId="57DACFEE" w14:textId="77777777" w:rsidR="00CB4E93" w:rsidRPr="00A9330B" w:rsidRDefault="00CB4E93" w:rsidP="00CB4E93">
            <w:pPr>
              <w:widowControl w:val="0"/>
              <w:autoSpaceDE w:val="0"/>
              <w:autoSpaceDN w:val="0"/>
              <w:adjustRightInd w:val="0"/>
              <w:spacing w:before="60" w:line="240" w:lineRule="auto"/>
              <w:rPr>
                <w:rFonts w:eastAsia="Calibri" w:cs="Arial"/>
                <w:color w:val="auto"/>
                <w:sz w:val="18"/>
                <w:szCs w:val="18"/>
              </w:rPr>
            </w:pPr>
            <w:r w:rsidRPr="00A9330B">
              <w:rPr>
                <w:rFonts w:eastAsia="Calibri" w:cs="Arial"/>
                <w:b/>
                <w:sz w:val="20"/>
                <w:szCs w:val="20"/>
              </w:rPr>
              <w:t>Cout:    1 500 000  FCFA /  an</w:t>
            </w:r>
          </w:p>
        </w:tc>
      </w:tr>
      <w:tr w:rsidR="00CB4E93" w:rsidRPr="00A9330B" w14:paraId="0A66BD74" w14:textId="77777777" w:rsidTr="00CB4E93">
        <w:trPr>
          <w:trHeight w:val="290"/>
        </w:trPr>
        <w:tc>
          <w:tcPr>
            <w:tcW w:w="996" w:type="pct"/>
            <w:tcBorders>
              <w:top w:val="single" w:sz="6" w:space="0" w:color="auto"/>
              <w:left w:val="single" w:sz="8" w:space="0" w:color="auto"/>
              <w:bottom w:val="single" w:sz="6" w:space="0" w:color="auto"/>
              <w:right w:val="single" w:sz="6" w:space="0" w:color="auto"/>
            </w:tcBorders>
          </w:tcPr>
          <w:p w14:paraId="27DE4067" w14:textId="77777777" w:rsidR="00CB4E93" w:rsidRPr="00A9330B" w:rsidRDefault="00CB4E93" w:rsidP="00CB4E93">
            <w:pPr>
              <w:widowControl w:val="0"/>
              <w:spacing w:before="60" w:line="240" w:lineRule="auto"/>
              <w:jc w:val="both"/>
              <w:rPr>
                <w:rFonts w:eastAsia="Calibri" w:cs="Arial"/>
                <w:color w:val="auto"/>
                <w:sz w:val="18"/>
                <w:szCs w:val="18"/>
              </w:rPr>
            </w:pPr>
            <w:r w:rsidRPr="00A9330B">
              <w:rPr>
                <w:rFonts w:eastAsia="Calibri" w:cs="Arial"/>
                <w:color w:val="auto"/>
                <w:sz w:val="18"/>
                <w:szCs w:val="18"/>
              </w:rPr>
              <w:t xml:space="preserve">2.8.a.6.3. Sensibiliser le personnel </w:t>
            </w:r>
            <w:r w:rsidRPr="00A9330B">
              <w:rPr>
                <w:rFonts w:eastAsia="Calibri" w:cs="Arial"/>
                <w:color w:val="auto"/>
                <w:sz w:val="18"/>
                <w:szCs w:val="18"/>
              </w:rPr>
              <w:lastRenderedPageBreak/>
              <w:t>de chantier sur les accidents divers</w:t>
            </w:r>
          </w:p>
        </w:tc>
        <w:tc>
          <w:tcPr>
            <w:tcW w:w="916" w:type="pct"/>
            <w:tcBorders>
              <w:top w:val="single" w:sz="6" w:space="0" w:color="auto"/>
              <w:left w:val="single" w:sz="6" w:space="0" w:color="auto"/>
              <w:bottom w:val="single" w:sz="6" w:space="0" w:color="auto"/>
              <w:right w:val="single" w:sz="6" w:space="0" w:color="auto"/>
            </w:tcBorders>
          </w:tcPr>
          <w:p w14:paraId="14597688" w14:textId="77777777" w:rsidR="00CB4E93" w:rsidRPr="00A9330B" w:rsidRDefault="00CB4E93" w:rsidP="00CB4E93">
            <w:pPr>
              <w:widowControl w:val="0"/>
              <w:autoSpaceDE w:val="0"/>
              <w:autoSpaceDN w:val="0"/>
              <w:adjustRightInd w:val="0"/>
              <w:spacing w:before="60" w:line="240" w:lineRule="auto"/>
              <w:jc w:val="both"/>
              <w:rPr>
                <w:rFonts w:eastAsia="Calibri" w:cs="Arial"/>
                <w:color w:val="auto"/>
                <w:sz w:val="18"/>
                <w:szCs w:val="18"/>
              </w:rPr>
            </w:pPr>
            <w:r w:rsidRPr="00A9330B">
              <w:rPr>
                <w:rFonts w:eastAsia="Calibri" w:cs="Arial"/>
                <w:color w:val="auto"/>
                <w:sz w:val="18"/>
                <w:szCs w:val="18"/>
              </w:rPr>
              <w:lastRenderedPageBreak/>
              <w:t xml:space="preserve">Rapports de séance de </w:t>
            </w:r>
            <w:r w:rsidRPr="00A9330B">
              <w:rPr>
                <w:rFonts w:eastAsia="Calibri" w:cs="Arial"/>
                <w:color w:val="auto"/>
                <w:sz w:val="18"/>
                <w:szCs w:val="18"/>
              </w:rPr>
              <w:lastRenderedPageBreak/>
              <w:t>sensibilisation disponible</w:t>
            </w:r>
          </w:p>
          <w:p w14:paraId="4724E95E" w14:textId="77777777" w:rsidR="00CB4E93" w:rsidRPr="00A9330B" w:rsidRDefault="00CB4E93" w:rsidP="00CB4E93">
            <w:pPr>
              <w:widowControl w:val="0"/>
              <w:autoSpaceDE w:val="0"/>
              <w:autoSpaceDN w:val="0"/>
              <w:adjustRightInd w:val="0"/>
              <w:spacing w:before="60" w:line="240" w:lineRule="auto"/>
              <w:jc w:val="both"/>
              <w:rPr>
                <w:rFonts w:eastAsia="Calibri" w:cs="Arial"/>
                <w:color w:val="auto"/>
                <w:sz w:val="18"/>
                <w:szCs w:val="18"/>
              </w:rPr>
            </w:pPr>
            <w:r w:rsidRPr="00A9330B">
              <w:rPr>
                <w:rFonts w:eastAsia="Calibri" w:cs="Arial"/>
                <w:color w:val="auto"/>
                <w:sz w:val="18"/>
                <w:szCs w:val="18"/>
              </w:rPr>
              <w:t xml:space="preserve">Fiche de présence  à la sensibilisation  </w:t>
            </w:r>
          </w:p>
        </w:tc>
        <w:tc>
          <w:tcPr>
            <w:tcW w:w="637" w:type="pct"/>
            <w:tcBorders>
              <w:top w:val="single" w:sz="6" w:space="0" w:color="auto"/>
              <w:left w:val="single" w:sz="6" w:space="0" w:color="auto"/>
              <w:bottom w:val="single" w:sz="6" w:space="0" w:color="auto"/>
              <w:right w:val="single" w:sz="6" w:space="0" w:color="auto"/>
            </w:tcBorders>
          </w:tcPr>
          <w:p w14:paraId="6E198A32" w14:textId="77777777" w:rsidR="00CB4E93" w:rsidRPr="00A9330B" w:rsidRDefault="00CB4E93" w:rsidP="00CB4E93">
            <w:pPr>
              <w:widowControl w:val="0"/>
              <w:spacing w:before="60" w:line="240" w:lineRule="auto"/>
              <w:jc w:val="center"/>
              <w:rPr>
                <w:rFonts w:eastAsia="Calibri" w:cs="Arial"/>
                <w:color w:val="auto"/>
                <w:sz w:val="18"/>
                <w:szCs w:val="18"/>
              </w:rPr>
            </w:pPr>
            <w:r w:rsidRPr="00A9330B">
              <w:rPr>
                <w:rFonts w:eastAsia="Calibri" w:cs="Arial"/>
                <w:color w:val="auto"/>
                <w:sz w:val="18"/>
                <w:szCs w:val="18"/>
              </w:rPr>
              <w:lastRenderedPageBreak/>
              <w:t>Pendant les travaux</w:t>
            </w:r>
          </w:p>
        </w:tc>
        <w:tc>
          <w:tcPr>
            <w:tcW w:w="657" w:type="pct"/>
            <w:tcBorders>
              <w:top w:val="single" w:sz="6" w:space="0" w:color="auto"/>
              <w:left w:val="single" w:sz="6" w:space="0" w:color="auto"/>
              <w:bottom w:val="single" w:sz="6" w:space="0" w:color="auto"/>
              <w:right w:val="single" w:sz="6" w:space="0" w:color="auto"/>
            </w:tcBorders>
          </w:tcPr>
          <w:p w14:paraId="64D79234" w14:textId="77777777" w:rsidR="00CB4E93" w:rsidRPr="00A9330B" w:rsidRDefault="00CB4E93" w:rsidP="00CB4E93">
            <w:pPr>
              <w:widowControl w:val="0"/>
              <w:spacing w:before="60" w:line="240" w:lineRule="auto"/>
              <w:jc w:val="center"/>
              <w:rPr>
                <w:rFonts w:eastAsia="Calibri" w:cs="Arial"/>
                <w:color w:val="auto"/>
                <w:sz w:val="18"/>
                <w:szCs w:val="18"/>
              </w:rPr>
            </w:pPr>
            <w:r w:rsidRPr="00A9330B">
              <w:rPr>
                <w:rFonts w:eastAsia="Calibri" w:cs="Arial"/>
                <w:color w:val="auto"/>
                <w:sz w:val="18"/>
                <w:szCs w:val="18"/>
              </w:rPr>
              <w:t>MDC</w:t>
            </w:r>
          </w:p>
          <w:p w14:paraId="3D10C06A" w14:textId="77777777" w:rsidR="00CB4E93" w:rsidRPr="00A9330B" w:rsidRDefault="00CB4E93" w:rsidP="00CB4E93">
            <w:pPr>
              <w:widowControl w:val="0"/>
              <w:spacing w:before="60" w:line="240" w:lineRule="auto"/>
              <w:jc w:val="center"/>
              <w:rPr>
                <w:rFonts w:eastAsia="Calibri" w:cs="Arial"/>
                <w:color w:val="auto"/>
                <w:sz w:val="18"/>
                <w:szCs w:val="18"/>
              </w:rPr>
            </w:pPr>
            <w:r w:rsidRPr="00A9330B">
              <w:rPr>
                <w:rFonts w:eastAsia="Calibri" w:cs="Arial"/>
                <w:color w:val="auto"/>
                <w:sz w:val="18"/>
                <w:szCs w:val="18"/>
              </w:rPr>
              <w:lastRenderedPageBreak/>
              <w:t>Entreprise chargée des travaux</w:t>
            </w:r>
          </w:p>
        </w:tc>
        <w:tc>
          <w:tcPr>
            <w:tcW w:w="897" w:type="pct"/>
            <w:tcBorders>
              <w:top w:val="single" w:sz="6" w:space="0" w:color="auto"/>
              <w:left w:val="single" w:sz="6" w:space="0" w:color="auto"/>
              <w:bottom w:val="single" w:sz="6" w:space="0" w:color="auto"/>
              <w:right w:val="single" w:sz="8" w:space="0" w:color="auto"/>
            </w:tcBorders>
          </w:tcPr>
          <w:p w14:paraId="46B26F16" w14:textId="77777777" w:rsidR="00CB4E93" w:rsidRPr="00A9330B" w:rsidRDefault="00CB4E93" w:rsidP="00CB4E93">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lastRenderedPageBreak/>
              <w:t xml:space="preserve">Mairie de Natitingou (Services </w:t>
            </w:r>
            <w:r w:rsidRPr="00A9330B">
              <w:rPr>
                <w:rFonts w:eastAsia="Calibri" w:cs="Arial"/>
                <w:color w:val="auto"/>
                <w:sz w:val="18"/>
                <w:szCs w:val="18"/>
              </w:rPr>
              <w:lastRenderedPageBreak/>
              <w:t>Techniques)</w:t>
            </w:r>
          </w:p>
          <w:p w14:paraId="465C6AE5" w14:textId="77777777" w:rsidR="00CB4E93" w:rsidRPr="00A9330B" w:rsidRDefault="00CB4E93" w:rsidP="00CB4E93">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t>DDCVDD-AD</w:t>
            </w:r>
          </w:p>
        </w:tc>
        <w:tc>
          <w:tcPr>
            <w:tcW w:w="897" w:type="pct"/>
            <w:tcBorders>
              <w:top w:val="single" w:sz="6" w:space="0" w:color="auto"/>
              <w:left w:val="single" w:sz="6" w:space="0" w:color="auto"/>
              <w:bottom w:val="single" w:sz="6" w:space="0" w:color="auto"/>
              <w:right w:val="single" w:sz="8" w:space="0" w:color="auto"/>
            </w:tcBorders>
          </w:tcPr>
          <w:p w14:paraId="627DAD1B" w14:textId="77777777" w:rsidR="00CB4E93" w:rsidRPr="00A9330B" w:rsidRDefault="00CB4E93" w:rsidP="00CB4E93">
            <w:pPr>
              <w:widowControl w:val="0"/>
              <w:autoSpaceDE w:val="0"/>
              <w:autoSpaceDN w:val="0"/>
              <w:adjustRightInd w:val="0"/>
              <w:spacing w:before="60" w:line="240" w:lineRule="auto"/>
              <w:rPr>
                <w:rFonts w:eastAsia="Calibri" w:cs="Arial"/>
                <w:color w:val="auto"/>
                <w:sz w:val="18"/>
                <w:szCs w:val="18"/>
              </w:rPr>
            </w:pPr>
          </w:p>
        </w:tc>
      </w:tr>
      <w:tr w:rsidR="00CB4E93" w:rsidRPr="00A9330B" w14:paraId="11197ED4" w14:textId="77777777" w:rsidTr="00CB4E93">
        <w:trPr>
          <w:trHeight w:val="543"/>
        </w:trPr>
        <w:tc>
          <w:tcPr>
            <w:tcW w:w="996" w:type="pct"/>
            <w:tcBorders>
              <w:top w:val="single" w:sz="6" w:space="0" w:color="auto"/>
              <w:left w:val="single" w:sz="8" w:space="0" w:color="auto"/>
              <w:bottom w:val="single" w:sz="6" w:space="0" w:color="auto"/>
              <w:right w:val="single" w:sz="6" w:space="0" w:color="auto"/>
            </w:tcBorders>
          </w:tcPr>
          <w:p w14:paraId="227EBA0C" w14:textId="77777777" w:rsidR="00CB4E93" w:rsidRPr="00A9330B" w:rsidRDefault="00CB4E93" w:rsidP="00CB4E93">
            <w:pPr>
              <w:widowControl w:val="0"/>
              <w:spacing w:before="60" w:line="240" w:lineRule="auto"/>
              <w:rPr>
                <w:rFonts w:eastAsia="Calibri" w:cs="Arial"/>
                <w:color w:val="auto"/>
                <w:sz w:val="18"/>
                <w:szCs w:val="18"/>
              </w:rPr>
            </w:pPr>
            <w:r w:rsidRPr="00A9330B">
              <w:rPr>
                <w:rFonts w:eastAsia="Calibri" w:cs="Arial"/>
                <w:color w:val="auto"/>
                <w:sz w:val="18"/>
                <w:szCs w:val="18"/>
              </w:rPr>
              <w:lastRenderedPageBreak/>
              <w:t>2.8.a.7.1.  ; 3.2.a.1.1.</w:t>
            </w:r>
          </w:p>
          <w:p w14:paraId="72B42CF5" w14:textId="77777777" w:rsidR="00CB4E93" w:rsidRPr="00A9330B" w:rsidRDefault="00CB4E93" w:rsidP="00CB4E93">
            <w:pPr>
              <w:widowControl w:val="0"/>
              <w:spacing w:before="60" w:line="240" w:lineRule="auto"/>
              <w:jc w:val="both"/>
              <w:rPr>
                <w:rFonts w:eastAsia="Calibri" w:cs="Arial"/>
                <w:color w:val="auto"/>
                <w:sz w:val="18"/>
                <w:szCs w:val="18"/>
              </w:rPr>
            </w:pPr>
            <w:r w:rsidRPr="00A9330B">
              <w:rPr>
                <w:rFonts w:eastAsia="Calibri" w:cs="Arial"/>
                <w:color w:val="auto"/>
                <w:sz w:val="18"/>
                <w:szCs w:val="18"/>
              </w:rPr>
              <w:t>Sensibiliser les travailleurs sur les risques liés au travail</w:t>
            </w:r>
          </w:p>
        </w:tc>
        <w:tc>
          <w:tcPr>
            <w:tcW w:w="916" w:type="pct"/>
            <w:tcBorders>
              <w:top w:val="single" w:sz="6" w:space="0" w:color="auto"/>
              <w:left w:val="single" w:sz="6" w:space="0" w:color="auto"/>
              <w:bottom w:val="single" w:sz="6" w:space="0" w:color="auto"/>
              <w:right w:val="single" w:sz="6" w:space="0" w:color="auto"/>
            </w:tcBorders>
          </w:tcPr>
          <w:p w14:paraId="052DA19A" w14:textId="77777777" w:rsidR="00CB4E93" w:rsidRPr="00A9330B" w:rsidRDefault="00CB4E93" w:rsidP="00CB4E93">
            <w:pPr>
              <w:widowControl w:val="0"/>
              <w:autoSpaceDE w:val="0"/>
              <w:autoSpaceDN w:val="0"/>
              <w:adjustRightInd w:val="0"/>
              <w:spacing w:before="60" w:line="240" w:lineRule="auto"/>
              <w:jc w:val="both"/>
              <w:rPr>
                <w:rFonts w:eastAsia="Calibri" w:cs="Arial"/>
                <w:color w:val="auto"/>
                <w:sz w:val="18"/>
                <w:szCs w:val="18"/>
              </w:rPr>
            </w:pPr>
            <w:r w:rsidRPr="00A9330B">
              <w:rPr>
                <w:rFonts w:eastAsia="Calibri" w:cs="Arial"/>
                <w:color w:val="auto"/>
                <w:sz w:val="18"/>
                <w:szCs w:val="18"/>
              </w:rPr>
              <w:t xml:space="preserve">Rapports de séance de sensibilisation disponible </w:t>
            </w:r>
          </w:p>
        </w:tc>
        <w:tc>
          <w:tcPr>
            <w:tcW w:w="637" w:type="pct"/>
            <w:tcBorders>
              <w:top w:val="single" w:sz="6" w:space="0" w:color="auto"/>
              <w:left w:val="single" w:sz="6" w:space="0" w:color="auto"/>
              <w:bottom w:val="single" w:sz="6" w:space="0" w:color="auto"/>
              <w:right w:val="single" w:sz="6" w:space="0" w:color="auto"/>
            </w:tcBorders>
          </w:tcPr>
          <w:p w14:paraId="429D4851" w14:textId="77777777" w:rsidR="00CB4E93" w:rsidRPr="00A9330B" w:rsidRDefault="00CB4E93" w:rsidP="00CB4E93">
            <w:pPr>
              <w:widowControl w:val="0"/>
              <w:spacing w:before="60" w:line="240" w:lineRule="auto"/>
              <w:jc w:val="center"/>
              <w:rPr>
                <w:rFonts w:eastAsia="Calibri" w:cs="Arial"/>
                <w:color w:val="auto"/>
                <w:sz w:val="18"/>
                <w:szCs w:val="18"/>
              </w:rPr>
            </w:pPr>
            <w:r w:rsidRPr="00A9330B">
              <w:rPr>
                <w:rFonts w:eastAsia="Calibri" w:cs="Arial"/>
                <w:color w:val="auto"/>
                <w:sz w:val="18"/>
                <w:szCs w:val="18"/>
              </w:rPr>
              <w:t>Pendant les travaux</w:t>
            </w:r>
          </w:p>
        </w:tc>
        <w:tc>
          <w:tcPr>
            <w:tcW w:w="657" w:type="pct"/>
            <w:tcBorders>
              <w:top w:val="single" w:sz="6" w:space="0" w:color="auto"/>
              <w:left w:val="single" w:sz="6" w:space="0" w:color="auto"/>
              <w:bottom w:val="single" w:sz="6" w:space="0" w:color="auto"/>
              <w:right w:val="single" w:sz="6" w:space="0" w:color="auto"/>
            </w:tcBorders>
          </w:tcPr>
          <w:p w14:paraId="26EC2E2F" w14:textId="77777777" w:rsidR="00CB4E93" w:rsidRPr="00A9330B" w:rsidRDefault="00CB4E93" w:rsidP="00CB4E93">
            <w:pPr>
              <w:widowControl w:val="0"/>
              <w:spacing w:before="60" w:line="240" w:lineRule="auto"/>
              <w:jc w:val="center"/>
              <w:rPr>
                <w:rFonts w:eastAsia="Calibri" w:cs="Arial"/>
                <w:color w:val="auto"/>
                <w:sz w:val="18"/>
                <w:szCs w:val="18"/>
              </w:rPr>
            </w:pPr>
            <w:r w:rsidRPr="00A9330B">
              <w:rPr>
                <w:rFonts w:eastAsia="Calibri" w:cs="Arial"/>
                <w:color w:val="auto"/>
                <w:sz w:val="18"/>
                <w:szCs w:val="18"/>
              </w:rPr>
              <w:t>MDC</w:t>
            </w:r>
          </w:p>
          <w:p w14:paraId="4DB483FC" w14:textId="77777777" w:rsidR="00CB4E93" w:rsidRPr="00A9330B" w:rsidRDefault="00CB4E93" w:rsidP="00CB4E93">
            <w:pPr>
              <w:widowControl w:val="0"/>
              <w:spacing w:before="60" w:line="240" w:lineRule="auto"/>
              <w:jc w:val="center"/>
              <w:rPr>
                <w:rFonts w:eastAsia="Calibri" w:cs="Arial"/>
                <w:color w:val="auto"/>
                <w:sz w:val="18"/>
                <w:szCs w:val="18"/>
              </w:rPr>
            </w:pPr>
            <w:r w:rsidRPr="00A9330B">
              <w:rPr>
                <w:rFonts w:eastAsia="Calibri" w:cs="Arial"/>
                <w:color w:val="auto"/>
                <w:sz w:val="18"/>
                <w:szCs w:val="18"/>
              </w:rPr>
              <w:t>Entreprise chargée des travaux</w:t>
            </w:r>
          </w:p>
        </w:tc>
        <w:tc>
          <w:tcPr>
            <w:tcW w:w="897" w:type="pct"/>
            <w:tcBorders>
              <w:top w:val="single" w:sz="6" w:space="0" w:color="auto"/>
              <w:left w:val="single" w:sz="6" w:space="0" w:color="auto"/>
              <w:bottom w:val="single" w:sz="6" w:space="0" w:color="auto"/>
              <w:right w:val="single" w:sz="8" w:space="0" w:color="auto"/>
            </w:tcBorders>
          </w:tcPr>
          <w:p w14:paraId="21383C41" w14:textId="77777777" w:rsidR="00CB4E93" w:rsidRPr="00A9330B" w:rsidRDefault="00CB4E93" w:rsidP="00CB4E93">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t>Mairie de Natitingou (Services Techniques)</w:t>
            </w:r>
          </w:p>
          <w:p w14:paraId="056C5E10" w14:textId="77777777" w:rsidR="00CB4E93" w:rsidRPr="00A9330B" w:rsidRDefault="00CB4E93" w:rsidP="00CB4E93">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t>DDCVDD-AD</w:t>
            </w:r>
          </w:p>
        </w:tc>
        <w:tc>
          <w:tcPr>
            <w:tcW w:w="897" w:type="pct"/>
            <w:tcBorders>
              <w:top w:val="single" w:sz="6" w:space="0" w:color="auto"/>
              <w:left w:val="single" w:sz="6" w:space="0" w:color="auto"/>
              <w:bottom w:val="single" w:sz="6" w:space="0" w:color="auto"/>
              <w:right w:val="single" w:sz="8" w:space="0" w:color="auto"/>
            </w:tcBorders>
          </w:tcPr>
          <w:p w14:paraId="29613420" w14:textId="77777777" w:rsidR="00CB4E93" w:rsidRPr="00A9330B" w:rsidRDefault="00CB4E93" w:rsidP="00CB4E93">
            <w:pPr>
              <w:widowControl w:val="0"/>
              <w:autoSpaceDE w:val="0"/>
              <w:autoSpaceDN w:val="0"/>
              <w:adjustRightInd w:val="0"/>
              <w:spacing w:before="60" w:line="240" w:lineRule="auto"/>
              <w:rPr>
                <w:rFonts w:eastAsia="Calibri" w:cs="Arial"/>
                <w:color w:val="auto"/>
                <w:sz w:val="18"/>
                <w:szCs w:val="18"/>
              </w:rPr>
            </w:pPr>
          </w:p>
        </w:tc>
      </w:tr>
      <w:tr w:rsidR="00CB4E93" w:rsidRPr="00A9330B" w14:paraId="3BED1A2A" w14:textId="77777777" w:rsidTr="00CB4E93">
        <w:trPr>
          <w:trHeight w:val="190"/>
        </w:trPr>
        <w:tc>
          <w:tcPr>
            <w:tcW w:w="996" w:type="pct"/>
            <w:tcBorders>
              <w:top w:val="single" w:sz="6" w:space="0" w:color="auto"/>
              <w:left w:val="single" w:sz="8" w:space="0" w:color="auto"/>
              <w:bottom w:val="single" w:sz="6" w:space="0" w:color="auto"/>
              <w:right w:val="single" w:sz="6" w:space="0" w:color="auto"/>
            </w:tcBorders>
          </w:tcPr>
          <w:p w14:paraId="1A233E45" w14:textId="77777777" w:rsidR="00CB4E93" w:rsidRPr="00A9330B" w:rsidRDefault="00CB4E93" w:rsidP="00CB4E93">
            <w:pPr>
              <w:widowControl w:val="0"/>
              <w:spacing w:before="60" w:line="240" w:lineRule="auto"/>
              <w:rPr>
                <w:rFonts w:eastAsia="Calibri" w:cs="Arial"/>
                <w:color w:val="auto"/>
                <w:sz w:val="18"/>
                <w:szCs w:val="18"/>
              </w:rPr>
            </w:pPr>
            <w:r w:rsidRPr="00A9330B">
              <w:rPr>
                <w:rFonts w:eastAsia="Calibri" w:cs="Arial"/>
                <w:color w:val="auto"/>
                <w:sz w:val="18"/>
                <w:szCs w:val="18"/>
              </w:rPr>
              <w:t xml:space="preserve">2.8.a.7.5.  Sensibiliser les conducteurs d’engins et de véhicules de chantier et les riverains par rapport  à la limitation de vitesse et l’encombrement de la chaussée </w:t>
            </w:r>
          </w:p>
        </w:tc>
        <w:tc>
          <w:tcPr>
            <w:tcW w:w="916" w:type="pct"/>
            <w:tcBorders>
              <w:top w:val="single" w:sz="6" w:space="0" w:color="auto"/>
              <w:left w:val="single" w:sz="6" w:space="0" w:color="auto"/>
              <w:bottom w:val="single" w:sz="6" w:space="0" w:color="auto"/>
              <w:right w:val="single" w:sz="6" w:space="0" w:color="auto"/>
            </w:tcBorders>
          </w:tcPr>
          <w:p w14:paraId="551899D5" w14:textId="77777777" w:rsidR="00CB4E93" w:rsidRPr="00A9330B" w:rsidRDefault="00CB4E93" w:rsidP="00CB4E93">
            <w:pPr>
              <w:widowControl w:val="0"/>
              <w:autoSpaceDE w:val="0"/>
              <w:autoSpaceDN w:val="0"/>
              <w:adjustRightInd w:val="0"/>
              <w:spacing w:before="60" w:line="240" w:lineRule="auto"/>
              <w:jc w:val="both"/>
              <w:rPr>
                <w:rFonts w:eastAsia="Calibri" w:cs="Arial"/>
                <w:color w:val="auto"/>
                <w:sz w:val="18"/>
                <w:szCs w:val="18"/>
              </w:rPr>
            </w:pPr>
            <w:r w:rsidRPr="00A9330B">
              <w:rPr>
                <w:rFonts w:eastAsia="Calibri" w:cs="Arial"/>
                <w:color w:val="auto"/>
                <w:sz w:val="18"/>
                <w:szCs w:val="18"/>
              </w:rPr>
              <w:t>Rapports de séance de sensibilisation disponible</w:t>
            </w:r>
          </w:p>
        </w:tc>
        <w:tc>
          <w:tcPr>
            <w:tcW w:w="637" w:type="pct"/>
            <w:tcBorders>
              <w:top w:val="single" w:sz="6" w:space="0" w:color="auto"/>
              <w:left w:val="single" w:sz="6" w:space="0" w:color="auto"/>
              <w:bottom w:val="single" w:sz="6" w:space="0" w:color="auto"/>
              <w:right w:val="single" w:sz="6" w:space="0" w:color="auto"/>
            </w:tcBorders>
          </w:tcPr>
          <w:p w14:paraId="2BD26622" w14:textId="77777777" w:rsidR="00CB4E93" w:rsidRPr="00A9330B" w:rsidRDefault="00CB4E93" w:rsidP="00CB4E93">
            <w:pPr>
              <w:widowControl w:val="0"/>
              <w:spacing w:before="60" w:line="240" w:lineRule="auto"/>
              <w:jc w:val="center"/>
              <w:rPr>
                <w:rFonts w:eastAsia="Calibri" w:cs="Arial"/>
                <w:color w:val="auto"/>
                <w:sz w:val="18"/>
                <w:szCs w:val="18"/>
              </w:rPr>
            </w:pPr>
            <w:r w:rsidRPr="00A9330B">
              <w:rPr>
                <w:rFonts w:eastAsia="Calibri" w:cs="Arial"/>
                <w:color w:val="auto"/>
                <w:sz w:val="18"/>
                <w:szCs w:val="18"/>
              </w:rPr>
              <w:t>Pendant les travaux</w:t>
            </w:r>
          </w:p>
        </w:tc>
        <w:tc>
          <w:tcPr>
            <w:tcW w:w="657" w:type="pct"/>
            <w:tcBorders>
              <w:top w:val="single" w:sz="6" w:space="0" w:color="auto"/>
              <w:left w:val="single" w:sz="6" w:space="0" w:color="auto"/>
              <w:bottom w:val="single" w:sz="6" w:space="0" w:color="auto"/>
              <w:right w:val="single" w:sz="6" w:space="0" w:color="auto"/>
            </w:tcBorders>
          </w:tcPr>
          <w:p w14:paraId="41A4F374" w14:textId="77777777" w:rsidR="00CB4E93" w:rsidRPr="00A9330B" w:rsidRDefault="00CB4E93" w:rsidP="00CB4E93">
            <w:pPr>
              <w:widowControl w:val="0"/>
              <w:spacing w:before="60" w:line="240" w:lineRule="auto"/>
              <w:jc w:val="center"/>
              <w:rPr>
                <w:rFonts w:eastAsia="Calibri" w:cs="Arial"/>
                <w:color w:val="auto"/>
                <w:sz w:val="18"/>
                <w:szCs w:val="18"/>
              </w:rPr>
            </w:pPr>
            <w:r w:rsidRPr="00A9330B">
              <w:rPr>
                <w:rFonts w:eastAsia="Calibri" w:cs="Arial"/>
                <w:color w:val="auto"/>
                <w:sz w:val="18"/>
                <w:szCs w:val="18"/>
              </w:rPr>
              <w:t>MDC</w:t>
            </w:r>
          </w:p>
          <w:p w14:paraId="701C7F75" w14:textId="77777777" w:rsidR="00CB4E93" w:rsidRPr="00A9330B" w:rsidRDefault="00CB4E93" w:rsidP="00CB4E93">
            <w:pPr>
              <w:widowControl w:val="0"/>
              <w:spacing w:before="60" w:line="240" w:lineRule="auto"/>
              <w:jc w:val="center"/>
              <w:rPr>
                <w:rFonts w:eastAsia="Calibri" w:cs="Arial"/>
                <w:color w:val="auto"/>
                <w:sz w:val="18"/>
                <w:szCs w:val="18"/>
              </w:rPr>
            </w:pPr>
            <w:r w:rsidRPr="00A9330B">
              <w:rPr>
                <w:rFonts w:eastAsia="Calibri" w:cs="Arial"/>
                <w:color w:val="auto"/>
                <w:sz w:val="18"/>
                <w:szCs w:val="18"/>
              </w:rPr>
              <w:t>Entreprise chargée des travaux</w:t>
            </w:r>
          </w:p>
        </w:tc>
        <w:tc>
          <w:tcPr>
            <w:tcW w:w="897" w:type="pct"/>
            <w:tcBorders>
              <w:top w:val="single" w:sz="6" w:space="0" w:color="auto"/>
              <w:left w:val="single" w:sz="6" w:space="0" w:color="auto"/>
              <w:bottom w:val="single" w:sz="6" w:space="0" w:color="auto"/>
              <w:right w:val="single" w:sz="8" w:space="0" w:color="auto"/>
            </w:tcBorders>
          </w:tcPr>
          <w:p w14:paraId="10528EF0" w14:textId="77777777" w:rsidR="00CB4E93" w:rsidRPr="00A9330B" w:rsidRDefault="00CB4E93" w:rsidP="00CB4E93">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t>Mairie de Natitingou (Services Techniques)</w:t>
            </w:r>
          </w:p>
          <w:p w14:paraId="4A424229" w14:textId="77777777" w:rsidR="00CB4E93" w:rsidRPr="00A9330B" w:rsidRDefault="00CB4E93" w:rsidP="00CB4E93">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t>DDCVDD-AD</w:t>
            </w:r>
          </w:p>
        </w:tc>
        <w:tc>
          <w:tcPr>
            <w:tcW w:w="897" w:type="pct"/>
            <w:tcBorders>
              <w:top w:val="single" w:sz="6" w:space="0" w:color="auto"/>
              <w:left w:val="single" w:sz="6" w:space="0" w:color="auto"/>
              <w:bottom w:val="single" w:sz="6" w:space="0" w:color="auto"/>
              <w:right w:val="single" w:sz="8" w:space="0" w:color="auto"/>
            </w:tcBorders>
          </w:tcPr>
          <w:p w14:paraId="6AF108D7" w14:textId="77777777" w:rsidR="00CB4E93" w:rsidRPr="00A9330B" w:rsidRDefault="00CB4E93" w:rsidP="00CB4E93">
            <w:pPr>
              <w:widowControl w:val="0"/>
              <w:autoSpaceDE w:val="0"/>
              <w:autoSpaceDN w:val="0"/>
              <w:adjustRightInd w:val="0"/>
              <w:spacing w:before="60" w:line="240" w:lineRule="auto"/>
              <w:rPr>
                <w:rFonts w:eastAsia="Calibri" w:cs="Arial"/>
                <w:color w:val="auto"/>
                <w:sz w:val="18"/>
                <w:szCs w:val="18"/>
              </w:rPr>
            </w:pPr>
          </w:p>
        </w:tc>
      </w:tr>
      <w:tr w:rsidR="00CB4E93" w:rsidRPr="00A9330B" w14:paraId="50A467D5" w14:textId="77777777" w:rsidTr="00CB4E93">
        <w:trPr>
          <w:trHeight w:val="567"/>
        </w:trPr>
        <w:tc>
          <w:tcPr>
            <w:tcW w:w="996" w:type="pct"/>
            <w:tcBorders>
              <w:top w:val="single" w:sz="6" w:space="0" w:color="auto"/>
              <w:left w:val="single" w:sz="8" w:space="0" w:color="auto"/>
              <w:bottom w:val="single" w:sz="6" w:space="0" w:color="auto"/>
              <w:right w:val="single" w:sz="6" w:space="0" w:color="auto"/>
            </w:tcBorders>
          </w:tcPr>
          <w:p w14:paraId="1211930E" w14:textId="77777777" w:rsidR="00CB4E93" w:rsidRPr="00A9330B" w:rsidRDefault="00CB4E93" w:rsidP="00CB4E93">
            <w:pPr>
              <w:widowControl w:val="0"/>
              <w:spacing w:before="60" w:line="240" w:lineRule="auto"/>
              <w:rPr>
                <w:rFonts w:eastAsia="Calibri" w:cs="Arial"/>
                <w:color w:val="auto"/>
                <w:sz w:val="18"/>
                <w:szCs w:val="18"/>
              </w:rPr>
            </w:pPr>
            <w:r w:rsidRPr="00A9330B">
              <w:rPr>
                <w:rFonts w:eastAsia="Calibri" w:cs="Arial"/>
                <w:color w:val="auto"/>
                <w:sz w:val="18"/>
                <w:szCs w:val="18"/>
              </w:rPr>
              <w:t>2.8.a.8.1. ; 3.1.a.6.3.</w:t>
            </w:r>
          </w:p>
          <w:p w14:paraId="474332BD" w14:textId="77777777" w:rsidR="00CB4E93" w:rsidRPr="00A9330B" w:rsidRDefault="00CB4E93" w:rsidP="00CB4E93">
            <w:pPr>
              <w:widowControl w:val="0"/>
              <w:spacing w:before="60" w:line="240" w:lineRule="auto"/>
              <w:rPr>
                <w:rFonts w:eastAsia="Calibri" w:cs="Arial"/>
                <w:color w:val="auto"/>
                <w:sz w:val="18"/>
                <w:szCs w:val="18"/>
              </w:rPr>
            </w:pPr>
            <w:r w:rsidRPr="00A9330B">
              <w:rPr>
                <w:rFonts w:eastAsia="Calibri" w:cs="Arial"/>
                <w:color w:val="auto"/>
                <w:sz w:val="18"/>
                <w:szCs w:val="18"/>
              </w:rPr>
              <w:t>Sensibiliser le personnel de chantier et le former au poste de travail</w:t>
            </w:r>
          </w:p>
        </w:tc>
        <w:tc>
          <w:tcPr>
            <w:tcW w:w="916" w:type="pct"/>
            <w:tcBorders>
              <w:top w:val="single" w:sz="6" w:space="0" w:color="auto"/>
              <w:left w:val="single" w:sz="6" w:space="0" w:color="auto"/>
              <w:bottom w:val="single" w:sz="6" w:space="0" w:color="auto"/>
              <w:right w:val="single" w:sz="6" w:space="0" w:color="auto"/>
            </w:tcBorders>
          </w:tcPr>
          <w:p w14:paraId="77FE4E67" w14:textId="77777777" w:rsidR="00CB4E93" w:rsidRPr="00A9330B" w:rsidRDefault="00CB4E93" w:rsidP="00CB4E93">
            <w:pPr>
              <w:widowControl w:val="0"/>
              <w:autoSpaceDE w:val="0"/>
              <w:autoSpaceDN w:val="0"/>
              <w:adjustRightInd w:val="0"/>
              <w:spacing w:before="60" w:line="240" w:lineRule="auto"/>
              <w:jc w:val="both"/>
              <w:rPr>
                <w:rFonts w:eastAsia="Calibri" w:cs="Arial"/>
                <w:color w:val="auto"/>
                <w:sz w:val="18"/>
                <w:szCs w:val="18"/>
              </w:rPr>
            </w:pPr>
            <w:r w:rsidRPr="00A9330B">
              <w:rPr>
                <w:rFonts w:eastAsia="Calibri" w:cs="Arial"/>
                <w:color w:val="auto"/>
                <w:sz w:val="18"/>
                <w:szCs w:val="18"/>
              </w:rPr>
              <w:t xml:space="preserve">Fiche d’induction sécurité </w:t>
            </w:r>
          </w:p>
          <w:p w14:paraId="7212CC23" w14:textId="77777777" w:rsidR="00CB4E93" w:rsidRPr="00A9330B" w:rsidRDefault="00CB4E93" w:rsidP="00CB4E93">
            <w:pPr>
              <w:widowControl w:val="0"/>
              <w:autoSpaceDE w:val="0"/>
              <w:autoSpaceDN w:val="0"/>
              <w:adjustRightInd w:val="0"/>
              <w:spacing w:before="60" w:line="240" w:lineRule="auto"/>
              <w:jc w:val="both"/>
              <w:rPr>
                <w:rFonts w:eastAsia="Calibri" w:cs="Arial"/>
                <w:color w:val="auto"/>
                <w:sz w:val="18"/>
                <w:szCs w:val="18"/>
              </w:rPr>
            </w:pPr>
            <w:r w:rsidRPr="00A9330B">
              <w:rPr>
                <w:rFonts w:eastAsia="Calibri" w:cs="Arial"/>
                <w:color w:val="auto"/>
                <w:sz w:val="18"/>
                <w:szCs w:val="18"/>
              </w:rPr>
              <w:t xml:space="preserve">Liste de présence à la formation disponible </w:t>
            </w:r>
          </w:p>
          <w:p w14:paraId="562E4B55" w14:textId="77777777" w:rsidR="00CB4E93" w:rsidRPr="00A9330B" w:rsidRDefault="00CB4E93" w:rsidP="00CB4E93">
            <w:pPr>
              <w:widowControl w:val="0"/>
              <w:autoSpaceDE w:val="0"/>
              <w:autoSpaceDN w:val="0"/>
              <w:adjustRightInd w:val="0"/>
              <w:spacing w:before="60" w:line="240" w:lineRule="auto"/>
              <w:jc w:val="both"/>
              <w:rPr>
                <w:rFonts w:eastAsia="Calibri" w:cs="Arial"/>
                <w:color w:val="auto"/>
                <w:sz w:val="18"/>
                <w:szCs w:val="18"/>
              </w:rPr>
            </w:pPr>
            <w:r w:rsidRPr="00A9330B">
              <w:rPr>
                <w:rFonts w:eastAsia="Calibri" w:cs="Arial"/>
                <w:color w:val="auto"/>
                <w:sz w:val="18"/>
                <w:szCs w:val="18"/>
              </w:rPr>
              <w:t>Nombre de rapport</w:t>
            </w:r>
          </w:p>
        </w:tc>
        <w:tc>
          <w:tcPr>
            <w:tcW w:w="637" w:type="pct"/>
            <w:tcBorders>
              <w:top w:val="single" w:sz="6" w:space="0" w:color="auto"/>
              <w:left w:val="single" w:sz="6" w:space="0" w:color="auto"/>
              <w:bottom w:val="single" w:sz="6" w:space="0" w:color="auto"/>
              <w:right w:val="single" w:sz="6" w:space="0" w:color="auto"/>
            </w:tcBorders>
          </w:tcPr>
          <w:p w14:paraId="490CD604" w14:textId="77777777" w:rsidR="00CB4E93" w:rsidRPr="00A9330B" w:rsidRDefault="00CB4E93" w:rsidP="00CB4E93">
            <w:pPr>
              <w:widowControl w:val="0"/>
              <w:spacing w:before="60" w:line="240" w:lineRule="auto"/>
              <w:jc w:val="center"/>
              <w:rPr>
                <w:rFonts w:eastAsia="Calibri" w:cs="Arial"/>
                <w:color w:val="auto"/>
                <w:sz w:val="18"/>
                <w:szCs w:val="18"/>
              </w:rPr>
            </w:pPr>
            <w:r w:rsidRPr="00A9330B">
              <w:rPr>
                <w:rFonts w:eastAsia="Calibri" w:cs="Arial"/>
                <w:color w:val="auto"/>
                <w:sz w:val="18"/>
                <w:szCs w:val="18"/>
              </w:rPr>
              <w:t>Pendant les travaux</w:t>
            </w:r>
          </w:p>
        </w:tc>
        <w:tc>
          <w:tcPr>
            <w:tcW w:w="657" w:type="pct"/>
            <w:tcBorders>
              <w:top w:val="single" w:sz="6" w:space="0" w:color="auto"/>
              <w:left w:val="single" w:sz="6" w:space="0" w:color="auto"/>
              <w:bottom w:val="single" w:sz="6" w:space="0" w:color="auto"/>
              <w:right w:val="single" w:sz="6" w:space="0" w:color="auto"/>
            </w:tcBorders>
          </w:tcPr>
          <w:p w14:paraId="0C7B4500" w14:textId="77777777" w:rsidR="00CB4E93" w:rsidRPr="00A9330B" w:rsidRDefault="00CB4E93" w:rsidP="00CB4E93">
            <w:pPr>
              <w:widowControl w:val="0"/>
              <w:spacing w:before="60" w:line="240" w:lineRule="auto"/>
              <w:jc w:val="center"/>
              <w:rPr>
                <w:rFonts w:eastAsia="Calibri" w:cs="Arial"/>
                <w:color w:val="auto"/>
                <w:sz w:val="18"/>
                <w:szCs w:val="18"/>
              </w:rPr>
            </w:pPr>
            <w:r w:rsidRPr="00A9330B">
              <w:rPr>
                <w:rFonts w:eastAsia="Calibri" w:cs="Arial"/>
                <w:color w:val="auto"/>
                <w:sz w:val="18"/>
                <w:szCs w:val="18"/>
              </w:rPr>
              <w:t>MDC</w:t>
            </w:r>
          </w:p>
          <w:p w14:paraId="7012D9E7" w14:textId="77777777" w:rsidR="00CB4E93" w:rsidRPr="00A9330B" w:rsidRDefault="00CB4E93" w:rsidP="00CB4E93">
            <w:pPr>
              <w:widowControl w:val="0"/>
              <w:spacing w:before="60" w:line="240" w:lineRule="auto"/>
              <w:jc w:val="center"/>
              <w:rPr>
                <w:rFonts w:eastAsia="Calibri" w:cs="Arial"/>
                <w:color w:val="auto"/>
                <w:sz w:val="18"/>
                <w:szCs w:val="18"/>
              </w:rPr>
            </w:pPr>
            <w:r w:rsidRPr="00A9330B">
              <w:rPr>
                <w:rFonts w:eastAsia="Calibri" w:cs="Arial"/>
                <w:color w:val="auto"/>
                <w:sz w:val="18"/>
                <w:szCs w:val="18"/>
              </w:rPr>
              <w:t>Entreprise chargée des travaux</w:t>
            </w:r>
          </w:p>
        </w:tc>
        <w:tc>
          <w:tcPr>
            <w:tcW w:w="897" w:type="pct"/>
            <w:tcBorders>
              <w:top w:val="single" w:sz="6" w:space="0" w:color="auto"/>
              <w:left w:val="single" w:sz="6" w:space="0" w:color="auto"/>
              <w:bottom w:val="single" w:sz="6" w:space="0" w:color="auto"/>
              <w:right w:val="single" w:sz="8" w:space="0" w:color="auto"/>
            </w:tcBorders>
          </w:tcPr>
          <w:p w14:paraId="1E3E6902" w14:textId="77777777" w:rsidR="00CB4E93" w:rsidRPr="00A9330B" w:rsidRDefault="00CB4E93" w:rsidP="00CB4E93">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t>Mairie de Natitingou (Services Techniques)</w:t>
            </w:r>
          </w:p>
          <w:p w14:paraId="5B4F2F64" w14:textId="77777777" w:rsidR="00CB4E93" w:rsidRPr="00A9330B" w:rsidRDefault="00CB4E93" w:rsidP="00CB4E93">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t>DDCVDD-AD</w:t>
            </w:r>
          </w:p>
        </w:tc>
        <w:tc>
          <w:tcPr>
            <w:tcW w:w="897" w:type="pct"/>
            <w:tcBorders>
              <w:top w:val="single" w:sz="6" w:space="0" w:color="auto"/>
              <w:left w:val="single" w:sz="6" w:space="0" w:color="auto"/>
              <w:bottom w:val="single" w:sz="6" w:space="0" w:color="auto"/>
              <w:right w:val="single" w:sz="8" w:space="0" w:color="auto"/>
            </w:tcBorders>
          </w:tcPr>
          <w:p w14:paraId="07D9FBFA" w14:textId="77777777" w:rsidR="00CB4E93" w:rsidRPr="00A9330B" w:rsidRDefault="00CB4E93" w:rsidP="00CB4E93">
            <w:pPr>
              <w:widowControl w:val="0"/>
              <w:autoSpaceDE w:val="0"/>
              <w:autoSpaceDN w:val="0"/>
              <w:adjustRightInd w:val="0"/>
              <w:spacing w:before="60" w:line="240" w:lineRule="auto"/>
              <w:rPr>
                <w:rFonts w:eastAsia="Calibri" w:cs="Arial"/>
                <w:color w:val="auto"/>
                <w:sz w:val="18"/>
                <w:szCs w:val="18"/>
              </w:rPr>
            </w:pPr>
          </w:p>
        </w:tc>
      </w:tr>
      <w:tr w:rsidR="00CB4E93" w:rsidRPr="00A9330B" w14:paraId="3642817E" w14:textId="77777777" w:rsidTr="00CB4E93">
        <w:trPr>
          <w:trHeight w:val="693"/>
        </w:trPr>
        <w:tc>
          <w:tcPr>
            <w:tcW w:w="996" w:type="pct"/>
            <w:tcBorders>
              <w:top w:val="single" w:sz="6" w:space="0" w:color="auto"/>
              <w:left w:val="single" w:sz="8" w:space="0" w:color="auto"/>
              <w:bottom w:val="single" w:sz="6" w:space="0" w:color="auto"/>
              <w:right w:val="single" w:sz="6" w:space="0" w:color="auto"/>
            </w:tcBorders>
          </w:tcPr>
          <w:p w14:paraId="4E303131" w14:textId="77777777" w:rsidR="00CB4E93" w:rsidRPr="00A9330B" w:rsidRDefault="00CB4E93" w:rsidP="00CB4E93">
            <w:pPr>
              <w:widowControl w:val="0"/>
              <w:spacing w:before="60" w:line="240" w:lineRule="auto"/>
              <w:rPr>
                <w:rFonts w:eastAsia="Calibri" w:cs="Arial"/>
                <w:color w:val="auto"/>
                <w:sz w:val="18"/>
                <w:szCs w:val="18"/>
              </w:rPr>
            </w:pPr>
            <w:r w:rsidRPr="00A9330B">
              <w:rPr>
                <w:rFonts w:eastAsia="Calibri" w:cs="Arial"/>
                <w:color w:val="auto"/>
                <w:sz w:val="18"/>
                <w:szCs w:val="18"/>
              </w:rPr>
              <w:t>2.8.a.8.3. ; 2.8.a.8.3. ;</w:t>
            </w:r>
          </w:p>
          <w:p w14:paraId="29DC0456" w14:textId="77777777" w:rsidR="00CB4E93" w:rsidRPr="00A9330B" w:rsidRDefault="00CB4E93" w:rsidP="00CB4E93">
            <w:pPr>
              <w:widowControl w:val="0"/>
              <w:spacing w:before="60" w:line="240" w:lineRule="auto"/>
              <w:rPr>
                <w:rFonts w:eastAsia="Calibri" w:cs="Arial"/>
                <w:color w:val="auto"/>
                <w:sz w:val="18"/>
                <w:szCs w:val="18"/>
              </w:rPr>
            </w:pPr>
            <w:r w:rsidRPr="00A9330B">
              <w:rPr>
                <w:rFonts w:eastAsia="Calibri" w:cs="Arial"/>
                <w:color w:val="auto"/>
                <w:sz w:val="18"/>
                <w:szCs w:val="18"/>
              </w:rPr>
              <w:t>Doter les sites de chantiers de boîte à pharmacie ou d’une infirmérie pour les premiers soins et établir une convention avec centre de santé proche</w:t>
            </w:r>
          </w:p>
        </w:tc>
        <w:tc>
          <w:tcPr>
            <w:tcW w:w="916" w:type="pct"/>
            <w:tcBorders>
              <w:top w:val="single" w:sz="6" w:space="0" w:color="auto"/>
              <w:left w:val="single" w:sz="6" w:space="0" w:color="auto"/>
              <w:bottom w:val="single" w:sz="6" w:space="0" w:color="auto"/>
              <w:right w:val="single" w:sz="6" w:space="0" w:color="auto"/>
            </w:tcBorders>
          </w:tcPr>
          <w:p w14:paraId="789F216B" w14:textId="77777777" w:rsidR="00CB4E93" w:rsidRPr="00A9330B" w:rsidRDefault="00CB4E93" w:rsidP="00CB4E93">
            <w:pPr>
              <w:widowControl w:val="0"/>
              <w:autoSpaceDE w:val="0"/>
              <w:autoSpaceDN w:val="0"/>
              <w:adjustRightInd w:val="0"/>
              <w:spacing w:before="60" w:line="240" w:lineRule="auto"/>
              <w:jc w:val="both"/>
              <w:rPr>
                <w:rFonts w:eastAsia="Calibri" w:cs="Arial"/>
                <w:color w:val="auto"/>
                <w:sz w:val="18"/>
                <w:szCs w:val="18"/>
              </w:rPr>
            </w:pPr>
            <w:r w:rsidRPr="00A9330B">
              <w:rPr>
                <w:rFonts w:eastAsia="Calibri" w:cs="Arial"/>
                <w:color w:val="auto"/>
                <w:sz w:val="18"/>
                <w:szCs w:val="18"/>
              </w:rPr>
              <w:t>Présence de la boite à pharmacie de premier soin</w:t>
            </w:r>
          </w:p>
          <w:p w14:paraId="0BD1FF55" w14:textId="77777777" w:rsidR="00CB4E93" w:rsidRPr="00A9330B" w:rsidRDefault="00CB4E93" w:rsidP="00CB4E93">
            <w:pPr>
              <w:widowControl w:val="0"/>
              <w:autoSpaceDE w:val="0"/>
              <w:autoSpaceDN w:val="0"/>
              <w:adjustRightInd w:val="0"/>
              <w:spacing w:before="60" w:line="240" w:lineRule="auto"/>
              <w:jc w:val="both"/>
              <w:rPr>
                <w:rFonts w:eastAsia="Calibri" w:cs="Arial"/>
                <w:color w:val="auto"/>
                <w:sz w:val="18"/>
                <w:szCs w:val="18"/>
              </w:rPr>
            </w:pPr>
            <w:r w:rsidRPr="00A9330B">
              <w:rPr>
                <w:rFonts w:eastAsia="Calibri" w:cs="Arial"/>
                <w:color w:val="auto"/>
                <w:sz w:val="18"/>
                <w:szCs w:val="18"/>
              </w:rPr>
              <w:t xml:space="preserve">Contrat avec un centre de santé </w:t>
            </w:r>
          </w:p>
        </w:tc>
        <w:tc>
          <w:tcPr>
            <w:tcW w:w="637" w:type="pct"/>
            <w:tcBorders>
              <w:top w:val="single" w:sz="6" w:space="0" w:color="auto"/>
              <w:left w:val="single" w:sz="6" w:space="0" w:color="auto"/>
              <w:bottom w:val="single" w:sz="6" w:space="0" w:color="auto"/>
              <w:right w:val="single" w:sz="6" w:space="0" w:color="auto"/>
            </w:tcBorders>
          </w:tcPr>
          <w:p w14:paraId="123D244B" w14:textId="77777777" w:rsidR="00CB4E93" w:rsidRPr="00A9330B" w:rsidRDefault="00CB4E93" w:rsidP="00CB4E93">
            <w:pPr>
              <w:widowControl w:val="0"/>
              <w:spacing w:before="60" w:line="240" w:lineRule="auto"/>
              <w:jc w:val="center"/>
              <w:rPr>
                <w:rFonts w:eastAsia="Calibri" w:cs="Arial"/>
                <w:color w:val="auto"/>
                <w:sz w:val="18"/>
                <w:szCs w:val="18"/>
              </w:rPr>
            </w:pPr>
            <w:r w:rsidRPr="00A9330B">
              <w:rPr>
                <w:rFonts w:eastAsia="Calibri" w:cs="Arial"/>
                <w:color w:val="auto"/>
                <w:sz w:val="18"/>
                <w:szCs w:val="18"/>
              </w:rPr>
              <w:t>Pendant les travaux</w:t>
            </w:r>
          </w:p>
        </w:tc>
        <w:tc>
          <w:tcPr>
            <w:tcW w:w="657" w:type="pct"/>
            <w:tcBorders>
              <w:top w:val="single" w:sz="6" w:space="0" w:color="auto"/>
              <w:left w:val="single" w:sz="6" w:space="0" w:color="auto"/>
              <w:bottom w:val="single" w:sz="6" w:space="0" w:color="auto"/>
              <w:right w:val="single" w:sz="6" w:space="0" w:color="auto"/>
            </w:tcBorders>
          </w:tcPr>
          <w:p w14:paraId="4EA5FE81" w14:textId="77777777" w:rsidR="00CB4E93" w:rsidRPr="00A9330B" w:rsidRDefault="00CB4E93" w:rsidP="00CB4E93">
            <w:pPr>
              <w:widowControl w:val="0"/>
              <w:spacing w:before="60" w:line="240" w:lineRule="auto"/>
              <w:jc w:val="center"/>
              <w:rPr>
                <w:rFonts w:eastAsia="Calibri" w:cs="Arial"/>
                <w:color w:val="auto"/>
                <w:sz w:val="18"/>
                <w:szCs w:val="18"/>
              </w:rPr>
            </w:pPr>
            <w:r w:rsidRPr="00A9330B">
              <w:rPr>
                <w:rFonts w:eastAsia="Calibri" w:cs="Arial"/>
                <w:color w:val="auto"/>
                <w:sz w:val="18"/>
                <w:szCs w:val="18"/>
              </w:rPr>
              <w:t>MDC</w:t>
            </w:r>
          </w:p>
          <w:p w14:paraId="5121699D" w14:textId="77777777" w:rsidR="00CB4E93" w:rsidRPr="00A9330B" w:rsidRDefault="00CB4E93" w:rsidP="00CB4E93">
            <w:pPr>
              <w:widowControl w:val="0"/>
              <w:spacing w:before="60" w:line="240" w:lineRule="auto"/>
              <w:jc w:val="center"/>
              <w:rPr>
                <w:rFonts w:eastAsia="Calibri" w:cs="Arial"/>
                <w:color w:val="auto"/>
                <w:sz w:val="18"/>
                <w:szCs w:val="18"/>
              </w:rPr>
            </w:pPr>
            <w:r w:rsidRPr="00A9330B">
              <w:rPr>
                <w:rFonts w:eastAsia="Calibri" w:cs="Arial"/>
                <w:color w:val="auto"/>
                <w:sz w:val="18"/>
                <w:szCs w:val="18"/>
              </w:rPr>
              <w:t>Entreprise chargée des travaux</w:t>
            </w:r>
          </w:p>
        </w:tc>
        <w:tc>
          <w:tcPr>
            <w:tcW w:w="897" w:type="pct"/>
            <w:tcBorders>
              <w:top w:val="single" w:sz="6" w:space="0" w:color="auto"/>
              <w:left w:val="single" w:sz="6" w:space="0" w:color="auto"/>
              <w:bottom w:val="single" w:sz="6" w:space="0" w:color="auto"/>
              <w:right w:val="single" w:sz="8" w:space="0" w:color="auto"/>
            </w:tcBorders>
          </w:tcPr>
          <w:p w14:paraId="09DD8235" w14:textId="77777777" w:rsidR="00CB4E93" w:rsidRPr="00A9330B" w:rsidRDefault="00CB4E93" w:rsidP="00CB4E93">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t>Mairie de Natitingou (Services Techniques)</w:t>
            </w:r>
          </w:p>
          <w:p w14:paraId="11D8DA63" w14:textId="77777777" w:rsidR="00CB4E93" w:rsidRPr="00A9330B" w:rsidRDefault="00CB4E93" w:rsidP="00CB4E93">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t>DDCVDD-AD</w:t>
            </w:r>
          </w:p>
          <w:p w14:paraId="473EC51B" w14:textId="77777777" w:rsidR="00CB4E93" w:rsidRPr="00A9330B" w:rsidRDefault="00CB4E93" w:rsidP="00CB4E93">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t>DDS</w:t>
            </w:r>
          </w:p>
        </w:tc>
        <w:tc>
          <w:tcPr>
            <w:tcW w:w="897" w:type="pct"/>
            <w:tcBorders>
              <w:top w:val="single" w:sz="6" w:space="0" w:color="auto"/>
              <w:left w:val="single" w:sz="6" w:space="0" w:color="auto"/>
              <w:bottom w:val="single" w:sz="6" w:space="0" w:color="auto"/>
              <w:right w:val="single" w:sz="8" w:space="0" w:color="auto"/>
            </w:tcBorders>
          </w:tcPr>
          <w:p w14:paraId="4E1C7F0A" w14:textId="77777777" w:rsidR="00CB4E93" w:rsidRPr="00A9330B" w:rsidRDefault="00CB4E93" w:rsidP="00CB4E93">
            <w:pPr>
              <w:widowControl w:val="0"/>
              <w:autoSpaceDE w:val="0"/>
              <w:autoSpaceDN w:val="0"/>
              <w:adjustRightInd w:val="0"/>
              <w:spacing w:before="60" w:line="240" w:lineRule="auto"/>
              <w:rPr>
                <w:rFonts w:eastAsia="Calibri" w:cs="Arial"/>
                <w:color w:val="auto"/>
                <w:sz w:val="18"/>
                <w:szCs w:val="18"/>
              </w:rPr>
            </w:pPr>
            <w:r w:rsidRPr="00A9330B">
              <w:rPr>
                <w:rFonts w:eastAsia="Calibri" w:cs="Arial"/>
                <w:sz w:val="20"/>
                <w:szCs w:val="20"/>
              </w:rPr>
              <w:t>Intégrer dans sécurité de chantier (DAO travaux)</w:t>
            </w:r>
          </w:p>
        </w:tc>
      </w:tr>
      <w:tr w:rsidR="00CB4E93" w:rsidRPr="00A9330B" w14:paraId="69F8E40B" w14:textId="77777777" w:rsidTr="00CB4E93">
        <w:trPr>
          <w:trHeight w:val="693"/>
        </w:trPr>
        <w:tc>
          <w:tcPr>
            <w:tcW w:w="996" w:type="pct"/>
            <w:tcBorders>
              <w:top w:val="single" w:sz="6" w:space="0" w:color="auto"/>
              <w:left w:val="single" w:sz="8" w:space="0" w:color="auto"/>
              <w:bottom w:val="single" w:sz="6" w:space="0" w:color="auto"/>
              <w:right w:val="single" w:sz="6" w:space="0" w:color="auto"/>
            </w:tcBorders>
          </w:tcPr>
          <w:p w14:paraId="306E96F7" w14:textId="77777777" w:rsidR="00CB4E93" w:rsidRPr="00A9330B" w:rsidRDefault="00CB4E93" w:rsidP="00CB4E93">
            <w:pPr>
              <w:widowControl w:val="0"/>
              <w:spacing w:before="60" w:line="240" w:lineRule="auto"/>
              <w:jc w:val="both"/>
              <w:rPr>
                <w:rFonts w:eastAsia="Calibri" w:cs="Arial"/>
                <w:color w:val="auto"/>
                <w:sz w:val="18"/>
                <w:szCs w:val="18"/>
              </w:rPr>
            </w:pPr>
            <w:r w:rsidRPr="00A9330B">
              <w:rPr>
                <w:rFonts w:eastAsia="Calibri" w:cs="Arial"/>
                <w:color w:val="auto"/>
                <w:sz w:val="18"/>
                <w:szCs w:val="18"/>
              </w:rPr>
              <w:t xml:space="preserve">2.8.a.9.1. ; 2.8.a.9.1. </w:t>
            </w:r>
          </w:p>
          <w:p w14:paraId="1DA2538E" w14:textId="77777777" w:rsidR="00CB4E93" w:rsidRPr="00A9330B" w:rsidRDefault="00CB4E93" w:rsidP="00CB4E93">
            <w:pPr>
              <w:widowControl w:val="0"/>
              <w:spacing w:before="60" w:line="240" w:lineRule="auto"/>
              <w:jc w:val="both"/>
              <w:rPr>
                <w:rFonts w:eastAsia="Calibri" w:cs="Arial"/>
                <w:color w:val="auto"/>
                <w:sz w:val="18"/>
                <w:szCs w:val="18"/>
              </w:rPr>
            </w:pPr>
            <w:r w:rsidRPr="00A9330B">
              <w:rPr>
                <w:rFonts w:eastAsia="Calibri" w:cs="Arial"/>
                <w:color w:val="auto"/>
                <w:sz w:val="18"/>
                <w:szCs w:val="18"/>
              </w:rPr>
              <w:t>Cibler les foyers  de maladies et faire un suivi médical adéquat pour les travailleurs et les populations</w:t>
            </w:r>
          </w:p>
        </w:tc>
        <w:tc>
          <w:tcPr>
            <w:tcW w:w="916" w:type="pct"/>
            <w:tcBorders>
              <w:top w:val="single" w:sz="6" w:space="0" w:color="auto"/>
              <w:left w:val="single" w:sz="6" w:space="0" w:color="auto"/>
              <w:bottom w:val="single" w:sz="6" w:space="0" w:color="auto"/>
              <w:right w:val="single" w:sz="6" w:space="0" w:color="auto"/>
            </w:tcBorders>
          </w:tcPr>
          <w:p w14:paraId="776C2F8C" w14:textId="77777777" w:rsidR="00CB4E93" w:rsidRPr="00A9330B" w:rsidRDefault="00CB4E93" w:rsidP="00CB4E93">
            <w:pPr>
              <w:widowControl w:val="0"/>
              <w:autoSpaceDE w:val="0"/>
              <w:autoSpaceDN w:val="0"/>
              <w:adjustRightInd w:val="0"/>
              <w:spacing w:before="60" w:line="240" w:lineRule="auto"/>
              <w:jc w:val="both"/>
              <w:rPr>
                <w:rFonts w:eastAsia="Calibri" w:cs="Arial"/>
                <w:color w:val="auto"/>
                <w:sz w:val="18"/>
                <w:szCs w:val="18"/>
              </w:rPr>
            </w:pPr>
            <w:r w:rsidRPr="00A9330B">
              <w:rPr>
                <w:rFonts w:eastAsia="Calibri" w:cs="Arial"/>
                <w:color w:val="auto"/>
                <w:sz w:val="18"/>
                <w:szCs w:val="18"/>
              </w:rPr>
              <w:t xml:space="preserve">Certificat de visite médicale à l’embauche </w:t>
            </w:r>
          </w:p>
          <w:p w14:paraId="0C68FA36" w14:textId="77777777" w:rsidR="00CB4E93" w:rsidRPr="00A9330B" w:rsidRDefault="00CB4E93" w:rsidP="00CB4E93">
            <w:pPr>
              <w:widowControl w:val="0"/>
              <w:autoSpaceDE w:val="0"/>
              <w:autoSpaceDN w:val="0"/>
              <w:adjustRightInd w:val="0"/>
              <w:spacing w:before="60" w:line="240" w:lineRule="auto"/>
              <w:jc w:val="both"/>
              <w:rPr>
                <w:rFonts w:eastAsia="Calibri" w:cs="Arial"/>
                <w:color w:val="auto"/>
                <w:sz w:val="18"/>
                <w:szCs w:val="18"/>
              </w:rPr>
            </w:pPr>
            <w:r w:rsidRPr="00A9330B">
              <w:rPr>
                <w:rFonts w:eastAsia="Calibri" w:cs="Arial"/>
                <w:color w:val="auto"/>
                <w:sz w:val="18"/>
                <w:szCs w:val="18"/>
              </w:rPr>
              <w:t xml:space="preserve">Recrutement d’un médecin de travail par l’entreprise </w:t>
            </w:r>
          </w:p>
        </w:tc>
        <w:tc>
          <w:tcPr>
            <w:tcW w:w="637" w:type="pct"/>
            <w:tcBorders>
              <w:top w:val="single" w:sz="6" w:space="0" w:color="auto"/>
              <w:left w:val="single" w:sz="6" w:space="0" w:color="auto"/>
              <w:bottom w:val="single" w:sz="6" w:space="0" w:color="auto"/>
              <w:right w:val="single" w:sz="6" w:space="0" w:color="auto"/>
            </w:tcBorders>
          </w:tcPr>
          <w:p w14:paraId="32538FE8" w14:textId="77777777" w:rsidR="00CB4E93" w:rsidRPr="00A9330B" w:rsidRDefault="00CB4E93" w:rsidP="00CB4E93">
            <w:pPr>
              <w:widowControl w:val="0"/>
              <w:autoSpaceDE w:val="0"/>
              <w:autoSpaceDN w:val="0"/>
              <w:adjustRightInd w:val="0"/>
              <w:spacing w:before="60" w:line="240" w:lineRule="auto"/>
              <w:jc w:val="center"/>
              <w:rPr>
                <w:rFonts w:eastAsia="Calibri" w:cs="Arial"/>
                <w:color w:val="auto"/>
                <w:sz w:val="18"/>
                <w:szCs w:val="18"/>
              </w:rPr>
            </w:pPr>
            <w:r w:rsidRPr="00A9330B">
              <w:rPr>
                <w:rFonts w:eastAsia="Calibri" w:cs="Arial"/>
                <w:color w:val="auto"/>
                <w:sz w:val="18"/>
                <w:szCs w:val="18"/>
              </w:rPr>
              <w:t>Avant le démarrage et pendant les travaux</w:t>
            </w:r>
          </w:p>
        </w:tc>
        <w:tc>
          <w:tcPr>
            <w:tcW w:w="657" w:type="pct"/>
            <w:tcBorders>
              <w:top w:val="single" w:sz="6" w:space="0" w:color="auto"/>
              <w:left w:val="single" w:sz="6" w:space="0" w:color="auto"/>
              <w:bottom w:val="single" w:sz="6" w:space="0" w:color="auto"/>
              <w:right w:val="single" w:sz="6" w:space="0" w:color="auto"/>
            </w:tcBorders>
          </w:tcPr>
          <w:p w14:paraId="4AC48A27" w14:textId="77777777" w:rsidR="00CB4E93" w:rsidRPr="00A9330B" w:rsidRDefault="00CB4E93" w:rsidP="00CB4E93">
            <w:pPr>
              <w:widowControl w:val="0"/>
              <w:autoSpaceDE w:val="0"/>
              <w:autoSpaceDN w:val="0"/>
              <w:adjustRightInd w:val="0"/>
              <w:spacing w:before="60" w:line="240" w:lineRule="auto"/>
              <w:jc w:val="center"/>
              <w:rPr>
                <w:rFonts w:eastAsia="Calibri" w:cs="Arial"/>
                <w:color w:val="auto"/>
                <w:sz w:val="18"/>
                <w:szCs w:val="18"/>
              </w:rPr>
            </w:pPr>
            <w:r w:rsidRPr="00A9330B">
              <w:rPr>
                <w:rFonts w:eastAsia="Calibri" w:cs="Arial"/>
                <w:color w:val="auto"/>
                <w:sz w:val="18"/>
                <w:szCs w:val="18"/>
              </w:rPr>
              <w:t>MDC</w:t>
            </w:r>
          </w:p>
          <w:p w14:paraId="70F4CFF5" w14:textId="77777777" w:rsidR="00CB4E93" w:rsidRPr="00A9330B" w:rsidRDefault="00CB4E93" w:rsidP="00CB4E93">
            <w:pPr>
              <w:widowControl w:val="0"/>
              <w:autoSpaceDE w:val="0"/>
              <w:autoSpaceDN w:val="0"/>
              <w:adjustRightInd w:val="0"/>
              <w:spacing w:before="60" w:line="240" w:lineRule="auto"/>
              <w:jc w:val="center"/>
              <w:rPr>
                <w:rFonts w:eastAsia="Calibri" w:cs="Arial"/>
                <w:color w:val="auto"/>
                <w:sz w:val="18"/>
                <w:szCs w:val="18"/>
              </w:rPr>
            </w:pPr>
            <w:r w:rsidRPr="00A9330B">
              <w:rPr>
                <w:rFonts w:eastAsia="Calibri" w:cs="Arial"/>
                <w:color w:val="auto"/>
                <w:sz w:val="18"/>
                <w:szCs w:val="18"/>
              </w:rPr>
              <w:t>Entreprise chargée des travaux</w:t>
            </w:r>
          </w:p>
        </w:tc>
        <w:tc>
          <w:tcPr>
            <w:tcW w:w="897" w:type="pct"/>
            <w:tcBorders>
              <w:top w:val="single" w:sz="6" w:space="0" w:color="auto"/>
              <w:left w:val="single" w:sz="6" w:space="0" w:color="auto"/>
              <w:bottom w:val="single" w:sz="6" w:space="0" w:color="auto"/>
              <w:right w:val="single" w:sz="8" w:space="0" w:color="auto"/>
            </w:tcBorders>
          </w:tcPr>
          <w:p w14:paraId="7ADAE961" w14:textId="77777777" w:rsidR="00CB4E93" w:rsidRPr="00A9330B" w:rsidRDefault="00CB4E93" w:rsidP="00CB4E93">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t>Mairie de Natitingou (Services Techniques)</w:t>
            </w:r>
          </w:p>
          <w:p w14:paraId="3B382659" w14:textId="77777777" w:rsidR="00CB4E93" w:rsidRPr="00A9330B" w:rsidRDefault="00CB4E93" w:rsidP="00CB4E93">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t>DDCVDD-AD</w:t>
            </w:r>
          </w:p>
          <w:p w14:paraId="742404C3" w14:textId="77777777" w:rsidR="00CB4E93" w:rsidRPr="00A9330B" w:rsidRDefault="00CB4E93" w:rsidP="00CB4E93">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t>DDS</w:t>
            </w:r>
          </w:p>
        </w:tc>
        <w:tc>
          <w:tcPr>
            <w:tcW w:w="897" w:type="pct"/>
            <w:tcBorders>
              <w:top w:val="single" w:sz="6" w:space="0" w:color="auto"/>
              <w:left w:val="single" w:sz="6" w:space="0" w:color="auto"/>
              <w:bottom w:val="single" w:sz="6" w:space="0" w:color="auto"/>
              <w:right w:val="single" w:sz="8" w:space="0" w:color="auto"/>
            </w:tcBorders>
          </w:tcPr>
          <w:p w14:paraId="24D7A447" w14:textId="77777777" w:rsidR="00CB4E93" w:rsidRPr="00A9330B" w:rsidRDefault="00CB4E93" w:rsidP="00CB4E93">
            <w:pPr>
              <w:widowControl w:val="0"/>
              <w:autoSpaceDE w:val="0"/>
              <w:autoSpaceDN w:val="0"/>
              <w:adjustRightInd w:val="0"/>
              <w:spacing w:before="60" w:line="240" w:lineRule="auto"/>
              <w:rPr>
                <w:rFonts w:eastAsia="Calibri" w:cs="Arial"/>
                <w:sz w:val="20"/>
                <w:szCs w:val="20"/>
              </w:rPr>
            </w:pPr>
            <w:r w:rsidRPr="00A9330B">
              <w:rPr>
                <w:rFonts w:eastAsia="Calibri" w:cs="Arial"/>
                <w:sz w:val="20"/>
                <w:szCs w:val="20"/>
              </w:rPr>
              <w:t>Intégrer dans sécurité de chantier (DAO travaux) pour les travailleurs.</w:t>
            </w:r>
          </w:p>
          <w:p w14:paraId="7FC5FFF2" w14:textId="77777777" w:rsidR="00CB4E93" w:rsidRPr="00A9330B" w:rsidRDefault="00CB4E93" w:rsidP="00CB4E93">
            <w:pPr>
              <w:widowControl w:val="0"/>
              <w:autoSpaceDE w:val="0"/>
              <w:autoSpaceDN w:val="0"/>
              <w:adjustRightInd w:val="0"/>
              <w:spacing w:before="60" w:line="240" w:lineRule="auto"/>
              <w:rPr>
                <w:rFonts w:eastAsia="Calibri" w:cs="Arial"/>
                <w:color w:val="auto"/>
                <w:sz w:val="18"/>
                <w:szCs w:val="18"/>
              </w:rPr>
            </w:pPr>
          </w:p>
        </w:tc>
      </w:tr>
      <w:tr w:rsidR="00CB4E93" w:rsidRPr="00A9330B" w14:paraId="2FB3F2C8" w14:textId="77777777" w:rsidTr="00CB4E93">
        <w:trPr>
          <w:trHeight w:val="693"/>
        </w:trPr>
        <w:tc>
          <w:tcPr>
            <w:tcW w:w="996" w:type="pct"/>
            <w:tcBorders>
              <w:top w:val="single" w:sz="6" w:space="0" w:color="auto"/>
              <w:left w:val="single" w:sz="8" w:space="0" w:color="auto"/>
              <w:bottom w:val="single" w:sz="6" w:space="0" w:color="auto"/>
              <w:right w:val="single" w:sz="6" w:space="0" w:color="auto"/>
            </w:tcBorders>
          </w:tcPr>
          <w:p w14:paraId="0C516107" w14:textId="77777777" w:rsidR="00CB4E93" w:rsidRPr="00A9330B" w:rsidRDefault="00CB4E93" w:rsidP="00CB4E93">
            <w:pPr>
              <w:widowControl w:val="0"/>
              <w:spacing w:before="60" w:line="240" w:lineRule="auto"/>
              <w:rPr>
                <w:rFonts w:eastAsia="Calibri" w:cs="Arial"/>
                <w:color w:val="auto"/>
                <w:sz w:val="18"/>
                <w:szCs w:val="18"/>
              </w:rPr>
            </w:pPr>
            <w:r w:rsidRPr="00A9330B">
              <w:rPr>
                <w:rFonts w:eastAsia="Calibri" w:cs="Arial"/>
                <w:color w:val="auto"/>
                <w:sz w:val="18"/>
                <w:szCs w:val="18"/>
              </w:rPr>
              <w:t xml:space="preserve">2.8.a.9 2 ; </w:t>
            </w:r>
            <w:r w:rsidRPr="00A9330B">
              <w:rPr>
                <w:rFonts w:cs="Arial"/>
                <w:color w:val="auto"/>
                <w:sz w:val="18"/>
                <w:szCs w:val="18"/>
              </w:rPr>
              <w:t xml:space="preserve">2.8.a.10.1. ; </w:t>
            </w:r>
            <w:r w:rsidRPr="00A9330B">
              <w:rPr>
                <w:rFonts w:eastAsia="Calibri" w:cs="Arial"/>
                <w:color w:val="auto"/>
                <w:sz w:val="18"/>
                <w:szCs w:val="18"/>
              </w:rPr>
              <w:t xml:space="preserve">2.8.a.10.2. ;  2.8.a.10.4 </w:t>
            </w:r>
          </w:p>
          <w:p w14:paraId="2903F3A8" w14:textId="77777777" w:rsidR="00CB4E93" w:rsidRPr="00A9330B" w:rsidRDefault="00CB4E93" w:rsidP="00CB4E93">
            <w:pPr>
              <w:widowControl w:val="0"/>
              <w:spacing w:before="60" w:line="240" w:lineRule="auto"/>
              <w:rPr>
                <w:rFonts w:eastAsia="Calibri" w:cs="Arial"/>
                <w:color w:val="auto"/>
                <w:sz w:val="18"/>
                <w:szCs w:val="18"/>
              </w:rPr>
            </w:pPr>
            <w:r w:rsidRPr="00A9330B">
              <w:rPr>
                <w:rFonts w:eastAsia="Calibri" w:cs="Arial"/>
                <w:color w:val="auto"/>
                <w:sz w:val="18"/>
                <w:szCs w:val="18"/>
              </w:rPr>
              <w:t>Sensibiliser les populations et les ouvriers sur le VIH-SIDA ,COVID-19 et autres pandémies</w:t>
            </w:r>
          </w:p>
        </w:tc>
        <w:tc>
          <w:tcPr>
            <w:tcW w:w="916" w:type="pct"/>
            <w:tcBorders>
              <w:top w:val="single" w:sz="6" w:space="0" w:color="auto"/>
              <w:left w:val="single" w:sz="6" w:space="0" w:color="auto"/>
              <w:bottom w:val="single" w:sz="6" w:space="0" w:color="auto"/>
              <w:right w:val="single" w:sz="6" w:space="0" w:color="auto"/>
            </w:tcBorders>
          </w:tcPr>
          <w:p w14:paraId="17A72AA8" w14:textId="77777777" w:rsidR="00CB4E93" w:rsidRPr="00A9330B" w:rsidRDefault="00CB4E93" w:rsidP="00CB4E93">
            <w:pPr>
              <w:widowControl w:val="0"/>
              <w:autoSpaceDE w:val="0"/>
              <w:autoSpaceDN w:val="0"/>
              <w:adjustRightInd w:val="0"/>
              <w:spacing w:before="60" w:line="240" w:lineRule="auto"/>
              <w:jc w:val="both"/>
              <w:rPr>
                <w:rFonts w:eastAsia="Calibri" w:cs="Arial"/>
                <w:color w:val="auto"/>
                <w:sz w:val="18"/>
                <w:szCs w:val="18"/>
              </w:rPr>
            </w:pPr>
            <w:r w:rsidRPr="00A9330B">
              <w:rPr>
                <w:rFonts w:eastAsia="Calibri" w:cs="Arial"/>
                <w:color w:val="auto"/>
                <w:sz w:val="18"/>
                <w:szCs w:val="18"/>
              </w:rPr>
              <w:t>Rapports de sensibilisation disponible</w:t>
            </w:r>
          </w:p>
          <w:p w14:paraId="031C3279" w14:textId="77777777" w:rsidR="00CB4E93" w:rsidRPr="00A9330B" w:rsidRDefault="00CB4E93" w:rsidP="00CB4E93">
            <w:pPr>
              <w:widowControl w:val="0"/>
              <w:autoSpaceDE w:val="0"/>
              <w:autoSpaceDN w:val="0"/>
              <w:adjustRightInd w:val="0"/>
              <w:spacing w:before="60" w:line="240" w:lineRule="auto"/>
              <w:jc w:val="both"/>
              <w:rPr>
                <w:rFonts w:eastAsia="Calibri" w:cs="Arial"/>
                <w:color w:val="auto"/>
                <w:sz w:val="18"/>
                <w:szCs w:val="18"/>
              </w:rPr>
            </w:pPr>
            <w:r w:rsidRPr="00A9330B">
              <w:rPr>
                <w:rFonts w:eastAsia="Calibri" w:cs="Arial"/>
                <w:color w:val="auto"/>
                <w:sz w:val="18"/>
                <w:szCs w:val="18"/>
              </w:rPr>
              <w:t>Trois campagnes de sensibilisation réalisées par an</w:t>
            </w:r>
          </w:p>
        </w:tc>
        <w:tc>
          <w:tcPr>
            <w:tcW w:w="637" w:type="pct"/>
            <w:tcBorders>
              <w:top w:val="single" w:sz="6" w:space="0" w:color="auto"/>
              <w:left w:val="single" w:sz="6" w:space="0" w:color="auto"/>
              <w:bottom w:val="single" w:sz="6" w:space="0" w:color="auto"/>
              <w:right w:val="single" w:sz="6" w:space="0" w:color="auto"/>
            </w:tcBorders>
          </w:tcPr>
          <w:p w14:paraId="6BC8EB5A" w14:textId="77777777" w:rsidR="00CB4E93" w:rsidRPr="00A9330B" w:rsidRDefault="00CB4E93" w:rsidP="00CB4E93">
            <w:pPr>
              <w:widowControl w:val="0"/>
              <w:autoSpaceDE w:val="0"/>
              <w:autoSpaceDN w:val="0"/>
              <w:adjustRightInd w:val="0"/>
              <w:spacing w:before="60" w:line="240" w:lineRule="auto"/>
              <w:jc w:val="center"/>
              <w:rPr>
                <w:rFonts w:eastAsia="Calibri" w:cs="Arial"/>
                <w:color w:val="auto"/>
                <w:sz w:val="18"/>
                <w:szCs w:val="18"/>
              </w:rPr>
            </w:pPr>
            <w:r w:rsidRPr="00A9330B">
              <w:rPr>
                <w:rFonts w:eastAsia="Calibri" w:cs="Arial"/>
                <w:color w:val="auto"/>
                <w:sz w:val="18"/>
                <w:szCs w:val="18"/>
              </w:rPr>
              <w:t>Pendant les travaux et l’exploitation</w:t>
            </w:r>
          </w:p>
        </w:tc>
        <w:tc>
          <w:tcPr>
            <w:tcW w:w="657" w:type="pct"/>
            <w:tcBorders>
              <w:top w:val="single" w:sz="6" w:space="0" w:color="auto"/>
              <w:left w:val="single" w:sz="6" w:space="0" w:color="auto"/>
              <w:bottom w:val="single" w:sz="6" w:space="0" w:color="auto"/>
              <w:right w:val="single" w:sz="6" w:space="0" w:color="auto"/>
            </w:tcBorders>
          </w:tcPr>
          <w:p w14:paraId="15F9B9A9" w14:textId="77777777" w:rsidR="00CB4E93" w:rsidRPr="00A9330B" w:rsidRDefault="00CB4E93" w:rsidP="00CB4E93">
            <w:pPr>
              <w:widowControl w:val="0"/>
              <w:autoSpaceDE w:val="0"/>
              <w:autoSpaceDN w:val="0"/>
              <w:adjustRightInd w:val="0"/>
              <w:spacing w:before="60" w:line="240" w:lineRule="auto"/>
              <w:jc w:val="center"/>
              <w:rPr>
                <w:rFonts w:eastAsia="Calibri" w:cs="Arial"/>
                <w:color w:val="auto"/>
                <w:sz w:val="18"/>
                <w:szCs w:val="18"/>
              </w:rPr>
            </w:pPr>
            <w:r w:rsidRPr="00A9330B">
              <w:rPr>
                <w:rFonts w:eastAsia="Calibri" w:cs="Arial"/>
                <w:color w:val="auto"/>
                <w:sz w:val="18"/>
                <w:szCs w:val="18"/>
              </w:rPr>
              <w:t>MDC</w:t>
            </w:r>
          </w:p>
          <w:p w14:paraId="28544A68" w14:textId="77777777" w:rsidR="00CB4E93" w:rsidRPr="00A9330B" w:rsidRDefault="00CB4E93" w:rsidP="00CB4E93">
            <w:pPr>
              <w:widowControl w:val="0"/>
              <w:autoSpaceDE w:val="0"/>
              <w:autoSpaceDN w:val="0"/>
              <w:adjustRightInd w:val="0"/>
              <w:spacing w:before="60" w:line="240" w:lineRule="auto"/>
              <w:jc w:val="center"/>
              <w:rPr>
                <w:rFonts w:eastAsia="Calibri" w:cs="Arial"/>
                <w:color w:val="auto"/>
                <w:sz w:val="18"/>
                <w:szCs w:val="18"/>
              </w:rPr>
            </w:pPr>
            <w:r w:rsidRPr="00A9330B">
              <w:rPr>
                <w:rFonts w:eastAsia="Calibri" w:cs="Arial"/>
                <w:color w:val="auto"/>
                <w:sz w:val="18"/>
                <w:szCs w:val="18"/>
              </w:rPr>
              <w:t>Entreprise chargée des travaux</w:t>
            </w:r>
          </w:p>
        </w:tc>
        <w:tc>
          <w:tcPr>
            <w:tcW w:w="897" w:type="pct"/>
            <w:tcBorders>
              <w:top w:val="single" w:sz="6" w:space="0" w:color="auto"/>
              <w:left w:val="single" w:sz="6" w:space="0" w:color="auto"/>
              <w:bottom w:val="single" w:sz="6" w:space="0" w:color="auto"/>
              <w:right w:val="single" w:sz="8" w:space="0" w:color="auto"/>
            </w:tcBorders>
          </w:tcPr>
          <w:p w14:paraId="44B75298" w14:textId="77777777" w:rsidR="00CB4E93" w:rsidRPr="00A9330B" w:rsidRDefault="00CB4E93" w:rsidP="00CB4E93">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t>Mairie de Natitingou (Services Techniques)</w:t>
            </w:r>
          </w:p>
          <w:p w14:paraId="47E870C1" w14:textId="77777777" w:rsidR="00CB4E93" w:rsidRPr="00A9330B" w:rsidRDefault="00CB4E93" w:rsidP="00CB4E93">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t>DDCVDD-AD</w:t>
            </w:r>
          </w:p>
          <w:p w14:paraId="3B3A664B" w14:textId="77777777" w:rsidR="00CB4E93" w:rsidRPr="00A9330B" w:rsidRDefault="00CB4E93" w:rsidP="00CB4E93">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t>Direction Départementale des Infrastructures et des Transports</w:t>
            </w:r>
          </w:p>
          <w:p w14:paraId="4A731E57" w14:textId="77777777" w:rsidR="00CB4E93" w:rsidRPr="00A9330B" w:rsidRDefault="00CB4E93" w:rsidP="00CB4E93">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t>DDS</w:t>
            </w:r>
          </w:p>
        </w:tc>
        <w:tc>
          <w:tcPr>
            <w:tcW w:w="897" w:type="pct"/>
            <w:tcBorders>
              <w:top w:val="single" w:sz="6" w:space="0" w:color="auto"/>
              <w:left w:val="single" w:sz="6" w:space="0" w:color="auto"/>
              <w:bottom w:val="single" w:sz="6" w:space="0" w:color="auto"/>
              <w:right w:val="single" w:sz="8" w:space="0" w:color="auto"/>
            </w:tcBorders>
          </w:tcPr>
          <w:p w14:paraId="3D5FDA4E" w14:textId="77777777" w:rsidR="00CB4E93" w:rsidRPr="00A9330B" w:rsidRDefault="00CB4E93" w:rsidP="00CB4E93">
            <w:pPr>
              <w:widowControl w:val="0"/>
              <w:autoSpaceDE w:val="0"/>
              <w:autoSpaceDN w:val="0"/>
              <w:adjustRightInd w:val="0"/>
              <w:spacing w:before="60"/>
              <w:rPr>
                <w:rFonts w:eastAsia="Calibri" w:cs="Arial"/>
                <w:sz w:val="20"/>
                <w:szCs w:val="20"/>
              </w:rPr>
            </w:pPr>
            <w:r w:rsidRPr="00A9330B">
              <w:rPr>
                <w:rFonts w:eastAsia="Calibri" w:cs="Arial"/>
                <w:sz w:val="20"/>
                <w:szCs w:val="20"/>
              </w:rPr>
              <w:t>Sensibilisation par les crieurs publics, les radios locales et porte à porte par les agents HSE (04 séances par zones de travaux)</w:t>
            </w:r>
          </w:p>
          <w:p w14:paraId="2146AEFD" w14:textId="77777777" w:rsidR="00CB4E93" w:rsidRPr="00A9330B" w:rsidRDefault="00CB4E93" w:rsidP="00CB4E93">
            <w:pPr>
              <w:widowControl w:val="0"/>
              <w:autoSpaceDE w:val="0"/>
              <w:autoSpaceDN w:val="0"/>
              <w:adjustRightInd w:val="0"/>
              <w:spacing w:before="60" w:line="240" w:lineRule="auto"/>
              <w:rPr>
                <w:rFonts w:eastAsia="Calibri" w:cs="Arial"/>
                <w:color w:val="auto"/>
                <w:sz w:val="18"/>
                <w:szCs w:val="18"/>
              </w:rPr>
            </w:pPr>
            <w:r w:rsidRPr="00A9330B">
              <w:rPr>
                <w:rFonts w:eastAsia="Calibri" w:cs="Arial"/>
                <w:b/>
                <w:sz w:val="20"/>
                <w:szCs w:val="20"/>
              </w:rPr>
              <w:t>Cout :   6 500 000 F CFA </w:t>
            </w:r>
          </w:p>
        </w:tc>
      </w:tr>
      <w:tr w:rsidR="00CB4E93" w:rsidRPr="00A9330B" w14:paraId="0167C3D2" w14:textId="77777777" w:rsidTr="00CB4E93">
        <w:trPr>
          <w:trHeight w:val="693"/>
        </w:trPr>
        <w:tc>
          <w:tcPr>
            <w:tcW w:w="996" w:type="pct"/>
            <w:tcBorders>
              <w:top w:val="single" w:sz="6" w:space="0" w:color="auto"/>
              <w:left w:val="single" w:sz="8" w:space="0" w:color="auto"/>
              <w:bottom w:val="single" w:sz="6" w:space="0" w:color="auto"/>
              <w:right w:val="single" w:sz="6" w:space="0" w:color="auto"/>
            </w:tcBorders>
          </w:tcPr>
          <w:p w14:paraId="2575B873" w14:textId="77777777" w:rsidR="00CB4E93" w:rsidRPr="00A9330B" w:rsidRDefault="00CB4E93" w:rsidP="00CB4E93">
            <w:pPr>
              <w:widowControl w:val="0"/>
              <w:spacing w:before="60" w:line="240" w:lineRule="auto"/>
              <w:rPr>
                <w:rFonts w:cs="Arial"/>
                <w:color w:val="auto"/>
                <w:sz w:val="18"/>
                <w:szCs w:val="18"/>
              </w:rPr>
            </w:pPr>
            <w:r w:rsidRPr="00A9330B">
              <w:rPr>
                <w:rFonts w:cs="Arial"/>
                <w:color w:val="auto"/>
                <w:sz w:val="18"/>
                <w:szCs w:val="18"/>
              </w:rPr>
              <w:lastRenderedPageBreak/>
              <w:t xml:space="preserve">2.8.a.10.5. ; 3.1.a.6.1 </w:t>
            </w:r>
          </w:p>
          <w:p w14:paraId="3031ECCB" w14:textId="77777777" w:rsidR="00CB4E93" w:rsidRPr="00A9330B" w:rsidRDefault="00CB4E93" w:rsidP="00CB4E93">
            <w:pPr>
              <w:widowControl w:val="0"/>
              <w:spacing w:before="60" w:line="240" w:lineRule="auto"/>
              <w:rPr>
                <w:rFonts w:cs="Arial"/>
                <w:color w:val="auto"/>
                <w:sz w:val="18"/>
                <w:szCs w:val="18"/>
              </w:rPr>
            </w:pPr>
            <w:r w:rsidRPr="00A9330B">
              <w:rPr>
                <w:rFonts w:eastAsia="Calibri" w:cs="Arial"/>
                <w:color w:val="auto"/>
                <w:sz w:val="18"/>
                <w:szCs w:val="18"/>
              </w:rPr>
              <w:t>2.8.a.9.3 Se protéger et respecter les mesures barrières contre COVID-19</w:t>
            </w:r>
          </w:p>
          <w:p w14:paraId="0655F97F" w14:textId="77777777" w:rsidR="00CB4E93" w:rsidRPr="00A9330B" w:rsidRDefault="00CB4E93" w:rsidP="00CB4E93">
            <w:pPr>
              <w:widowControl w:val="0"/>
              <w:spacing w:before="60" w:line="240" w:lineRule="auto"/>
              <w:rPr>
                <w:rFonts w:eastAsia="Calibri" w:cs="Arial"/>
                <w:color w:val="auto"/>
                <w:sz w:val="18"/>
                <w:szCs w:val="18"/>
              </w:rPr>
            </w:pPr>
            <w:r w:rsidRPr="00A9330B">
              <w:rPr>
                <w:rFonts w:cs="Arial"/>
                <w:color w:val="auto"/>
                <w:sz w:val="18"/>
                <w:szCs w:val="18"/>
              </w:rPr>
              <w:t xml:space="preserve"> </w:t>
            </w:r>
          </w:p>
        </w:tc>
        <w:tc>
          <w:tcPr>
            <w:tcW w:w="916" w:type="pct"/>
            <w:tcBorders>
              <w:top w:val="single" w:sz="6" w:space="0" w:color="auto"/>
              <w:left w:val="single" w:sz="6" w:space="0" w:color="auto"/>
              <w:bottom w:val="single" w:sz="6" w:space="0" w:color="auto"/>
              <w:right w:val="single" w:sz="6" w:space="0" w:color="auto"/>
            </w:tcBorders>
          </w:tcPr>
          <w:p w14:paraId="2B513722" w14:textId="77777777" w:rsidR="00CB4E93" w:rsidRPr="00A9330B" w:rsidRDefault="00CB4E93" w:rsidP="00CB4E93">
            <w:pPr>
              <w:widowControl w:val="0"/>
              <w:autoSpaceDE w:val="0"/>
              <w:autoSpaceDN w:val="0"/>
              <w:adjustRightInd w:val="0"/>
              <w:spacing w:before="60" w:line="240" w:lineRule="auto"/>
              <w:jc w:val="both"/>
              <w:rPr>
                <w:rFonts w:eastAsia="Calibri" w:cs="Arial"/>
                <w:color w:val="auto"/>
                <w:sz w:val="18"/>
                <w:szCs w:val="18"/>
              </w:rPr>
            </w:pPr>
            <w:r w:rsidRPr="00A9330B">
              <w:rPr>
                <w:rFonts w:eastAsia="Calibri" w:cs="Arial"/>
                <w:color w:val="auto"/>
                <w:sz w:val="18"/>
                <w:szCs w:val="18"/>
              </w:rPr>
              <w:t>Existence de système de lavage des mains sur les bases vie et les chantiers ;</w:t>
            </w:r>
          </w:p>
          <w:p w14:paraId="65BCDD74" w14:textId="77777777" w:rsidR="00CB4E93" w:rsidRPr="00A9330B" w:rsidRDefault="00CB4E93" w:rsidP="00CB4E93">
            <w:pPr>
              <w:widowControl w:val="0"/>
              <w:autoSpaceDE w:val="0"/>
              <w:autoSpaceDN w:val="0"/>
              <w:adjustRightInd w:val="0"/>
              <w:spacing w:before="60" w:line="240" w:lineRule="auto"/>
              <w:jc w:val="both"/>
              <w:rPr>
                <w:rFonts w:eastAsia="Calibri" w:cs="Arial"/>
                <w:color w:val="auto"/>
                <w:sz w:val="18"/>
                <w:szCs w:val="18"/>
              </w:rPr>
            </w:pPr>
            <w:r w:rsidRPr="00A9330B">
              <w:rPr>
                <w:rFonts w:eastAsia="Calibri" w:cs="Arial"/>
                <w:color w:val="auto"/>
                <w:sz w:val="18"/>
                <w:szCs w:val="18"/>
              </w:rPr>
              <w:t xml:space="preserve">Disponibilité de gel hydro alcoolique, de cache nez et de gants ; </w:t>
            </w:r>
          </w:p>
          <w:p w14:paraId="19889DA2" w14:textId="77777777" w:rsidR="00CB4E93" w:rsidRPr="00A9330B" w:rsidRDefault="00CB4E93" w:rsidP="00CB4E93">
            <w:pPr>
              <w:widowControl w:val="0"/>
              <w:autoSpaceDE w:val="0"/>
              <w:autoSpaceDN w:val="0"/>
              <w:adjustRightInd w:val="0"/>
              <w:spacing w:before="60" w:line="240" w:lineRule="auto"/>
              <w:jc w:val="both"/>
              <w:rPr>
                <w:rFonts w:eastAsia="Calibri" w:cs="Arial"/>
                <w:color w:val="auto"/>
                <w:sz w:val="18"/>
                <w:szCs w:val="18"/>
              </w:rPr>
            </w:pPr>
            <w:r w:rsidRPr="00A9330B">
              <w:rPr>
                <w:rFonts w:eastAsia="Calibri" w:cs="Arial"/>
                <w:color w:val="auto"/>
                <w:sz w:val="18"/>
                <w:szCs w:val="18"/>
              </w:rPr>
              <w:t>Rapports de séance de sensibilisation sur les gestes barrières.</w:t>
            </w:r>
          </w:p>
        </w:tc>
        <w:tc>
          <w:tcPr>
            <w:tcW w:w="637" w:type="pct"/>
            <w:tcBorders>
              <w:top w:val="single" w:sz="6" w:space="0" w:color="auto"/>
              <w:left w:val="single" w:sz="6" w:space="0" w:color="auto"/>
              <w:bottom w:val="single" w:sz="6" w:space="0" w:color="auto"/>
              <w:right w:val="single" w:sz="6" w:space="0" w:color="auto"/>
            </w:tcBorders>
          </w:tcPr>
          <w:p w14:paraId="2914184F" w14:textId="77777777" w:rsidR="00CB4E93" w:rsidRPr="00A9330B" w:rsidRDefault="00CB4E93" w:rsidP="00CB4E93">
            <w:pPr>
              <w:widowControl w:val="0"/>
              <w:autoSpaceDE w:val="0"/>
              <w:autoSpaceDN w:val="0"/>
              <w:adjustRightInd w:val="0"/>
              <w:spacing w:before="60" w:line="240" w:lineRule="auto"/>
              <w:jc w:val="center"/>
              <w:rPr>
                <w:rFonts w:eastAsia="Calibri" w:cs="Arial"/>
                <w:color w:val="auto"/>
                <w:sz w:val="18"/>
                <w:szCs w:val="18"/>
              </w:rPr>
            </w:pPr>
            <w:r w:rsidRPr="00A9330B">
              <w:rPr>
                <w:rFonts w:eastAsia="Calibri" w:cs="Arial"/>
                <w:color w:val="auto"/>
                <w:sz w:val="18"/>
                <w:szCs w:val="18"/>
              </w:rPr>
              <w:t>Pendant toutes les phases du projet</w:t>
            </w:r>
          </w:p>
          <w:p w14:paraId="02F55AFB" w14:textId="77777777" w:rsidR="00CB4E93" w:rsidRPr="00A9330B" w:rsidRDefault="00CB4E93" w:rsidP="00CB4E93">
            <w:pPr>
              <w:widowControl w:val="0"/>
              <w:autoSpaceDE w:val="0"/>
              <w:autoSpaceDN w:val="0"/>
              <w:adjustRightInd w:val="0"/>
              <w:spacing w:before="60" w:line="240" w:lineRule="auto"/>
              <w:jc w:val="center"/>
              <w:rPr>
                <w:rFonts w:eastAsia="Calibri" w:cs="Arial"/>
                <w:color w:val="auto"/>
                <w:sz w:val="18"/>
                <w:szCs w:val="18"/>
              </w:rPr>
            </w:pPr>
          </w:p>
        </w:tc>
        <w:tc>
          <w:tcPr>
            <w:tcW w:w="657" w:type="pct"/>
            <w:tcBorders>
              <w:top w:val="single" w:sz="6" w:space="0" w:color="auto"/>
              <w:left w:val="single" w:sz="6" w:space="0" w:color="auto"/>
              <w:bottom w:val="single" w:sz="6" w:space="0" w:color="auto"/>
              <w:right w:val="single" w:sz="6" w:space="0" w:color="auto"/>
            </w:tcBorders>
          </w:tcPr>
          <w:p w14:paraId="19AFFF37" w14:textId="77777777" w:rsidR="00CB4E93" w:rsidRPr="00A9330B" w:rsidRDefault="00CB4E93" w:rsidP="00CB4E93">
            <w:pPr>
              <w:widowControl w:val="0"/>
              <w:autoSpaceDE w:val="0"/>
              <w:autoSpaceDN w:val="0"/>
              <w:adjustRightInd w:val="0"/>
              <w:spacing w:before="60" w:line="240" w:lineRule="auto"/>
              <w:jc w:val="center"/>
              <w:rPr>
                <w:rFonts w:eastAsia="Calibri" w:cs="Arial"/>
                <w:color w:val="auto"/>
                <w:sz w:val="18"/>
                <w:szCs w:val="18"/>
              </w:rPr>
            </w:pPr>
            <w:r w:rsidRPr="00A9330B">
              <w:rPr>
                <w:rFonts w:eastAsia="Calibri" w:cs="Arial"/>
                <w:color w:val="auto"/>
                <w:sz w:val="18"/>
                <w:szCs w:val="18"/>
              </w:rPr>
              <w:t>MDC</w:t>
            </w:r>
          </w:p>
          <w:p w14:paraId="0FDEA505" w14:textId="77777777" w:rsidR="00CB4E93" w:rsidRPr="00A9330B" w:rsidRDefault="00CB4E93" w:rsidP="00CB4E93">
            <w:pPr>
              <w:widowControl w:val="0"/>
              <w:autoSpaceDE w:val="0"/>
              <w:autoSpaceDN w:val="0"/>
              <w:adjustRightInd w:val="0"/>
              <w:spacing w:before="60" w:line="240" w:lineRule="auto"/>
              <w:jc w:val="center"/>
              <w:rPr>
                <w:rFonts w:eastAsia="Calibri" w:cs="Arial"/>
                <w:color w:val="auto"/>
                <w:sz w:val="18"/>
                <w:szCs w:val="18"/>
              </w:rPr>
            </w:pPr>
            <w:r w:rsidRPr="00A9330B">
              <w:rPr>
                <w:rFonts w:eastAsia="Calibri" w:cs="Arial"/>
                <w:color w:val="auto"/>
                <w:sz w:val="18"/>
                <w:szCs w:val="18"/>
              </w:rPr>
              <w:t>Entreprise chargée des travaux</w:t>
            </w:r>
          </w:p>
        </w:tc>
        <w:tc>
          <w:tcPr>
            <w:tcW w:w="897" w:type="pct"/>
            <w:tcBorders>
              <w:top w:val="single" w:sz="6" w:space="0" w:color="auto"/>
              <w:left w:val="single" w:sz="6" w:space="0" w:color="auto"/>
              <w:bottom w:val="single" w:sz="6" w:space="0" w:color="auto"/>
              <w:right w:val="single" w:sz="8" w:space="0" w:color="auto"/>
            </w:tcBorders>
          </w:tcPr>
          <w:p w14:paraId="6B6D7898" w14:textId="77777777" w:rsidR="00CB4E93" w:rsidRPr="00A9330B" w:rsidRDefault="00CB4E93" w:rsidP="00CB4E93">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t>Mairie de Natitingou (Services Techniques)</w:t>
            </w:r>
          </w:p>
          <w:p w14:paraId="61B85FDE" w14:textId="77777777" w:rsidR="00CB4E93" w:rsidRPr="00A9330B" w:rsidRDefault="00CB4E93" w:rsidP="00CB4E93">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t>DDCVDD-AD</w:t>
            </w:r>
          </w:p>
          <w:p w14:paraId="7942C334" w14:textId="77777777" w:rsidR="00CB4E93" w:rsidRPr="00A9330B" w:rsidRDefault="00CB4E93" w:rsidP="00CB4E93">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t>DDS</w:t>
            </w:r>
          </w:p>
        </w:tc>
        <w:tc>
          <w:tcPr>
            <w:tcW w:w="897" w:type="pct"/>
            <w:tcBorders>
              <w:top w:val="single" w:sz="6" w:space="0" w:color="auto"/>
              <w:left w:val="single" w:sz="6" w:space="0" w:color="auto"/>
              <w:bottom w:val="single" w:sz="6" w:space="0" w:color="auto"/>
              <w:right w:val="single" w:sz="8" w:space="0" w:color="auto"/>
            </w:tcBorders>
          </w:tcPr>
          <w:p w14:paraId="11478FE3" w14:textId="77777777" w:rsidR="00CB4E93" w:rsidRPr="00A9330B" w:rsidRDefault="00CB4E93" w:rsidP="00CB4E93">
            <w:pPr>
              <w:widowControl w:val="0"/>
              <w:autoSpaceDE w:val="0"/>
              <w:autoSpaceDN w:val="0"/>
              <w:adjustRightInd w:val="0"/>
              <w:spacing w:before="60" w:line="240" w:lineRule="auto"/>
              <w:rPr>
                <w:rFonts w:eastAsia="Calibri" w:cs="Arial"/>
                <w:color w:val="auto"/>
                <w:sz w:val="18"/>
                <w:szCs w:val="18"/>
              </w:rPr>
            </w:pPr>
            <w:r w:rsidRPr="00A9330B">
              <w:rPr>
                <w:rFonts w:eastAsia="Calibri" w:cs="Arial"/>
                <w:sz w:val="20"/>
                <w:szCs w:val="20"/>
              </w:rPr>
              <w:t>Intégrer dans sécurité de chantier (DAO travaux)</w:t>
            </w:r>
          </w:p>
        </w:tc>
      </w:tr>
      <w:tr w:rsidR="00CB4E93" w:rsidRPr="00A9330B" w14:paraId="38211715" w14:textId="77777777" w:rsidTr="00CB4E93">
        <w:trPr>
          <w:trHeight w:val="473"/>
        </w:trPr>
        <w:tc>
          <w:tcPr>
            <w:tcW w:w="996" w:type="pct"/>
            <w:tcBorders>
              <w:top w:val="single" w:sz="6" w:space="0" w:color="auto"/>
              <w:left w:val="single" w:sz="8" w:space="0" w:color="auto"/>
              <w:bottom w:val="single" w:sz="6" w:space="0" w:color="auto"/>
              <w:right w:val="single" w:sz="6" w:space="0" w:color="auto"/>
            </w:tcBorders>
          </w:tcPr>
          <w:p w14:paraId="04D0064A" w14:textId="77777777" w:rsidR="00CB4E93" w:rsidRPr="00A9330B" w:rsidRDefault="00CB4E93" w:rsidP="00CB4E93">
            <w:pPr>
              <w:widowControl w:val="0"/>
              <w:spacing w:before="60" w:line="240" w:lineRule="auto"/>
              <w:jc w:val="both"/>
              <w:rPr>
                <w:rFonts w:eastAsia="Calibri" w:cs="Arial"/>
                <w:color w:val="auto"/>
                <w:sz w:val="18"/>
                <w:szCs w:val="18"/>
              </w:rPr>
            </w:pPr>
            <w:r w:rsidRPr="00A9330B">
              <w:rPr>
                <w:rFonts w:eastAsia="Calibri" w:cs="Arial"/>
                <w:color w:val="auto"/>
                <w:sz w:val="18"/>
                <w:szCs w:val="18"/>
              </w:rPr>
              <w:t xml:space="preserve">2.8.a.11.1. ; 2.8.a.12.1. Sensibiliser les populations et le personnel de chantier sur le respect des mœurs et les risques liés aux travaux </w:t>
            </w:r>
          </w:p>
        </w:tc>
        <w:tc>
          <w:tcPr>
            <w:tcW w:w="916" w:type="pct"/>
            <w:tcBorders>
              <w:top w:val="single" w:sz="6" w:space="0" w:color="auto"/>
              <w:left w:val="single" w:sz="6" w:space="0" w:color="auto"/>
              <w:bottom w:val="single" w:sz="6" w:space="0" w:color="auto"/>
              <w:right w:val="single" w:sz="6" w:space="0" w:color="auto"/>
            </w:tcBorders>
          </w:tcPr>
          <w:p w14:paraId="3B8E04CC" w14:textId="77777777" w:rsidR="00CB4E93" w:rsidRPr="00A9330B" w:rsidRDefault="00CB4E93" w:rsidP="00CB4E93">
            <w:pPr>
              <w:widowControl w:val="0"/>
              <w:autoSpaceDE w:val="0"/>
              <w:autoSpaceDN w:val="0"/>
              <w:adjustRightInd w:val="0"/>
              <w:spacing w:before="60" w:line="240" w:lineRule="auto"/>
              <w:jc w:val="both"/>
              <w:rPr>
                <w:rFonts w:eastAsia="Calibri" w:cs="Arial"/>
                <w:color w:val="auto"/>
                <w:sz w:val="18"/>
                <w:szCs w:val="18"/>
              </w:rPr>
            </w:pPr>
            <w:r w:rsidRPr="00A9330B">
              <w:rPr>
                <w:rFonts w:eastAsia="Calibri" w:cs="Arial"/>
                <w:color w:val="auto"/>
                <w:sz w:val="18"/>
                <w:szCs w:val="18"/>
              </w:rPr>
              <w:t>Rapports de séance de sensibilisation organisée</w:t>
            </w:r>
            <w:r w:rsidRPr="00A9330B">
              <w:rPr>
                <w:rFonts w:eastAsia="Calibri" w:cs="Arial"/>
                <w:color w:val="auto"/>
                <w:sz w:val="18"/>
                <w:szCs w:val="18"/>
              </w:rPr>
              <w:tab/>
            </w:r>
          </w:p>
          <w:p w14:paraId="525AE91F" w14:textId="77777777" w:rsidR="00CB4E93" w:rsidRPr="00A9330B" w:rsidRDefault="00CB4E93" w:rsidP="00CB4E93">
            <w:pPr>
              <w:widowControl w:val="0"/>
              <w:autoSpaceDE w:val="0"/>
              <w:autoSpaceDN w:val="0"/>
              <w:adjustRightInd w:val="0"/>
              <w:spacing w:before="60" w:line="240" w:lineRule="auto"/>
              <w:jc w:val="both"/>
              <w:rPr>
                <w:rFonts w:eastAsia="Calibri" w:cs="Arial"/>
                <w:color w:val="auto"/>
                <w:sz w:val="18"/>
                <w:szCs w:val="18"/>
              </w:rPr>
            </w:pPr>
            <w:r w:rsidRPr="00A9330B">
              <w:rPr>
                <w:rFonts w:eastAsia="Calibri" w:cs="Arial"/>
                <w:color w:val="auto"/>
                <w:sz w:val="18"/>
                <w:szCs w:val="18"/>
              </w:rPr>
              <w:t xml:space="preserve">Nombre de conflits enregistrés </w:t>
            </w:r>
          </w:p>
          <w:p w14:paraId="04AE3124" w14:textId="77777777" w:rsidR="00CB4E93" w:rsidRPr="00A9330B" w:rsidRDefault="00CB4E93" w:rsidP="00CB4E93">
            <w:pPr>
              <w:widowControl w:val="0"/>
              <w:autoSpaceDE w:val="0"/>
              <w:autoSpaceDN w:val="0"/>
              <w:adjustRightInd w:val="0"/>
              <w:spacing w:before="60" w:line="240" w:lineRule="auto"/>
              <w:jc w:val="both"/>
              <w:rPr>
                <w:rFonts w:eastAsia="Calibri" w:cs="Arial"/>
                <w:color w:val="auto"/>
                <w:sz w:val="18"/>
                <w:szCs w:val="18"/>
              </w:rPr>
            </w:pPr>
            <w:r w:rsidRPr="00A9330B">
              <w:rPr>
                <w:rFonts w:eastAsia="Calibri" w:cs="Arial"/>
                <w:color w:val="auto"/>
                <w:sz w:val="18"/>
                <w:szCs w:val="18"/>
              </w:rPr>
              <w:t>Nombre de plaintes enregistrées et gérées</w:t>
            </w:r>
            <w:r w:rsidRPr="00A9330B">
              <w:rPr>
                <w:rFonts w:eastAsia="Calibri" w:cs="Arial"/>
                <w:color w:val="auto"/>
                <w:sz w:val="18"/>
                <w:szCs w:val="18"/>
              </w:rPr>
              <w:tab/>
            </w:r>
          </w:p>
        </w:tc>
        <w:tc>
          <w:tcPr>
            <w:tcW w:w="637" w:type="pct"/>
            <w:tcBorders>
              <w:top w:val="single" w:sz="6" w:space="0" w:color="auto"/>
              <w:left w:val="single" w:sz="6" w:space="0" w:color="auto"/>
              <w:bottom w:val="single" w:sz="6" w:space="0" w:color="auto"/>
              <w:right w:val="single" w:sz="6" w:space="0" w:color="auto"/>
            </w:tcBorders>
          </w:tcPr>
          <w:p w14:paraId="299FF49E" w14:textId="77777777" w:rsidR="00CB4E93" w:rsidRPr="00A9330B" w:rsidRDefault="00CB4E93" w:rsidP="00CB4E93">
            <w:pPr>
              <w:widowControl w:val="0"/>
              <w:autoSpaceDE w:val="0"/>
              <w:autoSpaceDN w:val="0"/>
              <w:adjustRightInd w:val="0"/>
              <w:spacing w:before="60" w:line="240" w:lineRule="auto"/>
              <w:jc w:val="center"/>
              <w:rPr>
                <w:rFonts w:eastAsia="Calibri" w:cs="Arial"/>
                <w:color w:val="auto"/>
                <w:sz w:val="18"/>
                <w:szCs w:val="18"/>
              </w:rPr>
            </w:pPr>
            <w:r w:rsidRPr="00A9330B">
              <w:rPr>
                <w:rFonts w:eastAsia="Calibri" w:cs="Arial"/>
                <w:color w:val="auto"/>
                <w:sz w:val="18"/>
                <w:szCs w:val="18"/>
              </w:rPr>
              <w:t>Avant le démarrage et pendant les travaux</w:t>
            </w:r>
          </w:p>
        </w:tc>
        <w:tc>
          <w:tcPr>
            <w:tcW w:w="657" w:type="pct"/>
            <w:tcBorders>
              <w:top w:val="single" w:sz="6" w:space="0" w:color="auto"/>
              <w:left w:val="single" w:sz="6" w:space="0" w:color="auto"/>
              <w:bottom w:val="single" w:sz="6" w:space="0" w:color="auto"/>
              <w:right w:val="single" w:sz="6" w:space="0" w:color="auto"/>
            </w:tcBorders>
          </w:tcPr>
          <w:p w14:paraId="78781043" w14:textId="77777777" w:rsidR="00CB4E93" w:rsidRPr="00A9330B" w:rsidRDefault="00CB4E93" w:rsidP="00CB4E93">
            <w:pPr>
              <w:widowControl w:val="0"/>
              <w:autoSpaceDE w:val="0"/>
              <w:autoSpaceDN w:val="0"/>
              <w:adjustRightInd w:val="0"/>
              <w:spacing w:before="60" w:line="240" w:lineRule="auto"/>
              <w:jc w:val="center"/>
              <w:rPr>
                <w:rFonts w:eastAsia="Calibri" w:cs="Arial"/>
                <w:color w:val="auto"/>
                <w:sz w:val="18"/>
                <w:szCs w:val="18"/>
              </w:rPr>
            </w:pPr>
            <w:r w:rsidRPr="00A9330B">
              <w:rPr>
                <w:rFonts w:eastAsia="Calibri" w:cs="Arial"/>
                <w:color w:val="auto"/>
                <w:sz w:val="18"/>
                <w:szCs w:val="18"/>
              </w:rPr>
              <w:t>MDC</w:t>
            </w:r>
          </w:p>
          <w:p w14:paraId="3114C364" w14:textId="77777777" w:rsidR="00CB4E93" w:rsidRPr="00A9330B" w:rsidRDefault="00CB4E93" w:rsidP="00CB4E93">
            <w:pPr>
              <w:widowControl w:val="0"/>
              <w:autoSpaceDE w:val="0"/>
              <w:autoSpaceDN w:val="0"/>
              <w:adjustRightInd w:val="0"/>
              <w:spacing w:before="60" w:line="240" w:lineRule="auto"/>
              <w:jc w:val="center"/>
              <w:rPr>
                <w:rFonts w:eastAsia="Calibri" w:cs="Arial"/>
                <w:color w:val="auto"/>
                <w:sz w:val="18"/>
                <w:szCs w:val="18"/>
              </w:rPr>
            </w:pPr>
            <w:r w:rsidRPr="00A9330B">
              <w:rPr>
                <w:rFonts w:eastAsia="Calibri" w:cs="Arial"/>
                <w:color w:val="auto"/>
                <w:sz w:val="18"/>
                <w:szCs w:val="18"/>
              </w:rPr>
              <w:t>Entreprise chargée des travaux</w:t>
            </w:r>
          </w:p>
        </w:tc>
        <w:tc>
          <w:tcPr>
            <w:tcW w:w="897" w:type="pct"/>
            <w:tcBorders>
              <w:top w:val="single" w:sz="6" w:space="0" w:color="auto"/>
              <w:left w:val="single" w:sz="6" w:space="0" w:color="auto"/>
              <w:bottom w:val="single" w:sz="6" w:space="0" w:color="auto"/>
              <w:right w:val="single" w:sz="8" w:space="0" w:color="auto"/>
            </w:tcBorders>
          </w:tcPr>
          <w:p w14:paraId="0498A049" w14:textId="77777777" w:rsidR="00CB4E93" w:rsidRPr="00A9330B" w:rsidRDefault="00CB4E93" w:rsidP="00CB4E93">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t>Mairie de Natitingou (Services Techniques)</w:t>
            </w:r>
          </w:p>
          <w:p w14:paraId="6E49B289" w14:textId="77777777" w:rsidR="00CB4E93" w:rsidRPr="00A9330B" w:rsidRDefault="00CB4E93" w:rsidP="00CB4E93">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t>DDCVDD-AD</w:t>
            </w:r>
          </w:p>
        </w:tc>
        <w:tc>
          <w:tcPr>
            <w:tcW w:w="897" w:type="pct"/>
            <w:tcBorders>
              <w:top w:val="single" w:sz="6" w:space="0" w:color="auto"/>
              <w:left w:val="single" w:sz="6" w:space="0" w:color="auto"/>
              <w:bottom w:val="single" w:sz="6" w:space="0" w:color="auto"/>
              <w:right w:val="single" w:sz="8" w:space="0" w:color="auto"/>
            </w:tcBorders>
          </w:tcPr>
          <w:p w14:paraId="1C531D72" w14:textId="77777777" w:rsidR="00CB4E93" w:rsidRPr="00A9330B" w:rsidRDefault="00CB4E93" w:rsidP="00CB4E93">
            <w:pPr>
              <w:rPr>
                <w:rFonts w:eastAsia="Calibri" w:cs="Arial"/>
                <w:sz w:val="20"/>
                <w:szCs w:val="20"/>
              </w:rPr>
            </w:pPr>
            <w:r w:rsidRPr="00A9330B">
              <w:rPr>
                <w:rFonts w:eastAsia="Calibri" w:cs="Arial"/>
                <w:sz w:val="20"/>
                <w:szCs w:val="20"/>
              </w:rPr>
              <w:t xml:space="preserve">Sensibilisation grand public  </w:t>
            </w:r>
          </w:p>
          <w:p w14:paraId="3B9D52A4" w14:textId="77777777" w:rsidR="00CB4E93" w:rsidRPr="00A9330B" w:rsidRDefault="00CB4E93" w:rsidP="00CB4E93">
            <w:pPr>
              <w:rPr>
                <w:rFonts w:eastAsia="Calibri" w:cs="Arial"/>
                <w:sz w:val="20"/>
                <w:szCs w:val="20"/>
              </w:rPr>
            </w:pPr>
            <w:r w:rsidRPr="00A9330B">
              <w:rPr>
                <w:rFonts w:eastAsia="Calibri" w:cs="Arial"/>
                <w:sz w:val="20"/>
                <w:szCs w:val="20"/>
              </w:rPr>
              <w:t xml:space="preserve">03 séances par an </w:t>
            </w:r>
          </w:p>
          <w:p w14:paraId="1D782836" w14:textId="77777777" w:rsidR="00CB4E93" w:rsidRPr="00A9330B" w:rsidRDefault="00CB4E93" w:rsidP="00CB4E93">
            <w:pPr>
              <w:rPr>
                <w:rFonts w:eastAsia="Calibri" w:cs="Arial"/>
                <w:sz w:val="20"/>
                <w:szCs w:val="20"/>
              </w:rPr>
            </w:pPr>
            <w:r w:rsidRPr="00A9330B">
              <w:rPr>
                <w:rFonts w:eastAsia="Calibri" w:cs="Arial"/>
                <w:sz w:val="20"/>
                <w:szCs w:val="20"/>
              </w:rPr>
              <w:t xml:space="preserve">Sensibilisation par les radios locales une fois par mois  </w:t>
            </w:r>
          </w:p>
          <w:p w14:paraId="25AB4FCC" w14:textId="77777777" w:rsidR="00CB4E93" w:rsidRPr="00A9330B" w:rsidRDefault="00CB4E93" w:rsidP="00CB4E93">
            <w:pPr>
              <w:widowControl w:val="0"/>
              <w:autoSpaceDE w:val="0"/>
              <w:autoSpaceDN w:val="0"/>
              <w:adjustRightInd w:val="0"/>
              <w:spacing w:before="60" w:line="240" w:lineRule="auto"/>
              <w:rPr>
                <w:rFonts w:eastAsia="Calibri" w:cs="Arial"/>
                <w:color w:val="auto"/>
                <w:sz w:val="18"/>
                <w:szCs w:val="18"/>
              </w:rPr>
            </w:pPr>
            <w:r w:rsidRPr="00A9330B">
              <w:rPr>
                <w:rFonts w:eastAsia="Calibri" w:cs="Arial"/>
                <w:b/>
                <w:sz w:val="20"/>
                <w:szCs w:val="20"/>
              </w:rPr>
              <w:t xml:space="preserve">Cout:  9 000 000 FCFA/ an  </w:t>
            </w:r>
          </w:p>
        </w:tc>
      </w:tr>
      <w:tr w:rsidR="00CB4E93" w:rsidRPr="00A9330B" w14:paraId="4EE6E403" w14:textId="77777777" w:rsidTr="00CB4E93">
        <w:trPr>
          <w:trHeight w:val="693"/>
        </w:trPr>
        <w:tc>
          <w:tcPr>
            <w:tcW w:w="996" w:type="pct"/>
            <w:tcBorders>
              <w:top w:val="single" w:sz="6" w:space="0" w:color="auto"/>
              <w:left w:val="single" w:sz="8" w:space="0" w:color="auto"/>
              <w:bottom w:val="single" w:sz="6" w:space="0" w:color="auto"/>
              <w:right w:val="single" w:sz="6" w:space="0" w:color="auto"/>
            </w:tcBorders>
          </w:tcPr>
          <w:p w14:paraId="687F4F87" w14:textId="77777777" w:rsidR="00CB4E93" w:rsidRPr="00A9330B" w:rsidRDefault="00CB4E93" w:rsidP="00CB4E93">
            <w:pPr>
              <w:widowControl w:val="0"/>
              <w:spacing w:before="60" w:line="240" w:lineRule="auto"/>
              <w:jc w:val="both"/>
              <w:rPr>
                <w:rFonts w:eastAsia="Calibri" w:cs="Arial"/>
                <w:color w:val="auto"/>
                <w:sz w:val="18"/>
                <w:szCs w:val="18"/>
              </w:rPr>
            </w:pPr>
            <w:r w:rsidRPr="00A9330B">
              <w:rPr>
                <w:rFonts w:eastAsia="Calibri" w:cs="Arial"/>
                <w:color w:val="auto"/>
                <w:sz w:val="18"/>
                <w:szCs w:val="18"/>
              </w:rPr>
              <w:t>2.8.a.10.3. Mettre à disposition de préservatifs</w:t>
            </w:r>
          </w:p>
        </w:tc>
        <w:tc>
          <w:tcPr>
            <w:tcW w:w="916" w:type="pct"/>
            <w:tcBorders>
              <w:top w:val="single" w:sz="6" w:space="0" w:color="auto"/>
              <w:left w:val="single" w:sz="6" w:space="0" w:color="auto"/>
              <w:bottom w:val="single" w:sz="6" w:space="0" w:color="auto"/>
              <w:right w:val="single" w:sz="6" w:space="0" w:color="auto"/>
            </w:tcBorders>
          </w:tcPr>
          <w:p w14:paraId="771AD225" w14:textId="77777777" w:rsidR="00CB4E93" w:rsidRPr="00A9330B" w:rsidRDefault="00CB4E93" w:rsidP="00CB4E93">
            <w:pPr>
              <w:widowControl w:val="0"/>
              <w:autoSpaceDE w:val="0"/>
              <w:autoSpaceDN w:val="0"/>
              <w:adjustRightInd w:val="0"/>
              <w:spacing w:before="60" w:line="240" w:lineRule="auto"/>
              <w:jc w:val="both"/>
              <w:rPr>
                <w:rFonts w:eastAsia="Calibri" w:cs="Arial"/>
                <w:color w:val="auto"/>
                <w:sz w:val="18"/>
                <w:szCs w:val="18"/>
              </w:rPr>
            </w:pPr>
            <w:r w:rsidRPr="00A9330B">
              <w:rPr>
                <w:rFonts w:eastAsia="Calibri" w:cs="Arial"/>
                <w:color w:val="auto"/>
                <w:sz w:val="18"/>
                <w:szCs w:val="18"/>
              </w:rPr>
              <w:t xml:space="preserve">Disponibilité et distribution de préservatif sur le site </w:t>
            </w:r>
          </w:p>
        </w:tc>
        <w:tc>
          <w:tcPr>
            <w:tcW w:w="637" w:type="pct"/>
            <w:tcBorders>
              <w:top w:val="single" w:sz="6" w:space="0" w:color="auto"/>
              <w:left w:val="single" w:sz="6" w:space="0" w:color="auto"/>
              <w:bottom w:val="single" w:sz="6" w:space="0" w:color="auto"/>
              <w:right w:val="single" w:sz="6" w:space="0" w:color="auto"/>
            </w:tcBorders>
          </w:tcPr>
          <w:p w14:paraId="5AFCC90E" w14:textId="77777777" w:rsidR="00CB4E93" w:rsidRPr="00A9330B" w:rsidRDefault="00CB4E93" w:rsidP="00CB4E93">
            <w:pPr>
              <w:widowControl w:val="0"/>
              <w:autoSpaceDE w:val="0"/>
              <w:autoSpaceDN w:val="0"/>
              <w:adjustRightInd w:val="0"/>
              <w:spacing w:before="60" w:line="240" w:lineRule="auto"/>
              <w:jc w:val="center"/>
              <w:rPr>
                <w:rFonts w:eastAsia="Calibri" w:cs="Arial"/>
                <w:color w:val="auto"/>
                <w:sz w:val="18"/>
                <w:szCs w:val="18"/>
              </w:rPr>
            </w:pPr>
            <w:r w:rsidRPr="00A9330B">
              <w:rPr>
                <w:rFonts w:eastAsia="Calibri" w:cs="Arial"/>
                <w:color w:val="auto"/>
                <w:sz w:val="18"/>
                <w:szCs w:val="18"/>
              </w:rPr>
              <w:t>Pendant les travaux</w:t>
            </w:r>
          </w:p>
        </w:tc>
        <w:tc>
          <w:tcPr>
            <w:tcW w:w="657" w:type="pct"/>
            <w:tcBorders>
              <w:top w:val="single" w:sz="6" w:space="0" w:color="auto"/>
              <w:left w:val="single" w:sz="6" w:space="0" w:color="auto"/>
              <w:bottom w:val="single" w:sz="6" w:space="0" w:color="auto"/>
              <w:right w:val="single" w:sz="6" w:space="0" w:color="auto"/>
            </w:tcBorders>
          </w:tcPr>
          <w:p w14:paraId="2EBA026B" w14:textId="77777777" w:rsidR="00CB4E93" w:rsidRPr="00A9330B" w:rsidRDefault="00CB4E93" w:rsidP="00CB4E93">
            <w:pPr>
              <w:widowControl w:val="0"/>
              <w:autoSpaceDE w:val="0"/>
              <w:autoSpaceDN w:val="0"/>
              <w:adjustRightInd w:val="0"/>
              <w:spacing w:before="60" w:line="240" w:lineRule="auto"/>
              <w:jc w:val="center"/>
              <w:rPr>
                <w:rFonts w:eastAsia="Calibri" w:cs="Arial"/>
                <w:color w:val="auto"/>
                <w:sz w:val="18"/>
                <w:szCs w:val="18"/>
              </w:rPr>
            </w:pPr>
            <w:r w:rsidRPr="00A9330B">
              <w:rPr>
                <w:rFonts w:eastAsia="Calibri" w:cs="Arial"/>
                <w:color w:val="auto"/>
                <w:sz w:val="18"/>
                <w:szCs w:val="18"/>
              </w:rPr>
              <w:t>MDC</w:t>
            </w:r>
          </w:p>
          <w:p w14:paraId="30FB7EAA" w14:textId="77777777" w:rsidR="00CB4E93" w:rsidRPr="00A9330B" w:rsidRDefault="00CB4E93" w:rsidP="00CB4E93">
            <w:pPr>
              <w:widowControl w:val="0"/>
              <w:autoSpaceDE w:val="0"/>
              <w:autoSpaceDN w:val="0"/>
              <w:adjustRightInd w:val="0"/>
              <w:spacing w:before="60" w:line="240" w:lineRule="auto"/>
              <w:jc w:val="center"/>
              <w:rPr>
                <w:rFonts w:eastAsia="Calibri" w:cs="Arial"/>
                <w:color w:val="auto"/>
                <w:sz w:val="18"/>
                <w:szCs w:val="18"/>
              </w:rPr>
            </w:pPr>
            <w:r w:rsidRPr="00A9330B">
              <w:rPr>
                <w:rFonts w:eastAsia="Calibri" w:cs="Arial"/>
                <w:color w:val="auto"/>
                <w:sz w:val="18"/>
                <w:szCs w:val="18"/>
              </w:rPr>
              <w:t>Entreprise chargée des travaux</w:t>
            </w:r>
          </w:p>
        </w:tc>
        <w:tc>
          <w:tcPr>
            <w:tcW w:w="897" w:type="pct"/>
            <w:tcBorders>
              <w:top w:val="single" w:sz="6" w:space="0" w:color="auto"/>
              <w:left w:val="single" w:sz="6" w:space="0" w:color="auto"/>
              <w:bottom w:val="single" w:sz="6" w:space="0" w:color="auto"/>
              <w:right w:val="single" w:sz="8" w:space="0" w:color="auto"/>
            </w:tcBorders>
          </w:tcPr>
          <w:p w14:paraId="3B3717A6" w14:textId="77777777" w:rsidR="00CB4E93" w:rsidRPr="00A9330B" w:rsidRDefault="00CB4E93" w:rsidP="00CB4E93">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t>Mairie de Natitingou (Services Techniques)</w:t>
            </w:r>
          </w:p>
          <w:p w14:paraId="4B93179E" w14:textId="77777777" w:rsidR="00CB4E93" w:rsidRPr="00A9330B" w:rsidRDefault="00CB4E93" w:rsidP="00CB4E93">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t>DDCVDD-AD</w:t>
            </w:r>
          </w:p>
          <w:p w14:paraId="64FDD9D8" w14:textId="77777777" w:rsidR="00CB4E93" w:rsidRPr="00A9330B" w:rsidRDefault="00CB4E93" w:rsidP="00CB4E93">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t>Direction Départementale des Infrastructures et des Transports</w:t>
            </w:r>
          </w:p>
        </w:tc>
        <w:tc>
          <w:tcPr>
            <w:tcW w:w="897" w:type="pct"/>
            <w:tcBorders>
              <w:top w:val="single" w:sz="6" w:space="0" w:color="auto"/>
              <w:left w:val="single" w:sz="6" w:space="0" w:color="auto"/>
              <w:bottom w:val="single" w:sz="6" w:space="0" w:color="auto"/>
              <w:right w:val="single" w:sz="8" w:space="0" w:color="auto"/>
            </w:tcBorders>
          </w:tcPr>
          <w:p w14:paraId="799B1E50" w14:textId="77777777" w:rsidR="00CB4E93" w:rsidRPr="00A9330B" w:rsidRDefault="00CB4E93" w:rsidP="00CB4E93">
            <w:pPr>
              <w:widowControl w:val="0"/>
              <w:autoSpaceDE w:val="0"/>
              <w:autoSpaceDN w:val="0"/>
              <w:adjustRightInd w:val="0"/>
              <w:spacing w:before="60" w:line="240" w:lineRule="auto"/>
              <w:rPr>
                <w:rFonts w:eastAsia="Calibri" w:cs="Arial"/>
                <w:color w:val="auto"/>
                <w:sz w:val="18"/>
                <w:szCs w:val="18"/>
              </w:rPr>
            </w:pPr>
            <w:r w:rsidRPr="00A9330B">
              <w:rPr>
                <w:rFonts w:eastAsia="Calibri" w:cs="Arial"/>
                <w:sz w:val="20"/>
                <w:szCs w:val="20"/>
              </w:rPr>
              <w:t>Intégrer dans sécurité de chantier (DAO travaux</w:t>
            </w:r>
          </w:p>
        </w:tc>
      </w:tr>
      <w:tr w:rsidR="00CB4E93" w:rsidRPr="00A9330B" w14:paraId="1662146C" w14:textId="77777777" w:rsidTr="00CB4E93">
        <w:trPr>
          <w:trHeight w:val="431"/>
        </w:trPr>
        <w:tc>
          <w:tcPr>
            <w:tcW w:w="996" w:type="pct"/>
            <w:tcBorders>
              <w:top w:val="single" w:sz="6" w:space="0" w:color="auto"/>
              <w:left w:val="single" w:sz="8" w:space="0" w:color="auto"/>
              <w:bottom w:val="single" w:sz="6" w:space="0" w:color="auto"/>
              <w:right w:val="single" w:sz="6" w:space="0" w:color="auto"/>
            </w:tcBorders>
            <w:hideMark/>
          </w:tcPr>
          <w:p w14:paraId="0AC63829" w14:textId="77777777" w:rsidR="00CB4E93" w:rsidRPr="00A9330B" w:rsidRDefault="00CB4E93" w:rsidP="00CB4E93">
            <w:pPr>
              <w:widowControl w:val="0"/>
              <w:spacing w:before="60" w:line="240" w:lineRule="auto"/>
              <w:rPr>
                <w:rFonts w:eastAsia="Calibri" w:cs="Arial"/>
                <w:color w:val="auto"/>
                <w:sz w:val="18"/>
                <w:szCs w:val="18"/>
              </w:rPr>
            </w:pPr>
            <w:r w:rsidRPr="00A9330B">
              <w:rPr>
                <w:rFonts w:eastAsia="Calibri" w:cs="Arial"/>
                <w:color w:val="auto"/>
                <w:sz w:val="18"/>
                <w:szCs w:val="18"/>
              </w:rPr>
              <w:t xml:space="preserve">2.9.a.1.1. ; </w:t>
            </w:r>
          </w:p>
          <w:p w14:paraId="7165340A" w14:textId="77777777" w:rsidR="00CB4E93" w:rsidRPr="00A9330B" w:rsidRDefault="00CB4E93" w:rsidP="00CB4E93">
            <w:pPr>
              <w:widowControl w:val="0"/>
              <w:spacing w:before="60" w:line="240" w:lineRule="auto"/>
              <w:rPr>
                <w:rFonts w:eastAsia="Calibri" w:cs="Arial"/>
                <w:color w:val="auto"/>
                <w:sz w:val="18"/>
                <w:szCs w:val="18"/>
                <w:lang w:eastAsia="fr-FR"/>
              </w:rPr>
            </w:pPr>
            <w:r w:rsidRPr="00A9330B">
              <w:rPr>
                <w:rFonts w:cs="Arial"/>
                <w:color w:val="auto"/>
                <w:sz w:val="18"/>
                <w:szCs w:val="18"/>
              </w:rPr>
              <w:t>Informer les populations avant le démarrage des travaux pour les dispositions utiles à prendre</w:t>
            </w:r>
          </w:p>
        </w:tc>
        <w:tc>
          <w:tcPr>
            <w:tcW w:w="916" w:type="pct"/>
            <w:tcBorders>
              <w:top w:val="single" w:sz="6" w:space="0" w:color="auto"/>
              <w:left w:val="single" w:sz="6" w:space="0" w:color="auto"/>
              <w:bottom w:val="single" w:sz="6" w:space="0" w:color="auto"/>
              <w:right w:val="single" w:sz="6" w:space="0" w:color="auto"/>
            </w:tcBorders>
          </w:tcPr>
          <w:p w14:paraId="528A57D9" w14:textId="77777777" w:rsidR="00CB4E93" w:rsidRPr="00A9330B" w:rsidRDefault="00CB4E93" w:rsidP="00CB4E93">
            <w:pPr>
              <w:widowControl w:val="0"/>
              <w:autoSpaceDE w:val="0"/>
              <w:autoSpaceDN w:val="0"/>
              <w:adjustRightInd w:val="0"/>
              <w:spacing w:before="60" w:line="240" w:lineRule="auto"/>
              <w:rPr>
                <w:rFonts w:cs="Arial"/>
                <w:color w:val="auto"/>
                <w:sz w:val="18"/>
                <w:szCs w:val="18"/>
              </w:rPr>
            </w:pPr>
            <w:r w:rsidRPr="00A9330B">
              <w:rPr>
                <w:rFonts w:cs="Arial"/>
                <w:color w:val="auto"/>
                <w:sz w:val="18"/>
                <w:szCs w:val="18"/>
              </w:rPr>
              <w:t xml:space="preserve">Existence d’une liste exhaustive des projets en cours </w:t>
            </w:r>
          </w:p>
        </w:tc>
        <w:tc>
          <w:tcPr>
            <w:tcW w:w="637" w:type="pct"/>
            <w:tcBorders>
              <w:top w:val="single" w:sz="6" w:space="0" w:color="auto"/>
              <w:left w:val="single" w:sz="6" w:space="0" w:color="auto"/>
              <w:bottom w:val="single" w:sz="6" w:space="0" w:color="auto"/>
              <w:right w:val="single" w:sz="6" w:space="0" w:color="auto"/>
            </w:tcBorders>
          </w:tcPr>
          <w:p w14:paraId="2058EF2F" w14:textId="77777777" w:rsidR="00CB4E93" w:rsidRPr="00A9330B" w:rsidRDefault="00CB4E93" w:rsidP="00CB4E93">
            <w:pPr>
              <w:widowControl w:val="0"/>
              <w:autoSpaceDE w:val="0"/>
              <w:autoSpaceDN w:val="0"/>
              <w:adjustRightInd w:val="0"/>
              <w:spacing w:before="60" w:line="240" w:lineRule="auto"/>
              <w:jc w:val="center"/>
              <w:rPr>
                <w:rFonts w:cs="Arial"/>
                <w:color w:val="auto"/>
                <w:sz w:val="18"/>
                <w:szCs w:val="18"/>
              </w:rPr>
            </w:pPr>
            <w:r w:rsidRPr="00A9330B">
              <w:rPr>
                <w:rFonts w:cs="Arial"/>
                <w:color w:val="auto"/>
                <w:sz w:val="18"/>
                <w:szCs w:val="18"/>
              </w:rPr>
              <w:t>Avant le démarrage et pendant les travaux</w:t>
            </w:r>
          </w:p>
        </w:tc>
        <w:tc>
          <w:tcPr>
            <w:tcW w:w="657" w:type="pct"/>
            <w:tcBorders>
              <w:top w:val="single" w:sz="6" w:space="0" w:color="auto"/>
              <w:left w:val="single" w:sz="6" w:space="0" w:color="auto"/>
              <w:bottom w:val="single" w:sz="6" w:space="0" w:color="auto"/>
              <w:right w:val="single" w:sz="6" w:space="0" w:color="auto"/>
            </w:tcBorders>
          </w:tcPr>
          <w:p w14:paraId="0EDC9F44" w14:textId="77777777" w:rsidR="00CB4E93" w:rsidRPr="00A9330B" w:rsidRDefault="00CB4E93" w:rsidP="00CB4E93">
            <w:pPr>
              <w:widowControl w:val="0"/>
              <w:autoSpaceDE w:val="0"/>
              <w:autoSpaceDN w:val="0"/>
              <w:adjustRightInd w:val="0"/>
              <w:spacing w:before="60" w:line="240" w:lineRule="auto"/>
              <w:jc w:val="center"/>
              <w:rPr>
                <w:rFonts w:cs="Arial"/>
                <w:color w:val="auto"/>
                <w:sz w:val="18"/>
                <w:szCs w:val="18"/>
              </w:rPr>
            </w:pPr>
            <w:r w:rsidRPr="00A9330B">
              <w:rPr>
                <w:rFonts w:cs="Arial"/>
                <w:color w:val="auto"/>
                <w:sz w:val="18"/>
                <w:szCs w:val="18"/>
              </w:rPr>
              <w:t>MDC</w:t>
            </w:r>
          </w:p>
          <w:p w14:paraId="40D6A83A" w14:textId="77777777" w:rsidR="00CB4E93" w:rsidRPr="00A9330B" w:rsidRDefault="00CB4E93" w:rsidP="00CB4E93">
            <w:pPr>
              <w:widowControl w:val="0"/>
              <w:autoSpaceDE w:val="0"/>
              <w:autoSpaceDN w:val="0"/>
              <w:adjustRightInd w:val="0"/>
              <w:spacing w:before="60" w:line="240" w:lineRule="auto"/>
              <w:jc w:val="center"/>
              <w:rPr>
                <w:rFonts w:cs="Arial"/>
                <w:color w:val="auto"/>
                <w:sz w:val="18"/>
                <w:szCs w:val="18"/>
              </w:rPr>
            </w:pPr>
            <w:r w:rsidRPr="00A9330B">
              <w:rPr>
                <w:rFonts w:cs="Arial"/>
                <w:color w:val="auto"/>
                <w:sz w:val="18"/>
                <w:szCs w:val="18"/>
              </w:rPr>
              <w:t>Entreprise chargée des travaux</w:t>
            </w:r>
          </w:p>
        </w:tc>
        <w:tc>
          <w:tcPr>
            <w:tcW w:w="897" w:type="pct"/>
            <w:tcBorders>
              <w:top w:val="single" w:sz="6" w:space="0" w:color="auto"/>
              <w:left w:val="single" w:sz="6" w:space="0" w:color="auto"/>
              <w:bottom w:val="single" w:sz="6" w:space="0" w:color="auto"/>
              <w:right w:val="single" w:sz="8" w:space="0" w:color="auto"/>
            </w:tcBorders>
          </w:tcPr>
          <w:p w14:paraId="06009F93" w14:textId="77777777" w:rsidR="00CB4E93" w:rsidRPr="00A9330B" w:rsidRDefault="00CB4E93" w:rsidP="00CB4E93">
            <w:pPr>
              <w:widowControl w:val="0"/>
              <w:autoSpaceDE w:val="0"/>
              <w:autoSpaceDN w:val="0"/>
              <w:adjustRightInd w:val="0"/>
              <w:spacing w:before="60" w:line="240" w:lineRule="auto"/>
              <w:rPr>
                <w:rFonts w:cs="Arial"/>
                <w:color w:val="auto"/>
                <w:sz w:val="18"/>
                <w:szCs w:val="18"/>
              </w:rPr>
            </w:pPr>
            <w:r w:rsidRPr="00A9330B">
              <w:rPr>
                <w:rFonts w:cs="Arial"/>
                <w:color w:val="auto"/>
                <w:sz w:val="18"/>
                <w:szCs w:val="18"/>
              </w:rPr>
              <w:t>Mairie de Natitingou (Direction Services Techniques)</w:t>
            </w:r>
          </w:p>
          <w:p w14:paraId="60F69075" w14:textId="77777777" w:rsidR="00CB4E93" w:rsidRPr="00A9330B" w:rsidRDefault="00CB4E93" w:rsidP="00CB4E93">
            <w:pPr>
              <w:widowControl w:val="0"/>
              <w:autoSpaceDE w:val="0"/>
              <w:autoSpaceDN w:val="0"/>
              <w:adjustRightInd w:val="0"/>
              <w:spacing w:before="60" w:line="240" w:lineRule="auto"/>
              <w:rPr>
                <w:rFonts w:cs="Arial"/>
                <w:color w:val="auto"/>
                <w:sz w:val="18"/>
                <w:szCs w:val="18"/>
              </w:rPr>
            </w:pPr>
            <w:r w:rsidRPr="00A9330B">
              <w:rPr>
                <w:rFonts w:cs="Arial"/>
                <w:color w:val="auto"/>
                <w:sz w:val="18"/>
                <w:szCs w:val="18"/>
              </w:rPr>
              <w:t>DDCVDD- AD</w:t>
            </w:r>
          </w:p>
        </w:tc>
        <w:tc>
          <w:tcPr>
            <w:tcW w:w="897" w:type="pct"/>
            <w:tcBorders>
              <w:top w:val="single" w:sz="6" w:space="0" w:color="auto"/>
              <w:left w:val="single" w:sz="6" w:space="0" w:color="auto"/>
              <w:bottom w:val="single" w:sz="6" w:space="0" w:color="auto"/>
              <w:right w:val="single" w:sz="8" w:space="0" w:color="auto"/>
            </w:tcBorders>
          </w:tcPr>
          <w:p w14:paraId="6E10D256" w14:textId="77777777" w:rsidR="00CB4E93" w:rsidRPr="00A9330B" w:rsidRDefault="00CB4E93" w:rsidP="00CB4E93">
            <w:pPr>
              <w:widowControl w:val="0"/>
              <w:autoSpaceDE w:val="0"/>
              <w:autoSpaceDN w:val="0"/>
              <w:adjustRightInd w:val="0"/>
              <w:spacing w:before="60" w:line="240" w:lineRule="auto"/>
              <w:rPr>
                <w:rFonts w:cs="Arial"/>
                <w:color w:val="auto"/>
                <w:sz w:val="18"/>
                <w:szCs w:val="18"/>
              </w:rPr>
            </w:pPr>
            <w:r w:rsidRPr="00A9330B">
              <w:rPr>
                <w:rFonts w:eastAsia="Calibri" w:cs="Arial"/>
                <w:sz w:val="20"/>
                <w:szCs w:val="20"/>
              </w:rPr>
              <w:t>Intégrer dans sécurité de chantier (DAO travaux</w:t>
            </w:r>
          </w:p>
        </w:tc>
      </w:tr>
      <w:tr w:rsidR="00CB4E93" w:rsidRPr="00A9330B" w14:paraId="6DBE2937" w14:textId="77777777" w:rsidTr="00CB4E93">
        <w:trPr>
          <w:trHeight w:val="759"/>
        </w:trPr>
        <w:tc>
          <w:tcPr>
            <w:tcW w:w="996" w:type="pct"/>
            <w:tcBorders>
              <w:top w:val="single" w:sz="6" w:space="0" w:color="auto"/>
              <w:left w:val="single" w:sz="8" w:space="0" w:color="auto"/>
              <w:bottom w:val="single" w:sz="6" w:space="0" w:color="auto"/>
              <w:right w:val="single" w:sz="6" w:space="0" w:color="auto"/>
            </w:tcBorders>
          </w:tcPr>
          <w:p w14:paraId="4BB62B5B" w14:textId="77777777" w:rsidR="00CB4E93" w:rsidRPr="00A9330B" w:rsidRDefault="00CB4E93" w:rsidP="00CB4E93">
            <w:pPr>
              <w:spacing w:before="60" w:line="240" w:lineRule="auto"/>
              <w:rPr>
                <w:rFonts w:eastAsia="Calibri" w:cs="Arial"/>
                <w:color w:val="auto"/>
                <w:sz w:val="18"/>
                <w:szCs w:val="18"/>
              </w:rPr>
            </w:pPr>
            <w:r w:rsidRPr="00A9330B">
              <w:rPr>
                <w:rFonts w:cs="Arial"/>
                <w:color w:val="auto"/>
                <w:sz w:val="18"/>
                <w:szCs w:val="18"/>
              </w:rPr>
              <w:t xml:space="preserve">2.10.a.7.1. </w:t>
            </w:r>
            <w:r w:rsidRPr="00A9330B">
              <w:rPr>
                <w:rFonts w:eastAsia="Calibri" w:cs="Arial"/>
                <w:color w:val="auto"/>
                <w:sz w:val="18"/>
                <w:szCs w:val="18"/>
              </w:rPr>
              <w:t>Mettre en place des passerelles et /ou des escabeaux</w:t>
            </w:r>
          </w:p>
          <w:p w14:paraId="26AA1DC6" w14:textId="77777777" w:rsidR="00CB4E93" w:rsidRPr="00A9330B" w:rsidRDefault="00CB4E93" w:rsidP="00CB4E93">
            <w:pPr>
              <w:widowControl w:val="0"/>
              <w:spacing w:before="60" w:line="240" w:lineRule="auto"/>
              <w:rPr>
                <w:rFonts w:eastAsia="Calibri" w:cs="Arial"/>
                <w:color w:val="auto"/>
                <w:sz w:val="18"/>
                <w:szCs w:val="18"/>
              </w:rPr>
            </w:pPr>
          </w:p>
        </w:tc>
        <w:tc>
          <w:tcPr>
            <w:tcW w:w="916" w:type="pct"/>
            <w:tcBorders>
              <w:top w:val="single" w:sz="6" w:space="0" w:color="auto"/>
              <w:left w:val="single" w:sz="6" w:space="0" w:color="auto"/>
              <w:bottom w:val="single" w:sz="6" w:space="0" w:color="auto"/>
              <w:right w:val="single" w:sz="6" w:space="0" w:color="auto"/>
            </w:tcBorders>
          </w:tcPr>
          <w:p w14:paraId="6744F4FE" w14:textId="77777777" w:rsidR="00CB4E93" w:rsidRPr="00A9330B" w:rsidRDefault="00CB4E93" w:rsidP="00CB4E93">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t>Existence de passerelles /escabeaux</w:t>
            </w:r>
          </w:p>
          <w:p w14:paraId="5B7799BA" w14:textId="77777777" w:rsidR="00CB4E93" w:rsidRPr="00A9330B" w:rsidRDefault="00CB4E93" w:rsidP="00CB4E93">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t xml:space="preserve">Nombre de plaintes enregistrées </w:t>
            </w:r>
          </w:p>
          <w:p w14:paraId="16514C2A" w14:textId="77777777" w:rsidR="00CB4E93" w:rsidRPr="00A9330B" w:rsidRDefault="00CB4E93" w:rsidP="00CB4E93">
            <w:pPr>
              <w:widowControl w:val="0"/>
              <w:autoSpaceDE w:val="0"/>
              <w:autoSpaceDN w:val="0"/>
              <w:adjustRightInd w:val="0"/>
              <w:spacing w:before="60" w:line="240" w:lineRule="auto"/>
              <w:rPr>
                <w:rFonts w:eastAsia="Calibri" w:cs="Arial"/>
                <w:color w:val="auto"/>
                <w:sz w:val="18"/>
                <w:szCs w:val="18"/>
              </w:rPr>
            </w:pPr>
          </w:p>
        </w:tc>
        <w:tc>
          <w:tcPr>
            <w:tcW w:w="637" w:type="pct"/>
            <w:tcBorders>
              <w:top w:val="single" w:sz="6" w:space="0" w:color="auto"/>
              <w:left w:val="single" w:sz="6" w:space="0" w:color="auto"/>
              <w:bottom w:val="single" w:sz="6" w:space="0" w:color="auto"/>
              <w:right w:val="single" w:sz="6" w:space="0" w:color="auto"/>
            </w:tcBorders>
          </w:tcPr>
          <w:p w14:paraId="47E3A7B2" w14:textId="77777777" w:rsidR="00CB4E93" w:rsidRPr="00A9330B" w:rsidRDefault="00CB4E93" w:rsidP="00CB4E93">
            <w:pPr>
              <w:widowControl w:val="0"/>
              <w:autoSpaceDE w:val="0"/>
              <w:autoSpaceDN w:val="0"/>
              <w:adjustRightInd w:val="0"/>
              <w:spacing w:before="60" w:line="240" w:lineRule="auto"/>
              <w:jc w:val="center"/>
              <w:rPr>
                <w:rFonts w:eastAsia="Calibri" w:cs="Arial"/>
                <w:color w:val="auto"/>
                <w:sz w:val="18"/>
                <w:szCs w:val="18"/>
              </w:rPr>
            </w:pPr>
            <w:r w:rsidRPr="00A9330B">
              <w:rPr>
                <w:rFonts w:eastAsia="Calibri" w:cs="Arial"/>
                <w:color w:val="auto"/>
                <w:sz w:val="18"/>
                <w:szCs w:val="18"/>
              </w:rPr>
              <w:t>Avant le démarrage et pendant les travaux</w:t>
            </w:r>
          </w:p>
        </w:tc>
        <w:tc>
          <w:tcPr>
            <w:tcW w:w="657" w:type="pct"/>
            <w:tcBorders>
              <w:top w:val="single" w:sz="6" w:space="0" w:color="auto"/>
              <w:left w:val="single" w:sz="6" w:space="0" w:color="auto"/>
              <w:bottom w:val="single" w:sz="6" w:space="0" w:color="auto"/>
              <w:right w:val="single" w:sz="6" w:space="0" w:color="auto"/>
            </w:tcBorders>
          </w:tcPr>
          <w:p w14:paraId="03A53999" w14:textId="77777777" w:rsidR="00CB4E93" w:rsidRPr="00A9330B" w:rsidRDefault="00CB4E93" w:rsidP="00CB4E93">
            <w:pPr>
              <w:widowControl w:val="0"/>
              <w:autoSpaceDE w:val="0"/>
              <w:autoSpaceDN w:val="0"/>
              <w:adjustRightInd w:val="0"/>
              <w:spacing w:before="60" w:line="240" w:lineRule="auto"/>
              <w:jc w:val="center"/>
              <w:rPr>
                <w:rFonts w:eastAsia="Calibri" w:cs="Arial"/>
                <w:color w:val="auto"/>
                <w:sz w:val="18"/>
                <w:szCs w:val="18"/>
              </w:rPr>
            </w:pPr>
            <w:r w:rsidRPr="00A9330B">
              <w:rPr>
                <w:rFonts w:eastAsia="Calibri" w:cs="Arial"/>
                <w:color w:val="auto"/>
                <w:sz w:val="18"/>
                <w:szCs w:val="18"/>
              </w:rPr>
              <w:t>MDC</w:t>
            </w:r>
          </w:p>
          <w:p w14:paraId="749F6591" w14:textId="77777777" w:rsidR="00CB4E93" w:rsidRPr="00A9330B" w:rsidRDefault="00CB4E93" w:rsidP="00CB4E93">
            <w:pPr>
              <w:widowControl w:val="0"/>
              <w:autoSpaceDE w:val="0"/>
              <w:autoSpaceDN w:val="0"/>
              <w:adjustRightInd w:val="0"/>
              <w:spacing w:before="60" w:line="240" w:lineRule="auto"/>
              <w:jc w:val="center"/>
              <w:rPr>
                <w:rFonts w:eastAsia="Calibri" w:cs="Arial"/>
                <w:color w:val="auto"/>
                <w:sz w:val="18"/>
                <w:szCs w:val="18"/>
              </w:rPr>
            </w:pPr>
            <w:r w:rsidRPr="00A9330B">
              <w:rPr>
                <w:rFonts w:eastAsia="Calibri" w:cs="Arial"/>
                <w:color w:val="auto"/>
                <w:sz w:val="18"/>
                <w:szCs w:val="18"/>
              </w:rPr>
              <w:t>Entreprise chargée des travaux</w:t>
            </w:r>
          </w:p>
        </w:tc>
        <w:tc>
          <w:tcPr>
            <w:tcW w:w="897" w:type="pct"/>
            <w:tcBorders>
              <w:top w:val="single" w:sz="6" w:space="0" w:color="auto"/>
              <w:left w:val="single" w:sz="6" w:space="0" w:color="auto"/>
              <w:bottom w:val="single" w:sz="6" w:space="0" w:color="auto"/>
              <w:right w:val="single" w:sz="8" w:space="0" w:color="auto"/>
            </w:tcBorders>
          </w:tcPr>
          <w:p w14:paraId="2208545A" w14:textId="77777777" w:rsidR="00CB4E93" w:rsidRPr="00A9330B" w:rsidRDefault="00CB4E93" w:rsidP="00CB4E93">
            <w:pPr>
              <w:widowControl w:val="0"/>
              <w:autoSpaceDE w:val="0"/>
              <w:autoSpaceDN w:val="0"/>
              <w:adjustRightInd w:val="0"/>
              <w:spacing w:before="60" w:line="240" w:lineRule="auto"/>
              <w:rPr>
                <w:rFonts w:cs="Arial"/>
                <w:color w:val="auto"/>
                <w:sz w:val="18"/>
                <w:szCs w:val="18"/>
              </w:rPr>
            </w:pPr>
            <w:r w:rsidRPr="00A9330B">
              <w:rPr>
                <w:rFonts w:cs="Arial"/>
                <w:color w:val="auto"/>
                <w:sz w:val="18"/>
                <w:szCs w:val="18"/>
              </w:rPr>
              <w:t>Mairie de Natitingou (Direction Services Techniques)</w:t>
            </w:r>
          </w:p>
          <w:p w14:paraId="3498D118" w14:textId="77777777" w:rsidR="00CB4E93" w:rsidRPr="00A9330B" w:rsidRDefault="00CB4E93" w:rsidP="00CB4E93">
            <w:pPr>
              <w:widowControl w:val="0"/>
              <w:autoSpaceDE w:val="0"/>
              <w:autoSpaceDN w:val="0"/>
              <w:adjustRightInd w:val="0"/>
              <w:spacing w:before="60" w:line="240" w:lineRule="auto"/>
              <w:rPr>
                <w:rFonts w:eastAsia="Calibri" w:cs="Arial"/>
                <w:color w:val="auto"/>
                <w:sz w:val="18"/>
                <w:szCs w:val="18"/>
              </w:rPr>
            </w:pPr>
            <w:r w:rsidRPr="00A9330B">
              <w:rPr>
                <w:rFonts w:cs="Arial"/>
                <w:color w:val="auto"/>
                <w:sz w:val="18"/>
                <w:szCs w:val="18"/>
              </w:rPr>
              <w:t>DDCVDD- AD</w:t>
            </w:r>
          </w:p>
        </w:tc>
        <w:tc>
          <w:tcPr>
            <w:tcW w:w="897" w:type="pct"/>
            <w:tcBorders>
              <w:top w:val="single" w:sz="6" w:space="0" w:color="auto"/>
              <w:left w:val="single" w:sz="6" w:space="0" w:color="auto"/>
              <w:bottom w:val="single" w:sz="6" w:space="0" w:color="auto"/>
              <w:right w:val="single" w:sz="8" w:space="0" w:color="auto"/>
            </w:tcBorders>
          </w:tcPr>
          <w:p w14:paraId="659A5BBC" w14:textId="77777777" w:rsidR="00CB4E93" w:rsidRPr="00A9330B" w:rsidRDefault="00CB4E93" w:rsidP="00CB4E93">
            <w:pPr>
              <w:widowControl w:val="0"/>
              <w:autoSpaceDE w:val="0"/>
              <w:autoSpaceDN w:val="0"/>
              <w:adjustRightInd w:val="0"/>
              <w:spacing w:before="60" w:line="240" w:lineRule="auto"/>
              <w:rPr>
                <w:rFonts w:cs="Arial"/>
                <w:color w:val="auto"/>
                <w:sz w:val="18"/>
                <w:szCs w:val="18"/>
              </w:rPr>
            </w:pPr>
            <w:r w:rsidRPr="00A9330B">
              <w:rPr>
                <w:rFonts w:eastAsia="Calibri" w:cs="Arial"/>
                <w:sz w:val="20"/>
                <w:szCs w:val="20"/>
              </w:rPr>
              <w:t>Intégrer dans sécurité de chantier (DAO travaux</w:t>
            </w:r>
          </w:p>
        </w:tc>
      </w:tr>
      <w:tr w:rsidR="00CB4E93" w:rsidRPr="00A9330B" w14:paraId="5862FF98" w14:textId="77777777" w:rsidTr="00CB4E93">
        <w:trPr>
          <w:trHeight w:val="759"/>
        </w:trPr>
        <w:tc>
          <w:tcPr>
            <w:tcW w:w="996" w:type="pct"/>
            <w:tcBorders>
              <w:top w:val="single" w:sz="6" w:space="0" w:color="auto"/>
              <w:left w:val="single" w:sz="8" w:space="0" w:color="auto"/>
              <w:bottom w:val="single" w:sz="6" w:space="0" w:color="auto"/>
              <w:right w:val="single" w:sz="6" w:space="0" w:color="auto"/>
            </w:tcBorders>
          </w:tcPr>
          <w:p w14:paraId="33400EBA" w14:textId="77777777" w:rsidR="00CB4E93" w:rsidRPr="00A9330B" w:rsidRDefault="00CB4E93" w:rsidP="00CB4E93">
            <w:pPr>
              <w:widowControl w:val="0"/>
              <w:autoSpaceDE w:val="0"/>
              <w:autoSpaceDN w:val="0"/>
              <w:adjustRightInd w:val="0"/>
              <w:spacing w:before="60" w:line="240" w:lineRule="auto"/>
              <w:rPr>
                <w:rFonts w:cs="Arial"/>
                <w:color w:val="auto"/>
                <w:sz w:val="18"/>
                <w:szCs w:val="18"/>
              </w:rPr>
            </w:pPr>
            <w:r w:rsidRPr="00A9330B">
              <w:rPr>
                <w:rFonts w:cs="Arial"/>
                <w:color w:val="auto"/>
                <w:sz w:val="18"/>
                <w:szCs w:val="18"/>
              </w:rPr>
              <w:t>2.10.a.8.1. Identifier clairement les différents projets avant le démarrage des travaux </w:t>
            </w:r>
          </w:p>
        </w:tc>
        <w:tc>
          <w:tcPr>
            <w:tcW w:w="916" w:type="pct"/>
            <w:tcBorders>
              <w:top w:val="single" w:sz="6" w:space="0" w:color="auto"/>
              <w:left w:val="single" w:sz="6" w:space="0" w:color="auto"/>
              <w:bottom w:val="single" w:sz="6" w:space="0" w:color="auto"/>
              <w:right w:val="single" w:sz="6" w:space="0" w:color="auto"/>
            </w:tcBorders>
          </w:tcPr>
          <w:p w14:paraId="3B81D734" w14:textId="77777777" w:rsidR="00CB4E93" w:rsidRPr="00A9330B" w:rsidRDefault="00CB4E93" w:rsidP="00CB4E93">
            <w:pPr>
              <w:widowControl w:val="0"/>
              <w:autoSpaceDE w:val="0"/>
              <w:autoSpaceDN w:val="0"/>
              <w:adjustRightInd w:val="0"/>
              <w:spacing w:before="60" w:line="240" w:lineRule="auto"/>
              <w:rPr>
                <w:rFonts w:cs="Arial"/>
                <w:color w:val="auto"/>
                <w:sz w:val="18"/>
                <w:szCs w:val="18"/>
              </w:rPr>
            </w:pPr>
            <w:r w:rsidRPr="00A9330B">
              <w:rPr>
                <w:rFonts w:cs="Arial"/>
                <w:color w:val="auto"/>
                <w:sz w:val="18"/>
                <w:szCs w:val="18"/>
              </w:rPr>
              <w:t xml:space="preserve">Existence d’une liste exhaustive des projets en cours </w:t>
            </w:r>
          </w:p>
        </w:tc>
        <w:tc>
          <w:tcPr>
            <w:tcW w:w="637" w:type="pct"/>
            <w:tcBorders>
              <w:top w:val="single" w:sz="6" w:space="0" w:color="auto"/>
              <w:left w:val="single" w:sz="6" w:space="0" w:color="auto"/>
              <w:bottom w:val="single" w:sz="6" w:space="0" w:color="auto"/>
              <w:right w:val="single" w:sz="6" w:space="0" w:color="auto"/>
            </w:tcBorders>
          </w:tcPr>
          <w:p w14:paraId="7F29B35D" w14:textId="77777777" w:rsidR="00CB4E93" w:rsidRPr="00A9330B" w:rsidRDefault="00CB4E93" w:rsidP="00CB4E93">
            <w:pPr>
              <w:widowControl w:val="0"/>
              <w:autoSpaceDE w:val="0"/>
              <w:autoSpaceDN w:val="0"/>
              <w:adjustRightInd w:val="0"/>
              <w:spacing w:before="60" w:line="240" w:lineRule="auto"/>
              <w:jc w:val="center"/>
              <w:rPr>
                <w:rFonts w:cs="Arial"/>
                <w:color w:val="auto"/>
                <w:sz w:val="18"/>
                <w:szCs w:val="18"/>
              </w:rPr>
            </w:pPr>
            <w:r w:rsidRPr="00A9330B">
              <w:rPr>
                <w:rFonts w:cs="Arial"/>
                <w:color w:val="auto"/>
                <w:sz w:val="18"/>
                <w:szCs w:val="18"/>
              </w:rPr>
              <w:t>Avant le démarrage et pendant les travaux</w:t>
            </w:r>
          </w:p>
        </w:tc>
        <w:tc>
          <w:tcPr>
            <w:tcW w:w="657" w:type="pct"/>
            <w:tcBorders>
              <w:top w:val="single" w:sz="6" w:space="0" w:color="auto"/>
              <w:left w:val="single" w:sz="6" w:space="0" w:color="auto"/>
              <w:bottom w:val="single" w:sz="6" w:space="0" w:color="auto"/>
              <w:right w:val="single" w:sz="6" w:space="0" w:color="auto"/>
            </w:tcBorders>
          </w:tcPr>
          <w:p w14:paraId="7DD2EFF1" w14:textId="77777777" w:rsidR="00CB4E93" w:rsidRPr="00A9330B" w:rsidRDefault="00CB4E93" w:rsidP="00CB4E93">
            <w:pPr>
              <w:widowControl w:val="0"/>
              <w:autoSpaceDE w:val="0"/>
              <w:autoSpaceDN w:val="0"/>
              <w:adjustRightInd w:val="0"/>
              <w:spacing w:before="60" w:line="240" w:lineRule="auto"/>
              <w:jc w:val="center"/>
              <w:rPr>
                <w:rFonts w:cs="Arial"/>
                <w:color w:val="auto"/>
                <w:sz w:val="18"/>
                <w:szCs w:val="18"/>
              </w:rPr>
            </w:pPr>
            <w:r w:rsidRPr="00A9330B">
              <w:rPr>
                <w:rFonts w:cs="Arial"/>
                <w:color w:val="auto"/>
                <w:sz w:val="18"/>
                <w:szCs w:val="18"/>
              </w:rPr>
              <w:t>MDC</w:t>
            </w:r>
          </w:p>
          <w:p w14:paraId="204BE5D1" w14:textId="77777777" w:rsidR="00CB4E93" w:rsidRPr="00A9330B" w:rsidRDefault="00CB4E93" w:rsidP="00CB4E93">
            <w:pPr>
              <w:widowControl w:val="0"/>
              <w:autoSpaceDE w:val="0"/>
              <w:autoSpaceDN w:val="0"/>
              <w:adjustRightInd w:val="0"/>
              <w:spacing w:before="60" w:line="240" w:lineRule="auto"/>
              <w:jc w:val="center"/>
              <w:rPr>
                <w:rFonts w:cs="Arial"/>
                <w:color w:val="auto"/>
                <w:sz w:val="18"/>
                <w:szCs w:val="18"/>
              </w:rPr>
            </w:pPr>
            <w:r w:rsidRPr="00A9330B">
              <w:rPr>
                <w:rFonts w:cs="Arial"/>
                <w:color w:val="auto"/>
                <w:sz w:val="18"/>
                <w:szCs w:val="18"/>
              </w:rPr>
              <w:t>Entreprise chargée des travaux</w:t>
            </w:r>
          </w:p>
        </w:tc>
        <w:tc>
          <w:tcPr>
            <w:tcW w:w="897" w:type="pct"/>
            <w:tcBorders>
              <w:top w:val="single" w:sz="6" w:space="0" w:color="auto"/>
              <w:left w:val="single" w:sz="6" w:space="0" w:color="auto"/>
              <w:bottom w:val="single" w:sz="6" w:space="0" w:color="auto"/>
              <w:right w:val="single" w:sz="8" w:space="0" w:color="auto"/>
            </w:tcBorders>
          </w:tcPr>
          <w:p w14:paraId="1ABC40BF" w14:textId="77777777" w:rsidR="00CB4E93" w:rsidRPr="00A9330B" w:rsidRDefault="00CB4E93" w:rsidP="00CB4E93">
            <w:pPr>
              <w:widowControl w:val="0"/>
              <w:autoSpaceDE w:val="0"/>
              <w:autoSpaceDN w:val="0"/>
              <w:adjustRightInd w:val="0"/>
              <w:spacing w:before="60" w:line="240" w:lineRule="auto"/>
              <w:rPr>
                <w:rFonts w:cs="Arial"/>
                <w:color w:val="auto"/>
                <w:sz w:val="18"/>
                <w:szCs w:val="18"/>
              </w:rPr>
            </w:pPr>
            <w:r w:rsidRPr="00A9330B">
              <w:rPr>
                <w:rFonts w:cs="Arial"/>
                <w:color w:val="auto"/>
                <w:sz w:val="18"/>
                <w:szCs w:val="18"/>
              </w:rPr>
              <w:t>Mairie de Natitingou (Direction Services Techniques)</w:t>
            </w:r>
          </w:p>
          <w:p w14:paraId="430C8D3E" w14:textId="77777777" w:rsidR="00CB4E93" w:rsidRPr="00A9330B" w:rsidRDefault="00CB4E93" w:rsidP="00CB4E93">
            <w:pPr>
              <w:widowControl w:val="0"/>
              <w:autoSpaceDE w:val="0"/>
              <w:autoSpaceDN w:val="0"/>
              <w:adjustRightInd w:val="0"/>
              <w:spacing w:before="60" w:line="240" w:lineRule="auto"/>
              <w:rPr>
                <w:rFonts w:eastAsia="Calibri" w:cs="Arial"/>
                <w:color w:val="auto"/>
                <w:sz w:val="18"/>
                <w:szCs w:val="18"/>
              </w:rPr>
            </w:pPr>
            <w:r w:rsidRPr="00A9330B">
              <w:rPr>
                <w:rFonts w:cs="Arial"/>
                <w:color w:val="auto"/>
                <w:sz w:val="18"/>
                <w:szCs w:val="18"/>
              </w:rPr>
              <w:t>DDCVDD- AD</w:t>
            </w:r>
          </w:p>
        </w:tc>
        <w:tc>
          <w:tcPr>
            <w:tcW w:w="897" w:type="pct"/>
            <w:tcBorders>
              <w:top w:val="single" w:sz="6" w:space="0" w:color="auto"/>
              <w:left w:val="single" w:sz="6" w:space="0" w:color="auto"/>
              <w:bottom w:val="single" w:sz="6" w:space="0" w:color="auto"/>
              <w:right w:val="single" w:sz="8" w:space="0" w:color="auto"/>
            </w:tcBorders>
          </w:tcPr>
          <w:p w14:paraId="539363A8" w14:textId="77777777" w:rsidR="00CB4E93" w:rsidRPr="00A9330B" w:rsidRDefault="00CB4E93" w:rsidP="00CB4E93">
            <w:pPr>
              <w:widowControl w:val="0"/>
              <w:autoSpaceDE w:val="0"/>
              <w:autoSpaceDN w:val="0"/>
              <w:adjustRightInd w:val="0"/>
              <w:spacing w:before="60" w:line="240" w:lineRule="auto"/>
              <w:rPr>
                <w:rFonts w:cs="Arial"/>
                <w:color w:val="auto"/>
                <w:sz w:val="18"/>
                <w:szCs w:val="18"/>
              </w:rPr>
            </w:pPr>
          </w:p>
        </w:tc>
      </w:tr>
      <w:tr w:rsidR="00CB4E93" w:rsidRPr="00A9330B" w14:paraId="152B5468" w14:textId="77777777" w:rsidTr="00CB4E93">
        <w:trPr>
          <w:trHeight w:val="759"/>
        </w:trPr>
        <w:tc>
          <w:tcPr>
            <w:tcW w:w="996" w:type="pct"/>
            <w:tcBorders>
              <w:top w:val="single" w:sz="6" w:space="0" w:color="auto"/>
              <w:left w:val="single" w:sz="8" w:space="0" w:color="auto"/>
              <w:bottom w:val="single" w:sz="6" w:space="0" w:color="auto"/>
              <w:right w:val="single" w:sz="6" w:space="0" w:color="auto"/>
            </w:tcBorders>
          </w:tcPr>
          <w:p w14:paraId="68F442B5" w14:textId="77777777" w:rsidR="00CB4E93" w:rsidRPr="00A9330B" w:rsidRDefault="00CB4E93" w:rsidP="00CB4E93">
            <w:pPr>
              <w:spacing w:before="60" w:line="240" w:lineRule="auto"/>
              <w:rPr>
                <w:rFonts w:eastAsia="Calibri" w:cs="Arial"/>
                <w:color w:val="auto"/>
                <w:sz w:val="18"/>
                <w:szCs w:val="18"/>
              </w:rPr>
            </w:pPr>
            <w:r w:rsidRPr="00A9330B">
              <w:rPr>
                <w:rFonts w:eastAsia="Calibri" w:cs="Arial"/>
                <w:color w:val="auto"/>
                <w:sz w:val="18"/>
                <w:szCs w:val="18"/>
              </w:rPr>
              <w:lastRenderedPageBreak/>
              <w:t>2.10.a.8.2. Coordonner les  calendriers d’exécution des travaux des  différents projets</w:t>
            </w:r>
          </w:p>
        </w:tc>
        <w:tc>
          <w:tcPr>
            <w:tcW w:w="916" w:type="pct"/>
            <w:tcBorders>
              <w:top w:val="single" w:sz="6" w:space="0" w:color="auto"/>
              <w:left w:val="single" w:sz="6" w:space="0" w:color="auto"/>
              <w:bottom w:val="single" w:sz="6" w:space="0" w:color="auto"/>
              <w:right w:val="single" w:sz="6" w:space="0" w:color="auto"/>
            </w:tcBorders>
          </w:tcPr>
          <w:p w14:paraId="7DB00772" w14:textId="77777777" w:rsidR="00CB4E93" w:rsidRPr="00A9330B" w:rsidRDefault="00CB4E93" w:rsidP="00CB4E93">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t xml:space="preserve">Compte rendu de concertation entre structures responsables de projet </w:t>
            </w:r>
          </w:p>
        </w:tc>
        <w:tc>
          <w:tcPr>
            <w:tcW w:w="637" w:type="pct"/>
            <w:tcBorders>
              <w:top w:val="single" w:sz="6" w:space="0" w:color="auto"/>
              <w:left w:val="single" w:sz="6" w:space="0" w:color="auto"/>
              <w:bottom w:val="single" w:sz="6" w:space="0" w:color="auto"/>
              <w:right w:val="single" w:sz="6" w:space="0" w:color="auto"/>
            </w:tcBorders>
          </w:tcPr>
          <w:p w14:paraId="651A9D9E" w14:textId="77777777" w:rsidR="00CB4E93" w:rsidRPr="00A9330B" w:rsidRDefault="00CB4E93" w:rsidP="00CB4E93">
            <w:pPr>
              <w:widowControl w:val="0"/>
              <w:autoSpaceDE w:val="0"/>
              <w:autoSpaceDN w:val="0"/>
              <w:adjustRightInd w:val="0"/>
              <w:spacing w:before="60" w:line="240" w:lineRule="auto"/>
              <w:jc w:val="center"/>
              <w:rPr>
                <w:rFonts w:eastAsia="Calibri" w:cs="Arial"/>
                <w:color w:val="auto"/>
                <w:sz w:val="18"/>
                <w:szCs w:val="18"/>
              </w:rPr>
            </w:pPr>
            <w:r w:rsidRPr="00A9330B">
              <w:rPr>
                <w:rFonts w:eastAsia="Calibri" w:cs="Arial"/>
                <w:color w:val="auto"/>
                <w:sz w:val="18"/>
                <w:szCs w:val="18"/>
              </w:rPr>
              <w:t>Avant le démarrage et pendant les travaux</w:t>
            </w:r>
          </w:p>
        </w:tc>
        <w:tc>
          <w:tcPr>
            <w:tcW w:w="657" w:type="pct"/>
            <w:tcBorders>
              <w:top w:val="single" w:sz="6" w:space="0" w:color="auto"/>
              <w:left w:val="single" w:sz="6" w:space="0" w:color="auto"/>
              <w:bottom w:val="single" w:sz="6" w:space="0" w:color="auto"/>
              <w:right w:val="single" w:sz="6" w:space="0" w:color="auto"/>
            </w:tcBorders>
          </w:tcPr>
          <w:p w14:paraId="491DA451" w14:textId="77777777" w:rsidR="00CB4E93" w:rsidRPr="00A9330B" w:rsidRDefault="00CB4E93" w:rsidP="00CB4E93">
            <w:pPr>
              <w:widowControl w:val="0"/>
              <w:autoSpaceDE w:val="0"/>
              <w:autoSpaceDN w:val="0"/>
              <w:adjustRightInd w:val="0"/>
              <w:spacing w:before="60" w:line="240" w:lineRule="auto"/>
              <w:jc w:val="center"/>
              <w:rPr>
                <w:rFonts w:eastAsia="Calibri" w:cs="Arial"/>
                <w:color w:val="auto"/>
                <w:sz w:val="18"/>
                <w:szCs w:val="18"/>
              </w:rPr>
            </w:pPr>
            <w:r w:rsidRPr="00A9330B">
              <w:rPr>
                <w:rFonts w:eastAsia="Calibri" w:cs="Arial"/>
                <w:color w:val="auto"/>
                <w:sz w:val="18"/>
                <w:szCs w:val="18"/>
              </w:rPr>
              <w:t>MDC</w:t>
            </w:r>
          </w:p>
          <w:p w14:paraId="1135A32D" w14:textId="77777777" w:rsidR="00CB4E93" w:rsidRPr="00A9330B" w:rsidRDefault="00CB4E93" w:rsidP="00CB4E93">
            <w:pPr>
              <w:widowControl w:val="0"/>
              <w:autoSpaceDE w:val="0"/>
              <w:autoSpaceDN w:val="0"/>
              <w:adjustRightInd w:val="0"/>
              <w:spacing w:before="60" w:line="240" w:lineRule="auto"/>
              <w:jc w:val="center"/>
              <w:rPr>
                <w:rFonts w:eastAsia="Calibri" w:cs="Arial"/>
                <w:color w:val="auto"/>
                <w:sz w:val="18"/>
                <w:szCs w:val="18"/>
              </w:rPr>
            </w:pPr>
            <w:r w:rsidRPr="00A9330B">
              <w:rPr>
                <w:rFonts w:eastAsia="Calibri" w:cs="Arial"/>
                <w:color w:val="auto"/>
                <w:sz w:val="18"/>
                <w:szCs w:val="18"/>
              </w:rPr>
              <w:t>Entreprise chargée des travaux</w:t>
            </w:r>
          </w:p>
        </w:tc>
        <w:tc>
          <w:tcPr>
            <w:tcW w:w="897" w:type="pct"/>
            <w:tcBorders>
              <w:top w:val="single" w:sz="6" w:space="0" w:color="auto"/>
              <w:left w:val="single" w:sz="6" w:space="0" w:color="auto"/>
              <w:bottom w:val="single" w:sz="6" w:space="0" w:color="auto"/>
              <w:right w:val="single" w:sz="8" w:space="0" w:color="auto"/>
            </w:tcBorders>
          </w:tcPr>
          <w:p w14:paraId="51C1B077" w14:textId="77777777" w:rsidR="00CB4E93" w:rsidRPr="00A9330B" w:rsidRDefault="00CB4E93" w:rsidP="00CB4E93">
            <w:pPr>
              <w:widowControl w:val="0"/>
              <w:autoSpaceDE w:val="0"/>
              <w:autoSpaceDN w:val="0"/>
              <w:adjustRightInd w:val="0"/>
              <w:spacing w:before="60" w:line="240" w:lineRule="auto"/>
              <w:rPr>
                <w:rFonts w:cs="Arial"/>
                <w:color w:val="auto"/>
                <w:sz w:val="18"/>
                <w:szCs w:val="18"/>
              </w:rPr>
            </w:pPr>
            <w:r w:rsidRPr="00A9330B">
              <w:rPr>
                <w:rFonts w:cs="Arial"/>
                <w:color w:val="auto"/>
                <w:sz w:val="18"/>
                <w:szCs w:val="18"/>
              </w:rPr>
              <w:t>Mairie de Natitingou (Direction Services Techniques)</w:t>
            </w:r>
          </w:p>
          <w:p w14:paraId="0E9BAB23" w14:textId="77777777" w:rsidR="00CB4E93" w:rsidRPr="00A9330B" w:rsidRDefault="00CB4E93" w:rsidP="00CB4E93">
            <w:pPr>
              <w:widowControl w:val="0"/>
              <w:autoSpaceDE w:val="0"/>
              <w:autoSpaceDN w:val="0"/>
              <w:adjustRightInd w:val="0"/>
              <w:spacing w:before="60" w:line="240" w:lineRule="auto"/>
              <w:rPr>
                <w:rFonts w:eastAsia="Calibri" w:cs="Arial"/>
                <w:color w:val="auto"/>
                <w:sz w:val="18"/>
                <w:szCs w:val="18"/>
              </w:rPr>
            </w:pPr>
            <w:r w:rsidRPr="00A9330B">
              <w:rPr>
                <w:rFonts w:cs="Arial"/>
                <w:color w:val="auto"/>
                <w:sz w:val="18"/>
                <w:szCs w:val="18"/>
              </w:rPr>
              <w:t>DDCVDD- AD</w:t>
            </w:r>
          </w:p>
        </w:tc>
        <w:tc>
          <w:tcPr>
            <w:tcW w:w="897" w:type="pct"/>
            <w:tcBorders>
              <w:top w:val="single" w:sz="6" w:space="0" w:color="auto"/>
              <w:left w:val="single" w:sz="6" w:space="0" w:color="auto"/>
              <w:bottom w:val="single" w:sz="6" w:space="0" w:color="auto"/>
              <w:right w:val="single" w:sz="8" w:space="0" w:color="auto"/>
            </w:tcBorders>
          </w:tcPr>
          <w:p w14:paraId="05011265" w14:textId="77777777" w:rsidR="00CB4E93" w:rsidRPr="00A9330B" w:rsidRDefault="00CB4E93" w:rsidP="00CB4E93">
            <w:pPr>
              <w:widowControl w:val="0"/>
              <w:autoSpaceDE w:val="0"/>
              <w:autoSpaceDN w:val="0"/>
              <w:adjustRightInd w:val="0"/>
              <w:spacing w:before="60" w:line="240" w:lineRule="auto"/>
              <w:rPr>
                <w:rFonts w:cs="Arial"/>
                <w:color w:val="auto"/>
                <w:sz w:val="18"/>
                <w:szCs w:val="18"/>
              </w:rPr>
            </w:pPr>
          </w:p>
        </w:tc>
      </w:tr>
      <w:tr w:rsidR="00CB4E93" w:rsidRPr="00A9330B" w14:paraId="6BB14E6B" w14:textId="77777777" w:rsidTr="00CB4E93">
        <w:trPr>
          <w:trHeight w:val="759"/>
        </w:trPr>
        <w:tc>
          <w:tcPr>
            <w:tcW w:w="996" w:type="pct"/>
            <w:tcBorders>
              <w:top w:val="single" w:sz="6" w:space="0" w:color="auto"/>
              <w:left w:val="single" w:sz="8" w:space="0" w:color="auto"/>
              <w:bottom w:val="single" w:sz="6" w:space="0" w:color="auto"/>
              <w:right w:val="single" w:sz="6" w:space="0" w:color="auto"/>
            </w:tcBorders>
          </w:tcPr>
          <w:p w14:paraId="3A51D799" w14:textId="77777777" w:rsidR="00CB4E93" w:rsidRPr="00A9330B" w:rsidRDefault="00CB4E93" w:rsidP="00CB4E93">
            <w:pPr>
              <w:widowControl w:val="0"/>
              <w:spacing w:before="60" w:line="240" w:lineRule="auto"/>
              <w:rPr>
                <w:rFonts w:eastAsia="Calibri" w:cs="Arial"/>
                <w:color w:val="auto"/>
                <w:sz w:val="18"/>
                <w:szCs w:val="18"/>
              </w:rPr>
            </w:pPr>
            <w:r w:rsidRPr="00A9330B">
              <w:rPr>
                <w:rFonts w:eastAsia="Calibri" w:cs="Arial"/>
                <w:color w:val="auto"/>
                <w:sz w:val="18"/>
                <w:szCs w:val="18"/>
              </w:rPr>
              <w:t>2.10.a.8.3. Faire des réservations dans les voiries pour les autres projets à venir (fourreaux pour les canalisations et les lignes électriques)</w:t>
            </w:r>
          </w:p>
        </w:tc>
        <w:tc>
          <w:tcPr>
            <w:tcW w:w="916" w:type="pct"/>
            <w:tcBorders>
              <w:top w:val="single" w:sz="6" w:space="0" w:color="auto"/>
              <w:left w:val="single" w:sz="6" w:space="0" w:color="auto"/>
              <w:bottom w:val="single" w:sz="6" w:space="0" w:color="auto"/>
              <w:right w:val="single" w:sz="6" w:space="0" w:color="auto"/>
            </w:tcBorders>
          </w:tcPr>
          <w:p w14:paraId="70C8DCCC" w14:textId="77777777" w:rsidR="00CB4E93" w:rsidRPr="00A9330B" w:rsidRDefault="00CB4E93" w:rsidP="00CB4E93">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t xml:space="preserve">Existence des réservations </w:t>
            </w:r>
          </w:p>
        </w:tc>
        <w:tc>
          <w:tcPr>
            <w:tcW w:w="637" w:type="pct"/>
            <w:tcBorders>
              <w:top w:val="single" w:sz="6" w:space="0" w:color="auto"/>
              <w:left w:val="single" w:sz="6" w:space="0" w:color="auto"/>
              <w:bottom w:val="single" w:sz="6" w:space="0" w:color="auto"/>
              <w:right w:val="single" w:sz="6" w:space="0" w:color="auto"/>
            </w:tcBorders>
          </w:tcPr>
          <w:p w14:paraId="64CB849B" w14:textId="77777777" w:rsidR="00CB4E93" w:rsidRPr="00A9330B" w:rsidRDefault="00CB4E93" w:rsidP="00CB4E93">
            <w:pPr>
              <w:widowControl w:val="0"/>
              <w:autoSpaceDE w:val="0"/>
              <w:autoSpaceDN w:val="0"/>
              <w:adjustRightInd w:val="0"/>
              <w:spacing w:before="60" w:line="240" w:lineRule="auto"/>
              <w:jc w:val="center"/>
              <w:rPr>
                <w:rFonts w:eastAsia="Calibri" w:cs="Arial"/>
                <w:color w:val="auto"/>
                <w:sz w:val="18"/>
                <w:szCs w:val="18"/>
              </w:rPr>
            </w:pPr>
            <w:r w:rsidRPr="00A9330B">
              <w:rPr>
                <w:rFonts w:eastAsia="Calibri" w:cs="Arial"/>
                <w:color w:val="auto"/>
                <w:sz w:val="18"/>
                <w:szCs w:val="18"/>
              </w:rPr>
              <w:t>Avant le démarrage et pendant les travaux</w:t>
            </w:r>
          </w:p>
        </w:tc>
        <w:tc>
          <w:tcPr>
            <w:tcW w:w="657" w:type="pct"/>
            <w:tcBorders>
              <w:top w:val="single" w:sz="6" w:space="0" w:color="auto"/>
              <w:left w:val="single" w:sz="6" w:space="0" w:color="auto"/>
              <w:bottom w:val="single" w:sz="6" w:space="0" w:color="auto"/>
              <w:right w:val="single" w:sz="6" w:space="0" w:color="auto"/>
            </w:tcBorders>
          </w:tcPr>
          <w:p w14:paraId="6EAB09F2" w14:textId="77777777" w:rsidR="00CB4E93" w:rsidRPr="00A9330B" w:rsidRDefault="00CB4E93" w:rsidP="00CB4E93">
            <w:pPr>
              <w:widowControl w:val="0"/>
              <w:autoSpaceDE w:val="0"/>
              <w:autoSpaceDN w:val="0"/>
              <w:adjustRightInd w:val="0"/>
              <w:spacing w:before="60" w:line="240" w:lineRule="auto"/>
              <w:jc w:val="center"/>
              <w:rPr>
                <w:rFonts w:eastAsia="Calibri" w:cs="Arial"/>
                <w:color w:val="auto"/>
                <w:sz w:val="18"/>
                <w:szCs w:val="18"/>
              </w:rPr>
            </w:pPr>
            <w:r w:rsidRPr="00A9330B">
              <w:rPr>
                <w:rFonts w:eastAsia="Calibri" w:cs="Arial"/>
                <w:color w:val="auto"/>
                <w:sz w:val="18"/>
                <w:szCs w:val="18"/>
              </w:rPr>
              <w:t>MDC</w:t>
            </w:r>
          </w:p>
          <w:p w14:paraId="32A96860" w14:textId="77777777" w:rsidR="00CB4E93" w:rsidRPr="00A9330B" w:rsidRDefault="00CB4E93" w:rsidP="00CB4E93">
            <w:pPr>
              <w:widowControl w:val="0"/>
              <w:autoSpaceDE w:val="0"/>
              <w:autoSpaceDN w:val="0"/>
              <w:adjustRightInd w:val="0"/>
              <w:spacing w:before="60" w:line="240" w:lineRule="auto"/>
              <w:jc w:val="center"/>
              <w:rPr>
                <w:rFonts w:eastAsia="Calibri" w:cs="Arial"/>
                <w:color w:val="auto"/>
                <w:sz w:val="18"/>
                <w:szCs w:val="18"/>
              </w:rPr>
            </w:pPr>
            <w:r w:rsidRPr="00A9330B">
              <w:rPr>
                <w:rFonts w:eastAsia="Calibri" w:cs="Arial"/>
                <w:color w:val="auto"/>
                <w:sz w:val="18"/>
                <w:szCs w:val="18"/>
              </w:rPr>
              <w:t>Entreprise chargée des travaux</w:t>
            </w:r>
          </w:p>
        </w:tc>
        <w:tc>
          <w:tcPr>
            <w:tcW w:w="897" w:type="pct"/>
            <w:tcBorders>
              <w:top w:val="single" w:sz="6" w:space="0" w:color="auto"/>
              <w:left w:val="single" w:sz="6" w:space="0" w:color="auto"/>
              <w:bottom w:val="single" w:sz="6" w:space="0" w:color="auto"/>
              <w:right w:val="single" w:sz="8" w:space="0" w:color="auto"/>
            </w:tcBorders>
          </w:tcPr>
          <w:p w14:paraId="2815EE3D" w14:textId="77777777" w:rsidR="00CB4E93" w:rsidRPr="00A9330B" w:rsidRDefault="00CB4E93" w:rsidP="00CB4E93">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t>Mairie de Natitingou (Services Techniques)</w:t>
            </w:r>
          </w:p>
          <w:p w14:paraId="6C6158F3" w14:textId="77777777" w:rsidR="00CB4E93" w:rsidRPr="00A9330B" w:rsidRDefault="00CB4E93" w:rsidP="00CB4E93">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t>DDCVDD-AD</w:t>
            </w:r>
          </w:p>
        </w:tc>
        <w:tc>
          <w:tcPr>
            <w:tcW w:w="897" w:type="pct"/>
            <w:tcBorders>
              <w:top w:val="single" w:sz="6" w:space="0" w:color="auto"/>
              <w:left w:val="single" w:sz="6" w:space="0" w:color="auto"/>
              <w:bottom w:val="single" w:sz="6" w:space="0" w:color="auto"/>
              <w:right w:val="single" w:sz="8" w:space="0" w:color="auto"/>
            </w:tcBorders>
          </w:tcPr>
          <w:p w14:paraId="6D9E445B" w14:textId="77777777" w:rsidR="00CB4E93" w:rsidRPr="00A9330B" w:rsidRDefault="00CB4E93" w:rsidP="00CB4E93">
            <w:pPr>
              <w:widowControl w:val="0"/>
              <w:autoSpaceDE w:val="0"/>
              <w:autoSpaceDN w:val="0"/>
              <w:adjustRightInd w:val="0"/>
              <w:spacing w:before="60" w:line="240" w:lineRule="auto"/>
              <w:rPr>
                <w:rFonts w:eastAsia="Calibri" w:cs="Arial"/>
                <w:color w:val="auto"/>
                <w:sz w:val="18"/>
                <w:szCs w:val="18"/>
              </w:rPr>
            </w:pPr>
          </w:p>
        </w:tc>
      </w:tr>
      <w:tr w:rsidR="00CB4E93" w:rsidRPr="00A9330B" w14:paraId="78437D53" w14:textId="77777777" w:rsidTr="00CB4E93">
        <w:trPr>
          <w:trHeight w:val="839"/>
        </w:trPr>
        <w:tc>
          <w:tcPr>
            <w:tcW w:w="996" w:type="pct"/>
            <w:tcBorders>
              <w:top w:val="single" w:sz="6" w:space="0" w:color="auto"/>
              <w:left w:val="single" w:sz="8" w:space="0" w:color="auto"/>
              <w:bottom w:val="single" w:sz="6" w:space="0" w:color="auto"/>
              <w:right w:val="single" w:sz="6" w:space="0" w:color="auto"/>
            </w:tcBorders>
          </w:tcPr>
          <w:p w14:paraId="0C1A465A" w14:textId="77777777" w:rsidR="00CB4E93" w:rsidRPr="00A9330B" w:rsidRDefault="00CB4E93" w:rsidP="00CB4E93">
            <w:pPr>
              <w:widowControl w:val="0"/>
              <w:spacing w:before="60" w:line="240" w:lineRule="auto"/>
              <w:rPr>
                <w:rFonts w:eastAsia="Calibri" w:cs="Arial"/>
                <w:color w:val="auto"/>
                <w:sz w:val="18"/>
                <w:szCs w:val="18"/>
              </w:rPr>
            </w:pPr>
            <w:r w:rsidRPr="00A9330B">
              <w:rPr>
                <w:rFonts w:eastAsia="Calibri" w:cs="Arial"/>
                <w:color w:val="auto"/>
                <w:sz w:val="18"/>
                <w:szCs w:val="18"/>
              </w:rPr>
              <w:t xml:space="preserve">2.8.a.12.2. ; </w:t>
            </w:r>
            <w:r w:rsidRPr="00A9330B">
              <w:rPr>
                <w:rFonts w:cs="Arial"/>
                <w:color w:val="auto"/>
                <w:sz w:val="18"/>
                <w:szCs w:val="18"/>
              </w:rPr>
              <w:t>2.8.a.12.3. ; 2.9.a.1.2</w:t>
            </w:r>
            <w:r w:rsidRPr="00A9330B">
              <w:rPr>
                <w:rFonts w:eastAsia="Calibri" w:cs="Arial"/>
                <w:color w:val="auto"/>
                <w:sz w:val="18"/>
                <w:szCs w:val="18"/>
              </w:rPr>
              <w:t xml:space="preserve"> ; </w:t>
            </w:r>
            <w:r w:rsidRPr="00A9330B">
              <w:rPr>
                <w:rFonts w:cs="Arial"/>
                <w:color w:val="auto"/>
                <w:sz w:val="18"/>
                <w:szCs w:val="18"/>
              </w:rPr>
              <w:t xml:space="preserve">2.9.a.1.3.  </w:t>
            </w:r>
            <w:r w:rsidRPr="00A9330B">
              <w:rPr>
                <w:rFonts w:eastAsia="Calibri" w:cs="Arial"/>
                <w:color w:val="auto"/>
                <w:sz w:val="18"/>
                <w:szCs w:val="18"/>
              </w:rPr>
              <w:t xml:space="preserve">2.10.a.7.2. ; 3.1.a.2.1. Veiller à une bonne signalisation routière et à limitation des vitesses  </w:t>
            </w:r>
          </w:p>
        </w:tc>
        <w:tc>
          <w:tcPr>
            <w:tcW w:w="916" w:type="pct"/>
            <w:tcBorders>
              <w:top w:val="single" w:sz="6" w:space="0" w:color="auto"/>
              <w:left w:val="single" w:sz="6" w:space="0" w:color="auto"/>
              <w:bottom w:val="single" w:sz="6" w:space="0" w:color="auto"/>
              <w:right w:val="single" w:sz="6" w:space="0" w:color="auto"/>
            </w:tcBorders>
          </w:tcPr>
          <w:p w14:paraId="67099853" w14:textId="77777777" w:rsidR="00CB4E93" w:rsidRPr="00A9330B" w:rsidRDefault="00CB4E93" w:rsidP="00CB4E93">
            <w:pPr>
              <w:widowControl w:val="0"/>
              <w:autoSpaceDE w:val="0"/>
              <w:autoSpaceDN w:val="0"/>
              <w:adjustRightInd w:val="0"/>
              <w:spacing w:before="60" w:line="240" w:lineRule="auto"/>
              <w:jc w:val="both"/>
              <w:rPr>
                <w:rFonts w:eastAsia="Calibri" w:cs="Arial"/>
                <w:color w:val="auto"/>
                <w:sz w:val="18"/>
                <w:szCs w:val="18"/>
              </w:rPr>
            </w:pPr>
            <w:r w:rsidRPr="00A9330B">
              <w:rPr>
                <w:rFonts w:eastAsia="Calibri" w:cs="Arial"/>
                <w:color w:val="auto"/>
                <w:sz w:val="18"/>
                <w:szCs w:val="18"/>
              </w:rPr>
              <w:t>Nombre de cas d’accident de circulation enregistré</w:t>
            </w:r>
          </w:p>
          <w:p w14:paraId="762599BE" w14:textId="77777777" w:rsidR="00CB4E93" w:rsidRPr="00A9330B" w:rsidRDefault="00CB4E93" w:rsidP="00CB4E93">
            <w:pPr>
              <w:widowControl w:val="0"/>
              <w:autoSpaceDE w:val="0"/>
              <w:autoSpaceDN w:val="0"/>
              <w:adjustRightInd w:val="0"/>
              <w:spacing w:before="60" w:line="240" w:lineRule="auto"/>
              <w:jc w:val="both"/>
              <w:rPr>
                <w:rFonts w:eastAsia="Calibri" w:cs="Arial"/>
                <w:color w:val="auto"/>
                <w:sz w:val="18"/>
                <w:szCs w:val="18"/>
              </w:rPr>
            </w:pPr>
            <w:r w:rsidRPr="00A9330B">
              <w:rPr>
                <w:rFonts w:eastAsia="Calibri" w:cs="Arial"/>
                <w:color w:val="auto"/>
                <w:sz w:val="18"/>
                <w:szCs w:val="18"/>
              </w:rPr>
              <w:t>Nombre de plaintes enregistrées</w:t>
            </w:r>
          </w:p>
          <w:p w14:paraId="1B87F5F4" w14:textId="77777777" w:rsidR="00CB4E93" w:rsidRPr="00A9330B" w:rsidRDefault="00CB4E93" w:rsidP="00CB4E93">
            <w:pPr>
              <w:widowControl w:val="0"/>
              <w:autoSpaceDE w:val="0"/>
              <w:autoSpaceDN w:val="0"/>
              <w:adjustRightInd w:val="0"/>
              <w:spacing w:before="60" w:line="240" w:lineRule="auto"/>
              <w:jc w:val="both"/>
              <w:rPr>
                <w:rFonts w:eastAsia="Calibri" w:cs="Arial"/>
                <w:color w:val="auto"/>
                <w:sz w:val="18"/>
                <w:szCs w:val="18"/>
              </w:rPr>
            </w:pPr>
          </w:p>
        </w:tc>
        <w:tc>
          <w:tcPr>
            <w:tcW w:w="637" w:type="pct"/>
            <w:tcBorders>
              <w:top w:val="single" w:sz="6" w:space="0" w:color="auto"/>
              <w:left w:val="single" w:sz="6" w:space="0" w:color="auto"/>
              <w:bottom w:val="single" w:sz="6" w:space="0" w:color="auto"/>
              <w:right w:val="single" w:sz="6" w:space="0" w:color="auto"/>
            </w:tcBorders>
          </w:tcPr>
          <w:p w14:paraId="49F342B8" w14:textId="77777777" w:rsidR="00CB4E93" w:rsidRPr="00A9330B" w:rsidRDefault="00CB4E93" w:rsidP="00CB4E93">
            <w:pPr>
              <w:widowControl w:val="0"/>
              <w:spacing w:before="60" w:line="240" w:lineRule="auto"/>
              <w:jc w:val="center"/>
              <w:rPr>
                <w:rFonts w:eastAsia="Calibri" w:cs="Arial"/>
                <w:color w:val="auto"/>
                <w:sz w:val="18"/>
                <w:szCs w:val="18"/>
              </w:rPr>
            </w:pPr>
            <w:r w:rsidRPr="00A9330B">
              <w:rPr>
                <w:rFonts w:eastAsia="Calibri" w:cs="Arial"/>
                <w:color w:val="auto"/>
                <w:sz w:val="18"/>
                <w:szCs w:val="18"/>
              </w:rPr>
              <w:t>Toutes les phases du projet</w:t>
            </w:r>
          </w:p>
        </w:tc>
        <w:tc>
          <w:tcPr>
            <w:tcW w:w="657" w:type="pct"/>
            <w:tcBorders>
              <w:top w:val="single" w:sz="6" w:space="0" w:color="auto"/>
              <w:left w:val="single" w:sz="6" w:space="0" w:color="auto"/>
              <w:bottom w:val="single" w:sz="6" w:space="0" w:color="auto"/>
              <w:right w:val="single" w:sz="6" w:space="0" w:color="auto"/>
            </w:tcBorders>
          </w:tcPr>
          <w:p w14:paraId="145365B6" w14:textId="77777777" w:rsidR="00CB4E93" w:rsidRPr="00A9330B" w:rsidRDefault="00CB4E93" w:rsidP="00CB4E93">
            <w:pPr>
              <w:widowControl w:val="0"/>
              <w:spacing w:before="60" w:line="240" w:lineRule="auto"/>
              <w:jc w:val="center"/>
              <w:rPr>
                <w:rFonts w:eastAsia="Calibri" w:cs="Arial"/>
                <w:color w:val="auto"/>
                <w:sz w:val="18"/>
                <w:szCs w:val="18"/>
              </w:rPr>
            </w:pPr>
            <w:r w:rsidRPr="00A9330B">
              <w:rPr>
                <w:rFonts w:eastAsia="Calibri" w:cs="Arial"/>
                <w:color w:val="auto"/>
                <w:sz w:val="18"/>
                <w:szCs w:val="18"/>
              </w:rPr>
              <w:t>MDC</w:t>
            </w:r>
          </w:p>
          <w:p w14:paraId="5E71BAED" w14:textId="77777777" w:rsidR="00CB4E93" w:rsidRPr="00A9330B" w:rsidRDefault="00CB4E93" w:rsidP="00CB4E93">
            <w:pPr>
              <w:widowControl w:val="0"/>
              <w:spacing w:before="60" w:line="240" w:lineRule="auto"/>
              <w:jc w:val="center"/>
              <w:rPr>
                <w:rFonts w:eastAsia="Calibri" w:cs="Arial"/>
                <w:color w:val="auto"/>
                <w:sz w:val="18"/>
                <w:szCs w:val="18"/>
              </w:rPr>
            </w:pPr>
            <w:r w:rsidRPr="00A9330B">
              <w:rPr>
                <w:rFonts w:eastAsia="Calibri" w:cs="Arial"/>
                <w:color w:val="auto"/>
                <w:sz w:val="18"/>
                <w:szCs w:val="18"/>
              </w:rPr>
              <w:t>Entreprise chargée des travaux</w:t>
            </w:r>
          </w:p>
        </w:tc>
        <w:tc>
          <w:tcPr>
            <w:tcW w:w="897" w:type="pct"/>
            <w:tcBorders>
              <w:top w:val="single" w:sz="6" w:space="0" w:color="auto"/>
              <w:left w:val="single" w:sz="6" w:space="0" w:color="auto"/>
              <w:bottom w:val="single" w:sz="6" w:space="0" w:color="auto"/>
              <w:right w:val="single" w:sz="8" w:space="0" w:color="auto"/>
            </w:tcBorders>
          </w:tcPr>
          <w:p w14:paraId="4C1CFEB2" w14:textId="77777777" w:rsidR="00CB4E93" w:rsidRPr="00A9330B" w:rsidRDefault="00CB4E93" w:rsidP="00CB4E93">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t>Mairie de Natitingou (Services Techniques)</w:t>
            </w:r>
          </w:p>
          <w:p w14:paraId="0F63E263" w14:textId="77777777" w:rsidR="00CB4E93" w:rsidRPr="00A9330B" w:rsidRDefault="00CB4E93" w:rsidP="00CB4E93">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t>DDCVDD-AD</w:t>
            </w:r>
          </w:p>
          <w:p w14:paraId="05F09CC7" w14:textId="77777777" w:rsidR="00CB4E93" w:rsidRPr="00A9330B" w:rsidRDefault="00CB4E93" w:rsidP="00CB4E93">
            <w:pPr>
              <w:widowControl w:val="0"/>
              <w:autoSpaceDE w:val="0"/>
              <w:autoSpaceDN w:val="0"/>
              <w:adjustRightInd w:val="0"/>
              <w:spacing w:before="60" w:line="240" w:lineRule="auto"/>
              <w:rPr>
                <w:rFonts w:eastAsia="Calibri" w:cs="Arial"/>
                <w:color w:val="auto"/>
                <w:sz w:val="18"/>
                <w:szCs w:val="18"/>
              </w:rPr>
            </w:pPr>
          </w:p>
        </w:tc>
        <w:tc>
          <w:tcPr>
            <w:tcW w:w="897" w:type="pct"/>
            <w:tcBorders>
              <w:top w:val="single" w:sz="6" w:space="0" w:color="auto"/>
              <w:left w:val="single" w:sz="6" w:space="0" w:color="auto"/>
              <w:bottom w:val="single" w:sz="6" w:space="0" w:color="auto"/>
              <w:right w:val="single" w:sz="8" w:space="0" w:color="auto"/>
            </w:tcBorders>
          </w:tcPr>
          <w:p w14:paraId="7ABB233B" w14:textId="77777777" w:rsidR="00CB4E93" w:rsidRPr="00A9330B" w:rsidRDefault="00CB4E93" w:rsidP="00CB4E93">
            <w:pPr>
              <w:widowControl w:val="0"/>
              <w:autoSpaceDE w:val="0"/>
              <w:autoSpaceDN w:val="0"/>
              <w:adjustRightInd w:val="0"/>
              <w:spacing w:before="60" w:line="240" w:lineRule="auto"/>
              <w:rPr>
                <w:rFonts w:eastAsia="Calibri" w:cs="Arial"/>
                <w:color w:val="auto"/>
                <w:sz w:val="18"/>
                <w:szCs w:val="18"/>
              </w:rPr>
            </w:pPr>
            <w:r w:rsidRPr="00A9330B">
              <w:rPr>
                <w:rFonts w:eastAsia="Calibri" w:cs="Arial"/>
                <w:sz w:val="20"/>
                <w:szCs w:val="20"/>
              </w:rPr>
              <w:t>Intégrer dans sécurité de chantier (DAO travaux</w:t>
            </w:r>
          </w:p>
        </w:tc>
      </w:tr>
      <w:tr w:rsidR="00CB4E93" w:rsidRPr="00A9330B" w14:paraId="3F8D1A12" w14:textId="77777777" w:rsidTr="00CB4E93">
        <w:trPr>
          <w:trHeight w:val="839"/>
        </w:trPr>
        <w:tc>
          <w:tcPr>
            <w:tcW w:w="996" w:type="pct"/>
            <w:tcBorders>
              <w:top w:val="single" w:sz="6" w:space="0" w:color="auto"/>
              <w:left w:val="single" w:sz="8" w:space="0" w:color="auto"/>
              <w:bottom w:val="single" w:sz="6" w:space="0" w:color="auto"/>
              <w:right w:val="single" w:sz="6" w:space="0" w:color="auto"/>
            </w:tcBorders>
          </w:tcPr>
          <w:p w14:paraId="502BD2C3" w14:textId="77777777" w:rsidR="00CB4E93" w:rsidRPr="00A9330B" w:rsidRDefault="00CB4E93" w:rsidP="00CB4E93">
            <w:pPr>
              <w:spacing w:before="60" w:line="240" w:lineRule="auto"/>
              <w:rPr>
                <w:rFonts w:eastAsia="Calibri" w:cs="Arial"/>
                <w:color w:val="auto"/>
                <w:sz w:val="18"/>
                <w:szCs w:val="18"/>
              </w:rPr>
            </w:pPr>
            <w:r w:rsidRPr="00A9330B">
              <w:rPr>
                <w:rFonts w:eastAsia="Calibri" w:cs="Arial"/>
                <w:color w:val="auto"/>
                <w:sz w:val="18"/>
                <w:szCs w:val="18"/>
              </w:rPr>
              <w:t xml:space="preserve">3.1.a.2.2. Initier des campagnes d'information sur </w:t>
            </w:r>
            <w:r w:rsidRPr="00A9330B">
              <w:rPr>
                <w:rFonts w:eastAsia="Calibri" w:cs="Arial"/>
                <w:b/>
                <w:color w:val="auto"/>
                <w:sz w:val="18"/>
                <w:szCs w:val="18"/>
              </w:rPr>
              <w:t>la sécurité routière</w:t>
            </w:r>
            <w:r w:rsidRPr="00A9330B">
              <w:rPr>
                <w:rFonts w:eastAsia="Calibri" w:cs="Arial"/>
                <w:color w:val="auto"/>
                <w:sz w:val="18"/>
                <w:szCs w:val="18"/>
              </w:rPr>
              <w:t xml:space="preserve"> (CNSR)</w:t>
            </w:r>
          </w:p>
        </w:tc>
        <w:tc>
          <w:tcPr>
            <w:tcW w:w="916" w:type="pct"/>
            <w:tcBorders>
              <w:top w:val="single" w:sz="6" w:space="0" w:color="auto"/>
              <w:left w:val="single" w:sz="6" w:space="0" w:color="auto"/>
              <w:bottom w:val="single" w:sz="6" w:space="0" w:color="auto"/>
              <w:right w:val="single" w:sz="6" w:space="0" w:color="auto"/>
            </w:tcBorders>
          </w:tcPr>
          <w:p w14:paraId="3C415530" w14:textId="77777777" w:rsidR="00CB4E93" w:rsidRPr="00A9330B" w:rsidRDefault="00CB4E93" w:rsidP="00CB4E93">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t>Nombre de cas d’accident de circulation enregistré</w:t>
            </w:r>
          </w:p>
          <w:p w14:paraId="316DDDD1" w14:textId="77777777" w:rsidR="00CB4E93" w:rsidRPr="00A9330B" w:rsidRDefault="00CB4E93" w:rsidP="00CB4E93">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t xml:space="preserve"> Fréquence des accidents</w:t>
            </w:r>
          </w:p>
        </w:tc>
        <w:tc>
          <w:tcPr>
            <w:tcW w:w="637" w:type="pct"/>
            <w:tcBorders>
              <w:top w:val="single" w:sz="6" w:space="0" w:color="auto"/>
              <w:left w:val="single" w:sz="6" w:space="0" w:color="auto"/>
              <w:bottom w:val="single" w:sz="6" w:space="0" w:color="auto"/>
              <w:right w:val="single" w:sz="6" w:space="0" w:color="auto"/>
            </w:tcBorders>
          </w:tcPr>
          <w:p w14:paraId="5EE36A6C" w14:textId="77777777" w:rsidR="00CB4E93" w:rsidRPr="00A9330B" w:rsidRDefault="00CB4E93" w:rsidP="00CB4E93">
            <w:pPr>
              <w:widowControl w:val="0"/>
              <w:spacing w:before="60" w:line="240" w:lineRule="auto"/>
              <w:jc w:val="center"/>
              <w:rPr>
                <w:rFonts w:eastAsia="Calibri" w:cs="Arial"/>
                <w:color w:val="auto"/>
                <w:sz w:val="18"/>
                <w:szCs w:val="18"/>
              </w:rPr>
            </w:pPr>
            <w:r w:rsidRPr="00A9330B">
              <w:rPr>
                <w:rFonts w:eastAsia="Calibri" w:cs="Arial"/>
                <w:color w:val="auto"/>
                <w:sz w:val="18"/>
                <w:szCs w:val="18"/>
              </w:rPr>
              <w:t>Pendant l’exploitation</w:t>
            </w:r>
          </w:p>
        </w:tc>
        <w:tc>
          <w:tcPr>
            <w:tcW w:w="657" w:type="pct"/>
            <w:tcBorders>
              <w:top w:val="single" w:sz="6" w:space="0" w:color="auto"/>
              <w:left w:val="single" w:sz="6" w:space="0" w:color="auto"/>
              <w:bottom w:val="single" w:sz="6" w:space="0" w:color="auto"/>
              <w:right w:val="single" w:sz="6" w:space="0" w:color="auto"/>
            </w:tcBorders>
          </w:tcPr>
          <w:p w14:paraId="5576A6B9" w14:textId="77777777" w:rsidR="00CB4E93" w:rsidRPr="00A9330B" w:rsidRDefault="00CB4E93" w:rsidP="00CB4E93">
            <w:pPr>
              <w:widowControl w:val="0"/>
              <w:spacing w:before="60" w:line="240" w:lineRule="auto"/>
              <w:jc w:val="center"/>
              <w:rPr>
                <w:rFonts w:eastAsia="Calibri" w:cs="Arial"/>
                <w:color w:val="auto"/>
                <w:sz w:val="18"/>
                <w:szCs w:val="18"/>
              </w:rPr>
            </w:pPr>
            <w:r w:rsidRPr="00A9330B">
              <w:rPr>
                <w:rFonts w:eastAsia="Calibri" w:cs="Arial"/>
                <w:color w:val="auto"/>
                <w:sz w:val="18"/>
                <w:szCs w:val="18"/>
              </w:rPr>
              <w:t>MDC</w:t>
            </w:r>
          </w:p>
          <w:p w14:paraId="43E6D9DA" w14:textId="77777777" w:rsidR="00CB4E93" w:rsidRPr="00A9330B" w:rsidRDefault="00CB4E93" w:rsidP="00CB4E93">
            <w:pPr>
              <w:widowControl w:val="0"/>
              <w:spacing w:before="60" w:line="240" w:lineRule="auto"/>
              <w:jc w:val="center"/>
              <w:rPr>
                <w:rFonts w:eastAsia="Calibri" w:cs="Arial"/>
                <w:color w:val="auto"/>
                <w:sz w:val="18"/>
                <w:szCs w:val="18"/>
              </w:rPr>
            </w:pPr>
            <w:r w:rsidRPr="00A9330B">
              <w:rPr>
                <w:rFonts w:eastAsia="Calibri" w:cs="Arial"/>
                <w:color w:val="auto"/>
                <w:sz w:val="18"/>
                <w:szCs w:val="18"/>
              </w:rPr>
              <w:t>Entreprise chargée des travaux</w:t>
            </w:r>
          </w:p>
        </w:tc>
        <w:tc>
          <w:tcPr>
            <w:tcW w:w="897" w:type="pct"/>
            <w:tcBorders>
              <w:top w:val="single" w:sz="6" w:space="0" w:color="auto"/>
              <w:left w:val="single" w:sz="6" w:space="0" w:color="auto"/>
              <w:bottom w:val="single" w:sz="6" w:space="0" w:color="auto"/>
              <w:right w:val="single" w:sz="8" w:space="0" w:color="auto"/>
            </w:tcBorders>
          </w:tcPr>
          <w:p w14:paraId="0A406773" w14:textId="77777777" w:rsidR="00CB4E93" w:rsidRPr="00A9330B" w:rsidRDefault="00CB4E93" w:rsidP="00CB4E93">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t>Mairie de Natitingou (Services Techniques)</w:t>
            </w:r>
          </w:p>
          <w:p w14:paraId="63CD65CA" w14:textId="77777777" w:rsidR="00CB4E93" w:rsidRPr="00A9330B" w:rsidRDefault="00CB4E93" w:rsidP="00CB4E93">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t>DDCVDD-AD</w:t>
            </w:r>
          </w:p>
        </w:tc>
        <w:tc>
          <w:tcPr>
            <w:tcW w:w="897" w:type="pct"/>
            <w:tcBorders>
              <w:top w:val="single" w:sz="6" w:space="0" w:color="auto"/>
              <w:left w:val="single" w:sz="6" w:space="0" w:color="auto"/>
              <w:bottom w:val="single" w:sz="6" w:space="0" w:color="auto"/>
              <w:right w:val="single" w:sz="8" w:space="0" w:color="auto"/>
            </w:tcBorders>
          </w:tcPr>
          <w:p w14:paraId="59C6ED5E" w14:textId="77777777" w:rsidR="00CB4E93" w:rsidRPr="00A9330B" w:rsidRDefault="00CB4E93" w:rsidP="00CB4E93">
            <w:pPr>
              <w:widowControl w:val="0"/>
              <w:autoSpaceDE w:val="0"/>
              <w:autoSpaceDN w:val="0"/>
              <w:adjustRightInd w:val="0"/>
              <w:spacing w:before="60" w:line="240" w:lineRule="auto"/>
              <w:rPr>
                <w:rFonts w:eastAsia="Calibri" w:cs="Arial"/>
                <w:color w:val="auto"/>
                <w:sz w:val="18"/>
                <w:szCs w:val="18"/>
              </w:rPr>
            </w:pPr>
          </w:p>
        </w:tc>
      </w:tr>
      <w:tr w:rsidR="00CB4E93" w:rsidRPr="00A9330B" w14:paraId="36FE8148" w14:textId="77777777" w:rsidTr="00CB4E93">
        <w:trPr>
          <w:trHeight w:val="584"/>
        </w:trPr>
        <w:tc>
          <w:tcPr>
            <w:tcW w:w="996" w:type="pct"/>
            <w:tcBorders>
              <w:top w:val="single" w:sz="6" w:space="0" w:color="auto"/>
              <w:left w:val="single" w:sz="8" w:space="0" w:color="auto"/>
              <w:bottom w:val="single" w:sz="6" w:space="0" w:color="auto"/>
              <w:right w:val="single" w:sz="6" w:space="0" w:color="auto"/>
            </w:tcBorders>
          </w:tcPr>
          <w:p w14:paraId="232E0619" w14:textId="77777777" w:rsidR="00CB4E93" w:rsidRPr="00A9330B" w:rsidRDefault="00CB4E93" w:rsidP="00CB4E93">
            <w:pPr>
              <w:widowControl w:val="0"/>
              <w:spacing w:before="60" w:line="240" w:lineRule="auto"/>
              <w:jc w:val="both"/>
              <w:rPr>
                <w:rFonts w:eastAsia="Calibri" w:cs="Arial"/>
                <w:color w:val="auto"/>
                <w:sz w:val="18"/>
                <w:szCs w:val="18"/>
              </w:rPr>
            </w:pPr>
            <w:r w:rsidRPr="00A9330B">
              <w:rPr>
                <w:rFonts w:eastAsia="Calibri" w:cs="Arial"/>
                <w:color w:val="auto"/>
                <w:sz w:val="18"/>
                <w:szCs w:val="18"/>
              </w:rPr>
              <w:t>3.2.a.1.1. Sensibiliser les travailleurs sur les accidents du travail</w:t>
            </w:r>
          </w:p>
        </w:tc>
        <w:tc>
          <w:tcPr>
            <w:tcW w:w="916" w:type="pct"/>
            <w:tcBorders>
              <w:top w:val="single" w:sz="6" w:space="0" w:color="auto"/>
              <w:left w:val="single" w:sz="6" w:space="0" w:color="auto"/>
              <w:bottom w:val="single" w:sz="6" w:space="0" w:color="auto"/>
              <w:right w:val="single" w:sz="6" w:space="0" w:color="auto"/>
            </w:tcBorders>
          </w:tcPr>
          <w:p w14:paraId="37ACB397" w14:textId="77777777" w:rsidR="00CB4E93" w:rsidRPr="00A9330B" w:rsidRDefault="00CB4E93" w:rsidP="00CB4E93">
            <w:pPr>
              <w:widowControl w:val="0"/>
              <w:autoSpaceDE w:val="0"/>
              <w:autoSpaceDN w:val="0"/>
              <w:adjustRightInd w:val="0"/>
              <w:spacing w:before="60" w:line="240" w:lineRule="auto"/>
              <w:jc w:val="both"/>
              <w:rPr>
                <w:rFonts w:eastAsia="Calibri" w:cs="Arial"/>
                <w:color w:val="auto"/>
                <w:sz w:val="18"/>
                <w:szCs w:val="18"/>
              </w:rPr>
            </w:pPr>
            <w:r w:rsidRPr="00A9330B">
              <w:rPr>
                <w:rFonts w:eastAsia="Calibri" w:cs="Arial"/>
                <w:color w:val="auto"/>
                <w:sz w:val="18"/>
                <w:szCs w:val="18"/>
              </w:rPr>
              <w:t xml:space="preserve">Etat de la carrière </w:t>
            </w:r>
          </w:p>
          <w:p w14:paraId="77727EC5" w14:textId="77777777" w:rsidR="00CB4E93" w:rsidRPr="00A9330B" w:rsidRDefault="00CB4E93" w:rsidP="00CB4E93">
            <w:pPr>
              <w:widowControl w:val="0"/>
              <w:autoSpaceDE w:val="0"/>
              <w:autoSpaceDN w:val="0"/>
              <w:adjustRightInd w:val="0"/>
              <w:spacing w:before="60" w:line="240" w:lineRule="auto"/>
              <w:jc w:val="both"/>
              <w:rPr>
                <w:rFonts w:eastAsia="Calibri" w:cs="Arial"/>
                <w:color w:val="auto"/>
                <w:sz w:val="18"/>
                <w:szCs w:val="18"/>
              </w:rPr>
            </w:pPr>
            <w:r w:rsidRPr="00A9330B">
              <w:rPr>
                <w:rFonts w:eastAsia="Calibri" w:cs="Arial"/>
                <w:color w:val="auto"/>
                <w:sz w:val="18"/>
                <w:szCs w:val="18"/>
              </w:rPr>
              <w:t>Absence d’excavation abandonnée sur les sites d’emprunts</w:t>
            </w:r>
          </w:p>
        </w:tc>
        <w:tc>
          <w:tcPr>
            <w:tcW w:w="637" w:type="pct"/>
            <w:tcBorders>
              <w:top w:val="single" w:sz="6" w:space="0" w:color="auto"/>
              <w:left w:val="single" w:sz="6" w:space="0" w:color="auto"/>
              <w:bottom w:val="single" w:sz="6" w:space="0" w:color="auto"/>
              <w:right w:val="single" w:sz="6" w:space="0" w:color="auto"/>
            </w:tcBorders>
          </w:tcPr>
          <w:p w14:paraId="7E764060" w14:textId="77777777" w:rsidR="00CB4E93" w:rsidRPr="00A9330B" w:rsidRDefault="00CB4E93" w:rsidP="00CB4E93">
            <w:pPr>
              <w:widowControl w:val="0"/>
              <w:spacing w:before="60" w:line="240" w:lineRule="auto"/>
              <w:jc w:val="center"/>
              <w:rPr>
                <w:rFonts w:eastAsia="Calibri" w:cs="Arial"/>
                <w:color w:val="auto"/>
                <w:sz w:val="18"/>
                <w:szCs w:val="18"/>
              </w:rPr>
            </w:pPr>
            <w:r w:rsidRPr="00A9330B">
              <w:rPr>
                <w:rFonts w:eastAsia="Calibri" w:cs="Arial"/>
                <w:color w:val="auto"/>
                <w:sz w:val="18"/>
                <w:szCs w:val="18"/>
              </w:rPr>
              <w:t>Après les travaux</w:t>
            </w:r>
          </w:p>
        </w:tc>
        <w:tc>
          <w:tcPr>
            <w:tcW w:w="657" w:type="pct"/>
            <w:tcBorders>
              <w:top w:val="single" w:sz="6" w:space="0" w:color="auto"/>
              <w:left w:val="single" w:sz="6" w:space="0" w:color="auto"/>
              <w:bottom w:val="single" w:sz="6" w:space="0" w:color="auto"/>
              <w:right w:val="single" w:sz="6" w:space="0" w:color="auto"/>
            </w:tcBorders>
          </w:tcPr>
          <w:p w14:paraId="1990A9F9" w14:textId="77777777" w:rsidR="00CB4E93" w:rsidRPr="00A9330B" w:rsidRDefault="00CB4E93" w:rsidP="00CB4E93">
            <w:pPr>
              <w:widowControl w:val="0"/>
              <w:spacing w:before="60" w:line="240" w:lineRule="auto"/>
              <w:jc w:val="center"/>
              <w:rPr>
                <w:rFonts w:eastAsia="Calibri" w:cs="Arial"/>
                <w:color w:val="auto"/>
                <w:sz w:val="18"/>
                <w:szCs w:val="18"/>
              </w:rPr>
            </w:pPr>
            <w:r w:rsidRPr="00A9330B">
              <w:rPr>
                <w:rFonts w:eastAsia="Calibri" w:cs="Arial"/>
                <w:color w:val="auto"/>
                <w:sz w:val="18"/>
                <w:szCs w:val="18"/>
              </w:rPr>
              <w:t>MDC</w:t>
            </w:r>
          </w:p>
          <w:p w14:paraId="5DD57C1D" w14:textId="77777777" w:rsidR="00CB4E93" w:rsidRPr="00A9330B" w:rsidRDefault="00CB4E93" w:rsidP="00CB4E93">
            <w:pPr>
              <w:widowControl w:val="0"/>
              <w:spacing w:before="60" w:line="240" w:lineRule="auto"/>
              <w:jc w:val="center"/>
              <w:rPr>
                <w:rFonts w:eastAsia="Calibri" w:cs="Arial"/>
                <w:color w:val="auto"/>
                <w:sz w:val="18"/>
                <w:szCs w:val="18"/>
              </w:rPr>
            </w:pPr>
            <w:r w:rsidRPr="00A9330B">
              <w:rPr>
                <w:rFonts w:eastAsia="Calibri" w:cs="Arial"/>
                <w:color w:val="auto"/>
                <w:sz w:val="18"/>
                <w:szCs w:val="18"/>
              </w:rPr>
              <w:t>Entreprise chargée des travaux</w:t>
            </w:r>
          </w:p>
        </w:tc>
        <w:tc>
          <w:tcPr>
            <w:tcW w:w="897" w:type="pct"/>
            <w:tcBorders>
              <w:top w:val="single" w:sz="6" w:space="0" w:color="auto"/>
              <w:left w:val="single" w:sz="6" w:space="0" w:color="auto"/>
              <w:bottom w:val="single" w:sz="6" w:space="0" w:color="auto"/>
              <w:right w:val="single" w:sz="8" w:space="0" w:color="auto"/>
            </w:tcBorders>
          </w:tcPr>
          <w:p w14:paraId="62074963" w14:textId="77777777" w:rsidR="00CB4E93" w:rsidRPr="00A9330B" w:rsidRDefault="00CB4E93" w:rsidP="00CB4E93">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t>Mairie de Natitingou (Services Techniques)</w:t>
            </w:r>
          </w:p>
          <w:p w14:paraId="4C974789" w14:textId="77777777" w:rsidR="00CB4E93" w:rsidRPr="00A9330B" w:rsidRDefault="00CB4E93" w:rsidP="00CB4E93">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t>DDCVDD-AD</w:t>
            </w:r>
          </w:p>
        </w:tc>
        <w:tc>
          <w:tcPr>
            <w:tcW w:w="897" w:type="pct"/>
            <w:tcBorders>
              <w:top w:val="single" w:sz="6" w:space="0" w:color="auto"/>
              <w:left w:val="single" w:sz="6" w:space="0" w:color="auto"/>
              <w:bottom w:val="single" w:sz="6" w:space="0" w:color="auto"/>
              <w:right w:val="single" w:sz="8" w:space="0" w:color="auto"/>
            </w:tcBorders>
          </w:tcPr>
          <w:p w14:paraId="62A0342D" w14:textId="77777777" w:rsidR="00CB4E93" w:rsidRPr="00A9330B" w:rsidRDefault="00CB4E93" w:rsidP="00CB4E93">
            <w:pPr>
              <w:widowControl w:val="0"/>
              <w:autoSpaceDE w:val="0"/>
              <w:autoSpaceDN w:val="0"/>
              <w:adjustRightInd w:val="0"/>
              <w:spacing w:before="60" w:line="240" w:lineRule="auto"/>
              <w:rPr>
                <w:rFonts w:eastAsia="Calibri" w:cs="Arial"/>
                <w:color w:val="auto"/>
                <w:sz w:val="18"/>
                <w:szCs w:val="18"/>
              </w:rPr>
            </w:pPr>
          </w:p>
        </w:tc>
      </w:tr>
      <w:tr w:rsidR="00CB4E93" w:rsidRPr="00A9330B" w14:paraId="7455BF24" w14:textId="77777777" w:rsidTr="00CB4E93">
        <w:trPr>
          <w:trHeight w:val="839"/>
        </w:trPr>
        <w:tc>
          <w:tcPr>
            <w:tcW w:w="996" w:type="pct"/>
            <w:tcBorders>
              <w:top w:val="single" w:sz="6" w:space="0" w:color="auto"/>
              <w:left w:val="single" w:sz="8" w:space="0" w:color="auto"/>
              <w:bottom w:val="single" w:sz="6" w:space="0" w:color="auto"/>
              <w:right w:val="single" w:sz="6" w:space="0" w:color="auto"/>
            </w:tcBorders>
            <w:shd w:val="clear" w:color="auto" w:fill="auto"/>
          </w:tcPr>
          <w:p w14:paraId="5CB28650" w14:textId="77777777" w:rsidR="00CB4E93" w:rsidRPr="00A9330B" w:rsidRDefault="00CB4E93" w:rsidP="00CB4E93">
            <w:pPr>
              <w:widowControl w:val="0"/>
              <w:spacing w:before="60" w:line="240" w:lineRule="auto"/>
              <w:jc w:val="both"/>
              <w:rPr>
                <w:rFonts w:eastAsia="Calibri" w:cs="Arial"/>
                <w:color w:val="auto"/>
                <w:sz w:val="18"/>
                <w:szCs w:val="18"/>
              </w:rPr>
            </w:pPr>
            <w:r w:rsidRPr="00A9330B">
              <w:rPr>
                <w:rFonts w:eastAsia="Calibri" w:cs="Arial"/>
                <w:color w:val="auto"/>
                <w:sz w:val="18"/>
                <w:szCs w:val="18"/>
              </w:rPr>
              <w:t>3.2.a.1.2. Mettre en place un dispositif de régulation de la circulation</w:t>
            </w:r>
          </w:p>
        </w:tc>
        <w:tc>
          <w:tcPr>
            <w:tcW w:w="916" w:type="pct"/>
            <w:tcBorders>
              <w:top w:val="single" w:sz="6" w:space="0" w:color="auto"/>
              <w:left w:val="single" w:sz="6" w:space="0" w:color="auto"/>
              <w:bottom w:val="single" w:sz="6" w:space="0" w:color="auto"/>
              <w:right w:val="single" w:sz="6" w:space="0" w:color="auto"/>
            </w:tcBorders>
            <w:shd w:val="clear" w:color="auto" w:fill="auto"/>
          </w:tcPr>
          <w:p w14:paraId="47D79F20" w14:textId="77777777" w:rsidR="00CB4E93" w:rsidRPr="00A9330B" w:rsidRDefault="00CB4E93" w:rsidP="00CB4E93">
            <w:pPr>
              <w:widowControl w:val="0"/>
              <w:autoSpaceDE w:val="0"/>
              <w:autoSpaceDN w:val="0"/>
              <w:adjustRightInd w:val="0"/>
              <w:spacing w:before="60" w:line="240" w:lineRule="auto"/>
              <w:jc w:val="both"/>
              <w:rPr>
                <w:rFonts w:eastAsia="Calibri" w:cs="Arial"/>
                <w:color w:val="auto"/>
                <w:sz w:val="18"/>
                <w:szCs w:val="18"/>
              </w:rPr>
            </w:pPr>
            <w:r w:rsidRPr="00A9330B">
              <w:rPr>
                <w:rFonts w:eastAsia="Calibri" w:cs="Arial"/>
                <w:color w:val="auto"/>
                <w:sz w:val="18"/>
                <w:szCs w:val="18"/>
              </w:rPr>
              <w:t xml:space="preserve">Autorisation de l’administration minière </w:t>
            </w:r>
          </w:p>
          <w:p w14:paraId="36007654" w14:textId="77777777" w:rsidR="00CB4E93" w:rsidRPr="00A9330B" w:rsidRDefault="00CB4E93" w:rsidP="00CB4E93">
            <w:pPr>
              <w:widowControl w:val="0"/>
              <w:autoSpaceDE w:val="0"/>
              <w:autoSpaceDN w:val="0"/>
              <w:adjustRightInd w:val="0"/>
              <w:spacing w:before="60" w:line="240" w:lineRule="auto"/>
              <w:jc w:val="both"/>
              <w:rPr>
                <w:rFonts w:eastAsia="Calibri" w:cs="Arial"/>
                <w:color w:val="auto"/>
                <w:sz w:val="18"/>
                <w:szCs w:val="18"/>
              </w:rPr>
            </w:pPr>
            <w:r w:rsidRPr="00A9330B">
              <w:rPr>
                <w:rFonts w:eastAsia="Calibri" w:cs="Arial"/>
                <w:color w:val="auto"/>
                <w:sz w:val="18"/>
                <w:szCs w:val="18"/>
              </w:rPr>
              <w:t xml:space="preserve"> </w:t>
            </w:r>
          </w:p>
        </w:tc>
        <w:tc>
          <w:tcPr>
            <w:tcW w:w="637" w:type="pct"/>
            <w:tcBorders>
              <w:top w:val="single" w:sz="6" w:space="0" w:color="auto"/>
              <w:left w:val="single" w:sz="6" w:space="0" w:color="auto"/>
              <w:bottom w:val="single" w:sz="6" w:space="0" w:color="auto"/>
              <w:right w:val="single" w:sz="6" w:space="0" w:color="auto"/>
            </w:tcBorders>
            <w:shd w:val="clear" w:color="auto" w:fill="auto"/>
          </w:tcPr>
          <w:p w14:paraId="4AC836FA" w14:textId="77777777" w:rsidR="00CB4E93" w:rsidRPr="00A9330B" w:rsidRDefault="00CB4E93" w:rsidP="00CB4E93">
            <w:pPr>
              <w:widowControl w:val="0"/>
              <w:spacing w:before="60" w:line="240" w:lineRule="auto"/>
              <w:jc w:val="center"/>
              <w:rPr>
                <w:rFonts w:eastAsia="Calibri" w:cs="Arial"/>
                <w:color w:val="auto"/>
                <w:sz w:val="18"/>
                <w:szCs w:val="18"/>
              </w:rPr>
            </w:pPr>
            <w:r w:rsidRPr="00A9330B">
              <w:rPr>
                <w:rFonts w:eastAsia="Calibri" w:cs="Arial"/>
                <w:color w:val="auto"/>
                <w:sz w:val="18"/>
                <w:szCs w:val="18"/>
              </w:rPr>
              <w:t>Pendant les travaux</w:t>
            </w:r>
          </w:p>
        </w:tc>
        <w:tc>
          <w:tcPr>
            <w:tcW w:w="657" w:type="pct"/>
            <w:tcBorders>
              <w:top w:val="single" w:sz="6" w:space="0" w:color="auto"/>
              <w:left w:val="single" w:sz="6" w:space="0" w:color="auto"/>
              <w:bottom w:val="single" w:sz="6" w:space="0" w:color="auto"/>
              <w:right w:val="single" w:sz="6" w:space="0" w:color="auto"/>
            </w:tcBorders>
            <w:shd w:val="clear" w:color="auto" w:fill="auto"/>
          </w:tcPr>
          <w:p w14:paraId="7DF1F314" w14:textId="77777777" w:rsidR="00CB4E93" w:rsidRPr="00A9330B" w:rsidRDefault="00CB4E93" w:rsidP="00CB4E93">
            <w:pPr>
              <w:widowControl w:val="0"/>
              <w:spacing w:before="60" w:line="240" w:lineRule="auto"/>
              <w:jc w:val="center"/>
              <w:rPr>
                <w:rFonts w:eastAsia="Calibri" w:cs="Arial"/>
                <w:color w:val="auto"/>
                <w:sz w:val="18"/>
                <w:szCs w:val="18"/>
              </w:rPr>
            </w:pPr>
            <w:r w:rsidRPr="00A9330B">
              <w:rPr>
                <w:rFonts w:eastAsia="Calibri" w:cs="Arial"/>
                <w:color w:val="auto"/>
                <w:sz w:val="18"/>
                <w:szCs w:val="18"/>
              </w:rPr>
              <w:t>MDC</w:t>
            </w:r>
          </w:p>
          <w:p w14:paraId="46073370" w14:textId="77777777" w:rsidR="00CB4E93" w:rsidRPr="00A9330B" w:rsidRDefault="00CB4E93" w:rsidP="00CB4E93">
            <w:pPr>
              <w:widowControl w:val="0"/>
              <w:spacing w:before="60" w:line="240" w:lineRule="auto"/>
              <w:jc w:val="center"/>
              <w:rPr>
                <w:rFonts w:eastAsia="Calibri" w:cs="Arial"/>
                <w:color w:val="auto"/>
                <w:sz w:val="18"/>
                <w:szCs w:val="18"/>
              </w:rPr>
            </w:pPr>
            <w:r w:rsidRPr="00A9330B">
              <w:rPr>
                <w:rFonts w:eastAsia="Calibri" w:cs="Arial"/>
                <w:color w:val="auto"/>
                <w:sz w:val="18"/>
                <w:szCs w:val="18"/>
              </w:rPr>
              <w:t>Entreprise chargée des travaux</w:t>
            </w:r>
          </w:p>
        </w:tc>
        <w:tc>
          <w:tcPr>
            <w:tcW w:w="897" w:type="pct"/>
            <w:tcBorders>
              <w:top w:val="single" w:sz="6" w:space="0" w:color="auto"/>
              <w:left w:val="single" w:sz="6" w:space="0" w:color="auto"/>
              <w:bottom w:val="single" w:sz="6" w:space="0" w:color="auto"/>
              <w:right w:val="single" w:sz="8" w:space="0" w:color="auto"/>
            </w:tcBorders>
            <w:shd w:val="clear" w:color="auto" w:fill="auto"/>
          </w:tcPr>
          <w:p w14:paraId="1D4D1C31" w14:textId="77777777" w:rsidR="00CB4E93" w:rsidRPr="00A9330B" w:rsidRDefault="00CB4E93" w:rsidP="00CB4E93">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t>Mairie de Natitingou (Services Techniques)</w:t>
            </w:r>
          </w:p>
          <w:p w14:paraId="323F48BC" w14:textId="77777777" w:rsidR="00CB4E93" w:rsidRPr="00A9330B" w:rsidRDefault="00CB4E93" w:rsidP="00CB4E93">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t>DDCVDD-AD</w:t>
            </w:r>
          </w:p>
        </w:tc>
        <w:tc>
          <w:tcPr>
            <w:tcW w:w="897" w:type="pct"/>
            <w:tcBorders>
              <w:top w:val="single" w:sz="6" w:space="0" w:color="auto"/>
              <w:left w:val="single" w:sz="6" w:space="0" w:color="auto"/>
              <w:bottom w:val="single" w:sz="6" w:space="0" w:color="auto"/>
              <w:right w:val="single" w:sz="8" w:space="0" w:color="auto"/>
            </w:tcBorders>
          </w:tcPr>
          <w:p w14:paraId="40D63255" w14:textId="77777777" w:rsidR="00CB4E93" w:rsidRPr="00A9330B" w:rsidRDefault="00CB4E93" w:rsidP="00CB4E93">
            <w:pPr>
              <w:widowControl w:val="0"/>
              <w:autoSpaceDE w:val="0"/>
              <w:autoSpaceDN w:val="0"/>
              <w:adjustRightInd w:val="0"/>
              <w:spacing w:before="60" w:line="240" w:lineRule="auto"/>
              <w:rPr>
                <w:rFonts w:eastAsia="Calibri" w:cs="Arial"/>
                <w:color w:val="auto"/>
                <w:sz w:val="18"/>
                <w:szCs w:val="18"/>
              </w:rPr>
            </w:pPr>
          </w:p>
        </w:tc>
      </w:tr>
      <w:tr w:rsidR="00CB4E93" w:rsidRPr="00A9330B" w14:paraId="502496F9" w14:textId="77777777" w:rsidTr="00CB4E93">
        <w:trPr>
          <w:trHeight w:val="839"/>
        </w:trPr>
        <w:tc>
          <w:tcPr>
            <w:tcW w:w="996" w:type="pct"/>
            <w:tcBorders>
              <w:top w:val="single" w:sz="6" w:space="0" w:color="auto"/>
              <w:left w:val="single" w:sz="8" w:space="0" w:color="auto"/>
              <w:bottom w:val="single" w:sz="6" w:space="0" w:color="auto"/>
              <w:right w:val="single" w:sz="6" w:space="0" w:color="auto"/>
            </w:tcBorders>
          </w:tcPr>
          <w:p w14:paraId="1892C73C" w14:textId="77777777" w:rsidR="00CB4E93" w:rsidRPr="00A9330B" w:rsidRDefault="00CB4E93" w:rsidP="00CB4E93">
            <w:pPr>
              <w:widowControl w:val="0"/>
              <w:spacing w:before="60" w:line="240" w:lineRule="auto"/>
              <w:rPr>
                <w:rFonts w:eastAsia="Calibri" w:cs="Arial"/>
                <w:color w:val="auto"/>
                <w:sz w:val="18"/>
                <w:szCs w:val="18"/>
              </w:rPr>
            </w:pPr>
            <w:r w:rsidRPr="00A9330B">
              <w:rPr>
                <w:rFonts w:eastAsia="Calibri" w:cs="Arial"/>
                <w:color w:val="auto"/>
                <w:sz w:val="18"/>
                <w:szCs w:val="18"/>
              </w:rPr>
              <w:t xml:space="preserve">3.2.a.2.1. Veiller à replier et ranger le matériel et les matériaux utilisés pour l’entretien périodique de la route </w:t>
            </w:r>
          </w:p>
        </w:tc>
        <w:tc>
          <w:tcPr>
            <w:tcW w:w="916" w:type="pct"/>
            <w:tcBorders>
              <w:top w:val="single" w:sz="6" w:space="0" w:color="auto"/>
              <w:left w:val="single" w:sz="6" w:space="0" w:color="auto"/>
              <w:bottom w:val="single" w:sz="6" w:space="0" w:color="auto"/>
              <w:right w:val="single" w:sz="6" w:space="0" w:color="auto"/>
            </w:tcBorders>
          </w:tcPr>
          <w:p w14:paraId="51F205B6" w14:textId="77777777" w:rsidR="00CB4E93" w:rsidRPr="00A9330B" w:rsidRDefault="00CB4E93" w:rsidP="00CB4E93">
            <w:pPr>
              <w:widowControl w:val="0"/>
              <w:spacing w:before="60" w:line="240" w:lineRule="auto"/>
              <w:rPr>
                <w:rFonts w:eastAsia="Calibri" w:cs="Arial"/>
                <w:color w:val="auto"/>
                <w:sz w:val="18"/>
                <w:szCs w:val="18"/>
              </w:rPr>
            </w:pPr>
            <w:r w:rsidRPr="00A9330B">
              <w:rPr>
                <w:rFonts w:eastAsia="Calibri" w:cs="Arial"/>
                <w:color w:val="auto"/>
                <w:sz w:val="18"/>
                <w:szCs w:val="18"/>
              </w:rPr>
              <w:t xml:space="preserve">Plaintes des populations relatives aux travaux </w:t>
            </w:r>
          </w:p>
          <w:p w14:paraId="4CD20ACE" w14:textId="77777777" w:rsidR="00CB4E93" w:rsidRPr="00A9330B" w:rsidRDefault="00CB4E93" w:rsidP="00CB4E93">
            <w:pPr>
              <w:widowControl w:val="0"/>
              <w:spacing w:before="60" w:line="240" w:lineRule="auto"/>
              <w:rPr>
                <w:rFonts w:eastAsia="Calibri" w:cs="Arial"/>
                <w:color w:val="auto"/>
                <w:sz w:val="18"/>
                <w:szCs w:val="18"/>
              </w:rPr>
            </w:pPr>
            <w:r w:rsidRPr="00A9330B">
              <w:rPr>
                <w:rFonts w:eastAsia="Calibri" w:cs="Arial"/>
                <w:color w:val="auto"/>
                <w:sz w:val="18"/>
                <w:szCs w:val="18"/>
              </w:rPr>
              <w:t>Existence de fiche de suivi des entretiens périodiques</w:t>
            </w:r>
          </w:p>
        </w:tc>
        <w:tc>
          <w:tcPr>
            <w:tcW w:w="637" w:type="pct"/>
            <w:tcBorders>
              <w:top w:val="single" w:sz="6" w:space="0" w:color="auto"/>
              <w:left w:val="single" w:sz="6" w:space="0" w:color="auto"/>
              <w:bottom w:val="single" w:sz="6" w:space="0" w:color="auto"/>
              <w:right w:val="single" w:sz="6" w:space="0" w:color="auto"/>
            </w:tcBorders>
          </w:tcPr>
          <w:p w14:paraId="30F56C0F" w14:textId="77777777" w:rsidR="00CB4E93" w:rsidRPr="00A9330B" w:rsidRDefault="00CB4E93" w:rsidP="00CB4E93">
            <w:pPr>
              <w:widowControl w:val="0"/>
              <w:spacing w:before="60" w:line="240" w:lineRule="auto"/>
              <w:jc w:val="center"/>
              <w:rPr>
                <w:rFonts w:eastAsia="Calibri" w:cs="Arial"/>
                <w:color w:val="auto"/>
                <w:sz w:val="18"/>
                <w:szCs w:val="18"/>
              </w:rPr>
            </w:pPr>
            <w:r w:rsidRPr="00A9330B">
              <w:rPr>
                <w:rFonts w:eastAsia="Calibri" w:cs="Arial"/>
                <w:color w:val="auto"/>
                <w:sz w:val="18"/>
                <w:szCs w:val="18"/>
              </w:rPr>
              <w:t>Pendant la phase d’exploitation</w:t>
            </w:r>
          </w:p>
        </w:tc>
        <w:tc>
          <w:tcPr>
            <w:tcW w:w="657" w:type="pct"/>
            <w:tcBorders>
              <w:top w:val="single" w:sz="6" w:space="0" w:color="auto"/>
              <w:left w:val="single" w:sz="6" w:space="0" w:color="auto"/>
              <w:bottom w:val="single" w:sz="6" w:space="0" w:color="auto"/>
              <w:right w:val="single" w:sz="6" w:space="0" w:color="auto"/>
            </w:tcBorders>
          </w:tcPr>
          <w:p w14:paraId="523F5284" w14:textId="77777777" w:rsidR="00CB4E93" w:rsidRPr="00A9330B" w:rsidRDefault="00CB4E93" w:rsidP="00CB4E93">
            <w:pPr>
              <w:widowControl w:val="0"/>
              <w:spacing w:before="60" w:line="240" w:lineRule="auto"/>
              <w:jc w:val="center"/>
              <w:rPr>
                <w:rFonts w:eastAsia="Calibri" w:cs="Arial"/>
                <w:color w:val="auto"/>
                <w:sz w:val="18"/>
                <w:szCs w:val="18"/>
              </w:rPr>
            </w:pPr>
            <w:r w:rsidRPr="00A9330B">
              <w:rPr>
                <w:rFonts w:eastAsia="Calibri" w:cs="Arial"/>
                <w:color w:val="auto"/>
                <w:sz w:val="18"/>
                <w:szCs w:val="18"/>
              </w:rPr>
              <w:t>MDC</w:t>
            </w:r>
          </w:p>
          <w:p w14:paraId="624D6E57" w14:textId="77777777" w:rsidR="00CB4E93" w:rsidRPr="00A9330B" w:rsidRDefault="00CB4E93" w:rsidP="00CB4E93">
            <w:pPr>
              <w:widowControl w:val="0"/>
              <w:spacing w:before="60" w:line="240" w:lineRule="auto"/>
              <w:jc w:val="center"/>
              <w:rPr>
                <w:rFonts w:eastAsia="Calibri" w:cs="Arial"/>
                <w:color w:val="auto"/>
                <w:sz w:val="18"/>
                <w:szCs w:val="18"/>
              </w:rPr>
            </w:pPr>
            <w:r w:rsidRPr="00A9330B">
              <w:rPr>
                <w:rFonts w:eastAsia="Calibri" w:cs="Arial"/>
                <w:color w:val="auto"/>
                <w:sz w:val="18"/>
                <w:szCs w:val="18"/>
              </w:rPr>
              <w:t>Entreprise chargée des travaux</w:t>
            </w:r>
          </w:p>
        </w:tc>
        <w:tc>
          <w:tcPr>
            <w:tcW w:w="897" w:type="pct"/>
            <w:tcBorders>
              <w:top w:val="single" w:sz="6" w:space="0" w:color="auto"/>
              <w:left w:val="single" w:sz="6" w:space="0" w:color="auto"/>
              <w:bottom w:val="single" w:sz="6" w:space="0" w:color="auto"/>
              <w:right w:val="single" w:sz="8" w:space="0" w:color="auto"/>
            </w:tcBorders>
          </w:tcPr>
          <w:p w14:paraId="4F8ED805" w14:textId="77777777" w:rsidR="00CB4E93" w:rsidRPr="00A9330B" w:rsidRDefault="00CB4E93" w:rsidP="00CB4E93">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t>Mairie de Natitingou (Services Techniques)</w:t>
            </w:r>
          </w:p>
          <w:p w14:paraId="36021E8B" w14:textId="77777777" w:rsidR="00CB4E93" w:rsidRPr="00A9330B" w:rsidRDefault="00CB4E93" w:rsidP="00CB4E93">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t>DDCVDD-AD</w:t>
            </w:r>
          </w:p>
        </w:tc>
        <w:tc>
          <w:tcPr>
            <w:tcW w:w="897" w:type="pct"/>
            <w:tcBorders>
              <w:top w:val="single" w:sz="6" w:space="0" w:color="auto"/>
              <w:left w:val="single" w:sz="6" w:space="0" w:color="auto"/>
              <w:bottom w:val="single" w:sz="6" w:space="0" w:color="auto"/>
              <w:right w:val="single" w:sz="8" w:space="0" w:color="auto"/>
            </w:tcBorders>
          </w:tcPr>
          <w:p w14:paraId="0A5A9576" w14:textId="77777777" w:rsidR="00CB4E93" w:rsidRPr="00A9330B" w:rsidRDefault="00CB4E93" w:rsidP="00CB4E93">
            <w:pPr>
              <w:widowControl w:val="0"/>
              <w:autoSpaceDE w:val="0"/>
              <w:autoSpaceDN w:val="0"/>
              <w:adjustRightInd w:val="0"/>
              <w:spacing w:before="60" w:line="240" w:lineRule="auto"/>
              <w:rPr>
                <w:rFonts w:eastAsia="Calibri" w:cs="Arial"/>
                <w:color w:val="auto"/>
                <w:sz w:val="18"/>
                <w:szCs w:val="18"/>
              </w:rPr>
            </w:pPr>
          </w:p>
        </w:tc>
      </w:tr>
      <w:tr w:rsidR="00CB4E93" w:rsidRPr="00A9330B" w14:paraId="2F22A172" w14:textId="77777777" w:rsidTr="00CB4E93">
        <w:trPr>
          <w:trHeight w:val="394"/>
        </w:trPr>
        <w:tc>
          <w:tcPr>
            <w:tcW w:w="4103" w:type="pct"/>
            <w:gridSpan w:val="5"/>
            <w:tcBorders>
              <w:top w:val="single" w:sz="6" w:space="0" w:color="auto"/>
              <w:left w:val="single" w:sz="8" w:space="0" w:color="auto"/>
              <w:bottom w:val="single" w:sz="6" w:space="0" w:color="auto"/>
              <w:right w:val="single" w:sz="8" w:space="0" w:color="auto"/>
            </w:tcBorders>
          </w:tcPr>
          <w:p w14:paraId="26C0B6C2" w14:textId="77777777" w:rsidR="00CB4E93" w:rsidRPr="005344A9" w:rsidRDefault="00CB4E93" w:rsidP="00CB4E93">
            <w:pPr>
              <w:widowControl w:val="0"/>
              <w:autoSpaceDE w:val="0"/>
              <w:autoSpaceDN w:val="0"/>
              <w:adjustRightInd w:val="0"/>
              <w:spacing w:before="60" w:line="240" w:lineRule="auto"/>
              <w:rPr>
                <w:rFonts w:eastAsia="Calibri" w:cs="Arial"/>
                <w:b/>
                <w:color w:val="auto"/>
              </w:rPr>
            </w:pPr>
            <w:r w:rsidRPr="005344A9">
              <w:rPr>
                <w:rFonts w:eastAsia="Calibri" w:cs="Arial"/>
                <w:b/>
                <w:color w:val="auto"/>
              </w:rPr>
              <w:t>Mesures d’accompagnement</w:t>
            </w:r>
          </w:p>
        </w:tc>
        <w:tc>
          <w:tcPr>
            <w:tcW w:w="897" w:type="pct"/>
            <w:tcBorders>
              <w:top w:val="single" w:sz="6" w:space="0" w:color="auto"/>
              <w:left w:val="single" w:sz="8" w:space="0" w:color="auto"/>
              <w:bottom w:val="single" w:sz="6" w:space="0" w:color="auto"/>
              <w:right w:val="single" w:sz="8" w:space="0" w:color="auto"/>
            </w:tcBorders>
          </w:tcPr>
          <w:p w14:paraId="4A300452" w14:textId="77777777" w:rsidR="00CB4E93" w:rsidRPr="005344A9" w:rsidRDefault="00CB4E93" w:rsidP="00CB4E93">
            <w:pPr>
              <w:widowControl w:val="0"/>
              <w:autoSpaceDE w:val="0"/>
              <w:autoSpaceDN w:val="0"/>
              <w:adjustRightInd w:val="0"/>
              <w:spacing w:before="60" w:line="240" w:lineRule="auto"/>
              <w:jc w:val="right"/>
              <w:rPr>
                <w:rFonts w:eastAsia="Calibri" w:cs="Arial"/>
                <w:b/>
                <w:color w:val="auto"/>
              </w:rPr>
            </w:pPr>
            <w:r>
              <w:rPr>
                <w:rFonts w:eastAsia="Calibri" w:cs="Arial"/>
                <w:b/>
                <w:color w:val="auto"/>
              </w:rPr>
              <w:t xml:space="preserve">390 720 000 FCFA </w:t>
            </w:r>
          </w:p>
        </w:tc>
      </w:tr>
      <w:tr w:rsidR="00CB4E93" w:rsidRPr="00A9330B" w14:paraId="3873272D" w14:textId="77777777" w:rsidTr="00CB4E93">
        <w:trPr>
          <w:trHeight w:val="413"/>
        </w:trPr>
        <w:tc>
          <w:tcPr>
            <w:tcW w:w="996" w:type="pct"/>
            <w:tcBorders>
              <w:top w:val="single" w:sz="6" w:space="0" w:color="auto"/>
              <w:left w:val="single" w:sz="8" w:space="0" w:color="auto"/>
              <w:bottom w:val="single" w:sz="6" w:space="0" w:color="auto"/>
              <w:right w:val="single" w:sz="6" w:space="0" w:color="auto"/>
            </w:tcBorders>
          </w:tcPr>
          <w:p w14:paraId="5E985C38" w14:textId="77777777" w:rsidR="00CB4E93" w:rsidRPr="00C438EA" w:rsidRDefault="00CB4E93" w:rsidP="00CB4E93">
            <w:pPr>
              <w:widowControl w:val="0"/>
              <w:tabs>
                <w:tab w:val="left" w:pos="0"/>
                <w:tab w:val="left" w:pos="709"/>
                <w:tab w:val="left" w:pos="5245"/>
                <w:tab w:val="left" w:pos="5529"/>
                <w:tab w:val="left" w:pos="6096"/>
                <w:tab w:val="left" w:pos="6521"/>
                <w:tab w:val="left" w:pos="6804"/>
                <w:tab w:val="left" w:pos="8222"/>
              </w:tabs>
              <w:spacing w:before="0" w:after="120" w:line="240" w:lineRule="auto"/>
              <w:jc w:val="both"/>
              <w:rPr>
                <w:rFonts w:eastAsia="Calibri" w:cs="Arial"/>
                <w:color w:val="auto"/>
                <w:sz w:val="18"/>
                <w:szCs w:val="18"/>
                <w:lang w:eastAsia="x-none"/>
              </w:rPr>
            </w:pPr>
            <w:r w:rsidRPr="00C438EA">
              <w:rPr>
                <w:rFonts w:eastAsia="Calibri" w:cs="Arial"/>
                <w:color w:val="auto"/>
                <w:sz w:val="18"/>
                <w:szCs w:val="18"/>
                <w:lang w:eastAsia="x-none"/>
              </w:rPr>
              <w:t>Reconstruire la clôture  du CEG Yimporima</w:t>
            </w:r>
          </w:p>
        </w:tc>
        <w:tc>
          <w:tcPr>
            <w:tcW w:w="916" w:type="pct"/>
            <w:tcBorders>
              <w:top w:val="single" w:sz="6" w:space="0" w:color="auto"/>
              <w:left w:val="single" w:sz="6" w:space="0" w:color="auto"/>
              <w:bottom w:val="single" w:sz="6" w:space="0" w:color="auto"/>
              <w:right w:val="single" w:sz="6" w:space="0" w:color="auto"/>
            </w:tcBorders>
          </w:tcPr>
          <w:p w14:paraId="1616A6F7" w14:textId="77777777" w:rsidR="00CB4E93" w:rsidRPr="00A9330B" w:rsidRDefault="00CB4E93" w:rsidP="00CB4E93">
            <w:pPr>
              <w:widowControl w:val="0"/>
              <w:spacing w:before="60" w:line="240" w:lineRule="auto"/>
              <w:rPr>
                <w:rFonts w:eastAsia="Calibri" w:cs="Arial"/>
                <w:color w:val="auto"/>
                <w:sz w:val="18"/>
                <w:szCs w:val="18"/>
              </w:rPr>
            </w:pPr>
            <w:r>
              <w:rPr>
                <w:rFonts w:eastAsia="Calibri" w:cs="Arial"/>
                <w:color w:val="auto"/>
                <w:sz w:val="18"/>
                <w:szCs w:val="18"/>
              </w:rPr>
              <w:t xml:space="preserve">Clôture effectivement érigée </w:t>
            </w:r>
          </w:p>
        </w:tc>
        <w:tc>
          <w:tcPr>
            <w:tcW w:w="637" w:type="pct"/>
            <w:tcBorders>
              <w:top w:val="single" w:sz="6" w:space="0" w:color="auto"/>
              <w:left w:val="single" w:sz="6" w:space="0" w:color="auto"/>
              <w:bottom w:val="single" w:sz="6" w:space="0" w:color="auto"/>
              <w:right w:val="single" w:sz="6" w:space="0" w:color="auto"/>
            </w:tcBorders>
          </w:tcPr>
          <w:p w14:paraId="7E10044E" w14:textId="77777777" w:rsidR="00CB4E93" w:rsidRPr="00A9330B" w:rsidRDefault="00CB4E93" w:rsidP="00CB4E93">
            <w:pPr>
              <w:widowControl w:val="0"/>
              <w:spacing w:before="60" w:line="240" w:lineRule="auto"/>
              <w:jc w:val="center"/>
              <w:rPr>
                <w:rFonts w:eastAsia="Calibri" w:cs="Arial"/>
                <w:color w:val="auto"/>
                <w:sz w:val="18"/>
                <w:szCs w:val="18"/>
              </w:rPr>
            </w:pPr>
            <w:r w:rsidRPr="0014648E">
              <w:rPr>
                <w:rFonts w:eastAsia="Calibri" w:cs="Arial"/>
                <w:color w:val="auto"/>
                <w:sz w:val="18"/>
                <w:szCs w:val="18"/>
              </w:rPr>
              <w:t>Pendant les travaux</w:t>
            </w:r>
          </w:p>
        </w:tc>
        <w:tc>
          <w:tcPr>
            <w:tcW w:w="657" w:type="pct"/>
            <w:tcBorders>
              <w:top w:val="single" w:sz="6" w:space="0" w:color="auto"/>
              <w:left w:val="single" w:sz="6" w:space="0" w:color="auto"/>
              <w:bottom w:val="single" w:sz="6" w:space="0" w:color="auto"/>
              <w:right w:val="single" w:sz="6" w:space="0" w:color="auto"/>
            </w:tcBorders>
          </w:tcPr>
          <w:p w14:paraId="4782157A" w14:textId="77777777" w:rsidR="00CB4E93" w:rsidRPr="00A9330B" w:rsidRDefault="00CB4E93" w:rsidP="00CB4E93">
            <w:pPr>
              <w:widowControl w:val="0"/>
              <w:spacing w:before="60" w:line="240" w:lineRule="auto"/>
              <w:jc w:val="center"/>
              <w:rPr>
                <w:rFonts w:eastAsia="Calibri" w:cs="Arial"/>
                <w:color w:val="auto"/>
                <w:sz w:val="18"/>
                <w:szCs w:val="18"/>
              </w:rPr>
            </w:pPr>
            <w:r w:rsidRPr="00A9330B">
              <w:rPr>
                <w:rFonts w:eastAsia="Calibri" w:cs="Arial"/>
                <w:color w:val="auto"/>
                <w:sz w:val="18"/>
                <w:szCs w:val="18"/>
              </w:rPr>
              <w:t>MDC</w:t>
            </w:r>
          </w:p>
          <w:p w14:paraId="647ECDF2" w14:textId="77777777" w:rsidR="00CB4E93" w:rsidRPr="00A9330B" w:rsidRDefault="00CB4E93" w:rsidP="00CB4E93">
            <w:pPr>
              <w:widowControl w:val="0"/>
              <w:spacing w:before="60" w:line="240" w:lineRule="auto"/>
              <w:jc w:val="center"/>
              <w:rPr>
                <w:rFonts w:eastAsia="Calibri" w:cs="Arial"/>
                <w:color w:val="auto"/>
                <w:sz w:val="18"/>
                <w:szCs w:val="18"/>
              </w:rPr>
            </w:pPr>
            <w:r w:rsidRPr="00A9330B">
              <w:rPr>
                <w:rFonts w:eastAsia="Calibri" w:cs="Arial"/>
                <w:color w:val="auto"/>
                <w:sz w:val="18"/>
                <w:szCs w:val="18"/>
              </w:rPr>
              <w:t>Entreprise chargée des travaux</w:t>
            </w:r>
          </w:p>
        </w:tc>
        <w:tc>
          <w:tcPr>
            <w:tcW w:w="897" w:type="pct"/>
            <w:tcBorders>
              <w:top w:val="single" w:sz="6" w:space="0" w:color="auto"/>
              <w:left w:val="single" w:sz="6" w:space="0" w:color="auto"/>
              <w:bottom w:val="single" w:sz="6" w:space="0" w:color="auto"/>
              <w:right w:val="single" w:sz="8" w:space="0" w:color="auto"/>
            </w:tcBorders>
          </w:tcPr>
          <w:p w14:paraId="6FAFBAF1" w14:textId="77777777" w:rsidR="00CB4E93" w:rsidRPr="00A9330B" w:rsidRDefault="00CB4E93" w:rsidP="00CB4E93">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t>Mairie de Natitingou (Services Techniques)</w:t>
            </w:r>
          </w:p>
          <w:p w14:paraId="43A39D52" w14:textId="77777777" w:rsidR="00CB4E93" w:rsidRPr="00A9330B" w:rsidRDefault="00CB4E93" w:rsidP="00CB4E93">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t>DDCVDD-AD</w:t>
            </w:r>
          </w:p>
        </w:tc>
        <w:tc>
          <w:tcPr>
            <w:tcW w:w="897" w:type="pct"/>
            <w:tcBorders>
              <w:top w:val="single" w:sz="6" w:space="0" w:color="auto"/>
              <w:left w:val="single" w:sz="6" w:space="0" w:color="auto"/>
              <w:bottom w:val="single" w:sz="6" w:space="0" w:color="auto"/>
              <w:right w:val="single" w:sz="8" w:space="0" w:color="auto"/>
            </w:tcBorders>
          </w:tcPr>
          <w:p w14:paraId="76D730AC" w14:textId="77777777" w:rsidR="00CB4E93" w:rsidRPr="00A9330B" w:rsidRDefault="00CB4E93" w:rsidP="00CB4E93">
            <w:pPr>
              <w:widowControl w:val="0"/>
              <w:autoSpaceDE w:val="0"/>
              <w:autoSpaceDN w:val="0"/>
              <w:adjustRightInd w:val="0"/>
              <w:spacing w:before="60" w:line="240" w:lineRule="auto"/>
              <w:jc w:val="right"/>
              <w:rPr>
                <w:rFonts w:eastAsia="Calibri" w:cs="Arial"/>
                <w:color w:val="auto"/>
                <w:sz w:val="18"/>
                <w:szCs w:val="18"/>
              </w:rPr>
            </w:pPr>
            <w:r>
              <w:rPr>
                <w:rFonts w:eastAsia="Calibri" w:cs="Arial"/>
                <w:color w:val="auto"/>
                <w:sz w:val="18"/>
                <w:szCs w:val="18"/>
              </w:rPr>
              <w:t>30 000 000</w:t>
            </w:r>
          </w:p>
        </w:tc>
      </w:tr>
      <w:tr w:rsidR="00CB4E93" w:rsidRPr="00A9330B" w14:paraId="35B11213" w14:textId="77777777" w:rsidTr="00CB4E93">
        <w:trPr>
          <w:trHeight w:val="839"/>
        </w:trPr>
        <w:tc>
          <w:tcPr>
            <w:tcW w:w="996" w:type="pct"/>
            <w:tcBorders>
              <w:top w:val="single" w:sz="6" w:space="0" w:color="auto"/>
              <w:left w:val="single" w:sz="8" w:space="0" w:color="auto"/>
              <w:bottom w:val="single" w:sz="6" w:space="0" w:color="auto"/>
              <w:right w:val="single" w:sz="6" w:space="0" w:color="auto"/>
            </w:tcBorders>
          </w:tcPr>
          <w:p w14:paraId="34B2CA61" w14:textId="77777777" w:rsidR="00CB4E93" w:rsidRPr="00C438EA" w:rsidRDefault="00CB4E93" w:rsidP="00CB4E93">
            <w:pPr>
              <w:widowControl w:val="0"/>
              <w:tabs>
                <w:tab w:val="left" w:pos="0"/>
                <w:tab w:val="left" w:pos="709"/>
                <w:tab w:val="left" w:pos="5245"/>
                <w:tab w:val="left" w:pos="5529"/>
                <w:tab w:val="left" w:pos="6096"/>
                <w:tab w:val="left" w:pos="6521"/>
                <w:tab w:val="left" w:pos="6804"/>
                <w:tab w:val="left" w:pos="8222"/>
              </w:tabs>
              <w:spacing w:before="0" w:after="120" w:line="240" w:lineRule="auto"/>
              <w:jc w:val="both"/>
              <w:rPr>
                <w:rFonts w:eastAsia="Calibri" w:cs="Arial"/>
                <w:color w:val="auto"/>
                <w:sz w:val="18"/>
                <w:szCs w:val="18"/>
                <w:lang w:eastAsia="x-none"/>
              </w:rPr>
            </w:pPr>
            <w:r w:rsidRPr="00C438EA">
              <w:rPr>
                <w:rFonts w:eastAsia="Calibri" w:cs="Arial"/>
                <w:color w:val="auto"/>
                <w:sz w:val="18"/>
                <w:szCs w:val="18"/>
                <w:lang w:eastAsia="x-none"/>
              </w:rPr>
              <w:lastRenderedPageBreak/>
              <w:t xml:space="preserve">Reconstruire la clôture du centre des jeunes et des loisirs qui déjà défectueuse </w:t>
            </w:r>
          </w:p>
        </w:tc>
        <w:tc>
          <w:tcPr>
            <w:tcW w:w="916" w:type="pct"/>
            <w:tcBorders>
              <w:top w:val="single" w:sz="6" w:space="0" w:color="auto"/>
              <w:left w:val="single" w:sz="6" w:space="0" w:color="auto"/>
              <w:bottom w:val="single" w:sz="6" w:space="0" w:color="auto"/>
              <w:right w:val="single" w:sz="6" w:space="0" w:color="auto"/>
            </w:tcBorders>
          </w:tcPr>
          <w:p w14:paraId="4A0ACDB2" w14:textId="77777777" w:rsidR="00CB4E93" w:rsidRPr="00A9330B" w:rsidRDefault="00CB4E93" w:rsidP="00CB4E93">
            <w:pPr>
              <w:widowControl w:val="0"/>
              <w:spacing w:before="60" w:line="240" w:lineRule="auto"/>
              <w:rPr>
                <w:rFonts w:eastAsia="Calibri" w:cs="Arial"/>
                <w:color w:val="auto"/>
                <w:sz w:val="18"/>
                <w:szCs w:val="18"/>
              </w:rPr>
            </w:pPr>
            <w:r>
              <w:rPr>
                <w:rFonts w:eastAsia="Calibri" w:cs="Arial"/>
                <w:color w:val="auto"/>
                <w:sz w:val="18"/>
                <w:szCs w:val="18"/>
              </w:rPr>
              <w:t>Clôture effectivement érigée</w:t>
            </w:r>
          </w:p>
        </w:tc>
        <w:tc>
          <w:tcPr>
            <w:tcW w:w="637" w:type="pct"/>
            <w:tcBorders>
              <w:top w:val="single" w:sz="6" w:space="0" w:color="auto"/>
              <w:left w:val="single" w:sz="6" w:space="0" w:color="auto"/>
              <w:bottom w:val="single" w:sz="6" w:space="0" w:color="auto"/>
              <w:right w:val="single" w:sz="6" w:space="0" w:color="auto"/>
            </w:tcBorders>
          </w:tcPr>
          <w:p w14:paraId="1B81F311" w14:textId="77777777" w:rsidR="00CB4E93" w:rsidRPr="00A9330B" w:rsidRDefault="00CB4E93" w:rsidP="00CB4E93">
            <w:pPr>
              <w:widowControl w:val="0"/>
              <w:spacing w:before="60" w:line="240" w:lineRule="auto"/>
              <w:jc w:val="center"/>
              <w:rPr>
                <w:rFonts w:eastAsia="Calibri" w:cs="Arial"/>
                <w:color w:val="auto"/>
                <w:sz w:val="18"/>
                <w:szCs w:val="18"/>
              </w:rPr>
            </w:pPr>
            <w:r w:rsidRPr="0014648E">
              <w:rPr>
                <w:rFonts w:eastAsia="Calibri" w:cs="Arial"/>
                <w:color w:val="auto"/>
                <w:sz w:val="18"/>
                <w:szCs w:val="18"/>
              </w:rPr>
              <w:t>Pendant les travaux</w:t>
            </w:r>
          </w:p>
        </w:tc>
        <w:tc>
          <w:tcPr>
            <w:tcW w:w="657" w:type="pct"/>
            <w:tcBorders>
              <w:top w:val="single" w:sz="6" w:space="0" w:color="auto"/>
              <w:left w:val="single" w:sz="6" w:space="0" w:color="auto"/>
              <w:bottom w:val="single" w:sz="6" w:space="0" w:color="auto"/>
              <w:right w:val="single" w:sz="6" w:space="0" w:color="auto"/>
            </w:tcBorders>
          </w:tcPr>
          <w:p w14:paraId="63569F00" w14:textId="77777777" w:rsidR="00CB4E93" w:rsidRPr="00A9330B" w:rsidRDefault="00CB4E93" w:rsidP="00CB4E93">
            <w:pPr>
              <w:widowControl w:val="0"/>
              <w:spacing w:before="60" w:line="240" w:lineRule="auto"/>
              <w:jc w:val="center"/>
              <w:rPr>
                <w:rFonts w:eastAsia="Calibri" w:cs="Arial"/>
                <w:color w:val="auto"/>
                <w:sz w:val="18"/>
                <w:szCs w:val="18"/>
              </w:rPr>
            </w:pPr>
            <w:r w:rsidRPr="00A9330B">
              <w:rPr>
                <w:rFonts w:eastAsia="Calibri" w:cs="Arial"/>
                <w:color w:val="auto"/>
                <w:sz w:val="18"/>
                <w:szCs w:val="18"/>
              </w:rPr>
              <w:t>MDC</w:t>
            </w:r>
          </w:p>
          <w:p w14:paraId="0D1EBC50" w14:textId="77777777" w:rsidR="00CB4E93" w:rsidRPr="00A9330B" w:rsidRDefault="00CB4E93" w:rsidP="00CB4E93">
            <w:pPr>
              <w:widowControl w:val="0"/>
              <w:spacing w:before="60" w:line="240" w:lineRule="auto"/>
              <w:jc w:val="center"/>
              <w:rPr>
                <w:rFonts w:eastAsia="Calibri" w:cs="Arial"/>
                <w:color w:val="auto"/>
                <w:sz w:val="18"/>
                <w:szCs w:val="18"/>
              </w:rPr>
            </w:pPr>
            <w:r w:rsidRPr="00A9330B">
              <w:rPr>
                <w:rFonts w:eastAsia="Calibri" w:cs="Arial"/>
                <w:color w:val="auto"/>
                <w:sz w:val="18"/>
                <w:szCs w:val="18"/>
              </w:rPr>
              <w:t>Entreprise chargée des travaux</w:t>
            </w:r>
          </w:p>
        </w:tc>
        <w:tc>
          <w:tcPr>
            <w:tcW w:w="897" w:type="pct"/>
            <w:tcBorders>
              <w:top w:val="single" w:sz="6" w:space="0" w:color="auto"/>
              <w:left w:val="single" w:sz="6" w:space="0" w:color="auto"/>
              <w:bottom w:val="single" w:sz="6" w:space="0" w:color="auto"/>
              <w:right w:val="single" w:sz="8" w:space="0" w:color="auto"/>
            </w:tcBorders>
          </w:tcPr>
          <w:p w14:paraId="6F2AFF75" w14:textId="77777777" w:rsidR="00CB4E93" w:rsidRPr="00A9330B" w:rsidRDefault="00CB4E93" w:rsidP="00CB4E93">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t>Mairie de Natitingou (Services Techniques)</w:t>
            </w:r>
          </w:p>
          <w:p w14:paraId="5F9726C2" w14:textId="77777777" w:rsidR="00CB4E93" w:rsidRPr="00A9330B" w:rsidRDefault="00CB4E93" w:rsidP="00CB4E93">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t>DDCVDD-AD</w:t>
            </w:r>
          </w:p>
        </w:tc>
        <w:tc>
          <w:tcPr>
            <w:tcW w:w="897" w:type="pct"/>
            <w:tcBorders>
              <w:top w:val="single" w:sz="6" w:space="0" w:color="auto"/>
              <w:left w:val="single" w:sz="6" w:space="0" w:color="auto"/>
              <w:bottom w:val="single" w:sz="6" w:space="0" w:color="auto"/>
              <w:right w:val="single" w:sz="8" w:space="0" w:color="auto"/>
            </w:tcBorders>
          </w:tcPr>
          <w:p w14:paraId="44B6D909" w14:textId="77777777" w:rsidR="00CB4E93" w:rsidRPr="00A9330B" w:rsidRDefault="00CB4E93" w:rsidP="00CB4E93">
            <w:pPr>
              <w:widowControl w:val="0"/>
              <w:autoSpaceDE w:val="0"/>
              <w:autoSpaceDN w:val="0"/>
              <w:adjustRightInd w:val="0"/>
              <w:spacing w:before="60" w:line="240" w:lineRule="auto"/>
              <w:jc w:val="right"/>
              <w:rPr>
                <w:rFonts w:eastAsia="Calibri" w:cs="Arial"/>
                <w:color w:val="auto"/>
                <w:sz w:val="18"/>
                <w:szCs w:val="18"/>
              </w:rPr>
            </w:pPr>
            <w:r>
              <w:rPr>
                <w:rFonts w:eastAsia="Calibri" w:cs="Arial"/>
                <w:color w:val="auto"/>
                <w:sz w:val="18"/>
                <w:szCs w:val="18"/>
              </w:rPr>
              <w:t xml:space="preserve">14 000 000 </w:t>
            </w:r>
          </w:p>
        </w:tc>
      </w:tr>
      <w:tr w:rsidR="00CB4E93" w:rsidRPr="00A9330B" w14:paraId="4DC52594" w14:textId="77777777" w:rsidTr="00CB4E93">
        <w:trPr>
          <w:trHeight w:val="839"/>
        </w:trPr>
        <w:tc>
          <w:tcPr>
            <w:tcW w:w="996" w:type="pct"/>
            <w:tcBorders>
              <w:top w:val="single" w:sz="6" w:space="0" w:color="auto"/>
              <w:left w:val="single" w:sz="8" w:space="0" w:color="auto"/>
              <w:bottom w:val="single" w:sz="6" w:space="0" w:color="auto"/>
              <w:right w:val="single" w:sz="6" w:space="0" w:color="auto"/>
            </w:tcBorders>
          </w:tcPr>
          <w:p w14:paraId="650F3AA4" w14:textId="77777777" w:rsidR="00CB4E93" w:rsidRPr="00C438EA" w:rsidRDefault="00CB4E93" w:rsidP="00CB4E93">
            <w:pPr>
              <w:widowControl w:val="0"/>
              <w:tabs>
                <w:tab w:val="left" w:pos="0"/>
                <w:tab w:val="left" w:pos="709"/>
                <w:tab w:val="left" w:pos="5245"/>
                <w:tab w:val="left" w:pos="5529"/>
                <w:tab w:val="left" w:pos="6096"/>
                <w:tab w:val="left" w:pos="6521"/>
                <w:tab w:val="left" w:pos="6804"/>
                <w:tab w:val="left" w:pos="8222"/>
              </w:tabs>
              <w:spacing w:before="0" w:after="120" w:line="240" w:lineRule="auto"/>
              <w:jc w:val="both"/>
              <w:rPr>
                <w:rFonts w:eastAsia="Calibri" w:cs="Arial"/>
                <w:color w:val="auto"/>
                <w:sz w:val="18"/>
                <w:szCs w:val="18"/>
                <w:lang w:eastAsia="x-none"/>
              </w:rPr>
            </w:pPr>
            <w:r w:rsidRPr="00C438EA">
              <w:rPr>
                <w:rFonts w:eastAsia="Calibri" w:cs="Arial"/>
                <w:color w:val="auto"/>
                <w:sz w:val="18"/>
                <w:szCs w:val="18"/>
                <w:lang w:eastAsia="x-none"/>
              </w:rPr>
              <w:t>Construire des blocs de latrines modernes dans le CEG Yimporima (01), le lycée des jeunes filles (02) et le centre de loisirs (01)</w:t>
            </w:r>
          </w:p>
        </w:tc>
        <w:tc>
          <w:tcPr>
            <w:tcW w:w="916" w:type="pct"/>
            <w:tcBorders>
              <w:top w:val="single" w:sz="6" w:space="0" w:color="auto"/>
              <w:left w:val="single" w:sz="6" w:space="0" w:color="auto"/>
              <w:bottom w:val="single" w:sz="6" w:space="0" w:color="auto"/>
              <w:right w:val="single" w:sz="6" w:space="0" w:color="auto"/>
            </w:tcBorders>
          </w:tcPr>
          <w:p w14:paraId="14499A52" w14:textId="77777777" w:rsidR="00CB4E93" w:rsidRPr="00A9330B" w:rsidRDefault="00CB4E93" w:rsidP="00CB4E93">
            <w:pPr>
              <w:widowControl w:val="0"/>
              <w:spacing w:before="60" w:line="240" w:lineRule="auto"/>
              <w:rPr>
                <w:rFonts w:eastAsia="Calibri" w:cs="Arial"/>
                <w:color w:val="auto"/>
                <w:sz w:val="18"/>
                <w:szCs w:val="18"/>
              </w:rPr>
            </w:pPr>
            <w:r>
              <w:rPr>
                <w:rFonts w:eastAsia="Calibri" w:cs="Arial"/>
                <w:color w:val="auto"/>
                <w:sz w:val="18"/>
                <w:szCs w:val="18"/>
              </w:rPr>
              <w:t xml:space="preserve">Blocs de latrines réalisés </w:t>
            </w:r>
          </w:p>
        </w:tc>
        <w:tc>
          <w:tcPr>
            <w:tcW w:w="637" w:type="pct"/>
            <w:tcBorders>
              <w:top w:val="single" w:sz="6" w:space="0" w:color="auto"/>
              <w:left w:val="single" w:sz="6" w:space="0" w:color="auto"/>
              <w:bottom w:val="single" w:sz="6" w:space="0" w:color="auto"/>
              <w:right w:val="single" w:sz="6" w:space="0" w:color="auto"/>
            </w:tcBorders>
          </w:tcPr>
          <w:p w14:paraId="66B1EF1D" w14:textId="77777777" w:rsidR="00CB4E93" w:rsidRPr="00A9330B" w:rsidRDefault="00CB4E93" w:rsidP="00CB4E93">
            <w:pPr>
              <w:widowControl w:val="0"/>
              <w:spacing w:before="60" w:line="240" w:lineRule="auto"/>
              <w:jc w:val="center"/>
              <w:rPr>
                <w:rFonts w:eastAsia="Calibri" w:cs="Arial"/>
                <w:color w:val="auto"/>
                <w:sz w:val="18"/>
                <w:szCs w:val="18"/>
              </w:rPr>
            </w:pPr>
            <w:r w:rsidRPr="0014648E">
              <w:rPr>
                <w:rFonts w:eastAsia="Calibri" w:cs="Arial"/>
                <w:color w:val="auto"/>
                <w:sz w:val="18"/>
                <w:szCs w:val="18"/>
              </w:rPr>
              <w:t>Pendant les travaux</w:t>
            </w:r>
          </w:p>
        </w:tc>
        <w:tc>
          <w:tcPr>
            <w:tcW w:w="657" w:type="pct"/>
            <w:tcBorders>
              <w:top w:val="single" w:sz="6" w:space="0" w:color="auto"/>
              <w:left w:val="single" w:sz="6" w:space="0" w:color="auto"/>
              <w:bottom w:val="single" w:sz="6" w:space="0" w:color="auto"/>
              <w:right w:val="single" w:sz="6" w:space="0" w:color="auto"/>
            </w:tcBorders>
          </w:tcPr>
          <w:p w14:paraId="532F15A2" w14:textId="77777777" w:rsidR="00CB4E93" w:rsidRPr="00A9330B" w:rsidRDefault="00CB4E93" w:rsidP="00CB4E93">
            <w:pPr>
              <w:widowControl w:val="0"/>
              <w:spacing w:before="60" w:line="240" w:lineRule="auto"/>
              <w:jc w:val="center"/>
              <w:rPr>
                <w:rFonts w:eastAsia="Calibri" w:cs="Arial"/>
                <w:color w:val="auto"/>
                <w:sz w:val="18"/>
                <w:szCs w:val="18"/>
              </w:rPr>
            </w:pPr>
            <w:r w:rsidRPr="00A9330B">
              <w:rPr>
                <w:rFonts w:eastAsia="Calibri" w:cs="Arial"/>
                <w:color w:val="auto"/>
                <w:sz w:val="18"/>
                <w:szCs w:val="18"/>
              </w:rPr>
              <w:t>MDC</w:t>
            </w:r>
          </w:p>
          <w:p w14:paraId="505DC97C" w14:textId="77777777" w:rsidR="00CB4E93" w:rsidRPr="00A9330B" w:rsidRDefault="00CB4E93" w:rsidP="00CB4E93">
            <w:pPr>
              <w:widowControl w:val="0"/>
              <w:spacing w:before="60" w:line="240" w:lineRule="auto"/>
              <w:jc w:val="center"/>
              <w:rPr>
                <w:rFonts w:eastAsia="Calibri" w:cs="Arial"/>
                <w:color w:val="auto"/>
                <w:sz w:val="18"/>
                <w:szCs w:val="18"/>
              </w:rPr>
            </w:pPr>
            <w:r w:rsidRPr="00A9330B">
              <w:rPr>
                <w:rFonts w:eastAsia="Calibri" w:cs="Arial"/>
                <w:color w:val="auto"/>
                <w:sz w:val="18"/>
                <w:szCs w:val="18"/>
              </w:rPr>
              <w:t>Entreprise chargée des travaux</w:t>
            </w:r>
          </w:p>
        </w:tc>
        <w:tc>
          <w:tcPr>
            <w:tcW w:w="897" w:type="pct"/>
            <w:tcBorders>
              <w:top w:val="single" w:sz="6" w:space="0" w:color="auto"/>
              <w:left w:val="single" w:sz="6" w:space="0" w:color="auto"/>
              <w:bottom w:val="single" w:sz="6" w:space="0" w:color="auto"/>
              <w:right w:val="single" w:sz="8" w:space="0" w:color="auto"/>
            </w:tcBorders>
          </w:tcPr>
          <w:p w14:paraId="39076786" w14:textId="77777777" w:rsidR="00CB4E93" w:rsidRPr="00A9330B" w:rsidRDefault="00CB4E93" w:rsidP="00CB4E93">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t>Mairie de Natitingou (Services Techniques)</w:t>
            </w:r>
          </w:p>
          <w:p w14:paraId="6C1B5279" w14:textId="77777777" w:rsidR="00CB4E93" w:rsidRPr="00A9330B" w:rsidRDefault="00CB4E93" w:rsidP="00CB4E93">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t>DDCVDD-AD</w:t>
            </w:r>
          </w:p>
        </w:tc>
        <w:tc>
          <w:tcPr>
            <w:tcW w:w="897" w:type="pct"/>
            <w:tcBorders>
              <w:top w:val="single" w:sz="6" w:space="0" w:color="auto"/>
              <w:left w:val="single" w:sz="6" w:space="0" w:color="auto"/>
              <w:bottom w:val="single" w:sz="6" w:space="0" w:color="auto"/>
              <w:right w:val="single" w:sz="8" w:space="0" w:color="auto"/>
            </w:tcBorders>
          </w:tcPr>
          <w:p w14:paraId="6F37E124" w14:textId="77777777" w:rsidR="00CB4E93" w:rsidRPr="00A9330B" w:rsidRDefault="00CB4E93" w:rsidP="00CB4E93">
            <w:pPr>
              <w:widowControl w:val="0"/>
              <w:autoSpaceDE w:val="0"/>
              <w:autoSpaceDN w:val="0"/>
              <w:adjustRightInd w:val="0"/>
              <w:spacing w:before="60" w:line="240" w:lineRule="auto"/>
              <w:jc w:val="right"/>
              <w:rPr>
                <w:rFonts w:eastAsia="Calibri" w:cs="Arial"/>
                <w:color w:val="auto"/>
                <w:sz w:val="18"/>
                <w:szCs w:val="18"/>
              </w:rPr>
            </w:pPr>
            <w:r>
              <w:rPr>
                <w:rFonts w:eastAsia="Calibri" w:cs="Arial"/>
                <w:color w:val="auto"/>
                <w:sz w:val="18"/>
                <w:szCs w:val="18"/>
              </w:rPr>
              <w:t>6 720 000</w:t>
            </w:r>
          </w:p>
        </w:tc>
      </w:tr>
      <w:tr w:rsidR="00CB4E93" w:rsidRPr="00A9330B" w14:paraId="2CF6DC8D" w14:textId="77777777" w:rsidTr="00CB4E93">
        <w:trPr>
          <w:trHeight w:val="839"/>
        </w:trPr>
        <w:tc>
          <w:tcPr>
            <w:tcW w:w="996" w:type="pct"/>
            <w:tcBorders>
              <w:top w:val="single" w:sz="6" w:space="0" w:color="auto"/>
              <w:left w:val="single" w:sz="8" w:space="0" w:color="auto"/>
              <w:bottom w:val="single" w:sz="6" w:space="0" w:color="auto"/>
              <w:right w:val="single" w:sz="6" w:space="0" w:color="auto"/>
            </w:tcBorders>
          </w:tcPr>
          <w:p w14:paraId="1F3F7037" w14:textId="77777777" w:rsidR="00CB4E93" w:rsidRPr="00C438EA" w:rsidRDefault="00CB4E93" w:rsidP="00CB4E93">
            <w:pPr>
              <w:widowControl w:val="0"/>
              <w:tabs>
                <w:tab w:val="left" w:pos="0"/>
                <w:tab w:val="left" w:pos="709"/>
                <w:tab w:val="left" w:pos="5245"/>
                <w:tab w:val="left" w:pos="5529"/>
                <w:tab w:val="left" w:pos="6096"/>
                <w:tab w:val="left" w:pos="6521"/>
                <w:tab w:val="left" w:pos="6804"/>
                <w:tab w:val="left" w:pos="8222"/>
              </w:tabs>
              <w:spacing w:before="0" w:after="120" w:line="240" w:lineRule="auto"/>
              <w:jc w:val="both"/>
              <w:rPr>
                <w:rFonts w:eastAsia="Calibri" w:cs="Arial"/>
                <w:color w:val="auto"/>
                <w:sz w:val="18"/>
                <w:szCs w:val="18"/>
                <w:lang w:eastAsia="x-none"/>
              </w:rPr>
            </w:pPr>
            <w:r w:rsidRPr="00C438EA">
              <w:rPr>
                <w:rFonts w:eastAsia="Calibri" w:cs="Arial"/>
                <w:color w:val="auto"/>
                <w:sz w:val="18"/>
                <w:szCs w:val="18"/>
                <w:lang w:eastAsia="x-none"/>
              </w:rPr>
              <w:t xml:space="preserve">Réaliser deux forages sur des sites à identifies notamment au niveau des exutoires </w:t>
            </w:r>
          </w:p>
        </w:tc>
        <w:tc>
          <w:tcPr>
            <w:tcW w:w="916" w:type="pct"/>
            <w:tcBorders>
              <w:top w:val="single" w:sz="6" w:space="0" w:color="auto"/>
              <w:left w:val="single" w:sz="6" w:space="0" w:color="auto"/>
              <w:bottom w:val="single" w:sz="6" w:space="0" w:color="auto"/>
              <w:right w:val="single" w:sz="6" w:space="0" w:color="auto"/>
            </w:tcBorders>
          </w:tcPr>
          <w:p w14:paraId="5FC0B277" w14:textId="77777777" w:rsidR="00CB4E93" w:rsidRPr="00A9330B" w:rsidRDefault="00CB4E93" w:rsidP="00CB4E93">
            <w:pPr>
              <w:widowControl w:val="0"/>
              <w:spacing w:before="60" w:line="240" w:lineRule="auto"/>
              <w:rPr>
                <w:rFonts w:eastAsia="Calibri" w:cs="Arial"/>
                <w:color w:val="auto"/>
                <w:sz w:val="18"/>
                <w:szCs w:val="18"/>
              </w:rPr>
            </w:pPr>
            <w:r>
              <w:rPr>
                <w:rFonts w:eastAsia="Calibri" w:cs="Arial"/>
                <w:color w:val="auto"/>
                <w:sz w:val="18"/>
                <w:szCs w:val="18"/>
              </w:rPr>
              <w:t xml:space="preserve">Forages réalisés et fonctionnels </w:t>
            </w:r>
          </w:p>
        </w:tc>
        <w:tc>
          <w:tcPr>
            <w:tcW w:w="637" w:type="pct"/>
            <w:tcBorders>
              <w:top w:val="single" w:sz="6" w:space="0" w:color="auto"/>
              <w:left w:val="single" w:sz="6" w:space="0" w:color="auto"/>
              <w:bottom w:val="single" w:sz="6" w:space="0" w:color="auto"/>
              <w:right w:val="single" w:sz="6" w:space="0" w:color="auto"/>
            </w:tcBorders>
          </w:tcPr>
          <w:p w14:paraId="7E8B59D1" w14:textId="77777777" w:rsidR="00CB4E93" w:rsidRPr="00A9330B" w:rsidRDefault="00CB4E93" w:rsidP="00CB4E93">
            <w:pPr>
              <w:widowControl w:val="0"/>
              <w:spacing w:before="60" w:line="240" w:lineRule="auto"/>
              <w:jc w:val="center"/>
              <w:rPr>
                <w:rFonts w:eastAsia="Calibri" w:cs="Arial"/>
                <w:color w:val="auto"/>
                <w:sz w:val="18"/>
                <w:szCs w:val="18"/>
              </w:rPr>
            </w:pPr>
            <w:r w:rsidRPr="0014648E">
              <w:rPr>
                <w:rFonts w:eastAsia="Calibri" w:cs="Arial"/>
                <w:color w:val="auto"/>
                <w:sz w:val="18"/>
                <w:szCs w:val="18"/>
              </w:rPr>
              <w:t>Pendant les travaux</w:t>
            </w:r>
          </w:p>
        </w:tc>
        <w:tc>
          <w:tcPr>
            <w:tcW w:w="657" w:type="pct"/>
            <w:tcBorders>
              <w:top w:val="single" w:sz="6" w:space="0" w:color="auto"/>
              <w:left w:val="single" w:sz="6" w:space="0" w:color="auto"/>
              <w:bottom w:val="single" w:sz="6" w:space="0" w:color="auto"/>
              <w:right w:val="single" w:sz="6" w:space="0" w:color="auto"/>
            </w:tcBorders>
          </w:tcPr>
          <w:p w14:paraId="430197EB" w14:textId="77777777" w:rsidR="00CB4E93" w:rsidRPr="00A9330B" w:rsidRDefault="00CB4E93" w:rsidP="00CB4E93">
            <w:pPr>
              <w:widowControl w:val="0"/>
              <w:spacing w:before="60" w:line="240" w:lineRule="auto"/>
              <w:jc w:val="center"/>
              <w:rPr>
                <w:rFonts w:eastAsia="Calibri" w:cs="Arial"/>
                <w:color w:val="auto"/>
                <w:sz w:val="18"/>
                <w:szCs w:val="18"/>
              </w:rPr>
            </w:pPr>
            <w:r w:rsidRPr="00A9330B">
              <w:rPr>
                <w:rFonts w:eastAsia="Calibri" w:cs="Arial"/>
                <w:color w:val="auto"/>
                <w:sz w:val="18"/>
                <w:szCs w:val="18"/>
              </w:rPr>
              <w:t>MDC</w:t>
            </w:r>
          </w:p>
          <w:p w14:paraId="2F2DE8EA" w14:textId="77777777" w:rsidR="00CB4E93" w:rsidRPr="00A9330B" w:rsidRDefault="00CB4E93" w:rsidP="00CB4E93">
            <w:pPr>
              <w:widowControl w:val="0"/>
              <w:spacing w:before="60" w:line="240" w:lineRule="auto"/>
              <w:jc w:val="center"/>
              <w:rPr>
                <w:rFonts w:eastAsia="Calibri" w:cs="Arial"/>
                <w:color w:val="auto"/>
                <w:sz w:val="18"/>
                <w:szCs w:val="18"/>
              </w:rPr>
            </w:pPr>
            <w:r w:rsidRPr="00A9330B">
              <w:rPr>
                <w:rFonts w:eastAsia="Calibri" w:cs="Arial"/>
                <w:color w:val="auto"/>
                <w:sz w:val="18"/>
                <w:szCs w:val="18"/>
              </w:rPr>
              <w:t>Entreprise chargée des travaux</w:t>
            </w:r>
          </w:p>
        </w:tc>
        <w:tc>
          <w:tcPr>
            <w:tcW w:w="897" w:type="pct"/>
            <w:tcBorders>
              <w:top w:val="single" w:sz="6" w:space="0" w:color="auto"/>
              <w:left w:val="single" w:sz="6" w:space="0" w:color="auto"/>
              <w:bottom w:val="single" w:sz="6" w:space="0" w:color="auto"/>
              <w:right w:val="single" w:sz="8" w:space="0" w:color="auto"/>
            </w:tcBorders>
          </w:tcPr>
          <w:p w14:paraId="0F4D2AFC" w14:textId="77777777" w:rsidR="00CB4E93" w:rsidRPr="00A9330B" w:rsidRDefault="00CB4E93" w:rsidP="00CB4E93">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t>Mairie de Natitingou (Services Techniques)</w:t>
            </w:r>
          </w:p>
          <w:p w14:paraId="1E76AE16" w14:textId="77777777" w:rsidR="00CB4E93" w:rsidRPr="00A9330B" w:rsidRDefault="00CB4E93" w:rsidP="00CB4E93">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t>DDCVDD-AD</w:t>
            </w:r>
          </w:p>
        </w:tc>
        <w:tc>
          <w:tcPr>
            <w:tcW w:w="897" w:type="pct"/>
            <w:tcBorders>
              <w:top w:val="single" w:sz="6" w:space="0" w:color="auto"/>
              <w:left w:val="single" w:sz="6" w:space="0" w:color="auto"/>
              <w:bottom w:val="single" w:sz="6" w:space="0" w:color="auto"/>
              <w:right w:val="single" w:sz="8" w:space="0" w:color="auto"/>
            </w:tcBorders>
          </w:tcPr>
          <w:p w14:paraId="4A013FBC" w14:textId="77777777" w:rsidR="00CB4E93" w:rsidRPr="00A9330B" w:rsidRDefault="00CB4E93" w:rsidP="00CB4E93">
            <w:pPr>
              <w:widowControl w:val="0"/>
              <w:autoSpaceDE w:val="0"/>
              <w:autoSpaceDN w:val="0"/>
              <w:adjustRightInd w:val="0"/>
              <w:spacing w:before="60" w:line="240" w:lineRule="auto"/>
              <w:jc w:val="right"/>
              <w:rPr>
                <w:rFonts w:eastAsia="Calibri" w:cs="Arial"/>
                <w:color w:val="auto"/>
                <w:sz w:val="18"/>
                <w:szCs w:val="18"/>
              </w:rPr>
            </w:pPr>
            <w:r>
              <w:rPr>
                <w:rFonts w:eastAsia="Calibri" w:cs="Arial"/>
                <w:color w:val="auto"/>
                <w:sz w:val="18"/>
                <w:szCs w:val="18"/>
              </w:rPr>
              <w:t xml:space="preserve">40 000 000 </w:t>
            </w:r>
          </w:p>
        </w:tc>
      </w:tr>
      <w:tr w:rsidR="00CB4E93" w:rsidRPr="00A9330B" w14:paraId="5E9DC2E5" w14:textId="77777777" w:rsidTr="00CB4E93">
        <w:trPr>
          <w:trHeight w:val="947"/>
        </w:trPr>
        <w:tc>
          <w:tcPr>
            <w:tcW w:w="996" w:type="pct"/>
            <w:tcBorders>
              <w:top w:val="single" w:sz="6" w:space="0" w:color="auto"/>
              <w:left w:val="single" w:sz="8" w:space="0" w:color="auto"/>
              <w:bottom w:val="single" w:sz="6" w:space="0" w:color="auto"/>
              <w:right w:val="single" w:sz="6" w:space="0" w:color="auto"/>
            </w:tcBorders>
          </w:tcPr>
          <w:p w14:paraId="1577CB1E" w14:textId="77777777" w:rsidR="00CB4E93" w:rsidRPr="00C438EA" w:rsidRDefault="00CB4E93" w:rsidP="00CB4E93">
            <w:pPr>
              <w:widowControl w:val="0"/>
              <w:tabs>
                <w:tab w:val="left" w:pos="0"/>
                <w:tab w:val="left" w:pos="709"/>
                <w:tab w:val="left" w:pos="5245"/>
                <w:tab w:val="left" w:pos="5529"/>
                <w:tab w:val="left" w:pos="6096"/>
                <w:tab w:val="left" w:pos="6521"/>
                <w:tab w:val="left" w:pos="6804"/>
                <w:tab w:val="left" w:pos="8222"/>
              </w:tabs>
              <w:spacing w:before="0" w:after="120" w:line="240" w:lineRule="auto"/>
              <w:jc w:val="both"/>
              <w:rPr>
                <w:rFonts w:eastAsia="Calibri" w:cs="Arial"/>
                <w:color w:val="auto"/>
                <w:sz w:val="18"/>
                <w:szCs w:val="18"/>
                <w:lang w:eastAsia="x-none"/>
              </w:rPr>
            </w:pPr>
            <w:r w:rsidRPr="00C438EA">
              <w:rPr>
                <w:rFonts w:eastAsia="Calibri" w:cs="Arial"/>
                <w:color w:val="auto"/>
                <w:sz w:val="18"/>
                <w:szCs w:val="18"/>
                <w:lang w:eastAsia="x-none"/>
              </w:rPr>
              <w:t xml:space="preserve">Construire 04 centres de regroupement de déchets pour la ville </w:t>
            </w:r>
          </w:p>
        </w:tc>
        <w:tc>
          <w:tcPr>
            <w:tcW w:w="916" w:type="pct"/>
            <w:tcBorders>
              <w:top w:val="single" w:sz="6" w:space="0" w:color="auto"/>
              <w:left w:val="single" w:sz="6" w:space="0" w:color="auto"/>
              <w:bottom w:val="single" w:sz="6" w:space="0" w:color="auto"/>
              <w:right w:val="single" w:sz="6" w:space="0" w:color="auto"/>
            </w:tcBorders>
          </w:tcPr>
          <w:p w14:paraId="2FB7F2B9" w14:textId="77777777" w:rsidR="00CB4E93" w:rsidRPr="00A9330B" w:rsidRDefault="00CB4E93" w:rsidP="00CB4E93">
            <w:pPr>
              <w:widowControl w:val="0"/>
              <w:spacing w:before="60" w:line="240" w:lineRule="auto"/>
              <w:rPr>
                <w:rFonts w:eastAsia="Calibri" w:cs="Arial"/>
                <w:color w:val="auto"/>
                <w:sz w:val="18"/>
                <w:szCs w:val="18"/>
              </w:rPr>
            </w:pPr>
            <w:r>
              <w:rPr>
                <w:rFonts w:eastAsia="Calibri" w:cs="Arial"/>
                <w:color w:val="auto"/>
                <w:sz w:val="18"/>
                <w:szCs w:val="18"/>
              </w:rPr>
              <w:t xml:space="preserve">Points de regroupement de déchets réalisés et fonctionnels </w:t>
            </w:r>
          </w:p>
        </w:tc>
        <w:tc>
          <w:tcPr>
            <w:tcW w:w="637" w:type="pct"/>
            <w:tcBorders>
              <w:top w:val="single" w:sz="6" w:space="0" w:color="auto"/>
              <w:left w:val="single" w:sz="6" w:space="0" w:color="auto"/>
              <w:bottom w:val="single" w:sz="6" w:space="0" w:color="auto"/>
              <w:right w:val="single" w:sz="6" w:space="0" w:color="auto"/>
            </w:tcBorders>
          </w:tcPr>
          <w:p w14:paraId="3EE77F38" w14:textId="77777777" w:rsidR="00CB4E93" w:rsidRPr="00A9330B" w:rsidRDefault="00CB4E93" w:rsidP="00CB4E93">
            <w:pPr>
              <w:widowControl w:val="0"/>
              <w:spacing w:before="60" w:line="240" w:lineRule="auto"/>
              <w:jc w:val="center"/>
              <w:rPr>
                <w:rFonts w:eastAsia="Calibri" w:cs="Arial"/>
                <w:color w:val="auto"/>
                <w:sz w:val="18"/>
                <w:szCs w:val="18"/>
              </w:rPr>
            </w:pPr>
            <w:r w:rsidRPr="0014648E">
              <w:rPr>
                <w:rFonts w:eastAsia="Calibri" w:cs="Arial"/>
                <w:color w:val="auto"/>
                <w:sz w:val="18"/>
                <w:szCs w:val="18"/>
              </w:rPr>
              <w:t>Pendant les travaux</w:t>
            </w:r>
          </w:p>
        </w:tc>
        <w:tc>
          <w:tcPr>
            <w:tcW w:w="657" w:type="pct"/>
            <w:tcBorders>
              <w:top w:val="single" w:sz="6" w:space="0" w:color="auto"/>
              <w:left w:val="single" w:sz="6" w:space="0" w:color="auto"/>
              <w:bottom w:val="single" w:sz="6" w:space="0" w:color="auto"/>
              <w:right w:val="single" w:sz="6" w:space="0" w:color="auto"/>
            </w:tcBorders>
          </w:tcPr>
          <w:p w14:paraId="52086348" w14:textId="77777777" w:rsidR="00CB4E93" w:rsidRPr="00A9330B" w:rsidRDefault="00CB4E93" w:rsidP="00CB4E93">
            <w:pPr>
              <w:widowControl w:val="0"/>
              <w:spacing w:before="60" w:line="240" w:lineRule="auto"/>
              <w:jc w:val="center"/>
              <w:rPr>
                <w:rFonts w:eastAsia="Calibri" w:cs="Arial"/>
                <w:color w:val="auto"/>
                <w:sz w:val="18"/>
                <w:szCs w:val="18"/>
              </w:rPr>
            </w:pPr>
            <w:r w:rsidRPr="00A9330B">
              <w:rPr>
                <w:rFonts w:eastAsia="Calibri" w:cs="Arial"/>
                <w:color w:val="auto"/>
                <w:sz w:val="18"/>
                <w:szCs w:val="18"/>
              </w:rPr>
              <w:t>MDC</w:t>
            </w:r>
          </w:p>
          <w:p w14:paraId="26D59620" w14:textId="77777777" w:rsidR="00CB4E93" w:rsidRPr="00A9330B" w:rsidRDefault="00CB4E93" w:rsidP="00CB4E93">
            <w:pPr>
              <w:widowControl w:val="0"/>
              <w:spacing w:before="60" w:line="240" w:lineRule="auto"/>
              <w:jc w:val="center"/>
              <w:rPr>
                <w:rFonts w:eastAsia="Calibri" w:cs="Arial"/>
                <w:color w:val="auto"/>
                <w:sz w:val="18"/>
                <w:szCs w:val="18"/>
              </w:rPr>
            </w:pPr>
            <w:r w:rsidRPr="00A9330B">
              <w:rPr>
                <w:rFonts w:eastAsia="Calibri" w:cs="Arial"/>
                <w:color w:val="auto"/>
                <w:sz w:val="18"/>
                <w:szCs w:val="18"/>
              </w:rPr>
              <w:t>Entreprise chargée des travaux</w:t>
            </w:r>
          </w:p>
        </w:tc>
        <w:tc>
          <w:tcPr>
            <w:tcW w:w="897" w:type="pct"/>
            <w:tcBorders>
              <w:top w:val="single" w:sz="6" w:space="0" w:color="auto"/>
              <w:left w:val="single" w:sz="6" w:space="0" w:color="auto"/>
              <w:bottom w:val="single" w:sz="6" w:space="0" w:color="auto"/>
              <w:right w:val="single" w:sz="8" w:space="0" w:color="auto"/>
            </w:tcBorders>
          </w:tcPr>
          <w:p w14:paraId="6AED22B6" w14:textId="77777777" w:rsidR="00CB4E93" w:rsidRPr="00A9330B" w:rsidRDefault="00CB4E93" w:rsidP="00CB4E93">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t>Mairie de Natitingou (Services Techniques)</w:t>
            </w:r>
          </w:p>
          <w:p w14:paraId="26599F33" w14:textId="77777777" w:rsidR="00CB4E93" w:rsidRPr="00A9330B" w:rsidRDefault="00CB4E93" w:rsidP="00CB4E93">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t>DDCVDD-AD</w:t>
            </w:r>
          </w:p>
        </w:tc>
        <w:tc>
          <w:tcPr>
            <w:tcW w:w="897" w:type="pct"/>
            <w:tcBorders>
              <w:top w:val="single" w:sz="6" w:space="0" w:color="auto"/>
              <w:left w:val="single" w:sz="6" w:space="0" w:color="auto"/>
              <w:bottom w:val="single" w:sz="6" w:space="0" w:color="auto"/>
              <w:right w:val="single" w:sz="8" w:space="0" w:color="auto"/>
            </w:tcBorders>
          </w:tcPr>
          <w:p w14:paraId="573D1D66" w14:textId="77777777" w:rsidR="00CB4E93" w:rsidRPr="00A9330B" w:rsidRDefault="00CB4E93" w:rsidP="00CB4E93">
            <w:pPr>
              <w:widowControl w:val="0"/>
              <w:autoSpaceDE w:val="0"/>
              <w:autoSpaceDN w:val="0"/>
              <w:adjustRightInd w:val="0"/>
              <w:spacing w:before="60" w:line="240" w:lineRule="auto"/>
              <w:jc w:val="right"/>
              <w:rPr>
                <w:rFonts w:eastAsia="Calibri" w:cs="Arial"/>
                <w:color w:val="auto"/>
                <w:sz w:val="18"/>
                <w:szCs w:val="18"/>
              </w:rPr>
            </w:pPr>
            <w:r>
              <w:rPr>
                <w:rFonts w:eastAsia="Calibri" w:cs="Arial"/>
                <w:color w:val="auto"/>
                <w:sz w:val="18"/>
                <w:szCs w:val="18"/>
              </w:rPr>
              <w:t xml:space="preserve">300 000 000 </w:t>
            </w:r>
          </w:p>
        </w:tc>
      </w:tr>
      <w:tr w:rsidR="00CB4E93" w:rsidRPr="00A9330B" w14:paraId="576E6CF4" w14:textId="77777777" w:rsidTr="00CB4E93">
        <w:trPr>
          <w:trHeight w:val="839"/>
        </w:trPr>
        <w:tc>
          <w:tcPr>
            <w:tcW w:w="996" w:type="pct"/>
            <w:tcBorders>
              <w:top w:val="single" w:sz="6" w:space="0" w:color="auto"/>
              <w:left w:val="single" w:sz="8" w:space="0" w:color="auto"/>
              <w:bottom w:val="single" w:sz="6" w:space="0" w:color="auto"/>
              <w:right w:val="single" w:sz="6" w:space="0" w:color="auto"/>
            </w:tcBorders>
          </w:tcPr>
          <w:p w14:paraId="654ABA29" w14:textId="77777777" w:rsidR="00CB4E93" w:rsidRPr="00A9330B" w:rsidRDefault="00CB4E93" w:rsidP="00CB4E93">
            <w:pPr>
              <w:widowControl w:val="0"/>
              <w:spacing w:before="60" w:line="240" w:lineRule="auto"/>
              <w:rPr>
                <w:rFonts w:eastAsia="Calibri" w:cs="Arial"/>
                <w:color w:val="auto"/>
                <w:sz w:val="18"/>
                <w:szCs w:val="18"/>
              </w:rPr>
            </w:pPr>
            <w:r w:rsidRPr="00A9330B">
              <w:rPr>
                <w:rFonts w:eastAsia="Calibri" w:cs="Arial"/>
                <w:sz w:val="18"/>
                <w:szCs w:val="18"/>
              </w:rPr>
              <w:t xml:space="preserve">Réaliser un suivi périodique du PGES et audit externe du PGES </w:t>
            </w:r>
          </w:p>
        </w:tc>
        <w:tc>
          <w:tcPr>
            <w:tcW w:w="916" w:type="pct"/>
            <w:tcBorders>
              <w:top w:val="single" w:sz="6" w:space="0" w:color="auto"/>
              <w:left w:val="single" w:sz="6" w:space="0" w:color="auto"/>
              <w:bottom w:val="single" w:sz="6" w:space="0" w:color="auto"/>
              <w:right w:val="single" w:sz="6" w:space="0" w:color="auto"/>
            </w:tcBorders>
          </w:tcPr>
          <w:p w14:paraId="7ED4911B" w14:textId="77777777" w:rsidR="00CB4E93" w:rsidRPr="00A9330B" w:rsidRDefault="00CB4E93" w:rsidP="00CB4E93">
            <w:pPr>
              <w:widowControl w:val="0"/>
              <w:spacing w:before="40" w:line="240" w:lineRule="auto"/>
              <w:rPr>
                <w:rFonts w:eastAsia="Calibri" w:cs="Arial"/>
                <w:sz w:val="18"/>
                <w:szCs w:val="18"/>
              </w:rPr>
            </w:pPr>
            <w:r w:rsidRPr="00A9330B">
              <w:rPr>
                <w:rFonts w:eastAsia="Calibri" w:cs="Arial"/>
                <w:sz w:val="18"/>
                <w:szCs w:val="18"/>
              </w:rPr>
              <w:t xml:space="preserve">Existence de rapport de suivi </w:t>
            </w:r>
          </w:p>
          <w:p w14:paraId="3BCFAD53" w14:textId="77777777" w:rsidR="00CB4E93" w:rsidRPr="00A9330B" w:rsidRDefault="00CB4E93" w:rsidP="00CB4E93">
            <w:pPr>
              <w:widowControl w:val="0"/>
              <w:spacing w:before="60" w:line="240" w:lineRule="auto"/>
              <w:rPr>
                <w:rFonts w:eastAsia="Calibri" w:cs="Arial"/>
                <w:color w:val="auto"/>
                <w:sz w:val="18"/>
                <w:szCs w:val="18"/>
              </w:rPr>
            </w:pPr>
            <w:r w:rsidRPr="00A9330B">
              <w:rPr>
                <w:rFonts w:eastAsia="Calibri" w:cs="Arial"/>
                <w:sz w:val="18"/>
                <w:szCs w:val="18"/>
              </w:rPr>
              <w:t xml:space="preserve">Existence de rapport d’audit </w:t>
            </w:r>
          </w:p>
        </w:tc>
        <w:tc>
          <w:tcPr>
            <w:tcW w:w="637" w:type="pct"/>
            <w:tcBorders>
              <w:top w:val="single" w:sz="6" w:space="0" w:color="auto"/>
              <w:left w:val="single" w:sz="6" w:space="0" w:color="auto"/>
              <w:bottom w:val="single" w:sz="6" w:space="0" w:color="auto"/>
              <w:right w:val="single" w:sz="6" w:space="0" w:color="auto"/>
            </w:tcBorders>
          </w:tcPr>
          <w:p w14:paraId="29390E03" w14:textId="77777777" w:rsidR="00CB4E93" w:rsidRPr="00A9330B" w:rsidRDefault="00CB4E93" w:rsidP="00CB4E93">
            <w:pPr>
              <w:widowControl w:val="0"/>
              <w:spacing w:before="60" w:line="240" w:lineRule="auto"/>
              <w:jc w:val="center"/>
              <w:rPr>
                <w:rFonts w:eastAsia="Calibri" w:cs="Arial"/>
                <w:color w:val="auto"/>
                <w:sz w:val="18"/>
                <w:szCs w:val="18"/>
              </w:rPr>
            </w:pPr>
            <w:r w:rsidRPr="00A9330B">
              <w:rPr>
                <w:rFonts w:eastAsia="Calibri" w:cs="Arial"/>
                <w:sz w:val="18"/>
                <w:szCs w:val="18"/>
              </w:rPr>
              <w:t>Pendant la phase d’exploitation</w:t>
            </w:r>
          </w:p>
        </w:tc>
        <w:tc>
          <w:tcPr>
            <w:tcW w:w="657" w:type="pct"/>
            <w:tcBorders>
              <w:top w:val="single" w:sz="6" w:space="0" w:color="auto"/>
              <w:left w:val="single" w:sz="6" w:space="0" w:color="auto"/>
              <w:bottom w:val="single" w:sz="6" w:space="0" w:color="auto"/>
              <w:right w:val="single" w:sz="6" w:space="0" w:color="auto"/>
            </w:tcBorders>
          </w:tcPr>
          <w:p w14:paraId="0CDB6029" w14:textId="77777777" w:rsidR="00CB4E93" w:rsidRPr="00A9330B" w:rsidRDefault="00CB4E93" w:rsidP="00CB4E93">
            <w:pPr>
              <w:widowControl w:val="0"/>
              <w:spacing w:before="40" w:line="240" w:lineRule="auto"/>
              <w:jc w:val="center"/>
              <w:rPr>
                <w:rFonts w:eastAsia="Calibri" w:cs="Arial"/>
                <w:sz w:val="18"/>
                <w:szCs w:val="18"/>
              </w:rPr>
            </w:pPr>
            <w:r w:rsidRPr="00A9330B">
              <w:rPr>
                <w:rFonts w:eastAsia="Calibri" w:cs="Arial"/>
                <w:sz w:val="18"/>
                <w:szCs w:val="18"/>
              </w:rPr>
              <w:t>DDCVDD</w:t>
            </w:r>
          </w:p>
          <w:p w14:paraId="5704BAEB" w14:textId="77777777" w:rsidR="00CB4E93" w:rsidRPr="00A9330B" w:rsidRDefault="00CB4E93" w:rsidP="00CB4E93">
            <w:pPr>
              <w:widowControl w:val="0"/>
              <w:spacing w:before="60" w:line="240" w:lineRule="auto"/>
              <w:jc w:val="center"/>
              <w:rPr>
                <w:rFonts w:eastAsia="Calibri" w:cs="Arial"/>
                <w:color w:val="auto"/>
                <w:sz w:val="18"/>
                <w:szCs w:val="18"/>
              </w:rPr>
            </w:pPr>
            <w:r w:rsidRPr="00A9330B">
              <w:rPr>
                <w:rFonts w:eastAsia="Calibri" w:cs="Arial"/>
                <w:sz w:val="18"/>
                <w:szCs w:val="18"/>
              </w:rPr>
              <w:t xml:space="preserve">Consultant </w:t>
            </w:r>
          </w:p>
        </w:tc>
        <w:tc>
          <w:tcPr>
            <w:tcW w:w="897" w:type="pct"/>
            <w:tcBorders>
              <w:top w:val="single" w:sz="6" w:space="0" w:color="auto"/>
              <w:left w:val="single" w:sz="6" w:space="0" w:color="auto"/>
              <w:bottom w:val="single" w:sz="6" w:space="0" w:color="auto"/>
              <w:right w:val="single" w:sz="8" w:space="0" w:color="auto"/>
            </w:tcBorders>
          </w:tcPr>
          <w:p w14:paraId="6B83A1C9" w14:textId="77777777" w:rsidR="00CB4E93" w:rsidRPr="00A9330B" w:rsidRDefault="00CB4E93" w:rsidP="00CB4E93">
            <w:pPr>
              <w:widowControl w:val="0"/>
              <w:autoSpaceDE w:val="0"/>
              <w:autoSpaceDN w:val="0"/>
              <w:adjustRightInd w:val="0"/>
              <w:spacing w:before="40" w:line="240" w:lineRule="auto"/>
              <w:rPr>
                <w:rFonts w:eastAsia="Calibri" w:cs="Arial"/>
                <w:sz w:val="18"/>
                <w:szCs w:val="18"/>
              </w:rPr>
            </w:pPr>
            <w:r w:rsidRPr="00A9330B">
              <w:rPr>
                <w:rFonts w:eastAsia="Calibri" w:cs="Arial"/>
                <w:sz w:val="18"/>
                <w:szCs w:val="18"/>
              </w:rPr>
              <w:t>ABE</w:t>
            </w:r>
          </w:p>
          <w:p w14:paraId="33E282BF" w14:textId="77777777" w:rsidR="00CB4E93" w:rsidRPr="00A9330B" w:rsidRDefault="00CB4E93" w:rsidP="00CB4E93">
            <w:pPr>
              <w:widowControl w:val="0"/>
              <w:autoSpaceDE w:val="0"/>
              <w:autoSpaceDN w:val="0"/>
              <w:adjustRightInd w:val="0"/>
              <w:spacing w:before="60" w:line="240" w:lineRule="auto"/>
              <w:rPr>
                <w:rFonts w:eastAsia="Calibri" w:cs="Arial"/>
                <w:color w:val="auto"/>
                <w:sz w:val="18"/>
                <w:szCs w:val="18"/>
              </w:rPr>
            </w:pPr>
            <w:r w:rsidRPr="00A9330B">
              <w:rPr>
                <w:rFonts w:eastAsia="Calibri" w:cs="Arial"/>
                <w:sz w:val="18"/>
                <w:szCs w:val="18"/>
              </w:rPr>
              <w:t xml:space="preserve">ACVDT </w:t>
            </w:r>
          </w:p>
        </w:tc>
        <w:tc>
          <w:tcPr>
            <w:tcW w:w="897" w:type="pct"/>
            <w:tcBorders>
              <w:top w:val="single" w:sz="6" w:space="0" w:color="auto"/>
              <w:left w:val="single" w:sz="6" w:space="0" w:color="auto"/>
              <w:bottom w:val="single" w:sz="6" w:space="0" w:color="auto"/>
              <w:right w:val="single" w:sz="8" w:space="0" w:color="auto"/>
            </w:tcBorders>
          </w:tcPr>
          <w:p w14:paraId="13BEB46D" w14:textId="77777777" w:rsidR="00CB4E93" w:rsidRPr="00A9330B" w:rsidRDefault="00CB4E93" w:rsidP="00CB4E93">
            <w:pPr>
              <w:widowControl w:val="0"/>
              <w:autoSpaceDE w:val="0"/>
              <w:autoSpaceDN w:val="0"/>
              <w:adjustRightInd w:val="0"/>
              <w:spacing w:before="40" w:line="240" w:lineRule="auto"/>
              <w:rPr>
                <w:rFonts w:eastAsia="Calibri" w:cs="Arial"/>
                <w:sz w:val="18"/>
                <w:szCs w:val="18"/>
              </w:rPr>
            </w:pPr>
            <w:r w:rsidRPr="00A9330B">
              <w:rPr>
                <w:rFonts w:eastAsia="Calibri" w:cs="Arial"/>
                <w:sz w:val="18"/>
                <w:szCs w:val="18"/>
              </w:rPr>
              <w:t>02 suivi   10 000 0000</w:t>
            </w:r>
          </w:p>
          <w:p w14:paraId="161C87AD" w14:textId="77777777" w:rsidR="00CB4E93" w:rsidRPr="00A9330B" w:rsidRDefault="00CB4E93" w:rsidP="00CB4E93">
            <w:pPr>
              <w:widowControl w:val="0"/>
              <w:autoSpaceDE w:val="0"/>
              <w:autoSpaceDN w:val="0"/>
              <w:adjustRightInd w:val="0"/>
              <w:spacing w:before="40" w:line="240" w:lineRule="auto"/>
              <w:rPr>
                <w:rFonts w:eastAsia="Calibri" w:cs="Arial"/>
                <w:sz w:val="18"/>
                <w:szCs w:val="18"/>
              </w:rPr>
            </w:pPr>
            <w:r w:rsidRPr="00A9330B">
              <w:rPr>
                <w:rFonts w:eastAsia="Calibri" w:cs="Arial"/>
                <w:sz w:val="18"/>
                <w:szCs w:val="18"/>
              </w:rPr>
              <w:t>01 audit   5 000 000</w:t>
            </w:r>
          </w:p>
          <w:p w14:paraId="5F8DB5A9" w14:textId="77777777" w:rsidR="00CB4E93" w:rsidRPr="00A9330B" w:rsidRDefault="00CB4E93" w:rsidP="00CB4E93">
            <w:pPr>
              <w:widowControl w:val="0"/>
              <w:autoSpaceDE w:val="0"/>
              <w:autoSpaceDN w:val="0"/>
              <w:adjustRightInd w:val="0"/>
              <w:spacing w:before="40" w:line="240" w:lineRule="auto"/>
              <w:rPr>
                <w:rFonts w:eastAsia="Calibri" w:cs="Arial"/>
                <w:sz w:val="18"/>
                <w:szCs w:val="18"/>
              </w:rPr>
            </w:pPr>
            <w:r w:rsidRPr="00A9330B">
              <w:rPr>
                <w:rFonts w:eastAsia="Calibri" w:cs="Arial"/>
                <w:sz w:val="18"/>
                <w:szCs w:val="18"/>
              </w:rPr>
              <w:t xml:space="preserve"> 01 audit de fin   10 000 000</w:t>
            </w:r>
          </w:p>
          <w:p w14:paraId="5A7F0EFA" w14:textId="77777777" w:rsidR="00CB4E93" w:rsidRPr="00A9330B" w:rsidRDefault="00CB4E93" w:rsidP="00CB4E93">
            <w:pPr>
              <w:widowControl w:val="0"/>
              <w:autoSpaceDE w:val="0"/>
              <w:autoSpaceDN w:val="0"/>
              <w:adjustRightInd w:val="0"/>
              <w:spacing w:before="60" w:line="240" w:lineRule="auto"/>
              <w:rPr>
                <w:rFonts w:eastAsia="Calibri" w:cs="Arial"/>
                <w:color w:val="auto"/>
                <w:sz w:val="18"/>
                <w:szCs w:val="18"/>
              </w:rPr>
            </w:pPr>
            <w:r w:rsidRPr="00A9330B">
              <w:rPr>
                <w:rFonts w:eastAsia="Calibri" w:cs="Arial"/>
                <w:sz w:val="18"/>
                <w:szCs w:val="18"/>
              </w:rPr>
              <w:t>25000 0000 FCFA</w:t>
            </w:r>
          </w:p>
        </w:tc>
      </w:tr>
      <w:tr w:rsidR="00CB4E93" w:rsidRPr="00A9330B" w14:paraId="375453BA" w14:textId="77777777" w:rsidTr="00CB4E93">
        <w:trPr>
          <w:trHeight w:val="839"/>
        </w:trPr>
        <w:tc>
          <w:tcPr>
            <w:tcW w:w="996" w:type="pct"/>
            <w:tcBorders>
              <w:top w:val="single" w:sz="6" w:space="0" w:color="auto"/>
              <w:left w:val="single" w:sz="8" w:space="0" w:color="auto"/>
              <w:bottom w:val="single" w:sz="6" w:space="0" w:color="auto"/>
              <w:right w:val="single" w:sz="6" w:space="0" w:color="auto"/>
            </w:tcBorders>
          </w:tcPr>
          <w:p w14:paraId="4256A834" w14:textId="77777777" w:rsidR="00CB4E93" w:rsidRPr="00A9330B" w:rsidRDefault="00CB4E93" w:rsidP="00CB4E93">
            <w:pPr>
              <w:widowControl w:val="0"/>
              <w:spacing w:before="60" w:line="240" w:lineRule="auto"/>
              <w:rPr>
                <w:rFonts w:eastAsia="Calibri" w:cs="Arial"/>
                <w:color w:val="auto"/>
                <w:sz w:val="18"/>
                <w:szCs w:val="18"/>
              </w:rPr>
            </w:pPr>
            <w:r w:rsidRPr="00A9330B">
              <w:rPr>
                <w:rFonts w:eastAsia="Calibri" w:cs="Arial"/>
                <w:sz w:val="18"/>
                <w:szCs w:val="18"/>
              </w:rPr>
              <w:t xml:space="preserve">TOTAL cout du PGES </w:t>
            </w:r>
          </w:p>
        </w:tc>
        <w:tc>
          <w:tcPr>
            <w:tcW w:w="916" w:type="pct"/>
            <w:tcBorders>
              <w:top w:val="single" w:sz="6" w:space="0" w:color="auto"/>
              <w:left w:val="single" w:sz="6" w:space="0" w:color="auto"/>
              <w:bottom w:val="single" w:sz="6" w:space="0" w:color="auto"/>
              <w:right w:val="single" w:sz="6" w:space="0" w:color="auto"/>
            </w:tcBorders>
          </w:tcPr>
          <w:p w14:paraId="117FAB62" w14:textId="77777777" w:rsidR="00CB4E93" w:rsidRPr="00A9330B" w:rsidRDefault="00CB4E93" w:rsidP="00CB4E93">
            <w:pPr>
              <w:widowControl w:val="0"/>
              <w:spacing w:before="60" w:line="240" w:lineRule="auto"/>
              <w:rPr>
                <w:rFonts w:eastAsia="Calibri" w:cs="Arial"/>
                <w:color w:val="auto"/>
                <w:sz w:val="18"/>
                <w:szCs w:val="18"/>
              </w:rPr>
            </w:pPr>
          </w:p>
        </w:tc>
        <w:tc>
          <w:tcPr>
            <w:tcW w:w="637" w:type="pct"/>
            <w:tcBorders>
              <w:top w:val="single" w:sz="6" w:space="0" w:color="auto"/>
              <w:left w:val="single" w:sz="6" w:space="0" w:color="auto"/>
              <w:bottom w:val="single" w:sz="6" w:space="0" w:color="auto"/>
              <w:right w:val="single" w:sz="6" w:space="0" w:color="auto"/>
            </w:tcBorders>
          </w:tcPr>
          <w:p w14:paraId="69DE95EE" w14:textId="77777777" w:rsidR="00CB4E93" w:rsidRPr="00A9330B" w:rsidRDefault="00CB4E93" w:rsidP="00CB4E93">
            <w:pPr>
              <w:widowControl w:val="0"/>
              <w:spacing w:before="60" w:line="240" w:lineRule="auto"/>
              <w:jc w:val="center"/>
              <w:rPr>
                <w:rFonts w:eastAsia="Calibri" w:cs="Arial"/>
                <w:color w:val="auto"/>
                <w:sz w:val="18"/>
                <w:szCs w:val="18"/>
              </w:rPr>
            </w:pPr>
          </w:p>
        </w:tc>
        <w:tc>
          <w:tcPr>
            <w:tcW w:w="657" w:type="pct"/>
            <w:tcBorders>
              <w:top w:val="single" w:sz="6" w:space="0" w:color="auto"/>
              <w:left w:val="single" w:sz="6" w:space="0" w:color="auto"/>
              <w:bottom w:val="single" w:sz="6" w:space="0" w:color="auto"/>
              <w:right w:val="single" w:sz="6" w:space="0" w:color="auto"/>
            </w:tcBorders>
          </w:tcPr>
          <w:p w14:paraId="1B2AC8AB" w14:textId="77777777" w:rsidR="00CB4E93" w:rsidRPr="00A9330B" w:rsidRDefault="00CB4E93" w:rsidP="00CB4E93">
            <w:pPr>
              <w:widowControl w:val="0"/>
              <w:spacing w:before="60" w:line="240" w:lineRule="auto"/>
              <w:jc w:val="center"/>
              <w:rPr>
                <w:rFonts w:eastAsia="Calibri" w:cs="Arial"/>
                <w:color w:val="auto"/>
                <w:sz w:val="18"/>
                <w:szCs w:val="18"/>
              </w:rPr>
            </w:pPr>
          </w:p>
        </w:tc>
        <w:tc>
          <w:tcPr>
            <w:tcW w:w="897" w:type="pct"/>
            <w:tcBorders>
              <w:top w:val="single" w:sz="6" w:space="0" w:color="auto"/>
              <w:left w:val="single" w:sz="6" w:space="0" w:color="auto"/>
              <w:bottom w:val="single" w:sz="6" w:space="0" w:color="auto"/>
              <w:right w:val="single" w:sz="8" w:space="0" w:color="auto"/>
            </w:tcBorders>
          </w:tcPr>
          <w:p w14:paraId="53610F9A" w14:textId="77777777" w:rsidR="00CB4E93" w:rsidRPr="00A9330B" w:rsidRDefault="00CB4E93" w:rsidP="00CB4E93">
            <w:pPr>
              <w:widowControl w:val="0"/>
              <w:autoSpaceDE w:val="0"/>
              <w:autoSpaceDN w:val="0"/>
              <w:adjustRightInd w:val="0"/>
              <w:spacing w:before="60" w:line="240" w:lineRule="auto"/>
              <w:rPr>
                <w:rFonts w:eastAsia="Calibri" w:cs="Arial"/>
                <w:color w:val="auto"/>
                <w:sz w:val="18"/>
                <w:szCs w:val="18"/>
              </w:rPr>
            </w:pPr>
          </w:p>
        </w:tc>
        <w:tc>
          <w:tcPr>
            <w:tcW w:w="897" w:type="pct"/>
            <w:tcBorders>
              <w:top w:val="single" w:sz="6" w:space="0" w:color="auto"/>
              <w:left w:val="single" w:sz="6" w:space="0" w:color="auto"/>
              <w:bottom w:val="single" w:sz="6" w:space="0" w:color="auto"/>
              <w:right w:val="single" w:sz="8" w:space="0" w:color="auto"/>
            </w:tcBorders>
          </w:tcPr>
          <w:p w14:paraId="4DA06BB9" w14:textId="77777777" w:rsidR="00CB4E93" w:rsidRPr="00A9330B" w:rsidRDefault="00CB4E93" w:rsidP="00CB4E93">
            <w:pPr>
              <w:widowControl w:val="0"/>
              <w:autoSpaceDE w:val="0"/>
              <w:autoSpaceDN w:val="0"/>
              <w:adjustRightInd w:val="0"/>
              <w:spacing w:before="40" w:line="240" w:lineRule="auto"/>
              <w:rPr>
                <w:rFonts w:eastAsia="Calibri" w:cs="Arial"/>
                <w:sz w:val="18"/>
                <w:szCs w:val="18"/>
              </w:rPr>
            </w:pPr>
          </w:p>
          <w:p w14:paraId="1E517DD0" w14:textId="77777777" w:rsidR="00CB4E93" w:rsidRPr="00A9330B" w:rsidRDefault="00CB4E93" w:rsidP="00CB4E93">
            <w:pPr>
              <w:widowControl w:val="0"/>
              <w:autoSpaceDE w:val="0"/>
              <w:autoSpaceDN w:val="0"/>
              <w:adjustRightInd w:val="0"/>
              <w:spacing w:before="60" w:line="240" w:lineRule="auto"/>
              <w:rPr>
                <w:rFonts w:eastAsia="Calibri" w:cs="Arial"/>
                <w:color w:val="auto"/>
                <w:sz w:val="18"/>
                <w:szCs w:val="18"/>
              </w:rPr>
            </w:pPr>
            <w:r>
              <w:rPr>
                <w:rFonts w:eastAsia="Calibri" w:cs="Arial"/>
                <w:b/>
                <w:sz w:val="24"/>
                <w:szCs w:val="24"/>
              </w:rPr>
              <w:t>576 320 000</w:t>
            </w:r>
            <w:r w:rsidRPr="00A9330B">
              <w:rPr>
                <w:rFonts w:eastAsia="Calibri" w:cs="Arial"/>
                <w:b/>
                <w:sz w:val="24"/>
                <w:szCs w:val="24"/>
              </w:rPr>
              <w:t xml:space="preserve"> F CFA </w:t>
            </w:r>
          </w:p>
        </w:tc>
      </w:tr>
    </w:tbl>
    <w:p w14:paraId="3F6B83CE" w14:textId="77777777" w:rsidR="00CB4E93" w:rsidRPr="00A9330B" w:rsidRDefault="00CB4E93" w:rsidP="00AD5193">
      <w:pPr>
        <w:spacing w:after="120"/>
        <w:rPr>
          <w:b/>
        </w:rPr>
      </w:pPr>
    </w:p>
    <w:p w14:paraId="7D7E266A" w14:textId="77777777" w:rsidR="00AD5193" w:rsidRPr="00A9330B" w:rsidRDefault="00AD5193" w:rsidP="00AD5193"/>
    <w:p w14:paraId="232ED472" w14:textId="77777777" w:rsidR="00AD5193" w:rsidRPr="00A9330B" w:rsidRDefault="00AD5193" w:rsidP="00AD5193">
      <w:pPr>
        <w:sectPr w:rsidR="00AD5193" w:rsidRPr="00A9330B" w:rsidSect="00AD5193">
          <w:pgSz w:w="16838" w:h="11906" w:orient="landscape" w:code="9"/>
          <w:pgMar w:top="1418" w:right="992" w:bottom="1134" w:left="1134" w:header="709" w:footer="374" w:gutter="0"/>
          <w:pgNumType w:fmt="lowerRoman"/>
          <w:cols w:space="708"/>
          <w:docGrid w:linePitch="360"/>
        </w:sectPr>
      </w:pPr>
    </w:p>
    <w:p w14:paraId="2F3341A3" w14:textId="48969532" w:rsidR="00AB04ED" w:rsidRPr="00A9330B" w:rsidRDefault="00AB04ED" w:rsidP="00BD2F72">
      <w:pPr>
        <w:pStyle w:val="Titre1"/>
        <w:numPr>
          <w:ilvl w:val="0"/>
          <w:numId w:val="102"/>
        </w:numPr>
      </w:pPr>
      <w:bookmarkStart w:id="91" w:name="_Toc52869546"/>
      <w:bookmarkStart w:id="92" w:name="_Toc52869827"/>
      <w:r w:rsidRPr="00A9330B">
        <w:lastRenderedPageBreak/>
        <w:t>INTRODUCTIO</w:t>
      </w:r>
      <w:bookmarkEnd w:id="25"/>
      <w:bookmarkEnd w:id="26"/>
      <w:r w:rsidRPr="00A9330B">
        <w:t>N</w:t>
      </w:r>
      <w:bookmarkEnd w:id="91"/>
      <w:bookmarkEnd w:id="92"/>
    </w:p>
    <w:p w14:paraId="243BFBED" w14:textId="77777777" w:rsidR="009F634F" w:rsidRPr="00A9330B" w:rsidRDefault="009F634F" w:rsidP="006E37A6">
      <w:pPr>
        <w:pStyle w:val="Titre20"/>
      </w:pPr>
      <w:bookmarkStart w:id="93" w:name="_Toc52869547"/>
      <w:bookmarkStart w:id="94" w:name="_Toc52869828"/>
      <w:r w:rsidRPr="00A9330B">
        <w:t>1.1. Contexte général</w:t>
      </w:r>
      <w:bookmarkEnd w:id="93"/>
      <w:bookmarkEnd w:id="94"/>
      <w:r w:rsidRPr="00A9330B">
        <w:t xml:space="preserve"> </w:t>
      </w:r>
    </w:p>
    <w:p w14:paraId="4F2754C8" w14:textId="77777777" w:rsidR="004D07E3" w:rsidRPr="00A9330B" w:rsidRDefault="004D07E3" w:rsidP="000F7BA7">
      <w:pPr>
        <w:jc w:val="both"/>
      </w:pPr>
      <w:r w:rsidRPr="00A9330B">
        <w:t>Les villes des pays en développement sont en pleines mutations caractérisées par une augmentation de la taille de la population et l’urbanisation. Ces deux facteurs les soumettent à deux défis majeurs que sont l’aménagement du territoire et l’assainissement.</w:t>
      </w:r>
    </w:p>
    <w:p w14:paraId="32EC57D8" w14:textId="2B58705E" w:rsidR="004D07E3" w:rsidRPr="00A9330B" w:rsidRDefault="004D07E3" w:rsidP="00BD2F72">
      <w:pPr>
        <w:pStyle w:val="Paragraphedeliste"/>
        <w:numPr>
          <w:ilvl w:val="0"/>
          <w:numId w:val="100"/>
        </w:numPr>
        <w:jc w:val="both"/>
        <w:rPr>
          <w:rFonts w:eastAsiaTheme="minorHAnsi"/>
          <w:b/>
          <w:lang w:val="fr-FR"/>
        </w:rPr>
      </w:pPr>
      <w:r w:rsidRPr="00A9330B">
        <w:rPr>
          <w:rFonts w:eastAsiaTheme="minorHAnsi"/>
          <w:b/>
          <w:lang w:val="fr-FR"/>
        </w:rPr>
        <w:t xml:space="preserve">Origine du programme </w:t>
      </w:r>
    </w:p>
    <w:p w14:paraId="6B12F7B7" w14:textId="77777777" w:rsidR="004D07E3" w:rsidRPr="00A9330B" w:rsidRDefault="004D07E3" w:rsidP="000F7BA7">
      <w:pPr>
        <w:jc w:val="both"/>
      </w:pPr>
      <w:r w:rsidRPr="00A9330B">
        <w:t>La situation des principales villes du Bénin reste marquée par l’inadaptation du cadre de vie et du niveau de services aux besoins de bien-être des populations, par le manque d’attractivité et le dysfonctionnement des principales agglomérations. Sous l’effet conjugué des impacts du changement climatique, de leur population en croissance rapide et de l’insuffisance des infrastructures urbaines, les principales villes du Bénin hors Cotonou (Porto-Novo, Sèmè-Podji, Abomey-Calavi, Ouidah, Abomey, Bohicon, Parakou, Natitingou) peinent à assurer leur rôle de pôles de développement et à impulser véritablement la croissance économique du pays. Autrement dit, ces villes n’offrent pas les conditions fonctionnelles requises pouvant impulser le développement socio-économique.  Elles subissent des inondations régulières dues en grande partie à l’inadéquation des systèmes de drainage et d’assainissement, et des difficultés de mise en œuvre de la politique de l’aménagement du territoire.</w:t>
      </w:r>
    </w:p>
    <w:p w14:paraId="11F4ABA0" w14:textId="16E316EB" w:rsidR="004D07E3" w:rsidRPr="00A9330B" w:rsidRDefault="004D07E3" w:rsidP="00BD2F72">
      <w:pPr>
        <w:pStyle w:val="Paragraphedeliste"/>
        <w:numPr>
          <w:ilvl w:val="0"/>
          <w:numId w:val="136"/>
        </w:numPr>
        <w:rPr>
          <w:rFonts w:eastAsiaTheme="minorHAnsi"/>
          <w:b/>
          <w:lang w:val="fr-FR"/>
        </w:rPr>
      </w:pPr>
      <w:r w:rsidRPr="00A9330B">
        <w:rPr>
          <w:rFonts w:eastAsiaTheme="minorHAnsi"/>
          <w:b/>
          <w:lang w:val="fr-FR"/>
        </w:rPr>
        <w:t xml:space="preserve">Les actions du PAG </w:t>
      </w:r>
    </w:p>
    <w:p w14:paraId="7268C7BA" w14:textId="77777777" w:rsidR="004D07E3" w:rsidRPr="00A9330B" w:rsidRDefault="004D07E3" w:rsidP="000F7BA7">
      <w:pPr>
        <w:jc w:val="both"/>
      </w:pPr>
      <w:r w:rsidRPr="00A9330B">
        <w:t xml:space="preserve">Malgré les efforts faits par le gouvernement dans le cadre de la lutte contre les inondations cycliques, le profil environnemental de plusieurs quartiers des grandes villes reste très précaire. Il urge de mettre en œuvre une vraie stratégie d’assainissement de nos grands centres urbains en termes de prévention, de réduction du risque et de capacité de réponse. Mais les investissements nécessaires pour une solution durable sont très importants. </w:t>
      </w:r>
    </w:p>
    <w:p w14:paraId="38C32A06" w14:textId="77777777" w:rsidR="004D07E3" w:rsidRPr="00A9330B" w:rsidRDefault="004D07E3" w:rsidP="000F7BA7">
      <w:pPr>
        <w:jc w:val="both"/>
      </w:pPr>
      <w:r w:rsidRPr="00A9330B">
        <w:t>Aussi, le Gouvernement de la République du Bénin a-t-il mis au point pour le quinquennat 2016-2021, un Programme d’Actions du Gouvernement (PAG) traduisant la vision du Chef de l’Etat dans tous les secteurs de développement et les actions à mener pour assurer un développement harmonieux du Bénin.</w:t>
      </w:r>
    </w:p>
    <w:p w14:paraId="323000F9" w14:textId="77777777" w:rsidR="004D07E3" w:rsidRPr="00A9330B" w:rsidRDefault="004D07E3" w:rsidP="000F7BA7">
      <w:pPr>
        <w:jc w:val="both"/>
      </w:pPr>
      <w:r w:rsidRPr="00A9330B">
        <w:t xml:space="preserve">Au titre des actions phares, il a initié le projet d’Asphaltage qui concerne la construction, l’aménagement et l’entretien pluriannuel de 660kms de voiries urbaines dans les villes de Cotonou, Parakou, Porto-Novo, Abomey-Calavi, Sèmè-Podji, Abomey, Bohicon, Lokossa et Natitingou. En dehors du projet "asphaltage des rues" qui se poursuit, plusieurs initiatives étatiques sont en cours pour assainir les centres urbains. </w:t>
      </w:r>
    </w:p>
    <w:p w14:paraId="2EF238F1" w14:textId="1E1E4DC7" w:rsidR="00AB04ED" w:rsidRPr="00A9330B" w:rsidRDefault="004D07E3" w:rsidP="000F7BA7">
      <w:pPr>
        <w:jc w:val="both"/>
        <w:rPr>
          <w:highlight w:val="yellow"/>
          <w:lang w:eastAsia="fr-FR"/>
        </w:rPr>
      </w:pPr>
      <w:r w:rsidRPr="00A9330B">
        <w:t xml:space="preserve">Le présent projet dénommé "Projet d’Assainissement Pluvial des Villes Secondaires (PAPVS)" s’intègre dans ce cadre et concerne la réalisation des ouvrages nécessaires pour assurer la protection durable des populations contre les inondations cycliques observées et éviter la récurrence de ces dernières d’une part, aménager plusieurs rues adjacentes aux ouvrages à construire, contribuant ainsi à une mobilité optimale des personnes et des biens, d’autre part. Ce projet prend en compte huit villes du Bénin : Porto-Novo, Sèmè-Podji, Abomey-Calavi, Ouidah, Abomey, Bohicon, Parakou et Natitingou) et vient satisfaire les ambitions du Gouvernement qui veut améliorer le bien-être de tous les béninois et préserver l’environnement au plan national, avec comme vision un développement inclusif et durable articulé autour de villes résilientes et sûres. Le but est de parvenir à un aménagement équilibré du territoire, à l’amélioration progressive mais effective du cadre de vie des populations. </w:t>
      </w:r>
    </w:p>
    <w:p w14:paraId="1D7F3F6F" w14:textId="273BD55D" w:rsidR="00AB04ED" w:rsidRPr="00A9330B" w:rsidRDefault="00AB04ED" w:rsidP="00AB04ED">
      <w:pPr>
        <w:jc w:val="both"/>
        <w:rPr>
          <w:lang w:eastAsia="fr-FR"/>
        </w:rPr>
      </w:pPr>
      <w:r w:rsidRPr="00A9330B">
        <w:rPr>
          <w:lang w:eastAsia="fr-FR"/>
        </w:rPr>
        <w:lastRenderedPageBreak/>
        <w:t>Le pro</w:t>
      </w:r>
      <w:r w:rsidR="001B4EEE" w:rsidRPr="00A9330B">
        <w:rPr>
          <w:lang w:eastAsia="fr-FR"/>
        </w:rPr>
        <w:t xml:space="preserve">jet </w:t>
      </w:r>
      <w:r w:rsidRPr="00A9330B">
        <w:rPr>
          <w:lang w:eastAsia="fr-FR"/>
        </w:rPr>
        <w:t>se déroule sous la supervision de l’Agence du Cadre de Vie pour le Développement du Territoire (ACVDT) qui est l’agence dédiée à la conception, au montage et</w:t>
      </w:r>
      <w:r w:rsidR="00743DD1" w:rsidRPr="00A9330B">
        <w:rPr>
          <w:lang w:eastAsia="fr-FR"/>
        </w:rPr>
        <w:t xml:space="preserve"> à l</w:t>
      </w:r>
      <w:r w:rsidRPr="00A9330B">
        <w:rPr>
          <w:lang w:eastAsia="fr-FR"/>
        </w:rPr>
        <w:t xml:space="preserve">a </w:t>
      </w:r>
      <w:r w:rsidR="00743DD1" w:rsidRPr="00A9330B">
        <w:rPr>
          <w:lang w:eastAsia="fr-FR"/>
        </w:rPr>
        <w:t>réalisation des projets phares, pour l’amélioration durable du cadre de</w:t>
      </w:r>
      <w:r w:rsidRPr="00A9330B">
        <w:rPr>
          <w:lang w:eastAsia="fr-FR"/>
        </w:rPr>
        <w:t xml:space="preserve"> vie des béninois. </w:t>
      </w:r>
    </w:p>
    <w:p w14:paraId="35B13C8C" w14:textId="0B9A9926" w:rsidR="00AB04ED" w:rsidRPr="00A9330B" w:rsidRDefault="00AB04ED" w:rsidP="00AB04ED">
      <w:pPr>
        <w:jc w:val="both"/>
        <w:rPr>
          <w:rFonts w:eastAsiaTheme="minorEastAsia"/>
          <w:lang w:eastAsia="fr-FR"/>
        </w:rPr>
      </w:pPr>
      <w:r w:rsidRPr="00A9330B">
        <w:rPr>
          <w:lang w:eastAsia="fr-FR"/>
        </w:rPr>
        <w:t>Conformément aux dispositions de l’article 88 de la loi</w:t>
      </w:r>
      <w:r w:rsidR="004E032A" w:rsidRPr="00A9330B">
        <w:rPr>
          <w:lang w:eastAsia="fr-FR"/>
        </w:rPr>
        <w:t xml:space="preserve"> </w:t>
      </w:r>
      <w:r w:rsidRPr="00A9330B">
        <w:rPr>
          <w:lang w:eastAsia="fr-FR"/>
        </w:rPr>
        <w:t xml:space="preserve">n°1998-03 du 12 février 1999 loi-cadre sur l’environnement en </w:t>
      </w:r>
      <w:r w:rsidR="00B01F23" w:rsidRPr="00A9330B">
        <w:rPr>
          <w:lang w:eastAsia="fr-FR"/>
        </w:rPr>
        <w:t>R</w:t>
      </w:r>
      <w:r w:rsidRPr="00A9330B">
        <w:rPr>
          <w:lang w:eastAsia="fr-FR"/>
        </w:rPr>
        <w:t>épublique du Bénin,</w:t>
      </w:r>
      <w:r w:rsidR="009F634F" w:rsidRPr="00A9330B">
        <w:rPr>
          <w:lang w:eastAsia="fr-FR"/>
        </w:rPr>
        <w:t xml:space="preserve"> qui dispose que</w:t>
      </w:r>
      <w:r w:rsidRPr="00A9330B">
        <w:rPr>
          <w:lang w:eastAsia="fr-FR"/>
        </w:rPr>
        <w:t xml:space="preserve"> "Nul ne peut entreprendre des aménagements, des opérations sans suivre la procédure d’étude d’impact sur l’environnement, lorsque cette dernière est exigée par les lois et règlements"</w:t>
      </w:r>
      <w:r w:rsidR="004E032A" w:rsidRPr="00A9330B">
        <w:rPr>
          <w:lang w:eastAsia="fr-FR"/>
        </w:rPr>
        <w:t xml:space="preserve"> et aux </w:t>
      </w:r>
      <w:r w:rsidR="004E032A" w:rsidRPr="00A9330B">
        <w:rPr>
          <w:rFonts w:eastAsiaTheme="minorEastAsia"/>
          <w:lang w:eastAsia="fr-FR"/>
        </w:rPr>
        <w:t xml:space="preserve">Sauvegardes Opérationnelles SO1, SO2, SO3, SO4 et SO5 de la BAD en </w:t>
      </w:r>
      <w:r w:rsidR="004E032A" w:rsidRPr="00A9330B">
        <w:rPr>
          <w:lang w:eastAsia="fr-FR"/>
        </w:rPr>
        <w:t>matière d’évaluation environnementale et sociale, le projet a été soumis à une Etude d’Impact Environnementale et Sociales (EIES).</w:t>
      </w:r>
    </w:p>
    <w:p w14:paraId="68E229D1" w14:textId="77777777" w:rsidR="00AB04ED" w:rsidRPr="00A9330B" w:rsidRDefault="00AB04ED" w:rsidP="0011523E">
      <w:pPr>
        <w:spacing w:line="288" w:lineRule="auto"/>
        <w:jc w:val="both"/>
        <w:rPr>
          <w:rFonts w:ascii="Arial Narrow" w:hAnsi="Arial Narrow" w:cs="Arial"/>
          <w:bCs/>
          <w:color w:val="FF0000"/>
          <w:sz w:val="26"/>
          <w:szCs w:val="26"/>
        </w:rPr>
      </w:pPr>
      <w:r w:rsidRPr="00A9330B">
        <w:rPr>
          <w:lang w:eastAsia="fr-FR"/>
        </w:rPr>
        <w:t xml:space="preserve">Le présent rapport d’Etude d’Impact Environnemental et Social (EIES) concerne la ville de </w:t>
      </w:r>
      <w:r w:rsidR="00701C80" w:rsidRPr="00A9330B">
        <w:rPr>
          <w:rFonts w:eastAsia="Arial" w:cs="Arial"/>
          <w:lang w:eastAsia="fr-FR"/>
        </w:rPr>
        <w:t>NATITINGOU</w:t>
      </w:r>
      <w:r w:rsidR="00E03664" w:rsidRPr="00A9330B">
        <w:rPr>
          <w:rFonts w:ascii="Arial Narrow" w:hAnsi="Arial Narrow" w:cs="Arial"/>
          <w:bCs/>
          <w:sz w:val="26"/>
          <w:szCs w:val="26"/>
        </w:rPr>
        <w:t xml:space="preserve">. </w:t>
      </w:r>
      <w:r w:rsidR="00E03664" w:rsidRPr="00A9330B">
        <w:rPr>
          <w:noProof/>
        </w:rPr>
        <w:t xml:space="preserve">Située au Nord-ouest du Bénin et au Centre du département de l'Atacora, la ville de Natitingou est limitée au Nord par l’arrondissement de Péporiyakou, à l’Est et au Sud-Est par l’arrondissement de Kotopounga, au Sud-Ouest par l’arrondissement de Kouandata et à l’Ouest par l’arrondissement de Kouaba. </w:t>
      </w:r>
      <w:r w:rsidR="00E03664" w:rsidRPr="00A9330B">
        <w:rPr>
          <w:lang w:eastAsia="fr-FR"/>
        </w:rPr>
        <w:t xml:space="preserve">Elle couvrait 1580 ha en 2002. Aujourd’hui, la superficie de la ville de Natitingou est d’environ 2200 ha (ALI IDRISSOU Y.K.A., 2014). </w:t>
      </w:r>
      <w:r w:rsidR="00E03664" w:rsidRPr="00A9330B">
        <w:rPr>
          <w:noProof/>
        </w:rPr>
        <w:t>Elle compte trois (03) arrondissem</w:t>
      </w:r>
      <w:r w:rsidR="00C20401" w:rsidRPr="00A9330B">
        <w:rPr>
          <w:noProof/>
        </w:rPr>
        <w:t>en</w:t>
      </w:r>
      <w:r w:rsidR="00E03664" w:rsidRPr="00A9330B">
        <w:rPr>
          <w:noProof/>
        </w:rPr>
        <w:t>t</w:t>
      </w:r>
      <w:r w:rsidR="00C20401" w:rsidRPr="00A9330B">
        <w:rPr>
          <w:noProof/>
        </w:rPr>
        <w:t>s</w:t>
      </w:r>
      <w:r w:rsidR="00E03664" w:rsidRPr="00A9330B">
        <w:rPr>
          <w:noProof/>
        </w:rPr>
        <w:t xml:space="preserve"> urbains, Natitingou 1, Natitingou 2 et Natitingou 3</w:t>
      </w:r>
      <w:r w:rsidR="00C20401" w:rsidRPr="00A9330B">
        <w:rPr>
          <w:noProof/>
        </w:rPr>
        <w:t>.</w:t>
      </w:r>
      <w:r w:rsidR="00E03664" w:rsidRPr="00A9330B">
        <w:rPr>
          <w:noProof/>
        </w:rPr>
        <w:t xml:space="preserve"> </w:t>
      </w:r>
    </w:p>
    <w:p w14:paraId="476B1962" w14:textId="65D666CF" w:rsidR="00AB04ED" w:rsidRPr="00A9330B" w:rsidRDefault="00AB04ED" w:rsidP="00AB04ED">
      <w:pPr>
        <w:jc w:val="both"/>
        <w:rPr>
          <w:rFonts w:eastAsiaTheme="minorEastAsia"/>
          <w:lang w:eastAsia="fr-FR"/>
        </w:rPr>
      </w:pPr>
      <w:r w:rsidRPr="00A9330B">
        <w:rPr>
          <w:lang w:eastAsia="fr-FR"/>
        </w:rPr>
        <w:t xml:space="preserve">L’EIES réalisé a pour </w:t>
      </w:r>
      <w:r w:rsidR="00E7778D" w:rsidRPr="00A9330B">
        <w:rPr>
          <w:lang w:eastAsia="fr-FR"/>
        </w:rPr>
        <w:t>but</w:t>
      </w:r>
      <w:r w:rsidRPr="00A9330B">
        <w:rPr>
          <w:lang w:eastAsia="fr-FR"/>
        </w:rPr>
        <w:t>, selon les procédures en vigueur :</w:t>
      </w:r>
    </w:p>
    <w:p w14:paraId="1048D60A" w14:textId="44F1EFB7" w:rsidR="00E7778D" w:rsidRPr="00A9330B" w:rsidRDefault="00E7778D" w:rsidP="00E7778D">
      <w:pPr>
        <w:numPr>
          <w:ilvl w:val="0"/>
          <w:numId w:val="6"/>
        </w:numPr>
        <w:overflowPunct w:val="0"/>
        <w:autoSpaceDE w:val="0"/>
        <w:autoSpaceDN w:val="0"/>
        <w:adjustRightInd w:val="0"/>
        <w:spacing w:line="288" w:lineRule="auto"/>
        <w:contextualSpacing/>
        <w:jc w:val="both"/>
        <w:rPr>
          <w:rFonts w:eastAsia="Arial" w:cs="Arial"/>
          <w:vertAlign w:val="superscript"/>
          <w:lang w:eastAsia="fr-FR"/>
        </w:rPr>
      </w:pPr>
      <w:r w:rsidRPr="00A9330B">
        <w:rPr>
          <w:rFonts w:eastAsia="Arial" w:cs="Arial"/>
          <w:lang w:eastAsia="fr-FR"/>
        </w:rPr>
        <w:t xml:space="preserve">de </w:t>
      </w:r>
      <w:r w:rsidR="00B01F23" w:rsidRPr="00A9330B">
        <w:rPr>
          <w:rFonts w:eastAsia="Arial" w:cs="Arial"/>
          <w:lang w:eastAsia="fr-FR"/>
        </w:rPr>
        <w:t xml:space="preserve">faire </w:t>
      </w:r>
      <w:r w:rsidRPr="00A9330B">
        <w:rPr>
          <w:rFonts w:eastAsia="Arial" w:cs="Arial"/>
          <w:lang w:eastAsia="fr-FR"/>
        </w:rPr>
        <w:t>l’état des lieux du milieu récepteur dans les zones d’intervention pour ses composantes physiques, biologiques, humaines et socio-économiques ;</w:t>
      </w:r>
    </w:p>
    <w:p w14:paraId="5422FC31" w14:textId="086A3F9A" w:rsidR="00AB04ED" w:rsidRPr="00A9330B" w:rsidRDefault="00AB04ED" w:rsidP="007E42F5">
      <w:pPr>
        <w:pStyle w:val="Paragraphedeliste"/>
        <w:numPr>
          <w:ilvl w:val="0"/>
          <w:numId w:val="6"/>
        </w:numPr>
        <w:jc w:val="both"/>
        <w:rPr>
          <w:rFonts w:eastAsia="Arial"/>
          <w:vertAlign w:val="superscript"/>
          <w:lang w:val="fr-FR" w:eastAsia="fr-FR"/>
        </w:rPr>
      </w:pPr>
      <w:r w:rsidRPr="00A9330B">
        <w:rPr>
          <w:rFonts w:eastAsia="Arial"/>
          <w:lang w:val="fr-FR" w:eastAsia="fr-FR"/>
        </w:rPr>
        <w:t xml:space="preserve">d’identifier et </w:t>
      </w:r>
      <w:r w:rsidR="00B01F23" w:rsidRPr="00A9330B">
        <w:rPr>
          <w:rFonts w:eastAsia="Arial"/>
          <w:lang w:val="fr-FR" w:eastAsia="fr-FR"/>
        </w:rPr>
        <w:t>d’</w:t>
      </w:r>
      <w:r w:rsidRPr="00A9330B">
        <w:rPr>
          <w:rFonts w:eastAsia="Arial"/>
          <w:lang w:val="fr-FR" w:eastAsia="fr-FR"/>
        </w:rPr>
        <w:t xml:space="preserve">évaluer les impacts positifs et négatifs potentiels et </w:t>
      </w:r>
      <w:r w:rsidR="00B01F23" w:rsidRPr="00A9330B">
        <w:rPr>
          <w:rFonts w:eastAsia="Arial"/>
          <w:lang w:val="fr-FR" w:eastAsia="fr-FR"/>
        </w:rPr>
        <w:t xml:space="preserve">de </w:t>
      </w:r>
      <w:r w:rsidRPr="00A9330B">
        <w:rPr>
          <w:rFonts w:eastAsia="Arial"/>
          <w:lang w:val="fr-FR" w:eastAsia="fr-FR"/>
        </w:rPr>
        <w:t>proposer les mesures d’atténuation et de maximisation en fonction de chaque phase d’exécution du projet, depuis sa préparation jusqu’à l’exploitation des ouvrages ;</w:t>
      </w:r>
    </w:p>
    <w:p w14:paraId="5D31B6BF" w14:textId="77777777" w:rsidR="00AB04ED" w:rsidRPr="00A9330B" w:rsidRDefault="00AB04ED" w:rsidP="007E42F5">
      <w:pPr>
        <w:pStyle w:val="Paragraphedeliste"/>
        <w:numPr>
          <w:ilvl w:val="0"/>
          <w:numId w:val="6"/>
        </w:numPr>
        <w:jc w:val="both"/>
        <w:rPr>
          <w:rFonts w:eastAsia="Arial"/>
          <w:vertAlign w:val="superscript"/>
          <w:lang w:val="fr-FR" w:eastAsia="fr-FR"/>
        </w:rPr>
      </w:pPr>
      <w:r w:rsidRPr="00A9330B">
        <w:rPr>
          <w:rFonts w:eastAsia="Arial"/>
          <w:lang w:val="fr-FR" w:eastAsia="fr-FR"/>
        </w:rPr>
        <w:t>d’identifier les risques liés aux différentes phases du projet et proposer des mesures pour leur gestion ;</w:t>
      </w:r>
    </w:p>
    <w:p w14:paraId="573C9A26" w14:textId="77777777" w:rsidR="00AB04ED" w:rsidRPr="00A9330B" w:rsidRDefault="00AB04ED" w:rsidP="007E42F5">
      <w:pPr>
        <w:pStyle w:val="Paragraphedeliste"/>
        <w:numPr>
          <w:ilvl w:val="0"/>
          <w:numId w:val="6"/>
        </w:numPr>
        <w:jc w:val="both"/>
        <w:rPr>
          <w:rFonts w:eastAsia="Arial"/>
          <w:vertAlign w:val="superscript"/>
          <w:lang w:val="fr-FR" w:eastAsia="fr-FR"/>
        </w:rPr>
      </w:pPr>
      <w:r w:rsidRPr="00A9330B">
        <w:rPr>
          <w:rFonts w:eastAsia="Arial"/>
          <w:lang w:val="fr-FR" w:eastAsia="fr-FR"/>
        </w:rPr>
        <w:t>de définir les modalités de mise en œuvre des prescriptions environnementales et sociales (mesures d’atténuation et de maximisation) spécifiques dans le plan des risques d’accidents technologiques et le Plan de Gestion Environnementale et Sociale (PGES).</w:t>
      </w:r>
    </w:p>
    <w:p w14:paraId="4AF278B3" w14:textId="32F66E08" w:rsidR="00AB04ED" w:rsidRPr="00A9330B" w:rsidRDefault="00AB04ED" w:rsidP="00AB04ED">
      <w:pPr>
        <w:spacing w:line="288" w:lineRule="auto"/>
        <w:rPr>
          <w:rFonts w:cs="Arial"/>
        </w:rPr>
      </w:pPr>
      <w:r w:rsidRPr="00A9330B">
        <w:rPr>
          <w:rFonts w:cs="Arial"/>
        </w:rPr>
        <w:t>Il sera présenté conformément au canevas du guide Généra</w:t>
      </w:r>
      <w:r w:rsidR="00C85C15" w:rsidRPr="00A9330B">
        <w:rPr>
          <w:rFonts w:cs="Arial"/>
        </w:rPr>
        <w:t xml:space="preserve">l des EIES au Bénin et prendra </w:t>
      </w:r>
      <w:r w:rsidRPr="00A9330B">
        <w:rPr>
          <w:rFonts w:cs="Arial"/>
        </w:rPr>
        <w:t>également en compte les exigences de la BAD.</w:t>
      </w:r>
    </w:p>
    <w:p w14:paraId="3064EA71" w14:textId="77777777" w:rsidR="009D26AD" w:rsidRPr="00A9330B" w:rsidRDefault="009D26AD" w:rsidP="006E37A6">
      <w:pPr>
        <w:pStyle w:val="Titre3"/>
      </w:pPr>
      <w:bookmarkStart w:id="95" w:name="_Toc43697516"/>
      <w:bookmarkStart w:id="96" w:name="_Toc45520740"/>
      <w:bookmarkStart w:id="97" w:name="_Toc505066835"/>
      <w:bookmarkStart w:id="98" w:name="_Toc518564295"/>
      <w:bookmarkStart w:id="99" w:name="_Toc518577223"/>
      <w:bookmarkStart w:id="100" w:name="_Toc518578299"/>
      <w:bookmarkStart w:id="101" w:name="_Toc518578729"/>
      <w:bookmarkStart w:id="102" w:name="_Toc523415035"/>
      <w:bookmarkStart w:id="103" w:name="_Toc523417406"/>
      <w:bookmarkStart w:id="104" w:name="_Toc523850047"/>
      <w:bookmarkStart w:id="105" w:name="_Toc523857144"/>
      <w:bookmarkStart w:id="106" w:name="_Toc524462376"/>
      <w:bookmarkStart w:id="107" w:name="_Toc52869548"/>
      <w:r w:rsidRPr="00A9330B">
        <w:t>1.1.1. Présentation du promoteur</w:t>
      </w:r>
      <w:bookmarkEnd w:id="95"/>
      <w:bookmarkEnd w:id="96"/>
      <w:bookmarkEnd w:id="107"/>
    </w:p>
    <w:p w14:paraId="2A82BF0E" w14:textId="77777777" w:rsidR="009D26AD" w:rsidRPr="00A9330B" w:rsidRDefault="009D26AD" w:rsidP="009D26AD">
      <w:pPr>
        <w:rPr>
          <w:b/>
          <w:i/>
          <w:iCs/>
          <w:u w:val="single"/>
          <w:lang w:eastAsia="fr-FR"/>
        </w:rPr>
      </w:pPr>
      <w:bookmarkStart w:id="108" w:name="_Toc43697517"/>
      <w:r w:rsidRPr="00A9330B">
        <w:rPr>
          <w:b/>
          <w:i/>
          <w:iCs/>
          <w:lang w:eastAsia="fr-FR"/>
        </w:rPr>
        <w:t>1.1.1.1. Ministère du Cadre de Vie et du développement Durable</w:t>
      </w:r>
      <w:bookmarkEnd w:id="108"/>
    </w:p>
    <w:p w14:paraId="74E832EE" w14:textId="10862011" w:rsidR="009D26AD" w:rsidRPr="00A9330B" w:rsidRDefault="009D26AD" w:rsidP="002359B0">
      <w:pPr>
        <w:pStyle w:val="NormalWeb"/>
        <w:jc w:val="both"/>
      </w:pPr>
      <w:r w:rsidRPr="00A9330B">
        <w:t xml:space="preserve">Le Projet est piloté par le </w:t>
      </w:r>
      <w:r w:rsidRPr="00A9330B">
        <w:rPr>
          <w:b/>
        </w:rPr>
        <w:t xml:space="preserve">Ministère du Cadre de Vie et du développement Durable. </w:t>
      </w:r>
      <w:r w:rsidRPr="00A9330B">
        <w:t>Il s’inscrit dans le Programme d’Action du Gouvernement, et vise entre autres, dans les villes concernées l’amélioration des conditions de circulation, l’accès des ménages aux équipements soci</w:t>
      </w:r>
      <w:r w:rsidR="00E765FE" w:rsidRPr="00A9330B">
        <w:t>o</w:t>
      </w:r>
      <w:r w:rsidRPr="00A9330B">
        <w:t xml:space="preserve">communautaires et aux services d’assainissement pluvial, la dynamisation de l’économie locale et l’accroissement des ressources financières des villes concernées. </w:t>
      </w:r>
    </w:p>
    <w:p w14:paraId="71B4622E" w14:textId="329F7673" w:rsidR="00E7778D" w:rsidRPr="00A9330B" w:rsidRDefault="00E7778D" w:rsidP="009D26AD">
      <w:pPr>
        <w:rPr>
          <w:u w:val="single"/>
          <w:lang w:eastAsia="fr-FR"/>
        </w:rPr>
      </w:pPr>
      <w:bookmarkStart w:id="109" w:name="_Toc491408316"/>
      <w:bookmarkStart w:id="110" w:name="_Toc494954018"/>
      <w:bookmarkStart w:id="111" w:name="_Toc500156068"/>
      <w:r w:rsidRPr="00A9330B">
        <w:rPr>
          <w:u w:val="single"/>
          <w:lang w:eastAsia="fr-FR"/>
        </w:rPr>
        <w:t xml:space="preserve">Contacts </w:t>
      </w:r>
      <w:bookmarkStart w:id="112" w:name="_Toc491408317"/>
      <w:bookmarkStart w:id="113" w:name="_Toc494954019"/>
      <w:bookmarkStart w:id="114" w:name="_Toc500156069"/>
      <w:bookmarkEnd w:id="109"/>
      <w:bookmarkEnd w:id="110"/>
      <w:bookmarkEnd w:id="111"/>
    </w:p>
    <w:p w14:paraId="0BFBA269" w14:textId="46A7DED0" w:rsidR="009D26AD" w:rsidRPr="00A9330B" w:rsidRDefault="009D26AD" w:rsidP="009D26AD">
      <w:pPr>
        <w:rPr>
          <w:lang w:eastAsia="fr-FR"/>
        </w:rPr>
      </w:pPr>
      <w:r w:rsidRPr="00A9330B">
        <w:rPr>
          <w:u w:val="single"/>
          <w:lang w:eastAsia="fr-FR"/>
        </w:rPr>
        <w:t>Tél :</w:t>
      </w:r>
      <w:r w:rsidRPr="00A9330B">
        <w:rPr>
          <w:lang w:eastAsia="fr-FR"/>
        </w:rPr>
        <w:t xml:space="preserve"> (+229) 21 31 46 64       (+229) 21 31 46 23        (+229) 21 31 56 96</w:t>
      </w:r>
      <w:bookmarkEnd w:id="112"/>
      <w:bookmarkEnd w:id="113"/>
      <w:bookmarkEnd w:id="114"/>
    </w:p>
    <w:p w14:paraId="4F9258C1" w14:textId="77777777" w:rsidR="009D26AD" w:rsidRPr="00A9330B" w:rsidRDefault="009D26AD" w:rsidP="009D26AD">
      <w:pPr>
        <w:rPr>
          <w:lang w:eastAsia="fr-FR"/>
        </w:rPr>
      </w:pPr>
      <w:bookmarkStart w:id="115" w:name="_Toc491408318"/>
      <w:bookmarkStart w:id="116" w:name="_Toc494954020"/>
      <w:bookmarkStart w:id="117" w:name="_Toc500156070"/>
      <w:r w:rsidRPr="00A9330B">
        <w:rPr>
          <w:u w:val="single"/>
          <w:lang w:eastAsia="fr-FR"/>
        </w:rPr>
        <w:t>Fax :</w:t>
      </w:r>
      <w:r w:rsidRPr="00A9330B">
        <w:rPr>
          <w:lang w:eastAsia="fr-FR"/>
        </w:rPr>
        <w:t xml:space="preserve"> (+229) 21 31 06 17</w:t>
      </w:r>
      <w:bookmarkEnd w:id="115"/>
      <w:bookmarkEnd w:id="116"/>
      <w:bookmarkEnd w:id="117"/>
    </w:p>
    <w:p w14:paraId="3C63D04F" w14:textId="23EEFD7B" w:rsidR="009D26AD" w:rsidRPr="00A9330B" w:rsidRDefault="009D26AD" w:rsidP="000F7BA7">
      <w:pPr>
        <w:jc w:val="both"/>
        <w:rPr>
          <w:u w:val="single"/>
          <w:lang w:eastAsia="fr-FR"/>
        </w:rPr>
      </w:pPr>
      <w:bookmarkStart w:id="118" w:name="_Toc491408319"/>
      <w:bookmarkStart w:id="119" w:name="_Toc494954021"/>
      <w:bookmarkStart w:id="120" w:name="_Toc500156071"/>
      <w:r w:rsidRPr="00A9330B">
        <w:rPr>
          <w:u w:val="single"/>
          <w:lang w:eastAsia="fr-FR"/>
        </w:rPr>
        <w:t>Adresse postale :</w:t>
      </w:r>
      <w:r w:rsidRPr="00A9330B">
        <w:rPr>
          <w:lang w:eastAsia="fr-FR"/>
        </w:rPr>
        <w:t xml:space="preserve">        01 BP 351        01 BP 987         01 BP 372         Cotonou, BENIN</w:t>
      </w:r>
      <w:bookmarkEnd w:id="118"/>
      <w:bookmarkEnd w:id="119"/>
      <w:bookmarkEnd w:id="120"/>
      <w:r w:rsidRPr="00A9330B">
        <w:rPr>
          <w:u w:val="single"/>
          <w:lang w:eastAsia="fr-FR"/>
        </w:rPr>
        <w:t xml:space="preserve"> </w:t>
      </w:r>
    </w:p>
    <w:p w14:paraId="69D12CAA" w14:textId="77777777" w:rsidR="009D26AD" w:rsidRPr="00A9330B" w:rsidRDefault="009D26AD" w:rsidP="0064324E">
      <w:pPr>
        <w:pStyle w:val="Titre4"/>
        <w:rPr>
          <w:lang w:eastAsia="fr-FR"/>
        </w:rPr>
      </w:pPr>
      <w:bookmarkStart w:id="121" w:name="_Toc43697518"/>
      <w:bookmarkStart w:id="122" w:name="_Toc45520741"/>
      <w:bookmarkStart w:id="123" w:name="_Toc52869549"/>
      <w:r w:rsidRPr="00A9330B">
        <w:rPr>
          <w:lang w:eastAsia="fr-FR"/>
        </w:rPr>
        <w:lastRenderedPageBreak/>
        <w:t>1.1.1.2. Maître d’Ouvrage</w:t>
      </w:r>
      <w:bookmarkEnd w:id="121"/>
      <w:bookmarkEnd w:id="122"/>
      <w:bookmarkEnd w:id="123"/>
      <w:r w:rsidRPr="00A9330B">
        <w:rPr>
          <w:lang w:eastAsia="fr-FR"/>
        </w:rPr>
        <w:t xml:space="preserve"> </w:t>
      </w:r>
    </w:p>
    <w:p w14:paraId="22BFB5B2" w14:textId="77777777" w:rsidR="00E7778D" w:rsidRPr="00A9330B" w:rsidRDefault="00E7778D" w:rsidP="000F7BA7">
      <w:pPr>
        <w:jc w:val="both"/>
        <w:rPr>
          <w:color w:val="auto"/>
        </w:rPr>
      </w:pPr>
      <w:r w:rsidRPr="00A9330B">
        <w:t xml:space="preserve">La maitrise d’ouvrage du projet est assurée par </w:t>
      </w:r>
      <w:r w:rsidRPr="00A9330B">
        <w:rPr>
          <w:b/>
        </w:rPr>
        <w:t>l’Agence du Cadre de Vie pour le Développement du Territoire</w:t>
      </w:r>
      <w:r w:rsidRPr="00A9330B">
        <w:t xml:space="preserve">. </w:t>
      </w:r>
      <w:r w:rsidRPr="00A9330B">
        <w:rPr>
          <w:rFonts w:cs="Arial"/>
        </w:rPr>
        <w:t xml:space="preserve">Elle a pour mission de superviser, de suivre et de contrôler les activités menées dans le cadre de la réalisation des grands projets d’amélioration du cadre de la vie et de développement du territoire. </w:t>
      </w:r>
      <w:r w:rsidRPr="00A9330B">
        <w:t>Elle assure la coordination de la mise en œuvre du PAPVS et de plusieurs autres projets du Programme d’Action du Gouvernement (PAG).</w:t>
      </w:r>
    </w:p>
    <w:p w14:paraId="5EE807F9" w14:textId="77777777" w:rsidR="009D26AD" w:rsidRPr="00A9330B" w:rsidRDefault="009D26AD" w:rsidP="006E37A6">
      <w:pPr>
        <w:pStyle w:val="Titre3"/>
      </w:pPr>
      <w:bookmarkStart w:id="124" w:name="_Toc43697519"/>
      <w:bookmarkStart w:id="125" w:name="_Toc45520742"/>
      <w:bookmarkStart w:id="126" w:name="_Toc52869550"/>
      <w:r w:rsidRPr="00A9330B">
        <w:t>1.1.2. Présentation du consultant</w:t>
      </w:r>
      <w:bookmarkEnd w:id="124"/>
      <w:bookmarkEnd w:id="125"/>
      <w:bookmarkEnd w:id="126"/>
      <w:r w:rsidRPr="00A9330B">
        <w:t xml:space="preserve"> </w:t>
      </w:r>
    </w:p>
    <w:p w14:paraId="0E7E1146" w14:textId="77777777" w:rsidR="00743DD1" w:rsidRPr="00A9330B" w:rsidRDefault="00743DD1" w:rsidP="00BA18AC">
      <w:pPr>
        <w:jc w:val="both"/>
      </w:pPr>
      <w:bookmarkStart w:id="127" w:name="_Toc517364073"/>
      <w:bookmarkStart w:id="128" w:name="_Toc531434122"/>
      <w:bookmarkStart w:id="129" w:name="_Toc535244507"/>
      <w:r w:rsidRPr="00A9330B">
        <w:t xml:space="preserve">Maître d'Œuvre : </w:t>
      </w:r>
      <w:r w:rsidRPr="00A9330B">
        <w:rPr>
          <w:b/>
        </w:rPr>
        <w:t>CECO-BTP INGENIEURS CONSEILS</w:t>
      </w:r>
      <w:r w:rsidRPr="00A9330B">
        <w:t xml:space="preserve"> (Contrôle Études et</w:t>
      </w:r>
      <w:bookmarkEnd w:id="127"/>
      <w:r w:rsidRPr="00A9330B">
        <w:t xml:space="preserve"> </w:t>
      </w:r>
      <w:bookmarkStart w:id="130" w:name="_Toc517364074"/>
      <w:r w:rsidRPr="00A9330B">
        <w:t>Coordination des Travaux de Bâtiment et Travaux Publics</w:t>
      </w:r>
      <w:bookmarkEnd w:id="130"/>
      <w:r w:rsidRPr="00A9330B">
        <w:t>)</w:t>
      </w:r>
    </w:p>
    <w:p w14:paraId="156959DD" w14:textId="77777777" w:rsidR="00743DD1" w:rsidRPr="00A9330B" w:rsidRDefault="00743DD1" w:rsidP="00BA18AC">
      <w:pPr>
        <w:jc w:val="both"/>
        <w:rPr>
          <w:rFonts w:cs="Arial"/>
        </w:rPr>
      </w:pPr>
      <w:r w:rsidRPr="00A9330B">
        <w:rPr>
          <w:rFonts w:cs="Arial"/>
        </w:rPr>
        <w:t xml:space="preserve">CECO-BTP Ingénieurs Conseils (Contrôle, Etudes et Coordination des Travaux de Bâtiments et Travaux Publics), est un Bureau d’Etudes Techniques et de conseils en BTP ayant 29 ans d’expérience. Elle a pour objectif principal la satisfaction du client. </w:t>
      </w:r>
    </w:p>
    <w:p w14:paraId="05A925F1" w14:textId="77777777" w:rsidR="00743DD1" w:rsidRPr="00A9330B" w:rsidRDefault="00743DD1" w:rsidP="00BA18AC">
      <w:pPr>
        <w:jc w:val="both"/>
        <w:rPr>
          <w:rFonts w:cs="Arial"/>
        </w:rPr>
      </w:pPr>
      <w:r w:rsidRPr="00A9330B">
        <w:rPr>
          <w:rFonts w:cs="Arial"/>
        </w:rPr>
        <w:t xml:space="preserve">Pour ce faire, CECO -BTP propose à ses clients une méthodologie singulière pour chaque projet en respect strict des exigences du client (personne physique et morale) afin de lui fournir un résultat satisfaisant. </w:t>
      </w:r>
    </w:p>
    <w:p w14:paraId="452139EF" w14:textId="77777777" w:rsidR="00743DD1" w:rsidRPr="00A9330B" w:rsidRDefault="00743DD1" w:rsidP="00BA18AC">
      <w:pPr>
        <w:jc w:val="both"/>
        <w:rPr>
          <w:rFonts w:cs="Arial"/>
        </w:rPr>
      </w:pPr>
      <w:r w:rsidRPr="00A9330B">
        <w:rPr>
          <w:rFonts w:cs="Arial"/>
        </w:rPr>
        <w:t>Pour remplir les missions à lui confiées, il dispose d’un personnel pluridisciplinaire compétent et couvrant tous les domaines d’intervention (ingénieurs spécialisés, ingénieurs de conceptions, techniciens, opérateurs et cadres administratifs) dont les compétences ne sont plus à démontrer et met aussi à contribution l’expertise des consultants, formant ainsi une équipe dynamique et cohérente. Il veille aussi à la mise à niveau de tout son personnel à travers les formations continues.</w:t>
      </w:r>
    </w:p>
    <w:p w14:paraId="26B8662F" w14:textId="77777777" w:rsidR="00743DD1" w:rsidRPr="00A9330B" w:rsidRDefault="00743DD1" w:rsidP="00BA18AC">
      <w:pPr>
        <w:jc w:val="both"/>
        <w:rPr>
          <w:rFonts w:eastAsia="Times New Roman" w:cs="Arial"/>
          <w:lang w:eastAsia="fr-FR"/>
        </w:rPr>
      </w:pPr>
      <w:r w:rsidRPr="00A9330B">
        <w:rPr>
          <w:rFonts w:eastAsia="Times New Roman" w:cs="Arial"/>
          <w:lang w:eastAsia="fr-FR"/>
        </w:rPr>
        <w:t>Conscient des enjeux environnementaux et sociaux et sécuritaires liées à son domaine d’activité, CECO-BTP veille à développer et mettre en œuvre les meilleurs pratiques pour :</w:t>
      </w:r>
    </w:p>
    <w:p w14:paraId="0B34E32F" w14:textId="77777777" w:rsidR="00743DD1" w:rsidRPr="00A9330B" w:rsidRDefault="00743DD1" w:rsidP="00BD2F72">
      <w:pPr>
        <w:pStyle w:val="Paragraphedeliste"/>
        <w:numPr>
          <w:ilvl w:val="0"/>
          <w:numId w:val="91"/>
        </w:numPr>
        <w:overflowPunct/>
        <w:autoSpaceDE/>
        <w:autoSpaceDN/>
        <w:adjustRightInd/>
        <w:spacing w:line="240" w:lineRule="auto"/>
        <w:ind w:left="714" w:hanging="357"/>
        <w:contextualSpacing w:val="0"/>
        <w:jc w:val="both"/>
        <w:rPr>
          <w:lang w:val="fr-FR"/>
        </w:rPr>
      </w:pPr>
      <w:r w:rsidRPr="00A9330B">
        <w:rPr>
          <w:rFonts w:cs="Arial"/>
          <w:lang w:val="fr-FR" w:eastAsia="fr-FR"/>
        </w:rPr>
        <w:t>Veiller au respect des exigences légales et règlementaires concernant l’environnement, l’hygiène et la sécurité au travail (HST), etc. ;</w:t>
      </w:r>
    </w:p>
    <w:p w14:paraId="06FC27D8" w14:textId="77777777" w:rsidR="00743DD1" w:rsidRPr="00A9330B" w:rsidRDefault="00743DD1" w:rsidP="00BD2F72">
      <w:pPr>
        <w:pStyle w:val="Paragraphedeliste"/>
        <w:numPr>
          <w:ilvl w:val="0"/>
          <w:numId w:val="91"/>
        </w:numPr>
        <w:overflowPunct/>
        <w:autoSpaceDE/>
        <w:autoSpaceDN/>
        <w:adjustRightInd/>
        <w:spacing w:line="240" w:lineRule="auto"/>
        <w:ind w:left="714" w:hanging="357"/>
        <w:contextualSpacing w:val="0"/>
        <w:jc w:val="both"/>
        <w:rPr>
          <w:lang w:val="fr-FR"/>
        </w:rPr>
      </w:pPr>
      <w:r w:rsidRPr="00A9330B">
        <w:rPr>
          <w:rFonts w:cs="Arial"/>
          <w:lang w:val="fr-FR" w:eastAsia="fr-FR"/>
        </w:rPr>
        <w:t>Prévenir ou minimiser les nuisances environnementales et sociales, les risques professionnels qui peuvent subvenir ou de manière accidentelle, dans l’exercice de ses activités.</w:t>
      </w:r>
    </w:p>
    <w:p w14:paraId="12912B90" w14:textId="77777777" w:rsidR="00743DD1" w:rsidRPr="00A9330B" w:rsidRDefault="00743DD1" w:rsidP="00743DD1">
      <w:pPr>
        <w:spacing w:before="60"/>
      </w:pPr>
      <w:bookmarkStart w:id="131" w:name="_Toc517364075"/>
      <w:r w:rsidRPr="00A9330B">
        <w:t>Tél : (+229) 21 38 36 52</w:t>
      </w:r>
      <w:bookmarkEnd w:id="131"/>
      <w:r w:rsidRPr="00A9330B">
        <w:t xml:space="preserve"> </w:t>
      </w:r>
    </w:p>
    <w:p w14:paraId="6640FF96" w14:textId="77777777" w:rsidR="00743DD1" w:rsidRPr="00A9330B" w:rsidRDefault="00743DD1" w:rsidP="00743DD1">
      <w:pPr>
        <w:spacing w:before="60"/>
      </w:pPr>
      <w:bookmarkStart w:id="132" w:name="_Toc517364076"/>
      <w:r w:rsidRPr="00A9330B">
        <w:t>Fax : (+229) 21 38 09 24</w:t>
      </w:r>
      <w:bookmarkEnd w:id="132"/>
      <w:r w:rsidRPr="00A9330B">
        <w:t xml:space="preserve"> </w:t>
      </w:r>
    </w:p>
    <w:p w14:paraId="669A1A3F" w14:textId="77777777" w:rsidR="00743DD1" w:rsidRPr="00A9330B" w:rsidRDefault="00743DD1" w:rsidP="00743DD1">
      <w:pPr>
        <w:spacing w:before="60"/>
      </w:pPr>
      <w:bookmarkStart w:id="133" w:name="_Toc517364077"/>
      <w:r w:rsidRPr="00A9330B">
        <w:t>E-mail : cecobtp@cecobtp.com</w:t>
      </w:r>
      <w:bookmarkEnd w:id="133"/>
      <w:r w:rsidRPr="00A9330B">
        <w:t xml:space="preserve"> </w:t>
      </w:r>
    </w:p>
    <w:p w14:paraId="40EDCD49" w14:textId="77777777" w:rsidR="00743DD1" w:rsidRPr="00A9330B" w:rsidRDefault="00743DD1" w:rsidP="00743DD1">
      <w:pPr>
        <w:spacing w:before="60"/>
      </w:pPr>
      <w:bookmarkStart w:id="134" w:name="_Toc517364078"/>
      <w:r w:rsidRPr="00A9330B">
        <w:t>Adresse postale : 04 BP1165 Cotonou, BENIN</w:t>
      </w:r>
      <w:bookmarkEnd w:id="134"/>
      <w:r w:rsidRPr="00A9330B">
        <w:t xml:space="preserve"> </w:t>
      </w:r>
    </w:p>
    <w:p w14:paraId="7DE940A8" w14:textId="77777777" w:rsidR="00743DD1" w:rsidRPr="00A9330B" w:rsidRDefault="00743DD1" w:rsidP="00743DD1">
      <w:pPr>
        <w:spacing w:before="60"/>
      </w:pPr>
      <w:r w:rsidRPr="00A9330B">
        <w:t>Siège social : lot 2117 parcelle G Ménontin</w:t>
      </w:r>
    </w:p>
    <w:p w14:paraId="786276BF" w14:textId="1F3016A7" w:rsidR="00743DD1" w:rsidRPr="00A9330B" w:rsidRDefault="00743DD1" w:rsidP="00BA18AC">
      <w:pPr>
        <w:spacing w:before="240" w:after="120"/>
        <w:jc w:val="center"/>
        <w:rPr>
          <w:b/>
          <w:sz w:val="20"/>
          <w:szCs w:val="20"/>
        </w:rPr>
      </w:pPr>
      <w:bookmarkStart w:id="135" w:name="_Toc45500509"/>
      <w:bookmarkStart w:id="136" w:name="_Toc52873725"/>
      <w:r w:rsidRPr="00A9330B">
        <w:rPr>
          <w:b/>
          <w:sz w:val="20"/>
          <w:szCs w:val="20"/>
        </w:rPr>
        <w:t xml:space="preserve">Tableau </w:t>
      </w:r>
      <w:r w:rsidRPr="00A9330B">
        <w:rPr>
          <w:b/>
          <w:sz w:val="20"/>
          <w:szCs w:val="20"/>
        </w:rPr>
        <w:fldChar w:fldCharType="begin"/>
      </w:r>
      <w:r w:rsidRPr="00A9330B">
        <w:rPr>
          <w:b/>
          <w:sz w:val="20"/>
          <w:szCs w:val="20"/>
        </w:rPr>
        <w:instrText xml:space="preserve"> SEQ Tableau \* ARABIC </w:instrText>
      </w:r>
      <w:r w:rsidRPr="00A9330B">
        <w:rPr>
          <w:b/>
          <w:sz w:val="20"/>
          <w:szCs w:val="20"/>
        </w:rPr>
        <w:fldChar w:fldCharType="separate"/>
      </w:r>
      <w:r w:rsidR="00417D31" w:rsidRPr="00A9330B">
        <w:rPr>
          <w:b/>
          <w:noProof/>
          <w:sz w:val="20"/>
          <w:szCs w:val="20"/>
        </w:rPr>
        <w:t>1</w:t>
      </w:r>
      <w:r w:rsidRPr="00A9330B">
        <w:rPr>
          <w:b/>
          <w:sz w:val="20"/>
          <w:szCs w:val="20"/>
        </w:rPr>
        <w:fldChar w:fldCharType="end"/>
      </w:r>
      <w:r w:rsidRPr="00A9330B">
        <w:rPr>
          <w:b/>
          <w:sz w:val="20"/>
          <w:szCs w:val="20"/>
        </w:rPr>
        <w:t> : Equipe de consultants ayant réalisé les EIES et PAR</w:t>
      </w:r>
      <w:bookmarkEnd w:id="135"/>
      <w:bookmarkEnd w:id="136"/>
    </w:p>
    <w:tbl>
      <w:tblPr>
        <w:tblW w:w="477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538"/>
        <w:gridCol w:w="2718"/>
        <w:gridCol w:w="5400"/>
      </w:tblGrid>
      <w:tr w:rsidR="00743DD1" w:rsidRPr="00A9330B" w14:paraId="26CF62B7" w14:textId="77777777" w:rsidTr="001275D6">
        <w:trPr>
          <w:trHeight w:val="300"/>
          <w:jc w:val="center"/>
        </w:trPr>
        <w:tc>
          <w:tcPr>
            <w:tcW w:w="311" w:type="pct"/>
          </w:tcPr>
          <w:p w14:paraId="74727831" w14:textId="77777777" w:rsidR="00743DD1" w:rsidRPr="00A9330B" w:rsidRDefault="00743DD1" w:rsidP="001275D6">
            <w:pPr>
              <w:spacing w:before="0" w:line="240" w:lineRule="auto"/>
              <w:rPr>
                <w:rFonts w:eastAsia="Times New Roman" w:cs="Arial"/>
                <w:b/>
                <w:bCs/>
                <w:color w:val="000000"/>
                <w:sz w:val="20"/>
                <w:szCs w:val="20"/>
                <w:lang w:eastAsia="fr-FR"/>
              </w:rPr>
            </w:pPr>
            <w:r w:rsidRPr="00A9330B">
              <w:rPr>
                <w:rFonts w:cs="Arial"/>
                <w:b/>
                <w:bCs/>
                <w:color w:val="000000"/>
                <w:sz w:val="20"/>
                <w:szCs w:val="20"/>
                <w:lang w:eastAsia="fr-FR"/>
              </w:rPr>
              <w:t>N°</w:t>
            </w:r>
          </w:p>
        </w:tc>
        <w:tc>
          <w:tcPr>
            <w:tcW w:w="1570" w:type="pct"/>
            <w:shd w:val="clear" w:color="auto" w:fill="auto"/>
            <w:noWrap/>
            <w:vAlign w:val="bottom"/>
            <w:hideMark/>
          </w:tcPr>
          <w:p w14:paraId="6679E4E9" w14:textId="77777777" w:rsidR="00743DD1" w:rsidRPr="00A9330B" w:rsidRDefault="00743DD1" w:rsidP="001275D6">
            <w:pPr>
              <w:spacing w:before="0" w:line="240" w:lineRule="auto"/>
              <w:rPr>
                <w:rFonts w:eastAsia="Times New Roman" w:cs="Arial"/>
                <w:b/>
                <w:bCs/>
                <w:color w:val="000000"/>
                <w:sz w:val="20"/>
                <w:szCs w:val="20"/>
                <w:lang w:eastAsia="fr-FR"/>
              </w:rPr>
            </w:pPr>
            <w:r w:rsidRPr="00A9330B">
              <w:rPr>
                <w:rFonts w:eastAsia="Times New Roman" w:cs="Arial"/>
                <w:b/>
                <w:bCs/>
                <w:color w:val="000000"/>
                <w:sz w:val="20"/>
                <w:szCs w:val="20"/>
                <w:lang w:eastAsia="fr-FR"/>
              </w:rPr>
              <w:t>Personnel Clé</w:t>
            </w:r>
          </w:p>
        </w:tc>
        <w:tc>
          <w:tcPr>
            <w:tcW w:w="3119" w:type="pct"/>
            <w:shd w:val="clear" w:color="auto" w:fill="auto"/>
            <w:noWrap/>
            <w:vAlign w:val="bottom"/>
            <w:hideMark/>
          </w:tcPr>
          <w:p w14:paraId="6D4FBB3F" w14:textId="77777777" w:rsidR="00743DD1" w:rsidRPr="00A9330B" w:rsidRDefault="00743DD1" w:rsidP="001275D6">
            <w:pPr>
              <w:spacing w:before="0" w:line="240" w:lineRule="auto"/>
              <w:rPr>
                <w:rFonts w:eastAsia="Times New Roman" w:cs="Arial"/>
                <w:b/>
                <w:bCs/>
                <w:color w:val="000000"/>
                <w:sz w:val="20"/>
                <w:szCs w:val="20"/>
                <w:lang w:eastAsia="fr-FR"/>
              </w:rPr>
            </w:pPr>
          </w:p>
        </w:tc>
      </w:tr>
      <w:tr w:rsidR="00743DD1" w:rsidRPr="00A9330B" w14:paraId="6446D489" w14:textId="77777777" w:rsidTr="001275D6">
        <w:trPr>
          <w:trHeight w:val="300"/>
          <w:jc w:val="center"/>
        </w:trPr>
        <w:tc>
          <w:tcPr>
            <w:tcW w:w="311" w:type="pct"/>
          </w:tcPr>
          <w:p w14:paraId="7D0ABFA6" w14:textId="77777777" w:rsidR="00743DD1" w:rsidRPr="00A9330B" w:rsidRDefault="00743DD1" w:rsidP="00BD2F72">
            <w:pPr>
              <w:pStyle w:val="Paragraphedeliste"/>
              <w:numPr>
                <w:ilvl w:val="0"/>
                <w:numId w:val="92"/>
              </w:numPr>
              <w:spacing w:before="0" w:line="240" w:lineRule="auto"/>
              <w:rPr>
                <w:rFonts w:cs="Arial"/>
                <w:color w:val="000000"/>
                <w:sz w:val="20"/>
                <w:lang w:val="fr-FR" w:eastAsia="fr-FR"/>
              </w:rPr>
            </w:pPr>
          </w:p>
        </w:tc>
        <w:tc>
          <w:tcPr>
            <w:tcW w:w="1570" w:type="pct"/>
            <w:shd w:val="clear" w:color="auto" w:fill="auto"/>
            <w:noWrap/>
            <w:vAlign w:val="bottom"/>
            <w:hideMark/>
          </w:tcPr>
          <w:p w14:paraId="206733D9" w14:textId="77777777" w:rsidR="00743DD1" w:rsidRPr="00A9330B" w:rsidRDefault="00743DD1" w:rsidP="001275D6">
            <w:pPr>
              <w:spacing w:before="0" w:line="240" w:lineRule="auto"/>
              <w:rPr>
                <w:rFonts w:eastAsia="Times New Roman" w:cs="Arial"/>
                <w:color w:val="000000"/>
                <w:sz w:val="20"/>
                <w:szCs w:val="20"/>
                <w:lang w:eastAsia="fr-FR"/>
              </w:rPr>
            </w:pPr>
            <w:r w:rsidRPr="00A9330B">
              <w:rPr>
                <w:rFonts w:eastAsia="Times New Roman" w:cs="Arial"/>
                <w:color w:val="000000"/>
                <w:sz w:val="20"/>
                <w:szCs w:val="20"/>
                <w:lang w:eastAsia="fr-FR"/>
              </w:rPr>
              <w:t xml:space="preserve">ATINDOGBE AGLO Alice </w:t>
            </w:r>
          </w:p>
        </w:tc>
        <w:tc>
          <w:tcPr>
            <w:tcW w:w="3119" w:type="pct"/>
            <w:shd w:val="clear" w:color="auto" w:fill="auto"/>
            <w:noWrap/>
            <w:vAlign w:val="bottom"/>
            <w:hideMark/>
          </w:tcPr>
          <w:p w14:paraId="323CDF14" w14:textId="77777777" w:rsidR="00743DD1" w:rsidRPr="00A9330B" w:rsidRDefault="00743DD1" w:rsidP="001275D6">
            <w:pPr>
              <w:spacing w:before="0" w:line="240" w:lineRule="auto"/>
              <w:rPr>
                <w:rFonts w:eastAsia="Times New Roman" w:cs="Arial"/>
                <w:color w:val="000000"/>
                <w:sz w:val="20"/>
                <w:szCs w:val="20"/>
                <w:lang w:eastAsia="fr-FR"/>
              </w:rPr>
            </w:pPr>
            <w:r w:rsidRPr="00A9330B">
              <w:rPr>
                <w:rFonts w:eastAsia="Times New Roman" w:cs="Arial"/>
                <w:color w:val="000000"/>
                <w:sz w:val="20"/>
                <w:szCs w:val="20"/>
                <w:lang w:eastAsia="fr-FR"/>
              </w:rPr>
              <w:t xml:space="preserve">Environnementaliste, Chef de mission </w:t>
            </w:r>
          </w:p>
        </w:tc>
      </w:tr>
      <w:tr w:rsidR="00743DD1" w:rsidRPr="00A9330B" w14:paraId="7C27E578" w14:textId="77777777" w:rsidTr="001275D6">
        <w:trPr>
          <w:trHeight w:val="300"/>
          <w:jc w:val="center"/>
        </w:trPr>
        <w:tc>
          <w:tcPr>
            <w:tcW w:w="311" w:type="pct"/>
          </w:tcPr>
          <w:p w14:paraId="0C54768C" w14:textId="77777777" w:rsidR="00743DD1" w:rsidRPr="00A9330B" w:rsidRDefault="00743DD1" w:rsidP="00BD2F72">
            <w:pPr>
              <w:pStyle w:val="Paragraphedeliste"/>
              <w:numPr>
                <w:ilvl w:val="0"/>
                <w:numId w:val="92"/>
              </w:numPr>
              <w:spacing w:before="0" w:line="240" w:lineRule="auto"/>
              <w:rPr>
                <w:rFonts w:cs="Arial"/>
                <w:color w:val="000000"/>
                <w:sz w:val="20"/>
                <w:lang w:val="fr-FR" w:eastAsia="fr-FR"/>
              </w:rPr>
            </w:pPr>
          </w:p>
        </w:tc>
        <w:tc>
          <w:tcPr>
            <w:tcW w:w="1570" w:type="pct"/>
            <w:shd w:val="clear" w:color="auto" w:fill="auto"/>
            <w:noWrap/>
            <w:vAlign w:val="bottom"/>
            <w:hideMark/>
          </w:tcPr>
          <w:p w14:paraId="1F54861E" w14:textId="77777777" w:rsidR="00743DD1" w:rsidRPr="00A9330B" w:rsidRDefault="00743DD1" w:rsidP="001275D6">
            <w:pPr>
              <w:spacing w:before="0" w:line="240" w:lineRule="auto"/>
              <w:rPr>
                <w:rFonts w:eastAsia="Times New Roman" w:cs="Arial"/>
                <w:color w:val="000000"/>
                <w:sz w:val="20"/>
                <w:szCs w:val="20"/>
                <w:lang w:eastAsia="fr-FR"/>
              </w:rPr>
            </w:pPr>
            <w:r w:rsidRPr="00A9330B">
              <w:rPr>
                <w:rFonts w:eastAsia="Times New Roman" w:cs="Arial"/>
                <w:color w:val="000000"/>
                <w:sz w:val="20"/>
                <w:szCs w:val="20"/>
                <w:lang w:eastAsia="fr-FR"/>
              </w:rPr>
              <w:t xml:space="preserve">BOKO Jacques – Marie </w:t>
            </w:r>
          </w:p>
        </w:tc>
        <w:tc>
          <w:tcPr>
            <w:tcW w:w="3119" w:type="pct"/>
            <w:shd w:val="clear" w:color="auto" w:fill="auto"/>
            <w:noWrap/>
            <w:vAlign w:val="bottom"/>
            <w:hideMark/>
          </w:tcPr>
          <w:p w14:paraId="08A9FBA7" w14:textId="77777777" w:rsidR="00743DD1" w:rsidRPr="00A9330B" w:rsidRDefault="00743DD1" w:rsidP="001275D6">
            <w:pPr>
              <w:spacing w:before="0" w:line="240" w:lineRule="auto"/>
              <w:rPr>
                <w:rFonts w:eastAsia="Times New Roman" w:cs="Arial"/>
                <w:color w:val="000000"/>
                <w:sz w:val="20"/>
                <w:szCs w:val="20"/>
                <w:lang w:eastAsia="fr-FR"/>
              </w:rPr>
            </w:pPr>
            <w:r w:rsidRPr="00A9330B">
              <w:rPr>
                <w:rFonts w:eastAsia="Times New Roman" w:cs="Arial"/>
                <w:color w:val="000000"/>
                <w:sz w:val="20"/>
                <w:szCs w:val="20"/>
                <w:lang w:eastAsia="fr-FR"/>
              </w:rPr>
              <w:t xml:space="preserve">Environnementaliste, Chef de mission Adjoint, Expert PAR  </w:t>
            </w:r>
          </w:p>
        </w:tc>
      </w:tr>
      <w:tr w:rsidR="00743DD1" w:rsidRPr="00A9330B" w14:paraId="6454B9B6" w14:textId="77777777" w:rsidTr="001275D6">
        <w:trPr>
          <w:trHeight w:val="300"/>
          <w:jc w:val="center"/>
        </w:trPr>
        <w:tc>
          <w:tcPr>
            <w:tcW w:w="311" w:type="pct"/>
          </w:tcPr>
          <w:p w14:paraId="219B2874" w14:textId="77777777" w:rsidR="00743DD1" w:rsidRPr="00A9330B" w:rsidRDefault="00743DD1" w:rsidP="00BD2F72">
            <w:pPr>
              <w:pStyle w:val="Paragraphedeliste"/>
              <w:numPr>
                <w:ilvl w:val="0"/>
                <w:numId w:val="92"/>
              </w:numPr>
              <w:spacing w:before="0" w:line="240" w:lineRule="auto"/>
              <w:rPr>
                <w:rFonts w:cs="Arial"/>
                <w:color w:val="000000"/>
                <w:sz w:val="20"/>
                <w:lang w:val="fr-FR" w:eastAsia="fr-FR"/>
              </w:rPr>
            </w:pPr>
          </w:p>
        </w:tc>
        <w:tc>
          <w:tcPr>
            <w:tcW w:w="1570" w:type="pct"/>
            <w:shd w:val="clear" w:color="auto" w:fill="auto"/>
            <w:noWrap/>
            <w:vAlign w:val="bottom"/>
            <w:hideMark/>
          </w:tcPr>
          <w:p w14:paraId="586BA75B" w14:textId="77777777" w:rsidR="00743DD1" w:rsidRPr="00A9330B" w:rsidRDefault="00743DD1" w:rsidP="001275D6">
            <w:pPr>
              <w:spacing w:before="0" w:line="240" w:lineRule="auto"/>
              <w:rPr>
                <w:rFonts w:eastAsia="Times New Roman" w:cs="Arial"/>
                <w:color w:val="000000"/>
                <w:sz w:val="20"/>
                <w:szCs w:val="20"/>
                <w:lang w:eastAsia="fr-FR"/>
              </w:rPr>
            </w:pPr>
            <w:r w:rsidRPr="00A9330B">
              <w:rPr>
                <w:rFonts w:eastAsia="Times New Roman" w:cs="Arial"/>
                <w:color w:val="000000"/>
                <w:sz w:val="20"/>
                <w:szCs w:val="20"/>
                <w:lang w:eastAsia="fr-FR"/>
              </w:rPr>
              <w:t xml:space="preserve">KOOKE GOMIDO Xavier </w:t>
            </w:r>
          </w:p>
        </w:tc>
        <w:tc>
          <w:tcPr>
            <w:tcW w:w="3119" w:type="pct"/>
            <w:shd w:val="clear" w:color="auto" w:fill="auto"/>
            <w:noWrap/>
            <w:vAlign w:val="bottom"/>
            <w:hideMark/>
          </w:tcPr>
          <w:p w14:paraId="35003742" w14:textId="77777777" w:rsidR="00743DD1" w:rsidRPr="00A9330B" w:rsidRDefault="00743DD1" w:rsidP="001275D6">
            <w:pPr>
              <w:spacing w:before="0" w:line="240" w:lineRule="auto"/>
              <w:rPr>
                <w:rFonts w:eastAsia="Times New Roman" w:cs="Arial"/>
                <w:color w:val="000000"/>
                <w:sz w:val="20"/>
                <w:szCs w:val="20"/>
                <w:lang w:eastAsia="fr-FR"/>
              </w:rPr>
            </w:pPr>
            <w:r w:rsidRPr="00A9330B">
              <w:rPr>
                <w:rFonts w:eastAsia="Times New Roman" w:cs="Arial"/>
                <w:color w:val="000000"/>
                <w:sz w:val="20"/>
                <w:szCs w:val="20"/>
                <w:lang w:eastAsia="fr-FR"/>
              </w:rPr>
              <w:t xml:space="preserve">Bio-Géographe, Environnementaliste assistant </w:t>
            </w:r>
          </w:p>
        </w:tc>
      </w:tr>
      <w:tr w:rsidR="00743DD1" w:rsidRPr="00A9330B" w14:paraId="0A0560C2" w14:textId="77777777" w:rsidTr="001275D6">
        <w:trPr>
          <w:trHeight w:val="300"/>
          <w:jc w:val="center"/>
        </w:trPr>
        <w:tc>
          <w:tcPr>
            <w:tcW w:w="311" w:type="pct"/>
          </w:tcPr>
          <w:p w14:paraId="21657A0C" w14:textId="77777777" w:rsidR="00743DD1" w:rsidRPr="00A9330B" w:rsidRDefault="00743DD1" w:rsidP="00BD2F72">
            <w:pPr>
              <w:pStyle w:val="Paragraphedeliste"/>
              <w:numPr>
                <w:ilvl w:val="0"/>
                <w:numId w:val="92"/>
              </w:numPr>
              <w:spacing w:before="0" w:line="240" w:lineRule="auto"/>
              <w:rPr>
                <w:rFonts w:cs="Arial"/>
                <w:color w:val="000000"/>
                <w:sz w:val="20"/>
                <w:lang w:val="fr-FR" w:eastAsia="fr-FR"/>
              </w:rPr>
            </w:pPr>
          </w:p>
        </w:tc>
        <w:tc>
          <w:tcPr>
            <w:tcW w:w="1570" w:type="pct"/>
            <w:shd w:val="clear" w:color="auto" w:fill="auto"/>
            <w:noWrap/>
            <w:vAlign w:val="bottom"/>
            <w:hideMark/>
          </w:tcPr>
          <w:p w14:paraId="4D07ECA9" w14:textId="77777777" w:rsidR="00743DD1" w:rsidRPr="00A9330B" w:rsidRDefault="00743DD1" w:rsidP="001275D6">
            <w:pPr>
              <w:spacing w:before="0" w:line="240" w:lineRule="auto"/>
              <w:rPr>
                <w:rFonts w:eastAsia="Times New Roman" w:cs="Arial"/>
                <w:color w:val="000000"/>
                <w:sz w:val="20"/>
                <w:szCs w:val="20"/>
                <w:lang w:eastAsia="fr-FR"/>
              </w:rPr>
            </w:pPr>
            <w:r w:rsidRPr="00A9330B">
              <w:rPr>
                <w:rFonts w:eastAsia="Times New Roman" w:cs="Arial"/>
                <w:color w:val="000000"/>
                <w:sz w:val="20"/>
                <w:szCs w:val="20"/>
                <w:lang w:eastAsia="fr-FR"/>
              </w:rPr>
              <w:t xml:space="preserve">AGOSSOU Maxime </w:t>
            </w:r>
          </w:p>
        </w:tc>
        <w:tc>
          <w:tcPr>
            <w:tcW w:w="3119" w:type="pct"/>
            <w:shd w:val="clear" w:color="auto" w:fill="auto"/>
            <w:noWrap/>
            <w:vAlign w:val="bottom"/>
            <w:hideMark/>
          </w:tcPr>
          <w:p w14:paraId="440EE21E" w14:textId="77777777" w:rsidR="00743DD1" w:rsidRPr="00A9330B" w:rsidRDefault="00743DD1" w:rsidP="001275D6">
            <w:pPr>
              <w:spacing w:before="0" w:line="240" w:lineRule="auto"/>
              <w:rPr>
                <w:rFonts w:eastAsia="Times New Roman" w:cs="Arial"/>
                <w:color w:val="000000"/>
                <w:sz w:val="20"/>
                <w:szCs w:val="20"/>
                <w:lang w:eastAsia="fr-FR"/>
              </w:rPr>
            </w:pPr>
            <w:r w:rsidRPr="00A9330B">
              <w:rPr>
                <w:rFonts w:eastAsia="Times New Roman" w:cs="Arial"/>
                <w:color w:val="000000"/>
                <w:sz w:val="20"/>
                <w:szCs w:val="20"/>
                <w:lang w:eastAsia="fr-FR"/>
              </w:rPr>
              <w:t xml:space="preserve">Environnementaliste, Juriste foncier </w:t>
            </w:r>
          </w:p>
        </w:tc>
      </w:tr>
      <w:tr w:rsidR="00743DD1" w:rsidRPr="00A9330B" w14:paraId="37471D71" w14:textId="77777777" w:rsidTr="001275D6">
        <w:trPr>
          <w:trHeight w:val="300"/>
          <w:jc w:val="center"/>
        </w:trPr>
        <w:tc>
          <w:tcPr>
            <w:tcW w:w="311" w:type="pct"/>
          </w:tcPr>
          <w:p w14:paraId="0B5DAD60" w14:textId="77777777" w:rsidR="00743DD1" w:rsidRPr="00A9330B" w:rsidRDefault="00743DD1" w:rsidP="00BD2F72">
            <w:pPr>
              <w:pStyle w:val="Paragraphedeliste"/>
              <w:numPr>
                <w:ilvl w:val="0"/>
                <w:numId w:val="92"/>
              </w:numPr>
              <w:spacing w:before="0" w:line="240" w:lineRule="auto"/>
              <w:rPr>
                <w:rFonts w:cs="Arial"/>
                <w:color w:val="000000"/>
                <w:sz w:val="20"/>
                <w:lang w:val="fr-FR" w:eastAsia="fr-FR"/>
              </w:rPr>
            </w:pPr>
          </w:p>
        </w:tc>
        <w:tc>
          <w:tcPr>
            <w:tcW w:w="1570" w:type="pct"/>
            <w:shd w:val="clear" w:color="auto" w:fill="auto"/>
            <w:noWrap/>
            <w:vAlign w:val="bottom"/>
            <w:hideMark/>
          </w:tcPr>
          <w:p w14:paraId="23D0E683" w14:textId="12BF326B" w:rsidR="00743DD1" w:rsidRPr="00A9330B" w:rsidRDefault="00743DD1" w:rsidP="001275D6">
            <w:pPr>
              <w:spacing w:before="0" w:line="240" w:lineRule="auto"/>
              <w:rPr>
                <w:rFonts w:eastAsia="Times New Roman" w:cs="Arial"/>
                <w:color w:val="000000"/>
                <w:sz w:val="20"/>
                <w:szCs w:val="20"/>
                <w:lang w:eastAsia="fr-FR"/>
              </w:rPr>
            </w:pPr>
            <w:r w:rsidRPr="00A9330B">
              <w:rPr>
                <w:rFonts w:eastAsia="Times New Roman" w:cs="Arial"/>
                <w:color w:val="000000"/>
                <w:sz w:val="20"/>
                <w:szCs w:val="20"/>
                <w:lang w:eastAsia="fr-FR"/>
              </w:rPr>
              <w:t>KPODE</w:t>
            </w:r>
            <w:r w:rsidR="00EA5A97" w:rsidRPr="00A9330B">
              <w:rPr>
                <w:rFonts w:eastAsia="Times New Roman" w:cs="Arial"/>
                <w:color w:val="000000"/>
                <w:sz w:val="20"/>
                <w:szCs w:val="20"/>
                <w:lang w:eastAsia="fr-FR"/>
              </w:rPr>
              <w:t>KON</w:t>
            </w:r>
            <w:r w:rsidRPr="00A9330B">
              <w:rPr>
                <w:rFonts w:eastAsia="Times New Roman" w:cs="Arial"/>
                <w:color w:val="000000"/>
                <w:sz w:val="20"/>
                <w:szCs w:val="20"/>
                <w:lang w:eastAsia="fr-FR"/>
              </w:rPr>
              <w:t xml:space="preserve"> Olivier </w:t>
            </w:r>
          </w:p>
        </w:tc>
        <w:tc>
          <w:tcPr>
            <w:tcW w:w="3119" w:type="pct"/>
            <w:shd w:val="clear" w:color="auto" w:fill="auto"/>
            <w:noWrap/>
            <w:vAlign w:val="bottom"/>
            <w:hideMark/>
          </w:tcPr>
          <w:p w14:paraId="2027F0A1" w14:textId="77777777" w:rsidR="00743DD1" w:rsidRPr="00A9330B" w:rsidRDefault="00743DD1" w:rsidP="001275D6">
            <w:pPr>
              <w:spacing w:before="0" w:line="240" w:lineRule="auto"/>
              <w:rPr>
                <w:rFonts w:eastAsia="Times New Roman" w:cs="Arial"/>
                <w:color w:val="000000"/>
                <w:sz w:val="20"/>
                <w:szCs w:val="20"/>
                <w:lang w:eastAsia="fr-FR"/>
              </w:rPr>
            </w:pPr>
            <w:r w:rsidRPr="00A9330B">
              <w:rPr>
                <w:rFonts w:eastAsia="Times New Roman" w:cs="Arial"/>
                <w:color w:val="000000"/>
                <w:sz w:val="20"/>
                <w:szCs w:val="20"/>
                <w:lang w:eastAsia="fr-FR"/>
              </w:rPr>
              <w:t xml:space="preserve">Juriste Environnementaliste </w:t>
            </w:r>
          </w:p>
        </w:tc>
      </w:tr>
      <w:tr w:rsidR="00743DD1" w:rsidRPr="00A9330B" w14:paraId="43E4F5CF" w14:textId="77777777" w:rsidTr="001275D6">
        <w:trPr>
          <w:trHeight w:val="300"/>
          <w:jc w:val="center"/>
        </w:trPr>
        <w:tc>
          <w:tcPr>
            <w:tcW w:w="311" w:type="pct"/>
          </w:tcPr>
          <w:p w14:paraId="3E41406F" w14:textId="77777777" w:rsidR="00743DD1" w:rsidRPr="00A9330B" w:rsidRDefault="00743DD1" w:rsidP="00BD2F72">
            <w:pPr>
              <w:pStyle w:val="Paragraphedeliste"/>
              <w:numPr>
                <w:ilvl w:val="0"/>
                <w:numId w:val="92"/>
              </w:numPr>
              <w:spacing w:before="0" w:line="240" w:lineRule="auto"/>
              <w:rPr>
                <w:rFonts w:cs="Arial"/>
                <w:color w:val="000000"/>
                <w:sz w:val="20"/>
                <w:lang w:val="fr-FR" w:eastAsia="fr-FR"/>
              </w:rPr>
            </w:pPr>
          </w:p>
        </w:tc>
        <w:tc>
          <w:tcPr>
            <w:tcW w:w="1570" w:type="pct"/>
            <w:shd w:val="clear" w:color="auto" w:fill="auto"/>
            <w:noWrap/>
            <w:vAlign w:val="bottom"/>
            <w:hideMark/>
          </w:tcPr>
          <w:p w14:paraId="6851A7A1" w14:textId="77777777" w:rsidR="00743DD1" w:rsidRPr="00A9330B" w:rsidRDefault="00743DD1" w:rsidP="001275D6">
            <w:pPr>
              <w:spacing w:before="0" w:line="240" w:lineRule="auto"/>
              <w:rPr>
                <w:rFonts w:eastAsia="Times New Roman" w:cs="Arial"/>
                <w:color w:val="000000"/>
                <w:sz w:val="20"/>
                <w:szCs w:val="20"/>
                <w:lang w:eastAsia="fr-FR"/>
              </w:rPr>
            </w:pPr>
            <w:r w:rsidRPr="00A9330B">
              <w:rPr>
                <w:rFonts w:eastAsia="Times New Roman" w:cs="Arial"/>
                <w:color w:val="000000"/>
                <w:sz w:val="20"/>
                <w:szCs w:val="20"/>
                <w:lang w:eastAsia="fr-FR"/>
              </w:rPr>
              <w:t xml:space="preserve">ADJIRE Clément </w:t>
            </w:r>
          </w:p>
        </w:tc>
        <w:tc>
          <w:tcPr>
            <w:tcW w:w="3119" w:type="pct"/>
            <w:shd w:val="clear" w:color="auto" w:fill="auto"/>
            <w:noWrap/>
            <w:vAlign w:val="bottom"/>
            <w:hideMark/>
          </w:tcPr>
          <w:p w14:paraId="1F98CC5E" w14:textId="77777777" w:rsidR="00743DD1" w:rsidRPr="00A9330B" w:rsidRDefault="00743DD1" w:rsidP="001275D6">
            <w:pPr>
              <w:spacing w:before="0" w:line="240" w:lineRule="auto"/>
              <w:rPr>
                <w:rFonts w:eastAsia="Times New Roman" w:cs="Arial"/>
                <w:color w:val="000000"/>
                <w:sz w:val="20"/>
                <w:szCs w:val="20"/>
                <w:lang w:eastAsia="fr-FR"/>
              </w:rPr>
            </w:pPr>
            <w:r w:rsidRPr="00A9330B">
              <w:rPr>
                <w:rFonts w:eastAsia="Times New Roman" w:cs="Arial"/>
                <w:color w:val="000000"/>
                <w:sz w:val="20"/>
                <w:szCs w:val="20"/>
                <w:lang w:eastAsia="fr-FR"/>
              </w:rPr>
              <w:t xml:space="preserve">Cartographe, Géographe </w:t>
            </w:r>
          </w:p>
        </w:tc>
      </w:tr>
      <w:tr w:rsidR="00743DD1" w:rsidRPr="00A9330B" w14:paraId="424CDE07" w14:textId="77777777" w:rsidTr="001275D6">
        <w:trPr>
          <w:trHeight w:val="300"/>
          <w:jc w:val="center"/>
        </w:trPr>
        <w:tc>
          <w:tcPr>
            <w:tcW w:w="311" w:type="pct"/>
          </w:tcPr>
          <w:p w14:paraId="41B6E0DD" w14:textId="77777777" w:rsidR="00743DD1" w:rsidRPr="00A9330B" w:rsidRDefault="00743DD1" w:rsidP="00BD2F72">
            <w:pPr>
              <w:pStyle w:val="Paragraphedeliste"/>
              <w:numPr>
                <w:ilvl w:val="0"/>
                <w:numId w:val="92"/>
              </w:numPr>
              <w:spacing w:before="0" w:line="240" w:lineRule="auto"/>
              <w:rPr>
                <w:rFonts w:cs="Arial"/>
                <w:color w:val="000000"/>
                <w:sz w:val="20"/>
                <w:lang w:val="fr-FR" w:eastAsia="fr-FR"/>
              </w:rPr>
            </w:pPr>
          </w:p>
        </w:tc>
        <w:tc>
          <w:tcPr>
            <w:tcW w:w="1570" w:type="pct"/>
            <w:shd w:val="clear" w:color="auto" w:fill="auto"/>
            <w:noWrap/>
            <w:vAlign w:val="bottom"/>
            <w:hideMark/>
          </w:tcPr>
          <w:p w14:paraId="1FDD4FE2" w14:textId="77777777" w:rsidR="00743DD1" w:rsidRPr="00A9330B" w:rsidRDefault="00743DD1" w:rsidP="001275D6">
            <w:pPr>
              <w:spacing w:before="0" w:line="240" w:lineRule="auto"/>
              <w:rPr>
                <w:rFonts w:eastAsia="Times New Roman" w:cs="Arial"/>
                <w:color w:val="000000"/>
                <w:sz w:val="20"/>
                <w:szCs w:val="20"/>
                <w:lang w:eastAsia="fr-FR"/>
              </w:rPr>
            </w:pPr>
            <w:r w:rsidRPr="00A9330B">
              <w:rPr>
                <w:rFonts w:eastAsia="Times New Roman" w:cs="Arial"/>
                <w:color w:val="000000"/>
                <w:sz w:val="20"/>
                <w:szCs w:val="20"/>
                <w:lang w:eastAsia="fr-FR"/>
              </w:rPr>
              <w:t>BAGUERE Fabrice</w:t>
            </w:r>
          </w:p>
        </w:tc>
        <w:tc>
          <w:tcPr>
            <w:tcW w:w="3119" w:type="pct"/>
            <w:shd w:val="clear" w:color="auto" w:fill="auto"/>
            <w:noWrap/>
            <w:vAlign w:val="bottom"/>
            <w:hideMark/>
          </w:tcPr>
          <w:p w14:paraId="084E6387" w14:textId="77777777" w:rsidR="00743DD1" w:rsidRPr="00A9330B" w:rsidRDefault="00743DD1" w:rsidP="001275D6">
            <w:pPr>
              <w:spacing w:before="0" w:line="240" w:lineRule="auto"/>
              <w:rPr>
                <w:rFonts w:eastAsia="Times New Roman" w:cs="Arial"/>
                <w:color w:val="000000"/>
                <w:sz w:val="20"/>
                <w:szCs w:val="20"/>
                <w:lang w:eastAsia="fr-FR"/>
              </w:rPr>
            </w:pPr>
            <w:r w:rsidRPr="00A9330B">
              <w:rPr>
                <w:rFonts w:eastAsia="Times New Roman" w:cs="Arial"/>
                <w:color w:val="000000"/>
                <w:sz w:val="20"/>
                <w:szCs w:val="20"/>
                <w:lang w:eastAsia="fr-FR"/>
              </w:rPr>
              <w:t xml:space="preserve">Cartographe, Agronome </w:t>
            </w:r>
          </w:p>
        </w:tc>
      </w:tr>
      <w:tr w:rsidR="00743DD1" w:rsidRPr="00A9330B" w14:paraId="05C01262" w14:textId="77777777" w:rsidTr="001275D6">
        <w:trPr>
          <w:trHeight w:val="300"/>
          <w:jc w:val="center"/>
        </w:trPr>
        <w:tc>
          <w:tcPr>
            <w:tcW w:w="311" w:type="pct"/>
          </w:tcPr>
          <w:p w14:paraId="19EE7DEC" w14:textId="77777777" w:rsidR="00743DD1" w:rsidRPr="00A9330B" w:rsidRDefault="00743DD1" w:rsidP="00BD2F72">
            <w:pPr>
              <w:pStyle w:val="Paragraphedeliste"/>
              <w:numPr>
                <w:ilvl w:val="0"/>
                <w:numId w:val="92"/>
              </w:numPr>
              <w:spacing w:before="0" w:line="240" w:lineRule="auto"/>
              <w:rPr>
                <w:rFonts w:cs="Arial"/>
                <w:color w:val="000000"/>
                <w:sz w:val="20"/>
                <w:lang w:val="fr-FR" w:eastAsia="fr-FR"/>
              </w:rPr>
            </w:pPr>
          </w:p>
        </w:tc>
        <w:tc>
          <w:tcPr>
            <w:tcW w:w="1570" w:type="pct"/>
            <w:shd w:val="clear" w:color="auto" w:fill="auto"/>
            <w:noWrap/>
            <w:vAlign w:val="bottom"/>
            <w:hideMark/>
          </w:tcPr>
          <w:p w14:paraId="6D61963B" w14:textId="77777777" w:rsidR="00743DD1" w:rsidRPr="00A9330B" w:rsidRDefault="00743DD1" w:rsidP="001275D6">
            <w:pPr>
              <w:spacing w:before="0" w:line="240" w:lineRule="auto"/>
              <w:rPr>
                <w:rFonts w:eastAsia="Times New Roman" w:cs="Arial"/>
                <w:color w:val="000000"/>
                <w:sz w:val="20"/>
                <w:szCs w:val="20"/>
                <w:lang w:eastAsia="fr-FR"/>
              </w:rPr>
            </w:pPr>
            <w:r w:rsidRPr="00A9330B">
              <w:rPr>
                <w:rFonts w:eastAsia="Times New Roman" w:cs="Arial"/>
                <w:color w:val="000000"/>
                <w:sz w:val="20"/>
                <w:szCs w:val="20"/>
                <w:lang w:eastAsia="fr-FR"/>
              </w:rPr>
              <w:t xml:space="preserve">BRUN Estelle </w:t>
            </w:r>
          </w:p>
        </w:tc>
        <w:tc>
          <w:tcPr>
            <w:tcW w:w="3119" w:type="pct"/>
            <w:shd w:val="clear" w:color="auto" w:fill="auto"/>
            <w:noWrap/>
            <w:vAlign w:val="bottom"/>
            <w:hideMark/>
          </w:tcPr>
          <w:p w14:paraId="53CD4AEC" w14:textId="77777777" w:rsidR="00743DD1" w:rsidRPr="00A9330B" w:rsidRDefault="00743DD1" w:rsidP="001275D6">
            <w:pPr>
              <w:spacing w:before="0" w:line="240" w:lineRule="auto"/>
              <w:rPr>
                <w:rFonts w:eastAsia="Times New Roman" w:cs="Arial"/>
                <w:sz w:val="20"/>
                <w:szCs w:val="20"/>
                <w:lang w:eastAsia="fr-FR"/>
              </w:rPr>
            </w:pPr>
            <w:r w:rsidRPr="00A9330B">
              <w:rPr>
                <w:rFonts w:eastAsia="Times New Roman" w:cs="Arial"/>
                <w:sz w:val="20"/>
                <w:szCs w:val="20"/>
                <w:lang w:eastAsia="fr-FR"/>
              </w:rPr>
              <w:t xml:space="preserve">Géographe aménagiste, Environnementaliste </w:t>
            </w:r>
          </w:p>
        </w:tc>
      </w:tr>
      <w:tr w:rsidR="00743DD1" w:rsidRPr="00A9330B" w14:paraId="64029149" w14:textId="77777777" w:rsidTr="001275D6">
        <w:trPr>
          <w:trHeight w:val="300"/>
          <w:jc w:val="center"/>
        </w:trPr>
        <w:tc>
          <w:tcPr>
            <w:tcW w:w="311" w:type="pct"/>
          </w:tcPr>
          <w:p w14:paraId="348DFA7E" w14:textId="77777777" w:rsidR="00743DD1" w:rsidRPr="00A9330B" w:rsidRDefault="00743DD1" w:rsidP="001275D6">
            <w:pPr>
              <w:spacing w:before="0" w:line="240" w:lineRule="auto"/>
              <w:rPr>
                <w:rFonts w:cs="Arial"/>
                <w:b/>
                <w:bCs/>
                <w:color w:val="000000"/>
                <w:sz w:val="20"/>
                <w:szCs w:val="20"/>
                <w:lang w:eastAsia="fr-FR"/>
              </w:rPr>
            </w:pPr>
          </w:p>
        </w:tc>
        <w:tc>
          <w:tcPr>
            <w:tcW w:w="1570" w:type="pct"/>
            <w:shd w:val="clear" w:color="auto" w:fill="auto"/>
            <w:noWrap/>
            <w:vAlign w:val="bottom"/>
            <w:hideMark/>
          </w:tcPr>
          <w:p w14:paraId="45CF72CA" w14:textId="77777777" w:rsidR="00743DD1" w:rsidRPr="00A9330B" w:rsidRDefault="00743DD1" w:rsidP="001275D6">
            <w:pPr>
              <w:spacing w:before="0" w:line="240" w:lineRule="auto"/>
              <w:rPr>
                <w:rFonts w:eastAsia="Times New Roman" w:cs="Arial"/>
                <w:b/>
                <w:bCs/>
                <w:color w:val="000000"/>
                <w:sz w:val="20"/>
                <w:szCs w:val="20"/>
                <w:lang w:eastAsia="fr-FR"/>
              </w:rPr>
            </w:pPr>
            <w:r w:rsidRPr="00A9330B">
              <w:rPr>
                <w:rFonts w:eastAsia="Times New Roman" w:cs="Arial"/>
                <w:b/>
                <w:bCs/>
                <w:color w:val="000000"/>
                <w:sz w:val="20"/>
                <w:szCs w:val="20"/>
                <w:lang w:eastAsia="fr-FR"/>
              </w:rPr>
              <w:t>Personnel d'appui</w:t>
            </w:r>
          </w:p>
        </w:tc>
        <w:tc>
          <w:tcPr>
            <w:tcW w:w="3119" w:type="pct"/>
            <w:shd w:val="clear" w:color="auto" w:fill="auto"/>
            <w:noWrap/>
            <w:vAlign w:val="bottom"/>
            <w:hideMark/>
          </w:tcPr>
          <w:p w14:paraId="42738001" w14:textId="77777777" w:rsidR="00743DD1" w:rsidRPr="00A9330B" w:rsidRDefault="00743DD1" w:rsidP="001275D6">
            <w:pPr>
              <w:spacing w:before="0" w:line="240" w:lineRule="auto"/>
              <w:rPr>
                <w:rFonts w:eastAsia="Times New Roman" w:cs="Arial"/>
                <w:b/>
                <w:bCs/>
                <w:color w:val="000000"/>
                <w:sz w:val="20"/>
                <w:szCs w:val="20"/>
                <w:lang w:eastAsia="fr-FR"/>
              </w:rPr>
            </w:pPr>
          </w:p>
        </w:tc>
      </w:tr>
      <w:tr w:rsidR="00743DD1" w:rsidRPr="00A9330B" w14:paraId="2FB3B549" w14:textId="77777777" w:rsidTr="001275D6">
        <w:trPr>
          <w:trHeight w:val="300"/>
          <w:jc w:val="center"/>
        </w:trPr>
        <w:tc>
          <w:tcPr>
            <w:tcW w:w="311" w:type="pct"/>
          </w:tcPr>
          <w:p w14:paraId="518C7F13" w14:textId="77777777" w:rsidR="00743DD1" w:rsidRPr="00A9330B" w:rsidRDefault="00743DD1" w:rsidP="00BD2F72">
            <w:pPr>
              <w:pStyle w:val="Paragraphedeliste"/>
              <w:numPr>
                <w:ilvl w:val="0"/>
                <w:numId w:val="92"/>
              </w:numPr>
              <w:spacing w:before="0" w:line="240" w:lineRule="auto"/>
              <w:rPr>
                <w:rFonts w:cs="Arial"/>
                <w:color w:val="000000"/>
                <w:sz w:val="20"/>
                <w:lang w:val="fr-FR" w:eastAsia="fr-FR"/>
              </w:rPr>
            </w:pPr>
          </w:p>
        </w:tc>
        <w:tc>
          <w:tcPr>
            <w:tcW w:w="1570" w:type="pct"/>
            <w:shd w:val="clear" w:color="auto" w:fill="auto"/>
            <w:noWrap/>
            <w:vAlign w:val="bottom"/>
            <w:hideMark/>
          </w:tcPr>
          <w:p w14:paraId="15F3E8C7" w14:textId="77777777" w:rsidR="00743DD1" w:rsidRPr="00A9330B" w:rsidRDefault="00743DD1" w:rsidP="001275D6">
            <w:pPr>
              <w:spacing w:before="0" w:line="240" w:lineRule="auto"/>
              <w:rPr>
                <w:rFonts w:eastAsia="Times New Roman" w:cs="Arial"/>
                <w:color w:val="000000"/>
                <w:sz w:val="20"/>
                <w:szCs w:val="20"/>
                <w:lang w:eastAsia="fr-FR"/>
              </w:rPr>
            </w:pPr>
            <w:r w:rsidRPr="00A9330B">
              <w:rPr>
                <w:rFonts w:eastAsia="Times New Roman" w:cs="Arial"/>
                <w:color w:val="000000"/>
                <w:sz w:val="20"/>
                <w:szCs w:val="20"/>
                <w:lang w:eastAsia="fr-FR"/>
              </w:rPr>
              <w:t xml:space="preserve">GAHOU Raphaël  </w:t>
            </w:r>
          </w:p>
        </w:tc>
        <w:tc>
          <w:tcPr>
            <w:tcW w:w="3119" w:type="pct"/>
            <w:shd w:val="clear" w:color="auto" w:fill="auto"/>
            <w:noWrap/>
            <w:vAlign w:val="bottom"/>
            <w:hideMark/>
          </w:tcPr>
          <w:p w14:paraId="4935CAD9" w14:textId="77777777" w:rsidR="00743DD1" w:rsidRPr="00A9330B" w:rsidRDefault="00743DD1" w:rsidP="001275D6">
            <w:pPr>
              <w:spacing w:before="0" w:line="240" w:lineRule="auto"/>
              <w:rPr>
                <w:rFonts w:eastAsia="Times New Roman" w:cs="Arial"/>
                <w:color w:val="000000"/>
                <w:sz w:val="20"/>
                <w:szCs w:val="20"/>
                <w:lang w:eastAsia="fr-FR"/>
              </w:rPr>
            </w:pPr>
            <w:r w:rsidRPr="00A9330B">
              <w:rPr>
                <w:rFonts w:eastAsia="Times New Roman" w:cs="Arial"/>
                <w:color w:val="000000"/>
                <w:sz w:val="20"/>
                <w:szCs w:val="20"/>
                <w:lang w:eastAsia="fr-FR"/>
              </w:rPr>
              <w:t>Géographe environnementaliste, Expert en gestion des risques et catastrophes</w:t>
            </w:r>
          </w:p>
        </w:tc>
      </w:tr>
      <w:tr w:rsidR="00743DD1" w:rsidRPr="00A9330B" w14:paraId="0099EF09" w14:textId="77777777" w:rsidTr="001275D6">
        <w:trPr>
          <w:trHeight w:val="300"/>
          <w:jc w:val="center"/>
        </w:trPr>
        <w:tc>
          <w:tcPr>
            <w:tcW w:w="311" w:type="pct"/>
          </w:tcPr>
          <w:p w14:paraId="1C3E6BD1" w14:textId="77777777" w:rsidR="00743DD1" w:rsidRPr="00A9330B" w:rsidRDefault="00743DD1" w:rsidP="00BD2F72">
            <w:pPr>
              <w:pStyle w:val="Paragraphedeliste"/>
              <w:numPr>
                <w:ilvl w:val="0"/>
                <w:numId w:val="92"/>
              </w:numPr>
              <w:spacing w:before="0" w:line="240" w:lineRule="auto"/>
              <w:rPr>
                <w:rFonts w:cs="Arial"/>
                <w:color w:val="000000"/>
                <w:sz w:val="20"/>
                <w:lang w:val="fr-FR" w:eastAsia="fr-FR"/>
              </w:rPr>
            </w:pPr>
          </w:p>
        </w:tc>
        <w:tc>
          <w:tcPr>
            <w:tcW w:w="1570" w:type="pct"/>
            <w:shd w:val="clear" w:color="auto" w:fill="auto"/>
            <w:noWrap/>
            <w:vAlign w:val="bottom"/>
            <w:hideMark/>
          </w:tcPr>
          <w:p w14:paraId="21BAF08B" w14:textId="77777777" w:rsidR="00743DD1" w:rsidRPr="00A9330B" w:rsidRDefault="00743DD1" w:rsidP="001275D6">
            <w:pPr>
              <w:spacing w:before="0" w:line="240" w:lineRule="auto"/>
              <w:rPr>
                <w:rFonts w:eastAsia="Times New Roman" w:cs="Arial"/>
                <w:color w:val="000000"/>
                <w:sz w:val="20"/>
                <w:szCs w:val="20"/>
                <w:lang w:eastAsia="fr-FR"/>
              </w:rPr>
            </w:pPr>
            <w:r w:rsidRPr="00A9330B">
              <w:rPr>
                <w:rFonts w:eastAsia="Times New Roman" w:cs="Arial"/>
                <w:color w:val="000000"/>
                <w:sz w:val="20"/>
                <w:szCs w:val="20"/>
                <w:lang w:eastAsia="fr-FR"/>
              </w:rPr>
              <w:t xml:space="preserve">TOGLA Frethas </w:t>
            </w:r>
          </w:p>
        </w:tc>
        <w:tc>
          <w:tcPr>
            <w:tcW w:w="3119" w:type="pct"/>
            <w:shd w:val="clear" w:color="auto" w:fill="auto"/>
            <w:noWrap/>
            <w:vAlign w:val="bottom"/>
            <w:hideMark/>
          </w:tcPr>
          <w:p w14:paraId="1BAAC024" w14:textId="77777777" w:rsidR="00743DD1" w:rsidRPr="00A9330B" w:rsidRDefault="00743DD1" w:rsidP="001275D6">
            <w:pPr>
              <w:spacing w:before="0" w:line="240" w:lineRule="auto"/>
              <w:rPr>
                <w:rFonts w:eastAsia="Times New Roman" w:cs="Arial"/>
                <w:color w:val="000000"/>
                <w:sz w:val="20"/>
                <w:szCs w:val="20"/>
                <w:lang w:eastAsia="fr-FR"/>
              </w:rPr>
            </w:pPr>
            <w:r w:rsidRPr="00A9330B">
              <w:rPr>
                <w:rFonts w:eastAsia="Times New Roman" w:cs="Arial"/>
                <w:color w:val="000000"/>
                <w:sz w:val="20"/>
                <w:szCs w:val="20"/>
                <w:lang w:eastAsia="fr-FR"/>
              </w:rPr>
              <w:t>Géographe Aménagiste,  HSE,  Superviseur ABOMEY</w:t>
            </w:r>
          </w:p>
        </w:tc>
      </w:tr>
      <w:tr w:rsidR="00743DD1" w:rsidRPr="00A9330B" w14:paraId="7304DB82" w14:textId="77777777" w:rsidTr="001275D6">
        <w:trPr>
          <w:trHeight w:val="300"/>
          <w:jc w:val="center"/>
        </w:trPr>
        <w:tc>
          <w:tcPr>
            <w:tcW w:w="311" w:type="pct"/>
          </w:tcPr>
          <w:p w14:paraId="2C73EA76" w14:textId="77777777" w:rsidR="00743DD1" w:rsidRPr="00A9330B" w:rsidRDefault="00743DD1" w:rsidP="00BD2F72">
            <w:pPr>
              <w:pStyle w:val="Paragraphedeliste"/>
              <w:numPr>
                <w:ilvl w:val="0"/>
                <w:numId w:val="92"/>
              </w:numPr>
              <w:spacing w:before="0" w:line="240" w:lineRule="auto"/>
              <w:rPr>
                <w:rFonts w:cs="Arial"/>
                <w:color w:val="000000"/>
                <w:sz w:val="20"/>
                <w:lang w:val="fr-FR" w:eastAsia="fr-FR"/>
              </w:rPr>
            </w:pPr>
          </w:p>
        </w:tc>
        <w:tc>
          <w:tcPr>
            <w:tcW w:w="1570" w:type="pct"/>
            <w:shd w:val="clear" w:color="auto" w:fill="auto"/>
            <w:noWrap/>
            <w:vAlign w:val="bottom"/>
            <w:hideMark/>
          </w:tcPr>
          <w:p w14:paraId="75F68190" w14:textId="77777777" w:rsidR="00743DD1" w:rsidRPr="00A9330B" w:rsidRDefault="00743DD1" w:rsidP="001275D6">
            <w:pPr>
              <w:spacing w:before="0" w:line="240" w:lineRule="auto"/>
              <w:rPr>
                <w:rFonts w:eastAsia="Times New Roman" w:cs="Arial"/>
                <w:color w:val="000000"/>
                <w:sz w:val="20"/>
                <w:szCs w:val="20"/>
                <w:lang w:eastAsia="fr-FR"/>
              </w:rPr>
            </w:pPr>
            <w:r w:rsidRPr="00A9330B">
              <w:rPr>
                <w:rFonts w:eastAsia="Times New Roman" w:cs="Arial"/>
                <w:color w:val="000000"/>
                <w:sz w:val="20"/>
                <w:szCs w:val="20"/>
                <w:lang w:eastAsia="fr-FR"/>
              </w:rPr>
              <w:t>VISSOH Euronce</w:t>
            </w:r>
          </w:p>
        </w:tc>
        <w:tc>
          <w:tcPr>
            <w:tcW w:w="3119" w:type="pct"/>
            <w:shd w:val="clear" w:color="auto" w:fill="auto"/>
            <w:noWrap/>
            <w:vAlign w:val="bottom"/>
            <w:hideMark/>
          </w:tcPr>
          <w:p w14:paraId="0CD56EB5" w14:textId="77777777" w:rsidR="00743DD1" w:rsidRPr="00A9330B" w:rsidRDefault="00743DD1" w:rsidP="001275D6">
            <w:pPr>
              <w:spacing w:before="0" w:line="240" w:lineRule="auto"/>
              <w:rPr>
                <w:rFonts w:eastAsia="Times New Roman" w:cs="Arial"/>
                <w:color w:val="000000"/>
                <w:sz w:val="20"/>
                <w:szCs w:val="20"/>
                <w:lang w:eastAsia="fr-FR"/>
              </w:rPr>
            </w:pPr>
            <w:r w:rsidRPr="00A9330B">
              <w:rPr>
                <w:rFonts w:eastAsia="Times New Roman" w:cs="Arial"/>
                <w:color w:val="000000"/>
                <w:sz w:val="20"/>
                <w:szCs w:val="20"/>
                <w:lang w:eastAsia="fr-FR"/>
              </w:rPr>
              <w:t xml:space="preserve">Sociologue, Assistant Superviseur BOHICON </w:t>
            </w:r>
          </w:p>
        </w:tc>
      </w:tr>
      <w:tr w:rsidR="00743DD1" w:rsidRPr="00A9330B" w14:paraId="6EED6EAE" w14:textId="77777777" w:rsidTr="001275D6">
        <w:trPr>
          <w:trHeight w:val="300"/>
          <w:jc w:val="center"/>
        </w:trPr>
        <w:tc>
          <w:tcPr>
            <w:tcW w:w="311" w:type="pct"/>
          </w:tcPr>
          <w:p w14:paraId="1C660E8D" w14:textId="77777777" w:rsidR="00743DD1" w:rsidRPr="00A9330B" w:rsidRDefault="00743DD1" w:rsidP="00BD2F72">
            <w:pPr>
              <w:pStyle w:val="Paragraphedeliste"/>
              <w:numPr>
                <w:ilvl w:val="0"/>
                <w:numId w:val="92"/>
              </w:numPr>
              <w:spacing w:before="0" w:line="240" w:lineRule="auto"/>
              <w:rPr>
                <w:rFonts w:cs="Arial"/>
                <w:color w:val="000000"/>
                <w:sz w:val="20"/>
                <w:lang w:val="fr-FR" w:eastAsia="fr-FR"/>
              </w:rPr>
            </w:pPr>
          </w:p>
        </w:tc>
        <w:tc>
          <w:tcPr>
            <w:tcW w:w="1570" w:type="pct"/>
            <w:shd w:val="clear" w:color="auto" w:fill="auto"/>
            <w:noWrap/>
            <w:vAlign w:val="bottom"/>
            <w:hideMark/>
          </w:tcPr>
          <w:p w14:paraId="124908AC" w14:textId="4618BD22" w:rsidR="00743DD1" w:rsidRPr="00A9330B" w:rsidRDefault="00E8181C" w:rsidP="001275D6">
            <w:pPr>
              <w:spacing w:before="0" w:line="240" w:lineRule="auto"/>
              <w:rPr>
                <w:rFonts w:eastAsia="Times New Roman" w:cs="Arial"/>
                <w:color w:val="000000"/>
                <w:sz w:val="20"/>
                <w:szCs w:val="20"/>
                <w:lang w:eastAsia="fr-FR"/>
              </w:rPr>
            </w:pPr>
            <w:r w:rsidRPr="00A9330B">
              <w:rPr>
                <w:rFonts w:eastAsia="Times New Roman" w:cs="Arial"/>
                <w:color w:val="000000"/>
                <w:sz w:val="20"/>
                <w:szCs w:val="20"/>
                <w:lang w:eastAsia="fr-FR"/>
              </w:rPr>
              <w:t>SARRE KOTO Wadjid</w:t>
            </w:r>
          </w:p>
        </w:tc>
        <w:tc>
          <w:tcPr>
            <w:tcW w:w="3119" w:type="pct"/>
            <w:shd w:val="clear" w:color="auto" w:fill="auto"/>
            <w:noWrap/>
            <w:vAlign w:val="bottom"/>
            <w:hideMark/>
          </w:tcPr>
          <w:p w14:paraId="16DE72F9" w14:textId="77777777" w:rsidR="00743DD1" w:rsidRPr="00A9330B" w:rsidRDefault="00743DD1" w:rsidP="001275D6">
            <w:pPr>
              <w:spacing w:before="0" w:line="240" w:lineRule="auto"/>
              <w:rPr>
                <w:rFonts w:eastAsia="Times New Roman" w:cs="Arial"/>
                <w:color w:val="000000"/>
                <w:sz w:val="20"/>
                <w:szCs w:val="20"/>
                <w:lang w:eastAsia="fr-FR"/>
              </w:rPr>
            </w:pPr>
            <w:r w:rsidRPr="00A9330B">
              <w:rPr>
                <w:rFonts w:eastAsia="Times New Roman" w:cs="Arial"/>
                <w:color w:val="000000"/>
                <w:sz w:val="20"/>
                <w:szCs w:val="20"/>
                <w:lang w:eastAsia="fr-FR"/>
              </w:rPr>
              <w:t xml:space="preserve">Ingénieur Agronome, Environnementaliste, Superviseur PARAKOU  </w:t>
            </w:r>
          </w:p>
        </w:tc>
      </w:tr>
      <w:tr w:rsidR="00743DD1" w:rsidRPr="00A9330B" w14:paraId="170EA183" w14:textId="77777777" w:rsidTr="001275D6">
        <w:trPr>
          <w:trHeight w:val="300"/>
          <w:jc w:val="center"/>
        </w:trPr>
        <w:tc>
          <w:tcPr>
            <w:tcW w:w="311" w:type="pct"/>
          </w:tcPr>
          <w:p w14:paraId="25BBFA34" w14:textId="77777777" w:rsidR="00743DD1" w:rsidRPr="00A9330B" w:rsidRDefault="00743DD1" w:rsidP="00BD2F72">
            <w:pPr>
              <w:pStyle w:val="Paragraphedeliste"/>
              <w:numPr>
                <w:ilvl w:val="0"/>
                <w:numId w:val="92"/>
              </w:numPr>
              <w:spacing w:before="0" w:line="240" w:lineRule="auto"/>
              <w:rPr>
                <w:rFonts w:cs="Arial"/>
                <w:color w:val="000000"/>
                <w:sz w:val="20"/>
                <w:lang w:val="fr-FR" w:eastAsia="fr-FR"/>
              </w:rPr>
            </w:pPr>
          </w:p>
        </w:tc>
        <w:tc>
          <w:tcPr>
            <w:tcW w:w="1570" w:type="pct"/>
            <w:shd w:val="clear" w:color="auto" w:fill="auto"/>
            <w:noWrap/>
            <w:vAlign w:val="bottom"/>
            <w:hideMark/>
          </w:tcPr>
          <w:p w14:paraId="377A736F" w14:textId="77777777" w:rsidR="00743DD1" w:rsidRPr="00A9330B" w:rsidRDefault="00743DD1" w:rsidP="001275D6">
            <w:pPr>
              <w:spacing w:before="0" w:line="240" w:lineRule="auto"/>
              <w:rPr>
                <w:rFonts w:eastAsia="Times New Roman" w:cs="Arial"/>
                <w:color w:val="000000"/>
                <w:sz w:val="20"/>
                <w:szCs w:val="20"/>
                <w:lang w:eastAsia="fr-FR"/>
              </w:rPr>
            </w:pPr>
            <w:r w:rsidRPr="00A9330B">
              <w:rPr>
                <w:rFonts w:eastAsia="Times New Roman" w:cs="Arial"/>
                <w:color w:val="000000"/>
                <w:sz w:val="20"/>
                <w:szCs w:val="20"/>
                <w:lang w:eastAsia="fr-FR"/>
              </w:rPr>
              <w:t xml:space="preserve">IDANI Mindri </w:t>
            </w:r>
          </w:p>
        </w:tc>
        <w:tc>
          <w:tcPr>
            <w:tcW w:w="3119" w:type="pct"/>
            <w:shd w:val="clear" w:color="auto" w:fill="auto"/>
            <w:noWrap/>
            <w:vAlign w:val="bottom"/>
            <w:hideMark/>
          </w:tcPr>
          <w:p w14:paraId="6FAB3B4B" w14:textId="77777777" w:rsidR="00743DD1" w:rsidRPr="00A9330B" w:rsidRDefault="00743DD1" w:rsidP="001275D6">
            <w:pPr>
              <w:spacing w:before="0" w:line="240" w:lineRule="auto"/>
              <w:rPr>
                <w:rFonts w:eastAsia="Times New Roman" w:cs="Arial"/>
                <w:color w:val="000000"/>
                <w:sz w:val="20"/>
                <w:szCs w:val="20"/>
                <w:lang w:eastAsia="fr-FR"/>
              </w:rPr>
            </w:pPr>
            <w:r w:rsidRPr="00A9330B">
              <w:rPr>
                <w:rFonts w:eastAsia="Times New Roman" w:cs="Arial"/>
                <w:color w:val="000000"/>
                <w:sz w:val="20"/>
                <w:szCs w:val="20"/>
                <w:lang w:eastAsia="fr-FR"/>
              </w:rPr>
              <w:t xml:space="preserve">Géographe Aménagiste, Superviseur NATITINGOU </w:t>
            </w:r>
          </w:p>
        </w:tc>
      </w:tr>
    </w:tbl>
    <w:p w14:paraId="1637AE2B" w14:textId="3E1CA84E" w:rsidR="00AB04ED" w:rsidRPr="00A9330B" w:rsidRDefault="009D26AD" w:rsidP="006E37A6">
      <w:pPr>
        <w:pStyle w:val="Titre3"/>
      </w:pPr>
      <w:bookmarkStart w:id="137" w:name="_Toc45520743"/>
      <w:bookmarkStart w:id="138" w:name="_Toc52869551"/>
      <w:r w:rsidRPr="00A9330B">
        <w:t>1.1.3</w:t>
      </w:r>
      <w:r w:rsidR="00AB04ED" w:rsidRPr="00A9330B">
        <w:t xml:space="preserve">. </w:t>
      </w:r>
      <w:r w:rsidR="00E8181C" w:rsidRPr="00A9330B">
        <w:t xml:space="preserve">Justification </w:t>
      </w:r>
      <w:r w:rsidR="00AB04ED" w:rsidRPr="00A9330B">
        <w:t>du projet</w:t>
      </w:r>
      <w:bookmarkEnd w:id="128"/>
      <w:bookmarkEnd w:id="129"/>
      <w:bookmarkEnd w:id="137"/>
      <w:bookmarkEnd w:id="138"/>
      <w:r w:rsidR="00AB04ED" w:rsidRPr="00A9330B">
        <w:t xml:space="preserve"> </w:t>
      </w:r>
      <w:bookmarkEnd w:id="97"/>
      <w:bookmarkEnd w:id="98"/>
      <w:bookmarkEnd w:id="99"/>
      <w:bookmarkEnd w:id="100"/>
      <w:bookmarkEnd w:id="101"/>
      <w:bookmarkEnd w:id="102"/>
      <w:bookmarkEnd w:id="103"/>
      <w:bookmarkEnd w:id="104"/>
      <w:bookmarkEnd w:id="105"/>
      <w:bookmarkEnd w:id="106"/>
      <w:r w:rsidR="00AB04ED" w:rsidRPr="00A9330B">
        <w:t xml:space="preserve"> </w:t>
      </w:r>
    </w:p>
    <w:p w14:paraId="7BA9524E" w14:textId="77777777" w:rsidR="004D07E3" w:rsidRPr="00A9330B" w:rsidRDefault="004D07E3" w:rsidP="00FC172B">
      <w:pPr>
        <w:jc w:val="both"/>
        <w:rPr>
          <w:lang w:eastAsia="fr-FR"/>
        </w:rPr>
      </w:pPr>
      <w:r w:rsidRPr="00A9330B">
        <w:rPr>
          <w:lang w:eastAsia="fr-FR"/>
        </w:rPr>
        <w:t>Le Gouvernement du Bénin ambitionne d’améliorer le bien-être de tous les béninois et de préserver l’environnement au plan national, avec comme vision un développement inclusif et durable articulé autour de villes résilientes et sûres. L’ambition est de parvenir à un aménagement équilibré du territoire, à l’amélioration progressive mais effective du cadre de vie des populations, dans la promotion d’une gestion rationnelle et durable des ressources naturelles et forestières.</w:t>
      </w:r>
    </w:p>
    <w:p w14:paraId="29C77F56" w14:textId="77777777" w:rsidR="004D07E3" w:rsidRPr="00A9330B" w:rsidRDefault="004D07E3" w:rsidP="00FC172B">
      <w:pPr>
        <w:jc w:val="both"/>
        <w:rPr>
          <w:lang w:eastAsia="fr-FR"/>
        </w:rPr>
      </w:pPr>
      <w:r w:rsidRPr="00A9330B">
        <w:rPr>
          <w:lang w:eastAsia="fr-FR"/>
        </w:rPr>
        <w:t>Pour y parvenir, le gouvernement a mis en place deux leviers que sont le Ministère du Cadre de Vie et du Développement Durable (MCVDD) et l’Agence du Cadre de Vie pour le Développement du Territoire (ACV-DT). Le Ministère du Cadre de Vie et du Développement Durable adopte une approche intégrée et opérationnelle du secteur, approche qui est donc basée sur les synergies indispensables à établir entre le développement urbain, l’habitat et l’environnement, sur la rationalisation et la mise en cohérence des programmes et des interventions de l’Etat, et sur le partenariat avec les communes. Cette approche est menée en étroite collaboration avec l’Agence du Cadre de Vie pour le Développement du Territoire qui est l’organisation opérationnelle pour mettre en œuvre la politique ministérielle du Programme d’Action du Gouvernement 2016-2021 autour des grandes thématiques : aménagement de voirie, construction de logements, assainissement, restructuration des infrastructures de commerce, gestion des déchets solides.</w:t>
      </w:r>
    </w:p>
    <w:p w14:paraId="656CC99A" w14:textId="77777777" w:rsidR="004D07E3" w:rsidRPr="00A9330B" w:rsidRDefault="004D07E3" w:rsidP="00FC172B">
      <w:pPr>
        <w:jc w:val="both"/>
        <w:rPr>
          <w:lang w:eastAsia="fr-FR"/>
        </w:rPr>
      </w:pPr>
      <w:r w:rsidRPr="00A9330B">
        <w:rPr>
          <w:lang w:eastAsia="fr-FR"/>
        </w:rPr>
        <w:t xml:space="preserve">C’est donc dans ce souci d’améliorer le service urbain et par ricochet les conditions de vie des populations, que le gouvernement de la République du Bénin a inscrit comme prioritaire, un certain nombre de projets d’assainissement et d’aménagement urbain dont </w:t>
      </w:r>
      <w:r w:rsidRPr="00A9330B">
        <w:rPr>
          <w:b/>
          <w:lang w:eastAsia="fr-FR"/>
        </w:rPr>
        <w:t>le Programme d’Assainissement Pluvial des Villes Secondaires</w:t>
      </w:r>
      <w:r w:rsidRPr="00A9330B">
        <w:rPr>
          <w:lang w:eastAsia="fr-FR"/>
        </w:rPr>
        <w:t xml:space="preserve"> </w:t>
      </w:r>
      <w:r w:rsidRPr="00A9330B">
        <w:rPr>
          <w:b/>
          <w:lang w:eastAsia="fr-FR"/>
        </w:rPr>
        <w:t>(PAPVS)</w:t>
      </w:r>
      <w:r w:rsidRPr="00A9330B">
        <w:rPr>
          <w:lang w:eastAsia="fr-FR"/>
        </w:rPr>
        <w:t xml:space="preserve"> sur le même principe que le Programme d’Assainissement Pluvial de Cotonou (PAPC).</w:t>
      </w:r>
    </w:p>
    <w:p w14:paraId="197EFE1A" w14:textId="77777777" w:rsidR="004D07E3" w:rsidRPr="00A9330B" w:rsidRDefault="004D07E3" w:rsidP="00FC172B">
      <w:pPr>
        <w:jc w:val="both"/>
        <w:rPr>
          <w:lang w:eastAsia="fr-FR"/>
        </w:rPr>
      </w:pPr>
      <w:r w:rsidRPr="00A9330B">
        <w:rPr>
          <w:lang w:eastAsia="fr-FR"/>
        </w:rPr>
        <w:t>Le Programme d’Assainissement Pluvial des Villes concernait initialement les villes de Porto-Novo, Sèmè-Podji, Abomey-Calavi, Ouidah, Abomey et Bohicon. Mais, compte tenu des besoins accrus identifiés dans d’autres villes, notamment dans les villes concernées par le projet Asphaltage en cours où des ouvrages de drainage devant servir d’exutoire sont nécessaires, les villes de Parakou et Natitingou ont été retenues pour compléter les cinq localités ci-dessus citées. Les villes concernées par le Programme d’Assainissement Pluvial des Villes Secondaires sont donc Porto-Novo, Sèmè-Podji, Abomey-Calavi, Ouidah, Abomey, Bohicon, Parakou et Natitingou.</w:t>
      </w:r>
    </w:p>
    <w:p w14:paraId="64235E22" w14:textId="6813BB85" w:rsidR="00354FAB" w:rsidRPr="00A9330B" w:rsidRDefault="00701C80" w:rsidP="00FC172B">
      <w:pPr>
        <w:jc w:val="both"/>
      </w:pPr>
      <w:r w:rsidRPr="00A9330B">
        <w:rPr>
          <w:rFonts w:eastAsia="Calibri" w:cs="Arial"/>
          <w:color w:val="auto"/>
          <w:lang w:eastAsia="fr-FR"/>
        </w:rPr>
        <w:t>Pour ce qui concerne la situation</w:t>
      </w:r>
      <w:r w:rsidR="00E765FE" w:rsidRPr="00A9330B">
        <w:rPr>
          <w:rFonts w:eastAsia="Calibri" w:cs="Arial"/>
          <w:color w:val="auto"/>
          <w:lang w:eastAsia="fr-FR"/>
        </w:rPr>
        <w:t xml:space="preserve"> de </w:t>
      </w:r>
      <w:r w:rsidRPr="00A9330B">
        <w:rPr>
          <w:rFonts w:eastAsia="Calibri" w:cs="Arial"/>
          <w:color w:val="auto"/>
          <w:lang w:eastAsia="fr-FR"/>
        </w:rPr>
        <w:t>Natitingou,</w:t>
      </w:r>
      <w:r w:rsidRPr="00A9330B">
        <w:t xml:space="preserve"> le centre- ville est traversé par deux rivières servant d’exutoire. Il s’agit d</w:t>
      </w:r>
      <w:r w:rsidR="00E765FE" w:rsidRPr="00A9330B">
        <w:t xml:space="preserve">’une part, du </w:t>
      </w:r>
      <w:r w:rsidRPr="00A9330B">
        <w:t xml:space="preserve">canal A situé à l’ouest, </w:t>
      </w:r>
      <w:r w:rsidR="00E60EEF" w:rsidRPr="00A9330B">
        <w:t xml:space="preserve">et qui </w:t>
      </w:r>
      <w:r w:rsidRPr="00A9330B">
        <w:t xml:space="preserve">est constitué par la rivière Founrigninkèrè, cette rivière reprenne la majeure partie des eaux de la ville et </w:t>
      </w:r>
      <w:r w:rsidR="00E60EEF" w:rsidRPr="00A9330B">
        <w:t xml:space="preserve">d’autre part, du </w:t>
      </w:r>
      <w:r w:rsidRPr="00A9330B">
        <w:t>canal B situé à l’est</w:t>
      </w:r>
      <w:r w:rsidR="00E60EEF" w:rsidRPr="00A9330B">
        <w:t xml:space="preserve"> qui </w:t>
      </w:r>
      <w:r w:rsidRPr="00A9330B">
        <w:t>est constitué par la rivière W</w:t>
      </w:r>
      <w:r w:rsidR="00FC172B" w:rsidRPr="00A9330B">
        <w:t>a</w:t>
      </w:r>
      <w:r w:rsidRPr="00A9330B">
        <w:t>adata, principale source de captation des eaux de la SONEB. La RNIE 3 traversant la ville est parcouru</w:t>
      </w:r>
      <w:r w:rsidR="00E60EEF" w:rsidRPr="00A9330B">
        <w:t>e</w:t>
      </w:r>
      <w:r w:rsidRPr="00A9330B">
        <w:t xml:space="preserve"> par plusieurs ouvrages hydraulique</w:t>
      </w:r>
      <w:r w:rsidR="00354FAB" w:rsidRPr="00A9330B">
        <w:t>s</w:t>
      </w:r>
      <w:r w:rsidRPr="00A9330B">
        <w:t xml:space="preserve"> qui rejettent les eaux dans la nature, créant des rigoles de très grandes dimensions</w:t>
      </w:r>
      <w:r w:rsidR="00E60EEF" w:rsidRPr="00A9330B">
        <w:t xml:space="preserve">. Par ailleurs, </w:t>
      </w:r>
      <w:r w:rsidRPr="00A9330B">
        <w:t xml:space="preserve">les deux rivières sont non aménagées et leurs affluents, charrient </w:t>
      </w:r>
      <w:r w:rsidRPr="00A9330B">
        <w:lastRenderedPageBreak/>
        <w:t xml:space="preserve">d’énormes quantités de déchets de tout genre obstruant le passage des eaux au niveau des dalots et buses. </w:t>
      </w:r>
    </w:p>
    <w:p w14:paraId="3BDF22AE" w14:textId="75BB5F41" w:rsidR="00354FAB" w:rsidRPr="00A9330B" w:rsidRDefault="00354FAB" w:rsidP="00FC172B">
      <w:pPr>
        <w:jc w:val="both"/>
      </w:pPr>
      <w:r w:rsidRPr="00A9330B">
        <w:rPr>
          <w:color w:val="000000"/>
          <w:lang w:eastAsia="fr-FR"/>
        </w:rPr>
        <w:t xml:space="preserve">Le réseau de drainage des eaux pluviales et domestiques est très peu développé. </w:t>
      </w:r>
      <w:r w:rsidRPr="00A9330B">
        <w:t>Les infrastructures de drainage des eaux de ruissellement n</w:t>
      </w:r>
      <w:r w:rsidR="00334F1B" w:rsidRPr="00A9330B">
        <w:t>e sont construites qu’au centre-</w:t>
      </w:r>
      <w:r w:rsidRPr="00A9330B">
        <w:t xml:space="preserve">ville de la commune. Cependant les conduits d’évacuation des eaux usées sont mal exploités par la population et on assiste à des situations d’égouts bouchés par les </w:t>
      </w:r>
      <w:r w:rsidR="00E60EEF" w:rsidRPr="00A9330B">
        <w:t xml:space="preserve">déchets </w:t>
      </w:r>
      <w:r w:rsidRPr="00A9330B">
        <w:t xml:space="preserve">de cuisines, les déchets solides et autres détritus. </w:t>
      </w:r>
    </w:p>
    <w:p w14:paraId="7A424F5D" w14:textId="783649AC" w:rsidR="00354FAB" w:rsidRPr="00A9330B" w:rsidRDefault="00354FAB" w:rsidP="00FC172B">
      <w:pPr>
        <w:jc w:val="both"/>
      </w:pPr>
      <w:r w:rsidRPr="00A9330B">
        <w:t xml:space="preserve">La commune de Natitingou est traversée du </w:t>
      </w:r>
      <w:r w:rsidR="00E60EEF" w:rsidRPr="00A9330B">
        <w:t>S</w:t>
      </w:r>
      <w:r w:rsidRPr="00A9330B">
        <w:t xml:space="preserve">ud au </w:t>
      </w:r>
      <w:r w:rsidR="00E60EEF" w:rsidRPr="00A9330B">
        <w:t>N</w:t>
      </w:r>
      <w:r w:rsidRPr="00A9330B">
        <w:t xml:space="preserve">ord par la route bitumée inter- </w:t>
      </w:r>
      <w:r w:rsidR="002769BF" w:rsidRPr="00A9330B">
        <w:t>Etats RNIE</w:t>
      </w:r>
      <w:r w:rsidRPr="00A9330B">
        <w:t xml:space="preserve">3. Grace au projet Asphaltage dans sa phase I, les rues sont d’une praticabilité acceptable et facilitent la circulation des biens et des personnes. On note cependant un réseau important de rues peu carrossables, mal entretenues et dont la praticabilité est mise à mal en saison pluvieuse. Le relief </w:t>
      </w:r>
      <w:r w:rsidR="00334F1B" w:rsidRPr="00A9330B">
        <w:t xml:space="preserve">et la géomorphologie de la ville </w:t>
      </w:r>
      <w:r w:rsidRPr="00A9330B">
        <w:t xml:space="preserve">renforce </w:t>
      </w:r>
      <w:r w:rsidR="00C85C15" w:rsidRPr="00A9330B">
        <w:t xml:space="preserve">la vulnérabilité de ces </w:t>
      </w:r>
      <w:r w:rsidR="002769BF" w:rsidRPr="00A9330B">
        <w:t>rues qui</w:t>
      </w:r>
      <w:r w:rsidR="00334F1B" w:rsidRPr="00A9330B">
        <w:t xml:space="preserve"> sont pour la plupart mal drainées. Les ouvrages d’assainissement et les </w:t>
      </w:r>
      <w:r w:rsidRPr="00A9330B">
        <w:t>infrastructures de franchissement</w:t>
      </w:r>
      <w:r w:rsidR="00334F1B" w:rsidRPr="00A9330B">
        <w:t xml:space="preserve"> qui</w:t>
      </w:r>
      <w:r w:rsidRPr="00A9330B">
        <w:t xml:space="preserve"> existent pour aider à une meilleure mobilité</w:t>
      </w:r>
      <w:r w:rsidR="00334F1B" w:rsidRPr="00A9330B">
        <w:t xml:space="preserve"> sont</w:t>
      </w:r>
      <w:r w:rsidRPr="00A9330B">
        <w:t xml:space="preserve"> à praticabilité également critique</w:t>
      </w:r>
      <w:r w:rsidR="00334F1B" w:rsidRPr="00A9330B">
        <w:t>. L</w:t>
      </w:r>
      <w:r w:rsidRPr="00A9330B">
        <w:rPr>
          <w:rFonts w:eastAsia="Times New Roman"/>
          <w:bCs/>
          <w:lang w:eastAsia="fr-FR"/>
        </w:rPr>
        <w:t>a plupart sont dégradés et attendent d’être aménagés pour faciliter la circulation des biens et des personnes.</w:t>
      </w:r>
    </w:p>
    <w:p w14:paraId="5CEBA10A" w14:textId="0D9525E8" w:rsidR="00701C80" w:rsidRPr="00A9330B" w:rsidRDefault="00701C80" w:rsidP="00701C80">
      <w:pPr>
        <w:jc w:val="both"/>
        <w:rPr>
          <w:rFonts w:eastAsia="Calibri" w:cs="Arial"/>
          <w:color w:val="auto"/>
        </w:rPr>
      </w:pPr>
      <w:r w:rsidRPr="00A9330B">
        <w:rPr>
          <w:rFonts w:eastAsia="Calibri" w:cs="Arial"/>
          <w:color w:val="auto"/>
        </w:rPr>
        <w:t xml:space="preserve">Les images ci-dessus présentent l’état des rues </w:t>
      </w:r>
      <w:r w:rsidR="004D07E3" w:rsidRPr="00A9330B">
        <w:rPr>
          <w:rFonts w:eastAsia="Calibri" w:cs="Arial"/>
          <w:color w:val="auto"/>
        </w:rPr>
        <w:t xml:space="preserve">et des ouvrages d’assainissement </w:t>
      </w:r>
      <w:r w:rsidRPr="00A9330B">
        <w:rPr>
          <w:rFonts w:eastAsia="Calibri" w:cs="Arial"/>
          <w:color w:val="auto"/>
        </w:rPr>
        <w:t>dans quelques arrondissements :</w:t>
      </w:r>
    </w:p>
    <w:p w14:paraId="568DD905" w14:textId="77777777" w:rsidR="00701C80" w:rsidRPr="00A9330B" w:rsidRDefault="00701C80" w:rsidP="00701C80">
      <w:pPr>
        <w:rPr>
          <w:rFonts w:eastAsia="Calibri" w:cs="Times New Roman"/>
          <w:color w:val="auto"/>
          <w:lang w:eastAsia="fr-FR"/>
        </w:rPr>
      </w:pPr>
      <w:r w:rsidRPr="00A9330B">
        <w:rPr>
          <w:rFonts w:eastAsia="Calibri" w:cs="Times New Roman"/>
          <w:noProof/>
          <w:color w:val="auto"/>
          <w:lang w:eastAsia="fr-FR"/>
        </w:rPr>
        <w:drawing>
          <wp:inline distT="0" distB="0" distL="0" distR="0" wp14:anchorId="59057E5E" wp14:editId="42CDB2EA">
            <wp:extent cx="2828045" cy="2124000"/>
            <wp:effectExtent l="0" t="0" r="0" b="0"/>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28045" cy="2124000"/>
                    </a:xfrm>
                    <a:prstGeom prst="rect">
                      <a:avLst/>
                    </a:prstGeom>
                    <a:noFill/>
                  </pic:spPr>
                </pic:pic>
              </a:graphicData>
            </a:graphic>
          </wp:inline>
        </w:drawing>
      </w:r>
      <w:r w:rsidR="002359B0" w:rsidRPr="00A9330B">
        <w:rPr>
          <w:rFonts w:eastAsia="Calibri" w:cs="Times New Roman"/>
          <w:color w:val="auto"/>
          <w:lang w:eastAsia="fr-FR"/>
        </w:rPr>
        <w:t xml:space="preserve"> </w:t>
      </w:r>
      <w:r w:rsidR="002359B0" w:rsidRPr="00A9330B">
        <w:rPr>
          <w:rFonts w:cs="Arial"/>
          <w:noProof/>
          <w:lang w:eastAsia="fr-FR"/>
        </w:rPr>
        <w:drawing>
          <wp:inline distT="0" distB="0" distL="0" distR="0" wp14:anchorId="6855A1E2" wp14:editId="38304401">
            <wp:extent cx="2832000" cy="2124000"/>
            <wp:effectExtent l="0" t="0" r="6985" b="0"/>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832000" cy="2124000"/>
                    </a:xfrm>
                    <a:prstGeom prst="rect">
                      <a:avLst/>
                    </a:prstGeom>
                    <a:noFill/>
                  </pic:spPr>
                </pic:pic>
              </a:graphicData>
            </a:graphic>
          </wp:inline>
        </w:drawing>
      </w:r>
    </w:p>
    <w:p w14:paraId="1ACB6D3C" w14:textId="4A6EE7E8" w:rsidR="00701C80" w:rsidRPr="00A9330B" w:rsidRDefault="002359B0" w:rsidP="00701C80">
      <w:pPr>
        <w:rPr>
          <w:rFonts w:eastAsia="Calibri" w:cs="Times New Roman"/>
          <w:color w:val="auto"/>
          <w:lang w:eastAsia="fr-FR"/>
        </w:rPr>
      </w:pPr>
      <w:r w:rsidRPr="00A9330B">
        <w:rPr>
          <w:noProof/>
          <w:lang w:eastAsia="fr-FR"/>
        </w:rPr>
        <w:drawing>
          <wp:inline distT="0" distB="0" distL="0" distR="0" wp14:anchorId="2EAD993B" wp14:editId="54DC2F1E">
            <wp:extent cx="2982144" cy="2160000"/>
            <wp:effectExtent l="0" t="0" r="8890" b="0"/>
            <wp:docPr id="36"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982144" cy="2160000"/>
                    </a:xfrm>
                    <a:prstGeom prst="rect">
                      <a:avLst/>
                    </a:prstGeom>
                    <a:noFill/>
                  </pic:spPr>
                </pic:pic>
              </a:graphicData>
            </a:graphic>
          </wp:inline>
        </w:drawing>
      </w:r>
      <w:r w:rsidRPr="00A9330B">
        <w:rPr>
          <w:rFonts w:eastAsia="Calibri" w:cs="Times New Roman"/>
          <w:color w:val="auto"/>
          <w:lang w:eastAsia="fr-FR"/>
        </w:rPr>
        <w:t xml:space="preserve"> </w:t>
      </w:r>
      <w:r w:rsidR="00334F1B" w:rsidRPr="00A9330B">
        <w:rPr>
          <w:rFonts w:cs="Arial"/>
          <w:b/>
          <w:bCs/>
          <w:noProof/>
          <w:lang w:eastAsia="fr-FR"/>
        </w:rPr>
        <w:drawing>
          <wp:inline distT="0" distB="0" distL="0" distR="0" wp14:anchorId="1E088511" wp14:editId="47E5979F">
            <wp:extent cx="2716934" cy="2160000"/>
            <wp:effectExtent l="0" t="0" r="7620" b="0"/>
            <wp:docPr id="37"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716934" cy="2160000"/>
                    </a:xfrm>
                    <a:prstGeom prst="rect">
                      <a:avLst/>
                    </a:prstGeom>
                    <a:noFill/>
                  </pic:spPr>
                </pic:pic>
              </a:graphicData>
            </a:graphic>
          </wp:inline>
        </w:drawing>
      </w:r>
    </w:p>
    <w:p w14:paraId="1BC37CFC" w14:textId="315462A0" w:rsidR="004D07E3" w:rsidRPr="00A9330B" w:rsidRDefault="004D07E3" w:rsidP="000F7BA7">
      <w:pPr>
        <w:jc w:val="center"/>
        <w:rPr>
          <w:rFonts w:eastAsia="Calibri" w:cs="Times New Roman"/>
          <w:color w:val="auto"/>
          <w:lang w:eastAsia="fr-FR"/>
        </w:rPr>
      </w:pPr>
      <w:r w:rsidRPr="00A9330B">
        <w:rPr>
          <w:rFonts w:ascii="Century Gothic" w:hAnsi="Century Gothic" w:cs="Arial"/>
          <w:noProof/>
          <w:lang w:eastAsia="fr-FR"/>
        </w:rPr>
        <w:lastRenderedPageBreak/>
        <w:drawing>
          <wp:inline distT="0" distB="0" distL="0" distR="0" wp14:anchorId="1DCC4B82" wp14:editId="41797C8A">
            <wp:extent cx="2924098" cy="2194170"/>
            <wp:effectExtent l="0" t="0" r="0" b="0"/>
            <wp:docPr id="224" name="Image 224" descr="C:\Users\hp\Desktop\PAPVS_CECO\IMG_20200607_1615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hp\Desktop\PAPVS_CECO\IMG_20200607_161550.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947659" cy="2211850"/>
                    </a:xfrm>
                    <a:prstGeom prst="rect">
                      <a:avLst/>
                    </a:prstGeom>
                    <a:noFill/>
                    <a:ln>
                      <a:noFill/>
                    </a:ln>
                  </pic:spPr>
                </pic:pic>
              </a:graphicData>
            </a:graphic>
          </wp:inline>
        </w:drawing>
      </w:r>
    </w:p>
    <w:p w14:paraId="0D586B7F" w14:textId="2C29557D" w:rsidR="004D07E3" w:rsidRPr="00A9330B" w:rsidRDefault="004D07E3" w:rsidP="00701C80">
      <w:pPr>
        <w:rPr>
          <w:rFonts w:eastAsia="Calibri" w:cs="Times New Roman"/>
          <w:b/>
          <w:color w:val="auto"/>
          <w:lang w:eastAsia="fr-FR"/>
        </w:rPr>
      </w:pPr>
      <w:r w:rsidRPr="00A9330B">
        <w:rPr>
          <w:rFonts w:eastAsia="Calibri" w:cs="Times New Roman"/>
          <w:b/>
          <w:color w:val="auto"/>
          <w:lang w:eastAsia="fr-FR"/>
        </w:rPr>
        <w:t xml:space="preserve">Les couloirs d’écoulement d’eau montrant des ravinements et des décrochements </w:t>
      </w:r>
    </w:p>
    <w:p w14:paraId="2EF684D0" w14:textId="1233B764" w:rsidR="004D07E3" w:rsidRPr="00A9330B" w:rsidRDefault="004D07E3" w:rsidP="00701C80">
      <w:r w:rsidRPr="00A9330B">
        <w:rPr>
          <w:rFonts w:ascii="Century Gothic" w:hAnsi="Century Gothic" w:cs="Arial"/>
          <w:noProof/>
          <w:lang w:eastAsia="fr-FR"/>
        </w:rPr>
        <w:drawing>
          <wp:inline distT="0" distB="0" distL="0" distR="0" wp14:anchorId="4084455B" wp14:editId="0E4B139F">
            <wp:extent cx="2814403" cy="2111858"/>
            <wp:effectExtent l="0" t="0" r="5080" b="3175"/>
            <wp:docPr id="4" name="Image 4" descr="C:\Users\hp\Desktop\PAPVS_CECO\IMG_20200607_1708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hp\Desktop\PAPVS_CECO\IMG_20200607_170817.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56773" cy="2143651"/>
                    </a:xfrm>
                    <a:prstGeom prst="rect">
                      <a:avLst/>
                    </a:prstGeom>
                    <a:noFill/>
                    <a:ln>
                      <a:noFill/>
                    </a:ln>
                  </pic:spPr>
                </pic:pic>
              </a:graphicData>
            </a:graphic>
          </wp:inline>
        </w:drawing>
      </w:r>
      <w:r w:rsidRPr="00A9330B">
        <w:t xml:space="preserve"> </w:t>
      </w:r>
      <w:r w:rsidRPr="00A9330B">
        <w:rPr>
          <w:rFonts w:ascii="Century Gothic" w:hAnsi="Century Gothic" w:cs="Arial"/>
          <w:noProof/>
          <w:lang w:eastAsia="fr-FR"/>
        </w:rPr>
        <w:drawing>
          <wp:inline distT="0" distB="0" distL="0" distR="0" wp14:anchorId="13664839" wp14:editId="1033577A">
            <wp:extent cx="2812914" cy="2110740"/>
            <wp:effectExtent l="0" t="0" r="6985" b="3810"/>
            <wp:docPr id="3" name="Image 3" descr="C:\Users\hp\Desktop\PAPVS_CECO\IMG_20200607_181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hp\Desktop\PAPVS_CECO\IMG_20200607_181242.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60361" cy="2146343"/>
                    </a:xfrm>
                    <a:prstGeom prst="rect">
                      <a:avLst/>
                    </a:prstGeom>
                    <a:noFill/>
                    <a:ln>
                      <a:noFill/>
                    </a:ln>
                  </pic:spPr>
                </pic:pic>
              </a:graphicData>
            </a:graphic>
          </wp:inline>
        </w:drawing>
      </w:r>
    </w:p>
    <w:p w14:paraId="650F2662" w14:textId="05015844" w:rsidR="004D07E3" w:rsidRPr="00A9330B" w:rsidRDefault="004D07E3" w:rsidP="000F7BA7">
      <w:pPr>
        <w:jc w:val="center"/>
        <w:rPr>
          <w:b/>
        </w:rPr>
      </w:pPr>
      <w:r w:rsidRPr="00A9330B">
        <w:rPr>
          <w:b/>
        </w:rPr>
        <w:t>Les ouvrages d’assainissement existants</w:t>
      </w:r>
    </w:p>
    <w:p w14:paraId="092A572A" w14:textId="05434FC2" w:rsidR="00701C80" w:rsidRPr="00A9330B" w:rsidRDefault="00334F1B" w:rsidP="00A9330B">
      <w:pPr>
        <w:pStyle w:val="Lgende"/>
      </w:pPr>
      <w:bookmarkStart w:id="139" w:name="_Toc52870059"/>
      <w:r w:rsidRPr="00A9330B">
        <w:t xml:space="preserve">Planche  </w:t>
      </w:r>
      <w:r w:rsidR="00C24C74" w:rsidRPr="00A9330B">
        <w:rPr>
          <w:noProof/>
        </w:rPr>
        <w:fldChar w:fldCharType="begin"/>
      </w:r>
      <w:r w:rsidR="00C24C74" w:rsidRPr="00A9330B">
        <w:rPr>
          <w:noProof/>
        </w:rPr>
        <w:instrText xml:space="preserve"> SEQ Planche_ \* ARABIC </w:instrText>
      </w:r>
      <w:r w:rsidR="00C24C74" w:rsidRPr="00A9330B">
        <w:rPr>
          <w:noProof/>
        </w:rPr>
        <w:fldChar w:fldCharType="separate"/>
      </w:r>
      <w:r w:rsidR="000F4D1B" w:rsidRPr="00A9330B">
        <w:rPr>
          <w:noProof/>
        </w:rPr>
        <w:t>1</w:t>
      </w:r>
      <w:r w:rsidR="00C24C74" w:rsidRPr="00A9330B">
        <w:rPr>
          <w:noProof/>
        </w:rPr>
        <w:fldChar w:fldCharType="end"/>
      </w:r>
      <w:r w:rsidRPr="00A9330B">
        <w:t xml:space="preserve"> : </w:t>
      </w:r>
      <w:r w:rsidR="00D72778" w:rsidRPr="00A9330B">
        <w:t>Les couloirs d’écoulement des eaux pluviales</w:t>
      </w:r>
      <w:r w:rsidR="004D07E3" w:rsidRPr="00A9330B">
        <w:t xml:space="preserve">, ouvrages d’art </w:t>
      </w:r>
      <w:r w:rsidR="00D72778" w:rsidRPr="00A9330B">
        <w:t xml:space="preserve"> et la dégradation des rues à Natitingou</w:t>
      </w:r>
      <w:r w:rsidR="0030131E" w:rsidRPr="00A9330B">
        <w:t>, juin 2020</w:t>
      </w:r>
      <w:bookmarkEnd w:id="139"/>
    </w:p>
    <w:p w14:paraId="7D9C43A5" w14:textId="478FD64B" w:rsidR="00701C80" w:rsidRPr="00A9330B" w:rsidRDefault="00701C80" w:rsidP="00701C80">
      <w:pPr>
        <w:autoSpaceDE w:val="0"/>
        <w:autoSpaceDN w:val="0"/>
        <w:adjustRightInd w:val="0"/>
        <w:spacing w:line="240" w:lineRule="auto"/>
        <w:jc w:val="both"/>
        <w:rPr>
          <w:rFonts w:eastAsia="Calibri" w:cs="Arial"/>
          <w:color w:val="auto"/>
        </w:rPr>
      </w:pPr>
      <w:r w:rsidRPr="00A9330B">
        <w:rPr>
          <w:rFonts w:eastAsia="Calibri" w:cs="Arial"/>
          <w:color w:val="auto"/>
        </w:rPr>
        <w:t xml:space="preserve">Pour résoudre la question de l’insuffisance de services de voirie, de réseaux de drainage et d’assainissement, et d’une manière générale du caractère </w:t>
      </w:r>
      <w:r w:rsidR="0048720A" w:rsidRPr="00A9330B">
        <w:rPr>
          <w:rFonts w:eastAsia="Calibri" w:cs="Arial"/>
          <w:color w:val="auto"/>
        </w:rPr>
        <w:t>insuffisant</w:t>
      </w:r>
      <w:r w:rsidRPr="00A9330B">
        <w:rPr>
          <w:rFonts w:eastAsia="Calibri" w:cs="Arial"/>
          <w:color w:val="auto"/>
        </w:rPr>
        <w:t xml:space="preserve"> </w:t>
      </w:r>
      <w:r w:rsidR="0048720A" w:rsidRPr="00A9330B">
        <w:rPr>
          <w:rFonts w:eastAsia="Calibri" w:cs="Arial"/>
          <w:color w:val="auto"/>
        </w:rPr>
        <w:t>du</w:t>
      </w:r>
      <w:r w:rsidRPr="00A9330B">
        <w:rPr>
          <w:rFonts w:eastAsia="Calibri" w:cs="Arial"/>
          <w:color w:val="auto"/>
        </w:rPr>
        <w:t xml:space="preserve"> </w:t>
      </w:r>
      <w:r w:rsidR="007E530D" w:rsidRPr="00A9330B">
        <w:rPr>
          <w:rFonts w:eastAsia="Calibri" w:cs="Arial"/>
          <w:color w:val="auto"/>
        </w:rPr>
        <w:t xml:space="preserve">nombre </w:t>
      </w:r>
      <w:r w:rsidRPr="00A9330B">
        <w:rPr>
          <w:rFonts w:eastAsia="Calibri" w:cs="Arial"/>
          <w:color w:val="auto"/>
        </w:rPr>
        <w:t xml:space="preserve">d’infrastructures, </w:t>
      </w:r>
      <w:r w:rsidR="0048720A" w:rsidRPr="00A9330B">
        <w:rPr>
          <w:rFonts w:eastAsia="Calibri" w:cs="Arial"/>
          <w:color w:val="auto"/>
        </w:rPr>
        <w:t xml:space="preserve">d’assainissement et de drainage dans la ville de Natitingou, le Projet </w:t>
      </w:r>
      <w:r w:rsidRPr="00A9330B">
        <w:rPr>
          <w:rFonts w:eastAsia="Calibri" w:cs="Arial"/>
          <w:color w:val="auto"/>
        </w:rPr>
        <w:t>a prévu la construction des collecteurs et l’aménagement de l’exutoire artificiel autour duquel sera développé des activités touristiques</w:t>
      </w:r>
      <w:r w:rsidR="00D72778" w:rsidRPr="00A9330B">
        <w:rPr>
          <w:rFonts w:eastAsia="Calibri" w:cs="Arial"/>
          <w:color w:val="auto"/>
        </w:rPr>
        <w:t>.</w:t>
      </w:r>
      <w:r w:rsidRPr="00A9330B">
        <w:rPr>
          <w:rFonts w:eastAsia="Calibri" w:cs="Arial"/>
          <w:color w:val="auto"/>
        </w:rPr>
        <w:t xml:space="preserve"> </w:t>
      </w:r>
    </w:p>
    <w:p w14:paraId="570D8AB3" w14:textId="36472D55" w:rsidR="00AB04ED" w:rsidRPr="00A9330B" w:rsidRDefault="00AB04ED" w:rsidP="006E37A6">
      <w:pPr>
        <w:pStyle w:val="Titre3"/>
      </w:pPr>
      <w:bookmarkStart w:id="140" w:name="_Toc45520745"/>
      <w:bookmarkStart w:id="141" w:name="_Toc52869552"/>
      <w:r w:rsidRPr="00A9330B">
        <w:t>1.1.</w:t>
      </w:r>
      <w:r w:rsidR="00E8181C" w:rsidRPr="00A9330B">
        <w:t>4</w:t>
      </w:r>
      <w:r w:rsidRPr="00A9330B">
        <w:t>. Les objectifs du projet</w:t>
      </w:r>
      <w:bookmarkEnd w:id="140"/>
      <w:bookmarkEnd w:id="141"/>
      <w:r w:rsidRPr="00A9330B">
        <w:t xml:space="preserve"> </w:t>
      </w:r>
    </w:p>
    <w:p w14:paraId="5B0D7ED0" w14:textId="77777777" w:rsidR="00A43C6A" w:rsidRPr="00A9330B" w:rsidRDefault="00A43C6A" w:rsidP="00A43C6A">
      <w:pPr>
        <w:rPr>
          <w:rFonts w:cs="Arial"/>
          <w:b/>
          <w:bCs/>
        </w:rPr>
      </w:pPr>
      <w:r w:rsidRPr="00A9330B">
        <w:rPr>
          <w:rFonts w:cs="Arial"/>
          <w:b/>
          <w:bCs/>
        </w:rPr>
        <w:t xml:space="preserve">Objectif général : </w:t>
      </w:r>
    </w:p>
    <w:p w14:paraId="2FC6C9E7" w14:textId="77777777" w:rsidR="00A43C6A" w:rsidRPr="00A9330B" w:rsidRDefault="00A43C6A" w:rsidP="000F7BA7">
      <w:pPr>
        <w:jc w:val="both"/>
        <w:rPr>
          <w:rFonts w:cs="Arial"/>
        </w:rPr>
      </w:pPr>
      <w:r w:rsidRPr="00A9330B">
        <w:rPr>
          <w:rFonts w:cs="Arial"/>
        </w:rPr>
        <w:t>Les études de faisabilités réalisées dans le cadre du PUGEMU ont permis de mettre en évidence la faiblesse des infrastructures d’assainissement pluvial dans les villes du projet.  Le système de gestion des eaux de ruissellement dans ces villes est limité à quelques caniveaux mal dimensionnés ou obstrués.  Le Programme d’Assainissement Pluvial des Villes Secondaires vise globalement à assainir le cadre de vie de la population des villes concernées.</w:t>
      </w:r>
    </w:p>
    <w:p w14:paraId="783C82AC" w14:textId="77777777" w:rsidR="00A43C6A" w:rsidRPr="00A9330B" w:rsidRDefault="00A43C6A" w:rsidP="00A43C6A">
      <w:pPr>
        <w:rPr>
          <w:rFonts w:cs="Arial"/>
          <w:b/>
          <w:bCs/>
        </w:rPr>
      </w:pPr>
      <w:r w:rsidRPr="00A9330B">
        <w:rPr>
          <w:rFonts w:cs="Arial"/>
          <w:b/>
          <w:bCs/>
        </w:rPr>
        <w:t>Objectifs spécifiques :</w:t>
      </w:r>
    </w:p>
    <w:p w14:paraId="446E05EF" w14:textId="77777777" w:rsidR="00A43C6A" w:rsidRPr="00A9330B" w:rsidRDefault="00A43C6A" w:rsidP="00A43C6A">
      <w:pPr>
        <w:rPr>
          <w:rFonts w:cs="Arial"/>
        </w:rPr>
      </w:pPr>
      <w:r w:rsidRPr="00A9330B">
        <w:rPr>
          <w:rFonts w:cs="Arial"/>
        </w:rPr>
        <w:t xml:space="preserve">De façon spécifique ; le programme vise à : </w:t>
      </w:r>
    </w:p>
    <w:p w14:paraId="4BE668A2" w14:textId="77777777" w:rsidR="00A43C6A" w:rsidRPr="00A9330B" w:rsidRDefault="00A43C6A" w:rsidP="00BD2F72">
      <w:pPr>
        <w:pStyle w:val="Paragraphedeliste"/>
        <w:numPr>
          <w:ilvl w:val="0"/>
          <w:numId w:val="91"/>
        </w:numPr>
        <w:jc w:val="both"/>
        <w:rPr>
          <w:rFonts w:cs="Arial"/>
          <w:lang w:val="fr-FR"/>
        </w:rPr>
      </w:pPr>
      <w:r w:rsidRPr="00A9330B">
        <w:rPr>
          <w:rFonts w:cs="Arial"/>
          <w:lang w:val="fr-FR"/>
        </w:rPr>
        <w:t>réaliser les ouvrages primaires et secondaires de drainage et d’assainissement dans les villes concernées ;</w:t>
      </w:r>
    </w:p>
    <w:p w14:paraId="6148DB47" w14:textId="77777777" w:rsidR="00A43C6A" w:rsidRPr="00A9330B" w:rsidRDefault="00A43C6A" w:rsidP="00BD2F72">
      <w:pPr>
        <w:pStyle w:val="Paragraphedeliste"/>
        <w:numPr>
          <w:ilvl w:val="0"/>
          <w:numId w:val="91"/>
        </w:numPr>
        <w:jc w:val="both"/>
        <w:rPr>
          <w:rFonts w:cs="Arial"/>
          <w:lang w:val="fr-FR"/>
        </w:rPr>
      </w:pPr>
      <w:r w:rsidRPr="00A9330B">
        <w:rPr>
          <w:rFonts w:cs="Arial"/>
          <w:lang w:val="fr-FR"/>
        </w:rPr>
        <w:t>réduire la vulnérabilité des villes bénéficiaires aux inondations ;</w:t>
      </w:r>
    </w:p>
    <w:p w14:paraId="4311171F" w14:textId="77777777" w:rsidR="00A43C6A" w:rsidRPr="00A9330B" w:rsidRDefault="00A43C6A" w:rsidP="00BD2F72">
      <w:pPr>
        <w:pStyle w:val="Paragraphedeliste"/>
        <w:numPr>
          <w:ilvl w:val="0"/>
          <w:numId w:val="91"/>
        </w:numPr>
        <w:jc w:val="both"/>
        <w:rPr>
          <w:rFonts w:cs="Arial"/>
          <w:lang w:val="fr-FR"/>
        </w:rPr>
      </w:pPr>
      <w:r w:rsidRPr="00A9330B">
        <w:rPr>
          <w:rFonts w:cs="Arial"/>
          <w:lang w:val="fr-FR"/>
        </w:rPr>
        <w:lastRenderedPageBreak/>
        <w:t>améliorer substantiellement l’environnement urbain, la situation d’hygiène et d’assainissement de ces villes ;</w:t>
      </w:r>
    </w:p>
    <w:p w14:paraId="01B0E26C" w14:textId="77777777" w:rsidR="00A43C6A" w:rsidRPr="00A9330B" w:rsidRDefault="00A43C6A" w:rsidP="00BD2F72">
      <w:pPr>
        <w:pStyle w:val="Paragraphedeliste"/>
        <w:numPr>
          <w:ilvl w:val="0"/>
          <w:numId w:val="91"/>
        </w:numPr>
        <w:jc w:val="both"/>
        <w:rPr>
          <w:rFonts w:cs="Arial"/>
          <w:lang w:val="fr-FR"/>
        </w:rPr>
      </w:pPr>
      <w:r w:rsidRPr="00A9330B">
        <w:rPr>
          <w:rFonts w:cs="Arial"/>
          <w:lang w:val="fr-FR"/>
        </w:rPr>
        <w:t>réduire les niveaux de pollution et d’insalubrité dans ces villes ;</w:t>
      </w:r>
    </w:p>
    <w:p w14:paraId="79EAFAC2" w14:textId="77777777" w:rsidR="00A43C6A" w:rsidRPr="00A9330B" w:rsidRDefault="00A43C6A" w:rsidP="00BD2F72">
      <w:pPr>
        <w:pStyle w:val="Paragraphedeliste"/>
        <w:numPr>
          <w:ilvl w:val="0"/>
          <w:numId w:val="91"/>
        </w:numPr>
        <w:jc w:val="both"/>
        <w:rPr>
          <w:rFonts w:cs="Arial"/>
          <w:lang w:val="fr-FR"/>
        </w:rPr>
      </w:pPr>
      <w:r w:rsidRPr="00A9330B">
        <w:rPr>
          <w:rFonts w:cs="Arial"/>
          <w:lang w:val="fr-FR"/>
        </w:rPr>
        <w:t>améliorer la mobilité urbaine ;</w:t>
      </w:r>
    </w:p>
    <w:p w14:paraId="46A2E727" w14:textId="77777777" w:rsidR="00A43C6A" w:rsidRPr="00A9330B" w:rsidRDefault="00A43C6A" w:rsidP="00BD2F72">
      <w:pPr>
        <w:pStyle w:val="Paragraphedeliste"/>
        <w:numPr>
          <w:ilvl w:val="0"/>
          <w:numId w:val="91"/>
        </w:numPr>
        <w:jc w:val="both"/>
        <w:rPr>
          <w:rFonts w:cs="Arial"/>
          <w:lang w:val="fr-FR"/>
        </w:rPr>
      </w:pPr>
      <w:r w:rsidRPr="00A9330B">
        <w:rPr>
          <w:rFonts w:cs="Arial"/>
          <w:lang w:val="fr-FR"/>
        </w:rPr>
        <w:t>renforcer les capacités des municipalités concernées en matière de gestion des infrastructures urbaines et de leurs territoires ;</w:t>
      </w:r>
    </w:p>
    <w:p w14:paraId="728AABB1" w14:textId="77777777" w:rsidR="00A43C6A" w:rsidRPr="00A9330B" w:rsidRDefault="00A43C6A" w:rsidP="00BD2F72">
      <w:pPr>
        <w:pStyle w:val="Paragraphedeliste"/>
        <w:numPr>
          <w:ilvl w:val="0"/>
          <w:numId w:val="91"/>
        </w:numPr>
        <w:jc w:val="both"/>
        <w:rPr>
          <w:rFonts w:cs="Arial"/>
          <w:lang w:val="fr-FR"/>
        </w:rPr>
      </w:pPr>
      <w:r w:rsidRPr="00A9330B">
        <w:rPr>
          <w:rFonts w:cs="Arial"/>
          <w:lang w:val="fr-FR"/>
        </w:rPr>
        <w:t>aménager et protéger les écosystèmes humides servant de réservoirs naturels et de conduits des eaux pluviales ;</w:t>
      </w:r>
    </w:p>
    <w:p w14:paraId="4CE98E0D" w14:textId="77777777" w:rsidR="00A43C6A" w:rsidRPr="00A9330B" w:rsidRDefault="00A43C6A" w:rsidP="00BD2F72">
      <w:pPr>
        <w:pStyle w:val="Paragraphedeliste"/>
        <w:numPr>
          <w:ilvl w:val="0"/>
          <w:numId w:val="91"/>
        </w:numPr>
        <w:jc w:val="both"/>
        <w:rPr>
          <w:rFonts w:cs="Arial"/>
          <w:lang w:val="fr-FR"/>
        </w:rPr>
      </w:pPr>
      <w:r w:rsidRPr="00A9330B">
        <w:rPr>
          <w:rFonts w:cs="Arial"/>
          <w:lang w:val="fr-FR"/>
        </w:rPr>
        <w:t>renforcer la résilience des villes concernées et des communautés riveraines des réservoirs, des exutoires et des zones humides aux risques d’inondations.</w:t>
      </w:r>
    </w:p>
    <w:p w14:paraId="36FB602A" w14:textId="77777777" w:rsidR="00A43C6A" w:rsidRPr="00A9330B" w:rsidRDefault="00A43C6A" w:rsidP="00BD2F72">
      <w:pPr>
        <w:pStyle w:val="Paragraphedeliste"/>
        <w:numPr>
          <w:ilvl w:val="0"/>
          <w:numId w:val="91"/>
        </w:numPr>
        <w:jc w:val="both"/>
        <w:rPr>
          <w:rFonts w:cs="Arial"/>
          <w:lang w:val="fr-FR"/>
        </w:rPr>
      </w:pPr>
      <w:r w:rsidRPr="00A9330B">
        <w:rPr>
          <w:rFonts w:cs="Arial"/>
          <w:lang w:val="fr-FR"/>
        </w:rPr>
        <w:t>Renforcer les capacités des mairies en matière de gestion des infrastructures urbaines et de leurs territoires.</w:t>
      </w:r>
    </w:p>
    <w:p w14:paraId="64A5041F" w14:textId="77777777" w:rsidR="00A43C6A" w:rsidRPr="00A9330B" w:rsidRDefault="00A43C6A" w:rsidP="000F7BA7">
      <w:pPr>
        <w:jc w:val="both"/>
        <w:rPr>
          <w:rFonts w:cs="Arial"/>
        </w:rPr>
      </w:pPr>
      <w:r w:rsidRPr="00A9330B">
        <w:rPr>
          <w:rFonts w:cs="Arial"/>
        </w:rPr>
        <w:t>Outre l’atteinte de ces objectifs, le programme d’assainissement pluvial des villes secondaires est aussi indispensable à la mise en œuvre e la phase B du projet de réhabilitation et d’aménagement de voirie urbaines dans 9 villes du Bénin : Projet Asphaltage. En effet, le phasage du projet Asphaltage A à consister à sélectionner les rues dont les eaux peuvent être conduites vers des collecteurs existants comme exutoires. La majorité les rues de la phase B du projet Asphaltage ne disposent pas de collecteurs. C’est la mise en œuvre urgente du Programme d’Assainissement Pluvial Villes Secondaires qui permettra de résoudre le problème d’inexistence d’exutoires pour les voiries projetées dans la phase B du projet Asphaltage.</w:t>
      </w:r>
    </w:p>
    <w:p w14:paraId="64C276A5" w14:textId="0C2630C2" w:rsidR="00AB04ED" w:rsidRPr="00A9330B" w:rsidRDefault="00CE63FC" w:rsidP="006E37A6">
      <w:pPr>
        <w:pStyle w:val="Titre3"/>
      </w:pPr>
      <w:bookmarkStart w:id="142" w:name="_Toc531434124"/>
      <w:bookmarkStart w:id="143" w:name="_Toc535244509"/>
      <w:bookmarkStart w:id="144" w:name="_Toc45520746"/>
      <w:bookmarkStart w:id="145" w:name="_Toc52869553"/>
      <w:r w:rsidRPr="00A9330B">
        <w:t>1.1.</w:t>
      </w:r>
      <w:r w:rsidR="00E8181C" w:rsidRPr="00A9330B">
        <w:t>5</w:t>
      </w:r>
      <w:r w:rsidR="00AB04ED" w:rsidRPr="00A9330B">
        <w:t>. Justification de la nature de l’EIES</w:t>
      </w:r>
      <w:bookmarkEnd w:id="142"/>
      <w:bookmarkEnd w:id="143"/>
      <w:bookmarkEnd w:id="144"/>
      <w:bookmarkEnd w:id="145"/>
    </w:p>
    <w:p w14:paraId="134E795A" w14:textId="77777777" w:rsidR="00AB04ED" w:rsidRPr="00A9330B" w:rsidRDefault="00AB04ED" w:rsidP="00AB04ED">
      <w:pPr>
        <w:jc w:val="both"/>
        <w:rPr>
          <w:b/>
          <w:bCs/>
          <w:lang w:eastAsia="fr-FR"/>
        </w:rPr>
      </w:pPr>
      <w:bookmarkStart w:id="146" w:name="_Toc535244510"/>
      <w:r w:rsidRPr="00A9330B">
        <w:rPr>
          <w:lang w:eastAsia="fr-FR"/>
        </w:rPr>
        <w:t xml:space="preserve">Pour la réalisation de ces ouvrages de grandes envergures et conformément à l’article 88 de la loi n°98-030 du 12 février 1999 portant loi-cadre sur l’environnement : </w:t>
      </w:r>
      <w:r w:rsidRPr="00A9330B">
        <w:rPr>
          <w:bCs/>
          <w:lang w:eastAsia="fr-FR"/>
        </w:rPr>
        <w:t xml:space="preserve">"nul ne peut entreprendre des aménagements, des opérations, des installations, des plans, des projets et programmes ou la construction d’ouvrages sans suivre la procédure d’étude d’impact sur l’environnement, lorsque cette dernière est exigée par les lois et règlements". </w:t>
      </w:r>
    </w:p>
    <w:p w14:paraId="44922A44" w14:textId="6CF93DB5" w:rsidR="00AB04ED" w:rsidRPr="00A9330B" w:rsidRDefault="00AB04ED" w:rsidP="00AB04ED">
      <w:pPr>
        <w:jc w:val="both"/>
      </w:pPr>
      <w:r w:rsidRPr="00A9330B">
        <w:t>Le Pro</w:t>
      </w:r>
      <w:r w:rsidR="004D53E1" w:rsidRPr="00A9330B">
        <w:t xml:space="preserve">jet </w:t>
      </w:r>
      <w:r w:rsidRPr="00A9330B">
        <w:t xml:space="preserve">d’Assainissement Pluvial dans les Villes Secondaires (Porto-Novo, Sèmè-Podji, Abomey-Calavi, Ouidah, Abomey, Bohicon, Parakou et Natitingou) a des objectifs nobles d’assainissement, d’hygiène et de santé publique. Toutefois, il s’exécutera dans des agglomérations, dans les zones humides ou marécages. </w:t>
      </w:r>
    </w:p>
    <w:p w14:paraId="366C51DD" w14:textId="68F6A08E" w:rsidR="00AB04ED" w:rsidRPr="00A9330B" w:rsidRDefault="00AB04ED" w:rsidP="00AB04ED">
      <w:pPr>
        <w:jc w:val="both"/>
        <w:rPr>
          <w:rFonts w:eastAsia="Calibri"/>
          <w:b/>
        </w:rPr>
      </w:pPr>
      <w:r w:rsidRPr="00A9330B">
        <w:rPr>
          <w:rFonts w:eastAsia="Calibri"/>
        </w:rPr>
        <w:t>Selon les directives environnementales en vigueur au Bénin, à l’annexe I, (</w:t>
      </w:r>
      <w:r w:rsidRPr="00A9330B">
        <w:rPr>
          <w:rFonts w:eastAsia="Calibri"/>
          <w:b/>
        </w:rPr>
        <w:t>décret N°2017-332 du 06 juillet 2017 et guide général des EIE)</w:t>
      </w:r>
      <w:r w:rsidRPr="00A9330B">
        <w:rPr>
          <w:rFonts w:eastAsia="Calibri"/>
        </w:rPr>
        <w:t xml:space="preserve">, le projet est classé </w:t>
      </w:r>
      <w:r w:rsidRPr="00A9330B">
        <w:rPr>
          <w:rFonts w:eastAsia="Calibri"/>
          <w:b/>
        </w:rPr>
        <w:t xml:space="preserve">au titre XIII.1 - Construction de routes et d'infrastructures connexes et XIV.4 - </w:t>
      </w:r>
      <w:r w:rsidR="00C85C15" w:rsidRPr="00A9330B">
        <w:rPr>
          <w:rFonts w:eastAsia="Calibri"/>
          <w:b/>
        </w:rPr>
        <w:t xml:space="preserve">Drainage </w:t>
      </w:r>
      <w:r w:rsidRPr="00A9330B">
        <w:rPr>
          <w:rFonts w:eastAsia="Calibri"/>
          <w:b/>
        </w:rPr>
        <w:t>d'une aire (</w:t>
      </w:r>
      <w:r w:rsidR="002769BF" w:rsidRPr="00A9330B">
        <w:rPr>
          <w:rFonts w:eastAsia="Calibri"/>
          <w:b/>
        </w:rPr>
        <w:t>marais ou</w:t>
      </w:r>
      <w:r w:rsidRPr="00A9330B">
        <w:rPr>
          <w:rFonts w:eastAsia="Calibri"/>
          <w:b/>
        </w:rPr>
        <w:t xml:space="preserve"> marécage) &gt; 0,5 ha. </w:t>
      </w:r>
      <w:r w:rsidRPr="00A9330B">
        <w:rPr>
          <w:rFonts w:eastAsia="Calibri"/>
          <w:bCs/>
          <w:color w:val="000000"/>
        </w:rPr>
        <w:t>vu la longueur du linéaire des collecteurs et rues à aménager, 5</w:t>
      </w:r>
      <w:r w:rsidRPr="00A9330B">
        <w:rPr>
          <w:bCs/>
          <w:iCs/>
          <w:color w:val="000000"/>
          <w:lang w:eastAsia="fr-FR"/>
        </w:rPr>
        <w:t>0km environ dans les trois arrondissements</w:t>
      </w:r>
      <w:r w:rsidR="004D53E1" w:rsidRPr="00A9330B">
        <w:rPr>
          <w:bCs/>
          <w:iCs/>
          <w:color w:val="000000"/>
          <w:lang w:eastAsia="fr-FR"/>
        </w:rPr>
        <w:t xml:space="preserve"> de la ville de Natitingou </w:t>
      </w:r>
      <w:r w:rsidRPr="00A9330B">
        <w:rPr>
          <w:bCs/>
          <w:iCs/>
          <w:color w:val="000000"/>
          <w:lang w:eastAsia="fr-FR"/>
        </w:rPr>
        <w:t xml:space="preserve">, </w:t>
      </w:r>
      <w:r w:rsidRPr="00A9330B">
        <w:rPr>
          <w:rFonts w:eastAsia="Calibri"/>
          <w:bCs/>
          <w:color w:val="000000"/>
        </w:rPr>
        <w:t>et la largeur de l’emprise des collecteurs et rues (des voies de 40 m à 10m) et les zones sensibles traversées (régions inondables, régions inondées, marécages, bassins versants, agglomérations urbaines, proximités d’infrastructures sociocommunautaires)</w:t>
      </w:r>
      <w:r w:rsidR="008C2AB0" w:rsidRPr="00A9330B">
        <w:rPr>
          <w:rFonts w:eastAsia="Calibri"/>
          <w:bCs/>
          <w:color w:val="000000"/>
        </w:rPr>
        <w:t xml:space="preserve">,le présent Projet </w:t>
      </w:r>
      <w:r w:rsidRPr="00A9330B">
        <w:rPr>
          <w:rFonts w:eastAsia="Calibri"/>
          <w:bCs/>
          <w:color w:val="000000"/>
        </w:rPr>
        <w:t xml:space="preserve"> doit faire l’objet d’</w:t>
      </w:r>
      <w:r w:rsidRPr="00A9330B">
        <w:rPr>
          <w:rFonts w:eastAsia="Calibri"/>
          <w:b/>
        </w:rPr>
        <w:t xml:space="preserve">une étude d’impact environnemental et social approfondie. </w:t>
      </w:r>
    </w:p>
    <w:p w14:paraId="748D58FC" w14:textId="2D4185D3" w:rsidR="00AB04ED" w:rsidRPr="00A9330B" w:rsidRDefault="00AB04ED" w:rsidP="00AB04ED">
      <w:pPr>
        <w:jc w:val="both"/>
      </w:pPr>
      <w:r w:rsidRPr="00A9330B">
        <w:t>Dans le cadre de ce projet, les exigences des Sauvegardes Opérationnelles (SO) du</w:t>
      </w:r>
      <w:r w:rsidR="00C85C15" w:rsidRPr="00A9330B">
        <w:t xml:space="preserve"> Système d</w:t>
      </w:r>
      <w:r w:rsidRPr="00A9330B">
        <w:t xml:space="preserve">e Sauvegardes Intégré (SSI) de la Banque Africaine de Développement doivent être satisfaites, au regard du milieu d’accueil et de la configuration des sites du projet. Il s’agit des Sauvegardes Opérationnelles SO1 « Evaluation environnementale et sociale », SO2 « Réinstallation involontaire – acquisition de terres, déplacement et indemnisation </w:t>
      </w:r>
      <w:r w:rsidR="002769BF" w:rsidRPr="00A9330B">
        <w:t>des populations</w:t>
      </w:r>
      <w:r w:rsidRPr="00A9330B">
        <w:t xml:space="preserve"> », SO3  « Biodiversité  et  services écosystémiques</w:t>
      </w:r>
      <w:r w:rsidR="007E530D" w:rsidRPr="00A9330B">
        <w:t> »</w:t>
      </w:r>
      <w:r w:rsidRPr="00A9330B">
        <w:t xml:space="preserve">, SO4 « Prévention et </w:t>
      </w:r>
      <w:r w:rsidRPr="00A9330B">
        <w:lastRenderedPageBreak/>
        <w:t>contrôle de pollution, gaz à effet de serre, matières dangereuses et utilisation efficiente des ressources » et SO5 « Condition de travail, santé et sécurité ».</w:t>
      </w:r>
    </w:p>
    <w:p w14:paraId="06D290B7" w14:textId="7144E9F7" w:rsidR="00AB04ED" w:rsidRPr="00A9330B" w:rsidRDefault="002769BF" w:rsidP="006E37A6">
      <w:pPr>
        <w:pStyle w:val="Titre20"/>
      </w:pPr>
      <w:bookmarkStart w:id="147" w:name="_Toc52869554"/>
      <w:bookmarkStart w:id="148" w:name="_Toc52869829"/>
      <w:r w:rsidRPr="00A9330B">
        <w:t xml:space="preserve">1.2. </w:t>
      </w:r>
      <w:r w:rsidR="00FC172B" w:rsidRPr="00A9330B">
        <w:t>P</w:t>
      </w:r>
      <w:r w:rsidR="003524A7" w:rsidRPr="00A9330B">
        <w:t xml:space="preserve">ortée </w:t>
      </w:r>
      <w:r w:rsidRPr="00A9330B">
        <w:t>de l</w:t>
      </w:r>
      <w:r w:rsidR="003524A7" w:rsidRPr="00A9330B">
        <w:t>’</w:t>
      </w:r>
      <w:r w:rsidR="00BA18AC" w:rsidRPr="00A9330B">
        <w:t>étude</w:t>
      </w:r>
      <w:r w:rsidRPr="00A9330B">
        <w:t xml:space="preserve"> d</w:t>
      </w:r>
      <w:r w:rsidR="003524A7" w:rsidRPr="00A9330B">
        <w:t>’</w:t>
      </w:r>
      <w:r w:rsidRPr="00A9330B">
        <w:t>impact environnemental et social</w:t>
      </w:r>
      <w:bookmarkEnd w:id="146"/>
      <w:bookmarkEnd w:id="147"/>
      <w:bookmarkEnd w:id="148"/>
      <w:r w:rsidRPr="00A9330B">
        <w:t xml:space="preserve">  </w:t>
      </w:r>
    </w:p>
    <w:p w14:paraId="57067473" w14:textId="77777777" w:rsidR="00AB04ED" w:rsidRPr="00A9330B" w:rsidRDefault="00AB04ED" w:rsidP="00E33E4E">
      <w:pPr>
        <w:pStyle w:val="Titre3"/>
      </w:pPr>
      <w:bookmarkStart w:id="149" w:name="_Toc535244511"/>
      <w:bookmarkStart w:id="150" w:name="_Toc45520748"/>
      <w:bookmarkStart w:id="151" w:name="_Toc52869555"/>
      <w:r w:rsidRPr="00A9330B">
        <w:t>1.2.1. Objectif général</w:t>
      </w:r>
      <w:bookmarkEnd w:id="149"/>
      <w:bookmarkEnd w:id="150"/>
      <w:bookmarkEnd w:id="151"/>
    </w:p>
    <w:p w14:paraId="2DAE53EB" w14:textId="3A8C1EC2" w:rsidR="00AB04ED" w:rsidRPr="00A9330B" w:rsidRDefault="00AB04ED" w:rsidP="00AB04ED">
      <w:pPr>
        <w:jc w:val="both"/>
        <w:rPr>
          <w:rFonts w:eastAsia="Calibri" w:cs="Times New Roman"/>
          <w:color w:val="auto"/>
        </w:rPr>
      </w:pPr>
      <w:r w:rsidRPr="00A9330B">
        <w:rPr>
          <w:rFonts w:eastAsia="Calibri" w:cs="Times New Roman"/>
          <w:color w:val="auto"/>
        </w:rPr>
        <w:t>L’Etude d’Impact Environnemental et Social (EIES) doit contribuer à une meilleure intégration des préoccupations environnementales et sociales dans les activités du pro</w:t>
      </w:r>
      <w:r w:rsidR="00414237" w:rsidRPr="00A9330B">
        <w:rPr>
          <w:rFonts w:eastAsia="Calibri" w:cs="Times New Roman"/>
          <w:color w:val="auto"/>
        </w:rPr>
        <w:t xml:space="preserve">jet </w:t>
      </w:r>
      <w:r w:rsidRPr="00A9330B">
        <w:rPr>
          <w:rFonts w:eastAsia="Calibri" w:cs="Times New Roman"/>
          <w:color w:val="auto"/>
        </w:rPr>
        <w:t>pour un cadre de vie durable. Elle pourra influencer le design de certaines activités et devra anticiper sur les risques de pollution et nuisances indirectes qui découleraient du mauvais usage / manque de maintenance des matériaux, matériels et infrastructures. Elle doit déboucher sur l’élaboration du Plan de Gestion Environnementale et Sociale (PGES) ainsi que l’élaboration d’un chronogramme concernant leur mise en œuvre et le suivi du pro</w:t>
      </w:r>
      <w:r w:rsidR="00414237" w:rsidRPr="00A9330B">
        <w:rPr>
          <w:rFonts w:eastAsia="Calibri" w:cs="Times New Roman"/>
          <w:color w:val="auto"/>
        </w:rPr>
        <w:t>jet</w:t>
      </w:r>
      <w:r w:rsidRPr="00A9330B">
        <w:rPr>
          <w:rFonts w:eastAsia="Calibri" w:cs="Times New Roman"/>
          <w:color w:val="auto"/>
        </w:rPr>
        <w:t xml:space="preserve"> dans la ville de </w:t>
      </w:r>
      <w:r w:rsidR="001F02A5" w:rsidRPr="00A9330B">
        <w:rPr>
          <w:rFonts w:eastAsia="Calibri" w:cs="Times New Roman"/>
          <w:color w:val="auto"/>
        </w:rPr>
        <w:t>Natitingou</w:t>
      </w:r>
      <w:r w:rsidRPr="00A9330B">
        <w:rPr>
          <w:rFonts w:eastAsia="Calibri" w:cs="Times New Roman"/>
          <w:color w:val="auto"/>
        </w:rPr>
        <w:t>.</w:t>
      </w:r>
    </w:p>
    <w:p w14:paraId="19969F8E" w14:textId="77777777" w:rsidR="00AB04ED" w:rsidRPr="00A9330B" w:rsidRDefault="00AB04ED" w:rsidP="006E37A6">
      <w:pPr>
        <w:pStyle w:val="Titre3"/>
      </w:pPr>
      <w:bookmarkStart w:id="152" w:name="_Toc535244512"/>
      <w:bookmarkStart w:id="153" w:name="_Toc45520749"/>
      <w:bookmarkStart w:id="154" w:name="_Toc52869556"/>
      <w:r w:rsidRPr="00A9330B">
        <w:t>1.2.2. Objectifs spécifiques</w:t>
      </w:r>
      <w:bookmarkEnd w:id="152"/>
      <w:bookmarkEnd w:id="153"/>
      <w:bookmarkEnd w:id="154"/>
    </w:p>
    <w:p w14:paraId="4273C2DB" w14:textId="77777777" w:rsidR="00AB04ED" w:rsidRPr="00A9330B" w:rsidRDefault="00AB04ED" w:rsidP="00AB04ED">
      <w:pPr>
        <w:jc w:val="both"/>
      </w:pPr>
      <w:r w:rsidRPr="00A9330B">
        <w:t>De façon spécifique, l’EIES vise à :</w:t>
      </w:r>
    </w:p>
    <w:p w14:paraId="6E073534" w14:textId="77777777" w:rsidR="00AB04ED" w:rsidRPr="00A9330B" w:rsidRDefault="00AB04ED" w:rsidP="007E42F5">
      <w:pPr>
        <w:pStyle w:val="Paragraphedeliste"/>
        <w:numPr>
          <w:ilvl w:val="0"/>
          <w:numId w:val="7"/>
        </w:numPr>
        <w:jc w:val="both"/>
        <w:rPr>
          <w:lang w:val="fr-FR" w:eastAsia="fr-FR"/>
        </w:rPr>
      </w:pPr>
      <w:r w:rsidRPr="00A9330B">
        <w:rPr>
          <w:lang w:val="fr-FR" w:eastAsia="fr-FR"/>
        </w:rPr>
        <w:t xml:space="preserve">analyser l’état des lieux des sites  d’accueil du projet ;  </w:t>
      </w:r>
    </w:p>
    <w:p w14:paraId="25911071" w14:textId="77777777" w:rsidR="00AB04ED" w:rsidRPr="00A9330B" w:rsidRDefault="00AB04ED" w:rsidP="007E42F5">
      <w:pPr>
        <w:pStyle w:val="Paragraphedeliste"/>
        <w:numPr>
          <w:ilvl w:val="0"/>
          <w:numId w:val="7"/>
        </w:numPr>
        <w:jc w:val="both"/>
        <w:rPr>
          <w:lang w:val="fr-FR" w:eastAsia="fr-FR"/>
        </w:rPr>
      </w:pPr>
      <w:r w:rsidRPr="00A9330B">
        <w:rPr>
          <w:lang w:val="fr-FR" w:eastAsia="fr-FR"/>
        </w:rPr>
        <w:t>présenter le projet à travers ses activités et par phase ;</w:t>
      </w:r>
    </w:p>
    <w:p w14:paraId="49307EF7" w14:textId="77777777" w:rsidR="00AB04ED" w:rsidRPr="00A9330B" w:rsidRDefault="00AB04ED" w:rsidP="007E42F5">
      <w:pPr>
        <w:pStyle w:val="Paragraphedeliste"/>
        <w:numPr>
          <w:ilvl w:val="0"/>
          <w:numId w:val="7"/>
        </w:numPr>
        <w:jc w:val="both"/>
        <w:rPr>
          <w:lang w:val="fr-FR" w:eastAsia="fr-FR"/>
        </w:rPr>
      </w:pPr>
      <w:r w:rsidRPr="00A9330B">
        <w:rPr>
          <w:lang w:val="fr-FR" w:eastAsia="fr-FR"/>
        </w:rPr>
        <w:t>identifier, caractériser et évaluer les impacts tant positifs que négatifs, directs et indirects et les impacts cumulatifs du projet ;</w:t>
      </w:r>
    </w:p>
    <w:p w14:paraId="6483A13F" w14:textId="77777777" w:rsidR="00AB04ED" w:rsidRPr="00A9330B" w:rsidRDefault="00AB04ED" w:rsidP="007E42F5">
      <w:pPr>
        <w:pStyle w:val="Paragraphedeliste"/>
        <w:numPr>
          <w:ilvl w:val="0"/>
          <w:numId w:val="7"/>
        </w:numPr>
        <w:jc w:val="both"/>
        <w:rPr>
          <w:lang w:val="fr-FR" w:eastAsia="fr-FR"/>
        </w:rPr>
      </w:pPr>
      <w:r w:rsidRPr="00A9330B">
        <w:rPr>
          <w:lang w:val="fr-FR" w:eastAsia="fr-FR"/>
        </w:rPr>
        <w:t>évaluer la vulnérabilité du projet aux changements climatiques et de proposer des mesures d’adaptation ;</w:t>
      </w:r>
    </w:p>
    <w:p w14:paraId="28CDCDB9" w14:textId="77777777" w:rsidR="00AB04ED" w:rsidRPr="00A9330B" w:rsidRDefault="00AB04ED" w:rsidP="007E42F5">
      <w:pPr>
        <w:pStyle w:val="Paragraphedeliste"/>
        <w:numPr>
          <w:ilvl w:val="0"/>
          <w:numId w:val="7"/>
        </w:numPr>
        <w:jc w:val="both"/>
        <w:rPr>
          <w:lang w:val="fr-FR" w:eastAsia="fr-FR"/>
        </w:rPr>
      </w:pPr>
      <w:r w:rsidRPr="00A9330B">
        <w:rPr>
          <w:lang w:val="fr-FR" w:eastAsia="fr-FR"/>
        </w:rPr>
        <w:t>analyser les risques probables pendant la mise en œuvre des activités du projet, et pendant l’exploitation des infrastructures notamment les bassins de rétention et les canaux ayant une profondeur substantielle ;</w:t>
      </w:r>
    </w:p>
    <w:p w14:paraId="7A59F1E5" w14:textId="77777777" w:rsidR="00AB04ED" w:rsidRPr="00A9330B" w:rsidRDefault="00AB04ED" w:rsidP="007E42F5">
      <w:pPr>
        <w:pStyle w:val="Paragraphedeliste"/>
        <w:numPr>
          <w:ilvl w:val="0"/>
          <w:numId w:val="7"/>
        </w:numPr>
        <w:jc w:val="both"/>
        <w:rPr>
          <w:lang w:val="fr-FR" w:eastAsia="fr-FR"/>
        </w:rPr>
      </w:pPr>
      <w:r w:rsidRPr="00A9330B">
        <w:rPr>
          <w:lang w:val="fr-FR" w:eastAsia="fr-FR"/>
        </w:rPr>
        <w:t>proposer, des mesures de gestion adéquates de chaque impact et risque significatif (c’est à dire ceux considérés comme importants et moyens) y afférentes sur les milieux physique, biologique, socioéconomique ;</w:t>
      </w:r>
    </w:p>
    <w:p w14:paraId="67A1C72A" w14:textId="77777777" w:rsidR="00AB04ED" w:rsidRPr="00A9330B" w:rsidRDefault="00AB04ED" w:rsidP="007E42F5">
      <w:pPr>
        <w:pStyle w:val="Paragraphedeliste"/>
        <w:numPr>
          <w:ilvl w:val="0"/>
          <w:numId w:val="7"/>
        </w:numPr>
        <w:jc w:val="both"/>
        <w:rPr>
          <w:lang w:val="fr-FR" w:eastAsia="fr-FR"/>
        </w:rPr>
      </w:pPr>
      <w:r w:rsidRPr="00A9330B">
        <w:rPr>
          <w:lang w:val="fr-FR" w:eastAsia="fr-FR"/>
        </w:rPr>
        <w:t>proposer un plan d’action genre ;</w:t>
      </w:r>
    </w:p>
    <w:p w14:paraId="44628287" w14:textId="291F8FD1" w:rsidR="00AB04ED" w:rsidRPr="00A9330B" w:rsidRDefault="00AB04ED" w:rsidP="007E42F5">
      <w:pPr>
        <w:pStyle w:val="Paragraphedeliste"/>
        <w:numPr>
          <w:ilvl w:val="0"/>
          <w:numId w:val="7"/>
        </w:numPr>
        <w:jc w:val="both"/>
        <w:rPr>
          <w:lang w:val="fr-FR" w:eastAsia="fr-FR"/>
        </w:rPr>
      </w:pPr>
      <w:r w:rsidRPr="00A9330B">
        <w:rPr>
          <w:lang w:val="fr-FR" w:eastAsia="fr-FR"/>
        </w:rPr>
        <w:t xml:space="preserve">élaborer le plan </w:t>
      </w:r>
      <w:r w:rsidR="001F02A5" w:rsidRPr="00A9330B">
        <w:rPr>
          <w:lang w:val="fr-FR" w:eastAsia="fr-FR"/>
        </w:rPr>
        <w:t xml:space="preserve">de </w:t>
      </w:r>
      <w:r w:rsidRPr="00A9330B">
        <w:rPr>
          <w:lang w:val="fr-FR" w:eastAsia="fr-FR"/>
        </w:rPr>
        <w:t>gestion environnementale et sociale (PGES), détaillant les responsabilités des acteurs directement concernés, notamment pendant les phases de construction (Maître d’ouvrage, Maître d’ouvrage délégué le cas échéant, Ingénieur Conseil, Superviseur, M</w:t>
      </w:r>
      <w:r w:rsidR="001F02A5" w:rsidRPr="00A9330B">
        <w:rPr>
          <w:lang w:val="fr-FR" w:eastAsia="fr-FR"/>
        </w:rPr>
        <w:t xml:space="preserve">airie, </w:t>
      </w:r>
      <w:r w:rsidRPr="00A9330B">
        <w:rPr>
          <w:lang w:val="fr-FR" w:eastAsia="fr-FR"/>
        </w:rPr>
        <w:t xml:space="preserve">Arrondissements, Etat central) et d’exploitation (Exploitants, Arrondissement, </w:t>
      </w:r>
      <w:r w:rsidR="003524A7" w:rsidRPr="00A9330B">
        <w:rPr>
          <w:lang w:val="fr-FR" w:eastAsia="fr-FR"/>
        </w:rPr>
        <w:t>Mairie,</w:t>
      </w:r>
      <w:r w:rsidRPr="00A9330B">
        <w:rPr>
          <w:lang w:val="fr-FR" w:eastAsia="fr-FR"/>
        </w:rPr>
        <w:t xml:space="preserve"> Etat central). </w:t>
      </w:r>
    </w:p>
    <w:p w14:paraId="4B31C69B" w14:textId="77777777" w:rsidR="00AB04ED" w:rsidRPr="00A9330B" w:rsidRDefault="00AB04ED" w:rsidP="006E37A6">
      <w:pPr>
        <w:pStyle w:val="Titre20"/>
      </w:pPr>
      <w:bookmarkStart w:id="155" w:name="_Toc535244513"/>
      <w:bookmarkStart w:id="156" w:name="_Toc52869557"/>
      <w:bookmarkStart w:id="157" w:name="_Toc52869830"/>
      <w:r w:rsidRPr="00A9330B">
        <w:t>1.3. Démarche méthodologique</w:t>
      </w:r>
      <w:bookmarkEnd w:id="155"/>
      <w:bookmarkEnd w:id="156"/>
      <w:bookmarkEnd w:id="157"/>
      <w:r w:rsidRPr="00A9330B">
        <w:t xml:space="preserve"> </w:t>
      </w:r>
    </w:p>
    <w:p w14:paraId="4F9D05F8" w14:textId="0EBD27A6" w:rsidR="00AB04ED" w:rsidRPr="00A9330B" w:rsidRDefault="00AB04ED" w:rsidP="00AB04ED">
      <w:pPr>
        <w:jc w:val="both"/>
        <w:rPr>
          <w:rFonts w:ascii="Times New Roman" w:eastAsiaTheme="minorEastAsia" w:hAnsi="Times New Roman" w:cs="Times New Roman"/>
          <w:sz w:val="20"/>
          <w:szCs w:val="20"/>
          <w:lang w:eastAsia="fr-FR"/>
        </w:rPr>
      </w:pPr>
      <w:r w:rsidRPr="00A9330B">
        <w:rPr>
          <w:lang w:eastAsia="fr-FR"/>
        </w:rPr>
        <w:t xml:space="preserve">L’étude d’impact environnemental du PAPVS dans la ville </w:t>
      </w:r>
      <w:r w:rsidR="00B21BFD" w:rsidRPr="00A9330B">
        <w:rPr>
          <w:lang w:eastAsia="fr-FR"/>
        </w:rPr>
        <w:t xml:space="preserve">de </w:t>
      </w:r>
      <w:r w:rsidR="00BA7D70" w:rsidRPr="00A9330B">
        <w:rPr>
          <w:lang w:eastAsia="fr-FR"/>
        </w:rPr>
        <w:t xml:space="preserve">Natitingou </w:t>
      </w:r>
      <w:r w:rsidRPr="00A9330B">
        <w:rPr>
          <w:lang w:eastAsia="fr-FR"/>
        </w:rPr>
        <w:t>a été réalisée suivant un processus participatif permettant l’implication effective du promoteur du projet, des représentants des populations locales et autres acteurs concernés à divers niveaux.</w:t>
      </w:r>
    </w:p>
    <w:p w14:paraId="55FAD6E1" w14:textId="77777777" w:rsidR="00AB04ED" w:rsidRPr="00A9330B" w:rsidRDefault="00AB04ED" w:rsidP="00AB04ED">
      <w:pPr>
        <w:jc w:val="both"/>
        <w:rPr>
          <w:lang w:eastAsia="fr-FR"/>
        </w:rPr>
      </w:pPr>
      <w:r w:rsidRPr="00A9330B">
        <w:rPr>
          <w:lang w:eastAsia="fr-FR"/>
        </w:rPr>
        <w:t xml:space="preserve">La méthodologie a été développée sous l’angle de la démarche d’ordre général de conduite de toute étude technique et celui spécifique de l’analyse environnementale, l’étude de danger et risques. </w:t>
      </w:r>
    </w:p>
    <w:p w14:paraId="4371F0AF" w14:textId="77777777" w:rsidR="00AB04ED" w:rsidRPr="00A9330B" w:rsidRDefault="00AB04ED" w:rsidP="006E37A6">
      <w:pPr>
        <w:pStyle w:val="Titre3"/>
        <w:rPr>
          <w:noProof/>
        </w:rPr>
      </w:pPr>
      <w:bookmarkStart w:id="158" w:name="_Toc8139489"/>
      <w:bookmarkStart w:id="159" w:name="_Toc8139695"/>
      <w:bookmarkStart w:id="160" w:name="_Toc8139901"/>
      <w:bookmarkStart w:id="161" w:name="_Toc8140107"/>
      <w:bookmarkStart w:id="162" w:name="_Toc8140313"/>
      <w:bookmarkStart w:id="163" w:name="_Toc8140519"/>
      <w:bookmarkStart w:id="164" w:name="_Toc8140725"/>
      <w:bookmarkStart w:id="165" w:name="_Toc8140931"/>
      <w:bookmarkStart w:id="166" w:name="_Toc8141343"/>
      <w:bookmarkStart w:id="167" w:name="_Toc8141549"/>
      <w:bookmarkStart w:id="168" w:name="_Toc8141755"/>
      <w:bookmarkStart w:id="169" w:name="_Toc8204289"/>
      <w:bookmarkStart w:id="170" w:name="_Toc8204553"/>
      <w:bookmarkStart w:id="171" w:name="_Toc45520751"/>
      <w:bookmarkStart w:id="172" w:name="_Toc535244514"/>
      <w:bookmarkStart w:id="173" w:name="_Toc52869558"/>
      <w:r w:rsidRPr="00A9330B">
        <w:t xml:space="preserve">1.3.1. </w:t>
      </w:r>
      <w:r w:rsidRPr="00A9330B">
        <w:rPr>
          <w:noProof/>
        </w:rPr>
        <w:t>Séance de travail préliminaire avec le maitre d’ouvrage – cadrage de la mission</w:t>
      </w:r>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3"/>
      <w:r w:rsidRPr="00A9330B">
        <w:rPr>
          <w:noProof/>
        </w:rPr>
        <w:t xml:space="preserve"> </w:t>
      </w:r>
    </w:p>
    <w:p w14:paraId="052B418B" w14:textId="77777777" w:rsidR="00AB04ED" w:rsidRPr="00A9330B" w:rsidRDefault="00AB04ED" w:rsidP="00AB04ED">
      <w:pPr>
        <w:jc w:val="both"/>
      </w:pPr>
      <w:r w:rsidRPr="00A9330B">
        <w:t>Plusieurs réunions de travail ont eu lieu avec le maitre d’ouvrage.</w:t>
      </w:r>
    </w:p>
    <w:p w14:paraId="677E2E69" w14:textId="77777777" w:rsidR="00AB04ED" w:rsidRPr="00A9330B" w:rsidRDefault="00AB04ED" w:rsidP="00AB04ED">
      <w:pPr>
        <w:jc w:val="both"/>
      </w:pPr>
      <w:r w:rsidRPr="00A9330B">
        <w:lastRenderedPageBreak/>
        <w:t xml:space="preserve">La première avait pour but de s’accorder sur la date de démarrage effective des prestations et d’actualiser le planning de la réalisation des études. </w:t>
      </w:r>
    </w:p>
    <w:p w14:paraId="6EC765D5" w14:textId="77777777" w:rsidR="00AB04ED" w:rsidRPr="00A9330B" w:rsidRDefault="00AB04ED" w:rsidP="00AB04ED">
      <w:pPr>
        <w:jc w:val="both"/>
      </w:pPr>
      <w:r w:rsidRPr="00A9330B">
        <w:t>La seconde réunion a été l’occasion pour le Consultant de présenter au Maître d’ouvrage, l’équipe projet et le programme de la mission de collecte de données sur le terrain. Cette réunion a également permis de :</w:t>
      </w:r>
    </w:p>
    <w:p w14:paraId="729A8799" w14:textId="77777777" w:rsidR="00AB04ED" w:rsidRPr="00A9330B" w:rsidRDefault="00AB04ED" w:rsidP="007E42F5">
      <w:pPr>
        <w:pStyle w:val="Paragraphedeliste"/>
        <w:numPr>
          <w:ilvl w:val="0"/>
          <w:numId w:val="28"/>
        </w:numPr>
        <w:jc w:val="both"/>
        <w:rPr>
          <w:rFonts w:eastAsia="Calibri"/>
          <w:lang w:val="fr-FR"/>
        </w:rPr>
      </w:pPr>
      <w:r w:rsidRPr="00A9330B">
        <w:rPr>
          <w:rFonts w:eastAsia="Calibri"/>
          <w:lang w:val="fr-FR"/>
        </w:rPr>
        <w:t>recevoir l’ensemble des documents disponibles sur le projet et ;</w:t>
      </w:r>
    </w:p>
    <w:p w14:paraId="2D50F617" w14:textId="77777777" w:rsidR="00AB04ED" w:rsidRPr="00A9330B" w:rsidRDefault="00AB04ED" w:rsidP="007E42F5">
      <w:pPr>
        <w:pStyle w:val="Paragraphedeliste"/>
        <w:numPr>
          <w:ilvl w:val="0"/>
          <w:numId w:val="28"/>
        </w:numPr>
        <w:jc w:val="both"/>
        <w:rPr>
          <w:rFonts w:eastAsia="Calibri"/>
          <w:lang w:val="fr-FR"/>
        </w:rPr>
      </w:pPr>
      <w:r w:rsidRPr="00A9330B">
        <w:rPr>
          <w:rFonts w:eastAsia="Calibri"/>
          <w:lang w:val="fr-FR"/>
        </w:rPr>
        <w:t>obtenir des précisions sur les TDR et la consistance de la mission.</w:t>
      </w:r>
    </w:p>
    <w:p w14:paraId="15FD8D6D" w14:textId="77777777" w:rsidR="00AB04ED" w:rsidRPr="00A9330B" w:rsidRDefault="00AB04ED" w:rsidP="00AB04ED">
      <w:pPr>
        <w:jc w:val="both"/>
      </w:pPr>
      <w:r w:rsidRPr="00A9330B">
        <w:t xml:space="preserve">Cette réunion de cadre a également servi à l’harmonisation des points de vue entre le maître d’ouvrage et l’équipe du consultant. En définitive, les échanges ont permis l’élaboration des outils de collecte (questionnaires, guides d’entretien, grilles d’observation, etc.) et de retenir une démarche participative d’intervention. </w:t>
      </w:r>
    </w:p>
    <w:p w14:paraId="6C55421D" w14:textId="77777777" w:rsidR="00AB04ED" w:rsidRPr="00A9330B" w:rsidRDefault="00AB04ED" w:rsidP="006E37A6">
      <w:pPr>
        <w:pStyle w:val="Titre3"/>
      </w:pPr>
      <w:bookmarkStart w:id="174" w:name="_Toc45520752"/>
      <w:bookmarkStart w:id="175" w:name="_Toc52869559"/>
      <w:r w:rsidRPr="00A9330B">
        <w:t>1.3.2. Recherche documentaire</w:t>
      </w:r>
      <w:bookmarkEnd w:id="172"/>
      <w:bookmarkEnd w:id="174"/>
      <w:bookmarkEnd w:id="175"/>
    </w:p>
    <w:p w14:paraId="1DD650B8" w14:textId="77777777" w:rsidR="00AB04ED" w:rsidRPr="00A9330B" w:rsidRDefault="00AB04ED" w:rsidP="0066693C">
      <w:pPr>
        <w:jc w:val="both"/>
        <w:rPr>
          <w:rFonts w:eastAsia="Arial" w:cs="Arial"/>
          <w:color w:val="auto"/>
        </w:rPr>
      </w:pPr>
      <w:bookmarkStart w:id="176" w:name="_Toc531434145"/>
      <w:bookmarkStart w:id="177" w:name="_Toc535244515"/>
      <w:r w:rsidRPr="00A9330B">
        <w:t>Elle a consisté en une revue de la documentation disponible (ouvrages généraux, mémoires, thèses, documents de projet, les documents de planification des communes, les EIES similaires au présent projet (PAURAD, Asphaltage, PAPC), les articles scientifiques ou de journaux pour l’analyse des cadres institutionnels et règlementaires, la description des milieux physique (caractéristiques climatique, pédologique, géologique, etc.), biologique (caractéristiques hydrologique, floristique et faunique) et socioéconomique (démographie, aspects socioéconomiques, sanitaires, culturels, etc.) de l’étude.</w:t>
      </w:r>
      <w:r w:rsidRPr="00A9330B">
        <w:rPr>
          <w:rFonts w:ascii="Times New Roman" w:eastAsiaTheme="minorEastAsia" w:hAnsi="Times New Roman" w:cs="Times New Roman"/>
          <w:sz w:val="20"/>
          <w:szCs w:val="20"/>
        </w:rPr>
        <w:t xml:space="preserve"> </w:t>
      </w:r>
      <w:r w:rsidRPr="00A9330B">
        <w:rPr>
          <w:rFonts w:eastAsia="Arial" w:cs="Arial"/>
          <w:color w:val="auto"/>
        </w:rPr>
        <w:t>Les documents consultés sont listés dans la bibliographie.</w:t>
      </w:r>
    </w:p>
    <w:p w14:paraId="48C6E138" w14:textId="77777777" w:rsidR="00AB04ED" w:rsidRPr="00A9330B" w:rsidRDefault="00AB04ED" w:rsidP="006E37A6">
      <w:pPr>
        <w:pStyle w:val="Titre3"/>
      </w:pPr>
      <w:bookmarkStart w:id="178" w:name="_Toc45520753"/>
      <w:bookmarkStart w:id="179" w:name="_Toc52869560"/>
      <w:r w:rsidRPr="00A9330B">
        <w:t>1.3.3. Travaux de terrain</w:t>
      </w:r>
      <w:bookmarkEnd w:id="176"/>
      <w:bookmarkEnd w:id="177"/>
      <w:bookmarkEnd w:id="178"/>
      <w:bookmarkEnd w:id="179"/>
      <w:r w:rsidRPr="00A9330B">
        <w:t xml:space="preserve"> </w:t>
      </w:r>
    </w:p>
    <w:p w14:paraId="10BB0BD2" w14:textId="77777777" w:rsidR="00AB04ED" w:rsidRPr="00A9330B" w:rsidRDefault="00AB04ED" w:rsidP="0064324E">
      <w:pPr>
        <w:pStyle w:val="Titre40"/>
      </w:pPr>
      <w:bookmarkStart w:id="180" w:name="_Toc45520754"/>
      <w:bookmarkStart w:id="181" w:name="_Toc523415059"/>
      <w:bookmarkStart w:id="182" w:name="_Toc523417430"/>
      <w:bookmarkStart w:id="183" w:name="_Toc523850072"/>
      <w:bookmarkStart w:id="184" w:name="_Toc523857195"/>
      <w:bookmarkStart w:id="185" w:name="_Toc524462426"/>
      <w:bookmarkStart w:id="186" w:name="_Toc531434146"/>
      <w:bookmarkStart w:id="187" w:name="_Toc535244516"/>
      <w:bookmarkStart w:id="188" w:name="_Toc52869561"/>
      <w:r w:rsidRPr="00A9330B">
        <w:t>1.3.3.1. Délimitation de la zone d’étude</w:t>
      </w:r>
      <w:bookmarkEnd w:id="180"/>
      <w:bookmarkEnd w:id="188"/>
      <w:r w:rsidRPr="00A9330B">
        <w:t xml:space="preserve"> </w:t>
      </w:r>
    </w:p>
    <w:p w14:paraId="72C12F08" w14:textId="77777777" w:rsidR="00AB04ED" w:rsidRPr="00A9330B" w:rsidRDefault="00AB04ED" w:rsidP="00AB04ED">
      <w:pPr>
        <w:jc w:val="both"/>
        <w:rPr>
          <w:rFonts w:cs="Arial"/>
        </w:rPr>
      </w:pPr>
      <w:r w:rsidRPr="00A9330B">
        <w:rPr>
          <w:rFonts w:cs="Arial"/>
        </w:rPr>
        <w:t xml:space="preserve">Trois aires d'études ont été définies par rapport au milieu. Ces aires d'études ont été définies en prenant en compte (i) la typologie du projet, (ii) les sensibilités environnementales identifiées de manière préliminaire et (iii) les impacts environnementaux et sociaux potentiels identifiés. Ces aires d’études ont ensuite conditionné le niveau d'effort à mettre en œuvre pour la collecte des données et les investigations environnementales et sociales. </w:t>
      </w:r>
    </w:p>
    <w:p w14:paraId="78364B80" w14:textId="77777777" w:rsidR="00AB04ED" w:rsidRPr="00A9330B" w:rsidRDefault="00AB04ED" w:rsidP="00AB04ED">
      <w:pPr>
        <w:jc w:val="both"/>
        <w:rPr>
          <w:rFonts w:cs="Arial"/>
        </w:rPr>
      </w:pPr>
      <w:r w:rsidRPr="00A9330B">
        <w:rPr>
          <w:rFonts w:cs="Arial"/>
        </w:rPr>
        <w:t>Les différents types d’aires d’étude retrouvés sont schématisés dans la figure ci-dessous et présentés dans les sections qui suivent.</w:t>
      </w:r>
    </w:p>
    <w:p w14:paraId="28E8ECEF" w14:textId="78FE25B2" w:rsidR="00AB04ED" w:rsidRPr="00A9330B" w:rsidRDefault="00AB04ED" w:rsidP="00A9330B">
      <w:pPr>
        <w:pStyle w:val="Lgende"/>
      </w:pPr>
      <w:bookmarkStart w:id="189" w:name="_Toc494380470"/>
      <w:bookmarkStart w:id="190" w:name="_Toc494380566"/>
      <w:bookmarkStart w:id="191" w:name="_Toc494380571"/>
      <w:bookmarkStart w:id="192" w:name="_Toc494380667"/>
      <w:bookmarkStart w:id="193" w:name="_Toc494380673"/>
      <w:bookmarkStart w:id="194" w:name="_Toc494384053"/>
      <w:bookmarkStart w:id="195" w:name="_Toc494405212"/>
      <w:bookmarkStart w:id="196" w:name="_Toc494405366"/>
      <w:bookmarkStart w:id="197" w:name="_Toc494452999"/>
      <w:bookmarkStart w:id="198" w:name="_Toc494453358"/>
      <w:bookmarkStart w:id="199" w:name="_Toc494465348"/>
      <w:bookmarkStart w:id="200" w:name="_Toc494723843"/>
      <w:bookmarkStart w:id="201" w:name="_Toc494723868"/>
      <w:bookmarkStart w:id="202" w:name="_Toc494740931"/>
      <w:bookmarkStart w:id="203" w:name="_Toc494742033"/>
      <w:bookmarkStart w:id="204" w:name="_Toc494749230"/>
      <w:bookmarkStart w:id="205" w:name="_Toc494749523"/>
      <w:bookmarkStart w:id="206" w:name="_Toc494749533"/>
      <w:bookmarkStart w:id="207" w:name="_Toc494754992"/>
      <w:bookmarkStart w:id="208" w:name="_Toc494755333"/>
      <w:bookmarkStart w:id="209" w:name="_Toc494842234"/>
      <w:bookmarkStart w:id="210" w:name="_Toc503943316"/>
      <w:bookmarkStart w:id="211" w:name="_Toc503947444"/>
      <w:bookmarkStart w:id="212" w:name="_Toc503947627"/>
      <w:bookmarkStart w:id="213" w:name="_Toc503947908"/>
      <w:bookmarkStart w:id="214" w:name="_Toc503948997"/>
      <w:bookmarkStart w:id="215" w:name="_Toc503949051"/>
      <w:bookmarkStart w:id="216" w:name="_Toc503949254"/>
      <w:bookmarkStart w:id="217" w:name="_Toc503949383"/>
      <w:bookmarkStart w:id="218" w:name="_Toc503949586"/>
      <w:bookmarkStart w:id="219" w:name="_Toc503949639"/>
      <w:bookmarkStart w:id="220" w:name="_Toc503949692"/>
      <w:bookmarkStart w:id="221" w:name="_Toc503949745"/>
      <w:bookmarkStart w:id="222" w:name="_Toc503952866"/>
      <w:bookmarkStart w:id="223" w:name="_Toc504056308"/>
      <w:bookmarkStart w:id="224" w:name="_Toc504113837"/>
      <w:bookmarkStart w:id="225" w:name="_Toc504114275"/>
      <w:bookmarkStart w:id="226" w:name="_Toc504115893"/>
      <w:bookmarkStart w:id="227" w:name="_Toc504116761"/>
      <w:bookmarkStart w:id="228" w:name="_Toc504124301"/>
      <w:bookmarkStart w:id="229" w:name="_Toc504125124"/>
      <w:bookmarkStart w:id="230" w:name="_Toc504125562"/>
      <w:bookmarkStart w:id="231" w:name="_Toc504379914"/>
      <w:bookmarkStart w:id="232" w:name="_Toc512809424"/>
      <w:bookmarkStart w:id="233" w:name="_Toc512809886"/>
      <w:bookmarkStart w:id="234" w:name="_Toc512810351"/>
      <w:bookmarkStart w:id="235" w:name="_Toc512810816"/>
      <w:bookmarkStart w:id="236" w:name="_Toc512810948"/>
      <w:bookmarkStart w:id="237" w:name="_Toc515280075"/>
      <w:bookmarkStart w:id="238" w:name="_Toc515280201"/>
      <w:bookmarkStart w:id="239" w:name="_Toc515381801"/>
      <w:bookmarkStart w:id="240" w:name="_Toc515409813"/>
      <w:bookmarkStart w:id="241" w:name="_Toc515410414"/>
      <w:bookmarkStart w:id="242" w:name="_Toc515411439"/>
      <w:bookmarkStart w:id="243" w:name="_Toc515411539"/>
      <w:bookmarkStart w:id="244" w:name="_Toc515413330"/>
      <w:bookmarkStart w:id="245" w:name="_Toc515413991"/>
      <w:bookmarkStart w:id="246" w:name="_Toc515458388"/>
      <w:bookmarkStart w:id="247" w:name="_Toc515458508"/>
      <w:bookmarkStart w:id="248" w:name="_Toc515589188"/>
      <w:bookmarkStart w:id="249" w:name="_Toc517458156"/>
      <w:bookmarkStart w:id="250" w:name="_Toc517458856"/>
      <w:bookmarkStart w:id="251" w:name="_Toc517459669"/>
      <w:bookmarkStart w:id="252" w:name="_Toc517460471"/>
      <w:bookmarkStart w:id="253" w:name="_Toc517460595"/>
      <w:bookmarkStart w:id="254" w:name="_Toc517460807"/>
      <w:bookmarkStart w:id="255" w:name="_Toc517461512"/>
      <w:bookmarkStart w:id="256" w:name="_Toc517461636"/>
      <w:bookmarkStart w:id="257" w:name="_Toc517461760"/>
      <w:bookmarkStart w:id="258" w:name="_Toc517461878"/>
      <w:bookmarkStart w:id="259" w:name="_Toc517461996"/>
      <w:bookmarkStart w:id="260" w:name="_Toc517462695"/>
      <w:bookmarkStart w:id="261" w:name="_Toc517463394"/>
      <w:bookmarkStart w:id="262" w:name="_Toc517464091"/>
      <w:bookmarkStart w:id="263" w:name="_Toc517464215"/>
      <w:bookmarkStart w:id="264" w:name="_Toc517464339"/>
      <w:bookmarkStart w:id="265" w:name="_Toc517464462"/>
      <w:bookmarkStart w:id="266" w:name="_Toc517464586"/>
      <w:bookmarkStart w:id="267" w:name="_Toc517464710"/>
      <w:bookmarkStart w:id="268" w:name="_Toc517464834"/>
      <w:bookmarkStart w:id="269" w:name="_Toc517465539"/>
      <w:bookmarkStart w:id="270" w:name="_Toc517565893"/>
      <w:bookmarkStart w:id="271" w:name="_Toc517620944"/>
      <w:bookmarkStart w:id="272" w:name="_Toc518037120"/>
      <w:bookmarkStart w:id="273" w:name="_Toc519056020"/>
      <w:bookmarkStart w:id="274" w:name="_Toc519237274"/>
      <w:bookmarkStart w:id="275" w:name="_Toc519336009"/>
      <w:bookmarkStart w:id="276" w:name="_Toc519419241"/>
      <w:bookmarkStart w:id="277" w:name="_Toc519489110"/>
      <w:bookmarkStart w:id="278" w:name="_Toc519489503"/>
      <w:bookmarkStart w:id="279" w:name="_Toc519491704"/>
      <w:bookmarkStart w:id="280" w:name="_Toc524378164"/>
      <w:bookmarkStart w:id="281" w:name="_Toc524378453"/>
      <w:bookmarkStart w:id="282" w:name="_Toc524380690"/>
      <w:bookmarkStart w:id="283" w:name="_Toc525565751"/>
      <w:bookmarkStart w:id="284" w:name="_Toc525566442"/>
      <w:bookmarkStart w:id="285" w:name="_Toc525566449"/>
      <w:bookmarkStart w:id="286" w:name="_Toc530144613"/>
      <w:bookmarkStart w:id="287" w:name="_Toc530145123"/>
      <w:bookmarkStart w:id="288" w:name="_Toc530145173"/>
      <w:bookmarkStart w:id="289" w:name="_Toc16003688"/>
      <w:bookmarkStart w:id="290" w:name="_Toc487528084"/>
      <w:bookmarkStart w:id="291" w:name="_Toc487528125"/>
      <w:bookmarkStart w:id="292" w:name="_Toc487528166"/>
      <w:bookmarkStart w:id="293" w:name="_Toc487528381"/>
      <w:bookmarkStart w:id="294" w:name="_Toc487544293"/>
      <w:bookmarkStart w:id="295" w:name="_Toc487551987"/>
      <w:bookmarkStart w:id="296" w:name="_Toc487552132"/>
      <w:bookmarkStart w:id="297" w:name="_Toc487552348"/>
      <w:bookmarkStart w:id="298" w:name="_Toc487552397"/>
      <w:bookmarkStart w:id="299" w:name="_Toc487642356"/>
      <w:bookmarkStart w:id="300" w:name="_Toc487642398"/>
      <w:bookmarkStart w:id="301" w:name="_Toc487642729"/>
      <w:bookmarkStart w:id="302" w:name="_Toc487645697"/>
      <w:bookmarkStart w:id="303" w:name="_Toc487646014"/>
      <w:bookmarkStart w:id="304" w:name="_Toc487646183"/>
      <w:bookmarkStart w:id="305" w:name="_Toc487646226"/>
      <w:bookmarkStart w:id="306" w:name="_Toc487646491"/>
      <w:bookmarkStart w:id="307" w:name="_Toc487646842"/>
      <w:bookmarkStart w:id="308" w:name="_Toc487647983"/>
      <w:bookmarkStart w:id="309" w:name="_Toc489451275"/>
      <w:bookmarkStart w:id="310" w:name="_Toc489549436"/>
      <w:bookmarkStart w:id="311" w:name="_Toc489549647"/>
      <w:bookmarkStart w:id="312" w:name="_Toc489549831"/>
      <w:bookmarkStart w:id="313" w:name="_Toc489549893"/>
      <w:bookmarkStart w:id="314" w:name="_Toc489550086"/>
      <w:bookmarkStart w:id="315" w:name="_Toc489550279"/>
      <w:bookmarkStart w:id="316" w:name="_Toc489550332"/>
      <w:bookmarkStart w:id="317" w:name="_Toc489550385"/>
      <w:bookmarkStart w:id="318" w:name="_Toc489550493"/>
      <w:bookmarkStart w:id="319" w:name="_Toc491164451"/>
      <w:bookmarkStart w:id="320" w:name="_Toc491164784"/>
      <w:bookmarkStart w:id="321" w:name="_Toc491247786"/>
      <w:bookmarkStart w:id="322" w:name="_Toc491247848"/>
      <w:bookmarkStart w:id="323" w:name="_Toc51844214"/>
      <w:r w:rsidRPr="00A9330B">
        <w:lastRenderedPageBreak/>
        <w:t xml:space="preserve">Figure </w:t>
      </w:r>
      <w:r w:rsidR="009D26AD" w:rsidRPr="00A9330B">
        <w:rPr>
          <w:noProof/>
        </w:rPr>
        <w:fldChar w:fldCharType="begin"/>
      </w:r>
      <w:r w:rsidR="009D26AD" w:rsidRPr="00A9330B">
        <w:rPr>
          <w:noProof/>
        </w:rPr>
        <w:instrText xml:space="preserve"> SEQ Figure \* ARABIC </w:instrText>
      </w:r>
      <w:r w:rsidR="009D26AD" w:rsidRPr="00A9330B">
        <w:rPr>
          <w:noProof/>
        </w:rPr>
        <w:fldChar w:fldCharType="separate"/>
      </w:r>
      <w:r w:rsidR="00BA18AC" w:rsidRPr="00A9330B">
        <w:rPr>
          <w:noProof/>
        </w:rPr>
        <w:t>1</w:t>
      </w:r>
      <w:r w:rsidR="009D26AD" w:rsidRPr="00A9330B">
        <w:rPr>
          <w:noProof/>
        </w:rPr>
        <w:fldChar w:fldCharType="end"/>
      </w:r>
      <w:r w:rsidRPr="00A9330B">
        <w:t xml:space="preserve"> : Schéma représentant les différentes aires d'étude</w:t>
      </w:r>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p>
    <w:p w14:paraId="49A9490F" w14:textId="74F79929" w:rsidR="003524A7" w:rsidRPr="00A9330B" w:rsidRDefault="003524A7" w:rsidP="0011523E">
      <w:r w:rsidRPr="00A9330B">
        <w:rPr>
          <w:noProof/>
          <w:lang w:eastAsia="fr-FR"/>
        </w:rPr>
        <w:drawing>
          <wp:inline distT="0" distB="0" distL="0" distR="0" wp14:anchorId="59BBBBE5" wp14:editId="12241FBA">
            <wp:extent cx="4635500" cy="2994025"/>
            <wp:effectExtent l="0" t="0" r="0" b="0"/>
            <wp:docPr id="50" name="Image 1"/>
            <wp:cNvGraphicFramePr/>
            <a:graphic xmlns:a="http://schemas.openxmlformats.org/drawingml/2006/main">
              <a:graphicData uri="http://schemas.openxmlformats.org/drawingml/2006/picture">
                <pic:pic xmlns:pic="http://schemas.openxmlformats.org/drawingml/2006/picture">
                  <pic:nvPicPr>
                    <pic:cNvPr id="4" name="Image 1"/>
                    <pic:cNvPicPr/>
                  </pic:nvPicPr>
                  <pic:blipFill>
                    <a:blip r:embed="rId32"/>
                    <a:stretch>
                      <a:fillRect/>
                    </a:stretch>
                  </pic:blipFill>
                  <pic:spPr>
                    <a:xfrm>
                      <a:off x="0" y="0"/>
                      <a:ext cx="4635500" cy="2994025"/>
                    </a:xfrm>
                    <a:prstGeom prst="rect">
                      <a:avLst/>
                    </a:prstGeom>
                  </pic:spPr>
                </pic:pic>
              </a:graphicData>
            </a:graphic>
          </wp:inline>
        </w:drawing>
      </w:r>
    </w:p>
    <w:p w14:paraId="0EE1ECC1" w14:textId="7724586E" w:rsidR="003524A7" w:rsidRPr="00A9330B" w:rsidRDefault="003524A7" w:rsidP="00BA18AC">
      <w:pPr>
        <w:jc w:val="center"/>
      </w:pPr>
      <w:r w:rsidRPr="00A9330B">
        <w:rPr>
          <w:rFonts w:eastAsia="Times New Roman" w:cs="Arial"/>
          <w:b/>
          <w:color w:val="000000"/>
          <w:sz w:val="20"/>
          <w:szCs w:val="20"/>
          <w:lang w:eastAsia="fr-FR"/>
        </w:rPr>
        <w:t xml:space="preserve">Source : </w:t>
      </w:r>
      <w:r w:rsidRPr="00A9330B">
        <w:rPr>
          <w:rFonts w:eastAsia="Times New Roman" w:cs="Arial"/>
          <w:color w:val="000000"/>
          <w:sz w:val="20"/>
          <w:szCs w:val="20"/>
          <w:lang w:eastAsia="fr-FR"/>
        </w:rPr>
        <w:t>CECO-BTP, 2020</w:t>
      </w:r>
    </w:p>
    <w:p w14:paraId="0AD65283" w14:textId="77777777" w:rsidR="00AB04ED" w:rsidRPr="00A9330B" w:rsidRDefault="00AB04ED" w:rsidP="007E42F5">
      <w:pPr>
        <w:pStyle w:val="Paragraphedeliste"/>
        <w:numPr>
          <w:ilvl w:val="0"/>
          <w:numId w:val="8"/>
        </w:numPr>
        <w:rPr>
          <w:b/>
          <w:i/>
          <w:lang w:val="fr-FR"/>
        </w:rPr>
      </w:pPr>
      <w:bookmarkStart w:id="324" w:name="_Toc487132465"/>
      <w:bookmarkStart w:id="325" w:name="_Toc491247682"/>
      <w:bookmarkStart w:id="326" w:name="_Toc524380622"/>
      <w:r w:rsidRPr="00A9330B">
        <w:rPr>
          <w:b/>
          <w:i/>
          <w:lang w:val="fr-FR"/>
        </w:rPr>
        <w:t>Aire d'étude préliminaire (aire d’étude élargie)</w:t>
      </w:r>
      <w:bookmarkEnd w:id="324"/>
      <w:bookmarkEnd w:id="325"/>
      <w:bookmarkEnd w:id="326"/>
    </w:p>
    <w:p w14:paraId="5B281C38" w14:textId="5BA2358E" w:rsidR="00AB04ED" w:rsidRPr="00A9330B" w:rsidRDefault="00AB04ED" w:rsidP="00AB04ED">
      <w:pPr>
        <w:jc w:val="both"/>
        <w:rPr>
          <w:rFonts w:cs="Arial"/>
        </w:rPr>
      </w:pPr>
      <w:r w:rsidRPr="00A9330B">
        <w:rPr>
          <w:rFonts w:cs="Arial"/>
        </w:rPr>
        <w:t>La zone d'étude élargie (zone d’influence indirecte du projet) est l'espace dans lequel toutes les variantes du projet sont étudiées. Il s’agit également de la zone qui englobe tous les impacts potentiels, y compris les impacts cumulatifs. Elle est affectée de manière indirecte par certaines caractéristiques du projet.</w:t>
      </w:r>
    </w:p>
    <w:p w14:paraId="2CCF65C3" w14:textId="3D9A4380" w:rsidR="00AB04ED" w:rsidRPr="00A9330B" w:rsidRDefault="00AB04ED" w:rsidP="00AB04ED">
      <w:pPr>
        <w:jc w:val="both"/>
        <w:rPr>
          <w:rFonts w:cs="Arial"/>
        </w:rPr>
      </w:pPr>
      <w:r w:rsidRPr="00A9330B">
        <w:rPr>
          <w:rFonts w:cs="Arial"/>
        </w:rPr>
        <w:t xml:space="preserve">Certains des éléments physiques du territoire facilement identifiables ou remarquables (ligne de crête, bassin versant, etc.) qui le délimitent, ou sur les frontières biogéographiques (types de milieux, marécages, zones ’humides, etc.) ou encore sur des éléments humains ou patrimoniaux remarquables (monument historique de forte reconnaissance sociale, ensemble urbain remarquable) peuvent être étudiés à cette échelle. </w:t>
      </w:r>
    </w:p>
    <w:p w14:paraId="2B7FC661" w14:textId="7ADD0FE6" w:rsidR="00AB04ED" w:rsidRPr="00A9330B" w:rsidRDefault="00AB04ED" w:rsidP="00AB04ED">
      <w:pPr>
        <w:jc w:val="both"/>
        <w:rPr>
          <w:rFonts w:cs="Arial"/>
        </w:rPr>
      </w:pPr>
      <w:r w:rsidRPr="00A9330B">
        <w:rPr>
          <w:rFonts w:cs="Arial"/>
        </w:rPr>
        <w:t xml:space="preserve">C'est au niveau de cette zone que les investigations environnementales du milieu biologique ont été effectuées (visites de terrains sommaires). Au niveau social, les informations collectées dans cette aire d'étude sont de nature bibliographique ou </w:t>
      </w:r>
      <w:r w:rsidR="00B21BFD" w:rsidRPr="00A9330B">
        <w:rPr>
          <w:rFonts w:cs="Arial"/>
        </w:rPr>
        <w:t xml:space="preserve">sont </w:t>
      </w:r>
      <w:r w:rsidRPr="00A9330B">
        <w:rPr>
          <w:rFonts w:cs="Arial"/>
        </w:rPr>
        <w:t>obtenue</w:t>
      </w:r>
      <w:r w:rsidR="00B21BFD" w:rsidRPr="00A9330B">
        <w:rPr>
          <w:rFonts w:cs="Arial"/>
        </w:rPr>
        <w:t>s</w:t>
      </w:r>
      <w:r w:rsidRPr="00A9330B">
        <w:rPr>
          <w:rFonts w:cs="Arial"/>
        </w:rPr>
        <w:t xml:space="preserve"> lors des différents échanges, entretiens, consultations avec toutes les parties prenantes. En ce qui concerne le paysage, l'aire d'étude élargie est définie par la zone d'impact potentiel. L’aire d’étude élargie correspond à un corridor intégrant les réseaux, voiries et collecteurs existant à renforcer et réhabiliter et les enjeux identifiés à proximité. L’illustration de cette aire d’étude préliminaire correspond aux cartes thématiques.</w:t>
      </w:r>
    </w:p>
    <w:p w14:paraId="67B1454C" w14:textId="77777777" w:rsidR="00AB04ED" w:rsidRPr="00A9330B" w:rsidRDefault="00AB04ED" w:rsidP="007E42F5">
      <w:pPr>
        <w:pStyle w:val="Paragraphedeliste"/>
        <w:numPr>
          <w:ilvl w:val="0"/>
          <w:numId w:val="9"/>
        </w:numPr>
        <w:rPr>
          <w:b/>
          <w:i/>
          <w:lang w:val="fr-FR"/>
        </w:rPr>
      </w:pPr>
      <w:bookmarkStart w:id="327" w:name="_Toc524380624"/>
      <w:r w:rsidRPr="00A9330B">
        <w:rPr>
          <w:b/>
          <w:i/>
          <w:lang w:val="fr-FR"/>
        </w:rPr>
        <w:t>Aire d'étude locale (influence directe)</w:t>
      </w:r>
      <w:bookmarkEnd w:id="327"/>
    </w:p>
    <w:p w14:paraId="16BC5B0A" w14:textId="407EF7D2" w:rsidR="00AB04ED" w:rsidRPr="00A9330B" w:rsidRDefault="00AB04ED" w:rsidP="00AB04ED">
      <w:pPr>
        <w:jc w:val="both"/>
        <w:rPr>
          <w:rFonts w:cs="Arial"/>
        </w:rPr>
      </w:pPr>
      <w:r w:rsidRPr="00A9330B">
        <w:rPr>
          <w:rFonts w:cs="Arial"/>
        </w:rPr>
        <w:t>L’aire d'étude locale (influence directe) est la zone susceptible d’être affectée de manière directe par les caractéristiques du projet. Sa délimitation inclut notamment les points de visibilité du projet où celui-ci est le plus significatif et correspond aux zones possibles d’atteintes fonctionnelles sur le plan biologique et humain. Elle inclut également les espaces qui seront occupés temporairement par le projet comme les zones de stockage et la bande de travaux située de part et d’autre des ouvrages et des rues à aménager. C'est au niveau de cette zone d'étude que l'enquête socio-économique ainsi que les entretiens avec les parties prenantes ont été conduits, ainsi que les investigations du milieu physique et biologique.</w:t>
      </w:r>
    </w:p>
    <w:p w14:paraId="52FD4DB9" w14:textId="77777777" w:rsidR="00AB04ED" w:rsidRPr="00A9330B" w:rsidRDefault="00AB04ED" w:rsidP="007E42F5">
      <w:pPr>
        <w:pStyle w:val="Paragraphedeliste"/>
        <w:numPr>
          <w:ilvl w:val="0"/>
          <w:numId w:val="10"/>
        </w:numPr>
        <w:rPr>
          <w:b/>
          <w:i/>
          <w:lang w:val="fr-FR"/>
        </w:rPr>
      </w:pPr>
      <w:bookmarkStart w:id="328" w:name="_Toc524380625"/>
      <w:r w:rsidRPr="00A9330B">
        <w:rPr>
          <w:b/>
          <w:i/>
          <w:lang w:val="fr-FR"/>
        </w:rPr>
        <w:lastRenderedPageBreak/>
        <w:t>Aire d’étude restreinte (emprise du projet)</w:t>
      </w:r>
      <w:bookmarkEnd w:id="328"/>
    </w:p>
    <w:p w14:paraId="5A9B89CC" w14:textId="48866302" w:rsidR="00AB04ED" w:rsidRPr="00A9330B" w:rsidRDefault="00AB04ED" w:rsidP="00AB04ED">
      <w:pPr>
        <w:jc w:val="both"/>
        <w:rPr>
          <w:rFonts w:cs="Arial"/>
        </w:rPr>
      </w:pPr>
      <w:r w:rsidRPr="00A9330B">
        <w:rPr>
          <w:rFonts w:cs="Arial"/>
        </w:rPr>
        <w:t>L’aire d'étude restreinte correspond aux emprises des différentes composantes du projet final. Elle est déterminée par des critères techniques et/ou réglementaires. Ces emprises sont généralement caractérisées par une bande d'exclusion totale dont les largeurs et longueurs seront définies. C’est au sein de cette aire que les impacts directs liés à la pollution, au défrichement et perturbation de la faune et de la flore sont notamment étudiés.</w:t>
      </w:r>
    </w:p>
    <w:p w14:paraId="4D681CFA" w14:textId="68042964" w:rsidR="008E4844" w:rsidRPr="00A9330B" w:rsidRDefault="00AB04ED" w:rsidP="00AB04ED">
      <w:pPr>
        <w:jc w:val="both"/>
        <w:rPr>
          <w:rFonts w:cs="Arial"/>
        </w:rPr>
      </w:pPr>
      <w:r w:rsidRPr="00A9330B">
        <w:rPr>
          <w:rFonts w:cs="Arial"/>
        </w:rPr>
        <w:t>Dans le cadre de cette étude, l’ensemble des infrastructure</w:t>
      </w:r>
      <w:r w:rsidR="00942A3B" w:rsidRPr="00A9330B">
        <w:rPr>
          <w:rFonts w:cs="Arial"/>
        </w:rPr>
        <w:t>s présentes au niveau</w:t>
      </w:r>
      <w:r w:rsidR="008E4844" w:rsidRPr="00A9330B">
        <w:rPr>
          <w:rFonts w:cs="Arial"/>
        </w:rPr>
        <w:t xml:space="preserve"> de l’emprise </w:t>
      </w:r>
      <w:r w:rsidR="00942A3B" w:rsidRPr="00A9330B">
        <w:rPr>
          <w:rFonts w:cs="Arial"/>
        </w:rPr>
        <w:t>des rues et des collecteurs</w:t>
      </w:r>
      <w:r w:rsidR="008E4844" w:rsidRPr="00A9330B">
        <w:rPr>
          <w:rFonts w:cs="Arial"/>
        </w:rPr>
        <w:t xml:space="preserve"> a</w:t>
      </w:r>
      <w:r w:rsidRPr="00A9330B">
        <w:rPr>
          <w:rFonts w:cs="Arial"/>
        </w:rPr>
        <w:t xml:space="preserve"> été inventorié. Chaque infrastructure inventoriée a été photographiée, géoréférencée et caractérisée. Les infrastructures situées dans l’emprise, représentant un niveau de risque élevé ont été distinguées. La cartographie et les résultats détaillés</w:t>
      </w:r>
      <w:r w:rsidR="008E4844" w:rsidRPr="00A9330B">
        <w:rPr>
          <w:rFonts w:cs="Arial"/>
        </w:rPr>
        <w:t>.</w:t>
      </w:r>
    </w:p>
    <w:p w14:paraId="1D0DF594" w14:textId="28C3DC48" w:rsidR="00AB04ED" w:rsidRPr="00A9330B" w:rsidRDefault="00AB04ED" w:rsidP="00AB04ED">
      <w:pPr>
        <w:jc w:val="both"/>
        <w:rPr>
          <w:rFonts w:cs="Arial"/>
        </w:rPr>
      </w:pPr>
      <w:r w:rsidRPr="00A9330B">
        <w:rPr>
          <w:rFonts w:cs="Arial"/>
        </w:rPr>
        <w:t xml:space="preserve">Dans le cadre de l’EIES c’est au niveau de l’aire d’étude restreinte que les levés topographiques ont été réalisés. L’ensemble des enjeux environnementaux et sociaux </w:t>
      </w:r>
      <w:r w:rsidR="008E4844" w:rsidRPr="00A9330B">
        <w:rPr>
          <w:rFonts w:cs="Arial"/>
        </w:rPr>
        <w:t>a</w:t>
      </w:r>
      <w:r w:rsidRPr="00A9330B">
        <w:rPr>
          <w:rFonts w:cs="Arial"/>
        </w:rPr>
        <w:t xml:space="preserve"> été relevé de manière exhaustive permettant l’édition des dessins parcellaires. Ces cartes permettront à chaque entrepreneur d’anticiper</w:t>
      </w:r>
      <w:r w:rsidR="008E4844" w:rsidRPr="00A9330B">
        <w:rPr>
          <w:rFonts w:cs="Arial"/>
        </w:rPr>
        <w:t xml:space="preserve"> sur</w:t>
      </w:r>
      <w:r w:rsidRPr="00A9330B">
        <w:rPr>
          <w:rFonts w:cs="Arial"/>
        </w:rPr>
        <w:t xml:space="preserve"> chaque impact et de suivre correctement les prescriptions du PGES. Les données détaillées des tracés concernant le milieu physique, biologique et social sont présentées d</w:t>
      </w:r>
      <w:r w:rsidR="007E530D" w:rsidRPr="00A9330B">
        <w:rPr>
          <w:rFonts w:cs="Arial"/>
        </w:rPr>
        <w:t>ans</w:t>
      </w:r>
      <w:r w:rsidRPr="00A9330B">
        <w:rPr>
          <w:rFonts w:cs="Arial"/>
        </w:rPr>
        <w:t xml:space="preserve"> la section « Description de l’état initial » du présent rapport.</w:t>
      </w:r>
    </w:p>
    <w:p w14:paraId="0F513B6E" w14:textId="5664C107" w:rsidR="00AB04ED" w:rsidRPr="00A9330B" w:rsidRDefault="00AB04ED" w:rsidP="0064324E">
      <w:pPr>
        <w:pStyle w:val="Titre40"/>
      </w:pPr>
      <w:bookmarkStart w:id="329" w:name="_Toc45520755"/>
      <w:bookmarkStart w:id="330" w:name="_Toc52869562"/>
      <w:r w:rsidRPr="00A9330B">
        <w:t xml:space="preserve">1.3.3.2. Collecte des données </w:t>
      </w:r>
      <w:bookmarkEnd w:id="181"/>
      <w:bookmarkEnd w:id="182"/>
      <w:bookmarkEnd w:id="183"/>
      <w:bookmarkEnd w:id="184"/>
      <w:bookmarkEnd w:id="185"/>
      <w:bookmarkEnd w:id="186"/>
      <w:bookmarkEnd w:id="187"/>
      <w:r w:rsidRPr="00A9330B">
        <w:t>pour l’état initial</w:t>
      </w:r>
      <w:bookmarkEnd w:id="329"/>
      <w:bookmarkEnd w:id="330"/>
      <w:r w:rsidRPr="00A9330B">
        <w:t xml:space="preserve"> </w:t>
      </w:r>
    </w:p>
    <w:p w14:paraId="3A6194EC" w14:textId="1922778E" w:rsidR="00AB04ED" w:rsidRPr="00A9330B" w:rsidRDefault="00AB04ED" w:rsidP="00AB04ED">
      <w:pPr>
        <w:jc w:val="both"/>
        <w:rPr>
          <w:rFonts w:eastAsia="Arial" w:cs="Arial"/>
          <w:color w:val="auto"/>
          <w:lang w:eastAsia="fr-FR"/>
        </w:rPr>
      </w:pPr>
      <w:r w:rsidRPr="00A9330B">
        <w:t>La première étape dans la recherche d’information a été l’analyse de toutes les données et tous les rapports portant sur l’environnement naturel et humain de l’aire d’étude préliminaire. Ces données à analyser incluent les manuels scientifiques, rapports et EIES similaires. Le but de cette analyse est de constituer une base de données environnementale pour cette EIES et d’obtenir une première identification des enjeux Environnementaux et sociaux du pro</w:t>
      </w:r>
      <w:r w:rsidR="008E4844" w:rsidRPr="00A9330B">
        <w:t>jet.</w:t>
      </w:r>
    </w:p>
    <w:p w14:paraId="4C9AF0C9" w14:textId="2DB9F459" w:rsidR="00AB04ED" w:rsidRPr="00A9330B" w:rsidRDefault="00AB04ED" w:rsidP="00AB04ED">
      <w:pPr>
        <w:jc w:val="both"/>
      </w:pPr>
      <w:r w:rsidRPr="00A9330B">
        <w:t>Sur les thématiques sociales, les documents relatifs à la démographie, l’habitat, l’éducation, la santé, les infrastructures de transports, les infrastructures sociocommunautaires et socio-économiques dans l</w:t>
      </w:r>
      <w:r w:rsidR="008E4844" w:rsidRPr="00A9330B">
        <w:t xml:space="preserve">a </w:t>
      </w:r>
      <w:r w:rsidR="00C85C15" w:rsidRPr="00A9330B">
        <w:t xml:space="preserve">commune </w:t>
      </w:r>
      <w:r w:rsidR="008E4844" w:rsidRPr="00A9330B">
        <w:t xml:space="preserve">de Natitingou </w:t>
      </w:r>
      <w:r w:rsidRPr="00A9330B">
        <w:t xml:space="preserve">de la zone d’étude ont été </w:t>
      </w:r>
      <w:r w:rsidR="00C6529D" w:rsidRPr="00A9330B">
        <w:t>consultées</w:t>
      </w:r>
      <w:r w:rsidRPr="00A9330B">
        <w:t xml:space="preserve"> et </w:t>
      </w:r>
      <w:r w:rsidR="007E530D" w:rsidRPr="00A9330B">
        <w:t xml:space="preserve">exploités </w:t>
      </w:r>
      <w:r w:rsidRPr="00A9330B">
        <w:t>.</w:t>
      </w:r>
    </w:p>
    <w:p w14:paraId="71510A09" w14:textId="77777777" w:rsidR="00AB04ED" w:rsidRPr="00A9330B" w:rsidRDefault="00AB04ED" w:rsidP="007E42F5">
      <w:pPr>
        <w:pStyle w:val="Paragraphedeliste"/>
        <w:numPr>
          <w:ilvl w:val="0"/>
          <w:numId w:val="11"/>
        </w:numPr>
        <w:jc w:val="both"/>
        <w:rPr>
          <w:rFonts w:eastAsia="Arial" w:cs="Arial"/>
          <w:b/>
          <w:color w:val="auto"/>
          <w:lang w:val="fr-FR" w:eastAsia="fr-FR"/>
        </w:rPr>
      </w:pPr>
      <w:r w:rsidRPr="00A9330B">
        <w:rPr>
          <w:rFonts w:eastAsia="Arial" w:cs="Arial"/>
          <w:b/>
          <w:color w:val="auto"/>
          <w:lang w:val="fr-FR" w:eastAsia="fr-FR"/>
        </w:rPr>
        <w:t xml:space="preserve">Collecte des données sur le milieu physique </w:t>
      </w:r>
    </w:p>
    <w:p w14:paraId="4CFAE059" w14:textId="77777777" w:rsidR="00AB04ED" w:rsidRPr="00A9330B" w:rsidRDefault="00AB04ED" w:rsidP="00AB04ED">
      <w:pPr>
        <w:jc w:val="both"/>
      </w:pPr>
      <w:r w:rsidRPr="00A9330B">
        <w:t>Les investigations du milieu physique se sont limitées aux observations directes par le consultant</w:t>
      </w:r>
      <w:r w:rsidRPr="00A9330B">
        <w:rPr>
          <w:lang w:eastAsia="en-GB"/>
        </w:rPr>
        <w:t xml:space="preserve"> qui a relevé les caractéristiques majeures et à enjeux au niveau des différentes aires d’étude et aux informations recueillies lors d’échanges avec les parties prenantes. </w:t>
      </w:r>
      <w:r w:rsidRPr="00A9330B">
        <w:t>L’objectif était de pouvoir caractériser en fonction de l’aire d’étude à considérer les éléments suivants :</w:t>
      </w:r>
    </w:p>
    <w:p w14:paraId="4F7D9185" w14:textId="77777777" w:rsidR="00AB04ED" w:rsidRPr="00A9330B" w:rsidRDefault="00AB04ED" w:rsidP="007E42F5">
      <w:pPr>
        <w:pStyle w:val="Paragraphedeliste"/>
        <w:numPr>
          <w:ilvl w:val="0"/>
          <w:numId w:val="13"/>
        </w:numPr>
        <w:jc w:val="both"/>
        <w:rPr>
          <w:lang w:val="fr-FR"/>
        </w:rPr>
      </w:pPr>
      <w:r w:rsidRPr="00A9330B">
        <w:rPr>
          <w:lang w:val="fr-FR"/>
        </w:rPr>
        <w:t xml:space="preserve">description de la topographie, géologie et sols, géomorphologie dans la zone de projet (reliefs, pentes) ; </w:t>
      </w:r>
    </w:p>
    <w:p w14:paraId="1F447755" w14:textId="77777777" w:rsidR="00AB04ED" w:rsidRPr="00A9330B" w:rsidRDefault="00AB04ED" w:rsidP="007E42F5">
      <w:pPr>
        <w:pStyle w:val="Paragraphedeliste"/>
        <w:numPr>
          <w:ilvl w:val="0"/>
          <w:numId w:val="13"/>
        </w:numPr>
        <w:jc w:val="both"/>
        <w:rPr>
          <w:lang w:val="fr-FR"/>
        </w:rPr>
      </w:pPr>
      <w:r w:rsidRPr="00A9330B">
        <w:rPr>
          <w:lang w:val="fr-FR"/>
        </w:rPr>
        <w:t>description des eaux de surface (hydrographie) et souterraines et collecte des contraintes liées aux ressources en eau dans l'emprise des tracés définis ;</w:t>
      </w:r>
    </w:p>
    <w:p w14:paraId="20A2AD74" w14:textId="77777777" w:rsidR="00AB04ED" w:rsidRPr="00A9330B" w:rsidRDefault="00AB04ED" w:rsidP="007E42F5">
      <w:pPr>
        <w:pStyle w:val="Paragraphedeliste"/>
        <w:numPr>
          <w:ilvl w:val="0"/>
          <w:numId w:val="13"/>
        </w:numPr>
        <w:jc w:val="both"/>
        <w:rPr>
          <w:lang w:val="fr-FR"/>
        </w:rPr>
      </w:pPr>
      <w:r w:rsidRPr="00A9330B">
        <w:rPr>
          <w:lang w:val="fr-FR"/>
        </w:rPr>
        <w:t>collecte des contraintes et risques naturels dans l'emprise des sites d'accueil d'infrastructures (zones inondées, éboulements, glissement de terrain, risques d'incendie...)</w:t>
      </w:r>
    </w:p>
    <w:p w14:paraId="1BE5101D" w14:textId="77777777" w:rsidR="00AB04ED" w:rsidRPr="00A9330B" w:rsidRDefault="00AB04ED" w:rsidP="007E42F5">
      <w:pPr>
        <w:pStyle w:val="Paragraphedeliste"/>
        <w:numPr>
          <w:ilvl w:val="0"/>
          <w:numId w:val="13"/>
        </w:numPr>
        <w:jc w:val="both"/>
        <w:rPr>
          <w:lang w:val="fr-FR"/>
        </w:rPr>
      </w:pPr>
      <w:r w:rsidRPr="00A9330B">
        <w:rPr>
          <w:lang w:val="fr-FR"/>
        </w:rPr>
        <w:t xml:space="preserve">description des ressources minières (exploitées ou potentielles) et collecte des contraintes  liées à leur exploitation. </w:t>
      </w:r>
    </w:p>
    <w:p w14:paraId="3DA7DB43" w14:textId="77777777" w:rsidR="00AB04ED" w:rsidRPr="00A9330B" w:rsidRDefault="00AB04ED" w:rsidP="00AB04ED">
      <w:pPr>
        <w:jc w:val="both"/>
        <w:rPr>
          <w:rFonts w:eastAsia="Arial" w:cs="Arial"/>
          <w:color w:val="auto"/>
          <w:lang w:eastAsia="fr-FR"/>
        </w:rPr>
      </w:pPr>
      <w:r w:rsidRPr="00A9330B">
        <w:rPr>
          <w:rFonts w:eastAsia="Arial" w:cs="Arial"/>
          <w:color w:val="auto"/>
          <w:lang w:eastAsia="fr-FR"/>
        </w:rPr>
        <w:lastRenderedPageBreak/>
        <w:t>Les outils de collecte de données sont la cartographie (SIG) et l’observation lors des visites de terrain.</w:t>
      </w:r>
    </w:p>
    <w:p w14:paraId="128B5F53" w14:textId="77777777" w:rsidR="00AB04ED" w:rsidRPr="00A9330B" w:rsidRDefault="00AB04ED" w:rsidP="007E42F5">
      <w:pPr>
        <w:pStyle w:val="Paragraphedeliste"/>
        <w:numPr>
          <w:ilvl w:val="0"/>
          <w:numId w:val="11"/>
        </w:numPr>
        <w:jc w:val="both"/>
        <w:rPr>
          <w:rFonts w:eastAsia="Arial" w:cs="Arial"/>
          <w:b/>
          <w:color w:val="auto"/>
          <w:lang w:val="fr-FR" w:eastAsia="fr-FR"/>
        </w:rPr>
      </w:pPr>
      <w:r w:rsidRPr="00A9330B">
        <w:rPr>
          <w:rFonts w:eastAsia="Arial" w:cs="Arial"/>
          <w:b/>
          <w:color w:val="auto"/>
          <w:lang w:val="fr-FR" w:eastAsia="fr-FR"/>
        </w:rPr>
        <w:t xml:space="preserve">Collecte des données sur le milieu biologique </w:t>
      </w:r>
    </w:p>
    <w:p w14:paraId="07D4BDB6" w14:textId="40FED56F" w:rsidR="00AB04ED" w:rsidRPr="00A9330B" w:rsidRDefault="00AB04ED" w:rsidP="00AB04ED">
      <w:pPr>
        <w:jc w:val="both"/>
      </w:pPr>
      <w:r w:rsidRPr="00A9330B">
        <w:rPr>
          <w:lang w:eastAsia="fr-FR"/>
        </w:rPr>
        <w:t>La collecte des données biologiques comprend : l’observation directe des sites et des aménagements existants, le repérage de milieux les plus sensibles et l’analyse de l’occupation du sol. L’étude de l’occupation du sol s’est concentrée sur : (i) les trajectoires objets d’assainissement et construction de caniveau et ou bassin de rétention ainsi que les rues</w:t>
      </w:r>
      <w:r w:rsidRPr="00A9330B">
        <w:rPr>
          <w:rFonts w:eastAsia="Arial"/>
          <w:lang w:eastAsia="fr-FR"/>
        </w:rPr>
        <w:t xml:space="preserve"> prises en compte par le projet, </w:t>
      </w:r>
      <w:r w:rsidRPr="00A9330B">
        <w:t xml:space="preserve">(ii) </w:t>
      </w:r>
      <w:r w:rsidRPr="00A9330B">
        <w:rPr>
          <w:lang w:eastAsia="fr-FR"/>
        </w:rPr>
        <w:t>les éléments marquants du milieu tels que les marécages, les cours d’eau, les éléments de morphologie, etc. ont fait l’objet</w:t>
      </w:r>
      <w:r w:rsidRPr="00A9330B">
        <w:rPr>
          <w:rFonts w:eastAsia="Arial"/>
          <w:lang w:eastAsia="fr-FR"/>
        </w:rPr>
        <w:t xml:space="preserve"> d’une observation particulière</w:t>
      </w:r>
      <w:r w:rsidRPr="00A9330B">
        <w:t>.</w:t>
      </w:r>
    </w:p>
    <w:p w14:paraId="077E9855" w14:textId="77777777" w:rsidR="00AB04ED" w:rsidRPr="00A9330B" w:rsidRDefault="00AB04ED" w:rsidP="00AB04ED">
      <w:pPr>
        <w:jc w:val="both"/>
        <w:rPr>
          <w:lang w:eastAsia="fr-FR"/>
        </w:rPr>
      </w:pPr>
      <w:r w:rsidRPr="00A9330B">
        <w:rPr>
          <w:lang w:eastAsia="fr-FR"/>
        </w:rPr>
        <w:t>Des dessins parcellaires ont été réalisés surtout au niveau des bassins pour apprécier le niveau d’occupation voire de pression humaine sur les bassins.</w:t>
      </w:r>
    </w:p>
    <w:p w14:paraId="1EA6A49C" w14:textId="77777777" w:rsidR="00AB04ED" w:rsidRPr="00A9330B" w:rsidRDefault="00AB04ED" w:rsidP="00AB04ED">
      <w:pPr>
        <w:jc w:val="both"/>
      </w:pPr>
      <w:r w:rsidRPr="00A9330B">
        <w:t xml:space="preserve">Chaque méthode / outil utilisé a pour objectif de déterminer, quel que soit le niveau d’aire d’étude : </w:t>
      </w:r>
    </w:p>
    <w:p w14:paraId="7A05C332" w14:textId="77777777" w:rsidR="00AB04ED" w:rsidRPr="00A9330B" w:rsidRDefault="00AB04ED" w:rsidP="007E42F5">
      <w:pPr>
        <w:pStyle w:val="Paragraphedeliste"/>
        <w:numPr>
          <w:ilvl w:val="0"/>
          <w:numId w:val="14"/>
        </w:numPr>
        <w:jc w:val="both"/>
        <w:rPr>
          <w:lang w:val="fr-FR"/>
        </w:rPr>
      </w:pPr>
      <w:r w:rsidRPr="00A9330B">
        <w:rPr>
          <w:lang w:val="fr-FR"/>
        </w:rPr>
        <w:t>les différents types de végétation (groupements phytoécologiques, examen du type, de la structure et de la composition de la végétation) ;</w:t>
      </w:r>
    </w:p>
    <w:p w14:paraId="4A1E3CCA" w14:textId="77777777" w:rsidR="00AB04ED" w:rsidRPr="00A9330B" w:rsidRDefault="00AB04ED" w:rsidP="007E42F5">
      <w:pPr>
        <w:pStyle w:val="Paragraphedeliste"/>
        <w:numPr>
          <w:ilvl w:val="0"/>
          <w:numId w:val="14"/>
        </w:numPr>
        <w:jc w:val="both"/>
        <w:rPr>
          <w:lang w:val="fr-FR"/>
        </w:rPr>
      </w:pPr>
      <w:r w:rsidRPr="00A9330B">
        <w:rPr>
          <w:lang w:val="fr-FR"/>
        </w:rPr>
        <w:t>les caractéristique</w:t>
      </w:r>
      <w:r w:rsidR="008F5195" w:rsidRPr="00A9330B">
        <w:rPr>
          <w:lang w:val="fr-FR"/>
        </w:rPr>
        <w:t>s</w:t>
      </w:r>
      <w:r w:rsidRPr="00A9330B">
        <w:rPr>
          <w:lang w:val="fr-FR"/>
        </w:rPr>
        <w:t xml:space="preserve"> de la biodiversité de la faune et de la flore, y compris la présence de plantes endémiques locales ;</w:t>
      </w:r>
    </w:p>
    <w:p w14:paraId="050EF351" w14:textId="77777777" w:rsidR="00AB04ED" w:rsidRPr="00A9330B" w:rsidRDefault="00AB04ED" w:rsidP="007E42F5">
      <w:pPr>
        <w:pStyle w:val="Paragraphedeliste"/>
        <w:numPr>
          <w:ilvl w:val="0"/>
          <w:numId w:val="14"/>
        </w:numPr>
        <w:jc w:val="both"/>
        <w:rPr>
          <w:lang w:val="fr-FR" w:eastAsia="en-GB"/>
        </w:rPr>
      </w:pPr>
      <w:r w:rsidRPr="00A9330B">
        <w:rPr>
          <w:lang w:val="fr-FR"/>
        </w:rPr>
        <w:t>la vulnérabilité des biotopes face aux modifications éventuelles ;</w:t>
      </w:r>
    </w:p>
    <w:p w14:paraId="29992D6A" w14:textId="77777777" w:rsidR="00AB04ED" w:rsidRPr="00A9330B" w:rsidRDefault="00AB04ED" w:rsidP="007E42F5">
      <w:pPr>
        <w:pStyle w:val="Paragraphedeliste"/>
        <w:numPr>
          <w:ilvl w:val="0"/>
          <w:numId w:val="14"/>
        </w:numPr>
        <w:jc w:val="both"/>
        <w:rPr>
          <w:lang w:val="fr-FR" w:eastAsia="en-GB"/>
        </w:rPr>
      </w:pPr>
      <w:r w:rsidRPr="00A9330B">
        <w:rPr>
          <w:lang w:val="fr-FR"/>
        </w:rPr>
        <w:t>la localisation des zones de conservation.</w:t>
      </w:r>
    </w:p>
    <w:p w14:paraId="5C2AE7D5" w14:textId="77777777" w:rsidR="003C5233" w:rsidRPr="00A9330B" w:rsidRDefault="003C5233" w:rsidP="003C5233">
      <w:pPr>
        <w:autoSpaceDE w:val="0"/>
        <w:autoSpaceDN w:val="0"/>
        <w:adjustRightInd w:val="0"/>
        <w:spacing w:before="0" w:line="240" w:lineRule="auto"/>
        <w:contextualSpacing/>
        <w:jc w:val="both"/>
        <w:rPr>
          <w:rFonts w:eastAsia="Calibri" w:cs="Arial"/>
          <w:b/>
          <w:color w:val="auto"/>
        </w:rPr>
      </w:pPr>
    </w:p>
    <w:p w14:paraId="37AD4407" w14:textId="77777777" w:rsidR="003C5233" w:rsidRPr="00A9330B" w:rsidRDefault="003C5233" w:rsidP="003C5233">
      <w:pPr>
        <w:pStyle w:val="Paragraphedeliste"/>
        <w:numPr>
          <w:ilvl w:val="0"/>
          <w:numId w:val="11"/>
        </w:numPr>
        <w:spacing w:before="0" w:line="240" w:lineRule="auto"/>
        <w:jc w:val="both"/>
        <w:rPr>
          <w:rFonts w:eastAsia="Calibri" w:cs="Arial"/>
          <w:b/>
          <w:color w:val="auto"/>
          <w:lang w:val="fr-FR"/>
        </w:rPr>
      </w:pPr>
      <w:r w:rsidRPr="00A9330B">
        <w:rPr>
          <w:rFonts w:eastAsia="Calibri" w:cs="Arial"/>
          <w:b/>
          <w:color w:val="auto"/>
          <w:lang w:val="fr-FR"/>
        </w:rPr>
        <w:t xml:space="preserve">Approche méthodologique liée à l’inventaire floristique </w:t>
      </w:r>
    </w:p>
    <w:p w14:paraId="0D179B36" w14:textId="77777777" w:rsidR="003C5233" w:rsidRPr="00A9330B" w:rsidRDefault="003C5233" w:rsidP="003C5233">
      <w:pPr>
        <w:spacing w:before="240" w:after="120" w:line="240" w:lineRule="auto"/>
        <w:jc w:val="both"/>
        <w:rPr>
          <w:rFonts w:eastAsia="Calibri" w:cs="Arial"/>
          <w:bCs/>
          <w:color w:val="auto"/>
          <w:u w:val="single"/>
        </w:rPr>
      </w:pPr>
      <w:r w:rsidRPr="00A9330B">
        <w:rPr>
          <w:rFonts w:eastAsia="Calibri" w:cs="Arial"/>
          <w:bCs/>
          <w:color w:val="auto"/>
          <w:u w:val="single"/>
        </w:rPr>
        <w:t>Matériel</w:t>
      </w:r>
    </w:p>
    <w:p w14:paraId="5DAA11D9" w14:textId="77777777" w:rsidR="003C5233" w:rsidRPr="00A9330B" w:rsidRDefault="003C5233" w:rsidP="003C5233">
      <w:pPr>
        <w:autoSpaceDE w:val="0"/>
        <w:autoSpaceDN w:val="0"/>
        <w:adjustRightInd w:val="0"/>
        <w:spacing w:before="0" w:line="240" w:lineRule="auto"/>
        <w:jc w:val="both"/>
        <w:rPr>
          <w:rFonts w:eastAsia="TTE16F2AB0t00" w:cs="Arial"/>
          <w:color w:val="auto"/>
        </w:rPr>
      </w:pPr>
      <w:r w:rsidRPr="00A9330B">
        <w:rPr>
          <w:rFonts w:eastAsia="TTE16F2AB0t00" w:cs="Arial"/>
          <w:color w:val="auto"/>
        </w:rPr>
        <w:t xml:space="preserve">La présente démarche a permis d’apprécier la diversité floristique des emprises des ouvrages d’assainissement pluvial à construire et de la voirie concernée. Le matériel utilisé dans le cadre de cet inventaire se présente comme suit : </w:t>
      </w:r>
    </w:p>
    <w:p w14:paraId="607BAA9D" w14:textId="77777777" w:rsidR="003C5233" w:rsidRPr="00A9330B" w:rsidRDefault="003C5233" w:rsidP="00BD2F72">
      <w:pPr>
        <w:numPr>
          <w:ilvl w:val="0"/>
          <w:numId w:val="93"/>
        </w:numPr>
        <w:autoSpaceDE w:val="0"/>
        <w:autoSpaceDN w:val="0"/>
        <w:adjustRightInd w:val="0"/>
        <w:spacing w:before="0" w:after="160" w:line="240" w:lineRule="auto"/>
        <w:contextualSpacing/>
        <w:jc w:val="both"/>
        <w:rPr>
          <w:rFonts w:eastAsia="Calibri" w:cs="Arial"/>
          <w:bCs/>
          <w:color w:val="auto"/>
        </w:rPr>
      </w:pPr>
      <w:r w:rsidRPr="00A9330B">
        <w:rPr>
          <w:rFonts w:eastAsia="Calibri" w:cs="Arial"/>
          <w:bCs/>
          <w:color w:val="auto"/>
        </w:rPr>
        <w:t>fiches d’inventaire pour prendre des mesures liées à chaque espèce ;</w:t>
      </w:r>
    </w:p>
    <w:p w14:paraId="034D41C0" w14:textId="77777777" w:rsidR="003C5233" w:rsidRPr="00A9330B" w:rsidRDefault="003C5233" w:rsidP="00BD2F72">
      <w:pPr>
        <w:numPr>
          <w:ilvl w:val="0"/>
          <w:numId w:val="93"/>
        </w:numPr>
        <w:autoSpaceDE w:val="0"/>
        <w:autoSpaceDN w:val="0"/>
        <w:adjustRightInd w:val="0"/>
        <w:spacing w:before="0" w:after="160" w:line="240" w:lineRule="auto"/>
        <w:contextualSpacing/>
        <w:jc w:val="both"/>
        <w:rPr>
          <w:rFonts w:eastAsia="Calibri" w:cs="Arial"/>
          <w:bCs/>
          <w:color w:val="auto"/>
        </w:rPr>
      </w:pPr>
      <w:r w:rsidRPr="00A9330B">
        <w:rPr>
          <w:rFonts w:eastAsia="Calibri" w:cs="Arial"/>
          <w:bCs/>
          <w:color w:val="auto"/>
        </w:rPr>
        <w:t>GPS  pour l’enregistrement des coordonnées géographiques des espèces ;</w:t>
      </w:r>
    </w:p>
    <w:p w14:paraId="45E007C4" w14:textId="77777777" w:rsidR="003C5233" w:rsidRPr="00A9330B" w:rsidRDefault="003C5233" w:rsidP="00BD2F72">
      <w:pPr>
        <w:numPr>
          <w:ilvl w:val="0"/>
          <w:numId w:val="93"/>
        </w:numPr>
        <w:autoSpaceDE w:val="0"/>
        <w:autoSpaceDN w:val="0"/>
        <w:adjustRightInd w:val="0"/>
        <w:spacing w:before="0" w:after="160" w:line="240" w:lineRule="auto"/>
        <w:contextualSpacing/>
        <w:jc w:val="both"/>
        <w:rPr>
          <w:rFonts w:eastAsia="Calibri" w:cs="Arial"/>
          <w:bCs/>
          <w:color w:val="auto"/>
        </w:rPr>
      </w:pPr>
      <w:r w:rsidRPr="00A9330B">
        <w:rPr>
          <w:rFonts w:eastAsia="Calibri" w:cs="Arial"/>
          <w:bCs/>
          <w:color w:val="auto"/>
        </w:rPr>
        <w:t>Sécateur et sac en plastique pour la récolte des échantillons non identifiés sur le terrain ;</w:t>
      </w:r>
    </w:p>
    <w:p w14:paraId="3E96B9B4" w14:textId="6AA0F61F" w:rsidR="003C5233" w:rsidRPr="00A9330B" w:rsidRDefault="003524A7" w:rsidP="00BD2F72">
      <w:pPr>
        <w:numPr>
          <w:ilvl w:val="0"/>
          <w:numId w:val="93"/>
        </w:numPr>
        <w:autoSpaceDE w:val="0"/>
        <w:autoSpaceDN w:val="0"/>
        <w:adjustRightInd w:val="0"/>
        <w:spacing w:before="0" w:after="160" w:line="240" w:lineRule="auto"/>
        <w:contextualSpacing/>
        <w:jc w:val="both"/>
        <w:rPr>
          <w:rFonts w:eastAsia="Calibri" w:cs="Arial"/>
          <w:bCs/>
          <w:color w:val="auto"/>
        </w:rPr>
      </w:pPr>
      <w:r w:rsidRPr="00A9330B">
        <w:rPr>
          <w:rFonts w:eastAsia="Calibri" w:cs="Arial"/>
          <w:bCs/>
          <w:color w:val="auto"/>
        </w:rPr>
        <w:t>p</w:t>
      </w:r>
      <w:r w:rsidR="003C5233" w:rsidRPr="00A9330B">
        <w:rPr>
          <w:rFonts w:eastAsia="Calibri" w:cs="Arial"/>
          <w:bCs/>
          <w:color w:val="auto"/>
        </w:rPr>
        <w:t>apiers journaux pour le séchage et la conservation des échantillons botaniques récoltés ;</w:t>
      </w:r>
    </w:p>
    <w:p w14:paraId="375F1485" w14:textId="3C0EFB4C" w:rsidR="003C5233" w:rsidRPr="00A9330B" w:rsidRDefault="003524A7" w:rsidP="00BD2F72">
      <w:pPr>
        <w:numPr>
          <w:ilvl w:val="0"/>
          <w:numId w:val="93"/>
        </w:numPr>
        <w:autoSpaceDE w:val="0"/>
        <w:autoSpaceDN w:val="0"/>
        <w:adjustRightInd w:val="0"/>
        <w:spacing w:before="0" w:after="160" w:line="240" w:lineRule="auto"/>
        <w:contextualSpacing/>
        <w:jc w:val="both"/>
        <w:rPr>
          <w:rFonts w:eastAsia="Calibri" w:cs="Arial"/>
          <w:bCs/>
          <w:color w:val="auto"/>
        </w:rPr>
      </w:pPr>
      <w:r w:rsidRPr="00A9330B">
        <w:rPr>
          <w:rFonts w:eastAsia="Calibri" w:cs="Arial"/>
          <w:bCs/>
          <w:color w:val="auto"/>
        </w:rPr>
        <w:t>a</w:t>
      </w:r>
      <w:r w:rsidR="003C5233" w:rsidRPr="00A9330B">
        <w:rPr>
          <w:rFonts w:eastAsia="Calibri" w:cs="Arial"/>
          <w:bCs/>
          <w:color w:val="auto"/>
        </w:rPr>
        <w:t>ppareil photo numérique pour la prise de vues ;</w:t>
      </w:r>
    </w:p>
    <w:p w14:paraId="55A2FBE5" w14:textId="77777777" w:rsidR="003C5233" w:rsidRPr="00A9330B" w:rsidRDefault="003C5233" w:rsidP="00BD2F72">
      <w:pPr>
        <w:numPr>
          <w:ilvl w:val="0"/>
          <w:numId w:val="93"/>
        </w:numPr>
        <w:autoSpaceDE w:val="0"/>
        <w:autoSpaceDN w:val="0"/>
        <w:adjustRightInd w:val="0"/>
        <w:spacing w:before="0" w:after="160" w:line="240" w:lineRule="auto"/>
        <w:contextualSpacing/>
        <w:jc w:val="both"/>
        <w:rPr>
          <w:rFonts w:eastAsia="Calibri" w:cs="Arial"/>
          <w:bCs/>
          <w:color w:val="auto"/>
        </w:rPr>
      </w:pPr>
      <w:r w:rsidRPr="00A9330B">
        <w:rPr>
          <w:rFonts w:eastAsia="Calibri" w:cs="Arial"/>
          <w:bCs/>
          <w:color w:val="auto"/>
        </w:rPr>
        <w:t xml:space="preserve">la machette pour se frayer un chemin, et des cordeaux pré-marqués, servant au layonnage.   </w:t>
      </w:r>
    </w:p>
    <w:p w14:paraId="68A66844" w14:textId="77777777" w:rsidR="003C5233" w:rsidRPr="00A9330B" w:rsidRDefault="003C5233" w:rsidP="003C5233">
      <w:pPr>
        <w:autoSpaceDE w:val="0"/>
        <w:autoSpaceDN w:val="0"/>
        <w:adjustRightInd w:val="0"/>
        <w:spacing w:before="240" w:line="240" w:lineRule="auto"/>
        <w:jc w:val="both"/>
        <w:rPr>
          <w:rFonts w:eastAsia="Calibri" w:cs="Arial"/>
          <w:color w:val="auto"/>
          <w:u w:val="single"/>
        </w:rPr>
      </w:pPr>
      <w:r w:rsidRPr="00A9330B">
        <w:rPr>
          <w:rFonts w:eastAsia="Calibri" w:cs="Arial"/>
          <w:color w:val="auto"/>
          <w:u w:val="single"/>
        </w:rPr>
        <w:t>Forme et dimension des placeaux à l’exutoire</w:t>
      </w:r>
    </w:p>
    <w:p w14:paraId="52FADE01" w14:textId="77777777" w:rsidR="003C5233" w:rsidRPr="00A9330B" w:rsidRDefault="003C5233" w:rsidP="003C5233">
      <w:pPr>
        <w:autoSpaceDE w:val="0"/>
        <w:autoSpaceDN w:val="0"/>
        <w:adjustRightInd w:val="0"/>
        <w:spacing w:before="0" w:line="240" w:lineRule="auto"/>
        <w:jc w:val="both"/>
        <w:rPr>
          <w:rFonts w:eastAsia="Calibri" w:cs="Arial"/>
          <w:color w:val="auto"/>
        </w:rPr>
      </w:pPr>
      <w:r w:rsidRPr="00A9330B">
        <w:rPr>
          <w:rFonts w:eastAsia="Calibri" w:cs="Arial"/>
          <w:color w:val="auto"/>
        </w:rPr>
        <w:t xml:space="preserve">Les inventaires floristiques sont effectués dans les placeaux carrés de 30 m X 30 m suivant la méthode de Braun-Blanquet (1932) pour inventorier les ligneux de dbh supérieur ou égal à 10 cm dans les exutoires qui seront aménager pour le maraichage. Par contre un inventaire systématique a été fait sur tout le linéaire des rues et collecteurs projetés par le PAPVS. Les résultats ont été sommairement présentés par ouvrage dans le rapport d’EIES et de façon exhaustive dans le PAR.   </w:t>
      </w:r>
    </w:p>
    <w:p w14:paraId="7D23BC61" w14:textId="77777777" w:rsidR="003C5233" w:rsidRPr="00A9330B" w:rsidRDefault="003C5233" w:rsidP="003C5233">
      <w:pPr>
        <w:autoSpaceDE w:val="0"/>
        <w:autoSpaceDN w:val="0"/>
        <w:adjustRightInd w:val="0"/>
        <w:spacing w:before="240" w:after="120" w:line="240" w:lineRule="auto"/>
        <w:jc w:val="both"/>
        <w:rPr>
          <w:rFonts w:eastAsia="TTE16F2AB0t00" w:cs="Arial"/>
          <w:color w:val="auto"/>
          <w:u w:val="single"/>
        </w:rPr>
      </w:pPr>
      <w:r w:rsidRPr="00A9330B">
        <w:rPr>
          <w:rFonts w:eastAsia="TTE16F2AB0t00" w:cs="Arial"/>
          <w:color w:val="auto"/>
          <w:u w:val="single"/>
        </w:rPr>
        <w:t xml:space="preserve">Détermination botanique des échantillons végétaux </w:t>
      </w:r>
    </w:p>
    <w:p w14:paraId="5EFEC448" w14:textId="50E85FB6" w:rsidR="003C5233" w:rsidRPr="00A9330B" w:rsidRDefault="003C5233" w:rsidP="003C5233">
      <w:pPr>
        <w:autoSpaceDE w:val="0"/>
        <w:autoSpaceDN w:val="0"/>
        <w:adjustRightInd w:val="0"/>
        <w:spacing w:before="0" w:line="240" w:lineRule="auto"/>
        <w:jc w:val="both"/>
        <w:rPr>
          <w:rFonts w:eastAsia="Calibri" w:cs="Arial"/>
          <w:color w:val="auto"/>
        </w:rPr>
      </w:pPr>
      <w:r w:rsidRPr="00A9330B">
        <w:rPr>
          <w:rFonts w:eastAsia="Calibri" w:cs="Arial"/>
          <w:color w:val="auto"/>
        </w:rPr>
        <w:t xml:space="preserve">La plupart des espèces ont été identifiées directement sur le terrain. Des herbiers ont été réalisés pour les espèces non identifiées. Ces espèces ont pu être </w:t>
      </w:r>
      <w:r w:rsidR="002769BF" w:rsidRPr="00A9330B">
        <w:rPr>
          <w:rFonts w:eastAsia="Calibri" w:cs="Arial"/>
          <w:color w:val="auto"/>
        </w:rPr>
        <w:t>identifiées au</w:t>
      </w:r>
      <w:r w:rsidRPr="00A9330B">
        <w:rPr>
          <w:rFonts w:eastAsia="Calibri" w:cs="Arial"/>
          <w:color w:val="auto"/>
        </w:rPr>
        <w:t xml:space="preserve"> Laboratoire de Biogéographie et Expertise Environnementale. </w:t>
      </w:r>
    </w:p>
    <w:p w14:paraId="6EBCDF7C" w14:textId="77777777" w:rsidR="003C5233" w:rsidRPr="00A9330B" w:rsidRDefault="003C5233" w:rsidP="003C5233">
      <w:pPr>
        <w:spacing w:before="240" w:after="160" w:line="240" w:lineRule="auto"/>
        <w:rPr>
          <w:rFonts w:eastAsia="Calibri" w:cs="Arial"/>
          <w:color w:val="auto"/>
          <w:u w:val="single"/>
        </w:rPr>
      </w:pPr>
      <w:r w:rsidRPr="00A9330B">
        <w:rPr>
          <w:rFonts w:eastAsia="Calibri" w:cs="Arial"/>
          <w:color w:val="auto"/>
          <w:u w:val="single"/>
        </w:rPr>
        <w:lastRenderedPageBreak/>
        <w:t>Utilisation de la charte d’estimation visuelle</w:t>
      </w:r>
    </w:p>
    <w:p w14:paraId="5ED69660" w14:textId="5ED8DAA2" w:rsidR="003C5233" w:rsidRPr="00A9330B" w:rsidRDefault="003C5233" w:rsidP="003C5233">
      <w:pPr>
        <w:spacing w:before="0" w:after="160" w:line="240" w:lineRule="auto"/>
        <w:jc w:val="both"/>
        <w:rPr>
          <w:rFonts w:eastAsia="Calibri" w:cs="Arial"/>
          <w:color w:val="auto"/>
        </w:rPr>
      </w:pPr>
      <w:r w:rsidRPr="00A9330B">
        <w:rPr>
          <w:rFonts w:eastAsia="Calibri" w:cs="Arial"/>
          <w:color w:val="auto"/>
        </w:rPr>
        <w:t>Cette charte a été utilisée pour apprécier la dominance de chaque espèce dans chacune des emprises inventoriées à travers leur recouvrement.</w:t>
      </w:r>
    </w:p>
    <w:p w14:paraId="796688E1" w14:textId="6AEC96FF" w:rsidR="00BA18AC" w:rsidRPr="00A9330B" w:rsidRDefault="00BA18AC" w:rsidP="00A9330B">
      <w:pPr>
        <w:pStyle w:val="Lgende"/>
      </w:pPr>
      <w:bookmarkStart w:id="331" w:name="_Toc51844215"/>
      <w:r w:rsidRPr="00A9330B">
        <w:t xml:space="preserve">Figure </w:t>
      </w:r>
      <w:r w:rsidR="00D24D0D" w:rsidRPr="00A9330B">
        <w:fldChar w:fldCharType="begin"/>
      </w:r>
      <w:r w:rsidR="00D24D0D" w:rsidRPr="00A9330B">
        <w:instrText xml:space="preserve"> SEQ Figure \* ARABIC </w:instrText>
      </w:r>
      <w:r w:rsidR="00D24D0D" w:rsidRPr="00A9330B">
        <w:fldChar w:fldCharType="separate"/>
      </w:r>
      <w:r w:rsidRPr="00A9330B">
        <w:rPr>
          <w:noProof/>
        </w:rPr>
        <w:t>2</w:t>
      </w:r>
      <w:r w:rsidR="00D24D0D" w:rsidRPr="00A9330B">
        <w:rPr>
          <w:noProof/>
        </w:rPr>
        <w:fldChar w:fldCharType="end"/>
      </w:r>
      <w:r w:rsidRPr="00A9330B">
        <w:t xml:space="preserve"> : Représentation d’une charte d’estimation visuelle</w:t>
      </w:r>
      <w:bookmarkEnd w:id="331"/>
    </w:p>
    <w:p w14:paraId="6953C44D" w14:textId="77777777" w:rsidR="003C5233" w:rsidRPr="00A9330B" w:rsidRDefault="003C5233" w:rsidP="003C5233">
      <w:pPr>
        <w:spacing w:before="0" w:after="160" w:line="240" w:lineRule="auto"/>
        <w:jc w:val="center"/>
        <w:rPr>
          <w:rFonts w:eastAsia="Times New Roman" w:cs="Times New Roman"/>
          <w:b/>
          <w:color w:val="70AD47"/>
        </w:rPr>
      </w:pPr>
      <w:r w:rsidRPr="00A9330B">
        <w:rPr>
          <w:rFonts w:asciiTheme="minorHAnsi" w:hAnsiTheme="minorHAnsi"/>
          <w:noProof/>
          <w:color w:val="auto"/>
          <w:lang w:eastAsia="fr-FR"/>
        </w:rPr>
        <w:drawing>
          <wp:inline distT="0" distB="0" distL="0" distR="0" wp14:anchorId="789B0E54" wp14:editId="6F81A885">
            <wp:extent cx="2441667" cy="2409825"/>
            <wp:effectExtent l="0" t="0" r="0" b="0"/>
            <wp:docPr id="1741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1" name="Picture 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452709" cy="2420723"/>
                    </a:xfrm>
                    <a:prstGeom prst="rect">
                      <a:avLst/>
                    </a:prstGeom>
                    <a:noFill/>
                    <a:ln>
                      <a:noFill/>
                    </a:ln>
                    <a:extLst/>
                  </pic:spPr>
                </pic:pic>
              </a:graphicData>
            </a:graphic>
          </wp:inline>
        </w:drawing>
      </w:r>
    </w:p>
    <w:p w14:paraId="16D24BC4" w14:textId="23A08E13" w:rsidR="00C6529D" w:rsidRPr="00A9330B" w:rsidRDefault="00C6529D" w:rsidP="003C5233">
      <w:pPr>
        <w:spacing w:before="0" w:after="160" w:line="240" w:lineRule="auto"/>
        <w:jc w:val="center"/>
        <w:rPr>
          <w:rFonts w:eastAsia="Times New Roman" w:cs="Times New Roman"/>
          <w:b/>
          <w:color w:val="auto"/>
          <w:sz w:val="20"/>
          <w:szCs w:val="20"/>
        </w:rPr>
      </w:pPr>
      <w:r w:rsidRPr="00A9330B">
        <w:rPr>
          <w:rFonts w:eastAsia="Times New Roman" w:cs="Times New Roman"/>
          <w:b/>
          <w:color w:val="auto"/>
          <w:sz w:val="20"/>
          <w:szCs w:val="20"/>
        </w:rPr>
        <w:t>Source : TENTE B., 2005</w:t>
      </w:r>
    </w:p>
    <w:p w14:paraId="5E293390" w14:textId="77777777" w:rsidR="003C5233" w:rsidRPr="00A9330B" w:rsidRDefault="003C5233" w:rsidP="002769BF">
      <w:pPr>
        <w:pStyle w:val="Paragraphedeliste"/>
        <w:numPr>
          <w:ilvl w:val="0"/>
          <w:numId w:val="11"/>
        </w:numPr>
        <w:suppressAutoHyphens/>
        <w:spacing w:after="120" w:line="240" w:lineRule="auto"/>
        <w:jc w:val="both"/>
        <w:rPr>
          <w:b/>
          <w:color w:val="auto"/>
          <w:lang w:val="fr-FR"/>
        </w:rPr>
      </w:pPr>
      <w:r w:rsidRPr="00A9330B">
        <w:rPr>
          <w:b/>
          <w:color w:val="auto"/>
          <w:lang w:val="fr-FR"/>
        </w:rPr>
        <w:t xml:space="preserve">Identification des espèces floristiques menacées </w:t>
      </w:r>
    </w:p>
    <w:p w14:paraId="6DABF320" w14:textId="4DA9E8DB" w:rsidR="003C5233" w:rsidRPr="00A9330B" w:rsidRDefault="003C5233" w:rsidP="003C5233">
      <w:pPr>
        <w:spacing w:before="0" w:after="160" w:line="360" w:lineRule="auto"/>
        <w:jc w:val="both"/>
        <w:rPr>
          <w:rFonts w:eastAsia="Times New Roman" w:cs="Times New Roman"/>
          <w:b/>
          <w:color w:val="FF0000"/>
        </w:rPr>
      </w:pPr>
      <w:r w:rsidRPr="00A9330B">
        <w:rPr>
          <w:rFonts w:eastAsia="Calibri" w:cs="Arial"/>
          <w:color w:val="auto"/>
        </w:rPr>
        <w:t>Espèce menacée s’applique à toute espèce risquant de disparaitre à court ou moyen terme. Une espèce est déclarée menacée si elle répond à des critères précis</w:t>
      </w:r>
      <w:r w:rsidR="007E530D" w:rsidRPr="00A9330B">
        <w:rPr>
          <w:rFonts w:eastAsia="Calibri" w:cs="Arial"/>
          <w:color w:val="auto"/>
        </w:rPr>
        <w:t xml:space="preserve"> flore ou faune ?</w:t>
      </w:r>
      <w:r w:rsidRPr="00A9330B">
        <w:rPr>
          <w:rFonts w:eastAsia="Calibri" w:cs="Arial"/>
          <w:color w:val="auto"/>
        </w:rPr>
        <w:t xml:space="preserve"> (disparition de l’habitat, déclin important de sa population, érosion génétique, chasse excessive ou surpêche, etc.). Dans le cadre de cette étude la liste rouge de l’</w:t>
      </w:r>
      <w:r w:rsidRPr="00A9330B">
        <w:rPr>
          <w:rFonts w:eastAsia="Calibri" w:cs="Arial"/>
          <w:color w:val="auto"/>
          <w:sz w:val="24"/>
          <w:szCs w:val="24"/>
        </w:rPr>
        <w:t>Union</w:t>
      </w:r>
      <w:r w:rsidRPr="00A9330B">
        <w:rPr>
          <w:rFonts w:eastAsia="Calibri" w:cs="Arial"/>
          <w:color w:val="auto"/>
        </w:rPr>
        <w:t xml:space="preserve"> Internationale de la Conservation de la Nature (UICN) a été utilisée pour l’identification de ces dernières. Cette liste classe les espèces menacées en trois catégories, selon l’importance du risque de leur extinction : </w:t>
      </w:r>
      <w:r w:rsidRPr="00A9330B">
        <w:rPr>
          <w:rFonts w:eastAsia="Calibri" w:cs="Arial"/>
          <w:b/>
          <w:color w:val="auto"/>
        </w:rPr>
        <w:t>vulnérable</w:t>
      </w:r>
      <w:r w:rsidRPr="00A9330B">
        <w:rPr>
          <w:rFonts w:eastAsia="Calibri" w:cs="Arial"/>
          <w:color w:val="auto"/>
        </w:rPr>
        <w:t xml:space="preserve">, </w:t>
      </w:r>
      <w:r w:rsidRPr="00A9330B">
        <w:rPr>
          <w:rFonts w:eastAsia="Calibri" w:cs="Arial"/>
          <w:b/>
          <w:color w:val="auto"/>
        </w:rPr>
        <w:t>en danger</w:t>
      </w:r>
      <w:r w:rsidRPr="00A9330B">
        <w:rPr>
          <w:rFonts w:eastAsia="Calibri" w:cs="Arial"/>
          <w:color w:val="auto"/>
        </w:rPr>
        <w:t xml:space="preserve"> et </w:t>
      </w:r>
      <w:r w:rsidRPr="00A9330B">
        <w:rPr>
          <w:rFonts w:eastAsia="Calibri" w:cs="Arial"/>
          <w:b/>
          <w:color w:val="auto"/>
        </w:rPr>
        <w:t>en danger critique</w:t>
      </w:r>
      <w:r w:rsidRPr="00A9330B">
        <w:rPr>
          <w:rFonts w:eastAsia="Calibri" w:cs="Arial"/>
          <w:color w:val="auto"/>
        </w:rPr>
        <w:t>.</w:t>
      </w:r>
    </w:p>
    <w:p w14:paraId="0769319E" w14:textId="77777777" w:rsidR="00AB04ED" w:rsidRPr="00A9330B" w:rsidRDefault="00AB04ED" w:rsidP="007E42F5">
      <w:pPr>
        <w:pStyle w:val="Paragraphedeliste"/>
        <w:numPr>
          <w:ilvl w:val="0"/>
          <w:numId w:val="11"/>
        </w:numPr>
        <w:jc w:val="both"/>
        <w:rPr>
          <w:rFonts w:eastAsia="Arial" w:cs="Arial"/>
          <w:b/>
          <w:color w:val="auto"/>
          <w:lang w:val="fr-FR" w:eastAsia="fr-FR"/>
        </w:rPr>
      </w:pPr>
      <w:r w:rsidRPr="00A9330B">
        <w:rPr>
          <w:rFonts w:eastAsia="Arial" w:cs="Arial"/>
          <w:b/>
          <w:color w:val="auto"/>
          <w:lang w:val="fr-FR" w:eastAsia="fr-FR"/>
        </w:rPr>
        <w:t xml:space="preserve">Collecte des données sur le milieu humain </w:t>
      </w:r>
    </w:p>
    <w:p w14:paraId="69A12315" w14:textId="2FAD730C" w:rsidR="00AB04ED" w:rsidRPr="00A9330B" w:rsidRDefault="00AB04ED" w:rsidP="00AB04ED">
      <w:pPr>
        <w:jc w:val="both"/>
      </w:pPr>
      <w:r w:rsidRPr="00A9330B">
        <w:t>Les données générales sur la démographie, la situation admi</w:t>
      </w:r>
      <w:r w:rsidR="00A12C52" w:rsidRPr="00A9330B">
        <w:t>nistrative de la vil</w:t>
      </w:r>
      <w:r w:rsidR="007E530D" w:rsidRPr="00A9330B">
        <w:t>l</w:t>
      </w:r>
      <w:r w:rsidR="00A12C52" w:rsidRPr="00A9330B">
        <w:t>e de NATITINGOU</w:t>
      </w:r>
      <w:r w:rsidRPr="00A9330B">
        <w:t xml:space="preserve"> ont été collectées dans la documentation. </w:t>
      </w:r>
    </w:p>
    <w:p w14:paraId="65CBCEAB" w14:textId="424F1F58" w:rsidR="00AB04ED" w:rsidRPr="00A9330B" w:rsidRDefault="00AB04ED" w:rsidP="00AB04ED">
      <w:pPr>
        <w:jc w:val="both"/>
        <w:rPr>
          <w:rFonts w:eastAsia="Arial" w:cs="Arial"/>
          <w:color w:val="auto"/>
          <w:lang w:eastAsia="fr-FR"/>
        </w:rPr>
      </w:pPr>
      <w:bookmarkStart w:id="332" w:name="_Toc525566433"/>
      <w:bookmarkStart w:id="333" w:name="_Toc530144564"/>
      <w:bookmarkStart w:id="334" w:name="_Toc530145074"/>
      <w:bookmarkStart w:id="335" w:name="_Toc16003606"/>
      <w:r w:rsidRPr="00A9330B">
        <w:rPr>
          <w:rFonts w:eastAsia="Arial" w:cs="Arial"/>
          <w:color w:val="auto"/>
          <w:lang w:eastAsia="fr-FR"/>
        </w:rPr>
        <w:t>Pour permettre un large ratissage des localités concernées par le projet, plusieurs groupes cibles ont été approchés suivant les centres d’intérêt. Ainsi les ménages, les autorités politico-administratives, les ONG, etc. ont été interrogés soit par des séances de travail en groupe</w:t>
      </w:r>
      <w:r w:rsidR="00E1347E" w:rsidRPr="00A9330B">
        <w:rPr>
          <w:rFonts w:eastAsia="Arial" w:cs="Arial"/>
          <w:color w:val="auto"/>
          <w:lang w:eastAsia="fr-FR"/>
        </w:rPr>
        <w:t>s</w:t>
      </w:r>
      <w:r w:rsidRPr="00A9330B">
        <w:rPr>
          <w:rFonts w:eastAsia="Arial" w:cs="Arial"/>
          <w:color w:val="auto"/>
          <w:lang w:eastAsia="fr-FR"/>
        </w:rPr>
        <w:t xml:space="preserve"> restreint</w:t>
      </w:r>
      <w:r w:rsidR="00E1347E" w:rsidRPr="00A9330B">
        <w:rPr>
          <w:rFonts w:eastAsia="Arial" w:cs="Arial"/>
          <w:color w:val="auto"/>
          <w:lang w:eastAsia="fr-FR"/>
        </w:rPr>
        <w:t>s</w:t>
      </w:r>
      <w:r w:rsidRPr="00A9330B">
        <w:rPr>
          <w:rFonts w:eastAsia="Arial" w:cs="Arial"/>
          <w:color w:val="auto"/>
          <w:lang w:eastAsia="fr-FR"/>
        </w:rPr>
        <w:t xml:space="preserve">, soit par entretien direct. Les méthodes de collectes de données synthétisées dans le tableau suivant : </w:t>
      </w:r>
    </w:p>
    <w:p w14:paraId="0B8A6CE2" w14:textId="141EB454" w:rsidR="00AB04ED" w:rsidRPr="00A9330B" w:rsidRDefault="00AB04ED" w:rsidP="00A9330B">
      <w:pPr>
        <w:pStyle w:val="Table"/>
      </w:pPr>
      <w:bookmarkStart w:id="336" w:name="_Toc52873726"/>
      <w:r w:rsidRPr="00A9330B">
        <w:t xml:space="preserve">Tableau </w:t>
      </w:r>
      <w:r w:rsidRPr="00A9330B">
        <w:rPr>
          <w:noProof/>
        </w:rPr>
        <w:fldChar w:fldCharType="begin"/>
      </w:r>
      <w:r w:rsidRPr="00A9330B">
        <w:rPr>
          <w:noProof/>
        </w:rPr>
        <w:instrText xml:space="preserve"> SEQ Tableau \* ARABIC </w:instrText>
      </w:r>
      <w:r w:rsidRPr="00A9330B">
        <w:rPr>
          <w:noProof/>
        </w:rPr>
        <w:fldChar w:fldCharType="separate"/>
      </w:r>
      <w:r w:rsidR="00417D31" w:rsidRPr="00A9330B">
        <w:rPr>
          <w:noProof/>
        </w:rPr>
        <w:t>2</w:t>
      </w:r>
      <w:r w:rsidRPr="00A9330B">
        <w:rPr>
          <w:noProof/>
        </w:rPr>
        <w:fldChar w:fldCharType="end"/>
      </w:r>
      <w:r w:rsidRPr="00A9330B">
        <w:t xml:space="preserve"> : Méthodes de collecte des données </w:t>
      </w:r>
      <w:bookmarkEnd w:id="332"/>
      <w:r w:rsidRPr="00A9330B">
        <w:t>sur le milieu humain</w:t>
      </w:r>
      <w:bookmarkEnd w:id="333"/>
      <w:bookmarkEnd w:id="334"/>
      <w:bookmarkEnd w:id="335"/>
      <w:bookmarkEnd w:id="336"/>
    </w:p>
    <w:tbl>
      <w:tblPr>
        <w:tblW w:w="476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1839"/>
        <w:gridCol w:w="6803"/>
      </w:tblGrid>
      <w:tr w:rsidR="00AB04ED" w:rsidRPr="00A9330B" w14:paraId="0A0BB698" w14:textId="77777777" w:rsidTr="00701C80">
        <w:trPr>
          <w:tblHeader/>
          <w:jc w:val="center"/>
        </w:trPr>
        <w:tc>
          <w:tcPr>
            <w:tcW w:w="1064" w:type="pct"/>
            <w:shd w:val="clear" w:color="auto" w:fill="D9D9D9" w:themeFill="background1" w:themeFillShade="D9"/>
          </w:tcPr>
          <w:p w14:paraId="587FCBDA" w14:textId="77777777" w:rsidR="00AB04ED" w:rsidRPr="00A9330B" w:rsidRDefault="00AB04ED" w:rsidP="00701C80">
            <w:pPr>
              <w:jc w:val="center"/>
              <w:rPr>
                <w:rFonts w:eastAsia="Arial Unicode MS"/>
                <w:b/>
                <w:snapToGrid w:val="0"/>
                <w:lang w:eastAsia="en-GB"/>
              </w:rPr>
            </w:pPr>
            <w:r w:rsidRPr="00A9330B">
              <w:rPr>
                <w:rFonts w:eastAsia="Arial Unicode MS"/>
                <w:b/>
                <w:snapToGrid w:val="0"/>
                <w:lang w:eastAsia="en-GB"/>
              </w:rPr>
              <w:t>Aire d’étude considérée</w:t>
            </w:r>
          </w:p>
        </w:tc>
        <w:tc>
          <w:tcPr>
            <w:tcW w:w="3936" w:type="pct"/>
            <w:shd w:val="clear" w:color="auto" w:fill="D9D9D9" w:themeFill="background1" w:themeFillShade="D9"/>
            <w:vAlign w:val="center"/>
          </w:tcPr>
          <w:p w14:paraId="39BC5B6A" w14:textId="77777777" w:rsidR="00AB04ED" w:rsidRPr="00A9330B" w:rsidRDefault="00AB04ED" w:rsidP="00701C80">
            <w:pPr>
              <w:jc w:val="center"/>
              <w:rPr>
                <w:rFonts w:eastAsia="Arial Unicode MS"/>
                <w:b/>
                <w:snapToGrid w:val="0"/>
                <w:lang w:eastAsia="en-GB"/>
              </w:rPr>
            </w:pPr>
            <w:r w:rsidRPr="00A9330B">
              <w:rPr>
                <w:rFonts w:eastAsia="Arial Unicode MS"/>
                <w:b/>
                <w:snapToGrid w:val="0"/>
                <w:lang w:eastAsia="en-GB"/>
              </w:rPr>
              <w:t>Méthodes/outils / Source des données exploitables</w:t>
            </w:r>
          </w:p>
        </w:tc>
      </w:tr>
      <w:tr w:rsidR="00AB04ED" w:rsidRPr="00A9330B" w14:paraId="4C742D77" w14:textId="77777777" w:rsidTr="00701C80">
        <w:trPr>
          <w:jc w:val="center"/>
        </w:trPr>
        <w:tc>
          <w:tcPr>
            <w:tcW w:w="1064" w:type="pct"/>
            <w:vAlign w:val="center"/>
          </w:tcPr>
          <w:p w14:paraId="7E68AAD3" w14:textId="77777777" w:rsidR="00AB04ED" w:rsidRPr="00A9330B" w:rsidRDefault="00AB04ED" w:rsidP="00701C80">
            <w:pPr>
              <w:pStyle w:val="E1"/>
              <w:numPr>
                <w:ilvl w:val="0"/>
                <w:numId w:val="0"/>
              </w:numPr>
              <w:tabs>
                <w:tab w:val="clear" w:pos="284"/>
              </w:tabs>
              <w:jc w:val="center"/>
            </w:pPr>
            <w:r w:rsidRPr="00A9330B">
              <w:t>Aire d'étude élargie (influence indirecte)</w:t>
            </w:r>
          </w:p>
        </w:tc>
        <w:tc>
          <w:tcPr>
            <w:tcW w:w="3936" w:type="pct"/>
            <w:shd w:val="clear" w:color="auto" w:fill="auto"/>
            <w:vAlign w:val="center"/>
          </w:tcPr>
          <w:p w14:paraId="106E570B" w14:textId="77777777" w:rsidR="00AB04ED" w:rsidRPr="00A9330B" w:rsidRDefault="00AB04ED" w:rsidP="00701C80">
            <w:pPr>
              <w:pStyle w:val="E1"/>
            </w:pPr>
            <w:r w:rsidRPr="00A9330B">
              <w:t>Documents existants dans les bibliothèques et en particulier à l'Université d'Abomey-Calavi et de Parakou (mémoires, thèses, rapports d'études, internet, etc.) ;</w:t>
            </w:r>
          </w:p>
          <w:p w14:paraId="740DF42B" w14:textId="77777777" w:rsidR="00AB04ED" w:rsidRPr="00A9330B" w:rsidRDefault="00AB04ED" w:rsidP="00701C80">
            <w:pPr>
              <w:pStyle w:val="E1"/>
            </w:pPr>
            <w:r w:rsidRPr="00A9330B">
              <w:lastRenderedPageBreak/>
              <w:t>Revue documentaire bibliographique ;</w:t>
            </w:r>
          </w:p>
          <w:p w14:paraId="565D1825" w14:textId="77777777" w:rsidR="00AB04ED" w:rsidRPr="00A9330B" w:rsidRDefault="00AB04ED" w:rsidP="00701C80">
            <w:pPr>
              <w:pStyle w:val="E1"/>
            </w:pPr>
            <w:r w:rsidRPr="00A9330B">
              <w:t>Cartographie/SIG issues de la collecte des données</w:t>
            </w:r>
          </w:p>
        </w:tc>
      </w:tr>
      <w:tr w:rsidR="00AB04ED" w:rsidRPr="00A9330B" w14:paraId="2F946474" w14:textId="77777777" w:rsidTr="00701C80">
        <w:trPr>
          <w:jc w:val="center"/>
        </w:trPr>
        <w:tc>
          <w:tcPr>
            <w:tcW w:w="1064" w:type="pct"/>
            <w:vAlign w:val="center"/>
          </w:tcPr>
          <w:p w14:paraId="200108E5" w14:textId="77777777" w:rsidR="00AB04ED" w:rsidRPr="00A9330B" w:rsidRDefault="00AB04ED" w:rsidP="00701C80">
            <w:pPr>
              <w:pStyle w:val="E1"/>
              <w:numPr>
                <w:ilvl w:val="0"/>
                <w:numId w:val="0"/>
              </w:numPr>
              <w:tabs>
                <w:tab w:val="clear" w:pos="284"/>
              </w:tabs>
              <w:jc w:val="center"/>
            </w:pPr>
            <w:r w:rsidRPr="00A9330B">
              <w:lastRenderedPageBreak/>
              <w:t>Aire d'étude locale (influence directe)</w:t>
            </w:r>
          </w:p>
        </w:tc>
        <w:tc>
          <w:tcPr>
            <w:tcW w:w="3936" w:type="pct"/>
            <w:shd w:val="clear" w:color="auto" w:fill="auto"/>
            <w:vAlign w:val="center"/>
          </w:tcPr>
          <w:p w14:paraId="62BF0AC9" w14:textId="77777777" w:rsidR="00AB04ED" w:rsidRPr="00A9330B" w:rsidRDefault="00AB04ED" w:rsidP="00701C80">
            <w:pPr>
              <w:pStyle w:val="E1"/>
            </w:pPr>
            <w:r w:rsidRPr="00A9330B">
              <w:t>Observation directe sur le terrain par nos équipes (expert socio économiste) sur l’ensemble des linéaires considérées ;</w:t>
            </w:r>
          </w:p>
          <w:p w14:paraId="560DB9CE" w14:textId="77777777" w:rsidR="00AB04ED" w:rsidRPr="00A9330B" w:rsidRDefault="00AB04ED" w:rsidP="00701C80">
            <w:pPr>
              <w:pStyle w:val="E1"/>
            </w:pPr>
            <w:r w:rsidRPr="00A9330B">
              <w:t>Entretien direct avec les personnes ressources et spécifiques ;</w:t>
            </w:r>
          </w:p>
          <w:p w14:paraId="679DE62E" w14:textId="77777777" w:rsidR="00AB04ED" w:rsidRPr="00A9330B" w:rsidRDefault="00AB04ED" w:rsidP="00701C80">
            <w:pPr>
              <w:pStyle w:val="E1"/>
            </w:pPr>
            <w:r w:rsidRPr="00A9330B">
              <w:t>Enquêtes socio-économiques.</w:t>
            </w:r>
          </w:p>
        </w:tc>
      </w:tr>
      <w:tr w:rsidR="00AB04ED" w:rsidRPr="00A9330B" w14:paraId="75BFE798" w14:textId="77777777" w:rsidTr="00701C80">
        <w:trPr>
          <w:jc w:val="center"/>
        </w:trPr>
        <w:tc>
          <w:tcPr>
            <w:tcW w:w="1064" w:type="pct"/>
            <w:vAlign w:val="center"/>
          </w:tcPr>
          <w:p w14:paraId="6ADE85A3" w14:textId="77777777" w:rsidR="00AB04ED" w:rsidRPr="00A9330B" w:rsidRDefault="00AB04ED" w:rsidP="00701C80">
            <w:pPr>
              <w:pStyle w:val="E1"/>
              <w:numPr>
                <w:ilvl w:val="0"/>
                <w:numId w:val="0"/>
              </w:numPr>
              <w:tabs>
                <w:tab w:val="clear" w:pos="284"/>
              </w:tabs>
              <w:jc w:val="center"/>
            </w:pPr>
            <w:r w:rsidRPr="00A9330B">
              <w:t>Aire d’étude restreinte (emprise du projet)</w:t>
            </w:r>
          </w:p>
        </w:tc>
        <w:tc>
          <w:tcPr>
            <w:tcW w:w="3936" w:type="pct"/>
            <w:shd w:val="clear" w:color="auto" w:fill="auto"/>
            <w:vAlign w:val="center"/>
          </w:tcPr>
          <w:p w14:paraId="75B9B3B3" w14:textId="77777777" w:rsidR="00AB04ED" w:rsidRPr="00A9330B" w:rsidRDefault="00AB04ED" w:rsidP="00701C80">
            <w:pPr>
              <w:pStyle w:val="E1"/>
              <w:numPr>
                <w:ilvl w:val="0"/>
                <w:numId w:val="0"/>
              </w:numPr>
              <w:ind w:left="284" w:hanging="284"/>
              <w:rPr>
                <w:rFonts w:eastAsiaTheme="minorHAnsi"/>
              </w:rPr>
            </w:pPr>
            <w:r w:rsidRPr="00A9330B">
              <w:t>Relevés environnementaux exhaustifs des contraintes et enjeux sociaux ;</w:t>
            </w:r>
          </w:p>
          <w:p w14:paraId="702FD309" w14:textId="77777777" w:rsidR="00AB04ED" w:rsidRPr="00A9330B" w:rsidRDefault="00AB04ED" w:rsidP="00701C80">
            <w:pPr>
              <w:pStyle w:val="E1"/>
              <w:numPr>
                <w:ilvl w:val="0"/>
                <w:numId w:val="0"/>
              </w:numPr>
              <w:ind w:left="284" w:hanging="284"/>
              <w:rPr>
                <w:rFonts w:eastAsiaTheme="minorHAnsi"/>
              </w:rPr>
            </w:pPr>
            <w:r w:rsidRPr="00A9330B">
              <w:rPr>
                <w:rFonts w:eastAsiaTheme="minorHAnsi"/>
              </w:rPr>
              <w:t xml:space="preserve">Inventaire des équipements et biens se trouvant dans l’emprise </w:t>
            </w:r>
          </w:p>
        </w:tc>
      </w:tr>
    </w:tbl>
    <w:p w14:paraId="57E2D642" w14:textId="37C6B2F3" w:rsidR="007E530D" w:rsidRPr="00A9330B" w:rsidRDefault="007E530D" w:rsidP="0064324E">
      <w:pPr>
        <w:pStyle w:val="Titre4"/>
      </w:pPr>
      <w:bookmarkStart w:id="337" w:name="_Toc45555304"/>
      <w:bookmarkStart w:id="338" w:name="_Toc45557329"/>
      <w:bookmarkStart w:id="339" w:name="_Toc46313511"/>
      <w:bookmarkStart w:id="340" w:name="_Toc51843655"/>
      <w:bookmarkStart w:id="341" w:name="_Toc535244517"/>
      <w:bookmarkStart w:id="342" w:name="_Toc45520756"/>
      <w:bookmarkStart w:id="343" w:name="_Toc52869563"/>
      <w:r w:rsidRPr="00A9330B">
        <w:t>Source : CECO-BTP, 2020</w:t>
      </w:r>
      <w:bookmarkEnd w:id="337"/>
      <w:bookmarkEnd w:id="338"/>
      <w:bookmarkEnd w:id="339"/>
      <w:bookmarkEnd w:id="340"/>
      <w:bookmarkEnd w:id="343"/>
    </w:p>
    <w:p w14:paraId="3DE6CD20" w14:textId="3CF8C95E" w:rsidR="00AB04ED" w:rsidRPr="00A9330B" w:rsidRDefault="00AB04ED" w:rsidP="006E37A6">
      <w:pPr>
        <w:pStyle w:val="Titre40"/>
      </w:pPr>
      <w:bookmarkStart w:id="344" w:name="_Toc52869564"/>
      <w:r w:rsidRPr="00A9330B">
        <w:t xml:space="preserve">1.3.3.3. Enquêtes </w:t>
      </w:r>
      <w:bookmarkEnd w:id="341"/>
      <w:r w:rsidRPr="00A9330B">
        <w:t>socio-économiques</w:t>
      </w:r>
      <w:bookmarkEnd w:id="342"/>
      <w:bookmarkEnd w:id="344"/>
      <w:r w:rsidRPr="00A9330B">
        <w:t xml:space="preserve"> </w:t>
      </w:r>
    </w:p>
    <w:p w14:paraId="5A580C68" w14:textId="2F7854CC" w:rsidR="00AB04ED" w:rsidRPr="00A9330B" w:rsidRDefault="00AB04ED" w:rsidP="00AB04ED">
      <w:pPr>
        <w:jc w:val="both"/>
      </w:pPr>
      <w:r w:rsidRPr="00A9330B">
        <w:t>Une étude socioéconomique de base a été réalisée et sera une étude opérationnelle de référence économique et sociale utilisable pour la durée du projet, pour l’ensemble de la zone touchée. L’objectif est de :</w:t>
      </w:r>
    </w:p>
    <w:p w14:paraId="7EE0CC11" w14:textId="77777777" w:rsidR="00AB04ED" w:rsidRPr="00A9330B" w:rsidRDefault="00AB04ED" w:rsidP="007E42F5">
      <w:pPr>
        <w:pStyle w:val="Paragraphedeliste"/>
        <w:numPr>
          <w:ilvl w:val="0"/>
          <w:numId w:val="15"/>
        </w:numPr>
        <w:jc w:val="both"/>
        <w:rPr>
          <w:lang w:val="fr-FR"/>
        </w:rPr>
      </w:pPr>
      <w:r w:rsidRPr="00A9330B">
        <w:rPr>
          <w:lang w:val="fr-FR"/>
        </w:rPr>
        <w:t>fournir des connaissances socio-économiques clés sur les territoires impactés par le projet ;</w:t>
      </w:r>
    </w:p>
    <w:p w14:paraId="1101A3A9" w14:textId="77777777" w:rsidR="00AB04ED" w:rsidRPr="00A9330B" w:rsidRDefault="00AB04ED" w:rsidP="007E42F5">
      <w:pPr>
        <w:pStyle w:val="Paragraphedeliste"/>
        <w:numPr>
          <w:ilvl w:val="0"/>
          <w:numId w:val="15"/>
        </w:numPr>
        <w:jc w:val="both"/>
        <w:rPr>
          <w:lang w:val="fr-FR"/>
        </w:rPr>
      </w:pPr>
      <w:r w:rsidRPr="00A9330B">
        <w:rPr>
          <w:lang w:val="fr-FR"/>
        </w:rPr>
        <w:t>fournir des données qualitatives et quantitatives ciblées avec une analyse adaptée ;</w:t>
      </w:r>
    </w:p>
    <w:p w14:paraId="06F04B10" w14:textId="77777777" w:rsidR="00AB04ED" w:rsidRPr="00A9330B" w:rsidRDefault="00AB04ED" w:rsidP="007E42F5">
      <w:pPr>
        <w:pStyle w:val="Paragraphedeliste"/>
        <w:numPr>
          <w:ilvl w:val="0"/>
          <w:numId w:val="15"/>
        </w:numPr>
        <w:jc w:val="both"/>
        <w:rPr>
          <w:lang w:val="fr-FR"/>
        </w:rPr>
      </w:pPr>
      <w:r w:rsidRPr="00A9330B">
        <w:rPr>
          <w:lang w:val="fr-FR"/>
        </w:rPr>
        <w:t>constituer la partie sociale de l’EIES ;</w:t>
      </w:r>
    </w:p>
    <w:p w14:paraId="4B7C4EEC" w14:textId="77777777" w:rsidR="00AB04ED" w:rsidRPr="00A9330B" w:rsidRDefault="00AB04ED" w:rsidP="007E42F5">
      <w:pPr>
        <w:pStyle w:val="Paragraphedeliste"/>
        <w:numPr>
          <w:ilvl w:val="0"/>
          <w:numId w:val="15"/>
        </w:numPr>
        <w:jc w:val="both"/>
        <w:rPr>
          <w:lang w:val="fr-FR"/>
        </w:rPr>
      </w:pPr>
      <w:r w:rsidRPr="00A9330B">
        <w:rPr>
          <w:lang w:val="fr-FR"/>
        </w:rPr>
        <w:t>constituer une situation de référence pour le suivi socio-économique des impacts du projet ;</w:t>
      </w:r>
    </w:p>
    <w:p w14:paraId="7AEC90B8" w14:textId="77777777" w:rsidR="00AB04ED" w:rsidRPr="00A9330B" w:rsidRDefault="00AB04ED" w:rsidP="007E42F5">
      <w:pPr>
        <w:pStyle w:val="Paragraphedeliste"/>
        <w:numPr>
          <w:ilvl w:val="0"/>
          <w:numId w:val="15"/>
        </w:numPr>
        <w:jc w:val="both"/>
        <w:rPr>
          <w:lang w:val="fr-FR"/>
        </w:rPr>
      </w:pPr>
      <w:r w:rsidRPr="00A9330B">
        <w:rPr>
          <w:lang w:val="fr-FR"/>
        </w:rPr>
        <w:t>lister et cartographier les infrastructures communautaires et culturelles (site de patrimoines culturels et archéologiques) impactées par le projet.</w:t>
      </w:r>
    </w:p>
    <w:p w14:paraId="6078CCA4" w14:textId="77777777" w:rsidR="00AB04ED" w:rsidRPr="00A9330B" w:rsidRDefault="00AB04ED" w:rsidP="00AB04ED">
      <w:pPr>
        <w:jc w:val="both"/>
      </w:pPr>
      <w:r w:rsidRPr="00A9330B">
        <w:t>Les enquêtes se sont concentrées sur l’aire d’étude locale de chacune des composantes du projet.</w:t>
      </w:r>
    </w:p>
    <w:p w14:paraId="2A14FFFD" w14:textId="77777777" w:rsidR="00AB04ED" w:rsidRPr="00A9330B" w:rsidRDefault="00AB04ED" w:rsidP="007E42F5">
      <w:pPr>
        <w:pStyle w:val="Paragraphedeliste"/>
        <w:numPr>
          <w:ilvl w:val="0"/>
          <w:numId w:val="16"/>
        </w:numPr>
        <w:rPr>
          <w:b/>
          <w:i/>
          <w:lang w:val="fr-FR"/>
        </w:rPr>
      </w:pPr>
      <w:bookmarkStart w:id="345" w:name="_Toc524380634"/>
      <w:r w:rsidRPr="00A9330B">
        <w:rPr>
          <w:b/>
          <w:i/>
          <w:lang w:val="fr-FR"/>
        </w:rPr>
        <w:t>Techniques de collecte de données</w:t>
      </w:r>
      <w:bookmarkEnd w:id="345"/>
    </w:p>
    <w:p w14:paraId="02AD5E36" w14:textId="77777777" w:rsidR="00AB04ED" w:rsidRPr="00A9330B" w:rsidRDefault="00AB04ED" w:rsidP="00AB04ED">
      <w:pPr>
        <w:jc w:val="both"/>
      </w:pPr>
      <w:r w:rsidRPr="00A9330B">
        <w:t>En fonction des spécificités des informations à rechercher, l’étude a revêtu un caractère qualitatif et quantitatif, envisagé de manière complémentaire. Les techniques suivantes ont été utilisées :</w:t>
      </w:r>
    </w:p>
    <w:p w14:paraId="5003F42A" w14:textId="77777777" w:rsidR="00AB04ED" w:rsidRPr="00A9330B" w:rsidRDefault="00AB04ED" w:rsidP="00AB04ED">
      <w:pPr>
        <w:jc w:val="both"/>
      </w:pPr>
      <w:r w:rsidRPr="00A9330B">
        <w:rPr>
          <w:b/>
        </w:rPr>
        <w:t>Les visites « in situ »</w:t>
      </w:r>
      <w:r w:rsidRPr="00A9330B">
        <w:t xml:space="preserve"> de toutes les zones devant faire l’objet de travaux : les variantes de tracés, les sites devant abriter les ouvrages, les bassins de rétention et les rues ainsi que leur zone d’influence. Dans le cadre de la préparation des enquêtes quantitatives, une observation de terrain et donc du contexte dans lequel va se dérouler l’enquête a été réalisée pour mieux concevoir les outils de collecte de données fonction (questionnaire et guides d’entretien), anticiper les difficultés, adapter la méthode et le protocole de collecte (échantillonnage, prise de contact avec les autorités locales, repérage des sites, tracés et zones d’influence du projet).</w:t>
      </w:r>
    </w:p>
    <w:p w14:paraId="42BAD217" w14:textId="77777777" w:rsidR="00AB04ED" w:rsidRPr="00A9330B" w:rsidRDefault="00AB04ED" w:rsidP="00AB04ED">
      <w:pPr>
        <w:jc w:val="both"/>
      </w:pPr>
      <w:r w:rsidRPr="00A9330B">
        <w:t xml:space="preserve">L’enquête socioéconomique ciblée permet de constituer une « photographie » socio-économique et géographique précise de la zone avec des données quantifiées fiables pour proposer un tableau de bord d’indicateurs utilisables prioritairement au niveau local. Cette approche quantitative est centrée sur des enquêtes auprès des ménages. Elle permet aussi de mesurer, selon les questions formulées, les changements de comportements et de </w:t>
      </w:r>
      <w:r w:rsidRPr="00A9330B">
        <w:lastRenderedPageBreak/>
        <w:t xml:space="preserve">pratiques au niveau des ménages ou les changements opérés </w:t>
      </w:r>
      <w:r w:rsidRPr="00A9330B">
        <w:rPr>
          <w:u w:val="single"/>
        </w:rPr>
        <w:t>avant</w:t>
      </w:r>
      <w:r w:rsidRPr="00A9330B">
        <w:t xml:space="preserve"> et </w:t>
      </w:r>
      <w:r w:rsidRPr="00A9330B">
        <w:rPr>
          <w:u w:val="single"/>
        </w:rPr>
        <w:t>après</w:t>
      </w:r>
      <w:r w:rsidRPr="00A9330B">
        <w:t xml:space="preserve"> un projet. Elle sert aussi à collecter les informations sur les activités économiques, agricoles, les modes d’utilisation des terres, les revenus et les dépenses des personnes enquêtées, de même qu’elle peut aborder des thématiques spécifiques comme la sécurité, la gestion des déchets et des eaux usées et recueillir l’avis des parties prenantes au projet en vue d’une prise de décision.</w:t>
      </w:r>
    </w:p>
    <w:p w14:paraId="5C0F01AE" w14:textId="77777777" w:rsidR="00AB04ED" w:rsidRPr="00A9330B" w:rsidRDefault="00AB04ED" w:rsidP="007E42F5">
      <w:pPr>
        <w:pStyle w:val="Paragraphedeliste"/>
        <w:numPr>
          <w:ilvl w:val="0"/>
          <w:numId w:val="17"/>
        </w:numPr>
        <w:rPr>
          <w:b/>
          <w:i/>
          <w:lang w:val="fr-FR"/>
        </w:rPr>
      </w:pPr>
      <w:bookmarkStart w:id="346" w:name="_Toc524380635"/>
      <w:r w:rsidRPr="00A9330B">
        <w:rPr>
          <w:b/>
          <w:i/>
          <w:lang w:val="fr-FR"/>
        </w:rPr>
        <w:t>Questionnaire d’enquête socio-économique</w:t>
      </w:r>
      <w:bookmarkEnd w:id="346"/>
    </w:p>
    <w:p w14:paraId="46C045DB" w14:textId="77777777" w:rsidR="00AB04ED" w:rsidRPr="00A9330B" w:rsidRDefault="00AB04ED" w:rsidP="00AB04ED">
      <w:pPr>
        <w:jc w:val="both"/>
      </w:pPr>
      <w:r w:rsidRPr="00A9330B">
        <w:t xml:space="preserve">Un seul questionnaire d’enquête socio-économique a été conçu pour collecter auprès du ménage différentes catégories de données avec un même outil. </w:t>
      </w:r>
    </w:p>
    <w:p w14:paraId="5944ADA3" w14:textId="5968F6E8" w:rsidR="00AB04ED" w:rsidRPr="00A9330B" w:rsidRDefault="00AB04ED" w:rsidP="00AB04ED">
      <w:pPr>
        <w:jc w:val="both"/>
        <w:rPr>
          <w:bCs/>
        </w:rPr>
      </w:pPr>
      <w:r w:rsidRPr="00A9330B">
        <w:t xml:space="preserve">Le questionnaire est constitué d’une suite de questions standardisées et fermées destinées à normaliser et à faciliter le recueil de données au niveau limité d’une famille/ménage/riverain. </w:t>
      </w:r>
      <w:r w:rsidRPr="00A9330B">
        <w:rPr>
          <w:bCs/>
        </w:rPr>
        <w:t>Les questions fermées permettent de recueillir des données simples ayant un très petit nombre de réponse</w:t>
      </w:r>
      <w:r w:rsidR="00E1347E" w:rsidRPr="00A9330B">
        <w:rPr>
          <w:bCs/>
        </w:rPr>
        <w:t>s</w:t>
      </w:r>
      <w:r w:rsidRPr="00A9330B">
        <w:rPr>
          <w:bCs/>
        </w:rPr>
        <w:t xml:space="preserve"> en général prévisibles. Ce type de questions est simple à comprendre pour l’enquêté et facile à traiter. </w:t>
      </w:r>
    </w:p>
    <w:p w14:paraId="3AC62034" w14:textId="77777777" w:rsidR="00AB04ED" w:rsidRPr="00A9330B" w:rsidRDefault="00AB04ED" w:rsidP="00AB04ED">
      <w:pPr>
        <w:jc w:val="both"/>
      </w:pPr>
      <w:r w:rsidRPr="00A9330B">
        <w:t xml:space="preserve">Le questionnaire a été administré aux chefs des ménages et aux riverains situés sur une distance de 500 m environ autour des ouvrages et rues et à 50 m environ de part et d’autre de la zone d’emprise des travaux de construction. </w:t>
      </w:r>
    </w:p>
    <w:p w14:paraId="5DCE4A7F" w14:textId="4DCB19B8" w:rsidR="00AB04ED" w:rsidRPr="00A9330B" w:rsidRDefault="00AB04ED" w:rsidP="00AB04ED">
      <w:pPr>
        <w:jc w:val="both"/>
      </w:pPr>
      <w:r w:rsidRPr="00A9330B">
        <w:t xml:space="preserve">Dans le souci de disposer et dans un bref délai, de la base brute de données issues des enquêtes, le Consultant a opté pour l’utilisation d’un système d’interview assisté par ordinateur. Pour ce fait l’application </w:t>
      </w:r>
      <w:r w:rsidRPr="00A9330B">
        <w:rPr>
          <w:b/>
        </w:rPr>
        <w:t xml:space="preserve">Kobocollecte </w:t>
      </w:r>
      <w:r w:rsidRPr="00A9330B">
        <w:t>a été utilisée. L’application permet d’afficher les questions et les indications d’un formulaire dans un ordre séquentiel qui respecte la logique et les contraintes de saisie du formulaire. Les utilisateurs (Enquêteurs et superviseurs) sur le terrain progressent d’une question à l’autre et peuvent sauveg</w:t>
      </w:r>
      <w:r w:rsidR="00C85C15" w:rsidRPr="00A9330B">
        <w:t xml:space="preserve">arder leurs soumissions à </w:t>
      </w:r>
      <w:r w:rsidR="00BA18AC" w:rsidRPr="00A9330B">
        <w:t>tout moment</w:t>
      </w:r>
      <w:r w:rsidRPr="00A9330B">
        <w:t xml:space="preserve"> avant de transmettre une version finale au serveur. Tout ceci </w:t>
      </w:r>
      <w:r w:rsidR="008B3124" w:rsidRPr="00A9330B">
        <w:t>à</w:t>
      </w:r>
      <w:r w:rsidRPr="00A9330B">
        <w:t xml:space="preserve">l’aide de tablettes et portables android comportant les masques de saisie des questionnaires de l’enquête. Les nouveaux formulaires sont également téléchargés à partir du serveur. L’application permet l’utilisation d’une grande variété de formats de questions (liste de réponses à choix simple ou multiple, texte, chiffres, emplacement, multimédia, codes à barres, localisation etc.) et fonctionne sans connectivité au réseau. </w:t>
      </w:r>
    </w:p>
    <w:p w14:paraId="4E0CE1A6" w14:textId="1851B025" w:rsidR="00AB04ED" w:rsidRPr="00A9330B" w:rsidRDefault="00AB04ED" w:rsidP="00AB04ED">
      <w:pPr>
        <w:jc w:val="both"/>
      </w:pPr>
      <w:r w:rsidRPr="00A9330B">
        <w:t>Ce mode de questionnement présente comme principal avantage d’éliminer la phase de vérification au bureau et de saisie des données afin de rendre disponible dans les meilleurs délais les résultats de l’enquête. Il permet aussi en temps réels le contrôle les données envoyé</w:t>
      </w:r>
      <w:r w:rsidR="00C85C15" w:rsidRPr="00A9330B">
        <w:t>es</w:t>
      </w:r>
      <w:r w:rsidRPr="00A9330B">
        <w:t xml:space="preserve"> par l’enquêteur sur le serveur. Cela permet au gestionnaire de la base de notifier à l’enquêteur s</w:t>
      </w:r>
      <w:r w:rsidR="00E1347E" w:rsidRPr="00A9330B">
        <w:t>’</w:t>
      </w:r>
      <w:r w:rsidRPr="00A9330B">
        <w:t>il</w:t>
      </w:r>
      <w:r w:rsidR="00E1347E" w:rsidRPr="00A9330B">
        <w:t xml:space="preserve"> a</w:t>
      </w:r>
      <w:r w:rsidRPr="00A9330B">
        <w:t xml:space="preserve"> mal saisir une donnée ou pas.</w:t>
      </w:r>
    </w:p>
    <w:p w14:paraId="5F396C47" w14:textId="77777777" w:rsidR="00AB04ED" w:rsidRPr="00A9330B" w:rsidRDefault="00AB04ED" w:rsidP="00AB04ED">
      <w:pPr>
        <w:jc w:val="both"/>
      </w:pPr>
      <w:r w:rsidRPr="00A9330B">
        <w:t xml:space="preserve">La principale limite est en premier lieu l’autonomie des tablettes et Android ou ce dernier peut se décharger sous la pression de son utilisation sur terrain ; en second point il n’est pas possible de renvoyer un fichier ou formulaire déjà envoyer sur le serveur par l’enquêteur pour correction. </w:t>
      </w:r>
    </w:p>
    <w:p w14:paraId="38FBCADE" w14:textId="77777777" w:rsidR="00AB04ED" w:rsidRPr="00A9330B" w:rsidRDefault="00AB04ED" w:rsidP="00AB04ED">
      <w:pPr>
        <w:jc w:val="both"/>
      </w:pPr>
      <w:r w:rsidRPr="00A9330B">
        <w:t>On peut également noter comme contrainte, la gestion des équipements informatiques et le temps de réponse en cas de panne sur le terrain de même que la non-disponibilité de l’énergie électrique ou des réseaux internet dans certaines zones.</w:t>
      </w:r>
    </w:p>
    <w:p w14:paraId="2EA26FC8" w14:textId="03A6838F" w:rsidR="00AB04ED" w:rsidRPr="00A9330B" w:rsidRDefault="00AB04ED" w:rsidP="00AB04ED">
      <w:pPr>
        <w:jc w:val="both"/>
      </w:pPr>
      <w:r w:rsidRPr="00A9330B">
        <w:t>Pour remédier à ces désagréments, les questionnaires ont été imprimés sur papier et quelques exemplaires ont été mis à la disposition des enquêteurs pour être utilisés au besoin. Les données des questionnaires papiers seront ensuite saisies ultérieurement et envoyées dans la base de données.</w:t>
      </w:r>
    </w:p>
    <w:p w14:paraId="28A709EC" w14:textId="2611C504" w:rsidR="00AB04ED" w:rsidRPr="00A9330B" w:rsidRDefault="00AB04ED" w:rsidP="00AB04ED">
      <w:pPr>
        <w:jc w:val="both"/>
      </w:pPr>
      <w:r w:rsidRPr="00A9330B">
        <w:lastRenderedPageBreak/>
        <w:t xml:space="preserve">Le questionnaire a été élaboré de manière à, d’une part, pouvoir désagréger les données et les perceptions selon le genre et procéder à une analyse différenciée selon le sexe, notamment quant aux activités socioéconomiques, les problèmes d’assainissement, à la sécurité, à la perception des impacts du projet ainsi qu’aux biens potentiellement impactés pour préparer le Plan d’Action de </w:t>
      </w:r>
      <w:r w:rsidR="00E1347E" w:rsidRPr="00A9330B">
        <w:t>R</w:t>
      </w:r>
      <w:r w:rsidRPr="00A9330B">
        <w:t>éinstallation (PAR). D’autre part, des questions spécifiques ont été introduites pour pouvoir apprécier les formes d’inégalité dans les rapports de genre et pour l’ensemble des personnes vulnérables notamment concernant la charge et le pouvoir de décision.</w:t>
      </w:r>
    </w:p>
    <w:p w14:paraId="2B347A67" w14:textId="1CAAB47C" w:rsidR="00AB04ED" w:rsidRPr="00A9330B" w:rsidRDefault="00AB04ED" w:rsidP="00AB04ED">
      <w:pPr>
        <w:jc w:val="both"/>
      </w:pPr>
      <w:r w:rsidRPr="00A9330B">
        <w:t>La phase d’enquête par questionnaire sur les zones concernées par le projet s’est déroulée du 2</w:t>
      </w:r>
      <w:r w:rsidR="00E1347E" w:rsidRPr="00A9330B">
        <w:t>9</w:t>
      </w:r>
      <w:r w:rsidRPr="00A9330B">
        <w:t xml:space="preserve"> Mai au 1</w:t>
      </w:r>
      <w:r w:rsidR="00E1347E" w:rsidRPr="00A9330B">
        <w:t>2</w:t>
      </w:r>
      <w:r w:rsidRPr="00A9330B">
        <w:t xml:space="preserve">Juin 2020 </w:t>
      </w:r>
      <w:r w:rsidRPr="00A9330B">
        <w:rPr>
          <w:rFonts w:cs="Arial"/>
        </w:rPr>
        <w:t>dans les zones traversées par les différentes variantes de linéaires choisies</w:t>
      </w:r>
      <w:r w:rsidRPr="00A9330B">
        <w:t xml:space="preserve">. Ces données collectées par les questionnaires ont par la suite été analysées avant d’être croisées avec celles des entretiens individuels. </w:t>
      </w:r>
    </w:p>
    <w:p w14:paraId="174888D4" w14:textId="708E425A" w:rsidR="00AB04ED" w:rsidRPr="00A9330B" w:rsidRDefault="00AB04ED" w:rsidP="00AB04ED">
      <w:pPr>
        <w:jc w:val="both"/>
      </w:pPr>
      <w:r w:rsidRPr="00A9330B">
        <w:t>Un exemple du « </w:t>
      </w:r>
      <w:r w:rsidRPr="00A9330B">
        <w:rPr>
          <w:i/>
        </w:rPr>
        <w:t>questionnaire d’enquête socio-économique</w:t>
      </w:r>
      <w:r w:rsidRPr="00A9330B">
        <w:t xml:space="preserve"> » et de son contenu est présenté </w:t>
      </w:r>
      <w:r w:rsidR="00BA18AC" w:rsidRPr="00A9330B">
        <w:t>en Annexe</w:t>
      </w:r>
      <w:r w:rsidR="00C85C15" w:rsidRPr="00A9330B">
        <w:t xml:space="preserve"> </w:t>
      </w:r>
      <w:r w:rsidR="00AD3758" w:rsidRPr="00A9330B">
        <w:t>2</w:t>
      </w:r>
      <w:r w:rsidRPr="00A9330B">
        <w:t xml:space="preserve">. </w:t>
      </w:r>
    </w:p>
    <w:p w14:paraId="54B5E476" w14:textId="77777777" w:rsidR="00AB04ED" w:rsidRPr="00A9330B" w:rsidRDefault="00AB04ED" w:rsidP="00BD2F72">
      <w:pPr>
        <w:pStyle w:val="Paragraphedeliste"/>
        <w:numPr>
          <w:ilvl w:val="0"/>
          <w:numId w:val="76"/>
        </w:numPr>
        <w:rPr>
          <w:b/>
          <w:lang w:val="fr-FR"/>
        </w:rPr>
      </w:pPr>
      <w:bookmarkStart w:id="347" w:name="_Toc524380637"/>
      <w:r w:rsidRPr="00A9330B">
        <w:rPr>
          <w:b/>
          <w:lang w:val="fr-FR"/>
        </w:rPr>
        <w:t>Échantillonnage</w:t>
      </w:r>
      <w:bookmarkEnd w:id="347"/>
    </w:p>
    <w:p w14:paraId="610A6C97" w14:textId="77777777" w:rsidR="00AB04ED" w:rsidRPr="00A9330B" w:rsidRDefault="00AB04ED" w:rsidP="00AB04ED">
      <w:pPr>
        <w:jc w:val="both"/>
      </w:pPr>
      <w:r w:rsidRPr="00A9330B">
        <w:t xml:space="preserve">L’échantillon est composé de deux types de ménages : </w:t>
      </w:r>
    </w:p>
    <w:p w14:paraId="67F4C202" w14:textId="77777777" w:rsidR="00AB04ED" w:rsidRPr="00A9330B" w:rsidRDefault="00AB04ED" w:rsidP="007E42F5">
      <w:pPr>
        <w:pStyle w:val="Paragraphedeliste"/>
        <w:numPr>
          <w:ilvl w:val="0"/>
          <w:numId w:val="18"/>
        </w:numPr>
        <w:jc w:val="both"/>
        <w:rPr>
          <w:lang w:val="fr-FR"/>
        </w:rPr>
      </w:pPr>
      <w:r w:rsidRPr="00A9330B">
        <w:rPr>
          <w:lang w:val="fr-FR"/>
        </w:rPr>
        <w:t>les ménages installés dans la zone des travaux et/ou dans les voies d’accès croisant la zone des emprises des travaux ;</w:t>
      </w:r>
    </w:p>
    <w:p w14:paraId="33C3A8CF" w14:textId="77777777" w:rsidR="00AB04ED" w:rsidRPr="00A9330B" w:rsidRDefault="00AB04ED" w:rsidP="007E42F5">
      <w:pPr>
        <w:pStyle w:val="Paragraphedeliste"/>
        <w:numPr>
          <w:ilvl w:val="0"/>
          <w:numId w:val="18"/>
        </w:numPr>
        <w:jc w:val="both"/>
        <w:rPr>
          <w:lang w:val="fr-FR"/>
        </w:rPr>
      </w:pPr>
      <w:r w:rsidRPr="00A9330B">
        <w:rPr>
          <w:lang w:val="fr-FR"/>
        </w:rPr>
        <w:t>les ménages qui mènent une activité dans l’emprise des travaux.</w:t>
      </w:r>
    </w:p>
    <w:p w14:paraId="742FDE1E" w14:textId="77777777" w:rsidR="00AB04ED" w:rsidRPr="00A9330B" w:rsidRDefault="00AB04ED" w:rsidP="00AB04ED">
      <w:pPr>
        <w:jc w:val="both"/>
      </w:pPr>
      <w:r w:rsidRPr="00A9330B">
        <w:t xml:space="preserve">Le mode d’échantillonnage est la méthode probabiliste avec un échantillonnage aléatoire simple qui permet de choisir au hasard par tirage au sort ou bien par tirage systématique. Ainsi chaque ménage ou riverain a la même probabilité d’être sélectionné. Ceci permet d’assurer la représentativité de toutes les couches sociales dans l’échantillon tout en veillant à l’équité au niveau genre. </w:t>
      </w:r>
    </w:p>
    <w:p w14:paraId="6B692BB1" w14:textId="77777777" w:rsidR="00AB04ED" w:rsidRPr="00A9330B" w:rsidRDefault="00AB04ED" w:rsidP="00AB04ED">
      <w:pPr>
        <w:jc w:val="both"/>
      </w:pPr>
      <w:r w:rsidRPr="00A9330B">
        <w:t>Le plan d’échantillonnage suivant a été élaboré et appliqué.</w:t>
      </w:r>
    </w:p>
    <w:p w14:paraId="3CBE1CD0" w14:textId="2DA51FAF" w:rsidR="00AB04ED" w:rsidRPr="00A9330B" w:rsidRDefault="00005EB5" w:rsidP="00A9330B">
      <w:pPr>
        <w:pStyle w:val="Lgende"/>
      </w:pPr>
      <w:bookmarkStart w:id="348" w:name="_Toc494755010"/>
      <w:bookmarkStart w:id="349" w:name="_Toc494755351"/>
      <w:bookmarkStart w:id="350" w:name="_Toc494842259"/>
      <w:bookmarkStart w:id="351" w:name="_Toc494842922"/>
      <w:bookmarkStart w:id="352" w:name="_Toc503648752"/>
      <w:bookmarkStart w:id="353" w:name="_Toc503947447"/>
      <w:bookmarkStart w:id="354" w:name="_Toc503947630"/>
      <w:bookmarkStart w:id="355" w:name="_Toc503947842"/>
      <w:bookmarkStart w:id="356" w:name="_Toc503948926"/>
      <w:bookmarkStart w:id="357" w:name="_Toc503949108"/>
      <w:bookmarkStart w:id="358" w:name="_Toc503949183"/>
      <w:bookmarkStart w:id="359" w:name="_Toc503949311"/>
      <w:bookmarkStart w:id="360" w:name="_Toc503949439"/>
      <w:bookmarkStart w:id="361" w:name="_Toc503949514"/>
      <w:bookmarkStart w:id="362" w:name="_Toc503952794"/>
      <w:bookmarkStart w:id="363" w:name="_Toc504057158"/>
      <w:bookmarkStart w:id="364" w:name="_Toc504057233"/>
      <w:bookmarkStart w:id="365" w:name="_Toc504113765"/>
      <w:bookmarkStart w:id="366" w:name="_Toc504114203"/>
      <w:bookmarkStart w:id="367" w:name="_Toc504115821"/>
      <w:bookmarkStart w:id="368" w:name="_Toc504116689"/>
      <w:bookmarkStart w:id="369" w:name="_Toc504124229"/>
      <w:bookmarkStart w:id="370" w:name="_Toc504124667"/>
      <w:bookmarkStart w:id="371" w:name="_Toc504125052"/>
      <w:bookmarkStart w:id="372" w:name="_Toc504125490"/>
      <w:bookmarkStart w:id="373" w:name="_Toc504379842"/>
      <w:bookmarkStart w:id="374" w:name="_Toc512809352"/>
      <w:bookmarkStart w:id="375" w:name="_Toc512809813"/>
      <w:bookmarkStart w:id="376" w:name="_Toc512810275"/>
      <w:bookmarkStart w:id="377" w:name="_Toc512810407"/>
      <w:bookmarkStart w:id="378" w:name="_Toc512810872"/>
      <w:bookmarkStart w:id="379" w:name="_Toc515280006"/>
      <w:bookmarkStart w:id="380" w:name="_Toc515280132"/>
      <w:bookmarkStart w:id="381" w:name="_Toc515381729"/>
      <w:bookmarkStart w:id="382" w:name="_Toc515409740"/>
      <w:bookmarkStart w:id="383" w:name="_Toc515410341"/>
      <w:bookmarkStart w:id="384" w:name="_Toc515413254"/>
      <w:bookmarkStart w:id="385" w:name="_Toc515413915"/>
      <w:bookmarkStart w:id="386" w:name="_Toc515450027"/>
      <w:bookmarkStart w:id="387" w:name="_Toc515450172"/>
      <w:bookmarkStart w:id="388" w:name="_Toc515454920"/>
      <w:bookmarkStart w:id="389" w:name="_Toc515458072"/>
      <w:bookmarkStart w:id="390" w:name="_Toc515458152"/>
      <w:bookmarkStart w:id="391" w:name="_Toc515458232"/>
      <w:bookmarkStart w:id="392" w:name="_Toc515458312"/>
      <w:bookmarkStart w:id="393" w:name="_Toc515458631"/>
      <w:bookmarkStart w:id="394" w:name="_Toc515589111"/>
      <w:bookmarkStart w:id="395" w:name="_Toc517458077"/>
      <w:bookmarkStart w:id="396" w:name="_Toc517458772"/>
      <w:bookmarkStart w:id="397" w:name="_Toc517459585"/>
      <w:bookmarkStart w:id="398" w:name="_Toc517460387"/>
      <w:bookmarkStart w:id="399" w:name="_Toc517460723"/>
      <w:bookmarkStart w:id="400" w:name="_Toc517461428"/>
      <w:bookmarkStart w:id="401" w:name="_Toc517462611"/>
      <w:bookmarkStart w:id="402" w:name="_Toc517463310"/>
      <w:bookmarkStart w:id="403" w:name="_Toc517464007"/>
      <w:bookmarkStart w:id="404" w:name="_Toc517465455"/>
      <w:bookmarkStart w:id="405" w:name="_Toc517565805"/>
      <w:bookmarkStart w:id="406" w:name="_Toc517620764"/>
      <w:bookmarkStart w:id="407" w:name="_Toc517620856"/>
      <w:bookmarkStart w:id="408" w:name="_Toc517622026"/>
      <w:bookmarkStart w:id="409" w:name="_Toc517622118"/>
      <w:bookmarkStart w:id="410" w:name="_Toc518037034"/>
      <w:bookmarkStart w:id="411" w:name="_Toc519055933"/>
      <w:bookmarkStart w:id="412" w:name="_Toc519237185"/>
      <w:bookmarkStart w:id="413" w:name="_Toc519334960"/>
      <w:bookmarkStart w:id="414" w:name="_Toc519335917"/>
      <w:bookmarkStart w:id="415" w:name="_Toc519419149"/>
      <w:bookmarkStart w:id="416" w:name="_Toc519489002"/>
      <w:bookmarkStart w:id="417" w:name="_Toc519491833"/>
      <w:bookmarkStart w:id="418" w:name="_Toc521285671"/>
      <w:bookmarkStart w:id="419" w:name="_Toc524378129"/>
      <w:bookmarkStart w:id="420" w:name="_Toc524378418"/>
      <w:bookmarkStart w:id="421" w:name="_Toc524380680"/>
      <w:bookmarkStart w:id="422" w:name="_Toc525566434"/>
      <w:bookmarkStart w:id="423" w:name="_Toc527477248"/>
      <w:bookmarkStart w:id="424" w:name="_Toc527477615"/>
      <w:bookmarkStart w:id="425" w:name="_Toc527477803"/>
      <w:bookmarkStart w:id="426" w:name="_Toc527478402"/>
      <w:bookmarkStart w:id="427" w:name="_Toc527478769"/>
      <w:bookmarkStart w:id="428" w:name="_Toc527479513"/>
      <w:bookmarkStart w:id="429" w:name="_Toc527479673"/>
      <w:bookmarkStart w:id="430" w:name="_Toc527479833"/>
      <w:bookmarkStart w:id="431" w:name="_Toc11681749"/>
      <w:r w:rsidRPr="00A9330B">
        <w:tab/>
      </w:r>
      <w:r w:rsidRPr="00A9330B">
        <w:tab/>
      </w:r>
      <w:bookmarkStart w:id="432" w:name="_Toc52873727"/>
      <w:r w:rsidR="00AB04ED" w:rsidRPr="00A9330B">
        <w:t xml:space="preserve">Tableau </w:t>
      </w:r>
      <w:r w:rsidR="00C24C74" w:rsidRPr="00A9330B">
        <w:rPr>
          <w:noProof/>
        </w:rPr>
        <w:fldChar w:fldCharType="begin"/>
      </w:r>
      <w:r w:rsidR="00C24C74" w:rsidRPr="00A9330B">
        <w:rPr>
          <w:noProof/>
        </w:rPr>
        <w:instrText xml:space="preserve"> SEQ Tableau \* ARABIC </w:instrText>
      </w:r>
      <w:r w:rsidR="00C24C74" w:rsidRPr="00A9330B">
        <w:rPr>
          <w:noProof/>
        </w:rPr>
        <w:fldChar w:fldCharType="separate"/>
      </w:r>
      <w:r w:rsidR="00417D31" w:rsidRPr="00A9330B">
        <w:rPr>
          <w:noProof/>
        </w:rPr>
        <w:t>3</w:t>
      </w:r>
      <w:r w:rsidR="00C24C74" w:rsidRPr="00A9330B">
        <w:rPr>
          <w:noProof/>
        </w:rPr>
        <w:fldChar w:fldCharType="end"/>
      </w:r>
      <w:r w:rsidR="00AB04ED" w:rsidRPr="00A9330B">
        <w:rPr>
          <w:szCs w:val="24"/>
        </w:rPr>
        <w:t xml:space="preserve"> : </w:t>
      </w:r>
      <w:r w:rsidR="00AB04ED" w:rsidRPr="00A9330B">
        <w:t xml:space="preserve">Plan d’échantillonnage pour </w:t>
      </w:r>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r w:rsidR="006D253E" w:rsidRPr="00A9330B">
        <w:t>NATITINGOU</w:t>
      </w:r>
      <w:bookmarkEnd w:id="432"/>
    </w:p>
    <w:tbl>
      <w:tblPr>
        <w:tblW w:w="453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5" w:type="dxa"/>
          <w:left w:w="57" w:type="dxa"/>
          <w:bottom w:w="15" w:type="dxa"/>
          <w:right w:w="57" w:type="dxa"/>
        </w:tblCellMar>
        <w:tblLook w:val="04A0" w:firstRow="1" w:lastRow="0" w:firstColumn="1" w:lastColumn="0" w:noHBand="0" w:noVBand="1"/>
      </w:tblPr>
      <w:tblGrid>
        <w:gridCol w:w="1651"/>
        <w:gridCol w:w="2128"/>
        <w:gridCol w:w="2311"/>
        <w:gridCol w:w="2127"/>
      </w:tblGrid>
      <w:tr w:rsidR="00005EB5" w:rsidRPr="00A9330B" w14:paraId="522AFC98" w14:textId="77777777" w:rsidTr="00896715">
        <w:trPr>
          <w:trHeight w:val="329"/>
          <w:tblHeader/>
          <w:jc w:val="center"/>
        </w:trPr>
        <w:tc>
          <w:tcPr>
            <w:tcW w:w="1005" w:type="pct"/>
            <w:shd w:val="clear" w:color="auto" w:fill="D9D9D9"/>
            <w:vAlign w:val="center"/>
            <w:hideMark/>
          </w:tcPr>
          <w:p w14:paraId="712A20B6" w14:textId="77777777" w:rsidR="00005EB5" w:rsidRPr="00A9330B" w:rsidRDefault="00005EB5" w:rsidP="00896715">
            <w:pPr>
              <w:suppressAutoHyphens/>
              <w:spacing w:before="60" w:line="240" w:lineRule="auto"/>
              <w:rPr>
                <w:rFonts w:eastAsia="Times New Roman" w:cs="Arial"/>
                <w:b/>
                <w:sz w:val="20"/>
                <w:szCs w:val="20"/>
              </w:rPr>
            </w:pPr>
            <w:r w:rsidRPr="00A9330B">
              <w:rPr>
                <w:rFonts w:eastAsia="Times New Roman" w:cs="Arial"/>
                <w:b/>
                <w:sz w:val="20"/>
                <w:szCs w:val="20"/>
              </w:rPr>
              <w:t xml:space="preserve">Quartiers </w:t>
            </w:r>
          </w:p>
        </w:tc>
        <w:tc>
          <w:tcPr>
            <w:tcW w:w="1295" w:type="pct"/>
            <w:shd w:val="clear" w:color="auto" w:fill="D9D9D9"/>
            <w:vAlign w:val="center"/>
          </w:tcPr>
          <w:p w14:paraId="7835D17D" w14:textId="77777777" w:rsidR="00005EB5" w:rsidRPr="00A9330B" w:rsidRDefault="00005EB5" w:rsidP="00896715">
            <w:pPr>
              <w:suppressAutoHyphens/>
              <w:spacing w:before="60" w:line="240" w:lineRule="auto"/>
              <w:rPr>
                <w:rFonts w:eastAsia="Times New Roman" w:cs="Arial"/>
                <w:b/>
                <w:sz w:val="20"/>
                <w:szCs w:val="20"/>
              </w:rPr>
            </w:pPr>
            <w:r w:rsidRPr="00A9330B">
              <w:rPr>
                <w:rFonts w:eastAsia="Times New Roman" w:cs="Arial"/>
                <w:b/>
                <w:sz w:val="20"/>
                <w:szCs w:val="20"/>
              </w:rPr>
              <w:t>Zone d’influence</w:t>
            </w:r>
          </w:p>
        </w:tc>
        <w:tc>
          <w:tcPr>
            <w:tcW w:w="1406" w:type="pct"/>
            <w:shd w:val="clear" w:color="auto" w:fill="D9D9D9"/>
            <w:vAlign w:val="center"/>
          </w:tcPr>
          <w:p w14:paraId="43B28D7D" w14:textId="77777777" w:rsidR="00005EB5" w:rsidRPr="00A9330B" w:rsidRDefault="00005EB5" w:rsidP="00896715">
            <w:pPr>
              <w:suppressAutoHyphens/>
              <w:spacing w:before="60" w:line="240" w:lineRule="auto"/>
              <w:rPr>
                <w:rFonts w:eastAsia="Times New Roman" w:cs="Arial"/>
                <w:b/>
                <w:sz w:val="20"/>
                <w:szCs w:val="20"/>
              </w:rPr>
            </w:pPr>
            <w:r w:rsidRPr="00A9330B">
              <w:rPr>
                <w:rFonts w:eastAsia="Times New Roman" w:cs="Arial"/>
                <w:b/>
                <w:sz w:val="20"/>
                <w:szCs w:val="20"/>
              </w:rPr>
              <w:t>Échantillon</w:t>
            </w:r>
          </w:p>
        </w:tc>
        <w:tc>
          <w:tcPr>
            <w:tcW w:w="1294" w:type="pct"/>
            <w:shd w:val="clear" w:color="auto" w:fill="D9D9D9"/>
            <w:vAlign w:val="center"/>
          </w:tcPr>
          <w:p w14:paraId="33EACF99" w14:textId="77777777" w:rsidR="00005EB5" w:rsidRPr="00A9330B" w:rsidRDefault="00005EB5" w:rsidP="00896715">
            <w:pPr>
              <w:suppressAutoHyphens/>
              <w:spacing w:before="60" w:line="240" w:lineRule="auto"/>
              <w:rPr>
                <w:rFonts w:eastAsia="Times New Roman" w:cs="Arial"/>
                <w:b/>
                <w:sz w:val="20"/>
                <w:szCs w:val="20"/>
              </w:rPr>
            </w:pPr>
            <w:r w:rsidRPr="00A9330B">
              <w:rPr>
                <w:rFonts w:eastAsia="Times New Roman" w:cs="Arial"/>
                <w:b/>
                <w:sz w:val="20"/>
                <w:szCs w:val="20"/>
              </w:rPr>
              <w:t>Agents de collecte</w:t>
            </w:r>
          </w:p>
        </w:tc>
      </w:tr>
      <w:tr w:rsidR="00005EB5" w:rsidRPr="00A9330B" w14:paraId="540AAF46" w14:textId="77777777" w:rsidTr="00896715">
        <w:trPr>
          <w:trHeight w:val="377"/>
          <w:jc w:val="center"/>
        </w:trPr>
        <w:tc>
          <w:tcPr>
            <w:tcW w:w="5000" w:type="pct"/>
            <w:gridSpan w:val="4"/>
            <w:shd w:val="clear" w:color="auto" w:fill="F2F2F2"/>
            <w:vAlign w:val="center"/>
          </w:tcPr>
          <w:p w14:paraId="63E49A92" w14:textId="5BDABDE8" w:rsidR="00005EB5" w:rsidRPr="00A9330B" w:rsidRDefault="00005EB5" w:rsidP="00896715">
            <w:pPr>
              <w:suppressAutoHyphens/>
              <w:spacing w:before="60" w:line="240" w:lineRule="auto"/>
              <w:jc w:val="center"/>
              <w:rPr>
                <w:rFonts w:eastAsia="Times New Roman" w:cs="Arial"/>
                <w:sz w:val="20"/>
                <w:szCs w:val="20"/>
              </w:rPr>
            </w:pPr>
            <w:r w:rsidRPr="00A9330B">
              <w:rPr>
                <w:rFonts w:eastAsia="Times New Roman" w:cs="Arial"/>
                <w:sz w:val="20"/>
                <w:szCs w:val="20"/>
              </w:rPr>
              <w:t>1</w:t>
            </w:r>
            <w:r w:rsidRPr="00A9330B">
              <w:rPr>
                <w:rFonts w:eastAsia="Times New Roman" w:cs="Arial"/>
                <w:sz w:val="20"/>
                <w:szCs w:val="20"/>
                <w:vertAlign w:val="superscript"/>
              </w:rPr>
              <w:t>er</w:t>
            </w:r>
            <w:r w:rsidRPr="00A9330B">
              <w:rPr>
                <w:rFonts w:eastAsia="Times New Roman" w:cs="Arial"/>
                <w:sz w:val="20"/>
                <w:szCs w:val="20"/>
              </w:rPr>
              <w:t xml:space="preserve"> Arrondissement (97 Ménages</w:t>
            </w:r>
            <w:r w:rsidR="00EF4C26" w:rsidRPr="00A9330B">
              <w:rPr>
                <w:rFonts w:eastAsia="Times New Roman" w:cs="Arial"/>
                <w:sz w:val="20"/>
                <w:szCs w:val="20"/>
              </w:rPr>
              <w:t xml:space="preserve"> ou </w:t>
            </w:r>
            <w:r w:rsidRPr="00A9330B">
              <w:rPr>
                <w:rFonts w:eastAsia="Times New Roman" w:cs="Arial"/>
                <w:sz w:val="20"/>
                <w:szCs w:val="20"/>
              </w:rPr>
              <w:t>riverains)</w:t>
            </w:r>
          </w:p>
        </w:tc>
      </w:tr>
      <w:tr w:rsidR="00005EB5" w:rsidRPr="00A9330B" w14:paraId="659F73E7" w14:textId="77777777" w:rsidTr="00EF4C26">
        <w:trPr>
          <w:trHeight w:val="20"/>
          <w:jc w:val="center"/>
        </w:trPr>
        <w:tc>
          <w:tcPr>
            <w:tcW w:w="1005" w:type="pct"/>
            <w:vAlign w:val="center"/>
          </w:tcPr>
          <w:p w14:paraId="5D84A309" w14:textId="77777777" w:rsidR="00005EB5" w:rsidRPr="00A9330B" w:rsidRDefault="00005EB5" w:rsidP="00896715">
            <w:pPr>
              <w:suppressAutoHyphens/>
              <w:spacing w:before="60" w:line="240" w:lineRule="auto"/>
              <w:rPr>
                <w:rFonts w:eastAsia="Times New Roman" w:cs="Arial"/>
                <w:sz w:val="20"/>
                <w:szCs w:val="20"/>
              </w:rPr>
            </w:pPr>
            <w:r w:rsidRPr="00A9330B">
              <w:rPr>
                <w:rFonts w:eastAsia="Calibri" w:cs="Arial"/>
                <w:sz w:val="20"/>
                <w:szCs w:val="20"/>
                <w:lang w:eastAsia="fr-FR"/>
              </w:rPr>
              <w:t xml:space="preserve">Bagri, </w:t>
            </w:r>
          </w:p>
        </w:tc>
        <w:tc>
          <w:tcPr>
            <w:tcW w:w="1295" w:type="pct"/>
            <w:vAlign w:val="center"/>
          </w:tcPr>
          <w:p w14:paraId="446F6A7C" w14:textId="77777777" w:rsidR="00005EB5" w:rsidRPr="00A9330B" w:rsidRDefault="00005EB5" w:rsidP="00896715">
            <w:pPr>
              <w:suppressAutoHyphens/>
              <w:spacing w:before="60" w:line="240" w:lineRule="auto"/>
              <w:jc w:val="both"/>
              <w:rPr>
                <w:rFonts w:eastAsia="Times New Roman" w:cs="Arial"/>
                <w:sz w:val="20"/>
                <w:szCs w:val="20"/>
              </w:rPr>
            </w:pPr>
            <w:r w:rsidRPr="00A9330B">
              <w:rPr>
                <w:rFonts w:eastAsia="Times New Roman" w:cs="Arial"/>
                <w:sz w:val="20"/>
                <w:szCs w:val="20"/>
              </w:rPr>
              <w:t>50 m en linaire et 200 autour de l’ouvrage</w:t>
            </w:r>
          </w:p>
        </w:tc>
        <w:tc>
          <w:tcPr>
            <w:tcW w:w="1406" w:type="pct"/>
            <w:vAlign w:val="center"/>
          </w:tcPr>
          <w:p w14:paraId="0154E534" w14:textId="08CBFE47" w:rsidR="00005EB5" w:rsidRPr="00A9330B" w:rsidRDefault="00005EB5" w:rsidP="00896715">
            <w:pPr>
              <w:suppressAutoHyphens/>
              <w:spacing w:before="60" w:line="240" w:lineRule="auto"/>
              <w:rPr>
                <w:rFonts w:eastAsia="Times New Roman" w:cs="Arial"/>
                <w:sz w:val="20"/>
                <w:szCs w:val="20"/>
              </w:rPr>
            </w:pPr>
            <w:r w:rsidRPr="00A9330B">
              <w:rPr>
                <w:rFonts w:eastAsia="Times New Roman" w:cs="Arial"/>
                <w:sz w:val="20"/>
                <w:szCs w:val="20"/>
              </w:rPr>
              <w:t>22 Ménages</w:t>
            </w:r>
            <w:r w:rsidR="00EF4C26" w:rsidRPr="00A9330B">
              <w:rPr>
                <w:rFonts w:eastAsia="Times New Roman" w:cs="Arial"/>
                <w:sz w:val="20"/>
                <w:szCs w:val="20"/>
              </w:rPr>
              <w:t xml:space="preserve"> ou </w:t>
            </w:r>
            <w:r w:rsidRPr="00A9330B">
              <w:rPr>
                <w:rFonts w:eastAsia="Times New Roman" w:cs="Arial"/>
                <w:sz w:val="20"/>
                <w:szCs w:val="20"/>
              </w:rPr>
              <w:t>riverains</w:t>
            </w:r>
          </w:p>
        </w:tc>
        <w:tc>
          <w:tcPr>
            <w:tcW w:w="1294" w:type="pct"/>
            <w:vMerge w:val="restart"/>
            <w:vAlign w:val="center"/>
          </w:tcPr>
          <w:p w14:paraId="30E99A50" w14:textId="638BA90C" w:rsidR="00005EB5" w:rsidRPr="00A9330B" w:rsidRDefault="00005EB5" w:rsidP="00896715">
            <w:pPr>
              <w:suppressAutoHyphens/>
              <w:spacing w:before="60" w:line="240" w:lineRule="auto"/>
              <w:rPr>
                <w:rFonts w:eastAsia="Times New Roman" w:cs="Arial"/>
                <w:sz w:val="20"/>
                <w:szCs w:val="20"/>
              </w:rPr>
            </w:pPr>
            <w:r w:rsidRPr="00A9330B">
              <w:rPr>
                <w:rFonts w:eastAsia="Times New Roman" w:cs="Arial"/>
                <w:b/>
                <w:sz w:val="20"/>
                <w:szCs w:val="20"/>
              </w:rPr>
              <w:t>3 enquêteurs</w:t>
            </w:r>
            <w:r w:rsidRPr="00A9330B">
              <w:rPr>
                <w:rFonts w:eastAsia="Times New Roman" w:cs="Arial"/>
                <w:sz w:val="20"/>
                <w:szCs w:val="20"/>
              </w:rPr>
              <w:t xml:space="preserve"> pour 4 jours de terrain à raison de 12 fiches</w:t>
            </w:r>
            <w:r w:rsidR="00EF4C26" w:rsidRPr="00A9330B">
              <w:rPr>
                <w:rFonts w:eastAsia="Times New Roman" w:cs="Arial"/>
                <w:sz w:val="20"/>
                <w:szCs w:val="20"/>
              </w:rPr>
              <w:t xml:space="preserve"> ou </w:t>
            </w:r>
            <w:r w:rsidRPr="00A9330B">
              <w:rPr>
                <w:rFonts w:eastAsia="Times New Roman" w:cs="Arial"/>
                <w:sz w:val="20"/>
                <w:szCs w:val="20"/>
              </w:rPr>
              <w:t>jour (moy)</w:t>
            </w:r>
          </w:p>
          <w:p w14:paraId="0CD1BF2A" w14:textId="77777777" w:rsidR="00005EB5" w:rsidRPr="00A9330B" w:rsidRDefault="00005EB5" w:rsidP="00896715">
            <w:pPr>
              <w:suppressAutoHyphens/>
              <w:spacing w:before="60" w:line="240" w:lineRule="auto"/>
              <w:rPr>
                <w:rFonts w:eastAsia="Times New Roman" w:cs="Arial"/>
                <w:sz w:val="20"/>
                <w:szCs w:val="20"/>
              </w:rPr>
            </w:pPr>
            <w:r w:rsidRPr="00A9330B">
              <w:rPr>
                <w:rFonts w:eastAsia="Times New Roman" w:cs="Arial"/>
                <w:sz w:val="20"/>
                <w:szCs w:val="20"/>
              </w:rPr>
              <w:t>1 superviseur</w:t>
            </w:r>
          </w:p>
        </w:tc>
      </w:tr>
      <w:tr w:rsidR="00005EB5" w:rsidRPr="00A9330B" w14:paraId="48F0C4D2" w14:textId="77777777" w:rsidTr="00EF4C26">
        <w:trPr>
          <w:trHeight w:val="20"/>
          <w:jc w:val="center"/>
        </w:trPr>
        <w:tc>
          <w:tcPr>
            <w:tcW w:w="1005" w:type="pct"/>
            <w:vAlign w:val="center"/>
          </w:tcPr>
          <w:p w14:paraId="58176401" w14:textId="77777777" w:rsidR="00005EB5" w:rsidRPr="00A9330B" w:rsidRDefault="00005EB5" w:rsidP="00896715">
            <w:pPr>
              <w:suppressAutoHyphens/>
              <w:spacing w:before="60" w:line="240" w:lineRule="auto"/>
              <w:rPr>
                <w:rFonts w:eastAsia="Times New Roman" w:cs="Arial"/>
                <w:sz w:val="20"/>
                <w:szCs w:val="20"/>
              </w:rPr>
            </w:pPr>
            <w:r w:rsidRPr="00A9330B">
              <w:rPr>
                <w:rFonts w:eastAsia="Calibri" w:cs="Arial"/>
                <w:sz w:val="20"/>
                <w:szCs w:val="20"/>
                <w:lang w:eastAsia="fr-FR"/>
              </w:rPr>
              <w:t>Sountchirantikou</w:t>
            </w:r>
          </w:p>
        </w:tc>
        <w:tc>
          <w:tcPr>
            <w:tcW w:w="1295" w:type="pct"/>
            <w:vAlign w:val="center"/>
          </w:tcPr>
          <w:p w14:paraId="14646D62" w14:textId="77777777" w:rsidR="00005EB5" w:rsidRPr="00A9330B" w:rsidRDefault="00005EB5" w:rsidP="00896715">
            <w:pPr>
              <w:suppressAutoHyphens/>
              <w:spacing w:before="60" w:line="240" w:lineRule="auto"/>
              <w:jc w:val="both"/>
              <w:rPr>
                <w:rFonts w:eastAsia="Times New Roman" w:cs="Arial"/>
                <w:sz w:val="20"/>
                <w:szCs w:val="20"/>
              </w:rPr>
            </w:pPr>
            <w:r w:rsidRPr="00A9330B">
              <w:rPr>
                <w:rFonts w:eastAsia="Times New Roman" w:cs="Arial"/>
                <w:sz w:val="20"/>
                <w:szCs w:val="20"/>
              </w:rPr>
              <w:t>50 m en linaire et 200 autour de l’ouvrage</w:t>
            </w:r>
          </w:p>
        </w:tc>
        <w:tc>
          <w:tcPr>
            <w:tcW w:w="1406" w:type="pct"/>
            <w:vAlign w:val="center"/>
          </w:tcPr>
          <w:p w14:paraId="6BC4F51B" w14:textId="70F511AA" w:rsidR="00005EB5" w:rsidRPr="00A9330B" w:rsidRDefault="00005EB5" w:rsidP="00896715">
            <w:pPr>
              <w:suppressAutoHyphens/>
              <w:spacing w:before="60" w:line="240" w:lineRule="auto"/>
              <w:rPr>
                <w:rFonts w:eastAsia="Times New Roman" w:cs="Arial"/>
                <w:sz w:val="20"/>
                <w:szCs w:val="20"/>
              </w:rPr>
            </w:pPr>
            <w:r w:rsidRPr="00A9330B">
              <w:rPr>
                <w:rFonts w:eastAsia="Times New Roman" w:cs="Arial"/>
                <w:sz w:val="20"/>
                <w:szCs w:val="20"/>
              </w:rPr>
              <w:t>36 M</w:t>
            </w:r>
            <w:r w:rsidR="00EF4C26" w:rsidRPr="00A9330B">
              <w:rPr>
                <w:rFonts w:eastAsia="Times New Roman" w:cs="Arial"/>
                <w:sz w:val="20"/>
                <w:szCs w:val="20"/>
              </w:rPr>
              <w:t xml:space="preserve">énages ou </w:t>
            </w:r>
            <w:r w:rsidRPr="00A9330B">
              <w:rPr>
                <w:rFonts w:eastAsia="Times New Roman" w:cs="Arial"/>
                <w:sz w:val="20"/>
                <w:szCs w:val="20"/>
              </w:rPr>
              <w:t>riverains</w:t>
            </w:r>
          </w:p>
        </w:tc>
        <w:tc>
          <w:tcPr>
            <w:tcW w:w="1294" w:type="pct"/>
            <w:vMerge/>
            <w:vAlign w:val="center"/>
          </w:tcPr>
          <w:p w14:paraId="7DFC08F6" w14:textId="77777777" w:rsidR="00005EB5" w:rsidRPr="00A9330B" w:rsidRDefault="00005EB5" w:rsidP="00896715">
            <w:pPr>
              <w:suppressAutoHyphens/>
              <w:spacing w:before="60" w:line="240" w:lineRule="auto"/>
              <w:rPr>
                <w:rFonts w:eastAsia="Times New Roman" w:cs="Arial"/>
                <w:sz w:val="20"/>
                <w:szCs w:val="20"/>
              </w:rPr>
            </w:pPr>
          </w:p>
        </w:tc>
      </w:tr>
      <w:tr w:rsidR="00005EB5" w:rsidRPr="00A9330B" w14:paraId="624DB4F0" w14:textId="77777777" w:rsidTr="00EF4C26">
        <w:trPr>
          <w:trHeight w:val="20"/>
          <w:jc w:val="center"/>
        </w:trPr>
        <w:tc>
          <w:tcPr>
            <w:tcW w:w="1005" w:type="pct"/>
            <w:vAlign w:val="center"/>
          </w:tcPr>
          <w:p w14:paraId="4FED3378" w14:textId="77777777" w:rsidR="00005EB5" w:rsidRPr="00A9330B" w:rsidRDefault="00005EB5" w:rsidP="00896715">
            <w:pPr>
              <w:suppressAutoHyphens/>
              <w:spacing w:before="60" w:line="240" w:lineRule="auto"/>
              <w:rPr>
                <w:rFonts w:eastAsia="Times New Roman" w:cs="Arial"/>
                <w:sz w:val="20"/>
                <w:szCs w:val="20"/>
              </w:rPr>
            </w:pPr>
            <w:r w:rsidRPr="00A9330B">
              <w:rPr>
                <w:rFonts w:eastAsia="Calibri" w:cs="Arial"/>
                <w:sz w:val="20"/>
                <w:szCs w:val="20"/>
                <w:lang w:eastAsia="fr-FR"/>
              </w:rPr>
              <w:t>Tchirimina</w:t>
            </w:r>
          </w:p>
        </w:tc>
        <w:tc>
          <w:tcPr>
            <w:tcW w:w="1295" w:type="pct"/>
            <w:vAlign w:val="center"/>
          </w:tcPr>
          <w:p w14:paraId="59DC6F50" w14:textId="77777777" w:rsidR="00005EB5" w:rsidRPr="00A9330B" w:rsidRDefault="00005EB5" w:rsidP="00896715">
            <w:pPr>
              <w:suppressAutoHyphens/>
              <w:spacing w:before="60" w:line="240" w:lineRule="auto"/>
              <w:jc w:val="both"/>
              <w:rPr>
                <w:rFonts w:eastAsia="Times New Roman" w:cs="Arial"/>
                <w:sz w:val="20"/>
                <w:szCs w:val="20"/>
              </w:rPr>
            </w:pPr>
            <w:r w:rsidRPr="00A9330B">
              <w:rPr>
                <w:rFonts w:eastAsia="Times New Roman" w:cs="Arial"/>
                <w:sz w:val="20"/>
                <w:szCs w:val="20"/>
              </w:rPr>
              <w:t>50 m en linaire et 200 autour de l’ouvrage</w:t>
            </w:r>
          </w:p>
        </w:tc>
        <w:tc>
          <w:tcPr>
            <w:tcW w:w="1406" w:type="pct"/>
            <w:vAlign w:val="center"/>
          </w:tcPr>
          <w:p w14:paraId="78A73F67" w14:textId="619297F1" w:rsidR="00005EB5" w:rsidRPr="00A9330B" w:rsidRDefault="00005EB5" w:rsidP="00896715">
            <w:pPr>
              <w:suppressAutoHyphens/>
              <w:spacing w:before="60" w:line="240" w:lineRule="auto"/>
              <w:rPr>
                <w:rFonts w:eastAsia="Times New Roman" w:cs="Arial"/>
                <w:sz w:val="20"/>
                <w:szCs w:val="20"/>
              </w:rPr>
            </w:pPr>
            <w:r w:rsidRPr="00A9330B">
              <w:rPr>
                <w:rFonts w:eastAsia="Times New Roman" w:cs="Arial"/>
                <w:sz w:val="20"/>
                <w:szCs w:val="20"/>
              </w:rPr>
              <w:t xml:space="preserve">27 Ménages </w:t>
            </w:r>
            <w:r w:rsidR="00EF4C26" w:rsidRPr="00A9330B">
              <w:rPr>
                <w:rFonts w:eastAsia="Times New Roman" w:cs="Arial"/>
                <w:sz w:val="20"/>
                <w:szCs w:val="20"/>
              </w:rPr>
              <w:t xml:space="preserve">ou </w:t>
            </w:r>
            <w:r w:rsidRPr="00A9330B">
              <w:rPr>
                <w:rFonts w:eastAsia="Times New Roman" w:cs="Arial"/>
                <w:sz w:val="20"/>
                <w:szCs w:val="20"/>
              </w:rPr>
              <w:t>riverains</w:t>
            </w:r>
          </w:p>
        </w:tc>
        <w:tc>
          <w:tcPr>
            <w:tcW w:w="1294" w:type="pct"/>
            <w:vMerge/>
            <w:vAlign w:val="center"/>
          </w:tcPr>
          <w:p w14:paraId="43384F79" w14:textId="77777777" w:rsidR="00005EB5" w:rsidRPr="00A9330B" w:rsidRDefault="00005EB5" w:rsidP="00896715">
            <w:pPr>
              <w:suppressAutoHyphens/>
              <w:spacing w:before="60" w:line="240" w:lineRule="auto"/>
              <w:rPr>
                <w:rFonts w:eastAsia="Times New Roman" w:cs="Arial"/>
                <w:sz w:val="20"/>
                <w:szCs w:val="20"/>
              </w:rPr>
            </w:pPr>
          </w:p>
        </w:tc>
      </w:tr>
      <w:tr w:rsidR="00005EB5" w:rsidRPr="00A9330B" w14:paraId="301066D6" w14:textId="77777777" w:rsidTr="00EF4C26">
        <w:trPr>
          <w:trHeight w:val="20"/>
          <w:jc w:val="center"/>
        </w:trPr>
        <w:tc>
          <w:tcPr>
            <w:tcW w:w="1005" w:type="pct"/>
            <w:vAlign w:val="center"/>
          </w:tcPr>
          <w:p w14:paraId="17A15215" w14:textId="77777777" w:rsidR="00005EB5" w:rsidRPr="00A9330B" w:rsidRDefault="00005EB5" w:rsidP="00896715">
            <w:pPr>
              <w:suppressAutoHyphens/>
              <w:spacing w:before="60" w:line="240" w:lineRule="auto"/>
              <w:rPr>
                <w:rFonts w:eastAsia="Times New Roman" w:cs="Arial"/>
                <w:sz w:val="20"/>
                <w:szCs w:val="20"/>
              </w:rPr>
            </w:pPr>
            <w:r w:rsidRPr="00A9330B">
              <w:rPr>
                <w:rFonts w:eastAsia="Calibri" w:cs="Arial"/>
                <w:sz w:val="20"/>
                <w:szCs w:val="20"/>
                <w:lang w:eastAsia="fr-FR"/>
              </w:rPr>
              <w:t>Yokossi</w:t>
            </w:r>
          </w:p>
        </w:tc>
        <w:tc>
          <w:tcPr>
            <w:tcW w:w="1295" w:type="pct"/>
            <w:vAlign w:val="center"/>
          </w:tcPr>
          <w:p w14:paraId="22D6B637" w14:textId="77777777" w:rsidR="00005EB5" w:rsidRPr="00A9330B" w:rsidRDefault="00005EB5" w:rsidP="00896715">
            <w:pPr>
              <w:suppressAutoHyphens/>
              <w:spacing w:before="60" w:line="240" w:lineRule="auto"/>
              <w:jc w:val="both"/>
              <w:rPr>
                <w:rFonts w:eastAsia="Times New Roman" w:cs="Arial"/>
                <w:sz w:val="20"/>
                <w:szCs w:val="20"/>
              </w:rPr>
            </w:pPr>
            <w:r w:rsidRPr="00A9330B">
              <w:rPr>
                <w:rFonts w:eastAsia="Times New Roman" w:cs="Arial"/>
                <w:sz w:val="20"/>
                <w:szCs w:val="20"/>
              </w:rPr>
              <w:t>50 m en linaire et 200 autour de l’ouvrage</w:t>
            </w:r>
          </w:p>
        </w:tc>
        <w:tc>
          <w:tcPr>
            <w:tcW w:w="1406" w:type="pct"/>
            <w:vAlign w:val="center"/>
          </w:tcPr>
          <w:p w14:paraId="22191381" w14:textId="36C315D2" w:rsidR="00005EB5" w:rsidRPr="00A9330B" w:rsidRDefault="00005EB5" w:rsidP="00896715">
            <w:pPr>
              <w:suppressAutoHyphens/>
              <w:spacing w:before="60" w:line="240" w:lineRule="auto"/>
              <w:rPr>
                <w:rFonts w:eastAsia="Times New Roman" w:cs="Arial"/>
                <w:sz w:val="20"/>
                <w:szCs w:val="20"/>
              </w:rPr>
            </w:pPr>
            <w:r w:rsidRPr="00A9330B">
              <w:rPr>
                <w:rFonts w:eastAsia="Times New Roman" w:cs="Arial"/>
                <w:sz w:val="20"/>
                <w:szCs w:val="20"/>
              </w:rPr>
              <w:t xml:space="preserve">12 Ménages </w:t>
            </w:r>
            <w:r w:rsidR="00EF4C26" w:rsidRPr="00A9330B">
              <w:rPr>
                <w:rFonts w:eastAsia="Times New Roman" w:cs="Arial"/>
                <w:sz w:val="20"/>
                <w:szCs w:val="20"/>
              </w:rPr>
              <w:t xml:space="preserve">ou </w:t>
            </w:r>
            <w:r w:rsidRPr="00A9330B">
              <w:rPr>
                <w:rFonts w:eastAsia="Times New Roman" w:cs="Arial"/>
                <w:sz w:val="20"/>
                <w:szCs w:val="20"/>
              </w:rPr>
              <w:t>riverains</w:t>
            </w:r>
          </w:p>
        </w:tc>
        <w:tc>
          <w:tcPr>
            <w:tcW w:w="1294" w:type="pct"/>
            <w:vMerge/>
            <w:vAlign w:val="center"/>
          </w:tcPr>
          <w:p w14:paraId="370E0631" w14:textId="77777777" w:rsidR="00005EB5" w:rsidRPr="00A9330B" w:rsidRDefault="00005EB5" w:rsidP="00896715">
            <w:pPr>
              <w:suppressAutoHyphens/>
              <w:spacing w:before="60" w:line="240" w:lineRule="auto"/>
              <w:rPr>
                <w:rFonts w:eastAsia="Times New Roman" w:cs="Arial"/>
                <w:sz w:val="20"/>
                <w:szCs w:val="20"/>
              </w:rPr>
            </w:pPr>
          </w:p>
        </w:tc>
      </w:tr>
      <w:tr w:rsidR="00005EB5" w:rsidRPr="00A9330B" w14:paraId="30B93613" w14:textId="77777777" w:rsidTr="00EF4C26">
        <w:trPr>
          <w:trHeight w:val="354"/>
          <w:jc w:val="center"/>
        </w:trPr>
        <w:tc>
          <w:tcPr>
            <w:tcW w:w="5000" w:type="pct"/>
            <w:gridSpan w:val="4"/>
            <w:shd w:val="clear" w:color="auto" w:fill="F2F2F2"/>
            <w:vAlign w:val="center"/>
          </w:tcPr>
          <w:p w14:paraId="16FE3162" w14:textId="27AF59B8" w:rsidR="00005EB5" w:rsidRPr="00A9330B" w:rsidRDefault="00005EB5" w:rsidP="00896715">
            <w:pPr>
              <w:suppressAutoHyphens/>
              <w:spacing w:before="60" w:line="240" w:lineRule="auto"/>
              <w:jc w:val="center"/>
              <w:rPr>
                <w:rFonts w:eastAsia="Times New Roman" w:cs="Arial"/>
                <w:sz w:val="20"/>
                <w:szCs w:val="20"/>
              </w:rPr>
            </w:pPr>
            <w:r w:rsidRPr="00A9330B">
              <w:rPr>
                <w:rFonts w:eastAsia="Times New Roman" w:cs="Arial"/>
                <w:sz w:val="20"/>
                <w:szCs w:val="20"/>
              </w:rPr>
              <w:t>2</w:t>
            </w:r>
            <w:r w:rsidRPr="00A9330B">
              <w:rPr>
                <w:rFonts w:eastAsia="Times New Roman" w:cs="Arial"/>
                <w:sz w:val="20"/>
                <w:szCs w:val="20"/>
                <w:vertAlign w:val="superscript"/>
              </w:rPr>
              <w:t>ième</w:t>
            </w:r>
            <w:r w:rsidRPr="00A9330B">
              <w:rPr>
                <w:rFonts w:eastAsia="Times New Roman" w:cs="Arial"/>
                <w:sz w:val="20"/>
                <w:szCs w:val="20"/>
              </w:rPr>
              <w:t xml:space="preserve">  Arrondissement</w:t>
            </w:r>
            <w:r w:rsidRPr="00A9330B">
              <w:rPr>
                <w:rFonts w:eastAsia="Times New Roman" w:cs="Arial"/>
                <w:sz w:val="20"/>
                <w:szCs w:val="20"/>
                <w:lang w:eastAsia="fr-FR"/>
              </w:rPr>
              <w:t xml:space="preserve"> (</w:t>
            </w:r>
            <w:r w:rsidRPr="00A9330B">
              <w:rPr>
                <w:rFonts w:eastAsia="Times New Roman" w:cs="Arial"/>
                <w:sz w:val="20"/>
                <w:szCs w:val="20"/>
              </w:rPr>
              <w:t xml:space="preserve">83 Ménages </w:t>
            </w:r>
            <w:r w:rsidR="00EF4C26" w:rsidRPr="00A9330B">
              <w:rPr>
                <w:rFonts w:eastAsia="Times New Roman" w:cs="Arial"/>
                <w:sz w:val="20"/>
                <w:szCs w:val="20"/>
              </w:rPr>
              <w:t xml:space="preserve"> ou </w:t>
            </w:r>
            <w:r w:rsidRPr="00A9330B">
              <w:rPr>
                <w:rFonts w:eastAsia="Times New Roman" w:cs="Arial"/>
                <w:sz w:val="20"/>
                <w:szCs w:val="20"/>
              </w:rPr>
              <w:t>riverains)</w:t>
            </w:r>
          </w:p>
        </w:tc>
      </w:tr>
      <w:tr w:rsidR="00005EB5" w:rsidRPr="00A9330B" w14:paraId="31DD54E5" w14:textId="77777777" w:rsidTr="00EF4C26">
        <w:trPr>
          <w:trHeight w:val="20"/>
          <w:jc w:val="center"/>
        </w:trPr>
        <w:tc>
          <w:tcPr>
            <w:tcW w:w="1005" w:type="pct"/>
            <w:vAlign w:val="center"/>
          </w:tcPr>
          <w:p w14:paraId="08A727D5" w14:textId="77777777" w:rsidR="00005EB5" w:rsidRPr="00A9330B" w:rsidRDefault="00005EB5" w:rsidP="00896715">
            <w:pPr>
              <w:suppressAutoHyphens/>
              <w:spacing w:before="60" w:line="240" w:lineRule="auto"/>
              <w:jc w:val="both"/>
              <w:rPr>
                <w:rFonts w:eastAsia="Times New Roman" w:cs="Arial"/>
                <w:sz w:val="20"/>
                <w:szCs w:val="20"/>
              </w:rPr>
            </w:pPr>
            <w:r w:rsidRPr="00A9330B">
              <w:rPr>
                <w:rFonts w:eastAsia="Calibri" w:cs="Arial"/>
                <w:sz w:val="20"/>
                <w:szCs w:val="20"/>
                <w:lang w:eastAsia="fr-FR"/>
              </w:rPr>
              <w:t xml:space="preserve">Boriyouré, </w:t>
            </w:r>
          </w:p>
        </w:tc>
        <w:tc>
          <w:tcPr>
            <w:tcW w:w="1295" w:type="pct"/>
            <w:vAlign w:val="center"/>
          </w:tcPr>
          <w:p w14:paraId="0FAFDC37" w14:textId="77777777" w:rsidR="00005EB5" w:rsidRPr="00A9330B" w:rsidRDefault="00005EB5" w:rsidP="00896715">
            <w:pPr>
              <w:suppressAutoHyphens/>
              <w:spacing w:before="60" w:line="240" w:lineRule="auto"/>
              <w:jc w:val="both"/>
              <w:rPr>
                <w:rFonts w:eastAsia="Times New Roman" w:cs="Arial"/>
                <w:sz w:val="20"/>
                <w:szCs w:val="20"/>
              </w:rPr>
            </w:pPr>
            <w:r w:rsidRPr="00A9330B">
              <w:rPr>
                <w:rFonts w:eastAsia="Times New Roman" w:cs="Arial"/>
                <w:sz w:val="20"/>
                <w:szCs w:val="20"/>
              </w:rPr>
              <w:t>50 m en linaire et 200 autour de l’ouvrage</w:t>
            </w:r>
          </w:p>
        </w:tc>
        <w:tc>
          <w:tcPr>
            <w:tcW w:w="1406" w:type="pct"/>
            <w:vAlign w:val="center"/>
          </w:tcPr>
          <w:p w14:paraId="689FE88B" w14:textId="7528FCCA" w:rsidR="00005EB5" w:rsidRPr="00A9330B" w:rsidRDefault="00005EB5" w:rsidP="00896715">
            <w:pPr>
              <w:suppressAutoHyphens/>
              <w:spacing w:before="60" w:line="240" w:lineRule="auto"/>
              <w:rPr>
                <w:rFonts w:eastAsia="Times New Roman" w:cs="Arial"/>
                <w:sz w:val="20"/>
                <w:szCs w:val="20"/>
              </w:rPr>
            </w:pPr>
            <w:r w:rsidRPr="00A9330B">
              <w:rPr>
                <w:rFonts w:eastAsia="Times New Roman" w:cs="Arial"/>
                <w:sz w:val="20"/>
                <w:szCs w:val="20"/>
              </w:rPr>
              <w:t xml:space="preserve">68 Ménages </w:t>
            </w:r>
            <w:r w:rsidR="00EF4C26" w:rsidRPr="00A9330B">
              <w:rPr>
                <w:rFonts w:eastAsia="Times New Roman" w:cs="Arial"/>
                <w:sz w:val="20"/>
                <w:szCs w:val="20"/>
              </w:rPr>
              <w:t xml:space="preserve">ou </w:t>
            </w:r>
            <w:r w:rsidRPr="00A9330B">
              <w:rPr>
                <w:rFonts w:eastAsia="Times New Roman" w:cs="Arial"/>
                <w:sz w:val="20"/>
                <w:szCs w:val="20"/>
              </w:rPr>
              <w:t>riverains</w:t>
            </w:r>
          </w:p>
        </w:tc>
        <w:tc>
          <w:tcPr>
            <w:tcW w:w="1294" w:type="pct"/>
            <w:vMerge w:val="restart"/>
            <w:vAlign w:val="center"/>
          </w:tcPr>
          <w:p w14:paraId="59A91009" w14:textId="39D4DBB5" w:rsidR="00005EB5" w:rsidRPr="00A9330B" w:rsidRDefault="00005EB5" w:rsidP="00896715">
            <w:pPr>
              <w:suppressAutoHyphens/>
              <w:spacing w:before="60" w:line="240" w:lineRule="auto"/>
              <w:rPr>
                <w:rFonts w:eastAsia="Times New Roman" w:cs="Arial"/>
                <w:sz w:val="20"/>
                <w:szCs w:val="20"/>
              </w:rPr>
            </w:pPr>
            <w:r w:rsidRPr="00A9330B">
              <w:rPr>
                <w:rFonts w:eastAsia="Times New Roman" w:cs="Arial"/>
                <w:b/>
                <w:sz w:val="20"/>
                <w:szCs w:val="20"/>
              </w:rPr>
              <w:t>3 enquêteurs</w:t>
            </w:r>
            <w:r w:rsidRPr="00A9330B">
              <w:rPr>
                <w:rFonts w:eastAsia="Times New Roman" w:cs="Arial"/>
                <w:sz w:val="20"/>
                <w:szCs w:val="20"/>
              </w:rPr>
              <w:t xml:space="preserve"> pour 4 jours de terrain à raison de 12 fiches</w:t>
            </w:r>
            <w:r w:rsidR="00EF4C26" w:rsidRPr="00A9330B">
              <w:rPr>
                <w:rFonts w:eastAsia="Times New Roman" w:cs="Arial"/>
                <w:sz w:val="20"/>
                <w:szCs w:val="20"/>
              </w:rPr>
              <w:t xml:space="preserve"> ou </w:t>
            </w:r>
            <w:r w:rsidRPr="00A9330B">
              <w:rPr>
                <w:rFonts w:eastAsia="Times New Roman" w:cs="Arial"/>
                <w:sz w:val="20"/>
                <w:szCs w:val="20"/>
              </w:rPr>
              <w:t>jour (moy)</w:t>
            </w:r>
          </w:p>
          <w:p w14:paraId="45D9068E" w14:textId="77777777" w:rsidR="00005EB5" w:rsidRPr="00A9330B" w:rsidRDefault="00005EB5" w:rsidP="00896715">
            <w:pPr>
              <w:suppressAutoHyphens/>
              <w:spacing w:before="60" w:line="240" w:lineRule="auto"/>
              <w:rPr>
                <w:rFonts w:eastAsia="Times New Roman" w:cs="Arial"/>
                <w:sz w:val="20"/>
                <w:szCs w:val="20"/>
              </w:rPr>
            </w:pPr>
            <w:r w:rsidRPr="00A9330B">
              <w:rPr>
                <w:rFonts w:eastAsia="Times New Roman" w:cs="Arial"/>
                <w:sz w:val="20"/>
                <w:szCs w:val="20"/>
              </w:rPr>
              <w:t xml:space="preserve">1 superviseur </w:t>
            </w:r>
          </w:p>
        </w:tc>
      </w:tr>
      <w:tr w:rsidR="00005EB5" w:rsidRPr="00A9330B" w14:paraId="1384252B" w14:textId="77777777" w:rsidTr="00EF4C26">
        <w:trPr>
          <w:trHeight w:val="20"/>
          <w:jc w:val="center"/>
        </w:trPr>
        <w:tc>
          <w:tcPr>
            <w:tcW w:w="1005" w:type="pct"/>
            <w:vAlign w:val="center"/>
          </w:tcPr>
          <w:p w14:paraId="35A2947A" w14:textId="77777777" w:rsidR="00005EB5" w:rsidRPr="00A9330B" w:rsidRDefault="00005EB5" w:rsidP="00896715">
            <w:pPr>
              <w:suppressAutoHyphens/>
              <w:spacing w:before="60" w:line="240" w:lineRule="auto"/>
              <w:jc w:val="both"/>
              <w:rPr>
                <w:rFonts w:eastAsia="Times New Roman" w:cs="Arial"/>
                <w:sz w:val="20"/>
                <w:szCs w:val="20"/>
              </w:rPr>
            </w:pPr>
            <w:r w:rsidRPr="00A9330B">
              <w:rPr>
                <w:rFonts w:eastAsia="Calibri" w:cs="Arial"/>
                <w:sz w:val="20"/>
                <w:szCs w:val="20"/>
                <w:lang w:eastAsia="fr-FR"/>
              </w:rPr>
              <w:t>Ouroubonna</w:t>
            </w:r>
          </w:p>
        </w:tc>
        <w:tc>
          <w:tcPr>
            <w:tcW w:w="1295" w:type="pct"/>
            <w:vAlign w:val="center"/>
          </w:tcPr>
          <w:p w14:paraId="3926CF88" w14:textId="77777777" w:rsidR="00005EB5" w:rsidRPr="00A9330B" w:rsidRDefault="00005EB5" w:rsidP="00896715">
            <w:pPr>
              <w:suppressAutoHyphens/>
              <w:spacing w:before="60" w:line="240" w:lineRule="auto"/>
              <w:jc w:val="both"/>
              <w:rPr>
                <w:rFonts w:eastAsia="Times New Roman" w:cs="Arial"/>
                <w:sz w:val="20"/>
                <w:szCs w:val="20"/>
              </w:rPr>
            </w:pPr>
            <w:r w:rsidRPr="00A9330B">
              <w:rPr>
                <w:rFonts w:eastAsia="Times New Roman" w:cs="Arial"/>
                <w:sz w:val="20"/>
                <w:szCs w:val="20"/>
              </w:rPr>
              <w:t>50 m en linaire et 200 autour de l’ouvrage</w:t>
            </w:r>
          </w:p>
        </w:tc>
        <w:tc>
          <w:tcPr>
            <w:tcW w:w="1406" w:type="pct"/>
            <w:vAlign w:val="center"/>
          </w:tcPr>
          <w:p w14:paraId="20F46BA0" w14:textId="4076D9FA" w:rsidR="00005EB5" w:rsidRPr="00A9330B" w:rsidRDefault="00005EB5" w:rsidP="00896715">
            <w:pPr>
              <w:suppressAutoHyphens/>
              <w:spacing w:before="60" w:line="240" w:lineRule="auto"/>
              <w:rPr>
                <w:rFonts w:eastAsia="Times New Roman" w:cs="Arial"/>
                <w:sz w:val="20"/>
                <w:szCs w:val="20"/>
              </w:rPr>
            </w:pPr>
            <w:r w:rsidRPr="00A9330B">
              <w:rPr>
                <w:rFonts w:eastAsia="Times New Roman" w:cs="Arial"/>
                <w:sz w:val="20"/>
                <w:szCs w:val="20"/>
              </w:rPr>
              <w:t xml:space="preserve">15 Ménages </w:t>
            </w:r>
            <w:r w:rsidR="00EF4C26" w:rsidRPr="00A9330B">
              <w:rPr>
                <w:rFonts w:eastAsia="Times New Roman" w:cs="Arial"/>
                <w:sz w:val="20"/>
                <w:szCs w:val="20"/>
              </w:rPr>
              <w:t xml:space="preserve">ou </w:t>
            </w:r>
            <w:r w:rsidRPr="00A9330B">
              <w:rPr>
                <w:rFonts w:eastAsia="Times New Roman" w:cs="Arial"/>
                <w:sz w:val="20"/>
                <w:szCs w:val="20"/>
              </w:rPr>
              <w:t>riverains</w:t>
            </w:r>
          </w:p>
        </w:tc>
        <w:tc>
          <w:tcPr>
            <w:tcW w:w="1294" w:type="pct"/>
            <w:vMerge/>
            <w:vAlign w:val="center"/>
          </w:tcPr>
          <w:p w14:paraId="5BD19D15" w14:textId="77777777" w:rsidR="00005EB5" w:rsidRPr="00A9330B" w:rsidRDefault="00005EB5" w:rsidP="00896715">
            <w:pPr>
              <w:suppressAutoHyphens/>
              <w:spacing w:before="60" w:line="240" w:lineRule="auto"/>
              <w:rPr>
                <w:rFonts w:eastAsia="Times New Roman" w:cs="Arial"/>
                <w:b/>
                <w:sz w:val="20"/>
                <w:szCs w:val="20"/>
              </w:rPr>
            </w:pPr>
          </w:p>
        </w:tc>
      </w:tr>
      <w:tr w:rsidR="00005EB5" w:rsidRPr="00A9330B" w14:paraId="6F5E0543" w14:textId="77777777" w:rsidTr="00EF4C26">
        <w:trPr>
          <w:trHeight w:val="376"/>
          <w:jc w:val="center"/>
        </w:trPr>
        <w:tc>
          <w:tcPr>
            <w:tcW w:w="5000" w:type="pct"/>
            <w:gridSpan w:val="4"/>
            <w:shd w:val="clear" w:color="auto" w:fill="F2F2F2"/>
            <w:vAlign w:val="center"/>
          </w:tcPr>
          <w:p w14:paraId="2429B6FE" w14:textId="2A952AC2" w:rsidR="00005EB5" w:rsidRPr="00A9330B" w:rsidRDefault="00005EB5" w:rsidP="00896715">
            <w:pPr>
              <w:suppressAutoHyphens/>
              <w:spacing w:before="60" w:line="240" w:lineRule="auto"/>
              <w:jc w:val="center"/>
              <w:rPr>
                <w:rFonts w:eastAsia="Times New Roman" w:cs="Arial"/>
                <w:sz w:val="20"/>
                <w:szCs w:val="20"/>
              </w:rPr>
            </w:pPr>
            <w:r w:rsidRPr="00A9330B">
              <w:rPr>
                <w:rFonts w:eastAsia="Times New Roman" w:cs="Arial"/>
                <w:sz w:val="20"/>
                <w:szCs w:val="20"/>
                <w:vertAlign w:val="superscript"/>
              </w:rPr>
              <w:t>3ième</w:t>
            </w:r>
            <w:r w:rsidRPr="00A9330B">
              <w:rPr>
                <w:rFonts w:eastAsia="Times New Roman" w:cs="Arial"/>
                <w:sz w:val="20"/>
                <w:szCs w:val="20"/>
              </w:rPr>
              <w:t xml:space="preserve">  Arrondissement</w:t>
            </w:r>
            <w:r w:rsidRPr="00A9330B">
              <w:rPr>
                <w:rFonts w:eastAsia="Times New Roman" w:cs="Arial"/>
                <w:sz w:val="20"/>
                <w:szCs w:val="20"/>
                <w:lang w:eastAsia="fr-FR"/>
              </w:rPr>
              <w:t xml:space="preserve"> (</w:t>
            </w:r>
            <w:r w:rsidRPr="00A9330B">
              <w:rPr>
                <w:rFonts w:eastAsia="Times New Roman" w:cs="Arial"/>
                <w:sz w:val="20"/>
                <w:szCs w:val="20"/>
              </w:rPr>
              <w:t xml:space="preserve">238 Ménages </w:t>
            </w:r>
            <w:r w:rsidR="00EF4C26" w:rsidRPr="00A9330B">
              <w:rPr>
                <w:rFonts w:eastAsia="Times New Roman" w:cs="Arial"/>
                <w:sz w:val="20"/>
                <w:szCs w:val="20"/>
              </w:rPr>
              <w:t xml:space="preserve">ou </w:t>
            </w:r>
            <w:r w:rsidRPr="00A9330B">
              <w:rPr>
                <w:rFonts w:eastAsia="Times New Roman" w:cs="Arial"/>
                <w:sz w:val="20"/>
                <w:szCs w:val="20"/>
              </w:rPr>
              <w:t>riverains)</w:t>
            </w:r>
          </w:p>
        </w:tc>
      </w:tr>
      <w:tr w:rsidR="00005EB5" w:rsidRPr="00A9330B" w14:paraId="16ECC01D" w14:textId="77777777" w:rsidTr="00EF4C26">
        <w:trPr>
          <w:trHeight w:val="20"/>
          <w:jc w:val="center"/>
        </w:trPr>
        <w:tc>
          <w:tcPr>
            <w:tcW w:w="1005" w:type="pct"/>
            <w:vAlign w:val="center"/>
          </w:tcPr>
          <w:p w14:paraId="72D59CCC" w14:textId="03213871" w:rsidR="00005EB5" w:rsidRPr="00A9330B" w:rsidRDefault="000671A1" w:rsidP="00896715">
            <w:pPr>
              <w:suppressAutoHyphens/>
              <w:spacing w:before="60" w:line="240" w:lineRule="auto"/>
              <w:jc w:val="both"/>
              <w:rPr>
                <w:rFonts w:eastAsia="Times New Roman" w:cs="Arial"/>
                <w:sz w:val="20"/>
                <w:szCs w:val="20"/>
              </w:rPr>
            </w:pPr>
            <w:r w:rsidRPr="00A9330B">
              <w:rPr>
                <w:rFonts w:eastAsia="Calibri" w:cs="Arial"/>
                <w:sz w:val="20"/>
                <w:szCs w:val="20"/>
                <w:lang w:eastAsia="fr-FR"/>
              </w:rPr>
              <w:lastRenderedPageBreak/>
              <w:t xml:space="preserve">Kantaborifa, </w:t>
            </w:r>
          </w:p>
        </w:tc>
        <w:tc>
          <w:tcPr>
            <w:tcW w:w="1295" w:type="pct"/>
            <w:vAlign w:val="center"/>
          </w:tcPr>
          <w:p w14:paraId="07ED2477" w14:textId="77777777" w:rsidR="00005EB5" w:rsidRPr="00A9330B" w:rsidRDefault="00005EB5" w:rsidP="00896715">
            <w:pPr>
              <w:suppressAutoHyphens/>
              <w:spacing w:before="60" w:line="240" w:lineRule="auto"/>
              <w:jc w:val="both"/>
              <w:rPr>
                <w:rFonts w:eastAsia="Times New Roman" w:cs="Arial"/>
                <w:sz w:val="20"/>
                <w:szCs w:val="20"/>
              </w:rPr>
            </w:pPr>
            <w:r w:rsidRPr="00A9330B">
              <w:rPr>
                <w:rFonts w:eastAsia="Times New Roman" w:cs="Arial"/>
                <w:sz w:val="20"/>
                <w:szCs w:val="20"/>
              </w:rPr>
              <w:t>50 m de part et d’autre des variantes de lignes</w:t>
            </w:r>
          </w:p>
        </w:tc>
        <w:tc>
          <w:tcPr>
            <w:tcW w:w="1406" w:type="pct"/>
            <w:vAlign w:val="center"/>
          </w:tcPr>
          <w:p w14:paraId="2F9CA181" w14:textId="37960D46" w:rsidR="00005EB5" w:rsidRPr="00A9330B" w:rsidRDefault="00005EB5" w:rsidP="00896715">
            <w:pPr>
              <w:suppressAutoHyphens/>
              <w:spacing w:before="60" w:line="240" w:lineRule="auto"/>
              <w:rPr>
                <w:rFonts w:eastAsia="Times New Roman" w:cs="Arial"/>
                <w:sz w:val="20"/>
                <w:szCs w:val="20"/>
              </w:rPr>
            </w:pPr>
            <w:r w:rsidRPr="00A9330B">
              <w:rPr>
                <w:rFonts w:eastAsia="Times New Roman" w:cs="Arial"/>
                <w:sz w:val="20"/>
                <w:szCs w:val="20"/>
              </w:rPr>
              <w:t xml:space="preserve">42 Ménages </w:t>
            </w:r>
            <w:r w:rsidR="00EF4C26" w:rsidRPr="00A9330B">
              <w:rPr>
                <w:rFonts w:eastAsia="Times New Roman" w:cs="Arial"/>
                <w:sz w:val="20"/>
                <w:szCs w:val="20"/>
              </w:rPr>
              <w:t xml:space="preserve">ou </w:t>
            </w:r>
            <w:r w:rsidRPr="00A9330B">
              <w:rPr>
                <w:rFonts w:eastAsia="Times New Roman" w:cs="Arial"/>
                <w:sz w:val="20"/>
                <w:szCs w:val="20"/>
              </w:rPr>
              <w:t>riverains</w:t>
            </w:r>
          </w:p>
        </w:tc>
        <w:tc>
          <w:tcPr>
            <w:tcW w:w="1294" w:type="pct"/>
            <w:vMerge w:val="restart"/>
            <w:vAlign w:val="center"/>
          </w:tcPr>
          <w:p w14:paraId="26EC9527" w14:textId="7BE0DF48" w:rsidR="00005EB5" w:rsidRPr="00A9330B" w:rsidRDefault="00005EB5" w:rsidP="00896715">
            <w:pPr>
              <w:suppressAutoHyphens/>
              <w:spacing w:before="60" w:line="240" w:lineRule="auto"/>
              <w:rPr>
                <w:rFonts w:eastAsia="Times New Roman" w:cs="Arial"/>
                <w:sz w:val="20"/>
                <w:szCs w:val="20"/>
              </w:rPr>
            </w:pPr>
            <w:r w:rsidRPr="00A9330B">
              <w:rPr>
                <w:rFonts w:eastAsia="Times New Roman" w:cs="Arial"/>
                <w:b/>
                <w:sz w:val="20"/>
                <w:szCs w:val="20"/>
              </w:rPr>
              <w:t>4 enquêteurs</w:t>
            </w:r>
            <w:r w:rsidRPr="00A9330B">
              <w:rPr>
                <w:rFonts w:eastAsia="Times New Roman" w:cs="Arial"/>
                <w:sz w:val="20"/>
                <w:szCs w:val="20"/>
              </w:rPr>
              <w:t xml:space="preserve"> pour 6 jours de terrain à raison de 12 fiches</w:t>
            </w:r>
            <w:r w:rsidR="00EF4C26" w:rsidRPr="00A9330B">
              <w:rPr>
                <w:rFonts w:eastAsia="Times New Roman" w:cs="Arial"/>
                <w:sz w:val="20"/>
                <w:szCs w:val="20"/>
              </w:rPr>
              <w:t xml:space="preserve"> ou </w:t>
            </w:r>
            <w:r w:rsidRPr="00A9330B">
              <w:rPr>
                <w:rFonts w:eastAsia="Times New Roman" w:cs="Arial"/>
                <w:sz w:val="20"/>
                <w:szCs w:val="20"/>
              </w:rPr>
              <w:t>jour (moy)</w:t>
            </w:r>
          </w:p>
          <w:p w14:paraId="5D22B0FD" w14:textId="77777777" w:rsidR="00005EB5" w:rsidRPr="00A9330B" w:rsidRDefault="00005EB5" w:rsidP="00896715">
            <w:pPr>
              <w:suppressAutoHyphens/>
              <w:spacing w:before="60" w:line="240" w:lineRule="auto"/>
              <w:rPr>
                <w:rFonts w:eastAsia="Times New Roman" w:cs="Arial"/>
                <w:sz w:val="20"/>
                <w:szCs w:val="20"/>
              </w:rPr>
            </w:pPr>
            <w:r w:rsidRPr="00A9330B">
              <w:rPr>
                <w:rFonts w:eastAsia="Times New Roman" w:cs="Arial"/>
                <w:sz w:val="20"/>
                <w:szCs w:val="20"/>
              </w:rPr>
              <w:t>1 superviseur</w:t>
            </w:r>
          </w:p>
        </w:tc>
      </w:tr>
      <w:tr w:rsidR="00005EB5" w:rsidRPr="00A9330B" w14:paraId="47EDA078" w14:textId="77777777" w:rsidTr="00EF4C26">
        <w:trPr>
          <w:trHeight w:val="20"/>
          <w:jc w:val="center"/>
        </w:trPr>
        <w:tc>
          <w:tcPr>
            <w:tcW w:w="1005" w:type="pct"/>
            <w:vAlign w:val="center"/>
          </w:tcPr>
          <w:p w14:paraId="0604AE96" w14:textId="77777777" w:rsidR="00005EB5" w:rsidRPr="00A9330B" w:rsidRDefault="00005EB5" w:rsidP="00896715">
            <w:pPr>
              <w:suppressAutoHyphens/>
              <w:spacing w:before="60" w:line="240" w:lineRule="auto"/>
              <w:jc w:val="both"/>
              <w:rPr>
                <w:rFonts w:eastAsia="Times New Roman" w:cs="Arial"/>
                <w:sz w:val="20"/>
                <w:szCs w:val="20"/>
              </w:rPr>
            </w:pPr>
            <w:r w:rsidRPr="00A9330B">
              <w:rPr>
                <w:rFonts w:eastAsia="Calibri" w:cs="Arial"/>
                <w:sz w:val="20"/>
                <w:szCs w:val="20"/>
                <w:lang w:eastAsia="fr-FR"/>
              </w:rPr>
              <w:t>Ourbouga,</w:t>
            </w:r>
          </w:p>
        </w:tc>
        <w:tc>
          <w:tcPr>
            <w:tcW w:w="1295" w:type="pct"/>
            <w:vAlign w:val="center"/>
          </w:tcPr>
          <w:p w14:paraId="7CAA6FCE" w14:textId="77777777" w:rsidR="00005EB5" w:rsidRPr="00A9330B" w:rsidRDefault="00005EB5" w:rsidP="00896715">
            <w:pPr>
              <w:suppressAutoHyphens/>
              <w:spacing w:before="60" w:line="240" w:lineRule="auto"/>
              <w:jc w:val="both"/>
              <w:rPr>
                <w:rFonts w:eastAsia="Times New Roman" w:cs="Arial"/>
                <w:sz w:val="20"/>
                <w:szCs w:val="20"/>
              </w:rPr>
            </w:pPr>
            <w:r w:rsidRPr="00A9330B">
              <w:rPr>
                <w:rFonts w:eastAsia="Times New Roman" w:cs="Arial"/>
                <w:sz w:val="20"/>
                <w:szCs w:val="20"/>
              </w:rPr>
              <w:t>50 m de part et d’autre des variantes de lignes</w:t>
            </w:r>
          </w:p>
        </w:tc>
        <w:tc>
          <w:tcPr>
            <w:tcW w:w="1406" w:type="pct"/>
            <w:vAlign w:val="center"/>
          </w:tcPr>
          <w:p w14:paraId="31901E55" w14:textId="07134DB1" w:rsidR="00005EB5" w:rsidRPr="00A9330B" w:rsidRDefault="00EF4C26" w:rsidP="00896715">
            <w:pPr>
              <w:suppressAutoHyphens/>
              <w:spacing w:before="60" w:line="240" w:lineRule="auto"/>
              <w:rPr>
                <w:rFonts w:eastAsia="Times New Roman" w:cs="Arial"/>
                <w:sz w:val="20"/>
                <w:szCs w:val="20"/>
              </w:rPr>
            </w:pPr>
            <w:r w:rsidRPr="00A9330B">
              <w:rPr>
                <w:rFonts w:eastAsia="Times New Roman" w:cs="Arial"/>
                <w:sz w:val="20"/>
                <w:szCs w:val="20"/>
              </w:rPr>
              <w:t xml:space="preserve">41 Ménages ou </w:t>
            </w:r>
            <w:r w:rsidR="00005EB5" w:rsidRPr="00A9330B">
              <w:rPr>
                <w:rFonts w:eastAsia="Times New Roman" w:cs="Arial"/>
                <w:sz w:val="20"/>
                <w:szCs w:val="20"/>
              </w:rPr>
              <w:t>riverains</w:t>
            </w:r>
          </w:p>
          <w:p w14:paraId="00E87D52" w14:textId="0D892A85" w:rsidR="00005EB5" w:rsidRPr="00A9330B" w:rsidRDefault="00005EB5" w:rsidP="00896715">
            <w:pPr>
              <w:suppressAutoHyphens/>
              <w:spacing w:before="60" w:line="240" w:lineRule="auto"/>
              <w:rPr>
                <w:rFonts w:eastAsia="Times New Roman" w:cs="Arial"/>
                <w:sz w:val="20"/>
                <w:szCs w:val="20"/>
              </w:rPr>
            </w:pPr>
            <w:r w:rsidRPr="00A9330B">
              <w:rPr>
                <w:rFonts w:eastAsia="Times New Roman" w:cs="Arial"/>
                <w:sz w:val="20"/>
                <w:szCs w:val="20"/>
              </w:rPr>
              <w:t xml:space="preserve">à raison de 100 ménages </w:t>
            </w:r>
            <w:r w:rsidR="00EF4C26" w:rsidRPr="00A9330B">
              <w:rPr>
                <w:rFonts w:eastAsia="Times New Roman" w:cs="Arial"/>
                <w:sz w:val="20"/>
                <w:szCs w:val="20"/>
              </w:rPr>
              <w:t xml:space="preserve"> ou </w:t>
            </w:r>
            <w:r w:rsidRPr="00A9330B">
              <w:rPr>
                <w:rFonts w:eastAsia="Times New Roman" w:cs="Arial"/>
                <w:sz w:val="20"/>
                <w:szCs w:val="20"/>
              </w:rPr>
              <w:t>riverains par partie</w:t>
            </w:r>
          </w:p>
        </w:tc>
        <w:tc>
          <w:tcPr>
            <w:tcW w:w="1294" w:type="pct"/>
            <w:vMerge/>
            <w:vAlign w:val="center"/>
          </w:tcPr>
          <w:p w14:paraId="721C6F7A" w14:textId="77777777" w:rsidR="00005EB5" w:rsidRPr="00A9330B" w:rsidRDefault="00005EB5" w:rsidP="00896715">
            <w:pPr>
              <w:suppressAutoHyphens/>
              <w:spacing w:before="60" w:line="240" w:lineRule="auto"/>
              <w:rPr>
                <w:rFonts w:eastAsia="Times New Roman" w:cs="Arial"/>
                <w:sz w:val="20"/>
                <w:szCs w:val="20"/>
              </w:rPr>
            </w:pPr>
          </w:p>
        </w:tc>
      </w:tr>
      <w:tr w:rsidR="00005EB5" w:rsidRPr="00A9330B" w14:paraId="24BA0168" w14:textId="77777777" w:rsidTr="00EF4C26">
        <w:trPr>
          <w:trHeight w:val="20"/>
          <w:jc w:val="center"/>
        </w:trPr>
        <w:tc>
          <w:tcPr>
            <w:tcW w:w="1005" w:type="pct"/>
            <w:vAlign w:val="center"/>
          </w:tcPr>
          <w:p w14:paraId="52146FD2" w14:textId="77777777" w:rsidR="00005EB5" w:rsidRPr="00A9330B" w:rsidRDefault="00005EB5" w:rsidP="00896715">
            <w:pPr>
              <w:suppressAutoHyphens/>
              <w:spacing w:before="60" w:line="240" w:lineRule="auto"/>
              <w:jc w:val="both"/>
              <w:rPr>
                <w:rFonts w:eastAsia="Times New Roman" w:cs="Arial"/>
                <w:sz w:val="20"/>
                <w:szCs w:val="20"/>
              </w:rPr>
            </w:pPr>
            <w:r w:rsidRPr="00A9330B">
              <w:rPr>
                <w:rFonts w:eastAsia="Calibri" w:cs="Arial"/>
                <w:sz w:val="20"/>
                <w:szCs w:val="20"/>
                <w:lang w:eastAsia="fr-FR"/>
              </w:rPr>
              <w:t>Winkè,</w:t>
            </w:r>
          </w:p>
        </w:tc>
        <w:tc>
          <w:tcPr>
            <w:tcW w:w="1295" w:type="pct"/>
            <w:vAlign w:val="center"/>
          </w:tcPr>
          <w:p w14:paraId="7512BFA7" w14:textId="77777777" w:rsidR="00005EB5" w:rsidRPr="00A9330B" w:rsidRDefault="00005EB5" w:rsidP="00896715">
            <w:pPr>
              <w:suppressAutoHyphens/>
              <w:spacing w:before="60" w:line="240" w:lineRule="auto"/>
              <w:jc w:val="both"/>
              <w:rPr>
                <w:rFonts w:eastAsia="Times New Roman" w:cs="Arial"/>
                <w:sz w:val="20"/>
                <w:szCs w:val="20"/>
              </w:rPr>
            </w:pPr>
            <w:r w:rsidRPr="00A9330B">
              <w:rPr>
                <w:rFonts w:eastAsia="Times New Roman" w:cs="Arial"/>
                <w:sz w:val="20"/>
                <w:szCs w:val="20"/>
              </w:rPr>
              <w:t>50 m de part et d’autre des variantes de lignes</w:t>
            </w:r>
          </w:p>
        </w:tc>
        <w:tc>
          <w:tcPr>
            <w:tcW w:w="1406" w:type="pct"/>
            <w:vAlign w:val="center"/>
          </w:tcPr>
          <w:p w14:paraId="6B4F5DE1" w14:textId="0E1FB41A" w:rsidR="00005EB5" w:rsidRPr="00A9330B" w:rsidRDefault="00EF4C26" w:rsidP="00896715">
            <w:pPr>
              <w:suppressAutoHyphens/>
              <w:spacing w:before="60" w:line="240" w:lineRule="auto"/>
              <w:rPr>
                <w:rFonts w:eastAsia="Times New Roman" w:cs="Arial"/>
                <w:sz w:val="20"/>
                <w:szCs w:val="20"/>
              </w:rPr>
            </w:pPr>
            <w:r w:rsidRPr="00A9330B">
              <w:rPr>
                <w:rFonts w:eastAsia="Times New Roman" w:cs="Arial"/>
                <w:sz w:val="20"/>
                <w:szCs w:val="20"/>
              </w:rPr>
              <w:t xml:space="preserve">109 Ménages ou </w:t>
            </w:r>
            <w:r w:rsidR="00005EB5" w:rsidRPr="00A9330B">
              <w:rPr>
                <w:rFonts w:eastAsia="Times New Roman" w:cs="Arial"/>
                <w:sz w:val="20"/>
                <w:szCs w:val="20"/>
              </w:rPr>
              <w:t>riverains</w:t>
            </w:r>
          </w:p>
        </w:tc>
        <w:tc>
          <w:tcPr>
            <w:tcW w:w="1294" w:type="pct"/>
            <w:vMerge/>
            <w:vAlign w:val="center"/>
          </w:tcPr>
          <w:p w14:paraId="5ED17673" w14:textId="77777777" w:rsidR="00005EB5" w:rsidRPr="00A9330B" w:rsidRDefault="00005EB5" w:rsidP="00896715">
            <w:pPr>
              <w:suppressAutoHyphens/>
              <w:spacing w:before="60" w:line="240" w:lineRule="auto"/>
              <w:rPr>
                <w:rFonts w:eastAsia="Times New Roman" w:cs="Arial"/>
                <w:sz w:val="20"/>
                <w:szCs w:val="20"/>
              </w:rPr>
            </w:pPr>
          </w:p>
        </w:tc>
      </w:tr>
      <w:tr w:rsidR="00005EB5" w:rsidRPr="00A9330B" w14:paraId="47EC4F18" w14:textId="77777777" w:rsidTr="00EF4C26">
        <w:trPr>
          <w:trHeight w:val="20"/>
          <w:jc w:val="center"/>
        </w:trPr>
        <w:tc>
          <w:tcPr>
            <w:tcW w:w="1005" w:type="pct"/>
            <w:vAlign w:val="center"/>
          </w:tcPr>
          <w:p w14:paraId="102E95D0" w14:textId="77777777" w:rsidR="00005EB5" w:rsidRPr="00A9330B" w:rsidRDefault="00005EB5" w:rsidP="00896715">
            <w:pPr>
              <w:suppressAutoHyphens/>
              <w:spacing w:before="60" w:line="240" w:lineRule="auto"/>
              <w:jc w:val="both"/>
              <w:rPr>
                <w:rFonts w:eastAsia="Calibri" w:cs="Arial"/>
                <w:sz w:val="20"/>
                <w:szCs w:val="20"/>
                <w:lang w:eastAsia="fr-FR"/>
              </w:rPr>
            </w:pPr>
            <w:r w:rsidRPr="00A9330B">
              <w:rPr>
                <w:rFonts w:eastAsia="Calibri" w:cs="Arial"/>
                <w:sz w:val="20"/>
                <w:szCs w:val="20"/>
                <w:lang w:eastAsia="fr-FR"/>
              </w:rPr>
              <w:t>Yimporima</w:t>
            </w:r>
          </w:p>
        </w:tc>
        <w:tc>
          <w:tcPr>
            <w:tcW w:w="1295" w:type="pct"/>
            <w:vAlign w:val="center"/>
          </w:tcPr>
          <w:p w14:paraId="663612FE" w14:textId="77777777" w:rsidR="00005EB5" w:rsidRPr="00A9330B" w:rsidRDefault="00005EB5" w:rsidP="00896715">
            <w:pPr>
              <w:suppressAutoHyphens/>
              <w:spacing w:before="60" w:line="240" w:lineRule="auto"/>
              <w:jc w:val="both"/>
              <w:rPr>
                <w:rFonts w:eastAsia="Times New Roman" w:cs="Arial"/>
                <w:sz w:val="20"/>
                <w:szCs w:val="20"/>
              </w:rPr>
            </w:pPr>
            <w:r w:rsidRPr="00A9330B">
              <w:rPr>
                <w:rFonts w:eastAsia="Times New Roman" w:cs="Arial"/>
                <w:sz w:val="20"/>
                <w:szCs w:val="20"/>
              </w:rPr>
              <w:t>50 m de part et d’autre des variantes de lignes</w:t>
            </w:r>
          </w:p>
        </w:tc>
        <w:tc>
          <w:tcPr>
            <w:tcW w:w="1406" w:type="pct"/>
            <w:vAlign w:val="center"/>
          </w:tcPr>
          <w:p w14:paraId="43839096" w14:textId="714D1040" w:rsidR="00005EB5" w:rsidRPr="00A9330B" w:rsidRDefault="00005EB5" w:rsidP="00896715">
            <w:pPr>
              <w:suppressAutoHyphens/>
              <w:spacing w:before="60" w:line="240" w:lineRule="auto"/>
              <w:rPr>
                <w:rFonts w:eastAsia="Times New Roman" w:cs="Arial"/>
                <w:sz w:val="20"/>
                <w:szCs w:val="20"/>
              </w:rPr>
            </w:pPr>
            <w:r w:rsidRPr="00A9330B">
              <w:rPr>
                <w:rFonts w:eastAsia="Times New Roman" w:cs="Arial"/>
                <w:sz w:val="20"/>
                <w:szCs w:val="20"/>
              </w:rPr>
              <w:t xml:space="preserve">46 Ménages </w:t>
            </w:r>
            <w:r w:rsidR="00EF4C26" w:rsidRPr="00A9330B">
              <w:rPr>
                <w:rFonts w:eastAsia="Times New Roman" w:cs="Arial"/>
                <w:sz w:val="20"/>
                <w:szCs w:val="20"/>
              </w:rPr>
              <w:t xml:space="preserve">ou </w:t>
            </w:r>
            <w:r w:rsidRPr="00A9330B">
              <w:rPr>
                <w:rFonts w:eastAsia="Times New Roman" w:cs="Arial"/>
                <w:sz w:val="20"/>
                <w:szCs w:val="20"/>
              </w:rPr>
              <w:t>riverains</w:t>
            </w:r>
          </w:p>
        </w:tc>
        <w:tc>
          <w:tcPr>
            <w:tcW w:w="1294" w:type="pct"/>
            <w:vMerge/>
            <w:vAlign w:val="center"/>
          </w:tcPr>
          <w:p w14:paraId="294E9D11" w14:textId="77777777" w:rsidR="00005EB5" w:rsidRPr="00A9330B" w:rsidRDefault="00005EB5" w:rsidP="00896715">
            <w:pPr>
              <w:suppressAutoHyphens/>
              <w:spacing w:before="60" w:line="240" w:lineRule="auto"/>
              <w:rPr>
                <w:rFonts w:eastAsia="Times New Roman" w:cs="Arial"/>
                <w:sz w:val="20"/>
                <w:szCs w:val="20"/>
              </w:rPr>
            </w:pPr>
          </w:p>
        </w:tc>
      </w:tr>
    </w:tbl>
    <w:p w14:paraId="433D7598" w14:textId="30B4E84D" w:rsidR="00AB04ED" w:rsidRPr="00A9330B" w:rsidRDefault="0030131E" w:rsidP="00896715">
      <w:pPr>
        <w:suppressAutoHyphens/>
        <w:spacing w:after="120" w:line="240" w:lineRule="auto"/>
        <w:ind w:firstLine="708"/>
        <w:rPr>
          <w:rFonts w:eastAsia="Times New Roman" w:cs="Times New Roman"/>
          <w:b/>
          <w:sz w:val="20"/>
          <w:szCs w:val="20"/>
        </w:rPr>
      </w:pPr>
      <w:r w:rsidRPr="00A9330B">
        <w:rPr>
          <w:rFonts w:eastAsia="Times New Roman" w:cs="Times New Roman"/>
          <w:b/>
          <w:sz w:val="20"/>
          <w:szCs w:val="20"/>
        </w:rPr>
        <w:t>Source : Travaux de terrain, juin 2020</w:t>
      </w:r>
    </w:p>
    <w:p w14:paraId="33DF29C6" w14:textId="7CA7B13C" w:rsidR="00AB04ED" w:rsidRPr="00A9330B" w:rsidRDefault="008F5195" w:rsidP="00A9330B">
      <w:pPr>
        <w:pStyle w:val="Lgende"/>
      </w:pPr>
      <w:bookmarkStart w:id="433" w:name="_Toc51844216"/>
      <w:r w:rsidRPr="00A9330B">
        <w:lastRenderedPageBreak/>
        <w:t xml:space="preserve">Figure </w:t>
      </w:r>
      <w:r w:rsidR="00C24C74" w:rsidRPr="00A9330B">
        <w:rPr>
          <w:noProof/>
        </w:rPr>
        <w:fldChar w:fldCharType="begin"/>
      </w:r>
      <w:r w:rsidR="00C24C74" w:rsidRPr="00A9330B">
        <w:rPr>
          <w:noProof/>
        </w:rPr>
        <w:instrText xml:space="preserve"> SEQ Figure \* ARABIC </w:instrText>
      </w:r>
      <w:r w:rsidR="00C24C74" w:rsidRPr="00A9330B">
        <w:rPr>
          <w:noProof/>
        </w:rPr>
        <w:fldChar w:fldCharType="separate"/>
      </w:r>
      <w:r w:rsidR="00BA18AC" w:rsidRPr="00A9330B">
        <w:rPr>
          <w:noProof/>
        </w:rPr>
        <w:t>3</w:t>
      </w:r>
      <w:r w:rsidR="00C24C74" w:rsidRPr="00A9330B">
        <w:rPr>
          <w:noProof/>
        </w:rPr>
        <w:fldChar w:fldCharType="end"/>
      </w:r>
      <w:r w:rsidRPr="00A9330B">
        <w:t xml:space="preserve"> : </w:t>
      </w:r>
      <w:r w:rsidR="007430DB" w:rsidRPr="00A9330B">
        <w:t>E</w:t>
      </w:r>
      <w:r w:rsidR="00EC4E7E" w:rsidRPr="00A9330B">
        <w:t>chantillonnage réalisés dans le cadre de l’</w:t>
      </w:r>
      <w:r w:rsidR="0030131E" w:rsidRPr="00A9330B">
        <w:t>enquête</w:t>
      </w:r>
      <w:r w:rsidR="00EC4E7E" w:rsidRPr="00A9330B">
        <w:t xml:space="preserve"> socio-économique  dans la ville de N</w:t>
      </w:r>
      <w:r w:rsidR="00876DD5" w:rsidRPr="00A9330B">
        <w:t>atitingou</w:t>
      </w:r>
      <w:bookmarkEnd w:id="433"/>
    </w:p>
    <w:p w14:paraId="707A5D4E" w14:textId="6EF2DC3F" w:rsidR="0030131E" w:rsidRPr="00A9330B" w:rsidRDefault="000220F0" w:rsidP="0030131E">
      <w:pPr>
        <w:rPr>
          <w:lang w:eastAsia="fr-FR"/>
        </w:rPr>
      </w:pPr>
      <w:r w:rsidRPr="00A9330B">
        <w:rPr>
          <w:rFonts w:eastAsia="Times New Roman" w:cs="Times New Roman"/>
          <w:noProof/>
          <w:sz w:val="20"/>
          <w:szCs w:val="20"/>
          <w:lang w:eastAsia="fr-FR"/>
        </w:rPr>
        <w:drawing>
          <wp:inline distT="0" distB="0" distL="0" distR="0" wp14:anchorId="75F8457C" wp14:editId="508E95C4">
            <wp:extent cx="5727125" cy="8100204"/>
            <wp:effectExtent l="0" t="0" r="6985" b="0"/>
            <wp:docPr id="51" name="Image 51" descr="F:\EIES_NATITINGOU_SPAC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EIES_NATITINGOU_SPACIA.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730364" cy="8104785"/>
                    </a:xfrm>
                    <a:prstGeom prst="rect">
                      <a:avLst/>
                    </a:prstGeom>
                    <a:noFill/>
                    <a:ln>
                      <a:noFill/>
                    </a:ln>
                  </pic:spPr>
                </pic:pic>
              </a:graphicData>
            </a:graphic>
          </wp:inline>
        </w:drawing>
      </w:r>
    </w:p>
    <w:p w14:paraId="462086D3" w14:textId="77777777" w:rsidR="000220F0" w:rsidRPr="00A9330B" w:rsidRDefault="000220F0" w:rsidP="0030131E">
      <w:pPr>
        <w:rPr>
          <w:lang w:eastAsia="fr-FR"/>
        </w:rPr>
      </w:pPr>
    </w:p>
    <w:p w14:paraId="58A95DD6" w14:textId="77777777" w:rsidR="00AB04ED" w:rsidRPr="00A9330B" w:rsidRDefault="00AB04ED" w:rsidP="007E42F5">
      <w:pPr>
        <w:pStyle w:val="Paragraphedeliste"/>
        <w:numPr>
          <w:ilvl w:val="0"/>
          <w:numId w:val="19"/>
        </w:numPr>
        <w:rPr>
          <w:b/>
          <w:i/>
          <w:lang w:val="fr-FR"/>
        </w:rPr>
      </w:pPr>
      <w:bookmarkStart w:id="434" w:name="_Toc524380638"/>
      <w:r w:rsidRPr="00A9330B">
        <w:rPr>
          <w:b/>
          <w:i/>
          <w:lang w:val="fr-FR"/>
        </w:rPr>
        <w:lastRenderedPageBreak/>
        <w:t>Organisation des enquêtes sur le terrain</w:t>
      </w:r>
      <w:bookmarkEnd w:id="434"/>
    </w:p>
    <w:p w14:paraId="7481C37D" w14:textId="77777777" w:rsidR="00AB04ED" w:rsidRPr="00A9330B" w:rsidRDefault="00AB04ED" w:rsidP="00AB04ED">
      <w:pPr>
        <w:jc w:val="both"/>
      </w:pPr>
      <w:r w:rsidRPr="00A9330B">
        <w:t xml:space="preserve">Les agents enquêteurs recrutés ont un niveau minimum Bac + 3 ans et justifient d’une expérience dans la réalisation des enquêtes socio-économiques. Une attention a été accordée à la langue parlée pour faciliter la communication et les échanges avec les parties prenantes et dans la mesure du possible l’équilibre genre, c’est-à-dire disposer d’autant d’enquêteurs et de superviseurs hommes et femmes. </w:t>
      </w:r>
      <w:bookmarkStart w:id="435" w:name="_Hlk518990784"/>
    </w:p>
    <w:bookmarkEnd w:id="435"/>
    <w:p w14:paraId="31359011" w14:textId="77777777" w:rsidR="00AB04ED" w:rsidRPr="00A9330B" w:rsidRDefault="00AB04ED" w:rsidP="00AB04ED">
      <w:pPr>
        <w:jc w:val="both"/>
      </w:pPr>
      <w:r w:rsidRPr="00A9330B">
        <w:t>Pour conduire efficacement l’enquête socio-économique, un dispositif à trois niveaux a été mis en place :</w:t>
      </w:r>
    </w:p>
    <w:p w14:paraId="6EE4A72D" w14:textId="77777777" w:rsidR="00AB04ED" w:rsidRPr="00A9330B" w:rsidRDefault="00AB04ED" w:rsidP="007E42F5">
      <w:pPr>
        <w:pStyle w:val="Paragraphedeliste"/>
        <w:numPr>
          <w:ilvl w:val="0"/>
          <w:numId w:val="20"/>
        </w:numPr>
        <w:jc w:val="both"/>
        <w:rPr>
          <w:lang w:val="fr-FR"/>
        </w:rPr>
      </w:pPr>
      <w:r w:rsidRPr="00A9330B">
        <w:rPr>
          <w:lang w:val="fr-FR"/>
        </w:rPr>
        <w:t>au niveau général, la direction technique de l’enquête a été assurée par les experts du Consultant (formation, dispatching des équipes, coordination de la mission) ;</w:t>
      </w:r>
    </w:p>
    <w:p w14:paraId="54EE62BB" w14:textId="77777777" w:rsidR="00AB04ED" w:rsidRPr="00A9330B" w:rsidRDefault="00AB04ED" w:rsidP="007E42F5">
      <w:pPr>
        <w:pStyle w:val="Paragraphedeliste"/>
        <w:numPr>
          <w:ilvl w:val="0"/>
          <w:numId w:val="20"/>
        </w:numPr>
        <w:jc w:val="both"/>
        <w:rPr>
          <w:lang w:val="fr-FR"/>
        </w:rPr>
      </w:pPr>
      <w:r w:rsidRPr="00A9330B">
        <w:rPr>
          <w:lang w:val="fr-FR"/>
        </w:rPr>
        <w:t>au niveau de l’enquête de terrain, le Consultant a été appuyé par des superviseurs qui ont assuré le contrôle sur le terrain et veiller à la collecte des données suivant les principes retenus ;</w:t>
      </w:r>
    </w:p>
    <w:p w14:paraId="584E83A9" w14:textId="77777777" w:rsidR="00AB04ED" w:rsidRPr="00A9330B" w:rsidRDefault="00AB04ED" w:rsidP="007E42F5">
      <w:pPr>
        <w:pStyle w:val="Paragraphedeliste"/>
        <w:numPr>
          <w:ilvl w:val="0"/>
          <w:numId w:val="20"/>
        </w:numPr>
        <w:jc w:val="both"/>
        <w:rPr>
          <w:lang w:val="fr-FR"/>
        </w:rPr>
      </w:pPr>
      <w:r w:rsidRPr="00A9330B">
        <w:rPr>
          <w:lang w:val="fr-FR"/>
        </w:rPr>
        <w:t>enfin, la collecte des données (administration des questionnaires) a été assurée par des agents enquêteurs sous le contrôle des superviseurs.</w:t>
      </w:r>
    </w:p>
    <w:p w14:paraId="3061F0E7" w14:textId="77777777" w:rsidR="00AB04ED" w:rsidRPr="00A9330B" w:rsidRDefault="00AB04ED" w:rsidP="00896715">
      <w:pPr>
        <w:pStyle w:val="Paragraphedeliste"/>
        <w:numPr>
          <w:ilvl w:val="0"/>
          <w:numId w:val="21"/>
        </w:numPr>
        <w:spacing w:before="240" w:after="120"/>
        <w:ind w:left="714" w:hanging="357"/>
        <w:contextualSpacing w:val="0"/>
        <w:jc w:val="both"/>
        <w:rPr>
          <w:b/>
          <w:i/>
          <w:lang w:val="fr-FR"/>
        </w:rPr>
      </w:pPr>
      <w:bookmarkStart w:id="436" w:name="_Toc524380639"/>
      <w:r w:rsidRPr="00A9330B">
        <w:rPr>
          <w:b/>
          <w:i/>
          <w:lang w:val="fr-FR"/>
        </w:rPr>
        <w:t>Formation des enquêteurs</w:t>
      </w:r>
      <w:bookmarkEnd w:id="436"/>
    </w:p>
    <w:p w14:paraId="3863A73C" w14:textId="77777777" w:rsidR="00AB04ED" w:rsidRPr="00A9330B" w:rsidRDefault="00AB04ED" w:rsidP="00AB04ED">
      <w:pPr>
        <w:jc w:val="both"/>
      </w:pPr>
      <w:r w:rsidRPr="00A9330B">
        <w:t>Les superviseurs et les agents de collecte ont été formés avant le déploiement sur le terrain.  Au cours de la formation les membres de l’équipe chargée de l’enquête ont été informés entre autres des objectifs de l’étude, des différents groupes cibles à enquêter ainsi que des outils à utiliser. Un accent a été mis sur les exigences de sauvegardes opérationnelles de la BAD avec notamment, la couverture correcte de la zone d’influence du projet, l’équilibre genre dans le choix des personnes enquêtées, l’équité dans le choix des enquêtés et la représentativité de toutes les couches sociales.</w:t>
      </w:r>
    </w:p>
    <w:p w14:paraId="1EBE98F6" w14:textId="77777777" w:rsidR="00AB04ED" w:rsidRPr="00A9330B" w:rsidRDefault="00AB04ED" w:rsidP="007E42F5">
      <w:pPr>
        <w:pStyle w:val="Paragraphedeliste"/>
        <w:numPr>
          <w:ilvl w:val="0"/>
          <w:numId w:val="22"/>
        </w:numPr>
        <w:spacing w:line="264" w:lineRule="auto"/>
        <w:ind w:left="714" w:hanging="357"/>
        <w:jc w:val="both"/>
        <w:rPr>
          <w:b/>
          <w:i/>
          <w:lang w:val="fr-FR"/>
        </w:rPr>
      </w:pPr>
      <w:bookmarkStart w:id="437" w:name="_Toc512810515"/>
      <w:bookmarkStart w:id="438" w:name="_Toc524380640"/>
      <w:r w:rsidRPr="00A9330B">
        <w:rPr>
          <w:b/>
          <w:i/>
          <w:lang w:val="fr-FR"/>
        </w:rPr>
        <w:t>Consultations et focus groupes</w:t>
      </w:r>
      <w:bookmarkEnd w:id="437"/>
      <w:bookmarkEnd w:id="438"/>
    </w:p>
    <w:p w14:paraId="10FEE0F9" w14:textId="12BFE98C" w:rsidR="00AB04ED" w:rsidRPr="00A9330B" w:rsidRDefault="00AB04ED" w:rsidP="00AB04ED">
      <w:pPr>
        <w:jc w:val="both"/>
      </w:pPr>
      <w:r w:rsidRPr="00A9330B">
        <w:rPr>
          <w:b/>
        </w:rPr>
        <w:t>Une communication sociale</w:t>
      </w:r>
      <w:r w:rsidRPr="00A9330B">
        <w:t xml:space="preserve"> </w:t>
      </w:r>
      <w:r w:rsidRPr="00A9330B">
        <w:rPr>
          <w:b/>
        </w:rPr>
        <w:t>(appelée aussi communication de proximité),</w:t>
      </w:r>
      <w:r w:rsidRPr="00A9330B">
        <w:t xml:space="preserve"> indispensable pour tout projet de cette envergure a été mise en œuvre pour contribuer à l’élaboration de l’EIES. </w:t>
      </w:r>
      <w:r w:rsidR="00896715" w:rsidRPr="00A9330B">
        <w:t>Pour ce</w:t>
      </w:r>
      <w:r w:rsidRPr="00A9330B">
        <w:t xml:space="preserve"> faire, des consultations et des réunions ont été organisées sur le terrain, auprès des parties prenantes à plusieurs niveaux : central, décentralisé, local et riverains afin de mesurer l’impact négatif des futurs travaux sur la vie des riverains (que ce soit en matière d’environnement, protection de la faune et de la flore, social, développement économique, genre, santé, inclusion sociale, respect des cultes et de la culture, sécurité et droits humains).</w:t>
      </w:r>
    </w:p>
    <w:p w14:paraId="1D096E80" w14:textId="77777777" w:rsidR="00AB04ED" w:rsidRPr="00A9330B" w:rsidRDefault="00AB04ED" w:rsidP="00AB04ED">
      <w:pPr>
        <w:jc w:val="both"/>
      </w:pPr>
      <w:r w:rsidRPr="00A9330B">
        <w:t xml:space="preserve">Elles visent à créer un climat de confiance et de parole libérée propice à collecter le maximum d’informations (griefs, attentes) et de conseils pour réduire au maximum les impacts négatifs du projet (environnement, social, genre, santé, sécurité, droits humains) sur les parties prenantes dans leur vie quotidienne et activités socio-économiques ; ceci en vue d’obtenir l’adhésion de tous dans une perspective de développement durable. </w:t>
      </w:r>
    </w:p>
    <w:p w14:paraId="0DE0E744" w14:textId="59A4133D" w:rsidR="00AB04ED" w:rsidRPr="00A9330B" w:rsidRDefault="00AB04ED" w:rsidP="00AB04ED">
      <w:pPr>
        <w:jc w:val="both"/>
        <w:rPr>
          <w:rFonts w:eastAsia="Arial" w:cs="Arial"/>
          <w:color w:val="auto"/>
          <w:lang w:eastAsia="fr-FR"/>
        </w:rPr>
      </w:pPr>
      <w:r w:rsidRPr="00A9330B">
        <w:rPr>
          <w:rFonts w:eastAsia="Arial" w:cs="Arial"/>
          <w:color w:val="auto"/>
          <w:lang w:eastAsia="fr-FR"/>
        </w:rPr>
        <w:t xml:space="preserve">Ce travail individuel a été renforcé par les consultations publiques au niveau des arrondissements en option </w:t>
      </w:r>
      <w:r w:rsidR="008B3124" w:rsidRPr="00A9330B">
        <w:rPr>
          <w:rFonts w:eastAsia="Arial" w:cs="Arial"/>
          <w:color w:val="auto"/>
          <w:lang w:eastAsia="fr-FR"/>
        </w:rPr>
        <w:t>« </w:t>
      </w:r>
      <w:r w:rsidR="000671A1" w:rsidRPr="00A9330B">
        <w:rPr>
          <w:rFonts w:eastAsia="Arial" w:cs="Arial"/>
          <w:color w:val="auto"/>
          <w:lang w:eastAsia="fr-FR"/>
        </w:rPr>
        <w:t>groupés</w:t>
      </w:r>
      <w:r w:rsidR="008B3124" w:rsidRPr="00A9330B">
        <w:rPr>
          <w:rFonts w:eastAsia="Arial" w:cs="Arial"/>
          <w:color w:val="auto"/>
          <w:lang w:eastAsia="fr-FR"/>
        </w:rPr>
        <w:t> »</w:t>
      </w:r>
      <w:r w:rsidR="000671A1" w:rsidRPr="00A9330B">
        <w:rPr>
          <w:rFonts w:eastAsia="Arial" w:cs="Arial"/>
          <w:color w:val="auto"/>
          <w:lang w:eastAsia="fr-FR"/>
        </w:rPr>
        <w:t xml:space="preserve"> (50 Personnes au plus)</w:t>
      </w:r>
      <w:r w:rsidRPr="00A9330B">
        <w:rPr>
          <w:rFonts w:eastAsia="Arial" w:cs="Arial"/>
          <w:color w:val="auto"/>
          <w:lang w:eastAsia="fr-FR"/>
        </w:rPr>
        <w:t xml:space="preserve"> selon le cas, en collaboration avec les autorités politico-administratives. Il faut mentionner que toutes les autorités locales : Secrétariat Général, Service Technique de la Mairie, les </w:t>
      </w:r>
      <w:r w:rsidR="008B3124" w:rsidRPr="00A9330B">
        <w:rPr>
          <w:rFonts w:eastAsia="Arial" w:cs="Arial"/>
          <w:color w:val="auto"/>
          <w:lang w:eastAsia="fr-FR"/>
        </w:rPr>
        <w:t>C</w:t>
      </w:r>
      <w:r w:rsidRPr="00A9330B">
        <w:rPr>
          <w:rFonts w:eastAsia="Arial" w:cs="Arial"/>
          <w:color w:val="auto"/>
          <w:lang w:eastAsia="fr-FR"/>
        </w:rPr>
        <w:t>hefs d’</w:t>
      </w:r>
      <w:r w:rsidR="008B3124" w:rsidRPr="00A9330B">
        <w:rPr>
          <w:rFonts w:eastAsia="Arial" w:cs="Arial"/>
          <w:color w:val="auto"/>
          <w:lang w:eastAsia="fr-FR"/>
        </w:rPr>
        <w:t>A</w:t>
      </w:r>
      <w:r w:rsidRPr="00A9330B">
        <w:rPr>
          <w:rFonts w:eastAsia="Arial" w:cs="Arial"/>
          <w:color w:val="auto"/>
          <w:lang w:eastAsia="fr-FR"/>
        </w:rPr>
        <w:t xml:space="preserve">rrondissements et </w:t>
      </w:r>
      <w:r w:rsidR="008B3124" w:rsidRPr="00A9330B">
        <w:rPr>
          <w:rFonts w:eastAsia="Arial" w:cs="Arial"/>
          <w:color w:val="auto"/>
          <w:lang w:eastAsia="fr-FR"/>
        </w:rPr>
        <w:t>C</w:t>
      </w:r>
      <w:r w:rsidRPr="00A9330B">
        <w:rPr>
          <w:rFonts w:eastAsia="Arial" w:cs="Arial"/>
          <w:color w:val="auto"/>
          <w:lang w:eastAsia="fr-FR"/>
        </w:rPr>
        <w:t xml:space="preserve">hefs de </w:t>
      </w:r>
      <w:r w:rsidR="008B3124" w:rsidRPr="00A9330B">
        <w:rPr>
          <w:rFonts w:eastAsia="Arial" w:cs="Arial"/>
          <w:color w:val="auto"/>
          <w:lang w:eastAsia="fr-FR"/>
        </w:rPr>
        <w:t>Q</w:t>
      </w:r>
      <w:r w:rsidRPr="00A9330B">
        <w:rPr>
          <w:rFonts w:eastAsia="Arial" w:cs="Arial"/>
          <w:color w:val="auto"/>
          <w:lang w:eastAsia="fr-FR"/>
        </w:rPr>
        <w:t>uartiers ont apporté leur contribution à la réalisation des enquêtes et consultations, du fait de l’intérêt qu’</w:t>
      </w:r>
      <w:r w:rsidR="008B3124" w:rsidRPr="00A9330B">
        <w:rPr>
          <w:rFonts w:eastAsia="Arial" w:cs="Arial"/>
          <w:color w:val="auto"/>
          <w:lang w:eastAsia="fr-FR"/>
        </w:rPr>
        <w:t>elles</w:t>
      </w:r>
      <w:r w:rsidRPr="00A9330B">
        <w:rPr>
          <w:rFonts w:eastAsia="Arial" w:cs="Arial"/>
          <w:color w:val="auto"/>
          <w:lang w:eastAsia="fr-FR"/>
        </w:rPr>
        <w:t xml:space="preserve"> a</w:t>
      </w:r>
      <w:r w:rsidR="000671A1" w:rsidRPr="00A9330B">
        <w:rPr>
          <w:rFonts w:eastAsia="Arial" w:cs="Arial"/>
          <w:color w:val="auto"/>
          <w:lang w:eastAsia="fr-FR"/>
        </w:rPr>
        <w:t xml:space="preserve">ccordent au projet </w:t>
      </w:r>
      <w:r w:rsidRPr="00A9330B">
        <w:rPr>
          <w:rFonts w:eastAsia="Arial" w:cs="Arial"/>
          <w:color w:val="auto"/>
          <w:lang w:eastAsia="fr-FR"/>
        </w:rPr>
        <w:t>qu’</w:t>
      </w:r>
      <w:r w:rsidR="008B3124" w:rsidRPr="00A9330B">
        <w:rPr>
          <w:rFonts w:eastAsia="Arial" w:cs="Arial"/>
          <w:color w:val="auto"/>
          <w:lang w:eastAsia="fr-FR"/>
        </w:rPr>
        <w:t xml:space="preserve">elles </w:t>
      </w:r>
      <w:r w:rsidRPr="00A9330B">
        <w:rPr>
          <w:rFonts w:eastAsia="Arial" w:cs="Arial"/>
          <w:color w:val="auto"/>
          <w:lang w:eastAsia="fr-FR"/>
        </w:rPr>
        <w:t>juge</w:t>
      </w:r>
      <w:r w:rsidR="008B3124" w:rsidRPr="00A9330B">
        <w:rPr>
          <w:rFonts w:eastAsia="Arial" w:cs="Arial"/>
          <w:color w:val="auto"/>
          <w:lang w:eastAsia="fr-FR"/>
        </w:rPr>
        <w:t>nt</w:t>
      </w:r>
      <w:r w:rsidRPr="00A9330B">
        <w:rPr>
          <w:rFonts w:eastAsia="Arial" w:cs="Arial"/>
          <w:color w:val="auto"/>
          <w:lang w:eastAsia="fr-FR"/>
        </w:rPr>
        <w:t xml:space="preserve"> durable.</w:t>
      </w:r>
    </w:p>
    <w:p w14:paraId="462F48C9" w14:textId="77777777" w:rsidR="00BA18AC" w:rsidRPr="00A9330B" w:rsidRDefault="00BA18AC">
      <w:pPr>
        <w:spacing w:before="0" w:after="160" w:line="259" w:lineRule="auto"/>
      </w:pPr>
      <w:r w:rsidRPr="00A9330B">
        <w:br w:type="page"/>
      </w:r>
    </w:p>
    <w:p w14:paraId="0814C91D" w14:textId="32BE3620" w:rsidR="00AB04ED" w:rsidRPr="00A9330B" w:rsidRDefault="00AB04ED" w:rsidP="00AB04ED">
      <w:r w:rsidRPr="00A9330B">
        <w:lastRenderedPageBreak/>
        <w:t>Les structures et personnes rencontrées sont :</w:t>
      </w:r>
    </w:p>
    <w:p w14:paraId="207413DC" w14:textId="77777777" w:rsidR="00AB04ED" w:rsidRPr="00A9330B" w:rsidRDefault="00AB04ED" w:rsidP="007E42F5">
      <w:pPr>
        <w:pStyle w:val="Paragraphedeliste"/>
        <w:numPr>
          <w:ilvl w:val="0"/>
          <w:numId w:val="25"/>
        </w:numPr>
        <w:jc w:val="both"/>
        <w:rPr>
          <w:lang w:val="fr-FR"/>
        </w:rPr>
      </w:pPr>
      <w:r w:rsidRPr="00A9330B">
        <w:rPr>
          <w:lang w:val="fr-FR"/>
        </w:rPr>
        <w:t>Aux niveaux centralisés et décentralisés :</w:t>
      </w:r>
    </w:p>
    <w:p w14:paraId="202AACD9" w14:textId="7FC3C727" w:rsidR="00AB04ED" w:rsidRPr="00A9330B" w:rsidRDefault="00AB04ED" w:rsidP="007E42F5">
      <w:pPr>
        <w:pStyle w:val="Paragraphedeliste"/>
        <w:numPr>
          <w:ilvl w:val="0"/>
          <w:numId w:val="20"/>
        </w:numPr>
        <w:jc w:val="both"/>
        <w:rPr>
          <w:lang w:val="fr-FR"/>
        </w:rPr>
      </w:pPr>
      <w:r w:rsidRPr="00A9330B">
        <w:rPr>
          <w:lang w:val="fr-FR"/>
        </w:rPr>
        <w:t>des Représentants des préfectures et des Directions Départementales (Environnement, Santé</w:t>
      </w:r>
      <w:r w:rsidR="009E64BB" w:rsidRPr="00A9330B">
        <w:rPr>
          <w:lang w:val="fr-FR"/>
        </w:rPr>
        <w:t>,</w:t>
      </w:r>
      <w:r w:rsidRPr="00A9330B">
        <w:rPr>
          <w:lang w:val="fr-FR"/>
        </w:rPr>
        <w:t xml:space="preserve"> Infrastructures) ;</w:t>
      </w:r>
    </w:p>
    <w:p w14:paraId="2035D714" w14:textId="77777777" w:rsidR="00AB04ED" w:rsidRPr="00A9330B" w:rsidRDefault="00AB04ED" w:rsidP="007E42F5">
      <w:pPr>
        <w:pStyle w:val="Paragraphedeliste"/>
        <w:numPr>
          <w:ilvl w:val="0"/>
          <w:numId w:val="20"/>
        </w:numPr>
        <w:jc w:val="both"/>
        <w:rPr>
          <w:lang w:val="fr-FR"/>
        </w:rPr>
      </w:pPr>
      <w:r w:rsidRPr="00A9330B">
        <w:rPr>
          <w:lang w:val="fr-FR"/>
        </w:rPr>
        <w:t>des Représentants de groupes à intérêt socio-économique ;</w:t>
      </w:r>
    </w:p>
    <w:p w14:paraId="4C88D05D" w14:textId="77777777" w:rsidR="00AB04ED" w:rsidRPr="00A9330B" w:rsidRDefault="00AB04ED" w:rsidP="007E42F5">
      <w:pPr>
        <w:pStyle w:val="Paragraphedeliste"/>
        <w:numPr>
          <w:ilvl w:val="0"/>
          <w:numId w:val="20"/>
        </w:numPr>
        <w:jc w:val="both"/>
        <w:rPr>
          <w:lang w:val="fr-FR"/>
        </w:rPr>
      </w:pPr>
      <w:r w:rsidRPr="00A9330B">
        <w:rPr>
          <w:lang w:val="fr-FR"/>
        </w:rPr>
        <w:t>des Représentants de groupes influents ;</w:t>
      </w:r>
    </w:p>
    <w:p w14:paraId="37AE5F2B" w14:textId="77777777" w:rsidR="00AB04ED" w:rsidRPr="00A9330B" w:rsidRDefault="00AB04ED" w:rsidP="007E42F5">
      <w:pPr>
        <w:pStyle w:val="Paragraphedeliste"/>
        <w:numPr>
          <w:ilvl w:val="0"/>
          <w:numId w:val="20"/>
        </w:numPr>
        <w:jc w:val="both"/>
        <w:rPr>
          <w:lang w:val="fr-FR"/>
        </w:rPr>
      </w:pPr>
      <w:r w:rsidRPr="00A9330B">
        <w:rPr>
          <w:lang w:val="fr-FR"/>
        </w:rPr>
        <w:t>des Représentants d’ONG et de la société civile (genre, inclusion sociale, etc.).</w:t>
      </w:r>
    </w:p>
    <w:p w14:paraId="3785D73A" w14:textId="28AD4892" w:rsidR="00AB04ED" w:rsidRPr="00A9330B" w:rsidRDefault="00AB04ED" w:rsidP="007E42F5">
      <w:pPr>
        <w:pStyle w:val="Paragraphedeliste"/>
        <w:numPr>
          <w:ilvl w:val="0"/>
          <w:numId w:val="26"/>
        </w:numPr>
        <w:ind w:left="357" w:hanging="357"/>
        <w:contextualSpacing w:val="0"/>
        <w:jc w:val="both"/>
        <w:rPr>
          <w:lang w:val="fr-FR"/>
        </w:rPr>
      </w:pPr>
      <w:r w:rsidRPr="00A9330B">
        <w:rPr>
          <w:lang w:val="fr-FR"/>
        </w:rPr>
        <w:t>Au niveau loc</w:t>
      </w:r>
      <w:r w:rsidR="000671A1" w:rsidRPr="00A9330B">
        <w:rPr>
          <w:lang w:val="fr-FR"/>
        </w:rPr>
        <w:t xml:space="preserve">al (maire </w:t>
      </w:r>
      <w:r w:rsidRPr="00A9330B">
        <w:rPr>
          <w:lang w:val="fr-FR"/>
        </w:rPr>
        <w:t>et chefs d’arrondissement)</w:t>
      </w:r>
    </w:p>
    <w:p w14:paraId="249EA769" w14:textId="77777777" w:rsidR="00AB04ED" w:rsidRPr="00A9330B" w:rsidRDefault="00AB04ED" w:rsidP="007E42F5">
      <w:pPr>
        <w:pStyle w:val="Paragraphedeliste"/>
        <w:numPr>
          <w:ilvl w:val="0"/>
          <w:numId w:val="20"/>
        </w:numPr>
        <w:jc w:val="both"/>
        <w:rPr>
          <w:lang w:val="fr-FR"/>
        </w:rPr>
      </w:pPr>
      <w:r w:rsidRPr="00A9330B">
        <w:rPr>
          <w:lang w:val="fr-FR"/>
        </w:rPr>
        <w:t xml:space="preserve">les CA des arrondissements concernés, les chefs quartiers et conseil des sages, </w:t>
      </w:r>
    </w:p>
    <w:p w14:paraId="75892ABA" w14:textId="77777777" w:rsidR="00AB04ED" w:rsidRPr="00A9330B" w:rsidRDefault="00AB04ED" w:rsidP="007E42F5">
      <w:pPr>
        <w:pStyle w:val="Paragraphedeliste"/>
        <w:numPr>
          <w:ilvl w:val="0"/>
          <w:numId w:val="20"/>
        </w:numPr>
        <w:jc w:val="both"/>
        <w:rPr>
          <w:lang w:val="fr-FR"/>
        </w:rPr>
      </w:pPr>
      <w:r w:rsidRPr="00A9330B">
        <w:rPr>
          <w:lang w:val="fr-FR"/>
        </w:rPr>
        <w:t>des représentants de groupes influents : les chefs traditionnels et chefferie</w:t>
      </w:r>
    </w:p>
    <w:p w14:paraId="2A391BA1" w14:textId="77777777" w:rsidR="00AB04ED" w:rsidRPr="00A9330B" w:rsidRDefault="00AB04ED" w:rsidP="007E42F5">
      <w:pPr>
        <w:pStyle w:val="Paragraphedeliste"/>
        <w:numPr>
          <w:ilvl w:val="0"/>
          <w:numId w:val="20"/>
        </w:numPr>
        <w:jc w:val="both"/>
        <w:rPr>
          <w:lang w:val="fr-FR"/>
        </w:rPr>
      </w:pPr>
      <w:r w:rsidRPr="00A9330B">
        <w:rPr>
          <w:lang w:val="fr-FR"/>
        </w:rPr>
        <w:t>des représentants d’ONG, de la société civile et des groupes avec intérêt économique</w:t>
      </w:r>
    </w:p>
    <w:p w14:paraId="6BE5C547" w14:textId="77777777" w:rsidR="00AB04ED" w:rsidRPr="00A9330B" w:rsidRDefault="00AB04ED" w:rsidP="007E42F5">
      <w:pPr>
        <w:pStyle w:val="Paragraphedeliste"/>
        <w:numPr>
          <w:ilvl w:val="0"/>
          <w:numId w:val="27"/>
        </w:numPr>
        <w:jc w:val="both"/>
        <w:rPr>
          <w:lang w:val="fr-FR"/>
        </w:rPr>
      </w:pPr>
      <w:r w:rsidRPr="00A9330B">
        <w:rPr>
          <w:lang w:val="fr-FR"/>
        </w:rPr>
        <w:t>Au niveau des riverains</w:t>
      </w:r>
    </w:p>
    <w:p w14:paraId="68CE342B" w14:textId="20A78703" w:rsidR="00AB04ED" w:rsidRPr="00A9330B" w:rsidRDefault="00AB04ED" w:rsidP="007E42F5">
      <w:pPr>
        <w:pStyle w:val="Paragraphedeliste"/>
        <w:numPr>
          <w:ilvl w:val="0"/>
          <w:numId w:val="20"/>
        </w:numPr>
        <w:jc w:val="both"/>
        <w:rPr>
          <w:lang w:val="fr-FR"/>
        </w:rPr>
      </w:pPr>
      <w:r w:rsidRPr="00A9330B">
        <w:rPr>
          <w:lang w:val="fr-FR"/>
        </w:rPr>
        <w:t xml:space="preserve">vendeurs/vendeuses sur table, </w:t>
      </w:r>
    </w:p>
    <w:p w14:paraId="49B44DBB" w14:textId="77777777" w:rsidR="00AB04ED" w:rsidRPr="00A9330B" w:rsidRDefault="00AB04ED" w:rsidP="007E42F5">
      <w:pPr>
        <w:pStyle w:val="Paragraphedeliste"/>
        <w:numPr>
          <w:ilvl w:val="0"/>
          <w:numId w:val="20"/>
        </w:numPr>
        <w:jc w:val="both"/>
        <w:rPr>
          <w:lang w:val="fr-FR"/>
        </w:rPr>
      </w:pPr>
      <w:r w:rsidRPr="00A9330B">
        <w:rPr>
          <w:lang w:val="fr-FR"/>
        </w:rPr>
        <w:t xml:space="preserve">commerçants, artisans, maraîchers, éleveurs, agriculteurs, </w:t>
      </w:r>
    </w:p>
    <w:p w14:paraId="2516DF4B" w14:textId="77777777" w:rsidR="00AB04ED" w:rsidRPr="00A9330B" w:rsidRDefault="00AB04ED" w:rsidP="007E42F5">
      <w:pPr>
        <w:pStyle w:val="Paragraphedeliste"/>
        <w:numPr>
          <w:ilvl w:val="0"/>
          <w:numId w:val="20"/>
        </w:numPr>
        <w:jc w:val="both"/>
        <w:rPr>
          <w:lang w:val="fr-FR"/>
        </w:rPr>
      </w:pPr>
      <w:r w:rsidRPr="00A9330B">
        <w:rPr>
          <w:lang w:val="fr-FR"/>
        </w:rPr>
        <w:t>PMI, PME (hommes et femmes)</w:t>
      </w:r>
    </w:p>
    <w:p w14:paraId="79810A59" w14:textId="77777777" w:rsidR="00AB04ED" w:rsidRPr="00A9330B" w:rsidRDefault="00AB04ED" w:rsidP="007E42F5">
      <w:pPr>
        <w:pStyle w:val="Paragraphedeliste"/>
        <w:numPr>
          <w:ilvl w:val="0"/>
          <w:numId w:val="20"/>
        </w:numPr>
        <w:jc w:val="both"/>
        <w:rPr>
          <w:lang w:val="fr-FR"/>
        </w:rPr>
      </w:pPr>
      <w:r w:rsidRPr="00A9330B">
        <w:rPr>
          <w:lang w:val="fr-FR"/>
        </w:rPr>
        <w:t>écoles, églises, mosquées</w:t>
      </w:r>
    </w:p>
    <w:p w14:paraId="6676EAD2" w14:textId="14BC14B0" w:rsidR="00AB04ED" w:rsidRPr="00A9330B" w:rsidRDefault="00AB04ED" w:rsidP="007E42F5">
      <w:pPr>
        <w:pStyle w:val="Paragraphedeliste"/>
        <w:numPr>
          <w:ilvl w:val="0"/>
          <w:numId w:val="20"/>
        </w:numPr>
        <w:jc w:val="both"/>
        <w:rPr>
          <w:lang w:val="fr-FR"/>
        </w:rPr>
      </w:pPr>
      <w:r w:rsidRPr="00A9330B">
        <w:rPr>
          <w:lang w:val="fr-FR"/>
        </w:rPr>
        <w:t xml:space="preserve">centre de santé, cliniques, </w:t>
      </w:r>
      <w:r w:rsidR="009E64BB" w:rsidRPr="00A9330B">
        <w:rPr>
          <w:lang w:val="fr-FR"/>
        </w:rPr>
        <w:t>etc.</w:t>
      </w:r>
      <w:r w:rsidRPr="00A9330B">
        <w:rPr>
          <w:lang w:val="fr-FR"/>
        </w:rPr>
        <w:t xml:space="preserve"> ;</w:t>
      </w:r>
    </w:p>
    <w:p w14:paraId="7B1B691B" w14:textId="77777777" w:rsidR="00AB04ED" w:rsidRPr="00A9330B" w:rsidRDefault="00AB04ED" w:rsidP="007E42F5">
      <w:pPr>
        <w:pStyle w:val="Paragraphedeliste"/>
        <w:numPr>
          <w:ilvl w:val="0"/>
          <w:numId w:val="20"/>
        </w:numPr>
        <w:jc w:val="both"/>
        <w:rPr>
          <w:lang w:val="fr-FR"/>
        </w:rPr>
      </w:pPr>
      <w:r w:rsidRPr="00A9330B">
        <w:rPr>
          <w:lang w:val="fr-FR"/>
        </w:rPr>
        <w:t>marchés.</w:t>
      </w:r>
    </w:p>
    <w:p w14:paraId="659C2372" w14:textId="54A442C3" w:rsidR="00AB04ED" w:rsidRPr="00A9330B" w:rsidRDefault="00AB04ED" w:rsidP="00AB04ED">
      <w:pPr>
        <w:jc w:val="both"/>
        <w:rPr>
          <w:rFonts w:ascii="Times New Roman" w:eastAsiaTheme="minorEastAsia" w:hAnsi="Times New Roman" w:cs="Times New Roman"/>
          <w:color w:val="auto"/>
          <w:sz w:val="20"/>
          <w:szCs w:val="20"/>
          <w:lang w:eastAsia="fr-FR"/>
        </w:rPr>
      </w:pPr>
      <w:r w:rsidRPr="00A9330B">
        <w:rPr>
          <w:rFonts w:eastAsia="Arial" w:cs="Arial"/>
          <w:color w:val="auto"/>
          <w:lang w:eastAsia="fr-FR"/>
        </w:rPr>
        <w:t xml:space="preserve">La liste des personnes interrogées et celles des </w:t>
      </w:r>
      <w:r w:rsidR="000220F0" w:rsidRPr="00A9330B">
        <w:rPr>
          <w:rFonts w:eastAsia="Arial" w:cs="Arial"/>
          <w:color w:val="auto"/>
          <w:lang w:eastAsia="fr-FR"/>
        </w:rPr>
        <w:t>participants aux</w:t>
      </w:r>
      <w:r w:rsidR="00AD3566" w:rsidRPr="00A9330B">
        <w:rPr>
          <w:rFonts w:eastAsia="Arial" w:cs="Arial"/>
          <w:color w:val="auto"/>
          <w:lang w:eastAsia="fr-FR"/>
        </w:rPr>
        <w:t xml:space="preserve"> consultations</w:t>
      </w:r>
      <w:r w:rsidR="000220F0" w:rsidRPr="00A9330B">
        <w:rPr>
          <w:rFonts w:eastAsia="Arial" w:cs="Arial"/>
          <w:color w:val="auto"/>
          <w:lang w:eastAsia="fr-FR"/>
        </w:rPr>
        <w:t xml:space="preserve"> </w:t>
      </w:r>
      <w:r w:rsidRPr="00A9330B">
        <w:rPr>
          <w:rFonts w:eastAsia="Arial" w:cs="Arial"/>
          <w:color w:val="auto"/>
          <w:lang w:eastAsia="fr-FR"/>
        </w:rPr>
        <w:t>publiques sont annexées au présent rapport</w:t>
      </w:r>
      <w:r w:rsidR="00AD3566" w:rsidRPr="00A9330B">
        <w:rPr>
          <w:rFonts w:eastAsia="Arial" w:cs="Arial"/>
          <w:color w:val="auto"/>
          <w:lang w:eastAsia="fr-FR"/>
        </w:rPr>
        <w:t xml:space="preserve"> (annexe 7)</w:t>
      </w:r>
    </w:p>
    <w:p w14:paraId="3208C952" w14:textId="77777777" w:rsidR="00AB04ED" w:rsidRPr="00A9330B" w:rsidRDefault="00AB04ED" w:rsidP="0064324E">
      <w:pPr>
        <w:pStyle w:val="Titre40"/>
      </w:pPr>
      <w:bookmarkStart w:id="439" w:name="_Toc45520757"/>
      <w:bookmarkStart w:id="440" w:name="_Toc52869565"/>
      <w:r w:rsidRPr="00A9330B">
        <w:t>1.3.3.4. Données cartographiques</w:t>
      </w:r>
      <w:bookmarkEnd w:id="439"/>
      <w:bookmarkEnd w:id="440"/>
    </w:p>
    <w:p w14:paraId="162020C3" w14:textId="53B5B3DB" w:rsidR="0077549F" w:rsidRPr="00A9330B" w:rsidRDefault="0077549F" w:rsidP="0077549F">
      <w:pPr>
        <w:jc w:val="both"/>
      </w:pPr>
      <w:r w:rsidRPr="00A9330B">
        <w:t>Les cartes ont été réalisées à partir</w:t>
      </w:r>
      <w:r w:rsidR="00057D37" w:rsidRPr="00A9330B">
        <w:t xml:space="preserve"> des </w:t>
      </w:r>
      <w:r w:rsidRPr="00A9330B">
        <w:t xml:space="preserve">données de la base cartographique de l’IGN, des observations directes et des levées de terrain à l’aide du GPS et des enquêtes sur le terrain, pour améliorer l’appréciation de l’état des lieux de la zone d’accueil du projet. Plusieurs supports cartographiques sont réalisés et rendent compte de l’emplacement du site du projet dans la commune et de l’état de l’occupation du sol, </w:t>
      </w:r>
      <w:r w:rsidR="008B3124" w:rsidRPr="00A9330B">
        <w:t xml:space="preserve">ainsi que </w:t>
      </w:r>
      <w:r w:rsidRPr="00A9330B">
        <w:t>de l’état actuel des installations humaines dans les environs immédiats du site. Les résultats issus de ces traitements ont été soumis à diverses analyses et interprétations pour un meilleur diagnostic environnemental et social des travaux du projet objet du présent rapport.</w:t>
      </w:r>
    </w:p>
    <w:p w14:paraId="6995A7BD" w14:textId="77777777" w:rsidR="0077549F" w:rsidRPr="00A9330B" w:rsidRDefault="0077549F" w:rsidP="0077549F">
      <w:pPr>
        <w:jc w:val="both"/>
        <w:rPr>
          <w:rFonts w:eastAsia="Arial"/>
          <w:color w:val="auto"/>
          <w:lang w:eastAsia="fr-FR"/>
        </w:rPr>
      </w:pPr>
      <w:r w:rsidRPr="00A9330B">
        <w:rPr>
          <w:rFonts w:eastAsia="Arial"/>
          <w:color w:val="auto"/>
          <w:lang w:eastAsia="fr-FR"/>
        </w:rPr>
        <w:t xml:space="preserve">Ainsi, il a été procédé à la Cartographie des bassins versants et des unités d’occupation qui s’y trouvent et </w:t>
      </w:r>
      <w:r w:rsidRPr="00A9330B">
        <w:rPr>
          <w:rFonts w:eastAsia="Arial" w:cs="Arial"/>
          <w:color w:val="auto"/>
          <w:sz w:val="21"/>
          <w:szCs w:val="21"/>
          <w:lang w:eastAsia="fr-FR"/>
        </w:rPr>
        <w:t>au géo-référencement de tous les collecteurs en étude avec les éléments structurants de l’espace pour l’assainissement de la ville de Parakou.</w:t>
      </w:r>
    </w:p>
    <w:p w14:paraId="2D50E1C4" w14:textId="77777777" w:rsidR="0077549F" w:rsidRPr="00A9330B" w:rsidRDefault="0077549F" w:rsidP="0077549F">
      <w:pPr>
        <w:jc w:val="both"/>
      </w:pPr>
      <w:r w:rsidRPr="00A9330B">
        <w:t>Ces travaux ont été nécessaires à la bonne description de l’état initial du milieu récepteur du projet et à l’analyse judicieuse des interactions activités du projet / composantes du milieu récepteur puis à la proposition des mesures conséquentes.</w:t>
      </w:r>
    </w:p>
    <w:p w14:paraId="12F1E975" w14:textId="4FC39654" w:rsidR="0077549F" w:rsidRPr="00A9330B" w:rsidRDefault="0077549F" w:rsidP="0077549F">
      <w:pPr>
        <w:jc w:val="both"/>
      </w:pPr>
      <w:r w:rsidRPr="00A9330B">
        <w:rPr>
          <w:bCs/>
        </w:rPr>
        <w:t>La réalisation des dessins parcellaire est fa</w:t>
      </w:r>
      <w:r w:rsidRPr="00A9330B">
        <w:t>i</w:t>
      </w:r>
      <w:r w:rsidRPr="00A9330B">
        <w:rPr>
          <w:bCs/>
        </w:rPr>
        <w:t>te à partie du SIG qui</w:t>
      </w:r>
      <w:r w:rsidR="008B3124" w:rsidRPr="00A9330B">
        <w:rPr>
          <w:bCs/>
        </w:rPr>
        <w:t xml:space="preserve"> permet </w:t>
      </w:r>
      <w:r w:rsidRPr="00A9330B">
        <w:t xml:space="preserve">avant tout d'avoir une base des données que l'on va pouvoir manipuler. Ces données sont </w:t>
      </w:r>
      <w:r w:rsidR="008B3124" w:rsidRPr="00A9330B">
        <w:t xml:space="preserve">dans un </w:t>
      </w:r>
      <w:r w:rsidRPr="00A9330B">
        <w:t xml:space="preserve">premier temps introduites dans les logiciels SIG (ArcGis et ou QGIS). </w:t>
      </w:r>
      <w:r w:rsidRPr="00A9330B">
        <w:rPr>
          <w:color w:val="2A2A2A"/>
        </w:rPr>
        <w:t>I</w:t>
      </w:r>
      <w:r w:rsidRPr="00A9330B">
        <w:rPr>
          <w:b/>
          <w:bCs/>
        </w:rPr>
        <w:t xml:space="preserve">l </w:t>
      </w:r>
      <w:r w:rsidRPr="00A9330B">
        <w:t>nous permet de sélectionner n'importe quel objet (il s’agit ici des catégories des biens ou types de biens collectés sur chaque sites) et de visualiser la fiche de renseignements qui lui est associée. Les dessins parcellaires sont réalisés à parti</w:t>
      </w:r>
      <w:r w:rsidR="008B3124" w:rsidRPr="00A9330B">
        <w:t>r</w:t>
      </w:r>
      <w:r w:rsidRPr="00A9330B">
        <w:t xml:space="preserve"> des données collectes auprès des personnes affectées par le projet. La figure ci-après illustre une capture d’écran de données envoyées dans le serveur par l’application Kobocollecte. </w:t>
      </w:r>
    </w:p>
    <w:p w14:paraId="6595EB65" w14:textId="627BBF06" w:rsidR="0077549F" w:rsidRPr="00A9330B" w:rsidRDefault="0077549F" w:rsidP="0077549F">
      <w:pPr>
        <w:jc w:val="both"/>
      </w:pPr>
      <w:r w:rsidRPr="00A9330B">
        <w:lastRenderedPageBreak/>
        <w:t>La réalisation du dessin parcellaire implique une bonne collète des données. En clair un dessin parcellaire est un moyen de communication qui permet d’échanger des idées, des données, des techniques, etc. pour la réalisation des cartes. Dans le cadre de cette étude</w:t>
      </w:r>
      <w:r w:rsidR="008B3124" w:rsidRPr="00A9330B">
        <w:t xml:space="preserve"> il s’est agit d’</w:t>
      </w:r>
      <w:r w:rsidRPr="00A9330B">
        <w:t>une projection des types de biens sur les sites choisis par l’étude.</w:t>
      </w:r>
    </w:p>
    <w:p w14:paraId="62622BF1" w14:textId="6CFB80F3" w:rsidR="00BA18AC" w:rsidRPr="00A9330B" w:rsidRDefault="00BA18AC" w:rsidP="00A9330B">
      <w:pPr>
        <w:pStyle w:val="Lgende"/>
      </w:pPr>
      <w:bookmarkStart w:id="441" w:name="_Toc51844217"/>
      <w:r w:rsidRPr="00A9330B">
        <w:t xml:space="preserve">Figure </w:t>
      </w:r>
      <w:r w:rsidRPr="00A9330B">
        <w:rPr>
          <w:noProof/>
        </w:rPr>
        <w:fldChar w:fldCharType="begin"/>
      </w:r>
      <w:r w:rsidRPr="00A9330B">
        <w:rPr>
          <w:noProof/>
        </w:rPr>
        <w:instrText xml:space="preserve"> SEQ Figure \* ARABIC </w:instrText>
      </w:r>
      <w:r w:rsidRPr="00A9330B">
        <w:rPr>
          <w:noProof/>
        </w:rPr>
        <w:fldChar w:fldCharType="separate"/>
      </w:r>
      <w:r w:rsidRPr="00A9330B">
        <w:rPr>
          <w:noProof/>
        </w:rPr>
        <w:t>4</w:t>
      </w:r>
      <w:r w:rsidRPr="00A9330B">
        <w:rPr>
          <w:noProof/>
        </w:rPr>
        <w:fldChar w:fldCharType="end"/>
      </w:r>
      <w:r w:rsidRPr="00A9330B">
        <w:t xml:space="preserve"> : Répartition des personnes enquêtées dans la ville de Natitingou</w:t>
      </w:r>
      <w:bookmarkEnd w:id="441"/>
    </w:p>
    <w:p w14:paraId="43745CE1" w14:textId="77777777" w:rsidR="00067477" w:rsidRPr="00A9330B" w:rsidRDefault="0077549F" w:rsidP="00067477">
      <w:pPr>
        <w:spacing w:before="100" w:beforeAutospacing="1" w:after="240" w:line="240" w:lineRule="auto"/>
        <w:jc w:val="both"/>
        <w:rPr>
          <w:rFonts w:eastAsia="Times New Roman" w:cs="Times New Roman"/>
          <w:color w:val="auto"/>
          <w:sz w:val="24"/>
          <w:szCs w:val="24"/>
        </w:rPr>
      </w:pPr>
      <w:r w:rsidRPr="00A9330B">
        <w:rPr>
          <w:rFonts w:eastAsia="Times New Roman" w:cs="Times New Roman"/>
          <w:noProof/>
          <w:color w:val="auto"/>
          <w:sz w:val="24"/>
          <w:szCs w:val="24"/>
          <w:lang w:eastAsia="fr-FR"/>
        </w:rPr>
        <w:drawing>
          <wp:inline distT="0" distB="0" distL="0" distR="0" wp14:anchorId="08C5D1EA" wp14:editId="2812A6EC">
            <wp:extent cx="5760720" cy="4320540"/>
            <wp:effectExtent l="0" t="0" r="0" b="3810"/>
            <wp:docPr id="25" name="Image 25" descr="F:\Carte_ENQUETE\EIES_NATITINGO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Carte_ENQUETE\EIES_NATITINGOU.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14:paraId="1B6AE8E9" w14:textId="356E3951" w:rsidR="00AB04ED" w:rsidRPr="00A9330B" w:rsidRDefault="00AB04ED" w:rsidP="0077549F">
      <w:pPr>
        <w:jc w:val="both"/>
        <w:rPr>
          <w:lang w:eastAsia="fr-FR"/>
        </w:rPr>
      </w:pPr>
      <w:r w:rsidRPr="00A9330B">
        <w:rPr>
          <w:lang w:eastAsia="fr-FR"/>
        </w:rPr>
        <w:t xml:space="preserve">Ainsi, il a été procédé à la </w:t>
      </w:r>
      <w:r w:rsidR="008B3124" w:rsidRPr="00A9330B">
        <w:rPr>
          <w:lang w:eastAsia="fr-FR"/>
        </w:rPr>
        <w:t>c</w:t>
      </w:r>
      <w:r w:rsidRPr="00A9330B">
        <w:rPr>
          <w:lang w:eastAsia="fr-FR"/>
        </w:rPr>
        <w:t>artographie des bassins versants et des unités d’occupation qui s’y trouvent et au géo-référencement de tous les collecteurs en étude avec les éléments structurants de l’espace pour l’assai</w:t>
      </w:r>
      <w:r w:rsidR="004A7AF0" w:rsidRPr="00A9330B">
        <w:rPr>
          <w:lang w:eastAsia="fr-FR"/>
        </w:rPr>
        <w:t xml:space="preserve">nissement de la ville de </w:t>
      </w:r>
      <w:r w:rsidR="00BA18AC" w:rsidRPr="00A9330B">
        <w:rPr>
          <w:lang w:eastAsia="fr-FR"/>
        </w:rPr>
        <w:t>Natitingou</w:t>
      </w:r>
      <w:r w:rsidRPr="00A9330B">
        <w:rPr>
          <w:lang w:eastAsia="fr-FR"/>
        </w:rPr>
        <w:t>.</w:t>
      </w:r>
    </w:p>
    <w:p w14:paraId="6F75E55E" w14:textId="77777777" w:rsidR="00AB04ED" w:rsidRPr="00A9330B" w:rsidRDefault="00AB04ED" w:rsidP="0077549F">
      <w:pPr>
        <w:jc w:val="both"/>
      </w:pPr>
      <w:r w:rsidRPr="00A9330B">
        <w:t>Ces travaux ont été nécessaires à la bonne description de l’état initial du milieu récepteur du projet et à l’analyse judicieuse des interactions activités du projet / composantes du milieu récepteur puis à la proposition des mesures conséquentes.</w:t>
      </w:r>
    </w:p>
    <w:p w14:paraId="61ABFB4E" w14:textId="77777777" w:rsidR="00AB04ED" w:rsidRPr="00A9330B" w:rsidRDefault="00AB04ED" w:rsidP="0064324E">
      <w:pPr>
        <w:pStyle w:val="Titre40"/>
      </w:pPr>
      <w:bookmarkStart w:id="442" w:name="_Toc531434151"/>
      <w:bookmarkStart w:id="443" w:name="_Toc535244520"/>
      <w:bookmarkStart w:id="444" w:name="_Toc45520758"/>
      <w:bookmarkStart w:id="445" w:name="_Toc52869566"/>
      <w:r w:rsidRPr="00A9330B">
        <w:t>1.3.3.5. Démarche adoptée pour les consultations publiques</w:t>
      </w:r>
      <w:bookmarkEnd w:id="442"/>
      <w:bookmarkEnd w:id="443"/>
      <w:bookmarkEnd w:id="444"/>
      <w:bookmarkEnd w:id="445"/>
    </w:p>
    <w:p w14:paraId="1DD4D02E" w14:textId="1261373C" w:rsidR="00AB04ED" w:rsidRPr="00A9330B" w:rsidRDefault="00AB04ED" w:rsidP="00AB04ED">
      <w:pPr>
        <w:jc w:val="both"/>
      </w:pPr>
      <w:r w:rsidRPr="00A9330B">
        <w:t>La participation du public au processus d’évaluation environnementale</w:t>
      </w:r>
      <w:r w:rsidR="00057D37" w:rsidRPr="00A9330B">
        <w:t xml:space="preserve"> et sociale du présent projet</w:t>
      </w:r>
      <w:r w:rsidRPr="00A9330B">
        <w:t xml:space="preserve"> a été faite suivant plusieurs étapes garantissant une large implication des populations riveraines susceptibles d’être affectées lors de la mise en œuvre. </w:t>
      </w:r>
    </w:p>
    <w:p w14:paraId="08433D52" w14:textId="77777777" w:rsidR="00AB04ED" w:rsidRPr="00A9330B" w:rsidRDefault="00AB04ED" w:rsidP="00AB04ED">
      <w:pPr>
        <w:jc w:val="both"/>
      </w:pPr>
      <w:r w:rsidRPr="00A9330B">
        <w:t xml:space="preserve">La consultation publique a été la dernière étape d’implication de la population. Elle a été organisée dans le but d’une large implication et concertation de l’ensemble des acteurs concernés par la réalisation de ce projet. C’est une réunion publique qui a connu la participation des élus locaux, des personnes ressources, des parties prenantes et des présumés propriétaires des domaines identifiés pour abriter éventuellement les ouvrages et les installations prévues dans le cadre du projet. Elle a eu lieu dans </w:t>
      </w:r>
      <w:r w:rsidR="0077549F" w:rsidRPr="00A9330B">
        <w:t xml:space="preserve">des bureaux </w:t>
      </w:r>
      <w:r w:rsidRPr="00A9330B">
        <w:t xml:space="preserve">des </w:t>
      </w:r>
      <w:r w:rsidRPr="00A9330B">
        <w:rPr>
          <w:color w:val="auto"/>
        </w:rPr>
        <w:lastRenderedPageBreak/>
        <w:t>Arrond</w:t>
      </w:r>
      <w:r w:rsidR="004A7AF0" w:rsidRPr="00A9330B">
        <w:rPr>
          <w:color w:val="auto"/>
        </w:rPr>
        <w:t>issements de la ville de Natiti</w:t>
      </w:r>
      <w:r w:rsidR="0077549F" w:rsidRPr="00A9330B">
        <w:rPr>
          <w:color w:val="auto"/>
        </w:rPr>
        <w:t>n</w:t>
      </w:r>
      <w:r w:rsidR="004A7AF0" w:rsidRPr="00A9330B">
        <w:rPr>
          <w:color w:val="auto"/>
        </w:rPr>
        <w:t>gou</w:t>
      </w:r>
      <w:r w:rsidRPr="00A9330B">
        <w:rPr>
          <w:color w:val="auto"/>
        </w:rPr>
        <w:t xml:space="preserve">. Trois séances de réunions publiques ont eu lieu en </w:t>
      </w:r>
      <w:r w:rsidRPr="00A9330B">
        <w:t>ce qui concerne l’EIES.</w:t>
      </w:r>
    </w:p>
    <w:p w14:paraId="4C9B2FBA" w14:textId="4B2D7BCA" w:rsidR="00AB04ED" w:rsidRPr="00A9330B" w:rsidRDefault="00AB04ED" w:rsidP="006E37A6">
      <w:pPr>
        <w:pStyle w:val="Titre3"/>
      </w:pPr>
      <w:r w:rsidRPr="00A9330B">
        <w:t xml:space="preserve"> </w:t>
      </w:r>
      <w:bookmarkStart w:id="446" w:name="_Toc45520759"/>
      <w:bookmarkStart w:id="447" w:name="_Toc535244521"/>
      <w:bookmarkStart w:id="448" w:name="_Toc52869567"/>
      <w:r w:rsidRPr="00A9330B">
        <w:t xml:space="preserve">1.3.4. </w:t>
      </w:r>
      <w:bookmarkStart w:id="449" w:name="_Toc524380642"/>
      <w:bookmarkStart w:id="450" w:name="_Toc16003528"/>
      <w:r w:rsidRPr="00A9330B">
        <w:t>Méthodologie spécifique à l’analyse environnementale</w:t>
      </w:r>
      <w:bookmarkEnd w:id="446"/>
      <w:bookmarkEnd w:id="448"/>
      <w:r w:rsidRPr="00A9330B">
        <w:t xml:space="preserve"> </w:t>
      </w:r>
      <w:bookmarkEnd w:id="449"/>
      <w:bookmarkEnd w:id="450"/>
    </w:p>
    <w:p w14:paraId="7882DDB7" w14:textId="77777777" w:rsidR="00AB04ED" w:rsidRPr="00A9330B" w:rsidRDefault="00AB04ED" w:rsidP="00AB04ED">
      <w:pPr>
        <w:jc w:val="both"/>
      </w:pPr>
      <w:r w:rsidRPr="00A9330B">
        <w:t>L’identification des impacts s’est effectuée selon une méthode concrète, objective et reproductible mettant en relation les sources d’impact et les composantes pertinentes des milieux récepteurs, pour en déduire la probabilité d’apparition d’un type d’impact.</w:t>
      </w:r>
    </w:p>
    <w:p w14:paraId="4F80ABF1" w14:textId="77777777" w:rsidR="00AB04ED" w:rsidRPr="00A9330B" w:rsidRDefault="00AB04ED" w:rsidP="00AB04ED">
      <w:pPr>
        <w:jc w:val="both"/>
      </w:pPr>
      <w:r w:rsidRPr="00A9330B">
        <w:t>La description du projet et de ses variantes fournit tous les détails spécifiques au projet soumis à la procédure d’étude d’impact environnementale et sociale. Les objectifs poursuivis sont présentés, ainsi que les besoins / raisons qui motivent la réalisation du projet. Une description suffisante du projet a permis d’identifier les composantes pertinentes de l’environnement qui sont susceptibles d’être modifiée par la réalisation du projet, ainsi que sa mise en œuvre.</w:t>
      </w:r>
    </w:p>
    <w:p w14:paraId="16511D23" w14:textId="77777777" w:rsidR="00AB04ED" w:rsidRPr="00A9330B" w:rsidRDefault="00AB04ED" w:rsidP="00AB04ED">
      <w:pPr>
        <w:jc w:val="both"/>
      </w:pPr>
      <w:r w:rsidRPr="00A9330B">
        <w:t>Sur la base des informations collectées, une analyse environnementale a été faite en vue de repérer dès le départ les composantes/activités du Projet susceptibles de perturber les milieux récepteurs. Cet exercice s’appuie sur les expériences tirées de l’exécution de projets similaires au Bénin et dans la sous-région.</w:t>
      </w:r>
    </w:p>
    <w:p w14:paraId="40D7805C" w14:textId="77777777" w:rsidR="00AB04ED" w:rsidRPr="00A9330B" w:rsidRDefault="00AB04ED" w:rsidP="0064324E">
      <w:pPr>
        <w:pStyle w:val="Titre40"/>
      </w:pPr>
      <w:bookmarkStart w:id="451" w:name="_Toc45520760"/>
      <w:bookmarkStart w:id="452" w:name="_Toc52869568"/>
      <w:r w:rsidRPr="00A9330B">
        <w:t>1.3.4.1. Analyse des variantes</w:t>
      </w:r>
      <w:bookmarkEnd w:id="451"/>
      <w:bookmarkEnd w:id="452"/>
    </w:p>
    <w:p w14:paraId="26642F8D" w14:textId="77777777" w:rsidR="00AB04ED" w:rsidRPr="00A9330B" w:rsidRDefault="00AB04ED" w:rsidP="00AB04ED">
      <w:pPr>
        <w:jc w:val="both"/>
      </w:pPr>
      <w:r w:rsidRPr="00A9330B">
        <w:t xml:space="preserve">La méthode de comparaison des variantes est celle de l’analyse multicritère. Celle-ci repose sur le cumul des enjeux et contraintes de l’ensemble des composantes de l’environnement affecté par un projet. L’analyse multicritère a ainsi permis de dégager certaines tendances. </w:t>
      </w:r>
    </w:p>
    <w:p w14:paraId="6C80FDCD" w14:textId="77777777" w:rsidR="00AB04ED" w:rsidRPr="00A9330B" w:rsidRDefault="00AB04ED" w:rsidP="00AB04ED">
      <w:pPr>
        <w:jc w:val="both"/>
      </w:pPr>
      <w:r w:rsidRPr="00A9330B">
        <w:t xml:space="preserve">L’analyse a consisté à définir des critères qui guideront la décision parmi lesquels des critères environnementaux, techniques et économiques. Ils sont exprimés qualitativement (impact positif, contrainte ou impact faible, moyen, fort ou très fort) ou quantitativement (nombre d’habitants soumis à une nuisance particulière, etc.) </w:t>
      </w:r>
    </w:p>
    <w:p w14:paraId="2B95898D" w14:textId="4D68E04A" w:rsidR="00AB04ED" w:rsidRPr="00A9330B" w:rsidRDefault="00AB04ED" w:rsidP="00AB04ED">
      <w:pPr>
        <w:jc w:val="both"/>
      </w:pPr>
      <w:r w:rsidRPr="00A9330B">
        <w:t xml:space="preserve">La deuxième étape consiste à donner à chaque type d’impact une notation exprimant l’importance de celui-ci pour la variante envisagée. Cette notation a été réalisée à partir de </w:t>
      </w:r>
      <w:r w:rsidR="009E64BB" w:rsidRPr="00A9330B">
        <w:t xml:space="preserve">code, chiffre ou de </w:t>
      </w:r>
      <w:r w:rsidRPr="00A9330B">
        <w:t xml:space="preserve">couleur : à un impact positif est associé </w:t>
      </w:r>
      <w:r w:rsidR="00896715" w:rsidRPr="00A9330B">
        <w:t>la couleur bleue</w:t>
      </w:r>
      <w:r w:rsidRPr="00A9330B">
        <w:t xml:space="preserve">, à une contrainte faible est associée la couleur verte, à une contrainte moyenne la couleur orange et à une contrainte forte et très forte la couleur rouge. </w:t>
      </w:r>
    </w:p>
    <w:p w14:paraId="22CAA53D" w14:textId="77777777" w:rsidR="00AB04ED" w:rsidRPr="00A9330B" w:rsidRDefault="00AB04ED" w:rsidP="00AB04ED">
      <w:pPr>
        <w:jc w:val="both"/>
      </w:pPr>
    </w:p>
    <w:tbl>
      <w:tblPr>
        <w:tblStyle w:val="Grilledutableau"/>
        <w:tblW w:w="0" w:type="auto"/>
        <w:tblInd w:w="279" w:type="dxa"/>
        <w:tblLook w:val="04A0" w:firstRow="1" w:lastRow="0" w:firstColumn="1" w:lastColumn="0" w:noHBand="0" w:noVBand="1"/>
      </w:tblPr>
      <w:tblGrid>
        <w:gridCol w:w="623"/>
        <w:gridCol w:w="1178"/>
        <w:gridCol w:w="532"/>
        <w:gridCol w:w="1644"/>
        <w:gridCol w:w="623"/>
        <w:gridCol w:w="1464"/>
        <w:gridCol w:w="713"/>
        <w:gridCol w:w="2006"/>
      </w:tblGrid>
      <w:tr w:rsidR="00AB04ED" w:rsidRPr="00A9330B" w14:paraId="4477AA4B" w14:textId="77777777" w:rsidTr="00701C80">
        <w:tc>
          <w:tcPr>
            <w:tcW w:w="850" w:type="dxa"/>
            <w:shd w:val="clear" w:color="auto" w:fill="9CC2E5" w:themeFill="accent1" w:themeFillTint="99"/>
          </w:tcPr>
          <w:p w14:paraId="5331E5C8" w14:textId="77777777" w:rsidR="00AB04ED" w:rsidRPr="00A9330B" w:rsidRDefault="00AB04ED" w:rsidP="00701C80">
            <w:pPr>
              <w:spacing w:line="276" w:lineRule="auto"/>
              <w:rPr>
                <w:sz w:val="18"/>
                <w:szCs w:val="18"/>
              </w:rPr>
            </w:pPr>
          </w:p>
        </w:tc>
        <w:tc>
          <w:tcPr>
            <w:tcW w:w="1418" w:type="dxa"/>
            <w:shd w:val="clear" w:color="auto" w:fill="FFFFFF" w:themeFill="background1"/>
          </w:tcPr>
          <w:p w14:paraId="3C491494" w14:textId="77777777" w:rsidR="00AB04ED" w:rsidRPr="00A9330B" w:rsidRDefault="00AB04ED" w:rsidP="00701C80">
            <w:pPr>
              <w:spacing w:line="276" w:lineRule="auto"/>
              <w:rPr>
                <w:sz w:val="18"/>
                <w:szCs w:val="18"/>
              </w:rPr>
            </w:pPr>
            <w:r w:rsidRPr="00A9330B">
              <w:rPr>
                <w:sz w:val="18"/>
                <w:szCs w:val="18"/>
              </w:rPr>
              <w:t xml:space="preserve">Impact positif </w:t>
            </w:r>
          </w:p>
        </w:tc>
        <w:tc>
          <w:tcPr>
            <w:tcW w:w="709" w:type="dxa"/>
            <w:shd w:val="clear" w:color="auto" w:fill="92D050"/>
          </w:tcPr>
          <w:p w14:paraId="5AA75352" w14:textId="77777777" w:rsidR="00AB04ED" w:rsidRPr="00A9330B" w:rsidRDefault="00AB04ED" w:rsidP="00701C80">
            <w:pPr>
              <w:spacing w:line="276" w:lineRule="auto"/>
              <w:rPr>
                <w:sz w:val="18"/>
                <w:szCs w:val="18"/>
              </w:rPr>
            </w:pPr>
          </w:p>
        </w:tc>
        <w:tc>
          <w:tcPr>
            <w:tcW w:w="1984" w:type="dxa"/>
          </w:tcPr>
          <w:p w14:paraId="60345DA9" w14:textId="77777777" w:rsidR="00AB04ED" w:rsidRPr="00A9330B" w:rsidRDefault="00AB04ED" w:rsidP="00701C80">
            <w:pPr>
              <w:spacing w:line="276" w:lineRule="auto"/>
              <w:rPr>
                <w:sz w:val="18"/>
                <w:szCs w:val="18"/>
              </w:rPr>
            </w:pPr>
            <w:r w:rsidRPr="00A9330B">
              <w:rPr>
                <w:sz w:val="18"/>
                <w:szCs w:val="18"/>
              </w:rPr>
              <w:t xml:space="preserve">Contrainte faible </w:t>
            </w:r>
          </w:p>
        </w:tc>
        <w:tc>
          <w:tcPr>
            <w:tcW w:w="851" w:type="dxa"/>
            <w:shd w:val="clear" w:color="auto" w:fill="FFD966" w:themeFill="accent4" w:themeFillTint="99"/>
          </w:tcPr>
          <w:p w14:paraId="53F9F34F" w14:textId="77777777" w:rsidR="00AB04ED" w:rsidRPr="00A9330B" w:rsidRDefault="00AB04ED" w:rsidP="00701C80">
            <w:pPr>
              <w:spacing w:line="276" w:lineRule="auto"/>
              <w:rPr>
                <w:sz w:val="18"/>
                <w:szCs w:val="18"/>
              </w:rPr>
            </w:pPr>
          </w:p>
        </w:tc>
        <w:tc>
          <w:tcPr>
            <w:tcW w:w="1701" w:type="dxa"/>
          </w:tcPr>
          <w:p w14:paraId="36F81283" w14:textId="77777777" w:rsidR="00AB04ED" w:rsidRPr="00A9330B" w:rsidRDefault="00AB04ED" w:rsidP="00701C80">
            <w:pPr>
              <w:spacing w:line="276" w:lineRule="auto"/>
              <w:rPr>
                <w:sz w:val="18"/>
                <w:szCs w:val="18"/>
              </w:rPr>
            </w:pPr>
            <w:r w:rsidRPr="00A9330B">
              <w:rPr>
                <w:sz w:val="18"/>
                <w:szCs w:val="18"/>
              </w:rPr>
              <w:t xml:space="preserve">Contrainte moyenne </w:t>
            </w:r>
          </w:p>
        </w:tc>
        <w:tc>
          <w:tcPr>
            <w:tcW w:w="992" w:type="dxa"/>
            <w:shd w:val="clear" w:color="auto" w:fill="FF0000"/>
          </w:tcPr>
          <w:p w14:paraId="65EB0C3F" w14:textId="77777777" w:rsidR="00AB04ED" w:rsidRPr="00A9330B" w:rsidRDefault="00AB04ED" w:rsidP="00701C80">
            <w:pPr>
              <w:spacing w:line="276" w:lineRule="auto"/>
              <w:rPr>
                <w:sz w:val="18"/>
                <w:szCs w:val="18"/>
              </w:rPr>
            </w:pPr>
          </w:p>
        </w:tc>
        <w:tc>
          <w:tcPr>
            <w:tcW w:w="2551" w:type="dxa"/>
          </w:tcPr>
          <w:p w14:paraId="0541B2DE" w14:textId="77777777" w:rsidR="00AB04ED" w:rsidRPr="00A9330B" w:rsidRDefault="00AB04ED" w:rsidP="00701C80">
            <w:pPr>
              <w:spacing w:line="276" w:lineRule="auto"/>
              <w:rPr>
                <w:sz w:val="18"/>
                <w:szCs w:val="18"/>
              </w:rPr>
            </w:pPr>
            <w:r w:rsidRPr="00A9330B">
              <w:rPr>
                <w:sz w:val="18"/>
                <w:szCs w:val="18"/>
              </w:rPr>
              <w:t xml:space="preserve">Contrainte forte ou très forte </w:t>
            </w:r>
          </w:p>
        </w:tc>
      </w:tr>
    </w:tbl>
    <w:p w14:paraId="744F8E14" w14:textId="77777777" w:rsidR="00AB04ED" w:rsidRPr="00A9330B" w:rsidRDefault="00AB04ED" w:rsidP="0064324E">
      <w:pPr>
        <w:pStyle w:val="Titre40"/>
      </w:pPr>
      <w:bookmarkStart w:id="453" w:name="_Toc7690454"/>
      <w:bookmarkStart w:id="454" w:name="_Toc7691511"/>
      <w:bookmarkStart w:id="455" w:name="_Toc7691777"/>
      <w:bookmarkStart w:id="456" w:name="_Toc7692000"/>
      <w:bookmarkStart w:id="457" w:name="_Toc7692203"/>
      <w:bookmarkStart w:id="458" w:name="_Toc7692406"/>
      <w:bookmarkStart w:id="459" w:name="_Toc7692616"/>
      <w:bookmarkStart w:id="460" w:name="_Toc7692839"/>
      <w:bookmarkStart w:id="461" w:name="_Toc7693042"/>
      <w:bookmarkStart w:id="462" w:name="_Toc7695062"/>
      <w:bookmarkStart w:id="463" w:name="_Toc7695269"/>
      <w:bookmarkStart w:id="464" w:name="_Toc7777926"/>
      <w:bookmarkStart w:id="465" w:name="_Toc7692617"/>
      <w:bookmarkStart w:id="466" w:name="_Toc7692840"/>
      <w:bookmarkStart w:id="467" w:name="_Toc7693043"/>
      <w:bookmarkStart w:id="468" w:name="_Toc7695063"/>
      <w:bookmarkStart w:id="469" w:name="_Toc7695270"/>
      <w:bookmarkStart w:id="470" w:name="_Toc7777927"/>
      <w:bookmarkStart w:id="471" w:name="_Toc7692618"/>
      <w:bookmarkStart w:id="472" w:name="_Toc7692841"/>
      <w:bookmarkStart w:id="473" w:name="_Toc7693044"/>
      <w:bookmarkStart w:id="474" w:name="_Toc7695064"/>
      <w:bookmarkStart w:id="475" w:name="_Toc7695271"/>
      <w:bookmarkStart w:id="476" w:name="_Toc7777928"/>
      <w:bookmarkStart w:id="477" w:name="_Toc7692619"/>
      <w:bookmarkStart w:id="478" w:name="_Toc7692842"/>
      <w:bookmarkStart w:id="479" w:name="_Toc7693045"/>
      <w:bookmarkStart w:id="480" w:name="_Toc7695065"/>
      <w:bookmarkStart w:id="481" w:name="_Toc7695272"/>
      <w:bookmarkStart w:id="482" w:name="_Toc45520761"/>
      <w:bookmarkStart w:id="483" w:name="_Toc264986778"/>
      <w:bookmarkStart w:id="484" w:name="_Toc264986967"/>
      <w:bookmarkStart w:id="485" w:name="_Toc264987156"/>
      <w:bookmarkStart w:id="486" w:name="_Toc264987345"/>
      <w:bookmarkStart w:id="487" w:name="_Toc264987534"/>
      <w:bookmarkStart w:id="488" w:name="_Toc264987723"/>
      <w:bookmarkStart w:id="489" w:name="_Toc264987912"/>
      <w:bookmarkStart w:id="490" w:name="_Toc264988290"/>
      <w:bookmarkStart w:id="491" w:name="_Toc264988479"/>
      <w:bookmarkStart w:id="492" w:name="_Toc264988668"/>
      <w:bookmarkStart w:id="493" w:name="_Toc264988857"/>
      <w:bookmarkStart w:id="494" w:name="_Toc286744102"/>
      <w:bookmarkStart w:id="495" w:name="_Toc286744324"/>
      <w:bookmarkStart w:id="496" w:name="_Toc387444222"/>
      <w:bookmarkStart w:id="497" w:name="_Toc387444435"/>
      <w:bookmarkStart w:id="498" w:name="_Toc387444648"/>
      <w:bookmarkStart w:id="499" w:name="_Toc387444861"/>
      <w:bookmarkStart w:id="500" w:name="_Toc387445074"/>
      <w:bookmarkStart w:id="501" w:name="_Toc387445287"/>
      <w:bookmarkStart w:id="502" w:name="_Toc387445713"/>
      <w:bookmarkStart w:id="503" w:name="_Toc387446139"/>
      <w:bookmarkStart w:id="504" w:name="_Toc387446352"/>
      <w:bookmarkStart w:id="505" w:name="_Toc387446743"/>
      <w:bookmarkStart w:id="506" w:name="_Toc387446921"/>
      <w:bookmarkStart w:id="507" w:name="_Toc388869568"/>
      <w:bookmarkStart w:id="508" w:name="_Toc388869766"/>
      <w:bookmarkStart w:id="509" w:name="_Toc388869964"/>
      <w:bookmarkStart w:id="510" w:name="_Toc388870162"/>
      <w:bookmarkStart w:id="511" w:name="_Toc388870360"/>
      <w:bookmarkStart w:id="512" w:name="_Toc388870558"/>
      <w:bookmarkStart w:id="513" w:name="_Toc388870756"/>
      <w:bookmarkStart w:id="514" w:name="_Toc388870954"/>
      <w:bookmarkStart w:id="515" w:name="_Toc388871152"/>
      <w:bookmarkStart w:id="516" w:name="_Toc388871350"/>
      <w:bookmarkStart w:id="517" w:name="_Toc388871548"/>
      <w:bookmarkStart w:id="518" w:name="_Toc388896842"/>
      <w:bookmarkStart w:id="519" w:name="_Toc535671662"/>
      <w:bookmarkStart w:id="520" w:name="_Toc536197298"/>
      <w:bookmarkStart w:id="521" w:name="_Toc536197492"/>
      <w:bookmarkStart w:id="522" w:name="_Toc536197686"/>
      <w:bookmarkStart w:id="523" w:name="_Toc536197880"/>
      <w:bookmarkStart w:id="524" w:name="_Toc536198074"/>
      <w:bookmarkStart w:id="525" w:name="_Toc536198462"/>
      <w:bookmarkStart w:id="526" w:name="_Toc536198656"/>
      <w:bookmarkStart w:id="527" w:name="_Toc536198850"/>
      <w:bookmarkStart w:id="528" w:name="_Toc536199044"/>
      <w:bookmarkStart w:id="529" w:name="_Toc536443397"/>
      <w:bookmarkStart w:id="530" w:name="_Toc536534590"/>
      <w:bookmarkStart w:id="531" w:name="_Toc536534776"/>
      <w:bookmarkStart w:id="532" w:name="_Toc536534962"/>
      <w:bookmarkStart w:id="533" w:name="_Toc536535148"/>
      <w:bookmarkStart w:id="534" w:name="_Toc536535334"/>
      <w:bookmarkStart w:id="535" w:name="_Toc536536081"/>
      <w:bookmarkStart w:id="536" w:name="_Toc536536268"/>
      <w:bookmarkStart w:id="537" w:name="_Toc536536455"/>
      <w:bookmarkStart w:id="538" w:name="_Toc536536642"/>
      <w:bookmarkStart w:id="539" w:name="_Toc536544755"/>
      <w:bookmarkStart w:id="540" w:name="_Toc536544942"/>
      <w:bookmarkStart w:id="541" w:name="_Toc7688883"/>
      <w:bookmarkStart w:id="542" w:name="_Toc7689069"/>
      <w:bookmarkStart w:id="543" w:name="_Toc7689255"/>
      <w:bookmarkStart w:id="544" w:name="_Toc7689462"/>
      <w:bookmarkStart w:id="545" w:name="_Toc7689648"/>
      <w:bookmarkStart w:id="546" w:name="_Toc7690020"/>
      <w:bookmarkStart w:id="547" w:name="_Toc7691514"/>
      <w:bookmarkStart w:id="548" w:name="_Toc7691780"/>
      <w:bookmarkStart w:id="549" w:name="_Toc7692003"/>
      <w:bookmarkStart w:id="550" w:name="_Toc7692206"/>
      <w:bookmarkStart w:id="551" w:name="_Toc7695273"/>
      <w:bookmarkStart w:id="552" w:name="_Toc8139564"/>
      <w:bookmarkStart w:id="553" w:name="_Toc8139770"/>
      <w:bookmarkStart w:id="554" w:name="_Toc8139976"/>
      <w:bookmarkStart w:id="555" w:name="_Toc8140182"/>
      <w:bookmarkStart w:id="556" w:name="_Toc8140388"/>
      <w:bookmarkStart w:id="557" w:name="_Toc8140594"/>
      <w:bookmarkStart w:id="558" w:name="_Toc8140800"/>
      <w:bookmarkStart w:id="559" w:name="_Toc8141006"/>
      <w:bookmarkStart w:id="560" w:name="_Toc8141418"/>
      <w:bookmarkStart w:id="561" w:name="_Toc8141624"/>
      <w:bookmarkStart w:id="562" w:name="_Toc8141830"/>
      <w:bookmarkStart w:id="563" w:name="_Toc8204364"/>
      <w:bookmarkStart w:id="564" w:name="_Toc8204628"/>
      <w:bookmarkStart w:id="565" w:name="_Toc52869569"/>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r w:rsidRPr="00A9330B">
        <w:t xml:space="preserve">1.3.4.2.  </w:t>
      </w:r>
      <w:r w:rsidRPr="00A9330B">
        <w:rPr>
          <w:noProof/>
        </w:rPr>
        <w:t xml:space="preserve">Identification </w:t>
      </w:r>
      <w:r w:rsidRPr="00A9330B">
        <w:t>et analyse des impacts</w:t>
      </w:r>
      <w:bookmarkEnd w:id="482"/>
      <w:bookmarkEnd w:id="565"/>
      <w:r w:rsidRPr="00A9330B">
        <w:t xml:space="preserve"> </w:t>
      </w:r>
    </w:p>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p w14:paraId="2B0A8C54" w14:textId="60999E08" w:rsidR="00AB04ED" w:rsidRPr="00A9330B" w:rsidRDefault="00AB04ED" w:rsidP="00AB04ED">
      <w:pPr>
        <w:jc w:val="both"/>
      </w:pPr>
      <w:r w:rsidRPr="00A9330B">
        <w:t xml:space="preserve">L’impact d’une activité se définit comme toute modification, négative ou bénéfique, immédiat ou à long terme, total ou partielle, d’une ou plusieurs composantes de l’environnement résultant de la réalisation de cette activité. </w:t>
      </w:r>
    </w:p>
    <w:p w14:paraId="4EB63E1E" w14:textId="77777777" w:rsidR="00AB04ED" w:rsidRPr="00A9330B" w:rsidRDefault="00AB04ED" w:rsidP="00AB04ED">
      <w:pPr>
        <w:jc w:val="both"/>
      </w:pPr>
      <w:r w:rsidRPr="00A9330B">
        <w:t>L’identification des impacts est faite en mettant en relation les sources d’impacts, tant en phase de préparation, de construction qu’en phase d'exploitation, avec les composantes du milieu récepteur.  L’identification des impacts découle (i) de la description du projet, qui établit un ensemble de facteurs d’impacts, et (ii) de la description des milieux physique, naturel et humain, qui rapporte les sensibilités environnementales et sociales avec lesquelles le projet va interagir. Les experts en charge de l’évaluation des impacts établissent un croisement entre les facteurs d’impact du projet et les éléments sensibles des composantes biophysiques et humaines de l’environnement pour déterminer la survenance potentielle d’un impact.</w:t>
      </w:r>
    </w:p>
    <w:p w14:paraId="4079E94D" w14:textId="77777777" w:rsidR="00AB04ED" w:rsidRPr="00A9330B" w:rsidRDefault="00AB04ED" w:rsidP="00AB04ED">
      <w:pPr>
        <w:jc w:val="both"/>
      </w:pPr>
      <w:r w:rsidRPr="00A9330B">
        <w:lastRenderedPageBreak/>
        <w:t xml:space="preserve">L’identification de ces impacts est réalisée sur la base d’une matrice s’inspirant de la matrice de Léopold (1971). L’identification des impacts s’effectue en fonction des différentes phases de réalisation du projet (pré-construction/ préparation, construction et exploitation). </w:t>
      </w:r>
    </w:p>
    <w:p w14:paraId="1FF81819" w14:textId="77777777" w:rsidR="00AB04ED" w:rsidRPr="00A9330B" w:rsidRDefault="00AB04ED" w:rsidP="00AB04ED">
      <w:pPr>
        <w:jc w:val="both"/>
      </w:pPr>
      <w:r w:rsidRPr="00A9330B">
        <w:t>Les impacts identifiés sont ensuite analysés en les catégorisant selon qu’ils soient positifs ou négatifs, directs ou indirects et, le cas échéant, s’ils sont cumulatifs. L’identification de l’impact se présente comme suit :</w:t>
      </w:r>
    </w:p>
    <w:p w14:paraId="0BC14ADB" w14:textId="77777777" w:rsidR="00AB04ED" w:rsidRPr="00A9330B" w:rsidRDefault="00AB04ED" w:rsidP="007E42F5">
      <w:pPr>
        <w:pStyle w:val="Paragraphedeliste"/>
        <w:numPr>
          <w:ilvl w:val="0"/>
          <w:numId w:val="29"/>
        </w:numPr>
        <w:jc w:val="both"/>
        <w:rPr>
          <w:rFonts w:cs="Arial"/>
          <w:szCs w:val="22"/>
          <w:lang w:val="fr-FR"/>
        </w:rPr>
      </w:pPr>
      <w:r w:rsidRPr="00A9330B">
        <w:rPr>
          <w:rFonts w:cs="Arial"/>
          <w:i/>
          <w:szCs w:val="22"/>
          <w:u w:val="single"/>
          <w:lang w:val="fr-FR"/>
        </w:rPr>
        <w:t>Impact négatif</w:t>
      </w:r>
      <w:r w:rsidRPr="00A9330B">
        <w:rPr>
          <w:rFonts w:cs="Arial"/>
          <w:szCs w:val="22"/>
          <w:lang w:val="fr-FR"/>
        </w:rPr>
        <w:t xml:space="preserve"> : un impact qui représente un changement défavorable par rapport à l’état initial ;</w:t>
      </w:r>
    </w:p>
    <w:p w14:paraId="116169E3" w14:textId="77777777" w:rsidR="00AB04ED" w:rsidRPr="00A9330B" w:rsidRDefault="00AB04ED" w:rsidP="007E42F5">
      <w:pPr>
        <w:pStyle w:val="Paragraphedeliste"/>
        <w:numPr>
          <w:ilvl w:val="0"/>
          <w:numId w:val="29"/>
        </w:numPr>
        <w:jc w:val="both"/>
        <w:rPr>
          <w:rFonts w:cs="Arial"/>
          <w:szCs w:val="22"/>
          <w:lang w:val="fr-FR"/>
        </w:rPr>
      </w:pPr>
      <w:r w:rsidRPr="00A9330B">
        <w:rPr>
          <w:rFonts w:cs="Arial"/>
          <w:i/>
          <w:szCs w:val="22"/>
          <w:u w:val="single"/>
          <w:lang w:val="fr-FR"/>
        </w:rPr>
        <w:t>Impact positif</w:t>
      </w:r>
      <w:r w:rsidRPr="00A9330B">
        <w:rPr>
          <w:rFonts w:cs="Arial"/>
          <w:b/>
          <w:szCs w:val="22"/>
          <w:lang w:val="fr-FR"/>
        </w:rPr>
        <w:t xml:space="preserve"> </w:t>
      </w:r>
      <w:r w:rsidRPr="00A9330B">
        <w:rPr>
          <w:rFonts w:cs="Arial"/>
          <w:szCs w:val="22"/>
          <w:lang w:val="fr-FR"/>
        </w:rPr>
        <w:t>: un impact qui représente une amélioration bénéfique de l’état initial ;</w:t>
      </w:r>
    </w:p>
    <w:p w14:paraId="6127D106" w14:textId="77777777" w:rsidR="00AB04ED" w:rsidRPr="00A9330B" w:rsidRDefault="00AB04ED" w:rsidP="007E42F5">
      <w:pPr>
        <w:pStyle w:val="Paragraphedeliste"/>
        <w:numPr>
          <w:ilvl w:val="0"/>
          <w:numId w:val="29"/>
        </w:numPr>
        <w:jc w:val="both"/>
        <w:rPr>
          <w:rFonts w:cs="Arial"/>
          <w:szCs w:val="22"/>
          <w:lang w:val="fr-FR"/>
        </w:rPr>
      </w:pPr>
      <w:r w:rsidRPr="00A9330B">
        <w:rPr>
          <w:rFonts w:cs="Arial"/>
          <w:i/>
          <w:szCs w:val="22"/>
          <w:u w:val="single"/>
          <w:lang w:val="fr-FR"/>
        </w:rPr>
        <w:t>Impact direct (ou primaire)</w:t>
      </w:r>
      <w:r w:rsidRPr="00A9330B">
        <w:rPr>
          <w:rFonts w:cs="Arial"/>
          <w:szCs w:val="22"/>
          <w:lang w:val="fr-FR"/>
        </w:rPr>
        <w:t xml:space="preserve"> : un impact résultant d’une interaction directe entre les activités du projet et les composantes des milieux récepteurs. </w:t>
      </w:r>
    </w:p>
    <w:p w14:paraId="4F8ACFC9" w14:textId="77777777" w:rsidR="00AB04ED" w:rsidRPr="00A9330B" w:rsidRDefault="00AB04ED" w:rsidP="007E42F5">
      <w:pPr>
        <w:pStyle w:val="Paragraphedeliste"/>
        <w:numPr>
          <w:ilvl w:val="0"/>
          <w:numId w:val="29"/>
        </w:numPr>
        <w:jc w:val="both"/>
        <w:rPr>
          <w:rFonts w:cs="Arial"/>
          <w:szCs w:val="22"/>
          <w:lang w:val="fr-FR"/>
        </w:rPr>
      </w:pPr>
      <w:r w:rsidRPr="00A9330B">
        <w:rPr>
          <w:rFonts w:cs="Arial"/>
          <w:i/>
          <w:szCs w:val="22"/>
          <w:u w:val="single"/>
          <w:lang w:val="fr-FR"/>
        </w:rPr>
        <w:t>Impact indirect</w:t>
      </w:r>
      <w:r w:rsidRPr="00A9330B">
        <w:rPr>
          <w:rFonts w:cs="Arial"/>
          <w:b/>
          <w:szCs w:val="22"/>
          <w:lang w:val="fr-FR"/>
        </w:rPr>
        <w:t xml:space="preserve"> </w:t>
      </w:r>
      <w:r w:rsidRPr="00A9330B">
        <w:rPr>
          <w:rFonts w:cs="Arial"/>
          <w:szCs w:val="22"/>
          <w:lang w:val="fr-FR"/>
        </w:rPr>
        <w:t>: il découle d’un impact direct et lui succède dans une chaîne de conséquences ;</w:t>
      </w:r>
    </w:p>
    <w:p w14:paraId="1B522E7C" w14:textId="77777777" w:rsidR="00AB04ED" w:rsidRPr="00A9330B" w:rsidRDefault="00AB04ED" w:rsidP="007E42F5">
      <w:pPr>
        <w:pStyle w:val="Paragraphedeliste"/>
        <w:numPr>
          <w:ilvl w:val="0"/>
          <w:numId w:val="29"/>
        </w:numPr>
        <w:jc w:val="both"/>
        <w:rPr>
          <w:rFonts w:cs="Arial"/>
          <w:szCs w:val="22"/>
          <w:lang w:val="fr-FR"/>
        </w:rPr>
      </w:pPr>
      <w:r w:rsidRPr="00A9330B">
        <w:rPr>
          <w:rFonts w:cs="Arial"/>
          <w:i/>
          <w:szCs w:val="22"/>
          <w:u w:val="single"/>
          <w:lang w:val="fr-FR"/>
        </w:rPr>
        <w:t>Impact cumulatif</w:t>
      </w:r>
      <w:r w:rsidRPr="00A9330B">
        <w:rPr>
          <w:rFonts w:cs="Arial"/>
          <w:i/>
          <w:szCs w:val="22"/>
          <w:lang w:val="fr-FR"/>
        </w:rPr>
        <w:t xml:space="preserve"> </w:t>
      </w:r>
      <w:r w:rsidRPr="00A9330B">
        <w:rPr>
          <w:rFonts w:cs="Arial"/>
          <w:szCs w:val="22"/>
          <w:lang w:val="fr-FR"/>
        </w:rPr>
        <w:t>: impact résultant de l’association de plusieurs impacts (incluant les impacts simultanés ou d’une activité tierce existante ou future) qui affectent les mêmes ressources ou récepteurs que le projet.</w:t>
      </w:r>
    </w:p>
    <w:p w14:paraId="3ACE0411" w14:textId="77777777" w:rsidR="00AB04ED" w:rsidRPr="00A9330B" w:rsidRDefault="00AB04ED" w:rsidP="00AB04ED">
      <w:pPr>
        <w:jc w:val="both"/>
      </w:pPr>
      <w:r w:rsidRPr="00A9330B">
        <w:t xml:space="preserve">Ces différents types d’impact sont identifiés dans l’ordre ci-après : </w:t>
      </w:r>
    </w:p>
    <w:p w14:paraId="0C7EE2C9" w14:textId="77777777" w:rsidR="00AB04ED" w:rsidRPr="00A9330B" w:rsidRDefault="00AB04ED" w:rsidP="007E42F5">
      <w:pPr>
        <w:pStyle w:val="Paragraphedeliste"/>
        <w:numPr>
          <w:ilvl w:val="0"/>
          <w:numId w:val="30"/>
        </w:numPr>
        <w:overflowPunct/>
        <w:autoSpaceDE/>
        <w:autoSpaceDN/>
        <w:adjustRightInd/>
        <w:spacing w:line="240" w:lineRule="auto"/>
        <w:jc w:val="both"/>
        <w:rPr>
          <w:szCs w:val="22"/>
          <w:lang w:val="fr-FR"/>
        </w:rPr>
      </w:pPr>
      <w:r w:rsidRPr="00A9330B">
        <w:rPr>
          <w:szCs w:val="22"/>
          <w:lang w:val="fr-FR"/>
        </w:rPr>
        <w:t xml:space="preserve">impacts sur le milieu physique ; </w:t>
      </w:r>
    </w:p>
    <w:p w14:paraId="7ACEEDFE" w14:textId="77777777" w:rsidR="00AB04ED" w:rsidRPr="00A9330B" w:rsidRDefault="00AB04ED" w:rsidP="007E42F5">
      <w:pPr>
        <w:pStyle w:val="Paragraphedeliste"/>
        <w:numPr>
          <w:ilvl w:val="0"/>
          <w:numId w:val="30"/>
        </w:numPr>
        <w:overflowPunct/>
        <w:autoSpaceDE/>
        <w:autoSpaceDN/>
        <w:adjustRightInd/>
        <w:spacing w:line="240" w:lineRule="auto"/>
        <w:jc w:val="both"/>
        <w:rPr>
          <w:szCs w:val="22"/>
          <w:lang w:val="fr-FR"/>
        </w:rPr>
      </w:pPr>
      <w:r w:rsidRPr="00A9330B">
        <w:rPr>
          <w:szCs w:val="22"/>
          <w:lang w:val="fr-FR"/>
        </w:rPr>
        <w:t xml:space="preserve">impacts sur le milieu biologique ; </w:t>
      </w:r>
    </w:p>
    <w:p w14:paraId="6F8D1338" w14:textId="77777777" w:rsidR="00AB04ED" w:rsidRPr="00A9330B" w:rsidRDefault="00AB04ED" w:rsidP="007E42F5">
      <w:pPr>
        <w:pStyle w:val="Paragraphedeliste"/>
        <w:numPr>
          <w:ilvl w:val="0"/>
          <w:numId w:val="30"/>
        </w:numPr>
        <w:overflowPunct/>
        <w:autoSpaceDE/>
        <w:autoSpaceDN/>
        <w:adjustRightInd/>
        <w:spacing w:line="240" w:lineRule="auto"/>
        <w:jc w:val="both"/>
        <w:rPr>
          <w:szCs w:val="22"/>
          <w:lang w:val="fr-FR"/>
        </w:rPr>
      </w:pPr>
      <w:r w:rsidRPr="00A9330B">
        <w:rPr>
          <w:szCs w:val="22"/>
          <w:lang w:val="fr-FR"/>
        </w:rPr>
        <w:t>impacts sur le milieu humain.</w:t>
      </w:r>
    </w:p>
    <w:p w14:paraId="10070DEA" w14:textId="77777777" w:rsidR="00D40989" w:rsidRPr="00A9330B" w:rsidRDefault="00D40989" w:rsidP="00AB04ED">
      <w:pPr>
        <w:spacing w:before="0"/>
        <w:jc w:val="both"/>
      </w:pPr>
    </w:p>
    <w:p w14:paraId="1227458E" w14:textId="0E2856DC" w:rsidR="00AB04ED" w:rsidRPr="00A9330B" w:rsidRDefault="00AB04ED" w:rsidP="00AB04ED">
      <w:pPr>
        <w:spacing w:before="0"/>
        <w:jc w:val="both"/>
        <w:rPr>
          <w:rFonts w:cs="Arial"/>
        </w:rPr>
      </w:pPr>
      <w:r w:rsidRPr="00A9330B">
        <w:t>Il est ainsi possible de mettre en évidence les impacts directs sur le sol, l’air et l’eau, puis les impacts indirects sur la flore, la faune, la santé et les populations, qui découlent des perturbations et/ou améliorations engendrées sur ces milieux.</w:t>
      </w:r>
      <w:r w:rsidRPr="00A9330B">
        <w:cr/>
      </w:r>
    </w:p>
    <w:p w14:paraId="07A415F5" w14:textId="654F3336" w:rsidR="00AB04ED" w:rsidRPr="00A9330B" w:rsidRDefault="00AB04ED" w:rsidP="00A9330B">
      <w:pPr>
        <w:pStyle w:val="Lgende"/>
      </w:pPr>
      <w:bookmarkStart w:id="566" w:name="_Toc517376530"/>
      <w:bookmarkStart w:id="567" w:name="_Toc52873728"/>
      <w:r w:rsidRPr="00A9330B">
        <w:t xml:space="preserve">Tableau </w:t>
      </w:r>
      <w:r w:rsidR="009D26AD" w:rsidRPr="00A9330B">
        <w:rPr>
          <w:noProof/>
        </w:rPr>
        <w:fldChar w:fldCharType="begin"/>
      </w:r>
      <w:r w:rsidR="009D26AD" w:rsidRPr="00A9330B">
        <w:rPr>
          <w:noProof/>
        </w:rPr>
        <w:instrText xml:space="preserve"> SEQ Tableau \* ARABIC </w:instrText>
      </w:r>
      <w:r w:rsidR="009D26AD" w:rsidRPr="00A9330B">
        <w:rPr>
          <w:noProof/>
        </w:rPr>
        <w:fldChar w:fldCharType="separate"/>
      </w:r>
      <w:r w:rsidR="00417D31" w:rsidRPr="00A9330B">
        <w:rPr>
          <w:noProof/>
        </w:rPr>
        <w:t>4</w:t>
      </w:r>
      <w:r w:rsidR="009D26AD" w:rsidRPr="00A9330B">
        <w:rPr>
          <w:noProof/>
        </w:rPr>
        <w:fldChar w:fldCharType="end"/>
      </w:r>
      <w:r w:rsidRPr="00A9330B">
        <w:t> : Modèle d’identification des composantes du milieu susceptibles d’être affectés par le projet</w:t>
      </w:r>
      <w:bookmarkEnd w:id="566"/>
      <w:bookmarkEnd w:id="567"/>
      <w:r w:rsidRPr="00A9330B">
        <w:t xml:space="preserve"> </w:t>
      </w:r>
    </w:p>
    <w:tbl>
      <w:tblPr>
        <w:tblStyle w:val="Grilledutableau"/>
        <w:tblW w:w="9463" w:type="dxa"/>
        <w:tblInd w:w="-176" w:type="dxa"/>
        <w:tblLayout w:type="fixed"/>
        <w:tblLook w:val="04A0" w:firstRow="1" w:lastRow="0" w:firstColumn="1" w:lastColumn="0" w:noHBand="0" w:noVBand="1"/>
      </w:tblPr>
      <w:tblGrid>
        <w:gridCol w:w="1702"/>
        <w:gridCol w:w="651"/>
        <w:gridCol w:w="534"/>
        <w:gridCol w:w="620"/>
        <w:gridCol w:w="754"/>
        <w:gridCol w:w="864"/>
        <w:gridCol w:w="1109"/>
        <w:gridCol w:w="1451"/>
        <w:gridCol w:w="816"/>
        <w:gridCol w:w="962"/>
      </w:tblGrid>
      <w:tr w:rsidR="00AB04ED" w:rsidRPr="00A9330B" w14:paraId="27C80FB1" w14:textId="77777777" w:rsidTr="00701C80">
        <w:trPr>
          <w:trHeight w:val="1242"/>
        </w:trPr>
        <w:tc>
          <w:tcPr>
            <w:tcW w:w="1702" w:type="dxa"/>
            <w:shd w:val="clear" w:color="auto" w:fill="B4C6E7" w:themeFill="accent5" w:themeFillTint="66"/>
          </w:tcPr>
          <w:p w14:paraId="3CEB026A" w14:textId="77777777" w:rsidR="00AB04ED" w:rsidRPr="00A9330B" w:rsidRDefault="00AB04ED" w:rsidP="00701C80">
            <w:pPr>
              <w:spacing w:before="0"/>
              <w:rPr>
                <w:b/>
                <w:sz w:val="18"/>
                <w:szCs w:val="18"/>
              </w:rPr>
            </w:pPr>
            <w:r w:rsidRPr="00A9330B">
              <w:rPr>
                <w:b/>
                <w:noProof/>
                <w:sz w:val="18"/>
                <w:szCs w:val="18"/>
                <w:lang w:eastAsia="fr-FR"/>
              </w:rPr>
              <mc:AlternateContent>
                <mc:Choice Requires="wps">
                  <w:drawing>
                    <wp:anchor distT="0" distB="0" distL="114300" distR="114300" simplePos="0" relativeHeight="251663360" behindDoc="0" locked="0" layoutInCell="1" allowOverlap="1" wp14:anchorId="6E9A65F3" wp14:editId="344620A7">
                      <wp:simplePos x="0" y="0"/>
                      <wp:positionH relativeFrom="column">
                        <wp:posOffset>-101073</wp:posOffset>
                      </wp:positionH>
                      <wp:positionV relativeFrom="paragraph">
                        <wp:posOffset>227533</wp:posOffset>
                      </wp:positionV>
                      <wp:extent cx="1095375" cy="419100"/>
                      <wp:effectExtent l="0" t="0" r="28575" b="19050"/>
                      <wp:wrapNone/>
                      <wp:docPr id="101" name="AutoShap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95375" cy="41910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shapetype w14:anchorId="717C2A04" id="_x0000_t32" coordsize="21600,21600" o:spt="32" o:oned="t" path="m,l21600,21600e" filled="f">
                      <v:path arrowok="t" fillok="f" o:connecttype="none"/>
                      <o:lock v:ext="edit" shapetype="t"/>
                    </v:shapetype>
                    <v:shape id="AutoShape 3" o:spid="_x0000_s1026" type="#_x0000_t32" style="position:absolute;margin-left:-7.95pt;margin-top:17.9pt;width:86.25pt;height:33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"/>
                  </w:pict>
                </mc:Fallback>
              </mc:AlternateContent>
            </w:r>
            <w:r w:rsidRPr="00A9330B">
              <w:rPr>
                <w:b/>
                <w:sz w:val="18"/>
                <w:szCs w:val="18"/>
              </w:rPr>
              <w:t>Composantes du milieu</w:t>
            </w:r>
          </w:p>
          <w:p w14:paraId="1EC86F02" w14:textId="77777777" w:rsidR="00AB04ED" w:rsidRPr="00A9330B" w:rsidRDefault="00AB04ED" w:rsidP="00701C80">
            <w:pPr>
              <w:spacing w:before="0"/>
              <w:rPr>
                <w:b/>
                <w:sz w:val="18"/>
                <w:szCs w:val="18"/>
              </w:rPr>
            </w:pPr>
          </w:p>
          <w:p w14:paraId="0A5752AE" w14:textId="77777777" w:rsidR="00AB04ED" w:rsidRPr="00A9330B" w:rsidRDefault="00AB04ED" w:rsidP="00701C80">
            <w:pPr>
              <w:spacing w:before="0"/>
              <w:rPr>
                <w:b/>
                <w:sz w:val="18"/>
                <w:szCs w:val="18"/>
              </w:rPr>
            </w:pPr>
          </w:p>
          <w:p w14:paraId="530BA478" w14:textId="77777777" w:rsidR="00AB04ED" w:rsidRPr="00A9330B" w:rsidRDefault="00AB04ED" w:rsidP="00701C80">
            <w:pPr>
              <w:spacing w:before="0"/>
              <w:rPr>
                <w:b/>
                <w:sz w:val="18"/>
                <w:szCs w:val="18"/>
              </w:rPr>
            </w:pPr>
            <w:r w:rsidRPr="00A9330B">
              <w:rPr>
                <w:b/>
                <w:sz w:val="18"/>
                <w:szCs w:val="18"/>
              </w:rPr>
              <w:t>Activités</w:t>
            </w:r>
          </w:p>
          <w:p w14:paraId="00B15F79" w14:textId="77777777" w:rsidR="00AB04ED" w:rsidRPr="00A9330B" w:rsidRDefault="00AB04ED" w:rsidP="00701C80">
            <w:pPr>
              <w:spacing w:before="0"/>
              <w:rPr>
                <w:b/>
                <w:sz w:val="18"/>
                <w:szCs w:val="18"/>
              </w:rPr>
            </w:pPr>
            <w:r w:rsidRPr="00A9330B">
              <w:rPr>
                <w:b/>
                <w:sz w:val="18"/>
                <w:szCs w:val="18"/>
              </w:rPr>
              <w:t>par phase</w:t>
            </w:r>
          </w:p>
        </w:tc>
        <w:tc>
          <w:tcPr>
            <w:tcW w:w="651" w:type="dxa"/>
            <w:shd w:val="clear" w:color="auto" w:fill="B4C6E7" w:themeFill="accent5" w:themeFillTint="66"/>
          </w:tcPr>
          <w:p w14:paraId="2FA84A33" w14:textId="77777777" w:rsidR="00AB04ED" w:rsidRPr="00A9330B" w:rsidRDefault="00AB04ED" w:rsidP="00701C80">
            <w:pPr>
              <w:spacing w:before="0"/>
              <w:rPr>
                <w:b/>
                <w:sz w:val="18"/>
                <w:szCs w:val="18"/>
              </w:rPr>
            </w:pPr>
            <w:r w:rsidRPr="00A9330B">
              <w:rPr>
                <w:b/>
                <w:sz w:val="18"/>
                <w:szCs w:val="18"/>
              </w:rPr>
              <w:t>Air</w:t>
            </w:r>
          </w:p>
        </w:tc>
        <w:tc>
          <w:tcPr>
            <w:tcW w:w="534" w:type="dxa"/>
            <w:shd w:val="clear" w:color="auto" w:fill="B4C6E7" w:themeFill="accent5" w:themeFillTint="66"/>
          </w:tcPr>
          <w:p w14:paraId="66334491" w14:textId="77777777" w:rsidR="00AB04ED" w:rsidRPr="00A9330B" w:rsidRDefault="00AB04ED" w:rsidP="00701C80">
            <w:pPr>
              <w:rPr>
                <w:b/>
                <w:sz w:val="18"/>
                <w:szCs w:val="18"/>
              </w:rPr>
            </w:pPr>
            <w:r w:rsidRPr="00A9330B">
              <w:rPr>
                <w:b/>
                <w:sz w:val="18"/>
                <w:szCs w:val="18"/>
              </w:rPr>
              <w:t>sol</w:t>
            </w:r>
          </w:p>
        </w:tc>
        <w:tc>
          <w:tcPr>
            <w:tcW w:w="620" w:type="dxa"/>
            <w:shd w:val="clear" w:color="auto" w:fill="B4C6E7" w:themeFill="accent5" w:themeFillTint="66"/>
          </w:tcPr>
          <w:p w14:paraId="57DA634D" w14:textId="77777777" w:rsidR="00AB04ED" w:rsidRPr="00A9330B" w:rsidRDefault="00AB04ED" w:rsidP="00701C80">
            <w:pPr>
              <w:rPr>
                <w:b/>
                <w:sz w:val="18"/>
                <w:szCs w:val="18"/>
              </w:rPr>
            </w:pPr>
            <w:r w:rsidRPr="00A9330B">
              <w:rPr>
                <w:b/>
                <w:sz w:val="18"/>
                <w:szCs w:val="18"/>
              </w:rPr>
              <w:t>Eau</w:t>
            </w:r>
          </w:p>
        </w:tc>
        <w:tc>
          <w:tcPr>
            <w:tcW w:w="754" w:type="dxa"/>
            <w:shd w:val="clear" w:color="auto" w:fill="B4C6E7" w:themeFill="accent5" w:themeFillTint="66"/>
          </w:tcPr>
          <w:p w14:paraId="7020636D" w14:textId="77777777" w:rsidR="00AB04ED" w:rsidRPr="00A9330B" w:rsidRDefault="00AB04ED" w:rsidP="00701C80">
            <w:pPr>
              <w:rPr>
                <w:b/>
                <w:sz w:val="18"/>
                <w:szCs w:val="18"/>
              </w:rPr>
            </w:pPr>
            <w:r w:rsidRPr="00A9330B">
              <w:rPr>
                <w:b/>
                <w:sz w:val="18"/>
                <w:szCs w:val="18"/>
              </w:rPr>
              <w:t>Flore</w:t>
            </w:r>
          </w:p>
        </w:tc>
        <w:tc>
          <w:tcPr>
            <w:tcW w:w="864" w:type="dxa"/>
            <w:shd w:val="clear" w:color="auto" w:fill="B4C6E7" w:themeFill="accent5" w:themeFillTint="66"/>
          </w:tcPr>
          <w:p w14:paraId="2593405D" w14:textId="77777777" w:rsidR="00AB04ED" w:rsidRPr="00A9330B" w:rsidRDefault="00AB04ED" w:rsidP="00701C80">
            <w:pPr>
              <w:rPr>
                <w:b/>
                <w:sz w:val="18"/>
                <w:szCs w:val="18"/>
              </w:rPr>
            </w:pPr>
            <w:r w:rsidRPr="00A9330B">
              <w:rPr>
                <w:b/>
                <w:sz w:val="18"/>
                <w:szCs w:val="18"/>
              </w:rPr>
              <w:t>Faune</w:t>
            </w:r>
          </w:p>
        </w:tc>
        <w:tc>
          <w:tcPr>
            <w:tcW w:w="1109" w:type="dxa"/>
            <w:shd w:val="clear" w:color="auto" w:fill="B4C6E7" w:themeFill="accent5" w:themeFillTint="66"/>
          </w:tcPr>
          <w:p w14:paraId="1D18FBB1" w14:textId="77777777" w:rsidR="00AB04ED" w:rsidRPr="00A9330B" w:rsidRDefault="00AB04ED" w:rsidP="00701C80">
            <w:pPr>
              <w:rPr>
                <w:b/>
                <w:sz w:val="18"/>
                <w:szCs w:val="18"/>
              </w:rPr>
            </w:pPr>
            <w:r w:rsidRPr="00A9330B">
              <w:rPr>
                <w:b/>
                <w:sz w:val="18"/>
                <w:szCs w:val="18"/>
              </w:rPr>
              <w:t>Paysage</w:t>
            </w:r>
          </w:p>
        </w:tc>
        <w:tc>
          <w:tcPr>
            <w:tcW w:w="1451" w:type="dxa"/>
            <w:shd w:val="clear" w:color="auto" w:fill="B4C6E7" w:themeFill="accent5" w:themeFillTint="66"/>
          </w:tcPr>
          <w:p w14:paraId="627C68DA" w14:textId="77777777" w:rsidR="00AB04ED" w:rsidRPr="00A9330B" w:rsidRDefault="00AB04ED" w:rsidP="00701C80">
            <w:pPr>
              <w:rPr>
                <w:b/>
                <w:sz w:val="18"/>
                <w:szCs w:val="18"/>
              </w:rPr>
            </w:pPr>
            <w:r w:rsidRPr="00A9330B">
              <w:rPr>
                <w:b/>
                <w:sz w:val="18"/>
                <w:szCs w:val="18"/>
              </w:rPr>
              <w:t>Biens immobiliers</w:t>
            </w:r>
          </w:p>
        </w:tc>
        <w:tc>
          <w:tcPr>
            <w:tcW w:w="816" w:type="dxa"/>
            <w:shd w:val="clear" w:color="auto" w:fill="B4C6E7" w:themeFill="accent5" w:themeFillTint="66"/>
          </w:tcPr>
          <w:p w14:paraId="59CF4BD6" w14:textId="77777777" w:rsidR="00AB04ED" w:rsidRPr="00A9330B" w:rsidRDefault="00AB04ED" w:rsidP="00701C80">
            <w:pPr>
              <w:rPr>
                <w:b/>
                <w:sz w:val="18"/>
                <w:szCs w:val="18"/>
              </w:rPr>
            </w:pPr>
            <w:r w:rsidRPr="00A9330B">
              <w:rPr>
                <w:b/>
                <w:sz w:val="18"/>
                <w:szCs w:val="18"/>
              </w:rPr>
              <w:t>Santé</w:t>
            </w:r>
          </w:p>
        </w:tc>
        <w:tc>
          <w:tcPr>
            <w:tcW w:w="962" w:type="dxa"/>
            <w:shd w:val="clear" w:color="auto" w:fill="B4C6E7" w:themeFill="accent5" w:themeFillTint="66"/>
          </w:tcPr>
          <w:p w14:paraId="009D2604" w14:textId="77777777" w:rsidR="00AB04ED" w:rsidRPr="00A9330B" w:rsidRDefault="00AB04ED" w:rsidP="00701C80">
            <w:pPr>
              <w:rPr>
                <w:b/>
                <w:sz w:val="18"/>
                <w:szCs w:val="18"/>
              </w:rPr>
            </w:pPr>
            <w:r w:rsidRPr="00A9330B">
              <w:rPr>
                <w:b/>
                <w:sz w:val="18"/>
                <w:szCs w:val="18"/>
              </w:rPr>
              <w:t>Cultuel</w:t>
            </w:r>
          </w:p>
        </w:tc>
      </w:tr>
      <w:tr w:rsidR="00AB04ED" w:rsidRPr="00A9330B" w14:paraId="2EC5C9B2" w14:textId="77777777" w:rsidTr="00701C80">
        <w:tc>
          <w:tcPr>
            <w:tcW w:w="1702" w:type="dxa"/>
          </w:tcPr>
          <w:p w14:paraId="410EC188" w14:textId="77777777" w:rsidR="00AB04ED" w:rsidRPr="00A9330B" w:rsidRDefault="00AB04ED" w:rsidP="00701C80">
            <w:pPr>
              <w:rPr>
                <w:sz w:val="20"/>
                <w:szCs w:val="20"/>
              </w:rPr>
            </w:pPr>
          </w:p>
        </w:tc>
        <w:tc>
          <w:tcPr>
            <w:tcW w:w="651" w:type="dxa"/>
          </w:tcPr>
          <w:p w14:paraId="6E2367A4" w14:textId="77777777" w:rsidR="00AB04ED" w:rsidRPr="00A9330B" w:rsidRDefault="00AB04ED" w:rsidP="00701C80">
            <w:pPr>
              <w:rPr>
                <w:sz w:val="20"/>
                <w:szCs w:val="20"/>
              </w:rPr>
            </w:pPr>
          </w:p>
        </w:tc>
        <w:tc>
          <w:tcPr>
            <w:tcW w:w="534" w:type="dxa"/>
          </w:tcPr>
          <w:p w14:paraId="5F4BF005" w14:textId="77777777" w:rsidR="00AB04ED" w:rsidRPr="00A9330B" w:rsidRDefault="00AB04ED" w:rsidP="00701C80">
            <w:pPr>
              <w:rPr>
                <w:sz w:val="20"/>
                <w:szCs w:val="20"/>
              </w:rPr>
            </w:pPr>
          </w:p>
        </w:tc>
        <w:tc>
          <w:tcPr>
            <w:tcW w:w="620" w:type="dxa"/>
          </w:tcPr>
          <w:p w14:paraId="7F43C9F4" w14:textId="77777777" w:rsidR="00AB04ED" w:rsidRPr="00A9330B" w:rsidRDefault="00AB04ED" w:rsidP="00701C80">
            <w:pPr>
              <w:rPr>
                <w:sz w:val="20"/>
                <w:szCs w:val="20"/>
              </w:rPr>
            </w:pPr>
          </w:p>
        </w:tc>
        <w:tc>
          <w:tcPr>
            <w:tcW w:w="754" w:type="dxa"/>
          </w:tcPr>
          <w:p w14:paraId="66A7832F" w14:textId="77777777" w:rsidR="00AB04ED" w:rsidRPr="00A9330B" w:rsidRDefault="00AB04ED" w:rsidP="00701C80">
            <w:pPr>
              <w:rPr>
                <w:sz w:val="20"/>
                <w:szCs w:val="20"/>
              </w:rPr>
            </w:pPr>
          </w:p>
        </w:tc>
        <w:tc>
          <w:tcPr>
            <w:tcW w:w="864" w:type="dxa"/>
          </w:tcPr>
          <w:p w14:paraId="4360917E" w14:textId="77777777" w:rsidR="00AB04ED" w:rsidRPr="00A9330B" w:rsidRDefault="00AB04ED" w:rsidP="00701C80">
            <w:pPr>
              <w:rPr>
                <w:sz w:val="20"/>
                <w:szCs w:val="20"/>
              </w:rPr>
            </w:pPr>
          </w:p>
        </w:tc>
        <w:tc>
          <w:tcPr>
            <w:tcW w:w="1109" w:type="dxa"/>
          </w:tcPr>
          <w:p w14:paraId="6ABA6C6E" w14:textId="77777777" w:rsidR="00AB04ED" w:rsidRPr="00A9330B" w:rsidRDefault="00AB04ED" w:rsidP="00701C80">
            <w:pPr>
              <w:rPr>
                <w:sz w:val="20"/>
                <w:szCs w:val="20"/>
              </w:rPr>
            </w:pPr>
          </w:p>
        </w:tc>
        <w:tc>
          <w:tcPr>
            <w:tcW w:w="1451" w:type="dxa"/>
          </w:tcPr>
          <w:p w14:paraId="0CDEBA1D" w14:textId="77777777" w:rsidR="00AB04ED" w:rsidRPr="00A9330B" w:rsidRDefault="00AB04ED" w:rsidP="00701C80">
            <w:pPr>
              <w:rPr>
                <w:sz w:val="20"/>
                <w:szCs w:val="20"/>
              </w:rPr>
            </w:pPr>
          </w:p>
        </w:tc>
        <w:tc>
          <w:tcPr>
            <w:tcW w:w="816" w:type="dxa"/>
          </w:tcPr>
          <w:p w14:paraId="5796B191" w14:textId="77777777" w:rsidR="00AB04ED" w:rsidRPr="00A9330B" w:rsidRDefault="00AB04ED" w:rsidP="00701C80">
            <w:pPr>
              <w:rPr>
                <w:sz w:val="20"/>
                <w:szCs w:val="20"/>
              </w:rPr>
            </w:pPr>
          </w:p>
        </w:tc>
        <w:tc>
          <w:tcPr>
            <w:tcW w:w="962" w:type="dxa"/>
          </w:tcPr>
          <w:p w14:paraId="4B26E902" w14:textId="77777777" w:rsidR="00AB04ED" w:rsidRPr="00A9330B" w:rsidRDefault="00AB04ED" w:rsidP="00701C80">
            <w:pPr>
              <w:rPr>
                <w:sz w:val="20"/>
                <w:szCs w:val="20"/>
              </w:rPr>
            </w:pPr>
          </w:p>
        </w:tc>
      </w:tr>
      <w:tr w:rsidR="00AB04ED" w:rsidRPr="00A9330B" w14:paraId="52A2C160" w14:textId="77777777" w:rsidTr="00701C80">
        <w:tc>
          <w:tcPr>
            <w:tcW w:w="1702" w:type="dxa"/>
          </w:tcPr>
          <w:p w14:paraId="74D76E94" w14:textId="77777777" w:rsidR="00AB04ED" w:rsidRPr="00A9330B" w:rsidRDefault="00AB04ED" w:rsidP="00701C80">
            <w:pPr>
              <w:rPr>
                <w:sz w:val="20"/>
                <w:szCs w:val="20"/>
              </w:rPr>
            </w:pPr>
          </w:p>
        </w:tc>
        <w:tc>
          <w:tcPr>
            <w:tcW w:w="651" w:type="dxa"/>
          </w:tcPr>
          <w:p w14:paraId="07BA1775" w14:textId="77777777" w:rsidR="00AB04ED" w:rsidRPr="00A9330B" w:rsidRDefault="00AB04ED" w:rsidP="00701C80">
            <w:pPr>
              <w:rPr>
                <w:sz w:val="20"/>
                <w:szCs w:val="20"/>
              </w:rPr>
            </w:pPr>
          </w:p>
        </w:tc>
        <w:tc>
          <w:tcPr>
            <w:tcW w:w="534" w:type="dxa"/>
          </w:tcPr>
          <w:p w14:paraId="0922A85E" w14:textId="77777777" w:rsidR="00AB04ED" w:rsidRPr="00A9330B" w:rsidRDefault="00AB04ED" w:rsidP="00701C80">
            <w:pPr>
              <w:rPr>
                <w:sz w:val="20"/>
                <w:szCs w:val="20"/>
              </w:rPr>
            </w:pPr>
          </w:p>
        </w:tc>
        <w:tc>
          <w:tcPr>
            <w:tcW w:w="620" w:type="dxa"/>
          </w:tcPr>
          <w:p w14:paraId="11A1CEDB" w14:textId="77777777" w:rsidR="00AB04ED" w:rsidRPr="00A9330B" w:rsidRDefault="00AB04ED" w:rsidP="00701C80">
            <w:pPr>
              <w:rPr>
                <w:sz w:val="20"/>
                <w:szCs w:val="20"/>
              </w:rPr>
            </w:pPr>
          </w:p>
        </w:tc>
        <w:tc>
          <w:tcPr>
            <w:tcW w:w="754" w:type="dxa"/>
          </w:tcPr>
          <w:p w14:paraId="07895D96" w14:textId="77777777" w:rsidR="00AB04ED" w:rsidRPr="00A9330B" w:rsidRDefault="00AB04ED" w:rsidP="00701C80">
            <w:pPr>
              <w:rPr>
                <w:sz w:val="20"/>
                <w:szCs w:val="20"/>
              </w:rPr>
            </w:pPr>
          </w:p>
        </w:tc>
        <w:tc>
          <w:tcPr>
            <w:tcW w:w="864" w:type="dxa"/>
          </w:tcPr>
          <w:p w14:paraId="3BD7F58B" w14:textId="77777777" w:rsidR="00AB04ED" w:rsidRPr="00A9330B" w:rsidRDefault="00AB04ED" w:rsidP="00701C80">
            <w:pPr>
              <w:rPr>
                <w:sz w:val="20"/>
                <w:szCs w:val="20"/>
              </w:rPr>
            </w:pPr>
          </w:p>
        </w:tc>
        <w:tc>
          <w:tcPr>
            <w:tcW w:w="1109" w:type="dxa"/>
          </w:tcPr>
          <w:p w14:paraId="66F3BC39" w14:textId="77777777" w:rsidR="00AB04ED" w:rsidRPr="00A9330B" w:rsidRDefault="00AB04ED" w:rsidP="00701C80">
            <w:pPr>
              <w:rPr>
                <w:sz w:val="20"/>
                <w:szCs w:val="20"/>
              </w:rPr>
            </w:pPr>
          </w:p>
        </w:tc>
        <w:tc>
          <w:tcPr>
            <w:tcW w:w="1451" w:type="dxa"/>
          </w:tcPr>
          <w:p w14:paraId="2F88B1AC" w14:textId="77777777" w:rsidR="00AB04ED" w:rsidRPr="00A9330B" w:rsidRDefault="00AB04ED" w:rsidP="00701C80">
            <w:pPr>
              <w:rPr>
                <w:sz w:val="20"/>
                <w:szCs w:val="20"/>
              </w:rPr>
            </w:pPr>
          </w:p>
        </w:tc>
        <w:tc>
          <w:tcPr>
            <w:tcW w:w="816" w:type="dxa"/>
          </w:tcPr>
          <w:p w14:paraId="2A14DA98" w14:textId="77777777" w:rsidR="00AB04ED" w:rsidRPr="00A9330B" w:rsidRDefault="00AB04ED" w:rsidP="00701C80">
            <w:pPr>
              <w:rPr>
                <w:sz w:val="20"/>
                <w:szCs w:val="20"/>
              </w:rPr>
            </w:pPr>
          </w:p>
        </w:tc>
        <w:tc>
          <w:tcPr>
            <w:tcW w:w="962" w:type="dxa"/>
          </w:tcPr>
          <w:p w14:paraId="7D12BB27" w14:textId="77777777" w:rsidR="00AB04ED" w:rsidRPr="00A9330B" w:rsidRDefault="00AB04ED" w:rsidP="00701C80">
            <w:pPr>
              <w:rPr>
                <w:sz w:val="20"/>
                <w:szCs w:val="20"/>
              </w:rPr>
            </w:pPr>
          </w:p>
        </w:tc>
      </w:tr>
      <w:tr w:rsidR="00AB04ED" w:rsidRPr="00A9330B" w14:paraId="029D5F73" w14:textId="77777777" w:rsidTr="00701C80">
        <w:tc>
          <w:tcPr>
            <w:tcW w:w="1702" w:type="dxa"/>
          </w:tcPr>
          <w:p w14:paraId="48E1639B" w14:textId="77777777" w:rsidR="00AB04ED" w:rsidRPr="00A9330B" w:rsidRDefault="00AB04ED" w:rsidP="00701C80">
            <w:pPr>
              <w:rPr>
                <w:sz w:val="20"/>
                <w:szCs w:val="20"/>
              </w:rPr>
            </w:pPr>
          </w:p>
        </w:tc>
        <w:tc>
          <w:tcPr>
            <w:tcW w:w="651" w:type="dxa"/>
          </w:tcPr>
          <w:p w14:paraId="09B70216" w14:textId="77777777" w:rsidR="00AB04ED" w:rsidRPr="00A9330B" w:rsidRDefault="00AB04ED" w:rsidP="00701C80">
            <w:pPr>
              <w:rPr>
                <w:sz w:val="20"/>
                <w:szCs w:val="20"/>
              </w:rPr>
            </w:pPr>
          </w:p>
        </w:tc>
        <w:tc>
          <w:tcPr>
            <w:tcW w:w="534" w:type="dxa"/>
          </w:tcPr>
          <w:p w14:paraId="4CD7B220" w14:textId="77777777" w:rsidR="00AB04ED" w:rsidRPr="00A9330B" w:rsidRDefault="00AB04ED" w:rsidP="00701C80">
            <w:pPr>
              <w:rPr>
                <w:sz w:val="20"/>
                <w:szCs w:val="20"/>
              </w:rPr>
            </w:pPr>
          </w:p>
        </w:tc>
        <w:tc>
          <w:tcPr>
            <w:tcW w:w="620" w:type="dxa"/>
          </w:tcPr>
          <w:p w14:paraId="09D94EF1" w14:textId="77777777" w:rsidR="00AB04ED" w:rsidRPr="00A9330B" w:rsidRDefault="00AB04ED" w:rsidP="00701C80">
            <w:pPr>
              <w:rPr>
                <w:sz w:val="20"/>
                <w:szCs w:val="20"/>
              </w:rPr>
            </w:pPr>
          </w:p>
        </w:tc>
        <w:tc>
          <w:tcPr>
            <w:tcW w:w="754" w:type="dxa"/>
          </w:tcPr>
          <w:p w14:paraId="70B63ACE" w14:textId="77777777" w:rsidR="00AB04ED" w:rsidRPr="00A9330B" w:rsidRDefault="00AB04ED" w:rsidP="00701C80">
            <w:pPr>
              <w:rPr>
                <w:sz w:val="20"/>
                <w:szCs w:val="20"/>
              </w:rPr>
            </w:pPr>
          </w:p>
        </w:tc>
        <w:tc>
          <w:tcPr>
            <w:tcW w:w="864" w:type="dxa"/>
          </w:tcPr>
          <w:p w14:paraId="19FAE713" w14:textId="77777777" w:rsidR="00AB04ED" w:rsidRPr="00A9330B" w:rsidRDefault="00AB04ED" w:rsidP="00701C80">
            <w:pPr>
              <w:rPr>
                <w:sz w:val="20"/>
                <w:szCs w:val="20"/>
              </w:rPr>
            </w:pPr>
          </w:p>
        </w:tc>
        <w:tc>
          <w:tcPr>
            <w:tcW w:w="1109" w:type="dxa"/>
          </w:tcPr>
          <w:p w14:paraId="497F8FA8" w14:textId="77777777" w:rsidR="00AB04ED" w:rsidRPr="00A9330B" w:rsidRDefault="00AB04ED" w:rsidP="00701C80">
            <w:pPr>
              <w:rPr>
                <w:sz w:val="20"/>
                <w:szCs w:val="20"/>
              </w:rPr>
            </w:pPr>
          </w:p>
        </w:tc>
        <w:tc>
          <w:tcPr>
            <w:tcW w:w="1451" w:type="dxa"/>
          </w:tcPr>
          <w:p w14:paraId="3DB6EC02" w14:textId="77777777" w:rsidR="00AB04ED" w:rsidRPr="00A9330B" w:rsidRDefault="00AB04ED" w:rsidP="00701C80">
            <w:pPr>
              <w:rPr>
                <w:sz w:val="20"/>
                <w:szCs w:val="20"/>
              </w:rPr>
            </w:pPr>
          </w:p>
        </w:tc>
        <w:tc>
          <w:tcPr>
            <w:tcW w:w="816" w:type="dxa"/>
          </w:tcPr>
          <w:p w14:paraId="2D88E99C" w14:textId="77777777" w:rsidR="00AB04ED" w:rsidRPr="00A9330B" w:rsidRDefault="00AB04ED" w:rsidP="00701C80">
            <w:pPr>
              <w:rPr>
                <w:sz w:val="20"/>
                <w:szCs w:val="20"/>
              </w:rPr>
            </w:pPr>
          </w:p>
        </w:tc>
        <w:tc>
          <w:tcPr>
            <w:tcW w:w="962" w:type="dxa"/>
          </w:tcPr>
          <w:p w14:paraId="7876DA30" w14:textId="77777777" w:rsidR="00AB04ED" w:rsidRPr="00A9330B" w:rsidRDefault="00AB04ED" w:rsidP="00701C80">
            <w:pPr>
              <w:rPr>
                <w:sz w:val="20"/>
                <w:szCs w:val="20"/>
              </w:rPr>
            </w:pPr>
          </w:p>
        </w:tc>
      </w:tr>
    </w:tbl>
    <w:p w14:paraId="01EF92A4" w14:textId="77777777" w:rsidR="00AB04ED" w:rsidRPr="00A9330B" w:rsidRDefault="00AB04ED" w:rsidP="0064324E">
      <w:pPr>
        <w:pStyle w:val="Titre40"/>
      </w:pPr>
      <w:bookmarkStart w:id="568" w:name="_Toc524380643"/>
      <w:bookmarkStart w:id="569" w:name="_Toc16003529"/>
      <w:bookmarkStart w:id="570" w:name="_Toc45520762"/>
      <w:bookmarkStart w:id="571" w:name="_Toc363748988"/>
      <w:bookmarkStart w:id="572" w:name="_Toc413950508"/>
      <w:bookmarkStart w:id="573" w:name="_Toc52869570"/>
      <w:r w:rsidRPr="00A9330B">
        <w:t>1.3.4.3. Méthodologie d’analyse de l’importance des impacts</w:t>
      </w:r>
      <w:bookmarkEnd w:id="568"/>
      <w:bookmarkEnd w:id="569"/>
      <w:bookmarkEnd w:id="570"/>
      <w:bookmarkEnd w:id="573"/>
    </w:p>
    <w:p w14:paraId="5ED94357" w14:textId="77777777" w:rsidR="00AB04ED" w:rsidRPr="00A9330B" w:rsidRDefault="00AB04ED" w:rsidP="00AB04ED">
      <w:pPr>
        <w:jc w:val="both"/>
      </w:pPr>
      <w:bookmarkStart w:id="574" w:name="_Toc524380648"/>
      <w:bookmarkEnd w:id="571"/>
      <w:bookmarkEnd w:id="572"/>
      <w:r w:rsidRPr="00A9330B">
        <w:t>L’évaluation des impacts environnementaux consiste à déterminer l’importance de chaque impact ; il s’agit d’un jugement de valeur qui permet d’établir des niveaux d’acceptabilité compte tenu des normes en vigueur et des spécificités nationales et locales.</w:t>
      </w:r>
      <w:r w:rsidRPr="00A9330B">
        <w:cr/>
      </w:r>
      <w:r w:rsidRPr="00A9330B">
        <w:rPr>
          <w:b/>
        </w:rPr>
        <w:t>Le caractère</w:t>
      </w:r>
      <w:r w:rsidRPr="00A9330B">
        <w:t xml:space="preserve"> consiste à déterminer si l’impact probable est positif ou négatif. Les modifications sur le milieu physique, les impacts sur les milieux biologique et humain posséderont toujours un caractère positif ou négatif, à moins qu’on ne puisse le déterminer, faute de connaissance.</w:t>
      </w:r>
    </w:p>
    <w:p w14:paraId="4FF94F6D" w14:textId="2CD33BD3" w:rsidR="00AB04ED" w:rsidRPr="00A9330B" w:rsidRDefault="00AB04ED" w:rsidP="00AB04ED">
      <w:pPr>
        <w:jc w:val="both"/>
      </w:pPr>
      <w:r w:rsidRPr="00A9330B">
        <w:rPr>
          <w:b/>
        </w:rPr>
        <w:t>L’étendue</w:t>
      </w:r>
      <w:r w:rsidRPr="00A9330B">
        <w:t xml:space="preserve"> d’un impact réfère à son influence sur le territoire en termes de superficie. Une étendue ponctuelle (limité</w:t>
      </w:r>
      <w:r w:rsidR="00D40989" w:rsidRPr="00A9330B">
        <w:t>e</w:t>
      </w:r>
      <w:r w:rsidRPr="00A9330B">
        <w:t xml:space="preserve"> au site) signifie que seulement les environs immédiats du milieu </w:t>
      </w:r>
      <w:r w:rsidRPr="00A9330B">
        <w:lastRenderedPageBreak/>
        <w:t>sont perturbés. Une étendue locale réfère à un territoire plus vaste, mais somme toute, relativement limité</w:t>
      </w:r>
      <w:r w:rsidR="00D40989" w:rsidRPr="00A9330B">
        <w:t>e</w:t>
      </w:r>
      <w:r w:rsidRPr="00A9330B">
        <w:t xml:space="preserve"> dans l’espace comme par exemple, la zone d’étude restreinte d’un projet (le site et son environnement immédiat). Une étendue régionale est considérée pour un impact dont la répercussion dépasse largement les limites de la zone d’étude restreinte (zone élargie du projet et rayonnement dans les communes concernées).</w:t>
      </w:r>
    </w:p>
    <w:p w14:paraId="2A68EBE1" w14:textId="2C4AEDB4" w:rsidR="00AB04ED" w:rsidRPr="00A9330B" w:rsidRDefault="00AB04ED" w:rsidP="00AB04ED">
      <w:pPr>
        <w:jc w:val="both"/>
      </w:pPr>
      <w:r w:rsidRPr="00A9330B">
        <w:rPr>
          <w:b/>
        </w:rPr>
        <w:t xml:space="preserve">La durée </w:t>
      </w:r>
      <w:r w:rsidRPr="00A9330B">
        <w:t>de l’impact probable réfère à sa portée dans le temps. Il est momentané, temporaire ou permanent. Un impact momentané ou temporaire est associé à la notion de réversibilité des conditions observées avant la réalisation du projet, dans un laps de temps déterminé, souvent immédiatement après la période de construction. Un impact permanent pourra être associé à la notion d’irréversibilité. Parfois, il est aussi intéressant de spécifier le caractère récurent et la fréquence de certains impacts.</w:t>
      </w:r>
    </w:p>
    <w:p w14:paraId="162DE411" w14:textId="77777777" w:rsidR="00AB04ED" w:rsidRPr="00A9330B" w:rsidRDefault="00AB04ED" w:rsidP="00AB04ED">
      <w:pPr>
        <w:jc w:val="both"/>
      </w:pPr>
      <w:r w:rsidRPr="00A9330B">
        <w:rPr>
          <w:b/>
        </w:rPr>
        <w:t>L’intensité</w:t>
      </w:r>
      <w:r w:rsidRPr="00A9330B">
        <w:t xml:space="preserve"> (ou degré de perturbation) de l’impact consiste à juger de la perturbation du milieu occasionné par le projet. On utilise généralement différents niveaux d’intensité (faible, moyenne, forte, très forte). Pour déterminer l’intensité d’un impact, il est important de considérer la valeur intrinsèque (opinion scientifique, valeur sociale) de la composante et celle accordée par la population. Plus une composante de l’écosystème est valorisée, unique, rare ou sensible, plus l’intensité de l’impact sera significative.</w:t>
      </w:r>
    </w:p>
    <w:p w14:paraId="79932508" w14:textId="77777777" w:rsidR="00AB04ED" w:rsidRPr="00A9330B" w:rsidRDefault="00AB04ED" w:rsidP="00AB04ED">
      <w:pPr>
        <w:jc w:val="both"/>
      </w:pPr>
      <w:r w:rsidRPr="00A9330B">
        <w:rPr>
          <w:b/>
        </w:rPr>
        <w:t>La valeur</w:t>
      </w:r>
      <w:r w:rsidRPr="00A9330B">
        <w:t xml:space="preserve"> associée à un impact se rapporte à l’importance sociale, économique et/ou culturelle que la population attache à une ressource ainsi qu’à l’importance écologique de cette ressource dans la dynamique de l’écosystème affecté aux plans local, régional ou national. Cette valeur sera considérée comme faible, moyenne ou forte.</w:t>
      </w:r>
    </w:p>
    <w:p w14:paraId="1D00A157" w14:textId="00508F4C" w:rsidR="00AB04ED" w:rsidRPr="00A9330B" w:rsidRDefault="00AB04ED" w:rsidP="00AB04ED">
      <w:pPr>
        <w:jc w:val="both"/>
      </w:pPr>
      <w:r w:rsidRPr="00A9330B">
        <w:t>La valeur est faible si l’impact affecte une ressource abondante de façon saisonnière ou en toute saison, mais non menacée d’extinction ; elle est moyenne si l’impact affecte une ressource dont le temps de régénération et de mutation est relativement long. La valeur est forte si elle affecte une ressource dont le temps de régénération et de mutation est très long, une zone sensible, une ressource protégée ou une ressource menacée d’extinction définitive.</w:t>
      </w:r>
    </w:p>
    <w:p w14:paraId="3C3A3CC7" w14:textId="77777777" w:rsidR="00AB04ED" w:rsidRPr="00A9330B" w:rsidRDefault="00AB04ED" w:rsidP="00AB04ED">
      <w:pPr>
        <w:jc w:val="both"/>
      </w:pPr>
      <w:r w:rsidRPr="00A9330B">
        <w:rPr>
          <w:b/>
        </w:rPr>
        <w:t>L’importance</w:t>
      </w:r>
      <w:r w:rsidRPr="00A9330B">
        <w:t xml:space="preserve"> à accorder à un impact traduit le degré de perturbation que va subir une composante environnementale donnée. L'importance d'un impact, qu'elle soit de nature positive ou négative, est déterminée d'après l'évaluation faite à partir des critères énoncés précédemment. Ainsi, l'importance de l'impact est fonction de la valeur accordée à la composante touchée, de son intensité, de son étendue, mais également de sa durée. L'importance est en fait proportionnelle à ces quatre critères spécifiques définis. Elle sera qualifiée de faible, de moyenne ou de forte. Plus un impact est intense, étendu et durable, plus il est considéré comme important au regard des composantes environnementales les plus sensibles et les plus valorisées. </w:t>
      </w:r>
    </w:p>
    <w:p w14:paraId="213A84A6" w14:textId="0C83696E" w:rsidR="00AB04ED" w:rsidRPr="00A9330B" w:rsidRDefault="00AB04ED" w:rsidP="00A9330B">
      <w:pPr>
        <w:pStyle w:val="Lgende"/>
      </w:pPr>
      <w:bookmarkStart w:id="575" w:name="_Toc517376532"/>
      <w:bookmarkStart w:id="576" w:name="_Toc52873729"/>
      <w:r w:rsidRPr="00A9330B">
        <w:t xml:space="preserve">Tableau </w:t>
      </w:r>
      <w:r w:rsidR="009D26AD" w:rsidRPr="00A9330B">
        <w:rPr>
          <w:noProof/>
        </w:rPr>
        <w:fldChar w:fldCharType="begin"/>
      </w:r>
      <w:r w:rsidR="009D26AD" w:rsidRPr="00A9330B">
        <w:rPr>
          <w:noProof/>
        </w:rPr>
        <w:instrText xml:space="preserve"> SEQ Tableau \* ARABIC </w:instrText>
      </w:r>
      <w:r w:rsidR="009D26AD" w:rsidRPr="00A9330B">
        <w:rPr>
          <w:noProof/>
        </w:rPr>
        <w:fldChar w:fldCharType="separate"/>
      </w:r>
      <w:r w:rsidR="00417D31" w:rsidRPr="00A9330B">
        <w:rPr>
          <w:noProof/>
        </w:rPr>
        <w:t>5</w:t>
      </w:r>
      <w:r w:rsidR="009D26AD" w:rsidRPr="00A9330B">
        <w:rPr>
          <w:noProof/>
        </w:rPr>
        <w:fldChar w:fldCharType="end"/>
      </w:r>
      <w:r w:rsidRPr="00A9330B">
        <w:t> : Cadre de référence pour l’évaluation des impacts</w:t>
      </w:r>
      <w:bookmarkEnd w:id="575"/>
      <w:bookmarkEnd w:id="576"/>
      <w:r w:rsidRPr="00A9330B">
        <w:t xml:space="preserve"> </w:t>
      </w:r>
    </w:p>
    <w:tbl>
      <w:tblPr>
        <w:tblW w:w="8861" w:type="dxa"/>
        <w:tblInd w:w="2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547"/>
        <w:gridCol w:w="1548"/>
        <w:gridCol w:w="1428"/>
        <w:gridCol w:w="1577"/>
        <w:gridCol w:w="1577"/>
        <w:gridCol w:w="1184"/>
      </w:tblGrid>
      <w:tr w:rsidR="00AB04ED" w:rsidRPr="00A9330B" w14:paraId="5F928F14" w14:textId="77777777" w:rsidTr="00701C80">
        <w:trPr>
          <w:cantSplit/>
          <w:trHeight w:val="272"/>
        </w:trPr>
        <w:tc>
          <w:tcPr>
            <w:tcW w:w="1547" w:type="dxa"/>
            <w:vMerge w:val="restart"/>
            <w:shd w:val="clear" w:color="auto" w:fill="B4C6E7" w:themeFill="accent5" w:themeFillTint="66"/>
            <w:vAlign w:val="center"/>
          </w:tcPr>
          <w:p w14:paraId="5CFF8C6D" w14:textId="77777777" w:rsidR="00AB04ED" w:rsidRPr="00A9330B" w:rsidRDefault="00AB04ED" w:rsidP="00701C80">
            <w:pPr>
              <w:spacing w:before="60" w:line="240" w:lineRule="auto"/>
              <w:jc w:val="center"/>
              <w:rPr>
                <w:b/>
                <w:sz w:val="20"/>
                <w:szCs w:val="20"/>
              </w:rPr>
            </w:pPr>
            <w:r w:rsidRPr="00A9330B">
              <w:rPr>
                <w:b/>
                <w:sz w:val="20"/>
                <w:szCs w:val="20"/>
              </w:rPr>
              <w:t>DURÉE</w:t>
            </w:r>
          </w:p>
        </w:tc>
        <w:tc>
          <w:tcPr>
            <w:tcW w:w="1548" w:type="dxa"/>
            <w:vMerge w:val="restart"/>
            <w:shd w:val="clear" w:color="auto" w:fill="B4C6E7" w:themeFill="accent5" w:themeFillTint="66"/>
            <w:vAlign w:val="center"/>
          </w:tcPr>
          <w:p w14:paraId="52BB0D4F" w14:textId="77777777" w:rsidR="00AB04ED" w:rsidRPr="00A9330B" w:rsidRDefault="00AB04ED" w:rsidP="00701C80">
            <w:pPr>
              <w:spacing w:before="60" w:line="240" w:lineRule="auto"/>
              <w:jc w:val="center"/>
              <w:rPr>
                <w:b/>
                <w:sz w:val="20"/>
                <w:szCs w:val="20"/>
              </w:rPr>
            </w:pPr>
            <w:r w:rsidRPr="00A9330B">
              <w:rPr>
                <w:b/>
                <w:sz w:val="20"/>
                <w:szCs w:val="20"/>
              </w:rPr>
              <w:t>ÉTENDUE</w:t>
            </w:r>
          </w:p>
        </w:tc>
        <w:tc>
          <w:tcPr>
            <w:tcW w:w="5766" w:type="dxa"/>
            <w:gridSpan w:val="4"/>
            <w:shd w:val="clear" w:color="auto" w:fill="B4C6E7" w:themeFill="accent5" w:themeFillTint="66"/>
            <w:vAlign w:val="center"/>
          </w:tcPr>
          <w:p w14:paraId="6CFA7620" w14:textId="77777777" w:rsidR="00AB04ED" w:rsidRPr="00A9330B" w:rsidRDefault="00AB04ED" w:rsidP="00701C80">
            <w:pPr>
              <w:spacing w:before="60" w:line="240" w:lineRule="auto"/>
              <w:jc w:val="center"/>
              <w:rPr>
                <w:b/>
                <w:sz w:val="20"/>
                <w:szCs w:val="20"/>
              </w:rPr>
            </w:pPr>
            <w:r w:rsidRPr="00A9330B">
              <w:rPr>
                <w:b/>
                <w:sz w:val="20"/>
                <w:szCs w:val="20"/>
              </w:rPr>
              <w:t>INTENSITE</w:t>
            </w:r>
          </w:p>
        </w:tc>
      </w:tr>
      <w:tr w:rsidR="00AB04ED" w:rsidRPr="00A9330B" w14:paraId="1AB0C26E" w14:textId="77777777" w:rsidTr="00701C80">
        <w:trPr>
          <w:cantSplit/>
          <w:trHeight w:val="285"/>
        </w:trPr>
        <w:tc>
          <w:tcPr>
            <w:tcW w:w="1547" w:type="dxa"/>
            <w:vMerge/>
            <w:shd w:val="clear" w:color="auto" w:fill="B4C6E7" w:themeFill="accent5" w:themeFillTint="66"/>
            <w:vAlign w:val="center"/>
          </w:tcPr>
          <w:p w14:paraId="1487CA02" w14:textId="77777777" w:rsidR="00AB04ED" w:rsidRPr="00A9330B" w:rsidRDefault="00AB04ED" w:rsidP="00701C80">
            <w:pPr>
              <w:spacing w:before="60" w:line="240" w:lineRule="auto"/>
              <w:jc w:val="center"/>
              <w:rPr>
                <w:b/>
                <w:sz w:val="20"/>
                <w:szCs w:val="20"/>
              </w:rPr>
            </w:pPr>
          </w:p>
        </w:tc>
        <w:tc>
          <w:tcPr>
            <w:tcW w:w="1548" w:type="dxa"/>
            <w:vMerge/>
            <w:shd w:val="clear" w:color="auto" w:fill="B4C6E7" w:themeFill="accent5" w:themeFillTint="66"/>
            <w:vAlign w:val="center"/>
          </w:tcPr>
          <w:p w14:paraId="385D7D1A" w14:textId="77777777" w:rsidR="00AB04ED" w:rsidRPr="00A9330B" w:rsidRDefault="00AB04ED" w:rsidP="00701C80">
            <w:pPr>
              <w:spacing w:before="60" w:line="240" w:lineRule="auto"/>
              <w:jc w:val="center"/>
              <w:rPr>
                <w:b/>
                <w:sz w:val="20"/>
                <w:szCs w:val="20"/>
              </w:rPr>
            </w:pPr>
          </w:p>
        </w:tc>
        <w:tc>
          <w:tcPr>
            <w:tcW w:w="1428" w:type="dxa"/>
            <w:shd w:val="clear" w:color="auto" w:fill="B4C6E7" w:themeFill="accent5" w:themeFillTint="66"/>
            <w:vAlign w:val="center"/>
          </w:tcPr>
          <w:p w14:paraId="75952822" w14:textId="77777777" w:rsidR="00AB04ED" w:rsidRPr="00A9330B" w:rsidRDefault="00AB04ED" w:rsidP="00701C80">
            <w:pPr>
              <w:spacing w:before="60" w:line="240" w:lineRule="auto"/>
              <w:jc w:val="center"/>
              <w:rPr>
                <w:b/>
                <w:sz w:val="20"/>
                <w:szCs w:val="20"/>
              </w:rPr>
            </w:pPr>
            <w:r w:rsidRPr="00A9330B">
              <w:rPr>
                <w:b/>
                <w:sz w:val="20"/>
                <w:szCs w:val="20"/>
              </w:rPr>
              <w:t>Faible</w:t>
            </w:r>
          </w:p>
        </w:tc>
        <w:tc>
          <w:tcPr>
            <w:tcW w:w="1577" w:type="dxa"/>
            <w:shd w:val="clear" w:color="auto" w:fill="B4C6E7" w:themeFill="accent5" w:themeFillTint="66"/>
            <w:vAlign w:val="center"/>
          </w:tcPr>
          <w:p w14:paraId="76318A72" w14:textId="77777777" w:rsidR="00AB04ED" w:rsidRPr="00A9330B" w:rsidRDefault="00AB04ED" w:rsidP="00701C80">
            <w:pPr>
              <w:spacing w:before="60" w:line="240" w:lineRule="auto"/>
              <w:jc w:val="center"/>
              <w:rPr>
                <w:b/>
                <w:sz w:val="20"/>
                <w:szCs w:val="20"/>
              </w:rPr>
            </w:pPr>
            <w:r w:rsidRPr="00A9330B">
              <w:rPr>
                <w:b/>
                <w:sz w:val="20"/>
                <w:szCs w:val="20"/>
              </w:rPr>
              <w:t>Moyenne</w:t>
            </w:r>
          </w:p>
        </w:tc>
        <w:tc>
          <w:tcPr>
            <w:tcW w:w="1577" w:type="dxa"/>
            <w:shd w:val="clear" w:color="auto" w:fill="B4C6E7" w:themeFill="accent5" w:themeFillTint="66"/>
            <w:vAlign w:val="center"/>
          </w:tcPr>
          <w:p w14:paraId="65993F68" w14:textId="77777777" w:rsidR="00AB04ED" w:rsidRPr="00A9330B" w:rsidRDefault="00AB04ED" w:rsidP="00701C80">
            <w:pPr>
              <w:spacing w:before="60" w:line="240" w:lineRule="auto"/>
              <w:jc w:val="center"/>
              <w:rPr>
                <w:b/>
                <w:sz w:val="20"/>
                <w:szCs w:val="20"/>
              </w:rPr>
            </w:pPr>
            <w:r w:rsidRPr="00A9330B">
              <w:rPr>
                <w:b/>
                <w:sz w:val="20"/>
                <w:szCs w:val="20"/>
              </w:rPr>
              <w:t>Forte</w:t>
            </w:r>
          </w:p>
        </w:tc>
        <w:tc>
          <w:tcPr>
            <w:tcW w:w="1182" w:type="dxa"/>
            <w:shd w:val="clear" w:color="auto" w:fill="B4C6E7" w:themeFill="accent5" w:themeFillTint="66"/>
            <w:vAlign w:val="center"/>
          </w:tcPr>
          <w:p w14:paraId="43226CB2" w14:textId="77777777" w:rsidR="00AB04ED" w:rsidRPr="00A9330B" w:rsidRDefault="00AB04ED" w:rsidP="00701C80">
            <w:pPr>
              <w:spacing w:before="60" w:line="240" w:lineRule="auto"/>
              <w:jc w:val="center"/>
              <w:rPr>
                <w:b/>
                <w:sz w:val="20"/>
                <w:szCs w:val="20"/>
              </w:rPr>
            </w:pPr>
            <w:r w:rsidRPr="00A9330B">
              <w:rPr>
                <w:b/>
                <w:sz w:val="20"/>
                <w:szCs w:val="20"/>
              </w:rPr>
              <w:t>Très forte</w:t>
            </w:r>
          </w:p>
        </w:tc>
      </w:tr>
      <w:tr w:rsidR="00AB04ED" w:rsidRPr="00A9330B" w14:paraId="2AE429B9" w14:textId="77777777" w:rsidTr="00701C80">
        <w:trPr>
          <w:cantSplit/>
          <w:trHeight w:val="349"/>
        </w:trPr>
        <w:tc>
          <w:tcPr>
            <w:tcW w:w="1547" w:type="dxa"/>
            <w:vMerge/>
            <w:shd w:val="clear" w:color="auto" w:fill="B4C6E7" w:themeFill="accent5" w:themeFillTint="66"/>
            <w:vAlign w:val="center"/>
          </w:tcPr>
          <w:p w14:paraId="0A1FC0AB" w14:textId="77777777" w:rsidR="00AB04ED" w:rsidRPr="00A9330B" w:rsidRDefault="00AB04ED" w:rsidP="00701C80">
            <w:pPr>
              <w:spacing w:before="60" w:line="240" w:lineRule="auto"/>
              <w:jc w:val="center"/>
              <w:rPr>
                <w:b/>
                <w:sz w:val="20"/>
                <w:szCs w:val="20"/>
              </w:rPr>
            </w:pPr>
          </w:p>
        </w:tc>
        <w:tc>
          <w:tcPr>
            <w:tcW w:w="1548" w:type="dxa"/>
            <w:vMerge/>
            <w:shd w:val="clear" w:color="auto" w:fill="B4C6E7" w:themeFill="accent5" w:themeFillTint="66"/>
            <w:vAlign w:val="center"/>
          </w:tcPr>
          <w:p w14:paraId="7F2F1744" w14:textId="77777777" w:rsidR="00AB04ED" w:rsidRPr="00A9330B" w:rsidRDefault="00AB04ED" w:rsidP="00701C80">
            <w:pPr>
              <w:spacing w:before="60" w:line="240" w:lineRule="auto"/>
              <w:jc w:val="center"/>
              <w:rPr>
                <w:b/>
                <w:sz w:val="20"/>
                <w:szCs w:val="20"/>
              </w:rPr>
            </w:pPr>
          </w:p>
        </w:tc>
        <w:tc>
          <w:tcPr>
            <w:tcW w:w="5766" w:type="dxa"/>
            <w:gridSpan w:val="4"/>
            <w:shd w:val="clear" w:color="auto" w:fill="B4C6E7" w:themeFill="accent5" w:themeFillTint="66"/>
            <w:vAlign w:val="center"/>
          </w:tcPr>
          <w:p w14:paraId="4C9C7FEB" w14:textId="77777777" w:rsidR="00AB04ED" w:rsidRPr="00A9330B" w:rsidRDefault="00AB04ED" w:rsidP="00701C80">
            <w:pPr>
              <w:spacing w:before="60" w:line="240" w:lineRule="auto"/>
              <w:jc w:val="center"/>
              <w:rPr>
                <w:b/>
                <w:sz w:val="20"/>
                <w:szCs w:val="20"/>
              </w:rPr>
            </w:pPr>
            <w:r w:rsidRPr="00A9330B">
              <w:rPr>
                <w:b/>
                <w:sz w:val="20"/>
                <w:szCs w:val="20"/>
              </w:rPr>
              <w:t>IMPORTANCE DE L'IMPACT</w:t>
            </w:r>
          </w:p>
        </w:tc>
      </w:tr>
      <w:tr w:rsidR="00AB04ED" w:rsidRPr="00A9330B" w14:paraId="7F328E99" w14:textId="77777777" w:rsidTr="00701C80">
        <w:trPr>
          <w:trHeight w:val="272"/>
        </w:trPr>
        <w:tc>
          <w:tcPr>
            <w:tcW w:w="1547" w:type="dxa"/>
            <w:vAlign w:val="center"/>
          </w:tcPr>
          <w:p w14:paraId="0E215F66" w14:textId="77777777" w:rsidR="00AB04ED" w:rsidRPr="00A9330B" w:rsidRDefault="00AB04ED" w:rsidP="00701C80">
            <w:pPr>
              <w:spacing w:before="60" w:line="240" w:lineRule="auto"/>
              <w:jc w:val="center"/>
              <w:rPr>
                <w:sz w:val="20"/>
                <w:szCs w:val="20"/>
              </w:rPr>
            </w:pPr>
            <w:r w:rsidRPr="00A9330B">
              <w:rPr>
                <w:sz w:val="20"/>
                <w:szCs w:val="20"/>
              </w:rPr>
              <w:t>Momentanée</w:t>
            </w:r>
          </w:p>
        </w:tc>
        <w:tc>
          <w:tcPr>
            <w:tcW w:w="1548" w:type="dxa"/>
            <w:vAlign w:val="center"/>
          </w:tcPr>
          <w:p w14:paraId="31558095" w14:textId="77777777" w:rsidR="00AB04ED" w:rsidRPr="00A9330B" w:rsidRDefault="00AB04ED" w:rsidP="00701C80">
            <w:pPr>
              <w:spacing w:before="60" w:line="240" w:lineRule="auto"/>
              <w:jc w:val="center"/>
              <w:rPr>
                <w:sz w:val="20"/>
                <w:szCs w:val="20"/>
              </w:rPr>
            </w:pPr>
            <w:r w:rsidRPr="00A9330B">
              <w:rPr>
                <w:sz w:val="20"/>
                <w:szCs w:val="20"/>
              </w:rPr>
              <w:t>Ponctuelle</w:t>
            </w:r>
          </w:p>
        </w:tc>
        <w:tc>
          <w:tcPr>
            <w:tcW w:w="1428" w:type="dxa"/>
            <w:vAlign w:val="center"/>
          </w:tcPr>
          <w:p w14:paraId="38329445" w14:textId="77777777" w:rsidR="00AB04ED" w:rsidRPr="00A9330B" w:rsidRDefault="00AB04ED" w:rsidP="00701C80">
            <w:pPr>
              <w:spacing w:before="60" w:line="240" w:lineRule="auto"/>
              <w:jc w:val="center"/>
              <w:rPr>
                <w:i/>
                <w:sz w:val="20"/>
                <w:szCs w:val="20"/>
              </w:rPr>
            </w:pPr>
            <w:r w:rsidRPr="00A9330B">
              <w:rPr>
                <w:i/>
                <w:sz w:val="20"/>
                <w:szCs w:val="20"/>
              </w:rPr>
              <w:t>Faible</w:t>
            </w:r>
          </w:p>
        </w:tc>
        <w:tc>
          <w:tcPr>
            <w:tcW w:w="1577" w:type="dxa"/>
            <w:vAlign w:val="center"/>
          </w:tcPr>
          <w:p w14:paraId="076EE121" w14:textId="77777777" w:rsidR="00AB04ED" w:rsidRPr="00A9330B" w:rsidRDefault="00AB04ED" w:rsidP="00701C80">
            <w:pPr>
              <w:spacing w:before="60" w:line="240" w:lineRule="auto"/>
              <w:jc w:val="center"/>
              <w:rPr>
                <w:i/>
                <w:sz w:val="20"/>
                <w:szCs w:val="20"/>
              </w:rPr>
            </w:pPr>
            <w:r w:rsidRPr="00A9330B">
              <w:rPr>
                <w:i/>
                <w:sz w:val="20"/>
                <w:szCs w:val="20"/>
              </w:rPr>
              <w:t>Faible</w:t>
            </w:r>
          </w:p>
        </w:tc>
        <w:tc>
          <w:tcPr>
            <w:tcW w:w="1577" w:type="dxa"/>
            <w:vAlign w:val="center"/>
          </w:tcPr>
          <w:p w14:paraId="43BF5C18" w14:textId="77777777" w:rsidR="00AB04ED" w:rsidRPr="00A9330B" w:rsidRDefault="00AB04ED" w:rsidP="00701C80">
            <w:pPr>
              <w:spacing w:before="60" w:line="240" w:lineRule="auto"/>
              <w:jc w:val="center"/>
              <w:rPr>
                <w:i/>
                <w:sz w:val="20"/>
                <w:szCs w:val="20"/>
              </w:rPr>
            </w:pPr>
            <w:r w:rsidRPr="00A9330B">
              <w:rPr>
                <w:i/>
                <w:sz w:val="20"/>
                <w:szCs w:val="20"/>
              </w:rPr>
              <w:t>Faible</w:t>
            </w:r>
          </w:p>
        </w:tc>
        <w:tc>
          <w:tcPr>
            <w:tcW w:w="1182" w:type="dxa"/>
            <w:vAlign w:val="center"/>
          </w:tcPr>
          <w:p w14:paraId="1F3CEBE6" w14:textId="77777777" w:rsidR="00AB04ED" w:rsidRPr="00A9330B" w:rsidRDefault="00AB04ED" w:rsidP="00701C80">
            <w:pPr>
              <w:spacing w:before="60" w:line="240" w:lineRule="auto"/>
              <w:jc w:val="center"/>
              <w:rPr>
                <w:i/>
                <w:sz w:val="20"/>
                <w:szCs w:val="20"/>
              </w:rPr>
            </w:pPr>
            <w:r w:rsidRPr="00A9330B">
              <w:rPr>
                <w:i/>
                <w:sz w:val="20"/>
                <w:szCs w:val="20"/>
              </w:rPr>
              <w:t>Moyenne</w:t>
            </w:r>
          </w:p>
        </w:tc>
      </w:tr>
      <w:tr w:rsidR="00AB04ED" w:rsidRPr="00A9330B" w14:paraId="5F690FAF" w14:textId="77777777" w:rsidTr="00701C80">
        <w:trPr>
          <w:trHeight w:val="272"/>
        </w:trPr>
        <w:tc>
          <w:tcPr>
            <w:tcW w:w="1547" w:type="dxa"/>
            <w:vAlign w:val="center"/>
          </w:tcPr>
          <w:p w14:paraId="51957EB0" w14:textId="77777777" w:rsidR="00AB04ED" w:rsidRPr="00A9330B" w:rsidRDefault="00AB04ED" w:rsidP="00701C80">
            <w:pPr>
              <w:spacing w:before="60" w:line="240" w:lineRule="auto"/>
              <w:jc w:val="center"/>
              <w:rPr>
                <w:sz w:val="20"/>
                <w:szCs w:val="20"/>
              </w:rPr>
            </w:pPr>
            <w:r w:rsidRPr="00A9330B">
              <w:rPr>
                <w:sz w:val="20"/>
                <w:szCs w:val="20"/>
              </w:rPr>
              <w:t>Momentanée</w:t>
            </w:r>
          </w:p>
        </w:tc>
        <w:tc>
          <w:tcPr>
            <w:tcW w:w="1548" w:type="dxa"/>
            <w:vAlign w:val="center"/>
          </w:tcPr>
          <w:p w14:paraId="6F2A108F" w14:textId="77777777" w:rsidR="00AB04ED" w:rsidRPr="00A9330B" w:rsidRDefault="00AB04ED" w:rsidP="00701C80">
            <w:pPr>
              <w:spacing w:before="60" w:line="240" w:lineRule="auto"/>
              <w:jc w:val="center"/>
              <w:rPr>
                <w:sz w:val="20"/>
                <w:szCs w:val="20"/>
              </w:rPr>
            </w:pPr>
            <w:r w:rsidRPr="00A9330B">
              <w:rPr>
                <w:sz w:val="20"/>
                <w:szCs w:val="20"/>
              </w:rPr>
              <w:t>Locale</w:t>
            </w:r>
          </w:p>
        </w:tc>
        <w:tc>
          <w:tcPr>
            <w:tcW w:w="1428" w:type="dxa"/>
            <w:vAlign w:val="center"/>
          </w:tcPr>
          <w:p w14:paraId="3BCA29FF" w14:textId="77777777" w:rsidR="00AB04ED" w:rsidRPr="00A9330B" w:rsidRDefault="00AB04ED" w:rsidP="00701C80">
            <w:pPr>
              <w:spacing w:before="60" w:line="240" w:lineRule="auto"/>
              <w:jc w:val="center"/>
              <w:rPr>
                <w:i/>
                <w:sz w:val="20"/>
                <w:szCs w:val="20"/>
              </w:rPr>
            </w:pPr>
            <w:r w:rsidRPr="00A9330B">
              <w:rPr>
                <w:i/>
                <w:sz w:val="20"/>
                <w:szCs w:val="20"/>
              </w:rPr>
              <w:t>Faible</w:t>
            </w:r>
          </w:p>
        </w:tc>
        <w:tc>
          <w:tcPr>
            <w:tcW w:w="1577" w:type="dxa"/>
            <w:vAlign w:val="center"/>
          </w:tcPr>
          <w:p w14:paraId="55B9F2C7" w14:textId="77777777" w:rsidR="00AB04ED" w:rsidRPr="00A9330B" w:rsidRDefault="00AB04ED" w:rsidP="00701C80">
            <w:pPr>
              <w:spacing w:before="60" w:line="240" w:lineRule="auto"/>
              <w:jc w:val="center"/>
              <w:rPr>
                <w:i/>
                <w:sz w:val="20"/>
                <w:szCs w:val="20"/>
              </w:rPr>
            </w:pPr>
            <w:r w:rsidRPr="00A9330B">
              <w:rPr>
                <w:i/>
                <w:sz w:val="20"/>
                <w:szCs w:val="20"/>
              </w:rPr>
              <w:t>Faible</w:t>
            </w:r>
          </w:p>
        </w:tc>
        <w:tc>
          <w:tcPr>
            <w:tcW w:w="1577" w:type="dxa"/>
            <w:vAlign w:val="center"/>
          </w:tcPr>
          <w:p w14:paraId="59A39FA6" w14:textId="77777777" w:rsidR="00AB04ED" w:rsidRPr="00A9330B" w:rsidRDefault="00AB04ED" w:rsidP="00701C80">
            <w:pPr>
              <w:spacing w:before="60" w:line="240" w:lineRule="auto"/>
              <w:jc w:val="center"/>
              <w:rPr>
                <w:i/>
                <w:sz w:val="20"/>
                <w:szCs w:val="20"/>
              </w:rPr>
            </w:pPr>
            <w:r w:rsidRPr="00A9330B">
              <w:rPr>
                <w:i/>
                <w:sz w:val="20"/>
                <w:szCs w:val="20"/>
              </w:rPr>
              <w:t>Moyenne</w:t>
            </w:r>
          </w:p>
        </w:tc>
        <w:tc>
          <w:tcPr>
            <w:tcW w:w="1182" w:type="dxa"/>
            <w:vAlign w:val="center"/>
          </w:tcPr>
          <w:p w14:paraId="75307799" w14:textId="77777777" w:rsidR="00AB04ED" w:rsidRPr="00A9330B" w:rsidRDefault="00AB04ED" w:rsidP="00701C80">
            <w:pPr>
              <w:spacing w:before="60" w:line="240" w:lineRule="auto"/>
              <w:jc w:val="center"/>
              <w:rPr>
                <w:i/>
                <w:sz w:val="20"/>
                <w:szCs w:val="20"/>
              </w:rPr>
            </w:pPr>
            <w:r w:rsidRPr="00A9330B">
              <w:rPr>
                <w:i/>
                <w:sz w:val="20"/>
                <w:szCs w:val="20"/>
              </w:rPr>
              <w:t>Moyenne</w:t>
            </w:r>
          </w:p>
        </w:tc>
      </w:tr>
      <w:tr w:rsidR="00AB04ED" w:rsidRPr="00A9330B" w14:paraId="006F93F0" w14:textId="77777777" w:rsidTr="00701C80">
        <w:trPr>
          <w:trHeight w:val="272"/>
        </w:trPr>
        <w:tc>
          <w:tcPr>
            <w:tcW w:w="1547" w:type="dxa"/>
            <w:vAlign w:val="center"/>
          </w:tcPr>
          <w:p w14:paraId="5C8B8404" w14:textId="77777777" w:rsidR="00AB04ED" w:rsidRPr="00A9330B" w:rsidRDefault="00AB04ED" w:rsidP="00701C80">
            <w:pPr>
              <w:spacing w:before="60" w:line="240" w:lineRule="auto"/>
              <w:jc w:val="center"/>
              <w:rPr>
                <w:sz w:val="20"/>
                <w:szCs w:val="20"/>
              </w:rPr>
            </w:pPr>
            <w:r w:rsidRPr="00A9330B">
              <w:rPr>
                <w:sz w:val="20"/>
                <w:szCs w:val="20"/>
              </w:rPr>
              <w:t>Temporaire</w:t>
            </w:r>
          </w:p>
        </w:tc>
        <w:tc>
          <w:tcPr>
            <w:tcW w:w="1548" w:type="dxa"/>
            <w:vAlign w:val="center"/>
          </w:tcPr>
          <w:p w14:paraId="6F546651" w14:textId="77777777" w:rsidR="00AB04ED" w:rsidRPr="00A9330B" w:rsidRDefault="00AB04ED" w:rsidP="00701C80">
            <w:pPr>
              <w:spacing w:before="60" w:line="240" w:lineRule="auto"/>
              <w:jc w:val="center"/>
              <w:rPr>
                <w:sz w:val="20"/>
                <w:szCs w:val="20"/>
              </w:rPr>
            </w:pPr>
            <w:r w:rsidRPr="00A9330B">
              <w:rPr>
                <w:sz w:val="20"/>
                <w:szCs w:val="20"/>
              </w:rPr>
              <w:t>Ponctuelle</w:t>
            </w:r>
          </w:p>
        </w:tc>
        <w:tc>
          <w:tcPr>
            <w:tcW w:w="1428" w:type="dxa"/>
            <w:vAlign w:val="center"/>
          </w:tcPr>
          <w:p w14:paraId="13E61B9A" w14:textId="77777777" w:rsidR="00AB04ED" w:rsidRPr="00A9330B" w:rsidRDefault="00AB04ED" w:rsidP="00701C80">
            <w:pPr>
              <w:spacing w:before="60" w:line="240" w:lineRule="auto"/>
              <w:jc w:val="center"/>
              <w:rPr>
                <w:i/>
                <w:sz w:val="20"/>
                <w:szCs w:val="20"/>
              </w:rPr>
            </w:pPr>
            <w:r w:rsidRPr="00A9330B">
              <w:rPr>
                <w:i/>
                <w:sz w:val="20"/>
                <w:szCs w:val="20"/>
              </w:rPr>
              <w:t>Faible</w:t>
            </w:r>
          </w:p>
        </w:tc>
        <w:tc>
          <w:tcPr>
            <w:tcW w:w="1577" w:type="dxa"/>
            <w:vAlign w:val="center"/>
          </w:tcPr>
          <w:p w14:paraId="7DBDA541" w14:textId="77777777" w:rsidR="00AB04ED" w:rsidRPr="00A9330B" w:rsidRDefault="00AB04ED" w:rsidP="00701C80">
            <w:pPr>
              <w:spacing w:before="60" w:line="240" w:lineRule="auto"/>
              <w:jc w:val="center"/>
              <w:rPr>
                <w:i/>
                <w:sz w:val="20"/>
                <w:szCs w:val="20"/>
              </w:rPr>
            </w:pPr>
            <w:r w:rsidRPr="00A9330B">
              <w:rPr>
                <w:i/>
                <w:sz w:val="20"/>
                <w:szCs w:val="20"/>
              </w:rPr>
              <w:t>Faible</w:t>
            </w:r>
          </w:p>
        </w:tc>
        <w:tc>
          <w:tcPr>
            <w:tcW w:w="1577" w:type="dxa"/>
            <w:vAlign w:val="center"/>
          </w:tcPr>
          <w:p w14:paraId="6F79A54C" w14:textId="77777777" w:rsidR="00AB04ED" w:rsidRPr="00A9330B" w:rsidRDefault="00AB04ED" w:rsidP="00701C80">
            <w:pPr>
              <w:spacing w:before="60" w:line="240" w:lineRule="auto"/>
              <w:jc w:val="center"/>
              <w:rPr>
                <w:i/>
                <w:sz w:val="20"/>
                <w:szCs w:val="20"/>
              </w:rPr>
            </w:pPr>
            <w:r w:rsidRPr="00A9330B">
              <w:rPr>
                <w:i/>
                <w:sz w:val="20"/>
                <w:szCs w:val="20"/>
              </w:rPr>
              <w:t>Moyenne</w:t>
            </w:r>
          </w:p>
        </w:tc>
        <w:tc>
          <w:tcPr>
            <w:tcW w:w="1182" w:type="dxa"/>
            <w:vAlign w:val="center"/>
          </w:tcPr>
          <w:p w14:paraId="28C74A06" w14:textId="77777777" w:rsidR="00AB04ED" w:rsidRPr="00A9330B" w:rsidRDefault="00AB04ED" w:rsidP="00701C80">
            <w:pPr>
              <w:spacing w:before="60" w:line="240" w:lineRule="auto"/>
              <w:jc w:val="center"/>
              <w:rPr>
                <w:i/>
                <w:sz w:val="20"/>
                <w:szCs w:val="20"/>
              </w:rPr>
            </w:pPr>
            <w:r w:rsidRPr="00A9330B">
              <w:rPr>
                <w:i/>
                <w:sz w:val="20"/>
                <w:szCs w:val="20"/>
              </w:rPr>
              <w:t>Forte</w:t>
            </w:r>
          </w:p>
        </w:tc>
      </w:tr>
      <w:tr w:rsidR="00AB04ED" w:rsidRPr="00A9330B" w14:paraId="7C35BCBA" w14:textId="77777777" w:rsidTr="00701C80">
        <w:trPr>
          <w:trHeight w:val="272"/>
        </w:trPr>
        <w:tc>
          <w:tcPr>
            <w:tcW w:w="1547" w:type="dxa"/>
            <w:vAlign w:val="center"/>
          </w:tcPr>
          <w:p w14:paraId="538B03CD" w14:textId="77777777" w:rsidR="00AB04ED" w:rsidRPr="00A9330B" w:rsidRDefault="00AB04ED" w:rsidP="00701C80">
            <w:pPr>
              <w:spacing w:before="60" w:line="240" w:lineRule="auto"/>
              <w:jc w:val="center"/>
              <w:rPr>
                <w:sz w:val="20"/>
                <w:szCs w:val="20"/>
              </w:rPr>
            </w:pPr>
            <w:r w:rsidRPr="00A9330B">
              <w:rPr>
                <w:sz w:val="20"/>
                <w:szCs w:val="20"/>
              </w:rPr>
              <w:t>Temporaire</w:t>
            </w:r>
          </w:p>
        </w:tc>
        <w:tc>
          <w:tcPr>
            <w:tcW w:w="1548" w:type="dxa"/>
            <w:vAlign w:val="center"/>
          </w:tcPr>
          <w:p w14:paraId="171DB05C" w14:textId="77777777" w:rsidR="00AB04ED" w:rsidRPr="00A9330B" w:rsidRDefault="00AB04ED" w:rsidP="00701C80">
            <w:pPr>
              <w:spacing w:before="60" w:line="240" w:lineRule="auto"/>
              <w:jc w:val="center"/>
              <w:rPr>
                <w:sz w:val="20"/>
                <w:szCs w:val="20"/>
              </w:rPr>
            </w:pPr>
            <w:r w:rsidRPr="00A9330B">
              <w:rPr>
                <w:sz w:val="20"/>
                <w:szCs w:val="20"/>
              </w:rPr>
              <w:t>Locale</w:t>
            </w:r>
          </w:p>
        </w:tc>
        <w:tc>
          <w:tcPr>
            <w:tcW w:w="1428" w:type="dxa"/>
            <w:vAlign w:val="center"/>
          </w:tcPr>
          <w:p w14:paraId="6903730A" w14:textId="77777777" w:rsidR="00AB04ED" w:rsidRPr="00A9330B" w:rsidRDefault="00AB04ED" w:rsidP="00701C80">
            <w:pPr>
              <w:spacing w:before="60" w:line="240" w:lineRule="auto"/>
              <w:jc w:val="center"/>
              <w:rPr>
                <w:i/>
                <w:sz w:val="20"/>
                <w:szCs w:val="20"/>
              </w:rPr>
            </w:pPr>
            <w:r w:rsidRPr="00A9330B">
              <w:rPr>
                <w:i/>
                <w:sz w:val="20"/>
                <w:szCs w:val="20"/>
              </w:rPr>
              <w:t>Faible</w:t>
            </w:r>
          </w:p>
        </w:tc>
        <w:tc>
          <w:tcPr>
            <w:tcW w:w="1577" w:type="dxa"/>
            <w:vAlign w:val="center"/>
          </w:tcPr>
          <w:p w14:paraId="44613A9F" w14:textId="77777777" w:rsidR="00AB04ED" w:rsidRPr="00A9330B" w:rsidRDefault="00AB04ED" w:rsidP="00701C80">
            <w:pPr>
              <w:spacing w:before="60" w:line="240" w:lineRule="auto"/>
              <w:jc w:val="center"/>
              <w:rPr>
                <w:i/>
                <w:sz w:val="20"/>
                <w:szCs w:val="20"/>
              </w:rPr>
            </w:pPr>
            <w:r w:rsidRPr="00A9330B">
              <w:rPr>
                <w:i/>
                <w:sz w:val="20"/>
                <w:szCs w:val="20"/>
              </w:rPr>
              <w:t>Faible</w:t>
            </w:r>
          </w:p>
        </w:tc>
        <w:tc>
          <w:tcPr>
            <w:tcW w:w="1577" w:type="dxa"/>
            <w:vAlign w:val="center"/>
          </w:tcPr>
          <w:p w14:paraId="6112C67E" w14:textId="77777777" w:rsidR="00AB04ED" w:rsidRPr="00A9330B" w:rsidRDefault="00AB04ED" w:rsidP="00701C80">
            <w:pPr>
              <w:spacing w:before="60" w:line="240" w:lineRule="auto"/>
              <w:jc w:val="center"/>
              <w:rPr>
                <w:i/>
                <w:sz w:val="20"/>
                <w:szCs w:val="20"/>
              </w:rPr>
            </w:pPr>
            <w:r w:rsidRPr="00A9330B">
              <w:rPr>
                <w:i/>
                <w:sz w:val="20"/>
                <w:szCs w:val="20"/>
              </w:rPr>
              <w:t>Moyenne</w:t>
            </w:r>
          </w:p>
        </w:tc>
        <w:tc>
          <w:tcPr>
            <w:tcW w:w="1182" w:type="dxa"/>
            <w:vAlign w:val="center"/>
          </w:tcPr>
          <w:p w14:paraId="2855BCB9" w14:textId="77777777" w:rsidR="00AB04ED" w:rsidRPr="00A9330B" w:rsidRDefault="00AB04ED" w:rsidP="00701C80">
            <w:pPr>
              <w:spacing w:before="60" w:line="240" w:lineRule="auto"/>
              <w:jc w:val="center"/>
              <w:rPr>
                <w:i/>
                <w:sz w:val="20"/>
                <w:szCs w:val="20"/>
              </w:rPr>
            </w:pPr>
            <w:r w:rsidRPr="00A9330B">
              <w:rPr>
                <w:i/>
                <w:sz w:val="20"/>
                <w:szCs w:val="20"/>
              </w:rPr>
              <w:t>Forte</w:t>
            </w:r>
          </w:p>
        </w:tc>
      </w:tr>
      <w:tr w:rsidR="00AB04ED" w:rsidRPr="00A9330B" w14:paraId="58BD6F03" w14:textId="77777777" w:rsidTr="00701C80">
        <w:trPr>
          <w:trHeight w:val="272"/>
        </w:trPr>
        <w:tc>
          <w:tcPr>
            <w:tcW w:w="1547" w:type="dxa"/>
            <w:vAlign w:val="center"/>
          </w:tcPr>
          <w:p w14:paraId="34961C43" w14:textId="77777777" w:rsidR="00AB04ED" w:rsidRPr="00A9330B" w:rsidRDefault="00AB04ED" w:rsidP="00701C80">
            <w:pPr>
              <w:spacing w:before="60" w:line="240" w:lineRule="auto"/>
              <w:jc w:val="center"/>
              <w:rPr>
                <w:sz w:val="20"/>
                <w:szCs w:val="20"/>
              </w:rPr>
            </w:pPr>
            <w:r w:rsidRPr="00A9330B">
              <w:rPr>
                <w:sz w:val="20"/>
                <w:szCs w:val="20"/>
              </w:rPr>
              <w:t>Momentanée</w:t>
            </w:r>
          </w:p>
        </w:tc>
        <w:tc>
          <w:tcPr>
            <w:tcW w:w="1548" w:type="dxa"/>
            <w:vAlign w:val="center"/>
          </w:tcPr>
          <w:p w14:paraId="7DC7175E" w14:textId="77777777" w:rsidR="00AB04ED" w:rsidRPr="00A9330B" w:rsidRDefault="00AB04ED" w:rsidP="00701C80">
            <w:pPr>
              <w:spacing w:before="60" w:line="240" w:lineRule="auto"/>
              <w:jc w:val="center"/>
              <w:rPr>
                <w:sz w:val="20"/>
                <w:szCs w:val="20"/>
              </w:rPr>
            </w:pPr>
            <w:r w:rsidRPr="00A9330B">
              <w:rPr>
                <w:sz w:val="20"/>
                <w:szCs w:val="20"/>
              </w:rPr>
              <w:t>Régionale</w:t>
            </w:r>
          </w:p>
        </w:tc>
        <w:tc>
          <w:tcPr>
            <w:tcW w:w="1428" w:type="dxa"/>
            <w:vAlign w:val="center"/>
          </w:tcPr>
          <w:p w14:paraId="59D879F7" w14:textId="77777777" w:rsidR="00AB04ED" w:rsidRPr="00A9330B" w:rsidRDefault="00AB04ED" w:rsidP="00701C80">
            <w:pPr>
              <w:spacing w:before="60" w:line="240" w:lineRule="auto"/>
              <w:jc w:val="center"/>
              <w:rPr>
                <w:i/>
                <w:sz w:val="20"/>
                <w:szCs w:val="20"/>
              </w:rPr>
            </w:pPr>
            <w:r w:rsidRPr="00A9330B">
              <w:rPr>
                <w:i/>
                <w:sz w:val="20"/>
                <w:szCs w:val="20"/>
              </w:rPr>
              <w:t>Faible</w:t>
            </w:r>
          </w:p>
        </w:tc>
        <w:tc>
          <w:tcPr>
            <w:tcW w:w="1577" w:type="dxa"/>
            <w:vAlign w:val="center"/>
          </w:tcPr>
          <w:p w14:paraId="60CBECA5" w14:textId="77777777" w:rsidR="00AB04ED" w:rsidRPr="00A9330B" w:rsidRDefault="00AB04ED" w:rsidP="00701C80">
            <w:pPr>
              <w:spacing w:before="60" w:line="240" w:lineRule="auto"/>
              <w:jc w:val="center"/>
              <w:rPr>
                <w:i/>
                <w:sz w:val="20"/>
                <w:szCs w:val="20"/>
              </w:rPr>
            </w:pPr>
            <w:r w:rsidRPr="00A9330B">
              <w:rPr>
                <w:i/>
                <w:sz w:val="20"/>
                <w:szCs w:val="20"/>
              </w:rPr>
              <w:t>Moyenne</w:t>
            </w:r>
          </w:p>
        </w:tc>
        <w:tc>
          <w:tcPr>
            <w:tcW w:w="1577" w:type="dxa"/>
            <w:vAlign w:val="center"/>
          </w:tcPr>
          <w:p w14:paraId="0A424FB6" w14:textId="77777777" w:rsidR="00AB04ED" w:rsidRPr="00A9330B" w:rsidRDefault="00AB04ED" w:rsidP="00701C80">
            <w:pPr>
              <w:spacing w:before="60" w:line="240" w:lineRule="auto"/>
              <w:jc w:val="center"/>
              <w:rPr>
                <w:i/>
                <w:sz w:val="20"/>
                <w:szCs w:val="20"/>
              </w:rPr>
            </w:pPr>
            <w:r w:rsidRPr="00A9330B">
              <w:rPr>
                <w:i/>
                <w:sz w:val="20"/>
                <w:szCs w:val="20"/>
              </w:rPr>
              <w:t>Moyenne</w:t>
            </w:r>
          </w:p>
        </w:tc>
        <w:tc>
          <w:tcPr>
            <w:tcW w:w="1182" w:type="dxa"/>
            <w:vAlign w:val="center"/>
          </w:tcPr>
          <w:p w14:paraId="2CF89D75" w14:textId="77777777" w:rsidR="00AB04ED" w:rsidRPr="00A9330B" w:rsidRDefault="00AB04ED" w:rsidP="00701C80">
            <w:pPr>
              <w:spacing w:before="60" w:line="240" w:lineRule="auto"/>
              <w:jc w:val="center"/>
              <w:rPr>
                <w:i/>
                <w:sz w:val="20"/>
                <w:szCs w:val="20"/>
              </w:rPr>
            </w:pPr>
            <w:r w:rsidRPr="00A9330B">
              <w:rPr>
                <w:i/>
                <w:sz w:val="20"/>
                <w:szCs w:val="20"/>
              </w:rPr>
              <w:t>Forte</w:t>
            </w:r>
          </w:p>
        </w:tc>
      </w:tr>
      <w:tr w:rsidR="00AB04ED" w:rsidRPr="00A9330B" w14:paraId="44DBEB98" w14:textId="77777777" w:rsidTr="00701C80">
        <w:trPr>
          <w:trHeight w:val="225"/>
        </w:trPr>
        <w:tc>
          <w:tcPr>
            <w:tcW w:w="1547" w:type="dxa"/>
            <w:vAlign w:val="center"/>
          </w:tcPr>
          <w:p w14:paraId="7658BA4D" w14:textId="77777777" w:rsidR="00AB04ED" w:rsidRPr="00A9330B" w:rsidRDefault="00AB04ED" w:rsidP="00701C80">
            <w:pPr>
              <w:spacing w:before="60" w:line="240" w:lineRule="auto"/>
              <w:jc w:val="center"/>
              <w:rPr>
                <w:sz w:val="20"/>
                <w:szCs w:val="20"/>
              </w:rPr>
            </w:pPr>
            <w:r w:rsidRPr="00A9330B">
              <w:rPr>
                <w:sz w:val="20"/>
                <w:szCs w:val="20"/>
              </w:rPr>
              <w:t>Permanente</w:t>
            </w:r>
          </w:p>
        </w:tc>
        <w:tc>
          <w:tcPr>
            <w:tcW w:w="1548" w:type="dxa"/>
            <w:vAlign w:val="center"/>
          </w:tcPr>
          <w:p w14:paraId="44F0119C" w14:textId="77777777" w:rsidR="00AB04ED" w:rsidRPr="00A9330B" w:rsidRDefault="00AB04ED" w:rsidP="00701C80">
            <w:pPr>
              <w:spacing w:before="60" w:line="240" w:lineRule="auto"/>
              <w:jc w:val="center"/>
              <w:rPr>
                <w:sz w:val="20"/>
                <w:szCs w:val="20"/>
              </w:rPr>
            </w:pPr>
            <w:r w:rsidRPr="00A9330B">
              <w:rPr>
                <w:sz w:val="20"/>
                <w:szCs w:val="20"/>
              </w:rPr>
              <w:t>Ponctuelle</w:t>
            </w:r>
          </w:p>
        </w:tc>
        <w:tc>
          <w:tcPr>
            <w:tcW w:w="1428" w:type="dxa"/>
            <w:vAlign w:val="center"/>
          </w:tcPr>
          <w:p w14:paraId="48E06E67" w14:textId="77777777" w:rsidR="00AB04ED" w:rsidRPr="00A9330B" w:rsidRDefault="00AB04ED" w:rsidP="00701C80">
            <w:pPr>
              <w:spacing w:before="60" w:line="240" w:lineRule="auto"/>
              <w:jc w:val="center"/>
              <w:rPr>
                <w:i/>
                <w:sz w:val="20"/>
                <w:szCs w:val="20"/>
              </w:rPr>
            </w:pPr>
            <w:r w:rsidRPr="00A9330B">
              <w:rPr>
                <w:sz w:val="20"/>
                <w:szCs w:val="20"/>
              </w:rPr>
              <w:t>Faible</w:t>
            </w:r>
          </w:p>
        </w:tc>
        <w:tc>
          <w:tcPr>
            <w:tcW w:w="1577" w:type="dxa"/>
            <w:vAlign w:val="center"/>
          </w:tcPr>
          <w:p w14:paraId="64F8525D" w14:textId="77777777" w:rsidR="00AB04ED" w:rsidRPr="00A9330B" w:rsidRDefault="00AB04ED" w:rsidP="00701C80">
            <w:pPr>
              <w:spacing w:before="60" w:line="240" w:lineRule="auto"/>
              <w:jc w:val="center"/>
              <w:rPr>
                <w:i/>
                <w:sz w:val="20"/>
                <w:szCs w:val="20"/>
              </w:rPr>
            </w:pPr>
            <w:r w:rsidRPr="00A9330B">
              <w:rPr>
                <w:i/>
                <w:sz w:val="20"/>
                <w:szCs w:val="20"/>
              </w:rPr>
              <w:t>Moyenne</w:t>
            </w:r>
          </w:p>
        </w:tc>
        <w:tc>
          <w:tcPr>
            <w:tcW w:w="1577" w:type="dxa"/>
            <w:vAlign w:val="center"/>
          </w:tcPr>
          <w:p w14:paraId="257C97AC" w14:textId="77777777" w:rsidR="00AB04ED" w:rsidRPr="00A9330B" w:rsidRDefault="00AB04ED" w:rsidP="00701C80">
            <w:pPr>
              <w:spacing w:before="60" w:line="240" w:lineRule="auto"/>
              <w:jc w:val="center"/>
              <w:rPr>
                <w:i/>
                <w:sz w:val="20"/>
                <w:szCs w:val="20"/>
              </w:rPr>
            </w:pPr>
            <w:r w:rsidRPr="00A9330B">
              <w:rPr>
                <w:i/>
                <w:sz w:val="20"/>
                <w:szCs w:val="20"/>
              </w:rPr>
              <w:t>Moyenne</w:t>
            </w:r>
          </w:p>
        </w:tc>
        <w:tc>
          <w:tcPr>
            <w:tcW w:w="1182" w:type="dxa"/>
            <w:vAlign w:val="center"/>
          </w:tcPr>
          <w:p w14:paraId="37D36BD0" w14:textId="77777777" w:rsidR="00AB04ED" w:rsidRPr="00A9330B" w:rsidRDefault="00AB04ED" w:rsidP="00701C80">
            <w:pPr>
              <w:spacing w:before="60" w:line="240" w:lineRule="auto"/>
              <w:jc w:val="center"/>
              <w:rPr>
                <w:i/>
                <w:sz w:val="20"/>
                <w:szCs w:val="20"/>
              </w:rPr>
            </w:pPr>
            <w:r w:rsidRPr="00A9330B">
              <w:rPr>
                <w:i/>
                <w:sz w:val="20"/>
                <w:szCs w:val="20"/>
              </w:rPr>
              <w:t>Forte</w:t>
            </w:r>
          </w:p>
        </w:tc>
      </w:tr>
      <w:tr w:rsidR="00AB04ED" w:rsidRPr="00A9330B" w14:paraId="33D68B79" w14:textId="77777777" w:rsidTr="00701C80">
        <w:trPr>
          <w:trHeight w:val="272"/>
        </w:trPr>
        <w:tc>
          <w:tcPr>
            <w:tcW w:w="1547" w:type="dxa"/>
            <w:vAlign w:val="center"/>
          </w:tcPr>
          <w:p w14:paraId="43EA08AD" w14:textId="77777777" w:rsidR="00AB04ED" w:rsidRPr="00A9330B" w:rsidRDefault="00AB04ED" w:rsidP="00701C80">
            <w:pPr>
              <w:spacing w:before="60" w:line="240" w:lineRule="auto"/>
              <w:jc w:val="center"/>
              <w:rPr>
                <w:sz w:val="20"/>
                <w:szCs w:val="20"/>
              </w:rPr>
            </w:pPr>
            <w:r w:rsidRPr="00A9330B">
              <w:rPr>
                <w:sz w:val="20"/>
                <w:szCs w:val="20"/>
              </w:rPr>
              <w:t>Temporaire</w:t>
            </w:r>
          </w:p>
        </w:tc>
        <w:tc>
          <w:tcPr>
            <w:tcW w:w="1548" w:type="dxa"/>
            <w:vAlign w:val="center"/>
          </w:tcPr>
          <w:p w14:paraId="045BA241" w14:textId="77777777" w:rsidR="00AB04ED" w:rsidRPr="00A9330B" w:rsidRDefault="00AB04ED" w:rsidP="00701C80">
            <w:pPr>
              <w:spacing w:before="60" w:line="240" w:lineRule="auto"/>
              <w:jc w:val="center"/>
              <w:rPr>
                <w:sz w:val="20"/>
                <w:szCs w:val="20"/>
              </w:rPr>
            </w:pPr>
            <w:r w:rsidRPr="00A9330B">
              <w:rPr>
                <w:sz w:val="20"/>
                <w:szCs w:val="20"/>
              </w:rPr>
              <w:t>Régionale</w:t>
            </w:r>
          </w:p>
        </w:tc>
        <w:tc>
          <w:tcPr>
            <w:tcW w:w="1428" w:type="dxa"/>
            <w:vAlign w:val="center"/>
          </w:tcPr>
          <w:p w14:paraId="4A6C3D14" w14:textId="77777777" w:rsidR="00AB04ED" w:rsidRPr="00A9330B" w:rsidRDefault="00AB04ED" w:rsidP="00701C80">
            <w:pPr>
              <w:spacing w:before="60" w:line="240" w:lineRule="auto"/>
              <w:jc w:val="center"/>
              <w:rPr>
                <w:i/>
                <w:sz w:val="20"/>
                <w:szCs w:val="20"/>
              </w:rPr>
            </w:pPr>
            <w:r w:rsidRPr="00A9330B">
              <w:rPr>
                <w:i/>
                <w:sz w:val="20"/>
                <w:szCs w:val="20"/>
              </w:rPr>
              <w:t>Faible</w:t>
            </w:r>
          </w:p>
        </w:tc>
        <w:tc>
          <w:tcPr>
            <w:tcW w:w="1577" w:type="dxa"/>
            <w:vAlign w:val="center"/>
          </w:tcPr>
          <w:p w14:paraId="356FFB36" w14:textId="77777777" w:rsidR="00AB04ED" w:rsidRPr="00A9330B" w:rsidRDefault="00AB04ED" w:rsidP="00701C80">
            <w:pPr>
              <w:spacing w:before="60" w:line="240" w:lineRule="auto"/>
              <w:jc w:val="center"/>
              <w:rPr>
                <w:i/>
                <w:sz w:val="20"/>
                <w:szCs w:val="20"/>
              </w:rPr>
            </w:pPr>
            <w:r w:rsidRPr="00A9330B">
              <w:rPr>
                <w:i/>
                <w:sz w:val="20"/>
                <w:szCs w:val="20"/>
              </w:rPr>
              <w:t>Moyenne</w:t>
            </w:r>
          </w:p>
        </w:tc>
        <w:tc>
          <w:tcPr>
            <w:tcW w:w="1577" w:type="dxa"/>
            <w:vAlign w:val="center"/>
          </w:tcPr>
          <w:p w14:paraId="24052361" w14:textId="77777777" w:rsidR="00AB04ED" w:rsidRPr="00A9330B" w:rsidRDefault="00AB04ED" w:rsidP="00701C80">
            <w:pPr>
              <w:spacing w:before="60" w:line="240" w:lineRule="auto"/>
              <w:jc w:val="center"/>
              <w:rPr>
                <w:i/>
                <w:sz w:val="20"/>
                <w:szCs w:val="20"/>
              </w:rPr>
            </w:pPr>
            <w:r w:rsidRPr="00A9330B">
              <w:rPr>
                <w:i/>
                <w:sz w:val="20"/>
                <w:szCs w:val="20"/>
              </w:rPr>
              <w:t>Forte</w:t>
            </w:r>
          </w:p>
        </w:tc>
        <w:tc>
          <w:tcPr>
            <w:tcW w:w="1182" w:type="dxa"/>
            <w:vAlign w:val="center"/>
          </w:tcPr>
          <w:p w14:paraId="742B1521" w14:textId="77777777" w:rsidR="00AB04ED" w:rsidRPr="00A9330B" w:rsidRDefault="00AB04ED" w:rsidP="00701C80">
            <w:pPr>
              <w:spacing w:before="60" w:line="240" w:lineRule="auto"/>
              <w:jc w:val="center"/>
              <w:rPr>
                <w:i/>
                <w:sz w:val="20"/>
                <w:szCs w:val="20"/>
              </w:rPr>
            </w:pPr>
            <w:r w:rsidRPr="00A9330B">
              <w:rPr>
                <w:i/>
                <w:sz w:val="20"/>
                <w:szCs w:val="20"/>
              </w:rPr>
              <w:t>Forte</w:t>
            </w:r>
          </w:p>
        </w:tc>
      </w:tr>
      <w:tr w:rsidR="00AB04ED" w:rsidRPr="00A9330B" w14:paraId="1027CC59" w14:textId="77777777" w:rsidTr="00701C80">
        <w:trPr>
          <w:trHeight w:val="272"/>
        </w:trPr>
        <w:tc>
          <w:tcPr>
            <w:tcW w:w="1547" w:type="dxa"/>
            <w:vAlign w:val="center"/>
          </w:tcPr>
          <w:p w14:paraId="48B17DCB" w14:textId="77777777" w:rsidR="00AB04ED" w:rsidRPr="00A9330B" w:rsidRDefault="00AB04ED" w:rsidP="00701C80">
            <w:pPr>
              <w:spacing w:before="60" w:line="240" w:lineRule="auto"/>
              <w:jc w:val="center"/>
              <w:rPr>
                <w:sz w:val="20"/>
                <w:szCs w:val="20"/>
              </w:rPr>
            </w:pPr>
            <w:r w:rsidRPr="00A9330B">
              <w:rPr>
                <w:sz w:val="20"/>
                <w:szCs w:val="20"/>
              </w:rPr>
              <w:lastRenderedPageBreak/>
              <w:t>Permanente</w:t>
            </w:r>
          </w:p>
        </w:tc>
        <w:tc>
          <w:tcPr>
            <w:tcW w:w="1548" w:type="dxa"/>
            <w:vAlign w:val="center"/>
          </w:tcPr>
          <w:p w14:paraId="5C33B09B" w14:textId="77777777" w:rsidR="00AB04ED" w:rsidRPr="00A9330B" w:rsidRDefault="00AB04ED" w:rsidP="00701C80">
            <w:pPr>
              <w:spacing w:before="60" w:line="240" w:lineRule="auto"/>
              <w:jc w:val="center"/>
              <w:rPr>
                <w:sz w:val="20"/>
                <w:szCs w:val="20"/>
              </w:rPr>
            </w:pPr>
            <w:r w:rsidRPr="00A9330B">
              <w:rPr>
                <w:sz w:val="20"/>
                <w:szCs w:val="20"/>
              </w:rPr>
              <w:t>Locale</w:t>
            </w:r>
          </w:p>
        </w:tc>
        <w:tc>
          <w:tcPr>
            <w:tcW w:w="1428" w:type="dxa"/>
            <w:vAlign w:val="center"/>
          </w:tcPr>
          <w:p w14:paraId="460B1EAC" w14:textId="77777777" w:rsidR="00AB04ED" w:rsidRPr="00A9330B" w:rsidRDefault="00AB04ED" w:rsidP="00701C80">
            <w:pPr>
              <w:spacing w:before="60" w:line="240" w:lineRule="auto"/>
              <w:jc w:val="center"/>
              <w:rPr>
                <w:i/>
                <w:sz w:val="20"/>
                <w:szCs w:val="20"/>
              </w:rPr>
            </w:pPr>
            <w:r w:rsidRPr="00A9330B">
              <w:rPr>
                <w:i/>
                <w:sz w:val="20"/>
                <w:szCs w:val="20"/>
              </w:rPr>
              <w:t>Faible</w:t>
            </w:r>
          </w:p>
        </w:tc>
        <w:tc>
          <w:tcPr>
            <w:tcW w:w="1577" w:type="dxa"/>
            <w:vAlign w:val="center"/>
          </w:tcPr>
          <w:p w14:paraId="33A489B2" w14:textId="77777777" w:rsidR="00AB04ED" w:rsidRPr="00A9330B" w:rsidRDefault="00AB04ED" w:rsidP="00701C80">
            <w:pPr>
              <w:spacing w:before="60" w:line="240" w:lineRule="auto"/>
              <w:jc w:val="center"/>
              <w:rPr>
                <w:i/>
                <w:sz w:val="20"/>
                <w:szCs w:val="20"/>
              </w:rPr>
            </w:pPr>
            <w:r w:rsidRPr="00A9330B">
              <w:rPr>
                <w:i/>
                <w:sz w:val="20"/>
                <w:szCs w:val="20"/>
              </w:rPr>
              <w:t>Moyenne</w:t>
            </w:r>
          </w:p>
        </w:tc>
        <w:tc>
          <w:tcPr>
            <w:tcW w:w="1577" w:type="dxa"/>
            <w:vAlign w:val="center"/>
          </w:tcPr>
          <w:p w14:paraId="4A434A01" w14:textId="77777777" w:rsidR="00AB04ED" w:rsidRPr="00A9330B" w:rsidRDefault="00AB04ED" w:rsidP="00701C80">
            <w:pPr>
              <w:spacing w:before="60" w:line="240" w:lineRule="auto"/>
              <w:jc w:val="center"/>
              <w:rPr>
                <w:i/>
                <w:sz w:val="20"/>
                <w:szCs w:val="20"/>
              </w:rPr>
            </w:pPr>
            <w:r w:rsidRPr="00A9330B">
              <w:rPr>
                <w:i/>
                <w:sz w:val="20"/>
                <w:szCs w:val="20"/>
              </w:rPr>
              <w:t>Forte</w:t>
            </w:r>
          </w:p>
        </w:tc>
        <w:tc>
          <w:tcPr>
            <w:tcW w:w="1182" w:type="dxa"/>
            <w:vAlign w:val="center"/>
          </w:tcPr>
          <w:p w14:paraId="127AE820" w14:textId="77777777" w:rsidR="00AB04ED" w:rsidRPr="00A9330B" w:rsidRDefault="00AB04ED" w:rsidP="00701C80">
            <w:pPr>
              <w:spacing w:before="60" w:line="240" w:lineRule="auto"/>
              <w:jc w:val="center"/>
              <w:rPr>
                <w:i/>
                <w:sz w:val="20"/>
                <w:szCs w:val="20"/>
              </w:rPr>
            </w:pPr>
            <w:r w:rsidRPr="00A9330B">
              <w:rPr>
                <w:i/>
                <w:sz w:val="20"/>
                <w:szCs w:val="20"/>
              </w:rPr>
              <w:t>Forte</w:t>
            </w:r>
          </w:p>
        </w:tc>
      </w:tr>
      <w:tr w:rsidR="00AB04ED" w:rsidRPr="00A9330B" w14:paraId="1F34520D" w14:textId="77777777" w:rsidTr="00701C80">
        <w:trPr>
          <w:trHeight w:val="272"/>
        </w:trPr>
        <w:tc>
          <w:tcPr>
            <w:tcW w:w="1547" w:type="dxa"/>
            <w:vAlign w:val="center"/>
          </w:tcPr>
          <w:p w14:paraId="61D73910" w14:textId="77777777" w:rsidR="00AB04ED" w:rsidRPr="00A9330B" w:rsidRDefault="00AB04ED" w:rsidP="00701C80">
            <w:pPr>
              <w:spacing w:before="60" w:line="240" w:lineRule="auto"/>
              <w:jc w:val="center"/>
              <w:rPr>
                <w:sz w:val="20"/>
                <w:szCs w:val="20"/>
              </w:rPr>
            </w:pPr>
            <w:r w:rsidRPr="00A9330B">
              <w:rPr>
                <w:sz w:val="20"/>
                <w:szCs w:val="20"/>
              </w:rPr>
              <w:t>Permanente</w:t>
            </w:r>
          </w:p>
        </w:tc>
        <w:tc>
          <w:tcPr>
            <w:tcW w:w="1548" w:type="dxa"/>
            <w:vAlign w:val="center"/>
          </w:tcPr>
          <w:p w14:paraId="18B506A3" w14:textId="77777777" w:rsidR="00AB04ED" w:rsidRPr="00A9330B" w:rsidRDefault="00AB04ED" w:rsidP="00701C80">
            <w:pPr>
              <w:spacing w:before="60" w:line="240" w:lineRule="auto"/>
              <w:jc w:val="center"/>
              <w:rPr>
                <w:sz w:val="20"/>
                <w:szCs w:val="20"/>
              </w:rPr>
            </w:pPr>
            <w:r w:rsidRPr="00A9330B">
              <w:rPr>
                <w:sz w:val="20"/>
                <w:szCs w:val="20"/>
              </w:rPr>
              <w:t>Régionale</w:t>
            </w:r>
          </w:p>
        </w:tc>
        <w:tc>
          <w:tcPr>
            <w:tcW w:w="1428" w:type="dxa"/>
            <w:vAlign w:val="center"/>
          </w:tcPr>
          <w:p w14:paraId="73CC5D4C" w14:textId="77777777" w:rsidR="00AB04ED" w:rsidRPr="00A9330B" w:rsidRDefault="00AB04ED" w:rsidP="00701C80">
            <w:pPr>
              <w:spacing w:before="60" w:line="240" w:lineRule="auto"/>
              <w:jc w:val="center"/>
              <w:rPr>
                <w:i/>
                <w:sz w:val="20"/>
                <w:szCs w:val="20"/>
              </w:rPr>
            </w:pPr>
            <w:r w:rsidRPr="00A9330B">
              <w:rPr>
                <w:i/>
                <w:sz w:val="20"/>
                <w:szCs w:val="20"/>
              </w:rPr>
              <w:t>Moyenne</w:t>
            </w:r>
          </w:p>
        </w:tc>
        <w:tc>
          <w:tcPr>
            <w:tcW w:w="1577" w:type="dxa"/>
            <w:vAlign w:val="center"/>
          </w:tcPr>
          <w:p w14:paraId="022434C2" w14:textId="77777777" w:rsidR="00AB04ED" w:rsidRPr="00A9330B" w:rsidRDefault="00AB04ED" w:rsidP="00701C80">
            <w:pPr>
              <w:spacing w:before="60" w:line="240" w:lineRule="auto"/>
              <w:jc w:val="center"/>
              <w:rPr>
                <w:i/>
                <w:sz w:val="20"/>
                <w:szCs w:val="20"/>
              </w:rPr>
            </w:pPr>
            <w:r w:rsidRPr="00A9330B">
              <w:rPr>
                <w:i/>
                <w:sz w:val="20"/>
                <w:szCs w:val="20"/>
              </w:rPr>
              <w:t>Forte</w:t>
            </w:r>
          </w:p>
        </w:tc>
        <w:tc>
          <w:tcPr>
            <w:tcW w:w="1577" w:type="dxa"/>
            <w:vAlign w:val="center"/>
          </w:tcPr>
          <w:p w14:paraId="4208AB9A" w14:textId="77777777" w:rsidR="00AB04ED" w:rsidRPr="00A9330B" w:rsidRDefault="00AB04ED" w:rsidP="00701C80">
            <w:pPr>
              <w:spacing w:before="60" w:line="240" w:lineRule="auto"/>
              <w:jc w:val="center"/>
              <w:rPr>
                <w:i/>
                <w:sz w:val="20"/>
                <w:szCs w:val="20"/>
              </w:rPr>
            </w:pPr>
            <w:r w:rsidRPr="00A9330B">
              <w:rPr>
                <w:i/>
                <w:sz w:val="20"/>
                <w:szCs w:val="20"/>
              </w:rPr>
              <w:t>Forte</w:t>
            </w:r>
          </w:p>
        </w:tc>
        <w:tc>
          <w:tcPr>
            <w:tcW w:w="1182" w:type="dxa"/>
            <w:vAlign w:val="center"/>
          </w:tcPr>
          <w:p w14:paraId="61AC0478" w14:textId="77777777" w:rsidR="00AB04ED" w:rsidRPr="00A9330B" w:rsidRDefault="00AB04ED" w:rsidP="00701C80">
            <w:pPr>
              <w:spacing w:before="60" w:line="240" w:lineRule="auto"/>
              <w:jc w:val="center"/>
              <w:rPr>
                <w:i/>
                <w:sz w:val="20"/>
                <w:szCs w:val="20"/>
              </w:rPr>
            </w:pPr>
            <w:r w:rsidRPr="00A9330B">
              <w:rPr>
                <w:i/>
                <w:sz w:val="20"/>
                <w:szCs w:val="20"/>
              </w:rPr>
              <w:t>Forte</w:t>
            </w:r>
          </w:p>
        </w:tc>
      </w:tr>
    </w:tbl>
    <w:p w14:paraId="353C8A20" w14:textId="77777777" w:rsidR="00AB04ED" w:rsidRPr="00A9330B" w:rsidRDefault="00AB04ED" w:rsidP="00AB04ED">
      <w:pPr>
        <w:ind w:firstLine="709"/>
        <w:rPr>
          <w:sz w:val="20"/>
          <w:szCs w:val="20"/>
        </w:rPr>
      </w:pPr>
      <w:r w:rsidRPr="00A9330B">
        <w:rPr>
          <w:b/>
          <w:sz w:val="20"/>
          <w:szCs w:val="20"/>
        </w:rPr>
        <w:t>Source</w:t>
      </w:r>
      <w:r w:rsidRPr="00A9330B">
        <w:rPr>
          <w:sz w:val="20"/>
          <w:szCs w:val="20"/>
        </w:rPr>
        <w:t> : ABE, 1998.</w:t>
      </w:r>
    </w:p>
    <w:bookmarkEnd w:id="574"/>
    <w:p w14:paraId="6E8BB973" w14:textId="77777777" w:rsidR="00AB04ED" w:rsidRPr="00A9330B" w:rsidRDefault="00AB04ED" w:rsidP="00AB04ED">
      <w:pPr>
        <w:rPr>
          <w:highlight w:val="yellow"/>
        </w:rPr>
      </w:pPr>
      <w:r w:rsidRPr="00A9330B">
        <w:t>La synthèse de l’évaluation de l’importance des impacts peut être présentée dans le tableau ci-après :</w:t>
      </w:r>
    </w:p>
    <w:p w14:paraId="01566A17" w14:textId="7E084E65" w:rsidR="00AB04ED" w:rsidRPr="00A9330B" w:rsidRDefault="00AB04ED" w:rsidP="00AB04ED">
      <w:pPr>
        <w:spacing w:after="120"/>
        <w:ind w:firstLine="708"/>
        <w:rPr>
          <w:rFonts w:eastAsia="Calibri" w:cs="Arial"/>
          <w:b/>
          <w:sz w:val="20"/>
          <w:szCs w:val="20"/>
        </w:rPr>
      </w:pPr>
      <w:bookmarkStart w:id="577" w:name="_Toc52873730"/>
      <w:r w:rsidRPr="00A9330B">
        <w:rPr>
          <w:rFonts w:cs="Arial"/>
          <w:b/>
          <w:sz w:val="20"/>
          <w:szCs w:val="20"/>
        </w:rPr>
        <w:t xml:space="preserve">Tableau </w:t>
      </w:r>
      <w:r w:rsidRPr="00A9330B">
        <w:rPr>
          <w:rFonts w:cs="Arial"/>
          <w:b/>
          <w:sz w:val="20"/>
          <w:szCs w:val="20"/>
        </w:rPr>
        <w:fldChar w:fldCharType="begin"/>
      </w:r>
      <w:r w:rsidRPr="00A9330B">
        <w:rPr>
          <w:rFonts w:cs="Arial"/>
          <w:b/>
          <w:sz w:val="20"/>
          <w:szCs w:val="20"/>
        </w:rPr>
        <w:instrText xml:space="preserve"> SEQ Tableau \* ARABIC </w:instrText>
      </w:r>
      <w:r w:rsidRPr="00A9330B">
        <w:rPr>
          <w:rFonts w:cs="Arial"/>
          <w:b/>
          <w:sz w:val="20"/>
          <w:szCs w:val="20"/>
        </w:rPr>
        <w:fldChar w:fldCharType="separate"/>
      </w:r>
      <w:r w:rsidR="00417D31" w:rsidRPr="00A9330B">
        <w:rPr>
          <w:rFonts w:cs="Arial"/>
          <w:b/>
          <w:noProof/>
          <w:sz w:val="20"/>
          <w:szCs w:val="20"/>
        </w:rPr>
        <w:t>6</w:t>
      </w:r>
      <w:r w:rsidRPr="00A9330B">
        <w:rPr>
          <w:rFonts w:cs="Arial"/>
          <w:b/>
          <w:sz w:val="20"/>
          <w:szCs w:val="20"/>
        </w:rPr>
        <w:fldChar w:fldCharType="end"/>
      </w:r>
      <w:r w:rsidRPr="00A9330B">
        <w:rPr>
          <w:rFonts w:cs="Arial"/>
          <w:b/>
          <w:sz w:val="20"/>
          <w:szCs w:val="20"/>
        </w:rPr>
        <w:t xml:space="preserve"> : </w:t>
      </w:r>
      <w:r w:rsidRPr="00A9330B">
        <w:rPr>
          <w:rFonts w:eastAsia="Calibri" w:cs="Arial"/>
          <w:b/>
          <w:sz w:val="20"/>
          <w:szCs w:val="20"/>
        </w:rPr>
        <w:t>Synthèse et évaluation de l’importance des impacts</w:t>
      </w:r>
      <w:bookmarkEnd w:id="577"/>
      <w:r w:rsidRPr="00A9330B">
        <w:rPr>
          <w:rFonts w:eastAsia="Calibri" w:cs="Arial"/>
          <w:b/>
          <w:sz w:val="20"/>
          <w:szCs w:val="20"/>
        </w:rPr>
        <w:t xml:space="preserve"> </w:t>
      </w:r>
    </w:p>
    <w:tbl>
      <w:tblPr>
        <w:tblW w:w="5039" w:type="pct"/>
        <w:tblBorders>
          <w:top w:val="single" w:sz="12" w:space="0" w:color="auto"/>
          <w:left w:val="single" w:sz="12" w:space="0" w:color="auto"/>
          <w:bottom w:val="single" w:sz="12" w:space="0" w:color="auto"/>
          <w:right w:val="single" w:sz="12" w:space="0" w:color="auto"/>
          <w:insideH w:val="single" w:sz="8" w:space="0" w:color="auto"/>
          <w:insideV w:val="single" w:sz="8" w:space="0" w:color="auto"/>
        </w:tblBorders>
        <w:tblLayout w:type="fixed"/>
        <w:tblCellMar>
          <w:left w:w="70" w:type="dxa"/>
          <w:right w:w="70" w:type="dxa"/>
        </w:tblCellMar>
        <w:tblLook w:val="04A0" w:firstRow="1" w:lastRow="0" w:firstColumn="1" w:lastColumn="0" w:noHBand="0" w:noVBand="1"/>
      </w:tblPr>
      <w:tblGrid>
        <w:gridCol w:w="411"/>
        <w:gridCol w:w="1700"/>
        <w:gridCol w:w="2054"/>
        <w:gridCol w:w="2107"/>
        <w:gridCol w:w="824"/>
        <w:gridCol w:w="642"/>
        <w:gridCol w:w="642"/>
        <w:gridCol w:w="733"/>
      </w:tblGrid>
      <w:tr w:rsidR="00AB04ED" w:rsidRPr="00A9330B" w14:paraId="782FF164" w14:textId="77777777" w:rsidTr="00655D39">
        <w:trPr>
          <w:trHeight w:val="307"/>
          <w:tblHeader/>
        </w:trPr>
        <w:tc>
          <w:tcPr>
            <w:tcW w:w="226" w:type="pct"/>
            <w:tcBorders>
              <w:top w:val="single" w:sz="12" w:space="0" w:color="auto"/>
              <w:left w:val="single" w:sz="12" w:space="0" w:color="auto"/>
              <w:bottom w:val="single" w:sz="8" w:space="0" w:color="auto"/>
              <w:right w:val="single" w:sz="8" w:space="0" w:color="auto"/>
            </w:tcBorders>
            <w:shd w:val="clear" w:color="auto" w:fill="BDD6EE" w:themeFill="accent1" w:themeFillTint="66"/>
          </w:tcPr>
          <w:p w14:paraId="6B30AAD3" w14:textId="77777777" w:rsidR="00AB04ED" w:rsidRPr="00A9330B" w:rsidRDefault="00AB04ED" w:rsidP="00701C80">
            <w:pPr>
              <w:spacing w:before="40" w:line="240" w:lineRule="auto"/>
              <w:jc w:val="center"/>
              <w:rPr>
                <w:rFonts w:cs="Arial"/>
                <w:b/>
                <w:sz w:val="20"/>
                <w:szCs w:val="20"/>
              </w:rPr>
            </w:pPr>
            <w:r w:rsidRPr="00A9330B">
              <w:rPr>
                <w:rFonts w:cs="Arial"/>
                <w:b/>
                <w:sz w:val="20"/>
                <w:szCs w:val="20"/>
              </w:rPr>
              <w:t>N°</w:t>
            </w:r>
          </w:p>
        </w:tc>
        <w:tc>
          <w:tcPr>
            <w:tcW w:w="933" w:type="pct"/>
            <w:tcBorders>
              <w:top w:val="single" w:sz="12" w:space="0" w:color="auto"/>
              <w:left w:val="single" w:sz="8" w:space="0" w:color="auto"/>
              <w:bottom w:val="single" w:sz="8" w:space="0" w:color="auto"/>
              <w:right w:val="single" w:sz="8" w:space="0" w:color="auto"/>
            </w:tcBorders>
            <w:shd w:val="clear" w:color="auto" w:fill="BDD6EE" w:themeFill="accent1" w:themeFillTint="66"/>
          </w:tcPr>
          <w:p w14:paraId="451662E1" w14:textId="77777777" w:rsidR="00AB04ED" w:rsidRPr="00A9330B" w:rsidRDefault="00AB04ED" w:rsidP="00701C80">
            <w:pPr>
              <w:spacing w:before="40" w:line="240" w:lineRule="auto"/>
              <w:jc w:val="center"/>
              <w:rPr>
                <w:rFonts w:cs="Arial"/>
                <w:b/>
                <w:sz w:val="20"/>
                <w:szCs w:val="20"/>
              </w:rPr>
            </w:pPr>
            <w:r w:rsidRPr="00A9330B">
              <w:rPr>
                <w:rFonts w:cs="Arial"/>
                <w:b/>
                <w:sz w:val="20"/>
                <w:szCs w:val="20"/>
              </w:rPr>
              <w:t>Activités source d’impact</w:t>
            </w:r>
          </w:p>
        </w:tc>
        <w:tc>
          <w:tcPr>
            <w:tcW w:w="2283" w:type="pct"/>
            <w:gridSpan w:val="2"/>
            <w:tcBorders>
              <w:top w:val="single" w:sz="8" w:space="0" w:color="auto"/>
              <w:left w:val="single" w:sz="8" w:space="0" w:color="auto"/>
              <w:bottom w:val="single" w:sz="8" w:space="0" w:color="auto"/>
              <w:right w:val="single" w:sz="4" w:space="0" w:color="auto"/>
            </w:tcBorders>
            <w:shd w:val="clear" w:color="auto" w:fill="BDD6EE" w:themeFill="accent1" w:themeFillTint="66"/>
            <w:vAlign w:val="center"/>
          </w:tcPr>
          <w:p w14:paraId="06DC2B48" w14:textId="77777777" w:rsidR="00AB04ED" w:rsidRPr="00A9330B" w:rsidRDefault="00AB04ED" w:rsidP="00701C80">
            <w:pPr>
              <w:spacing w:before="40" w:line="240" w:lineRule="auto"/>
              <w:jc w:val="center"/>
              <w:rPr>
                <w:rFonts w:cs="Arial"/>
                <w:b/>
                <w:sz w:val="20"/>
                <w:szCs w:val="20"/>
              </w:rPr>
            </w:pPr>
            <w:r w:rsidRPr="00A9330B">
              <w:rPr>
                <w:rFonts w:cs="Arial"/>
                <w:b/>
                <w:sz w:val="20"/>
                <w:szCs w:val="20"/>
              </w:rPr>
              <w:t>Impact</w:t>
            </w:r>
          </w:p>
        </w:tc>
        <w:tc>
          <w:tcPr>
            <w:tcW w:w="452" w:type="pct"/>
            <w:vMerge w:val="restart"/>
            <w:tcBorders>
              <w:top w:val="single" w:sz="4" w:space="0" w:color="auto"/>
              <w:left w:val="single" w:sz="4" w:space="0" w:color="auto"/>
              <w:bottom w:val="single" w:sz="4" w:space="0" w:color="auto"/>
              <w:right w:val="single" w:sz="4" w:space="0" w:color="auto"/>
            </w:tcBorders>
            <w:shd w:val="clear" w:color="auto" w:fill="BDD6EE" w:themeFill="accent1" w:themeFillTint="66"/>
            <w:textDirection w:val="btLr"/>
          </w:tcPr>
          <w:p w14:paraId="47751EF4" w14:textId="77777777" w:rsidR="00AB04ED" w:rsidRPr="00A9330B" w:rsidRDefault="00AB04ED" w:rsidP="00701C80">
            <w:pPr>
              <w:spacing w:before="40" w:line="240" w:lineRule="auto"/>
              <w:ind w:left="113" w:right="113"/>
              <w:jc w:val="center"/>
              <w:rPr>
                <w:rFonts w:cs="Arial"/>
                <w:b/>
                <w:sz w:val="18"/>
                <w:szCs w:val="18"/>
              </w:rPr>
            </w:pPr>
            <w:r w:rsidRPr="00A9330B">
              <w:rPr>
                <w:rFonts w:cs="Arial"/>
                <w:b/>
                <w:sz w:val="18"/>
                <w:szCs w:val="18"/>
              </w:rPr>
              <w:t>Durée</w:t>
            </w:r>
          </w:p>
        </w:tc>
        <w:tc>
          <w:tcPr>
            <w:tcW w:w="352" w:type="pct"/>
            <w:vMerge w:val="restart"/>
            <w:tcBorders>
              <w:top w:val="single" w:sz="8" w:space="0" w:color="auto"/>
              <w:left w:val="single" w:sz="4" w:space="0" w:color="auto"/>
              <w:right w:val="single" w:sz="8" w:space="0" w:color="auto"/>
            </w:tcBorders>
            <w:shd w:val="clear" w:color="auto" w:fill="BDD6EE" w:themeFill="accent1" w:themeFillTint="66"/>
            <w:textDirection w:val="btLr"/>
          </w:tcPr>
          <w:p w14:paraId="73316083" w14:textId="77777777" w:rsidR="00AB04ED" w:rsidRPr="00A9330B" w:rsidRDefault="00AB04ED" w:rsidP="00701C80">
            <w:pPr>
              <w:spacing w:before="40" w:line="240" w:lineRule="auto"/>
              <w:ind w:left="113" w:right="113"/>
              <w:jc w:val="center"/>
              <w:rPr>
                <w:rFonts w:cs="Arial"/>
                <w:b/>
                <w:sz w:val="18"/>
                <w:szCs w:val="18"/>
              </w:rPr>
            </w:pPr>
            <w:r w:rsidRPr="00A9330B">
              <w:rPr>
                <w:rFonts w:cs="Arial"/>
                <w:b/>
                <w:sz w:val="18"/>
                <w:szCs w:val="18"/>
              </w:rPr>
              <w:t>Etendue</w:t>
            </w:r>
          </w:p>
        </w:tc>
        <w:tc>
          <w:tcPr>
            <w:tcW w:w="352" w:type="pct"/>
            <w:vMerge w:val="restart"/>
            <w:tcBorders>
              <w:top w:val="single" w:sz="8" w:space="0" w:color="auto"/>
              <w:left w:val="single" w:sz="8" w:space="0" w:color="auto"/>
              <w:right w:val="single" w:sz="8" w:space="0" w:color="auto"/>
            </w:tcBorders>
            <w:shd w:val="clear" w:color="auto" w:fill="BDD6EE" w:themeFill="accent1" w:themeFillTint="66"/>
            <w:textDirection w:val="btLr"/>
          </w:tcPr>
          <w:p w14:paraId="485074AE" w14:textId="77777777" w:rsidR="00AB04ED" w:rsidRPr="00A9330B" w:rsidRDefault="00AB04ED" w:rsidP="00701C80">
            <w:pPr>
              <w:spacing w:before="40" w:line="240" w:lineRule="auto"/>
              <w:ind w:left="113" w:right="113"/>
              <w:jc w:val="center"/>
              <w:rPr>
                <w:rFonts w:cs="Arial"/>
                <w:b/>
                <w:sz w:val="18"/>
                <w:szCs w:val="18"/>
              </w:rPr>
            </w:pPr>
            <w:r w:rsidRPr="00A9330B">
              <w:rPr>
                <w:rFonts w:cs="Arial"/>
                <w:b/>
                <w:sz w:val="18"/>
                <w:szCs w:val="18"/>
              </w:rPr>
              <w:t>Intensité</w:t>
            </w:r>
          </w:p>
        </w:tc>
        <w:tc>
          <w:tcPr>
            <w:tcW w:w="402" w:type="pct"/>
            <w:vMerge w:val="restart"/>
            <w:tcBorders>
              <w:top w:val="single" w:sz="8" w:space="0" w:color="auto"/>
              <w:left w:val="single" w:sz="8" w:space="0" w:color="auto"/>
              <w:right w:val="single" w:sz="12" w:space="0" w:color="auto"/>
            </w:tcBorders>
            <w:shd w:val="clear" w:color="auto" w:fill="BDD6EE" w:themeFill="accent1" w:themeFillTint="66"/>
            <w:textDirection w:val="btLr"/>
          </w:tcPr>
          <w:p w14:paraId="5199110D" w14:textId="77777777" w:rsidR="00AB04ED" w:rsidRPr="00A9330B" w:rsidRDefault="00AB04ED" w:rsidP="00701C80">
            <w:pPr>
              <w:spacing w:before="40" w:line="240" w:lineRule="auto"/>
              <w:ind w:left="113" w:right="113"/>
              <w:jc w:val="center"/>
              <w:rPr>
                <w:rFonts w:cs="Arial"/>
                <w:b/>
                <w:sz w:val="18"/>
                <w:szCs w:val="18"/>
              </w:rPr>
            </w:pPr>
            <w:r w:rsidRPr="00A9330B">
              <w:rPr>
                <w:rFonts w:cs="Arial"/>
                <w:b/>
                <w:sz w:val="18"/>
                <w:szCs w:val="18"/>
              </w:rPr>
              <w:t>Importance</w:t>
            </w:r>
          </w:p>
        </w:tc>
      </w:tr>
      <w:tr w:rsidR="00AB04ED" w:rsidRPr="00A9330B" w14:paraId="55624D17" w14:textId="77777777" w:rsidTr="00655D39">
        <w:trPr>
          <w:trHeight w:val="463"/>
          <w:tblHeader/>
        </w:trPr>
        <w:tc>
          <w:tcPr>
            <w:tcW w:w="226" w:type="pct"/>
            <w:tcBorders>
              <w:top w:val="single" w:sz="12" w:space="0" w:color="auto"/>
              <w:left w:val="single" w:sz="12" w:space="0" w:color="auto"/>
              <w:bottom w:val="single" w:sz="8" w:space="0" w:color="auto"/>
              <w:right w:val="single" w:sz="8" w:space="0" w:color="auto"/>
            </w:tcBorders>
            <w:shd w:val="clear" w:color="auto" w:fill="BDD6EE" w:themeFill="accent1" w:themeFillTint="66"/>
          </w:tcPr>
          <w:p w14:paraId="624C8914" w14:textId="77777777" w:rsidR="00AB04ED" w:rsidRPr="00A9330B" w:rsidRDefault="00AB04ED" w:rsidP="00701C80">
            <w:pPr>
              <w:spacing w:before="40" w:line="240" w:lineRule="auto"/>
              <w:jc w:val="center"/>
              <w:rPr>
                <w:rFonts w:cs="Arial"/>
                <w:b/>
                <w:sz w:val="20"/>
                <w:szCs w:val="20"/>
              </w:rPr>
            </w:pPr>
          </w:p>
        </w:tc>
        <w:tc>
          <w:tcPr>
            <w:tcW w:w="933" w:type="pct"/>
            <w:tcBorders>
              <w:top w:val="single" w:sz="12" w:space="0" w:color="auto"/>
              <w:left w:val="single" w:sz="8" w:space="0" w:color="auto"/>
              <w:bottom w:val="single" w:sz="8" w:space="0" w:color="auto"/>
              <w:right w:val="single" w:sz="8" w:space="0" w:color="auto"/>
            </w:tcBorders>
            <w:shd w:val="clear" w:color="auto" w:fill="BDD6EE" w:themeFill="accent1" w:themeFillTint="66"/>
          </w:tcPr>
          <w:p w14:paraId="2D33B8EE" w14:textId="77777777" w:rsidR="00AB04ED" w:rsidRPr="00A9330B" w:rsidRDefault="00AB04ED" w:rsidP="00701C80">
            <w:pPr>
              <w:spacing w:before="40" w:line="240" w:lineRule="auto"/>
              <w:jc w:val="center"/>
              <w:rPr>
                <w:rFonts w:cs="Arial"/>
                <w:b/>
                <w:sz w:val="20"/>
                <w:szCs w:val="20"/>
              </w:rPr>
            </w:pPr>
          </w:p>
        </w:tc>
        <w:tc>
          <w:tcPr>
            <w:tcW w:w="1127" w:type="pct"/>
            <w:tcBorders>
              <w:top w:val="single" w:sz="8" w:space="0" w:color="auto"/>
              <w:left w:val="single" w:sz="8" w:space="0" w:color="auto"/>
              <w:bottom w:val="single" w:sz="8" w:space="0" w:color="auto"/>
              <w:right w:val="single" w:sz="8" w:space="0" w:color="auto"/>
            </w:tcBorders>
            <w:shd w:val="clear" w:color="auto" w:fill="BDD6EE" w:themeFill="accent1" w:themeFillTint="66"/>
          </w:tcPr>
          <w:p w14:paraId="344A552F" w14:textId="77777777" w:rsidR="00AB04ED" w:rsidRPr="00A9330B" w:rsidRDefault="00AB04ED" w:rsidP="00701C80">
            <w:pPr>
              <w:spacing w:before="40" w:line="240" w:lineRule="auto"/>
              <w:jc w:val="center"/>
              <w:rPr>
                <w:rFonts w:cs="Arial"/>
                <w:b/>
                <w:sz w:val="20"/>
                <w:szCs w:val="20"/>
              </w:rPr>
            </w:pPr>
            <w:r w:rsidRPr="00A9330B">
              <w:rPr>
                <w:rFonts w:cs="Arial"/>
                <w:b/>
                <w:sz w:val="20"/>
                <w:szCs w:val="20"/>
              </w:rPr>
              <w:t>Positif (a)</w:t>
            </w:r>
          </w:p>
        </w:tc>
        <w:tc>
          <w:tcPr>
            <w:tcW w:w="1156" w:type="pct"/>
            <w:tcBorders>
              <w:top w:val="single" w:sz="8" w:space="0" w:color="auto"/>
              <w:left w:val="single" w:sz="8" w:space="0" w:color="auto"/>
              <w:bottom w:val="single" w:sz="8" w:space="0" w:color="auto"/>
              <w:right w:val="single" w:sz="4" w:space="0" w:color="auto"/>
            </w:tcBorders>
            <w:shd w:val="clear" w:color="auto" w:fill="BDD6EE" w:themeFill="accent1" w:themeFillTint="66"/>
          </w:tcPr>
          <w:p w14:paraId="22B2B3EF" w14:textId="77777777" w:rsidR="00AB04ED" w:rsidRPr="00A9330B" w:rsidRDefault="00AB04ED" w:rsidP="00701C80">
            <w:pPr>
              <w:spacing w:before="40" w:line="240" w:lineRule="auto"/>
              <w:jc w:val="center"/>
              <w:rPr>
                <w:rFonts w:cs="Arial"/>
                <w:b/>
                <w:sz w:val="20"/>
                <w:szCs w:val="20"/>
              </w:rPr>
            </w:pPr>
            <w:r w:rsidRPr="00A9330B">
              <w:rPr>
                <w:rFonts w:cs="Arial"/>
                <w:b/>
                <w:sz w:val="20"/>
                <w:szCs w:val="20"/>
              </w:rPr>
              <w:t>Négatif (b)</w:t>
            </w:r>
          </w:p>
        </w:tc>
        <w:tc>
          <w:tcPr>
            <w:tcW w:w="452" w:type="pct"/>
            <w:vMerge/>
            <w:tcBorders>
              <w:top w:val="single" w:sz="4" w:space="0" w:color="auto"/>
              <w:left w:val="single" w:sz="4" w:space="0" w:color="auto"/>
              <w:bottom w:val="single" w:sz="4" w:space="0" w:color="auto"/>
              <w:right w:val="single" w:sz="4" w:space="0" w:color="auto"/>
            </w:tcBorders>
            <w:shd w:val="clear" w:color="auto" w:fill="BDD6EE" w:themeFill="accent1" w:themeFillTint="66"/>
          </w:tcPr>
          <w:p w14:paraId="3CAD92B8" w14:textId="77777777" w:rsidR="00AB04ED" w:rsidRPr="00A9330B" w:rsidRDefault="00AB04ED" w:rsidP="00701C80">
            <w:pPr>
              <w:spacing w:before="40" w:line="240" w:lineRule="auto"/>
              <w:jc w:val="center"/>
              <w:rPr>
                <w:rFonts w:cs="Arial"/>
                <w:b/>
                <w:sz w:val="20"/>
                <w:szCs w:val="20"/>
              </w:rPr>
            </w:pPr>
          </w:p>
        </w:tc>
        <w:tc>
          <w:tcPr>
            <w:tcW w:w="352" w:type="pct"/>
            <w:vMerge/>
            <w:tcBorders>
              <w:left w:val="single" w:sz="4" w:space="0" w:color="auto"/>
              <w:bottom w:val="single" w:sz="8" w:space="0" w:color="auto"/>
              <w:right w:val="single" w:sz="8" w:space="0" w:color="auto"/>
            </w:tcBorders>
            <w:shd w:val="clear" w:color="auto" w:fill="BDD6EE" w:themeFill="accent1" w:themeFillTint="66"/>
          </w:tcPr>
          <w:p w14:paraId="69E26DD7" w14:textId="77777777" w:rsidR="00AB04ED" w:rsidRPr="00A9330B" w:rsidRDefault="00AB04ED" w:rsidP="00701C80">
            <w:pPr>
              <w:spacing w:before="40" w:line="240" w:lineRule="auto"/>
              <w:jc w:val="center"/>
              <w:rPr>
                <w:rFonts w:cs="Arial"/>
                <w:b/>
                <w:sz w:val="20"/>
                <w:szCs w:val="20"/>
              </w:rPr>
            </w:pPr>
          </w:p>
        </w:tc>
        <w:tc>
          <w:tcPr>
            <w:tcW w:w="352" w:type="pct"/>
            <w:vMerge/>
            <w:tcBorders>
              <w:left w:val="single" w:sz="8" w:space="0" w:color="auto"/>
              <w:bottom w:val="single" w:sz="8" w:space="0" w:color="auto"/>
              <w:right w:val="single" w:sz="8" w:space="0" w:color="auto"/>
            </w:tcBorders>
            <w:shd w:val="clear" w:color="auto" w:fill="BDD6EE" w:themeFill="accent1" w:themeFillTint="66"/>
          </w:tcPr>
          <w:p w14:paraId="2E9CB882" w14:textId="77777777" w:rsidR="00AB04ED" w:rsidRPr="00A9330B" w:rsidRDefault="00AB04ED" w:rsidP="00701C80">
            <w:pPr>
              <w:spacing w:before="40" w:line="240" w:lineRule="auto"/>
              <w:jc w:val="center"/>
              <w:rPr>
                <w:rFonts w:cs="Arial"/>
                <w:b/>
                <w:sz w:val="20"/>
                <w:szCs w:val="20"/>
              </w:rPr>
            </w:pPr>
          </w:p>
        </w:tc>
        <w:tc>
          <w:tcPr>
            <w:tcW w:w="402" w:type="pct"/>
            <w:vMerge/>
            <w:tcBorders>
              <w:left w:val="single" w:sz="8" w:space="0" w:color="auto"/>
              <w:bottom w:val="single" w:sz="8" w:space="0" w:color="auto"/>
              <w:right w:val="single" w:sz="12" w:space="0" w:color="auto"/>
            </w:tcBorders>
            <w:shd w:val="clear" w:color="auto" w:fill="BDD6EE" w:themeFill="accent1" w:themeFillTint="66"/>
          </w:tcPr>
          <w:p w14:paraId="4D5F202D" w14:textId="77777777" w:rsidR="00AB04ED" w:rsidRPr="00A9330B" w:rsidRDefault="00AB04ED" w:rsidP="00701C80">
            <w:pPr>
              <w:spacing w:before="40" w:line="240" w:lineRule="auto"/>
              <w:jc w:val="center"/>
              <w:rPr>
                <w:rFonts w:cs="Arial"/>
                <w:b/>
                <w:sz w:val="20"/>
                <w:szCs w:val="20"/>
              </w:rPr>
            </w:pPr>
          </w:p>
        </w:tc>
      </w:tr>
      <w:tr w:rsidR="00AB04ED" w:rsidRPr="00A9330B" w14:paraId="6CC7E393" w14:textId="77777777" w:rsidTr="00701C80">
        <w:trPr>
          <w:trHeight w:val="307"/>
        </w:trPr>
        <w:tc>
          <w:tcPr>
            <w:tcW w:w="226" w:type="pct"/>
            <w:tcBorders>
              <w:top w:val="single" w:sz="12" w:space="0" w:color="auto"/>
              <w:left w:val="single" w:sz="12" w:space="0" w:color="auto"/>
              <w:bottom w:val="single" w:sz="8" w:space="0" w:color="auto"/>
              <w:right w:val="single" w:sz="8" w:space="0" w:color="auto"/>
            </w:tcBorders>
            <w:shd w:val="clear" w:color="auto" w:fill="F7CAAC"/>
            <w:vAlign w:val="center"/>
          </w:tcPr>
          <w:p w14:paraId="37345707" w14:textId="77777777" w:rsidR="00AB04ED" w:rsidRPr="00A9330B" w:rsidRDefault="00AB04ED" w:rsidP="00701C80">
            <w:pPr>
              <w:spacing w:before="40" w:line="240" w:lineRule="auto"/>
              <w:rPr>
                <w:rFonts w:cs="Arial"/>
                <w:b/>
                <w:sz w:val="20"/>
                <w:szCs w:val="20"/>
              </w:rPr>
            </w:pPr>
            <w:r w:rsidRPr="00A9330B">
              <w:rPr>
                <w:rFonts w:cs="Arial"/>
                <w:b/>
                <w:sz w:val="20"/>
                <w:szCs w:val="20"/>
              </w:rPr>
              <w:t>I</w:t>
            </w:r>
          </w:p>
        </w:tc>
        <w:tc>
          <w:tcPr>
            <w:tcW w:w="2060" w:type="pct"/>
            <w:gridSpan w:val="2"/>
            <w:tcBorders>
              <w:top w:val="single" w:sz="12" w:space="0" w:color="auto"/>
              <w:left w:val="single" w:sz="8" w:space="0" w:color="auto"/>
              <w:bottom w:val="single" w:sz="8" w:space="0" w:color="auto"/>
              <w:right w:val="single" w:sz="8" w:space="0" w:color="auto"/>
            </w:tcBorders>
            <w:shd w:val="clear" w:color="auto" w:fill="F7CAAC"/>
            <w:vAlign w:val="center"/>
          </w:tcPr>
          <w:p w14:paraId="6DFB820E" w14:textId="77777777" w:rsidR="00AB04ED" w:rsidRPr="00A9330B" w:rsidRDefault="00AB04ED" w:rsidP="00701C80">
            <w:pPr>
              <w:spacing w:before="40" w:line="240" w:lineRule="auto"/>
              <w:rPr>
                <w:rFonts w:cs="Arial"/>
                <w:b/>
                <w:sz w:val="20"/>
                <w:szCs w:val="20"/>
              </w:rPr>
            </w:pPr>
            <w:r w:rsidRPr="00A9330B">
              <w:rPr>
                <w:rFonts w:cs="Arial"/>
                <w:b/>
                <w:sz w:val="20"/>
                <w:szCs w:val="20"/>
              </w:rPr>
              <w:t xml:space="preserve">PHASE DE PREPARATION ET D’INSTALLATION </w:t>
            </w:r>
          </w:p>
        </w:tc>
        <w:tc>
          <w:tcPr>
            <w:tcW w:w="1156" w:type="pct"/>
            <w:tcBorders>
              <w:top w:val="single" w:sz="8" w:space="0" w:color="auto"/>
              <w:left w:val="single" w:sz="8" w:space="0" w:color="auto"/>
              <w:bottom w:val="single" w:sz="8" w:space="0" w:color="auto"/>
              <w:right w:val="single" w:sz="4" w:space="0" w:color="auto"/>
            </w:tcBorders>
            <w:shd w:val="clear" w:color="auto" w:fill="F7CAAC"/>
          </w:tcPr>
          <w:p w14:paraId="64B93D1C" w14:textId="77777777" w:rsidR="00AB04ED" w:rsidRPr="00A9330B" w:rsidRDefault="00AB04ED" w:rsidP="00701C80">
            <w:pPr>
              <w:spacing w:before="40" w:line="240" w:lineRule="auto"/>
              <w:rPr>
                <w:rFonts w:cs="Arial"/>
                <w:b/>
                <w:sz w:val="20"/>
                <w:szCs w:val="20"/>
              </w:rPr>
            </w:pPr>
          </w:p>
        </w:tc>
        <w:tc>
          <w:tcPr>
            <w:tcW w:w="452" w:type="pct"/>
            <w:tcBorders>
              <w:top w:val="single" w:sz="4" w:space="0" w:color="auto"/>
              <w:left w:val="single" w:sz="4" w:space="0" w:color="auto"/>
              <w:bottom w:val="single" w:sz="4" w:space="0" w:color="auto"/>
              <w:right w:val="single" w:sz="4" w:space="0" w:color="auto"/>
            </w:tcBorders>
            <w:shd w:val="clear" w:color="auto" w:fill="F7CAAC"/>
          </w:tcPr>
          <w:p w14:paraId="316A35E9" w14:textId="77777777" w:rsidR="00AB04ED" w:rsidRPr="00A9330B" w:rsidRDefault="00AB04ED" w:rsidP="00701C80">
            <w:pPr>
              <w:spacing w:before="40" w:line="240" w:lineRule="auto"/>
              <w:jc w:val="center"/>
              <w:rPr>
                <w:rFonts w:cs="Arial"/>
                <w:b/>
                <w:sz w:val="20"/>
                <w:szCs w:val="20"/>
              </w:rPr>
            </w:pPr>
          </w:p>
        </w:tc>
        <w:tc>
          <w:tcPr>
            <w:tcW w:w="352" w:type="pct"/>
            <w:tcBorders>
              <w:top w:val="single" w:sz="8" w:space="0" w:color="auto"/>
              <w:left w:val="single" w:sz="4" w:space="0" w:color="auto"/>
              <w:bottom w:val="single" w:sz="8" w:space="0" w:color="auto"/>
              <w:right w:val="single" w:sz="8" w:space="0" w:color="auto"/>
            </w:tcBorders>
            <w:shd w:val="clear" w:color="auto" w:fill="F7CAAC"/>
          </w:tcPr>
          <w:p w14:paraId="52A30435" w14:textId="77777777" w:rsidR="00AB04ED" w:rsidRPr="00A9330B" w:rsidRDefault="00AB04ED" w:rsidP="00701C80">
            <w:pPr>
              <w:spacing w:before="40" w:line="240" w:lineRule="auto"/>
              <w:jc w:val="center"/>
              <w:rPr>
                <w:rFonts w:cs="Arial"/>
                <w:b/>
                <w:sz w:val="20"/>
                <w:szCs w:val="20"/>
              </w:rPr>
            </w:pPr>
          </w:p>
        </w:tc>
        <w:tc>
          <w:tcPr>
            <w:tcW w:w="352" w:type="pct"/>
            <w:tcBorders>
              <w:top w:val="single" w:sz="8" w:space="0" w:color="auto"/>
              <w:left w:val="single" w:sz="8" w:space="0" w:color="auto"/>
              <w:bottom w:val="single" w:sz="8" w:space="0" w:color="auto"/>
              <w:right w:val="single" w:sz="8" w:space="0" w:color="auto"/>
            </w:tcBorders>
            <w:shd w:val="clear" w:color="auto" w:fill="F7CAAC"/>
          </w:tcPr>
          <w:p w14:paraId="52E559EB" w14:textId="77777777" w:rsidR="00AB04ED" w:rsidRPr="00A9330B" w:rsidRDefault="00AB04ED" w:rsidP="00701C80">
            <w:pPr>
              <w:spacing w:before="40" w:line="240" w:lineRule="auto"/>
              <w:jc w:val="center"/>
              <w:rPr>
                <w:rFonts w:cs="Arial"/>
                <w:b/>
                <w:sz w:val="20"/>
                <w:szCs w:val="20"/>
              </w:rPr>
            </w:pPr>
          </w:p>
        </w:tc>
        <w:tc>
          <w:tcPr>
            <w:tcW w:w="402" w:type="pct"/>
            <w:tcBorders>
              <w:top w:val="single" w:sz="8" w:space="0" w:color="auto"/>
              <w:left w:val="single" w:sz="8" w:space="0" w:color="auto"/>
              <w:bottom w:val="single" w:sz="8" w:space="0" w:color="auto"/>
              <w:right w:val="single" w:sz="12" w:space="0" w:color="auto"/>
            </w:tcBorders>
            <w:shd w:val="clear" w:color="auto" w:fill="F7CAAC"/>
          </w:tcPr>
          <w:p w14:paraId="43B75F18" w14:textId="77777777" w:rsidR="00AB04ED" w:rsidRPr="00A9330B" w:rsidRDefault="00AB04ED" w:rsidP="00701C80">
            <w:pPr>
              <w:spacing w:before="40" w:line="240" w:lineRule="auto"/>
              <w:jc w:val="center"/>
              <w:rPr>
                <w:rFonts w:cs="Arial"/>
                <w:b/>
                <w:sz w:val="20"/>
                <w:szCs w:val="20"/>
              </w:rPr>
            </w:pPr>
          </w:p>
        </w:tc>
      </w:tr>
      <w:tr w:rsidR="00AB04ED" w:rsidRPr="00A9330B" w14:paraId="6B079AEC" w14:textId="77777777" w:rsidTr="00896715">
        <w:trPr>
          <w:trHeight w:val="307"/>
        </w:trPr>
        <w:tc>
          <w:tcPr>
            <w:tcW w:w="226" w:type="pct"/>
            <w:tcBorders>
              <w:top w:val="single" w:sz="12" w:space="0" w:color="auto"/>
              <w:left w:val="single" w:sz="12" w:space="0" w:color="auto"/>
              <w:bottom w:val="single" w:sz="8" w:space="0" w:color="auto"/>
              <w:right w:val="single" w:sz="8" w:space="0" w:color="auto"/>
            </w:tcBorders>
            <w:shd w:val="clear" w:color="auto" w:fill="FFFFFF" w:themeFill="background1"/>
            <w:vAlign w:val="center"/>
          </w:tcPr>
          <w:p w14:paraId="4B725FA9" w14:textId="42D349A3" w:rsidR="00AB04ED" w:rsidRPr="00A9330B" w:rsidRDefault="00AB04ED" w:rsidP="00701C80">
            <w:pPr>
              <w:spacing w:before="40" w:line="240" w:lineRule="auto"/>
              <w:rPr>
                <w:rFonts w:cs="Arial"/>
                <w:b/>
                <w:sz w:val="20"/>
                <w:szCs w:val="20"/>
              </w:rPr>
            </w:pPr>
          </w:p>
        </w:tc>
        <w:tc>
          <w:tcPr>
            <w:tcW w:w="2060" w:type="pct"/>
            <w:gridSpan w:val="2"/>
            <w:tcBorders>
              <w:top w:val="single" w:sz="12" w:space="0" w:color="auto"/>
              <w:left w:val="single" w:sz="8" w:space="0" w:color="auto"/>
              <w:bottom w:val="single" w:sz="8" w:space="0" w:color="auto"/>
              <w:right w:val="single" w:sz="8" w:space="0" w:color="auto"/>
            </w:tcBorders>
            <w:shd w:val="clear" w:color="auto" w:fill="FFFFFF" w:themeFill="background1"/>
            <w:vAlign w:val="center"/>
          </w:tcPr>
          <w:p w14:paraId="7DCCA78A" w14:textId="1CAD639D" w:rsidR="00AB04ED" w:rsidRPr="00A9330B" w:rsidRDefault="00AB04ED" w:rsidP="00701C80">
            <w:pPr>
              <w:spacing w:before="40" w:line="240" w:lineRule="auto"/>
              <w:rPr>
                <w:rFonts w:cs="Arial"/>
                <w:b/>
                <w:sz w:val="20"/>
                <w:szCs w:val="20"/>
              </w:rPr>
            </w:pPr>
          </w:p>
        </w:tc>
        <w:tc>
          <w:tcPr>
            <w:tcW w:w="1156" w:type="pct"/>
            <w:tcBorders>
              <w:top w:val="single" w:sz="8" w:space="0" w:color="auto"/>
              <w:left w:val="single" w:sz="8" w:space="0" w:color="auto"/>
              <w:bottom w:val="single" w:sz="8" w:space="0" w:color="auto"/>
              <w:right w:val="single" w:sz="4" w:space="0" w:color="auto"/>
            </w:tcBorders>
            <w:shd w:val="clear" w:color="auto" w:fill="FFFFFF" w:themeFill="background1"/>
          </w:tcPr>
          <w:p w14:paraId="2F444E79" w14:textId="77777777" w:rsidR="00AB04ED" w:rsidRPr="00A9330B" w:rsidRDefault="00AB04ED" w:rsidP="00701C80">
            <w:pPr>
              <w:spacing w:before="40" w:line="240" w:lineRule="auto"/>
              <w:rPr>
                <w:rFonts w:cs="Arial"/>
                <w:b/>
                <w:sz w:val="20"/>
                <w:szCs w:val="20"/>
              </w:rPr>
            </w:pPr>
          </w:p>
        </w:tc>
        <w:tc>
          <w:tcPr>
            <w:tcW w:w="452" w:type="pct"/>
            <w:tcBorders>
              <w:top w:val="single" w:sz="4" w:space="0" w:color="auto"/>
              <w:left w:val="single" w:sz="4" w:space="0" w:color="auto"/>
              <w:bottom w:val="single" w:sz="4" w:space="0" w:color="auto"/>
              <w:right w:val="single" w:sz="4" w:space="0" w:color="auto"/>
            </w:tcBorders>
            <w:shd w:val="clear" w:color="auto" w:fill="FFFFFF" w:themeFill="background1"/>
          </w:tcPr>
          <w:p w14:paraId="6A833CD0" w14:textId="77777777" w:rsidR="00AB04ED" w:rsidRPr="00A9330B" w:rsidRDefault="00AB04ED" w:rsidP="00701C80">
            <w:pPr>
              <w:spacing w:before="40" w:line="240" w:lineRule="auto"/>
              <w:jc w:val="center"/>
              <w:rPr>
                <w:rFonts w:cs="Arial"/>
                <w:b/>
                <w:sz w:val="20"/>
                <w:szCs w:val="20"/>
              </w:rPr>
            </w:pPr>
          </w:p>
        </w:tc>
        <w:tc>
          <w:tcPr>
            <w:tcW w:w="352" w:type="pct"/>
            <w:tcBorders>
              <w:top w:val="single" w:sz="8" w:space="0" w:color="auto"/>
              <w:left w:val="single" w:sz="4" w:space="0" w:color="auto"/>
              <w:bottom w:val="single" w:sz="8" w:space="0" w:color="auto"/>
              <w:right w:val="single" w:sz="8" w:space="0" w:color="auto"/>
            </w:tcBorders>
            <w:shd w:val="clear" w:color="auto" w:fill="FFFFFF" w:themeFill="background1"/>
          </w:tcPr>
          <w:p w14:paraId="47C0F4FE" w14:textId="77777777" w:rsidR="00AB04ED" w:rsidRPr="00A9330B" w:rsidRDefault="00AB04ED" w:rsidP="00701C80">
            <w:pPr>
              <w:spacing w:before="40" w:line="240" w:lineRule="auto"/>
              <w:jc w:val="center"/>
              <w:rPr>
                <w:rFonts w:cs="Arial"/>
                <w:b/>
                <w:sz w:val="20"/>
                <w:szCs w:val="20"/>
              </w:rPr>
            </w:pPr>
          </w:p>
        </w:tc>
        <w:tc>
          <w:tcPr>
            <w:tcW w:w="352" w:type="pct"/>
            <w:tcBorders>
              <w:top w:val="single" w:sz="8" w:space="0" w:color="auto"/>
              <w:left w:val="single" w:sz="8" w:space="0" w:color="auto"/>
              <w:bottom w:val="single" w:sz="8" w:space="0" w:color="auto"/>
              <w:right w:val="single" w:sz="8" w:space="0" w:color="auto"/>
            </w:tcBorders>
            <w:shd w:val="clear" w:color="auto" w:fill="FFFFFF" w:themeFill="background1"/>
          </w:tcPr>
          <w:p w14:paraId="508390A9" w14:textId="77777777" w:rsidR="00AB04ED" w:rsidRPr="00A9330B" w:rsidRDefault="00AB04ED" w:rsidP="00701C80">
            <w:pPr>
              <w:spacing w:before="40" w:line="240" w:lineRule="auto"/>
              <w:jc w:val="center"/>
              <w:rPr>
                <w:rFonts w:cs="Arial"/>
                <w:b/>
                <w:sz w:val="20"/>
                <w:szCs w:val="20"/>
              </w:rPr>
            </w:pPr>
          </w:p>
        </w:tc>
        <w:tc>
          <w:tcPr>
            <w:tcW w:w="402" w:type="pct"/>
            <w:tcBorders>
              <w:top w:val="single" w:sz="8" w:space="0" w:color="auto"/>
              <w:left w:val="single" w:sz="8" w:space="0" w:color="auto"/>
              <w:bottom w:val="single" w:sz="8" w:space="0" w:color="auto"/>
              <w:right w:val="single" w:sz="12" w:space="0" w:color="auto"/>
            </w:tcBorders>
            <w:shd w:val="clear" w:color="auto" w:fill="FFFFFF" w:themeFill="background1"/>
          </w:tcPr>
          <w:p w14:paraId="62517BCF" w14:textId="77777777" w:rsidR="00AB04ED" w:rsidRPr="00A9330B" w:rsidRDefault="00AB04ED" w:rsidP="00701C80">
            <w:pPr>
              <w:spacing w:before="40" w:line="240" w:lineRule="auto"/>
              <w:jc w:val="center"/>
              <w:rPr>
                <w:rFonts w:cs="Arial"/>
                <w:b/>
                <w:sz w:val="20"/>
                <w:szCs w:val="20"/>
              </w:rPr>
            </w:pPr>
          </w:p>
        </w:tc>
      </w:tr>
      <w:tr w:rsidR="00AB04ED" w:rsidRPr="00A9330B" w14:paraId="76DF5B2C" w14:textId="77777777" w:rsidTr="00701C80">
        <w:trPr>
          <w:trHeight w:val="307"/>
        </w:trPr>
        <w:tc>
          <w:tcPr>
            <w:tcW w:w="226" w:type="pct"/>
            <w:tcBorders>
              <w:top w:val="single" w:sz="12" w:space="0" w:color="auto"/>
              <w:left w:val="single" w:sz="12" w:space="0" w:color="auto"/>
              <w:bottom w:val="single" w:sz="8" w:space="0" w:color="auto"/>
              <w:right w:val="single" w:sz="8" w:space="0" w:color="auto"/>
            </w:tcBorders>
            <w:shd w:val="clear" w:color="auto" w:fill="auto"/>
            <w:vAlign w:val="center"/>
          </w:tcPr>
          <w:p w14:paraId="1DCF5110" w14:textId="77777777" w:rsidR="00AB04ED" w:rsidRPr="00A9330B" w:rsidRDefault="00AB04ED" w:rsidP="00701C80">
            <w:pPr>
              <w:spacing w:before="40" w:line="240" w:lineRule="auto"/>
              <w:rPr>
                <w:rFonts w:cs="Arial"/>
                <w:b/>
                <w:sz w:val="20"/>
                <w:szCs w:val="20"/>
              </w:rPr>
            </w:pPr>
          </w:p>
        </w:tc>
        <w:tc>
          <w:tcPr>
            <w:tcW w:w="933" w:type="pct"/>
            <w:tcBorders>
              <w:top w:val="single" w:sz="12" w:space="0" w:color="auto"/>
              <w:left w:val="single" w:sz="8" w:space="0" w:color="auto"/>
              <w:right w:val="single" w:sz="8" w:space="0" w:color="auto"/>
            </w:tcBorders>
            <w:shd w:val="clear" w:color="auto" w:fill="auto"/>
            <w:vAlign w:val="center"/>
          </w:tcPr>
          <w:p w14:paraId="35659A12" w14:textId="77777777" w:rsidR="00AB04ED" w:rsidRPr="00A9330B" w:rsidRDefault="00AB04ED" w:rsidP="00701C80">
            <w:pPr>
              <w:spacing w:before="40" w:line="240" w:lineRule="auto"/>
              <w:rPr>
                <w:rFonts w:cs="Arial"/>
                <w:b/>
                <w:sz w:val="20"/>
                <w:szCs w:val="20"/>
              </w:rPr>
            </w:pPr>
          </w:p>
        </w:tc>
        <w:tc>
          <w:tcPr>
            <w:tcW w:w="1127" w:type="pct"/>
            <w:tcBorders>
              <w:top w:val="single" w:sz="12" w:space="0" w:color="auto"/>
              <w:left w:val="single" w:sz="8" w:space="0" w:color="auto"/>
              <w:right w:val="single" w:sz="8" w:space="0" w:color="auto"/>
            </w:tcBorders>
            <w:shd w:val="clear" w:color="auto" w:fill="auto"/>
            <w:vAlign w:val="center"/>
          </w:tcPr>
          <w:p w14:paraId="15D4746A" w14:textId="77777777" w:rsidR="00AB04ED" w:rsidRPr="00A9330B" w:rsidRDefault="00AB04ED" w:rsidP="00701C80">
            <w:pPr>
              <w:spacing w:before="40" w:line="240" w:lineRule="auto"/>
              <w:rPr>
                <w:rFonts w:cs="Arial"/>
                <w:b/>
                <w:sz w:val="20"/>
                <w:szCs w:val="20"/>
              </w:rPr>
            </w:pPr>
          </w:p>
        </w:tc>
        <w:tc>
          <w:tcPr>
            <w:tcW w:w="1156" w:type="pct"/>
            <w:tcBorders>
              <w:top w:val="single" w:sz="8" w:space="0" w:color="auto"/>
              <w:left w:val="single" w:sz="8" w:space="0" w:color="auto"/>
              <w:bottom w:val="single" w:sz="8" w:space="0" w:color="auto"/>
              <w:right w:val="single" w:sz="4" w:space="0" w:color="auto"/>
            </w:tcBorders>
            <w:shd w:val="clear" w:color="auto" w:fill="auto"/>
          </w:tcPr>
          <w:p w14:paraId="1282D21D" w14:textId="77777777" w:rsidR="00AB04ED" w:rsidRPr="00A9330B" w:rsidRDefault="00AB04ED" w:rsidP="00701C80">
            <w:pPr>
              <w:spacing w:before="40" w:line="240" w:lineRule="auto"/>
              <w:rPr>
                <w:rFonts w:cs="Arial"/>
                <w:b/>
                <w:sz w:val="20"/>
                <w:szCs w:val="20"/>
              </w:rPr>
            </w:pPr>
          </w:p>
        </w:tc>
        <w:tc>
          <w:tcPr>
            <w:tcW w:w="452" w:type="pct"/>
            <w:tcBorders>
              <w:top w:val="single" w:sz="4" w:space="0" w:color="auto"/>
              <w:left w:val="single" w:sz="4" w:space="0" w:color="auto"/>
              <w:bottom w:val="single" w:sz="4" w:space="0" w:color="auto"/>
              <w:right w:val="single" w:sz="4" w:space="0" w:color="auto"/>
            </w:tcBorders>
            <w:shd w:val="clear" w:color="auto" w:fill="auto"/>
          </w:tcPr>
          <w:p w14:paraId="3FC36093" w14:textId="77777777" w:rsidR="00AB04ED" w:rsidRPr="00A9330B" w:rsidRDefault="00AB04ED" w:rsidP="00701C80">
            <w:pPr>
              <w:spacing w:before="40" w:line="240" w:lineRule="auto"/>
              <w:jc w:val="center"/>
              <w:rPr>
                <w:rFonts w:cs="Arial"/>
                <w:b/>
                <w:sz w:val="20"/>
                <w:szCs w:val="20"/>
              </w:rPr>
            </w:pPr>
          </w:p>
        </w:tc>
        <w:tc>
          <w:tcPr>
            <w:tcW w:w="352" w:type="pct"/>
            <w:tcBorders>
              <w:top w:val="single" w:sz="8" w:space="0" w:color="auto"/>
              <w:left w:val="single" w:sz="4" w:space="0" w:color="auto"/>
              <w:bottom w:val="single" w:sz="8" w:space="0" w:color="auto"/>
              <w:right w:val="single" w:sz="8" w:space="0" w:color="auto"/>
            </w:tcBorders>
            <w:shd w:val="clear" w:color="auto" w:fill="auto"/>
          </w:tcPr>
          <w:p w14:paraId="455CD087" w14:textId="77777777" w:rsidR="00AB04ED" w:rsidRPr="00A9330B" w:rsidRDefault="00AB04ED" w:rsidP="00701C80">
            <w:pPr>
              <w:spacing w:before="40" w:line="240" w:lineRule="auto"/>
              <w:jc w:val="center"/>
              <w:rPr>
                <w:rFonts w:cs="Arial"/>
                <w:b/>
                <w:sz w:val="20"/>
                <w:szCs w:val="20"/>
              </w:rPr>
            </w:pPr>
          </w:p>
        </w:tc>
        <w:tc>
          <w:tcPr>
            <w:tcW w:w="352" w:type="pct"/>
            <w:tcBorders>
              <w:top w:val="single" w:sz="8" w:space="0" w:color="auto"/>
              <w:left w:val="single" w:sz="8" w:space="0" w:color="auto"/>
              <w:bottom w:val="single" w:sz="8" w:space="0" w:color="auto"/>
              <w:right w:val="single" w:sz="8" w:space="0" w:color="auto"/>
            </w:tcBorders>
            <w:shd w:val="clear" w:color="auto" w:fill="auto"/>
          </w:tcPr>
          <w:p w14:paraId="14B89ED1" w14:textId="77777777" w:rsidR="00AB04ED" w:rsidRPr="00A9330B" w:rsidRDefault="00AB04ED" w:rsidP="00701C80">
            <w:pPr>
              <w:spacing w:before="40" w:line="240" w:lineRule="auto"/>
              <w:jc w:val="center"/>
              <w:rPr>
                <w:rFonts w:cs="Arial"/>
                <w:b/>
                <w:sz w:val="20"/>
                <w:szCs w:val="20"/>
              </w:rPr>
            </w:pPr>
          </w:p>
        </w:tc>
        <w:tc>
          <w:tcPr>
            <w:tcW w:w="402" w:type="pct"/>
            <w:tcBorders>
              <w:top w:val="single" w:sz="8" w:space="0" w:color="auto"/>
              <w:left w:val="single" w:sz="8" w:space="0" w:color="auto"/>
              <w:bottom w:val="single" w:sz="8" w:space="0" w:color="auto"/>
              <w:right w:val="single" w:sz="12" w:space="0" w:color="auto"/>
            </w:tcBorders>
            <w:shd w:val="clear" w:color="auto" w:fill="auto"/>
          </w:tcPr>
          <w:p w14:paraId="09B16E41" w14:textId="77777777" w:rsidR="00AB04ED" w:rsidRPr="00A9330B" w:rsidRDefault="00AB04ED" w:rsidP="00701C80">
            <w:pPr>
              <w:spacing w:before="40" w:line="240" w:lineRule="auto"/>
              <w:jc w:val="center"/>
              <w:rPr>
                <w:rFonts w:cs="Arial"/>
                <w:b/>
                <w:sz w:val="20"/>
                <w:szCs w:val="20"/>
              </w:rPr>
            </w:pPr>
          </w:p>
        </w:tc>
      </w:tr>
      <w:tr w:rsidR="00AB04ED" w:rsidRPr="00A9330B" w14:paraId="0C45A3C9" w14:textId="77777777" w:rsidTr="00701C80">
        <w:trPr>
          <w:trHeight w:val="307"/>
        </w:trPr>
        <w:tc>
          <w:tcPr>
            <w:tcW w:w="226" w:type="pct"/>
            <w:tcBorders>
              <w:top w:val="single" w:sz="12" w:space="0" w:color="auto"/>
              <w:left w:val="single" w:sz="12" w:space="0" w:color="auto"/>
              <w:bottom w:val="single" w:sz="8" w:space="0" w:color="auto"/>
              <w:right w:val="single" w:sz="8" w:space="0" w:color="auto"/>
            </w:tcBorders>
            <w:shd w:val="clear" w:color="auto" w:fill="auto"/>
            <w:vAlign w:val="center"/>
          </w:tcPr>
          <w:p w14:paraId="71B9A396" w14:textId="77777777" w:rsidR="00AB04ED" w:rsidRPr="00A9330B" w:rsidRDefault="00AB04ED" w:rsidP="00701C80">
            <w:pPr>
              <w:spacing w:before="40" w:line="240" w:lineRule="auto"/>
              <w:rPr>
                <w:rFonts w:cs="Arial"/>
                <w:b/>
                <w:sz w:val="20"/>
                <w:szCs w:val="20"/>
              </w:rPr>
            </w:pPr>
          </w:p>
        </w:tc>
        <w:tc>
          <w:tcPr>
            <w:tcW w:w="933" w:type="pct"/>
            <w:tcBorders>
              <w:left w:val="single" w:sz="8" w:space="0" w:color="auto"/>
              <w:bottom w:val="single" w:sz="8" w:space="0" w:color="auto"/>
              <w:right w:val="single" w:sz="8" w:space="0" w:color="auto"/>
            </w:tcBorders>
            <w:shd w:val="clear" w:color="auto" w:fill="auto"/>
            <w:vAlign w:val="center"/>
          </w:tcPr>
          <w:p w14:paraId="79C5B464" w14:textId="77777777" w:rsidR="00AB04ED" w:rsidRPr="00A9330B" w:rsidRDefault="00AB04ED" w:rsidP="00701C80">
            <w:pPr>
              <w:spacing w:before="40" w:line="240" w:lineRule="auto"/>
              <w:rPr>
                <w:rFonts w:cs="Arial"/>
                <w:b/>
                <w:sz w:val="20"/>
                <w:szCs w:val="20"/>
              </w:rPr>
            </w:pPr>
          </w:p>
        </w:tc>
        <w:tc>
          <w:tcPr>
            <w:tcW w:w="1127" w:type="pct"/>
            <w:tcBorders>
              <w:left w:val="single" w:sz="8" w:space="0" w:color="auto"/>
              <w:bottom w:val="single" w:sz="8" w:space="0" w:color="auto"/>
              <w:right w:val="single" w:sz="8" w:space="0" w:color="auto"/>
            </w:tcBorders>
            <w:shd w:val="clear" w:color="auto" w:fill="auto"/>
            <w:vAlign w:val="center"/>
          </w:tcPr>
          <w:p w14:paraId="30A646C2" w14:textId="77777777" w:rsidR="00AB04ED" w:rsidRPr="00A9330B" w:rsidRDefault="00AB04ED" w:rsidP="00701C80">
            <w:pPr>
              <w:spacing w:before="40" w:line="240" w:lineRule="auto"/>
              <w:rPr>
                <w:rFonts w:cs="Arial"/>
                <w:b/>
                <w:sz w:val="20"/>
                <w:szCs w:val="20"/>
              </w:rPr>
            </w:pPr>
          </w:p>
        </w:tc>
        <w:tc>
          <w:tcPr>
            <w:tcW w:w="1156" w:type="pct"/>
            <w:tcBorders>
              <w:top w:val="single" w:sz="8" w:space="0" w:color="auto"/>
              <w:left w:val="single" w:sz="8" w:space="0" w:color="auto"/>
              <w:bottom w:val="single" w:sz="8" w:space="0" w:color="auto"/>
              <w:right w:val="single" w:sz="4" w:space="0" w:color="auto"/>
            </w:tcBorders>
            <w:shd w:val="clear" w:color="auto" w:fill="auto"/>
          </w:tcPr>
          <w:p w14:paraId="75F53FA3" w14:textId="77777777" w:rsidR="00AB04ED" w:rsidRPr="00A9330B" w:rsidRDefault="00AB04ED" w:rsidP="00701C80">
            <w:pPr>
              <w:spacing w:before="40" w:line="240" w:lineRule="auto"/>
              <w:rPr>
                <w:rFonts w:cs="Arial"/>
                <w:b/>
                <w:sz w:val="20"/>
                <w:szCs w:val="20"/>
              </w:rPr>
            </w:pPr>
          </w:p>
        </w:tc>
        <w:tc>
          <w:tcPr>
            <w:tcW w:w="452" w:type="pct"/>
            <w:tcBorders>
              <w:top w:val="single" w:sz="4" w:space="0" w:color="auto"/>
              <w:left w:val="single" w:sz="4" w:space="0" w:color="auto"/>
              <w:bottom w:val="single" w:sz="4" w:space="0" w:color="auto"/>
              <w:right w:val="single" w:sz="4" w:space="0" w:color="auto"/>
            </w:tcBorders>
            <w:shd w:val="clear" w:color="auto" w:fill="auto"/>
          </w:tcPr>
          <w:p w14:paraId="5C975523" w14:textId="77777777" w:rsidR="00AB04ED" w:rsidRPr="00A9330B" w:rsidRDefault="00AB04ED" w:rsidP="00701C80">
            <w:pPr>
              <w:spacing w:before="40" w:line="240" w:lineRule="auto"/>
              <w:jc w:val="center"/>
              <w:rPr>
                <w:rFonts w:cs="Arial"/>
                <w:b/>
                <w:sz w:val="20"/>
                <w:szCs w:val="20"/>
              </w:rPr>
            </w:pPr>
          </w:p>
        </w:tc>
        <w:tc>
          <w:tcPr>
            <w:tcW w:w="352" w:type="pct"/>
            <w:tcBorders>
              <w:top w:val="single" w:sz="8" w:space="0" w:color="auto"/>
              <w:left w:val="single" w:sz="4" w:space="0" w:color="auto"/>
              <w:bottom w:val="single" w:sz="8" w:space="0" w:color="auto"/>
              <w:right w:val="single" w:sz="8" w:space="0" w:color="auto"/>
            </w:tcBorders>
            <w:shd w:val="clear" w:color="auto" w:fill="auto"/>
          </w:tcPr>
          <w:p w14:paraId="34AA028C" w14:textId="77777777" w:rsidR="00AB04ED" w:rsidRPr="00A9330B" w:rsidRDefault="00AB04ED" w:rsidP="00701C80">
            <w:pPr>
              <w:spacing w:before="40" w:line="240" w:lineRule="auto"/>
              <w:jc w:val="center"/>
              <w:rPr>
                <w:rFonts w:cs="Arial"/>
                <w:b/>
                <w:sz w:val="20"/>
                <w:szCs w:val="20"/>
              </w:rPr>
            </w:pPr>
          </w:p>
        </w:tc>
        <w:tc>
          <w:tcPr>
            <w:tcW w:w="352" w:type="pct"/>
            <w:tcBorders>
              <w:top w:val="single" w:sz="8" w:space="0" w:color="auto"/>
              <w:left w:val="single" w:sz="8" w:space="0" w:color="auto"/>
              <w:bottom w:val="single" w:sz="8" w:space="0" w:color="auto"/>
              <w:right w:val="single" w:sz="8" w:space="0" w:color="auto"/>
            </w:tcBorders>
            <w:shd w:val="clear" w:color="auto" w:fill="auto"/>
          </w:tcPr>
          <w:p w14:paraId="79307EBC" w14:textId="77777777" w:rsidR="00AB04ED" w:rsidRPr="00A9330B" w:rsidRDefault="00AB04ED" w:rsidP="00701C80">
            <w:pPr>
              <w:spacing w:before="40" w:line="240" w:lineRule="auto"/>
              <w:jc w:val="center"/>
              <w:rPr>
                <w:rFonts w:cs="Arial"/>
                <w:b/>
                <w:sz w:val="20"/>
                <w:szCs w:val="20"/>
              </w:rPr>
            </w:pPr>
          </w:p>
        </w:tc>
        <w:tc>
          <w:tcPr>
            <w:tcW w:w="402" w:type="pct"/>
            <w:tcBorders>
              <w:top w:val="single" w:sz="8" w:space="0" w:color="auto"/>
              <w:left w:val="single" w:sz="8" w:space="0" w:color="auto"/>
              <w:bottom w:val="single" w:sz="8" w:space="0" w:color="auto"/>
              <w:right w:val="single" w:sz="12" w:space="0" w:color="auto"/>
            </w:tcBorders>
            <w:shd w:val="clear" w:color="auto" w:fill="auto"/>
          </w:tcPr>
          <w:p w14:paraId="547AF63F" w14:textId="77777777" w:rsidR="00AB04ED" w:rsidRPr="00A9330B" w:rsidRDefault="00AB04ED" w:rsidP="00701C80">
            <w:pPr>
              <w:spacing w:before="40" w:line="240" w:lineRule="auto"/>
              <w:jc w:val="center"/>
              <w:rPr>
                <w:rFonts w:cs="Arial"/>
                <w:b/>
                <w:sz w:val="20"/>
                <w:szCs w:val="20"/>
              </w:rPr>
            </w:pPr>
          </w:p>
        </w:tc>
      </w:tr>
      <w:tr w:rsidR="00AB04ED" w:rsidRPr="00A9330B" w14:paraId="637B91C2" w14:textId="77777777" w:rsidTr="00701C80">
        <w:trPr>
          <w:trHeight w:val="307"/>
        </w:trPr>
        <w:tc>
          <w:tcPr>
            <w:tcW w:w="226" w:type="pct"/>
            <w:tcBorders>
              <w:top w:val="single" w:sz="12" w:space="0" w:color="auto"/>
              <w:left w:val="single" w:sz="12" w:space="0" w:color="auto"/>
              <w:bottom w:val="single" w:sz="8" w:space="0" w:color="auto"/>
              <w:right w:val="single" w:sz="8" w:space="0" w:color="auto"/>
            </w:tcBorders>
            <w:shd w:val="clear" w:color="auto" w:fill="F7CAAC"/>
            <w:vAlign w:val="center"/>
          </w:tcPr>
          <w:p w14:paraId="66A901C7" w14:textId="77777777" w:rsidR="00AB04ED" w:rsidRPr="00A9330B" w:rsidRDefault="00AB04ED" w:rsidP="00701C80">
            <w:pPr>
              <w:spacing w:before="40" w:line="240" w:lineRule="auto"/>
              <w:rPr>
                <w:rFonts w:cs="Arial"/>
                <w:b/>
                <w:sz w:val="20"/>
                <w:szCs w:val="20"/>
              </w:rPr>
            </w:pPr>
            <w:r w:rsidRPr="00A9330B">
              <w:rPr>
                <w:rFonts w:cs="Arial"/>
                <w:b/>
                <w:sz w:val="20"/>
                <w:szCs w:val="20"/>
              </w:rPr>
              <w:t>II</w:t>
            </w:r>
          </w:p>
        </w:tc>
        <w:tc>
          <w:tcPr>
            <w:tcW w:w="2060" w:type="pct"/>
            <w:gridSpan w:val="2"/>
            <w:tcBorders>
              <w:top w:val="single" w:sz="12" w:space="0" w:color="auto"/>
              <w:left w:val="single" w:sz="8" w:space="0" w:color="auto"/>
              <w:bottom w:val="single" w:sz="8" w:space="0" w:color="auto"/>
              <w:right w:val="single" w:sz="8" w:space="0" w:color="auto"/>
            </w:tcBorders>
            <w:shd w:val="clear" w:color="auto" w:fill="F7CAAC"/>
            <w:vAlign w:val="center"/>
          </w:tcPr>
          <w:p w14:paraId="7CB60C20" w14:textId="0052D5A8" w:rsidR="00AB04ED" w:rsidRPr="00A9330B" w:rsidRDefault="00896715" w:rsidP="00701C80">
            <w:pPr>
              <w:spacing w:before="40" w:line="240" w:lineRule="auto"/>
              <w:rPr>
                <w:rFonts w:cs="Arial"/>
                <w:b/>
                <w:sz w:val="20"/>
                <w:szCs w:val="20"/>
              </w:rPr>
            </w:pPr>
            <w:r w:rsidRPr="00A9330B">
              <w:rPr>
                <w:rFonts w:cs="Arial"/>
                <w:b/>
                <w:sz w:val="20"/>
                <w:szCs w:val="20"/>
              </w:rPr>
              <w:t xml:space="preserve">PHASE DE CONSTRUCTION </w:t>
            </w:r>
          </w:p>
        </w:tc>
        <w:tc>
          <w:tcPr>
            <w:tcW w:w="1156" w:type="pct"/>
            <w:tcBorders>
              <w:top w:val="single" w:sz="8" w:space="0" w:color="auto"/>
              <w:left w:val="single" w:sz="8" w:space="0" w:color="auto"/>
              <w:bottom w:val="single" w:sz="8" w:space="0" w:color="auto"/>
              <w:right w:val="single" w:sz="4" w:space="0" w:color="auto"/>
            </w:tcBorders>
            <w:shd w:val="clear" w:color="auto" w:fill="F7CAAC"/>
          </w:tcPr>
          <w:p w14:paraId="6EFC29D9" w14:textId="77777777" w:rsidR="00AB04ED" w:rsidRPr="00A9330B" w:rsidRDefault="00AB04ED" w:rsidP="00701C80">
            <w:pPr>
              <w:spacing w:before="40" w:line="240" w:lineRule="auto"/>
              <w:rPr>
                <w:rFonts w:cs="Arial"/>
                <w:b/>
                <w:sz w:val="20"/>
                <w:szCs w:val="20"/>
              </w:rPr>
            </w:pPr>
          </w:p>
        </w:tc>
        <w:tc>
          <w:tcPr>
            <w:tcW w:w="452" w:type="pct"/>
            <w:tcBorders>
              <w:top w:val="single" w:sz="4" w:space="0" w:color="auto"/>
              <w:left w:val="single" w:sz="4" w:space="0" w:color="auto"/>
              <w:bottom w:val="single" w:sz="4" w:space="0" w:color="auto"/>
              <w:right w:val="single" w:sz="4" w:space="0" w:color="auto"/>
            </w:tcBorders>
            <w:shd w:val="clear" w:color="auto" w:fill="F7CAAC"/>
          </w:tcPr>
          <w:p w14:paraId="5ADE5E58" w14:textId="77777777" w:rsidR="00AB04ED" w:rsidRPr="00A9330B" w:rsidRDefault="00AB04ED" w:rsidP="00701C80">
            <w:pPr>
              <w:spacing w:before="40" w:line="240" w:lineRule="auto"/>
              <w:jc w:val="center"/>
              <w:rPr>
                <w:rFonts w:cs="Arial"/>
                <w:b/>
                <w:sz w:val="20"/>
                <w:szCs w:val="20"/>
              </w:rPr>
            </w:pPr>
          </w:p>
        </w:tc>
        <w:tc>
          <w:tcPr>
            <w:tcW w:w="352" w:type="pct"/>
            <w:tcBorders>
              <w:top w:val="single" w:sz="8" w:space="0" w:color="auto"/>
              <w:left w:val="single" w:sz="4" w:space="0" w:color="auto"/>
              <w:bottom w:val="single" w:sz="8" w:space="0" w:color="auto"/>
              <w:right w:val="single" w:sz="8" w:space="0" w:color="auto"/>
            </w:tcBorders>
            <w:shd w:val="clear" w:color="auto" w:fill="F7CAAC"/>
          </w:tcPr>
          <w:p w14:paraId="1FD64132" w14:textId="77777777" w:rsidR="00AB04ED" w:rsidRPr="00A9330B" w:rsidRDefault="00AB04ED" w:rsidP="00701C80">
            <w:pPr>
              <w:spacing w:before="40" w:line="240" w:lineRule="auto"/>
              <w:jc w:val="center"/>
              <w:rPr>
                <w:rFonts w:cs="Arial"/>
                <w:b/>
                <w:sz w:val="20"/>
                <w:szCs w:val="20"/>
              </w:rPr>
            </w:pPr>
          </w:p>
        </w:tc>
        <w:tc>
          <w:tcPr>
            <w:tcW w:w="352" w:type="pct"/>
            <w:tcBorders>
              <w:top w:val="single" w:sz="8" w:space="0" w:color="auto"/>
              <w:left w:val="single" w:sz="8" w:space="0" w:color="auto"/>
              <w:bottom w:val="single" w:sz="8" w:space="0" w:color="auto"/>
              <w:right w:val="single" w:sz="8" w:space="0" w:color="auto"/>
            </w:tcBorders>
            <w:shd w:val="clear" w:color="auto" w:fill="F7CAAC"/>
          </w:tcPr>
          <w:p w14:paraId="798FCBDD" w14:textId="77777777" w:rsidR="00AB04ED" w:rsidRPr="00A9330B" w:rsidRDefault="00AB04ED" w:rsidP="00701C80">
            <w:pPr>
              <w:spacing w:before="40" w:line="240" w:lineRule="auto"/>
              <w:jc w:val="center"/>
              <w:rPr>
                <w:rFonts w:cs="Arial"/>
                <w:b/>
                <w:sz w:val="20"/>
                <w:szCs w:val="20"/>
              </w:rPr>
            </w:pPr>
          </w:p>
        </w:tc>
        <w:tc>
          <w:tcPr>
            <w:tcW w:w="402" w:type="pct"/>
            <w:tcBorders>
              <w:top w:val="single" w:sz="8" w:space="0" w:color="auto"/>
              <w:left w:val="single" w:sz="8" w:space="0" w:color="auto"/>
              <w:bottom w:val="single" w:sz="8" w:space="0" w:color="auto"/>
              <w:right w:val="single" w:sz="12" w:space="0" w:color="auto"/>
            </w:tcBorders>
            <w:shd w:val="clear" w:color="auto" w:fill="F7CAAC"/>
          </w:tcPr>
          <w:p w14:paraId="1C8CE00A" w14:textId="77777777" w:rsidR="00AB04ED" w:rsidRPr="00A9330B" w:rsidRDefault="00AB04ED" w:rsidP="00701C80">
            <w:pPr>
              <w:spacing w:before="40" w:line="240" w:lineRule="auto"/>
              <w:jc w:val="center"/>
              <w:rPr>
                <w:rFonts w:cs="Arial"/>
                <w:b/>
                <w:sz w:val="20"/>
                <w:szCs w:val="20"/>
              </w:rPr>
            </w:pPr>
          </w:p>
        </w:tc>
      </w:tr>
      <w:tr w:rsidR="00AB04ED" w:rsidRPr="00A9330B" w14:paraId="7E8D68C9" w14:textId="77777777" w:rsidTr="00701C80">
        <w:trPr>
          <w:trHeight w:val="307"/>
        </w:trPr>
        <w:tc>
          <w:tcPr>
            <w:tcW w:w="226" w:type="pct"/>
            <w:tcBorders>
              <w:top w:val="single" w:sz="12" w:space="0" w:color="auto"/>
              <w:left w:val="single" w:sz="12" w:space="0" w:color="auto"/>
              <w:bottom w:val="single" w:sz="8" w:space="0" w:color="auto"/>
              <w:right w:val="single" w:sz="8" w:space="0" w:color="auto"/>
            </w:tcBorders>
            <w:shd w:val="clear" w:color="auto" w:fill="auto"/>
            <w:vAlign w:val="center"/>
          </w:tcPr>
          <w:p w14:paraId="1693AD2D" w14:textId="77777777" w:rsidR="00AB04ED" w:rsidRPr="00A9330B" w:rsidRDefault="00AB04ED" w:rsidP="00701C80">
            <w:pPr>
              <w:spacing w:before="40" w:line="240" w:lineRule="auto"/>
              <w:rPr>
                <w:rFonts w:cs="Arial"/>
                <w:b/>
                <w:sz w:val="20"/>
                <w:szCs w:val="20"/>
              </w:rPr>
            </w:pPr>
          </w:p>
        </w:tc>
        <w:tc>
          <w:tcPr>
            <w:tcW w:w="933" w:type="pct"/>
            <w:tcBorders>
              <w:left w:val="single" w:sz="8" w:space="0" w:color="auto"/>
              <w:bottom w:val="single" w:sz="8" w:space="0" w:color="auto"/>
              <w:right w:val="single" w:sz="8" w:space="0" w:color="auto"/>
            </w:tcBorders>
            <w:shd w:val="clear" w:color="auto" w:fill="auto"/>
            <w:vAlign w:val="center"/>
          </w:tcPr>
          <w:p w14:paraId="3A6747D4" w14:textId="77777777" w:rsidR="00AB04ED" w:rsidRPr="00A9330B" w:rsidRDefault="00AB04ED" w:rsidP="00701C80">
            <w:pPr>
              <w:spacing w:before="40" w:line="240" w:lineRule="auto"/>
              <w:rPr>
                <w:rFonts w:cs="Arial"/>
                <w:b/>
                <w:sz w:val="20"/>
                <w:szCs w:val="20"/>
              </w:rPr>
            </w:pPr>
          </w:p>
        </w:tc>
        <w:tc>
          <w:tcPr>
            <w:tcW w:w="1127" w:type="pct"/>
            <w:tcBorders>
              <w:left w:val="single" w:sz="8" w:space="0" w:color="auto"/>
              <w:bottom w:val="single" w:sz="8" w:space="0" w:color="auto"/>
              <w:right w:val="single" w:sz="8" w:space="0" w:color="auto"/>
            </w:tcBorders>
            <w:shd w:val="clear" w:color="auto" w:fill="auto"/>
            <w:vAlign w:val="center"/>
          </w:tcPr>
          <w:p w14:paraId="273B5780" w14:textId="77777777" w:rsidR="00AB04ED" w:rsidRPr="00A9330B" w:rsidRDefault="00AB04ED" w:rsidP="00701C80">
            <w:pPr>
              <w:spacing w:before="40" w:line="240" w:lineRule="auto"/>
              <w:rPr>
                <w:rFonts w:cs="Arial"/>
                <w:b/>
                <w:sz w:val="20"/>
                <w:szCs w:val="20"/>
              </w:rPr>
            </w:pPr>
          </w:p>
        </w:tc>
        <w:tc>
          <w:tcPr>
            <w:tcW w:w="1156" w:type="pct"/>
            <w:tcBorders>
              <w:top w:val="single" w:sz="8" w:space="0" w:color="auto"/>
              <w:left w:val="single" w:sz="8" w:space="0" w:color="auto"/>
              <w:bottom w:val="single" w:sz="8" w:space="0" w:color="auto"/>
              <w:right w:val="single" w:sz="4" w:space="0" w:color="auto"/>
            </w:tcBorders>
            <w:shd w:val="clear" w:color="auto" w:fill="auto"/>
          </w:tcPr>
          <w:p w14:paraId="2A9887EB" w14:textId="77777777" w:rsidR="00AB04ED" w:rsidRPr="00A9330B" w:rsidRDefault="00AB04ED" w:rsidP="00701C80">
            <w:pPr>
              <w:spacing w:before="40" w:line="240" w:lineRule="auto"/>
              <w:rPr>
                <w:rFonts w:cs="Arial"/>
                <w:b/>
                <w:sz w:val="20"/>
                <w:szCs w:val="20"/>
              </w:rPr>
            </w:pPr>
          </w:p>
        </w:tc>
        <w:tc>
          <w:tcPr>
            <w:tcW w:w="452" w:type="pct"/>
            <w:tcBorders>
              <w:top w:val="single" w:sz="4" w:space="0" w:color="auto"/>
              <w:left w:val="single" w:sz="4" w:space="0" w:color="auto"/>
              <w:bottom w:val="single" w:sz="4" w:space="0" w:color="auto"/>
              <w:right w:val="single" w:sz="4" w:space="0" w:color="auto"/>
            </w:tcBorders>
            <w:shd w:val="clear" w:color="auto" w:fill="auto"/>
          </w:tcPr>
          <w:p w14:paraId="38A3019D" w14:textId="77777777" w:rsidR="00AB04ED" w:rsidRPr="00A9330B" w:rsidRDefault="00AB04ED" w:rsidP="00701C80">
            <w:pPr>
              <w:spacing w:before="40" w:line="240" w:lineRule="auto"/>
              <w:jc w:val="center"/>
              <w:rPr>
                <w:rFonts w:cs="Arial"/>
                <w:b/>
                <w:sz w:val="20"/>
                <w:szCs w:val="20"/>
              </w:rPr>
            </w:pPr>
          </w:p>
        </w:tc>
        <w:tc>
          <w:tcPr>
            <w:tcW w:w="352" w:type="pct"/>
            <w:tcBorders>
              <w:top w:val="single" w:sz="8" w:space="0" w:color="auto"/>
              <w:left w:val="single" w:sz="4" w:space="0" w:color="auto"/>
              <w:bottom w:val="single" w:sz="8" w:space="0" w:color="auto"/>
              <w:right w:val="single" w:sz="8" w:space="0" w:color="auto"/>
            </w:tcBorders>
            <w:shd w:val="clear" w:color="auto" w:fill="auto"/>
          </w:tcPr>
          <w:p w14:paraId="6081A333" w14:textId="77777777" w:rsidR="00AB04ED" w:rsidRPr="00A9330B" w:rsidRDefault="00AB04ED" w:rsidP="00701C80">
            <w:pPr>
              <w:spacing w:before="40" w:line="240" w:lineRule="auto"/>
              <w:jc w:val="center"/>
              <w:rPr>
                <w:rFonts w:cs="Arial"/>
                <w:b/>
                <w:sz w:val="20"/>
                <w:szCs w:val="20"/>
              </w:rPr>
            </w:pPr>
          </w:p>
        </w:tc>
        <w:tc>
          <w:tcPr>
            <w:tcW w:w="352" w:type="pct"/>
            <w:tcBorders>
              <w:top w:val="single" w:sz="8" w:space="0" w:color="auto"/>
              <w:left w:val="single" w:sz="8" w:space="0" w:color="auto"/>
              <w:bottom w:val="single" w:sz="8" w:space="0" w:color="auto"/>
              <w:right w:val="single" w:sz="8" w:space="0" w:color="auto"/>
            </w:tcBorders>
            <w:shd w:val="clear" w:color="auto" w:fill="auto"/>
          </w:tcPr>
          <w:p w14:paraId="685EBA16" w14:textId="77777777" w:rsidR="00AB04ED" w:rsidRPr="00A9330B" w:rsidRDefault="00AB04ED" w:rsidP="00701C80">
            <w:pPr>
              <w:spacing w:before="40" w:line="240" w:lineRule="auto"/>
              <w:jc w:val="center"/>
              <w:rPr>
                <w:rFonts w:cs="Arial"/>
                <w:b/>
                <w:sz w:val="20"/>
                <w:szCs w:val="20"/>
              </w:rPr>
            </w:pPr>
          </w:p>
        </w:tc>
        <w:tc>
          <w:tcPr>
            <w:tcW w:w="402" w:type="pct"/>
            <w:tcBorders>
              <w:top w:val="single" w:sz="8" w:space="0" w:color="auto"/>
              <w:left w:val="single" w:sz="8" w:space="0" w:color="auto"/>
              <w:bottom w:val="single" w:sz="8" w:space="0" w:color="auto"/>
              <w:right w:val="single" w:sz="12" w:space="0" w:color="auto"/>
            </w:tcBorders>
            <w:shd w:val="clear" w:color="auto" w:fill="auto"/>
          </w:tcPr>
          <w:p w14:paraId="1515C0AD" w14:textId="77777777" w:rsidR="00AB04ED" w:rsidRPr="00A9330B" w:rsidRDefault="00AB04ED" w:rsidP="00701C80">
            <w:pPr>
              <w:spacing w:before="40" w:line="240" w:lineRule="auto"/>
              <w:jc w:val="center"/>
              <w:rPr>
                <w:rFonts w:cs="Arial"/>
                <w:b/>
                <w:sz w:val="20"/>
                <w:szCs w:val="20"/>
              </w:rPr>
            </w:pPr>
          </w:p>
        </w:tc>
      </w:tr>
      <w:tr w:rsidR="00AB04ED" w:rsidRPr="00A9330B" w14:paraId="6CE14B16" w14:textId="77777777" w:rsidTr="00701C80">
        <w:trPr>
          <w:trHeight w:val="307"/>
        </w:trPr>
        <w:tc>
          <w:tcPr>
            <w:tcW w:w="226" w:type="pct"/>
            <w:tcBorders>
              <w:top w:val="single" w:sz="12" w:space="0" w:color="auto"/>
              <w:left w:val="single" w:sz="12" w:space="0" w:color="auto"/>
              <w:bottom w:val="single" w:sz="8" w:space="0" w:color="auto"/>
              <w:right w:val="single" w:sz="8" w:space="0" w:color="auto"/>
            </w:tcBorders>
            <w:shd w:val="clear" w:color="auto" w:fill="auto"/>
            <w:vAlign w:val="center"/>
          </w:tcPr>
          <w:p w14:paraId="11F9F337" w14:textId="77777777" w:rsidR="00AB04ED" w:rsidRPr="00A9330B" w:rsidRDefault="00AB04ED" w:rsidP="00701C80">
            <w:pPr>
              <w:spacing w:before="40" w:line="240" w:lineRule="auto"/>
              <w:rPr>
                <w:rFonts w:cs="Arial"/>
                <w:b/>
                <w:sz w:val="20"/>
                <w:szCs w:val="20"/>
              </w:rPr>
            </w:pPr>
          </w:p>
        </w:tc>
        <w:tc>
          <w:tcPr>
            <w:tcW w:w="933" w:type="pct"/>
            <w:tcBorders>
              <w:left w:val="single" w:sz="8" w:space="0" w:color="auto"/>
              <w:bottom w:val="single" w:sz="8" w:space="0" w:color="auto"/>
              <w:right w:val="single" w:sz="8" w:space="0" w:color="auto"/>
            </w:tcBorders>
            <w:shd w:val="clear" w:color="auto" w:fill="auto"/>
            <w:vAlign w:val="center"/>
          </w:tcPr>
          <w:p w14:paraId="3CF432C3" w14:textId="77777777" w:rsidR="00AB04ED" w:rsidRPr="00A9330B" w:rsidRDefault="00AB04ED" w:rsidP="00701C80">
            <w:pPr>
              <w:spacing w:before="40" w:line="240" w:lineRule="auto"/>
              <w:rPr>
                <w:rFonts w:cs="Arial"/>
                <w:b/>
                <w:sz w:val="20"/>
                <w:szCs w:val="20"/>
              </w:rPr>
            </w:pPr>
          </w:p>
        </w:tc>
        <w:tc>
          <w:tcPr>
            <w:tcW w:w="1127" w:type="pct"/>
            <w:tcBorders>
              <w:left w:val="single" w:sz="8" w:space="0" w:color="auto"/>
              <w:bottom w:val="single" w:sz="8" w:space="0" w:color="auto"/>
              <w:right w:val="single" w:sz="8" w:space="0" w:color="auto"/>
            </w:tcBorders>
            <w:shd w:val="clear" w:color="auto" w:fill="auto"/>
            <w:vAlign w:val="center"/>
          </w:tcPr>
          <w:p w14:paraId="7F4C3C00" w14:textId="77777777" w:rsidR="00AB04ED" w:rsidRPr="00A9330B" w:rsidRDefault="00AB04ED" w:rsidP="00701C80">
            <w:pPr>
              <w:spacing w:before="40" w:line="240" w:lineRule="auto"/>
              <w:rPr>
                <w:rFonts w:cs="Arial"/>
                <w:b/>
                <w:sz w:val="20"/>
                <w:szCs w:val="20"/>
              </w:rPr>
            </w:pPr>
          </w:p>
        </w:tc>
        <w:tc>
          <w:tcPr>
            <w:tcW w:w="1156" w:type="pct"/>
            <w:tcBorders>
              <w:top w:val="single" w:sz="8" w:space="0" w:color="auto"/>
              <w:left w:val="single" w:sz="8" w:space="0" w:color="auto"/>
              <w:bottom w:val="single" w:sz="8" w:space="0" w:color="auto"/>
              <w:right w:val="single" w:sz="4" w:space="0" w:color="auto"/>
            </w:tcBorders>
            <w:shd w:val="clear" w:color="auto" w:fill="auto"/>
          </w:tcPr>
          <w:p w14:paraId="2AA6D20C" w14:textId="77777777" w:rsidR="00AB04ED" w:rsidRPr="00A9330B" w:rsidRDefault="00AB04ED" w:rsidP="00701C80">
            <w:pPr>
              <w:spacing w:before="40" w:line="240" w:lineRule="auto"/>
              <w:rPr>
                <w:rFonts w:cs="Arial"/>
                <w:b/>
                <w:sz w:val="20"/>
                <w:szCs w:val="20"/>
              </w:rPr>
            </w:pPr>
          </w:p>
        </w:tc>
        <w:tc>
          <w:tcPr>
            <w:tcW w:w="452" w:type="pct"/>
            <w:tcBorders>
              <w:top w:val="single" w:sz="4" w:space="0" w:color="auto"/>
              <w:left w:val="single" w:sz="4" w:space="0" w:color="auto"/>
              <w:bottom w:val="single" w:sz="4" w:space="0" w:color="auto"/>
              <w:right w:val="single" w:sz="4" w:space="0" w:color="auto"/>
            </w:tcBorders>
            <w:shd w:val="clear" w:color="auto" w:fill="auto"/>
          </w:tcPr>
          <w:p w14:paraId="5CD4EE8C" w14:textId="77777777" w:rsidR="00AB04ED" w:rsidRPr="00A9330B" w:rsidRDefault="00AB04ED" w:rsidP="00701C80">
            <w:pPr>
              <w:spacing w:before="40" w:line="240" w:lineRule="auto"/>
              <w:jc w:val="center"/>
              <w:rPr>
                <w:rFonts w:cs="Arial"/>
                <w:b/>
                <w:sz w:val="20"/>
                <w:szCs w:val="20"/>
              </w:rPr>
            </w:pPr>
          </w:p>
        </w:tc>
        <w:tc>
          <w:tcPr>
            <w:tcW w:w="352" w:type="pct"/>
            <w:tcBorders>
              <w:top w:val="single" w:sz="8" w:space="0" w:color="auto"/>
              <w:left w:val="single" w:sz="4" w:space="0" w:color="auto"/>
              <w:bottom w:val="single" w:sz="8" w:space="0" w:color="auto"/>
              <w:right w:val="single" w:sz="8" w:space="0" w:color="auto"/>
            </w:tcBorders>
            <w:shd w:val="clear" w:color="auto" w:fill="auto"/>
          </w:tcPr>
          <w:p w14:paraId="6FD0690B" w14:textId="77777777" w:rsidR="00AB04ED" w:rsidRPr="00A9330B" w:rsidRDefault="00AB04ED" w:rsidP="00701C80">
            <w:pPr>
              <w:spacing w:before="40" w:line="240" w:lineRule="auto"/>
              <w:jc w:val="center"/>
              <w:rPr>
                <w:rFonts w:cs="Arial"/>
                <w:b/>
                <w:sz w:val="20"/>
                <w:szCs w:val="20"/>
              </w:rPr>
            </w:pPr>
          </w:p>
        </w:tc>
        <w:tc>
          <w:tcPr>
            <w:tcW w:w="352" w:type="pct"/>
            <w:tcBorders>
              <w:top w:val="single" w:sz="8" w:space="0" w:color="auto"/>
              <w:left w:val="single" w:sz="8" w:space="0" w:color="auto"/>
              <w:bottom w:val="single" w:sz="8" w:space="0" w:color="auto"/>
              <w:right w:val="single" w:sz="8" w:space="0" w:color="auto"/>
            </w:tcBorders>
            <w:shd w:val="clear" w:color="auto" w:fill="auto"/>
          </w:tcPr>
          <w:p w14:paraId="295AB253" w14:textId="77777777" w:rsidR="00AB04ED" w:rsidRPr="00A9330B" w:rsidRDefault="00AB04ED" w:rsidP="00701C80">
            <w:pPr>
              <w:spacing w:before="40" w:line="240" w:lineRule="auto"/>
              <w:jc w:val="center"/>
              <w:rPr>
                <w:rFonts w:cs="Arial"/>
                <w:b/>
                <w:sz w:val="20"/>
                <w:szCs w:val="20"/>
              </w:rPr>
            </w:pPr>
          </w:p>
        </w:tc>
        <w:tc>
          <w:tcPr>
            <w:tcW w:w="402" w:type="pct"/>
            <w:tcBorders>
              <w:top w:val="single" w:sz="8" w:space="0" w:color="auto"/>
              <w:left w:val="single" w:sz="8" w:space="0" w:color="auto"/>
              <w:bottom w:val="single" w:sz="8" w:space="0" w:color="auto"/>
              <w:right w:val="single" w:sz="12" w:space="0" w:color="auto"/>
            </w:tcBorders>
            <w:shd w:val="clear" w:color="auto" w:fill="auto"/>
          </w:tcPr>
          <w:p w14:paraId="1777E037" w14:textId="77777777" w:rsidR="00AB04ED" w:rsidRPr="00A9330B" w:rsidRDefault="00AB04ED" w:rsidP="00701C80">
            <w:pPr>
              <w:spacing w:before="40" w:line="240" w:lineRule="auto"/>
              <w:jc w:val="center"/>
              <w:rPr>
                <w:rFonts w:cs="Arial"/>
                <w:b/>
                <w:sz w:val="20"/>
                <w:szCs w:val="20"/>
              </w:rPr>
            </w:pPr>
          </w:p>
        </w:tc>
      </w:tr>
      <w:tr w:rsidR="00896715" w:rsidRPr="00A9330B" w14:paraId="285C5B52" w14:textId="77777777" w:rsidTr="00896715">
        <w:trPr>
          <w:trHeight w:val="449"/>
        </w:trPr>
        <w:tc>
          <w:tcPr>
            <w:tcW w:w="226" w:type="pct"/>
            <w:tcBorders>
              <w:left w:val="single" w:sz="12" w:space="0" w:color="auto"/>
              <w:right w:val="single" w:sz="8" w:space="0" w:color="auto"/>
            </w:tcBorders>
            <w:shd w:val="clear" w:color="auto" w:fill="F7CAAC" w:themeFill="accent2" w:themeFillTint="66"/>
          </w:tcPr>
          <w:p w14:paraId="1A0A722C" w14:textId="77777777" w:rsidR="00896715" w:rsidRPr="00A9330B" w:rsidRDefault="00896715" w:rsidP="00701C80">
            <w:pPr>
              <w:numPr>
                <w:ilvl w:val="12"/>
                <w:numId w:val="0"/>
              </w:numPr>
              <w:spacing w:before="40" w:line="240" w:lineRule="auto"/>
              <w:rPr>
                <w:rFonts w:cs="Arial"/>
                <w:b/>
                <w:sz w:val="20"/>
                <w:szCs w:val="20"/>
              </w:rPr>
            </w:pPr>
            <w:r w:rsidRPr="00A9330B">
              <w:rPr>
                <w:rFonts w:cs="Arial"/>
                <w:b/>
                <w:sz w:val="20"/>
                <w:szCs w:val="20"/>
              </w:rPr>
              <w:t xml:space="preserve">III </w:t>
            </w:r>
          </w:p>
        </w:tc>
        <w:tc>
          <w:tcPr>
            <w:tcW w:w="2060" w:type="pct"/>
            <w:gridSpan w:val="2"/>
            <w:tcBorders>
              <w:left w:val="single" w:sz="8" w:space="0" w:color="auto"/>
              <w:right w:val="single" w:sz="8" w:space="0" w:color="auto"/>
            </w:tcBorders>
            <w:shd w:val="clear" w:color="auto" w:fill="F7CAAC" w:themeFill="accent2" w:themeFillTint="66"/>
          </w:tcPr>
          <w:p w14:paraId="05527986" w14:textId="1BFAC367" w:rsidR="00896715" w:rsidRPr="00A9330B" w:rsidRDefault="00896715" w:rsidP="00701C80">
            <w:pPr>
              <w:spacing w:before="40" w:line="240" w:lineRule="auto"/>
              <w:rPr>
                <w:rFonts w:cs="Arial"/>
                <w:sz w:val="20"/>
                <w:szCs w:val="20"/>
              </w:rPr>
            </w:pPr>
            <w:r w:rsidRPr="00A9330B">
              <w:rPr>
                <w:rFonts w:cs="Arial"/>
                <w:b/>
                <w:sz w:val="20"/>
                <w:szCs w:val="20"/>
              </w:rPr>
              <w:t xml:space="preserve">PHASE D’EXPLOITATION ET D’ENTRETIEN </w:t>
            </w:r>
          </w:p>
        </w:tc>
        <w:tc>
          <w:tcPr>
            <w:tcW w:w="1156" w:type="pct"/>
            <w:tcBorders>
              <w:top w:val="single" w:sz="8" w:space="0" w:color="auto"/>
              <w:left w:val="single" w:sz="8" w:space="0" w:color="auto"/>
              <w:bottom w:val="single" w:sz="8" w:space="0" w:color="auto"/>
              <w:right w:val="single" w:sz="4" w:space="0" w:color="auto"/>
            </w:tcBorders>
            <w:shd w:val="clear" w:color="auto" w:fill="F7CAAC" w:themeFill="accent2" w:themeFillTint="66"/>
          </w:tcPr>
          <w:p w14:paraId="480CC9BE" w14:textId="77777777" w:rsidR="00896715" w:rsidRPr="00A9330B" w:rsidRDefault="00896715" w:rsidP="00701C80">
            <w:pPr>
              <w:spacing w:before="40" w:line="240" w:lineRule="auto"/>
              <w:rPr>
                <w:rFonts w:cs="Arial"/>
                <w:sz w:val="20"/>
                <w:szCs w:val="20"/>
              </w:rPr>
            </w:pPr>
          </w:p>
        </w:tc>
        <w:tc>
          <w:tcPr>
            <w:tcW w:w="452" w:type="pct"/>
            <w:tcBorders>
              <w:top w:val="single" w:sz="4" w:space="0" w:color="auto"/>
              <w:left w:val="single" w:sz="4" w:space="0" w:color="auto"/>
              <w:bottom w:val="single" w:sz="4" w:space="0" w:color="auto"/>
              <w:right w:val="single" w:sz="4" w:space="0" w:color="auto"/>
            </w:tcBorders>
            <w:shd w:val="clear" w:color="auto" w:fill="F7CAAC" w:themeFill="accent2" w:themeFillTint="66"/>
          </w:tcPr>
          <w:p w14:paraId="2DA4637A" w14:textId="77777777" w:rsidR="00896715" w:rsidRPr="00A9330B" w:rsidRDefault="00896715" w:rsidP="00701C80">
            <w:pPr>
              <w:numPr>
                <w:ilvl w:val="12"/>
                <w:numId w:val="0"/>
              </w:numPr>
              <w:spacing w:before="40" w:line="240" w:lineRule="auto"/>
              <w:rPr>
                <w:rFonts w:cs="Arial"/>
                <w:sz w:val="20"/>
                <w:szCs w:val="20"/>
              </w:rPr>
            </w:pPr>
          </w:p>
        </w:tc>
        <w:tc>
          <w:tcPr>
            <w:tcW w:w="352" w:type="pct"/>
            <w:tcBorders>
              <w:left w:val="single" w:sz="4" w:space="0" w:color="auto"/>
              <w:right w:val="single" w:sz="8" w:space="0" w:color="auto"/>
            </w:tcBorders>
            <w:shd w:val="clear" w:color="auto" w:fill="F7CAAC" w:themeFill="accent2" w:themeFillTint="66"/>
          </w:tcPr>
          <w:p w14:paraId="168916EA" w14:textId="77777777" w:rsidR="00896715" w:rsidRPr="00A9330B" w:rsidRDefault="00896715" w:rsidP="00701C80">
            <w:pPr>
              <w:numPr>
                <w:ilvl w:val="12"/>
                <w:numId w:val="0"/>
              </w:numPr>
              <w:spacing w:before="40" w:line="240" w:lineRule="auto"/>
              <w:rPr>
                <w:rFonts w:cs="Arial"/>
                <w:sz w:val="20"/>
                <w:szCs w:val="20"/>
              </w:rPr>
            </w:pPr>
          </w:p>
        </w:tc>
        <w:tc>
          <w:tcPr>
            <w:tcW w:w="352" w:type="pct"/>
            <w:tcBorders>
              <w:left w:val="single" w:sz="8" w:space="0" w:color="auto"/>
              <w:right w:val="single" w:sz="8" w:space="0" w:color="auto"/>
            </w:tcBorders>
            <w:shd w:val="clear" w:color="auto" w:fill="F7CAAC" w:themeFill="accent2" w:themeFillTint="66"/>
          </w:tcPr>
          <w:p w14:paraId="2440CF73" w14:textId="77777777" w:rsidR="00896715" w:rsidRPr="00A9330B" w:rsidRDefault="00896715" w:rsidP="00701C80">
            <w:pPr>
              <w:numPr>
                <w:ilvl w:val="12"/>
                <w:numId w:val="0"/>
              </w:numPr>
              <w:spacing w:before="40" w:line="240" w:lineRule="auto"/>
              <w:rPr>
                <w:rFonts w:cs="Arial"/>
                <w:sz w:val="20"/>
                <w:szCs w:val="20"/>
              </w:rPr>
            </w:pPr>
          </w:p>
        </w:tc>
        <w:tc>
          <w:tcPr>
            <w:tcW w:w="402" w:type="pct"/>
            <w:tcBorders>
              <w:left w:val="single" w:sz="8" w:space="0" w:color="auto"/>
              <w:right w:val="single" w:sz="12" w:space="0" w:color="auto"/>
            </w:tcBorders>
            <w:shd w:val="clear" w:color="auto" w:fill="F7CAAC" w:themeFill="accent2" w:themeFillTint="66"/>
          </w:tcPr>
          <w:p w14:paraId="65632A58" w14:textId="77777777" w:rsidR="00896715" w:rsidRPr="00A9330B" w:rsidRDefault="00896715" w:rsidP="00701C80">
            <w:pPr>
              <w:numPr>
                <w:ilvl w:val="12"/>
                <w:numId w:val="0"/>
              </w:numPr>
              <w:spacing w:before="40" w:line="240" w:lineRule="auto"/>
              <w:rPr>
                <w:rFonts w:cs="Arial"/>
                <w:sz w:val="20"/>
                <w:szCs w:val="20"/>
              </w:rPr>
            </w:pPr>
          </w:p>
        </w:tc>
      </w:tr>
      <w:tr w:rsidR="00AB04ED" w:rsidRPr="00A9330B" w14:paraId="2B77DA11" w14:textId="77777777" w:rsidTr="00701C80">
        <w:trPr>
          <w:trHeight w:val="449"/>
        </w:trPr>
        <w:tc>
          <w:tcPr>
            <w:tcW w:w="226" w:type="pct"/>
            <w:tcBorders>
              <w:left w:val="single" w:sz="12" w:space="0" w:color="auto"/>
              <w:right w:val="single" w:sz="8" w:space="0" w:color="auto"/>
            </w:tcBorders>
            <w:shd w:val="clear" w:color="auto" w:fill="FFFFFF" w:themeFill="background1"/>
          </w:tcPr>
          <w:p w14:paraId="7A281B19" w14:textId="77777777" w:rsidR="00AB04ED" w:rsidRPr="00A9330B" w:rsidRDefault="00AB04ED" w:rsidP="00701C80">
            <w:pPr>
              <w:numPr>
                <w:ilvl w:val="12"/>
                <w:numId w:val="0"/>
              </w:numPr>
              <w:spacing w:before="40" w:line="240" w:lineRule="auto"/>
              <w:rPr>
                <w:rFonts w:cs="Arial"/>
                <w:b/>
                <w:sz w:val="20"/>
                <w:szCs w:val="20"/>
              </w:rPr>
            </w:pPr>
          </w:p>
        </w:tc>
        <w:tc>
          <w:tcPr>
            <w:tcW w:w="933" w:type="pct"/>
            <w:tcBorders>
              <w:left w:val="single" w:sz="8" w:space="0" w:color="auto"/>
              <w:right w:val="single" w:sz="8" w:space="0" w:color="auto"/>
            </w:tcBorders>
            <w:shd w:val="clear" w:color="auto" w:fill="FFFFFF" w:themeFill="background1"/>
          </w:tcPr>
          <w:p w14:paraId="6FA484C4" w14:textId="77777777" w:rsidR="00AB04ED" w:rsidRPr="00A9330B" w:rsidRDefault="00AB04ED" w:rsidP="00701C80">
            <w:pPr>
              <w:spacing w:before="40" w:line="240" w:lineRule="auto"/>
              <w:rPr>
                <w:rFonts w:cs="Arial"/>
                <w:b/>
                <w:sz w:val="20"/>
                <w:szCs w:val="20"/>
              </w:rPr>
            </w:pPr>
          </w:p>
        </w:tc>
        <w:tc>
          <w:tcPr>
            <w:tcW w:w="1127" w:type="pct"/>
            <w:tcBorders>
              <w:left w:val="single" w:sz="8" w:space="0" w:color="auto"/>
              <w:right w:val="single" w:sz="8" w:space="0" w:color="auto"/>
            </w:tcBorders>
            <w:shd w:val="clear" w:color="auto" w:fill="FFFFFF" w:themeFill="background1"/>
          </w:tcPr>
          <w:p w14:paraId="1586489E" w14:textId="77777777" w:rsidR="00AB04ED" w:rsidRPr="00A9330B" w:rsidRDefault="00AB04ED" w:rsidP="00701C80">
            <w:pPr>
              <w:spacing w:before="40" w:line="240" w:lineRule="auto"/>
              <w:rPr>
                <w:rFonts w:cs="Arial"/>
                <w:sz w:val="20"/>
                <w:szCs w:val="20"/>
              </w:rPr>
            </w:pPr>
          </w:p>
        </w:tc>
        <w:tc>
          <w:tcPr>
            <w:tcW w:w="1156" w:type="pct"/>
            <w:tcBorders>
              <w:top w:val="single" w:sz="8" w:space="0" w:color="auto"/>
              <w:left w:val="single" w:sz="8" w:space="0" w:color="auto"/>
              <w:bottom w:val="single" w:sz="8" w:space="0" w:color="auto"/>
              <w:right w:val="single" w:sz="4" w:space="0" w:color="auto"/>
            </w:tcBorders>
            <w:shd w:val="clear" w:color="auto" w:fill="FFFFFF" w:themeFill="background1"/>
          </w:tcPr>
          <w:p w14:paraId="5B9CA126" w14:textId="77777777" w:rsidR="00AB04ED" w:rsidRPr="00A9330B" w:rsidRDefault="00AB04ED" w:rsidP="00701C80">
            <w:pPr>
              <w:spacing w:before="40" w:line="240" w:lineRule="auto"/>
              <w:rPr>
                <w:rFonts w:cs="Arial"/>
                <w:sz w:val="20"/>
                <w:szCs w:val="20"/>
              </w:rPr>
            </w:pPr>
          </w:p>
        </w:tc>
        <w:tc>
          <w:tcPr>
            <w:tcW w:w="452" w:type="pct"/>
            <w:tcBorders>
              <w:top w:val="single" w:sz="4" w:space="0" w:color="auto"/>
              <w:left w:val="single" w:sz="4" w:space="0" w:color="auto"/>
              <w:bottom w:val="single" w:sz="4" w:space="0" w:color="auto"/>
              <w:right w:val="single" w:sz="4" w:space="0" w:color="auto"/>
            </w:tcBorders>
            <w:shd w:val="clear" w:color="auto" w:fill="FFFFFF" w:themeFill="background1"/>
          </w:tcPr>
          <w:p w14:paraId="22DF2126" w14:textId="77777777" w:rsidR="00AB04ED" w:rsidRPr="00A9330B" w:rsidRDefault="00AB04ED" w:rsidP="00701C80">
            <w:pPr>
              <w:numPr>
                <w:ilvl w:val="12"/>
                <w:numId w:val="0"/>
              </w:numPr>
              <w:spacing w:before="40" w:line="240" w:lineRule="auto"/>
              <w:rPr>
                <w:rFonts w:cs="Arial"/>
                <w:sz w:val="20"/>
                <w:szCs w:val="20"/>
              </w:rPr>
            </w:pPr>
          </w:p>
        </w:tc>
        <w:tc>
          <w:tcPr>
            <w:tcW w:w="352" w:type="pct"/>
            <w:tcBorders>
              <w:left w:val="single" w:sz="4" w:space="0" w:color="auto"/>
              <w:right w:val="single" w:sz="8" w:space="0" w:color="auto"/>
            </w:tcBorders>
            <w:shd w:val="clear" w:color="auto" w:fill="FFFFFF" w:themeFill="background1"/>
          </w:tcPr>
          <w:p w14:paraId="65076952" w14:textId="77777777" w:rsidR="00AB04ED" w:rsidRPr="00A9330B" w:rsidRDefault="00AB04ED" w:rsidP="00701C80">
            <w:pPr>
              <w:numPr>
                <w:ilvl w:val="12"/>
                <w:numId w:val="0"/>
              </w:numPr>
              <w:spacing w:before="40" w:line="240" w:lineRule="auto"/>
              <w:rPr>
                <w:rFonts w:cs="Arial"/>
                <w:sz w:val="20"/>
                <w:szCs w:val="20"/>
              </w:rPr>
            </w:pPr>
          </w:p>
        </w:tc>
        <w:tc>
          <w:tcPr>
            <w:tcW w:w="352" w:type="pct"/>
            <w:tcBorders>
              <w:left w:val="single" w:sz="8" w:space="0" w:color="auto"/>
              <w:right w:val="single" w:sz="8" w:space="0" w:color="auto"/>
            </w:tcBorders>
            <w:shd w:val="clear" w:color="auto" w:fill="FFFFFF" w:themeFill="background1"/>
          </w:tcPr>
          <w:p w14:paraId="686069AB" w14:textId="77777777" w:rsidR="00AB04ED" w:rsidRPr="00A9330B" w:rsidRDefault="00AB04ED" w:rsidP="00701C80">
            <w:pPr>
              <w:numPr>
                <w:ilvl w:val="12"/>
                <w:numId w:val="0"/>
              </w:numPr>
              <w:spacing w:before="40" w:line="240" w:lineRule="auto"/>
              <w:rPr>
                <w:rFonts w:cs="Arial"/>
                <w:sz w:val="20"/>
                <w:szCs w:val="20"/>
              </w:rPr>
            </w:pPr>
          </w:p>
        </w:tc>
        <w:tc>
          <w:tcPr>
            <w:tcW w:w="402" w:type="pct"/>
            <w:tcBorders>
              <w:left w:val="single" w:sz="8" w:space="0" w:color="auto"/>
              <w:right w:val="single" w:sz="12" w:space="0" w:color="auto"/>
            </w:tcBorders>
            <w:shd w:val="clear" w:color="auto" w:fill="FFFFFF" w:themeFill="background1"/>
          </w:tcPr>
          <w:p w14:paraId="55C2C120" w14:textId="77777777" w:rsidR="00AB04ED" w:rsidRPr="00A9330B" w:rsidRDefault="00AB04ED" w:rsidP="00701C80">
            <w:pPr>
              <w:numPr>
                <w:ilvl w:val="12"/>
                <w:numId w:val="0"/>
              </w:numPr>
              <w:spacing w:before="40" w:line="240" w:lineRule="auto"/>
              <w:rPr>
                <w:rFonts w:cs="Arial"/>
                <w:sz w:val="20"/>
                <w:szCs w:val="20"/>
              </w:rPr>
            </w:pPr>
          </w:p>
        </w:tc>
      </w:tr>
      <w:tr w:rsidR="00AB04ED" w:rsidRPr="00A9330B" w14:paraId="1E46CD72" w14:textId="77777777" w:rsidTr="00701C80">
        <w:trPr>
          <w:trHeight w:val="449"/>
        </w:trPr>
        <w:tc>
          <w:tcPr>
            <w:tcW w:w="226" w:type="pct"/>
            <w:tcBorders>
              <w:left w:val="single" w:sz="12" w:space="0" w:color="auto"/>
              <w:right w:val="single" w:sz="8" w:space="0" w:color="auto"/>
            </w:tcBorders>
          </w:tcPr>
          <w:p w14:paraId="2FF5982A" w14:textId="77777777" w:rsidR="00AB04ED" w:rsidRPr="00A9330B" w:rsidRDefault="00AB04ED" w:rsidP="00701C80">
            <w:pPr>
              <w:numPr>
                <w:ilvl w:val="12"/>
                <w:numId w:val="0"/>
              </w:numPr>
              <w:spacing w:before="40" w:line="240" w:lineRule="auto"/>
              <w:rPr>
                <w:rFonts w:cs="Arial"/>
                <w:b/>
                <w:sz w:val="20"/>
                <w:szCs w:val="20"/>
              </w:rPr>
            </w:pPr>
          </w:p>
        </w:tc>
        <w:tc>
          <w:tcPr>
            <w:tcW w:w="933" w:type="pct"/>
            <w:tcBorders>
              <w:left w:val="single" w:sz="8" w:space="0" w:color="auto"/>
              <w:bottom w:val="single" w:sz="8" w:space="0" w:color="auto"/>
              <w:right w:val="single" w:sz="8" w:space="0" w:color="auto"/>
            </w:tcBorders>
          </w:tcPr>
          <w:p w14:paraId="7BDB62DD" w14:textId="77777777" w:rsidR="00AB04ED" w:rsidRPr="00A9330B" w:rsidRDefault="00AB04ED" w:rsidP="00701C80">
            <w:pPr>
              <w:spacing w:before="40" w:line="240" w:lineRule="auto"/>
              <w:rPr>
                <w:rFonts w:cs="Arial"/>
                <w:b/>
                <w:sz w:val="20"/>
                <w:szCs w:val="20"/>
              </w:rPr>
            </w:pPr>
          </w:p>
        </w:tc>
        <w:tc>
          <w:tcPr>
            <w:tcW w:w="1127" w:type="pct"/>
            <w:tcBorders>
              <w:left w:val="single" w:sz="8" w:space="0" w:color="auto"/>
              <w:bottom w:val="single" w:sz="8" w:space="0" w:color="auto"/>
              <w:right w:val="single" w:sz="8" w:space="0" w:color="auto"/>
            </w:tcBorders>
          </w:tcPr>
          <w:p w14:paraId="2A6CAFCC" w14:textId="77777777" w:rsidR="00AB04ED" w:rsidRPr="00A9330B" w:rsidRDefault="00AB04ED" w:rsidP="00701C80">
            <w:pPr>
              <w:spacing w:before="40" w:line="240" w:lineRule="auto"/>
              <w:rPr>
                <w:rFonts w:cs="Arial"/>
                <w:sz w:val="20"/>
                <w:szCs w:val="20"/>
              </w:rPr>
            </w:pPr>
          </w:p>
        </w:tc>
        <w:tc>
          <w:tcPr>
            <w:tcW w:w="1156" w:type="pct"/>
            <w:tcBorders>
              <w:top w:val="single" w:sz="8" w:space="0" w:color="auto"/>
              <w:left w:val="single" w:sz="8" w:space="0" w:color="auto"/>
              <w:bottom w:val="single" w:sz="8" w:space="0" w:color="auto"/>
              <w:right w:val="single" w:sz="4" w:space="0" w:color="auto"/>
            </w:tcBorders>
          </w:tcPr>
          <w:p w14:paraId="26A0F429" w14:textId="77777777" w:rsidR="00AB04ED" w:rsidRPr="00A9330B" w:rsidRDefault="00AB04ED" w:rsidP="00701C80">
            <w:pPr>
              <w:spacing w:before="40" w:line="240" w:lineRule="auto"/>
              <w:rPr>
                <w:rFonts w:cs="Arial"/>
                <w:sz w:val="20"/>
                <w:szCs w:val="20"/>
              </w:rPr>
            </w:pPr>
          </w:p>
        </w:tc>
        <w:tc>
          <w:tcPr>
            <w:tcW w:w="452" w:type="pct"/>
            <w:tcBorders>
              <w:top w:val="single" w:sz="4" w:space="0" w:color="auto"/>
              <w:left w:val="single" w:sz="4" w:space="0" w:color="auto"/>
              <w:bottom w:val="single" w:sz="4" w:space="0" w:color="auto"/>
              <w:right w:val="single" w:sz="4" w:space="0" w:color="auto"/>
            </w:tcBorders>
          </w:tcPr>
          <w:p w14:paraId="07C39493" w14:textId="77777777" w:rsidR="00AB04ED" w:rsidRPr="00A9330B" w:rsidRDefault="00AB04ED" w:rsidP="00701C80">
            <w:pPr>
              <w:numPr>
                <w:ilvl w:val="12"/>
                <w:numId w:val="0"/>
              </w:numPr>
              <w:spacing w:before="40" w:line="240" w:lineRule="auto"/>
              <w:rPr>
                <w:rFonts w:cs="Arial"/>
                <w:sz w:val="20"/>
                <w:szCs w:val="20"/>
              </w:rPr>
            </w:pPr>
          </w:p>
        </w:tc>
        <w:tc>
          <w:tcPr>
            <w:tcW w:w="352" w:type="pct"/>
            <w:tcBorders>
              <w:left w:val="single" w:sz="4" w:space="0" w:color="auto"/>
              <w:right w:val="single" w:sz="8" w:space="0" w:color="auto"/>
            </w:tcBorders>
          </w:tcPr>
          <w:p w14:paraId="75279069" w14:textId="77777777" w:rsidR="00AB04ED" w:rsidRPr="00A9330B" w:rsidRDefault="00AB04ED" w:rsidP="00701C80">
            <w:pPr>
              <w:numPr>
                <w:ilvl w:val="12"/>
                <w:numId w:val="0"/>
              </w:numPr>
              <w:spacing w:before="40" w:line="240" w:lineRule="auto"/>
              <w:rPr>
                <w:rFonts w:cs="Arial"/>
                <w:sz w:val="20"/>
                <w:szCs w:val="20"/>
              </w:rPr>
            </w:pPr>
          </w:p>
        </w:tc>
        <w:tc>
          <w:tcPr>
            <w:tcW w:w="352" w:type="pct"/>
            <w:tcBorders>
              <w:left w:val="single" w:sz="8" w:space="0" w:color="auto"/>
              <w:right w:val="single" w:sz="8" w:space="0" w:color="auto"/>
            </w:tcBorders>
          </w:tcPr>
          <w:p w14:paraId="09DBF127" w14:textId="77777777" w:rsidR="00AB04ED" w:rsidRPr="00A9330B" w:rsidRDefault="00AB04ED" w:rsidP="00701C80">
            <w:pPr>
              <w:numPr>
                <w:ilvl w:val="12"/>
                <w:numId w:val="0"/>
              </w:numPr>
              <w:spacing w:before="40" w:line="240" w:lineRule="auto"/>
              <w:rPr>
                <w:rFonts w:cs="Arial"/>
                <w:sz w:val="20"/>
                <w:szCs w:val="20"/>
              </w:rPr>
            </w:pPr>
          </w:p>
        </w:tc>
        <w:tc>
          <w:tcPr>
            <w:tcW w:w="402" w:type="pct"/>
            <w:tcBorders>
              <w:left w:val="single" w:sz="8" w:space="0" w:color="auto"/>
              <w:right w:val="single" w:sz="12" w:space="0" w:color="auto"/>
            </w:tcBorders>
          </w:tcPr>
          <w:p w14:paraId="55BF12F3" w14:textId="77777777" w:rsidR="00AB04ED" w:rsidRPr="00A9330B" w:rsidRDefault="00AB04ED" w:rsidP="00701C80">
            <w:pPr>
              <w:numPr>
                <w:ilvl w:val="12"/>
                <w:numId w:val="0"/>
              </w:numPr>
              <w:spacing w:before="40" w:line="240" w:lineRule="auto"/>
              <w:rPr>
                <w:rFonts w:cs="Arial"/>
                <w:sz w:val="20"/>
                <w:szCs w:val="20"/>
              </w:rPr>
            </w:pPr>
          </w:p>
        </w:tc>
      </w:tr>
    </w:tbl>
    <w:p w14:paraId="5F80CF69" w14:textId="77777777" w:rsidR="00AB04ED" w:rsidRPr="00A9330B" w:rsidRDefault="00AB04ED" w:rsidP="0064324E">
      <w:pPr>
        <w:pStyle w:val="Titre40"/>
      </w:pPr>
      <w:bookmarkStart w:id="578" w:name="_Toc45520763"/>
      <w:bookmarkStart w:id="579" w:name="_Toc52869571"/>
      <w:r w:rsidRPr="00A9330B">
        <w:t>1.3.4.4. Proposition de mesures environnementales et sociales</w:t>
      </w:r>
      <w:bookmarkEnd w:id="578"/>
      <w:bookmarkEnd w:id="579"/>
      <w:r w:rsidRPr="00A9330B">
        <w:t xml:space="preserve"> </w:t>
      </w:r>
    </w:p>
    <w:p w14:paraId="6BA1E05C" w14:textId="77777777" w:rsidR="00AB04ED" w:rsidRPr="00A9330B" w:rsidRDefault="00AB04ED" w:rsidP="00AB04ED">
      <w:pPr>
        <w:jc w:val="both"/>
        <w:rPr>
          <w:rFonts w:cs="Arial"/>
        </w:rPr>
      </w:pPr>
      <w:r w:rsidRPr="00A9330B">
        <w:rPr>
          <w:rFonts w:cs="Arial"/>
        </w:rPr>
        <w:t xml:space="preserve">Les mesures d’atténuation se définissent comme étant l’ensemble des moyens envisagés pour prévenir ou réduire l’importance des impacts sur l’environnement. L’étude a fourni la liste des actions, ouvrages, dispositifs, correctifs ou modes de gestion alternatifs qui sont appliqués pour atténuer ou éliminer les impacts négatifs du projet. </w:t>
      </w:r>
    </w:p>
    <w:p w14:paraId="3C2914DF" w14:textId="77777777" w:rsidR="00AB04ED" w:rsidRPr="00A9330B" w:rsidRDefault="00AB04ED" w:rsidP="00AB04ED">
      <w:pPr>
        <w:jc w:val="both"/>
        <w:rPr>
          <w:rFonts w:cs="Arial"/>
        </w:rPr>
      </w:pPr>
      <w:r w:rsidRPr="00A9330B">
        <w:rPr>
          <w:rFonts w:cs="Arial"/>
        </w:rPr>
        <w:t>Les mesures destinées à maximiser les retombées positives ont été aussi mises en évidence et se rapportent en général aux objectifs du projet et aux bénéfices qui peuvent en être tirées du point de vue bien être, confort, revenus.</w:t>
      </w:r>
    </w:p>
    <w:p w14:paraId="0F1274C6" w14:textId="77777777" w:rsidR="00AB04ED" w:rsidRPr="00A9330B" w:rsidRDefault="00AB04ED" w:rsidP="00AB04ED">
      <w:pPr>
        <w:jc w:val="both"/>
        <w:rPr>
          <w:rFonts w:cs="Arial"/>
        </w:rPr>
      </w:pPr>
      <w:r w:rsidRPr="00A9330B">
        <w:rPr>
          <w:rFonts w:cs="Arial"/>
        </w:rPr>
        <w:t>Ces mesures d’atténuation des impacts négatifs sont générales ou spécifiques. Les mesures générales sont destinées à atténuer les effets négatifs d’un projet pris dans son ensemble. Les mesures spécifiques visent l’atténuation des impacts sur une composante de l’environnement en particulier. Le tableau ci-après présente le modèle que l’on a adopté.</w:t>
      </w:r>
    </w:p>
    <w:p w14:paraId="663C5365" w14:textId="77777777" w:rsidR="00896715" w:rsidRPr="00A9330B" w:rsidRDefault="00896715">
      <w:pPr>
        <w:spacing w:before="0" w:after="160" w:line="259" w:lineRule="auto"/>
        <w:rPr>
          <w:rFonts w:cs="Arial"/>
          <w:b/>
          <w:sz w:val="20"/>
          <w:szCs w:val="20"/>
        </w:rPr>
      </w:pPr>
      <w:r w:rsidRPr="00A9330B">
        <w:rPr>
          <w:rFonts w:cs="Arial"/>
          <w:b/>
          <w:sz w:val="20"/>
          <w:szCs w:val="20"/>
        </w:rPr>
        <w:br w:type="page"/>
      </w:r>
    </w:p>
    <w:p w14:paraId="6C978A04" w14:textId="5DF5A958" w:rsidR="00223E33" w:rsidRPr="00A9330B" w:rsidRDefault="00223E33" w:rsidP="00223E33">
      <w:pPr>
        <w:spacing w:after="120"/>
        <w:jc w:val="both"/>
        <w:rPr>
          <w:rFonts w:cs="Arial"/>
          <w:b/>
        </w:rPr>
      </w:pPr>
      <w:bookmarkStart w:id="580" w:name="_Toc52873731"/>
      <w:r w:rsidRPr="00A9330B">
        <w:rPr>
          <w:rFonts w:cs="Arial"/>
          <w:b/>
          <w:sz w:val="20"/>
          <w:szCs w:val="20"/>
        </w:rPr>
        <w:lastRenderedPageBreak/>
        <w:t xml:space="preserve">Tableau </w:t>
      </w:r>
      <w:r w:rsidRPr="00A9330B">
        <w:rPr>
          <w:rFonts w:cs="Arial"/>
          <w:b/>
          <w:sz w:val="20"/>
          <w:szCs w:val="20"/>
        </w:rPr>
        <w:fldChar w:fldCharType="begin"/>
      </w:r>
      <w:r w:rsidRPr="00A9330B">
        <w:rPr>
          <w:rFonts w:cs="Arial"/>
          <w:b/>
          <w:sz w:val="20"/>
          <w:szCs w:val="20"/>
        </w:rPr>
        <w:instrText xml:space="preserve"> SEQ Tableau \* ARABIC </w:instrText>
      </w:r>
      <w:r w:rsidRPr="00A9330B">
        <w:rPr>
          <w:rFonts w:cs="Arial"/>
          <w:b/>
          <w:sz w:val="20"/>
          <w:szCs w:val="20"/>
        </w:rPr>
        <w:fldChar w:fldCharType="separate"/>
      </w:r>
      <w:r w:rsidR="00417D31" w:rsidRPr="00A9330B">
        <w:rPr>
          <w:rFonts w:cs="Arial"/>
          <w:b/>
          <w:noProof/>
          <w:sz w:val="20"/>
          <w:szCs w:val="20"/>
        </w:rPr>
        <w:t>7</w:t>
      </w:r>
      <w:r w:rsidRPr="00A9330B">
        <w:rPr>
          <w:rFonts w:cs="Arial"/>
          <w:b/>
          <w:sz w:val="20"/>
          <w:szCs w:val="20"/>
        </w:rPr>
        <w:fldChar w:fldCharType="end"/>
      </w:r>
      <w:r w:rsidRPr="00A9330B">
        <w:rPr>
          <w:rFonts w:cs="Arial"/>
          <w:b/>
          <w:sz w:val="20"/>
          <w:szCs w:val="20"/>
        </w:rPr>
        <w:t xml:space="preserve"> : </w:t>
      </w:r>
      <w:r w:rsidRPr="00A9330B">
        <w:rPr>
          <w:rFonts w:cs="Arial"/>
          <w:b/>
        </w:rPr>
        <w:t>Synthèse des impacts et des mesures d’atténuation et de bonification</w:t>
      </w:r>
      <w:bookmarkEnd w:id="580"/>
    </w:p>
    <w:tbl>
      <w:tblPr>
        <w:tblW w:w="5000" w:type="pct"/>
        <w:tblBorders>
          <w:top w:val="single" w:sz="12" w:space="0" w:color="auto"/>
          <w:left w:val="single" w:sz="12" w:space="0" w:color="auto"/>
          <w:bottom w:val="single" w:sz="12" w:space="0" w:color="auto"/>
          <w:right w:val="single" w:sz="12" w:space="0" w:color="auto"/>
          <w:insideH w:val="single" w:sz="8" w:space="0" w:color="auto"/>
          <w:insideV w:val="single" w:sz="8" w:space="0" w:color="auto"/>
        </w:tblBorders>
        <w:tblLayout w:type="fixed"/>
        <w:tblCellMar>
          <w:left w:w="70" w:type="dxa"/>
          <w:right w:w="70" w:type="dxa"/>
        </w:tblCellMar>
        <w:tblLook w:val="04A0" w:firstRow="1" w:lastRow="0" w:firstColumn="1" w:lastColumn="0" w:noHBand="0" w:noVBand="1"/>
      </w:tblPr>
      <w:tblGrid>
        <w:gridCol w:w="410"/>
        <w:gridCol w:w="1277"/>
        <w:gridCol w:w="1418"/>
        <w:gridCol w:w="1561"/>
        <w:gridCol w:w="1347"/>
        <w:gridCol w:w="1360"/>
        <w:gridCol w:w="1669"/>
      </w:tblGrid>
      <w:tr w:rsidR="00223E33" w:rsidRPr="00A9330B" w14:paraId="5C8EDCCC" w14:textId="77777777" w:rsidTr="00B26D48">
        <w:trPr>
          <w:trHeight w:val="307"/>
          <w:tblHeader/>
        </w:trPr>
        <w:tc>
          <w:tcPr>
            <w:tcW w:w="227" w:type="pct"/>
            <w:tcBorders>
              <w:top w:val="single" w:sz="12" w:space="0" w:color="auto"/>
              <w:left w:val="single" w:sz="12" w:space="0" w:color="auto"/>
              <w:bottom w:val="single" w:sz="8" w:space="0" w:color="auto"/>
              <w:right w:val="single" w:sz="8" w:space="0" w:color="auto"/>
            </w:tcBorders>
            <w:shd w:val="clear" w:color="auto" w:fill="BDD6EE" w:themeFill="accent1" w:themeFillTint="66"/>
          </w:tcPr>
          <w:p w14:paraId="0C96B36B" w14:textId="77777777" w:rsidR="00223E33" w:rsidRPr="00A9330B" w:rsidRDefault="00223E33" w:rsidP="00B26D48">
            <w:pPr>
              <w:jc w:val="center"/>
              <w:rPr>
                <w:rFonts w:cs="Arial"/>
                <w:b/>
                <w:sz w:val="18"/>
                <w:szCs w:val="18"/>
              </w:rPr>
            </w:pPr>
            <w:r w:rsidRPr="00A9330B">
              <w:rPr>
                <w:rFonts w:cs="Arial"/>
                <w:b/>
                <w:sz w:val="18"/>
                <w:szCs w:val="18"/>
              </w:rPr>
              <w:t>N°</w:t>
            </w:r>
          </w:p>
        </w:tc>
        <w:tc>
          <w:tcPr>
            <w:tcW w:w="706" w:type="pct"/>
            <w:tcBorders>
              <w:top w:val="single" w:sz="12" w:space="0" w:color="auto"/>
              <w:left w:val="single" w:sz="8" w:space="0" w:color="auto"/>
              <w:bottom w:val="single" w:sz="8" w:space="0" w:color="auto"/>
              <w:right w:val="single" w:sz="8" w:space="0" w:color="auto"/>
            </w:tcBorders>
            <w:shd w:val="clear" w:color="auto" w:fill="BDD6EE" w:themeFill="accent1" w:themeFillTint="66"/>
          </w:tcPr>
          <w:p w14:paraId="0C6DBC02" w14:textId="77777777" w:rsidR="00223E33" w:rsidRPr="00A9330B" w:rsidRDefault="00223E33" w:rsidP="00B26D48">
            <w:pPr>
              <w:jc w:val="center"/>
              <w:rPr>
                <w:rFonts w:cs="Arial"/>
                <w:b/>
                <w:sz w:val="18"/>
                <w:szCs w:val="18"/>
              </w:rPr>
            </w:pPr>
            <w:r w:rsidRPr="00A9330B">
              <w:rPr>
                <w:rFonts w:cs="Arial"/>
                <w:b/>
                <w:sz w:val="18"/>
                <w:szCs w:val="18"/>
              </w:rPr>
              <w:t>ACTIVITÉS SOURCE D’IMPACT</w:t>
            </w:r>
          </w:p>
        </w:tc>
        <w:tc>
          <w:tcPr>
            <w:tcW w:w="784" w:type="pct"/>
            <w:tcBorders>
              <w:top w:val="single" w:sz="8" w:space="0" w:color="auto"/>
              <w:left w:val="single" w:sz="8" w:space="0" w:color="auto"/>
              <w:bottom w:val="single" w:sz="8" w:space="0" w:color="auto"/>
              <w:right w:val="single" w:sz="8" w:space="0" w:color="auto"/>
            </w:tcBorders>
            <w:shd w:val="clear" w:color="auto" w:fill="BDD6EE" w:themeFill="accent1" w:themeFillTint="66"/>
          </w:tcPr>
          <w:p w14:paraId="68D24BAD" w14:textId="77777777" w:rsidR="00223E33" w:rsidRPr="00A9330B" w:rsidRDefault="00223E33" w:rsidP="00B26D48">
            <w:pPr>
              <w:jc w:val="center"/>
              <w:rPr>
                <w:rFonts w:cs="Arial"/>
                <w:b/>
                <w:sz w:val="18"/>
                <w:szCs w:val="18"/>
              </w:rPr>
            </w:pPr>
            <w:r w:rsidRPr="00A9330B">
              <w:rPr>
                <w:rFonts w:cs="Arial"/>
                <w:b/>
                <w:sz w:val="18"/>
                <w:szCs w:val="18"/>
              </w:rPr>
              <w:t>IMPACT POSITIF (a)</w:t>
            </w:r>
          </w:p>
        </w:tc>
        <w:tc>
          <w:tcPr>
            <w:tcW w:w="863" w:type="pct"/>
            <w:tcBorders>
              <w:top w:val="single" w:sz="8" w:space="0" w:color="auto"/>
              <w:left w:val="single" w:sz="8" w:space="0" w:color="auto"/>
              <w:bottom w:val="single" w:sz="8" w:space="0" w:color="auto"/>
              <w:right w:val="single" w:sz="8" w:space="0" w:color="auto"/>
            </w:tcBorders>
            <w:shd w:val="clear" w:color="auto" w:fill="BDD6EE" w:themeFill="accent1" w:themeFillTint="66"/>
          </w:tcPr>
          <w:p w14:paraId="66AE1977" w14:textId="77777777" w:rsidR="00223E33" w:rsidRPr="00A9330B" w:rsidRDefault="00223E33" w:rsidP="00B26D48">
            <w:pPr>
              <w:jc w:val="center"/>
              <w:rPr>
                <w:rFonts w:cs="Arial"/>
                <w:b/>
                <w:sz w:val="18"/>
                <w:szCs w:val="18"/>
              </w:rPr>
            </w:pPr>
            <w:r w:rsidRPr="00A9330B">
              <w:rPr>
                <w:rFonts w:cs="Arial"/>
                <w:b/>
                <w:sz w:val="18"/>
                <w:szCs w:val="18"/>
              </w:rPr>
              <w:t>MESURES DE BONIFICATION</w:t>
            </w:r>
          </w:p>
        </w:tc>
        <w:tc>
          <w:tcPr>
            <w:tcW w:w="745" w:type="pct"/>
            <w:tcBorders>
              <w:top w:val="single" w:sz="8" w:space="0" w:color="auto"/>
              <w:left w:val="single" w:sz="8" w:space="0" w:color="auto"/>
              <w:bottom w:val="single" w:sz="8" w:space="0" w:color="auto"/>
              <w:right w:val="single" w:sz="4" w:space="0" w:color="auto"/>
            </w:tcBorders>
            <w:shd w:val="clear" w:color="auto" w:fill="BDD6EE" w:themeFill="accent1" w:themeFillTint="66"/>
          </w:tcPr>
          <w:p w14:paraId="4013E078" w14:textId="77777777" w:rsidR="00223E33" w:rsidRPr="00A9330B" w:rsidRDefault="00223E33" w:rsidP="00B26D48">
            <w:pPr>
              <w:jc w:val="center"/>
              <w:rPr>
                <w:rFonts w:cs="Arial"/>
                <w:b/>
                <w:sz w:val="18"/>
                <w:szCs w:val="18"/>
              </w:rPr>
            </w:pPr>
            <w:r w:rsidRPr="00A9330B">
              <w:rPr>
                <w:rFonts w:cs="Arial"/>
                <w:b/>
                <w:sz w:val="18"/>
                <w:szCs w:val="18"/>
              </w:rPr>
              <w:t>IMAPCT NÉGATIF (b)</w:t>
            </w:r>
          </w:p>
        </w:tc>
        <w:tc>
          <w:tcPr>
            <w:tcW w:w="752" w:type="pct"/>
            <w:tcBorders>
              <w:left w:val="single" w:sz="8" w:space="0" w:color="auto"/>
              <w:bottom w:val="single" w:sz="8" w:space="0" w:color="auto"/>
              <w:right w:val="single" w:sz="12" w:space="0" w:color="auto"/>
            </w:tcBorders>
            <w:shd w:val="clear" w:color="auto" w:fill="BDD6EE" w:themeFill="accent1" w:themeFillTint="66"/>
          </w:tcPr>
          <w:p w14:paraId="55972732" w14:textId="77777777" w:rsidR="00223E33" w:rsidRPr="00A9330B" w:rsidRDefault="00223E33" w:rsidP="00B26D48">
            <w:pPr>
              <w:jc w:val="center"/>
              <w:rPr>
                <w:rFonts w:cs="Arial"/>
                <w:b/>
                <w:sz w:val="18"/>
                <w:szCs w:val="18"/>
              </w:rPr>
            </w:pPr>
            <w:r w:rsidRPr="00A9330B">
              <w:rPr>
                <w:rFonts w:cs="Arial"/>
                <w:b/>
                <w:sz w:val="18"/>
                <w:szCs w:val="18"/>
              </w:rPr>
              <w:t>IMPORTANCE</w:t>
            </w:r>
          </w:p>
        </w:tc>
        <w:tc>
          <w:tcPr>
            <w:tcW w:w="923" w:type="pct"/>
            <w:tcBorders>
              <w:left w:val="single" w:sz="8" w:space="0" w:color="auto"/>
              <w:bottom w:val="single" w:sz="8" w:space="0" w:color="auto"/>
              <w:right w:val="single" w:sz="12" w:space="0" w:color="auto"/>
            </w:tcBorders>
            <w:shd w:val="clear" w:color="auto" w:fill="BDD6EE" w:themeFill="accent1" w:themeFillTint="66"/>
          </w:tcPr>
          <w:p w14:paraId="22C78D92" w14:textId="77777777" w:rsidR="00223E33" w:rsidRPr="00A9330B" w:rsidRDefault="00223E33" w:rsidP="00B26D48">
            <w:pPr>
              <w:jc w:val="center"/>
              <w:rPr>
                <w:rFonts w:cs="Arial"/>
                <w:b/>
                <w:sz w:val="18"/>
                <w:szCs w:val="18"/>
              </w:rPr>
            </w:pPr>
            <w:r w:rsidRPr="00A9330B">
              <w:rPr>
                <w:rFonts w:cs="Arial"/>
                <w:b/>
                <w:sz w:val="18"/>
                <w:szCs w:val="18"/>
              </w:rPr>
              <w:t>MESURES D’ATTENUATION</w:t>
            </w:r>
          </w:p>
        </w:tc>
      </w:tr>
      <w:tr w:rsidR="00223E33" w:rsidRPr="00A9330B" w14:paraId="3FF8E303" w14:textId="77777777" w:rsidTr="00B26D48">
        <w:trPr>
          <w:trHeight w:val="307"/>
        </w:trPr>
        <w:tc>
          <w:tcPr>
            <w:tcW w:w="227" w:type="pct"/>
            <w:tcBorders>
              <w:top w:val="single" w:sz="12" w:space="0" w:color="auto"/>
              <w:left w:val="single" w:sz="12" w:space="0" w:color="auto"/>
              <w:bottom w:val="single" w:sz="8" w:space="0" w:color="auto"/>
              <w:right w:val="single" w:sz="8" w:space="0" w:color="auto"/>
            </w:tcBorders>
            <w:shd w:val="clear" w:color="auto" w:fill="F7CAAC"/>
            <w:vAlign w:val="center"/>
          </w:tcPr>
          <w:p w14:paraId="6FB9783D" w14:textId="77777777" w:rsidR="00223E33" w:rsidRPr="00A9330B" w:rsidRDefault="00223E33" w:rsidP="00B26D48">
            <w:pPr>
              <w:jc w:val="both"/>
              <w:rPr>
                <w:rFonts w:cs="Arial"/>
                <w:b/>
                <w:sz w:val="20"/>
                <w:szCs w:val="20"/>
              </w:rPr>
            </w:pPr>
            <w:r w:rsidRPr="00A9330B">
              <w:rPr>
                <w:rFonts w:cs="Arial"/>
                <w:b/>
                <w:sz w:val="20"/>
                <w:szCs w:val="20"/>
              </w:rPr>
              <w:t>I</w:t>
            </w:r>
          </w:p>
        </w:tc>
        <w:tc>
          <w:tcPr>
            <w:tcW w:w="3098" w:type="pct"/>
            <w:gridSpan w:val="4"/>
            <w:tcBorders>
              <w:top w:val="single" w:sz="12" w:space="0" w:color="auto"/>
              <w:left w:val="single" w:sz="8" w:space="0" w:color="auto"/>
              <w:bottom w:val="single" w:sz="8" w:space="0" w:color="auto"/>
              <w:right w:val="single" w:sz="4" w:space="0" w:color="auto"/>
            </w:tcBorders>
            <w:shd w:val="clear" w:color="auto" w:fill="F7CAAC"/>
            <w:vAlign w:val="center"/>
          </w:tcPr>
          <w:p w14:paraId="3946BF36" w14:textId="77777777" w:rsidR="00223E33" w:rsidRPr="00A9330B" w:rsidRDefault="00223E33" w:rsidP="00B26D48">
            <w:pPr>
              <w:jc w:val="both"/>
              <w:rPr>
                <w:rFonts w:cs="Arial"/>
                <w:b/>
                <w:sz w:val="20"/>
                <w:szCs w:val="20"/>
              </w:rPr>
            </w:pPr>
            <w:r w:rsidRPr="00A9330B">
              <w:rPr>
                <w:rFonts w:cs="Arial"/>
                <w:b/>
                <w:sz w:val="20"/>
                <w:szCs w:val="20"/>
              </w:rPr>
              <w:t xml:space="preserve">PHASE DE PREPARATION ET D’INSTALLATION </w:t>
            </w:r>
          </w:p>
        </w:tc>
        <w:tc>
          <w:tcPr>
            <w:tcW w:w="752" w:type="pct"/>
            <w:tcBorders>
              <w:top w:val="single" w:sz="8" w:space="0" w:color="auto"/>
              <w:left w:val="single" w:sz="8" w:space="0" w:color="auto"/>
              <w:bottom w:val="single" w:sz="8" w:space="0" w:color="auto"/>
              <w:right w:val="single" w:sz="12" w:space="0" w:color="auto"/>
            </w:tcBorders>
            <w:shd w:val="clear" w:color="auto" w:fill="F7CAAC"/>
          </w:tcPr>
          <w:p w14:paraId="6A22489E" w14:textId="77777777" w:rsidR="00223E33" w:rsidRPr="00A9330B" w:rsidRDefault="00223E33" w:rsidP="00B26D48">
            <w:pPr>
              <w:jc w:val="both"/>
              <w:rPr>
                <w:rFonts w:cs="Arial"/>
                <w:b/>
                <w:sz w:val="20"/>
                <w:szCs w:val="20"/>
              </w:rPr>
            </w:pPr>
          </w:p>
        </w:tc>
        <w:tc>
          <w:tcPr>
            <w:tcW w:w="923" w:type="pct"/>
            <w:tcBorders>
              <w:top w:val="single" w:sz="8" w:space="0" w:color="auto"/>
              <w:left w:val="single" w:sz="8" w:space="0" w:color="auto"/>
              <w:bottom w:val="single" w:sz="8" w:space="0" w:color="auto"/>
              <w:right w:val="single" w:sz="12" w:space="0" w:color="auto"/>
            </w:tcBorders>
            <w:shd w:val="clear" w:color="auto" w:fill="F7CAAC"/>
          </w:tcPr>
          <w:p w14:paraId="4048B29C" w14:textId="77777777" w:rsidR="00223E33" w:rsidRPr="00A9330B" w:rsidRDefault="00223E33" w:rsidP="00B26D48">
            <w:pPr>
              <w:jc w:val="both"/>
              <w:rPr>
                <w:rFonts w:cs="Arial"/>
                <w:b/>
                <w:sz w:val="20"/>
                <w:szCs w:val="20"/>
              </w:rPr>
            </w:pPr>
          </w:p>
        </w:tc>
      </w:tr>
      <w:tr w:rsidR="00223E33" w:rsidRPr="00A9330B" w14:paraId="11AA0EDC" w14:textId="77777777" w:rsidTr="00B26D48">
        <w:trPr>
          <w:trHeight w:val="307"/>
        </w:trPr>
        <w:tc>
          <w:tcPr>
            <w:tcW w:w="227" w:type="pct"/>
            <w:tcBorders>
              <w:top w:val="single" w:sz="12" w:space="0" w:color="auto"/>
              <w:left w:val="single" w:sz="12" w:space="0" w:color="auto"/>
              <w:bottom w:val="single" w:sz="8" w:space="0" w:color="auto"/>
              <w:right w:val="single" w:sz="8" w:space="0" w:color="auto"/>
            </w:tcBorders>
            <w:shd w:val="clear" w:color="auto" w:fill="FFFFFF" w:themeFill="background1"/>
            <w:vAlign w:val="center"/>
          </w:tcPr>
          <w:p w14:paraId="4A29C9D9" w14:textId="77777777" w:rsidR="00223E33" w:rsidRPr="00A9330B" w:rsidRDefault="00223E33" w:rsidP="00B26D48">
            <w:pPr>
              <w:jc w:val="both"/>
              <w:rPr>
                <w:rFonts w:cs="Arial"/>
                <w:b/>
                <w:sz w:val="20"/>
                <w:szCs w:val="20"/>
              </w:rPr>
            </w:pPr>
          </w:p>
        </w:tc>
        <w:tc>
          <w:tcPr>
            <w:tcW w:w="706" w:type="pct"/>
            <w:tcBorders>
              <w:top w:val="single" w:sz="12" w:space="0" w:color="auto"/>
              <w:left w:val="single" w:sz="8" w:space="0" w:color="auto"/>
              <w:right w:val="single" w:sz="4" w:space="0" w:color="auto"/>
            </w:tcBorders>
            <w:shd w:val="clear" w:color="auto" w:fill="FFFFFF" w:themeFill="background1"/>
            <w:vAlign w:val="center"/>
          </w:tcPr>
          <w:p w14:paraId="403168EB" w14:textId="77777777" w:rsidR="00223E33" w:rsidRPr="00A9330B" w:rsidRDefault="00223E33" w:rsidP="00B26D48">
            <w:pPr>
              <w:jc w:val="both"/>
              <w:rPr>
                <w:rFonts w:cs="Arial"/>
                <w:b/>
                <w:sz w:val="20"/>
                <w:szCs w:val="20"/>
              </w:rPr>
            </w:pPr>
          </w:p>
        </w:tc>
        <w:tc>
          <w:tcPr>
            <w:tcW w:w="784" w:type="pct"/>
            <w:tcBorders>
              <w:top w:val="single" w:sz="12" w:space="0" w:color="auto"/>
              <w:left w:val="single" w:sz="8" w:space="0" w:color="auto"/>
              <w:right w:val="single" w:sz="4" w:space="0" w:color="auto"/>
            </w:tcBorders>
            <w:shd w:val="clear" w:color="auto" w:fill="FFFFFF" w:themeFill="background1"/>
            <w:vAlign w:val="center"/>
          </w:tcPr>
          <w:p w14:paraId="4292C61B" w14:textId="77777777" w:rsidR="00223E33" w:rsidRPr="00A9330B" w:rsidRDefault="00223E33" w:rsidP="00B26D48">
            <w:pPr>
              <w:jc w:val="both"/>
              <w:rPr>
                <w:rFonts w:cs="Arial"/>
                <w:b/>
                <w:sz w:val="20"/>
                <w:szCs w:val="20"/>
              </w:rPr>
            </w:pPr>
          </w:p>
        </w:tc>
        <w:tc>
          <w:tcPr>
            <w:tcW w:w="863" w:type="pct"/>
            <w:tcBorders>
              <w:top w:val="single" w:sz="12" w:space="0" w:color="auto"/>
              <w:left w:val="single" w:sz="8" w:space="0" w:color="auto"/>
              <w:right w:val="single" w:sz="4" w:space="0" w:color="auto"/>
            </w:tcBorders>
            <w:shd w:val="clear" w:color="auto" w:fill="FFFFFF" w:themeFill="background1"/>
            <w:vAlign w:val="center"/>
          </w:tcPr>
          <w:p w14:paraId="13C6BF45" w14:textId="77777777" w:rsidR="00223E33" w:rsidRPr="00A9330B" w:rsidRDefault="00223E33" w:rsidP="00B26D48">
            <w:pPr>
              <w:jc w:val="both"/>
              <w:rPr>
                <w:rFonts w:cs="Arial"/>
                <w:b/>
                <w:sz w:val="20"/>
                <w:szCs w:val="20"/>
              </w:rPr>
            </w:pPr>
          </w:p>
        </w:tc>
        <w:tc>
          <w:tcPr>
            <w:tcW w:w="745" w:type="pct"/>
            <w:tcBorders>
              <w:top w:val="single" w:sz="12" w:space="0" w:color="auto"/>
              <w:left w:val="single" w:sz="8" w:space="0" w:color="auto"/>
              <w:right w:val="single" w:sz="4" w:space="0" w:color="auto"/>
            </w:tcBorders>
            <w:shd w:val="clear" w:color="auto" w:fill="FFFFFF" w:themeFill="background1"/>
            <w:vAlign w:val="center"/>
          </w:tcPr>
          <w:p w14:paraId="4AA47C27" w14:textId="77777777" w:rsidR="00223E33" w:rsidRPr="00A9330B" w:rsidRDefault="00223E33" w:rsidP="00B26D48">
            <w:pPr>
              <w:jc w:val="both"/>
              <w:rPr>
                <w:rFonts w:cs="Arial"/>
                <w:b/>
                <w:sz w:val="20"/>
                <w:szCs w:val="20"/>
              </w:rPr>
            </w:pPr>
          </w:p>
        </w:tc>
        <w:tc>
          <w:tcPr>
            <w:tcW w:w="752" w:type="pct"/>
            <w:tcBorders>
              <w:top w:val="single" w:sz="8" w:space="0" w:color="auto"/>
              <w:left w:val="single" w:sz="8" w:space="0" w:color="auto"/>
              <w:bottom w:val="single" w:sz="8" w:space="0" w:color="auto"/>
              <w:right w:val="single" w:sz="12" w:space="0" w:color="auto"/>
            </w:tcBorders>
            <w:shd w:val="clear" w:color="auto" w:fill="FFFFFF" w:themeFill="background1"/>
          </w:tcPr>
          <w:p w14:paraId="233BC5F4" w14:textId="77777777" w:rsidR="00223E33" w:rsidRPr="00A9330B" w:rsidRDefault="00223E33" w:rsidP="00B26D48">
            <w:pPr>
              <w:jc w:val="both"/>
              <w:rPr>
                <w:rFonts w:cs="Arial"/>
                <w:b/>
                <w:sz w:val="20"/>
                <w:szCs w:val="20"/>
              </w:rPr>
            </w:pPr>
          </w:p>
        </w:tc>
        <w:tc>
          <w:tcPr>
            <w:tcW w:w="923" w:type="pct"/>
            <w:tcBorders>
              <w:top w:val="single" w:sz="8" w:space="0" w:color="auto"/>
              <w:left w:val="single" w:sz="8" w:space="0" w:color="auto"/>
              <w:bottom w:val="single" w:sz="8" w:space="0" w:color="auto"/>
              <w:right w:val="single" w:sz="12" w:space="0" w:color="auto"/>
            </w:tcBorders>
            <w:shd w:val="clear" w:color="auto" w:fill="FFFFFF" w:themeFill="background1"/>
          </w:tcPr>
          <w:p w14:paraId="4725D6B1" w14:textId="77777777" w:rsidR="00223E33" w:rsidRPr="00A9330B" w:rsidRDefault="00223E33" w:rsidP="00B26D48">
            <w:pPr>
              <w:jc w:val="both"/>
              <w:rPr>
                <w:rFonts w:cs="Arial"/>
                <w:b/>
                <w:sz w:val="20"/>
                <w:szCs w:val="20"/>
              </w:rPr>
            </w:pPr>
          </w:p>
        </w:tc>
      </w:tr>
      <w:tr w:rsidR="00223E33" w:rsidRPr="00A9330B" w14:paraId="7185B466" w14:textId="77777777" w:rsidTr="00B26D48">
        <w:trPr>
          <w:trHeight w:val="307"/>
        </w:trPr>
        <w:tc>
          <w:tcPr>
            <w:tcW w:w="227" w:type="pct"/>
            <w:tcBorders>
              <w:top w:val="single" w:sz="12" w:space="0" w:color="auto"/>
              <w:left w:val="single" w:sz="12" w:space="0" w:color="auto"/>
              <w:bottom w:val="single" w:sz="8" w:space="0" w:color="auto"/>
              <w:right w:val="single" w:sz="8" w:space="0" w:color="auto"/>
            </w:tcBorders>
            <w:shd w:val="clear" w:color="auto" w:fill="FFFFFF" w:themeFill="background1"/>
            <w:vAlign w:val="center"/>
          </w:tcPr>
          <w:p w14:paraId="4408B722" w14:textId="77777777" w:rsidR="00223E33" w:rsidRPr="00A9330B" w:rsidRDefault="00223E33" w:rsidP="00B26D48">
            <w:pPr>
              <w:jc w:val="both"/>
              <w:rPr>
                <w:rFonts w:cs="Arial"/>
                <w:b/>
                <w:sz w:val="20"/>
                <w:szCs w:val="20"/>
              </w:rPr>
            </w:pPr>
          </w:p>
        </w:tc>
        <w:tc>
          <w:tcPr>
            <w:tcW w:w="706" w:type="pct"/>
            <w:tcBorders>
              <w:top w:val="single" w:sz="12" w:space="0" w:color="auto"/>
              <w:left w:val="single" w:sz="8" w:space="0" w:color="auto"/>
              <w:right w:val="single" w:sz="4" w:space="0" w:color="auto"/>
            </w:tcBorders>
            <w:shd w:val="clear" w:color="auto" w:fill="FFFFFF" w:themeFill="background1"/>
            <w:vAlign w:val="center"/>
          </w:tcPr>
          <w:p w14:paraId="1D666972" w14:textId="77777777" w:rsidR="00223E33" w:rsidRPr="00A9330B" w:rsidRDefault="00223E33" w:rsidP="00B26D48">
            <w:pPr>
              <w:jc w:val="both"/>
              <w:rPr>
                <w:rFonts w:cs="Arial"/>
                <w:b/>
                <w:sz w:val="20"/>
                <w:szCs w:val="20"/>
              </w:rPr>
            </w:pPr>
          </w:p>
        </w:tc>
        <w:tc>
          <w:tcPr>
            <w:tcW w:w="784" w:type="pct"/>
            <w:tcBorders>
              <w:top w:val="single" w:sz="12" w:space="0" w:color="auto"/>
              <w:left w:val="single" w:sz="8" w:space="0" w:color="auto"/>
              <w:right w:val="single" w:sz="4" w:space="0" w:color="auto"/>
            </w:tcBorders>
            <w:shd w:val="clear" w:color="auto" w:fill="FFFFFF" w:themeFill="background1"/>
            <w:vAlign w:val="center"/>
          </w:tcPr>
          <w:p w14:paraId="7CE808EF" w14:textId="77777777" w:rsidR="00223E33" w:rsidRPr="00A9330B" w:rsidRDefault="00223E33" w:rsidP="00B26D48">
            <w:pPr>
              <w:jc w:val="both"/>
              <w:rPr>
                <w:rFonts w:cs="Arial"/>
                <w:b/>
                <w:sz w:val="20"/>
                <w:szCs w:val="20"/>
              </w:rPr>
            </w:pPr>
          </w:p>
        </w:tc>
        <w:tc>
          <w:tcPr>
            <w:tcW w:w="863" w:type="pct"/>
            <w:tcBorders>
              <w:top w:val="single" w:sz="12" w:space="0" w:color="auto"/>
              <w:left w:val="single" w:sz="8" w:space="0" w:color="auto"/>
              <w:right w:val="single" w:sz="4" w:space="0" w:color="auto"/>
            </w:tcBorders>
            <w:shd w:val="clear" w:color="auto" w:fill="FFFFFF" w:themeFill="background1"/>
            <w:vAlign w:val="center"/>
          </w:tcPr>
          <w:p w14:paraId="6CABC6D0" w14:textId="77777777" w:rsidR="00223E33" w:rsidRPr="00A9330B" w:rsidRDefault="00223E33" w:rsidP="00B26D48">
            <w:pPr>
              <w:jc w:val="both"/>
              <w:rPr>
                <w:rFonts w:cs="Arial"/>
                <w:b/>
                <w:sz w:val="20"/>
                <w:szCs w:val="20"/>
              </w:rPr>
            </w:pPr>
          </w:p>
        </w:tc>
        <w:tc>
          <w:tcPr>
            <w:tcW w:w="745" w:type="pct"/>
            <w:tcBorders>
              <w:top w:val="single" w:sz="12" w:space="0" w:color="auto"/>
              <w:left w:val="single" w:sz="8" w:space="0" w:color="auto"/>
              <w:right w:val="single" w:sz="4" w:space="0" w:color="auto"/>
            </w:tcBorders>
            <w:shd w:val="clear" w:color="auto" w:fill="FFFFFF" w:themeFill="background1"/>
            <w:vAlign w:val="center"/>
          </w:tcPr>
          <w:p w14:paraId="14F6FB7F" w14:textId="77777777" w:rsidR="00223E33" w:rsidRPr="00A9330B" w:rsidRDefault="00223E33" w:rsidP="00B26D48">
            <w:pPr>
              <w:jc w:val="both"/>
              <w:rPr>
                <w:rFonts w:cs="Arial"/>
                <w:b/>
                <w:sz w:val="20"/>
                <w:szCs w:val="20"/>
              </w:rPr>
            </w:pPr>
          </w:p>
        </w:tc>
        <w:tc>
          <w:tcPr>
            <w:tcW w:w="752" w:type="pct"/>
            <w:tcBorders>
              <w:top w:val="single" w:sz="8" w:space="0" w:color="auto"/>
              <w:left w:val="single" w:sz="8" w:space="0" w:color="auto"/>
              <w:bottom w:val="single" w:sz="8" w:space="0" w:color="auto"/>
              <w:right w:val="single" w:sz="12" w:space="0" w:color="auto"/>
            </w:tcBorders>
            <w:shd w:val="clear" w:color="auto" w:fill="FFFFFF" w:themeFill="background1"/>
          </w:tcPr>
          <w:p w14:paraId="621AFA32" w14:textId="77777777" w:rsidR="00223E33" w:rsidRPr="00A9330B" w:rsidRDefault="00223E33" w:rsidP="00B26D48">
            <w:pPr>
              <w:jc w:val="both"/>
              <w:rPr>
                <w:rFonts w:cs="Arial"/>
                <w:b/>
                <w:sz w:val="20"/>
                <w:szCs w:val="20"/>
              </w:rPr>
            </w:pPr>
          </w:p>
        </w:tc>
        <w:tc>
          <w:tcPr>
            <w:tcW w:w="923" w:type="pct"/>
            <w:tcBorders>
              <w:top w:val="single" w:sz="8" w:space="0" w:color="auto"/>
              <w:left w:val="single" w:sz="8" w:space="0" w:color="auto"/>
              <w:bottom w:val="single" w:sz="8" w:space="0" w:color="auto"/>
              <w:right w:val="single" w:sz="12" w:space="0" w:color="auto"/>
            </w:tcBorders>
            <w:shd w:val="clear" w:color="auto" w:fill="FFFFFF" w:themeFill="background1"/>
          </w:tcPr>
          <w:p w14:paraId="3FFD3FCF" w14:textId="77777777" w:rsidR="00223E33" w:rsidRPr="00A9330B" w:rsidRDefault="00223E33" w:rsidP="00B26D48">
            <w:pPr>
              <w:jc w:val="both"/>
              <w:rPr>
                <w:rFonts w:cs="Arial"/>
                <w:b/>
                <w:sz w:val="20"/>
                <w:szCs w:val="20"/>
              </w:rPr>
            </w:pPr>
          </w:p>
        </w:tc>
      </w:tr>
      <w:tr w:rsidR="00223E33" w:rsidRPr="00A9330B" w14:paraId="24C85F4B" w14:textId="77777777" w:rsidTr="00B26D48">
        <w:trPr>
          <w:trHeight w:val="307"/>
        </w:trPr>
        <w:tc>
          <w:tcPr>
            <w:tcW w:w="227" w:type="pct"/>
            <w:tcBorders>
              <w:top w:val="single" w:sz="12" w:space="0" w:color="auto"/>
              <w:left w:val="single" w:sz="12" w:space="0" w:color="auto"/>
              <w:bottom w:val="single" w:sz="8" w:space="0" w:color="auto"/>
              <w:right w:val="single" w:sz="8" w:space="0" w:color="auto"/>
            </w:tcBorders>
            <w:shd w:val="clear" w:color="auto" w:fill="F7CAAC"/>
            <w:vAlign w:val="center"/>
          </w:tcPr>
          <w:p w14:paraId="3166A2D8" w14:textId="77777777" w:rsidR="00223E33" w:rsidRPr="00A9330B" w:rsidRDefault="00223E33" w:rsidP="00B26D48">
            <w:pPr>
              <w:jc w:val="both"/>
              <w:rPr>
                <w:rFonts w:cs="Arial"/>
                <w:b/>
                <w:sz w:val="20"/>
                <w:szCs w:val="20"/>
              </w:rPr>
            </w:pPr>
            <w:r w:rsidRPr="00A9330B">
              <w:rPr>
                <w:rFonts w:cs="Arial"/>
                <w:b/>
                <w:sz w:val="20"/>
                <w:szCs w:val="20"/>
              </w:rPr>
              <w:t>II</w:t>
            </w:r>
          </w:p>
        </w:tc>
        <w:tc>
          <w:tcPr>
            <w:tcW w:w="3098" w:type="pct"/>
            <w:gridSpan w:val="4"/>
            <w:tcBorders>
              <w:top w:val="single" w:sz="12" w:space="0" w:color="auto"/>
              <w:left w:val="single" w:sz="8" w:space="0" w:color="auto"/>
              <w:right w:val="single" w:sz="4" w:space="0" w:color="auto"/>
            </w:tcBorders>
            <w:shd w:val="clear" w:color="auto" w:fill="F7CAAC"/>
            <w:vAlign w:val="center"/>
          </w:tcPr>
          <w:p w14:paraId="498200A0" w14:textId="77777777" w:rsidR="00223E33" w:rsidRPr="00A9330B" w:rsidRDefault="00223E33" w:rsidP="00B26D48">
            <w:pPr>
              <w:jc w:val="both"/>
              <w:rPr>
                <w:rFonts w:cs="Arial"/>
                <w:b/>
                <w:sz w:val="20"/>
                <w:szCs w:val="20"/>
              </w:rPr>
            </w:pPr>
            <w:r w:rsidRPr="00A9330B">
              <w:rPr>
                <w:rFonts w:cs="Arial"/>
                <w:b/>
                <w:sz w:val="20"/>
                <w:szCs w:val="20"/>
              </w:rPr>
              <w:t xml:space="preserve">PHASE DE CONSTRUCTION </w:t>
            </w:r>
          </w:p>
        </w:tc>
        <w:tc>
          <w:tcPr>
            <w:tcW w:w="752" w:type="pct"/>
            <w:tcBorders>
              <w:top w:val="single" w:sz="8" w:space="0" w:color="auto"/>
              <w:left w:val="single" w:sz="8" w:space="0" w:color="auto"/>
              <w:bottom w:val="single" w:sz="8" w:space="0" w:color="auto"/>
              <w:right w:val="single" w:sz="12" w:space="0" w:color="auto"/>
            </w:tcBorders>
            <w:shd w:val="clear" w:color="auto" w:fill="F7CAAC"/>
          </w:tcPr>
          <w:p w14:paraId="1B5ED0E5" w14:textId="77777777" w:rsidR="00223E33" w:rsidRPr="00A9330B" w:rsidRDefault="00223E33" w:rsidP="00B26D48">
            <w:pPr>
              <w:jc w:val="both"/>
              <w:rPr>
                <w:rFonts w:cs="Arial"/>
                <w:b/>
                <w:sz w:val="20"/>
                <w:szCs w:val="20"/>
              </w:rPr>
            </w:pPr>
          </w:p>
        </w:tc>
        <w:tc>
          <w:tcPr>
            <w:tcW w:w="923" w:type="pct"/>
            <w:tcBorders>
              <w:top w:val="single" w:sz="8" w:space="0" w:color="auto"/>
              <w:left w:val="single" w:sz="8" w:space="0" w:color="auto"/>
              <w:bottom w:val="single" w:sz="8" w:space="0" w:color="auto"/>
              <w:right w:val="single" w:sz="12" w:space="0" w:color="auto"/>
            </w:tcBorders>
            <w:shd w:val="clear" w:color="auto" w:fill="F7CAAC"/>
          </w:tcPr>
          <w:p w14:paraId="1F80A1B5" w14:textId="77777777" w:rsidR="00223E33" w:rsidRPr="00A9330B" w:rsidRDefault="00223E33" w:rsidP="00B26D48">
            <w:pPr>
              <w:jc w:val="both"/>
              <w:rPr>
                <w:rFonts w:cs="Arial"/>
                <w:b/>
                <w:sz w:val="20"/>
                <w:szCs w:val="20"/>
              </w:rPr>
            </w:pPr>
          </w:p>
        </w:tc>
      </w:tr>
      <w:tr w:rsidR="00223E33" w:rsidRPr="00A9330B" w14:paraId="3E2A6EE5" w14:textId="77777777" w:rsidTr="00B26D48">
        <w:trPr>
          <w:trHeight w:val="307"/>
        </w:trPr>
        <w:tc>
          <w:tcPr>
            <w:tcW w:w="227" w:type="pct"/>
            <w:tcBorders>
              <w:top w:val="single" w:sz="12" w:space="0" w:color="auto"/>
              <w:left w:val="single" w:sz="12" w:space="0" w:color="auto"/>
              <w:bottom w:val="single" w:sz="8" w:space="0" w:color="auto"/>
              <w:right w:val="single" w:sz="8" w:space="0" w:color="auto"/>
            </w:tcBorders>
            <w:shd w:val="clear" w:color="auto" w:fill="FFFFFF" w:themeFill="background1"/>
            <w:vAlign w:val="center"/>
          </w:tcPr>
          <w:p w14:paraId="35FC7F1D" w14:textId="77777777" w:rsidR="00223E33" w:rsidRPr="00A9330B" w:rsidRDefault="00223E33" w:rsidP="00B26D48">
            <w:pPr>
              <w:jc w:val="both"/>
              <w:rPr>
                <w:rFonts w:cs="Arial"/>
                <w:b/>
                <w:sz w:val="20"/>
                <w:szCs w:val="20"/>
              </w:rPr>
            </w:pPr>
          </w:p>
        </w:tc>
        <w:tc>
          <w:tcPr>
            <w:tcW w:w="706" w:type="pct"/>
            <w:tcBorders>
              <w:top w:val="single" w:sz="12" w:space="0" w:color="auto"/>
              <w:left w:val="single" w:sz="8" w:space="0" w:color="auto"/>
              <w:right w:val="single" w:sz="4" w:space="0" w:color="auto"/>
            </w:tcBorders>
            <w:shd w:val="clear" w:color="auto" w:fill="FFFFFF" w:themeFill="background1"/>
            <w:vAlign w:val="center"/>
          </w:tcPr>
          <w:p w14:paraId="32A53E39" w14:textId="77777777" w:rsidR="00223E33" w:rsidRPr="00A9330B" w:rsidRDefault="00223E33" w:rsidP="00B26D48">
            <w:pPr>
              <w:jc w:val="both"/>
              <w:rPr>
                <w:rFonts w:cs="Arial"/>
                <w:b/>
                <w:sz w:val="20"/>
                <w:szCs w:val="20"/>
              </w:rPr>
            </w:pPr>
          </w:p>
        </w:tc>
        <w:tc>
          <w:tcPr>
            <w:tcW w:w="784" w:type="pct"/>
            <w:tcBorders>
              <w:top w:val="single" w:sz="12" w:space="0" w:color="auto"/>
              <w:left w:val="single" w:sz="8" w:space="0" w:color="auto"/>
              <w:right w:val="single" w:sz="4" w:space="0" w:color="auto"/>
            </w:tcBorders>
            <w:shd w:val="clear" w:color="auto" w:fill="FFFFFF" w:themeFill="background1"/>
            <w:vAlign w:val="center"/>
          </w:tcPr>
          <w:p w14:paraId="0850DD83" w14:textId="77777777" w:rsidR="00223E33" w:rsidRPr="00A9330B" w:rsidRDefault="00223E33" w:rsidP="00B26D48">
            <w:pPr>
              <w:jc w:val="both"/>
              <w:rPr>
                <w:rFonts w:cs="Arial"/>
                <w:b/>
                <w:sz w:val="20"/>
                <w:szCs w:val="20"/>
              </w:rPr>
            </w:pPr>
          </w:p>
        </w:tc>
        <w:tc>
          <w:tcPr>
            <w:tcW w:w="863" w:type="pct"/>
            <w:tcBorders>
              <w:top w:val="single" w:sz="12" w:space="0" w:color="auto"/>
              <w:left w:val="single" w:sz="8" w:space="0" w:color="auto"/>
              <w:right w:val="single" w:sz="4" w:space="0" w:color="auto"/>
            </w:tcBorders>
            <w:shd w:val="clear" w:color="auto" w:fill="FFFFFF" w:themeFill="background1"/>
            <w:vAlign w:val="center"/>
          </w:tcPr>
          <w:p w14:paraId="214EA509" w14:textId="77777777" w:rsidR="00223E33" w:rsidRPr="00A9330B" w:rsidRDefault="00223E33" w:rsidP="00B26D48">
            <w:pPr>
              <w:jc w:val="both"/>
              <w:rPr>
                <w:rFonts w:cs="Arial"/>
                <w:b/>
                <w:sz w:val="20"/>
                <w:szCs w:val="20"/>
              </w:rPr>
            </w:pPr>
          </w:p>
        </w:tc>
        <w:tc>
          <w:tcPr>
            <w:tcW w:w="745" w:type="pct"/>
            <w:tcBorders>
              <w:top w:val="single" w:sz="12" w:space="0" w:color="auto"/>
              <w:left w:val="single" w:sz="8" w:space="0" w:color="auto"/>
              <w:right w:val="single" w:sz="4" w:space="0" w:color="auto"/>
            </w:tcBorders>
            <w:shd w:val="clear" w:color="auto" w:fill="FFFFFF" w:themeFill="background1"/>
            <w:vAlign w:val="center"/>
          </w:tcPr>
          <w:p w14:paraId="611E17D2" w14:textId="77777777" w:rsidR="00223E33" w:rsidRPr="00A9330B" w:rsidRDefault="00223E33" w:rsidP="00B26D48">
            <w:pPr>
              <w:jc w:val="both"/>
              <w:rPr>
                <w:rFonts w:cs="Arial"/>
                <w:b/>
                <w:sz w:val="20"/>
                <w:szCs w:val="20"/>
              </w:rPr>
            </w:pPr>
          </w:p>
        </w:tc>
        <w:tc>
          <w:tcPr>
            <w:tcW w:w="752" w:type="pct"/>
            <w:tcBorders>
              <w:top w:val="single" w:sz="8" w:space="0" w:color="auto"/>
              <w:left w:val="single" w:sz="8" w:space="0" w:color="auto"/>
              <w:bottom w:val="single" w:sz="8" w:space="0" w:color="auto"/>
              <w:right w:val="single" w:sz="12" w:space="0" w:color="auto"/>
            </w:tcBorders>
            <w:shd w:val="clear" w:color="auto" w:fill="FFFFFF" w:themeFill="background1"/>
          </w:tcPr>
          <w:p w14:paraId="5A84AD0D" w14:textId="77777777" w:rsidR="00223E33" w:rsidRPr="00A9330B" w:rsidRDefault="00223E33" w:rsidP="00B26D48">
            <w:pPr>
              <w:jc w:val="both"/>
              <w:rPr>
                <w:rFonts w:cs="Arial"/>
                <w:b/>
                <w:sz w:val="20"/>
                <w:szCs w:val="20"/>
              </w:rPr>
            </w:pPr>
          </w:p>
        </w:tc>
        <w:tc>
          <w:tcPr>
            <w:tcW w:w="923" w:type="pct"/>
            <w:tcBorders>
              <w:top w:val="single" w:sz="8" w:space="0" w:color="auto"/>
              <w:left w:val="single" w:sz="8" w:space="0" w:color="auto"/>
              <w:bottom w:val="single" w:sz="8" w:space="0" w:color="auto"/>
              <w:right w:val="single" w:sz="12" w:space="0" w:color="auto"/>
            </w:tcBorders>
            <w:shd w:val="clear" w:color="auto" w:fill="FFFFFF" w:themeFill="background1"/>
          </w:tcPr>
          <w:p w14:paraId="2EEFBCCA" w14:textId="77777777" w:rsidR="00223E33" w:rsidRPr="00A9330B" w:rsidRDefault="00223E33" w:rsidP="00B26D48">
            <w:pPr>
              <w:jc w:val="both"/>
              <w:rPr>
                <w:rFonts w:cs="Arial"/>
                <w:b/>
                <w:sz w:val="20"/>
                <w:szCs w:val="20"/>
              </w:rPr>
            </w:pPr>
          </w:p>
        </w:tc>
      </w:tr>
      <w:tr w:rsidR="00223E33" w:rsidRPr="00A9330B" w14:paraId="3995CD41" w14:textId="77777777" w:rsidTr="00B26D48">
        <w:trPr>
          <w:trHeight w:val="307"/>
        </w:trPr>
        <w:tc>
          <w:tcPr>
            <w:tcW w:w="227" w:type="pct"/>
            <w:tcBorders>
              <w:top w:val="single" w:sz="12" w:space="0" w:color="auto"/>
              <w:left w:val="single" w:sz="12" w:space="0" w:color="auto"/>
              <w:bottom w:val="single" w:sz="8" w:space="0" w:color="auto"/>
              <w:right w:val="single" w:sz="8" w:space="0" w:color="auto"/>
            </w:tcBorders>
            <w:shd w:val="clear" w:color="auto" w:fill="FFFFFF" w:themeFill="background1"/>
            <w:vAlign w:val="center"/>
          </w:tcPr>
          <w:p w14:paraId="7CED150A" w14:textId="77777777" w:rsidR="00223E33" w:rsidRPr="00A9330B" w:rsidRDefault="00223E33" w:rsidP="00B26D48">
            <w:pPr>
              <w:jc w:val="both"/>
              <w:rPr>
                <w:rFonts w:cs="Arial"/>
                <w:b/>
                <w:sz w:val="20"/>
                <w:szCs w:val="20"/>
              </w:rPr>
            </w:pPr>
          </w:p>
        </w:tc>
        <w:tc>
          <w:tcPr>
            <w:tcW w:w="706" w:type="pct"/>
            <w:tcBorders>
              <w:top w:val="single" w:sz="12" w:space="0" w:color="auto"/>
              <w:left w:val="single" w:sz="8" w:space="0" w:color="auto"/>
              <w:right w:val="single" w:sz="4" w:space="0" w:color="auto"/>
            </w:tcBorders>
            <w:shd w:val="clear" w:color="auto" w:fill="FFFFFF" w:themeFill="background1"/>
            <w:vAlign w:val="center"/>
          </w:tcPr>
          <w:p w14:paraId="2E4D1646" w14:textId="77777777" w:rsidR="00223E33" w:rsidRPr="00A9330B" w:rsidRDefault="00223E33" w:rsidP="00B26D48">
            <w:pPr>
              <w:jc w:val="both"/>
              <w:rPr>
                <w:rFonts w:cs="Arial"/>
                <w:b/>
                <w:sz w:val="20"/>
                <w:szCs w:val="20"/>
              </w:rPr>
            </w:pPr>
          </w:p>
        </w:tc>
        <w:tc>
          <w:tcPr>
            <w:tcW w:w="784" w:type="pct"/>
            <w:tcBorders>
              <w:top w:val="single" w:sz="12" w:space="0" w:color="auto"/>
              <w:left w:val="single" w:sz="8" w:space="0" w:color="auto"/>
              <w:right w:val="single" w:sz="4" w:space="0" w:color="auto"/>
            </w:tcBorders>
            <w:shd w:val="clear" w:color="auto" w:fill="FFFFFF" w:themeFill="background1"/>
            <w:vAlign w:val="center"/>
          </w:tcPr>
          <w:p w14:paraId="5E5C35CC" w14:textId="77777777" w:rsidR="00223E33" w:rsidRPr="00A9330B" w:rsidRDefault="00223E33" w:rsidP="00B26D48">
            <w:pPr>
              <w:jc w:val="both"/>
              <w:rPr>
                <w:rFonts w:cs="Arial"/>
                <w:b/>
                <w:sz w:val="20"/>
                <w:szCs w:val="20"/>
              </w:rPr>
            </w:pPr>
          </w:p>
        </w:tc>
        <w:tc>
          <w:tcPr>
            <w:tcW w:w="863" w:type="pct"/>
            <w:tcBorders>
              <w:top w:val="single" w:sz="12" w:space="0" w:color="auto"/>
              <w:left w:val="single" w:sz="8" w:space="0" w:color="auto"/>
              <w:right w:val="single" w:sz="4" w:space="0" w:color="auto"/>
            </w:tcBorders>
            <w:shd w:val="clear" w:color="auto" w:fill="FFFFFF" w:themeFill="background1"/>
            <w:vAlign w:val="center"/>
          </w:tcPr>
          <w:p w14:paraId="1288C00F" w14:textId="77777777" w:rsidR="00223E33" w:rsidRPr="00A9330B" w:rsidRDefault="00223E33" w:rsidP="00B26D48">
            <w:pPr>
              <w:jc w:val="both"/>
              <w:rPr>
                <w:rFonts w:cs="Arial"/>
                <w:b/>
                <w:sz w:val="20"/>
                <w:szCs w:val="20"/>
              </w:rPr>
            </w:pPr>
          </w:p>
        </w:tc>
        <w:tc>
          <w:tcPr>
            <w:tcW w:w="745" w:type="pct"/>
            <w:tcBorders>
              <w:top w:val="single" w:sz="12" w:space="0" w:color="auto"/>
              <w:left w:val="single" w:sz="8" w:space="0" w:color="auto"/>
              <w:right w:val="single" w:sz="4" w:space="0" w:color="auto"/>
            </w:tcBorders>
            <w:shd w:val="clear" w:color="auto" w:fill="FFFFFF" w:themeFill="background1"/>
            <w:vAlign w:val="center"/>
          </w:tcPr>
          <w:p w14:paraId="233CB6F9" w14:textId="77777777" w:rsidR="00223E33" w:rsidRPr="00A9330B" w:rsidRDefault="00223E33" w:rsidP="00B26D48">
            <w:pPr>
              <w:jc w:val="both"/>
              <w:rPr>
                <w:rFonts w:cs="Arial"/>
                <w:b/>
                <w:sz w:val="20"/>
                <w:szCs w:val="20"/>
              </w:rPr>
            </w:pPr>
          </w:p>
        </w:tc>
        <w:tc>
          <w:tcPr>
            <w:tcW w:w="752" w:type="pct"/>
            <w:tcBorders>
              <w:top w:val="single" w:sz="8" w:space="0" w:color="auto"/>
              <w:left w:val="single" w:sz="8" w:space="0" w:color="auto"/>
              <w:bottom w:val="single" w:sz="8" w:space="0" w:color="auto"/>
              <w:right w:val="single" w:sz="12" w:space="0" w:color="auto"/>
            </w:tcBorders>
            <w:shd w:val="clear" w:color="auto" w:fill="FFFFFF" w:themeFill="background1"/>
          </w:tcPr>
          <w:p w14:paraId="6B4438C9" w14:textId="77777777" w:rsidR="00223E33" w:rsidRPr="00A9330B" w:rsidRDefault="00223E33" w:rsidP="00B26D48">
            <w:pPr>
              <w:jc w:val="both"/>
              <w:rPr>
                <w:rFonts w:cs="Arial"/>
                <w:b/>
                <w:sz w:val="20"/>
                <w:szCs w:val="20"/>
              </w:rPr>
            </w:pPr>
          </w:p>
        </w:tc>
        <w:tc>
          <w:tcPr>
            <w:tcW w:w="923" w:type="pct"/>
            <w:tcBorders>
              <w:top w:val="single" w:sz="8" w:space="0" w:color="auto"/>
              <w:left w:val="single" w:sz="8" w:space="0" w:color="auto"/>
              <w:bottom w:val="single" w:sz="8" w:space="0" w:color="auto"/>
              <w:right w:val="single" w:sz="12" w:space="0" w:color="auto"/>
            </w:tcBorders>
            <w:shd w:val="clear" w:color="auto" w:fill="FFFFFF" w:themeFill="background1"/>
          </w:tcPr>
          <w:p w14:paraId="3343580E" w14:textId="77777777" w:rsidR="00223E33" w:rsidRPr="00A9330B" w:rsidRDefault="00223E33" w:rsidP="00B26D48">
            <w:pPr>
              <w:jc w:val="both"/>
              <w:rPr>
                <w:rFonts w:cs="Arial"/>
                <w:b/>
                <w:sz w:val="20"/>
                <w:szCs w:val="20"/>
              </w:rPr>
            </w:pPr>
          </w:p>
        </w:tc>
      </w:tr>
      <w:tr w:rsidR="00223E33" w:rsidRPr="00A9330B" w14:paraId="2192FF77" w14:textId="77777777" w:rsidTr="00B26D48">
        <w:trPr>
          <w:trHeight w:val="307"/>
        </w:trPr>
        <w:tc>
          <w:tcPr>
            <w:tcW w:w="227" w:type="pct"/>
            <w:tcBorders>
              <w:top w:val="single" w:sz="12" w:space="0" w:color="auto"/>
              <w:left w:val="single" w:sz="12" w:space="0" w:color="auto"/>
              <w:bottom w:val="single" w:sz="8" w:space="0" w:color="auto"/>
              <w:right w:val="single" w:sz="8" w:space="0" w:color="auto"/>
            </w:tcBorders>
            <w:shd w:val="clear" w:color="auto" w:fill="F7CAAC"/>
            <w:vAlign w:val="center"/>
          </w:tcPr>
          <w:p w14:paraId="42F00AFC" w14:textId="77777777" w:rsidR="00223E33" w:rsidRPr="00A9330B" w:rsidRDefault="00223E33" w:rsidP="00B26D48">
            <w:pPr>
              <w:jc w:val="both"/>
              <w:rPr>
                <w:rFonts w:cs="Arial"/>
                <w:b/>
                <w:sz w:val="20"/>
                <w:szCs w:val="20"/>
              </w:rPr>
            </w:pPr>
            <w:r w:rsidRPr="00A9330B">
              <w:rPr>
                <w:rFonts w:cs="Arial"/>
                <w:b/>
                <w:sz w:val="20"/>
                <w:szCs w:val="20"/>
              </w:rPr>
              <w:t>III</w:t>
            </w:r>
          </w:p>
        </w:tc>
        <w:tc>
          <w:tcPr>
            <w:tcW w:w="3098" w:type="pct"/>
            <w:gridSpan w:val="4"/>
            <w:tcBorders>
              <w:top w:val="single" w:sz="12" w:space="0" w:color="auto"/>
              <w:left w:val="single" w:sz="8" w:space="0" w:color="auto"/>
              <w:right w:val="single" w:sz="4" w:space="0" w:color="auto"/>
            </w:tcBorders>
            <w:shd w:val="clear" w:color="auto" w:fill="F7CAAC"/>
            <w:vAlign w:val="center"/>
          </w:tcPr>
          <w:p w14:paraId="0DE22D42" w14:textId="77777777" w:rsidR="00223E33" w:rsidRPr="00A9330B" w:rsidRDefault="00223E33" w:rsidP="00B26D48">
            <w:pPr>
              <w:jc w:val="both"/>
              <w:rPr>
                <w:rFonts w:cs="Arial"/>
                <w:b/>
                <w:sz w:val="20"/>
                <w:szCs w:val="20"/>
              </w:rPr>
            </w:pPr>
            <w:r w:rsidRPr="00A9330B">
              <w:rPr>
                <w:rFonts w:cs="Arial"/>
                <w:b/>
                <w:sz w:val="20"/>
                <w:szCs w:val="20"/>
              </w:rPr>
              <w:t xml:space="preserve">PHASE D4EXPLOITATION ET D’ENTTRETIEN </w:t>
            </w:r>
          </w:p>
        </w:tc>
        <w:tc>
          <w:tcPr>
            <w:tcW w:w="752" w:type="pct"/>
            <w:tcBorders>
              <w:top w:val="single" w:sz="8" w:space="0" w:color="auto"/>
              <w:left w:val="single" w:sz="8" w:space="0" w:color="auto"/>
              <w:bottom w:val="single" w:sz="8" w:space="0" w:color="auto"/>
              <w:right w:val="single" w:sz="12" w:space="0" w:color="auto"/>
            </w:tcBorders>
            <w:shd w:val="clear" w:color="auto" w:fill="F7CAAC"/>
          </w:tcPr>
          <w:p w14:paraId="38EEE9EF" w14:textId="77777777" w:rsidR="00223E33" w:rsidRPr="00A9330B" w:rsidRDefault="00223E33" w:rsidP="00B26D48">
            <w:pPr>
              <w:jc w:val="both"/>
              <w:rPr>
                <w:rFonts w:cs="Arial"/>
                <w:b/>
                <w:sz w:val="20"/>
                <w:szCs w:val="20"/>
              </w:rPr>
            </w:pPr>
          </w:p>
        </w:tc>
        <w:tc>
          <w:tcPr>
            <w:tcW w:w="923" w:type="pct"/>
            <w:tcBorders>
              <w:top w:val="single" w:sz="8" w:space="0" w:color="auto"/>
              <w:left w:val="single" w:sz="8" w:space="0" w:color="auto"/>
              <w:bottom w:val="single" w:sz="8" w:space="0" w:color="auto"/>
              <w:right w:val="single" w:sz="12" w:space="0" w:color="auto"/>
            </w:tcBorders>
            <w:shd w:val="clear" w:color="auto" w:fill="F7CAAC"/>
          </w:tcPr>
          <w:p w14:paraId="40914F10" w14:textId="77777777" w:rsidR="00223E33" w:rsidRPr="00A9330B" w:rsidRDefault="00223E33" w:rsidP="00B26D48">
            <w:pPr>
              <w:jc w:val="both"/>
              <w:rPr>
                <w:rFonts w:cs="Arial"/>
                <w:b/>
                <w:sz w:val="20"/>
                <w:szCs w:val="20"/>
              </w:rPr>
            </w:pPr>
          </w:p>
        </w:tc>
      </w:tr>
      <w:tr w:rsidR="00223E33" w:rsidRPr="00A9330B" w14:paraId="634EC6E1" w14:textId="77777777" w:rsidTr="00B26D48">
        <w:trPr>
          <w:trHeight w:val="307"/>
        </w:trPr>
        <w:tc>
          <w:tcPr>
            <w:tcW w:w="227" w:type="pct"/>
            <w:tcBorders>
              <w:top w:val="single" w:sz="12" w:space="0" w:color="auto"/>
              <w:left w:val="single" w:sz="12" w:space="0" w:color="auto"/>
              <w:bottom w:val="single" w:sz="8" w:space="0" w:color="auto"/>
              <w:right w:val="single" w:sz="8" w:space="0" w:color="auto"/>
            </w:tcBorders>
            <w:shd w:val="clear" w:color="auto" w:fill="FFFFFF" w:themeFill="background1"/>
            <w:vAlign w:val="center"/>
          </w:tcPr>
          <w:p w14:paraId="1F5F4C3A" w14:textId="77777777" w:rsidR="00223E33" w:rsidRPr="00A9330B" w:rsidRDefault="00223E33" w:rsidP="00B26D48">
            <w:pPr>
              <w:jc w:val="both"/>
              <w:rPr>
                <w:rFonts w:cs="Arial"/>
                <w:b/>
                <w:sz w:val="20"/>
                <w:szCs w:val="20"/>
              </w:rPr>
            </w:pPr>
          </w:p>
        </w:tc>
        <w:tc>
          <w:tcPr>
            <w:tcW w:w="706" w:type="pct"/>
            <w:tcBorders>
              <w:left w:val="single" w:sz="8" w:space="0" w:color="auto"/>
              <w:bottom w:val="single" w:sz="8" w:space="0" w:color="auto"/>
              <w:right w:val="single" w:sz="4" w:space="0" w:color="auto"/>
            </w:tcBorders>
            <w:shd w:val="clear" w:color="auto" w:fill="FFFFFF" w:themeFill="background1"/>
            <w:vAlign w:val="center"/>
          </w:tcPr>
          <w:p w14:paraId="25FC184D" w14:textId="77777777" w:rsidR="00223E33" w:rsidRPr="00A9330B" w:rsidRDefault="00223E33" w:rsidP="00B26D48">
            <w:pPr>
              <w:jc w:val="both"/>
              <w:rPr>
                <w:rFonts w:cs="Arial"/>
                <w:b/>
                <w:sz w:val="20"/>
                <w:szCs w:val="20"/>
              </w:rPr>
            </w:pPr>
          </w:p>
        </w:tc>
        <w:tc>
          <w:tcPr>
            <w:tcW w:w="784" w:type="pct"/>
            <w:tcBorders>
              <w:left w:val="single" w:sz="8" w:space="0" w:color="auto"/>
              <w:bottom w:val="single" w:sz="8" w:space="0" w:color="auto"/>
              <w:right w:val="single" w:sz="4" w:space="0" w:color="auto"/>
            </w:tcBorders>
            <w:shd w:val="clear" w:color="auto" w:fill="FFFFFF" w:themeFill="background1"/>
            <w:vAlign w:val="center"/>
          </w:tcPr>
          <w:p w14:paraId="533D0389" w14:textId="77777777" w:rsidR="00223E33" w:rsidRPr="00A9330B" w:rsidRDefault="00223E33" w:rsidP="00B26D48">
            <w:pPr>
              <w:jc w:val="both"/>
              <w:rPr>
                <w:rFonts w:cs="Arial"/>
                <w:b/>
                <w:sz w:val="20"/>
                <w:szCs w:val="20"/>
              </w:rPr>
            </w:pPr>
          </w:p>
        </w:tc>
        <w:tc>
          <w:tcPr>
            <w:tcW w:w="863" w:type="pct"/>
            <w:tcBorders>
              <w:left w:val="single" w:sz="8" w:space="0" w:color="auto"/>
              <w:bottom w:val="single" w:sz="8" w:space="0" w:color="auto"/>
              <w:right w:val="single" w:sz="4" w:space="0" w:color="auto"/>
            </w:tcBorders>
            <w:shd w:val="clear" w:color="auto" w:fill="FFFFFF" w:themeFill="background1"/>
            <w:vAlign w:val="center"/>
          </w:tcPr>
          <w:p w14:paraId="66BD7622" w14:textId="77777777" w:rsidR="00223E33" w:rsidRPr="00A9330B" w:rsidRDefault="00223E33" w:rsidP="00B26D48">
            <w:pPr>
              <w:jc w:val="both"/>
              <w:rPr>
                <w:rFonts w:cs="Arial"/>
                <w:b/>
                <w:sz w:val="20"/>
                <w:szCs w:val="20"/>
              </w:rPr>
            </w:pPr>
          </w:p>
        </w:tc>
        <w:tc>
          <w:tcPr>
            <w:tcW w:w="745" w:type="pct"/>
            <w:tcBorders>
              <w:left w:val="single" w:sz="8" w:space="0" w:color="auto"/>
              <w:bottom w:val="single" w:sz="8" w:space="0" w:color="auto"/>
              <w:right w:val="single" w:sz="4" w:space="0" w:color="auto"/>
            </w:tcBorders>
            <w:shd w:val="clear" w:color="auto" w:fill="FFFFFF" w:themeFill="background1"/>
            <w:vAlign w:val="center"/>
          </w:tcPr>
          <w:p w14:paraId="0D69EE9D" w14:textId="77777777" w:rsidR="00223E33" w:rsidRPr="00A9330B" w:rsidRDefault="00223E33" w:rsidP="00B26D48">
            <w:pPr>
              <w:jc w:val="both"/>
              <w:rPr>
                <w:rFonts w:cs="Arial"/>
                <w:b/>
                <w:sz w:val="20"/>
                <w:szCs w:val="20"/>
              </w:rPr>
            </w:pPr>
          </w:p>
        </w:tc>
        <w:tc>
          <w:tcPr>
            <w:tcW w:w="752" w:type="pct"/>
            <w:tcBorders>
              <w:top w:val="single" w:sz="8" w:space="0" w:color="auto"/>
              <w:left w:val="single" w:sz="8" w:space="0" w:color="auto"/>
              <w:bottom w:val="single" w:sz="8" w:space="0" w:color="auto"/>
              <w:right w:val="single" w:sz="12" w:space="0" w:color="auto"/>
            </w:tcBorders>
            <w:shd w:val="clear" w:color="auto" w:fill="FFFFFF" w:themeFill="background1"/>
          </w:tcPr>
          <w:p w14:paraId="33F3C4F8" w14:textId="77777777" w:rsidR="00223E33" w:rsidRPr="00A9330B" w:rsidRDefault="00223E33" w:rsidP="00B26D48">
            <w:pPr>
              <w:jc w:val="both"/>
              <w:rPr>
                <w:rFonts w:cs="Arial"/>
                <w:b/>
                <w:sz w:val="20"/>
                <w:szCs w:val="20"/>
              </w:rPr>
            </w:pPr>
          </w:p>
        </w:tc>
        <w:tc>
          <w:tcPr>
            <w:tcW w:w="923" w:type="pct"/>
            <w:tcBorders>
              <w:top w:val="single" w:sz="8" w:space="0" w:color="auto"/>
              <w:left w:val="single" w:sz="8" w:space="0" w:color="auto"/>
              <w:bottom w:val="single" w:sz="8" w:space="0" w:color="auto"/>
              <w:right w:val="single" w:sz="12" w:space="0" w:color="auto"/>
            </w:tcBorders>
            <w:shd w:val="clear" w:color="auto" w:fill="FFFFFF" w:themeFill="background1"/>
          </w:tcPr>
          <w:p w14:paraId="29D81FF5" w14:textId="77777777" w:rsidR="00223E33" w:rsidRPr="00A9330B" w:rsidRDefault="00223E33" w:rsidP="00B26D48">
            <w:pPr>
              <w:jc w:val="both"/>
              <w:rPr>
                <w:rFonts w:cs="Arial"/>
                <w:b/>
                <w:sz w:val="20"/>
                <w:szCs w:val="20"/>
              </w:rPr>
            </w:pPr>
          </w:p>
        </w:tc>
      </w:tr>
      <w:tr w:rsidR="00223E33" w:rsidRPr="00A9330B" w14:paraId="3CACF452" w14:textId="77777777" w:rsidTr="00B26D48">
        <w:trPr>
          <w:trHeight w:val="307"/>
        </w:trPr>
        <w:tc>
          <w:tcPr>
            <w:tcW w:w="227" w:type="pct"/>
            <w:tcBorders>
              <w:top w:val="single" w:sz="12" w:space="0" w:color="auto"/>
              <w:left w:val="single" w:sz="12" w:space="0" w:color="auto"/>
              <w:bottom w:val="single" w:sz="8" w:space="0" w:color="auto"/>
              <w:right w:val="single" w:sz="8" w:space="0" w:color="auto"/>
            </w:tcBorders>
            <w:shd w:val="clear" w:color="auto" w:fill="FFFFFF" w:themeFill="background1"/>
            <w:vAlign w:val="center"/>
          </w:tcPr>
          <w:p w14:paraId="60308D83" w14:textId="77777777" w:rsidR="00223E33" w:rsidRPr="00A9330B" w:rsidRDefault="00223E33" w:rsidP="00B26D48">
            <w:pPr>
              <w:jc w:val="both"/>
              <w:rPr>
                <w:rFonts w:cs="Arial"/>
                <w:b/>
                <w:sz w:val="20"/>
                <w:szCs w:val="20"/>
              </w:rPr>
            </w:pPr>
          </w:p>
        </w:tc>
        <w:tc>
          <w:tcPr>
            <w:tcW w:w="706" w:type="pct"/>
            <w:tcBorders>
              <w:left w:val="single" w:sz="8" w:space="0" w:color="auto"/>
              <w:bottom w:val="single" w:sz="8" w:space="0" w:color="auto"/>
              <w:right w:val="single" w:sz="4" w:space="0" w:color="auto"/>
            </w:tcBorders>
            <w:shd w:val="clear" w:color="auto" w:fill="FFFFFF" w:themeFill="background1"/>
            <w:vAlign w:val="center"/>
          </w:tcPr>
          <w:p w14:paraId="41B1CA62" w14:textId="77777777" w:rsidR="00223E33" w:rsidRPr="00A9330B" w:rsidRDefault="00223E33" w:rsidP="00B26D48">
            <w:pPr>
              <w:jc w:val="both"/>
              <w:rPr>
                <w:rFonts w:cs="Arial"/>
                <w:b/>
                <w:sz w:val="20"/>
                <w:szCs w:val="20"/>
              </w:rPr>
            </w:pPr>
          </w:p>
        </w:tc>
        <w:tc>
          <w:tcPr>
            <w:tcW w:w="784" w:type="pct"/>
            <w:tcBorders>
              <w:left w:val="single" w:sz="8" w:space="0" w:color="auto"/>
              <w:bottom w:val="single" w:sz="8" w:space="0" w:color="auto"/>
              <w:right w:val="single" w:sz="4" w:space="0" w:color="auto"/>
            </w:tcBorders>
            <w:shd w:val="clear" w:color="auto" w:fill="FFFFFF" w:themeFill="background1"/>
            <w:vAlign w:val="center"/>
          </w:tcPr>
          <w:p w14:paraId="5CADEBBD" w14:textId="77777777" w:rsidR="00223E33" w:rsidRPr="00A9330B" w:rsidRDefault="00223E33" w:rsidP="00B26D48">
            <w:pPr>
              <w:jc w:val="both"/>
              <w:rPr>
                <w:rFonts w:cs="Arial"/>
                <w:b/>
                <w:sz w:val="20"/>
                <w:szCs w:val="20"/>
              </w:rPr>
            </w:pPr>
          </w:p>
        </w:tc>
        <w:tc>
          <w:tcPr>
            <w:tcW w:w="863" w:type="pct"/>
            <w:tcBorders>
              <w:left w:val="single" w:sz="8" w:space="0" w:color="auto"/>
              <w:bottom w:val="single" w:sz="8" w:space="0" w:color="auto"/>
              <w:right w:val="single" w:sz="4" w:space="0" w:color="auto"/>
            </w:tcBorders>
            <w:shd w:val="clear" w:color="auto" w:fill="FFFFFF" w:themeFill="background1"/>
            <w:vAlign w:val="center"/>
          </w:tcPr>
          <w:p w14:paraId="17399F35" w14:textId="77777777" w:rsidR="00223E33" w:rsidRPr="00A9330B" w:rsidRDefault="00223E33" w:rsidP="00B26D48">
            <w:pPr>
              <w:jc w:val="both"/>
              <w:rPr>
                <w:rFonts w:cs="Arial"/>
                <w:b/>
                <w:sz w:val="20"/>
                <w:szCs w:val="20"/>
              </w:rPr>
            </w:pPr>
          </w:p>
        </w:tc>
        <w:tc>
          <w:tcPr>
            <w:tcW w:w="745" w:type="pct"/>
            <w:tcBorders>
              <w:left w:val="single" w:sz="8" w:space="0" w:color="auto"/>
              <w:bottom w:val="single" w:sz="8" w:space="0" w:color="auto"/>
              <w:right w:val="single" w:sz="4" w:space="0" w:color="auto"/>
            </w:tcBorders>
            <w:shd w:val="clear" w:color="auto" w:fill="FFFFFF" w:themeFill="background1"/>
            <w:vAlign w:val="center"/>
          </w:tcPr>
          <w:p w14:paraId="189D7D29" w14:textId="77777777" w:rsidR="00223E33" w:rsidRPr="00A9330B" w:rsidRDefault="00223E33" w:rsidP="00B26D48">
            <w:pPr>
              <w:jc w:val="both"/>
              <w:rPr>
                <w:rFonts w:cs="Arial"/>
                <w:b/>
                <w:sz w:val="20"/>
                <w:szCs w:val="20"/>
              </w:rPr>
            </w:pPr>
          </w:p>
        </w:tc>
        <w:tc>
          <w:tcPr>
            <w:tcW w:w="752" w:type="pct"/>
            <w:tcBorders>
              <w:top w:val="single" w:sz="8" w:space="0" w:color="auto"/>
              <w:left w:val="single" w:sz="8" w:space="0" w:color="auto"/>
              <w:bottom w:val="single" w:sz="8" w:space="0" w:color="auto"/>
              <w:right w:val="single" w:sz="12" w:space="0" w:color="auto"/>
            </w:tcBorders>
            <w:shd w:val="clear" w:color="auto" w:fill="FFFFFF" w:themeFill="background1"/>
          </w:tcPr>
          <w:p w14:paraId="6CD75D9E" w14:textId="77777777" w:rsidR="00223E33" w:rsidRPr="00A9330B" w:rsidRDefault="00223E33" w:rsidP="00B26D48">
            <w:pPr>
              <w:jc w:val="both"/>
              <w:rPr>
                <w:rFonts w:cs="Arial"/>
                <w:b/>
                <w:sz w:val="20"/>
                <w:szCs w:val="20"/>
              </w:rPr>
            </w:pPr>
          </w:p>
        </w:tc>
        <w:tc>
          <w:tcPr>
            <w:tcW w:w="923" w:type="pct"/>
            <w:tcBorders>
              <w:top w:val="single" w:sz="8" w:space="0" w:color="auto"/>
              <w:left w:val="single" w:sz="8" w:space="0" w:color="auto"/>
              <w:bottom w:val="single" w:sz="8" w:space="0" w:color="auto"/>
              <w:right w:val="single" w:sz="12" w:space="0" w:color="auto"/>
            </w:tcBorders>
            <w:shd w:val="clear" w:color="auto" w:fill="FFFFFF" w:themeFill="background1"/>
          </w:tcPr>
          <w:p w14:paraId="1D2F5A6E" w14:textId="77777777" w:rsidR="00223E33" w:rsidRPr="00A9330B" w:rsidRDefault="00223E33" w:rsidP="00B26D48">
            <w:pPr>
              <w:jc w:val="both"/>
              <w:rPr>
                <w:rFonts w:cs="Arial"/>
                <w:b/>
                <w:sz w:val="20"/>
                <w:szCs w:val="20"/>
              </w:rPr>
            </w:pPr>
          </w:p>
        </w:tc>
      </w:tr>
      <w:tr w:rsidR="00223E33" w:rsidRPr="00A9330B" w14:paraId="606020C9" w14:textId="77777777" w:rsidTr="00B26D48">
        <w:trPr>
          <w:trHeight w:val="307"/>
        </w:trPr>
        <w:tc>
          <w:tcPr>
            <w:tcW w:w="227" w:type="pct"/>
            <w:tcBorders>
              <w:top w:val="single" w:sz="12" w:space="0" w:color="auto"/>
              <w:left w:val="single" w:sz="12" w:space="0" w:color="auto"/>
              <w:bottom w:val="single" w:sz="8" w:space="0" w:color="auto"/>
              <w:right w:val="single" w:sz="8" w:space="0" w:color="auto"/>
            </w:tcBorders>
            <w:shd w:val="clear" w:color="auto" w:fill="FFFFFF" w:themeFill="background1"/>
            <w:vAlign w:val="center"/>
          </w:tcPr>
          <w:p w14:paraId="5225B6C5" w14:textId="77777777" w:rsidR="00223E33" w:rsidRPr="00A9330B" w:rsidRDefault="00223E33" w:rsidP="00B26D48">
            <w:pPr>
              <w:jc w:val="both"/>
              <w:rPr>
                <w:rFonts w:cs="Arial"/>
                <w:b/>
                <w:sz w:val="20"/>
                <w:szCs w:val="20"/>
              </w:rPr>
            </w:pPr>
          </w:p>
        </w:tc>
        <w:tc>
          <w:tcPr>
            <w:tcW w:w="706" w:type="pct"/>
            <w:tcBorders>
              <w:left w:val="single" w:sz="8" w:space="0" w:color="auto"/>
              <w:bottom w:val="single" w:sz="8" w:space="0" w:color="auto"/>
              <w:right w:val="single" w:sz="4" w:space="0" w:color="auto"/>
            </w:tcBorders>
            <w:shd w:val="clear" w:color="auto" w:fill="FFFFFF" w:themeFill="background1"/>
            <w:vAlign w:val="center"/>
          </w:tcPr>
          <w:p w14:paraId="0BE17A43" w14:textId="77777777" w:rsidR="00223E33" w:rsidRPr="00A9330B" w:rsidRDefault="00223E33" w:rsidP="00B26D48">
            <w:pPr>
              <w:jc w:val="both"/>
              <w:rPr>
                <w:rFonts w:cs="Arial"/>
                <w:b/>
                <w:sz w:val="20"/>
                <w:szCs w:val="20"/>
              </w:rPr>
            </w:pPr>
          </w:p>
        </w:tc>
        <w:tc>
          <w:tcPr>
            <w:tcW w:w="784" w:type="pct"/>
            <w:tcBorders>
              <w:left w:val="single" w:sz="8" w:space="0" w:color="auto"/>
              <w:bottom w:val="single" w:sz="8" w:space="0" w:color="auto"/>
              <w:right w:val="single" w:sz="4" w:space="0" w:color="auto"/>
            </w:tcBorders>
            <w:shd w:val="clear" w:color="auto" w:fill="FFFFFF" w:themeFill="background1"/>
            <w:vAlign w:val="center"/>
          </w:tcPr>
          <w:p w14:paraId="641C15E2" w14:textId="77777777" w:rsidR="00223E33" w:rsidRPr="00A9330B" w:rsidRDefault="00223E33" w:rsidP="00B26D48">
            <w:pPr>
              <w:jc w:val="both"/>
              <w:rPr>
                <w:rFonts w:cs="Arial"/>
                <w:b/>
                <w:sz w:val="20"/>
                <w:szCs w:val="20"/>
              </w:rPr>
            </w:pPr>
          </w:p>
        </w:tc>
        <w:tc>
          <w:tcPr>
            <w:tcW w:w="863" w:type="pct"/>
            <w:tcBorders>
              <w:left w:val="single" w:sz="8" w:space="0" w:color="auto"/>
              <w:bottom w:val="single" w:sz="8" w:space="0" w:color="auto"/>
              <w:right w:val="single" w:sz="4" w:space="0" w:color="auto"/>
            </w:tcBorders>
            <w:shd w:val="clear" w:color="auto" w:fill="FFFFFF" w:themeFill="background1"/>
            <w:vAlign w:val="center"/>
          </w:tcPr>
          <w:p w14:paraId="24806C20" w14:textId="77777777" w:rsidR="00223E33" w:rsidRPr="00A9330B" w:rsidRDefault="00223E33" w:rsidP="00B26D48">
            <w:pPr>
              <w:jc w:val="both"/>
              <w:rPr>
                <w:rFonts w:cs="Arial"/>
                <w:b/>
                <w:sz w:val="20"/>
                <w:szCs w:val="20"/>
              </w:rPr>
            </w:pPr>
          </w:p>
        </w:tc>
        <w:tc>
          <w:tcPr>
            <w:tcW w:w="745" w:type="pct"/>
            <w:tcBorders>
              <w:left w:val="single" w:sz="8" w:space="0" w:color="auto"/>
              <w:bottom w:val="single" w:sz="8" w:space="0" w:color="auto"/>
              <w:right w:val="single" w:sz="4" w:space="0" w:color="auto"/>
            </w:tcBorders>
            <w:shd w:val="clear" w:color="auto" w:fill="FFFFFF" w:themeFill="background1"/>
            <w:vAlign w:val="center"/>
          </w:tcPr>
          <w:p w14:paraId="6DC0C61D" w14:textId="77777777" w:rsidR="00223E33" w:rsidRPr="00A9330B" w:rsidRDefault="00223E33" w:rsidP="00B26D48">
            <w:pPr>
              <w:jc w:val="both"/>
              <w:rPr>
                <w:rFonts w:cs="Arial"/>
                <w:b/>
                <w:sz w:val="20"/>
                <w:szCs w:val="20"/>
              </w:rPr>
            </w:pPr>
          </w:p>
        </w:tc>
        <w:tc>
          <w:tcPr>
            <w:tcW w:w="752" w:type="pct"/>
            <w:tcBorders>
              <w:top w:val="single" w:sz="8" w:space="0" w:color="auto"/>
              <w:left w:val="single" w:sz="8" w:space="0" w:color="auto"/>
              <w:bottom w:val="single" w:sz="8" w:space="0" w:color="auto"/>
              <w:right w:val="single" w:sz="12" w:space="0" w:color="auto"/>
            </w:tcBorders>
            <w:shd w:val="clear" w:color="auto" w:fill="FFFFFF" w:themeFill="background1"/>
          </w:tcPr>
          <w:p w14:paraId="177D331C" w14:textId="77777777" w:rsidR="00223E33" w:rsidRPr="00A9330B" w:rsidRDefault="00223E33" w:rsidP="00B26D48">
            <w:pPr>
              <w:jc w:val="both"/>
              <w:rPr>
                <w:rFonts w:cs="Arial"/>
                <w:b/>
                <w:sz w:val="20"/>
                <w:szCs w:val="20"/>
              </w:rPr>
            </w:pPr>
          </w:p>
        </w:tc>
        <w:tc>
          <w:tcPr>
            <w:tcW w:w="923" w:type="pct"/>
            <w:tcBorders>
              <w:top w:val="single" w:sz="8" w:space="0" w:color="auto"/>
              <w:left w:val="single" w:sz="8" w:space="0" w:color="auto"/>
              <w:bottom w:val="single" w:sz="8" w:space="0" w:color="auto"/>
              <w:right w:val="single" w:sz="12" w:space="0" w:color="auto"/>
            </w:tcBorders>
            <w:shd w:val="clear" w:color="auto" w:fill="FFFFFF" w:themeFill="background1"/>
          </w:tcPr>
          <w:p w14:paraId="391E744B" w14:textId="77777777" w:rsidR="00223E33" w:rsidRPr="00A9330B" w:rsidRDefault="00223E33" w:rsidP="00B26D48">
            <w:pPr>
              <w:jc w:val="both"/>
              <w:rPr>
                <w:rFonts w:cs="Arial"/>
                <w:b/>
                <w:sz w:val="20"/>
                <w:szCs w:val="20"/>
              </w:rPr>
            </w:pPr>
          </w:p>
        </w:tc>
      </w:tr>
    </w:tbl>
    <w:p w14:paraId="52168787" w14:textId="03345FAF" w:rsidR="00AB04ED" w:rsidRPr="00A9330B" w:rsidRDefault="00AB04ED" w:rsidP="00AB04ED">
      <w:pPr>
        <w:jc w:val="both"/>
      </w:pPr>
      <w:r w:rsidRPr="00A9330B">
        <w:t xml:space="preserve">On distingue les mesures relatives à la protection du milieu biophysique et humain </w:t>
      </w:r>
      <w:r w:rsidR="007C043F" w:rsidRPr="00A9330B">
        <w:t xml:space="preserve">qui </w:t>
      </w:r>
      <w:r w:rsidRPr="00A9330B">
        <w:t>concerneront toutes les mesures que l’entreprise devra prendre pour la protection du milieu naturel (sols, air, eau, végétation et la faune) et humain aussi bien pendant la phase de préparation et d’installation du chantier que lors de l’exécution des travaux et à la fin des travaux. Ces mesures d’ordre administratif et technique sont consignées dans les clauses techniques environnementales des travaux.</w:t>
      </w:r>
    </w:p>
    <w:p w14:paraId="455A1757" w14:textId="4BD50757" w:rsidR="00AB04ED" w:rsidRPr="00A9330B" w:rsidRDefault="00AB04ED" w:rsidP="00AB04ED">
      <w:pPr>
        <w:jc w:val="both"/>
        <w:rPr>
          <w:rFonts w:cs="Arial"/>
        </w:rPr>
      </w:pPr>
      <w:r w:rsidRPr="00A9330B">
        <w:rPr>
          <w:rFonts w:cs="Arial"/>
        </w:rPr>
        <w:t xml:space="preserve">Les autres mesures notamment les mesures de compensation, de réduction des nuisances ou de suppression permettent en général de limiter les impacts aux pertes de biens et de ressources, </w:t>
      </w:r>
      <w:r w:rsidR="007C043F" w:rsidRPr="00A9330B">
        <w:rPr>
          <w:rFonts w:cs="Arial"/>
        </w:rPr>
        <w:t xml:space="preserve">de </w:t>
      </w:r>
      <w:r w:rsidRPr="00A9330B">
        <w:rPr>
          <w:rFonts w:cs="Arial"/>
        </w:rPr>
        <w:t>suppression des nuisances seront intégrées au plan de gestion environnementale et sociale (PGES).</w:t>
      </w:r>
    </w:p>
    <w:p w14:paraId="5FD8005B" w14:textId="77777777" w:rsidR="00AB04ED" w:rsidRPr="00A9330B" w:rsidRDefault="00AB04ED" w:rsidP="0064324E">
      <w:pPr>
        <w:pStyle w:val="Titre40"/>
      </w:pPr>
      <w:bookmarkStart w:id="581" w:name="_Toc45520764"/>
      <w:bookmarkStart w:id="582" w:name="_Toc52869572"/>
      <w:r w:rsidRPr="00A9330B">
        <w:t xml:space="preserve">1.3.4.5. </w:t>
      </w:r>
      <w:bookmarkStart w:id="583" w:name="_Toc7399529"/>
      <w:bookmarkStart w:id="584" w:name="_Toc11335501"/>
      <w:r w:rsidRPr="00A9330B">
        <w:t>Risques et accidents technologiques</w:t>
      </w:r>
      <w:bookmarkEnd w:id="581"/>
      <w:bookmarkEnd w:id="582"/>
      <w:bookmarkEnd w:id="583"/>
      <w:bookmarkEnd w:id="584"/>
    </w:p>
    <w:p w14:paraId="7C927A0C" w14:textId="77777777" w:rsidR="00AB04ED" w:rsidRPr="00A9330B" w:rsidRDefault="00AB04ED" w:rsidP="00AB04ED">
      <w:pPr>
        <w:jc w:val="both"/>
        <w:rPr>
          <w:rFonts w:cs="Arial"/>
        </w:rPr>
      </w:pPr>
      <w:r w:rsidRPr="00A9330B">
        <w:rPr>
          <w:rFonts w:cs="Arial"/>
        </w:rPr>
        <w:t>Certains projets peuvent comporter des risques importants pour l’environnement ou la santé publique. L’étude d’impact fournit une analyse de risques et accidents technologiques à cet effet.</w:t>
      </w:r>
    </w:p>
    <w:p w14:paraId="1A611A25" w14:textId="77777777" w:rsidR="00AB04ED" w:rsidRPr="00A9330B" w:rsidRDefault="00AB04ED" w:rsidP="00AB04ED">
      <w:pPr>
        <w:jc w:val="both"/>
        <w:rPr>
          <w:szCs w:val="24"/>
        </w:rPr>
      </w:pPr>
      <w:r w:rsidRPr="00A9330B">
        <w:t xml:space="preserve">Le </w:t>
      </w:r>
      <w:r w:rsidRPr="00A9330B">
        <w:rPr>
          <w:u w:val="single"/>
        </w:rPr>
        <w:t>danger</w:t>
      </w:r>
      <w:r w:rsidRPr="00A9330B">
        <w:t xml:space="preserve"> est un ensemble de processus qui déroule l’enchaînement d’événements conduisant à un évènement non souhaité (ENS) pouvant avoir un impact, en général destructeur, sur une ou plusieurs cibles possibles i) </w:t>
      </w:r>
      <w:r w:rsidRPr="00A9330B">
        <w:rPr>
          <w:szCs w:val="24"/>
        </w:rPr>
        <w:t>un ou des individus ii) une ou des populations, iii) un ou des écosystèmes….</w:t>
      </w:r>
    </w:p>
    <w:p w14:paraId="1A34B39E" w14:textId="77777777" w:rsidR="00AB04ED" w:rsidRPr="00A9330B" w:rsidRDefault="00AB04ED" w:rsidP="00AB04ED">
      <w:pPr>
        <w:jc w:val="both"/>
        <w:rPr>
          <w:rFonts w:cs="Arial"/>
        </w:rPr>
      </w:pPr>
      <w:r w:rsidRPr="00A9330B">
        <w:rPr>
          <w:rFonts w:cs="Arial"/>
        </w:rPr>
        <w:t xml:space="preserve">Les potentiels dangers inhérents aux activités de construction et d’aménagement prévus (terrassement, fouilles, transport de matériels et matériaux, conduite dangereuse, etc.) dans le cadre du présent projet et les phénomènes dangereux y associés sont identifiés à l’aide de la grille d’évaluation qui repose sur trois critères :  </w:t>
      </w:r>
    </w:p>
    <w:p w14:paraId="72DB7462" w14:textId="77777777" w:rsidR="00AB04ED" w:rsidRPr="00A9330B" w:rsidRDefault="00AB04ED" w:rsidP="000F7BA7">
      <w:pPr>
        <w:pStyle w:val="Igip1"/>
        <w:numPr>
          <w:ilvl w:val="0"/>
          <w:numId w:val="31"/>
        </w:numPr>
        <w:spacing w:before="120" w:after="0"/>
        <w:ind w:left="714" w:hanging="357"/>
        <w:jc w:val="both"/>
        <w:rPr>
          <w:b w:val="0"/>
        </w:rPr>
      </w:pPr>
      <w:r w:rsidRPr="00A9330B">
        <w:rPr>
          <w:b w:val="0"/>
        </w:rPr>
        <w:t xml:space="preserve">la </w:t>
      </w:r>
      <w:r w:rsidRPr="00A9330B">
        <w:rPr>
          <w:b w:val="0"/>
          <w:u w:val="single"/>
        </w:rPr>
        <w:t>probabilité</w:t>
      </w:r>
      <w:r w:rsidRPr="00A9330B">
        <w:rPr>
          <w:b w:val="0"/>
        </w:rPr>
        <w:t xml:space="preserve"> est comprise comme la probabilité d’enchaînement des événements conduisant à l’ENS. </w:t>
      </w:r>
    </w:p>
    <w:p w14:paraId="680CD873" w14:textId="77777777" w:rsidR="00AB04ED" w:rsidRPr="00A9330B" w:rsidRDefault="00AB04ED" w:rsidP="000F7BA7">
      <w:pPr>
        <w:pStyle w:val="Igip1"/>
        <w:numPr>
          <w:ilvl w:val="0"/>
          <w:numId w:val="31"/>
        </w:numPr>
        <w:spacing w:before="120" w:after="0"/>
        <w:ind w:left="714" w:hanging="357"/>
        <w:jc w:val="both"/>
        <w:rPr>
          <w:b w:val="0"/>
        </w:rPr>
      </w:pPr>
      <w:r w:rsidRPr="00A9330B">
        <w:rPr>
          <w:b w:val="0"/>
        </w:rPr>
        <w:t xml:space="preserve">la </w:t>
      </w:r>
      <w:r w:rsidRPr="00A9330B">
        <w:rPr>
          <w:b w:val="0"/>
          <w:u w:val="single"/>
        </w:rPr>
        <w:t xml:space="preserve">gravité </w:t>
      </w:r>
      <w:r w:rsidRPr="00A9330B">
        <w:rPr>
          <w:b w:val="0"/>
        </w:rPr>
        <w:t xml:space="preserve">est définie par l’effet des ENS sur les cibles. </w:t>
      </w:r>
    </w:p>
    <w:p w14:paraId="4FD88F90" w14:textId="77777777" w:rsidR="00AB04ED" w:rsidRPr="00A9330B" w:rsidRDefault="00AB04ED" w:rsidP="000F7BA7">
      <w:pPr>
        <w:pStyle w:val="Igip1"/>
        <w:numPr>
          <w:ilvl w:val="0"/>
          <w:numId w:val="31"/>
        </w:numPr>
        <w:spacing w:before="120" w:after="0"/>
        <w:ind w:left="714" w:hanging="357"/>
        <w:jc w:val="both"/>
        <w:rPr>
          <w:b w:val="0"/>
        </w:rPr>
      </w:pPr>
      <w:r w:rsidRPr="00A9330B">
        <w:rPr>
          <w:b w:val="0"/>
        </w:rPr>
        <w:t>enfin l’</w:t>
      </w:r>
      <w:r w:rsidRPr="00A9330B">
        <w:rPr>
          <w:b w:val="0"/>
          <w:u w:val="single"/>
        </w:rPr>
        <w:t>acceptabilité</w:t>
      </w:r>
      <w:r w:rsidRPr="00A9330B">
        <w:rPr>
          <w:b w:val="0"/>
        </w:rPr>
        <w:t xml:space="preserve"> est comprise comme acceptabilité de l’ENS. </w:t>
      </w:r>
    </w:p>
    <w:p w14:paraId="420874B5" w14:textId="1B65205D" w:rsidR="00AB04ED" w:rsidRPr="00A9330B" w:rsidRDefault="00AB04ED" w:rsidP="000F7BA7">
      <w:pPr>
        <w:pStyle w:val="Igip1"/>
        <w:jc w:val="both"/>
        <w:rPr>
          <w:b w:val="0"/>
        </w:rPr>
      </w:pPr>
      <w:r w:rsidRPr="00A9330B">
        <w:rPr>
          <w:b w:val="0"/>
        </w:rPr>
        <w:lastRenderedPageBreak/>
        <w:t>Les niveaux de probabilité sont choisis de « très improbable » à très probable » et les niveaux de gravité de « faible</w:t>
      </w:r>
      <w:r w:rsidR="004943A0" w:rsidRPr="00A9330B">
        <w:rPr>
          <w:b w:val="0"/>
        </w:rPr>
        <w:t> »</w:t>
      </w:r>
      <w:r w:rsidRPr="00A9330B">
        <w:rPr>
          <w:b w:val="0"/>
        </w:rPr>
        <w:t xml:space="preserve"> à</w:t>
      </w:r>
      <w:r w:rsidR="004943A0" w:rsidRPr="00A9330B">
        <w:rPr>
          <w:b w:val="0"/>
        </w:rPr>
        <w:t> </w:t>
      </w:r>
      <w:r w:rsidRPr="00A9330B">
        <w:rPr>
          <w:b w:val="0"/>
        </w:rPr>
        <w:t xml:space="preserve"> </w:t>
      </w:r>
      <w:r w:rsidR="004943A0" w:rsidRPr="00A9330B">
        <w:rPr>
          <w:b w:val="0"/>
        </w:rPr>
        <w:t>« </w:t>
      </w:r>
      <w:r w:rsidRPr="00A9330B">
        <w:rPr>
          <w:b w:val="0"/>
        </w:rPr>
        <w:t>très grave », comme détaillé dans le tableau suivant.</w:t>
      </w:r>
    </w:p>
    <w:p w14:paraId="70305E48" w14:textId="43DABEE1" w:rsidR="00AB04ED" w:rsidRPr="00A9330B" w:rsidRDefault="00AB04ED" w:rsidP="00BA18AC">
      <w:pPr>
        <w:spacing w:after="120"/>
        <w:ind w:left="708" w:firstLine="708"/>
        <w:rPr>
          <w:b/>
          <w:sz w:val="20"/>
          <w:szCs w:val="20"/>
        </w:rPr>
      </w:pPr>
      <w:bookmarkStart w:id="585" w:name="_Toc447877210"/>
      <w:bookmarkStart w:id="586" w:name="_Toc472330392"/>
      <w:bookmarkStart w:id="587" w:name="_Toc52873732"/>
      <w:r w:rsidRPr="00A9330B">
        <w:rPr>
          <w:b/>
          <w:sz w:val="20"/>
          <w:szCs w:val="20"/>
        </w:rPr>
        <w:t xml:space="preserve">Tableau </w:t>
      </w:r>
      <w:r w:rsidRPr="00A9330B">
        <w:rPr>
          <w:b/>
          <w:sz w:val="20"/>
          <w:szCs w:val="20"/>
        </w:rPr>
        <w:fldChar w:fldCharType="begin"/>
      </w:r>
      <w:r w:rsidRPr="00A9330B">
        <w:rPr>
          <w:b/>
          <w:sz w:val="20"/>
          <w:szCs w:val="20"/>
        </w:rPr>
        <w:instrText xml:space="preserve"> SEQ Tableau \* ARABIC </w:instrText>
      </w:r>
      <w:r w:rsidRPr="00A9330B">
        <w:rPr>
          <w:b/>
          <w:sz w:val="20"/>
          <w:szCs w:val="20"/>
        </w:rPr>
        <w:fldChar w:fldCharType="separate"/>
      </w:r>
      <w:r w:rsidR="00417D31" w:rsidRPr="00A9330B">
        <w:rPr>
          <w:b/>
          <w:noProof/>
          <w:sz w:val="20"/>
          <w:szCs w:val="20"/>
        </w:rPr>
        <w:t>8</w:t>
      </w:r>
      <w:r w:rsidRPr="00A9330B">
        <w:rPr>
          <w:b/>
          <w:sz w:val="20"/>
          <w:szCs w:val="20"/>
        </w:rPr>
        <w:fldChar w:fldCharType="end"/>
      </w:r>
      <w:r w:rsidRPr="00A9330B">
        <w:rPr>
          <w:b/>
          <w:sz w:val="20"/>
          <w:szCs w:val="20"/>
        </w:rPr>
        <w:t xml:space="preserve"> : Grille d’évaluation des risques</w:t>
      </w:r>
      <w:bookmarkEnd w:id="585"/>
      <w:bookmarkEnd w:id="586"/>
      <w:bookmarkEnd w:id="587"/>
    </w:p>
    <w:tbl>
      <w:tblPr>
        <w:tblStyle w:val="Grilledutableau"/>
        <w:tblW w:w="0" w:type="auto"/>
        <w:tblLook w:val="04A0" w:firstRow="1" w:lastRow="0" w:firstColumn="1" w:lastColumn="0" w:noHBand="0" w:noVBand="1"/>
      </w:tblPr>
      <w:tblGrid>
        <w:gridCol w:w="1271"/>
        <w:gridCol w:w="1843"/>
        <w:gridCol w:w="1984"/>
        <w:gridCol w:w="3544"/>
      </w:tblGrid>
      <w:tr w:rsidR="00AB04ED" w:rsidRPr="00A9330B" w14:paraId="76FF1D5D" w14:textId="77777777" w:rsidTr="00701C80">
        <w:tc>
          <w:tcPr>
            <w:tcW w:w="3114" w:type="dxa"/>
            <w:gridSpan w:val="2"/>
            <w:shd w:val="clear" w:color="auto" w:fill="D9E2F3" w:themeFill="accent5" w:themeFillTint="33"/>
          </w:tcPr>
          <w:p w14:paraId="0A9DE3D9" w14:textId="77777777" w:rsidR="00AB04ED" w:rsidRPr="00A9330B" w:rsidRDefault="00AB04ED" w:rsidP="00701C80">
            <w:pPr>
              <w:spacing w:before="60"/>
              <w:rPr>
                <w:b/>
                <w:sz w:val="18"/>
                <w:szCs w:val="18"/>
              </w:rPr>
            </w:pPr>
            <w:r w:rsidRPr="00A9330B">
              <w:rPr>
                <w:b/>
                <w:sz w:val="18"/>
                <w:szCs w:val="18"/>
              </w:rPr>
              <w:t>Echelle de probabilité (P)</w:t>
            </w:r>
          </w:p>
        </w:tc>
        <w:tc>
          <w:tcPr>
            <w:tcW w:w="5528" w:type="dxa"/>
            <w:gridSpan w:val="2"/>
            <w:shd w:val="clear" w:color="auto" w:fill="D9E2F3" w:themeFill="accent5" w:themeFillTint="33"/>
          </w:tcPr>
          <w:p w14:paraId="663AC0B0" w14:textId="77777777" w:rsidR="00AB04ED" w:rsidRPr="00A9330B" w:rsidRDefault="00AB04ED" w:rsidP="00701C80">
            <w:pPr>
              <w:spacing w:before="60"/>
              <w:rPr>
                <w:b/>
                <w:sz w:val="18"/>
                <w:szCs w:val="18"/>
              </w:rPr>
            </w:pPr>
            <w:r w:rsidRPr="00A9330B">
              <w:rPr>
                <w:b/>
                <w:sz w:val="18"/>
                <w:szCs w:val="18"/>
              </w:rPr>
              <w:t>Echelle de gravité (G)</w:t>
            </w:r>
          </w:p>
        </w:tc>
      </w:tr>
      <w:tr w:rsidR="00AB04ED" w:rsidRPr="00A9330B" w14:paraId="6C23CAFF" w14:textId="77777777" w:rsidTr="00701C80">
        <w:tc>
          <w:tcPr>
            <w:tcW w:w="1271" w:type="dxa"/>
            <w:shd w:val="clear" w:color="auto" w:fill="D9E2F3" w:themeFill="accent5" w:themeFillTint="33"/>
          </w:tcPr>
          <w:p w14:paraId="34167B89" w14:textId="77777777" w:rsidR="00AB04ED" w:rsidRPr="00A9330B" w:rsidRDefault="00AB04ED" w:rsidP="00701C80">
            <w:pPr>
              <w:spacing w:before="60"/>
              <w:rPr>
                <w:b/>
                <w:sz w:val="18"/>
                <w:szCs w:val="18"/>
              </w:rPr>
            </w:pPr>
            <w:r w:rsidRPr="00A9330B">
              <w:rPr>
                <w:b/>
                <w:sz w:val="18"/>
                <w:szCs w:val="18"/>
              </w:rPr>
              <w:t xml:space="preserve">Niveau </w:t>
            </w:r>
          </w:p>
        </w:tc>
        <w:tc>
          <w:tcPr>
            <w:tcW w:w="1843" w:type="dxa"/>
            <w:shd w:val="clear" w:color="auto" w:fill="D9E2F3" w:themeFill="accent5" w:themeFillTint="33"/>
          </w:tcPr>
          <w:p w14:paraId="5D8E0F42" w14:textId="77777777" w:rsidR="00AB04ED" w:rsidRPr="00A9330B" w:rsidRDefault="00AB04ED" w:rsidP="00701C80">
            <w:pPr>
              <w:spacing w:before="60"/>
              <w:rPr>
                <w:b/>
                <w:sz w:val="18"/>
                <w:szCs w:val="18"/>
              </w:rPr>
            </w:pPr>
            <w:r w:rsidRPr="00A9330B">
              <w:rPr>
                <w:b/>
                <w:sz w:val="18"/>
                <w:szCs w:val="18"/>
              </w:rPr>
              <w:t xml:space="preserve">Signification </w:t>
            </w:r>
          </w:p>
        </w:tc>
        <w:tc>
          <w:tcPr>
            <w:tcW w:w="1984" w:type="dxa"/>
            <w:shd w:val="clear" w:color="auto" w:fill="D9E2F3" w:themeFill="accent5" w:themeFillTint="33"/>
          </w:tcPr>
          <w:p w14:paraId="2DEC44AC" w14:textId="77777777" w:rsidR="00AB04ED" w:rsidRPr="00A9330B" w:rsidRDefault="00AB04ED" w:rsidP="00701C80">
            <w:pPr>
              <w:spacing w:before="60"/>
              <w:rPr>
                <w:b/>
                <w:sz w:val="18"/>
                <w:szCs w:val="18"/>
              </w:rPr>
            </w:pPr>
            <w:r w:rsidRPr="00A9330B">
              <w:rPr>
                <w:b/>
                <w:sz w:val="18"/>
                <w:szCs w:val="18"/>
              </w:rPr>
              <w:t xml:space="preserve">Niveau </w:t>
            </w:r>
          </w:p>
        </w:tc>
        <w:tc>
          <w:tcPr>
            <w:tcW w:w="3544" w:type="dxa"/>
            <w:shd w:val="clear" w:color="auto" w:fill="D9E2F3" w:themeFill="accent5" w:themeFillTint="33"/>
          </w:tcPr>
          <w:p w14:paraId="5C135153" w14:textId="77777777" w:rsidR="00AB04ED" w:rsidRPr="00A9330B" w:rsidRDefault="00AB04ED" w:rsidP="00701C80">
            <w:pPr>
              <w:spacing w:before="60"/>
              <w:rPr>
                <w:b/>
                <w:sz w:val="18"/>
                <w:szCs w:val="18"/>
              </w:rPr>
            </w:pPr>
            <w:r w:rsidRPr="00A9330B">
              <w:rPr>
                <w:b/>
                <w:sz w:val="18"/>
                <w:szCs w:val="18"/>
              </w:rPr>
              <w:t>Effet</w:t>
            </w:r>
          </w:p>
        </w:tc>
      </w:tr>
      <w:tr w:rsidR="00AB04ED" w:rsidRPr="00A9330B" w14:paraId="1966FE61" w14:textId="77777777" w:rsidTr="00701C80">
        <w:tc>
          <w:tcPr>
            <w:tcW w:w="1271" w:type="dxa"/>
          </w:tcPr>
          <w:p w14:paraId="342F7D6B" w14:textId="77777777" w:rsidR="00AB04ED" w:rsidRPr="00A9330B" w:rsidRDefault="00AB04ED" w:rsidP="00701C80">
            <w:pPr>
              <w:spacing w:before="60"/>
              <w:rPr>
                <w:b/>
                <w:sz w:val="18"/>
                <w:szCs w:val="18"/>
              </w:rPr>
            </w:pPr>
            <w:r w:rsidRPr="00A9330B">
              <w:rPr>
                <w:b/>
                <w:sz w:val="18"/>
                <w:szCs w:val="18"/>
              </w:rPr>
              <w:t>P1</w:t>
            </w:r>
          </w:p>
        </w:tc>
        <w:tc>
          <w:tcPr>
            <w:tcW w:w="1843" w:type="dxa"/>
          </w:tcPr>
          <w:p w14:paraId="1CEB3130" w14:textId="77777777" w:rsidR="00AB04ED" w:rsidRPr="00A9330B" w:rsidRDefault="00AB04ED" w:rsidP="00701C80">
            <w:pPr>
              <w:spacing w:before="60"/>
              <w:rPr>
                <w:sz w:val="18"/>
                <w:szCs w:val="18"/>
              </w:rPr>
            </w:pPr>
            <w:r w:rsidRPr="00A9330B">
              <w:rPr>
                <w:sz w:val="18"/>
                <w:szCs w:val="18"/>
              </w:rPr>
              <w:t xml:space="preserve">Très improbable </w:t>
            </w:r>
          </w:p>
        </w:tc>
        <w:tc>
          <w:tcPr>
            <w:tcW w:w="1984" w:type="dxa"/>
          </w:tcPr>
          <w:p w14:paraId="05CAC493" w14:textId="77777777" w:rsidR="00AB04ED" w:rsidRPr="00A9330B" w:rsidRDefault="00AB04ED" w:rsidP="00701C80">
            <w:pPr>
              <w:spacing w:before="60"/>
              <w:rPr>
                <w:sz w:val="18"/>
                <w:szCs w:val="18"/>
              </w:rPr>
            </w:pPr>
            <w:r w:rsidRPr="00A9330B">
              <w:rPr>
                <w:sz w:val="18"/>
                <w:szCs w:val="18"/>
              </w:rPr>
              <w:t xml:space="preserve">G/1 faible </w:t>
            </w:r>
          </w:p>
        </w:tc>
        <w:tc>
          <w:tcPr>
            <w:tcW w:w="3544" w:type="dxa"/>
          </w:tcPr>
          <w:p w14:paraId="4EE3EF7A" w14:textId="77777777" w:rsidR="00AB04ED" w:rsidRPr="00A9330B" w:rsidRDefault="00AB04ED" w:rsidP="00701C80">
            <w:pPr>
              <w:spacing w:before="60"/>
              <w:rPr>
                <w:sz w:val="18"/>
                <w:szCs w:val="18"/>
              </w:rPr>
            </w:pPr>
            <w:r w:rsidRPr="00A9330B">
              <w:rPr>
                <w:sz w:val="18"/>
                <w:szCs w:val="18"/>
              </w:rPr>
              <w:t xml:space="preserve">Accident ou maladie sans arrêt de travail  </w:t>
            </w:r>
          </w:p>
        </w:tc>
      </w:tr>
      <w:tr w:rsidR="00AB04ED" w:rsidRPr="00A9330B" w14:paraId="51BA0D53" w14:textId="77777777" w:rsidTr="00701C80">
        <w:tc>
          <w:tcPr>
            <w:tcW w:w="1271" w:type="dxa"/>
          </w:tcPr>
          <w:p w14:paraId="1F3987A9" w14:textId="77777777" w:rsidR="00AB04ED" w:rsidRPr="00A9330B" w:rsidRDefault="00AB04ED" w:rsidP="00701C80">
            <w:pPr>
              <w:spacing w:before="60"/>
              <w:rPr>
                <w:b/>
                <w:sz w:val="18"/>
                <w:szCs w:val="18"/>
              </w:rPr>
            </w:pPr>
            <w:r w:rsidRPr="00A9330B">
              <w:rPr>
                <w:b/>
                <w:sz w:val="18"/>
                <w:szCs w:val="18"/>
              </w:rPr>
              <w:t>P2</w:t>
            </w:r>
          </w:p>
        </w:tc>
        <w:tc>
          <w:tcPr>
            <w:tcW w:w="1843" w:type="dxa"/>
          </w:tcPr>
          <w:p w14:paraId="7D162F9D" w14:textId="77777777" w:rsidR="00AB04ED" w:rsidRPr="00A9330B" w:rsidRDefault="00AB04ED" w:rsidP="00701C80">
            <w:pPr>
              <w:spacing w:before="60"/>
              <w:rPr>
                <w:sz w:val="18"/>
                <w:szCs w:val="18"/>
              </w:rPr>
            </w:pPr>
            <w:r w:rsidRPr="00A9330B">
              <w:rPr>
                <w:sz w:val="18"/>
                <w:szCs w:val="18"/>
              </w:rPr>
              <w:t xml:space="preserve">Improbable </w:t>
            </w:r>
          </w:p>
        </w:tc>
        <w:tc>
          <w:tcPr>
            <w:tcW w:w="1984" w:type="dxa"/>
          </w:tcPr>
          <w:p w14:paraId="572D9657" w14:textId="77777777" w:rsidR="00AB04ED" w:rsidRPr="00A9330B" w:rsidRDefault="00AB04ED" w:rsidP="00701C80">
            <w:pPr>
              <w:spacing w:before="60"/>
              <w:rPr>
                <w:sz w:val="18"/>
                <w:szCs w:val="18"/>
              </w:rPr>
            </w:pPr>
            <w:r w:rsidRPr="00A9330B">
              <w:rPr>
                <w:sz w:val="18"/>
                <w:szCs w:val="18"/>
              </w:rPr>
              <w:t>G2/ moyen</w:t>
            </w:r>
          </w:p>
        </w:tc>
        <w:tc>
          <w:tcPr>
            <w:tcW w:w="3544" w:type="dxa"/>
          </w:tcPr>
          <w:p w14:paraId="0AED6EA3" w14:textId="77777777" w:rsidR="00AB04ED" w:rsidRPr="00A9330B" w:rsidRDefault="00AB04ED" w:rsidP="00701C80">
            <w:pPr>
              <w:spacing w:before="60"/>
              <w:rPr>
                <w:sz w:val="18"/>
                <w:szCs w:val="18"/>
              </w:rPr>
            </w:pPr>
            <w:r w:rsidRPr="00A9330B">
              <w:rPr>
                <w:sz w:val="18"/>
                <w:szCs w:val="18"/>
              </w:rPr>
              <w:t xml:space="preserve">Accident ou maladie avec arrêt de travail </w:t>
            </w:r>
          </w:p>
        </w:tc>
      </w:tr>
      <w:tr w:rsidR="00AB04ED" w:rsidRPr="00A9330B" w14:paraId="32AF276F" w14:textId="77777777" w:rsidTr="00701C80">
        <w:tc>
          <w:tcPr>
            <w:tcW w:w="1271" w:type="dxa"/>
          </w:tcPr>
          <w:p w14:paraId="699E0623" w14:textId="77777777" w:rsidR="00AB04ED" w:rsidRPr="00A9330B" w:rsidRDefault="00AB04ED" w:rsidP="00701C80">
            <w:pPr>
              <w:spacing w:before="60"/>
              <w:rPr>
                <w:b/>
                <w:sz w:val="18"/>
                <w:szCs w:val="18"/>
              </w:rPr>
            </w:pPr>
            <w:r w:rsidRPr="00A9330B">
              <w:rPr>
                <w:b/>
                <w:sz w:val="18"/>
                <w:szCs w:val="18"/>
              </w:rPr>
              <w:t>P3</w:t>
            </w:r>
          </w:p>
        </w:tc>
        <w:tc>
          <w:tcPr>
            <w:tcW w:w="1843" w:type="dxa"/>
          </w:tcPr>
          <w:p w14:paraId="6E5E5683" w14:textId="77777777" w:rsidR="00AB04ED" w:rsidRPr="00A9330B" w:rsidRDefault="00AB04ED" w:rsidP="00701C80">
            <w:pPr>
              <w:spacing w:before="60"/>
              <w:rPr>
                <w:sz w:val="18"/>
                <w:szCs w:val="18"/>
              </w:rPr>
            </w:pPr>
            <w:r w:rsidRPr="00A9330B">
              <w:rPr>
                <w:sz w:val="18"/>
                <w:szCs w:val="18"/>
              </w:rPr>
              <w:t xml:space="preserve">Probable </w:t>
            </w:r>
          </w:p>
        </w:tc>
        <w:tc>
          <w:tcPr>
            <w:tcW w:w="1984" w:type="dxa"/>
          </w:tcPr>
          <w:p w14:paraId="3429CBB6" w14:textId="77777777" w:rsidR="00AB04ED" w:rsidRPr="00A9330B" w:rsidRDefault="00AB04ED" w:rsidP="00701C80">
            <w:pPr>
              <w:spacing w:before="60"/>
              <w:rPr>
                <w:sz w:val="18"/>
                <w:szCs w:val="18"/>
              </w:rPr>
            </w:pPr>
            <w:r w:rsidRPr="00A9330B">
              <w:rPr>
                <w:sz w:val="18"/>
                <w:szCs w:val="18"/>
              </w:rPr>
              <w:t>G3/grave</w:t>
            </w:r>
          </w:p>
        </w:tc>
        <w:tc>
          <w:tcPr>
            <w:tcW w:w="3544" w:type="dxa"/>
          </w:tcPr>
          <w:p w14:paraId="4278E327" w14:textId="77777777" w:rsidR="00AB04ED" w:rsidRPr="00A9330B" w:rsidRDefault="00AB04ED" w:rsidP="00701C80">
            <w:pPr>
              <w:spacing w:before="60"/>
              <w:rPr>
                <w:sz w:val="18"/>
                <w:szCs w:val="18"/>
              </w:rPr>
            </w:pPr>
            <w:r w:rsidRPr="00A9330B">
              <w:rPr>
                <w:sz w:val="18"/>
                <w:szCs w:val="18"/>
              </w:rPr>
              <w:t xml:space="preserve">Accident ou maladie avec incapacité partielle permanente </w:t>
            </w:r>
          </w:p>
        </w:tc>
      </w:tr>
      <w:tr w:rsidR="00AB04ED" w:rsidRPr="00A9330B" w14:paraId="5C9AE6D2" w14:textId="77777777" w:rsidTr="00701C80">
        <w:tc>
          <w:tcPr>
            <w:tcW w:w="1271" w:type="dxa"/>
          </w:tcPr>
          <w:p w14:paraId="0488A61E" w14:textId="77777777" w:rsidR="00AB04ED" w:rsidRPr="00A9330B" w:rsidRDefault="00AB04ED" w:rsidP="00701C80">
            <w:pPr>
              <w:spacing w:before="60"/>
              <w:rPr>
                <w:b/>
                <w:sz w:val="18"/>
                <w:szCs w:val="18"/>
              </w:rPr>
            </w:pPr>
            <w:r w:rsidRPr="00A9330B">
              <w:rPr>
                <w:b/>
                <w:sz w:val="18"/>
                <w:szCs w:val="18"/>
              </w:rPr>
              <w:t>P4</w:t>
            </w:r>
          </w:p>
        </w:tc>
        <w:tc>
          <w:tcPr>
            <w:tcW w:w="1843" w:type="dxa"/>
          </w:tcPr>
          <w:p w14:paraId="095989BE" w14:textId="77777777" w:rsidR="00AB04ED" w:rsidRPr="00A9330B" w:rsidRDefault="00AB04ED" w:rsidP="00701C80">
            <w:pPr>
              <w:spacing w:before="60"/>
              <w:rPr>
                <w:sz w:val="18"/>
                <w:szCs w:val="18"/>
              </w:rPr>
            </w:pPr>
            <w:r w:rsidRPr="00A9330B">
              <w:rPr>
                <w:sz w:val="18"/>
                <w:szCs w:val="18"/>
              </w:rPr>
              <w:t xml:space="preserve">Très probable </w:t>
            </w:r>
          </w:p>
        </w:tc>
        <w:tc>
          <w:tcPr>
            <w:tcW w:w="1984" w:type="dxa"/>
          </w:tcPr>
          <w:p w14:paraId="4B060461" w14:textId="77777777" w:rsidR="00AB04ED" w:rsidRPr="00A9330B" w:rsidRDefault="00AB04ED" w:rsidP="00701C80">
            <w:pPr>
              <w:spacing w:before="60"/>
              <w:rPr>
                <w:sz w:val="18"/>
                <w:szCs w:val="18"/>
              </w:rPr>
            </w:pPr>
            <w:r w:rsidRPr="00A9330B">
              <w:rPr>
                <w:sz w:val="18"/>
                <w:szCs w:val="18"/>
              </w:rPr>
              <w:t>G4/ très grave</w:t>
            </w:r>
          </w:p>
        </w:tc>
        <w:tc>
          <w:tcPr>
            <w:tcW w:w="3544" w:type="dxa"/>
          </w:tcPr>
          <w:p w14:paraId="40E2EC95" w14:textId="77777777" w:rsidR="00AB04ED" w:rsidRPr="00A9330B" w:rsidRDefault="00AB04ED" w:rsidP="00701C80">
            <w:pPr>
              <w:spacing w:before="60"/>
              <w:rPr>
                <w:sz w:val="18"/>
                <w:szCs w:val="18"/>
              </w:rPr>
            </w:pPr>
            <w:r w:rsidRPr="00A9330B">
              <w:rPr>
                <w:sz w:val="18"/>
                <w:szCs w:val="18"/>
              </w:rPr>
              <w:t>Accident ou maladie mortel</w:t>
            </w:r>
          </w:p>
        </w:tc>
      </w:tr>
    </w:tbl>
    <w:p w14:paraId="3D95E633" w14:textId="77777777" w:rsidR="00AB04ED" w:rsidRPr="00A9330B" w:rsidRDefault="00AB04ED" w:rsidP="0064324E">
      <w:pPr>
        <w:pStyle w:val="Igip1"/>
      </w:pPr>
      <w:r w:rsidRPr="00A9330B">
        <w:t xml:space="preserve">Le croisement de la probabilité et de la gravité illustré par la matrice suivante donne le niveau d’acceptabilité du risque et par conséquent le niveau de priorité pour la mise en place de mesures pour réduire le danger à un niveau acceptable. </w:t>
      </w:r>
    </w:p>
    <w:p w14:paraId="3AACF92F" w14:textId="35E58FDA" w:rsidR="00AB04ED" w:rsidRPr="00A9330B" w:rsidRDefault="00AB04ED" w:rsidP="00A9330B">
      <w:pPr>
        <w:pStyle w:val="Lgende"/>
      </w:pPr>
      <w:bookmarkStart w:id="588" w:name="_Toc52873733"/>
      <w:r w:rsidRPr="00A9330B">
        <w:t xml:space="preserve">Tableau </w:t>
      </w:r>
      <w:r w:rsidR="009D26AD" w:rsidRPr="00A9330B">
        <w:rPr>
          <w:noProof/>
        </w:rPr>
        <w:fldChar w:fldCharType="begin"/>
      </w:r>
      <w:r w:rsidR="009D26AD" w:rsidRPr="00A9330B">
        <w:rPr>
          <w:noProof/>
        </w:rPr>
        <w:instrText xml:space="preserve"> SEQ Tableau \* ARABIC </w:instrText>
      </w:r>
      <w:r w:rsidR="009D26AD" w:rsidRPr="00A9330B">
        <w:rPr>
          <w:noProof/>
        </w:rPr>
        <w:fldChar w:fldCharType="separate"/>
      </w:r>
      <w:r w:rsidR="00417D31" w:rsidRPr="00A9330B">
        <w:rPr>
          <w:noProof/>
        </w:rPr>
        <w:t>9</w:t>
      </w:r>
      <w:r w:rsidR="009D26AD" w:rsidRPr="00A9330B">
        <w:rPr>
          <w:noProof/>
        </w:rPr>
        <w:fldChar w:fldCharType="end"/>
      </w:r>
      <w:r w:rsidRPr="00A9330B">
        <w:t> : Matrice d’évaluation des risques</w:t>
      </w:r>
      <w:bookmarkEnd w:id="588"/>
    </w:p>
    <w:tbl>
      <w:tblPr>
        <w:tblStyle w:val="Grilledutableau"/>
        <w:tblW w:w="0" w:type="auto"/>
        <w:tblLayout w:type="fixed"/>
        <w:tblLook w:val="04A0" w:firstRow="1" w:lastRow="0" w:firstColumn="1" w:lastColumn="0" w:noHBand="0" w:noVBand="1"/>
      </w:tblPr>
      <w:tblGrid>
        <w:gridCol w:w="1838"/>
        <w:gridCol w:w="992"/>
        <w:gridCol w:w="990"/>
        <w:gridCol w:w="957"/>
        <w:gridCol w:w="957"/>
      </w:tblGrid>
      <w:tr w:rsidR="00AB04ED" w:rsidRPr="00A9330B" w14:paraId="2C8CB0B2" w14:textId="77777777" w:rsidTr="00701C80">
        <w:trPr>
          <w:trHeight w:val="307"/>
        </w:trPr>
        <w:tc>
          <w:tcPr>
            <w:tcW w:w="1838" w:type="dxa"/>
            <w:tcBorders>
              <w:tl2br w:val="single" w:sz="4" w:space="0" w:color="auto"/>
            </w:tcBorders>
            <w:shd w:val="clear" w:color="auto" w:fill="B4C6E7" w:themeFill="accent5" w:themeFillTint="66"/>
          </w:tcPr>
          <w:p w14:paraId="18E064EE" w14:textId="77777777" w:rsidR="00AB04ED" w:rsidRPr="00A9330B" w:rsidRDefault="00AB04ED" w:rsidP="000F7BA7">
            <w:pPr>
              <w:pStyle w:val="Igip1"/>
              <w:spacing w:before="120" w:after="0"/>
              <w:rPr>
                <w:sz w:val="18"/>
                <w:szCs w:val="18"/>
              </w:rPr>
            </w:pPr>
            <w:r w:rsidRPr="00A9330B">
              <w:rPr>
                <w:sz w:val="18"/>
                <w:szCs w:val="18"/>
              </w:rPr>
              <w:t xml:space="preserve">                  Gravité</w:t>
            </w:r>
          </w:p>
          <w:p w14:paraId="738CC4AA" w14:textId="77777777" w:rsidR="00AB04ED" w:rsidRPr="00A9330B" w:rsidRDefault="00AB04ED" w:rsidP="000F7BA7">
            <w:pPr>
              <w:pStyle w:val="Igip1"/>
              <w:spacing w:before="120" w:after="0"/>
              <w:rPr>
                <w:sz w:val="18"/>
                <w:szCs w:val="18"/>
              </w:rPr>
            </w:pPr>
            <w:r w:rsidRPr="00A9330B">
              <w:rPr>
                <w:sz w:val="18"/>
                <w:szCs w:val="18"/>
              </w:rPr>
              <w:t xml:space="preserve">Probabilité </w:t>
            </w:r>
          </w:p>
        </w:tc>
        <w:tc>
          <w:tcPr>
            <w:tcW w:w="992" w:type="dxa"/>
            <w:shd w:val="clear" w:color="auto" w:fill="FFFFFF" w:themeFill="background1"/>
          </w:tcPr>
          <w:p w14:paraId="7A61B586" w14:textId="77777777" w:rsidR="00AB04ED" w:rsidRPr="00A9330B" w:rsidRDefault="00AB04ED" w:rsidP="000F7BA7">
            <w:pPr>
              <w:pStyle w:val="Igip1"/>
              <w:spacing w:before="120" w:after="0"/>
              <w:rPr>
                <w:sz w:val="18"/>
                <w:szCs w:val="18"/>
              </w:rPr>
            </w:pPr>
            <w:r w:rsidRPr="00A9330B">
              <w:rPr>
                <w:sz w:val="18"/>
                <w:szCs w:val="18"/>
              </w:rPr>
              <w:t>G1</w:t>
            </w:r>
          </w:p>
        </w:tc>
        <w:tc>
          <w:tcPr>
            <w:tcW w:w="990" w:type="dxa"/>
            <w:shd w:val="clear" w:color="auto" w:fill="FFFFFF" w:themeFill="background1"/>
          </w:tcPr>
          <w:p w14:paraId="117DDAFB" w14:textId="77777777" w:rsidR="00AB04ED" w:rsidRPr="00A9330B" w:rsidRDefault="00AB04ED" w:rsidP="000F7BA7">
            <w:pPr>
              <w:pStyle w:val="Igip1"/>
              <w:spacing w:before="120" w:after="0"/>
              <w:rPr>
                <w:sz w:val="18"/>
                <w:szCs w:val="18"/>
              </w:rPr>
            </w:pPr>
            <w:r w:rsidRPr="00A9330B">
              <w:rPr>
                <w:sz w:val="18"/>
                <w:szCs w:val="18"/>
              </w:rPr>
              <w:t>G2</w:t>
            </w:r>
          </w:p>
        </w:tc>
        <w:tc>
          <w:tcPr>
            <w:tcW w:w="957" w:type="dxa"/>
            <w:shd w:val="clear" w:color="auto" w:fill="FFFFFF" w:themeFill="background1"/>
          </w:tcPr>
          <w:p w14:paraId="2446880E" w14:textId="77777777" w:rsidR="00AB04ED" w:rsidRPr="00A9330B" w:rsidRDefault="00AB04ED" w:rsidP="000F7BA7">
            <w:pPr>
              <w:pStyle w:val="Igip1"/>
              <w:spacing w:before="120" w:after="0"/>
              <w:rPr>
                <w:sz w:val="18"/>
                <w:szCs w:val="18"/>
              </w:rPr>
            </w:pPr>
            <w:r w:rsidRPr="00A9330B">
              <w:rPr>
                <w:sz w:val="18"/>
                <w:szCs w:val="18"/>
              </w:rPr>
              <w:t>G3</w:t>
            </w:r>
          </w:p>
        </w:tc>
        <w:tc>
          <w:tcPr>
            <w:tcW w:w="957" w:type="dxa"/>
            <w:shd w:val="clear" w:color="auto" w:fill="FFFFFF" w:themeFill="background1"/>
          </w:tcPr>
          <w:p w14:paraId="40DE55C1" w14:textId="77777777" w:rsidR="00AB04ED" w:rsidRPr="00A9330B" w:rsidRDefault="00AB04ED" w:rsidP="000F7BA7">
            <w:pPr>
              <w:pStyle w:val="Igip1"/>
              <w:spacing w:before="120" w:after="0"/>
              <w:rPr>
                <w:sz w:val="18"/>
                <w:szCs w:val="18"/>
              </w:rPr>
            </w:pPr>
            <w:r w:rsidRPr="00A9330B">
              <w:rPr>
                <w:sz w:val="18"/>
                <w:szCs w:val="18"/>
              </w:rPr>
              <w:t>G4</w:t>
            </w:r>
          </w:p>
        </w:tc>
      </w:tr>
      <w:tr w:rsidR="00AB04ED" w:rsidRPr="00A9330B" w14:paraId="570FFDEF" w14:textId="77777777" w:rsidTr="00701C80">
        <w:trPr>
          <w:trHeight w:val="274"/>
        </w:trPr>
        <w:tc>
          <w:tcPr>
            <w:tcW w:w="1838" w:type="dxa"/>
          </w:tcPr>
          <w:p w14:paraId="2C635F80" w14:textId="77777777" w:rsidR="00AB04ED" w:rsidRPr="00A9330B" w:rsidRDefault="00AB04ED" w:rsidP="000F7BA7">
            <w:pPr>
              <w:pStyle w:val="Igip1"/>
              <w:spacing w:before="120" w:after="0"/>
              <w:rPr>
                <w:sz w:val="18"/>
                <w:szCs w:val="18"/>
              </w:rPr>
            </w:pPr>
            <w:r w:rsidRPr="00A9330B">
              <w:rPr>
                <w:sz w:val="18"/>
                <w:szCs w:val="18"/>
              </w:rPr>
              <w:t>P1</w:t>
            </w:r>
          </w:p>
        </w:tc>
        <w:tc>
          <w:tcPr>
            <w:tcW w:w="992" w:type="dxa"/>
            <w:shd w:val="clear" w:color="auto" w:fill="62FC0C"/>
          </w:tcPr>
          <w:p w14:paraId="7B538C3C" w14:textId="77777777" w:rsidR="00AB04ED" w:rsidRPr="00A9330B" w:rsidRDefault="00AB04ED" w:rsidP="000F7BA7">
            <w:pPr>
              <w:pStyle w:val="Igip1"/>
              <w:spacing w:before="120" w:after="0"/>
              <w:rPr>
                <w:sz w:val="18"/>
                <w:szCs w:val="18"/>
              </w:rPr>
            </w:pPr>
          </w:p>
        </w:tc>
        <w:tc>
          <w:tcPr>
            <w:tcW w:w="990" w:type="dxa"/>
            <w:shd w:val="clear" w:color="auto" w:fill="62FC0C"/>
          </w:tcPr>
          <w:p w14:paraId="4F37D8BA" w14:textId="77777777" w:rsidR="00AB04ED" w:rsidRPr="00A9330B" w:rsidRDefault="00AB04ED" w:rsidP="000F7BA7">
            <w:pPr>
              <w:pStyle w:val="Igip1"/>
              <w:spacing w:before="120" w:after="0"/>
              <w:rPr>
                <w:sz w:val="18"/>
                <w:szCs w:val="18"/>
              </w:rPr>
            </w:pPr>
          </w:p>
        </w:tc>
        <w:tc>
          <w:tcPr>
            <w:tcW w:w="957" w:type="dxa"/>
            <w:shd w:val="clear" w:color="auto" w:fill="62FC0C"/>
          </w:tcPr>
          <w:p w14:paraId="2C822606" w14:textId="77777777" w:rsidR="00AB04ED" w:rsidRPr="00A9330B" w:rsidRDefault="00AB04ED" w:rsidP="000F7BA7">
            <w:pPr>
              <w:pStyle w:val="Igip1"/>
              <w:spacing w:before="120" w:after="0"/>
              <w:rPr>
                <w:sz w:val="18"/>
                <w:szCs w:val="18"/>
              </w:rPr>
            </w:pPr>
          </w:p>
        </w:tc>
        <w:tc>
          <w:tcPr>
            <w:tcW w:w="957" w:type="dxa"/>
            <w:shd w:val="clear" w:color="auto" w:fill="FFFF00"/>
          </w:tcPr>
          <w:p w14:paraId="17F96E7A" w14:textId="77777777" w:rsidR="00AB04ED" w:rsidRPr="00A9330B" w:rsidRDefault="00AB04ED" w:rsidP="000F7BA7">
            <w:pPr>
              <w:pStyle w:val="Igip1"/>
              <w:spacing w:before="120" w:after="0"/>
              <w:rPr>
                <w:sz w:val="18"/>
                <w:szCs w:val="18"/>
              </w:rPr>
            </w:pPr>
          </w:p>
        </w:tc>
      </w:tr>
      <w:tr w:rsidR="00AB04ED" w:rsidRPr="00A9330B" w14:paraId="32F7DE10" w14:textId="77777777" w:rsidTr="00701C80">
        <w:trPr>
          <w:trHeight w:val="235"/>
        </w:trPr>
        <w:tc>
          <w:tcPr>
            <w:tcW w:w="1838" w:type="dxa"/>
          </w:tcPr>
          <w:p w14:paraId="1B8D9BD5" w14:textId="77777777" w:rsidR="00AB04ED" w:rsidRPr="00A9330B" w:rsidRDefault="00AB04ED" w:rsidP="000F7BA7">
            <w:pPr>
              <w:pStyle w:val="Igip1"/>
              <w:spacing w:before="120" w:after="0"/>
              <w:rPr>
                <w:sz w:val="18"/>
                <w:szCs w:val="18"/>
              </w:rPr>
            </w:pPr>
            <w:r w:rsidRPr="00A9330B">
              <w:rPr>
                <w:sz w:val="18"/>
                <w:szCs w:val="18"/>
              </w:rPr>
              <w:t>P2</w:t>
            </w:r>
          </w:p>
        </w:tc>
        <w:tc>
          <w:tcPr>
            <w:tcW w:w="992" w:type="dxa"/>
            <w:shd w:val="clear" w:color="auto" w:fill="62FC0C"/>
          </w:tcPr>
          <w:p w14:paraId="22A00456" w14:textId="77777777" w:rsidR="00AB04ED" w:rsidRPr="00A9330B" w:rsidRDefault="00AB04ED" w:rsidP="000F7BA7">
            <w:pPr>
              <w:pStyle w:val="Igip1"/>
              <w:spacing w:before="120" w:after="0"/>
              <w:rPr>
                <w:sz w:val="18"/>
                <w:szCs w:val="18"/>
              </w:rPr>
            </w:pPr>
          </w:p>
        </w:tc>
        <w:tc>
          <w:tcPr>
            <w:tcW w:w="990" w:type="dxa"/>
            <w:shd w:val="clear" w:color="auto" w:fill="FFFF00"/>
          </w:tcPr>
          <w:p w14:paraId="6FD3156E" w14:textId="77777777" w:rsidR="00AB04ED" w:rsidRPr="00A9330B" w:rsidRDefault="00AB04ED" w:rsidP="000F7BA7">
            <w:pPr>
              <w:pStyle w:val="Igip1"/>
              <w:spacing w:before="120" w:after="0"/>
              <w:rPr>
                <w:sz w:val="18"/>
                <w:szCs w:val="18"/>
              </w:rPr>
            </w:pPr>
          </w:p>
        </w:tc>
        <w:tc>
          <w:tcPr>
            <w:tcW w:w="957" w:type="dxa"/>
            <w:shd w:val="clear" w:color="auto" w:fill="FFFF00"/>
          </w:tcPr>
          <w:p w14:paraId="0FEA1406" w14:textId="77777777" w:rsidR="00AB04ED" w:rsidRPr="00A9330B" w:rsidRDefault="00AB04ED" w:rsidP="000F7BA7">
            <w:pPr>
              <w:pStyle w:val="Igip1"/>
              <w:spacing w:before="120" w:after="0"/>
              <w:rPr>
                <w:sz w:val="18"/>
                <w:szCs w:val="18"/>
              </w:rPr>
            </w:pPr>
          </w:p>
        </w:tc>
        <w:tc>
          <w:tcPr>
            <w:tcW w:w="957" w:type="dxa"/>
            <w:shd w:val="clear" w:color="auto" w:fill="FFFF00"/>
          </w:tcPr>
          <w:p w14:paraId="220EF5C9" w14:textId="77777777" w:rsidR="00AB04ED" w:rsidRPr="00A9330B" w:rsidRDefault="00AB04ED" w:rsidP="000F7BA7">
            <w:pPr>
              <w:pStyle w:val="Igip1"/>
              <w:spacing w:before="120" w:after="0"/>
              <w:rPr>
                <w:sz w:val="18"/>
                <w:szCs w:val="18"/>
              </w:rPr>
            </w:pPr>
          </w:p>
        </w:tc>
      </w:tr>
      <w:tr w:rsidR="00AB04ED" w:rsidRPr="00A9330B" w14:paraId="6146B56D" w14:textId="77777777" w:rsidTr="00701C80">
        <w:trPr>
          <w:trHeight w:val="301"/>
        </w:trPr>
        <w:tc>
          <w:tcPr>
            <w:tcW w:w="1838" w:type="dxa"/>
          </w:tcPr>
          <w:p w14:paraId="6A0ECE92" w14:textId="77777777" w:rsidR="00AB04ED" w:rsidRPr="00A9330B" w:rsidRDefault="00AB04ED" w:rsidP="000F7BA7">
            <w:pPr>
              <w:pStyle w:val="Igip1"/>
              <w:spacing w:before="120" w:after="0"/>
              <w:rPr>
                <w:sz w:val="18"/>
                <w:szCs w:val="18"/>
              </w:rPr>
            </w:pPr>
            <w:r w:rsidRPr="00A9330B">
              <w:rPr>
                <w:sz w:val="18"/>
                <w:szCs w:val="18"/>
              </w:rPr>
              <w:t>P3</w:t>
            </w:r>
          </w:p>
        </w:tc>
        <w:tc>
          <w:tcPr>
            <w:tcW w:w="992" w:type="dxa"/>
            <w:shd w:val="clear" w:color="auto" w:fill="62FC0C"/>
          </w:tcPr>
          <w:p w14:paraId="5517B12C" w14:textId="77777777" w:rsidR="00AB04ED" w:rsidRPr="00A9330B" w:rsidRDefault="00AB04ED" w:rsidP="000F7BA7">
            <w:pPr>
              <w:pStyle w:val="Igip1"/>
              <w:spacing w:before="120" w:after="0"/>
              <w:rPr>
                <w:sz w:val="18"/>
                <w:szCs w:val="18"/>
              </w:rPr>
            </w:pPr>
          </w:p>
        </w:tc>
        <w:tc>
          <w:tcPr>
            <w:tcW w:w="990" w:type="dxa"/>
            <w:shd w:val="clear" w:color="auto" w:fill="FFFF00"/>
          </w:tcPr>
          <w:p w14:paraId="08F4C1AD" w14:textId="77777777" w:rsidR="00AB04ED" w:rsidRPr="00A9330B" w:rsidRDefault="00AB04ED" w:rsidP="000F7BA7">
            <w:pPr>
              <w:pStyle w:val="Igip1"/>
              <w:spacing w:before="120" w:after="0"/>
              <w:rPr>
                <w:sz w:val="18"/>
                <w:szCs w:val="18"/>
              </w:rPr>
            </w:pPr>
          </w:p>
        </w:tc>
        <w:tc>
          <w:tcPr>
            <w:tcW w:w="957" w:type="dxa"/>
            <w:shd w:val="clear" w:color="auto" w:fill="FF0000"/>
          </w:tcPr>
          <w:p w14:paraId="30B6B169" w14:textId="77777777" w:rsidR="00AB04ED" w:rsidRPr="00A9330B" w:rsidRDefault="00AB04ED" w:rsidP="000F7BA7">
            <w:pPr>
              <w:pStyle w:val="Igip1"/>
              <w:spacing w:before="120" w:after="0"/>
              <w:rPr>
                <w:sz w:val="18"/>
                <w:szCs w:val="18"/>
              </w:rPr>
            </w:pPr>
          </w:p>
        </w:tc>
        <w:tc>
          <w:tcPr>
            <w:tcW w:w="957" w:type="dxa"/>
            <w:shd w:val="clear" w:color="auto" w:fill="FF0000"/>
          </w:tcPr>
          <w:p w14:paraId="6BC0DF62" w14:textId="77777777" w:rsidR="00AB04ED" w:rsidRPr="00A9330B" w:rsidRDefault="00AB04ED" w:rsidP="000F7BA7">
            <w:pPr>
              <w:pStyle w:val="Igip1"/>
              <w:spacing w:before="120" w:after="0"/>
              <w:rPr>
                <w:sz w:val="18"/>
                <w:szCs w:val="18"/>
              </w:rPr>
            </w:pPr>
          </w:p>
        </w:tc>
      </w:tr>
      <w:tr w:rsidR="00AB04ED" w:rsidRPr="00A9330B" w14:paraId="15434A11" w14:textId="77777777" w:rsidTr="00701C80">
        <w:trPr>
          <w:trHeight w:val="307"/>
        </w:trPr>
        <w:tc>
          <w:tcPr>
            <w:tcW w:w="1838" w:type="dxa"/>
          </w:tcPr>
          <w:p w14:paraId="70AAF621" w14:textId="77777777" w:rsidR="00AB04ED" w:rsidRPr="00A9330B" w:rsidRDefault="00AB04ED" w:rsidP="000F7BA7">
            <w:pPr>
              <w:pStyle w:val="Igip1"/>
              <w:spacing w:before="120" w:after="0"/>
              <w:rPr>
                <w:sz w:val="18"/>
                <w:szCs w:val="18"/>
              </w:rPr>
            </w:pPr>
            <w:r w:rsidRPr="00A9330B">
              <w:rPr>
                <w:sz w:val="18"/>
                <w:szCs w:val="18"/>
              </w:rPr>
              <w:t>P4</w:t>
            </w:r>
          </w:p>
        </w:tc>
        <w:tc>
          <w:tcPr>
            <w:tcW w:w="992" w:type="dxa"/>
            <w:shd w:val="clear" w:color="auto" w:fill="62FC0C"/>
          </w:tcPr>
          <w:p w14:paraId="69B14087" w14:textId="77777777" w:rsidR="00AB04ED" w:rsidRPr="00A9330B" w:rsidRDefault="00AB04ED" w:rsidP="000F7BA7">
            <w:pPr>
              <w:pStyle w:val="Igip1"/>
              <w:spacing w:before="120" w:after="0"/>
              <w:rPr>
                <w:sz w:val="18"/>
                <w:szCs w:val="18"/>
              </w:rPr>
            </w:pPr>
          </w:p>
        </w:tc>
        <w:tc>
          <w:tcPr>
            <w:tcW w:w="990" w:type="dxa"/>
            <w:shd w:val="clear" w:color="auto" w:fill="FFFF00"/>
          </w:tcPr>
          <w:p w14:paraId="500574A7" w14:textId="77777777" w:rsidR="00AB04ED" w:rsidRPr="00A9330B" w:rsidRDefault="00AB04ED" w:rsidP="000F7BA7">
            <w:pPr>
              <w:pStyle w:val="Igip1"/>
              <w:spacing w:before="120" w:after="0"/>
              <w:rPr>
                <w:sz w:val="18"/>
                <w:szCs w:val="18"/>
              </w:rPr>
            </w:pPr>
          </w:p>
        </w:tc>
        <w:tc>
          <w:tcPr>
            <w:tcW w:w="957" w:type="dxa"/>
            <w:shd w:val="clear" w:color="auto" w:fill="FF0000"/>
          </w:tcPr>
          <w:p w14:paraId="7C58FCF0" w14:textId="77777777" w:rsidR="00AB04ED" w:rsidRPr="00A9330B" w:rsidRDefault="00AB04ED" w:rsidP="000F7BA7">
            <w:pPr>
              <w:pStyle w:val="Igip1"/>
              <w:spacing w:before="120" w:after="0"/>
              <w:rPr>
                <w:sz w:val="18"/>
                <w:szCs w:val="18"/>
              </w:rPr>
            </w:pPr>
          </w:p>
        </w:tc>
        <w:tc>
          <w:tcPr>
            <w:tcW w:w="957" w:type="dxa"/>
            <w:shd w:val="clear" w:color="auto" w:fill="FF0000"/>
          </w:tcPr>
          <w:p w14:paraId="7CEC6DF5" w14:textId="77777777" w:rsidR="00AB04ED" w:rsidRPr="00A9330B" w:rsidRDefault="00AB04ED" w:rsidP="000F7BA7">
            <w:pPr>
              <w:pStyle w:val="Igip1"/>
              <w:spacing w:before="120" w:after="0"/>
              <w:rPr>
                <w:sz w:val="18"/>
                <w:szCs w:val="18"/>
              </w:rPr>
            </w:pPr>
          </w:p>
        </w:tc>
      </w:tr>
    </w:tbl>
    <w:p w14:paraId="47E59C53" w14:textId="3A3C843D" w:rsidR="00AB04ED" w:rsidRPr="00A9330B" w:rsidRDefault="00AB04ED" w:rsidP="00A9330B">
      <w:pPr>
        <w:pStyle w:val="Lgende"/>
      </w:pPr>
      <w:bookmarkStart w:id="589" w:name="_Toc472330393"/>
      <w:bookmarkStart w:id="590" w:name="_Toc52873734"/>
      <w:r w:rsidRPr="00A9330B">
        <w:t xml:space="preserve">Tableau </w:t>
      </w:r>
      <w:r w:rsidR="009D26AD" w:rsidRPr="00A9330B">
        <w:rPr>
          <w:noProof/>
        </w:rPr>
        <w:fldChar w:fldCharType="begin"/>
      </w:r>
      <w:r w:rsidR="009D26AD" w:rsidRPr="00A9330B">
        <w:rPr>
          <w:noProof/>
        </w:rPr>
        <w:instrText xml:space="preserve"> SEQ Tableau \* ARABIC </w:instrText>
      </w:r>
      <w:r w:rsidR="009D26AD" w:rsidRPr="00A9330B">
        <w:rPr>
          <w:noProof/>
        </w:rPr>
        <w:fldChar w:fldCharType="separate"/>
      </w:r>
      <w:r w:rsidR="00417D31" w:rsidRPr="00A9330B">
        <w:rPr>
          <w:noProof/>
        </w:rPr>
        <w:t>10</w:t>
      </w:r>
      <w:r w:rsidR="009D26AD" w:rsidRPr="00A9330B">
        <w:rPr>
          <w:noProof/>
        </w:rPr>
        <w:fldChar w:fldCharType="end"/>
      </w:r>
      <w:r w:rsidRPr="00A9330B">
        <w:t xml:space="preserve"> : Matrice d’évaluation </w:t>
      </w:r>
      <w:bookmarkEnd w:id="589"/>
      <w:r w:rsidR="00896715" w:rsidRPr="00A9330B">
        <w:t>de priorité</w:t>
      </w:r>
      <w:bookmarkEnd w:id="590"/>
    </w:p>
    <w:tbl>
      <w:tblPr>
        <w:tblStyle w:val="Grilledutableau"/>
        <w:tblW w:w="0" w:type="auto"/>
        <w:tblLook w:val="04A0" w:firstRow="1" w:lastRow="0" w:firstColumn="1" w:lastColumn="0" w:noHBand="0" w:noVBand="1"/>
      </w:tblPr>
      <w:tblGrid>
        <w:gridCol w:w="1062"/>
        <w:gridCol w:w="3611"/>
      </w:tblGrid>
      <w:tr w:rsidR="00AB04ED" w:rsidRPr="00A9330B" w14:paraId="4A798B1D" w14:textId="77777777" w:rsidTr="007430DB">
        <w:trPr>
          <w:trHeight w:val="274"/>
        </w:trPr>
        <w:tc>
          <w:tcPr>
            <w:tcW w:w="1062" w:type="dxa"/>
            <w:shd w:val="clear" w:color="auto" w:fill="B4C6E7" w:themeFill="accent5" w:themeFillTint="66"/>
          </w:tcPr>
          <w:p w14:paraId="4EAAEDE6" w14:textId="77777777" w:rsidR="00AB04ED" w:rsidRPr="00A9330B" w:rsidRDefault="00AB04ED" w:rsidP="00701C80">
            <w:pPr>
              <w:rPr>
                <w:b/>
                <w:sz w:val="18"/>
                <w:szCs w:val="18"/>
              </w:rPr>
            </w:pPr>
            <w:r w:rsidRPr="00A9330B">
              <w:rPr>
                <w:b/>
                <w:sz w:val="18"/>
                <w:szCs w:val="18"/>
              </w:rPr>
              <w:t>Propriété</w:t>
            </w:r>
          </w:p>
        </w:tc>
        <w:tc>
          <w:tcPr>
            <w:tcW w:w="3611" w:type="dxa"/>
            <w:shd w:val="clear" w:color="auto" w:fill="B4C6E7" w:themeFill="accent5" w:themeFillTint="66"/>
          </w:tcPr>
          <w:p w14:paraId="0E7570EA" w14:textId="77777777" w:rsidR="00AB04ED" w:rsidRPr="00A9330B" w:rsidRDefault="00AB04ED" w:rsidP="00701C80">
            <w:pPr>
              <w:rPr>
                <w:b/>
                <w:sz w:val="18"/>
                <w:szCs w:val="18"/>
              </w:rPr>
            </w:pPr>
            <w:r w:rsidRPr="00A9330B">
              <w:rPr>
                <w:b/>
                <w:sz w:val="18"/>
                <w:szCs w:val="18"/>
              </w:rPr>
              <w:t>Acceptabilité</w:t>
            </w:r>
          </w:p>
        </w:tc>
      </w:tr>
      <w:tr w:rsidR="00AB04ED" w:rsidRPr="00A9330B" w14:paraId="63C7FF41" w14:textId="77777777" w:rsidTr="007430DB">
        <w:trPr>
          <w:trHeight w:val="284"/>
        </w:trPr>
        <w:tc>
          <w:tcPr>
            <w:tcW w:w="1062" w:type="dxa"/>
            <w:shd w:val="clear" w:color="auto" w:fill="FF0000"/>
          </w:tcPr>
          <w:p w14:paraId="33DAA3AA" w14:textId="77777777" w:rsidR="00AB04ED" w:rsidRPr="00A9330B" w:rsidRDefault="00AB04ED" w:rsidP="00701C80">
            <w:pPr>
              <w:rPr>
                <w:b/>
                <w:sz w:val="18"/>
                <w:szCs w:val="18"/>
              </w:rPr>
            </w:pPr>
            <w:r w:rsidRPr="00A9330B">
              <w:rPr>
                <w:b/>
                <w:sz w:val="18"/>
                <w:szCs w:val="18"/>
              </w:rPr>
              <w:t>1</w:t>
            </w:r>
          </w:p>
        </w:tc>
        <w:tc>
          <w:tcPr>
            <w:tcW w:w="3611" w:type="dxa"/>
          </w:tcPr>
          <w:p w14:paraId="65C57936" w14:textId="77777777" w:rsidR="00AB04ED" w:rsidRPr="00A9330B" w:rsidRDefault="00AB04ED" w:rsidP="007430DB">
            <w:pPr>
              <w:rPr>
                <w:sz w:val="18"/>
                <w:szCs w:val="18"/>
              </w:rPr>
            </w:pPr>
            <w:r w:rsidRPr="00A9330B">
              <w:rPr>
                <w:sz w:val="18"/>
                <w:szCs w:val="18"/>
              </w:rPr>
              <w:t xml:space="preserve">Risque élevé à prendre en compte en priorité </w:t>
            </w:r>
          </w:p>
        </w:tc>
      </w:tr>
      <w:tr w:rsidR="00AB04ED" w:rsidRPr="00A9330B" w14:paraId="273AD701" w14:textId="77777777" w:rsidTr="007430DB">
        <w:trPr>
          <w:trHeight w:val="274"/>
        </w:trPr>
        <w:tc>
          <w:tcPr>
            <w:tcW w:w="1062" w:type="dxa"/>
            <w:shd w:val="clear" w:color="auto" w:fill="FFFF00"/>
          </w:tcPr>
          <w:p w14:paraId="0A985D5F" w14:textId="77777777" w:rsidR="00AB04ED" w:rsidRPr="00A9330B" w:rsidRDefault="00AB04ED" w:rsidP="00701C80">
            <w:pPr>
              <w:rPr>
                <w:b/>
                <w:sz w:val="18"/>
                <w:szCs w:val="18"/>
              </w:rPr>
            </w:pPr>
            <w:r w:rsidRPr="00A9330B">
              <w:rPr>
                <w:b/>
                <w:sz w:val="18"/>
                <w:szCs w:val="18"/>
              </w:rPr>
              <w:t>2</w:t>
            </w:r>
          </w:p>
        </w:tc>
        <w:tc>
          <w:tcPr>
            <w:tcW w:w="3611" w:type="dxa"/>
          </w:tcPr>
          <w:p w14:paraId="1242C98D" w14:textId="77777777" w:rsidR="00AB04ED" w:rsidRPr="00A9330B" w:rsidRDefault="00AB04ED" w:rsidP="007430DB">
            <w:pPr>
              <w:rPr>
                <w:sz w:val="18"/>
                <w:szCs w:val="18"/>
              </w:rPr>
            </w:pPr>
            <w:r w:rsidRPr="00A9330B">
              <w:rPr>
                <w:sz w:val="18"/>
                <w:szCs w:val="18"/>
              </w:rPr>
              <w:t xml:space="preserve">Risque important à prendre en compte </w:t>
            </w:r>
          </w:p>
        </w:tc>
      </w:tr>
      <w:tr w:rsidR="00AB04ED" w:rsidRPr="00A9330B" w14:paraId="70350CCB" w14:textId="77777777" w:rsidTr="007430DB">
        <w:trPr>
          <w:trHeight w:val="274"/>
        </w:trPr>
        <w:tc>
          <w:tcPr>
            <w:tcW w:w="1062" w:type="dxa"/>
            <w:shd w:val="clear" w:color="auto" w:fill="62FC0C"/>
          </w:tcPr>
          <w:p w14:paraId="1756FE5C" w14:textId="77777777" w:rsidR="00AB04ED" w:rsidRPr="00A9330B" w:rsidRDefault="00AB04ED" w:rsidP="00701C80">
            <w:pPr>
              <w:rPr>
                <w:b/>
                <w:sz w:val="18"/>
                <w:szCs w:val="18"/>
              </w:rPr>
            </w:pPr>
            <w:r w:rsidRPr="00A9330B">
              <w:rPr>
                <w:b/>
                <w:sz w:val="18"/>
                <w:szCs w:val="18"/>
              </w:rPr>
              <w:t>3</w:t>
            </w:r>
          </w:p>
        </w:tc>
        <w:tc>
          <w:tcPr>
            <w:tcW w:w="3611" w:type="dxa"/>
          </w:tcPr>
          <w:p w14:paraId="7F68BD59" w14:textId="77777777" w:rsidR="00AB04ED" w:rsidRPr="00A9330B" w:rsidRDefault="00AB04ED" w:rsidP="007430DB">
            <w:pPr>
              <w:rPr>
                <w:sz w:val="18"/>
                <w:szCs w:val="18"/>
              </w:rPr>
            </w:pPr>
            <w:r w:rsidRPr="00A9330B">
              <w:rPr>
                <w:sz w:val="18"/>
                <w:szCs w:val="18"/>
              </w:rPr>
              <w:t xml:space="preserve">Risque acceptable </w:t>
            </w:r>
          </w:p>
        </w:tc>
      </w:tr>
    </w:tbl>
    <w:p w14:paraId="3E38C58D" w14:textId="77777777" w:rsidR="00AB04ED" w:rsidRPr="00A9330B" w:rsidRDefault="00AB04ED" w:rsidP="00AB04ED">
      <w:pPr>
        <w:jc w:val="both"/>
        <w:rPr>
          <w:rFonts w:cs="Arial"/>
        </w:rPr>
      </w:pPr>
      <w:r w:rsidRPr="00A9330B">
        <w:rPr>
          <w:rFonts w:cs="Arial"/>
        </w:rPr>
        <w:t>Enfin, les mesures générales applicables à ces types de risques sont proposées afin de réduire, limiter voire supprimer les risques et conséquences d’un accident ou danger. Ces mesures sont « standards » et n’excluent pas la mise en place de mesures complémentaires appropriées en fonction de l’environnement du site.</w:t>
      </w:r>
    </w:p>
    <w:p w14:paraId="408A9509" w14:textId="4637F1A4" w:rsidR="00AB04ED" w:rsidRPr="00A9330B" w:rsidRDefault="00AB04ED" w:rsidP="0064324E">
      <w:pPr>
        <w:pStyle w:val="Titre40"/>
      </w:pPr>
      <w:bookmarkStart w:id="591" w:name="_Toc45520765"/>
      <w:bookmarkStart w:id="592" w:name="_Toc52869573"/>
      <w:bookmarkEnd w:id="447"/>
      <w:r w:rsidRPr="00A9330B">
        <w:t>1.3.5.6. Plan de gestion environnementale et sociale</w:t>
      </w:r>
      <w:bookmarkEnd w:id="591"/>
      <w:bookmarkEnd w:id="592"/>
    </w:p>
    <w:p w14:paraId="1F845EC0" w14:textId="77777777" w:rsidR="00AB04ED" w:rsidRPr="00A9330B" w:rsidRDefault="00AB04ED" w:rsidP="00AB04ED">
      <w:pPr>
        <w:jc w:val="both"/>
      </w:pPr>
      <w:r w:rsidRPr="00A9330B">
        <w:t>Le plan de gestion environnementale et sociale présente dans un tableau de référence l’ensemble des mesures préconisées. Il inclut l’ensemble des mesures d’atténuation et de compensation des impacts négatifs du projet de même que les mesures de maximisation des impacts positifs. Celui-ci précise pour chacune des mesures, les indicateurs de performance, les structures chargées de la surveillance ainsi que celles qui assurent le suivi environnemental. Il comprend par conséquent :</w:t>
      </w:r>
    </w:p>
    <w:p w14:paraId="3433B57B" w14:textId="77777777" w:rsidR="00AB04ED" w:rsidRPr="00A9330B" w:rsidRDefault="00AB04ED" w:rsidP="007E42F5">
      <w:pPr>
        <w:pStyle w:val="Paragraphedeliste"/>
        <w:numPr>
          <w:ilvl w:val="0"/>
          <w:numId w:val="33"/>
        </w:numPr>
        <w:jc w:val="both"/>
        <w:rPr>
          <w:lang w:val="fr-FR"/>
        </w:rPr>
      </w:pPr>
      <w:r w:rsidRPr="00A9330B">
        <w:rPr>
          <w:lang w:val="fr-FR"/>
        </w:rPr>
        <w:t xml:space="preserve">les mesures en faveur de l’environnement ; </w:t>
      </w:r>
    </w:p>
    <w:p w14:paraId="3EC5FF55" w14:textId="77777777" w:rsidR="00AB04ED" w:rsidRPr="00A9330B" w:rsidRDefault="00AB04ED" w:rsidP="007E42F5">
      <w:pPr>
        <w:pStyle w:val="Paragraphedeliste"/>
        <w:numPr>
          <w:ilvl w:val="0"/>
          <w:numId w:val="33"/>
        </w:numPr>
        <w:jc w:val="both"/>
        <w:rPr>
          <w:lang w:val="fr-FR"/>
        </w:rPr>
      </w:pPr>
      <w:r w:rsidRPr="00A9330B">
        <w:rPr>
          <w:lang w:val="fr-FR"/>
        </w:rPr>
        <w:t xml:space="preserve">le plan de surveillance et de suivi des mesures proposées ; </w:t>
      </w:r>
    </w:p>
    <w:p w14:paraId="4CE13CF0" w14:textId="77777777" w:rsidR="00AB04ED" w:rsidRPr="00A9330B" w:rsidRDefault="00AB04ED" w:rsidP="007E42F5">
      <w:pPr>
        <w:pStyle w:val="Paragraphedeliste"/>
        <w:numPr>
          <w:ilvl w:val="0"/>
          <w:numId w:val="33"/>
        </w:numPr>
        <w:jc w:val="both"/>
        <w:rPr>
          <w:lang w:val="fr-FR"/>
        </w:rPr>
      </w:pPr>
      <w:r w:rsidRPr="00A9330B">
        <w:rPr>
          <w:lang w:val="fr-FR"/>
        </w:rPr>
        <w:lastRenderedPageBreak/>
        <w:t xml:space="preserve">les modalités de mise en œuvre du PGES, incluant notamment les dispositions institutionnelles en matière de maîtrise d’ouvrage, de maîtrise d’œuvre et de renforcement institutionnel ; </w:t>
      </w:r>
    </w:p>
    <w:p w14:paraId="77EBB3F4" w14:textId="77777777" w:rsidR="00AB04ED" w:rsidRPr="00A9330B" w:rsidRDefault="00AB04ED" w:rsidP="007E42F5">
      <w:pPr>
        <w:pStyle w:val="Paragraphedeliste"/>
        <w:numPr>
          <w:ilvl w:val="0"/>
          <w:numId w:val="33"/>
        </w:numPr>
        <w:jc w:val="both"/>
        <w:rPr>
          <w:lang w:val="fr-FR"/>
        </w:rPr>
      </w:pPr>
      <w:r w:rsidRPr="00A9330B">
        <w:rPr>
          <w:lang w:val="fr-FR"/>
        </w:rPr>
        <w:t>les coûts des différentes mesures et les dispositions institutionnelles.</w:t>
      </w:r>
    </w:p>
    <w:p w14:paraId="28637FA5" w14:textId="14A0AE2C" w:rsidR="00AB04ED" w:rsidRPr="00A9330B" w:rsidRDefault="00AB04ED" w:rsidP="00AB04ED">
      <w:pPr>
        <w:jc w:val="both"/>
      </w:pPr>
      <w:r w:rsidRPr="00A9330B">
        <w:t xml:space="preserve">Le plan de gestion environnementale et sociale sera accompagné d’un </w:t>
      </w:r>
      <w:r w:rsidR="00C124F7" w:rsidRPr="00A9330B">
        <w:t>programme de</w:t>
      </w:r>
      <w:r w:rsidRPr="00A9330B">
        <w:t xml:space="preserve"> surveillance et de suivi qui indique de façon claire : </w:t>
      </w:r>
    </w:p>
    <w:p w14:paraId="0C2494EB" w14:textId="77777777" w:rsidR="00AB04ED" w:rsidRPr="00A9330B" w:rsidRDefault="00AB04ED" w:rsidP="007E42F5">
      <w:pPr>
        <w:pStyle w:val="Paragraphedeliste"/>
        <w:numPr>
          <w:ilvl w:val="0"/>
          <w:numId w:val="32"/>
        </w:numPr>
        <w:jc w:val="both"/>
        <w:rPr>
          <w:lang w:val="fr-FR"/>
        </w:rPr>
      </w:pPr>
      <w:r w:rsidRPr="00A9330B">
        <w:rPr>
          <w:lang w:val="fr-FR"/>
        </w:rPr>
        <w:t xml:space="preserve">les mesures de prévention (avant impact) ; </w:t>
      </w:r>
    </w:p>
    <w:p w14:paraId="7271A2C8" w14:textId="77777777" w:rsidR="00AB04ED" w:rsidRPr="00A9330B" w:rsidRDefault="00AB04ED" w:rsidP="007E42F5">
      <w:pPr>
        <w:pStyle w:val="Paragraphedeliste"/>
        <w:numPr>
          <w:ilvl w:val="0"/>
          <w:numId w:val="32"/>
        </w:numPr>
        <w:jc w:val="both"/>
        <w:rPr>
          <w:lang w:val="fr-FR"/>
        </w:rPr>
      </w:pPr>
      <w:r w:rsidRPr="00A9330B">
        <w:rPr>
          <w:lang w:val="fr-FR"/>
        </w:rPr>
        <w:t xml:space="preserve">les mesures d’atténuation (pendant impact) ; </w:t>
      </w:r>
    </w:p>
    <w:p w14:paraId="0C7EC154" w14:textId="77777777" w:rsidR="00AB04ED" w:rsidRPr="00A9330B" w:rsidRDefault="00AB04ED" w:rsidP="007E42F5">
      <w:pPr>
        <w:pStyle w:val="Paragraphedeliste"/>
        <w:numPr>
          <w:ilvl w:val="0"/>
          <w:numId w:val="32"/>
        </w:numPr>
        <w:jc w:val="both"/>
        <w:rPr>
          <w:lang w:val="fr-FR"/>
        </w:rPr>
      </w:pPr>
      <w:r w:rsidRPr="00A9330B">
        <w:rPr>
          <w:lang w:val="fr-FR"/>
        </w:rPr>
        <w:t xml:space="preserve">les mesures de réparation ou de compensation (après impact) ; </w:t>
      </w:r>
    </w:p>
    <w:p w14:paraId="75CB71EE" w14:textId="77777777" w:rsidR="00AB04ED" w:rsidRPr="00A9330B" w:rsidRDefault="00AB04ED" w:rsidP="007E42F5">
      <w:pPr>
        <w:pStyle w:val="Paragraphedeliste"/>
        <w:numPr>
          <w:ilvl w:val="0"/>
          <w:numId w:val="32"/>
        </w:numPr>
        <w:jc w:val="both"/>
        <w:rPr>
          <w:lang w:val="fr-FR"/>
        </w:rPr>
      </w:pPr>
      <w:r w:rsidRPr="00A9330B">
        <w:rPr>
          <w:lang w:val="fr-FR"/>
        </w:rPr>
        <w:t>la chronologie de la mise en œuvre de chaque mesure.</w:t>
      </w:r>
    </w:p>
    <w:p w14:paraId="18DE9D11" w14:textId="77777777" w:rsidR="00AB04ED" w:rsidRPr="00A9330B" w:rsidRDefault="00AB04ED" w:rsidP="00AB04ED">
      <w:pPr>
        <w:jc w:val="both"/>
      </w:pPr>
      <w:r w:rsidRPr="00A9330B">
        <w:t>Ces mesures peuvent être des ouvrages, des équipements (lutte contre incendie et sinistre), des prestations, des prescriptions, des dispositions, etc.</w:t>
      </w:r>
    </w:p>
    <w:p w14:paraId="2F3C5457" w14:textId="399C6558" w:rsidR="00AB04ED" w:rsidRPr="00A9330B" w:rsidRDefault="00AB04ED" w:rsidP="00A9330B">
      <w:pPr>
        <w:pStyle w:val="Lgende"/>
      </w:pPr>
      <w:bookmarkStart w:id="593" w:name="_Toc533058568"/>
      <w:bookmarkStart w:id="594" w:name="_Toc52873735"/>
      <w:r w:rsidRPr="00A9330B">
        <w:t xml:space="preserve">Tableau </w:t>
      </w:r>
      <w:r w:rsidR="009D26AD" w:rsidRPr="00A9330B">
        <w:rPr>
          <w:noProof/>
        </w:rPr>
        <w:fldChar w:fldCharType="begin"/>
      </w:r>
      <w:r w:rsidR="009D26AD" w:rsidRPr="00A9330B">
        <w:rPr>
          <w:noProof/>
        </w:rPr>
        <w:instrText xml:space="preserve"> SEQ Tableau \* ARABIC </w:instrText>
      </w:r>
      <w:r w:rsidR="009D26AD" w:rsidRPr="00A9330B">
        <w:rPr>
          <w:noProof/>
        </w:rPr>
        <w:fldChar w:fldCharType="separate"/>
      </w:r>
      <w:r w:rsidR="00417D31" w:rsidRPr="00A9330B">
        <w:rPr>
          <w:noProof/>
        </w:rPr>
        <w:t>11</w:t>
      </w:r>
      <w:r w:rsidR="009D26AD" w:rsidRPr="00A9330B">
        <w:rPr>
          <w:noProof/>
        </w:rPr>
        <w:fldChar w:fldCharType="end"/>
      </w:r>
      <w:r w:rsidRPr="00A9330B">
        <w:t xml:space="preserve"> : Modèle de présentation de la synthèse du PGES </w:t>
      </w:r>
      <w:bookmarkEnd w:id="593"/>
      <w:r w:rsidR="00457368" w:rsidRPr="00A9330B">
        <w:t xml:space="preserve">du </w:t>
      </w:r>
      <w:r w:rsidRPr="00A9330B">
        <w:t>PAPVS</w:t>
      </w:r>
      <w:bookmarkEnd w:id="594"/>
    </w:p>
    <w:tbl>
      <w:tblPr>
        <w:tblW w:w="5319" w:type="pct"/>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Look w:val="04A0" w:firstRow="1" w:lastRow="0" w:firstColumn="1" w:lastColumn="0" w:noHBand="0" w:noVBand="1"/>
      </w:tblPr>
      <w:tblGrid>
        <w:gridCol w:w="1276"/>
        <w:gridCol w:w="1843"/>
        <w:gridCol w:w="1276"/>
        <w:gridCol w:w="1134"/>
        <w:gridCol w:w="1558"/>
        <w:gridCol w:w="1560"/>
        <w:gridCol w:w="993"/>
      </w:tblGrid>
      <w:tr w:rsidR="00AB04ED" w:rsidRPr="00A9330B" w14:paraId="53EC65E9" w14:textId="77777777" w:rsidTr="00701C80">
        <w:trPr>
          <w:trHeight w:val="221"/>
          <w:tblHeader/>
        </w:trPr>
        <w:tc>
          <w:tcPr>
            <w:tcW w:w="662" w:type="pct"/>
            <w:shd w:val="clear" w:color="auto" w:fill="B4C6E7" w:themeFill="accent5" w:themeFillTint="66"/>
          </w:tcPr>
          <w:p w14:paraId="387C6C2A" w14:textId="77777777" w:rsidR="00AB04ED" w:rsidRPr="00A9330B" w:rsidRDefault="00AB04ED" w:rsidP="00701C80">
            <w:pPr>
              <w:spacing w:before="60"/>
              <w:rPr>
                <w:rFonts w:cs="Arial"/>
                <w:b/>
                <w:sz w:val="16"/>
                <w:szCs w:val="16"/>
              </w:rPr>
            </w:pPr>
            <w:r w:rsidRPr="00A9330B">
              <w:rPr>
                <w:rFonts w:cs="Arial"/>
                <w:b/>
                <w:sz w:val="16"/>
                <w:szCs w:val="16"/>
              </w:rPr>
              <w:t>ACTIVITES</w:t>
            </w:r>
          </w:p>
        </w:tc>
        <w:tc>
          <w:tcPr>
            <w:tcW w:w="956" w:type="pct"/>
            <w:shd w:val="clear" w:color="auto" w:fill="B4C6E7" w:themeFill="accent5" w:themeFillTint="66"/>
          </w:tcPr>
          <w:p w14:paraId="184E69F1" w14:textId="77777777" w:rsidR="00AB04ED" w:rsidRPr="00A9330B" w:rsidRDefault="00AB04ED" w:rsidP="00701C80">
            <w:pPr>
              <w:spacing w:before="60"/>
              <w:rPr>
                <w:rFonts w:cs="Arial"/>
                <w:b/>
                <w:sz w:val="16"/>
                <w:szCs w:val="16"/>
              </w:rPr>
            </w:pPr>
            <w:r w:rsidRPr="00A9330B">
              <w:rPr>
                <w:rFonts w:cs="Arial"/>
                <w:b/>
                <w:sz w:val="16"/>
                <w:szCs w:val="16"/>
              </w:rPr>
              <w:t>INDICATEURS DE VERIFICATION</w:t>
            </w:r>
          </w:p>
        </w:tc>
        <w:tc>
          <w:tcPr>
            <w:tcW w:w="662" w:type="pct"/>
            <w:shd w:val="clear" w:color="auto" w:fill="B4C6E7" w:themeFill="accent5" w:themeFillTint="66"/>
          </w:tcPr>
          <w:p w14:paraId="1342FE7F" w14:textId="77777777" w:rsidR="00AB04ED" w:rsidRPr="00A9330B" w:rsidRDefault="00AB04ED" w:rsidP="00701C80">
            <w:pPr>
              <w:spacing w:before="60"/>
              <w:rPr>
                <w:rFonts w:cs="Arial"/>
                <w:b/>
                <w:sz w:val="16"/>
                <w:szCs w:val="16"/>
              </w:rPr>
            </w:pPr>
            <w:r w:rsidRPr="00A9330B">
              <w:rPr>
                <w:rFonts w:cs="Arial"/>
                <w:b/>
                <w:sz w:val="16"/>
                <w:szCs w:val="16"/>
              </w:rPr>
              <w:t>INDICATEUR D’IMPACT</w:t>
            </w:r>
          </w:p>
        </w:tc>
        <w:tc>
          <w:tcPr>
            <w:tcW w:w="588" w:type="pct"/>
            <w:shd w:val="clear" w:color="auto" w:fill="B4C6E7" w:themeFill="accent5" w:themeFillTint="66"/>
          </w:tcPr>
          <w:p w14:paraId="0C2A0D9B" w14:textId="77777777" w:rsidR="00AB04ED" w:rsidRPr="00A9330B" w:rsidRDefault="00AB04ED" w:rsidP="00701C80">
            <w:pPr>
              <w:spacing w:before="60"/>
              <w:rPr>
                <w:rFonts w:cs="Arial"/>
                <w:b/>
                <w:sz w:val="16"/>
                <w:szCs w:val="16"/>
              </w:rPr>
            </w:pPr>
            <w:r w:rsidRPr="00A9330B">
              <w:rPr>
                <w:rFonts w:cs="Arial"/>
                <w:b/>
                <w:sz w:val="16"/>
                <w:szCs w:val="16"/>
              </w:rPr>
              <w:t>PHASE DU PROJET</w:t>
            </w:r>
          </w:p>
        </w:tc>
        <w:tc>
          <w:tcPr>
            <w:tcW w:w="808" w:type="pct"/>
            <w:shd w:val="clear" w:color="auto" w:fill="B4C6E7" w:themeFill="accent5" w:themeFillTint="66"/>
          </w:tcPr>
          <w:p w14:paraId="4458A104" w14:textId="77777777" w:rsidR="00AB04ED" w:rsidRPr="00A9330B" w:rsidRDefault="00AB04ED" w:rsidP="00701C80">
            <w:pPr>
              <w:spacing w:before="60"/>
              <w:rPr>
                <w:rFonts w:cs="Arial"/>
                <w:b/>
                <w:sz w:val="16"/>
                <w:szCs w:val="16"/>
              </w:rPr>
            </w:pPr>
            <w:r w:rsidRPr="00A9330B">
              <w:rPr>
                <w:rFonts w:cs="Arial"/>
                <w:b/>
                <w:sz w:val="16"/>
                <w:szCs w:val="16"/>
              </w:rPr>
              <w:t>RESPONSABLE MISE EN ŒUVRE</w:t>
            </w:r>
          </w:p>
        </w:tc>
        <w:tc>
          <w:tcPr>
            <w:tcW w:w="809" w:type="pct"/>
            <w:shd w:val="clear" w:color="auto" w:fill="B4C6E7" w:themeFill="accent5" w:themeFillTint="66"/>
          </w:tcPr>
          <w:p w14:paraId="1725E8A7" w14:textId="77777777" w:rsidR="00AB04ED" w:rsidRPr="00A9330B" w:rsidRDefault="00AB04ED" w:rsidP="00701C80">
            <w:pPr>
              <w:spacing w:before="60"/>
              <w:rPr>
                <w:rFonts w:cs="Arial"/>
                <w:b/>
                <w:sz w:val="16"/>
                <w:szCs w:val="16"/>
              </w:rPr>
            </w:pPr>
            <w:r w:rsidRPr="00A9330B">
              <w:rPr>
                <w:rFonts w:cs="Arial"/>
                <w:b/>
                <w:sz w:val="16"/>
                <w:szCs w:val="16"/>
              </w:rPr>
              <w:t>RESPONSABLE SUIVI</w:t>
            </w:r>
          </w:p>
        </w:tc>
        <w:tc>
          <w:tcPr>
            <w:tcW w:w="515" w:type="pct"/>
            <w:shd w:val="clear" w:color="auto" w:fill="B4C6E7" w:themeFill="accent5" w:themeFillTint="66"/>
          </w:tcPr>
          <w:p w14:paraId="245B0C1C" w14:textId="77777777" w:rsidR="00AB04ED" w:rsidRPr="00A9330B" w:rsidRDefault="00AB04ED" w:rsidP="00701C80">
            <w:pPr>
              <w:spacing w:before="60"/>
              <w:rPr>
                <w:rFonts w:cs="Arial"/>
                <w:b/>
                <w:sz w:val="16"/>
                <w:szCs w:val="16"/>
              </w:rPr>
            </w:pPr>
            <w:r w:rsidRPr="00A9330B">
              <w:rPr>
                <w:rFonts w:cs="Arial"/>
                <w:b/>
                <w:sz w:val="16"/>
                <w:szCs w:val="16"/>
              </w:rPr>
              <w:t xml:space="preserve">COUT </w:t>
            </w:r>
          </w:p>
        </w:tc>
      </w:tr>
      <w:tr w:rsidR="00AB04ED" w:rsidRPr="00A9330B" w14:paraId="5CC5D94A" w14:textId="77777777" w:rsidTr="00701C80">
        <w:trPr>
          <w:trHeight w:val="139"/>
        </w:trPr>
        <w:tc>
          <w:tcPr>
            <w:tcW w:w="5000" w:type="pct"/>
            <w:gridSpan w:val="7"/>
            <w:shd w:val="clear" w:color="auto" w:fill="F7CAAC" w:themeFill="accent2" w:themeFillTint="66"/>
          </w:tcPr>
          <w:p w14:paraId="2F0E9062" w14:textId="77777777" w:rsidR="00AB04ED" w:rsidRPr="00A9330B" w:rsidRDefault="00AB04ED" w:rsidP="00701C80">
            <w:pPr>
              <w:spacing w:before="60"/>
              <w:rPr>
                <w:rFonts w:cs="Arial"/>
                <w:b/>
                <w:sz w:val="20"/>
                <w:szCs w:val="20"/>
              </w:rPr>
            </w:pPr>
            <w:r w:rsidRPr="00A9330B">
              <w:rPr>
                <w:rFonts w:cs="Arial"/>
                <w:b/>
                <w:sz w:val="20"/>
                <w:szCs w:val="20"/>
              </w:rPr>
              <w:t>I. Phase de préparation et d’installation</w:t>
            </w:r>
          </w:p>
        </w:tc>
      </w:tr>
      <w:tr w:rsidR="00AB04ED" w:rsidRPr="00A9330B" w14:paraId="4C81F0C4" w14:textId="77777777" w:rsidTr="00701C80">
        <w:trPr>
          <w:trHeight w:val="297"/>
        </w:trPr>
        <w:tc>
          <w:tcPr>
            <w:tcW w:w="662" w:type="pct"/>
            <w:shd w:val="clear" w:color="auto" w:fill="FFFFFF"/>
          </w:tcPr>
          <w:p w14:paraId="2D2DD5FC" w14:textId="77777777" w:rsidR="00AB04ED" w:rsidRPr="00A9330B" w:rsidRDefault="00AB04ED" w:rsidP="00701C80">
            <w:pPr>
              <w:spacing w:before="60"/>
              <w:rPr>
                <w:rFonts w:cs="Arial"/>
                <w:sz w:val="20"/>
                <w:szCs w:val="20"/>
              </w:rPr>
            </w:pPr>
          </w:p>
        </w:tc>
        <w:tc>
          <w:tcPr>
            <w:tcW w:w="956" w:type="pct"/>
            <w:shd w:val="clear" w:color="auto" w:fill="FFFFFF"/>
          </w:tcPr>
          <w:p w14:paraId="5276DFD0" w14:textId="77777777" w:rsidR="00AB04ED" w:rsidRPr="00A9330B" w:rsidRDefault="00AB04ED" w:rsidP="00701C80">
            <w:pPr>
              <w:spacing w:before="60"/>
              <w:rPr>
                <w:rFonts w:cs="Arial"/>
                <w:sz w:val="20"/>
                <w:szCs w:val="20"/>
              </w:rPr>
            </w:pPr>
          </w:p>
        </w:tc>
        <w:tc>
          <w:tcPr>
            <w:tcW w:w="662" w:type="pct"/>
            <w:shd w:val="clear" w:color="auto" w:fill="FFFFFF"/>
          </w:tcPr>
          <w:p w14:paraId="35752267" w14:textId="77777777" w:rsidR="00AB04ED" w:rsidRPr="00A9330B" w:rsidRDefault="00AB04ED" w:rsidP="00701C80">
            <w:pPr>
              <w:spacing w:before="60"/>
              <w:rPr>
                <w:rFonts w:cs="Arial"/>
                <w:sz w:val="20"/>
                <w:szCs w:val="20"/>
              </w:rPr>
            </w:pPr>
          </w:p>
        </w:tc>
        <w:tc>
          <w:tcPr>
            <w:tcW w:w="588" w:type="pct"/>
            <w:shd w:val="clear" w:color="auto" w:fill="FFFFFF"/>
          </w:tcPr>
          <w:p w14:paraId="69B59C36" w14:textId="77777777" w:rsidR="00AB04ED" w:rsidRPr="00A9330B" w:rsidRDefault="00AB04ED" w:rsidP="00701C80">
            <w:pPr>
              <w:spacing w:before="60"/>
              <w:rPr>
                <w:rFonts w:cs="Arial"/>
                <w:sz w:val="20"/>
                <w:szCs w:val="20"/>
              </w:rPr>
            </w:pPr>
          </w:p>
        </w:tc>
        <w:tc>
          <w:tcPr>
            <w:tcW w:w="808" w:type="pct"/>
            <w:shd w:val="clear" w:color="auto" w:fill="FFFFFF"/>
          </w:tcPr>
          <w:p w14:paraId="7736B8CD" w14:textId="77777777" w:rsidR="00AB04ED" w:rsidRPr="00A9330B" w:rsidRDefault="00AB04ED" w:rsidP="00701C80">
            <w:pPr>
              <w:spacing w:before="60"/>
              <w:rPr>
                <w:rFonts w:cs="Arial"/>
                <w:sz w:val="20"/>
                <w:szCs w:val="20"/>
              </w:rPr>
            </w:pPr>
          </w:p>
        </w:tc>
        <w:tc>
          <w:tcPr>
            <w:tcW w:w="809" w:type="pct"/>
            <w:shd w:val="clear" w:color="auto" w:fill="FFFFFF"/>
          </w:tcPr>
          <w:p w14:paraId="095C93FA" w14:textId="77777777" w:rsidR="00AB04ED" w:rsidRPr="00A9330B" w:rsidRDefault="00AB04ED" w:rsidP="00701C80">
            <w:pPr>
              <w:spacing w:before="60"/>
              <w:rPr>
                <w:rFonts w:cs="Arial"/>
                <w:sz w:val="20"/>
                <w:szCs w:val="20"/>
              </w:rPr>
            </w:pPr>
          </w:p>
        </w:tc>
        <w:tc>
          <w:tcPr>
            <w:tcW w:w="515" w:type="pct"/>
            <w:shd w:val="clear" w:color="auto" w:fill="FFFFFF"/>
          </w:tcPr>
          <w:p w14:paraId="3FA588E8" w14:textId="77777777" w:rsidR="00AB04ED" w:rsidRPr="00A9330B" w:rsidRDefault="00AB04ED" w:rsidP="00701C80">
            <w:pPr>
              <w:spacing w:before="60"/>
              <w:rPr>
                <w:rFonts w:cs="Arial"/>
                <w:sz w:val="20"/>
                <w:szCs w:val="20"/>
              </w:rPr>
            </w:pPr>
          </w:p>
        </w:tc>
      </w:tr>
      <w:tr w:rsidR="00AB04ED" w:rsidRPr="00A9330B" w14:paraId="0355F18B" w14:textId="77777777" w:rsidTr="00701C80">
        <w:trPr>
          <w:trHeight w:val="223"/>
        </w:trPr>
        <w:tc>
          <w:tcPr>
            <w:tcW w:w="662" w:type="pct"/>
            <w:shd w:val="clear" w:color="auto" w:fill="FFFFFF"/>
          </w:tcPr>
          <w:p w14:paraId="2FFE69CB" w14:textId="77777777" w:rsidR="00AB04ED" w:rsidRPr="00A9330B" w:rsidRDefault="00AB04ED" w:rsidP="00701C80">
            <w:pPr>
              <w:spacing w:before="60"/>
              <w:rPr>
                <w:rFonts w:cs="Arial"/>
                <w:sz w:val="20"/>
                <w:szCs w:val="20"/>
              </w:rPr>
            </w:pPr>
          </w:p>
        </w:tc>
        <w:tc>
          <w:tcPr>
            <w:tcW w:w="956" w:type="pct"/>
            <w:shd w:val="clear" w:color="auto" w:fill="FFFFFF"/>
          </w:tcPr>
          <w:p w14:paraId="4E2D5B60" w14:textId="77777777" w:rsidR="00AB04ED" w:rsidRPr="00A9330B" w:rsidRDefault="00AB04ED" w:rsidP="00701C80">
            <w:pPr>
              <w:spacing w:before="60"/>
              <w:rPr>
                <w:rFonts w:cs="Arial"/>
                <w:sz w:val="20"/>
                <w:szCs w:val="20"/>
              </w:rPr>
            </w:pPr>
          </w:p>
        </w:tc>
        <w:tc>
          <w:tcPr>
            <w:tcW w:w="662" w:type="pct"/>
            <w:shd w:val="clear" w:color="auto" w:fill="FFFFFF"/>
          </w:tcPr>
          <w:p w14:paraId="3D17486B" w14:textId="77777777" w:rsidR="00AB04ED" w:rsidRPr="00A9330B" w:rsidRDefault="00AB04ED" w:rsidP="00701C80">
            <w:pPr>
              <w:spacing w:before="60"/>
              <w:rPr>
                <w:rFonts w:cs="Arial"/>
                <w:sz w:val="20"/>
                <w:szCs w:val="20"/>
              </w:rPr>
            </w:pPr>
          </w:p>
        </w:tc>
        <w:tc>
          <w:tcPr>
            <w:tcW w:w="588" w:type="pct"/>
            <w:shd w:val="clear" w:color="auto" w:fill="FFFFFF"/>
          </w:tcPr>
          <w:p w14:paraId="414202D8" w14:textId="77777777" w:rsidR="00AB04ED" w:rsidRPr="00A9330B" w:rsidRDefault="00AB04ED" w:rsidP="00701C80">
            <w:pPr>
              <w:spacing w:before="60"/>
              <w:rPr>
                <w:rFonts w:cs="Arial"/>
                <w:sz w:val="20"/>
                <w:szCs w:val="20"/>
              </w:rPr>
            </w:pPr>
          </w:p>
        </w:tc>
        <w:tc>
          <w:tcPr>
            <w:tcW w:w="808" w:type="pct"/>
            <w:shd w:val="clear" w:color="auto" w:fill="FFFFFF"/>
          </w:tcPr>
          <w:p w14:paraId="1C73E75F" w14:textId="77777777" w:rsidR="00AB04ED" w:rsidRPr="00A9330B" w:rsidRDefault="00AB04ED" w:rsidP="00701C80">
            <w:pPr>
              <w:spacing w:before="60"/>
              <w:rPr>
                <w:rFonts w:cs="Arial"/>
                <w:sz w:val="20"/>
                <w:szCs w:val="20"/>
              </w:rPr>
            </w:pPr>
          </w:p>
        </w:tc>
        <w:tc>
          <w:tcPr>
            <w:tcW w:w="809" w:type="pct"/>
            <w:shd w:val="clear" w:color="auto" w:fill="FFFFFF"/>
          </w:tcPr>
          <w:p w14:paraId="257FE541" w14:textId="77777777" w:rsidR="00AB04ED" w:rsidRPr="00A9330B" w:rsidRDefault="00AB04ED" w:rsidP="00701C80">
            <w:pPr>
              <w:spacing w:before="60"/>
              <w:rPr>
                <w:rFonts w:cs="Arial"/>
                <w:sz w:val="20"/>
                <w:szCs w:val="20"/>
              </w:rPr>
            </w:pPr>
          </w:p>
        </w:tc>
        <w:tc>
          <w:tcPr>
            <w:tcW w:w="515" w:type="pct"/>
            <w:shd w:val="clear" w:color="auto" w:fill="FFFFFF"/>
          </w:tcPr>
          <w:p w14:paraId="368ABBDE" w14:textId="77777777" w:rsidR="00AB04ED" w:rsidRPr="00A9330B" w:rsidRDefault="00AB04ED" w:rsidP="00701C80">
            <w:pPr>
              <w:spacing w:before="60"/>
              <w:rPr>
                <w:rFonts w:cs="Arial"/>
                <w:sz w:val="20"/>
                <w:szCs w:val="20"/>
              </w:rPr>
            </w:pPr>
          </w:p>
        </w:tc>
      </w:tr>
      <w:tr w:rsidR="00AB04ED" w:rsidRPr="00A9330B" w14:paraId="510523CD" w14:textId="77777777" w:rsidTr="00701C80">
        <w:trPr>
          <w:trHeight w:val="297"/>
        </w:trPr>
        <w:tc>
          <w:tcPr>
            <w:tcW w:w="5000" w:type="pct"/>
            <w:gridSpan w:val="7"/>
            <w:shd w:val="clear" w:color="auto" w:fill="F7CAAC" w:themeFill="accent2" w:themeFillTint="66"/>
          </w:tcPr>
          <w:p w14:paraId="13201653" w14:textId="77777777" w:rsidR="00AB04ED" w:rsidRPr="00A9330B" w:rsidRDefault="00AB04ED" w:rsidP="00701C80">
            <w:pPr>
              <w:spacing w:before="60"/>
              <w:rPr>
                <w:rFonts w:cs="Arial"/>
                <w:b/>
                <w:sz w:val="20"/>
                <w:szCs w:val="20"/>
              </w:rPr>
            </w:pPr>
            <w:r w:rsidRPr="00A9330B">
              <w:rPr>
                <w:rFonts w:cs="Arial"/>
                <w:b/>
                <w:sz w:val="20"/>
                <w:szCs w:val="20"/>
              </w:rPr>
              <w:t xml:space="preserve">II. Phase de construction </w:t>
            </w:r>
          </w:p>
        </w:tc>
      </w:tr>
      <w:tr w:rsidR="00AB04ED" w:rsidRPr="00A9330B" w14:paraId="2FC4A22F" w14:textId="77777777" w:rsidTr="00701C80">
        <w:trPr>
          <w:trHeight w:val="297"/>
        </w:trPr>
        <w:tc>
          <w:tcPr>
            <w:tcW w:w="662" w:type="pct"/>
            <w:shd w:val="clear" w:color="auto" w:fill="FFFFFF"/>
          </w:tcPr>
          <w:p w14:paraId="4D3B4B69" w14:textId="77777777" w:rsidR="00AB04ED" w:rsidRPr="00A9330B" w:rsidRDefault="00AB04ED" w:rsidP="00701C80">
            <w:pPr>
              <w:spacing w:before="60"/>
              <w:rPr>
                <w:rFonts w:cs="Arial"/>
                <w:sz w:val="20"/>
                <w:szCs w:val="20"/>
              </w:rPr>
            </w:pPr>
          </w:p>
        </w:tc>
        <w:tc>
          <w:tcPr>
            <w:tcW w:w="956" w:type="pct"/>
            <w:shd w:val="clear" w:color="auto" w:fill="FFFFFF"/>
          </w:tcPr>
          <w:p w14:paraId="76C8D01C" w14:textId="77777777" w:rsidR="00AB04ED" w:rsidRPr="00A9330B" w:rsidRDefault="00AB04ED" w:rsidP="00701C80">
            <w:pPr>
              <w:spacing w:before="60"/>
              <w:rPr>
                <w:rFonts w:cs="Arial"/>
                <w:sz w:val="20"/>
                <w:szCs w:val="20"/>
              </w:rPr>
            </w:pPr>
          </w:p>
        </w:tc>
        <w:tc>
          <w:tcPr>
            <w:tcW w:w="662" w:type="pct"/>
            <w:shd w:val="clear" w:color="auto" w:fill="FFFFFF"/>
          </w:tcPr>
          <w:p w14:paraId="10E4C1A1" w14:textId="77777777" w:rsidR="00AB04ED" w:rsidRPr="00A9330B" w:rsidRDefault="00AB04ED" w:rsidP="00701C80">
            <w:pPr>
              <w:spacing w:before="60"/>
              <w:rPr>
                <w:rFonts w:cs="Arial"/>
                <w:sz w:val="20"/>
                <w:szCs w:val="20"/>
              </w:rPr>
            </w:pPr>
          </w:p>
        </w:tc>
        <w:tc>
          <w:tcPr>
            <w:tcW w:w="588" w:type="pct"/>
            <w:shd w:val="clear" w:color="auto" w:fill="FFFFFF"/>
          </w:tcPr>
          <w:p w14:paraId="32E4EFEB" w14:textId="77777777" w:rsidR="00AB04ED" w:rsidRPr="00A9330B" w:rsidRDefault="00AB04ED" w:rsidP="00701C80">
            <w:pPr>
              <w:spacing w:before="60"/>
              <w:rPr>
                <w:rFonts w:cs="Arial"/>
                <w:sz w:val="20"/>
                <w:szCs w:val="20"/>
              </w:rPr>
            </w:pPr>
          </w:p>
        </w:tc>
        <w:tc>
          <w:tcPr>
            <w:tcW w:w="808" w:type="pct"/>
            <w:shd w:val="clear" w:color="auto" w:fill="FFFFFF"/>
          </w:tcPr>
          <w:p w14:paraId="13D4C737" w14:textId="77777777" w:rsidR="00AB04ED" w:rsidRPr="00A9330B" w:rsidRDefault="00AB04ED" w:rsidP="00701C80">
            <w:pPr>
              <w:spacing w:before="60"/>
              <w:rPr>
                <w:rFonts w:cs="Arial"/>
                <w:sz w:val="20"/>
                <w:szCs w:val="20"/>
              </w:rPr>
            </w:pPr>
          </w:p>
        </w:tc>
        <w:tc>
          <w:tcPr>
            <w:tcW w:w="809" w:type="pct"/>
            <w:shd w:val="clear" w:color="auto" w:fill="FFFFFF"/>
          </w:tcPr>
          <w:p w14:paraId="64EB4F56" w14:textId="77777777" w:rsidR="00AB04ED" w:rsidRPr="00A9330B" w:rsidRDefault="00AB04ED" w:rsidP="00701C80">
            <w:pPr>
              <w:spacing w:before="60"/>
              <w:rPr>
                <w:rFonts w:cs="Arial"/>
                <w:sz w:val="20"/>
                <w:szCs w:val="20"/>
              </w:rPr>
            </w:pPr>
          </w:p>
        </w:tc>
        <w:tc>
          <w:tcPr>
            <w:tcW w:w="515" w:type="pct"/>
            <w:shd w:val="clear" w:color="auto" w:fill="FFFFFF"/>
          </w:tcPr>
          <w:p w14:paraId="324F8596" w14:textId="77777777" w:rsidR="00AB04ED" w:rsidRPr="00A9330B" w:rsidRDefault="00AB04ED" w:rsidP="00701C80">
            <w:pPr>
              <w:spacing w:before="60"/>
              <w:rPr>
                <w:rFonts w:cs="Arial"/>
                <w:sz w:val="20"/>
                <w:szCs w:val="20"/>
              </w:rPr>
            </w:pPr>
          </w:p>
        </w:tc>
      </w:tr>
      <w:tr w:rsidR="00AB04ED" w:rsidRPr="00A9330B" w14:paraId="145445E5" w14:textId="77777777" w:rsidTr="00701C80">
        <w:trPr>
          <w:trHeight w:val="297"/>
        </w:trPr>
        <w:tc>
          <w:tcPr>
            <w:tcW w:w="662" w:type="pct"/>
            <w:shd w:val="clear" w:color="auto" w:fill="FFFFFF"/>
          </w:tcPr>
          <w:p w14:paraId="258EC4FC" w14:textId="77777777" w:rsidR="00AB04ED" w:rsidRPr="00A9330B" w:rsidRDefault="00AB04ED" w:rsidP="00701C80">
            <w:pPr>
              <w:spacing w:before="60"/>
              <w:rPr>
                <w:rFonts w:cs="Arial"/>
                <w:sz w:val="20"/>
                <w:szCs w:val="20"/>
              </w:rPr>
            </w:pPr>
          </w:p>
        </w:tc>
        <w:tc>
          <w:tcPr>
            <w:tcW w:w="956" w:type="pct"/>
            <w:shd w:val="clear" w:color="auto" w:fill="FFFFFF"/>
          </w:tcPr>
          <w:p w14:paraId="7127BE34" w14:textId="77777777" w:rsidR="00AB04ED" w:rsidRPr="00A9330B" w:rsidRDefault="00AB04ED" w:rsidP="00701C80">
            <w:pPr>
              <w:spacing w:before="60"/>
              <w:rPr>
                <w:rFonts w:cs="Arial"/>
                <w:sz w:val="20"/>
                <w:szCs w:val="20"/>
              </w:rPr>
            </w:pPr>
          </w:p>
        </w:tc>
        <w:tc>
          <w:tcPr>
            <w:tcW w:w="662" w:type="pct"/>
            <w:shd w:val="clear" w:color="auto" w:fill="FFFFFF"/>
          </w:tcPr>
          <w:p w14:paraId="1CB8B5BF" w14:textId="77777777" w:rsidR="00AB04ED" w:rsidRPr="00A9330B" w:rsidRDefault="00AB04ED" w:rsidP="00701C80">
            <w:pPr>
              <w:spacing w:before="60"/>
              <w:rPr>
                <w:rFonts w:cs="Arial"/>
                <w:sz w:val="20"/>
                <w:szCs w:val="20"/>
              </w:rPr>
            </w:pPr>
          </w:p>
        </w:tc>
        <w:tc>
          <w:tcPr>
            <w:tcW w:w="588" w:type="pct"/>
            <w:shd w:val="clear" w:color="auto" w:fill="FFFFFF"/>
          </w:tcPr>
          <w:p w14:paraId="752126BE" w14:textId="77777777" w:rsidR="00AB04ED" w:rsidRPr="00A9330B" w:rsidRDefault="00AB04ED" w:rsidP="00701C80">
            <w:pPr>
              <w:spacing w:before="60"/>
              <w:rPr>
                <w:rFonts w:cs="Arial"/>
                <w:sz w:val="20"/>
                <w:szCs w:val="20"/>
              </w:rPr>
            </w:pPr>
          </w:p>
        </w:tc>
        <w:tc>
          <w:tcPr>
            <w:tcW w:w="808" w:type="pct"/>
            <w:shd w:val="clear" w:color="auto" w:fill="FFFFFF"/>
          </w:tcPr>
          <w:p w14:paraId="13D8365F" w14:textId="77777777" w:rsidR="00AB04ED" w:rsidRPr="00A9330B" w:rsidRDefault="00AB04ED" w:rsidP="00701C80">
            <w:pPr>
              <w:spacing w:before="60"/>
              <w:rPr>
                <w:rFonts w:cs="Arial"/>
                <w:sz w:val="20"/>
                <w:szCs w:val="20"/>
              </w:rPr>
            </w:pPr>
          </w:p>
        </w:tc>
        <w:tc>
          <w:tcPr>
            <w:tcW w:w="809" w:type="pct"/>
            <w:shd w:val="clear" w:color="auto" w:fill="FFFFFF"/>
          </w:tcPr>
          <w:p w14:paraId="68AA8AFD" w14:textId="77777777" w:rsidR="00AB04ED" w:rsidRPr="00A9330B" w:rsidRDefault="00AB04ED" w:rsidP="00701C80">
            <w:pPr>
              <w:spacing w:before="60"/>
              <w:rPr>
                <w:rFonts w:cs="Arial"/>
                <w:sz w:val="20"/>
                <w:szCs w:val="20"/>
              </w:rPr>
            </w:pPr>
          </w:p>
        </w:tc>
        <w:tc>
          <w:tcPr>
            <w:tcW w:w="515" w:type="pct"/>
            <w:shd w:val="clear" w:color="auto" w:fill="FFFFFF"/>
          </w:tcPr>
          <w:p w14:paraId="71A2F9C1" w14:textId="77777777" w:rsidR="00AB04ED" w:rsidRPr="00A9330B" w:rsidRDefault="00AB04ED" w:rsidP="00701C80">
            <w:pPr>
              <w:spacing w:before="60"/>
              <w:rPr>
                <w:rFonts w:cs="Arial"/>
                <w:sz w:val="20"/>
                <w:szCs w:val="20"/>
              </w:rPr>
            </w:pPr>
          </w:p>
        </w:tc>
      </w:tr>
      <w:tr w:rsidR="00AB04ED" w:rsidRPr="00A9330B" w14:paraId="1FB43E5D" w14:textId="77777777" w:rsidTr="00701C80">
        <w:trPr>
          <w:trHeight w:val="297"/>
        </w:trPr>
        <w:tc>
          <w:tcPr>
            <w:tcW w:w="5000" w:type="pct"/>
            <w:gridSpan w:val="7"/>
            <w:shd w:val="clear" w:color="auto" w:fill="F7CAAC" w:themeFill="accent2" w:themeFillTint="66"/>
          </w:tcPr>
          <w:p w14:paraId="000A2183" w14:textId="77777777" w:rsidR="00AB04ED" w:rsidRPr="00A9330B" w:rsidRDefault="00AB04ED" w:rsidP="00701C80">
            <w:pPr>
              <w:spacing w:before="60"/>
              <w:rPr>
                <w:rFonts w:cs="Arial"/>
                <w:b/>
                <w:sz w:val="20"/>
                <w:szCs w:val="20"/>
              </w:rPr>
            </w:pPr>
            <w:r w:rsidRPr="00A9330B">
              <w:rPr>
                <w:rFonts w:cs="Arial"/>
                <w:b/>
                <w:sz w:val="20"/>
                <w:szCs w:val="20"/>
              </w:rPr>
              <w:t xml:space="preserve">III. Phase d’exploitation et d’entretien  </w:t>
            </w:r>
          </w:p>
        </w:tc>
      </w:tr>
      <w:tr w:rsidR="00AB04ED" w:rsidRPr="00A9330B" w14:paraId="13EA4067" w14:textId="77777777" w:rsidTr="00701C80">
        <w:trPr>
          <w:trHeight w:val="297"/>
        </w:trPr>
        <w:tc>
          <w:tcPr>
            <w:tcW w:w="662" w:type="pct"/>
            <w:shd w:val="clear" w:color="auto" w:fill="FFFFFF"/>
          </w:tcPr>
          <w:p w14:paraId="60C929DC" w14:textId="77777777" w:rsidR="00AB04ED" w:rsidRPr="00A9330B" w:rsidRDefault="00AB04ED" w:rsidP="00701C80">
            <w:pPr>
              <w:spacing w:before="60"/>
              <w:rPr>
                <w:rFonts w:cs="Arial"/>
                <w:sz w:val="20"/>
                <w:szCs w:val="20"/>
              </w:rPr>
            </w:pPr>
          </w:p>
        </w:tc>
        <w:tc>
          <w:tcPr>
            <w:tcW w:w="956" w:type="pct"/>
            <w:shd w:val="clear" w:color="auto" w:fill="FFFFFF"/>
          </w:tcPr>
          <w:p w14:paraId="2057CD9E" w14:textId="77777777" w:rsidR="00AB04ED" w:rsidRPr="00A9330B" w:rsidRDefault="00AB04ED" w:rsidP="00701C80">
            <w:pPr>
              <w:spacing w:before="60"/>
              <w:rPr>
                <w:rFonts w:cs="Arial"/>
                <w:sz w:val="20"/>
                <w:szCs w:val="20"/>
              </w:rPr>
            </w:pPr>
          </w:p>
        </w:tc>
        <w:tc>
          <w:tcPr>
            <w:tcW w:w="662" w:type="pct"/>
            <w:shd w:val="clear" w:color="auto" w:fill="FFFFFF"/>
          </w:tcPr>
          <w:p w14:paraId="6377E111" w14:textId="77777777" w:rsidR="00AB04ED" w:rsidRPr="00A9330B" w:rsidRDefault="00AB04ED" w:rsidP="00701C80">
            <w:pPr>
              <w:spacing w:before="60"/>
              <w:rPr>
                <w:rFonts w:cs="Arial"/>
                <w:sz w:val="20"/>
                <w:szCs w:val="20"/>
              </w:rPr>
            </w:pPr>
          </w:p>
        </w:tc>
        <w:tc>
          <w:tcPr>
            <w:tcW w:w="588" w:type="pct"/>
            <w:shd w:val="clear" w:color="auto" w:fill="FFFFFF"/>
          </w:tcPr>
          <w:p w14:paraId="09022BA3" w14:textId="77777777" w:rsidR="00AB04ED" w:rsidRPr="00A9330B" w:rsidRDefault="00AB04ED" w:rsidP="00701C80">
            <w:pPr>
              <w:spacing w:before="60"/>
              <w:rPr>
                <w:rFonts w:cs="Arial"/>
                <w:sz w:val="20"/>
                <w:szCs w:val="20"/>
              </w:rPr>
            </w:pPr>
          </w:p>
        </w:tc>
        <w:tc>
          <w:tcPr>
            <w:tcW w:w="808" w:type="pct"/>
            <w:shd w:val="clear" w:color="auto" w:fill="FFFFFF"/>
          </w:tcPr>
          <w:p w14:paraId="3350B341" w14:textId="77777777" w:rsidR="00AB04ED" w:rsidRPr="00A9330B" w:rsidRDefault="00AB04ED" w:rsidP="00701C80">
            <w:pPr>
              <w:spacing w:before="60"/>
              <w:rPr>
                <w:rFonts w:cs="Arial"/>
                <w:sz w:val="20"/>
                <w:szCs w:val="20"/>
              </w:rPr>
            </w:pPr>
          </w:p>
        </w:tc>
        <w:tc>
          <w:tcPr>
            <w:tcW w:w="809" w:type="pct"/>
            <w:shd w:val="clear" w:color="auto" w:fill="FFFFFF"/>
          </w:tcPr>
          <w:p w14:paraId="39F99071" w14:textId="77777777" w:rsidR="00AB04ED" w:rsidRPr="00A9330B" w:rsidRDefault="00AB04ED" w:rsidP="00701C80">
            <w:pPr>
              <w:spacing w:before="60"/>
              <w:rPr>
                <w:rFonts w:cs="Arial"/>
                <w:sz w:val="20"/>
                <w:szCs w:val="20"/>
              </w:rPr>
            </w:pPr>
          </w:p>
        </w:tc>
        <w:tc>
          <w:tcPr>
            <w:tcW w:w="515" w:type="pct"/>
            <w:shd w:val="clear" w:color="auto" w:fill="FFFFFF"/>
          </w:tcPr>
          <w:p w14:paraId="362711FF" w14:textId="77777777" w:rsidR="00AB04ED" w:rsidRPr="00A9330B" w:rsidRDefault="00AB04ED" w:rsidP="00701C80">
            <w:pPr>
              <w:spacing w:before="60"/>
              <w:rPr>
                <w:rFonts w:cs="Arial"/>
                <w:sz w:val="20"/>
                <w:szCs w:val="20"/>
              </w:rPr>
            </w:pPr>
          </w:p>
        </w:tc>
      </w:tr>
      <w:tr w:rsidR="00AB04ED" w:rsidRPr="00A9330B" w14:paraId="7C776018" w14:textId="77777777" w:rsidTr="00701C80">
        <w:trPr>
          <w:trHeight w:val="297"/>
        </w:trPr>
        <w:tc>
          <w:tcPr>
            <w:tcW w:w="662" w:type="pct"/>
            <w:shd w:val="clear" w:color="auto" w:fill="FFFFFF"/>
          </w:tcPr>
          <w:p w14:paraId="1CB55DF3" w14:textId="77777777" w:rsidR="00AB04ED" w:rsidRPr="00A9330B" w:rsidRDefault="00AB04ED" w:rsidP="00701C80">
            <w:pPr>
              <w:spacing w:before="60"/>
              <w:rPr>
                <w:rFonts w:cs="Arial"/>
                <w:sz w:val="20"/>
                <w:szCs w:val="20"/>
              </w:rPr>
            </w:pPr>
          </w:p>
        </w:tc>
        <w:tc>
          <w:tcPr>
            <w:tcW w:w="956" w:type="pct"/>
            <w:shd w:val="clear" w:color="auto" w:fill="FFFFFF"/>
          </w:tcPr>
          <w:p w14:paraId="74E20565" w14:textId="77777777" w:rsidR="00AB04ED" w:rsidRPr="00A9330B" w:rsidRDefault="00AB04ED" w:rsidP="00701C80">
            <w:pPr>
              <w:spacing w:before="60"/>
              <w:rPr>
                <w:rFonts w:cs="Arial"/>
                <w:sz w:val="20"/>
                <w:szCs w:val="20"/>
              </w:rPr>
            </w:pPr>
          </w:p>
        </w:tc>
        <w:tc>
          <w:tcPr>
            <w:tcW w:w="662" w:type="pct"/>
            <w:shd w:val="clear" w:color="auto" w:fill="FFFFFF"/>
          </w:tcPr>
          <w:p w14:paraId="1DF5F6E5" w14:textId="77777777" w:rsidR="00AB04ED" w:rsidRPr="00A9330B" w:rsidRDefault="00AB04ED" w:rsidP="00701C80">
            <w:pPr>
              <w:spacing w:before="60"/>
              <w:rPr>
                <w:rFonts w:cs="Arial"/>
                <w:sz w:val="20"/>
                <w:szCs w:val="20"/>
              </w:rPr>
            </w:pPr>
          </w:p>
        </w:tc>
        <w:tc>
          <w:tcPr>
            <w:tcW w:w="588" w:type="pct"/>
            <w:shd w:val="clear" w:color="auto" w:fill="FFFFFF"/>
          </w:tcPr>
          <w:p w14:paraId="000D64C5" w14:textId="77777777" w:rsidR="00AB04ED" w:rsidRPr="00A9330B" w:rsidRDefault="00AB04ED" w:rsidP="00701C80">
            <w:pPr>
              <w:spacing w:before="60"/>
              <w:rPr>
                <w:rFonts w:cs="Arial"/>
                <w:sz w:val="20"/>
                <w:szCs w:val="20"/>
              </w:rPr>
            </w:pPr>
          </w:p>
        </w:tc>
        <w:tc>
          <w:tcPr>
            <w:tcW w:w="808" w:type="pct"/>
            <w:shd w:val="clear" w:color="auto" w:fill="FFFFFF"/>
          </w:tcPr>
          <w:p w14:paraId="1CDF882D" w14:textId="77777777" w:rsidR="00AB04ED" w:rsidRPr="00A9330B" w:rsidRDefault="00AB04ED" w:rsidP="00701C80">
            <w:pPr>
              <w:spacing w:before="60"/>
              <w:rPr>
                <w:rFonts w:cs="Arial"/>
                <w:sz w:val="20"/>
                <w:szCs w:val="20"/>
              </w:rPr>
            </w:pPr>
          </w:p>
        </w:tc>
        <w:tc>
          <w:tcPr>
            <w:tcW w:w="809" w:type="pct"/>
            <w:shd w:val="clear" w:color="auto" w:fill="FFFFFF"/>
          </w:tcPr>
          <w:p w14:paraId="4677D913" w14:textId="77777777" w:rsidR="00AB04ED" w:rsidRPr="00A9330B" w:rsidRDefault="00AB04ED" w:rsidP="00701C80">
            <w:pPr>
              <w:spacing w:before="60"/>
              <w:rPr>
                <w:rFonts w:cs="Arial"/>
                <w:sz w:val="20"/>
                <w:szCs w:val="20"/>
              </w:rPr>
            </w:pPr>
          </w:p>
        </w:tc>
        <w:tc>
          <w:tcPr>
            <w:tcW w:w="515" w:type="pct"/>
            <w:shd w:val="clear" w:color="auto" w:fill="FFFFFF"/>
          </w:tcPr>
          <w:p w14:paraId="7ECF9440" w14:textId="77777777" w:rsidR="00AB04ED" w:rsidRPr="00A9330B" w:rsidRDefault="00AB04ED" w:rsidP="00701C80">
            <w:pPr>
              <w:spacing w:before="60"/>
              <w:rPr>
                <w:rFonts w:cs="Arial"/>
                <w:sz w:val="20"/>
                <w:szCs w:val="20"/>
              </w:rPr>
            </w:pPr>
          </w:p>
        </w:tc>
      </w:tr>
      <w:tr w:rsidR="00AB04ED" w:rsidRPr="00A9330B" w14:paraId="6E401CCA" w14:textId="77777777" w:rsidTr="00701C80">
        <w:trPr>
          <w:trHeight w:val="297"/>
        </w:trPr>
        <w:tc>
          <w:tcPr>
            <w:tcW w:w="662" w:type="pct"/>
            <w:shd w:val="clear" w:color="auto" w:fill="FFFFFF"/>
          </w:tcPr>
          <w:p w14:paraId="0AAE7ADF" w14:textId="77777777" w:rsidR="00AB04ED" w:rsidRPr="00A9330B" w:rsidRDefault="00AB04ED" w:rsidP="00701C80">
            <w:pPr>
              <w:spacing w:before="60"/>
              <w:rPr>
                <w:rFonts w:cs="Arial"/>
                <w:sz w:val="20"/>
                <w:szCs w:val="20"/>
              </w:rPr>
            </w:pPr>
          </w:p>
        </w:tc>
        <w:tc>
          <w:tcPr>
            <w:tcW w:w="956" w:type="pct"/>
            <w:shd w:val="clear" w:color="auto" w:fill="FFFFFF"/>
          </w:tcPr>
          <w:p w14:paraId="62AC841E" w14:textId="77777777" w:rsidR="00AB04ED" w:rsidRPr="00A9330B" w:rsidRDefault="00AB04ED" w:rsidP="00701C80">
            <w:pPr>
              <w:spacing w:before="60"/>
              <w:rPr>
                <w:rFonts w:cs="Arial"/>
                <w:sz w:val="20"/>
                <w:szCs w:val="20"/>
              </w:rPr>
            </w:pPr>
          </w:p>
        </w:tc>
        <w:tc>
          <w:tcPr>
            <w:tcW w:w="662" w:type="pct"/>
            <w:shd w:val="clear" w:color="auto" w:fill="FFFFFF"/>
          </w:tcPr>
          <w:p w14:paraId="0F555B34" w14:textId="77777777" w:rsidR="00AB04ED" w:rsidRPr="00A9330B" w:rsidRDefault="00AB04ED" w:rsidP="00701C80">
            <w:pPr>
              <w:spacing w:before="60"/>
              <w:rPr>
                <w:rFonts w:cs="Arial"/>
                <w:sz w:val="20"/>
                <w:szCs w:val="20"/>
              </w:rPr>
            </w:pPr>
          </w:p>
        </w:tc>
        <w:tc>
          <w:tcPr>
            <w:tcW w:w="588" w:type="pct"/>
            <w:shd w:val="clear" w:color="auto" w:fill="FFFFFF"/>
          </w:tcPr>
          <w:p w14:paraId="5898875F" w14:textId="77777777" w:rsidR="00AB04ED" w:rsidRPr="00A9330B" w:rsidRDefault="00AB04ED" w:rsidP="00701C80">
            <w:pPr>
              <w:spacing w:before="60"/>
              <w:rPr>
                <w:rFonts w:cs="Arial"/>
                <w:sz w:val="20"/>
                <w:szCs w:val="20"/>
              </w:rPr>
            </w:pPr>
          </w:p>
        </w:tc>
        <w:tc>
          <w:tcPr>
            <w:tcW w:w="808" w:type="pct"/>
            <w:shd w:val="clear" w:color="auto" w:fill="FFFFFF"/>
          </w:tcPr>
          <w:p w14:paraId="6E8E2B2A" w14:textId="77777777" w:rsidR="00AB04ED" w:rsidRPr="00A9330B" w:rsidRDefault="00AB04ED" w:rsidP="00701C80">
            <w:pPr>
              <w:spacing w:before="60"/>
              <w:rPr>
                <w:rFonts w:cs="Arial"/>
                <w:sz w:val="20"/>
                <w:szCs w:val="20"/>
              </w:rPr>
            </w:pPr>
          </w:p>
        </w:tc>
        <w:tc>
          <w:tcPr>
            <w:tcW w:w="809" w:type="pct"/>
            <w:shd w:val="clear" w:color="auto" w:fill="FFFFFF"/>
          </w:tcPr>
          <w:p w14:paraId="5F1ADA6D" w14:textId="77777777" w:rsidR="00AB04ED" w:rsidRPr="00A9330B" w:rsidRDefault="00AB04ED" w:rsidP="00701C80">
            <w:pPr>
              <w:spacing w:before="60"/>
              <w:rPr>
                <w:rFonts w:cs="Arial"/>
                <w:sz w:val="20"/>
                <w:szCs w:val="20"/>
              </w:rPr>
            </w:pPr>
          </w:p>
        </w:tc>
        <w:tc>
          <w:tcPr>
            <w:tcW w:w="515" w:type="pct"/>
            <w:shd w:val="clear" w:color="auto" w:fill="FFFFFF"/>
          </w:tcPr>
          <w:p w14:paraId="243A5E4B" w14:textId="77777777" w:rsidR="00AB04ED" w:rsidRPr="00A9330B" w:rsidRDefault="00AB04ED" w:rsidP="00701C80">
            <w:pPr>
              <w:spacing w:before="60"/>
              <w:rPr>
                <w:rFonts w:cs="Arial"/>
                <w:sz w:val="20"/>
                <w:szCs w:val="20"/>
              </w:rPr>
            </w:pPr>
          </w:p>
        </w:tc>
      </w:tr>
    </w:tbl>
    <w:p w14:paraId="2C9D5E68" w14:textId="77777777" w:rsidR="00AB04ED" w:rsidRPr="00A9330B" w:rsidRDefault="00AB04ED" w:rsidP="00AB04ED">
      <w:pPr>
        <w:jc w:val="both"/>
      </w:pPr>
      <w:r w:rsidRPr="00A9330B">
        <w:t>La mise en œuvre du PGES s’est appuyée sur un programme de surveillance, un programme de suivi et un cadre institutionnel et organisationnel spécifique.</w:t>
      </w:r>
    </w:p>
    <w:p w14:paraId="00D17583" w14:textId="77777777" w:rsidR="00AB04ED" w:rsidRPr="00A9330B" w:rsidRDefault="00AB04ED" w:rsidP="0064324E">
      <w:pPr>
        <w:pStyle w:val="Titre40"/>
      </w:pPr>
      <w:bookmarkStart w:id="595" w:name="_Toc45520766"/>
      <w:bookmarkStart w:id="596" w:name="_Toc52869574"/>
      <w:r w:rsidRPr="00A9330B">
        <w:t>1.3.5.7. Surveillance environnementale et suivi environnemental.</w:t>
      </w:r>
      <w:bookmarkEnd w:id="595"/>
      <w:bookmarkEnd w:id="596"/>
    </w:p>
    <w:p w14:paraId="7E95D982" w14:textId="77777777" w:rsidR="00AB04ED" w:rsidRPr="00A9330B" w:rsidRDefault="00AB04ED" w:rsidP="00AB04ED">
      <w:pPr>
        <w:jc w:val="both"/>
      </w:pPr>
      <w:r w:rsidRPr="00A9330B">
        <w:t>La surveillance environnementale vise à assurer l’application des mesures proposées pendant la construction des ouvrages (phase chantier). Elle permet aussi de surveiller l’apparition de toute autre perturbation qui n’aurait pas été identifiée auparavant.</w:t>
      </w:r>
      <w:r w:rsidRPr="00A9330B">
        <w:cr/>
        <w:t xml:space="preserve">Le suivi environnemental sert à mesurer l’ampleur des impacts résiduels qui sont réellement constatés pendant la réalisation, et ce au regard des mesures d’atténuation proposées. Il se poursuivra par l’observation continue des composantes pertinentes de l’environnement concernées pendant la mise en œuvre du projet. </w:t>
      </w:r>
    </w:p>
    <w:p w14:paraId="55C655E6" w14:textId="77777777" w:rsidR="00AB04ED" w:rsidRPr="00A9330B" w:rsidRDefault="00AB04ED" w:rsidP="007E42F5">
      <w:pPr>
        <w:pStyle w:val="Paragraphedeliste"/>
        <w:numPr>
          <w:ilvl w:val="0"/>
          <w:numId w:val="22"/>
        </w:numPr>
        <w:jc w:val="both"/>
        <w:rPr>
          <w:i/>
          <w:u w:val="single"/>
          <w:lang w:val="fr-FR"/>
        </w:rPr>
      </w:pPr>
      <w:r w:rsidRPr="00A9330B">
        <w:rPr>
          <w:i/>
          <w:u w:val="single"/>
          <w:lang w:val="fr-FR"/>
        </w:rPr>
        <w:t xml:space="preserve">Cahier des Prescriptions Environnementales (CPE) </w:t>
      </w:r>
    </w:p>
    <w:p w14:paraId="34DA3FBB" w14:textId="6AB6E519" w:rsidR="00AB04ED" w:rsidRPr="00A9330B" w:rsidRDefault="00AB04ED" w:rsidP="00AB04ED">
      <w:pPr>
        <w:jc w:val="both"/>
      </w:pPr>
      <w:r w:rsidRPr="00A9330B">
        <w:t xml:space="preserve">Le Cahier des Prescriptions Environnementales (CPE) constitue l’une des pièces écrites. Il comprend l’ensemble des prescriptions à respecter lors de la construction des équipements prévus. Ces prescriptions traduisent en termes techniques et opérationnels, les mesures prévues dans le plan de gestion environnementale et sociale. </w:t>
      </w:r>
    </w:p>
    <w:p w14:paraId="057FE50D" w14:textId="70418F61" w:rsidR="00BA18AC" w:rsidRPr="00A9330B" w:rsidRDefault="00BA18AC" w:rsidP="00AB04ED">
      <w:pPr>
        <w:jc w:val="both"/>
      </w:pPr>
    </w:p>
    <w:p w14:paraId="1E267F97" w14:textId="77777777" w:rsidR="00BA18AC" w:rsidRPr="00A9330B" w:rsidRDefault="00BA18AC" w:rsidP="00AB04ED">
      <w:pPr>
        <w:jc w:val="both"/>
      </w:pPr>
    </w:p>
    <w:p w14:paraId="33CBC758" w14:textId="77777777" w:rsidR="00AB04ED" w:rsidRPr="00A9330B" w:rsidRDefault="00AB04ED" w:rsidP="007E42F5">
      <w:pPr>
        <w:pStyle w:val="Paragraphedeliste"/>
        <w:numPr>
          <w:ilvl w:val="0"/>
          <w:numId w:val="34"/>
        </w:numPr>
        <w:jc w:val="both"/>
        <w:rPr>
          <w:u w:val="single"/>
          <w:lang w:val="fr-FR"/>
        </w:rPr>
      </w:pPr>
      <w:r w:rsidRPr="00A9330B">
        <w:rPr>
          <w:u w:val="single"/>
          <w:lang w:val="fr-FR"/>
        </w:rPr>
        <w:lastRenderedPageBreak/>
        <w:t xml:space="preserve">Estimation du coût de mise en œuvre du Plan de Gestion Environnementale et Sociale  </w:t>
      </w:r>
    </w:p>
    <w:p w14:paraId="2BAB4FB7" w14:textId="77777777" w:rsidR="00AB04ED" w:rsidRPr="00A9330B" w:rsidRDefault="00AB04ED" w:rsidP="00AB04ED">
      <w:pPr>
        <w:jc w:val="both"/>
      </w:pPr>
      <w:r w:rsidRPr="00A9330B">
        <w:t>Les activités prévues dans le PGES et qui nécessitent un financement ont été évaluées de façon à en faire une prévision budgétaire dans le projet.</w:t>
      </w:r>
    </w:p>
    <w:p w14:paraId="661DE3AA" w14:textId="26FC43B6" w:rsidR="00AB04ED" w:rsidRPr="00A9330B" w:rsidRDefault="00AB04ED" w:rsidP="00AB04ED">
      <w:pPr>
        <w:spacing w:after="200" w:line="276" w:lineRule="auto"/>
        <w:rPr>
          <w:b/>
          <w:highlight w:val="yellow"/>
        </w:rPr>
      </w:pPr>
      <w:bookmarkStart w:id="597" w:name="_Toc517376535"/>
      <w:bookmarkStart w:id="598" w:name="_Toc52873736"/>
      <w:r w:rsidRPr="00A9330B">
        <w:rPr>
          <w:rFonts w:cs="Arial"/>
          <w:b/>
        </w:rPr>
        <w:t xml:space="preserve">Tableau </w:t>
      </w:r>
      <w:r w:rsidRPr="00A9330B">
        <w:rPr>
          <w:rFonts w:cs="Arial"/>
          <w:b/>
        </w:rPr>
        <w:fldChar w:fldCharType="begin"/>
      </w:r>
      <w:r w:rsidRPr="00A9330B">
        <w:rPr>
          <w:rFonts w:cs="Arial"/>
          <w:b/>
        </w:rPr>
        <w:instrText xml:space="preserve"> SEQ Tableau \* ARABIC </w:instrText>
      </w:r>
      <w:r w:rsidRPr="00A9330B">
        <w:rPr>
          <w:rFonts w:cs="Arial"/>
          <w:b/>
        </w:rPr>
        <w:fldChar w:fldCharType="separate"/>
      </w:r>
      <w:r w:rsidR="00417D31" w:rsidRPr="00A9330B">
        <w:rPr>
          <w:rFonts w:cs="Arial"/>
          <w:b/>
          <w:noProof/>
        </w:rPr>
        <w:t>12</w:t>
      </w:r>
      <w:r w:rsidRPr="00A9330B">
        <w:rPr>
          <w:rFonts w:cs="Arial"/>
          <w:b/>
        </w:rPr>
        <w:fldChar w:fldCharType="end"/>
      </w:r>
      <w:r w:rsidRPr="00A9330B">
        <w:rPr>
          <w:rFonts w:cs="Arial"/>
          <w:b/>
        </w:rPr>
        <w:t> : Tableau-type pour l’estimation du coût de mise en œuvre du PGES</w:t>
      </w:r>
      <w:bookmarkEnd w:id="597"/>
      <w:bookmarkEnd w:id="598"/>
    </w:p>
    <w:tbl>
      <w:tblPr>
        <w:tblW w:w="8848" w:type="dxa"/>
        <w:tblInd w:w="2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605"/>
        <w:gridCol w:w="1617"/>
        <w:gridCol w:w="3136"/>
        <w:gridCol w:w="1072"/>
        <w:gridCol w:w="1279"/>
        <w:gridCol w:w="1139"/>
      </w:tblGrid>
      <w:tr w:rsidR="00AB04ED" w:rsidRPr="00A9330B" w14:paraId="08A3B85C" w14:textId="77777777" w:rsidTr="00701C80">
        <w:trPr>
          <w:trHeight w:val="545"/>
        </w:trPr>
        <w:tc>
          <w:tcPr>
            <w:tcW w:w="605" w:type="dxa"/>
            <w:shd w:val="clear" w:color="auto" w:fill="B4C6E7" w:themeFill="accent5" w:themeFillTint="66"/>
          </w:tcPr>
          <w:p w14:paraId="23B3D5D7" w14:textId="77777777" w:rsidR="00AB04ED" w:rsidRPr="00A9330B" w:rsidRDefault="00AB04ED" w:rsidP="00701C80">
            <w:pPr>
              <w:spacing w:before="60"/>
              <w:jc w:val="center"/>
              <w:rPr>
                <w:b/>
                <w:bCs/>
                <w:sz w:val="18"/>
                <w:szCs w:val="18"/>
              </w:rPr>
            </w:pPr>
            <w:r w:rsidRPr="00A9330B">
              <w:rPr>
                <w:b/>
                <w:sz w:val="18"/>
                <w:szCs w:val="18"/>
              </w:rPr>
              <w:t>N°</w:t>
            </w:r>
          </w:p>
        </w:tc>
        <w:tc>
          <w:tcPr>
            <w:tcW w:w="1617" w:type="dxa"/>
            <w:shd w:val="clear" w:color="auto" w:fill="B4C6E7" w:themeFill="accent5" w:themeFillTint="66"/>
          </w:tcPr>
          <w:p w14:paraId="451F4DDB" w14:textId="77777777" w:rsidR="00AB04ED" w:rsidRPr="00A9330B" w:rsidRDefault="00AB04ED" w:rsidP="00701C80">
            <w:pPr>
              <w:spacing w:before="60"/>
              <w:jc w:val="center"/>
              <w:rPr>
                <w:b/>
                <w:bCs/>
                <w:sz w:val="18"/>
                <w:szCs w:val="18"/>
              </w:rPr>
            </w:pPr>
            <w:r w:rsidRPr="00A9330B">
              <w:rPr>
                <w:b/>
                <w:sz w:val="18"/>
                <w:szCs w:val="18"/>
              </w:rPr>
              <w:t>Activités / Mesures</w:t>
            </w:r>
          </w:p>
        </w:tc>
        <w:tc>
          <w:tcPr>
            <w:tcW w:w="3136" w:type="dxa"/>
            <w:shd w:val="clear" w:color="auto" w:fill="B4C6E7" w:themeFill="accent5" w:themeFillTint="66"/>
          </w:tcPr>
          <w:p w14:paraId="5CFA9F9A" w14:textId="77777777" w:rsidR="00AB04ED" w:rsidRPr="00A9330B" w:rsidRDefault="00AB04ED" w:rsidP="00701C80">
            <w:pPr>
              <w:spacing w:before="60"/>
              <w:jc w:val="center"/>
              <w:rPr>
                <w:b/>
                <w:bCs/>
                <w:sz w:val="18"/>
                <w:szCs w:val="18"/>
              </w:rPr>
            </w:pPr>
            <w:r w:rsidRPr="00A9330B">
              <w:rPr>
                <w:b/>
                <w:sz w:val="18"/>
                <w:szCs w:val="18"/>
              </w:rPr>
              <w:t>Observations/Commentaires</w:t>
            </w:r>
          </w:p>
        </w:tc>
        <w:tc>
          <w:tcPr>
            <w:tcW w:w="1072" w:type="dxa"/>
            <w:shd w:val="clear" w:color="auto" w:fill="B4C6E7" w:themeFill="accent5" w:themeFillTint="66"/>
          </w:tcPr>
          <w:p w14:paraId="15C9B702" w14:textId="77777777" w:rsidR="00AB04ED" w:rsidRPr="00A9330B" w:rsidRDefault="00AB04ED" w:rsidP="00701C80">
            <w:pPr>
              <w:spacing w:before="60"/>
              <w:jc w:val="center"/>
              <w:rPr>
                <w:b/>
                <w:bCs/>
                <w:sz w:val="18"/>
                <w:szCs w:val="18"/>
              </w:rPr>
            </w:pPr>
            <w:r w:rsidRPr="00A9330B">
              <w:rPr>
                <w:b/>
                <w:sz w:val="18"/>
                <w:szCs w:val="18"/>
              </w:rPr>
              <w:t>Quantité</w:t>
            </w:r>
          </w:p>
        </w:tc>
        <w:tc>
          <w:tcPr>
            <w:tcW w:w="1279" w:type="dxa"/>
            <w:shd w:val="clear" w:color="auto" w:fill="B4C6E7" w:themeFill="accent5" w:themeFillTint="66"/>
          </w:tcPr>
          <w:p w14:paraId="767E75F4" w14:textId="77777777" w:rsidR="00AB04ED" w:rsidRPr="00A9330B" w:rsidRDefault="00AB04ED" w:rsidP="00701C80">
            <w:pPr>
              <w:spacing w:before="60"/>
              <w:jc w:val="center"/>
              <w:rPr>
                <w:b/>
                <w:bCs/>
                <w:sz w:val="18"/>
                <w:szCs w:val="18"/>
              </w:rPr>
            </w:pPr>
            <w:r w:rsidRPr="00A9330B">
              <w:rPr>
                <w:b/>
                <w:sz w:val="18"/>
                <w:szCs w:val="18"/>
              </w:rPr>
              <w:t>Coût unitaire</w:t>
            </w:r>
          </w:p>
        </w:tc>
        <w:tc>
          <w:tcPr>
            <w:tcW w:w="1139" w:type="dxa"/>
            <w:shd w:val="clear" w:color="auto" w:fill="B4C6E7" w:themeFill="accent5" w:themeFillTint="66"/>
          </w:tcPr>
          <w:p w14:paraId="6C80149D" w14:textId="77777777" w:rsidR="00AB04ED" w:rsidRPr="00A9330B" w:rsidRDefault="00AB04ED" w:rsidP="00701C80">
            <w:pPr>
              <w:spacing w:before="60"/>
              <w:jc w:val="center"/>
              <w:rPr>
                <w:b/>
                <w:bCs/>
                <w:sz w:val="18"/>
                <w:szCs w:val="18"/>
              </w:rPr>
            </w:pPr>
            <w:r w:rsidRPr="00A9330B">
              <w:rPr>
                <w:b/>
                <w:sz w:val="18"/>
                <w:szCs w:val="18"/>
              </w:rPr>
              <w:t>Total partiel</w:t>
            </w:r>
          </w:p>
        </w:tc>
      </w:tr>
      <w:tr w:rsidR="00AB04ED" w:rsidRPr="00A9330B" w14:paraId="163E33F2" w14:textId="77777777" w:rsidTr="00701C80">
        <w:trPr>
          <w:trHeight w:val="279"/>
        </w:trPr>
        <w:tc>
          <w:tcPr>
            <w:tcW w:w="605" w:type="dxa"/>
            <w:vAlign w:val="center"/>
          </w:tcPr>
          <w:p w14:paraId="0BE45580" w14:textId="77777777" w:rsidR="00AB04ED" w:rsidRPr="00A9330B" w:rsidRDefault="00AB04ED" w:rsidP="00701C80">
            <w:pPr>
              <w:spacing w:before="60"/>
              <w:jc w:val="center"/>
              <w:rPr>
                <w:b/>
                <w:sz w:val="18"/>
                <w:szCs w:val="18"/>
              </w:rPr>
            </w:pPr>
            <w:r w:rsidRPr="00A9330B">
              <w:rPr>
                <w:b/>
                <w:sz w:val="18"/>
                <w:szCs w:val="18"/>
              </w:rPr>
              <w:t>1</w:t>
            </w:r>
          </w:p>
        </w:tc>
        <w:tc>
          <w:tcPr>
            <w:tcW w:w="1617" w:type="dxa"/>
          </w:tcPr>
          <w:p w14:paraId="51B0CC31" w14:textId="77777777" w:rsidR="00AB04ED" w:rsidRPr="00A9330B" w:rsidRDefault="00AB04ED" w:rsidP="00701C80">
            <w:pPr>
              <w:spacing w:before="60"/>
              <w:rPr>
                <w:sz w:val="20"/>
                <w:szCs w:val="20"/>
              </w:rPr>
            </w:pPr>
          </w:p>
        </w:tc>
        <w:tc>
          <w:tcPr>
            <w:tcW w:w="3136" w:type="dxa"/>
          </w:tcPr>
          <w:p w14:paraId="06965297" w14:textId="77777777" w:rsidR="00AB04ED" w:rsidRPr="00A9330B" w:rsidRDefault="00AB04ED" w:rsidP="00701C80">
            <w:pPr>
              <w:spacing w:before="60"/>
              <w:rPr>
                <w:sz w:val="20"/>
                <w:szCs w:val="20"/>
              </w:rPr>
            </w:pPr>
          </w:p>
        </w:tc>
        <w:tc>
          <w:tcPr>
            <w:tcW w:w="1072" w:type="dxa"/>
          </w:tcPr>
          <w:p w14:paraId="4FEB15B7" w14:textId="77777777" w:rsidR="00AB04ED" w:rsidRPr="00A9330B" w:rsidRDefault="00AB04ED" w:rsidP="00701C80">
            <w:pPr>
              <w:spacing w:before="60"/>
              <w:rPr>
                <w:sz w:val="20"/>
                <w:szCs w:val="20"/>
              </w:rPr>
            </w:pPr>
          </w:p>
        </w:tc>
        <w:tc>
          <w:tcPr>
            <w:tcW w:w="1279" w:type="dxa"/>
          </w:tcPr>
          <w:p w14:paraId="08ACE36D" w14:textId="77777777" w:rsidR="00AB04ED" w:rsidRPr="00A9330B" w:rsidRDefault="00AB04ED" w:rsidP="00701C80">
            <w:pPr>
              <w:spacing w:before="60"/>
              <w:rPr>
                <w:sz w:val="20"/>
                <w:szCs w:val="20"/>
              </w:rPr>
            </w:pPr>
          </w:p>
        </w:tc>
        <w:tc>
          <w:tcPr>
            <w:tcW w:w="1139" w:type="dxa"/>
          </w:tcPr>
          <w:p w14:paraId="6B9D8D2F" w14:textId="77777777" w:rsidR="00AB04ED" w:rsidRPr="00A9330B" w:rsidRDefault="00AB04ED" w:rsidP="00701C80">
            <w:pPr>
              <w:spacing w:before="60"/>
              <w:rPr>
                <w:sz w:val="20"/>
                <w:szCs w:val="20"/>
              </w:rPr>
            </w:pPr>
          </w:p>
        </w:tc>
      </w:tr>
      <w:tr w:rsidR="00AB04ED" w:rsidRPr="00A9330B" w14:paraId="76592F25" w14:textId="77777777" w:rsidTr="00701C80">
        <w:trPr>
          <w:trHeight w:val="279"/>
        </w:trPr>
        <w:tc>
          <w:tcPr>
            <w:tcW w:w="605" w:type="dxa"/>
            <w:vAlign w:val="center"/>
          </w:tcPr>
          <w:p w14:paraId="6B5B85BB" w14:textId="77777777" w:rsidR="00AB04ED" w:rsidRPr="00A9330B" w:rsidRDefault="00AB04ED" w:rsidP="00701C80">
            <w:pPr>
              <w:spacing w:before="60"/>
              <w:jc w:val="center"/>
              <w:rPr>
                <w:b/>
                <w:sz w:val="18"/>
                <w:szCs w:val="18"/>
              </w:rPr>
            </w:pPr>
            <w:r w:rsidRPr="00A9330B">
              <w:rPr>
                <w:b/>
                <w:sz w:val="18"/>
                <w:szCs w:val="18"/>
              </w:rPr>
              <w:t>1a</w:t>
            </w:r>
          </w:p>
        </w:tc>
        <w:tc>
          <w:tcPr>
            <w:tcW w:w="1617" w:type="dxa"/>
          </w:tcPr>
          <w:p w14:paraId="31264754" w14:textId="77777777" w:rsidR="00AB04ED" w:rsidRPr="00A9330B" w:rsidRDefault="00AB04ED" w:rsidP="00701C80">
            <w:pPr>
              <w:spacing w:before="60"/>
              <w:rPr>
                <w:sz w:val="20"/>
                <w:szCs w:val="20"/>
              </w:rPr>
            </w:pPr>
          </w:p>
        </w:tc>
        <w:tc>
          <w:tcPr>
            <w:tcW w:w="3136" w:type="dxa"/>
          </w:tcPr>
          <w:p w14:paraId="248B26AD" w14:textId="77777777" w:rsidR="00AB04ED" w:rsidRPr="00A9330B" w:rsidRDefault="00AB04ED" w:rsidP="00701C80">
            <w:pPr>
              <w:spacing w:before="60"/>
              <w:rPr>
                <w:sz w:val="20"/>
                <w:szCs w:val="20"/>
              </w:rPr>
            </w:pPr>
          </w:p>
        </w:tc>
        <w:tc>
          <w:tcPr>
            <w:tcW w:w="1072" w:type="dxa"/>
          </w:tcPr>
          <w:p w14:paraId="0957876E" w14:textId="77777777" w:rsidR="00AB04ED" w:rsidRPr="00A9330B" w:rsidRDefault="00AB04ED" w:rsidP="00701C80">
            <w:pPr>
              <w:spacing w:before="60"/>
              <w:rPr>
                <w:sz w:val="20"/>
                <w:szCs w:val="20"/>
              </w:rPr>
            </w:pPr>
          </w:p>
        </w:tc>
        <w:tc>
          <w:tcPr>
            <w:tcW w:w="1279" w:type="dxa"/>
          </w:tcPr>
          <w:p w14:paraId="7DF32C7F" w14:textId="77777777" w:rsidR="00AB04ED" w:rsidRPr="00A9330B" w:rsidRDefault="00AB04ED" w:rsidP="00701C80">
            <w:pPr>
              <w:spacing w:before="60"/>
              <w:rPr>
                <w:sz w:val="20"/>
                <w:szCs w:val="20"/>
              </w:rPr>
            </w:pPr>
          </w:p>
        </w:tc>
        <w:tc>
          <w:tcPr>
            <w:tcW w:w="1139" w:type="dxa"/>
          </w:tcPr>
          <w:p w14:paraId="74FF0469" w14:textId="77777777" w:rsidR="00AB04ED" w:rsidRPr="00A9330B" w:rsidRDefault="00AB04ED" w:rsidP="00701C80">
            <w:pPr>
              <w:spacing w:before="60"/>
              <w:rPr>
                <w:sz w:val="20"/>
                <w:szCs w:val="20"/>
              </w:rPr>
            </w:pPr>
          </w:p>
        </w:tc>
      </w:tr>
      <w:tr w:rsidR="00AB04ED" w:rsidRPr="00A9330B" w14:paraId="152CD000" w14:textId="77777777" w:rsidTr="00701C80">
        <w:trPr>
          <w:trHeight w:val="279"/>
        </w:trPr>
        <w:tc>
          <w:tcPr>
            <w:tcW w:w="605" w:type="dxa"/>
            <w:vAlign w:val="center"/>
          </w:tcPr>
          <w:p w14:paraId="56729A26" w14:textId="77777777" w:rsidR="00AB04ED" w:rsidRPr="00A9330B" w:rsidRDefault="00AB04ED" w:rsidP="00701C80">
            <w:pPr>
              <w:spacing w:before="60"/>
              <w:jc w:val="center"/>
              <w:rPr>
                <w:b/>
                <w:sz w:val="18"/>
                <w:szCs w:val="18"/>
              </w:rPr>
            </w:pPr>
            <w:r w:rsidRPr="00A9330B">
              <w:rPr>
                <w:b/>
                <w:sz w:val="18"/>
                <w:szCs w:val="18"/>
              </w:rPr>
              <w:t>1b</w:t>
            </w:r>
          </w:p>
        </w:tc>
        <w:tc>
          <w:tcPr>
            <w:tcW w:w="1617" w:type="dxa"/>
          </w:tcPr>
          <w:p w14:paraId="05907974" w14:textId="77777777" w:rsidR="00AB04ED" w:rsidRPr="00A9330B" w:rsidRDefault="00AB04ED" w:rsidP="00701C80">
            <w:pPr>
              <w:spacing w:before="60"/>
              <w:rPr>
                <w:sz w:val="20"/>
                <w:szCs w:val="20"/>
              </w:rPr>
            </w:pPr>
          </w:p>
        </w:tc>
        <w:tc>
          <w:tcPr>
            <w:tcW w:w="3136" w:type="dxa"/>
          </w:tcPr>
          <w:p w14:paraId="128FFBDC" w14:textId="77777777" w:rsidR="00AB04ED" w:rsidRPr="00A9330B" w:rsidRDefault="00AB04ED" w:rsidP="00701C80">
            <w:pPr>
              <w:spacing w:before="60"/>
              <w:rPr>
                <w:sz w:val="20"/>
                <w:szCs w:val="20"/>
              </w:rPr>
            </w:pPr>
          </w:p>
        </w:tc>
        <w:tc>
          <w:tcPr>
            <w:tcW w:w="1072" w:type="dxa"/>
          </w:tcPr>
          <w:p w14:paraId="38BDDA8C" w14:textId="77777777" w:rsidR="00AB04ED" w:rsidRPr="00A9330B" w:rsidRDefault="00AB04ED" w:rsidP="00701C80">
            <w:pPr>
              <w:spacing w:before="60"/>
              <w:rPr>
                <w:sz w:val="20"/>
                <w:szCs w:val="20"/>
              </w:rPr>
            </w:pPr>
          </w:p>
        </w:tc>
        <w:tc>
          <w:tcPr>
            <w:tcW w:w="1279" w:type="dxa"/>
          </w:tcPr>
          <w:p w14:paraId="66760C77" w14:textId="77777777" w:rsidR="00AB04ED" w:rsidRPr="00A9330B" w:rsidRDefault="00AB04ED" w:rsidP="00701C80">
            <w:pPr>
              <w:spacing w:before="60"/>
              <w:rPr>
                <w:sz w:val="20"/>
                <w:szCs w:val="20"/>
              </w:rPr>
            </w:pPr>
          </w:p>
        </w:tc>
        <w:tc>
          <w:tcPr>
            <w:tcW w:w="1139" w:type="dxa"/>
          </w:tcPr>
          <w:p w14:paraId="59C928BD" w14:textId="77777777" w:rsidR="00AB04ED" w:rsidRPr="00A9330B" w:rsidRDefault="00AB04ED" w:rsidP="00701C80">
            <w:pPr>
              <w:spacing w:before="60"/>
              <w:rPr>
                <w:sz w:val="20"/>
                <w:szCs w:val="20"/>
              </w:rPr>
            </w:pPr>
          </w:p>
        </w:tc>
      </w:tr>
      <w:tr w:rsidR="00AB04ED" w:rsidRPr="00A9330B" w14:paraId="3DC762AF" w14:textId="77777777" w:rsidTr="00701C80">
        <w:trPr>
          <w:trHeight w:val="279"/>
        </w:trPr>
        <w:tc>
          <w:tcPr>
            <w:tcW w:w="605" w:type="dxa"/>
            <w:vAlign w:val="center"/>
          </w:tcPr>
          <w:p w14:paraId="733454B5" w14:textId="77777777" w:rsidR="00AB04ED" w:rsidRPr="00A9330B" w:rsidRDefault="00AB04ED" w:rsidP="00701C80">
            <w:pPr>
              <w:spacing w:before="60"/>
              <w:jc w:val="center"/>
              <w:rPr>
                <w:b/>
                <w:sz w:val="18"/>
                <w:szCs w:val="18"/>
              </w:rPr>
            </w:pPr>
            <w:r w:rsidRPr="00A9330B">
              <w:rPr>
                <w:b/>
                <w:sz w:val="18"/>
                <w:szCs w:val="18"/>
              </w:rPr>
              <w:t>2</w:t>
            </w:r>
          </w:p>
        </w:tc>
        <w:tc>
          <w:tcPr>
            <w:tcW w:w="1617" w:type="dxa"/>
          </w:tcPr>
          <w:p w14:paraId="39A2933F" w14:textId="77777777" w:rsidR="00AB04ED" w:rsidRPr="00A9330B" w:rsidRDefault="00AB04ED" w:rsidP="00701C80">
            <w:pPr>
              <w:spacing w:before="60"/>
              <w:rPr>
                <w:sz w:val="20"/>
                <w:szCs w:val="20"/>
              </w:rPr>
            </w:pPr>
          </w:p>
        </w:tc>
        <w:tc>
          <w:tcPr>
            <w:tcW w:w="3136" w:type="dxa"/>
          </w:tcPr>
          <w:p w14:paraId="2CF7BC84" w14:textId="77777777" w:rsidR="00AB04ED" w:rsidRPr="00A9330B" w:rsidRDefault="00AB04ED" w:rsidP="00701C80">
            <w:pPr>
              <w:spacing w:before="60"/>
              <w:rPr>
                <w:sz w:val="20"/>
                <w:szCs w:val="20"/>
              </w:rPr>
            </w:pPr>
          </w:p>
        </w:tc>
        <w:tc>
          <w:tcPr>
            <w:tcW w:w="1072" w:type="dxa"/>
          </w:tcPr>
          <w:p w14:paraId="3707EB9F" w14:textId="77777777" w:rsidR="00AB04ED" w:rsidRPr="00A9330B" w:rsidRDefault="00AB04ED" w:rsidP="00701C80">
            <w:pPr>
              <w:spacing w:before="60"/>
              <w:rPr>
                <w:sz w:val="20"/>
                <w:szCs w:val="20"/>
              </w:rPr>
            </w:pPr>
          </w:p>
        </w:tc>
        <w:tc>
          <w:tcPr>
            <w:tcW w:w="1279" w:type="dxa"/>
          </w:tcPr>
          <w:p w14:paraId="45E6FA2B" w14:textId="77777777" w:rsidR="00AB04ED" w:rsidRPr="00A9330B" w:rsidRDefault="00AB04ED" w:rsidP="00701C80">
            <w:pPr>
              <w:spacing w:before="60"/>
              <w:rPr>
                <w:sz w:val="20"/>
                <w:szCs w:val="20"/>
              </w:rPr>
            </w:pPr>
          </w:p>
        </w:tc>
        <w:tc>
          <w:tcPr>
            <w:tcW w:w="1139" w:type="dxa"/>
          </w:tcPr>
          <w:p w14:paraId="4918216E" w14:textId="77777777" w:rsidR="00AB04ED" w:rsidRPr="00A9330B" w:rsidRDefault="00AB04ED" w:rsidP="00701C80">
            <w:pPr>
              <w:spacing w:before="60"/>
              <w:rPr>
                <w:sz w:val="20"/>
                <w:szCs w:val="20"/>
              </w:rPr>
            </w:pPr>
          </w:p>
        </w:tc>
      </w:tr>
      <w:tr w:rsidR="00AB04ED" w:rsidRPr="00A9330B" w14:paraId="52526EEB" w14:textId="77777777" w:rsidTr="00701C80">
        <w:trPr>
          <w:trHeight w:val="279"/>
        </w:trPr>
        <w:tc>
          <w:tcPr>
            <w:tcW w:w="605" w:type="dxa"/>
            <w:vAlign w:val="center"/>
          </w:tcPr>
          <w:p w14:paraId="2521B8BB" w14:textId="77777777" w:rsidR="00AB04ED" w:rsidRPr="00A9330B" w:rsidRDefault="00AB04ED" w:rsidP="00701C80">
            <w:pPr>
              <w:spacing w:before="60"/>
              <w:jc w:val="center"/>
              <w:rPr>
                <w:b/>
                <w:sz w:val="18"/>
                <w:szCs w:val="18"/>
              </w:rPr>
            </w:pPr>
            <w:r w:rsidRPr="00A9330B">
              <w:rPr>
                <w:b/>
                <w:sz w:val="18"/>
                <w:szCs w:val="18"/>
              </w:rPr>
              <w:t>2a</w:t>
            </w:r>
          </w:p>
        </w:tc>
        <w:tc>
          <w:tcPr>
            <w:tcW w:w="1617" w:type="dxa"/>
          </w:tcPr>
          <w:p w14:paraId="19B899A7" w14:textId="77777777" w:rsidR="00AB04ED" w:rsidRPr="00A9330B" w:rsidRDefault="00AB04ED" w:rsidP="00701C80">
            <w:pPr>
              <w:spacing w:before="60"/>
              <w:rPr>
                <w:sz w:val="20"/>
                <w:szCs w:val="20"/>
              </w:rPr>
            </w:pPr>
          </w:p>
        </w:tc>
        <w:tc>
          <w:tcPr>
            <w:tcW w:w="3136" w:type="dxa"/>
          </w:tcPr>
          <w:p w14:paraId="59EB6C97" w14:textId="77777777" w:rsidR="00AB04ED" w:rsidRPr="00A9330B" w:rsidRDefault="00AB04ED" w:rsidP="00701C80">
            <w:pPr>
              <w:spacing w:before="60"/>
              <w:rPr>
                <w:sz w:val="20"/>
                <w:szCs w:val="20"/>
              </w:rPr>
            </w:pPr>
          </w:p>
        </w:tc>
        <w:tc>
          <w:tcPr>
            <w:tcW w:w="1072" w:type="dxa"/>
          </w:tcPr>
          <w:p w14:paraId="37B1BD4A" w14:textId="77777777" w:rsidR="00AB04ED" w:rsidRPr="00A9330B" w:rsidRDefault="00AB04ED" w:rsidP="00701C80">
            <w:pPr>
              <w:spacing w:before="60"/>
              <w:rPr>
                <w:sz w:val="20"/>
                <w:szCs w:val="20"/>
              </w:rPr>
            </w:pPr>
          </w:p>
        </w:tc>
        <w:tc>
          <w:tcPr>
            <w:tcW w:w="1279" w:type="dxa"/>
          </w:tcPr>
          <w:p w14:paraId="38B790F5" w14:textId="77777777" w:rsidR="00AB04ED" w:rsidRPr="00A9330B" w:rsidRDefault="00AB04ED" w:rsidP="00701C80">
            <w:pPr>
              <w:spacing w:before="60"/>
              <w:rPr>
                <w:sz w:val="20"/>
                <w:szCs w:val="20"/>
              </w:rPr>
            </w:pPr>
          </w:p>
        </w:tc>
        <w:tc>
          <w:tcPr>
            <w:tcW w:w="1139" w:type="dxa"/>
          </w:tcPr>
          <w:p w14:paraId="7540CF02" w14:textId="77777777" w:rsidR="00AB04ED" w:rsidRPr="00A9330B" w:rsidRDefault="00AB04ED" w:rsidP="00701C80">
            <w:pPr>
              <w:spacing w:before="60"/>
              <w:rPr>
                <w:sz w:val="20"/>
                <w:szCs w:val="20"/>
              </w:rPr>
            </w:pPr>
          </w:p>
        </w:tc>
      </w:tr>
      <w:tr w:rsidR="00AB04ED" w:rsidRPr="00A9330B" w14:paraId="164BA842" w14:textId="77777777" w:rsidTr="00701C80">
        <w:trPr>
          <w:trHeight w:val="293"/>
        </w:trPr>
        <w:tc>
          <w:tcPr>
            <w:tcW w:w="605" w:type="dxa"/>
            <w:vAlign w:val="center"/>
          </w:tcPr>
          <w:p w14:paraId="3F761C7D" w14:textId="77777777" w:rsidR="00AB04ED" w:rsidRPr="00A9330B" w:rsidRDefault="00AB04ED" w:rsidP="00701C80">
            <w:pPr>
              <w:spacing w:before="60"/>
              <w:jc w:val="center"/>
              <w:rPr>
                <w:b/>
                <w:sz w:val="18"/>
                <w:szCs w:val="18"/>
              </w:rPr>
            </w:pPr>
            <w:r w:rsidRPr="00A9330B">
              <w:rPr>
                <w:b/>
                <w:sz w:val="18"/>
                <w:szCs w:val="18"/>
              </w:rPr>
              <w:t>Etc..</w:t>
            </w:r>
          </w:p>
        </w:tc>
        <w:tc>
          <w:tcPr>
            <w:tcW w:w="1617" w:type="dxa"/>
          </w:tcPr>
          <w:p w14:paraId="312FCF90" w14:textId="77777777" w:rsidR="00AB04ED" w:rsidRPr="00A9330B" w:rsidRDefault="00AB04ED" w:rsidP="00701C80">
            <w:pPr>
              <w:spacing w:before="60"/>
              <w:rPr>
                <w:sz w:val="20"/>
                <w:szCs w:val="20"/>
              </w:rPr>
            </w:pPr>
          </w:p>
        </w:tc>
        <w:tc>
          <w:tcPr>
            <w:tcW w:w="3136" w:type="dxa"/>
          </w:tcPr>
          <w:p w14:paraId="123A8D39" w14:textId="77777777" w:rsidR="00AB04ED" w:rsidRPr="00A9330B" w:rsidRDefault="00AB04ED" w:rsidP="00701C80">
            <w:pPr>
              <w:spacing w:before="60"/>
              <w:rPr>
                <w:sz w:val="20"/>
                <w:szCs w:val="20"/>
              </w:rPr>
            </w:pPr>
          </w:p>
        </w:tc>
        <w:tc>
          <w:tcPr>
            <w:tcW w:w="1072" w:type="dxa"/>
          </w:tcPr>
          <w:p w14:paraId="6B48893D" w14:textId="77777777" w:rsidR="00AB04ED" w:rsidRPr="00A9330B" w:rsidRDefault="00AB04ED" w:rsidP="00701C80">
            <w:pPr>
              <w:spacing w:before="60"/>
              <w:rPr>
                <w:sz w:val="20"/>
                <w:szCs w:val="20"/>
              </w:rPr>
            </w:pPr>
          </w:p>
        </w:tc>
        <w:tc>
          <w:tcPr>
            <w:tcW w:w="1279" w:type="dxa"/>
          </w:tcPr>
          <w:p w14:paraId="58C5D894" w14:textId="77777777" w:rsidR="00AB04ED" w:rsidRPr="00A9330B" w:rsidRDefault="00AB04ED" w:rsidP="00701C80">
            <w:pPr>
              <w:spacing w:before="60"/>
              <w:rPr>
                <w:sz w:val="20"/>
                <w:szCs w:val="20"/>
              </w:rPr>
            </w:pPr>
          </w:p>
        </w:tc>
        <w:tc>
          <w:tcPr>
            <w:tcW w:w="1139" w:type="dxa"/>
          </w:tcPr>
          <w:p w14:paraId="39128380" w14:textId="77777777" w:rsidR="00AB04ED" w:rsidRPr="00A9330B" w:rsidRDefault="00AB04ED" w:rsidP="00701C80">
            <w:pPr>
              <w:spacing w:before="60"/>
              <w:rPr>
                <w:sz w:val="20"/>
                <w:szCs w:val="20"/>
              </w:rPr>
            </w:pPr>
          </w:p>
        </w:tc>
      </w:tr>
    </w:tbl>
    <w:p w14:paraId="037C1C2D" w14:textId="77777777" w:rsidR="00AB04ED" w:rsidRPr="00A9330B" w:rsidRDefault="00AB04ED" w:rsidP="006E37A6">
      <w:pPr>
        <w:pStyle w:val="Titre3"/>
      </w:pPr>
      <w:bookmarkStart w:id="599" w:name="_Toc517377123"/>
      <w:bookmarkStart w:id="600" w:name="_Toc45520767"/>
      <w:bookmarkStart w:id="601" w:name="_Toc52869575"/>
      <w:r w:rsidRPr="00A9330B">
        <w:t>1.3.6. Réalisation d’un Plan d’Action de Réinstallation (PAR)</w:t>
      </w:r>
      <w:bookmarkEnd w:id="599"/>
      <w:bookmarkEnd w:id="600"/>
      <w:bookmarkEnd w:id="601"/>
    </w:p>
    <w:p w14:paraId="4B51986E" w14:textId="77777777" w:rsidR="00AB04ED" w:rsidRPr="00A9330B" w:rsidRDefault="00AB04ED" w:rsidP="00AB04ED">
      <w:pPr>
        <w:jc w:val="both"/>
      </w:pPr>
      <w:r w:rsidRPr="00A9330B">
        <w:t xml:space="preserve">Compte tenu des emprises retenues pour l’installation des ouvrages et l’aménagement des rues dans le PAPVS des biens et activités pourraient être affectés. </w:t>
      </w:r>
    </w:p>
    <w:p w14:paraId="145182A3" w14:textId="77777777" w:rsidR="00AB04ED" w:rsidRPr="00A9330B" w:rsidRDefault="00AB04ED" w:rsidP="00AB04ED">
      <w:pPr>
        <w:jc w:val="both"/>
      </w:pPr>
      <w:r w:rsidRPr="00A9330B">
        <w:t xml:space="preserve">Un inventaire socio-immobilier a été élaboré et pourrait déboucher sur un PAR qui constitue un document complémentaire de l’EIES. Le PAR établit un mécanisme à utiliser pour identifier, inventorier et estimer les installations (biens, activités) occupant les emprises. </w:t>
      </w:r>
    </w:p>
    <w:p w14:paraId="160D766B" w14:textId="77777777" w:rsidR="00AB04ED" w:rsidRPr="00A9330B" w:rsidRDefault="00AB04ED" w:rsidP="00AB04ED">
      <w:pPr>
        <w:jc w:val="both"/>
        <w:rPr>
          <w:rFonts w:eastAsia="Calibri"/>
          <w:lang w:eastAsia="fr-FR"/>
        </w:rPr>
      </w:pPr>
      <w:r w:rsidRPr="00A9330B">
        <w:rPr>
          <w:rFonts w:eastAsia="Calibri"/>
          <w:lang w:eastAsia="fr-FR"/>
        </w:rPr>
        <w:t>Les méthodes et outils de collecte des données du PAR sont définis dans le rapport du PAR.</w:t>
      </w:r>
    </w:p>
    <w:p w14:paraId="03197A65" w14:textId="77777777" w:rsidR="00AB04ED" w:rsidRPr="00A9330B" w:rsidRDefault="00AB04ED" w:rsidP="006E37A6">
      <w:pPr>
        <w:pStyle w:val="Titre3"/>
      </w:pPr>
      <w:bookmarkStart w:id="602" w:name="_Toc531434155"/>
      <w:bookmarkStart w:id="603" w:name="_Toc535244524"/>
      <w:bookmarkStart w:id="604" w:name="_Toc45520768"/>
      <w:bookmarkStart w:id="605" w:name="_Toc523415065"/>
      <w:bookmarkStart w:id="606" w:name="_Toc523417436"/>
      <w:bookmarkStart w:id="607" w:name="_Toc523850078"/>
      <w:bookmarkStart w:id="608" w:name="_Toc523857203"/>
      <w:bookmarkStart w:id="609" w:name="_Toc524462440"/>
      <w:bookmarkStart w:id="610" w:name="_Toc52869576"/>
      <w:r w:rsidRPr="00A9330B">
        <w:t>1.3.7. Traitement et analyse des données</w:t>
      </w:r>
      <w:bookmarkEnd w:id="602"/>
      <w:bookmarkEnd w:id="603"/>
      <w:bookmarkEnd w:id="604"/>
      <w:bookmarkEnd w:id="610"/>
      <w:r w:rsidRPr="00A9330B">
        <w:t xml:space="preserve"> </w:t>
      </w:r>
      <w:bookmarkEnd w:id="605"/>
      <w:bookmarkEnd w:id="606"/>
      <w:bookmarkEnd w:id="607"/>
      <w:bookmarkEnd w:id="608"/>
      <w:bookmarkEnd w:id="609"/>
    </w:p>
    <w:p w14:paraId="03793416" w14:textId="77777777" w:rsidR="00AB04ED" w:rsidRPr="00A9330B" w:rsidRDefault="00AB04ED" w:rsidP="00AB04ED">
      <w:r w:rsidRPr="00A9330B">
        <w:t>En conciliant les exigences susmentionnées, le présent rapport d’EIES sera structuré autour des grands axes suivants :</w:t>
      </w:r>
    </w:p>
    <w:p w14:paraId="5BCFD6BB" w14:textId="77777777" w:rsidR="00AB04ED" w:rsidRPr="00A9330B" w:rsidRDefault="00AB04ED" w:rsidP="007E42F5">
      <w:pPr>
        <w:pStyle w:val="Paragraphedeliste"/>
        <w:numPr>
          <w:ilvl w:val="0"/>
          <w:numId w:val="35"/>
        </w:numPr>
        <w:spacing w:line="264" w:lineRule="auto"/>
        <w:ind w:left="714" w:hanging="357"/>
        <w:contextualSpacing w:val="0"/>
        <w:jc w:val="both"/>
        <w:rPr>
          <w:lang w:val="fr-FR"/>
        </w:rPr>
      </w:pPr>
      <w:r w:rsidRPr="00A9330B">
        <w:rPr>
          <w:lang w:val="fr-FR"/>
        </w:rPr>
        <w:t>Résumé non technique du rapport EIES ;</w:t>
      </w:r>
    </w:p>
    <w:p w14:paraId="4F6DB13E" w14:textId="77777777" w:rsidR="00AB04ED" w:rsidRPr="00A9330B" w:rsidRDefault="00AB04ED" w:rsidP="007E42F5">
      <w:pPr>
        <w:pStyle w:val="Paragraphedeliste"/>
        <w:numPr>
          <w:ilvl w:val="0"/>
          <w:numId w:val="35"/>
        </w:numPr>
        <w:spacing w:line="264" w:lineRule="auto"/>
        <w:ind w:left="714" w:hanging="357"/>
        <w:contextualSpacing w:val="0"/>
        <w:jc w:val="both"/>
        <w:rPr>
          <w:lang w:val="fr-FR"/>
        </w:rPr>
      </w:pPr>
      <w:r w:rsidRPr="00A9330B">
        <w:rPr>
          <w:lang w:val="fr-FR"/>
        </w:rPr>
        <w:t>Introduction ;</w:t>
      </w:r>
    </w:p>
    <w:p w14:paraId="3E3588F7" w14:textId="77777777" w:rsidR="00AB04ED" w:rsidRPr="00A9330B" w:rsidRDefault="00AB04ED" w:rsidP="007E42F5">
      <w:pPr>
        <w:pStyle w:val="Paragraphedeliste"/>
        <w:numPr>
          <w:ilvl w:val="0"/>
          <w:numId w:val="35"/>
        </w:numPr>
        <w:spacing w:line="264" w:lineRule="auto"/>
        <w:ind w:left="714" w:hanging="357"/>
        <w:contextualSpacing w:val="0"/>
        <w:jc w:val="both"/>
        <w:rPr>
          <w:color w:val="auto"/>
          <w:lang w:val="fr-FR"/>
        </w:rPr>
      </w:pPr>
      <w:r w:rsidRPr="00A9330B">
        <w:rPr>
          <w:color w:val="auto"/>
          <w:lang w:val="fr-FR"/>
        </w:rPr>
        <w:t>la présentation du contexte de l’étude, les cadres politique, juridique et institutionnel d’exécution du projet ;</w:t>
      </w:r>
    </w:p>
    <w:p w14:paraId="26D445B9" w14:textId="77777777" w:rsidR="00AB04ED" w:rsidRPr="00A9330B" w:rsidRDefault="00AB04ED" w:rsidP="007E42F5">
      <w:pPr>
        <w:pStyle w:val="Paragraphedeliste"/>
        <w:numPr>
          <w:ilvl w:val="0"/>
          <w:numId w:val="35"/>
        </w:numPr>
        <w:spacing w:line="264" w:lineRule="auto"/>
        <w:ind w:left="714" w:hanging="357"/>
        <w:contextualSpacing w:val="0"/>
        <w:jc w:val="both"/>
        <w:rPr>
          <w:color w:val="auto"/>
          <w:lang w:val="fr-FR"/>
        </w:rPr>
      </w:pPr>
      <w:r w:rsidRPr="00A9330B">
        <w:rPr>
          <w:color w:val="auto"/>
          <w:lang w:val="fr-FR"/>
        </w:rPr>
        <w:t>l’approche méthodologique ;</w:t>
      </w:r>
    </w:p>
    <w:p w14:paraId="38838374" w14:textId="77777777" w:rsidR="00AB04ED" w:rsidRPr="00A9330B" w:rsidRDefault="00AB04ED" w:rsidP="007E42F5">
      <w:pPr>
        <w:pStyle w:val="Paragraphedeliste"/>
        <w:numPr>
          <w:ilvl w:val="0"/>
          <w:numId w:val="35"/>
        </w:numPr>
        <w:spacing w:line="264" w:lineRule="auto"/>
        <w:ind w:left="714" w:hanging="357"/>
        <w:contextualSpacing w:val="0"/>
        <w:jc w:val="both"/>
        <w:rPr>
          <w:color w:val="auto"/>
          <w:lang w:val="fr-FR"/>
        </w:rPr>
      </w:pPr>
      <w:r w:rsidRPr="00A9330B">
        <w:rPr>
          <w:color w:val="auto"/>
          <w:lang w:val="fr-FR"/>
        </w:rPr>
        <w:t>la description de l’état du milieu récepteur dans les zones d’intervention à travers les composantes physiques, biologiques et humaines, avec une ouverture sur la consultation publique ;</w:t>
      </w:r>
    </w:p>
    <w:p w14:paraId="2856CA4A" w14:textId="77777777" w:rsidR="00AB04ED" w:rsidRPr="00A9330B" w:rsidRDefault="00AB04ED" w:rsidP="007E42F5">
      <w:pPr>
        <w:pStyle w:val="Paragraphedeliste"/>
        <w:numPr>
          <w:ilvl w:val="0"/>
          <w:numId w:val="35"/>
        </w:numPr>
        <w:spacing w:line="264" w:lineRule="auto"/>
        <w:ind w:left="714" w:hanging="357"/>
        <w:contextualSpacing w:val="0"/>
        <w:jc w:val="both"/>
        <w:rPr>
          <w:color w:val="auto"/>
          <w:lang w:val="fr-FR"/>
        </w:rPr>
      </w:pPr>
      <w:r w:rsidRPr="00A9330B">
        <w:rPr>
          <w:color w:val="auto"/>
          <w:lang w:val="fr-FR"/>
        </w:rPr>
        <w:t>l’analyse des variantes à partir des options d’aménagement  du projet, suivie de la présentation de ses activités et de l’analyse des enjeux liés au dit projet ;</w:t>
      </w:r>
    </w:p>
    <w:p w14:paraId="249B47DC" w14:textId="77777777" w:rsidR="00AB04ED" w:rsidRPr="00A9330B" w:rsidRDefault="00AB04ED" w:rsidP="007E42F5">
      <w:pPr>
        <w:pStyle w:val="Paragraphedeliste"/>
        <w:numPr>
          <w:ilvl w:val="0"/>
          <w:numId w:val="35"/>
        </w:numPr>
        <w:spacing w:line="264" w:lineRule="auto"/>
        <w:ind w:left="714" w:hanging="357"/>
        <w:contextualSpacing w:val="0"/>
        <w:jc w:val="both"/>
        <w:rPr>
          <w:color w:val="auto"/>
          <w:lang w:val="fr-FR"/>
        </w:rPr>
      </w:pPr>
      <w:r w:rsidRPr="00A9330B">
        <w:rPr>
          <w:color w:val="auto"/>
          <w:lang w:val="fr-FR"/>
        </w:rPr>
        <w:t xml:space="preserve">l’analyse environnementale qui prend en compte l’identification des impacts (positifs et négatifs potentiels), la proposition des mesures (d’atténuation et de maximisation) en fonction de chaque phase du projet. L’analyse des impacts cumulatifs dans la ville de </w:t>
      </w:r>
      <w:r w:rsidR="00BA7D70" w:rsidRPr="00A9330B">
        <w:rPr>
          <w:color w:val="auto"/>
          <w:lang w:val="fr-FR"/>
        </w:rPr>
        <w:t xml:space="preserve">Natitingou </w:t>
      </w:r>
      <w:r w:rsidRPr="00A9330B">
        <w:rPr>
          <w:color w:val="auto"/>
          <w:lang w:val="fr-FR"/>
        </w:rPr>
        <w:t>est aussi prise en compte dans cette rubrique ;</w:t>
      </w:r>
    </w:p>
    <w:p w14:paraId="742087A1" w14:textId="77777777" w:rsidR="00AB04ED" w:rsidRPr="00A9330B" w:rsidRDefault="00AB04ED" w:rsidP="007E42F5">
      <w:pPr>
        <w:pStyle w:val="Paragraphedeliste"/>
        <w:numPr>
          <w:ilvl w:val="0"/>
          <w:numId w:val="35"/>
        </w:numPr>
        <w:spacing w:line="264" w:lineRule="auto"/>
        <w:ind w:left="714" w:hanging="357"/>
        <w:contextualSpacing w:val="0"/>
        <w:jc w:val="both"/>
        <w:rPr>
          <w:color w:val="auto"/>
          <w:lang w:val="fr-FR"/>
        </w:rPr>
      </w:pPr>
      <w:r w:rsidRPr="00A9330B">
        <w:rPr>
          <w:color w:val="auto"/>
          <w:lang w:val="fr-FR"/>
        </w:rPr>
        <w:t>les modalités de mise en œuvre des prescriptions environnementales et de sécurité (mesures d’atténuation et de maximisation) spécifiques sont décrites dans le plan des risques et le Plan de Gestion Environnementale et Sociale (PGES).</w:t>
      </w:r>
    </w:p>
    <w:p w14:paraId="1F001AFC" w14:textId="77777777" w:rsidR="00AB04ED" w:rsidRPr="00A9330B" w:rsidRDefault="00AB04ED" w:rsidP="0064324E">
      <w:pPr>
        <w:pStyle w:val="Titre1"/>
      </w:pPr>
      <w:bookmarkStart w:id="611" w:name="_Toc535244526"/>
      <w:bookmarkStart w:id="612" w:name="_Toc52869577"/>
      <w:bookmarkStart w:id="613" w:name="_Toc52869831"/>
      <w:r w:rsidRPr="00A9330B">
        <w:lastRenderedPageBreak/>
        <w:t>2. ANALYSE DU CADRE POLITIQUE, JURIDIQUE ET INSTITUTIONNEL DU PROJET</w:t>
      </w:r>
      <w:bookmarkEnd w:id="611"/>
      <w:bookmarkEnd w:id="612"/>
      <w:bookmarkEnd w:id="613"/>
    </w:p>
    <w:p w14:paraId="6217F3CF" w14:textId="3FF5D2A4" w:rsidR="00AB04ED" w:rsidRPr="00A9330B" w:rsidRDefault="00AB04ED" w:rsidP="00AB04ED">
      <w:pPr>
        <w:jc w:val="both"/>
      </w:pPr>
      <w:r w:rsidRPr="00A9330B">
        <w:t xml:space="preserve">Le présent chapitre est élaboré pour mettre en évidence </w:t>
      </w:r>
      <w:r w:rsidR="009E64BB" w:rsidRPr="00A9330B">
        <w:t>les bases politiques,</w:t>
      </w:r>
      <w:r w:rsidRPr="00A9330B">
        <w:t xml:space="preserve"> juridique et institutionnelle </w:t>
      </w:r>
      <w:r w:rsidR="00223E33" w:rsidRPr="00A9330B">
        <w:t xml:space="preserve">de la mise en œuvre du </w:t>
      </w:r>
      <w:r w:rsidRPr="00A9330B">
        <w:t xml:space="preserve">PAPVS en tenant compte des contingences internationales d’une part, des exigences au plan national, d’autre part.  </w:t>
      </w:r>
    </w:p>
    <w:p w14:paraId="4BF14A3A" w14:textId="77777777" w:rsidR="00AB04ED" w:rsidRPr="00A9330B" w:rsidRDefault="00AB04ED" w:rsidP="006E37A6">
      <w:pPr>
        <w:pStyle w:val="Titre20"/>
      </w:pPr>
      <w:bookmarkStart w:id="614" w:name="_Toc535244527"/>
      <w:bookmarkStart w:id="615" w:name="_Toc52869578"/>
      <w:bookmarkStart w:id="616" w:name="_Toc52869832"/>
      <w:r w:rsidRPr="00A9330B">
        <w:t>2.1. Cadre politique</w:t>
      </w:r>
      <w:bookmarkEnd w:id="614"/>
      <w:bookmarkEnd w:id="615"/>
      <w:bookmarkEnd w:id="616"/>
      <w:r w:rsidRPr="00A9330B">
        <w:t xml:space="preserve"> </w:t>
      </w:r>
    </w:p>
    <w:p w14:paraId="02B980D8" w14:textId="51A95770" w:rsidR="00AB04ED" w:rsidRPr="00A9330B" w:rsidRDefault="00AB04ED" w:rsidP="00AB04ED">
      <w:pPr>
        <w:jc w:val="both"/>
        <w:rPr>
          <w:rFonts w:ascii="Times New Roman" w:eastAsiaTheme="minorEastAsia" w:hAnsi="Times New Roman" w:cs="Times New Roman"/>
          <w:sz w:val="20"/>
          <w:szCs w:val="20"/>
          <w:lang w:eastAsia="fr-FR"/>
        </w:rPr>
      </w:pPr>
      <w:r w:rsidRPr="00A9330B">
        <w:rPr>
          <w:lang w:eastAsia="fr-FR"/>
        </w:rPr>
        <w:t>Le Bénin s’est doté de plusieurs documents de politiques stratégiques en rapport avec la question de la gestion des eaux pluviales et</w:t>
      </w:r>
      <w:r w:rsidR="009E64BB" w:rsidRPr="00A9330B">
        <w:rPr>
          <w:lang w:eastAsia="fr-FR"/>
        </w:rPr>
        <w:t xml:space="preserve"> </w:t>
      </w:r>
      <w:r w:rsidR="00BA18AC" w:rsidRPr="00A9330B">
        <w:rPr>
          <w:lang w:eastAsia="fr-FR"/>
        </w:rPr>
        <w:t>de l’assainissement</w:t>
      </w:r>
      <w:r w:rsidRPr="00A9330B">
        <w:rPr>
          <w:lang w:eastAsia="fr-FR"/>
        </w:rPr>
        <w:t xml:space="preserve"> du cadre de vie des populations. Il s’agit notamment :</w:t>
      </w:r>
    </w:p>
    <w:p w14:paraId="219095EB" w14:textId="77777777" w:rsidR="00AB04ED" w:rsidRPr="00A9330B" w:rsidRDefault="00AB04ED" w:rsidP="00AB04ED">
      <w:pPr>
        <w:jc w:val="both"/>
        <w:rPr>
          <w:sz w:val="40"/>
          <w:szCs w:val="29"/>
          <w:u w:val="single"/>
          <w:vertAlign w:val="superscript"/>
          <w:lang w:eastAsia="fr-FR"/>
        </w:rPr>
      </w:pPr>
      <w:r w:rsidRPr="00A9330B">
        <w:rPr>
          <w:i/>
          <w:iCs/>
          <w:szCs w:val="17"/>
          <w:u w:val="single"/>
          <w:lang w:eastAsia="fr-FR"/>
        </w:rPr>
        <w:t>Du Document de Politique Nationale de l’Hygiène et de l’Assainissement (PNHA).</w:t>
      </w:r>
    </w:p>
    <w:p w14:paraId="54B86EAC" w14:textId="77777777" w:rsidR="00270CF2" w:rsidRPr="00A9330B" w:rsidRDefault="00270CF2" w:rsidP="000F7BA7">
      <w:pPr>
        <w:jc w:val="both"/>
        <w:rPr>
          <w:color w:val="auto"/>
        </w:rPr>
      </w:pPr>
      <w:r w:rsidRPr="00A9330B">
        <w:rPr>
          <w:rFonts w:cs="Arial"/>
          <w:lang w:eastAsia="fr-FR"/>
        </w:rPr>
        <w:t xml:space="preserve">Ce document adopté en Conseil des Ministres en décembre 2013, définit les rôles et responsabilités des différents acteurs du secteur. </w:t>
      </w:r>
      <w:r w:rsidRPr="00A9330B">
        <w:t>Il vise à assurer la salubrité du cadre de vie et à limiter les impacts de la pollution sur l’environnement. C’est donc un ensemble d’actions visant à préserver la santé publique, protéger les milieux naturels et contribuer au développement économique et social.</w:t>
      </w:r>
    </w:p>
    <w:p w14:paraId="5E38D117" w14:textId="77777777" w:rsidR="00AB04ED" w:rsidRPr="00A9330B" w:rsidRDefault="00AB04ED" w:rsidP="00AB04ED">
      <w:pPr>
        <w:jc w:val="both"/>
        <w:rPr>
          <w:sz w:val="44"/>
          <w:szCs w:val="44"/>
          <w:vertAlign w:val="superscript"/>
          <w:lang w:eastAsia="fr-FR"/>
        </w:rPr>
      </w:pPr>
      <w:r w:rsidRPr="00A9330B">
        <w:rPr>
          <w:i/>
          <w:iCs/>
          <w:u w:val="single"/>
          <w:lang w:eastAsia="fr-FR"/>
        </w:rPr>
        <w:t>De la Stratégie Nationale de Promotion de l’Hygiène et de l’Assainissement (SNPHAB) en milieu rural et semi urbain</w:t>
      </w:r>
    </w:p>
    <w:p w14:paraId="71F5F21E" w14:textId="77777777" w:rsidR="00270CF2" w:rsidRPr="00A9330B" w:rsidRDefault="00270CF2" w:rsidP="000F7BA7">
      <w:pPr>
        <w:jc w:val="both"/>
        <w:rPr>
          <w:rFonts w:cs="Arial"/>
          <w:vertAlign w:val="superscript"/>
          <w:lang w:eastAsia="fr-FR"/>
        </w:rPr>
      </w:pPr>
      <w:r w:rsidRPr="00A9330B">
        <w:rPr>
          <w:rFonts w:cs="Arial"/>
          <w:lang w:eastAsia="fr-FR"/>
        </w:rPr>
        <w:t>Le document de Stratégie Nationale de Promotion de l’Hygiène et de l’Assainissement (SNPHAB) en milieu rural et périurbain est un document de référence qui définit les enjeux liés à un état des lieux, les rôles et responsabilités des différents acteurs et qui indique les approches méthodologiques voire technologiques les plus pertinentes, pour atteindre les objectifs du Bénin en matière d’assainissement.</w:t>
      </w:r>
    </w:p>
    <w:p w14:paraId="035654A6" w14:textId="77777777" w:rsidR="00270CF2" w:rsidRPr="00A9330B" w:rsidRDefault="00270CF2" w:rsidP="000F7BA7">
      <w:pPr>
        <w:jc w:val="both"/>
        <w:rPr>
          <w:rFonts w:cs="Arial"/>
          <w:vertAlign w:val="superscript"/>
          <w:lang w:eastAsia="fr-FR"/>
        </w:rPr>
      </w:pPr>
      <w:r w:rsidRPr="00A9330B">
        <w:rPr>
          <w:rFonts w:cs="Arial"/>
          <w:i/>
          <w:iCs/>
          <w:u w:val="single"/>
          <w:lang w:eastAsia="fr-FR"/>
        </w:rPr>
        <w:t>Du Document de Politique Nationale de l’Eau</w:t>
      </w:r>
    </w:p>
    <w:p w14:paraId="21FA1F93" w14:textId="77777777" w:rsidR="00270CF2" w:rsidRPr="00A9330B" w:rsidRDefault="00270CF2" w:rsidP="000F7BA7">
      <w:pPr>
        <w:jc w:val="both"/>
        <w:rPr>
          <w:rFonts w:cs="Arial"/>
          <w:lang w:eastAsia="fr-FR"/>
        </w:rPr>
      </w:pPr>
      <w:r w:rsidRPr="00A9330B">
        <w:rPr>
          <w:rFonts w:cs="Arial"/>
          <w:lang w:eastAsia="fr-FR"/>
        </w:rPr>
        <w:t>Le document de politique nationale de l’eau, élaboré en octobre 2008, présente la problématique nationale de gestion des ressources en eau et les éléments de politique de l'eau.</w:t>
      </w:r>
    </w:p>
    <w:p w14:paraId="139A17E2" w14:textId="77777777" w:rsidR="00270CF2" w:rsidRPr="00A9330B" w:rsidRDefault="00270CF2" w:rsidP="000F7BA7">
      <w:pPr>
        <w:jc w:val="both"/>
        <w:rPr>
          <w:rFonts w:eastAsiaTheme="minorEastAsia" w:cs="Arial"/>
          <w:lang w:eastAsia="fr-FR"/>
        </w:rPr>
      </w:pPr>
      <w:r w:rsidRPr="00A9330B">
        <w:rPr>
          <w:rFonts w:cs="Arial"/>
          <w:lang w:eastAsia="fr-FR"/>
        </w:rPr>
        <w:t xml:space="preserve">Il a pour objectif entre autres </w:t>
      </w:r>
      <w:r w:rsidRPr="00A9330B">
        <w:t>d'assurer un accès équitable et durable à l'eau potable pour les populations urbaines semi- urbaines et rurales, de garantir la disponibilité de l'eau en quantité et en qualité pour les activités de production et d'assurer la santé, la sécurité publique et la conservation des écosyst</w:t>
      </w:r>
      <w:r w:rsidRPr="00A9330B">
        <w:rPr>
          <w:rFonts w:cs="Arial"/>
        </w:rPr>
        <w:t>è</w:t>
      </w:r>
      <w:r w:rsidRPr="00A9330B">
        <w:t>mes aquatiques.</w:t>
      </w:r>
    </w:p>
    <w:p w14:paraId="35BA571C" w14:textId="6F21E554" w:rsidR="00AB04ED" w:rsidRPr="00A9330B" w:rsidRDefault="00AB04ED" w:rsidP="004943A0">
      <w:pPr>
        <w:jc w:val="both"/>
      </w:pPr>
      <w:r w:rsidRPr="00A9330B">
        <w:rPr>
          <w:lang w:eastAsia="fr-FR"/>
        </w:rPr>
        <w:t xml:space="preserve">Le présent </w:t>
      </w:r>
      <w:r w:rsidR="00457368" w:rsidRPr="00A9330B">
        <w:rPr>
          <w:lang w:eastAsia="fr-FR"/>
        </w:rPr>
        <w:t>projet</w:t>
      </w:r>
      <w:r w:rsidRPr="00A9330B">
        <w:rPr>
          <w:lang w:eastAsia="fr-FR"/>
        </w:rPr>
        <w:t xml:space="preserve"> s’inscrit parfaitement dans la ligne de ces différentes politiques dont l’objectif est</w:t>
      </w:r>
      <w:r w:rsidR="00E47FDE" w:rsidRPr="00A9330B">
        <w:rPr>
          <w:lang w:eastAsia="fr-FR"/>
        </w:rPr>
        <w:t xml:space="preserve"> d’assainir la ville de Natitingou </w:t>
      </w:r>
      <w:r w:rsidRPr="00A9330B">
        <w:rPr>
          <w:lang w:eastAsia="fr-FR"/>
        </w:rPr>
        <w:t>et améliorer le cadre de vie des populations.</w:t>
      </w:r>
      <w:r w:rsidRPr="00A9330B">
        <w:t xml:space="preserve"> </w:t>
      </w:r>
    </w:p>
    <w:p w14:paraId="48ACA98F" w14:textId="17F69D98" w:rsidR="00AB04ED" w:rsidRPr="00A9330B" w:rsidRDefault="00AB04ED">
      <w:pPr>
        <w:jc w:val="both"/>
      </w:pPr>
      <w:r w:rsidRPr="00A9330B">
        <w:t>Le défi du Gouvernement béninois étant d’inscrire la croissance économique dans la durabilité</w:t>
      </w:r>
      <w:r w:rsidR="00270CF2" w:rsidRPr="00A9330B">
        <w:t>,</w:t>
      </w:r>
      <w:r w:rsidRPr="00A9330B">
        <w:t xml:space="preserve"> </w:t>
      </w:r>
      <w:r w:rsidR="00270CF2" w:rsidRPr="00A9330B">
        <w:t>i</w:t>
      </w:r>
      <w:r w:rsidRPr="00A9330B">
        <w:t xml:space="preserve">l importe de mettre en œuvre des politiques et programmes adaptés à chaque région du territoire pour sauvegarder les ressources naturelles et protéger l’environnement afin d’offrir aux populations, un cadre de vie propice au bien-être humain. Ainsi les dispositions constitutionnelles en vigueur notamment l’article </w:t>
      </w:r>
      <w:r w:rsidR="001C7E6D" w:rsidRPr="00A9330B">
        <w:t>27 «</w:t>
      </w:r>
      <w:r w:rsidRPr="00A9330B">
        <w:rPr>
          <w:b/>
        </w:rPr>
        <w:t xml:space="preserve"> Chaque citoyen a droit à un environnement sain satisfaisant et durable et a le devoir de le défendre. L’Etat veille à la protection de l’environnement</w:t>
      </w:r>
      <w:r w:rsidRPr="00A9330B">
        <w:t> » pourra être respecté.</w:t>
      </w:r>
    </w:p>
    <w:p w14:paraId="2C47F583" w14:textId="77777777" w:rsidR="00AB04ED" w:rsidRPr="00A9330B" w:rsidRDefault="00AB04ED" w:rsidP="006E37A6">
      <w:pPr>
        <w:pStyle w:val="Titre20"/>
      </w:pPr>
      <w:bookmarkStart w:id="617" w:name="_Toc52869579"/>
      <w:bookmarkStart w:id="618" w:name="_Toc52869833"/>
      <w:r w:rsidRPr="00A9330B">
        <w:t>2.2. CADRE JURIDIQUE DU PROJET</w:t>
      </w:r>
      <w:bookmarkEnd w:id="617"/>
      <w:bookmarkEnd w:id="618"/>
    </w:p>
    <w:p w14:paraId="5FA27D8D" w14:textId="63B0AD3D" w:rsidR="00AB04ED" w:rsidRPr="00A9330B" w:rsidRDefault="00AB04ED" w:rsidP="00AB04ED">
      <w:pPr>
        <w:jc w:val="both"/>
        <w:rPr>
          <w:lang w:eastAsia="fr-FR"/>
        </w:rPr>
      </w:pPr>
      <w:r w:rsidRPr="00A9330B">
        <w:t>Ce cad</w:t>
      </w:r>
      <w:r w:rsidR="00223E33" w:rsidRPr="00A9330B">
        <w:t>re a été défini conformément</w:t>
      </w:r>
      <w:r w:rsidRPr="00A9330B">
        <w:t xml:space="preserve"> aux exigences environnementales sur le plan international, national et conformément aux exigences en matière de gestion des </w:t>
      </w:r>
      <w:r w:rsidRPr="00A9330B">
        <w:lastRenderedPageBreak/>
        <w:t xml:space="preserve">Infrastructures routières au Bénin. Les dispositions législatives et règlementaires qui constituent le cadre juridique sont de deux ordres : </w:t>
      </w:r>
      <w:r w:rsidRPr="00A9330B">
        <w:rPr>
          <w:lang w:eastAsia="fr-FR"/>
        </w:rPr>
        <w:t xml:space="preserve">les normes internationales et la règlementation nationale. </w:t>
      </w:r>
    </w:p>
    <w:p w14:paraId="5477A99A" w14:textId="77777777" w:rsidR="00AB04ED" w:rsidRPr="00A9330B" w:rsidRDefault="00AB04ED" w:rsidP="006E37A6">
      <w:pPr>
        <w:pStyle w:val="Titre3"/>
      </w:pPr>
      <w:bookmarkStart w:id="619" w:name="_Toc45520772"/>
      <w:bookmarkStart w:id="620" w:name="_Toc52869580"/>
      <w:r w:rsidRPr="00A9330B">
        <w:t>2.2.1. Normes internationales</w:t>
      </w:r>
      <w:bookmarkEnd w:id="619"/>
      <w:bookmarkEnd w:id="620"/>
      <w:r w:rsidRPr="00A9330B">
        <w:t xml:space="preserve"> </w:t>
      </w:r>
    </w:p>
    <w:p w14:paraId="0DB24CCB" w14:textId="77777777" w:rsidR="00AB04ED" w:rsidRPr="00A9330B" w:rsidRDefault="00AB04ED" w:rsidP="00AB04ED">
      <w:pPr>
        <w:jc w:val="both"/>
        <w:rPr>
          <w:lang w:eastAsia="fr-FR"/>
        </w:rPr>
      </w:pPr>
      <w:r w:rsidRPr="00A9330B">
        <w:rPr>
          <w:lang w:eastAsia="fr-FR"/>
        </w:rPr>
        <w:t>Les normes internationales applicables au projet comportent deux (02) volets à savoir : les conventions internationales d’une part et les politiques opérationnelles des partenaires techniques et financiers.</w:t>
      </w:r>
    </w:p>
    <w:p w14:paraId="0C38C50A" w14:textId="77777777" w:rsidR="00AB04ED" w:rsidRPr="00A9330B" w:rsidRDefault="00AB04ED" w:rsidP="0064324E">
      <w:pPr>
        <w:pStyle w:val="Titre40"/>
      </w:pPr>
      <w:bookmarkStart w:id="621" w:name="_Toc45520773"/>
      <w:bookmarkStart w:id="622" w:name="_Toc52869581"/>
      <w:r w:rsidRPr="00A9330B">
        <w:t>2.2.1.1. Les conventions internationales</w:t>
      </w:r>
      <w:bookmarkEnd w:id="621"/>
      <w:bookmarkEnd w:id="622"/>
    </w:p>
    <w:p w14:paraId="78EBDA6F" w14:textId="77777777" w:rsidR="00AB04ED" w:rsidRPr="00A9330B" w:rsidRDefault="00AB04ED" w:rsidP="00AB04ED">
      <w:pPr>
        <w:jc w:val="both"/>
        <w:rPr>
          <w:lang w:eastAsia="fr-FR"/>
        </w:rPr>
      </w:pPr>
      <w:r w:rsidRPr="00A9330B">
        <w:rPr>
          <w:lang w:eastAsia="fr-FR"/>
        </w:rPr>
        <w:t>Le Bénin a ratifié de nombreuses conventions internationales dont certaines sont applicables au présent projet. Il s’agit de :</w:t>
      </w:r>
    </w:p>
    <w:p w14:paraId="0B27D14F" w14:textId="796A5672" w:rsidR="00AB04ED" w:rsidRPr="00A9330B" w:rsidRDefault="00AB04ED" w:rsidP="007E42F5">
      <w:pPr>
        <w:pStyle w:val="Paragraphedeliste"/>
        <w:numPr>
          <w:ilvl w:val="0"/>
          <w:numId w:val="34"/>
        </w:numPr>
        <w:jc w:val="both"/>
        <w:rPr>
          <w:b/>
          <w:lang w:val="fr-FR" w:eastAsia="fr-FR"/>
        </w:rPr>
      </w:pPr>
      <w:r w:rsidRPr="00A9330B">
        <w:rPr>
          <w:b/>
          <w:lang w:val="fr-FR" w:eastAsia="fr-FR"/>
        </w:rPr>
        <w:t>La Convention relative aux zones humides d’importance internationale (Ramsar,</w:t>
      </w:r>
      <w:r w:rsidR="007430DB" w:rsidRPr="00A9330B">
        <w:rPr>
          <w:b/>
          <w:lang w:val="fr-FR" w:eastAsia="fr-FR"/>
        </w:rPr>
        <w:t xml:space="preserve"> </w:t>
      </w:r>
      <w:r w:rsidRPr="00A9330B">
        <w:rPr>
          <w:b/>
          <w:lang w:val="fr-FR" w:eastAsia="fr-FR"/>
        </w:rPr>
        <w:t xml:space="preserve">1971) </w:t>
      </w:r>
    </w:p>
    <w:p w14:paraId="11957647" w14:textId="77777777" w:rsidR="00AB04ED" w:rsidRPr="00A9330B" w:rsidRDefault="00AB04ED" w:rsidP="00AB04ED">
      <w:pPr>
        <w:jc w:val="both"/>
        <w:rPr>
          <w:lang w:eastAsia="fr-FR"/>
        </w:rPr>
      </w:pPr>
      <w:r w:rsidRPr="00A9330B">
        <w:rPr>
          <w:lang w:eastAsia="fr-FR"/>
        </w:rPr>
        <w:t xml:space="preserve">La Convention de Ramsar est le seul traité sur l’environnement de portée mondiale qui soit consacré à un écosystème particulier. Elle a été adoptée le 2 février 1971 à Ramsar en Iran. La Convention est entrée en vigueur au Bénin le 24 Mai 2000. </w:t>
      </w:r>
    </w:p>
    <w:p w14:paraId="2DE74C93" w14:textId="582E0B0A" w:rsidR="00AB04ED" w:rsidRPr="00A9330B" w:rsidRDefault="00AB04ED" w:rsidP="00AB04ED">
      <w:pPr>
        <w:jc w:val="both"/>
        <w:rPr>
          <w:lang w:eastAsia="fr-FR"/>
        </w:rPr>
      </w:pPr>
      <w:r w:rsidRPr="00A9330B">
        <w:rPr>
          <w:lang w:eastAsia="fr-FR"/>
        </w:rPr>
        <w:t xml:space="preserve">Conformément aux dispositions de l’article 4 de la Convention de Ramsar, chaque Partie contractante favorise la conservation des zones humides et pourvoit de façon adéquate à leur surveillance. Ainsi, l’obligation faite aux promoteurs de projets à travers les dispositions de la loi cadre sur l’environnement, de réaliser au préalable des études d’impacts environnementales approfondies dans les zones sensibles n’est qu’une traduction des dispositions de ladite convention. De plus, les Plans de Gestion Environnementale et Sociale résultant de ces études d’impacts s’inscrivent dans une dynamique de conservation et de surveillance desdites zones. La ville de </w:t>
      </w:r>
      <w:r w:rsidR="00655D39" w:rsidRPr="00A9330B">
        <w:rPr>
          <w:lang w:eastAsia="fr-FR"/>
        </w:rPr>
        <w:t xml:space="preserve">Natitingou </w:t>
      </w:r>
      <w:r w:rsidRPr="00A9330B">
        <w:rPr>
          <w:lang w:eastAsia="fr-FR"/>
        </w:rPr>
        <w:t>n’abrite pas de site Ramsar mais les ouvrages et rues prévues traverseront des zones sensibles et humides. Au Bénin il y a trois catégories de zones humides : les zones humides marines côtières</w:t>
      </w:r>
      <w:r w:rsidRPr="00A9330B">
        <w:rPr>
          <w:vertAlign w:val="superscript"/>
          <w:lang w:eastAsia="fr-FR"/>
        </w:rPr>
        <w:footnoteReference w:id="1"/>
      </w:r>
      <w:r w:rsidRPr="00A9330B">
        <w:rPr>
          <w:lang w:eastAsia="fr-FR"/>
        </w:rPr>
        <w:t>, les zones humides continentales</w:t>
      </w:r>
      <w:r w:rsidRPr="00A9330B">
        <w:rPr>
          <w:vertAlign w:val="superscript"/>
          <w:lang w:eastAsia="fr-FR"/>
        </w:rPr>
        <w:footnoteReference w:id="2"/>
      </w:r>
      <w:r w:rsidRPr="00A9330B">
        <w:rPr>
          <w:lang w:eastAsia="fr-FR"/>
        </w:rPr>
        <w:t xml:space="preserve"> et</w:t>
      </w:r>
      <w:r w:rsidR="007430DB" w:rsidRPr="00A9330B">
        <w:rPr>
          <w:lang w:eastAsia="fr-FR"/>
        </w:rPr>
        <w:t xml:space="preserve"> </w:t>
      </w:r>
      <w:r w:rsidRPr="00A9330B">
        <w:rPr>
          <w:lang w:eastAsia="fr-FR"/>
        </w:rPr>
        <w:t xml:space="preserve"> les zones humides artificielles</w:t>
      </w:r>
      <w:r w:rsidRPr="00A9330B">
        <w:rPr>
          <w:vertAlign w:val="superscript"/>
          <w:lang w:eastAsia="fr-FR"/>
        </w:rPr>
        <w:footnoteReference w:id="3"/>
      </w:r>
      <w:r w:rsidRPr="00A9330B">
        <w:rPr>
          <w:lang w:eastAsia="fr-FR"/>
        </w:rPr>
        <w:t xml:space="preserve">.  </w:t>
      </w:r>
    </w:p>
    <w:p w14:paraId="1D716185" w14:textId="27F9586D" w:rsidR="00AB04ED" w:rsidRPr="00A9330B" w:rsidRDefault="00AB04ED" w:rsidP="00AB04ED">
      <w:pPr>
        <w:jc w:val="both"/>
        <w:rPr>
          <w:color w:val="auto"/>
          <w:lang w:eastAsia="fr-FR"/>
        </w:rPr>
      </w:pPr>
      <w:r w:rsidRPr="00A9330B">
        <w:rPr>
          <w:color w:val="auto"/>
          <w:lang w:eastAsia="fr-FR"/>
        </w:rPr>
        <w:t>Conformément aux dispositions de la loi cadre sur l’environnement sont considérées comme zones sensibles : (i) les zones humides : plans et cours d’eau et leurs rivages, régions inondables, régions inondées, marécages, le domaine margino–littoral ; (ii) les agglomérations urbaines notamment les zones résidentielles ; etc. Ces zones qu’elles soient d’importance internationale ou non méritent une attention particulière au cours de la réalisation des études d’impacts sur l’environnement des projets.</w:t>
      </w:r>
    </w:p>
    <w:p w14:paraId="23C2172E" w14:textId="59895810" w:rsidR="00E329A9" w:rsidRPr="00A9330B" w:rsidRDefault="00E329A9" w:rsidP="00AB04ED">
      <w:pPr>
        <w:jc w:val="both"/>
        <w:rPr>
          <w:color w:val="auto"/>
          <w:lang w:eastAsia="fr-FR"/>
        </w:rPr>
      </w:pPr>
    </w:p>
    <w:p w14:paraId="050446A4" w14:textId="77777777" w:rsidR="00E329A9" w:rsidRPr="00A9330B" w:rsidRDefault="00E329A9" w:rsidP="00AB04ED">
      <w:pPr>
        <w:jc w:val="both"/>
        <w:rPr>
          <w:color w:val="auto"/>
          <w:lang w:eastAsia="fr-FR"/>
        </w:rPr>
      </w:pPr>
    </w:p>
    <w:p w14:paraId="21B6F50C" w14:textId="77777777" w:rsidR="00AB04ED" w:rsidRPr="00A9330B" w:rsidRDefault="00AB04ED" w:rsidP="007E42F5">
      <w:pPr>
        <w:pStyle w:val="Paragraphedeliste"/>
        <w:numPr>
          <w:ilvl w:val="0"/>
          <w:numId w:val="36"/>
        </w:numPr>
        <w:rPr>
          <w:rFonts w:eastAsia="Calibri"/>
          <w:b/>
          <w:i/>
          <w:lang w:val="fr-FR" w:eastAsia="fr-FR"/>
        </w:rPr>
      </w:pPr>
      <w:r w:rsidRPr="00A9330B">
        <w:rPr>
          <w:rFonts w:eastAsia="Calibri"/>
          <w:b/>
          <w:i/>
          <w:lang w:val="fr-FR" w:eastAsia="fr-FR"/>
        </w:rPr>
        <w:t xml:space="preserve">La Convention Cadre des Nations Unies sur les Changements Climatiques </w:t>
      </w:r>
    </w:p>
    <w:p w14:paraId="02E39D03" w14:textId="7F834F1E" w:rsidR="00AB04ED" w:rsidRPr="00A9330B" w:rsidRDefault="00AB04ED" w:rsidP="00AB04ED">
      <w:pPr>
        <w:jc w:val="both"/>
        <w:rPr>
          <w:lang w:eastAsia="fr-FR"/>
        </w:rPr>
      </w:pPr>
      <w:r w:rsidRPr="00A9330B">
        <w:rPr>
          <w:lang w:eastAsia="fr-FR"/>
        </w:rPr>
        <w:lastRenderedPageBreak/>
        <w:t>Conclue lors du Sommet de la Terre à Rio en 1992, la convention a engagé la communauté internationale dans la lutte contre l'augmentation de l'effet de serre liée aux activités humaines. La Convention fixe, pour objectif ultime, de stabiliser les concentrations de gaz à effet de serre à un niveau qui empêche toute perturbation anthropique dangereuse du système climatique. Le Bénin a ratifié cette convention le 30 juin 1994. Elle a ainsi des obligations vis-à-vis de la communauté internationale et l’attention devra être accordée ors de la réalisation du projet à la limitation des g</w:t>
      </w:r>
      <w:r w:rsidR="007430DB" w:rsidRPr="00A9330B">
        <w:rPr>
          <w:lang w:eastAsia="fr-FR"/>
        </w:rPr>
        <w:t>a</w:t>
      </w:r>
      <w:r w:rsidRPr="00A9330B">
        <w:rPr>
          <w:lang w:eastAsia="fr-FR"/>
        </w:rPr>
        <w:t xml:space="preserve">z polluants et à la conformité des émissions atmosphériques. </w:t>
      </w:r>
    </w:p>
    <w:p w14:paraId="710B32C9" w14:textId="77777777" w:rsidR="00AB04ED" w:rsidRPr="00A9330B" w:rsidRDefault="00AB04ED" w:rsidP="007E42F5">
      <w:pPr>
        <w:pStyle w:val="Paragraphedeliste"/>
        <w:numPr>
          <w:ilvl w:val="0"/>
          <w:numId w:val="37"/>
        </w:numPr>
        <w:rPr>
          <w:rFonts w:eastAsia="Calibri"/>
          <w:b/>
          <w:i/>
          <w:lang w:val="fr-FR" w:eastAsia="fr-FR"/>
        </w:rPr>
      </w:pPr>
      <w:r w:rsidRPr="00A9330B">
        <w:rPr>
          <w:rFonts w:eastAsia="Calibri"/>
          <w:b/>
          <w:i/>
          <w:lang w:val="fr-FR" w:eastAsia="fr-FR"/>
        </w:rPr>
        <w:t xml:space="preserve">La Convention sur la Diversité Biologique </w:t>
      </w:r>
    </w:p>
    <w:p w14:paraId="55A839CA" w14:textId="77777777" w:rsidR="00AB04ED" w:rsidRPr="00A9330B" w:rsidRDefault="00AB04ED" w:rsidP="00AB04ED">
      <w:pPr>
        <w:jc w:val="both"/>
        <w:rPr>
          <w:lang w:eastAsia="fr-FR"/>
        </w:rPr>
      </w:pPr>
      <w:r w:rsidRPr="00A9330B">
        <w:rPr>
          <w:lang w:eastAsia="fr-FR"/>
        </w:rPr>
        <w:t xml:space="preserve">Le Bénin a ratifié la Convention sur la diversité biologique le 30 Juin 1994. Cette Convention se fixe trois objectifs : la conservation de la diversité biologique, l’utilisation durable de ses éléments constitutifs et le partage juste et équitable des avantages qui découlent de l’utilisation des ressources génétiques à des fins commerciales et autres. </w:t>
      </w:r>
    </w:p>
    <w:p w14:paraId="31BDD306" w14:textId="77777777" w:rsidR="00AB04ED" w:rsidRPr="00A9330B" w:rsidRDefault="00AB04ED" w:rsidP="00AB04ED">
      <w:pPr>
        <w:jc w:val="both"/>
        <w:rPr>
          <w:lang w:eastAsia="fr-FR"/>
        </w:rPr>
      </w:pPr>
      <w:r w:rsidRPr="00A9330B">
        <w:rPr>
          <w:lang w:eastAsia="fr-FR"/>
        </w:rPr>
        <w:t xml:space="preserve">Aux termes des dispositions de l’article 4 de la Convention, chaque Partie contractante, dans la mesure du possible : adopte des procédures permettant d'exiger l'évaluation des impacts sur l'environnement des projets qui sont susceptibles de nuire sensiblement à la diversité biologique, de prendre des dispositions pour qu'il soit tenu compte des effets sur l'environnement des programmes et politiques susceptibles de nuire sensiblement à la diversité biologique. La réalisation de la présente étude d’impacts répond aux objectifs de ladite convention et permettra de veiller à la gestion rationnelle des ressources naturelles et de la biodiversité lors de la réalisation du projet. Les habitats critiques et rares devront être préservés. </w:t>
      </w:r>
    </w:p>
    <w:p w14:paraId="1BAA4DFA" w14:textId="77777777" w:rsidR="00270CF2" w:rsidRPr="00A9330B" w:rsidRDefault="00270CF2" w:rsidP="00BD2F72">
      <w:pPr>
        <w:pStyle w:val="Paragraphedeliste"/>
        <w:numPr>
          <w:ilvl w:val="0"/>
          <w:numId w:val="103"/>
        </w:numPr>
        <w:spacing w:before="240"/>
        <w:ind w:left="714" w:hanging="357"/>
        <w:jc w:val="both"/>
        <w:rPr>
          <w:lang w:val="fr-FR"/>
        </w:rPr>
      </w:pPr>
      <w:r w:rsidRPr="00A9330B">
        <w:rPr>
          <w:b/>
          <w:lang w:val="fr-FR"/>
        </w:rPr>
        <w:t>Convention N°111, dite convention de Genève concernant la discrimination en matière d’emploi et de profession entrée en vigueur le 15 juin 1960</w:t>
      </w:r>
      <w:r w:rsidRPr="00A9330B">
        <w:rPr>
          <w:lang w:val="fr-FR"/>
        </w:rPr>
        <w:t> </w:t>
      </w:r>
    </w:p>
    <w:p w14:paraId="6F7E42C3" w14:textId="77777777" w:rsidR="00270CF2" w:rsidRPr="00A9330B" w:rsidRDefault="00270CF2" w:rsidP="00BA18AC">
      <w:pPr>
        <w:jc w:val="both"/>
      </w:pPr>
      <w:r w:rsidRPr="00A9330B">
        <w:t xml:space="preserve">Chaque partie à la convention s'engage à formuler et à appliquer une politique nationale visant à promouvoir, par des méthodes adaptées aux circonstances et aux usages nationaux, l'égalité de chances et de traitement en matière d'emploi et de profession, afin d'éliminer toute discrimination en cette matière (Article 2). </w:t>
      </w:r>
    </w:p>
    <w:p w14:paraId="59D435F7" w14:textId="77777777" w:rsidR="00270CF2" w:rsidRPr="00A9330B" w:rsidRDefault="00270CF2" w:rsidP="00BD2F72">
      <w:pPr>
        <w:pStyle w:val="Paragraphedeliste"/>
        <w:numPr>
          <w:ilvl w:val="0"/>
          <w:numId w:val="104"/>
        </w:numPr>
        <w:spacing w:before="240"/>
        <w:ind w:left="714" w:hanging="357"/>
        <w:jc w:val="both"/>
        <w:rPr>
          <w:b/>
          <w:lang w:val="fr-FR"/>
        </w:rPr>
      </w:pPr>
      <w:r w:rsidRPr="00A9330B">
        <w:rPr>
          <w:b/>
          <w:lang w:val="fr-FR"/>
        </w:rPr>
        <w:t>Convention N°102 concernant la sécurité sociale adoptée le 28 juin 1952 à Genève et entrée en vigueur le 27 avril 1955</w:t>
      </w:r>
    </w:p>
    <w:p w14:paraId="3D2719C6" w14:textId="77777777" w:rsidR="00270CF2" w:rsidRPr="00A9330B" w:rsidRDefault="00270CF2" w:rsidP="00BA18AC">
      <w:pPr>
        <w:jc w:val="both"/>
      </w:pPr>
      <w:r w:rsidRPr="00A9330B">
        <w:t>Elle a été ratifiée par le Bénin par la loi n°2019-08 du 15 février 2019. Tout employeur béninois doit donc garantir l'attribution de prestations aux personnes protégées lorsque leur état nécessite des soins médicaux de caractère préventif ou curatif, l'attribution d'indemnités de maladie, prestations de chômage, de vieillesse, prestations en cas d'accidents du travail et de maladies professionnelles et d’invalidité.</w:t>
      </w:r>
    </w:p>
    <w:p w14:paraId="2014A0FD" w14:textId="77777777" w:rsidR="00270CF2" w:rsidRPr="00A9330B" w:rsidRDefault="00270CF2" w:rsidP="00BD2F72">
      <w:pPr>
        <w:pStyle w:val="Paragraphedeliste"/>
        <w:numPr>
          <w:ilvl w:val="0"/>
          <w:numId w:val="105"/>
        </w:numPr>
        <w:spacing w:before="240"/>
        <w:ind w:left="714" w:hanging="357"/>
        <w:jc w:val="both"/>
        <w:rPr>
          <w:b/>
          <w:lang w:val="fr-FR"/>
        </w:rPr>
      </w:pPr>
      <w:r w:rsidRPr="00A9330B">
        <w:rPr>
          <w:b/>
          <w:lang w:val="fr-FR"/>
        </w:rPr>
        <w:t>Convention N°182 de l’OIT sur les pires formes de travail des enfants, adoptée le 17 juin 1999 et entrée en vigueur le 19 Novembre 2000</w:t>
      </w:r>
    </w:p>
    <w:p w14:paraId="5270DE81" w14:textId="347147A1" w:rsidR="00270CF2" w:rsidRPr="00A9330B" w:rsidRDefault="00270CF2" w:rsidP="00BA18AC">
      <w:pPr>
        <w:jc w:val="both"/>
      </w:pPr>
      <w:r w:rsidRPr="00A9330B">
        <w:t>Chaque partie à cette convention doit prendre des mesures immédiates et efficaces pour assurer l'interdiction et l'élimination des pires formes de travail des enfants et ce, de toute urgence. Les formes de travail interdits sont : toutes les formes d'esclavage ou pratiques analogues, telles que la vente et la traite des enfants, la servitude pour dettes et le servage ainsi que le travail forcé ou obligatoire, y compris le recrutement forcé ou obligatoire des enfants en vue de leur utilisation dans des conflits armés.</w:t>
      </w:r>
    </w:p>
    <w:p w14:paraId="78D5C938" w14:textId="77777777" w:rsidR="00BA18AC" w:rsidRPr="00A9330B" w:rsidRDefault="00BA18AC" w:rsidP="00BA18AC">
      <w:pPr>
        <w:jc w:val="both"/>
      </w:pPr>
    </w:p>
    <w:p w14:paraId="4F14D779" w14:textId="77777777" w:rsidR="00270CF2" w:rsidRPr="00A9330B" w:rsidRDefault="00270CF2" w:rsidP="00BD2F72">
      <w:pPr>
        <w:pStyle w:val="Paragraphedeliste"/>
        <w:numPr>
          <w:ilvl w:val="0"/>
          <w:numId w:val="106"/>
        </w:numPr>
        <w:jc w:val="both"/>
        <w:rPr>
          <w:b/>
          <w:lang w:val="fr-FR"/>
        </w:rPr>
      </w:pPr>
      <w:r w:rsidRPr="00A9330B">
        <w:rPr>
          <w:b/>
          <w:lang w:val="fr-FR"/>
        </w:rPr>
        <w:lastRenderedPageBreak/>
        <w:t xml:space="preserve">Charte de l’eau du bassin du Niger (ABN) </w:t>
      </w:r>
    </w:p>
    <w:p w14:paraId="6D9B2A46" w14:textId="77777777" w:rsidR="00270CF2" w:rsidRPr="00A9330B" w:rsidRDefault="00270CF2" w:rsidP="00BA18AC">
      <w:pPr>
        <w:jc w:val="both"/>
        <w:rPr>
          <w:lang w:eastAsia="fr-FR"/>
        </w:rPr>
      </w:pPr>
      <w:r w:rsidRPr="00A9330B">
        <w:t>Elle est signée lors du 8</w:t>
      </w:r>
      <w:r w:rsidRPr="00A9330B">
        <w:rPr>
          <w:vertAlign w:val="superscript"/>
        </w:rPr>
        <w:t>e</w:t>
      </w:r>
      <w:r w:rsidRPr="00A9330B">
        <w:t xml:space="preserve"> Sommet des Chefs d’État et de Gouvernement de l’ABN tenu le 30 Avril 2008 à Niamey. Elle est rentrée en vigueur le 19 Juillet 2010 et ratifiée par le Bénin par la loi n°2009-25 du 03 Août 2009.</w:t>
      </w:r>
      <w:r w:rsidRPr="00A9330B">
        <w:rPr>
          <w:lang w:eastAsia="fr-FR"/>
        </w:rPr>
        <w:t xml:space="preserve"> </w:t>
      </w:r>
    </w:p>
    <w:p w14:paraId="74B1C027" w14:textId="77777777" w:rsidR="00270CF2" w:rsidRPr="00A9330B" w:rsidRDefault="00270CF2" w:rsidP="00BA18AC">
      <w:pPr>
        <w:jc w:val="both"/>
        <w:rPr>
          <w:lang w:eastAsia="fr-FR"/>
        </w:rPr>
      </w:pPr>
      <w:r w:rsidRPr="00A9330B">
        <w:rPr>
          <w:rStyle w:val="e24kjd"/>
        </w:rPr>
        <w:t xml:space="preserve">Cette </w:t>
      </w:r>
      <w:r w:rsidRPr="00A9330B">
        <w:rPr>
          <w:rStyle w:val="e24kjd"/>
          <w:b/>
          <w:bCs/>
        </w:rPr>
        <w:t>Charte</w:t>
      </w:r>
      <w:r w:rsidRPr="00A9330B">
        <w:rPr>
          <w:rStyle w:val="e24kjd"/>
        </w:rPr>
        <w:t xml:space="preserve"> a pour objectifs de favoriser une coopération fondée sur la solidarité et la réciprocité pour une utilisation durable, équitable et coordonnée de la ressource en eau du </w:t>
      </w:r>
      <w:r w:rsidRPr="00A9330B">
        <w:rPr>
          <w:rStyle w:val="e24kjd"/>
          <w:b/>
          <w:bCs/>
        </w:rPr>
        <w:t>bassin du Niger</w:t>
      </w:r>
      <w:r w:rsidRPr="00A9330B">
        <w:rPr>
          <w:rStyle w:val="e24kjd"/>
        </w:rPr>
        <w:t>.</w:t>
      </w:r>
    </w:p>
    <w:p w14:paraId="18AEA461" w14:textId="77777777" w:rsidR="00AB04ED" w:rsidRPr="00A9330B" w:rsidRDefault="00AB04ED" w:rsidP="0064324E">
      <w:pPr>
        <w:pStyle w:val="Titre40"/>
        <w:rPr>
          <w:lang w:eastAsia="fr-FR"/>
        </w:rPr>
      </w:pPr>
      <w:bookmarkStart w:id="623" w:name="_Toc45520774"/>
      <w:bookmarkStart w:id="624" w:name="_Toc52869582"/>
      <w:r w:rsidRPr="00A9330B">
        <w:rPr>
          <w:lang w:eastAsia="fr-FR"/>
        </w:rPr>
        <w:t>2.2.1.2. Les politiques opérationnelles des partenaires techniques et financiers</w:t>
      </w:r>
      <w:bookmarkEnd w:id="623"/>
      <w:bookmarkEnd w:id="624"/>
    </w:p>
    <w:p w14:paraId="7EE4E577" w14:textId="17B636F6" w:rsidR="00AB04ED" w:rsidRPr="00A9330B" w:rsidRDefault="00AB04ED" w:rsidP="00AB04ED">
      <w:pPr>
        <w:jc w:val="both"/>
        <w:rPr>
          <w:lang w:eastAsia="fr-FR"/>
        </w:rPr>
      </w:pPr>
      <w:r w:rsidRPr="00A9330B">
        <w:rPr>
          <w:lang w:eastAsia="fr-FR"/>
        </w:rPr>
        <w:t xml:space="preserve">La Banque Africaine de Développement </w:t>
      </w:r>
      <w:r w:rsidR="00223E33" w:rsidRPr="00A9330B">
        <w:rPr>
          <w:lang w:eastAsia="fr-FR"/>
        </w:rPr>
        <w:t xml:space="preserve">(BAD) </w:t>
      </w:r>
      <w:r w:rsidRPr="00A9330B">
        <w:rPr>
          <w:lang w:eastAsia="fr-FR"/>
        </w:rPr>
        <w:t xml:space="preserve">qui finance ce projet s’est engagée à améliorer la viabilité environnementale et sociale de ses investissements. Ainsi elle a adopté plusieurs politiques et outils connexes notamment la mise en œuvre du Système de sauvegarde Intégrée qui vise à : (i) assurer l’évaluation systématique des impacts et des risques environnementaux et sociaux ; (ii) appliquer les SO à l’ensemble du portefeuille des opérations de la Banque. </w:t>
      </w:r>
      <w:r w:rsidRPr="00A9330B">
        <w:t>Les SO permettent donc d’assurer la durabilité des projets des secteurs public et privé.</w:t>
      </w:r>
    </w:p>
    <w:p w14:paraId="2E440A55" w14:textId="72683064" w:rsidR="00AB04ED" w:rsidRPr="00A9330B" w:rsidRDefault="00AB04ED" w:rsidP="00AB04ED">
      <w:pPr>
        <w:jc w:val="both"/>
        <w:rPr>
          <w:lang w:eastAsia="fr-FR"/>
        </w:rPr>
      </w:pPr>
      <w:r w:rsidRPr="00A9330B">
        <w:rPr>
          <w:lang w:eastAsia="fr-FR"/>
        </w:rPr>
        <w:t xml:space="preserve">Les sauvegardes opérationnelles de la BAD applicables à ce projet se présentent comme suit: </w:t>
      </w:r>
    </w:p>
    <w:p w14:paraId="034D1B5A" w14:textId="77777777" w:rsidR="00AB04ED" w:rsidRPr="00A9330B" w:rsidRDefault="00AB04ED" w:rsidP="00AB04ED">
      <w:pPr>
        <w:autoSpaceDE w:val="0"/>
        <w:autoSpaceDN w:val="0"/>
        <w:adjustRightInd w:val="0"/>
        <w:spacing w:line="240" w:lineRule="auto"/>
        <w:jc w:val="both"/>
        <w:rPr>
          <w:rFonts w:eastAsia="Calibri" w:cs="Arial"/>
          <w:color w:val="auto"/>
          <w:sz w:val="24"/>
          <w:szCs w:val="24"/>
          <w:lang w:eastAsia="fr-FR"/>
        </w:rPr>
      </w:pPr>
      <w:r w:rsidRPr="00A9330B">
        <w:rPr>
          <w:rFonts w:eastAsia="Calibri" w:cs="Arial"/>
          <w:b/>
          <w:i/>
          <w:color w:val="auto"/>
          <w:sz w:val="24"/>
          <w:szCs w:val="24"/>
          <w:lang w:eastAsia="fr-FR"/>
        </w:rPr>
        <w:t>SO 1 : Évaluation environnementale et sociale</w:t>
      </w:r>
      <w:r w:rsidRPr="00A9330B">
        <w:rPr>
          <w:rFonts w:eastAsia="Calibri" w:cs="Arial"/>
          <w:color w:val="auto"/>
          <w:sz w:val="24"/>
          <w:szCs w:val="24"/>
          <w:lang w:eastAsia="fr-FR"/>
        </w:rPr>
        <w:t xml:space="preserve"> </w:t>
      </w:r>
    </w:p>
    <w:p w14:paraId="401EEF36" w14:textId="77777777" w:rsidR="00AB04ED" w:rsidRPr="00A9330B" w:rsidRDefault="00AB04ED" w:rsidP="00AB04ED">
      <w:pPr>
        <w:jc w:val="both"/>
      </w:pPr>
      <w:r w:rsidRPr="00A9330B">
        <w:rPr>
          <w:lang w:eastAsia="fr-FR"/>
        </w:rPr>
        <w:t>Cette SO faîtière régit le processus de détermination de la catégorie environnementale et Sociale d’un projet, et les conditions d’évaluation environnementale et sociale qui en découlent. C</w:t>
      </w:r>
      <w:r w:rsidRPr="00A9330B">
        <w:t>onsciente du fait que le bien-être est particulièrement tributaire de la qualité de l’environnement et de l’utilisation durable des ressources naturelles la BAD s’efforce d’assurer que ses opérations n’aient aucun impact négatif imprévu, direct ou indirect, environnemental ou social, sur les communautés.</w:t>
      </w:r>
    </w:p>
    <w:p w14:paraId="7DCBC834" w14:textId="5FF2CFEE" w:rsidR="00AB04ED" w:rsidRPr="00A9330B" w:rsidRDefault="00AB04ED" w:rsidP="00AB04ED">
      <w:pPr>
        <w:jc w:val="both"/>
      </w:pPr>
      <w:r w:rsidRPr="00A9330B">
        <w:t>Les impacts et risques environnementaux, sociaux et du changement climatique, sont évalués au plu</w:t>
      </w:r>
      <w:r w:rsidR="00240D51" w:rsidRPr="00A9330B">
        <w:t xml:space="preserve">s </w:t>
      </w:r>
      <w:r w:rsidRPr="00A9330B">
        <w:t>tôt dans le cycle de vie du projet à la phase de catégorisation.</w:t>
      </w:r>
    </w:p>
    <w:p w14:paraId="0DCC5EB7" w14:textId="4F0B4B0C" w:rsidR="00AB04ED" w:rsidRPr="00A9330B" w:rsidRDefault="00223E33" w:rsidP="00AB04ED">
      <w:pPr>
        <w:jc w:val="both"/>
      </w:pPr>
      <w:r w:rsidRPr="00A9330B">
        <w:t xml:space="preserve">Le présent projet </w:t>
      </w:r>
      <w:r w:rsidR="00AB04ED" w:rsidRPr="00A9330B">
        <w:t xml:space="preserve">conformément aux exigences des SO peut être classé dans la </w:t>
      </w:r>
      <w:r w:rsidR="00AB04ED" w:rsidRPr="00A9330B">
        <w:rPr>
          <w:b/>
        </w:rPr>
        <w:t>catégorie 2</w:t>
      </w:r>
      <w:r w:rsidR="00AB04ED" w:rsidRPr="00A9330B">
        <w:t xml:space="preserve"> « projets susceptibles d’avoir des impacts environnementaux ou sociaux négatifs spécifiques au site mais ceux-ci sont moins importants que ceux des projets de catégorie 1. Les impacts probables sont peu nombreux, liés au site, largement réversibles et faciles à minimiser par l’application de mesures de gestion et d’atténuation appropriées ou par l’intégration de normes et critères de conception internationalement reconnus.</w:t>
      </w:r>
    </w:p>
    <w:p w14:paraId="745A54A4" w14:textId="77777777" w:rsidR="00AB04ED" w:rsidRPr="00A9330B" w:rsidRDefault="00AB04ED" w:rsidP="00AB04ED">
      <w:pPr>
        <w:autoSpaceDE w:val="0"/>
        <w:autoSpaceDN w:val="0"/>
        <w:adjustRightInd w:val="0"/>
        <w:spacing w:line="240" w:lineRule="auto"/>
        <w:rPr>
          <w:rFonts w:eastAsia="Calibri" w:cs="Arial"/>
          <w:color w:val="auto"/>
          <w:sz w:val="24"/>
          <w:szCs w:val="24"/>
          <w:lang w:eastAsia="fr-FR"/>
        </w:rPr>
      </w:pPr>
      <w:r w:rsidRPr="00A9330B">
        <w:rPr>
          <w:rFonts w:eastAsia="Calibri" w:cs="Arial"/>
          <w:b/>
          <w:i/>
          <w:color w:val="auto"/>
          <w:sz w:val="24"/>
          <w:szCs w:val="24"/>
          <w:lang w:eastAsia="fr-FR"/>
        </w:rPr>
        <w:t>SO 2 : Réinstallation involontaire : acquisition de terres, déplacement et indemnisation des populations</w:t>
      </w:r>
      <w:r w:rsidRPr="00A9330B">
        <w:rPr>
          <w:rFonts w:eastAsia="Calibri" w:cs="Arial"/>
          <w:color w:val="auto"/>
          <w:sz w:val="24"/>
          <w:szCs w:val="24"/>
          <w:lang w:eastAsia="fr-FR"/>
        </w:rPr>
        <w:t xml:space="preserve"> </w:t>
      </w:r>
    </w:p>
    <w:p w14:paraId="486E0054" w14:textId="77777777" w:rsidR="00AB04ED" w:rsidRPr="00A9330B" w:rsidRDefault="00AB04ED" w:rsidP="00AB04ED">
      <w:pPr>
        <w:jc w:val="both"/>
      </w:pPr>
      <w:r w:rsidRPr="00A9330B">
        <w:rPr>
          <w:lang w:eastAsia="fr-FR"/>
        </w:rPr>
        <w:t>Cette SO consolide les engagements et conditions politiques énoncés dans la politique de la Banque sur la réinstallation involontaire, et incorpore un certain nombre d’améliorations visant à accroitre l’efficacité opérationnelle de ces conditions. En particulier, la sauvegarde opérationnelle englobe les notions globales et innovantes de subsistance et de ressources, dans leurs dimensions sociale, culturelle et économique.</w:t>
      </w:r>
      <w:r w:rsidRPr="00A9330B">
        <w:t xml:space="preserve"> Une attention sera accordée à « la perte des sources de revenus ou des moyens de subsistance à la suite du projet, que les personnes affectées soient appelées à se déplacer ou non ».</w:t>
      </w:r>
    </w:p>
    <w:p w14:paraId="3F0F6DF5" w14:textId="7607D078" w:rsidR="00AB04ED" w:rsidRPr="00A9330B" w:rsidRDefault="00AB04ED" w:rsidP="00AB04ED">
      <w:pPr>
        <w:jc w:val="both"/>
      </w:pPr>
      <w:r w:rsidRPr="00A9330B">
        <w:rPr>
          <w:lang w:eastAsia="fr-FR"/>
        </w:rPr>
        <w:t>Une évaluation sommaire lors des visites préliminaires a permis de se rendre compte que le nombre de personnes susceptibles d</w:t>
      </w:r>
      <w:r w:rsidR="007753B1" w:rsidRPr="00A9330B">
        <w:rPr>
          <w:lang w:eastAsia="fr-FR"/>
        </w:rPr>
        <w:t>’être affectées par le projet</w:t>
      </w:r>
      <w:r w:rsidRPr="00A9330B">
        <w:rPr>
          <w:lang w:eastAsia="fr-FR"/>
        </w:rPr>
        <w:t xml:space="preserve"> dans la ville de </w:t>
      </w:r>
      <w:r w:rsidR="00BA7D70" w:rsidRPr="00A9330B">
        <w:rPr>
          <w:lang w:eastAsia="fr-FR"/>
        </w:rPr>
        <w:t xml:space="preserve">Natitingou </w:t>
      </w:r>
      <w:r w:rsidRPr="00A9330B">
        <w:rPr>
          <w:lang w:eastAsia="fr-FR"/>
        </w:rPr>
        <w:t xml:space="preserve">dépasse 200. </w:t>
      </w:r>
    </w:p>
    <w:p w14:paraId="4DFA28DE" w14:textId="2B8AA2A1" w:rsidR="00AB04ED" w:rsidRPr="00A9330B" w:rsidRDefault="007753B1" w:rsidP="00AB04ED">
      <w:pPr>
        <w:jc w:val="both"/>
        <w:rPr>
          <w:lang w:eastAsia="fr-FR"/>
        </w:rPr>
      </w:pPr>
      <w:r w:rsidRPr="00A9330B">
        <w:rPr>
          <w:lang w:eastAsia="fr-FR"/>
        </w:rPr>
        <w:t>Un Plan d’Action de R</w:t>
      </w:r>
      <w:r w:rsidR="00AB04ED" w:rsidRPr="00A9330B">
        <w:rPr>
          <w:lang w:eastAsia="fr-FR"/>
        </w:rPr>
        <w:t>éinstallation intégral (PAR intégral) devra être élaboré.</w:t>
      </w:r>
    </w:p>
    <w:p w14:paraId="10FEB6D3" w14:textId="1C701D13" w:rsidR="00AB04ED" w:rsidRPr="00A9330B" w:rsidRDefault="00AB04ED" w:rsidP="00AB04ED">
      <w:pPr>
        <w:autoSpaceDE w:val="0"/>
        <w:autoSpaceDN w:val="0"/>
        <w:adjustRightInd w:val="0"/>
        <w:spacing w:line="240" w:lineRule="auto"/>
        <w:jc w:val="both"/>
        <w:rPr>
          <w:rFonts w:eastAsia="Calibri" w:cs="Arial"/>
          <w:color w:val="auto"/>
          <w:sz w:val="24"/>
          <w:szCs w:val="24"/>
          <w:lang w:eastAsia="fr-FR"/>
        </w:rPr>
      </w:pPr>
      <w:r w:rsidRPr="00A9330B">
        <w:rPr>
          <w:rFonts w:eastAsia="Calibri" w:cs="Arial"/>
          <w:b/>
          <w:i/>
          <w:color w:val="auto"/>
          <w:sz w:val="24"/>
          <w:szCs w:val="24"/>
          <w:lang w:eastAsia="fr-FR"/>
        </w:rPr>
        <w:lastRenderedPageBreak/>
        <w:t>S</w:t>
      </w:r>
      <w:r w:rsidR="00F854A6" w:rsidRPr="00A9330B">
        <w:rPr>
          <w:rFonts w:eastAsia="Calibri" w:cs="Arial"/>
          <w:b/>
          <w:i/>
          <w:color w:val="auto"/>
          <w:sz w:val="24"/>
          <w:szCs w:val="24"/>
          <w:lang w:eastAsia="fr-FR"/>
        </w:rPr>
        <w:t>O</w:t>
      </w:r>
      <w:r w:rsidRPr="00A9330B">
        <w:rPr>
          <w:rFonts w:eastAsia="Calibri" w:cs="Arial"/>
          <w:b/>
          <w:i/>
          <w:color w:val="auto"/>
          <w:sz w:val="24"/>
          <w:szCs w:val="24"/>
          <w:lang w:eastAsia="fr-FR"/>
        </w:rPr>
        <w:t xml:space="preserve"> 3 : Biodiversité et services écosystémiques</w:t>
      </w:r>
      <w:r w:rsidRPr="00A9330B">
        <w:rPr>
          <w:rFonts w:eastAsia="Calibri" w:cs="Arial"/>
          <w:color w:val="auto"/>
          <w:sz w:val="24"/>
          <w:szCs w:val="24"/>
          <w:lang w:eastAsia="fr-FR"/>
        </w:rPr>
        <w:t xml:space="preserve"> </w:t>
      </w:r>
    </w:p>
    <w:p w14:paraId="16B87EE4" w14:textId="77777777" w:rsidR="00AB04ED" w:rsidRPr="00A9330B" w:rsidRDefault="00AB04ED" w:rsidP="00AB04ED">
      <w:pPr>
        <w:jc w:val="both"/>
        <w:rPr>
          <w:lang w:eastAsia="fr-FR"/>
        </w:rPr>
      </w:pPr>
      <w:r w:rsidRPr="00A9330B">
        <w:rPr>
          <w:lang w:eastAsia="fr-FR"/>
        </w:rPr>
        <w:t>Cette SO a pour objectif de conserver la diversité biologique et de promouvoir l’utilisation durable des ressources naturelles. Elle traduit les engagements de la Banque dans sa politique sur la gestion intégrée des ressources en eau et à l’égard de la Convention des Nations Unies sur la diversité biologique, en exigences opérationnelles de sauvegarde.</w:t>
      </w:r>
    </w:p>
    <w:p w14:paraId="3EE8BA2F" w14:textId="77777777" w:rsidR="00AB04ED" w:rsidRPr="00A9330B" w:rsidRDefault="00AB04ED" w:rsidP="00AB04ED">
      <w:pPr>
        <w:jc w:val="both"/>
        <w:rPr>
          <w:lang w:eastAsia="fr-FR"/>
        </w:rPr>
      </w:pPr>
      <w:r w:rsidRPr="00A9330B">
        <w:rPr>
          <w:lang w:eastAsia="fr-FR"/>
        </w:rPr>
        <w:t xml:space="preserve">Les sites objet d’aménagement n’abritent pas d’écosystèmes particuliers (site Ramsar, zone écologique d’importance internationale (CITES), ni des espèces rares et protégées. Cependant l’EIES devra prévoir dans les mesures de réduction des impacts que les espèces floristiques et fauniques soient préservées dans la mesure du possible. Un mécanisme de suivi sera mis en place pour éviter la dégradation des ressources naturelles lors de la réalisation des travaux. </w:t>
      </w:r>
    </w:p>
    <w:p w14:paraId="604DEC30" w14:textId="77777777" w:rsidR="00AB04ED" w:rsidRPr="00A9330B" w:rsidRDefault="00AB04ED" w:rsidP="00AB04ED">
      <w:pPr>
        <w:autoSpaceDE w:val="0"/>
        <w:autoSpaceDN w:val="0"/>
        <w:adjustRightInd w:val="0"/>
        <w:spacing w:line="240" w:lineRule="auto"/>
        <w:jc w:val="both"/>
        <w:rPr>
          <w:rFonts w:eastAsia="Calibri" w:cs="Arial"/>
          <w:color w:val="auto"/>
          <w:sz w:val="24"/>
          <w:szCs w:val="24"/>
          <w:lang w:eastAsia="fr-FR"/>
        </w:rPr>
      </w:pPr>
      <w:r w:rsidRPr="00A9330B">
        <w:rPr>
          <w:rFonts w:eastAsia="Calibri" w:cs="Arial"/>
          <w:b/>
          <w:i/>
          <w:color w:val="auto"/>
          <w:sz w:val="24"/>
          <w:szCs w:val="24"/>
          <w:lang w:eastAsia="fr-FR"/>
        </w:rPr>
        <w:t>SO 4 : Prévention et contrôle de la pollution, gaz à effet de serre, matières dangereuses et utilisation efficiente des ressources</w:t>
      </w:r>
    </w:p>
    <w:p w14:paraId="286ADC56" w14:textId="6B7F2DE7" w:rsidR="00AB04ED" w:rsidRPr="00A9330B" w:rsidRDefault="00AB04ED" w:rsidP="00AB04ED">
      <w:pPr>
        <w:jc w:val="both"/>
        <w:rPr>
          <w:lang w:eastAsia="fr-FR"/>
        </w:rPr>
      </w:pPr>
      <w:r w:rsidRPr="00A9330B">
        <w:rPr>
          <w:lang w:eastAsia="fr-FR"/>
        </w:rPr>
        <w:t>Cette SO couvre toute la gamme des pollutions, déchets ainsi que les effets des matières dangereuses pour lesquelles il existe des conventions internationales ainsi que des normes complètes spécifiques à l’industrie, qui so</w:t>
      </w:r>
      <w:r w:rsidR="007753B1" w:rsidRPr="00A9330B">
        <w:rPr>
          <w:lang w:eastAsia="fr-FR"/>
        </w:rPr>
        <w:t>nt appliquées par les autres DBM (Déchet Bio-Medicaux)</w:t>
      </w:r>
      <w:r w:rsidRPr="00A9330B">
        <w:rPr>
          <w:lang w:eastAsia="fr-FR"/>
        </w:rPr>
        <w:t>. Elle introduit également un cadre d’analyse de la vulnérabilité et de suivi des niveaux d’émission de gaz à effet de serre et fournit une analyse détaillée de la réduction possible ou des mesures compensatoires. Elle expose les principales conditions de contrôle et de prévention de la pollution pour réaliser une performance environnementale de grande qualité tout au long du cycle de vie d’un projet.</w:t>
      </w:r>
    </w:p>
    <w:p w14:paraId="26938797" w14:textId="5C926562" w:rsidR="00AB04ED" w:rsidRPr="00A9330B" w:rsidRDefault="00AB04ED" w:rsidP="00AB04ED">
      <w:pPr>
        <w:jc w:val="both"/>
        <w:rPr>
          <w:lang w:eastAsia="fr-FR"/>
        </w:rPr>
      </w:pPr>
      <w:r w:rsidRPr="00A9330B">
        <w:rPr>
          <w:lang w:eastAsia="fr-FR"/>
        </w:rPr>
        <w:t>Sa prise en compte da</w:t>
      </w:r>
      <w:r w:rsidR="007753B1" w:rsidRPr="00A9330B">
        <w:rPr>
          <w:lang w:eastAsia="fr-FR"/>
        </w:rPr>
        <w:t>ns le cadre du présent projet</w:t>
      </w:r>
      <w:r w:rsidRPr="00A9330B">
        <w:rPr>
          <w:lang w:eastAsia="fr-FR"/>
        </w:rPr>
        <w:t xml:space="preserve"> consistera à élaborer </w:t>
      </w:r>
      <w:r w:rsidR="00240D51" w:rsidRPr="00A9330B">
        <w:rPr>
          <w:lang w:eastAsia="fr-FR"/>
        </w:rPr>
        <w:t xml:space="preserve">un </w:t>
      </w:r>
      <w:r w:rsidRPr="00A9330B">
        <w:rPr>
          <w:lang w:eastAsia="fr-FR"/>
        </w:rPr>
        <w:t xml:space="preserve">Plan d’Hygiène, </w:t>
      </w:r>
      <w:r w:rsidR="00240D51" w:rsidRPr="00A9330B">
        <w:rPr>
          <w:lang w:eastAsia="fr-FR"/>
        </w:rPr>
        <w:t>S</w:t>
      </w:r>
      <w:r w:rsidRPr="00A9330B">
        <w:rPr>
          <w:lang w:eastAsia="fr-FR"/>
        </w:rPr>
        <w:t>anté</w:t>
      </w:r>
      <w:r w:rsidR="00144F98" w:rsidRPr="00A9330B">
        <w:rPr>
          <w:lang w:eastAsia="fr-FR"/>
        </w:rPr>
        <w:t>,</w:t>
      </w:r>
      <w:r w:rsidRPr="00A9330B">
        <w:rPr>
          <w:lang w:eastAsia="fr-FR"/>
        </w:rPr>
        <w:t xml:space="preserve"> Sécurité </w:t>
      </w:r>
      <w:r w:rsidR="00240D51" w:rsidRPr="00A9330B">
        <w:rPr>
          <w:lang w:eastAsia="fr-FR"/>
        </w:rPr>
        <w:t>et Environnement </w:t>
      </w:r>
      <w:r w:rsidRPr="00A9330B">
        <w:rPr>
          <w:lang w:eastAsia="fr-FR"/>
        </w:rPr>
        <w:t xml:space="preserve">(PHSSE) qui sera mis en œuvre lors de la réalisation des travaux. </w:t>
      </w:r>
    </w:p>
    <w:p w14:paraId="04C5761D" w14:textId="60F40ACD" w:rsidR="00AB04ED" w:rsidRPr="00A9330B" w:rsidRDefault="00AB04ED" w:rsidP="00AB04ED">
      <w:pPr>
        <w:jc w:val="both"/>
        <w:rPr>
          <w:lang w:eastAsia="fr-FR"/>
        </w:rPr>
      </w:pPr>
      <w:r w:rsidRPr="00A9330B">
        <w:rPr>
          <w:lang w:eastAsia="fr-FR"/>
        </w:rPr>
        <w:t xml:space="preserve">Des clauses seront prévues dans le PGES et le PHSSE pour Gérer et réduire les pollutions par les déchets, les eaux usées, les huiles usagées et les matières dangereuses. </w:t>
      </w:r>
    </w:p>
    <w:p w14:paraId="0936E661" w14:textId="77777777" w:rsidR="00AB04ED" w:rsidRPr="00A9330B" w:rsidRDefault="00AB04ED" w:rsidP="00AB04ED">
      <w:pPr>
        <w:autoSpaceDE w:val="0"/>
        <w:autoSpaceDN w:val="0"/>
        <w:adjustRightInd w:val="0"/>
        <w:spacing w:line="240" w:lineRule="auto"/>
        <w:jc w:val="both"/>
        <w:rPr>
          <w:rFonts w:eastAsia="Calibri" w:cs="Arial"/>
          <w:color w:val="auto"/>
          <w:sz w:val="24"/>
          <w:szCs w:val="24"/>
          <w:lang w:eastAsia="fr-FR"/>
        </w:rPr>
      </w:pPr>
      <w:r w:rsidRPr="00A9330B">
        <w:rPr>
          <w:rFonts w:eastAsia="Calibri" w:cs="Arial"/>
          <w:b/>
          <w:i/>
          <w:color w:val="auto"/>
          <w:sz w:val="24"/>
          <w:szCs w:val="24"/>
          <w:lang w:eastAsia="fr-FR"/>
        </w:rPr>
        <w:t>SO 5 : Conditions de travail, santé et sécurité</w:t>
      </w:r>
    </w:p>
    <w:p w14:paraId="1A30BDE7" w14:textId="77777777" w:rsidR="00AB04ED" w:rsidRPr="00A9330B" w:rsidRDefault="00AB04ED" w:rsidP="00AB04ED">
      <w:pPr>
        <w:jc w:val="both"/>
        <w:rPr>
          <w:lang w:eastAsia="fr-FR"/>
        </w:rPr>
      </w:pPr>
      <w:r w:rsidRPr="00A9330B">
        <w:rPr>
          <w:lang w:eastAsia="fr-FR"/>
        </w:rPr>
        <w:t>Cette SO définit les exigences de la Banque relatives aux conditions des travailleurs, à leurs droits et protection contre les mauvais traitements ou l’exploitation. Elle couvre les conditions de travail, les organisations de travailleurs, la santé et la sécurité au travail, et la prévention du travail des enfants ou du travail forcé. Elle vise à :</w:t>
      </w:r>
    </w:p>
    <w:p w14:paraId="5AF21644" w14:textId="77777777" w:rsidR="00AB04ED" w:rsidRPr="00A9330B" w:rsidRDefault="00AB04ED" w:rsidP="007E42F5">
      <w:pPr>
        <w:pStyle w:val="Paragraphedeliste"/>
        <w:numPr>
          <w:ilvl w:val="0"/>
          <w:numId w:val="39"/>
        </w:numPr>
        <w:jc w:val="both"/>
        <w:rPr>
          <w:rFonts w:eastAsia="Calibri"/>
          <w:lang w:val="fr-FR" w:eastAsia="fr-FR"/>
        </w:rPr>
      </w:pPr>
      <w:r w:rsidRPr="00A9330B">
        <w:rPr>
          <w:rFonts w:eastAsia="Calibri"/>
          <w:lang w:val="fr-FR" w:eastAsia="fr-FR"/>
        </w:rPr>
        <w:t>protéger les droits des travailleurs et subvenir à leurs besoins essentiels ;</w:t>
      </w:r>
    </w:p>
    <w:p w14:paraId="144D1642" w14:textId="77777777" w:rsidR="00AB04ED" w:rsidRPr="00A9330B" w:rsidRDefault="00AB04ED" w:rsidP="007E42F5">
      <w:pPr>
        <w:pStyle w:val="Paragraphedeliste"/>
        <w:numPr>
          <w:ilvl w:val="0"/>
          <w:numId w:val="39"/>
        </w:numPr>
        <w:jc w:val="both"/>
        <w:rPr>
          <w:rFonts w:eastAsia="Calibri"/>
          <w:lang w:val="fr-FR" w:eastAsia="fr-FR"/>
        </w:rPr>
      </w:pPr>
      <w:r w:rsidRPr="00A9330B">
        <w:rPr>
          <w:rFonts w:eastAsia="Calibri"/>
          <w:lang w:val="fr-FR" w:eastAsia="fr-FR"/>
        </w:rPr>
        <w:t>établir, maintenir et améliorer les relations entre employés et employeurs ;</w:t>
      </w:r>
    </w:p>
    <w:p w14:paraId="6C5B9680" w14:textId="77777777" w:rsidR="00AB04ED" w:rsidRPr="00A9330B" w:rsidRDefault="00AB04ED" w:rsidP="007E42F5">
      <w:pPr>
        <w:pStyle w:val="Paragraphedeliste"/>
        <w:numPr>
          <w:ilvl w:val="0"/>
          <w:numId w:val="39"/>
        </w:numPr>
        <w:jc w:val="both"/>
        <w:rPr>
          <w:rFonts w:eastAsia="Calibri"/>
          <w:lang w:val="fr-FR" w:eastAsia="fr-FR"/>
        </w:rPr>
      </w:pPr>
      <w:r w:rsidRPr="00A9330B">
        <w:rPr>
          <w:rFonts w:eastAsia="Calibri"/>
          <w:lang w:val="fr-FR" w:eastAsia="fr-FR"/>
        </w:rPr>
        <w:t xml:space="preserve">protéger la population active contre les inégalités, l’exclusion sociale, le travail des enfants et le travail forcé ; </w:t>
      </w:r>
    </w:p>
    <w:p w14:paraId="10A99301" w14:textId="77777777" w:rsidR="00AB04ED" w:rsidRPr="00A9330B" w:rsidRDefault="00AB04ED" w:rsidP="007E42F5">
      <w:pPr>
        <w:pStyle w:val="Paragraphedeliste"/>
        <w:numPr>
          <w:ilvl w:val="0"/>
          <w:numId w:val="39"/>
        </w:numPr>
        <w:jc w:val="both"/>
        <w:rPr>
          <w:rFonts w:eastAsia="Calibri"/>
          <w:lang w:val="fr-FR" w:eastAsia="fr-FR"/>
        </w:rPr>
      </w:pPr>
      <w:r w:rsidRPr="00A9330B">
        <w:rPr>
          <w:rFonts w:eastAsia="Calibri"/>
          <w:lang w:val="fr-FR" w:eastAsia="fr-FR"/>
        </w:rPr>
        <w:t>mettre en place les exigences visant à assurer la sécurité et la santé au travail.</w:t>
      </w:r>
    </w:p>
    <w:p w14:paraId="5479536C" w14:textId="77777777" w:rsidR="00AB04ED" w:rsidRPr="00A9330B" w:rsidRDefault="00AB04ED" w:rsidP="00AB04ED">
      <w:pPr>
        <w:rPr>
          <w:lang w:eastAsia="fr-FR"/>
        </w:rPr>
      </w:pPr>
      <w:r w:rsidRPr="00A9330B">
        <w:rPr>
          <w:lang w:eastAsia="fr-FR"/>
        </w:rPr>
        <w:t>Le PHSSE permettra également de couvrir ce volet et permettre une amélioration des conditions vie et de travail.</w:t>
      </w:r>
    </w:p>
    <w:p w14:paraId="4D8229B4" w14:textId="7FC464AF" w:rsidR="00AB04ED" w:rsidRPr="00A9330B" w:rsidRDefault="00AB04ED" w:rsidP="00AB04ED">
      <w:pPr>
        <w:jc w:val="both"/>
        <w:rPr>
          <w:lang w:eastAsia="fr-FR"/>
        </w:rPr>
      </w:pPr>
      <w:r w:rsidRPr="00A9330B">
        <w:rPr>
          <w:lang w:eastAsia="fr-FR"/>
        </w:rPr>
        <w:t>Globalement ces SO vise</w:t>
      </w:r>
      <w:r w:rsidR="00240D51" w:rsidRPr="00A9330B">
        <w:rPr>
          <w:lang w:eastAsia="fr-FR"/>
        </w:rPr>
        <w:t>nt</w:t>
      </w:r>
      <w:r w:rsidRPr="00A9330B">
        <w:rPr>
          <w:lang w:eastAsia="fr-FR"/>
        </w:rPr>
        <w:t xml:space="preserve"> à renforcer la capacité de la Banque à : </w:t>
      </w:r>
    </w:p>
    <w:p w14:paraId="1586C592" w14:textId="4ACC9A89" w:rsidR="00AB04ED" w:rsidRPr="00A9330B" w:rsidRDefault="00AB04ED" w:rsidP="00BD2F72">
      <w:pPr>
        <w:pStyle w:val="Paragraphedeliste"/>
        <w:numPr>
          <w:ilvl w:val="0"/>
          <w:numId w:val="42"/>
        </w:numPr>
        <w:jc w:val="both"/>
        <w:rPr>
          <w:rFonts w:eastAsia="Calibri"/>
          <w:lang w:val="fr-FR" w:eastAsia="fr-FR"/>
        </w:rPr>
      </w:pPr>
      <w:r w:rsidRPr="00A9330B">
        <w:rPr>
          <w:rFonts w:eastAsia="Calibri"/>
          <w:lang w:val="fr-FR" w:eastAsia="fr-FR"/>
        </w:rPr>
        <w:t>Mieux intégrer les considérations liées aux impacts environnementaux et sociaux dans les opérations afin de promouvoir la durabilité et l’efficacité du développement dans le long terme ;</w:t>
      </w:r>
    </w:p>
    <w:p w14:paraId="6E562A15" w14:textId="2C579259" w:rsidR="00AB04ED" w:rsidRPr="00A9330B" w:rsidRDefault="00AB04ED" w:rsidP="00BD2F72">
      <w:pPr>
        <w:pStyle w:val="Paragraphedeliste"/>
        <w:numPr>
          <w:ilvl w:val="0"/>
          <w:numId w:val="42"/>
        </w:numPr>
        <w:jc w:val="both"/>
        <w:rPr>
          <w:rFonts w:eastAsia="Calibri"/>
          <w:lang w:val="fr-FR" w:eastAsia="fr-FR"/>
        </w:rPr>
      </w:pPr>
      <w:r w:rsidRPr="00A9330B">
        <w:rPr>
          <w:rFonts w:eastAsia="Calibri"/>
          <w:lang w:val="fr-FR" w:eastAsia="fr-FR"/>
        </w:rPr>
        <w:lastRenderedPageBreak/>
        <w:t>Eviter que les projets ne nuisent à l’environnement et aux communautés locales et, à défaut éviter, minimiser, atténuer et/ou compenser leurs effets négatifs, et optimiser les bénéfices du développement ;</w:t>
      </w:r>
    </w:p>
    <w:p w14:paraId="7A9962BC" w14:textId="77777777" w:rsidR="00AB04ED" w:rsidRPr="00A9330B" w:rsidRDefault="00AB04ED" w:rsidP="00BD2F72">
      <w:pPr>
        <w:pStyle w:val="Paragraphedeliste"/>
        <w:numPr>
          <w:ilvl w:val="0"/>
          <w:numId w:val="42"/>
        </w:numPr>
        <w:jc w:val="both"/>
        <w:rPr>
          <w:rFonts w:eastAsia="Calibri"/>
          <w:lang w:val="fr-FR" w:eastAsia="fr-FR"/>
        </w:rPr>
      </w:pPr>
      <w:r w:rsidRPr="00A9330B">
        <w:rPr>
          <w:rFonts w:eastAsia="Calibri"/>
          <w:lang w:val="fr-FR" w:eastAsia="fr-FR"/>
        </w:rPr>
        <w:t>Examiner de manière systématique l’incidence du changement climatique sur la viabilité des projets d’investissement et la contribution des projets aux émissions mondiales de gaz à effet de serre.</w:t>
      </w:r>
    </w:p>
    <w:p w14:paraId="3029137E" w14:textId="06934C69" w:rsidR="00AB04ED" w:rsidRPr="00A9330B" w:rsidRDefault="00AB04ED" w:rsidP="006E37A6">
      <w:pPr>
        <w:pStyle w:val="Titre3"/>
      </w:pPr>
      <w:bookmarkStart w:id="625" w:name="_Toc45520775"/>
      <w:bookmarkStart w:id="626" w:name="_Toc52869583"/>
      <w:r w:rsidRPr="00A9330B">
        <w:t xml:space="preserve">2.2.2. </w:t>
      </w:r>
      <w:r w:rsidR="007C2D0C" w:rsidRPr="00A9330B">
        <w:t xml:space="preserve">Les textes nationaux </w:t>
      </w:r>
      <w:r w:rsidR="007C2D0C" w:rsidRPr="00A9330B">
        <w:rPr>
          <w:rFonts w:eastAsia="Calibri"/>
        </w:rPr>
        <w:t>applicables au projet</w:t>
      </w:r>
      <w:bookmarkEnd w:id="626"/>
      <w:r w:rsidR="007C2D0C" w:rsidRPr="00A9330B">
        <w:rPr>
          <w:rFonts w:eastAsia="Calibri"/>
        </w:rPr>
        <w:t xml:space="preserve"> </w:t>
      </w:r>
      <w:bookmarkEnd w:id="625"/>
    </w:p>
    <w:p w14:paraId="32DDA6BC" w14:textId="77777777" w:rsidR="00AB04ED" w:rsidRPr="00A9330B" w:rsidRDefault="00AB04ED" w:rsidP="00AB04ED">
      <w:pPr>
        <w:autoSpaceDE w:val="0"/>
        <w:autoSpaceDN w:val="0"/>
        <w:adjustRightInd w:val="0"/>
        <w:spacing w:line="240" w:lineRule="auto"/>
        <w:jc w:val="both"/>
        <w:rPr>
          <w:rFonts w:eastAsia="Calibri" w:cs="Arial"/>
          <w:color w:val="auto"/>
          <w:sz w:val="24"/>
          <w:szCs w:val="24"/>
          <w:lang w:eastAsia="fr-FR"/>
        </w:rPr>
      </w:pPr>
      <w:r w:rsidRPr="00A9330B">
        <w:rPr>
          <w:rFonts w:eastAsia="Calibri" w:cs="Arial"/>
          <w:color w:val="auto"/>
          <w:sz w:val="24"/>
          <w:szCs w:val="24"/>
          <w:lang w:eastAsia="fr-FR"/>
        </w:rPr>
        <w:t>Pour la présente étude, les principales dispositions législatives et réglementaires de référence sont les suivantes :</w:t>
      </w:r>
    </w:p>
    <w:p w14:paraId="2212BB20" w14:textId="77777777" w:rsidR="006C08BE" w:rsidRPr="00A9330B" w:rsidRDefault="006C08BE" w:rsidP="0064324E">
      <w:pPr>
        <w:pStyle w:val="Titre40"/>
        <w:rPr>
          <w:lang w:eastAsia="fr-FR"/>
        </w:rPr>
      </w:pPr>
      <w:bookmarkStart w:id="627" w:name="_Toc45557352"/>
      <w:bookmarkStart w:id="628" w:name="_Toc45520776"/>
      <w:bookmarkStart w:id="629" w:name="_Toc45521693"/>
      <w:bookmarkStart w:id="630" w:name="_Toc52869584"/>
      <w:r w:rsidRPr="00A9330B">
        <w:rPr>
          <w:lang w:eastAsia="fr-FR"/>
        </w:rPr>
        <w:t>2.2.2.1. La Constitution de la République du Bénin</w:t>
      </w:r>
      <w:bookmarkEnd w:id="627"/>
      <w:bookmarkEnd w:id="630"/>
      <w:r w:rsidRPr="00A9330B">
        <w:rPr>
          <w:lang w:eastAsia="fr-FR"/>
        </w:rPr>
        <w:t xml:space="preserve"> </w:t>
      </w:r>
    </w:p>
    <w:p w14:paraId="43A18973" w14:textId="77777777" w:rsidR="006C08BE" w:rsidRPr="00A9330B" w:rsidRDefault="006C08BE" w:rsidP="00BA18AC">
      <w:pPr>
        <w:jc w:val="both"/>
        <w:rPr>
          <w:rFonts w:cs="Arial"/>
        </w:rPr>
      </w:pPr>
      <w:r w:rsidRPr="00A9330B">
        <w:rPr>
          <w:rFonts w:cs="Arial"/>
        </w:rPr>
        <w:t xml:space="preserve">La Loi N°2019-40 du 07 novembre 2019 portant Constitution de la République du Bénin édicte certains principes ayant trait à l’environnement et aux conditions de vie des citoyens. </w:t>
      </w:r>
    </w:p>
    <w:p w14:paraId="2722DDEA" w14:textId="77777777" w:rsidR="006C08BE" w:rsidRPr="00A9330B" w:rsidRDefault="006C08BE" w:rsidP="00BA18AC">
      <w:pPr>
        <w:jc w:val="both"/>
        <w:rPr>
          <w:rFonts w:cs="Arial"/>
        </w:rPr>
      </w:pPr>
      <w:r w:rsidRPr="00A9330B">
        <w:rPr>
          <w:rFonts w:cs="Arial"/>
          <w:b/>
          <w:i/>
          <w:iCs/>
        </w:rPr>
        <w:t>Article 8</w:t>
      </w:r>
      <w:r w:rsidRPr="00A9330B">
        <w:rPr>
          <w:rFonts w:cs="Arial"/>
          <w:i/>
          <w:iCs/>
        </w:rPr>
        <w:t xml:space="preserve"> </w:t>
      </w:r>
      <w:r w:rsidRPr="00A9330B">
        <w:rPr>
          <w:rFonts w:cs="Arial"/>
        </w:rPr>
        <w:t xml:space="preserve">: L’Etat assure aux citoyens, l’égal accès à la santé, à l’éducation, à la culture, à l’information, à la formation professionnelle et à l’emploi. </w:t>
      </w:r>
    </w:p>
    <w:p w14:paraId="7FA82B60" w14:textId="77777777" w:rsidR="006C08BE" w:rsidRPr="00A9330B" w:rsidRDefault="006C08BE" w:rsidP="00BA18AC">
      <w:pPr>
        <w:jc w:val="both"/>
        <w:rPr>
          <w:rFonts w:cs="Arial"/>
        </w:rPr>
      </w:pPr>
      <w:r w:rsidRPr="00A9330B">
        <w:rPr>
          <w:rFonts w:cs="Arial"/>
          <w:b/>
          <w:i/>
          <w:iCs/>
        </w:rPr>
        <w:t>Article 22</w:t>
      </w:r>
      <w:r w:rsidRPr="00A9330B">
        <w:rPr>
          <w:rFonts w:cs="Arial"/>
          <w:i/>
          <w:iCs/>
        </w:rPr>
        <w:t xml:space="preserve"> </w:t>
      </w:r>
      <w:r w:rsidRPr="00A9330B">
        <w:rPr>
          <w:rFonts w:cs="Arial"/>
        </w:rPr>
        <w:t xml:space="preserve">: Toute personne a droit à la propriété. Nul ne peut être privé de sa propriété que pour cause d’utilité publique et contre juste et préalable dédommagement. </w:t>
      </w:r>
    </w:p>
    <w:p w14:paraId="71950C1D" w14:textId="77777777" w:rsidR="006C08BE" w:rsidRPr="00A9330B" w:rsidRDefault="006C08BE" w:rsidP="00BA18AC">
      <w:pPr>
        <w:jc w:val="both"/>
        <w:rPr>
          <w:rFonts w:cs="Arial"/>
        </w:rPr>
      </w:pPr>
      <w:r w:rsidRPr="00A9330B">
        <w:rPr>
          <w:rFonts w:cs="Arial"/>
          <w:b/>
          <w:i/>
          <w:iCs/>
        </w:rPr>
        <w:t>Article 27</w:t>
      </w:r>
      <w:r w:rsidRPr="00A9330B">
        <w:rPr>
          <w:rFonts w:cs="Arial"/>
          <w:i/>
          <w:iCs/>
        </w:rPr>
        <w:t xml:space="preserve"> </w:t>
      </w:r>
      <w:r w:rsidRPr="00A9330B">
        <w:rPr>
          <w:rFonts w:cs="Arial"/>
        </w:rPr>
        <w:t xml:space="preserve">: Toute personne a droit à un environnement sain, satisfaisant et durable et a le devoir de la défendre. L’État veille à la protection de l’environnement. </w:t>
      </w:r>
    </w:p>
    <w:p w14:paraId="7DFEB9AE" w14:textId="77777777" w:rsidR="006C08BE" w:rsidRPr="00A9330B" w:rsidRDefault="006C08BE" w:rsidP="00BA18AC">
      <w:pPr>
        <w:jc w:val="both"/>
        <w:rPr>
          <w:rFonts w:cs="Arial"/>
        </w:rPr>
      </w:pPr>
      <w:r w:rsidRPr="00A9330B">
        <w:rPr>
          <w:rFonts w:cs="Arial"/>
          <w:b/>
          <w:i/>
          <w:iCs/>
        </w:rPr>
        <w:t>Article 74</w:t>
      </w:r>
      <w:r w:rsidRPr="00A9330B">
        <w:rPr>
          <w:rFonts w:cs="Arial"/>
          <w:i/>
          <w:iCs/>
        </w:rPr>
        <w:t xml:space="preserve"> </w:t>
      </w:r>
      <w:r w:rsidRPr="00A9330B">
        <w:rPr>
          <w:rFonts w:cs="Arial"/>
        </w:rPr>
        <w:t xml:space="preserve">: Le Président de la République sera accusé de haute trahison pour un certain nombre de comportements, parmi lesquels un acte attentatoire au maintien d’un environnement sain, satisfaisant, durable et favorable au développement. </w:t>
      </w:r>
    </w:p>
    <w:p w14:paraId="30263FDF" w14:textId="77777777" w:rsidR="006C08BE" w:rsidRPr="00A9330B" w:rsidRDefault="006C08BE" w:rsidP="00BA18AC">
      <w:pPr>
        <w:jc w:val="both"/>
        <w:rPr>
          <w:rFonts w:cs="Arial"/>
        </w:rPr>
      </w:pPr>
      <w:r w:rsidRPr="00A9330B">
        <w:rPr>
          <w:rFonts w:cs="Arial"/>
          <w:b/>
          <w:i/>
          <w:iCs/>
        </w:rPr>
        <w:t>Article 98</w:t>
      </w:r>
      <w:r w:rsidRPr="00A9330B">
        <w:rPr>
          <w:rFonts w:cs="Arial"/>
          <w:i/>
          <w:iCs/>
        </w:rPr>
        <w:t xml:space="preserve"> </w:t>
      </w:r>
      <w:r w:rsidRPr="00A9330B">
        <w:rPr>
          <w:rFonts w:cs="Arial"/>
        </w:rPr>
        <w:t xml:space="preserve">: fixant le domaine de la loi qui détermine entre autres, les principes fondamentaux de la protection de l’environnement et de la conservation des ressources naturelles Etc. </w:t>
      </w:r>
    </w:p>
    <w:p w14:paraId="466D2AFF" w14:textId="77777777" w:rsidR="006C08BE" w:rsidRPr="00A9330B" w:rsidRDefault="006C08BE" w:rsidP="0064324E">
      <w:pPr>
        <w:pStyle w:val="Titre40"/>
        <w:rPr>
          <w:lang w:eastAsia="fr-FR"/>
        </w:rPr>
      </w:pPr>
      <w:bookmarkStart w:id="631" w:name="_Toc45557353"/>
      <w:bookmarkStart w:id="632" w:name="_Toc52869585"/>
      <w:r w:rsidRPr="00A9330B">
        <w:rPr>
          <w:lang w:eastAsia="fr-FR"/>
        </w:rPr>
        <w:t>2.2.2.2. Loi N°2018 - du 06 Août 2018 sur les changements climatiques en République du Bénin</w:t>
      </w:r>
      <w:bookmarkEnd w:id="632"/>
    </w:p>
    <w:p w14:paraId="6517626F" w14:textId="77777777" w:rsidR="006C08BE" w:rsidRPr="00A9330B" w:rsidRDefault="006C08BE" w:rsidP="00BA18AC">
      <w:pPr>
        <w:spacing w:after="120"/>
        <w:jc w:val="both"/>
        <w:rPr>
          <w:rFonts w:cs="Arial"/>
          <w:lang w:eastAsia="fr-FR"/>
        </w:rPr>
      </w:pPr>
      <w:r w:rsidRPr="00A9330B">
        <w:rPr>
          <w:rFonts w:cs="Arial"/>
          <w:lang w:eastAsia="fr-FR"/>
        </w:rPr>
        <w:t>La loi sur les changements climatiques est applicable aux domaines d'activités ci-après :</w:t>
      </w:r>
    </w:p>
    <w:p w14:paraId="4D282872" w14:textId="77777777" w:rsidR="006C08BE" w:rsidRPr="00A9330B" w:rsidRDefault="006C08BE" w:rsidP="00BD2F72">
      <w:pPr>
        <w:numPr>
          <w:ilvl w:val="0"/>
          <w:numId w:val="107"/>
        </w:numPr>
        <w:overflowPunct w:val="0"/>
        <w:autoSpaceDE w:val="0"/>
        <w:autoSpaceDN w:val="0"/>
        <w:adjustRightInd w:val="0"/>
        <w:spacing w:line="288" w:lineRule="auto"/>
        <w:contextualSpacing/>
        <w:jc w:val="both"/>
        <w:rPr>
          <w:rFonts w:eastAsia="Calibri" w:cs="Arial"/>
          <w:lang w:eastAsia="fr-FR"/>
        </w:rPr>
      </w:pPr>
      <w:r w:rsidRPr="00A9330B">
        <w:rPr>
          <w:rFonts w:eastAsia="Calibri" w:cs="Arial"/>
          <w:lang w:eastAsia="fr-FR"/>
        </w:rPr>
        <w:t>l'agriculture et la gestion des terroirs ;</w:t>
      </w:r>
    </w:p>
    <w:p w14:paraId="18A47B60" w14:textId="36963514" w:rsidR="006C08BE" w:rsidRPr="00A9330B" w:rsidRDefault="006C08BE" w:rsidP="00BD2F72">
      <w:pPr>
        <w:numPr>
          <w:ilvl w:val="0"/>
          <w:numId w:val="107"/>
        </w:numPr>
        <w:overflowPunct w:val="0"/>
        <w:autoSpaceDE w:val="0"/>
        <w:autoSpaceDN w:val="0"/>
        <w:adjustRightInd w:val="0"/>
        <w:spacing w:line="288" w:lineRule="auto"/>
        <w:contextualSpacing/>
        <w:jc w:val="both"/>
        <w:rPr>
          <w:rFonts w:eastAsia="Calibri" w:cs="Arial"/>
          <w:lang w:eastAsia="fr-FR"/>
        </w:rPr>
      </w:pPr>
      <w:r w:rsidRPr="00A9330B">
        <w:rPr>
          <w:rFonts w:eastAsia="Calibri" w:cs="Arial"/>
          <w:lang w:eastAsia="fr-FR"/>
        </w:rPr>
        <w:t>la production de l'électricité et I</w:t>
      </w:r>
      <w:r w:rsidR="00240D51" w:rsidRPr="00A9330B">
        <w:rPr>
          <w:rFonts w:eastAsia="Calibri" w:cs="Arial"/>
          <w:lang w:eastAsia="fr-FR"/>
        </w:rPr>
        <w:t>’</w:t>
      </w:r>
      <w:r w:rsidRPr="00A9330B">
        <w:rPr>
          <w:rFonts w:eastAsia="Calibri" w:cs="Arial"/>
          <w:lang w:eastAsia="fr-FR"/>
        </w:rPr>
        <w:t>efficacité énergétique ;</w:t>
      </w:r>
    </w:p>
    <w:p w14:paraId="791DE32B" w14:textId="77777777" w:rsidR="006C08BE" w:rsidRPr="00A9330B" w:rsidRDefault="006C08BE" w:rsidP="00BD2F72">
      <w:pPr>
        <w:numPr>
          <w:ilvl w:val="0"/>
          <w:numId w:val="107"/>
        </w:numPr>
        <w:overflowPunct w:val="0"/>
        <w:autoSpaceDE w:val="0"/>
        <w:autoSpaceDN w:val="0"/>
        <w:adjustRightInd w:val="0"/>
        <w:spacing w:line="288" w:lineRule="auto"/>
        <w:contextualSpacing/>
        <w:jc w:val="both"/>
        <w:rPr>
          <w:rFonts w:eastAsia="Calibri" w:cs="Arial"/>
          <w:lang w:eastAsia="fr-FR"/>
        </w:rPr>
      </w:pPr>
      <w:r w:rsidRPr="00A9330B">
        <w:rPr>
          <w:rFonts w:eastAsia="Calibri" w:cs="Arial"/>
          <w:lang w:eastAsia="fr-FR"/>
        </w:rPr>
        <w:t>la gestion intégrée des ressources en eau ;</w:t>
      </w:r>
    </w:p>
    <w:p w14:paraId="0AA0EBE6" w14:textId="77777777" w:rsidR="006C08BE" w:rsidRPr="00A9330B" w:rsidRDefault="006C08BE" w:rsidP="00BD2F72">
      <w:pPr>
        <w:numPr>
          <w:ilvl w:val="0"/>
          <w:numId w:val="107"/>
        </w:numPr>
        <w:overflowPunct w:val="0"/>
        <w:autoSpaceDE w:val="0"/>
        <w:autoSpaceDN w:val="0"/>
        <w:adjustRightInd w:val="0"/>
        <w:spacing w:line="288" w:lineRule="auto"/>
        <w:contextualSpacing/>
        <w:jc w:val="both"/>
        <w:rPr>
          <w:rFonts w:eastAsia="Calibri" w:cs="Arial"/>
          <w:lang w:eastAsia="fr-FR"/>
        </w:rPr>
      </w:pPr>
      <w:r w:rsidRPr="00A9330B">
        <w:rPr>
          <w:rFonts w:eastAsia="Calibri" w:cs="Arial"/>
          <w:lang w:eastAsia="fr-FR"/>
        </w:rPr>
        <w:t>la gestion des écosystèmes naturels et fragiles ;</w:t>
      </w:r>
    </w:p>
    <w:p w14:paraId="5A869305" w14:textId="77777777" w:rsidR="006C08BE" w:rsidRPr="00A9330B" w:rsidRDefault="006C08BE" w:rsidP="00BD2F72">
      <w:pPr>
        <w:numPr>
          <w:ilvl w:val="0"/>
          <w:numId w:val="107"/>
        </w:numPr>
        <w:overflowPunct w:val="0"/>
        <w:autoSpaceDE w:val="0"/>
        <w:autoSpaceDN w:val="0"/>
        <w:adjustRightInd w:val="0"/>
        <w:spacing w:line="288" w:lineRule="auto"/>
        <w:contextualSpacing/>
        <w:jc w:val="both"/>
        <w:rPr>
          <w:rFonts w:eastAsia="Calibri" w:cs="Arial"/>
          <w:lang w:eastAsia="fr-FR"/>
        </w:rPr>
      </w:pPr>
      <w:r w:rsidRPr="00A9330B">
        <w:rPr>
          <w:rFonts w:eastAsia="Calibri" w:cs="Arial"/>
          <w:lang w:eastAsia="fr-FR"/>
        </w:rPr>
        <w:t>les transports terrestres, maritimes, fluviaux et aériens ;</w:t>
      </w:r>
    </w:p>
    <w:p w14:paraId="77C3170E" w14:textId="77777777" w:rsidR="006C08BE" w:rsidRPr="00A9330B" w:rsidRDefault="006C08BE" w:rsidP="00BD2F72">
      <w:pPr>
        <w:numPr>
          <w:ilvl w:val="0"/>
          <w:numId w:val="107"/>
        </w:numPr>
        <w:overflowPunct w:val="0"/>
        <w:autoSpaceDE w:val="0"/>
        <w:autoSpaceDN w:val="0"/>
        <w:adjustRightInd w:val="0"/>
        <w:spacing w:line="288" w:lineRule="auto"/>
        <w:contextualSpacing/>
        <w:jc w:val="both"/>
        <w:rPr>
          <w:rFonts w:eastAsia="Calibri" w:cs="Arial"/>
          <w:lang w:eastAsia="fr-FR"/>
        </w:rPr>
      </w:pPr>
      <w:r w:rsidRPr="00A9330B">
        <w:rPr>
          <w:rFonts w:eastAsia="Calibri" w:cs="Arial"/>
          <w:lang w:eastAsia="fr-FR"/>
        </w:rPr>
        <w:t>les industries ;</w:t>
      </w:r>
    </w:p>
    <w:p w14:paraId="1258780A" w14:textId="77777777" w:rsidR="006C08BE" w:rsidRPr="00A9330B" w:rsidRDefault="006C08BE" w:rsidP="00BD2F72">
      <w:pPr>
        <w:numPr>
          <w:ilvl w:val="0"/>
          <w:numId w:val="107"/>
        </w:numPr>
        <w:overflowPunct w:val="0"/>
        <w:autoSpaceDE w:val="0"/>
        <w:autoSpaceDN w:val="0"/>
        <w:adjustRightInd w:val="0"/>
        <w:spacing w:line="288" w:lineRule="auto"/>
        <w:contextualSpacing/>
        <w:jc w:val="both"/>
        <w:rPr>
          <w:rFonts w:eastAsia="Calibri" w:cs="Arial"/>
          <w:lang w:eastAsia="fr-FR"/>
        </w:rPr>
      </w:pPr>
      <w:r w:rsidRPr="00A9330B">
        <w:rPr>
          <w:rFonts w:eastAsia="Calibri" w:cs="Arial"/>
          <w:lang w:eastAsia="fr-FR"/>
        </w:rPr>
        <w:t>la prévention et la lutte contre la pollution environnementale et la santé publique ;</w:t>
      </w:r>
    </w:p>
    <w:p w14:paraId="6701C629" w14:textId="3B7F0473" w:rsidR="006C08BE" w:rsidRPr="00A9330B" w:rsidRDefault="006C08BE" w:rsidP="00BD2F72">
      <w:pPr>
        <w:numPr>
          <w:ilvl w:val="0"/>
          <w:numId w:val="107"/>
        </w:numPr>
        <w:overflowPunct w:val="0"/>
        <w:autoSpaceDE w:val="0"/>
        <w:autoSpaceDN w:val="0"/>
        <w:adjustRightInd w:val="0"/>
        <w:spacing w:line="288" w:lineRule="auto"/>
        <w:contextualSpacing/>
        <w:jc w:val="both"/>
        <w:rPr>
          <w:rFonts w:eastAsia="Calibri" w:cs="Arial"/>
          <w:lang w:eastAsia="fr-FR"/>
        </w:rPr>
      </w:pPr>
      <w:r w:rsidRPr="00A9330B">
        <w:rPr>
          <w:rFonts w:eastAsia="Calibri" w:cs="Arial"/>
          <w:lang w:eastAsia="fr-FR"/>
        </w:rPr>
        <w:t>la prévention e</w:t>
      </w:r>
      <w:r w:rsidR="00240D51" w:rsidRPr="00A9330B">
        <w:rPr>
          <w:rFonts w:eastAsia="Calibri" w:cs="Arial"/>
          <w:lang w:eastAsia="fr-FR"/>
        </w:rPr>
        <w:t>t</w:t>
      </w:r>
      <w:r w:rsidRPr="00A9330B">
        <w:rPr>
          <w:rFonts w:eastAsia="Calibri" w:cs="Arial"/>
          <w:lang w:eastAsia="fr-FR"/>
        </w:rPr>
        <w:t xml:space="preserve"> la lutte contre l'érosion côtière ;</w:t>
      </w:r>
    </w:p>
    <w:p w14:paraId="4A1C0B61" w14:textId="77777777" w:rsidR="006C08BE" w:rsidRPr="00A9330B" w:rsidRDefault="006C08BE" w:rsidP="00BD2F72">
      <w:pPr>
        <w:numPr>
          <w:ilvl w:val="0"/>
          <w:numId w:val="107"/>
        </w:numPr>
        <w:overflowPunct w:val="0"/>
        <w:autoSpaceDE w:val="0"/>
        <w:autoSpaceDN w:val="0"/>
        <w:adjustRightInd w:val="0"/>
        <w:spacing w:line="288" w:lineRule="auto"/>
        <w:contextualSpacing/>
        <w:jc w:val="both"/>
        <w:rPr>
          <w:rFonts w:eastAsia="Calibri" w:cs="Arial"/>
          <w:lang w:eastAsia="fr-FR"/>
        </w:rPr>
      </w:pPr>
      <w:r w:rsidRPr="00A9330B">
        <w:rPr>
          <w:rFonts w:eastAsia="Calibri" w:cs="Arial"/>
          <w:lang w:eastAsia="fr-FR"/>
        </w:rPr>
        <w:t>la gestion durable des terres ;</w:t>
      </w:r>
    </w:p>
    <w:p w14:paraId="30ED6513" w14:textId="77777777" w:rsidR="006C08BE" w:rsidRPr="00A9330B" w:rsidRDefault="006C08BE" w:rsidP="00BD2F72">
      <w:pPr>
        <w:numPr>
          <w:ilvl w:val="0"/>
          <w:numId w:val="107"/>
        </w:numPr>
        <w:overflowPunct w:val="0"/>
        <w:autoSpaceDE w:val="0"/>
        <w:autoSpaceDN w:val="0"/>
        <w:adjustRightInd w:val="0"/>
        <w:spacing w:line="288" w:lineRule="auto"/>
        <w:contextualSpacing/>
        <w:jc w:val="both"/>
        <w:rPr>
          <w:rFonts w:eastAsia="Calibri" w:cs="Arial"/>
          <w:lang w:eastAsia="fr-FR"/>
        </w:rPr>
      </w:pPr>
      <w:r w:rsidRPr="00A9330B">
        <w:rPr>
          <w:rFonts w:eastAsia="Calibri" w:cs="Arial"/>
          <w:lang w:eastAsia="fr-FR"/>
        </w:rPr>
        <w:t>la gestion des zones humides, des écosystèmes côtiers et des ressources marines ;</w:t>
      </w:r>
    </w:p>
    <w:p w14:paraId="1E4B65C4" w14:textId="77777777" w:rsidR="006C08BE" w:rsidRPr="00A9330B" w:rsidRDefault="006C08BE" w:rsidP="00BD2F72">
      <w:pPr>
        <w:numPr>
          <w:ilvl w:val="0"/>
          <w:numId w:val="107"/>
        </w:numPr>
        <w:overflowPunct w:val="0"/>
        <w:autoSpaceDE w:val="0"/>
        <w:autoSpaceDN w:val="0"/>
        <w:adjustRightInd w:val="0"/>
        <w:spacing w:line="288" w:lineRule="auto"/>
        <w:contextualSpacing/>
        <w:jc w:val="both"/>
        <w:rPr>
          <w:rFonts w:eastAsia="Calibri" w:cs="Arial"/>
          <w:lang w:eastAsia="fr-FR"/>
        </w:rPr>
      </w:pPr>
      <w:r w:rsidRPr="00A9330B">
        <w:rPr>
          <w:rFonts w:eastAsia="Calibri" w:cs="Arial"/>
          <w:lang w:eastAsia="fr-FR"/>
        </w:rPr>
        <w:t>les risques climatiques et les catastrophes naturelles ;</w:t>
      </w:r>
    </w:p>
    <w:p w14:paraId="4D8BDE34" w14:textId="77777777" w:rsidR="006C08BE" w:rsidRPr="00A9330B" w:rsidRDefault="006C08BE" w:rsidP="00BD2F72">
      <w:pPr>
        <w:numPr>
          <w:ilvl w:val="0"/>
          <w:numId w:val="107"/>
        </w:numPr>
        <w:overflowPunct w:val="0"/>
        <w:autoSpaceDE w:val="0"/>
        <w:autoSpaceDN w:val="0"/>
        <w:adjustRightInd w:val="0"/>
        <w:spacing w:line="288" w:lineRule="auto"/>
        <w:contextualSpacing/>
        <w:jc w:val="both"/>
        <w:rPr>
          <w:rFonts w:eastAsia="Calibri" w:cs="Arial"/>
          <w:lang w:eastAsia="fr-FR"/>
        </w:rPr>
      </w:pPr>
      <w:r w:rsidRPr="00A9330B">
        <w:rPr>
          <w:rFonts w:eastAsia="Calibri" w:cs="Arial"/>
          <w:lang w:eastAsia="fr-FR"/>
        </w:rPr>
        <w:t>les établissements humains et les infrastructures.</w:t>
      </w:r>
    </w:p>
    <w:p w14:paraId="09D84E1B" w14:textId="77777777" w:rsidR="006C08BE" w:rsidRPr="00A9330B" w:rsidRDefault="006C08BE" w:rsidP="00BA18AC">
      <w:pPr>
        <w:jc w:val="both"/>
        <w:rPr>
          <w:rFonts w:cs="Arial"/>
          <w:lang w:eastAsia="fr-FR"/>
        </w:rPr>
      </w:pPr>
      <w:r w:rsidRPr="00A9330B">
        <w:rPr>
          <w:rFonts w:cs="Arial"/>
          <w:lang w:eastAsia="fr-FR"/>
        </w:rPr>
        <w:t>Elle permet entre autres de prendre des mesures efficaces de riposte, d'adaptation et d'atténuation en fixant des objectifs précis de développement économique et social durable, de sécurité et d'efficacité énergétiques, conformément aux dispositions spécifiques des instruments juridiques nationaux et internationaux relatifs aux changements climatiques.</w:t>
      </w:r>
    </w:p>
    <w:p w14:paraId="4A3913C9" w14:textId="77777777" w:rsidR="006C08BE" w:rsidRPr="00A9330B" w:rsidRDefault="006C08BE" w:rsidP="00BA18AC">
      <w:pPr>
        <w:spacing w:after="120"/>
        <w:jc w:val="both"/>
        <w:rPr>
          <w:rFonts w:cs="Arial"/>
          <w:lang w:eastAsia="fr-FR"/>
        </w:rPr>
      </w:pPr>
      <w:r w:rsidRPr="00A9330B">
        <w:rPr>
          <w:rFonts w:cs="Arial"/>
          <w:lang w:eastAsia="fr-FR"/>
        </w:rPr>
        <w:lastRenderedPageBreak/>
        <w:t>Les objectifs environnementaux fixés par cette loi sont entre autres :</w:t>
      </w:r>
    </w:p>
    <w:p w14:paraId="0AB8E5C8" w14:textId="77777777" w:rsidR="006C08BE" w:rsidRPr="00A9330B" w:rsidRDefault="006C08BE" w:rsidP="00BD2F72">
      <w:pPr>
        <w:numPr>
          <w:ilvl w:val="0"/>
          <w:numId w:val="108"/>
        </w:numPr>
        <w:overflowPunct w:val="0"/>
        <w:autoSpaceDE w:val="0"/>
        <w:autoSpaceDN w:val="0"/>
        <w:adjustRightInd w:val="0"/>
        <w:spacing w:line="288" w:lineRule="auto"/>
        <w:contextualSpacing/>
        <w:jc w:val="both"/>
        <w:rPr>
          <w:rFonts w:eastAsia="Calibri" w:cs="Arial"/>
          <w:lang w:eastAsia="fr-FR"/>
        </w:rPr>
      </w:pPr>
      <w:r w:rsidRPr="00A9330B">
        <w:rPr>
          <w:rFonts w:eastAsia="Calibri" w:cs="Arial"/>
          <w:lang w:eastAsia="fr-FR"/>
        </w:rPr>
        <w:t>la protection des êtres et établissements humains; des animaux et des végétaux contre les menaces globales que sont : les gaz è effet de serre, l’altération de la couche d'ozone, la perte de la diversité biologique, la gestion des espaces pastoraux et des conflits y associés, la déforestation, le déboisement, la désertification et la sécheresse;</w:t>
      </w:r>
    </w:p>
    <w:p w14:paraId="7253E260" w14:textId="77777777" w:rsidR="006C08BE" w:rsidRPr="00A9330B" w:rsidRDefault="006C08BE" w:rsidP="00BD2F72">
      <w:pPr>
        <w:numPr>
          <w:ilvl w:val="0"/>
          <w:numId w:val="108"/>
        </w:numPr>
        <w:overflowPunct w:val="0"/>
        <w:autoSpaceDE w:val="0"/>
        <w:autoSpaceDN w:val="0"/>
        <w:adjustRightInd w:val="0"/>
        <w:spacing w:line="288" w:lineRule="auto"/>
        <w:contextualSpacing/>
        <w:jc w:val="both"/>
        <w:rPr>
          <w:rFonts w:eastAsia="Calibri" w:cs="Arial"/>
          <w:lang w:eastAsia="fr-FR"/>
        </w:rPr>
      </w:pPr>
      <w:r w:rsidRPr="00A9330B">
        <w:rPr>
          <w:rFonts w:eastAsia="Calibri" w:cs="Arial"/>
          <w:lang w:eastAsia="fr-FR"/>
        </w:rPr>
        <w:t>la lutte contre la pollution de l'air, des sols, des eaux marines et continentales superficielles et souterraines ;</w:t>
      </w:r>
    </w:p>
    <w:p w14:paraId="172069F9" w14:textId="77777777" w:rsidR="006C08BE" w:rsidRPr="00A9330B" w:rsidRDefault="006C08BE" w:rsidP="00BD2F72">
      <w:pPr>
        <w:numPr>
          <w:ilvl w:val="0"/>
          <w:numId w:val="108"/>
        </w:numPr>
        <w:overflowPunct w:val="0"/>
        <w:autoSpaceDE w:val="0"/>
        <w:autoSpaceDN w:val="0"/>
        <w:adjustRightInd w:val="0"/>
        <w:spacing w:line="288" w:lineRule="auto"/>
        <w:contextualSpacing/>
        <w:jc w:val="both"/>
        <w:rPr>
          <w:rFonts w:eastAsia="Calibri" w:cs="Arial"/>
          <w:lang w:eastAsia="fr-FR"/>
        </w:rPr>
      </w:pPr>
      <w:r w:rsidRPr="00A9330B">
        <w:rPr>
          <w:rFonts w:eastAsia="Calibri" w:cs="Arial"/>
          <w:lang w:eastAsia="fr-FR"/>
        </w:rPr>
        <w:t>la gestion écologiquement rationnelle des ressources non renouvelables et de tous les types de déchets ;</w:t>
      </w:r>
    </w:p>
    <w:p w14:paraId="518E3AEA" w14:textId="77777777" w:rsidR="006C08BE" w:rsidRPr="00A9330B" w:rsidRDefault="006C08BE" w:rsidP="00BD2F72">
      <w:pPr>
        <w:numPr>
          <w:ilvl w:val="0"/>
          <w:numId w:val="108"/>
        </w:numPr>
        <w:overflowPunct w:val="0"/>
        <w:autoSpaceDE w:val="0"/>
        <w:autoSpaceDN w:val="0"/>
        <w:adjustRightInd w:val="0"/>
        <w:spacing w:line="288" w:lineRule="auto"/>
        <w:contextualSpacing/>
        <w:jc w:val="both"/>
        <w:rPr>
          <w:rFonts w:eastAsia="Calibri" w:cs="Arial"/>
          <w:lang w:eastAsia="fr-FR"/>
        </w:rPr>
      </w:pPr>
      <w:r w:rsidRPr="00A9330B">
        <w:rPr>
          <w:rFonts w:eastAsia="Calibri" w:cs="Arial"/>
          <w:lang w:eastAsia="fr-FR"/>
        </w:rPr>
        <w:t>la réduction des risques de catastrophes.</w:t>
      </w:r>
    </w:p>
    <w:p w14:paraId="58770B75" w14:textId="06101377" w:rsidR="006C08BE" w:rsidRPr="00A9330B" w:rsidRDefault="006C08BE" w:rsidP="000F7BA7">
      <w:pPr>
        <w:jc w:val="both"/>
        <w:rPr>
          <w:rFonts w:cs="Arial"/>
          <w:i/>
          <w:lang w:eastAsia="fr-FR"/>
        </w:rPr>
      </w:pPr>
      <w:r w:rsidRPr="00A9330B">
        <w:rPr>
          <w:rFonts w:cs="Arial"/>
          <w:i/>
          <w:lang w:eastAsia="fr-FR"/>
        </w:rPr>
        <w:t>Elle précise entre autre</w:t>
      </w:r>
      <w:r w:rsidR="00240D51" w:rsidRPr="00A9330B">
        <w:rPr>
          <w:rFonts w:cs="Arial"/>
          <w:i/>
          <w:lang w:eastAsia="fr-FR"/>
        </w:rPr>
        <w:t>s</w:t>
      </w:r>
      <w:r w:rsidRPr="00A9330B">
        <w:rPr>
          <w:rFonts w:cs="Arial"/>
          <w:i/>
          <w:lang w:eastAsia="fr-FR"/>
        </w:rPr>
        <w:t xml:space="preserve"> que la mise en œuvre de toute politique, de toute stratégie, de tout plan, de tout programme et de tout projet de développement susceptibles de nuire à l'environnement est subordonnée à une étude d'impact environnemental et social qui intègre les changements climatiques.</w:t>
      </w:r>
    </w:p>
    <w:p w14:paraId="69FF6948" w14:textId="77777777" w:rsidR="006C08BE" w:rsidRPr="00A9330B" w:rsidRDefault="006C08BE" w:rsidP="0064324E">
      <w:pPr>
        <w:pStyle w:val="Titre40"/>
        <w:rPr>
          <w:lang w:eastAsia="fr-FR"/>
        </w:rPr>
      </w:pPr>
      <w:bookmarkStart w:id="633" w:name="_Toc52869586"/>
      <w:r w:rsidRPr="00A9330B">
        <w:rPr>
          <w:lang w:eastAsia="fr-FR"/>
        </w:rPr>
        <w:t>2.2.2.3. La loi n°2017-17 modifiant et complétant la loi n°2013-01du 14 Août 2013 portant code foncier et domanial en République du Bénin</w:t>
      </w:r>
      <w:bookmarkEnd w:id="633"/>
      <w:r w:rsidRPr="00A9330B">
        <w:rPr>
          <w:lang w:eastAsia="fr-FR"/>
        </w:rPr>
        <w:t xml:space="preserve"> </w:t>
      </w:r>
    </w:p>
    <w:p w14:paraId="0676F0F0" w14:textId="77777777" w:rsidR="006C08BE" w:rsidRPr="00A9330B" w:rsidRDefault="006C08BE" w:rsidP="00BA18AC">
      <w:pPr>
        <w:jc w:val="both"/>
        <w:rPr>
          <w:rFonts w:cs="Arial"/>
          <w:lang w:eastAsia="fr-FR"/>
        </w:rPr>
      </w:pPr>
      <w:r w:rsidRPr="00A9330B">
        <w:rPr>
          <w:rFonts w:cs="Arial"/>
        </w:rPr>
        <w:t>Cette loi modifie les dispositions des articles 284 et suivants. Ainsi, le</w:t>
      </w:r>
      <w:r w:rsidRPr="00A9330B">
        <w:rPr>
          <w:rFonts w:cs="Arial"/>
          <w:lang w:eastAsia="fr-FR"/>
        </w:rPr>
        <w:t xml:space="preserve"> domaine privé immobilier de l’État comprend des terres et des biens immeubles situés à l’intérieur des limites du territoire national ainsi qu’à l’étranger. Il est composé :</w:t>
      </w:r>
    </w:p>
    <w:p w14:paraId="1C05CB61" w14:textId="77777777" w:rsidR="006C08BE" w:rsidRPr="00A9330B" w:rsidRDefault="006C08BE" w:rsidP="00BD2F72">
      <w:pPr>
        <w:numPr>
          <w:ilvl w:val="0"/>
          <w:numId w:val="109"/>
        </w:numPr>
        <w:overflowPunct w:val="0"/>
        <w:autoSpaceDE w:val="0"/>
        <w:autoSpaceDN w:val="0"/>
        <w:adjustRightInd w:val="0"/>
        <w:spacing w:line="288" w:lineRule="auto"/>
        <w:contextualSpacing/>
        <w:jc w:val="both"/>
        <w:rPr>
          <w:rFonts w:eastAsia="Calibri" w:cs="Arial"/>
          <w:lang w:eastAsia="fr-FR"/>
        </w:rPr>
      </w:pPr>
      <w:r w:rsidRPr="00A9330B">
        <w:rPr>
          <w:rFonts w:eastAsia="Calibri" w:cs="Arial"/>
          <w:lang w:eastAsia="fr-FR"/>
        </w:rPr>
        <w:t>des terres et biens immeubles disposant de titre foncier au nom de l’État ou d’un titre de propriété ;</w:t>
      </w:r>
    </w:p>
    <w:p w14:paraId="255817D0" w14:textId="77777777" w:rsidR="006C08BE" w:rsidRPr="00A9330B" w:rsidRDefault="006C08BE" w:rsidP="00BD2F72">
      <w:pPr>
        <w:numPr>
          <w:ilvl w:val="0"/>
          <w:numId w:val="109"/>
        </w:numPr>
        <w:overflowPunct w:val="0"/>
        <w:autoSpaceDE w:val="0"/>
        <w:autoSpaceDN w:val="0"/>
        <w:adjustRightInd w:val="0"/>
        <w:spacing w:line="288" w:lineRule="auto"/>
        <w:contextualSpacing/>
        <w:jc w:val="both"/>
        <w:rPr>
          <w:rFonts w:eastAsia="Calibri" w:cs="Arial"/>
          <w:lang w:eastAsia="fr-FR"/>
        </w:rPr>
      </w:pPr>
      <w:r w:rsidRPr="00A9330B">
        <w:rPr>
          <w:rFonts w:eastAsia="Calibri" w:cs="Arial"/>
          <w:lang w:eastAsia="fr-FR"/>
        </w:rPr>
        <w:t>des terres et biens immeubles acquis par l’État ou à lui transmis selon les règles de droit commun en vigueur ;</w:t>
      </w:r>
    </w:p>
    <w:p w14:paraId="3F965CA8" w14:textId="77777777" w:rsidR="006C08BE" w:rsidRPr="00A9330B" w:rsidRDefault="006C08BE" w:rsidP="00BD2F72">
      <w:pPr>
        <w:numPr>
          <w:ilvl w:val="0"/>
          <w:numId w:val="109"/>
        </w:numPr>
        <w:overflowPunct w:val="0"/>
        <w:autoSpaceDE w:val="0"/>
        <w:autoSpaceDN w:val="0"/>
        <w:adjustRightInd w:val="0"/>
        <w:spacing w:line="288" w:lineRule="auto"/>
        <w:contextualSpacing/>
        <w:jc w:val="both"/>
        <w:rPr>
          <w:rFonts w:eastAsia="Calibri" w:cs="Arial"/>
          <w:lang w:eastAsia="de-DE"/>
        </w:rPr>
      </w:pPr>
      <w:r w:rsidRPr="00A9330B">
        <w:rPr>
          <w:rFonts w:eastAsia="Calibri" w:cs="Arial"/>
          <w:lang w:eastAsia="fr-FR"/>
        </w:rPr>
        <w:t>des terres et biens immeubles acquis par l’État selon la procédure d’expropriation pour cause d’utilité publique ou par l’exercice du droit de préemption ;</w:t>
      </w:r>
    </w:p>
    <w:p w14:paraId="066D678F" w14:textId="77777777" w:rsidR="006C08BE" w:rsidRPr="00A9330B" w:rsidRDefault="006C08BE" w:rsidP="00BD2F72">
      <w:pPr>
        <w:numPr>
          <w:ilvl w:val="0"/>
          <w:numId w:val="109"/>
        </w:numPr>
        <w:overflowPunct w:val="0"/>
        <w:autoSpaceDE w:val="0"/>
        <w:autoSpaceDN w:val="0"/>
        <w:adjustRightInd w:val="0"/>
        <w:spacing w:line="288" w:lineRule="auto"/>
        <w:contextualSpacing/>
        <w:jc w:val="both"/>
        <w:rPr>
          <w:rFonts w:eastAsia="Calibri" w:cs="Arial"/>
          <w:lang w:eastAsia="fr-FR"/>
        </w:rPr>
      </w:pPr>
      <w:r w:rsidRPr="00A9330B">
        <w:rPr>
          <w:rFonts w:eastAsia="Calibri" w:cs="Arial"/>
          <w:lang w:eastAsia="fr-FR"/>
        </w:rPr>
        <w:t>du domaine forestier de l’État ;</w:t>
      </w:r>
    </w:p>
    <w:p w14:paraId="2E2A9A37" w14:textId="77777777" w:rsidR="006C08BE" w:rsidRPr="00A9330B" w:rsidRDefault="006C08BE" w:rsidP="00BD2F72">
      <w:pPr>
        <w:numPr>
          <w:ilvl w:val="0"/>
          <w:numId w:val="109"/>
        </w:numPr>
        <w:overflowPunct w:val="0"/>
        <w:autoSpaceDE w:val="0"/>
        <w:autoSpaceDN w:val="0"/>
        <w:adjustRightInd w:val="0"/>
        <w:spacing w:line="288" w:lineRule="auto"/>
        <w:contextualSpacing/>
        <w:jc w:val="both"/>
        <w:rPr>
          <w:rFonts w:eastAsia="Calibri" w:cs="Arial"/>
          <w:lang w:eastAsia="fr-FR"/>
        </w:rPr>
      </w:pPr>
      <w:r w:rsidRPr="00A9330B">
        <w:rPr>
          <w:rFonts w:eastAsia="Calibri" w:cs="Arial"/>
          <w:lang w:eastAsia="fr-FR"/>
        </w:rPr>
        <w:t>des dépendances du domaine pastoral ou minier ayant fait l’objet d’un déclassement ;</w:t>
      </w:r>
    </w:p>
    <w:p w14:paraId="336AEB7A" w14:textId="77777777" w:rsidR="006C08BE" w:rsidRPr="00A9330B" w:rsidRDefault="006C08BE" w:rsidP="00BD2F72">
      <w:pPr>
        <w:numPr>
          <w:ilvl w:val="0"/>
          <w:numId w:val="109"/>
        </w:numPr>
        <w:overflowPunct w:val="0"/>
        <w:autoSpaceDE w:val="0"/>
        <w:autoSpaceDN w:val="0"/>
        <w:adjustRightInd w:val="0"/>
        <w:spacing w:line="288" w:lineRule="auto"/>
        <w:contextualSpacing/>
        <w:jc w:val="both"/>
        <w:rPr>
          <w:rFonts w:eastAsia="Calibri" w:cs="Arial"/>
          <w:lang w:eastAsia="fr-FR"/>
        </w:rPr>
      </w:pPr>
      <w:r w:rsidRPr="00A9330B">
        <w:rPr>
          <w:rFonts w:eastAsia="Calibri" w:cs="Arial"/>
          <w:lang w:eastAsia="fr-FR"/>
        </w:rPr>
        <w:t>des terres et biens immeubles confisqués ;</w:t>
      </w:r>
    </w:p>
    <w:p w14:paraId="27D86357" w14:textId="77777777" w:rsidR="006C08BE" w:rsidRPr="00A9330B" w:rsidRDefault="006C08BE" w:rsidP="00BD2F72">
      <w:pPr>
        <w:numPr>
          <w:ilvl w:val="0"/>
          <w:numId w:val="109"/>
        </w:numPr>
        <w:overflowPunct w:val="0"/>
        <w:autoSpaceDE w:val="0"/>
        <w:autoSpaceDN w:val="0"/>
        <w:adjustRightInd w:val="0"/>
        <w:spacing w:line="288" w:lineRule="auto"/>
        <w:contextualSpacing/>
        <w:jc w:val="both"/>
        <w:rPr>
          <w:rFonts w:eastAsia="Calibri" w:cs="Arial"/>
          <w:lang w:eastAsia="fr-FR"/>
        </w:rPr>
      </w:pPr>
      <w:r w:rsidRPr="00A9330B">
        <w:rPr>
          <w:rFonts w:eastAsia="Calibri" w:cs="Arial"/>
          <w:lang w:eastAsia="fr-FR"/>
        </w:rPr>
        <w:t>des terres et biens immeubles acquis par l’État à l’étranger (Article 284 nouveau).</w:t>
      </w:r>
    </w:p>
    <w:p w14:paraId="3367C70A" w14:textId="77777777" w:rsidR="006C08BE" w:rsidRPr="00A9330B" w:rsidRDefault="006C08BE" w:rsidP="00BA18AC">
      <w:pPr>
        <w:jc w:val="both"/>
        <w:rPr>
          <w:rFonts w:cs="Arial"/>
          <w:lang w:eastAsia="fr-FR"/>
        </w:rPr>
      </w:pPr>
      <w:r w:rsidRPr="00A9330B">
        <w:rPr>
          <w:rFonts w:cs="Arial"/>
          <w:lang w:eastAsia="fr-FR"/>
        </w:rPr>
        <w:t>Sauf dispositions contractuelles contraires, les terrains domaniaux appropriés qui supportent des édifices, ouvrages ou aménagements entretenus aux frais du budget d’une collectivité publique, ainsi qu’éventuellement les immeubles bâtis que ces terrains supportent, sont attribués au domaine privé de cette collectivité, même s’il s’agit de titres fonciers établis ou transférés au nom d’une collectivité territoriale autre que celle qui pourvoit à leur entretien.</w:t>
      </w:r>
    </w:p>
    <w:p w14:paraId="2F4B9A95" w14:textId="77777777" w:rsidR="006C08BE" w:rsidRPr="00A9330B" w:rsidRDefault="006C08BE" w:rsidP="00BA18AC">
      <w:pPr>
        <w:jc w:val="both"/>
        <w:rPr>
          <w:rFonts w:cs="Arial"/>
          <w:lang w:eastAsia="fr-FR"/>
        </w:rPr>
      </w:pPr>
      <w:r w:rsidRPr="00A9330B">
        <w:rPr>
          <w:rFonts w:cs="Arial"/>
          <w:lang w:eastAsia="fr-FR"/>
        </w:rPr>
        <w:t>Sous la même réserve, les biens immobiliers domaniaux entretenus aux frais du budget de l’État, sont attribués au domaine privé de l’État, même s’il s’agit de titres fonciers au nom d’une autre collectivité territoriale (Article 285 nouveau).</w:t>
      </w:r>
    </w:p>
    <w:p w14:paraId="027618B4" w14:textId="77777777" w:rsidR="006C08BE" w:rsidRPr="00A9330B" w:rsidRDefault="006C08BE" w:rsidP="00BA18AC">
      <w:pPr>
        <w:jc w:val="both"/>
        <w:rPr>
          <w:rFonts w:cs="Arial"/>
          <w:lang w:eastAsia="fr-FR"/>
        </w:rPr>
      </w:pPr>
      <w:r w:rsidRPr="00A9330B">
        <w:rPr>
          <w:rFonts w:cs="Arial"/>
          <w:lang w:eastAsia="fr-FR"/>
        </w:rPr>
        <w:t>Le domaine privé immobilier des collectivités territoriales est constitué :</w:t>
      </w:r>
    </w:p>
    <w:p w14:paraId="079E6B50" w14:textId="77777777" w:rsidR="006C08BE" w:rsidRPr="00A9330B" w:rsidRDefault="006C08BE" w:rsidP="00BD2F72">
      <w:pPr>
        <w:numPr>
          <w:ilvl w:val="0"/>
          <w:numId w:val="110"/>
        </w:numPr>
        <w:overflowPunct w:val="0"/>
        <w:autoSpaceDE w:val="0"/>
        <w:autoSpaceDN w:val="0"/>
        <w:adjustRightInd w:val="0"/>
        <w:spacing w:line="288" w:lineRule="auto"/>
        <w:contextualSpacing/>
        <w:jc w:val="both"/>
        <w:rPr>
          <w:rFonts w:eastAsia="Calibri" w:cs="Arial"/>
          <w:lang w:eastAsia="fr-FR"/>
        </w:rPr>
      </w:pPr>
      <w:r w:rsidRPr="00A9330B">
        <w:rPr>
          <w:rFonts w:eastAsia="Calibri" w:cs="Arial"/>
          <w:lang w:eastAsia="fr-FR"/>
        </w:rPr>
        <w:t>des terres et biens immeubles dotés de titres fonciers au nom de la collectivité territoriale;</w:t>
      </w:r>
    </w:p>
    <w:p w14:paraId="63879F33" w14:textId="77777777" w:rsidR="006C08BE" w:rsidRPr="00A9330B" w:rsidRDefault="006C08BE" w:rsidP="00BD2F72">
      <w:pPr>
        <w:numPr>
          <w:ilvl w:val="0"/>
          <w:numId w:val="110"/>
        </w:numPr>
        <w:overflowPunct w:val="0"/>
        <w:autoSpaceDE w:val="0"/>
        <w:autoSpaceDN w:val="0"/>
        <w:adjustRightInd w:val="0"/>
        <w:spacing w:line="288" w:lineRule="auto"/>
        <w:contextualSpacing/>
        <w:jc w:val="both"/>
        <w:rPr>
          <w:rFonts w:eastAsia="Calibri" w:cs="Arial"/>
          <w:lang w:eastAsia="fr-FR"/>
        </w:rPr>
      </w:pPr>
      <w:r w:rsidRPr="00A9330B">
        <w:rPr>
          <w:rFonts w:eastAsia="Calibri" w:cs="Arial"/>
          <w:lang w:eastAsia="fr-FR"/>
        </w:rPr>
        <w:t>des terres et biens immeubles acquis par la collectivité territoriale selon les règles de droit commun en vigueur ;</w:t>
      </w:r>
    </w:p>
    <w:p w14:paraId="64F34EC4" w14:textId="77777777" w:rsidR="006C08BE" w:rsidRPr="00A9330B" w:rsidRDefault="006C08BE" w:rsidP="00BD2F72">
      <w:pPr>
        <w:numPr>
          <w:ilvl w:val="0"/>
          <w:numId w:val="110"/>
        </w:numPr>
        <w:overflowPunct w:val="0"/>
        <w:autoSpaceDE w:val="0"/>
        <w:autoSpaceDN w:val="0"/>
        <w:adjustRightInd w:val="0"/>
        <w:spacing w:line="288" w:lineRule="auto"/>
        <w:contextualSpacing/>
        <w:jc w:val="both"/>
        <w:rPr>
          <w:rFonts w:eastAsia="Calibri" w:cs="Arial"/>
          <w:lang w:eastAsia="fr-FR"/>
        </w:rPr>
      </w:pPr>
      <w:r w:rsidRPr="00A9330B">
        <w:rPr>
          <w:rFonts w:eastAsia="Calibri" w:cs="Arial"/>
          <w:lang w:eastAsia="fr-FR"/>
        </w:rPr>
        <w:t>des terres et biens immeubles acquis à titre de propriété par la collectivité territoriale hors de ses limites territoriales ;</w:t>
      </w:r>
    </w:p>
    <w:p w14:paraId="6521B1A8" w14:textId="77777777" w:rsidR="006C08BE" w:rsidRPr="00A9330B" w:rsidRDefault="006C08BE" w:rsidP="00BD2F72">
      <w:pPr>
        <w:numPr>
          <w:ilvl w:val="0"/>
          <w:numId w:val="110"/>
        </w:numPr>
        <w:overflowPunct w:val="0"/>
        <w:autoSpaceDE w:val="0"/>
        <w:autoSpaceDN w:val="0"/>
        <w:adjustRightInd w:val="0"/>
        <w:spacing w:line="288" w:lineRule="auto"/>
        <w:contextualSpacing/>
        <w:jc w:val="both"/>
        <w:rPr>
          <w:rFonts w:eastAsia="Calibri" w:cs="Arial"/>
          <w:lang w:eastAsia="fr-FR"/>
        </w:rPr>
      </w:pPr>
      <w:r w:rsidRPr="00A9330B">
        <w:rPr>
          <w:rFonts w:eastAsia="Calibri" w:cs="Arial"/>
          <w:lang w:eastAsia="fr-FR"/>
        </w:rPr>
        <w:lastRenderedPageBreak/>
        <w:t>des terres en déshérence ;</w:t>
      </w:r>
    </w:p>
    <w:p w14:paraId="58A96EEB" w14:textId="77777777" w:rsidR="006C08BE" w:rsidRPr="00A9330B" w:rsidRDefault="006C08BE" w:rsidP="00BD2F72">
      <w:pPr>
        <w:numPr>
          <w:ilvl w:val="0"/>
          <w:numId w:val="110"/>
        </w:numPr>
        <w:overflowPunct w:val="0"/>
        <w:autoSpaceDE w:val="0"/>
        <w:autoSpaceDN w:val="0"/>
        <w:adjustRightInd w:val="0"/>
        <w:spacing w:line="288" w:lineRule="auto"/>
        <w:contextualSpacing/>
        <w:jc w:val="both"/>
        <w:rPr>
          <w:rFonts w:eastAsia="Calibri" w:cs="Arial"/>
          <w:lang w:eastAsia="fr-FR"/>
        </w:rPr>
      </w:pPr>
      <w:r w:rsidRPr="00A9330B">
        <w:rPr>
          <w:rFonts w:eastAsia="Calibri" w:cs="Arial"/>
          <w:lang w:eastAsia="fr-FR"/>
        </w:rPr>
        <w:t>des terres et biens immeubles acquis selon la procédure d’expropriation pour cause d’utilité publique ou par l’exercice du droit de préemption ;</w:t>
      </w:r>
    </w:p>
    <w:p w14:paraId="771114FE" w14:textId="77777777" w:rsidR="006C08BE" w:rsidRPr="00A9330B" w:rsidRDefault="006C08BE" w:rsidP="00BD2F72">
      <w:pPr>
        <w:numPr>
          <w:ilvl w:val="0"/>
          <w:numId w:val="110"/>
        </w:numPr>
        <w:overflowPunct w:val="0"/>
        <w:autoSpaceDE w:val="0"/>
        <w:autoSpaceDN w:val="0"/>
        <w:adjustRightInd w:val="0"/>
        <w:spacing w:line="288" w:lineRule="auto"/>
        <w:contextualSpacing/>
        <w:jc w:val="both"/>
        <w:rPr>
          <w:rFonts w:eastAsia="Calibri" w:cs="Arial"/>
          <w:lang w:eastAsia="fr-FR"/>
        </w:rPr>
      </w:pPr>
      <w:r w:rsidRPr="00A9330B">
        <w:rPr>
          <w:rFonts w:eastAsia="Calibri" w:cs="Arial"/>
          <w:lang w:eastAsia="fr-FR"/>
        </w:rPr>
        <w:t>du domaine forestier des collectivités territoriales ;</w:t>
      </w:r>
    </w:p>
    <w:p w14:paraId="655F5C7E" w14:textId="77777777" w:rsidR="006C08BE" w:rsidRPr="00A9330B" w:rsidRDefault="006C08BE" w:rsidP="00BD2F72">
      <w:pPr>
        <w:numPr>
          <w:ilvl w:val="0"/>
          <w:numId w:val="110"/>
        </w:numPr>
        <w:overflowPunct w:val="0"/>
        <w:autoSpaceDE w:val="0"/>
        <w:autoSpaceDN w:val="0"/>
        <w:adjustRightInd w:val="0"/>
        <w:spacing w:line="288" w:lineRule="auto"/>
        <w:contextualSpacing/>
        <w:jc w:val="both"/>
        <w:rPr>
          <w:rFonts w:eastAsia="Calibri" w:cs="Arial"/>
          <w:lang w:eastAsia="de-DE"/>
        </w:rPr>
      </w:pPr>
      <w:r w:rsidRPr="00A9330B">
        <w:rPr>
          <w:rFonts w:eastAsia="Calibri" w:cs="Arial"/>
          <w:lang w:eastAsia="fr-FR"/>
        </w:rPr>
        <w:t>des terres qui n’ont jamais fait l’objet d’une appropriation première (Article 286 nouveau).</w:t>
      </w:r>
    </w:p>
    <w:p w14:paraId="166C304F" w14:textId="77777777" w:rsidR="006C08BE" w:rsidRPr="00A9330B" w:rsidRDefault="006C08BE" w:rsidP="0064324E">
      <w:pPr>
        <w:pStyle w:val="Titre40"/>
      </w:pPr>
      <w:bookmarkStart w:id="634" w:name="_Toc52869587"/>
      <w:r w:rsidRPr="00A9330B">
        <w:t>2.2.2.4. Loi n°2016-24 du 11 octobre 2016 portant cadre juridique du partenariat public-privé en République du Bénin</w:t>
      </w:r>
      <w:bookmarkEnd w:id="634"/>
    </w:p>
    <w:p w14:paraId="4F85F4B4" w14:textId="77777777" w:rsidR="006C08BE" w:rsidRPr="00A9330B" w:rsidRDefault="006C08BE" w:rsidP="00BA18AC">
      <w:pPr>
        <w:jc w:val="both"/>
        <w:rPr>
          <w:rFonts w:eastAsia="Calibri" w:cs="Arial"/>
          <w:lang w:eastAsia="fr-FR"/>
        </w:rPr>
      </w:pPr>
      <w:r w:rsidRPr="00A9330B">
        <w:rPr>
          <w:rFonts w:eastAsia="Calibri" w:cs="Arial"/>
          <w:lang w:eastAsia="fr-FR"/>
        </w:rPr>
        <w:t>Conformément aux dispositions de l’article 12 de la loi portant cadre juridique du partenariat public-privé, les projets susceptibles d’être retenus pour le processus de sélection en contrat de partenariat public-privé font l’objet : (i) d’une étude de faisabilité ; (ii) d’une étude d’impact environnemental et social ; (iii) d’une étude des externalités afin de déterminer les coûts et bénéfices attendus pour la personne publique ; (iv) d’une étude de soutenabilité budgétaire.</w:t>
      </w:r>
    </w:p>
    <w:p w14:paraId="61098B75" w14:textId="77777777" w:rsidR="006C08BE" w:rsidRPr="00A9330B" w:rsidRDefault="006C08BE" w:rsidP="00BA18AC">
      <w:pPr>
        <w:spacing w:after="120"/>
        <w:jc w:val="both"/>
        <w:rPr>
          <w:rFonts w:eastAsia="Calibri" w:cs="Arial"/>
          <w:lang w:eastAsia="fr-FR"/>
        </w:rPr>
      </w:pPr>
      <w:r w:rsidRPr="00A9330B">
        <w:rPr>
          <w:rFonts w:eastAsia="Calibri" w:cs="Arial"/>
          <w:lang w:eastAsia="fr-FR"/>
        </w:rPr>
        <w:t>Elle précise que tout contrat de partenariat public-privé comporte nécessairement des clauses relatives :</w:t>
      </w:r>
    </w:p>
    <w:p w14:paraId="46380130" w14:textId="77777777" w:rsidR="006C08BE" w:rsidRPr="00A9330B" w:rsidRDefault="006C08BE" w:rsidP="00BD2F72">
      <w:pPr>
        <w:numPr>
          <w:ilvl w:val="0"/>
          <w:numId w:val="111"/>
        </w:numPr>
        <w:overflowPunct w:val="0"/>
        <w:autoSpaceDE w:val="0"/>
        <w:autoSpaceDN w:val="0"/>
        <w:adjustRightInd w:val="0"/>
        <w:spacing w:line="288" w:lineRule="auto"/>
        <w:contextualSpacing/>
        <w:jc w:val="both"/>
        <w:rPr>
          <w:rFonts w:eastAsia="Calibri" w:cs="Arial"/>
          <w:lang w:eastAsia="fr-FR"/>
        </w:rPr>
      </w:pPr>
      <w:r w:rsidRPr="00A9330B">
        <w:rPr>
          <w:rFonts w:eastAsia="Calibri" w:cs="Arial"/>
          <w:lang w:eastAsia="fr-FR"/>
        </w:rPr>
        <w:t>aux modalités de contrôle par la personne publique de l’exécution du contrat de partenariat, notamment du respect des objectifs de performance particulièrement en matière de développement durable ;</w:t>
      </w:r>
    </w:p>
    <w:p w14:paraId="6D9267AD" w14:textId="77777777" w:rsidR="006C08BE" w:rsidRPr="00A9330B" w:rsidRDefault="006C08BE" w:rsidP="00BD2F72">
      <w:pPr>
        <w:numPr>
          <w:ilvl w:val="0"/>
          <w:numId w:val="111"/>
        </w:numPr>
        <w:overflowPunct w:val="0"/>
        <w:autoSpaceDE w:val="0"/>
        <w:autoSpaceDN w:val="0"/>
        <w:adjustRightInd w:val="0"/>
        <w:spacing w:line="288" w:lineRule="auto"/>
        <w:contextualSpacing/>
        <w:jc w:val="both"/>
        <w:rPr>
          <w:rFonts w:eastAsia="Calibri" w:cs="Arial"/>
          <w:lang w:eastAsia="fr-FR"/>
        </w:rPr>
      </w:pPr>
      <w:r w:rsidRPr="00A9330B">
        <w:rPr>
          <w:rFonts w:eastAsia="Calibri" w:cs="Arial"/>
          <w:lang w:eastAsia="fr-FR"/>
        </w:rPr>
        <w:t>aux conditions dans lesquelles s’opèrent les audits d’impact environnemental et des modalités de la gestion environnementale.</w:t>
      </w:r>
    </w:p>
    <w:p w14:paraId="24A03E80" w14:textId="77777777" w:rsidR="006C08BE" w:rsidRPr="00A9330B" w:rsidRDefault="006C08BE" w:rsidP="00BD2F72">
      <w:pPr>
        <w:numPr>
          <w:ilvl w:val="0"/>
          <w:numId w:val="111"/>
        </w:numPr>
        <w:overflowPunct w:val="0"/>
        <w:autoSpaceDE w:val="0"/>
        <w:autoSpaceDN w:val="0"/>
        <w:adjustRightInd w:val="0"/>
        <w:spacing w:line="288" w:lineRule="auto"/>
        <w:contextualSpacing/>
        <w:jc w:val="both"/>
        <w:rPr>
          <w:rFonts w:eastAsia="Calibri" w:cs="Arial"/>
          <w:lang w:eastAsia="fr-FR"/>
        </w:rPr>
      </w:pPr>
      <w:r w:rsidRPr="00A9330B">
        <w:rPr>
          <w:rFonts w:eastAsia="Calibri" w:cs="Arial"/>
          <w:lang w:eastAsia="fr-FR"/>
        </w:rPr>
        <w:t>aux modalités de contrôle par la personne publique de l’exécution du contrat de partenariat, notamment du respect des objectifs de performance particulièrement en matière de développement durable ;</w:t>
      </w:r>
    </w:p>
    <w:p w14:paraId="328A88A5" w14:textId="426D058B" w:rsidR="006C08BE" w:rsidRPr="00A9330B" w:rsidRDefault="006C08BE" w:rsidP="00BD2F72">
      <w:pPr>
        <w:numPr>
          <w:ilvl w:val="0"/>
          <w:numId w:val="111"/>
        </w:numPr>
        <w:overflowPunct w:val="0"/>
        <w:autoSpaceDE w:val="0"/>
        <w:autoSpaceDN w:val="0"/>
        <w:adjustRightInd w:val="0"/>
        <w:spacing w:line="288" w:lineRule="auto"/>
        <w:contextualSpacing/>
        <w:jc w:val="both"/>
        <w:rPr>
          <w:rFonts w:eastAsia="Calibri" w:cs="Arial"/>
          <w:lang w:eastAsia="fr-FR"/>
        </w:rPr>
      </w:pPr>
      <w:r w:rsidRPr="00A9330B">
        <w:rPr>
          <w:rFonts w:eastAsia="Calibri" w:cs="Arial"/>
          <w:lang w:eastAsia="fr-FR"/>
        </w:rPr>
        <w:t xml:space="preserve">aux conditions dans lesquelles s’opèrent les audits </w:t>
      </w:r>
      <w:r w:rsidR="00240D51" w:rsidRPr="00A9330B">
        <w:rPr>
          <w:rFonts w:eastAsia="Calibri" w:cs="Arial"/>
          <w:lang w:eastAsia="fr-FR"/>
        </w:rPr>
        <w:t xml:space="preserve">de conformité ??? </w:t>
      </w:r>
      <w:r w:rsidRPr="00A9330B">
        <w:rPr>
          <w:rFonts w:eastAsia="Calibri" w:cs="Arial"/>
          <w:lang w:eastAsia="fr-FR"/>
        </w:rPr>
        <w:t>d’impact environnemental</w:t>
      </w:r>
      <w:r w:rsidR="00240D51" w:rsidRPr="00A9330B">
        <w:rPr>
          <w:rFonts w:eastAsia="Calibri" w:cs="Arial"/>
          <w:lang w:eastAsia="fr-FR"/>
        </w:rPr>
        <w:t>e</w:t>
      </w:r>
      <w:r w:rsidRPr="00A9330B">
        <w:rPr>
          <w:rFonts w:eastAsia="Calibri" w:cs="Arial"/>
          <w:lang w:eastAsia="fr-FR"/>
        </w:rPr>
        <w:t xml:space="preserve"> et des modalités de la gestion environnementale.</w:t>
      </w:r>
    </w:p>
    <w:p w14:paraId="07A8FB1C" w14:textId="77777777" w:rsidR="006C08BE" w:rsidRPr="00A9330B" w:rsidRDefault="006C08BE" w:rsidP="0064324E">
      <w:pPr>
        <w:pStyle w:val="Titre40"/>
        <w:rPr>
          <w:lang w:eastAsia="fr-FR"/>
        </w:rPr>
      </w:pPr>
      <w:bookmarkStart w:id="635" w:name="_Toc52869588"/>
      <w:r w:rsidRPr="00A9330B">
        <w:rPr>
          <w:lang w:eastAsia="fr-FR"/>
        </w:rPr>
        <w:t>2.2.2.5. La loi n° 2016</w:t>
      </w:r>
      <w:r w:rsidRPr="00A9330B">
        <w:rPr>
          <w:rFonts w:ascii="Cambria Math" w:hAnsi="Cambria Math" w:cs="Cambria Math"/>
          <w:lang w:eastAsia="fr-FR"/>
        </w:rPr>
        <w:t>‐</w:t>
      </w:r>
      <w:r w:rsidRPr="00A9330B">
        <w:rPr>
          <w:lang w:eastAsia="fr-FR"/>
        </w:rPr>
        <w:t>06 du 26 Mai 2016 portant loi-cadre sur l’aménagement du territoire en République du Bénin</w:t>
      </w:r>
      <w:bookmarkEnd w:id="635"/>
      <w:r w:rsidRPr="00A9330B">
        <w:rPr>
          <w:lang w:eastAsia="fr-FR"/>
        </w:rPr>
        <w:t xml:space="preserve"> </w:t>
      </w:r>
    </w:p>
    <w:p w14:paraId="78B61A7D" w14:textId="77777777" w:rsidR="006C08BE" w:rsidRPr="00A9330B" w:rsidRDefault="006C08BE" w:rsidP="00BA18AC">
      <w:pPr>
        <w:jc w:val="both"/>
        <w:rPr>
          <w:rFonts w:cs="Arial"/>
        </w:rPr>
      </w:pPr>
      <w:r w:rsidRPr="00A9330B">
        <w:rPr>
          <w:rFonts w:cs="Arial"/>
        </w:rPr>
        <w:t xml:space="preserve">L’article 40 de la loi n° 2016-06 portant loi-cadre sur l’aménagement du territoire en République du Bénin précise qu’il est institué, un Certificat de Cohérence Spatiale (CCS) délivré par l’autorité en charge de l’aménagement du territoire à l’issue d’une étude de cohérence spatiale réalisée pour tous projets d’envergure nationale et régionale. </w:t>
      </w:r>
    </w:p>
    <w:p w14:paraId="7D232BE3" w14:textId="77777777" w:rsidR="006C08BE" w:rsidRPr="00A9330B" w:rsidRDefault="006C08BE" w:rsidP="00BA18AC">
      <w:pPr>
        <w:jc w:val="both"/>
        <w:rPr>
          <w:rFonts w:cs="Arial"/>
        </w:rPr>
      </w:pPr>
      <w:r w:rsidRPr="00A9330B">
        <w:rPr>
          <w:rFonts w:cs="Arial"/>
        </w:rPr>
        <w:t xml:space="preserve">Les modalités d’élaboration et de délivrance ainsi que le contenu du Certificat de Cohérence Spatiale sont précisés par les textes d’application. </w:t>
      </w:r>
    </w:p>
    <w:p w14:paraId="495794AE" w14:textId="77777777" w:rsidR="006C08BE" w:rsidRPr="00A9330B" w:rsidRDefault="006C08BE" w:rsidP="0064324E">
      <w:pPr>
        <w:pStyle w:val="Titre40"/>
        <w:rPr>
          <w:lang w:eastAsia="fr-FR"/>
        </w:rPr>
      </w:pPr>
      <w:bookmarkStart w:id="636" w:name="_Toc52869589"/>
      <w:r w:rsidRPr="00A9330B">
        <w:rPr>
          <w:lang w:eastAsia="fr-FR"/>
        </w:rPr>
        <w:t>2.2.2.6. Loi n°2009-17B du 19 mai 2009 portant modalités de l’intercommunalité au Bénin</w:t>
      </w:r>
      <w:bookmarkEnd w:id="636"/>
      <w:r w:rsidRPr="00A9330B">
        <w:rPr>
          <w:lang w:eastAsia="fr-FR"/>
        </w:rPr>
        <w:t xml:space="preserve"> </w:t>
      </w:r>
    </w:p>
    <w:p w14:paraId="3FEFC2BC" w14:textId="77777777" w:rsidR="006C08BE" w:rsidRPr="00A9330B" w:rsidRDefault="006C08BE" w:rsidP="00BA18AC">
      <w:pPr>
        <w:jc w:val="both"/>
        <w:rPr>
          <w:rFonts w:cs="Arial"/>
          <w:lang w:eastAsia="fr-FR"/>
        </w:rPr>
      </w:pPr>
      <w:r w:rsidRPr="00A9330B">
        <w:rPr>
          <w:rFonts w:cs="Arial"/>
          <w:lang w:eastAsia="fr-FR"/>
        </w:rPr>
        <w:t xml:space="preserve">La loi portant modalités de l’intercommunalité au Bénin, détermine les principes généraux de création, d’organisation, de gestion et de contrôle des établissements publics de coopération intercommunale (EPCI). Les compétences transférables par les communes membres d’un établissement public de coopération intercommunale concernent, toutes leurs compétences propres qui se rapportent, à titre indicatif et non limitatif, aux domaines suivants entre autres : (i) l’aménagement du territoire ; (ii) l’urbanisme ; (iii) la voirie urbaine ; (vi) les routes, pistes et ouvrages d’art ; (v) l’hygiène et la salubrité ; (xii) les services de voirie ; etc. </w:t>
      </w:r>
    </w:p>
    <w:p w14:paraId="6C0E72DF" w14:textId="77777777" w:rsidR="006C08BE" w:rsidRPr="00A9330B" w:rsidRDefault="006C08BE" w:rsidP="00BA18AC">
      <w:pPr>
        <w:jc w:val="both"/>
        <w:rPr>
          <w:rFonts w:cs="Arial"/>
          <w:lang w:eastAsia="fr-FR"/>
        </w:rPr>
      </w:pPr>
      <w:r w:rsidRPr="00A9330B">
        <w:rPr>
          <w:rFonts w:cs="Arial"/>
          <w:lang w:eastAsia="fr-FR"/>
        </w:rPr>
        <w:lastRenderedPageBreak/>
        <w:t xml:space="preserve">La tutelle de l’établissement public de coopération intercommunale est exercée par le préfet de la localité où se situe son siège. </w:t>
      </w:r>
    </w:p>
    <w:p w14:paraId="0159C748" w14:textId="77777777" w:rsidR="006C08BE" w:rsidRPr="00A9330B" w:rsidRDefault="006C08BE" w:rsidP="0064324E">
      <w:pPr>
        <w:pStyle w:val="Titre40"/>
        <w:rPr>
          <w:lang w:eastAsia="fr-FR"/>
        </w:rPr>
      </w:pPr>
      <w:bookmarkStart w:id="637" w:name="_Toc52869590"/>
      <w:r w:rsidRPr="00A9330B">
        <w:rPr>
          <w:lang w:eastAsia="fr-FR"/>
        </w:rPr>
        <w:t xml:space="preserve">2.2.2.7. La </w:t>
      </w:r>
      <w:r w:rsidRPr="00A9330B">
        <w:rPr>
          <w:rFonts w:cs="Arial"/>
          <w:color w:val="000000" w:themeColor="text1"/>
        </w:rPr>
        <w:t xml:space="preserve">loi n°98-030 du 12 février 1999 portant </w:t>
      </w:r>
      <w:r w:rsidRPr="00A9330B">
        <w:rPr>
          <w:lang w:eastAsia="fr-FR"/>
        </w:rPr>
        <w:t>loi-cadre sur l’Environnement</w:t>
      </w:r>
      <w:bookmarkEnd w:id="631"/>
      <w:bookmarkEnd w:id="637"/>
      <w:r w:rsidRPr="00A9330B">
        <w:rPr>
          <w:lang w:eastAsia="fr-FR"/>
        </w:rPr>
        <w:t xml:space="preserve"> </w:t>
      </w:r>
    </w:p>
    <w:p w14:paraId="6C3EC8C8" w14:textId="77777777" w:rsidR="006C08BE" w:rsidRPr="00A9330B" w:rsidRDefault="006C08BE" w:rsidP="00BA18AC">
      <w:pPr>
        <w:jc w:val="both"/>
        <w:rPr>
          <w:rFonts w:cs="Arial"/>
        </w:rPr>
      </w:pPr>
      <w:r w:rsidRPr="00A9330B">
        <w:rPr>
          <w:rFonts w:cs="Arial"/>
        </w:rPr>
        <w:t xml:space="preserve">Les principes généraux qui régissent l’évaluation environnementale sont édictés par la loi n°98-030 du 12 février 1999 portant loi-cadre sur l’environnement. Ce sont : </w:t>
      </w:r>
    </w:p>
    <w:p w14:paraId="3FA98044" w14:textId="77777777" w:rsidR="006C08BE" w:rsidRPr="00A9330B" w:rsidRDefault="006C08BE" w:rsidP="00BA18AC">
      <w:pPr>
        <w:jc w:val="both"/>
        <w:rPr>
          <w:rFonts w:cs="Arial"/>
        </w:rPr>
      </w:pPr>
      <w:r w:rsidRPr="00A9330B">
        <w:rPr>
          <w:rFonts w:cs="Arial"/>
          <w:b/>
          <w:i/>
          <w:iCs/>
        </w:rPr>
        <w:t>Article 3-a</w:t>
      </w:r>
      <w:r w:rsidRPr="00A9330B">
        <w:rPr>
          <w:rFonts w:cs="Arial"/>
          <w:i/>
          <w:iCs/>
        </w:rPr>
        <w:t xml:space="preserve"> </w:t>
      </w:r>
      <w:r w:rsidRPr="00A9330B">
        <w:rPr>
          <w:rFonts w:cs="Arial"/>
        </w:rPr>
        <w:t xml:space="preserve">: l’environnement béninois est un patrimoine national et fait partie intégrante du patrimoine commun de l’humanité. </w:t>
      </w:r>
    </w:p>
    <w:p w14:paraId="64AA8D63" w14:textId="77777777" w:rsidR="006C08BE" w:rsidRPr="00A9330B" w:rsidRDefault="006C08BE" w:rsidP="00BA18AC">
      <w:pPr>
        <w:jc w:val="both"/>
        <w:rPr>
          <w:rFonts w:cs="Arial"/>
        </w:rPr>
      </w:pPr>
      <w:r w:rsidRPr="00A9330B">
        <w:rPr>
          <w:rFonts w:cs="Arial"/>
          <w:b/>
          <w:i/>
          <w:iCs/>
        </w:rPr>
        <w:t>Article 3-c</w:t>
      </w:r>
      <w:r w:rsidRPr="00A9330B">
        <w:rPr>
          <w:rFonts w:cs="Arial"/>
          <w:i/>
          <w:iCs/>
        </w:rPr>
        <w:t xml:space="preserve"> </w:t>
      </w:r>
      <w:r w:rsidRPr="00A9330B">
        <w:rPr>
          <w:rFonts w:cs="Arial"/>
        </w:rPr>
        <w:t xml:space="preserve">: la protection et la mise en valeur de l’environnement doivent faire partie intégrante du plan de développement économique et social et la stratégie de sa mise en œuvre. </w:t>
      </w:r>
    </w:p>
    <w:p w14:paraId="7DFF0340" w14:textId="77777777" w:rsidR="006C08BE" w:rsidRPr="00A9330B" w:rsidRDefault="006C08BE" w:rsidP="00BA18AC">
      <w:pPr>
        <w:jc w:val="both"/>
        <w:rPr>
          <w:rFonts w:cs="Arial"/>
        </w:rPr>
      </w:pPr>
      <w:r w:rsidRPr="00A9330B">
        <w:rPr>
          <w:rFonts w:cs="Arial"/>
          <w:b/>
          <w:i/>
          <w:iCs/>
        </w:rPr>
        <w:t>Article 3-f</w:t>
      </w:r>
      <w:r w:rsidRPr="00A9330B">
        <w:rPr>
          <w:rFonts w:cs="Arial"/>
          <w:i/>
          <w:iCs/>
        </w:rPr>
        <w:t xml:space="preserve"> </w:t>
      </w:r>
      <w:r w:rsidRPr="00A9330B">
        <w:rPr>
          <w:rFonts w:cs="Arial"/>
        </w:rPr>
        <w:t xml:space="preserve">: tout acte préjudiciable à la protection de l’environnement engage la responsabilité directe ou indirecte de son auteur qui doit en assurer la réparation. </w:t>
      </w:r>
    </w:p>
    <w:p w14:paraId="3B2CAADB" w14:textId="77777777" w:rsidR="006C08BE" w:rsidRPr="00A9330B" w:rsidRDefault="006C08BE" w:rsidP="00BA18AC">
      <w:pPr>
        <w:jc w:val="both"/>
        <w:rPr>
          <w:rFonts w:cs="Arial"/>
        </w:rPr>
      </w:pPr>
      <w:r w:rsidRPr="00A9330B">
        <w:rPr>
          <w:rFonts w:cs="Arial"/>
        </w:rPr>
        <w:t xml:space="preserve">La prise en compte de l’environnement se matérialise à travers les procédures d’évaluation environnementale (Étude d’Impact Environnemental et Social, évaluation environnementale stratégique, Audience Publique et Audit Environnemental). Les articles 11 et 12 de la loi-cadre sur l’environnement définissent la responsabilité administrative (Ministère en charge du cadre de vie) et l’autorité compétente pour instruire et valider les études d’évaluation environnementale (l’Agence Béninoise pour l’Environnement ABE). </w:t>
      </w:r>
    </w:p>
    <w:p w14:paraId="3BA37018" w14:textId="77777777" w:rsidR="006C08BE" w:rsidRPr="00A9330B" w:rsidRDefault="006C08BE" w:rsidP="00BA18AC">
      <w:pPr>
        <w:jc w:val="both"/>
        <w:rPr>
          <w:rFonts w:cs="Arial"/>
        </w:rPr>
      </w:pPr>
      <w:r w:rsidRPr="00A9330B">
        <w:rPr>
          <w:rFonts w:cs="Arial"/>
        </w:rPr>
        <w:t xml:space="preserve">La loi-cadre sur l’environnement est complétée par des décrets d’application notamment le Décret N°2017 – 332 du 06 juillet 2017, portant organisation des procédures de l’évaluation environnementale en République du Bénin. Ce décret fixe les modalités de mise en œuvre des évaluations environnementales et la procédure permet au Ministère en charge de l’Environnement de veiller au respect des normes environnementales, d’exiger des mesures correctives et de prendre des sanctions en cas de non-respect délibéré ou de récidive. Il contribue au maintien de la conformité environnementale. </w:t>
      </w:r>
    </w:p>
    <w:p w14:paraId="08102F13" w14:textId="77777777" w:rsidR="006C08BE" w:rsidRPr="00A9330B" w:rsidRDefault="006C08BE" w:rsidP="0064324E">
      <w:pPr>
        <w:pStyle w:val="Titre40"/>
        <w:rPr>
          <w:lang w:eastAsia="fr-FR"/>
        </w:rPr>
      </w:pPr>
      <w:bookmarkStart w:id="638" w:name="_Toc45557355"/>
      <w:bookmarkStart w:id="639" w:name="_Toc52869591"/>
      <w:r w:rsidRPr="00A9330B">
        <w:rPr>
          <w:lang w:eastAsia="fr-FR"/>
        </w:rPr>
        <w:t>2.2.2.8. La loi n° 97-029 du 15 janvier 1999 portant organisation des communes en République du Bénin</w:t>
      </w:r>
      <w:bookmarkEnd w:id="639"/>
      <w:r w:rsidRPr="00A9330B">
        <w:rPr>
          <w:lang w:eastAsia="fr-FR"/>
        </w:rPr>
        <w:t xml:space="preserve"> </w:t>
      </w:r>
    </w:p>
    <w:p w14:paraId="6FEAA405" w14:textId="77777777" w:rsidR="006C08BE" w:rsidRPr="00A9330B" w:rsidRDefault="006C08BE" w:rsidP="00BA18AC">
      <w:pPr>
        <w:jc w:val="both"/>
        <w:rPr>
          <w:rFonts w:cs="Arial"/>
          <w:lang w:eastAsia="fr-FR"/>
        </w:rPr>
      </w:pPr>
      <w:r w:rsidRPr="00A9330B">
        <w:rPr>
          <w:rFonts w:cs="Arial"/>
          <w:lang w:eastAsia="fr-FR"/>
        </w:rPr>
        <w:t xml:space="preserve">L’État et la commune sont des collectivités publiques possédant un patrimoine au sein duquel on distingue : un domaine public et un domaine privé. En effet, le domaine public est soumis à un régime de droit public, relevant de la compétence des tribunaux administratifs, tandis que les biens qui font partie du domaine privé relèvent d’un régime mixte, mais traditionnellement ils sont soumis aux règles du droit privé, relevant ainsi des tribunaux judiciaires. </w:t>
      </w:r>
    </w:p>
    <w:p w14:paraId="17A355E5" w14:textId="77777777" w:rsidR="006C08BE" w:rsidRPr="00A9330B" w:rsidRDefault="006C08BE" w:rsidP="00BA18AC">
      <w:pPr>
        <w:jc w:val="both"/>
        <w:rPr>
          <w:rFonts w:cs="Arial"/>
          <w:lang w:eastAsia="fr-FR"/>
        </w:rPr>
      </w:pPr>
      <w:r w:rsidRPr="00A9330B">
        <w:rPr>
          <w:rFonts w:cs="Arial"/>
          <w:lang w:eastAsia="fr-FR"/>
        </w:rPr>
        <w:t xml:space="preserve">Font partie du domaine public national, des biens (biens et droits mobiliers et immobiliers de l’État qui ne sont pas susceptibles d’une propriété privée en raison de leur nature ou de leur destination) considérés comme des dépendances du domaine national. Toutefois, pour qu’un bien soit considéré comme faisant partie du domaine public : </w:t>
      </w:r>
    </w:p>
    <w:p w14:paraId="7022F241" w14:textId="77777777" w:rsidR="006C08BE" w:rsidRPr="00A9330B" w:rsidRDefault="006C08BE" w:rsidP="00BD2F72">
      <w:pPr>
        <w:numPr>
          <w:ilvl w:val="0"/>
          <w:numId w:val="112"/>
        </w:numPr>
        <w:overflowPunct w:val="0"/>
        <w:autoSpaceDE w:val="0"/>
        <w:autoSpaceDN w:val="0"/>
        <w:adjustRightInd w:val="0"/>
        <w:spacing w:line="288" w:lineRule="auto"/>
        <w:contextualSpacing/>
        <w:jc w:val="both"/>
        <w:rPr>
          <w:rFonts w:eastAsia="Times New Roman" w:cs="Arial"/>
          <w:lang w:eastAsia="fr-FR"/>
        </w:rPr>
      </w:pPr>
      <w:r w:rsidRPr="00A9330B">
        <w:rPr>
          <w:rFonts w:eastAsia="Times New Roman" w:cs="Arial"/>
          <w:lang w:eastAsia="fr-FR"/>
        </w:rPr>
        <w:t xml:space="preserve">Il doit, en premier lieu, appartenir à une collectivité publique, c’est-à-dire soit à la collectivité nationale (État) ou à la collectivité territoriale décentralisée (commune). </w:t>
      </w:r>
    </w:p>
    <w:p w14:paraId="07B48D12" w14:textId="77777777" w:rsidR="006C08BE" w:rsidRPr="00A9330B" w:rsidRDefault="006C08BE" w:rsidP="00BD2F72">
      <w:pPr>
        <w:numPr>
          <w:ilvl w:val="0"/>
          <w:numId w:val="112"/>
        </w:numPr>
        <w:overflowPunct w:val="0"/>
        <w:autoSpaceDE w:val="0"/>
        <w:autoSpaceDN w:val="0"/>
        <w:adjustRightInd w:val="0"/>
        <w:spacing w:line="288" w:lineRule="auto"/>
        <w:contextualSpacing/>
        <w:jc w:val="both"/>
        <w:rPr>
          <w:rFonts w:eastAsia="Times New Roman" w:cs="Arial"/>
          <w:lang w:eastAsia="fr-FR"/>
        </w:rPr>
      </w:pPr>
      <w:r w:rsidRPr="00A9330B">
        <w:rPr>
          <w:rFonts w:eastAsia="Times New Roman" w:cs="Arial"/>
          <w:lang w:eastAsia="fr-FR"/>
        </w:rPr>
        <w:t xml:space="preserve">Il doit, en second lieu, recevoir une certaine affectation ou être spécialement aménagé pour l’exploitation d’un service public. </w:t>
      </w:r>
    </w:p>
    <w:p w14:paraId="34949CEB" w14:textId="77777777" w:rsidR="006C08BE" w:rsidRPr="00A9330B" w:rsidRDefault="006C08BE" w:rsidP="00BA18AC">
      <w:pPr>
        <w:jc w:val="both"/>
        <w:rPr>
          <w:rFonts w:cs="Arial"/>
          <w:lang w:eastAsia="fr-FR"/>
        </w:rPr>
      </w:pPr>
      <w:r w:rsidRPr="00A9330B">
        <w:rPr>
          <w:rFonts w:cs="Arial"/>
          <w:lang w:eastAsia="fr-FR"/>
        </w:rPr>
        <w:t xml:space="preserve">Conformément à l’article 110 de la loi n° 97- 029 du 15 janvier 1999 portant organisation des communes en République du Bénin, sont reconnus comme faisant partie du domaine public communal : </w:t>
      </w:r>
    </w:p>
    <w:p w14:paraId="4454B1BF" w14:textId="77777777" w:rsidR="006C08BE" w:rsidRPr="00A9330B" w:rsidRDefault="006C08BE" w:rsidP="00BD2F72">
      <w:pPr>
        <w:numPr>
          <w:ilvl w:val="0"/>
          <w:numId w:val="113"/>
        </w:numPr>
        <w:overflowPunct w:val="0"/>
        <w:autoSpaceDE w:val="0"/>
        <w:autoSpaceDN w:val="0"/>
        <w:adjustRightInd w:val="0"/>
        <w:spacing w:line="288" w:lineRule="auto"/>
        <w:contextualSpacing/>
        <w:jc w:val="both"/>
        <w:rPr>
          <w:rFonts w:eastAsia="Calibri" w:cs="Arial"/>
          <w:lang w:eastAsia="fr-FR"/>
        </w:rPr>
      </w:pPr>
      <w:r w:rsidRPr="00A9330B">
        <w:rPr>
          <w:rFonts w:eastAsia="Calibri" w:cs="Arial"/>
          <w:lang w:eastAsia="fr-FR"/>
        </w:rPr>
        <w:t xml:space="preserve">les terres appartenant à la commune et qui ont reçu, de droit ou de fait, une affectation locale comme rues, routes, les places et jardins publics aménagés ; </w:t>
      </w:r>
    </w:p>
    <w:p w14:paraId="0033C615" w14:textId="77777777" w:rsidR="006C08BE" w:rsidRPr="00A9330B" w:rsidRDefault="006C08BE" w:rsidP="00BD2F72">
      <w:pPr>
        <w:numPr>
          <w:ilvl w:val="0"/>
          <w:numId w:val="113"/>
        </w:numPr>
        <w:overflowPunct w:val="0"/>
        <w:autoSpaceDE w:val="0"/>
        <w:autoSpaceDN w:val="0"/>
        <w:adjustRightInd w:val="0"/>
        <w:spacing w:line="288" w:lineRule="auto"/>
        <w:contextualSpacing/>
        <w:jc w:val="both"/>
        <w:rPr>
          <w:rFonts w:eastAsia="Calibri" w:cs="Arial"/>
          <w:lang w:eastAsia="fr-FR"/>
        </w:rPr>
      </w:pPr>
      <w:r w:rsidRPr="00A9330B">
        <w:rPr>
          <w:rFonts w:eastAsia="Calibri" w:cs="Arial"/>
          <w:iCs/>
          <w:lang w:eastAsia="fr-FR"/>
        </w:rPr>
        <w:lastRenderedPageBreak/>
        <w:t xml:space="preserve">les terres appartenant à la commune, et qui supportent des ouvrages d’intérêt public chaque fois que la charge incombe à la commune ; </w:t>
      </w:r>
    </w:p>
    <w:p w14:paraId="5D42B100" w14:textId="77777777" w:rsidR="006C08BE" w:rsidRPr="00A9330B" w:rsidRDefault="006C08BE" w:rsidP="00BD2F72">
      <w:pPr>
        <w:numPr>
          <w:ilvl w:val="0"/>
          <w:numId w:val="113"/>
        </w:numPr>
        <w:overflowPunct w:val="0"/>
        <w:autoSpaceDE w:val="0"/>
        <w:autoSpaceDN w:val="0"/>
        <w:adjustRightInd w:val="0"/>
        <w:spacing w:line="288" w:lineRule="auto"/>
        <w:contextualSpacing/>
        <w:jc w:val="both"/>
        <w:rPr>
          <w:rFonts w:eastAsia="Calibri" w:cs="Arial"/>
          <w:iCs/>
          <w:lang w:eastAsia="fr-FR"/>
        </w:rPr>
      </w:pPr>
      <w:r w:rsidRPr="00A9330B">
        <w:rPr>
          <w:rFonts w:eastAsia="Calibri" w:cs="Arial"/>
          <w:iCs/>
          <w:lang w:eastAsia="fr-FR"/>
        </w:rPr>
        <w:t xml:space="preserve">les terres appartenant à la commune et constituant l’assiette d’un ouvrage prévu aux plans d’aménagement ou d’urbanisme ayant fait l’objet d’une déclaration d’utilité publique et affectées à la réalisation d’un équipement ou service public ; </w:t>
      </w:r>
    </w:p>
    <w:p w14:paraId="628D2EA2" w14:textId="77777777" w:rsidR="006C08BE" w:rsidRPr="00A9330B" w:rsidRDefault="006C08BE" w:rsidP="00BD2F72">
      <w:pPr>
        <w:numPr>
          <w:ilvl w:val="0"/>
          <w:numId w:val="113"/>
        </w:numPr>
        <w:overflowPunct w:val="0"/>
        <w:autoSpaceDE w:val="0"/>
        <w:autoSpaceDN w:val="0"/>
        <w:adjustRightInd w:val="0"/>
        <w:spacing w:line="288" w:lineRule="auto"/>
        <w:contextualSpacing/>
        <w:jc w:val="both"/>
        <w:rPr>
          <w:rFonts w:eastAsia="Calibri" w:cs="Arial"/>
          <w:lang w:eastAsia="fr-FR"/>
        </w:rPr>
      </w:pPr>
      <w:r w:rsidRPr="00A9330B">
        <w:rPr>
          <w:rFonts w:eastAsia="Calibri" w:cs="Arial"/>
          <w:iCs/>
          <w:lang w:eastAsia="fr-FR"/>
        </w:rPr>
        <w:t>tous les autres biens compris dans le domaine public lorsqu’ils ont été transférés à la commune conformément aux dispositions législatives et réglementaires relatives au domaine public</w:t>
      </w:r>
      <w:r w:rsidRPr="00A9330B">
        <w:rPr>
          <w:rFonts w:eastAsia="Calibri" w:cs="Arial"/>
          <w:lang w:eastAsia="fr-FR"/>
        </w:rPr>
        <w:t xml:space="preserve">. </w:t>
      </w:r>
    </w:p>
    <w:p w14:paraId="5D42D8B6" w14:textId="77777777" w:rsidR="006C08BE" w:rsidRPr="00A9330B" w:rsidRDefault="006C08BE" w:rsidP="00BA18AC">
      <w:pPr>
        <w:jc w:val="both"/>
        <w:rPr>
          <w:rFonts w:cs="Arial"/>
          <w:lang w:eastAsia="fr-FR"/>
        </w:rPr>
      </w:pPr>
      <w:r w:rsidRPr="00A9330B">
        <w:rPr>
          <w:rFonts w:cs="Arial"/>
          <w:lang w:eastAsia="fr-FR"/>
        </w:rPr>
        <w:t xml:space="preserve">Par ailleurs, relèvent du domaine privé les biens mobiliers et immobiliers des collectivités publiques qui n’ont pas été rangés dans les dépendances du domaine public. Mais dans la composition du domaine privé, il faut distinguer les biens mobiliers et les biens immobiliers. </w:t>
      </w:r>
    </w:p>
    <w:p w14:paraId="6880B27B" w14:textId="77777777" w:rsidR="006C08BE" w:rsidRPr="00A9330B" w:rsidRDefault="006C08BE" w:rsidP="00BA18AC">
      <w:pPr>
        <w:jc w:val="both"/>
        <w:rPr>
          <w:rFonts w:cs="Arial"/>
          <w:lang w:eastAsia="fr-FR"/>
        </w:rPr>
      </w:pPr>
      <w:r w:rsidRPr="00A9330B">
        <w:rPr>
          <w:rFonts w:cs="Arial"/>
          <w:lang w:eastAsia="fr-FR"/>
        </w:rPr>
        <w:t xml:space="preserve">Ainsi, font partie du domaine privé de la commune : </w:t>
      </w:r>
    </w:p>
    <w:p w14:paraId="2C4BF5E5" w14:textId="77777777" w:rsidR="006C08BE" w:rsidRPr="00A9330B" w:rsidRDefault="006C08BE" w:rsidP="00BD2F72">
      <w:pPr>
        <w:numPr>
          <w:ilvl w:val="0"/>
          <w:numId w:val="114"/>
        </w:numPr>
        <w:overflowPunct w:val="0"/>
        <w:autoSpaceDE w:val="0"/>
        <w:autoSpaceDN w:val="0"/>
        <w:adjustRightInd w:val="0"/>
        <w:spacing w:line="288" w:lineRule="auto"/>
        <w:contextualSpacing/>
        <w:jc w:val="both"/>
        <w:rPr>
          <w:rFonts w:eastAsia="Calibri" w:cs="Arial"/>
          <w:lang w:eastAsia="fr-FR"/>
        </w:rPr>
      </w:pPr>
      <w:r w:rsidRPr="00A9330B">
        <w:rPr>
          <w:rFonts w:eastAsia="Calibri" w:cs="Arial"/>
          <w:lang w:eastAsia="fr-FR"/>
        </w:rPr>
        <w:t xml:space="preserve">les biens immobiliers non affectés à un service public mais que la commune entend garder en propre, en vue d’aménagements ultérieurs tels que les immeubles ou réserves foncières ; </w:t>
      </w:r>
    </w:p>
    <w:p w14:paraId="79252A87" w14:textId="77777777" w:rsidR="006C08BE" w:rsidRPr="00A9330B" w:rsidRDefault="006C08BE" w:rsidP="00BD2F72">
      <w:pPr>
        <w:numPr>
          <w:ilvl w:val="0"/>
          <w:numId w:val="114"/>
        </w:numPr>
        <w:overflowPunct w:val="0"/>
        <w:autoSpaceDE w:val="0"/>
        <w:autoSpaceDN w:val="0"/>
        <w:adjustRightInd w:val="0"/>
        <w:spacing w:line="288" w:lineRule="auto"/>
        <w:contextualSpacing/>
        <w:jc w:val="both"/>
        <w:rPr>
          <w:rFonts w:eastAsia="Calibri" w:cs="Arial"/>
          <w:lang w:eastAsia="fr-FR"/>
        </w:rPr>
      </w:pPr>
      <w:r w:rsidRPr="00A9330B">
        <w:rPr>
          <w:rFonts w:eastAsia="Calibri" w:cs="Arial"/>
          <w:lang w:eastAsia="fr-FR"/>
        </w:rPr>
        <w:t xml:space="preserve">les biens patrimoniaux. </w:t>
      </w:r>
    </w:p>
    <w:p w14:paraId="21DD832B" w14:textId="77777777" w:rsidR="006C08BE" w:rsidRPr="00A9330B" w:rsidRDefault="006C08BE" w:rsidP="00BA18AC">
      <w:pPr>
        <w:jc w:val="both"/>
        <w:rPr>
          <w:color w:val="auto"/>
          <w:lang w:eastAsia="fr-FR"/>
        </w:rPr>
      </w:pPr>
      <w:r w:rsidRPr="00A9330B">
        <w:rPr>
          <w:lang w:eastAsia="fr-FR"/>
        </w:rPr>
        <w:t xml:space="preserve">La gestion du domaine public de la commune à l’instar de celle du domaine public de l’État, est soumise à des règles particulières telles que : i) l’inaliénabilité ; ii) l’imprescriptibilité ; iii) l’obligation d’entretien ; iv) la protection pénale. Le cadre juridique ainsi défini est complété récemment par les dispositions de la </w:t>
      </w:r>
      <w:r w:rsidRPr="00A9330B">
        <w:rPr>
          <w:rFonts w:eastAsia="Calibri"/>
          <w:lang w:eastAsia="fr-FR"/>
        </w:rPr>
        <w:t xml:space="preserve">loi n°2017-17 modifiant et complétant la </w:t>
      </w:r>
      <w:r w:rsidRPr="00A9330B">
        <w:rPr>
          <w:lang w:eastAsia="fr-FR"/>
        </w:rPr>
        <w:t>loi n° 2013-01 du 14 Août 2013 portant code foncier et domanial en République du Bénin.</w:t>
      </w:r>
    </w:p>
    <w:p w14:paraId="49FDC17E" w14:textId="77777777" w:rsidR="006C08BE" w:rsidRPr="00A9330B" w:rsidRDefault="006C08BE" w:rsidP="0064324E">
      <w:pPr>
        <w:pStyle w:val="Titre40"/>
        <w:rPr>
          <w:color w:val="000000" w:themeColor="text1"/>
          <w:lang w:eastAsia="fr-FR"/>
        </w:rPr>
      </w:pPr>
      <w:bookmarkStart w:id="640" w:name="_Toc52869592"/>
      <w:r w:rsidRPr="00A9330B">
        <w:rPr>
          <w:lang w:eastAsia="fr-FR"/>
        </w:rPr>
        <w:t>2.2.2.9. La loi portant code de l’hygiène publique, complétée par son décret d’application N°097 - 616 du 18 décembre 1987 portant code de l’hygiène publique</w:t>
      </w:r>
      <w:bookmarkEnd w:id="638"/>
      <w:bookmarkEnd w:id="640"/>
      <w:r w:rsidRPr="00A9330B">
        <w:rPr>
          <w:lang w:eastAsia="fr-FR"/>
        </w:rPr>
        <w:t xml:space="preserve"> </w:t>
      </w:r>
    </w:p>
    <w:p w14:paraId="26F4D372" w14:textId="77777777" w:rsidR="006C08BE" w:rsidRPr="00A9330B" w:rsidRDefault="006C08BE" w:rsidP="00BA18AC">
      <w:pPr>
        <w:rPr>
          <w:color w:val="auto"/>
          <w:lang w:eastAsia="fr-FR"/>
        </w:rPr>
      </w:pPr>
      <w:r w:rsidRPr="00A9330B">
        <w:rPr>
          <w:lang w:eastAsia="fr-FR"/>
        </w:rPr>
        <w:t xml:space="preserve">La loi portant code de l’hygiène publique, complétée par son décret d’application N° 097-616 du 18 décembre 1987 décrit les règles d’hygiène publique à respecter et sert de base pour la définition des dispositifs à mettre en œuvre dans chaque composante de l’assainissement et l’adoption de comportements adaptés. </w:t>
      </w:r>
    </w:p>
    <w:p w14:paraId="196079A2" w14:textId="77777777" w:rsidR="006C08BE" w:rsidRPr="00A9330B" w:rsidRDefault="006C08BE" w:rsidP="00BA18AC">
      <w:pPr>
        <w:spacing w:after="120"/>
        <w:jc w:val="both"/>
        <w:rPr>
          <w:rFonts w:cs="Arial"/>
          <w:lang w:eastAsia="fr-FR"/>
        </w:rPr>
      </w:pPr>
      <w:r w:rsidRPr="00A9330B">
        <w:rPr>
          <w:rFonts w:cs="Arial"/>
          <w:lang w:eastAsia="fr-FR"/>
        </w:rPr>
        <w:t>Les chapitres concernent :</w:t>
      </w:r>
    </w:p>
    <w:p w14:paraId="2526FEB1" w14:textId="77777777" w:rsidR="006C08BE" w:rsidRPr="00A9330B" w:rsidRDefault="006C08BE" w:rsidP="00BD2F72">
      <w:pPr>
        <w:numPr>
          <w:ilvl w:val="0"/>
          <w:numId w:val="115"/>
        </w:numPr>
        <w:overflowPunct w:val="0"/>
        <w:autoSpaceDE w:val="0"/>
        <w:autoSpaceDN w:val="0"/>
        <w:adjustRightInd w:val="0"/>
        <w:spacing w:line="288" w:lineRule="auto"/>
        <w:contextualSpacing/>
        <w:jc w:val="both"/>
        <w:rPr>
          <w:rFonts w:eastAsia="Calibri" w:cs="Arial"/>
          <w:lang w:eastAsia="fr-FR"/>
        </w:rPr>
      </w:pPr>
      <w:r w:rsidRPr="00A9330B">
        <w:rPr>
          <w:rFonts w:eastAsia="Calibri" w:cs="Arial"/>
          <w:lang w:eastAsia="fr-FR"/>
        </w:rPr>
        <w:t xml:space="preserve">l’hygiène sur les voies publiques ; </w:t>
      </w:r>
    </w:p>
    <w:p w14:paraId="640580AC" w14:textId="77777777" w:rsidR="006C08BE" w:rsidRPr="00A9330B" w:rsidRDefault="006C08BE" w:rsidP="00BD2F72">
      <w:pPr>
        <w:numPr>
          <w:ilvl w:val="0"/>
          <w:numId w:val="115"/>
        </w:numPr>
        <w:overflowPunct w:val="0"/>
        <w:autoSpaceDE w:val="0"/>
        <w:autoSpaceDN w:val="0"/>
        <w:adjustRightInd w:val="0"/>
        <w:spacing w:line="288" w:lineRule="auto"/>
        <w:contextualSpacing/>
        <w:jc w:val="both"/>
        <w:rPr>
          <w:rFonts w:eastAsia="Calibri" w:cs="Arial"/>
          <w:lang w:eastAsia="fr-FR"/>
        </w:rPr>
      </w:pPr>
      <w:r w:rsidRPr="00A9330B">
        <w:rPr>
          <w:rFonts w:eastAsia="Calibri" w:cs="Arial"/>
          <w:lang w:eastAsia="fr-FR"/>
        </w:rPr>
        <w:t xml:space="preserve">l’hygiène des habitations ; </w:t>
      </w:r>
    </w:p>
    <w:p w14:paraId="4226456A" w14:textId="77777777" w:rsidR="006C08BE" w:rsidRPr="00A9330B" w:rsidRDefault="006C08BE" w:rsidP="00BD2F72">
      <w:pPr>
        <w:numPr>
          <w:ilvl w:val="0"/>
          <w:numId w:val="115"/>
        </w:numPr>
        <w:overflowPunct w:val="0"/>
        <w:autoSpaceDE w:val="0"/>
        <w:autoSpaceDN w:val="0"/>
        <w:adjustRightInd w:val="0"/>
        <w:spacing w:line="288" w:lineRule="auto"/>
        <w:contextualSpacing/>
        <w:jc w:val="both"/>
        <w:rPr>
          <w:rFonts w:eastAsia="Calibri" w:cs="Arial"/>
          <w:lang w:eastAsia="fr-FR"/>
        </w:rPr>
      </w:pPr>
      <w:r w:rsidRPr="00A9330B">
        <w:rPr>
          <w:rFonts w:eastAsia="Calibri" w:cs="Arial"/>
          <w:lang w:eastAsia="fr-FR"/>
        </w:rPr>
        <w:t xml:space="preserve">l’hygiène des denrées alimentaires ; </w:t>
      </w:r>
    </w:p>
    <w:p w14:paraId="5141C1CF" w14:textId="77777777" w:rsidR="006C08BE" w:rsidRPr="00A9330B" w:rsidRDefault="006C08BE" w:rsidP="00BD2F72">
      <w:pPr>
        <w:numPr>
          <w:ilvl w:val="0"/>
          <w:numId w:val="115"/>
        </w:numPr>
        <w:overflowPunct w:val="0"/>
        <w:autoSpaceDE w:val="0"/>
        <w:autoSpaceDN w:val="0"/>
        <w:adjustRightInd w:val="0"/>
        <w:spacing w:line="288" w:lineRule="auto"/>
        <w:contextualSpacing/>
        <w:jc w:val="both"/>
        <w:rPr>
          <w:rFonts w:eastAsia="Calibri" w:cs="Arial"/>
          <w:lang w:eastAsia="fr-FR"/>
        </w:rPr>
      </w:pPr>
      <w:r w:rsidRPr="00A9330B">
        <w:rPr>
          <w:rFonts w:eastAsia="Calibri" w:cs="Arial"/>
          <w:lang w:eastAsia="fr-FR"/>
        </w:rPr>
        <w:t xml:space="preserve">l’hygiène des établissements classés, les marchés et activités commerciales en plein air; </w:t>
      </w:r>
    </w:p>
    <w:p w14:paraId="62B4F4EB" w14:textId="77777777" w:rsidR="006C08BE" w:rsidRPr="00A9330B" w:rsidRDefault="006C08BE" w:rsidP="00BD2F72">
      <w:pPr>
        <w:numPr>
          <w:ilvl w:val="0"/>
          <w:numId w:val="115"/>
        </w:numPr>
        <w:overflowPunct w:val="0"/>
        <w:autoSpaceDE w:val="0"/>
        <w:autoSpaceDN w:val="0"/>
        <w:adjustRightInd w:val="0"/>
        <w:spacing w:line="288" w:lineRule="auto"/>
        <w:contextualSpacing/>
        <w:jc w:val="both"/>
        <w:rPr>
          <w:rFonts w:eastAsia="Calibri" w:cs="Arial"/>
          <w:lang w:eastAsia="fr-FR"/>
        </w:rPr>
      </w:pPr>
      <w:r w:rsidRPr="00A9330B">
        <w:rPr>
          <w:rFonts w:eastAsia="Calibri" w:cs="Arial"/>
          <w:lang w:eastAsia="fr-FR"/>
        </w:rPr>
        <w:t xml:space="preserve">l’hygiène des places publiques et des plages ; </w:t>
      </w:r>
    </w:p>
    <w:p w14:paraId="5324C997" w14:textId="77777777" w:rsidR="006C08BE" w:rsidRPr="00A9330B" w:rsidRDefault="006C08BE" w:rsidP="00BD2F72">
      <w:pPr>
        <w:numPr>
          <w:ilvl w:val="0"/>
          <w:numId w:val="115"/>
        </w:numPr>
        <w:overflowPunct w:val="0"/>
        <w:autoSpaceDE w:val="0"/>
        <w:autoSpaceDN w:val="0"/>
        <w:adjustRightInd w:val="0"/>
        <w:spacing w:line="288" w:lineRule="auto"/>
        <w:contextualSpacing/>
        <w:jc w:val="both"/>
        <w:rPr>
          <w:rFonts w:eastAsia="Calibri" w:cs="Arial"/>
          <w:lang w:eastAsia="fr-FR"/>
        </w:rPr>
      </w:pPr>
      <w:r w:rsidRPr="00A9330B">
        <w:rPr>
          <w:rFonts w:eastAsia="Calibri" w:cs="Arial"/>
          <w:lang w:eastAsia="fr-FR"/>
        </w:rPr>
        <w:t xml:space="preserve">l’hygiène de l’eau pour diverses utilisations ; </w:t>
      </w:r>
    </w:p>
    <w:p w14:paraId="4556871D" w14:textId="77777777" w:rsidR="006C08BE" w:rsidRPr="00A9330B" w:rsidRDefault="006C08BE" w:rsidP="00BD2F72">
      <w:pPr>
        <w:numPr>
          <w:ilvl w:val="0"/>
          <w:numId w:val="115"/>
        </w:numPr>
        <w:overflowPunct w:val="0"/>
        <w:autoSpaceDE w:val="0"/>
        <w:autoSpaceDN w:val="0"/>
        <w:adjustRightInd w:val="0"/>
        <w:spacing w:line="288" w:lineRule="auto"/>
        <w:contextualSpacing/>
        <w:jc w:val="both"/>
        <w:rPr>
          <w:rFonts w:eastAsia="Calibri" w:cs="Arial"/>
          <w:lang w:eastAsia="fr-FR"/>
        </w:rPr>
      </w:pPr>
      <w:r w:rsidRPr="00A9330B">
        <w:rPr>
          <w:rFonts w:eastAsia="Calibri" w:cs="Arial"/>
          <w:lang w:eastAsia="fr-FR"/>
        </w:rPr>
        <w:t xml:space="preserve">l’hygiène relative à la lutte contre le bruit et à la pollution du milieu naturel. </w:t>
      </w:r>
    </w:p>
    <w:p w14:paraId="238A3489" w14:textId="77777777" w:rsidR="006C08BE" w:rsidRPr="00A9330B" w:rsidRDefault="006C08BE" w:rsidP="00BA18AC">
      <w:pPr>
        <w:jc w:val="both"/>
        <w:rPr>
          <w:rFonts w:cs="Arial"/>
          <w:lang w:eastAsia="fr-FR"/>
        </w:rPr>
      </w:pPr>
      <w:r w:rsidRPr="00A9330B">
        <w:rPr>
          <w:rFonts w:cs="Arial"/>
          <w:lang w:eastAsia="fr-FR"/>
        </w:rPr>
        <w:t xml:space="preserve">Le code de l’hygiène publique définit les règles en matière de police sanitaire qui peuvent être exercées par des agents du ministère de la Santé ou d’autres agents assermentés et commissionnés pour rechercher et constater les infractions à la législation. Toutefois, seul l’agent de service d’hygiène et d’assainissement compétent ou l’officier de police judiciaire sont habilités à dresser un procès-verbal. </w:t>
      </w:r>
    </w:p>
    <w:p w14:paraId="080E2CD0" w14:textId="77777777" w:rsidR="006C08BE" w:rsidRPr="00A9330B" w:rsidRDefault="006C08BE" w:rsidP="00BA18AC">
      <w:pPr>
        <w:jc w:val="both"/>
        <w:rPr>
          <w:rFonts w:cs="Arial"/>
          <w:lang w:eastAsia="fr-FR"/>
        </w:rPr>
      </w:pPr>
      <w:r w:rsidRPr="00A9330B">
        <w:rPr>
          <w:rFonts w:cs="Arial"/>
          <w:lang w:eastAsia="fr-FR"/>
        </w:rPr>
        <w:t xml:space="preserve">Les poursuites sont exercées par le responsable chargé de l’hygiène et de l’assainissement ou son représentant devant le tribunal. </w:t>
      </w:r>
    </w:p>
    <w:p w14:paraId="18C6768D" w14:textId="77777777" w:rsidR="006C08BE" w:rsidRPr="00A9330B" w:rsidRDefault="006C08BE" w:rsidP="0064324E">
      <w:pPr>
        <w:pStyle w:val="Titre40"/>
        <w:rPr>
          <w:lang w:eastAsia="fr-FR"/>
        </w:rPr>
      </w:pPr>
      <w:bookmarkStart w:id="641" w:name="_Toc45557362"/>
      <w:bookmarkStart w:id="642" w:name="_Toc52869593"/>
      <w:r w:rsidRPr="00A9330B">
        <w:rPr>
          <w:lang w:eastAsia="fr-FR"/>
        </w:rPr>
        <w:lastRenderedPageBreak/>
        <w:t>2.2.2.10. Le décret n°2017-332 du 06 juillet 2017, portant organisation des procédures de l’évaluation environnementale en République du Bénin</w:t>
      </w:r>
      <w:bookmarkEnd w:id="641"/>
      <w:bookmarkEnd w:id="642"/>
    </w:p>
    <w:p w14:paraId="10BEC489" w14:textId="77777777" w:rsidR="006C08BE" w:rsidRPr="00A9330B" w:rsidRDefault="006C08BE" w:rsidP="00BA18AC">
      <w:pPr>
        <w:jc w:val="both"/>
        <w:rPr>
          <w:rFonts w:cs="Arial"/>
          <w:lang w:eastAsia="fr-FR"/>
        </w:rPr>
      </w:pPr>
      <w:r w:rsidRPr="00A9330B">
        <w:rPr>
          <w:rFonts w:cs="Arial"/>
          <w:lang w:eastAsia="fr-FR"/>
        </w:rPr>
        <w:t xml:space="preserve">Ce décret fixe les modalités de mise en œuvre des études environnementales et la procédure qui permet au Ministère en charge de l’Environnement de veiller au respect des normes environnementales, d’exiger des mesures correctives et de prendre des sanctions en cas de non-respect délibéré ou de récidive. </w:t>
      </w:r>
    </w:p>
    <w:p w14:paraId="01866FEC" w14:textId="77777777" w:rsidR="006C08BE" w:rsidRPr="00A9330B" w:rsidRDefault="006C08BE" w:rsidP="00BA18AC">
      <w:pPr>
        <w:jc w:val="both"/>
        <w:rPr>
          <w:rFonts w:cs="Arial"/>
          <w:lang w:eastAsia="fr-FR"/>
        </w:rPr>
      </w:pPr>
      <w:r w:rsidRPr="00A9330B">
        <w:rPr>
          <w:rFonts w:cs="Arial"/>
          <w:lang w:eastAsia="fr-FR"/>
        </w:rPr>
        <w:t xml:space="preserve">Conformément à l’article 24 de ce décret, est soumis à une Étude d’Impact sur l’Environnement (EIE), tout projet dont les activités sont susceptibles d’avoir des impacts sur l’Environnement et dont la localisation des interventions est connue avant autorisation. L’Étude d’Impact sur l’Environnement peut être simplifiée ou approfondie. Le même décret précise entre autre que tout projet dont les activités sont susceptibles de modifier significativement l’environnement est soumis à une EIE approfondie. </w:t>
      </w:r>
    </w:p>
    <w:p w14:paraId="1D807466" w14:textId="77777777" w:rsidR="006C08BE" w:rsidRPr="00A9330B" w:rsidRDefault="006C08BE" w:rsidP="00BA18AC">
      <w:pPr>
        <w:jc w:val="both"/>
        <w:rPr>
          <w:rFonts w:cs="Arial"/>
          <w:lang w:eastAsia="fr-FR"/>
        </w:rPr>
      </w:pPr>
      <w:r w:rsidRPr="00A9330B">
        <w:rPr>
          <w:rFonts w:cs="Arial"/>
          <w:lang w:eastAsia="fr-FR"/>
        </w:rPr>
        <w:t xml:space="preserve">Il en est de même pour tout projet touchant des zones à risques ou des zones écologiquement sensibles. </w:t>
      </w:r>
    </w:p>
    <w:p w14:paraId="63FE215B" w14:textId="77777777" w:rsidR="006C08BE" w:rsidRPr="00A9330B" w:rsidRDefault="006C08BE" w:rsidP="00BA18AC">
      <w:pPr>
        <w:jc w:val="both"/>
        <w:rPr>
          <w:rFonts w:cs="Arial"/>
          <w:lang w:eastAsia="fr-FR"/>
        </w:rPr>
      </w:pPr>
      <w:r w:rsidRPr="00A9330B">
        <w:rPr>
          <w:rFonts w:cs="Arial"/>
          <w:lang w:eastAsia="fr-FR"/>
        </w:rPr>
        <w:t xml:space="preserve">Sont considérées comme zones sensibles entre autres (i) les zones humides : plans et cours d’eau et leurs rivages, régions inondables, régions inondées, marécages, le domaine margino – littoral ; (ii) les agglomérations urbaines notamment les zones résidentielles ; etc. </w:t>
      </w:r>
    </w:p>
    <w:p w14:paraId="27527D29" w14:textId="7C5DF052" w:rsidR="006C08BE" w:rsidRPr="00A9330B" w:rsidRDefault="006C08BE" w:rsidP="0064324E">
      <w:pPr>
        <w:pStyle w:val="Titre40"/>
      </w:pPr>
      <w:bookmarkStart w:id="643" w:name="_Toc52869594"/>
      <w:r w:rsidRPr="00A9330B">
        <w:t>2.2.2.11. Le décret n°2014 - 205 du 13 mars 2014, portant réglementation de la délivrance du permis de construire en République du Bénin</w:t>
      </w:r>
      <w:bookmarkEnd w:id="643"/>
      <w:r w:rsidRPr="00A9330B">
        <w:t xml:space="preserve"> </w:t>
      </w:r>
    </w:p>
    <w:p w14:paraId="229848A4" w14:textId="77777777" w:rsidR="006C08BE" w:rsidRPr="00A9330B" w:rsidRDefault="006C08BE" w:rsidP="00BA18AC">
      <w:pPr>
        <w:jc w:val="both"/>
        <w:rPr>
          <w:rFonts w:cs="Arial"/>
          <w:lang w:eastAsia="fr-FR"/>
        </w:rPr>
      </w:pPr>
      <w:r w:rsidRPr="00A9330B">
        <w:rPr>
          <w:rFonts w:cs="Arial"/>
          <w:lang w:eastAsia="fr-FR"/>
        </w:rPr>
        <w:t xml:space="preserve">Conformément aux dispositions de l’article 4 de ce décret, les règles qui régissent la délivrance du permis de construire sont notamment, celles prescrites par le règlement national d’urbanisme, de construction, les règles de sécurité, le code d’hygiène publique, la loi-cadre sur l’environnement et les règlements contenus dans les documents d’urbanisme régulièrement adoptés. Le même décret précise que quiconque désire entreprendre une construction à quelque usage que ce soit, même ne comportant pas de fondation obtient au préalable un permis de construire. Le permis de construire est également exigible lorsque les travaux à exécuter sur une construction existante ont pour effet d’en changer la destination, d’en modifier le volume ou la structure ou de créer des niveaux supplémentaires. </w:t>
      </w:r>
    </w:p>
    <w:p w14:paraId="47277EA4" w14:textId="77777777" w:rsidR="006C08BE" w:rsidRPr="00A9330B" w:rsidRDefault="006C08BE" w:rsidP="00BA18AC">
      <w:pPr>
        <w:spacing w:after="120"/>
        <w:jc w:val="both"/>
        <w:rPr>
          <w:rFonts w:cs="Arial"/>
          <w:lang w:eastAsia="fr-FR"/>
        </w:rPr>
      </w:pPr>
      <w:r w:rsidRPr="00A9330B">
        <w:rPr>
          <w:rFonts w:cs="Arial"/>
          <w:lang w:eastAsia="fr-FR"/>
        </w:rPr>
        <w:t xml:space="preserve">Il est indiqué par ailleurs dans ce décret que quiconque désire entreprendre ou modifier une construction de quelque nature que ce soit est tenu d’obtenir un certificat d’urbanisme. Ce dernier est facultatif pour les constructions situées dans des zones couvertes par un document d’urbanisme régulièrement approuvé. Le certificat d’urbanisme précise les conditions générales d’utilisation du terrain, la densité de construction admise au vu d’un dossier comprenant les pièces suivantes : </w:t>
      </w:r>
    </w:p>
    <w:p w14:paraId="513222DB" w14:textId="77777777" w:rsidR="006C08BE" w:rsidRPr="00A9330B" w:rsidRDefault="006C08BE" w:rsidP="00BD2F72">
      <w:pPr>
        <w:numPr>
          <w:ilvl w:val="0"/>
          <w:numId w:val="116"/>
        </w:numPr>
        <w:overflowPunct w:val="0"/>
        <w:autoSpaceDE w:val="0"/>
        <w:autoSpaceDN w:val="0"/>
        <w:adjustRightInd w:val="0"/>
        <w:spacing w:line="288" w:lineRule="auto"/>
        <w:contextualSpacing/>
        <w:jc w:val="both"/>
        <w:rPr>
          <w:rFonts w:eastAsia="Calibri" w:cs="Arial"/>
          <w:lang w:eastAsia="fr-FR"/>
        </w:rPr>
      </w:pPr>
      <w:r w:rsidRPr="00A9330B">
        <w:rPr>
          <w:rFonts w:eastAsia="Calibri" w:cs="Arial"/>
          <w:lang w:eastAsia="fr-FR"/>
        </w:rPr>
        <w:t xml:space="preserve">un plan de situation indiquant la position du terrain dans son environnement à l’échelle 1/10000ème ou 1/5000ème ou 1/2000ème ; </w:t>
      </w:r>
    </w:p>
    <w:p w14:paraId="0B701E21" w14:textId="77777777" w:rsidR="006C08BE" w:rsidRPr="00A9330B" w:rsidRDefault="006C08BE" w:rsidP="00BD2F72">
      <w:pPr>
        <w:numPr>
          <w:ilvl w:val="0"/>
          <w:numId w:val="116"/>
        </w:numPr>
        <w:overflowPunct w:val="0"/>
        <w:autoSpaceDE w:val="0"/>
        <w:autoSpaceDN w:val="0"/>
        <w:adjustRightInd w:val="0"/>
        <w:spacing w:line="288" w:lineRule="auto"/>
        <w:contextualSpacing/>
        <w:jc w:val="both"/>
        <w:rPr>
          <w:rFonts w:eastAsia="Calibri" w:cs="Arial"/>
          <w:lang w:eastAsia="fr-FR"/>
        </w:rPr>
      </w:pPr>
      <w:r w:rsidRPr="00A9330B">
        <w:rPr>
          <w:rFonts w:eastAsia="Calibri" w:cs="Arial"/>
          <w:lang w:eastAsia="fr-FR"/>
        </w:rPr>
        <w:t xml:space="preserve">un levé topographique du terrain réalisé et signé par un géomètre expert ; </w:t>
      </w:r>
    </w:p>
    <w:p w14:paraId="6740810C" w14:textId="77777777" w:rsidR="006C08BE" w:rsidRPr="00A9330B" w:rsidRDefault="006C08BE" w:rsidP="00BD2F72">
      <w:pPr>
        <w:numPr>
          <w:ilvl w:val="0"/>
          <w:numId w:val="116"/>
        </w:numPr>
        <w:overflowPunct w:val="0"/>
        <w:autoSpaceDE w:val="0"/>
        <w:autoSpaceDN w:val="0"/>
        <w:adjustRightInd w:val="0"/>
        <w:spacing w:line="288" w:lineRule="auto"/>
        <w:contextualSpacing/>
        <w:jc w:val="both"/>
        <w:rPr>
          <w:rFonts w:eastAsia="Calibri" w:cs="Arial"/>
          <w:lang w:eastAsia="fr-FR"/>
        </w:rPr>
      </w:pPr>
      <w:r w:rsidRPr="00A9330B">
        <w:rPr>
          <w:rFonts w:eastAsia="Calibri" w:cs="Arial"/>
          <w:lang w:eastAsia="fr-FR"/>
        </w:rPr>
        <w:t xml:space="preserve">une indication de la destination de la construction envisagée (habitation, commerce, industrie) ; </w:t>
      </w:r>
    </w:p>
    <w:p w14:paraId="30A397E1" w14:textId="77777777" w:rsidR="006C08BE" w:rsidRPr="00A9330B" w:rsidRDefault="006C08BE" w:rsidP="00BD2F72">
      <w:pPr>
        <w:numPr>
          <w:ilvl w:val="0"/>
          <w:numId w:val="116"/>
        </w:numPr>
        <w:overflowPunct w:val="0"/>
        <w:autoSpaceDE w:val="0"/>
        <w:autoSpaceDN w:val="0"/>
        <w:adjustRightInd w:val="0"/>
        <w:spacing w:line="288" w:lineRule="auto"/>
        <w:contextualSpacing/>
        <w:jc w:val="both"/>
        <w:rPr>
          <w:rFonts w:eastAsia="Calibri" w:cs="Arial"/>
          <w:lang w:eastAsia="fr-FR"/>
        </w:rPr>
      </w:pPr>
      <w:r w:rsidRPr="00A9330B">
        <w:rPr>
          <w:rFonts w:eastAsia="Calibri" w:cs="Arial"/>
          <w:lang w:eastAsia="fr-FR"/>
        </w:rPr>
        <w:t xml:space="preserve">le certificat d’urbanisme est délivré gratuitement par le Maire lorsque le site d’implantation est couvert par un document d’urbanisme régulièrement approuvé. Il est délivré conformément aux règles et documents d’urbanisme en vigueur et ne préjuge nullement de l’octroi ou du refus du permis de construire. </w:t>
      </w:r>
    </w:p>
    <w:p w14:paraId="0F066982" w14:textId="77777777" w:rsidR="006C08BE" w:rsidRPr="00A9330B" w:rsidRDefault="006C08BE" w:rsidP="00BA18AC">
      <w:pPr>
        <w:jc w:val="both"/>
        <w:rPr>
          <w:rFonts w:cs="Arial"/>
          <w:lang w:eastAsia="fr-FR"/>
        </w:rPr>
      </w:pPr>
      <w:r w:rsidRPr="00A9330B">
        <w:rPr>
          <w:rFonts w:cs="Arial"/>
          <w:lang w:eastAsia="fr-FR"/>
        </w:rPr>
        <w:lastRenderedPageBreak/>
        <w:t xml:space="preserve">Lorsque le site n’est pas couvert par un document d’urbanisme régulièrement approuvé, le certificat d’urbanisme est délivré gratuitement par le directeur départemental chargé de l’urbanisme. </w:t>
      </w:r>
    </w:p>
    <w:p w14:paraId="040A60BE" w14:textId="77777777" w:rsidR="006C08BE" w:rsidRPr="00A9330B" w:rsidRDefault="006C08BE" w:rsidP="00BA18AC">
      <w:pPr>
        <w:jc w:val="both"/>
        <w:rPr>
          <w:rFonts w:cs="Arial"/>
          <w:lang w:eastAsia="fr-FR"/>
        </w:rPr>
      </w:pPr>
      <w:r w:rsidRPr="00A9330B">
        <w:rPr>
          <w:rFonts w:cs="Arial"/>
          <w:lang w:eastAsia="fr-FR"/>
        </w:rPr>
        <w:t xml:space="preserve">La demande de permis de construire est adressée en six (06) exemplaires au Maire de la Commune concernée quelle que soit la nature et l’importance du projet. </w:t>
      </w:r>
    </w:p>
    <w:p w14:paraId="1D2E1B90" w14:textId="77777777" w:rsidR="006C08BE" w:rsidRPr="00A9330B" w:rsidRDefault="006C08BE" w:rsidP="00BA18AC">
      <w:pPr>
        <w:spacing w:after="120"/>
        <w:jc w:val="both"/>
        <w:rPr>
          <w:rFonts w:cs="Arial"/>
          <w:lang w:eastAsia="fr-FR"/>
        </w:rPr>
      </w:pPr>
      <w:r w:rsidRPr="00A9330B">
        <w:rPr>
          <w:rFonts w:cs="Arial"/>
          <w:lang w:eastAsia="fr-FR"/>
        </w:rPr>
        <w:t xml:space="preserve">Le dossier de demande de permis de construire comporte les pièces suivantes : </w:t>
      </w:r>
    </w:p>
    <w:p w14:paraId="0CE4222E" w14:textId="77777777" w:rsidR="006C08BE" w:rsidRPr="00A9330B" w:rsidRDefault="006C08BE" w:rsidP="00BD2F72">
      <w:pPr>
        <w:numPr>
          <w:ilvl w:val="0"/>
          <w:numId w:val="117"/>
        </w:numPr>
        <w:overflowPunct w:val="0"/>
        <w:autoSpaceDE w:val="0"/>
        <w:autoSpaceDN w:val="0"/>
        <w:adjustRightInd w:val="0"/>
        <w:spacing w:line="288" w:lineRule="auto"/>
        <w:contextualSpacing/>
        <w:jc w:val="both"/>
        <w:rPr>
          <w:rFonts w:eastAsia="Calibri" w:cs="Arial"/>
          <w:lang w:eastAsia="fr-FR"/>
        </w:rPr>
      </w:pPr>
      <w:r w:rsidRPr="00A9330B">
        <w:rPr>
          <w:rFonts w:eastAsia="Calibri" w:cs="Arial"/>
          <w:lang w:eastAsia="fr-FR"/>
        </w:rPr>
        <w:t xml:space="preserve">un formulaire administratif précisant l’identité et la qualité du demandeur, la situation et la superficie du terrain, la destination de la construction ou des installations, son emprise au sol, la surface de plancher ; </w:t>
      </w:r>
    </w:p>
    <w:p w14:paraId="27000166" w14:textId="77777777" w:rsidR="006C08BE" w:rsidRPr="00A9330B" w:rsidRDefault="006C08BE" w:rsidP="00BD2F72">
      <w:pPr>
        <w:numPr>
          <w:ilvl w:val="0"/>
          <w:numId w:val="117"/>
        </w:numPr>
        <w:overflowPunct w:val="0"/>
        <w:autoSpaceDE w:val="0"/>
        <w:autoSpaceDN w:val="0"/>
        <w:adjustRightInd w:val="0"/>
        <w:spacing w:line="288" w:lineRule="auto"/>
        <w:contextualSpacing/>
        <w:jc w:val="both"/>
        <w:rPr>
          <w:rFonts w:eastAsia="Calibri" w:cs="Arial"/>
          <w:lang w:eastAsia="fr-FR"/>
        </w:rPr>
      </w:pPr>
      <w:r w:rsidRPr="00A9330B">
        <w:rPr>
          <w:rFonts w:eastAsia="Calibri" w:cs="Arial"/>
          <w:lang w:eastAsia="fr-FR"/>
        </w:rPr>
        <w:t xml:space="preserve">un titre de propriété ou un acte notarié donnant mandat au demandeur ; </w:t>
      </w:r>
    </w:p>
    <w:p w14:paraId="464272DB" w14:textId="77777777" w:rsidR="006C08BE" w:rsidRPr="00A9330B" w:rsidRDefault="006C08BE" w:rsidP="00BD2F72">
      <w:pPr>
        <w:numPr>
          <w:ilvl w:val="0"/>
          <w:numId w:val="117"/>
        </w:numPr>
        <w:overflowPunct w:val="0"/>
        <w:autoSpaceDE w:val="0"/>
        <w:autoSpaceDN w:val="0"/>
        <w:adjustRightInd w:val="0"/>
        <w:spacing w:line="288" w:lineRule="auto"/>
        <w:contextualSpacing/>
        <w:jc w:val="both"/>
        <w:rPr>
          <w:rFonts w:eastAsia="Calibri" w:cs="Arial"/>
          <w:lang w:eastAsia="fr-FR"/>
        </w:rPr>
      </w:pPr>
      <w:r w:rsidRPr="00A9330B">
        <w:rPr>
          <w:rFonts w:eastAsia="Calibri" w:cs="Arial"/>
          <w:lang w:eastAsia="fr-FR"/>
        </w:rPr>
        <w:t xml:space="preserve">un certificat d’urbanisme délivré par les services compétents lorsque nécessaire ; </w:t>
      </w:r>
    </w:p>
    <w:p w14:paraId="7E3D1C5D" w14:textId="77777777" w:rsidR="006C08BE" w:rsidRPr="00A9330B" w:rsidRDefault="006C08BE" w:rsidP="00BD2F72">
      <w:pPr>
        <w:numPr>
          <w:ilvl w:val="0"/>
          <w:numId w:val="117"/>
        </w:numPr>
        <w:overflowPunct w:val="0"/>
        <w:autoSpaceDE w:val="0"/>
        <w:autoSpaceDN w:val="0"/>
        <w:adjustRightInd w:val="0"/>
        <w:spacing w:line="288" w:lineRule="auto"/>
        <w:contextualSpacing/>
        <w:jc w:val="both"/>
        <w:rPr>
          <w:rFonts w:eastAsia="Calibri" w:cs="Arial"/>
          <w:lang w:eastAsia="fr-FR"/>
        </w:rPr>
      </w:pPr>
      <w:r w:rsidRPr="00A9330B">
        <w:rPr>
          <w:rFonts w:eastAsia="Calibri" w:cs="Arial"/>
          <w:lang w:eastAsia="fr-FR"/>
        </w:rPr>
        <w:t xml:space="preserve">un devis descriptif indiquant les caractéristiques du projet, les matériaux prévus avec indications des matériaux locaux, leur mise en œuvre et l’aspect extérieur de la construction ; </w:t>
      </w:r>
    </w:p>
    <w:p w14:paraId="09760FB4" w14:textId="77777777" w:rsidR="006C08BE" w:rsidRPr="00A9330B" w:rsidRDefault="006C08BE" w:rsidP="00BD2F72">
      <w:pPr>
        <w:numPr>
          <w:ilvl w:val="0"/>
          <w:numId w:val="117"/>
        </w:numPr>
        <w:overflowPunct w:val="0"/>
        <w:autoSpaceDE w:val="0"/>
        <w:autoSpaceDN w:val="0"/>
        <w:adjustRightInd w:val="0"/>
        <w:spacing w:line="288" w:lineRule="auto"/>
        <w:contextualSpacing/>
        <w:jc w:val="both"/>
        <w:rPr>
          <w:rFonts w:eastAsia="Calibri" w:cs="Arial"/>
          <w:lang w:eastAsia="fr-FR"/>
        </w:rPr>
      </w:pPr>
      <w:r w:rsidRPr="00A9330B">
        <w:rPr>
          <w:rFonts w:eastAsia="Calibri" w:cs="Arial"/>
          <w:lang w:eastAsia="fr-FR"/>
        </w:rPr>
        <w:t xml:space="preserve">un devis estimatif de la construction envisagée ; </w:t>
      </w:r>
    </w:p>
    <w:p w14:paraId="11451FDF" w14:textId="77777777" w:rsidR="006C08BE" w:rsidRPr="00A9330B" w:rsidRDefault="006C08BE" w:rsidP="00BD2F72">
      <w:pPr>
        <w:numPr>
          <w:ilvl w:val="0"/>
          <w:numId w:val="117"/>
        </w:numPr>
        <w:overflowPunct w:val="0"/>
        <w:autoSpaceDE w:val="0"/>
        <w:autoSpaceDN w:val="0"/>
        <w:adjustRightInd w:val="0"/>
        <w:spacing w:line="288" w:lineRule="auto"/>
        <w:contextualSpacing/>
        <w:jc w:val="both"/>
        <w:rPr>
          <w:rFonts w:eastAsia="Calibri" w:cs="Arial"/>
          <w:lang w:eastAsia="fr-FR"/>
        </w:rPr>
      </w:pPr>
      <w:r w:rsidRPr="00A9330B">
        <w:rPr>
          <w:rFonts w:eastAsia="Calibri" w:cs="Arial"/>
          <w:lang w:eastAsia="fr-FR"/>
        </w:rPr>
        <w:t xml:space="preserve">un rapport d’étude de sols réalisé et signé par un laboratoire agréé ; </w:t>
      </w:r>
    </w:p>
    <w:p w14:paraId="23E45953" w14:textId="77777777" w:rsidR="006C08BE" w:rsidRPr="00A9330B" w:rsidRDefault="006C08BE" w:rsidP="00BD2F72">
      <w:pPr>
        <w:numPr>
          <w:ilvl w:val="0"/>
          <w:numId w:val="117"/>
        </w:numPr>
        <w:overflowPunct w:val="0"/>
        <w:autoSpaceDE w:val="0"/>
        <w:autoSpaceDN w:val="0"/>
        <w:adjustRightInd w:val="0"/>
        <w:spacing w:line="288" w:lineRule="auto"/>
        <w:contextualSpacing/>
        <w:jc w:val="both"/>
        <w:rPr>
          <w:rFonts w:eastAsia="Calibri" w:cs="Arial"/>
          <w:lang w:eastAsia="fr-FR"/>
        </w:rPr>
      </w:pPr>
      <w:r w:rsidRPr="00A9330B">
        <w:rPr>
          <w:rFonts w:eastAsia="Calibri" w:cs="Arial"/>
          <w:lang w:eastAsia="fr-FR"/>
        </w:rPr>
        <w:t xml:space="preserve">les notes de calcul des structures réalisées et signées par un ingénieur en génie civil ; </w:t>
      </w:r>
    </w:p>
    <w:p w14:paraId="0A43782F" w14:textId="77777777" w:rsidR="006C08BE" w:rsidRPr="00A9330B" w:rsidRDefault="006C08BE" w:rsidP="00BD2F72">
      <w:pPr>
        <w:numPr>
          <w:ilvl w:val="0"/>
          <w:numId w:val="117"/>
        </w:numPr>
        <w:overflowPunct w:val="0"/>
        <w:autoSpaceDE w:val="0"/>
        <w:autoSpaceDN w:val="0"/>
        <w:adjustRightInd w:val="0"/>
        <w:spacing w:line="288" w:lineRule="auto"/>
        <w:contextualSpacing/>
        <w:jc w:val="both"/>
        <w:rPr>
          <w:rFonts w:eastAsia="Calibri" w:cs="Arial"/>
          <w:lang w:eastAsia="fr-FR"/>
        </w:rPr>
      </w:pPr>
      <w:r w:rsidRPr="00A9330B">
        <w:rPr>
          <w:rFonts w:eastAsia="Calibri" w:cs="Arial"/>
          <w:lang w:eastAsia="fr-FR"/>
        </w:rPr>
        <w:t xml:space="preserve">le rapport sur l’étude de sécurité –incendie et risques de panique ; </w:t>
      </w:r>
    </w:p>
    <w:p w14:paraId="59664AEF" w14:textId="77777777" w:rsidR="006C08BE" w:rsidRPr="00A9330B" w:rsidRDefault="006C08BE" w:rsidP="00BD2F72">
      <w:pPr>
        <w:numPr>
          <w:ilvl w:val="0"/>
          <w:numId w:val="117"/>
        </w:numPr>
        <w:overflowPunct w:val="0"/>
        <w:autoSpaceDE w:val="0"/>
        <w:autoSpaceDN w:val="0"/>
        <w:adjustRightInd w:val="0"/>
        <w:spacing w:line="288" w:lineRule="auto"/>
        <w:contextualSpacing/>
        <w:jc w:val="both"/>
        <w:rPr>
          <w:rFonts w:eastAsia="Calibri" w:cs="Arial"/>
          <w:lang w:eastAsia="fr-FR"/>
        </w:rPr>
      </w:pPr>
      <w:r w:rsidRPr="00A9330B">
        <w:rPr>
          <w:rFonts w:eastAsia="Calibri" w:cs="Arial"/>
          <w:lang w:eastAsia="fr-FR"/>
        </w:rPr>
        <w:t xml:space="preserve">la description des facilités offertes aux personnes à mobilité réduite ; </w:t>
      </w:r>
    </w:p>
    <w:p w14:paraId="4455A4F1" w14:textId="77777777" w:rsidR="006C08BE" w:rsidRPr="00A9330B" w:rsidRDefault="006C08BE" w:rsidP="00BD2F72">
      <w:pPr>
        <w:numPr>
          <w:ilvl w:val="0"/>
          <w:numId w:val="117"/>
        </w:numPr>
        <w:overflowPunct w:val="0"/>
        <w:autoSpaceDE w:val="0"/>
        <w:autoSpaceDN w:val="0"/>
        <w:adjustRightInd w:val="0"/>
        <w:spacing w:line="288" w:lineRule="auto"/>
        <w:contextualSpacing/>
        <w:jc w:val="both"/>
        <w:rPr>
          <w:rFonts w:eastAsia="Calibri" w:cs="Arial"/>
          <w:lang w:eastAsia="fr-FR"/>
        </w:rPr>
      </w:pPr>
      <w:r w:rsidRPr="00A9330B">
        <w:rPr>
          <w:rFonts w:eastAsia="Calibri" w:cs="Arial"/>
          <w:lang w:eastAsia="fr-FR"/>
        </w:rPr>
        <w:t xml:space="preserve">un plan de situation du terrain à l’échelle 1/2000 ou 1/5000 ou 1/10000 indiquant clairement la localisation et la desserte des constructions envisagées ; </w:t>
      </w:r>
    </w:p>
    <w:p w14:paraId="24A57D88" w14:textId="77777777" w:rsidR="006C08BE" w:rsidRPr="00A9330B" w:rsidRDefault="006C08BE" w:rsidP="00BD2F72">
      <w:pPr>
        <w:numPr>
          <w:ilvl w:val="0"/>
          <w:numId w:val="117"/>
        </w:numPr>
        <w:overflowPunct w:val="0"/>
        <w:autoSpaceDE w:val="0"/>
        <w:autoSpaceDN w:val="0"/>
        <w:adjustRightInd w:val="0"/>
        <w:spacing w:line="288" w:lineRule="auto"/>
        <w:contextualSpacing/>
        <w:jc w:val="both"/>
        <w:rPr>
          <w:rFonts w:eastAsia="Calibri" w:cs="Arial"/>
          <w:lang w:eastAsia="fr-FR"/>
        </w:rPr>
      </w:pPr>
      <w:r w:rsidRPr="00A9330B">
        <w:rPr>
          <w:rFonts w:eastAsia="Calibri" w:cs="Arial"/>
          <w:lang w:eastAsia="fr-FR"/>
        </w:rPr>
        <w:t xml:space="preserve">etc. </w:t>
      </w:r>
    </w:p>
    <w:p w14:paraId="7BCD84EC" w14:textId="77777777" w:rsidR="006C08BE" w:rsidRPr="00A9330B" w:rsidRDefault="006C08BE" w:rsidP="00BA18AC">
      <w:pPr>
        <w:jc w:val="both"/>
        <w:rPr>
          <w:rFonts w:cs="Arial"/>
          <w:lang w:eastAsia="fr-FR"/>
        </w:rPr>
      </w:pPr>
      <w:r w:rsidRPr="00A9330B">
        <w:rPr>
          <w:rFonts w:cs="Arial"/>
          <w:lang w:eastAsia="fr-FR"/>
        </w:rPr>
        <w:t xml:space="preserve">La demande de permis de construire n’est instruite que si le projet de construction envisagé est élaboré et signé par un architecte. </w:t>
      </w:r>
    </w:p>
    <w:p w14:paraId="16714C9F" w14:textId="77777777" w:rsidR="006C08BE" w:rsidRPr="00A9330B" w:rsidRDefault="006C08BE" w:rsidP="0064324E">
      <w:pPr>
        <w:pStyle w:val="Titre40"/>
        <w:rPr>
          <w:lang w:eastAsia="fr-FR"/>
        </w:rPr>
      </w:pPr>
      <w:bookmarkStart w:id="644" w:name="_Toc45557363"/>
      <w:bookmarkStart w:id="645" w:name="_Toc52869595"/>
      <w:r w:rsidRPr="00A9330B">
        <w:rPr>
          <w:lang w:eastAsia="fr-FR"/>
        </w:rPr>
        <w:t>2.2.2.12. Le décret n°2003-332 du 27 août 2003, portant gestion des déchets en République du Bénin</w:t>
      </w:r>
      <w:bookmarkEnd w:id="644"/>
      <w:bookmarkEnd w:id="645"/>
      <w:r w:rsidRPr="00A9330B">
        <w:rPr>
          <w:lang w:eastAsia="fr-FR"/>
        </w:rPr>
        <w:t xml:space="preserve"> </w:t>
      </w:r>
    </w:p>
    <w:p w14:paraId="13951F0B" w14:textId="77777777" w:rsidR="006C08BE" w:rsidRPr="00A9330B" w:rsidRDefault="006C08BE" w:rsidP="00BA18AC">
      <w:pPr>
        <w:spacing w:after="120"/>
        <w:jc w:val="both"/>
        <w:rPr>
          <w:rFonts w:cs="Arial"/>
        </w:rPr>
      </w:pPr>
      <w:r w:rsidRPr="00A9330B">
        <w:rPr>
          <w:rFonts w:cs="Arial"/>
        </w:rPr>
        <w:t>Il a pour objet de protéger l’environnement et la santé de l’homme de toute influence dommageable causée par les déchets. Il vise essentiellement à :</w:t>
      </w:r>
    </w:p>
    <w:p w14:paraId="5AD4B413" w14:textId="77777777" w:rsidR="006C08BE" w:rsidRPr="00A9330B" w:rsidRDefault="006C08BE" w:rsidP="00BD2F72">
      <w:pPr>
        <w:numPr>
          <w:ilvl w:val="0"/>
          <w:numId w:val="118"/>
        </w:numPr>
        <w:overflowPunct w:val="0"/>
        <w:autoSpaceDE w:val="0"/>
        <w:autoSpaceDN w:val="0"/>
        <w:adjustRightInd w:val="0"/>
        <w:spacing w:line="288" w:lineRule="auto"/>
        <w:contextualSpacing/>
        <w:jc w:val="both"/>
        <w:rPr>
          <w:rFonts w:eastAsia="Calibri" w:cs="Arial"/>
          <w:lang w:eastAsia="de-DE"/>
        </w:rPr>
      </w:pPr>
      <w:r w:rsidRPr="00A9330B">
        <w:rPr>
          <w:rFonts w:eastAsia="Calibri" w:cs="Arial"/>
          <w:lang w:eastAsia="de-DE"/>
        </w:rPr>
        <w:t>prévenir ou réduire la production de déchets et leur nocivité ;</w:t>
      </w:r>
    </w:p>
    <w:p w14:paraId="2D0D16E5" w14:textId="77777777" w:rsidR="006C08BE" w:rsidRPr="00A9330B" w:rsidRDefault="006C08BE" w:rsidP="00BD2F72">
      <w:pPr>
        <w:numPr>
          <w:ilvl w:val="0"/>
          <w:numId w:val="118"/>
        </w:numPr>
        <w:overflowPunct w:val="0"/>
        <w:autoSpaceDE w:val="0"/>
        <w:autoSpaceDN w:val="0"/>
        <w:adjustRightInd w:val="0"/>
        <w:spacing w:line="288" w:lineRule="auto"/>
        <w:contextualSpacing/>
        <w:jc w:val="both"/>
        <w:rPr>
          <w:rFonts w:eastAsia="Calibri" w:cs="Arial"/>
          <w:lang w:eastAsia="de-DE"/>
        </w:rPr>
      </w:pPr>
      <w:r w:rsidRPr="00A9330B">
        <w:rPr>
          <w:rFonts w:eastAsia="Calibri" w:cs="Arial"/>
          <w:lang w:eastAsia="de-DE"/>
        </w:rPr>
        <w:t xml:space="preserve">promouvoir la valorisation des déchets notamment par recyclage, réemploi, récupération, utilisation comme source d’énergie ; </w:t>
      </w:r>
    </w:p>
    <w:p w14:paraId="6A34086F" w14:textId="77777777" w:rsidR="006C08BE" w:rsidRPr="00A9330B" w:rsidRDefault="006C08BE" w:rsidP="00BD2F72">
      <w:pPr>
        <w:numPr>
          <w:ilvl w:val="0"/>
          <w:numId w:val="118"/>
        </w:numPr>
        <w:overflowPunct w:val="0"/>
        <w:autoSpaceDE w:val="0"/>
        <w:autoSpaceDN w:val="0"/>
        <w:adjustRightInd w:val="0"/>
        <w:spacing w:line="288" w:lineRule="auto"/>
        <w:contextualSpacing/>
        <w:jc w:val="both"/>
        <w:rPr>
          <w:rFonts w:eastAsia="Calibri" w:cs="Arial"/>
          <w:lang w:eastAsia="de-DE"/>
        </w:rPr>
      </w:pPr>
      <w:r w:rsidRPr="00A9330B">
        <w:rPr>
          <w:rFonts w:eastAsia="Calibri" w:cs="Arial"/>
          <w:lang w:eastAsia="de-DE"/>
        </w:rPr>
        <w:t xml:space="preserve">organiser l’élimination des déchets ; </w:t>
      </w:r>
    </w:p>
    <w:p w14:paraId="693481D5" w14:textId="77777777" w:rsidR="006C08BE" w:rsidRPr="00A9330B" w:rsidRDefault="006C08BE" w:rsidP="00BD2F72">
      <w:pPr>
        <w:numPr>
          <w:ilvl w:val="0"/>
          <w:numId w:val="118"/>
        </w:numPr>
        <w:overflowPunct w:val="0"/>
        <w:autoSpaceDE w:val="0"/>
        <w:autoSpaceDN w:val="0"/>
        <w:adjustRightInd w:val="0"/>
        <w:spacing w:line="288" w:lineRule="auto"/>
        <w:contextualSpacing/>
        <w:jc w:val="both"/>
        <w:rPr>
          <w:rFonts w:eastAsia="Calibri" w:cs="Arial"/>
          <w:lang w:eastAsia="de-DE"/>
        </w:rPr>
      </w:pPr>
      <w:r w:rsidRPr="00A9330B">
        <w:rPr>
          <w:rFonts w:eastAsia="Calibri" w:cs="Arial"/>
          <w:lang w:eastAsia="de-DE"/>
        </w:rPr>
        <w:t xml:space="preserve">assurer la remise en état des sites. </w:t>
      </w:r>
    </w:p>
    <w:p w14:paraId="1E65BDB8" w14:textId="6F2DA7EB" w:rsidR="006C08BE" w:rsidRPr="00A9330B" w:rsidRDefault="006C08BE" w:rsidP="00BA18AC">
      <w:pPr>
        <w:jc w:val="both"/>
        <w:rPr>
          <w:rFonts w:cs="Arial"/>
        </w:rPr>
      </w:pPr>
      <w:r w:rsidRPr="00A9330B">
        <w:rPr>
          <w:rFonts w:cs="Arial"/>
        </w:rPr>
        <w:t xml:space="preserve">La responsabilité des producteurs de déchets est définie en son article 9 : “toute personne qui produit ou détient des déchets est tenue d’en assurer ou d’en faire assurer la gestion dans des conditions propres à limiter les effets négatifs sur les eaux, l’air, le sol, la flore, la faune, à éviter les incommodités dues au bruit et aux odeurs et d’une façon générale, à ne porter atteinte ni à l’environnement, ni à la santé de l’homme”. </w:t>
      </w:r>
    </w:p>
    <w:p w14:paraId="402C008E" w14:textId="77777777" w:rsidR="006C08BE" w:rsidRPr="00A9330B" w:rsidRDefault="006C08BE" w:rsidP="0064324E">
      <w:pPr>
        <w:pStyle w:val="Titre40"/>
        <w:rPr>
          <w:lang w:eastAsia="fr-FR"/>
        </w:rPr>
      </w:pPr>
      <w:bookmarkStart w:id="646" w:name="_Toc52869596"/>
      <w:r w:rsidRPr="00A9330B">
        <w:rPr>
          <w:lang w:eastAsia="fr-FR"/>
        </w:rPr>
        <w:t>2.2.2.13. Le décret n°2003</w:t>
      </w:r>
      <w:r w:rsidRPr="00A9330B">
        <w:rPr>
          <w:rFonts w:ascii="Cambria Math" w:hAnsi="Cambria Math" w:cs="Cambria Math"/>
          <w:lang w:eastAsia="fr-FR"/>
        </w:rPr>
        <w:t>‐</w:t>
      </w:r>
      <w:r w:rsidRPr="00A9330B">
        <w:rPr>
          <w:lang w:eastAsia="fr-FR"/>
        </w:rPr>
        <w:t>330 du 27 aout 2003 portant gestion des huiles usagées en République du Bénin</w:t>
      </w:r>
      <w:bookmarkEnd w:id="646"/>
      <w:r w:rsidRPr="00A9330B">
        <w:rPr>
          <w:lang w:eastAsia="fr-FR"/>
        </w:rPr>
        <w:t xml:space="preserve"> </w:t>
      </w:r>
    </w:p>
    <w:p w14:paraId="731E10B7" w14:textId="77777777" w:rsidR="006C08BE" w:rsidRPr="00A9330B" w:rsidRDefault="006C08BE" w:rsidP="005A2696">
      <w:pPr>
        <w:jc w:val="both"/>
        <w:rPr>
          <w:rFonts w:cs="Arial"/>
          <w:lang w:eastAsia="fr-FR"/>
        </w:rPr>
      </w:pPr>
      <w:r w:rsidRPr="00A9330B">
        <w:rPr>
          <w:rFonts w:cs="Arial"/>
          <w:lang w:eastAsia="fr-FR"/>
        </w:rPr>
        <w:t xml:space="preserve">Ce décret fixe les modalités de collecte, de transport, de regroupement, de prétraitement, d’élimination ou de valorisation des huiles usagées en République du Bénin. </w:t>
      </w:r>
    </w:p>
    <w:p w14:paraId="6374211B" w14:textId="77777777" w:rsidR="006C08BE" w:rsidRPr="00A9330B" w:rsidRDefault="006C08BE">
      <w:pPr>
        <w:spacing w:after="120"/>
        <w:jc w:val="both"/>
        <w:rPr>
          <w:rFonts w:cs="Arial"/>
          <w:lang w:eastAsia="fr-FR"/>
        </w:rPr>
      </w:pPr>
      <w:r w:rsidRPr="00A9330B">
        <w:rPr>
          <w:rFonts w:cs="Arial"/>
          <w:lang w:eastAsia="fr-FR"/>
        </w:rPr>
        <w:t>Il précise en son article 3, entre autres, qu’il est interdit :</w:t>
      </w:r>
    </w:p>
    <w:p w14:paraId="792706E9" w14:textId="77777777" w:rsidR="006C08BE" w:rsidRPr="00A9330B" w:rsidRDefault="006C08BE" w:rsidP="00BD2F72">
      <w:pPr>
        <w:numPr>
          <w:ilvl w:val="0"/>
          <w:numId w:val="119"/>
        </w:numPr>
        <w:overflowPunct w:val="0"/>
        <w:autoSpaceDE w:val="0"/>
        <w:autoSpaceDN w:val="0"/>
        <w:adjustRightInd w:val="0"/>
        <w:spacing w:line="288" w:lineRule="auto"/>
        <w:contextualSpacing/>
        <w:jc w:val="both"/>
        <w:rPr>
          <w:rFonts w:eastAsia="Calibri" w:cs="Arial"/>
          <w:lang w:eastAsia="fr-FR"/>
        </w:rPr>
      </w:pPr>
      <w:r w:rsidRPr="00A9330B">
        <w:rPr>
          <w:rFonts w:eastAsia="Calibri" w:cs="Arial"/>
          <w:lang w:eastAsia="fr-FR"/>
        </w:rPr>
        <w:lastRenderedPageBreak/>
        <w:t xml:space="preserve">de déposer, verser ou de laisser des huiles usagées en quelque lieu que ce soit où elles peuvent polluer l’environnement notamment dans ou sur le sol, dans les eaux de surface ou les eaux souterraines, dans les égouts, les canalisations ou les collecteurs; </w:t>
      </w:r>
    </w:p>
    <w:p w14:paraId="69410D61" w14:textId="77777777" w:rsidR="006C08BE" w:rsidRPr="00A9330B" w:rsidRDefault="006C08BE" w:rsidP="00BD2F72">
      <w:pPr>
        <w:numPr>
          <w:ilvl w:val="0"/>
          <w:numId w:val="119"/>
        </w:numPr>
        <w:overflowPunct w:val="0"/>
        <w:autoSpaceDE w:val="0"/>
        <w:autoSpaceDN w:val="0"/>
        <w:adjustRightInd w:val="0"/>
        <w:spacing w:line="288" w:lineRule="auto"/>
        <w:contextualSpacing/>
        <w:jc w:val="both"/>
        <w:rPr>
          <w:rFonts w:eastAsia="Calibri" w:cs="Arial"/>
          <w:lang w:eastAsia="fr-FR"/>
        </w:rPr>
      </w:pPr>
      <w:r w:rsidRPr="00A9330B">
        <w:rPr>
          <w:rFonts w:eastAsia="Calibri" w:cs="Arial"/>
          <w:lang w:eastAsia="fr-FR"/>
        </w:rPr>
        <w:t xml:space="preserve">d’ajouter ou de mélanger à des huiles usagées de l’eau ou tout corps étrangers tels que solvants, produits de nettoyage, détergents, autres combustibles ou autres matières avant ou pendant la collecte ou avant ou pendant le stockage. </w:t>
      </w:r>
    </w:p>
    <w:p w14:paraId="7FAB4270" w14:textId="77777777" w:rsidR="006C08BE" w:rsidRPr="00A9330B" w:rsidRDefault="006C08BE" w:rsidP="0064324E">
      <w:pPr>
        <w:pStyle w:val="Titre40"/>
        <w:rPr>
          <w:lang w:eastAsia="fr-FR"/>
        </w:rPr>
      </w:pPr>
      <w:bookmarkStart w:id="647" w:name="_Toc45557366"/>
      <w:bookmarkStart w:id="648" w:name="_Toc52869597"/>
      <w:r w:rsidRPr="00A9330B">
        <w:rPr>
          <w:lang w:eastAsia="fr-FR"/>
        </w:rPr>
        <w:t>2.2.2.14. Le décret n°2001</w:t>
      </w:r>
      <w:r w:rsidRPr="00A9330B">
        <w:rPr>
          <w:rFonts w:ascii="Cambria Math" w:hAnsi="Cambria Math" w:cs="Cambria Math"/>
          <w:lang w:eastAsia="fr-FR"/>
        </w:rPr>
        <w:t>‐</w:t>
      </w:r>
      <w:r w:rsidRPr="00A9330B">
        <w:rPr>
          <w:lang w:eastAsia="fr-FR"/>
        </w:rPr>
        <w:t>294 du 06 aout 2001 portant réglementation du bruit en République du Bénin</w:t>
      </w:r>
      <w:bookmarkEnd w:id="647"/>
      <w:bookmarkEnd w:id="648"/>
      <w:r w:rsidRPr="00A9330B">
        <w:rPr>
          <w:lang w:eastAsia="fr-FR"/>
        </w:rPr>
        <w:t xml:space="preserve"> </w:t>
      </w:r>
    </w:p>
    <w:p w14:paraId="6820BAB8" w14:textId="77777777" w:rsidR="006C08BE" w:rsidRPr="00A9330B" w:rsidRDefault="006C08BE" w:rsidP="005A2696">
      <w:pPr>
        <w:autoSpaceDE w:val="0"/>
        <w:autoSpaceDN w:val="0"/>
        <w:adjustRightInd w:val="0"/>
        <w:spacing w:line="240" w:lineRule="auto"/>
        <w:jc w:val="both"/>
        <w:rPr>
          <w:rFonts w:eastAsia="Calibri" w:cs="Arial"/>
          <w:lang w:eastAsia="fr-FR"/>
        </w:rPr>
      </w:pPr>
      <w:r w:rsidRPr="00A9330B">
        <w:rPr>
          <w:rFonts w:eastAsia="Calibri" w:cs="Arial"/>
          <w:lang w:eastAsia="fr-FR"/>
        </w:rPr>
        <w:t xml:space="preserve">Le présent décret relatif à la réglementation du bruit, définit les normes de bruit visant à contrôler l'intensité du bruit émis par chaque source, en l’occurrence les habitations, les zones commerciales et industrielles. </w:t>
      </w:r>
    </w:p>
    <w:p w14:paraId="4AA824BF" w14:textId="77777777" w:rsidR="006C08BE" w:rsidRPr="00A9330B" w:rsidRDefault="006C08BE" w:rsidP="0064324E">
      <w:pPr>
        <w:pStyle w:val="Titre40"/>
        <w:rPr>
          <w:rFonts w:eastAsiaTheme="majorEastAsia"/>
        </w:rPr>
      </w:pPr>
      <w:bookmarkStart w:id="649" w:name="_Toc52869598"/>
      <w:r w:rsidRPr="00A9330B">
        <w:t>2.2.2.15. Le décret n°2001</w:t>
      </w:r>
      <w:r w:rsidRPr="00A9330B">
        <w:rPr>
          <w:rFonts w:ascii="Cambria Math" w:hAnsi="Cambria Math" w:cs="Cambria Math"/>
        </w:rPr>
        <w:t>‐</w:t>
      </w:r>
      <w:r w:rsidRPr="00A9330B">
        <w:t>110 du 4 avril 2001 fixant les normes de qualité de l’air en République du Bénin</w:t>
      </w:r>
      <w:bookmarkEnd w:id="649"/>
      <w:r w:rsidRPr="00A9330B">
        <w:t xml:space="preserve"> </w:t>
      </w:r>
    </w:p>
    <w:p w14:paraId="2F968F8D" w14:textId="77777777" w:rsidR="006C08BE" w:rsidRPr="00A9330B" w:rsidRDefault="006C08BE" w:rsidP="005A2696">
      <w:pPr>
        <w:spacing w:line="240" w:lineRule="auto"/>
        <w:jc w:val="both"/>
        <w:rPr>
          <w:rFonts w:eastAsia="Calibri" w:cs="Arial"/>
          <w:lang w:eastAsia="fr-FR"/>
        </w:rPr>
      </w:pPr>
      <w:r w:rsidRPr="00A9330B">
        <w:rPr>
          <w:rFonts w:eastAsia="Calibri" w:cs="Arial"/>
          <w:lang w:eastAsia="fr-FR"/>
        </w:rPr>
        <w:t>Ce décret a pour objet de fixer les normes de qualité de l'air ambiant, les normes de rejet des véhicules motorisés et les normes d'émission atmosphérique relatives aux sources fixes, conformément aux dispositions de la loi n°98</w:t>
      </w:r>
      <w:r w:rsidRPr="00A9330B">
        <w:rPr>
          <w:rFonts w:ascii="Cambria Math" w:eastAsia="Calibri" w:hAnsi="Cambria Math" w:cs="Cambria Math"/>
          <w:lang w:eastAsia="fr-FR"/>
        </w:rPr>
        <w:t>‐</w:t>
      </w:r>
      <w:r w:rsidRPr="00A9330B">
        <w:rPr>
          <w:rFonts w:eastAsia="Calibri" w:cs="Arial"/>
          <w:lang w:eastAsia="fr-FR"/>
        </w:rPr>
        <w:t>030 du 12 février 1999 portant loi</w:t>
      </w:r>
      <w:r w:rsidRPr="00A9330B">
        <w:rPr>
          <w:rFonts w:ascii="Cambria Math" w:eastAsia="Calibri" w:hAnsi="Cambria Math" w:cs="Cambria Math"/>
          <w:lang w:eastAsia="fr-FR"/>
        </w:rPr>
        <w:t>‐</w:t>
      </w:r>
      <w:r w:rsidRPr="00A9330B">
        <w:rPr>
          <w:rFonts w:eastAsia="Calibri" w:cs="Arial"/>
          <w:lang w:eastAsia="fr-FR"/>
        </w:rPr>
        <w:t xml:space="preserve">cadre sur l'environnement en République du Bénin. </w:t>
      </w:r>
    </w:p>
    <w:p w14:paraId="3E0DD7BC" w14:textId="77777777" w:rsidR="006C08BE" w:rsidRPr="00A9330B" w:rsidRDefault="006C08BE" w:rsidP="0064324E">
      <w:pPr>
        <w:pStyle w:val="Titre40"/>
        <w:rPr>
          <w:lang w:eastAsia="fr-FR"/>
        </w:rPr>
      </w:pPr>
      <w:bookmarkStart w:id="650" w:name="_Toc45557367"/>
      <w:bookmarkStart w:id="651" w:name="_Toc52869599"/>
      <w:r w:rsidRPr="00A9330B">
        <w:rPr>
          <w:lang w:eastAsia="fr-FR"/>
        </w:rPr>
        <w:t>2.2.2.16. Le décret n°2001-109 du 4 avril 2001 fixant les normes de qualité des eaux résiduaires en République du Bénin</w:t>
      </w:r>
      <w:bookmarkEnd w:id="651"/>
      <w:r w:rsidRPr="00A9330B">
        <w:rPr>
          <w:lang w:eastAsia="fr-FR"/>
        </w:rPr>
        <w:t xml:space="preserve"> </w:t>
      </w:r>
    </w:p>
    <w:p w14:paraId="341A1406" w14:textId="77777777" w:rsidR="006C08BE" w:rsidRPr="00A9330B" w:rsidRDefault="006C08BE" w:rsidP="00BA18AC">
      <w:pPr>
        <w:jc w:val="both"/>
        <w:rPr>
          <w:rFonts w:cs="Arial"/>
          <w:lang w:eastAsia="fr-FR"/>
        </w:rPr>
      </w:pPr>
      <w:r w:rsidRPr="00A9330B">
        <w:rPr>
          <w:rFonts w:cs="Arial"/>
          <w:lang w:eastAsia="fr-FR"/>
        </w:rPr>
        <w:t xml:space="preserve">Les deux premiers chapitres de ce décret sont réservés à l’objet et aux définitions. Le chapitre 3 comportant les articles 3 à 17 précise les modalités de rejet des eaux usées industrielles et les normes de rejet dans un milieu récepteur selon les types d'industries du secteur agroalimentaire (huileries, poissons et fruits de mer, brasserie, produits laitiers, abattoirs et sucre) d'autres industries (textiles, savons et détergents, pharmaceutique, traitement de surface et centrale thermique). Les articles 4 et 5 stipulent que tout déversement d’eaux usées industrielles dans un milieu récepteur doit être conforme aux exigences contenues dans le permis de déversement. Ce permis est délivré par le Ministre chargé de l’environnement. </w:t>
      </w:r>
    </w:p>
    <w:p w14:paraId="677F0404" w14:textId="77777777" w:rsidR="006C08BE" w:rsidRPr="00A9330B" w:rsidRDefault="006C08BE" w:rsidP="00BA18AC">
      <w:pPr>
        <w:spacing w:after="120"/>
        <w:jc w:val="both"/>
        <w:rPr>
          <w:rFonts w:cs="Arial"/>
          <w:lang w:eastAsia="fr-FR"/>
        </w:rPr>
      </w:pPr>
      <w:r w:rsidRPr="00A9330B">
        <w:rPr>
          <w:rFonts w:cs="Arial"/>
          <w:lang w:eastAsia="fr-FR"/>
        </w:rPr>
        <w:t xml:space="preserve">Le chapitre 4 comporte les articles 18 à 39 et traite du rejet des eaux usées domestiques. Il comporte trois sections : </w:t>
      </w:r>
    </w:p>
    <w:p w14:paraId="0ECA057E" w14:textId="77777777" w:rsidR="006C08BE" w:rsidRPr="00A9330B" w:rsidRDefault="006C08BE" w:rsidP="00BD2F72">
      <w:pPr>
        <w:numPr>
          <w:ilvl w:val="0"/>
          <w:numId w:val="120"/>
        </w:numPr>
        <w:overflowPunct w:val="0"/>
        <w:autoSpaceDE w:val="0"/>
        <w:autoSpaceDN w:val="0"/>
        <w:adjustRightInd w:val="0"/>
        <w:spacing w:line="288" w:lineRule="auto"/>
        <w:contextualSpacing/>
        <w:jc w:val="both"/>
        <w:rPr>
          <w:rFonts w:eastAsia="Calibri" w:cs="Arial"/>
          <w:lang w:eastAsia="fr-FR"/>
        </w:rPr>
      </w:pPr>
      <w:r w:rsidRPr="00A9330B">
        <w:rPr>
          <w:rFonts w:eastAsia="Calibri" w:cs="Arial"/>
          <w:lang w:eastAsia="fr-FR"/>
        </w:rPr>
        <w:t xml:space="preserve">La section 1 regroupe les articles 18 et 19 qui énumèrent les exigences générales en matière de rejet des eaux usées domestiques : « Les eaux usées domestiques ne peuvent être déversées dans le milieu naturel qu’après avoir subi un traitement approprié » et « toute habitation en zone urbaine, doit être raccordée à un système d'assainissement individuel ou collectif ». </w:t>
      </w:r>
    </w:p>
    <w:p w14:paraId="774165CC" w14:textId="77777777" w:rsidR="006C08BE" w:rsidRPr="00A9330B" w:rsidRDefault="006C08BE" w:rsidP="00BD2F72">
      <w:pPr>
        <w:numPr>
          <w:ilvl w:val="0"/>
          <w:numId w:val="120"/>
        </w:numPr>
        <w:overflowPunct w:val="0"/>
        <w:autoSpaceDE w:val="0"/>
        <w:autoSpaceDN w:val="0"/>
        <w:adjustRightInd w:val="0"/>
        <w:spacing w:line="288" w:lineRule="auto"/>
        <w:contextualSpacing/>
        <w:jc w:val="both"/>
        <w:rPr>
          <w:rFonts w:eastAsia="Calibri" w:cs="Arial"/>
          <w:lang w:eastAsia="fr-FR"/>
        </w:rPr>
      </w:pPr>
      <w:r w:rsidRPr="00A9330B">
        <w:rPr>
          <w:rFonts w:eastAsia="Calibri" w:cs="Arial"/>
          <w:lang w:eastAsia="fr-FR"/>
        </w:rPr>
        <w:t xml:space="preserve">La section 2 regroupe les articles 20 à 28 qui traitent du rejet des eaux domestiques canalisées. L’article 23 fixe les valeurs limites de rejet des eaux usées domestiques dans le milieu récepteur. L’article 24 précise la nécessité de traiter l’azote et le phosphore lorsque le rejet d’une agglomération relativement importante se fait dans un milieu sensible. L’article 25 interdit le rejet des boues résiduaires dans le milieu aquatique et l’Article 26 celui des eaux usées domestiques dans les caniveaux d’évacuation des eaux pluviales. </w:t>
      </w:r>
    </w:p>
    <w:p w14:paraId="22EB37B3" w14:textId="77777777" w:rsidR="006C08BE" w:rsidRPr="00A9330B" w:rsidRDefault="006C08BE" w:rsidP="00BD2F72">
      <w:pPr>
        <w:numPr>
          <w:ilvl w:val="0"/>
          <w:numId w:val="120"/>
        </w:numPr>
        <w:overflowPunct w:val="0"/>
        <w:autoSpaceDE w:val="0"/>
        <w:autoSpaceDN w:val="0"/>
        <w:adjustRightInd w:val="0"/>
        <w:spacing w:line="288" w:lineRule="auto"/>
        <w:contextualSpacing/>
        <w:jc w:val="both"/>
        <w:rPr>
          <w:rFonts w:eastAsia="Calibri" w:cs="Arial"/>
          <w:lang w:eastAsia="fr-FR"/>
        </w:rPr>
      </w:pPr>
      <w:r w:rsidRPr="00A9330B">
        <w:rPr>
          <w:rFonts w:eastAsia="Calibri" w:cs="Arial"/>
          <w:lang w:eastAsia="fr-FR"/>
        </w:rPr>
        <w:t xml:space="preserve">La section 3 regroupe les articles 29 à 39 qui définissent les dispositions pour le système d'assainissement individuel et les responsabilités du propriétaire d'un tel système. « Le propriétaire d’un système d’assainissement individuel est tenu d’obtenir </w:t>
      </w:r>
      <w:r w:rsidRPr="00A9330B">
        <w:rPr>
          <w:rFonts w:eastAsia="Calibri" w:cs="Arial"/>
          <w:lang w:eastAsia="fr-FR"/>
        </w:rPr>
        <w:lastRenderedPageBreak/>
        <w:t xml:space="preserve">un permis auprès du Ministère chargé de la Santé », (mais actuellement de la Commune depuis la mise en place effective de la loi sur la décentralisation). L’élimination des matières de vidanges doit être conforme à la réglementation des activités de collecte, d’évacuation, de traitement et d’élimination des matières de vidange en République du Bénin. </w:t>
      </w:r>
    </w:p>
    <w:p w14:paraId="34C499C8" w14:textId="77777777" w:rsidR="006C08BE" w:rsidRPr="00A9330B" w:rsidRDefault="006C08BE" w:rsidP="0064324E">
      <w:pPr>
        <w:pStyle w:val="Titre40"/>
        <w:rPr>
          <w:rFonts w:eastAsiaTheme="majorEastAsia"/>
        </w:rPr>
      </w:pPr>
      <w:bookmarkStart w:id="652" w:name="_Toc52869600"/>
      <w:r w:rsidRPr="00A9330B">
        <w:t>2.2.2.17. Le décret n°2001</w:t>
      </w:r>
      <w:r w:rsidRPr="00A9330B">
        <w:rPr>
          <w:rFonts w:ascii="Cambria Math" w:hAnsi="Cambria Math" w:cs="Cambria Math"/>
        </w:rPr>
        <w:t>‐</w:t>
      </w:r>
      <w:r w:rsidRPr="00A9330B">
        <w:t>096 du 04 avril 2001 portant structure, organisation et fonctionnement de la police environnementale et les arrêtés d’application</w:t>
      </w:r>
      <w:bookmarkEnd w:id="652"/>
      <w:r w:rsidRPr="00A9330B">
        <w:t xml:space="preserve"> </w:t>
      </w:r>
    </w:p>
    <w:p w14:paraId="754C59A1" w14:textId="77777777" w:rsidR="006C08BE" w:rsidRPr="00A9330B" w:rsidRDefault="006C08BE" w:rsidP="000F7BA7">
      <w:pPr>
        <w:jc w:val="both"/>
        <w:rPr>
          <w:rFonts w:cs="Arial"/>
        </w:rPr>
      </w:pPr>
      <w:r w:rsidRPr="00A9330B">
        <w:rPr>
          <w:rFonts w:cs="Arial"/>
        </w:rPr>
        <w:t xml:space="preserve">La Police Environnementale, placée sous l’autorité du Ministre chargé de l’Environnement a pour mission essentielle de prévenir, rechercher, constater et réprimer les infractions à la législation environnementale dont, entre autres, la pollution des eaux, la pollution du sol ; et ceci en collaboration avec les autorités compétentes. </w:t>
      </w:r>
    </w:p>
    <w:p w14:paraId="0D177CBD" w14:textId="77777777" w:rsidR="006C08BE" w:rsidRPr="00A9330B" w:rsidRDefault="006C08BE" w:rsidP="000F7BA7">
      <w:pPr>
        <w:pStyle w:val="Titre40"/>
      </w:pPr>
      <w:bookmarkStart w:id="653" w:name="_Toc45557368"/>
      <w:bookmarkStart w:id="654" w:name="_Toc52869601"/>
      <w:bookmarkEnd w:id="650"/>
      <w:r w:rsidRPr="00A9330B">
        <w:t>2.2.2.18. Le décret n°2001</w:t>
      </w:r>
      <w:r w:rsidRPr="00A9330B">
        <w:rPr>
          <w:rFonts w:ascii="Cambria Math" w:hAnsi="Cambria Math" w:cs="Cambria Math"/>
        </w:rPr>
        <w:t>‐</w:t>
      </w:r>
      <w:r w:rsidRPr="00A9330B">
        <w:t xml:space="preserve"> 094 du 20 février 2001 fixant les normes de qualité de l’eau potable en République du Bénin</w:t>
      </w:r>
      <w:bookmarkEnd w:id="653"/>
      <w:bookmarkEnd w:id="654"/>
      <w:r w:rsidRPr="00A9330B">
        <w:t xml:space="preserve"> </w:t>
      </w:r>
    </w:p>
    <w:p w14:paraId="59190CE4" w14:textId="77777777" w:rsidR="006C08BE" w:rsidRPr="00A9330B" w:rsidRDefault="006C08BE" w:rsidP="00BA18AC">
      <w:pPr>
        <w:autoSpaceDE w:val="0"/>
        <w:autoSpaceDN w:val="0"/>
        <w:adjustRightInd w:val="0"/>
        <w:spacing w:line="240" w:lineRule="auto"/>
        <w:jc w:val="both"/>
        <w:rPr>
          <w:rFonts w:eastAsia="Calibri" w:cs="Arial"/>
          <w:lang w:eastAsia="fr-FR"/>
        </w:rPr>
      </w:pPr>
      <w:r w:rsidRPr="00A9330B">
        <w:rPr>
          <w:rFonts w:eastAsia="Calibri" w:cs="Arial"/>
          <w:lang w:eastAsia="fr-FR"/>
        </w:rPr>
        <w:t>Décret qui fixe les normes physiques, chimiques, biologiques et bactériologiques des eaux destinées à la consommation humaine et aux usages domestiques courants, en application des dispositions de la loi n° 98</w:t>
      </w:r>
      <w:r w:rsidRPr="00A9330B">
        <w:rPr>
          <w:rFonts w:ascii="Cambria Math" w:eastAsia="Calibri" w:hAnsi="Cambria Math" w:cs="Cambria Math"/>
          <w:lang w:eastAsia="fr-FR"/>
        </w:rPr>
        <w:t>‐</w:t>
      </w:r>
      <w:r w:rsidRPr="00A9330B">
        <w:rPr>
          <w:rFonts w:eastAsia="Calibri" w:cs="Arial"/>
          <w:lang w:eastAsia="fr-FR"/>
        </w:rPr>
        <w:t>030 du 12 février 1990 portant loi</w:t>
      </w:r>
      <w:r w:rsidRPr="00A9330B">
        <w:rPr>
          <w:rFonts w:ascii="Cambria Math" w:eastAsia="Calibri" w:hAnsi="Cambria Math" w:cs="Cambria Math"/>
          <w:lang w:eastAsia="fr-FR"/>
        </w:rPr>
        <w:t>‐</w:t>
      </w:r>
      <w:r w:rsidRPr="00A9330B">
        <w:rPr>
          <w:rFonts w:eastAsia="Calibri" w:cs="Arial"/>
          <w:lang w:eastAsia="fr-FR"/>
        </w:rPr>
        <w:t xml:space="preserve">cadre sur l'environnement en République du Bénin. </w:t>
      </w:r>
    </w:p>
    <w:p w14:paraId="31106371" w14:textId="77777777" w:rsidR="006C08BE" w:rsidRPr="00A9330B" w:rsidRDefault="006C08BE" w:rsidP="0064324E">
      <w:pPr>
        <w:pStyle w:val="Titre40"/>
        <w:rPr>
          <w:lang w:eastAsia="fr-FR"/>
        </w:rPr>
      </w:pPr>
      <w:bookmarkStart w:id="655" w:name="_Toc45557371"/>
      <w:bookmarkStart w:id="656" w:name="_Toc52869602"/>
      <w:r w:rsidRPr="00A9330B">
        <w:rPr>
          <w:lang w:eastAsia="fr-FR"/>
        </w:rPr>
        <w:t>2.2.2.19. L’arrêté interministériel n°031/MUHA/MEF/MISPC/MS/ MDLAAT/DC/SGM/DGHC/ DGNSP ou DCLR/SA du 04 Avril 2014, portant modalités d’application du décret n°2014-205 du 13 mars 2014, portant réglementation de la délivrance du permis de construire en République du Bénin</w:t>
      </w:r>
      <w:bookmarkEnd w:id="655"/>
      <w:bookmarkEnd w:id="656"/>
      <w:r w:rsidRPr="00A9330B">
        <w:rPr>
          <w:lang w:eastAsia="fr-FR"/>
        </w:rPr>
        <w:t xml:space="preserve"> </w:t>
      </w:r>
    </w:p>
    <w:p w14:paraId="5CC3AD02" w14:textId="77777777" w:rsidR="006C08BE" w:rsidRPr="00A9330B" w:rsidRDefault="006C08BE" w:rsidP="00BA18AC">
      <w:pPr>
        <w:spacing w:after="120"/>
        <w:jc w:val="both"/>
        <w:rPr>
          <w:rFonts w:cs="Arial"/>
          <w:lang w:eastAsia="fr-FR"/>
        </w:rPr>
      </w:pPr>
      <w:r w:rsidRPr="00A9330B">
        <w:rPr>
          <w:rFonts w:cs="Arial"/>
          <w:lang w:eastAsia="fr-FR"/>
        </w:rPr>
        <w:t xml:space="preserve">Conformément aux dispositions de cet arrêté, les organismes chargés de l’instruction des demandes de permis de construction sont : i) la commission communale ou municipale du permis de construire ; ii) la commission départementale du permis de construire ; iii) la commission nationale du permis de construire. </w:t>
      </w:r>
    </w:p>
    <w:p w14:paraId="59D10017" w14:textId="77777777" w:rsidR="006C08BE" w:rsidRPr="00A9330B" w:rsidRDefault="006C08BE" w:rsidP="00BD2F72">
      <w:pPr>
        <w:numPr>
          <w:ilvl w:val="0"/>
          <w:numId w:val="121"/>
        </w:numPr>
        <w:overflowPunct w:val="0"/>
        <w:autoSpaceDE w:val="0"/>
        <w:autoSpaceDN w:val="0"/>
        <w:adjustRightInd w:val="0"/>
        <w:spacing w:line="288" w:lineRule="auto"/>
        <w:contextualSpacing/>
        <w:jc w:val="both"/>
        <w:rPr>
          <w:rFonts w:eastAsia="Calibri" w:cs="Arial"/>
          <w:lang w:eastAsia="fr-FR"/>
        </w:rPr>
      </w:pPr>
      <w:r w:rsidRPr="00A9330B">
        <w:rPr>
          <w:rFonts w:eastAsia="Calibri" w:cs="Arial"/>
          <w:lang w:eastAsia="fr-FR"/>
        </w:rPr>
        <w:t xml:space="preserve">Les organismes chargés de l’instruction des demandes de permis de construire sont créés comme suit : </w:t>
      </w:r>
    </w:p>
    <w:p w14:paraId="41FD4E71" w14:textId="77777777" w:rsidR="006C08BE" w:rsidRPr="00A9330B" w:rsidRDefault="006C08BE" w:rsidP="00BD2F72">
      <w:pPr>
        <w:numPr>
          <w:ilvl w:val="0"/>
          <w:numId w:val="121"/>
        </w:numPr>
        <w:overflowPunct w:val="0"/>
        <w:autoSpaceDE w:val="0"/>
        <w:autoSpaceDN w:val="0"/>
        <w:adjustRightInd w:val="0"/>
        <w:spacing w:line="288" w:lineRule="auto"/>
        <w:contextualSpacing/>
        <w:jc w:val="both"/>
        <w:rPr>
          <w:rFonts w:eastAsia="Calibri" w:cs="Arial"/>
          <w:lang w:eastAsia="de-DE"/>
        </w:rPr>
      </w:pPr>
      <w:r w:rsidRPr="00A9330B">
        <w:rPr>
          <w:rFonts w:eastAsia="Calibri" w:cs="Arial"/>
          <w:lang w:eastAsia="de-DE"/>
        </w:rPr>
        <w:t xml:space="preserve">par arrêté du Maire, lorsqu’il s’agit de la commission communale ou municipale du permis de construire ; </w:t>
      </w:r>
    </w:p>
    <w:p w14:paraId="2DB727F5" w14:textId="77777777" w:rsidR="006C08BE" w:rsidRPr="00A9330B" w:rsidRDefault="006C08BE" w:rsidP="00BD2F72">
      <w:pPr>
        <w:numPr>
          <w:ilvl w:val="0"/>
          <w:numId w:val="121"/>
        </w:numPr>
        <w:overflowPunct w:val="0"/>
        <w:autoSpaceDE w:val="0"/>
        <w:autoSpaceDN w:val="0"/>
        <w:adjustRightInd w:val="0"/>
        <w:spacing w:line="288" w:lineRule="auto"/>
        <w:contextualSpacing/>
        <w:jc w:val="both"/>
        <w:rPr>
          <w:rFonts w:eastAsia="Calibri" w:cs="Arial"/>
          <w:lang w:eastAsia="de-DE"/>
        </w:rPr>
      </w:pPr>
      <w:r w:rsidRPr="00A9330B">
        <w:rPr>
          <w:rFonts w:eastAsia="Calibri" w:cs="Arial"/>
          <w:lang w:eastAsia="de-DE"/>
        </w:rPr>
        <w:t xml:space="preserve">par arrêté du Préfet, lorsqu’il s’agit de la commission départementale du permis de construire ; </w:t>
      </w:r>
    </w:p>
    <w:p w14:paraId="6684B2D9" w14:textId="77777777" w:rsidR="006C08BE" w:rsidRPr="00A9330B" w:rsidRDefault="006C08BE" w:rsidP="00BD2F72">
      <w:pPr>
        <w:numPr>
          <w:ilvl w:val="0"/>
          <w:numId w:val="121"/>
        </w:numPr>
        <w:overflowPunct w:val="0"/>
        <w:autoSpaceDE w:val="0"/>
        <w:autoSpaceDN w:val="0"/>
        <w:adjustRightInd w:val="0"/>
        <w:spacing w:line="288" w:lineRule="auto"/>
        <w:contextualSpacing/>
        <w:jc w:val="both"/>
        <w:rPr>
          <w:rFonts w:eastAsia="Calibri" w:cs="Arial"/>
          <w:lang w:eastAsia="de-DE"/>
        </w:rPr>
      </w:pPr>
      <w:r w:rsidRPr="00A9330B">
        <w:rPr>
          <w:rFonts w:eastAsia="Calibri" w:cs="Arial"/>
          <w:lang w:eastAsia="de-DE"/>
        </w:rPr>
        <w:t xml:space="preserve">par arrêté interministériel des Ministres en charge de l’urbanisme, de la santé publique, de la sécurité, des finances et de l’administration territoriale pour la commission nationale du permis de construire. </w:t>
      </w:r>
    </w:p>
    <w:p w14:paraId="0BCE2EAA" w14:textId="37F05955" w:rsidR="006C08BE" w:rsidRPr="00A9330B" w:rsidRDefault="006C08BE" w:rsidP="00BA18AC">
      <w:pPr>
        <w:jc w:val="both"/>
        <w:rPr>
          <w:rFonts w:cs="Arial"/>
          <w:lang w:eastAsia="fr-FR"/>
        </w:rPr>
      </w:pPr>
      <w:r w:rsidRPr="00A9330B">
        <w:rPr>
          <w:rFonts w:cs="Arial"/>
          <w:lang w:eastAsia="fr-FR"/>
        </w:rPr>
        <w:t xml:space="preserve">L’acte d’octroi ou de refus du permis de construire est signé par le Maire de la commune intéressée ou par le préfet pour ce qui concerne les constructions à caractère national situées sur un territoire non couvert par un document d’urbanisme régulièrement approuvé. Ledit acte doit être conforme à l’avis de l’organisme en charge de l’instruction de la demande de permis de construire. </w:t>
      </w:r>
    </w:p>
    <w:p w14:paraId="7FE0DE96" w14:textId="77777777" w:rsidR="006C08BE" w:rsidRPr="00A9330B" w:rsidRDefault="006C08BE" w:rsidP="00BA18AC">
      <w:pPr>
        <w:jc w:val="both"/>
        <w:rPr>
          <w:rFonts w:eastAsia="Calibri" w:cs="Arial"/>
          <w:b/>
          <w:i/>
          <w:iCs/>
          <w:color w:val="auto"/>
          <w:lang w:eastAsia="fr-FR"/>
        </w:rPr>
      </w:pPr>
      <w:r w:rsidRPr="00A9330B">
        <w:rPr>
          <w:rFonts w:eastAsiaTheme="majorEastAsia" w:cs="Arial"/>
          <w:b/>
          <w:i/>
          <w:iCs/>
          <w:lang w:eastAsia="fr-FR"/>
        </w:rPr>
        <w:t xml:space="preserve">2.2.2.20. </w:t>
      </w:r>
      <w:r w:rsidRPr="00A9330B">
        <w:rPr>
          <w:rFonts w:eastAsia="Calibri" w:cs="Arial"/>
          <w:b/>
          <w:i/>
          <w:iCs/>
          <w:lang w:eastAsia="fr-FR"/>
        </w:rPr>
        <w:t xml:space="preserve">L’arrêté ministériel n°069/MISAT/MEHU/MS/DC/DE/DATC/DAHB du 04 avril 1995 réglementant les activités de collecte, d’évacuation, de traitement et d’élimination des matières de vidange </w:t>
      </w:r>
    </w:p>
    <w:p w14:paraId="70C80E7C" w14:textId="77777777" w:rsidR="006C08BE" w:rsidRPr="00A9330B" w:rsidRDefault="006C08BE" w:rsidP="00BA18AC">
      <w:pPr>
        <w:jc w:val="both"/>
        <w:rPr>
          <w:rFonts w:cs="Arial"/>
          <w:lang w:eastAsia="fr-FR"/>
        </w:rPr>
      </w:pPr>
      <w:r w:rsidRPr="00A9330B">
        <w:rPr>
          <w:rFonts w:cs="Arial"/>
          <w:lang w:eastAsia="fr-FR"/>
        </w:rPr>
        <w:t xml:space="preserve">Cet Arrêté qui date d’avril 1995, prévoit la libéralisation des activités de vidanges. Ledit secteur est ouvert aux structures privées pour une période de 10 ans pour les activités de collecte et </w:t>
      </w:r>
      <w:r w:rsidRPr="00A9330B">
        <w:rPr>
          <w:rFonts w:cs="Arial"/>
          <w:lang w:eastAsia="fr-FR"/>
        </w:rPr>
        <w:lastRenderedPageBreak/>
        <w:t xml:space="preserve">d’évacuation et de 15 ans pour les activités de traitement et d’élimination des matières de vidange ; ces périodes pouvant être prolongées par tacite reconduction. </w:t>
      </w:r>
    </w:p>
    <w:p w14:paraId="45E09DC3" w14:textId="77777777" w:rsidR="006C08BE" w:rsidRPr="00A9330B" w:rsidRDefault="006C08BE" w:rsidP="00BA18AC">
      <w:pPr>
        <w:jc w:val="both"/>
        <w:rPr>
          <w:rFonts w:cs="Arial"/>
          <w:lang w:eastAsia="fr-FR"/>
        </w:rPr>
      </w:pPr>
      <w:r w:rsidRPr="00A9330B">
        <w:rPr>
          <w:rFonts w:cs="Arial"/>
          <w:lang w:eastAsia="fr-FR"/>
        </w:rPr>
        <w:t xml:space="preserve">L’activité de collecte et d’évacuation est soumise à une autorisation conjointe des Ministres chargés de l’Intérieur, de l’Environnement, et de la Santé (Article 8). Le candidat à l’exercice des activités de traitement et d’élimination des matières de vidange est astreint à une autorisation des mêmes Ministères (Article 13). Le site de traitement doit être situé à au moins cinq cents (500) mètres des dernières habitations (Article 18) et le choix du mode de rejet de l’effluent doit se faire dans un souci de préservation de l’environnement (Article 21). </w:t>
      </w:r>
    </w:p>
    <w:p w14:paraId="55111F46" w14:textId="77777777" w:rsidR="006C08BE" w:rsidRPr="00A9330B" w:rsidRDefault="006C08BE" w:rsidP="00BA18AC">
      <w:pPr>
        <w:jc w:val="both"/>
        <w:rPr>
          <w:rFonts w:cs="Arial"/>
        </w:rPr>
      </w:pPr>
      <w:r w:rsidRPr="00A9330B">
        <w:rPr>
          <w:rFonts w:cs="Arial"/>
        </w:rPr>
        <w:t>Le prix de la vidange des matières est fixé par arrêté pris conjointement par les Ministres chargés du cadre de vie, de l’Intérieur, des Finances et du Commerce sur proposition d’une Commission (Article 22).</w:t>
      </w:r>
    </w:p>
    <w:p w14:paraId="01C9E3CA" w14:textId="77777777" w:rsidR="00AB04ED" w:rsidRPr="00A9330B" w:rsidRDefault="00AB04ED" w:rsidP="006E37A6">
      <w:pPr>
        <w:pStyle w:val="Titre3"/>
      </w:pPr>
      <w:bookmarkStart w:id="657" w:name="_Toc45520799"/>
      <w:bookmarkStart w:id="658" w:name="_Toc52869603"/>
      <w:bookmarkEnd w:id="628"/>
      <w:bookmarkEnd w:id="629"/>
      <w:r w:rsidRPr="00A9330B">
        <w:t>2.2.3. CADRE INSTITUTIONNEL DU PROJET</w:t>
      </w:r>
      <w:bookmarkEnd w:id="657"/>
      <w:bookmarkEnd w:id="658"/>
    </w:p>
    <w:p w14:paraId="393466DE" w14:textId="77777777" w:rsidR="00AB04ED" w:rsidRPr="00A9330B" w:rsidRDefault="00AB04ED" w:rsidP="00BA18AC">
      <w:pPr>
        <w:jc w:val="both"/>
      </w:pPr>
      <w:r w:rsidRPr="00A9330B">
        <w:t xml:space="preserve">Le secteur de l’hygiène et de l’assainissement est géré par plusieurs acteurs institutionnels. On peut citer les communes, le Ministère en charge de la décentralisation, le Ministère de l’Intérieur, de la Sécurité Publique et des Cultes, le Ministère en charge de l’environnement, le Ministère en charge de l’eau, le Ministère en charge de la santé, les organisations de la société civile. Font partie du cadre institutionnel du projet les structures ci-après : </w:t>
      </w:r>
    </w:p>
    <w:p w14:paraId="06B840BC" w14:textId="7665E7A5" w:rsidR="00AB04ED" w:rsidRPr="00A9330B" w:rsidRDefault="00AB04ED" w:rsidP="0064324E">
      <w:pPr>
        <w:pStyle w:val="Titre40"/>
      </w:pPr>
      <w:bookmarkStart w:id="659" w:name="_Toc45520800"/>
      <w:bookmarkStart w:id="660" w:name="_Toc52869604"/>
      <w:r w:rsidRPr="00A9330B">
        <w:rPr>
          <w:lang w:eastAsia="fr-FR"/>
        </w:rPr>
        <w:t xml:space="preserve">2.2.3.1. </w:t>
      </w:r>
      <w:r w:rsidR="00F854A6" w:rsidRPr="00A9330B">
        <w:rPr>
          <w:lang w:eastAsia="fr-FR"/>
        </w:rPr>
        <w:t xml:space="preserve">Maître d’ouvrage : </w:t>
      </w:r>
      <w:r w:rsidRPr="00A9330B">
        <w:t>Ministère du Cadre de Vie et du Développement Durable (MCVDD)</w:t>
      </w:r>
      <w:bookmarkEnd w:id="659"/>
      <w:bookmarkEnd w:id="660"/>
      <w:r w:rsidRPr="00A9330B">
        <w:t xml:space="preserve"> </w:t>
      </w:r>
    </w:p>
    <w:p w14:paraId="65982ADC" w14:textId="77777777" w:rsidR="00AB04ED" w:rsidRPr="00A9330B" w:rsidRDefault="00AB04ED" w:rsidP="00BA18AC">
      <w:pPr>
        <w:jc w:val="both"/>
      </w:pPr>
      <w:r w:rsidRPr="00A9330B">
        <w:t>Depuis avril 2016, c’est le Ministère du Cadre de Vie et du Développement Durable (MCVDD) qui a pour mission la définition, le suivi de la mise en œuvre et l’évaluation de la politique de l’État en matière d’habitat, de développement urbain, de mobilité urbaine, de cartographie, de géomatique, de l’aménagement du territoire, d’assainissement</w:t>
      </w:r>
      <w:r w:rsidRPr="00A9330B">
        <w:rPr>
          <w:b/>
          <w:bCs/>
        </w:rPr>
        <w:t xml:space="preserve">, </w:t>
      </w:r>
      <w:r w:rsidRPr="00A9330B">
        <w:t xml:space="preserve">d’environnement, de gestion des effets des changements climatiques, de reboisement, de protection des ressources naturelles et forestières, de préservation des écosystèmes, de protection des berges et des côtes. Il participe également à la définition et au suivi de la politique de l’État en matière de foncier et de cadastre. Il dispose de structures sous tutelle qui jouent un rôle important dans la mise en œuvre des politiques de gestion et d’assainissement des milieux urbains. </w:t>
      </w:r>
    </w:p>
    <w:p w14:paraId="3D29E527" w14:textId="77777777" w:rsidR="00AB04ED" w:rsidRPr="00A9330B" w:rsidRDefault="00AB04ED" w:rsidP="00BD2F72">
      <w:pPr>
        <w:pStyle w:val="Paragraphedeliste"/>
        <w:numPr>
          <w:ilvl w:val="0"/>
          <w:numId w:val="77"/>
        </w:numPr>
        <w:jc w:val="both"/>
        <w:rPr>
          <w:rFonts w:eastAsia="Calibri"/>
          <w:b/>
          <w:lang w:val="fr-FR"/>
        </w:rPr>
      </w:pPr>
      <w:r w:rsidRPr="00A9330B">
        <w:rPr>
          <w:rFonts w:eastAsia="Calibri"/>
          <w:b/>
          <w:lang w:val="fr-FR"/>
        </w:rPr>
        <w:t xml:space="preserve">Agence Nationale d’Aménagement du Territoire (ANAT) </w:t>
      </w:r>
    </w:p>
    <w:p w14:paraId="0B48E87B" w14:textId="77777777" w:rsidR="00AB04ED" w:rsidRPr="00A9330B" w:rsidRDefault="00AB04ED" w:rsidP="00BA18AC">
      <w:pPr>
        <w:jc w:val="both"/>
      </w:pPr>
      <w:r w:rsidRPr="00A9330B">
        <w:rPr>
          <w:color w:val="000000"/>
        </w:rPr>
        <w:t>En application des dispositions de la loi n° 2016-06 portant loi-cadre sur l’aménagement du territoire, il a été créé sous la tutelle du Ministère du Cadre de Vie et du Développement Durable, l’Agence Nationale d’Aménagement du Territoire qui est un établissement public doté de l’autonomie de gestion. Elle est chargée de la mise en œuvre du Schéma National d’</w:t>
      </w:r>
      <w:r w:rsidRPr="00A9330B">
        <w:t>Aménagement du Territoire.</w:t>
      </w:r>
    </w:p>
    <w:p w14:paraId="5C397576" w14:textId="77777777" w:rsidR="00AB04ED" w:rsidRPr="00A9330B" w:rsidRDefault="00AB04ED" w:rsidP="00BD2F72">
      <w:pPr>
        <w:pStyle w:val="Paragraphedeliste"/>
        <w:numPr>
          <w:ilvl w:val="0"/>
          <w:numId w:val="77"/>
        </w:numPr>
        <w:jc w:val="both"/>
        <w:rPr>
          <w:rFonts w:eastAsia="Calibri"/>
          <w:b/>
          <w:lang w:val="fr-FR"/>
        </w:rPr>
      </w:pPr>
      <w:r w:rsidRPr="00A9330B">
        <w:rPr>
          <w:rFonts w:eastAsia="Calibri"/>
          <w:b/>
          <w:lang w:val="fr-FR"/>
        </w:rPr>
        <w:t xml:space="preserve">Direction Générale de l'Environnement et du Climat (DGEC) </w:t>
      </w:r>
    </w:p>
    <w:p w14:paraId="235C1971" w14:textId="77777777" w:rsidR="00AB04ED" w:rsidRPr="00A9330B" w:rsidRDefault="00AB04ED" w:rsidP="00BA18AC">
      <w:pPr>
        <w:jc w:val="both"/>
      </w:pPr>
      <w:r w:rsidRPr="00A9330B">
        <w:t xml:space="preserve">Elle a pour mission d’élaborer et d’assurer la mise en œuvre ainsi que le suivi-évaluation de la politique et des stratégies de l’État en matière d’environnement, de gestion des effets des changements climatiques et de promotion de l’économie verte en collaboration avec les autres structures concernées. </w:t>
      </w:r>
    </w:p>
    <w:p w14:paraId="4910AA07" w14:textId="77777777" w:rsidR="00AB04ED" w:rsidRPr="00A9330B" w:rsidRDefault="00AB04ED" w:rsidP="00BD2F72">
      <w:pPr>
        <w:pStyle w:val="Paragraphedeliste"/>
        <w:numPr>
          <w:ilvl w:val="0"/>
          <w:numId w:val="77"/>
        </w:numPr>
        <w:rPr>
          <w:rFonts w:eastAsia="Calibri"/>
          <w:b/>
          <w:lang w:val="fr-FR"/>
        </w:rPr>
      </w:pPr>
      <w:r w:rsidRPr="00A9330B">
        <w:rPr>
          <w:rFonts w:eastAsia="Calibri"/>
          <w:b/>
          <w:lang w:val="fr-FR"/>
        </w:rPr>
        <w:t xml:space="preserve">Agence Béninoise pour l'Environnement (ABE) </w:t>
      </w:r>
    </w:p>
    <w:p w14:paraId="1F579EB8" w14:textId="77777777" w:rsidR="00AB04ED" w:rsidRPr="00A9330B" w:rsidRDefault="00AB04ED" w:rsidP="00AB04ED">
      <w:pPr>
        <w:jc w:val="both"/>
      </w:pPr>
      <w:r w:rsidRPr="00A9330B">
        <w:t xml:space="preserve">C’est un établissement public consacré par l’article 4 de la loi 98-030 portant loi-cadre sur l’environnement. Elle est chargée de la mise en œuvre de la politique nationale d’environnement adoptée par le gouvernement dans le cadre de son plan de développement. Elle travaille en collaboration avec les autres Ministères sectoriels, les collectivités locales, les </w:t>
      </w:r>
      <w:r w:rsidRPr="00A9330B">
        <w:lastRenderedPageBreak/>
        <w:t xml:space="preserve">structures non gouvernementales, la société civile et le secteur privé. Elle gère toutes les procédures d’évaluations environnementales et elle est légalement responsable de la validation des Études d'Impact Environnemental (EIE) et autres types d’évaluations environnementales au Bénin. </w:t>
      </w:r>
    </w:p>
    <w:p w14:paraId="229ABFED" w14:textId="77777777" w:rsidR="00AB04ED" w:rsidRPr="00A9330B" w:rsidRDefault="00AB04ED" w:rsidP="0064324E">
      <w:pPr>
        <w:pStyle w:val="Titre40"/>
      </w:pPr>
      <w:bookmarkStart w:id="661" w:name="_Toc45520801"/>
      <w:bookmarkStart w:id="662" w:name="_Toc52869605"/>
      <w:r w:rsidRPr="00A9330B">
        <w:rPr>
          <w:lang w:eastAsia="fr-FR"/>
        </w:rPr>
        <w:t xml:space="preserve">2.2.3.2. </w:t>
      </w:r>
      <w:r w:rsidRPr="00A9330B">
        <w:t>Ministère de la Santé à travers la Direction Nationale de la Santé Publique (DNSP)</w:t>
      </w:r>
      <w:bookmarkEnd w:id="661"/>
      <w:bookmarkEnd w:id="662"/>
      <w:r w:rsidRPr="00A9330B">
        <w:t xml:space="preserve"> </w:t>
      </w:r>
    </w:p>
    <w:p w14:paraId="25C1AB5C" w14:textId="77777777" w:rsidR="00AB04ED" w:rsidRPr="00A9330B" w:rsidRDefault="00AB04ED" w:rsidP="006E37A6">
      <w:pPr>
        <w:jc w:val="both"/>
      </w:pPr>
      <w:r w:rsidRPr="00A9330B">
        <w:t xml:space="preserve">Conformément aux dispositions du décret n° 426 du 20 Juillet 2016, portant attribution, organisation et fonctionnement du ministère de la santé, la DNSP a pour attributions de : </w:t>
      </w:r>
    </w:p>
    <w:p w14:paraId="11D7AE1C" w14:textId="77777777" w:rsidR="00AB04ED" w:rsidRPr="00A9330B" w:rsidRDefault="00AB04ED" w:rsidP="00BD2F72">
      <w:pPr>
        <w:pStyle w:val="Paragraphedeliste"/>
        <w:numPr>
          <w:ilvl w:val="0"/>
          <w:numId w:val="40"/>
        </w:numPr>
        <w:jc w:val="both"/>
        <w:rPr>
          <w:rFonts w:eastAsia="Calibri"/>
          <w:lang w:val="fr-FR"/>
        </w:rPr>
      </w:pPr>
      <w:r w:rsidRPr="00A9330B">
        <w:rPr>
          <w:rFonts w:eastAsia="Calibri"/>
          <w:lang w:val="fr-FR"/>
        </w:rPr>
        <w:t xml:space="preserve">élaborer les politiques, normes et réglementations dans les différents domaines de la santé publique et conformément au programme national de développement sanitaire ; </w:t>
      </w:r>
    </w:p>
    <w:p w14:paraId="1A3F18CE" w14:textId="77777777" w:rsidR="00AB04ED" w:rsidRPr="00A9330B" w:rsidRDefault="00AB04ED" w:rsidP="00BD2F72">
      <w:pPr>
        <w:pStyle w:val="Paragraphedeliste"/>
        <w:numPr>
          <w:ilvl w:val="0"/>
          <w:numId w:val="40"/>
        </w:numPr>
        <w:jc w:val="both"/>
        <w:rPr>
          <w:rFonts w:eastAsia="Calibri"/>
          <w:lang w:val="fr-FR"/>
        </w:rPr>
      </w:pPr>
      <w:r w:rsidRPr="00A9330B">
        <w:rPr>
          <w:rFonts w:eastAsia="Calibri"/>
          <w:lang w:val="fr-FR"/>
        </w:rPr>
        <w:t xml:space="preserve">élaborer les programmes et projets de santé conformément au programme national de développement sanitaire ; </w:t>
      </w:r>
    </w:p>
    <w:p w14:paraId="01A745E5" w14:textId="77777777" w:rsidR="00AB04ED" w:rsidRPr="00A9330B" w:rsidRDefault="00AB04ED" w:rsidP="00BD2F72">
      <w:pPr>
        <w:pStyle w:val="Paragraphedeliste"/>
        <w:numPr>
          <w:ilvl w:val="0"/>
          <w:numId w:val="40"/>
        </w:numPr>
        <w:jc w:val="both"/>
        <w:rPr>
          <w:rFonts w:eastAsia="Calibri"/>
          <w:lang w:val="fr-FR"/>
        </w:rPr>
      </w:pPr>
      <w:r w:rsidRPr="00A9330B">
        <w:rPr>
          <w:rFonts w:eastAsia="Calibri"/>
          <w:lang w:val="fr-FR"/>
        </w:rPr>
        <w:t xml:space="preserve">promouvoir la santé publique et les services d’hygiène et d’assainissement de base ; </w:t>
      </w:r>
    </w:p>
    <w:p w14:paraId="0931185E" w14:textId="77777777" w:rsidR="00AB04ED" w:rsidRPr="00A9330B" w:rsidRDefault="00AB04ED" w:rsidP="00BD2F72">
      <w:pPr>
        <w:pStyle w:val="Paragraphedeliste"/>
        <w:numPr>
          <w:ilvl w:val="0"/>
          <w:numId w:val="40"/>
        </w:numPr>
        <w:jc w:val="both"/>
        <w:rPr>
          <w:rFonts w:eastAsia="Calibri"/>
          <w:lang w:val="fr-FR"/>
        </w:rPr>
      </w:pPr>
      <w:r w:rsidRPr="00A9330B">
        <w:rPr>
          <w:rFonts w:eastAsia="Calibri"/>
          <w:lang w:val="fr-FR"/>
        </w:rPr>
        <w:t xml:space="preserve">coordonner, suivre et évaluer les programmes et projets en cours d’exécution ; </w:t>
      </w:r>
    </w:p>
    <w:p w14:paraId="3B808E24" w14:textId="77777777" w:rsidR="00AB04ED" w:rsidRPr="00A9330B" w:rsidRDefault="00AB04ED" w:rsidP="00BD2F72">
      <w:pPr>
        <w:pStyle w:val="Paragraphedeliste"/>
        <w:numPr>
          <w:ilvl w:val="0"/>
          <w:numId w:val="40"/>
        </w:numPr>
        <w:jc w:val="both"/>
        <w:rPr>
          <w:rFonts w:eastAsia="Calibri"/>
          <w:lang w:val="fr-FR"/>
        </w:rPr>
      </w:pPr>
      <w:r w:rsidRPr="00A9330B">
        <w:rPr>
          <w:rFonts w:eastAsia="Calibri"/>
          <w:lang w:val="fr-FR"/>
        </w:rPr>
        <w:t xml:space="preserve">développer des mécanismes de partenariat public-privé dans le secteur de la santé ; </w:t>
      </w:r>
    </w:p>
    <w:p w14:paraId="4DD9BEB3" w14:textId="77777777" w:rsidR="00AB04ED" w:rsidRPr="00A9330B" w:rsidRDefault="00AB04ED" w:rsidP="00BD2F72">
      <w:pPr>
        <w:pStyle w:val="Paragraphedeliste"/>
        <w:numPr>
          <w:ilvl w:val="0"/>
          <w:numId w:val="40"/>
        </w:numPr>
        <w:jc w:val="both"/>
        <w:rPr>
          <w:rFonts w:eastAsia="Calibri"/>
          <w:lang w:val="fr-FR"/>
        </w:rPr>
      </w:pPr>
      <w:r w:rsidRPr="00A9330B">
        <w:rPr>
          <w:rFonts w:eastAsia="Calibri"/>
          <w:lang w:val="fr-FR"/>
        </w:rPr>
        <w:t xml:space="preserve">coordonner, suivre et évaluer les interventions des secteurs privés confessionnel et libéral; </w:t>
      </w:r>
    </w:p>
    <w:p w14:paraId="3575C36D" w14:textId="77777777" w:rsidR="00AB04ED" w:rsidRPr="00A9330B" w:rsidRDefault="00AB04ED" w:rsidP="00BD2F72">
      <w:pPr>
        <w:pStyle w:val="Paragraphedeliste"/>
        <w:numPr>
          <w:ilvl w:val="0"/>
          <w:numId w:val="40"/>
        </w:numPr>
        <w:jc w:val="both"/>
        <w:rPr>
          <w:rFonts w:eastAsia="Calibri"/>
          <w:lang w:val="fr-FR"/>
        </w:rPr>
      </w:pPr>
      <w:r w:rsidRPr="00A9330B">
        <w:rPr>
          <w:rFonts w:eastAsia="Calibri"/>
          <w:lang w:val="fr-FR"/>
        </w:rPr>
        <w:t xml:space="preserve">faire la surveillance épidémiologique et sanitaire. </w:t>
      </w:r>
    </w:p>
    <w:p w14:paraId="30B74D04" w14:textId="77777777" w:rsidR="00AB04ED" w:rsidRPr="00A9330B" w:rsidRDefault="00AB04ED" w:rsidP="0064324E">
      <w:pPr>
        <w:pStyle w:val="Titre40"/>
      </w:pPr>
      <w:bookmarkStart w:id="663" w:name="_Toc45520802"/>
      <w:bookmarkStart w:id="664" w:name="_Toc52869606"/>
      <w:r w:rsidRPr="00A9330B">
        <w:rPr>
          <w:lang w:eastAsia="fr-FR"/>
        </w:rPr>
        <w:t xml:space="preserve">2.2.3.3. </w:t>
      </w:r>
      <w:r w:rsidRPr="00A9330B">
        <w:t>Agence du Cadre de Vie pour le Développement du Territoire (ACVDT)</w:t>
      </w:r>
      <w:bookmarkEnd w:id="663"/>
      <w:bookmarkEnd w:id="664"/>
      <w:r w:rsidRPr="00A9330B">
        <w:t xml:space="preserve"> </w:t>
      </w:r>
    </w:p>
    <w:p w14:paraId="2149C753" w14:textId="77777777" w:rsidR="00F854A6" w:rsidRPr="00A9330B" w:rsidRDefault="00F854A6" w:rsidP="000F7BA7">
      <w:pPr>
        <w:jc w:val="both"/>
      </w:pPr>
      <w:r w:rsidRPr="00A9330B">
        <w:t>Les statuts de l’Agence du Cadre de Vie pour le Développement du Territoire ont été approuvés par le décret n° 2016-608 du 28 septembre 2016. Elle est placée sous la tutelle de la Présidence de la République. Elle a pour mission de superviser, de suivre et de contrôler les activités menées dans le cadre de la réalisation des grands projets d’amélioration du cadre de la vie et de développement du territoire. Elle assure la coordination de la mise en œuvre du PAPVS et de plusieurs autres projets du Programme d’Action du Gouvernement (PAG).</w:t>
      </w:r>
    </w:p>
    <w:p w14:paraId="26709225" w14:textId="77777777" w:rsidR="00F854A6" w:rsidRPr="00A9330B" w:rsidRDefault="00F854A6" w:rsidP="00F854A6">
      <w:r w:rsidRPr="00A9330B">
        <w:t>Dans le cadre du PAPVS, elle soumet un rapport trimestriel sur la mise en œuvre du PGES à l’attention de la BAD.</w:t>
      </w:r>
    </w:p>
    <w:p w14:paraId="47A36ADC" w14:textId="77777777" w:rsidR="00F854A6" w:rsidRPr="00A9330B" w:rsidRDefault="00F854A6" w:rsidP="00F854A6">
      <w:r w:rsidRPr="00A9330B">
        <w:t>Elle est dotée d’un Conseil d’Administration composé de sept (07) membres.</w:t>
      </w:r>
    </w:p>
    <w:p w14:paraId="63475675" w14:textId="77777777" w:rsidR="00F854A6" w:rsidRPr="00A9330B" w:rsidRDefault="00F854A6" w:rsidP="00BD2F72">
      <w:pPr>
        <w:pStyle w:val="Paragraphedeliste"/>
        <w:numPr>
          <w:ilvl w:val="0"/>
          <w:numId w:val="137"/>
        </w:numPr>
        <w:jc w:val="both"/>
        <w:rPr>
          <w:b/>
          <w:lang w:val="fr-FR"/>
        </w:rPr>
      </w:pPr>
      <w:r w:rsidRPr="00A9330B">
        <w:rPr>
          <w:b/>
          <w:lang w:val="fr-FR"/>
        </w:rPr>
        <w:t>Le Conseil d’Administration (CA)</w:t>
      </w:r>
    </w:p>
    <w:p w14:paraId="42CCACDB" w14:textId="77777777" w:rsidR="00F854A6" w:rsidRPr="00A9330B" w:rsidRDefault="00F854A6" w:rsidP="000F7BA7">
      <w:pPr>
        <w:jc w:val="both"/>
      </w:pPr>
      <w:r w:rsidRPr="00A9330B">
        <w:t xml:space="preserve">Le Conseil d’Administration (CA) de l’Agence du Cadre de Vie pour le Développement du Territoire (ACVDT) jouera le rôle de Comité de pilotage du programme. Les sessions du CA de l’ACVDT dédiées au Programme d’Assainissement Pluvial des Villes Secondaires seront ouvertes aux Maires ou leurs représentants qui auront droit de décision au même titre que les autres membres.  </w:t>
      </w:r>
    </w:p>
    <w:p w14:paraId="41102C0B" w14:textId="77777777" w:rsidR="00F854A6" w:rsidRPr="00A9330B" w:rsidRDefault="00F854A6" w:rsidP="000F7BA7">
      <w:pPr>
        <w:jc w:val="both"/>
      </w:pPr>
      <w:r w:rsidRPr="00A9330B">
        <w:t>Liste des membres (Confère article 14 des Statuts de l’ACVDT) :</w:t>
      </w:r>
    </w:p>
    <w:p w14:paraId="24767DB6" w14:textId="77777777" w:rsidR="00F854A6" w:rsidRPr="00A9330B" w:rsidRDefault="00F854A6" w:rsidP="000F7BA7">
      <w:pPr>
        <w:jc w:val="both"/>
      </w:pPr>
      <w:r w:rsidRPr="00A9330B">
        <w:t>(02) Représentants de la Présidence de la République ;</w:t>
      </w:r>
    </w:p>
    <w:p w14:paraId="70C16F2E" w14:textId="77777777" w:rsidR="00F854A6" w:rsidRPr="00A9330B" w:rsidRDefault="00F854A6" w:rsidP="000F7BA7">
      <w:pPr>
        <w:jc w:val="both"/>
      </w:pPr>
      <w:r w:rsidRPr="00A9330B">
        <w:t>(01) Représentant du Ministère, chargé du Cadre de Vie et du Développement Durable ;</w:t>
      </w:r>
    </w:p>
    <w:p w14:paraId="47D31D2A" w14:textId="77777777" w:rsidR="00F854A6" w:rsidRPr="00A9330B" w:rsidRDefault="00F854A6" w:rsidP="000F7BA7">
      <w:pPr>
        <w:jc w:val="both"/>
      </w:pPr>
      <w:r w:rsidRPr="00A9330B">
        <w:t>(01) Représentant du Ministère en charge du Plan et du Développement ;</w:t>
      </w:r>
    </w:p>
    <w:p w14:paraId="0912AC01" w14:textId="77777777" w:rsidR="00F854A6" w:rsidRPr="00A9330B" w:rsidRDefault="00F854A6" w:rsidP="000F7BA7">
      <w:pPr>
        <w:jc w:val="both"/>
      </w:pPr>
      <w:r w:rsidRPr="00A9330B">
        <w:t>(01) Représentant du Ministère en charge des Infrastructures et des Transports ;</w:t>
      </w:r>
    </w:p>
    <w:p w14:paraId="2C5D4A60" w14:textId="77777777" w:rsidR="00F854A6" w:rsidRPr="00A9330B" w:rsidRDefault="00F854A6" w:rsidP="000F7BA7">
      <w:pPr>
        <w:jc w:val="both"/>
      </w:pPr>
      <w:r w:rsidRPr="00A9330B">
        <w:t>(01) Représentant du Ministère en charge de la Décentralisation et de la Gouvernance Locale;</w:t>
      </w:r>
    </w:p>
    <w:p w14:paraId="11FB1E91" w14:textId="77777777" w:rsidR="00F854A6" w:rsidRPr="00A9330B" w:rsidRDefault="00F854A6" w:rsidP="000F7BA7">
      <w:pPr>
        <w:jc w:val="both"/>
      </w:pPr>
      <w:r w:rsidRPr="00A9330B">
        <w:t>(01) Un Représentant du Ministère en charge de l’Economie et des Finance ;</w:t>
      </w:r>
    </w:p>
    <w:p w14:paraId="69D06469" w14:textId="77777777" w:rsidR="00F854A6" w:rsidRPr="00A9330B" w:rsidRDefault="00F854A6" w:rsidP="000F7BA7">
      <w:pPr>
        <w:jc w:val="both"/>
      </w:pPr>
      <w:r w:rsidRPr="00A9330B">
        <w:lastRenderedPageBreak/>
        <w:t>A ces membres, il est prévu d’ajouter (01) Représentant des Mairies concernées pour les sessions dédiées au PAPVS.</w:t>
      </w:r>
    </w:p>
    <w:p w14:paraId="7AA8F1C6" w14:textId="77777777" w:rsidR="00F854A6" w:rsidRPr="00A9330B" w:rsidRDefault="00F854A6" w:rsidP="000F7BA7">
      <w:pPr>
        <w:jc w:val="both"/>
      </w:pPr>
      <w:r w:rsidRPr="00A9330B">
        <w:t xml:space="preserve"> Le Conseil d’Administration est l’organe délibérant doté des pouvoirs les plus étendus pour agir en toute circonstance au nom de l’Agence. Il a pour mission de superviser, de suivre et de contrôler les actions de l’Agence dans le cadre de la réalisation des grands projets d’amélioration du cadre de la vie et de développement du territoire. </w:t>
      </w:r>
    </w:p>
    <w:p w14:paraId="3E502CC5" w14:textId="77777777" w:rsidR="00F854A6" w:rsidRPr="00A9330B" w:rsidRDefault="00F854A6" w:rsidP="00BD2F72">
      <w:pPr>
        <w:pStyle w:val="Paragraphedeliste"/>
        <w:numPr>
          <w:ilvl w:val="0"/>
          <w:numId w:val="138"/>
        </w:numPr>
        <w:jc w:val="both"/>
        <w:rPr>
          <w:b/>
          <w:lang w:val="fr-FR"/>
        </w:rPr>
      </w:pPr>
      <w:r w:rsidRPr="00A9330B">
        <w:rPr>
          <w:b/>
          <w:lang w:val="fr-FR"/>
        </w:rPr>
        <w:t>Le Comité Technique de Suivi</w:t>
      </w:r>
    </w:p>
    <w:p w14:paraId="24D25484" w14:textId="77777777" w:rsidR="00F854A6" w:rsidRPr="00A9330B" w:rsidRDefault="00F854A6" w:rsidP="000F7BA7">
      <w:pPr>
        <w:jc w:val="both"/>
      </w:pPr>
      <w:r w:rsidRPr="00A9330B">
        <w:t xml:space="preserve">Le Comité Technique de Suivi sera assuré par l’ACVDT qui associera aux réunions de validation technique, autant que nécessaire, les directions techniques et autres parties prenantes du programme. </w:t>
      </w:r>
    </w:p>
    <w:p w14:paraId="3401025A" w14:textId="77777777" w:rsidR="00F854A6" w:rsidRPr="00A9330B" w:rsidRDefault="00F854A6" w:rsidP="00BD2F72">
      <w:pPr>
        <w:pStyle w:val="Paragraphedeliste"/>
        <w:numPr>
          <w:ilvl w:val="0"/>
          <w:numId w:val="139"/>
        </w:numPr>
        <w:jc w:val="both"/>
        <w:rPr>
          <w:b/>
          <w:lang w:val="fr-FR"/>
        </w:rPr>
      </w:pPr>
      <w:r w:rsidRPr="00A9330B">
        <w:rPr>
          <w:b/>
          <w:lang w:val="fr-FR"/>
        </w:rPr>
        <w:t>Pool d’Experts pour le PAPVS</w:t>
      </w:r>
    </w:p>
    <w:p w14:paraId="25C40B97" w14:textId="77777777" w:rsidR="00F854A6" w:rsidRPr="00A9330B" w:rsidRDefault="00F854A6" w:rsidP="000F7BA7">
      <w:pPr>
        <w:jc w:val="both"/>
      </w:pPr>
      <w:r w:rsidRPr="00A9330B">
        <w:t>L’ACVDT est l’entité d’exécution du PAPVS qui va constituer un « Pool d’Experts » exclusivement dédié au programme à travers le recrutement du personnel clé suivant :</w:t>
      </w:r>
    </w:p>
    <w:p w14:paraId="6CFD71F9" w14:textId="77777777" w:rsidR="00F854A6" w:rsidRPr="00A9330B" w:rsidRDefault="00F854A6" w:rsidP="00BD2F72">
      <w:pPr>
        <w:pStyle w:val="Paragraphedeliste"/>
        <w:numPr>
          <w:ilvl w:val="0"/>
          <w:numId w:val="140"/>
        </w:numPr>
        <w:jc w:val="both"/>
        <w:rPr>
          <w:lang w:val="fr-FR"/>
        </w:rPr>
      </w:pPr>
      <w:r w:rsidRPr="00A9330B">
        <w:rPr>
          <w:lang w:val="fr-FR"/>
        </w:rPr>
        <w:t>Coordonnateur ;</w:t>
      </w:r>
    </w:p>
    <w:p w14:paraId="520A60A8" w14:textId="77777777" w:rsidR="00F854A6" w:rsidRPr="00A9330B" w:rsidRDefault="00F854A6" w:rsidP="00BD2F72">
      <w:pPr>
        <w:pStyle w:val="Paragraphedeliste"/>
        <w:numPr>
          <w:ilvl w:val="0"/>
          <w:numId w:val="140"/>
        </w:numPr>
        <w:jc w:val="both"/>
        <w:rPr>
          <w:lang w:val="fr-FR"/>
        </w:rPr>
      </w:pPr>
      <w:r w:rsidRPr="00A9330B">
        <w:rPr>
          <w:lang w:val="fr-FR"/>
        </w:rPr>
        <w:t>Spécialiste en passation de marché ;</w:t>
      </w:r>
    </w:p>
    <w:p w14:paraId="732AE8F7" w14:textId="77777777" w:rsidR="00F854A6" w:rsidRPr="00A9330B" w:rsidRDefault="00F854A6" w:rsidP="00BD2F72">
      <w:pPr>
        <w:pStyle w:val="Paragraphedeliste"/>
        <w:numPr>
          <w:ilvl w:val="0"/>
          <w:numId w:val="140"/>
        </w:numPr>
        <w:jc w:val="both"/>
        <w:rPr>
          <w:lang w:val="fr-FR"/>
        </w:rPr>
      </w:pPr>
      <w:r w:rsidRPr="00A9330B">
        <w:rPr>
          <w:lang w:val="fr-FR"/>
        </w:rPr>
        <w:t>Expert en suivi-évaluation ;</w:t>
      </w:r>
    </w:p>
    <w:p w14:paraId="50384710" w14:textId="77777777" w:rsidR="00F854A6" w:rsidRPr="00A9330B" w:rsidRDefault="00F854A6" w:rsidP="00BD2F72">
      <w:pPr>
        <w:pStyle w:val="Paragraphedeliste"/>
        <w:numPr>
          <w:ilvl w:val="0"/>
          <w:numId w:val="140"/>
        </w:numPr>
        <w:jc w:val="both"/>
        <w:rPr>
          <w:lang w:val="fr-FR"/>
        </w:rPr>
      </w:pPr>
      <w:r w:rsidRPr="00A9330B">
        <w:rPr>
          <w:lang w:val="fr-FR"/>
        </w:rPr>
        <w:t>Chef Comptable ;</w:t>
      </w:r>
    </w:p>
    <w:p w14:paraId="1A0B0A0E" w14:textId="77777777" w:rsidR="00F854A6" w:rsidRPr="00A9330B" w:rsidRDefault="00F854A6" w:rsidP="00BD2F72">
      <w:pPr>
        <w:pStyle w:val="Paragraphedeliste"/>
        <w:numPr>
          <w:ilvl w:val="0"/>
          <w:numId w:val="140"/>
        </w:numPr>
        <w:jc w:val="both"/>
        <w:rPr>
          <w:lang w:val="fr-FR"/>
        </w:rPr>
      </w:pPr>
      <w:r w:rsidRPr="00A9330B">
        <w:rPr>
          <w:lang w:val="fr-FR"/>
        </w:rPr>
        <w:t>Experts en Sauvegarde Environnementale ;</w:t>
      </w:r>
    </w:p>
    <w:p w14:paraId="348D7B60" w14:textId="77777777" w:rsidR="00F854A6" w:rsidRPr="00A9330B" w:rsidRDefault="00F854A6" w:rsidP="00BD2F72">
      <w:pPr>
        <w:pStyle w:val="Paragraphedeliste"/>
        <w:numPr>
          <w:ilvl w:val="0"/>
          <w:numId w:val="140"/>
        </w:numPr>
        <w:jc w:val="both"/>
        <w:rPr>
          <w:lang w:val="fr-FR"/>
        </w:rPr>
      </w:pPr>
      <w:r w:rsidRPr="00A9330B">
        <w:rPr>
          <w:lang w:val="fr-FR"/>
        </w:rPr>
        <w:t>Experts en Sauvegarde Sociale ;</w:t>
      </w:r>
    </w:p>
    <w:p w14:paraId="32C2E5DF" w14:textId="77777777" w:rsidR="00F854A6" w:rsidRPr="00A9330B" w:rsidRDefault="00F854A6" w:rsidP="00BD2F72">
      <w:pPr>
        <w:pStyle w:val="Paragraphedeliste"/>
        <w:numPr>
          <w:ilvl w:val="0"/>
          <w:numId w:val="140"/>
        </w:numPr>
        <w:jc w:val="both"/>
        <w:rPr>
          <w:lang w:val="fr-FR"/>
        </w:rPr>
      </w:pPr>
      <w:r w:rsidRPr="00A9330B">
        <w:rPr>
          <w:lang w:val="fr-FR"/>
        </w:rPr>
        <w:t>Hydraulicien ;</w:t>
      </w:r>
    </w:p>
    <w:p w14:paraId="79F9673D" w14:textId="77777777" w:rsidR="00F854A6" w:rsidRPr="00A9330B" w:rsidRDefault="00F854A6" w:rsidP="00BD2F72">
      <w:pPr>
        <w:pStyle w:val="Paragraphedeliste"/>
        <w:numPr>
          <w:ilvl w:val="0"/>
          <w:numId w:val="140"/>
        </w:numPr>
        <w:jc w:val="both"/>
        <w:rPr>
          <w:lang w:val="fr-FR"/>
        </w:rPr>
      </w:pPr>
      <w:r w:rsidRPr="00A9330B">
        <w:rPr>
          <w:lang w:val="fr-FR"/>
        </w:rPr>
        <w:t>Ingénieurs Génie Civil.</w:t>
      </w:r>
    </w:p>
    <w:p w14:paraId="6FFA7715" w14:textId="77777777" w:rsidR="00F854A6" w:rsidRPr="00A9330B" w:rsidRDefault="00F854A6" w:rsidP="000F7BA7">
      <w:pPr>
        <w:jc w:val="both"/>
      </w:pPr>
      <w:r w:rsidRPr="00A9330B">
        <w:t>En plus du Pool PAPVS, l’ACVDT fera recours également aux services d’un cabinet Assistant au Maitre d’Ouvrage (AMO) pour des missions spécifiques et ciblées.</w:t>
      </w:r>
    </w:p>
    <w:p w14:paraId="76B75E6E" w14:textId="77777777" w:rsidR="00F854A6" w:rsidRPr="00A9330B" w:rsidRDefault="00F854A6" w:rsidP="000F7BA7">
      <w:pPr>
        <w:jc w:val="both"/>
      </w:pPr>
      <w:r w:rsidRPr="00A9330B">
        <w:t xml:space="preserve">L’organigramme institutionnel du programme est : </w:t>
      </w:r>
    </w:p>
    <w:p w14:paraId="73AEA143" w14:textId="77777777" w:rsidR="00F854A6" w:rsidRPr="00A9330B" w:rsidRDefault="00F854A6" w:rsidP="00F854A6">
      <w:r w:rsidRPr="00A9330B">
        <w:rPr>
          <w:rFonts w:cs="Arial"/>
          <w:noProof/>
          <w:lang w:eastAsia="fr-FR"/>
        </w:rPr>
        <w:drawing>
          <wp:inline distT="0" distB="0" distL="0" distR="0" wp14:anchorId="3BB6CB1C" wp14:editId="6E9ABDBF">
            <wp:extent cx="5581650" cy="3186274"/>
            <wp:effectExtent l="0" t="0" r="0" b="0"/>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583691" cy="3187439"/>
                    </a:xfrm>
                    <a:prstGeom prst="rect">
                      <a:avLst/>
                    </a:prstGeom>
                    <a:noFill/>
                  </pic:spPr>
                </pic:pic>
              </a:graphicData>
            </a:graphic>
          </wp:inline>
        </w:drawing>
      </w:r>
    </w:p>
    <w:p w14:paraId="0D6D788F" w14:textId="77777777" w:rsidR="00F854A6" w:rsidRPr="00A9330B" w:rsidRDefault="00F854A6" w:rsidP="00F854A6">
      <w:pPr>
        <w:rPr>
          <w:b/>
        </w:rPr>
      </w:pPr>
      <w:r w:rsidRPr="00A9330B">
        <w:rPr>
          <w:b/>
        </w:rPr>
        <w:t>NB :  Le POOL PAPVS est intégré à l’organigramme du personnel de l’ACVDT</w:t>
      </w:r>
    </w:p>
    <w:p w14:paraId="001F6E6A" w14:textId="77777777" w:rsidR="00AB04ED" w:rsidRPr="00A9330B" w:rsidRDefault="00AB04ED" w:rsidP="0064324E">
      <w:pPr>
        <w:pStyle w:val="Titre40"/>
      </w:pPr>
      <w:bookmarkStart w:id="665" w:name="_Toc45520803"/>
      <w:bookmarkStart w:id="666" w:name="_Toc52869607"/>
      <w:r w:rsidRPr="00A9330B">
        <w:rPr>
          <w:lang w:eastAsia="fr-FR"/>
        </w:rPr>
        <w:lastRenderedPageBreak/>
        <w:t xml:space="preserve">2.2.3.4. </w:t>
      </w:r>
      <w:r w:rsidRPr="00A9330B">
        <w:t>Agence Nationale du Domaine et du Foncier (ANDF)</w:t>
      </w:r>
      <w:bookmarkEnd w:id="665"/>
      <w:bookmarkEnd w:id="666"/>
      <w:r w:rsidRPr="00A9330B">
        <w:t xml:space="preserve"> </w:t>
      </w:r>
    </w:p>
    <w:p w14:paraId="50DB9054" w14:textId="79A19630" w:rsidR="00AB04ED" w:rsidRPr="00A9330B" w:rsidRDefault="00AB04ED" w:rsidP="00BA18AC">
      <w:pPr>
        <w:jc w:val="both"/>
      </w:pPr>
      <w:r w:rsidRPr="00A9330B">
        <w:t xml:space="preserve">Créée par le décret N° 2005-010 du 29 Janvier 2015, l’ANDF a pour objet la mise en œuvre de la politique foncière et domaniale définie </w:t>
      </w:r>
      <w:r w:rsidR="005A2696" w:rsidRPr="00A9330B">
        <w:t xml:space="preserve">par </w:t>
      </w:r>
      <w:r w:rsidRPr="00A9330B">
        <w:t>l’État. Placée sous la tutelle du Ministère de l’Économie et des Finances, l’ANDF est chargée entre autres :</w:t>
      </w:r>
    </w:p>
    <w:p w14:paraId="123CCCB9" w14:textId="77777777" w:rsidR="00AB04ED" w:rsidRPr="00A9330B" w:rsidRDefault="00AB04ED" w:rsidP="00BD2F72">
      <w:pPr>
        <w:pStyle w:val="Paragraphedeliste"/>
        <w:numPr>
          <w:ilvl w:val="0"/>
          <w:numId w:val="41"/>
        </w:numPr>
        <w:jc w:val="both"/>
        <w:rPr>
          <w:rFonts w:eastAsia="Calibri"/>
          <w:lang w:val="fr-FR"/>
        </w:rPr>
      </w:pPr>
      <w:r w:rsidRPr="00A9330B">
        <w:rPr>
          <w:rFonts w:eastAsia="Calibri"/>
          <w:lang w:val="fr-FR"/>
        </w:rPr>
        <w:t xml:space="preserve">d’assurer la mise en œuvre des procédures relatives à la gestion du foncier </w:t>
      </w:r>
    </w:p>
    <w:p w14:paraId="41868DC7" w14:textId="77777777" w:rsidR="00AB04ED" w:rsidRPr="00A9330B" w:rsidRDefault="00AB04ED" w:rsidP="00BD2F72">
      <w:pPr>
        <w:pStyle w:val="Paragraphedeliste"/>
        <w:numPr>
          <w:ilvl w:val="0"/>
          <w:numId w:val="41"/>
        </w:numPr>
        <w:jc w:val="both"/>
        <w:rPr>
          <w:rFonts w:eastAsia="Calibri"/>
          <w:lang w:val="fr-FR"/>
        </w:rPr>
      </w:pPr>
      <w:r w:rsidRPr="00A9330B">
        <w:rPr>
          <w:rFonts w:eastAsia="Calibri"/>
          <w:lang w:val="fr-FR"/>
        </w:rPr>
        <w:t xml:space="preserve">de gérer le cadastre national ; </w:t>
      </w:r>
    </w:p>
    <w:p w14:paraId="61F9EA73" w14:textId="77777777" w:rsidR="00AB04ED" w:rsidRPr="00A9330B" w:rsidRDefault="00AB04ED" w:rsidP="00BD2F72">
      <w:pPr>
        <w:pStyle w:val="Paragraphedeliste"/>
        <w:numPr>
          <w:ilvl w:val="0"/>
          <w:numId w:val="41"/>
        </w:numPr>
        <w:jc w:val="both"/>
        <w:rPr>
          <w:rFonts w:eastAsia="Calibri"/>
          <w:lang w:val="fr-FR"/>
        </w:rPr>
      </w:pPr>
      <w:r w:rsidRPr="00A9330B">
        <w:rPr>
          <w:rFonts w:eastAsia="Calibri"/>
          <w:lang w:val="fr-FR"/>
        </w:rPr>
        <w:t xml:space="preserve">de procéder à la confirmation des droits fonciers et de la délivrance du certificat de propriété foncière ; </w:t>
      </w:r>
    </w:p>
    <w:p w14:paraId="4BA431D7" w14:textId="77777777" w:rsidR="00AB04ED" w:rsidRPr="00A9330B" w:rsidRDefault="00AB04ED" w:rsidP="00BD2F72">
      <w:pPr>
        <w:pStyle w:val="Paragraphedeliste"/>
        <w:numPr>
          <w:ilvl w:val="0"/>
          <w:numId w:val="41"/>
        </w:numPr>
        <w:jc w:val="both"/>
        <w:rPr>
          <w:rFonts w:eastAsia="Calibri"/>
          <w:lang w:val="fr-FR"/>
        </w:rPr>
      </w:pPr>
      <w:r w:rsidRPr="00A9330B">
        <w:rPr>
          <w:rFonts w:eastAsia="Calibri"/>
          <w:lang w:val="fr-FR"/>
        </w:rPr>
        <w:t xml:space="preserve">d’aider l’État et les collectivités territoriales dans leurs actions par voie d’expropriation et dans l’exercice de leur droit de préemption ; </w:t>
      </w:r>
    </w:p>
    <w:p w14:paraId="030D4277" w14:textId="5AACD246" w:rsidR="00F854A6" w:rsidRPr="00A9330B" w:rsidRDefault="00AB04ED" w:rsidP="00BA18AC">
      <w:pPr>
        <w:jc w:val="both"/>
      </w:pPr>
      <w:r w:rsidRPr="00A9330B">
        <w:t xml:space="preserve">L’ANDF à un démembrement au niveau communal (Bureau communal du domaine et du foncier). </w:t>
      </w:r>
    </w:p>
    <w:p w14:paraId="4981C1C9" w14:textId="77777777" w:rsidR="00F854A6" w:rsidRPr="00A9330B" w:rsidRDefault="00AB04ED" w:rsidP="00F854A6">
      <w:pPr>
        <w:pStyle w:val="Titre40"/>
      </w:pPr>
      <w:bookmarkStart w:id="667" w:name="_Toc45520804"/>
      <w:bookmarkStart w:id="668" w:name="_Toc52869608"/>
      <w:r w:rsidRPr="00A9330B">
        <w:rPr>
          <w:lang w:eastAsia="fr-FR"/>
        </w:rPr>
        <w:t>2.2.3.5.</w:t>
      </w:r>
      <w:r w:rsidR="00F854A6" w:rsidRPr="00A9330B">
        <w:rPr>
          <w:lang w:eastAsia="fr-FR"/>
        </w:rPr>
        <w:t xml:space="preserve"> </w:t>
      </w:r>
      <w:r w:rsidR="00F854A6" w:rsidRPr="00A9330B">
        <w:t>Bénéficiaires</w:t>
      </w:r>
      <w:bookmarkEnd w:id="668"/>
    </w:p>
    <w:p w14:paraId="11F41B8E" w14:textId="77777777" w:rsidR="00F854A6" w:rsidRPr="00A9330B" w:rsidRDefault="00F854A6" w:rsidP="000F7BA7">
      <w:pPr>
        <w:jc w:val="both"/>
      </w:pPr>
      <w:r w:rsidRPr="00A9330B">
        <w:t>Les villes de Porto-Novo, Sèmè-Podji, Abomey-Calavi, Ouidah, Abomey, Bohicon, Parakou et Natitingou sont les bénéficiaires finaux du programme. Elles seront Maître d’Ouvrage après transfert de propriété sur la base de convention spécifique de transfert à signer avec l’Etat. En tant que bénéficiaires finaux, les Communes sont parties prenantes de l’ensemble du programme et sont étroitement associées à la phase de définition et de conduite du programme.</w:t>
      </w:r>
    </w:p>
    <w:p w14:paraId="5CD1E0C3" w14:textId="7A365D23" w:rsidR="00F854A6" w:rsidRPr="00A9330B" w:rsidRDefault="00F854A6" w:rsidP="00F854A6">
      <w:pPr>
        <w:pStyle w:val="Titre"/>
      </w:pPr>
      <w:bookmarkStart w:id="669" w:name="_Toc51700959"/>
      <w:bookmarkStart w:id="670" w:name="_Toc52869609"/>
      <w:r w:rsidRPr="00A9330B">
        <w:t>2.2.3.5.1. Préfecture</w:t>
      </w:r>
      <w:bookmarkEnd w:id="669"/>
      <w:bookmarkEnd w:id="670"/>
      <w:r w:rsidRPr="00A9330B">
        <w:t xml:space="preserve"> </w:t>
      </w:r>
    </w:p>
    <w:p w14:paraId="7AA8924C" w14:textId="77777777" w:rsidR="00F854A6" w:rsidRPr="00A9330B" w:rsidRDefault="00F854A6" w:rsidP="000F7BA7">
      <w:pPr>
        <w:jc w:val="both"/>
      </w:pPr>
      <w:r w:rsidRPr="00A9330B">
        <w:t xml:space="preserve">Conformément aux dispositions de la loi n° 97 028 du 15 janvier 1999 portant Organisation de l'administration territoriale en République du Benin, le Préfet est le dépositaire de l'autorité de l'État dans le département. En cette qualité, il est l'unique représentant du gouvernement et de chacun des ministres pris individuellement. Il communique directement avec chacun des ministres et adresse ampliation de toute correspondance au ministre chargé de l’administration territoriale. </w:t>
      </w:r>
    </w:p>
    <w:p w14:paraId="76A1F497" w14:textId="64D0B023" w:rsidR="00224FE2" w:rsidRPr="00A9330B" w:rsidRDefault="00224FE2" w:rsidP="0064324E">
      <w:pPr>
        <w:pStyle w:val="Titre40"/>
        <w:rPr>
          <w:b w:val="0"/>
        </w:rPr>
      </w:pPr>
      <w:bookmarkStart w:id="671" w:name="_Toc45520806"/>
      <w:bookmarkStart w:id="672" w:name="_Toc52869610"/>
      <w:bookmarkEnd w:id="667"/>
      <w:r w:rsidRPr="00A9330B">
        <w:rPr>
          <w:b w:val="0"/>
        </w:rPr>
        <w:t>2.2.3.</w:t>
      </w:r>
      <w:r w:rsidR="00BA77B6" w:rsidRPr="00A9330B">
        <w:rPr>
          <w:b w:val="0"/>
        </w:rPr>
        <w:t>5</w:t>
      </w:r>
      <w:r w:rsidR="00FA4D70" w:rsidRPr="00A9330B">
        <w:rPr>
          <w:b w:val="0"/>
        </w:rPr>
        <w:t>.</w:t>
      </w:r>
      <w:r w:rsidR="00BA77B6" w:rsidRPr="00A9330B">
        <w:rPr>
          <w:b w:val="0"/>
        </w:rPr>
        <w:t>2.</w:t>
      </w:r>
      <w:r w:rsidR="00FA4D70" w:rsidRPr="00A9330B">
        <w:rPr>
          <w:b w:val="0"/>
        </w:rPr>
        <w:t xml:space="preserve"> La Commune de Natitingou</w:t>
      </w:r>
      <w:bookmarkEnd w:id="671"/>
      <w:bookmarkEnd w:id="672"/>
    </w:p>
    <w:p w14:paraId="166AE213" w14:textId="77777777" w:rsidR="00BA77B6" w:rsidRPr="00A9330B" w:rsidRDefault="00BA77B6" w:rsidP="000F7BA7">
      <w:pPr>
        <w:jc w:val="both"/>
      </w:pPr>
      <w:r w:rsidRPr="00A9330B">
        <w:t xml:space="preserve">La commune dispose de compétences qui lui sont propres en tant que collectivité territoriale décentralisée. Elle exerce en outre, sous le contrôle de l'autorité de tutelle, d'autres attributions qui relèvent des compétences de l'État. Elle concourt avec l'État et les autres collectivités à l'administration et à l'aménagement du territoire, au développement économique, social, sanitaire, culturel et scientifique ainsi qu'à la protection de l'environnement et à l'amélioration du cadre de vie (Article 82). </w:t>
      </w:r>
    </w:p>
    <w:p w14:paraId="4264BFA1" w14:textId="5F364BE4" w:rsidR="00BA77B6" w:rsidRPr="00A9330B" w:rsidRDefault="00BA77B6" w:rsidP="0064324E">
      <w:pPr>
        <w:jc w:val="both"/>
      </w:pPr>
      <w:r w:rsidRPr="00A9330B">
        <w:t xml:space="preserve">La commune donne son avis chaque fois qu'il est envisagé la création sur son territoire, de tout projet susceptible de porter atteinte à l'environnement (Article 96). </w:t>
      </w:r>
    </w:p>
    <w:p w14:paraId="3DD89DA9" w14:textId="7B95F1A8" w:rsidR="00FA4D70" w:rsidRPr="00A9330B" w:rsidRDefault="00FA4D70" w:rsidP="0046727A">
      <w:pPr>
        <w:jc w:val="both"/>
        <w:rPr>
          <w:rFonts w:ascii="Times New Roman" w:eastAsiaTheme="minorEastAsia" w:hAnsi="Times New Roman" w:cs="Times New Roman"/>
          <w:sz w:val="20"/>
          <w:szCs w:val="20"/>
          <w:lang w:eastAsia="fr-FR"/>
        </w:rPr>
      </w:pPr>
      <w:r w:rsidRPr="00A9330B">
        <w:rPr>
          <w:lang w:eastAsia="fr-FR"/>
        </w:rPr>
        <w:t xml:space="preserve">Elle constitue le premier responsable et le premier maillon en matière de gestion directe de la prévention de l’inondation au regard des articles 84 et 86, de la loi 97-029 du 15 janvier 1999 portant organisation des communes en République du Bénin. Mais dans le cadre de ce projet, et compte-tenu de son envergure et de sa dimension sociale, l’Etat central a décidé d’accompagner la Mairie de Natitingou pour prévenir durablement le problème d’inondation. Ce dispositif est complété par la mise à disposition de ressources appropriées. </w:t>
      </w:r>
    </w:p>
    <w:p w14:paraId="474000E3" w14:textId="5F91EA23" w:rsidR="00AB04ED" w:rsidRPr="00A9330B" w:rsidRDefault="00AB04ED" w:rsidP="0046727A">
      <w:pPr>
        <w:jc w:val="both"/>
        <w:rPr>
          <w:rFonts w:eastAsiaTheme="majorEastAsia" w:cstheme="majorBidi"/>
          <w:b/>
          <w:caps/>
          <w:color w:val="2E74B5" w:themeColor="accent1" w:themeShade="BF"/>
          <w:sz w:val="28"/>
          <w:szCs w:val="32"/>
        </w:rPr>
      </w:pPr>
      <w:r w:rsidRPr="00A9330B">
        <w:rPr>
          <w:rFonts w:eastAsiaTheme="majorEastAsia" w:cstheme="majorBidi"/>
          <w:b/>
          <w:caps/>
          <w:color w:val="2E74B5" w:themeColor="accent1" w:themeShade="BF"/>
          <w:sz w:val="28"/>
          <w:szCs w:val="32"/>
        </w:rPr>
        <w:br w:type="page"/>
      </w:r>
    </w:p>
    <w:p w14:paraId="7D6ED070" w14:textId="46F271CA" w:rsidR="00701C80" w:rsidRPr="00A9330B" w:rsidRDefault="000357A9" w:rsidP="0064324E">
      <w:pPr>
        <w:pStyle w:val="Titre1"/>
      </w:pPr>
      <w:bookmarkStart w:id="673" w:name="_Toc52869611"/>
      <w:bookmarkStart w:id="674" w:name="_Toc52869834"/>
      <w:r w:rsidRPr="00A9330B">
        <w:lastRenderedPageBreak/>
        <w:t>3</w:t>
      </w:r>
      <w:r w:rsidR="00701C80" w:rsidRPr="00A9330B">
        <w:t>. </w:t>
      </w:r>
      <w:bookmarkStart w:id="675" w:name="_Toc336163869"/>
      <w:bookmarkStart w:id="676" w:name="_Toc517377144"/>
      <w:r w:rsidR="00701C80" w:rsidRPr="00A9330B">
        <w:t>DESCRIPTION DU MILIEU RECEPTEUR</w:t>
      </w:r>
      <w:bookmarkEnd w:id="675"/>
      <w:bookmarkEnd w:id="676"/>
      <w:r w:rsidR="00701C80" w:rsidRPr="00A9330B">
        <w:t xml:space="preserve"> des interventions du projeT</w:t>
      </w:r>
      <w:bookmarkEnd w:id="673"/>
      <w:bookmarkEnd w:id="674"/>
    </w:p>
    <w:p w14:paraId="1F3F5FEF" w14:textId="77777777" w:rsidR="00701C80" w:rsidRPr="00A9330B" w:rsidRDefault="00701C80" w:rsidP="006E37A6">
      <w:pPr>
        <w:pStyle w:val="Titre20"/>
        <w:rPr>
          <w:rFonts w:eastAsia="Times New Roman"/>
          <w:lang w:eastAsia="fr-FR"/>
        </w:rPr>
      </w:pPr>
      <w:bookmarkStart w:id="677" w:name="_Toc517377145"/>
      <w:bookmarkStart w:id="678" w:name="_Toc52869612"/>
      <w:bookmarkStart w:id="679" w:name="_Toc52869835"/>
      <w:r w:rsidRPr="00A9330B">
        <w:rPr>
          <w:rFonts w:eastAsia="Times New Roman"/>
          <w:lang w:eastAsia="fr-FR"/>
        </w:rPr>
        <w:t>3.1 Généralités sur la zone d’étude</w:t>
      </w:r>
      <w:bookmarkEnd w:id="677"/>
      <w:bookmarkEnd w:id="678"/>
      <w:bookmarkEnd w:id="679"/>
      <w:r w:rsidRPr="00A9330B">
        <w:rPr>
          <w:rFonts w:eastAsia="Times New Roman"/>
          <w:lang w:eastAsia="fr-FR"/>
        </w:rPr>
        <w:t xml:space="preserve"> </w:t>
      </w:r>
    </w:p>
    <w:p w14:paraId="5D50286B" w14:textId="125A0622" w:rsidR="00701C80" w:rsidRPr="00A9330B" w:rsidRDefault="00935A72" w:rsidP="00E33E4E">
      <w:pPr>
        <w:pStyle w:val="Titre3"/>
      </w:pPr>
      <w:bookmarkStart w:id="680" w:name="_Toc45520809"/>
      <w:bookmarkStart w:id="681" w:name="_Toc52869613"/>
      <w:r w:rsidRPr="00A9330B">
        <w:t>3</w:t>
      </w:r>
      <w:r w:rsidR="00701C80" w:rsidRPr="00A9330B">
        <w:t xml:space="preserve">.1.1 </w:t>
      </w:r>
      <w:r w:rsidR="006C08BE" w:rsidRPr="00A9330B">
        <w:t>Présentation du milieu physique</w:t>
      </w:r>
      <w:bookmarkEnd w:id="681"/>
      <w:r w:rsidR="006C08BE" w:rsidRPr="00A9330B">
        <w:t xml:space="preserve"> </w:t>
      </w:r>
      <w:bookmarkEnd w:id="680"/>
    </w:p>
    <w:p w14:paraId="672B6D7B" w14:textId="7206BB63" w:rsidR="00701C80" w:rsidRPr="00A9330B" w:rsidRDefault="00935A72" w:rsidP="0064324E">
      <w:pPr>
        <w:pStyle w:val="Titre40"/>
      </w:pPr>
      <w:bookmarkStart w:id="682" w:name="_Toc45520810"/>
      <w:bookmarkStart w:id="683" w:name="_Toc52869614"/>
      <w:r w:rsidRPr="00A9330B">
        <w:t>3</w:t>
      </w:r>
      <w:r w:rsidR="00701C80" w:rsidRPr="00A9330B">
        <w:t>.1.1.1 Situation géographique</w:t>
      </w:r>
      <w:bookmarkEnd w:id="682"/>
      <w:bookmarkEnd w:id="683"/>
    </w:p>
    <w:p w14:paraId="0813F502" w14:textId="77777777" w:rsidR="00701C80" w:rsidRPr="00A9330B" w:rsidRDefault="00701C80" w:rsidP="00701C80">
      <w:pPr>
        <w:spacing w:line="240" w:lineRule="auto"/>
        <w:jc w:val="both"/>
        <w:rPr>
          <w:rFonts w:eastAsia="Calibri" w:cs="Arial"/>
          <w:color w:val="auto"/>
          <w:szCs w:val="28"/>
          <w:lang w:eastAsia="fr-FR"/>
        </w:rPr>
      </w:pPr>
      <w:r w:rsidRPr="00A9330B">
        <w:rPr>
          <w:rFonts w:eastAsia="Calibri" w:cs="Arial"/>
          <w:noProof/>
          <w:color w:val="auto"/>
          <w:szCs w:val="28"/>
        </w:rPr>
        <w:t xml:space="preserve">Située au Nord-ouest du Bénin et au Centre du département de l'Atacora, la ville de Natitingou est limitée au Nord par l’arrondissement de Péporiyakou, à l’Est et au Sud-Est par l’arrondissement de Kotopounga, au Sud-Ouest par l’arrondissement de Kouandata et à l’Ouest par l’arrondissement de Kouaba. </w:t>
      </w:r>
      <w:r w:rsidRPr="00A9330B">
        <w:rPr>
          <w:rFonts w:eastAsia="Calibri" w:cs="Arial"/>
          <w:color w:val="auto"/>
          <w:szCs w:val="28"/>
          <w:lang w:eastAsia="fr-FR"/>
        </w:rPr>
        <w:t xml:space="preserve">Elle couvrait 1580 ha en 2002. Aujourd’hui, la superficie de la ville de Natitingou est d’environ 2200 ha (ALI IDRISSOU Y.K.A., 2014). </w:t>
      </w:r>
      <w:r w:rsidRPr="00A9330B">
        <w:rPr>
          <w:rFonts w:eastAsia="Calibri" w:cs="Arial"/>
          <w:noProof/>
          <w:color w:val="auto"/>
          <w:szCs w:val="28"/>
        </w:rPr>
        <w:t>Elle compte trois (03) arrondissemt urbains, Natitingou 1, Natitingou 2 et Nat</w:t>
      </w:r>
      <w:r w:rsidR="00935A72" w:rsidRPr="00A9330B">
        <w:rPr>
          <w:rFonts w:eastAsia="Calibri" w:cs="Arial"/>
          <w:noProof/>
          <w:color w:val="auto"/>
          <w:szCs w:val="28"/>
        </w:rPr>
        <w:t>itingou 3.</w:t>
      </w:r>
    </w:p>
    <w:p w14:paraId="00AB01BB" w14:textId="77777777" w:rsidR="00701C80" w:rsidRPr="00A9330B" w:rsidRDefault="00701C80" w:rsidP="00701C80">
      <w:pPr>
        <w:spacing w:line="240" w:lineRule="auto"/>
        <w:jc w:val="both"/>
        <w:rPr>
          <w:rFonts w:eastAsia="Calibri" w:cs="Arial"/>
          <w:noProof/>
          <w:color w:val="auto"/>
          <w:sz w:val="20"/>
          <w:szCs w:val="24"/>
        </w:rPr>
        <w:sectPr w:rsidR="00701C80" w:rsidRPr="00A9330B" w:rsidSect="001A2ADB">
          <w:footerReference w:type="default" r:id="rId37"/>
          <w:pgSz w:w="11906" w:h="16838"/>
          <w:pgMar w:top="1418" w:right="1416" w:bottom="1418" w:left="1418" w:header="709" w:footer="709" w:gutter="0"/>
          <w:pgNumType w:start="1"/>
          <w:cols w:space="708"/>
          <w:docGrid w:linePitch="360"/>
        </w:sectPr>
      </w:pPr>
    </w:p>
    <w:p w14:paraId="09B4C7F1" w14:textId="45DBEE4F" w:rsidR="00701C80" w:rsidRPr="00A9330B" w:rsidRDefault="00935A72" w:rsidP="0011523E">
      <w:pPr>
        <w:spacing w:line="240" w:lineRule="auto"/>
        <w:jc w:val="center"/>
        <w:rPr>
          <w:rFonts w:eastAsia="Calibri"/>
          <w:b/>
          <w:noProof/>
        </w:rPr>
      </w:pPr>
      <w:bookmarkStart w:id="684" w:name="_Toc51844218"/>
      <w:r w:rsidRPr="00A9330B">
        <w:rPr>
          <w:b/>
        </w:rPr>
        <w:lastRenderedPageBreak/>
        <w:t xml:space="preserve">Figure </w:t>
      </w:r>
      <w:r w:rsidR="00C24C74" w:rsidRPr="00A9330B">
        <w:rPr>
          <w:b/>
          <w:noProof/>
        </w:rPr>
        <w:fldChar w:fldCharType="begin"/>
      </w:r>
      <w:r w:rsidR="00C24C74" w:rsidRPr="00A9330B">
        <w:rPr>
          <w:b/>
          <w:noProof/>
        </w:rPr>
        <w:instrText xml:space="preserve"> SEQ Figure \* ARABIC </w:instrText>
      </w:r>
      <w:r w:rsidR="00C24C74" w:rsidRPr="00A9330B">
        <w:rPr>
          <w:b/>
          <w:noProof/>
        </w:rPr>
        <w:fldChar w:fldCharType="separate"/>
      </w:r>
      <w:r w:rsidR="00BA18AC" w:rsidRPr="00A9330B">
        <w:rPr>
          <w:b/>
          <w:noProof/>
        </w:rPr>
        <w:t>5</w:t>
      </w:r>
      <w:r w:rsidR="00C24C74" w:rsidRPr="00A9330B">
        <w:rPr>
          <w:b/>
          <w:noProof/>
        </w:rPr>
        <w:fldChar w:fldCharType="end"/>
      </w:r>
      <w:r w:rsidRPr="00A9330B">
        <w:rPr>
          <w:b/>
        </w:rPr>
        <w:t xml:space="preserve"> : </w:t>
      </w:r>
      <w:r w:rsidR="009D5702" w:rsidRPr="00A9330B">
        <w:rPr>
          <w:rFonts w:eastAsia="Calibri"/>
          <w:b/>
          <w:noProof/>
        </w:rPr>
        <w:t>Situation</w:t>
      </w:r>
      <w:r w:rsidR="00701C80" w:rsidRPr="00A9330B">
        <w:rPr>
          <w:rFonts w:eastAsia="Calibri"/>
          <w:b/>
          <w:noProof/>
        </w:rPr>
        <w:t xml:space="preserve"> géogr</w:t>
      </w:r>
      <w:r w:rsidR="00B655B7" w:rsidRPr="00A9330B">
        <w:rPr>
          <w:rFonts w:eastAsia="Calibri"/>
          <w:b/>
          <w:noProof/>
        </w:rPr>
        <w:t>aphique</w:t>
      </w:r>
      <w:r w:rsidR="009D5702" w:rsidRPr="00A9330B">
        <w:rPr>
          <w:rFonts w:eastAsia="Calibri"/>
          <w:b/>
          <w:noProof/>
        </w:rPr>
        <w:t xml:space="preserve"> et</w:t>
      </w:r>
      <w:r w:rsidR="00701C80" w:rsidRPr="00A9330B">
        <w:rPr>
          <w:rFonts w:eastAsia="Calibri"/>
          <w:b/>
          <w:noProof/>
        </w:rPr>
        <w:t xml:space="preserve"> administrative de la ville de Natitingou</w:t>
      </w:r>
      <w:bookmarkEnd w:id="684"/>
    </w:p>
    <w:p w14:paraId="2AE204C1" w14:textId="3BDD1709" w:rsidR="00E575A2" w:rsidRPr="00A9330B" w:rsidRDefault="00E575A2" w:rsidP="0011523E">
      <w:pPr>
        <w:spacing w:line="240" w:lineRule="auto"/>
        <w:jc w:val="center"/>
        <w:rPr>
          <w:rFonts w:eastAsia="Calibri"/>
          <w:noProof/>
        </w:rPr>
      </w:pPr>
      <w:r w:rsidRPr="00A9330B">
        <w:rPr>
          <w:rFonts w:ascii="Calibri" w:eastAsia="Calibri" w:hAnsi="Calibri" w:cs="Times New Roman"/>
          <w:noProof/>
          <w:color w:val="auto"/>
          <w:lang w:eastAsia="fr-FR"/>
        </w:rPr>
        <w:drawing>
          <wp:inline distT="0" distB="0" distL="0" distR="0" wp14:anchorId="2BC99394" wp14:editId="6F2F7066">
            <wp:extent cx="8022566" cy="5297971"/>
            <wp:effectExtent l="0" t="0" r="0" b="0"/>
            <wp:docPr id="52" name="Imag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8037620" cy="5307913"/>
                    </a:xfrm>
                    <a:prstGeom prst="rect">
                      <a:avLst/>
                    </a:prstGeom>
                    <a:noFill/>
                    <a:ln>
                      <a:noFill/>
                    </a:ln>
                  </pic:spPr>
                </pic:pic>
              </a:graphicData>
            </a:graphic>
          </wp:inline>
        </w:drawing>
      </w:r>
    </w:p>
    <w:p w14:paraId="77671E7F" w14:textId="77777777" w:rsidR="00935A72" w:rsidRPr="00A9330B" w:rsidRDefault="00935A72" w:rsidP="00935A72">
      <w:pPr>
        <w:rPr>
          <w:lang w:eastAsia="fr-FR"/>
        </w:rPr>
        <w:sectPr w:rsidR="00935A72" w:rsidRPr="00A9330B" w:rsidSect="00701C80">
          <w:pgSz w:w="16838" w:h="11906" w:orient="landscape"/>
          <w:pgMar w:top="1418" w:right="1418" w:bottom="1418" w:left="1418" w:header="709" w:footer="709" w:gutter="0"/>
          <w:cols w:space="708"/>
          <w:docGrid w:linePitch="360"/>
        </w:sectPr>
      </w:pPr>
    </w:p>
    <w:p w14:paraId="4A09E5F2" w14:textId="3F848D16" w:rsidR="00701C80" w:rsidRPr="00A9330B" w:rsidRDefault="00701C80" w:rsidP="00935A72">
      <w:pPr>
        <w:jc w:val="both"/>
        <w:rPr>
          <w:lang w:eastAsia="fr-FR"/>
        </w:rPr>
      </w:pPr>
      <w:r w:rsidRPr="00A9330B">
        <w:rPr>
          <w:lang w:eastAsia="fr-FR"/>
        </w:rPr>
        <w:lastRenderedPageBreak/>
        <w:t xml:space="preserve">Fondé par un chasseur-Meunier du nom de Nanto, signifiant littéralement en langues Waama et Ditammari, deux langues parlées au Bénin, </w:t>
      </w:r>
      <w:r w:rsidRPr="00A9330B">
        <w:rPr>
          <w:i/>
          <w:iCs/>
          <w:lang w:eastAsia="fr-FR"/>
        </w:rPr>
        <w:t>« La ville de Nanto »</w:t>
      </w:r>
      <w:r w:rsidRPr="00A9330B">
        <w:rPr>
          <w:lang w:eastAsia="fr-FR"/>
        </w:rPr>
        <w:t xml:space="preserve">. Le nom de la ville de Natitingou a été attribué par les missionnaires européens. Elle fut </w:t>
      </w:r>
      <w:r w:rsidR="00715270" w:rsidRPr="00A9330B">
        <w:rPr>
          <w:lang w:eastAsia="fr-FR"/>
        </w:rPr>
        <w:t xml:space="preserve">à un moment donné, </w:t>
      </w:r>
      <w:r w:rsidRPr="00A9330B">
        <w:rPr>
          <w:lang w:eastAsia="fr-FR"/>
        </w:rPr>
        <w:t xml:space="preserve">le siège du palais du gouverneur pendant la colonisation française. Grâce à l’Arrêté Général du 11 mai 1955, la ville de Natitingou est devenue officiellement le chef-lieu du département de l’Atacora. Elle est une ville géographiquement située au Nord-ouest de la République du Bénin. Natitingou est une ville béninoise pleine de charme. La ville de Natitingou est située à 78 </w:t>
      </w:r>
      <w:r w:rsidR="00715270" w:rsidRPr="00A9330B">
        <w:rPr>
          <w:lang w:eastAsia="fr-FR"/>
        </w:rPr>
        <w:t>k</w:t>
      </w:r>
      <w:r w:rsidRPr="00A9330B">
        <w:rPr>
          <w:lang w:eastAsia="fr-FR"/>
        </w:rPr>
        <w:t xml:space="preserve">m de Djougou, deuxième ville du département de l’Atacora- Donga, et à 237 km de Parakou, le plus important centre urbain de la région septentrionale du Bénin. Elle constitue un point de passage vers le Burkina-Faso et le Mali. Elle est traversée par la Route Nationale Inter-Etats Bénin-Burkina-Faso (RNIE 3) et reçoit plusieurs flux routiers secondaires tels que République </w:t>
      </w:r>
      <w:r w:rsidR="00715270" w:rsidRPr="00A9330B">
        <w:rPr>
          <w:lang w:eastAsia="fr-FR"/>
        </w:rPr>
        <w:t>T</w:t>
      </w:r>
      <w:r w:rsidRPr="00A9330B">
        <w:rPr>
          <w:lang w:eastAsia="fr-FR"/>
        </w:rPr>
        <w:t>ogolaise- Boukoumbé- Natitingou.</w:t>
      </w:r>
    </w:p>
    <w:p w14:paraId="78C75FD5" w14:textId="7D17EB80" w:rsidR="00701C80" w:rsidRPr="00A9330B" w:rsidRDefault="00701C80" w:rsidP="00935A72">
      <w:pPr>
        <w:jc w:val="both"/>
        <w:rPr>
          <w:szCs w:val="24"/>
          <w:lang w:eastAsia="fr-FR"/>
        </w:rPr>
      </w:pPr>
      <w:r w:rsidRPr="00A9330B">
        <w:rPr>
          <w:szCs w:val="24"/>
          <w:lang w:eastAsia="fr-FR"/>
        </w:rPr>
        <w:t>Cette merveilleuse agglomération est souvent fréquentée par des touristes, sûrement grâce à ses attraits touristiques tels que : les chutes de Kota, le musée ethnographique régional ou encore la chaîne de l'Atacora. Le tissu urbain est formé par les trois arrondissements de Natitingou (Natitingou I, Natitingou II et Natitingou III).</w:t>
      </w:r>
    </w:p>
    <w:p w14:paraId="13B4764D" w14:textId="77777777" w:rsidR="00701C80" w:rsidRPr="00A9330B" w:rsidRDefault="00935A72" w:rsidP="0064324E">
      <w:pPr>
        <w:pStyle w:val="Titre40"/>
        <w:rPr>
          <w:lang w:eastAsia="fr-FR"/>
        </w:rPr>
      </w:pPr>
      <w:bookmarkStart w:id="685" w:name="_Toc45520811"/>
      <w:bookmarkStart w:id="686" w:name="_Toc52869615"/>
      <w:r w:rsidRPr="00A9330B">
        <w:t>3</w:t>
      </w:r>
      <w:r w:rsidR="00701C80" w:rsidRPr="00A9330B">
        <w:t>.1.1.2 Climat</w:t>
      </w:r>
      <w:bookmarkEnd w:id="685"/>
      <w:bookmarkEnd w:id="686"/>
      <w:r w:rsidR="00701C80" w:rsidRPr="00A9330B">
        <w:t xml:space="preserve"> </w:t>
      </w:r>
    </w:p>
    <w:p w14:paraId="0D2B2EA2" w14:textId="77777777" w:rsidR="00701C80" w:rsidRPr="00A9330B" w:rsidRDefault="00701C80" w:rsidP="00935A72">
      <w:pPr>
        <w:jc w:val="both"/>
      </w:pPr>
      <w:r w:rsidRPr="00A9330B">
        <w:t xml:space="preserve">Le type de climat qui règne dans </w:t>
      </w:r>
      <w:r w:rsidRPr="00A9330B">
        <w:rPr>
          <w:i/>
        </w:rPr>
        <w:t xml:space="preserve">la </w:t>
      </w:r>
      <w:r w:rsidRPr="00A9330B">
        <w:rPr>
          <w:iCs/>
        </w:rPr>
        <w:t>ville de Natitingou</w:t>
      </w:r>
      <w:r w:rsidRPr="00A9330B">
        <w:t xml:space="preserve"> est déterminé à travers les fondements aérologiques, géographiques et orographiques.</w:t>
      </w:r>
      <w:r w:rsidRPr="00A9330B">
        <w:rPr>
          <w:i/>
        </w:rPr>
        <w:t xml:space="preserve"> </w:t>
      </w:r>
      <w:r w:rsidRPr="00A9330B">
        <w:t xml:space="preserve">Il est qualifié du climat soudanien (tropical), avec deux grandes saisons : une saison pluvieuse et une saison sèche qui rythment la vie et les activités humaines </w:t>
      </w:r>
    </w:p>
    <w:p w14:paraId="0027E52E" w14:textId="48EE9987" w:rsidR="00701C80" w:rsidRPr="00A9330B" w:rsidRDefault="00935A72" w:rsidP="0011523E">
      <w:pPr>
        <w:spacing w:line="240" w:lineRule="auto"/>
        <w:jc w:val="center"/>
        <w:rPr>
          <w:rFonts w:eastAsia="Calibri"/>
          <w:b/>
        </w:rPr>
      </w:pPr>
      <w:bookmarkStart w:id="687" w:name="_Toc51844219"/>
      <w:r w:rsidRPr="00A9330B">
        <w:rPr>
          <w:b/>
        </w:rPr>
        <w:t xml:space="preserve">Figure </w:t>
      </w:r>
      <w:r w:rsidR="00C24C74" w:rsidRPr="00A9330B">
        <w:rPr>
          <w:b/>
          <w:noProof/>
        </w:rPr>
        <w:fldChar w:fldCharType="begin"/>
      </w:r>
      <w:r w:rsidR="00C24C74" w:rsidRPr="00A9330B">
        <w:rPr>
          <w:b/>
          <w:noProof/>
        </w:rPr>
        <w:instrText xml:space="preserve"> SEQ Figure \* ARABIC </w:instrText>
      </w:r>
      <w:r w:rsidR="00C24C74" w:rsidRPr="00A9330B">
        <w:rPr>
          <w:b/>
          <w:noProof/>
        </w:rPr>
        <w:fldChar w:fldCharType="separate"/>
      </w:r>
      <w:r w:rsidR="00BA18AC" w:rsidRPr="00A9330B">
        <w:rPr>
          <w:b/>
          <w:noProof/>
        </w:rPr>
        <w:t>6</w:t>
      </w:r>
      <w:r w:rsidR="00C24C74" w:rsidRPr="00A9330B">
        <w:rPr>
          <w:b/>
          <w:noProof/>
        </w:rPr>
        <w:fldChar w:fldCharType="end"/>
      </w:r>
      <w:r w:rsidRPr="00A9330B">
        <w:rPr>
          <w:b/>
        </w:rPr>
        <w:t xml:space="preserve"> </w:t>
      </w:r>
      <w:r w:rsidR="00701C80" w:rsidRPr="00A9330B">
        <w:rPr>
          <w:rFonts w:eastAsia="Calibri"/>
          <w:b/>
          <w:bCs/>
          <w:noProof/>
        </w:rPr>
        <w:t>:</w:t>
      </w:r>
      <w:r w:rsidR="00701C80" w:rsidRPr="00A9330B">
        <w:rPr>
          <w:rFonts w:eastAsia="Calibri"/>
          <w:b/>
          <w:noProof/>
        </w:rPr>
        <w:t xml:space="preserve"> Régime interannuel des pluies dans la ville de Natitingou </w:t>
      </w:r>
      <w:r w:rsidR="00701C80" w:rsidRPr="00A9330B">
        <w:rPr>
          <w:rFonts w:eastAsia="Calibri"/>
          <w:b/>
        </w:rPr>
        <w:t>(1971-2014)</w:t>
      </w:r>
      <w:bookmarkEnd w:id="687"/>
    </w:p>
    <w:p w14:paraId="71195614" w14:textId="74082B12" w:rsidR="00E575A2" w:rsidRPr="00A9330B" w:rsidRDefault="00E575A2" w:rsidP="0011523E">
      <w:pPr>
        <w:spacing w:line="240" w:lineRule="auto"/>
        <w:jc w:val="center"/>
        <w:rPr>
          <w:rFonts w:eastAsia="Calibri"/>
          <w:noProof/>
        </w:rPr>
      </w:pPr>
      <w:r w:rsidRPr="00A9330B">
        <w:rPr>
          <w:rFonts w:ascii="Calibri" w:eastAsia="Calibri" w:hAnsi="Calibri" w:cs="Times New Roman"/>
          <w:noProof/>
          <w:color w:val="auto"/>
          <w:lang w:eastAsia="fr-FR"/>
        </w:rPr>
        <w:drawing>
          <wp:inline distT="0" distB="0" distL="0" distR="0" wp14:anchorId="7869460D" wp14:editId="79B14BF1">
            <wp:extent cx="4865298" cy="2736000"/>
            <wp:effectExtent l="0" t="0" r="12065" b="7620"/>
            <wp:docPr id="53" name="Graphique 5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158FD0C2" w14:textId="77777777" w:rsidR="00701C80" w:rsidRPr="00A9330B" w:rsidRDefault="00701C80" w:rsidP="00701C80">
      <w:pPr>
        <w:jc w:val="center"/>
        <w:rPr>
          <w:rFonts w:eastAsia="Calibri" w:cs="Arial"/>
          <w:i/>
          <w:iCs/>
          <w:color w:val="auto"/>
          <w:sz w:val="20"/>
          <w:szCs w:val="20"/>
        </w:rPr>
      </w:pPr>
      <w:r w:rsidRPr="00A9330B">
        <w:rPr>
          <w:rFonts w:eastAsia="Calibri" w:cs="Arial"/>
          <w:b/>
          <w:bCs/>
          <w:i/>
          <w:iCs/>
          <w:noProof/>
          <w:color w:val="auto"/>
          <w:sz w:val="20"/>
          <w:szCs w:val="20"/>
        </w:rPr>
        <w:t>Source :</w:t>
      </w:r>
      <w:r w:rsidRPr="00A9330B">
        <w:rPr>
          <w:rFonts w:eastAsia="Calibri" w:cs="Arial"/>
          <w:i/>
          <w:iCs/>
          <w:noProof/>
          <w:color w:val="auto"/>
          <w:sz w:val="20"/>
          <w:szCs w:val="20"/>
        </w:rPr>
        <w:t xml:space="preserve"> ASECNA, 2020</w:t>
      </w:r>
    </w:p>
    <w:p w14:paraId="49485B0C" w14:textId="2AA0AA83" w:rsidR="00701C80" w:rsidRPr="00A9330B" w:rsidRDefault="00701C80" w:rsidP="00935A72">
      <w:pPr>
        <w:jc w:val="both"/>
      </w:pPr>
      <w:r w:rsidRPr="00A9330B">
        <w:rPr>
          <w:lang w:eastAsia="fr-FR"/>
        </w:rPr>
        <w:t>La ville de Natitingou bénéficie d’un climat tropical de type soudano-guinéen à saisons contrastées (une saison sèche et une saison pluvieuse), caractérisé par l’alternance d’une longue saison humide de 6 à 7 mois, allant d’avril/mai à octob</w:t>
      </w:r>
      <w:r w:rsidR="00935A72" w:rsidRPr="00A9330B">
        <w:rPr>
          <w:lang w:eastAsia="fr-FR"/>
        </w:rPr>
        <w:t xml:space="preserve">re et d’une longue saison sèche </w:t>
      </w:r>
      <w:r w:rsidRPr="00A9330B">
        <w:rPr>
          <w:lang w:eastAsia="fr-FR"/>
        </w:rPr>
        <w:t xml:space="preserve">de 5 à 6 mois, allant de novembre à mars/avril. </w:t>
      </w:r>
      <w:r w:rsidRPr="00A9330B">
        <w:rPr>
          <w:b/>
          <w:bCs/>
          <w:lang w:eastAsia="fr-FR"/>
        </w:rPr>
        <w:t xml:space="preserve"> </w:t>
      </w:r>
      <w:r w:rsidRPr="00A9330B">
        <w:t xml:space="preserve">La saison des pluies de mai à octobre voit la prédominance des flux de mousson d’ouest à sud-ouest mais ceux liés aux lignes de grains sont génératrices de fortes averses sur la région (Houssou, 1998). La saison sèche comprend deux périodes, la période de </w:t>
      </w:r>
      <w:r w:rsidR="00BA18AC" w:rsidRPr="00A9330B">
        <w:t>l’</w:t>
      </w:r>
      <w:r w:rsidRPr="00A9330B">
        <w:t>harmattan (</w:t>
      </w:r>
      <w:r w:rsidRPr="00A9330B">
        <w:rPr>
          <w:lang w:eastAsia="fr-FR"/>
        </w:rPr>
        <w:t xml:space="preserve">un vent sec et frais qui souffle du Sahara vers l’Ouest </w:t>
      </w:r>
      <w:r w:rsidRPr="00A9330B">
        <w:rPr>
          <w:lang w:eastAsia="fr-FR"/>
        </w:rPr>
        <w:lastRenderedPageBreak/>
        <w:t xml:space="preserve">sur l’Afrique occidentale) de </w:t>
      </w:r>
      <w:r w:rsidRPr="00A9330B">
        <w:t xml:space="preserve">novembre-février et celle de forte chaleur (mars-avril) relativement chaud le jour, desséchant et accélérant le dépérissement de la végétation. </w:t>
      </w:r>
    </w:p>
    <w:p w14:paraId="77D9C8E2" w14:textId="29916032" w:rsidR="00701C80" w:rsidRPr="00A9330B" w:rsidRDefault="00701C80" w:rsidP="00935A72">
      <w:pPr>
        <w:jc w:val="both"/>
        <w:rPr>
          <w:rFonts w:eastAsia="Calibri" w:cs="Arial"/>
          <w:color w:val="auto"/>
          <w:szCs w:val="24"/>
          <w:lang w:eastAsia="fr-FR"/>
        </w:rPr>
      </w:pPr>
      <w:r w:rsidRPr="00A9330B">
        <w:rPr>
          <w:rFonts w:eastAsia="Calibri" w:cs="Arial"/>
          <w:color w:val="auto"/>
          <w:szCs w:val="24"/>
          <w:lang w:eastAsia="fr-FR"/>
        </w:rPr>
        <w:t xml:space="preserve">Par ailleurs, elle enregistre depuis quelques années des aléas climatiques (inondations, sécheresse) caractérisés par une irrégularité des pluies, auxquels s’ajoutent les tornades qui accélèrent l’érosion dans les rues de la ville. </w:t>
      </w:r>
      <w:r w:rsidRPr="00A9330B">
        <w:rPr>
          <w:rFonts w:eastAsia="Calibri" w:cs="Arial"/>
          <w:color w:val="auto"/>
          <w:szCs w:val="24"/>
        </w:rPr>
        <w:t>Au cours de la saison pluvieuse les eaux de pluies descendent en torrents des flancs de montagne et remplissent les talwegs et les rivières (Fournyankrè et waadata</w:t>
      </w:r>
      <w:r w:rsidRPr="00A9330B">
        <w:rPr>
          <w:rFonts w:eastAsia="Calibri" w:cs="Arial"/>
          <w:color w:val="auto"/>
          <w:szCs w:val="24"/>
          <w:lang w:eastAsia="fr-FR"/>
        </w:rPr>
        <w:t>) qui sont les grands collecteurs d’eau de la ville de Natitingou.</w:t>
      </w:r>
      <w:bookmarkStart w:id="688" w:name="_Toc36158707"/>
      <w:r w:rsidRPr="00A9330B">
        <w:rPr>
          <w:rFonts w:eastAsia="Calibri" w:cs="Arial"/>
          <w:color w:val="auto"/>
          <w:szCs w:val="24"/>
          <w:lang w:eastAsia="fr-FR"/>
        </w:rPr>
        <w:t xml:space="preserve"> Les pluies orographiques au niveau de la ville de Natitingou représentent environ 70 % des précipitations totales (BOKO, 1988). Ces intenses pluies sont à l’origine de l’érosion des sols et de la dégradation des infrastructures privées et </w:t>
      </w:r>
      <w:r w:rsidR="00BA18AC" w:rsidRPr="00A9330B">
        <w:rPr>
          <w:rFonts w:eastAsia="Calibri" w:cs="Arial"/>
          <w:color w:val="auto"/>
          <w:szCs w:val="24"/>
          <w:lang w:eastAsia="fr-FR"/>
        </w:rPr>
        <w:t>sociocommunautaires</w:t>
      </w:r>
      <w:r w:rsidRPr="00A9330B">
        <w:rPr>
          <w:rFonts w:eastAsia="Calibri" w:cs="Arial"/>
          <w:color w:val="auto"/>
          <w:szCs w:val="24"/>
          <w:lang w:eastAsia="fr-FR"/>
        </w:rPr>
        <w:t xml:space="preserve"> et des communications dans la ville de Natitingou.</w:t>
      </w:r>
    </w:p>
    <w:p w14:paraId="78FC7D3C" w14:textId="2F32870D" w:rsidR="00701C80" w:rsidRPr="00A9330B" w:rsidRDefault="00701C80" w:rsidP="00935A72">
      <w:pPr>
        <w:jc w:val="both"/>
        <w:rPr>
          <w:rFonts w:eastAsia="Calibri" w:cs="Arial"/>
          <w:color w:val="auto"/>
          <w:szCs w:val="24"/>
          <w:lang w:eastAsia="fr-FR"/>
        </w:rPr>
      </w:pPr>
      <w:r w:rsidRPr="00A9330B">
        <w:rPr>
          <w:rFonts w:eastAsia="Calibri" w:cs="Arial"/>
          <w:color w:val="auto"/>
          <w:szCs w:val="24"/>
        </w:rPr>
        <w:t>Les tendances thermométriques minimales et maximales mensuelle</w:t>
      </w:r>
      <w:r w:rsidR="001625F0" w:rsidRPr="00A9330B">
        <w:rPr>
          <w:rFonts w:eastAsia="Calibri" w:cs="Arial"/>
          <w:color w:val="auto"/>
          <w:szCs w:val="24"/>
        </w:rPr>
        <w:t>s</w:t>
      </w:r>
      <w:r w:rsidRPr="00A9330B">
        <w:rPr>
          <w:rFonts w:eastAsia="Calibri" w:cs="Arial"/>
          <w:color w:val="auto"/>
          <w:szCs w:val="24"/>
        </w:rPr>
        <w:t xml:space="preserve"> observ</w:t>
      </w:r>
      <w:r w:rsidR="00935A72" w:rsidRPr="00A9330B">
        <w:rPr>
          <w:rFonts w:eastAsia="Calibri" w:cs="Arial"/>
          <w:color w:val="auto"/>
          <w:szCs w:val="24"/>
        </w:rPr>
        <w:t>ées dans la ville de Natitingou.</w:t>
      </w:r>
    </w:p>
    <w:p w14:paraId="5E314929" w14:textId="1CFADB83" w:rsidR="00701C80" w:rsidRPr="00A9330B" w:rsidRDefault="00935A72" w:rsidP="0011523E">
      <w:pPr>
        <w:spacing w:line="360" w:lineRule="auto"/>
        <w:jc w:val="center"/>
        <w:rPr>
          <w:rFonts w:eastAsia="Calibri"/>
          <w:b/>
          <w:bCs/>
        </w:rPr>
      </w:pPr>
      <w:bookmarkStart w:id="689" w:name="_Toc51844220"/>
      <w:r w:rsidRPr="00A9330B">
        <w:rPr>
          <w:b/>
        </w:rPr>
        <w:t xml:space="preserve">Figure </w:t>
      </w:r>
      <w:r w:rsidR="00C24C74" w:rsidRPr="00A9330B">
        <w:rPr>
          <w:b/>
          <w:noProof/>
        </w:rPr>
        <w:fldChar w:fldCharType="begin"/>
      </w:r>
      <w:r w:rsidR="00C24C74" w:rsidRPr="00A9330B">
        <w:rPr>
          <w:b/>
          <w:noProof/>
        </w:rPr>
        <w:instrText xml:space="preserve"> SEQ Figure \* ARABIC </w:instrText>
      </w:r>
      <w:r w:rsidR="00C24C74" w:rsidRPr="00A9330B">
        <w:rPr>
          <w:b/>
          <w:noProof/>
        </w:rPr>
        <w:fldChar w:fldCharType="separate"/>
      </w:r>
      <w:r w:rsidR="00BA18AC" w:rsidRPr="00A9330B">
        <w:rPr>
          <w:b/>
          <w:noProof/>
        </w:rPr>
        <w:t>7</w:t>
      </w:r>
      <w:r w:rsidR="00C24C74" w:rsidRPr="00A9330B">
        <w:rPr>
          <w:b/>
          <w:noProof/>
        </w:rPr>
        <w:fldChar w:fldCharType="end"/>
      </w:r>
      <w:r w:rsidRPr="00A9330B">
        <w:rPr>
          <w:b/>
        </w:rPr>
        <w:t xml:space="preserve"> </w:t>
      </w:r>
      <w:r w:rsidR="00701C80" w:rsidRPr="00A9330B">
        <w:rPr>
          <w:rFonts w:eastAsia="Calibri"/>
          <w:b/>
        </w:rPr>
        <w:t xml:space="preserve">: Régime mensuel de température dans </w:t>
      </w:r>
      <w:r w:rsidR="00701C80" w:rsidRPr="00A9330B">
        <w:rPr>
          <w:rFonts w:eastAsia="Calibri"/>
          <w:b/>
          <w:bCs/>
        </w:rPr>
        <w:t>la ville de Natitingou (1971-2014)</w:t>
      </w:r>
      <w:bookmarkEnd w:id="689"/>
    </w:p>
    <w:p w14:paraId="002F4AD3" w14:textId="3156255E" w:rsidR="00E575A2" w:rsidRPr="00A9330B" w:rsidRDefault="00E575A2" w:rsidP="0011523E">
      <w:pPr>
        <w:spacing w:line="360" w:lineRule="auto"/>
        <w:jc w:val="center"/>
        <w:rPr>
          <w:rFonts w:eastAsia="Calibri"/>
        </w:rPr>
      </w:pPr>
      <w:r w:rsidRPr="00A9330B">
        <w:rPr>
          <w:rFonts w:ascii="Times New Roman" w:eastAsia="Calibri" w:hAnsi="Times New Roman" w:cs="Times New Roman"/>
          <w:noProof/>
          <w:color w:val="auto"/>
          <w:lang w:eastAsia="fr-FR"/>
        </w:rPr>
        <w:drawing>
          <wp:inline distT="0" distB="0" distL="0" distR="0" wp14:anchorId="50E46123" wp14:editId="646F69B5">
            <wp:extent cx="4786008" cy="2019300"/>
            <wp:effectExtent l="0" t="0" r="14605" b="0"/>
            <wp:docPr id="54" name="Graphique 5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23D0963E" w14:textId="77777777" w:rsidR="00701C80" w:rsidRPr="00A9330B" w:rsidRDefault="00701C80" w:rsidP="00701C80">
      <w:pPr>
        <w:spacing w:line="240" w:lineRule="auto"/>
        <w:jc w:val="center"/>
        <w:rPr>
          <w:rFonts w:eastAsia="Calibri" w:cs="Arial"/>
          <w:i/>
          <w:color w:val="auto"/>
          <w:sz w:val="20"/>
          <w:szCs w:val="20"/>
        </w:rPr>
      </w:pPr>
      <w:r w:rsidRPr="00A9330B">
        <w:rPr>
          <w:rFonts w:eastAsia="Calibri" w:cs="Arial"/>
          <w:b/>
          <w:i/>
          <w:color w:val="auto"/>
          <w:sz w:val="20"/>
          <w:szCs w:val="20"/>
        </w:rPr>
        <w:t>Source :</w:t>
      </w:r>
      <w:r w:rsidRPr="00A9330B">
        <w:rPr>
          <w:rFonts w:eastAsia="Calibri" w:cs="Arial"/>
          <w:i/>
          <w:color w:val="auto"/>
          <w:sz w:val="20"/>
          <w:szCs w:val="20"/>
        </w:rPr>
        <w:t xml:space="preserve"> ASCENA, 2020</w:t>
      </w:r>
    </w:p>
    <w:bookmarkEnd w:id="688"/>
    <w:p w14:paraId="56342D8C" w14:textId="77777777" w:rsidR="001275D6" w:rsidRPr="00A9330B" w:rsidRDefault="001275D6" w:rsidP="00BD2F72">
      <w:pPr>
        <w:pStyle w:val="Paragraphedeliste"/>
        <w:numPr>
          <w:ilvl w:val="0"/>
          <w:numId w:val="94"/>
        </w:numPr>
        <w:spacing w:after="120" w:line="240" w:lineRule="auto"/>
        <w:jc w:val="both"/>
        <w:rPr>
          <w:rFonts w:cs="Arial"/>
          <w:b/>
          <w:i/>
          <w:color w:val="auto"/>
          <w:lang w:val="fr-FR" w:eastAsia="fr-FR"/>
        </w:rPr>
      </w:pPr>
      <w:r w:rsidRPr="00A9330B">
        <w:rPr>
          <w:rFonts w:cs="Arial"/>
          <w:b/>
          <w:i/>
          <w:color w:val="auto"/>
          <w:lang w:val="fr-FR" w:eastAsia="fr-FR"/>
        </w:rPr>
        <w:t>Température</w:t>
      </w:r>
    </w:p>
    <w:p w14:paraId="14209507" w14:textId="1E46EFE8" w:rsidR="00701C80" w:rsidRPr="00A9330B" w:rsidRDefault="00701C80" w:rsidP="00935A72">
      <w:pPr>
        <w:jc w:val="both"/>
      </w:pPr>
      <w:r w:rsidRPr="00A9330B">
        <w:rPr>
          <w:lang w:eastAsia="fr-FR"/>
        </w:rPr>
        <w:t xml:space="preserve">Les températures subissent de grandes variations pendant l’année. La moyenne annuelle est d’environ 27°C. Les températures </w:t>
      </w:r>
      <w:r w:rsidR="00141693" w:rsidRPr="00A9330B">
        <w:rPr>
          <w:lang w:eastAsia="fr-FR"/>
        </w:rPr>
        <w:t>durant la période où souffle l’</w:t>
      </w:r>
      <w:r w:rsidRPr="00A9330B">
        <w:rPr>
          <w:lang w:eastAsia="fr-FR"/>
        </w:rPr>
        <w:t>harmattan sont basses et peuvent descendre à 17°C. En saison sèche, la température peut atteindre 35°C. En ce qui concerne l’humidité relative de l’air, elle est maximale en saison pluvieuse (avril à octobre) et minimale en saison sèche. Elle varie de 17</w:t>
      </w:r>
      <w:r w:rsidR="001625F0" w:rsidRPr="00A9330B">
        <w:rPr>
          <w:lang w:eastAsia="fr-FR"/>
        </w:rPr>
        <w:t xml:space="preserve"> </w:t>
      </w:r>
      <w:r w:rsidRPr="00A9330B">
        <w:rPr>
          <w:lang w:eastAsia="fr-FR"/>
        </w:rPr>
        <w:t>% à 99</w:t>
      </w:r>
      <w:r w:rsidR="001625F0" w:rsidRPr="00A9330B">
        <w:rPr>
          <w:lang w:eastAsia="fr-FR"/>
        </w:rPr>
        <w:t xml:space="preserve"> </w:t>
      </w:r>
      <w:r w:rsidRPr="00A9330B">
        <w:rPr>
          <w:lang w:eastAsia="fr-FR"/>
        </w:rPr>
        <w:t xml:space="preserve">% suivant le mois et le moment de la journée. Pendant </w:t>
      </w:r>
      <w:r w:rsidR="00141693" w:rsidRPr="00A9330B">
        <w:rPr>
          <w:lang w:eastAsia="fr-FR"/>
        </w:rPr>
        <w:t>l’</w:t>
      </w:r>
      <w:r w:rsidRPr="00A9330B">
        <w:rPr>
          <w:lang w:eastAsia="fr-FR"/>
        </w:rPr>
        <w:t>harmattan, le pouvoir évaporant est fort et l’humidité relative moyenne est inférieure à 50</w:t>
      </w:r>
      <w:r w:rsidR="001625F0" w:rsidRPr="00A9330B">
        <w:rPr>
          <w:lang w:eastAsia="fr-FR"/>
        </w:rPr>
        <w:t xml:space="preserve"> </w:t>
      </w:r>
      <w:r w:rsidRPr="00A9330B">
        <w:rPr>
          <w:lang w:eastAsia="fr-FR"/>
        </w:rPr>
        <w:t>% (décembre à mars). L’indice d’humidité de Mangenot (1951) est de l’ordre de 2,37.</w:t>
      </w:r>
    </w:p>
    <w:p w14:paraId="4101F27A" w14:textId="6F437A28" w:rsidR="00701C80" w:rsidRPr="00A9330B" w:rsidRDefault="00701C80" w:rsidP="00935A72">
      <w:pPr>
        <w:jc w:val="both"/>
      </w:pPr>
      <w:r w:rsidRPr="00A9330B">
        <w:t xml:space="preserve">Le régime des vents est assez différencié suivant la latitude. Pendant la saison sèche, </w:t>
      </w:r>
      <w:r w:rsidR="00141693" w:rsidRPr="00A9330B">
        <w:t>l’</w:t>
      </w:r>
      <w:r w:rsidRPr="00A9330B">
        <w:t>harmattan, vent chaud et sec, souffre du Nord-Est. Il est responsable de la baisse brutale de l’humidité relative (Hr) à compter du mois de novembre. L’humidité relative moyenne mensuelle varie entre 85</w:t>
      </w:r>
      <w:r w:rsidR="001625F0" w:rsidRPr="00A9330B">
        <w:t xml:space="preserve"> </w:t>
      </w:r>
      <w:r w:rsidRPr="00A9330B">
        <w:t>% pour les maxima en août-septembre et 28</w:t>
      </w:r>
      <w:r w:rsidR="001625F0" w:rsidRPr="00A9330B">
        <w:t xml:space="preserve"> </w:t>
      </w:r>
      <w:r w:rsidRPr="00A9330B">
        <w:t>% pour les minima en janvier-février.</w:t>
      </w:r>
    </w:p>
    <w:p w14:paraId="02C0105C" w14:textId="71E1FB4E" w:rsidR="00701C80" w:rsidRPr="00A9330B" w:rsidRDefault="00701C80" w:rsidP="00935A72">
      <w:pPr>
        <w:jc w:val="both"/>
      </w:pPr>
      <w:r w:rsidRPr="00A9330B">
        <w:t xml:space="preserve">Les amplitudes thermiques sont grandes. La brume sèche et la poussière réduisent considérablement la visibilité à cette époque de l’année. Pendant ce temps les herbes s’assèchent, les ligneux perdent leurs feuilles et les feux de végétation s’installent. Ceux-ci brulent toutes les herbes des collines et laissent apparaitre les roches des collines. La cendre de ces feux couvre la ville. La faune des reptiles fuyant le feu se réfugie le long de la rivière et </w:t>
      </w:r>
      <w:r w:rsidRPr="00A9330B">
        <w:lastRenderedPageBreak/>
        <w:t xml:space="preserve">à proximité des maisons d’habitations. En ce moment le paysage est gris avec des soulèvements de poussière.  Plusieurs maladies comme la toux et la méningite sévissent </w:t>
      </w:r>
      <w:r w:rsidR="004205C6" w:rsidRPr="00A9330B">
        <w:t>au cours</w:t>
      </w:r>
      <w:r w:rsidRPr="00A9330B">
        <w:t xml:space="preserve"> de cette période de l’année.</w:t>
      </w:r>
    </w:p>
    <w:p w14:paraId="4D6376D2" w14:textId="77777777" w:rsidR="001275D6" w:rsidRPr="00A9330B" w:rsidRDefault="001275D6" w:rsidP="001275D6">
      <w:pPr>
        <w:overflowPunct w:val="0"/>
        <w:autoSpaceDE w:val="0"/>
        <w:autoSpaceDN w:val="0"/>
        <w:adjustRightInd w:val="0"/>
        <w:spacing w:before="0" w:line="240" w:lineRule="auto"/>
        <w:jc w:val="both"/>
        <w:textAlignment w:val="baseline"/>
        <w:rPr>
          <w:rFonts w:eastAsia="Times New Roman" w:cs="Arial"/>
          <w:color w:val="221F1F"/>
          <w:lang w:eastAsia="it-IT"/>
        </w:rPr>
      </w:pPr>
      <w:r w:rsidRPr="00A9330B">
        <w:rPr>
          <w:rFonts w:eastAsia="Times New Roman" w:cs="Arial"/>
          <w:color w:val="221F1F"/>
          <w:lang w:eastAsia="it-IT"/>
        </w:rPr>
        <w:t>Les températures maximales journalières les plus élevées ne dépassent souvent pas les 38°C. Les mois les plus chauds sont : Février et Mars. Les plus faibles valeurs de températures (15°C en moyenne) sont enregistrées dans le mois de Janvier.</w:t>
      </w:r>
    </w:p>
    <w:p w14:paraId="7BD239B7" w14:textId="79E3B3D6" w:rsidR="001275D6" w:rsidRPr="00A9330B" w:rsidRDefault="001275D6" w:rsidP="00A9330B">
      <w:pPr>
        <w:pStyle w:val="Lgende"/>
      </w:pPr>
      <w:bookmarkStart w:id="690" w:name="_Toc504498856"/>
      <w:bookmarkStart w:id="691" w:name="_Toc52873737"/>
      <w:r w:rsidRPr="00A9330B">
        <w:t xml:space="preserve">Tableau </w:t>
      </w:r>
      <w:r w:rsidR="00D24D0D" w:rsidRPr="00A9330B">
        <w:fldChar w:fldCharType="begin"/>
      </w:r>
      <w:r w:rsidR="00D24D0D" w:rsidRPr="00A9330B">
        <w:instrText xml:space="preserve"> SEQ Tableau \* ARABIC </w:instrText>
      </w:r>
      <w:r w:rsidR="00D24D0D" w:rsidRPr="00A9330B">
        <w:fldChar w:fldCharType="separate"/>
      </w:r>
      <w:r w:rsidR="00417D31" w:rsidRPr="00A9330B">
        <w:rPr>
          <w:noProof/>
        </w:rPr>
        <w:t>13</w:t>
      </w:r>
      <w:r w:rsidR="00D24D0D" w:rsidRPr="00A9330B">
        <w:rPr>
          <w:noProof/>
        </w:rPr>
        <w:fldChar w:fldCharType="end"/>
      </w:r>
      <w:r w:rsidRPr="00A9330B">
        <w:t xml:space="preserve"> : Données sur la température minimale et maximale moyenne journalière</w:t>
      </w:r>
      <w:bookmarkEnd w:id="690"/>
      <w:bookmarkEnd w:id="691"/>
    </w:p>
    <w:tbl>
      <w:tblPr>
        <w:tblW w:w="5036" w:type="pct"/>
        <w:tblCellMar>
          <w:left w:w="70" w:type="dxa"/>
          <w:right w:w="70" w:type="dxa"/>
        </w:tblCellMar>
        <w:tblLook w:val="04A0" w:firstRow="1" w:lastRow="0" w:firstColumn="1" w:lastColumn="0" w:noHBand="0" w:noVBand="1"/>
      </w:tblPr>
      <w:tblGrid>
        <w:gridCol w:w="1634"/>
        <w:gridCol w:w="591"/>
        <w:gridCol w:w="591"/>
        <w:gridCol w:w="511"/>
        <w:gridCol w:w="591"/>
        <w:gridCol w:w="591"/>
        <w:gridCol w:w="591"/>
        <w:gridCol w:w="491"/>
        <w:gridCol w:w="591"/>
        <w:gridCol w:w="591"/>
        <w:gridCol w:w="491"/>
        <w:gridCol w:w="491"/>
        <w:gridCol w:w="491"/>
        <w:gridCol w:w="881"/>
      </w:tblGrid>
      <w:tr w:rsidR="001275D6" w:rsidRPr="00A9330B" w14:paraId="1BCBE081" w14:textId="77777777" w:rsidTr="001275D6">
        <w:trPr>
          <w:trHeight w:val="600"/>
        </w:trPr>
        <w:tc>
          <w:tcPr>
            <w:tcW w:w="89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FD231B" w14:textId="77777777" w:rsidR="001275D6" w:rsidRPr="00A9330B" w:rsidRDefault="001275D6" w:rsidP="001275D6">
            <w:pPr>
              <w:spacing w:before="0" w:line="240" w:lineRule="auto"/>
              <w:jc w:val="both"/>
              <w:rPr>
                <w:rFonts w:eastAsia="Times New Roman" w:cs="Arial"/>
                <w:color w:val="000000"/>
                <w:sz w:val="18"/>
                <w:szCs w:val="16"/>
                <w:lang w:eastAsia="fr-FR"/>
              </w:rPr>
            </w:pPr>
            <w:r w:rsidRPr="00A9330B">
              <w:rPr>
                <w:rFonts w:eastAsia="Times New Roman" w:cs="Arial"/>
                <w:color w:val="000000"/>
                <w:sz w:val="18"/>
                <w:szCs w:val="16"/>
                <w:lang w:eastAsia="fr-FR"/>
              </w:rPr>
              <w:t>Températures (°C)</w:t>
            </w:r>
          </w:p>
        </w:tc>
        <w:tc>
          <w:tcPr>
            <w:tcW w:w="324" w:type="pct"/>
            <w:tcBorders>
              <w:top w:val="single" w:sz="4" w:space="0" w:color="auto"/>
              <w:left w:val="nil"/>
              <w:bottom w:val="single" w:sz="4" w:space="0" w:color="auto"/>
              <w:right w:val="single" w:sz="4" w:space="0" w:color="auto"/>
            </w:tcBorders>
            <w:shd w:val="clear" w:color="auto" w:fill="auto"/>
            <w:noWrap/>
            <w:vAlign w:val="center"/>
            <w:hideMark/>
          </w:tcPr>
          <w:p w14:paraId="6C38A5F0" w14:textId="77777777" w:rsidR="001275D6" w:rsidRPr="00A9330B" w:rsidRDefault="001275D6" w:rsidP="001275D6">
            <w:pPr>
              <w:spacing w:before="0" w:line="240" w:lineRule="auto"/>
              <w:jc w:val="both"/>
              <w:rPr>
                <w:rFonts w:eastAsia="Times New Roman" w:cs="Arial"/>
                <w:color w:val="000000"/>
                <w:sz w:val="18"/>
                <w:szCs w:val="16"/>
                <w:lang w:eastAsia="fr-FR"/>
              </w:rPr>
            </w:pPr>
            <w:r w:rsidRPr="00A9330B">
              <w:rPr>
                <w:rFonts w:eastAsia="Times New Roman" w:cs="Arial"/>
                <w:color w:val="000000"/>
                <w:sz w:val="18"/>
                <w:szCs w:val="16"/>
                <w:lang w:eastAsia="fr-FR"/>
              </w:rPr>
              <w:t>J</w:t>
            </w:r>
          </w:p>
        </w:tc>
        <w:tc>
          <w:tcPr>
            <w:tcW w:w="324" w:type="pct"/>
            <w:tcBorders>
              <w:top w:val="single" w:sz="4" w:space="0" w:color="auto"/>
              <w:left w:val="nil"/>
              <w:bottom w:val="single" w:sz="4" w:space="0" w:color="auto"/>
              <w:right w:val="single" w:sz="4" w:space="0" w:color="auto"/>
            </w:tcBorders>
            <w:shd w:val="clear" w:color="auto" w:fill="auto"/>
            <w:noWrap/>
            <w:vAlign w:val="center"/>
            <w:hideMark/>
          </w:tcPr>
          <w:p w14:paraId="5442CDF0" w14:textId="77777777" w:rsidR="001275D6" w:rsidRPr="00A9330B" w:rsidRDefault="001275D6" w:rsidP="001275D6">
            <w:pPr>
              <w:spacing w:before="0" w:line="240" w:lineRule="auto"/>
              <w:jc w:val="both"/>
              <w:rPr>
                <w:rFonts w:eastAsia="Times New Roman" w:cs="Arial"/>
                <w:color w:val="000000"/>
                <w:sz w:val="18"/>
                <w:szCs w:val="16"/>
                <w:lang w:eastAsia="fr-FR"/>
              </w:rPr>
            </w:pPr>
            <w:r w:rsidRPr="00A9330B">
              <w:rPr>
                <w:rFonts w:eastAsia="Times New Roman" w:cs="Arial"/>
                <w:color w:val="000000"/>
                <w:sz w:val="18"/>
                <w:szCs w:val="16"/>
                <w:lang w:eastAsia="fr-FR"/>
              </w:rPr>
              <w:t>F</w:t>
            </w:r>
          </w:p>
        </w:tc>
        <w:tc>
          <w:tcPr>
            <w:tcW w:w="280" w:type="pct"/>
            <w:tcBorders>
              <w:top w:val="single" w:sz="4" w:space="0" w:color="auto"/>
              <w:left w:val="nil"/>
              <w:bottom w:val="single" w:sz="4" w:space="0" w:color="auto"/>
              <w:right w:val="single" w:sz="4" w:space="0" w:color="auto"/>
            </w:tcBorders>
            <w:shd w:val="clear" w:color="auto" w:fill="auto"/>
            <w:noWrap/>
            <w:vAlign w:val="center"/>
            <w:hideMark/>
          </w:tcPr>
          <w:p w14:paraId="21E363CE" w14:textId="77777777" w:rsidR="001275D6" w:rsidRPr="00A9330B" w:rsidRDefault="001275D6" w:rsidP="001275D6">
            <w:pPr>
              <w:spacing w:before="0" w:line="240" w:lineRule="auto"/>
              <w:jc w:val="both"/>
              <w:rPr>
                <w:rFonts w:eastAsia="Times New Roman" w:cs="Arial"/>
                <w:color w:val="000000"/>
                <w:sz w:val="18"/>
                <w:szCs w:val="16"/>
                <w:lang w:eastAsia="fr-FR"/>
              </w:rPr>
            </w:pPr>
            <w:r w:rsidRPr="00A9330B">
              <w:rPr>
                <w:rFonts w:eastAsia="Times New Roman" w:cs="Arial"/>
                <w:color w:val="000000"/>
                <w:sz w:val="18"/>
                <w:szCs w:val="16"/>
                <w:lang w:eastAsia="fr-FR"/>
              </w:rPr>
              <w:t>M</w:t>
            </w:r>
          </w:p>
        </w:tc>
        <w:tc>
          <w:tcPr>
            <w:tcW w:w="324" w:type="pct"/>
            <w:tcBorders>
              <w:top w:val="single" w:sz="4" w:space="0" w:color="auto"/>
              <w:left w:val="nil"/>
              <w:bottom w:val="single" w:sz="4" w:space="0" w:color="auto"/>
              <w:right w:val="single" w:sz="4" w:space="0" w:color="auto"/>
            </w:tcBorders>
            <w:shd w:val="clear" w:color="auto" w:fill="auto"/>
            <w:noWrap/>
            <w:vAlign w:val="center"/>
            <w:hideMark/>
          </w:tcPr>
          <w:p w14:paraId="2B7893BA" w14:textId="77777777" w:rsidR="001275D6" w:rsidRPr="00A9330B" w:rsidRDefault="001275D6" w:rsidP="001275D6">
            <w:pPr>
              <w:spacing w:before="0" w:line="240" w:lineRule="auto"/>
              <w:jc w:val="both"/>
              <w:rPr>
                <w:rFonts w:eastAsia="Times New Roman" w:cs="Arial"/>
                <w:color w:val="000000"/>
                <w:sz w:val="18"/>
                <w:szCs w:val="16"/>
                <w:lang w:eastAsia="fr-FR"/>
              </w:rPr>
            </w:pPr>
            <w:r w:rsidRPr="00A9330B">
              <w:rPr>
                <w:rFonts w:eastAsia="Times New Roman" w:cs="Arial"/>
                <w:color w:val="000000"/>
                <w:sz w:val="18"/>
                <w:szCs w:val="16"/>
                <w:lang w:eastAsia="fr-FR"/>
              </w:rPr>
              <w:t>A</w:t>
            </w:r>
          </w:p>
        </w:tc>
        <w:tc>
          <w:tcPr>
            <w:tcW w:w="324" w:type="pct"/>
            <w:tcBorders>
              <w:top w:val="single" w:sz="4" w:space="0" w:color="auto"/>
              <w:left w:val="nil"/>
              <w:bottom w:val="single" w:sz="4" w:space="0" w:color="auto"/>
              <w:right w:val="single" w:sz="4" w:space="0" w:color="auto"/>
            </w:tcBorders>
            <w:shd w:val="clear" w:color="auto" w:fill="auto"/>
            <w:noWrap/>
            <w:vAlign w:val="center"/>
            <w:hideMark/>
          </w:tcPr>
          <w:p w14:paraId="4BC821C2" w14:textId="77777777" w:rsidR="001275D6" w:rsidRPr="00A9330B" w:rsidRDefault="001275D6" w:rsidP="001275D6">
            <w:pPr>
              <w:spacing w:before="0" w:line="240" w:lineRule="auto"/>
              <w:jc w:val="both"/>
              <w:rPr>
                <w:rFonts w:eastAsia="Times New Roman" w:cs="Arial"/>
                <w:color w:val="000000"/>
                <w:sz w:val="18"/>
                <w:szCs w:val="16"/>
                <w:lang w:eastAsia="fr-FR"/>
              </w:rPr>
            </w:pPr>
            <w:r w:rsidRPr="00A9330B">
              <w:rPr>
                <w:rFonts w:eastAsia="Times New Roman" w:cs="Arial"/>
                <w:color w:val="000000"/>
                <w:sz w:val="18"/>
                <w:szCs w:val="16"/>
                <w:lang w:eastAsia="fr-FR"/>
              </w:rPr>
              <w:t>M</w:t>
            </w:r>
          </w:p>
        </w:tc>
        <w:tc>
          <w:tcPr>
            <w:tcW w:w="324" w:type="pct"/>
            <w:tcBorders>
              <w:top w:val="single" w:sz="4" w:space="0" w:color="auto"/>
              <w:left w:val="nil"/>
              <w:bottom w:val="single" w:sz="4" w:space="0" w:color="auto"/>
              <w:right w:val="single" w:sz="4" w:space="0" w:color="auto"/>
            </w:tcBorders>
            <w:shd w:val="clear" w:color="auto" w:fill="auto"/>
            <w:noWrap/>
            <w:vAlign w:val="center"/>
            <w:hideMark/>
          </w:tcPr>
          <w:p w14:paraId="57C3EB7D" w14:textId="77777777" w:rsidR="001275D6" w:rsidRPr="00A9330B" w:rsidRDefault="001275D6" w:rsidP="001275D6">
            <w:pPr>
              <w:spacing w:before="0" w:line="240" w:lineRule="auto"/>
              <w:jc w:val="both"/>
              <w:rPr>
                <w:rFonts w:eastAsia="Times New Roman" w:cs="Arial"/>
                <w:color w:val="000000"/>
                <w:sz w:val="18"/>
                <w:szCs w:val="16"/>
                <w:lang w:eastAsia="fr-FR"/>
              </w:rPr>
            </w:pPr>
            <w:r w:rsidRPr="00A9330B">
              <w:rPr>
                <w:rFonts w:eastAsia="Times New Roman" w:cs="Arial"/>
                <w:color w:val="000000"/>
                <w:sz w:val="18"/>
                <w:szCs w:val="16"/>
                <w:lang w:eastAsia="fr-FR"/>
              </w:rPr>
              <w:t>J</w:t>
            </w:r>
          </w:p>
        </w:tc>
        <w:tc>
          <w:tcPr>
            <w:tcW w:w="269" w:type="pct"/>
            <w:tcBorders>
              <w:top w:val="single" w:sz="4" w:space="0" w:color="auto"/>
              <w:left w:val="nil"/>
              <w:bottom w:val="single" w:sz="4" w:space="0" w:color="auto"/>
              <w:right w:val="single" w:sz="4" w:space="0" w:color="auto"/>
            </w:tcBorders>
            <w:shd w:val="clear" w:color="auto" w:fill="auto"/>
            <w:noWrap/>
            <w:vAlign w:val="center"/>
            <w:hideMark/>
          </w:tcPr>
          <w:p w14:paraId="122DF65A" w14:textId="77777777" w:rsidR="001275D6" w:rsidRPr="00A9330B" w:rsidRDefault="001275D6" w:rsidP="001275D6">
            <w:pPr>
              <w:spacing w:before="0" w:line="240" w:lineRule="auto"/>
              <w:jc w:val="both"/>
              <w:rPr>
                <w:rFonts w:eastAsia="Times New Roman" w:cs="Arial"/>
                <w:color w:val="000000"/>
                <w:sz w:val="18"/>
                <w:szCs w:val="16"/>
                <w:lang w:eastAsia="fr-FR"/>
              </w:rPr>
            </w:pPr>
            <w:r w:rsidRPr="00A9330B">
              <w:rPr>
                <w:rFonts w:eastAsia="Times New Roman" w:cs="Arial"/>
                <w:color w:val="000000"/>
                <w:sz w:val="18"/>
                <w:szCs w:val="16"/>
                <w:lang w:eastAsia="fr-FR"/>
              </w:rPr>
              <w:t>Jt</w:t>
            </w:r>
          </w:p>
        </w:tc>
        <w:tc>
          <w:tcPr>
            <w:tcW w:w="324" w:type="pct"/>
            <w:tcBorders>
              <w:top w:val="single" w:sz="4" w:space="0" w:color="auto"/>
              <w:left w:val="nil"/>
              <w:bottom w:val="single" w:sz="4" w:space="0" w:color="auto"/>
              <w:right w:val="single" w:sz="4" w:space="0" w:color="auto"/>
            </w:tcBorders>
            <w:shd w:val="clear" w:color="auto" w:fill="auto"/>
            <w:noWrap/>
            <w:vAlign w:val="center"/>
            <w:hideMark/>
          </w:tcPr>
          <w:p w14:paraId="0850894E" w14:textId="77777777" w:rsidR="001275D6" w:rsidRPr="00A9330B" w:rsidRDefault="001275D6" w:rsidP="001275D6">
            <w:pPr>
              <w:spacing w:before="0" w:line="240" w:lineRule="auto"/>
              <w:jc w:val="both"/>
              <w:rPr>
                <w:rFonts w:eastAsia="Times New Roman" w:cs="Arial"/>
                <w:color w:val="000000"/>
                <w:sz w:val="18"/>
                <w:szCs w:val="16"/>
                <w:lang w:eastAsia="fr-FR"/>
              </w:rPr>
            </w:pPr>
            <w:r w:rsidRPr="00A9330B">
              <w:rPr>
                <w:rFonts w:eastAsia="Times New Roman" w:cs="Arial"/>
                <w:color w:val="000000"/>
                <w:sz w:val="18"/>
                <w:szCs w:val="16"/>
                <w:lang w:eastAsia="fr-FR"/>
              </w:rPr>
              <w:t>A</w:t>
            </w:r>
          </w:p>
        </w:tc>
        <w:tc>
          <w:tcPr>
            <w:tcW w:w="324" w:type="pct"/>
            <w:tcBorders>
              <w:top w:val="single" w:sz="4" w:space="0" w:color="auto"/>
              <w:left w:val="nil"/>
              <w:bottom w:val="single" w:sz="4" w:space="0" w:color="auto"/>
              <w:right w:val="single" w:sz="4" w:space="0" w:color="auto"/>
            </w:tcBorders>
            <w:shd w:val="clear" w:color="auto" w:fill="auto"/>
            <w:noWrap/>
            <w:vAlign w:val="center"/>
            <w:hideMark/>
          </w:tcPr>
          <w:p w14:paraId="14B02811" w14:textId="77777777" w:rsidR="001275D6" w:rsidRPr="00A9330B" w:rsidRDefault="001275D6" w:rsidP="001275D6">
            <w:pPr>
              <w:spacing w:before="0" w:line="240" w:lineRule="auto"/>
              <w:jc w:val="both"/>
              <w:rPr>
                <w:rFonts w:eastAsia="Times New Roman" w:cs="Arial"/>
                <w:color w:val="000000"/>
                <w:sz w:val="18"/>
                <w:szCs w:val="16"/>
                <w:lang w:eastAsia="fr-FR"/>
              </w:rPr>
            </w:pPr>
            <w:r w:rsidRPr="00A9330B">
              <w:rPr>
                <w:rFonts w:eastAsia="Times New Roman" w:cs="Arial"/>
                <w:color w:val="000000"/>
                <w:sz w:val="18"/>
                <w:szCs w:val="16"/>
                <w:lang w:eastAsia="fr-FR"/>
              </w:rPr>
              <w:t>S</w:t>
            </w:r>
          </w:p>
        </w:tc>
        <w:tc>
          <w:tcPr>
            <w:tcW w:w="269" w:type="pct"/>
            <w:tcBorders>
              <w:top w:val="single" w:sz="4" w:space="0" w:color="auto"/>
              <w:left w:val="nil"/>
              <w:bottom w:val="single" w:sz="4" w:space="0" w:color="auto"/>
              <w:right w:val="single" w:sz="4" w:space="0" w:color="auto"/>
            </w:tcBorders>
            <w:shd w:val="clear" w:color="auto" w:fill="auto"/>
            <w:noWrap/>
            <w:vAlign w:val="center"/>
            <w:hideMark/>
          </w:tcPr>
          <w:p w14:paraId="44FDC687" w14:textId="77777777" w:rsidR="001275D6" w:rsidRPr="00A9330B" w:rsidRDefault="001275D6" w:rsidP="001275D6">
            <w:pPr>
              <w:spacing w:before="0" w:line="240" w:lineRule="auto"/>
              <w:jc w:val="both"/>
              <w:rPr>
                <w:rFonts w:eastAsia="Times New Roman" w:cs="Arial"/>
                <w:color w:val="000000"/>
                <w:sz w:val="18"/>
                <w:szCs w:val="16"/>
                <w:lang w:eastAsia="fr-FR"/>
              </w:rPr>
            </w:pPr>
            <w:r w:rsidRPr="00A9330B">
              <w:rPr>
                <w:rFonts w:eastAsia="Times New Roman" w:cs="Arial"/>
                <w:color w:val="000000"/>
                <w:sz w:val="18"/>
                <w:szCs w:val="16"/>
                <w:lang w:eastAsia="fr-FR"/>
              </w:rPr>
              <w:t>O</w:t>
            </w:r>
          </w:p>
        </w:tc>
        <w:tc>
          <w:tcPr>
            <w:tcW w:w="269" w:type="pct"/>
            <w:tcBorders>
              <w:top w:val="single" w:sz="4" w:space="0" w:color="auto"/>
              <w:left w:val="nil"/>
              <w:bottom w:val="single" w:sz="4" w:space="0" w:color="auto"/>
              <w:right w:val="single" w:sz="4" w:space="0" w:color="auto"/>
            </w:tcBorders>
            <w:shd w:val="clear" w:color="auto" w:fill="auto"/>
            <w:noWrap/>
            <w:vAlign w:val="center"/>
            <w:hideMark/>
          </w:tcPr>
          <w:p w14:paraId="56B60547" w14:textId="77777777" w:rsidR="001275D6" w:rsidRPr="00A9330B" w:rsidRDefault="001275D6" w:rsidP="001275D6">
            <w:pPr>
              <w:spacing w:before="0" w:line="240" w:lineRule="auto"/>
              <w:jc w:val="both"/>
              <w:rPr>
                <w:rFonts w:eastAsia="Times New Roman" w:cs="Arial"/>
                <w:color w:val="000000"/>
                <w:sz w:val="18"/>
                <w:szCs w:val="16"/>
                <w:lang w:eastAsia="fr-FR"/>
              </w:rPr>
            </w:pPr>
            <w:r w:rsidRPr="00A9330B">
              <w:rPr>
                <w:rFonts w:eastAsia="Times New Roman" w:cs="Arial"/>
                <w:color w:val="000000"/>
                <w:sz w:val="18"/>
                <w:szCs w:val="16"/>
                <w:lang w:eastAsia="fr-FR"/>
              </w:rPr>
              <w:t>N</w:t>
            </w:r>
          </w:p>
        </w:tc>
        <w:tc>
          <w:tcPr>
            <w:tcW w:w="269" w:type="pct"/>
            <w:tcBorders>
              <w:top w:val="single" w:sz="4" w:space="0" w:color="auto"/>
              <w:left w:val="nil"/>
              <w:bottom w:val="single" w:sz="4" w:space="0" w:color="auto"/>
              <w:right w:val="single" w:sz="4" w:space="0" w:color="auto"/>
            </w:tcBorders>
            <w:shd w:val="clear" w:color="auto" w:fill="auto"/>
            <w:noWrap/>
            <w:vAlign w:val="center"/>
            <w:hideMark/>
          </w:tcPr>
          <w:p w14:paraId="1FF565A3" w14:textId="77777777" w:rsidR="001275D6" w:rsidRPr="00A9330B" w:rsidRDefault="001275D6" w:rsidP="001275D6">
            <w:pPr>
              <w:spacing w:before="0" w:line="240" w:lineRule="auto"/>
              <w:jc w:val="both"/>
              <w:rPr>
                <w:rFonts w:eastAsia="Times New Roman" w:cs="Arial"/>
                <w:color w:val="000000"/>
                <w:sz w:val="18"/>
                <w:szCs w:val="16"/>
                <w:lang w:eastAsia="fr-FR"/>
              </w:rPr>
            </w:pPr>
            <w:r w:rsidRPr="00A9330B">
              <w:rPr>
                <w:rFonts w:eastAsia="Times New Roman" w:cs="Arial"/>
                <w:color w:val="000000"/>
                <w:sz w:val="18"/>
                <w:szCs w:val="16"/>
                <w:lang w:eastAsia="fr-FR"/>
              </w:rPr>
              <w:t>D</w:t>
            </w:r>
          </w:p>
        </w:tc>
        <w:tc>
          <w:tcPr>
            <w:tcW w:w="483" w:type="pct"/>
            <w:tcBorders>
              <w:top w:val="single" w:sz="4" w:space="0" w:color="auto"/>
              <w:left w:val="nil"/>
              <w:bottom w:val="single" w:sz="4" w:space="0" w:color="auto"/>
              <w:right w:val="single" w:sz="4" w:space="0" w:color="auto"/>
            </w:tcBorders>
            <w:shd w:val="clear" w:color="auto" w:fill="auto"/>
            <w:vAlign w:val="center"/>
            <w:hideMark/>
          </w:tcPr>
          <w:p w14:paraId="2448E6D3" w14:textId="77777777" w:rsidR="001275D6" w:rsidRPr="00A9330B" w:rsidRDefault="001275D6" w:rsidP="001275D6">
            <w:pPr>
              <w:spacing w:before="0" w:line="240" w:lineRule="auto"/>
              <w:jc w:val="both"/>
              <w:rPr>
                <w:rFonts w:eastAsia="Times New Roman" w:cs="Arial"/>
                <w:color w:val="000000"/>
                <w:sz w:val="18"/>
                <w:szCs w:val="16"/>
                <w:lang w:eastAsia="fr-FR"/>
              </w:rPr>
            </w:pPr>
            <w:r w:rsidRPr="00A9330B">
              <w:rPr>
                <w:rFonts w:eastAsia="Times New Roman" w:cs="Arial"/>
                <w:color w:val="000000"/>
                <w:sz w:val="18"/>
                <w:szCs w:val="16"/>
                <w:lang w:eastAsia="fr-FR"/>
              </w:rPr>
              <w:t>Moyenne annuelle</w:t>
            </w:r>
          </w:p>
        </w:tc>
      </w:tr>
      <w:tr w:rsidR="001275D6" w:rsidRPr="00A9330B" w14:paraId="0A25C3BF" w14:textId="77777777" w:rsidTr="001275D6">
        <w:trPr>
          <w:trHeight w:val="300"/>
        </w:trPr>
        <w:tc>
          <w:tcPr>
            <w:tcW w:w="895" w:type="pct"/>
            <w:tcBorders>
              <w:top w:val="nil"/>
              <w:left w:val="single" w:sz="4" w:space="0" w:color="auto"/>
              <w:bottom w:val="single" w:sz="4" w:space="0" w:color="auto"/>
              <w:right w:val="single" w:sz="4" w:space="0" w:color="auto"/>
            </w:tcBorders>
            <w:shd w:val="clear" w:color="auto" w:fill="auto"/>
            <w:noWrap/>
            <w:vAlign w:val="center"/>
            <w:hideMark/>
          </w:tcPr>
          <w:p w14:paraId="77708303" w14:textId="77777777" w:rsidR="001275D6" w:rsidRPr="00A9330B" w:rsidRDefault="001275D6" w:rsidP="001275D6">
            <w:pPr>
              <w:spacing w:before="0" w:line="240" w:lineRule="auto"/>
              <w:jc w:val="both"/>
              <w:rPr>
                <w:rFonts w:eastAsia="Times New Roman" w:cs="Arial"/>
                <w:color w:val="000000"/>
                <w:sz w:val="18"/>
                <w:szCs w:val="16"/>
                <w:lang w:eastAsia="fr-FR"/>
              </w:rPr>
            </w:pPr>
            <w:r w:rsidRPr="00A9330B">
              <w:rPr>
                <w:rFonts w:eastAsia="Times New Roman" w:cs="Arial"/>
                <w:color w:val="000000"/>
                <w:sz w:val="18"/>
                <w:szCs w:val="16"/>
                <w:lang w:eastAsia="fr-FR"/>
              </w:rPr>
              <w:t>Maximale</w:t>
            </w:r>
          </w:p>
        </w:tc>
        <w:tc>
          <w:tcPr>
            <w:tcW w:w="324" w:type="pct"/>
            <w:tcBorders>
              <w:top w:val="nil"/>
              <w:left w:val="nil"/>
              <w:bottom w:val="single" w:sz="4" w:space="0" w:color="auto"/>
              <w:right w:val="single" w:sz="4" w:space="0" w:color="auto"/>
            </w:tcBorders>
            <w:shd w:val="clear" w:color="auto" w:fill="auto"/>
            <w:vAlign w:val="center"/>
            <w:hideMark/>
          </w:tcPr>
          <w:p w14:paraId="325EF53D" w14:textId="77777777" w:rsidR="001275D6" w:rsidRPr="00A9330B" w:rsidRDefault="001275D6" w:rsidP="001275D6">
            <w:pPr>
              <w:spacing w:before="0" w:line="240" w:lineRule="auto"/>
              <w:jc w:val="both"/>
              <w:rPr>
                <w:rFonts w:eastAsia="Times New Roman" w:cs="Arial"/>
                <w:color w:val="000000"/>
                <w:sz w:val="18"/>
                <w:szCs w:val="16"/>
                <w:lang w:eastAsia="fr-FR"/>
              </w:rPr>
            </w:pPr>
            <w:r w:rsidRPr="00A9330B">
              <w:rPr>
                <w:rFonts w:eastAsia="Times New Roman" w:cs="Arial"/>
                <w:color w:val="000000"/>
                <w:sz w:val="18"/>
                <w:szCs w:val="16"/>
                <w:lang w:eastAsia="fr-FR"/>
              </w:rPr>
              <w:t>34,4</w:t>
            </w:r>
          </w:p>
        </w:tc>
        <w:tc>
          <w:tcPr>
            <w:tcW w:w="324" w:type="pct"/>
            <w:tcBorders>
              <w:top w:val="nil"/>
              <w:left w:val="nil"/>
              <w:bottom w:val="single" w:sz="4" w:space="0" w:color="auto"/>
              <w:right w:val="single" w:sz="4" w:space="0" w:color="auto"/>
            </w:tcBorders>
            <w:shd w:val="clear" w:color="auto" w:fill="auto"/>
            <w:vAlign w:val="center"/>
            <w:hideMark/>
          </w:tcPr>
          <w:p w14:paraId="7FF2F568" w14:textId="77777777" w:rsidR="001275D6" w:rsidRPr="00A9330B" w:rsidRDefault="001275D6" w:rsidP="001275D6">
            <w:pPr>
              <w:spacing w:before="0" w:line="240" w:lineRule="auto"/>
              <w:jc w:val="both"/>
              <w:rPr>
                <w:rFonts w:eastAsia="Times New Roman" w:cs="Arial"/>
                <w:color w:val="000000"/>
                <w:sz w:val="18"/>
                <w:szCs w:val="16"/>
                <w:lang w:eastAsia="fr-FR"/>
              </w:rPr>
            </w:pPr>
            <w:r w:rsidRPr="00A9330B">
              <w:rPr>
                <w:rFonts w:eastAsia="Times New Roman" w:cs="Arial"/>
                <w:color w:val="000000"/>
                <w:sz w:val="18"/>
                <w:szCs w:val="16"/>
                <w:lang w:eastAsia="fr-FR"/>
              </w:rPr>
              <w:t>37</w:t>
            </w:r>
          </w:p>
        </w:tc>
        <w:tc>
          <w:tcPr>
            <w:tcW w:w="280" w:type="pct"/>
            <w:tcBorders>
              <w:top w:val="nil"/>
              <w:left w:val="nil"/>
              <w:bottom w:val="single" w:sz="4" w:space="0" w:color="auto"/>
              <w:right w:val="single" w:sz="4" w:space="0" w:color="auto"/>
            </w:tcBorders>
            <w:shd w:val="clear" w:color="auto" w:fill="auto"/>
            <w:vAlign w:val="center"/>
            <w:hideMark/>
          </w:tcPr>
          <w:p w14:paraId="26BD853A" w14:textId="77777777" w:rsidR="001275D6" w:rsidRPr="00A9330B" w:rsidRDefault="001275D6" w:rsidP="001275D6">
            <w:pPr>
              <w:spacing w:before="0" w:line="240" w:lineRule="auto"/>
              <w:jc w:val="both"/>
              <w:rPr>
                <w:rFonts w:eastAsia="Times New Roman" w:cs="Arial"/>
                <w:color w:val="000000"/>
                <w:sz w:val="18"/>
                <w:szCs w:val="16"/>
                <w:lang w:eastAsia="fr-FR"/>
              </w:rPr>
            </w:pPr>
            <w:r w:rsidRPr="00A9330B">
              <w:rPr>
                <w:rFonts w:eastAsia="Times New Roman" w:cs="Arial"/>
                <w:color w:val="000000"/>
                <w:sz w:val="18"/>
                <w:szCs w:val="16"/>
                <w:lang w:eastAsia="fr-FR"/>
              </w:rPr>
              <w:t>37,6</w:t>
            </w:r>
          </w:p>
        </w:tc>
        <w:tc>
          <w:tcPr>
            <w:tcW w:w="324" w:type="pct"/>
            <w:tcBorders>
              <w:top w:val="nil"/>
              <w:left w:val="nil"/>
              <w:bottom w:val="single" w:sz="4" w:space="0" w:color="auto"/>
              <w:right w:val="single" w:sz="4" w:space="0" w:color="auto"/>
            </w:tcBorders>
            <w:shd w:val="clear" w:color="auto" w:fill="auto"/>
            <w:vAlign w:val="center"/>
            <w:hideMark/>
          </w:tcPr>
          <w:p w14:paraId="4FACD205" w14:textId="77777777" w:rsidR="001275D6" w:rsidRPr="00A9330B" w:rsidRDefault="001275D6" w:rsidP="001275D6">
            <w:pPr>
              <w:spacing w:before="0" w:line="240" w:lineRule="auto"/>
              <w:jc w:val="both"/>
              <w:rPr>
                <w:rFonts w:eastAsia="Times New Roman" w:cs="Arial"/>
                <w:color w:val="000000"/>
                <w:sz w:val="18"/>
                <w:szCs w:val="16"/>
                <w:lang w:eastAsia="fr-FR"/>
              </w:rPr>
            </w:pPr>
            <w:r w:rsidRPr="00A9330B">
              <w:rPr>
                <w:rFonts w:eastAsia="Times New Roman" w:cs="Arial"/>
                <w:color w:val="000000"/>
                <w:sz w:val="18"/>
                <w:szCs w:val="16"/>
                <w:lang w:eastAsia="fr-FR"/>
              </w:rPr>
              <w:t>36,2</w:t>
            </w:r>
          </w:p>
        </w:tc>
        <w:tc>
          <w:tcPr>
            <w:tcW w:w="324" w:type="pct"/>
            <w:tcBorders>
              <w:top w:val="nil"/>
              <w:left w:val="nil"/>
              <w:bottom w:val="single" w:sz="4" w:space="0" w:color="auto"/>
              <w:right w:val="single" w:sz="4" w:space="0" w:color="auto"/>
            </w:tcBorders>
            <w:shd w:val="clear" w:color="auto" w:fill="auto"/>
            <w:vAlign w:val="center"/>
            <w:hideMark/>
          </w:tcPr>
          <w:p w14:paraId="3401DC63" w14:textId="77777777" w:rsidR="001275D6" w:rsidRPr="00A9330B" w:rsidRDefault="001275D6" w:rsidP="001275D6">
            <w:pPr>
              <w:spacing w:before="0" w:line="240" w:lineRule="auto"/>
              <w:jc w:val="both"/>
              <w:rPr>
                <w:rFonts w:eastAsia="Times New Roman" w:cs="Arial"/>
                <w:color w:val="000000"/>
                <w:sz w:val="18"/>
                <w:szCs w:val="16"/>
                <w:lang w:eastAsia="fr-FR"/>
              </w:rPr>
            </w:pPr>
            <w:r w:rsidRPr="00A9330B">
              <w:rPr>
                <w:rFonts w:eastAsia="Times New Roman" w:cs="Arial"/>
                <w:color w:val="000000"/>
                <w:sz w:val="18"/>
                <w:szCs w:val="16"/>
                <w:lang w:eastAsia="fr-FR"/>
              </w:rPr>
              <w:t>34,9</w:t>
            </w:r>
          </w:p>
        </w:tc>
        <w:tc>
          <w:tcPr>
            <w:tcW w:w="324" w:type="pct"/>
            <w:tcBorders>
              <w:top w:val="nil"/>
              <w:left w:val="nil"/>
              <w:bottom w:val="single" w:sz="4" w:space="0" w:color="auto"/>
              <w:right w:val="single" w:sz="4" w:space="0" w:color="auto"/>
            </w:tcBorders>
            <w:shd w:val="clear" w:color="auto" w:fill="auto"/>
            <w:vAlign w:val="center"/>
            <w:hideMark/>
          </w:tcPr>
          <w:p w14:paraId="4670A23F" w14:textId="77777777" w:rsidR="001275D6" w:rsidRPr="00A9330B" w:rsidRDefault="001275D6" w:rsidP="001275D6">
            <w:pPr>
              <w:spacing w:before="0" w:line="240" w:lineRule="auto"/>
              <w:jc w:val="both"/>
              <w:rPr>
                <w:rFonts w:eastAsia="Times New Roman" w:cs="Arial"/>
                <w:color w:val="000000"/>
                <w:sz w:val="18"/>
                <w:szCs w:val="16"/>
                <w:lang w:eastAsia="fr-FR"/>
              </w:rPr>
            </w:pPr>
            <w:r w:rsidRPr="00A9330B">
              <w:rPr>
                <w:rFonts w:eastAsia="Times New Roman" w:cs="Arial"/>
                <w:color w:val="000000"/>
                <w:sz w:val="18"/>
                <w:szCs w:val="16"/>
                <w:lang w:eastAsia="fr-FR"/>
              </w:rPr>
              <w:t>31,7</w:t>
            </w:r>
          </w:p>
        </w:tc>
        <w:tc>
          <w:tcPr>
            <w:tcW w:w="269" w:type="pct"/>
            <w:tcBorders>
              <w:top w:val="nil"/>
              <w:left w:val="nil"/>
              <w:bottom w:val="single" w:sz="4" w:space="0" w:color="auto"/>
              <w:right w:val="single" w:sz="4" w:space="0" w:color="auto"/>
            </w:tcBorders>
            <w:shd w:val="clear" w:color="auto" w:fill="auto"/>
            <w:vAlign w:val="center"/>
            <w:hideMark/>
          </w:tcPr>
          <w:p w14:paraId="6A0D3462" w14:textId="77777777" w:rsidR="001275D6" w:rsidRPr="00A9330B" w:rsidRDefault="001275D6" w:rsidP="001275D6">
            <w:pPr>
              <w:spacing w:before="0" w:line="240" w:lineRule="auto"/>
              <w:jc w:val="both"/>
              <w:rPr>
                <w:rFonts w:eastAsia="Times New Roman" w:cs="Arial"/>
                <w:color w:val="000000"/>
                <w:sz w:val="18"/>
                <w:szCs w:val="16"/>
                <w:lang w:eastAsia="fr-FR"/>
              </w:rPr>
            </w:pPr>
            <w:r w:rsidRPr="00A9330B">
              <w:rPr>
                <w:rFonts w:eastAsia="Times New Roman" w:cs="Arial"/>
                <w:color w:val="000000"/>
                <w:sz w:val="18"/>
                <w:szCs w:val="16"/>
                <w:lang w:eastAsia="fr-FR"/>
              </w:rPr>
              <w:t>29,9</w:t>
            </w:r>
          </w:p>
        </w:tc>
        <w:tc>
          <w:tcPr>
            <w:tcW w:w="324" w:type="pct"/>
            <w:tcBorders>
              <w:top w:val="nil"/>
              <w:left w:val="nil"/>
              <w:bottom w:val="single" w:sz="4" w:space="0" w:color="auto"/>
              <w:right w:val="single" w:sz="4" w:space="0" w:color="auto"/>
            </w:tcBorders>
            <w:shd w:val="clear" w:color="auto" w:fill="auto"/>
            <w:vAlign w:val="center"/>
            <w:hideMark/>
          </w:tcPr>
          <w:p w14:paraId="179F8A37" w14:textId="77777777" w:rsidR="001275D6" w:rsidRPr="00A9330B" w:rsidRDefault="001275D6" w:rsidP="001275D6">
            <w:pPr>
              <w:spacing w:before="0" w:line="240" w:lineRule="auto"/>
              <w:jc w:val="both"/>
              <w:rPr>
                <w:rFonts w:eastAsia="Times New Roman" w:cs="Arial"/>
                <w:color w:val="000000"/>
                <w:sz w:val="18"/>
                <w:szCs w:val="16"/>
                <w:lang w:eastAsia="fr-FR"/>
              </w:rPr>
            </w:pPr>
            <w:r w:rsidRPr="00A9330B">
              <w:rPr>
                <w:rFonts w:eastAsia="Times New Roman" w:cs="Arial"/>
                <w:color w:val="000000"/>
                <w:sz w:val="18"/>
                <w:szCs w:val="16"/>
                <w:lang w:eastAsia="fr-FR"/>
              </w:rPr>
              <w:t>30</w:t>
            </w:r>
          </w:p>
        </w:tc>
        <w:tc>
          <w:tcPr>
            <w:tcW w:w="324" w:type="pct"/>
            <w:tcBorders>
              <w:top w:val="nil"/>
              <w:left w:val="nil"/>
              <w:bottom w:val="single" w:sz="4" w:space="0" w:color="auto"/>
              <w:right w:val="single" w:sz="4" w:space="0" w:color="auto"/>
            </w:tcBorders>
            <w:shd w:val="clear" w:color="auto" w:fill="auto"/>
            <w:vAlign w:val="center"/>
            <w:hideMark/>
          </w:tcPr>
          <w:p w14:paraId="5E86280F" w14:textId="77777777" w:rsidR="001275D6" w:rsidRPr="00A9330B" w:rsidRDefault="001275D6" w:rsidP="001275D6">
            <w:pPr>
              <w:spacing w:before="0" w:line="240" w:lineRule="auto"/>
              <w:jc w:val="both"/>
              <w:rPr>
                <w:rFonts w:eastAsia="Times New Roman" w:cs="Arial"/>
                <w:color w:val="000000"/>
                <w:sz w:val="18"/>
                <w:szCs w:val="16"/>
                <w:lang w:eastAsia="fr-FR"/>
              </w:rPr>
            </w:pPr>
            <w:r w:rsidRPr="00A9330B">
              <w:rPr>
                <w:rFonts w:eastAsia="Times New Roman" w:cs="Arial"/>
                <w:color w:val="000000"/>
                <w:sz w:val="18"/>
                <w:szCs w:val="16"/>
                <w:lang w:eastAsia="fr-FR"/>
              </w:rPr>
              <w:t>31,5</w:t>
            </w:r>
          </w:p>
        </w:tc>
        <w:tc>
          <w:tcPr>
            <w:tcW w:w="269" w:type="pct"/>
            <w:tcBorders>
              <w:top w:val="nil"/>
              <w:left w:val="nil"/>
              <w:bottom w:val="single" w:sz="4" w:space="0" w:color="auto"/>
              <w:right w:val="single" w:sz="4" w:space="0" w:color="auto"/>
            </w:tcBorders>
            <w:shd w:val="clear" w:color="auto" w:fill="auto"/>
            <w:vAlign w:val="center"/>
            <w:hideMark/>
          </w:tcPr>
          <w:p w14:paraId="5BBBBD9C" w14:textId="77777777" w:rsidR="001275D6" w:rsidRPr="00A9330B" w:rsidRDefault="001275D6" w:rsidP="001275D6">
            <w:pPr>
              <w:spacing w:before="0" w:line="240" w:lineRule="auto"/>
              <w:jc w:val="both"/>
              <w:rPr>
                <w:rFonts w:eastAsia="Times New Roman" w:cs="Arial"/>
                <w:color w:val="000000"/>
                <w:sz w:val="18"/>
                <w:szCs w:val="16"/>
                <w:lang w:eastAsia="fr-FR"/>
              </w:rPr>
            </w:pPr>
            <w:r w:rsidRPr="00A9330B">
              <w:rPr>
                <w:rFonts w:eastAsia="Times New Roman" w:cs="Arial"/>
                <w:color w:val="000000"/>
                <w:sz w:val="18"/>
                <w:szCs w:val="16"/>
                <w:lang w:eastAsia="fr-FR"/>
              </w:rPr>
              <w:t>34,7</w:t>
            </w:r>
          </w:p>
        </w:tc>
        <w:tc>
          <w:tcPr>
            <w:tcW w:w="269" w:type="pct"/>
            <w:tcBorders>
              <w:top w:val="nil"/>
              <w:left w:val="nil"/>
              <w:bottom w:val="single" w:sz="4" w:space="0" w:color="auto"/>
              <w:right w:val="single" w:sz="4" w:space="0" w:color="auto"/>
            </w:tcBorders>
            <w:shd w:val="clear" w:color="auto" w:fill="auto"/>
            <w:vAlign w:val="center"/>
            <w:hideMark/>
          </w:tcPr>
          <w:p w14:paraId="4C65F4AB" w14:textId="77777777" w:rsidR="001275D6" w:rsidRPr="00A9330B" w:rsidRDefault="001275D6" w:rsidP="001275D6">
            <w:pPr>
              <w:spacing w:before="0" w:line="240" w:lineRule="auto"/>
              <w:jc w:val="both"/>
              <w:rPr>
                <w:rFonts w:eastAsia="Times New Roman" w:cs="Arial"/>
                <w:color w:val="000000"/>
                <w:sz w:val="18"/>
                <w:szCs w:val="16"/>
                <w:lang w:eastAsia="fr-FR"/>
              </w:rPr>
            </w:pPr>
            <w:r w:rsidRPr="00A9330B">
              <w:rPr>
                <w:rFonts w:eastAsia="Times New Roman" w:cs="Arial"/>
                <w:color w:val="000000"/>
                <w:sz w:val="18"/>
                <w:szCs w:val="16"/>
                <w:lang w:eastAsia="fr-FR"/>
              </w:rPr>
              <w:t>36,9</w:t>
            </w:r>
          </w:p>
        </w:tc>
        <w:tc>
          <w:tcPr>
            <w:tcW w:w="269" w:type="pct"/>
            <w:tcBorders>
              <w:top w:val="nil"/>
              <w:left w:val="nil"/>
              <w:bottom w:val="single" w:sz="4" w:space="0" w:color="auto"/>
              <w:right w:val="single" w:sz="4" w:space="0" w:color="auto"/>
            </w:tcBorders>
            <w:shd w:val="clear" w:color="auto" w:fill="auto"/>
            <w:vAlign w:val="center"/>
            <w:hideMark/>
          </w:tcPr>
          <w:p w14:paraId="7E682CA4" w14:textId="77777777" w:rsidR="001275D6" w:rsidRPr="00A9330B" w:rsidRDefault="001275D6" w:rsidP="001275D6">
            <w:pPr>
              <w:spacing w:before="0" w:line="240" w:lineRule="auto"/>
              <w:jc w:val="both"/>
              <w:rPr>
                <w:rFonts w:eastAsia="Times New Roman" w:cs="Arial"/>
                <w:color w:val="000000"/>
                <w:sz w:val="18"/>
                <w:szCs w:val="16"/>
                <w:lang w:eastAsia="fr-FR"/>
              </w:rPr>
            </w:pPr>
            <w:r w:rsidRPr="00A9330B">
              <w:rPr>
                <w:rFonts w:eastAsia="Times New Roman" w:cs="Arial"/>
                <w:color w:val="000000"/>
                <w:sz w:val="18"/>
                <w:szCs w:val="16"/>
                <w:lang w:eastAsia="fr-FR"/>
              </w:rPr>
              <w:t>36,5</w:t>
            </w:r>
          </w:p>
        </w:tc>
        <w:tc>
          <w:tcPr>
            <w:tcW w:w="483" w:type="pct"/>
            <w:tcBorders>
              <w:top w:val="nil"/>
              <w:left w:val="nil"/>
              <w:bottom w:val="single" w:sz="4" w:space="0" w:color="auto"/>
              <w:right w:val="single" w:sz="4" w:space="0" w:color="auto"/>
            </w:tcBorders>
            <w:shd w:val="clear" w:color="auto" w:fill="auto"/>
            <w:noWrap/>
            <w:vAlign w:val="center"/>
            <w:hideMark/>
          </w:tcPr>
          <w:p w14:paraId="7D859EB0" w14:textId="77777777" w:rsidR="001275D6" w:rsidRPr="00A9330B" w:rsidRDefault="001275D6" w:rsidP="001275D6">
            <w:pPr>
              <w:spacing w:before="0" w:line="240" w:lineRule="auto"/>
              <w:jc w:val="both"/>
              <w:rPr>
                <w:rFonts w:eastAsia="Times New Roman" w:cs="Arial"/>
                <w:color w:val="000000"/>
                <w:sz w:val="18"/>
                <w:szCs w:val="16"/>
                <w:lang w:eastAsia="fr-FR"/>
              </w:rPr>
            </w:pPr>
            <w:r w:rsidRPr="00A9330B">
              <w:rPr>
                <w:rFonts w:eastAsia="Times New Roman" w:cs="Arial"/>
                <w:color w:val="000000"/>
                <w:sz w:val="18"/>
                <w:szCs w:val="16"/>
                <w:lang w:eastAsia="fr-FR"/>
              </w:rPr>
              <w:t>34,3</w:t>
            </w:r>
          </w:p>
        </w:tc>
      </w:tr>
      <w:tr w:rsidR="001275D6" w:rsidRPr="00A9330B" w14:paraId="41924FB3" w14:textId="77777777" w:rsidTr="001275D6">
        <w:trPr>
          <w:trHeight w:val="300"/>
        </w:trPr>
        <w:tc>
          <w:tcPr>
            <w:tcW w:w="895" w:type="pct"/>
            <w:tcBorders>
              <w:top w:val="nil"/>
              <w:left w:val="single" w:sz="4" w:space="0" w:color="auto"/>
              <w:bottom w:val="single" w:sz="4" w:space="0" w:color="auto"/>
              <w:right w:val="single" w:sz="4" w:space="0" w:color="auto"/>
            </w:tcBorders>
            <w:shd w:val="clear" w:color="auto" w:fill="auto"/>
            <w:noWrap/>
            <w:vAlign w:val="center"/>
            <w:hideMark/>
          </w:tcPr>
          <w:p w14:paraId="65D328F6" w14:textId="77777777" w:rsidR="001275D6" w:rsidRPr="00A9330B" w:rsidRDefault="001275D6" w:rsidP="001275D6">
            <w:pPr>
              <w:spacing w:before="0" w:line="240" w:lineRule="auto"/>
              <w:jc w:val="both"/>
              <w:rPr>
                <w:rFonts w:eastAsia="Times New Roman" w:cs="Arial"/>
                <w:color w:val="000000"/>
                <w:sz w:val="18"/>
                <w:szCs w:val="16"/>
                <w:lang w:eastAsia="fr-FR"/>
              </w:rPr>
            </w:pPr>
            <w:r w:rsidRPr="00A9330B">
              <w:rPr>
                <w:rFonts w:eastAsia="Times New Roman" w:cs="Arial"/>
                <w:color w:val="000000"/>
                <w:sz w:val="18"/>
                <w:szCs w:val="16"/>
                <w:lang w:eastAsia="fr-FR"/>
              </w:rPr>
              <w:t>Moyenne</w:t>
            </w:r>
          </w:p>
        </w:tc>
        <w:tc>
          <w:tcPr>
            <w:tcW w:w="324" w:type="pct"/>
            <w:tcBorders>
              <w:top w:val="nil"/>
              <w:left w:val="nil"/>
              <w:bottom w:val="single" w:sz="4" w:space="0" w:color="auto"/>
              <w:right w:val="single" w:sz="4" w:space="0" w:color="auto"/>
            </w:tcBorders>
            <w:shd w:val="clear" w:color="auto" w:fill="auto"/>
            <w:noWrap/>
            <w:vAlign w:val="center"/>
            <w:hideMark/>
          </w:tcPr>
          <w:p w14:paraId="70D75682" w14:textId="77777777" w:rsidR="001275D6" w:rsidRPr="00A9330B" w:rsidRDefault="001275D6" w:rsidP="001275D6">
            <w:pPr>
              <w:spacing w:before="0" w:line="240" w:lineRule="auto"/>
              <w:jc w:val="both"/>
              <w:rPr>
                <w:rFonts w:eastAsia="Times New Roman" w:cs="Arial"/>
                <w:color w:val="000000"/>
                <w:sz w:val="18"/>
                <w:szCs w:val="16"/>
                <w:lang w:eastAsia="fr-FR"/>
              </w:rPr>
            </w:pPr>
            <w:r w:rsidRPr="00A9330B">
              <w:rPr>
                <w:rFonts w:eastAsia="Times New Roman" w:cs="Arial"/>
                <w:color w:val="000000"/>
                <w:sz w:val="18"/>
                <w:szCs w:val="16"/>
                <w:lang w:eastAsia="fr-FR"/>
              </w:rPr>
              <w:t>24,85</w:t>
            </w:r>
          </w:p>
        </w:tc>
        <w:tc>
          <w:tcPr>
            <w:tcW w:w="324" w:type="pct"/>
            <w:tcBorders>
              <w:top w:val="nil"/>
              <w:left w:val="nil"/>
              <w:bottom w:val="single" w:sz="4" w:space="0" w:color="auto"/>
              <w:right w:val="single" w:sz="4" w:space="0" w:color="auto"/>
            </w:tcBorders>
            <w:shd w:val="clear" w:color="auto" w:fill="auto"/>
            <w:noWrap/>
            <w:vAlign w:val="center"/>
            <w:hideMark/>
          </w:tcPr>
          <w:p w14:paraId="101E9DB5" w14:textId="77777777" w:rsidR="001275D6" w:rsidRPr="00A9330B" w:rsidRDefault="001275D6" w:rsidP="001275D6">
            <w:pPr>
              <w:spacing w:before="0" w:line="240" w:lineRule="auto"/>
              <w:jc w:val="both"/>
              <w:rPr>
                <w:rFonts w:eastAsia="Times New Roman" w:cs="Arial"/>
                <w:color w:val="000000"/>
                <w:sz w:val="18"/>
                <w:szCs w:val="16"/>
                <w:lang w:eastAsia="fr-FR"/>
              </w:rPr>
            </w:pPr>
            <w:r w:rsidRPr="00A9330B">
              <w:rPr>
                <w:rFonts w:eastAsia="Times New Roman" w:cs="Arial"/>
                <w:color w:val="000000"/>
                <w:sz w:val="18"/>
                <w:szCs w:val="16"/>
                <w:lang w:eastAsia="fr-FR"/>
              </w:rPr>
              <w:t>27,75</w:t>
            </w:r>
          </w:p>
        </w:tc>
        <w:tc>
          <w:tcPr>
            <w:tcW w:w="280" w:type="pct"/>
            <w:tcBorders>
              <w:top w:val="nil"/>
              <w:left w:val="nil"/>
              <w:bottom w:val="single" w:sz="4" w:space="0" w:color="auto"/>
              <w:right w:val="single" w:sz="4" w:space="0" w:color="auto"/>
            </w:tcBorders>
            <w:shd w:val="clear" w:color="auto" w:fill="auto"/>
            <w:noWrap/>
            <w:vAlign w:val="center"/>
            <w:hideMark/>
          </w:tcPr>
          <w:p w14:paraId="0194F290" w14:textId="77777777" w:rsidR="001275D6" w:rsidRPr="00A9330B" w:rsidRDefault="001275D6" w:rsidP="001275D6">
            <w:pPr>
              <w:spacing w:before="0" w:line="240" w:lineRule="auto"/>
              <w:jc w:val="both"/>
              <w:rPr>
                <w:rFonts w:eastAsia="Times New Roman" w:cs="Arial"/>
                <w:color w:val="000000"/>
                <w:sz w:val="18"/>
                <w:szCs w:val="16"/>
                <w:lang w:eastAsia="fr-FR"/>
              </w:rPr>
            </w:pPr>
            <w:r w:rsidRPr="00A9330B">
              <w:rPr>
                <w:rFonts w:eastAsia="Times New Roman" w:cs="Arial"/>
                <w:color w:val="000000"/>
                <w:sz w:val="18"/>
                <w:szCs w:val="16"/>
                <w:lang w:eastAsia="fr-FR"/>
              </w:rPr>
              <w:t>30,8</w:t>
            </w:r>
          </w:p>
        </w:tc>
        <w:tc>
          <w:tcPr>
            <w:tcW w:w="324" w:type="pct"/>
            <w:tcBorders>
              <w:top w:val="nil"/>
              <w:left w:val="nil"/>
              <w:bottom w:val="single" w:sz="4" w:space="0" w:color="auto"/>
              <w:right w:val="single" w:sz="4" w:space="0" w:color="auto"/>
            </w:tcBorders>
            <w:shd w:val="clear" w:color="auto" w:fill="auto"/>
            <w:noWrap/>
            <w:vAlign w:val="center"/>
            <w:hideMark/>
          </w:tcPr>
          <w:p w14:paraId="4A2A2E91" w14:textId="77777777" w:rsidR="001275D6" w:rsidRPr="00A9330B" w:rsidRDefault="001275D6" w:rsidP="001275D6">
            <w:pPr>
              <w:spacing w:before="0" w:line="240" w:lineRule="auto"/>
              <w:jc w:val="both"/>
              <w:rPr>
                <w:rFonts w:eastAsia="Times New Roman" w:cs="Arial"/>
                <w:color w:val="000000"/>
                <w:sz w:val="18"/>
                <w:szCs w:val="16"/>
                <w:lang w:eastAsia="fr-FR"/>
              </w:rPr>
            </w:pPr>
            <w:r w:rsidRPr="00A9330B">
              <w:rPr>
                <w:rFonts w:eastAsia="Times New Roman" w:cs="Arial"/>
                <w:color w:val="000000"/>
                <w:sz w:val="18"/>
                <w:szCs w:val="16"/>
                <w:lang w:eastAsia="fr-FR"/>
              </w:rPr>
              <w:t>30,45</w:t>
            </w:r>
          </w:p>
        </w:tc>
        <w:tc>
          <w:tcPr>
            <w:tcW w:w="324" w:type="pct"/>
            <w:tcBorders>
              <w:top w:val="nil"/>
              <w:left w:val="nil"/>
              <w:bottom w:val="single" w:sz="4" w:space="0" w:color="auto"/>
              <w:right w:val="single" w:sz="4" w:space="0" w:color="auto"/>
            </w:tcBorders>
            <w:shd w:val="clear" w:color="auto" w:fill="auto"/>
            <w:noWrap/>
            <w:vAlign w:val="center"/>
            <w:hideMark/>
          </w:tcPr>
          <w:p w14:paraId="4F49499E" w14:textId="77777777" w:rsidR="001275D6" w:rsidRPr="00A9330B" w:rsidRDefault="001275D6" w:rsidP="001275D6">
            <w:pPr>
              <w:spacing w:before="0" w:line="240" w:lineRule="auto"/>
              <w:jc w:val="both"/>
              <w:rPr>
                <w:rFonts w:eastAsia="Times New Roman" w:cs="Arial"/>
                <w:color w:val="000000"/>
                <w:sz w:val="18"/>
                <w:szCs w:val="16"/>
                <w:lang w:eastAsia="fr-FR"/>
              </w:rPr>
            </w:pPr>
            <w:r w:rsidRPr="00A9330B">
              <w:rPr>
                <w:rFonts w:eastAsia="Times New Roman" w:cs="Arial"/>
                <w:color w:val="000000"/>
                <w:sz w:val="18"/>
                <w:szCs w:val="16"/>
                <w:lang w:eastAsia="fr-FR"/>
              </w:rPr>
              <w:t>29,65</w:t>
            </w:r>
          </w:p>
        </w:tc>
        <w:tc>
          <w:tcPr>
            <w:tcW w:w="324" w:type="pct"/>
            <w:tcBorders>
              <w:top w:val="nil"/>
              <w:left w:val="nil"/>
              <w:bottom w:val="single" w:sz="4" w:space="0" w:color="auto"/>
              <w:right w:val="single" w:sz="4" w:space="0" w:color="auto"/>
            </w:tcBorders>
            <w:shd w:val="clear" w:color="auto" w:fill="auto"/>
            <w:noWrap/>
            <w:vAlign w:val="center"/>
            <w:hideMark/>
          </w:tcPr>
          <w:p w14:paraId="499A08A4" w14:textId="77777777" w:rsidR="001275D6" w:rsidRPr="00A9330B" w:rsidRDefault="001275D6" w:rsidP="001275D6">
            <w:pPr>
              <w:spacing w:before="0" w:line="240" w:lineRule="auto"/>
              <w:jc w:val="both"/>
              <w:rPr>
                <w:rFonts w:eastAsia="Times New Roman" w:cs="Arial"/>
                <w:color w:val="000000"/>
                <w:sz w:val="18"/>
                <w:szCs w:val="16"/>
                <w:lang w:eastAsia="fr-FR"/>
              </w:rPr>
            </w:pPr>
            <w:r w:rsidRPr="00A9330B">
              <w:rPr>
                <w:rFonts w:eastAsia="Times New Roman" w:cs="Arial"/>
                <w:color w:val="000000"/>
                <w:sz w:val="18"/>
                <w:szCs w:val="16"/>
                <w:lang w:eastAsia="fr-FR"/>
              </w:rPr>
              <w:t>27,35</w:t>
            </w:r>
          </w:p>
        </w:tc>
        <w:tc>
          <w:tcPr>
            <w:tcW w:w="269" w:type="pct"/>
            <w:tcBorders>
              <w:top w:val="nil"/>
              <w:left w:val="nil"/>
              <w:bottom w:val="single" w:sz="4" w:space="0" w:color="auto"/>
              <w:right w:val="single" w:sz="4" w:space="0" w:color="auto"/>
            </w:tcBorders>
            <w:shd w:val="clear" w:color="auto" w:fill="auto"/>
            <w:noWrap/>
            <w:vAlign w:val="center"/>
            <w:hideMark/>
          </w:tcPr>
          <w:p w14:paraId="354A580A" w14:textId="77777777" w:rsidR="001275D6" w:rsidRPr="00A9330B" w:rsidRDefault="001275D6" w:rsidP="001275D6">
            <w:pPr>
              <w:spacing w:before="0" w:line="240" w:lineRule="auto"/>
              <w:jc w:val="both"/>
              <w:rPr>
                <w:rFonts w:eastAsia="Times New Roman" w:cs="Arial"/>
                <w:color w:val="000000"/>
                <w:sz w:val="18"/>
                <w:szCs w:val="16"/>
                <w:lang w:eastAsia="fr-FR"/>
              </w:rPr>
            </w:pPr>
            <w:r w:rsidRPr="00A9330B">
              <w:rPr>
                <w:rFonts w:eastAsia="Times New Roman" w:cs="Arial"/>
                <w:color w:val="000000"/>
                <w:sz w:val="18"/>
                <w:szCs w:val="16"/>
                <w:lang w:eastAsia="fr-FR"/>
              </w:rPr>
              <w:t>26,1</w:t>
            </w:r>
          </w:p>
        </w:tc>
        <w:tc>
          <w:tcPr>
            <w:tcW w:w="324" w:type="pct"/>
            <w:tcBorders>
              <w:top w:val="nil"/>
              <w:left w:val="nil"/>
              <w:bottom w:val="single" w:sz="4" w:space="0" w:color="auto"/>
              <w:right w:val="single" w:sz="4" w:space="0" w:color="auto"/>
            </w:tcBorders>
            <w:shd w:val="clear" w:color="auto" w:fill="auto"/>
            <w:noWrap/>
            <w:vAlign w:val="center"/>
            <w:hideMark/>
          </w:tcPr>
          <w:p w14:paraId="00205705" w14:textId="77777777" w:rsidR="001275D6" w:rsidRPr="00A9330B" w:rsidRDefault="001275D6" w:rsidP="001275D6">
            <w:pPr>
              <w:spacing w:before="0" w:line="240" w:lineRule="auto"/>
              <w:jc w:val="both"/>
              <w:rPr>
                <w:rFonts w:eastAsia="Times New Roman" w:cs="Arial"/>
                <w:color w:val="000000"/>
                <w:sz w:val="18"/>
                <w:szCs w:val="16"/>
                <w:lang w:eastAsia="fr-FR"/>
              </w:rPr>
            </w:pPr>
            <w:r w:rsidRPr="00A9330B">
              <w:rPr>
                <w:rFonts w:eastAsia="Times New Roman" w:cs="Arial"/>
                <w:color w:val="000000"/>
                <w:sz w:val="18"/>
                <w:szCs w:val="16"/>
                <w:lang w:eastAsia="fr-FR"/>
              </w:rPr>
              <w:t>26,05</w:t>
            </w:r>
          </w:p>
        </w:tc>
        <w:tc>
          <w:tcPr>
            <w:tcW w:w="324" w:type="pct"/>
            <w:tcBorders>
              <w:top w:val="nil"/>
              <w:left w:val="nil"/>
              <w:bottom w:val="single" w:sz="4" w:space="0" w:color="auto"/>
              <w:right w:val="single" w:sz="4" w:space="0" w:color="auto"/>
            </w:tcBorders>
            <w:shd w:val="clear" w:color="auto" w:fill="auto"/>
            <w:noWrap/>
            <w:vAlign w:val="center"/>
            <w:hideMark/>
          </w:tcPr>
          <w:p w14:paraId="73B7170E" w14:textId="77777777" w:rsidR="001275D6" w:rsidRPr="00A9330B" w:rsidRDefault="001275D6" w:rsidP="001275D6">
            <w:pPr>
              <w:spacing w:before="0" w:line="240" w:lineRule="auto"/>
              <w:jc w:val="both"/>
              <w:rPr>
                <w:rFonts w:eastAsia="Times New Roman" w:cs="Arial"/>
                <w:color w:val="000000"/>
                <w:sz w:val="18"/>
                <w:szCs w:val="16"/>
                <w:lang w:eastAsia="fr-FR"/>
              </w:rPr>
            </w:pPr>
            <w:r w:rsidRPr="00A9330B">
              <w:rPr>
                <w:rFonts w:eastAsia="Times New Roman" w:cs="Arial"/>
                <w:color w:val="000000"/>
                <w:sz w:val="18"/>
                <w:szCs w:val="16"/>
                <w:lang w:eastAsia="fr-FR"/>
              </w:rPr>
              <w:t>26,55</w:t>
            </w:r>
          </w:p>
        </w:tc>
        <w:tc>
          <w:tcPr>
            <w:tcW w:w="269" w:type="pct"/>
            <w:tcBorders>
              <w:top w:val="nil"/>
              <w:left w:val="nil"/>
              <w:bottom w:val="single" w:sz="4" w:space="0" w:color="auto"/>
              <w:right w:val="single" w:sz="4" w:space="0" w:color="auto"/>
            </w:tcBorders>
            <w:shd w:val="clear" w:color="auto" w:fill="auto"/>
            <w:noWrap/>
            <w:vAlign w:val="center"/>
            <w:hideMark/>
          </w:tcPr>
          <w:p w14:paraId="51FC75CA" w14:textId="77777777" w:rsidR="001275D6" w:rsidRPr="00A9330B" w:rsidRDefault="001275D6" w:rsidP="001275D6">
            <w:pPr>
              <w:spacing w:before="0" w:line="240" w:lineRule="auto"/>
              <w:jc w:val="both"/>
              <w:rPr>
                <w:rFonts w:eastAsia="Times New Roman" w:cs="Arial"/>
                <w:color w:val="000000"/>
                <w:sz w:val="18"/>
                <w:szCs w:val="16"/>
                <w:lang w:eastAsia="fr-FR"/>
              </w:rPr>
            </w:pPr>
            <w:r w:rsidRPr="00A9330B">
              <w:rPr>
                <w:rFonts w:eastAsia="Times New Roman" w:cs="Arial"/>
                <w:color w:val="000000"/>
                <w:sz w:val="18"/>
                <w:szCs w:val="16"/>
                <w:lang w:eastAsia="fr-FR"/>
              </w:rPr>
              <w:t>28,2</w:t>
            </w:r>
          </w:p>
        </w:tc>
        <w:tc>
          <w:tcPr>
            <w:tcW w:w="269" w:type="pct"/>
            <w:tcBorders>
              <w:top w:val="nil"/>
              <w:left w:val="nil"/>
              <w:bottom w:val="single" w:sz="4" w:space="0" w:color="auto"/>
              <w:right w:val="single" w:sz="4" w:space="0" w:color="auto"/>
            </w:tcBorders>
            <w:shd w:val="clear" w:color="auto" w:fill="auto"/>
            <w:noWrap/>
            <w:vAlign w:val="center"/>
            <w:hideMark/>
          </w:tcPr>
          <w:p w14:paraId="5D3F986E" w14:textId="77777777" w:rsidR="001275D6" w:rsidRPr="00A9330B" w:rsidRDefault="001275D6" w:rsidP="001275D6">
            <w:pPr>
              <w:spacing w:before="0" w:line="240" w:lineRule="auto"/>
              <w:jc w:val="both"/>
              <w:rPr>
                <w:rFonts w:eastAsia="Times New Roman" w:cs="Arial"/>
                <w:color w:val="000000"/>
                <w:sz w:val="18"/>
                <w:szCs w:val="16"/>
                <w:lang w:eastAsia="fr-FR"/>
              </w:rPr>
            </w:pPr>
            <w:r w:rsidRPr="00A9330B">
              <w:rPr>
                <w:rFonts w:eastAsia="Times New Roman" w:cs="Arial"/>
                <w:color w:val="000000"/>
                <w:sz w:val="18"/>
                <w:szCs w:val="16"/>
                <w:lang w:eastAsia="fr-FR"/>
              </w:rPr>
              <w:t>27,8</w:t>
            </w:r>
          </w:p>
        </w:tc>
        <w:tc>
          <w:tcPr>
            <w:tcW w:w="269" w:type="pct"/>
            <w:tcBorders>
              <w:top w:val="nil"/>
              <w:left w:val="nil"/>
              <w:bottom w:val="single" w:sz="4" w:space="0" w:color="auto"/>
              <w:right w:val="single" w:sz="4" w:space="0" w:color="auto"/>
            </w:tcBorders>
            <w:shd w:val="clear" w:color="auto" w:fill="auto"/>
            <w:noWrap/>
            <w:vAlign w:val="center"/>
            <w:hideMark/>
          </w:tcPr>
          <w:p w14:paraId="6BC789D4" w14:textId="77777777" w:rsidR="001275D6" w:rsidRPr="00A9330B" w:rsidRDefault="001275D6" w:rsidP="001275D6">
            <w:pPr>
              <w:spacing w:before="0" w:line="240" w:lineRule="auto"/>
              <w:jc w:val="both"/>
              <w:rPr>
                <w:rFonts w:eastAsia="Times New Roman" w:cs="Arial"/>
                <w:color w:val="000000"/>
                <w:sz w:val="18"/>
                <w:szCs w:val="16"/>
                <w:lang w:eastAsia="fr-FR"/>
              </w:rPr>
            </w:pPr>
            <w:r w:rsidRPr="00A9330B">
              <w:rPr>
                <w:rFonts w:eastAsia="Times New Roman" w:cs="Arial"/>
                <w:color w:val="000000"/>
                <w:sz w:val="18"/>
                <w:szCs w:val="16"/>
                <w:lang w:eastAsia="fr-FR"/>
              </w:rPr>
              <w:t>26,8</w:t>
            </w:r>
          </w:p>
        </w:tc>
        <w:tc>
          <w:tcPr>
            <w:tcW w:w="483" w:type="pct"/>
            <w:tcBorders>
              <w:top w:val="nil"/>
              <w:left w:val="nil"/>
              <w:bottom w:val="single" w:sz="4" w:space="0" w:color="auto"/>
              <w:right w:val="single" w:sz="4" w:space="0" w:color="auto"/>
            </w:tcBorders>
            <w:shd w:val="clear" w:color="auto" w:fill="auto"/>
            <w:noWrap/>
            <w:vAlign w:val="center"/>
            <w:hideMark/>
          </w:tcPr>
          <w:p w14:paraId="60FF69FF" w14:textId="77777777" w:rsidR="001275D6" w:rsidRPr="00A9330B" w:rsidRDefault="001275D6" w:rsidP="001275D6">
            <w:pPr>
              <w:spacing w:before="0" w:line="240" w:lineRule="auto"/>
              <w:jc w:val="both"/>
              <w:rPr>
                <w:rFonts w:eastAsia="Times New Roman" w:cs="Arial"/>
                <w:color w:val="000000"/>
                <w:sz w:val="18"/>
                <w:szCs w:val="16"/>
                <w:lang w:eastAsia="fr-FR"/>
              </w:rPr>
            </w:pPr>
            <w:r w:rsidRPr="00A9330B">
              <w:rPr>
                <w:rFonts w:eastAsia="Times New Roman" w:cs="Arial"/>
                <w:color w:val="000000"/>
                <w:sz w:val="18"/>
                <w:szCs w:val="16"/>
                <w:lang w:eastAsia="fr-FR"/>
              </w:rPr>
              <w:t>27,7</w:t>
            </w:r>
          </w:p>
        </w:tc>
      </w:tr>
      <w:tr w:rsidR="001275D6" w:rsidRPr="00A9330B" w14:paraId="028CD070" w14:textId="77777777" w:rsidTr="001275D6">
        <w:trPr>
          <w:trHeight w:val="300"/>
        </w:trPr>
        <w:tc>
          <w:tcPr>
            <w:tcW w:w="895" w:type="pct"/>
            <w:tcBorders>
              <w:top w:val="nil"/>
              <w:left w:val="single" w:sz="4" w:space="0" w:color="auto"/>
              <w:bottom w:val="single" w:sz="4" w:space="0" w:color="auto"/>
              <w:right w:val="single" w:sz="4" w:space="0" w:color="auto"/>
            </w:tcBorders>
            <w:shd w:val="clear" w:color="auto" w:fill="auto"/>
            <w:noWrap/>
            <w:vAlign w:val="center"/>
            <w:hideMark/>
          </w:tcPr>
          <w:p w14:paraId="25086DBB" w14:textId="77777777" w:rsidR="001275D6" w:rsidRPr="00A9330B" w:rsidRDefault="001275D6" w:rsidP="001275D6">
            <w:pPr>
              <w:spacing w:before="0" w:line="240" w:lineRule="auto"/>
              <w:jc w:val="both"/>
              <w:rPr>
                <w:rFonts w:eastAsia="Times New Roman" w:cs="Arial"/>
                <w:color w:val="000000"/>
                <w:sz w:val="18"/>
                <w:szCs w:val="16"/>
                <w:lang w:eastAsia="fr-FR"/>
              </w:rPr>
            </w:pPr>
            <w:r w:rsidRPr="00A9330B">
              <w:rPr>
                <w:rFonts w:eastAsia="Times New Roman" w:cs="Arial"/>
                <w:color w:val="000000"/>
                <w:sz w:val="18"/>
                <w:szCs w:val="16"/>
                <w:lang w:eastAsia="fr-FR"/>
              </w:rPr>
              <w:t>Minimale</w:t>
            </w:r>
          </w:p>
        </w:tc>
        <w:tc>
          <w:tcPr>
            <w:tcW w:w="324" w:type="pct"/>
            <w:tcBorders>
              <w:top w:val="nil"/>
              <w:left w:val="nil"/>
              <w:bottom w:val="single" w:sz="4" w:space="0" w:color="auto"/>
              <w:right w:val="single" w:sz="4" w:space="0" w:color="auto"/>
            </w:tcBorders>
            <w:shd w:val="clear" w:color="auto" w:fill="auto"/>
            <w:vAlign w:val="center"/>
            <w:hideMark/>
          </w:tcPr>
          <w:p w14:paraId="4F666165" w14:textId="77777777" w:rsidR="001275D6" w:rsidRPr="00A9330B" w:rsidRDefault="001275D6" w:rsidP="001275D6">
            <w:pPr>
              <w:spacing w:before="0" w:line="240" w:lineRule="auto"/>
              <w:jc w:val="both"/>
              <w:rPr>
                <w:rFonts w:eastAsia="Times New Roman" w:cs="Arial"/>
                <w:color w:val="000000"/>
                <w:sz w:val="18"/>
                <w:szCs w:val="16"/>
                <w:lang w:eastAsia="fr-FR"/>
              </w:rPr>
            </w:pPr>
            <w:r w:rsidRPr="00A9330B">
              <w:rPr>
                <w:rFonts w:eastAsia="Times New Roman" w:cs="Arial"/>
                <w:color w:val="000000"/>
                <w:sz w:val="18"/>
                <w:szCs w:val="16"/>
                <w:lang w:eastAsia="fr-FR"/>
              </w:rPr>
              <w:t>15,3</w:t>
            </w:r>
          </w:p>
        </w:tc>
        <w:tc>
          <w:tcPr>
            <w:tcW w:w="324" w:type="pct"/>
            <w:tcBorders>
              <w:top w:val="nil"/>
              <w:left w:val="nil"/>
              <w:bottom w:val="single" w:sz="4" w:space="0" w:color="auto"/>
              <w:right w:val="single" w:sz="4" w:space="0" w:color="auto"/>
            </w:tcBorders>
            <w:shd w:val="clear" w:color="auto" w:fill="auto"/>
            <w:vAlign w:val="center"/>
            <w:hideMark/>
          </w:tcPr>
          <w:p w14:paraId="25B33DF4" w14:textId="77777777" w:rsidR="001275D6" w:rsidRPr="00A9330B" w:rsidRDefault="001275D6" w:rsidP="001275D6">
            <w:pPr>
              <w:spacing w:before="0" w:line="240" w:lineRule="auto"/>
              <w:jc w:val="both"/>
              <w:rPr>
                <w:rFonts w:eastAsia="Times New Roman" w:cs="Arial"/>
                <w:color w:val="000000"/>
                <w:sz w:val="18"/>
                <w:szCs w:val="16"/>
                <w:lang w:eastAsia="fr-FR"/>
              </w:rPr>
            </w:pPr>
            <w:r w:rsidRPr="00A9330B">
              <w:rPr>
                <w:rFonts w:eastAsia="Times New Roman" w:cs="Arial"/>
                <w:color w:val="000000"/>
                <w:sz w:val="18"/>
                <w:szCs w:val="16"/>
                <w:lang w:eastAsia="fr-FR"/>
              </w:rPr>
              <w:t>18,5</w:t>
            </w:r>
          </w:p>
        </w:tc>
        <w:tc>
          <w:tcPr>
            <w:tcW w:w="280" w:type="pct"/>
            <w:tcBorders>
              <w:top w:val="nil"/>
              <w:left w:val="nil"/>
              <w:bottom w:val="single" w:sz="4" w:space="0" w:color="auto"/>
              <w:right w:val="single" w:sz="4" w:space="0" w:color="auto"/>
            </w:tcBorders>
            <w:shd w:val="clear" w:color="auto" w:fill="auto"/>
            <w:vAlign w:val="center"/>
            <w:hideMark/>
          </w:tcPr>
          <w:p w14:paraId="685C8072" w14:textId="77777777" w:rsidR="001275D6" w:rsidRPr="00A9330B" w:rsidRDefault="001275D6" w:rsidP="001275D6">
            <w:pPr>
              <w:spacing w:before="0" w:line="240" w:lineRule="auto"/>
              <w:jc w:val="both"/>
              <w:rPr>
                <w:rFonts w:eastAsia="Times New Roman" w:cs="Arial"/>
                <w:color w:val="000000"/>
                <w:sz w:val="18"/>
                <w:szCs w:val="16"/>
                <w:lang w:eastAsia="fr-FR"/>
              </w:rPr>
            </w:pPr>
            <w:r w:rsidRPr="00A9330B">
              <w:rPr>
                <w:rFonts w:eastAsia="Times New Roman" w:cs="Arial"/>
                <w:color w:val="000000"/>
                <w:sz w:val="18"/>
                <w:szCs w:val="16"/>
                <w:lang w:eastAsia="fr-FR"/>
              </w:rPr>
              <w:t>24</w:t>
            </w:r>
          </w:p>
        </w:tc>
        <w:tc>
          <w:tcPr>
            <w:tcW w:w="324" w:type="pct"/>
            <w:tcBorders>
              <w:top w:val="nil"/>
              <w:left w:val="nil"/>
              <w:bottom w:val="single" w:sz="4" w:space="0" w:color="auto"/>
              <w:right w:val="single" w:sz="4" w:space="0" w:color="auto"/>
            </w:tcBorders>
            <w:shd w:val="clear" w:color="auto" w:fill="auto"/>
            <w:vAlign w:val="center"/>
            <w:hideMark/>
          </w:tcPr>
          <w:p w14:paraId="3FB88834" w14:textId="77777777" w:rsidR="001275D6" w:rsidRPr="00A9330B" w:rsidRDefault="001275D6" w:rsidP="001275D6">
            <w:pPr>
              <w:spacing w:before="0" w:line="240" w:lineRule="auto"/>
              <w:jc w:val="both"/>
              <w:rPr>
                <w:rFonts w:eastAsia="Times New Roman" w:cs="Arial"/>
                <w:color w:val="000000"/>
                <w:sz w:val="18"/>
                <w:szCs w:val="16"/>
                <w:lang w:eastAsia="fr-FR"/>
              </w:rPr>
            </w:pPr>
            <w:r w:rsidRPr="00A9330B">
              <w:rPr>
                <w:rFonts w:eastAsia="Times New Roman" w:cs="Arial"/>
                <w:color w:val="000000"/>
                <w:sz w:val="18"/>
                <w:szCs w:val="16"/>
                <w:lang w:eastAsia="fr-FR"/>
              </w:rPr>
              <w:t>24,7</w:t>
            </w:r>
          </w:p>
        </w:tc>
        <w:tc>
          <w:tcPr>
            <w:tcW w:w="324" w:type="pct"/>
            <w:tcBorders>
              <w:top w:val="nil"/>
              <w:left w:val="nil"/>
              <w:bottom w:val="single" w:sz="4" w:space="0" w:color="auto"/>
              <w:right w:val="single" w:sz="4" w:space="0" w:color="auto"/>
            </w:tcBorders>
            <w:shd w:val="clear" w:color="auto" w:fill="auto"/>
            <w:vAlign w:val="center"/>
            <w:hideMark/>
          </w:tcPr>
          <w:p w14:paraId="254E1739" w14:textId="77777777" w:rsidR="001275D6" w:rsidRPr="00A9330B" w:rsidRDefault="001275D6" w:rsidP="001275D6">
            <w:pPr>
              <w:spacing w:before="0" w:line="240" w:lineRule="auto"/>
              <w:jc w:val="both"/>
              <w:rPr>
                <w:rFonts w:eastAsia="Times New Roman" w:cs="Arial"/>
                <w:color w:val="000000"/>
                <w:sz w:val="18"/>
                <w:szCs w:val="16"/>
                <w:lang w:eastAsia="fr-FR"/>
              </w:rPr>
            </w:pPr>
            <w:r w:rsidRPr="00A9330B">
              <w:rPr>
                <w:rFonts w:eastAsia="Times New Roman" w:cs="Arial"/>
                <w:color w:val="000000"/>
                <w:sz w:val="18"/>
                <w:szCs w:val="16"/>
                <w:lang w:eastAsia="fr-FR"/>
              </w:rPr>
              <w:t>24,4</w:t>
            </w:r>
          </w:p>
        </w:tc>
        <w:tc>
          <w:tcPr>
            <w:tcW w:w="324" w:type="pct"/>
            <w:tcBorders>
              <w:top w:val="nil"/>
              <w:left w:val="nil"/>
              <w:bottom w:val="single" w:sz="4" w:space="0" w:color="auto"/>
              <w:right w:val="single" w:sz="4" w:space="0" w:color="auto"/>
            </w:tcBorders>
            <w:shd w:val="clear" w:color="auto" w:fill="auto"/>
            <w:vAlign w:val="center"/>
            <w:hideMark/>
          </w:tcPr>
          <w:p w14:paraId="3FDDA180" w14:textId="77777777" w:rsidR="001275D6" w:rsidRPr="00A9330B" w:rsidRDefault="001275D6" w:rsidP="001275D6">
            <w:pPr>
              <w:spacing w:before="0" w:line="240" w:lineRule="auto"/>
              <w:jc w:val="both"/>
              <w:rPr>
                <w:rFonts w:eastAsia="Times New Roman" w:cs="Arial"/>
                <w:color w:val="000000"/>
                <w:sz w:val="18"/>
                <w:szCs w:val="16"/>
                <w:lang w:eastAsia="fr-FR"/>
              </w:rPr>
            </w:pPr>
            <w:r w:rsidRPr="00A9330B">
              <w:rPr>
                <w:rFonts w:eastAsia="Times New Roman" w:cs="Arial"/>
                <w:color w:val="000000"/>
                <w:sz w:val="18"/>
                <w:szCs w:val="16"/>
                <w:lang w:eastAsia="fr-FR"/>
              </w:rPr>
              <w:t>23</w:t>
            </w:r>
          </w:p>
        </w:tc>
        <w:tc>
          <w:tcPr>
            <w:tcW w:w="269" w:type="pct"/>
            <w:tcBorders>
              <w:top w:val="nil"/>
              <w:left w:val="nil"/>
              <w:bottom w:val="single" w:sz="4" w:space="0" w:color="auto"/>
              <w:right w:val="single" w:sz="4" w:space="0" w:color="auto"/>
            </w:tcBorders>
            <w:shd w:val="clear" w:color="auto" w:fill="auto"/>
            <w:vAlign w:val="center"/>
            <w:hideMark/>
          </w:tcPr>
          <w:p w14:paraId="34898364" w14:textId="77777777" w:rsidR="001275D6" w:rsidRPr="00A9330B" w:rsidRDefault="001275D6" w:rsidP="001275D6">
            <w:pPr>
              <w:spacing w:before="0" w:line="240" w:lineRule="auto"/>
              <w:jc w:val="both"/>
              <w:rPr>
                <w:rFonts w:eastAsia="Times New Roman" w:cs="Arial"/>
                <w:color w:val="000000"/>
                <w:sz w:val="18"/>
                <w:szCs w:val="16"/>
                <w:lang w:eastAsia="fr-FR"/>
              </w:rPr>
            </w:pPr>
            <w:r w:rsidRPr="00A9330B">
              <w:rPr>
                <w:rFonts w:eastAsia="Times New Roman" w:cs="Arial"/>
                <w:color w:val="000000"/>
                <w:sz w:val="18"/>
                <w:szCs w:val="16"/>
                <w:lang w:eastAsia="fr-FR"/>
              </w:rPr>
              <w:t>22,3</w:t>
            </w:r>
          </w:p>
        </w:tc>
        <w:tc>
          <w:tcPr>
            <w:tcW w:w="324" w:type="pct"/>
            <w:tcBorders>
              <w:top w:val="nil"/>
              <w:left w:val="nil"/>
              <w:bottom w:val="single" w:sz="4" w:space="0" w:color="auto"/>
              <w:right w:val="single" w:sz="4" w:space="0" w:color="auto"/>
            </w:tcBorders>
            <w:shd w:val="clear" w:color="auto" w:fill="auto"/>
            <w:vAlign w:val="center"/>
            <w:hideMark/>
          </w:tcPr>
          <w:p w14:paraId="1A826FA4" w14:textId="77777777" w:rsidR="001275D6" w:rsidRPr="00A9330B" w:rsidRDefault="001275D6" w:rsidP="001275D6">
            <w:pPr>
              <w:spacing w:before="0" w:line="240" w:lineRule="auto"/>
              <w:jc w:val="both"/>
              <w:rPr>
                <w:rFonts w:eastAsia="Times New Roman" w:cs="Arial"/>
                <w:color w:val="000000"/>
                <w:sz w:val="18"/>
                <w:szCs w:val="16"/>
                <w:lang w:eastAsia="fr-FR"/>
              </w:rPr>
            </w:pPr>
            <w:r w:rsidRPr="00A9330B">
              <w:rPr>
                <w:rFonts w:eastAsia="Times New Roman" w:cs="Arial"/>
                <w:color w:val="000000"/>
                <w:sz w:val="18"/>
                <w:szCs w:val="16"/>
                <w:lang w:eastAsia="fr-FR"/>
              </w:rPr>
              <w:t>22,1</w:t>
            </w:r>
          </w:p>
        </w:tc>
        <w:tc>
          <w:tcPr>
            <w:tcW w:w="324" w:type="pct"/>
            <w:tcBorders>
              <w:top w:val="nil"/>
              <w:left w:val="nil"/>
              <w:bottom w:val="single" w:sz="4" w:space="0" w:color="auto"/>
              <w:right w:val="single" w:sz="4" w:space="0" w:color="auto"/>
            </w:tcBorders>
            <w:shd w:val="clear" w:color="auto" w:fill="auto"/>
            <w:vAlign w:val="center"/>
            <w:hideMark/>
          </w:tcPr>
          <w:p w14:paraId="1901B807" w14:textId="77777777" w:rsidR="001275D6" w:rsidRPr="00A9330B" w:rsidRDefault="001275D6" w:rsidP="001275D6">
            <w:pPr>
              <w:spacing w:before="0" w:line="240" w:lineRule="auto"/>
              <w:jc w:val="both"/>
              <w:rPr>
                <w:rFonts w:eastAsia="Times New Roman" w:cs="Arial"/>
                <w:color w:val="000000"/>
                <w:sz w:val="18"/>
                <w:szCs w:val="16"/>
                <w:lang w:eastAsia="fr-FR"/>
              </w:rPr>
            </w:pPr>
            <w:r w:rsidRPr="00A9330B">
              <w:rPr>
                <w:rFonts w:eastAsia="Times New Roman" w:cs="Arial"/>
                <w:color w:val="000000"/>
                <w:sz w:val="18"/>
                <w:szCs w:val="16"/>
                <w:lang w:eastAsia="fr-FR"/>
              </w:rPr>
              <w:t>21,6</w:t>
            </w:r>
          </w:p>
        </w:tc>
        <w:tc>
          <w:tcPr>
            <w:tcW w:w="269" w:type="pct"/>
            <w:tcBorders>
              <w:top w:val="nil"/>
              <w:left w:val="nil"/>
              <w:bottom w:val="single" w:sz="4" w:space="0" w:color="auto"/>
              <w:right w:val="single" w:sz="4" w:space="0" w:color="auto"/>
            </w:tcBorders>
            <w:shd w:val="clear" w:color="auto" w:fill="auto"/>
            <w:vAlign w:val="center"/>
            <w:hideMark/>
          </w:tcPr>
          <w:p w14:paraId="71FDA906" w14:textId="77777777" w:rsidR="001275D6" w:rsidRPr="00A9330B" w:rsidRDefault="001275D6" w:rsidP="001275D6">
            <w:pPr>
              <w:spacing w:before="0" w:line="240" w:lineRule="auto"/>
              <w:jc w:val="both"/>
              <w:rPr>
                <w:rFonts w:eastAsia="Times New Roman" w:cs="Arial"/>
                <w:color w:val="000000"/>
                <w:sz w:val="18"/>
                <w:szCs w:val="16"/>
                <w:lang w:eastAsia="fr-FR"/>
              </w:rPr>
            </w:pPr>
            <w:r w:rsidRPr="00A9330B">
              <w:rPr>
                <w:rFonts w:eastAsia="Times New Roman" w:cs="Arial"/>
                <w:color w:val="000000"/>
                <w:sz w:val="18"/>
                <w:szCs w:val="16"/>
                <w:lang w:eastAsia="fr-FR"/>
              </w:rPr>
              <w:t>21,7</w:t>
            </w:r>
          </w:p>
        </w:tc>
        <w:tc>
          <w:tcPr>
            <w:tcW w:w="269" w:type="pct"/>
            <w:tcBorders>
              <w:top w:val="nil"/>
              <w:left w:val="nil"/>
              <w:bottom w:val="single" w:sz="4" w:space="0" w:color="auto"/>
              <w:right w:val="single" w:sz="4" w:space="0" w:color="auto"/>
            </w:tcBorders>
            <w:shd w:val="clear" w:color="auto" w:fill="auto"/>
            <w:vAlign w:val="center"/>
            <w:hideMark/>
          </w:tcPr>
          <w:p w14:paraId="2B4A4C22" w14:textId="77777777" w:rsidR="001275D6" w:rsidRPr="00A9330B" w:rsidRDefault="001275D6" w:rsidP="001275D6">
            <w:pPr>
              <w:spacing w:before="0" w:line="240" w:lineRule="auto"/>
              <w:jc w:val="both"/>
              <w:rPr>
                <w:rFonts w:eastAsia="Times New Roman" w:cs="Arial"/>
                <w:color w:val="000000"/>
                <w:sz w:val="18"/>
                <w:szCs w:val="16"/>
                <w:lang w:eastAsia="fr-FR"/>
              </w:rPr>
            </w:pPr>
            <w:r w:rsidRPr="00A9330B">
              <w:rPr>
                <w:rFonts w:eastAsia="Times New Roman" w:cs="Arial"/>
                <w:color w:val="000000"/>
                <w:sz w:val="18"/>
                <w:szCs w:val="16"/>
                <w:lang w:eastAsia="fr-FR"/>
              </w:rPr>
              <w:t>18,7</w:t>
            </w:r>
          </w:p>
        </w:tc>
        <w:tc>
          <w:tcPr>
            <w:tcW w:w="269" w:type="pct"/>
            <w:tcBorders>
              <w:top w:val="nil"/>
              <w:left w:val="nil"/>
              <w:bottom w:val="single" w:sz="4" w:space="0" w:color="auto"/>
              <w:right w:val="single" w:sz="4" w:space="0" w:color="auto"/>
            </w:tcBorders>
            <w:shd w:val="clear" w:color="auto" w:fill="auto"/>
            <w:vAlign w:val="center"/>
            <w:hideMark/>
          </w:tcPr>
          <w:p w14:paraId="5C577F0E" w14:textId="77777777" w:rsidR="001275D6" w:rsidRPr="00A9330B" w:rsidRDefault="001275D6" w:rsidP="001275D6">
            <w:pPr>
              <w:spacing w:before="0" w:line="240" w:lineRule="auto"/>
              <w:jc w:val="both"/>
              <w:rPr>
                <w:rFonts w:eastAsia="Times New Roman" w:cs="Arial"/>
                <w:color w:val="000000"/>
                <w:sz w:val="18"/>
                <w:szCs w:val="16"/>
                <w:lang w:eastAsia="fr-FR"/>
              </w:rPr>
            </w:pPr>
            <w:r w:rsidRPr="00A9330B">
              <w:rPr>
                <w:rFonts w:eastAsia="Times New Roman" w:cs="Arial"/>
                <w:color w:val="000000"/>
                <w:sz w:val="18"/>
                <w:szCs w:val="16"/>
                <w:lang w:eastAsia="fr-FR"/>
              </w:rPr>
              <w:t>17,1</w:t>
            </w:r>
          </w:p>
        </w:tc>
        <w:tc>
          <w:tcPr>
            <w:tcW w:w="483" w:type="pct"/>
            <w:tcBorders>
              <w:top w:val="nil"/>
              <w:left w:val="nil"/>
              <w:bottom w:val="single" w:sz="4" w:space="0" w:color="auto"/>
              <w:right w:val="single" w:sz="4" w:space="0" w:color="auto"/>
            </w:tcBorders>
            <w:shd w:val="clear" w:color="auto" w:fill="auto"/>
            <w:noWrap/>
            <w:vAlign w:val="center"/>
            <w:hideMark/>
          </w:tcPr>
          <w:p w14:paraId="23B21999" w14:textId="77777777" w:rsidR="001275D6" w:rsidRPr="00A9330B" w:rsidRDefault="001275D6" w:rsidP="001275D6">
            <w:pPr>
              <w:spacing w:before="0" w:line="240" w:lineRule="auto"/>
              <w:jc w:val="both"/>
              <w:rPr>
                <w:rFonts w:eastAsia="Times New Roman" w:cs="Arial"/>
                <w:color w:val="000000"/>
                <w:sz w:val="18"/>
                <w:szCs w:val="16"/>
                <w:lang w:eastAsia="fr-FR"/>
              </w:rPr>
            </w:pPr>
            <w:r w:rsidRPr="00A9330B">
              <w:rPr>
                <w:rFonts w:eastAsia="Times New Roman" w:cs="Arial"/>
                <w:color w:val="000000"/>
                <w:sz w:val="18"/>
                <w:szCs w:val="16"/>
                <w:lang w:eastAsia="fr-FR"/>
              </w:rPr>
              <w:t>21,1</w:t>
            </w:r>
          </w:p>
        </w:tc>
      </w:tr>
    </w:tbl>
    <w:p w14:paraId="408FF1EF" w14:textId="6F250199" w:rsidR="001275D6" w:rsidRPr="00A9330B" w:rsidRDefault="001275D6" w:rsidP="001275D6">
      <w:pPr>
        <w:ind w:firstLine="708"/>
        <w:jc w:val="both"/>
        <w:rPr>
          <w:b/>
          <w:sz w:val="20"/>
          <w:szCs w:val="20"/>
        </w:rPr>
      </w:pPr>
      <w:r w:rsidRPr="00A9330B">
        <w:rPr>
          <w:rFonts w:eastAsia="Times New Roman" w:cs="Arial"/>
          <w:b/>
          <w:bCs/>
          <w:color w:val="auto"/>
          <w:sz w:val="20"/>
          <w:szCs w:val="20"/>
          <w:lang w:eastAsia="it-IT"/>
        </w:rPr>
        <w:t>Source : Rapport Hydrologique</w:t>
      </w:r>
    </w:p>
    <w:p w14:paraId="1D404B54" w14:textId="0572D6A0" w:rsidR="00701C80" w:rsidRPr="00A9330B" w:rsidRDefault="00701C80" w:rsidP="00935A72">
      <w:pPr>
        <w:jc w:val="both"/>
      </w:pPr>
      <w:r w:rsidRPr="00A9330B">
        <w:t>En saison pluvieuse, le paysage est plus clair et beau. En absence de nuages, la ville offre une bonne vue panoramique surtout aux sommets des collines. C’est à cause de ces vues panoramiques que certaines personnes installent leur maison sur les sommets des collines. Les températures sont douces (25°C en moyenne) et le léger vent permet de meilleures conditions de vie et de repos pour les personnes âgées et les convalescents. Ce qui donne une fonction de sanatorium à la ville de Natitingou.  En harmattan, le brouillard parfois épais couvre les soumets des collines et le lon</w:t>
      </w:r>
      <w:r w:rsidR="00B655B7" w:rsidRPr="00A9330B">
        <w:t>g des rivières Fourgninkèrè et Wa</w:t>
      </w:r>
      <w:r w:rsidRPr="00A9330B">
        <w:t xml:space="preserve">adata. Les nuages couvrent aussi le ciel et la luminosité est faible. </w:t>
      </w:r>
    </w:p>
    <w:p w14:paraId="469687F2" w14:textId="77777777" w:rsidR="00701C80" w:rsidRPr="00A9330B" w:rsidRDefault="00701C80" w:rsidP="00935A72">
      <w:pPr>
        <w:jc w:val="both"/>
      </w:pPr>
      <w:r w:rsidRPr="00A9330B">
        <w:t>Les vents dominants sont les alizés. On distingue : l’alizé du nord est ou harmattan, vent froid et sec, il souffle de novembre à mars suivant la direction nord-est sud-ouest et dessèche tout sur son passage favorisant ainsi, la maturation des cultures et l’allumage des feux de végétation l’alizé du sud-ouest qui souffle d’avril à octobre, amène de violentes averses (tornades) caractérisés par de vifs éclairs. Ils sont si violents qu’ils arrachent des arbres et les toitures des maisons et d’autres infrastructures sociocommunautaires.  De 1958 à 1987, leur direction dominante est celle de l’ouest avec une vitesse moyenne annuelle allant de 0,91 m/s à 2,3 m/s. La période de calme atmosphérique affiche une vitesse très faible, soit 1,1 m/s sur tente ans. Quant à l’insolation journalière, les valeurs moyennes mensuelles mesurées à Natitingou entre 1963 et 1997, montrent que la durée moyenne varie entre un minimum de 4,68 heures par jour en août et un maximum de 8,83 heures par jour en février. On remarque qu’en 1983, tous les mois, outre celui de juin, ont connu une forte insolation par rapport à la moyenne mensuelle interannuelle.  Le relief, le climat et l’hydrographie ont une forte relation avec les sols, la végétation et la faune. Ces éléments sont déterminants dans la mise en place de la population et le développement de la ville.</w:t>
      </w:r>
    </w:p>
    <w:p w14:paraId="5FAEEF09" w14:textId="5DDAA36A" w:rsidR="00F8352E" w:rsidRPr="00A9330B" w:rsidRDefault="001275D6" w:rsidP="0064324E">
      <w:pPr>
        <w:pStyle w:val="Titre40"/>
      </w:pPr>
      <w:bookmarkStart w:id="692" w:name="_Toc504495396"/>
      <w:bookmarkStart w:id="693" w:name="_Toc45520812"/>
      <w:bookmarkStart w:id="694" w:name="_Toc52869616"/>
      <w:r w:rsidRPr="00A9330B">
        <w:t xml:space="preserve">3.1.1.3 </w:t>
      </w:r>
      <w:r w:rsidR="00F8352E" w:rsidRPr="00A9330B">
        <w:t>Analyse des Données Climatiques</w:t>
      </w:r>
      <w:bookmarkEnd w:id="692"/>
      <w:bookmarkEnd w:id="693"/>
      <w:bookmarkEnd w:id="694"/>
    </w:p>
    <w:p w14:paraId="55151997" w14:textId="113868B7" w:rsidR="00F8352E" w:rsidRPr="00A9330B" w:rsidRDefault="00F8352E" w:rsidP="00F8352E">
      <w:pPr>
        <w:spacing w:before="0" w:line="240" w:lineRule="auto"/>
        <w:jc w:val="both"/>
        <w:rPr>
          <w:rFonts w:eastAsia="Times New Roman" w:cs="Arial"/>
          <w:color w:val="221F1F"/>
          <w:lang w:eastAsia="it-IT"/>
        </w:rPr>
      </w:pPr>
      <w:r w:rsidRPr="00A9330B">
        <w:rPr>
          <w:rFonts w:eastAsia="Times New Roman" w:cs="Arial"/>
          <w:color w:val="221F1F"/>
          <w:lang w:eastAsia="it-IT"/>
        </w:rPr>
        <w:t>Les données climatiques sont relevées à la station de Natitingou</w:t>
      </w:r>
      <w:r w:rsidR="001275D6" w:rsidRPr="00A9330B">
        <w:rPr>
          <w:rFonts w:eastAsia="Times New Roman" w:cs="Arial"/>
          <w:color w:val="221F1F"/>
          <w:lang w:eastAsia="it-IT"/>
        </w:rPr>
        <w:t xml:space="preserve"> </w:t>
      </w:r>
      <w:r w:rsidRPr="00A9330B">
        <w:rPr>
          <w:rFonts w:eastAsia="Times New Roman" w:cs="Arial"/>
          <w:color w:val="221F1F"/>
          <w:lang w:eastAsia="it-IT"/>
        </w:rPr>
        <w:t>:</w:t>
      </w:r>
    </w:p>
    <w:p w14:paraId="25839039" w14:textId="4449ABC4" w:rsidR="00F8352E" w:rsidRPr="00A9330B" w:rsidRDefault="001275D6" w:rsidP="00A9330B">
      <w:pPr>
        <w:pStyle w:val="Lgende"/>
        <w:rPr>
          <w:bCs/>
          <w:szCs w:val="18"/>
          <w:lang w:eastAsia="it-IT"/>
        </w:rPr>
      </w:pPr>
      <w:bookmarkStart w:id="695" w:name="_Toc504498855"/>
      <w:bookmarkStart w:id="696" w:name="_Toc52873738"/>
      <w:r w:rsidRPr="00A9330B">
        <w:t xml:space="preserve">Tableau </w:t>
      </w:r>
      <w:r w:rsidR="00D24D0D" w:rsidRPr="00A9330B">
        <w:fldChar w:fldCharType="begin"/>
      </w:r>
      <w:r w:rsidR="00D24D0D" w:rsidRPr="00A9330B">
        <w:instrText xml:space="preserve"> SEQ Tableau \* ARABIC </w:instrText>
      </w:r>
      <w:r w:rsidR="00D24D0D" w:rsidRPr="00A9330B">
        <w:fldChar w:fldCharType="separate"/>
      </w:r>
      <w:r w:rsidR="00417D31" w:rsidRPr="00A9330B">
        <w:rPr>
          <w:noProof/>
        </w:rPr>
        <w:t>14</w:t>
      </w:r>
      <w:r w:rsidR="00D24D0D" w:rsidRPr="00A9330B">
        <w:rPr>
          <w:noProof/>
        </w:rPr>
        <w:fldChar w:fldCharType="end"/>
      </w:r>
      <w:r w:rsidR="00F8352E" w:rsidRPr="00A9330B">
        <w:rPr>
          <w:bCs/>
          <w:szCs w:val="18"/>
          <w:lang w:eastAsia="it-IT"/>
        </w:rPr>
        <w:t xml:space="preserve"> : Coordonnées de la station</w:t>
      </w:r>
      <w:bookmarkEnd w:id="695"/>
      <w:bookmarkEnd w:id="696"/>
    </w:p>
    <w:tbl>
      <w:tblPr>
        <w:tblW w:w="9209" w:type="dxa"/>
        <w:jc w:val="center"/>
        <w:tblLayout w:type="fixed"/>
        <w:tblCellMar>
          <w:left w:w="0" w:type="dxa"/>
          <w:right w:w="0" w:type="dxa"/>
        </w:tblCellMar>
        <w:tblLook w:val="0000" w:firstRow="0" w:lastRow="0" w:firstColumn="0" w:lastColumn="0" w:noHBand="0" w:noVBand="0"/>
      </w:tblPr>
      <w:tblGrid>
        <w:gridCol w:w="2302"/>
        <w:gridCol w:w="2302"/>
        <w:gridCol w:w="2302"/>
        <w:gridCol w:w="2303"/>
      </w:tblGrid>
      <w:tr w:rsidR="00F8352E" w:rsidRPr="00A9330B" w14:paraId="0D768924" w14:textId="77777777" w:rsidTr="0025132A">
        <w:trPr>
          <w:trHeight w:hRule="exact" w:val="553"/>
          <w:jc w:val="center"/>
        </w:trPr>
        <w:tc>
          <w:tcPr>
            <w:tcW w:w="2302" w:type="dxa"/>
            <w:tcBorders>
              <w:top w:val="single" w:sz="4" w:space="0" w:color="221F1F"/>
              <w:left w:val="single" w:sz="4" w:space="0" w:color="221F1F"/>
              <w:bottom w:val="single" w:sz="4" w:space="0" w:color="221F1F"/>
              <w:right w:val="single" w:sz="4" w:space="0" w:color="221F1F"/>
            </w:tcBorders>
          </w:tcPr>
          <w:p w14:paraId="4340906E" w14:textId="77777777" w:rsidR="00F8352E" w:rsidRPr="00A9330B" w:rsidRDefault="00F8352E" w:rsidP="00F8352E">
            <w:pPr>
              <w:widowControl w:val="0"/>
              <w:overflowPunct w:val="0"/>
              <w:autoSpaceDE w:val="0"/>
              <w:autoSpaceDN w:val="0"/>
              <w:adjustRightInd w:val="0"/>
              <w:spacing w:before="57" w:line="360" w:lineRule="auto"/>
              <w:ind w:left="101"/>
              <w:jc w:val="both"/>
              <w:textAlignment w:val="baseline"/>
              <w:rPr>
                <w:rFonts w:eastAsia="Times New Roman" w:cs="Arial"/>
                <w:color w:val="auto"/>
                <w:lang w:eastAsia="it-IT"/>
              </w:rPr>
            </w:pPr>
            <w:r w:rsidRPr="00A9330B">
              <w:rPr>
                <w:rFonts w:eastAsia="Times New Roman" w:cs="Arial"/>
                <w:color w:val="221F1F"/>
                <w:lang w:eastAsia="it-IT"/>
              </w:rPr>
              <w:t>Station</w:t>
            </w:r>
          </w:p>
        </w:tc>
        <w:tc>
          <w:tcPr>
            <w:tcW w:w="2302" w:type="dxa"/>
            <w:tcBorders>
              <w:top w:val="single" w:sz="4" w:space="0" w:color="221F1F"/>
              <w:left w:val="single" w:sz="4" w:space="0" w:color="221F1F"/>
              <w:bottom w:val="single" w:sz="4" w:space="0" w:color="221F1F"/>
              <w:right w:val="single" w:sz="4" w:space="0" w:color="221F1F"/>
            </w:tcBorders>
          </w:tcPr>
          <w:p w14:paraId="1EF1AEDE" w14:textId="77777777" w:rsidR="00F8352E" w:rsidRPr="00A9330B" w:rsidRDefault="00F8352E" w:rsidP="00F8352E">
            <w:pPr>
              <w:widowControl w:val="0"/>
              <w:overflowPunct w:val="0"/>
              <w:autoSpaceDE w:val="0"/>
              <w:autoSpaceDN w:val="0"/>
              <w:adjustRightInd w:val="0"/>
              <w:spacing w:before="57" w:line="360" w:lineRule="auto"/>
              <w:ind w:left="103"/>
              <w:jc w:val="both"/>
              <w:textAlignment w:val="baseline"/>
              <w:rPr>
                <w:rFonts w:eastAsia="Times New Roman" w:cs="Arial"/>
                <w:color w:val="auto"/>
                <w:lang w:eastAsia="it-IT"/>
              </w:rPr>
            </w:pPr>
            <w:r w:rsidRPr="00A9330B">
              <w:rPr>
                <w:rFonts w:eastAsia="Times New Roman" w:cs="Arial"/>
                <w:color w:val="221F1F"/>
                <w:lang w:eastAsia="it-IT"/>
              </w:rPr>
              <w:t>Latitude Nord</w:t>
            </w:r>
          </w:p>
        </w:tc>
        <w:tc>
          <w:tcPr>
            <w:tcW w:w="2302" w:type="dxa"/>
            <w:tcBorders>
              <w:top w:val="single" w:sz="4" w:space="0" w:color="221F1F"/>
              <w:left w:val="single" w:sz="4" w:space="0" w:color="221F1F"/>
              <w:bottom w:val="single" w:sz="4" w:space="0" w:color="221F1F"/>
              <w:right w:val="single" w:sz="4" w:space="0" w:color="221F1F"/>
            </w:tcBorders>
          </w:tcPr>
          <w:p w14:paraId="38CE4B7F" w14:textId="77777777" w:rsidR="00F8352E" w:rsidRPr="00A9330B" w:rsidRDefault="00F8352E" w:rsidP="00F8352E">
            <w:pPr>
              <w:widowControl w:val="0"/>
              <w:overflowPunct w:val="0"/>
              <w:autoSpaceDE w:val="0"/>
              <w:autoSpaceDN w:val="0"/>
              <w:adjustRightInd w:val="0"/>
              <w:spacing w:before="57" w:line="360" w:lineRule="auto"/>
              <w:ind w:left="103"/>
              <w:jc w:val="both"/>
              <w:textAlignment w:val="baseline"/>
              <w:rPr>
                <w:rFonts w:eastAsia="Times New Roman" w:cs="Arial"/>
                <w:color w:val="auto"/>
                <w:lang w:eastAsia="it-IT"/>
              </w:rPr>
            </w:pPr>
            <w:r w:rsidRPr="00A9330B">
              <w:rPr>
                <w:rFonts w:eastAsia="Times New Roman" w:cs="Arial"/>
                <w:color w:val="221F1F"/>
                <w:lang w:eastAsia="it-IT"/>
              </w:rPr>
              <w:t>Longitude Est</w:t>
            </w:r>
          </w:p>
        </w:tc>
        <w:tc>
          <w:tcPr>
            <w:tcW w:w="2303" w:type="dxa"/>
            <w:tcBorders>
              <w:top w:val="single" w:sz="4" w:space="0" w:color="221F1F"/>
              <w:left w:val="single" w:sz="4" w:space="0" w:color="221F1F"/>
              <w:bottom w:val="single" w:sz="4" w:space="0" w:color="221F1F"/>
              <w:right w:val="single" w:sz="4" w:space="0" w:color="221F1F"/>
            </w:tcBorders>
          </w:tcPr>
          <w:p w14:paraId="5D33209A" w14:textId="77777777" w:rsidR="00F8352E" w:rsidRPr="00A9330B" w:rsidRDefault="00F8352E" w:rsidP="00F8352E">
            <w:pPr>
              <w:widowControl w:val="0"/>
              <w:overflowPunct w:val="0"/>
              <w:autoSpaceDE w:val="0"/>
              <w:autoSpaceDN w:val="0"/>
              <w:adjustRightInd w:val="0"/>
              <w:spacing w:before="57" w:line="360" w:lineRule="auto"/>
              <w:ind w:left="102"/>
              <w:jc w:val="both"/>
              <w:textAlignment w:val="baseline"/>
              <w:rPr>
                <w:rFonts w:eastAsia="Times New Roman" w:cs="Arial"/>
                <w:color w:val="auto"/>
                <w:lang w:eastAsia="it-IT"/>
              </w:rPr>
            </w:pPr>
            <w:r w:rsidRPr="00A9330B">
              <w:rPr>
                <w:rFonts w:eastAsia="Times New Roman" w:cs="Arial"/>
                <w:color w:val="221F1F"/>
                <w:lang w:eastAsia="it-IT"/>
              </w:rPr>
              <w:t>Altitude (mètres)</w:t>
            </w:r>
          </w:p>
        </w:tc>
      </w:tr>
      <w:tr w:rsidR="00F8352E" w:rsidRPr="00A9330B" w14:paraId="431C5FA1" w14:textId="77777777" w:rsidTr="0025132A">
        <w:trPr>
          <w:trHeight w:hRule="exact" w:val="529"/>
          <w:jc w:val="center"/>
        </w:trPr>
        <w:tc>
          <w:tcPr>
            <w:tcW w:w="2302" w:type="dxa"/>
            <w:tcBorders>
              <w:top w:val="single" w:sz="4" w:space="0" w:color="221F1F"/>
              <w:left w:val="single" w:sz="4" w:space="0" w:color="221F1F"/>
              <w:bottom w:val="single" w:sz="4" w:space="0" w:color="221F1F"/>
              <w:right w:val="single" w:sz="4" w:space="0" w:color="221F1F"/>
            </w:tcBorders>
          </w:tcPr>
          <w:p w14:paraId="1777F1B6" w14:textId="77777777" w:rsidR="00F8352E" w:rsidRPr="00A9330B" w:rsidRDefault="00F8352E" w:rsidP="00F8352E">
            <w:pPr>
              <w:widowControl w:val="0"/>
              <w:overflowPunct w:val="0"/>
              <w:autoSpaceDE w:val="0"/>
              <w:autoSpaceDN w:val="0"/>
              <w:adjustRightInd w:val="0"/>
              <w:spacing w:before="57" w:line="360" w:lineRule="auto"/>
              <w:ind w:left="101"/>
              <w:jc w:val="both"/>
              <w:textAlignment w:val="baseline"/>
              <w:rPr>
                <w:rFonts w:eastAsia="Times New Roman" w:cs="Arial"/>
                <w:color w:val="auto"/>
                <w:lang w:eastAsia="it-IT"/>
              </w:rPr>
            </w:pPr>
            <w:r w:rsidRPr="00A9330B">
              <w:rPr>
                <w:rFonts w:eastAsia="Times New Roman" w:cs="Arial"/>
                <w:color w:val="221F1F"/>
                <w:lang w:eastAsia="it-IT"/>
              </w:rPr>
              <w:t>Natitingou</w:t>
            </w:r>
          </w:p>
        </w:tc>
        <w:tc>
          <w:tcPr>
            <w:tcW w:w="2302" w:type="dxa"/>
            <w:tcBorders>
              <w:top w:val="single" w:sz="4" w:space="0" w:color="221F1F"/>
              <w:left w:val="single" w:sz="4" w:space="0" w:color="221F1F"/>
              <w:bottom w:val="single" w:sz="4" w:space="0" w:color="221F1F"/>
              <w:right w:val="single" w:sz="4" w:space="0" w:color="221F1F"/>
            </w:tcBorders>
          </w:tcPr>
          <w:p w14:paraId="6F809F77" w14:textId="77777777" w:rsidR="00F8352E" w:rsidRPr="00A9330B" w:rsidRDefault="00F8352E" w:rsidP="00F8352E">
            <w:pPr>
              <w:widowControl w:val="0"/>
              <w:overflowPunct w:val="0"/>
              <w:autoSpaceDE w:val="0"/>
              <w:autoSpaceDN w:val="0"/>
              <w:adjustRightInd w:val="0"/>
              <w:spacing w:before="57" w:line="360" w:lineRule="auto"/>
              <w:ind w:left="102"/>
              <w:jc w:val="both"/>
              <w:textAlignment w:val="baseline"/>
              <w:rPr>
                <w:rFonts w:eastAsia="Times New Roman" w:cs="Arial"/>
                <w:color w:val="auto"/>
                <w:lang w:eastAsia="it-IT"/>
              </w:rPr>
            </w:pPr>
            <w:r w:rsidRPr="00A9330B">
              <w:rPr>
                <w:rFonts w:eastAsia="Times New Roman" w:cs="Arial"/>
                <w:color w:val="221F1F"/>
                <w:lang w:eastAsia="it-IT"/>
              </w:rPr>
              <w:t>10°19’</w:t>
            </w:r>
          </w:p>
        </w:tc>
        <w:tc>
          <w:tcPr>
            <w:tcW w:w="2302" w:type="dxa"/>
            <w:tcBorders>
              <w:top w:val="single" w:sz="4" w:space="0" w:color="221F1F"/>
              <w:left w:val="single" w:sz="4" w:space="0" w:color="221F1F"/>
              <w:bottom w:val="single" w:sz="4" w:space="0" w:color="221F1F"/>
              <w:right w:val="single" w:sz="4" w:space="0" w:color="221F1F"/>
            </w:tcBorders>
          </w:tcPr>
          <w:p w14:paraId="34729BF5" w14:textId="77777777" w:rsidR="00F8352E" w:rsidRPr="00A9330B" w:rsidRDefault="00F8352E" w:rsidP="00F8352E">
            <w:pPr>
              <w:widowControl w:val="0"/>
              <w:overflowPunct w:val="0"/>
              <w:autoSpaceDE w:val="0"/>
              <w:autoSpaceDN w:val="0"/>
              <w:adjustRightInd w:val="0"/>
              <w:spacing w:before="57" w:line="360" w:lineRule="auto"/>
              <w:ind w:left="101"/>
              <w:jc w:val="both"/>
              <w:textAlignment w:val="baseline"/>
              <w:rPr>
                <w:rFonts w:eastAsia="Times New Roman" w:cs="Arial"/>
                <w:color w:val="auto"/>
                <w:lang w:eastAsia="it-IT"/>
              </w:rPr>
            </w:pPr>
            <w:r w:rsidRPr="00A9330B">
              <w:rPr>
                <w:rFonts w:eastAsia="Times New Roman" w:cs="Arial"/>
                <w:color w:val="221F1F"/>
                <w:lang w:eastAsia="it-IT"/>
              </w:rPr>
              <w:t>01°23’</w:t>
            </w:r>
          </w:p>
        </w:tc>
        <w:tc>
          <w:tcPr>
            <w:tcW w:w="2303" w:type="dxa"/>
            <w:tcBorders>
              <w:top w:val="single" w:sz="4" w:space="0" w:color="221F1F"/>
              <w:left w:val="single" w:sz="4" w:space="0" w:color="221F1F"/>
              <w:bottom w:val="single" w:sz="4" w:space="0" w:color="221F1F"/>
              <w:right w:val="single" w:sz="4" w:space="0" w:color="221F1F"/>
            </w:tcBorders>
          </w:tcPr>
          <w:p w14:paraId="2BD5C612" w14:textId="77777777" w:rsidR="00F8352E" w:rsidRPr="00A9330B" w:rsidRDefault="00F8352E" w:rsidP="00F8352E">
            <w:pPr>
              <w:widowControl w:val="0"/>
              <w:overflowPunct w:val="0"/>
              <w:autoSpaceDE w:val="0"/>
              <w:autoSpaceDN w:val="0"/>
              <w:adjustRightInd w:val="0"/>
              <w:spacing w:before="57" w:line="360" w:lineRule="auto"/>
              <w:ind w:left="101"/>
              <w:jc w:val="both"/>
              <w:textAlignment w:val="baseline"/>
              <w:rPr>
                <w:rFonts w:eastAsia="Times New Roman" w:cs="Arial"/>
                <w:color w:val="auto"/>
                <w:lang w:eastAsia="it-IT"/>
              </w:rPr>
            </w:pPr>
            <w:r w:rsidRPr="00A9330B">
              <w:rPr>
                <w:rFonts w:eastAsia="Times New Roman" w:cs="Arial"/>
                <w:color w:val="221F1F"/>
                <w:lang w:eastAsia="it-IT"/>
              </w:rPr>
              <w:t>460,0 M</w:t>
            </w:r>
          </w:p>
        </w:tc>
      </w:tr>
    </w:tbl>
    <w:p w14:paraId="5EC31CF0" w14:textId="0308149B" w:rsidR="0025132A" w:rsidRPr="00A9330B" w:rsidRDefault="0025132A" w:rsidP="001275D6">
      <w:pPr>
        <w:spacing w:after="120" w:line="240" w:lineRule="auto"/>
        <w:jc w:val="both"/>
        <w:rPr>
          <w:rFonts w:eastAsia="Times New Roman" w:cs="Arial"/>
          <w:b/>
          <w:bCs/>
          <w:i/>
          <w:color w:val="auto"/>
          <w:sz w:val="20"/>
          <w:szCs w:val="20"/>
          <w:lang w:eastAsia="fr-FR"/>
        </w:rPr>
      </w:pPr>
      <w:r w:rsidRPr="00A9330B">
        <w:rPr>
          <w:rFonts w:eastAsia="Times New Roman" w:cs="Arial"/>
          <w:b/>
          <w:bCs/>
          <w:i/>
          <w:color w:val="auto"/>
          <w:sz w:val="20"/>
          <w:szCs w:val="20"/>
          <w:lang w:eastAsia="fr-FR"/>
        </w:rPr>
        <w:t>Source : Rapport Hydrologique et hydraulique, CECO-BTP 2020</w:t>
      </w:r>
    </w:p>
    <w:p w14:paraId="680B2891" w14:textId="064F8F2C" w:rsidR="001275D6" w:rsidRPr="00A9330B" w:rsidRDefault="001275D6" w:rsidP="001275D6">
      <w:pPr>
        <w:spacing w:after="120" w:line="240" w:lineRule="auto"/>
        <w:jc w:val="both"/>
        <w:rPr>
          <w:rFonts w:eastAsia="Times New Roman" w:cs="Arial"/>
          <w:b/>
          <w:bCs/>
          <w:i/>
          <w:color w:val="auto"/>
          <w:sz w:val="20"/>
          <w:szCs w:val="20"/>
          <w:lang w:eastAsia="fr-FR"/>
        </w:rPr>
      </w:pPr>
    </w:p>
    <w:p w14:paraId="08EF3A14" w14:textId="77777777" w:rsidR="00F8352E" w:rsidRPr="00A9330B" w:rsidRDefault="00F8352E" w:rsidP="00BD2F72">
      <w:pPr>
        <w:pStyle w:val="Paragraphedeliste"/>
        <w:numPr>
          <w:ilvl w:val="0"/>
          <w:numId w:val="94"/>
        </w:numPr>
        <w:spacing w:before="0" w:line="360" w:lineRule="auto"/>
        <w:jc w:val="both"/>
        <w:rPr>
          <w:rFonts w:cs="Arial"/>
          <w:b/>
          <w:i/>
          <w:color w:val="auto"/>
          <w:lang w:val="fr-FR" w:eastAsia="fr-FR"/>
        </w:rPr>
      </w:pPr>
      <w:r w:rsidRPr="00A9330B">
        <w:rPr>
          <w:rFonts w:cs="Arial"/>
          <w:b/>
          <w:i/>
          <w:color w:val="auto"/>
          <w:lang w:val="fr-FR" w:eastAsia="fr-FR"/>
        </w:rPr>
        <w:lastRenderedPageBreak/>
        <w:t>Insolation</w:t>
      </w:r>
    </w:p>
    <w:p w14:paraId="5C93C0C5" w14:textId="77777777" w:rsidR="00F8352E" w:rsidRPr="00A9330B" w:rsidRDefault="00F8352E" w:rsidP="00F8352E">
      <w:pPr>
        <w:widowControl w:val="0"/>
        <w:overflowPunct w:val="0"/>
        <w:autoSpaceDE w:val="0"/>
        <w:autoSpaceDN w:val="0"/>
        <w:adjustRightInd w:val="0"/>
        <w:spacing w:before="0" w:line="240" w:lineRule="auto"/>
        <w:ind w:right="185"/>
        <w:jc w:val="both"/>
        <w:textAlignment w:val="baseline"/>
        <w:rPr>
          <w:rFonts w:eastAsia="Times New Roman" w:cs="Arial"/>
          <w:color w:val="221F1F"/>
          <w:lang w:eastAsia="it-IT"/>
        </w:rPr>
      </w:pPr>
      <w:r w:rsidRPr="00A9330B">
        <w:rPr>
          <w:rFonts w:eastAsia="Times New Roman" w:cs="Arial"/>
          <w:color w:val="221F1F"/>
          <w:lang w:eastAsia="it-IT"/>
        </w:rPr>
        <w:t>Da</w:t>
      </w:r>
      <w:r w:rsidRPr="00A9330B">
        <w:rPr>
          <w:rFonts w:eastAsia="Times New Roman" w:cs="Arial"/>
          <w:color w:val="221F1F"/>
          <w:spacing w:val="-1"/>
          <w:lang w:eastAsia="it-IT"/>
        </w:rPr>
        <w:t>n</w:t>
      </w:r>
      <w:r w:rsidRPr="00A9330B">
        <w:rPr>
          <w:rFonts w:eastAsia="Times New Roman" w:cs="Arial"/>
          <w:color w:val="221F1F"/>
          <w:lang w:eastAsia="it-IT"/>
        </w:rPr>
        <w:t xml:space="preserve">s </w:t>
      </w:r>
      <w:r w:rsidRPr="00A9330B">
        <w:rPr>
          <w:rFonts w:eastAsia="Times New Roman" w:cs="Arial"/>
          <w:color w:val="221F1F"/>
          <w:spacing w:val="-1"/>
          <w:lang w:eastAsia="it-IT"/>
        </w:rPr>
        <w:t>l</w:t>
      </w:r>
      <w:r w:rsidRPr="00A9330B">
        <w:rPr>
          <w:rFonts w:eastAsia="Times New Roman" w:cs="Arial"/>
          <w:color w:val="221F1F"/>
          <w:lang w:eastAsia="it-IT"/>
        </w:rPr>
        <w:t>es t</w:t>
      </w:r>
      <w:r w:rsidRPr="00A9330B">
        <w:rPr>
          <w:rFonts w:eastAsia="Times New Roman" w:cs="Arial"/>
          <w:color w:val="221F1F"/>
          <w:spacing w:val="-1"/>
          <w:lang w:eastAsia="it-IT"/>
        </w:rPr>
        <w:t>a</w:t>
      </w:r>
      <w:r w:rsidRPr="00A9330B">
        <w:rPr>
          <w:rFonts w:eastAsia="Times New Roman" w:cs="Arial"/>
          <w:color w:val="221F1F"/>
          <w:lang w:eastAsia="it-IT"/>
        </w:rPr>
        <w:t>bleaux suiv</w:t>
      </w:r>
      <w:r w:rsidRPr="00A9330B">
        <w:rPr>
          <w:rFonts w:eastAsia="Times New Roman" w:cs="Arial"/>
          <w:color w:val="221F1F"/>
          <w:spacing w:val="-1"/>
          <w:lang w:eastAsia="it-IT"/>
        </w:rPr>
        <w:t>a</w:t>
      </w:r>
      <w:r w:rsidRPr="00A9330B">
        <w:rPr>
          <w:rFonts w:eastAsia="Times New Roman" w:cs="Arial"/>
          <w:color w:val="221F1F"/>
          <w:lang w:eastAsia="it-IT"/>
        </w:rPr>
        <w:t xml:space="preserve">nts, sont </w:t>
      </w:r>
      <w:r w:rsidRPr="00A9330B">
        <w:rPr>
          <w:rFonts w:eastAsia="Times New Roman" w:cs="Arial"/>
          <w:color w:val="221F1F"/>
          <w:spacing w:val="-1"/>
          <w:lang w:eastAsia="it-IT"/>
        </w:rPr>
        <w:t>i</w:t>
      </w:r>
      <w:r w:rsidRPr="00A9330B">
        <w:rPr>
          <w:rFonts w:eastAsia="Times New Roman" w:cs="Arial"/>
          <w:color w:val="221F1F"/>
          <w:lang w:eastAsia="it-IT"/>
        </w:rPr>
        <w:t>n</w:t>
      </w:r>
      <w:r w:rsidRPr="00A9330B">
        <w:rPr>
          <w:rFonts w:eastAsia="Times New Roman" w:cs="Arial"/>
          <w:color w:val="221F1F"/>
          <w:spacing w:val="-1"/>
          <w:lang w:eastAsia="it-IT"/>
        </w:rPr>
        <w:t>d</w:t>
      </w:r>
      <w:r w:rsidRPr="00A9330B">
        <w:rPr>
          <w:rFonts w:eastAsia="Times New Roman" w:cs="Arial"/>
          <w:color w:val="221F1F"/>
          <w:lang w:eastAsia="it-IT"/>
        </w:rPr>
        <w:t>iqué</w:t>
      </w:r>
      <w:r w:rsidRPr="00A9330B">
        <w:rPr>
          <w:rFonts w:eastAsia="Times New Roman" w:cs="Arial"/>
          <w:color w:val="221F1F"/>
          <w:spacing w:val="-1"/>
          <w:lang w:eastAsia="it-IT"/>
        </w:rPr>
        <w:t>e</w:t>
      </w:r>
      <w:r w:rsidRPr="00A9330B">
        <w:rPr>
          <w:rFonts w:eastAsia="Times New Roman" w:cs="Arial"/>
          <w:color w:val="221F1F"/>
          <w:lang w:eastAsia="it-IT"/>
        </w:rPr>
        <w:t xml:space="preserve">s </w:t>
      </w:r>
      <w:r w:rsidRPr="00A9330B">
        <w:rPr>
          <w:rFonts w:eastAsia="Times New Roman" w:cs="Arial"/>
          <w:color w:val="221F1F"/>
          <w:spacing w:val="-1"/>
          <w:lang w:eastAsia="it-IT"/>
        </w:rPr>
        <w:t>l</w:t>
      </w:r>
      <w:r w:rsidRPr="00A9330B">
        <w:rPr>
          <w:rFonts w:eastAsia="Times New Roman" w:cs="Arial"/>
          <w:color w:val="221F1F"/>
          <w:lang w:eastAsia="it-IT"/>
        </w:rPr>
        <w:t>es moyenn</w:t>
      </w:r>
      <w:r w:rsidRPr="00A9330B">
        <w:rPr>
          <w:rFonts w:eastAsia="Times New Roman" w:cs="Arial"/>
          <w:color w:val="221F1F"/>
          <w:spacing w:val="-1"/>
          <w:lang w:eastAsia="it-IT"/>
        </w:rPr>
        <w:t>e</w:t>
      </w:r>
      <w:r w:rsidRPr="00A9330B">
        <w:rPr>
          <w:rFonts w:eastAsia="Times New Roman" w:cs="Arial"/>
          <w:color w:val="221F1F"/>
          <w:lang w:eastAsia="it-IT"/>
        </w:rPr>
        <w:t xml:space="preserve">s </w:t>
      </w:r>
      <w:r w:rsidRPr="00A9330B">
        <w:rPr>
          <w:rFonts w:eastAsia="Times New Roman" w:cs="Arial"/>
          <w:color w:val="221F1F"/>
          <w:spacing w:val="-1"/>
          <w:lang w:eastAsia="it-IT"/>
        </w:rPr>
        <w:t>m</w:t>
      </w:r>
      <w:r w:rsidRPr="00A9330B">
        <w:rPr>
          <w:rFonts w:eastAsia="Times New Roman" w:cs="Arial"/>
          <w:color w:val="221F1F"/>
          <w:lang w:eastAsia="it-IT"/>
        </w:rPr>
        <w:t>ensuell</w:t>
      </w:r>
      <w:r w:rsidRPr="00A9330B">
        <w:rPr>
          <w:rFonts w:eastAsia="Times New Roman" w:cs="Arial"/>
          <w:color w:val="221F1F"/>
          <w:spacing w:val="-1"/>
          <w:lang w:eastAsia="it-IT"/>
        </w:rPr>
        <w:t>e</w:t>
      </w:r>
      <w:r w:rsidRPr="00A9330B">
        <w:rPr>
          <w:rFonts w:eastAsia="Times New Roman" w:cs="Arial"/>
          <w:color w:val="221F1F"/>
          <w:lang w:eastAsia="it-IT"/>
        </w:rPr>
        <w:t xml:space="preserve">s de l’insolation </w:t>
      </w:r>
      <w:r w:rsidRPr="00A9330B">
        <w:rPr>
          <w:rFonts w:eastAsia="Times New Roman" w:cs="Arial"/>
          <w:color w:val="221F1F"/>
          <w:spacing w:val="-1"/>
          <w:lang w:eastAsia="it-IT"/>
        </w:rPr>
        <w:t>j</w:t>
      </w:r>
      <w:r w:rsidRPr="00A9330B">
        <w:rPr>
          <w:rFonts w:eastAsia="Times New Roman" w:cs="Arial"/>
          <w:color w:val="221F1F"/>
          <w:lang w:eastAsia="it-IT"/>
        </w:rPr>
        <w:t>our</w:t>
      </w:r>
      <w:r w:rsidRPr="00A9330B">
        <w:rPr>
          <w:rFonts w:eastAsia="Times New Roman" w:cs="Arial"/>
          <w:color w:val="221F1F"/>
          <w:spacing w:val="-1"/>
          <w:lang w:eastAsia="it-IT"/>
        </w:rPr>
        <w:t>n</w:t>
      </w:r>
      <w:r w:rsidRPr="00A9330B">
        <w:rPr>
          <w:rFonts w:eastAsia="Times New Roman" w:cs="Arial"/>
          <w:color w:val="221F1F"/>
          <w:lang w:eastAsia="it-IT"/>
        </w:rPr>
        <w:t>ali</w:t>
      </w:r>
      <w:r w:rsidRPr="00A9330B">
        <w:rPr>
          <w:rFonts w:eastAsia="Times New Roman" w:cs="Arial"/>
          <w:color w:val="221F1F"/>
          <w:spacing w:val="-1"/>
          <w:lang w:eastAsia="it-IT"/>
        </w:rPr>
        <w:t>è</w:t>
      </w:r>
      <w:r w:rsidRPr="00A9330B">
        <w:rPr>
          <w:rFonts w:eastAsia="Times New Roman" w:cs="Arial"/>
          <w:color w:val="221F1F"/>
          <w:lang w:eastAsia="it-IT"/>
        </w:rPr>
        <w:t>re exprim</w:t>
      </w:r>
      <w:r w:rsidRPr="00A9330B">
        <w:rPr>
          <w:rFonts w:eastAsia="Times New Roman" w:cs="Arial"/>
          <w:color w:val="221F1F"/>
          <w:spacing w:val="-1"/>
          <w:lang w:eastAsia="it-IT"/>
        </w:rPr>
        <w:t>é</w:t>
      </w:r>
      <w:r w:rsidRPr="00A9330B">
        <w:rPr>
          <w:rFonts w:eastAsia="Times New Roman" w:cs="Arial"/>
          <w:color w:val="221F1F"/>
          <w:lang w:eastAsia="it-IT"/>
        </w:rPr>
        <w:t>e en heure et en pourcent</w:t>
      </w:r>
      <w:r w:rsidRPr="00A9330B">
        <w:rPr>
          <w:rFonts w:eastAsia="Times New Roman" w:cs="Arial"/>
          <w:color w:val="221F1F"/>
          <w:spacing w:val="-1"/>
          <w:lang w:eastAsia="it-IT"/>
        </w:rPr>
        <w:t>a</w:t>
      </w:r>
      <w:r w:rsidRPr="00A9330B">
        <w:rPr>
          <w:rFonts w:eastAsia="Times New Roman" w:cs="Arial"/>
          <w:color w:val="221F1F"/>
          <w:lang w:eastAsia="it-IT"/>
        </w:rPr>
        <w:t xml:space="preserve">ge </w:t>
      </w:r>
      <w:r w:rsidRPr="00A9330B">
        <w:rPr>
          <w:rFonts w:eastAsia="Times New Roman" w:cs="Arial"/>
          <w:color w:val="221F1F"/>
          <w:spacing w:val="-1"/>
          <w:lang w:eastAsia="it-IT"/>
        </w:rPr>
        <w:t>d</w:t>
      </w:r>
      <w:r w:rsidRPr="00A9330B">
        <w:rPr>
          <w:rFonts w:eastAsia="Times New Roman" w:cs="Arial"/>
          <w:color w:val="221F1F"/>
          <w:lang w:eastAsia="it-IT"/>
        </w:rPr>
        <w:t>e la durée théori</w:t>
      </w:r>
      <w:r w:rsidRPr="00A9330B">
        <w:rPr>
          <w:rFonts w:eastAsia="Times New Roman" w:cs="Arial"/>
          <w:color w:val="221F1F"/>
          <w:spacing w:val="-1"/>
          <w:lang w:eastAsia="it-IT"/>
        </w:rPr>
        <w:t>q</w:t>
      </w:r>
      <w:r w:rsidRPr="00A9330B">
        <w:rPr>
          <w:rFonts w:eastAsia="Times New Roman" w:cs="Arial"/>
          <w:color w:val="221F1F"/>
          <w:lang w:eastAsia="it-IT"/>
        </w:rPr>
        <w:t>ue du j</w:t>
      </w:r>
      <w:r w:rsidRPr="00A9330B">
        <w:rPr>
          <w:rFonts w:eastAsia="Times New Roman" w:cs="Arial"/>
          <w:color w:val="221F1F"/>
          <w:spacing w:val="-1"/>
          <w:lang w:eastAsia="it-IT"/>
        </w:rPr>
        <w:t>o</w:t>
      </w:r>
      <w:r w:rsidRPr="00A9330B">
        <w:rPr>
          <w:rFonts w:eastAsia="Times New Roman" w:cs="Arial"/>
          <w:color w:val="221F1F"/>
          <w:lang w:eastAsia="it-IT"/>
        </w:rPr>
        <w:t>ur. On notera qu’à part les mois de juillet à septembre, la durée d’en</w:t>
      </w:r>
      <w:r w:rsidRPr="00A9330B">
        <w:rPr>
          <w:rFonts w:eastAsia="Times New Roman" w:cs="Arial"/>
          <w:color w:val="221F1F"/>
          <w:spacing w:val="2"/>
          <w:lang w:eastAsia="it-IT"/>
        </w:rPr>
        <w:t>s</w:t>
      </w:r>
      <w:r w:rsidRPr="00A9330B">
        <w:rPr>
          <w:rFonts w:eastAsia="Times New Roman" w:cs="Arial"/>
          <w:color w:val="221F1F"/>
          <w:lang w:eastAsia="it-IT"/>
        </w:rPr>
        <w:t>oleille</w:t>
      </w:r>
      <w:r w:rsidRPr="00A9330B">
        <w:rPr>
          <w:rFonts w:eastAsia="Times New Roman" w:cs="Arial"/>
          <w:color w:val="221F1F"/>
          <w:spacing w:val="-2"/>
          <w:lang w:eastAsia="it-IT"/>
        </w:rPr>
        <w:t>m</w:t>
      </w:r>
      <w:r w:rsidRPr="00A9330B">
        <w:rPr>
          <w:rFonts w:eastAsia="Times New Roman" w:cs="Arial"/>
          <w:color w:val="221F1F"/>
          <w:lang w:eastAsia="it-IT"/>
        </w:rPr>
        <w:t>ent est plus forte le reste de l’année.</w:t>
      </w:r>
    </w:p>
    <w:p w14:paraId="2B57258D" w14:textId="2733C3BA" w:rsidR="00F8352E" w:rsidRPr="00A9330B" w:rsidRDefault="001275D6" w:rsidP="00A9330B">
      <w:pPr>
        <w:pStyle w:val="Lgende"/>
        <w:rPr>
          <w:bCs/>
          <w:szCs w:val="18"/>
          <w:lang w:eastAsia="it-IT"/>
        </w:rPr>
      </w:pPr>
      <w:bookmarkStart w:id="697" w:name="_Toc504498857"/>
      <w:bookmarkStart w:id="698" w:name="_Toc52873739"/>
      <w:r w:rsidRPr="00A9330B">
        <w:t xml:space="preserve">Tableau </w:t>
      </w:r>
      <w:r w:rsidR="00D24D0D" w:rsidRPr="00A9330B">
        <w:fldChar w:fldCharType="begin"/>
      </w:r>
      <w:r w:rsidR="00D24D0D" w:rsidRPr="00A9330B">
        <w:instrText xml:space="preserve"> SEQ Tableau \* ARABIC </w:instrText>
      </w:r>
      <w:r w:rsidR="00D24D0D" w:rsidRPr="00A9330B">
        <w:fldChar w:fldCharType="separate"/>
      </w:r>
      <w:r w:rsidR="00417D31" w:rsidRPr="00A9330B">
        <w:rPr>
          <w:noProof/>
        </w:rPr>
        <w:t>15</w:t>
      </w:r>
      <w:r w:rsidR="00D24D0D" w:rsidRPr="00A9330B">
        <w:rPr>
          <w:noProof/>
        </w:rPr>
        <w:fldChar w:fldCharType="end"/>
      </w:r>
      <w:r w:rsidR="00F8352E" w:rsidRPr="00A9330B">
        <w:rPr>
          <w:bCs/>
          <w:szCs w:val="18"/>
          <w:lang w:eastAsia="it-IT"/>
        </w:rPr>
        <w:t xml:space="preserve"> : Données sur l’insolation</w:t>
      </w:r>
      <w:bookmarkEnd w:id="697"/>
      <w:bookmarkEnd w:id="698"/>
    </w:p>
    <w:tbl>
      <w:tblPr>
        <w:tblW w:w="5000" w:type="pct"/>
        <w:tblCellMar>
          <w:left w:w="70" w:type="dxa"/>
          <w:right w:w="70" w:type="dxa"/>
        </w:tblCellMar>
        <w:tblLook w:val="04A0" w:firstRow="1" w:lastRow="0" w:firstColumn="1" w:lastColumn="0" w:noHBand="0" w:noVBand="1"/>
      </w:tblPr>
      <w:tblGrid>
        <w:gridCol w:w="1239"/>
        <w:gridCol w:w="591"/>
        <w:gridCol w:w="591"/>
        <w:gridCol w:w="591"/>
        <w:gridCol w:w="591"/>
        <w:gridCol w:w="591"/>
        <w:gridCol w:w="441"/>
        <w:gridCol w:w="591"/>
        <w:gridCol w:w="591"/>
        <w:gridCol w:w="591"/>
        <w:gridCol w:w="591"/>
        <w:gridCol w:w="591"/>
        <w:gridCol w:w="591"/>
        <w:gridCol w:w="881"/>
      </w:tblGrid>
      <w:tr w:rsidR="00F8352E" w:rsidRPr="00A9330B" w14:paraId="48354F54" w14:textId="77777777" w:rsidTr="0025132A">
        <w:trPr>
          <w:trHeight w:val="300"/>
        </w:trPr>
        <w:tc>
          <w:tcPr>
            <w:tcW w:w="68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485FD9" w14:textId="77777777" w:rsidR="00F8352E" w:rsidRPr="00A9330B" w:rsidRDefault="00F8352E" w:rsidP="00F8352E">
            <w:pPr>
              <w:spacing w:before="0" w:line="240" w:lineRule="auto"/>
              <w:jc w:val="both"/>
              <w:rPr>
                <w:rFonts w:eastAsia="Times New Roman" w:cs="Arial"/>
                <w:color w:val="000000"/>
                <w:sz w:val="18"/>
                <w:lang w:eastAsia="fr-FR"/>
              </w:rPr>
            </w:pPr>
            <w:r w:rsidRPr="00A9330B">
              <w:rPr>
                <w:rFonts w:eastAsia="Times New Roman" w:cs="Arial"/>
                <w:color w:val="000000"/>
                <w:sz w:val="18"/>
                <w:lang w:eastAsia="fr-FR"/>
              </w:rPr>
              <w:t>Insolation</w:t>
            </w:r>
          </w:p>
        </w:tc>
        <w:tc>
          <w:tcPr>
            <w:tcW w:w="326" w:type="pct"/>
            <w:tcBorders>
              <w:top w:val="single" w:sz="4" w:space="0" w:color="auto"/>
              <w:left w:val="nil"/>
              <w:bottom w:val="single" w:sz="4" w:space="0" w:color="auto"/>
              <w:right w:val="single" w:sz="4" w:space="0" w:color="auto"/>
            </w:tcBorders>
            <w:shd w:val="clear" w:color="auto" w:fill="auto"/>
            <w:vAlign w:val="center"/>
            <w:hideMark/>
          </w:tcPr>
          <w:p w14:paraId="7891E890" w14:textId="77777777" w:rsidR="00F8352E" w:rsidRPr="00A9330B" w:rsidRDefault="00F8352E" w:rsidP="00F8352E">
            <w:pPr>
              <w:spacing w:before="0" w:line="240" w:lineRule="auto"/>
              <w:jc w:val="both"/>
              <w:rPr>
                <w:rFonts w:eastAsia="Times New Roman" w:cs="Arial"/>
                <w:color w:val="000000"/>
                <w:sz w:val="18"/>
                <w:lang w:eastAsia="fr-FR"/>
              </w:rPr>
            </w:pPr>
            <w:r w:rsidRPr="00A9330B">
              <w:rPr>
                <w:rFonts w:eastAsia="Times New Roman" w:cs="Arial"/>
                <w:color w:val="000000"/>
                <w:sz w:val="18"/>
                <w:lang w:eastAsia="fr-FR"/>
              </w:rPr>
              <w:t>J</w:t>
            </w:r>
          </w:p>
        </w:tc>
        <w:tc>
          <w:tcPr>
            <w:tcW w:w="326" w:type="pct"/>
            <w:tcBorders>
              <w:top w:val="single" w:sz="4" w:space="0" w:color="auto"/>
              <w:left w:val="nil"/>
              <w:bottom w:val="single" w:sz="4" w:space="0" w:color="auto"/>
              <w:right w:val="single" w:sz="4" w:space="0" w:color="auto"/>
            </w:tcBorders>
            <w:shd w:val="clear" w:color="auto" w:fill="auto"/>
            <w:vAlign w:val="center"/>
            <w:hideMark/>
          </w:tcPr>
          <w:p w14:paraId="1093C943" w14:textId="77777777" w:rsidR="00F8352E" w:rsidRPr="00A9330B" w:rsidRDefault="00F8352E" w:rsidP="00F8352E">
            <w:pPr>
              <w:spacing w:before="0" w:line="240" w:lineRule="auto"/>
              <w:jc w:val="both"/>
              <w:rPr>
                <w:rFonts w:eastAsia="Times New Roman" w:cs="Arial"/>
                <w:color w:val="000000"/>
                <w:sz w:val="18"/>
                <w:lang w:eastAsia="fr-FR"/>
              </w:rPr>
            </w:pPr>
            <w:r w:rsidRPr="00A9330B">
              <w:rPr>
                <w:rFonts w:eastAsia="Times New Roman" w:cs="Arial"/>
                <w:color w:val="000000"/>
                <w:sz w:val="18"/>
                <w:lang w:eastAsia="fr-FR"/>
              </w:rPr>
              <w:t>F</w:t>
            </w:r>
          </w:p>
        </w:tc>
        <w:tc>
          <w:tcPr>
            <w:tcW w:w="326" w:type="pct"/>
            <w:tcBorders>
              <w:top w:val="single" w:sz="4" w:space="0" w:color="auto"/>
              <w:left w:val="nil"/>
              <w:bottom w:val="single" w:sz="4" w:space="0" w:color="auto"/>
              <w:right w:val="single" w:sz="4" w:space="0" w:color="auto"/>
            </w:tcBorders>
            <w:shd w:val="clear" w:color="auto" w:fill="auto"/>
            <w:noWrap/>
            <w:vAlign w:val="center"/>
            <w:hideMark/>
          </w:tcPr>
          <w:p w14:paraId="109CC704" w14:textId="77777777" w:rsidR="00F8352E" w:rsidRPr="00A9330B" w:rsidRDefault="00F8352E" w:rsidP="00F8352E">
            <w:pPr>
              <w:spacing w:before="0" w:line="240" w:lineRule="auto"/>
              <w:jc w:val="both"/>
              <w:rPr>
                <w:rFonts w:eastAsia="Times New Roman" w:cs="Arial"/>
                <w:color w:val="000000"/>
                <w:sz w:val="18"/>
                <w:lang w:eastAsia="fr-FR"/>
              </w:rPr>
            </w:pPr>
            <w:r w:rsidRPr="00A9330B">
              <w:rPr>
                <w:rFonts w:eastAsia="Times New Roman" w:cs="Arial"/>
                <w:color w:val="000000"/>
                <w:sz w:val="18"/>
                <w:lang w:eastAsia="fr-FR"/>
              </w:rPr>
              <w:t>M</w:t>
            </w:r>
          </w:p>
        </w:tc>
        <w:tc>
          <w:tcPr>
            <w:tcW w:w="326" w:type="pct"/>
            <w:tcBorders>
              <w:top w:val="single" w:sz="4" w:space="0" w:color="auto"/>
              <w:left w:val="nil"/>
              <w:bottom w:val="single" w:sz="4" w:space="0" w:color="auto"/>
              <w:right w:val="single" w:sz="4" w:space="0" w:color="auto"/>
            </w:tcBorders>
            <w:shd w:val="clear" w:color="auto" w:fill="auto"/>
            <w:vAlign w:val="center"/>
            <w:hideMark/>
          </w:tcPr>
          <w:p w14:paraId="698B965A" w14:textId="77777777" w:rsidR="00F8352E" w:rsidRPr="00A9330B" w:rsidRDefault="00F8352E" w:rsidP="00F8352E">
            <w:pPr>
              <w:spacing w:before="0" w:line="240" w:lineRule="auto"/>
              <w:jc w:val="both"/>
              <w:rPr>
                <w:rFonts w:eastAsia="Times New Roman" w:cs="Arial"/>
                <w:color w:val="000000"/>
                <w:sz w:val="18"/>
                <w:lang w:eastAsia="fr-FR"/>
              </w:rPr>
            </w:pPr>
            <w:r w:rsidRPr="00A9330B">
              <w:rPr>
                <w:rFonts w:eastAsia="Times New Roman" w:cs="Arial"/>
                <w:color w:val="000000"/>
                <w:sz w:val="18"/>
                <w:lang w:eastAsia="fr-FR"/>
              </w:rPr>
              <w:t>A</w:t>
            </w:r>
          </w:p>
        </w:tc>
        <w:tc>
          <w:tcPr>
            <w:tcW w:w="326" w:type="pct"/>
            <w:tcBorders>
              <w:top w:val="single" w:sz="4" w:space="0" w:color="auto"/>
              <w:left w:val="nil"/>
              <w:bottom w:val="single" w:sz="4" w:space="0" w:color="auto"/>
              <w:right w:val="single" w:sz="4" w:space="0" w:color="auto"/>
            </w:tcBorders>
            <w:shd w:val="clear" w:color="auto" w:fill="auto"/>
            <w:vAlign w:val="center"/>
            <w:hideMark/>
          </w:tcPr>
          <w:p w14:paraId="2B13F9DA" w14:textId="77777777" w:rsidR="00F8352E" w:rsidRPr="00A9330B" w:rsidRDefault="00F8352E" w:rsidP="00F8352E">
            <w:pPr>
              <w:spacing w:before="0" w:line="240" w:lineRule="auto"/>
              <w:jc w:val="both"/>
              <w:rPr>
                <w:rFonts w:eastAsia="Times New Roman" w:cs="Arial"/>
                <w:color w:val="000000"/>
                <w:sz w:val="18"/>
                <w:lang w:eastAsia="fr-FR"/>
              </w:rPr>
            </w:pPr>
            <w:r w:rsidRPr="00A9330B">
              <w:rPr>
                <w:rFonts w:eastAsia="Times New Roman" w:cs="Arial"/>
                <w:color w:val="000000"/>
                <w:sz w:val="18"/>
                <w:lang w:eastAsia="fr-FR"/>
              </w:rPr>
              <w:t>M</w:t>
            </w:r>
          </w:p>
        </w:tc>
        <w:tc>
          <w:tcPr>
            <w:tcW w:w="243" w:type="pct"/>
            <w:tcBorders>
              <w:top w:val="single" w:sz="4" w:space="0" w:color="auto"/>
              <w:left w:val="nil"/>
              <w:bottom w:val="single" w:sz="4" w:space="0" w:color="auto"/>
              <w:right w:val="single" w:sz="4" w:space="0" w:color="auto"/>
            </w:tcBorders>
            <w:shd w:val="clear" w:color="auto" w:fill="auto"/>
            <w:noWrap/>
            <w:vAlign w:val="center"/>
            <w:hideMark/>
          </w:tcPr>
          <w:p w14:paraId="3864DD0A" w14:textId="77777777" w:rsidR="00F8352E" w:rsidRPr="00A9330B" w:rsidRDefault="00F8352E" w:rsidP="00F8352E">
            <w:pPr>
              <w:spacing w:before="0" w:line="240" w:lineRule="auto"/>
              <w:jc w:val="both"/>
              <w:rPr>
                <w:rFonts w:eastAsia="Times New Roman" w:cs="Arial"/>
                <w:color w:val="000000"/>
                <w:sz w:val="18"/>
                <w:lang w:eastAsia="fr-FR"/>
              </w:rPr>
            </w:pPr>
            <w:r w:rsidRPr="00A9330B">
              <w:rPr>
                <w:rFonts w:eastAsia="Times New Roman" w:cs="Arial"/>
                <w:color w:val="000000"/>
                <w:sz w:val="18"/>
                <w:lang w:eastAsia="fr-FR"/>
              </w:rPr>
              <w:t>J</w:t>
            </w:r>
          </w:p>
        </w:tc>
        <w:tc>
          <w:tcPr>
            <w:tcW w:w="326" w:type="pct"/>
            <w:tcBorders>
              <w:top w:val="single" w:sz="4" w:space="0" w:color="auto"/>
              <w:left w:val="nil"/>
              <w:bottom w:val="single" w:sz="4" w:space="0" w:color="auto"/>
              <w:right w:val="single" w:sz="4" w:space="0" w:color="auto"/>
            </w:tcBorders>
            <w:shd w:val="clear" w:color="auto" w:fill="auto"/>
            <w:vAlign w:val="center"/>
            <w:hideMark/>
          </w:tcPr>
          <w:p w14:paraId="10808EFE" w14:textId="77777777" w:rsidR="00F8352E" w:rsidRPr="00A9330B" w:rsidRDefault="00F8352E" w:rsidP="00F8352E">
            <w:pPr>
              <w:spacing w:before="0" w:line="240" w:lineRule="auto"/>
              <w:jc w:val="both"/>
              <w:rPr>
                <w:rFonts w:eastAsia="Times New Roman" w:cs="Arial"/>
                <w:color w:val="000000"/>
                <w:sz w:val="18"/>
                <w:lang w:eastAsia="fr-FR"/>
              </w:rPr>
            </w:pPr>
            <w:r w:rsidRPr="00A9330B">
              <w:rPr>
                <w:rFonts w:eastAsia="Times New Roman" w:cs="Arial"/>
                <w:color w:val="000000"/>
                <w:sz w:val="18"/>
                <w:lang w:eastAsia="fr-FR"/>
              </w:rPr>
              <w:t>Jt</w:t>
            </w:r>
          </w:p>
        </w:tc>
        <w:tc>
          <w:tcPr>
            <w:tcW w:w="326" w:type="pct"/>
            <w:tcBorders>
              <w:top w:val="single" w:sz="4" w:space="0" w:color="auto"/>
              <w:left w:val="nil"/>
              <w:bottom w:val="single" w:sz="4" w:space="0" w:color="auto"/>
              <w:right w:val="single" w:sz="4" w:space="0" w:color="auto"/>
            </w:tcBorders>
            <w:shd w:val="clear" w:color="auto" w:fill="auto"/>
            <w:vAlign w:val="center"/>
            <w:hideMark/>
          </w:tcPr>
          <w:p w14:paraId="2EFA6F41" w14:textId="77777777" w:rsidR="00F8352E" w:rsidRPr="00A9330B" w:rsidRDefault="00F8352E" w:rsidP="00F8352E">
            <w:pPr>
              <w:spacing w:before="0" w:line="240" w:lineRule="auto"/>
              <w:jc w:val="both"/>
              <w:rPr>
                <w:rFonts w:eastAsia="Times New Roman" w:cs="Arial"/>
                <w:color w:val="000000"/>
                <w:sz w:val="18"/>
                <w:lang w:eastAsia="fr-FR"/>
              </w:rPr>
            </w:pPr>
            <w:r w:rsidRPr="00A9330B">
              <w:rPr>
                <w:rFonts w:eastAsia="Times New Roman" w:cs="Arial"/>
                <w:color w:val="000000"/>
                <w:sz w:val="18"/>
                <w:lang w:eastAsia="fr-FR"/>
              </w:rPr>
              <w:t>A</w:t>
            </w:r>
          </w:p>
        </w:tc>
        <w:tc>
          <w:tcPr>
            <w:tcW w:w="326" w:type="pct"/>
            <w:tcBorders>
              <w:top w:val="single" w:sz="4" w:space="0" w:color="auto"/>
              <w:left w:val="nil"/>
              <w:bottom w:val="single" w:sz="4" w:space="0" w:color="auto"/>
              <w:right w:val="single" w:sz="4" w:space="0" w:color="auto"/>
            </w:tcBorders>
            <w:shd w:val="clear" w:color="auto" w:fill="auto"/>
            <w:noWrap/>
            <w:vAlign w:val="center"/>
            <w:hideMark/>
          </w:tcPr>
          <w:p w14:paraId="588AE74E" w14:textId="77777777" w:rsidR="00F8352E" w:rsidRPr="00A9330B" w:rsidRDefault="00F8352E" w:rsidP="00F8352E">
            <w:pPr>
              <w:spacing w:before="0" w:line="240" w:lineRule="auto"/>
              <w:jc w:val="both"/>
              <w:rPr>
                <w:rFonts w:eastAsia="Times New Roman" w:cs="Arial"/>
                <w:color w:val="000000"/>
                <w:sz w:val="18"/>
                <w:lang w:eastAsia="fr-FR"/>
              </w:rPr>
            </w:pPr>
            <w:r w:rsidRPr="00A9330B">
              <w:rPr>
                <w:rFonts w:eastAsia="Times New Roman" w:cs="Arial"/>
                <w:color w:val="000000"/>
                <w:sz w:val="18"/>
                <w:lang w:eastAsia="fr-FR"/>
              </w:rPr>
              <w:t>S</w:t>
            </w:r>
          </w:p>
        </w:tc>
        <w:tc>
          <w:tcPr>
            <w:tcW w:w="326" w:type="pct"/>
            <w:tcBorders>
              <w:top w:val="single" w:sz="4" w:space="0" w:color="auto"/>
              <w:left w:val="nil"/>
              <w:bottom w:val="single" w:sz="4" w:space="0" w:color="auto"/>
              <w:right w:val="single" w:sz="4" w:space="0" w:color="auto"/>
            </w:tcBorders>
            <w:shd w:val="clear" w:color="auto" w:fill="auto"/>
            <w:vAlign w:val="center"/>
            <w:hideMark/>
          </w:tcPr>
          <w:p w14:paraId="63D87B3E" w14:textId="77777777" w:rsidR="00F8352E" w:rsidRPr="00A9330B" w:rsidRDefault="00F8352E" w:rsidP="00F8352E">
            <w:pPr>
              <w:spacing w:before="0" w:line="240" w:lineRule="auto"/>
              <w:jc w:val="both"/>
              <w:rPr>
                <w:rFonts w:eastAsia="Times New Roman" w:cs="Arial"/>
                <w:color w:val="000000"/>
                <w:sz w:val="18"/>
                <w:lang w:eastAsia="fr-FR"/>
              </w:rPr>
            </w:pPr>
            <w:r w:rsidRPr="00A9330B">
              <w:rPr>
                <w:rFonts w:eastAsia="Times New Roman" w:cs="Arial"/>
                <w:color w:val="000000"/>
                <w:sz w:val="18"/>
                <w:lang w:eastAsia="fr-FR"/>
              </w:rPr>
              <w:t>O</w:t>
            </w:r>
          </w:p>
        </w:tc>
        <w:tc>
          <w:tcPr>
            <w:tcW w:w="326" w:type="pct"/>
            <w:tcBorders>
              <w:top w:val="single" w:sz="4" w:space="0" w:color="auto"/>
              <w:left w:val="nil"/>
              <w:bottom w:val="single" w:sz="4" w:space="0" w:color="auto"/>
              <w:right w:val="single" w:sz="4" w:space="0" w:color="auto"/>
            </w:tcBorders>
            <w:shd w:val="clear" w:color="auto" w:fill="auto"/>
            <w:vAlign w:val="center"/>
            <w:hideMark/>
          </w:tcPr>
          <w:p w14:paraId="02FCE68C" w14:textId="77777777" w:rsidR="00F8352E" w:rsidRPr="00A9330B" w:rsidRDefault="00F8352E" w:rsidP="00F8352E">
            <w:pPr>
              <w:spacing w:before="0" w:line="240" w:lineRule="auto"/>
              <w:jc w:val="both"/>
              <w:rPr>
                <w:rFonts w:eastAsia="Times New Roman" w:cs="Arial"/>
                <w:color w:val="000000"/>
                <w:sz w:val="18"/>
                <w:lang w:eastAsia="fr-FR"/>
              </w:rPr>
            </w:pPr>
            <w:r w:rsidRPr="00A9330B">
              <w:rPr>
                <w:rFonts w:eastAsia="Times New Roman" w:cs="Arial"/>
                <w:color w:val="000000"/>
                <w:sz w:val="18"/>
                <w:lang w:eastAsia="fr-FR"/>
              </w:rPr>
              <w:t>N</w:t>
            </w:r>
          </w:p>
        </w:tc>
        <w:tc>
          <w:tcPr>
            <w:tcW w:w="326" w:type="pct"/>
            <w:tcBorders>
              <w:top w:val="single" w:sz="4" w:space="0" w:color="auto"/>
              <w:left w:val="nil"/>
              <w:bottom w:val="single" w:sz="4" w:space="0" w:color="auto"/>
              <w:right w:val="single" w:sz="4" w:space="0" w:color="auto"/>
            </w:tcBorders>
            <w:shd w:val="clear" w:color="auto" w:fill="auto"/>
            <w:noWrap/>
            <w:vAlign w:val="center"/>
            <w:hideMark/>
          </w:tcPr>
          <w:p w14:paraId="3B25475A" w14:textId="77777777" w:rsidR="00F8352E" w:rsidRPr="00A9330B" w:rsidRDefault="00F8352E" w:rsidP="00F8352E">
            <w:pPr>
              <w:spacing w:before="0" w:line="240" w:lineRule="auto"/>
              <w:jc w:val="both"/>
              <w:rPr>
                <w:rFonts w:eastAsia="Times New Roman" w:cs="Arial"/>
                <w:color w:val="000000"/>
                <w:sz w:val="18"/>
                <w:lang w:eastAsia="fr-FR"/>
              </w:rPr>
            </w:pPr>
            <w:r w:rsidRPr="00A9330B">
              <w:rPr>
                <w:rFonts w:eastAsia="Times New Roman" w:cs="Arial"/>
                <w:color w:val="000000"/>
                <w:sz w:val="18"/>
                <w:lang w:eastAsia="fr-FR"/>
              </w:rPr>
              <w:t>D</w:t>
            </w:r>
          </w:p>
        </w:tc>
        <w:tc>
          <w:tcPr>
            <w:tcW w:w="486" w:type="pct"/>
            <w:tcBorders>
              <w:top w:val="single" w:sz="4" w:space="0" w:color="auto"/>
              <w:left w:val="nil"/>
              <w:bottom w:val="single" w:sz="4" w:space="0" w:color="auto"/>
              <w:right w:val="single" w:sz="4" w:space="0" w:color="auto"/>
            </w:tcBorders>
            <w:shd w:val="clear" w:color="auto" w:fill="auto"/>
            <w:vAlign w:val="center"/>
            <w:hideMark/>
          </w:tcPr>
          <w:p w14:paraId="202F0DE8" w14:textId="77777777" w:rsidR="00F8352E" w:rsidRPr="00A9330B" w:rsidRDefault="00F8352E" w:rsidP="00F8352E">
            <w:pPr>
              <w:spacing w:before="0" w:line="240" w:lineRule="auto"/>
              <w:jc w:val="both"/>
              <w:rPr>
                <w:rFonts w:eastAsia="Times New Roman" w:cs="Arial"/>
                <w:color w:val="000000"/>
                <w:sz w:val="18"/>
                <w:lang w:eastAsia="fr-FR"/>
              </w:rPr>
            </w:pPr>
            <w:r w:rsidRPr="00A9330B">
              <w:rPr>
                <w:rFonts w:eastAsia="Times New Roman" w:cs="Arial"/>
                <w:color w:val="000000"/>
                <w:sz w:val="18"/>
                <w:lang w:eastAsia="fr-FR"/>
              </w:rPr>
              <w:t>Moyenne</w:t>
            </w:r>
          </w:p>
        </w:tc>
      </w:tr>
      <w:tr w:rsidR="00F8352E" w:rsidRPr="00A9330B" w14:paraId="4B160EAB" w14:textId="77777777" w:rsidTr="0025132A">
        <w:trPr>
          <w:trHeight w:val="300"/>
        </w:trPr>
        <w:tc>
          <w:tcPr>
            <w:tcW w:w="684" w:type="pct"/>
            <w:tcBorders>
              <w:top w:val="nil"/>
              <w:left w:val="single" w:sz="4" w:space="0" w:color="auto"/>
              <w:bottom w:val="single" w:sz="4" w:space="0" w:color="auto"/>
              <w:right w:val="single" w:sz="4" w:space="0" w:color="auto"/>
            </w:tcBorders>
            <w:shd w:val="clear" w:color="auto" w:fill="auto"/>
            <w:noWrap/>
            <w:vAlign w:val="center"/>
            <w:hideMark/>
          </w:tcPr>
          <w:p w14:paraId="40311F62" w14:textId="77777777" w:rsidR="00F8352E" w:rsidRPr="00A9330B" w:rsidRDefault="00F8352E" w:rsidP="00F8352E">
            <w:pPr>
              <w:spacing w:before="0" w:line="240" w:lineRule="auto"/>
              <w:jc w:val="both"/>
              <w:rPr>
                <w:rFonts w:eastAsia="Times New Roman" w:cs="Arial"/>
                <w:color w:val="000000"/>
                <w:sz w:val="18"/>
                <w:lang w:eastAsia="fr-FR"/>
              </w:rPr>
            </w:pPr>
            <w:r w:rsidRPr="00A9330B">
              <w:rPr>
                <w:rFonts w:eastAsia="Times New Roman" w:cs="Arial"/>
                <w:color w:val="000000"/>
                <w:sz w:val="18"/>
                <w:lang w:eastAsia="fr-FR"/>
              </w:rPr>
              <w:t>Heures</w:t>
            </w:r>
          </w:p>
        </w:tc>
        <w:tc>
          <w:tcPr>
            <w:tcW w:w="326" w:type="pct"/>
            <w:tcBorders>
              <w:top w:val="nil"/>
              <w:left w:val="nil"/>
              <w:bottom w:val="single" w:sz="4" w:space="0" w:color="auto"/>
              <w:right w:val="single" w:sz="4" w:space="0" w:color="auto"/>
            </w:tcBorders>
            <w:shd w:val="clear" w:color="auto" w:fill="auto"/>
            <w:noWrap/>
            <w:vAlign w:val="center"/>
            <w:hideMark/>
          </w:tcPr>
          <w:p w14:paraId="378DD296" w14:textId="77777777" w:rsidR="00F8352E" w:rsidRPr="00A9330B" w:rsidRDefault="00F8352E" w:rsidP="00F8352E">
            <w:pPr>
              <w:spacing w:before="0" w:line="240" w:lineRule="auto"/>
              <w:jc w:val="both"/>
              <w:rPr>
                <w:rFonts w:eastAsia="Times New Roman" w:cs="Arial"/>
                <w:color w:val="000000"/>
                <w:sz w:val="18"/>
                <w:lang w:eastAsia="fr-FR"/>
              </w:rPr>
            </w:pPr>
            <w:r w:rsidRPr="00A9330B">
              <w:rPr>
                <w:rFonts w:eastAsia="Times New Roman" w:cs="Arial"/>
                <w:color w:val="000000"/>
                <w:sz w:val="18"/>
                <w:lang w:eastAsia="fr-FR"/>
              </w:rPr>
              <w:t>269.3</w:t>
            </w:r>
          </w:p>
        </w:tc>
        <w:tc>
          <w:tcPr>
            <w:tcW w:w="326" w:type="pct"/>
            <w:tcBorders>
              <w:top w:val="nil"/>
              <w:left w:val="nil"/>
              <w:bottom w:val="single" w:sz="4" w:space="0" w:color="auto"/>
              <w:right w:val="single" w:sz="4" w:space="0" w:color="auto"/>
            </w:tcBorders>
            <w:shd w:val="clear" w:color="auto" w:fill="auto"/>
            <w:noWrap/>
            <w:vAlign w:val="center"/>
            <w:hideMark/>
          </w:tcPr>
          <w:p w14:paraId="56D4921E" w14:textId="77777777" w:rsidR="00F8352E" w:rsidRPr="00A9330B" w:rsidRDefault="00F8352E" w:rsidP="00F8352E">
            <w:pPr>
              <w:spacing w:before="0" w:line="240" w:lineRule="auto"/>
              <w:jc w:val="both"/>
              <w:rPr>
                <w:rFonts w:eastAsia="Times New Roman" w:cs="Arial"/>
                <w:color w:val="000000"/>
                <w:sz w:val="18"/>
                <w:lang w:eastAsia="fr-FR"/>
              </w:rPr>
            </w:pPr>
            <w:r w:rsidRPr="00A9330B">
              <w:rPr>
                <w:rFonts w:eastAsia="Times New Roman" w:cs="Arial"/>
                <w:color w:val="000000"/>
                <w:sz w:val="18"/>
                <w:lang w:eastAsia="fr-FR"/>
              </w:rPr>
              <w:t>234.7</w:t>
            </w:r>
          </w:p>
        </w:tc>
        <w:tc>
          <w:tcPr>
            <w:tcW w:w="326" w:type="pct"/>
            <w:tcBorders>
              <w:top w:val="nil"/>
              <w:left w:val="nil"/>
              <w:bottom w:val="single" w:sz="4" w:space="0" w:color="auto"/>
              <w:right w:val="single" w:sz="4" w:space="0" w:color="auto"/>
            </w:tcBorders>
            <w:shd w:val="clear" w:color="auto" w:fill="auto"/>
            <w:noWrap/>
            <w:vAlign w:val="center"/>
            <w:hideMark/>
          </w:tcPr>
          <w:p w14:paraId="33F669A2" w14:textId="77777777" w:rsidR="00F8352E" w:rsidRPr="00A9330B" w:rsidRDefault="00F8352E" w:rsidP="00F8352E">
            <w:pPr>
              <w:spacing w:before="0" w:line="240" w:lineRule="auto"/>
              <w:jc w:val="both"/>
              <w:rPr>
                <w:rFonts w:eastAsia="Times New Roman" w:cs="Arial"/>
                <w:color w:val="000000"/>
                <w:sz w:val="18"/>
                <w:lang w:eastAsia="fr-FR"/>
              </w:rPr>
            </w:pPr>
            <w:r w:rsidRPr="00A9330B">
              <w:rPr>
                <w:rFonts w:eastAsia="Times New Roman" w:cs="Arial"/>
                <w:color w:val="000000"/>
                <w:sz w:val="18"/>
                <w:lang w:eastAsia="fr-FR"/>
              </w:rPr>
              <w:t>230.7</w:t>
            </w:r>
          </w:p>
        </w:tc>
        <w:tc>
          <w:tcPr>
            <w:tcW w:w="326" w:type="pct"/>
            <w:tcBorders>
              <w:top w:val="nil"/>
              <w:left w:val="nil"/>
              <w:bottom w:val="single" w:sz="4" w:space="0" w:color="auto"/>
              <w:right w:val="single" w:sz="4" w:space="0" w:color="auto"/>
            </w:tcBorders>
            <w:shd w:val="clear" w:color="auto" w:fill="auto"/>
            <w:noWrap/>
            <w:vAlign w:val="center"/>
            <w:hideMark/>
          </w:tcPr>
          <w:p w14:paraId="0F3F3270" w14:textId="77777777" w:rsidR="00F8352E" w:rsidRPr="00A9330B" w:rsidRDefault="00F8352E" w:rsidP="00F8352E">
            <w:pPr>
              <w:spacing w:before="0" w:line="240" w:lineRule="auto"/>
              <w:jc w:val="both"/>
              <w:rPr>
                <w:rFonts w:eastAsia="Times New Roman" w:cs="Arial"/>
                <w:color w:val="000000"/>
                <w:sz w:val="18"/>
                <w:lang w:eastAsia="fr-FR"/>
              </w:rPr>
            </w:pPr>
            <w:r w:rsidRPr="00A9330B">
              <w:rPr>
                <w:rFonts w:eastAsia="Times New Roman" w:cs="Arial"/>
                <w:color w:val="000000"/>
                <w:sz w:val="18"/>
                <w:lang w:eastAsia="fr-FR"/>
              </w:rPr>
              <w:t>252.6</w:t>
            </w:r>
          </w:p>
        </w:tc>
        <w:tc>
          <w:tcPr>
            <w:tcW w:w="326" w:type="pct"/>
            <w:tcBorders>
              <w:top w:val="nil"/>
              <w:left w:val="nil"/>
              <w:bottom w:val="single" w:sz="4" w:space="0" w:color="auto"/>
              <w:right w:val="single" w:sz="4" w:space="0" w:color="auto"/>
            </w:tcBorders>
            <w:shd w:val="clear" w:color="auto" w:fill="auto"/>
            <w:noWrap/>
            <w:vAlign w:val="center"/>
            <w:hideMark/>
          </w:tcPr>
          <w:p w14:paraId="067EAA37" w14:textId="77777777" w:rsidR="00F8352E" w:rsidRPr="00A9330B" w:rsidRDefault="00F8352E" w:rsidP="00F8352E">
            <w:pPr>
              <w:spacing w:before="0" w:line="240" w:lineRule="auto"/>
              <w:jc w:val="both"/>
              <w:rPr>
                <w:rFonts w:eastAsia="Times New Roman" w:cs="Arial"/>
                <w:color w:val="000000"/>
                <w:sz w:val="18"/>
                <w:lang w:eastAsia="fr-FR"/>
              </w:rPr>
            </w:pPr>
            <w:r w:rsidRPr="00A9330B">
              <w:rPr>
                <w:rFonts w:eastAsia="Times New Roman" w:cs="Arial"/>
                <w:color w:val="000000"/>
                <w:sz w:val="18"/>
                <w:lang w:eastAsia="fr-FR"/>
              </w:rPr>
              <w:t>237.1</w:t>
            </w:r>
          </w:p>
        </w:tc>
        <w:tc>
          <w:tcPr>
            <w:tcW w:w="243" w:type="pct"/>
            <w:tcBorders>
              <w:top w:val="nil"/>
              <w:left w:val="nil"/>
              <w:bottom w:val="single" w:sz="4" w:space="0" w:color="auto"/>
              <w:right w:val="single" w:sz="4" w:space="0" w:color="auto"/>
            </w:tcBorders>
            <w:shd w:val="clear" w:color="auto" w:fill="auto"/>
            <w:noWrap/>
            <w:vAlign w:val="center"/>
            <w:hideMark/>
          </w:tcPr>
          <w:p w14:paraId="4454A3F2" w14:textId="77777777" w:rsidR="00F8352E" w:rsidRPr="00A9330B" w:rsidRDefault="00F8352E" w:rsidP="00F8352E">
            <w:pPr>
              <w:spacing w:before="0" w:line="240" w:lineRule="auto"/>
              <w:jc w:val="both"/>
              <w:rPr>
                <w:rFonts w:eastAsia="Times New Roman" w:cs="Arial"/>
                <w:color w:val="000000"/>
                <w:sz w:val="18"/>
                <w:lang w:eastAsia="fr-FR"/>
              </w:rPr>
            </w:pPr>
            <w:r w:rsidRPr="00A9330B">
              <w:rPr>
                <w:rFonts w:eastAsia="Times New Roman" w:cs="Arial"/>
                <w:color w:val="000000"/>
                <w:sz w:val="18"/>
                <w:lang w:eastAsia="fr-FR"/>
              </w:rPr>
              <w:t>188</w:t>
            </w:r>
          </w:p>
        </w:tc>
        <w:tc>
          <w:tcPr>
            <w:tcW w:w="326" w:type="pct"/>
            <w:tcBorders>
              <w:top w:val="nil"/>
              <w:left w:val="nil"/>
              <w:bottom w:val="single" w:sz="4" w:space="0" w:color="auto"/>
              <w:right w:val="single" w:sz="4" w:space="0" w:color="auto"/>
            </w:tcBorders>
            <w:shd w:val="clear" w:color="auto" w:fill="auto"/>
            <w:noWrap/>
            <w:vAlign w:val="center"/>
            <w:hideMark/>
          </w:tcPr>
          <w:p w14:paraId="7E225BF1" w14:textId="77777777" w:rsidR="00F8352E" w:rsidRPr="00A9330B" w:rsidRDefault="00F8352E" w:rsidP="00F8352E">
            <w:pPr>
              <w:spacing w:before="0" w:line="240" w:lineRule="auto"/>
              <w:jc w:val="both"/>
              <w:rPr>
                <w:rFonts w:eastAsia="Times New Roman" w:cs="Arial"/>
                <w:color w:val="000000"/>
                <w:sz w:val="18"/>
                <w:lang w:eastAsia="fr-FR"/>
              </w:rPr>
            </w:pPr>
            <w:r w:rsidRPr="00A9330B">
              <w:rPr>
                <w:rFonts w:eastAsia="Times New Roman" w:cs="Arial"/>
                <w:color w:val="000000"/>
                <w:sz w:val="18"/>
                <w:lang w:eastAsia="fr-FR"/>
              </w:rPr>
              <w:t>169.2</w:t>
            </w:r>
          </w:p>
        </w:tc>
        <w:tc>
          <w:tcPr>
            <w:tcW w:w="326" w:type="pct"/>
            <w:tcBorders>
              <w:top w:val="nil"/>
              <w:left w:val="nil"/>
              <w:bottom w:val="single" w:sz="4" w:space="0" w:color="auto"/>
              <w:right w:val="single" w:sz="4" w:space="0" w:color="auto"/>
            </w:tcBorders>
            <w:shd w:val="clear" w:color="auto" w:fill="auto"/>
            <w:noWrap/>
            <w:vAlign w:val="center"/>
            <w:hideMark/>
          </w:tcPr>
          <w:p w14:paraId="072E3560" w14:textId="77777777" w:rsidR="00F8352E" w:rsidRPr="00A9330B" w:rsidRDefault="00F8352E" w:rsidP="00F8352E">
            <w:pPr>
              <w:spacing w:before="0" w:line="240" w:lineRule="auto"/>
              <w:jc w:val="both"/>
              <w:rPr>
                <w:rFonts w:eastAsia="Times New Roman" w:cs="Arial"/>
                <w:color w:val="000000"/>
                <w:sz w:val="18"/>
                <w:lang w:eastAsia="fr-FR"/>
              </w:rPr>
            </w:pPr>
            <w:r w:rsidRPr="00A9330B">
              <w:rPr>
                <w:rFonts w:eastAsia="Times New Roman" w:cs="Arial"/>
                <w:color w:val="000000"/>
                <w:sz w:val="18"/>
                <w:lang w:eastAsia="fr-FR"/>
              </w:rPr>
              <w:t>148.4</w:t>
            </w:r>
          </w:p>
        </w:tc>
        <w:tc>
          <w:tcPr>
            <w:tcW w:w="326" w:type="pct"/>
            <w:tcBorders>
              <w:top w:val="nil"/>
              <w:left w:val="nil"/>
              <w:bottom w:val="single" w:sz="4" w:space="0" w:color="auto"/>
              <w:right w:val="single" w:sz="4" w:space="0" w:color="auto"/>
            </w:tcBorders>
            <w:shd w:val="clear" w:color="auto" w:fill="auto"/>
            <w:noWrap/>
            <w:vAlign w:val="center"/>
            <w:hideMark/>
          </w:tcPr>
          <w:p w14:paraId="12C24B11" w14:textId="77777777" w:rsidR="00F8352E" w:rsidRPr="00A9330B" w:rsidRDefault="00F8352E" w:rsidP="00F8352E">
            <w:pPr>
              <w:spacing w:before="0" w:line="240" w:lineRule="auto"/>
              <w:jc w:val="both"/>
              <w:rPr>
                <w:rFonts w:eastAsia="Times New Roman" w:cs="Arial"/>
                <w:color w:val="000000"/>
                <w:sz w:val="18"/>
                <w:lang w:eastAsia="fr-FR"/>
              </w:rPr>
            </w:pPr>
            <w:r w:rsidRPr="00A9330B">
              <w:rPr>
                <w:rFonts w:eastAsia="Times New Roman" w:cs="Arial"/>
                <w:color w:val="000000"/>
                <w:sz w:val="18"/>
                <w:lang w:eastAsia="fr-FR"/>
              </w:rPr>
              <w:t>163.3</w:t>
            </w:r>
          </w:p>
        </w:tc>
        <w:tc>
          <w:tcPr>
            <w:tcW w:w="326" w:type="pct"/>
            <w:tcBorders>
              <w:top w:val="nil"/>
              <w:left w:val="nil"/>
              <w:bottom w:val="single" w:sz="4" w:space="0" w:color="auto"/>
              <w:right w:val="single" w:sz="4" w:space="0" w:color="auto"/>
            </w:tcBorders>
            <w:shd w:val="clear" w:color="auto" w:fill="auto"/>
            <w:noWrap/>
            <w:vAlign w:val="center"/>
            <w:hideMark/>
          </w:tcPr>
          <w:p w14:paraId="42C67E94" w14:textId="77777777" w:rsidR="00F8352E" w:rsidRPr="00A9330B" w:rsidRDefault="00F8352E" w:rsidP="00F8352E">
            <w:pPr>
              <w:spacing w:before="0" w:line="240" w:lineRule="auto"/>
              <w:jc w:val="both"/>
              <w:rPr>
                <w:rFonts w:eastAsia="Times New Roman" w:cs="Arial"/>
                <w:color w:val="000000"/>
                <w:sz w:val="18"/>
                <w:lang w:eastAsia="fr-FR"/>
              </w:rPr>
            </w:pPr>
            <w:r w:rsidRPr="00A9330B">
              <w:rPr>
                <w:rFonts w:eastAsia="Times New Roman" w:cs="Arial"/>
                <w:color w:val="000000"/>
                <w:sz w:val="18"/>
                <w:lang w:eastAsia="fr-FR"/>
              </w:rPr>
              <w:t>245.6</w:t>
            </w:r>
          </w:p>
        </w:tc>
        <w:tc>
          <w:tcPr>
            <w:tcW w:w="326" w:type="pct"/>
            <w:tcBorders>
              <w:top w:val="nil"/>
              <w:left w:val="nil"/>
              <w:bottom w:val="single" w:sz="4" w:space="0" w:color="auto"/>
              <w:right w:val="single" w:sz="4" w:space="0" w:color="auto"/>
            </w:tcBorders>
            <w:shd w:val="clear" w:color="auto" w:fill="auto"/>
            <w:noWrap/>
            <w:vAlign w:val="center"/>
            <w:hideMark/>
          </w:tcPr>
          <w:p w14:paraId="53F2BE78" w14:textId="77777777" w:rsidR="00F8352E" w:rsidRPr="00A9330B" w:rsidRDefault="00F8352E" w:rsidP="00F8352E">
            <w:pPr>
              <w:spacing w:before="0" w:line="240" w:lineRule="auto"/>
              <w:jc w:val="both"/>
              <w:rPr>
                <w:rFonts w:eastAsia="Times New Roman" w:cs="Arial"/>
                <w:color w:val="000000"/>
                <w:sz w:val="18"/>
                <w:lang w:eastAsia="fr-FR"/>
              </w:rPr>
            </w:pPr>
            <w:r w:rsidRPr="00A9330B">
              <w:rPr>
                <w:rFonts w:eastAsia="Times New Roman" w:cs="Arial"/>
                <w:color w:val="000000"/>
                <w:sz w:val="18"/>
                <w:lang w:eastAsia="fr-FR"/>
              </w:rPr>
              <w:t>282.3</w:t>
            </w:r>
          </w:p>
        </w:tc>
        <w:tc>
          <w:tcPr>
            <w:tcW w:w="326" w:type="pct"/>
            <w:tcBorders>
              <w:top w:val="nil"/>
              <w:left w:val="nil"/>
              <w:bottom w:val="single" w:sz="4" w:space="0" w:color="auto"/>
              <w:right w:val="single" w:sz="4" w:space="0" w:color="auto"/>
            </w:tcBorders>
            <w:shd w:val="clear" w:color="auto" w:fill="auto"/>
            <w:noWrap/>
            <w:vAlign w:val="center"/>
            <w:hideMark/>
          </w:tcPr>
          <w:p w14:paraId="2281DF1B" w14:textId="77777777" w:rsidR="00F8352E" w:rsidRPr="00A9330B" w:rsidRDefault="00F8352E" w:rsidP="00F8352E">
            <w:pPr>
              <w:spacing w:before="0" w:line="240" w:lineRule="auto"/>
              <w:jc w:val="both"/>
              <w:rPr>
                <w:rFonts w:eastAsia="Times New Roman" w:cs="Arial"/>
                <w:color w:val="000000"/>
                <w:sz w:val="18"/>
                <w:lang w:eastAsia="fr-FR"/>
              </w:rPr>
            </w:pPr>
            <w:r w:rsidRPr="00A9330B">
              <w:rPr>
                <w:rFonts w:eastAsia="Times New Roman" w:cs="Arial"/>
                <w:color w:val="000000"/>
                <w:sz w:val="18"/>
                <w:lang w:eastAsia="fr-FR"/>
              </w:rPr>
              <w:t>286.6</w:t>
            </w:r>
          </w:p>
        </w:tc>
        <w:tc>
          <w:tcPr>
            <w:tcW w:w="486" w:type="pct"/>
            <w:tcBorders>
              <w:top w:val="nil"/>
              <w:left w:val="nil"/>
              <w:bottom w:val="single" w:sz="4" w:space="0" w:color="auto"/>
              <w:right w:val="single" w:sz="4" w:space="0" w:color="auto"/>
            </w:tcBorders>
            <w:shd w:val="clear" w:color="auto" w:fill="auto"/>
            <w:noWrap/>
            <w:vAlign w:val="center"/>
            <w:hideMark/>
          </w:tcPr>
          <w:p w14:paraId="6B58DCA8" w14:textId="77777777" w:rsidR="00F8352E" w:rsidRPr="00A9330B" w:rsidRDefault="00F8352E" w:rsidP="00F8352E">
            <w:pPr>
              <w:spacing w:before="0" w:line="240" w:lineRule="auto"/>
              <w:jc w:val="both"/>
              <w:rPr>
                <w:rFonts w:eastAsia="Times New Roman" w:cs="Arial"/>
                <w:color w:val="000000"/>
                <w:sz w:val="18"/>
                <w:lang w:eastAsia="fr-FR"/>
              </w:rPr>
            </w:pPr>
            <w:r w:rsidRPr="00A9330B">
              <w:rPr>
                <w:rFonts w:eastAsia="Times New Roman" w:cs="Arial"/>
                <w:color w:val="000000"/>
                <w:sz w:val="18"/>
                <w:lang w:eastAsia="fr-FR"/>
              </w:rPr>
              <w:t>188</w:t>
            </w:r>
          </w:p>
        </w:tc>
      </w:tr>
    </w:tbl>
    <w:p w14:paraId="6249219A" w14:textId="77777777" w:rsidR="0025132A" w:rsidRPr="00A9330B" w:rsidRDefault="0025132A" w:rsidP="0025132A">
      <w:pPr>
        <w:overflowPunct w:val="0"/>
        <w:autoSpaceDE w:val="0"/>
        <w:autoSpaceDN w:val="0"/>
        <w:adjustRightInd w:val="0"/>
        <w:spacing w:before="0" w:after="200" w:line="240" w:lineRule="auto"/>
        <w:jc w:val="both"/>
        <w:textAlignment w:val="baseline"/>
        <w:rPr>
          <w:rFonts w:eastAsia="Times New Roman" w:cs="Arial"/>
          <w:bCs/>
          <w:color w:val="auto"/>
          <w:sz w:val="20"/>
          <w:szCs w:val="20"/>
          <w:lang w:eastAsia="it-IT"/>
        </w:rPr>
      </w:pPr>
      <w:bookmarkStart w:id="699" w:name="_Toc504495397"/>
      <w:r w:rsidRPr="00A9330B">
        <w:rPr>
          <w:rFonts w:eastAsia="Times New Roman" w:cs="Arial"/>
          <w:bCs/>
          <w:color w:val="auto"/>
          <w:sz w:val="20"/>
          <w:szCs w:val="20"/>
          <w:lang w:eastAsia="it-IT"/>
        </w:rPr>
        <w:t>Source : Rapport Hydrologique et hydraulique, CECO-BTP 2020</w:t>
      </w:r>
    </w:p>
    <w:p w14:paraId="394B40F7" w14:textId="77777777" w:rsidR="00F8352E" w:rsidRPr="00A9330B" w:rsidRDefault="00F8352E" w:rsidP="00BD2F72">
      <w:pPr>
        <w:pStyle w:val="Paragraphedeliste"/>
        <w:numPr>
          <w:ilvl w:val="0"/>
          <w:numId w:val="94"/>
        </w:numPr>
        <w:spacing w:before="0" w:line="240" w:lineRule="auto"/>
        <w:jc w:val="both"/>
        <w:rPr>
          <w:rFonts w:ascii="Arial Narrow" w:eastAsia="Calibri" w:hAnsi="Arial Narrow" w:cs="Courier New"/>
          <w:b/>
          <w:color w:val="auto"/>
          <w:sz w:val="26"/>
          <w:szCs w:val="26"/>
          <w:lang w:val="fr-FR"/>
        </w:rPr>
      </w:pPr>
      <w:r w:rsidRPr="00A9330B">
        <w:rPr>
          <w:rFonts w:ascii="Arial Narrow" w:eastAsia="Calibri" w:hAnsi="Arial Narrow" w:cs="Courier New"/>
          <w:b/>
          <w:color w:val="auto"/>
          <w:sz w:val="26"/>
          <w:szCs w:val="26"/>
          <w:lang w:val="fr-FR"/>
        </w:rPr>
        <w:t>Pluviométrie</w:t>
      </w:r>
      <w:bookmarkEnd w:id="699"/>
    </w:p>
    <w:p w14:paraId="17080E10" w14:textId="77777777" w:rsidR="00F8352E" w:rsidRPr="00A9330B" w:rsidRDefault="00F8352E" w:rsidP="00F8352E">
      <w:pPr>
        <w:spacing w:before="0" w:line="240" w:lineRule="auto"/>
        <w:jc w:val="both"/>
        <w:rPr>
          <w:rFonts w:eastAsia="Times New Roman" w:cs="Arial"/>
          <w:i/>
          <w:color w:val="000000"/>
          <w:u w:val="single"/>
          <w:lang w:eastAsia="fr-FR"/>
        </w:rPr>
      </w:pPr>
      <w:r w:rsidRPr="00A9330B">
        <w:rPr>
          <w:rFonts w:eastAsia="Times New Roman" w:cs="Arial"/>
          <w:i/>
          <w:color w:val="auto"/>
          <w:u w:val="single"/>
          <w:lang w:eastAsia="fr-FR"/>
        </w:rPr>
        <w:t>Statistique des pluies annuelles</w:t>
      </w:r>
    </w:p>
    <w:p w14:paraId="2B10367C" w14:textId="77777777" w:rsidR="00F8352E" w:rsidRPr="00A9330B" w:rsidRDefault="00F8352E" w:rsidP="00F8352E">
      <w:pPr>
        <w:spacing w:before="0" w:line="240" w:lineRule="auto"/>
        <w:jc w:val="both"/>
        <w:rPr>
          <w:rFonts w:eastAsia="Times New Roman" w:cs="Arial"/>
          <w:color w:val="221F1F"/>
          <w:lang w:eastAsia="it-IT"/>
        </w:rPr>
      </w:pPr>
      <w:r w:rsidRPr="00A9330B">
        <w:rPr>
          <w:rFonts w:eastAsia="Times New Roman" w:cs="Arial"/>
          <w:color w:val="221F1F"/>
          <w:lang w:eastAsia="it-IT"/>
        </w:rPr>
        <w:t>L’anal</w:t>
      </w:r>
      <w:r w:rsidRPr="00A9330B">
        <w:rPr>
          <w:rFonts w:eastAsia="Times New Roman" w:cs="Arial"/>
          <w:color w:val="221F1F"/>
          <w:spacing w:val="-2"/>
          <w:lang w:eastAsia="it-IT"/>
        </w:rPr>
        <w:t>y</w:t>
      </w:r>
      <w:r w:rsidRPr="00A9330B">
        <w:rPr>
          <w:rFonts w:eastAsia="Times New Roman" w:cs="Arial"/>
          <w:color w:val="221F1F"/>
          <w:lang w:eastAsia="it-IT"/>
        </w:rPr>
        <w:t>se st</w:t>
      </w:r>
      <w:r w:rsidRPr="00A9330B">
        <w:rPr>
          <w:rFonts w:eastAsia="Times New Roman" w:cs="Arial"/>
          <w:color w:val="221F1F"/>
          <w:spacing w:val="-1"/>
          <w:lang w:eastAsia="it-IT"/>
        </w:rPr>
        <w:t>a</w:t>
      </w:r>
      <w:r w:rsidRPr="00A9330B">
        <w:rPr>
          <w:rFonts w:eastAsia="Times New Roman" w:cs="Arial"/>
          <w:color w:val="221F1F"/>
          <w:lang w:eastAsia="it-IT"/>
        </w:rPr>
        <w:t>tistique d</w:t>
      </w:r>
      <w:r w:rsidRPr="00A9330B">
        <w:rPr>
          <w:rFonts w:eastAsia="Times New Roman" w:cs="Arial"/>
          <w:color w:val="221F1F"/>
          <w:spacing w:val="-1"/>
          <w:lang w:eastAsia="it-IT"/>
        </w:rPr>
        <w:t>e</w:t>
      </w:r>
      <w:r w:rsidRPr="00A9330B">
        <w:rPr>
          <w:rFonts w:eastAsia="Times New Roman" w:cs="Arial"/>
          <w:color w:val="221F1F"/>
          <w:lang w:eastAsia="it-IT"/>
        </w:rPr>
        <w:t>s sér</w:t>
      </w:r>
      <w:r w:rsidRPr="00A9330B">
        <w:rPr>
          <w:rFonts w:eastAsia="Times New Roman" w:cs="Arial"/>
          <w:color w:val="221F1F"/>
          <w:spacing w:val="-1"/>
          <w:lang w:eastAsia="it-IT"/>
        </w:rPr>
        <w:t>i</w:t>
      </w:r>
      <w:r w:rsidRPr="00A9330B">
        <w:rPr>
          <w:rFonts w:eastAsia="Times New Roman" w:cs="Arial"/>
          <w:color w:val="221F1F"/>
          <w:lang w:eastAsia="it-IT"/>
        </w:rPr>
        <w:t>es pluvi</w:t>
      </w:r>
      <w:r w:rsidRPr="00A9330B">
        <w:rPr>
          <w:rFonts w:eastAsia="Times New Roman" w:cs="Arial"/>
          <w:color w:val="221F1F"/>
          <w:spacing w:val="-1"/>
          <w:lang w:eastAsia="it-IT"/>
        </w:rPr>
        <w:t>o</w:t>
      </w:r>
      <w:r w:rsidRPr="00A9330B">
        <w:rPr>
          <w:rFonts w:eastAsia="Times New Roman" w:cs="Arial"/>
          <w:color w:val="221F1F"/>
          <w:lang w:eastAsia="it-IT"/>
        </w:rPr>
        <w:t>métriq</w:t>
      </w:r>
      <w:r w:rsidRPr="00A9330B">
        <w:rPr>
          <w:rFonts w:eastAsia="Times New Roman" w:cs="Arial"/>
          <w:color w:val="221F1F"/>
          <w:spacing w:val="-1"/>
          <w:lang w:eastAsia="it-IT"/>
        </w:rPr>
        <w:t>u</w:t>
      </w:r>
      <w:r w:rsidRPr="00A9330B">
        <w:rPr>
          <w:rFonts w:eastAsia="Times New Roman" w:cs="Arial"/>
          <w:color w:val="221F1F"/>
          <w:lang w:eastAsia="it-IT"/>
        </w:rPr>
        <w:t>es à Natitingou permet de dr</w:t>
      </w:r>
      <w:r w:rsidRPr="00A9330B">
        <w:rPr>
          <w:rFonts w:eastAsia="Times New Roman" w:cs="Arial"/>
          <w:color w:val="221F1F"/>
          <w:spacing w:val="-1"/>
          <w:lang w:eastAsia="it-IT"/>
        </w:rPr>
        <w:t>e</w:t>
      </w:r>
      <w:r w:rsidRPr="00A9330B">
        <w:rPr>
          <w:rFonts w:eastAsia="Times New Roman" w:cs="Arial"/>
          <w:color w:val="221F1F"/>
          <w:lang w:eastAsia="it-IT"/>
        </w:rPr>
        <w:t>sser l</w:t>
      </w:r>
      <w:r w:rsidRPr="00A9330B">
        <w:rPr>
          <w:rFonts w:eastAsia="Times New Roman" w:cs="Arial"/>
          <w:color w:val="221F1F"/>
          <w:spacing w:val="-1"/>
          <w:lang w:eastAsia="it-IT"/>
        </w:rPr>
        <w:t>e</w:t>
      </w:r>
      <w:r w:rsidRPr="00A9330B">
        <w:rPr>
          <w:rFonts w:eastAsia="Times New Roman" w:cs="Arial"/>
          <w:color w:val="221F1F"/>
          <w:lang w:eastAsia="it-IT"/>
        </w:rPr>
        <w:t>s c</w:t>
      </w:r>
      <w:r w:rsidRPr="00A9330B">
        <w:rPr>
          <w:rFonts w:eastAsia="Times New Roman" w:cs="Arial"/>
          <w:color w:val="221F1F"/>
          <w:spacing w:val="-1"/>
          <w:lang w:eastAsia="it-IT"/>
        </w:rPr>
        <w:t>a</w:t>
      </w:r>
      <w:r w:rsidRPr="00A9330B">
        <w:rPr>
          <w:rFonts w:eastAsia="Times New Roman" w:cs="Arial"/>
          <w:color w:val="221F1F"/>
          <w:lang w:eastAsia="it-IT"/>
        </w:rPr>
        <w:t>r</w:t>
      </w:r>
      <w:r w:rsidRPr="00A9330B">
        <w:rPr>
          <w:rFonts w:eastAsia="Times New Roman" w:cs="Arial"/>
          <w:color w:val="221F1F"/>
          <w:spacing w:val="-1"/>
          <w:lang w:eastAsia="it-IT"/>
        </w:rPr>
        <w:t>a</w:t>
      </w:r>
      <w:r w:rsidRPr="00A9330B">
        <w:rPr>
          <w:rFonts w:eastAsia="Times New Roman" w:cs="Arial"/>
          <w:color w:val="221F1F"/>
          <w:lang w:eastAsia="it-IT"/>
        </w:rPr>
        <w:t>ctéristi</w:t>
      </w:r>
      <w:r w:rsidRPr="00A9330B">
        <w:rPr>
          <w:rFonts w:eastAsia="Times New Roman" w:cs="Arial"/>
          <w:color w:val="221F1F"/>
          <w:spacing w:val="-1"/>
          <w:lang w:eastAsia="it-IT"/>
        </w:rPr>
        <w:t>q</w:t>
      </w:r>
      <w:r w:rsidRPr="00A9330B">
        <w:rPr>
          <w:rFonts w:eastAsia="Times New Roman" w:cs="Arial"/>
          <w:color w:val="221F1F"/>
          <w:lang w:eastAsia="it-IT"/>
        </w:rPr>
        <w:t>u</w:t>
      </w:r>
      <w:r w:rsidRPr="00A9330B">
        <w:rPr>
          <w:rFonts w:eastAsia="Times New Roman" w:cs="Arial"/>
          <w:color w:val="221F1F"/>
          <w:spacing w:val="-1"/>
          <w:lang w:eastAsia="it-IT"/>
        </w:rPr>
        <w:t>e</w:t>
      </w:r>
      <w:r w:rsidRPr="00A9330B">
        <w:rPr>
          <w:rFonts w:eastAsia="Times New Roman" w:cs="Arial"/>
          <w:color w:val="221F1F"/>
          <w:lang w:eastAsia="it-IT"/>
        </w:rPr>
        <w:t>s statistiq</w:t>
      </w:r>
      <w:r w:rsidRPr="00A9330B">
        <w:rPr>
          <w:rFonts w:eastAsia="Times New Roman" w:cs="Arial"/>
          <w:color w:val="221F1F"/>
          <w:spacing w:val="-1"/>
          <w:lang w:eastAsia="it-IT"/>
        </w:rPr>
        <w:t>u</w:t>
      </w:r>
      <w:r w:rsidRPr="00A9330B">
        <w:rPr>
          <w:rFonts w:eastAsia="Times New Roman" w:cs="Arial"/>
          <w:color w:val="221F1F"/>
          <w:lang w:eastAsia="it-IT"/>
        </w:rPr>
        <w:t>es central</w:t>
      </w:r>
      <w:r w:rsidRPr="00A9330B">
        <w:rPr>
          <w:rFonts w:eastAsia="Times New Roman" w:cs="Arial"/>
          <w:color w:val="221F1F"/>
          <w:spacing w:val="-1"/>
          <w:lang w:eastAsia="it-IT"/>
        </w:rPr>
        <w:t>e</w:t>
      </w:r>
      <w:r w:rsidRPr="00A9330B">
        <w:rPr>
          <w:rFonts w:eastAsia="Times New Roman" w:cs="Arial"/>
          <w:color w:val="221F1F"/>
          <w:lang w:eastAsia="it-IT"/>
        </w:rPr>
        <w:t>s et de dispersi</w:t>
      </w:r>
      <w:r w:rsidRPr="00A9330B">
        <w:rPr>
          <w:rFonts w:eastAsia="Times New Roman" w:cs="Arial"/>
          <w:color w:val="221F1F"/>
          <w:spacing w:val="-1"/>
          <w:lang w:eastAsia="it-IT"/>
        </w:rPr>
        <w:t>o</w:t>
      </w:r>
      <w:r w:rsidRPr="00A9330B">
        <w:rPr>
          <w:rFonts w:eastAsia="Times New Roman" w:cs="Arial"/>
          <w:color w:val="221F1F"/>
          <w:lang w:eastAsia="it-IT"/>
        </w:rPr>
        <w:t xml:space="preserve">n </w:t>
      </w:r>
      <w:r w:rsidRPr="00A9330B">
        <w:rPr>
          <w:rFonts w:eastAsia="Times New Roman" w:cs="Arial"/>
          <w:color w:val="221F1F"/>
          <w:spacing w:val="-1"/>
          <w:lang w:eastAsia="it-IT"/>
        </w:rPr>
        <w:t>d</w:t>
      </w:r>
      <w:r w:rsidRPr="00A9330B">
        <w:rPr>
          <w:rFonts w:eastAsia="Times New Roman" w:cs="Arial"/>
          <w:color w:val="221F1F"/>
          <w:lang w:eastAsia="it-IT"/>
        </w:rPr>
        <w:t>es distr</w:t>
      </w:r>
      <w:r w:rsidRPr="00A9330B">
        <w:rPr>
          <w:rFonts w:eastAsia="Times New Roman" w:cs="Arial"/>
          <w:color w:val="221F1F"/>
          <w:spacing w:val="-1"/>
          <w:lang w:eastAsia="it-IT"/>
        </w:rPr>
        <w:t>i</w:t>
      </w:r>
      <w:r w:rsidRPr="00A9330B">
        <w:rPr>
          <w:rFonts w:eastAsia="Times New Roman" w:cs="Arial"/>
          <w:color w:val="221F1F"/>
          <w:lang w:eastAsia="it-IT"/>
        </w:rPr>
        <w:t>buti</w:t>
      </w:r>
      <w:r w:rsidRPr="00A9330B">
        <w:rPr>
          <w:rFonts w:eastAsia="Times New Roman" w:cs="Arial"/>
          <w:color w:val="221F1F"/>
          <w:spacing w:val="-1"/>
          <w:lang w:eastAsia="it-IT"/>
        </w:rPr>
        <w:t>o</w:t>
      </w:r>
      <w:r w:rsidRPr="00A9330B">
        <w:rPr>
          <w:rFonts w:eastAsia="Times New Roman" w:cs="Arial"/>
          <w:color w:val="221F1F"/>
          <w:lang w:eastAsia="it-IT"/>
        </w:rPr>
        <w:t>ns exp</w:t>
      </w:r>
      <w:r w:rsidRPr="00A9330B">
        <w:rPr>
          <w:rFonts w:eastAsia="Times New Roman" w:cs="Arial"/>
          <w:color w:val="221F1F"/>
          <w:spacing w:val="-1"/>
          <w:lang w:eastAsia="it-IT"/>
        </w:rPr>
        <w:t>é</w:t>
      </w:r>
      <w:r w:rsidRPr="00A9330B">
        <w:rPr>
          <w:rFonts w:eastAsia="Times New Roman" w:cs="Arial"/>
          <w:color w:val="221F1F"/>
          <w:lang w:eastAsia="it-IT"/>
        </w:rPr>
        <w:t>rim</w:t>
      </w:r>
      <w:r w:rsidRPr="00A9330B">
        <w:rPr>
          <w:rFonts w:eastAsia="Times New Roman" w:cs="Arial"/>
          <w:color w:val="221F1F"/>
          <w:spacing w:val="-1"/>
          <w:lang w:eastAsia="it-IT"/>
        </w:rPr>
        <w:t>en</w:t>
      </w:r>
      <w:r w:rsidRPr="00A9330B">
        <w:rPr>
          <w:rFonts w:eastAsia="Times New Roman" w:cs="Arial"/>
          <w:color w:val="221F1F"/>
          <w:lang w:eastAsia="it-IT"/>
        </w:rPr>
        <w:t>tales d</w:t>
      </w:r>
      <w:r w:rsidRPr="00A9330B">
        <w:rPr>
          <w:rFonts w:eastAsia="Times New Roman" w:cs="Arial"/>
          <w:color w:val="221F1F"/>
          <w:spacing w:val="-1"/>
          <w:lang w:eastAsia="it-IT"/>
        </w:rPr>
        <w:t>e</w:t>
      </w:r>
      <w:r w:rsidRPr="00A9330B">
        <w:rPr>
          <w:rFonts w:eastAsia="Times New Roman" w:cs="Arial"/>
          <w:color w:val="221F1F"/>
          <w:lang w:eastAsia="it-IT"/>
        </w:rPr>
        <w:t>s p</w:t>
      </w:r>
      <w:r w:rsidRPr="00A9330B">
        <w:rPr>
          <w:rFonts w:eastAsia="Times New Roman" w:cs="Arial"/>
          <w:color w:val="221F1F"/>
          <w:spacing w:val="-1"/>
          <w:lang w:eastAsia="it-IT"/>
        </w:rPr>
        <w:t>l</w:t>
      </w:r>
      <w:r w:rsidRPr="00A9330B">
        <w:rPr>
          <w:rFonts w:eastAsia="Times New Roman" w:cs="Arial"/>
          <w:color w:val="221F1F"/>
          <w:lang w:eastAsia="it-IT"/>
        </w:rPr>
        <w:t>u</w:t>
      </w:r>
      <w:r w:rsidRPr="00A9330B">
        <w:rPr>
          <w:rFonts w:eastAsia="Times New Roman" w:cs="Arial"/>
          <w:color w:val="221F1F"/>
          <w:spacing w:val="-1"/>
          <w:lang w:eastAsia="it-IT"/>
        </w:rPr>
        <w:t>i</w:t>
      </w:r>
      <w:r w:rsidRPr="00A9330B">
        <w:rPr>
          <w:rFonts w:eastAsia="Times New Roman" w:cs="Arial"/>
          <w:color w:val="221F1F"/>
          <w:lang w:eastAsia="it-IT"/>
        </w:rPr>
        <w:t>es an</w:t>
      </w:r>
      <w:r w:rsidRPr="00A9330B">
        <w:rPr>
          <w:rFonts w:eastAsia="Times New Roman" w:cs="Arial"/>
          <w:color w:val="221F1F"/>
          <w:spacing w:val="-1"/>
          <w:lang w:eastAsia="it-IT"/>
        </w:rPr>
        <w:t>n</w:t>
      </w:r>
      <w:r w:rsidRPr="00A9330B">
        <w:rPr>
          <w:rFonts w:eastAsia="Times New Roman" w:cs="Arial"/>
          <w:color w:val="221F1F"/>
          <w:lang w:eastAsia="it-IT"/>
        </w:rPr>
        <w:t>uell</w:t>
      </w:r>
      <w:r w:rsidRPr="00A9330B">
        <w:rPr>
          <w:rFonts w:eastAsia="Times New Roman" w:cs="Arial"/>
          <w:color w:val="221F1F"/>
          <w:spacing w:val="-1"/>
          <w:lang w:eastAsia="it-IT"/>
        </w:rPr>
        <w:t>e</w:t>
      </w:r>
      <w:r w:rsidRPr="00A9330B">
        <w:rPr>
          <w:rFonts w:eastAsia="Times New Roman" w:cs="Arial"/>
          <w:color w:val="221F1F"/>
          <w:lang w:eastAsia="it-IT"/>
        </w:rPr>
        <w:t>s moyen</w:t>
      </w:r>
      <w:r w:rsidRPr="00A9330B">
        <w:rPr>
          <w:rFonts w:eastAsia="Times New Roman" w:cs="Arial"/>
          <w:color w:val="221F1F"/>
          <w:spacing w:val="-1"/>
          <w:lang w:eastAsia="it-IT"/>
        </w:rPr>
        <w:t>n</w:t>
      </w:r>
      <w:r w:rsidRPr="00A9330B">
        <w:rPr>
          <w:rFonts w:eastAsia="Times New Roman" w:cs="Arial"/>
          <w:color w:val="221F1F"/>
          <w:lang w:eastAsia="it-IT"/>
        </w:rPr>
        <w:t>es spatia</w:t>
      </w:r>
      <w:r w:rsidRPr="00A9330B">
        <w:rPr>
          <w:rFonts w:eastAsia="Times New Roman" w:cs="Arial"/>
          <w:color w:val="221F1F"/>
          <w:spacing w:val="-1"/>
          <w:lang w:eastAsia="it-IT"/>
        </w:rPr>
        <w:t>l</w:t>
      </w:r>
      <w:r w:rsidRPr="00A9330B">
        <w:rPr>
          <w:rFonts w:eastAsia="Times New Roman" w:cs="Arial"/>
          <w:color w:val="221F1F"/>
          <w:lang w:eastAsia="it-IT"/>
        </w:rPr>
        <w:t xml:space="preserve">es </w:t>
      </w:r>
    </w:p>
    <w:p w14:paraId="2806EF24" w14:textId="20808FB6" w:rsidR="00F8352E" w:rsidRPr="00A9330B" w:rsidRDefault="00F8352E" w:rsidP="00F8352E">
      <w:pPr>
        <w:spacing w:before="0" w:line="120" w:lineRule="auto"/>
        <w:jc w:val="center"/>
        <w:rPr>
          <w:rFonts w:eastAsia="Times New Roman" w:cs="Arial"/>
          <w:b/>
          <w:bCs/>
          <w:color w:val="auto"/>
          <w:szCs w:val="18"/>
          <w:lang w:eastAsia="it-IT"/>
        </w:rPr>
      </w:pPr>
      <w:bookmarkStart w:id="700" w:name="_Toc504498858"/>
    </w:p>
    <w:p w14:paraId="2D11057B" w14:textId="6181234F" w:rsidR="00F8352E" w:rsidRPr="00A9330B" w:rsidRDefault="005160AF" w:rsidP="00F8352E">
      <w:pPr>
        <w:keepNext/>
        <w:overflowPunct w:val="0"/>
        <w:autoSpaceDE w:val="0"/>
        <w:autoSpaceDN w:val="0"/>
        <w:adjustRightInd w:val="0"/>
        <w:spacing w:before="0" w:after="200" w:line="240" w:lineRule="auto"/>
        <w:jc w:val="both"/>
        <w:textAlignment w:val="baseline"/>
        <w:rPr>
          <w:rFonts w:eastAsia="Times New Roman" w:cs="Arial"/>
          <w:bCs/>
          <w:color w:val="auto"/>
          <w:szCs w:val="18"/>
          <w:lang w:eastAsia="it-IT"/>
        </w:rPr>
      </w:pPr>
      <w:bookmarkStart w:id="701" w:name="_Toc52873740"/>
      <w:r w:rsidRPr="00A9330B">
        <w:t xml:space="preserve">Tableau </w:t>
      </w:r>
      <w:r w:rsidR="00D24D0D" w:rsidRPr="00A9330B">
        <w:fldChar w:fldCharType="begin"/>
      </w:r>
      <w:r w:rsidR="00D24D0D" w:rsidRPr="00A9330B">
        <w:instrText xml:space="preserve"> SEQ Tableau \* ARABIC </w:instrText>
      </w:r>
      <w:r w:rsidR="00D24D0D" w:rsidRPr="00A9330B">
        <w:fldChar w:fldCharType="separate"/>
      </w:r>
      <w:r w:rsidR="00417D31" w:rsidRPr="00A9330B">
        <w:rPr>
          <w:noProof/>
        </w:rPr>
        <w:t>16</w:t>
      </w:r>
      <w:r w:rsidR="00D24D0D" w:rsidRPr="00A9330B">
        <w:rPr>
          <w:noProof/>
        </w:rPr>
        <w:fldChar w:fldCharType="end"/>
      </w:r>
      <w:r w:rsidRPr="00A9330B">
        <w:rPr>
          <w:b/>
          <w:bCs/>
          <w:szCs w:val="18"/>
          <w:lang w:eastAsia="it-IT"/>
        </w:rPr>
        <w:t xml:space="preserve"> :</w:t>
      </w:r>
      <w:r w:rsidRPr="00A9330B">
        <w:rPr>
          <w:bCs/>
          <w:szCs w:val="18"/>
          <w:lang w:eastAsia="it-IT"/>
        </w:rPr>
        <w:t xml:space="preserve"> </w:t>
      </w:r>
      <w:r w:rsidR="00F8352E" w:rsidRPr="00A9330B">
        <w:rPr>
          <w:rFonts w:eastAsia="Times New Roman" w:cs="Arial"/>
          <w:bCs/>
          <w:color w:val="auto"/>
          <w:szCs w:val="18"/>
          <w:lang w:eastAsia="it-IT"/>
        </w:rPr>
        <w:t>Résultat du traitement statistique de la pluviométrie</w:t>
      </w:r>
      <w:bookmarkEnd w:id="700"/>
      <w:bookmarkEnd w:id="701"/>
    </w:p>
    <w:tbl>
      <w:tblPr>
        <w:tblStyle w:val="Grilledutableau21"/>
        <w:tblW w:w="0" w:type="auto"/>
        <w:jc w:val="center"/>
        <w:tblLayout w:type="fixed"/>
        <w:tblLook w:val="0000" w:firstRow="0" w:lastRow="0" w:firstColumn="0" w:lastColumn="0" w:noHBand="0" w:noVBand="0"/>
      </w:tblPr>
      <w:tblGrid>
        <w:gridCol w:w="3162"/>
        <w:gridCol w:w="974"/>
      </w:tblGrid>
      <w:tr w:rsidR="00F8352E" w:rsidRPr="00A9330B" w14:paraId="32B72B88" w14:textId="77777777" w:rsidTr="0025132A">
        <w:trPr>
          <w:trHeight w:hRule="exact" w:val="303"/>
          <w:jc w:val="center"/>
        </w:trPr>
        <w:tc>
          <w:tcPr>
            <w:tcW w:w="3162" w:type="dxa"/>
            <w:vAlign w:val="center"/>
          </w:tcPr>
          <w:p w14:paraId="010C0B84" w14:textId="77777777" w:rsidR="00F8352E" w:rsidRPr="00A9330B" w:rsidRDefault="00F8352E" w:rsidP="00F8352E">
            <w:pPr>
              <w:widowControl w:val="0"/>
              <w:overflowPunct w:val="0"/>
              <w:autoSpaceDE w:val="0"/>
              <w:autoSpaceDN w:val="0"/>
              <w:adjustRightInd w:val="0"/>
              <w:spacing w:before="56" w:line="360" w:lineRule="auto"/>
              <w:ind w:left="70"/>
              <w:jc w:val="both"/>
              <w:textAlignment w:val="baseline"/>
              <w:rPr>
                <w:rFonts w:eastAsia="Times New Roman" w:cs="Arial"/>
                <w:color w:val="auto"/>
                <w:lang w:eastAsia="it-IT"/>
              </w:rPr>
            </w:pPr>
            <w:r w:rsidRPr="00A9330B">
              <w:rPr>
                <w:rFonts w:eastAsia="Times New Roman" w:cs="Arial"/>
                <w:color w:val="221F1F"/>
                <w:lang w:eastAsia="it-IT"/>
              </w:rPr>
              <w:t>Station Natitingou</w:t>
            </w:r>
          </w:p>
        </w:tc>
        <w:tc>
          <w:tcPr>
            <w:tcW w:w="974" w:type="dxa"/>
            <w:vAlign w:val="center"/>
          </w:tcPr>
          <w:p w14:paraId="46227389" w14:textId="77777777" w:rsidR="00F8352E" w:rsidRPr="00A9330B" w:rsidRDefault="00F8352E" w:rsidP="00F8352E">
            <w:pPr>
              <w:widowControl w:val="0"/>
              <w:overflowPunct w:val="0"/>
              <w:autoSpaceDE w:val="0"/>
              <w:autoSpaceDN w:val="0"/>
              <w:adjustRightInd w:val="0"/>
              <w:spacing w:before="0" w:line="360" w:lineRule="auto"/>
              <w:jc w:val="both"/>
              <w:textAlignment w:val="baseline"/>
              <w:rPr>
                <w:rFonts w:eastAsia="Times New Roman" w:cs="Arial"/>
                <w:color w:val="auto"/>
                <w:lang w:eastAsia="it-IT"/>
              </w:rPr>
            </w:pPr>
          </w:p>
        </w:tc>
      </w:tr>
      <w:tr w:rsidR="00F8352E" w:rsidRPr="00A9330B" w14:paraId="1CC467D4" w14:textId="77777777" w:rsidTr="0025132A">
        <w:trPr>
          <w:trHeight w:hRule="exact" w:val="305"/>
          <w:jc w:val="center"/>
        </w:trPr>
        <w:tc>
          <w:tcPr>
            <w:tcW w:w="3162" w:type="dxa"/>
            <w:vAlign w:val="center"/>
          </w:tcPr>
          <w:p w14:paraId="380DE0C4" w14:textId="77777777" w:rsidR="00F8352E" w:rsidRPr="00A9330B" w:rsidRDefault="00F8352E" w:rsidP="00F8352E">
            <w:pPr>
              <w:widowControl w:val="0"/>
              <w:overflowPunct w:val="0"/>
              <w:autoSpaceDE w:val="0"/>
              <w:autoSpaceDN w:val="0"/>
              <w:adjustRightInd w:val="0"/>
              <w:spacing w:before="57" w:line="360" w:lineRule="auto"/>
              <w:ind w:left="70"/>
              <w:jc w:val="both"/>
              <w:textAlignment w:val="baseline"/>
              <w:rPr>
                <w:rFonts w:eastAsia="Times New Roman" w:cs="Arial"/>
                <w:color w:val="auto"/>
                <w:lang w:eastAsia="it-IT"/>
              </w:rPr>
            </w:pPr>
            <w:r w:rsidRPr="00A9330B">
              <w:rPr>
                <w:rFonts w:eastAsia="Times New Roman" w:cs="Arial"/>
                <w:color w:val="221F1F"/>
                <w:lang w:eastAsia="it-IT"/>
              </w:rPr>
              <w:t>moyenne</w:t>
            </w:r>
          </w:p>
        </w:tc>
        <w:tc>
          <w:tcPr>
            <w:tcW w:w="974" w:type="dxa"/>
            <w:vAlign w:val="center"/>
          </w:tcPr>
          <w:p w14:paraId="07748950" w14:textId="77777777" w:rsidR="00F8352E" w:rsidRPr="00A9330B" w:rsidRDefault="00F8352E" w:rsidP="00F8352E">
            <w:pPr>
              <w:widowControl w:val="0"/>
              <w:overflowPunct w:val="0"/>
              <w:autoSpaceDE w:val="0"/>
              <w:autoSpaceDN w:val="0"/>
              <w:adjustRightInd w:val="0"/>
              <w:spacing w:before="57" w:line="360" w:lineRule="auto"/>
              <w:ind w:left="71"/>
              <w:jc w:val="both"/>
              <w:textAlignment w:val="baseline"/>
              <w:rPr>
                <w:rFonts w:eastAsia="Times New Roman" w:cs="Arial"/>
                <w:color w:val="auto"/>
                <w:lang w:eastAsia="it-IT"/>
              </w:rPr>
            </w:pPr>
            <w:r w:rsidRPr="00A9330B">
              <w:rPr>
                <w:rFonts w:eastAsia="Times New Roman" w:cs="Arial"/>
                <w:color w:val="auto"/>
                <w:lang w:eastAsia="it-IT"/>
              </w:rPr>
              <w:t>1183</w:t>
            </w:r>
          </w:p>
        </w:tc>
      </w:tr>
      <w:tr w:rsidR="00F8352E" w:rsidRPr="00A9330B" w14:paraId="5F080230" w14:textId="77777777" w:rsidTr="0025132A">
        <w:trPr>
          <w:trHeight w:hRule="exact" w:val="339"/>
          <w:jc w:val="center"/>
        </w:trPr>
        <w:tc>
          <w:tcPr>
            <w:tcW w:w="3162" w:type="dxa"/>
            <w:vAlign w:val="center"/>
          </w:tcPr>
          <w:p w14:paraId="35CFF879" w14:textId="77777777" w:rsidR="00F8352E" w:rsidRPr="00A9330B" w:rsidRDefault="00F8352E" w:rsidP="00F8352E">
            <w:pPr>
              <w:widowControl w:val="0"/>
              <w:overflowPunct w:val="0"/>
              <w:autoSpaceDE w:val="0"/>
              <w:autoSpaceDN w:val="0"/>
              <w:adjustRightInd w:val="0"/>
              <w:spacing w:before="57" w:line="360" w:lineRule="auto"/>
              <w:ind w:left="70"/>
              <w:jc w:val="both"/>
              <w:textAlignment w:val="baseline"/>
              <w:rPr>
                <w:rFonts w:eastAsia="Times New Roman" w:cs="Arial"/>
                <w:color w:val="auto"/>
                <w:lang w:eastAsia="it-IT"/>
              </w:rPr>
            </w:pPr>
            <w:r w:rsidRPr="00A9330B">
              <w:rPr>
                <w:rFonts w:eastAsia="Times New Roman" w:cs="Arial"/>
                <w:color w:val="221F1F"/>
                <w:lang w:eastAsia="it-IT"/>
              </w:rPr>
              <w:t>maximum</w:t>
            </w:r>
          </w:p>
        </w:tc>
        <w:tc>
          <w:tcPr>
            <w:tcW w:w="974" w:type="dxa"/>
            <w:vAlign w:val="center"/>
          </w:tcPr>
          <w:p w14:paraId="067C063D" w14:textId="77777777" w:rsidR="00F8352E" w:rsidRPr="00A9330B" w:rsidRDefault="00F8352E" w:rsidP="00F8352E">
            <w:pPr>
              <w:widowControl w:val="0"/>
              <w:overflowPunct w:val="0"/>
              <w:autoSpaceDE w:val="0"/>
              <w:autoSpaceDN w:val="0"/>
              <w:adjustRightInd w:val="0"/>
              <w:spacing w:before="57" w:line="360" w:lineRule="auto"/>
              <w:ind w:left="71"/>
              <w:jc w:val="both"/>
              <w:textAlignment w:val="baseline"/>
              <w:rPr>
                <w:rFonts w:eastAsia="Times New Roman" w:cs="Arial"/>
                <w:color w:val="auto"/>
                <w:lang w:eastAsia="it-IT"/>
              </w:rPr>
            </w:pPr>
            <w:r w:rsidRPr="00A9330B">
              <w:rPr>
                <w:rFonts w:eastAsia="Times New Roman" w:cs="Arial"/>
                <w:color w:val="221F1F"/>
                <w:lang w:eastAsia="it-IT"/>
              </w:rPr>
              <w:t>1496</w:t>
            </w:r>
          </w:p>
        </w:tc>
      </w:tr>
      <w:tr w:rsidR="00F8352E" w:rsidRPr="00A9330B" w14:paraId="275F4675" w14:textId="77777777" w:rsidTr="0025132A">
        <w:trPr>
          <w:trHeight w:hRule="exact" w:val="290"/>
          <w:jc w:val="center"/>
        </w:trPr>
        <w:tc>
          <w:tcPr>
            <w:tcW w:w="3162" w:type="dxa"/>
            <w:vAlign w:val="center"/>
          </w:tcPr>
          <w:p w14:paraId="5148D5D6" w14:textId="77777777" w:rsidR="00F8352E" w:rsidRPr="00A9330B" w:rsidRDefault="00F8352E" w:rsidP="00F8352E">
            <w:pPr>
              <w:widowControl w:val="0"/>
              <w:overflowPunct w:val="0"/>
              <w:autoSpaceDE w:val="0"/>
              <w:autoSpaceDN w:val="0"/>
              <w:adjustRightInd w:val="0"/>
              <w:spacing w:before="9" w:line="360" w:lineRule="auto"/>
              <w:ind w:left="70"/>
              <w:jc w:val="both"/>
              <w:textAlignment w:val="baseline"/>
              <w:rPr>
                <w:rFonts w:eastAsia="Times New Roman" w:cs="Arial"/>
                <w:color w:val="auto"/>
                <w:lang w:eastAsia="it-IT"/>
              </w:rPr>
            </w:pPr>
            <w:r w:rsidRPr="00A9330B">
              <w:rPr>
                <w:rFonts w:eastAsia="Times New Roman" w:cs="Arial"/>
                <w:color w:val="221F1F"/>
                <w:lang w:eastAsia="it-IT"/>
              </w:rPr>
              <w:t>média</w:t>
            </w:r>
            <w:r w:rsidRPr="00A9330B">
              <w:rPr>
                <w:rFonts w:eastAsia="Times New Roman" w:cs="Arial"/>
                <w:color w:val="221F1F"/>
                <w:spacing w:val="-1"/>
                <w:lang w:eastAsia="it-IT"/>
              </w:rPr>
              <w:t>n</w:t>
            </w:r>
            <w:r w:rsidRPr="00A9330B">
              <w:rPr>
                <w:rFonts w:eastAsia="Times New Roman" w:cs="Arial"/>
                <w:color w:val="221F1F"/>
                <w:lang w:eastAsia="it-IT"/>
              </w:rPr>
              <w:t>e</w:t>
            </w:r>
          </w:p>
        </w:tc>
        <w:tc>
          <w:tcPr>
            <w:tcW w:w="974" w:type="dxa"/>
            <w:vAlign w:val="center"/>
          </w:tcPr>
          <w:p w14:paraId="724049E2" w14:textId="77777777" w:rsidR="00F8352E" w:rsidRPr="00A9330B" w:rsidRDefault="00F8352E" w:rsidP="00F8352E">
            <w:pPr>
              <w:widowControl w:val="0"/>
              <w:overflowPunct w:val="0"/>
              <w:autoSpaceDE w:val="0"/>
              <w:autoSpaceDN w:val="0"/>
              <w:adjustRightInd w:val="0"/>
              <w:spacing w:before="9" w:line="360" w:lineRule="auto"/>
              <w:ind w:left="71"/>
              <w:jc w:val="both"/>
              <w:textAlignment w:val="baseline"/>
              <w:rPr>
                <w:rFonts w:eastAsia="Times New Roman" w:cs="Arial"/>
                <w:color w:val="auto"/>
                <w:lang w:eastAsia="it-IT"/>
              </w:rPr>
            </w:pPr>
            <w:r w:rsidRPr="00A9330B">
              <w:rPr>
                <w:rFonts w:eastAsia="Times New Roman" w:cs="Arial"/>
                <w:color w:val="221F1F"/>
                <w:lang w:eastAsia="it-IT"/>
              </w:rPr>
              <w:t>1149</w:t>
            </w:r>
          </w:p>
        </w:tc>
      </w:tr>
      <w:tr w:rsidR="00F8352E" w:rsidRPr="00A9330B" w14:paraId="08B151D8" w14:textId="77777777" w:rsidTr="0025132A">
        <w:trPr>
          <w:trHeight w:hRule="exact" w:val="290"/>
          <w:jc w:val="center"/>
        </w:trPr>
        <w:tc>
          <w:tcPr>
            <w:tcW w:w="3162" w:type="dxa"/>
            <w:vAlign w:val="center"/>
          </w:tcPr>
          <w:p w14:paraId="0D1ECAF4" w14:textId="77777777" w:rsidR="00F8352E" w:rsidRPr="00A9330B" w:rsidRDefault="00F8352E" w:rsidP="00F8352E">
            <w:pPr>
              <w:widowControl w:val="0"/>
              <w:overflowPunct w:val="0"/>
              <w:autoSpaceDE w:val="0"/>
              <w:autoSpaceDN w:val="0"/>
              <w:adjustRightInd w:val="0"/>
              <w:spacing w:before="8" w:line="360" w:lineRule="auto"/>
              <w:ind w:left="70"/>
              <w:jc w:val="both"/>
              <w:textAlignment w:val="baseline"/>
              <w:rPr>
                <w:rFonts w:eastAsia="Times New Roman" w:cs="Arial"/>
                <w:color w:val="auto"/>
                <w:lang w:eastAsia="it-IT"/>
              </w:rPr>
            </w:pPr>
            <w:r w:rsidRPr="00A9330B">
              <w:rPr>
                <w:rFonts w:eastAsia="Times New Roman" w:cs="Arial"/>
                <w:color w:val="221F1F"/>
                <w:lang w:eastAsia="it-IT"/>
              </w:rPr>
              <w:t>minimum</w:t>
            </w:r>
          </w:p>
        </w:tc>
        <w:tc>
          <w:tcPr>
            <w:tcW w:w="974" w:type="dxa"/>
            <w:vAlign w:val="center"/>
          </w:tcPr>
          <w:p w14:paraId="715C9AF3" w14:textId="77777777" w:rsidR="00F8352E" w:rsidRPr="00A9330B" w:rsidRDefault="00F8352E" w:rsidP="00F8352E">
            <w:pPr>
              <w:widowControl w:val="0"/>
              <w:overflowPunct w:val="0"/>
              <w:autoSpaceDE w:val="0"/>
              <w:autoSpaceDN w:val="0"/>
              <w:adjustRightInd w:val="0"/>
              <w:spacing w:before="8" w:line="360" w:lineRule="auto"/>
              <w:ind w:left="71"/>
              <w:jc w:val="both"/>
              <w:textAlignment w:val="baseline"/>
              <w:rPr>
                <w:rFonts w:eastAsia="Times New Roman" w:cs="Arial"/>
                <w:color w:val="auto"/>
                <w:lang w:eastAsia="it-IT"/>
              </w:rPr>
            </w:pPr>
            <w:r w:rsidRPr="00A9330B">
              <w:rPr>
                <w:rFonts w:eastAsia="Times New Roman" w:cs="Arial"/>
                <w:color w:val="221F1F"/>
                <w:lang w:eastAsia="it-IT"/>
              </w:rPr>
              <w:t>830</w:t>
            </w:r>
          </w:p>
        </w:tc>
      </w:tr>
      <w:tr w:rsidR="00F8352E" w:rsidRPr="00A9330B" w14:paraId="29370F1A" w14:textId="77777777" w:rsidTr="0025132A">
        <w:trPr>
          <w:trHeight w:hRule="exact" w:val="290"/>
          <w:jc w:val="center"/>
        </w:trPr>
        <w:tc>
          <w:tcPr>
            <w:tcW w:w="3162" w:type="dxa"/>
            <w:vAlign w:val="center"/>
          </w:tcPr>
          <w:p w14:paraId="159D7ECC" w14:textId="77777777" w:rsidR="00F8352E" w:rsidRPr="00A9330B" w:rsidRDefault="00F8352E" w:rsidP="00F8352E">
            <w:pPr>
              <w:widowControl w:val="0"/>
              <w:overflowPunct w:val="0"/>
              <w:autoSpaceDE w:val="0"/>
              <w:autoSpaceDN w:val="0"/>
              <w:adjustRightInd w:val="0"/>
              <w:spacing w:before="8" w:line="360" w:lineRule="auto"/>
              <w:ind w:left="70"/>
              <w:jc w:val="both"/>
              <w:textAlignment w:val="baseline"/>
              <w:rPr>
                <w:rFonts w:eastAsia="Times New Roman" w:cs="Arial"/>
                <w:color w:val="auto"/>
                <w:lang w:eastAsia="it-IT"/>
              </w:rPr>
            </w:pPr>
            <w:r w:rsidRPr="00A9330B">
              <w:rPr>
                <w:rFonts w:eastAsia="Times New Roman" w:cs="Arial"/>
                <w:color w:val="221F1F"/>
                <w:lang w:eastAsia="it-IT"/>
              </w:rPr>
              <w:t>éc</w:t>
            </w:r>
            <w:r w:rsidRPr="00A9330B">
              <w:rPr>
                <w:rFonts w:eastAsia="Times New Roman" w:cs="Arial"/>
                <w:color w:val="221F1F"/>
                <w:spacing w:val="-1"/>
                <w:lang w:eastAsia="it-IT"/>
              </w:rPr>
              <w:t>a</w:t>
            </w:r>
            <w:r w:rsidRPr="00A9330B">
              <w:rPr>
                <w:rFonts w:eastAsia="Times New Roman" w:cs="Arial"/>
                <w:color w:val="221F1F"/>
                <w:lang w:eastAsia="it-IT"/>
              </w:rPr>
              <w:t>rt type</w:t>
            </w:r>
          </w:p>
        </w:tc>
        <w:tc>
          <w:tcPr>
            <w:tcW w:w="974" w:type="dxa"/>
            <w:vAlign w:val="center"/>
          </w:tcPr>
          <w:p w14:paraId="56161BD8" w14:textId="77777777" w:rsidR="00F8352E" w:rsidRPr="00A9330B" w:rsidRDefault="00F8352E" w:rsidP="00F8352E">
            <w:pPr>
              <w:widowControl w:val="0"/>
              <w:overflowPunct w:val="0"/>
              <w:autoSpaceDE w:val="0"/>
              <w:autoSpaceDN w:val="0"/>
              <w:adjustRightInd w:val="0"/>
              <w:spacing w:before="8" w:line="360" w:lineRule="auto"/>
              <w:ind w:left="70"/>
              <w:jc w:val="both"/>
              <w:textAlignment w:val="baseline"/>
              <w:rPr>
                <w:rFonts w:eastAsia="Times New Roman" w:cs="Arial"/>
                <w:color w:val="auto"/>
                <w:lang w:eastAsia="it-IT"/>
              </w:rPr>
            </w:pPr>
            <w:r w:rsidRPr="00A9330B">
              <w:rPr>
                <w:rFonts w:eastAsia="Times New Roman" w:cs="Arial"/>
                <w:color w:val="221F1F"/>
                <w:lang w:eastAsia="it-IT"/>
              </w:rPr>
              <w:t>171</w:t>
            </w:r>
          </w:p>
        </w:tc>
      </w:tr>
      <w:tr w:rsidR="00F8352E" w:rsidRPr="00A9330B" w14:paraId="3313AD3B" w14:textId="77777777" w:rsidTr="0025132A">
        <w:trPr>
          <w:trHeight w:hRule="exact" w:val="290"/>
          <w:jc w:val="center"/>
        </w:trPr>
        <w:tc>
          <w:tcPr>
            <w:tcW w:w="3162" w:type="dxa"/>
            <w:vAlign w:val="center"/>
          </w:tcPr>
          <w:p w14:paraId="404B25EC" w14:textId="1294FDF1" w:rsidR="00F8352E" w:rsidRPr="00A9330B" w:rsidRDefault="00F8352E" w:rsidP="00F8352E">
            <w:pPr>
              <w:widowControl w:val="0"/>
              <w:overflowPunct w:val="0"/>
              <w:autoSpaceDE w:val="0"/>
              <w:autoSpaceDN w:val="0"/>
              <w:adjustRightInd w:val="0"/>
              <w:spacing w:before="9" w:line="360" w:lineRule="auto"/>
              <w:ind w:left="70"/>
              <w:jc w:val="both"/>
              <w:textAlignment w:val="baseline"/>
              <w:rPr>
                <w:rFonts w:eastAsia="Times New Roman" w:cs="Arial"/>
                <w:color w:val="auto"/>
                <w:lang w:eastAsia="it-IT"/>
              </w:rPr>
            </w:pPr>
            <w:r w:rsidRPr="00A9330B">
              <w:rPr>
                <w:rFonts w:eastAsia="Times New Roman" w:cs="Arial"/>
                <w:color w:val="221F1F"/>
                <w:lang w:eastAsia="it-IT"/>
              </w:rPr>
              <w:t>coeffic</w:t>
            </w:r>
            <w:r w:rsidRPr="00A9330B">
              <w:rPr>
                <w:rFonts w:eastAsia="Times New Roman" w:cs="Arial"/>
                <w:color w:val="221F1F"/>
                <w:spacing w:val="-1"/>
                <w:lang w:eastAsia="it-IT"/>
              </w:rPr>
              <w:t>i</w:t>
            </w:r>
            <w:r w:rsidRPr="00A9330B">
              <w:rPr>
                <w:rFonts w:eastAsia="Times New Roman" w:cs="Arial"/>
                <w:color w:val="221F1F"/>
                <w:lang w:eastAsia="it-IT"/>
              </w:rPr>
              <w:t>ent de</w:t>
            </w:r>
            <w:r w:rsidR="00B970B0" w:rsidRPr="00A9330B">
              <w:rPr>
                <w:rFonts w:eastAsia="Times New Roman" w:cs="Arial"/>
                <w:color w:val="221F1F"/>
                <w:lang w:eastAsia="it-IT"/>
              </w:rPr>
              <w:t xml:space="preserve"> </w:t>
            </w:r>
            <w:r w:rsidRPr="00A9330B">
              <w:rPr>
                <w:rFonts w:eastAsia="Times New Roman" w:cs="Arial"/>
                <w:color w:val="221F1F"/>
                <w:lang w:eastAsia="it-IT"/>
              </w:rPr>
              <w:t>variation</w:t>
            </w:r>
          </w:p>
        </w:tc>
        <w:tc>
          <w:tcPr>
            <w:tcW w:w="974" w:type="dxa"/>
            <w:vAlign w:val="center"/>
          </w:tcPr>
          <w:p w14:paraId="1DFAA188" w14:textId="77777777" w:rsidR="00F8352E" w:rsidRPr="00A9330B" w:rsidRDefault="00F8352E" w:rsidP="00F8352E">
            <w:pPr>
              <w:widowControl w:val="0"/>
              <w:overflowPunct w:val="0"/>
              <w:autoSpaceDE w:val="0"/>
              <w:autoSpaceDN w:val="0"/>
              <w:adjustRightInd w:val="0"/>
              <w:spacing w:before="9" w:line="360" w:lineRule="auto"/>
              <w:ind w:left="70"/>
              <w:jc w:val="both"/>
              <w:textAlignment w:val="baseline"/>
              <w:rPr>
                <w:rFonts w:eastAsia="Times New Roman" w:cs="Arial"/>
                <w:color w:val="auto"/>
                <w:lang w:eastAsia="it-IT"/>
              </w:rPr>
            </w:pPr>
            <w:r w:rsidRPr="00A9330B">
              <w:rPr>
                <w:rFonts w:eastAsia="Times New Roman" w:cs="Arial"/>
                <w:color w:val="221F1F"/>
                <w:lang w:eastAsia="it-IT"/>
              </w:rPr>
              <w:t>0,14</w:t>
            </w:r>
          </w:p>
        </w:tc>
      </w:tr>
      <w:tr w:rsidR="00F8352E" w:rsidRPr="00A9330B" w14:paraId="289BFF07" w14:textId="77777777" w:rsidTr="0025132A">
        <w:trPr>
          <w:trHeight w:hRule="exact" w:val="290"/>
          <w:jc w:val="center"/>
        </w:trPr>
        <w:tc>
          <w:tcPr>
            <w:tcW w:w="3162" w:type="dxa"/>
            <w:vAlign w:val="center"/>
          </w:tcPr>
          <w:p w14:paraId="14E98D93" w14:textId="77777777" w:rsidR="00F8352E" w:rsidRPr="00A9330B" w:rsidRDefault="00F8352E" w:rsidP="00F8352E">
            <w:pPr>
              <w:widowControl w:val="0"/>
              <w:overflowPunct w:val="0"/>
              <w:autoSpaceDE w:val="0"/>
              <w:autoSpaceDN w:val="0"/>
              <w:adjustRightInd w:val="0"/>
              <w:spacing w:before="8" w:line="360" w:lineRule="auto"/>
              <w:ind w:left="70"/>
              <w:jc w:val="both"/>
              <w:textAlignment w:val="baseline"/>
              <w:rPr>
                <w:rFonts w:eastAsia="Times New Roman" w:cs="Arial"/>
                <w:color w:val="auto"/>
                <w:lang w:eastAsia="it-IT"/>
              </w:rPr>
            </w:pPr>
            <w:r w:rsidRPr="00A9330B">
              <w:rPr>
                <w:rFonts w:eastAsia="Times New Roman" w:cs="Arial"/>
                <w:color w:val="221F1F"/>
                <w:lang w:eastAsia="it-IT"/>
              </w:rPr>
              <w:t>coeffic</w:t>
            </w:r>
            <w:r w:rsidRPr="00A9330B">
              <w:rPr>
                <w:rFonts w:eastAsia="Times New Roman" w:cs="Arial"/>
                <w:color w:val="221F1F"/>
                <w:spacing w:val="-1"/>
                <w:lang w:eastAsia="it-IT"/>
              </w:rPr>
              <w:t>i</w:t>
            </w:r>
            <w:r w:rsidRPr="00A9330B">
              <w:rPr>
                <w:rFonts w:eastAsia="Times New Roman" w:cs="Arial"/>
                <w:color w:val="221F1F"/>
                <w:lang w:eastAsia="it-IT"/>
              </w:rPr>
              <w:t xml:space="preserve">ent de variabilité </w:t>
            </w:r>
            <w:r w:rsidRPr="00A9330B">
              <w:rPr>
                <w:rFonts w:eastAsia="Times New Roman" w:cs="Arial"/>
                <w:color w:val="221F1F"/>
                <w:spacing w:val="-1"/>
                <w:lang w:eastAsia="it-IT"/>
              </w:rPr>
              <w:t>m</w:t>
            </w:r>
            <w:r w:rsidRPr="00A9330B">
              <w:rPr>
                <w:rFonts w:eastAsia="Times New Roman" w:cs="Arial"/>
                <w:color w:val="221F1F"/>
                <w:lang w:eastAsia="it-IT"/>
              </w:rPr>
              <w:t>ax/min</w:t>
            </w:r>
          </w:p>
        </w:tc>
        <w:tc>
          <w:tcPr>
            <w:tcW w:w="974" w:type="dxa"/>
            <w:vAlign w:val="center"/>
          </w:tcPr>
          <w:p w14:paraId="5EE8EB69" w14:textId="77777777" w:rsidR="00F8352E" w:rsidRPr="00A9330B" w:rsidRDefault="00F8352E" w:rsidP="00F8352E">
            <w:pPr>
              <w:widowControl w:val="0"/>
              <w:overflowPunct w:val="0"/>
              <w:autoSpaceDE w:val="0"/>
              <w:autoSpaceDN w:val="0"/>
              <w:adjustRightInd w:val="0"/>
              <w:spacing w:before="8" w:line="360" w:lineRule="auto"/>
              <w:ind w:left="70"/>
              <w:jc w:val="both"/>
              <w:textAlignment w:val="baseline"/>
              <w:rPr>
                <w:rFonts w:eastAsia="Times New Roman" w:cs="Arial"/>
                <w:color w:val="auto"/>
                <w:lang w:eastAsia="it-IT"/>
              </w:rPr>
            </w:pPr>
            <w:r w:rsidRPr="00A9330B">
              <w:rPr>
                <w:rFonts w:eastAsia="Times New Roman" w:cs="Arial"/>
                <w:color w:val="221F1F"/>
                <w:lang w:eastAsia="it-IT"/>
              </w:rPr>
              <w:t>1,8</w:t>
            </w:r>
          </w:p>
        </w:tc>
      </w:tr>
      <w:tr w:rsidR="00F8352E" w:rsidRPr="00A9330B" w14:paraId="6E43DFB1" w14:textId="77777777" w:rsidTr="0025132A">
        <w:trPr>
          <w:trHeight w:hRule="exact" w:val="273"/>
          <w:jc w:val="center"/>
        </w:trPr>
        <w:tc>
          <w:tcPr>
            <w:tcW w:w="3162" w:type="dxa"/>
            <w:vAlign w:val="center"/>
          </w:tcPr>
          <w:p w14:paraId="039367E5" w14:textId="5FB6E81A" w:rsidR="00F8352E" w:rsidRPr="00A9330B" w:rsidRDefault="00F8352E" w:rsidP="00F8352E">
            <w:pPr>
              <w:widowControl w:val="0"/>
              <w:overflowPunct w:val="0"/>
              <w:autoSpaceDE w:val="0"/>
              <w:autoSpaceDN w:val="0"/>
              <w:adjustRightInd w:val="0"/>
              <w:spacing w:before="9" w:line="360" w:lineRule="auto"/>
              <w:ind w:left="70"/>
              <w:jc w:val="both"/>
              <w:textAlignment w:val="baseline"/>
              <w:rPr>
                <w:rFonts w:eastAsia="Times New Roman" w:cs="Arial"/>
                <w:color w:val="auto"/>
                <w:lang w:eastAsia="it-IT"/>
              </w:rPr>
            </w:pPr>
            <w:r w:rsidRPr="00A9330B">
              <w:rPr>
                <w:rFonts w:eastAsia="Times New Roman" w:cs="Arial"/>
                <w:color w:val="221F1F"/>
                <w:lang w:eastAsia="it-IT"/>
              </w:rPr>
              <w:t>coeffic</w:t>
            </w:r>
            <w:r w:rsidRPr="00A9330B">
              <w:rPr>
                <w:rFonts w:eastAsia="Times New Roman" w:cs="Arial"/>
                <w:color w:val="221F1F"/>
                <w:spacing w:val="-1"/>
                <w:lang w:eastAsia="it-IT"/>
              </w:rPr>
              <w:t>i</w:t>
            </w:r>
            <w:r w:rsidRPr="00A9330B">
              <w:rPr>
                <w:rFonts w:eastAsia="Times New Roman" w:cs="Arial"/>
                <w:color w:val="221F1F"/>
                <w:lang w:eastAsia="it-IT"/>
              </w:rPr>
              <w:t>ent de</w:t>
            </w:r>
            <w:r w:rsidR="00B970B0" w:rsidRPr="00A9330B">
              <w:rPr>
                <w:rFonts w:eastAsia="Times New Roman" w:cs="Arial"/>
                <w:color w:val="221F1F"/>
                <w:lang w:eastAsia="it-IT"/>
              </w:rPr>
              <w:t xml:space="preserve"> </w:t>
            </w:r>
            <w:r w:rsidRPr="00A9330B">
              <w:rPr>
                <w:rFonts w:eastAsia="Times New Roman" w:cs="Arial"/>
                <w:color w:val="221F1F"/>
                <w:lang w:eastAsia="it-IT"/>
              </w:rPr>
              <w:t>disp</w:t>
            </w:r>
            <w:r w:rsidRPr="00A9330B">
              <w:rPr>
                <w:rFonts w:eastAsia="Times New Roman" w:cs="Arial"/>
                <w:color w:val="221F1F"/>
                <w:spacing w:val="-1"/>
                <w:lang w:eastAsia="it-IT"/>
              </w:rPr>
              <w:t>e</w:t>
            </w:r>
            <w:r w:rsidRPr="00A9330B">
              <w:rPr>
                <w:rFonts w:eastAsia="Times New Roman" w:cs="Arial"/>
                <w:color w:val="221F1F"/>
                <w:lang w:eastAsia="it-IT"/>
              </w:rPr>
              <w:t>rs</w:t>
            </w:r>
            <w:r w:rsidRPr="00A9330B">
              <w:rPr>
                <w:rFonts w:eastAsia="Times New Roman" w:cs="Arial"/>
                <w:color w:val="221F1F"/>
                <w:spacing w:val="-1"/>
                <w:lang w:eastAsia="it-IT"/>
              </w:rPr>
              <w:t>i</w:t>
            </w:r>
            <w:r w:rsidRPr="00A9330B">
              <w:rPr>
                <w:rFonts w:eastAsia="Times New Roman" w:cs="Arial"/>
                <w:color w:val="221F1F"/>
                <w:lang w:eastAsia="it-IT"/>
              </w:rPr>
              <w:t xml:space="preserve">on </w:t>
            </w:r>
            <w:r w:rsidRPr="00A9330B">
              <w:rPr>
                <w:rFonts w:eastAsia="Times New Roman" w:cs="Arial"/>
                <w:color w:val="221F1F"/>
                <w:spacing w:val="-1"/>
                <w:lang w:eastAsia="it-IT"/>
              </w:rPr>
              <w:t>m</w:t>
            </w:r>
            <w:r w:rsidRPr="00A9330B">
              <w:rPr>
                <w:rFonts w:eastAsia="Times New Roman" w:cs="Arial"/>
                <w:color w:val="221F1F"/>
                <w:lang w:eastAsia="it-IT"/>
              </w:rPr>
              <w:t>oy/med</w:t>
            </w:r>
          </w:p>
        </w:tc>
        <w:tc>
          <w:tcPr>
            <w:tcW w:w="974" w:type="dxa"/>
            <w:vAlign w:val="center"/>
          </w:tcPr>
          <w:p w14:paraId="49056015" w14:textId="77777777" w:rsidR="00F8352E" w:rsidRPr="00A9330B" w:rsidRDefault="00F8352E" w:rsidP="00F8352E">
            <w:pPr>
              <w:widowControl w:val="0"/>
              <w:overflowPunct w:val="0"/>
              <w:autoSpaceDE w:val="0"/>
              <w:autoSpaceDN w:val="0"/>
              <w:adjustRightInd w:val="0"/>
              <w:spacing w:before="9" w:line="360" w:lineRule="auto"/>
              <w:ind w:left="70"/>
              <w:jc w:val="both"/>
              <w:textAlignment w:val="baseline"/>
              <w:rPr>
                <w:rFonts w:eastAsia="Times New Roman" w:cs="Arial"/>
                <w:color w:val="auto"/>
                <w:lang w:eastAsia="it-IT"/>
              </w:rPr>
            </w:pPr>
            <w:r w:rsidRPr="00A9330B">
              <w:rPr>
                <w:rFonts w:eastAsia="Times New Roman" w:cs="Arial"/>
                <w:color w:val="221F1F"/>
                <w:lang w:eastAsia="it-IT"/>
              </w:rPr>
              <w:t>1,03</w:t>
            </w:r>
          </w:p>
        </w:tc>
      </w:tr>
    </w:tbl>
    <w:p w14:paraId="0CEB172C" w14:textId="77777777" w:rsidR="0025132A" w:rsidRPr="00A9330B" w:rsidRDefault="0025132A" w:rsidP="00BA18AC">
      <w:pPr>
        <w:overflowPunct w:val="0"/>
        <w:autoSpaceDE w:val="0"/>
        <w:autoSpaceDN w:val="0"/>
        <w:adjustRightInd w:val="0"/>
        <w:spacing w:after="120" w:line="240" w:lineRule="auto"/>
        <w:jc w:val="center"/>
        <w:textAlignment w:val="baseline"/>
        <w:rPr>
          <w:rFonts w:eastAsia="Times New Roman" w:cs="Arial"/>
          <w:b/>
          <w:bCs/>
          <w:color w:val="auto"/>
          <w:sz w:val="20"/>
          <w:szCs w:val="20"/>
          <w:lang w:eastAsia="it-IT"/>
        </w:rPr>
      </w:pPr>
      <w:r w:rsidRPr="00A9330B">
        <w:rPr>
          <w:rFonts w:eastAsia="Times New Roman" w:cs="Arial"/>
          <w:b/>
          <w:bCs/>
          <w:color w:val="auto"/>
          <w:sz w:val="20"/>
          <w:szCs w:val="20"/>
          <w:lang w:eastAsia="it-IT"/>
        </w:rPr>
        <w:t>Source : Rapport Hydrologique et hydraulique, CECO-BTP 2020</w:t>
      </w:r>
    </w:p>
    <w:p w14:paraId="3CE96FE1" w14:textId="71C1DB1C" w:rsidR="00F8352E" w:rsidRPr="00A9330B" w:rsidRDefault="00F8352E" w:rsidP="00F8352E">
      <w:pPr>
        <w:widowControl w:val="0"/>
        <w:overflowPunct w:val="0"/>
        <w:autoSpaceDE w:val="0"/>
        <w:autoSpaceDN w:val="0"/>
        <w:adjustRightInd w:val="0"/>
        <w:spacing w:line="240" w:lineRule="auto"/>
        <w:ind w:right="187"/>
        <w:jc w:val="both"/>
        <w:textAlignment w:val="baseline"/>
        <w:rPr>
          <w:rFonts w:eastAsia="Times New Roman" w:cs="Arial"/>
          <w:color w:val="221F1F"/>
          <w:lang w:eastAsia="it-IT"/>
        </w:rPr>
      </w:pPr>
      <w:r w:rsidRPr="00A9330B">
        <w:t>L’ajustement statistique de la loi de Gumbel aux distributions expérimentales des pluies annuelles observées est le plus satisfaisant. A l’issu</w:t>
      </w:r>
      <w:r w:rsidR="00B970B0" w:rsidRPr="00A9330B">
        <w:t>e</w:t>
      </w:r>
      <w:r w:rsidRPr="00A9330B">
        <w:t xml:space="preserve"> de l’analyse des valeurs statistiques pour la détermination des pluies annuelles, les valeurs centrales (moyenne et médiane) obtenues sont très peu différentes. A Natitingou, la pluviométrie annuelle moyenne est de 1183 mm.  Le coefficient de variation CV faible de 0.14 dénote de l’influence prédominante</w:t>
      </w:r>
      <w:r w:rsidRPr="00A9330B">
        <w:rPr>
          <w:rFonts w:eastAsia="Times New Roman" w:cs="Arial"/>
          <w:color w:val="221F1F"/>
          <w:lang w:eastAsia="it-IT"/>
        </w:rPr>
        <w:t xml:space="preserve"> de la régularité du régime soudano-guinéen.</w:t>
      </w:r>
    </w:p>
    <w:p w14:paraId="5DE6296C" w14:textId="77777777" w:rsidR="00F8352E" w:rsidRPr="00A9330B" w:rsidRDefault="00F8352E" w:rsidP="00BD2F72">
      <w:pPr>
        <w:pStyle w:val="Paragraphedeliste"/>
        <w:numPr>
          <w:ilvl w:val="0"/>
          <w:numId w:val="95"/>
        </w:numPr>
        <w:spacing w:after="120" w:line="240" w:lineRule="auto"/>
        <w:ind w:left="714" w:hanging="357"/>
        <w:jc w:val="both"/>
        <w:rPr>
          <w:rFonts w:cs="Arial"/>
          <w:b/>
          <w:i/>
          <w:color w:val="000000"/>
          <w:lang w:val="fr-FR" w:eastAsia="fr-FR"/>
        </w:rPr>
      </w:pPr>
      <w:r w:rsidRPr="00A9330B">
        <w:rPr>
          <w:rFonts w:cs="Arial"/>
          <w:b/>
          <w:i/>
          <w:color w:val="auto"/>
          <w:lang w:val="fr-FR" w:eastAsia="fr-FR"/>
        </w:rPr>
        <w:t>Pluviométrie mensuelle</w:t>
      </w:r>
    </w:p>
    <w:p w14:paraId="61CFF7AA" w14:textId="77777777" w:rsidR="00F8352E" w:rsidRPr="00A9330B" w:rsidRDefault="00F8352E" w:rsidP="00F8352E">
      <w:pPr>
        <w:widowControl w:val="0"/>
        <w:overflowPunct w:val="0"/>
        <w:autoSpaceDE w:val="0"/>
        <w:autoSpaceDN w:val="0"/>
        <w:adjustRightInd w:val="0"/>
        <w:spacing w:before="38" w:line="360" w:lineRule="auto"/>
        <w:jc w:val="both"/>
        <w:textAlignment w:val="baseline"/>
        <w:rPr>
          <w:rFonts w:eastAsia="Times New Roman" w:cs="Arial"/>
          <w:color w:val="221F1F"/>
          <w:lang w:eastAsia="it-IT"/>
        </w:rPr>
      </w:pPr>
      <w:r w:rsidRPr="00A9330B">
        <w:rPr>
          <w:rFonts w:eastAsia="Times New Roman" w:cs="Arial"/>
          <w:color w:val="221F1F"/>
          <w:lang w:eastAsia="it-IT"/>
        </w:rPr>
        <w:t>Ci-</w:t>
      </w:r>
      <w:r w:rsidRPr="00A9330B">
        <w:rPr>
          <w:rFonts w:eastAsia="Times New Roman" w:cs="Arial"/>
          <w:color w:val="221F1F"/>
          <w:spacing w:val="-1"/>
          <w:lang w:eastAsia="it-IT"/>
        </w:rPr>
        <w:t>d</w:t>
      </w:r>
      <w:r w:rsidRPr="00A9330B">
        <w:rPr>
          <w:rFonts w:eastAsia="Times New Roman" w:cs="Arial"/>
          <w:color w:val="221F1F"/>
          <w:lang w:eastAsia="it-IT"/>
        </w:rPr>
        <w:t>ess</w:t>
      </w:r>
      <w:r w:rsidRPr="00A9330B">
        <w:rPr>
          <w:rFonts w:eastAsia="Times New Roman" w:cs="Arial"/>
          <w:color w:val="221F1F"/>
          <w:spacing w:val="-1"/>
          <w:lang w:eastAsia="it-IT"/>
        </w:rPr>
        <w:t>o</w:t>
      </w:r>
      <w:r w:rsidRPr="00A9330B">
        <w:rPr>
          <w:rFonts w:eastAsia="Times New Roman" w:cs="Arial"/>
          <w:color w:val="221F1F"/>
          <w:lang w:eastAsia="it-IT"/>
        </w:rPr>
        <w:t>us l</w:t>
      </w:r>
      <w:r w:rsidRPr="00A9330B">
        <w:rPr>
          <w:rFonts w:eastAsia="Times New Roman" w:cs="Arial"/>
          <w:color w:val="221F1F"/>
          <w:spacing w:val="-1"/>
          <w:lang w:eastAsia="it-IT"/>
        </w:rPr>
        <w:t>e</w:t>
      </w:r>
      <w:r w:rsidRPr="00A9330B">
        <w:rPr>
          <w:rFonts w:eastAsia="Times New Roman" w:cs="Arial"/>
          <w:color w:val="221F1F"/>
          <w:lang w:eastAsia="it-IT"/>
        </w:rPr>
        <w:t>s profi</w:t>
      </w:r>
      <w:r w:rsidRPr="00A9330B">
        <w:rPr>
          <w:rFonts w:eastAsia="Times New Roman" w:cs="Arial"/>
          <w:color w:val="221F1F"/>
          <w:spacing w:val="-1"/>
          <w:lang w:eastAsia="it-IT"/>
        </w:rPr>
        <w:t>l</w:t>
      </w:r>
      <w:r w:rsidRPr="00A9330B">
        <w:rPr>
          <w:rFonts w:eastAsia="Times New Roman" w:cs="Arial"/>
          <w:color w:val="221F1F"/>
          <w:lang w:eastAsia="it-IT"/>
        </w:rPr>
        <w:t>s pluv</w:t>
      </w:r>
      <w:r w:rsidRPr="00A9330B">
        <w:rPr>
          <w:rFonts w:eastAsia="Times New Roman" w:cs="Arial"/>
          <w:color w:val="221F1F"/>
          <w:spacing w:val="-1"/>
          <w:lang w:eastAsia="it-IT"/>
        </w:rPr>
        <w:t>i</w:t>
      </w:r>
      <w:r w:rsidRPr="00A9330B">
        <w:rPr>
          <w:rFonts w:eastAsia="Times New Roman" w:cs="Arial"/>
          <w:color w:val="221F1F"/>
          <w:lang w:eastAsia="it-IT"/>
        </w:rPr>
        <w:t>ométri</w:t>
      </w:r>
      <w:r w:rsidRPr="00A9330B">
        <w:rPr>
          <w:rFonts w:eastAsia="Times New Roman" w:cs="Arial"/>
          <w:color w:val="221F1F"/>
          <w:spacing w:val="-1"/>
          <w:lang w:eastAsia="it-IT"/>
        </w:rPr>
        <w:t>q</w:t>
      </w:r>
      <w:r w:rsidRPr="00A9330B">
        <w:rPr>
          <w:rFonts w:eastAsia="Times New Roman" w:cs="Arial"/>
          <w:color w:val="221F1F"/>
          <w:lang w:eastAsia="it-IT"/>
        </w:rPr>
        <w:t>u</w:t>
      </w:r>
      <w:r w:rsidRPr="00A9330B">
        <w:rPr>
          <w:rFonts w:eastAsia="Times New Roman" w:cs="Arial"/>
          <w:color w:val="221F1F"/>
          <w:spacing w:val="-1"/>
          <w:lang w:eastAsia="it-IT"/>
        </w:rPr>
        <w:t>e</w:t>
      </w:r>
      <w:r w:rsidRPr="00A9330B">
        <w:rPr>
          <w:rFonts w:eastAsia="Times New Roman" w:cs="Arial"/>
          <w:color w:val="221F1F"/>
          <w:lang w:eastAsia="it-IT"/>
        </w:rPr>
        <w:t>s mensue</w:t>
      </w:r>
      <w:r w:rsidRPr="00A9330B">
        <w:rPr>
          <w:rFonts w:eastAsia="Times New Roman" w:cs="Arial"/>
          <w:color w:val="221F1F"/>
          <w:spacing w:val="-1"/>
          <w:lang w:eastAsia="it-IT"/>
        </w:rPr>
        <w:t>l</w:t>
      </w:r>
      <w:r w:rsidRPr="00A9330B">
        <w:rPr>
          <w:rFonts w:eastAsia="Times New Roman" w:cs="Arial"/>
          <w:color w:val="221F1F"/>
          <w:lang w:eastAsia="it-IT"/>
        </w:rPr>
        <w:t xml:space="preserve">s moyens </w:t>
      </w:r>
      <w:r w:rsidRPr="00A9330B">
        <w:rPr>
          <w:rFonts w:eastAsia="Times New Roman" w:cs="Arial"/>
          <w:color w:val="221F1F"/>
          <w:spacing w:val="-1"/>
          <w:lang w:eastAsia="it-IT"/>
        </w:rPr>
        <w:t>e</w:t>
      </w:r>
      <w:r w:rsidRPr="00A9330B">
        <w:rPr>
          <w:rFonts w:eastAsia="Times New Roman" w:cs="Arial"/>
          <w:color w:val="221F1F"/>
          <w:lang w:eastAsia="it-IT"/>
        </w:rPr>
        <w:t>n % du total ann</w:t>
      </w:r>
      <w:r w:rsidRPr="00A9330B">
        <w:rPr>
          <w:rFonts w:eastAsia="Times New Roman" w:cs="Arial"/>
          <w:color w:val="221F1F"/>
          <w:spacing w:val="-1"/>
          <w:lang w:eastAsia="it-IT"/>
        </w:rPr>
        <w:t>u</w:t>
      </w:r>
      <w:r w:rsidRPr="00A9330B">
        <w:rPr>
          <w:rFonts w:eastAsia="Times New Roman" w:cs="Arial"/>
          <w:color w:val="221F1F"/>
          <w:lang w:eastAsia="it-IT"/>
        </w:rPr>
        <w:t>el :</w:t>
      </w:r>
    </w:p>
    <w:p w14:paraId="025D1006" w14:textId="1561D151" w:rsidR="00F8352E" w:rsidRPr="00A9330B" w:rsidRDefault="001275D6" w:rsidP="00A9330B">
      <w:pPr>
        <w:pStyle w:val="Lgende"/>
        <w:rPr>
          <w:bCs/>
          <w:szCs w:val="18"/>
          <w:lang w:eastAsia="it-IT"/>
        </w:rPr>
      </w:pPr>
      <w:bookmarkStart w:id="702" w:name="_Toc504498859"/>
      <w:bookmarkStart w:id="703" w:name="_Toc52873741"/>
      <w:r w:rsidRPr="00A9330B">
        <w:t xml:space="preserve">Tableau </w:t>
      </w:r>
      <w:r w:rsidR="00D24D0D" w:rsidRPr="00A9330B">
        <w:fldChar w:fldCharType="begin"/>
      </w:r>
      <w:r w:rsidR="00D24D0D" w:rsidRPr="00A9330B">
        <w:instrText xml:space="preserve"> SEQ Tableau \* ARABIC </w:instrText>
      </w:r>
      <w:r w:rsidR="00D24D0D" w:rsidRPr="00A9330B">
        <w:fldChar w:fldCharType="separate"/>
      </w:r>
      <w:r w:rsidR="00417D31" w:rsidRPr="00A9330B">
        <w:rPr>
          <w:noProof/>
        </w:rPr>
        <w:t>17</w:t>
      </w:r>
      <w:r w:rsidR="00D24D0D" w:rsidRPr="00A9330B">
        <w:rPr>
          <w:noProof/>
        </w:rPr>
        <w:fldChar w:fldCharType="end"/>
      </w:r>
      <w:r w:rsidRPr="00A9330B">
        <w:t xml:space="preserve"> </w:t>
      </w:r>
      <w:r w:rsidR="00F8352E" w:rsidRPr="00A9330B">
        <w:rPr>
          <w:bCs/>
          <w:szCs w:val="18"/>
          <w:lang w:eastAsia="it-IT"/>
        </w:rPr>
        <w:t>: Pluviométrie mensuelle</w:t>
      </w:r>
      <w:bookmarkEnd w:id="702"/>
      <w:bookmarkEnd w:id="703"/>
    </w:p>
    <w:tbl>
      <w:tblPr>
        <w:tblW w:w="5000" w:type="pct"/>
        <w:tblCellMar>
          <w:left w:w="70" w:type="dxa"/>
          <w:right w:w="70" w:type="dxa"/>
        </w:tblCellMar>
        <w:tblLook w:val="04A0" w:firstRow="1" w:lastRow="0" w:firstColumn="1" w:lastColumn="0" w:noHBand="0" w:noVBand="1"/>
      </w:tblPr>
      <w:tblGrid>
        <w:gridCol w:w="1041"/>
        <w:gridCol w:w="563"/>
        <w:gridCol w:w="588"/>
        <w:gridCol w:w="588"/>
        <w:gridCol w:w="712"/>
        <w:gridCol w:w="712"/>
        <w:gridCol w:w="712"/>
        <w:gridCol w:w="712"/>
        <w:gridCol w:w="712"/>
        <w:gridCol w:w="712"/>
        <w:gridCol w:w="713"/>
        <w:gridCol w:w="713"/>
        <w:gridCol w:w="584"/>
      </w:tblGrid>
      <w:tr w:rsidR="00F8352E" w:rsidRPr="00A9330B" w14:paraId="4EBDB5C8" w14:textId="77777777" w:rsidTr="00BA18AC">
        <w:trPr>
          <w:trHeight w:val="300"/>
        </w:trPr>
        <w:tc>
          <w:tcPr>
            <w:tcW w:w="54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3C72CC" w14:textId="77777777" w:rsidR="00F8352E" w:rsidRPr="00A9330B" w:rsidRDefault="00F8352E" w:rsidP="00F8352E">
            <w:pPr>
              <w:spacing w:before="0" w:line="240" w:lineRule="auto"/>
              <w:jc w:val="both"/>
              <w:rPr>
                <w:rFonts w:eastAsia="Times New Roman" w:cs="Arial"/>
                <w:color w:val="auto"/>
                <w:sz w:val="20"/>
                <w:lang w:eastAsia="fr-FR"/>
              </w:rPr>
            </w:pPr>
            <w:r w:rsidRPr="00A9330B">
              <w:rPr>
                <w:rFonts w:eastAsia="Times New Roman" w:cs="Arial"/>
                <w:color w:val="auto"/>
                <w:sz w:val="20"/>
                <w:lang w:eastAsia="fr-FR"/>
              </w:rPr>
              <w:t>Natitingou</w:t>
            </w:r>
          </w:p>
        </w:tc>
        <w:tc>
          <w:tcPr>
            <w:tcW w:w="293" w:type="pct"/>
            <w:tcBorders>
              <w:top w:val="single" w:sz="4" w:space="0" w:color="auto"/>
              <w:left w:val="nil"/>
              <w:bottom w:val="single" w:sz="4" w:space="0" w:color="auto"/>
              <w:right w:val="single" w:sz="4" w:space="0" w:color="auto"/>
            </w:tcBorders>
            <w:shd w:val="clear" w:color="auto" w:fill="auto"/>
            <w:noWrap/>
            <w:vAlign w:val="center"/>
            <w:hideMark/>
          </w:tcPr>
          <w:p w14:paraId="750CD3ED" w14:textId="77777777" w:rsidR="00F8352E" w:rsidRPr="00A9330B" w:rsidRDefault="00F8352E" w:rsidP="00F8352E">
            <w:pPr>
              <w:spacing w:before="0" w:line="240" w:lineRule="auto"/>
              <w:jc w:val="both"/>
              <w:rPr>
                <w:rFonts w:eastAsia="Times New Roman" w:cs="Arial"/>
                <w:color w:val="auto"/>
                <w:sz w:val="20"/>
                <w:lang w:eastAsia="fr-FR"/>
              </w:rPr>
            </w:pPr>
            <w:r w:rsidRPr="00A9330B">
              <w:rPr>
                <w:rFonts w:eastAsia="Times New Roman" w:cs="Arial"/>
                <w:color w:val="auto"/>
                <w:sz w:val="20"/>
                <w:lang w:eastAsia="fr-FR"/>
              </w:rPr>
              <w:t>Janv</w:t>
            </w:r>
          </w:p>
        </w:tc>
        <w:tc>
          <w:tcPr>
            <w:tcW w:w="329" w:type="pct"/>
            <w:tcBorders>
              <w:top w:val="single" w:sz="4" w:space="0" w:color="auto"/>
              <w:left w:val="nil"/>
              <w:bottom w:val="single" w:sz="4" w:space="0" w:color="auto"/>
              <w:right w:val="single" w:sz="4" w:space="0" w:color="auto"/>
            </w:tcBorders>
            <w:shd w:val="clear" w:color="auto" w:fill="auto"/>
            <w:noWrap/>
            <w:vAlign w:val="center"/>
            <w:hideMark/>
          </w:tcPr>
          <w:p w14:paraId="082B1773" w14:textId="77777777" w:rsidR="00F8352E" w:rsidRPr="00A9330B" w:rsidRDefault="00F8352E" w:rsidP="00F8352E">
            <w:pPr>
              <w:spacing w:before="0" w:line="240" w:lineRule="auto"/>
              <w:jc w:val="both"/>
              <w:rPr>
                <w:rFonts w:eastAsia="Times New Roman" w:cs="Arial"/>
                <w:color w:val="auto"/>
                <w:sz w:val="20"/>
                <w:lang w:eastAsia="fr-FR"/>
              </w:rPr>
            </w:pPr>
            <w:r w:rsidRPr="00A9330B">
              <w:rPr>
                <w:rFonts w:eastAsia="Times New Roman" w:cs="Arial"/>
                <w:color w:val="auto"/>
                <w:sz w:val="20"/>
                <w:lang w:eastAsia="fr-FR"/>
              </w:rPr>
              <w:t>Fév</w:t>
            </w:r>
          </w:p>
        </w:tc>
        <w:tc>
          <w:tcPr>
            <w:tcW w:w="329" w:type="pct"/>
            <w:tcBorders>
              <w:top w:val="single" w:sz="4" w:space="0" w:color="auto"/>
              <w:left w:val="nil"/>
              <w:bottom w:val="single" w:sz="4" w:space="0" w:color="auto"/>
              <w:right w:val="single" w:sz="4" w:space="0" w:color="auto"/>
            </w:tcBorders>
            <w:shd w:val="clear" w:color="auto" w:fill="auto"/>
            <w:noWrap/>
            <w:vAlign w:val="center"/>
            <w:hideMark/>
          </w:tcPr>
          <w:p w14:paraId="782F3D10" w14:textId="77777777" w:rsidR="00F8352E" w:rsidRPr="00A9330B" w:rsidRDefault="00F8352E" w:rsidP="00F8352E">
            <w:pPr>
              <w:spacing w:before="0" w:line="240" w:lineRule="auto"/>
              <w:jc w:val="both"/>
              <w:rPr>
                <w:rFonts w:eastAsia="Times New Roman" w:cs="Arial"/>
                <w:color w:val="auto"/>
                <w:sz w:val="20"/>
                <w:lang w:eastAsia="fr-FR"/>
              </w:rPr>
            </w:pPr>
            <w:r w:rsidRPr="00A9330B">
              <w:rPr>
                <w:rFonts w:eastAsia="Times New Roman" w:cs="Arial"/>
                <w:color w:val="auto"/>
                <w:sz w:val="20"/>
                <w:lang w:eastAsia="fr-FR"/>
              </w:rPr>
              <w:t>Mars</w:t>
            </w:r>
          </w:p>
        </w:tc>
        <w:tc>
          <w:tcPr>
            <w:tcW w:w="397" w:type="pct"/>
            <w:tcBorders>
              <w:top w:val="single" w:sz="4" w:space="0" w:color="auto"/>
              <w:left w:val="nil"/>
              <w:bottom w:val="single" w:sz="4" w:space="0" w:color="auto"/>
              <w:right w:val="single" w:sz="4" w:space="0" w:color="auto"/>
            </w:tcBorders>
            <w:shd w:val="clear" w:color="auto" w:fill="auto"/>
            <w:noWrap/>
            <w:vAlign w:val="center"/>
            <w:hideMark/>
          </w:tcPr>
          <w:p w14:paraId="4746880C" w14:textId="77777777" w:rsidR="00F8352E" w:rsidRPr="00A9330B" w:rsidRDefault="00F8352E" w:rsidP="00F8352E">
            <w:pPr>
              <w:spacing w:before="0" w:line="240" w:lineRule="auto"/>
              <w:jc w:val="both"/>
              <w:rPr>
                <w:rFonts w:eastAsia="Times New Roman" w:cs="Arial"/>
                <w:color w:val="auto"/>
                <w:sz w:val="20"/>
                <w:lang w:eastAsia="fr-FR"/>
              </w:rPr>
            </w:pPr>
            <w:r w:rsidRPr="00A9330B">
              <w:rPr>
                <w:rFonts w:eastAsia="Times New Roman" w:cs="Arial"/>
                <w:color w:val="auto"/>
                <w:sz w:val="20"/>
                <w:lang w:eastAsia="fr-FR"/>
              </w:rPr>
              <w:t>Avril</w:t>
            </w:r>
          </w:p>
        </w:tc>
        <w:tc>
          <w:tcPr>
            <w:tcW w:w="397" w:type="pct"/>
            <w:tcBorders>
              <w:top w:val="single" w:sz="4" w:space="0" w:color="auto"/>
              <w:left w:val="nil"/>
              <w:bottom w:val="single" w:sz="4" w:space="0" w:color="auto"/>
              <w:right w:val="single" w:sz="4" w:space="0" w:color="auto"/>
            </w:tcBorders>
            <w:shd w:val="clear" w:color="auto" w:fill="auto"/>
            <w:noWrap/>
            <w:vAlign w:val="center"/>
            <w:hideMark/>
          </w:tcPr>
          <w:p w14:paraId="77DE0A4D" w14:textId="77777777" w:rsidR="00F8352E" w:rsidRPr="00A9330B" w:rsidRDefault="00F8352E" w:rsidP="00F8352E">
            <w:pPr>
              <w:spacing w:before="0" w:line="240" w:lineRule="auto"/>
              <w:jc w:val="both"/>
              <w:rPr>
                <w:rFonts w:eastAsia="Times New Roman" w:cs="Arial"/>
                <w:color w:val="auto"/>
                <w:sz w:val="20"/>
                <w:lang w:eastAsia="fr-FR"/>
              </w:rPr>
            </w:pPr>
            <w:r w:rsidRPr="00A9330B">
              <w:rPr>
                <w:rFonts w:eastAsia="Times New Roman" w:cs="Arial"/>
                <w:color w:val="auto"/>
                <w:sz w:val="20"/>
                <w:lang w:eastAsia="fr-FR"/>
              </w:rPr>
              <w:t>Mai</w:t>
            </w:r>
          </w:p>
        </w:tc>
        <w:tc>
          <w:tcPr>
            <w:tcW w:w="397" w:type="pct"/>
            <w:tcBorders>
              <w:top w:val="single" w:sz="4" w:space="0" w:color="auto"/>
              <w:left w:val="nil"/>
              <w:bottom w:val="single" w:sz="4" w:space="0" w:color="auto"/>
              <w:right w:val="single" w:sz="4" w:space="0" w:color="auto"/>
            </w:tcBorders>
            <w:shd w:val="clear" w:color="auto" w:fill="auto"/>
            <w:noWrap/>
            <w:vAlign w:val="center"/>
            <w:hideMark/>
          </w:tcPr>
          <w:p w14:paraId="1C3E12ED" w14:textId="77777777" w:rsidR="00F8352E" w:rsidRPr="00A9330B" w:rsidRDefault="00F8352E" w:rsidP="00F8352E">
            <w:pPr>
              <w:spacing w:before="0" w:line="240" w:lineRule="auto"/>
              <w:jc w:val="both"/>
              <w:rPr>
                <w:rFonts w:eastAsia="Times New Roman" w:cs="Arial"/>
                <w:color w:val="auto"/>
                <w:sz w:val="20"/>
                <w:lang w:eastAsia="fr-FR"/>
              </w:rPr>
            </w:pPr>
            <w:r w:rsidRPr="00A9330B">
              <w:rPr>
                <w:rFonts w:eastAsia="Times New Roman" w:cs="Arial"/>
                <w:color w:val="auto"/>
                <w:sz w:val="20"/>
                <w:lang w:eastAsia="fr-FR"/>
              </w:rPr>
              <w:t>Juin</w:t>
            </w:r>
          </w:p>
        </w:tc>
        <w:tc>
          <w:tcPr>
            <w:tcW w:w="397" w:type="pct"/>
            <w:tcBorders>
              <w:top w:val="single" w:sz="4" w:space="0" w:color="auto"/>
              <w:left w:val="nil"/>
              <w:bottom w:val="single" w:sz="4" w:space="0" w:color="auto"/>
              <w:right w:val="single" w:sz="4" w:space="0" w:color="auto"/>
            </w:tcBorders>
            <w:shd w:val="clear" w:color="auto" w:fill="auto"/>
            <w:noWrap/>
            <w:vAlign w:val="center"/>
            <w:hideMark/>
          </w:tcPr>
          <w:p w14:paraId="1468D7C1" w14:textId="77777777" w:rsidR="00F8352E" w:rsidRPr="00A9330B" w:rsidRDefault="00F8352E" w:rsidP="00F8352E">
            <w:pPr>
              <w:spacing w:before="0" w:line="240" w:lineRule="auto"/>
              <w:jc w:val="both"/>
              <w:rPr>
                <w:rFonts w:eastAsia="Times New Roman" w:cs="Arial"/>
                <w:color w:val="auto"/>
                <w:sz w:val="20"/>
                <w:lang w:eastAsia="fr-FR"/>
              </w:rPr>
            </w:pPr>
            <w:r w:rsidRPr="00A9330B">
              <w:rPr>
                <w:rFonts w:eastAsia="Times New Roman" w:cs="Arial"/>
                <w:color w:val="auto"/>
                <w:sz w:val="20"/>
                <w:lang w:eastAsia="fr-FR"/>
              </w:rPr>
              <w:t>Juil</w:t>
            </w:r>
          </w:p>
        </w:tc>
        <w:tc>
          <w:tcPr>
            <w:tcW w:w="397" w:type="pct"/>
            <w:tcBorders>
              <w:top w:val="single" w:sz="4" w:space="0" w:color="auto"/>
              <w:left w:val="nil"/>
              <w:bottom w:val="single" w:sz="4" w:space="0" w:color="auto"/>
              <w:right w:val="single" w:sz="4" w:space="0" w:color="auto"/>
            </w:tcBorders>
            <w:shd w:val="clear" w:color="auto" w:fill="auto"/>
            <w:noWrap/>
            <w:vAlign w:val="center"/>
            <w:hideMark/>
          </w:tcPr>
          <w:p w14:paraId="1529CFCC" w14:textId="77777777" w:rsidR="00F8352E" w:rsidRPr="00A9330B" w:rsidRDefault="00F8352E" w:rsidP="00F8352E">
            <w:pPr>
              <w:spacing w:before="0" w:line="240" w:lineRule="auto"/>
              <w:jc w:val="both"/>
              <w:rPr>
                <w:rFonts w:eastAsia="Times New Roman" w:cs="Arial"/>
                <w:color w:val="auto"/>
                <w:sz w:val="20"/>
                <w:lang w:eastAsia="fr-FR"/>
              </w:rPr>
            </w:pPr>
            <w:r w:rsidRPr="00A9330B">
              <w:rPr>
                <w:rFonts w:eastAsia="Times New Roman" w:cs="Arial"/>
                <w:color w:val="auto"/>
                <w:sz w:val="20"/>
                <w:lang w:eastAsia="fr-FR"/>
              </w:rPr>
              <w:t>Aout</w:t>
            </w:r>
          </w:p>
        </w:tc>
        <w:tc>
          <w:tcPr>
            <w:tcW w:w="397" w:type="pct"/>
            <w:tcBorders>
              <w:top w:val="single" w:sz="4" w:space="0" w:color="auto"/>
              <w:left w:val="nil"/>
              <w:bottom w:val="single" w:sz="4" w:space="0" w:color="auto"/>
              <w:right w:val="single" w:sz="4" w:space="0" w:color="auto"/>
            </w:tcBorders>
            <w:shd w:val="clear" w:color="auto" w:fill="auto"/>
            <w:noWrap/>
            <w:vAlign w:val="center"/>
            <w:hideMark/>
          </w:tcPr>
          <w:p w14:paraId="00157FEF" w14:textId="77777777" w:rsidR="00F8352E" w:rsidRPr="00A9330B" w:rsidRDefault="00F8352E" w:rsidP="00F8352E">
            <w:pPr>
              <w:spacing w:before="0" w:line="240" w:lineRule="auto"/>
              <w:jc w:val="both"/>
              <w:rPr>
                <w:rFonts w:eastAsia="Times New Roman" w:cs="Arial"/>
                <w:color w:val="auto"/>
                <w:sz w:val="20"/>
                <w:lang w:eastAsia="fr-FR"/>
              </w:rPr>
            </w:pPr>
            <w:r w:rsidRPr="00A9330B">
              <w:rPr>
                <w:rFonts w:eastAsia="Times New Roman" w:cs="Arial"/>
                <w:color w:val="auto"/>
                <w:sz w:val="20"/>
                <w:lang w:eastAsia="fr-FR"/>
              </w:rPr>
              <w:t>Sep</w:t>
            </w:r>
          </w:p>
        </w:tc>
        <w:tc>
          <w:tcPr>
            <w:tcW w:w="397" w:type="pct"/>
            <w:tcBorders>
              <w:top w:val="single" w:sz="4" w:space="0" w:color="auto"/>
              <w:left w:val="nil"/>
              <w:bottom w:val="single" w:sz="4" w:space="0" w:color="auto"/>
              <w:right w:val="single" w:sz="4" w:space="0" w:color="auto"/>
            </w:tcBorders>
            <w:shd w:val="clear" w:color="auto" w:fill="auto"/>
            <w:noWrap/>
            <w:vAlign w:val="center"/>
            <w:hideMark/>
          </w:tcPr>
          <w:p w14:paraId="53D9977D" w14:textId="77777777" w:rsidR="00F8352E" w:rsidRPr="00A9330B" w:rsidRDefault="00F8352E" w:rsidP="00F8352E">
            <w:pPr>
              <w:spacing w:before="0" w:line="240" w:lineRule="auto"/>
              <w:jc w:val="both"/>
              <w:rPr>
                <w:rFonts w:eastAsia="Times New Roman" w:cs="Arial"/>
                <w:color w:val="auto"/>
                <w:sz w:val="20"/>
                <w:lang w:eastAsia="fr-FR"/>
              </w:rPr>
            </w:pPr>
            <w:r w:rsidRPr="00A9330B">
              <w:rPr>
                <w:rFonts w:eastAsia="Times New Roman" w:cs="Arial"/>
                <w:color w:val="auto"/>
                <w:sz w:val="20"/>
                <w:lang w:eastAsia="fr-FR"/>
              </w:rPr>
              <w:t>Oct</w:t>
            </w:r>
          </w:p>
        </w:tc>
        <w:tc>
          <w:tcPr>
            <w:tcW w:w="397" w:type="pct"/>
            <w:tcBorders>
              <w:top w:val="single" w:sz="4" w:space="0" w:color="auto"/>
              <w:left w:val="nil"/>
              <w:bottom w:val="single" w:sz="4" w:space="0" w:color="auto"/>
              <w:right w:val="single" w:sz="4" w:space="0" w:color="auto"/>
            </w:tcBorders>
            <w:shd w:val="clear" w:color="auto" w:fill="auto"/>
            <w:noWrap/>
            <w:vAlign w:val="center"/>
            <w:hideMark/>
          </w:tcPr>
          <w:p w14:paraId="5D9581EF" w14:textId="77777777" w:rsidR="00F8352E" w:rsidRPr="00A9330B" w:rsidRDefault="00F8352E" w:rsidP="00F8352E">
            <w:pPr>
              <w:spacing w:before="0" w:line="240" w:lineRule="auto"/>
              <w:jc w:val="both"/>
              <w:rPr>
                <w:rFonts w:eastAsia="Times New Roman" w:cs="Arial"/>
                <w:color w:val="auto"/>
                <w:sz w:val="20"/>
                <w:lang w:eastAsia="fr-FR"/>
              </w:rPr>
            </w:pPr>
            <w:r w:rsidRPr="00A9330B">
              <w:rPr>
                <w:rFonts w:eastAsia="Times New Roman" w:cs="Arial"/>
                <w:color w:val="auto"/>
                <w:sz w:val="20"/>
                <w:lang w:eastAsia="fr-FR"/>
              </w:rPr>
              <w:t>Nov</w:t>
            </w:r>
          </w:p>
        </w:tc>
        <w:tc>
          <w:tcPr>
            <w:tcW w:w="329" w:type="pct"/>
            <w:tcBorders>
              <w:top w:val="single" w:sz="4" w:space="0" w:color="auto"/>
              <w:left w:val="nil"/>
              <w:bottom w:val="single" w:sz="4" w:space="0" w:color="auto"/>
              <w:right w:val="single" w:sz="4" w:space="0" w:color="auto"/>
            </w:tcBorders>
            <w:shd w:val="clear" w:color="auto" w:fill="auto"/>
            <w:noWrap/>
            <w:vAlign w:val="center"/>
            <w:hideMark/>
          </w:tcPr>
          <w:p w14:paraId="4BA6880A" w14:textId="77777777" w:rsidR="00F8352E" w:rsidRPr="00A9330B" w:rsidRDefault="00F8352E" w:rsidP="00F8352E">
            <w:pPr>
              <w:spacing w:before="0" w:line="240" w:lineRule="auto"/>
              <w:jc w:val="both"/>
              <w:rPr>
                <w:rFonts w:eastAsia="Times New Roman" w:cs="Arial"/>
                <w:color w:val="auto"/>
                <w:sz w:val="20"/>
                <w:lang w:eastAsia="fr-FR"/>
              </w:rPr>
            </w:pPr>
            <w:r w:rsidRPr="00A9330B">
              <w:rPr>
                <w:rFonts w:eastAsia="Times New Roman" w:cs="Arial"/>
                <w:color w:val="auto"/>
                <w:sz w:val="20"/>
                <w:lang w:eastAsia="fr-FR"/>
              </w:rPr>
              <w:t>Dec</w:t>
            </w:r>
          </w:p>
        </w:tc>
      </w:tr>
      <w:tr w:rsidR="00F8352E" w:rsidRPr="00A9330B" w14:paraId="236B1DCD" w14:textId="77777777" w:rsidTr="00BA18AC">
        <w:trPr>
          <w:trHeight w:val="300"/>
        </w:trPr>
        <w:tc>
          <w:tcPr>
            <w:tcW w:w="547" w:type="pct"/>
            <w:tcBorders>
              <w:top w:val="nil"/>
              <w:left w:val="single" w:sz="4" w:space="0" w:color="auto"/>
              <w:bottom w:val="single" w:sz="4" w:space="0" w:color="auto"/>
              <w:right w:val="single" w:sz="4" w:space="0" w:color="auto"/>
            </w:tcBorders>
            <w:shd w:val="clear" w:color="auto" w:fill="auto"/>
            <w:noWrap/>
            <w:vAlign w:val="center"/>
            <w:hideMark/>
          </w:tcPr>
          <w:p w14:paraId="5EF3A4CD" w14:textId="77777777" w:rsidR="00F8352E" w:rsidRPr="00A9330B" w:rsidRDefault="00F8352E" w:rsidP="00F8352E">
            <w:pPr>
              <w:spacing w:before="0" w:line="240" w:lineRule="auto"/>
              <w:jc w:val="both"/>
              <w:rPr>
                <w:rFonts w:eastAsia="Times New Roman" w:cs="Arial"/>
                <w:color w:val="auto"/>
                <w:sz w:val="20"/>
                <w:lang w:eastAsia="fr-FR"/>
              </w:rPr>
            </w:pPr>
            <w:r w:rsidRPr="00A9330B">
              <w:rPr>
                <w:rFonts w:eastAsia="Times New Roman" w:cs="Arial"/>
                <w:color w:val="auto"/>
                <w:sz w:val="20"/>
                <w:lang w:eastAsia="fr-FR"/>
              </w:rPr>
              <w:t>%</w:t>
            </w:r>
          </w:p>
        </w:tc>
        <w:tc>
          <w:tcPr>
            <w:tcW w:w="293" w:type="pct"/>
            <w:tcBorders>
              <w:top w:val="nil"/>
              <w:left w:val="nil"/>
              <w:bottom w:val="single" w:sz="4" w:space="0" w:color="auto"/>
              <w:right w:val="single" w:sz="4" w:space="0" w:color="auto"/>
            </w:tcBorders>
            <w:shd w:val="clear" w:color="auto" w:fill="auto"/>
            <w:noWrap/>
            <w:vAlign w:val="center"/>
            <w:hideMark/>
          </w:tcPr>
          <w:p w14:paraId="440642EF" w14:textId="77777777" w:rsidR="00F8352E" w:rsidRPr="00A9330B" w:rsidRDefault="00F8352E" w:rsidP="00F8352E">
            <w:pPr>
              <w:spacing w:before="0" w:line="240" w:lineRule="auto"/>
              <w:jc w:val="both"/>
              <w:rPr>
                <w:rFonts w:eastAsia="Times New Roman" w:cs="Arial"/>
                <w:color w:val="auto"/>
                <w:sz w:val="20"/>
                <w:lang w:eastAsia="fr-FR"/>
              </w:rPr>
            </w:pPr>
            <w:r w:rsidRPr="00A9330B">
              <w:rPr>
                <w:rFonts w:eastAsia="Times New Roman" w:cs="Arial"/>
                <w:color w:val="auto"/>
                <w:sz w:val="20"/>
                <w:lang w:eastAsia="fr-FR"/>
              </w:rPr>
              <w:t>0,10</w:t>
            </w:r>
          </w:p>
        </w:tc>
        <w:tc>
          <w:tcPr>
            <w:tcW w:w="329" w:type="pct"/>
            <w:tcBorders>
              <w:top w:val="nil"/>
              <w:left w:val="nil"/>
              <w:bottom w:val="single" w:sz="4" w:space="0" w:color="auto"/>
              <w:right w:val="single" w:sz="4" w:space="0" w:color="auto"/>
            </w:tcBorders>
            <w:shd w:val="clear" w:color="auto" w:fill="auto"/>
            <w:noWrap/>
            <w:vAlign w:val="center"/>
            <w:hideMark/>
          </w:tcPr>
          <w:p w14:paraId="3F42AB55" w14:textId="77777777" w:rsidR="00F8352E" w:rsidRPr="00A9330B" w:rsidRDefault="00F8352E" w:rsidP="00F8352E">
            <w:pPr>
              <w:spacing w:before="0" w:line="240" w:lineRule="auto"/>
              <w:jc w:val="both"/>
              <w:rPr>
                <w:rFonts w:eastAsia="Times New Roman" w:cs="Arial"/>
                <w:color w:val="auto"/>
                <w:sz w:val="20"/>
                <w:lang w:eastAsia="fr-FR"/>
              </w:rPr>
            </w:pPr>
            <w:r w:rsidRPr="00A9330B">
              <w:rPr>
                <w:rFonts w:eastAsia="Times New Roman" w:cs="Arial"/>
                <w:color w:val="auto"/>
                <w:sz w:val="20"/>
                <w:lang w:eastAsia="fr-FR"/>
              </w:rPr>
              <w:t>0,42</w:t>
            </w:r>
          </w:p>
        </w:tc>
        <w:tc>
          <w:tcPr>
            <w:tcW w:w="329" w:type="pct"/>
            <w:tcBorders>
              <w:top w:val="nil"/>
              <w:left w:val="nil"/>
              <w:bottom w:val="single" w:sz="4" w:space="0" w:color="auto"/>
              <w:right w:val="single" w:sz="4" w:space="0" w:color="auto"/>
            </w:tcBorders>
            <w:shd w:val="clear" w:color="auto" w:fill="auto"/>
            <w:noWrap/>
            <w:vAlign w:val="center"/>
            <w:hideMark/>
          </w:tcPr>
          <w:p w14:paraId="7BB3B3EB" w14:textId="77777777" w:rsidR="00F8352E" w:rsidRPr="00A9330B" w:rsidRDefault="00F8352E" w:rsidP="00F8352E">
            <w:pPr>
              <w:spacing w:before="0" w:line="240" w:lineRule="auto"/>
              <w:jc w:val="both"/>
              <w:rPr>
                <w:rFonts w:eastAsia="Times New Roman" w:cs="Arial"/>
                <w:color w:val="auto"/>
                <w:sz w:val="20"/>
                <w:lang w:eastAsia="fr-FR"/>
              </w:rPr>
            </w:pPr>
            <w:r w:rsidRPr="00A9330B">
              <w:rPr>
                <w:rFonts w:eastAsia="Times New Roman" w:cs="Arial"/>
                <w:color w:val="auto"/>
                <w:sz w:val="20"/>
                <w:lang w:eastAsia="fr-FR"/>
              </w:rPr>
              <w:t>1,7</w:t>
            </w:r>
          </w:p>
        </w:tc>
        <w:tc>
          <w:tcPr>
            <w:tcW w:w="397" w:type="pct"/>
            <w:tcBorders>
              <w:top w:val="nil"/>
              <w:left w:val="nil"/>
              <w:bottom w:val="single" w:sz="4" w:space="0" w:color="auto"/>
              <w:right w:val="single" w:sz="4" w:space="0" w:color="auto"/>
            </w:tcBorders>
            <w:shd w:val="clear" w:color="auto" w:fill="auto"/>
            <w:noWrap/>
            <w:vAlign w:val="center"/>
            <w:hideMark/>
          </w:tcPr>
          <w:p w14:paraId="380A289F" w14:textId="77777777" w:rsidR="00F8352E" w:rsidRPr="00A9330B" w:rsidRDefault="00F8352E" w:rsidP="00F8352E">
            <w:pPr>
              <w:spacing w:before="0" w:line="240" w:lineRule="auto"/>
              <w:jc w:val="both"/>
              <w:rPr>
                <w:rFonts w:eastAsia="Times New Roman" w:cs="Arial"/>
                <w:color w:val="auto"/>
                <w:sz w:val="20"/>
                <w:lang w:eastAsia="fr-FR"/>
              </w:rPr>
            </w:pPr>
            <w:r w:rsidRPr="00A9330B">
              <w:rPr>
                <w:rFonts w:eastAsia="Times New Roman" w:cs="Arial"/>
                <w:color w:val="auto"/>
                <w:sz w:val="20"/>
                <w:lang w:eastAsia="fr-FR"/>
              </w:rPr>
              <w:t>6,5</w:t>
            </w:r>
          </w:p>
        </w:tc>
        <w:tc>
          <w:tcPr>
            <w:tcW w:w="397" w:type="pct"/>
            <w:tcBorders>
              <w:top w:val="nil"/>
              <w:left w:val="nil"/>
              <w:bottom w:val="single" w:sz="4" w:space="0" w:color="auto"/>
              <w:right w:val="single" w:sz="4" w:space="0" w:color="auto"/>
            </w:tcBorders>
            <w:shd w:val="clear" w:color="auto" w:fill="auto"/>
            <w:noWrap/>
            <w:vAlign w:val="center"/>
            <w:hideMark/>
          </w:tcPr>
          <w:p w14:paraId="78C5251D" w14:textId="77777777" w:rsidR="00F8352E" w:rsidRPr="00A9330B" w:rsidRDefault="00F8352E" w:rsidP="00F8352E">
            <w:pPr>
              <w:spacing w:before="0" w:line="240" w:lineRule="auto"/>
              <w:jc w:val="both"/>
              <w:rPr>
                <w:rFonts w:eastAsia="Times New Roman" w:cs="Arial"/>
                <w:color w:val="auto"/>
                <w:sz w:val="20"/>
                <w:lang w:eastAsia="fr-FR"/>
              </w:rPr>
            </w:pPr>
            <w:r w:rsidRPr="00A9330B">
              <w:rPr>
                <w:rFonts w:eastAsia="Times New Roman" w:cs="Arial"/>
                <w:color w:val="auto"/>
                <w:sz w:val="20"/>
                <w:lang w:eastAsia="fr-FR"/>
              </w:rPr>
              <w:t>10,0</w:t>
            </w:r>
          </w:p>
        </w:tc>
        <w:tc>
          <w:tcPr>
            <w:tcW w:w="397" w:type="pct"/>
            <w:tcBorders>
              <w:top w:val="nil"/>
              <w:left w:val="nil"/>
              <w:bottom w:val="single" w:sz="4" w:space="0" w:color="auto"/>
              <w:right w:val="single" w:sz="4" w:space="0" w:color="auto"/>
            </w:tcBorders>
            <w:shd w:val="clear" w:color="auto" w:fill="auto"/>
            <w:noWrap/>
            <w:vAlign w:val="center"/>
            <w:hideMark/>
          </w:tcPr>
          <w:p w14:paraId="3E2DC312" w14:textId="77777777" w:rsidR="00F8352E" w:rsidRPr="00A9330B" w:rsidRDefault="00F8352E" w:rsidP="00F8352E">
            <w:pPr>
              <w:spacing w:before="0" w:line="240" w:lineRule="auto"/>
              <w:jc w:val="both"/>
              <w:rPr>
                <w:rFonts w:eastAsia="Times New Roman" w:cs="Arial"/>
                <w:color w:val="auto"/>
                <w:sz w:val="20"/>
                <w:lang w:eastAsia="fr-FR"/>
              </w:rPr>
            </w:pPr>
            <w:r w:rsidRPr="00A9330B">
              <w:rPr>
                <w:rFonts w:eastAsia="Times New Roman" w:cs="Arial"/>
                <w:color w:val="auto"/>
                <w:sz w:val="20"/>
                <w:lang w:eastAsia="fr-FR"/>
              </w:rPr>
              <w:t>12,5</w:t>
            </w:r>
          </w:p>
        </w:tc>
        <w:tc>
          <w:tcPr>
            <w:tcW w:w="397" w:type="pct"/>
            <w:tcBorders>
              <w:top w:val="nil"/>
              <w:left w:val="nil"/>
              <w:bottom w:val="single" w:sz="4" w:space="0" w:color="auto"/>
              <w:right w:val="single" w:sz="4" w:space="0" w:color="auto"/>
            </w:tcBorders>
            <w:shd w:val="clear" w:color="auto" w:fill="auto"/>
            <w:noWrap/>
            <w:vAlign w:val="center"/>
            <w:hideMark/>
          </w:tcPr>
          <w:p w14:paraId="7CA154FD" w14:textId="77777777" w:rsidR="00F8352E" w:rsidRPr="00A9330B" w:rsidRDefault="00F8352E" w:rsidP="00F8352E">
            <w:pPr>
              <w:spacing w:before="0" w:line="240" w:lineRule="auto"/>
              <w:jc w:val="both"/>
              <w:rPr>
                <w:rFonts w:eastAsia="Times New Roman" w:cs="Arial"/>
                <w:color w:val="auto"/>
                <w:sz w:val="20"/>
                <w:lang w:eastAsia="fr-FR"/>
              </w:rPr>
            </w:pPr>
            <w:r w:rsidRPr="00A9330B">
              <w:rPr>
                <w:rFonts w:eastAsia="Times New Roman" w:cs="Arial"/>
                <w:color w:val="auto"/>
                <w:sz w:val="20"/>
                <w:lang w:eastAsia="fr-FR"/>
              </w:rPr>
              <w:t>16,4</w:t>
            </w:r>
          </w:p>
        </w:tc>
        <w:tc>
          <w:tcPr>
            <w:tcW w:w="397" w:type="pct"/>
            <w:tcBorders>
              <w:top w:val="nil"/>
              <w:left w:val="nil"/>
              <w:bottom w:val="single" w:sz="4" w:space="0" w:color="auto"/>
              <w:right w:val="single" w:sz="4" w:space="0" w:color="auto"/>
            </w:tcBorders>
            <w:shd w:val="clear" w:color="auto" w:fill="auto"/>
            <w:noWrap/>
            <w:vAlign w:val="center"/>
            <w:hideMark/>
          </w:tcPr>
          <w:p w14:paraId="54466ABD" w14:textId="77777777" w:rsidR="00F8352E" w:rsidRPr="00A9330B" w:rsidRDefault="00F8352E" w:rsidP="00F8352E">
            <w:pPr>
              <w:spacing w:before="0" w:line="240" w:lineRule="auto"/>
              <w:jc w:val="both"/>
              <w:rPr>
                <w:rFonts w:eastAsia="Times New Roman" w:cs="Arial"/>
                <w:color w:val="auto"/>
                <w:sz w:val="20"/>
                <w:lang w:eastAsia="fr-FR"/>
              </w:rPr>
            </w:pPr>
            <w:r w:rsidRPr="00A9330B">
              <w:rPr>
                <w:rFonts w:eastAsia="Times New Roman" w:cs="Arial"/>
                <w:color w:val="auto"/>
                <w:sz w:val="20"/>
                <w:lang w:eastAsia="fr-FR"/>
              </w:rPr>
              <w:t>22,4</w:t>
            </w:r>
          </w:p>
        </w:tc>
        <w:tc>
          <w:tcPr>
            <w:tcW w:w="397" w:type="pct"/>
            <w:tcBorders>
              <w:top w:val="nil"/>
              <w:left w:val="nil"/>
              <w:bottom w:val="single" w:sz="4" w:space="0" w:color="auto"/>
              <w:right w:val="single" w:sz="4" w:space="0" w:color="auto"/>
            </w:tcBorders>
            <w:shd w:val="clear" w:color="auto" w:fill="auto"/>
            <w:noWrap/>
            <w:vAlign w:val="center"/>
            <w:hideMark/>
          </w:tcPr>
          <w:p w14:paraId="2C79C62E" w14:textId="77777777" w:rsidR="00F8352E" w:rsidRPr="00A9330B" w:rsidRDefault="00F8352E" w:rsidP="00F8352E">
            <w:pPr>
              <w:spacing w:before="0" w:line="240" w:lineRule="auto"/>
              <w:jc w:val="both"/>
              <w:rPr>
                <w:rFonts w:eastAsia="Times New Roman" w:cs="Arial"/>
                <w:color w:val="auto"/>
                <w:sz w:val="20"/>
                <w:lang w:eastAsia="fr-FR"/>
              </w:rPr>
            </w:pPr>
            <w:r w:rsidRPr="00A9330B">
              <w:rPr>
                <w:rFonts w:eastAsia="Times New Roman" w:cs="Arial"/>
                <w:color w:val="auto"/>
                <w:sz w:val="20"/>
                <w:lang w:eastAsia="fr-FR"/>
              </w:rPr>
              <w:t>20,7</w:t>
            </w:r>
          </w:p>
        </w:tc>
        <w:tc>
          <w:tcPr>
            <w:tcW w:w="397" w:type="pct"/>
            <w:tcBorders>
              <w:top w:val="nil"/>
              <w:left w:val="nil"/>
              <w:bottom w:val="single" w:sz="4" w:space="0" w:color="auto"/>
              <w:right w:val="single" w:sz="4" w:space="0" w:color="auto"/>
            </w:tcBorders>
            <w:shd w:val="clear" w:color="auto" w:fill="auto"/>
            <w:noWrap/>
            <w:vAlign w:val="center"/>
            <w:hideMark/>
          </w:tcPr>
          <w:p w14:paraId="56B48D4E" w14:textId="77777777" w:rsidR="00F8352E" w:rsidRPr="00A9330B" w:rsidRDefault="00F8352E" w:rsidP="00F8352E">
            <w:pPr>
              <w:spacing w:before="0" w:line="240" w:lineRule="auto"/>
              <w:jc w:val="both"/>
              <w:rPr>
                <w:rFonts w:eastAsia="Times New Roman" w:cs="Arial"/>
                <w:color w:val="auto"/>
                <w:sz w:val="20"/>
                <w:lang w:eastAsia="fr-FR"/>
              </w:rPr>
            </w:pPr>
            <w:r w:rsidRPr="00A9330B">
              <w:rPr>
                <w:rFonts w:eastAsia="Times New Roman" w:cs="Arial"/>
                <w:color w:val="auto"/>
                <w:sz w:val="20"/>
                <w:lang w:eastAsia="fr-FR"/>
              </w:rPr>
              <w:t>8,3</w:t>
            </w:r>
          </w:p>
        </w:tc>
        <w:tc>
          <w:tcPr>
            <w:tcW w:w="397" w:type="pct"/>
            <w:tcBorders>
              <w:top w:val="nil"/>
              <w:left w:val="nil"/>
              <w:bottom w:val="single" w:sz="4" w:space="0" w:color="auto"/>
              <w:right w:val="single" w:sz="4" w:space="0" w:color="auto"/>
            </w:tcBorders>
            <w:shd w:val="clear" w:color="auto" w:fill="auto"/>
            <w:noWrap/>
            <w:vAlign w:val="center"/>
            <w:hideMark/>
          </w:tcPr>
          <w:p w14:paraId="679DC4D2" w14:textId="77777777" w:rsidR="00F8352E" w:rsidRPr="00A9330B" w:rsidRDefault="00F8352E" w:rsidP="00F8352E">
            <w:pPr>
              <w:spacing w:before="0" w:line="240" w:lineRule="auto"/>
              <w:jc w:val="both"/>
              <w:rPr>
                <w:rFonts w:eastAsia="Times New Roman" w:cs="Arial"/>
                <w:color w:val="auto"/>
                <w:sz w:val="20"/>
                <w:lang w:eastAsia="fr-FR"/>
              </w:rPr>
            </w:pPr>
            <w:r w:rsidRPr="00A9330B">
              <w:rPr>
                <w:rFonts w:eastAsia="Times New Roman" w:cs="Arial"/>
                <w:color w:val="auto"/>
                <w:sz w:val="20"/>
                <w:lang w:eastAsia="fr-FR"/>
              </w:rPr>
              <w:t>0,9</w:t>
            </w:r>
          </w:p>
        </w:tc>
        <w:tc>
          <w:tcPr>
            <w:tcW w:w="329" w:type="pct"/>
            <w:tcBorders>
              <w:top w:val="nil"/>
              <w:left w:val="nil"/>
              <w:bottom w:val="single" w:sz="4" w:space="0" w:color="auto"/>
              <w:right w:val="single" w:sz="4" w:space="0" w:color="auto"/>
            </w:tcBorders>
            <w:shd w:val="clear" w:color="auto" w:fill="auto"/>
            <w:noWrap/>
            <w:vAlign w:val="center"/>
            <w:hideMark/>
          </w:tcPr>
          <w:p w14:paraId="2A94A42D" w14:textId="77777777" w:rsidR="00F8352E" w:rsidRPr="00A9330B" w:rsidRDefault="00F8352E" w:rsidP="00F8352E">
            <w:pPr>
              <w:spacing w:before="0" w:line="240" w:lineRule="auto"/>
              <w:jc w:val="both"/>
              <w:rPr>
                <w:rFonts w:eastAsia="Times New Roman" w:cs="Arial"/>
                <w:color w:val="auto"/>
                <w:sz w:val="20"/>
                <w:lang w:eastAsia="fr-FR"/>
              </w:rPr>
            </w:pPr>
            <w:r w:rsidRPr="00A9330B">
              <w:rPr>
                <w:rFonts w:eastAsia="Times New Roman" w:cs="Arial"/>
                <w:color w:val="auto"/>
                <w:sz w:val="20"/>
                <w:lang w:eastAsia="fr-FR"/>
              </w:rPr>
              <w:t>0,2</w:t>
            </w:r>
          </w:p>
        </w:tc>
      </w:tr>
    </w:tbl>
    <w:p w14:paraId="31E49BF9" w14:textId="77777777" w:rsidR="0025132A" w:rsidRPr="00A9330B" w:rsidRDefault="0025132A" w:rsidP="00BA18AC">
      <w:pPr>
        <w:overflowPunct w:val="0"/>
        <w:autoSpaceDE w:val="0"/>
        <w:autoSpaceDN w:val="0"/>
        <w:adjustRightInd w:val="0"/>
        <w:spacing w:before="0" w:after="200" w:line="240" w:lineRule="auto"/>
        <w:jc w:val="center"/>
        <w:textAlignment w:val="baseline"/>
        <w:rPr>
          <w:rFonts w:eastAsia="Times New Roman" w:cs="Arial"/>
          <w:b/>
          <w:bCs/>
          <w:color w:val="auto"/>
          <w:sz w:val="18"/>
          <w:szCs w:val="18"/>
          <w:lang w:eastAsia="it-IT"/>
        </w:rPr>
      </w:pPr>
      <w:r w:rsidRPr="00A9330B">
        <w:rPr>
          <w:rFonts w:eastAsia="Times New Roman" w:cs="Arial"/>
          <w:b/>
          <w:bCs/>
          <w:color w:val="auto"/>
          <w:sz w:val="18"/>
          <w:szCs w:val="18"/>
          <w:lang w:eastAsia="it-IT"/>
        </w:rPr>
        <w:t>Source : Rapport Hydrologique et hydraulique, CECO-BTP 2020</w:t>
      </w:r>
    </w:p>
    <w:p w14:paraId="779A438D" w14:textId="77777777" w:rsidR="00F8352E" w:rsidRPr="00A9330B" w:rsidRDefault="00F8352E" w:rsidP="00F8352E">
      <w:pPr>
        <w:widowControl w:val="0"/>
        <w:tabs>
          <w:tab w:val="left" w:pos="1620"/>
          <w:tab w:val="left" w:pos="2960"/>
          <w:tab w:val="left" w:pos="3700"/>
        </w:tabs>
        <w:overflowPunct w:val="0"/>
        <w:autoSpaceDE w:val="0"/>
        <w:autoSpaceDN w:val="0"/>
        <w:adjustRightInd w:val="0"/>
        <w:spacing w:before="6" w:line="240" w:lineRule="auto"/>
        <w:jc w:val="both"/>
        <w:textAlignment w:val="baseline"/>
        <w:rPr>
          <w:rFonts w:eastAsia="Times New Roman" w:cs="Arial"/>
          <w:color w:val="000000"/>
          <w:lang w:eastAsia="fr-FR"/>
        </w:rPr>
      </w:pPr>
      <w:r w:rsidRPr="00A9330B">
        <w:rPr>
          <w:rFonts w:eastAsia="Times New Roman" w:cs="Arial"/>
          <w:color w:val="221F1F"/>
          <w:lang w:eastAsia="fr-FR"/>
        </w:rPr>
        <w:t>Les pr</w:t>
      </w:r>
      <w:r w:rsidRPr="00A9330B">
        <w:rPr>
          <w:rFonts w:eastAsia="Times New Roman" w:cs="Arial"/>
          <w:color w:val="221F1F"/>
          <w:spacing w:val="-1"/>
          <w:lang w:eastAsia="fr-FR"/>
        </w:rPr>
        <w:t>e</w:t>
      </w:r>
      <w:r w:rsidRPr="00A9330B">
        <w:rPr>
          <w:rFonts w:eastAsia="Times New Roman" w:cs="Arial"/>
          <w:color w:val="221F1F"/>
          <w:lang w:eastAsia="fr-FR"/>
        </w:rPr>
        <w:t>mièr</w:t>
      </w:r>
      <w:r w:rsidRPr="00A9330B">
        <w:rPr>
          <w:rFonts w:eastAsia="Times New Roman" w:cs="Arial"/>
          <w:color w:val="221F1F"/>
          <w:spacing w:val="-1"/>
          <w:lang w:eastAsia="fr-FR"/>
        </w:rPr>
        <w:t>e</w:t>
      </w:r>
      <w:r w:rsidRPr="00A9330B">
        <w:rPr>
          <w:rFonts w:eastAsia="Times New Roman" w:cs="Arial"/>
          <w:color w:val="221F1F"/>
          <w:lang w:eastAsia="fr-FR"/>
        </w:rPr>
        <w:t>s plu</w:t>
      </w:r>
      <w:r w:rsidRPr="00A9330B">
        <w:rPr>
          <w:rFonts w:eastAsia="Times New Roman" w:cs="Arial"/>
          <w:color w:val="221F1F"/>
          <w:spacing w:val="-1"/>
          <w:lang w:eastAsia="fr-FR"/>
        </w:rPr>
        <w:t>i</w:t>
      </w:r>
      <w:r w:rsidRPr="00A9330B">
        <w:rPr>
          <w:rFonts w:eastAsia="Times New Roman" w:cs="Arial"/>
          <w:color w:val="221F1F"/>
          <w:lang w:eastAsia="fr-FR"/>
        </w:rPr>
        <w:t>es se f</w:t>
      </w:r>
      <w:r w:rsidRPr="00A9330B">
        <w:rPr>
          <w:rFonts w:eastAsia="Times New Roman" w:cs="Arial"/>
          <w:color w:val="221F1F"/>
          <w:spacing w:val="-1"/>
          <w:lang w:eastAsia="fr-FR"/>
        </w:rPr>
        <w:t>o</w:t>
      </w:r>
      <w:r w:rsidRPr="00A9330B">
        <w:rPr>
          <w:rFonts w:eastAsia="Times New Roman" w:cs="Arial"/>
          <w:color w:val="221F1F"/>
          <w:lang w:eastAsia="fr-FR"/>
        </w:rPr>
        <w:t>nt excepti</w:t>
      </w:r>
      <w:r w:rsidRPr="00A9330B">
        <w:rPr>
          <w:rFonts w:eastAsia="Times New Roman" w:cs="Arial"/>
          <w:color w:val="221F1F"/>
          <w:spacing w:val="-1"/>
          <w:lang w:eastAsia="fr-FR"/>
        </w:rPr>
        <w:t>o</w:t>
      </w:r>
      <w:r w:rsidRPr="00A9330B">
        <w:rPr>
          <w:rFonts w:eastAsia="Times New Roman" w:cs="Arial"/>
          <w:color w:val="221F1F"/>
          <w:lang w:eastAsia="fr-FR"/>
        </w:rPr>
        <w:t>n</w:t>
      </w:r>
      <w:r w:rsidRPr="00A9330B">
        <w:rPr>
          <w:rFonts w:eastAsia="Times New Roman" w:cs="Arial"/>
          <w:color w:val="221F1F"/>
          <w:spacing w:val="-1"/>
          <w:lang w:eastAsia="fr-FR"/>
        </w:rPr>
        <w:t>n</w:t>
      </w:r>
      <w:r w:rsidRPr="00A9330B">
        <w:rPr>
          <w:rFonts w:eastAsia="Times New Roman" w:cs="Arial"/>
          <w:color w:val="221F1F"/>
          <w:lang w:eastAsia="fr-FR"/>
        </w:rPr>
        <w:t xml:space="preserve">ellement </w:t>
      </w:r>
      <w:r w:rsidRPr="00A9330B">
        <w:rPr>
          <w:rFonts w:eastAsia="Times New Roman" w:cs="Arial"/>
          <w:color w:val="221F1F"/>
          <w:spacing w:val="-1"/>
          <w:lang w:eastAsia="fr-FR"/>
        </w:rPr>
        <w:t>e</w:t>
      </w:r>
      <w:r w:rsidRPr="00A9330B">
        <w:rPr>
          <w:rFonts w:eastAsia="Times New Roman" w:cs="Arial"/>
          <w:color w:val="221F1F"/>
          <w:lang w:eastAsia="fr-FR"/>
        </w:rPr>
        <w:t xml:space="preserve">n </w:t>
      </w:r>
      <w:r w:rsidRPr="00A9330B">
        <w:rPr>
          <w:rFonts w:eastAsia="Times New Roman" w:cs="Arial"/>
          <w:color w:val="221F1F"/>
          <w:spacing w:val="-2"/>
          <w:lang w:eastAsia="fr-FR"/>
        </w:rPr>
        <w:t>mars</w:t>
      </w:r>
      <w:r w:rsidRPr="00A9330B">
        <w:rPr>
          <w:rFonts w:eastAsia="Times New Roman" w:cs="Arial"/>
          <w:color w:val="221F1F"/>
          <w:lang w:eastAsia="fr-FR"/>
        </w:rPr>
        <w:t>. Pl</w:t>
      </w:r>
      <w:r w:rsidRPr="00A9330B">
        <w:rPr>
          <w:rFonts w:eastAsia="Times New Roman" w:cs="Arial"/>
          <w:color w:val="221F1F"/>
          <w:spacing w:val="-1"/>
          <w:lang w:eastAsia="fr-FR"/>
        </w:rPr>
        <w:t>u</w:t>
      </w:r>
      <w:r w:rsidRPr="00A9330B">
        <w:rPr>
          <w:rFonts w:eastAsia="Times New Roman" w:cs="Arial"/>
          <w:color w:val="221F1F"/>
          <w:lang w:eastAsia="fr-FR"/>
        </w:rPr>
        <w:t xml:space="preserve">s </w:t>
      </w:r>
      <w:r w:rsidRPr="00A9330B">
        <w:rPr>
          <w:rFonts w:eastAsia="Times New Roman" w:cs="Arial"/>
          <w:color w:val="221F1F"/>
          <w:spacing w:val="-1"/>
          <w:lang w:eastAsia="fr-FR"/>
        </w:rPr>
        <w:t>g</w:t>
      </w:r>
      <w:r w:rsidRPr="00A9330B">
        <w:rPr>
          <w:rFonts w:eastAsia="Times New Roman" w:cs="Arial"/>
          <w:color w:val="221F1F"/>
          <w:lang w:eastAsia="fr-FR"/>
        </w:rPr>
        <w:t>énérale</w:t>
      </w:r>
      <w:r w:rsidRPr="00A9330B">
        <w:rPr>
          <w:rFonts w:eastAsia="Times New Roman" w:cs="Arial"/>
          <w:color w:val="221F1F"/>
          <w:spacing w:val="-1"/>
          <w:lang w:eastAsia="fr-FR"/>
        </w:rPr>
        <w:t>m</w:t>
      </w:r>
      <w:r w:rsidRPr="00A9330B">
        <w:rPr>
          <w:rFonts w:eastAsia="Times New Roman" w:cs="Arial"/>
          <w:color w:val="221F1F"/>
          <w:lang w:eastAsia="fr-FR"/>
        </w:rPr>
        <w:t xml:space="preserve">ent en Avril. </w:t>
      </w:r>
      <w:r w:rsidRPr="00A9330B">
        <w:rPr>
          <w:rFonts w:eastAsia="Times New Roman" w:cs="Arial"/>
          <w:color w:val="221F1F"/>
          <w:spacing w:val="-1"/>
          <w:lang w:eastAsia="fr-FR"/>
        </w:rPr>
        <w:t>L</w:t>
      </w:r>
      <w:r w:rsidRPr="00A9330B">
        <w:rPr>
          <w:rFonts w:eastAsia="Times New Roman" w:cs="Arial"/>
          <w:color w:val="221F1F"/>
          <w:lang w:eastAsia="fr-FR"/>
        </w:rPr>
        <w:t>e maximum de l’a</w:t>
      </w:r>
      <w:r w:rsidRPr="00A9330B">
        <w:rPr>
          <w:rFonts w:eastAsia="Times New Roman" w:cs="Arial"/>
          <w:color w:val="221F1F"/>
          <w:spacing w:val="-1"/>
          <w:lang w:eastAsia="fr-FR"/>
        </w:rPr>
        <w:t>p</w:t>
      </w:r>
      <w:r w:rsidRPr="00A9330B">
        <w:rPr>
          <w:rFonts w:eastAsia="Times New Roman" w:cs="Arial"/>
          <w:color w:val="221F1F"/>
          <w:lang w:eastAsia="fr-FR"/>
        </w:rPr>
        <w:t xml:space="preserve">port se situe en juillet. </w:t>
      </w:r>
      <w:r w:rsidRPr="00A9330B">
        <w:rPr>
          <w:rFonts w:eastAsia="Times New Roman" w:cs="Arial"/>
          <w:color w:val="221F1F"/>
          <w:lang w:eastAsia="it-IT"/>
        </w:rPr>
        <w:t xml:space="preserve">Août </w:t>
      </w:r>
      <w:r w:rsidRPr="00A9330B">
        <w:rPr>
          <w:rFonts w:eastAsia="Times New Roman" w:cs="Arial"/>
          <w:color w:val="221F1F"/>
          <w:lang w:eastAsia="fr-FR"/>
        </w:rPr>
        <w:t>mar</w:t>
      </w:r>
      <w:r w:rsidRPr="00A9330B">
        <w:rPr>
          <w:rFonts w:eastAsia="Times New Roman" w:cs="Arial"/>
          <w:color w:val="221F1F"/>
          <w:spacing w:val="-1"/>
          <w:lang w:eastAsia="fr-FR"/>
        </w:rPr>
        <w:t>q</w:t>
      </w:r>
      <w:r w:rsidRPr="00A9330B">
        <w:rPr>
          <w:rFonts w:eastAsia="Times New Roman" w:cs="Arial"/>
          <w:color w:val="221F1F"/>
          <w:lang w:eastAsia="fr-FR"/>
        </w:rPr>
        <w:t xml:space="preserve">ue un </w:t>
      </w:r>
      <w:r w:rsidRPr="00A9330B">
        <w:rPr>
          <w:rFonts w:eastAsia="Times New Roman" w:cs="Arial"/>
          <w:color w:val="221F1F"/>
          <w:spacing w:val="-1"/>
          <w:lang w:eastAsia="fr-FR"/>
        </w:rPr>
        <w:t>m</w:t>
      </w:r>
      <w:r w:rsidRPr="00A9330B">
        <w:rPr>
          <w:rFonts w:eastAsia="Times New Roman" w:cs="Arial"/>
          <w:color w:val="221F1F"/>
          <w:lang w:eastAsia="fr-FR"/>
        </w:rPr>
        <w:t>ois singuli</w:t>
      </w:r>
      <w:r w:rsidRPr="00A9330B">
        <w:rPr>
          <w:rFonts w:eastAsia="Times New Roman" w:cs="Arial"/>
          <w:color w:val="221F1F"/>
          <w:spacing w:val="-1"/>
          <w:lang w:eastAsia="fr-FR"/>
        </w:rPr>
        <w:t>è</w:t>
      </w:r>
      <w:r w:rsidRPr="00A9330B">
        <w:rPr>
          <w:rFonts w:eastAsia="Times New Roman" w:cs="Arial"/>
          <w:color w:val="221F1F"/>
          <w:lang w:eastAsia="fr-FR"/>
        </w:rPr>
        <w:t>rem</w:t>
      </w:r>
      <w:r w:rsidRPr="00A9330B">
        <w:rPr>
          <w:rFonts w:eastAsia="Times New Roman" w:cs="Arial"/>
          <w:color w:val="221F1F"/>
          <w:spacing w:val="-1"/>
          <w:lang w:eastAsia="fr-FR"/>
        </w:rPr>
        <w:t>e</w:t>
      </w:r>
      <w:r w:rsidRPr="00A9330B">
        <w:rPr>
          <w:rFonts w:eastAsia="Times New Roman" w:cs="Arial"/>
          <w:color w:val="221F1F"/>
          <w:lang w:eastAsia="fr-FR"/>
        </w:rPr>
        <w:t>nt s</w:t>
      </w:r>
      <w:r w:rsidRPr="00A9330B">
        <w:rPr>
          <w:rFonts w:eastAsia="Times New Roman" w:cs="Arial"/>
          <w:color w:val="221F1F"/>
          <w:spacing w:val="-1"/>
          <w:lang w:eastAsia="fr-FR"/>
        </w:rPr>
        <w:t>e</w:t>
      </w:r>
      <w:r w:rsidRPr="00A9330B">
        <w:rPr>
          <w:rFonts w:eastAsia="Times New Roman" w:cs="Arial"/>
          <w:color w:val="221F1F"/>
          <w:lang w:eastAsia="fr-FR"/>
        </w:rPr>
        <w:t>c avant la première sais</w:t>
      </w:r>
      <w:r w:rsidRPr="00A9330B">
        <w:rPr>
          <w:rFonts w:eastAsia="Times New Roman" w:cs="Arial"/>
          <w:color w:val="221F1F"/>
          <w:spacing w:val="-1"/>
          <w:lang w:eastAsia="fr-FR"/>
        </w:rPr>
        <w:t>o</w:t>
      </w:r>
      <w:r w:rsidRPr="00A9330B">
        <w:rPr>
          <w:rFonts w:eastAsia="Times New Roman" w:cs="Arial"/>
          <w:color w:val="221F1F"/>
          <w:lang w:eastAsia="fr-FR"/>
        </w:rPr>
        <w:t xml:space="preserve">n </w:t>
      </w:r>
      <w:r w:rsidRPr="00A9330B">
        <w:rPr>
          <w:rFonts w:eastAsia="Times New Roman" w:cs="Arial"/>
          <w:color w:val="221F1F"/>
          <w:spacing w:val="-1"/>
          <w:lang w:eastAsia="fr-FR"/>
        </w:rPr>
        <w:t>de</w:t>
      </w:r>
      <w:r w:rsidRPr="00A9330B">
        <w:rPr>
          <w:rFonts w:eastAsia="Times New Roman" w:cs="Arial"/>
          <w:color w:val="221F1F"/>
          <w:lang w:eastAsia="fr-FR"/>
        </w:rPr>
        <w:t>s plui</w:t>
      </w:r>
      <w:r w:rsidRPr="00A9330B">
        <w:rPr>
          <w:rFonts w:eastAsia="Times New Roman" w:cs="Arial"/>
          <w:color w:val="221F1F"/>
          <w:spacing w:val="-1"/>
          <w:lang w:eastAsia="fr-FR"/>
        </w:rPr>
        <w:t>e</w:t>
      </w:r>
      <w:r w:rsidRPr="00A9330B">
        <w:rPr>
          <w:rFonts w:eastAsia="Times New Roman" w:cs="Arial"/>
          <w:color w:val="221F1F"/>
          <w:lang w:eastAsia="fr-FR"/>
        </w:rPr>
        <w:t>s (Septembre à Novembre).</w:t>
      </w:r>
    </w:p>
    <w:p w14:paraId="741E719B" w14:textId="0470C047" w:rsidR="00F8352E" w:rsidRPr="00A9330B" w:rsidRDefault="00BA18AC" w:rsidP="00BD2F72">
      <w:pPr>
        <w:pStyle w:val="Paragraphedeliste"/>
        <w:widowControl w:val="0"/>
        <w:numPr>
          <w:ilvl w:val="0"/>
          <w:numId w:val="95"/>
        </w:numPr>
        <w:tabs>
          <w:tab w:val="left" w:pos="1620"/>
        </w:tabs>
        <w:spacing w:after="120" w:line="240" w:lineRule="auto"/>
        <w:ind w:right="4411"/>
        <w:jc w:val="both"/>
        <w:textAlignment w:val="baseline"/>
        <w:rPr>
          <w:rFonts w:cs="Arial"/>
          <w:b/>
          <w:i/>
          <w:color w:val="000000"/>
          <w:lang w:val="fr-FR" w:eastAsia="it-IT"/>
        </w:rPr>
      </w:pPr>
      <w:r w:rsidRPr="00A9330B">
        <w:rPr>
          <w:rFonts w:cs="Arial"/>
          <w:b/>
          <w:i/>
          <w:color w:val="auto"/>
          <w:lang w:val="fr-FR" w:eastAsia="it-IT"/>
        </w:rPr>
        <w:t>Pluviométrie saisonnière</w:t>
      </w:r>
    </w:p>
    <w:p w14:paraId="4EF92B0A" w14:textId="77777777" w:rsidR="00F8352E" w:rsidRPr="00A9330B" w:rsidRDefault="00F8352E" w:rsidP="00F8352E">
      <w:pPr>
        <w:widowControl w:val="0"/>
        <w:overflowPunct w:val="0"/>
        <w:autoSpaceDE w:val="0"/>
        <w:autoSpaceDN w:val="0"/>
        <w:adjustRightInd w:val="0"/>
        <w:spacing w:before="0" w:after="240" w:line="240" w:lineRule="auto"/>
        <w:jc w:val="both"/>
        <w:textAlignment w:val="baseline"/>
        <w:rPr>
          <w:rFonts w:eastAsia="Times New Roman" w:cs="Arial"/>
          <w:color w:val="221F1F"/>
          <w:lang w:eastAsia="it-IT"/>
        </w:rPr>
      </w:pPr>
      <w:r w:rsidRPr="00A9330B">
        <w:rPr>
          <w:rFonts w:eastAsia="Times New Roman" w:cs="Arial"/>
          <w:color w:val="221F1F"/>
          <w:lang w:eastAsia="it-IT"/>
        </w:rPr>
        <w:t>Le r</w:t>
      </w:r>
      <w:r w:rsidRPr="00A9330B">
        <w:rPr>
          <w:rFonts w:eastAsia="Times New Roman" w:cs="Arial"/>
          <w:color w:val="221F1F"/>
          <w:spacing w:val="-1"/>
          <w:lang w:eastAsia="it-IT"/>
        </w:rPr>
        <w:t>é</w:t>
      </w:r>
      <w:r w:rsidRPr="00A9330B">
        <w:rPr>
          <w:rFonts w:eastAsia="Times New Roman" w:cs="Arial"/>
          <w:color w:val="221F1F"/>
          <w:lang w:eastAsia="it-IT"/>
        </w:rPr>
        <w:t>gime p</w:t>
      </w:r>
      <w:r w:rsidRPr="00A9330B">
        <w:rPr>
          <w:rFonts w:eastAsia="Times New Roman" w:cs="Arial"/>
          <w:color w:val="221F1F"/>
          <w:spacing w:val="-1"/>
          <w:lang w:eastAsia="it-IT"/>
        </w:rPr>
        <w:t>l</w:t>
      </w:r>
      <w:r w:rsidRPr="00A9330B">
        <w:rPr>
          <w:rFonts w:eastAsia="Times New Roman" w:cs="Arial"/>
          <w:color w:val="221F1F"/>
          <w:lang w:eastAsia="it-IT"/>
        </w:rPr>
        <w:t>uviométri</w:t>
      </w:r>
      <w:r w:rsidRPr="00A9330B">
        <w:rPr>
          <w:rFonts w:eastAsia="Times New Roman" w:cs="Arial"/>
          <w:color w:val="221F1F"/>
          <w:spacing w:val="-1"/>
          <w:lang w:eastAsia="it-IT"/>
        </w:rPr>
        <w:t>q</w:t>
      </w:r>
      <w:r w:rsidRPr="00A9330B">
        <w:rPr>
          <w:rFonts w:eastAsia="Times New Roman" w:cs="Arial"/>
          <w:color w:val="221F1F"/>
          <w:lang w:eastAsia="it-IT"/>
        </w:rPr>
        <w:t>ue est à d</w:t>
      </w:r>
      <w:r w:rsidRPr="00A9330B">
        <w:rPr>
          <w:rFonts w:eastAsia="Times New Roman" w:cs="Arial"/>
          <w:color w:val="221F1F"/>
          <w:spacing w:val="-1"/>
          <w:lang w:eastAsia="it-IT"/>
        </w:rPr>
        <w:t>e</w:t>
      </w:r>
      <w:r w:rsidRPr="00A9330B">
        <w:rPr>
          <w:rFonts w:eastAsia="Times New Roman" w:cs="Arial"/>
          <w:color w:val="221F1F"/>
          <w:lang w:eastAsia="it-IT"/>
        </w:rPr>
        <w:t>ux sais</w:t>
      </w:r>
      <w:r w:rsidRPr="00A9330B">
        <w:rPr>
          <w:rFonts w:eastAsia="Times New Roman" w:cs="Arial"/>
          <w:color w:val="221F1F"/>
          <w:spacing w:val="-1"/>
          <w:lang w:eastAsia="it-IT"/>
        </w:rPr>
        <w:t>o</w:t>
      </w:r>
      <w:r w:rsidRPr="00A9330B">
        <w:rPr>
          <w:rFonts w:eastAsia="Times New Roman" w:cs="Arial"/>
          <w:color w:val="221F1F"/>
          <w:lang w:eastAsia="it-IT"/>
        </w:rPr>
        <w:t xml:space="preserve">ns </w:t>
      </w:r>
      <w:r w:rsidRPr="00A9330B">
        <w:rPr>
          <w:rFonts w:eastAsia="Times New Roman" w:cs="Arial"/>
          <w:color w:val="221F1F"/>
          <w:spacing w:val="-1"/>
          <w:lang w:eastAsia="it-IT"/>
        </w:rPr>
        <w:t>d</w:t>
      </w:r>
      <w:r w:rsidRPr="00A9330B">
        <w:rPr>
          <w:rFonts w:eastAsia="Times New Roman" w:cs="Arial"/>
          <w:color w:val="221F1F"/>
          <w:lang w:eastAsia="it-IT"/>
        </w:rPr>
        <w:t>es p</w:t>
      </w:r>
      <w:r w:rsidRPr="00A9330B">
        <w:rPr>
          <w:rFonts w:eastAsia="Times New Roman" w:cs="Arial"/>
          <w:color w:val="221F1F"/>
          <w:spacing w:val="-1"/>
          <w:lang w:eastAsia="it-IT"/>
        </w:rPr>
        <w:t>l</w:t>
      </w:r>
      <w:r w:rsidRPr="00A9330B">
        <w:rPr>
          <w:rFonts w:eastAsia="Times New Roman" w:cs="Arial"/>
          <w:color w:val="221F1F"/>
          <w:lang w:eastAsia="it-IT"/>
        </w:rPr>
        <w:t>uies, u</w:t>
      </w:r>
      <w:r w:rsidRPr="00A9330B">
        <w:rPr>
          <w:rFonts w:eastAsia="Times New Roman" w:cs="Arial"/>
          <w:color w:val="221F1F"/>
          <w:spacing w:val="-1"/>
          <w:lang w:eastAsia="it-IT"/>
        </w:rPr>
        <w:t>n</w:t>
      </w:r>
      <w:r w:rsidRPr="00A9330B">
        <w:rPr>
          <w:rFonts w:eastAsia="Times New Roman" w:cs="Arial"/>
          <w:color w:val="221F1F"/>
          <w:lang w:eastAsia="it-IT"/>
        </w:rPr>
        <w:t>e gr</w:t>
      </w:r>
      <w:r w:rsidRPr="00A9330B">
        <w:rPr>
          <w:rFonts w:eastAsia="Times New Roman" w:cs="Arial"/>
          <w:color w:val="221F1F"/>
          <w:spacing w:val="-1"/>
          <w:lang w:eastAsia="it-IT"/>
        </w:rPr>
        <w:t>a</w:t>
      </w:r>
      <w:r w:rsidRPr="00A9330B">
        <w:rPr>
          <w:rFonts w:eastAsia="Times New Roman" w:cs="Arial"/>
          <w:color w:val="221F1F"/>
          <w:lang w:eastAsia="it-IT"/>
        </w:rPr>
        <w:t xml:space="preserve">nde saison </w:t>
      </w:r>
      <w:r w:rsidRPr="00A9330B">
        <w:rPr>
          <w:rFonts w:eastAsia="Times New Roman" w:cs="Arial"/>
          <w:color w:val="221F1F"/>
          <w:spacing w:val="-1"/>
          <w:lang w:eastAsia="it-IT"/>
        </w:rPr>
        <w:t>d</w:t>
      </w:r>
      <w:r w:rsidRPr="00A9330B">
        <w:rPr>
          <w:rFonts w:eastAsia="Times New Roman" w:cs="Arial"/>
          <w:color w:val="221F1F"/>
          <w:lang w:eastAsia="it-IT"/>
        </w:rPr>
        <w:t>es plu</w:t>
      </w:r>
      <w:r w:rsidRPr="00A9330B">
        <w:rPr>
          <w:rFonts w:eastAsia="Times New Roman" w:cs="Arial"/>
          <w:color w:val="221F1F"/>
          <w:spacing w:val="-1"/>
          <w:lang w:eastAsia="it-IT"/>
        </w:rPr>
        <w:t>i</w:t>
      </w:r>
      <w:r w:rsidRPr="00A9330B">
        <w:rPr>
          <w:rFonts w:eastAsia="Times New Roman" w:cs="Arial"/>
          <w:color w:val="221F1F"/>
          <w:lang w:eastAsia="it-IT"/>
        </w:rPr>
        <w:t xml:space="preserve">es </w:t>
      </w:r>
      <w:r w:rsidRPr="00A9330B">
        <w:rPr>
          <w:rFonts w:eastAsia="Times New Roman" w:cs="Arial"/>
          <w:color w:val="221F1F"/>
          <w:spacing w:val="-1"/>
          <w:lang w:eastAsia="it-IT"/>
        </w:rPr>
        <w:t>e</w:t>
      </w:r>
      <w:r w:rsidRPr="00A9330B">
        <w:rPr>
          <w:rFonts w:eastAsia="Times New Roman" w:cs="Arial"/>
          <w:color w:val="221F1F"/>
          <w:lang w:eastAsia="it-IT"/>
        </w:rPr>
        <w:t>ntre mars et Août et une petite sais</w:t>
      </w:r>
      <w:r w:rsidRPr="00A9330B">
        <w:rPr>
          <w:rFonts w:eastAsia="Times New Roman" w:cs="Arial"/>
          <w:color w:val="221F1F"/>
          <w:spacing w:val="-1"/>
          <w:lang w:eastAsia="it-IT"/>
        </w:rPr>
        <w:t>o</w:t>
      </w:r>
      <w:r w:rsidRPr="00A9330B">
        <w:rPr>
          <w:rFonts w:eastAsia="Times New Roman" w:cs="Arial"/>
          <w:color w:val="221F1F"/>
          <w:lang w:eastAsia="it-IT"/>
        </w:rPr>
        <w:t>n des plui</w:t>
      </w:r>
      <w:r w:rsidRPr="00A9330B">
        <w:rPr>
          <w:rFonts w:eastAsia="Times New Roman" w:cs="Arial"/>
          <w:color w:val="221F1F"/>
          <w:spacing w:val="-1"/>
          <w:lang w:eastAsia="it-IT"/>
        </w:rPr>
        <w:t>e</w:t>
      </w:r>
      <w:r w:rsidRPr="00A9330B">
        <w:rPr>
          <w:rFonts w:eastAsia="Times New Roman" w:cs="Arial"/>
          <w:color w:val="221F1F"/>
          <w:lang w:eastAsia="it-IT"/>
        </w:rPr>
        <w:t xml:space="preserve">s </w:t>
      </w:r>
      <w:r w:rsidRPr="00A9330B">
        <w:rPr>
          <w:rFonts w:eastAsia="Times New Roman" w:cs="Arial"/>
          <w:color w:val="221F1F"/>
          <w:spacing w:val="-1"/>
          <w:lang w:eastAsia="it-IT"/>
        </w:rPr>
        <w:t>d</w:t>
      </w:r>
      <w:r w:rsidRPr="00A9330B">
        <w:rPr>
          <w:rFonts w:eastAsia="Times New Roman" w:cs="Arial"/>
          <w:color w:val="221F1F"/>
          <w:lang w:eastAsia="it-IT"/>
        </w:rPr>
        <w:t>e septembre à novembre. Le po</w:t>
      </w:r>
      <w:r w:rsidRPr="00A9330B">
        <w:rPr>
          <w:rFonts w:eastAsia="Times New Roman" w:cs="Arial"/>
          <w:color w:val="221F1F"/>
          <w:spacing w:val="-1"/>
          <w:lang w:eastAsia="it-IT"/>
        </w:rPr>
        <w:t>u</w:t>
      </w:r>
      <w:r w:rsidRPr="00A9330B">
        <w:rPr>
          <w:rFonts w:eastAsia="Times New Roman" w:cs="Arial"/>
          <w:color w:val="221F1F"/>
          <w:lang w:eastAsia="it-IT"/>
        </w:rPr>
        <w:t>rcent</w:t>
      </w:r>
      <w:r w:rsidRPr="00A9330B">
        <w:rPr>
          <w:rFonts w:eastAsia="Times New Roman" w:cs="Arial"/>
          <w:color w:val="221F1F"/>
          <w:spacing w:val="-1"/>
          <w:lang w:eastAsia="it-IT"/>
        </w:rPr>
        <w:t>a</w:t>
      </w:r>
      <w:r w:rsidRPr="00A9330B">
        <w:rPr>
          <w:rFonts w:eastAsia="Times New Roman" w:cs="Arial"/>
          <w:color w:val="221F1F"/>
          <w:lang w:eastAsia="it-IT"/>
        </w:rPr>
        <w:t>ge moyen d</w:t>
      </w:r>
      <w:r w:rsidRPr="00A9330B">
        <w:rPr>
          <w:rFonts w:eastAsia="Times New Roman" w:cs="Arial"/>
          <w:color w:val="221F1F"/>
          <w:spacing w:val="-1"/>
          <w:lang w:eastAsia="it-IT"/>
        </w:rPr>
        <w:t>e</w:t>
      </w:r>
      <w:r w:rsidRPr="00A9330B">
        <w:rPr>
          <w:rFonts w:eastAsia="Times New Roman" w:cs="Arial"/>
          <w:color w:val="221F1F"/>
          <w:lang w:eastAsia="it-IT"/>
        </w:rPr>
        <w:t>s plui</w:t>
      </w:r>
      <w:r w:rsidRPr="00A9330B">
        <w:rPr>
          <w:rFonts w:eastAsia="Times New Roman" w:cs="Arial"/>
          <w:color w:val="221F1F"/>
          <w:spacing w:val="-1"/>
          <w:lang w:eastAsia="it-IT"/>
        </w:rPr>
        <w:t>e</w:t>
      </w:r>
      <w:r w:rsidRPr="00A9330B">
        <w:rPr>
          <w:rFonts w:eastAsia="Times New Roman" w:cs="Arial"/>
          <w:color w:val="221F1F"/>
          <w:lang w:eastAsia="it-IT"/>
        </w:rPr>
        <w:t>s sa</w:t>
      </w:r>
      <w:r w:rsidRPr="00A9330B">
        <w:rPr>
          <w:rFonts w:eastAsia="Times New Roman" w:cs="Arial"/>
          <w:color w:val="221F1F"/>
          <w:spacing w:val="-1"/>
          <w:lang w:eastAsia="it-IT"/>
        </w:rPr>
        <w:t>i</w:t>
      </w:r>
      <w:r w:rsidRPr="00A9330B">
        <w:rPr>
          <w:rFonts w:eastAsia="Times New Roman" w:cs="Arial"/>
          <w:color w:val="221F1F"/>
          <w:lang w:eastAsia="it-IT"/>
        </w:rPr>
        <w:t>so</w:t>
      </w:r>
      <w:r w:rsidRPr="00A9330B">
        <w:rPr>
          <w:rFonts w:eastAsia="Times New Roman" w:cs="Arial"/>
          <w:color w:val="221F1F"/>
          <w:spacing w:val="-1"/>
          <w:lang w:eastAsia="it-IT"/>
        </w:rPr>
        <w:t>n</w:t>
      </w:r>
      <w:r w:rsidRPr="00A9330B">
        <w:rPr>
          <w:rFonts w:eastAsia="Times New Roman" w:cs="Arial"/>
          <w:color w:val="221F1F"/>
          <w:lang w:eastAsia="it-IT"/>
        </w:rPr>
        <w:t>nières est pr</w:t>
      </w:r>
      <w:r w:rsidRPr="00A9330B">
        <w:rPr>
          <w:rFonts w:eastAsia="Times New Roman" w:cs="Arial"/>
          <w:color w:val="221F1F"/>
          <w:spacing w:val="-1"/>
          <w:lang w:eastAsia="it-IT"/>
        </w:rPr>
        <w:t>é</w:t>
      </w:r>
      <w:r w:rsidRPr="00A9330B">
        <w:rPr>
          <w:rFonts w:eastAsia="Times New Roman" w:cs="Arial"/>
          <w:color w:val="221F1F"/>
          <w:lang w:eastAsia="it-IT"/>
        </w:rPr>
        <w:t>s</w:t>
      </w:r>
      <w:r w:rsidRPr="00A9330B">
        <w:rPr>
          <w:rFonts w:eastAsia="Times New Roman" w:cs="Arial"/>
          <w:color w:val="221F1F"/>
          <w:spacing w:val="-1"/>
          <w:lang w:eastAsia="it-IT"/>
        </w:rPr>
        <w:t>e</w:t>
      </w:r>
      <w:r w:rsidRPr="00A9330B">
        <w:rPr>
          <w:rFonts w:eastAsia="Times New Roman" w:cs="Arial"/>
          <w:color w:val="221F1F"/>
          <w:lang w:eastAsia="it-IT"/>
        </w:rPr>
        <w:t>nté ci-après :</w:t>
      </w:r>
    </w:p>
    <w:p w14:paraId="47F4EF7B" w14:textId="3052EEDB" w:rsidR="00F8352E" w:rsidRPr="00A9330B" w:rsidRDefault="001275D6" w:rsidP="001275D6">
      <w:pPr>
        <w:keepNext/>
        <w:overflowPunct w:val="0"/>
        <w:autoSpaceDE w:val="0"/>
        <w:autoSpaceDN w:val="0"/>
        <w:adjustRightInd w:val="0"/>
        <w:spacing w:before="0" w:after="200" w:line="240" w:lineRule="auto"/>
        <w:ind w:firstLine="708"/>
        <w:jc w:val="both"/>
        <w:textAlignment w:val="baseline"/>
        <w:rPr>
          <w:rFonts w:eastAsia="Times New Roman" w:cs="Arial"/>
          <w:b/>
          <w:bCs/>
          <w:color w:val="auto"/>
          <w:sz w:val="20"/>
          <w:szCs w:val="20"/>
          <w:lang w:eastAsia="it-IT"/>
        </w:rPr>
      </w:pPr>
      <w:bookmarkStart w:id="704" w:name="_Toc504498860"/>
      <w:bookmarkStart w:id="705" w:name="_Toc52873742"/>
      <w:r w:rsidRPr="00A9330B">
        <w:rPr>
          <w:b/>
          <w:sz w:val="20"/>
          <w:szCs w:val="20"/>
        </w:rPr>
        <w:lastRenderedPageBreak/>
        <w:t xml:space="preserve">Tableau </w:t>
      </w:r>
      <w:r w:rsidRPr="00A9330B">
        <w:rPr>
          <w:b/>
          <w:sz w:val="20"/>
          <w:szCs w:val="20"/>
        </w:rPr>
        <w:fldChar w:fldCharType="begin"/>
      </w:r>
      <w:r w:rsidRPr="00A9330B">
        <w:rPr>
          <w:b/>
          <w:sz w:val="20"/>
          <w:szCs w:val="20"/>
        </w:rPr>
        <w:instrText xml:space="preserve"> SEQ Tableau \* ARABIC </w:instrText>
      </w:r>
      <w:r w:rsidRPr="00A9330B">
        <w:rPr>
          <w:b/>
          <w:sz w:val="20"/>
          <w:szCs w:val="20"/>
        </w:rPr>
        <w:fldChar w:fldCharType="separate"/>
      </w:r>
      <w:r w:rsidR="00417D31" w:rsidRPr="00A9330B">
        <w:rPr>
          <w:b/>
          <w:noProof/>
          <w:sz w:val="20"/>
          <w:szCs w:val="20"/>
        </w:rPr>
        <w:t>18</w:t>
      </w:r>
      <w:r w:rsidRPr="00A9330B">
        <w:rPr>
          <w:b/>
          <w:sz w:val="20"/>
          <w:szCs w:val="20"/>
        </w:rPr>
        <w:fldChar w:fldCharType="end"/>
      </w:r>
      <w:r w:rsidRPr="00A9330B">
        <w:rPr>
          <w:b/>
          <w:sz w:val="20"/>
          <w:szCs w:val="20"/>
        </w:rPr>
        <w:t xml:space="preserve"> </w:t>
      </w:r>
      <w:r w:rsidRPr="00A9330B">
        <w:rPr>
          <w:rFonts w:eastAsia="Times New Roman" w:cs="Arial"/>
          <w:b/>
          <w:bCs/>
          <w:color w:val="auto"/>
          <w:sz w:val="20"/>
          <w:szCs w:val="20"/>
          <w:lang w:eastAsia="it-IT"/>
        </w:rPr>
        <w:t xml:space="preserve">: </w:t>
      </w:r>
      <w:r w:rsidR="00F8352E" w:rsidRPr="00A9330B">
        <w:rPr>
          <w:rFonts w:eastAsia="Times New Roman" w:cs="Arial"/>
          <w:b/>
          <w:bCs/>
          <w:color w:val="auto"/>
          <w:sz w:val="20"/>
          <w:szCs w:val="20"/>
          <w:lang w:eastAsia="it-IT"/>
        </w:rPr>
        <w:t>Pluviométrie saisonnière</w:t>
      </w:r>
      <w:bookmarkEnd w:id="704"/>
      <w:bookmarkEnd w:id="705"/>
    </w:p>
    <w:tbl>
      <w:tblPr>
        <w:tblStyle w:val="Grilledutableau21"/>
        <w:tblW w:w="0" w:type="auto"/>
        <w:tblInd w:w="534" w:type="dxa"/>
        <w:tblLook w:val="04A0" w:firstRow="1" w:lastRow="0" w:firstColumn="1" w:lastColumn="0" w:noHBand="0" w:noVBand="1"/>
      </w:tblPr>
      <w:tblGrid>
        <w:gridCol w:w="8528"/>
      </w:tblGrid>
      <w:tr w:rsidR="00F8352E" w:rsidRPr="00A9330B" w14:paraId="3EE25600" w14:textId="77777777" w:rsidTr="0025132A">
        <w:tc>
          <w:tcPr>
            <w:tcW w:w="8528" w:type="dxa"/>
            <w:vAlign w:val="center"/>
          </w:tcPr>
          <w:p w14:paraId="1A941B27" w14:textId="77777777" w:rsidR="00F8352E" w:rsidRPr="00A9330B" w:rsidRDefault="00F8352E" w:rsidP="00F8352E">
            <w:pPr>
              <w:widowControl w:val="0"/>
              <w:tabs>
                <w:tab w:val="left" w:pos="3680"/>
                <w:tab w:val="left" w:pos="5060"/>
                <w:tab w:val="left" w:pos="5920"/>
                <w:tab w:val="left" w:pos="7080"/>
                <w:tab w:val="left" w:pos="8340"/>
              </w:tabs>
              <w:overflowPunct w:val="0"/>
              <w:autoSpaceDE w:val="0"/>
              <w:autoSpaceDN w:val="0"/>
              <w:adjustRightInd w:val="0"/>
              <w:spacing w:before="0" w:line="360" w:lineRule="auto"/>
              <w:jc w:val="both"/>
              <w:textAlignment w:val="baseline"/>
              <w:rPr>
                <w:rFonts w:eastAsia="Times New Roman" w:cs="Arial"/>
                <w:color w:val="000000"/>
                <w:lang w:eastAsia="it-IT"/>
              </w:rPr>
            </w:pPr>
            <w:r w:rsidRPr="00A9330B">
              <w:rPr>
                <w:rFonts w:eastAsia="Times New Roman" w:cs="Arial"/>
                <w:b/>
                <w:bCs/>
                <w:color w:val="221F1F"/>
                <w:position w:val="2"/>
                <w:lang w:eastAsia="it-IT"/>
              </w:rPr>
              <w:t xml:space="preserve">Natitingou    </w:t>
            </w:r>
            <w:r w:rsidRPr="00A9330B">
              <w:rPr>
                <w:rFonts w:eastAsia="Times New Roman" w:cs="Arial"/>
                <w:b/>
                <w:bCs/>
                <w:color w:val="221F1F"/>
                <w:lang w:eastAsia="it-IT"/>
              </w:rPr>
              <w:t>Mars-Juil.      Août        Sept-Nov.      Déc.</w:t>
            </w:r>
            <w:r w:rsidRPr="00A9330B">
              <w:rPr>
                <w:rFonts w:eastAsia="Times New Roman" w:cs="Arial"/>
                <w:b/>
                <w:bCs/>
                <w:color w:val="221F1F"/>
                <w:spacing w:val="-1"/>
                <w:lang w:eastAsia="it-IT"/>
              </w:rPr>
              <w:t>-</w:t>
            </w:r>
            <w:r w:rsidRPr="00A9330B">
              <w:rPr>
                <w:rFonts w:eastAsia="Times New Roman" w:cs="Arial"/>
                <w:b/>
                <w:bCs/>
                <w:color w:val="221F1F"/>
                <w:lang w:eastAsia="it-IT"/>
              </w:rPr>
              <w:t>F</w:t>
            </w:r>
            <w:r w:rsidRPr="00A9330B">
              <w:rPr>
                <w:rFonts w:eastAsia="Times New Roman" w:cs="Arial"/>
                <w:b/>
                <w:bCs/>
                <w:color w:val="221F1F"/>
                <w:spacing w:val="-1"/>
                <w:lang w:eastAsia="it-IT"/>
              </w:rPr>
              <w:t>é</w:t>
            </w:r>
            <w:r w:rsidRPr="00A9330B">
              <w:rPr>
                <w:rFonts w:eastAsia="Times New Roman" w:cs="Arial"/>
                <w:b/>
                <w:bCs/>
                <w:color w:val="221F1F"/>
                <w:lang w:eastAsia="it-IT"/>
              </w:rPr>
              <w:t>v.          Année</w:t>
            </w:r>
          </w:p>
        </w:tc>
      </w:tr>
      <w:tr w:rsidR="00F8352E" w:rsidRPr="00A9330B" w14:paraId="7786E433" w14:textId="77777777" w:rsidTr="0025132A">
        <w:tc>
          <w:tcPr>
            <w:tcW w:w="8528" w:type="dxa"/>
            <w:vAlign w:val="center"/>
          </w:tcPr>
          <w:p w14:paraId="0C0A05A3" w14:textId="2943DCA7" w:rsidR="00F8352E" w:rsidRPr="00A9330B" w:rsidRDefault="00F8352E" w:rsidP="00F8352E">
            <w:pPr>
              <w:widowControl w:val="0"/>
              <w:tabs>
                <w:tab w:val="left" w:pos="3900"/>
                <w:tab w:val="left" w:pos="5060"/>
                <w:tab w:val="left" w:pos="6140"/>
                <w:tab w:val="left" w:pos="7300"/>
                <w:tab w:val="left" w:pos="8380"/>
              </w:tabs>
              <w:overflowPunct w:val="0"/>
              <w:autoSpaceDE w:val="0"/>
              <w:autoSpaceDN w:val="0"/>
              <w:adjustRightInd w:val="0"/>
              <w:spacing w:before="14" w:line="360" w:lineRule="auto"/>
              <w:jc w:val="both"/>
              <w:textAlignment w:val="baseline"/>
              <w:rPr>
                <w:rFonts w:eastAsia="Times New Roman" w:cs="Arial"/>
                <w:color w:val="000000"/>
                <w:lang w:eastAsia="it-IT"/>
              </w:rPr>
            </w:pPr>
            <w:r w:rsidRPr="00A9330B">
              <w:rPr>
                <w:rFonts w:eastAsia="Times New Roman" w:cs="Arial"/>
                <w:b/>
                <w:bCs/>
                <w:color w:val="221F1F"/>
                <w:lang w:eastAsia="it-IT"/>
              </w:rPr>
              <w:t xml:space="preserve">%                     </w:t>
            </w:r>
            <w:r w:rsidRPr="00A9330B">
              <w:rPr>
                <w:rFonts w:eastAsia="Times New Roman" w:cs="Arial"/>
                <w:color w:val="221F1F"/>
                <w:spacing w:val="1"/>
                <w:lang w:eastAsia="it-IT"/>
              </w:rPr>
              <w:t>47,1</w:t>
            </w:r>
            <w:r w:rsidR="0025132A" w:rsidRPr="00A9330B">
              <w:rPr>
                <w:rFonts w:eastAsia="Times New Roman" w:cs="Arial"/>
                <w:color w:val="221F1F"/>
                <w:spacing w:val="1"/>
                <w:lang w:eastAsia="it-IT"/>
              </w:rPr>
              <w:t xml:space="preserve"> </w:t>
            </w:r>
            <w:r w:rsidRPr="00A9330B">
              <w:rPr>
                <w:rFonts w:eastAsia="Times New Roman" w:cs="Arial"/>
                <w:color w:val="221F1F"/>
                <w:lang w:eastAsia="it-IT"/>
              </w:rPr>
              <w:t xml:space="preserve">%           </w:t>
            </w:r>
            <w:r w:rsidRPr="00A9330B">
              <w:rPr>
                <w:rFonts w:eastAsia="Times New Roman" w:cs="Arial"/>
                <w:color w:val="221F1F"/>
                <w:spacing w:val="1"/>
                <w:lang w:eastAsia="it-IT"/>
              </w:rPr>
              <w:t>22,4</w:t>
            </w:r>
            <w:r w:rsidR="0025132A" w:rsidRPr="00A9330B">
              <w:rPr>
                <w:rFonts w:eastAsia="Times New Roman" w:cs="Arial"/>
                <w:color w:val="221F1F"/>
                <w:spacing w:val="1"/>
                <w:lang w:eastAsia="it-IT"/>
              </w:rPr>
              <w:t xml:space="preserve"> </w:t>
            </w:r>
            <w:r w:rsidRPr="00A9330B">
              <w:rPr>
                <w:rFonts w:eastAsia="Times New Roman" w:cs="Arial"/>
                <w:color w:val="221F1F"/>
                <w:lang w:eastAsia="it-IT"/>
              </w:rPr>
              <w:t xml:space="preserve">%          </w:t>
            </w:r>
            <w:r w:rsidRPr="00A9330B">
              <w:rPr>
                <w:rFonts w:eastAsia="Times New Roman" w:cs="Arial"/>
                <w:color w:val="221F1F"/>
                <w:spacing w:val="1"/>
                <w:lang w:eastAsia="it-IT"/>
              </w:rPr>
              <w:t>29,8</w:t>
            </w:r>
            <w:r w:rsidR="0025132A" w:rsidRPr="00A9330B">
              <w:rPr>
                <w:rFonts w:eastAsia="Times New Roman" w:cs="Arial"/>
                <w:color w:val="221F1F"/>
                <w:spacing w:val="1"/>
                <w:lang w:eastAsia="it-IT"/>
              </w:rPr>
              <w:t xml:space="preserve"> </w:t>
            </w:r>
            <w:r w:rsidRPr="00A9330B">
              <w:rPr>
                <w:rFonts w:eastAsia="Times New Roman" w:cs="Arial"/>
                <w:color w:val="221F1F"/>
                <w:lang w:eastAsia="it-IT"/>
              </w:rPr>
              <w:t>%</w:t>
            </w:r>
            <w:r w:rsidRPr="00A9330B">
              <w:rPr>
                <w:rFonts w:eastAsia="Times New Roman" w:cs="Arial"/>
                <w:color w:val="221F1F"/>
                <w:lang w:eastAsia="it-IT"/>
              </w:rPr>
              <w:tab/>
              <w:t xml:space="preserve">       </w:t>
            </w:r>
            <w:r w:rsidRPr="00A9330B">
              <w:rPr>
                <w:rFonts w:eastAsia="Times New Roman" w:cs="Arial"/>
                <w:color w:val="221F1F"/>
                <w:spacing w:val="1"/>
                <w:lang w:eastAsia="it-IT"/>
              </w:rPr>
              <w:t>0,7</w:t>
            </w:r>
            <w:r w:rsidR="0025132A" w:rsidRPr="00A9330B">
              <w:rPr>
                <w:rFonts w:eastAsia="Times New Roman" w:cs="Arial"/>
                <w:color w:val="221F1F"/>
                <w:spacing w:val="1"/>
                <w:lang w:eastAsia="it-IT"/>
              </w:rPr>
              <w:t xml:space="preserve"> </w:t>
            </w:r>
            <w:r w:rsidRPr="00A9330B">
              <w:rPr>
                <w:rFonts w:eastAsia="Times New Roman" w:cs="Arial"/>
                <w:color w:val="221F1F"/>
                <w:lang w:eastAsia="it-IT"/>
              </w:rPr>
              <w:t xml:space="preserve">%             </w:t>
            </w:r>
            <w:r w:rsidRPr="00A9330B">
              <w:rPr>
                <w:rFonts w:eastAsia="Times New Roman" w:cs="Arial"/>
                <w:color w:val="221F1F"/>
                <w:spacing w:val="1"/>
                <w:lang w:eastAsia="it-IT"/>
              </w:rPr>
              <w:t>1</w:t>
            </w:r>
            <w:r w:rsidRPr="00A9330B">
              <w:rPr>
                <w:rFonts w:eastAsia="Times New Roman" w:cs="Arial"/>
                <w:color w:val="221F1F"/>
                <w:spacing w:val="-1"/>
                <w:lang w:eastAsia="it-IT"/>
              </w:rPr>
              <w:t>0</w:t>
            </w:r>
            <w:r w:rsidRPr="00A9330B">
              <w:rPr>
                <w:rFonts w:eastAsia="Times New Roman" w:cs="Arial"/>
                <w:color w:val="221F1F"/>
                <w:spacing w:val="1"/>
                <w:lang w:eastAsia="it-IT"/>
              </w:rPr>
              <w:t>0</w:t>
            </w:r>
            <w:r w:rsidR="0025132A" w:rsidRPr="00A9330B">
              <w:rPr>
                <w:rFonts w:eastAsia="Times New Roman" w:cs="Arial"/>
                <w:color w:val="221F1F"/>
                <w:spacing w:val="1"/>
                <w:lang w:eastAsia="it-IT"/>
              </w:rPr>
              <w:t xml:space="preserve"> </w:t>
            </w:r>
            <w:r w:rsidRPr="00A9330B">
              <w:rPr>
                <w:rFonts w:eastAsia="Times New Roman" w:cs="Arial"/>
                <w:color w:val="221F1F"/>
                <w:spacing w:val="1"/>
                <w:lang w:eastAsia="it-IT"/>
              </w:rPr>
              <w:t>%</w:t>
            </w:r>
          </w:p>
        </w:tc>
      </w:tr>
    </w:tbl>
    <w:p w14:paraId="2A4060A5" w14:textId="77777777" w:rsidR="0025132A" w:rsidRPr="00A9330B" w:rsidRDefault="0025132A" w:rsidP="00BA18AC">
      <w:pPr>
        <w:overflowPunct w:val="0"/>
        <w:autoSpaceDE w:val="0"/>
        <w:autoSpaceDN w:val="0"/>
        <w:adjustRightInd w:val="0"/>
        <w:spacing w:line="240" w:lineRule="auto"/>
        <w:jc w:val="center"/>
        <w:textAlignment w:val="baseline"/>
        <w:rPr>
          <w:rFonts w:eastAsia="Times New Roman" w:cs="Arial"/>
          <w:b/>
          <w:bCs/>
          <w:color w:val="auto"/>
          <w:sz w:val="18"/>
          <w:szCs w:val="18"/>
          <w:lang w:eastAsia="it-IT"/>
        </w:rPr>
      </w:pPr>
      <w:r w:rsidRPr="00A9330B">
        <w:rPr>
          <w:rFonts w:eastAsia="Times New Roman" w:cs="Arial"/>
          <w:b/>
          <w:bCs/>
          <w:color w:val="auto"/>
          <w:sz w:val="18"/>
          <w:szCs w:val="18"/>
          <w:lang w:eastAsia="it-IT"/>
        </w:rPr>
        <w:t>Source : Rapport Hydrologique et hydraulique, CECO-BTP 2020</w:t>
      </w:r>
    </w:p>
    <w:p w14:paraId="0DC489AE" w14:textId="77777777" w:rsidR="00F8352E" w:rsidRPr="00A9330B" w:rsidRDefault="00F8352E" w:rsidP="00BD2F72">
      <w:pPr>
        <w:pStyle w:val="Paragraphedeliste"/>
        <w:widowControl w:val="0"/>
        <w:numPr>
          <w:ilvl w:val="0"/>
          <w:numId w:val="95"/>
        </w:numPr>
        <w:tabs>
          <w:tab w:val="left" w:pos="1620"/>
        </w:tabs>
        <w:spacing w:before="22" w:after="120" w:line="360" w:lineRule="auto"/>
        <w:ind w:right="5880"/>
        <w:jc w:val="both"/>
        <w:textAlignment w:val="baseline"/>
        <w:rPr>
          <w:rFonts w:cs="Arial"/>
          <w:b/>
          <w:i/>
          <w:color w:val="000000"/>
          <w:lang w:val="fr-FR" w:eastAsia="it-IT"/>
        </w:rPr>
      </w:pPr>
      <w:r w:rsidRPr="00A9330B">
        <w:rPr>
          <w:rFonts w:cs="Arial"/>
          <w:b/>
          <w:i/>
          <w:color w:val="auto"/>
          <w:lang w:val="fr-FR" w:eastAsia="it-IT"/>
        </w:rPr>
        <w:t>Pluies extrêmes</w:t>
      </w:r>
    </w:p>
    <w:p w14:paraId="47E2974D" w14:textId="77777777" w:rsidR="00F8352E" w:rsidRPr="00A9330B" w:rsidRDefault="00F8352E" w:rsidP="00BA18AC">
      <w:pPr>
        <w:jc w:val="both"/>
        <w:rPr>
          <w:lang w:eastAsia="it-IT"/>
        </w:rPr>
      </w:pPr>
      <w:r w:rsidRPr="00A9330B">
        <w:rPr>
          <w:lang w:eastAsia="it-IT"/>
        </w:rPr>
        <w:t>Ce sont les pluies brèves orageuses et intenses qui provoquent les crues violentes. En effet, pour réaliser les ajustements, il est utilisé le logiciel spécialisé dans le domaine à savoir : HYFRAN qui est un logiciel permettant d’ajuster les différentes lois statistiques à un échantillon d’observation indépendantes et identiquement distribuées.  L’analyse des résultats proposés par ce logiciel a permis de faire un choix judicieux sur les valeurs des pluies périodiques. La statistique des pluies maximales journalières annuelles par l’ajustement statistique de la loi Gumbel donne les valeurs récurrentielles suivantes :</w:t>
      </w:r>
    </w:p>
    <w:p w14:paraId="5AD33C90" w14:textId="4BADAD19" w:rsidR="00F8352E" w:rsidRPr="00A9330B" w:rsidRDefault="001275D6" w:rsidP="00F8352E">
      <w:pPr>
        <w:keepNext/>
        <w:overflowPunct w:val="0"/>
        <w:autoSpaceDE w:val="0"/>
        <w:autoSpaceDN w:val="0"/>
        <w:adjustRightInd w:val="0"/>
        <w:spacing w:before="0" w:after="200" w:line="240" w:lineRule="auto"/>
        <w:jc w:val="both"/>
        <w:textAlignment w:val="baseline"/>
        <w:rPr>
          <w:rFonts w:eastAsia="Times New Roman" w:cs="Arial"/>
          <w:b/>
          <w:bCs/>
          <w:color w:val="auto"/>
          <w:sz w:val="20"/>
          <w:szCs w:val="20"/>
          <w:lang w:eastAsia="it-IT"/>
        </w:rPr>
      </w:pPr>
      <w:bookmarkStart w:id="706" w:name="_Toc504498861"/>
      <w:bookmarkStart w:id="707" w:name="_Toc52873743"/>
      <w:r w:rsidRPr="00A9330B">
        <w:rPr>
          <w:b/>
          <w:sz w:val="20"/>
          <w:szCs w:val="20"/>
        </w:rPr>
        <w:t xml:space="preserve">Tableau </w:t>
      </w:r>
      <w:r w:rsidRPr="00A9330B">
        <w:rPr>
          <w:b/>
          <w:sz w:val="20"/>
          <w:szCs w:val="20"/>
        </w:rPr>
        <w:fldChar w:fldCharType="begin"/>
      </w:r>
      <w:r w:rsidRPr="00A9330B">
        <w:rPr>
          <w:b/>
          <w:sz w:val="20"/>
          <w:szCs w:val="20"/>
        </w:rPr>
        <w:instrText xml:space="preserve"> SEQ Tableau \* ARABIC </w:instrText>
      </w:r>
      <w:r w:rsidRPr="00A9330B">
        <w:rPr>
          <w:b/>
          <w:sz w:val="20"/>
          <w:szCs w:val="20"/>
        </w:rPr>
        <w:fldChar w:fldCharType="separate"/>
      </w:r>
      <w:r w:rsidR="00417D31" w:rsidRPr="00A9330B">
        <w:rPr>
          <w:b/>
          <w:noProof/>
          <w:sz w:val="20"/>
          <w:szCs w:val="20"/>
        </w:rPr>
        <w:t>19</w:t>
      </w:r>
      <w:r w:rsidRPr="00A9330B">
        <w:rPr>
          <w:b/>
          <w:sz w:val="20"/>
          <w:szCs w:val="20"/>
        </w:rPr>
        <w:fldChar w:fldCharType="end"/>
      </w:r>
      <w:r w:rsidRPr="00A9330B">
        <w:rPr>
          <w:b/>
          <w:sz w:val="20"/>
          <w:szCs w:val="20"/>
        </w:rPr>
        <w:t xml:space="preserve"> </w:t>
      </w:r>
      <w:r w:rsidRPr="00A9330B">
        <w:rPr>
          <w:rFonts w:eastAsia="Times New Roman" w:cs="Arial"/>
          <w:b/>
          <w:bCs/>
          <w:color w:val="auto"/>
          <w:sz w:val="20"/>
          <w:szCs w:val="20"/>
          <w:lang w:eastAsia="it-IT"/>
        </w:rPr>
        <w:t xml:space="preserve">: </w:t>
      </w:r>
      <w:r w:rsidR="00F8352E" w:rsidRPr="00A9330B">
        <w:rPr>
          <w:rFonts w:eastAsia="Times New Roman" w:cs="Arial"/>
          <w:b/>
          <w:bCs/>
          <w:color w:val="auto"/>
          <w:sz w:val="20"/>
          <w:szCs w:val="20"/>
          <w:lang w:eastAsia="it-IT"/>
        </w:rPr>
        <w:t>Valeurs des pluies journalières maximales pour différentes périodes de retour</w:t>
      </w:r>
      <w:bookmarkEnd w:id="706"/>
      <w:bookmarkEnd w:id="707"/>
    </w:p>
    <w:tbl>
      <w:tblPr>
        <w:tblW w:w="9065" w:type="dxa"/>
        <w:jc w:val="center"/>
        <w:tblLayout w:type="fixed"/>
        <w:tblCellMar>
          <w:left w:w="0" w:type="dxa"/>
          <w:right w:w="0" w:type="dxa"/>
        </w:tblCellMar>
        <w:tblLook w:val="0000" w:firstRow="0" w:lastRow="0" w:firstColumn="0" w:lastColumn="0" w:noHBand="0" w:noVBand="0"/>
      </w:tblPr>
      <w:tblGrid>
        <w:gridCol w:w="1125"/>
        <w:gridCol w:w="1232"/>
        <w:gridCol w:w="772"/>
        <w:gridCol w:w="772"/>
        <w:gridCol w:w="641"/>
        <w:gridCol w:w="641"/>
        <w:gridCol w:w="707"/>
        <w:gridCol w:w="707"/>
        <w:gridCol w:w="722"/>
        <w:gridCol w:w="851"/>
        <w:gridCol w:w="895"/>
      </w:tblGrid>
      <w:tr w:rsidR="00F8352E" w:rsidRPr="00A9330B" w14:paraId="1C000578" w14:textId="77777777" w:rsidTr="0025132A">
        <w:trPr>
          <w:trHeight w:hRule="exact" w:val="317"/>
          <w:jc w:val="center"/>
        </w:trPr>
        <w:tc>
          <w:tcPr>
            <w:tcW w:w="9065" w:type="dxa"/>
            <w:gridSpan w:val="11"/>
            <w:tcBorders>
              <w:top w:val="single" w:sz="7" w:space="0" w:color="221F1F"/>
              <w:left w:val="single" w:sz="6" w:space="0" w:color="221F1F"/>
              <w:bottom w:val="single" w:sz="7" w:space="0" w:color="221F1F"/>
              <w:right w:val="single" w:sz="6" w:space="0" w:color="221F1F"/>
            </w:tcBorders>
            <w:vAlign w:val="center"/>
          </w:tcPr>
          <w:p w14:paraId="74C7471C" w14:textId="77777777" w:rsidR="00F8352E" w:rsidRPr="00A9330B" w:rsidRDefault="00F8352E" w:rsidP="00F8352E">
            <w:pPr>
              <w:widowControl w:val="0"/>
              <w:overflowPunct w:val="0"/>
              <w:autoSpaceDE w:val="0"/>
              <w:autoSpaceDN w:val="0"/>
              <w:adjustRightInd w:val="0"/>
              <w:spacing w:before="55" w:line="360" w:lineRule="auto"/>
              <w:ind w:left="61"/>
              <w:jc w:val="both"/>
              <w:textAlignment w:val="baseline"/>
              <w:rPr>
                <w:rFonts w:eastAsia="Times New Roman" w:cs="Arial"/>
                <w:color w:val="221F1F"/>
                <w:sz w:val="20"/>
                <w:lang w:eastAsia="it-IT"/>
              </w:rPr>
            </w:pPr>
            <w:r w:rsidRPr="00A9330B">
              <w:rPr>
                <w:rFonts w:eastAsia="Times New Roman" w:cs="Arial"/>
                <w:color w:val="221F1F"/>
                <w:sz w:val="20"/>
                <w:lang w:eastAsia="it-IT"/>
              </w:rPr>
              <w:t>Pluies journalières extrêmes (mm)</w:t>
            </w:r>
          </w:p>
        </w:tc>
      </w:tr>
      <w:tr w:rsidR="00F8352E" w:rsidRPr="00A9330B" w14:paraId="57BA9AC6" w14:textId="77777777" w:rsidTr="0025132A">
        <w:trPr>
          <w:trHeight w:hRule="exact" w:val="317"/>
          <w:jc w:val="center"/>
        </w:trPr>
        <w:tc>
          <w:tcPr>
            <w:tcW w:w="1125" w:type="dxa"/>
            <w:vMerge w:val="restart"/>
            <w:tcBorders>
              <w:top w:val="single" w:sz="7" w:space="0" w:color="221F1F"/>
              <w:left w:val="single" w:sz="6" w:space="0" w:color="221F1F"/>
              <w:right w:val="single" w:sz="6" w:space="0" w:color="221F1F"/>
            </w:tcBorders>
            <w:vAlign w:val="center"/>
          </w:tcPr>
          <w:p w14:paraId="47DE8FA8" w14:textId="77777777" w:rsidR="00F8352E" w:rsidRPr="00A9330B" w:rsidRDefault="00F8352E" w:rsidP="00F8352E">
            <w:pPr>
              <w:widowControl w:val="0"/>
              <w:overflowPunct w:val="0"/>
              <w:autoSpaceDE w:val="0"/>
              <w:autoSpaceDN w:val="0"/>
              <w:adjustRightInd w:val="0"/>
              <w:spacing w:before="56" w:line="360" w:lineRule="auto"/>
              <w:ind w:left="61"/>
              <w:jc w:val="both"/>
              <w:textAlignment w:val="baseline"/>
              <w:rPr>
                <w:rFonts w:eastAsia="Times New Roman" w:cs="Arial"/>
                <w:color w:val="221F1F"/>
                <w:sz w:val="20"/>
                <w:lang w:eastAsia="it-IT"/>
              </w:rPr>
            </w:pPr>
            <w:r w:rsidRPr="00A9330B">
              <w:rPr>
                <w:rFonts w:eastAsia="Times New Roman" w:cs="Arial"/>
                <w:color w:val="221F1F"/>
                <w:sz w:val="20"/>
                <w:lang w:eastAsia="it-IT"/>
              </w:rPr>
              <w:t>Station</w:t>
            </w:r>
          </w:p>
          <w:p w14:paraId="4039E950" w14:textId="77777777" w:rsidR="00F8352E" w:rsidRPr="00A9330B" w:rsidRDefault="00F8352E" w:rsidP="00F8352E">
            <w:pPr>
              <w:widowControl w:val="0"/>
              <w:overflowPunct w:val="0"/>
              <w:autoSpaceDE w:val="0"/>
              <w:autoSpaceDN w:val="0"/>
              <w:adjustRightInd w:val="0"/>
              <w:spacing w:before="56" w:line="360" w:lineRule="auto"/>
              <w:ind w:left="61"/>
              <w:jc w:val="both"/>
              <w:textAlignment w:val="baseline"/>
              <w:rPr>
                <w:rFonts w:eastAsia="Times New Roman" w:cs="Arial"/>
                <w:color w:val="auto"/>
                <w:sz w:val="20"/>
                <w:lang w:eastAsia="it-IT"/>
              </w:rPr>
            </w:pPr>
            <w:r w:rsidRPr="00A9330B">
              <w:rPr>
                <w:rFonts w:eastAsia="Times New Roman" w:cs="Arial"/>
                <w:color w:val="221F1F"/>
                <w:sz w:val="20"/>
                <w:lang w:eastAsia="it-IT"/>
              </w:rPr>
              <w:t>Natitingou</w:t>
            </w:r>
          </w:p>
        </w:tc>
        <w:tc>
          <w:tcPr>
            <w:tcW w:w="1232" w:type="dxa"/>
            <w:tcBorders>
              <w:top w:val="single" w:sz="7" w:space="0" w:color="221F1F"/>
              <w:left w:val="single" w:sz="6" w:space="0" w:color="221F1F"/>
              <w:bottom w:val="single" w:sz="7" w:space="0" w:color="221F1F"/>
              <w:right w:val="single" w:sz="6" w:space="0" w:color="221F1F"/>
            </w:tcBorders>
            <w:vAlign w:val="center"/>
          </w:tcPr>
          <w:p w14:paraId="08B86E45" w14:textId="77777777" w:rsidR="00F8352E" w:rsidRPr="00A9330B" w:rsidRDefault="00F8352E" w:rsidP="00F8352E">
            <w:pPr>
              <w:widowControl w:val="0"/>
              <w:overflowPunct w:val="0"/>
              <w:autoSpaceDE w:val="0"/>
              <w:autoSpaceDN w:val="0"/>
              <w:adjustRightInd w:val="0"/>
              <w:spacing w:before="55" w:line="360" w:lineRule="auto"/>
              <w:ind w:left="61"/>
              <w:jc w:val="both"/>
              <w:textAlignment w:val="baseline"/>
              <w:rPr>
                <w:rFonts w:eastAsia="Times New Roman" w:cs="Arial"/>
                <w:color w:val="auto"/>
                <w:sz w:val="20"/>
                <w:lang w:eastAsia="it-IT"/>
              </w:rPr>
            </w:pPr>
            <w:r w:rsidRPr="00A9330B">
              <w:rPr>
                <w:rFonts w:eastAsia="Times New Roman" w:cs="Arial"/>
                <w:color w:val="221F1F"/>
                <w:sz w:val="20"/>
                <w:lang w:eastAsia="it-IT"/>
              </w:rPr>
              <w:t>T (ans)</w:t>
            </w:r>
          </w:p>
        </w:tc>
        <w:tc>
          <w:tcPr>
            <w:tcW w:w="772" w:type="dxa"/>
            <w:tcBorders>
              <w:top w:val="single" w:sz="7" w:space="0" w:color="221F1F"/>
              <w:left w:val="single" w:sz="6" w:space="0" w:color="221F1F"/>
              <w:bottom w:val="single" w:sz="7" w:space="0" w:color="221F1F"/>
              <w:right w:val="single" w:sz="6" w:space="0" w:color="221F1F"/>
            </w:tcBorders>
            <w:vAlign w:val="center"/>
          </w:tcPr>
          <w:p w14:paraId="266AF621" w14:textId="77777777" w:rsidR="00F8352E" w:rsidRPr="00A9330B" w:rsidRDefault="00F8352E" w:rsidP="00F8352E">
            <w:pPr>
              <w:widowControl w:val="0"/>
              <w:overflowPunct w:val="0"/>
              <w:autoSpaceDE w:val="0"/>
              <w:autoSpaceDN w:val="0"/>
              <w:adjustRightInd w:val="0"/>
              <w:spacing w:before="55" w:line="360" w:lineRule="auto"/>
              <w:ind w:left="61"/>
              <w:jc w:val="both"/>
              <w:textAlignment w:val="baseline"/>
              <w:rPr>
                <w:rFonts w:eastAsia="Times New Roman" w:cs="Arial"/>
                <w:color w:val="221F1F"/>
                <w:sz w:val="20"/>
                <w:lang w:eastAsia="it-IT"/>
              </w:rPr>
            </w:pPr>
            <w:r w:rsidRPr="00A9330B">
              <w:rPr>
                <w:rFonts w:eastAsia="Times New Roman" w:cs="Arial"/>
                <w:color w:val="221F1F"/>
                <w:sz w:val="20"/>
                <w:lang w:eastAsia="it-IT"/>
              </w:rPr>
              <w:t>1 an</w:t>
            </w:r>
          </w:p>
        </w:tc>
        <w:tc>
          <w:tcPr>
            <w:tcW w:w="772" w:type="dxa"/>
            <w:tcBorders>
              <w:top w:val="single" w:sz="7" w:space="0" w:color="221F1F"/>
              <w:left w:val="single" w:sz="6" w:space="0" w:color="221F1F"/>
              <w:bottom w:val="single" w:sz="7" w:space="0" w:color="221F1F"/>
              <w:right w:val="single" w:sz="6" w:space="0" w:color="221F1F"/>
            </w:tcBorders>
            <w:vAlign w:val="center"/>
          </w:tcPr>
          <w:p w14:paraId="70711824" w14:textId="77777777" w:rsidR="00F8352E" w:rsidRPr="00A9330B" w:rsidRDefault="00F8352E" w:rsidP="00F8352E">
            <w:pPr>
              <w:widowControl w:val="0"/>
              <w:overflowPunct w:val="0"/>
              <w:autoSpaceDE w:val="0"/>
              <w:autoSpaceDN w:val="0"/>
              <w:adjustRightInd w:val="0"/>
              <w:spacing w:before="55" w:line="360" w:lineRule="auto"/>
              <w:ind w:left="61"/>
              <w:jc w:val="both"/>
              <w:textAlignment w:val="baseline"/>
              <w:rPr>
                <w:rFonts w:eastAsia="Times New Roman" w:cs="Arial"/>
                <w:color w:val="auto"/>
                <w:sz w:val="20"/>
                <w:lang w:eastAsia="it-IT"/>
              </w:rPr>
            </w:pPr>
            <w:r w:rsidRPr="00A9330B">
              <w:rPr>
                <w:rFonts w:eastAsia="Times New Roman" w:cs="Arial"/>
                <w:color w:val="221F1F"/>
                <w:sz w:val="20"/>
                <w:lang w:eastAsia="it-IT"/>
              </w:rPr>
              <w:t>2 ans</w:t>
            </w:r>
          </w:p>
        </w:tc>
        <w:tc>
          <w:tcPr>
            <w:tcW w:w="641" w:type="dxa"/>
            <w:tcBorders>
              <w:top w:val="single" w:sz="7" w:space="0" w:color="221F1F"/>
              <w:left w:val="single" w:sz="6" w:space="0" w:color="221F1F"/>
              <w:bottom w:val="single" w:sz="7" w:space="0" w:color="221F1F"/>
              <w:right w:val="single" w:sz="6" w:space="0" w:color="221F1F"/>
            </w:tcBorders>
            <w:vAlign w:val="center"/>
          </w:tcPr>
          <w:p w14:paraId="3DB81A35" w14:textId="77777777" w:rsidR="00F8352E" w:rsidRPr="00A9330B" w:rsidRDefault="00F8352E" w:rsidP="00F8352E">
            <w:pPr>
              <w:widowControl w:val="0"/>
              <w:overflowPunct w:val="0"/>
              <w:autoSpaceDE w:val="0"/>
              <w:autoSpaceDN w:val="0"/>
              <w:adjustRightInd w:val="0"/>
              <w:spacing w:before="55" w:line="360" w:lineRule="auto"/>
              <w:ind w:left="62"/>
              <w:jc w:val="both"/>
              <w:textAlignment w:val="baseline"/>
              <w:rPr>
                <w:rFonts w:eastAsia="Times New Roman" w:cs="Arial"/>
                <w:color w:val="221F1F"/>
                <w:sz w:val="20"/>
                <w:lang w:eastAsia="it-IT"/>
              </w:rPr>
            </w:pPr>
            <w:r w:rsidRPr="00A9330B">
              <w:rPr>
                <w:rFonts w:eastAsia="Times New Roman" w:cs="Arial"/>
                <w:color w:val="221F1F"/>
                <w:sz w:val="20"/>
                <w:lang w:eastAsia="it-IT"/>
              </w:rPr>
              <w:t>3 ans</w:t>
            </w:r>
          </w:p>
        </w:tc>
        <w:tc>
          <w:tcPr>
            <w:tcW w:w="641" w:type="dxa"/>
            <w:tcBorders>
              <w:top w:val="single" w:sz="7" w:space="0" w:color="221F1F"/>
              <w:left w:val="single" w:sz="6" w:space="0" w:color="221F1F"/>
              <w:bottom w:val="single" w:sz="7" w:space="0" w:color="221F1F"/>
              <w:right w:val="single" w:sz="6" w:space="0" w:color="221F1F"/>
            </w:tcBorders>
            <w:vAlign w:val="center"/>
          </w:tcPr>
          <w:p w14:paraId="5AD24A47" w14:textId="77777777" w:rsidR="00F8352E" w:rsidRPr="00A9330B" w:rsidRDefault="00F8352E" w:rsidP="00F8352E">
            <w:pPr>
              <w:widowControl w:val="0"/>
              <w:overflowPunct w:val="0"/>
              <w:autoSpaceDE w:val="0"/>
              <w:autoSpaceDN w:val="0"/>
              <w:adjustRightInd w:val="0"/>
              <w:spacing w:before="55" w:line="360" w:lineRule="auto"/>
              <w:ind w:left="62"/>
              <w:jc w:val="both"/>
              <w:textAlignment w:val="baseline"/>
              <w:rPr>
                <w:rFonts w:eastAsia="Times New Roman" w:cs="Arial"/>
                <w:color w:val="auto"/>
                <w:sz w:val="20"/>
                <w:lang w:eastAsia="it-IT"/>
              </w:rPr>
            </w:pPr>
            <w:r w:rsidRPr="00A9330B">
              <w:rPr>
                <w:rFonts w:eastAsia="Times New Roman" w:cs="Arial"/>
                <w:color w:val="221F1F"/>
                <w:sz w:val="20"/>
                <w:lang w:eastAsia="it-IT"/>
              </w:rPr>
              <w:t>5 ans ans</w:t>
            </w:r>
          </w:p>
        </w:tc>
        <w:tc>
          <w:tcPr>
            <w:tcW w:w="707" w:type="dxa"/>
            <w:tcBorders>
              <w:top w:val="single" w:sz="7" w:space="0" w:color="221F1F"/>
              <w:left w:val="single" w:sz="6" w:space="0" w:color="221F1F"/>
              <w:bottom w:val="single" w:sz="7" w:space="0" w:color="221F1F"/>
              <w:right w:val="single" w:sz="6" w:space="0" w:color="221F1F"/>
            </w:tcBorders>
            <w:vAlign w:val="center"/>
          </w:tcPr>
          <w:p w14:paraId="50787CA1" w14:textId="77777777" w:rsidR="00F8352E" w:rsidRPr="00A9330B" w:rsidRDefault="00F8352E" w:rsidP="00F8352E">
            <w:pPr>
              <w:widowControl w:val="0"/>
              <w:overflowPunct w:val="0"/>
              <w:autoSpaceDE w:val="0"/>
              <w:autoSpaceDN w:val="0"/>
              <w:adjustRightInd w:val="0"/>
              <w:spacing w:before="55" w:line="360" w:lineRule="auto"/>
              <w:ind w:left="62"/>
              <w:jc w:val="both"/>
              <w:textAlignment w:val="baseline"/>
              <w:rPr>
                <w:rFonts w:eastAsia="Times New Roman" w:cs="Arial"/>
                <w:color w:val="auto"/>
                <w:sz w:val="20"/>
                <w:lang w:eastAsia="it-IT"/>
              </w:rPr>
            </w:pPr>
            <w:r w:rsidRPr="00A9330B">
              <w:rPr>
                <w:rFonts w:eastAsia="Times New Roman" w:cs="Arial"/>
                <w:color w:val="221F1F"/>
                <w:sz w:val="20"/>
                <w:lang w:eastAsia="it-IT"/>
              </w:rPr>
              <w:t>10 a</w:t>
            </w:r>
            <w:r w:rsidRPr="00A9330B">
              <w:rPr>
                <w:rFonts w:eastAsia="Times New Roman" w:cs="Arial"/>
                <w:color w:val="221F1F"/>
                <w:spacing w:val="-1"/>
                <w:sz w:val="20"/>
                <w:lang w:eastAsia="it-IT"/>
              </w:rPr>
              <w:t>n</w:t>
            </w:r>
            <w:r w:rsidRPr="00A9330B">
              <w:rPr>
                <w:rFonts w:eastAsia="Times New Roman" w:cs="Arial"/>
                <w:color w:val="221F1F"/>
                <w:sz w:val="20"/>
                <w:lang w:eastAsia="it-IT"/>
              </w:rPr>
              <w:t>s</w:t>
            </w:r>
          </w:p>
        </w:tc>
        <w:tc>
          <w:tcPr>
            <w:tcW w:w="707" w:type="dxa"/>
            <w:tcBorders>
              <w:top w:val="single" w:sz="7" w:space="0" w:color="221F1F"/>
              <w:left w:val="single" w:sz="6" w:space="0" w:color="221F1F"/>
              <w:bottom w:val="single" w:sz="7" w:space="0" w:color="221F1F"/>
              <w:right w:val="single" w:sz="6" w:space="0" w:color="221F1F"/>
            </w:tcBorders>
            <w:vAlign w:val="center"/>
          </w:tcPr>
          <w:p w14:paraId="3952097A" w14:textId="77777777" w:rsidR="00F8352E" w:rsidRPr="00A9330B" w:rsidRDefault="00F8352E" w:rsidP="00F8352E">
            <w:pPr>
              <w:widowControl w:val="0"/>
              <w:overflowPunct w:val="0"/>
              <w:autoSpaceDE w:val="0"/>
              <w:autoSpaceDN w:val="0"/>
              <w:adjustRightInd w:val="0"/>
              <w:spacing w:before="55" w:line="360" w:lineRule="auto"/>
              <w:ind w:left="62"/>
              <w:jc w:val="both"/>
              <w:textAlignment w:val="baseline"/>
              <w:rPr>
                <w:rFonts w:eastAsia="Times New Roman" w:cs="Arial"/>
                <w:color w:val="auto"/>
                <w:sz w:val="20"/>
                <w:lang w:eastAsia="it-IT"/>
              </w:rPr>
            </w:pPr>
            <w:r w:rsidRPr="00A9330B">
              <w:rPr>
                <w:rFonts w:eastAsia="Times New Roman" w:cs="Arial"/>
                <w:color w:val="221F1F"/>
                <w:sz w:val="20"/>
                <w:lang w:eastAsia="it-IT"/>
              </w:rPr>
              <w:t>20 ans</w:t>
            </w:r>
          </w:p>
        </w:tc>
        <w:tc>
          <w:tcPr>
            <w:tcW w:w="722" w:type="dxa"/>
            <w:tcBorders>
              <w:top w:val="single" w:sz="7" w:space="0" w:color="221F1F"/>
              <w:left w:val="single" w:sz="6" w:space="0" w:color="221F1F"/>
              <w:bottom w:val="single" w:sz="7" w:space="0" w:color="221F1F"/>
              <w:right w:val="single" w:sz="6" w:space="0" w:color="221F1F"/>
            </w:tcBorders>
            <w:vAlign w:val="center"/>
          </w:tcPr>
          <w:p w14:paraId="1B4250C2" w14:textId="77777777" w:rsidR="00F8352E" w:rsidRPr="00A9330B" w:rsidRDefault="00F8352E" w:rsidP="00F8352E">
            <w:pPr>
              <w:widowControl w:val="0"/>
              <w:overflowPunct w:val="0"/>
              <w:autoSpaceDE w:val="0"/>
              <w:autoSpaceDN w:val="0"/>
              <w:adjustRightInd w:val="0"/>
              <w:spacing w:before="55" w:line="360" w:lineRule="auto"/>
              <w:ind w:left="62"/>
              <w:jc w:val="both"/>
              <w:textAlignment w:val="baseline"/>
              <w:rPr>
                <w:rFonts w:eastAsia="Times New Roman" w:cs="Arial"/>
                <w:color w:val="auto"/>
                <w:sz w:val="20"/>
                <w:lang w:eastAsia="it-IT"/>
              </w:rPr>
            </w:pPr>
            <w:r w:rsidRPr="00A9330B">
              <w:rPr>
                <w:rFonts w:eastAsia="Times New Roman" w:cs="Arial"/>
                <w:color w:val="221F1F"/>
                <w:sz w:val="20"/>
                <w:lang w:eastAsia="it-IT"/>
              </w:rPr>
              <w:t>50 ans</w:t>
            </w:r>
          </w:p>
        </w:tc>
        <w:tc>
          <w:tcPr>
            <w:tcW w:w="851" w:type="dxa"/>
            <w:tcBorders>
              <w:top w:val="single" w:sz="7" w:space="0" w:color="221F1F"/>
              <w:left w:val="single" w:sz="6" w:space="0" w:color="221F1F"/>
              <w:bottom w:val="single" w:sz="7" w:space="0" w:color="221F1F"/>
              <w:right w:val="single" w:sz="6" w:space="0" w:color="221F1F"/>
            </w:tcBorders>
            <w:vAlign w:val="center"/>
          </w:tcPr>
          <w:p w14:paraId="5A20E83C" w14:textId="77777777" w:rsidR="00F8352E" w:rsidRPr="00A9330B" w:rsidRDefault="00F8352E" w:rsidP="00F8352E">
            <w:pPr>
              <w:widowControl w:val="0"/>
              <w:overflowPunct w:val="0"/>
              <w:autoSpaceDE w:val="0"/>
              <w:autoSpaceDN w:val="0"/>
              <w:adjustRightInd w:val="0"/>
              <w:spacing w:before="55" w:line="360" w:lineRule="auto"/>
              <w:ind w:left="62"/>
              <w:jc w:val="both"/>
              <w:textAlignment w:val="baseline"/>
              <w:rPr>
                <w:rFonts w:eastAsia="Times New Roman" w:cs="Arial"/>
                <w:color w:val="auto"/>
                <w:sz w:val="20"/>
                <w:lang w:eastAsia="it-IT"/>
              </w:rPr>
            </w:pPr>
            <w:r w:rsidRPr="00A9330B">
              <w:rPr>
                <w:rFonts w:eastAsia="Times New Roman" w:cs="Arial"/>
                <w:color w:val="221F1F"/>
                <w:sz w:val="20"/>
                <w:lang w:eastAsia="it-IT"/>
              </w:rPr>
              <w:t>100 ans</w:t>
            </w:r>
          </w:p>
        </w:tc>
        <w:tc>
          <w:tcPr>
            <w:tcW w:w="895" w:type="dxa"/>
            <w:tcBorders>
              <w:top w:val="single" w:sz="7" w:space="0" w:color="221F1F"/>
              <w:left w:val="single" w:sz="6" w:space="0" w:color="221F1F"/>
              <w:bottom w:val="single" w:sz="7" w:space="0" w:color="221F1F"/>
              <w:right w:val="single" w:sz="6" w:space="0" w:color="221F1F"/>
            </w:tcBorders>
            <w:vAlign w:val="center"/>
          </w:tcPr>
          <w:p w14:paraId="3B7A23C2" w14:textId="77777777" w:rsidR="00F8352E" w:rsidRPr="00A9330B" w:rsidRDefault="00F8352E" w:rsidP="00F8352E">
            <w:pPr>
              <w:widowControl w:val="0"/>
              <w:overflowPunct w:val="0"/>
              <w:autoSpaceDE w:val="0"/>
              <w:autoSpaceDN w:val="0"/>
              <w:adjustRightInd w:val="0"/>
              <w:spacing w:before="55" w:line="360" w:lineRule="auto"/>
              <w:ind w:left="62"/>
              <w:jc w:val="both"/>
              <w:textAlignment w:val="baseline"/>
              <w:rPr>
                <w:rFonts w:eastAsia="Times New Roman" w:cs="Arial"/>
                <w:color w:val="221F1F"/>
                <w:sz w:val="20"/>
                <w:lang w:eastAsia="it-IT"/>
              </w:rPr>
            </w:pPr>
            <w:r w:rsidRPr="00A9330B">
              <w:rPr>
                <w:rFonts w:eastAsia="Times New Roman" w:cs="Arial"/>
                <w:color w:val="221F1F"/>
                <w:sz w:val="20"/>
                <w:lang w:eastAsia="it-IT"/>
              </w:rPr>
              <w:t>200 ans</w:t>
            </w:r>
          </w:p>
        </w:tc>
      </w:tr>
      <w:tr w:rsidR="00F8352E" w:rsidRPr="00A9330B" w14:paraId="5E80D21B" w14:textId="77777777" w:rsidTr="0025132A">
        <w:trPr>
          <w:trHeight w:hRule="exact" w:val="317"/>
          <w:jc w:val="center"/>
        </w:trPr>
        <w:tc>
          <w:tcPr>
            <w:tcW w:w="1125" w:type="dxa"/>
            <w:vMerge/>
            <w:tcBorders>
              <w:left w:val="single" w:sz="6" w:space="0" w:color="221F1F"/>
              <w:right w:val="single" w:sz="6" w:space="0" w:color="221F1F"/>
            </w:tcBorders>
            <w:vAlign w:val="center"/>
          </w:tcPr>
          <w:p w14:paraId="2CD07AD8" w14:textId="77777777" w:rsidR="00F8352E" w:rsidRPr="00A9330B" w:rsidRDefault="00F8352E" w:rsidP="00F8352E">
            <w:pPr>
              <w:widowControl w:val="0"/>
              <w:overflowPunct w:val="0"/>
              <w:autoSpaceDE w:val="0"/>
              <w:autoSpaceDN w:val="0"/>
              <w:adjustRightInd w:val="0"/>
              <w:spacing w:before="56" w:line="360" w:lineRule="auto"/>
              <w:ind w:left="61"/>
              <w:jc w:val="both"/>
              <w:textAlignment w:val="baseline"/>
              <w:rPr>
                <w:rFonts w:eastAsia="Times New Roman" w:cs="Arial"/>
                <w:color w:val="auto"/>
                <w:sz w:val="20"/>
                <w:lang w:eastAsia="it-IT"/>
              </w:rPr>
            </w:pPr>
          </w:p>
        </w:tc>
        <w:tc>
          <w:tcPr>
            <w:tcW w:w="1232" w:type="dxa"/>
            <w:tcBorders>
              <w:top w:val="single" w:sz="7" w:space="0" w:color="221F1F"/>
              <w:left w:val="single" w:sz="6" w:space="0" w:color="221F1F"/>
              <w:bottom w:val="single" w:sz="7" w:space="0" w:color="221F1F"/>
              <w:right w:val="single" w:sz="6" w:space="0" w:color="221F1F"/>
            </w:tcBorders>
            <w:vAlign w:val="center"/>
          </w:tcPr>
          <w:p w14:paraId="55056CEF" w14:textId="77777777" w:rsidR="00F8352E" w:rsidRPr="00A9330B" w:rsidRDefault="00F8352E" w:rsidP="00F8352E">
            <w:pPr>
              <w:widowControl w:val="0"/>
              <w:overflowPunct w:val="0"/>
              <w:autoSpaceDE w:val="0"/>
              <w:autoSpaceDN w:val="0"/>
              <w:adjustRightInd w:val="0"/>
              <w:spacing w:before="56" w:line="360" w:lineRule="auto"/>
              <w:ind w:left="60"/>
              <w:jc w:val="both"/>
              <w:textAlignment w:val="baseline"/>
              <w:rPr>
                <w:rFonts w:eastAsia="Times New Roman" w:cs="Arial"/>
                <w:color w:val="auto"/>
                <w:sz w:val="20"/>
                <w:lang w:eastAsia="it-IT"/>
              </w:rPr>
            </w:pPr>
            <w:r w:rsidRPr="00A9330B">
              <w:rPr>
                <w:rFonts w:eastAsia="Times New Roman" w:cs="Arial"/>
                <w:color w:val="221F1F"/>
                <w:sz w:val="20"/>
                <w:lang w:eastAsia="it-IT"/>
              </w:rPr>
              <w:t>Pjmax (mm)</w:t>
            </w:r>
          </w:p>
        </w:tc>
        <w:tc>
          <w:tcPr>
            <w:tcW w:w="772" w:type="dxa"/>
            <w:tcBorders>
              <w:top w:val="single" w:sz="7" w:space="0" w:color="221F1F"/>
              <w:left w:val="single" w:sz="6" w:space="0" w:color="221F1F"/>
              <w:bottom w:val="single" w:sz="7" w:space="0" w:color="221F1F"/>
              <w:right w:val="single" w:sz="6" w:space="0" w:color="221F1F"/>
            </w:tcBorders>
            <w:vAlign w:val="center"/>
          </w:tcPr>
          <w:p w14:paraId="4C30FD11" w14:textId="77777777" w:rsidR="00F8352E" w:rsidRPr="00A9330B" w:rsidRDefault="00F8352E" w:rsidP="00F8352E">
            <w:pPr>
              <w:widowControl w:val="0"/>
              <w:overflowPunct w:val="0"/>
              <w:autoSpaceDE w:val="0"/>
              <w:autoSpaceDN w:val="0"/>
              <w:adjustRightInd w:val="0"/>
              <w:spacing w:before="56" w:line="360" w:lineRule="auto"/>
              <w:ind w:left="62"/>
              <w:jc w:val="both"/>
              <w:textAlignment w:val="baseline"/>
              <w:rPr>
                <w:rFonts w:eastAsia="Times New Roman" w:cs="Arial"/>
                <w:color w:val="221F1F"/>
                <w:sz w:val="20"/>
                <w:lang w:eastAsia="it-IT"/>
              </w:rPr>
            </w:pPr>
            <w:r w:rsidRPr="00A9330B">
              <w:rPr>
                <w:rFonts w:eastAsia="Times New Roman" w:cs="Arial"/>
                <w:color w:val="221F1F"/>
                <w:sz w:val="20"/>
                <w:lang w:eastAsia="it-IT"/>
              </w:rPr>
              <w:t>54,5</w:t>
            </w:r>
          </w:p>
        </w:tc>
        <w:tc>
          <w:tcPr>
            <w:tcW w:w="772" w:type="dxa"/>
            <w:tcBorders>
              <w:top w:val="single" w:sz="7" w:space="0" w:color="221F1F"/>
              <w:left w:val="single" w:sz="6" w:space="0" w:color="221F1F"/>
              <w:bottom w:val="single" w:sz="7" w:space="0" w:color="221F1F"/>
              <w:right w:val="single" w:sz="6" w:space="0" w:color="221F1F"/>
            </w:tcBorders>
            <w:vAlign w:val="center"/>
          </w:tcPr>
          <w:p w14:paraId="0E6952C4" w14:textId="77777777" w:rsidR="00F8352E" w:rsidRPr="00A9330B" w:rsidRDefault="00F8352E" w:rsidP="00F8352E">
            <w:pPr>
              <w:widowControl w:val="0"/>
              <w:overflowPunct w:val="0"/>
              <w:autoSpaceDE w:val="0"/>
              <w:autoSpaceDN w:val="0"/>
              <w:adjustRightInd w:val="0"/>
              <w:spacing w:before="56" w:line="360" w:lineRule="auto"/>
              <w:ind w:left="62"/>
              <w:jc w:val="both"/>
              <w:textAlignment w:val="baseline"/>
              <w:rPr>
                <w:rFonts w:eastAsia="Times New Roman" w:cs="Arial"/>
                <w:color w:val="auto"/>
                <w:sz w:val="20"/>
                <w:lang w:eastAsia="it-IT"/>
              </w:rPr>
            </w:pPr>
            <w:r w:rsidRPr="00A9330B">
              <w:rPr>
                <w:rFonts w:eastAsia="Times New Roman" w:cs="Arial"/>
                <w:color w:val="221F1F"/>
                <w:sz w:val="20"/>
                <w:lang w:eastAsia="it-IT"/>
              </w:rPr>
              <w:t>61,2</w:t>
            </w:r>
          </w:p>
        </w:tc>
        <w:tc>
          <w:tcPr>
            <w:tcW w:w="641" w:type="dxa"/>
            <w:tcBorders>
              <w:top w:val="single" w:sz="7" w:space="0" w:color="221F1F"/>
              <w:left w:val="single" w:sz="6" w:space="0" w:color="221F1F"/>
              <w:bottom w:val="single" w:sz="7" w:space="0" w:color="221F1F"/>
              <w:right w:val="single" w:sz="6" w:space="0" w:color="221F1F"/>
            </w:tcBorders>
            <w:vAlign w:val="center"/>
          </w:tcPr>
          <w:p w14:paraId="7998D7A8" w14:textId="77777777" w:rsidR="00F8352E" w:rsidRPr="00A9330B" w:rsidRDefault="00F8352E" w:rsidP="00F8352E">
            <w:pPr>
              <w:widowControl w:val="0"/>
              <w:overflowPunct w:val="0"/>
              <w:autoSpaceDE w:val="0"/>
              <w:autoSpaceDN w:val="0"/>
              <w:adjustRightInd w:val="0"/>
              <w:spacing w:before="56" w:line="360" w:lineRule="auto"/>
              <w:ind w:left="63"/>
              <w:jc w:val="both"/>
              <w:textAlignment w:val="baseline"/>
              <w:rPr>
                <w:rFonts w:eastAsia="Times New Roman" w:cs="Arial"/>
                <w:color w:val="221F1F"/>
                <w:sz w:val="20"/>
                <w:lang w:eastAsia="it-IT"/>
              </w:rPr>
            </w:pPr>
            <w:r w:rsidRPr="00A9330B">
              <w:rPr>
                <w:rFonts w:eastAsia="Times New Roman" w:cs="Arial"/>
                <w:color w:val="221F1F"/>
                <w:sz w:val="20"/>
                <w:lang w:eastAsia="it-IT"/>
              </w:rPr>
              <w:t>67,7</w:t>
            </w:r>
          </w:p>
        </w:tc>
        <w:tc>
          <w:tcPr>
            <w:tcW w:w="641" w:type="dxa"/>
            <w:tcBorders>
              <w:top w:val="single" w:sz="7" w:space="0" w:color="221F1F"/>
              <w:left w:val="single" w:sz="6" w:space="0" w:color="221F1F"/>
              <w:bottom w:val="single" w:sz="7" w:space="0" w:color="221F1F"/>
              <w:right w:val="single" w:sz="6" w:space="0" w:color="221F1F"/>
            </w:tcBorders>
            <w:vAlign w:val="center"/>
          </w:tcPr>
          <w:p w14:paraId="7796398B" w14:textId="77777777" w:rsidR="00F8352E" w:rsidRPr="00A9330B" w:rsidRDefault="00F8352E" w:rsidP="00F8352E">
            <w:pPr>
              <w:widowControl w:val="0"/>
              <w:overflowPunct w:val="0"/>
              <w:autoSpaceDE w:val="0"/>
              <w:autoSpaceDN w:val="0"/>
              <w:adjustRightInd w:val="0"/>
              <w:spacing w:before="56" w:line="360" w:lineRule="auto"/>
              <w:ind w:left="63"/>
              <w:jc w:val="both"/>
              <w:textAlignment w:val="baseline"/>
              <w:rPr>
                <w:rFonts w:eastAsia="Times New Roman" w:cs="Arial"/>
                <w:color w:val="auto"/>
                <w:sz w:val="20"/>
                <w:lang w:eastAsia="it-IT"/>
              </w:rPr>
            </w:pPr>
            <w:r w:rsidRPr="00A9330B">
              <w:rPr>
                <w:rFonts w:eastAsia="Times New Roman" w:cs="Arial"/>
                <w:color w:val="221F1F"/>
                <w:sz w:val="20"/>
                <w:lang w:eastAsia="it-IT"/>
              </w:rPr>
              <w:t>74,9</w:t>
            </w:r>
          </w:p>
        </w:tc>
        <w:tc>
          <w:tcPr>
            <w:tcW w:w="707" w:type="dxa"/>
            <w:tcBorders>
              <w:top w:val="single" w:sz="7" w:space="0" w:color="221F1F"/>
              <w:left w:val="single" w:sz="6" w:space="0" w:color="221F1F"/>
              <w:bottom w:val="single" w:sz="7" w:space="0" w:color="221F1F"/>
              <w:right w:val="single" w:sz="6" w:space="0" w:color="221F1F"/>
            </w:tcBorders>
            <w:vAlign w:val="center"/>
          </w:tcPr>
          <w:p w14:paraId="592A90E4" w14:textId="77777777" w:rsidR="00F8352E" w:rsidRPr="00A9330B" w:rsidRDefault="00F8352E" w:rsidP="00F8352E">
            <w:pPr>
              <w:widowControl w:val="0"/>
              <w:overflowPunct w:val="0"/>
              <w:autoSpaceDE w:val="0"/>
              <w:autoSpaceDN w:val="0"/>
              <w:adjustRightInd w:val="0"/>
              <w:spacing w:before="56" w:line="360" w:lineRule="auto"/>
              <w:ind w:left="62"/>
              <w:jc w:val="both"/>
              <w:textAlignment w:val="baseline"/>
              <w:rPr>
                <w:rFonts w:eastAsia="Times New Roman" w:cs="Arial"/>
                <w:color w:val="auto"/>
                <w:sz w:val="20"/>
                <w:lang w:eastAsia="it-IT"/>
              </w:rPr>
            </w:pPr>
            <w:r w:rsidRPr="00A9330B">
              <w:rPr>
                <w:rFonts w:eastAsia="Times New Roman" w:cs="Arial"/>
                <w:color w:val="221F1F"/>
                <w:sz w:val="20"/>
                <w:lang w:eastAsia="it-IT"/>
              </w:rPr>
              <w:t>84</w:t>
            </w:r>
          </w:p>
        </w:tc>
        <w:tc>
          <w:tcPr>
            <w:tcW w:w="707" w:type="dxa"/>
            <w:tcBorders>
              <w:top w:val="single" w:sz="7" w:space="0" w:color="221F1F"/>
              <w:left w:val="single" w:sz="6" w:space="0" w:color="221F1F"/>
              <w:bottom w:val="single" w:sz="7" w:space="0" w:color="221F1F"/>
              <w:right w:val="single" w:sz="6" w:space="0" w:color="221F1F"/>
            </w:tcBorders>
            <w:vAlign w:val="center"/>
          </w:tcPr>
          <w:p w14:paraId="51055D5C" w14:textId="77777777" w:rsidR="00F8352E" w:rsidRPr="00A9330B" w:rsidRDefault="00F8352E" w:rsidP="00F8352E">
            <w:pPr>
              <w:widowControl w:val="0"/>
              <w:overflowPunct w:val="0"/>
              <w:autoSpaceDE w:val="0"/>
              <w:autoSpaceDN w:val="0"/>
              <w:adjustRightInd w:val="0"/>
              <w:spacing w:before="56" w:line="360" w:lineRule="auto"/>
              <w:ind w:left="62"/>
              <w:jc w:val="both"/>
              <w:textAlignment w:val="baseline"/>
              <w:rPr>
                <w:rFonts w:eastAsia="Times New Roman" w:cs="Arial"/>
                <w:color w:val="auto"/>
                <w:sz w:val="20"/>
                <w:lang w:eastAsia="it-IT"/>
              </w:rPr>
            </w:pPr>
            <w:r w:rsidRPr="00A9330B">
              <w:rPr>
                <w:rFonts w:eastAsia="Times New Roman" w:cs="Arial"/>
                <w:color w:val="221F1F"/>
                <w:sz w:val="20"/>
                <w:lang w:eastAsia="it-IT"/>
              </w:rPr>
              <w:t>92,7</w:t>
            </w:r>
          </w:p>
        </w:tc>
        <w:tc>
          <w:tcPr>
            <w:tcW w:w="722" w:type="dxa"/>
            <w:tcBorders>
              <w:top w:val="single" w:sz="7" w:space="0" w:color="221F1F"/>
              <w:left w:val="single" w:sz="6" w:space="0" w:color="221F1F"/>
              <w:bottom w:val="single" w:sz="7" w:space="0" w:color="221F1F"/>
              <w:right w:val="single" w:sz="6" w:space="0" w:color="221F1F"/>
            </w:tcBorders>
            <w:vAlign w:val="center"/>
          </w:tcPr>
          <w:p w14:paraId="55DB66CA" w14:textId="77777777" w:rsidR="00F8352E" w:rsidRPr="00A9330B" w:rsidRDefault="00F8352E" w:rsidP="00F8352E">
            <w:pPr>
              <w:widowControl w:val="0"/>
              <w:overflowPunct w:val="0"/>
              <w:autoSpaceDE w:val="0"/>
              <w:autoSpaceDN w:val="0"/>
              <w:adjustRightInd w:val="0"/>
              <w:spacing w:before="56" w:line="360" w:lineRule="auto"/>
              <w:ind w:left="62"/>
              <w:jc w:val="both"/>
              <w:textAlignment w:val="baseline"/>
              <w:rPr>
                <w:rFonts w:eastAsia="Times New Roman" w:cs="Arial"/>
                <w:color w:val="auto"/>
                <w:sz w:val="20"/>
                <w:lang w:eastAsia="it-IT"/>
              </w:rPr>
            </w:pPr>
            <w:r w:rsidRPr="00A9330B">
              <w:rPr>
                <w:rFonts w:eastAsia="Times New Roman" w:cs="Arial"/>
                <w:color w:val="221F1F"/>
                <w:sz w:val="20"/>
                <w:lang w:eastAsia="it-IT"/>
              </w:rPr>
              <w:t>104</w:t>
            </w:r>
          </w:p>
        </w:tc>
        <w:tc>
          <w:tcPr>
            <w:tcW w:w="851" w:type="dxa"/>
            <w:tcBorders>
              <w:top w:val="single" w:sz="7" w:space="0" w:color="221F1F"/>
              <w:left w:val="single" w:sz="6" w:space="0" w:color="221F1F"/>
              <w:bottom w:val="single" w:sz="7" w:space="0" w:color="221F1F"/>
              <w:right w:val="single" w:sz="6" w:space="0" w:color="221F1F"/>
            </w:tcBorders>
            <w:vAlign w:val="center"/>
          </w:tcPr>
          <w:p w14:paraId="5D034173" w14:textId="77777777" w:rsidR="00F8352E" w:rsidRPr="00A9330B" w:rsidRDefault="00F8352E" w:rsidP="00F8352E">
            <w:pPr>
              <w:widowControl w:val="0"/>
              <w:overflowPunct w:val="0"/>
              <w:autoSpaceDE w:val="0"/>
              <w:autoSpaceDN w:val="0"/>
              <w:adjustRightInd w:val="0"/>
              <w:spacing w:before="56" w:line="360" w:lineRule="auto"/>
              <w:ind w:left="61"/>
              <w:jc w:val="both"/>
              <w:textAlignment w:val="baseline"/>
              <w:rPr>
                <w:rFonts w:eastAsia="Times New Roman" w:cs="Arial"/>
                <w:color w:val="auto"/>
                <w:sz w:val="20"/>
                <w:lang w:eastAsia="it-IT"/>
              </w:rPr>
            </w:pPr>
            <w:r w:rsidRPr="00A9330B">
              <w:rPr>
                <w:rFonts w:eastAsia="Times New Roman" w:cs="Arial"/>
                <w:color w:val="221F1F"/>
                <w:sz w:val="20"/>
                <w:lang w:eastAsia="it-IT"/>
              </w:rPr>
              <w:t>112</w:t>
            </w:r>
          </w:p>
        </w:tc>
        <w:tc>
          <w:tcPr>
            <w:tcW w:w="895" w:type="dxa"/>
            <w:tcBorders>
              <w:top w:val="single" w:sz="7" w:space="0" w:color="221F1F"/>
              <w:left w:val="single" w:sz="6" w:space="0" w:color="221F1F"/>
              <w:bottom w:val="single" w:sz="7" w:space="0" w:color="221F1F"/>
              <w:right w:val="single" w:sz="6" w:space="0" w:color="221F1F"/>
            </w:tcBorders>
            <w:vAlign w:val="center"/>
          </w:tcPr>
          <w:p w14:paraId="60F2D276" w14:textId="77777777" w:rsidR="00F8352E" w:rsidRPr="00A9330B" w:rsidRDefault="00F8352E" w:rsidP="00F8352E">
            <w:pPr>
              <w:widowControl w:val="0"/>
              <w:overflowPunct w:val="0"/>
              <w:autoSpaceDE w:val="0"/>
              <w:autoSpaceDN w:val="0"/>
              <w:adjustRightInd w:val="0"/>
              <w:spacing w:before="56" w:line="360" w:lineRule="auto"/>
              <w:ind w:left="61"/>
              <w:jc w:val="both"/>
              <w:textAlignment w:val="baseline"/>
              <w:rPr>
                <w:rFonts w:eastAsia="Times New Roman" w:cs="Arial"/>
                <w:color w:val="221F1F"/>
                <w:sz w:val="20"/>
                <w:lang w:eastAsia="it-IT"/>
              </w:rPr>
            </w:pPr>
            <w:r w:rsidRPr="00A9330B">
              <w:rPr>
                <w:rFonts w:eastAsia="Times New Roman" w:cs="Arial"/>
                <w:color w:val="221F1F"/>
                <w:sz w:val="20"/>
                <w:lang w:eastAsia="it-IT"/>
              </w:rPr>
              <w:t>121</w:t>
            </w:r>
          </w:p>
        </w:tc>
      </w:tr>
      <w:tr w:rsidR="00F8352E" w:rsidRPr="00A9330B" w14:paraId="71568D60" w14:textId="77777777" w:rsidTr="0025132A">
        <w:trPr>
          <w:trHeight w:hRule="exact" w:val="317"/>
          <w:jc w:val="center"/>
        </w:trPr>
        <w:tc>
          <w:tcPr>
            <w:tcW w:w="1125" w:type="dxa"/>
            <w:vMerge/>
            <w:tcBorders>
              <w:left w:val="single" w:sz="6" w:space="0" w:color="221F1F"/>
              <w:bottom w:val="single" w:sz="7" w:space="0" w:color="221F1F"/>
              <w:right w:val="single" w:sz="6" w:space="0" w:color="221F1F"/>
            </w:tcBorders>
            <w:vAlign w:val="center"/>
          </w:tcPr>
          <w:p w14:paraId="0F093C77" w14:textId="77777777" w:rsidR="00F8352E" w:rsidRPr="00A9330B" w:rsidRDefault="00F8352E" w:rsidP="00F8352E">
            <w:pPr>
              <w:widowControl w:val="0"/>
              <w:overflowPunct w:val="0"/>
              <w:autoSpaceDE w:val="0"/>
              <w:autoSpaceDN w:val="0"/>
              <w:adjustRightInd w:val="0"/>
              <w:spacing w:before="56" w:line="360" w:lineRule="auto"/>
              <w:ind w:left="61"/>
              <w:jc w:val="both"/>
              <w:textAlignment w:val="baseline"/>
              <w:rPr>
                <w:rFonts w:eastAsia="Times New Roman" w:cs="Arial"/>
                <w:color w:val="221F1F"/>
                <w:sz w:val="20"/>
                <w:lang w:eastAsia="it-IT"/>
              </w:rPr>
            </w:pPr>
          </w:p>
        </w:tc>
        <w:tc>
          <w:tcPr>
            <w:tcW w:w="1232" w:type="dxa"/>
            <w:tcBorders>
              <w:top w:val="single" w:sz="7" w:space="0" w:color="221F1F"/>
              <w:left w:val="single" w:sz="6" w:space="0" w:color="221F1F"/>
              <w:bottom w:val="single" w:sz="7" w:space="0" w:color="221F1F"/>
              <w:right w:val="single" w:sz="6" w:space="0" w:color="221F1F"/>
            </w:tcBorders>
            <w:vAlign w:val="center"/>
          </w:tcPr>
          <w:p w14:paraId="70614EDC" w14:textId="77777777" w:rsidR="00F8352E" w:rsidRPr="00A9330B" w:rsidRDefault="00F8352E" w:rsidP="00F8352E">
            <w:pPr>
              <w:widowControl w:val="0"/>
              <w:overflowPunct w:val="0"/>
              <w:autoSpaceDE w:val="0"/>
              <w:autoSpaceDN w:val="0"/>
              <w:adjustRightInd w:val="0"/>
              <w:spacing w:before="56" w:line="360" w:lineRule="auto"/>
              <w:ind w:left="60"/>
              <w:jc w:val="both"/>
              <w:textAlignment w:val="baseline"/>
              <w:rPr>
                <w:rFonts w:eastAsia="Times New Roman" w:cs="Arial"/>
                <w:color w:val="221F1F"/>
                <w:sz w:val="20"/>
                <w:lang w:eastAsia="it-IT"/>
              </w:rPr>
            </w:pPr>
            <w:r w:rsidRPr="00A9330B">
              <w:rPr>
                <w:rFonts w:eastAsia="Times New Roman" w:cs="Arial"/>
                <w:color w:val="221F1F"/>
                <w:sz w:val="20"/>
                <w:lang w:eastAsia="it-IT"/>
              </w:rPr>
              <w:t>Ecart-type</w:t>
            </w:r>
          </w:p>
        </w:tc>
        <w:tc>
          <w:tcPr>
            <w:tcW w:w="772" w:type="dxa"/>
            <w:tcBorders>
              <w:top w:val="single" w:sz="7" w:space="0" w:color="221F1F"/>
              <w:left w:val="single" w:sz="6" w:space="0" w:color="221F1F"/>
              <w:bottom w:val="single" w:sz="7" w:space="0" w:color="221F1F"/>
              <w:right w:val="single" w:sz="6" w:space="0" w:color="221F1F"/>
            </w:tcBorders>
            <w:vAlign w:val="center"/>
          </w:tcPr>
          <w:p w14:paraId="601B3F83" w14:textId="77777777" w:rsidR="00F8352E" w:rsidRPr="00A9330B" w:rsidRDefault="00F8352E" w:rsidP="00F8352E">
            <w:pPr>
              <w:widowControl w:val="0"/>
              <w:overflowPunct w:val="0"/>
              <w:autoSpaceDE w:val="0"/>
              <w:autoSpaceDN w:val="0"/>
              <w:adjustRightInd w:val="0"/>
              <w:spacing w:before="56" w:line="360" w:lineRule="auto"/>
              <w:ind w:left="62"/>
              <w:jc w:val="both"/>
              <w:textAlignment w:val="baseline"/>
              <w:rPr>
                <w:rFonts w:eastAsia="Times New Roman" w:cs="Arial"/>
                <w:color w:val="221F1F"/>
                <w:sz w:val="20"/>
                <w:lang w:eastAsia="it-IT"/>
              </w:rPr>
            </w:pPr>
            <w:r w:rsidRPr="00A9330B">
              <w:rPr>
                <w:rFonts w:eastAsia="Times New Roman" w:cs="Arial"/>
                <w:color w:val="221F1F"/>
                <w:sz w:val="20"/>
                <w:lang w:eastAsia="it-IT"/>
              </w:rPr>
              <w:t>1,81</w:t>
            </w:r>
          </w:p>
        </w:tc>
        <w:tc>
          <w:tcPr>
            <w:tcW w:w="772" w:type="dxa"/>
            <w:tcBorders>
              <w:top w:val="single" w:sz="7" w:space="0" w:color="221F1F"/>
              <w:left w:val="single" w:sz="6" w:space="0" w:color="221F1F"/>
              <w:bottom w:val="single" w:sz="7" w:space="0" w:color="221F1F"/>
              <w:right w:val="single" w:sz="6" w:space="0" w:color="221F1F"/>
            </w:tcBorders>
            <w:vAlign w:val="center"/>
          </w:tcPr>
          <w:p w14:paraId="10606C85" w14:textId="77777777" w:rsidR="00F8352E" w:rsidRPr="00A9330B" w:rsidRDefault="00F8352E" w:rsidP="00F8352E">
            <w:pPr>
              <w:widowControl w:val="0"/>
              <w:overflowPunct w:val="0"/>
              <w:autoSpaceDE w:val="0"/>
              <w:autoSpaceDN w:val="0"/>
              <w:adjustRightInd w:val="0"/>
              <w:spacing w:before="56" w:line="360" w:lineRule="auto"/>
              <w:ind w:left="62"/>
              <w:jc w:val="both"/>
              <w:textAlignment w:val="baseline"/>
              <w:rPr>
                <w:rFonts w:eastAsia="Times New Roman" w:cs="Arial"/>
                <w:color w:val="221F1F"/>
                <w:sz w:val="20"/>
                <w:lang w:eastAsia="it-IT"/>
              </w:rPr>
            </w:pPr>
            <w:r w:rsidRPr="00A9330B">
              <w:rPr>
                <w:rFonts w:eastAsia="Times New Roman" w:cs="Arial"/>
                <w:color w:val="221F1F"/>
                <w:sz w:val="20"/>
                <w:lang w:eastAsia="it-IT"/>
              </w:rPr>
              <w:t>2,09</w:t>
            </w:r>
          </w:p>
        </w:tc>
        <w:tc>
          <w:tcPr>
            <w:tcW w:w="641" w:type="dxa"/>
            <w:tcBorders>
              <w:top w:val="single" w:sz="7" w:space="0" w:color="221F1F"/>
              <w:left w:val="single" w:sz="6" w:space="0" w:color="221F1F"/>
              <w:bottom w:val="single" w:sz="7" w:space="0" w:color="221F1F"/>
              <w:right w:val="single" w:sz="6" w:space="0" w:color="221F1F"/>
            </w:tcBorders>
            <w:vAlign w:val="center"/>
          </w:tcPr>
          <w:p w14:paraId="5E2FDB51" w14:textId="77777777" w:rsidR="00F8352E" w:rsidRPr="00A9330B" w:rsidRDefault="00F8352E" w:rsidP="00F8352E">
            <w:pPr>
              <w:widowControl w:val="0"/>
              <w:overflowPunct w:val="0"/>
              <w:autoSpaceDE w:val="0"/>
              <w:autoSpaceDN w:val="0"/>
              <w:adjustRightInd w:val="0"/>
              <w:spacing w:before="56" w:line="360" w:lineRule="auto"/>
              <w:ind w:left="63"/>
              <w:jc w:val="both"/>
              <w:textAlignment w:val="baseline"/>
              <w:rPr>
                <w:rFonts w:eastAsia="Times New Roman" w:cs="Arial"/>
                <w:color w:val="221F1F"/>
                <w:sz w:val="20"/>
                <w:lang w:eastAsia="it-IT"/>
              </w:rPr>
            </w:pPr>
            <w:r w:rsidRPr="00A9330B">
              <w:rPr>
                <w:rFonts w:eastAsia="Times New Roman" w:cs="Arial"/>
                <w:color w:val="221F1F"/>
                <w:sz w:val="20"/>
                <w:lang w:eastAsia="it-IT"/>
              </w:rPr>
              <w:t>2,57</w:t>
            </w:r>
          </w:p>
        </w:tc>
        <w:tc>
          <w:tcPr>
            <w:tcW w:w="641" w:type="dxa"/>
            <w:tcBorders>
              <w:top w:val="single" w:sz="7" w:space="0" w:color="221F1F"/>
              <w:left w:val="single" w:sz="6" w:space="0" w:color="221F1F"/>
              <w:bottom w:val="single" w:sz="7" w:space="0" w:color="221F1F"/>
              <w:right w:val="single" w:sz="6" w:space="0" w:color="221F1F"/>
            </w:tcBorders>
            <w:vAlign w:val="center"/>
          </w:tcPr>
          <w:p w14:paraId="6CFDAAAF" w14:textId="77777777" w:rsidR="00F8352E" w:rsidRPr="00A9330B" w:rsidRDefault="00F8352E" w:rsidP="00F8352E">
            <w:pPr>
              <w:widowControl w:val="0"/>
              <w:overflowPunct w:val="0"/>
              <w:autoSpaceDE w:val="0"/>
              <w:autoSpaceDN w:val="0"/>
              <w:adjustRightInd w:val="0"/>
              <w:spacing w:before="56" w:line="360" w:lineRule="auto"/>
              <w:ind w:left="63"/>
              <w:jc w:val="both"/>
              <w:textAlignment w:val="baseline"/>
              <w:rPr>
                <w:rFonts w:eastAsia="Times New Roman" w:cs="Arial"/>
                <w:color w:val="221F1F"/>
                <w:sz w:val="20"/>
                <w:lang w:eastAsia="it-IT"/>
              </w:rPr>
            </w:pPr>
            <w:r w:rsidRPr="00A9330B">
              <w:rPr>
                <w:rFonts w:eastAsia="Times New Roman" w:cs="Arial"/>
                <w:color w:val="221F1F"/>
                <w:sz w:val="20"/>
                <w:lang w:eastAsia="it-IT"/>
              </w:rPr>
              <w:t>3,23</w:t>
            </w:r>
          </w:p>
        </w:tc>
        <w:tc>
          <w:tcPr>
            <w:tcW w:w="707" w:type="dxa"/>
            <w:tcBorders>
              <w:top w:val="single" w:sz="7" w:space="0" w:color="221F1F"/>
              <w:left w:val="single" w:sz="6" w:space="0" w:color="221F1F"/>
              <w:bottom w:val="single" w:sz="7" w:space="0" w:color="221F1F"/>
              <w:right w:val="single" w:sz="6" w:space="0" w:color="221F1F"/>
            </w:tcBorders>
            <w:vAlign w:val="center"/>
          </w:tcPr>
          <w:p w14:paraId="5A89E9DE" w14:textId="77777777" w:rsidR="00F8352E" w:rsidRPr="00A9330B" w:rsidRDefault="00F8352E" w:rsidP="00F8352E">
            <w:pPr>
              <w:widowControl w:val="0"/>
              <w:overflowPunct w:val="0"/>
              <w:autoSpaceDE w:val="0"/>
              <w:autoSpaceDN w:val="0"/>
              <w:adjustRightInd w:val="0"/>
              <w:spacing w:before="56" w:line="360" w:lineRule="auto"/>
              <w:ind w:left="62"/>
              <w:jc w:val="both"/>
              <w:textAlignment w:val="baseline"/>
              <w:rPr>
                <w:rFonts w:eastAsia="Times New Roman" w:cs="Arial"/>
                <w:color w:val="221F1F"/>
                <w:sz w:val="20"/>
                <w:lang w:eastAsia="it-IT"/>
              </w:rPr>
            </w:pPr>
            <w:r w:rsidRPr="00A9330B">
              <w:rPr>
                <w:rFonts w:eastAsia="Times New Roman" w:cs="Arial"/>
                <w:color w:val="221F1F"/>
                <w:sz w:val="20"/>
                <w:lang w:eastAsia="it-IT"/>
              </w:rPr>
              <w:t>4,15</w:t>
            </w:r>
          </w:p>
        </w:tc>
        <w:tc>
          <w:tcPr>
            <w:tcW w:w="707" w:type="dxa"/>
            <w:tcBorders>
              <w:top w:val="single" w:sz="7" w:space="0" w:color="221F1F"/>
              <w:left w:val="single" w:sz="6" w:space="0" w:color="221F1F"/>
              <w:bottom w:val="single" w:sz="7" w:space="0" w:color="221F1F"/>
              <w:right w:val="single" w:sz="6" w:space="0" w:color="221F1F"/>
            </w:tcBorders>
            <w:vAlign w:val="center"/>
          </w:tcPr>
          <w:p w14:paraId="77DDD1DF" w14:textId="77777777" w:rsidR="00F8352E" w:rsidRPr="00A9330B" w:rsidRDefault="00F8352E" w:rsidP="00F8352E">
            <w:pPr>
              <w:widowControl w:val="0"/>
              <w:overflowPunct w:val="0"/>
              <w:autoSpaceDE w:val="0"/>
              <w:autoSpaceDN w:val="0"/>
              <w:adjustRightInd w:val="0"/>
              <w:spacing w:before="56" w:line="360" w:lineRule="auto"/>
              <w:ind w:left="62"/>
              <w:jc w:val="both"/>
              <w:textAlignment w:val="baseline"/>
              <w:rPr>
                <w:rFonts w:eastAsia="Times New Roman" w:cs="Arial"/>
                <w:color w:val="221F1F"/>
                <w:sz w:val="20"/>
                <w:lang w:eastAsia="it-IT"/>
              </w:rPr>
            </w:pPr>
            <w:r w:rsidRPr="00A9330B">
              <w:rPr>
                <w:rFonts w:eastAsia="Times New Roman" w:cs="Arial"/>
                <w:color w:val="221F1F"/>
                <w:sz w:val="20"/>
                <w:lang w:eastAsia="it-IT"/>
              </w:rPr>
              <w:t>5,09</w:t>
            </w:r>
          </w:p>
        </w:tc>
        <w:tc>
          <w:tcPr>
            <w:tcW w:w="722" w:type="dxa"/>
            <w:tcBorders>
              <w:top w:val="single" w:sz="7" w:space="0" w:color="221F1F"/>
              <w:left w:val="single" w:sz="6" w:space="0" w:color="221F1F"/>
              <w:bottom w:val="single" w:sz="7" w:space="0" w:color="221F1F"/>
              <w:right w:val="single" w:sz="6" w:space="0" w:color="221F1F"/>
            </w:tcBorders>
            <w:vAlign w:val="center"/>
          </w:tcPr>
          <w:p w14:paraId="13C94B41" w14:textId="77777777" w:rsidR="00F8352E" w:rsidRPr="00A9330B" w:rsidRDefault="00F8352E" w:rsidP="00F8352E">
            <w:pPr>
              <w:widowControl w:val="0"/>
              <w:overflowPunct w:val="0"/>
              <w:autoSpaceDE w:val="0"/>
              <w:autoSpaceDN w:val="0"/>
              <w:adjustRightInd w:val="0"/>
              <w:spacing w:before="56" w:line="360" w:lineRule="auto"/>
              <w:ind w:left="62"/>
              <w:jc w:val="both"/>
              <w:textAlignment w:val="baseline"/>
              <w:rPr>
                <w:rFonts w:eastAsia="Times New Roman" w:cs="Arial"/>
                <w:color w:val="221F1F"/>
                <w:sz w:val="20"/>
                <w:lang w:eastAsia="it-IT"/>
              </w:rPr>
            </w:pPr>
            <w:r w:rsidRPr="00A9330B">
              <w:rPr>
                <w:rFonts w:eastAsia="Times New Roman" w:cs="Arial"/>
                <w:color w:val="221F1F"/>
                <w:sz w:val="20"/>
                <w:lang w:eastAsia="it-IT"/>
              </w:rPr>
              <w:t>6,35</w:t>
            </w:r>
          </w:p>
        </w:tc>
        <w:tc>
          <w:tcPr>
            <w:tcW w:w="851" w:type="dxa"/>
            <w:tcBorders>
              <w:top w:val="single" w:sz="7" w:space="0" w:color="221F1F"/>
              <w:left w:val="single" w:sz="6" w:space="0" w:color="221F1F"/>
              <w:bottom w:val="single" w:sz="7" w:space="0" w:color="221F1F"/>
              <w:right w:val="single" w:sz="6" w:space="0" w:color="221F1F"/>
            </w:tcBorders>
            <w:vAlign w:val="center"/>
          </w:tcPr>
          <w:p w14:paraId="2C58BE2D" w14:textId="77777777" w:rsidR="00F8352E" w:rsidRPr="00A9330B" w:rsidRDefault="00F8352E" w:rsidP="00F8352E">
            <w:pPr>
              <w:widowControl w:val="0"/>
              <w:overflowPunct w:val="0"/>
              <w:autoSpaceDE w:val="0"/>
              <w:autoSpaceDN w:val="0"/>
              <w:adjustRightInd w:val="0"/>
              <w:spacing w:before="56" w:line="360" w:lineRule="auto"/>
              <w:ind w:left="61"/>
              <w:jc w:val="both"/>
              <w:textAlignment w:val="baseline"/>
              <w:rPr>
                <w:rFonts w:eastAsia="Times New Roman" w:cs="Arial"/>
                <w:color w:val="221F1F"/>
                <w:sz w:val="20"/>
                <w:lang w:eastAsia="it-IT"/>
              </w:rPr>
            </w:pPr>
            <w:r w:rsidRPr="00A9330B">
              <w:rPr>
                <w:rFonts w:eastAsia="Times New Roman" w:cs="Arial"/>
                <w:color w:val="221F1F"/>
                <w:sz w:val="20"/>
                <w:lang w:eastAsia="it-IT"/>
              </w:rPr>
              <w:t>7,3</w:t>
            </w:r>
          </w:p>
        </w:tc>
        <w:tc>
          <w:tcPr>
            <w:tcW w:w="895" w:type="dxa"/>
            <w:tcBorders>
              <w:top w:val="single" w:sz="7" w:space="0" w:color="221F1F"/>
              <w:left w:val="single" w:sz="6" w:space="0" w:color="221F1F"/>
              <w:bottom w:val="single" w:sz="7" w:space="0" w:color="221F1F"/>
              <w:right w:val="single" w:sz="6" w:space="0" w:color="221F1F"/>
            </w:tcBorders>
            <w:vAlign w:val="center"/>
          </w:tcPr>
          <w:p w14:paraId="63849BB6" w14:textId="77777777" w:rsidR="00F8352E" w:rsidRPr="00A9330B" w:rsidRDefault="00F8352E" w:rsidP="00F8352E">
            <w:pPr>
              <w:widowControl w:val="0"/>
              <w:overflowPunct w:val="0"/>
              <w:autoSpaceDE w:val="0"/>
              <w:autoSpaceDN w:val="0"/>
              <w:adjustRightInd w:val="0"/>
              <w:spacing w:before="56" w:line="360" w:lineRule="auto"/>
              <w:ind w:left="61"/>
              <w:jc w:val="both"/>
              <w:textAlignment w:val="baseline"/>
              <w:rPr>
                <w:rFonts w:eastAsia="Times New Roman" w:cs="Arial"/>
                <w:color w:val="221F1F"/>
                <w:sz w:val="20"/>
                <w:lang w:eastAsia="it-IT"/>
              </w:rPr>
            </w:pPr>
            <w:r w:rsidRPr="00A9330B">
              <w:rPr>
                <w:rFonts w:eastAsia="Times New Roman" w:cs="Arial"/>
                <w:color w:val="221F1F"/>
                <w:sz w:val="20"/>
                <w:lang w:eastAsia="it-IT"/>
              </w:rPr>
              <w:t>8,26</w:t>
            </w:r>
          </w:p>
        </w:tc>
      </w:tr>
    </w:tbl>
    <w:p w14:paraId="09CE8C72" w14:textId="77777777" w:rsidR="0025132A" w:rsidRPr="00A9330B" w:rsidRDefault="0025132A" w:rsidP="0025132A">
      <w:pPr>
        <w:overflowPunct w:val="0"/>
        <w:autoSpaceDE w:val="0"/>
        <w:autoSpaceDN w:val="0"/>
        <w:adjustRightInd w:val="0"/>
        <w:spacing w:before="0" w:after="200" w:line="240" w:lineRule="auto"/>
        <w:jc w:val="both"/>
        <w:textAlignment w:val="baseline"/>
        <w:rPr>
          <w:rFonts w:eastAsia="Times New Roman" w:cs="Arial"/>
          <w:bCs/>
          <w:color w:val="auto"/>
          <w:sz w:val="20"/>
          <w:szCs w:val="20"/>
          <w:lang w:eastAsia="it-IT"/>
        </w:rPr>
      </w:pPr>
      <w:r w:rsidRPr="00A9330B">
        <w:rPr>
          <w:rFonts w:eastAsia="Times New Roman" w:cs="Arial"/>
          <w:bCs/>
          <w:color w:val="auto"/>
          <w:sz w:val="20"/>
          <w:szCs w:val="20"/>
          <w:lang w:eastAsia="it-IT"/>
        </w:rPr>
        <w:t>Source : Rapport Hydrologique et hydraulique, CECO-BTP 2020</w:t>
      </w:r>
    </w:p>
    <w:p w14:paraId="3590B5D6" w14:textId="77777777" w:rsidR="00F8352E" w:rsidRPr="00A9330B" w:rsidRDefault="00F8352E" w:rsidP="00BD2F72">
      <w:pPr>
        <w:pStyle w:val="Paragraphedeliste"/>
        <w:numPr>
          <w:ilvl w:val="0"/>
          <w:numId w:val="95"/>
        </w:numPr>
        <w:spacing w:before="240" w:after="120" w:line="360" w:lineRule="auto"/>
        <w:jc w:val="both"/>
        <w:textAlignment w:val="baseline"/>
        <w:rPr>
          <w:rFonts w:cs="Arial"/>
          <w:b/>
          <w:i/>
          <w:color w:val="auto"/>
          <w:lang w:val="fr-FR" w:eastAsia="it-IT"/>
        </w:rPr>
      </w:pPr>
      <w:r w:rsidRPr="00A9330B">
        <w:rPr>
          <w:rFonts w:cs="Arial"/>
          <w:b/>
          <w:i/>
          <w:color w:val="auto"/>
          <w:lang w:val="fr-FR" w:eastAsia="it-IT"/>
        </w:rPr>
        <w:t>Intensités- Durées-Fréquences</w:t>
      </w:r>
    </w:p>
    <w:p w14:paraId="0B9CACE2" w14:textId="4B24E47D" w:rsidR="00F8352E" w:rsidRPr="00A9330B" w:rsidRDefault="00F8352E" w:rsidP="00BA18AC">
      <w:pPr>
        <w:jc w:val="both"/>
        <w:rPr>
          <w:lang w:eastAsia="it-IT"/>
        </w:rPr>
      </w:pPr>
      <w:bookmarkStart w:id="708" w:name="_Toc310349649"/>
      <w:r w:rsidRPr="00A9330B">
        <w:rPr>
          <w:lang w:eastAsia="it-IT"/>
        </w:rPr>
        <w:t xml:space="preserve">Les données recueillies sont statistiquement exploitées. </w:t>
      </w:r>
      <w:r w:rsidR="00BA18AC" w:rsidRPr="00A9330B">
        <w:rPr>
          <w:lang w:eastAsia="it-IT"/>
        </w:rPr>
        <w:t>Les maximas annuels</w:t>
      </w:r>
      <w:r w:rsidRPr="00A9330B">
        <w:rPr>
          <w:lang w:eastAsia="it-IT"/>
        </w:rPr>
        <w:t xml:space="preserve"> obtenus pour différentes durées ont permis de bâtir les courbes Intensités-Durées-Fréquences. Pour chaque durée Δt, on a une relation expérimentale intensité-fréquence où l’intensité de pluie est définie à partir des paramètres d’ajustement a et b qui sont des paramètres qui dépendent de la région et de la fréquence (b est constant et a représenté l’intensité de la pluie de fréquence F sur un intervalle de temps unité et suit une loi à comportement asymptotiquement exponentiel qui est la loi de Montana.  Cette relation entre l’intensité de pluie et sa durée correspondant au temps de concentration tc du bassin versant est établie et illustrée par les </w:t>
      </w:r>
      <w:r w:rsidR="00D50CC8" w:rsidRPr="00A9330B">
        <w:rPr>
          <w:lang w:eastAsia="it-IT"/>
        </w:rPr>
        <w:t>courbes Intensités</w:t>
      </w:r>
      <w:r w:rsidRPr="00A9330B">
        <w:rPr>
          <w:lang w:eastAsia="it-IT"/>
        </w:rPr>
        <w:t>-Durées-Fréquences IDF dont la construction passe par la méthodologie ci-</w:t>
      </w:r>
      <w:r w:rsidR="00BA18AC" w:rsidRPr="00A9330B">
        <w:rPr>
          <w:lang w:eastAsia="it-IT"/>
        </w:rPr>
        <w:t>après :</w:t>
      </w:r>
    </w:p>
    <w:p w14:paraId="241747DA" w14:textId="6D3C083C" w:rsidR="00F8352E" w:rsidRPr="00A9330B" w:rsidRDefault="005160AF" w:rsidP="00A9330B">
      <w:pPr>
        <w:pStyle w:val="Lgende"/>
      </w:pPr>
      <w:bookmarkStart w:id="709" w:name="_Toc494712062"/>
      <w:bookmarkStart w:id="710" w:name="_Toc51844221"/>
      <w:bookmarkStart w:id="711" w:name="_Toc310353262"/>
      <w:bookmarkEnd w:id="708"/>
      <w:r w:rsidRPr="00A9330B">
        <w:t xml:space="preserve">Figure </w:t>
      </w:r>
      <w:r w:rsidR="00D24D0D" w:rsidRPr="00A9330B">
        <w:fldChar w:fldCharType="begin"/>
      </w:r>
      <w:r w:rsidR="00D24D0D" w:rsidRPr="00A9330B">
        <w:instrText xml:space="preserve"> SEQ Figure \* ARABIC </w:instrText>
      </w:r>
      <w:r w:rsidR="00D24D0D" w:rsidRPr="00A9330B">
        <w:fldChar w:fldCharType="separate"/>
      </w:r>
      <w:r w:rsidR="004205C6" w:rsidRPr="00A9330B">
        <w:rPr>
          <w:noProof/>
        </w:rPr>
        <w:t>8</w:t>
      </w:r>
      <w:r w:rsidR="00D24D0D" w:rsidRPr="00A9330B">
        <w:rPr>
          <w:noProof/>
        </w:rPr>
        <w:fldChar w:fldCharType="end"/>
      </w:r>
      <w:r w:rsidR="004205C6" w:rsidRPr="00A9330B">
        <w:t> :</w:t>
      </w:r>
      <w:r w:rsidRPr="00A9330B">
        <w:t xml:space="preserve"> </w:t>
      </w:r>
      <w:r w:rsidR="00F8352E" w:rsidRPr="00A9330B">
        <w:t>Courbe IDF obtenue au moyen du modèle de Montana pour la station de Natitingou</w:t>
      </w:r>
      <w:bookmarkEnd w:id="709"/>
      <w:bookmarkEnd w:id="710"/>
    </w:p>
    <w:p w14:paraId="70DCC1B8" w14:textId="6000A3D5" w:rsidR="00E575A2" w:rsidRPr="00A9330B" w:rsidRDefault="00E575A2" w:rsidP="004205C6">
      <w:pPr>
        <w:jc w:val="center"/>
      </w:pPr>
      <w:r w:rsidRPr="00A9330B">
        <w:rPr>
          <w:rFonts w:eastAsia="Times New Roman" w:cs="Arial"/>
          <w:noProof/>
          <w:color w:val="auto"/>
          <w:lang w:eastAsia="fr-FR"/>
        </w:rPr>
        <w:drawing>
          <wp:inline distT="0" distB="0" distL="0" distR="0" wp14:anchorId="139A031D" wp14:editId="1676361F">
            <wp:extent cx="5267325" cy="2268000"/>
            <wp:effectExtent l="0" t="0" r="9525" b="18415"/>
            <wp:docPr id="56" name="Graphique 56"/>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4D38335A" w14:textId="77777777" w:rsidR="0025132A" w:rsidRPr="00A9330B" w:rsidRDefault="0025132A" w:rsidP="005160AF">
      <w:pPr>
        <w:overflowPunct w:val="0"/>
        <w:autoSpaceDE w:val="0"/>
        <w:autoSpaceDN w:val="0"/>
        <w:adjustRightInd w:val="0"/>
        <w:spacing w:before="0" w:line="240" w:lineRule="auto"/>
        <w:ind w:left="708" w:firstLine="708"/>
        <w:textAlignment w:val="baseline"/>
        <w:rPr>
          <w:rFonts w:eastAsia="Times New Roman" w:cs="Arial"/>
          <w:b/>
          <w:bCs/>
          <w:color w:val="auto"/>
          <w:sz w:val="20"/>
          <w:szCs w:val="20"/>
          <w:lang w:eastAsia="it-IT"/>
        </w:rPr>
      </w:pPr>
      <w:r w:rsidRPr="00A9330B">
        <w:rPr>
          <w:rFonts w:eastAsia="Times New Roman" w:cs="Arial"/>
          <w:b/>
          <w:bCs/>
          <w:color w:val="auto"/>
          <w:sz w:val="20"/>
          <w:szCs w:val="20"/>
          <w:lang w:eastAsia="it-IT"/>
        </w:rPr>
        <w:t>Source : Rapport Hydrologique et hydraulique, CECO-BTP 2020</w:t>
      </w:r>
    </w:p>
    <w:p w14:paraId="763D3B67" w14:textId="77777777" w:rsidR="0025132A" w:rsidRPr="00A9330B" w:rsidRDefault="0025132A" w:rsidP="00F8352E">
      <w:pPr>
        <w:overflowPunct w:val="0"/>
        <w:autoSpaceDE w:val="0"/>
        <w:autoSpaceDN w:val="0"/>
        <w:adjustRightInd w:val="0"/>
        <w:spacing w:before="0" w:after="200" w:line="240" w:lineRule="auto"/>
        <w:jc w:val="both"/>
        <w:textAlignment w:val="baseline"/>
        <w:rPr>
          <w:rFonts w:eastAsia="Times New Roman" w:cs="Arial"/>
          <w:bCs/>
          <w:color w:val="auto"/>
          <w:lang w:eastAsia="it-IT"/>
        </w:rPr>
      </w:pPr>
    </w:p>
    <w:bookmarkEnd w:id="711"/>
    <w:p w14:paraId="2C2C4073" w14:textId="184E6EA5" w:rsidR="00F8352E" w:rsidRPr="00A9330B" w:rsidRDefault="00F8352E" w:rsidP="004205C6">
      <w:pPr>
        <w:jc w:val="both"/>
        <w:rPr>
          <w:lang w:eastAsia="it-IT"/>
        </w:rPr>
      </w:pPr>
      <w:r w:rsidRPr="00A9330B">
        <w:rPr>
          <w:lang w:eastAsia="it-IT"/>
        </w:rPr>
        <w:lastRenderedPageBreak/>
        <w:t xml:space="preserve">L’analyse de la courbe montre que d’une manière générale, l’intensité pluvieuse diminue avec la durée de l’averse et augmente avec la période de retour, c’est-à-dire que les </w:t>
      </w:r>
      <w:r w:rsidR="00FF09EF" w:rsidRPr="00A9330B">
        <w:rPr>
          <w:lang w:eastAsia="it-IT"/>
        </w:rPr>
        <w:t>intensités sont</w:t>
      </w:r>
      <w:r w:rsidRPr="00A9330B">
        <w:rPr>
          <w:lang w:eastAsia="it-IT"/>
        </w:rPr>
        <w:t xml:space="preserve"> d’autant plus faibles que la durée est plus longue (Réméniéras, 1972, p. 143). Cela implique que la </w:t>
      </w:r>
      <w:r w:rsidR="00FF09EF" w:rsidRPr="00A9330B">
        <w:rPr>
          <w:lang w:eastAsia="it-IT"/>
        </w:rPr>
        <w:t>fonction i doit</w:t>
      </w:r>
      <w:r w:rsidRPr="00A9330B">
        <w:rPr>
          <w:lang w:eastAsia="it-IT"/>
        </w:rPr>
        <w:t xml:space="preserve"> être une fonction décroissante et ne peut donc présenter de bosses ; ce qui est confirmé par les résultats obtenus. </w:t>
      </w:r>
    </w:p>
    <w:p w14:paraId="6B6C3E97" w14:textId="77777777" w:rsidR="00F8352E" w:rsidRPr="00A9330B" w:rsidRDefault="00F8352E" w:rsidP="004205C6">
      <w:pPr>
        <w:jc w:val="both"/>
        <w:rPr>
          <w:b/>
          <w:bCs/>
          <w:i/>
          <w:lang w:eastAsia="it-IT"/>
        </w:rPr>
      </w:pPr>
      <w:bookmarkStart w:id="712" w:name="_Toc491103162"/>
      <w:r w:rsidRPr="00A9330B">
        <w:rPr>
          <w:b/>
          <w:bCs/>
          <w:i/>
          <w:lang w:eastAsia="it-IT"/>
        </w:rPr>
        <w:t>Choix de la période de retour</w:t>
      </w:r>
      <w:bookmarkEnd w:id="712"/>
    </w:p>
    <w:p w14:paraId="32AA06FD" w14:textId="5AA3EF8A" w:rsidR="00F8352E" w:rsidRPr="00A9330B" w:rsidRDefault="00F8352E" w:rsidP="004205C6">
      <w:pPr>
        <w:jc w:val="both"/>
        <w:rPr>
          <w:lang w:eastAsia="it-IT"/>
        </w:rPr>
      </w:pPr>
      <w:r w:rsidRPr="00A9330B">
        <w:rPr>
          <w:lang w:eastAsia="it-IT"/>
        </w:rPr>
        <w:t xml:space="preserve">Le choix de la période de retour doit se faire de façon judicieuse afin d’optimiser les solutions techniques et </w:t>
      </w:r>
      <w:r w:rsidR="004205C6" w:rsidRPr="00A9330B">
        <w:rPr>
          <w:lang w:eastAsia="it-IT"/>
        </w:rPr>
        <w:t>le coût</w:t>
      </w:r>
      <w:r w:rsidRPr="00A9330B">
        <w:rPr>
          <w:lang w:eastAsia="it-IT"/>
        </w:rPr>
        <w:t xml:space="preserve"> d’investissement car c’est elle qui fixe le degré de </w:t>
      </w:r>
      <w:r w:rsidR="004205C6" w:rsidRPr="00A9330B">
        <w:rPr>
          <w:lang w:eastAsia="it-IT"/>
        </w:rPr>
        <w:t>sécurité qu’offrent</w:t>
      </w:r>
      <w:r w:rsidRPr="00A9330B">
        <w:rPr>
          <w:lang w:eastAsia="it-IT"/>
        </w:rPr>
        <w:t xml:space="preserve"> les ouvrages. Le coût d’investissement pour la réalisation du projet et les conséquences d’une défaillance déterminent le choix de la fréquence de pluie. </w:t>
      </w:r>
    </w:p>
    <w:p w14:paraId="3FDAF38C" w14:textId="77777777" w:rsidR="00F8352E" w:rsidRPr="00A9330B" w:rsidRDefault="00F8352E" w:rsidP="004205C6">
      <w:pPr>
        <w:jc w:val="both"/>
        <w:rPr>
          <w:lang w:eastAsia="it-IT"/>
        </w:rPr>
      </w:pPr>
      <w:r w:rsidRPr="00A9330B">
        <w:rPr>
          <w:lang w:eastAsia="it-IT"/>
        </w:rPr>
        <w:t>La démarche pour la détermination des débits comporte des incertitudes liées à plusieurs facteurs :</w:t>
      </w:r>
    </w:p>
    <w:p w14:paraId="4DBE2151" w14:textId="77777777" w:rsidR="00F8352E" w:rsidRPr="00A9330B" w:rsidRDefault="00F8352E" w:rsidP="004205C6">
      <w:pPr>
        <w:jc w:val="both"/>
        <w:rPr>
          <w:lang w:eastAsia="it-IT"/>
        </w:rPr>
      </w:pPr>
      <w:r w:rsidRPr="00A9330B">
        <w:rPr>
          <w:lang w:eastAsia="it-IT"/>
        </w:rPr>
        <w:t>Estimation des paramètres de calcul (pente, coefficient de ruissellement en particulier)</w:t>
      </w:r>
    </w:p>
    <w:p w14:paraId="12110A01" w14:textId="77777777" w:rsidR="00F8352E" w:rsidRPr="00A9330B" w:rsidRDefault="00F8352E" w:rsidP="004205C6">
      <w:pPr>
        <w:jc w:val="both"/>
        <w:rPr>
          <w:lang w:eastAsia="it-IT"/>
        </w:rPr>
      </w:pPr>
      <w:r w:rsidRPr="00A9330B">
        <w:rPr>
          <w:lang w:eastAsia="it-IT"/>
        </w:rPr>
        <w:t>Erreur (surestimation) sur le débit décennal obtenu par calcul. Elle est de l’ordre de 50 à 100 % de la valeur elle-même (cf. manuel crues et apports (1996), CIEH, page 30).</w:t>
      </w:r>
    </w:p>
    <w:p w14:paraId="32B97938" w14:textId="77777777" w:rsidR="00F8352E" w:rsidRPr="00A9330B" w:rsidRDefault="00F8352E" w:rsidP="004205C6">
      <w:pPr>
        <w:jc w:val="both"/>
        <w:rPr>
          <w:lang w:eastAsia="it-IT"/>
        </w:rPr>
      </w:pPr>
      <w:r w:rsidRPr="00A9330B">
        <w:rPr>
          <w:lang w:eastAsia="it-IT"/>
        </w:rPr>
        <w:t>A ces différentes raisons, il faudra également ajouter l’optimisation</w:t>
      </w:r>
    </w:p>
    <w:p w14:paraId="31E5CF26" w14:textId="77777777" w:rsidR="005160AF" w:rsidRPr="00A9330B" w:rsidRDefault="005160AF" w:rsidP="004205C6">
      <w:pPr>
        <w:jc w:val="both"/>
        <w:rPr>
          <w:lang w:eastAsia="it-IT"/>
        </w:rPr>
      </w:pPr>
    </w:p>
    <w:p w14:paraId="1EAD0983" w14:textId="26E48ED1" w:rsidR="00F8352E" w:rsidRPr="00A9330B" w:rsidRDefault="00F8352E" w:rsidP="004205C6">
      <w:pPr>
        <w:jc w:val="both"/>
        <w:rPr>
          <w:lang w:eastAsia="it-IT"/>
        </w:rPr>
      </w:pPr>
      <w:r w:rsidRPr="00A9330B">
        <w:rPr>
          <w:lang w:eastAsia="it-IT"/>
        </w:rPr>
        <w:t>En fonction de la taille des ouvrages, des informations reçues sur le terrain et conformément aux Termes de Référence, les périodes de retour suivantes sont retenues : 2 ans pour la collecte des eaux superficielles et 10 ans pour le rétablissement des petits et moyens écoulements naturels. Les hyétogrammes des averses biannuelle et décennale pour la station de Natitingou sont représentées sur la figure suivante</w:t>
      </w:r>
      <w:r w:rsidR="004205C6" w:rsidRPr="00A9330B">
        <w:rPr>
          <w:lang w:eastAsia="it-IT"/>
        </w:rPr>
        <w:t> :</w:t>
      </w:r>
    </w:p>
    <w:p w14:paraId="50F8784F" w14:textId="610A6BF6" w:rsidR="00F8352E" w:rsidRPr="00A9330B" w:rsidRDefault="00FF09EF" w:rsidP="0011523E">
      <w:pPr>
        <w:keepNext/>
        <w:widowControl w:val="0"/>
        <w:tabs>
          <w:tab w:val="left" w:pos="1740"/>
        </w:tabs>
        <w:overflowPunct w:val="0"/>
        <w:autoSpaceDE w:val="0"/>
        <w:autoSpaceDN w:val="0"/>
        <w:adjustRightInd w:val="0"/>
        <w:spacing w:before="10" w:line="360" w:lineRule="auto"/>
        <w:jc w:val="center"/>
        <w:textAlignment w:val="baseline"/>
        <w:rPr>
          <w:b/>
          <w:sz w:val="20"/>
          <w:szCs w:val="20"/>
        </w:rPr>
      </w:pPr>
      <w:bookmarkStart w:id="713" w:name="_Toc494712063"/>
      <w:bookmarkStart w:id="714" w:name="_Toc51844222"/>
      <w:r w:rsidRPr="00A9330B">
        <w:rPr>
          <w:b/>
          <w:sz w:val="20"/>
          <w:szCs w:val="20"/>
        </w:rPr>
        <w:t xml:space="preserve">Figure </w:t>
      </w:r>
      <w:r w:rsidR="00CB6BF2" w:rsidRPr="00A9330B">
        <w:rPr>
          <w:b/>
          <w:sz w:val="20"/>
          <w:szCs w:val="20"/>
        </w:rPr>
        <w:fldChar w:fldCharType="begin"/>
      </w:r>
      <w:r w:rsidR="00CB6BF2" w:rsidRPr="00A9330B">
        <w:rPr>
          <w:b/>
          <w:sz w:val="20"/>
          <w:szCs w:val="20"/>
        </w:rPr>
        <w:instrText xml:space="preserve"> SEQ Figure \* ARABIC </w:instrText>
      </w:r>
      <w:r w:rsidR="00CB6BF2" w:rsidRPr="00A9330B">
        <w:rPr>
          <w:b/>
          <w:sz w:val="20"/>
          <w:szCs w:val="20"/>
        </w:rPr>
        <w:fldChar w:fldCharType="separate"/>
      </w:r>
      <w:r w:rsidR="004205C6" w:rsidRPr="00A9330B">
        <w:rPr>
          <w:b/>
          <w:noProof/>
          <w:sz w:val="20"/>
          <w:szCs w:val="20"/>
        </w:rPr>
        <w:t>9</w:t>
      </w:r>
      <w:r w:rsidR="00CB6BF2" w:rsidRPr="00A9330B">
        <w:rPr>
          <w:b/>
          <w:noProof/>
          <w:sz w:val="20"/>
          <w:szCs w:val="20"/>
        </w:rPr>
        <w:fldChar w:fldCharType="end"/>
      </w:r>
      <w:r w:rsidRPr="00A9330B">
        <w:rPr>
          <w:b/>
          <w:sz w:val="20"/>
          <w:szCs w:val="20"/>
        </w:rPr>
        <w:t xml:space="preserve"> </w:t>
      </w:r>
      <w:r w:rsidR="00F8352E" w:rsidRPr="00A9330B">
        <w:rPr>
          <w:b/>
          <w:sz w:val="20"/>
          <w:szCs w:val="20"/>
        </w:rPr>
        <w:t>: Hyétogrammes des averses biannuelle et décennale pour la station de Natitingou</w:t>
      </w:r>
      <w:bookmarkEnd w:id="713"/>
      <w:bookmarkEnd w:id="714"/>
    </w:p>
    <w:p w14:paraId="09D6DA31" w14:textId="127D5076" w:rsidR="00E575A2" w:rsidRPr="00A9330B" w:rsidRDefault="00E575A2" w:rsidP="0011523E">
      <w:pPr>
        <w:keepNext/>
        <w:widowControl w:val="0"/>
        <w:tabs>
          <w:tab w:val="left" w:pos="1740"/>
        </w:tabs>
        <w:overflowPunct w:val="0"/>
        <w:autoSpaceDE w:val="0"/>
        <w:autoSpaceDN w:val="0"/>
        <w:adjustRightInd w:val="0"/>
        <w:spacing w:before="10" w:line="360" w:lineRule="auto"/>
        <w:jc w:val="center"/>
        <w:textAlignment w:val="baseline"/>
      </w:pPr>
      <w:r w:rsidRPr="00A9330B">
        <w:rPr>
          <w:rFonts w:ascii="Times New Roman" w:eastAsia="Times New Roman" w:hAnsi="Times New Roman" w:cs="Times New Roman"/>
          <w:noProof/>
          <w:color w:val="auto"/>
          <w:sz w:val="20"/>
          <w:szCs w:val="20"/>
          <w:lang w:eastAsia="fr-FR"/>
        </w:rPr>
        <w:drawing>
          <wp:inline distT="0" distB="0" distL="0" distR="0" wp14:anchorId="6C847D5B" wp14:editId="31C9F8A2">
            <wp:extent cx="4486275" cy="2276475"/>
            <wp:effectExtent l="0" t="0" r="9525" b="9525"/>
            <wp:docPr id="57" name="Graphique 57"/>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2B37CD7A" w14:textId="1416276E" w:rsidR="0025132A" w:rsidRPr="00A9330B" w:rsidRDefault="0025132A" w:rsidP="004205C6">
      <w:pPr>
        <w:overflowPunct w:val="0"/>
        <w:autoSpaceDE w:val="0"/>
        <w:autoSpaceDN w:val="0"/>
        <w:adjustRightInd w:val="0"/>
        <w:spacing w:before="0" w:after="200" w:line="240" w:lineRule="auto"/>
        <w:jc w:val="center"/>
        <w:textAlignment w:val="baseline"/>
        <w:rPr>
          <w:rFonts w:eastAsia="Times New Roman" w:cs="Arial"/>
          <w:b/>
          <w:bCs/>
          <w:color w:val="auto"/>
          <w:sz w:val="20"/>
          <w:szCs w:val="20"/>
          <w:lang w:eastAsia="it-IT"/>
        </w:rPr>
      </w:pPr>
      <w:r w:rsidRPr="00A9330B">
        <w:rPr>
          <w:rFonts w:eastAsia="Times New Roman" w:cs="Arial"/>
          <w:b/>
          <w:bCs/>
          <w:color w:val="auto"/>
          <w:sz w:val="20"/>
          <w:szCs w:val="20"/>
          <w:lang w:eastAsia="it-IT"/>
        </w:rPr>
        <w:t>Source : Rapport Hydrologique et hydraulique, CECO-BTP 2020</w:t>
      </w:r>
    </w:p>
    <w:p w14:paraId="07AC0581" w14:textId="34362FD3" w:rsidR="00F8352E" w:rsidRPr="00A9330B" w:rsidRDefault="005160AF" w:rsidP="0064324E">
      <w:pPr>
        <w:pStyle w:val="Titre40"/>
      </w:pPr>
      <w:bookmarkStart w:id="715" w:name="_Toc45520813"/>
      <w:bookmarkStart w:id="716" w:name="_Toc381691961"/>
      <w:bookmarkStart w:id="717" w:name="_Toc491103200"/>
      <w:bookmarkStart w:id="718" w:name="_Toc52869617"/>
      <w:r w:rsidRPr="00A9330B">
        <w:t>3.1.1.</w:t>
      </w:r>
      <w:r w:rsidR="001B6F5A" w:rsidRPr="00A9330B">
        <w:t>3</w:t>
      </w:r>
      <w:r w:rsidRPr="00A9330B">
        <w:t xml:space="preserve"> </w:t>
      </w:r>
      <w:r w:rsidR="00F8352E" w:rsidRPr="00A9330B">
        <w:t xml:space="preserve">Reconnaissance des bassins versants, principaux </w:t>
      </w:r>
      <w:r w:rsidR="00FF09EF" w:rsidRPr="00A9330B">
        <w:t>couloirs d’écoulement</w:t>
      </w:r>
      <w:r w:rsidR="00F8352E" w:rsidRPr="00A9330B">
        <w:t xml:space="preserve"> et exutoires</w:t>
      </w:r>
      <w:bookmarkEnd w:id="715"/>
      <w:bookmarkEnd w:id="718"/>
      <w:r w:rsidR="00F8352E" w:rsidRPr="00A9330B">
        <w:t xml:space="preserve"> </w:t>
      </w:r>
      <w:bookmarkEnd w:id="716"/>
      <w:bookmarkEnd w:id="717"/>
    </w:p>
    <w:p w14:paraId="6D5BE5ED" w14:textId="360FFD68" w:rsidR="00F8352E" w:rsidRPr="00A9330B" w:rsidRDefault="00F8352E" w:rsidP="00F8352E">
      <w:pPr>
        <w:widowControl w:val="0"/>
        <w:tabs>
          <w:tab w:val="left" w:pos="1260"/>
        </w:tabs>
        <w:autoSpaceDE w:val="0"/>
        <w:autoSpaceDN w:val="0"/>
        <w:adjustRightInd w:val="0"/>
        <w:spacing w:before="0" w:line="240" w:lineRule="auto"/>
        <w:ind w:right="183"/>
        <w:jc w:val="both"/>
        <w:rPr>
          <w:rFonts w:eastAsia="Times New Roman" w:cs="Arial"/>
          <w:color w:val="221F1F"/>
          <w:spacing w:val="-1"/>
          <w:lang w:eastAsia="it-IT"/>
        </w:rPr>
      </w:pPr>
      <w:r w:rsidRPr="00A9330B">
        <w:rPr>
          <w:rFonts w:eastAsia="Times New Roman" w:cs="Arial"/>
          <w:color w:val="221F1F"/>
          <w:spacing w:val="-1"/>
          <w:lang w:eastAsia="it-IT"/>
        </w:rPr>
        <w:t xml:space="preserve">La </w:t>
      </w:r>
      <w:r w:rsidR="00FF09EF" w:rsidRPr="00A9330B">
        <w:rPr>
          <w:rFonts w:eastAsia="Times New Roman" w:cs="Arial"/>
          <w:color w:val="221F1F"/>
          <w:spacing w:val="-1"/>
          <w:lang w:eastAsia="it-IT"/>
        </w:rPr>
        <w:t>délimitation des</w:t>
      </w:r>
      <w:r w:rsidRPr="00A9330B">
        <w:rPr>
          <w:rFonts w:eastAsia="Times New Roman" w:cs="Arial"/>
          <w:color w:val="221F1F"/>
          <w:spacing w:val="-1"/>
          <w:lang w:eastAsia="it-IT"/>
        </w:rPr>
        <w:t xml:space="preserve"> bassins versants ainsi que leurs écoulements principaux pouvant traverser les routes objets de la présente étude s’avère indispensable à cette étape de l’étude</w:t>
      </w:r>
    </w:p>
    <w:p w14:paraId="79909A8C" w14:textId="77777777" w:rsidR="00F8352E" w:rsidRPr="00A9330B" w:rsidRDefault="00F8352E" w:rsidP="00F8352E">
      <w:pPr>
        <w:widowControl w:val="0"/>
        <w:tabs>
          <w:tab w:val="left" w:pos="1260"/>
        </w:tabs>
        <w:autoSpaceDE w:val="0"/>
        <w:autoSpaceDN w:val="0"/>
        <w:adjustRightInd w:val="0"/>
        <w:spacing w:before="0" w:line="240" w:lineRule="auto"/>
        <w:ind w:right="183"/>
        <w:jc w:val="both"/>
        <w:rPr>
          <w:rFonts w:eastAsia="Times New Roman" w:cs="Arial"/>
          <w:color w:val="221F1F"/>
          <w:spacing w:val="-1"/>
          <w:lang w:eastAsia="it-IT"/>
        </w:rPr>
      </w:pPr>
      <w:r w:rsidRPr="00A9330B">
        <w:rPr>
          <w:rFonts w:eastAsia="Times New Roman" w:cs="Arial"/>
          <w:color w:val="221F1F"/>
          <w:spacing w:val="-1"/>
          <w:lang w:eastAsia="it-IT"/>
        </w:rPr>
        <w:t>L’analyse des bassins versants a consisté en l’étude approfondie des fonds topographiques (cartes IGN) au 1/200 000ème et en l’identification in situ des axes d’écoulement des eaux, des sections connaissant des dégradations hydriques, etc. au cours des différentes missions de terrain. Certains paramètres des bassins versants (coefficient de ruissellement, pente, etc.) ont également été estimés.</w:t>
      </w:r>
    </w:p>
    <w:p w14:paraId="3B85EAF7" w14:textId="77777777" w:rsidR="00F8352E" w:rsidRPr="00A9330B" w:rsidRDefault="00F8352E" w:rsidP="00F8352E">
      <w:pPr>
        <w:widowControl w:val="0"/>
        <w:tabs>
          <w:tab w:val="left" w:pos="1260"/>
        </w:tabs>
        <w:autoSpaceDE w:val="0"/>
        <w:autoSpaceDN w:val="0"/>
        <w:adjustRightInd w:val="0"/>
        <w:spacing w:before="0" w:line="240" w:lineRule="auto"/>
        <w:ind w:right="183"/>
        <w:jc w:val="both"/>
        <w:rPr>
          <w:rFonts w:eastAsia="Times New Roman" w:cs="Arial"/>
          <w:color w:val="221F1F"/>
          <w:spacing w:val="-1"/>
          <w:lang w:eastAsia="it-IT"/>
        </w:rPr>
      </w:pPr>
      <w:r w:rsidRPr="00A9330B">
        <w:rPr>
          <w:rFonts w:eastAsia="Times New Roman" w:cs="Arial"/>
          <w:color w:val="221F1F"/>
          <w:spacing w:val="-1"/>
          <w:lang w:eastAsia="it-IT"/>
        </w:rPr>
        <w:lastRenderedPageBreak/>
        <w:t>Cette opération a été suivie par une reconnaissance détaillée sur le terrain au cours de laquelle des enquêtes auprès des riverains ont permis de préciser les caractéristiques des écoulements notamment les niveaux des plus hautes eaux (PHE) au droit de certains sites ;</w:t>
      </w:r>
    </w:p>
    <w:p w14:paraId="1B93D42F" w14:textId="77777777" w:rsidR="00F8352E" w:rsidRPr="00A9330B" w:rsidRDefault="00F8352E" w:rsidP="00F8352E">
      <w:pPr>
        <w:widowControl w:val="0"/>
        <w:tabs>
          <w:tab w:val="left" w:pos="1260"/>
        </w:tabs>
        <w:autoSpaceDE w:val="0"/>
        <w:autoSpaceDN w:val="0"/>
        <w:adjustRightInd w:val="0"/>
        <w:spacing w:before="0" w:line="240" w:lineRule="auto"/>
        <w:ind w:right="183"/>
        <w:jc w:val="both"/>
        <w:rPr>
          <w:rFonts w:eastAsia="Times New Roman" w:cs="Arial"/>
          <w:color w:val="221F1F"/>
          <w:spacing w:val="-1"/>
          <w:lang w:eastAsia="it-IT"/>
        </w:rPr>
      </w:pPr>
      <w:r w:rsidRPr="00A9330B">
        <w:rPr>
          <w:rFonts w:eastAsia="Times New Roman" w:cs="Arial"/>
          <w:color w:val="221F1F"/>
          <w:spacing w:val="-1"/>
          <w:lang w:eastAsia="it-IT"/>
        </w:rPr>
        <w:t xml:space="preserve">Cette prospection a été aussi complétée par des informations bibliographiques concernant les études hydrologiques sur des projets similaires menées au Benin. </w:t>
      </w:r>
    </w:p>
    <w:p w14:paraId="113FC95F" w14:textId="77777777" w:rsidR="00F8352E" w:rsidRPr="00A9330B" w:rsidRDefault="00F8352E" w:rsidP="000F7BA7">
      <w:pPr>
        <w:widowControl w:val="0"/>
        <w:tabs>
          <w:tab w:val="left" w:pos="1260"/>
        </w:tabs>
        <w:autoSpaceDE w:val="0"/>
        <w:autoSpaceDN w:val="0"/>
        <w:adjustRightInd w:val="0"/>
        <w:spacing w:before="0" w:after="240" w:line="240" w:lineRule="auto"/>
        <w:ind w:right="181"/>
        <w:rPr>
          <w:rFonts w:eastAsia="Times New Roman" w:cs="Arial"/>
          <w:color w:val="221F1F"/>
          <w:spacing w:val="-1"/>
          <w:lang w:eastAsia="it-IT"/>
        </w:rPr>
      </w:pPr>
      <w:r w:rsidRPr="00A9330B">
        <w:rPr>
          <w:rFonts w:eastAsia="Times New Roman" w:cs="Arial"/>
          <w:color w:val="221F1F"/>
          <w:spacing w:val="-1"/>
          <w:lang w:eastAsia="it-IT"/>
        </w:rPr>
        <w:t>On notera que le tracé de certaines rues est entrecoupé de nombreux passages d’eau plus ou moins bien marqués ; certains de ces passages d’eau sont équipés d’ouvrages de franchissement, dont la majorité fonctionne.</w:t>
      </w:r>
    </w:p>
    <w:p w14:paraId="0EC10AA2" w14:textId="387006A2" w:rsidR="00F8352E" w:rsidRPr="00A9330B" w:rsidRDefault="00F8352E" w:rsidP="0025132A">
      <w:pPr>
        <w:widowControl w:val="0"/>
        <w:tabs>
          <w:tab w:val="left" w:pos="1620"/>
        </w:tabs>
        <w:overflowPunct w:val="0"/>
        <w:autoSpaceDE w:val="0"/>
        <w:autoSpaceDN w:val="0"/>
        <w:adjustRightInd w:val="0"/>
        <w:spacing w:before="0" w:after="120" w:line="240" w:lineRule="auto"/>
        <w:ind w:right="3187"/>
        <w:jc w:val="both"/>
        <w:textAlignment w:val="baseline"/>
        <w:rPr>
          <w:rFonts w:eastAsia="Times New Roman" w:cs="Arial"/>
          <w:i/>
          <w:color w:val="000000"/>
          <w:u w:val="single"/>
          <w:lang w:eastAsia="it-IT"/>
        </w:rPr>
      </w:pPr>
      <w:r w:rsidRPr="00A9330B">
        <w:rPr>
          <w:rFonts w:eastAsia="Times New Roman" w:cs="Arial"/>
          <w:i/>
          <w:color w:val="auto"/>
          <w:u w:val="single"/>
          <w:lang w:eastAsia="it-IT"/>
        </w:rPr>
        <w:t>Délimitation du bassin versant</w:t>
      </w:r>
    </w:p>
    <w:p w14:paraId="1EC1B2CF" w14:textId="68944C4C" w:rsidR="00F8352E" w:rsidRPr="00A9330B" w:rsidRDefault="00F8352E" w:rsidP="00F8352E">
      <w:pPr>
        <w:widowControl w:val="0"/>
        <w:overflowPunct w:val="0"/>
        <w:autoSpaceDE w:val="0"/>
        <w:autoSpaceDN w:val="0"/>
        <w:adjustRightInd w:val="0"/>
        <w:spacing w:before="0" w:line="240" w:lineRule="auto"/>
        <w:ind w:right="183"/>
        <w:jc w:val="both"/>
        <w:textAlignment w:val="baseline"/>
        <w:rPr>
          <w:rFonts w:eastAsia="Times New Roman" w:cs="Arial"/>
          <w:color w:val="221F1F"/>
          <w:lang w:eastAsia="it-IT"/>
        </w:rPr>
      </w:pPr>
      <w:r w:rsidRPr="00A9330B">
        <w:rPr>
          <w:rFonts w:eastAsia="Times New Roman" w:cs="Arial"/>
          <w:color w:val="221F1F"/>
          <w:lang w:eastAsia="it-IT"/>
        </w:rPr>
        <w:t xml:space="preserve">Une extension progressive du tissu urbain impose de tenir compte des habitations, de la configuration du réseau routier et du portrait du relief dans la délimitation des bassins versants. Ainsi, </w:t>
      </w:r>
      <w:r w:rsidRPr="00A9330B">
        <w:rPr>
          <w:rFonts w:eastAsia="Times New Roman" w:cs="Arial"/>
          <w:color w:val="221F1F"/>
          <w:spacing w:val="-1"/>
          <w:lang w:eastAsia="it-IT"/>
        </w:rPr>
        <w:t xml:space="preserve">les </w:t>
      </w:r>
      <w:r w:rsidRPr="00A9330B">
        <w:rPr>
          <w:rFonts w:eastAsia="Times New Roman" w:cs="Arial"/>
          <w:color w:val="221F1F"/>
          <w:lang w:eastAsia="it-IT"/>
        </w:rPr>
        <w:t>c</w:t>
      </w:r>
      <w:r w:rsidRPr="00A9330B">
        <w:rPr>
          <w:rFonts w:eastAsia="Times New Roman" w:cs="Arial"/>
          <w:color w:val="221F1F"/>
          <w:spacing w:val="-1"/>
          <w:lang w:eastAsia="it-IT"/>
        </w:rPr>
        <w:t>a</w:t>
      </w:r>
      <w:r w:rsidRPr="00A9330B">
        <w:rPr>
          <w:rFonts w:eastAsia="Times New Roman" w:cs="Arial"/>
          <w:color w:val="221F1F"/>
          <w:lang w:eastAsia="it-IT"/>
        </w:rPr>
        <w:t>r</w:t>
      </w:r>
      <w:r w:rsidRPr="00A9330B">
        <w:rPr>
          <w:rFonts w:eastAsia="Times New Roman" w:cs="Arial"/>
          <w:color w:val="221F1F"/>
          <w:spacing w:val="-1"/>
          <w:lang w:eastAsia="it-IT"/>
        </w:rPr>
        <w:t>a</w:t>
      </w:r>
      <w:r w:rsidRPr="00A9330B">
        <w:rPr>
          <w:rFonts w:eastAsia="Times New Roman" w:cs="Arial"/>
          <w:color w:val="221F1F"/>
          <w:lang w:eastAsia="it-IT"/>
        </w:rPr>
        <w:t>ctér</w:t>
      </w:r>
      <w:r w:rsidRPr="00A9330B">
        <w:rPr>
          <w:rFonts w:eastAsia="Times New Roman" w:cs="Arial"/>
          <w:color w:val="221F1F"/>
          <w:spacing w:val="-1"/>
          <w:lang w:eastAsia="it-IT"/>
        </w:rPr>
        <w:t>i</w:t>
      </w:r>
      <w:r w:rsidRPr="00A9330B">
        <w:rPr>
          <w:rFonts w:eastAsia="Times New Roman" w:cs="Arial"/>
          <w:color w:val="221F1F"/>
          <w:lang w:eastAsia="it-IT"/>
        </w:rPr>
        <w:t>stiqu</w:t>
      </w:r>
      <w:r w:rsidRPr="00A9330B">
        <w:rPr>
          <w:rFonts w:eastAsia="Times New Roman" w:cs="Arial"/>
          <w:color w:val="221F1F"/>
          <w:spacing w:val="-1"/>
          <w:lang w:eastAsia="it-IT"/>
        </w:rPr>
        <w:t>e</w:t>
      </w:r>
      <w:r w:rsidRPr="00A9330B">
        <w:rPr>
          <w:rFonts w:eastAsia="Times New Roman" w:cs="Arial"/>
          <w:color w:val="221F1F"/>
          <w:lang w:eastAsia="it-IT"/>
        </w:rPr>
        <w:t>s physiographiques et l</w:t>
      </w:r>
      <w:r w:rsidRPr="00A9330B">
        <w:rPr>
          <w:rFonts w:eastAsia="Times New Roman" w:cs="Arial"/>
          <w:color w:val="221F1F"/>
          <w:spacing w:val="-1"/>
          <w:lang w:eastAsia="it-IT"/>
        </w:rPr>
        <w:t>e</w:t>
      </w:r>
      <w:r w:rsidRPr="00A9330B">
        <w:rPr>
          <w:rFonts w:eastAsia="Times New Roman" w:cs="Arial"/>
          <w:color w:val="221F1F"/>
          <w:lang w:eastAsia="it-IT"/>
        </w:rPr>
        <w:t>s c</w:t>
      </w:r>
      <w:r w:rsidRPr="00A9330B">
        <w:rPr>
          <w:rFonts w:eastAsia="Times New Roman" w:cs="Arial"/>
          <w:color w:val="221F1F"/>
          <w:spacing w:val="-1"/>
          <w:lang w:eastAsia="it-IT"/>
        </w:rPr>
        <w:t>o</w:t>
      </w:r>
      <w:r w:rsidRPr="00A9330B">
        <w:rPr>
          <w:rFonts w:eastAsia="Times New Roman" w:cs="Arial"/>
          <w:color w:val="221F1F"/>
          <w:lang w:eastAsia="it-IT"/>
        </w:rPr>
        <w:t>nditio</w:t>
      </w:r>
      <w:r w:rsidRPr="00A9330B">
        <w:rPr>
          <w:rFonts w:eastAsia="Times New Roman" w:cs="Arial"/>
          <w:color w:val="221F1F"/>
          <w:spacing w:val="-1"/>
          <w:lang w:eastAsia="it-IT"/>
        </w:rPr>
        <w:t>n</w:t>
      </w:r>
      <w:r w:rsidRPr="00A9330B">
        <w:rPr>
          <w:rFonts w:eastAsia="Times New Roman" w:cs="Arial"/>
          <w:color w:val="221F1F"/>
          <w:lang w:eastAsia="it-IT"/>
        </w:rPr>
        <w:t>s d'</w:t>
      </w:r>
      <w:r w:rsidRPr="00A9330B">
        <w:rPr>
          <w:rFonts w:eastAsia="Times New Roman" w:cs="Arial"/>
          <w:color w:val="221F1F"/>
          <w:spacing w:val="-1"/>
          <w:lang w:eastAsia="it-IT"/>
        </w:rPr>
        <w:t>é</w:t>
      </w:r>
      <w:r w:rsidRPr="00A9330B">
        <w:rPr>
          <w:rFonts w:eastAsia="Times New Roman" w:cs="Arial"/>
          <w:color w:val="221F1F"/>
          <w:lang w:eastAsia="it-IT"/>
        </w:rPr>
        <w:t>coulem</w:t>
      </w:r>
      <w:r w:rsidRPr="00A9330B">
        <w:rPr>
          <w:rFonts w:eastAsia="Times New Roman" w:cs="Arial"/>
          <w:color w:val="221F1F"/>
          <w:spacing w:val="-1"/>
          <w:lang w:eastAsia="it-IT"/>
        </w:rPr>
        <w:t>e</w:t>
      </w:r>
      <w:r w:rsidRPr="00A9330B">
        <w:rPr>
          <w:rFonts w:eastAsia="Times New Roman" w:cs="Arial"/>
          <w:color w:val="221F1F"/>
          <w:lang w:eastAsia="it-IT"/>
        </w:rPr>
        <w:t xml:space="preserve">nt sont réalisées à partir </w:t>
      </w:r>
      <w:r w:rsidR="004205C6" w:rsidRPr="00A9330B">
        <w:rPr>
          <w:rFonts w:eastAsia="Times New Roman" w:cs="Arial"/>
          <w:color w:val="221F1F"/>
          <w:lang w:eastAsia="it-IT"/>
        </w:rPr>
        <w:t>de la reconnaissance sur site, des</w:t>
      </w:r>
      <w:r w:rsidRPr="00A9330B">
        <w:rPr>
          <w:rFonts w:eastAsia="Times New Roman" w:cs="Arial"/>
          <w:color w:val="221F1F"/>
          <w:lang w:eastAsia="it-IT"/>
        </w:rPr>
        <w:t xml:space="preserve"> </w:t>
      </w:r>
      <w:r w:rsidR="004205C6" w:rsidRPr="00A9330B">
        <w:rPr>
          <w:rFonts w:eastAsia="Times New Roman" w:cs="Arial"/>
          <w:color w:val="221F1F"/>
          <w:lang w:eastAsia="it-IT"/>
        </w:rPr>
        <w:t>d</w:t>
      </w:r>
      <w:r w:rsidR="004205C6" w:rsidRPr="00A9330B">
        <w:rPr>
          <w:rFonts w:eastAsia="Times New Roman" w:cs="Arial"/>
          <w:color w:val="221F1F"/>
          <w:spacing w:val="-1"/>
          <w:lang w:eastAsia="it-IT"/>
        </w:rPr>
        <w:t>o</w:t>
      </w:r>
      <w:r w:rsidR="004205C6" w:rsidRPr="00A9330B">
        <w:rPr>
          <w:rFonts w:eastAsia="Times New Roman" w:cs="Arial"/>
          <w:color w:val="221F1F"/>
          <w:lang w:eastAsia="it-IT"/>
        </w:rPr>
        <w:t>cu</w:t>
      </w:r>
      <w:r w:rsidR="004205C6" w:rsidRPr="00A9330B">
        <w:rPr>
          <w:rFonts w:eastAsia="Times New Roman" w:cs="Arial"/>
          <w:color w:val="221F1F"/>
          <w:spacing w:val="-1"/>
          <w:lang w:eastAsia="it-IT"/>
        </w:rPr>
        <w:t>me</w:t>
      </w:r>
      <w:r w:rsidR="004205C6" w:rsidRPr="00A9330B">
        <w:rPr>
          <w:rFonts w:eastAsia="Times New Roman" w:cs="Arial"/>
          <w:color w:val="221F1F"/>
          <w:lang w:eastAsia="it-IT"/>
        </w:rPr>
        <w:t>nts cartographiques</w:t>
      </w:r>
      <w:r w:rsidRPr="00A9330B">
        <w:rPr>
          <w:rFonts w:eastAsia="Times New Roman" w:cs="Arial"/>
          <w:color w:val="221F1F"/>
          <w:lang w:eastAsia="it-IT"/>
        </w:rPr>
        <w:t xml:space="preserve"> (cartes topographiques à l’échelle 1/10 000ème </w:t>
      </w:r>
      <w:r w:rsidRPr="00A9330B">
        <w:rPr>
          <w:rFonts w:eastAsia="Times New Roman" w:cs="Arial"/>
          <w:color w:val="221F1F"/>
          <w:spacing w:val="1"/>
          <w:lang w:eastAsia="it-IT"/>
        </w:rPr>
        <w:t xml:space="preserve">et </w:t>
      </w:r>
      <w:r w:rsidRPr="00A9330B">
        <w:rPr>
          <w:rFonts w:eastAsia="Times New Roman" w:cs="Arial"/>
          <w:color w:val="221F1F"/>
          <w:lang w:eastAsia="it-IT"/>
        </w:rPr>
        <w:t>p</w:t>
      </w:r>
      <w:r w:rsidRPr="00A9330B">
        <w:rPr>
          <w:rFonts w:eastAsia="Times New Roman" w:cs="Arial"/>
          <w:color w:val="221F1F"/>
          <w:spacing w:val="-1"/>
          <w:lang w:eastAsia="it-IT"/>
        </w:rPr>
        <w:t>l</w:t>
      </w:r>
      <w:r w:rsidRPr="00A9330B">
        <w:rPr>
          <w:rFonts w:eastAsia="Times New Roman" w:cs="Arial"/>
          <w:color w:val="221F1F"/>
          <w:lang w:eastAsia="it-IT"/>
        </w:rPr>
        <w:t>an d’amé</w:t>
      </w:r>
      <w:r w:rsidRPr="00A9330B">
        <w:rPr>
          <w:rFonts w:eastAsia="Times New Roman" w:cs="Arial"/>
          <w:color w:val="221F1F"/>
          <w:spacing w:val="-1"/>
          <w:lang w:eastAsia="it-IT"/>
        </w:rPr>
        <w:t>n</w:t>
      </w:r>
      <w:r w:rsidRPr="00A9330B">
        <w:rPr>
          <w:rFonts w:eastAsia="Times New Roman" w:cs="Arial"/>
          <w:color w:val="221F1F"/>
          <w:lang w:eastAsia="it-IT"/>
        </w:rPr>
        <w:t>age</w:t>
      </w:r>
      <w:r w:rsidRPr="00A9330B">
        <w:rPr>
          <w:rFonts w:eastAsia="Times New Roman" w:cs="Arial"/>
          <w:color w:val="221F1F"/>
          <w:spacing w:val="-1"/>
          <w:lang w:eastAsia="it-IT"/>
        </w:rPr>
        <w:t>m</w:t>
      </w:r>
      <w:r w:rsidRPr="00A9330B">
        <w:rPr>
          <w:rFonts w:eastAsia="Times New Roman" w:cs="Arial"/>
          <w:color w:val="221F1F"/>
          <w:lang w:eastAsia="it-IT"/>
        </w:rPr>
        <w:t xml:space="preserve">ent </w:t>
      </w:r>
      <w:r w:rsidRPr="00A9330B">
        <w:rPr>
          <w:rFonts w:eastAsia="Times New Roman" w:cs="Arial"/>
          <w:color w:val="221F1F"/>
          <w:spacing w:val="1"/>
          <w:lang w:eastAsia="it-IT"/>
        </w:rPr>
        <w:t>communal à l’échelle 1/12500ème</w:t>
      </w:r>
      <w:r w:rsidRPr="00A9330B">
        <w:rPr>
          <w:rFonts w:eastAsia="Times New Roman" w:cs="Arial"/>
          <w:color w:val="221F1F"/>
          <w:lang w:eastAsia="it-IT"/>
        </w:rPr>
        <w:t xml:space="preserve">, </w:t>
      </w:r>
      <w:r w:rsidRPr="00A9330B">
        <w:rPr>
          <w:rFonts w:eastAsia="Times New Roman" w:cs="Arial"/>
          <w:color w:val="221F1F"/>
          <w:spacing w:val="1"/>
          <w:lang w:eastAsia="it-IT"/>
        </w:rPr>
        <w:t xml:space="preserve">vues satellitaires etc.), </w:t>
      </w:r>
      <w:r w:rsidRPr="00A9330B">
        <w:rPr>
          <w:rFonts w:eastAsia="Times New Roman" w:cs="Arial"/>
          <w:color w:val="221F1F"/>
          <w:lang w:eastAsia="it-IT"/>
        </w:rPr>
        <w:t>des inf</w:t>
      </w:r>
      <w:r w:rsidRPr="00A9330B">
        <w:rPr>
          <w:rFonts w:eastAsia="Times New Roman" w:cs="Arial"/>
          <w:color w:val="221F1F"/>
          <w:spacing w:val="-1"/>
          <w:lang w:eastAsia="it-IT"/>
        </w:rPr>
        <w:t>o</w:t>
      </w:r>
      <w:r w:rsidRPr="00A9330B">
        <w:rPr>
          <w:rFonts w:eastAsia="Times New Roman" w:cs="Arial"/>
          <w:color w:val="221F1F"/>
          <w:lang w:eastAsia="it-IT"/>
        </w:rPr>
        <w:t>rma</w:t>
      </w:r>
      <w:r w:rsidRPr="00A9330B">
        <w:rPr>
          <w:rFonts w:eastAsia="Times New Roman" w:cs="Arial"/>
          <w:color w:val="221F1F"/>
          <w:spacing w:val="-2"/>
          <w:lang w:eastAsia="it-IT"/>
        </w:rPr>
        <w:t>t</w:t>
      </w:r>
      <w:r w:rsidRPr="00A9330B">
        <w:rPr>
          <w:rFonts w:eastAsia="Times New Roman" w:cs="Arial"/>
          <w:color w:val="221F1F"/>
          <w:lang w:eastAsia="it-IT"/>
        </w:rPr>
        <w:t>ions biblio</w:t>
      </w:r>
      <w:r w:rsidRPr="00A9330B">
        <w:rPr>
          <w:rFonts w:eastAsia="Times New Roman" w:cs="Arial"/>
          <w:color w:val="221F1F"/>
          <w:spacing w:val="-1"/>
          <w:lang w:eastAsia="it-IT"/>
        </w:rPr>
        <w:t>g</w:t>
      </w:r>
      <w:r w:rsidRPr="00A9330B">
        <w:rPr>
          <w:rFonts w:eastAsia="Times New Roman" w:cs="Arial"/>
          <w:color w:val="221F1F"/>
          <w:lang w:eastAsia="it-IT"/>
        </w:rPr>
        <w:t>r</w:t>
      </w:r>
      <w:r w:rsidRPr="00A9330B">
        <w:rPr>
          <w:rFonts w:eastAsia="Times New Roman" w:cs="Arial"/>
          <w:color w:val="221F1F"/>
          <w:spacing w:val="-1"/>
          <w:lang w:eastAsia="it-IT"/>
        </w:rPr>
        <w:t>a</w:t>
      </w:r>
      <w:r w:rsidRPr="00A9330B">
        <w:rPr>
          <w:rFonts w:eastAsia="Times New Roman" w:cs="Arial"/>
          <w:color w:val="221F1F"/>
          <w:lang w:eastAsia="it-IT"/>
        </w:rPr>
        <w:t>phiq</w:t>
      </w:r>
      <w:r w:rsidRPr="00A9330B">
        <w:rPr>
          <w:rFonts w:eastAsia="Times New Roman" w:cs="Arial"/>
          <w:color w:val="221F1F"/>
          <w:spacing w:val="-1"/>
          <w:lang w:eastAsia="it-IT"/>
        </w:rPr>
        <w:t>u</w:t>
      </w:r>
      <w:r w:rsidRPr="00A9330B">
        <w:rPr>
          <w:rFonts w:eastAsia="Times New Roman" w:cs="Arial"/>
          <w:color w:val="221F1F"/>
          <w:lang w:eastAsia="it-IT"/>
        </w:rPr>
        <w:t>es et d</w:t>
      </w:r>
      <w:r w:rsidRPr="00A9330B">
        <w:rPr>
          <w:rFonts w:eastAsia="Times New Roman" w:cs="Arial"/>
          <w:color w:val="221F1F"/>
          <w:spacing w:val="-1"/>
          <w:lang w:eastAsia="it-IT"/>
        </w:rPr>
        <w:t>e</w:t>
      </w:r>
      <w:r w:rsidRPr="00A9330B">
        <w:rPr>
          <w:rFonts w:eastAsia="Times New Roman" w:cs="Arial"/>
          <w:color w:val="221F1F"/>
          <w:lang w:eastAsia="it-IT"/>
        </w:rPr>
        <w:t>s d</w:t>
      </w:r>
      <w:r w:rsidRPr="00A9330B">
        <w:rPr>
          <w:rFonts w:eastAsia="Times New Roman" w:cs="Arial"/>
          <w:color w:val="221F1F"/>
          <w:spacing w:val="-1"/>
          <w:lang w:eastAsia="it-IT"/>
        </w:rPr>
        <w:t>o</w:t>
      </w:r>
      <w:r w:rsidRPr="00A9330B">
        <w:rPr>
          <w:rFonts w:eastAsia="Times New Roman" w:cs="Arial"/>
          <w:color w:val="221F1F"/>
          <w:lang w:eastAsia="it-IT"/>
        </w:rPr>
        <w:t>nn</w:t>
      </w:r>
      <w:r w:rsidRPr="00A9330B">
        <w:rPr>
          <w:rFonts w:eastAsia="Times New Roman" w:cs="Arial"/>
          <w:color w:val="221F1F"/>
          <w:spacing w:val="-1"/>
          <w:lang w:eastAsia="it-IT"/>
        </w:rPr>
        <w:t>é</w:t>
      </w:r>
      <w:r w:rsidRPr="00A9330B">
        <w:rPr>
          <w:rFonts w:eastAsia="Times New Roman" w:cs="Arial"/>
          <w:color w:val="221F1F"/>
          <w:lang w:eastAsia="it-IT"/>
        </w:rPr>
        <w:t>es p</w:t>
      </w:r>
      <w:r w:rsidRPr="00A9330B">
        <w:rPr>
          <w:rFonts w:eastAsia="Times New Roman" w:cs="Arial"/>
          <w:color w:val="221F1F"/>
          <w:spacing w:val="-1"/>
          <w:lang w:eastAsia="it-IT"/>
        </w:rPr>
        <w:t>l</w:t>
      </w:r>
      <w:r w:rsidRPr="00A9330B">
        <w:rPr>
          <w:rFonts w:eastAsia="Times New Roman" w:cs="Arial"/>
          <w:color w:val="221F1F"/>
          <w:lang w:eastAsia="it-IT"/>
        </w:rPr>
        <w:t>uviométri</w:t>
      </w:r>
      <w:r w:rsidRPr="00A9330B">
        <w:rPr>
          <w:rFonts w:eastAsia="Times New Roman" w:cs="Arial"/>
          <w:color w:val="221F1F"/>
          <w:spacing w:val="-1"/>
          <w:lang w:eastAsia="it-IT"/>
        </w:rPr>
        <w:t>q</w:t>
      </w:r>
      <w:r w:rsidRPr="00A9330B">
        <w:rPr>
          <w:rFonts w:eastAsia="Times New Roman" w:cs="Arial"/>
          <w:color w:val="221F1F"/>
          <w:lang w:eastAsia="it-IT"/>
        </w:rPr>
        <w:t>u</w:t>
      </w:r>
      <w:r w:rsidRPr="00A9330B">
        <w:rPr>
          <w:rFonts w:eastAsia="Times New Roman" w:cs="Arial"/>
          <w:color w:val="221F1F"/>
          <w:spacing w:val="-1"/>
          <w:lang w:eastAsia="it-IT"/>
        </w:rPr>
        <w:t>e</w:t>
      </w:r>
      <w:r w:rsidRPr="00A9330B">
        <w:rPr>
          <w:rFonts w:eastAsia="Times New Roman" w:cs="Arial"/>
          <w:color w:val="221F1F"/>
          <w:lang w:eastAsia="it-IT"/>
        </w:rPr>
        <w:t>s dis</w:t>
      </w:r>
      <w:r w:rsidRPr="00A9330B">
        <w:rPr>
          <w:rFonts w:eastAsia="Times New Roman" w:cs="Arial"/>
          <w:color w:val="221F1F"/>
          <w:spacing w:val="-1"/>
          <w:lang w:eastAsia="it-IT"/>
        </w:rPr>
        <w:t>p</w:t>
      </w:r>
      <w:r w:rsidRPr="00A9330B">
        <w:rPr>
          <w:rFonts w:eastAsia="Times New Roman" w:cs="Arial"/>
          <w:color w:val="221F1F"/>
          <w:lang w:eastAsia="it-IT"/>
        </w:rPr>
        <w:t>onibl</w:t>
      </w:r>
      <w:r w:rsidRPr="00A9330B">
        <w:rPr>
          <w:rFonts w:eastAsia="Times New Roman" w:cs="Arial"/>
          <w:color w:val="221F1F"/>
          <w:spacing w:val="-1"/>
          <w:lang w:eastAsia="it-IT"/>
        </w:rPr>
        <w:t>e</w:t>
      </w:r>
      <w:r w:rsidRPr="00A9330B">
        <w:rPr>
          <w:rFonts w:eastAsia="Times New Roman" w:cs="Arial"/>
          <w:color w:val="221F1F"/>
          <w:lang w:eastAsia="it-IT"/>
        </w:rPr>
        <w:t>s de l’ASECNA. Les sous bassins versants ont été délimités à l’aide du logiciel Global Mapper v18.0. Une superposition des résultats avec les données recueillies sur le terrain ont permis de mener une analyse comparative en vue de conclure les délimitations des sous bassins versants finaux dont les caractéristiques</w:t>
      </w:r>
      <w:r w:rsidR="004205C6" w:rsidRPr="00A9330B">
        <w:rPr>
          <w:rFonts w:eastAsia="Times New Roman" w:cs="Arial"/>
          <w:color w:val="221F1F"/>
          <w:lang w:eastAsia="it-IT"/>
        </w:rPr>
        <w:t xml:space="preserve"> </w:t>
      </w:r>
      <w:r w:rsidRPr="00A9330B">
        <w:rPr>
          <w:rFonts w:eastAsia="Times New Roman" w:cs="Arial"/>
          <w:color w:val="221F1F"/>
          <w:lang w:eastAsia="it-IT"/>
        </w:rPr>
        <w:t xml:space="preserve">hydromorphologiques ont été déterminées. </w:t>
      </w:r>
    </w:p>
    <w:p w14:paraId="4C88329C" w14:textId="77777777" w:rsidR="00F8352E" w:rsidRPr="00A9330B" w:rsidRDefault="00F8352E" w:rsidP="00BD2F72">
      <w:pPr>
        <w:widowControl w:val="0"/>
        <w:numPr>
          <w:ilvl w:val="0"/>
          <w:numId w:val="83"/>
        </w:numPr>
        <w:overflowPunct w:val="0"/>
        <w:autoSpaceDE w:val="0"/>
        <w:autoSpaceDN w:val="0"/>
        <w:adjustRightInd w:val="0"/>
        <w:spacing w:line="240" w:lineRule="auto"/>
        <w:ind w:left="714" w:hanging="357"/>
        <w:jc w:val="both"/>
        <w:textAlignment w:val="baseline"/>
        <w:rPr>
          <w:rFonts w:eastAsia="Times New Roman" w:cs="Arial"/>
          <w:color w:val="000000"/>
          <w:lang w:eastAsia="it-IT"/>
        </w:rPr>
      </w:pPr>
      <w:r w:rsidRPr="00A9330B">
        <w:rPr>
          <w:rFonts w:eastAsia="Times New Roman" w:cs="Arial"/>
          <w:color w:val="000000"/>
          <w:lang w:eastAsia="it-IT"/>
        </w:rPr>
        <w:t xml:space="preserve">réaliser des ouvrages économiques ; </w:t>
      </w:r>
    </w:p>
    <w:p w14:paraId="200A7213" w14:textId="77777777" w:rsidR="00F8352E" w:rsidRPr="00A9330B" w:rsidRDefault="00F8352E" w:rsidP="00BD2F72">
      <w:pPr>
        <w:widowControl w:val="0"/>
        <w:numPr>
          <w:ilvl w:val="0"/>
          <w:numId w:val="83"/>
        </w:numPr>
        <w:overflowPunct w:val="0"/>
        <w:autoSpaceDE w:val="0"/>
        <w:autoSpaceDN w:val="0"/>
        <w:adjustRightInd w:val="0"/>
        <w:spacing w:line="240" w:lineRule="auto"/>
        <w:ind w:left="714" w:hanging="357"/>
        <w:jc w:val="both"/>
        <w:textAlignment w:val="baseline"/>
        <w:rPr>
          <w:rFonts w:eastAsia="Times New Roman" w:cs="Arial"/>
          <w:color w:val="000000"/>
          <w:lang w:eastAsia="it-IT"/>
        </w:rPr>
      </w:pPr>
      <w:r w:rsidRPr="00A9330B">
        <w:rPr>
          <w:rFonts w:eastAsia="Times New Roman" w:cs="Arial"/>
          <w:color w:val="000000"/>
          <w:lang w:eastAsia="it-IT"/>
        </w:rPr>
        <w:t>protéger au mieux l’environnement.</w:t>
      </w:r>
      <w:bookmarkStart w:id="719" w:name="_Toc419096429"/>
      <w:bookmarkStart w:id="720" w:name="_Toc504495407"/>
    </w:p>
    <w:p w14:paraId="17EA22C3" w14:textId="16888F45" w:rsidR="00701C80" w:rsidRPr="00A9330B" w:rsidRDefault="00935A72" w:rsidP="0064324E">
      <w:pPr>
        <w:pStyle w:val="Titre40"/>
      </w:pPr>
      <w:bookmarkStart w:id="721" w:name="_Toc45520814"/>
      <w:bookmarkStart w:id="722" w:name="_Toc52869618"/>
      <w:bookmarkEnd w:id="719"/>
      <w:bookmarkEnd w:id="720"/>
      <w:r w:rsidRPr="00A9330B">
        <w:t>3</w:t>
      </w:r>
      <w:r w:rsidR="00701C80" w:rsidRPr="00A9330B">
        <w:t>.1.1.</w:t>
      </w:r>
      <w:r w:rsidR="001B6F5A" w:rsidRPr="00A9330B">
        <w:t>4</w:t>
      </w:r>
      <w:r w:rsidR="00701C80" w:rsidRPr="00A9330B">
        <w:t xml:space="preserve"> Relief</w:t>
      </w:r>
      <w:bookmarkEnd w:id="721"/>
      <w:bookmarkEnd w:id="722"/>
    </w:p>
    <w:p w14:paraId="0C445022" w14:textId="3B5AA891" w:rsidR="00CD51F4" w:rsidRPr="00A9330B" w:rsidRDefault="00701C80" w:rsidP="004205C6">
      <w:pPr>
        <w:jc w:val="both"/>
      </w:pPr>
      <w:r w:rsidRPr="00A9330B">
        <w:rPr>
          <w:lang w:eastAsia="fr-FR"/>
        </w:rPr>
        <w:t xml:space="preserve">Le relief de la ville Natitingou est un facteur qui influence l’extension spatiale du tissu urbain. En effet, la topographie du site de la ville présente d’énormes contraintes à l’urbanisation. La zone urbanisable a des pentes variant entre 2 et 5%. </w:t>
      </w:r>
      <w:r w:rsidRPr="00A9330B">
        <w:t xml:space="preserve">Le projet est logé dans la chaîne atakorienne encore </w:t>
      </w:r>
      <w:r w:rsidR="005160AF" w:rsidRPr="00A9330B">
        <w:t>appelée</w:t>
      </w:r>
      <w:r w:rsidR="004205C6" w:rsidRPr="00A9330B">
        <w:t xml:space="preserve"> « massif de l’Atakora</w:t>
      </w:r>
      <w:r w:rsidRPr="00A9330B">
        <w:t xml:space="preserve">"   </w:t>
      </w:r>
      <w:r w:rsidR="004205C6" w:rsidRPr="00A9330B">
        <w:t>est un</w:t>
      </w:r>
      <w:r w:rsidRPr="00A9330B">
        <w:t xml:space="preserve"> plateau façonné au sommet d’un anticlinorium (un voussoir) formé au Primaire par la collision de deux crassons. Elle est orientée Sud-Sud-Ouest et Nord-Nord-Est avec des altitudes moyennes de 400 à 600m. Natitingou est la principale agglomération installée dans la chaîne qui part du Ghana au Niger </w:t>
      </w:r>
      <w:r w:rsidR="005160AF" w:rsidRPr="00A9330B">
        <w:t xml:space="preserve">en </w:t>
      </w:r>
      <w:r w:rsidR="001B6F5A" w:rsidRPr="00A9330B">
        <w:t xml:space="preserve">traversant le </w:t>
      </w:r>
      <w:r w:rsidR="004205C6" w:rsidRPr="00A9330B">
        <w:t>Togo et le Bénin</w:t>
      </w:r>
      <w:r w:rsidRPr="00A9330B">
        <w:t xml:space="preserve">.  </w:t>
      </w:r>
    </w:p>
    <w:p w14:paraId="33C2F228" w14:textId="01CDC362" w:rsidR="00CD51F4" w:rsidRPr="00A9330B" w:rsidRDefault="001B6F5A" w:rsidP="0064324E">
      <w:pPr>
        <w:pStyle w:val="Titre40"/>
        <w:rPr>
          <w:rFonts w:cs="Arial"/>
          <w:szCs w:val="24"/>
        </w:rPr>
      </w:pPr>
      <w:bookmarkStart w:id="723" w:name="_Toc45520815"/>
      <w:bookmarkStart w:id="724" w:name="_Toc52869619"/>
      <w:r w:rsidRPr="00A9330B">
        <w:t>3.1.1.5</w:t>
      </w:r>
      <w:r w:rsidR="00CD51F4" w:rsidRPr="00A9330B">
        <w:t>. Géomorphologie</w:t>
      </w:r>
      <w:bookmarkEnd w:id="723"/>
      <w:bookmarkEnd w:id="724"/>
      <w:r w:rsidR="00CD51F4" w:rsidRPr="00A9330B">
        <w:t xml:space="preserve"> </w:t>
      </w:r>
    </w:p>
    <w:p w14:paraId="58D0BF26" w14:textId="6204C3AE" w:rsidR="00701C80" w:rsidRPr="00A9330B" w:rsidRDefault="00701C80" w:rsidP="004205C6">
      <w:pPr>
        <w:jc w:val="both"/>
      </w:pPr>
      <w:r w:rsidRPr="00A9330B">
        <w:t xml:space="preserve">Au plan géomorphologique, les éléments morpho-structuraux suivants caractérisent le secteur de l’étude : une plaine basse bordée en partie par la chaîne des collines de Korontière, la chaîne des montagnes basses de l’Atakora et une plaine-plateau aux collines clairsemées isolées en bourrelets alignés à l’ouest de la chaîne de l’Atakora. L’altitude des terres varie entre 180 et 250 m. Ce relief est mis en place avec le soulèvement général du continent africain au Paléocène. La chaîne de l’Atakora domine à l’est une pénéplaine précambrienne constituée de grès et d’argile, et à l’ouest une formation modelée de grès et schistes formant le Buem. L’ensemble des couches de la chaîne de l’Atakora constitue le </w:t>
      </w:r>
      <w:r w:rsidR="001B6F5A" w:rsidRPr="00A9330B">
        <w:t>Voltaïen datant du</w:t>
      </w:r>
      <w:r w:rsidRPr="00A9330B">
        <w:t xml:space="preserve"> primaire. </w:t>
      </w:r>
    </w:p>
    <w:p w14:paraId="5B41EDBE" w14:textId="74AFE4D7" w:rsidR="00701C80" w:rsidRPr="00A9330B" w:rsidRDefault="00701C80" w:rsidP="004205C6">
      <w:pPr>
        <w:jc w:val="both"/>
      </w:pPr>
      <w:r w:rsidRPr="00A9330B">
        <w:t>Au Bénin, la chaîne atakorienne est constituée de trois (03) sous-ensembles imbriqués les uns dans les autres :</w:t>
      </w:r>
    </w:p>
    <w:p w14:paraId="0B4A832B" w14:textId="77777777" w:rsidR="00701C80" w:rsidRPr="00A9330B" w:rsidRDefault="00701C80" w:rsidP="00BD2F72">
      <w:pPr>
        <w:pStyle w:val="Paragraphedeliste"/>
        <w:numPr>
          <w:ilvl w:val="0"/>
          <w:numId w:val="78"/>
        </w:numPr>
        <w:jc w:val="both"/>
        <w:rPr>
          <w:rFonts w:eastAsia="Calibri"/>
          <w:lang w:val="fr-FR"/>
        </w:rPr>
      </w:pPr>
      <w:r w:rsidRPr="00A9330B">
        <w:rPr>
          <w:rFonts w:eastAsia="Calibri"/>
          <w:lang w:val="fr-FR"/>
        </w:rPr>
        <w:t>les chaînons formés par la succession des crêtes aux versants abrupts, individualisées par l’érosion ;</w:t>
      </w:r>
    </w:p>
    <w:p w14:paraId="4496C6BD" w14:textId="77777777" w:rsidR="00701C80" w:rsidRPr="00A9330B" w:rsidRDefault="00701C80" w:rsidP="00BD2F72">
      <w:pPr>
        <w:pStyle w:val="Paragraphedeliste"/>
        <w:numPr>
          <w:ilvl w:val="0"/>
          <w:numId w:val="78"/>
        </w:numPr>
        <w:jc w:val="both"/>
        <w:rPr>
          <w:rFonts w:eastAsia="Calibri"/>
          <w:lang w:val="fr-FR"/>
        </w:rPr>
      </w:pPr>
      <w:r w:rsidRPr="00A9330B">
        <w:rPr>
          <w:rFonts w:eastAsia="Calibri"/>
          <w:lang w:val="fr-FR"/>
        </w:rPr>
        <w:lastRenderedPageBreak/>
        <w:t>les plateaux qui constituent les points culminants de la région sont entaillés par des cours  d’eau  permanents  ou  temporaires  et  des  vallées  avec  des  pentes  concaves dissymétriques ;</w:t>
      </w:r>
    </w:p>
    <w:p w14:paraId="67530A63" w14:textId="2D1CC8C9" w:rsidR="00701C80" w:rsidRPr="00A9330B" w:rsidRDefault="00701C80" w:rsidP="00BD2F72">
      <w:pPr>
        <w:pStyle w:val="Paragraphedeliste"/>
        <w:numPr>
          <w:ilvl w:val="0"/>
          <w:numId w:val="78"/>
        </w:numPr>
        <w:jc w:val="both"/>
        <w:rPr>
          <w:rFonts w:eastAsia="Calibri"/>
          <w:lang w:val="fr-FR"/>
        </w:rPr>
      </w:pPr>
      <w:r w:rsidRPr="00A9330B">
        <w:rPr>
          <w:rFonts w:eastAsia="Calibri"/>
          <w:lang w:val="fr-FR"/>
        </w:rPr>
        <w:t xml:space="preserve">la vallée  de  la  Pendjari  supérieure  (Koumé)  qui  constitue  une  unité  surimposée  sur  la chaîne commence au Nord de la ville de Natitingou et couvre particulièrement le quartier de Pèporiyakou. </w:t>
      </w:r>
    </w:p>
    <w:p w14:paraId="77C26DF9" w14:textId="46CD8C4F" w:rsidR="00CD51F4" w:rsidRPr="00A9330B" w:rsidRDefault="00701C80" w:rsidP="00CD51F4">
      <w:pPr>
        <w:spacing w:line="240" w:lineRule="auto"/>
        <w:jc w:val="both"/>
      </w:pPr>
      <w:r w:rsidRPr="00A9330B">
        <w:t xml:space="preserve">De façon </w:t>
      </w:r>
      <w:r w:rsidR="005160AF" w:rsidRPr="00A9330B">
        <w:t>générale, la</w:t>
      </w:r>
      <w:r w:rsidRPr="00A9330B">
        <w:t xml:space="preserve"> </w:t>
      </w:r>
      <w:r w:rsidR="005160AF" w:rsidRPr="00A9330B">
        <w:t>topographie du site est l’alternance des vallées</w:t>
      </w:r>
      <w:r w:rsidRPr="00A9330B">
        <w:t xml:space="preserve">, des versants et des plateaux. </w:t>
      </w:r>
    </w:p>
    <w:p w14:paraId="7901ECE1" w14:textId="74AC002C" w:rsidR="00701C80" w:rsidRPr="00A9330B" w:rsidRDefault="00701C80" w:rsidP="004205C6">
      <w:pPr>
        <w:jc w:val="both"/>
        <w:rPr>
          <w:rFonts w:eastAsia="Calibri" w:cs="Arial"/>
          <w:color w:val="auto"/>
          <w:szCs w:val="24"/>
        </w:rPr>
      </w:pPr>
      <w:r w:rsidRPr="00A9330B">
        <w:t xml:space="preserve">A la latitude de la ville de Natitingou, cette orientation change ponctuellement et permet aux populations d’installer leurs constructions sur les versants ouest du chaînon de Kantaborifa qui </w:t>
      </w:r>
      <w:r w:rsidR="005160AF" w:rsidRPr="00A9330B">
        <w:t>se prolonge</w:t>
      </w:r>
      <w:r w:rsidRPr="00A9330B">
        <w:t xml:space="preserve"> llophylliennes remobilisées </w:t>
      </w:r>
      <w:r w:rsidR="00CB67D3" w:rsidRPr="00A9330B">
        <w:t xml:space="preserve">au panafricain il y a </w:t>
      </w:r>
      <w:r w:rsidRPr="00A9330B">
        <w:t>600 millions d’années.  Ces roches sont formées d’un ensemble gneisso-granulitiques et migmatitiques. L’ensemble forme la semelle d’écailles constituant le socle bénino-togolais.  L</w:t>
      </w:r>
      <w:r w:rsidR="00CB67D3" w:rsidRPr="00A9330B">
        <w:t xml:space="preserve">es pentes moyennes des versants </w:t>
      </w:r>
      <w:r w:rsidR="004205C6" w:rsidRPr="00A9330B">
        <w:t>sont</w:t>
      </w:r>
      <w:r w:rsidRPr="00A9330B">
        <w:t xml:space="preserve"> comprises entre 2 et 4% et peu</w:t>
      </w:r>
      <w:r w:rsidR="0026132A" w:rsidRPr="00A9330B">
        <w:t>ven</w:t>
      </w:r>
      <w:r w:rsidRPr="00A9330B">
        <w:t>t atteindre des valeurs de 24</w:t>
      </w:r>
      <w:r w:rsidR="0026132A" w:rsidRPr="00A9330B">
        <w:t xml:space="preserve"> </w:t>
      </w:r>
      <w:r w:rsidRPr="00A9330B">
        <w:t>% au niveau de la falaise de l’Atakora. En définitive, le relief est très accidenté localement. Il en résulte plusieurs vallées et vallons qui sont plus ou moins</w:t>
      </w:r>
      <w:r w:rsidRPr="00A9330B">
        <w:rPr>
          <w:rFonts w:eastAsia="Calibri" w:cs="Arial"/>
          <w:color w:val="auto"/>
          <w:szCs w:val="24"/>
        </w:rPr>
        <w:t xml:space="preserve"> symétriques.</w:t>
      </w:r>
    </w:p>
    <w:p w14:paraId="69C750AE" w14:textId="18F1E0F3" w:rsidR="00CD51F4" w:rsidRPr="00A9330B" w:rsidRDefault="001B6F5A" w:rsidP="004205C6">
      <w:pPr>
        <w:jc w:val="both"/>
        <w:rPr>
          <w:rFonts w:eastAsia="Calibri" w:cs="Arial"/>
          <w:color w:val="auto"/>
          <w:szCs w:val="24"/>
          <w:lang w:eastAsia="fr-FR"/>
        </w:rPr>
        <w:sectPr w:rsidR="00CD51F4" w:rsidRPr="00A9330B" w:rsidSect="001275D6">
          <w:pgSz w:w="11906" w:h="16838"/>
          <w:pgMar w:top="1276" w:right="1417" w:bottom="1417" w:left="1417" w:header="708" w:footer="708" w:gutter="0"/>
          <w:cols w:space="708"/>
          <w:docGrid w:linePitch="360"/>
        </w:sectPr>
      </w:pPr>
      <w:r w:rsidRPr="00A9330B">
        <w:rPr>
          <w:rFonts w:eastAsia="Calibri" w:cs="Arial"/>
          <w:color w:val="auto"/>
          <w:szCs w:val="24"/>
          <w:lang w:eastAsia="fr-FR"/>
        </w:rPr>
        <w:t>En résumé, Natitingou est installée</w:t>
      </w:r>
      <w:r w:rsidR="00CD51F4" w:rsidRPr="00A9330B">
        <w:rPr>
          <w:rFonts w:eastAsia="Calibri" w:cs="Arial"/>
          <w:color w:val="auto"/>
          <w:szCs w:val="24"/>
          <w:lang w:eastAsia="fr-FR"/>
        </w:rPr>
        <w:t xml:space="preserve"> sur un site accidenté très</w:t>
      </w:r>
      <w:r w:rsidRPr="00A9330B">
        <w:rPr>
          <w:rFonts w:eastAsia="Calibri" w:cs="Arial"/>
          <w:color w:val="auto"/>
          <w:szCs w:val="24"/>
          <w:lang w:eastAsia="fr-FR"/>
        </w:rPr>
        <w:t xml:space="preserve"> contraignant c</w:t>
      </w:r>
      <w:r w:rsidR="00CD51F4" w:rsidRPr="00A9330B">
        <w:rPr>
          <w:rFonts w:eastAsia="Calibri" w:cs="Arial"/>
          <w:color w:val="auto"/>
          <w:szCs w:val="24"/>
          <w:lang w:eastAsia="fr-FR"/>
        </w:rPr>
        <w:t>omme le montre la structure topographique de la ville a recherch</w:t>
      </w:r>
      <w:r w:rsidRPr="00A9330B">
        <w:rPr>
          <w:rFonts w:eastAsia="Calibri" w:cs="Arial"/>
          <w:color w:val="auto"/>
          <w:szCs w:val="24"/>
          <w:lang w:eastAsia="fr-FR"/>
        </w:rPr>
        <w:t>e</w:t>
      </w:r>
      <w:r w:rsidR="00CD51F4" w:rsidRPr="00A9330B">
        <w:rPr>
          <w:rFonts w:eastAsia="Calibri" w:cs="Arial"/>
          <w:color w:val="auto"/>
          <w:szCs w:val="24"/>
          <w:lang w:eastAsia="fr-FR"/>
        </w:rPr>
        <w:t xml:space="preserve"> des espaces habitables oblige les populations à s’installer sur les flancs des collines ou à proximité </w:t>
      </w:r>
      <w:r w:rsidR="004205C6" w:rsidRPr="00A9330B">
        <w:rPr>
          <w:rFonts w:eastAsia="Calibri" w:cs="Arial"/>
          <w:color w:val="auto"/>
          <w:szCs w:val="24"/>
          <w:lang w:eastAsia="fr-FR"/>
        </w:rPr>
        <w:t>des cours</w:t>
      </w:r>
      <w:r w:rsidR="00CD51F4" w:rsidRPr="00A9330B">
        <w:rPr>
          <w:rFonts w:eastAsia="Calibri" w:cs="Arial"/>
          <w:color w:val="auto"/>
          <w:szCs w:val="24"/>
          <w:lang w:eastAsia="fr-FR"/>
        </w:rPr>
        <w:t xml:space="preserve"> </w:t>
      </w:r>
      <w:r w:rsidR="004205C6" w:rsidRPr="00A9330B">
        <w:rPr>
          <w:rFonts w:eastAsia="Calibri" w:cs="Arial"/>
          <w:color w:val="auto"/>
          <w:szCs w:val="24"/>
          <w:lang w:eastAsia="fr-FR"/>
        </w:rPr>
        <w:t>d’eau qui drainent le secteur.</w:t>
      </w:r>
    </w:p>
    <w:p w14:paraId="236A47D6" w14:textId="717F318E" w:rsidR="00701C80" w:rsidRPr="00A9330B" w:rsidRDefault="00CD51F4" w:rsidP="004205C6">
      <w:pPr>
        <w:tabs>
          <w:tab w:val="left" w:pos="525"/>
        </w:tabs>
        <w:jc w:val="center"/>
        <w:rPr>
          <w:rFonts w:eastAsia="Calibri"/>
          <w:b/>
          <w:noProof/>
          <w:sz w:val="20"/>
          <w:szCs w:val="20"/>
        </w:rPr>
      </w:pPr>
      <w:bookmarkStart w:id="725" w:name="_Toc51844223"/>
      <w:r w:rsidRPr="00A9330B">
        <w:rPr>
          <w:b/>
          <w:sz w:val="20"/>
          <w:szCs w:val="20"/>
        </w:rPr>
        <w:lastRenderedPageBreak/>
        <w:t xml:space="preserve">Figure </w:t>
      </w:r>
      <w:r w:rsidR="00C24C74" w:rsidRPr="00A9330B">
        <w:rPr>
          <w:b/>
          <w:noProof/>
          <w:sz w:val="20"/>
          <w:szCs w:val="20"/>
        </w:rPr>
        <w:fldChar w:fldCharType="begin"/>
      </w:r>
      <w:r w:rsidR="00C24C74" w:rsidRPr="00A9330B">
        <w:rPr>
          <w:b/>
          <w:noProof/>
          <w:sz w:val="20"/>
          <w:szCs w:val="20"/>
        </w:rPr>
        <w:instrText xml:space="preserve"> SEQ Figure \* ARABIC </w:instrText>
      </w:r>
      <w:r w:rsidR="00C24C74" w:rsidRPr="00A9330B">
        <w:rPr>
          <w:b/>
          <w:noProof/>
          <w:sz w:val="20"/>
          <w:szCs w:val="20"/>
        </w:rPr>
        <w:fldChar w:fldCharType="separate"/>
      </w:r>
      <w:r w:rsidR="004205C6" w:rsidRPr="00A9330B">
        <w:rPr>
          <w:b/>
          <w:noProof/>
          <w:sz w:val="20"/>
          <w:szCs w:val="20"/>
        </w:rPr>
        <w:t>10</w:t>
      </w:r>
      <w:r w:rsidR="00C24C74" w:rsidRPr="00A9330B">
        <w:rPr>
          <w:b/>
          <w:noProof/>
          <w:sz w:val="20"/>
          <w:szCs w:val="20"/>
        </w:rPr>
        <w:fldChar w:fldCharType="end"/>
      </w:r>
      <w:r w:rsidRPr="00A9330B">
        <w:rPr>
          <w:b/>
          <w:sz w:val="20"/>
          <w:szCs w:val="20"/>
        </w:rPr>
        <w:t xml:space="preserve"> </w:t>
      </w:r>
      <w:r w:rsidR="00701C80" w:rsidRPr="00A9330B">
        <w:rPr>
          <w:rFonts w:eastAsia="Calibri"/>
          <w:b/>
          <w:bCs/>
          <w:noProof/>
          <w:sz w:val="20"/>
          <w:szCs w:val="20"/>
        </w:rPr>
        <w:t> :</w:t>
      </w:r>
      <w:r w:rsidR="00701C80" w:rsidRPr="00A9330B">
        <w:rPr>
          <w:rFonts w:eastAsia="Calibri"/>
          <w:b/>
          <w:noProof/>
          <w:sz w:val="20"/>
          <w:szCs w:val="20"/>
        </w:rPr>
        <w:t xml:space="preserve"> Reliefs et pentes dans la ville de Natitingou</w:t>
      </w:r>
      <w:bookmarkEnd w:id="725"/>
    </w:p>
    <w:p w14:paraId="6ECB32FE" w14:textId="0470281F" w:rsidR="00FB4228" w:rsidRPr="00A9330B" w:rsidRDefault="00FB4228" w:rsidP="0011523E">
      <w:pPr>
        <w:tabs>
          <w:tab w:val="left" w:pos="525"/>
        </w:tabs>
        <w:rPr>
          <w:rFonts w:eastAsia="Calibri"/>
          <w:noProof/>
        </w:rPr>
      </w:pPr>
      <w:r w:rsidRPr="00A9330B">
        <w:rPr>
          <w:rFonts w:ascii="Calibri" w:eastAsia="Calibri" w:hAnsi="Calibri" w:cs="Times New Roman"/>
          <w:noProof/>
          <w:color w:val="auto"/>
          <w:lang w:eastAsia="fr-FR"/>
        </w:rPr>
        <w:drawing>
          <wp:inline distT="0" distB="0" distL="0" distR="0" wp14:anchorId="5DBFEBD3" wp14:editId="299E7E22">
            <wp:extent cx="5759450" cy="8145945"/>
            <wp:effectExtent l="0" t="0" r="0" b="7620"/>
            <wp:docPr id="58" name="Imag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759450" cy="8145945"/>
                    </a:xfrm>
                    <a:prstGeom prst="rect">
                      <a:avLst/>
                    </a:prstGeom>
                    <a:noFill/>
                    <a:ln>
                      <a:noFill/>
                    </a:ln>
                  </pic:spPr>
                </pic:pic>
              </a:graphicData>
            </a:graphic>
          </wp:inline>
        </w:drawing>
      </w:r>
    </w:p>
    <w:p w14:paraId="5F92CD92" w14:textId="77777777" w:rsidR="00CD51F4" w:rsidRPr="00A9330B" w:rsidRDefault="00CD51F4" w:rsidP="00701C80">
      <w:pPr>
        <w:spacing w:before="240" w:line="240" w:lineRule="auto"/>
        <w:jc w:val="both"/>
        <w:rPr>
          <w:rFonts w:eastAsia="Calibri" w:cs="Arial"/>
          <w:color w:val="auto"/>
          <w:szCs w:val="24"/>
          <w:lang w:eastAsia="fr-FR"/>
        </w:rPr>
        <w:sectPr w:rsidR="00CD51F4" w:rsidRPr="00A9330B" w:rsidSect="00CD51F4">
          <w:pgSz w:w="11906" w:h="16838"/>
          <w:pgMar w:top="1418" w:right="1418" w:bottom="1418" w:left="1418" w:header="709" w:footer="709" w:gutter="0"/>
          <w:cols w:space="708"/>
          <w:docGrid w:linePitch="360"/>
        </w:sectPr>
      </w:pPr>
    </w:p>
    <w:p w14:paraId="00F50305" w14:textId="6927130D" w:rsidR="00701C80" w:rsidRPr="00A9330B" w:rsidRDefault="00D628E1" w:rsidP="004205C6">
      <w:pPr>
        <w:spacing w:line="360" w:lineRule="auto"/>
        <w:jc w:val="center"/>
        <w:rPr>
          <w:rFonts w:eastAsia="Calibri"/>
          <w:b/>
          <w:sz w:val="20"/>
          <w:szCs w:val="20"/>
        </w:rPr>
      </w:pPr>
      <w:bookmarkStart w:id="726" w:name="_Toc51844224"/>
      <w:r w:rsidRPr="00A9330B">
        <w:rPr>
          <w:b/>
          <w:sz w:val="20"/>
          <w:szCs w:val="20"/>
        </w:rPr>
        <w:lastRenderedPageBreak/>
        <w:t xml:space="preserve">Figure </w:t>
      </w:r>
      <w:r w:rsidR="00C24C74" w:rsidRPr="00A9330B">
        <w:rPr>
          <w:b/>
          <w:noProof/>
          <w:sz w:val="20"/>
          <w:szCs w:val="20"/>
        </w:rPr>
        <w:fldChar w:fldCharType="begin"/>
      </w:r>
      <w:r w:rsidR="00C24C74" w:rsidRPr="00A9330B">
        <w:rPr>
          <w:b/>
          <w:noProof/>
          <w:sz w:val="20"/>
          <w:szCs w:val="20"/>
        </w:rPr>
        <w:instrText xml:space="preserve"> SEQ Figure \* ARABIC </w:instrText>
      </w:r>
      <w:r w:rsidR="00C24C74" w:rsidRPr="00A9330B">
        <w:rPr>
          <w:b/>
          <w:noProof/>
          <w:sz w:val="20"/>
          <w:szCs w:val="20"/>
        </w:rPr>
        <w:fldChar w:fldCharType="separate"/>
      </w:r>
      <w:r w:rsidR="004205C6" w:rsidRPr="00A9330B">
        <w:rPr>
          <w:b/>
          <w:noProof/>
          <w:sz w:val="20"/>
          <w:szCs w:val="20"/>
        </w:rPr>
        <w:t>11</w:t>
      </w:r>
      <w:r w:rsidR="00C24C74" w:rsidRPr="00A9330B">
        <w:rPr>
          <w:b/>
          <w:noProof/>
          <w:sz w:val="20"/>
          <w:szCs w:val="20"/>
        </w:rPr>
        <w:fldChar w:fldCharType="end"/>
      </w:r>
      <w:r w:rsidRPr="00A9330B">
        <w:rPr>
          <w:b/>
          <w:sz w:val="20"/>
          <w:szCs w:val="20"/>
        </w:rPr>
        <w:t xml:space="preserve"> </w:t>
      </w:r>
      <w:r w:rsidR="00701C80" w:rsidRPr="00A9330B">
        <w:rPr>
          <w:rFonts w:eastAsia="Calibri"/>
          <w:b/>
          <w:sz w:val="20"/>
          <w:szCs w:val="20"/>
        </w:rPr>
        <w:t>: Situation géologique de la Commune de  Natitingou</w:t>
      </w:r>
      <w:bookmarkEnd w:id="726"/>
    </w:p>
    <w:p w14:paraId="644B979E" w14:textId="430466E2" w:rsidR="00FB4228" w:rsidRPr="00A9330B" w:rsidRDefault="00FB4228" w:rsidP="0011523E">
      <w:pPr>
        <w:spacing w:line="360" w:lineRule="auto"/>
        <w:jc w:val="both"/>
        <w:rPr>
          <w:rFonts w:eastAsia="Calibri"/>
        </w:rPr>
      </w:pPr>
      <w:r w:rsidRPr="00A9330B">
        <w:rPr>
          <w:rFonts w:ascii="Times New Roman" w:eastAsia="Calibri" w:hAnsi="Times New Roman" w:cs="Times New Roman"/>
          <w:noProof/>
          <w:color w:val="auto"/>
          <w:sz w:val="24"/>
          <w:szCs w:val="24"/>
          <w:lang w:eastAsia="fr-FR"/>
        </w:rPr>
        <w:drawing>
          <wp:inline distT="0" distB="0" distL="0" distR="0" wp14:anchorId="1AEBC7D1" wp14:editId="625D5CFD">
            <wp:extent cx="7384348" cy="5220000"/>
            <wp:effectExtent l="0" t="0" r="7620" b="0"/>
            <wp:docPr id="59" name="Imag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Geolo_NATITINGOU.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7384348" cy="5220000"/>
                    </a:xfrm>
                    <a:prstGeom prst="rect">
                      <a:avLst/>
                    </a:prstGeom>
                  </pic:spPr>
                </pic:pic>
              </a:graphicData>
            </a:graphic>
          </wp:inline>
        </w:drawing>
      </w:r>
    </w:p>
    <w:p w14:paraId="7E060029" w14:textId="77777777" w:rsidR="001B6F5A" w:rsidRPr="00A9330B" w:rsidRDefault="001B6F5A" w:rsidP="000F7BA7">
      <w:pPr>
        <w:pStyle w:val="Titre4"/>
        <w:sectPr w:rsidR="001B6F5A" w:rsidRPr="00A9330B" w:rsidSect="001B6F5A">
          <w:pgSz w:w="16838" w:h="11906" w:orient="landscape" w:code="9"/>
          <w:pgMar w:top="1418" w:right="1418" w:bottom="1418" w:left="1418" w:header="709" w:footer="709" w:gutter="0"/>
          <w:cols w:space="708"/>
          <w:docGrid w:linePitch="360"/>
        </w:sectPr>
      </w:pPr>
    </w:p>
    <w:p w14:paraId="52819528" w14:textId="67E7D173" w:rsidR="00701C80" w:rsidRPr="00A9330B" w:rsidRDefault="00D628E1" w:rsidP="000F7BA7">
      <w:pPr>
        <w:pStyle w:val="Titre4"/>
      </w:pPr>
      <w:bookmarkStart w:id="727" w:name="_Toc45520816"/>
      <w:bookmarkStart w:id="728" w:name="_Toc52869620"/>
      <w:r w:rsidRPr="00A9330B">
        <w:lastRenderedPageBreak/>
        <w:t>3</w:t>
      </w:r>
      <w:r w:rsidR="001B6F5A" w:rsidRPr="00A9330B">
        <w:t>.1.1. 7</w:t>
      </w:r>
      <w:r w:rsidR="00701C80" w:rsidRPr="00A9330B">
        <w:t>.  Sols</w:t>
      </w:r>
      <w:bookmarkEnd w:id="727"/>
      <w:bookmarkEnd w:id="728"/>
    </w:p>
    <w:p w14:paraId="5043FE2B" w14:textId="77777777" w:rsidR="00D628E1" w:rsidRPr="00A9330B" w:rsidRDefault="00701C80" w:rsidP="00701C80">
      <w:pPr>
        <w:spacing w:line="240" w:lineRule="auto"/>
        <w:jc w:val="both"/>
        <w:rPr>
          <w:rFonts w:eastAsia="Calibri" w:cs="Arial"/>
          <w:color w:val="auto"/>
          <w:szCs w:val="24"/>
        </w:rPr>
      </w:pPr>
      <w:r w:rsidRPr="00A9330B">
        <w:rPr>
          <w:rFonts w:eastAsia="Calibri" w:cs="Arial"/>
          <w:color w:val="auto"/>
          <w:szCs w:val="24"/>
        </w:rPr>
        <w:t>Dans la ville de Natitingou on rencontre trois (3) grands types de sols : Les sols faiblement ferralitiques occupent une bande nord-sud qui s’étend de Kouandé à Bassila en passant par Djougou</w:t>
      </w:r>
      <w:r w:rsidR="00D628E1" w:rsidRPr="00A9330B">
        <w:rPr>
          <w:rFonts w:eastAsia="Calibri" w:cs="Arial"/>
          <w:color w:val="auto"/>
          <w:szCs w:val="24"/>
        </w:rPr>
        <w:t> ; Les</w:t>
      </w:r>
      <w:r w:rsidRPr="00A9330B">
        <w:rPr>
          <w:rFonts w:eastAsia="Calibri" w:cs="Arial"/>
          <w:color w:val="auto"/>
          <w:szCs w:val="24"/>
        </w:rPr>
        <w:t xml:space="preserve"> sols ferrugineux tropicaux qui constituent la grande partie des sols du bassin béninois de la Volta ; ils évoluent tous vers des concrétions ferrugineuses très cuirassées. On les trouve sur les formations de granito-gneiss. Ce sont les sols lessivés à concrétion gréseuse et des sols lessivés indurés, peu hydromorphes, peu profonds qui sont essentiellement rencontrés dans les communes de Ouaké, Copargo, Djougou et Kérou. Les sols minéraux bruts. Il s’agit des sols peu évolués du fait de l’érosion très accentuée dans le massif de l’Atakora. On les retrouve surtout dans les communes de Boukombé, Cobly, Tanguiéta, Natitingou et plus à l’est à Kouandé.</w:t>
      </w:r>
    </w:p>
    <w:p w14:paraId="5B7A865F" w14:textId="4431DE8F" w:rsidR="00701C80" w:rsidRPr="00A9330B" w:rsidRDefault="00701C80" w:rsidP="00701C80">
      <w:pPr>
        <w:spacing w:line="240" w:lineRule="auto"/>
        <w:jc w:val="both"/>
        <w:rPr>
          <w:rFonts w:eastAsia="Calibri" w:cs="Arial"/>
          <w:color w:val="auto"/>
          <w:szCs w:val="24"/>
        </w:rPr>
      </w:pPr>
      <w:r w:rsidRPr="00A9330B">
        <w:rPr>
          <w:rFonts w:eastAsia="Calibri" w:cs="Arial"/>
          <w:color w:val="auto"/>
          <w:szCs w:val="24"/>
        </w:rPr>
        <w:t>Il faut signaler la présence de vertisols qui sont des sols hydromorphes temporaires ou permanent</w:t>
      </w:r>
      <w:r w:rsidR="001B6F5A" w:rsidRPr="00A9330B">
        <w:rPr>
          <w:rFonts w:eastAsia="Calibri" w:cs="Arial"/>
          <w:color w:val="auto"/>
          <w:szCs w:val="24"/>
        </w:rPr>
        <w:t>s à textures très fines,</w:t>
      </w:r>
      <w:r w:rsidRPr="00A9330B">
        <w:rPr>
          <w:rFonts w:eastAsia="Calibri" w:cs="Arial"/>
          <w:color w:val="auto"/>
          <w:szCs w:val="24"/>
        </w:rPr>
        <w:t xml:space="preserve"> que </w:t>
      </w:r>
      <w:r w:rsidR="004205C6" w:rsidRPr="00A9330B">
        <w:rPr>
          <w:rFonts w:eastAsia="Calibri" w:cs="Arial"/>
          <w:color w:val="auto"/>
          <w:szCs w:val="24"/>
        </w:rPr>
        <w:t>l’on trouve autour des mares asséchées, des zones</w:t>
      </w:r>
      <w:r w:rsidRPr="00A9330B">
        <w:rPr>
          <w:rFonts w:eastAsia="Calibri" w:cs="Arial"/>
          <w:color w:val="auto"/>
          <w:szCs w:val="24"/>
        </w:rPr>
        <w:t xml:space="preserve"> humides et aux abords des cours d’eau. Cette géologie et ces sols donnent des propriétés géotechniques qui permettent la constructibilité des habitations et supportent une végétation et une faune abondante. </w:t>
      </w:r>
    </w:p>
    <w:p w14:paraId="20E6BEB7" w14:textId="77777777" w:rsidR="001B6F5A" w:rsidRPr="00A9330B" w:rsidRDefault="001B6F5A" w:rsidP="00701C80">
      <w:pPr>
        <w:spacing w:line="360" w:lineRule="auto"/>
        <w:jc w:val="center"/>
        <w:rPr>
          <w:rFonts w:ascii="Times New Roman" w:eastAsia="Calibri" w:hAnsi="Times New Roman" w:cs="Times New Roman"/>
          <w:color w:val="auto"/>
          <w:sz w:val="24"/>
          <w:szCs w:val="24"/>
        </w:rPr>
        <w:sectPr w:rsidR="001B6F5A" w:rsidRPr="00A9330B" w:rsidSect="001B6F5A">
          <w:pgSz w:w="11906" w:h="16838" w:code="9"/>
          <w:pgMar w:top="1418" w:right="1418" w:bottom="1418" w:left="1418" w:header="709" w:footer="709" w:gutter="0"/>
          <w:cols w:space="708"/>
          <w:docGrid w:linePitch="360"/>
        </w:sectPr>
      </w:pPr>
    </w:p>
    <w:p w14:paraId="3AC9A8B4" w14:textId="069F058A" w:rsidR="00701C80" w:rsidRPr="00A9330B" w:rsidRDefault="00D628E1" w:rsidP="0011523E">
      <w:pPr>
        <w:spacing w:line="360" w:lineRule="auto"/>
        <w:jc w:val="center"/>
        <w:rPr>
          <w:rFonts w:eastAsia="Calibri"/>
          <w:b/>
          <w:noProof/>
          <w:sz w:val="20"/>
          <w:szCs w:val="20"/>
        </w:rPr>
      </w:pPr>
      <w:bookmarkStart w:id="729" w:name="_Toc51844225"/>
      <w:r w:rsidRPr="00A9330B">
        <w:rPr>
          <w:b/>
          <w:sz w:val="20"/>
          <w:szCs w:val="20"/>
        </w:rPr>
        <w:lastRenderedPageBreak/>
        <w:t xml:space="preserve">Figure </w:t>
      </w:r>
      <w:r w:rsidR="00C24C74" w:rsidRPr="00A9330B">
        <w:rPr>
          <w:b/>
          <w:noProof/>
          <w:sz w:val="20"/>
          <w:szCs w:val="20"/>
        </w:rPr>
        <w:fldChar w:fldCharType="begin"/>
      </w:r>
      <w:r w:rsidR="00C24C74" w:rsidRPr="00A9330B">
        <w:rPr>
          <w:b/>
          <w:noProof/>
          <w:sz w:val="20"/>
          <w:szCs w:val="20"/>
        </w:rPr>
        <w:instrText xml:space="preserve"> SEQ Figure \* ARABIC </w:instrText>
      </w:r>
      <w:r w:rsidR="00C24C74" w:rsidRPr="00A9330B">
        <w:rPr>
          <w:b/>
          <w:noProof/>
          <w:sz w:val="20"/>
          <w:szCs w:val="20"/>
        </w:rPr>
        <w:fldChar w:fldCharType="separate"/>
      </w:r>
      <w:r w:rsidR="004205C6" w:rsidRPr="00A9330B">
        <w:rPr>
          <w:b/>
          <w:noProof/>
          <w:sz w:val="20"/>
          <w:szCs w:val="20"/>
        </w:rPr>
        <w:t>12</w:t>
      </w:r>
      <w:r w:rsidR="00C24C74" w:rsidRPr="00A9330B">
        <w:rPr>
          <w:b/>
          <w:noProof/>
          <w:sz w:val="20"/>
          <w:szCs w:val="20"/>
        </w:rPr>
        <w:fldChar w:fldCharType="end"/>
      </w:r>
      <w:r w:rsidRPr="00A9330B">
        <w:rPr>
          <w:b/>
          <w:sz w:val="20"/>
          <w:szCs w:val="20"/>
        </w:rPr>
        <w:t> :</w:t>
      </w:r>
      <w:r w:rsidR="00701C80" w:rsidRPr="00A9330B">
        <w:rPr>
          <w:rFonts w:eastAsia="Calibri"/>
          <w:b/>
          <w:noProof/>
          <w:sz w:val="20"/>
          <w:szCs w:val="20"/>
        </w:rPr>
        <w:t xml:space="preserve"> Type de sols dans la commune de Natitingou</w:t>
      </w:r>
      <w:bookmarkEnd w:id="729"/>
    </w:p>
    <w:p w14:paraId="4C870D17" w14:textId="740E10F5" w:rsidR="0011523E" w:rsidRPr="00A9330B" w:rsidRDefault="00FB4228" w:rsidP="0011523E">
      <w:pPr>
        <w:sectPr w:rsidR="0011523E" w:rsidRPr="00A9330B" w:rsidSect="001B6F5A">
          <w:pgSz w:w="16838" w:h="11906" w:orient="landscape" w:code="9"/>
          <w:pgMar w:top="1418" w:right="1418" w:bottom="1418" w:left="1418" w:header="709" w:footer="709" w:gutter="0"/>
          <w:cols w:space="708"/>
          <w:docGrid w:linePitch="360"/>
        </w:sectPr>
      </w:pPr>
      <w:r w:rsidRPr="00A9330B">
        <w:rPr>
          <w:rFonts w:ascii="Times New Roman" w:eastAsia="Calibri" w:hAnsi="Times New Roman" w:cs="Times New Roman"/>
          <w:noProof/>
          <w:color w:val="auto"/>
          <w:sz w:val="24"/>
          <w:szCs w:val="24"/>
          <w:lang w:eastAsia="fr-FR"/>
        </w:rPr>
        <w:drawing>
          <wp:inline distT="0" distB="0" distL="0" distR="0" wp14:anchorId="5AAD6C88" wp14:editId="06B76F88">
            <wp:extent cx="7415260" cy="5241851"/>
            <wp:effectExtent l="0" t="0" r="0" b="0"/>
            <wp:docPr id="60" name="Imag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edolo_NATITINGOU.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7418433" cy="5244094"/>
                    </a:xfrm>
                    <a:prstGeom prst="rect">
                      <a:avLst/>
                    </a:prstGeom>
                  </pic:spPr>
                </pic:pic>
              </a:graphicData>
            </a:graphic>
          </wp:inline>
        </w:drawing>
      </w:r>
    </w:p>
    <w:p w14:paraId="6559E4E5" w14:textId="072365CB" w:rsidR="00701C80" w:rsidRPr="00A9330B" w:rsidRDefault="00D628E1" w:rsidP="0064324E">
      <w:pPr>
        <w:pStyle w:val="Titre4"/>
      </w:pPr>
      <w:bookmarkStart w:id="730" w:name="_Toc45520817"/>
      <w:bookmarkStart w:id="731" w:name="_Toc52869621"/>
      <w:r w:rsidRPr="00A9330B">
        <w:lastRenderedPageBreak/>
        <w:t>3</w:t>
      </w:r>
      <w:r w:rsidR="001B6F5A" w:rsidRPr="00A9330B">
        <w:t>.1.1.7.</w:t>
      </w:r>
      <w:r w:rsidR="00701C80" w:rsidRPr="00A9330B">
        <w:t xml:space="preserve"> Hydrologie et hydrogéologie</w:t>
      </w:r>
      <w:bookmarkEnd w:id="730"/>
      <w:bookmarkEnd w:id="731"/>
    </w:p>
    <w:p w14:paraId="44AF076C" w14:textId="233153CF" w:rsidR="00D628E1" w:rsidRPr="00A9330B" w:rsidRDefault="00701C80" w:rsidP="00701C80">
      <w:pPr>
        <w:spacing w:line="240" w:lineRule="auto"/>
        <w:jc w:val="both"/>
        <w:rPr>
          <w:rFonts w:eastAsia="Calibri" w:cs="Arial"/>
          <w:color w:val="auto"/>
          <w:szCs w:val="24"/>
          <w:lang w:eastAsia="fr-FR"/>
        </w:rPr>
      </w:pPr>
      <w:r w:rsidRPr="00A9330B">
        <w:rPr>
          <w:rFonts w:eastAsia="Calibri" w:cs="Arial"/>
          <w:color w:val="auto"/>
          <w:szCs w:val="24"/>
          <w:lang w:eastAsia="fr-FR"/>
        </w:rPr>
        <w:t xml:space="preserve">La ville de Natitingou se développe dans la vallée du cours d’eau Funrigninkèrè à l’ouest et à l’est, le long de la vallée de la Yarpao, derrière la colline de Kantaborifa. La rivière Funrigninkèrè est le principal exutoire naturel qui reçoit les eaux pluviales de plus de 4/5 des quartiers de la ville. Tchouchoukou et Yori-Nyèri sont ses principaux affluents. Le tissu urbain de Natitingou s’est développé de part et d’autre de cette rivière. Il s’agit des quartiers comme Bagri, Yokossi, Dassakaté, Winkè, Santa, Boriyouré, Tchirimina, Djindjiré-béri, Kokotamou, Kantchagoutamou, Sountchirantikou, Yimporima, Nagoutantè, Ourbouga, etc. Du côté est de la ville, se trouve les rivières wadata, puis Yarpao, derrière la colline de Kantaborifa. Elle Constitue l’exutoire naturel des eaux pluviales de la périphérie et de la ville de Natitingou. Il s’agit des quartiers comme Yétapo, Tambarika, Bérécingou, Ouroubonna, etc. Sur l’ensemble de ces cours d’eau qui servent d’exutoires naturels aux eaux pluviales dans la ville de Natitingou, certains ont un régime d’écoulement permanent sur 31,85 km linéaire et d’autres ont un régime d’écoulement temporaire et font </w:t>
      </w:r>
      <w:r w:rsidR="00D628E1" w:rsidRPr="00A9330B">
        <w:rPr>
          <w:rFonts w:eastAsia="Calibri" w:cs="Arial"/>
          <w:color w:val="auto"/>
          <w:szCs w:val="24"/>
          <w:lang w:eastAsia="fr-FR"/>
        </w:rPr>
        <w:t>un linéaire cumulé de 116,03 km.</w:t>
      </w:r>
    </w:p>
    <w:p w14:paraId="4242E01A" w14:textId="160072FC" w:rsidR="00FB4228" w:rsidRPr="00A9330B" w:rsidRDefault="00FB4228" w:rsidP="00A9330B">
      <w:pPr>
        <w:pStyle w:val="Lgende"/>
        <w:rPr>
          <w:rFonts w:eastAsia="Calibri"/>
        </w:rPr>
      </w:pPr>
      <w:bookmarkStart w:id="732" w:name="_Toc52870060"/>
      <w:r w:rsidRPr="00A9330B">
        <w:t xml:space="preserve">Planche  </w:t>
      </w:r>
      <w:r w:rsidRPr="00A9330B">
        <w:rPr>
          <w:noProof/>
        </w:rPr>
        <w:fldChar w:fldCharType="begin"/>
      </w:r>
      <w:r w:rsidRPr="00A9330B">
        <w:rPr>
          <w:noProof/>
        </w:rPr>
        <w:instrText xml:space="preserve"> SEQ Planche_ \* ARABIC </w:instrText>
      </w:r>
      <w:r w:rsidRPr="00A9330B">
        <w:rPr>
          <w:noProof/>
        </w:rPr>
        <w:fldChar w:fldCharType="separate"/>
      </w:r>
      <w:r w:rsidR="004205C6" w:rsidRPr="00A9330B">
        <w:rPr>
          <w:noProof/>
        </w:rPr>
        <w:t>2</w:t>
      </w:r>
      <w:r w:rsidRPr="00A9330B">
        <w:rPr>
          <w:noProof/>
        </w:rPr>
        <w:fldChar w:fldCharType="end"/>
      </w:r>
      <w:r w:rsidRPr="00A9330B">
        <w:t> </w:t>
      </w:r>
      <w:r w:rsidRPr="00A9330B">
        <w:rPr>
          <w:rFonts w:eastAsia="Calibri"/>
        </w:rPr>
        <w:t>: Les lits des rivières Fourigninkèrè à Bagri (a) et Waadata à Boriyouré (b)</w:t>
      </w:r>
      <w:bookmarkEnd w:id="732"/>
    </w:p>
    <w:p w14:paraId="09BC9919" w14:textId="77777777" w:rsidR="00701C80" w:rsidRPr="00A9330B" w:rsidRDefault="00701C80" w:rsidP="00701C80">
      <w:pPr>
        <w:spacing w:line="240" w:lineRule="auto"/>
        <w:jc w:val="both"/>
        <w:rPr>
          <w:rFonts w:ascii="Times New Roman" w:eastAsia="Calibri" w:hAnsi="Times New Roman" w:cs="Times New Roman"/>
          <w:color w:val="auto"/>
          <w:sz w:val="24"/>
          <w:szCs w:val="24"/>
          <w:lang w:eastAsia="fr-FR"/>
        </w:rPr>
      </w:pPr>
      <w:r w:rsidRPr="00A9330B">
        <w:rPr>
          <w:rFonts w:ascii="Calibri" w:eastAsia="Calibri" w:hAnsi="Calibri" w:cs="Times New Roman"/>
          <w:noProof/>
          <w:color w:val="auto"/>
          <w:lang w:eastAsia="fr-FR"/>
        </w:rPr>
        <w:drawing>
          <wp:inline distT="0" distB="0" distL="0" distR="0" wp14:anchorId="7931A289" wp14:editId="00356712">
            <wp:extent cx="2708030" cy="2031023"/>
            <wp:effectExtent l="0" t="0" r="0" b="7620"/>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714627" cy="2035971"/>
                    </a:xfrm>
                    <a:prstGeom prst="rect">
                      <a:avLst/>
                    </a:prstGeom>
                    <a:noFill/>
                    <a:ln>
                      <a:noFill/>
                    </a:ln>
                  </pic:spPr>
                </pic:pic>
              </a:graphicData>
            </a:graphic>
          </wp:inline>
        </w:drawing>
      </w:r>
      <w:r w:rsidRPr="00A9330B">
        <w:rPr>
          <w:rFonts w:ascii="Times New Roman" w:eastAsia="Calibri" w:hAnsi="Times New Roman" w:cs="Times New Roman"/>
          <w:color w:val="auto"/>
          <w:sz w:val="24"/>
          <w:szCs w:val="24"/>
          <w:lang w:eastAsia="fr-FR"/>
        </w:rPr>
        <w:t xml:space="preserve"> </w:t>
      </w:r>
      <w:r w:rsidRPr="00A9330B">
        <w:rPr>
          <w:rFonts w:ascii="Calibri" w:eastAsia="Calibri" w:hAnsi="Calibri" w:cs="Times New Roman"/>
          <w:noProof/>
          <w:color w:val="auto"/>
          <w:lang w:eastAsia="fr-FR"/>
        </w:rPr>
        <w:drawing>
          <wp:inline distT="0" distB="0" distL="0" distR="0" wp14:anchorId="1BBFD66A" wp14:editId="29914ED1">
            <wp:extent cx="2979446" cy="2030437"/>
            <wp:effectExtent l="0" t="0" r="0" b="8255"/>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985113" cy="2034299"/>
                    </a:xfrm>
                    <a:prstGeom prst="rect">
                      <a:avLst/>
                    </a:prstGeom>
                    <a:noFill/>
                    <a:ln>
                      <a:noFill/>
                    </a:ln>
                  </pic:spPr>
                </pic:pic>
              </a:graphicData>
            </a:graphic>
          </wp:inline>
        </w:drawing>
      </w:r>
    </w:p>
    <w:p w14:paraId="69D18D77" w14:textId="07D20D24" w:rsidR="00701C80" w:rsidRPr="00A9330B" w:rsidRDefault="0030131E" w:rsidP="00701C80">
      <w:pPr>
        <w:spacing w:line="240" w:lineRule="auto"/>
        <w:jc w:val="center"/>
        <w:rPr>
          <w:rFonts w:eastAsia="Calibri" w:cs="Arial"/>
          <w:b/>
          <w:i/>
          <w:iCs/>
          <w:color w:val="auto"/>
          <w:sz w:val="20"/>
          <w:szCs w:val="20"/>
        </w:rPr>
      </w:pPr>
      <w:r w:rsidRPr="00A9330B">
        <w:rPr>
          <w:rFonts w:eastAsia="Calibri" w:cs="Arial"/>
          <w:b/>
          <w:i/>
          <w:iCs/>
          <w:color w:val="auto"/>
          <w:sz w:val="20"/>
          <w:szCs w:val="20"/>
          <w:lang w:eastAsia="fr-FR"/>
        </w:rPr>
        <w:t>Photos terrain (Enquêteurs</w:t>
      </w:r>
      <w:r w:rsidR="00701C80" w:rsidRPr="00A9330B">
        <w:rPr>
          <w:rFonts w:eastAsia="Calibri" w:cs="Arial"/>
          <w:b/>
          <w:i/>
          <w:iCs/>
          <w:color w:val="auto"/>
          <w:sz w:val="20"/>
          <w:szCs w:val="20"/>
          <w:lang w:eastAsia="fr-FR"/>
        </w:rPr>
        <w:t xml:space="preserve"> 2020</w:t>
      </w:r>
      <w:r w:rsidRPr="00A9330B">
        <w:rPr>
          <w:rFonts w:eastAsia="Calibri" w:cs="Arial"/>
          <w:b/>
          <w:i/>
          <w:iCs/>
          <w:color w:val="auto"/>
          <w:sz w:val="20"/>
          <w:szCs w:val="20"/>
          <w:lang w:eastAsia="fr-FR"/>
        </w:rPr>
        <w:t>)</w:t>
      </w:r>
    </w:p>
    <w:p w14:paraId="272CF58F" w14:textId="77777777" w:rsidR="00701C80" w:rsidRPr="00A9330B" w:rsidRDefault="00701C80" w:rsidP="00701C80">
      <w:pPr>
        <w:spacing w:before="240" w:line="240" w:lineRule="auto"/>
        <w:jc w:val="both"/>
        <w:rPr>
          <w:rFonts w:eastAsia="Calibri" w:cs="Arial"/>
          <w:color w:val="auto"/>
          <w:szCs w:val="24"/>
        </w:rPr>
      </w:pPr>
      <w:r w:rsidRPr="00A9330B">
        <w:rPr>
          <w:rFonts w:eastAsia="Calibri" w:cs="Arial"/>
          <w:color w:val="auto"/>
          <w:szCs w:val="24"/>
        </w:rPr>
        <w:t xml:space="preserve">Le réseau de drainage actuel de la ville de Natitingou est concentré autour des axes routiers principaux et au niveau des voies urbaines en cours de construction. Le réseau existant est marqué par le manque d’aménagement des exutoires ou le non prolongement des canaux principaux jusqu’aux exutoires adéquats. </w:t>
      </w:r>
    </w:p>
    <w:p w14:paraId="02D534F0" w14:textId="77777777" w:rsidR="00701C80" w:rsidRPr="00A9330B" w:rsidRDefault="00701C80" w:rsidP="00701C80">
      <w:pPr>
        <w:spacing w:before="240" w:line="240" w:lineRule="auto"/>
        <w:jc w:val="both"/>
        <w:rPr>
          <w:rFonts w:eastAsia="Calibri" w:cs="Arial"/>
          <w:color w:val="auto"/>
          <w:szCs w:val="24"/>
        </w:rPr>
      </w:pPr>
      <w:r w:rsidRPr="00A9330B">
        <w:rPr>
          <w:rFonts w:eastAsia="Calibri" w:cs="Arial"/>
          <w:color w:val="auto"/>
          <w:szCs w:val="24"/>
        </w:rPr>
        <w:t>Par ailleurs, de nombreux thalwegs qui drainent d’importantes quantités d’eaux de pluie ne sont pas aménagés, les ruissellements se font de manière naturelle.</w:t>
      </w:r>
    </w:p>
    <w:p w14:paraId="485C8153" w14:textId="77777777" w:rsidR="00701C80" w:rsidRPr="00A9330B" w:rsidRDefault="00701C80" w:rsidP="00701C80">
      <w:pPr>
        <w:spacing w:line="240" w:lineRule="auto"/>
        <w:jc w:val="both"/>
        <w:rPr>
          <w:rFonts w:eastAsia="Calibri" w:cs="Arial"/>
          <w:color w:val="auto"/>
          <w:szCs w:val="24"/>
        </w:rPr>
        <w:sectPr w:rsidR="00701C80" w:rsidRPr="00A9330B" w:rsidSect="001B6F5A">
          <w:pgSz w:w="11906" w:h="16838" w:code="9"/>
          <w:pgMar w:top="1418" w:right="1418" w:bottom="1418" w:left="1418" w:header="709" w:footer="709" w:gutter="0"/>
          <w:cols w:space="708"/>
          <w:docGrid w:linePitch="360"/>
        </w:sectPr>
      </w:pPr>
    </w:p>
    <w:p w14:paraId="55F18920" w14:textId="7F55D288" w:rsidR="00701C80" w:rsidRPr="00A9330B" w:rsidRDefault="00D628E1" w:rsidP="0011523E">
      <w:pPr>
        <w:spacing w:line="240" w:lineRule="auto"/>
        <w:jc w:val="center"/>
        <w:rPr>
          <w:rFonts w:eastAsia="Calibri"/>
          <w:b/>
          <w:sz w:val="20"/>
          <w:szCs w:val="20"/>
        </w:rPr>
      </w:pPr>
      <w:bookmarkStart w:id="733" w:name="_Toc51844226"/>
      <w:r w:rsidRPr="00A9330B">
        <w:rPr>
          <w:b/>
          <w:sz w:val="20"/>
          <w:szCs w:val="20"/>
        </w:rPr>
        <w:lastRenderedPageBreak/>
        <w:t xml:space="preserve">Figure </w:t>
      </w:r>
      <w:r w:rsidR="00C24C74" w:rsidRPr="00A9330B">
        <w:rPr>
          <w:b/>
          <w:noProof/>
          <w:sz w:val="20"/>
          <w:szCs w:val="20"/>
        </w:rPr>
        <w:fldChar w:fldCharType="begin"/>
      </w:r>
      <w:r w:rsidR="00C24C74" w:rsidRPr="00A9330B">
        <w:rPr>
          <w:b/>
          <w:noProof/>
          <w:sz w:val="20"/>
          <w:szCs w:val="20"/>
        </w:rPr>
        <w:instrText xml:space="preserve"> SEQ Figure \* ARABIC </w:instrText>
      </w:r>
      <w:r w:rsidR="00C24C74" w:rsidRPr="00A9330B">
        <w:rPr>
          <w:b/>
          <w:noProof/>
          <w:sz w:val="20"/>
          <w:szCs w:val="20"/>
        </w:rPr>
        <w:fldChar w:fldCharType="separate"/>
      </w:r>
      <w:r w:rsidR="004205C6" w:rsidRPr="00A9330B">
        <w:rPr>
          <w:b/>
          <w:noProof/>
          <w:sz w:val="20"/>
          <w:szCs w:val="20"/>
        </w:rPr>
        <w:t>13</w:t>
      </w:r>
      <w:r w:rsidR="00C24C74" w:rsidRPr="00A9330B">
        <w:rPr>
          <w:b/>
          <w:noProof/>
          <w:sz w:val="20"/>
          <w:szCs w:val="20"/>
        </w:rPr>
        <w:fldChar w:fldCharType="end"/>
      </w:r>
      <w:r w:rsidRPr="00A9330B">
        <w:rPr>
          <w:b/>
          <w:sz w:val="20"/>
          <w:szCs w:val="20"/>
        </w:rPr>
        <w:t xml:space="preserve"> </w:t>
      </w:r>
      <w:r w:rsidR="00701C80" w:rsidRPr="00A9330B">
        <w:rPr>
          <w:rFonts w:eastAsia="Calibri"/>
          <w:b/>
          <w:sz w:val="20"/>
          <w:szCs w:val="20"/>
        </w:rPr>
        <w:t>: Réseau hydrographique  dans la ville de Natitingou</w:t>
      </w:r>
      <w:bookmarkEnd w:id="733"/>
    </w:p>
    <w:p w14:paraId="42BB6C28" w14:textId="235EB76E" w:rsidR="00FB4228" w:rsidRPr="00A9330B" w:rsidRDefault="00FB4228" w:rsidP="0011523E">
      <w:pPr>
        <w:spacing w:line="240" w:lineRule="auto"/>
        <w:jc w:val="center"/>
        <w:rPr>
          <w:rFonts w:eastAsia="Calibri"/>
          <w:b/>
        </w:rPr>
        <w:sectPr w:rsidR="00FB4228" w:rsidRPr="00A9330B" w:rsidSect="00701C80">
          <w:pgSz w:w="16838" w:h="11906" w:orient="landscape"/>
          <w:pgMar w:top="1418" w:right="1418" w:bottom="1418" w:left="1418" w:header="709" w:footer="709" w:gutter="0"/>
          <w:cols w:space="708"/>
          <w:docGrid w:linePitch="360"/>
        </w:sectPr>
      </w:pPr>
      <w:r w:rsidRPr="00A9330B">
        <w:rPr>
          <w:rFonts w:ascii="Calibri" w:eastAsia="Calibri" w:hAnsi="Calibri" w:cs="Times New Roman"/>
          <w:noProof/>
          <w:color w:val="auto"/>
          <w:lang w:eastAsia="fr-FR"/>
        </w:rPr>
        <w:drawing>
          <wp:inline distT="0" distB="0" distL="0" distR="0" wp14:anchorId="03AFBF92" wp14:editId="7CA8F34C">
            <wp:extent cx="7758901" cy="5184000"/>
            <wp:effectExtent l="0" t="0" r="0" b="0"/>
            <wp:docPr id="61" name="Imag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758901" cy="5184000"/>
                    </a:xfrm>
                    <a:prstGeom prst="rect">
                      <a:avLst/>
                    </a:prstGeom>
                    <a:noFill/>
                    <a:ln>
                      <a:noFill/>
                    </a:ln>
                  </pic:spPr>
                </pic:pic>
              </a:graphicData>
            </a:graphic>
          </wp:inline>
        </w:drawing>
      </w:r>
    </w:p>
    <w:p w14:paraId="2E266A3E" w14:textId="0CF49663" w:rsidR="00701C80" w:rsidRPr="00A9330B" w:rsidRDefault="00D628E1" w:rsidP="0064324E">
      <w:pPr>
        <w:pStyle w:val="Titre4"/>
      </w:pPr>
      <w:bookmarkStart w:id="734" w:name="_Toc45520818"/>
      <w:bookmarkStart w:id="735" w:name="_Toc52869622"/>
      <w:r w:rsidRPr="00A9330B">
        <w:lastRenderedPageBreak/>
        <w:t>3</w:t>
      </w:r>
      <w:r w:rsidR="00701C80" w:rsidRPr="00A9330B">
        <w:t>.1.1.</w:t>
      </w:r>
      <w:r w:rsidR="001B6F5A" w:rsidRPr="00A9330B">
        <w:t>8.</w:t>
      </w:r>
      <w:r w:rsidR="00701C80" w:rsidRPr="00A9330B">
        <w:t xml:space="preserve">  Végétation</w:t>
      </w:r>
      <w:bookmarkEnd w:id="734"/>
      <w:bookmarkEnd w:id="735"/>
    </w:p>
    <w:p w14:paraId="12C6894B" w14:textId="5335310A" w:rsidR="00D628E1" w:rsidRPr="00A9330B" w:rsidRDefault="001B6F5A" w:rsidP="004205C6">
      <w:pPr>
        <w:jc w:val="both"/>
      </w:pPr>
      <w:r w:rsidRPr="00A9330B">
        <w:t xml:space="preserve">La </w:t>
      </w:r>
      <w:r w:rsidR="00701C80" w:rsidRPr="00A9330B">
        <w:t xml:space="preserve">présence de la chaîne </w:t>
      </w:r>
      <w:r w:rsidR="004205C6" w:rsidRPr="00A9330B">
        <w:t>atakorienne fait</w:t>
      </w:r>
      <w:r w:rsidR="00701C80" w:rsidRPr="00A9330B">
        <w:t xml:space="preserve"> de la ville de Natitingou un site à </w:t>
      </w:r>
      <w:r w:rsidR="00496269" w:rsidRPr="00A9330B">
        <w:t xml:space="preserve">écosystème </w:t>
      </w:r>
      <w:r w:rsidR="00701C80" w:rsidRPr="00A9330B">
        <w:t xml:space="preserve">particulier riche et fragile. La présence du cours d’eau </w:t>
      </w:r>
      <w:r w:rsidRPr="00A9330B">
        <w:t>Fourgninkèrè augmente</w:t>
      </w:r>
      <w:r w:rsidR="00701C80" w:rsidRPr="00A9330B">
        <w:t xml:space="preserve"> la richesse de la </w:t>
      </w:r>
      <w:r w:rsidRPr="00A9330B">
        <w:t>biodiversité tant</w:t>
      </w:r>
      <w:r w:rsidR="00701C80" w:rsidRPr="00A9330B">
        <w:t xml:space="preserve"> sur la </w:t>
      </w:r>
      <w:r w:rsidR="00A50695" w:rsidRPr="00A9330B">
        <w:t>végétation saxicole et fluviale</w:t>
      </w:r>
      <w:r w:rsidR="00701C80" w:rsidRPr="00A9330B">
        <w:t xml:space="preserve">.  L’agrandissement de la </w:t>
      </w:r>
      <w:r w:rsidRPr="00A9330B">
        <w:t xml:space="preserve">ville </w:t>
      </w:r>
      <w:r w:rsidR="00A50695" w:rsidRPr="00A9330B">
        <w:t>va être la</w:t>
      </w:r>
      <w:r w:rsidR="00701C80" w:rsidRPr="00A9330B">
        <w:t xml:space="preserve"> principale cause de la </w:t>
      </w:r>
      <w:r w:rsidR="00A50695" w:rsidRPr="00A9330B">
        <w:t>dégradation et</w:t>
      </w:r>
      <w:r w:rsidR="00701C80" w:rsidRPr="00A9330B">
        <w:t xml:space="preserve"> de la perte de biodiversité. Ainsi les nombreuses </w:t>
      </w:r>
      <w:r w:rsidR="00A50695" w:rsidRPr="00A9330B">
        <w:t>espèces végétales</w:t>
      </w:r>
      <w:r w:rsidR="00701C80" w:rsidRPr="00A9330B">
        <w:t xml:space="preserve"> </w:t>
      </w:r>
      <w:r w:rsidR="00A50695" w:rsidRPr="00A9330B">
        <w:t>sont aujourd’hui</w:t>
      </w:r>
      <w:r w:rsidR="00701C80" w:rsidRPr="00A9330B">
        <w:t xml:space="preserve"> </w:t>
      </w:r>
      <w:r w:rsidR="00A50695" w:rsidRPr="00A9330B">
        <w:t>détruites pour</w:t>
      </w:r>
      <w:r w:rsidR="00701C80" w:rsidRPr="00A9330B">
        <w:t xml:space="preserve"> laisse</w:t>
      </w:r>
      <w:r w:rsidR="00EA4BD6" w:rsidRPr="00A9330B">
        <w:t>r</w:t>
      </w:r>
      <w:r w:rsidR="00701C80" w:rsidRPr="00A9330B">
        <w:t xml:space="preserve"> place aux habitations et autres infrastructures sociocommunautaires.</w:t>
      </w:r>
      <w:r w:rsidR="00D628E1" w:rsidRPr="00A9330B">
        <w:t xml:space="preserve"> </w:t>
      </w:r>
      <w:r w:rsidR="00701C80" w:rsidRPr="00A9330B">
        <w:t>Les princ</w:t>
      </w:r>
      <w:r w:rsidR="00A50695" w:rsidRPr="00A9330B">
        <w:t>ipales espèces rencontrées sont</w:t>
      </w:r>
      <w:r w:rsidR="00EA4BD6" w:rsidRPr="00A9330B">
        <w:t xml:space="preserve"> </w:t>
      </w:r>
      <w:r w:rsidR="00701C80" w:rsidRPr="00A9330B">
        <w:rPr>
          <w:i/>
        </w:rPr>
        <w:t>Tectona grandis</w:t>
      </w:r>
      <w:r w:rsidR="00701C80" w:rsidRPr="00A9330B">
        <w:t xml:space="preserve"> (teck), </w:t>
      </w:r>
      <w:r w:rsidR="00701C80" w:rsidRPr="00A9330B">
        <w:rPr>
          <w:i/>
        </w:rPr>
        <w:t>Anacardium occidentale</w:t>
      </w:r>
      <w:r w:rsidR="00701C80" w:rsidRPr="00A9330B">
        <w:t xml:space="preserve"> (anacardier), </w:t>
      </w:r>
      <w:r w:rsidR="00701C80" w:rsidRPr="00A9330B">
        <w:rPr>
          <w:i/>
        </w:rPr>
        <w:t>Mangifera  indica</w:t>
      </w:r>
      <w:r w:rsidR="00701C80" w:rsidRPr="00A9330B">
        <w:t xml:space="preserve">,  </w:t>
      </w:r>
      <w:r w:rsidR="00701C80" w:rsidRPr="00A9330B">
        <w:rPr>
          <w:i/>
        </w:rPr>
        <w:t>Gmelina  arborea</w:t>
      </w:r>
      <w:r w:rsidR="00701C80" w:rsidRPr="00A9330B">
        <w:t xml:space="preserve"> et  des plantes ornementales dont les plus nombreux sont des Terminalia. </w:t>
      </w:r>
    </w:p>
    <w:p w14:paraId="658DC1A2" w14:textId="0E0283F5" w:rsidR="00701C80" w:rsidRPr="00A9330B" w:rsidRDefault="00701C80" w:rsidP="004205C6">
      <w:pPr>
        <w:jc w:val="both"/>
      </w:pPr>
      <w:r w:rsidRPr="00A9330B">
        <w:t>Avec la pression anthropique, la nature e</w:t>
      </w:r>
      <w:r w:rsidR="00D628E1" w:rsidRPr="00A9330B">
        <w:t>t la composition floristique</w:t>
      </w:r>
      <w:r w:rsidRPr="00A9330B">
        <w:t xml:space="preserve"> ont été profondément modifiées. Elles ne sont plus que constituées des forêts galeries le long de la rivière Fourgninkèrè et des jachères qui sont au début du projet entre Ouroubouga et le Lycée Militaire des Jeunes Filles.  Les espèces les plus importantes et fréquentes (</w:t>
      </w:r>
      <w:r w:rsidR="004205C6" w:rsidRPr="00A9330B">
        <w:t>en nombre</w:t>
      </w:r>
      <w:r w:rsidRPr="00A9330B">
        <w:t xml:space="preserve">) sont </w:t>
      </w:r>
      <w:r w:rsidRPr="00A9330B">
        <w:rPr>
          <w:i/>
        </w:rPr>
        <w:t>Danielia oliveri</w:t>
      </w:r>
      <w:r w:rsidRPr="00A9330B">
        <w:t xml:space="preserve">, </w:t>
      </w:r>
      <w:r w:rsidRPr="00A9330B">
        <w:rPr>
          <w:i/>
        </w:rPr>
        <w:t>Ceiba  pendadra</w:t>
      </w:r>
      <w:r w:rsidRPr="00A9330B">
        <w:t xml:space="preserve"> (fromager),   </w:t>
      </w:r>
      <w:r w:rsidRPr="00A9330B">
        <w:rPr>
          <w:i/>
        </w:rPr>
        <w:t>Khaya  senegalensis</w:t>
      </w:r>
      <w:r w:rsidRPr="00A9330B">
        <w:t xml:space="preserve">  (caïcedrat), </w:t>
      </w:r>
      <w:r w:rsidRPr="00A9330B">
        <w:rPr>
          <w:i/>
        </w:rPr>
        <w:t>Vitellaria paradoxa</w:t>
      </w:r>
      <w:r w:rsidRPr="00A9330B">
        <w:t xml:space="preserve"> (karité), </w:t>
      </w:r>
      <w:r w:rsidRPr="00A9330B">
        <w:rPr>
          <w:i/>
        </w:rPr>
        <w:t>Parkia  biglobosa</w:t>
      </w:r>
      <w:r w:rsidRPr="00A9330B">
        <w:t xml:space="preserve"> (néré), </w:t>
      </w:r>
      <w:r w:rsidRPr="00A9330B">
        <w:rPr>
          <w:i/>
        </w:rPr>
        <w:t>Terminalia  macroptera</w:t>
      </w:r>
      <w:r w:rsidRPr="00A9330B">
        <w:t xml:space="preserve">, </w:t>
      </w:r>
      <w:r w:rsidRPr="00A9330B">
        <w:rPr>
          <w:i/>
        </w:rPr>
        <w:t>Terminalia  glauscennces</w:t>
      </w:r>
      <w:r w:rsidRPr="00A9330B">
        <w:t xml:space="preserve">, </w:t>
      </w:r>
      <w:r w:rsidRPr="00A9330B">
        <w:rPr>
          <w:i/>
        </w:rPr>
        <w:t>Pterocarpus  erinaceus</w:t>
      </w:r>
      <w:r w:rsidRPr="00A9330B">
        <w:t xml:space="preserve"> (véne), </w:t>
      </w:r>
      <w:r w:rsidRPr="00A9330B">
        <w:rPr>
          <w:i/>
        </w:rPr>
        <w:t>Adansonia  digitata (baobab)</w:t>
      </w:r>
      <w:r w:rsidRPr="00A9330B">
        <w:t xml:space="preserve">,  </w:t>
      </w:r>
      <w:r w:rsidRPr="00A9330B">
        <w:rPr>
          <w:i/>
        </w:rPr>
        <w:t>Milicia  excelsa</w:t>
      </w:r>
      <w:r w:rsidRPr="00A9330B">
        <w:t xml:space="preserve"> (iroko), </w:t>
      </w:r>
      <w:r w:rsidRPr="00A9330B">
        <w:rPr>
          <w:i/>
        </w:rPr>
        <w:t>Afzelia africana</w:t>
      </w:r>
      <w:r w:rsidRPr="00A9330B">
        <w:t xml:space="preserve"> (lingué),  </w:t>
      </w:r>
      <w:r w:rsidRPr="00A9330B">
        <w:rPr>
          <w:i/>
        </w:rPr>
        <w:t>Isoberlinia doka</w:t>
      </w:r>
      <w:r w:rsidRPr="00A9330B">
        <w:t xml:space="preserve">. </w:t>
      </w:r>
    </w:p>
    <w:p w14:paraId="0A4A5752" w14:textId="77777777" w:rsidR="00393DB8" w:rsidRPr="00A9330B" w:rsidRDefault="00393DB8" w:rsidP="004205C6">
      <w:pPr>
        <w:jc w:val="both"/>
      </w:pPr>
      <w:r w:rsidRPr="00A9330B">
        <w:t>Les formations des zones périodiquement inondées et le long de la rivière sont des formations végétales édaphiques. Les habitants y cultivent des produits maraîchers, des légumes, du maïs de contre saison, la banane et le tabac. Actuellement, grâce à l’appui du Partenariat National pour l’Eau du reboisement se fait le long de la rivière dans le but de la sauvegarder.</w:t>
      </w:r>
    </w:p>
    <w:p w14:paraId="36545ECA" w14:textId="77777777" w:rsidR="004205C6" w:rsidRPr="00A9330B" w:rsidRDefault="004205C6">
      <w:pPr>
        <w:spacing w:before="0" w:after="160" w:line="259" w:lineRule="auto"/>
      </w:pPr>
      <w:r w:rsidRPr="00A9330B">
        <w:br w:type="page"/>
      </w:r>
    </w:p>
    <w:p w14:paraId="07CB2075" w14:textId="24ED232C" w:rsidR="00701C80" w:rsidRPr="00A9330B" w:rsidRDefault="00D628E1" w:rsidP="004205C6">
      <w:pPr>
        <w:jc w:val="center"/>
        <w:rPr>
          <w:b/>
          <w:sz w:val="20"/>
          <w:szCs w:val="20"/>
        </w:rPr>
      </w:pPr>
      <w:bookmarkStart w:id="736" w:name="_Toc51844227"/>
      <w:r w:rsidRPr="00A9330B">
        <w:rPr>
          <w:b/>
          <w:sz w:val="20"/>
          <w:szCs w:val="20"/>
        </w:rPr>
        <w:lastRenderedPageBreak/>
        <w:t xml:space="preserve">Figure </w:t>
      </w:r>
      <w:r w:rsidR="00C24C74" w:rsidRPr="00A9330B">
        <w:rPr>
          <w:b/>
          <w:noProof/>
          <w:sz w:val="20"/>
          <w:szCs w:val="20"/>
        </w:rPr>
        <w:fldChar w:fldCharType="begin"/>
      </w:r>
      <w:r w:rsidR="00C24C74" w:rsidRPr="00A9330B">
        <w:rPr>
          <w:b/>
          <w:noProof/>
          <w:sz w:val="20"/>
          <w:szCs w:val="20"/>
        </w:rPr>
        <w:instrText xml:space="preserve"> SEQ Figure \* ARABIC </w:instrText>
      </w:r>
      <w:r w:rsidR="00C24C74" w:rsidRPr="00A9330B">
        <w:rPr>
          <w:b/>
          <w:noProof/>
          <w:sz w:val="20"/>
          <w:szCs w:val="20"/>
        </w:rPr>
        <w:fldChar w:fldCharType="separate"/>
      </w:r>
      <w:r w:rsidR="004205C6" w:rsidRPr="00A9330B">
        <w:rPr>
          <w:b/>
          <w:noProof/>
          <w:sz w:val="20"/>
          <w:szCs w:val="20"/>
        </w:rPr>
        <w:t>14</w:t>
      </w:r>
      <w:r w:rsidR="00C24C74" w:rsidRPr="00A9330B">
        <w:rPr>
          <w:b/>
          <w:noProof/>
          <w:sz w:val="20"/>
          <w:szCs w:val="20"/>
        </w:rPr>
        <w:fldChar w:fldCharType="end"/>
      </w:r>
      <w:r w:rsidRPr="00A9330B">
        <w:rPr>
          <w:b/>
          <w:sz w:val="20"/>
          <w:szCs w:val="20"/>
        </w:rPr>
        <w:t xml:space="preserve"> </w:t>
      </w:r>
      <w:r w:rsidR="00701C80" w:rsidRPr="00A9330B">
        <w:rPr>
          <w:b/>
          <w:bCs/>
          <w:sz w:val="20"/>
          <w:szCs w:val="20"/>
        </w:rPr>
        <w:t xml:space="preserve">: </w:t>
      </w:r>
      <w:r w:rsidR="00701C80" w:rsidRPr="00A9330B">
        <w:rPr>
          <w:b/>
          <w:sz w:val="20"/>
          <w:szCs w:val="20"/>
        </w:rPr>
        <w:t>Occupation des sols dans la ville de Natitingou</w:t>
      </w:r>
      <w:bookmarkEnd w:id="736"/>
    </w:p>
    <w:p w14:paraId="08E7A64D" w14:textId="39E38109" w:rsidR="00FB4228" w:rsidRPr="00A9330B" w:rsidRDefault="00FB4228" w:rsidP="0011523E">
      <w:pPr>
        <w:spacing w:line="240" w:lineRule="auto"/>
        <w:jc w:val="both"/>
        <w:rPr>
          <w:rFonts w:eastAsia="Calibri"/>
        </w:rPr>
      </w:pPr>
      <w:r w:rsidRPr="00A9330B">
        <w:rPr>
          <w:rFonts w:ascii="Calibri" w:eastAsia="Calibri" w:hAnsi="Calibri" w:cs="Times New Roman"/>
          <w:noProof/>
          <w:color w:val="auto"/>
          <w:lang w:eastAsia="fr-FR"/>
        </w:rPr>
        <w:drawing>
          <wp:inline distT="0" distB="0" distL="0" distR="0" wp14:anchorId="67D9FE6C" wp14:editId="3102725E">
            <wp:extent cx="5700409" cy="8074325"/>
            <wp:effectExtent l="0" t="0" r="0" b="3175"/>
            <wp:docPr id="3136" name="Image 3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707131" cy="8083846"/>
                    </a:xfrm>
                    <a:prstGeom prst="rect">
                      <a:avLst/>
                    </a:prstGeom>
                    <a:noFill/>
                    <a:ln>
                      <a:noFill/>
                    </a:ln>
                  </pic:spPr>
                </pic:pic>
              </a:graphicData>
            </a:graphic>
          </wp:inline>
        </w:drawing>
      </w:r>
    </w:p>
    <w:p w14:paraId="16A8DD68" w14:textId="77777777" w:rsidR="00701C80" w:rsidRPr="00A9330B" w:rsidRDefault="00701C80" w:rsidP="00701C80">
      <w:pPr>
        <w:rPr>
          <w:rFonts w:ascii="Times New Roman" w:eastAsia="Calibri" w:hAnsi="Times New Roman" w:cs="Times New Roman"/>
          <w:color w:val="auto"/>
          <w:sz w:val="24"/>
          <w:szCs w:val="24"/>
        </w:rPr>
      </w:pPr>
      <w:r w:rsidRPr="00A9330B">
        <w:rPr>
          <w:rFonts w:ascii="Times New Roman" w:eastAsia="Calibri" w:hAnsi="Times New Roman" w:cs="Times New Roman"/>
          <w:color w:val="auto"/>
          <w:sz w:val="24"/>
          <w:szCs w:val="24"/>
        </w:rPr>
        <w:br w:type="page"/>
      </w:r>
    </w:p>
    <w:p w14:paraId="67429B65" w14:textId="0EB4394D" w:rsidR="00701C80" w:rsidRPr="00A9330B" w:rsidRDefault="00393DB8" w:rsidP="0064324E">
      <w:pPr>
        <w:pStyle w:val="Titre4"/>
      </w:pPr>
      <w:bookmarkStart w:id="737" w:name="_Toc45520819"/>
      <w:bookmarkStart w:id="738" w:name="_Toc52869623"/>
      <w:r w:rsidRPr="00A9330B">
        <w:lastRenderedPageBreak/>
        <w:t>3.1.1.</w:t>
      </w:r>
      <w:r w:rsidR="00A50695" w:rsidRPr="00A9330B">
        <w:t>9.</w:t>
      </w:r>
      <w:r w:rsidRPr="00A9330B">
        <w:t xml:space="preserve">   </w:t>
      </w:r>
      <w:r w:rsidR="00701C80" w:rsidRPr="00A9330B">
        <w:t>Champs et jachères</w:t>
      </w:r>
      <w:bookmarkEnd w:id="737"/>
      <w:bookmarkEnd w:id="738"/>
    </w:p>
    <w:p w14:paraId="01506FE0" w14:textId="5AF4CF70" w:rsidR="00701C80" w:rsidRPr="00A9330B" w:rsidRDefault="00701C80" w:rsidP="004205C6">
      <w:pPr>
        <w:jc w:val="both"/>
        <w:rPr>
          <w:rFonts w:eastAsia="Calibri" w:cs="Arial"/>
          <w:color w:val="auto"/>
          <w:szCs w:val="24"/>
        </w:rPr>
      </w:pPr>
      <w:r w:rsidRPr="00A9330B">
        <w:rPr>
          <w:rFonts w:eastAsia="Calibri" w:cs="Arial"/>
          <w:color w:val="auto"/>
          <w:szCs w:val="24"/>
        </w:rPr>
        <w:t>Les champs et les jachères sont une marque de l’occupation de l’espace au début du projet. Les champs et les jachères occupent plus de 8</w:t>
      </w:r>
      <w:r w:rsidR="00393DB8" w:rsidRPr="00A9330B">
        <w:rPr>
          <w:rFonts w:eastAsia="Calibri" w:cs="Arial"/>
          <w:color w:val="auto"/>
          <w:szCs w:val="24"/>
        </w:rPr>
        <w:t>0</w:t>
      </w:r>
      <w:r w:rsidR="00EA4BD6" w:rsidRPr="00A9330B">
        <w:rPr>
          <w:rFonts w:eastAsia="Calibri" w:cs="Arial"/>
          <w:color w:val="auto"/>
          <w:szCs w:val="24"/>
        </w:rPr>
        <w:t xml:space="preserve"> </w:t>
      </w:r>
      <w:r w:rsidR="00393DB8" w:rsidRPr="00A9330B">
        <w:rPr>
          <w:rFonts w:eastAsia="Calibri" w:cs="Arial"/>
          <w:color w:val="auto"/>
          <w:szCs w:val="24"/>
        </w:rPr>
        <w:t>% de cette zone. On y trouve :</w:t>
      </w:r>
    </w:p>
    <w:p w14:paraId="05E0935C" w14:textId="77777777" w:rsidR="00701C80" w:rsidRPr="00A9330B" w:rsidRDefault="00701C80" w:rsidP="00BD2F72">
      <w:pPr>
        <w:pStyle w:val="Paragraphedeliste"/>
        <w:numPr>
          <w:ilvl w:val="1"/>
          <w:numId w:val="43"/>
        </w:numPr>
        <w:spacing w:line="264" w:lineRule="auto"/>
        <w:ind w:left="567"/>
        <w:contextualSpacing w:val="0"/>
        <w:jc w:val="both"/>
        <w:rPr>
          <w:rFonts w:eastAsia="Calibri" w:cs="Arial"/>
          <w:color w:val="auto"/>
          <w:szCs w:val="24"/>
          <w:lang w:val="fr-FR"/>
        </w:rPr>
      </w:pPr>
      <w:r w:rsidRPr="00A9330B">
        <w:rPr>
          <w:rFonts w:eastAsia="Calibri" w:cs="Arial"/>
          <w:color w:val="auto"/>
          <w:szCs w:val="24"/>
          <w:lang w:val="fr-FR"/>
        </w:rPr>
        <w:t>des champs de cultures saisonnières tels que le maïs, l’arachide, le sorgho, l’igname, les Légumineuses, de petit mil et voandzou ;</w:t>
      </w:r>
    </w:p>
    <w:p w14:paraId="1381DFA2" w14:textId="77777777" w:rsidR="00701C80" w:rsidRPr="00A9330B" w:rsidRDefault="00701C80" w:rsidP="00BD2F72">
      <w:pPr>
        <w:pStyle w:val="Paragraphedeliste"/>
        <w:numPr>
          <w:ilvl w:val="1"/>
          <w:numId w:val="43"/>
        </w:numPr>
        <w:spacing w:line="264" w:lineRule="auto"/>
        <w:ind w:left="567"/>
        <w:contextualSpacing w:val="0"/>
        <w:jc w:val="both"/>
        <w:rPr>
          <w:rFonts w:eastAsia="Calibri" w:cs="Arial"/>
          <w:color w:val="auto"/>
          <w:szCs w:val="24"/>
          <w:lang w:val="fr-FR"/>
        </w:rPr>
      </w:pPr>
      <w:r w:rsidRPr="00A9330B">
        <w:rPr>
          <w:rFonts w:eastAsia="Calibri" w:cs="Arial"/>
          <w:color w:val="auto"/>
          <w:szCs w:val="24"/>
          <w:lang w:val="fr-FR"/>
        </w:rPr>
        <w:t xml:space="preserve">ces jachères sont des parcelles issues du morcellement des terrains par des topographes  et/ou des géomètres privés sans aucune cohérence spatiale. Les autorités compétentes ne sont pas en possession des documents de ces morcellements et ce qui rend difficile le recasement et le dédommagement. </w:t>
      </w:r>
    </w:p>
    <w:p w14:paraId="786CF317" w14:textId="3CD50D8C" w:rsidR="00701C80" w:rsidRPr="00A9330B" w:rsidRDefault="00393DB8" w:rsidP="0064324E">
      <w:pPr>
        <w:pStyle w:val="Titre4"/>
      </w:pPr>
      <w:bookmarkStart w:id="739" w:name="_Toc45520820"/>
      <w:bookmarkStart w:id="740" w:name="_Toc52869624"/>
      <w:r w:rsidRPr="00A9330B">
        <w:t>3.1.1.</w:t>
      </w:r>
      <w:r w:rsidR="00A50695" w:rsidRPr="00A9330B">
        <w:t>10.</w:t>
      </w:r>
      <w:r w:rsidRPr="00A9330B">
        <w:t xml:space="preserve">   </w:t>
      </w:r>
      <w:r w:rsidR="00701C80" w:rsidRPr="00A9330B">
        <w:t>Aire protégée et forêt de galerie</w:t>
      </w:r>
      <w:bookmarkEnd w:id="739"/>
      <w:bookmarkEnd w:id="740"/>
    </w:p>
    <w:p w14:paraId="06B6C4DB" w14:textId="77777777" w:rsidR="00701C80" w:rsidRPr="00A9330B" w:rsidRDefault="00701C80" w:rsidP="0011523E">
      <w:pPr>
        <w:spacing w:after="240" w:line="240" w:lineRule="auto"/>
        <w:jc w:val="both"/>
        <w:rPr>
          <w:rFonts w:eastAsia="Calibri" w:cs="Arial"/>
          <w:color w:val="auto"/>
          <w:szCs w:val="24"/>
        </w:rPr>
      </w:pPr>
      <w:r w:rsidRPr="00A9330B">
        <w:rPr>
          <w:rFonts w:eastAsia="Calibri" w:cs="Arial"/>
          <w:color w:val="auto"/>
          <w:szCs w:val="24"/>
        </w:rPr>
        <w:t>La zone Ouest qui abrite la voie de contournement de Natitingou actuellement en construction, était verdoyante avec des arbres plus ou moins grands.  Il y avait été constitué un périmètre de reboisement de 205 ha dont une bonne partie a été déclassée.</w:t>
      </w:r>
    </w:p>
    <w:p w14:paraId="213FF716" w14:textId="6B44C8EB" w:rsidR="00FB4228" w:rsidRPr="00A9330B" w:rsidRDefault="00FB4228" w:rsidP="00A9330B">
      <w:pPr>
        <w:pStyle w:val="Lgende"/>
        <w:rPr>
          <w:rFonts w:eastAsia="Calibri"/>
        </w:rPr>
      </w:pPr>
      <w:bookmarkStart w:id="741" w:name="_Toc52870061"/>
      <w:r w:rsidRPr="00A9330B">
        <w:t xml:space="preserve">Planche  </w:t>
      </w:r>
      <w:r w:rsidRPr="00A9330B">
        <w:rPr>
          <w:noProof/>
        </w:rPr>
        <w:fldChar w:fldCharType="begin"/>
      </w:r>
      <w:r w:rsidRPr="00A9330B">
        <w:rPr>
          <w:noProof/>
        </w:rPr>
        <w:instrText xml:space="preserve"> SEQ Planche_ \* ARABIC </w:instrText>
      </w:r>
      <w:r w:rsidRPr="00A9330B">
        <w:rPr>
          <w:noProof/>
        </w:rPr>
        <w:fldChar w:fldCharType="separate"/>
      </w:r>
      <w:r w:rsidR="004205C6" w:rsidRPr="00A9330B">
        <w:rPr>
          <w:noProof/>
        </w:rPr>
        <w:t>3</w:t>
      </w:r>
      <w:r w:rsidRPr="00A9330B">
        <w:rPr>
          <w:noProof/>
        </w:rPr>
        <w:fldChar w:fldCharType="end"/>
      </w:r>
      <w:r w:rsidRPr="00A9330B">
        <w:rPr>
          <w:noProof/>
        </w:rPr>
        <w:t xml:space="preserve"> </w:t>
      </w:r>
      <w:r w:rsidRPr="00A9330B">
        <w:rPr>
          <w:rFonts w:eastAsia="Calibri"/>
        </w:rPr>
        <w:t xml:space="preserve">: Périmètre de reboisement de la ville de Natitingou à Tchirimina (a) et forêt galerie de la rivière </w:t>
      </w:r>
      <w:r w:rsidR="00EA4BD6" w:rsidRPr="00A9330B">
        <w:rPr>
          <w:rFonts w:eastAsia="Calibri"/>
        </w:rPr>
        <w:t>W</w:t>
      </w:r>
      <w:r w:rsidRPr="00A9330B">
        <w:rPr>
          <w:rFonts w:eastAsia="Calibri"/>
        </w:rPr>
        <w:t>adata à Bouriyouré (b)</w:t>
      </w:r>
      <w:bookmarkEnd w:id="741"/>
    </w:p>
    <w:p w14:paraId="2CAAC938" w14:textId="77777777" w:rsidR="00701C80" w:rsidRPr="00A9330B" w:rsidRDefault="00701C80" w:rsidP="00701C80">
      <w:pPr>
        <w:spacing w:line="240" w:lineRule="auto"/>
        <w:jc w:val="both"/>
        <w:rPr>
          <w:rFonts w:ascii="Times New Roman" w:eastAsia="Calibri" w:hAnsi="Times New Roman" w:cs="Times New Roman"/>
          <w:color w:val="auto"/>
          <w:sz w:val="24"/>
          <w:szCs w:val="24"/>
        </w:rPr>
      </w:pPr>
      <w:r w:rsidRPr="00A9330B">
        <w:rPr>
          <w:rFonts w:ascii="Calibri" w:eastAsia="Calibri" w:hAnsi="Calibri" w:cs="Times New Roman"/>
          <w:noProof/>
          <w:color w:val="auto"/>
          <w:lang w:eastAsia="fr-FR"/>
        </w:rPr>
        <mc:AlternateContent>
          <mc:Choice Requires="wpg">
            <w:drawing>
              <wp:anchor distT="0" distB="0" distL="114300" distR="114300" simplePos="0" relativeHeight="251670528" behindDoc="0" locked="0" layoutInCell="1" allowOverlap="1" wp14:anchorId="18ED439B" wp14:editId="61475F3B">
                <wp:simplePos x="0" y="0"/>
                <wp:positionH relativeFrom="column">
                  <wp:posOffset>2412748</wp:posOffset>
                </wp:positionH>
                <wp:positionV relativeFrom="paragraph">
                  <wp:posOffset>1643033</wp:posOffset>
                </wp:positionV>
                <wp:extent cx="3161040" cy="447639"/>
                <wp:effectExtent l="0" t="0" r="20320" b="10160"/>
                <wp:wrapNone/>
                <wp:docPr id="1" name="Groupe 1"/>
                <wp:cNvGraphicFramePr/>
                <a:graphic xmlns:a="http://schemas.openxmlformats.org/drawingml/2006/main">
                  <a:graphicData uri="http://schemas.microsoft.com/office/word/2010/wordprocessingGroup">
                    <wpg:wgp>
                      <wpg:cNvGrpSpPr/>
                      <wpg:grpSpPr>
                        <a:xfrm>
                          <a:off x="0" y="0"/>
                          <a:ext cx="3161040" cy="447639"/>
                          <a:chOff x="0" y="-207033"/>
                          <a:chExt cx="3161040" cy="447639"/>
                        </a:xfrm>
                      </wpg:grpSpPr>
                      <wps:wsp>
                        <wps:cNvPr id="2" name="Zone de texte 2"/>
                        <wps:cNvSpPr txBox="1"/>
                        <wps:spPr>
                          <a:xfrm>
                            <a:off x="0" y="-163901"/>
                            <a:ext cx="340103" cy="404507"/>
                          </a:xfrm>
                          <a:prstGeom prst="rect">
                            <a:avLst/>
                          </a:prstGeom>
                          <a:solidFill>
                            <a:srgbClr val="FFFF00"/>
                          </a:solidFill>
                          <a:ln w="6350">
                            <a:solidFill>
                              <a:prstClr val="black"/>
                            </a:solidFill>
                          </a:ln>
                        </wps:spPr>
                        <wps:txbx>
                          <w:txbxContent>
                            <w:p w14:paraId="4E9A4A62" w14:textId="77777777" w:rsidR="00803148" w:rsidRDefault="00803148" w:rsidP="00701C80">
                              <w: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 name="Zone de texte 3"/>
                        <wps:cNvSpPr txBox="1"/>
                        <wps:spPr>
                          <a:xfrm>
                            <a:off x="2840393" y="-207033"/>
                            <a:ext cx="320647" cy="447627"/>
                          </a:xfrm>
                          <a:prstGeom prst="rect">
                            <a:avLst/>
                          </a:prstGeom>
                          <a:solidFill>
                            <a:srgbClr val="FFFF00"/>
                          </a:solidFill>
                          <a:ln w="6350">
                            <a:solidFill>
                              <a:prstClr val="black"/>
                            </a:solidFill>
                          </a:ln>
                        </wps:spPr>
                        <wps:txbx>
                          <w:txbxContent>
                            <w:p w14:paraId="61F26BEF" w14:textId="77777777" w:rsidR="00803148" w:rsidRDefault="00803148" w:rsidP="00701C80">
                              <w: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18ED439B" id="Groupe 1" o:spid="_x0000_s1029" style="position:absolute;left:0;text-align:left;margin-left:190pt;margin-top:129.35pt;width:248.9pt;height:35.25pt;z-index:251670528;mso-height-relative:margin" coordorigin=",-2070" coordsize="31610,44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">
                <v:shape id="Zone de texte 2" o:spid="_x0000_s1030" type="#_x0000_t202" style="position:absolute;top:-1639;width:3401;height:40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" fillcolor="yellow" strokeweight=".5pt">
                  <v:textbox>
                    <w:txbxContent>
                      <w:p w14:paraId="4E9A4A62" w14:textId="77777777" w:rsidR="00803148" w:rsidRDefault="00803148" w:rsidP="00701C80">
                        <w:r>
                          <w:t>a</w:t>
                        </w:r>
                      </w:p>
                    </w:txbxContent>
                  </v:textbox>
                </v:shape>
                <v:shape id="Zone de texte 3" o:spid="_x0000_s1031" type="#_x0000_t202" style="position:absolute;left:28403;top:-2070;width:3207;height:44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" fillcolor="yellow" strokeweight=".5pt">
                  <v:textbox>
                    <w:txbxContent>
                      <w:p w14:paraId="61F26BEF" w14:textId="77777777" w:rsidR="00803148" w:rsidRDefault="00803148" w:rsidP="00701C80">
                        <w:r>
                          <w:t>b</w:t>
                        </w:r>
                      </w:p>
                    </w:txbxContent>
                  </v:textbox>
                </v:shape>
              </v:group>
            </w:pict>
          </mc:Fallback>
        </mc:AlternateContent>
      </w:r>
      <w:r w:rsidRPr="00A9330B">
        <w:rPr>
          <w:rFonts w:ascii="Calibri" w:eastAsia="Calibri" w:hAnsi="Calibri" w:cs="Times New Roman"/>
          <w:noProof/>
          <w:color w:val="auto"/>
          <w:lang w:eastAsia="fr-FR"/>
        </w:rPr>
        <w:drawing>
          <wp:inline distT="0" distB="0" distL="0" distR="0" wp14:anchorId="0A1D570B" wp14:editId="22A0F719">
            <wp:extent cx="2815582" cy="2089603"/>
            <wp:effectExtent l="0" t="0" r="4445" b="6350"/>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826093" cy="2097404"/>
                    </a:xfrm>
                    <a:prstGeom prst="rect">
                      <a:avLst/>
                    </a:prstGeom>
                    <a:noFill/>
                    <a:ln>
                      <a:noFill/>
                    </a:ln>
                  </pic:spPr>
                </pic:pic>
              </a:graphicData>
            </a:graphic>
          </wp:inline>
        </w:drawing>
      </w:r>
      <w:r w:rsidRPr="00A9330B">
        <w:rPr>
          <w:rFonts w:ascii="Calibri" w:eastAsia="Calibri" w:hAnsi="Calibri" w:cs="Times New Roman"/>
          <w:noProof/>
          <w:color w:val="auto"/>
          <w:lang w:eastAsia="fr-FR"/>
        </w:rPr>
        <w:drawing>
          <wp:inline distT="0" distB="0" distL="0" distR="0" wp14:anchorId="1434331B" wp14:editId="31994F0D">
            <wp:extent cx="2798475" cy="2098856"/>
            <wp:effectExtent l="0" t="0" r="1905" b="0"/>
            <wp:docPr id="41" name="Ima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803275" cy="2102456"/>
                    </a:xfrm>
                    <a:prstGeom prst="rect">
                      <a:avLst/>
                    </a:prstGeom>
                    <a:noFill/>
                    <a:ln>
                      <a:noFill/>
                    </a:ln>
                  </pic:spPr>
                </pic:pic>
              </a:graphicData>
            </a:graphic>
          </wp:inline>
        </w:drawing>
      </w:r>
    </w:p>
    <w:p w14:paraId="0D4549AE" w14:textId="77777777" w:rsidR="0030131E" w:rsidRPr="00A9330B" w:rsidRDefault="0030131E" w:rsidP="0030131E">
      <w:pPr>
        <w:spacing w:line="240" w:lineRule="auto"/>
        <w:jc w:val="center"/>
        <w:rPr>
          <w:rFonts w:eastAsia="Calibri" w:cs="Arial"/>
          <w:b/>
          <w:i/>
          <w:iCs/>
          <w:color w:val="auto"/>
          <w:sz w:val="20"/>
          <w:szCs w:val="20"/>
        </w:rPr>
      </w:pPr>
      <w:r w:rsidRPr="00A9330B">
        <w:rPr>
          <w:rFonts w:eastAsia="Calibri" w:cs="Arial"/>
          <w:b/>
          <w:i/>
          <w:iCs/>
          <w:color w:val="auto"/>
          <w:sz w:val="20"/>
          <w:szCs w:val="20"/>
          <w:lang w:eastAsia="fr-FR"/>
        </w:rPr>
        <w:t>Photos terrain (Enquêteurs 2020)</w:t>
      </w:r>
    </w:p>
    <w:p w14:paraId="4CE08C93" w14:textId="492460B7" w:rsidR="00701C80" w:rsidRPr="00A9330B" w:rsidRDefault="00393DB8" w:rsidP="0064324E">
      <w:pPr>
        <w:pStyle w:val="Titre4"/>
        <w:rPr>
          <w:rFonts w:cs="Arial"/>
          <w:bCs/>
          <w:szCs w:val="24"/>
        </w:rPr>
      </w:pPr>
      <w:bookmarkStart w:id="742" w:name="_Toc45520821"/>
      <w:bookmarkStart w:id="743" w:name="_Toc52869625"/>
      <w:r w:rsidRPr="00A9330B">
        <w:t>3.1.1.1</w:t>
      </w:r>
      <w:r w:rsidR="00A50695" w:rsidRPr="00A9330B">
        <w:t>1</w:t>
      </w:r>
      <w:r w:rsidRPr="00A9330B">
        <w:t xml:space="preserve"> </w:t>
      </w:r>
      <w:r w:rsidR="00701C80" w:rsidRPr="00A9330B">
        <w:rPr>
          <w:rFonts w:cs="Arial"/>
          <w:bCs/>
          <w:szCs w:val="24"/>
        </w:rPr>
        <w:t>Faune</w:t>
      </w:r>
      <w:bookmarkEnd w:id="742"/>
      <w:bookmarkEnd w:id="743"/>
    </w:p>
    <w:p w14:paraId="5D7DB5BF" w14:textId="3CCF64E9" w:rsidR="00701C80" w:rsidRPr="00A9330B" w:rsidRDefault="00701C80" w:rsidP="00393DB8">
      <w:pPr>
        <w:jc w:val="both"/>
      </w:pPr>
      <w:r w:rsidRPr="00A9330B">
        <w:t>La Commune de Natitingou a été un territoire dans laquelle le gibier était abondant et constitué d’éléphants, de léopards, de lions, d’hippopotames, d’antilopes, de singes, d’aulacodes, etc. On raconte que le fondateur de la ville s’y serait installé à cause du gibier. Mais très peu de données existent sur la faune de Natitingou surtout en milieu urbain. Les enquêtes socio-économiques révèlent une faune domestique composée de petits ruminants, de bovins, d’asins et également de volailles (pintades, poulets, etc.).</w:t>
      </w:r>
    </w:p>
    <w:p w14:paraId="66058B7C" w14:textId="651ABE41" w:rsidR="00701C80" w:rsidRPr="00A9330B" w:rsidRDefault="00393DB8" w:rsidP="006E37A6">
      <w:pPr>
        <w:pStyle w:val="Titre3"/>
      </w:pPr>
      <w:bookmarkStart w:id="744" w:name="_Toc45520822"/>
      <w:bookmarkStart w:id="745" w:name="_Toc52869626"/>
      <w:r w:rsidRPr="00A9330B">
        <w:t xml:space="preserve">3.1.2. </w:t>
      </w:r>
      <w:r w:rsidR="00656CD9" w:rsidRPr="00A9330B">
        <w:t>Milieu humain</w:t>
      </w:r>
      <w:bookmarkEnd w:id="744"/>
      <w:bookmarkEnd w:id="745"/>
    </w:p>
    <w:p w14:paraId="7DC50988" w14:textId="2FC0AB07" w:rsidR="00701C80" w:rsidRPr="00A9330B" w:rsidRDefault="00393DB8" w:rsidP="000F7BA7">
      <w:pPr>
        <w:pStyle w:val="Titre40"/>
      </w:pPr>
      <w:bookmarkStart w:id="746" w:name="_Toc45520823"/>
      <w:bookmarkStart w:id="747" w:name="_Toc52869627"/>
      <w:r w:rsidRPr="00A9330B">
        <w:t xml:space="preserve">3.1.2.1 </w:t>
      </w:r>
      <w:r w:rsidR="00701C80" w:rsidRPr="00A9330B">
        <w:t>Caractéristiques démographiques de la ville de Natitingou</w:t>
      </w:r>
      <w:bookmarkEnd w:id="746"/>
      <w:bookmarkEnd w:id="747"/>
      <w:r w:rsidR="00701C80" w:rsidRPr="00A9330B">
        <w:t xml:space="preserve"> </w:t>
      </w:r>
    </w:p>
    <w:p w14:paraId="0B0B9F6B" w14:textId="77777777" w:rsidR="00393DB8" w:rsidRPr="00A9330B" w:rsidRDefault="00701C80" w:rsidP="004205C6">
      <w:pPr>
        <w:jc w:val="both"/>
      </w:pPr>
      <w:r w:rsidRPr="00A9330B">
        <w:t xml:space="preserve">La ville de Natitingou compte vingt (20) quartiers répartis dans trois arrondissements (Natitingou I, II et III). </w:t>
      </w:r>
    </w:p>
    <w:p w14:paraId="57EF8CD5" w14:textId="03B1C43C" w:rsidR="001B1EC0" w:rsidRPr="00A9330B" w:rsidRDefault="001B1EC0" w:rsidP="004205C6">
      <w:pPr>
        <w:jc w:val="both"/>
        <w:rPr>
          <w:rFonts w:eastAsia="Calibri" w:cs="Arial"/>
          <w:color w:val="auto"/>
          <w:lang w:eastAsia="fr-FR"/>
        </w:rPr>
      </w:pPr>
      <w:r w:rsidRPr="00A9330B">
        <w:rPr>
          <w:rFonts w:eastAsia="Calibri" w:cs="Arial"/>
          <w:color w:val="auto"/>
          <w:lang w:eastAsia="fr-FR"/>
        </w:rPr>
        <w:t>La ville de Natitingou est composée de vingt (20) quartiers s</w:t>
      </w:r>
      <w:r w:rsidR="004205C6" w:rsidRPr="00A9330B">
        <w:rPr>
          <w:rFonts w:eastAsia="Calibri" w:cs="Arial"/>
          <w:color w:val="auto"/>
          <w:lang w:eastAsia="fr-FR"/>
        </w:rPr>
        <w:t>oit 06 pour l’Arrondissement 1,</w:t>
      </w:r>
      <w:r w:rsidR="00CA3AF9" w:rsidRPr="00A9330B">
        <w:rPr>
          <w:rFonts w:eastAsia="Calibri" w:cs="Arial"/>
          <w:color w:val="auto"/>
          <w:lang w:eastAsia="fr-FR"/>
        </w:rPr>
        <w:t xml:space="preserve"> </w:t>
      </w:r>
      <w:r w:rsidRPr="00A9330B">
        <w:rPr>
          <w:rFonts w:eastAsia="Calibri" w:cs="Arial"/>
          <w:color w:val="auto"/>
          <w:lang w:eastAsia="fr-FR"/>
        </w:rPr>
        <w:t xml:space="preserve">06 pour l’Arrondissement II et 08 quartiers dans le troisième Arrondissement. </w:t>
      </w:r>
    </w:p>
    <w:p w14:paraId="1BFAB3BA" w14:textId="77777777" w:rsidR="00B33ED3" w:rsidRPr="00A9330B" w:rsidRDefault="00B33ED3" w:rsidP="001B1EC0">
      <w:pPr>
        <w:spacing w:before="240" w:line="240" w:lineRule="auto"/>
        <w:jc w:val="both"/>
        <w:rPr>
          <w:rFonts w:eastAsia="Calibri" w:cs="Arial"/>
          <w:color w:val="auto"/>
          <w:lang w:eastAsia="fr-FR"/>
        </w:rPr>
      </w:pPr>
    </w:p>
    <w:p w14:paraId="1D5BA4D7" w14:textId="74B4781A" w:rsidR="001B1EC0" w:rsidRPr="00A9330B" w:rsidRDefault="00141693" w:rsidP="00A9330B">
      <w:pPr>
        <w:pStyle w:val="Lgende"/>
        <w:rPr>
          <w:rFonts w:eastAsia="Calibri"/>
        </w:rPr>
      </w:pPr>
      <w:bookmarkStart w:id="748" w:name="_Toc52873744"/>
      <w:r w:rsidRPr="00A9330B">
        <w:lastRenderedPageBreak/>
        <w:t xml:space="preserve">Tableau </w:t>
      </w:r>
      <w:r w:rsidR="00B41194" w:rsidRPr="00A9330B">
        <w:rPr>
          <w:noProof/>
        </w:rPr>
        <w:fldChar w:fldCharType="begin"/>
      </w:r>
      <w:r w:rsidR="00B41194" w:rsidRPr="00A9330B">
        <w:rPr>
          <w:noProof/>
        </w:rPr>
        <w:instrText xml:space="preserve"> SEQ Tableau \* ARABIC </w:instrText>
      </w:r>
      <w:r w:rsidR="00B41194" w:rsidRPr="00A9330B">
        <w:rPr>
          <w:noProof/>
        </w:rPr>
        <w:fldChar w:fldCharType="separate"/>
      </w:r>
      <w:r w:rsidR="00417D31" w:rsidRPr="00A9330B">
        <w:rPr>
          <w:noProof/>
        </w:rPr>
        <w:t>20</w:t>
      </w:r>
      <w:r w:rsidR="00B41194" w:rsidRPr="00A9330B">
        <w:rPr>
          <w:noProof/>
        </w:rPr>
        <w:fldChar w:fldCharType="end"/>
      </w:r>
      <w:r w:rsidR="001B1EC0" w:rsidRPr="00A9330B">
        <w:rPr>
          <w:rFonts w:eastAsia="Calibri"/>
        </w:rPr>
        <w:t xml:space="preserve"> </w:t>
      </w:r>
      <w:r w:rsidR="001B1EC0" w:rsidRPr="00A9330B">
        <w:rPr>
          <w:rFonts w:eastAsia="SimSun"/>
          <w:bCs/>
        </w:rPr>
        <w:t xml:space="preserve">: </w:t>
      </w:r>
      <w:r w:rsidR="001B1EC0" w:rsidRPr="00A9330B">
        <w:rPr>
          <w:rFonts w:eastAsia="Calibri"/>
        </w:rPr>
        <w:t>Découpage administratif de la ville de Natitingou</w:t>
      </w:r>
      <w:bookmarkEnd w:id="748"/>
    </w:p>
    <w:tbl>
      <w:tblPr>
        <w:tblW w:w="490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CellMar>
          <w:left w:w="70" w:type="dxa"/>
          <w:right w:w="70" w:type="dxa"/>
        </w:tblCellMar>
        <w:tblLook w:val="04A0" w:firstRow="1" w:lastRow="0" w:firstColumn="1" w:lastColumn="0" w:noHBand="0" w:noVBand="1"/>
      </w:tblPr>
      <w:tblGrid>
        <w:gridCol w:w="2392"/>
        <w:gridCol w:w="5385"/>
        <w:gridCol w:w="1107"/>
      </w:tblGrid>
      <w:tr w:rsidR="001B1EC0" w:rsidRPr="00A9330B" w14:paraId="2D67ACDE" w14:textId="77777777" w:rsidTr="00656CD9">
        <w:trPr>
          <w:trHeight w:val="221"/>
        </w:trPr>
        <w:tc>
          <w:tcPr>
            <w:tcW w:w="1346" w:type="pct"/>
            <w:shd w:val="clear" w:color="auto" w:fill="FFFFFF" w:themeFill="background1"/>
            <w:noWrap/>
            <w:vAlign w:val="center"/>
            <w:hideMark/>
          </w:tcPr>
          <w:p w14:paraId="5FCF83C7" w14:textId="77777777" w:rsidR="001B1EC0" w:rsidRPr="00A9330B" w:rsidRDefault="001B1EC0" w:rsidP="001B1EC0">
            <w:pPr>
              <w:spacing w:line="240" w:lineRule="auto"/>
              <w:rPr>
                <w:rFonts w:eastAsia="Calibri" w:cs="Arial"/>
                <w:b/>
                <w:color w:val="auto"/>
                <w:sz w:val="20"/>
                <w:szCs w:val="20"/>
                <w:lang w:eastAsia="fr-FR"/>
              </w:rPr>
            </w:pPr>
            <w:r w:rsidRPr="00A9330B">
              <w:rPr>
                <w:rFonts w:eastAsia="Calibri" w:cs="Arial"/>
                <w:b/>
                <w:color w:val="auto"/>
                <w:sz w:val="20"/>
                <w:szCs w:val="20"/>
                <w:lang w:eastAsia="fr-FR"/>
              </w:rPr>
              <w:t>Arrondissements</w:t>
            </w:r>
          </w:p>
        </w:tc>
        <w:tc>
          <w:tcPr>
            <w:tcW w:w="3031" w:type="pct"/>
            <w:shd w:val="clear" w:color="auto" w:fill="FFFFFF" w:themeFill="background1"/>
            <w:noWrap/>
            <w:vAlign w:val="center"/>
            <w:hideMark/>
          </w:tcPr>
          <w:p w14:paraId="36FF418F" w14:textId="77777777" w:rsidR="001B1EC0" w:rsidRPr="00A9330B" w:rsidRDefault="001B1EC0" w:rsidP="001B1EC0">
            <w:pPr>
              <w:spacing w:line="240" w:lineRule="auto"/>
              <w:jc w:val="center"/>
              <w:rPr>
                <w:rFonts w:eastAsia="Calibri" w:cs="Arial"/>
                <w:b/>
                <w:color w:val="auto"/>
                <w:sz w:val="20"/>
                <w:szCs w:val="20"/>
                <w:lang w:eastAsia="fr-FR"/>
              </w:rPr>
            </w:pPr>
            <w:r w:rsidRPr="00A9330B">
              <w:rPr>
                <w:rFonts w:eastAsia="Calibri" w:cs="Arial"/>
                <w:b/>
                <w:color w:val="auto"/>
                <w:sz w:val="20"/>
                <w:szCs w:val="20"/>
                <w:lang w:eastAsia="fr-FR"/>
              </w:rPr>
              <w:t>Quartiers</w:t>
            </w:r>
          </w:p>
        </w:tc>
        <w:tc>
          <w:tcPr>
            <w:tcW w:w="623" w:type="pct"/>
            <w:shd w:val="clear" w:color="auto" w:fill="FFFFFF" w:themeFill="background1"/>
            <w:noWrap/>
            <w:vAlign w:val="center"/>
            <w:hideMark/>
          </w:tcPr>
          <w:p w14:paraId="7982E3BC" w14:textId="77777777" w:rsidR="001B1EC0" w:rsidRPr="00A9330B" w:rsidRDefault="001B1EC0" w:rsidP="001B1EC0">
            <w:pPr>
              <w:spacing w:line="240" w:lineRule="auto"/>
              <w:jc w:val="center"/>
              <w:rPr>
                <w:rFonts w:eastAsia="Calibri" w:cs="Arial"/>
                <w:b/>
                <w:color w:val="auto"/>
                <w:sz w:val="20"/>
                <w:szCs w:val="20"/>
                <w:lang w:eastAsia="fr-FR"/>
              </w:rPr>
            </w:pPr>
            <w:r w:rsidRPr="00A9330B">
              <w:rPr>
                <w:rFonts w:eastAsia="Calibri" w:cs="Arial"/>
                <w:b/>
                <w:color w:val="auto"/>
                <w:sz w:val="20"/>
                <w:szCs w:val="20"/>
                <w:lang w:eastAsia="fr-FR"/>
              </w:rPr>
              <w:t>Nombre</w:t>
            </w:r>
          </w:p>
        </w:tc>
      </w:tr>
      <w:tr w:rsidR="001B1EC0" w:rsidRPr="00A9330B" w14:paraId="51483310" w14:textId="77777777" w:rsidTr="001B1EC0">
        <w:trPr>
          <w:trHeight w:val="283"/>
        </w:trPr>
        <w:tc>
          <w:tcPr>
            <w:tcW w:w="1346" w:type="pct"/>
            <w:shd w:val="clear" w:color="auto" w:fill="FFFFFF"/>
            <w:noWrap/>
            <w:vAlign w:val="center"/>
          </w:tcPr>
          <w:p w14:paraId="7D5F8701" w14:textId="77777777" w:rsidR="001B1EC0" w:rsidRPr="00A9330B" w:rsidRDefault="001B1EC0" w:rsidP="001B1EC0">
            <w:pPr>
              <w:spacing w:line="240" w:lineRule="auto"/>
              <w:rPr>
                <w:rFonts w:eastAsia="Calibri" w:cs="Arial"/>
                <w:b/>
                <w:bCs/>
                <w:color w:val="auto"/>
                <w:sz w:val="20"/>
                <w:szCs w:val="20"/>
                <w:lang w:eastAsia="fr-FR"/>
              </w:rPr>
            </w:pPr>
            <w:r w:rsidRPr="00A9330B">
              <w:rPr>
                <w:rFonts w:eastAsia="Calibri" w:cs="Arial"/>
                <w:b/>
                <w:bCs/>
                <w:color w:val="auto"/>
                <w:sz w:val="20"/>
                <w:szCs w:val="20"/>
                <w:lang w:eastAsia="fr-FR"/>
              </w:rPr>
              <w:t> Natitingou I</w:t>
            </w:r>
          </w:p>
        </w:tc>
        <w:tc>
          <w:tcPr>
            <w:tcW w:w="3031" w:type="pct"/>
            <w:shd w:val="clear" w:color="auto" w:fill="FFFFFF"/>
            <w:noWrap/>
            <w:vAlign w:val="bottom"/>
          </w:tcPr>
          <w:p w14:paraId="54CB20B5" w14:textId="77777777" w:rsidR="001B1EC0" w:rsidRPr="00A9330B" w:rsidRDefault="001B1EC0" w:rsidP="001B1EC0">
            <w:pPr>
              <w:spacing w:line="240" w:lineRule="auto"/>
              <w:jc w:val="both"/>
              <w:rPr>
                <w:rFonts w:eastAsia="Calibri" w:cs="Arial"/>
                <w:color w:val="auto"/>
                <w:sz w:val="20"/>
                <w:szCs w:val="20"/>
                <w:lang w:eastAsia="fr-FR"/>
              </w:rPr>
            </w:pPr>
            <w:r w:rsidRPr="00A9330B">
              <w:rPr>
                <w:rFonts w:eastAsia="Calibri" w:cs="Arial"/>
                <w:color w:val="auto"/>
                <w:sz w:val="20"/>
                <w:szCs w:val="20"/>
                <w:lang w:eastAsia="fr-FR"/>
              </w:rPr>
              <w:t>Bagri, Djindjiré-béri, Kantchagoutamou, Sountchirantikou, Tchirimina, Yokossi</w:t>
            </w:r>
          </w:p>
        </w:tc>
        <w:tc>
          <w:tcPr>
            <w:tcW w:w="623" w:type="pct"/>
            <w:shd w:val="clear" w:color="auto" w:fill="FFFFFF"/>
            <w:noWrap/>
            <w:vAlign w:val="center"/>
          </w:tcPr>
          <w:p w14:paraId="0FB29699" w14:textId="77777777" w:rsidR="001B1EC0" w:rsidRPr="00A9330B" w:rsidRDefault="001B1EC0" w:rsidP="001B1EC0">
            <w:pPr>
              <w:spacing w:line="240" w:lineRule="auto"/>
              <w:jc w:val="center"/>
              <w:rPr>
                <w:rFonts w:eastAsia="Calibri" w:cs="Arial"/>
                <w:color w:val="auto"/>
                <w:sz w:val="20"/>
                <w:szCs w:val="20"/>
                <w:lang w:eastAsia="fr-FR"/>
              </w:rPr>
            </w:pPr>
            <w:r w:rsidRPr="00A9330B">
              <w:rPr>
                <w:rFonts w:eastAsia="Calibri" w:cs="Arial"/>
                <w:color w:val="auto"/>
                <w:sz w:val="20"/>
                <w:szCs w:val="20"/>
                <w:lang w:eastAsia="fr-FR"/>
              </w:rPr>
              <w:t>06</w:t>
            </w:r>
          </w:p>
        </w:tc>
      </w:tr>
      <w:tr w:rsidR="001B1EC0" w:rsidRPr="00A9330B" w14:paraId="3BD55277" w14:textId="77777777" w:rsidTr="001B1EC0">
        <w:trPr>
          <w:trHeight w:val="297"/>
        </w:trPr>
        <w:tc>
          <w:tcPr>
            <w:tcW w:w="1346" w:type="pct"/>
            <w:shd w:val="clear" w:color="auto" w:fill="FFFFFF"/>
            <w:noWrap/>
            <w:vAlign w:val="center"/>
          </w:tcPr>
          <w:p w14:paraId="59DBD197" w14:textId="77777777" w:rsidR="001B1EC0" w:rsidRPr="00A9330B" w:rsidRDefault="001B1EC0" w:rsidP="001B1EC0">
            <w:pPr>
              <w:spacing w:line="240" w:lineRule="auto"/>
              <w:rPr>
                <w:rFonts w:eastAsia="Calibri" w:cs="Arial"/>
                <w:b/>
                <w:bCs/>
                <w:color w:val="auto"/>
                <w:sz w:val="20"/>
                <w:szCs w:val="20"/>
                <w:lang w:eastAsia="fr-FR"/>
              </w:rPr>
            </w:pPr>
            <w:r w:rsidRPr="00A9330B">
              <w:rPr>
                <w:rFonts w:eastAsia="Calibri" w:cs="Arial"/>
                <w:b/>
                <w:bCs/>
                <w:color w:val="auto"/>
                <w:sz w:val="20"/>
                <w:szCs w:val="20"/>
                <w:lang w:eastAsia="fr-FR"/>
              </w:rPr>
              <w:t>Natitingou II</w:t>
            </w:r>
          </w:p>
        </w:tc>
        <w:tc>
          <w:tcPr>
            <w:tcW w:w="3031" w:type="pct"/>
            <w:shd w:val="clear" w:color="auto" w:fill="FFFFFF"/>
            <w:noWrap/>
            <w:vAlign w:val="center"/>
          </w:tcPr>
          <w:p w14:paraId="61047375" w14:textId="77777777" w:rsidR="001B1EC0" w:rsidRPr="00A9330B" w:rsidRDefault="001B1EC0" w:rsidP="001B1EC0">
            <w:pPr>
              <w:spacing w:line="240" w:lineRule="auto"/>
              <w:jc w:val="both"/>
              <w:rPr>
                <w:rFonts w:eastAsia="Calibri" w:cs="Arial"/>
                <w:color w:val="auto"/>
                <w:sz w:val="20"/>
                <w:szCs w:val="20"/>
                <w:lang w:eastAsia="fr-FR"/>
              </w:rPr>
            </w:pPr>
            <w:r w:rsidRPr="00A9330B">
              <w:rPr>
                <w:rFonts w:eastAsia="Calibri" w:cs="Arial"/>
                <w:color w:val="auto"/>
                <w:sz w:val="20"/>
                <w:szCs w:val="20"/>
                <w:lang w:eastAsia="fr-FR"/>
              </w:rPr>
              <w:t>Bokoro, Boriyouré, Dassakaté, Ouroubonna, Ourkparbou, Santa</w:t>
            </w:r>
          </w:p>
        </w:tc>
        <w:tc>
          <w:tcPr>
            <w:tcW w:w="623" w:type="pct"/>
            <w:shd w:val="clear" w:color="auto" w:fill="FFFFFF"/>
            <w:noWrap/>
            <w:vAlign w:val="center"/>
          </w:tcPr>
          <w:p w14:paraId="02CE3509" w14:textId="77777777" w:rsidR="001B1EC0" w:rsidRPr="00A9330B" w:rsidRDefault="001B1EC0" w:rsidP="001B1EC0">
            <w:pPr>
              <w:spacing w:line="240" w:lineRule="auto"/>
              <w:jc w:val="center"/>
              <w:rPr>
                <w:rFonts w:eastAsia="Calibri" w:cs="Arial"/>
                <w:color w:val="auto"/>
                <w:sz w:val="20"/>
                <w:szCs w:val="20"/>
                <w:lang w:eastAsia="fr-FR"/>
              </w:rPr>
            </w:pPr>
            <w:r w:rsidRPr="00A9330B">
              <w:rPr>
                <w:rFonts w:eastAsia="Calibri" w:cs="Arial"/>
                <w:color w:val="auto"/>
                <w:sz w:val="20"/>
                <w:szCs w:val="20"/>
                <w:lang w:eastAsia="fr-FR"/>
              </w:rPr>
              <w:t>06</w:t>
            </w:r>
          </w:p>
        </w:tc>
      </w:tr>
      <w:tr w:rsidR="001B1EC0" w:rsidRPr="00A9330B" w14:paraId="2B26B451" w14:textId="77777777" w:rsidTr="001B1EC0">
        <w:trPr>
          <w:trHeight w:val="495"/>
        </w:trPr>
        <w:tc>
          <w:tcPr>
            <w:tcW w:w="1346" w:type="pct"/>
            <w:shd w:val="clear" w:color="auto" w:fill="FFFFFF"/>
            <w:noWrap/>
            <w:vAlign w:val="center"/>
          </w:tcPr>
          <w:p w14:paraId="01C981EB" w14:textId="77777777" w:rsidR="001B1EC0" w:rsidRPr="00A9330B" w:rsidRDefault="001B1EC0" w:rsidP="001B1EC0">
            <w:pPr>
              <w:spacing w:line="240" w:lineRule="auto"/>
              <w:rPr>
                <w:rFonts w:eastAsia="Calibri" w:cs="Arial"/>
                <w:b/>
                <w:bCs/>
                <w:color w:val="auto"/>
                <w:sz w:val="20"/>
                <w:szCs w:val="20"/>
                <w:lang w:eastAsia="fr-FR"/>
              </w:rPr>
            </w:pPr>
            <w:r w:rsidRPr="00A9330B">
              <w:rPr>
                <w:rFonts w:eastAsia="Calibri" w:cs="Arial"/>
                <w:b/>
                <w:bCs/>
                <w:color w:val="auto"/>
                <w:sz w:val="20"/>
                <w:szCs w:val="20"/>
                <w:lang w:eastAsia="fr-FR"/>
              </w:rPr>
              <w:t>Natitingou III</w:t>
            </w:r>
          </w:p>
        </w:tc>
        <w:tc>
          <w:tcPr>
            <w:tcW w:w="3031" w:type="pct"/>
            <w:shd w:val="clear" w:color="auto" w:fill="FFFFFF"/>
            <w:noWrap/>
            <w:vAlign w:val="bottom"/>
          </w:tcPr>
          <w:p w14:paraId="2A89C0F4" w14:textId="77777777" w:rsidR="001B1EC0" w:rsidRPr="00A9330B" w:rsidRDefault="001B1EC0" w:rsidP="001B1EC0">
            <w:pPr>
              <w:spacing w:line="240" w:lineRule="auto"/>
              <w:jc w:val="both"/>
              <w:rPr>
                <w:rFonts w:eastAsia="Calibri" w:cs="Arial"/>
                <w:color w:val="auto"/>
                <w:sz w:val="20"/>
                <w:szCs w:val="20"/>
                <w:lang w:eastAsia="fr-FR"/>
              </w:rPr>
            </w:pPr>
            <w:r w:rsidRPr="00A9330B">
              <w:rPr>
                <w:rFonts w:eastAsia="Calibri" w:cs="Arial"/>
                <w:color w:val="auto"/>
                <w:sz w:val="20"/>
                <w:szCs w:val="20"/>
                <w:lang w:eastAsia="fr-FR"/>
              </w:rPr>
              <w:t>Bérécingou, Didapoumbor, Kantaborifa, Koussantikou, Ourbouga, Winkè, Yétapo, Yimporima</w:t>
            </w:r>
          </w:p>
        </w:tc>
        <w:tc>
          <w:tcPr>
            <w:tcW w:w="623" w:type="pct"/>
            <w:shd w:val="clear" w:color="auto" w:fill="FFFFFF"/>
            <w:noWrap/>
            <w:vAlign w:val="center"/>
          </w:tcPr>
          <w:p w14:paraId="01BC2D69" w14:textId="77777777" w:rsidR="001B1EC0" w:rsidRPr="00A9330B" w:rsidRDefault="001B1EC0" w:rsidP="001B1EC0">
            <w:pPr>
              <w:spacing w:line="240" w:lineRule="auto"/>
              <w:jc w:val="center"/>
              <w:rPr>
                <w:rFonts w:eastAsia="Calibri" w:cs="Arial"/>
                <w:color w:val="auto"/>
                <w:sz w:val="20"/>
                <w:szCs w:val="20"/>
                <w:lang w:eastAsia="fr-FR"/>
              </w:rPr>
            </w:pPr>
            <w:r w:rsidRPr="00A9330B">
              <w:rPr>
                <w:rFonts w:eastAsia="Calibri" w:cs="Arial"/>
                <w:color w:val="auto"/>
                <w:sz w:val="20"/>
                <w:szCs w:val="20"/>
                <w:lang w:eastAsia="fr-FR"/>
              </w:rPr>
              <w:t>08</w:t>
            </w:r>
          </w:p>
        </w:tc>
      </w:tr>
    </w:tbl>
    <w:p w14:paraId="06E0507D" w14:textId="77777777" w:rsidR="001B1EC0" w:rsidRPr="00A9330B" w:rsidRDefault="001B1EC0" w:rsidP="00FB5FCD">
      <w:pPr>
        <w:spacing w:line="240" w:lineRule="auto"/>
        <w:ind w:left="708" w:firstLine="708"/>
        <w:rPr>
          <w:rFonts w:eastAsia="Calibri" w:cs="Arial"/>
          <w:color w:val="auto"/>
          <w:sz w:val="20"/>
          <w:szCs w:val="20"/>
          <w:lang w:eastAsia="fr-FR"/>
        </w:rPr>
      </w:pPr>
      <w:r w:rsidRPr="00A9330B">
        <w:rPr>
          <w:rFonts w:eastAsia="Calibri" w:cs="Arial"/>
          <w:b/>
          <w:bCs/>
          <w:color w:val="auto"/>
          <w:sz w:val="20"/>
          <w:szCs w:val="20"/>
          <w:lang w:eastAsia="fr-FR"/>
        </w:rPr>
        <w:t>Source :</w:t>
      </w:r>
      <w:r w:rsidRPr="00A9330B">
        <w:rPr>
          <w:rFonts w:eastAsia="Calibri" w:cs="Arial"/>
          <w:color w:val="auto"/>
          <w:sz w:val="20"/>
          <w:szCs w:val="20"/>
          <w:lang w:eastAsia="fr-FR"/>
        </w:rPr>
        <w:t xml:space="preserve"> travaux de terrain, juin 2020</w:t>
      </w:r>
    </w:p>
    <w:p w14:paraId="667C7358" w14:textId="77777777" w:rsidR="001B1EC0" w:rsidRPr="00A9330B" w:rsidRDefault="00701C80" w:rsidP="00393DB8">
      <w:pPr>
        <w:spacing w:line="240" w:lineRule="auto"/>
        <w:jc w:val="both"/>
      </w:pPr>
      <w:r w:rsidRPr="00A9330B">
        <w:t xml:space="preserve">Les grands groupes socioculturels sont : les Bètammaribè, les Waaba, les Dendi, les Baatombou, les peulhs, les yorouba, les fons, les Natimba, etc. </w:t>
      </w:r>
    </w:p>
    <w:p w14:paraId="4F61F00D" w14:textId="77777777" w:rsidR="001B1EC0" w:rsidRPr="00A9330B" w:rsidRDefault="00701C80" w:rsidP="00393DB8">
      <w:pPr>
        <w:spacing w:line="240" w:lineRule="auto"/>
        <w:jc w:val="both"/>
        <w:rPr>
          <w:rFonts w:eastAsia="Calibri" w:cs="Arial"/>
          <w:color w:val="auto"/>
        </w:rPr>
      </w:pPr>
      <w:r w:rsidRPr="00A9330B">
        <w:t>La commune de Natitingou comme la plupart des communes otammari connaît d’une part un</w:t>
      </w:r>
      <w:r w:rsidRPr="00A9330B">
        <w:rPr>
          <w:rFonts w:eastAsia="Calibri" w:cs="Arial"/>
          <w:color w:val="auto"/>
        </w:rPr>
        <w:t xml:space="preserve"> habitat de type dispersé et d’autre part de grandes agglomérations de grande envergure. </w:t>
      </w:r>
    </w:p>
    <w:p w14:paraId="7B4310F0" w14:textId="77777777" w:rsidR="00701C80" w:rsidRPr="00A9330B" w:rsidRDefault="00701C80" w:rsidP="001B1EC0">
      <w:pPr>
        <w:jc w:val="both"/>
      </w:pPr>
      <w:r w:rsidRPr="00A9330B">
        <w:t>On note une diversité d’habitations surtout de type rural caractérisé par des tatas, des cases rondes, des cases rectangulaires en terre de barre, couvertes de tôle ou de paille.</w:t>
      </w:r>
      <w:r w:rsidR="001B1EC0" w:rsidRPr="00A9330B">
        <w:t xml:space="preserve"> </w:t>
      </w:r>
      <w:r w:rsidRPr="00A9330B">
        <w:t>L’habitat de type urbain se caractérise par des constructions en matériaux durables dans les agglomérations et dans certains milieux ruraux notamment pour les centres de santé, les écoles et les bâtiments administratifs.</w:t>
      </w:r>
    </w:p>
    <w:p w14:paraId="56EDCECF" w14:textId="77777777" w:rsidR="001B1EC0" w:rsidRPr="00A9330B" w:rsidRDefault="001B1EC0" w:rsidP="001B1EC0">
      <w:pPr>
        <w:jc w:val="both"/>
      </w:pPr>
      <w:r w:rsidRPr="00A9330B">
        <w:t>La population urbaine de Natitingou qui était de l’ordre de 29 373 en 1992 habitants a atteint le niveau de 35 029 habitants en 2002 et 45 871 habitants en 2013. La croissance démographique moyenne de la Commune est de 2,86 %. La population des trois arrondissements urbains de Natitingou atteindra le seuil de 85 303 à l’horizon 2035, soit le double de la population actuelle.</w:t>
      </w:r>
    </w:p>
    <w:p w14:paraId="7F97A14E" w14:textId="6E1AD681" w:rsidR="00701C80" w:rsidRPr="00A9330B" w:rsidRDefault="001B1EC0" w:rsidP="0011523E">
      <w:pPr>
        <w:spacing w:line="240" w:lineRule="auto"/>
        <w:jc w:val="center"/>
        <w:rPr>
          <w:rFonts w:eastAsia="Calibri"/>
          <w:b/>
          <w:sz w:val="20"/>
          <w:szCs w:val="20"/>
        </w:rPr>
      </w:pPr>
      <w:bookmarkStart w:id="749" w:name="_Toc51844228"/>
      <w:r w:rsidRPr="00A9330B">
        <w:rPr>
          <w:b/>
          <w:sz w:val="20"/>
          <w:szCs w:val="20"/>
        </w:rPr>
        <w:t xml:space="preserve">Figure </w:t>
      </w:r>
      <w:r w:rsidR="00C24C74" w:rsidRPr="00A9330B">
        <w:rPr>
          <w:b/>
          <w:noProof/>
          <w:sz w:val="20"/>
          <w:szCs w:val="20"/>
        </w:rPr>
        <w:fldChar w:fldCharType="begin"/>
      </w:r>
      <w:r w:rsidR="00C24C74" w:rsidRPr="00A9330B">
        <w:rPr>
          <w:b/>
          <w:noProof/>
          <w:sz w:val="20"/>
          <w:szCs w:val="20"/>
        </w:rPr>
        <w:instrText xml:space="preserve"> SEQ Figure \* ARABIC </w:instrText>
      </w:r>
      <w:r w:rsidR="00C24C74" w:rsidRPr="00A9330B">
        <w:rPr>
          <w:b/>
          <w:noProof/>
          <w:sz w:val="20"/>
          <w:szCs w:val="20"/>
        </w:rPr>
        <w:fldChar w:fldCharType="separate"/>
      </w:r>
      <w:r w:rsidR="00FB5FCD" w:rsidRPr="00A9330B">
        <w:rPr>
          <w:b/>
          <w:noProof/>
          <w:sz w:val="20"/>
          <w:szCs w:val="20"/>
        </w:rPr>
        <w:t>15</w:t>
      </w:r>
      <w:r w:rsidR="00C24C74" w:rsidRPr="00A9330B">
        <w:rPr>
          <w:b/>
          <w:noProof/>
          <w:sz w:val="20"/>
          <w:szCs w:val="20"/>
        </w:rPr>
        <w:fldChar w:fldCharType="end"/>
      </w:r>
      <w:r w:rsidRPr="00A9330B">
        <w:rPr>
          <w:b/>
          <w:sz w:val="20"/>
          <w:szCs w:val="20"/>
        </w:rPr>
        <w:t xml:space="preserve"> : </w:t>
      </w:r>
      <w:r w:rsidR="00701C80" w:rsidRPr="00A9330B">
        <w:rPr>
          <w:rFonts w:eastAsia="Calibri"/>
          <w:b/>
          <w:sz w:val="20"/>
          <w:szCs w:val="20"/>
        </w:rPr>
        <w:t>Evolution de la population de la ville de Natitingou</w:t>
      </w:r>
      <w:bookmarkEnd w:id="749"/>
    </w:p>
    <w:p w14:paraId="34E2C25D" w14:textId="7A474BDD" w:rsidR="00FB4228" w:rsidRPr="00A9330B" w:rsidRDefault="00FB4228" w:rsidP="0011523E">
      <w:pPr>
        <w:spacing w:line="240" w:lineRule="auto"/>
        <w:jc w:val="center"/>
        <w:rPr>
          <w:rFonts w:eastAsia="Calibri"/>
        </w:rPr>
      </w:pPr>
      <w:r w:rsidRPr="00A9330B">
        <w:rPr>
          <w:rFonts w:eastAsia="Calibri" w:cs="Arial"/>
          <w:noProof/>
          <w:color w:val="auto"/>
          <w:lang w:eastAsia="fr-FR"/>
        </w:rPr>
        <w:drawing>
          <wp:inline distT="0" distB="0" distL="0" distR="0" wp14:anchorId="1C365493" wp14:editId="6B574578">
            <wp:extent cx="5068110" cy="2655570"/>
            <wp:effectExtent l="0" t="0" r="18415" b="11430"/>
            <wp:docPr id="3137" name="Graphique 313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14:paraId="7714188E" w14:textId="77777777" w:rsidR="00701C80" w:rsidRPr="00A9330B" w:rsidRDefault="00701C80" w:rsidP="00656CD9">
      <w:pPr>
        <w:spacing w:line="240" w:lineRule="auto"/>
        <w:jc w:val="center"/>
        <w:rPr>
          <w:rFonts w:eastAsia="Calibri" w:cs="Arial"/>
          <w:b/>
          <w:iCs/>
          <w:color w:val="auto"/>
          <w:sz w:val="20"/>
          <w:szCs w:val="20"/>
        </w:rPr>
      </w:pPr>
      <w:r w:rsidRPr="00A9330B">
        <w:rPr>
          <w:rFonts w:eastAsia="Calibri" w:cs="Arial"/>
          <w:b/>
          <w:iCs/>
          <w:color w:val="auto"/>
          <w:sz w:val="20"/>
          <w:szCs w:val="20"/>
        </w:rPr>
        <w:t>Source : INSAE et traitement des données, 2020</w:t>
      </w:r>
    </w:p>
    <w:p w14:paraId="58FEFD17" w14:textId="7B5F1496" w:rsidR="00701C80" w:rsidRPr="00A9330B" w:rsidRDefault="00701C80" w:rsidP="00FB5FCD">
      <w:pPr>
        <w:jc w:val="both"/>
        <w:rPr>
          <w:rFonts w:eastAsia="Calibri"/>
        </w:rPr>
      </w:pPr>
      <w:r w:rsidRPr="00A9330B">
        <w:t>Il faut cependant souligner que du point de vue de l’occupation spatiale, la commune de Natitingou a une densité moyenne de 78 hbts/</w:t>
      </w:r>
      <w:r w:rsidR="00CA3AF9" w:rsidRPr="00A9330B">
        <w:t>k</w:t>
      </w:r>
      <w:r w:rsidRPr="00A9330B">
        <w:t xml:space="preserve">m², illustrant ainsi la très grande dispersion de l’habitat même dans le noyau urbain. </w:t>
      </w:r>
      <w:r w:rsidRPr="00A9330B">
        <w:rPr>
          <w:rFonts w:eastAsia="Calibri"/>
        </w:rPr>
        <w:t>Les quartiers les plus peuplés sont entre autres Tchirima (4 163 habitants), Boriyouré (4 962 habitants), Dassakate (3 613 habitants), Kantaborifa (6 191 habitants), Ourbouga (4 179 habitants), Winke (5 445 habitants).</w:t>
      </w:r>
    </w:p>
    <w:p w14:paraId="0D2A126B" w14:textId="77777777" w:rsidR="001D262B" w:rsidRPr="00A9330B" w:rsidRDefault="001D262B" w:rsidP="001B1EC0">
      <w:pPr>
        <w:jc w:val="both"/>
      </w:pPr>
    </w:p>
    <w:p w14:paraId="40B58048" w14:textId="4E5B441D" w:rsidR="00701C80" w:rsidRPr="00A9330B" w:rsidRDefault="001B1EC0" w:rsidP="0011523E">
      <w:pPr>
        <w:spacing w:line="240" w:lineRule="auto"/>
        <w:jc w:val="center"/>
        <w:rPr>
          <w:rFonts w:eastAsia="Calibri"/>
          <w:b/>
          <w:sz w:val="20"/>
          <w:szCs w:val="20"/>
        </w:rPr>
      </w:pPr>
      <w:bookmarkStart w:id="750" w:name="_Toc51844229"/>
      <w:r w:rsidRPr="00A9330B">
        <w:rPr>
          <w:b/>
          <w:sz w:val="20"/>
          <w:szCs w:val="20"/>
        </w:rPr>
        <w:lastRenderedPageBreak/>
        <w:t xml:space="preserve">Figure </w:t>
      </w:r>
      <w:r w:rsidR="00C24C74" w:rsidRPr="00A9330B">
        <w:rPr>
          <w:b/>
          <w:noProof/>
          <w:sz w:val="20"/>
          <w:szCs w:val="20"/>
        </w:rPr>
        <w:fldChar w:fldCharType="begin"/>
      </w:r>
      <w:r w:rsidR="00C24C74" w:rsidRPr="00A9330B">
        <w:rPr>
          <w:b/>
          <w:noProof/>
          <w:sz w:val="20"/>
          <w:szCs w:val="20"/>
        </w:rPr>
        <w:instrText xml:space="preserve"> SEQ Figure \* ARABIC </w:instrText>
      </w:r>
      <w:r w:rsidR="00C24C74" w:rsidRPr="00A9330B">
        <w:rPr>
          <w:b/>
          <w:noProof/>
          <w:sz w:val="20"/>
          <w:szCs w:val="20"/>
        </w:rPr>
        <w:fldChar w:fldCharType="separate"/>
      </w:r>
      <w:r w:rsidR="00FB5FCD" w:rsidRPr="00A9330B">
        <w:rPr>
          <w:b/>
          <w:noProof/>
          <w:sz w:val="20"/>
          <w:szCs w:val="20"/>
        </w:rPr>
        <w:t>16</w:t>
      </w:r>
      <w:r w:rsidR="00C24C74" w:rsidRPr="00A9330B">
        <w:rPr>
          <w:b/>
          <w:noProof/>
          <w:sz w:val="20"/>
          <w:szCs w:val="20"/>
        </w:rPr>
        <w:fldChar w:fldCharType="end"/>
      </w:r>
      <w:r w:rsidR="00701C80" w:rsidRPr="00A9330B">
        <w:rPr>
          <w:rFonts w:eastAsia="Calibri"/>
          <w:b/>
          <w:sz w:val="20"/>
          <w:szCs w:val="20"/>
        </w:rPr>
        <w:t> : Projection de la population de la ville de Natitingou en 2035</w:t>
      </w:r>
      <w:bookmarkEnd w:id="750"/>
    </w:p>
    <w:p w14:paraId="2C614F9A" w14:textId="2C3796E5" w:rsidR="001D262B" w:rsidRPr="00A9330B" w:rsidRDefault="001D262B" w:rsidP="0011523E">
      <w:pPr>
        <w:spacing w:line="240" w:lineRule="auto"/>
        <w:jc w:val="center"/>
        <w:rPr>
          <w:rFonts w:eastAsia="Calibri"/>
        </w:rPr>
      </w:pPr>
      <w:r w:rsidRPr="00A9330B">
        <w:rPr>
          <w:rFonts w:eastAsia="Calibri" w:cs="Arial"/>
          <w:noProof/>
          <w:color w:val="auto"/>
          <w:lang w:eastAsia="fr-FR"/>
        </w:rPr>
        <w:drawing>
          <wp:inline distT="0" distB="0" distL="0" distR="0" wp14:anchorId="6BA4A1C3" wp14:editId="25DE9620">
            <wp:extent cx="4805464" cy="2422187"/>
            <wp:effectExtent l="0" t="0" r="14605" b="16510"/>
            <wp:docPr id="3138" name="Graphique 3138">
              <a:extLst xmlns:a="http://schemas.openxmlformats.org/drawingml/2006/main">
                <a:ext uri="{FF2B5EF4-FFF2-40B4-BE49-F238E27FC236}">
                  <a16:creationId xmlns:a16="http://schemas.microsoft.com/office/drawing/2014/main" id="{7F293021-AEA6-450C-A521-6A119C23E2F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14:paraId="0E072D24" w14:textId="77777777" w:rsidR="00701C80" w:rsidRPr="00A9330B" w:rsidRDefault="00701C80" w:rsidP="00FB5FCD">
      <w:pPr>
        <w:spacing w:line="240" w:lineRule="auto"/>
        <w:jc w:val="center"/>
        <w:rPr>
          <w:rFonts w:eastAsia="Calibri" w:cs="Arial"/>
          <w:b/>
          <w:iCs/>
          <w:color w:val="auto"/>
          <w:sz w:val="20"/>
          <w:szCs w:val="20"/>
        </w:rPr>
      </w:pPr>
      <w:r w:rsidRPr="00A9330B">
        <w:rPr>
          <w:rFonts w:eastAsia="Calibri" w:cs="Arial"/>
          <w:b/>
          <w:iCs/>
          <w:color w:val="auto"/>
          <w:sz w:val="20"/>
          <w:szCs w:val="20"/>
        </w:rPr>
        <w:t>Source : INSAE et traitement des données, 2020</w:t>
      </w:r>
    </w:p>
    <w:p w14:paraId="02D289C1" w14:textId="77777777" w:rsidR="00701C80" w:rsidRPr="00A9330B" w:rsidRDefault="001B1EC0" w:rsidP="0064324E">
      <w:pPr>
        <w:pStyle w:val="Titre40"/>
      </w:pPr>
      <w:bookmarkStart w:id="751" w:name="_Toc45520824"/>
      <w:bookmarkStart w:id="752" w:name="_Toc52869628"/>
      <w:r w:rsidRPr="00A9330B">
        <w:t xml:space="preserve">3.1.2.2   </w:t>
      </w:r>
      <w:r w:rsidR="00701C80" w:rsidRPr="00A9330B">
        <w:t>Milieu socioéconomique dans la ville de Natitingou</w:t>
      </w:r>
      <w:bookmarkEnd w:id="751"/>
      <w:bookmarkEnd w:id="752"/>
      <w:r w:rsidR="00701C80" w:rsidRPr="00A9330B">
        <w:t xml:space="preserve"> </w:t>
      </w:r>
    </w:p>
    <w:p w14:paraId="61FB6051" w14:textId="77777777" w:rsidR="00451996" w:rsidRPr="00A9330B" w:rsidRDefault="00701C80" w:rsidP="001B1EC0">
      <w:pPr>
        <w:jc w:val="both"/>
      </w:pPr>
      <w:r w:rsidRPr="00A9330B">
        <w:t xml:space="preserve">Les activités économiques dans la ville de Natitingou sont centrées sur le commerce, le tourisme avec les activités connexes. </w:t>
      </w:r>
    </w:p>
    <w:p w14:paraId="03AAEDE8" w14:textId="09A5A573" w:rsidR="00451996" w:rsidRPr="00A9330B" w:rsidRDefault="00701C80" w:rsidP="001B1EC0">
      <w:pPr>
        <w:jc w:val="both"/>
        <w:rPr>
          <w:szCs w:val="24"/>
        </w:rPr>
      </w:pPr>
      <w:r w:rsidRPr="00A9330B">
        <w:rPr>
          <w:szCs w:val="24"/>
        </w:rPr>
        <w:t xml:space="preserve">Du fait d’un relief particulièrement accidenté, l’agriculture urbaine à Natitingou reste concentrée au niveau des bas-fonds, des marécages et le long de la rivière Fourigninkèrè, </w:t>
      </w:r>
      <w:r w:rsidR="00FE23AC" w:rsidRPr="00A9330B">
        <w:rPr>
          <w:szCs w:val="24"/>
        </w:rPr>
        <w:t>W</w:t>
      </w:r>
      <w:r w:rsidRPr="00A9330B">
        <w:rPr>
          <w:szCs w:val="24"/>
        </w:rPr>
        <w:t xml:space="preserve">adata et ses affluents. Il s’agit du maraîchage dominé par la culture de la tomate, choux, oignons, laitues et divers légumes. C’est un secteur porteur de richesse pour la commune qui ne dispose pas suffisamment de terres arables. </w:t>
      </w:r>
    </w:p>
    <w:p w14:paraId="4F7585AB" w14:textId="3D322041" w:rsidR="00701C80" w:rsidRPr="00A9330B" w:rsidRDefault="00701C80" w:rsidP="001B1EC0">
      <w:pPr>
        <w:jc w:val="both"/>
      </w:pPr>
      <w:r w:rsidRPr="00A9330B">
        <w:t>Compte tenu de la proximité des sites touristiques dont le Parc National de la Pendjari,</w:t>
      </w:r>
      <w:r w:rsidR="00656CD9" w:rsidRPr="00A9330B">
        <w:t xml:space="preserve"> </w:t>
      </w:r>
      <w:r w:rsidR="00BF5824" w:rsidRPr="00A9330B">
        <w:t xml:space="preserve">les chutes </w:t>
      </w:r>
      <w:r w:rsidRPr="00A9330B">
        <w:t xml:space="preserve">de  Tanougou  et  de  Kota,  les  paysages  pittoresques  de  Koussoucoingou  et  les  Tata Somba,  la  ville  </w:t>
      </w:r>
      <w:r w:rsidR="00451996" w:rsidRPr="00A9330B">
        <w:t>dispose</w:t>
      </w:r>
      <w:r w:rsidRPr="00A9330B">
        <w:t xml:space="preserve">  des  infrastructures  hôtelières pour  héberger  les  visiteurs.  </w:t>
      </w:r>
    </w:p>
    <w:p w14:paraId="6A95C749" w14:textId="77777777" w:rsidR="00701C80" w:rsidRPr="00A9330B" w:rsidRDefault="00701C80" w:rsidP="001B1EC0">
      <w:pPr>
        <w:jc w:val="both"/>
        <w:rPr>
          <w:szCs w:val="24"/>
          <w:lang w:eastAsia="fr-FR"/>
        </w:rPr>
      </w:pPr>
      <w:r w:rsidRPr="00A9330B">
        <w:rPr>
          <w:szCs w:val="24"/>
          <w:lang w:eastAsia="fr-FR"/>
        </w:rPr>
        <w:t>Les activités d’élevage sont pratiquées sous leur forme traditionnelle avec une prédominance de la divagation des animaux qui est une source de conflits entre communautés. Dans l’ensemble, le cheptel de la commune est dominé par l’élevage de case que tous les producteurs pratiquent en appoint à l’agriculture. Il s’agit des bovins et de certains animaux de la basse-cour (volailles, caprins, porcins…).</w:t>
      </w:r>
    </w:p>
    <w:p w14:paraId="0F0B3761" w14:textId="77777777" w:rsidR="00701C80" w:rsidRPr="00A9330B" w:rsidRDefault="00451996" w:rsidP="001B1EC0">
      <w:pPr>
        <w:jc w:val="both"/>
        <w:rPr>
          <w:szCs w:val="24"/>
          <w:lang w:eastAsia="fr-FR"/>
        </w:rPr>
      </w:pPr>
      <w:r w:rsidRPr="00A9330B">
        <w:rPr>
          <w:szCs w:val="24"/>
          <w:lang w:eastAsia="fr-FR"/>
        </w:rPr>
        <w:t xml:space="preserve">Contrairement </w:t>
      </w:r>
      <w:r w:rsidR="00701C80" w:rsidRPr="00A9330B">
        <w:rPr>
          <w:szCs w:val="24"/>
          <w:lang w:eastAsia="fr-FR"/>
        </w:rPr>
        <w:t xml:space="preserve">à l’élevage, les activités de pêche et de pisciculture ne sont pas pour autant développées dans la commune. Certes elles sont pratiquées dans les rivières telles que Perma, Yaripao, Tchatiko, Tchoumi-Tchoumi, Kpohou, etc. </w:t>
      </w:r>
    </w:p>
    <w:p w14:paraId="20D10879" w14:textId="0B67F517" w:rsidR="00701C80" w:rsidRPr="00A9330B" w:rsidRDefault="00451996" w:rsidP="006E37A6">
      <w:pPr>
        <w:pStyle w:val="Titre20"/>
      </w:pPr>
      <w:bookmarkStart w:id="753" w:name="_Toc52869629"/>
      <w:bookmarkStart w:id="754" w:name="_Toc52869836"/>
      <w:r w:rsidRPr="00A9330B">
        <w:t>3.2</w:t>
      </w:r>
      <w:r w:rsidR="00701C80" w:rsidRPr="00A9330B">
        <w:t xml:space="preserve"> Description de</w:t>
      </w:r>
      <w:r w:rsidR="00540BA5" w:rsidRPr="00A9330B">
        <w:t>s milieux</w:t>
      </w:r>
      <w:r w:rsidR="00701C80" w:rsidRPr="00A9330B">
        <w:t xml:space="preserve"> restreint </w:t>
      </w:r>
      <w:r w:rsidR="00540BA5" w:rsidRPr="00A9330B">
        <w:t xml:space="preserve">des rues et collecteurs </w:t>
      </w:r>
      <w:r w:rsidR="00701C80" w:rsidRPr="00A9330B">
        <w:t xml:space="preserve">du </w:t>
      </w:r>
      <w:r w:rsidR="00FB5FCD" w:rsidRPr="00A9330B">
        <w:t>Projet</w:t>
      </w:r>
      <w:bookmarkEnd w:id="753"/>
      <w:bookmarkEnd w:id="754"/>
      <w:r w:rsidR="00701C80" w:rsidRPr="00A9330B">
        <w:t xml:space="preserve"> </w:t>
      </w:r>
    </w:p>
    <w:p w14:paraId="0E3EC275" w14:textId="5E9A1B4D" w:rsidR="00451996" w:rsidRPr="00A9330B" w:rsidRDefault="00451996" w:rsidP="00FB5FCD">
      <w:pPr>
        <w:jc w:val="both"/>
      </w:pPr>
      <w:r w:rsidRPr="00A9330B">
        <w:rPr>
          <w:rFonts w:eastAsia="Calibri" w:cs="Arial"/>
          <w:color w:val="auto"/>
        </w:rPr>
        <w:t xml:space="preserve">La zone d’étude immédiate correspond aux emprises prévues pour chacune des rues et </w:t>
      </w:r>
      <w:r w:rsidRPr="00A9330B">
        <w:t>collecteurs retenus dans les 03 arrondissements (1er, 2ème et 3ème) pour bénéficier du présent pro</w:t>
      </w:r>
      <w:r w:rsidR="00457368" w:rsidRPr="00A9330B">
        <w:t>jet</w:t>
      </w:r>
      <w:r w:rsidRPr="00A9330B">
        <w:t xml:space="preserve"> d’Assainissement Pluvial de la ville de Natitingou.</w:t>
      </w:r>
    </w:p>
    <w:p w14:paraId="18B6B455" w14:textId="77777777" w:rsidR="00451996" w:rsidRPr="00A9330B" w:rsidRDefault="00451996" w:rsidP="00FB5FCD">
      <w:pPr>
        <w:jc w:val="both"/>
        <w:rPr>
          <w:rFonts w:eastAsia="Calibri" w:cs="Arial"/>
          <w:color w:val="auto"/>
        </w:rPr>
      </w:pPr>
      <w:r w:rsidRPr="00A9330B">
        <w:rPr>
          <w:rFonts w:eastAsia="Calibri" w:cs="Arial"/>
          <w:color w:val="auto"/>
        </w:rPr>
        <w:t>La zone d’étude restreinte définie dans le cadre de ce projet, comprend les habitations, les administrations et les infrastructures socioéconomiques et communautaires situées sur une distance de 20 à 10 m environ de part et d’autre de chacune des rues identifiées dans les trois arrondissements concernés de la ville.</w:t>
      </w:r>
    </w:p>
    <w:p w14:paraId="3430F2B4" w14:textId="05A32EC6" w:rsidR="00451996" w:rsidRPr="00A9330B" w:rsidRDefault="00451996" w:rsidP="00FB5FCD">
      <w:pPr>
        <w:jc w:val="both"/>
        <w:rPr>
          <w:rFonts w:eastAsia="Calibri" w:cs="Arial"/>
          <w:color w:val="auto"/>
        </w:rPr>
      </w:pPr>
      <w:r w:rsidRPr="00A9330B">
        <w:rPr>
          <w:rFonts w:eastAsia="Calibri" w:cs="Arial"/>
          <w:color w:val="auto"/>
        </w:rPr>
        <w:t>La zone d’intervention du projet dans le cas précis couvre les quartiers ci-après dans les trois (03) arrondissements de Na</w:t>
      </w:r>
      <w:r w:rsidR="00656CD9" w:rsidRPr="00A9330B">
        <w:rPr>
          <w:rFonts w:eastAsia="Calibri" w:cs="Arial"/>
          <w:color w:val="auto"/>
        </w:rPr>
        <w:t>t</w:t>
      </w:r>
      <w:r w:rsidRPr="00A9330B">
        <w:rPr>
          <w:rFonts w:eastAsia="Calibri" w:cs="Arial"/>
          <w:color w:val="auto"/>
        </w:rPr>
        <w:t xml:space="preserve">itingou </w:t>
      </w:r>
    </w:p>
    <w:p w14:paraId="54DBA45A" w14:textId="2F9AB93F" w:rsidR="00451996" w:rsidRPr="00A9330B" w:rsidRDefault="00451996" w:rsidP="00A9330B">
      <w:pPr>
        <w:pStyle w:val="Lgende"/>
      </w:pPr>
      <w:bookmarkStart w:id="755" w:name="_Toc517376541"/>
      <w:bookmarkStart w:id="756" w:name="_Toc43696230"/>
      <w:bookmarkStart w:id="757" w:name="_Toc52873745"/>
      <w:r w:rsidRPr="00A9330B">
        <w:lastRenderedPageBreak/>
        <w:t xml:space="preserve">Tableau </w:t>
      </w:r>
      <w:r w:rsidR="00C24C74" w:rsidRPr="00A9330B">
        <w:rPr>
          <w:noProof/>
        </w:rPr>
        <w:fldChar w:fldCharType="begin"/>
      </w:r>
      <w:r w:rsidR="00C24C74" w:rsidRPr="00A9330B">
        <w:rPr>
          <w:noProof/>
        </w:rPr>
        <w:instrText xml:space="preserve"> SEQ Tableau \* ARABIC </w:instrText>
      </w:r>
      <w:r w:rsidR="00C24C74" w:rsidRPr="00A9330B">
        <w:rPr>
          <w:noProof/>
        </w:rPr>
        <w:fldChar w:fldCharType="separate"/>
      </w:r>
      <w:r w:rsidR="00417D31" w:rsidRPr="00A9330B">
        <w:rPr>
          <w:noProof/>
        </w:rPr>
        <w:t>21</w:t>
      </w:r>
      <w:r w:rsidR="00C24C74" w:rsidRPr="00A9330B">
        <w:rPr>
          <w:noProof/>
        </w:rPr>
        <w:fldChar w:fldCharType="end"/>
      </w:r>
      <w:r w:rsidRPr="00A9330B">
        <w:t> : Arrondissements et quartiers parcourus</w:t>
      </w:r>
      <w:bookmarkEnd w:id="755"/>
      <w:bookmarkEnd w:id="756"/>
      <w:bookmarkEnd w:id="757"/>
    </w:p>
    <w:tbl>
      <w:tblPr>
        <w:tblStyle w:val="Grilledutableau14"/>
        <w:tblW w:w="8505"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64"/>
        <w:gridCol w:w="5641"/>
      </w:tblGrid>
      <w:tr w:rsidR="00451996" w:rsidRPr="00A9330B" w14:paraId="1EF70270" w14:textId="77777777" w:rsidTr="00FB5FCD">
        <w:tc>
          <w:tcPr>
            <w:tcW w:w="2864" w:type="dxa"/>
            <w:shd w:val="pct25" w:color="auto" w:fill="auto"/>
          </w:tcPr>
          <w:p w14:paraId="093CFD0C" w14:textId="77777777" w:rsidR="00451996" w:rsidRPr="00A9330B" w:rsidRDefault="00451996" w:rsidP="002D68D2">
            <w:pPr>
              <w:rPr>
                <w:rFonts w:cs="Arial"/>
                <w:b/>
                <w:sz w:val="20"/>
                <w:szCs w:val="20"/>
              </w:rPr>
            </w:pPr>
            <w:r w:rsidRPr="00A9330B">
              <w:rPr>
                <w:rFonts w:cs="Arial"/>
                <w:b/>
                <w:sz w:val="20"/>
                <w:szCs w:val="20"/>
              </w:rPr>
              <w:t>Arrondissements retenus</w:t>
            </w:r>
          </w:p>
        </w:tc>
        <w:tc>
          <w:tcPr>
            <w:tcW w:w="5641" w:type="dxa"/>
            <w:shd w:val="pct25" w:color="auto" w:fill="auto"/>
          </w:tcPr>
          <w:p w14:paraId="03C45B80" w14:textId="77777777" w:rsidR="00451996" w:rsidRPr="00A9330B" w:rsidRDefault="00451996" w:rsidP="002D68D2">
            <w:pPr>
              <w:rPr>
                <w:rFonts w:cs="Arial"/>
                <w:b/>
                <w:sz w:val="20"/>
                <w:szCs w:val="20"/>
              </w:rPr>
            </w:pPr>
            <w:r w:rsidRPr="00A9330B">
              <w:rPr>
                <w:rFonts w:cs="Arial"/>
                <w:b/>
                <w:sz w:val="20"/>
                <w:szCs w:val="20"/>
              </w:rPr>
              <w:t>Quartiers parcourus</w:t>
            </w:r>
          </w:p>
        </w:tc>
      </w:tr>
      <w:tr w:rsidR="00451996" w:rsidRPr="00A9330B" w14:paraId="33C63FBB" w14:textId="77777777" w:rsidTr="00FB5FCD">
        <w:tc>
          <w:tcPr>
            <w:tcW w:w="2864" w:type="dxa"/>
          </w:tcPr>
          <w:p w14:paraId="05253A5D" w14:textId="77777777" w:rsidR="00451996" w:rsidRPr="00A9330B" w:rsidRDefault="00451996" w:rsidP="002D68D2">
            <w:pPr>
              <w:rPr>
                <w:rFonts w:cs="Arial"/>
                <w:sz w:val="20"/>
                <w:szCs w:val="20"/>
              </w:rPr>
            </w:pPr>
            <w:r w:rsidRPr="00A9330B">
              <w:rPr>
                <w:rFonts w:cs="Arial"/>
                <w:sz w:val="20"/>
                <w:szCs w:val="20"/>
              </w:rPr>
              <w:t>1</w:t>
            </w:r>
            <w:r w:rsidRPr="00A9330B">
              <w:rPr>
                <w:rFonts w:cs="Arial"/>
                <w:sz w:val="20"/>
                <w:szCs w:val="20"/>
                <w:vertAlign w:val="superscript"/>
              </w:rPr>
              <w:t>er</w:t>
            </w:r>
            <w:r w:rsidRPr="00A9330B">
              <w:rPr>
                <w:rFonts w:cs="Arial"/>
                <w:sz w:val="20"/>
                <w:szCs w:val="20"/>
              </w:rPr>
              <w:t xml:space="preserve"> arrondissement</w:t>
            </w:r>
          </w:p>
        </w:tc>
        <w:tc>
          <w:tcPr>
            <w:tcW w:w="5641" w:type="dxa"/>
          </w:tcPr>
          <w:p w14:paraId="003CB3B1" w14:textId="77777777" w:rsidR="00451996" w:rsidRPr="00A9330B" w:rsidRDefault="00AD060A" w:rsidP="00AD060A">
            <w:pPr>
              <w:suppressAutoHyphens/>
              <w:spacing w:before="60" w:line="240" w:lineRule="auto"/>
              <w:rPr>
                <w:rFonts w:eastAsia="Times New Roman" w:cs="Arial"/>
                <w:sz w:val="20"/>
                <w:szCs w:val="20"/>
              </w:rPr>
            </w:pPr>
            <w:r w:rsidRPr="00A9330B">
              <w:rPr>
                <w:rFonts w:eastAsia="Calibri" w:cs="Arial"/>
                <w:sz w:val="20"/>
                <w:szCs w:val="20"/>
                <w:lang w:eastAsia="fr-FR"/>
              </w:rPr>
              <w:t>Bagri, Sountchirantikou,Tchirimina,Yokossi</w:t>
            </w:r>
          </w:p>
        </w:tc>
      </w:tr>
      <w:tr w:rsidR="00AD060A" w:rsidRPr="00A9330B" w14:paraId="47A87BD1" w14:textId="77777777" w:rsidTr="00FB5FCD">
        <w:tc>
          <w:tcPr>
            <w:tcW w:w="2864" w:type="dxa"/>
          </w:tcPr>
          <w:p w14:paraId="5787A5C7" w14:textId="77777777" w:rsidR="00AD060A" w:rsidRPr="00A9330B" w:rsidRDefault="00AD060A" w:rsidP="00AD060A">
            <w:pPr>
              <w:rPr>
                <w:rFonts w:cs="Arial"/>
                <w:sz w:val="20"/>
                <w:szCs w:val="20"/>
              </w:rPr>
            </w:pPr>
            <w:r w:rsidRPr="00A9330B">
              <w:rPr>
                <w:rFonts w:cs="Arial"/>
                <w:sz w:val="20"/>
                <w:szCs w:val="20"/>
              </w:rPr>
              <w:t>2</w:t>
            </w:r>
            <w:r w:rsidRPr="00A9330B">
              <w:rPr>
                <w:rFonts w:cs="Arial"/>
                <w:sz w:val="20"/>
                <w:szCs w:val="20"/>
                <w:vertAlign w:val="superscript"/>
              </w:rPr>
              <w:t>ème</w:t>
            </w:r>
            <w:r w:rsidRPr="00A9330B">
              <w:rPr>
                <w:rFonts w:cs="Arial"/>
                <w:sz w:val="20"/>
                <w:szCs w:val="20"/>
              </w:rPr>
              <w:t xml:space="preserve"> arrondissement</w:t>
            </w:r>
          </w:p>
        </w:tc>
        <w:tc>
          <w:tcPr>
            <w:tcW w:w="5641" w:type="dxa"/>
            <w:vAlign w:val="center"/>
          </w:tcPr>
          <w:p w14:paraId="09EF980A" w14:textId="77777777" w:rsidR="00AD060A" w:rsidRPr="00A9330B" w:rsidRDefault="00AD060A" w:rsidP="00AD060A">
            <w:pPr>
              <w:suppressAutoHyphens/>
              <w:spacing w:before="60" w:line="240" w:lineRule="auto"/>
              <w:jc w:val="both"/>
              <w:rPr>
                <w:rFonts w:eastAsia="Times New Roman" w:cs="Arial"/>
                <w:sz w:val="20"/>
                <w:szCs w:val="20"/>
              </w:rPr>
            </w:pPr>
            <w:r w:rsidRPr="00A9330B">
              <w:rPr>
                <w:rFonts w:eastAsia="Calibri" w:cs="Arial"/>
                <w:sz w:val="20"/>
                <w:szCs w:val="20"/>
                <w:lang w:eastAsia="fr-FR"/>
              </w:rPr>
              <w:t>Boriyouré, Ouroubonna</w:t>
            </w:r>
          </w:p>
        </w:tc>
      </w:tr>
      <w:tr w:rsidR="00AD060A" w:rsidRPr="00A9330B" w14:paraId="47B3105D" w14:textId="77777777" w:rsidTr="00FB5FCD">
        <w:trPr>
          <w:trHeight w:val="319"/>
        </w:trPr>
        <w:tc>
          <w:tcPr>
            <w:tcW w:w="2864" w:type="dxa"/>
          </w:tcPr>
          <w:p w14:paraId="25A2E602" w14:textId="77777777" w:rsidR="00AD060A" w:rsidRPr="00A9330B" w:rsidRDefault="00AD060A" w:rsidP="00AD060A">
            <w:pPr>
              <w:rPr>
                <w:rFonts w:cs="Arial"/>
                <w:sz w:val="20"/>
                <w:szCs w:val="20"/>
              </w:rPr>
            </w:pPr>
            <w:r w:rsidRPr="00A9330B">
              <w:rPr>
                <w:rFonts w:cs="Arial"/>
                <w:sz w:val="20"/>
                <w:szCs w:val="20"/>
              </w:rPr>
              <w:t>3</w:t>
            </w:r>
            <w:r w:rsidRPr="00A9330B">
              <w:rPr>
                <w:rFonts w:cs="Arial"/>
                <w:sz w:val="20"/>
                <w:szCs w:val="20"/>
                <w:vertAlign w:val="superscript"/>
              </w:rPr>
              <w:t>ème</w:t>
            </w:r>
            <w:r w:rsidRPr="00A9330B">
              <w:rPr>
                <w:rFonts w:cs="Arial"/>
                <w:sz w:val="20"/>
                <w:szCs w:val="20"/>
              </w:rPr>
              <w:t xml:space="preserve"> arrondissement</w:t>
            </w:r>
          </w:p>
        </w:tc>
        <w:tc>
          <w:tcPr>
            <w:tcW w:w="5641" w:type="dxa"/>
            <w:vAlign w:val="center"/>
          </w:tcPr>
          <w:p w14:paraId="755E8F79" w14:textId="77777777" w:rsidR="00AD060A" w:rsidRPr="00A9330B" w:rsidRDefault="00AD060A" w:rsidP="00AD060A">
            <w:pPr>
              <w:suppressAutoHyphens/>
              <w:spacing w:before="60" w:line="240" w:lineRule="auto"/>
              <w:jc w:val="both"/>
              <w:rPr>
                <w:rFonts w:eastAsia="Times New Roman" w:cs="Arial"/>
                <w:sz w:val="20"/>
                <w:szCs w:val="20"/>
              </w:rPr>
            </w:pPr>
            <w:r w:rsidRPr="00A9330B">
              <w:rPr>
                <w:rFonts w:eastAsia="Calibri" w:cs="Arial"/>
                <w:sz w:val="20"/>
                <w:szCs w:val="20"/>
                <w:lang w:eastAsia="fr-FR"/>
              </w:rPr>
              <w:t>Kantaborifa, Ourbouga, Winkè, Yimporima</w:t>
            </w:r>
          </w:p>
        </w:tc>
      </w:tr>
    </w:tbl>
    <w:p w14:paraId="3B879FEB" w14:textId="77777777" w:rsidR="00451996" w:rsidRPr="00A9330B" w:rsidRDefault="00451996" w:rsidP="00FB5FCD">
      <w:pPr>
        <w:spacing w:line="240" w:lineRule="auto"/>
        <w:ind w:firstLine="708"/>
        <w:jc w:val="center"/>
        <w:rPr>
          <w:rFonts w:eastAsia="Calibri" w:cs="Arial"/>
          <w:color w:val="auto"/>
          <w:sz w:val="20"/>
          <w:szCs w:val="20"/>
        </w:rPr>
      </w:pPr>
      <w:r w:rsidRPr="00A9330B">
        <w:rPr>
          <w:rFonts w:eastAsia="Calibri" w:cs="Arial"/>
          <w:b/>
          <w:color w:val="auto"/>
          <w:sz w:val="20"/>
          <w:szCs w:val="20"/>
        </w:rPr>
        <w:t>Source </w:t>
      </w:r>
      <w:r w:rsidRPr="00A9330B">
        <w:rPr>
          <w:rFonts w:eastAsia="Calibri" w:cs="Arial"/>
          <w:color w:val="auto"/>
          <w:sz w:val="20"/>
          <w:szCs w:val="20"/>
        </w:rPr>
        <w:t>: Enquête de terrain, juin 2020</w:t>
      </w:r>
    </w:p>
    <w:p w14:paraId="1D320A51" w14:textId="77777777" w:rsidR="00451996" w:rsidRPr="00A9330B" w:rsidRDefault="00451996" w:rsidP="006E37A6">
      <w:pPr>
        <w:pStyle w:val="Titre3"/>
      </w:pPr>
      <w:bookmarkStart w:id="758" w:name="_Toc43697616"/>
      <w:bookmarkStart w:id="759" w:name="_Toc45520826"/>
      <w:bookmarkStart w:id="760" w:name="_Toc52869630"/>
      <w:r w:rsidRPr="00A9330B">
        <w:t>3.2.1.  Types et linéaires des ouvrages à aménager</w:t>
      </w:r>
      <w:bookmarkEnd w:id="758"/>
      <w:bookmarkEnd w:id="759"/>
      <w:bookmarkEnd w:id="760"/>
      <w:r w:rsidRPr="00A9330B">
        <w:t xml:space="preserve"> </w:t>
      </w:r>
    </w:p>
    <w:p w14:paraId="23C28CC2" w14:textId="77777777" w:rsidR="00451996" w:rsidRPr="00A9330B" w:rsidRDefault="00451996" w:rsidP="0064324E">
      <w:pPr>
        <w:pStyle w:val="Titre40"/>
      </w:pPr>
      <w:bookmarkStart w:id="761" w:name="_Toc43697617"/>
      <w:bookmarkStart w:id="762" w:name="_Toc45520827"/>
      <w:bookmarkStart w:id="763" w:name="_Toc52869631"/>
      <w:r w:rsidRPr="00A9330B">
        <w:t>3.2.1.1. Collecteurs à construire</w:t>
      </w:r>
      <w:bookmarkEnd w:id="761"/>
      <w:bookmarkEnd w:id="762"/>
      <w:bookmarkEnd w:id="763"/>
      <w:r w:rsidRPr="00A9330B">
        <w:t xml:space="preserve"> </w:t>
      </w:r>
    </w:p>
    <w:p w14:paraId="799EC551" w14:textId="68C45802" w:rsidR="00AD060A" w:rsidRPr="00A9330B" w:rsidRDefault="00AD060A" w:rsidP="00AD060A">
      <w:pPr>
        <w:jc w:val="both"/>
      </w:pPr>
      <w:r w:rsidRPr="00A9330B">
        <w:t>La RNIE 3 traversant la ville est parcouru</w:t>
      </w:r>
      <w:r w:rsidR="009E1E81" w:rsidRPr="00A9330B">
        <w:t>e</w:t>
      </w:r>
      <w:r w:rsidRPr="00A9330B">
        <w:t xml:space="preserve"> par plusieurs ouvrages hydrauliques qui rejettent les eaux dans la nature, créant des rigoles de très grandes dimensions. Les deux rivières sont non aménagées et charrient d’énormes quantités de déchets de tout genre obstruant le passage des eaux au niveau des dalots et buses.</w:t>
      </w:r>
    </w:p>
    <w:p w14:paraId="5B04A245" w14:textId="77777777" w:rsidR="00701C80" w:rsidRPr="00A9330B" w:rsidRDefault="00701C80" w:rsidP="00AD060A">
      <w:pPr>
        <w:jc w:val="both"/>
      </w:pPr>
      <w:r w:rsidRPr="00A9330B">
        <w:t>Pour les besoins de l’étude les collecteurs à aménager sont répart</w:t>
      </w:r>
      <w:r w:rsidR="00AD060A" w:rsidRPr="00A9330B">
        <w:t xml:space="preserve">is suivant les formes à savoir : </w:t>
      </w:r>
    </w:p>
    <w:p w14:paraId="5BD215FE" w14:textId="77777777" w:rsidR="00701C80" w:rsidRPr="00A9330B" w:rsidRDefault="00AD060A" w:rsidP="00BD2F72">
      <w:pPr>
        <w:pStyle w:val="Paragraphedeliste"/>
        <w:numPr>
          <w:ilvl w:val="0"/>
          <w:numId w:val="79"/>
        </w:numPr>
        <w:jc w:val="both"/>
        <w:rPr>
          <w:lang w:val="fr-FR"/>
        </w:rPr>
      </w:pPr>
      <w:r w:rsidRPr="00A9330B">
        <w:rPr>
          <w:lang w:val="fr-FR"/>
        </w:rPr>
        <w:t>l</w:t>
      </w:r>
      <w:r w:rsidR="00701C80" w:rsidRPr="00A9330B">
        <w:rPr>
          <w:lang w:val="fr-FR"/>
        </w:rPr>
        <w:t>es canaux principaux,</w:t>
      </w:r>
    </w:p>
    <w:p w14:paraId="25A2A4D1" w14:textId="77777777" w:rsidR="00701C80" w:rsidRPr="00A9330B" w:rsidRDefault="00AD060A" w:rsidP="00BD2F72">
      <w:pPr>
        <w:pStyle w:val="Paragraphedeliste"/>
        <w:numPr>
          <w:ilvl w:val="0"/>
          <w:numId w:val="79"/>
        </w:numPr>
        <w:jc w:val="both"/>
        <w:rPr>
          <w:lang w:val="fr-FR"/>
        </w:rPr>
      </w:pPr>
      <w:r w:rsidRPr="00A9330B">
        <w:rPr>
          <w:lang w:val="fr-FR"/>
        </w:rPr>
        <w:t>l</w:t>
      </w:r>
      <w:r w:rsidR="00701C80" w:rsidRPr="00A9330B">
        <w:rPr>
          <w:lang w:val="fr-FR"/>
        </w:rPr>
        <w:t>es collecteurs à ciel ouvert de forme trapézoïdale, pour les couloirs d’eau,</w:t>
      </w:r>
    </w:p>
    <w:p w14:paraId="6B999CD9" w14:textId="77777777" w:rsidR="00701C80" w:rsidRPr="00A9330B" w:rsidRDefault="00AD060A" w:rsidP="00BD2F72">
      <w:pPr>
        <w:pStyle w:val="Paragraphedeliste"/>
        <w:numPr>
          <w:ilvl w:val="0"/>
          <w:numId w:val="79"/>
        </w:numPr>
        <w:jc w:val="both"/>
        <w:rPr>
          <w:lang w:val="fr-FR"/>
        </w:rPr>
      </w:pPr>
      <w:r w:rsidRPr="00A9330B">
        <w:rPr>
          <w:lang w:val="fr-FR"/>
        </w:rPr>
        <w:t>l</w:t>
      </w:r>
      <w:r w:rsidR="00701C80" w:rsidRPr="00A9330B">
        <w:rPr>
          <w:lang w:val="fr-FR"/>
        </w:rPr>
        <w:t>es collecteurs cadre fermés au niveau de l’aménagement des voiries.</w:t>
      </w:r>
    </w:p>
    <w:p w14:paraId="63B5EF10" w14:textId="32C8D012" w:rsidR="00C26443" w:rsidRPr="00A9330B" w:rsidRDefault="00C26443" w:rsidP="00C26443">
      <w:pPr>
        <w:jc w:val="both"/>
        <w:rPr>
          <w:b/>
        </w:rPr>
      </w:pPr>
      <w:r w:rsidRPr="00A9330B">
        <w:t xml:space="preserve">Le linéaire total réel des rues et collecteurs retenues dans la ville de Natitingou est d’environ </w:t>
      </w:r>
      <w:r w:rsidRPr="00A9330B">
        <w:rPr>
          <w:b/>
        </w:rPr>
        <w:t>32,497 km dont :</w:t>
      </w:r>
    </w:p>
    <w:p w14:paraId="55A11A4B" w14:textId="77777777" w:rsidR="00C26443" w:rsidRPr="00A9330B" w:rsidRDefault="00C26443" w:rsidP="00BD2F72">
      <w:pPr>
        <w:pStyle w:val="Paragraphedeliste"/>
        <w:numPr>
          <w:ilvl w:val="0"/>
          <w:numId w:val="132"/>
        </w:numPr>
        <w:jc w:val="both"/>
        <w:rPr>
          <w:lang w:val="fr-FR"/>
        </w:rPr>
      </w:pPr>
      <w:r w:rsidRPr="00A9330B">
        <w:rPr>
          <w:lang w:val="fr-FR"/>
        </w:rPr>
        <w:t xml:space="preserve">Linéaire des rues en projet : 10,929 km </w:t>
      </w:r>
    </w:p>
    <w:p w14:paraId="207A9527" w14:textId="77777777" w:rsidR="00C26443" w:rsidRPr="00A9330B" w:rsidRDefault="00C26443" w:rsidP="00BD2F72">
      <w:pPr>
        <w:pStyle w:val="Paragraphedeliste"/>
        <w:numPr>
          <w:ilvl w:val="0"/>
          <w:numId w:val="132"/>
        </w:numPr>
        <w:jc w:val="both"/>
        <w:rPr>
          <w:lang w:val="fr-FR"/>
        </w:rPr>
      </w:pPr>
      <w:r w:rsidRPr="00A9330B">
        <w:rPr>
          <w:lang w:val="fr-FR"/>
        </w:rPr>
        <w:t xml:space="preserve">Linéaire des collecteurs en projet : 21,567 km </w:t>
      </w:r>
    </w:p>
    <w:p w14:paraId="19B8ADD8" w14:textId="69DE399D" w:rsidR="00C26443" w:rsidRPr="00A9330B" w:rsidRDefault="00C26443" w:rsidP="00A9330B">
      <w:pPr>
        <w:pStyle w:val="Lgende"/>
        <w:rPr>
          <w:sz w:val="16"/>
          <w:szCs w:val="16"/>
        </w:rPr>
      </w:pPr>
      <w:bookmarkStart w:id="764" w:name="_Toc52873746"/>
      <w:r w:rsidRPr="00A9330B">
        <w:t xml:space="preserve">Tableau </w:t>
      </w:r>
      <w:r w:rsidRPr="00A9330B">
        <w:rPr>
          <w:noProof/>
        </w:rPr>
        <w:fldChar w:fldCharType="begin"/>
      </w:r>
      <w:r w:rsidRPr="00A9330B">
        <w:rPr>
          <w:noProof/>
        </w:rPr>
        <w:instrText xml:space="preserve"> SEQ Tableau \* ARABIC </w:instrText>
      </w:r>
      <w:r w:rsidRPr="00A9330B">
        <w:rPr>
          <w:noProof/>
        </w:rPr>
        <w:fldChar w:fldCharType="separate"/>
      </w:r>
      <w:r w:rsidRPr="00A9330B">
        <w:rPr>
          <w:noProof/>
        </w:rPr>
        <w:t>22</w:t>
      </w:r>
      <w:r w:rsidRPr="00A9330B">
        <w:rPr>
          <w:noProof/>
        </w:rPr>
        <w:fldChar w:fldCharType="end"/>
      </w:r>
      <w:r w:rsidRPr="00A9330B">
        <w:t> : Linéaires des Collecteurs</w:t>
      </w:r>
      <w:bookmarkEnd w:id="764"/>
      <w:r w:rsidRPr="00A9330B">
        <w:t xml:space="preserve"> </w:t>
      </w:r>
    </w:p>
    <w:tbl>
      <w:tblPr>
        <w:tblStyle w:val="Grilledutableau"/>
        <w:tblW w:w="3887" w:type="pct"/>
        <w:jc w:val="center"/>
        <w:tblLayout w:type="fixed"/>
        <w:tblLook w:val="04A0" w:firstRow="1" w:lastRow="0" w:firstColumn="1" w:lastColumn="0" w:noHBand="0" w:noVBand="1"/>
      </w:tblPr>
      <w:tblGrid>
        <w:gridCol w:w="2587"/>
        <w:gridCol w:w="1496"/>
        <w:gridCol w:w="1408"/>
        <w:gridCol w:w="1554"/>
      </w:tblGrid>
      <w:tr w:rsidR="00C26443" w:rsidRPr="00A9330B" w14:paraId="0FA72444" w14:textId="77777777" w:rsidTr="0064324E">
        <w:trPr>
          <w:trHeight w:val="20"/>
          <w:jc w:val="center"/>
        </w:trPr>
        <w:tc>
          <w:tcPr>
            <w:tcW w:w="1836" w:type="pct"/>
            <w:shd w:val="clear" w:color="auto" w:fill="00B0F0"/>
            <w:noWrap/>
          </w:tcPr>
          <w:p w14:paraId="5CF2058B" w14:textId="77777777" w:rsidR="00C26443" w:rsidRPr="00A9330B" w:rsidRDefault="00C26443" w:rsidP="0064324E">
            <w:pPr>
              <w:spacing w:line="240" w:lineRule="auto"/>
              <w:rPr>
                <w:rFonts w:cs="Arial"/>
                <w:b/>
                <w:iCs/>
                <w:sz w:val="20"/>
                <w:szCs w:val="20"/>
              </w:rPr>
            </w:pPr>
            <w:r w:rsidRPr="00A9330B">
              <w:rPr>
                <w:rFonts w:cs="Arial"/>
                <w:b/>
                <w:sz w:val="20"/>
                <w:szCs w:val="20"/>
              </w:rPr>
              <w:t xml:space="preserve">Types de collecteurs </w:t>
            </w:r>
          </w:p>
        </w:tc>
        <w:tc>
          <w:tcPr>
            <w:tcW w:w="1062" w:type="pct"/>
            <w:shd w:val="clear" w:color="auto" w:fill="00B0F0"/>
            <w:noWrap/>
          </w:tcPr>
          <w:p w14:paraId="4BCB89AD" w14:textId="77777777" w:rsidR="00C26443" w:rsidRPr="00A9330B" w:rsidRDefault="00C26443" w:rsidP="0064324E">
            <w:pPr>
              <w:spacing w:line="240" w:lineRule="auto"/>
              <w:rPr>
                <w:rFonts w:cs="Arial"/>
                <w:b/>
                <w:iCs/>
                <w:sz w:val="20"/>
                <w:szCs w:val="20"/>
              </w:rPr>
            </w:pPr>
            <w:r w:rsidRPr="00A9330B">
              <w:rPr>
                <w:rFonts w:cs="Arial"/>
                <w:b/>
                <w:sz w:val="20"/>
                <w:szCs w:val="20"/>
              </w:rPr>
              <w:t>Quantité</w:t>
            </w:r>
          </w:p>
        </w:tc>
        <w:tc>
          <w:tcPr>
            <w:tcW w:w="999" w:type="pct"/>
            <w:shd w:val="clear" w:color="auto" w:fill="00B0F0"/>
            <w:noWrap/>
          </w:tcPr>
          <w:p w14:paraId="5A6D8611" w14:textId="77777777" w:rsidR="00C26443" w:rsidRPr="00A9330B" w:rsidRDefault="00C26443" w:rsidP="0064324E">
            <w:pPr>
              <w:spacing w:line="240" w:lineRule="auto"/>
              <w:rPr>
                <w:rFonts w:cs="Arial"/>
                <w:b/>
                <w:iCs/>
                <w:sz w:val="20"/>
                <w:szCs w:val="20"/>
              </w:rPr>
            </w:pPr>
            <w:r w:rsidRPr="00A9330B">
              <w:rPr>
                <w:rFonts w:cs="Arial"/>
                <w:b/>
                <w:iCs/>
                <w:sz w:val="20"/>
                <w:szCs w:val="20"/>
              </w:rPr>
              <w:t xml:space="preserve">Forme </w:t>
            </w:r>
          </w:p>
        </w:tc>
        <w:tc>
          <w:tcPr>
            <w:tcW w:w="1103" w:type="pct"/>
            <w:shd w:val="clear" w:color="auto" w:fill="00B0F0"/>
            <w:noWrap/>
          </w:tcPr>
          <w:p w14:paraId="36BD1A4F" w14:textId="77777777" w:rsidR="00C26443" w:rsidRPr="00A9330B" w:rsidRDefault="00C26443" w:rsidP="0064324E">
            <w:pPr>
              <w:spacing w:line="240" w:lineRule="auto"/>
              <w:rPr>
                <w:rFonts w:cs="Arial"/>
                <w:b/>
                <w:iCs/>
                <w:sz w:val="20"/>
                <w:szCs w:val="20"/>
              </w:rPr>
            </w:pPr>
            <w:r w:rsidRPr="00A9330B">
              <w:rPr>
                <w:rFonts w:cs="Arial"/>
                <w:b/>
                <w:sz w:val="20"/>
                <w:szCs w:val="20"/>
              </w:rPr>
              <w:t>Linéaires (km)</w:t>
            </w:r>
          </w:p>
        </w:tc>
      </w:tr>
      <w:tr w:rsidR="00C26443" w:rsidRPr="00A9330B" w14:paraId="1D7049C3" w14:textId="77777777" w:rsidTr="0064324E">
        <w:trPr>
          <w:trHeight w:val="20"/>
          <w:jc w:val="center"/>
        </w:trPr>
        <w:tc>
          <w:tcPr>
            <w:tcW w:w="1836" w:type="pct"/>
            <w:noWrap/>
          </w:tcPr>
          <w:p w14:paraId="1A26F6D5" w14:textId="77777777" w:rsidR="00C26443" w:rsidRPr="00A9330B" w:rsidRDefault="00C26443" w:rsidP="0064324E">
            <w:pPr>
              <w:spacing w:line="240" w:lineRule="auto"/>
              <w:jc w:val="left"/>
              <w:rPr>
                <w:rFonts w:cs="Arial"/>
                <w:iCs/>
                <w:sz w:val="20"/>
                <w:szCs w:val="20"/>
              </w:rPr>
            </w:pPr>
            <w:r w:rsidRPr="00A9330B">
              <w:rPr>
                <w:rFonts w:cs="Arial"/>
                <w:iCs/>
                <w:sz w:val="20"/>
                <w:szCs w:val="20"/>
              </w:rPr>
              <w:t>CANAL A (rivière Fourigninkèrè)</w:t>
            </w:r>
          </w:p>
        </w:tc>
        <w:tc>
          <w:tcPr>
            <w:tcW w:w="1062" w:type="pct"/>
            <w:noWrap/>
          </w:tcPr>
          <w:p w14:paraId="63D810B5" w14:textId="77777777" w:rsidR="00C26443" w:rsidRPr="00A9330B" w:rsidRDefault="00C26443" w:rsidP="0064324E">
            <w:pPr>
              <w:spacing w:line="240" w:lineRule="auto"/>
              <w:rPr>
                <w:rFonts w:cs="Arial"/>
                <w:iCs/>
                <w:sz w:val="20"/>
                <w:szCs w:val="20"/>
              </w:rPr>
            </w:pPr>
            <w:r w:rsidRPr="00A9330B">
              <w:rPr>
                <w:rFonts w:cs="Arial"/>
                <w:iCs/>
                <w:sz w:val="20"/>
                <w:szCs w:val="20"/>
              </w:rPr>
              <w:t>exutoire</w:t>
            </w:r>
          </w:p>
        </w:tc>
        <w:tc>
          <w:tcPr>
            <w:tcW w:w="999" w:type="pct"/>
            <w:noWrap/>
          </w:tcPr>
          <w:p w14:paraId="7305ECF5" w14:textId="77777777" w:rsidR="00C26443" w:rsidRPr="00A9330B" w:rsidRDefault="00C26443" w:rsidP="0064324E">
            <w:pPr>
              <w:spacing w:line="240" w:lineRule="auto"/>
              <w:rPr>
                <w:rFonts w:cs="Arial"/>
                <w:iCs/>
                <w:sz w:val="20"/>
                <w:szCs w:val="20"/>
              </w:rPr>
            </w:pPr>
            <w:r w:rsidRPr="00A9330B">
              <w:rPr>
                <w:rFonts w:cs="Arial"/>
                <w:iCs/>
                <w:sz w:val="20"/>
                <w:szCs w:val="20"/>
              </w:rPr>
              <w:t>trapèzoïdale</w:t>
            </w:r>
          </w:p>
        </w:tc>
        <w:tc>
          <w:tcPr>
            <w:tcW w:w="1103" w:type="pct"/>
            <w:noWrap/>
          </w:tcPr>
          <w:p w14:paraId="456060D9" w14:textId="77777777" w:rsidR="00C26443" w:rsidRPr="00A9330B" w:rsidRDefault="00C26443" w:rsidP="0064324E">
            <w:pPr>
              <w:spacing w:line="240" w:lineRule="auto"/>
              <w:jc w:val="right"/>
              <w:rPr>
                <w:rFonts w:cs="Arial"/>
                <w:iCs/>
                <w:sz w:val="20"/>
                <w:szCs w:val="20"/>
              </w:rPr>
            </w:pPr>
            <w:r w:rsidRPr="00A9330B">
              <w:rPr>
                <w:rFonts w:cs="Arial"/>
                <w:iCs/>
                <w:sz w:val="20"/>
                <w:szCs w:val="20"/>
              </w:rPr>
              <w:t>8650.15</w:t>
            </w:r>
          </w:p>
        </w:tc>
      </w:tr>
      <w:tr w:rsidR="00C26443" w:rsidRPr="00A9330B" w14:paraId="1A996249" w14:textId="77777777" w:rsidTr="0064324E">
        <w:trPr>
          <w:trHeight w:val="20"/>
          <w:jc w:val="center"/>
        </w:trPr>
        <w:tc>
          <w:tcPr>
            <w:tcW w:w="1836" w:type="pct"/>
            <w:noWrap/>
            <w:hideMark/>
          </w:tcPr>
          <w:p w14:paraId="77CA8B03" w14:textId="77777777" w:rsidR="00C26443" w:rsidRPr="00A9330B" w:rsidRDefault="00C26443" w:rsidP="0064324E">
            <w:pPr>
              <w:spacing w:line="240" w:lineRule="auto"/>
              <w:jc w:val="left"/>
              <w:rPr>
                <w:rFonts w:cs="Arial"/>
                <w:iCs/>
                <w:sz w:val="20"/>
                <w:szCs w:val="20"/>
              </w:rPr>
            </w:pPr>
            <w:r w:rsidRPr="00A9330B">
              <w:rPr>
                <w:rFonts w:cs="Arial"/>
                <w:iCs/>
                <w:sz w:val="20"/>
                <w:szCs w:val="20"/>
              </w:rPr>
              <w:t>CANAL B (rivière wadata)</w:t>
            </w:r>
          </w:p>
        </w:tc>
        <w:tc>
          <w:tcPr>
            <w:tcW w:w="1062" w:type="pct"/>
            <w:noWrap/>
            <w:hideMark/>
          </w:tcPr>
          <w:p w14:paraId="3043F5BD" w14:textId="77777777" w:rsidR="00C26443" w:rsidRPr="00A9330B" w:rsidRDefault="00C26443" w:rsidP="0064324E">
            <w:pPr>
              <w:spacing w:line="240" w:lineRule="auto"/>
              <w:rPr>
                <w:rFonts w:cs="Arial"/>
                <w:iCs/>
                <w:sz w:val="20"/>
                <w:szCs w:val="20"/>
              </w:rPr>
            </w:pPr>
            <w:r w:rsidRPr="00A9330B">
              <w:rPr>
                <w:rFonts w:cs="Arial"/>
                <w:iCs/>
                <w:sz w:val="20"/>
                <w:szCs w:val="20"/>
              </w:rPr>
              <w:t>exutoire</w:t>
            </w:r>
          </w:p>
        </w:tc>
        <w:tc>
          <w:tcPr>
            <w:tcW w:w="999" w:type="pct"/>
            <w:noWrap/>
            <w:hideMark/>
          </w:tcPr>
          <w:p w14:paraId="3A37330B" w14:textId="77777777" w:rsidR="00C26443" w:rsidRPr="00A9330B" w:rsidRDefault="00C26443" w:rsidP="0064324E">
            <w:pPr>
              <w:spacing w:line="240" w:lineRule="auto"/>
              <w:rPr>
                <w:rFonts w:cs="Arial"/>
                <w:iCs/>
                <w:sz w:val="20"/>
                <w:szCs w:val="20"/>
              </w:rPr>
            </w:pPr>
            <w:r w:rsidRPr="00A9330B">
              <w:rPr>
                <w:rFonts w:cs="Arial"/>
                <w:iCs/>
                <w:sz w:val="20"/>
                <w:szCs w:val="20"/>
              </w:rPr>
              <w:t>trapèzoïdale</w:t>
            </w:r>
          </w:p>
        </w:tc>
        <w:tc>
          <w:tcPr>
            <w:tcW w:w="1103" w:type="pct"/>
            <w:noWrap/>
            <w:hideMark/>
          </w:tcPr>
          <w:p w14:paraId="72AE0F99" w14:textId="77777777" w:rsidR="00C26443" w:rsidRPr="00A9330B" w:rsidRDefault="00C26443" w:rsidP="0064324E">
            <w:pPr>
              <w:spacing w:line="240" w:lineRule="auto"/>
              <w:jc w:val="right"/>
              <w:rPr>
                <w:rFonts w:cs="Arial"/>
                <w:iCs/>
                <w:sz w:val="20"/>
                <w:szCs w:val="20"/>
              </w:rPr>
            </w:pPr>
            <w:r w:rsidRPr="00A9330B">
              <w:rPr>
                <w:rFonts w:cs="Arial"/>
                <w:iCs/>
                <w:sz w:val="20"/>
                <w:szCs w:val="20"/>
              </w:rPr>
              <w:t>5690.88</w:t>
            </w:r>
          </w:p>
        </w:tc>
      </w:tr>
      <w:tr w:rsidR="00C26443" w:rsidRPr="00A9330B" w14:paraId="20AA3C96" w14:textId="77777777" w:rsidTr="0064324E">
        <w:trPr>
          <w:trHeight w:val="20"/>
          <w:jc w:val="center"/>
        </w:trPr>
        <w:tc>
          <w:tcPr>
            <w:tcW w:w="1836" w:type="pct"/>
            <w:noWrap/>
          </w:tcPr>
          <w:p w14:paraId="095C4E2F" w14:textId="77777777" w:rsidR="00C26443" w:rsidRPr="00A9330B" w:rsidRDefault="00C26443" w:rsidP="0064324E">
            <w:pPr>
              <w:spacing w:line="240" w:lineRule="auto"/>
              <w:jc w:val="left"/>
              <w:rPr>
                <w:rFonts w:cs="Arial"/>
                <w:iCs/>
                <w:sz w:val="20"/>
                <w:szCs w:val="20"/>
              </w:rPr>
            </w:pPr>
            <w:r w:rsidRPr="00A9330B">
              <w:rPr>
                <w:rFonts w:cs="Arial"/>
                <w:iCs/>
                <w:sz w:val="20"/>
                <w:szCs w:val="20"/>
              </w:rPr>
              <w:t>TOTAL COLLECTEURS PRIMAIRES</w:t>
            </w:r>
          </w:p>
        </w:tc>
        <w:tc>
          <w:tcPr>
            <w:tcW w:w="1062" w:type="pct"/>
            <w:noWrap/>
          </w:tcPr>
          <w:p w14:paraId="35301560" w14:textId="77777777" w:rsidR="00C26443" w:rsidRPr="00A9330B" w:rsidRDefault="00C26443" w:rsidP="0064324E">
            <w:pPr>
              <w:spacing w:line="240" w:lineRule="auto"/>
              <w:rPr>
                <w:rFonts w:cs="Arial"/>
                <w:iCs/>
                <w:sz w:val="20"/>
                <w:szCs w:val="20"/>
              </w:rPr>
            </w:pPr>
          </w:p>
        </w:tc>
        <w:tc>
          <w:tcPr>
            <w:tcW w:w="999" w:type="pct"/>
            <w:noWrap/>
          </w:tcPr>
          <w:p w14:paraId="10B0D57A" w14:textId="77777777" w:rsidR="00C26443" w:rsidRPr="00A9330B" w:rsidRDefault="00C26443" w:rsidP="0064324E">
            <w:pPr>
              <w:spacing w:line="240" w:lineRule="auto"/>
              <w:rPr>
                <w:rFonts w:cs="Arial"/>
                <w:iCs/>
                <w:sz w:val="20"/>
                <w:szCs w:val="20"/>
              </w:rPr>
            </w:pPr>
          </w:p>
        </w:tc>
        <w:tc>
          <w:tcPr>
            <w:tcW w:w="1103" w:type="pct"/>
            <w:noWrap/>
          </w:tcPr>
          <w:p w14:paraId="6AFA5560" w14:textId="77777777" w:rsidR="00C26443" w:rsidRPr="00A9330B" w:rsidRDefault="00C26443" w:rsidP="0064324E">
            <w:pPr>
              <w:spacing w:line="240" w:lineRule="auto"/>
              <w:jc w:val="right"/>
              <w:rPr>
                <w:rFonts w:cs="Arial"/>
                <w:iCs/>
                <w:sz w:val="20"/>
                <w:szCs w:val="20"/>
              </w:rPr>
            </w:pPr>
            <w:r w:rsidRPr="00A9330B">
              <w:rPr>
                <w:rFonts w:cs="Arial"/>
                <w:iCs/>
                <w:sz w:val="20"/>
                <w:szCs w:val="20"/>
              </w:rPr>
              <w:t>14341.03</w:t>
            </w:r>
          </w:p>
        </w:tc>
      </w:tr>
      <w:tr w:rsidR="00C26443" w:rsidRPr="00A9330B" w14:paraId="3D42603F" w14:textId="77777777" w:rsidTr="0064324E">
        <w:trPr>
          <w:trHeight w:val="20"/>
          <w:jc w:val="center"/>
        </w:trPr>
        <w:tc>
          <w:tcPr>
            <w:tcW w:w="1836" w:type="pct"/>
            <w:noWrap/>
          </w:tcPr>
          <w:p w14:paraId="3DE311F2" w14:textId="77777777" w:rsidR="00C26443" w:rsidRPr="00A9330B" w:rsidRDefault="00C26443" w:rsidP="0064324E">
            <w:pPr>
              <w:spacing w:line="240" w:lineRule="auto"/>
              <w:jc w:val="left"/>
              <w:rPr>
                <w:rFonts w:cs="Arial"/>
                <w:iCs/>
                <w:sz w:val="20"/>
                <w:szCs w:val="20"/>
              </w:rPr>
            </w:pPr>
            <w:r w:rsidRPr="00A9330B">
              <w:rPr>
                <w:rFonts w:cs="Arial"/>
                <w:iCs/>
                <w:sz w:val="20"/>
                <w:szCs w:val="20"/>
              </w:rPr>
              <w:t>TOTAL COLLECTEURS SECONDAIRES</w:t>
            </w:r>
          </w:p>
        </w:tc>
        <w:tc>
          <w:tcPr>
            <w:tcW w:w="1062" w:type="pct"/>
            <w:noWrap/>
          </w:tcPr>
          <w:p w14:paraId="4B344762" w14:textId="77777777" w:rsidR="00C26443" w:rsidRPr="00A9330B" w:rsidRDefault="00C26443" w:rsidP="0064324E">
            <w:pPr>
              <w:spacing w:line="240" w:lineRule="auto"/>
              <w:rPr>
                <w:rFonts w:cs="Arial"/>
                <w:iCs/>
                <w:sz w:val="20"/>
                <w:szCs w:val="20"/>
              </w:rPr>
            </w:pPr>
            <w:r w:rsidRPr="00A9330B">
              <w:rPr>
                <w:rFonts w:cs="Arial"/>
                <w:iCs/>
                <w:sz w:val="20"/>
                <w:szCs w:val="20"/>
              </w:rPr>
              <w:t>12</w:t>
            </w:r>
          </w:p>
        </w:tc>
        <w:tc>
          <w:tcPr>
            <w:tcW w:w="999" w:type="pct"/>
            <w:noWrap/>
          </w:tcPr>
          <w:p w14:paraId="2FA3459B" w14:textId="77777777" w:rsidR="00C26443" w:rsidRPr="00A9330B" w:rsidRDefault="00C26443" w:rsidP="0064324E">
            <w:pPr>
              <w:spacing w:line="240" w:lineRule="auto"/>
              <w:rPr>
                <w:rFonts w:cs="Arial"/>
                <w:iCs/>
                <w:sz w:val="20"/>
                <w:szCs w:val="20"/>
              </w:rPr>
            </w:pPr>
            <w:r w:rsidRPr="00A9330B">
              <w:rPr>
                <w:rFonts w:cs="Arial"/>
                <w:iCs/>
                <w:sz w:val="20"/>
                <w:szCs w:val="20"/>
              </w:rPr>
              <w:t>trapèzoïdale</w:t>
            </w:r>
          </w:p>
        </w:tc>
        <w:tc>
          <w:tcPr>
            <w:tcW w:w="1103" w:type="pct"/>
            <w:noWrap/>
          </w:tcPr>
          <w:p w14:paraId="25B21E55" w14:textId="77777777" w:rsidR="00C26443" w:rsidRPr="00A9330B" w:rsidRDefault="00C26443" w:rsidP="0064324E">
            <w:pPr>
              <w:spacing w:line="240" w:lineRule="auto"/>
              <w:jc w:val="right"/>
              <w:rPr>
                <w:rFonts w:cs="Arial"/>
                <w:iCs/>
                <w:sz w:val="20"/>
                <w:szCs w:val="20"/>
              </w:rPr>
            </w:pPr>
            <w:r w:rsidRPr="00A9330B">
              <w:rPr>
                <w:rFonts w:cs="Arial"/>
                <w:iCs/>
                <w:sz w:val="20"/>
                <w:szCs w:val="20"/>
              </w:rPr>
              <w:t>7226.027</w:t>
            </w:r>
          </w:p>
        </w:tc>
      </w:tr>
      <w:tr w:rsidR="00C26443" w:rsidRPr="00A9330B" w14:paraId="6CC53AE6" w14:textId="77777777" w:rsidTr="0064324E">
        <w:trPr>
          <w:trHeight w:val="20"/>
          <w:jc w:val="center"/>
        </w:trPr>
        <w:tc>
          <w:tcPr>
            <w:tcW w:w="1836" w:type="pct"/>
            <w:noWrap/>
          </w:tcPr>
          <w:p w14:paraId="367321A9" w14:textId="77777777" w:rsidR="00C26443" w:rsidRPr="00A9330B" w:rsidRDefault="00C26443" w:rsidP="0064324E">
            <w:pPr>
              <w:spacing w:line="240" w:lineRule="auto"/>
              <w:jc w:val="left"/>
              <w:rPr>
                <w:rFonts w:cs="Arial"/>
                <w:iCs/>
                <w:sz w:val="20"/>
                <w:szCs w:val="20"/>
              </w:rPr>
            </w:pPr>
            <w:r w:rsidRPr="00A9330B">
              <w:rPr>
                <w:rFonts w:cs="Arial"/>
                <w:iCs/>
                <w:sz w:val="20"/>
                <w:szCs w:val="20"/>
              </w:rPr>
              <w:t>TOTAL LINEAIRE DE COLLECTEURS</w:t>
            </w:r>
          </w:p>
        </w:tc>
        <w:tc>
          <w:tcPr>
            <w:tcW w:w="1062" w:type="pct"/>
            <w:noWrap/>
          </w:tcPr>
          <w:p w14:paraId="79DF22E3" w14:textId="77777777" w:rsidR="00C26443" w:rsidRPr="00A9330B" w:rsidRDefault="00C26443" w:rsidP="0064324E">
            <w:pPr>
              <w:spacing w:line="240" w:lineRule="auto"/>
              <w:rPr>
                <w:rFonts w:cs="Arial"/>
                <w:iCs/>
                <w:sz w:val="20"/>
                <w:szCs w:val="20"/>
              </w:rPr>
            </w:pPr>
            <w:r w:rsidRPr="00A9330B">
              <w:rPr>
                <w:rFonts w:cs="Arial"/>
                <w:iCs/>
                <w:sz w:val="20"/>
                <w:szCs w:val="20"/>
              </w:rPr>
              <w:t> </w:t>
            </w:r>
          </w:p>
        </w:tc>
        <w:tc>
          <w:tcPr>
            <w:tcW w:w="999" w:type="pct"/>
            <w:noWrap/>
          </w:tcPr>
          <w:p w14:paraId="004A5E26" w14:textId="77777777" w:rsidR="00C26443" w:rsidRPr="00A9330B" w:rsidRDefault="00C26443" w:rsidP="0064324E">
            <w:pPr>
              <w:spacing w:line="240" w:lineRule="auto"/>
              <w:rPr>
                <w:rFonts w:cs="Arial"/>
                <w:iCs/>
                <w:sz w:val="20"/>
                <w:szCs w:val="20"/>
              </w:rPr>
            </w:pPr>
            <w:r w:rsidRPr="00A9330B">
              <w:rPr>
                <w:rFonts w:cs="Arial"/>
                <w:iCs/>
                <w:sz w:val="20"/>
                <w:szCs w:val="20"/>
              </w:rPr>
              <w:t> </w:t>
            </w:r>
          </w:p>
        </w:tc>
        <w:tc>
          <w:tcPr>
            <w:tcW w:w="1103" w:type="pct"/>
            <w:noWrap/>
          </w:tcPr>
          <w:p w14:paraId="400A78B3" w14:textId="77777777" w:rsidR="00C26443" w:rsidRPr="00A9330B" w:rsidRDefault="00C26443" w:rsidP="0064324E">
            <w:pPr>
              <w:spacing w:line="240" w:lineRule="auto"/>
              <w:jc w:val="right"/>
              <w:rPr>
                <w:rFonts w:cs="Arial"/>
                <w:iCs/>
                <w:sz w:val="20"/>
                <w:szCs w:val="20"/>
              </w:rPr>
            </w:pPr>
            <w:r w:rsidRPr="00A9330B">
              <w:rPr>
                <w:rFonts w:cs="Arial"/>
                <w:b/>
                <w:bCs/>
                <w:iCs/>
                <w:sz w:val="20"/>
                <w:szCs w:val="20"/>
              </w:rPr>
              <w:t>21567.057</w:t>
            </w:r>
          </w:p>
        </w:tc>
      </w:tr>
    </w:tbl>
    <w:p w14:paraId="657189E8" w14:textId="77777777" w:rsidR="00C26443" w:rsidRPr="00A9330B" w:rsidRDefault="00C26443" w:rsidP="00C26443">
      <w:pPr>
        <w:ind w:left="708" w:firstLine="708"/>
        <w:rPr>
          <w:b/>
          <w:i/>
          <w:sz w:val="20"/>
          <w:lang w:eastAsia="fr-FR"/>
        </w:rPr>
      </w:pPr>
      <w:r w:rsidRPr="00A9330B">
        <w:rPr>
          <w:b/>
          <w:i/>
          <w:sz w:val="20"/>
          <w:lang w:eastAsia="fr-FR"/>
        </w:rPr>
        <w:t>Source : CECO-BTP, 2020</w:t>
      </w:r>
    </w:p>
    <w:p w14:paraId="4FC468F7" w14:textId="77777777" w:rsidR="00C26443" w:rsidRPr="00A9330B" w:rsidRDefault="00C26443" w:rsidP="00BD2F72">
      <w:pPr>
        <w:pStyle w:val="Titre40"/>
        <w:numPr>
          <w:ilvl w:val="0"/>
          <w:numId w:val="100"/>
        </w:numPr>
      </w:pPr>
      <w:bookmarkStart w:id="765" w:name="_Toc52869632"/>
      <w:r w:rsidRPr="00A9330B">
        <w:t>Voiries à aménager</w:t>
      </w:r>
      <w:bookmarkEnd w:id="765"/>
      <w:r w:rsidRPr="00A9330B">
        <w:t xml:space="preserve"> </w:t>
      </w:r>
    </w:p>
    <w:p w14:paraId="3CFBA3D9" w14:textId="77777777" w:rsidR="00C26443" w:rsidRPr="00A9330B" w:rsidRDefault="00C26443" w:rsidP="00C26443">
      <w:pPr>
        <w:jc w:val="both"/>
      </w:pPr>
      <w:r w:rsidRPr="00A9330B">
        <w:t xml:space="preserve">Le projet PAPVS intègre l’aménagement de voiries dans les villes concernées. </w:t>
      </w:r>
    </w:p>
    <w:p w14:paraId="1CC986B0" w14:textId="77777777" w:rsidR="00C26443" w:rsidRPr="00A9330B" w:rsidRDefault="00C26443" w:rsidP="00C26443">
      <w:pPr>
        <w:jc w:val="both"/>
      </w:pPr>
      <w:r w:rsidRPr="00A9330B">
        <w:rPr>
          <w:rFonts w:ascii="Century Gothic" w:eastAsia="Times New Roman" w:hAnsi="Century Gothic" w:cs="Arial"/>
          <w:b/>
          <w:bCs/>
          <w:i/>
          <w:iCs/>
        </w:rPr>
        <w:t>Le linéaire total des rues sélectionnées est de 10,929 km</w:t>
      </w:r>
      <w:r w:rsidRPr="00A9330B">
        <w:t xml:space="preserve"> </w:t>
      </w:r>
    </w:p>
    <w:p w14:paraId="7A40D305" w14:textId="5CE30B38" w:rsidR="00C26443" w:rsidRPr="00A9330B" w:rsidRDefault="00C26443" w:rsidP="00C26443">
      <w:pPr>
        <w:jc w:val="both"/>
        <w:rPr>
          <w:rFonts w:ascii="Century Gothic" w:eastAsia="Times New Roman" w:hAnsi="Century Gothic" w:cs="Arial"/>
          <w:b/>
          <w:bCs/>
          <w:i/>
          <w:iCs/>
        </w:rPr>
      </w:pPr>
      <w:r w:rsidRPr="00A9330B">
        <w:t>Dans la ville de Natitingou, les rues retenues sont choisies :</w:t>
      </w:r>
    </w:p>
    <w:p w14:paraId="23EC52CA" w14:textId="77777777" w:rsidR="00C26443" w:rsidRPr="00A9330B" w:rsidRDefault="00C26443" w:rsidP="00C26443">
      <w:pPr>
        <w:numPr>
          <w:ilvl w:val="0"/>
          <w:numId w:val="2"/>
        </w:numPr>
        <w:spacing w:before="0" w:after="160" w:line="259" w:lineRule="auto"/>
        <w:contextualSpacing/>
        <w:jc w:val="both"/>
        <w:rPr>
          <w:rFonts w:eastAsia="Times New Roman" w:cs="Arial"/>
          <w:color w:val="auto"/>
        </w:rPr>
      </w:pPr>
      <w:r w:rsidRPr="00A9330B">
        <w:rPr>
          <w:rFonts w:eastAsia="Times New Roman" w:cs="Arial"/>
          <w:color w:val="auto"/>
        </w:rPr>
        <w:t>Pour leur caractère structurant,</w:t>
      </w:r>
    </w:p>
    <w:p w14:paraId="3C30DF7B" w14:textId="77777777" w:rsidR="00C26443" w:rsidRPr="00A9330B" w:rsidRDefault="00C26443" w:rsidP="00C26443">
      <w:pPr>
        <w:numPr>
          <w:ilvl w:val="0"/>
          <w:numId w:val="2"/>
        </w:numPr>
        <w:spacing w:before="0" w:after="160" w:line="259" w:lineRule="auto"/>
        <w:contextualSpacing/>
        <w:jc w:val="both"/>
        <w:rPr>
          <w:rFonts w:eastAsia="Times New Roman" w:cs="Arial"/>
          <w:color w:val="auto"/>
        </w:rPr>
      </w:pPr>
      <w:r w:rsidRPr="00A9330B">
        <w:rPr>
          <w:rFonts w:eastAsia="Times New Roman" w:cs="Arial"/>
          <w:color w:val="auto"/>
        </w:rPr>
        <w:t>Pour leur interface avec les rues du projet asphaltage,</w:t>
      </w:r>
    </w:p>
    <w:p w14:paraId="39FA5231" w14:textId="77777777" w:rsidR="00C26443" w:rsidRPr="00A9330B" w:rsidRDefault="00C26443" w:rsidP="00C26443">
      <w:pPr>
        <w:numPr>
          <w:ilvl w:val="0"/>
          <w:numId w:val="2"/>
        </w:numPr>
        <w:spacing w:before="0" w:after="160" w:line="259" w:lineRule="auto"/>
        <w:contextualSpacing/>
        <w:jc w:val="both"/>
        <w:rPr>
          <w:rFonts w:eastAsia="Times New Roman" w:cs="Arial"/>
          <w:color w:val="auto"/>
        </w:rPr>
      </w:pPr>
      <w:r w:rsidRPr="00A9330B">
        <w:rPr>
          <w:rFonts w:eastAsia="Times New Roman" w:cs="Arial"/>
          <w:color w:val="auto"/>
        </w:rPr>
        <w:t>Pour permettre l’accessibilité aux collecteurs.</w:t>
      </w:r>
    </w:p>
    <w:p w14:paraId="532FF9D7" w14:textId="77777777" w:rsidR="00C26443" w:rsidRPr="00A9330B" w:rsidRDefault="00C26443" w:rsidP="00C26443">
      <w:pPr>
        <w:jc w:val="both"/>
      </w:pPr>
      <w:r w:rsidRPr="00A9330B">
        <w:lastRenderedPageBreak/>
        <w:t>Compte tenu des pentes très fortes observées, toutes les rues seront bitumées.</w:t>
      </w:r>
    </w:p>
    <w:p w14:paraId="7290975A" w14:textId="5C7BB912" w:rsidR="00C26443" w:rsidRPr="00A9330B" w:rsidRDefault="008C6E12" w:rsidP="00A9330B">
      <w:pPr>
        <w:pStyle w:val="Lgende"/>
        <w:rPr>
          <w:rFonts w:ascii="Century Gothic" w:hAnsi="Century Gothic"/>
          <w:bCs/>
          <w:i/>
          <w:iCs/>
        </w:rPr>
      </w:pPr>
      <w:bookmarkStart w:id="766" w:name="_Toc52873747"/>
      <w:r w:rsidRPr="00A9330B">
        <w:t xml:space="preserve">Tableau </w:t>
      </w:r>
      <w:r w:rsidRPr="00A9330B">
        <w:rPr>
          <w:noProof/>
        </w:rPr>
        <w:fldChar w:fldCharType="begin"/>
      </w:r>
      <w:r w:rsidRPr="00A9330B">
        <w:rPr>
          <w:noProof/>
        </w:rPr>
        <w:instrText xml:space="preserve"> SEQ Tableau \* ARABIC </w:instrText>
      </w:r>
      <w:r w:rsidRPr="00A9330B">
        <w:rPr>
          <w:noProof/>
        </w:rPr>
        <w:fldChar w:fldCharType="separate"/>
      </w:r>
      <w:r w:rsidRPr="00A9330B">
        <w:rPr>
          <w:noProof/>
        </w:rPr>
        <w:t>23</w:t>
      </w:r>
      <w:r w:rsidRPr="00A9330B">
        <w:rPr>
          <w:noProof/>
        </w:rPr>
        <w:fldChar w:fldCharType="end"/>
      </w:r>
      <w:r w:rsidRPr="00A9330B">
        <w:t> : Linéaires de rues</w:t>
      </w:r>
      <w:bookmarkEnd w:id="766"/>
      <w:r w:rsidRPr="00A9330B">
        <w:t xml:space="preserve"> </w:t>
      </w:r>
    </w:p>
    <w:tbl>
      <w:tblPr>
        <w:tblStyle w:val="Grilledutableau"/>
        <w:tblW w:w="0" w:type="auto"/>
        <w:jc w:val="center"/>
        <w:tblLook w:val="04A0" w:firstRow="1" w:lastRow="0" w:firstColumn="1" w:lastColumn="0" w:noHBand="0" w:noVBand="1"/>
      </w:tblPr>
      <w:tblGrid>
        <w:gridCol w:w="2547"/>
        <w:gridCol w:w="1983"/>
        <w:gridCol w:w="2266"/>
      </w:tblGrid>
      <w:tr w:rsidR="00C26443" w:rsidRPr="00A9330B" w14:paraId="6FBC7FF7" w14:textId="77777777" w:rsidTr="0064324E">
        <w:trPr>
          <w:jc w:val="center"/>
        </w:trPr>
        <w:tc>
          <w:tcPr>
            <w:tcW w:w="2547" w:type="dxa"/>
            <w:shd w:val="clear" w:color="auto" w:fill="00B0F0"/>
          </w:tcPr>
          <w:p w14:paraId="300B4744" w14:textId="77777777" w:rsidR="00C26443" w:rsidRPr="00A9330B" w:rsidRDefault="00C26443" w:rsidP="0064324E">
            <w:pPr>
              <w:rPr>
                <w:rFonts w:eastAsia="Times New Roman" w:cs="Arial"/>
                <w:b/>
                <w:bCs/>
                <w:i/>
                <w:iCs/>
                <w:sz w:val="20"/>
                <w:szCs w:val="20"/>
              </w:rPr>
            </w:pPr>
            <w:r w:rsidRPr="00A9330B">
              <w:rPr>
                <w:rFonts w:cs="Arial"/>
                <w:b/>
                <w:sz w:val="20"/>
                <w:szCs w:val="20"/>
              </w:rPr>
              <w:t>Types de rues</w:t>
            </w:r>
          </w:p>
        </w:tc>
        <w:tc>
          <w:tcPr>
            <w:tcW w:w="1983" w:type="dxa"/>
            <w:shd w:val="clear" w:color="auto" w:fill="00B0F0"/>
          </w:tcPr>
          <w:p w14:paraId="3BB9C103" w14:textId="77777777" w:rsidR="00C26443" w:rsidRPr="00A9330B" w:rsidRDefault="00C26443" w:rsidP="0064324E">
            <w:pPr>
              <w:rPr>
                <w:rFonts w:eastAsia="Times New Roman" w:cs="Arial"/>
                <w:b/>
                <w:bCs/>
                <w:i/>
                <w:iCs/>
                <w:sz w:val="20"/>
                <w:szCs w:val="20"/>
              </w:rPr>
            </w:pPr>
            <w:r w:rsidRPr="00A9330B">
              <w:rPr>
                <w:rFonts w:cs="Arial"/>
                <w:b/>
                <w:sz w:val="20"/>
                <w:szCs w:val="20"/>
              </w:rPr>
              <w:t>Quantité</w:t>
            </w:r>
          </w:p>
        </w:tc>
        <w:tc>
          <w:tcPr>
            <w:tcW w:w="2266" w:type="dxa"/>
            <w:shd w:val="clear" w:color="auto" w:fill="00B0F0"/>
          </w:tcPr>
          <w:p w14:paraId="602E6A9A" w14:textId="77777777" w:rsidR="00C26443" w:rsidRPr="00A9330B" w:rsidRDefault="00C26443" w:rsidP="0064324E">
            <w:pPr>
              <w:rPr>
                <w:rFonts w:eastAsia="Times New Roman" w:cs="Arial"/>
                <w:b/>
                <w:bCs/>
                <w:i/>
                <w:iCs/>
                <w:sz w:val="20"/>
                <w:szCs w:val="20"/>
              </w:rPr>
            </w:pPr>
            <w:r w:rsidRPr="00A9330B">
              <w:rPr>
                <w:rFonts w:cs="Arial"/>
                <w:b/>
                <w:sz w:val="20"/>
                <w:szCs w:val="20"/>
              </w:rPr>
              <w:t>Linéaires (m)</w:t>
            </w:r>
          </w:p>
        </w:tc>
      </w:tr>
      <w:tr w:rsidR="00C26443" w:rsidRPr="00A9330B" w14:paraId="5407FC47" w14:textId="77777777" w:rsidTr="0064324E">
        <w:trPr>
          <w:jc w:val="center"/>
        </w:trPr>
        <w:tc>
          <w:tcPr>
            <w:tcW w:w="2547" w:type="dxa"/>
          </w:tcPr>
          <w:p w14:paraId="2D8627C2" w14:textId="77777777" w:rsidR="00C26443" w:rsidRPr="00A9330B" w:rsidRDefault="00C26443" w:rsidP="0064324E">
            <w:pPr>
              <w:jc w:val="both"/>
              <w:rPr>
                <w:rFonts w:eastAsia="Times New Roman" w:cs="Arial"/>
                <w:bCs/>
                <w:iCs/>
                <w:sz w:val="20"/>
                <w:szCs w:val="20"/>
              </w:rPr>
            </w:pPr>
            <w:r w:rsidRPr="00A9330B">
              <w:rPr>
                <w:rFonts w:eastAsia="Times New Roman" w:cs="Arial"/>
                <w:bCs/>
                <w:iCs/>
                <w:sz w:val="20"/>
                <w:szCs w:val="20"/>
              </w:rPr>
              <w:t xml:space="preserve">RUES SECONDAIRES </w:t>
            </w:r>
          </w:p>
        </w:tc>
        <w:tc>
          <w:tcPr>
            <w:tcW w:w="1983" w:type="dxa"/>
          </w:tcPr>
          <w:p w14:paraId="0EB00F3A" w14:textId="77777777" w:rsidR="00C26443" w:rsidRPr="00A9330B" w:rsidRDefault="00C26443" w:rsidP="0064324E">
            <w:pPr>
              <w:rPr>
                <w:rFonts w:eastAsia="Times New Roman" w:cs="Arial"/>
                <w:bCs/>
                <w:iCs/>
                <w:sz w:val="20"/>
                <w:szCs w:val="20"/>
              </w:rPr>
            </w:pPr>
            <w:r w:rsidRPr="00A9330B">
              <w:rPr>
                <w:rFonts w:eastAsia="Times New Roman" w:cs="Arial"/>
                <w:bCs/>
                <w:iCs/>
                <w:sz w:val="20"/>
                <w:szCs w:val="20"/>
              </w:rPr>
              <w:t>03</w:t>
            </w:r>
          </w:p>
        </w:tc>
        <w:tc>
          <w:tcPr>
            <w:tcW w:w="2266" w:type="dxa"/>
          </w:tcPr>
          <w:p w14:paraId="1344DE11" w14:textId="77777777" w:rsidR="00C26443" w:rsidRPr="00A9330B" w:rsidRDefault="00C26443" w:rsidP="0064324E">
            <w:pPr>
              <w:rPr>
                <w:rFonts w:eastAsia="Times New Roman" w:cs="Arial"/>
                <w:bCs/>
                <w:iCs/>
                <w:sz w:val="20"/>
                <w:szCs w:val="20"/>
              </w:rPr>
            </w:pPr>
            <w:r w:rsidRPr="00A9330B">
              <w:rPr>
                <w:rFonts w:ascii="Century Gothic" w:hAnsi="Century Gothic" w:cs="Calibri"/>
                <w:bCs/>
                <w:i/>
                <w:iCs/>
                <w:sz w:val="20"/>
                <w:szCs w:val="20"/>
              </w:rPr>
              <w:t>5303.630</w:t>
            </w:r>
          </w:p>
        </w:tc>
      </w:tr>
      <w:tr w:rsidR="00C26443" w:rsidRPr="00A9330B" w14:paraId="6A4B0E79" w14:textId="77777777" w:rsidTr="0064324E">
        <w:trPr>
          <w:jc w:val="center"/>
        </w:trPr>
        <w:tc>
          <w:tcPr>
            <w:tcW w:w="2547" w:type="dxa"/>
          </w:tcPr>
          <w:p w14:paraId="51662248" w14:textId="77777777" w:rsidR="00C26443" w:rsidRPr="00A9330B" w:rsidRDefault="00C26443" w:rsidP="0064324E">
            <w:pPr>
              <w:jc w:val="both"/>
              <w:rPr>
                <w:rFonts w:eastAsia="Times New Roman" w:cs="Arial"/>
                <w:bCs/>
                <w:iCs/>
                <w:sz w:val="20"/>
                <w:szCs w:val="20"/>
              </w:rPr>
            </w:pPr>
            <w:r w:rsidRPr="00A9330B">
              <w:rPr>
                <w:rFonts w:eastAsia="Times New Roman" w:cs="Arial"/>
                <w:bCs/>
                <w:iCs/>
                <w:sz w:val="20"/>
                <w:szCs w:val="20"/>
              </w:rPr>
              <w:t xml:space="preserve">RUES TERTIAIRES </w:t>
            </w:r>
          </w:p>
        </w:tc>
        <w:tc>
          <w:tcPr>
            <w:tcW w:w="1983" w:type="dxa"/>
          </w:tcPr>
          <w:p w14:paraId="563E12F9" w14:textId="77777777" w:rsidR="00C26443" w:rsidRPr="00A9330B" w:rsidRDefault="00C26443" w:rsidP="0064324E">
            <w:pPr>
              <w:rPr>
                <w:rFonts w:eastAsia="Times New Roman" w:cs="Arial"/>
                <w:bCs/>
                <w:iCs/>
                <w:sz w:val="20"/>
                <w:szCs w:val="20"/>
              </w:rPr>
            </w:pPr>
            <w:r w:rsidRPr="00A9330B">
              <w:rPr>
                <w:rFonts w:eastAsia="Times New Roman" w:cs="Arial"/>
                <w:bCs/>
                <w:iCs/>
                <w:sz w:val="20"/>
                <w:szCs w:val="20"/>
              </w:rPr>
              <w:t>13</w:t>
            </w:r>
          </w:p>
        </w:tc>
        <w:tc>
          <w:tcPr>
            <w:tcW w:w="2266" w:type="dxa"/>
          </w:tcPr>
          <w:p w14:paraId="266ACD19" w14:textId="77777777" w:rsidR="00C26443" w:rsidRPr="00A9330B" w:rsidRDefault="00C26443" w:rsidP="0064324E">
            <w:pPr>
              <w:rPr>
                <w:rFonts w:eastAsia="Times New Roman" w:cs="Arial"/>
                <w:bCs/>
                <w:iCs/>
                <w:sz w:val="20"/>
                <w:szCs w:val="20"/>
              </w:rPr>
            </w:pPr>
            <w:r w:rsidRPr="00A9330B">
              <w:rPr>
                <w:rFonts w:ascii="Century Gothic" w:hAnsi="Century Gothic" w:cs="Calibri"/>
                <w:bCs/>
                <w:i/>
                <w:iCs/>
                <w:sz w:val="20"/>
                <w:szCs w:val="20"/>
              </w:rPr>
              <w:t>5626.3</w:t>
            </w:r>
          </w:p>
        </w:tc>
      </w:tr>
      <w:tr w:rsidR="00C26443" w:rsidRPr="00A9330B" w14:paraId="3E6D3165" w14:textId="77777777" w:rsidTr="0064324E">
        <w:trPr>
          <w:jc w:val="center"/>
        </w:trPr>
        <w:tc>
          <w:tcPr>
            <w:tcW w:w="2547" w:type="dxa"/>
          </w:tcPr>
          <w:p w14:paraId="5C77225B" w14:textId="77777777" w:rsidR="00C26443" w:rsidRPr="00A9330B" w:rsidRDefault="00C26443" w:rsidP="0064324E">
            <w:pPr>
              <w:jc w:val="both"/>
              <w:rPr>
                <w:rFonts w:eastAsia="Times New Roman" w:cs="Arial"/>
                <w:b/>
                <w:bCs/>
                <w:iCs/>
                <w:sz w:val="20"/>
                <w:szCs w:val="20"/>
              </w:rPr>
            </w:pPr>
            <w:r w:rsidRPr="00A9330B">
              <w:rPr>
                <w:rFonts w:eastAsia="Times New Roman" w:cs="Arial"/>
                <w:b/>
                <w:bCs/>
                <w:iCs/>
                <w:sz w:val="20"/>
                <w:szCs w:val="20"/>
              </w:rPr>
              <w:t xml:space="preserve">TOTAL </w:t>
            </w:r>
          </w:p>
        </w:tc>
        <w:tc>
          <w:tcPr>
            <w:tcW w:w="1983" w:type="dxa"/>
          </w:tcPr>
          <w:p w14:paraId="616DD433" w14:textId="77777777" w:rsidR="00C26443" w:rsidRPr="00A9330B" w:rsidRDefault="00C26443" w:rsidP="0064324E">
            <w:pPr>
              <w:rPr>
                <w:rFonts w:eastAsia="Times New Roman" w:cs="Arial"/>
                <w:b/>
                <w:bCs/>
                <w:iCs/>
                <w:sz w:val="20"/>
                <w:szCs w:val="20"/>
              </w:rPr>
            </w:pPr>
            <w:r w:rsidRPr="00A9330B">
              <w:rPr>
                <w:rFonts w:eastAsia="Times New Roman" w:cs="Arial"/>
                <w:b/>
                <w:bCs/>
                <w:iCs/>
                <w:sz w:val="20"/>
                <w:szCs w:val="20"/>
              </w:rPr>
              <w:t>16</w:t>
            </w:r>
          </w:p>
        </w:tc>
        <w:tc>
          <w:tcPr>
            <w:tcW w:w="2266" w:type="dxa"/>
          </w:tcPr>
          <w:p w14:paraId="4D728BE2" w14:textId="77777777" w:rsidR="00C26443" w:rsidRPr="00A9330B" w:rsidRDefault="00C26443" w:rsidP="0064324E">
            <w:pPr>
              <w:rPr>
                <w:rFonts w:eastAsia="Times New Roman" w:cs="Arial"/>
                <w:b/>
                <w:bCs/>
                <w:iCs/>
                <w:sz w:val="20"/>
                <w:szCs w:val="20"/>
              </w:rPr>
            </w:pPr>
            <w:r w:rsidRPr="00A9330B">
              <w:rPr>
                <w:rFonts w:cs="Arial"/>
                <w:b/>
                <w:sz w:val="20"/>
                <w:szCs w:val="20"/>
              </w:rPr>
              <w:t>10929, 930</w:t>
            </w:r>
          </w:p>
        </w:tc>
      </w:tr>
    </w:tbl>
    <w:p w14:paraId="7E0CD6CA" w14:textId="77777777" w:rsidR="00C26443" w:rsidRPr="00A9330B" w:rsidRDefault="00C26443" w:rsidP="00C26443">
      <w:pPr>
        <w:ind w:firstLine="708"/>
        <w:rPr>
          <w:b/>
          <w:i/>
          <w:sz w:val="20"/>
          <w:lang w:eastAsia="fr-FR"/>
        </w:rPr>
      </w:pPr>
      <w:r w:rsidRPr="00A9330B">
        <w:rPr>
          <w:b/>
          <w:i/>
          <w:sz w:val="20"/>
          <w:lang w:eastAsia="fr-FR"/>
        </w:rPr>
        <w:t>Source : CECO-BTP, 2020</w:t>
      </w:r>
    </w:p>
    <w:p w14:paraId="119D0112" w14:textId="133F2209" w:rsidR="00701C80" w:rsidRPr="00A9330B" w:rsidRDefault="00701C80" w:rsidP="006E37A6">
      <w:pPr>
        <w:pStyle w:val="Titre3"/>
      </w:pPr>
      <w:bookmarkStart w:id="767" w:name="_Toc45520829"/>
      <w:bookmarkStart w:id="768" w:name="_Toc52869633"/>
      <w:r w:rsidRPr="00A9330B">
        <w:t>3</w:t>
      </w:r>
      <w:r w:rsidR="007553CA" w:rsidRPr="00A9330B">
        <w:t>.</w:t>
      </w:r>
      <w:r w:rsidRPr="00A9330B">
        <w:t>2.2 Environnement biophysique</w:t>
      </w:r>
      <w:bookmarkEnd w:id="767"/>
      <w:bookmarkEnd w:id="768"/>
      <w:r w:rsidRPr="00A9330B">
        <w:t xml:space="preserve"> </w:t>
      </w:r>
    </w:p>
    <w:p w14:paraId="4F3EB78D" w14:textId="77777777" w:rsidR="00701C80" w:rsidRPr="00A9330B" w:rsidRDefault="00701C80" w:rsidP="00FB5FCD">
      <w:pPr>
        <w:jc w:val="both"/>
      </w:pPr>
      <w:r w:rsidRPr="00A9330B">
        <w:t xml:space="preserve">Pour une appréciation judicieuse des réalités (atouts et contraintes) du milieu récepteur du projet, une visite a été effectuée aux fins de connaître les itinéraires et les quartiers concernés par le projet. La planche ci-dessous illustre en partie cette visite exploratoire qui a débouché sur les enquêtes proprement dites. </w:t>
      </w:r>
    </w:p>
    <w:p w14:paraId="1930AB6F" w14:textId="7A7A2CBA" w:rsidR="00540BA5" w:rsidRPr="00A9330B" w:rsidRDefault="00540BA5" w:rsidP="00A9330B">
      <w:pPr>
        <w:pStyle w:val="Lgende"/>
      </w:pPr>
      <w:bookmarkStart w:id="769" w:name="_Toc52870062"/>
      <w:r w:rsidRPr="00A9330B">
        <w:t xml:space="preserve">Planche  </w:t>
      </w:r>
      <w:r w:rsidRPr="00A9330B">
        <w:rPr>
          <w:noProof/>
        </w:rPr>
        <w:fldChar w:fldCharType="begin"/>
      </w:r>
      <w:r w:rsidRPr="00A9330B">
        <w:rPr>
          <w:noProof/>
        </w:rPr>
        <w:instrText xml:space="preserve"> SEQ Planche_ \* ARABIC </w:instrText>
      </w:r>
      <w:r w:rsidRPr="00A9330B">
        <w:rPr>
          <w:noProof/>
        </w:rPr>
        <w:fldChar w:fldCharType="separate"/>
      </w:r>
      <w:r w:rsidR="00FB5FCD" w:rsidRPr="00A9330B">
        <w:rPr>
          <w:noProof/>
        </w:rPr>
        <w:t>4</w:t>
      </w:r>
      <w:r w:rsidRPr="00A9330B">
        <w:rPr>
          <w:noProof/>
        </w:rPr>
        <w:fldChar w:fldCharType="end"/>
      </w:r>
      <w:r w:rsidRPr="00A9330B">
        <w:t xml:space="preserve"> : Equipe des consultants  sur le terrain</w:t>
      </w:r>
      <w:bookmarkEnd w:id="769"/>
    </w:p>
    <w:p w14:paraId="341475EA" w14:textId="77777777" w:rsidR="00701C80" w:rsidRPr="00A9330B" w:rsidRDefault="00701C80" w:rsidP="00701C80">
      <w:pPr>
        <w:spacing w:after="120" w:line="240" w:lineRule="auto"/>
        <w:jc w:val="center"/>
        <w:rPr>
          <w:rFonts w:eastAsia="Calibri" w:cs="Arial"/>
          <w:color w:val="auto"/>
        </w:rPr>
      </w:pPr>
      <w:r w:rsidRPr="00A9330B">
        <w:rPr>
          <w:noProof/>
          <w:lang w:eastAsia="fr-FR"/>
        </w:rPr>
        <w:drawing>
          <wp:inline distT="0" distB="0" distL="0" distR="0" wp14:anchorId="3D3A36A4" wp14:editId="7D4F0771">
            <wp:extent cx="2743200" cy="2057400"/>
            <wp:effectExtent l="0" t="0" r="0" b="0"/>
            <wp:docPr id="3146" name="Image 8" descr="C:\Users\HP\Desktop\PAPVS\Photos\20200530_075328.jpg"/>
            <wp:cNvGraphicFramePr/>
            <a:graphic xmlns:a="http://schemas.openxmlformats.org/drawingml/2006/main">
              <a:graphicData uri="http://schemas.openxmlformats.org/drawingml/2006/picture">
                <pic:pic xmlns:pic="http://schemas.openxmlformats.org/drawingml/2006/picture">
                  <pic:nvPicPr>
                    <pic:cNvPr id="9" name="Image 8" descr="C:\Users\HP\Desktop\PAPVS\Photos\20200530_075328.jpg"/>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743200" cy="2057400"/>
                    </a:xfrm>
                    <a:prstGeom prst="rect">
                      <a:avLst/>
                    </a:prstGeom>
                    <a:noFill/>
                    <a:ln>
                      <a:noFill/>
                    </a:ln>
                  </pic:spPr>
                </pic:pic>
              </a:graphicData>
            </a:graphic>
          </wp:inline>
        </w:drawing>
      </w:r>
      <w:r w:rsidRPr="00A9330B">
        <w:rPr>
          <w:rFonts w:ascii="Century Gothic" w:eastAsia="Times New Roman" w:hAnsi="Century Gothic" w:cs="Arial"/>
          <w:b/>
          <w:bCs/>
          <w:noProof/>
          <w:lang w:eastAsia="fr-FR"/>
        </w:rPr>
        <w:drawing>
          <wp:inline distT="0" distB="0" distL="0" distR="0" wp14:anchorId="5BDD8065" wp14:editId="5B9396C1">
            <wp:extent cx="2853223" cy="2035403"/>
            <wp:effectExtent l="0" t="0" r="4445" b="3175"/>
            <wp:docPr id="3149" name="Image 3149" descr="C:\Users\HP\Desktop\PAPVS\Traitement\PAPVS PHOTOS\NATI\20200529_1821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P\Desktop\PAPVS\Traitement\PAPVS PHOTOS\NATI\20200529_182157.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858693" cy="2039305"/>
                    </a:xfrm>
                    <a:prstGeom prst="rect">
                      <a:avLst/>
                    </a:prstGeom>
                    <a:noFill/>
                    <a:ln>
                      <a:noFill/>
                    </a:ln>
                  </pic:spPr>
                </pic:pic>
              </a:graphicData>
            </a:graphic>
          </wp:inline>
        </w:drawing>
      </w:r>
    </w:p>
    <w:p w14:paraId="4B68E6C4" w14:textId="77777777" w:rsidR="0030131E" w:rsidRPr="00A9330B" w:rsidRDefault="0030131E" w:rsidP="007553CA">
      <w:pPr>
        <w:spacing w:line="240" w:lineRule="auto"/>
        <w:jc w:val="center"/>
        <w:rPr>
          <w:rFonts w:eastAsia="Calibri" w:cs="Arial"/>
          <w:b/>
          <w:iCs/>
          <w:color w:val="auto"/>
          <w:sz w:val="20"/>
          <w:szCs w:val="20"/>
        </w:rPr>
      </w:pPr>
      <w:r w:rsidRPr="00A9330B">
        <w:rPr>
          <w:rFonts w:eastAsia="Calibri" w:cs="Arial"/>
          <w:b/>
          <w:iCs/>
          <w:color w:val="auto"/>
          <w:sz w:val="20"/>
          <w:szCs w:val="20"/>
          <w:lang w:eastAsia="fr-FR"/>
        </w:rPr>
        <w:t>Photos terrain (Enquêteurs 2020)</w:t>
      </w:r>
    </w:p>
    <w:p w14:paraId="5F676981" w14:textId="5D23C876" w:rsidR="00701C80" w:rsidRPr="00A9330B" w:rsidRDefault="00701C80" w:rsidP="00701C80">
      <w:pPr>
        <w:spacing w:after="120" w:line="240" w:lineRule="auto"/>
        <w:jc w:val="both"/>
        <w:rPr>
          <w:rFonts w:eastAsia="Calibri" w:cs="Arial"/>
          <w:color w:val="auto"/>
        </w:rPr>
      </w:pPr>
      <w:r w:rsidRPr="00A9330B">
        <w:rPr>
          <w:rFonts w:eastAsia="Calibri" w:cs="Arial"/>
          <w:color w:val="auto"/>
        </w:rPr>
        <w:t xml:space="preserve">Cette visite a permis de faire des constats concernant l’état de l’occupation des emprises des rues et collecteurs concernées, l’état de salubrité de la ville, l’état des ouvrages d’assainissement, les ouvrages </w:t>
      </w:r>
      <w:r w:rsidR="00FB5FCD" w:rsidRPr="00A9330B">
        <w:rPr>
          <w:rFonts w:eastAsia="Calibri" w:cs="Arial"/>
          <w:color w:val="auto"/>
        </w:rPr>
        <w:t>sociocommunautaires</w:t>
      </w:r>
      <w:r w:rsidRPr="00A9330B">
        <w:rPr>
          <w:rFonts w:eastAsia="Calibri" w:cs="Arial"/>
          <w:color w:val="auto"/>
        </w:rPr>
        <w:t xml:space="preserve"> le long des rues, le couvert végétal urbain, etc. </w:t>
      </w:r>
    </w:p>
    <w:p w14:paraId="1D477306" w14:textId="5E0479DD" w:rsidR="00701C80" w:rsidRPr="00A9330B" w:rsidRDefault="00701C80" w:rsidP="0030131E">
      <w:pPr>
        <w:spacing w:after="120" w:line="240" w:lineRule="auto"/>
        <w:jc w:val="both"/>
        <w:rPr>
          <w:rFonts w:eastAsia="Calibri" w:cs="Arial"/>
          <w:color w:val="auto"/>
        </w:rPr>
      </w:pPr>
      <w:r w:rsidRPr="00A9330B">
        <w:rPr>
          <w:rFonts w:eastAsia="Calibri" w:cs="Arial"/>
          <w:color w:val="auto"/>
        </w:rPr>
        <w:t>La planche</w:t>
      </w:r>
      <w:r w:rsidR="00A05240" w:rsidRPr="00A9330B">
        <w:rPr>
          <w:rFonts w:eastAsia="Calibri" w:cs="Arial"/>
          <w:color w:val="auto"/>
        </w:rPr>
        <w:t xml:space="preserve"> suivante </w:t>
      </w:r>
      <w:r w:rsidRPr="00A9330B">
        <w:rPr>
          <w:rFonts w:eastAsia="Calibri" w:cs="Arial"/>
          <w:color w:val="auto"/>
        </w:rPr>
        <w:t>présente quelques photos qui donnent un aperçu sur l’emprise de certaines rues et collecteurs</w:t>
      </w:r>
      <w:r w:rsidR="00A05240" w:rsidRPr="00A9330B">
        <w:rPr>
          <w:rFonts w:eastAsia="Calibri" w:cs="Arial"/>
          <w:color w:val="auto"/>
        </w:rPr>
        <w:t xml:space="preserve">. </w:t>
      </w:r>
    </w:p>
    <w:p w14:paraId="2A2EA010" w14:textId="77777777" w:rsidR="00FB5FCD" w:rsidRPr="00A9330B" w:rsidRDefault="00FB5FCD">
      <w:pPr>
        <w:spacing w:before="0" w:after="160" w:line="259" w:lineRule="auto"/>
        <w:rPr>
          <w:b/>
          <w:sz w:val="20"/>
          <w:szCs w:val="20"/>
        </w:rPr>
      </w:pPr>
      <w:r w:rsidRPr="00A9330B">
        <w:rPr>
          <w:b/>
          <w:sz w:val="20"/>
          <w:szCs w:val="20"/>
        </w:rPr>
        <w:br w:type="page"/>
      </w:r>
    </w:p>
    <w:p w14:paraId="50B93511" w14:textId="54DB71F0" w:rsidR="00540BA5" w:rsidRPr="00A9330B" w:rsidRDefault="00540BA5" w:rsidP="00540BA5">
      <w:pPr>
        <w:spacing w:before="240" w:line="240" w:lineRule="auto"/>
        <w:jc w:val="center"/>
        <w:rPr>
          <w:rFonts w:eastAsia="Calibri" w:cs="Arial"/>
          <w:b/>
          <w:color w:val="auto"/>
          <w:sz w:val="20"/>
          <w:szCs w:val="20"/>
        </w:rPr>
      </w:pPr>
      <w:bookmarkStart w:id="770" w:name="_Toc52870063"/>
      <w:r w:rsidRPr="00A9330B">
        <w:rPr>
          <w:b/>
          <w:sz w:val="20"/>
          <w:szCs w:val="20"/>
        </w:rPr>
        <w:lastRenderedPageBreak/>
        <w:t xml:space="preserve">Planche  </w:t>
      </w:r>
      <w:r w:rsidRPr="00A9330B">
        <w:rPr>
          <w:b/>
          <w:sz w:val="20"/>
          <w:szCs w:val="20"/>
        </w:rPr>
        <w:fldChar w:fldCharType="begin"/>
      </w:r>
      <w:r w:rsidRPr="00A9330B">
        <w:rPr>
          <w:b/>
          <w:sz w:val="20"/>
          <w:szCs w:val="20"/>
        </w:rPr>
        <w:instrText xml:space="preserve"> SEQ Planche_ \* ARABIC </w:instrText>
      </w:r>
      <w:r w:rsidRPr="00A9330B">
        <w:rPr>
          <w:b/>
          <w:sz w:val="20"/>
          <w:szCs w:val="20"/>
        </w:rPr>
        <w:fldChar w:fldCharType="separate"/>
      </w:r>
      <w:r w:rsidR="00FB5FCD" w:rsidRPr="00A9330B">
        <w:rPr>
          <w:b/>
          <w:noProof/>
          <w:sz w:val="20"/>
          <w:szCs w:val="20"/>
        </w:rPr>
        <w:t>5</w:t>
      </w:r>
      <w:r w:rsidRPr="00A9330B">
        <w:rPr>
          <w:b/>
          <w:sz w:val="20"/>
          <w:szCs w:val="20"/>
        </w:rPr>
        <w:fldChar w:fldCharType="end"/>
      </w:r>
      <w:r w:rsidRPr="00A9330B">
        <w:rPr>
          <w:rFonts w:eastAsia="Calibri" w:cs="Arial"/>
          <w:b/>
          <w:color w:val="auto"/>
          <w:sz w:val="20"/>
          <w:szCs w:val="20"/>
        </w:rPr>
        <w:t> : Occupation des emprises des rues et collecteurs dans la ville de Natitingou</w:t>
      </w:r>
      <w:bookmarkEnd w:id="770"/>
    </w:p>
    <w:p w14:paraId="59147C01" w14:textId="77777777" w:rsidR="00701C80" w:rsidRPr="00A9330B" w:rsidRDefault="00701C80" w:rsidP="00701C80">
      <w:pPr>
        <w:spacing w:line="120" w:lineRule="auto"/>
        <w:jc w:val="center"/>
        <w:rPr>
          <w:rFonts w:eastAsia="Calibri" w:cs="Arial"/>
          <w:noProof/>
          <w:color w:val="auto"/>
          <w:lang w:eastAsia="fr-FR"/>
        </w:rPr>
      </w:pPr>
      <w:r w:rsidRPr="00A9330B">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t xml:space="preserve">                            </w:t>
      </w:r>
    </w:p>
    <w:p w14:paraId="71ED72DF" w14:textId="77777777" w:rsidR="00701C80" w:rsidRPr="00A9330B" w:rsidRDefault="00701C80" w:rsidP="00701C80">
      <w:pPr>
        <w:spacing w:before="240" w:line="120" w:lineRule="auto"/>
        <w:jc w:val="center"/>
        <w:rPr>
          <w:rFonts w:eastAsia="Times New Roman" w:cs="Arial"/>
          <w:b/>
          <w:color w:val="000000"/>
          <w:lang w:eastAsia="fr-FR"/>
        </w:rPr>
      </w:pPr>
      <w:r w:rsidRPr="00A9330B">
        <w:rPr>
          <w:rFonts w:eastAsia="Times New Roman" w:cs="Arial"/>
          <w:b/>
          <w:noProof/>
          <w:color w:val="000000"/>
          <w:lang w:eastAsia="fr-FR"/>
        </w:rPr>
        <w:drawing>
          <wp:inline distT="0" distB="0" distL="0" distR="0" wp14:anchorId="480B51D0" wp14:editId="754E8162">
            <wp:extent cx="5589917" cy="4091170"/>
            <wp:effectExtent l="0" t="0" r="0" b="5080"/>
            <wp:docPr id="3155" name="Image 3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598624" cy="4097543"/>
                    </a:xfrm>
                    <a:prstGeom prst="rect">
                      <a:avLst/>
                    </a:prstGeom>
                    <a:noFill/>
                  </pic:spPr>
                </pic:pic>
              </a:graphicData>
            </a:graphic>
          </wp:inline>
        </w:drawing>
      </w:r>
    </w:p>
    <w:p w14:paraId="5B69E6B9" w14:textId="77777777" w:rsidR="0030131E" w:rsidRPr="00A9330B" w:rsidRDefault="0030131E" w:rsidP="0030131E">
      <w:pPr>
        <w:spacing w:line="240" w:lineRule="auto"/>
        <w:jc w:val="center"/>
        <w:rPr>
          <w:rFonts w:eastAsia="Calibri" w:cs="Arial"/>
          <w:b/>
          <w:i/>
          <w:iCs/>
          <w:color w:val="auto"/>
          <w:sz w:val="20"/>
          <w:szCs w:val="20"/>
        </w:rPr>
      </w:pPr>
      <w:r w:rsidRPr="00A9330B">
        <w:rPr>
          <w:rFonts w:eastAsia="Calibri" w:cs="Arial"/>
          <w:b/>
          <w:i/>
          <w:iCs/>
          <w:color w:val="auto"/>
          <w:sz w:val="20"/>
          <w:szCs w:val="20"/>
          <w:lang w:eastAsia="fr-FR"/>
        </w:rPr>
        <w:t>Photos terrain (Enquêteurs 2020)</w:t>
      </w:r>
    </w:p>
    <w:p w14:paraId="63A4ADAF" w14:textId="77777777" w:rsidR="00701C80" w:rsidRPr="00A9330B" w:rsidRDefault="00701C80" w:rsidP="00FB5FCD">
      <w:pPr>
        <w:jc w:val="both"/>
      </w:pPr>
      <w:r w:rsidRPr="00A9330B">
        <w:rPr>
          <w:rFonts w:eastAsia="Calibri" w:cs="Arial"/>
          <w:color w:val="auto"/>
        </w:rPr>
        <w:t xml:space="preserve">La majorité des emprises sont occupées par des galeries forestières et des habitations surtout </w:t>
      </w:r>
      <w:r w:rsidRPr="00A9330B">
        <w:t xml:space="preserve">dans l’emprise des collecteurs. Cependant, certaines emprises sont libérées et d’autres en attente d’être libérées et sont diversement occupées (maisons, maraichage, champs, boutiques, etc.). </w:t>
      </w:r>
    </w:p>
    <w:p w14:paraId="1DDD3EF8" w14:textId="0CA07EE9" w:rsidR="00540BA5" w:rsidRPr="00A9330B" w:rsidRDefault="00540BA5" w:rsidP="00C30CCB">
      <w:pPr>
        <w:spacing w:before="0" w:after="160" w:line="259" w:lineRule="auto"/>
        <w:rPr>
          <w:rFonts w:eastAsia="Calibri" w:cs="Arial"/>
          <w:b/>
          <w:color w:val="auto"/>
          <w:sz w:val="20"/>
          <w:szCs w:val="20"/>
        </w:rPr>
      </w:pPr>
      <w:bookmarkStart w:id="771" w:name="_Toc52870064"/>
      <w:r w:rsidRPr="00A9330B">
        <w:rPr>
          <w:b/>
          <w:sz w:val="20"/>
          <w:szCs w:val="20"/>
        </w:rPr>
        <w:t xml:space="preserve">Planche  </w:t>
      </w:r>
      <w:r w:rsidRPr="00A9330B">
        <w:rPr>
          <w:b/>
          <w:sz w:val="20"/>
          <w:szCs w:val="20"/>
        </w:rPr>
        <w:fldChar w:fldCharType="begin"/>
      </w:r>
      <w:r w:rsidRPr="00A9330B">
        <w:rPr>
          <w:b/>
          <w:sz w:val="20"/>
          <w:szCs w:val="20"/>
        </w:rPr>
        <w:instrText xml:space="preserve"> SEQ Planche_ \* ARABIC </w:instrText>
      </w:r>
      <w:r w:rsidRPr="00A9330B">
        <w:rPr>
          <w:b/>
          <w:sz w:val="20"/>
          <w:szCs w:val="20"/>
        </w:rPr>
        <w:fldChar w:fldCharType="separate"/>
      </w:r>
      <w:r w:rsidRPr="00A9330B">
        <w:rPr>
          <w:b/>
          <w:noProof/>
          <w:sz w:val="20"/>
          <w:szCs w:val="20"/>
        </w:rPr>
        <w:t>6</w:t>
      </w:r>
      <w:r w:rsidRPr="00A9330B">
        <w:rPr>
          <w:b/>
          <w:sz w:val="20"/>
          <w:szCs w:val="20"/>
        </w:rPr>
        <w:fldChar w:fldCharType="end"/>
      </w:r>
      <w:r w:rsidRPr="00A9330B">
        <w:rPr>
          <w:b/>
          <w:sz w:val="20"/>
          <w:szCs w:val="20"/>
        </w:rPr>
        <w:t xml:space="preserve"> : </w:t>
      </w:r>
      <w:r w:rsidRPr="00A9330B">
        <w:rPr>
          <w:rFonts w:eastAsia="Calibri" w:cs="Arial"/>
          <w:b/>
          <w:color w:val="auto"/>
          <w:sz w:val="20"/>
          <w:szCs w:val="20"/>
        </w:rPr>
        <w:t>Quelques biens présents dans certaines emprises dans la ville de Natitingou</w:t>
      </w:r>
      <w:bookmarkEnd w:id="771"/>
    </w:p>
    <w:p w14:paraId="3FA7ED76" w14:textId="26540BFC" w:rsidR="00701C80" w:rsidRPr="00A9330B" w:rsidRDefault="00701C80" w:rsidP="00701C80">
      <w:pPr>
        <w:spacing w:after="120" w:line="240" w:lineRule="auto"/>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r w:rsidRPr="00A9330B">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t xml:space="preserve"> </w:t>
      </w:r>
      <w:r w:rsidRPr="00A9330B">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eastAsia="fr-FR"/>
        </w:rPr>
        <w:drawing>
          <wp:inline distT="0" distB="0" distL="0" distR="0" wp14:anchorId="5FC69139" wp14:editId="746E39DA">
            <wp:extent cx="5871210" cy="2147776"/>
            <wp:effectExtent l="0" t="0" r="0" b="5080"/>
            <wp:docPr id="3156" name="Image 3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55">
                      <a:extLst>
                        <a:ext uri="{28A0092B-C50C-407E-A947-70E740481C1C}">
                          <a14:useLocalDpi xmlns:a14="http://schemas.microsoft.com/office/drawing/2010/main" val="0"/>
                        </a:ext>
                      </a:extLst>
                    </a:blip>
                    <a:srcRect b="51341"/>
                    <a:stretch/>
                  </pic:blipFill>
                  <pic:spPr bwMode="auto">
                    <a:xfrm>
                      <a:off x="0" y="0"/>
                      <a:ext cx="5871210" cy="2147776"/>
                    </a:xfrm>
                    <a:prstGeom prst="rect">
                      <a:avLst/>
                    </a:prstGeom>
                    <a:noFill/>
                    <a:ln>
                      <a:noFill/>
                    </a:ln>
                    <a:extLst>
                      <a:ext uri="{53640926-AAD7-44D8-BBD7-CCE9431645EC}">
                        <a14:shadowObscured xmlns:a14="http://schemas.microsoft.com/office/drawing/2010/main"/>
                      </a:ext>
                    </a:extLst>
                  </pic:spPr>
                </pic:pic>
              </a:graphicData>
            </a:graphic>
          </wp:inline>
        </w:drawing>
      </w:r>
      <w:r w:rsidRPr="00A9330B">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t xml:space="preserve"> </w:t>
      </w:r>
    </w:p>
    <w:p w14:paraId="015C8EE7" w14:textId="4E3AF544" w:rsidR="00C30CCB" w:rsidRPr="00A9330B" w:rsidRDefault="00C30CCB" w:rsidP="00701C80">
      <w:pPr>
        <w:spacing w:after="120" w:line="240" w:lineRule="auto"/>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14:paraId="46E01595" w14:textId="6BAA04BC" w:rsidR="00C30CCB" w:rsidRPr="00A9330B" w:rsidRDefault="00C30CCB" w:rsidP="00701C80">
      <w:pPr>
        <w:spacing w:after="120" w:line="240" w:lineRule="auto"/>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r w:rsidRPr="00A9330B">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eastAsia="fr-FR"/>
        </w:rPr>
        <w:lastRenderedPageBreak/>
        <w:t xml:space="preserve"> </w:t>
      </w:r>
      <w:r w:rsidRPr="00A9330B">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eastAsia="fr-FR"/>
        </w:rPr>
        <w:drawing>
          <wp:inline distT="0" distB="0" distL="0" distR="0" wp14:anchorId="24E334AC" wp14:editId="6D20480A">
            <wp:extent cx="5760560" cy="2161658"/>
            <wp:effectExtent l="0" t="0" r="0" b="0"/>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55">
                      <a:extLst>
                        <a:ext uri="{28A0092B-C50C-407E-A947-70E740481C1C}">
                          <a14:useLocalDpi xmlns:a14="http://schemas.microsoft.com/office/drawing/2010/main" val="0"/>
                        </a:ext>
                      </a:extLst>
                    </a:blip>
                    <a:srcRect t="50085"/>
                    <a:stretch/>
                  </pic:blipFill>
                  <pic:spPr bwMode="auto">
                    <a:xfrm>
                      <a:off x="0" y="0"/>
                      <a:ext cx="5760720" cy="2161718"/>
                    </a:xfrm>
                    <a:prstGeom prst="rect">
                      <a:avLst/>
                    </a:prstGeom>
                    <a:noFill/>
                    <a:ln>
                      <a:noFill/>
                    </a:ln>
                    <a:extLst>
                      <a:ext uri="{53640926-AAD7-44D8-BBD7-CCE9431645EC}">
                        <a14:shadowObscured xmlns:a14="http://schemas.microsoft.com/office/drawing/2010/main"/>
                      </a:ext>
                    </a:extLst>
                  </pic:spPr>
                </pic:pic>
              </a:graphicData>
            </a:graphic>
          </wp:inline>
        </w:drawing>
      </w:r>
    </w:p>
    <w:p w14:paraId="08C537C1" w14:textId="77777777" w:rsidR="0030131E" w:rsidRPr="00A9330B" w:rsidRDefault="0030131E" w:rsidP="0030131E">
      <w:pPr>
        <w:spacing w:line="240" w:lineRule="auto"/>
        <w:jc w:val="center"/>
        <w:rPr>
          <w:rFonts w:eastAsia="Calibri" w:cs="Arial"/>
          <w:b/>
          <w:iCs/>
          <w:color w:val="auto"/>
          <w:sz w:val="20"/>
          <w:szCs w:val="20"/>
        </w:rPr>
      </w:pPr>
      <w:r w:rsidRPr="00A9330B">
        <w:rPr>
          <w:rFonts w:eastAsia="Calibri" w:cs="Arial"/>
          <w:b/>
          <w:iCs/>
          <w:color w:val="auto"/>
          <w:sz w:val="20"/>
          <w:szCs w:val="20"/>
          <w:lang w:eastAsia="fr-FR"/>
        </w:rPr>
        <w:t>Photos terrain (Enquêteurs 2020)</w:t>
      </w:r>
    </w:p>
    <w:p w14:paraId="46B20C82" w14:textId="77777777" w:rsidR="00701C80" w:rsidRPr="00A9330B" w:rsidRDefault="00701C80" w:rsidP="00A05240">
      <w:pPr>
        <w:jc w:val="both"/>
      </w:pPr>
      <w:r w:rsidRPr="00A9330B">
        <w:t xml:space="preserve">Certains biens seront probablement touchés pendant la phase d’exécution des travaux. Il s’agit notamment des habitations, des hangars, rampes, escaliers, champs, jardins de cases, des bas-fonds, des galeries forestières, des pépinières, etc. </w:t>
      </w:r>
    </w:p>
    <w:p w14:paraId="3796BE67" w14:textId="77777777" w:rsidR="00701C80" w:rsidRPr="00A9330B" w:rsidRDefault="00701C80" w:rsidP="00A05240">
      <w:pPr>
        <w:jc w:val="both"/>
        <w:rPr>
          <w:i/>
        </w:rPr>
      </w:pPr>
      <w:r w:rsidRPr="00A9330B">
        <w:t xml:space="preserve">Beaucoup d’espèces végétales seront affectées par le projet. Il s’agit précisément de </w:t>
      </w:r>
      <w:r w:rsidRPr="00A9330B">
        <w:rPr>
          <w:i/>
        </w:rPr>
        <w:t>Azadirachta indica, Mangifera indica, Tectona grandis, Gmelina arborea, Terminalia mantaly, Terminalia catappa, Vitellaria paradoxa, Parkia biglobosa, Anacardium occidentale.</w:t>
      </w:r>
    </w:p>
    <w:p w14:paraId="2E86BD07" w14:textId="75EFC44C" w:rsidR="00701C80" w:rsidRPr="00A9330B" w:rsidRDefault="00701C80" w:rsidP="00701C80">
      <w:pPr>
        <w:spacing w:line="240" w:lineRule="auto"/>
        <w:jc w:val="both"/>
        <w:rPr>
          <w:rFonts w:eastAsia="Times New Roman" w:cs="Arial"/>
          <w:color w:val="auto"/>
          <w:szCs w:val="24"/>
          <w:lang w:eastAsia="fr-FR"/>
        </w:rPr>
      </w:pPr>
      <w:r w:rsidRPr="00A9330B">
        <w:rPr>
          <w:rFonts w:eastAsia="Calibri" w:cs="Arial"/>
          <w:color w:val="auto"/>
          <w:szCs w:val="24"/>
          <w:lang w:eastAsia="fr-FR"/>
        </w:rPr>
        <w:t>Située dans le district phytogéographique de la Chaine de l’Atacora la ville de Natitingou est comprise entre les latitudes 10°10’N et 10°20’N et entre les longitudes 1°20’ et 1°25’. La végétation de la ville est essentiellement composée des espèces exotiques plantées et de quelque</w:t>
      </w:r>
      <w:r w:rsidR="00142848" w:rsidRPr="00A9330B">
        <w:rPr>
          <w:rFonts w:eastAsia="Calibri" w:cs="Arial"/>
          <w:color w:val="auto"/>
          <w:szCs w:val="24"/>
          <w:lang w:eastAsia="fr-FR"/>
        </w:rPr>
        <w:t>s</w:t>
      </w:r>
      <w:r w:rsidRPr="00A9330B">
        <w:rPr>
          <w:rFonts w:eastAsia="Calibri" w:cs="Arial"/>
          <w:color w:val="auto"/>
          <w:szCs w:val="24"/>
          <w:lang w:eastAsia="fr-FR"/>
        </w:rPr>
        <w:t xml:space="preserve"> rares espèces autochtones protégées par endroit.</w:t>
      </w:r>
    </w:p>
    <w:p w14:paraId="020E7443" w14:textId="77777777" w:rsidR="00701C80" w:rsidRPr="00A9330B" w:rsidRDefault="00701C80" w:rsidP="00701C80">
      <w:pPr>
        <w:spacing w:line="240" w:lineRule="auto"/>
        <w:jc w:val="both"/>
        <w:rPr>
          <w:rFonts w:ascii="Times New Roman" w:eastAsia="Calibri" w:hAnsi="Times New Roman" w:cs="Times New Roman"/>
          <w:color w:val="auto"/>
          <w:sz w:val="24"/>
          <w:szCs w:val="24"/>
          <w:lang w:eastAsia="fr-FR"/>
        </w:rPr>
      </w:pPr>
      <w:r w:rsidRPr="00A9330B">
        <w:rPr>
          <w:rFonts w:eastAsia="Calibri" w:cs="Arial"/>
          <w:color w:val="auto"/>
          <w:szCs w:val="24"/>
          <w:lang w:eastAsia="fr-FR"/>
        </w:rPr>
        <w:t xml:space="preserve">La forte urbanisation constitue le facteur clé de la perte de la diversité floristique. La végétation spontanée ne se limite qu’à quelques espèces </w:t>
      </w:r>
    </w:p>
    <w:p w14:paraId="27AABE67" w14:textId="3AF3B922" w:rsidR="00701C80" w:rsidRPr="00A9330B" w:rsidRDefault="00825201" w:rsidP="0011523E">
      <w:pPr>
        <w:spacing w:line="360" w:lineRule="auto"/>
        <w:jc w:val="center"/>
        <w:rPr>
          <w:rFonts w:eastAsia="Calibri"/>
          <w:b/>
          <w:sz w:val="20"/>
          <w:szCs w:val="20"/>
        </w:rPr>
      </w:pPr>
      <w:bookmarkStart w:id="772" w:name="_Toc51844230"/>
      <w:r w:rsidRPr="00A9330B">
        <w:rPr>
          <w:b/>
          <w:sz w:val="20"/>
          <w:szCs w:val="20"/>
        </w:rPr>
        <w:t xml:space="preserve">Figure </w:t>
      </w:r>
      <w:r w:rsidR="00C24C74" w:rsidRPr="00A9330B">
        <w:rPr>
          <w:b/>
          <w:noProof/>
          <w:sz w:val="20"/>
          <w:szCs w:val="20"/>
        </w:rPr>
        <w:fldChar w:fldCharType="begin"/>
      </w:r>
      <w:r w:rsidR="00C24C74" w:rsidRPr="00A9330B">
        <w:rPr>
          <w:b/>
          <w:noProof/>
          <w:sz w:val="20"/>
          <w:szCs w:val="20"/>
        </w:rPr>
        <w:instrText xml:space="preserve"> SEQ Figure \* ARABIC </w:instrText>
      </w:r>
      <w:r w:rsidR="00C24C74" w:rsidRPr="00A9330B">
        <w:rPr>
          <w:b/>
          <w:noProof/>
          <w:sz w:val="20"/>
          <w:szCs w:val="20"/>
        </w:rPr>
        <w:fldChar w:fldCharType="separate"/>
      </w:r>
      <w:r w:rsidR="00FB5FCD" w:rsidRPr="00A9330B">
        <w:rPr>
          <w:b/>
          <w:noProof/>
          <w:sz w:val="20"/>
          <w:szCs w:val="20"/>
        </w:rPr>
        <w:t>17</w:t>
      </w:r>
      <w:r w:rsidR="00C24C74" w:rsidRPr="00A9330B">
        <w:rPr>
          <w:b/>
          <w:noProof/>
          <w:sz w:val="20"/>
          <w:szCs w:val="20"/>
        </w:rPr>
        <w:fldChar w:fldCharType="end"/>
      </w:r>
      <w:r w:rsidRPr="00A9330B">
        <w:rPr>
          <w:b/>
          <w:sz w:val="20"/>
          <w:szCs w:val="20"/>
        </w:rPr>
        <w:t xml:space="preserve"> : </w:t>
      </w:r>
      <w:r w:rsidR="00701C80" w:rsidRPr="00A9330B">
        <w:rPr>
          <w:rFonts w:eastAsia="Calibri"/>
          <w:b/>
          <w:sz w:val="20"/>
          <w:szCs w:val="20"/>
        </w:rPr>
        <w:t>Familles des espèces inventoriées sur les sites des ouvrages à Natitingou</w:t>
      </w:r>
      <w:bookmarkEnd w:id="772"/>
    </w:p>
    <w:p w14:paraId="6EFBD45F" w14:textId="4E0F27FD" w:rsidR="00540BA5" w:rsidRPr="00A9330B" w:rsidRDefault="00540BA5" w:rsidP="0011523E">
      <w:pPr>
        <w:spacing w:line="360" w:lineRule="auto"/>
        <w:jc w:val="center"/>
        <w:rPr>
          <w:rFonts w:eastAsia="Calibri"/>
        </w:rPr>
      </w:pPr>
      <w:r w:rsidRPr="00A9330B">
        <w:rPr>
          <w:rFonts w:ascii="Times New Roman" w:eastAsia="Calibri" w:hAnsi="Times New Roman" w:cs="Times New Roman"/>
          <w:noProof/>
          <w:color w:val="auto"/>
          <w:sz w:val="24"/>
          <w:szCs w:val="24"/>
          <w:lang w:eastAsia="fr-FR"/>
        </w:rPr>
        <w:drawing>
          <wp:inline distT="0" distB="0" distL="0" distR="0" wp14:anchorId="367DE8E8" wp14:editId="175CD783">
            <wp:extent cx="4382219" cy="2682815"/>
            <wp:effectExtent l="0" t="0" r="18415" b="3810"/>
            <wp:docPr id="3139" name="Graphique 3139"/>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14:paraId="5C57461D" w14:textId="77777777" w:rsidR="00701C80" w:rsidRPr="00A9330B" w:rsidRDefault="00701C80" w:rsidP="00701C80">
      <w:pPr>
        <w:spacing w:after="120" w:line="240" w:lineRule="auto"/>
        <w:jc w:val="center"/>
        <w:rPr>
          <w:rFonts w:eastAsia="Calibri" w:cs="Arial"/>
          <w:b/>
          <w:color w:val="auto"/>
          <w:sz w:val="20"/>
          <w:szCs w:val="20"/>
          <w:lang w:eastAsia="fr-FR"/>
        </w:rPr>
      </w:pPr>
      <w:r w:rsidRPr="00A9330B">
        <w:rPr>
          <w:rFonts w:eastAsia="Calibri" w:cs="Arial"/>
          <w:b/>
          <w:color w:val="auto"/>
          <w:sz w:val="20"/>
          <w:szCs w:val="20"/>
          <w:lang w:eastAsia="fr-FR"/>
        </w:rPr>
        <w:t>Source : Enquête de terrain, juin 2020</w:t>
      </w:r>
    </w:p>
    <w:p w14:paraId="1B29B86E" w14:textId="77777777" w:rsidR="00701C80" w:rsidRPr="00A9330B" w:rsidRDefault="00701C80" w:rsidP="00FB5FCD">
      <w:pPr>
        <w:jc w:val="both"/>
        <w:rPr>
          <w:lang w:eastAsia="fr-FR"/>
        </w:rPr>
      </w:pPr>
      <w:r w:rsidRPr="00A9330B">
        <w:rPr>
          <w:lang w:eastAsia="fr-FR"/>
        </w:rPr>
        <w:t xml:space="preserve">De l’analyse de la figure </w:t>
      </w:r>
      <w:r w:rsidR="00825201" w:rsidRPr="00A9330B">
        <w:rPr>
          <w:lang w:eastAsia="fr-FR"/>
        </w:rPr>
        <w:t xml:space="preserve">ci-dessus, </w:t>
      </w:r>
      <w:r w:rsidRPr="00A9330B">
        <w:rPr>
          <w:lang w:eastAsia="fr-FR"/>
        </w:rPr>
        <w:t xml:space="preserve">il ressort du point de vue floristique que les 21,31 % des espèces inventoriées appartiennent à la famille des Anacardiaceae, composée essentiellement des espèces comme </w:t>
      </w:r>
      <w:r w:rsidRPr="00A9330B">
        <w:rPr>
          <w:i/>
          <w:lang w:eastAsia="fr-FR"/>
        </w:rPr>
        <w:t>Mangifera indica, Anacardium occidentale</w:t>
      </w:r>
      <w:r w:rsidRPr="00A9330B">
        <w:rPr>
          <w:lang w:eastAsia="fr-FR"/>
        </w:rPr>
        <w:t xml:space="preserve">. Vient ensuite la famille des Leguminosae-Caesalpinioideae avec une proportion de 20,68 % composée de </w:t>
      </w:r>
      <w:r w:rsidRPr="00A9330B">
        <w:rPr>
          <w:i/>
          <w:lang w:eastAsia="fr-FR"/>
        </w:rPr>
        <w:t>Isoberlinia sp</w:t>
      </w:r>
      <w:r w:rsidRPr="00A9330B">
        <w:rPr>
          <w:lang w:eastAsia="fr-FR"/>
        </w:rPr>
        <w:t xml:space="preserve">, </w:t>
      </w:r>
      <w:r w:rsidRPr="00A9330B">
        <w:rPr>
          <w:i/>
          <w:lang w:eastAsia="fr-FR"/>
        </w:rPr>
        <w:t>Daniellia oliveri</w:t>
      </w:r>
      <w:r w:rsidRPr="00A9330B">
        <w:rPr>
          <w:lang w:eastAsia="fr-FR"/>
        </w:rPr>
        <w:t xml:space="preserve">. La famille des Leguminosae-Mimosoideae représente environ </w:t>
      </w:r>
      <w:r w:rsidRPr="00A9330B">
        <w:rPr>
          <w:lang w:eastAsia="fr-FR"/>
        </w:rPr>
        <w:lastRenderedPageBreak/>
        <w:t xml:space="preserve">16,92 % du cortège floristique. La famille des Meliaceae composée de </w:t>
      </w:r>
      <w:r w:rsidRPr="00A9330B">
        <w:rPr>
          <w:i/>
          <w:lang w:eastAsia="fr-FR"/>
        </w:rPr>
        <w:t>Azadirachta indica</w:t>
      </w:r>
      <w:r w:rsidRPr="00A9330B">
        <w:rPr>
          <w:lang w:eastAsia="fr-FR"/>
        </w:rPr>
        <w:t xml:space="preserve"> et </w:t>
      </w:r>
      <w:r w:rsidRPr="00A9330B">
        <w:rPr>
          <w:i/>
          <w:lang w:eastAsia="fr-FR"/>
        </w:rPr>
        <w:t>Khaya senegalensis</w:t>
      </w:r>
      <w:r w:rsidRPr="00A9330B">
        <w:rPr>
          <w:lang w:eastAsia="fr-FR"/>
        </w:rPr>
        <w:t xml:space="preserve"> représente 10,97 % du bilan floristique des emprises des travaux. Les autres familles sont faiblement représentées, mais non négligeable en termes de diversité.</w:t>
      </w:r>
    </w:p>
    <w:p w14:paraId="2A950B09" w14:textId="77777777" w:rsidR="00701C80" w:rsidRPr="00A9330B" w:rsidRDefault="00701C80" w:rsidP="00FB5FCD">
      <w:pPr>
        <w:jc w:val="both"/>
        <w:rPr>
          <w:lang w:eastAsia="fr-FR"/>
        </w:rPr>
      </w:pPr>
      <w:r w:rsidRPr="00A9330B">
        <w:rPr>
          <w:lang w:eastAsia="fr-FR"/>
        </w:rPr>
        <w:t>De manière spécifique, l’état actuel de la végétation au niveau des collecteurs et des rues est présenté dans les tableaux suivants.</w:t>
      </w:r>
    </w:p>
    <w:p w14:paraId="32D51F27" w14:textId="5751555D" w:rsidR="00701C80" w:rsidRPr="00A9330B" w:rsidRDefault="00825201" w:rsidP="0064324E">
      <w:pPr>
        <w:pStyle w:val="Titre40"/>
      </w:pPr>
      <w:bookmarkStart w:id="773" w:name="_Toc45520831"/>
      <w:bookmarkStart w:id="774" w:name="_Toc52869634"/>
      <w:r w:rsidRPr="00A9330B">
        <w:t>3.2.</w:t>
      </w:r>
      <w:r w:rsidR="00992C3B" w:rsidRPr="00A9330B">
        <w:t>2</w:t>
      </w:r>
      <w:r w:rsidRPr="00A9330B">
        <w:t xml:space="preserve">.1. </w:t>
      </w:r>
      <w:r w:rsidR="00701C80" w:rsidRPr="00A9330B">
        <w:t>CANAL A (rivière Fourigninkèrè)</w:t>
      </w:r>
      <w:bookmarkEnd w:id="773"/>
      <w:bookmarkEnd w:id="774"/>
    </w:p>
    <w:p w14:paraId="3518EE90" w14:textId="6470893D" w:rsidR="00701C80" w:rsidRPr="00A9330B" w:rsidRDefault="00701C80" w:rsidP="00701C80">
      <w:pPr>
        <w:spacing w:line="240" w:lineRule="auto"/>
        <w:jc w:val="both"/>
        <w:rPr>
          <w:rFonts w:eastAsia="Times New Roman" w:cs="Arial"/>
          <w:iCs/>
          <w:color w:val="auto"/>
          <w:szCs w:val="24"/>
        </w:rPr>
      </w:pPr>
      <w:r w:rsidRPr="00A9330B">
        <w:rPr>
          <w:rFonts w:eastAsia="Calibri" w:cs="Arial"/>
          <w:color w:val="auto"/>
          <w:lang w:eastAsia="fr-FR"/>
        </w:rPr>
        <w:t>L’emprise du collecteur ‘’</w:t>
      </w:r>
      <w:r w:rsidRPr="00A9330B">
        <w:rPr>
          <w:rFonts w:eastAsia="Times New Roman" w:cs="Arial"/>
          <w:i/>
          <w:iCs/>
          <w:color w:val="auto"/>
        </w:rPr>
        <w:t>CANAL A (rivière</w:t>
      </w:r>
      <w:r w:rsidRPr="00A9330B">
        <w:rPr>
          <w:rFonts w:eastAsia="Times New Roman" w:cs="Arial"/>
          <w:i/>
          <w:iCs/>
          <w:color w:val="auto"/>
          <w:szCs w:val="24"/>
        </w:rPr>
        <w:t xml:space="preserve"> Fourigninkèrè)’’, </w:t>
      </w:r>
      <w:r w:rsidR="00DC7BC1" w:rsidRPr="00A9330B">
        <w:rPr>
          <w:rFonts w:eastAsia="Times New Roman" w:cs="Arial"/>
          <w:iCs/>
          <w:color w:val="auto"/>
          <w:szCs w:val="24"/>
        </w:rPr>
        <w:t>ses affluents et environ sont</w:t>
      </w:r>
      <w:r w:rsidRPr="00A9330B">
        <w:rPr>
          <w:rFonts w:eastAsia="Times New Roman" w:cs="Arial"/>
          <w:iCs/>
          <w:color w:val="auto"/>
          <w:szCs w:val="24"/>
        </w:rPr>
        <w:t xml:space="preserve"> composé d’une diversité floristique. </w:t>
      </w:r>
    </w:p>
    <w:p w14:paraId="1884EA86" w14:textId="6B7F06D2" w:rsidR="00825201" w:rsidRPr="00A9330B" w:rsidRDefault="00825201" w:rsidP="00A9330B">
      <w:pPr>
        <w:pStyle w:val="Lgende"/>
        <w:rPr>
          <w:iCs/>
          <w:szCs w:val="24"/>
        </w:rPr>
      </w:pPr>
      <w:bookmarkStart w:id="775" w:name="_Toc52873748"/>
      <w:r w:rsidRPr="00A9330B">
        <w:t xml:space="preserve">Tableau </w:t>
      </w:r>
      <w:r w:rsidR="00C24C74" w:rsidRPr="00A9330B">
        <w:rPr>
          <w:noProof/>
        </w:rPr>
        <w:fldChar w:fldCharType="begin"/>
      </w:r>
      <w:r w:rsidR="00C24C74" w:rsidRPr="00A9330B">
        <w:rPr>
          <w:noProof/>
        </w:rPr>
        <w:instrText xml:space="preserve"> SEQ Tableau \* ARABIC </w:instrText>
      </w:r>
      <w:r w:rsidR="00C24C74" w:rsidRPr="00A9330B">
        <w:rPr>
          <w:noProof/>
        </w:rPr>
        <w:fldChar w:fldCharType="separate"/>
      </w:r>
      <w:r w:rsidR="00417D31" w:rsidRPr="00A9330B">
        <w:rPr>
          <w:noProof/>
        </w:rPr>
        <w:t>24</w:t>
      </w:r>
      <w:r w:rsidR="00C24C74" w:rsidRPr="00A9330B">
        <w:rPr>
          <w:noProof/>
        </w:rPr>
        <w:fldChar w:fldCharType="end"/>
      </w:r>
      <w:r w:rsidRPr="00A9330B">
        <w:t> : Espèces végétales au niveau du canal A</w:t>
      </w:r>
      <w:bookmarkEnd w:id="775"/>
    </w:p>
    <w:tbl>
      <w:tblPr>
        <w:tblStyle w:val="Grilledutableau20"/>
        <w:tblW w:w="0" w:type="auto"/>
        <w:tblLayout w:type="fixed"/>
        <w:tblLook w:val="04A0" w:firstRow="1" w:lastRow="0" w:firstColumn="1" w:lastColumn="0" w:noHBand="0" w:noVBand="1"/>
      </w:tblPr>
      <w:tblGrid>
        <w:gridCol w:w="2972"/>
        <w:gridCol w:w="2268"/>
        <w:gridCol w:w="2410"/>
        <w:gridCol w:w="1412"/>
      </w:tblGrid>
      <w:tr w:rsidR="00701C80" w:rsidRPr="00A9330B" w14:paraId="2B660829" w14:textId="77777777" w:rsidTr="00825201">
        <w:trPr>
          <w:trHeight w:val="300"/>
        </w:trPr>
        <w:tc>
          <w:tcPr>
            <w:tcW w:w="2972" w:type="dxa"/>
            <w:noWrap/>
            <w:hideMark/>
          </w:tcPr>
          <w:p w14:paraId="3E25D2D9" w14:textId="77777777" w:rsidR="00701C80" w:rsidRPr="00A9330B" w:rsidRDefault="00701C80" w:rsidP="00DB04E9">
            <w:pPr>
              <w:spacing w:before="0" w:line="240" w:lineRule="auto"/>
              <w:jc w:val="both"/>
              <w:rPr>
                <w:rFonts w:eastAsia="Times New Roman" w:cs="Arial"/>
                <w:b/>
                <w:color w:val="000000"/>
                <w:sz w:val="20"/>
                <w:szCs w:val="20"/>
                <w:lang w:eastAsia="fr-FR"/>
              </w:rPr>
            </w:pPr>
            <w:r w:rsidRPr="00A9330B">
              <w:rPr>
                <w:rFonts w:eastAsia="Times New Roman" w:cs="Arial"/>
                <w:b/>
                <w:color w:val="000000"/>
                <w:sz w:val="20"/>
                <w:szCs w:val="20"/>
                <w:lang w:eastAsia="fr-FR"/>
              </w:rPr>
              <w:t>Collecteurs / Rue</w:t>
            </w:r>
          </w:p>
        </w:tc>
        <w:tc>
          <w:tcPr>
            <w:tcW w:w="2268" w:type="dxa"/>
            <w:noWrap/>
            <w:hideMark/>
          </w:tcPr>
          <w:p w14:paraId="4C16A333" w14:textId="77777777" w:rsidR="00701C80" w:rsidRPr="00A9330B" w:rsidRDefault="00701C80" w:rsidP="00DB04E9">
            <w:pPr>
              <w:spacing w:before="0" w:line="240" w:lineRule="auto"/>
              <w:jc w:val="both"/>
              <w:rPr>
                <w:rFonts w:eastAsia="Times New Roman" w:cs="Arial"/>
                <w:b/>
                <w:color w:val="000000"/>
                <w:sz w:val="20"/>
                <w:szCs w:val="20"/>
                <w:lang w:eastAsia="fr-FR"/>
              </w:rPr>
            </w:pPr>
            <w:r w:rsidRPr="00A9330B">
              <w:rPr>
                <w:rFonts w:eastAsia="Times New Roman" w:cs="Arial"/>
                <w:b/>
                <w:color w:val="000000"/>
                <w:sz w:val="20"/>
                <w:szCs w:val="20"/>
                <w:lang w:eastAsia="fr-FR"/>
              </w:rPr>
              <w:t>Nom scientifique</w:t>
            </w:r>
          </w:p>
        </w:tc>
        <w:tc>
          <w:tcPr>
            <w:tcW w:w="2410" w:type="dxa"/>
            <w:noWrap/>
            <w:hideMark/>
          </w:tcPr>
          <w:p w14:paraId="1B7FC999" w14:textId="77777777" w:rsidR="00701C80" w:rsidRPr="00A9330B" w:rsidRDefault="00701C80" w:rsidP="00DB04E9">
            <w:pPr>
              <w:spacing w:before="0" w:line="240" w:lineRule="auto"/>
              <w:jc w:val="both"/>
              <w:rPr>
                <w:rFonts w:eastAsia="Times New Roman" w:cs="Arial"/>
                <w:b/>
                <w:color w:val="000000"/>
                <w:sz w:val="20"/>
                <w:szCs w:val="20"/>
                <w:lang w:eastAsia="fr-FR"/>
              </w:rPr>
            </w:pPr>
            <w:r w:rsidRPr="00A9330B">
              <w:rPr>
                <w:rFonts w:eastAsia="Times New Roman" w:cs="Arial"/>
                <w:b/>
                <w:color w:val="000000"/>
                <w:sz w:val="20"/>
                <w:szCs w:val="20"/>
                <w:lang w:eastAsia="fr-FR"/>
              </w:rPr>
              <w:t>Famille</w:t>
            </w:r>
          </w:p>
        </w:tc>
        <w:tc>
          <w:tcPr>
            <w:tcW w:w="1412" w:type="dxa"/>
            <w:noWrap/>
            <w:hideMark/>
          </w:tcPr>
          <w:p w14:paraId="1065C5E8" w14:textId="77777777" w:rsidR="00701C80" w:rsidRPr="00A9330B" w:rsidRDefault="00701C80" w:rsidP="00DB04E9">
            <w:pPr>
              <w:spacing w:before="0" w:line="240" w:lineRule="auto"/>
              <w:jc w:val="both"/>
              <w:rPr>
                <w:rFonts w:eastAsia="Times New Roman" w:cs="Arial"/>
                <w:b/>
                <w:color w:val="000000"/>
                <w:sz w:val="20"/>
                <w:szCs w:val="20"/>
                <w:lang w:eastAsia="fr-FR"/>
              </w:rPr>
            </w:pPr>
            <w:r w:rsidRPr="00A9330B">
              <w:rPr>
                <w:rFonts w:eastAsia="Times New Roman" w:cs="Arial"/>
                <w:b/>
                <w:color w:val="000000"/>
                <w:sz w:val="20"/>
                <w:szCs w:val="20"/>
                <w:lang w:eastAsia="fr-FR"/>
              </w:rPr>
              <w:t>Statuts</w:t>
            </w:r>
          </w:p>
        </w:tc>
      </w:tr>
      <w:tr w:rsidR="00701C80" w:rsidRPr="00A9330B" w14:paraId="6BEA715A" w14:textId="77777777" w:rsidTr="00825201">
        <w:trPr>
          <w:trHeight w:val="300"/>
        </w:trPr>
        <w:tc>
          <w:tcPr>
            <w:tcW w:w="2972" w:type="dxa"/>
            <w:vMerge w:val="restart"/>
            <w:noWrap/>
            <w:vAlign w:val="center"/>
            <w:hideMark/>
          </w:tcPr>
          <w:p w14:paraId="0453CD30" w14:textId="77777777" w:rsidR="00701C80" w:rsidRPr="00A9330B" w:rsidRDefault="00701C80" w:rsidP="00DB04E9">
            <w:pPr>
              <w:spacing w:before="0" w:line="240" w:lineRule="auto"/>
              <w:rPr>
                <w:rFonts w:eastAsia="Times New Roman" w:cs="Arial"/>
                <w:color w:val="000000"/>
                <w:sz w:val="20"/>
                <w:szCs w:val="20"/>
                <w:lang w:eastAsia="fr-FR"/>
              </w:rPr>
            </w:pPr>
            <w:r w:rsidRPr="00A9330B">
              <w:rPr>
                <w:rFonts w:eastAsia="Times New Roman" w:cs="Arial"/>
                <w:i/>
                <w:iCs/>
                <w:color w:val="auto"/>
                <w:sz w:val="20"/>
                <w:szCs w:val="20"/>
              </w:rPr>
              <w:t xml:space="preserve">CANAL A (rivière Fourigninkèrè) </w:t>
            </w:r>
            <w:r w:rsidRPr="00A9330B">
              <w:rPr>
                <w:rFonts w:eastAsia="Times New Roman" w:cs="Arial"/>
                <w:iCs/>
                <w:color w:val="auto"/>
                <w:sz w:val="20"/>
                <w:szCs w:val="20"/>
              </w:rPr>
              <w:t>et affluents</w:t>
            </w:r>
          </w:p>
        </w:tc>
        <w:tc>
          <w:tcPr>
            <w:tcW w:w="2268" w:type="dxa"/>
            <w:noWrap/>
            <w:hideMark/>
          </w:tcPr>
          <w:p w14:paraId="1DF35812" w14:textId="77777777" w:rsidR="00701C80" w:rsidRPr="00A9330B" w:rsidRDefault="00701C80" w:rsidP="00DB04E9">
            <w:pPr>
              <w:spacing w:before="0" w:line="240" w:lineRule="auto"/>
              <w:jc w:val="both"/>
              <w:rPr>
                <w:rFonts w:eastAsia="Times New Roman" w:cs="Arial"/>
                <w:i/>
                <w:color w:val="000000"/>
                <w:sz w:val="20"/>
                <w:szCs w:val="20"/>
                <w:lang w:eastAsia="fr-FR"/>
              </w:rPr>
            </w:pPr>
            <w:r w:rsidRPr="00A9330B">
              <w:rPr>
                <w:rFonts w:eastAsia="Times New Roman" w:cs="Arial"/>
                <w:i/>
                <w:color w:val="000000"/>
                <w:sz w:val="20"/>
                <w:szCs w:val="20"/>
                <w:lang w:eastAsia="fr-FR"/>
              </w:rPr>
              <w:t>Adansonia digitata</w:t>
            </w:r>
          </w:p>
        </w:tc>
        <w:tc>
          <w:tcPr>
            <w:tcW w:w="2410" w:type="dxa"/>
            <w:noWrap/>
            <w:hideMark/>
          </w:tcPr>
          <w:p w14:paraId="1B8675C5" w14:textId="77777777" w:rsidR="00701C80" w:rsidRPr="00A9330B" w:rsidRDefault="00701C80" w:rsidP="00DB04E9">
            <w:pPr>
              <w:spacing w:before="0" w:line="240" w:lineRule="auto"/>
              <w:jc w:val="both"/>
              <w:rPr>
                <w:rFonts w:eastAsia="Times New Roman" w:cs="Arial"/>
                <w:color w:val="000000"/>
                <w:sz w:val="20"/>
                <w:szCs w:val="20"/>
                <w:lang w:eastAsia="fr-FR"/>
              </w:rPr>
            </w:pPr>
            <w:r w:rsidRPr="00A9330B">
              <w:rPr>
                <w:rFonts w:eastAsia="Times New Roman" w:cs="Arial"/>
                <w:color w:val="000000"/>
                <w:sz w:val="20"/>
                <w:szCs w:val="20"/>
                <w:lang w:eastAsia="fr-FR"/>
              </w:rPr>
              <w:t>Bombacaceae</w:t>
            </w:r>
          </w:p>
        </w:tc>
        <w:tc>
          <w:tcPr>
            <w:tcW w:w="1412" w:type="dxa"/>
            <w:noWrap/>
            <w:hideMark/>
          </w:tcPr>
          <w:p w14:paraId="1060C822" w14:textId="77777777" w:rsidR="00701C80" w:rsidRPr="00A9330B" w:rsidRDefault="00701C80" w:rsidP="00DB04E9">
            <w:pPr>
              <w:spacing w:before="0" w:line="240" w:lineRule="auto"/>
              <w:jc w:val="both"/>
              <w:rPr>
                <w:rFonts w:eastAsia="Times New Roman" w:cs="Arial"/>
                <w:color w:val="000000"/>
                <w:sz w:val="20"/>
                <w:szCs w:val="20"/>
                <w:lang w:eastAsia="fr-FR"/>
              </w:rPr>
            </w:pPr>
          </w:p>
        </w:tc>
      </w:tr>
      <w:tr w:rsidR="00701C80" w:rsidRPr="00A9330B" w14:paraId="2EAE9C10" w14:textId="77777777" w:rsidTr="00825201">
        <w:trPr>
          <w:trHeight w:val="300"/>
        </w:trPr>
        <w:tc>
          <w:tcPr>
            <w:tcW w:w="2972" w:type="dxa"/>
            <w:vMerge/>
            <w:noWrap/>
            <w:hideMark/>
          </w:tcPr>
          <w:p w14:paraId="1C0B81F5" w14:textId="77777777" w:rsidR="00701C80" w:rsidRPr="00A9330B" w:rsidRDefault="00701C80" w:rsidP="00DB04E9">
            <w:pPr>
              <w:spacing w:before="0" w:line="240" w:lineRule="auto"/>
              <w:jc w:val="both"/>
              <w:rPr>
                <w:rFonts w:eastAsia="Times New Roman" w:cs="Arial"/>
                <w:color w:val="auto"/>
                <w:sz w:val="20"/>
                <w:szCs w:val="20"/>
                <w:lang w:eastAsia="fr-FR"/>
              </w:rPr>
            </w:pPr>
          </w:p>
        </w:tc>
        <w:tc>
          <w:tcPr>
            <w:tcW w:w="2268" w:type="dxa"/>
            <w:noWrap/>
            <w:hideMark/>
          </w:tcPr>
          <w:p w14:paraId="00855C04" w14:textId="77777777" w:rsidR="00701C80" w:rsidRPr="00A9330B" w:rsidRDefault="00701C80" w:rsidP="00DB04E9">
            <w:pPr>
              <w:spacing w:before="0" w:line="240" w:lineRule="auto"/>
              <w:jc w:val="both"/>
              <w:rPr>
                <w:rFonts w:eastAsia="Times New Roman" w:cs="Arial"/>
                <w:i/>
                <w:color w:val="000000"/>
                <w:sz w:val="20"/>
                <w:szCs w:val="20"/>
                <w:lang w:eastAsia="fr-FR"/>
              </w:rPr>
            </w:pPr>
            <w:r w:rsidRPr="00A9330B">
              <w:rPr>
                <w:rFonts w:eastAsia="Times New Roman" w:cs="Arial"/>
                <w:i/>
                <w:color w:val="000000"/>
                <w:sz w:val="20"/>
                <w:szCs w:val="20"/>
                <w:lang w:eastAsia="fr-FR"/>
              </w:rPr>
              <w:t>Albizia lebbeck</w:t>
            </w:r>
          </w:p>
        </w:tc>
        <w:tc>
          <w:tcPr>
            <w:tcW w:w="2410" w:type="dxa"/>
            <w:noWrap/>
            <w:hideMark/>
          </w:tcPr>
          <w:p w14:paraId="1727A7EC" w14:textId="77777777" w:rsidR="00701C80" w:rsidRPr="00A9330B" w:rsidRDefault="00701C80" w:rsidP="00DB04E9">
            <w:pPr>
              <w:spacing w:before="0" w:line="240" w:lineRule="auto"/>
              <w:jc w:val="both"/>
              <w:rPr>
                <w:rFonts w:eastAsia="Times New Roman" w:cs="Arial"/>
                <w:color w:val="000000"/>
                <w:sz w:val="20"/>
                <w:szCs w:val="20"/>
                <w:lang w:eastAsia="fr-FR"/>
              </w:rPr>
            </w:pPr>
            <w:r w:rsidRPr="00A9330B">
              <w:rPr>
                <w:rFonts w:eastAsia="Times New Roman" w:cs="Arial"/>
                <w:color w:val="000000"/>
                <w:sz w:val="20"/>
                <w:szCs w:val="20"/>
                <w:lang w:eastAsia="fr-FR"/>
              </w:rPr>
              <w:t>Leguminosae-Mimosoideae</w:t>
            </w:r>
          </w:p>
        </w:tc>
        <w:tc>
          <w:tcPr>
            <w:tcW w:w="1412" w:type="dxa"/>
            <w:noWrap/>
            <w:hideMark/>
          </w:tcPr>
          <w:p w14:paraId="6761D17D" w14:textId="437CEC18" w:rsidR="00701C80" w:rsidRPr="00A9330B" w:rsidRDefault="00701C80" w:rsidP="00DB04E9">
            <w:pPr>
              <w:spacing w:before="0" w:line="240" w:lineRule="auto"/>
              <w:jc w:val="both"/>
              <w:rPr>
                <w:rFonts w:eastAsia="Times New Roman" w:cs="Arial"/>
                <w:color w:val="000000"/>
                <w:sz w:val="20"/>
                <w:szCs w:val="20"/>
                <w:lang w:eastAsia="fr-FR"/>
              </w:rPr>
            </w:pPr>
            <w:r w:rsidRPr="00A9330B">
              <w:rPr>
                <w:rFonts w:eastAsia="Times New Roman" w:cs="Arial"/>
                <w:color w:val="000000"/>
                <w:sz w:val="20"/>
                <w:szCs w:val="20"/>
                <w:lang w:eastAsia="fr-FR"/>
              </w:rPr>
              <w:t>LC</w:t>
            </w:r>
            <w:r w:rsidR="00DC7BC1" w:rsidRPr="00A9330B">
              <w:rPr>
                <w:rFonts w:eastAsia="Times New Roman" w:cs="Arial"/>
                <w:color w:val="000000"/>
                <w:sz w:val="20"/>
                <w:szCs w:val="20"/>
                <w:lang w:eastAsia="fr-FR"/>
              </w:rPr>
              <w:t>(Least Conserne)</w:t>
            </w:r>
          </w:p>
        </w:tc>
      </w:tr>
      <w:tr w:rsidR="00701C80" w:rsidRPr="00A9330B" w14:paraId="5CA491BA" w14:textId="77777777" w:rsidTr="00825201">
        <w:trPr>
          <w:trHeight w:val="300"/>
        </w:trPr>
        <w:tc>
          <w:tcPr>
            <w:tcW w:w="2972" w:type="dxa"/>
            <w:vMerge/>
            <w:noWrap/>
            <w:hideMark/>
          </w:tcPr>
          <w:p w14:paraId="7BA5E654" w14:textId="77777777" w:rsidR="00701C80" w:rsidRPr="00A9330B" w:rsidRDefault="00701C80" w:rsidP="00DB04E9">
            <w:pPr>
              <w:spacing w:before="0" w:line="240" w:lineRule="auto"/>
              <w:jc w:val="both"/>
              <w:rPr>
                <w:rFonts w:eastAsia="Times New Roman" w:cs="Arial"/>
                <w:color w:val="000000"/>
                <w:sz w:val="20"/>
                <w:szCs w:val="20"/>
                <w:lang w:eastAsia="fr-FR"/>
              </w:rPr>
            </w:pPr>
          </w:p>
        </w:tc>
        <w:tc>
          <w:tcPr>
            <w:tcW w:w="2268" w:type="dxa"/>
            <w:noWrap/>
            <w:hideMark/>
          </w:tcPr>
          <w:p w14:paraId="26822086" w14:textId="77777777" w:rsidR="00701C80" w:rsidRPr="00A9330B" w:rsidRDefault="00701C80" w:rsidP="00DB04E9">
            <w:pPr>
              <w:spacing w:before="0" w:line="240" w:lineRule="auto"/>
              <w:jc w:val="both"/>
              <w:rPr>
                <w:rFonts w:eastAsia="Times New Roman" w:cs="Arial"/>
                <w:i/>
                <w:color w:val="000000"/>
                <w:sz w:val="20"/>
                <w:szCs w:val="20"/>
                <w:lang w:eastAsia="fr-FR"/>
              </w:rPr>
            </w:pPr>
            <w:r w:rsidRPr="00A9330B">
              <w:rPr>
                <w:rFonts w:eastAsia="Times New Roman" w:cs="Arial"/>
                <w:i/>
                <w:color w:val="000000"/>
                <w:sz w:val="20"/>
                <w:szCs w:val="20"/>
                <w:lang w:eastAsia="fr-FR"/>
              </w:rPr>
              <w:t xml:space="preserve">Anacardium occidentale </w:t>
            </w:r>
          </w:p>
        </w:tc>
        <w:tc>
          <w:tcPr>
            <w:tcW w:w="2410" w:type="dxa"/>
            <w:noWrap/>
            <w:hideMark/>
          </w:tcPr>
          <w:p w14:paraId="69267FD5" w14:textId="77777777" w:rsidR="00701C80" w:rsidRPr="00A9330B" w:rsidRDefault="00701C80" w:rsidP="00DB04E9">
            <w:pPr>
              <w:spacing w:before="0" w:line="240" w:lineRule="auto"/>
              <w:jc w:val="both"/>
              <w:rPr>
                <w:rFonts w:eastAsia="Times New Roman" w:cs="Arial"/>
                <w:color w:val="000000"/>
                <w:sz w:val="20"/>
                <w:szCs w:val="20"/>
                <w:lang w:eastAsia="fr-FR"/>
              </w:rPr>
            </w:pPr>
            <w:r w:rsidRPr="00A9330B">
              <w:rPr>
                <w:rFonts w:eastAsia="Times New Roman" w:cs="Arial"/>
                <w:color w:val="000000"/>
                <w:sz w:val="20"/>
                <w:szCs w:val="20"/>
                <w:lang w:eastAsia="fr-FR"/>
              </w:rPr>
              <w:t>Anacardiaceae</w:t>
            </w:r>
          </w:p>
        </w:tc>
        <w:tc>
          <w:tcPr>
            <w:tcW w:w="1412" w:type="dxa"/>
            <w:noWrap/>
            <w:hideMark/>
          </w:tcPr>
          <w:p w14:paraId="0502EF57" w14:textId="77777777" w:rsidR="00701C80" w:rsidRPr="00A9330B" w:rsidRDefault="00701C80" w:rsidP="00DB04E9">
            <w:pPr>
              <w:spacing w:before="0" w:line="240" w:lineRule="auto"/>
              <w:jc w:val="both"/>
              <w:rPr>
                <w:rFonts w:eastAsia="Times New Roman" w:cs="Arial"/>
                <w:color w:val="000000"/>
                <w:sz w:val="20"/>
                <w:szCs w:val="20"/>
                <w:lang w:eastAsia="fr-FR"/>
              </w:rPr>
            </w:pPr>
            <w:r w:rsidRPr="00A9330B">
              <w:rPr>
                <w:rFonts w:eastAsia="Times New Roman" w:cs="Arial"/>
                <w:color w:val="000000"/>
                <w:sz w:val="20"/>
                <w:szCs w:val="20"/>
                <w:lang w:eastAsia="fr-FR"/>
              </w:rPr>
              <w:t>LC</w:t>
            </w:r>
          </w:p>
        </w:tc>
      </w:tr>
      <w:tr w:rsidR="00701C80" w:rsidRPr="00A9330B" w14:paraId="779A4420" w14:textId="77777777" w:rsidTr="00825201">
        <w:trPr>
          <w:trHeight w:val="300"/>
        </w:trPr>
        <w:tc>
          <w:tcPr>
            <w:tcW w:w="2972" w:type="dxa"/>
            <w:vMerge/>
            <w:noWrap/>
            <w:hideMark/>
          </w:tcPr>
          <w:p w14:paraId="30778475" w14:textId="77777777" w:rsidR="00701C80" w:rsidRPr="00A9330B" w:rsidRDefault="00701C80" w:rsidP="00DB04E9">
            <w:pPr>
              <w:spacing w:before="0" w:line="240" w:lineRule="auto"/>
              <w:jc w:val="both"/>
              <w:rPr>
                <w:rFonts w:eastAsia="Times New Roman" w:cs="Arial"/>
                <w:color w:val="000000"/>
                <w:sz w:val="20"/>
                <w:szCs w:val="20"/>
                <w:lang w:eastAsia="fr-FR"/>
              </w:rPr>
            </w:pPr>
          </w:p>
        </w:tc>
        <w:tc>
          <w:tcPr>
            <w:tcW w:w="2268" w:type="dxa"/>
            <w:noWrap/>
            <w:hideMark/>
          </w:tcPr>
          <w:p w14:paraId="742147F4" w14:textId="77777777" w:rsidR="00701C80" w:rsidRPr="00A9330B" w:rsidRDefault="00701C80" w:rsidP="00DB04E9">
            <w:pPr>
              <w:spacing w:before="0" w:line="240" w:lineRule="auto"/>
              <w:jc w:val="both"/>
              <w:rPr>
                <w:rFonts w:eastAsia="Times New Roman" w:cs="Arial"/>
                <w:i/>
                <w:iCs/>
                <w:color w:val="000000"/>
                <w:sz w:val="20"/>
                <w:szCs w:val="20"/>
                <w:lang w:eastAsia="fr-FR"/>
              </w:rPr>
            </w:pPr>
            <w:r w:rsidRPr="00A9330B">
              <w:rPr>
                <w:rFonts w:eastAsia="Times New Roman" w:cs="Arial"/>
                <w:i/>
                <w:iCs/>
                <w:color w:val="000000"/>
                <w:sz w:val="20"/>
                <w:szCs w:val="20"/>
                <w:lang w:eastAsia="fr-FR"/>
              </w:rPr>
              <w:t xml:space="preserve">Azadirachta indica </w:t>
            </w:r>
          </w:p>
        </w:tc>
        <w:tc>
          <w:tcPr>
            <w:tcW w:w="2410" w:type="dxa"/>
            <w:noWrap/>
            <w:hideMark/>
          </w:tcPr>
          <w:p w14:paraId="3BD25879" w14:textId="77777777" w:rsidR="00701C80" w:rsidRPr="00A9330B" w:rsidRDefault="00701C80" w:rsidP="00DB04E9">
            <w:pPr>
              <w:spacing w:before="0" w:line="240" w:lineRule="auto"/>
              <w:jc w:val="both"/>
              <w:rPr>
                <w:rFonts w:eastAsia="Times New Roman" w:cs="Arial"/>
                <w:color w:val="000000"/>
                <w:sz w:val="20"/>
                <w:szCs w:val="20"/>
                <w:lang w:eastAsia="fr-FR"/>
              </w:rPr>
            </w:pPr>
            <w:r w:rsidRPr="00A9330B">
              <w:rPr>
                <w:rFonts w:eastAsia="Times New Roman" w:cs="Arial"/>
                <w:color w:val="000000"/>
                <w:sz w:val="20"/>
                <w:szCs w:val="20"/>
                <w:lang w:eastAsia="fr-FR"/>
              </w:rPr>
              <w:t>Meliaceae</w:t>
            </w:r>
          </w:p>
        </w:tc>
        <w:tc>
          <w:tcPr>
            <w:tcW w:w="1412" w:type="dxa"/>
            <w:noWrap/>
            <w:hideMark/>
          </w:tcPr>
          <w:p w14:paraId="0F98E51D" w14:textId="77777777" w:rsidR="00701C80" w:rsidRPr="00A9330B" w:rsidRDefault="00701C80" w:rsidP="00DB04E9">
            <w:pPr>
              <w:spacing w:before="0" w:line="240" w:lineRule="auto"/>
              <w:jc w:val="both"/>
              <w:rPr>
                <w:rFonts w:eastAsia="Times New Roman" w:cs="Arial"/>
                <w:color w:val="000000"/>
                <w:sz w:val="20"/>
                <w:szCs w:val="20"/>
                <w:lang w:eastAsia="fr-FR"/>
              </w:rPr>
            </w:pPr>
            <w:r w:rsidRPr="00A9330B">
              <w:rPr>
                <w:rFonts w:eastAsia="Times New Roman" w:cs="Arial"/>
                <w:color w:val="000000"/>
                <w:sz w:val="20"/>
                <w:szCs w:val="20"/>
                <w:lang w:eastAsia="fr-FR"/>
              </w:rPr>
              <w:t>LC</w:t>
            </w:r>
          </w:p>
        </w:tc>
      </w:tr>
      <w:tr w:rsidR="00701C80" w:rsidRPr="00A9330B" w14:paraId="668432FC" w14:textId="77777777" w:rsidTr="00825201">
        <w:trPr>
          <w:trHeight w:val="300"/>
        </w:trPr>
        <w:tc>
          <w:tcPr>
            <w:tcW w:w="2972" w:type="dxa"/>
            <w:vMerge/>
            <w:noWrap/>
            <w:hideMark/>
          </w:tcPr>
          <w:p w14:paraId="74348179" w14:textId="77777777" w:rsidR="00701C80" w:rsidRPr="00A9330B" w:rsidRDefault="00701C80" w:rsidP="00DB04E9">
            <w:pPr>
              <w:spacing w:before="0" w:line="240" w:lineRule="auto"/>
              <w:jc w:val="both"/>
              <w:rPr>
                <w:rFonts w:eastAsia="Times New Roman" w:cs="Arial"/>
                <w:color w:val="000000"/>
                <w:sz w:val="20"/>
                <w:szCs w:val="20"/>
                <w:lang w:eastAsia="fr-FR"/>
              </w:rPr>
            </w:pPr>
          </w:p>
        </w:tc>
        <w:tc>
          <w:tcPr>
            <w:tcW w:w="2268" w:type="dxa"/>
            <w:noWrap/>
            <w:hideMark/>
          </w:tcPr>
          <w:p w14:paraId="1D57F6EB" w14:textId="77777777" w:rsidR="00701C80" w:rsidRPr="00A9330B" w:rsidRDefault="00701C80" w:rsidP="00DB04E9">
            <w:pPr>
              <w:spacing w:before="0" w:line="240" w:lineRule="auto"/>
              <w:jc w:val="both"/>
              <w:rPr>
                <w:rFonts w:eastAsia="Times New Roman" w:cs="Arial"/>
                <w:i/>
                <w:color w:val="000000"/>
                <w:sz w:val="20"/>
                <w:szCs w:val="20"/>
                <w:lang w:eastAsia="fr-FR"/>
              </w:rPr>
            </w:pPr>
            <w:r w:rsidRPr="00A9330B">
              <w:rPr>
                <w:rFonts w:eastAsia="Times New Roman" w:cs="Arial"/>
                <w:i/>
                <w:color w:val="000000"/>
                <w:sz w:val="20"/>
                <w:szCs w:val="20"/>
                <w:lang w:eastAsia="fr-FR"/>
              </w:rPr>
              <w:t xml:space="preserve">Azadirachta indica </w:t>
            </w:r>
          </w:p>
        </w:tc>
        <w:tc>
          <w:tcPr>
            <w:tcW w:w="2410" w:type="dxa"/>
            <w:noWrap/>
            <w:hideMark/>
          </w:tcPr>
          <w:p w14:paraId="52A867DE" w14:textId="77777777" w:rsidR="00701C80" w:rsidRPr="00A9330B" w:rsidRDefault="00701C80" w:rsidP="00DB04E9">
            <w:pPr>
              <w:spacing w:before="0" w:line="240" w:lineRule="auto"/>
              <w:jc w:val="both"/>
              <w:rPr>
                <w:rFonts w:eastAsia="Times New Roman" w:cs="Arial"/>
                <w:color w:val="000000"/>
                <w:sz w:val="20"/>
                <w:szCs w:val="20"/>
                <w:lang w:eastAsia="fr-FR"/>
              </w:rPr>
            </w:pPr>
            <w:r w:rsidRPr="00A9330B">
              <w:rPr>
                <w:rFonts w:eastAsia="Times New Roman" w:cs="Arial"/>
                <w:color w:val="000000"/>
                <w:sz w:val="20"/>
                <w:szCs w:val="20"/>
                <w:lang w:eastAsia="fr-FR"/>
              </w:rPr>
              <w:t>Meliaceae</w:t>
            </w:r>
          </w:p>
        </w:tc>
        <w:tc>
          <w:tcPr>
            <w:tcW w:w="1412" w:type="dxa"/>
            <w:noWrap/>
            <w:hideMark/>
          </w:tcPr>
          <w:p w14:paraId="21A588F7" w14:textId="77777777" w:rsidR="00701C80" w:rsidRPr="00A9330B" w:rsidRDefault="00701C80" w:rsidP="00DB04E9">
            <w:pPr>
              <w:spacing w:before="0" w:line="240" w:lineRule="auto"/>
              <w:jc w:val="both"/>
              <w:rPr>
                <w:rFonts w:eastAsia="Times New Roman" w:cs="Arial"/>
                <w:color w:val="000000"/>
                <w:sz w:val="20"/>
                <w:szCs w:val="20"/>
                <w:lang w:eastAsia="fr-FR"/>
              </w:rPr>
            </w:pPr>
          </w:p>
        </w:tc>
      </w:tr>
      <w:tr w:rsidR="00701C80" w:rsidRPr="00A9330B" w14:paraId="0F592E44" w14:textId="77777777" w:rsidTr="00825201">
        <w:trPr>
          <w:trHeight w:val="300"/>
        </w:trPr>
        <w:tc>
          <w:tcPr>
            <w:tcW w:w="2972" w:type="dxa"/>
            <w:vMerge/>
            <w:noWrap/>
            <w:hideMark/>
          </w:tcPr>
          <w:p w14:paraId="78A4E3C8" w14:textId="77777777" w:rsidR="00701C80" w:rsidRPr="00A9330B" w:rsidRDefault="00701C80" w:rsidP="00DB04E9">
            <w:pPr>
              <w:spacing w:before="0" w:line="240" w:lineRule="auto"/>
              <w:jc w:val="both"/>
              <w:rPr>
                <w:rFonts w:eastAsia="Times New Roman" w:cs="Arial"/>
                <w:color w:val="auto"/>
                <w:sz w:val="20"/>
                <w:szCs w:val="20"/>
                <w:lang w:eastAsia="fr-FR"/>
              </w:rPr>
            </w:pPr>
          </w:p>
        </w:tc>
        <w:tc>
          <w:tcPr>
            <w:tcW w:w="2268" w:type="dxa"/>
            <w:noWrap/>
            <w:hideMark/>
          </w:tcPr>
          <w:p w14:paraId="68C3619F" w14:textId="77777777" w:rsidR="00701C80" w:rsidRPr="00A9330B" w:rsidRDefault="00701C80" w:rsidP="00DB04E9">
            <w:pPr>
              <w:spacing w:before="0" w:line="240" w:lineRule="auto"/>
              <w:jc w:val="both"/>
              <w:rPr>
                <w:rFonts w:eastAsia="Times New Roman" w:cs="Arial"/>
                <w:i/>
                <w:color w:val="000000"/>
                <w:sz w:val="20"/>
                <w:szCs w:val="20"/>
                <w:lang w:eastAsia="fr-FR"/>
              </w:rPr>
            </w:pPr>
            <w:r w:rsidRPr="00A9330B">
              <w:rPr>
                <w:rFonts w:eastAsia="Times New Roman" w:cs="Arial"/>
                <w:i/>
                <w:color w:val="000000"/>
                <w:sz w:val="20"/>
                <w:szCs w:val="20"/>
                <w:lang w:eastAsia="fr-FR"/>
              </w:rPr>
              <w:t xml:space="preserve">Carica papaya </w:t>
            </w:r>
          </w:p>
        </w:tc>
        <w:tc>
          <w:tcPr>
            <w:tcW w:w="2410" w:type="dxa"/>
            <w:noWrap/>
            <w:hideMark/>
          </w:tcPr>
          <w:p w14:paraId="2A84F53E" w14:textId="77777777" w:rsidR="00701C80" w:rsidRPr="00A9330B" w:rsidRDefault="00701C80" w:rsidP="00DB04E9">
            <w:pPr>
              <w:spacing w:before="0" w:line="240" w:lineRule="auto"/>
              <w:jc w:val="both"/>
              <w:rPr>
                <w:rFonts w:eastAsia="Times New Roman" w:cs="Arial"/>
                <w:color w:val="000000"/>
                <w:sz w:val="20"/>
                <w:szCs w:val="20"/>
                <w:lang w:eastAsia="fr-FR"/>
              </w:rPr>
            </w:pPr>
            <w:r w:rsidRPr="00A9330B">
              <w:rPr>
                <w:rFonts w:eastAsia="Times New Roman" w:cs="Arial"/>
                <w:color w:val="000000"/>
                <w:sz w:val="20"/>
                <w:szCs w:val="20"/>
                <w:lang w:eastAsia="fr-FR"/>
              </w:rPr>
              <w:t>Caricaceae</w:t>
            </w:r>
          </w:p>
        </w:tc>
        <w:tc>
          <w:tcPr>
            <w:tcW w:w="1412" w:type="dxa"/>
            <w:noWrap/>
            <w:hideMark/>
          </w:tcPr>
          <w:p w14:paraId="49C11541" w14:textId="77777777" w:rsidR="00701C80" w:rsidRPr="00A9330B" w:rsidRDefault="00701C80" w:rsidP="00DB04E9">
            <w:pPr>
              <w:spacing w:before="0" w:line="240" w:lineRule="auto"/>
              <w:jc w:val="both"/>
              <w:rPr>
                <w:rFonts w:eastAsia="Times New Roman" w:cs="Arial"/>
                <w:color w:val="000000"/>
                <w:sz w:val="20"/>
                <w:szCs w:val="20"/>
                <w:lang w:eastAsia="fr-FR"/>
              </w:rPr>
            </w:pPr>
            <w:r w:rsidRPr="00A9330B">
              <w:rPr>
                <w:rFonts w:eastAsia="Times New Roman" w:cs="Arial"/>
                <w:color w:val="000000"/>
                <w:sz w:val="20"/>
                <w:szCs w:val="20"/>
                <w:lang w:eastAsia="fr-FR"/>
              </w:rPr>
              <w:t>DD</w:t>
            </w:r>
          </w:p>
        </w:tc>
      </w:tr>
      <w:tr w:rsidR="00701C80" w:rsidRPr="00A9330B" w14:paraId="63354702" w14:textId="77777777" w:rsidTr="00825201">
        <w:trPr>
          <w:trHeight w:val="300"/>
        </w:trPr>
        <w:tc>
          <w:tcPr>
            <w:tcW w:w="2972" w:type="dxa"/>
            <w:vMerge/>
            <w:noWrap/>
            <w:hideMark/>
          </w:tcPr>
          <w:p w14:paraId="6B509D66" w14:textId="77777777" w:rsidR="00701C80" w:rsidRPr="00A9330B" w:rsidRDefault="00701C80" w:rsidP="00DB04E9">
            <w:pPr>
              <w:spacing w:before="0" w:line="240" w:lineRule="auto"/>
              <w:jc w:val="both"/>
              <w:rPr>
                <w:rFonts w:eastAsia="Times New Roman" w:cs="Arial"/>
                <w:color w:val="000000"/>
                <w:sz w:val="20"/>
                <w:szCs w:val="20"/>
                <w:lang w:eastAsia="fr-FR"/>
              </w:rPr>
            </w:pPr>
          </w:p>
        </w:tc>
        <w:tc>
          <w:tcPr>
            <w:tcW w:w="2268" w:type="dxa"/>
            <w:noWrap/>
            <w:hideMark/>
          </w:tcPr>
          <w:p w14:paraId="0EB342D3" w14:textId="77777777" w:rsidR="00701C80" w:rsidRPr="00A9330B" w:rsidRDefault="00701C80" w:rsidP="00DB04E9">
            <w:pPr>
              <w:spacing w:before="0" w:line="240" w:lineRule="auto"/>
              <w:jc w:val="both"/>
              <w:rPr>
                <w:rFonts w:eastAsia="Times New Roman" w:cs="Arial"/>
                <w:i/>
                <w:color w:val="000000"/>
                <w:sz w:val="20"/>
                <w:szCs w:val="20"/>
                <w:lang w:eastAsia="fr-FR"/>
              </w:rPr>
            </w:pPr>
            <w:r w:rsidRPr="00A9330B">
              <w:rPr>
                <w:rFonts w:eastAsia="Times New Roman" w:cs="Arial"/>
                <w:i/>
                <w:color w:val="000000"/>
                <w:sz w:val="20"/>
                <w:szCs w:val="20"/>
                <w:lang w:eastAsia="fr-FR"/>
              </w:rPr>
              <w:t>Ceiba pentandra</w:t>
            </w:r>
          </w:p>
        </w:tc>
        <w:tc>
          <w:tcPr>
            <w:tcW w:w="2410" w:type="dxa"/>
            <w:noWrap/>
            <w:hideMark/>
          </w:tcPr>
          <w:p w14:paraId="0E175A5E" w14:textId="77777777" w:rsidR="00701C80" w:rsidRPr="00A9330B" w:rsidRDefault="00701C80" w:rsidP="00DB04E9">
            <w:pPr>
              <w:spacing w:before="0" w:line="240" w:lineRule="auto"/>
              <w:jc w:val="both"/>
              <w:rPr>
                <w:rFonts w:eastAsia="Times New Roman" w:cs="Arial"/>
                <w:color w:val="000000"/>
                <w:sz w:val="20"/>
                <w:szCs w:val="20"/>
                <w:lang w:eastAsia="fr-FR"/>
              </w:rPr>
            </w:pPr>
            <w:r w:rsidRPr="00A9330B">
              <w:rPr>
                <w:rFonts w:eastAsia="Times New Roman" w:cs="Arial"/>
                <w:color w:val="000000"/>
                <w:sz w:val="20"/>
                <w:szCs w:val="20"/>
                <w:lang w:eastAsia="fr-FR"/>
              </w:rPr>
              <w:t>Bombacaceae</w:t>
            </w:r>
          </w:p>
        </w:tc>
        <w:tc>
          <w:tcPr>
            <w:tcW w:w="1412" w:type="dxa"/>
            <w:noWrap/>
            <w:hideMark/>
          </w:tcPr>
          <w:p w14:paraId="30F28717" w14:textId="77777777" w:rsidR="00701C80" w:rsidRPr="00A9330B" w:rsidRDefault="00701C80" w:rsidP="00DB04E9">
            <w:pPr>
              <w:spacing w:before="0" w:line="240" w:lineRule="auto"/>
              <w:jc w:val="both"/>
              <w:rPr>
                <w:rFonts w:eastAsia="Times New Roman" w:cs="Arial"/>
                <w:color w:val="000000"/>
                <w:sz w:val="20"/>
                <w:szCs w:val="20"/>
                <w:lang w:eastAsia="fr-FR"/>
              </w:rPr>
            </w:pPr>
            <w:r w:rsidRPr="00A9330B">
              <w:rPr>
                <w:rFonts w:eastAsia="Times New Roman" w:cs="Arial"/>
                <w:color w:val="000000"/>
                <w:sz w:val="20"/>
                <w:szCs w:val="20"/>
                <w:lang w:eastAsia="fr-FR"/>
              </w:rPr>
              <w:t>LC</w:t>
            </w:r>
          </w:p>
        </w:tc>
      </w:tr>
      <w:tr w:rsidR="00701C80" w:rsidRPr="00A9330B" w14:paraId="4179F281" w14:textId="77777777" w:rsidTr="00825201">
        <w:trPr>
          <w:trHeight w:val="300"/>
        </w:trPr>
        <w:tc>
          <w:tcPr>
            <w:tcW w:w="2972" w:type="dxa"/>
            <w:vMerge/>
            <w:noWrap/>
            <w:hideMark/>
          </w:tcPr>
          <w:p w14:paraId="0DF206C6" w14:textId="77777777" w:rsidR="00701C80" w:rsidRPr="00A9330B" w:rsidRDefault="00701C80" w:rsidP="00DB04E9">
            <w:pPr>
              <w:spacing w:before="0" w:line="240" w:lineRule="auto"/>
              <w:jc w:val="both"/>
              <w:rPr>
                <w:rFonts w:eastAsia="Times New Roman" w:cs="Arial"/>
                <w:color w:val="000000"/>
                <w:sz w:val="20"/>
                <w:szCs w:val="20"/>
                <w:lang w:eastAsia="fr-FR"/>
              </w:rPr>
            </w:pPr>
          </w:p>
        </w:tc>
        <w:tc>
          <w:tcPr>
            <w:tcW w:w="2268" w:type="dxa"/>
            <w:noWrap/>
            <w:hideMark/>
          </w:tcPr>
          <w:p w14:paraId="18FA94C0" w14:textId="77777777" w:rsidR="00701C80" w:rsidRPr="00A9330B" w:rsidRDefault="00701C80" w:rsidP="00DB04E9">
            <w:pPr>
              <w:spacing w:before="0" w:line="240" w:lineRule="auto"/>
              <w:jc w:val="both"/>
              <w:rPr>
                <w:rFonts w:eastAsia="Times New Roman" w:cs="Arial"/>
                <w:i/>
                <w:color w:val="000000"/>
                <w:sz w:val="20"/>
                <w:szCs w:val="20"/>
                <w:lang w:eastAsia="fr-FR"/>
              </w:rPr>
            </w:pPr>
            <w:r w:rsidRPr="00A9330B">
              <w:rPr>
                <w:rFonts w:eastAsia="Times New Roman" w:cs="Arial"/>
                <w:i/>
                <w:color w:val="000000"/>
                <w:sz w:val="20"/>
                <w:szCs w:val="20"/>
                <w:lang w:eastAsia="fr-FR"/>
              </w:rPr>
              <w:t>Citrus limon</w:t>
            </w:r>
          </w:p>
        </w:tc>
        <w:tc>
          <w:tcPr>
            <w:tcW w:w="2410" w:type="dxa"/>
            <w:noWrap/>
            <w:hideMark/>
          </w:tcPr>
          <w:p w14:paraId="602953C7" w14:textId="77777777" w:rsidR="00701C80" w:rsidRPr="00A9330B" w:rsidRDefault="00701C80" w:rsidP="00DB04E9">
            <w:pPr>
              <w:spacing w:before="0" w:line="240" w:lineRule="auto"/>
              <w:jc w:val="both"/>
              <w:rPr>
                <w:rFonts w:eastAsia="Times New Roman" w:cs="Arial"/>
                <w:color w:val="000000"/>
                <w:sz w:val="20"/>
                <w:szCs w:val="20"/>
                <w:lang w:eastAsia="fr-FR"/>
              </w:rPr>
            </w:pPr>
            <w:r w:rsidRPr="00A9330B">
              <w:rPr>
                <w:rFonts w:eastAsia="Times New Roman" w:cs="Arial"/>
                <w:color w:val="000000"/>
                <w:sz w:val="20"/>
                <w:szCs w:val="20"/>
                <w:lang w:eastAsia="fr-FR"/>
              </w:rPr>
              <w:t>Rutaceae</w:t>
            </w:r>
          </w:p>
        </w:tc>
        <w:tc>
          <w:tcPr>
            <w:tcW w:w="1412" w:type="dxa"/>
            <w:noWrap/>
            <w:hideMark/>
          </w:tcPr>
          <w:p w14:paraId="2C7FE4D1" w14:textId="77777777" w:rsidR="00701C80" w:rsidRPr="00A9330B" w:rsidRDefault="00701C80" w:rsidP="00DB04E9">
            <w:pPr>
              <w:spacing w:before="0" w:line="240" w:lineRule="auto"/>
              <w:jc w:val="both"/>
              <w:rPr>
                <w:rFonts w:eastAsia="Times New Roman" w:cs="Arial"/>
                <w:color w:val="000000"/>
                <w:sz w:val="20"/>
                <w:szCs w:val="20"/>
                <w:lang w:eastAsia="fr-FR"/>
              </w:rPr>
            </w:pPr>
          </w:p>
        </w:tc>
      </w:tr>
      <w:tr w:rsidR="00701C80" w:rsidRPr="00A9330B" w14:paraId="1FA56B05" w14:textId="77777777" w:rsidTr="00825201">
        <w:trPr>
          <w:trHeight w:val="300"/>
        </w:trPr>
        <w:tc>
          <w:tcPr>
            <w:tcW w:w="2972" w:type="dxa"/>
            <w:vMerge/>
            <w:noWrap/>
            <w:hideMark/>
          </w:tcPr>
          <w:p w14:paraId="7E590AC3" w14:textId="77777777" w:rsidR="00701C80" w:rsidRPr="00A9330B" w:rsidRDefault="00701C80" w:rsidP="00DB04E9">
            <w:pPr>
              <w:spacing w:before="0" w:line="240" w:lineRule="auto"/>
              <w:jc w:val="both"/>
              <w:rPr>
                <w:rFonts w:eastAsia="Times New Roman" w:cs="Arial"/>
                <w:color w:val="auto"/>
                <w:sz w:val="20"/>
                <w:szCs w:val="20"/>
                <w:lang w:eastAsia="fr-FR"/>
              </w:rPr>
            </w:pPr>
          </w:p>
        </w:tc>
        <w:tc>
          <w:tcPr>
            <w:tcW w:w="2268" w:type="dxa"/>
            <w:noWrap/>
            <w:hideMark/>
          </w:tcPr>
          <w:p w14:paraId="38FEDB1E" w14:textId="77777777" w:rsidR="00701C80" w:rsidRPr="00A9330B" w:rsidRDefault="00701C80" w:rsidP="00DB04E9">
            <w:pPr>
              <w:spacing w:before="0" w:line="240" w:lineRule="auto"/>
              <w:jc w:val="both"/>
              <w:rPr>
                <w:rFonts w:eastAsia="Times New Roman" w:cs="Arial"/>
                <w:i/>
                <w:color w:val="000000"/>
                <w:sz w:val="20"/>
                <w:szCs w:val="20"/>
                <w:lang w:eastAsia="fr-FR"/>
              </w:rPr>
            </w:pPr>
            <w:r w:rsidRPr="00A9330B">
              <w:rPr>
                <w:rFonts w:eastAsia="Times New Roman" w:cs="Arial"/>
                <w:i/>
                <w:color w:val="000000"/>
                <w:sz w:val="20"/>
                <w:szCs w:val="20"/>
                <w:lang w:eastAsia="fr-FR"/>
              </w:rPr>
              <w:t>Daniellia oliveri</w:t>
            </w:r>
          </w:p>
        </w:tc>
        <w:tc>
          <w:tcPr>
            <w:tcW w:w="2410" w:type="dxa"/>
            <w:noWrap/>
            <w:hideMark/>
          </w:tcPr>
          <w:p w14:paraId="2428E68A" w14:textId="77777777" w:rsidR="00701C80" w:rsidRPr="00A9330B" w:rsidRDefault="00701C80" w:rsidP="00DB04E9">
            <w:pPr>
              <w:spacing w:before="0" w:line="240" w:lineRule="auto"/>
              <w:jc w:val="both"/>
              <w:rPr>
                <w:rFonts w:eastAsia="Times New Roman" w:cs="Arial"/>
                <w:color w:val="000000"/>
                <w:sz w:val="20"/>
                <w:szCs w:val="20"/>
                <w:lang w:eastAsia="fr-FR"/>
              </w:rPr>
            </w:pPr>
            <w:r w:rsidRPr="00A9330B">
              <w:rPr>
                <w:rFonts w:eastAsia="Times New Roman" w:cs="Arial"/>
                <w:color w:val="000000"/>
                <w:sz w:val="20"/>
                <w:szCs w:val="20"/>
                <w:lang w:eastAsia="fr-FR"/>
              </w:rPr>
              <w:t>Leguminosae-Caesalpinioideae</w:t>
            </w:r>
          </w:p>
        </w:tc>
        <w:tc>
          <w:tcPr>
            <w:tcW w:w="1412" w:type="dxa"/>
            <w:noWrap/>
            <w:hideMark/>
          </w:tcPr>
          <w:p w14:paraId="50211167" w14:textId="77777777" w:rsidR="00701C80" w:rsidRPr="00A9330B" w:rsidRDefault="00701C80" w:rsidP="00DB04E9">
            <w:pPr>
              <w:spacing w:before="0" w:line="240" w:lineRule="auto"/>
              <w:jc w:val="both"/>
              <w:rPr>
                <w:rFonts w:eastAsia="Times New Roman" w:cs="Arial"/>
                <w:color w:val="000000"/>
                <w:sz w:val="20"/>
                <w:szCs w:val="20"/>
                <w:lang w:eastAsia="fr-FR"/>
              </w:rPr>
            </w:pPr>
            <w:r w:rsidRPr="00A9330B">
              <w:rPr>
                <w:rFonts w:eastAsia="Times New Roman" w:cs="Arial"/>
                <w:color w:val="000000"/>
                <w:sz w:val="20"/>
                <w:szCs w:val="20"/>
                <w:lang w:eastAsia="fr-FR"/>
              </w:rPr>
              <w:t>LC</w:t>
            </w:r>
          </w:p>
        </w:tc>
      </w:tr>
      <w:tr w:rsidR="00701C80" w:rsidRPr="00A9330B" w14:paraId="6353B423" w14:textId="77777777" w:rsidTr="00825201">
        <w:trPr>
          <w:trHeight w:val="300"/>
        </w:trPr>
        <w:tc>
          <w:tcPr>
            <w:tcW w:w="2972" w:type="dxa"/>
            <w:vMerge/>
            <w:noWrap/>
            <w:hideMark/>
          </w:tcPr>
          <w:p w14:paraId="2807670D" w14:textId="77777777" w:rsidR="00701C80" w:rsidRPr="00A9330B" w:rsidRDefault="00701C80" w:rsidP="00DB04E9">
            <w:pPr>
              <w:spacing w:before="0" w:line="240" w:lineRule="auto"/>
              <w:jc w:val="both"/>
              <w:rPr>
                <w:rFonts w:eastAsia="Times New Roman" w:cs="Arial"/>
                <w:color w:val="000000"/>
                <w:sz w:val="20"/>
                <w:szCs w:val="20"/>
                <w:lang w:eastAsia="fr-FR"/>
              </w:rPr>
            </w:pPr>
          </w:p>
        </w:tc>
        <w:tc>
          <w:tcPr>
            <w:tcW w:w="2268" w:type="dxa"/>
            <w:noWrap/>
            <w:hideMark/>
          </w:tcPr>
          <w:p w14:paraId="3F091518" w14:textId="77777777" w:rsidR="00701C80" w:rsidRPr="00A9330B" w:rsidRDefault="00701C80" w:rsidP="00DB04E9">
            <w:pPr>
              <w:spacing w:before="0" w:line="240" w:lineRule="auto"/>
              <w:jc w:val="both"/>
              <w:rPr>
                <w:rFonts w:eastAsia="Times New Roman" w:cs="Arial"/>
                <w:i/>
                <w:color w:val="000000"/>
                <w:sz w:val="20"/>
                <w:szCs w:val="20"/>
                <w:lang w:eastAsia="fr-FR"/>
              </w:rPr>
            </w:pPr>
            <w:r w:rsidRPr="00A9330B">
              <w:rPr>
                <w:rFonts w:eastAsia="Times New Roman" w:cs="Arial"/>
                <w:i/>
                <w:color w:val="000000"/>
                <w:sz w:val="20"/>
                <w:szCs w:val="20"/>
                <w:lang w:eastAsia="fr-FR"/>
              </w:rPr>
              <w:t>Delonix regia</w:t>
            </w:r>
          </w:p>
        </w:tc>
        <w:tc>
          <w:tcPr>
            <w:tcW w:w="2410" w:type="dxa"/>
            <w:noWrap/>
            <w:hideMark/>
          </w:tcPr>
          <w:p w14:paraId="5A7B1C79" w14:textId="77777777" w:rsidR="00701C80" w:rsidRPr="00A9330B" w:rsidRDefault="00701C80" w:rsidP="00DB04E9">
            <w:pPr>
              <w:spacing w:before="0" w:line="240" w:lineRule="auto"/>
              <w:jc w:val="both"/>
              <w:rPr>
                <w:rFonts w:eastAsia="Times New Roman" w:cs="Arial"/>
                <w:color w:val="000000"/>
                <w:sz w:val="20"/>
                <w:szCs w:val="20"/>
                <w:lang w:eastAsia="fr-FR"/>
              </w:rPr>
            </w:pPr>
            <w:r w:rsidRPr="00A9330B">
              <w:rPr>
                <w:rFonts w:eastAsia="Times New Roman" w:cs="Arial"/>
                <w:color w:val="000000"/>
                <w:sz w:val="20"/>
                <w:szCs w:val="20"/>
                <w:lang w:eastAsia="fr-FR"/>
              </w:rPr>
              <w:t>Leguminosae-Caesalpinioideae</w:t>
            </w:r>
          </w:p>
        </w:tc>
        <w:tc>
          <w:tcPr>
            <w:tcW w:w="1412" w:type="dxa"/>
            <w:noWrap/>
            <w:hideMark/>
          </w:tcPr>
          <w:p w14:paraId="4000373B" w14:textId="77777777" w:rsidR="00701C80" w:rsidRPr="00A9330B" w:rsidRDefault="00701C80" w:rsidP="00DB04E9">
            <w:pPr>
              <w:spacing w:before="0" w:line="240" w:lineRule="auto"/>
              <w:jc w:val="both"/>
              <w:rPr>
                <w:rFonts w:eastAsia="Times New Roman" w:cs="Arial"/>
                <w:color w:val="000000"/>
                <w:sz w:val="20"/>
                <w:szCs w:val="20"/>
                <w:lang w:eastAsia="fr-FR"/>
              </w:rPr>
            </w:pPr>
            <w:r w:rsidRPr="00A9330B">
              <w:rPr>
                <w:rFonts w:eastAsia="Times New Roman" w:cs="Arial"/>
                <w:color w:val="000000"/>
                <w:sz w:val="20"/>
                <w:szCs w:val="20"/>
                <w:lang w:eastAsia="fr-FR"/>
              </w:rPr>
              <w:t>LC</w:t>
            </w:r>
          </w:p>
        </w:tc>
      </w:tr>
      <w:tr w:rsidR="00701C80" w:rsidRPr="00A9330B" w14:paraId="53DB4AFC" w14:textId="77777777" w:rsidTr="00825201">
        <w:trPr>
          <w:trHeight w:val="300"/>
        </w:trPr>
        <w:tc>
          <w:tcPr>
            <w:tcW w:w="2972" w:type="dxa"/>
            <w:vMerge/>
            <w:noWrap/>
            <w:hideMark/>
          </w:tcPr>
          <w:p w14:paraId="1D329D86" w14:textId="77777777" w:rsidR="00701C80" w:rsidRPr="00A9330B" w:rsidRDefault="00701C80" w:rsidP="00DB04E9">
            <w:pPr>
              <w:spacing w:before="0" w:line="240" w:lineRule="auto"/>
              <w:jc w:val="both"/>
              <w:rPr>
                <w:rFonts w:eastAsia="Times New Roman" w:cs="Arial"/>
                <w:color w:val="000000"/>
                <w:sz w:val="20"/>
                <w:szCs w:val="20"/>
                <w:lang w:eastAsia="fr-FR"/>
              </w:rPr>
            </w:pPr>
          </w:p>
        </w:tc>
        <w:tc>
          <w:tcPr>
            <w:tcW w:w="2268" w:type="dxa"/>
            <w:noWrap/>
            <w:hideMark/>
          </w:tcPr>
          <w:p w14:paraId="39D1EC5B" w14:textId="77777777" w:rsidR="00701C80" w:rsidRPr="00A9330B" w:rsidRDefault="00701C80" w:rsidP="00DB04E9">
            <w:pPr>
              <w:spacing w:before="0" w:line="240" w:lineRule="auto"/>
              <w:jc w:val="both"/>
              <w:rPr>
                <w:rFonts w:eastAsia="Times New Roman" w:cs="Arial"/>
                <w:i/>
                <w:color w:val="000000"/>
                <w:sz w:val="20"/>
                <w:szCs w:val="20"/>
                <w:lang w:eastAsia="fr-FR"/>
              </w:rPr>
            </w:pPr>
            <w:r w:rsidRPr="00A9330B">
              <w:rPr>
                <w:rFonts w:eastAsia="Times New Roman" w:cs="Arial"/>
                <w:i/>
                <w:color w:val="000000"/>
                <w:sz w:val="20"/>
                <w:szCs w:val="20"/>
                <w:lang w:eastAsia="fr-FR"/>
              </w:rPr>
              <w:t>Elaeis guineensis</w:t>
            </w:r>
          </w:p>
        </w:tc>
        <w:tc>
          <w:tcPr>
            <w:tcW w:w="2410" w:type="dxa"/>
            <w:noWrap/>
            <w:hideMark/>
          </w:tcPr>
          <w:p w14:paraId="45652E42" w14:textId="77777777" w:rsidR="00701C80" w:rsidRPr="00A9330B" w:rsidRDefault="00701C80" w:rsidP="00DB04E9">
            <w:pPr>
              <w:spacing w:before="0" w:line="240" w:lineRule="auto"/>
              <w:jc w:val="both"/>
              <w:rPr>
                <w:rFonts w:eastAsia="Times New Roman" w:cs="Arial"/>
                <w:color w:val="000000"/>
                <w:sz w:val="20"/>
                <w:szCs w:val="20"/>
                <w:lang w:eastAsia="fr-FR"/>
              </w:rPr>
            </w:pPr>
            <w:r w:rsidRPr="00A9330B">
              <w:rPr>
                <w:rFonts w:eastAsia="Times New Roman" w:cs="Arial"/>
                <w:color w:val="000000"/>
                <w:sz w:val="20"/>
                <w:szCs w:val="20"/>
                <w:lang w:eastAsia="fr-FR"/>
              </w:rPr>
              <w:t>Arecaceae</w:t>
            </w:r>
          </w:p>
        </w:tc>
        <w:tc>
          <w:tcPr>
            <w:tcW w:w="1412" w:type="dxa"/>
            <w:noWrap/>
            <w:hideMark/>
          </w:tcPr>
          <w:p w14:paraId="55AC7397" w14:textId="77777777" w:rsidR="00701C80" w:rsidRPr="00A9330B" w:rsidRDefault="00701C80" w:rsidP="00DB04E9">
            <w:pPr>
              <w:spacing w:before="0" w:line="240" w:lineRule="auto"/>
              <w:jc w:val="both"/>
              <w:rPr>
                <w:rFonts w:eastAsia="Times New Roman" w:cs="Arial"/>
                <w:color w:val="000000"/>
                <w:sz w:val="20"/>
                <w:szCs w:val="20"/>
                <w:lang w:eastAsia="fr-FR"/>
              </w:rPr>
            </w:pPr>
          </w:p>
        </w:tc>
      </w:tr>
      <w:tr w:rsidR="00701C80" w:rsidRPr="00A9330B" w14:paraId="6E1AE731" w14:textId="77777777" w:rsidTr="00825201">
        <w:trPr>
          <w:trHeight w:val="300"/>
        </w:trPr>
        <w:tc>
          <w:tcPr>
            <w:tcW w:w="2972" w:type="dxa"/>
            <w:vMerge/>
            <w:noWrap/>
            <w:hideMark/>
          </w:tcPr>
          <w:p w14:paraId="1ED88B4D" w14:textId="77777777" w:rsidR="00701C80" w:rsidRPr="00A9330B" w:rsidRDefault="00701C80" w:rsidP="00DB04E9">
            <w:pPr>
              <w:spacing w:before="0" w:line="240" w:lineRule="auto"/>
              <w:jc w:val="both"/>
              <w:rPr>
                <w:rFonts w:eastAsia="Times New Roman" w:cs="Arial"/>
                <w:color w:val="auto"/>
                <w:sz w:val="20"/>
                <w:szCs w:val="20"/>
                <w:lang w:eastAsia="fr-FR"/>
              </w:rPr>
            </w:pPr>
          </w:p>
        </w:tc>
        <w:tc>
          <w:tcPr>
            <w:tcW w:w="2268" w:type="dxa"/>
            <w:noWrap/>
            <w:hideMark/>
          </w:tcPr>
          <w:p w14:paraId="7464D612" w14:textId="77777777" w:rsidR="00701C80" w:rsidRPr="00A9330B" w:rsidRDefault="00701C80" w:rsidP="00DB04E9">
            <w:pPr>
              <w:spacing w:before="0" w:line="240" w:lineRule="auto"/>
              <w:jc w:val="both"/>
              <w:rPr>
                <w:rFonts w:eastAsia="Times New Roman" w:cs="Arial"/>
                <w:i/>
                <w:color w:val="000000"/>
                <w:sz w:val="20"/>
                <w:szCs w:val="20"/>
                <w:lang w:eastAsia="fr-FR"/>
              </w:rPr>
            </w:pPr>
            <w:r w:rsidRPr="00A9330B">
              <w:rPr>
                <w:rFonts w:eastAsia="Times New Roman" w:cs="Arial"/>
                <w:i/>
                <w:color w:val="000000"/>
                <w:sz w:val="20"/>
                <w:szCs w:val="20"/>
                <w:lang w:eastAsia="fr-FR"/>
              </w:rPr>
              <w:t>Elaeis guineensis</w:t>
            </w:r>
          </w:p>
        </w:tc>
        <w:tc>
          <w:tcPr>
            <w:tcW w:w="2410" w:type="dxa"/>
            <w:noWrap/>
            <w:hideMark/>
          </w:tcPr>
          <w:p w14:paraId="5B756D38" w14:textId="77777777" w:rsidR="00701C80" w:rsidRPr="00A9330B" w:rsidRDefault="00701C80" w:rsidP="00DB04E9">
            <w:pPr>
              <w:spacing w:before="0" w:line="240" w:lineRule="auto"/>
              <w:jc w:val="both"/>
              <w:rPr>
                <w:rFonts w:eastAsia="Times New Roman" w:cs="Arial"/>
                <w:color w:val="000000"/>
                <w:sz w:val="20"/>
                <w:szCs w:val="20"/>
                <w:lang w:eastAsia="fr-FR"/>
              </w:rPr>
            </w:pPr>
            <w:r w:rsidRPr="00A9330B">
              <w:rPr>
                <w:rFonts w:eastAsia="Times New Roman" w:cs="Arial"/>
                <w:color w:val="000000"/>
                <w:sz w:val="20"/>
                <w:szCs w:val="20"/>
                <w:lang w:eastAsia="fr-FR"/>
              </w:rPr>
              <w:t>Arecaceae</w:t>
            </w:r>
          </w:p>
        </w:tc>
        <w:tc>
          <w:tcPr>
            <w:tcW w:w="1412" w:type="dxa"/>
            <w:noWrap/>
            <w:hideMark/>
          </w:tcPr>
          <w:p w14:paraId="42EBE0C6" w14:textId="77777777" w:rsidR="00701C80" w:rsidRPr="00A9330B" w:rsidRDefault="00701C80" w:rsidP="00DB04E9">
            <w:pPr>
              <w:spacing w:before="0" w:line="240" w:lineRule="auto"/>
              <w:jc w:val="both"/>
              <w:rPr>
                <w:rFonts w:eastAsia="Times New Roman" w:cs="Arial"/>
                <w:color w:val="000000"/>
                <w:sz w:val="20"/>
                <w:szCs w:val="20"/>
                <w:lang w:eastAsia="fr-FR"/>
              </w:rPr>
            </w:pPr>
            <w:r w:rsidRPr="00A9330B">
              <w:rPr>
                <w:rFonts w:eastAsia="Times New Roman" w:cs="Arial"/>
                <w:color w:val="000000"/>
                <w:sz w:val="20"/>
                <w:szCs w:val="20"/>
                <w:lang w:eastAsia="fr-FR"/>
              </w:rPr>
              <w:t>LC</w:t>
            </w:r>
          </w:p>
        </w:tc>
      </w:tr>
      <w:tr w:rsidR="00701C80" w:rsidRPr="00A9330B" w14:paraId="20C89FD0" w14:textId="77777777" w:rsidTr="00825201">
        <w:trPr>
          <w:trHeight w:val="300"/>
        </w:trPr>
        <w:tc>
          <w:tcPr>
            <w:tcW w:w="2972" w:type="dxa"/>
            <w:vMerge/>
            <w:noWrap/>
            <w:hideMark/>
          </w:tcPr>
          <w:p w14:paraId="192425C9" w14:textId="77777777" w:rsidR="00701C80" w:rsidRPr="00A9330B" w:rsidRDefault="00701C80" w:rsidP="00DB04E9">
            <w:pPr>
              <w:spacing w:before="0" w:line="240" w:lineRule="auto"/>
              <w:jc w:val="both"/>
              <w:rPr>
                <w:rFonts w:eastAsia="Times New Roman" w:cs="Arial"/>
                <w:color w:val="000000"/>
                <w:sz w:val="20"/>
                <w:szCs w:val="20"/>
                <w:lang w:eastAsia="fr-FR"/>
              </w:rPr>
            </w:pPr>
          </w:p>
        </w:tc>
        <w:tc>
          <w:tcPr>
            <w:tcW w:w="2268" w:type="dxa"/>
            <w:noWrap/>
            <w:hideMark/>
          </w:tcPr>
          <w:p w14:paraId="1ACA418D" w14:textId="77777777" w:rsidR="00701C80" w:rsidRPr="00A9330B" w:rsidRDefault="00701C80" w:rsidP="00DB04E9">
            <w:pPr>
              <w:spacing w:before="0" w:line="240" w:lineRule="auto"/>
              <w:jc w:val="both"/>
              <w:rPr>
                <w:rFonts w:eastAsia="Times New Roman" w:cs="Arial"/>
                <w:i/>
                <w:color w:val="000000"/>
                <w:sz w:val="20"/>
                <w:szCs w:val="20"/>
                <w:lang w:eastAsia="fr-FR"/>
              </w:rPr>
            </w:pPr>
            <w:r w:rsidRPr="00A9330B">
              <w:rPr>
                <w:rFonts w:eastAsia="Times New Roman" w:cs="Arial"/>
                <w:i/>
                <w:color w:val="000000"/>
                <w:sz w:val="20"/>
                <w:szCs w:val="20"/>
                <w:lang w:eastAsia="fr-FR"/>
              </w:rPr>
              <w:t>Gmelina arborea</w:t>
            </w:r>
          </w:p>
        </w:tc>
        <w:tc>
          <w:tcPr>
            <w:tcW w:w="2410" w:type="dxa"/>
            <w:noWrap/>
            <w:hideMark/>
          </w:tcPr>
          <w:p w14:paraId="5C41742B" w14:textId="77777777" w:rsidR="00701C80" w:rsidRPr="00A9330B" w:rsidRDefault="00701C80" w:rsidP="00DB04E9">
            <w:pPr>
              <w:spacing w:before="0" w:line="240" w:lineRule="auto"/>
              <w:jc w:val="both"/>
              <w:rPr>
                <w:rFonts w:eastAsia="Times New Roman" w:cs="Arial"/>
                <w:color w:val="000000"/>
                <w:sz w:val="20"/>
                <w:szCs w:val="20"/>
                <w:lang w:eastAsia="fr-FR"/>
              </w:rPr>
            </w:pPr>
            <w:r w:rsidRPr="00A9330B">
              <w:rPr>
                <w:rFonts w:eastAsia="Times New Roman" w:cs="Arial"/>
                <w:color w:val="000000"/>
                <w:sz w:val="20"/>
                <w:szCs w:val="20"/>
                <w:lang w:eastAsia="fr-FR"/>
              </w:rPr>
              <w:t>Verbenaceae</w:t>
            </w:r>
          </w:p>
        </w:tc>
        <w:tc>
          <w:tcPr>
            <w:tcW w:w="1412" w:type="dxa"/>
            <w:noWrap/>
            <w:hideMark/>
          </w:tcPr>
          <w:p w14:paraId="56128D6E" w14:textId="77777777" w:rsidR="00701C80" w:rsidRPr="00A9330B" w:rsidRDefault="00701C80" w:rsidP="00DB04E9">
            <w:pPr>
              <w:spacing w:before="0" w:line="240" w:lineRule="auto"/>
              <w:jc w:val="both"/>
              <w:rPr>
                <w:rFonts w:eastAsia="Times New Roman" w:cs="Arial"/>
                <w:color w:val="000000"/>
                <w:sz w:val="20"/>
                <w:szCs w:val="20"/>
                <w:lang w:eastAsia="fr-FR"/>
              </w:rPr>
            </w:pPr>
            <w:r w:rsidRPr="00A9330B">
              <w:rPr>
                <w:rFonts w:eastAsia="Times New Roman" w:cs="Arial"/>
                <w:color w:val="000000"/>
                <w:sz w:val="20"/>
                <w:szCs w:val="20"/>
                <w:lang w:eastAsia="fr-FR"/>
              </w:rPr>
              <w:t>LC</w:t>
            </w:r>
          </w:p>
        </w:tc>
      </w:tr>
      <w:tr w:rsidR="00701C80" w:rsidRPr="00A9330B" w14:paraId="4EECE86C" w14:textId="77777777" w:rsidTr="00825201">
        <w:trPr>
          <w:trHeight w:val="300"/>
        </w:trPr>
        <w:tc>
          <w:tcPr>
            <w:tcW w:w="2972" w:type="dxa"/>
            <w:vMerge/>
            <w:noWrap/>
            <w:hideMark/>
          </w:tcPr>
          <w:p w14:paraId="4BA7A2CA" w14:textId="77777777" w:rsidR="00701C80" w:rsidRPr="00A9330B" w:rsidRDefault="00701C80" w:rsidP="00DB04E9">
            <w:pPr>
              <w:spacing w:before="0" w:line="240" w:lineRule="auto"/>
              <w:jc w:val="both"/>
              <w:rPr>
                <w:rFonts w:eastAsia="Times New Roman" w:cs="Arial"/>
                <w:color w:val="000000"/>
                <w:sz w:val="20"/>
                <w:szCs w:val="20"/>
                <w:lang w:eastAsia="fr-FR"/>
              </w:rPr>
            </w:pPr>
          </w:p>
        </w:tc>
        <w:tc>
          <w:tcPr>
            <w:tcW w:w="2268" w:type="dxa"/>
            <w:noWrap/>
            <w:hideMark/>
          </w:tcPr>
          <w:p w14:paraId="791CEA02" w14:textId="77777777" w:rsidR="00701C80" w:rsidRPr="00A9330B" w:rsidRDefault="00701C80" w:rsidP="00DB04E9">
            <w:pPr>
              <w:spacing w:before="0" w:line="240" w:lineRule="auto"/>
              <w:jc w:val="both"/>
              <w:rPr>
                <w:rFonts w:eastAsia="Times New Roman" w:cs="Arial"/>
                <w:i/>
                <w:color w:val="000000"/>
                <w:sz w:val="20"/>
                <w:szCs w:val="20"/>
                <w:lang w:eastAsia="fr-FR"/>
              </w:rPr>
            </w:pPr>
            <w:r w:rsidRPr="00A9330B">
              <w:rPr>
                <w:rFonts w:eastAsia="Times New Roman" w:cs="Arial"/>
                <w:i/>
                <w:color w:val="000000"/>
                <w:sz w:val="20"/>
                <w:szCs w:val="20"/>
                <w:lang w:eastAsia="fr-FR"/>
              </w:rPr>
              <w:t>Gmelina arborea</w:t>
            </w:r>
          </w:p>
        </w:tc>
        <w:tc>
          <w:tcPr>
            <w:tcW w:w="2410" w:type="dxa"/>
            <w:noWrap/>
            <w:hideMark/>
          </w:tcPr>
          <w:p w14:paraId="654A4BA1" w14:textId="77777777" w:rsidR="00701C80" w:rsidRPr="00A9330B" w:rsidRDefault="00701C80" w:rsidP="00DB04E9">
            <w:pPr>
              <w:spacing w:before="0" w:line="240" w:lineRule="auto"/>
              <w:jc w:val="both"/>
              <w:rPr>
                <w:rFonts w:eastAsia="Times New Roman" w:cs="Arial"/>
                <w:color w:val="000000"/>
                <w:sz w:val="20"/>
                <w:szCs w:val="20"/>
                <w:lang w:eastAsia="fr-FR"/>
              </w:rPr>
            </w:pPr>
            <w:r w:rsidRPr="00A9330B">
              <w:rPr>
                <w:rFonts w:eastAsia="Times New Roman" w:cs="Arial"/>
                <w:color w:val="000000"/>
                <w:sz w:val="20"/>
                <w:szCs w:val="20"/>
                <w:lang w:eastAsia="fr-FR"/>
              </w:rPr>
              <w:t>Verbenaceae</w:t>
            </w:r>
          </w:p>
        </w:tc>
        <w:tc>
          <w:tcPr>
            <w:tcW w:w="1412" w:type="dxa"/>
            <w:noWrap/>
            <w:hideMark/>
          </w:tcPr>
          <w:p w14:paraId="6E4457E5" w14:textId="77777777" w:rsidR="00701C80" w:rsidRPr="00A9330B" w:rsidRDefault="00701C80" w:rsidP="00DB04E9">
            <w:pPr>
              <w:spacing w:before="0" w:line="240" w:lineRule="auto"/>
              <w:jc w:val="both"/>
              <w:rPr>
                <w:rFonts w:eastAsia="Times New Roman" w:cs="Arial"/>
                <w:color w:val="000000"/>
                <w:sz w:val="20"/>
                <w:szCs w:val="20"/>
                <w:lang w:eastAsia="fr-FR"/>
              </w:rPr>
            </w:pPr>
          </w:p>
        </w:tc>
      </w:tr>
      <w:tr w:rsidR="00701C80" w:rsidRPr="00A9330B" w14:paraId="2A95A2FD" w14:textId="77777777" w:rsidTr="00825201">
        <w:trPr>
          <w:trHeight w:val="300"/>
        </w:trPr>
        <w:tc>
          <w:tcPr>
            <w:tcW w:w="2972" w:type="dxa"/>
            <w:vMerge/>
            <w:noWrap/>
            <w:hideMark/>
          </w:tcPr>
          <w:p w14:paraId="719D575D" w14:textId="77777777" w:rsidR="00701C80" w:rsidRPr="00A9330B" w:rsidRDefault="00701C80" w:rsidP="00DB04E9">
            <w:pPr>
              <w:spacing w:before="0" w:line="240" w:lineRule="auto"/>
              <w:jc w:val="both"/>
              <w:rPr>
                <w:rFonts w:eastAsia="Times New Roman" w:cs="Arial"/>
                <w:color w:val="auto"/>
                <w:sz w:val="20"/>
                <w:szCs w:val="20"/>
                <w:lang w:eastAsia="fr-FR"/>
              </w:rPr>
            </w:pPr>
          </w:p>
        </w:tc>
        <w:tc>
          <w:tcPr>
            <w:tcW w:w="2268" w:type="dxa"/>
            <w:noWrap/>
            <w:hideMark/>
          </w:tcPr>
          <w:p w14:paraId="3C2D8CB6" w14:textId="77777777" w:rsidR="00701C80" w:rsidRPr="00A9330B" w:rsidRDefault="00701C80" w:rsidP="00DB04E9">
            <w:pPr>
              <w:spacing w:before="0" w:line="240" w:lineRule="auto"/>
              <w:jc w:val="both"/>
              <w:rPr>
                <w:rFonts w:eastAsia="Times New Roman" w:cs="Arial"/>
                <w:i/>
                <w:color w:val="000000"/>
                <w:sz w:val="20"/>
                <w:szCs w:val="20"/>
                <w:lang w:eastAsia="fr-FR"/>
              </w:rPr>
            </w:pPr>
            <w:r w:rsidRPr="00A9330B">
              <w:rPr>
                <w:rFonts w:eastAsia="Times New Roman" w:cs="Arial"/>
                <w:i/>
                <w:color w:val="000000"/>
                <w:sz w:val="20"/>
                <w:szCs w:val="20"/>
                <w:lang w:eastAsia="fr-FR"/>
              </w:rPr>
              <w:t>Holarrhenafloribunda</w:t>
            </w:r>
          </w:p>
        </w:tc>
        <w:tc>
          <w:tcPr>
            <w:tcW w:w="2410" w:type="dxa"/>
            <w:noWrap/>
            <w:hideMark/>
          </w:tcPr>
          <w:p w14:paraId="3A7BFAC2" w14:textId="77777777" w:rsidR="00701C80" w:rsidRPr="00A9330B" w:rsidRDefault="00701C80" w:rsidP="00DB04E9">
            <w:pPr>
              <w:spacing w:before="0" w:line="240" w:lineRule="auto"/>
              <w:jc w:val="both"/>
              <w:rPr>
                <w:rFonts w:eastAsia="Times New Roman" w:cs="Arial"/>
                <w:color w:val="000000"/>
                <w:sz w:val="20"/>
                <w:szCs w:val="20"/>
                <w:lang w:eastAsia="fr-FR"/>
              </w:rPr>
            </w:pPr>
            <w:r w:rsidRPr="00A9330B">
              <w:rPr>
                <w:rFonts w:eastAsia="Times New Roman" w:cs="Arial"/>
                <w:color w:val="000000"/>
                <w:sz w:val="20"/>
                <w:szCs w:val="20"/>
                <w:lang w:eastAsia="fr-FR"/>
              </w:rPr>
              <w:t>Apocynaceae</w:t>
            </w:r>
          </w:p>
        </w:tc>
        <w:tc>
          <w:tcPr>
            <w:tcW w:w="1412" w:type="dxa"/>
            <w:noWrap/>
            <w:hideMark/>
          </w:tcPr>
          <w:p w14:paraId="414FB9BF" w14:textId="77777777" w:rsidR="00701C80" w:rsidRPr="00A9330B" w:rsidRDefault="00701C80" w:rsidP="00DB04E9">
            <w:pPr>
              <w:spacing w:before="0" w:line="240" w:lineRule="auto"/>
              <w:jc w:val="both"/>
              <w:rPr>
                <w:rFonts w:eastAsia="Times New Roman" w:cs="Arial"/>
                <w:color w:val="000000"/>
                <w:sz w:val="20"/>
                <w:szCs w:val="20"/>
                <w:lang w:eastAsia="fr-FR"/>
              </w:rPr>
            </w:pPr>
          </w:p>
        </w:tc>
      </w:tr>
      <w:tr w:rsidR="00701C80" w:rsidRPr="00A9330B" w14:paraId="6F61A4CE" w14:textId="77777777" w:rsidTr="00825201">
        <w:trPr>
          <w:trHeight w:val="300"/>
        </w:trPr>
        <w:tc>
          <w:tcPr>
            <w:tcW w:w="2972" w:type="dxa"/>
            <w:vMerge/>
            <w:noWrap/>
            <w:hideMark/>
          </w:tcPr>
          <w:p w14:paraId="499A8C24" w14:textId="77777777" w:rsidR="00701C80" w:rsidRPr="00A9330B" w:rsidRDefault="00701C80" w:rsidP="00DB04E9">
            <w:pPr>
              <w:spacing w:before="0" w:line="240" w:lineRule="auto"/>
              <w:jc w:val="both"/>
              <w:rPr>
                <w:rFonts w:eastAsia="Times New Roman" w:cs="Arial"/>
                <w:color w:val="auto"/>
                <w:sz w:val="20"/>
                <w:szCs w:val="20"/>
                <w:lang w:eastAsia="fr-FR"/>
              </w:rPr>
            </w:pPr>
          </w:p>
        </w:tc>
        <w:tc>
          <w:tcPr>
            <w:tcW w:w="2268" w:type="dxa"/>
            <w:noWrap/>
            <w:hideMark/>
          </w:tcPr>
          <w:p w14:paraId="48FF1ED0" w14:textId="77777777" w:rsidR="00701C80" w:rsidRPr="00A9330B" w:rsidRDefault="00701C80" w:rsidP="00DB04E9">
            <w:pPr>
              <w:spacing w:before="0" w:line="240" w:lineRule="auto"/>
              <w:jc w:val="both"/>
              <w:rPr>
                <w:rFonts w:eastAsia="Times New Roman" w:cs="Arial"/>
                <w:i/>
                <w:color w:val="000000"/>
                <w:sz w:val="20"/>
                <w:szCs w:val="20"/>
                <w:lang w:eastAsia="fr-FR"/>
              </w:rPr>
            </w:pPr>
            <w:r w:rsidRPr="00A9330B">
              <w:rPr>
                <w:rFonts w:eastAsia="Times New Roman" w:cs="Arial"/>
                <w:i/>
                <w:color w:val="000000"/>
                <w:sz w:val="20"/>
                <w:szCs w:val="20"/>
                <w:lang w:eastAsia="fr-FR"/>
              </w:rPr>
              <w:t>Isoberlinia doka</w:t>
            </w:r>
          </w:p>
        </w:tc>
        <w:tc>
          <w:tcPr>
            <w:tcW w:w="2410" w:type="dxa"/>
            <w:noWrap/>
            <w:hideMark/>
          </w:tcPr>
          <w:p w14:paraId="7E4DF451" w14:textId="77777777" w:rsidR="00701C80" w:rsidRPr="00A9330B" w:rsidRDefault="00701C80" w:rsidP="00DB04E9">
            <w:pPr>
              <w:spacing w:before="0" w:line="240" w:lineRule="auto"/>
              <w:jc w:val="both"/>
              <w:rPr>
                <w:rFonts w:eastAsia="Times New Roman" w:cs="Arial"/>
                <w:color w:val="000000"/>
                <w:sz w:val="20"/>
                <w:szCs w:val="20"/>
                <w:lang w:eastAsia="fr-FR"/>
              </w:rPr>
            </w:pPr>
            <w:r w:rsidRPr="00A9330B">
              <w:rPr>
                <w:rFonts w:eastAsia="Times New Roman" w:cs="Arial"/>
                <w:color w:val="000000"/>
                <w:sz w:val="20"/>
                <w:szCs w:val="20"/>
                <w:lang w:eastAsia="fr-FR"/>
              </w:rPr>
              <w:t>Leguminosae-Caesalpinioideae</w:t>
            </w:r>
          </w:p>
        </w:tc>
        <w:tc>
          <w:tcPr>
            <w:tcW w:w="1412" w:type="dxa"/>
            <w:noWrap/>
            <w:hideMark/>
          </w:tcPr>
          <w:p w14:paraId="0FA2B0B4" w14:textId="77777777" w:rsidR="00701C80" w:rsidRPr="00A9330B" w:rsidRDefault="00701C80" w:rsidP="00DB04E9">
            <w:pPr>
              <w:spacing w:before="0" w:line="240" w:lineRule="auto"/>
              <w:jc w:val="both"/>
              <w:rPr>
                <w:rFonts w:eastAsia="Times New Roman" w:cs="Arial"/>
                <w:color w:val="000000"/>
                <w:sz w:val="20"/>
                <w:szCs w:val="20"/>
                <w:lang w:eastAsia="fr-FR"/>
              </w:rPr>
            </w:pPr>
            <w:r w:rsidRPr="00A9330B">
              <w:rPr>
                <w:rFonts w:eastAsia="Times New Roman" w:cs="Arial"/>
                <w:color w:val="000000"/>
                <w:sz w:val="20"/>
                <w:szCs w:val="20"/>
                <w:lang w:eastAsia="fr-FR"/>
              </w:rPr>
              <w:t>LC</w:t>
            </w:r>
          </w:p>
        </w:tc>
      </w:tr>
      <w:tr w:rsidR="00701C80" w:rsidRPr="00A9330B" w14:paraId="2128EA9D" w14:textId="77777777" w:rsidTr="00825201">
        <w:trPr>
          <w:trHeight w:val="300"/>
        </w:trPr>
        <w:tc>
          <w:tcPr>
            <w:tcW w:w="2972" w:type="dxa"/>
            <w:vMerge/>
            <w:noWrap/>
            <w:hideMark/>
          </w:tcPr>
          <w:p w14:paraId="0FFC749D" w14:textId="77777777" w:rsidR="00701C80" w:rsidRPr="00A9330B" w:rsidRDefault="00701C80" w:rsidP="00DB04E9">
            <w:pPr>
              <w:spacing w:before="0" w:line="240" w:lineRule="auto"/>
              <w:jc w:val="both"/>
              <w:rPr>
                <w:rFonts w:eastAsia="Times New Roman" w:cs="Arial"/>
                <w:color w:val="000000"/>
                <w:sz w:val="20"/>
                <w:szCs w:val="20"/>
                <w:lang w:eastAsia="fr-FR"/>
              </w:rPr>
            </w:pPr>
          </w:p>
        </w:tc>
        <w:tc>
          <w:tcPr>
            <w:tcW w:w="2268" w:type="dxa"/>
            <w:noWrap/>
            <w:hideMark/>
          </w:tcPr>
          <w:p w14:paraId="63127596" w14:textId="77777777" w:rsidR="00701C80" w:rsidRPr="00A9330B" w:rsidRDefault="00701C80" w:rsidP="00DB04E9">
            <w:pPr>
              <w:spacing w:before="0" w:line="240" w:lineRule="auto"/>
              <w:jc w:val="both"/>
              <w:rPr>
                <w:rFonts w:eastAsia="Times New Roman" w:cs="Arial"/>
                <w:i/>
                <w:color w:val="000000"/>
                <w:sz w:val="20"/>
                <w:szCs w:val="20"/>
                <w:lang w:eastAsia="fr-FR"/>
              </w:rPr>
            </w:pPr>
            <w:r w:rsidRPr="00A9330B">
              <w:rPr>
                <w:rFonts w:eastAsia="Times New Roman" w:cs="Arial"/>
                <w:i/>
                <w:color w:val="000000"/>
                <w:sz w:val="20"/>
                <w:szCs w:val="20"/>
                <w:lang w:eastAsia="fr-FR"/>
              </w:rPr>
              <w:t>Khaya senegalensis</w:t>
            </w:r>
          </w:p>
        </w:tc>
        <w:tc>
          <w:tcPr>
            <w:tcW w:w="2410" w:type="dxa"/>
            <w:noWrap/>
            <w:hideMark/>
          </w:tcPr>
          <w:p w14:paraId="5635F16E" w14:textId="77777777" w:rsidR="00701C80" w:rsidRPr="00A9330B" w:rsidRDefault="00701C80" w:rsidP="00DB04E9">
            <w:pPr>
              <w:spacing w:before="0" w:line="240" w:lineRule="auto"/>
              <w:jc w:val="both"/>
              <w:rPr>
                <w:rFonts w:eastAsia="Times New Roman" w:cs="Arial"/>
                <w:color w:val="000000"/>
                <w:sz w:val="20"/>
                <w:szCs w:val="20"/>
                <w:lang w:eastAsia="fr-FR"/>
              </w:rPr>
            </w:pPr>
            <w:r w:rsidRPr="00A9330B">
              <w:rPr>
                <w:rFonts w:eastAsia="Times New Roman" w:cs="Arial"/>
                <w:color w:val="000000"/>
                <w:sz w:val="20"/>
                <w:szCs w:val="20"/>
                <w:lang w:eastAsia="fr-FR"/>
              </w:rPr>
              <w:t>Meliaceae</w:t>
            </w:r>
          </w:p>
        </w:tc>
        <w:tc>
          <w:tcPr>
            <w:tcW w:w="1412" w:type="dxa"/>
            <w:noWrap/>
            <w:hideMark/>
          </w:tcPr>
          <w:p w14:paraId="6E7BDF0D" w14:textId="77777777" w:rsidR="00701C80" w:rsidRPr="00A9330B" w:rsidRDefault="00701C80" w:rsidP="00DB04E9">
            <w:pPr>
              <w:spacing w:before="0" w:line="240" w:lineRule="auto"/>
              <w:jc w:val="both"/>
              <w:rPr>
                <w:rFonts w:eastAsia="Times New Roman" w:cs="Arial"/>
                <w:color w:val="000000"/>
                <w:sz w:val="20"/>
                <w:szCs w:val="20"/>
                <w:lang w:eastAsia="fr-FR"/>
              </w:rPr>
            </w:pPr>
            <w:r w:rsidRPr="00A9330B">
              <w:rPr>
                <w:rFonts w:eastAsia="Times New Roman" w:cs="Arial"/>
                <w:color w:val="000000"/>
                <w:sz w:val="20"/>
                <w:szCs w:val="20"/>
                <w:lang w:eastAsia="fr-FR"/>
              </w:rPr>
              <w:t>VU</w:t>
            </w:r>
          </w:p>
        </w:tc>
      </w:tr>
      <w:tr w:rsidR="00701C80" w:rsidRPr="00A9330B" w14:paraId="44A6368B" w14:textId="77777777" w:rsidTr="00825201">
        <w:trPr>
          <w:trHeight w:val="300"/>
        </w:trPr>
        <w:tc>
          <w:tcPr>
            <w:tcW w:w="2972" w:type="dxa"/>
            <w:vMerge/>
            <w:noWrap/>
            <w:hideMark/>
          </w:tcPr>
          <w:p w14:paraId="39BD4A4C" w14:textId="77777777" w:rsidR="00701C80" w:rsidRPr="00A9330B" w:rsidRDefault="00701C80" w:rsidP="00DB04E9">
            <w:pPr>
              <w:spacing w:before="0" w:line="240" w:lineRule="auto"/>
              <w:jc w:val="both"/>
              <w:rPr>
                <w:rFonts w:eastAsia="Times New Roman" w:cs="Arial"/>
                <w:color w:val="000000"/>
                <w:sz w:val="20"/>
                <w:szCs w:val="20"/>
                <w:lang w:eastAsia="fr-FR"/>
              </w:rPr>
            </w:pPr>
          </w:p>
        </w:tc>
        <w:tc>
          <w:tcPr>
            <w:tcW w:w="2268" w:type="dxa"/>
            <w:noWrap/>
            <w:hideMark/>
          </w:tcPr>
          <w:p w14:paraId="2DD82778" w14:textId="77777777" w:rsidR="00701C80" w:rsidRPr="00A9330B" w:rsidRDefault="00701C80" w:rsidP="00DB04E9">
            <w:pPr>
              <w:spacing w:before="0" w:line="240" w:lineRule="auto"/>
              <w:jc w:val="both"/>
              <w:rPr>
                <w:rFonts w:eastAsia="Times New Roman" w:cs="Arial"/>
                <w:i/>
                <w:color w:val="000000"/>
                <w:sz w:val="20"/>
                <w:szCs w:val="20"/>
                <w:lang w:eastAsia="fr-FR"/>
              </w:rPr>
            </w:pPr>
            <w:r w:rsidRPr="00A9330B">
              <w:rPr>
                <w:rFonts w:eastAsia="Times New Roman" w:cs="Arial"/>
                <w:i/>
                <w:color w:val="000000"/>
                <w:sz w:val="20"/>
                <w:szCs w:val="20"/>
                <w:lang w:eastAsia="fr-FR"/>
              </w:rPr>
              <w:t>Leucaena leucocephala</w:t>
            </w:r>
          </w:p>
        </w:tc>
        <w:tc>
          <w:tcPr>
            <w:tcW w:w="2410" w:type="dxa"/>
            <w:noWrap/>
            <w:hideMark/>
          </w:tcPr>
          <w:p w14:paraId="586EE29C" w14:textId="77777777" w:rsidR="00701C80" w:rsidRPr="00A9330B" w:rsidRDefault="00701C80" w:rsidP="00DB04E9">
            <w:pPr>
              <w:spacing w:before="0" w:line="240" w:lineRule="auto"/>
              <w:jc w:val="both"/>
              <w:rPr>
                <w:rFonts w:eastAsia="Times New Roman" w:cs="Arial"/>
                <w:color w:val="000000"/>
                <w:sz w:val="20"/>
                <w:szCs w:val="20"/>
                <w:lang w:eastAsia="fr-FR"/>
              </w:rPr>
            </w:pPr>
            <w:r w:rsidRPr="00A9330B">
              <w:rPr>
                <w:rFonts w:eastAsia="Times New Roman" w:cs="Arial"/>
                <w:color w:val="000000"/>
                <w:sz w:val="20"/>
                <w:szCs w:val="20"/>
                <w:lang w:eastAsia="fr-FR"/>
              </w:rPr>
              <w:t>Leguminosae-Mimosoideae</w:t>
            </w:r>
          </w:p>
        </w:tc>
        <w:tc>
          <w:tcPr>
            <w:tcW w:w="1412" w:type="dxa"/>
            <w:noWrap/>
            <w:hideMark/>
          </w:tcPr>
          <w:p w14:paraId="30F86778" w14:textId="77777777" w:rsidR="00701C80" w:rsidRPr="00A9330B" w:rsidRDefault="00701C80" w:rsidP="00DB04E9">
            <w:pPr>
              <w:spacing w:before="0" w:line="240" w:lineRule="auto"/>
              <w:jc w:val="both"/>
              <w:rPr>
                <w:rFonts w:eastAsia="Times New Roman" w:cs="Arial"/>
                <w:color w:val="000000"/>
                <w:sz w:val="20"/>
                <w:szCs w:val="20"/>
                <w:lang w:eastAsia="fr-FR"/>
              </w:rPr>
            </w:pPr>
            <w:r w:rsidRPr="00A9330B">
              <w:rPr>
                <w:rFonts w:eastAsia="Times New Roman" w:cs="Arial"/>
                <w:color w:val="000000"/>
                <w:sz w:val="20"/>
                <w:szCs w:val="20"/>
                <w:lang w:eastAsia="fr-FR"/>
              </w:rPr>
              <w:t>LC</w:t>
            </w:r>
          </w:p>
        </w:tc>
      </w:tr>
      <w:tr w:rsidR="00701C80" w:rsidRPr="00A9330B" w14:paraId="284EA01E" w14:textId="77777777" w:rsidTr="00825201">
        <w:trPr>
          <w:trHeight w:val="300"/>
        </w:trPr>
        <w:tc>
          <w:tcPr>
            <w:tcW w:w="2972" w:type="dxa"/>
            <w:vMerge/>
            <w:noWrap/>
            <w:hideMark/>
          </w:tcPr>
          <w:p w14:paraId="37874511" w14:textId="77777777" w:rsidR="00701C80" w:rsidRPr="00A9330B" w:rsidRDefault="00701C80" w:rsidP="00DB04E9">
            <w:pPr>
              <w:spacing w:before="0" w:line="240" w:lineRule="auto"/>
              <w:jc w:val="both"/>
              <w:rPr>
                <w:rFonts w:eastAsia="Times New Roman" w:cs="Arial"/>
                <w:color w:val="000000"/>
                <w:sz w:val="20"/>
                <w:szCs w:val="20"/>
                <w:lang w:eastAsia="fr-FR"/>
              </w:rPr>
            </w:pPr>
          </w:p>
        </w:tc>
        <w:tc>
          <w:tcPr>
            <w:tcW w:w="2268" w:type="dxa"/>
            <w:noWrap/>
            <w:hideMark/>
          </w:tcPr>
          <w:p w14:paraId="5B717D75" w14:textId="77777777" w:rsidR="00701C80" w:rsidRPr="00A9330B" w:rsidRDefault="00701C80" w:rsidP="00DB04E9">
            <w:pPr>
              <w:spacing w:before="0" w:line="240" w:lineRule="auto"/>
              <w:jc w:val="both"/>
              <w:rPr>
                <w:rFonts w:eastAsia="Times New Roman" w:cs="Arial"/>
                <w:i/>
                <w:color w:val="000000"/>
                <w:sz w:val="20"/>
                <w:szCs w:val="20"/>
                <w:lang w:eastAsia="fr-FR"/>
              </w:rPr>
            </w:pPr>
            <w:r w:rsidRPr="00A9330B">
              <w:rPr>
                <w:rFonts w:eastAsia="Times New Roman" w:cs="Arial"/>
                <w:i/>
                <w:color w:val="000000"/>
                <w:sz w:val="20"/>
                <w:szCs w:val="20"/>
                <w:lang w:eastAsia="fr-FR"/>
              </w:rPr>
              <w:t>lsoberlinia tomentosa</w:t>
            </w:r>
          </w:p>
        </w:tc>
        <w:tc>
          <w:tcPr>
            <w:tcW w:w="2410" w:type="dxa"/>
            <w:noWrap/>
            <w:hideMark/>
          </w:tcPr>
          <w:p w14:paraId="2BE6DB01" w14:textId="77777777" w:rsidR="00701C80" w:rsidRPr="00A9330B" w:rsidRDefault="00701C80" w:rsidP="00DB04E9">
            <w:pPr>
              <w:spacing w:before="0" w:line="240" w:lineRule="auto"/>
              <w:jc w:val="both"/>
              <w:rPr>
                <w:rFonts w:eastAsia="Times New Roman" w:cs="Arial"/>
                <w:color w:val="000000"/>
                <w:sz w:val="20"/>
                <w:szCs w:val="20"/>
                <w:lang w:eastAsia="fr-FR"/>
              </w:rPr>
            </w:pPr>
            <w:r w:rsidRPr="00A9330B">
              <w:rPr>
                <w:rFonts w:eastAsia="Times New Roman" w:cs="Arial"/>
                <w:color w:val="000000"/>
                <w:sz w:val="20"/>
                <w:szCs w:val="20"/>
                <w:lang w:eastAsia="fr-FR"/>
              </w:rPr>
              <w:t>Leguminosae-Caesalpinioideae</w:t>
            </w:r>
          </w:p>
        </w:tc>
        <w:tc>
          <w:tcPr>
            <w:tcW w:w="1412" w:type="dxa"/>
            <w:noWrap/>
            <w:hideMark/>
          </w:tcPr>
          <w:p w14:paraId="526C859C" w14:textId="77777777" w:rsidR="00701C80" w:rsidRPr="00A9330B" w:rsidRDefault="00701C80" w:rsidP="00DB04E9">
            <w:pPr>
              <w:spacing w:before="0" w:line="240" w:lineRule="auto"/>
              <w:jc w:val="both"/>
              <w:rPr>
                <w:rFonts w:eastAsia="Times New Roman" w:cs="Arial"/>
                <w:color w:val="000000"/>
                <w:sz w:val="20"/>
                <w:szCs w:val="20"/>
                <w:lang w:eastAsia="fr-FR"/>
              </w:rPr>
            </w:pPr>
            <w:r w:rsidRPr="00A9330B">
              <w:rPr>
                <w:rFonts w:eastAsia="Times New Roman" w:cs="Arial"/>
                <w:color w:val="000000"/>
                <w:sz w:val="20"/>
                <w:szCs w:val="20"/>
                <w:lang w:eastAsia="fr-FR"/>
              </w:rPr>
              <w:t>LC</w:t>
            </w:r>
          </w:p>
        </w:tc>
      </w:tr>
      <w:tr w:rsidR="00701C80" w:rsidRPr="00A9330B" w14:paraId="386B308E" w14:textId="77777777" w:rsidTr="00825201">
        <w:trPr>
          <w:trHeight w:val="300"/>
        </w:trPr>
        <w:tc>
          <w:tcPr>
            <w:tcW w:w="2972" w:type="dxa"/>
            <w:vMerge/>
            <w:noWrap/>
            <w:hideMark/>
          </w:tcPr>
          <w:p w14:paraId="6B616EB2" w14:textId="77777777" w:rsidR="00701C80" w:rsidRPr="00A9330B" w:rsidRDefault="00701C80" w:rsidP="00DB04E9">
            <w:pPr>
              <w:spacing w:before="0" w:line="240" w:lineRule="auto"/>
              <w:jc w:val="both"/>
              <w:rPr>
                <w:rFonts w:eastAsia="Times New Roman" w:cs="Arial"/>
                <w:color w:val="000000"/>
                <w:sz w:val="20"/>
                <w:szCs w:val="20"/>
                <w:lang w:eastAsia="fr-FR"/>
              </w:rPr>
            </w:pPr>
          </w:p>
        </w:tc>
        <w:tc>
          <w:tcPr>
            <w:tcW w:w="2268" w:type="dxa"/>
            <w:noWrap/>
            <w:hideMark/>
          </w:tcPr>
          <w:p w14:paraId="13E08DAA" w14:textId="77777777" w:rsidR="00701C80" w:rsidRPr="00A9330B" w:rsidRDefault="00701C80" w:rsidP="00DB04E9">
            <w:pPr>
              <w:spacing w:before="0" w:line="240" w:lineRule="auto"/>
              <w:jc w:val="both"/>
              <w:rPr>
                <w:rFonts w:eastAsia="Times New Roman" w:cs="Arial"/>
                <w:i/>
                <w:color w:val="000000"/>
                <w:sz w:val="20"/>
                <w:szCs w:val="20"/>
                <w:lang w:eastAsia="fr-FR"/>
              </w:rPr>
            </w:pPr>
            <w:r w:rsidRPr="00A9330B">
              <w:rPr>
                <w:rFonts w:eastAsia="Times New Roman" w:cs="Arial"/>
                <w:i/>
                <w:color w:val="000000"/>
                <w:sz w:val="20"/>
                <w:szCs w:val="20"/>
                <w:lang w:eastAsia="fr-FR"/>
              </w:rPr>
              <w:t>Mangifera indica</w:t>
            </w:r>
          </w:p>
        </w:tc>
        <w:tc>
          <w:tcPr>
            <w:tcW w:w="2410" w:type="dxa"/>
            <w:noWrap/>
            <w:hideMark/>
          </w:tcPr>
          <w:p w14:paraId="28A774EC" w14:textId="77777777" w:rsidR="00701C80" w:rsidRPr="00A9330B" w:rsidRDefault="00701C80" w:rsidP="00DB04E9">
            <w:pPr>
              <w:spacing w:before="0" w:line="240" w:lineRule="auto"/>
              <w:jc w:val="both"/>
              <w:rPr>
                <w:rFonts w:eastAsia="Times New Roman" w:cs="Arial"/>
                <w:color w:val="000000"/>
                <w:sz w:val="20"/>
                <w:szCs w:val="20"/>
                <w:lang w:eastAsia="fr-FR"/>
              </w:rPr>
            </w:pPr>
            <w:r w:rsidRPr="00A9330B">
              <w:rPr>
                <w:rFonts w:eastAsia="Times New Roman" w:cs="Arial"/>
                <w:color w:val="000000"/>
                <w:sz w:val="20"/>
                <w:szCs w:val="20"/>
                <w:lang w:eastAsia="fr-FR"/>
              </w:rPr>
              <w:t>Anacardiaceae</w:t>
            </w:r>
          </w:p>
        </w:tc>
        <w:tc>
          <w:tcPr>
            <w:tcW w:w="1412" w:type="dxa"/>
            <w:noWrap/>
            <w:hideMark/>
          </w:tcPr>
          <w:p w14:paraId="3B3D441F" w14:textId="77777777" w:rsidR="00701C80" w:rsidRPr="00A9330B" w:rsidRDefault="00701C80" w:rsidP="00DB04E9">
            <w:pPr>
              <w:spacing w:before="0" w:line="240" w:lineRule="auto"/>
              <w:jc w:val="both"/>
              <w:rPr>
                <w:rFonts w:eastAsia="Times New Roman" w:cs="Arial"/>
                <w:color w:val="000000"/>
                <w:sz w:val="20"/>
                <w:szCs w:val="20"/>
                <w:lang w:eastAsia="fr-FR"/>
              </w:rPr>
            </w:pPr>
            <w:r w:rsidRPr="00A9330B">
              <w:rPr>
                <w:rFonts w:eastAsia="Times New Roman" w:cs="Arial"/>
                <w:color w:val="000000"/>
                <w:sz w:val="20"/>
                <w:szCs w:val="20"/>
                <w:lang w:eastAsia="fr-FR"/>
              </w:rPr>
              <w:t>LC</w:t>
            </w:r>
          </w:p>
        </w:tc>
      </w:tr>
      <w:tr w:rsidR="00701C80" w:rsidRPr="00A9330B" w14:paraId="0DAAF18E" w14:textId="77777777" w:rsidTr="00825201">
        <w:trPr>
          <w:trHeight w:val="300"/>
        </w:trPr>
        <w:tc>
          <w:tcPr>
            <w:tcW w:w="2972" w:type="dxa"/>
            <w:vMerge/>
            <w:noWrap/>
            <w:hideMark/>
          </w:tcPr>
          <w:p w14:paraId="03328285" w14:textId="77777777" w:rsidR="00701C80" w:rsidRPr="00A9330B" w:rsidRDefault="00701C80" w:rsidP="00DB04E9">
            <w:pPr>
              <w:spacing w:before="0" w:line="240" w:lineRule="auto"/>
              <w:jc w:val="both"/>
              <w:rPr>
                <w:rFonts w:eastAsia="Times New Roman" w:cs="Arial"/>
                <w:color w:val="000000"/>
                <w:sz w:val="20"/>
                <w:szCs w:val="20"/>
                <w:lang w:eastAsia="fr-FR"/>
              </w:rPr>
            </w:pPr>
          </w:p>
        </w:tc>
        <w:tc>
          <w:tcPr>
            <w:tcW w:w="2268" w:type="dxa"/>
            <w:noWrap/>
            <w:hideMark/>
          </w:tcPr>
          <w:p w14:paraId="43C5CE01" w14:textId="77777777" w:rsidR="00701C80" w:rsidRPr="00A9330B" w:rsidRDefault="00701C80" w:rsidP="00DB04E9">
            <w:pPr>
              <w:spacing w:before="0" w:line="240" w:lineRule="auto"/>
              <w:jc w:val="both"/>
              <w:rPr>
                <w:rFonts w:eastAsia="Times New Roman" w:cs="Arial"/>
                <w:i/>
                <w:color w:val="000000"/>
                <w:sz w:val="20"/>
                <w:szCs w:val="20"/>
                <w:lang w:eastAsia="fr-FR"/>
              </w:rPr>
            </w:pPr>
            <w:r w:rsidRPr="00A9330B">
              <w:rPr>
                <w:rFonts w:eastAsia="Times New Roman" w:cs="Arial"/>
                <w:i/>
                <w:color w:val="000000"/>
                <w:sz w:val="20"/>
                <w:szCs w:val="20"/>
                <w:lang w:eastAsia="fr-FR"/>
              </w:rPr>
              <w:t>Musa sp</w:t>
            </w:r>
          </w:p>
        </w:tc>
        <w:tc>
          <w:tcPr>
            <w:tcW w:w="2410" w:type="dxa"/>
            <w:noWrap/>
            <w:hideMark/>
          </w:tcPr>
          <w:p w14:paraId="167CE438" w14:textId="77777777" w:rsidR="00701C80" w:rsidRPr="00A9330B" w:rsidRDefault="00701C80" w:rsidP="00DB04E9">
            <w:pPr>
              <w:spacing w:before="0" w:line="240" w:lineRule="auto"/>
              <w:jc w:val="both"/>
              <w:rPr>
                <w:rFonts w:eastAsia="Times New Roman" w:cs="Arial"/>
                <w:color w:val="000000"/>
                <w:sz w:val="20"/>
                <w:szCs w:val="20"/>
                <w:lang w:eastAsia="fr-FR"/>
              </w:rPr>
            </w:pPr>
            <w:r w:rsidRPr="00A9330B">
              <w:rPr>
                <w:rFonts w:eastAsia="Times New Roman" w:cs="Arial"/>
                <w:color w:val="000000"/>
                <w:sz w:val="20"/>
                <w:szCs w:val="20"/>
                <w:lang w:eastAsia="fr-FR"/>
              </w:rPr>
              <w:t>Musaceae</w:t>
            </w:r>
          </w:p>
        </w:tc>
        <w:tc>
          <w:tcPr>
            <w:tcW w:w="1412" w:type="dxa"/>
            <w:noWrap/>
            <w:hideMark/>
          </w:tcPr>
          <w:p w14:paraId="504BF961" w14:textId="77777777" w:rsidR="00701C80" w:rsidRPr="00A9330B" w:rsidRDefault="00701C80" w:rsidP="00DB04E9">
            <w:pPr>
              <w:spacing w:before="0" w:line="240" w:lineRule="auto"/>
              <w:jc w:val="both"/>
              <w:rPr>
                <w:rFonts w:eastAsia="Times New Roman" w:cs="Arial"/>
                <w:color w:val="000000"/>
                <w:sz w:val="20"/>
                <w:szCs w:val="20"/>
                <w:lang w:eastAsia="fr-FR"/>
              </w:rPr>
            </w:pPr>
          </w:p>
        </w:tc>
      </w:tr>
      <w:tr w:rsidR="00701C80" w:rsidRPr="00A9330B" w14:paraId="02E3F59B" w14:textId="77777777" w:rsidTr="00825201">
        <w:trPr>
          <w:trHeight w:val="300"/>
        </w:trPr>
        <w:tc>
          <w:tcPr>
            <w:tcW w:w="2972" w:type="dxa"/>
            <w:vMerge/>
            <w:noWrap/>
            <w:hideMark/>
          </w:tcPr>
          <w:p w14:paraId="72019CF7" w14:textId="77777777" w:rsidR="00701C80" w:rsidRPr="00A9330B" w:rsidRDefault="00701C80" w:rsidP="00DB04E9">
            <w:pPr>
              <w:spacing w:before="0" w:line="240" w:lineRule="auto"/>
              <w:jc w:val="both"/>
              <w:rPr>
                <w:rFonts w:eastAsia="Times New Roman" w:cs="Arial"/>
                <w:color w:val="auto"/>
                <w:sz w:val="20"/>
                <w:szCs w:val="20"/>
                <w:lang w:eastAsia="fr-FR"/>
              </w:rPr>
            </w:pPr>
          </w:p>
        </w:tc>
        <w:tc>
          <w:tcPr>
            <w:tcW w:w="2268" w:type="dxa"/>
            <w:noWrap/>
            <w:hideMark/>
          </w:tcPr>
          <w:p w14:paraId="42EF9B67" w14:textId="77777777" w:rsidR="00701C80" w:rsidRPr="00A9330B" w:rsidRDefault="00701C80" w:rsidP="00DB04E9">
            <w:pPr>
              <w:spacing w:before="0" w:line="240" w:lineRule="auto"/>
              <w:jc w:val="both"/>
              <w:rPr>
                <w:rFonts w:eastAsia="Times New Roman" w:cs="Arial"/>
                <w:i/>
                <w:color w:val="000000"/>
                <w:sz w:val="20"/>
                <w:szCs w:val="20"/>
                <w:lang w:eastAsia="fr-FR"/>
              </w:rPr>
            </w:pPr>
            <w:r w:rsidRPr="00A9330B">
              <w:rPr>
                <w:rFonts w:eastAsia="Times New Roman" w:cs="Arial"/>
                <w:i/>
                <w:color w:val="000000"/>
                <w:sz w:val="20"/>
                <w:szCs w:val="20"/>
                <w:lang w:eastAsia="fr-FR"/>
              </w:rPr>
              <w:t>Oncoba spinosa</w:t>
            </w:r>
          </w:p>
        </w:tc>
        <w:tc>
          <w:tcPr>
            <w:tcW w:w="2410" w:type="dxa"/>
            <w:noWrap/>
            <w:hideMark/>
          </w:tcPr>
          <w:p w14:paraId="7D299901" w14:textId="77777777" w:rsidR="00701C80" w:rsidRPr="00A9330B" w:rsidRDefault="00701C80" w:rsidP="00DB04E9">
            <w:pPr>
              <w:spacing w:before="0" w:line="240" w:lineRule="auto"/>
              <w:jc w:val="both"/>
              <w:rPr>
                <w:rFonts w:eastAsia="Times New Roman" w:cs="Arial"/>
                <w:color w:val="000000"/>
                <w:sz w:val="20"/>
                <w:szCs w:val="20"/>
                <w:lang w:eastAsia="fr-FR"/>
              </w:rPr>
            </w:pPr>
            <w:r w:rsidRPr="00A9330B">
              <w:rPr>
                <w:rFonts w:eastAsia="Times New Roman" w:cs="Arial"/>
                <w:color w:val="000000"/>
                <w:sz w:val="20"/>
                <w:szCs w:val="20"/>
                <w:lang w:eastAsia="fr-FR"/>
              </w:rPr>
              <w:t>Gentianaceae</w:t>
            </w:r>
          </w:p>
        </w:tc>
        <w:tc>
          <w:tcPr>
            <w:tcW w:w="1412" w:type="dxa"/>
            <w:noWrap/>
            <w:hideMark/>
          </w:tcPr>
          <w:p w14:paraId="3FDFAC5B" w14:textId="77777777" w:rsidR="00701C80" w:rsidRPr="00A9330B" w:rsidRDefault="00701C80" w:rsidP="00DB04E9">
            <w:pPr>
              <w:spacing w:before="0" w:line="240" w:lineRule="auto"/>
              <w:jc w:val="both"/>
              <w:rPr>
                <w:rFonts w:eastAsia="Times New Roman" w:cs="Arial"/>
                <w:color w:val="000000"/>
                <w:sz w:val="20"/>
                <w:szCs w:val="20"/>
                <w:lang w:eastAsia="fr-FR"/>
              </w:rPr>
            </w:pPr>
            <w:r w:rsidRPr="00A9330B">
              <w:rPr>
                <w:rFonts w:eastAsia="Times New Roman" w:cs="Arial"/>
                <w:color w:val="000000"/>
                <w:sz w:val="20"/>
                <w:szCs w:val="20"/>
                <w:lang w:eastAsia="fr-FR"/>
              </w:rPr>
              <w:t>LC</w:t>
            </w:r>
          </w:p>
        </w:tc>
      </w:tr>
      <w:tr w:rsidR="00701C80" w:rsidRPr="00A9330B" w14:paraId="5463C67C" w14:textId="77777777" w:rsidTr="00825201">
        <w:trPr>
          <w:trHeight w:val="300"/>
        </w:trPr>
        <w:tc>
          <w:tcPr>
            <w:tcW w:w="2972" w:type="dxa"/>
            <w:vMerge/>
            <w:noWrap/>
            <w:hideMark/>
          </w:tcPr>
          <w:p w14:paraId="7E51E6EA" w14:textId="77777777" w:rsidR="00701C80" w:rsidRPr="00A9330B" w:rsidRDefault="00701C80" w:rsidP="00DB04E9">
            <w:pPr>
              <w:spacing w:before="0" w:line="240" w:lineRule="auto"/>
              <w:jc w:val="both"/>
              <w:rPr>
                <w:rFonts w:eastAsia="Times New Roman" w:cs="Arial"/>
                <w:color w:val="000000"/>
                <w:sz w:val="20"/>
                <w:szCs w:val="20"/>
                <w:lang w:eastAsia="fr-FR"/>
              </w:rPr>
            </w:pPr>
          </w:p>
        </w:tc>
        <w:tc>
          <w:tcPr>
            <w:tcW w:w="2268" w:type="dxa"/>
            <w:noWrap/>
            <w:hideMark/>
          </w:tcPr>
          <w:p w14:paraId="27149446" w14:textId="77777777" w:rsidR="00701C80" w:rsidRPr="00A9330B" w:rsidRDefault="00701C80" w:rsidP="00DB04E9">
            <w:pPr>
              <w:spacing w:before="0" w:line="240" w:lineRule="auto"/>
              <w:jc w:val="both"/>
              <w:rPr>
                <w:rFonts w:eastAsia="Times New Roman" w:cs="Arial"/>
                <w:i/>
                <w:color w:val="000000"/>
                <w:sz w:val="20"/>
                <w:szCs w:val="20"/>
                <w:lang w:eastAsia="fr-FR"/>
              </w:rPr>
            </w:pPr>
            <w:r w:rsidRPr="00A9330B">
              <w:rPr>
                <w:rFonts w:eastAsia="Times New Roman" w:cs="Arial"/>
                <w:i/>
                <w:color w:val="000000"/>
                <w:sz w:val="20"/>
                <w:szCs w:val="20"/>
                <w:lang w:eastAsia="fr-FR"/>
              </w:rPr>
              <w:t>Parkia biglobosa</w:t>
            </w:r>
          </w:p>
        </w:tc>
        <w:tc>
          <w:tcPr>
            <w:tcW w:w="2410" w:type="dxa"/>
            <w:noWrap/>
            <w:hideMark/>
          </w:tcPr>
          <w:p w14:paraId="5B89162C" w14:textId="77777777" w:rsidR="00701C80" w:rsidRPr="00A9330B" w:rsidRDefault="00701C80" w:rsidP="00DB04E9">
            <w:pPr>
              <w:spacing w:before="0" w:line="240" w:lineRule="auto"/>
              <w:jc w:val="both"/>
              <w:rPr>
                <w:rFonts w:eastAsia="Times New Roman" w:cs="Arial"/>
                <w:color w:val="000000"/>
                <w:sz w:val="20"/>
                <w:szCs w:val="20"/>
                <w:lang w:eastAsia="fr-FR"/>
              </w:rPr>
            </w:pPr>
            <w:r w:rsidRPr="00A9330B">
              <w:rPr>
                <w:rFonts w:eastAsia="Times New Roman" w:cs="Arial"/>
                <w:color w:val="000000"/>
                <w:sz w:val="20"/>
                <w:szCs w:val="20"/>
                <w:lang w:eastAsia="fr-FR"/>
              </w:rPr>
              <w:t>Leguminosae-Mimosoideae</w:t>
            </w:r>
          </w:p>
        </w:tc>
        <w:tc>
          <w:tcPr>
            <w:tcW w:w="1412" w:type="dxa"/>
            <w:noWrap/>
            <w:hideMark/>
          </w:tcPr>
          <w:p w14:paraId="35248089" w14:textId="77777777" w:rsidR="00701C80" w:rsidRPr="00A9330B" w:rsidRDefault="00701C80" w:rsidP="00DB04E9">
            <w:pPr>
              <w:spacing w:before="0" w:line="240" w:lineRule="auto"/>
              <w:jc w:val="both"/>
              <w:rPr>
                <w:rFonts w:eastAsia="Times New Roman" w:cs="Arial"/>
                <w:color w:val="000000"/>
                <w:sz w:val="20"/>
                <w:szCs w:val="20"/>
                <w:lang w:eastAsia="fr-FR"/>
              </w:rPr>
            </w:pPr>
            <w:r w:rsidRPr="00A9330B">
              <w:rPr>
                <w:rFonts w:eastAsia="Times New Roman" w:cs="Arial"/>
                <w:color w:val="000000"/>
                <w:sz w:val="20"/>
                <w:szCs w:val="20"/>
                <w:lang w:eastAsia="fr-FR"/>
              </w:rPr>
              <w:t>EN</w:t>
            </w:r>
          </w:p>
        </w:tc>
      </w:tr>
      <w:tr w:rsidR="00701C80" w:rsidRPr="00A9330B" w14:paraId="6AEFC64B" w14:textId="77777777" w:rsidTr="00825201">
        <w:trPr>
          <w:trHeight w:val="300"/>
        </w:trPr>
        <w:tc>
          <w:tcPr>
            <w:tcW w:w="2972" w:type="dxa"/>
            <w:vMerge/>
            <w:noWrap/>
            <w:hideMark/>
          </w:tcPr>
          <w:p w14:paraId="12C25E2A" w14:textId="77777777" w:rsidR="00701C80" w:rsidRPr="00A9330B" w:rsidRDefault="00701C80" w:rsidP="00DB04E9">
            <w:pPr>
              <w:spacing w:before="0" w:line="240" w:lineRule="auto"/>
              <w:jc w:val="both"/>
              <w:rPr>
                <w:rFonts w:eastAsia="Times New Roman" w:cs="Arial"/>
                <w:color w:val="000000"/>
                <w:sz w:val="20"/>
                <w:szCs w:val="20"/>
                <w:lang w:eastAsia="fr-FR"/>
              </w:rPr>
            </w:pPr>
          </w:p>
        </w:tc>
        <w:tc>
          <w:tcPr>
            <w:tcW w:w="2268" w:type="dxa"/>
            <w:noWrap/>
            <w:hideMark/>
          </w:tcPr>
          <w:p w14:paraId="45A31FF0" w14:textId="77777777" w:rsidR="00701C80" w:rsidRPr="00A9330B" w:rsidRDefault="00701C80" w:rsidP="00DB04E9">
            <w:pPr>
              <w:spacing w:before="0" w:line="240" w:lineRule="auto"/>
              <w:jc w:val="both"/>
              <w:rPr>
                <w:rFonts w:eastAsia="Times New Roman" w:cs="Arial"/>
                <w:i/>
                <w:color w:val="000000"/>
                <w:sz w:val="20"/>
                <w:szCs w:val="20"/>
                <w:lang w:eastAsia="fr-FR"/>
              </w:rPr>
            </w:pPr>
            <w:r w:rsidRPr="00A9330B">
              <w:rPr>
                <w:rFonts w:eastAsia="Times New Roman" w:cs="Arial"/>
                <w:i/>
                <w:color w:val="000000"/>
                <w:sz w:val="20"/>
                <w:szCs w:val="20"/>
                <w:lang w:eastAsia="fr-FR"/>
              </w:rPr>
              <w:t>Persea americana</w:t>
            </w:r>
          </w:p>
        </w:tc>
        <w:tc>
          <w:tcPr>
            <w:tcW w:w="2410" w:type="dxa"/>
            <w:noWrap/>
            <w:hideMark/>
          </w:tcPr>
          <w:p w14:paraId="1E0D1A3F" w14:textId="77777777" w:rsidR="00701C80" w:rsidRPr="00A9330B" w:rsidRDefault="00701C80" w:rsidP="00DB04E9">
            <w:pPr>
              <w:spacing w:before="0" w:line="240" w:lineRule="auto"/>
              <w:jc w:val="both"/>
              <w:rPr>
                <w:rFonts w:eastAsia="Times New Roman" w:cs="Arial"/>
                <w:color w:val="000000"/>
                <w:sz w:val="20"/>
                <w:szCs w:val="20"/>
                <w:lang w:eastAsia="fr-FR"/>
              </w:rPr>
            </w:pPr>
            <w:r w:rsidRPr="00A9330B">
              <w:rPr>
                <w:rFonts w:eastAsia="Times New Roman" w:cs="Arial"/>
                <w:color w:val="000000"/>
                <w:sz w:val="20"/>
                <w:szCs w:val="20"/>
                <w:lang w:eastAsia="fr-FR"/>
              </w:rPr>
              <w:t>Lauraceae</w:t>
            </w:r>
          </w:p>
        </w:tc>
        <w:tc>
          <w:tcPr>
            <w:tcW w:w="1412" w:type="dxa"/>
            <w:noWrap/>
            <w:hideMark/>
          </w:tcPr>
          <w:p w14:paraId="77B4B77A" w14:textId="77777777" w:rsidR="00701C80" w:rsidRPr="00A9330B" w:rsidRDefault="00701C80" w:rsidP="00DB04E9">
            <w:pPr>
              <w:spacing w:before="0" w:line="240" w:lineRule="auto"/>
              <w:jc w:val="both"/>
              <w:rPr>
                <w:rFonts w:eastAsia="Times New Roman" w:cs="Arial"/>
                <w:color w:val="000000"/>
                <w:sz w:val="20"/>
                <w:szCs w:val="20"/>
                <w:lang w:eastAsia="fr-FR"/>
              </w:rPr>
            </w:pPr>
          </w:p>
        </w:tc>
      </w:tr>
      <w:tr w:rsidR="00701C80" w:rsidRPr="00A9330B" w14:paraId="56125BCD" w14:textId="77777777" w:rsidTr="00825201">
        <w:trPr>
          <w:trHeight w:val="300"/>
        </w:trPr>
        <w:tc>
          <w:tcPr>
            <w:tcW w:w="2972" w:type="dxa"/>
            <w:vMerge/>
            <w:noWrap/>
            <w:hideMark/>
          </w:tcPr>
          <w:p w14:paraId="0B971892" w14:textId="77777777" w:rsidR="00701C80" w:rsidRPr="00A9330B" w:rsidRDefault="00701C80" w:rsidP="00DB04E9">
            <w:pPr>
              <w:spacing w:before="0" w:line="240" w:lineRule="auto"/>
              <w:jc w:val="both"/>
              <w:rPr>
                <w:rFonts w:eastAsia="Times New Roman" w:cs="Arial"/>
                <w:color w:val="auto"/>
                <w:sz w:val="20"/>
                <w:szCs w:val="20"/>
                <w:lang w:eastAsia="fr-FR"/>
              </w:rPr>
            </w:pPr>
          </w:p>
        </w:tc>
        <w:tc>
          <w:tcPr>
            <w:tcW w:w="2268" w:type="dxa"/>
            <w:noWrap/>
            <w:hideMark/>
          </w:tcPr>
          <w:p w14:paraId="3E964D1D" w14:textId="77777777" w:rsidR="00701C80" w:rsidRPr="00A9330B" w:rsidRDefault="00701C80" w:rsidP="00DB04E9">
            <w:pPr>
              <w:spacing w:before="0" w:line="240" w:lineRule="auto"/>
              <w:jc w:val="both"/>
              <w:rPr>
                <w:rFonts w:eastAsia="Times New Roman" w:cs="Arial"/>
                <w:i/>
                <w:color w:val="000000"/>
                <w:sz w:val="20"/>
                <w:szCs w:val="20"/>
                <w:lang w:eastAsia="fr-FR"/>
              </w:rPr>
            </w:pPr>
            <w:r w:rsidRPr="00A9330B">
              <w:rPr>
                <w:rFonts w:eastAsia="Times New Roman" w:cs="Arial"/>
                <w:i/>
                <w:color w:val="000000"/>
                <w:sz w:val="20"/>
                <w:szCs w:val="20"/>
                <w:lang w:eastAsia="fr-FR"/>
              </w:rPr>
              <w:t>Psidium guajava</w:t>
            </w:r>
          </w:p>
        </w:tc>
        <w:tc>
          <w:tcPr>
            <w:tcW w:w="2410" w:type="dxa"/>
            <w:noWrap/>
            <w:hideMark/>
          </w:tcPr>
          <w:p w14:paraId="27193498" w14:textId="77777777" w:rsidR="00701C80" w:rsidRPr="00A9330B" w:rsidRDefault="00701C80" w:rsidP="00DB04E9">
            <w:pPr>
              <w:spacing w:before="0" w:line="240" w:lineRule="auto"/>
              <w:jc w:val="both"/>
              <w:rPr>
                <w:rFonts w:eastAsia="Times New Roman" w:cs="Arial"/>
                <w:color w:val="000000"/>
                <w:sz w:val="20"/>
                <w:szCs w:val="20"/>
                <w:lang w:eastAsia="fr-FR"/>
              </w:rPr>
            </w:pPr>
            <w:r w:rsidRPr="00A9330B">
              <w:rPr>
                <w:rFonts w:eastAsia="Times New Roman" w:cs="Arial"/>
                <w:color w:val="000000"/>
                <w:sz w:val="20"/>
                <w:szCs w:val="20"/>
                <w:lang w:eastAsia="fr-FR"/>
              </w:rPr>
              <w:t>Myrtaceae</w:t>
            </w:r>
          </w:p>
        </w:tc>
        <w:tc>
          <w:tcPr>
            <w:tcW w:w="1412" w:type="dxa"/>
            <w:noWrap/>
            <w:hideMark/>
          </w:tcPr>
          <w:p w14:paraId="0D0363A5" w14:textId="77777777" w:rsidR="00701C80" w:rsidRPr="00A9330B" w:rsidRDefault="00701C80" w:rsidP="00DB04E9">
            <w:pPr>
              <w:spacing w:before="0" w:line="240" w:lineRule="auto"/>
              <w:jc w:val="both"/>
              <w:rPr>
                <w:rFonts w:eastAsia="Times New Roman" w:cs="Arial"/>
                <w:color w:val="000000"/>
                <w:sz w:val="20"/>
                <w:szCs w:val="20"/>
                <w:lang w:eastAsia="fr-FR"/>
              </w:rPr>
            </w:pPr>
            <w:r w:rsidRPr="00A9330B">
              <w:rPr>
                <w:rFonts w:eastAsia="Times New Roman" w:cs="Arial"/>
                <w:color w:val="000000"/>
                <w:sz w:val="20"/>
                <w:szCs w:val="20"/>
                <w:lang w:eastAsia="fr-FR"/>
              </w:rPr>
              <w:t>LC</w:t>
            </w:r>
          </w:p>
        </w:tc>
      </w:tr>
      <w:tr w:rsidR="00701C80" w:rsidRPr="00A9330B" w14:paraId="73EE51B1" w14:textId="77777777" w:rsidTr="00825201">
        <w:trPr>
          <w:trHeight w:val="300"/>
        </w:trPr>
        <w:tc>
          <w:tcPr>
            <w:tcW w:w="2972" w:type="dxa"/>
            <w:vMerge/>
            <w:noWrap/>
            <w:hideMark/>
          </w:tcPr>
          <w:p w14:paraId="19589D6B" w14:textId="77777777" w:rsidR="00701C80" w:rsidRPr="00A9330B" w:rsidRDefault="00701C80" w:rsidP="00DB04E9">
            <w:pPr>
              <w:spacing w:before="0" w:line="240" w:lineRule="auto"/>
              <w:jc w:val="both"/>
              <w:rPr>
                <w:rFonts w:eastAsia="Times New Roman" w:cs="Arial"/>
                <w:color w:val="000000"/>
                <w:sz w:val="20"/>
                <w:szCs w:val="20"/>
                <w:lang w:eastAsia="fr-FR"/>
              </w:rPr>
            </w:pPr>
          </w:p>
        </w:tc>
        <w:tc>
          <w:tcPr>
            <w:tcW w:w="2268" w:type="dxa"/>
            <w:noWrap/>
            <w:hideMark/>
          </w:tcPr>
          <w:p w14:paraId="779BD275" w14:textId="77777777" w:rsidR="00701C80" w:rsidRPr="00A9330B" w:rsidRDefault="00701C80" w:rsidP="00DB04E9">
            <w:pPr>
              <w:spacing w:before="0" w:line="240" w:lineRule="auto"/>
              <w:jc w:val="both"/>
              <w:rPr>
                <w:rFonts w:eastAsia="Times New Roman" w:cs="Arial"/>
                <w:i/>
                <w:color w:val="000000"/>
                <w:sz w:val="20"/>
                <w:szCs w:val="20"/>
                <w:lang w:eastAsia="fr-FR"/>
              </w:rPr>
            </w:pPr>
            <w:r w:rsidRPr="00A9330B">
              <w:rPr>
                <w:rFonts w:eastAsia="Times New Roman" w:cs="Arial"/>
                <w:i/>
                <w:color w:val="000000"/>
                <w:sz w:val="20"/>
                <w:szCs w:val="20"/>
                <w:lang w:eastAsia="fr-FR"/>
              </w:rPr>
              <w:t>Rhodognaphalon brevicuspe</w:t>
            </w:r>
          </w:p>
        </w:tc>
        <w:tc>
          <w:tcPr>
            <w:tcW w:w="2410" w:type="dxa"/>
            <w:noWrap/>
            <w:hideMark/>
          </w:tcPr>
          <w:p w14:paraId="2FE5C260" w14:textId="77777777" w:rsidR="00701C80" w:rsidRPr="00A9330B" w:rsidRDefault="00701C80" w:rsidP="00DB04E9">
            <w:pPr>
              <w:spacing w:before="0" w:line="240" w:lineRule="auto"/>
              <w:jc w:val="both"/>
              <w:rPr>
                <w:rFonts w:eastAsia="Times New Roman" w:cs="Arial"/>
                <w:color w:val="000000"/>
                <w:sz w:val="20"/>
                <w:szCs w:val="20"/>
                <w:lang w:eastAsia="fr-FR"/>
              </w:rPr>
            </w:pPr>
            <w:r w:rsidRPr="00A9330B">
              <w:rPr>
                <w:rFonts w:eastAsia="Times New Roman" w:cs="Arial"/>
                <w:color w:val="000000"/>
                <w:sz w:val="20"/>
                <w:szCs w:val="20"/>
                <w:lang w:eastAsia="fr-FR"/>
              </w:rPr>
              <w:t>Boraginaceae</w:t>
            </w:r>
          </w:p>
        </w:tc>
        <w:tc>
          <w:tcPr>
            <w:tcW w:w="1412" w:type="dxa"/>
            <w:noWrap/>
            <w:hideMark/>
          </w:tcPr>
          <w:p w14:paraId="1C5E97B2" w14:textId="77777777" w:rsidR="00701C80" w:rsidRPr="00A9330B" w:rsidRDefault="00701C80" w:rsidP="00DB04E9">
            <w:pPr>
              <w:spacing w:before="0" w:line="240" w:lineRule="auto"/>
              <w:jc w:val="both"/>
              <w:rPr>
                <w:rFonts w:eastAsia="Times New Roman" w:cs="Arial"/>
                <w:color w:val="000000"/>
                <w:sz w:val="20"/>
                <w:szCs w:val="20"/>
                <w:lang w:eastAsia="fr-FR"/>
              </w:rPr>
            </w:pPr>
          </w:p>
        </w:tc>
      </w:tr>
      <w:tr w:rsidR="00701C80" w:rsidRPr="00A9330B" w14:paraId="1E582060" w14:textId="77777777" w:rsidTr="00825201">
        <w:trPr>
          <w:trHeight w:val="300"/>
        </w:trPr>
        <w:tc>
          <w:tcPr>
            <w:tcW w:w="2972" w:type="dxa"/>
            <w:vMerge/>
            <w:noWrap/>
            <w:hideMark/>
          </w:tcPr>
          <w:p w14:paraId="18C0DED3" w14:textId="77777777" w:rsidR="00701C80" w:rsidRPr="00A9330B" w:rsidRDefault="00701C80" w:rsidP="00DB04E9">
            <w:pPr>
              <w:spacing w:before="0" w:line="240" w:lineRule="auto"/>
              <w:jc w:val="both"/>
              <w:rPr>
                <w:rFonts w:eastAsia="Times New Roman" w:cs="Arial"/>
                <w:color w:val="auto"/>
                <w:sz w:val="20"/>
                <w:szCs w:val="20"/>
                <w:lang w:eastAsia="fr-FR"/>
              </w:rPr>
            </w:pPr>
          </w:p>
        </w:tc>
        <w:tc>
          <w:tcPr>
            <w:tcW w:w="2268" w:type="dxa"/>
            <w:noWrap/>
            <w:hideMark/>
          </w:tcPr>
          <w:p w14:paraId="3A31114E" w14:textId="77777777" w:rsidR="00701C80" w:rsidRPr="00A9330B" w:rsidRDefault="00701C80" w:rsidP="00DB04E9">
            <w:pPr>
              <w:spacing w:before="0" w:line="240" w:lineRule="auto"/>
              <w:jc w:val="both"/>
              <w:rPr>
                <w:rFonts w:eastAsia="Times New Roman" w:cs="Arial"/>
                <w:i/>
                <w:color w:val="000000"/>
                <w:sz w:val="20"/>
                <w:szCs w:val="20"/>
                <w:lang w:eastAsia="fr-FR"/>
              </w:rPr>
            </w:pPr>
            <w:r w:rsidRPr="00A9330B">
              <w:rPr>
                <w:rFonts w:eastAsia="Times New Roman" w:cs="Arial"/>
                <w:i/>
                <w:color w:val="000000"/>
                <w:sz w:val="20"/>
                <w:szCs w:val="20"/>
                <w:lang w:eastAsia="fr-FR"/>
              </w:rPr>
              <w:t xml:space="preserve">Senna siamea </w:t>
            </w:r>
          </w:p>
        </w:tc>
        <w:tc>
          <w:tcPr>
            <w:tcW w:w="2410" w:type="dxa"/>
            <w:noWrap/>
            <w:hideMark/>
          </w:tcPr>
          <w:p w14:paraId="0771B036" w14:textId="77777777" w:rsidR="00701C80" w:rsidRPr="00A9330B" w:rsidRDefault="00701C80" w:rsidP="00DB04E9">
            <w:pPr>
              <w:spacing w:before="0" w:line="240" w:lineRule="auto"/>
              <w:jc w:val="both"/>
              <w:rPr>
                <w:rFonts w:eastAsia="Times New Roman" w:cs="Arial"/>
                <w:color w:val="000000"/>
                <w:sz w:val="20"/>
                <w:szCs w:val="20"/>
                <w:lang w:eastAsia="fr-FR"/>
              </w:rPr>
            </w:pPr>
            <w:r w:rsidRPr="00A9330B">
              <w:rPr>
                <w:rFonts w:eastAsia="Times New Roman" w:cs="Arial"/>
                <w:color w:val="000000"/>
                <w:sz w:val="20"/>
                <w:szCs w:val="20"/>
                <w:lang w:eastAsia="fr-FR"/>
              </w:rPr>
              <w:t>Leguminosae-Caesalpinioideae</w:t>
            </w:r>
          </w:p>
        </w:tc>
        <w:tc>
          <w:tcPr>
            <w:tcW w:w="1412" w:type="dxa"/>
            <w:noWrap/>
            <w:hideMark/>
          </w:tcPr>
          <w:p w14:paraId="2F81B70C" w14:textId="77777777" w:rsidR="00701C80" w:rsidRPr="00A9330B" w:rsidRDefault="00701C80" w:rsidP="00DB04E9">
            <w:pPr>
              <w:spacing w:before="0" w:line="240" w:lineRule="auto"/>
              <w:jc w:val="both"/>
              <w:rPr>
                <w:rFonts w:eastAsia="Times New Roman" w:cs="Arial"/>
                <w:color w:val="000000"/>
                <w:sz w:val="20"/>
                <w:szCs w:val="20"/>
                <w:lang w:eastAsia="fr-FR"/>
              </w:rPr>
            </w:pPr>
            <w:r w:rsidRPr="00A9330B">
              <w:rPr>
                <w:rFonts w:eastAsia="Times New Roman" w:cs="Arial"/>
                <w:color w:val="000000"/>
                <w:sz w:val="20"/>
                <w:szCs w:val="20"/>
                <w:lang w:eastAsia="fr-FR"/>
              </w:rPr>
              <w:t>LC</w:t>
            </w:r>
          </w:p>
        </w:tc>
      </w:tr>
      <w:tr w:rsidR="00701C80" w:rsidRPr="00A9330B" w14:paraId="14994540" w14:textId="77777777" w:rsidTr="00825201">
        <w:trPr>
          <w:trHeight w:val="300"/>
        </w:trPr>
        <w:tc>
          <w:tcPr>
            <w:tcW w:w="2972" w:type="dxa"/>
            <w:vMerge/>
            <w:noWrap/>
            <w:hideMark/>
          </w:tcPr>
          <w:p w14:paraId="35DED49F" w14:textId="77777777" w:rsidR="00701C80" w:rsidRPr="00A9330B" w:rsidRDefault="00701C80" w:rsidP="00DB04E9">
            <w:pPr>
              <w:spacing w:before="0" w:line="240" w:lineRule="auto"/>
              <w:jc w:val="both"/>
              <w:rPr>
                <w:rFonts w:eastAsia="Times New Roman" w:cs="Arial"/>
                <w:color w:val="000000"/>
                <w:sz w:val="20"/>
                <w:szCs w:val="20"/>
                <w:lang w:eastAsia="fr-FR"/>
              </w:rPr>
            </w:pPr>
          </w:p>
        </w:tc>
        <w:tc>
          <w:tcPr>
            <w:tcW w:w="2268" w:type="dxa"/>
            <w:noWrap/>
            <w:hideMark/>
          </w:tcPr>
          <w:p w14:paraId="408FB81F" w14:textId="77777777" w:rsidR="00701C80" w:rsidRPr="00A9330B" w:rsidRDefault="00701C80" w:rsidP="00DB04E9">
            <w:pPr>
              <w:spacing w:before="0" w:line="240" w:lineRule="auto"/>
              <w:jc w:val="both"/>
              <w:rPr>
                <w:rFonts w:eastAsia="Times New Roman" w:cs="Arial"/>
                <w:i/>
                <w:color w:val="000000"/>
                <w:sz w:val="20"/>
                <w:szCs w:val="20"/>
                <w:lang w:eastAsia="fr-FR"/>
              </w:rPr>
            </w:pPr>
            <w:r w:rsidRPr="00A9330B">
              <w:rPr>
                <w:rFonts w:eastAsia="Times New Roman" w:cs="Arial"/>
                <w:i/>
                <w:color w:val="000000"/>
                <w:sz w:val="20"/>
                <w:szCs w:val="20"/>
                <w:lang w:eastAsia="fr-FR"/>
              </w:rPr>
              <w:t xml:space="preserve">Tectona grandis </w:t>
            </w:r>
          </w:p>
        </w:tc>
        <w:tc>
          <w:tcPr>
            <w:tcW w:w="2410" w:type="dxa"/>
            <w:noWrap/>
            <w:hideMark/>
          </w:tcPr>
          <w:p w14:paraId="6497475D" w14:textId="77777777" w:rsidR="00701C80" w:rsidRPr="00A9330B" w:rsidRDefault="00701C80" w:rsidP="00DB04E9">
            <w:pPr>
              <w:spacing w:before="0" w:line="240" w:lineRule="auto"/>
              <w:jc w:val="both"/>
              <w:rPr>
                <w:rFonts w:eastAsia="Times New Roman" w:cs="Arial"/>
                <w:color w:val="000000"/>
                <w:sz w:val="20"/>
                <w:szCs w:val="20"/>
                <w:lang w:eastAsia="fr-FR"/>
              </w:rPr>
            </w:pPr>
            <w:r w:rsidRPr="00A9330B">
              <w:rPr>
                <w:rFonts w:eastAsia="Times New Roman" w:cs="Arial"/>
                <w:color w:val="000000"/>
                <w:sz w:val="20"/>
                <w:szCs w:val="20"/>
                <w:lang w:eastAsia="fr-FR"/>
              </w:rPr>
              <w:t>Verbenaceae</w:t>
            </w:r>
          </w:p>
        </w:tc>
        <w:tc>
          <w:tcPr>
            <w:tcW w:w="1412" w:type="dxa"/>
            <w:noWrap/>
            <w:hideMark/>
          </w:tcPr>
          <w:p w14:paraId="1A99AD47" w14:textId="77777777" w:rsidR="00701C80" w:rsidRPr="00A9330B" w:rsidRDefault="00701C80" w:rsidP="00DB04E9">
            <w:pPr>
              <w:spacing w:before="0" w:line="240" w:lineRule="auto"/>
              <w:jc w:val="both"/>
              <w:rPr>
                <w:rFonts w:eastAsia="Times New Roman" w:cs="Arial"/>
                <w:color w:val="000000"/>
                <w:sz w:val="20"/>
                <w:szCs w:val="20"/>
                <w:lang w:eastAsia="fr-FR"/>
              </w:rPr>
            </w:pPr>
            <w:r w:rsidRPr="00A9330B">
              <w:rPr>
                <w:rFonts w:eastAsia="Times New Roman" w:cs="Arial"/>
                <w:color w:val="000000"/>
                <w:sz w:val="20"/>
                <w:szCs w:val="20"/>
                <w:lang w:eastAsia="fr-FR"/>
              </w:rPr>
              <w:t>LC</w:t>
            </w:r>
          </w:p>
        </w:tc>
      </w:tr>
      <w:tr w:rsidR="00701C80" w:rsidRPr="00A9330B" w14:paraId="725F7EAF" w14:textId="77777777" w:rsidTr="00825201">
        <w:trPr>
          <w:trHeight w:val="300"/>
        </w:trPr>
        <w:tc>
          <w:tcPr>
            <w:tcW w:w="2972" w:type="dxa"/>
            <w:vMerge/>
            <w:noWrap/>
            <w:hideMark/>
          </w:tcPr>
          <w:p w14:paraId="57027487" w14:textId="77777777" w:rsidR="00701C80" w:rsidRPr="00A9330B" w:rsidRDefault="00701C80" w:rsidP="00DB04E9">
            <w:pPr>
              <w:spacing w:before="0" w:line="240" w:lineRule="auto"/>
              <w:jc w:val="both"/>
              <w:rPr>
                <w:rFonts w:eastAsia="Times New Roman" w:cs="Arial"/>
                <w:color w:val="000000"/>
                <w:sz w:val="20"/>
                <w:szCs w:val="20"/>
                <w:lang w:eastAsia="fr-FR"/>
              </w:rPr>
            </w:pPr>
          </w:p>
        </w:tc>
        <w:tc>
          <w:tcPr>
            <w:tcW w:w="2268" w:type="dxa"/>
            <w:noWrap/>
            <w:hideMark/>
          </w:tcPr>
          <w:p w14:paraId="143D3570" w14:textId="77777777" w:rsidR="00701C80" w:rsidRPr="00A9330B" w:rsidRDefault="00701C80" w:rsidP="00DB04E9">
            <w:pPr>
              <w:spacing w:before="0" w:line="240" w:lineRule="auto"/>
              <w:jc w:val="both"/>
              <w:rPr>
                <w:rFonts w:eastAsia="Times New Roman" w:cs="Arial"/>
                <w:i/>
                <w:color w:val="000000"/>
                <w:sz w:val="20"/>
                <w:szCs w:val="20"/>
                <w:lang w:eastAsia="fr-FR"/>
              </w:rPr>
            </w:pPr>
            <w:r w:rsidRPr="00A9330B">
              <w:rPr>
                <w:rFonts w:eastAsia="Times New Roman" w:cs="Arial"/>
                <w:i/>
                <w:color w:val="000000"/>
                <w:sz w:val="20"/>
                <w:szCs w:val="20"/>
                <w:lang w:eastAsia="fr-FR"/>
              </w:rPr>
              <w:t xml:space="preserve">Tectona grandis </w:t>
            </w:r>
          </w:p>
        </w:tc>
        <w:tc>
          <w:tcPr>
            <w:tcW w:w="2410" w:type="dxa"/>
            <w:noWrap/>
            <w:hideMark/>
          </w:tcPr>
          <w:p w14:paraId="0B37CDBA" w14:textId="77777777" w:rsidR="00701C80" w:rsidRPr="00A9330B" w:rsidRDefault="00701C80" w:rsidP="00DB04E9">
            <w:pPr>
              <w:spacing w:before="0" w:line="240" w:lineRule="auto"/>
              <w:jc w:val="both"/>
              <w:rPr>
                <w:rFonts w:eastAsia="Times New Roman" w:cs="Arial"/>
                <w:color w:val="000000"/>
                <w:sz w:val="20"/>
                <w:szCs w:val="20"/>
                <w:lang w:eastAsia="fr-FR"/>
              </w:rPr>
            </w:pPr>
            <w:r w:rsidRPr="00A9330B">
              <w:rPr>
                <w:rFonts w:eastAsia="Times New Roman" w:cs="Arial"/>
                <w:color w:val="000000"/>
                <w:sz w:val="20"/>
                <w:szCs w:val="20"/>
                <w:lang w:eastAsia="fr-FR"/>
              </w:rPr>
              <w:t>Verbenaceae</w:t>
            </w:r>
          </w:p>
        </w:tc>
        <w:tc>
          <w:tcPr>
            <w:tcW w:w="1412" w:type="dxa"/>
            <w:noWrap/>
            <w:hideMark/>
          </w:tcPr>
          <w:p w14:paraId="76DC0958" w14:textId="77777777" w:rsidR="00701C80" w:rsidRPr="00A9330B" w:rsidRDefault="00701C80" w:rsidP="00DB04E9">
            <w:pPr>
              <w:spacing w:before="0" w:line="240" w:lineRule="auto"/>
              <w:jc w:val="both"/>
              <w:rPr>
                <w:rFonts w:eastAsia="Times New Roman" w:cs="Arial"/>
                <w:color w:val="000000"/>
                <w:sz w:val="20"/>
                <w:szCs w:val="20"/>
                <w:lang w:eastAsia="fr-FR"/>
              </w:rPr>
            </w:pPr>
          </w:p>
        </w:tc>
      </w:tr>
      <w:tr w:rsidR="00701C80" w:rsidRPr="00A9330B" w14:paraId="24F8EECD" w14:textId="77777777" w:rsidTr="00825201">
        <w:trPr>
          <w:trHeight w:val="300"/>
        </w:trPr>
        <w:tc>
          <w:tcPr>
            <w:tcW w:w="2972" w:type="dxa"/>
            <w:vMerge/>
            <w:noWrap/>
            <w:hideMark/>
          </w:tcPr>
          <w:p w14:paraId="548BFA61" w14:textId="77777777" w:rsidR="00701C80" w:rsidRPr="00A9330B" w:rsidRDefault="00701C80" w:rsidP="00DB04E9">
            <w:pPr>
              <w:spacing w:before="0" w:line="240" w:lineRule="auto"/>
              <w:jc w:val="both"/>
              <w:rPr>
                <w:rFonts w:eastAsia="Times New Roman" w:cs="Arial"/>
                <w:color w:val="auto"/>
                <w:sz w:val="20"/>
                <w:szCs w:val="20"/>
                <w:lang w:eastAsia="fr-FR"/>
              </w:rPr>
            </w:pPr>
          </w:p>
        </w:tc>
        <w:tc>
          <w:tcPr>
            <w:tcW w:w="2268" w:type="dxa"/>
            <w:noWrap/>
            <w:hideMark/>
          </w:tcPr>
          <w:p w14:paraId="1911505B" w14:textId="77777777" w:rsidR="00701C80" w:rsidRPr="00A9330B" w:rsidRDefault="00701C80" w:rsidP="00DB04E9">
            <w:pPr>
              <w:spacing w:before="0" w:line="240" w:lineRule="auto"/>
              <w:jc w:val="both"/>
              <w:rPr>
                <w:rFonts w:eastAsia="Times New Roman" w:cs="Arial"/>
                <w:i/>
                <w:color w:val="000000"/>
                <w:sz w:val="20"/>
                <w:szCs w:val="20"/>
                <w:lang w:eastAsia="fr-FR"/>
              </w:rPr>
            </w:pPr>
            <w:r w:rsidRPr="00A9330B">
              <w:rPr>
                <w:rFonts w:eastAsia="Times New Roman" w:cs="Arial"/>
                <w:i/>
                <w:color w:val="000000"/>
                <w:sz w:val="20"/>
                <w:szCs w:val="20"/>
                <w:lang w:eastAsia="fr-FR"/>
              </w:rPr>
              <w:t>Terminalia catappa</w:t>
            </w:r>
          </w:p>
        </w:tc>
        <w:tc>
          <w:tcPr>
            <w:tcW w:w="2410" w:type="dxa"/>
            <w:noWrap/>
            <w:hideMark/>
          </w:tcPr>
          <w:p w14:paraId="484462DD" w14:textId="77777777" w:rsidR="00701C80" w:rsidRPr="00A9330B" w:rsidRDefault="00701C80" w:rsidP="00DB04E9">
            <w:pPr>
              <w:spacing w:before="0" w:line="240" w:lineRule="auto"/>
              <w:jc w:val="both"/>
              <w:rPr>
                <w:rFonts w:eastAsia="Times New Roman" w:cs="Arial"/>
                <w:color w:val="000000"/>
                <w:sz w:val="20"/>
                <w:szCs w:val="20"/>
                <w:lang w:eastAsia="fr-FR"/>
              </w:rPr>
            </w:pPr>
            <w:r w:rsidRPr="00A9330B">
              <w:rPr>
                <w:rFonts w:eastAsia="Times New Roman" w:cs="Arial"/>
                <w:color w:val="000000"/>
                <w:sz w:val="20"/>
                <w:szCs w:val="20"/>
                <w:lang w:eastAsia="fr-FR"/>
              </w:rPr>
              <w:t>Combretaceae</w:t>
            </w:r>
          </w:p>
        </w:tc>
        <w:tc>
          <w:tcPr>
            <w:tcW w:w="1412" w:type="dxa"/>
            <w:noWrap/>
            <w:hideMark/>
          </w:tcPr>
          <w:p w14:paraId="02918DC8" w14:textId="77777777" w:rsidR="00701C80" w:rsidRPr="00A9330B" w:rsidRDefault="00701C80" w:rsidP="00DB04E9">
            <w:pPr>
              <w:spacing w:before="0" w:line="240" w:lineRule="auto"/>
              <w:jc w:val="both"/>
              <w:rPr>
                <w:rFonts w:eastAsia="Times New Roman" w:cs="Arial"/>
                <w:color w:val="000000"/>
                <w:sz w:val="20"/>
                <w:szCs w:val="20"/>
                <w:lang w:eastAsia="fr-FR"/>
              </w:rPr>
            </w:pPr>
            <w:r w:rsidRPr="00A9330B">
              <w:rPr>
                <w:rFonts w:eastAsia="Times New Roman" w:cs="Arial"/>
                <w:color w:val="000000"/>
                <w:sz w:val="20"/>
                <w:szCs w:val="20"/>
                <w:lang w:eastAsia="fr-FR"/>
              </w:rPr>
              <w:t>LC</w:t>
            </w:r>
          </w:p>
        </w:tc>
      </w:tr>
      <w:tr w:rsidR="00701C80" w:rsidRPr="00A9330B" w14:paraId="1D7B5C8E" w14:textId="77777777" w:rsidTr="00825201">
        <w:trPr>
          <w:trHeight w:val="300"/>
        </w:trPr>
        <w:tc>
          <w:tcPr>
            <w:tcW w:w="2972" w:type="dxa"/>
            <w:vMerge/>
            <w:noWrap/>
            <w:hideMark/>
          </w:tcPr>
          <w:p w14:paraId="7CEDEA57" w14:textId="77777777" w:rsidR="00701C80" w:rsidRPr="00A9330B" w:rsidRDefault="00701C80" w:rsidP="00DB04E9">
            <w:pPr>
              <w:spacing w:before="0" w:line="240" w:lineRule="auto"/>
              <w:jc w:val="both"/>
              <w:rPr>
                <w:rFonts w:eastAsia="Times New Roman" w:cs="Arial"/>
                <w:color w:val="000000"/>
                <w:sz w:val="20"/>
                <w:szCs w:val="20"/>
                <w:lang w:eastAsia="fr-FR"/>
              </w:rPr>
            </w:pPr>
          </w:p>
        </w:tc>
        <w:tc>
          <w:tcPr>
            <w:tcW w:w="2268" w:type="dxa"/>
            <w:noWrap/>
            <w:hideMark/>
          </w:tcPr>
          <w:p w14:paraId="4E440178" w14:textId="77777777" w:rsidR="00701C80" w:rsidRPr="00A9330B" w:rsidRDefault="00701C80" w:rsidP="00DB04E9">
            <w:pPr>
              <w:spacing w:before="0" w:line="240" w:lineRule="auto"/>
              <w:jc w:val="both"/>
              <w:rPr>
                <w:rFonts w:eastAsia="Times New Roman" w:cs="Arial"/>
                <w:i/>
                <w:color w:val="000000"/>
                <w:sz w:val="20"/>
                <w:szCs w:val="20"/>
                <w:lang w:eastAsia="fr-FR"/>
              </w:rPr>
            </w:pPr>
            <w:r w:rsidRPr="00A9330B">
              <w:rPr>
                <w:rFonts w:eastAsia="Times New Roman" w:cs="Arial"/>
                <w:i/>
                <w:color w:val="000000"/>
                <w:sz w:val="20"/>
                <w:szCs w:val="20"/>
                <w:lang w:eastAsia="fr-FR"/>
              </w:rPr>
              <w:t>Terminalia mantaly</w:t>
            </w:r>
          </w:p>
        </w:tc>
        <w:tc>
          <w:tcPr>
            <w:tcW w:w="2410" w:type="dxa"/>
            <w:noWrap/>
            <w:hideMark/>
          </w:tcPr>
          <w:p w14:paraId="21F927CC" w14:textId="77777777" w:rsidR="00701C80" w:rsidRPr="00A9330B" w:rsidRDefault="00701C80" w:rsidP="00DB04E9">
            <w:pPr>
              <w:spacing w:before="0" w:line="240" w:lineRule="auto"/>
              <w:jc w:val="both"/>
              <w:rPr>
                <w:rFonts w:eastAsia="Times New Roman" w:cs="Arial"/>
                <w:color w:val="000000"/>
                <w:sz w:val="20"/>
                <w:szCs w:val="20"/>
                <w:lang w:eastAsia="fr-FR"/>
              </w:rPr>
            </w:pPr>
            <w:r w:rsidRPr="00A9330B">
              <w:rPr>
                <w:rFonts w:eastAsia="Times New Roman" w:cs="Arial"/>
                <w:color w:val="000000"/>
                <w:sz w:val="20"/>
                <w:szCs w:val="20"/>
                <w:lang w:eastAsia="fr-FR"/>
              </w:rPr>
              <w:t>Combretaceae</w:t>
            </w:r>
          </w:p>
        </w:tc>
        <w:tc>
          <w:tcPr>
            <w:tcW w:w="1412" w:type="dxa"/>
            <w:noWrap/>
            <w:hideMark/>
          </w:tcPr>
          <w:p w14:paraId="6E78705C" w14:textId="77777777" w:rsidR="00701C80" w:rsidRPr="00A9330B" w:rsidRDefault="00701C80" w:rsidP="00DB04E9">
            <w:pPr>
              <w:spacing w:before="0" w:line="240" w:lineRule="auto"/>
              <w:jc w:val="both"/>
              <w:rPr>
                <w:rFonts w:eastAsia="Times New Roman" w:cs="Arial"/>
                <w:color w:val="000000"/>
                <w:sz w:val="20"/>
                <w:szCs w:val="20"/>
                <w:lang w:eastAsia="fr-FR"/>
              </w:rPr>
            </w:pPr>
            <w:r w:rsidRPr="00A9330B">
              <w:rPr>
                <w:rFonts w:eastAsia="Times New Roman" w:cs="Arial"/>
                <w:color w:val="000000"/>
                <w:sz w:val="20"/>
                <w:szCs w:val="20"/>
                <w:lang w:eastAsia="fr-FR"/>
              </w:rPr>
              <w:t>LC</w:t>
            </w:r>
          </w:p>
        </w:tc>
      </w:tr>
      <w:tr w:rsidR="00701C80" w:rsidRPr="00A9330B" w14:paraId="6C607DCC" w14:textId="77777777" w:rsidTr="00825201">
        <w:trPr>
          <w:trHeight w:val="300"/>
        </w:trPr>
        <w:tc>
          <w:tcPr>
            <w:tcW w:w="2972" w:type="dxa"/>
            <w:vMerge/>
            <w:noWrap/>
            <w:hideMark/>
          </w:tcPr>
          <w:p w14:paraId="209A730D" w14:textId="77777777" w:rsidR="00701C80" w:rsidRPr="00A9330B" w:rsidRDefault="00701C80" w:rsidP="00DB04E9">
            <w:pPr>
              <w:spacing w:before="0" w:line="240" w:lineRule="auto"/>
              <w:jc w:val="both"/>
              <w:rPr>
                <w:rFonts w:eastAsia="Times New Roman" w:cs="Arial"/>
                <w:color w:val="000000"/>
                <w:sz w:val="20"/>
                <w:szCs w:val="20"/>
                <w:lang w:eastAsia="fr-FR"/>
              </w:rPr>
            </w:pPr>
          </w:p>
        </w:tc>
        <w:tc>
          <w:tcPr>
            <w:tcW w:w="2268" w:type="dxa"/>
            <w:noWrap/>
            <w:hideMark/>
          </w:tcPr>
          <w:p w14:paraId="603C8DCA" w14:textId="77777777" w:rsidR="00701C80" w:rsidRPr="00A9330B" w:rsidRDefault="00701C80" w:rsidP="00DB04E9">
            <w:pPr>
              <w:spacing w:before="0" w:line="240" w:lineRule="auto"/>
              <w:jc w:val="both"/>
              <w:rPr>
                <w:rFonts w:eastAsia="Times New Roman" w:cs="Arial"/>
                <w:i/>
                <w:color w:val="000000"/>
                <w:sz w:val="20"/>
                <w:szCs w:val="20"/>
                <w:lang w:eastAsia="fr-FR"/>
              </w:rPr>
            </w:pPr>
            <w:r w:rsidRPr="00A9330B">
              <w:rPr>
                <w:rFonts w:eastAsia="Times New Roman" w:cs="Arial"/>
                <w:i/>
                <w:color w:val="000000"/>
                <w:sz w:val="20"/>
                <w:szCs w:val="20"/>
                <w:lang w:eastAsia="fr-FR"/>
              </w:rPr>
              <w:t>Thevetia neriifolia</w:t>
            </w:r>
          </w:p>
        </w:tc>
        <w:tc>
          <w:tcPr>
            <w:tcW w:w="2410" w:type="dxa"/>
            <w:noWrap/>
            <w:hideMark/>
          </w:tcPr>
          <w:p w14:paraId="0E1876F2" w14:textId="77777777" w:rsidR="00701C80" w:rsidRPr="00A9330B" w:rsidRDefault="00701C80" w:rsidP="00DB04E9">
            <w:pPr>
              <w:spacing w:before="0" w:line="240" w:lineRule="auto"/>
              <w:jc w:val="both"/>
              <w:rPr>
                <w:rFonts w:eastAsia="Times New Roman" w:cs="Arial"/>
                <w:color w:val="000000"/>
                <w:sz w:val="20"/>
                <w:szCs w:val="20"/>
                <w:lang w:eastAsia="fr-FR"/>
              </w:rPr>
            </w:pPr>
            <w:r w:rsidRPr="00A9330B">
              <w:rPr>
                <w:rFonts w:eastAsia="Times New Roman" w:cs="Arial"/>
                <w:color w:val="000000"/>
                <w:sz w:val="20"/>
                <w:szCs w:val="20"/>
                <w:lang w:eastAsia="fr-FR"/>
              </w:rPr>
              <w:t>Apocynaceae</w:t>
            </w:r>
          </w:p>
        </w:tc>
        <w:tc>
          <w:tcPr>
            <w:tcW w:w="1412" w:type="dxa"/>
            <w:noWrap/>
            <w:hideMark/>
          </w:tcPr>
          <w:p w14:paraId="5B97DF5B" w14:textId="77777777" w:rsidR="00701C80" w:rsidRPr="00A9330B" w:rsidRDefault="00701C80" w:rsidP="00DB04E9">
            <w:pPr>
              <w:spacing w:before="0" w:line="240" w:lineRule="auto"/>
              <w:jc w:val="both"/>
              <w:rPr>
                <w:rFonts w:eastAsia="Times New Roman" w:cs="Arial"/>
                <w:color w:val="000000"/>
                <w:sz w:val="20"/>
                <w:szCs w:val="20"/>
                <w:lang w:eastAsia="fr-FR"/>
              </w:rPr>
            </w:pPr>
          </w:p>
        </w:tc>
      </w:tr>
      <w:tr w:rsidR="00701C80" w:rsidRPr="00A9330B" w14:paraId="005C93F7" w14:textId="77777777" w:rsidTr="00825201">
        <w:trPr>
          <w:trHeight w:val="300"/>
        </w:trPr>
        <w:tc>
          <w:tcPr>
            <w:tcW w:w="2972" w:type="dxa"/>
            <w:vMerge/>
            <w:noWrap/>
            <w:hideMark/>
          </w:tcPr>
          <w:p w14:paraId="4CC6EFD9" w14:textId="77777777" w:rsidR="00701C80" w:rsidRPr="00A9330B" w:rsidRDefault="00701C80" w:rsidP="00DB04E9">
            <w:pPr>
              <w:spacing w:before="0" w:line="240" w:lineRule="auto"/>
              <w:jc w:val="both"/>
              <w:rPr>
                <w:rFonts w:eastAsia="Times New Roman" w:cs="Arial"/>
                <w:color w:val="auto"/>
                <w:sz w:val="20"/>
                <w:szCs w:val="20"/>
                <w:lang w:eastAsia="fr-FR"/>
              </w:rPr>
            </w:pPr>
          </w:p>
        </w:tc>
        <w:tc>
          <w:tcPr>
            <w:tcW w:w="2268" w:type="dxa"/>
            <w:noWrap/>
            <w:hideMark/>
          </w:tcPr>
          <w:p w14:paraId="06EC31AD" w14:textId="77777777" w:rsidR="00701C80" w:rsidRPr="00A9330B" w:rsidRDefault="00701C80" w:rsidP="00DB04E9">
            <w:pPr>
              <w:spacing w:before="0" w:line="240" w:lineRule="auto"/>
              <w:jc w:val="both"/>
              <w:rPr>
                <w:rFonts w:eastAsia="Times New Roman" w:cs="Arial"/>
                <w:i/>
                <w:color w:val="000000"/>
                <w:sz w:val="20"/>
                <w:szCs w:val="20"/>
                <w:lang w:eastAsia="fr-FR"/>
              </w:rPr>
            </w:pPr>
            <w:r w:rsidRPr="00A9330B">
              <w:rPr>
                <w:rFonts w:eastAsia="Times New Roman" w:cs="Arial"/>
                <w:i/>
                <w:color w:val="000000"/>
                <w:sz w:val="20"/>
                <w:szCs w:val="20"/>
                <w:lang w:eastAsia="fr-FR"/>
              </w:rPr>
              <w:t>Vitellaria  paradoxa</w:t>
            </w:r>
          </w:p>
        </w:tc>
        <w:tc>
          <w:tcPr>
            <w:tcW w:w="2410" w:type="dxa"/>
            <w:noWrap/>
            <w:hideMark/>
          </w:tcPr>
          <w:p w14:paraId="2E3A6528" w14:textId="77777777" w:rsidR="00701C80" w:rsidRPr="00A9330B" w:rsidRDefault="00701C80" w:rsidP="00DB04E9">
            <w:pPr>
              <w:spacing w:before="0" w:line="240" w:lineRule="auto"/>
              <w:jc w:val="both"/>
              <w:rPr>
                <w:rFonts w:eastAsia="Times New Roman" w:cs="Arial"/>
                <w:color w:val="000000"/>
                <w:sz w:val="20"/>
                <w:szCs w:val="20"/>
                <w:lang w:eastAsia="fr-FR"/>
              </w:rPr>
            </w:pPr>
            <w:r w:rsidRPr="00A9330B">
              <w:rPr>
                <w:rFonts w:eastAsia="Times New Roman" w:cs="Arial"/>
                <w:color w:val="000000"/>
                <w:sz w:val="20"/>
                <w:szCs w:val="20"/>
                <w:lang w:eastAsia="fr-FR"/>
              </w:rPr>
              <w:t>Sapotaceae</w:t>
            </w:r>
          </w:p>
        </w:tc>
        <w:tc>
          <w:tcPr>
            <w:tcW w:w="1412" w:type="dxa"/>
            <w:noWrap/>
            <w:hideMark/>
          </w:tcPr>
          <w:p w14:paraId="114788ED" w14:textId="77777777" w:rsidR="00701C80" w:rsidRPr="00A9330B" w:rsidRDefault="00701C80" w:rsidP="00DB04E9">
            <w:pPr>
              <w:spacing w:before="0" w:line="240" w:lineRule="auto"/>
              <w:jc w:val="both"/>
              <w:rPr>
                <w:rFonts w:eastAsia="Times New Roman" w:cs="Arial"/>
                <w:color w:val="000000"/>
                <w:sz w:val="20"/>
                <w:szCs w:val="20"/>
                <w:lang w:eastAsia="fr-FR"/>
              </w:rPr>
            </w:pPr>
            <w:r w:rsidRPr="00A9330B">
              <w:rPr>
                <w:rFonts w:eastAsia="Times New Roman" w:cs="Arial"/>
                <w:color w:val="000000"/>
                <w:sz w:val="20"/>
                <w:szCs w:val="20"/>
                <w:lang w:eastAsia="fr-FR"/>
              </w:rPr>
              <w:t>VU</w:t>
            </w:r>
          </w:p>
        </w:tc>
      </w:tr>
      <w:tr w:rsidR="00701C80" w:rsidRPr="00A9330B" w14:paraId="601A8C9A" w14:textId="77777777" w:rsidTr="00825201">
        <w:trPr>
          <w:trHeight w:val="300"/>
        </w:trPr>
        <w:tc>
          <w:tcPr>
            <w:tcW w:w="2972" w:type="dxa"/>
            <w:vMerge/>
            <w:noWrap/>
            <w:hideMark/>
          </w:tcPr>
          <w:p w14:paraId="7AA5101E" w14:textId="77777777" w:rsidR="00701C80" w:rsidRPr="00A9330B" w:rsidRDefault="00701C80" w:rsidP="00DB04E9">
            <w:pPr>
              <w:spacing w:before="0" w:line="240" w:lineRule="auto"/>
              <w:jc w:val="both"/>
              <w:rPr>
                <w:rFonts w:eastAsia="Times New Roman" w:cs="Arial"/>
                <w:color w:val="000000"/>
                <w:sz w:val="20"/>
                <w:szCs w:val="20"/>
                <w:lang w:eastAsia="fr-FR"/>
              </w:rPr>
            </w:pPr>
          </w:p>
        </w:tc>
        <w:tc>
          <w:tcPr>
            <w:tcW w:w="2268" w:type="dxa"/>
            <w:noWrap/>
            <w:hideMark/>
          </w:tcPr>
          <w:p w14:paraId="2968413E" w14:textId="77777777" w:rsidR="00701C80" w:rsidRPr="00A9330B" w:rsidRDefault="00701C80" w:rsidP="00DB04E9">
            <w:pPr>
              <w:spacing w:before="0" w:line="240" w:lineRule="auto"/>
              <w:jc w:val="both"/>
              <w:rPr>
                <w:rFonts w:eastAsia="Times New Roman" w:cs="Arial"/>
                <w:i/>
                <w:color w:val="000000"/>
                <w:sz w:val="20"/>
                <w:szCs w:val="20"/>
                <w:lang w:eastAsia="fr-FR"/>
              </w:rPr>
            </w:pPr>
            <w:r w:rsidRPr="00A9330B">
              <w:rPr>
                <w:rFonts w:eastAsia="Times New Roman" w:cs="Arial"/>
                <w:i/>
                <w:color w:val="000000"/>
                <w:sz w:val="20"/>
                <w:szCs w:val="20"/>
                <w:lang w:eastAsia="fr-FR"/>
              </w:rPr>
              <w:t xml:space="preserve">Vitex doniana </w:t>
            </w:r>
          </w:p>
        </w:tc>
        <w:tc>
          <w:tcPr>
            <w:tcW w:w="2410" w:type="dxa"/>
            <w:noWrap/>
            <w:hideMark/>
          </w:tcPr>
          <w:p w14:paraId="1F9BB06E" w14:textId="77777777" w:rsidR="00701C80" w:rsidRPr="00A9330B" w:rsidRDefault="00701C80" w:rsidP="00DB04E9">
            <w:pPr>
              <w:spacing w:before="0" w:line="240" w:lineRule="auto"/>
              <w:jc w:val="both"/>
              <w:rPr>
                <w:rFonts w:eastAsia="Times New Roman" w:cs="Arial"/>
                <w:color w:val="000000"/>
                <w:sz w:val="20"/>
                <w:szCs w:val="20"/>
                <w:lang w:eastAsia="fr-FR"/>
              </w:rPr>
            </w:pPr>
            <w:r w:rsidRPr="00A9330B">
              <w:rPr>
                <w:rFonts w:eastAsia="Times New Roman" w:cs="Arial"/>
                <w:color w:val="000000"/>
                <w:sz w:val="20"/>
                <w:szCs w:val="20"/>
                <w:lang w:eastAsia="fr-FR"/>
              </w:rPr>
              <w:t>Verbenaceae</w:t>
            </w:r>
          </w:p>
        </w:tc>
        <w:tc>
          <w:tcPr>
            <w:tcW w:w="1412" w:type="dxa"/>
            <w:noWrap/>
            <w:hideMark/>
          </w:tcPr>
          <w:p w14:paraId="32CC3BB0" w14:textId="77777777" w:rsidR="00701C80" w:rsidRPr="00A9330B" w:rsidRDefault="00701C80" w:rsidP="00DB04E9">
            <w:pPr>
              <w:spacing w:before="0" w:line="240" w:lineRule="auto"/>
              <w:jc w:val="both"/>
              <w:rPr>
                <w:rFonts w:eastAsia="Times New Roman" w:cs="Arial"/>
                <w:color w:val="000000"/>
                <w:sz w:val="20"/>
                <w:szCs w:val="20"/>
                <w:lang w:eastAsia="fr-FR"/>
              </w:rPr>
            </w:pPr>
            <w:r w:rsidRPr="00A9330B">
              <w:rPr>
                <w:rFonts w:eastAsia="Times New Roman" w:cs="Arial"/>
                <w:color w:val="000000"/>
                <w:sz w:val="20"/>
                <w:szCs w:val="20"/>
                <w:lang w:eastAsia="fr-FR"/>
              </w:rPr>
              <w:t>LC</w:t>
            </w:r>
          </w:p>
        </w:tc>
      </w:tr>
    </w:tbl>
    <w:p w14:paraId="73D86AAF" w14:textId="7EF5B0F7" w:rsidR="007553CA" w:rsidRPr="00A9330B" w:rsidRDefault="00701C80" w:rsidP="007553CA">
      <w:pPr>
        <w:spacing w:line="240" w:lineRule="auto"/>
        <w:jc w:val="center"/>
        <w:rPr>
          <w:rFonts w:eastAsia="Calibri" w:cs="Arial"/>
          <w:b/>
          <w:i/>
          <w:iCs/>
          <w:color w:val="auto"/>
          <w:sz w:val="20"/>
          <w:szCs w:val="20"/>
        </w:rPr>
      </w:pPr>
      <w:r w:rsidRPr="00A9330B">
        <w:rPr>
          <w:rFonts w:eastAsia="Calibri" w:cs="Arial"/>
          <w:b/>
          <w:color w:val="auto"/>
          <w:sz w:val="20"/>
          <w:szCs w:val="20"/>
          <w:lang w:eastAsia="fr-FR"/>
        </w:rPr>
        <w:t xml:space="preserve">Légende </w:t>
      </w:r>
      <w:r w:rsidR="007553CA" w:rsidRPr="00A9330B">
        <w:rPr>
          <w:rFonts w:eastAsia="Calibri" w:cs="Arial"/>
          <w:b/>
          <w:color w:val="auto"/>
          <w:sz w:val="20"/>
          <w:szCs w:val="20"/>
          <w:lang w:eastAsia="fr-FR"/>
        </w:rPr>
        <w:tab/>
      </w:r>
      <w:r w:rsidR="007553CA" w:rsidRPr="00A9330B">
        <w:rPr>
          <w:rFonts w:eastAsia="Calibri" w:cs="Arial"/>
          <w:b/>
          <w:color w:val="auto"/>
          <w:sz w:val="20"/>
          <w:szCs w:val="20"/>
          <w:lang w:eastAsia="fr-FR"/>
        </w:rPr>
        <w:tab/>
      </w:r>
      <w:r w:rsidR="007553CA" w:rsidRPr="00A9330B">
        <w:rPr>
          <w:rFonts w:eastAsia="Calibri" w:cs="Arial"/>
          <w:b/>
          <w:color w:val="auto"/>
          <w:sz w:val="20"/>
          <w:szCs w:val="20"/>
          <w:lang w:eastAsia="fr-FR"/>
        </w:rPr>
        <w:tab/>
      </w:r>
      <w:r w:rsidR="007553CA" w:rsidRPr="00A9330B">
        <w:rPr>
          <w:rFonts w:eastAsia="Calibri" w:cs="Arial"/>
          <w:b/>
          <w:color w:val="auto"/>
          <w:sz w:val="20"/>
          <w:szCs w:val="20"/>
          <w:lang w:eastAsia="fr-FR"/>
        </w:rPr>
        <w:tab/>
      </w:r>
      <w:r w:rsidR="007553CA" w:rsidRPr="00A9330B">
        <w:rPr>
          <w:rFonts w:eastAsia="Calibri" w:cs="Arial"/>
          <w:b/>
          <w:i/>
          <w:iCs/>
          <w:color w:val="auto"/>
          <w:sz w:val="20"/>
          <w:szCs w:val="20"/>
          <w:lang w:eastAsia="fr-FR"/>
        </w:rPr>
        <w:t>Source : CECO-BTP, 2020</w:t>
      </w:r>
    </w:p>
    <w:p w14:paraId="516B753B" w14:textId="77777777" w:rsidR="00701C80" w:rsidRPr="00A9330B" w:rsidRDefault="00701C80" w:rsidP="00701C80">
      <w:pPr>
        <w:spacing w:line="240" w:lineRule="auto"/>
        <w:jc w:val="both"/>
        <w:rPr>
          <w:rFonts w:eastAsia="Calibri" w:cs="Arial"/>
          <w:color w:val="auto"/>
          <w:sz w:val="20"/>
          <w:szCs w:val="20"/>
          <w:lang w:eastAsia="fr-FR"/>
        </w:rPr>
      </w:pPr>
      <w:r w:rsidRPr="00A9330B">
        <w:rPr>
          <w:rFonts w:eastAsia="Calibri" w:cs="Arial"/>
          <w:color w:val="auto"/>
          <w:sz w:val="20"/>
          <w:szCs w:val="20"/>
          <w:lang w:eastAsia="fr-FR"/>
        </w:rPr>
        <w:t xml:space="preserve">    LC: Préoccupation mineur</w:t>
      </w:r>
    </w:p>
    <w:p w14:paraId="227D3353" w14:textId="77777777" w:rsidR="00701C80" w:rsidRPr="00A9330B" w:rsidRDefault="00701C80" w:rsidP="00701C80">
      <w:pPr>
        <w:spacing w:line="240" w:lineRule="auto"/>
        <w:jc w:val="both"/>
        <w:rPr>
          <w:rFonts w:eastAsia="Calibri" w:cs="Arial"/>
          <w:color w:val="auto"/>
          <w:sz w:val="20"/>
          <w:szCs w:val="20"/>
          <w:lang w:eastAsia="fr-FR"/>
        </w:rPr>
      </w:pPr>
      <w:r w:rsidRPr="00A9330B">
        <w:rPr>
          <w:rFonts w:eastAsia="Calibri" w:cs="Arial"/>
          <w:color w:val="auto"/>
          <w:sz w:val="20"/>
          <w:szCs w:val="20"/>
          <w:lang w:eastAsia="fr-FR"/>
        </w:rPr>
        <w:t xml:space="preserve">    EN: En danger</w:t>
      </w:r>
    </w:p>
    <w:p w14:paraId="3826B74B" w14:textId="77777777" w:rsidR="00701C80" w:rsidRPr="00A9330B" w:rsidRDefault="00701C80" w:rsidP="00701C80">
      <w:pPr>
        <w:spacing w:line="240" w:lineRule="auto"/>
        <w:jc w:val="both"/>
        <w:rPr>
          <w:rFonts w:eastAsia="Calibri" w:cs="Arial"/>
          <w:color w:val="auto"/>
          <w:sz w:val="20"/>
          <w:szCs w:val="20"/>
          <w:lang w:eastAsia="fr-FR"/>
        </w:rPr>
      </w:pPr>
      <w:r w:rsidRPr="00A9330B">
        <w:rPr>
          <w:rFonts w:eastAsia="Calibri" w:cs="Arial"/>
          <w:color w:val="auto"/>
          <w:sz w:val="20"/>
          <w:szCs w:val="20"/>
          <w:lang w:eastAsia="fr-FR"/>
        </w:rPr>
        <w:t xml:space="preserve">    DD : Données manquantes</w:t>
      </w:r>
    </w:p>
    <w:p w14:paraId="40527E4E" w14:textId="77777777" w:rsidR="00701C80" w:rsidRPr="00A9330B" w:rsidRDefault="00701C80" w:rsidP="00701C80">
      <w:pPr>
        <w:spacing w:after="120" w:line="240" w:lineRule="auto"/>
        <w:jc w:val="both"/>
        <w:rPr>
          <w:rFonts w:eastAsia="Calibri" w:cs="Arial"/>
          <w:color w:val="auto"/>
          <w:sz w:val="20"/>
          <w:szCs w:val="20"/>
          <w:lang w:eastAsia="fr-FR"/>
        </w:rPr>
      </w:pPr>
      <w:r w:rsidRPr="00A9330B">
        <w:rPr>
          <w:rFonts w:eastAsia="Calibri" w:cs="Arial"/>
          <w:color w:val="auto"/>
          <w:sz w:val="20"/>
          <w:szCs w:val="20"/>
          <w:lang w:eastAsia="fr-FR"/>
        </w:rPr>
        <w:t xml:space="preserve">    VU: Vulnérable</w:t>
      </w:r>
    </w:p>
    <w:p w14:paraId="37C449CF" w14:textId="6A10A59A" w:rsidR="00701C80" w:rsidRPr="00A9330B" w:rsidRDefault="00701C80" w:rsidP="000F4D1B">
      <w:pPr>
        <w:jc w:val="both"/>
        <w:rPr>
          <w:rFonts w:eastAsia="Times New Roman"/>
          <w:color w:val="000000"/>
          <w:lang w:eastAsia="fr-FR"/>
        </w:rPr>
      </w:pPr>
      <w:r w:rsidRPr="00A9330B">
        <w:rPr>
          <w:lang w:eastAsia="fr-FR"/>
        </w:rPr>
        <w:t xml:space="preserve">De l’analyse du tableau, il ressort du point de vue floristique que quarante-sept (47) espèces sont inféodées à l’emprise du collecteur ‘’CANAL A’’ (rivière Fourigninkèrè), à ses affluents et aux environs. Il faut remarquer que l’emprise du collecteur renferme des espèces spontanées comme </w:t>
      </w:r>
      <w:r w:rsidRPr="00A9330B">
        <w:rPr>
          <w:i/>
          <w:lang w:eastAsia="fr-FR"/>
        </w:rPr>
        <w:t xml:space="preserve">Daniellia oliveri, lsoberlinia tomentosa, Isoberlinia doka, Vitex doniana, Parkia biglobosa </w:t>
      </w:r>
      <w:r w:rsidRPr="00A9330B">
        <w:rPr>
          <w:lang w:eastAsia="fr-FR"/>
        </w:rPr>
        <w:t>et</w:t>
      </w:r>
      <w:r w:rsidRPr="00A9330B">
        <w:rPr>
          <w:i/>
          <w:lang w:eastAsia="fr-FR"/>
        </w:rPr>
        <w:t xml:space="preserve"> </w:t>
      </w:r>
      <w:r w:rsidRPr="00A9330B">
        <w:rPr>
          <w:rFonts w:eastAsia="Times New Roman"/>
          <w:i/>
          <w:color w:val="000000"/>
          <w:lang w:eastAsia="fr-FR"/>
        </w:rPr>
        <w:t>Vitellaria  paradoxa</w:t>
      </w:r>
      <w:r w:rsidRPr="00A9330B">
        <w:rPr>
          <w:lang w:eastAsia="fr-FR"/>
        </w:rPr>
        <w:t xml:space="preserve">. </w:t>
      </w:r>
      <w:r w:rsidRPr="00A9330B">
        <w:rPr>
          <w:rFonts w:eastAsia="Times New Roman"/>
          <w:color w:val="000000"/>
          <w:lang w:eastAsia="fr-FR"/>
        </w:rPr>
        <w:t xml:space="preserve">La présence de ces espèces spontanées dans l’emprise du collecteur s’explique par le fait qu’il passe par la rivière </w:t>
      </w:r>
      <w:r w:rsidRPr="00A9330B">
        <w:rPr>
          <w:lang w:eastAsia="fr-FR"/>
        </w:rPr>
        <w:t>Fourigninkèrè.</w:t>
      </w:r>
    </w:p>
    <w:p w14:paraId="2643B7EA" w14:textId="77777777" w:rsidR="00DB04E9" w:rsidRPr="00A9330B" w:rsidRDefault="00701C80" w:rsidP="000F4D1B">
      <w:pPr>
        <w:jc w:val="both"/>
        <w:rPr>
          <w:i/>
          <w:lang w:eastAsia="fr-FR"/>
        </w:rPr>
      </w:pPr>
      <w:r w:rsidRPr="00A9330B">
        <w:rPr>
          <w:lang w:eastAsia="fr-FR"/>
        </w:rPr>
        <w:t>Il importe de souligner que l’emprise du collecteur abrite des espèces protégée</w:t>
      </w:r>
      <w:r w:rsidR="00DB04E9" w:rsidRPr="00A9330B">
        <w:rPr>
          <w:lang w:eastAsia="fr-FR"/>
        </w:rPr>
        <w:t>s</w:t>
      </w:r>
      <w:r w:rsidRPr="00A9330B">
        <w:rPr>
          <w:lang w:eastAsia="fr-FR"/>
        </w:rPr>
        <w:t xml:space="preserve"> comme</w:t>
      </w:r>
      <w:r w:rsidRPr="00A9330B">
        <w:rPr>
          <w:i/>
          <w:lang w:eastAsia="fr-FR"/>
        </w:rPr>
        <w:t xml:space="preserve"> Parkia biglobosa, Khaya senegalensis.</w:t>
      </w:r>
      <w:r w:rsidR="00DB04E9" w:rsidRPr="00A9330B">
        <w:rPr>
          <w:i/>
          <w:lang w:eastAsia="fr-FR"/>
        </w:rPr>
        <w:t xml:space="preserve"> </w:t>
      </w:r>
      <w:r w:rsidRPr="00A9330B">
        <w:rPr>
          <w:lang w:eastAsia="fr-FR"/>
        </w:rPr>
        <w:t xml:space="preserve">D’un point de vue recouvrement, trois (3) espèces ont un taux de recouvrement élevé. Il s’agit par ordre d’importance décroissant de </w:t>
      </w:r>
      <w:r w:rsidRPr="00A9330B">
        <w:rPr>
          <w:i/>
          <w:lang w:eastAsia="fr-FR"/>
        </w:rPr>
        <w:t>Mangifera indica</w:t>
      </w:r>
      <w:r w:rsidRPr="00A9330B">
        <w:rPr>
          <w:lang w:eastAsia="fr-FR"/>
        </w:rPr>
        <w:t xml:space="preserve">, </w:t>
      </w:r>
      <w:r w:rsidRPr="00A9330B">
        <w:rPr>
          <w:i/>
          <w:lang w:eastAsia="fr-FR"/>
        </w:rPr>
        <w:t>lsoberlinia tomentosa</w:t>
      </w:r>
      <w:r w:rsidRPr="00A9330B">
        <w:rPr>
          <w:lang w:eastAsia="fr-FR"/>
        </w:rPr>
        <w:t xml:space="preserve">, </w:t>
      </w:r>
      <w:r w:rsidRPr="00A9330B">
        <w:rPr>
          <w:i/>
          <w:lang w:eastAsia="fr-FR"/>
        </w:rPr>
        <w:t>Isoberlinia doka.</w:t>
      </w:r>
    </w:p>
    <w:p w14:paraId="6466533E" w14:textId="3A77F3B2" w:rsidR="00701C80" w:rsidRPr="00A9330B" w:rsidRDefault="000F4D1B" w:rsidP="00A9330B">
      <w:pPr>
        <w:pStyle w:val="Lgende"/>
        <w:rPr>
          <w:rFonts w:eastAsia="Arial Narrow"/>
        </w:rPr>
      </w:pPr>
      <w:bookmarkStart w:id="776" w:name="_Toc52870065"/>
      <w:r w:rsidRPr="00A9330B">
        <w:t xml:space="preserve">Planche  </w:t>
      </w:r>
      <w:r w:rsidR="00C24C74" w:rsidRPr="00A9330B">
        <w:rPr>
          <w:noProof/>
        </w:rPr>
        <w:fldChar w:fldCharType="begin"/>
      </w:r>
      <w:r w:rsidR="00C24C74" w:rsidRPr="00A9330B">
        <w:rPr>
          <w:noProof/>
        </w:rPr>
        <w:instrText xml:space="preserve"> SEQ Planche_ \* ARABIC </w:instrText>
      </w:r>
      <w:r w:rsidR="00C24C74" w:rsidRPr="00A9330B">
        <w:rPr>
          <w:noProof/>
        </w:rPr>
        <w:fldChar w:fldCharType="separate"/>
      </w:r>
      <w:r w:rsidR="00FB5FCD" w:rsidRPr="00A9330B">
        <w:rPr>
          <w:noProof/>
        </w:rPr>
        <w:t>7</w:t>
      </w:r>
      <w:r w:rsidR="00C24C74" w:rsidRPr="00A9330B">
        <w:rPr>
          <w:noProof/>
        </w:rPr>
        <w:fldChar w:fldCharType="end"/>
      </w:r>
      <w:r w:rsidR="00B830DB" w:rsidRPr="00A9330B">
        <w:t> </w:t>
      </w:r>
      <w:r w:rsidR="00701C80" w:rsidRPr="00A9330B">
        <w:rPr>
          <w:rFonts w:eastAsia="Arial Narrow"/>
        </w:rPr>
        <w:t>: Quelques espèces floristiques dans l’emprise du projet</w:t>
      </w:r>
      <w:r w:rsidR="00B830DB" w:rsidRPr="00A9330B">
        <w:rPr>
          <w:rFonts w:eastAsia="Arial Narrow"/>
        </w:rPr>
        <w:t xml:space="preserve"> dans la ville de Natitingou</w:t>
      </w:r>
      <w:bookmarkEnd w:id="776"/>
    </w:p>
    <w:p w14:paraId="02B71689" w14:textId="44E84948" w:rsidR="00512304" w:rsidRPr="00A9330B" w:rsidRDefault="00512304" w:rsidP="0011523E">
      <w:r w:rsidRPr="00A9330B">
        <w:rPr>
          <w:rFonts w:ascii="Times New Roman" w:hAnsi="Times New Roman" w:cs="Times New Roman"/>
          <w:noProof/>
          <w:sz w:val="24"/>
          <w:szCs w:val="24"/>
          <w:lang w:eastAsia="fr-FR"/>
        </w:rPr>
        <w:drawing>
          <wp:inline distT="0" distB="0" distL="0" distR="0" wp14:anchorId="1E501BE3" wp14:editId="606BD304">
            <wp:extent cx="5760720" cy="1420998"/>
            <wp:effectExtent l="0" t="0" r="0" b="8255"/>
            <wp:docPr id="3140" name="Image 3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760720" cy="1420998"/>
                    </a:xfrm>
                    <a:prstGeom prst="rect">
                      <a:avLst/>
                    </a:prstGeom>
                    <a:noFill/>
                  </pic:spPr>
                </pic:pic>
              </a:graphicData>
            </a:graphic>
          </wp:inline>
        </w:drawing>
      </w:r>
    </w:p>
    <w:p w14:paraId="44946A75" w14:textId="77777777" w:rsidR="00701C80" w:rsidRPr="00A9330B" w:rsidRDefault="00701C80" w:rsidP="000F4D1B">
      <w:pPr>
        <w:spacing w:line="360" w:lineRule="auto"/>
        <w:jc w:val="center"/>
        <w:rPr>
          <w:rFonts w:eastAsia="Arial Narrow" w:cs="Arial"/>
          <w:b/>
          <w:iCs/>
          <w:color w:val="auto"/>
          <w:sz w:val="20"/>
          <w:szCs w:val="20"/>
          <w:lang w:eastAsia="fr-FR"/>
        </w:rPr>
      </w:pPr>
      <w:r w:rsidRPr="00A9330B">
        <w:rPr>
          <w:rFonts w:eastAsia="Arial Narrow" w:cs="Arial"/>
          <w:b/>
          <w:iCs/>
          <w:color w:val="auto"/>
          <w:sz w:val="20"/>
          <w:szCs w:val="20"/>
          <w:lang w:eastAsia="fr-FR"/>
        </w:rPr>
        <w:t>Prise de vue</w:t>
      </w:r>
      <w:r w:rsidRPr="00A9330B">
        <w:rPr>
          <w:rFonts w:eastAsia="Arial Narrow" w:cs="Arial"/>
          <w:iCs/>
          <w:color w:val="auto"/>
          <w:sz w:val="20"/>
          <w:szCs w:val="20"/>
          <w:lang w:eastAsia="fr-FR"/>
        </w:rPr>
        <w:t> </w:t>
      </w:r>
      <w:r w:rsidR="000F4D1B" w:rsidRPr="00A9330B">
        <w:rPr>
          <w:rFonts w:eastAsia="Arial Narrow" w:cs="Arial"/>
          <w:b/>
          <w:iCs/>
          <w:color w:val="auto"/>
          <w:sz w:val="20"/>
          <w:szCs w:val="20"/>
          <w:lang w:eastAsia="fr-FR"/>
        </w:rPr>
        <w:t>: Enquêtes terrain</w:t>
      </w:r>
      <w:r w:rsidRPr="00A9330B">
        <w:rPr>
          <w:rFonts w:eastAsia="Arial Narrow" w:cs="Arial"/>
          <w:iCs/>
          <w:color w:val="auto"/>
          <w:sz w:val="20"/>
          <w:szCs w:val="20"/>
          <w:lang w:eastAsia="fr-FR"/>
        </w:rPr>
        <w:t>, juin 2020</w:t>
      </w:r>
    </w:p>
    <w:p w14:paraId="0CC4EACA" w14:textId="3348D4AC" w:rsidR="00701C80" w:rsidRPr="00A9330B" w:rsidRDefault="000F4D1B" w:rsidP="0064324E">
      <w:pPr>
        <w:pStyle w:val="Titre40"/>
      </w:pPr>
      <w:bookmarkStart w:id="777" w:name="_Toc45520832"/>
      <w:bookmarkStart w:id="778" w:name="_Toc52869635"/>
      <w:r w:rsidRPr="00A9330B">
        <w:t>3.2.</w:t>
      </w:r>
      <w:r w:rsidR="00992C3B" w:rsidRPr="00A9330B">
        <w:t>2</w:t>
      </w:r>
      <w:r w:rsidRPr="00A9330B">
        <w:t xml:space="preserve">.2. </w:t>
      </w:r>
      <w:r w:rsidR="00FB5FCD" w:rsidRPr="00A9330B">
        <w:t>CANAL B (rivière Wa</w:t>
      </w:r>
      <w:r w:rsidR="00701C80" w:rsidRPr="00A9330B">
        <w:t>adata)</w:t>
      </w:r>
      <w:bookmarkEnd w:id="777"/>
      <w:bookmarkEnd w:id="778"/>
    </w:p>
    <w:p w14:paraId="79700A84" w14:textId="70645B87" w:rsidR="00701C80" w:rsidRPr="00A9330B" w:rsidRDefault="00701C80" w:rsidP="00FB5FCD">
      <w:pPr>
        <w:jc w:val="both"/>
      </w:pPr>
      <w:r w:rsidRPr="00A9330B">
        <w:rPr>
          <w:rFonts w:eastAsia="Calibri"/>
          <w:lang w:eastAsia="fr-FR"/>
        </w:rPr>
        <w:t>L’emprise du collecteur ‘</w:t>
      </w:r>
      <w:r w:rsidRPr="00A9330B">
        <w:rPr>
          <w:rFonts w:eastAsia="Calibri"/>
          <w:i/>
          <w:lang w:eastAsia="fr-FR"/>
        </w:rPr>
        <w:t xml:space="preserve">CANAL B (rivière </w:t>
      </w:r>
      <w:r w:rsidR="00A2623F" w:rsidRPr="00A9330B">
        <w:rPr>
          <w:rFonts w:eastAsia="Calibri"/>
          <w:i/>
          <w:lang w:eastAsia="fr-FR"/>
        </w:rPr>
        <w:t>W</w:t>
      </w:r>
      <w:r w:rsidR="00FB5FCD" w:rsidRPr="00A9330B">
        <w:rPr>
          <w:rFonts w:eastAsia="Calibri"/>
          <w:i/>
          <w:lang w:eastAsia="fr-FR"/>
        </w:rPr>
        <w:t>a</w:t>
      </w:r>
      <w:r w:rsidRPr="00A9330B">
        <w:rPr>
          <w:rFonts w:eastAsia="Calibri"/>
          <w:i/>
          <w:lang w:eastAsia="fr-FR"/>
        </w:rPr>
        <w:t>adata)</w:t>
      </w:r>
      <w:r w:rsidRPr="00A9330B">
        <w:rPr>
          <w:i/>
        </w:rPr>
        <w:t xml:space="preserve">’’, </w:t>
      </w:r>
      <w:r w:rsidRPr="00A9330B">
        <w:t>ses affluents et environ est composé d’une diversité floristique. Le cortège floristique est composé d’espèces exotiques et spontanées consignées dans le tableau suiv</w:t>
      </w:r>
      <w:r w:rsidR="00A2623F" w:rsidRPr="00A9330B">
        <w:t>a</w:t>
      </w:r>
      <w:r w:rsidRPr="00A9330B">
        <w:t>nt.</w:t>
      </w:r>
    </w:p>
    <w:p w14:paraId="5A506090" w14:textId="5B3F7507" w:rsidR="000F4D1B" w:rsidRPr="00A9330B" w:rsidRDefault="000F4D1B" w:rsidP="00A9330B">
      <w:pPr>
        <w:pStyle w:val="Lgende"/>
        <w:rPr>
          <w:iCs/>
          <w:szCs w:val="24"/>
        </w:rPr>
      </w:pPr>
      <w:bookmarkStart w:id="779" w:name="_Toc52873749"/>
      <w:r w:rsidRPr="00A9330B">
        <w:t xml:space="preserve">Tableau </w:t>
      </w:r>
      <w:r w:rsidR="00C24C74" w:rsidRPr="00A9330B">
        <w:rPr>
          <w:noProof/>
        </w:rPr>
        <w:fldChar w:fldCharType="begin"/>
      </w:r>
      <w:r w:rsidR="00C24C74" w:rsidRPr="00A9330B">
        <w:rPr>
          <w:noProof/>
        </w:rPr>
        <w:instrText xml:space="preserve"> SEQ Tableau \* ARABIC </w:instrText>
      </w:r>
      <w:r w:rsidR="00C24C74" w:rsidRPr="00A9330B">
        <w:rPr>
          <w:noProof/>
        </w:rPr>
        <w:fldChar w:fldCharType="separate"/>
      </w:r>
      <w:r w:rsidR="00417D31" w:rsidRPr="00A9330B">
        <w:rPr>
          <w:noProof/>
        </w:rPr>
        <w:t>25</w:t>
      </w:r>
      <w:r w:rsidR="00C24C74" w:rsidRPr="00A9330B">
        <w:rPr>
          <w:noProof/>
        </w:rPr>
        <w:fldChar w:fldCharType="end"/>
      </w:r>
      <w:r w:rsidRPr="00A9330B">
        <w:t> : Espèces végétales au niveau du canal B</w:t>
      </w:r>
      <w:bookmarkEnd w:id="779"/>
    </w:p>
    <w:tbl>
      <w:tblPr>
        <w:tblStyle w:val="Grilledutableau20"/>
        <w:tblW w:w="9067" w:type="dxa"/>
        <w:tblLook w:val="04A0" w:firstRow="1" w:lastRow="0" w:firstColumn="1" w:lastColumn="0" w:noHBand="0" w:noVBand="1"/>
      </w:tblPr>
      <w:tblGrid>
        <w:gridCol w:w="1860"/>
        <w:gridCol w:w="2813"/>
        <w:gridCol w:w="3402"/>
        <w:gridCol w:w="992"/>
      </w:tblGrid>
      <w:tr w:rsidR="00701C80" w:rsidRPr="00A9330B" w14:paraId="2A75DF41" w14:textId="77777777" w:rsidTr="00701C80">
        <w:trPr>
          <w:trHeight w:val="300"/>
        </w:trPr>
        <w:tc>
          <w:tcPr>
            <w:tcW w:w="1860" w:type="dxa"/>
            <w:noWrap/>
            <w:hideMark/>
          </w:tcPr>
          <w:p w14:paraId="589562D5" w14:textId="77777777" w:rsidR="00701C80" w:rsidRPr="00A9330B" w:rsidRDefault="00701C80" w:rsidP="000F4D1B">
            <w:pPr>
              <w:spacing w:before="60" w:line="240" w:lineRule="auto"/>
              <w:jc w:val="both"/>
              <w:rPr>
                <w:rFonts w:eastAsia="Times New Roman" w:cs="Arial"/>
                <w:color w:val="000000"/>
                <w:sz w:val="20"/>
                <w:szCs w:val="20"/>
                <w:lang w:eastAsia="fr-FR"/>
              </w:rPr>
            </w:pPr>
            <w:r w:rsidRPr="00A9330B">
              <w:rPr>
                <w:rFonts w:eastAsia="Times New Roman" w:cs="Arial"/>
                <w:color w:val="000000"/>
                <w:sz w:val="20"/>
                <w:szCs w:val="20"/>
                <w:lang w:eastAsia="fr-FR"/>
              </w:rPr>
              <w:t>Collecteurs / Rue</w:t>
            </w:r>
          </w:p>
        </w:tc>
        <w:tc>
          <w:tcPr>
            <w:tcW w:w="2813" w:type="dxa"/>
            <w:noWrap/>
            <w:hideMark/>
          </w:tcPr>
          <w:p w14:paraId="75FD5C25" w14:textId="77777777" w:rsidR="00701C80" w:rsidRPr="00A9330B" w:rsidRDefault="00701C80" w:rsidP="000F4D1B">
            <w:pPr>
              <w:spacing w:before="60" w:line="240" w:lineRule="auto"/>
              <w:jc w:val="both"/>
              <w:rPr>
                <w:rFonts w:eastAsia="Times New Roman" w:cs="Arial"/>
                <w:color w:val="000000"/>
                <w:sz w:val="20"/>
                <w:szCs w:val="20"/>
                <w:lang w:eastAsia="fr-FR"/>
              </w:rPr>
            </w:pPr>
            <w:r w:rsidRPr="00A9330B">
              <w:rPr>
                <w:rFonts w:eastAsia="Times New Roman" w:cs="Arial"/>
                <w:color w:val="000000"/>
                <w:sz w:val="20"/>
                <w:szCs w:val="20"/>
                <w:lang w:eastAsia="fr-FR"/>
              </w:rPr>
              <w:t>Nom scientifique</w:t>
            </w:r>
          </w:p>
        </w:tc>
        <w:tc>
          <w:tcPr>
            <w:tcW w:w="3402" w:type="dxa"/>
            <w:noWrap/>
            <w:hideMark/>
          </w:tcPr>
          <w:p w14:paraId="13C4DE52" w14:textId="77777777" w:rsidR="00701C80" w:rsidRPr="00A9330B" w:rsidRDefault="00701C80" w:rsidP="000F4D1B">
            <w:pPr>
              <w:spacing w:before="60" w:line="240" w:lineRule="auto"/>
              <w:jc w:val="both"/>
              <w:rPr>
                <w:rFonts w:eastAsia="Times New Roman" w:cs="Arial"/>
                <w:color w:val="000000"/>
                <w:sz w:val="20"/>
                <w:szCs w:val="20"/>
                <w:lang w:eastAsia="fr-FR"/>
              </w:rPr>
            </w:pPr>
            <w:r w:rsidRPr="00A9330B">
              <w:rPr>
                <w:rFonts w:eastAsia="Times New Roman" w:cs="Arial"/>
                <w:color w:val="000000"/>
                <w:sz w:val="20"/>
                <w:szCs w:val="20"/>
                <w:lang w:eastAsia="fr-FR"/>
              </w:rPr>
              <w:t>Famille</w:t>
            </w:r>
          </w:p>
        </w:tc>
        <w:tc>
          <w:tcPr>
            <w:tcW w:w="992" w:type="dxa"/>
            <w:noWrap/>
            <w:hideMark/>
          </w:tcPr>
          <w:p w14:paraId="0291B268" w14:textId="77777777" w:rsidR="00701C80" w:rsidRPr="00A9330B" w:rsidRDefault="00701C80" w:rsidP="000F4D1B">
            <w:pPr>
              <w:spacing w:before="60" w:line="240" w:lineRule="auto"/>
              <w:jc w:val="both"/>
              <w:rPr>
                <w:rFonts w:eastAsia="Times New Roman" w:cs="Arial"/>
                <w:color w:val="000000"/>
                <w:sz w:val="20"/>
                <w:szCs w:val="20"/>
                <w:lang w:eastAsia="fr-FR"/>
              </w:rPr>
            </w:pPr>
            <w:r w:rsidRPr="00A9330B">
              <w:rPr>
                <w:rFonts w:eastAsia="Times New Roman" w:cs="Arial"/>
                <w:color w:val="000000"/>
                <w:sz w:val="20"/>
                <w:szCs w:val="20"/>
                <w:lang w:eastAsia="fr-FR"/>
              </w:rPr>
              <w:t>Statuts</w:t>
            </w:r>
          </w:p>
        </w:tc>
      </w:tr>
      <w:tr w:rsidR="00701C80" w:rsidRPr="00A9330B" w14:paraId="3488269B" w14:textId="77777777" w:rsidTr="00701C80">
        <w:trPr>
          <w:trHeight w:val="300"/>
        </w:trPr>
        <w:tc>
          <w:tcPr>
            <w:tcW w:w="1860" w:type="dxa"/>
            <w:vMerge w:val="restart"/>
            <w:noWrap/>
            <w:vAlign w:val="center"/>
            <w:hideMark/>
          </w:tcPr>
          <w:p w14:paraId="07027F2F" w14:textId="77777777" w:rsidR="00701C80" w:rsidRPr="00A9330B" w:rsidRDefault="00701C80" w:rsidP="000F4D1B">
            <w:pPr>
              <w:spacing w:before="60" w:line="240" w:lineRule="auto"/>
              <w:jc w:val="both"/>
              <w:rPr>
                <w:rFonts w:eastAsia="Times New Roman" w:cs="Arial"/>
                <w:color w:val="000000"/>
                <w:sz w:val="20"/>
                <w:szCs w:val="20"/>
                <w:lang w:eastAsia="fr-FR"/>
              </w:rPr>
            </w:pPr>
            <w:r w:rsidRPr="00A9330B">
              <w:rPr>
                <w:rFonts w:eastAsia="Times New Roman" w:cs="Arial"/>
                <w:color w:val="000000"/>
                <w:sz w:val="20"/>
                <w:szCs w:val="20"/>
                <w:lang w:eastAsia="fr-FR"/>
              </w:rPr>
              <w:t xml:space="preserve">CANAL B </w:t>
            </w:r>
          </w:p>
          <w:p w14:paraId="05D5EBE5" w14:textId="46E44E19" w:rsidR="00701C80" w:rsidRPr="00A9330B" w:rsidRDefault="00701C80" w:rsidP="000F4D1B">
            <w:pPr>
              <w:spacing w:before="60" w:line="240" w:lineRule="auto"/>
              <w:jc w:val="both"/>
              <w:rPr>
                <w:rFonts w:eastAsia="Times New Roman" w:cs="Arial"/>
                <w:color w:val="000000"/>
                <w:sz w:val="20"/>
                <w:szCs w:val="20"/>
                <w:lang w:eastAsia="fr-FR"/>
              </w:rPr>
            </w:pPr>
            <w:r w:rsidRPr="00A9330B">
              <w:rPr>
                <w:rFonts w:eastAsia="Times New Roman" w:cs="Arial"/>
                <w:color w:val="000000"/>
                <w:sz w:val="20"/>
                <w:szCs w:val="20"/>
                <w:lang w:eastAsia="fr-FR"/>
              </w:rPr>
              <w:t>(rivière wa</w:t>
            </w:r>
            <w:r w:rsidR="00FB5FCD" w:rsidRPr="00A9330B">
              <w:rPr>
                <w:rFonts w:eastAsia="Times New Roman" w:cs="Arial"/>
                <w:color w:val="000000"/>
                <w:sz w:val="20"/>
                <w:szCs w:val="20"/>
                <w:lang w:eastAsia="fr-FR"/>
              </w:rPr>
              <w:t>a</w:t>
            </w:r>
            <w:r w:rsidRPr="00A9330B">
              <w:rPr>
                <w:rFonts w:eastAsia="Times New Roman" w:cs="Arial"/>
                <w:color w:val="000000"/>
                <w:sz w:val="20"/>
                <w:szCs w:val="20"/>
                <w:lang w:eastAsia="fr-FR"/>
              </w:rPr>
              <w:t>data)</w:t>
            </w:r>
          </w:p>
        </w:tc>
        <w:tc>
          <w:tcPr>
            <w:tcW w:w="2813" w:type="dxa"/>
            <w:noWrap/>
            <w:hideMark/>
          </w:tcPr>
          <w:p w14:paraId="7AC75E0B" w14:textId="77777777" w:rsidR="00701C80" w:rsidRPr="00A9330B" w:rsidRDefault="00701C80" w:rsidP="000F4D1B">
            <w:pPr>
              <w:spacing w:before="60" w:line="240" w:lineRule="auto"/>
              <w:jc w:val="both"/>
              <w:rPr>
                <w:rFonts w:eastAsia="Times New Roman" w:cs="Arial"/>
                <w:i/>
                <w:color w:val="000000"/>
                <w:sz w:val="20"/>
                <w:szCs w:val="20"/>
                <w:lang w:eastAsia="fr-FR"/>
              </w:rPr>
            </w:pPr>
            <w:r w:rsidRPr="00A9330B">
              <w:rPr>
                <w:rFonts w:eastAsia="Times New Roman" w:cs="Arial"/>
                <w:i/>
                <w:color w:val="000000"/>
                <w:sz w:val="20"/>
                <w:szCs w:val="20"/>
                <w:lang w:eastAsia="fr-FR"/>
              </w:rPr>
              <w:t>Mangifera indica</w:t>
            </w:r>
          </w:p>
        </w:tc>
        <w:tc>
          <w:tcPr>
            <w:tcW w:w="3402" w:type="dxa"/>
            <w:noWrap/>
            <w:hideMark/>
          </w:tcPr>
          <w:p w14:paraId="4D6FD27E" w14:textId="77777777" w:rsidR="00701C80" w:rsidRPr="00A9330B" w:rsidRDefault="00701C80" w:rsidP="000F4D1B">
            <w:pPr>
              <w:spacing w:before="60" w:line="240" w:lineRule="auto"/>
              <w:jc w:val="both"/>
              <w:rPr>
                <w:rFonts w:eastAsia="Times New Roman" w:cs="Arial"/>
                <w:color w:val="000000"/>
                <w:sz w:val="20"/>
                <w:szCs w:val="20"/>
                <w:lang w:eastAsia="fr-FR"/>
              </w:rPr>
            </w:pPr>
            <w:r w:rsidRPr="00A9330B">
              <w:rPr>
                <w:rFonts w:eastAsia="Times New Roman" w:cs="Arial"/>
                <w:color w:val="000000"/>
                <w:sz w:val="20"/>
                <w:szCs w:val="20"/>
                <w:lang w:eastAsia="fr-FR"/>
              </w:rPr>
              <w:t>Anacardiaceae</w:t>
            </w:r>
          </w:p>
        </w:tc>
        <w:tc>
          <w:tcPr>
            <w:tcW w:w="992" w:type="dxa"/>
            <w:noWrap/>
            <w:hideMark/>
          </w:tcPr>
          <w:p w14:paraId="55EB0769" w14:textId="77777777" w:rsidR="00701C80" w:rsidRPr="00A9330B" w:rsidRDefault="00701C80" w:rsidP="000F4D1B">
            <w:pPr>
              <w:spacing w:before="60" w:line="240" w:lineRule="auto"/>
              <w:jc w:val="both"/>
              <w:rPr>
                <w:rFonts w:eastAsia="Times New Roman" w:cs="Arial"/>
                <w:color w:val="000000"/>
                <w:sz w:val="20"/>
                <w:szCs w:val="20"/>
                <w:lang w:eastAsia="fr-FR"/>
              </w:rPr>
            </w:pPr>
            <w:r w:rsidRPr="00A9330B">
              <w:rPr>
                <w:rFonts w:eastAsia="Times New Roman" w:cs="Arial"/>
                <w:color w:val="000000"/>
                <w:sz w:val="20"/>
                <w:szCs w:val="20"/>
                <w:lang w:eastAsia="fr-FR"/>
              </w:rPr>
              <w:t>LC</w:t>
            </w:r>
          </w:p>
        </w:tc>
      </w:tr>
      <w:tr w:rsidR="00701C80" w:rsidRPr="00A9330B" w14:paraId="14DC0829" w14:textId="77777777" w:rsidTr="00701C80">
        <w:trPr>
          <w:trHeight w:val="300"/>
        </w:trPr>
        <w:tc>
          <w:tcPr>
            <w:tcW w:w="1860" w:type="dxa"/>
            <w:vMerge/>
            <w:noWrap/>
            <w:hideMark/>
          </w:tcPr>
          <w:p w14:paraId="663DCB84" w14:textId="77777777" w:rsidR="00701C80" w:rsidRPr="00A9330B" w:rsidRDefault="00701C80" w:rsidP="000F4D1B">
            <w:pPr>
              <w:spacing w:before="60" w:line="240" w:lineRule="auto"/>
              <w:jc w:val="both"/>
              <w:rPr>
                <w:rFonts w:eastAsia="Times New Roman" w:cs="Arial"/>
                <w:color w:val="000000"/>
                <w:sz w:val="20"/>
                <w:szCs w:val="20"/>
                <w:lang w:eastAsia="fr-FR"/>
              </w:rPr>
            </w:pPr>
          </w:p>
        </w:tc>
        <w:tc>
          <w:tcPr>
            <w:tcW w:w="2813" w:type="dxa"/>
            <w:noWrap/>
            <w:hideMark/>
          </w:tcPr>
          <w:p w14:paraId="6BB58488" w14:textId="77777777" w:rsidR="00701C80" w:rsidRPr="00A9330B" w:rsidRDefault="00701C80" w:rsidP="000F4D1B">
            <w:pPr>
              <w:spacing w:before="60" w:line="240" w:lineRule="auto"/>
              <w:jc w:val="both"/>
              <w:rPr>
                <w:rFonts w:eastAsia="Times New Roman" w:cs="Arial"/>
                <w:i/>
                <w:color w:val="000000"/>
                <w:sz w:val="20"/>
                <w:szCs w:val="20"/>
                <w:lang w:eastAsia="fr-FR"/>
              </w:rPr>
            </w:pPr>
            <w:r w:rsidRPr="00A9330B">
              <w:rPr>
                <w:rFonts w:eastAsia="Times New Roman" w:cs="Arial"/>
                <w:i/>
                <w:color w:val="000000"/>
                <w:sz w:val="20"/>
                <w:szCs w:val="20"/>
                <w:lang w:eastAsia="fr-FR"/>
              </w:rPr>
              <w:t>Musa sp</w:t>
            </w:r>
          </w:p>
        </w:tc>
        <w:tc>
          <w:tcPr>
            <w:tcW w:w="3402" w:type="dxa"/>
            <w:noWrap/>
            <w:hideMark/>
          </w:tcPr>
          <w:p w14:paraId="2DAA3FBB" w14:textId="77777777" w:rsidR="00701C80" w:rsidRPr="00A9330B" w:rsidRDefault="00701C80" w:rsidP="000F4D1B">
            <w:pPr>
              <w:spacing w:before="60" w:line="240" w:lineRule="auto"/>
              <w:jc w:val="both"/>
              <w:rPr>
                <w:rFonts w:eastAsia="Times New Roman" w:cs="Arial"/>
                <w:color w:val="000000"/>
                <w:sz w:val="20"/>
                <w:szCs w:val="20"/>
                <w:lang w:eastAsia="fr-FR"/>
              </w:rPr>
            </w:pPr>
            <w:r w:rsidRPr="00A9330B">
              <w:rPr>
                <w:rFonts w:eastAsia="Times New Roman" w:cs="Arial"/>
                <w:color w:val="000000"/>
                <w:sz w:val="20"/>
                <w:szCs w:val="20"/>
                <w:lang w:eastAsia="fr-FR"/>
              </w:rPr>
              <w:t>Musaceae</w:t>
            </w:r>
          </w:p>
        </w:tc>
        <w:tc>
          <w:tcPr>
            <w:tcW w:w="992" w:type="dxa"/>
            <w:noWrap/>
            <w:hideMark/>
          </w:tcPr>
          <w:p w14:paraId="775BB92E" w14:textId="77777777" w:rsidR="00701C80" w:rsidRPr="00A9330B" w:rsidRDefault="00701C80" w:rsidP="000F4D1B">
            <w:pPr>
              <w:spacing w:before="60" w:line="240" w:lineRule="auto"/>
              <w:jc w:val="both"/>
              <w:rPr>
                <w:rFonts w:eastAsia="Times New Roman" w:cs="Arial"/>
                <w:color w:val="000000"/>
                <w:sz w:val="20"/>
                <w:szCs w:val="20"/>
                <w:lang w:eastAsia="fr-FR"/>
              </w:rPr>
            </w:pPr>
          </w:p>
        </w:tc>
      </w:tr>
      <w:tr w:rsidR="00701C80" w:rsidRPr="00A9330B" w14:paraId="5DC9888C" w14:textId="77777777" w:rsidTr="00701C80">
        <w:trPr>
          <w:trHeight w:val="300"/>
        </w:trPr>
        <w:tc>
          <w:tcPr>
            <w:tcW w:w="1860" w:type="dxa"/>
            <w:vMerge/>
            <w:noWrap/>
            <w:hideMark/>
          </w:tcPr>
          <w:p w14:paraId="5831B67B" w14:textId="77777777" w:rsidR="00701C80" w:rsidRPr="00A9330B" w:rsidRDefault="00701C80" w:rsidP="000F4D1B">
            <w:pPr>
              <w:spacing w:before="60" w:line="240" w:lineRule="auto"/>
              <w:jc w:val="both"/>
              <w:rPr>
                <w:rFonts w:eastAsia="Times New Roman" w:cs="Arial"/>
                <w:color w:val="auto"/>
                <w:sz w:val="20"/>
                <w:szCs w:val="20"/>
                <w:lang w:eastAsia="fr-FR"/>
              </w:rPr>
            </w:pPr>
          </w:p>
        </w:tc>
        <w:tc>
          <w:tcPr>
            <w:tcW w:w="2813" w:type="dxa"/>
            <w:noWrap/>
            <w:hideMark/>
          </w:tcPr>
          <w:p w14:paraId="06325F42" w14:textId="77777777" w:rsidR="00701C80" w:rsidRPr="00A9330B" w:rsidRDefault="00701C80" w:rsidP="000F4D1B">
            <w:pPr>
              <w:spacing w:before="60" w:line="240" w:lineRule="auto"/>
              <w:jc w:val="both"/>
              <w:rPr>
                <w:rFonts w:eastAsia="Times New Roman" w:cs="Arial"/>
                <w:i/>
                <w:color w:val="000000"/>
                <w:sz w:val="20"/>
                <w:szCs w:val="20"/>
                <w:lang w:eastAsia="fr-FR"/>
              </w:rPr>
            </w:pPr>
            <w:r w:rsidRPr="00A9330B">
              <w:rPr>
                <w:rFonts w:eastAsia="Times New Roman" w:cs="Arial"/>
                <w:i/>
                <w:color w:val="000000"/>
                <w:sz w:val="20"/>
                <w:szCs w:val="20"/>
                <w:lang w:eastAsia="fr-FR"/>
              </w:rPr>
              <w:t>Isoberlinia doka</w:t>
            </w:r>
          </w:p>
        </w:tc>
        <w:tc>
          <w:tcPr>
            <w:tcW w:w="3402" w:type="dxa"/>
            <w:noWrap/>
            <w:hideMark/>
          </w:tcPr>
          <w:p w14:paraId="557D20E5" w14:textId="77777777" w:rsidR="00701C80" w:rsidRPr="00A9330B" w:rsidRDefault="00701C80" w:rsidP="000F4D1B">
            <w:pPr>
              <w:spacing w:before="60" w:line="240" w:lineRule="auto"/>
              <w:jc w:val="both"/>
              <w:rPr>
                <w:rFonts w:eastAsia="Times New Roman" w:cs="Arial"/>
                <w:color w:val="000000"/>
                <w:sz w:val="20"/>
                <w:szCs w:val="20"/>
                <w:lang w:eastAsia="fr-FR"/>
              </w:rPr>
            </w:pPr>
            <w:r w:rsidRPr="00A9330B">
              <w:rPr>
                <w:rFonts w:eastAsia="Times New Roman" w:cs="Arial"/>
                <w:color w:val="000000"/>
                <w:sz w:val="20"/>
                <w:szCs w:val="20"/>
                <w:lang w:eastAsia="fr-FR"/>
              </w:rPr>
              <w:t>Leguminosae-Caesalpinioideae</w:t>
            </w:r>
          </w:p>
        </w:tc>
        <w:tc>
          <w:tcPr>
            <w:tcW w:w="992" w:type="dxa"/>
            <w:noWrap/>
            <w:hideMark/>
          </w:tcPr>
          <w:p w14:paraId="3C63DAB1" w14:textId="77777777" w:rsidR="00701C80" w:rsidRPr="00A9330B" w:rsidRDefault="00701C80" w:rsidP="000F4D1B">
            <w:pPr>
              <w:spacing w:before="60" w:line="240" w:lineRule="auto"/>
              <w:jc w:val="both"/>
              <w:rPr>
                <w:rFonts w:eastAsia="Times New Roman" w:cs="Arial"/>
                <w:color w:val="000000"/>
                <w:sz w:val="20"/>
                <w:szCs w:val="20"/>
                <w:lang w:eastAsia="fr-FR"/>
              </w:rPr>
            </w:pPr>
            <w:r w:rsidRPr="00A9330B">
              <w:rPr>
                <w:rFonts w:eastAsia="Times New Roman" w:cs="Arial"/>
                <w:color w:val="000000"/>
                <w:sz w:val="20"/>
                <w:szCs w:val="20"/>
                <w:lang w:eastAsia="fr-FR"/>
              </w:rPr>
              <w:t>LC</w:t>
            </w:r>
          </w:p>
        </w:tc>
      </w:tr>
      <w:tr w:rsidR="00701C80" w:rsidRPr="00A9330B" w14:paraId="7DA13C4E" w14:textId="77777777" w:rsidTr="00701C80">
        <w:trPr>
          <w:trHeight w:val="300"/>
        </w:trPr>
        <w:tc>
          <w:tcPr>
            <w:tcW w:w="1860" w:type="dxa"/>
            <w:vMerge/>
            <w:noWrap/>
            <w:hideMark/>
          </w:tcPr>
          <w:p w14:paraId="1788514E" w14:textId="77777777" w:rsidR="00701C80" w:rsidRPr="00A9330B" w:rsidRDefault="00701C80" w:rsidP="000F4D1B">
            <w:pPr>
              <w:spacing w:before="60" w:line="240" w:lineRule="auto"/>
              <w:jc w:val="both"/>
              <w:rPr>
                <w:rFonts w:eastAsia="Times New Roman" w:cs="Arial"/>
                <w:color w:val="000000"/>
                <w:sz w:val="20"/>
                <w:szCs w:val="20"/>
                <w:lang w:eastAsia="fr-FR"/>
              </w:rPr>
            </w:pPr>
          </w:p>
        </w:tc>
        <w:tc>
          <w:tcPr>
            <w:tcW w:w="2813" w:type="dxa"/>
            <w:noWrap/>
            <w:hideMark/>
          </w:tcPr>
          <w:p w14:paraId="63A3ED22" w14:textId="77777777" w:rsidR="00701C80" w:rsidRPr="00A9330B" w:rsidRDefault="00701C80" w:rsidP="000F4D1B">
            <w:pPr>
              <w:spacing w:before="60" w:line="240" w:lineRule="auto"/>
              <w:jc w:val="both"/>
              <w:rPr>
                <w:rFonts w:eastAsia="Times New Roman" w:cs="Arial"/>
                <w:i/>
                <w:color w:val="000000"/>
                <w:sz w:val="20"/>
                <w:szCs w:val="20"/>
                <w:lang w:eastAsia="fr-FR"/>
              </w:rPr>
            </w:pPr>
            <w:r w:rsidRPr="00A9330B">
              <w:rPr>
                <w:rFonts w:eastAsia="Times New Roman" w:cs="Arial"/>
                <w:i/>
                <w:color w:val="000000"/>
                <w:sz w:val="20"/>
                <w:szCs w:val="20"/>
                <w:lang w:eastAsia="fr-FR"/>
              </w:rPr>
              <w:t>Leucaena leucocephala</w:t>
            </w:r>
          </w:p>
        </w:tc>
        <w:tc>
          <w:tcPr>
            <w:tcW w:w="3402" w:type="dxa"/>
            <w:noWrap/>
            <w:hideMark/>
          </w:tcPr>
          <w:p w14:paraId="22CD1C5A" w14:textId="77777777" w:rsidR="00701C80" w:rsidRPr="00A9330B" w:rsidRDefault="00701C80" w:rsidP="000F4D1B">
            <w:pPr>
              <w:spacing w:before="60" w:line="240" w:lineRule="auto"/>
              <w:jc w:val="both"/>
              <w:rPr>
                <w:rFonts w:eastAsia="Times New Roman" w:cs="Arial"/>
                <w:color w:val="000000"/>
                <w:sz w:val="20"/>
                <w:szCs w:val="20"/>
                <w:lang w:eastAsia="fr-FR"/>
              </w:rPr>
            </w:pPr>
            <w:r w:rsidRPr="00A9330B">
              <w:rPr>
                <w:rFonts w:eastAsia="Times New Roman" w:cs="Arial"/>
                <w:color w:val="000000"/>
                <w:sz w:val="20"/>
                <w:szCs w:val="20"/>
                <w:lang w:eastAsia="fr-FR"/>
              </w:rPr>
              <w:t>Leguminosae-Mimosoideae</w:t>
            </w:r>
          </w:p>
        </w:tc>
        <w:tc>
          <w:tcPr>
            <w:tcW w:w="992" w:type="dxa"/>
            <w:noWrap/>
            <w:hideMark/>
          </w:tcPr>
          <w:p w14:paraId="31C56ADC" w14:textId="77777777" w:rsidR="00701C80" w:rsidRPr="00A9330B" w:rsidRDefault="00701C80" w:rsidP="000F4D1B">
            <w:pPr>
              <w:spacing w:before="60" w:line="240" w:lineRule="auto"/>
              <w:jc w:val="both"/>
              <w:rPr>
                <w:rFonts w:eastAsia="Times New Roman" w:cs="Arial"/>
                <w:color w:val="000000"/>
                <w:sz w:val="20"/>
                <w:szCs w:val="20"/>
                <w:lang w:eastAsia="fr-FR"/>
              </w:rPr>
            </w:pPr>
            <w:r w:rsidRPr="00A9330B">
              <w:rPr>
                <w:rFonts w:eastAsia="Times New Roman" w:cs="Arial"/>
                <w:color w:val="000000"/>
                <w:sz w:val="20"/>
                <w:szCs w:val="20"/>
                <w:lang w:eastAsia="fr-FR"/>
              </w:rPr>
              <w:t>LC</w:t>
            </w:r>
          </w:p>
        </w:tc>
      </w:tr>
      <w:tr w:rsidR="00701C80" w:rsidRPr="00A9330B" w14:paraId="15083719" w14:textId="77777777" w:rsidTr="00701C80">
        <w:trPr>
          <w:trHeight w:val="300"/>
        </w:trPr>
        <w:tc>
          <w:tcPr>
            <w:tcW w:w="1860" w:type="dxa"/>
            <w:vMerge/>
            <w:noWrap/>
            <w:hideMark/>
          </w:tcPr>
          <w:p w14:paraId="2D9379FE" w14:textId="77777777" w:rsidR="00701C80" w:rsidRPr="00A9330B" w:rsidRDefault="00701C80" w:rsidP="000F4D1B">
            <w:pPr>
              <w:spacing w:before="60" w:line="240" w:lineRule="auto"/>
              <w:jc w:val="both"/>
              <w:rPr>
                <w:rFonts w:eastAsia="Times New Roman" w:cs="Arial"/>
                <w:color w:val="000000"/>
                <w:sz w:val="20"/>
                <w:szCs w:val="20"/>
                <w:lang w:eastAsia="fr-FR"/>
              </w:rPr>
            </w:pPr>
          </w:p>
        </w:tc>
        <w:tc>
          <w:tcPr>
            <w:tcW w:w="2813" w:type="dxa"/>
            <w:noWrap/>
            <w:hideMark/>
          </w:tcPr>
          <w:p w14:paraId="0DBBD048" w14:textId="77777777" w:rsidR="00701C80" w:rsidRPr="00A9330B" w:rsidRDefault="00701C80" w:rsidP="000F4D1B">
            <w:pPr>
              <w:spacing w:before="60" w:line="240" w:lineRule="auto"/>
              <w:jc w:val="both"/>
              <w:rPr>
                <w:rFonts w:eastAsia="Times New Roman" w:cs="Arial"/>
                <w:i/>
                <w:color w:val="000000"/>
                <w:sz w:val="20"/>
                <w:szCs w:val="20"/>
                <w:lang w:eastAsia="fr-FR"/>
              </w:rPr>
            </w:pPr>
            <w:r w:rsidRPr="00A9330B">
              <w:rPr>
                <w:rFonts w:eastAsia="Times New Roman" w:cs="Arial"/>
                <w:i/>
                <w:color w:val="000000"/>
                <w:sz w:val="20"/>
                <w:szCs w:val="20"/>
                <w:lang w:eastAsia="fr-FR"/>
              </w:rPr>
              <w:t>Gmelina arborea</w:t>
            </w:r>
          </w:p>
        </w:tc>
        <w:tc>
          <w:tcPr>
            <w:tcW w:w="3402" w:type="dxa"/>
            <w:noWrap/>
            <w:hideMark/>
          </w:tcPr>
          <w:p w14:paraId="793206CF" w14:textId="77777777" w:rsidR="00701C80" w:rsidRPr="00A9330B" w:rsidRDefault="00701C80" w:rsidP="000F4D1B">
            <w:pPr>
              <w:spacing w:before="60" w:line="240" w:lineRule="auto"/>
              <w:jc w:val="both"/>
              <w:rPr>
                <w:rFonts w:eastAsia="Times New Roman" w:cs="Arial"/>
                <w:color w:val="000000"/>
                <w:sz w:val="20"/>
                <w:szCs w:val="20"/>
                <w:lang w:eastAsia="fr-FR"/>
              </w:rPr>
            </w:pPr>
            <w:r w:rsidRPr="00A9330B">
              <w:rPr>
                <w:rFonts w:eastAsia="Times New Roman" w:cs="Arial"/>
                <w:color w:val="000000"/>
                <w:sz w:val="20"/>
                <w:szCs w:val="20"/>
                <w:lang w:eastAsia="fr-FR"/>
              </w:rPr>
              <w:t>Verbenaceae</w:t>
            </w:r>
          </w:p>
        </w:tc>
        <w:tc>
          <w:tcPr>
            <w:tcW w:w="992" w:type="dxa"/>
            <w:noWrap/>
            <w:hideMark/>
          </w:tcPr>
          <w:p w14:paraId="0F3C3D4C" w14:textId="77777777" w:rsidR="00701C80" w:rsidRPr="00A9330B" w:rsidRDefault="00701C80" w:rsidP="000F4D1B">
            <w:pPr>
              <w:spacing w:before="60" w:line="240" w:lineRule="auto"/>
              <w:jc w:val="both"/>
              <w:rPr>
                <w:rFonts w:eastAsia="Times New Roman" w:cs="Arial"/>
                <w:color w:val="000000"/>
                <w:sz w:val="20"/>
                <w:szCs w:val="20"/>
                <w:lang w:eastAsia="fr-FR"/>
              </w:rPr>
            </w:pPr>
            <w:r w:rsidRPr="00A9330B">
              <w:rPr>
                <w:rFonts w:eastAsia="Times New Roman" w:cs="Arial"/>
                <w:color w:val="000000"/>
                <w:sz w:val="20"/>
                <w:szCs w:val="20"/>
                <w:lang w:eastAsia="fr-FR"/>
              </w:rPr>
              <w:t>LC</w:t>
            </w:r>
          </w:p>
        </w:tc>
      </w:tr>
      <w:tr w:rsidR="00701C80" w:rsidRPr="00A9330B" w14:paraId="085D5E70" w14:textId="77777777" w:rsidTr="00701C80">
        <w:trPr>
          <w:trHeight w:val="300"/>
        </w:trPr>
        <w:tc>
          <w:tcPr>
            <w:tcW w:w="1860" w:type="dxa"/>
            <w:vMerge/>
            <w:noWrap/>
            <w:hideMark/>
          </w:tcPr>
          <w:p w14:paraId="77366D2E" w14:textId="77777777" w:rsidR="00701C80" w:rsidRPr="00A9330B" w:rsidRDefault="00701C80" w:rsidP="000F4D1B">
            <w:pPr>
              <w:spacing w:before="60" w:line="240" w:lineRule="auto"/>
              <w:jc w:val="both"/>
              <w:rPr>
                <w:rFonts w:eastAsia="Times New Roman" w:cs="Arial"/>
                <w:color w:val="000000"/>
                <w:sz w:val="20"/>
                <w:szCs w:val="20"/>
                <w:lang w:eastAsia="fr-FR"/>
              </w:rPr>
            </w:pPr>
          </w:p>
        </w:tc>
        <w:tc>
          <w:tcPr>
            <w:tcW w:w="2813" w:type="dxa"/>
            <w:noWrap/>
            <w:hideMark/>
          </w:tcPr>
          <w:p w14:paraId="7E077944" w14:textId="77777777" w:rsidR="00701C80" w:rsidRPr="00A9330B" w:rsidRDefault="00701C80" w:rsidP="000F4D1B">
            <w:pPr>
              <w:spacing w:before="60" w:line="240" w:lineRule="auto"/>
              <w:jc w:val="both"/>
              <w:rPr>
                <w:rFonts w:eastAsia="Times New Roman" w:cs="Arial"/>
                <w:i/>
                <w:color w:val="000000"/>
                <w:sz w:val="20"/>
                <w:szCs w:val="20"/>
                <w:lang w:eastAsia="fr-FR"/>
              </w:rPr>
            </w:pPr>
            <w:r w:rsidRPr="00A9330B">
              <w:rPr>
                <w:rFonts w:eastAsia="Times New Roman" w:cs="Arial"/>
                <w:i/>
                <w:color w:val="000000"/>
                <w:sz w:val="20"/>
                <w:szCs w:val="20"/>
                <w:lang w:eastAsia="fr-FR"/>
              </w:rPr>
              <w:t>Adansonia digitata</w:t>
            </w:r>
          </w:p>
        </w:tc>
        <w:tc>
          <w:tcPr>
            <w:tcW w:w="3402" w:type="dxa"/>
            <w:noWrap/>
            <w:hideMark/>
          </w:tcPr>
          <w:p w14:paraId="7FC413C5" w14:textId="77777777" w:rsidR="00701C80" w:rsidRPr="00A9330B" w:rsidRDefault="00701C80" w:rsidP="000F4D1B">
            <w:pPr>
              <w:spacing w:before="60" w:line="240" w:lineRule="auto"/>
              <w:jc w:val="both"/>
              <w:rPr>
                <w:rFonts w:eastAsia="Times New Roman" w:cs="Arial"/>
                <w:color w:val="000000"/>
                <w:sz w:val="20"/>
                <w:szCs w:val="20"/>
                <w:lang w:eastAsia="fr-FR"/>
              </w:rPr>
            </w:pPr>
            <w:r w:rsidRPr="00A9330B">
              <w:rPr>
                <w:rFonts w:eastAsia="Times New Roman" w:cs="Arial"/>
                <w:color w:val="000000"/>
                <w:sz w:val="20"/>
                <w:szCs w:val="20"/>
                <w:lang w:eastAsia="fr-FR"/>
              </w:rPr>
              <w:t>Bombacaceae</w:t>
            </w:r>
          </w:p>
        </w:tc>
        <w:tc>
          <w:tcPr>
            <w:tcW w:w="992" w:type="dxa"/>
            <w:noWrap/>
            <w:hideMark/>
          </w:tcPr>
          <w:p w14:paraId="20376654" w14:textId="77777777" w:rsidR="00701C80" w:rsidRPr="00A9330B" w:rsidRDefault="00701C80" w:rsidP="000F4D1B">
            <w:pPr>
              <w:spacing w:before="60" w:line="240" w:lineRule="auto"/>
              <w:jc w:val="both"/>
              <w:rPr>
                <w:rFonts w:eastAsia="Times New Roman" w:cs="Arial"/>
                <w:color w:val="000000"/>
                <w:sz w:val="20"/>
                <w:szCs w:val="20"/>
                <w:lang w:eastAsia="fr-FR"/>
              </w:rPr>
            </w:pPr>
          </w:p>
        </w:tc>
      </w:tr>
      <w:tr w:rsidR="00701C80" w:rsidRPr="00A9330B" w14:paraId="491E1944" w14:textId="77777777" w:rsidTr="00701C80">
        <w:trPr>
          <w:trHeight w:val="300"/>
        </w:trPr>
        <w:tc>
          <w:tcPr>
            <w:tcW w:w="1860" w:type="dxa"/>
            <w:vMerge/>
            <w:noWrap/>
            <w:hideMark/>
          </w:tcPr>
          <w:p w14:paraId="00FCB1D4" w14:textId="77777777" w:rsidR="00701C80" w:rsidRPr="00A9330B" w:rsidRDefault="00701C80" w:rsidP="000F4D1B">
            <w:pPr>
              <w:spacing w:before="60" w:line="240" w:lineRule="auto"/>
              <w:jc w:val="both"/>
              <w:rPr>
                <w:rFonts w:eastAsia="Times New Roman" w:cs="Arial"/>
                <w:color w:val="auto"/>
                <w:sz w:val="20"/>
                <w:szCs w:val="20"/>
                <w:lang w:eastAsia="fr-FR"/>
              </w:rPr>
            </w:pPr>
          </w:p>
        </w:tc>
        <w:tc>
          <w:tcPr>
            <w:tcW w:w="2813" w:type="dxa"/>
            <w:noWrap/>
            <w:hideMark/>
          </w:tcPr>
          <w:p w14:paraId="793EBBE6" w14:textId="77777777" w:rsidR="00701C80" w:rsidRPr="00A9330B" w:rsidRDefault="00701C80" w:rsidP="000F4D1B">
            <w:pPr>
              <w:spacing w:before="60" w:line="240" w:lineRule="auto"/>
              <w:jc w:val="both"/>
              <w:rPr>
                <w:rFonts w:eastAsia="Times New Roman" w:cs="Arial"/>
                <w:i/>
                <w:color w:val="000000"/>
                <w:sz w:val="20"/>
                <w:szCs w:val="20"/>
                <w:lang w:eastAsia="fr-FR"/>
              </w:rPr>
            </w:pPr>
            <w:r w:rsidRPr="00A9330B">
              <w:rPr>
                <w:rFonts w:eastAsia="Times New Roman" w:cs="Arial"/>
                <w:i/>
                <w:color w:val="000000"/>
                <w:sz w:val="20"/>
                <w:szCs w:val="20"/>
                <w:lang w:eastAsia="fr-FR"/>
              </w:rPr>
              <w:t xml:space="preserve">Tectona grandis </w:t>
            </w:r>
          </w:p>
        </w:tc>
        <w:tc>
          <w:tcPr>
            <w:tcW w:w="3402" w:type="dxa"/>
            <w:noWrap/>
            <w:hideMark/>
          </w:tcPr>
          <w:p w14:paraId="76BB54FF" w14:textId="77777777" w:rsidR="00701C80" w:rsidRPr="00A9330B" w:rsidRDefault="00701C80" w:rsidP="000F4D1B">
            <w:pPr>
              <w:spacing w:before="60" w:line="240" w:lineRule="auto"/>
              <w:jc w:val="both"/>
              <w:rPr>
                <w:rFonts w:eastAsia="Times New Roman" w:cs="Arial"/>
                <w:color w:val="000000"/>
                <w:sz w:val="20"/>
                <w:szCs w:val="20"/>
                <w:lang w:eastAsia="fr-FR"/>
              </w:rPr>
            </w:pPr>
            <w:r w:rsidRPr="00A9330B">
              <w:rPr>
                <w:rFonts w:eastAsia="Times New Roman" w:cs="Arial"/>
                <w:color w:val="000000"/>
                <w:sz w:val="20"/>
                <w:szCs w:val="20"/>
                <w:lang w:eastAsia="fr-FR"/>
              </w:rPr>
              <w:t>Verbenaceae</w:t>
            </w:r>
          </w:p>
        </w:tc>
        <w:tc>
          <w:tcPr>
            <w:tcW w:w="992" w:type="dxa"/>
            <w:noWrap/>
            <w:hideMark/>
          </w:tcPr>
          <w:p w14:paraId="0BB8BC57" w14:textId="77777777" w:rsidR="00701C80" w:rsidRPr="00A9330B" w:rsidRDefault="00701C80" w:rsidP="000F4D1B">
            <w:pPr>
              <w:spacing w:before="60" w:line="240" w:lineRule="auto"/>
              <w:jc w:val="both"/>
              <w:rPr>
                <w:rFonts w:eastAsia="Times New Roman" w:cs="Arial"/>
                <w:color w:val="000000"/>
                <w:sz w:val="20"/>
                <w:szCs w:val="20"/>
                <w:lang w:eastAsia="fr-FR"/>
              </w:rPr>
            </w:pPr>
            <w:r w:rsidRPr="00A9330B">
              <w:rPr>
                <w:rFonts w:eastAsia="Times New Roman" w:cs="Arial"/>
                <w:color w:val="000000"/>
                <w:sz w:val="20"/>
                <w:szCs w:val="20"/>
                <w:lang w:eastAsia="fr-FR"/>
              </w:rPr>
              <w:t>LC</w:t>
            </w:r>
          </w:p>
        </w:tc>
      </w:tr>
      <w:tr w:rsidR="00701C80" w:rsidRPr="00A9330B" w14:paraId="34643D50" w14:textId="77777777" w:rsidTr="00701C80">
        <w:trPr>
          <w:trHeight w:val="300"/>
        </w:trPr>
        <w:tc>
          <w:tcPr>
            <w:tcW w:w="1860" w:type="dxa"/>
            <w:vMerge/>
            <w:noWrap/>
            <w:hideMark/>
          </w:tcPr>
          <w:p w14:paraId="22BC205E" w14:textId="77777777" w:rsidR="00701C80" w:rsidRPr="00A9330B" w:rsidRDefault="00701C80" w:rsidP="000F4D1B">
            <w:pPr>
              <w:spacing w:before="60" w:line="240" w:lineRule="auto"/>
              <w:jc w:val="both"/>
              <w:rPr>
                <w:rFonts w:eastAsia="Times New Roman" w:cs="Arial"/>
                <w:color w:val="000000"/>
                <w:sz w:val="20"/>
                <w:szCs w:val="20"/>
                <w:lang w:eastAsia="fr-FR"/>
              </w:rPr>
            </w:pPr>
          </w:p>
        </w:tc>
        <w:tc>
          <w:tcPr>
            <w:tcW w:w="2813" w:type="dxa"/>
            <w:noWrap/>
            <w:hideMark/>
          </w:tcPr>
          <w:p w14:paraId="263287BF" w14:textId="77777777" w:rsidR="00701C80" w:rsidRPr="00A9330B" w:rsidRDefault="00701C80" w:rsidP="000F4D1B">
            <w:pPr>
              <w:spacing w:before="60" w:line="240" w:lineRule="auto"/>
              <w:jc w:val="both"/>
              <w:rPr>
                <w:rFonts w:eastAsia="Times New Roman" w:cs="Arial"/>
                <w:i/>
                <w:color w:val="000000"/>
                <w:sz w:val="20"/>
                <w:szCs w:val="20"/>
                <w:lang w:eastAsia="fr-FR"/>
              </w:rPr>
            </w:pPr>
            <w:r w:rsidRPr="00A9330B">
              <w:rPr>
                <w:rFonts w:eastAsia="Times New Roman" w:cs="Arial"/>
                <w:i/>
                <w:color w:val="000000"/>
                <w:sz w:val="20"/>
                <w:szCs w:val="20"/>
                <w:lang w:eastAsia="fr-FR"/>
              </w:rPr>
              <w:t>Terminalia catappa</w:t>
            </w:r>
          </w:p>
        </w:tc>
        <w:tc>
          <w:tcPr>
            <w:tcW w:w="3402" w:type="dxa"/>
            <w:noWrap/>
            <w:hideMark/>
          </w:tcPr>
          <w:p w14:paraId="7B8E7CCE" w14:textId="77777777" w:rsidR="00701C80" w:rsidRPr="00A9330B" w:rsidRDefault="00701C80" w:rsidP="000F4D1B">
            <w:pPr>
              <w:spacing w:before="60" w:line="240" w:lineRule="auto"/>
              <w:jc w:val="both"/>
              <w:rPr>
                <w:rFonts w:eastAsia="Times New Roman" w:cs="Arial"/>
                <w:color w:val="000000"/>
                <w:sz w:val="20"/>
                <w:szCs w:val="20"/>
                <w:lang w:eastAsia="fr-FR"/>
              </w:rPr>
            </w:pPr>
            <w:r w:rsidRPr="00A9330B">
              <w:rPr>
                <w:rFonts w:eastAsia="Times New Roman" w:cs="Arial"/>
                <w:color w:val="000000"/>
                <w:sz w:val="20"/>
                <w:szCs w:val="20"/>
                <w:lang w:eastAsia="fr-FR"/>
              </w:rPr>
              <w:t>Combretaceae</w:t>
            </w:r>
          </w:p>
        </w:tc>
        <w:tc>
          <w:tcPr>
            <w:tcW w:w="992" w:type="dxa"/>
            <w:noWrap/>
            <w:hideMark/>
          </w:tcPr>
          <w:p w14:paraId="2456E38C" w14:textId="77777777" w:rsidR="00701C80" w:rsidRPr="00A9330B" w:rsidRDefault="00701C80" w:rsidP="000F4D1B">
            <w:pPr>
              <w:spacing w:before="60" w:line="240" w:lineRule="auto"/>
              <w:jc w:val="both"/>
              <w:rPr>
                <w:rFonts w:eastAsia="Times New Roman" w:cs="Arial"/>
                <w:color w:val="000000"/>
                <w:sz w:val="20"/>
                <w:szCs w:val="20"/>
                <w:lang w:eastAsia="fr-FR"/>
              </w:rPr>
            </w:pPr>
            <w:r w:rsidRPr="00A9330B">
              <w:rPr>
                <w:rFonts w:eastAsia="Times New Roman" w:cs="Arial"/>
                <w:color w:val="000000"/>
                <w:sz w:val="20"/>
                <w:szCs w:val="20"/>
                <w:lang w:eastAsia="fr-FR"/>
              </w:rPr>
              <w:t>LC</w:t>
            </w:r>
          </w:p>
        </w:tc>
      </w:tr>
      <w:tr w:rsidR="00701C80" w:rsidRPr="00A9330B" w14:paraId="1FC54FAF" w14:textId="77777777" w:rsidTr="00701C80">
        <w:trPr>
          <w:trHeight w:val="300"/>
        </w:trPr>
        <w:tc>
          <w:tcPr>
            <w:tcW w:w="1860" w:type="dxa"/>
            <w:vMerge/>
            <w:noWrap/>
            <w:hideMark/>
          </w:tcPr>
          <w:p w14:paraId="0490FC89" w14:textId="77777777" w:rsidR="00701C80" w:rsidRPr="00A9330B" w:rsidRDefault="00701C80" w:rsidP="000F4D1B">
            <w:pPr>
              <w:spacing w:before="60" w:line="240" w:lineRule="auto"/>
              <w:jc w:val="both"/>
              <w:rPr>
                <w:rFonts w:eastAsia="Times New Roman" w:cs="Arial"/>
                <w:color w:val="000000"/>
                <w:sz w:val="20"/>
                <w:szCs w:val="20"/>
                <w:lang w:eastAsia="fr-FR"/>
              </w:rPr>
            </w:pPr>
          </w:p>
        </w:tc>
        <w:tc>
          <w:tcPr>
            <w:tcW w:w="2813" w:type="dxa"/>
            <w:noWrap/>
            <w:hideMark/>
          </w:tcPr>
          <w:p w14:paraId="4934B869" w14:textId="77777777" w:rsidR="00701C80" w:rsidRPr="00A9330B" w:rsidRDefault="00701C80" w:rsidP="000F4D1B">
            <w:pPr>
              <w:spacing w:before="60" w:line="240" w:lineRule="auto"/>
              <w:jc w:val="both"/>
              <w:rPr>
                <w:rFonts w:eastAsia="Times New Roman" w:cs="Arial"/>
                <w:i/>
                <w:iCs/>
                <w:color w:val="000000"/>
                <w:sz w:val="20"/>
                <w:szCs w:val="20"/>
                <w:lang w:eastAsia="fr-FR"/>
              </w:rPr>
            </w:pPr>
            <w:r w:rsidRPr="00A9330B">
              <w:rPr>
                <w:rFonts w:eastAsia="Times New Roman" w:cs="Arial"/>
                <w:i/>
                <w:iCs/>
                <w:color w:val="000000"/>
                <w:sz w:val="20"/>
                <w:szCs w:val="20"/>
                <w:lang w:eastAsia="fr-FR"/>
              </w:rPr>
              <w:t xml:space="preserve">Azadirachta indica </w:t>
            </w:r>
          </w:p>
        </w:tc>
        <w:tc>
          <w:tcPr>
            <w:tcW w:w="3402" w:type="dxa"/>
            <w:noWrap/>
            <w:hideMark/>
          </w:tcPr>
          <w:p w14:paraId="0693672B" w14:textId="77777777" w:rsidR="00701C80" w:rsidRPr="00A9330B" w:rsidRDefault="00701C80" w:rsidP="000F4D1B">
            <w:pPr>
              <w:spacing w:before="60" w:line="240" w:lineRule="auto"/>
              <w:jc w:val="both"/>
              <w:rPr>
                <w:rFonts w:eastAsia="Times New Roman" w:cs="Arial"/>
                <w:color w:val="000000"/>
                <w:sz w:val="20"/>
                <w:szCs w:val="20"/>
                <w:lang w:eastAsia="fr-FR"/>
              </w:rPr>
            </w:pPr>
            <w:r w:rsidRPr="00A9330B">
              <w:rPr>
                <w:rFonts w:eastAsia="Times New Roman" w:cs="Arial"/>
                <w:color w:val="000000"/>
                <w:sz w:val="20"/>
                <w:szCs w:val="20"/>
                <w:lang w:eastAsia="fr-FR"/>
              </w:rPr>
              <w:t>Meliaceae</w:t>
            </w:r>
          </w:p>
        </w:tc>
        <w:tc>
          <w:tcPr>
            <w:tcW w:w="992" w:type="dxa"/>
            <w:noWrap/>
            <w:hideMark/>
          </w:tcPr>
          <w:p w14:paraId="5FE999FC" w14:textId="77777777" w:rsidR="00701C80" w:rsidRPr="00A9330B" w:rsidRDefault="00701C80" w:rsidP="000F4D1B">
            <w:pPr>
              <w:spacing w:before="60" w:line="240" w:lineRule="auto"/>
              <w:jc w:val="both"/>
              <w:rPr>
                <w:rFonts w:eastAsia="Times New Roman" w:cs="Arial"/>
                <w:color w:val="000000"/>
                <w:sz w:val="20"/>
                <w:szCs w:val="20"/>
                <w:lang w:eastAsia="fr-FR"/>
              </w:rPr>
            </w:pPr>
            <w:r w:rsidRPr="00A9330B">
              <w:rPr>
                <w:rFonts w:eastAsia="Times New Roman" w:cs="Arial"/>
                <w:color w:val="000000"/>
                <w:sz w:val="20"/>
                <w:szCs w:val="20"/>
                <w:lang w:eastAsia="fr-FR"/>
              </w:rPr>
              <w:t>LC</w:t>
            </w:r>
          </w:p>
        </w:tc>
      </w:tr>
      <w:tr w:rsidR="00701C80" w:rsidRPr="00A9330B" w14:paraId="0E667F14" w14:textId="77777777" w:rsidTr="00701C80">
        <w:trPr>
          <w:trHeight w:val="300"/>
        </w:trPr>
        <w:tc>
          <w:tcPr>
            <w:tcW w:w="1860" w:type="dxa"/>
            <w:vMerge/>
            <w:noWrap/>
            <w:hideMark/>
          </w:tcPr>
          <w:p w14:paraId="6F8EBF11" w14:textId="77777777" w:rsidR="00701C80" w:rsidRPr="00A9330B" w:rsidRDefault="00701C80" w:rsidP="000F4D1B">
            <w:pPr>
              <w:spacing w:before="60" w:line="240" w:lineRule="auto"/>
              <w:jc w:val="both"/>
              <w:rPr>
                <w:rFonts w:eastAsia="Times New Roman" w:cs="Arial"/>
                <w:color w:val="000000"/>
                <w:sz w:val="20"/>
                <w:szCs w:val="20"/>
                <w:lang w:eastAsia="fr-FR"/>
              </w:rPr>
            </w:pPr>
          </w:p>
        </w:tc>
        <w:tc>
          <w:tcPr>
            <w:tcW w:w="2813" w:type="dxa"/>
            <w:noWrap/>
            <w:hideMark/>
          </w:tcPr>
          <w:p w14:paraId="5244EEDA" w14:textId="77777777" w:rsidR="00701C80" w:rsidRPr="00A9330B" w:rsidRDefault="00701C80" w:rsidP="000F4D1B">
            <w:pPr>
              <w:spacing w:before="60" w:line="240" w:lineRule="auto"/>
              <w:jc w:val="both"/>
              <w:rPr>
                <w:rFonts w:eastAsia="Times New Roman" w:cs="Arial"/>
                <w:i/>
                <w:color w:val="000000"/>
                <w:sz w:val="20"/>
                <w:szCs w:val="20"/>
                <w:lang w:eastAsia="fr-FR"/>
              </w:rPr>
            </w:pPr>
            <w:r w:rsidRPr="00A9330B">
              <w:rPr>
                <w:rFonts w:eastAsia="Times New Roman" w:cs="Arial"/>
                <w:i/>
                <w:color w:val="000000"/>
                <w:sz w:val="20"/>
                <w:szCs w:val="20"/>
                <w:lang w:eastAsia="fr-FR"/>
              </w:rPr>
              <w:t>Delonix regia</w:t>
            </w:r>
          </w:p>
        </w:tc>
        <w:tc>
          <w:tcPr>
            <w:tcW w:w="3402" w:type="dxa"/>
            <w:noWrap/>
            <w:hideMark/>
          </w:tcPr>
          <w:p w14:paraId="398C0ED1" w14:textId="77777777" w:rsidR="00701C80" w:rsidRPr="00A9330B" w:rsidRDefault="00701C80" w:rsidP="000F4D1B">
            <w:pPr>
              <w:spacing w:before="60" w:line="240" w:lineRule="auto"/>
              <w:jc w:val="both"/>
              <w:rPr>
                <w:rFonts w:eastAsia="Times New Roman" w:cs="Arial"/>
                <w:color w:val="000000"/>
                <w:sz w:val="20"/>
                <w:szCs w:val="20"/>
                <w:lang w:eastAsia="fr-FR"/>
              </w:rPr>
            </w:pPr>
            <w:r w:rsidRPr="00A9330B">
              <w:rPr>
                <w:rFonts w:eastAsia="Times New Roman" w:cs="Arial"/>
                <w:color w:val="000000"/>
                <w:sz w:val="20"/>
                <w:szCs w:val="20"/>
                <w:lang w:eastAsia="fr-FR"/>
              </w:rPr>
              <w:t>Leguminosae-Caesalpinioideae</w:t>
            </w:r>
          </w:p>
        </w:tc>
        <w:tc>
          <w:tcPr>
            <w:tcW w:w="992" w:type="dxa"/>
            <w:noWrap/>
            <w:hideMark/>
          </w:tcPr>
          <w:p w14:paraId="4D2137CD" w14:textId="77777777" w:rsidR="00701C80" w:rsidRPr="00A9330B" w:rsidRDefault="00701C80" w:rsidP="000F4D1B">
            <w:pPr>
              <w:spacing w:before="60" w:line="240" w:lineRule="auto"/>
              <w:jc w:val="both"/>
              <w:rPr>
                <w:rFonts w:eastAsia="Times New Roman" w:cs="Arial"/>
                <w:color w:val="000000"/>
                <w:sz w:val="20"/>
                <w:szCs w:val="20"/>
                <w:lang w:eastAsia="fr-FR"/>
              </w:rPr>
            </w:pPr>
            <w:r w:rsidRPr="00A9330B">
              <w:rPr>
                <w:rFonts w:eastAsia="Times New Roman" w:cs="Arial"/>
                <w:color w:val="000000"/>
                <w:sz w:val="20"/>
                <w:szCs w:val="20"/>
                <w:lang w:eastAsia="fr-FR"/>
              </w:rPr>
              <w:t>LC</w:t>
            </w:r>
          </w:p>
        </w:tc>
      </w:tr>
      <w:tr w:rsidR="00701C80" w:rsidRPr="00A9330B" w14:paraId="228DEB58" w14:textId="77777777" w:rsidTr="00701C80">
        <w:trPr>
          <w:trHeight w:val="300"/>
        </w:trPr>
        <w:tc>
          <w:tcPr>
            <w:tcW w:w="1860" w:type="dxa"/>
            <w:vMerge/>
            <w:noWrap/>
            <w:hideMark/>
          </w:tcPr>
          <w:p w14:paraId="0D25E04F" w14:textId="77777777" w:rsidR="00701C80" w:rsidRPr="00A9330B" w:rsidRDefault="00701C80" w:rsidP="000F4D1B">
            <w:pPr>
              <w:spacing w:before="60" w:line="240" w:lineRule="auto"/>
              <w:jc w:val="both"/>
              <w:rPr>
                <w:rFonts w:eastAsia="Times New Roman" w:cs="Arial"/>
                <w:color w:val="000000"/>
                <w:sz w:val="20"/>
                <w:szCs w:val="20"/>
                <w:lang w:eastAsia="fr-FR"/>
              </w:rPr>
            </w:pPr>
          </w:p>
        </w:tc>
        <w:tc>
          <w:tcPr>
            <w:tcW w:w="2813" w:type="dxa"/>
            <w:noWrap/>
            <w:hideMark/>
          </w:tcPr>
          <w:p w14:paraId="011AF977" w14:textId="77777777" w:rsidR="00701C80" w:rsidRPr="00A9330B" w:rsidRDefault="00701C80" w:rsidP="000F4D1B">
            <w:pPr>
              <w:spacing w:before="60" w:line="240" w:lineRule="auto"/>
              <w:jc w:val="both"/>
              <w:rPr>
                <w:rFonts w:eastAsia="Times New Roman" w:cs="Arial"/>
                <w:i/>
                <w:color w:val="000000"/>
                <w:sz w:val="20"/>
                <w:szCs w:val="20"/>
                <w:lang w:eastAsia="fr-FR"/>
              </w:rPr>
            </w:pPr>
            <w:r w:rsidRPr="00A9330B">
              <w:rPr>
                <w:rFonts w:eastAsia="Times New Roman" w:cs="Arial"/>
                <w:i/>
                <w:color w:val="000000"/>
                <w:sz w:val="20"/>
                <w:szCs w:val="20"/>
                <w:lang w:eastAsia="fr-FR"/>
              </w:rPr>
              <w:t>Holarrhenafloribunda</w:t>
            </w:r>
          </w:p>
        </w:tc>
        <w:tc>
          <w:tcPr>
            <w:tcW w:w="3402" w:type="dxa"/>
            <w:noWrap/>
            <w:hideMark/>
          </w:tcPr>
          <w:p w14:paraId="02E0F7A4" w14:textId="77777777" w:rsidR="00701C80" w:rsidRPr="00A9330B" w:rsidRDefault="00701C80" w:rsidP="000F4D1B">
            <w:pPr>
              <w:spacing w:before="60" w:line="240" w:lineRule="auto"/>
              <w:jc w:val="both"/>
              <w:rPr>
                <w:rFonts w:eastAsia="Times New Roman" w:cs="Arial"/>
                <w:color w:val="000000"/>
                <w:sz w:val="20"/>
                <w:szCs w:val="20"/>
                <w:lang w:eastAsia="fr-FR"/>
              </w:rPr>
            </w:pPr>
            <w:r w:rsidRPr="00A9330B">
              <w:rPr>
                <w:rFonts w:eastAsia="Times New Roman" w:cs="Arial"/>
                <w:color w:val="000000"/>
                <w:sz w:val="20"/>
                <w:szCs w:val="20"/>
                <w:lang w:eastAsia="fr-FR"/>
              </w:rPr>
              <w:t>Apocynaceae</w:t>
            </w:r>
          </w:p>
        </w:tc>
        <w:tc>
          <w:tcPr>
            <w:tcW w:w="992" w:type="dxa"/>
            <w:noWrap/>
            <w:hideMark/>
          </w:tcPr>
          <w:p w14:paraId="0B8904E8" w14:textId="77777777" w:rsidR="00701C80" w:rsidRPr="00A9330B" w:rsidRDefault="00701C80" w:rsidP="000F4D1B">
            <w:pPr>
              <w:spacing w:before="60" w:line="240" w:lineRule="auto"/>
              <w:jc w:val="both"/>
              <w:rPr>
                <w:rFonts w:eastAsia="Times New Roman" w:cs="Arial"/>
                <w:color w:val="000000"/>
                <w:sz w:val="20"/>
                <w:szCs w:val="20"/>
                <w:lang w:eastAsia="fr-FR"/>
              </w:rPr>
            </w:pPr>
          </w:p>
        </w:tc>
      </w:tr>
      <w:tr w:rsidR="00701C80" w:rsidRPr="00A9330B" w14:paraId="23138A3D" w14:textId="77777777" w:rsidTr="00701C80">
        <w:trPr>
          <w:trHeight w:val="300"/>
        </w:trPr>
        <w:tc>
          <w:tcPr>
            <w:tcW w:w="1860" w:type="dxa"/>
            <w:vMerge/>
            <w:noWrap/>
            <w:hideMark/>
          </w:tcPr>
          <w:p w14:paraId="398A5CDE" w14:textId="77777777" w:rsidR="00701C80" w:rsidRPr="00A9330B" w:rsidRDefault="00701C80" w:rsidP="000F4D1B">
            <w:pPr>
              <w:spacing w:before="60" w:line="240" w:lineRule="auto"/>
              <w:jc w:val="both"/>
              <w:rPr>
                <w:rFonts w:eastAsia="Times New Roman" w:cs="Arial"/>
                <w:color w:val="auto"/>
                <w:sz w:val="20"/>
                <w:szCs w:val="20"/>
                <w:lang w:eastAsia="fr-FR"/>
              </w:rPr>
            </w:pPr>
          </w:p>
        </w:tc>
        <w:tc>
          <w:tcPr>
            <w:tcW w:w="2813" w:type="dxa"/>
            <w:noWrap/>
            <w:hideMark/>
          </w:tcPr>
          <w:p w14:paraId="0C197F7A" w14:textId="77777777" w:rsidR="00701C80" w:rsidRPr="00A9330B" w:rsidRDefault="00701C80" w:rsidP="000F4D1B">
            <w:pPr>
              <w:spacing w:before="60" w:line="240" w:lineRule="auto"/>
              <w:jc w:val="both"/>
              <w:rPr>
                <w:rFonts w:eastAsia="Times New Roman" w:cs="Arial"/>
                <w:i/>
                <w:color w:val="000000"/>
                <w:sz w:val="20"/>
                <w:szCs w:val="20"/>
                <w:lang w:eastAsia="fr-FR"/>
              </w:rPr>
            </w:pPr>
            <w:r w:rsidRPr="00A9330B">
              <w:rPr>
                <w:rFonts w:eastAsia="Times New Roman" w:cs="Arial"/>
                <w:i/>
                <w:color w:val="000000"/>
                <w:sz w:val="20"/>
                <w:szCs w:val="20"/>
                <w:lang w:eastAsia="fr-FR"/>
              </w:rPr>
              <w:t>Albizia lebbeck</w:t>
            </w:r>
          </w:p>
        </w:tc>
        <w:tc>
          <w:tcPr>
            <w:tcW w:w="3402" w:type="dxa"/>
            <w:noWrap/>
            <w:hideMark/>
          </w:tcPr>
          <w:p w14:paraId="493C2218" w14:textId="77777777" w:rsidR="00701C80" w:rsidRPr="00A9330B" w:rsidRDefault="00701C80" w:rsidP="000F4D1B">
            <w:pPr>
              <w:spacing w:before="60" w:line="240" w:lineRule="auto"/>
              <w:jc w:val="both"/>
              <w:rPr>
                <w:rFonts w:eastAsia="Times New Roman" w:cs="Arial"/>
                <w:color w:val="000000"/>
                <w:sz w:val="20"/>
                <w:szCs w:val="20"/>
                <w:lang w:eastAsia="fr-FR"/>
              </w:rPr>
            </w:pPr>
            <w:r w:rsidRPr="00A9330B">
              <w:rPr>
                <w:rFonts w:eastAsia="Times New Roman" w:cs="Arial"/>
                <w:color w:val="000000"/>
                <w:sz w:val="20"/>
                <w:szCs w:val="20"/>
                <w:lang w:eastAsia="fr-FR"/>
              </w:rPr>
              <w:t>Leguminosae-Mimosoideae</w:t>
            </w:r>
          </w:p>
        </w:tc>
        <w:tc>
          <w:tcPr>
            <w:tcW w:w="992" w:type="dxa"/>
            <w:noWrap/>
            <w:hideMark/>
          </w:tcPr>
          <w:p w14:paraId="22F4C418" w14:textId="77777777" w:rsidR="00701C80" w:rsidRPr="00A9330B" w:rsidRDefault="00701C80" w:rsidP="000F4D1B">
            <w:pPr>
              <w:spacing w:before="60" w:line="240" w:lineRule="auto"/>
              <w:jc w:val="both"/>
              <w:rPr>
                <w:rFonts w:eastAsia="Times New Roman" w:cs="Arial"/>
                <w:color w:val="000000"/>
                <w:sz w:val="20"/>
                <w:szCs w:val="20"/>
                <w:lang w:eastAsia="fr-FR"/>
              </w:rPr>
            </w:pPr>
            <w:r w:rsidRPr="00A9330B">
              <w:rPr>
                <w:rFonts w:eastAsia="Times New Roman" w:cs="Arial"/>
                <w:color w:val="000000"/>
                <w:sz w:val="20"/>
                <w:szCs w:val="20"/>
                <w:lang w:eastAsia="fr-FR"/>
              </w:rPr>
              <w:t>LC</w:t>
            </w:r>
          </w:p>
        </w:tc>
      </w:tr>
      <w:tr w:rsidR="00701C80" w:rsidRPr="00A9330B" w14:paraId="621160D4" w14:textId="77777777" w:rsidTr="00701C80">
        <w:trPr>
          <w:trHeight w:val="300"/>
        </w:trPr>
        <w:tc>
          <w:tcPr>
            <w:tcW w:w="1860" w:type="dxa"/>
            <w:vMerge/>
            <w:noWrap/>
            <w:hideMark/>
          </w:tcPr>
          <w:p w14:paraId="3FAAFE82" w14:textId="77777777" w:rsidR="00701C80" w:rsidRPr="00A9330B" w:rsidRDefault="00701C80" w:rsidP="000F4D1B">
            <w:pPr>
              <w:spacing w:before="60" w:line="240" w:lineRule="auto"/>
              <w:jc w:val="both"/>
              <w:rPr>
                <w:rFonts w:eastAsia="Times New Roman" w:cs="Arial"/>
                <w:color w:val="000000"/>
                <w:sz w:val="20"/>
                <w:szCs w:val="20"/>
                <w:lang w:eastAsia="fr-FR"/>
              </w:rPr>
            </w:pPr>
          </w:p>
        </w:tc>
        <w:tc>
          <w:tcPr>
            <w:tcW w:w="2813" w:type="dxa"/>
            <w:noWrap/>
            <w:hideMark/>
          </w:tcPr>
          <w:p w14:paraId="1DF28B7C" w14:textId="77777777" w:rsidR="00701C80" w:rsidRPr="00A9330B" w:rsidRDefault="00701C80" w:rsidP="000F4D1B">
            <w:pPr>
              <w:spacing w:before="60" w:line="240" w:lineRule="auto"/>
              <w:jc w:val="both"/>
              <w:rPr>
                <w:rFonts w:eastAsia="Times New Roman" w:cs="Arial"/>
                <w:i/>
                <w:color w:val="000000"/>
                <w:sz w:val="20"/>
                <w:szCs w:val="20"/>
                <w:lang w:eastAsia="fr-FR"/>
              </w:rPr>
            </w:pPr>
            <w:r w:rsidRPr="00A9330B">
              <w:rPr>
                <w:rFonts w:eastAsia="Times New Roman" w:cs="Arial"/>
                <w:i/>
                <w:color w:val="000000"/>
                <w:sz w:val="20"/>
                <w:szCs w:val="20"/>
                <w:lang w:eastAsia="fr-FR"/>
              </w:rPr>
              <w:t>Isoberlinia doka</w:t>
            </w:r>
          </w:p>
        </w:tc>
        <w:tc>
          <w:tcPr>
            <w:tcW w:w="3402" w:type="dxa"/>
            <w:noWrap/>
            <w:hideMark/>
          </w:tcPr>
          <w:p w14:paraId="7CDDC7BE" w14:textId="77777777" w:rsidR="00701C80" w:rsidRPr="00A9330B" w:rsidRDefault="00701C80" w:rsidP="000F4D1B">
            <w:pPr>
              <w:spacing w:before="60" w:line="240" w:lineRule="auto"/>
              <w:jc w:val="both"/>
              <w:rPr>
                <w:rFonts w:eastAsia="Times New Roman" w:cs="Arial"/>
                <w:color w:val="000000"/>
                <w:sz w:val="20"/>
                <w:szCs w:val="20"/>
                <w:lang w:eastAsia="fr-FR"/>
              </w:rPr>
            </w:pPr>
            <w:r w:rsidRPr="00A9330B">
              <w:rPr>
                <w:rFonts w:eastAsia="Times New Roman" w:cs="Arial"/>
                <w:color w:val="000000"/>
                <w:sz w:val="20"/>
                <w:szCs w:val="20"/>
                <w:lang w:eastAsia="fr-FR"/>
              </w:rPr>
              <w:t>Leguminosae-Caesalpinioideae</w:t>
            </w:r>
          </w:p>
        </w:tc>
        <w:tc>
          <w:tcPr>
            <w:tcW w:w="992" w:type="dxa"/>
            <w:noWrap/>
            <w:hideMark/>
          </w:tcPr>
          <w:p w14:paraId="6344D0F6" w14:textId="77777777" w:rsidR="00701C80" w:rsidRPr="00A9330B" w:rsidRDefault="00701C80" w:rsidP="000F4D1B">
            <w:pPr>
              <w:spacing w:before="60" w:line="240" w:lineRule="auto"/>
              <w:jc w:val="both"/>
              <w:rPr>
                <w:rFonts w:eastAsia="Times New Roman" w:cs="Arial"/>
                <w:color w:val="000000"/>
                <w:sz w:val="20"/>
                <w:szCs w:val="20"/>
                <w:lang w:eastAsia="fr-FR"/>
              </w:rPr>
            </w:pPr>
            <w:r w:rsidRPr="00A9330B">
              <w:rPr>
                <w:rFonts w:eastAsia="Times New Roman" w:cs="Arial"/>
                <w:color w:val="000000"/>
                <w:sz w:val="20"/>
                <w:szCs w:val="20"/>
                <w:lang w:eastAsia="fr-FR"/>
              </w:rPr>
              <w:t>LC</w:t>
            </w:r>
          </w:p>
        </w:tc>
      </w:tr>
      <w:tr w:rsidR="00701C80" w:rsidRPr="00A9330B" w14:paraId="6B492F12" w14:textId="77777777" w:rsidTr="00701C80">
        <w:trPr>
          <w:trHeight w:val="300"/>
        </w:trPr>
        <w:tc>
          <w:tcPr>
            <w:tcW w:w="1860" w:type="dxa"/>
            <w:vMerge/>
            <w:noWrap/>
            <w:hideMark/>
          </w:tcPr>
          <w:p w14:paraId="4FBCA1B2" w14:textId="77777777" w:rsidR="00701C80" w:rsidRPr="00A9330B" w:rsidRDefault="00701C80" w:rsidP="000F4D1B">
            <w:pPr>
              <w:spacing w:before="60" w:line="240" w:lineRule="auto"/>
              <w:jc w:val="both"/>
              <w:rPr>
                <w:rFonts w:eastAsia="Times New Roman" w:cs="Arial"/>
                <w:color w:val="000000"/>
                <w:sz w:val="20"/>
                <w:szCs w:val="20"/>
                <w:lang w:eastAsia="fr-FR"/>
              </w:rPr>
            </w:pPr>
          </w:p>
        </w:tc>
        <w:tc>
          <w:tcPr>
            <w:tcW w:w="2813" w:type="dxa"/>
            <w:noWrap/>
            <w:hideMark/>
          </w:tcPr>
          <w:p w14:paraId="12940D19" w14:textId="77777777" w:rsidR="00701C80" w:rsidRPr="00A9330B" w:rsidRDefault="00701C80" w:rsidP="000F4D1B">
            <w:pPr>
              <w:spacing w:before="60" w:line="240" w:lineRule="auto"/>
              <w:jc w:val="both"/>
              <w:rPr>
                <w:rFonts w:eastAsia="Times New Roman" w:cs="Arial"/>
                <w:i/>
                <w:color w:val="000000"/>
                <w:sz w:val="20"/>
                <w:szCs w:val="20"/>
                <w:lang w:eastAsia="fr-FR"/>
              </w:rPr>
            </w:pPr>
            <w:r w:rsidRPr="00A9330B">
              <w:rPr>
                <w:rFonts w:eastAsia="Times New Roman" w:cs="Arial"/>
                <w:i/>
                <w:color w:val="000000"/>
                <w:sz w:val="20"/>
                <w:szCs w:val="20"/>
                <w:lang w:eastAsia="fr-FR"/>
              </w:rPr>
              <w:t>Daniellia oliveri</w:t>
            </w:r>
          </w:p>
        </w:tc>
        <w:tc>
          <w:tcPr>
            <w:tcW w:w="3402" w:type="dxa"/>
            <w:noWrap/>
            <w:hideMark/>
          </w:tcPr>
          <w:p w14:paraId="54C72CFB" w14:textId="77777777" w:rsidR="00701C80" w:rsidRPr="00A9330B" w:rsidRDefault="00701C80" w:rsidP="000F4D1B">
            <w:pPr>
              <w:spacing w:before="60" w:line="240" w:lineRule="auto"/>
              <w:jc w:val="both"/>
              <w:rPr>
                <w:rFonts w:eastAsia="Times New Roman" w:cs="Arial"/>
                <w:color w:val="000000"/>
                <w:sz w:val="20"/>
                <w:szCs w:val="20"/>
                <w:lang w:eastAsia="fr-FR"/>
              </w:rPr>
            </w:pPr>
            <w:r w:rsidRPr="00A9330B">
              <w:rPr>
                <w:rFonts w:eastAsia="Times New Roman" w:cs="Arial"/>
                <w:color w:val="000000"/>
                <w:sz w:val="20"/>
                <w:szCs w:val="20"/>
                <w:lang w:eastAsia="fr-FR"/>
              </w:rPr>
              <w:t>Leguminosae-Caesalpinioideae</w:t>
            </w:r>
          </w:p>
        </w:tc>
        <w:tc>
          <w:tcPr>
            <w:tcW w:w="992" w:type="dxa"/>
            <w:noWrap/>
            <w:hideMark/>
          </w:tcPr>
          <w:p w14:paraId="78157C29" w14:textId="77777777" w:rsidR="00701C80" w:rsidRPr="00A9330B" w:rsidRDefault="00701C80" w:rsidP="000F4D1B">
            <w:pPr>
              <w:spacing w:before="60" w:line="240" w:lineRule="auto"/>
              <w:jc w:val="both"/>
              <w:rPr>
                <w:rFonts w:eastAsia="Times New Roman" w:cs="Arial"/>
                <w:color w:val="000000"/>
                <w:sz w:val="20"/>
                <w:szCs w:val="20"/>
                <w:lang w:eastAsia="fr-FR"/>
              </w:rPr>
            </w:pPr>
            <w:r w:rsidRPr="00A9330B">
              <w:rPr>
                <w:rFonts w:eastAsia="Times New Roman" w:cs="Arial"/>
                <w:color w:val="000000"/>
                <w:sz w:val="20"/>
                <w:szCs w:val="20"/>
                <w:lang w:eastAsia="fr-FR"/>
              </w:rPr>
              <w:t>LC</w:t>
            </w:r>
          </w:p>
        </w:tc>
      </w:tr>
      <w:tr w:rsidR="00701C80" w:rsidRPr="00A9330B" w14:paraId="76F470C4" w14:textId="77777777" w:rsidTr="00701C80">
        <w:trPr>
          <w:trHeight w:val="300"/>
        </w:trPr>
        <w:tc>
          <w:tcPr>
            <w:tcW w:w="1860" w:type="dxa"/>
            <w:vMerge/>
            <w:noWrap/>
            <w:hideMark/>
          </w:tcPr>
          <w:p w14:paraId="719FC13E" w14:textId="77777777" w:rsidR="00701C80" w:rsidRPr="00A9330B" w:rsidRDefault="00701C80" w:rsidP="000F4D1B">
            <w:pPr>
              <w:spacing w:before="60" w:line="240" w:lineRule="auto"/>
              <w:jc w:val="both"/>
              <w:rPr>
                <w:rFonts w:eastAsia="Times New Roman" w:cs="Arial"/>
                <w:color w:val="000000"/>
                <w:sz w:val="20"/>
                <w:szCs w:val="20"/>
                <w:lang w:eastAsia="fr-FR"/>
              </w:rPr>
            </w:pPr>
          </w:p>
        </w:tc>
        <w:tc>
          <w:tcPr>
            <w:tcW w:w="2813" w:type="dxa"/>
            <w:noWrap/>
            <w:hideMark/>
          </w:tcPr>
          <w:p w14:paraId="18C56388" w14:textId="77777777" w:rsidR="00701C80" w:rsidRPr="00A9330B" w:rsidRDefault="00701C80" w:rsidP="000F4D1B">
            <w:pPr>
              <w:spacing w:before="60" w:line="240" w:lineRule="auto"/>
              <w:jc w:val="both"/>
              <w:rPr>
                <w:rFonts w:eastAsia="Times New Roman" w:cs="Arial"/>
                <w:i/>
                <w:color w:val="000000"/>
                <w:sz w:val="20"/>
                <w:szCs w:val="20"/>
                <w:lang w:eastAsia="fr-FR"/>
              </w:rPr>
            </w:pPr>
            <w:r w:rsidRPr="00A9330B">
              <w:rPr>
                <w:rFonts w:eastAsia="Times New Roman" w:cs="Arial"/>
                <w:i/>
                <w:color w:val="000000"/>
                <w:sz w:val="20"/>
                <w:szCs w:val="20"/>
                <w:lang w:eastAsia="fr-FR"/>
              </w:rPr>
              <w:t>Khaya senegalensis</w:t>
            </w:r>
          </w:p>
        </w:tc>
        <w:tc>
          <w:tcPr>
            <w:tcW w:w="3402" w:type="dxa"/>
            <w:noWrap/>
            <w:hideMark/>
          </w:tcPr>
          <w:p w14:paraId="6788238F" w14:textId="77777777" w:rsidR="00701C80" w:rsidRPr="00A9330B" w:rsidRDefault="00701C80" w:rsidP="000F4D1B">
            <w:pPr>
              <w:spacing w:before="60" w:line="240" w:lineRule="auto"/>
              <w:jc w:val="both"/>
              <w:rPr>
                <w:rFonts w:eastAsia="Times New Roman" w:cs="Arial"/>
                <w:color w:val="000000"/>
                <w:sz w:val="20"/>
                <w:szCs w:val="20"/>
                <w:lang w:eastAsia="fr-FR"/>
              </w:rPr>
            </w:pPr>
            <w:r w:rsidRPr="00A9330B">
              <w:rPr>
                <w:rFonts w:eastAsia="Times New Roman" w:cs="Arial"/>
                <w:color w:val="000000"/>
                <w:sz w:val="20"/>
                <w:szCs w:val="20"/>
                <w:lang w:eastAsia="fr-FR"/>
              </w:rPr>
              <w:t>Meliaceae</w:t>
            </w:r>
          </w:p>
        </w:tc>
        <w:tc>
          <w:tcPr>
            <w:tcW w:w="992" w:type="dxa"/>
            <w:noWrap/>
            <w:hideMark/>
          </w:tcPr>
          <w:p w14:paraId="6CC905E7" w14:textId="77777777" w:rsidR="00701C80" w:rsidRPr="00A9330B" w:rsidRDefault="00701C80" w:rsidP="000F4D1B">
            <w:pPr>
              <w:spacing w:before="60" w:line="240" w:lineRule="auto"/>
              <w:jc w:val="both"/>
              <w:rPr>
                <w:rFonts w:eastAsia="Times New Roman" w:cs="Arial"/>
                <w:color w:val="000000"/>
                <w:sz w:val="20"/>
                <w:szCs w:val="20"/>
                <w:lang w:eastAsia="fr-FR"/>
              </w:rPr>
            </w:pPr>
            <w:r w:rsidRPr="00A9330B">
              <w:rPr>
                <w:rFonts w:eastAsia="Times New Roman" w:cs="Arial"/>
                <w:color w:val="000000"/>
                <w:sz w:val="20"/>
                <w:szCs w:val="20"/>
                <w:lang w:eastAsia="fr-FR"/>
              </w:rPr>
              <w:t>VU</w:t>
            </w:r>
          </w:p>
        </w:tc>
      </w:tr>
      <w:tr w:rsidR="00701C80" w:rsidRPr="00A9330B" w14:paraId="280A8038" w14:textId="77777777" w:rsidTr="00701C80">
        <w:trPr>
          <w:trHeight w:val="300"/>
        </w:trPr>
        <w:tc>
          <w:tcPr>
            <w:tcW w:w="1860" w:type="dxa"/>
            <w:vMerge/>
            <w:noWrap/>
            <w:hideMark/>
          </w:tcPr>
          <w:p w14:paraId="1A97072A" w14:textId="77777777" w:rsidR="00701C80" w:rsidRPr="00A9330B" w:rsidRDefault="00701C80" w:rsidP="000F4D1B">
            <w:pPr>
              <w:spacing w:before="60" w:line="240" w:lineRule="auto"/>
              <w:jc w:val="both"/>
              <w:rPr>
                <w:rFonts w:eastAsia="Times New Roman" w:cs="Arial"/>
                <w:color w:val="000000"/>
                <w:sz w:val="20"/>
                <w:szCs w:val="20"/>
                <w:lang w:eastAsia="fr-FR"/>
              </w:rPr>
            </w:pPr>
          </w:p>
        </w:tc>
        <w:tc>
          <w:tcPr>
            <w:tcW w:w="2813" w:type="dxa"/>
            <w:noWrap/>
            <w:hideMark/>
          </w:tcPr>
          <w:p w14:paraId="2EFAA8C1" w14:textId="77777777" w:rsidR="00701C80" w:rsidRPr="00A9330B" w:rsidRDefault="00701C80" w:rsidP="000F4D1B">
            <w:pPr>
              <w:spacing w:before="60" w:line="240" w:lineRule="auto"/>
              <w:jc w:val="both"/>
              <w:rPr>
                <w:rFonts w:eastAsia="Times New Roman" w:cs="Arial"/>
                <w:i/>
                <w:color w:val="000000"/>
                <w:sz w:val="20"/>
                <w:szCs w:val="20"/>
                <w:lang w:eastAsia="fr-FR"/>
              </w:rPr>
            </w:pPr>
            <w:r w:rsidRPr="00A9330B">
              <w:rPr>
                <w:rFonts w:eastAsia="Times New Roman" w:cs="Arial"/>
                <w:i/>
                <w:color w:val="000000"/>
                <w:sz w:val="20"/>
                <w:szCs w:val="20"/>
                <w:lang w:eastAsia="fr-FR"/>
              </w:rPr>
              <w:t>lsoberlinia tomentosa</w:t>
            </w:r>
          </w:p>
        </w:tc>
        <w:tc>
          <w:tcPr>
            <w:tcW w:w="3402" w:type="dxa"/>
            <w:noWrap/>
            <w:hideMark/>
          </w:tcPr>
          <w:p w14:paraId="6128CD6D" w14:textId="77777777" w:rsidR="00701C80" w:rsidRPr="00A9330B" w:rsidRDefault="00701C80" w:rsidP="000F4D1B">
            <w:pPr>
              <w:spacing w:before="60" w:line="240" w:lineRule="auto"/>
              <w:jc w:val="both"/>
              <w:rPr>
                <w:rFonts w:eastAsia="Times New Roman" w:cs="Arial"/>
                <w:color w:val="000000"/>
                <w:sz w:val="20"/>
                <w:szCs w:val="20"/>
                <w:lang w:eastAsia="fr-FR"/>
              </w:rPr>
            </w:pPr>
            <w:r w:rsidRPr="00A9330B">
              <w:rPr>
                <w:rFonts w:eastAsia="Times New Roman" w:cs="Arial"/>
                <w:color w:val="000000"/>
                <w:sz w:val="20"/>
                <w:szCs w:val="20"/>
                <w:lang w:eastAsia="fr-FR"/>
              </w:rPr>
              <w:t>Leguminosae-Caesalpinioideae</w:t>
            </w:r>
          </w:p>
        </w:tc>
        <w:tc>
          <w:tcPr>
            <w:tcW w:w="992" w:type="dxa"/>
            <w:noWrap/>
            <w:hideMark/>
          </w:tcPr>
          <w:p w14:paraId="755DBC37" w14:textId="77777777" w:rsidR="00701C80" w:rsidRPr="00A9330B" w:rsidRDefault="00701C80" w:rsidP="000F4D1B">
            <w:pPr>
              <w:spacing w:before="60" w:line="240" w:lineRule="auto"/>
              <w:jc w:val="both"/>
              <w:rPr>
                <w:rFonts w:eastAsia="Times New Roman" w:cs="Arial"/>
                <w:color w:val="000000"/>
                <w:sz w:val="20"/>
                <w:szCs w:val="20"/>
                <w:lang w:eastAsia="fr-FR"/>
              </w:rPr>
            </w:pPr>
            <w:r w:rsidRPr="00A9330B">
              <w:rPr>
                <w:rFonts w:eastAsia="Times New Roman" w:cs="Arial"/>
                <w:color w:val="000000"/>
                <w:sz w:val="20"/>
                <w:szCs w:val="20"/>
                <w:lang w:eastAsia="fr-FR"/>
              </w:rPr>
              <w:t>LC</w:t>
            </w:r>
          </w:p>
        </w:tc>
      </w:tr>
      <w:tr w:rsidR="00701C80" w:rsidRPr="00A9330B" w14:paraId="77AB52B2" w14:textId="77777777" w:rsidTr="00701C80">
        <w:trPr>
          <w:trHeight w:val="300"/>
        </w:trPr>
        <w:tc>
          <w:tcPr>
            <w:tcW w:w="1860" w:type="dxa"/>
            <w:vMerge/>
            <w:noWrap/>
            <w:hideMark/>
          </w:tcPr>
          <w:p w14:paraId="35E5B019" w14:textId="77777777" w:rsidR="00701C80" w:rsidRPr="00A9330B" w:rsidRDefault="00701C80" w:rsidP="000F4D1B">
            <w:pPr>
              <w:spacing w:before="60" w:line="240" w:lineRule="auto"/>
              <w:jc w:val="both"/>
              <w:rPr>
                <w:rFonts w:eastAsia="Times New Roman" w:cs="Arial"/>
                <w:color w:val="000000"/>
                <w:sz w:val="20"/>
                <w:szCs w:val="20"/>
                <w:lang w:eastAsia="fr-FR"/>
              </w:rPr>
            </w:pPr>
          </w:p>
        </w:tc>
        <w:tc>
          <w:tcPr>
            <w:tcW w:w="2813" w:type="dxa"/>
            <w:noWrap/>
            <w:hideMark/>
          </w:tcPr>
          <w:p w14:paraId="47A17B0F" w14:textId="77777777" w:rsidR="00701C80" w:rsidRPr="00A9330B" w:rsidRDefault="00701C80" w:rsidP="000F4D1B">
            <w:pPr>
              <w:spacing w:before="60" w:line="240" w:lineRule="auto"/>
              <w:jc w:val="both"/>
              <w:rPr>
                <w:rFonts w:eastAsia="Times New Roman" w:cs="Arial"/>
                <w:i/>
                <w:color w:val="000000"/>
                <w:sz w:val="20"/>
                <w:szCs w:val="20"/>
                <w:lang w:eastAsia="fr-FR"/>
              </w:rPr>
            </w:pPr>
            <w:r w:rsidRPr="00A9330B">
              <w:rPr>
                <w:rFonts w:eastAsia="Times New Roman" w:cs="Arial"/>
                <w:i/>
                <w:color w:val="000000"/>
                <w:sz w:val="20"/>
                <w:szCs w:val="20"/>
                <w:lang w:eastAsia="fr-FR"/>
              </w:rPr>
              <w:t>Elaeis guineensis</w:t>
            </w:r>
          </w:p>
        </w:tc>
        <w:tc>
          <w:tcPr>
            <w:tcW w:w="3402" w:type="dxa"/>
            <w:noWrap/>
            <w:hideMark/>
          </w:tcPr>
          <w:p w14:paraId="18FACF56" w14:textId="77777777" w:rsidR="00701C80" w:rsidRPr="00A9330B" w:rsidRDefault="00701C80" w:rsidP="000F4D1B">
            <w:pPr>
              <w:spacing w:before="60" w:line="240" w:lineRule="auto"/>
              <w:jc w:val="both"/>
              <w:rPr>
                <w:rFonts w:eastAsia="Times New Roman" w:cs="Arial"/>
                <w:color w:val="000000"/>
                <w:sz w:val="20"/>
                <w:szCs w:val="20"/>
                <w:lang w:eastAsia="fr-FR"/>
              </w:rPr>
            </w:pPr>
            <w:r w:rsidRPr="00A9330B">
              <w:rPr>
                <w:rFonts w:eastAsia="Times New Roman" w:cs="Arial"/>
                <w:color w:val="000000"/>
                <w:sz w:val="20"/>
                <w:szCs w:val="20"/>
                <w:lang w:eastAsia="fr-FR"/>
              </w:rPr>
              <w:t>Arecaceae</w:t>
            </w:r>
          </w:p>
        </w:tc>
        <w:tc>
          <w:tcPr>
            <w:tcW w:w="992" w:type="dxa"/>
            <w:noWrap/>
            <w:hideMark/>
          </w:tcPr>
          <w:p w14:paraId="68F0C465" w14:textId="77777777" w:rsidR="00701C80" w:rsidRPr="00A9330B" w:rsidRDefault="00701C80" w:rsidP="000F4D1B">
            <w:pPr>
              <w:spacing w:before="60" w:line="240" w:lineRule="auto"/>
              <w:jc w:val="both"/>
              <w:rPr>
                <w:rFonts w:eastAsia="Times New Roman" w:cs="Arial"/>
                <w:color w:val="000000"/>
                <w:sz w:val="20"/>
                <w:szCs w:val="20"/>
                <w:lang w:eastAsia="fr-FR"/>
              </w:rPr>
            </w:pPr>
          </w:p>
        </w:tc>
      </w:tr>
      <w:tr w:rsidR="00701C80" w:rsidRPr="00A9330B" w14:paraId="6320E8D2" w14:textId="77777777" w:rsidTr="00701C80">
        <w:trPr>
          <w:trHeight w:val="300"/>
        </w:trPr>
        <w:tc>
          <w:tcPr>
            <w:tcW w:w="1860" w:type="dxa"/>
            <w:vMerge/>
            <w:noWrap/>
            <w:hideMark/>
          </w:tcPr>
          <w:p w14:paraId="0290681C" w14:textId="77777777" w:rsidR="00701C80" w:rsidRPr="00A9330B" w:rsidRDefault="00701C80" w:rsidP="000F4D1B">
            <w:pPr>
              <w:spacing w:before="60" w:line="240" w:lineRule="auto"/>
              <w:jc w:val="both"/>
              <w:rPr>
                <w:rFonts w:eastAsia="Times New Roman" w:cs="Arial"/>
                <w:color w:val="auto"/>
                <w:sz w:val="20"/>
                <w:szCs w:val="20"/>
                <w:lang w:eastAsia="fr-FR"/>
              </w:rPr>
            </w:pPr>
          </w:p>
        </w:tc>
        <w:tc>
          <w:tcPr>
            <w:tcW w:w="2813" w:type="dxa"/>
            <w:noWrap/>
            <w:hideMark/>
          </w:tcPr>
          <w:p w14:paraId="78F6ADF2" w14:textId="77777777" w:rsidR="00701C80" w:rsidRPr="00A9330B" w:rsidRDefault="00701C80" w:rsidP="000F4D1B">
            <w:pPr>
              <w:spacing w:before="60" w:line="240" w:lineRule="auto"/>
              <w:jc w:val="both"/>
              <w:rPr>
                <w:rFonts w:eastAsia="Times New Roman" w:cs="Arial"/>
                <w:i/>
                <w:color w:val="000000"/>
                <w:sz w:val="20"/>
                <w:szCs w:val="20"/>
                <w:lang w:eastAsia="fr-FR"/>
              </w:rPr>
            </w:pPr>
            <w:r w:rsidRPr="00A9330B">
              <w:rPr>
                <w:rFonts w:eastAsia="Times New Roman" w:cs="Arial"/>
                <w:i/>
                <w:color w:val="000000"/>
                <w:sz w:val="20"/>
                <w:szCs w:val="20"/>
                <w:lang w:eastAsia="fr-FR"/>
              </w:rPr>
              <w:t>Oncoba spinosa</w:t>
            </w:r>
          </w:p>
        </w:tc>
        <w:tc>
          <w:tcPr>
            <w:tcW w:w="3402" w:type="dxa"/>
            <w:noWrap/>
            <w:hideMark/>
          </w:tcPr>
          <w:p w14:paraId="2A7C0A77" w14:textId="77777777" w:rsidR="00701C80" w:rsidRPr="00A9330B" w:rsidRDefault="00701C80" w:rsidP="000F4D1B">
            <w:pPr>
              <w:spacing w:before="60" w:line="240" w:lineRule="auto"/>
              <w:jc w:val="both"/>
              <w:rPr>
                <w:rFonts w:eastAsia="Times New Roman" w:cs="Arial"/>
                <w:color w:val="000000"/>
                <w:sz w:val="20"/>
                <w:szCs w:val="20"/>
                <w:lang w:eastAsia="fr-FR"/>
              </w:rPr>
            </w:pPr>
            <w:r w:rsidRPr="00A9330B">
              <w:rPr>
                <w:rFonts w:eastAsia="Times New Roman" w:cs="Arial"/>
                <w:color w:val="000000"/>
                <w:sz w:val="20"/>
                <w:szCs w:val="20"/>
                <w:lang w:eastAsia="fr-FR"/>
              </w:rPr>
              <w:t>Gentianaceae</w:t>
            </w:r>
          </w:p>
        </w:tc>
        <w:tc>
          <w:tcPr>
            <w:tcW w:w="992" w:type="dxa"/>
            <w:noWrap/>
            <w:hideMark/>
          </w:tcPr>
          <w:p w14:paraId="73AA30D9" w14:textId="77777777" w:rsidR="00701C80" w:rsidRPr="00A9330B" w:rsidRDefault="00701C80" w:rsidP="000F4D1B">
            <w:pPr>
              <w:spacing w:before="60" w:line="240" w:lineRule="auto"/>
              <w:jc w:val="both"/>
              <w:rPr>
                <w:rFonts w:eastAsia="Times New Roman" w:cs="Arial"/>
                <w:color w:val="000000"/>
                <w:sz w:val="20"/>
                <w:szCs w:val="20"/>
                <w:lang w:eastAsia="fr-FR"/>
              </w:rPr>
            </w:pPr>
            <w:r w:rsidRPr="00A9330B">
              <w:rPr>
                <w:rFonts w:eastAsia="Times New Roman" w:cs="Arial"/>
                <w:color w:val="000000"/>
                <w:sz w:val="20"/>
                <w:szCs w:val="20"/>
                <w:lang w:eastAsia="fr-FR"/>
              </w:rPr>
              <w:t>LC</w:t>
            </w:r>
          </w:p>
        </w:tc>
      </w:tr>
      <w:tr w:rsidR="00701C80" w:rsidRPr="00A9330B" w14:paraId="148A9CCE" w14:textId="77777777" w:rsidTr="00701C80">
        <w:trPr>
          <w:trHeight w:val="300"/>
        </w:trPr>
        <w:tc>
          <w:tcPr>
            <w:tcW w:w="1860" w:type="dxa"/>
            <w:vMerge/>
            <w:noWrap/>
            <w:hideMark/>
          </w:tcPr>
          <w:p w14:paraId="0090A107" w14:textId="77777777" w:rsidR="00701C80" w:rsidRPr="00A9330B" w:rsidRDefault="00701C80" w:rsidP="000F4D1B">
            <w:pPr>
              <w:spacing w:before="60" w:line="240" w:lineRule="auto"/>
              <w:jc w:val="both"/>
              <w:rPr>
                <w:rFonts w:eastAsia="Times New Roman" w:cs="Arial"/>
                <w:color w:val="000000"/>
                <w:sz w:val="20"/>
                <w:szCs w:val="20"/>
                <w:lang w:eastAsia="fr-FR"/>
              </w:rPr>
            </w:pPr>
          </w:p>
        </w:tc>
        <w:tc>
          <w:tcPr>
            <w:tcW w:w="2813" w:type="dxa"/>
            <w:noWrap/>
            <w:hideMark/>
          </w:tcPr>
          <w:p w14:paraId="477E29C3" w14:textId="77777777" w:rsidR="00701C80" w:rsidRPr="00A9330B" w:rsidRDefault="00701C80" w:rsidP="000F4D1B">
            <w:pPr>
              <w:spacing w:before="60" w:line="240" w:lineRule="auto"/>
              <w:jc w:val="both"/>
              <w:rPr>
                <w:rFonts w:eastAsia="Times New Roman" w:cs="Arial"/>
                <w:i/>
                <w:color w:val="000000"/>
                <w:sz w:val="20"/>
                <w:szCs w:val="20"/>
                <w:lang w:eastAsia="fr-FR"/>
              </w:rPr>
            </w:pPr>
            <w:r w:rsidRPr="00A9330B">
              <w:rPr>
                <w:rFonts w:eastAsia="Times New Roman" w:cs="Arial"/>
                <w:i/>
                <w:color w:val="000000"/>
                <w:sz w:val="20"/>
                <w:szCs w:val="20"/>
                <w:lang w:eastAsia="fr-FR"/>
              </w:rPr>
              <w:t xml:space="preserve">Vitex doniana </w:t>
            </w:r>
          </w:p>
        </w:tc>
        <w:tc>
          <w:tcPr>
            <w:tcW w:w="3402" w:type="dxa"/>
            <w:noWrap/>
            <w:hideMark/>
          </w:tcPr>
          <w:p w14:paraId="4E14FBBA" w14:textId="77777777" w:rsidR="00701C80" w:rsidRPr="00A9330B" w:rsidRDefault="00701C80" w:rsidP="000F4D1B">
            <w:pPr>
              <w:spacing w:before="60" w:line="240" w:lineRule="auto"/>
              <w:jc w:val="both"/>
              <w:rPr>
                <w:rFonts w:eastAsia="Times New Roman" w:cs="Arial"/>
                <w:color w:val="000000"/>
                <w:sz w:val="20"/>
                <w:szCs w:val="20"/>
                <w:lang w:eastAsia="fr-FR"/>
              </w:rPr>
            </w:pPr>
            <w:r w:rsidRPr="00A9330B">
              <w:rPr>
                <w:rFonts w:eastAsia="Times New Roman" w:cs="Arial"/>
                <w:color w:val="000000"/>
                <w:sz w:val="20"/>
                <w:szCs w:val="20"/>
                <w:lang w:eastAsia="fr-FR"/>
              </w:rPr>
              <w:t>Verbenaceae</w:t>
            </w:r>
          </w:p>
        </w:tc>
        <w:tc>
          <w:tcPr>
            <w:tcW w:w="992" w:type="dxa"/>
            <w:noWrap/>
            <w:hideMark/>
          </w:tcPr>
          <w:p w14:paraId="1609E45E" w14:textId="77777777" w:rsidR="00701C80" w:rsidRPr="00A9330B" w:rsidRDefault="00701C80" w:rsidP="000F4D1B">
            <w:pPr>
              <w:spacing w:before="60" w:line="240" w:lineRule="auto"/>
              <w:jc w:val="both"/>
              <w:rPr>
                <w:rFonts w:eastAsia="Times New Roman" w:cs="Arial"/>
                <w:color w:val="000000"/>
                <w:sz w:val="20"/>
                <w:szCs w:val="20"/>
                <w:lang w:eastAsia="fr-FR"/>
              </w:rPr>
            </w:pPr>
            <w:r w:rsidRPr="00A9330B">
              <w:rPr>
                <w:rFonts w:eastAsia="Times New Roman" w:cs="Arial"/>
                <w:color w:val="000000"/>
                <w:sz w:val="20"/>
                <w:szCs w:val="20"/>
                <w:lang w:eastAsia="fr-FR"/>
              </w:rPr>
              <w:t>LC</w:t>
            </w:r>
          </w:p>
        </w:tc>
      </w:tr>
      <w:tr w:rsidR="00701C80" w:rsidRPr="00A9330B" w14:paraId="53CC8228" w14:textId="77777777" w:rsidTr="00701C80">
        <w:trPr>
          <w:trHeight w:val="300"/>
        </w:trPr>
        <w:tc>
          <w:tcPr>
            <w:tcW w:w="1860" w:type="dxa"/>
            <w:vMerge/>
            <w:noWrap/>
            <w:hideMark/>
          </w:tcPr>
          <w:p w14:paraId="24AE3639" w14:textId="77777777" w:rsidR="00701C80" w:rsidRPr="00A9330B" w:rsidRDefault="00701C80" w:rsidP="000F4D1B">
            <w:pPr>
              <w:spacing w:before="60" w:line="240" w:lineRule="auto"/>
              <w:jc w:val="both"/>
              <w:rPr>
                <w:rFonts w:eastAsia="Times New Roman" w:cs="Arial"/>
                <w:color w:val="000000"/>
                <w:sz w:val="20"/>
                <w:szCs w:val="20"/>
                <w:lang w:eastAsia="fr-FR"/>
              </w:rPr>
            </w:pPr>
          </w:p>
        </w:tc>
        <w:tc>
          <w:tcPr>
            <w:tcW w:w="2813" w:type="dxa"/>
            <w:noWrap/>
            <w:hideMark/>
          </w:tcPr>
          <w:p w14:paraId="4A62E2B4" w14:textId="77777777" w:rsidR="00701C80" w:rsidRPr="00A9330B" w:rsidRDefault="00701C80" w:rsidP="000F4D1B">
            <w:pPr>
              <w:spacing w:before="60" w:line="240" w:lineRule="auto"/>
              <w:jc w:val="both"/>
              <w:rPr>
                <w:rFonts w:eastAsia="Times New Roman" w:cs="Arial"/>
                <w:i/>
                <w:color w:val="000000"/>
                <w:sz w:val="20"/>
                <w:szCs w:val="20"/>
                <w:lang w:eastAsia="fr-FR"/>
              </w:rPr>
            </w:pPr>
            <w:r w:rsidRPr="00A9330B">
              <w:rPr>
                <w:rFonts w:eastAsia="Times New Roman" w:cs="Arial"/>
                <w:i/>
                <w:color w:val="000000"/>
                <w:sz w:val="20"/>
                <w:szCs w:val="20"/>
                <w:lang w:eastAsia="fr-FR"/>
              </w:rPr>
              <w:t xml:space="preserve">Anacardium occidentale </w:t>
            </w:r>
          </w:p>
        </w:tc>
        <w:tc>
          <w:tcPr>
            <w:tcW w:w="3402" w:type="dxa"/>
            <w:noWrap/>
            <w:hideMark/>
          </w:tcPr>
          <w:p w14:paraId="4E9FDD7F" w14:textId="77777777" w:rsidR="00701C80" w:rsidRPr="00A9330B" w:rsidRDefault="00701C80" w:rsidP="000F4D1B">
            <w:pPr>
              <w:spacing w:before="60" w:line="240" w:lineRule="auto"/>
              <w:jc w:val="both"/>
              <w:rPr>
                <w:rFonts w:eastAsia="Times New Roman" w:cs="Arial"/>
                <w:color w:val="000000"/>
                <w:sz w:val="20"/>
                <w:szCs w:val="20"/>
                <w:lang w:eastAsia="fr-FR"/>
              </w:rPr>
            </w:pPr>
            <w:r w:rsidRPr="00A9330B">
              <w:rPr>
                <w:rFonts w:eastAsia="Times New Roman" w:cs="Arial"/>
                <w:color w:val="000000"/>
                <w:sz w:val="20"/>
                <w:szCs w:val="20"/>
                <w:lang w:eastAsia="fr-FR"/>
              </w:rPr>
              <w:t>Anacardiaceae</w:t>
            </w:r>
          </w:p>
        </w:tc>
        <w:tc>
          <w:tcPr>
            <w:tcW w:w="992" w:type="dxa"/>
            <w:noWrap/>
            <w:hideMark/>
          </w:tcPr>
          <w:p w14:paraId="66011D43" w14:textId="77777777" w:rsidR="00701C80" w:rsidRPr="00A9330B" w:rsidRDefault="00701C80" w:rsidP="000F4D1B">
            <w:pPr>
              <w:spacing w:before="60" w:line="240" w:lineRule="auto"/>
              <w:jc w:val="both"/>
              <w:rPr>
                <w:rFonts w:eastAsia="Times New Roman" w:cs="Arial"/>
                <w:color w:val="000000"/>
                <w:sz w:val="20"/>
                <w:szCs w:val="20"/>
                <w:lang w:eastAsia="fr-FR"/>
              </w:rPr>
            </w:pPr>
            <w:r w:rsidRPr="00A9330B">
              <w:rPr>
                <w:rFonts w:eastAsia="Times New Roman" w:cs="Arial"/>
                <w:color w:val="000000"/>
                <w:sz w:val="20"/>
                <w:szCs w:val="20"/>
                <w:lang w:eastAsia="fr-FR"/>
              </w:rPr>
              <w:t>LC</w:t>
            </w:r>
          </w:p>
        </w:tc>
      </w:tr>
      <w:tr w:rsidR="00701C80" w:rsidRPr="00A9330B" w14:paraId="24E7FE79" w14:textId="77777777" w:rsidTr="00701C80">
        <w:trPr>
          <w:trHeight w:val="300"/>
        </w:trPr>
        <w:tc>
          <w:tcPr>
            <w:tcW w:w="1860" w:type="dxa"/>
            <w:vMerge/>
            <w:noWrap/>
            <w:hideMark/>
          </w:tcPr>
          <w:p w14:paraId="67AA2B2B" w14:textId="77777777" w:rsidR="00701C80" w:rsidRPr="00A9330B" w:rsidRDefault="00701C80" w:rsidP="000F4D1B">
            <w:pPr>
              <w:spacing w:before="60" w:line="240" w:lineRule="auto"/>
              <w:jc w:val="both"/>
              <w:rPr>
                <w:rFonts w:eastAsia="Times New Roman" w:cs="Arial"/>
                <w:color w:val="000000"/>
                <w:sz w:val="20"/>
                <w:szCs w:val="20"/>
                <w:lang w:eastAsia="fr-FR"/>
              </w:rPr>
            </w:pPr>
          </w:p>
        </w:tc>
        <w:tc>
          <w:tcPr>
            <w:tcW w:w="2813" w:type="dxa"/>
            <w:noWrap/>
            <w:hideMark/>
          </w:tcPr>
          <w:p w14:paraId="06470D61" w14:textId="77777777" w:rsidR="00701C80" w:rsidRPr="00A9330B" w:rsidRDefault="00701C80" w:rsidP="000F4D1B">
            <w:pPr>
              <w:spacing w:before="60" w:line="240" w:lineRule="auto"/>
              <w:jc w:val="both"/>
              <w:rPr>
                <w:rFonts w:eastAsia="Times New Roman" w:cs="Arial"/>
                <w:i/>
                <w:color w:val="000000"/>
                <w:sz w:val="20"/>
                <w:szCs w:val="20"/>
                <w:lang w:eastAsia="fr-FR"/>
              </w:rPr>
            </w:pPr>
            <w:r w:rsidRPr="00A9330B">
              <w:rPr>
                <w:rFonts w:eastAsia="Times New Roman" w:cs="Arial"/>
                <w:i/>
                <w:color w:val="000000"/>
                <w:sz w:val="20"/>
                <w:szCs w:val="20"/>
                <w:lang w:eastAsia="fr-FR"/>
              </w:rPr>
              <w:t>Vitellaria  paradoxa</w:t>
            </w:r>
          </w:p>
        </w:tc>
        <w:tc>
          <w:tcPr>
            <w:tcW w:w="3402" w:type="dxa"/>
            <w:noWrap/>
            <w:hideMark/>
          </w:tcPr>
          <w:p w14:paraId="6ED90645" w14:textId="77777777" w:rsidR="00701C80" w:rsidRPr="00A9330B" w:rsidRDefault="00701C80" w:rsidP="000F4D1B">
            <w:pPr>
              <w:spacing w:before="60" w:line="240" w:lineRule="auto"/>
              <w:jc w:val="both"/>
              <w:rPr>
                <w:rFonts w:eastAsia="Times New Roman" w:cs="Arial"/>
                <w:color w:val="000000"/>
                <w:sz w:val="20"/>
                <w:szCs w:val="20"/>
                <w:lang w:eastAsia="fr-FR"/>
              </w:rPr>
            </w:pPr>
            <w:r w:rsidRPr="00A9330B">
              <w:rPr>
                <w:rFonts w:eastAsia="Times New Roman" w:cs="Arial"/>
                <w:color w:val="000000"/>
                <w:sz w:val="20"/>
                <w:szCs w:val="20"/>
                <w:lang w:eastAsia="fr-FR"/>
              </w:rPr>
              <w:t>Sapotaceae</w:t>
            </w:r>
          </w:p>
        </w:tc>
        <w:tc>
          <w:tcPr>
            <w:tcW w:w="992" w:type="dxa"/>
            <w:noWrap/>
            <w:hideMark/>
          </w:tcPr>
          <w:p w14:paraId="16D28293" w14:textId="77777777" w:rsidR="00701C80" w:rsidRPr="00A9330B" w:rsidRDefault="00701C80" w:rsidP="000F4D1B">
            <w:pPr>
              <w:spacing w:before="60" w:line="240" w:lineRule="auto"/>
              <w:jc w:val="both"/>
              <w:rPr>
                <w:rFonts w:eastAsia="Times New Roman" w:cs="Arial"/>
                <w:color w:val="000000"/>
                <w:sz w:val="20"/>
                <w:szCs w:val="20"/>
                <w:lang w:eastAsia="fr-FR"/>
              </w:rPr>
            </w:pPr>
            <w:r w:rsidRPr="00A9330B">
              <w:rPr>
                <w:rFonts w:eastAsia="Times New Roman" w:cs="Arial"/>
                <w:color w:val="000000"/>
                <w:sz w:val="20"/>
                <w:szCs w:val="20"/>
                <w:lang w:eastAsia="fr-FR"/>
              </w:rPr>
              <w:t>VU</w:t>
            </w:r>
          </w:p>
        </w:tc>
      </w:tr>
      <w:tr w:rsidR="00701C80" w:rsidRPr="00A9330B" w14:paraId="1344C339" w14:textId="77777777" w:rsidTr="00701C80">
        <w:trPr>
          <w:trHeight w:val="300"/>
        </w:trPr>
        <w:tc>
          <w:tcPr>
            <w:tcW w:w="1860" w:type="dxa"/>
            <w:vMerge/>
            <w:noWrap/>
            <w:hideMark/>
          </w:tcPr>
          <w:p w14:paraId="731A1CDB" w14:textId="77777777" w:rsidR="00701C80" w:rsidRPr="00A9330B" w:rsidRDefault="00701C80" w:rsidP="000F4D1B">
            <w:pPr>
              <w:spacing w:before="60" w:line="240" w:lineRule="auto"/>
              <w:jc w:val="both"/>
              <w:rPr>
                <w:rFonts w:eastAsia="Times New Roman" w:cs="Arial"/>
                <w:color w:val="000000"/>
                <w:sz w:val="20"/>
                <w:szCs w:val="20"/>
                <w:lang w:eastAsia="fr-FR"/>
              </w:rPr>
            </w:pPr>
          </w:p>
        </w:tc>
        <w:tc>
          <w:tcPr>
            <w:tcW w:w="2813" w:type="dxa"/>
            <w:noWrap/>
            <w:hideMark/>
          </w:tcPr>
          <w:p w14:paraId="4BD1E08A" w14:textId="77777777" w:rsidR="00701C80" w:rsidRPr="00A9330B" w:rsidRDefault="00701C80" w:rsidP="000F4D1B">
            <w:pPr>
              <w:spacing w:before="60" w:line="240" w:lineRule="auto"/>
              <w:jc w:val="both"/>
              <w:rPr>
                <w:rFonts w:eastAsia="Times New Roman" w:cs="Arial"/>
                <w:i/>
                <w:color w:val="000000"/>
                <w:sz w:val="20"/>
                <w:szCs w:val="20"/>
                <w:lang w:eastAsia="fr-FR"/>
              </w:rPr>
            </w:pPr>
            <w:r w:rsidRPr="00A9330B">
              <w:rPr>
                <w:rFonts w:eastAsia="Times New Roman" w:cs="Arial"/>
                <w:i/>
                <w:color w:val="000000"/>
                <w:sz w:val="20"/>
                <w:szCs w:val="20"/>
                <w:lang w:eastAsia="fr-FR"/>
              </w:rPr>
              <w:t>Mangifera indica</w:t>
            </w:r>
          </w:p>
        </w:tc>
        <w:tc>
          <w:tcPr>
            <w:tcW w:w="3402" w:type="dxa"/>
            <w:noWrap/>
            <w:hideMark/>
          </w:tcPr>
          <w:p w14:paraId="4D9FE606" w14:textId="77777777" w:rsidR="00701C80" w:rsidRPr="00A9330B" w:rsidRDefault="00701C80" w:rsidP="000F4D1B">
            <w:pPr>
              <w:spacing w:before="60" w:line="240" w:lineRule="auto"/>
              <w:jc w:val="both"/>
              <w:rPr>
                <w:rFonts w:eastAsia="Times New Roman" w:cs="Arial"/>
                <w:color w:val="000000"/>
                <w:sz w:val="20"/>
                <w:szCs w:val="20"/>
                <w:lang w:eastAsia="fr-FR"/>
              </w:rPr>
            </w:pPr>
            <w:r w:rsidRPr="00A9330B">
              <w:rPr>
                <w:rFonts w:eastAsia="Times New Roman" w:cs="Arial"/>
                <w:color w:val="000000"/>
                <w:sz w:val="20"/>
                <w:szCs w:val="20"/>
                <w:lang w:eastAsia="fr-FR"/>
              </w:rPr>
              <w:t>Anacardiaceae</w:t>
            </w:r>
          </w:p>
        </w:tc>
        <w:tc>
          <w:tcPr>
            <w:tcW w:w="992" w:type="dxa"/>
            <w:noWrap/>
            <w:hideMark/>
          </w:tcPr>
          <w:p w14:paraId="0A48507F" w14:textId="77777777" w:rsidR="00701C80" w:rsidRPr="00A9330B" w:rsidRDefault="00701C80" w:rsidP="000F4D1B">
            <w:pPr>
              <w:spacing w:before="60" w:line="240" w:lineRule="auto"/>
              <w:jc w:val="both"/>
              <w:rPr>
                <w:rFonts w:eastAsia="Times New Roman" w:cs="Arial"/>
                <w:color w:val="000000"/>
                <w:sz w:val="20"/>
                <w:szCs w:val="20"/>
                <w:lang w:eastAsia="fr-FR"/>
              </w:rPr>
            </w:pPr>
            <w:r w:rsidRPr="00A9330B">
              <w:rPr>
                <w:rFonts w:eastAsia="Times New Roman" w:cs="Arial"/>
                <w:color w:val="000000"/>
                <w:sz w:val="20"/>
                <w:szCs w:val="20"/>
                <w:lang w:eastAsia="fr-FR"/>
              </w:rPr>
              <w:t>LC</w:t>
            </w:r>
          </w:p>
        </w:tc>
      </w:tr>
      <w:tr w:rsidR="00701C80" w:rsidRPr="00A9330B" w14:paraId="4E8C7BD5" w14:textId="77777777" w:rsidTr="00701C80">
        <w:trPr>
          <w:trHeight w:val="300"/>
        </w:trPr>
        <w:tc>
          <w:tcPr>
            <w:tcW w:w="1860" w:type="dxa"/>
            <w:vMerge/>
            <w:noWrap/>
            <w:hideMark/>
          </w:tcPr>
          <w:p w14:paraId="50022631" w14:textId="77777777" w:rsidR="00701C80" w:rsidRPr="00A9330B" w:rsidRDefault="00701C80" w:rsidP="000F4D1B">
            <w:pPr>
              <w:spacing w:before="60" w:line="240" w:lineRule="auto"/>
              <w:jc w:val="both"/>
              <w:rPr>
                <w:rFonts w:eastAsia="Times New Roman" w:cs="Arial"/>
                <w:color w:val="000000"/>
                <w:sz w:val="20"/>
                <w:szCs w:val="20"/>
                <w:lang w:eastAsia="fr-FR"/>
              </w:rPr>
            </w:pPr>
          </w:p>
        </w:tc>
        <w:tc>
          <w:tcPr>
            <w:tcW w:w="2813" w:type="dxa"/>
            <w:noWrap/>
            <w:hideMark/>
          </w:tcPr>
          <w:p w14:paraId="7D800063" w14:textId="77777777" w:rsidR="00701C80" w:rsidRPr="00A9330B" w:rsidRDefault="00701C80" w:rsidP="000F4D1B">
            <w:pPr>
              <w:spacing w:before="60" w:line="240" w:lineRule="auto"/>
              <w:jc w:val="both"/>
              <w:rPr>
                <w:rFonts w:eastAsia="Times New Roman" w:cs="Arial"/>
                <w:i/>
                <w:color w:val="000000"/>
                <w:sz w:val="20"/>
                <w:szCs w:val="20"/>
                <w:lang w:eastAsia="fr-FR"/>
              </w:rPr>
            </w:pPr>
            <w:r w:rsidRPr="00A9330B">
              <w:rPr>
                <w:rFonts w:eastAsia="Times New Roman" w:cs="Arial"/>
                <w:i/>
                <w:color w:val="000000"/>
                <w:sz w:val="20"/>
                <w:szCs w:val="20"/>
                <w:lang w:eastAsia="fr-FR"/>
              </w:rPr>
              <w:t>Citrus limon</w:t>
            </w:r>
          </w:p>
        </w:tc>
        <w:tc>
          <w:tcPr>
            <w:tcW w:w="3402" w:type="dxa"/>
            <w:noWrap/>
            <w:hideMark/>
          </w:tcPr>
          <w:p w14:paraId="329BC6F5" w14:textId="77777777" w:rsidR="00701C80" w:rsidRPr="00A9330B" w:rsidRDefault="00701C80" w:rsidP="000F4D1B">
            <w:pPr>
              <w:spacing w:before="60" w:line="240" w:lineRule="auto"/>
              <w:jc w:val="both"/>
              <w:rPr>
                <w:rFonts w:eastAsia="Times New Roman" w:cs="Arial"/>
                <w:color w:val="000000"/>
                <w:sz w:val="20"/>
                <w:szCs w:val="20"/>
                <w:lang w:eastAsia="fr-FR"/>
              </w:rPr>
            </w:pPr>
            <w:r w:rsidRPr="00A9330B">
              <w:rPr>
                <w:rFonts w:eastAsia="Times New Roman" w:cs="Arial"/>
                <w:color w:val="000000"/>
                <w:sz w:val="20"/>
                <w:szCs w:val="20"/>
                <w:lang w:eastAsia="fr-FR"/>
              </w:rPr>
              <w:t>Rutaceae</w:t>
            </w:r>
          </w:p>
        </w:tc>
        <w:tc>
          <w:tcPr>
            <w:tcW w:w="992" w:type="dxa"/>
            <w:noWrap/>
            <w:hideMark/>
          </w:tcPr>
          <w:p w14:paraId="1D2C7B8C" w14:textId="77777777" w:rsidR="00701C80" w:rsidRPr="00A9330B" w:rsidRDefault="00701C80" w:rsidP="000F4D1B">
            <w:pPr>
              <w:spacing w:before="60" w:line="240" w:lineRule="auto"/>
              <w:jc w:val="both"/>
              <w:rPr>
                <w:rFonts w:eastAsia="Times New Roman" w:cs="Arial"/>
                <w:color w:val="000000"/>
                <w:sz w:val="20"/>
                <w:szCs w:val="20"/>
                <w:lang w:eastAsia="fr-FR"/>
              </w:rPr>
            </w:pPr>
          </w:p>
        </w:tc>
      </w:tr>
      <w:tr w:rsidR="00701C80" w:rsidRPr="00A9330B" w14:paraId="0AE1E48C" w14:textId="77777777" w:rsidTr="00701C80">
        <w:trPr>
          <w:trHeight w:val="300"/>
        </w:trPr>
        <w:tc>
          <w:tcPr>
            <w:tcW w:w="1860" w:type="dxa"/>
            <w:vMerge/>
            <w:noWrap/>
            <w:hideMark/>
          </w:tcPr>
          <w:p w14:paraId="7E776946" w14:textId="77777777" w:rsidR="00701C80" w:rsidRPr="00A9330B" w:rsidRDefault="00701C80" w:rsidP="000F4D1B">
            <w:pPr>
              <w:spacing w:before="60" w:line="240" w:lineRule="auto"/>
              <w:jc w:val="both"/>
              <w:rPr>
                <w:rFonts w:eastAsia="Times New Roman" w:cs="Arial"/>
                <w:color w:val="auto"/>
                <w:sz w:val="20"/>
                <w:szCs w:val="20"/>
                <w:lang w:eastAsia="fr-FR"/>
              </w:rPr>
            </w:pPr>
          </w:p>
        </w:tc>
        <w:tc>
          <w:tcPr>
            <w:tcW w:w="2813" w:type="dxa"/>
            <w:noWrap/>
            <w:hideMark/>
          </w:tcPr>
          <w:p w14:paraId="460EACE6" w14:textId="77777777" w:rsidR="00701C80" w:rsidRPr="00A9330B" w:rsidRDefault="00701C80" w:rsidP="000F4D1B">
            <w:pPr>
              <w:spacing w:before="60" w:line="240" w:lineRule="auto"/>
              <w:jc w:val="both"/>
              <w:rPr>
                <w:rFonts w:eastAsia="Times New Roman" w:cs="Arial"/>
                <w:i/>
                <w:color w:val="000000"/>
                <w:sz w:val="20"/>
                <w:szCs w:val="20"/>
                <w:lang w:eastAsia="fr-FR"/>
              </w:rPr>
            </w:pPr>
            <w:r w:rsidRPr="00A9330B">
              <w:rPr>
                <w:rFonts w:eastAsia="Times New Roman" w:cs="Arial"/>
                <w:i/>
                <w:color w:val="000000"/>
                <w:sz w:val="20"/>
                <w:szCs w:val="20"/>
                <w:lang w:eastAsia="fr-FR"/>
              </w:rPr>
              <w:t>Elaeis guineensis</w:t>
            </w:r>
          </w:p>
        </w:tc>
        <w:tc>
          <w:tcPr>
            <w:tcW w:w="3402" w:type="dxa"/>
            <w:noWrap/>
            <w:hideMark/>
          </w:tcPr>
          <w:p w14:paraId="3C0BC0CE" w14:textId="77777777" w:rsidR="00701C80" w:rsidRPr="00A9330B" w:rsidRDefault="00701C80" w:rsidP="000F4D1B">
            <w:pPr>
              <w:spacing w:before="60" w:line="240" w:lineRule="auto"/>
              <w:jc w:val="both"/>
              <w:rPr>
                <w:rFonts w:eastAsia="Times New Roman" w:cs="Arial"/>
                <w:color w:val="000000"/>
                <w:sz w:val="20"/>
                <w:szCs w:val="20"/>
                <w:lang w:eastAsia="fr-FR"/>
              </w:rPr>
            </w:pPr>
            <w:r w:rsidRPr="00A9330B">
              <w:rPr>
                <w:rFonts w:eastAsia="Times New Roman" w:cs="Arial"/>
                <w:color w:val="000000"/>
                <w:sz w:val="20"/>
                <w:szCs w:val="20"/>
                <w:lang w:eastAsia="fr-FR"/>
              </w:rPr>
              <w:t>Arecaceae</w:t>
            </w:r>
          </w:p>
        </w:tc>
        <w:tc>
          <w:tcPr>
            <w:tcW w:w="992" w:type="dxa"/>
            <w:noWrap/>
            <w:hideMark/>
          </w:tcPr>
          <w:p w14:paraId="29F08317" w14:textId="77777777" w:rsidR="00701C80" w:rsidRPr="00A9330B" w:rsidRDefault="00701C80" w:rsidP="000F4D1B">
            <w:pPr>
              <w:spacing w:before="60" w:line="240" w:lineRule="auto"/>
              <w:jc w:val="both"/>
              <w:rPr>
                <w:rFonts w:eastAsia="Times New Roman" w:cs="Arial"/>
                <w:color w:val="000000"/>
                <w:sz w:val="20"/>
                <w:szCs w:val="20"/>
                <w:lang w:eastAsia="fr-FR"/>
              </w:rPr>
            </w:pPr>
            <w:r w:rsidRPr="00A9330B">
              <w:rPr>
                <w:rFonts w:eastAsia="Times New Roman" w:cs="Arial"/>
                <w:color w:val="000000"/>
                <w:sz w:val="20"/>
                <w:szCs w:val="20"/>
                <w:lang w:eastAsia="fr-FR"/>
              </w:rPr>
              <w:t>LC</w:t>
            </w:r>
          </w:p>
        </w:tc>
      </w:tr>
      <w:tr w:rsidR="00701C80" w:rsidRPr="00A9330B" w14:paraId="0880B69D" w14:textId="77777777" w:rsidTr="00701C80">
        <w:trPr>
          <w:trHeight w:val="300"/>
        </w:trPr>
        <w:tc>
          <w:tcPr>
            <w:tcW w:w="1860" w:type="dxa"/>
            <w:vMerge/>
            <w:noWrap/>
            <w:hideMark/>
          </w:tcPr>
          <w:p w14:paraId="17098483" w14:textId="77777777" w:rsidR="00701C80" w:rsidRPr="00A9330B" w:rsidRDefault="00701C80" w:rsidP="000F4D1B">
            <w:pPr>
              <w:spacing w:before="60" w:line="240" w:lineRule="auto"/>
              <w:jc w:val="both"/>
              <w:rPr>
                <w:rFonts w:eastAsia="Times New Roman" w:cs="Arial"/>
                <w:color w:val="000000"/>
                <w:sz w:val="20"/>
                <w:szCs w:val="20"/>
                <w:lang w:eastAsia="fr-FR"/>
              </w:rPr>
            </w:pPr>
          </w:p>
        </w:tc>
        <w:tc>
          <w:tcPr>
            <w:tcW w:w="2813" w:type="dxa"/>
            <w:noWrap/>
            <w:hideMark/>
          </w:tcPr>
          <w:p w14:paraId="632D4B29" w14:textId="77777777" w:rsidR="00701C80" w:rsidRPr="00A9330B" w:rsidRDefault="00701C80" w:rsidP="000F4D1B">
            <w:pPr>
              <w:spacing w:before="60" w:line="240" w:lineRule="auto"/>
              <w:jc w:val="both"/>
              <w:rPr>
                <w:rFonts w:eastAsia="Times New Roman" w:cs="Arial"/>
                <w:i/>
                <w:color w:val="000000"/>
                <w:sz w:val="20"/>
                <w:szCs w:val="20"/>
                <w:lang w:eastAsia="fr-FR"/>
              </w:rPr>
            </w:pPr>
            <w:r w:rsidRPr="00A9330B">
              <w:rPr>
                <w:rFonts w:eastAsia="Times New Roman" w:cs="Arial"/>
                <w:i/>
                <w:color w:val="000000"/>
                <w:sz w:val="20"/>
                <w:szCs w:val="20"/>
                <w:lang w:eastAsia="fr-FR"/>
              </w:rPr>
              <w:t>Musa sp</w:t>
            </w:r>
          </w:p>
        </w:tc>
        <w:tc>
          <w:tcPr>
            <w:tcW w:w="3402" w:type="dxa"/>
            <w:noWrap/>
            <w:hideMark/>
          </w:tcPr>
          <w:p w14:paraId="5BA95F3A" w14:textId="77777777" w:rsidR="00701C80" w:rsidRPr="00A9330B" w:rsidRDefault="00701C80" w:rsidP="000F4D1B">
            <w:pPr>
              <w:spacing w:before="60" w:line="240" w:lineRule="auto"/>
              <w:jc w:val="both"/>
              <w:rPr>
                <w:rFonts w:eastAsia="Times New Roman" w:cs="Arial"/>
                <w:color w:val="000000"/>
                <w:sz w:val="20"/>
                <w:szCs w:val="20"/>
                <w:lang w:eastAsia="fr-FR"/>
              </w:rPr>
            </w:pPr>
            <w:r w:rsidRPr="00A9330B">
              <w:rPr>
                <w:rFonts w:eastAsia="Times New Roman" w:cs="Arial"/>
                <w:color w:val="000000"/>
                <w:sz w:val="20"/>
                <w:szCs w:val="20"/>
                <w:lang w:eastAsia="fr-FR"/>
              </w:rPr>
              <w:t>Musaceae</w:t>
            </w:r>
          </w:p>
        </w:tc>
        <w:tc>
          <w:tcPr>
            <w:tcW w:w="992" w:type="dxa"/>
            <w:noWrap/>
            <w:hideMark/>
          </w:tcPr>
          <w:p w14:paraId="0BB70D2A" w14:textId="77777777" w:rsidR="00701C80" w:rsidRPr="00A9330B" w:rsidRDefault="00701C80" w:rsidP="000F4D1B">
            <w:pPr>
              <w:spacing w:before="60" w:line="240" w:lineRule="auto"/>
              <w:jc w:val="both"/>
              <w:rPr>
                <w:rFonts w:eastAsia="Times New Roman" w:cs="Arial"/>
                <w:color w:val="000000"/>
                <w:sz w:val="20"/>
                <w:szCs w:val="20"/>
                <w:lang w:eastAsia="fr-FR"/>
              </w:rPr>
            </w:pPr>
          </w:p>
        </w:tc>
      </w:tr>
      <w:tr w:rsidR="00701C80" w:rsidRPr="00A9330B" w14:paraId="233E3275" w14:textId="77777777" w:rsidTr="00701C80">
        <w:trPr>
          <w:trHeight w:val="300"/>
        </w:trPr>
        <w:tc>
          <w:tcPr>
            <w:tcW w:w="1860" w:type="dxa"/>
            <w:vMerge/>
            <w:noWrap/>
            <w:hideMark/>
          </w:tcPr>
          <w:p w14:paraId="4CEA5AE8" w14:textId="77777777" w:rsidR="00701C80" w:rsidRPr="00A9330B" w:rsidRDefault="00701C80" w:rsidP="000F4D1B">
            <w:pPr>
              <w:spacing w:before="60" w:line="240" w:lineRule="auto"/>
              <w:jc w:val="both"/>
              <w:rPr>
                <w:rFonts w:eastAsia="Times New Roman" w:cs="Arial"/>
                <w:color w:val="auto"/>
                <w:sz w:val="20"/>
                <w:szCs w:val="20"/>
                <w:lang w:eastAsia="fr-FR"/>
              </w:rPr>
            </w:pPr>
          </w:p>
        </w:tc>
        <w:tc>
          <w:tcPr>
            <w:tcW w:w="2813" w:type="dxa"/>
            <w:noWrap/>
            <w:hideMark/>
          </w:tcPr>
          <w:p w14:paraId="55AE671F" w14:textId="77777777" w:rsidR="00701C80" w:rsidRPr="00A9330B" w:rsidRDefault="00701C80" w:rsidP="000F4D1B">
            <w:pPr>
              <w:spacing w:before="60" w:line="240" w:lineRule="auto"/>
              <w:jc w:val="both"/>
              <w:rPr>
                <w:rFonts w:eastAsia="Times New Roman" w:cs="Arial"/>
                <w:i/>
                <w:color w:val="000000"/>
                <w:sz w:val="20"/>
                <w:szCs w:val="20"/>
                <w:lang w:eastAsia="fr-FR"/>
              </w:rPr>
            </w:pPr>
            <w:r w:rsidRPr="00A9330B">
              <w:rPr>
                <w:rFonts w:eastAsia="Times New Roman" w:cs="Arial"/>
                <w:i/>
                <w:color w:val="000000"/>
                <w:sz w:val="20"/>
                <w:szCs w:val="20"/>
                <w:lang w:eastAsia="fr-FR"/>
              </w:rPr>
              <w:t>Gmelina arborea</w:t>
            </w:r>
          </w:p>
        </w:tc>
        <w:tc>
          <w:tcPr>
            <w:tcW w:w="3402" w:type="dxa"/>
            <w:noWrap/>
            <w:hideMark/>
          </w:tcPr>
          <w:p w14:paraId="1EB6FF3C" w14:textId="77777777" w:rsidR="00701C80" w:rsidRPr="00A9330B" w:rsidRDefault="00701C80" w:rsidP="000F4D1B">
            <w:pPr>
              <w:spacing w:before="60" w:line="240" w:lineRule="auto"/>
              <w:jc w:val="both"/>
              <w:rPr>
                <w:rFonts w:eastAsia="Times New Roman" w:cs="Arial"/>
                <w:color w:val="000000"/>
                <w:sz w:val="20"/>
                <w:szCs w:val="20"/>
                <w:lang w:eastAsia="fr-FR"/>
              </w:rPr>
            </w:pPr>
            <w:r w:rsidRPr="00A9330B">
              <w:rPr>
                <w:rFonts w:eastAsia="Times New Roman" w:cs="Arial"/>
                <w:color w:val="000000"/>
                <w:sz w:val="20"/>
                <w:szCs w:val="20"/>
                <w:lang w:eastAsia="fr-FR"/>
              </w:rPr>
              <w:t>Verbenaceae</w:t>
            </w:r>
          </w:p>
        </w:tc>
        <w:tc>
          <w:tcPr>
            <w:tcW w:w="992" w:type="dxa"/>
            <w:noWrap/>
            <w:hideMark/>
          </w:tcPr>
          <w:p w14:paraId="6D6A54A5" w14:textId="77777777" w:rsidR="00701C80" w:rsidRPr="00A9330B" w:rsidRDefault="00701C80" w:rsidP="000F4D1B">
            <w:pPr>
              <w:spacing w:before="60" w:line="240" w:lineRule="auto"/>
              <w:jc w:val="both"/>
              <w:rPr>
                <w:rFonts w:eastAsia="Times New Roman" w:cs="Arial"/>
                <w:color w:val="000000"/>
                <w:sz w:val="20"/>
                <w:szCs w:val="20"/>
                <w:lang w:eastAsia="fr-FR"/>
              </w:rPr>
            </w:pPr>
          </w:p>
        </w:tc>
      </w:tr>
      <w:tr w:rsidR="00701C80" w:rsidRPr="00A9330B" w14:paraId="3E14BB39" w14:textId="77777777" w:rsidTr="00701C80">
        <w:trPr>
          <w:trHeight w:val="300"/>
        </w:trPr>
        <w:tc>
          <w:tcPr>
            <w:tcW w:w="1860" w:type="dxa"/>
            <w:vMerge/>
            <w:noWrap/>
            <w:hideMark/>
          </w:tcPr>
          <w:p w14:paraId="2422775D" w14:textId="77777777" w:rsidR="00701C80" w:rsidRPr="00A9330B" w:rsidRDefault="00701C80" w:rsidP="000F4D1B">
            <w:pPr>
              <w:spacing w:before="60" w:line="240" w:lineRule="auto"/>
              <w:jc w:val="both"/>
              <w:rPr>
                <w:rFonts w:eastAsia="Times New Roman" w:cs="Arial"/>
                <w:color w:val="auto"/>
                <w:sz w:val="20"/>
                <w:szCs w:val="20"/>
                <w:lang w:eastAsia="fr-FR"/>
              </w:rPr>
            </w:pPr>
          </w:p>
        </w:tc>
        <w:tc>
          <w:tcPr>
            <w:tcW w:w="2813" w:type="dxa"/>
            <w:noWrap/>
            <w:hideMark/>
          </w:tcPr>
          <w:p w14:paraId="594A01DA" w14:textId="77777777" w:rsidR="00701C80" w:rsidRPr="00A9330B" w:rsidRDefault="00701C80" w:rsidP="000F4D1B">
            <w:pPr>
              <w:spacing w:before="60" w:line="240" w:lineRule="auto"/>
              <w:jc w:val="both"/>
              <w:rPr>
                <w:rFonts w:eastAsia="Times New Roman" w:cs="Arial"/>
                <w:i/>
                <w:color w:val="000000"/>
                <w:sz w:val="20"/>
                <w:szCs w:val="20"/>
                <w:lang w:eastAsia="fr-FR"/>
              </w:rPr>
            </w:pPr>
            <w:r w:rsidRPr="00A9330B">
              <w:rPr>
                <w:rFonts w:eastAsia="Times New Roman" w:cs="Arial"/>
                <w:i/>
                <w:color w:val="000000"/>
                <w:sz w:val="20"/>
                <w:szCs w:val="20"/>
                <w:lang w:eastAsia="fr-FR"/>
              </w:rPr>
              <w:t xml:space="preserve">Tectona grandis </w:t>
            </w:r>
          </w:p>
        </w:tc>
        <w:tc>
          <w:tcPr>
            <w:tcW w:w="3402" w:type="dxa"/>
            <w:noWrap/>
            <w:hideMark/>
          </w:tcPr>
          <w:p w14:paraId="0735E496" w14:textId="77777777" w:rsidR="00701C80" w:rsidRPr="00A9330B" w:rsidRDefault="00701C80" w:rsidP="000F4D1B">
            <w:pPr>
              <w:spacing w:before="60" w:line="240" w:lineRule="auto"/>
              <w:jc w:val="both"/>
              <w:rPr>
                <w:rFonts w:eastAsia="Times New Roman" w:cs="Arial"/>
                <w:color w:val="000000"/>
                <w:sz w:val="20"/>
                <w:szCs w:val="20"/>
                <w:lang w:eastAsia="fr-FR"/>
              </w:rPr>
            </w:pPr>
            <w:r w:rsidRPr="00A9330B">
              <w:rPr>
                <w:rFonts w:eastAsia="Times New Roman" w:cs="Arial"/>
                <w:color w:val="000000"/>
                <w:sz w:val="20"/>
                <w:szCs w:val="20"/>
                <w:lang w:eastAsia="fr-FR"/>
              </w:rPr>
              <w:t>Verbenaceae</w:t>
            </w:r>
          </w:p>
        </w:tc>
        <w:tc>
          <w:tcPr>
            <w:tcW w:w="992" w:type="dxa"/>
            <w:noWrap/>
            <w:hideMark/>
          </w:tcPr>
          <w:p w14:paraId="398F008C" w14:textId="77777777" w:rsidR="00701C80" w:rsidRPr="00A9330B" w:rsidRDefault="00701C80" w:rsidP="000F4D1B">
            <w:pPr>
              <w:spacing w:before="60" w:line="240" w:lineRule="auto"/>
              <w:jc w:val="both"/>
              <w:rPr>
                <w:rFonts w:eastAsia="Times New Roman" w:cs="Arial"/>
                <w:color w:val="000000"/>
                <w:sz w:val="20"/>
                <w:szCs w:val="20"/>
                <w:lang w:eastAsia="fr-FR"/>
              </w:rPr>
            </w:pPr>
          </w:p>
        </w:tc>
      </w:tr>
      <w:tr w:rsidR="00701C80" w:rsidRPr="00A9330B" w14:paraId="7FB17687" w14:textId="77777777" w:rsidTr="00701C80">
        <w:trPr>
          <w:trHeight w:val="300"/>
        </w:trPr>
        <w:tc>
          <w:tcPr>
            <w:tcW w:w="1860" w:type="dxa"/>
            <w:vMerge/>
            <w:noWrap/>
            <w:hideMark/>
          </w:tcPr>
          <w:p w14:paraId="3C5F54AC" w14:textId="77777777" w:rsidR="00701C80" w:rsidRPr="00A9330B" w:rsidRDefault="00701C80" w:rsidP="000F4D1B">
            <w:pPr>
              <w:spacing w:before="60" w:line="240" w:lineRule="auto"/>
              <w:jc w:val="both"/>
              <w:rPr>
                <w:rFonts w:eastAsia="Times New Roman" w:cs="Arial"/>
                <w:color w:val="auto"/>
                <w:sz w:val="20"/>
                <w:szCs w:val="20"/>
                <w:lang w:eastAsia="fr-FR"/>
              </w:rPr>
            </w:pPr>
          </w:p>
        </w:tc>
        <w:tc>
          <w:tcPr>
            <w:tcW w:w="2813" w:type="dxa"/>
            <w:noWrap/>
            <w:hideMark/>
          </w:tcPr>
          <w:p w14:paraId="30401198" w14:textId="77777777" w:rsidR="00701C80" w:rsidRPr="00A9330B" w:rsidRDefault="00701C80" w:rsidP="000F4D1B">
            <w:pPr>
              <w:spacing w:before="60" w:line="240" w:lineRule="auto"/>
              <w:jc w:val="both"/>
              <w:rPr>
                <w:rFonts w:eastAsia="Times New Roman" w:cs="Arial"/>
                <w:i/>
                <w:color w:val="000000"/>
                <w:sz w:val="20"/>
                <w:szCs w:val="20"/>
                <w:lang w:eastAsia="fr-FR"/>
              </w:rPr>
            </w:pPr>
            <w:r w:rsidRPr="00A9330B">
              <w:rPr>
                <w:rFonts w:eastAsia="Times New Roman" w:cs="Arial"/>
                <w:i/>
                <w:color w:val="000000"/>
                <w:sz w:val="20"/>
                <w:szCs w:val="20"/>
                <w:lang w:eastAsia="fr-FR"/>
              </w:rPr>
              <w:t>Ceiba pentandra</w:t>
            </w:r>
          </w:p>
        </w:tc>
        <w:tc>
          <w:tcPr>
            <w:tcW w:w="3402" w:type="dxa"/>
            <w:noWrap/>
            <w:hideMark/>
          </w:tcPr>
          <w:p w14:paraId="24EFB628" w14:textId="77777777" w:rsidR="00701C80" w:rsidRPr="00A9330B" w:rsidRDefault="00701C80" w:rsidP="000F4D1B">
            <w:pPr>
              <w:spacing w:before="60" w:line="240" w:lineRule="auto"/>
              <w:jc w:val="both"/>
              <w:rPr>
                <w:rFonts w:eastAsia="Times New Roman" w:cs="Arial"/>
                <w:color w:val="000000"/>
                <w:sz w:val="20"/>
                <w:szCs w:val="20"/>
                <w:lang w:eastAsia="fr-FR"/>
              </w:rPr>
            </w:pPr>
            <w:r w:rsidRPr="00A9330B">
              <w:rPr>
                <w:rFonts w:eastAsia="Times New Roman" w:cs="Arial"/>
                <w:color w:val="000000"/>
                <w:sz w:val="20"/>
                <w:szCs w:val="20"/>
                <w:lang w:eastAsia="fr-FR"/>
              </w:rPr>
              <w:t>Bombacaceae</w:t>
            </w:r>
          </w:p>
        </w:tc>
        <w:tc>
          <w:tcPr>
            <w:tcW w:w="992" w:type="dxa"/>
            <w:noWrap/>
            <w:hideMark/>
          </w:tcPr>
          <w:p w14:paraId="1B2BF061" w14:textId="77777777" w:rsidR="00701C80" w:rsidRPr="00A9330B" w:rsidRDefault="00701C80" w:rsidP="000F4D1B">
            <w:pPr>
              <w:spacing w:before="60" w:line="240" w:lineRule="auto"/>
              <w:jc w:val="both"/>
              <w:rPr>
                <w:rFonts w:eastAsia="Times New Roman" w:cs="Arial"/>
                <w:color w:val="000000"/>
                <w:sz w:val="20"/>
                <w:szCs w:val="20"/>
                <w:lang w:eastAsia="fr-FR"/>
              </w:rPr>
            </w:pPr>
            <w:r w:rsidRPr="00A9330B">
              <w:rPr>
                <w:rFonts w:eastAsia="Times New Roman" w:cs="Arial"/>
                <w:color w:val="000000"/>
                <w:sz w:val="20"/>
                <w:szCs w:val="20"/>
                <w:lang w:eastAsia="fr-FR"/>
              </w:rPr>
              <w:t>LC</w:t>
            </w:r>
          </w:p>
        </w:tc>
      </w:tr>
      <w:tr w:rsidR="00701C80" w:rsidRPr="00A9330B" w14:paraId="4B768B5E" w14:textId="77777777" w:rsidTr="00701C80">
        <w:trPr>
          <w:trHeight w:val="300"/>
        </w:trPr>
        <w:tc>
          <w:tcPr>
            <w:tcW w:w="1860" w:type="dxa"/>
            <w:vMerge/>
            <w:noWrap/>
            <w:hideMark/>
          </w:tcPr>
          <w:p w14:paraId="561D0936" w14:textId="77777777" w:rsidR="00701C80" w:rsidRPr="00A9330B" w:rsidRDefault="00701C80" w:rsidP="000F4D1B">
            <w:pPr>
              <w:spacing w:before="60" w:line="240" w:lineRule="auto"/>
              <w:jc w:val="both"/>
              <w:rPr>
                <w:rFonts w:eastAsia="Times New Roman" w:cs="Arial"/>
                <w:color w:val="000000"/>
                <w:sz w:val="20"/>
                <w:szCs w:val="20"/>
                <w:lang w:eastAsia="fr-FR"/>
              </w:rPr>
            </w:pPr>
          </w:p>
        </w:tc>
        <w:tc>
          <w:tcPr>
            <w:tcW w:w="2813" w:type="dxa"/>
            <w:noWrap/>
            <w:hideMark/>
          </w:tcPr>
          <w:p w14:paraId="32F7334F" w14:textId="77777777" w:rsidR="00701C80" w:rsidRPr="00A9330B" w:rsidRDefault="00701C80" w:rsidP="000F4D1B">
            <w:pPr>
              <w:spacing w:before="60" w:line="240" w:lineRule="auto"/>
              <w:jc w:val="both"/>
              <w:rPr>
                <w:rFonts w:eastAsia="Times New Roman" w:cs="Arial"/>
                <w:i/>
                <w:color w:val="000000"/>
                <w:sz w:val="20"/>
                <w:szCs w:val="20"/>
                <w:lang w:eastAsia="fr-FR"/>
              </w:rPr>
            </w:pPr>
            <w:r w:rsidRPr="00A9330B">
              <w:rPr>
                <w:rFonts w:eastAsia="Times New Roman" w:cs="Arial"/>
                <w:i/>
                <w:color w:val="000000"/>
                <w:sz w:val="20"/>
                <w:szCs w:val="20"/>
                <w:lang w:eastAsia="fr-FR"/>
              </w:rPr>
              <w:t>Khaya senegalensis</w:t>
            </w:r>
          </w:p>
        </w:tc>
        <w:tc>
          <w:tcPr>
            <w:tcW w:w="3402" w:type="dxa"/>
            <w:noWrap/>
            <w:hideMark/>
          </w:tcPr>
          <w:p w14:paraId="50783D9B" w14:textId="77777777" w:rsidR="00701C80" w:rsidRPr="00A9330B" w:rsidRDefault="00701C80" w:rsidP="000F4D1B">
            <w:pPr>
              <w:spacing w:before="60" w:line="240" w:lineRule="auto"/>
              <w:jc w:val="both"/>
              <w:rPr>
                <w:rFonts w:eastAsia="Times New Roman" w:cs="Arial"/>
                <w:color w:val="000000"/>
                <w:sz w:val="20"/>
                <w:szCs w:val="20"/>
                <w:lang w:eastAsia="fr-FR"/>
              </w:rPr>
            </w:pPr>
            <w:r w:rsidRPr="00A9330B">
              <w:rPr>
                <w:rFonts w:eastAsia="Times New Roman" w:cs="Arial"/>
                <w:color w:val="000000"/>
                <w:sz w:val="20"/>
                <w:szCs w:val="20"/>
                <w:lang w:eastAsia="fr-FR"/>
              </w:rPr>
              <w:t>Meliaceae</w:t>
            </w:r>
          </w:p>
        </w:tc>
        <w:tc>
          <w:tcPr>
            <w:tcW w:w="992" w:type="dxa"/>
            <w:noWrap/>
            <w:hideMark/>
          </w:tcPr>
          <w:p w14:paraId="2FE05055" w14:textId="77777777" w:rsidR="00701C80" w:rsidRPr="00A9330B" w:rsidRDefault="00701C80" w:rsidP="000F4D1B">
            <w:pPr>
              <w:spacing w:before="60" w:line="240" w:lineRule="auto"/>
              <w:jc w:val="both"/>
              <w:rPr>
                <w:rFonts w:eastAsia="Times New Roman" w:cs="Arial"/>
                <w:color w:val="000000"/>
                <w:sz w:val="20"/>
                <w:szCs w:val="20"/>
                <w:lang w:eastAsia="fr-FR"/>
              </w:rPr>
            </w:pPr>
            <w:r w:rsidRPr="00A9330B">
              <w:rPr>
                <w:rFonts w:eastAsia="Times New Roman" w:cs="Arial"/>
                <w:color w:val="000000"/>
                <w:sz w:val="20"/>
                <w:szCs w:val="20"/>
                <w:lang w:eastAsia="fr-FR"/>
              </w:rPr>
              <w:t>VU</w:t>
            </w:r>
          </w:p>
        </w:tc>
      </w:tr>
      <w:tr w:rsidR="00701C80" w:rsidRPr="00A9330B" w14:paraId="2BE8E85F" w14:textId="77777777" w:rsidTr="00701C80">
        <w:trPr>
          <w:trHeight w:val="300"/>
        </w:trPr>
        <w:tc>
          <w:tcPr>
            <w:tcW w:w="1860" w:type="dxa"/>
            <w:vMerge/>
            <w:noWrap/>
            <w:hideMark/>
          </w:tcPr>
          <w:p w14:paraId="1DCD81B9" w14:textId="77777777" w:rsidR="00701C80" w:rsidRPr="00A9330B" w:rsidRDefault="00701C80" w:rsidP="000F4D1B">
            <w:pPr>
              <w:spacing w:before="60" w:line="240" w:lineRule="auto"/>
              <w:jc w:val="both"/>
              <w:rPr>
                <w:rFonts w:eastAsia="Times New Roman" w:cs="Arial"/>
                <w:color w:val="000000"/>
                <w:sz w:val="20"/>
                <w:szCs w:val="20"/>
                <w:lang w:eastAsia="fr-FR"/>
              </w:rPr>
            </w:pPr>
          </w:p>
        </w:tc>
        <w:tc>
          <w:tcPr>
            <w:tcW w:w="2813" w:type="dxa"/>
            <w:noWrap/>
            <w:hideMark/>
          </w:tcPr>
          <w:p w14:paraId="6FF6513F" w14:textId="77777777" w:rsidR="00701C80" w:rsidRPr="00A9330B" w:rsidRDefault="00701C80" w:rsidP="000F4D1B">
            <w:pPr>
              <w:spacing w:before="60" w:line="240" w:lineRule="auto"/>
              <w:jc w:val="both"/>
              <w:rPr>
                <w:rFonts w:eastAsia="Times New Roman" w:cs="Arial"/>
                <w:i/>
                <w:color w:val="000000"/>
                <w:sz w:val="20"/>
                <w:szCs w:val="20"/>
                <w:lang w:eastAsia="fr-FR"/>
              </w:rPr>
            </w:pPr>
            <w:r w:rsidRPr="00A9330B">
              <w:rPr>
                <w:rFonts w:eastAsia="Times New Roman" w:cs="Arial"/>
                <w:i/>
                <w:color w:val="000000"/>
                <w:sz w:val="20"/>
                <w:szCs w:val="20"/>
                <w:lang w:eastAsia="fr-FR"/>
              </w:rPr>
              <w:t xml:space="preserve">Azadirachta indica </w:t>
            </w:r>
          </w:p>
        </w:tc>
        <w:tc>
          <w:tcPr>
            <w:tcW w:w="3402" w:type="dxa"/>
            <w:noWrap/>
            <w:hideMark/>
          </w:tcPr>
          <w:p w14:paraId="5797E32F" w14:textId="77777777" w:rsidR="00701C80" w:rsidRPr="00A9330B" w:rsidRDefault="00701C80" w:rsidP="000F4D1B">
            <w:pPr>
              <w:spacing w:before="60" w:line="240" w:lineRule="auto"/>
              <w:jc w:val="both"/>
              <w:rPr>
                <w:rFonts w:eastAsia="Times New Roman" w:cs="Arial"/>
                <w:color w:val="000000"/>
                <w:sz w:val="20"/>
                <w:szCs w:val="20"/>
                <w:lang w:eastAsia="fr-FR"/>
              </w:rPr>
            </w:pPr>
            <w:r w:rsidRPr="00A9330B">
              <w:rPr>
                <w:rFonts w:eastAsia="Times New Roman" w:cs="Arial"/>
                <w:color w:val="000000"/>
                <w:sz w:val="20"/>
                <w:szCs w:val="20"/>
                <w:lang w:eastAsia="fr-FR"/>
              </w:rPr>
              <w:t>Meliaceae</w:t>
            </w:r>
          </w:p>
        </w:tc>
        <w:tc>
          <w:tcPr>
            <w:tcW w:w="992" w:type="dxa"/>
            <w:noWrap/>
            <w:hideMark/>
          </w:tcPr>
          <w:p w14:paraId="78F3614E" w14:textId="77777777" w:rsidR="00701C80" w:rsidRPr="00A9330B" w:rsidRDefault="00701C80" w:rsidP="000F4D1B">
            <w:pPr>
              <w:spacing w:before="60" w:line="240" w:lineRule="auto"/>
              <w:jc w:val="both"/>
              <w:rPr>
                <w:rFonts w:eastAsia="Times New Roman" w:cs="Arial"/>
                <w:color w:val="000000"/>
                <w:sz w:val="20"/>
                <w:szCs w:val="20"/>
                <w:lang w:eastAsia="fr-FR"/>
              </w:rPr>
            </w:pPr>
          </w:p>
        </w:tc>
      </w:tr>
      <w:tr w:rsidR="00701C80" w:rsidRPr="00A9330B" w14:paraId="19F1BBD4" w14:textId="77777777" w:rsidTr="00701C80">
        <w:trPr>
          <w:trHeight w:val="300"/>
        </w:trPr>
        <w:tc>
          <w:tcPr>
            <w:tcW w:w="1860" w:type="dxa"/>
            <w:vMerge/>
            <w:noWrap/>
            <w:hideMark/>
          </w:tcPr>
          <w:p w14:paraId="212741E1" w14:textId="77777777" w:rsidR="00701C80" w:rsidRPr="00A9330B" w:rsidRDefault="00701C80" w:rsidP="000F4D1B">
            <w:pPr>
              <w:spacing w:before="60" w:line="240" w:lineRule="auto"/>
              <w:jc w:val="both"/>
              <w:rPr>
                <w:rFonts w:eastAsia="Times New Roman" w:cs="Arial"/>
                <w:color w:val="auto"/>
                <w:sz w:val="20"/>
                <w:szCs w:val="20"/>
                <w:lang w:eastAsia="fr-FR"/>
              </w:rPr>
            </w:pPr>
          </w:p>
        </w:tc>
        <w:tc>
          <w:tcPr>
            <w:tcW w:w="2813" w:type="dxa"/>
            <w:noWrap/>
            <w:hideMark/>
          </w:tcPr>
          <w:p w14:paraId="7A172582" w14:textId="77777777" w:rsidR="00701C80" w:rsidRPr="00A9330B" w:rsidRDefault="00701C80" w:rsidP="000F4D1B">
            <w:pPr>
              <w:spacing w:before="60" w:line="240" w:lineRule="auto"/>
              <w:jc w:val="both"/>
              <w:rPr>
                <w:rFonts w:eastAsia="Times New Roman" w:cs="Arial"/>
                <w:i/>
                <w:color w:val="000000"/>
                <w:sz w:val="20"/>
                <w:szCs w:val="20"/>
                <w:lang w:eastAsia="fr-FR"/>
              </w:rPr>
            </w:pPr>
            <w:r w:rsidRPr="00A9330B">
              <w:rPr>
                <w:rFonts w:eastAsia="Times New Roman" w:cs="Arial"/>
                <w:i/>
                <w:color w:val="000000"/>
                <w:sz w:val="20"/>
                <w:szCs w:val="20"/>
                <w:lang w:eastAsia="fr-FR"/>
              </w:rPr>
              <w:t>Mangifera indica</w:t>
            </w:r>
          </w:p>
        </w:tc>
        <w:tc>
          <w:tcPr>
            <w:tcW w:w="3402" w:type="dxa"/>
            <w:noWrap/>
            <w:hideMark/>
          </w:tcPr>
          <w:p w14:paraId="6506E515" w14:textId="77777777" w:rsidR="00701C80" w:rsidRPr="00A9330B" w:rsidRDefault="00701C80" w:rsidP="000F4D1B">
            <w:pPr>
              <w:spacing w:before="60" w:line="240" w:lineRule="auto"/>
              <w:jc w:val="both"/>
              <w:rPr>
                <w:rFonts w:eastAsia="Times New Roman" w:cs="Arial"/>
                <w:color w:val="000000"/>
                <w:sz w:val="20"/>
                <w:szCs w:val="20"/>
                <w:lang w:eastAsia="fr-FR"/>
              </w:rPr>
            </w:pPr>
            <w:r w:rsidRPr="00A9330B">
              <w:rPr>
                <w:rFonts w:eastAsia="Times New Roman" w:cs="Arial"/>
                <w:color w:val="000000"/>
                <w:sz w:val="20"/>
                <w:szCs w:val="20"/>
                <w:lang w:eastAsia="fr-FR"/>
              </w:rPr>
              <w:t>Anacardiaceae</w:t>
            </w:r>
          </w:p>
        </w:tc>
        <w:tc>
          <w:tcPr>
            <w:tcW w:w="992" w:type="dxa"/>
            <w:noWrap/>
            <w:hideMark/>
          </w:tcPr>
          <w:p w14:paraId="548F5661" w14:textId="77777777" w:rsidR="00701C80" w:rsidRPr="00A9330B" w:rsidRDefault="00701C80" w:rsidP="000F4D1B">
            <w:pPr>
              <w:spacing w:before="60" w:line="240" w:lineRule="auto"/>
              <w:jc w:val="both"/>
              <w:rPr>
                <w:rFonts w:eastAsia="Times New Roman" w:cs="Arial"/>
                <w:color w:val="000000"/>
                <w:sz w:val="20"/>
                <w:szCs w:val="20"/>
                <w:lang w:eastAsia="fr-FR"/>
              </w:rPr>
            </w:pPr>
            <w:r w:rsidRPr="00A9330B">
              <w:rPr>
                <w:rFonts w:eastAsia="Times New Roman" w:cs="Arial"/>
                <w:color w:val="000000"/>
                <w:sz w:val="20"/>
                <w:szCs w:val="20"/>
                <w:lang w:eastAsia="fr-FR"/>
              </w:rPr>
              <w:t>LC</w:t>
            </w:r>
          </w:p>
        </w:tc>
      </w:tr>
      <w:tr w:rsidR="00701C80" w:rsidRPr="00A9330B" w14:paraId="5A8EF1FD" w14:textId="77777777" w:rsidTr="00701C80">
        <w:trPr>
          <w:trHeight w:val="300"/>
        </w:trPr>
        <w:tc>
          <w:tcPr>
            <w:tcW w:w="1860" w:type="dxa"/>
            <w:vMerge/>
            <w:noWrap/>
            <w:hideMark/>
          </w:tcPr>
          <w:p w14:paraId="69BF7FC4" w14:textId="77777777" w:rsidR="00701C80" w:rsidRPr="00A9330B" w:rsidRDefault="00701C80" w:rsidP="000F4D1B">
            <w:pPr>
              <w:spacing w:before="60" w:line="240" w:lineRule="auto"/>
              <w:jc w:val="both"/>
              <w:rPr>
                <w:rFonts w:eastAsia="Times New Roman" w:cs="Arial"/>
                <w:color w:val="000000"/>
                <w:sz w:val="20"/>
                <w:szCs w:val="20"/>
                <w:lang w:eastAsia="fr-FR"/>
              </w:rPr>
            </w:pPr>
          </w:p>
        </w:tc>
        <w:tc>
          <w:tcPr>
            <w:tcW w:w="2813" w:type="dxa"/>
            <w:noWrap/>
            <w:hideMark/>
          </w:tcPr>
          <w:p w14:paraId="7295748A" w14:textId="77777777" w:rsidR="00701C80" w:rsidRPr="00A9330B" w:rsidRDefault="00701C80" w:rsidP="000F4D1B">
            <w:pPr>
              <w:spacing w:before="60" w:line="240" w:lineRule="auto"/>
              <w:jc w:val="both"/>
              <w:rPr>
                <w:rFonts w:eastAsia="Times New Roman" w:cs="Arial"/>
                <w:i/>
                <w:color w:val="000000"/>
                <w:sz w:val="20"/>
                <w:szCs w:val="20"/>
                <w:lang w:eastAsia="fr-FR"/>
              </w:rPr>
            </w:pPr>
            <w:r w:rsidRPr="00A9330B">
              <w:rPr>
                <w:rFonts w:eastAsia="Times New Roman" w:cs="Arial"/>
                <w:i/>
                <w:color w:val="000000"/>
                <w:sz w:val="20"/>
                <w:szCs w:val="20"/>
                <w:lang w:eastAsia="fr-FR"/>
              </w:rPr>
              <w:t>Terminalia mantaly</w:t>
            </w:r>
          </w:p>
        </w:tc>
        <w:tc>
          <w:tcPr>
            <w:tcW w:w="3402" w:type="dxa"/>
            <w:noWrap/>
            <w:hideMark/>
          </w:tcPr>
          <w:p w14:paraId="6AA4D960" w14:textId="77777777" w:rsidR="00701C80" w:rsidRPr="00A9330B" w:rsidRDefault="00701C80" w:rsidP="000F4D1B">
            <w:pPr>
              <w:spacing w:before="60" w:line="240" w:lineRule="auto"/>
              <w:jc w:val="both"/>
              <w:rPr>
                <w:rFonts w:eastAsia="Times New Roman" w:cs="Arial"/>
                <w:color w:val="000000"/>
                <w:sz w:val="20"/>
                <w:szCs w:val="20"/>
                <w:lang w:eastAsia="fr-FR"/>
              </w:rPr>
            </w:pPr>
            <w:r w:rsidRPr="00A9330B">
              <w:rPr>
                <w:rFonts w:eastAsia="Times New Roman" w:cs="Arial"/>
                <w:color w:val="000000"/>
                <w:sz w:val="20"/>
                <w:szCs w:val="20"/>
                <w:lang w:eastAsia="fr-FR"/>
              </w:rPr>
              <w:t>Combretaceae</w:t>
            </w:r>
          </w:p>
        </w:tc>
        <w:tc>
          <w:tcPr>
            <w:tcW w:w="992" w:type="dxa"/>
            <w:noWrap/>
            <w:hideMark/>
          </w:tcPr>
          <w:p w14:paraId="513432D5" w14:textId="77777777" w:rsidR="00701C80" w:rsidRPr="00A9330B" w:rsidRDefault="00701C80" w:rsidP="000F4D1B">
            <w:pPr>
              <w:spacing w:before="60" w:line="240" w:lineRule="auto"/>
              <w:jc w:val="both"/>
              <w:rPr>
                <w:rFonts w:eastAsia="Times New Roman" w:cs="Arial"/>
                <w:color w:val="000000"/>
                <w:sz w:val="20"/>
                <w:szCs w:val="20"/>
                <w:lang w:eastAsia="fr-FR"/>
              </w:rPr>
            </w:pPr>
            <w:r w:rsidRPr="00A9330B">
              <w:rPr>
                <w:rFonts w:eastAsia="Times New Roman" w:cs="Arial"/>
                <w:color w:val="000000"/>
                <w:sz w:val="20"/>
                <w:szCs w:val="20"/>
                <w:lang w:eastAsia="fr-FR"/>
              </w:rPr>
              <w:t>LC</w:t>
            </w:r>
          </w:p>
        </w:tc>
      </w:tr>
      <w:tr w:rsidR="00701C80" w:rsidRPr="00A9330B" w14:paraId="72371741" w14:textId="77777777" w:rsidTr="00701C80">
        <w:trPr>
          <w:trHeight w:val="300"/>
        </w:trPr>
        <w:tc>
          <w:tcPr>
            <w:tcW w:w="1860" w:type="dxa"/>
            <w:vMerge/>
            <w:noWrap/>
            <w:hideMark/>
          </w:tcPr>
          <w:p w14:paraId="38E6643B" w14:textId="77777777" w:rsidR="00701C80" w:rsidRPr="00A9330B" w:rsidRDefault="00701C80" w:rsidP="000F4D1B">
            <w:pPr>
              <w:spacing w:before="60" w:line="240" w:lineRule="auto"/>
              <w:jc w:val="both"/>
              <w:rPr>
                <w:rFonts w:eastAsia="Times New Roman" w:cs="Arial"/>
                <w:color w:val="000000"/>
                <w:sz w:val="20"/>
                <w:szCs w:val="20"/>
                <w:lang w:eastAsia="fr-FR"/>
              </w:rPr>
            </w:pPr>
          </w:p>
        </w:tc>
        <w:tc>
          <w:tcPr>
            <w:tcW w:w="2813" w:type="dxa"/>
            <w:noWrap/>
            <w:hideMark/>
          </w:tcPr>
          <w:p w14:paraId="79A005CB" w14:textId="77777777" w:rsidR="00701C80" w:rsidRPr="00A9330B" w:rsidRDefault="00701C80" w:rsidP="000F4D1B">
            <w:pPr>
              <w:spacing w:before="60" w:line="240" w:lineRule="auto"/>
              <w:jc w:val="both"/>
              <w:rPr>
                <w:rFonts w:eastAsia="Times New Roman" w:cs="Arial"/>
                <w:i/>
                <w:color w:val="000000"/>
                <w:sz w:val="20"/>
                <w:szCs w:val="20"/>
                <w:lang w:eastAsia="fr-FR"/>
              </w:rPr>
            </w:pPr>
            <w:r w:rsidRPr="00A9330B">
              <w:rPr>
                <w:rFonts w:eastAsia="Times New Roman" w:cs="Arial"/>
                <w:i/>
                <w:color w:val="000000"/>
                <w:sz w:val="20"/>
                <w:szCs w:val="20"/>
                <w:lang w:eastAsia="fr-FR"/>
              </w:rPr>
              <w:t>Gmelina arborea</w:t>
            </w:r>
          </w:p>
        </w:tc>
        <w:tc>
          <w:tcPr>
            <w:tcW w:w="3402" w:type="dxa"/>
            <w:noWrap/>
            <w:hideMark/>
          </w:tcPr>
          <w:p w14:paraId="0B0B3F33" w14:textId="77777777" w:rsidR="00701C80" w:rsidRPr="00A9330B" w:rsidRDefault="00701C80" w:rsidP="000F4D1B">
            <w:pPr>
              <w:spacing w:before="60" w:line="240" w:lineRule="auto"/>
              <w:jc w:val="both"/>
              <w:rPr>
                <w:rFonts w:eastAsia="Times New Roman" w:cs="Arial"/>
                <w:color w:val="000000"/>
                <w:sz w:val="20"/>
                <w:szCs w:val="20"/>
                <w:lang w:eastAsia="fr-FR"/>
              </w:rPr>
            </w:pPr>
            <w:r w:rsidRPr="00A9330B">
              <w:rPr>
                <w:rFonts w:eastAsia="Times New Roman" w:cs="Arial"/>
                <w:color w:val="000000"/>
                <w:sz w:val="20"/>
                <w:szCs w:val="20"/>
                <w:lang w:eastAsia="fr-FR"/>
              </w:rPr>
              <w:t>Verbenaceae</w:t>
            </w:r>
          </w:p>
        </w:tc>
        <w:tc>
          <w:tcPr>
            <w:tcW w:w="992" w:type="dxa"/>
            <w:noWrap/>
            <w:hideMark/>
          </w:tcPr>
          <w:p w14:paraId="49844425" w14:textId="77777777" w:rsidR="00701C80" w:rsidRPr="00A9330B" w:rsidRDefault="00701C80" w:rsidP="000F4D1B">
            <w:pPr>
              <w:spacing w:before="60" w:line="240" w:lineRule="auto"/>
              <w:jc w:val="both"/>
              <w:rPr>
                <w:rFonts w:eastAsia="Times New Roman" w:cs="Arial"/>
                <w:color w:val="000000"/>
                <w:sz w:val="20"/>
                <w:szCs w:val="20"/>
                <w:lang w:eastAsia="fr-FR"/>
              </w:rPr>
            </w:pPr>
            <w:r w:rsidRPr="00A9330B">
              <w:rPr>
                <w:rFonts w:eastAsia="Times New Roman" w:cs="Arial"/>
                <w:color w:val="000000"/>
                <w:sz w:val="20"/>
                <w:szCs w:val="20"/>
                <w:lang w:eastAsia="fr-FR"/>
              </w:rPr>
              <w:t>LC</w:t>
            </w:r>
          </w:p>
        </w:tc>
      </w:tr>
      <w:tr w:rsidR="00701C80" w:rsidRPr="00A9330B" w14:paraId="68627E76" w14:textId="77777777" w:rsidTr="00701C80">
        <w:trPr>
          <w:trHeight w:val="300"/>
        </w:trPr>
        <w:tc>
          <w:tcPr>
            <w:tcW w:w="1860" w:type="dxa"/>
            <w:vMerge/>
            <w:noWrap/>
            <w:hideMark/>
          </w:tcPr>
          <w:p w14:paraId="46841452" w14:textId="77777777" w:rsidR="00701C80" w:rsidRPr="00A9330B" w:rsidRDefault="00701C80" w:rsidP="000F4D1B">
            <w:pPr>
              <w:spacing w:before="60" w:line="240" w:lineRule="auto"/>
              <w:jc w:val="both"/>
              <w:rPr>
                <w:rFonts w:eastAsia="Times New Roman" w:cs="Arial"/>
                <w:color w:val="000000"/>
                <w:sz w:val="20"/>
                <w:szCs w:val="20"/>
                <w:lang w:eastAsia="fr-FR"/>
              </w:rPr>
            </w:pPr>
          </w:p>
        </w:tc>
        <w:tc>
          <w:tcPr>
            <w:tcW w:w="2813" w:type="dxa"/>
            <w:noWrap/>
            <w:hideMark/>
          </w:tcPr>
          <w:p w14:paraId="540C636E" w14:textId="77777777" w:rsidR="00701C80" w:rsidRPr="00A9330B" w:rsidRDefault="00701C80" w:rsidP="000F4D1B">
            <w:pPr>
              <w:spacing w:before="60" w:line="240" w:lineRule="auto"/>
              <w:jc w:val="both"/>
              <w:rPr>
                <w:rFonts w:eastAsia="Times New Roman" w:cs="Arial"/>
                <w:i/>
                <w:color w:val="000000"/>
                <w:sz w:val="20"/>
                <w:szCs w:val="20"/>
                <w:lang w:eastAsia="fr-FR"/>
              </w:rPr>
            </w:pPr>
            <w:r w:rsidRPr="00A9330B">
              <w:rPr>
                <w:rFonts w:eastAsia="Times New Roman" w:cs="Arial"/>
                <w:i/>
                <w:color w:val="000000"/>
                <w:sz w:val="20"/>
                <w:szCs w:val="20"/>
                <w:lang w:eastAsia="fr-FR"/>
              </w:rPr>
              <w:t xml:space="preserve">Tectona grandis </w:t>
            </w:r>
          </w:p>
        </w:tc>
        <w:tc>
          <w:tcPr>
            <w:tcW w:w="3402" w:type="dxa"/>
            <w:noWrap/>
            <w:hideMark/>
          </w:tcPr>
          <w:p w14:paraId="7A4F6466" w14:textId="77777777" w:rsidR="00701C80" w:rsidRPr="00A9330B" w:rsidRDefault="00701C80" w:rsidP="000F4D1B">
            <w:pPr>
              <w:spacing w:before="60" w:line="240" w:lineRule="auto"/>
              <w:jc w:val="both"/>
              <w:rPr>
                <w:rFonts w:eastAsia="Times New Roman" w:cs="Arial"/>
                <w:color w:val="000000"/>
                <w:sz w:val="20"/>
                <w:szCs w:val="20"/>
                <w:lang w:eastAsia="fr-FR"/>
              </w:rPr>
            </w:pPr>
            <w:r w:rsidRPr="00A9330B">
              <w:rPr>
                <w:rFonts w:eastAsia="Times New Roman" w:cs="Arial"/>
                <w:color w:val="000000"/>
                <w:sz w:val="20"/>
                <w:szCs w:val="20"/>
                <w:lang w:eastAsia="fr-FR"/>
              </w:rPr>
              <w:t>Verbenaceae</w:t>
            </w:r>
          </w:p>
        </w:tc>
        <w:tc>
          <w:tcPr>
            <w:tcW w:w="992" w:type="dxa"/>
            <w:noWrap/>
            <w:hideMark/>
          </w:tcPr>
          <w:p w14:paraId="52CB9D68" w14:textId="77777777" w:rsidR="00701C80" w:rsidRPr="00A9330B" w:rsidRDefault="00701C80" w:rsidP="000F4D1B">
            <w:pPr>
              <w:spacing w:before="60" w:line="240" w:lineRule="auto"/>
              <w:jc w:val="both"/>
              <w:rPr>
                <w:rFonts w:eastAsia="Times New Roman" w:cs="Arial"/>
                <w:color w:val="000000"/>
                <w:sz w:val="20"/>
                <w:szCs w:val="20"/>
                <w:lang w:eastAsia="fr-FR"/>
              </w:rPr>
            </w:pPr>
            <w:r w:rsidRPr="00A9330B">
              <w:rPr>
                <w:rFonts w:eastAsia="Times New Roman" w:cs="Arial"/>
                <w:color w:val="000000"/>
                <w:sz w:val="20"/>
                <w:szCs w:val="20"/>
                <w:lang w:eastAsia="fr-FR"/>
              </w:rPr>
              <w:t>LC</w:t>
            </w:r>
          </w:p>
        </w:tc>
      </w:tr>
      <w:tr w:rsidR="00701C80" w:rsidRPr="00A9330B" w14:paraId="3B54C6E8" w14:textId="77777777" w:rsidTr="00701C80">
        <w:trPr>
          <w:trHeight w:val="300"/>
        </w:trPr>
        <w:tc>
          <w:tcPr>
            <w:tcW w:w="1860" w:type="dxa"/>
            <w:vMerge/>
            <w:noWrap/>
            <w:hideMark/>
          </w:tcPr>
          <w:p w14:paraId="259A7359" w14:textId="77777777" w:rsidR="00701C80" w:rsidRPr="00A9330B" w:rsidRDefault="00701C80" w:rsidP="000F4D1B">
            <w:pPr>
              <w:spacing w:before="60" w:line="240" w:lineRule="auto"/>
              <w:jc w:val="both"/>
              <w:rPr>
                <w:rFonts w:eastAsia="Times New Roman" w:cs="Arial"/>
                <w:color w:val="000000"/>
                <w:sz w:val="20"/>
                <w:szCs w:val="20"/>
                <w:lang w:eastAsia="fr-FR"/>
              </w:rPr>
            </w:pPr>
          </w:p>
        </w:tc>
        <w:tc>
          <w:tcPr>
            <w:tcW w:w="2813" w:type="dxa"/>
            <w:noWrap/>
            <w:hideMark/>
          </w:tcPr>
          <w:p w14:paraId="3147E830" w14:textId="77777777" w:rsidR="00701C80" w:rsidRPr="00A9330B" w:rsidRDefault="00701C80" w:rsidP="000F4D1B">
            <w:pPr>
              <w:spacing w:before="60" w:line="240" w:lineRule="auto"/>
              <w:jc w:val="both"/>
              <w:rPr>
                <w:rFonts w:eastAsia="Times New Roman" w:cs="Arial"/>
                <w:i/>
                <w:color w:val="000000"/>
                <w:sz w:val="20"/>
                <w:szCs w:val="20"/>
                <w:lang w:eastAsia="fr-FR"/>
              </w:rPr>
            </w:pPr>
            <w:r w:rsidRPr="00A9330B">
              <w:rPr>
                <w:rFonts w:eastAsia="Times New Roman" w:cs="Arial"/>
                <w:i/>
                <w:color w:val="000000"/>
                <w:sz w:val="20"/>
                <w:szCs w:val="20"/>
                <w:lang w:eastAsia="fr-FR"/>
              </w:rPr>
              <w:t>Thevetia neriifolia</w:t>
            </w:r>
          </w:p>
        </w:tc>
        <w:tc>
          <w:tcPr>
            <w:tcW w:w="3402" w:type="dxa"/>
            <w:noWrap/>
            <w:hideMark/>
          </w:tcPr>
          <w:p w14:paraId="2EA33E86" w14:textId="77777777" w:rsidR="00701C80" w:rsidRPr="00A9330B" w:rsidRDefault="00701C80" w:rsidP="000F4D1B">
            <w:pPr>
              <w:spacing w:before="60" w:line="240" w:lineRule="auto"/>
              <w:jc w:val="both"/>
              <w:rPr>
                <w:rFonts w:eastAsia="Times New Roman" w:cs="Arial"/>
                <w:color w:val="000000"/>
                <w:sz w:val="20"/>
                <w:szCs w:val="20"/>
                <w:lang w:eastAsia="fr-FR"/>
              </w:rPr>
            </w:pPr>
            <w:r w:rsidRPr="00A9330B">
              <w:rPr>
                <w:rFonts w:eastAsia="Times New Roman" w:cs="Arial"/>
                <w:color w:val="000000"/>
                <w:sz w:val="20"/>
                <w:szCs w:val="20"/>
                <w:lang w:eastAsia="fr-FR"/>
              </w:rPr>
              <w:t>Apocynaceae</w:t>
            </w:r>
          </w:p>
        </w:tc>
        <w:tc>
          <w:tcPr>
            <w:tcW w:w="992" w:type="dxa"/>
            <w:noWrap/>
            <w:hideMark/>
          </w:tcPr>
          <w:p w14:paraId="47A2604A" w14:textId="77777777" w:rsidR="00701C80" w:rsidRPr="00A9330B" w:rsidRDefault="00701C80" w:rsidP="000F4D1B">
            <w:pPr>
              <w:spacing w:before="60" w:line="240" w:lineRule="auto"/>
              <w:jc w:val="both"/>
              <w:rPr>
                <w:rFonts w:eastAsia="Times New Roman" w:cs="Arial"/>
                <w:color w:val="000000"/>
                <w:sz w:val="20"/>
                <w:szCs w:val="20"/>
                <w:lang w:eastAsia="fr-FR"/>
              </w:rPr>
            </w:pPr>
          </w:p>
        </w:tc>
      </w:tr>
      <w:tr w:rsidR="00701C80" w:rsidRPr="00A9330B" w14:paraId="5E95AF66" w14:textId="77777777" w:rsidTr="00701C80">
        <w:trPr>
          <w:trHeight w:val="300"/>
        </w:trPr>
        <w:tc>
          <w:tcPr>
            <w:tcW w:w="1860" w:type="dxa"/>
            <w:vMerge/>
            <w:noWrap/>
            <w:hideMark/>
          </w:tcPr>
          <w:p w14:paraId="3E5F8BD2" w14:textId="77777777" w:rsidR="00701C80" w:rsidRPr="00A9330B" w:rsidRDefault="00701C80" w:rsidP="000F4D1B">
            <w:pPr>
              <w:spacing w:before="60" w:line="240" w:lineRule="auto"/>
              <w:jc w:val="both"/>
              <w:rPr>
                <w:rFonts w:eastAsia="Times New Roman" w:cs="Arial"/>
                <w:color w:val="auto"/>
                <w:sz w:val="20"/>
                <w:szCs w:val="20"/>
                <w:lang w:eastAsia="fr-FR"/>
              </w:rPr>
            </w:pPr>
          </w:p>
        </w:tc>
        <w:tc>
          <w:tcPr>
            <w:tcW w:w="2813" w:type="dxa"/>
            <w:noWrap/>
            <w:hideMark/>
          </w:tcPr>
          <w:p w14:paraId="7283D373" w14:textId="77777777" w:rsidR="00701C80" w:rsidRPr="00A9330B" w:rsidRDefault="00701C80" w:rsidP="000F4D1B">
            <w:pPr>
              <w:spacing w:before="60" w:line="240" w:lineRule="auto"/>
              <w:jc w:val="both"/>
              <w:rPr>
                <w:rFonts w:eastAsia="Times New Roman" w:cs="Arial"/>
                <w:i/>
                <w:color w:val="000000"/>
                <w:sz w:val="20"/>
                <w:szCs w:val="20"/>
                <w:lang w:eastAsia="fr-FR"/>
              </w:rPr>
            </w:pPr>
            <w:r w:rsidRPr="00A9330B">
              <w:rPr>
                <w:rFonts w:eastAsia="Times New Roman" w:cs="Arial"/>
                <w:i/>
                <w:color w:val="000000"/>
                <w:sz w:val="20"/>
                <w:szCs w:val="20"/>
                <w:lang w:eastAsia="fr-FR"/>
              </w:rPr>
              <w:t xml:space="preserve">Tectona grandis </w:t>
            </w:r>
          </w:p>
        </w:tc>
        <w:tc>
          <w:tcPr>
            <w:tcW w:w="3402" w:type="dxa"/>
            <w:noWrap/>
            <w:hideMark/>
          </w:tcPr>
          <w:p w14:paraId="4653CCA7" w14:textId="77777777" w:rsidR="00701C80" w:rsidRPr="00A9330B" w:rsidRDefault="00701C80" w:rsidP="000F4D1B">
            <w:pPr>
              <w:spacing w:before="60" w:line="240" w:lineRule="auto"/>
              <w:jc w:val="both"/>
              <w:rPr>
                <w:rFonts w:eastAsia="Times New Roman" w:cs="Arial"/>
                <w:color w:val="000000"/>
                <w:sz w:val="20"/>
                <w:szCs w:val="20"/>
                <w:lang w:eastAsia="fr-FR"/>
              </w:rPr>
            </w:pPr>
            <w:r w:rsidRPr="00A9330B">
              <w:rPr>
                <w:rFonts w:eastAsia="Times New Roman" w:cs="Arial"/>
                <w:color w:val="000000"/>
                <w:sz w:val="20"/>
                <w:szCs w:val="20"/>
                <w:lang w:eastAsia="fr-FR"/>
              </w:rPr>
              <w:t>Verbenaceae</w:t>
            </w:r>
          </w:p>
        </w:tc>
        <w:tc>
          <w:tcPr>
            <w:tcW w:w="992" w:type="dxa"/>
            <w:noWrap/>
            <w:hideMark/>
          </w:tcPr>
          <w:p w14:paraId="17DEEF79" w14:textId="77777777" w:rsidR="00701C80" w:rsidRPr="00A9330B" w:rsidRDefault="00701C80" w:rsidP="000F4D1B">
            <w:pPr>
              <w:spacing w:before="60" w:line="240" w:lineRule="auto"/>
              <w:jc w:val="both"/>
              <w:rPr>
                <w:rFonts w:eastAsia="Times New Roman" w:cs="Arial"/>
                <w:color w:val="000000"/>
                <w:sz w:val="20"/>
                <w:szCs w:val="20"/>
                <w:lang w:eastAsia="fr-FR"/>
              </w:rPr>
            </w:pPr>
            <w:r w:rsidRPr="00A9330B">
              <w:rPr>
                <w:rFonts w:eastAsia="Times New Roman" w:cs="Arial"/>
                <w:color w:val="000000"/>
                <w:sz w:val="20"/>
                <w:szCs w:val="20"/>
                <w:lang w:eastAsia="fr-FR"/>
              </w:rPr>
              <w:t>LC</w:t>
            </w:r>
          </w:p>
        </w:tc>
      </w:tr>
      <w:tr w:rsidR="00701C80" w:rsidRPr="00A9330B" w14:paraId="4D3595EF" w14:textId="77777777" w:rsidTr="00701C80">
        <w:trPr>
          <w:trHeight w:val="300"/>
        </w:trPr>
        <w:tc>
          <w:tcPr>
            <w:tcW w:w="1860" w:type="dxa"/>
            <w:vMerge/>
            <w:noWrap/>
            <w:hideMark/>
          </w:tcPr>
          <w:p w14:paraId="2F76CFF8" w14:textId="77777777" w:rsidR="00701C80" w:rsidRPr="00A9330B" w:rsidRDefault="00701C80" w:rsidP="000F4D1B">
            <w:pPr>
              <w:spacing w:before="60" w:line="240" w:lineRule="auto"/>
              <w:jc w:val="both"/>
              <w:rPr>
                <w:rFonts w:eastAsia="Times New Roman" w:cs="Arial"/>
                <w:color w:val="000000"/>
                <w:sz w:val="20"/>
                <w:szCs w:val="20"/>
                <w:lang w:eastAsia="fr-FR"/>
              </w:rPr>
            </w:pPr>
          </w:p>
        </w:tc>
        <w:tc>
          <w:tcPr>
            <w:tcW w:w="2813" w:type="dxa"/>
            <w:noWrap/>
            <w:hideMark/>
          </w:tcPr>
          <w:p w14:paraId="7C1536DB" w14:textId="77777777" w:rsidR="00701C80" w:rsidRPr="00A9330B" w:rsidRDefault="00701C80" w:rsidP="000F4D1B">
            <w:pPr>
              <w:spacing w:before="60" w:line="240" w:lineRule="auto"/>
              <w:jc w:val="both"/>
              <w:rPr>
                <w:rFonts w:eastAsia="Times New Roman" w:cs="Arial"/>
                <w:i/>
                <w:color w:val="000000"/>
                <w:sz w:val="20"/>
                <w:szCs w:val="20"/>
                <w:lang w:eastAsia="fr-FR"/>
              </w:rPr>
            </w:pPr>
            <w:r w:rsidRPr="00A9330B">
              <w:rPr>
                <w:rFonts w:eastAsia="Times New Roman" w:cs="Arial"/>
                <w:i/>
                <w:color w:val="000000"/>
                <w:sz w:val="20"/>
                <w:szCs w:val="20"/>
                <w:lang w:eastAsia="fr-FR"/>
              </w:rPr>
              <w:t>Leucaena leucocephala</w:t>
            </w:r>
          </w:p>
        </w:tc>
        <w:tc>
          <w:tcPr>
            <w:tcW w:w="3402" w:type="dxa"/>
            <w:noWrap/>
            <w:hideMark/>
          </w:tcPr>
          <w:p w14:paraId="54E660A0" w14:textId="77777777" w:rsidR="00701C80" w:rsidRPr="00A9330B" w:rsidRDefault="00701C80" w:rsidP="000F4D1B">
            <w:pPr>
              <w:spacing w:before="60" w:line="240" w:lineRule="auto"/>
              <w:jc w:val="both"/>
              <w:rPr>
                <w:rFonts w:eastAsia="Times New Roman" w:cs="Arial"/>
                <w:color w:val="000000"/>
                <w:sz w:val="20"/>
                <w:szCs w:val="20"/>
                <w:lang w:eastAsia="fr-FR"/>
              </w:rPr>
            </w:pPr>
            <w:r w:rsidRPr="00A9330B">
              <w:rPr>
                <w:rFonts w:eastAsia="Times New Roman" w:cs="Arial"/>
                <w:color w:val="000000"/>
                <w:sz w:val="20"/>
                <w:szCs w:val="20"/>
                <w:lang w:eastAsia="fr-FR"/>
              </w:rPr>
              <w:t>Leguminosae-Mimosoideae</w:t>
            </w:r>
          </w:p>
        </w:tc>
        <w:tc>
          <w:tcPr>
            <w:tcW w:w="992" w:type="dxa"/>
            <w:noWrap/>
            <w:hideMark/>
          </w:tcPr>
          <w:p w14:paraId="2515B7B6" w14:textId="77777777" w:rsidR="00701C80" w:rsidRPr="00A9330B" w:rsidRDefault="00701C80" w:rsidP="000F4D1B">
            <w:pPr>
              <w:spacing w:before="60" w:line="240" w:lineRule="auto"/>
              <w:jc w:val="both"/>
              <w:rPr>
                <w:rFonts w:eastAsia="Times New Roman" w:cs="Arial"/>
                <w:color w:val="000000"/>
                <w:sz w:val="20"/>
                <w:szCs w:val="20"/>
                <w:lang w:eastAsia="fr-FR"/>
              </w:rPr>
            </w:pPr>
            <w:r w:rsidRPr="00A9330B">
              <w:rPr>
                <w:rFonts w:eastAsia="Times New Roman" w:cs="Arial"/>
                <w:color w:val="000000"/>
                <w:sz w:val="20"/>
                <w:szCs w:val="20"/>
                <w:lang w:eastAsia="fr-FR"/>
              </w:rPr>
              <w:t>LC</w:t>
            </w:r>
          </w:p>
        </w:tc>
      </w:tr>
      <w:tr w:rsidR="00701C80" w:rsidRPr="00A9330B" w14:paraId="4A8AD317" w14:textId="77777777" w:rsidTr="00701C80">
        <w:trPr>
          <w:trHeight w:val="300"/>
        </w:trPr>
        <w:tc>
          <w:tcPr>
            <w:tcW w:w="1860" w:type="dxa"/>
            <w:vMerge/>
            <w:noWrap/>
            <w:hideMark/>
          </w:tcPr>
          <w:p w14:paraId="1BC5E358" w14:textId="77777777" w:rsidR="00701C80" w:rsidRPr="00A9330B" w:rsidRDefault="00701C80" w:rsidP="000F4D1B">
            <w:pPr>
              <w:spacing w:before="60" w:line="240" w:lineRule="auto"/>
              <w:jc w:val="both"/>
              <w:rPr>
                <w:rFonts w:eastAsia="Times New Roman" w:cs="Arial"/>
                <w:color w:val="000000"/>
                <w:sz w:val="20"/>
                <w:szCs w:val="20"/>
                <w:lang w:eastAsia="fr-FR"/>
              </w:rPr>
            </w:pPr>
          </w:p>
        </w:tc>
        <w:tc>
          <w:tcPr>
            <w:tcW w:w="2813" w:type="dxa"/>
            <w:noWrap/>
            <w:hideMark/>
          </w:tcPr>
          <w:p w14:paraId="11AF6191" w14:textId="77777777" w:rsidR="00701C80" w:rsidRPr="00A9330B" w:rsidRDefault="00701C80" w:rsidP="000F4D1B">
            <w:pPr>
              <w:spacing w:before="60" w:line="240" w:lineRule="auto"/>
              <w:jc w:val="both"/>
              <w:rPr>
                <w:rFonts w:eastAsia="Times New Roman" w:cs="Arial"/>
                <w:i/>
                <w:color w:val="000000"/>
                <w:sz w:val="20"/>
                <w:szCs w:val="20"/>
                <w:lang w:eastAsia="fr-FR"/>
              </w:rPr>
            </w:pPr>
            <w:r w:rsidRPr="00A9330B">
              <w:rPr>
                <w:rFonts w:eastAsia="Times New Roman" w:cs="Arial"/>
                <w:i/>
                <w:color w:val="000000"/>
                <w:sz w:val="20"/>
                <w:szCs w:val="20"/>
                <w:lang w:eastAsia="fr-FR"/>
              </w:rPr>
              <w:t xml:space="preserve">Senna siamea </w:t>
            </w:r>
          </w:p>
        </w:tc>
        <w:tc>
          <w:tcPr>
            <w:tcW w:w="3402" w:type="dxa"/>
            <w:noWrap/>
            <w:hideMark/>
          </w:tcPr>
          <w:p w14:paraId="103EACCE" w14:textId="77777777" w:rsidR="00701C80" w:rsidRPr="00A9330B" w:rsidRDefault="00701C80" w:rsidP="000F4D1B">
            <w:pPr>
              <w:spacing w:before="60" w:line="240" w:lineRule="auto"/>
              <w:jc w:val="both"/>
              <w:rPr>
                <w:rFonts w:eastAsia="Times New Roman" w:cs="Arial"/>
                <w:color w:val="000000"/>
                <w:sz w:val="20"/>
                <w:szCs w:val="20"/>
                <w:lang w:eastAsia="fr-FR"/>
              </w:rPr>
            </w:pPr>
            <w:r w:rsidRPr="00A9330B">
              <w:rPr>
                <w:rFonts w:eastAsia="Times New Roman" w:cs="Arial"/>
                <w:color w:val="000000"/>
                <w:sz w:val="20"/>
                <w:szCs w:val="20"/>
                <w:lang w:eastAsia="fr-FR"/>
              </w:rPr>
              <w:t>Leguminosae-Caesalpinioideae</w:t>
            </w:r>
          </w:p>
        </w:tc>
        <w:tc>
          <w:tcPr>
            <w:tcW w:w="992" w:type="dxa"/>
            <w:noWrap/>
            <w:hideMark/>
          </w:tcPr>
          <w:p w14:paraId="4F7805FE" w14:textId="77777777" w:rsidR="00701C80" w:rsidRPr="00A9330B" w:rsidRDefault="00701C80" w:rsidP="000F4D1B">
            <w:pPr>
              <w:spacing w:before="60" w:line="240" w:lineRule="auto"/>
              <w:jc w:val="both"/>
              <w:rPr>
                <w:rFonts w:eastAsia="Times New Roman" w:cs="Arial"/>
                <w:color w:val="000000"/>
                <w:sz w:val="20"/>
                <w:szCs w:val="20"/>
                <w:lang w:eastAsia="fr-FR"/>
              </w:rPr>
            </w:pPr>
            <w:r w:rsidRPr="00A9330B">
              <w:rPr>
                <w:rFonts w:eastAsia="Times New Roman" w:cs="Arial"/>
                <w:color w:val="000000"/>
                <w:sz w:val="20"/>
                <w:szCs w:val="20"/>
                <w:lang w:eastAsia="fr-FR"/>
              </w:rPr>
              <w:t>LC</w:t>
            </w:r>
          </w:p>
        </w:tc>
      </w:tr>
      <w:tr w:rsidR="00701C80" w:rsidRPr="00A9330B" w14:paraId="4BBE1CEA" w14:textId="77777777" w:rsidTr="00701C80">
        <w:trPr>
          <w:trHeight w:val="300"/>
        </w:trPr>
        <w:tc>
          <w:tcPr>
            <w:tcW w:w="1860" w:type="dxa"/>
            <w:vMerge/>
            <w:noWrap/>
            <w:hideMark/>
          </w:tcPr>
          <w:p w14:paraId="4AD0EFD3" w14:textId="77777777" w:rsidR="00701C80" w:rsidRPr="00A9330B" w:rsidRDefault="00701C80" w:rsidP="000F4D1B">
            <w:pPr>
              <w:spacing w:before="60" w:line="240" w:lineRule="auto"/>
              <w:jc w:val="both"/>
              <w:rPr>
                <w:rFonts w:eastAsia="Times New Roman" w:cs="Arial"/>
                <w:color w:val="000000"/>
                <w:sz w:val="20"/>
                <w:szCs w:val="20"/>
                <w:lang w:eastAsia="fr-FR"/>
              </w:rPr>
            </w:pPr>
          </w:p>
        </w:tc>
        <w:tc>
          <w:tcPr>
            <w:tcW w:w="2813" w:type="dxa"/>
            <w:noWrap/>
            <w:hideMark/>
          </w:tcPr>
          <w:p w14:paraId="4C8D3CA8" w14:textId="77777777" w:rsidR="00701C80" w:rsidRPr="00A9330B" w:rsidRDefault="00701C80" w:rsidP="000F4D1B">
            <w:pPr>
              <w:spacing w:before="60" w:line="240" w:lineRule="auto"/>
              <w:jc w:val="both"/>
              <w:rPr>
                <w:rFonts w:eastAsia="Times New Roman" w:cs="Arial"/>
                <w:i/>
                <w:color w:val="000000"/>
                <w:sz w:val="20"/>
                <w:szCs w:val="20"/>
                <w:lang w:eastAsia="fr-FR"/>
              </w:rPr>
            </w:pPr>
            <w:r w:rsidRPr="00A9330B">
              <w:rPr>
                <w:rFonts w:eastAsia="Times New Roman" w:cs="Arial"/>
                <w:i/>
                <w:color w:val="000000"/>
                <w:sz w:val="20"/>
                <w:szCs w:val="20"/>
                <w:lang w:eastAsia="fr-FR"/>
              </w:rPr>
              <w:t>Musa sp</w:t>
            </w:r>
          </w:p>
        </w:tc>
        <w:tc>
          <w:tcPr>
            <w:tcW w:w="3402" w:type="dxa"/>
            <w:noWrap/>
            <w:hideMark/>
          </w:tcPr>
          <w:p w14:paraId="615CCC0D" w14:textId="77777777" w:rsidR="00701C80" w:rsidRPr="00A9330B" w:rsidRDefault="00701C80" w:rsidP="000F4D1B">
            <w:pPr>
              <w:spacing w:before="60" w:line="240" w:lineRule="auto"/>
              <w:jc w:val="both"/>
              <w:rPr>
                <w:rFonts w:eastAsia="Times New Roman" w:cs="Arial"/>
                <w:color w:val="000000"/>
                <w:sz w:val="20"/>
                <w:szCs w:val="20"/>
                <w:lang w:eastAsia="fr-FR"/>
              </w:rPr>
            </w:pPr>
            <w:r w:rsidRPr="00A9330B">
              <w:rPr>
                <w:rFonts w:eastAsia="Times New Roman" w:cs="Arial"/>
                <w:color w:val="000000"/>
                <w:sz w:val="20"/>
                <w:szCs w:val="20"/>
                <w:lang w:eastAsia="fr-FR"/>
              </w:rPr>
              <w:t>Musaceae</w:t>
            </w:r>
          </w:p>
        </w:tc>
        <w:tc>
          <w:tcPr>
            <w:tcW w:w="992" w:type="dxa"/>
            <w:noWrap/>
            <w:hideMark/>
          </w:tcPr>
          <w:p w14:paraId="400CF274" w14:textId="77777777" w:rsidR="00701C80" w:rsidRPr="00A9330B" w:rsidRDefault="00701C80" w:rsidP="000F4D1B">
            <w:pPr>
              <w:spacing w:before="60" w:line="240" w:lineRule="auto"/>
              <w:jc w:val="both"/>
              <w:rPr>
                <w:rFonts w:eastAsia="Times New Roman" w:cs="Arial"/>
                <w:color w:val="000000"/>
                <w:sz w:val="20"/>
                <w:szCs w:val="20"/>
                <w:lang w:eastAsia="fr-FR"/>
              </w:rPr>
            </w:pPr>
          </w:p>
        </w:tc>
      </w:tr>
      <w:tr w:rsidR="00701C80" w:rsidRPr="00A9330B" w14:paraId="738DD2B2" w14:textId="77777777" w:rsidTr="00701C80">
        <w:trPr>
          <w:trHeight w:val="300"/>
        </w:trPr>
        <w:tc>
          <w:tcPr>
            <w:tcW w:w="1860" w:type="dxa"/>
            <w:vMerge/>
            <w:noWrap/>
            <w:hideMark/>
          </w:tcPr>
          <w:p w14:paraId="57680F81" w14:textId="77777777" w:rsidR="00701C80" w:rsidRPr="00A9330B" w:rsidRDefault="00701C80" w:rsidP="000F4D1B">
            <w:pPr>
              <w:spacing w:before="60" w:line="240" w:lineRule="auto"/>
              <w:jc w:val="both"/>
              <w:rPr>
                <w:rFonts w:eastAsia="Times New Roman" w:cs="Arial"/>
                <w:color w:val="auto"/>
                <w:sz w:val="20"/>
                <w:szCs w:val="20"/>
                <w:lang w:eastAsia="fr-FR"/>
              </w:rPr>
            </w:pPr>
          </w:p>
        </w:tc>
        <w:tc>
          <w:tcPr>
            <w:tcW w:w="2813" w:type="dxa"/>
            <w:noWrap/>
            <w:hideMark/>
          </w:tcPr>
          <w:p w14:paraId="4E27A12D" w14:textId="77777777" w:rsidR="00701C80" w:rsidRPr="00A9330B" w:rsidRDefault="00701C80" w:rsidP="000F4D1B">
            <w:pPr>
              <w:spacing w:before="60" w:line="240" w:lineRule="auto"/>
              <w:jc w:val="both"/>
              <w:rPr>
                <w:rFonts w:eastAsia="Times New Roman" w:cs="Arial"/>
                <w:i/>
                <w:color w:val="000000"/>
                <w:sz w:val="20"/>
                <w:szCs w:val="20"/>
                <w:lang w:eastAsia="fr-FR"/>
              </w:rPr>
            </w:pPr>
            <w:r w:rsidRPr="00A9330B">
              <w:rPr>
                <w:rFonts w:eastAsia="Times New Roman" w:cs="Arial"/>
                <w:i/>
                <w:color w:val="000000"/>
                <w:sz w:val="20"/>
                <w:szCs w:val="20"/>
                <w:lang w:eastAsia="fr-FR"/>
              </w:rPr>
              <w:t>Gmelina arborea</w:t>
            </w:r>
          </w:p>
        </w:tc>
        <w:tc>
          <w:tcPr>
            <w:tcW w:w="3402" w:type="dxa"/>
            <w:noWrap/>
            <w:hideMark/>
          </w:tcPr>
          <w:p w14:paraId="615F28F7" w14:textId="77777777" w:rsidR="00701C80" w:rsidRPr="00A9330B" w:rsidRDefault="00701C80" w:rsidP="000F4D1B">
            <w:pPr>
              <w:spacing w:before="60" w:line="240" w:lineRule="auto"/>
              <w:jc w:val="both"/>
              <w:rPr>
                <w:rFonts w:eastAsia="Times New Roman" w:cs="Arial"/>
                <w:color w:val="000000"/>
                <w:sz w:val="20"/>
                <w:szCs w:val="20"/>
                <w:lang w:eastAsia="fr-FR"/>
              </w:rPr>
            </w:pPr>
            <w:r w:rsidRPr="00A9330B">
              <w:rPr>
                <w:rFonts w:eastAsia="Times New Roman" w:cs="Arial"/>
                <w:color w:val="000000"/>
                <w:sz w:val="20"/>
                <w:szCs w:val="20"/>
                <w:lang w:eastAsia="fr-FR"/>
              </w:rPr>
              <w:t>Verbenaceae</w:t>
            </w:r>
          </w:p>
        </w:tc>
        <w:tc>
          <w:tcPr>
            <w:tcW w:w="992" w:type="dxa"/>
            <w:noWrap/>
            <w:hideMark/>
          </w:tcPr>
          <w:p w14:paraId="1AB381F8" w14:textId="77777777" w:rsidR="00701C80" w:rsidRPr="00A9330B" w:rsidRDefault="00701C80" w:rsidP="000F4D1B">
            <w:pPr>
              <w:spacing w:before="60" w:line="240" w:lineRule="auto"/>
              <w:jc w:val="both"/>
              <w:rPr>
                <w:rFonts w:eastAsia="Times New Roman" w:cs="Arial"/>
                <w:color w:val="000000"/>
                <w:sz w:val="20"/>
                <w:szCs w:val="20"/>
                <w:lang w:eastAsia="fr-FR"/>
              </w:rPr>
            </w:pPr>
            <w:r w:rsidRPr="00A9330B">
              <w:rPr>
                <w:rFonts w:eastAsia="Times New Roman" w:cs="Arial"/>
                <w:color w:val="000000"/>
                <w:sz w:val="20"/>
                <w:szCs w:val="20"/>
                <w:lang w:eastAsia="fr-FR"/>
              </w:rPr>
              <w:t>LC</w:t>
            </w:r>
          </w:p>
        </w:tc>
      </w:tr>
      <w:tr w:rsidR="00701C80" w:rsidRPr="00A9330B" w14:paraId="5E76CDC8" w14:textId="77777777" w:rsidTr="00701C80">
        <w:trPr>
          <w:trHeight w:val="300"/>
        </w:trPr>
        <w:tc>
          <w:tcPr>
            <w:tcW w:w="1860" w:type="dxa"/>
            <w:vMerge/>
            <w:noWrap/>
            <w:hideMark/>
          </w:tcPr>
          <w:p w14:paraId="22D8DB12" w14:textId="77777777" w:rsidR="00701C80" w:rsidRPr="00A9330B" w:rsidRDefault="00701C80" w:rsidP="000F4D1B">
            <w:pPr>
              <w:spacing w:before="60" w:line="240" w:lineRule="auto"/>
              <w:jc w:val="both"/>
              <w:rPr>
                <w:rFonts w:eastAsia="Times New Roman" w:cs="Arial"/>
                <w:color w:val="000000"/>
                <w:sz w:val="20"/>
                <w:szCs w:val="20"/>
                <w:lang w:eastAsia="fr-FR"/>
              </w:rPr>
            </w:pPr>
          </w:p>
        </w:tc>
        <w:tc>
          <w:tcPr>
            <w:tcW w:w="2813" w:type="dxa"/>
            <w:noWrap/>
            <w:hideMark/>
          </w:tcPr>
          <w:p w14:paraId="7459044C" w14:textId="77777777" w:rsidR="00701C80" w:rsidRPr="00A9330B" w:rsidRDefault="00701C80" w:rsidP="000F4D1B">
            <w:pPr>
              <w:spacing w:before="60" w:line="240" w:lineRule="auto"/>
              <w:jc w:val="both"/>
              <w:rPr>
                <w:rFonts w:eastAsia="Times New Roman" w:cs="Arial"/>
                <w:i/>
                <w:color w:val="000000"/>
                <w:sz w:val="20"/>
                <w:szCs w:val="20"/>
                <w:lang w:eastAsia="fr-FR"/>
              </w:rPr>
            </w:pPr>
            <w:r w:rsidRPr="00A9330B">
              <w:rPr>
                <w:rFonts w:eastAsia="Times New Roman" w:cs="Arial"/>
                <w:i/>
                <w:color w:val="000000"/>
                <w:sz w:val="20"/>
                <w:szCs w:val="20"/>
                <w:lang w:eastAsia="fr-FR"/>
              </w:rPr>
              <w:t>Mangifera indica</w:t>
            </w:r>
          </w:p>
        </w:tc>
        <w:tc>
          <w:tcPr>
            <w:tcW w:w="3402" w:type="dxa"/>
            <w:noWrap/>
            <w:hideMark/>
          </w:tcPr>
          <w:p w14:paraId="1606D1BF" w14:textId="77777777" w:rsidR="00701C80" w:rsidRPr="00A9330B" w:rsidRDefault="00701C80" w:rsidP="000F4D1B">
            <w:pPr>
              <w:spacing w:before="60" w:line="240" w:lineRule="auto"/>
              <w:jc w:val="both"/>
              <w:rPr>
                <w:rFonts w:eastAsia="Times New Roman" w:cs="Arial"/>
                <w:color w:val="000000"/>
                <w:sz w:val="20"/>
                <w:szCs w:val="20"/>
                <w:lang w:eastAsia="fr-FR"/>
              </w:rPr>
            </w:pPr>
            <w:r w:rsidRPr="00A9330B">
              <w:rPr>
                <w:rFonts w:eastAsia="Times New Roman" w:cs="Arial"/>
                <w:color w:val="000000"/>
                <w:sz w:val="20"/>
                <w:szCs w:val="20"/>
                <w:lang w:eastAsia="fr-FR"/>
              </w:rPr>
              <w:t>Anacardiaceae</w:t>
            </w:r>
          </w:p>
        </w:tc>
        <w:tc>
          <w:tcPr>
            <w:tcW w:w="992" w:type="dxa"/>
            <w:noWrap/>
            <w:hideMark/>
          </w:tcPr>
          <w:p w14:paraId="1EA942DD" w14:textId="77777777" w:rsidR="00701C80" w:rsidRPr="00A9330B" w:rsidRDefault="00701C80" w:rsidP="000F4D1B">
            <w:pPr>
              <w:spacing w:before="60" w:line="240" w:lineRule="auto"/>
              <w:jc w:val="both"/>
              <w:rPr>
                <w:rFonts w:eastAsia="Times New Roman" w:cs="Arial"/>
                <w:color w:val="000000"/>
                <w:sz w:val="20"/>
                <w:szCs w:val="20"/>
                <w:lang w:eastAsia="fr-FR"/>
              </w:rPr>
            </w:pPr>
            <w:r w:rsidRPr="00A9330B">
              <w:rPr>
                <w:rFonts w:eastAsia="Times New Roman" w:cs="Arial"/>
                <w:color w:val="000000"/>
                <w:sz w:val="20"/>
                <w:szCs w:val="20"/>
                <w:lang w:eastAsia="fr-FR"/>
              </w:rPr>
              <w:t>LC</w:t>
            </w:r>
          </w:p>
        </w:tc>
      </w:tr>
      <w:tr w:rsidR="00701C80" w:rsidRPr="00A9330B" w14:paraId="334CDB28" w14:textId="77777777" w:rsidTr="00701C80">
        <w:trPr>
          <w:trHeight w:val="300"/>
        </w:trPr>
        <w:tc>
          <w:tcPr>
            <w:tcW w:w="1860" w:type="dxa"/>
            <w:vMerge/>
            <w:noWrap/>
            <w:hideMark/>
          </w:tcPr>
          <w:p w14:paraId="0EC16606" w14:textId="77777777" w:rsidR="00701C80" w:rsidRPr="00A9330B" w:rsidRDefault="00701C80" w:rsidP="000F4D1B">
            <w:pPr>
              <w:spacing w:before="60" w:line="240" w:lineRule="auto"/>
              <w:jc w:val="both"/>
              <w:rPr>
                <w:rFonts w:eastAsia="Times New Roman" w:cs="Arial"/>
                <w:color w:val="000000"/>
                <w:sz w:val="20"/>
                <w:szCs w:val="20"/>
                <w:lang w:eastAsia="fr-FR"/>
              </w:rPr>
            </w:pPr>
          </w:p>
        </w:tc>
        <w:tc>
          <w:tcPr>
            <w:tcW w:w="2813" w:type="dxa"/>
            <w:noWrap/>
            <w:hideMark/>
          </w:tcPr>
          <w:p w14:paraId="2C73AB07" w14:textId="77777777" w:rsidR="00701C80" w:rsidRPr="00A9330B" w:rsidRDefault="00701C80" w:rsidP="000F4D1B">
            <w:pPr>
              <w:spacing w:before="60" w:line="240" w:lineRule="auto"/>
              <w:jc w:val="both"/>
              <w:rPr>
                <w:rFonts w:eastAsia="Times New Roman" w:cs="Arial"/>
                <w:i/>
                <w:color w:val="000000"/>
                <w:sz w:val="20"/>
                <w:szCs w:val="20"/>
                <w:lang w:eastAsia="fr-FR"/>
              </w:rPr>
            </w:pPr>
            <w:r w:rsidRPr="00A9330B">
              <w:rPr>
                <w:rFonts w:eastAsia="Times New Roman" w:cs="Arial"/>
                <w:i/>
                <w:color w:val="000000"/>
                <w:sz w:val="20"/>
                <w:szCs w:val="20"/>
                <w:lang w:eastAsia="fr-FR"/>
              </w:rPr>
              <w:t xml:space="preserve">Carica papaya </w:t>
            </w:r>
          </w:p>
        </w:tc>
        <w:tc>
          <w:tcPr>
            <w:tcW w:w="3402" w:type="dxa"/>
            <w:noWrap/>
            <w:hideMark/>
          </w:tcPr>
          <w:p w14:paraId="6C7503E2" w14:textId="77777777" w:rsidR="00701C80" w:rsidRPr="00A9330B" w:rsidRDefault="00701C80" w:rsidP="000F4D1B">
            <w:pPr>
              <w:spacing w:before="60" w:line="240" w:lineRule="auto"/>
              <w:jc w:val="both"/>
              <w:rPr>
                <w:rFonts w:eastAsia="Times New Roman" w:cs="Arial"/>
                <w:color w:val="000000"/>
                <w:sz w:val="20"/>
                <w:szCs w:val="20"/>
                <w:lang w:eastAsia="fr-FR"/>
              </w:rPr>
            </w:pPr>
            <w:r w:rsidRPr="00A9330B">
              <w:rPr>
                <w:rFonts w:eastAsia="Times New Roman" w:cs="Arial"/>
                <w:color w:val="000000"/>
                <w:sz w:val="20"/>
                <w:szCs w:val="20"/>
                <w:lang w:eastAsia="fr-FR"/>
              </w:rPr>
              <w:t>Caricaceae</w:t>
            </w:r>
          </w:p>
        </w:tc>
        <w:tc>
          <w:tcPr>
            <w:tcW w:w="992" w:type="dxa"/>
            <w:noWrap/>
            <w:hideMark/>
          </w:tcPr>
          <w:p w14:paraId="6022D4DC" w14:textId="77777777" w:rsidR="00701C80" w:rsidRPr="00A9330B" w:rsidRDefault="00701C80" w:rsidP="000F4D1B">
            <w:pPr>
              <w:spacing w:before="60" w:line="240" w:lineRule="auto"/>
              <w:jc w:val="both"/>
              <w:rPr>
                <w:rFonts w:eastAsia="Times New Roman" w:cs="Arial"/>
                <w:color w:val="000000"/>
                <w:sz w:val="20"/>
                <w:szCs w:val="20"/>
                <w:lang w:eastAsia="fr-FR"/>
              </w:rPr>
            </w:pPr>
            <w:r w:rsidRPr="00A9330B">
              <w:rPr>
                <w:rFonts w:eastAsia="Times New Roman" w:cs="Arial"/>
                <w:color w:val="000000"/>
                <w:sz w:val="20"/>
                <w:szCs w:val="20"/>
                <w:lang w:eastAsia="fr-FR"/>
              </w:rPr>
              <w:t>DD</w:t>
            </w:r>
          </w:p>
        </w:tc>
      </w:tr>
      <w:tr w:rsidR="00701C80" w:rsidRPr="00A9330B" w14:paraId="72C5DFCB" w14:textId="77777777" w:rsidTr="00701C80">
        <w:trPr>
          <w:trHeight w:val="300"/>
        </w:trPr>
        <w:tc>
          <w:tcPr>
            <w:tcW w:w="1860" w:type="dxa"/>
            <w:vMerge/>
            <w:noWrap/>
            <w:hideMark/>
          </w:tcPr>
          <w:p w14:paraId="26806234" w14:textId="77777777" w:rsidR="00701C80" w:rsidRPr="00A9330B" w:rsidRDefault="00701C80" w:rsidP="000F4D1B">
            <w:pPr>
              <w:spacing w:before="60" w:line="240" w:lineRule="auto"/>
              <w:jc w:val="both"/>
              <w:rPr>
                <w:rFonts w:eastAsia="Times New Roman" w:cs="Arial"/>
                <w:color w:val="000000"/>
                <w:sz w:val="20"/>
                <w:szCs w:val="20"/>
                <w:lang w:eastAsia="fr-FR"/>
              </w:rPr>
            </w:pPr>
          </w:p>
        </w:tc>
        <w:tc>
          <w:tcPr>
            <w:tcW w:w="2813" w:type="dxa"/>
            <w:noWrap/>
            <w:hideMark/>
          </w:tcPr>
          <w:p w14:paraId="2644221C" w14:textId="77777777" w:rsidR="00701C80" w:rsidRPr="00A9330B" w:rsidRDefault="00701C80" w:rsidP="000F4D1B">
            <w:pPr>
              <w:spacing w:before="60" w:line="240" w:lineRule="auto"/>
              <w:jc w:val="both"/>
              <w:rPr>
                <w:rFonts w:eastAsia="Times New Roman" w:cs="Arial"/>
                <w:i/>
                <w:color w:val="000000"/>
                <w:sz w:val="20"/>
                <w:szCs w:val="20"/>
                <w:lang w:eastAsia="fr-FR"/>
              </w:rPr>
            </w:pPr>
            <w:r w:rsidRPr="00A9330B">
              <w:rPr>
                <w:rFonts w:eastAsia="Times New Roman" w:cs="Arial"/>
                <w:i/>
                <w:color w:val="000000"/>
                <w:sz w:val="20"/>
                <w:szCs w:val="20"/>
                <w:lang w:eastAsia="fr-FR"/>
              </w:rPr>
              <w:t>Psidium guajava</w:t>
            </w:r>
          </w:p>
        </w:tc>
        <w:tc>
          <w:tcPr>
            <w:tcW w:w="3402" w:type="dxa"/>
            <w:noWrap/>
            <w:hideMark/>
          </w:tcPr>
          <w:p w14:paraId="1EDD4F03" w14:textId="77777777" w:rsidR="00701C80" w:rsidRPr="00A9330B" w:rsidRDefault="00701C80" w:rsidP="000F4D1B">
            <w:pPr>
              <w:spacing w:before="60" w:line="240" w:lineRule="auto"/>
              <w:jc w:val="both"/>
              <w:rPr>
                <w:rFonts w:eastAsia="Times New Roman" w:cs="Arial"/>
                <w:color w:val="000000"/>
                <w:sz w:val="20"/>
                <w:szCs w:val="20"/>
                <w:lang w:eastAsia="fr-FR"/>
              </w:rPr>
            </w:pPr>
            <w:r w:rsidRPr="00A9330B">
              <w:rPr>
                <w:rFonts w:eastAsia="Times New Roman" w:cs="Arial"/>
                <w:color w:val="000000"/>
                <w:sz w:val="20"/>
                <w:szCs w:val="20"/>
                <w:lang w:eastAsia="fr-FR"/>
              </w:rPr>
              <w:t>Myrtaceae</w:t>
            </w:r>
          </w:p>
        </w:tc>
        <w:tc>
          <w:tcPr>
            <w:tcW w:w="992" w:type="dxa"/>
            <w:noWrap/>
            <w:hideMark/>
          </w:tcPr>
          <w:p w14:paraId="2B2CDA77" w14:textId="77777777" w:rsidR="00701C80" w:rsidRPr="00A9330B" w:rsidRDefault="00701C80" w:rsidP="000F4D1B">
            <w:pPr>
              <w:spacing w:before="60" w:line="240" w:lineRule="auto"/>
              <w:jc w:val="both"/>
              <w:rPr>
                <w:rFonts w:eastAsia="Times New Roman" w:cs="Arial"/>
                <w:color w:val="000000"/>
                <w:sz w:val="20"/>
                <w:szCs w:val="20"/>
                <w:lang w:eastAsia="fr-FR"/>
              </w:rPr>
            </w:pPr>
            <w:r w:rsidRPr="00A9330B">
              <w:rPr>
                <w:rFonts w:eastAsia="Times New Roman" w:cs="Arial"/>
                <w:color w:val="000000"/>
                <w:sz w:val="20"/>
                <w:szCs w:val="20"/>
                <w:lang w:eastAsia="fr-FR"/>
              </w:rPr>
              <w:t>LC</w:t>
            </w:r>
          </w:p>
        </w:tc>
      </w:tr>
    </w:tbl>
    <w:p w14:paraId="7169202C" w14:textId="65D56404" w:rsidR="00FB5FCD" w:rsidRPr="00A9330B" w:rsidRDefault="00701C80" w:rsidP="00FB5FCD">
      <w:pPr>
        <w:spacing w:after="240" w:line="240" w:lineRule="auto"/>
        <w:jc w:val="center"/>
        <w:rPr>
          <w:rFonts w:eastAsia="Calibri" w:cs="Arial"/>
          <w:b/>
          <w:color w:val="auto"/>
          <w:sz w:val="20"/>
          <w:szCs w:val="20"/>
          <w:lang w:eastAsia="fr-FR"/>
        </w:rPr>
      </w:pPr>
      <w:r w:rsidRPr="00A9330B">
        <w:rPr>
          <w:rFonts w:eastAsia="Calibri" w:cs="Arial"/>
          <w:b/>
          <w:color w:val="auto"/>
          <w:sz w:val="20"/>
          <w:szCs w:val="20"/>
          <w:lang w:eastAsia="fr-FR"/>
        </w:rPr>
        <w:t xml:space="preserve">Légende </w:t>
      </w:r>
      <w:r w:rsidR="00FB5FCD" w:rsidRPr="00A9330B">
        <w:rPr>
          <w:rFonts w:eastAsia="Calibri" w:cs="Arial"/>
          <w:b/>
          <w:color w:val="auto"/>
          <w:sz w:val="20"/>
          <w:szCs w:val="20"/>
          <w:lang w:eastAsia="fr-FR"/>
        </w:rPr>
        <w:tab/>
      </w:r>
      <w:r w:rsidR="00FB5FCD" w:rsidRPr="00A9330B">
        <w:rPr>
          <w:rFonts w:eastAsia="Calibri" w:cs="Arial"/>
          <w:b/>
          <w:color w:val="auto"/>
          <w:sz w:val="20"/>
          <w:szCs w:val="20"/>
          <w:lang w:eastAsia="fr-FR"/>
        </w:rPr>
        <w:tab/>
      </w:r>
      <w:r w:rsidR="00FB5FCD" w:rsidRPr="00A9330B">
        <w:rPr>
          <w:rFonts w:eastAsia="Calibri" w:cs="Arial"/>
          <w:b/>
          <w:color w:val="auto"/>
          <w:sz w:val="20"/>
          <w:szCs w:val="20"/>
          <w:lang w:eastAsia="fr-FR"/>
        </w:rPr>
        <w:tab/>
      </w:r>
      <w:r w:rsidR="00FB5FCD" w:rsidRPr="00A9330B">
        <w:rPr>
          <w:rFonts w:eastAsia="Calibri" w:cs="Arial"/>
          <w:b/>
          <w:color w:val="auto"/>
          <w:sz w:val="20"/>
          <w:szCs w:val="20"/>
          <w:lang w:eastAsia="fr-FR"/>
        </w:rPr>
        <w:tab/>
        <w:t>Source : Travaux de terrain, juin 2020</w:t>
      </w:r>
    </w:p>
    <w:p w14:paraId="7E1D85F0" w14:textId="77777777" w:rsidR="00701C80" w:rsidRPr="00A9330B" w:rsidRDefault="00701C80" w:rsidP="00701C80">
      <w:pPr>
        <w:spacing w:line="240" w:lineRule="auto"/>
        <w:jc w:val="both"/>
        <w:rPr>
          <w:rFonts w:eastAsia="Calibri" w:cs="Arial"/>
          <w:color w:val="auto"/>
          <w:sz w:val="20"/>
          <w:szCs w:val="20"/>
          <w:lang w:eastAsia="fr-FR"/>
        </w:rPr>
      </w:pPr>
      <w:r w:rsidRPr="00A9330B">
        <w:rPr>
          <w:rFonts w:eastAsia="Calibri" w:cs="Arial"/>
          <w:color w:val="auto"/>
          <w:sz w:val="20"/>
          <w:szCs w:val="20"/>
          <w:lang w:eastAsia="fr-FR"/>
        </w:rPr>
        <w:t xml:space="preserve">    LC: Préoccupation mineur</w:t>
      </w:r>
    </w:p>
    <w:p w14:paraId="4DA83D60" w14:textId="77777777" w:rsidR="00701C80" w:rsidRPr="00A9330B" w:rsidRDefault="00701C80" w:rsidP="00701C80">
      <w:pPr>
        <w:spacing w:line="240" w:lineRule="auto"/>
        <w:jc w:val="both"/>
        <w:rPr>
          <w:rFonts w:eastAsia="Calibri" w:cs="Arial"/>
          <w:color w:val="auto"/>
          <w:sz w:val="20"/>
          <w:szCs w:val="20"/>
          <w:lang w:eastAsia="fr-FR"/>
        </w:rPr>
      </w:pPr>
      <w:r w:rsidRPr="00A9330B">
        <w:rPr>
          <w:rFonts w:eastAsia="Calibri" w:cs="Arial"/>
          <w:color w:val="auto"/>
          <w:sz w:val="20"/>
          <w:szCs w:val="20"/>
          <w:lang w:eastAsia="fr-FR"/>
        </w:rPr>
        <w:t xml:space="preserve">    EN: En danger</w:t>
      </w:r>
    </w:p>
    <w:p w14:paraId="4A476903" w14:textId="77777777" w:rsidR="00701C80" w:rsidRPr="00A9330B" w:rsidRDefault="00701C80" w:rsidP="00701C80">
      <w:pPr>
        <w:spacing w:after="240" w:line="240" w:lineRule="auto"/>
        <w:jc w:val="both"/>
        <w:rPr>
          <w:rFonts w:eastAsia="Calibri" w:cs="Arial"/>
          <w:color w:val="auto"/>
          <w:sz w:val="20"/>
          <w:szCs w:val="20"/>
          <w:lang w:eastAsia="fr-FR"/>
        </w:rPr>
      </w:pPr>
      <w:r w:rsidRPr="00A9330B">
        <w:rPr>
          <w:rFonts w:eastAsia="Calibri" w:cs="Arial"/>
          <w:color w:val="auto"/>
          <w:sz w:val="20"/>
          <w:szCs w:val="20"/>
          <w:lang w:eastAsia="fr-FR"/>
        </w:rPr>
        <w:t xml:space="preserve">    VU: Vulnérable</w:t>
      </w:r>
    </w:p>
    <w:p w14:paraId="30946977" w14:textId="1E9D7361" w:rsidR="00701C80" w:rsidRPr="00A9330B" w:rsidRDefault="00701C80" w:rsidP="000F4D1B">
      <w:pPr>
        <w:pStyle w:val="NormalWeb"/>
        <w:jc w:val="both"/>
        <w:rPr>
          <w:rFonts w:eastAsia="Calibri"/>
        </w:rPr>
      </w:pPr>
      <w:r w:rsidRPr="00A9330B">
        <w:rPr>
          <w:rFonts w:eastAsia="Calibri"/>
        </w:rPr>
        <w:t>De l’analyse du tableau, il ressort du point de vue floristique que quarante-trois (43) espèces sont inféodées à l’emprise du collecteur ‘</w:t>
      </w:r>
      <w:r w:rsidRPr="00A9330B">
        <w:rPr>
          <w:color w:val="000000"/>
        </w:rPr>
        <w:t xml:space="preserve">CANAL B (rivière </w:t>
      </w:r>
      <w:r w:rsidR="00E2338D" w:rsidRPr="00A9330B">
        <w:rPr>
          <w:color w:val="000000"/>
        </w:rPr>
        <w:t>W</w:t>
      </w:r>
      <w:r w:rsidRPr="00A9330B">
        <w:rPr>
          <w:color w:val="000000"/>
        </w:rPr>
        <w:t>adata)’’</w:t>
      </w:r>
      <w:r w:rsidRPr="00A9330B">
        <w:rPr>
          <w:rFonts w:eastAsia="Calibri"/>
        </w:rPr>
        <w:t xml:space="preserve">, à ses affluents et </w:t>
      </w:r>
      <w:r w:rsidR="007553CA" w:rsidRPr="00A9330B">
        <w:rPr>
          <w:rFonts w:eastAsia="Calibri"/>
        </w:rPr>
        <w:t>aux environs</w:t>
      </w:r>
      <w:r w:rsidRPr="00A9330B">
        <w:rPr>
          <w:rFonts w:eastAsia="Calibri"/>
        </w:rPr>
        <w:t xml:space="preserve">. Il faut remarquer que l’emprise du collecteur renferme des espèces spontanées comme </w:t>
      </w:r>
      <w:r w:rsidRPr="00A9330B">
        <w:rPr>
          <w:rFonts w:eastAsia="Calibri"/>
          <w:i/>
        </w:rPr>
        <w:t xml:space="preserve">Daniellia oliveri, lsoberlinia tomentosa, Isoberlinia doka, Vitex doniana, </w:t>
      </w:r>
      <w:r w:rsidRPr="00A9330B">
        <w:rPr>
          <w:i/>
          <w:color w:val="000000"/>
        </w:rPr>
        <w:t>Vitellaria paradoxa</w:t>
      </w:r>
      <w:r w:rsidRPr="00A9330B">
        <w:rPr>
          <w:rFonts w:eastAsia="Calibri"/>
        </w:rPr>
        <w:t xml:space="preserve">. </w:t>
      </w:r>
      <w:r w:rsidRPr="00A9330B">
        <w:rPr>
          <w:color w:val="000000"/>
        </w:rPr>
        <w:t xml:space="preserve">La présence de ces espèces spontanées dans l’emprise du collecteur s’explique la </w:t>
      </w:r>
      <w:r w:rsidRPr="00A9330B">
        <w:rPr>
          <w:color w:val="000000"/>
        </w:rPr>
        <w:lastRenderedPageBreak/>
        <w:t xml:space="preserve">rivière </w:t>
      </w:r>
      <w:r w:rsidR="00E2338D" w:rsidRPr="00A9330B">
        <w:rPr>
          <w:color w:val="000000"/>
        </w:rPr>
        <w:t>W</w:t>
      </w:r>
      <w:r w:rsidRPr="00A9330B">
        <w:rPr>
          <w:color w:val="000000"/>
        </w:rPr>
        <w:t xml:space="preserve">adata. </w:t>
      </w:r>
      <w:r w:rsidRPr="00A9330B">
        <w:rPr>
          <w:rFonts w:eastAsia="Calibri"/>
        </w:rPr>
        <w:t xml:space="preserve">D’un point de vue recouvrement, </w:t>
      </w:r>
      <w:r w:rsidRPr="00A9330B">
        <w:rPr>
          <w:rFonts w:eastAsia="Calibri"/>
          <w:i/>
        </w:rPr>
        <w:t>Mangifera indica</w:t>
      </w:r>
      <w:r w:rsidRPr="00A9330B">
        <w:rPr>
          <w:rFonts w:eastAsia="Calibri"/>
        </w:rPr>
        <w:t xml:space="preserve"> à un taux de recouvrement élevé. </w:t>
      </w:r>
    </w:p>
    <w:p w14:paraId="0BFBF919" w14:textId="77777777" w:rsidR="00701C80" w:rsidRPr="00A9330B" w:rsidRDefault="000F4D1B" w:rsidP="0011523E">
      <w:pPr>
        <w:spacing w:line="240" w:lineRule="auto"/>
        <w:jc w:val="center"/>
        <w:rPr>
          <w:b/>
          <w:color w:val="000000"/>
          <w:sz w:val="20"/>
          <w:szCs w:val="20"/>
        </w:rPr>
      </w:pPr>
      <w:bookmarkStart w:id="780" w:name="_Toc52870066"/>
      <w:r w:rsidRPr="00A9330B">
        <w:rPr>
          <w:b/>
          <w:sz w:val="20"/>
          <w:szCs w:val="20"/>
        </w:rPr>
        <w:t xml:space="preserve">Planche  </w:t>
      </w:r>
      <w:r w:rsidR="00C24C74" w:rsidRPr="00A9330B">
        <w:rPr>
          <w:b/>
          <w:noProof/>
          <w:sz w:val="20"/>
          <w:szCs w:val="20"/>
        </w:rPr>
        <w:fldChar w:fldCharType="begin"/>
      </w:r>
      <w:r w:rsidR="00C24C74" w:rsidRPr="00A9330B">
        <w:rPr>
          <w:b/>
          <w:noProof/>
          <w:sz w:val="20"/>
          <w:szCs w:val="20"/>
        </w:rPr>
        <w:instrText xml:space="preserve"> SEQ Planche_ \* ARABIC </w:instrText>
      </w:r>
      <w:r w:rsidR="00C24C74" w:rsidRPr="00A9330B">
        <w:rPr>
          <w:b/>
          <w:noProof/>
          <w:sz w:val="20"/>
          <w:szCs w:val="20"/>
        </w:rPr>
        <w:fldChar w:fldCharType="separate"/>
      </w:r>
      <w:r w:rsidRPr="00A9330B">
        <w:rPr>
          <w:b/>
          <w:noProof/>
          <w:sz w:val="20"/>
          <w:szCs w:val="20"/>
        </w:rPr>
        <w:t>8</w:t>
      </w:r>
      <w:r w:rsidR="00C24C74" w:rsidRPr="00A9330B">
        <w:rPr>
          <w:b/>
          <w:noProof/>
          <w:sz w:val="20"/>
          <w:szCs w:val="20"/>
        </w:rPr>
        <w:fldChar w:fldCharType="end"/>
      </w:r>
      <w:r w:rsidRPr="00A9330B">
        <w:rPr>
          <w:b/>
          <w:sz w:val="20"/>
          <w:szCs w:val="20"/>
        </w:rPr>
        <w:t xml:space="preserve"> </w:t>
      </w:r>
      <w:r w:rsidR="00701C80" w:rsidRPr="00A9330B">
        <w:rPr>
          <w:rFonts w:eastAsia="Arial Narrow"/>
          <w:b/>
          <w:sz w:val="20"/>
          <w:szCs w:val="20"/>
        </w:rPr>
        <w:t>: Quelques espèces floristiques dans l’emprise de la rivière W</w:t>
      </w:r>
      <w:r w:rsidR="00701C80" w:rsidRPr="00A9330B">
        <w:rPr>
          <w:b/>
          <w:color w:val="000000"/>
          <w:sz w:val="20"/>
          <w:szCs w:val="20"/>
        </w:rPr>
        <w:t>adata</w:t>
      </w:r>
      <w:bookmarkEnd w:id="780"/>
    </w:p>
    <w:p w14:paraId="55F2B1FE" w14:textId="5AA343C6" w:rsidR="00512304" w:rsidRPr="00A9330B" w:rsidRDefault="00512304" w:rsidP="0011523E">
      <w:pPr>
        <w:spacing w:line="240" w:lineRule="auto"/>
        <w:jc w:val="center"/>
        <w:rPr>
          <w:rFonts w:eastAsia="Arial Narrow"/>
        </w:rPr>
      </w:pPr>
      <w:r w:rsidRPr="00A9330B">
        <w:rPr>
          <w:rFonts w:eastAsia="Calibri" w:cs="Arial"/>
          <w:noProof/>
          <w:color w:val="auto"/>
          <w:szCs w:val="24"/>
          <w:lang w:eastAsia="fr-FR"/>
        </w:rPr>
        <w:drawing>
          <wp:inline distT="0" distB="0" distL="0" distR="0" wp14:anchorId="446BEF5A" wp14:editId="0F953E13">
            <wp:extent cx="5760720" cy="2050914"/>
            <wp:effectExtent l="0" t="0" r="0" b="6985"/>
            <wp:docPr id="3141" name="Image 3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760720" cy="2050914"/>
                    </a:xfrm>
                    <a:prstGeom prst="rect">
                      <a:avLst/>
                    </a:prstGeom>
                    <a:noFill/>
                  </pic:spPr>
                </pic:pic>
              </a:graphicData>
            </a:graphic>
          </wp:inline>
        </w:drawing>
      </w:r>
    </w:p>
    <w:p w14:paraId="5C8FFE56" w14:textId="6DA8CA34" w:rsidR="00701C80" w:rsidRDefault="00701C80" w:rsidP="007553CA">
      <w:pPr>
        <w:spacing w:line="240" w:lineRule="auto"/>
        <w:ind w:left="708" w:firstLine="708"/>
        <w:rPr>
          <w:rFonts w:eastAsia="Arial Narrow" w:cs="Arial"/>
          <w:b/>
          <w:iCs/>
          <w:color w:val="auto"/>
          <w:sz w:val="20"/>
          <w:szCs w:val="20"/>
          <w:lang w:eastAsia="fr-FR"/>
        </w:rPr>
      </w:pPr>
      <w:r w:rsidRPr="00A9330B">
        <w:rPr>
          <w:rFonts w:eastAsia="Arial Narrow" w:cs="Arial"/>
          <w:b/>
          <w:iCs/>
          <w:color w:val="auto"/>
          <w:sz w:val="20"/>
          <w:szCs w:val="20"/>
          <w:lang w:eastAsia="fr-FR"/>
        </w:rPr>
        <w:t xml:space="preserve">Prise de vue : </w:t>
      </w:r>
      <w:r w:rsidR="000F4D1B" w:rsidRPr="00A9330B">
        <w:rPr>
          <w:rFonts w:eastAsia="Arial Narrow" w:cs="Arial"/>
          <w:b/>
          <w:iCs/>
          <w:color w:val="auto"/>
          <w:sz w:val="20"/>
          <w:szCs w:val="20"/>
          <w:lang w:eastAsia="fr-FR"/>
        </w:rPr>
        <w:t>Enquêtes terrain</w:t>
      </w:r>
      <w:r w:rsidRPr="00A9330B">
        <w:rPr>
          <w:rFonts w:eastAsia="Arial Narrow" w:cs="Arial"/>
          <w:b/>
          <w:iCs/>
          <w:color w:val="auto"/>
          <w:sz w:val="20"/>
          <w:szCs w:val="20"/>
          <w:lang w:eastAsia="fr-FR"/>
        </w:rPr>
        <w:t>, juin 2020</w:t>
      </w:r>
    </w:p>
    <w:p w14:paraId="71BB9BF7" w14:textId="52016A42" w:rsidR="00803148" w:rsidRPr="00A9330B" w:rsidRDefault="00803148" w:rsidP="00803148">
      <w:pPr>
        <w:pStyle w:val="Titre40"/>
      </w:pPr>
      <w:r w:rsidRPr="00A9330B">
        <w:t>3.2.2.</w:t>
      </w:r>
      <w:r>
        <w:t>3</w:t>
      </w:r>
      <w:r w:rsidRPr="00A9330B">
        <w:t xml:space="preserve">. </w:t>
      </w:r>
      <w:r>
        <w:t xml:space="preserve">Les exutoires des rues et collecteurs en projet  </w:t>
      </w:r>
    </w:p>
    <w:p w14:paraId="0526191C" w14:textId="77777777" w:rsidR="00803148" w:rsidRPr="00803148" w:rsidRDefault="00803148" w:rsidP="00803148">
      <w:pPr>
        <w:spacing w:line="312" w:lineRule="auto"/>
        <w:jc w:val="both"/>
        <w:rPr>
          <w:rFonts w:eastAsia="Arial" w:cs="Arial"/>
          <w:color w:val="000000"/>
          <w:lang w:eastAsia="fr-FR"/>
        </w:rPr>
      </w:pPr>
      <w:r w:rsidRPr="00803148">
        <w:rPr>
          <w:rFonts w:eastAsia="Arial" w:cs="Arial"/>
          <w:color w:val="000000"/>
          <w:lang w:eastAsia="fr-FR"/>
        </w:rPr>
        <w:t>Compte tenu de son relief, la ville est organisée autour de la RNIE 3 qui la traverse longitudinalement. L’extension des agglomérations ne peut se faire que parallèlement à la RNIE 3. Les différentes rues et collecteurs en projet sont réparties suivant cette configuration un peu spéciale de la ville. Les rues qui sont plus ou moins parallèles à la RNIE 3 présentent des déclivités plus ou moins acceptables ou faibles par endroits. Par contre celles qui sont plus ou moins perpendiculaires à la RNIE 3 offrent des pentes plus fortes surtout vers le Pk final de ces rues qui coïncident très souvent avec le flanc de la montagne. Ces rues constituent des rues exutoires qui conduisent les eaux de ruissellement vers les différents exutoires de la ville.</w:t>
      </w:r>
    </w:p>
    <w:p w14:paraId="468E2DFE" w14:textId="77777777" w:rsidR="00803148" w:rsidRPr="00803148" w:rsidRDefault="00803148" w:rsidP="00803148">
      <w:pPr>
        <w:spacing w:line="312" w:lineRule="auto"/>
        <w:jc w:val="both"/>
        <w:rPr>
          <w:rFonts w:eastAsia="Arial" w:cs="Arial"/>
          <w:color w:val="000000"/>
          <w:lang w:eastAsia="fr-FR"/>
        </w:rPr>
      </w:pPr>
      <w:r w:rsidRPr="00803148">
        <w:rPr>
          <w:rFonts w:eastAsia="Arial" w:cs="Arial"/>
          <w:color w:val="000000"/>
          <w:lang w:eastAsia="fr-FR"/>
        </w:rPr>
        <w:t xml:space="preserve">Les rues en projet sont bordées d’espaces clairsemés pour la plupart. Les constructions réalisées sont sans clôture et mal alignées sur les domaines. </w:t>
      </w:r>
    </w:p>
    <w:p w14:paraId="5787389F" w14:textId="77777777" w:rsidR="00803148" w:rsidRPr="00803148" w:rsidRDefault="00803148" w:rsidP="00803148">
      <w:pPr>
        <w:spacing w:line="312" w:lineRule="auto"/>
        <w:jc w:val="both"/>
        <w:rPr>
          <w:rFonts w:eastAsia="Arial" w:cs="Arial"/>
          <w:color w:val="000000"/>
          <w:lang w:eastAsia="fr-FR"/>
        </w:rPr>
      </w:pPr>
      <w:r w:rsidRPr="00803148">
        <w:rPr>
          <w:rFonts w:eastAsia="Arial" w:cs="Arial"/>
          <w:color w:val="000000"/>
          <w:lang w:eastAsia="fr-FR"/>
        </w:rPr>
        <w:t>Les voies d’eau sont facilement identifiables sur le terrain. La ville de Natitingou est traversée par deux rivières à savoir :</w:t>
      </w:r>
    </w:p>
    <w:p w14:paraId="7994134F" w14:textId="77777777" w:rsidR="00803148" w:rsidRPr="00803148" w:rsidRDefault="00803148" w:rsidP="00803148">
      <w:pPr>
        <w:numPr>
          <w:ilvl w:val="0"/>
          <w:numId w:val="141"/>
        </w:numPr>
        <w:spacing w:before="0" w:after="160" w:line="312" w:lineRule="auto"/>
        <w:ind w:left="720"/>
        <w:jc w:val="both"/>
        <w:rPr>
          <w:rFonts w:eastAsia="Arial" w:cs="Arial"/>
          <w:color w:val="000000"/>
          <w:lang w:eastAsia="fr-FR"/>
        </w:rPr>
      </w:pPr>
      <w:r w:rsidRPr="00803148">
        <w:rPr>
          <w:rFonts w:eastAsia="Arial" w:cs="Arial"/>
          <w:color w:val="000000"/>
          <w:lang w:eastAsia="fr-FR"/>
        </w:rPr>
        <w:t>A l’ouest la rivière funrigninkèrè qui la plus visible est qui recueille plus de 70 % des eaux de la ville,</w:t>
      </w:r>
    </w:p>
    <w:p w14:paraId="40B5BEF3" w14:textId="69F29E60" w:rsidR="00803148" w:rsidRPr="00803148" w:rsidRDefault="00803148" w:rsidP="00803148">
      <w:pPr>
        <w:numPr>
          <w:ilvl w:val="0"/>
          <w:numId w:val="141"/>
        </w:numPr>
        <w:spacing w:before="0" w:after="160" w:line="312" w:lineRule="auto"/>
        <w:ind w:left="720"/>
        <w:jc w:val="both"/>
        <w:rPr>
          <w:rFonts w:eastAsia="Arial" w:cs="Arial"/>
          <w:color w:val="000000"/>
          <w:lang w:eastAsia="fr-FR"/>
        </w:rPr>
      </w:pPr>
      <w:r w:rsidRPr="00803148">
        <w:rPr>
          <w:rFonts w:eastAsia="Arial" w:cs="Arial"/>
          <w:color w:val="000000"/>
          <w:lang w:eastAsia="fr-FR"/>
        </w:rPr>
        <w:t xml:space="preserve">A l’est, la rivière </w:t>
      </w:r>
      <w:r>
        <w:rPr>
          <w:rFonts w:eastAsia="Arial" w:cs="Arial"/>
          <w:color w:val="000000"/>
          <w:lang w:eastAsia="fr-FR"/>
        </w:rPr>
        <w:t>Wa</w:t>
      </w:r>
      <w:r w:rsidRPr="00803148">
        <w:rPr>
          <w:rFonts w:eastAsia="Arial" w:cs="Arial"/>
          <w:color w:val="000000"/>
          <w:lang w:eastAsia="fr-FR"/>
        </w:rPr>
        <w:t>adata qui débouch</w:t>
      </w:r>
      <w:r>
        <w:rPr>
          <w:rFonts w:eastAsia="Arial" w:cs="Arial"/>
          <w:color w:val="000000"/>
          <w:lang w:eastAsia="fr-FR"/>
        </w:rPr>
        <w:t>e à la sortie dans la rivière Y</w:t>
      </w:r>
      <w:r w:rsidRPr="00803148">
        <w:rPr>
          <w:rFonts w:eastAsia="Arial" w:cs="Arial"/>
          <w:color w:val="000000"/>
          <w:lang w:eastAsia="fr-FR"/>
        </w:rPr>
        <w:t>arpao.</w:t>
      </w:r>
    </w:p>
    <w:p w14:paraId="176B56DB" w14:textId="46D8B5E9" w:rsidR="00803148" w:rsidRPr="00803148" w:rsidRDefault="00803148" w:rsidP="00803148">
      <w:pPr>
        <w:spacing w:line="312" w:lineRule="auto"/>
        <w:jc w:val="both"/>
        <w:rPr>
          <w:rFonts w:eastAsia="Arial" w:cs="Arial"/>
          <w:color w:val="000000"/>
          <w:lang w:eastAsia="fr-FR"/>
        </w:rPr>
      </w:pPr>
      <w:r w:rsidRPr="00803148">
        <w:rPr>
          <w:rFonts w:eastAsia="Arial" w:cs="Arial"/>
          <w:color w:val="000000"/>
          <w:lang w:eastAsia="fr-FR"/>
        </w:rPr>
        <w:t xml:space="preserve">Les canaux secondaires en terre drainent les eaux pluviales vers ces deux exutoires. Ces canaux secondaires sont pour la plupart en de très mauvais état.  </w:t>
      </w:r>
      <w:r>
        <w:rPr>
          <w:rFonts w:eastAsia="Arial" w:cs="Arial"/>
          <w:color w:val="000000"/>
          <w:lang w:eastAsia="fr-FR"/>
        </w:rPr>
        <w:t>L</w:t>
      </w:r>
      <w:r w:rsidRPr="00803148">
        <w:rPr>
          <w:rFonts w:eastAsia="Arial" w:cs="Arial"/>
          <w:color w:val="000000"/>
          <w:lang w:eastAsia="fr-FR"/>
        </w:rPr>
        <w:t xml:space="preserve">a ville de Natitingou souffre </w:t>
      </w:r>
      <w:r>
        <w:rPr>
          <w:rFonts w:eastAsia="Arial" w:cs="Arial"/>
          <w:color w:val="000000"/>
          <w:lang w:eastAsia="fr-FR"/>
        </w:rPr>
        <w:t xml:space="preserve">donc </w:t>
      </w:r>
      <w:r w:rsidRPr="00803148">
        <w:rPr>
          <w:rFonts w:eastAsia="Arial" w:cs="Arial"/>
          <w:color w:val="000000"/>
          <w:lang w:eastAsia="fr-FR"/>
        </w:rPr>
        <w:t>d’un déficit criard d’ouvrages de drainage.</w:t>
      </w:r>
    </w:p>
    <w:p w14:paraId="0BEE35D8" w14:textId="77777777" w:rsidR="00803148" w:rsidRPr="00803148" w:rsidRDefault="00803148" w:rsidP="00803148">
      <w:pPr>
        <w:spacing w:line="312" w:lineRule="auto"/>
        <w:jc w:val="both"/>
        <w:rPr>
          <w:rFonts w:eastAsia="Times New Roman" w:cs="Arial"/>
          <w:bCs/>
          <w:iCs/>
          <w:color w:val="auto"/>
          <w:lang w:eastAsia="fr-FR"/>
        </w:rPr>
      </w:pPr>
      <w:r w:rsidRPr="00803148">
        <w:rPr>
          <w:rFonts w:eastAsia="Times New Roman" w:cs="Arial"/>
          <w:bCs/>
          <w:iCs/>
          <w:color w:val="auto"/>
          <w:lang w:eastAsia="fr-FR"/>
        </w:rPr>
        <w:t>Les conditions aux exutoires sont souvent très critiques à cause du phénomène d’érosion dû à la forte pente du relief et aussi de leur engorgement très poussé par les dépôts de sédiments, de grosses pierres, des troncs d’arbres et de la végétation.</w:t>
      </w:r>
    </w:p>
    <w:p w14:paraId="4C9460A8" w14:textId="77777777" w:rsidR="00803148" w:rsidRPr="00803148" w:rsidRDefault="00803148" w:rsidP="00803148">
      <w:pPr>
        <w:spacing w:line="312" w:lineRule="auto"/>
        <w:jc w:val="both"/>
        <w:rPr>
          <w:rFonts w:eastAsia="Arial" w:cs="Arial"/>
          <w:color w:val="000000"/>
          <w:lang w:eastAsia="fr-FR"/>
        </w:rPr>
      </w:pPr>
    </w:p>
    <w:p w14:paraId="734CE7EB" w14:textId="77777777" w:rsidR="00803148" w:rsidRPr="00803148" w:rsidRDefault="00803148" w:rsidP="00803148">
      <w:pPr>
        <w:keepNext/>
        <w:spacing w:line="312" w:lineRule="auto"/>
        <w:jc w:val="both"/>
        <w:rPr>
          <w:rFonts w:eastAsia="Times New Roman" w:cs="Arial"/>
          <w:color w:val="auto"/>
          <w:lang w:eastAsia="fr-FR"/>
        </w:rPr>
      </w:pPr>
      <w:r w:rsidRPr="00803148">
        <w:rPr>
          <w:rFonts w:eastAsia="Times New Roman" w:cs="Arial"/>
          <w:bCs/>
          <w:iCs/>
          <w:noProof/>
          <w:color w:val="auto"/>
          <w:lang w:eastAsia="fr-FR"/>
        </w:rPr>
        <w:lastRenderedPageBreak/>
        <w:drawing>
          <wp:inline distT="0" distB="0" distL="0" distR="0" wp14:anchorId="10F8AFA9" wp14:editId="317D67F0">
            <wp:extent cx="5545776" cy="3127114"/>
            <wp:effectExtent l="0" t="0" r="0" b="0"/>
            <wp:docPr id="17" name="Image 17" descr="C:\Users\galladassi\Desktop\MDCVDD - ASPHALTAGE\ETUDES HYDROLOGIQUES\NATITINGOU\RECENSEMENT OUVRAGE RUES NATITINGOU\RUE B30\RUE B30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galladassi\Desktop\MDCVDD - ASPHALTAGE\ETUDES HYDROLOGIQUES\NATITINGOU\RECENSEMENT OUVRAGE RUES NATITINGOU\RUE B30\RUE B30 (4).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549410" cy="3129163"/>
                    </a:xfrm>
                    <a:prstGeom prst="rect">
                      <a:avLst/>
                    </a:prstGeom>
                    <a:noFill/>
                    <a:ln>
                      <a:noFill/>
                    </a:ln>
                  </pic:spPr>
                </pic:pic>
              </a:graphicData>
            </a:graphic>
          </wp:inline>
        </w:drawing>
      </w:r>
    </w:p>
    <w:p w14:paraId="686A08DF" w14:textId="5E567C0A" w:rsidR="00803148" w:rsidRPr="00803148" w:rsidRDefault="00803148" w:rsidP="00803148">
      <w:pPr>
        <w:keepNext/>
        <w:spacing w:line="312" w:lineRule="auto"/>
        <w:rPr>
          <w:rFonts w:eastAsia="Times New Roman" w:cs="Arial"/>
          <w:b/>
          <w:bCs/>
          <w:color w:val="auto"/>
          <w:lang w:eastAsia="fr-FR"/>
        </w:rPr>
      </w:pPr>
      <w:bookmarkStart w:id="781" w:name="_Toc499712661"/>
      <w:r w:rsidRPr="00803148">
        <w:rPr>
          <w:rFonts w:eastAsia="Times New Roman" w:cs="Arial"/>
          <w:b/>
          <w:bCs/>
          <w:color w:val="auto"/>
          <w:lang w:eastAsia="fr-FR"/>
        </w:rPr>
        <w:t xml:space="preserve">Photo </w:t>
      </w:r>
      <w:r w:rsidRPr="00803148">
        <w:rPr>
          <w:rFonts w:eastAsia="Times New Roman" w:cs="Arial"/>
          <w:b/>
          <w:bCs/>
          <w:color w:val="auto"/>
          <w:lang w:eastAsia="fr-FR"/>
        </w:rPr>
        <w:fldChar w:fldCharType="begin"/>
      </w:r>
      <w:r w:rsidRPr="00803148">
        <w:rPr>
          <w:rFonts w:eastAsia="Times New Roman" w:cs="Arial"/>
          <w:b/>
          <w:bCs/>
          <w:color w:val="auto"/>
          <w:lang w:eastAsia="fr-FR"/>
        </w:rPr>
        <w:instrText xml:space="preserve"> SEQ photo \* ARABIC </w:instrText>
      </w:r>
      <w:r w:rsidRPr="00803148">
        <w:rPr>
          <w:rFonts w:eastAsia="Times New Roman" w:cs="Arial"/>
          <w:b/>
          <w:bCs/>
          <w:color w:val="auto"/>
          <w:lang w:eastAsia="fr-FR"/>
        </w:rPr>
        <w:fldChar w:fldCharType="separate"/>
      </w:r>
      <w:r>
        <w:rPr>
          <w:rFonts w:eastAsia="Times New Roman" w:cs="Arial"/>
          <w:b/>
          <w:bCs/>
          <w:noProof/>
          <w:color w:val="auto"/>
          <w:lang w:eastAsia="fr-FR"/>
        </w:rPr>
        <w:t>4</w:t>
      </w:r>
      <w:r w:rsidRPr="00803148">
        <w:rPr>
          <w:rFonts w:eastAsia="Times New Roman" w:cs="Arial"/>
          <w:b/>
          <w:bCs/>
          <w:color w:val="auto"/>
          <w:lang w:eastAsia="fr-FR"/>
        </w:rPr>
        <w:fldChar w:fldCharType="end"/>
      </w:r>
      <w:r w:rsidRPr="00803148">
        <w:rPr>
          <w:rFonts w:eastAsia="Times New Roman" w:cs="Arial"/>
          <w:b/>
          <w:bCs/>
          <w:color w:val="auto"/>
          <w:lang w:eastAsia="fr-FR"/>
        </w:rPr>
        <w:t>: Ouvrage sur la rivière Wandata sur la rue B30 2D250x400</w:t>
      </w:r>
      <w:bookmarkEnd w:id="781"/>
    </w:p>
    <w:p w14:paraId="170558CC" w14:textId="77777777" w:rsidR="00803148" w:rsidRPr="00803148" w:rsidRDefault="00803148" w:rsidP="00803148">
      <w:pPr>
        <w:keepNext/>
        <w:spacing w:line="312" w:lineRule="auto"/>
        <w:jc w:val="both"/>
        <w:rPr>
          <w:rFonts w:eastAsia="Times New Roman" w:cs="Arial"/>
          <w:color w:val="auto"/>
          <w:lang w:eastAsia="fr-FR"/>
        </w:rPr>
      </w:pPr>
      <w:r w:rsidRPr="00803148">
        <w:rPr>
          <w:rFonts w:eastAsia="Times New Roman" w:cs="Arial"/>
          <w:bCs/>
          <w:iCs/>
          <w:noProof/>
          <w:color w:val="auto"/>
          <w:lang w:eastAsia="fr-FR"/>
        </w:rPr>
        <w:drawing>
          <wp:inline distT="0" distB="0" distL="0" distR="0" wp14:anchorId="1914E02C" wp14:editId="66A23E82">
            <wp:extent cx="5540243" cy="3123994"/>
            <wp:effectExtent l="0" t="0" r="3810" b="635"/>
            <wp:docPr id="18" name="Image 18" descr="C:\Users\galladassi\Desktop\MDCVDD - ASPHALTAGE\ETUDES HYDROLOGIQUES\NATITINGOU\RECENSEMENT OUVRAGE RUES NATITINGOU\RUE A28\RUE 27 GRAND DALOT 3 AV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galladassi\Desktop\MDCVDD - ASPHALTAGE\ETUDES HYDROLOGIQUES\NATITINGOU\RECENSEMENT OUVRAGE RUES NATITINGOU\RUE A28\RUE 27 GRAND DALOT 3 AVAL.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544074" cy="3126154"/>
                    </a:xfrm>
                    <a:prstGeom prst="rect">
                      <a:avLst/>
                    </a:prstGeom>
                    <a:noFill/>
                    <a:ln>
                      <a:noFill/>
                    </a:ln>
                  </pic:spPr>
                </pic:pic>
              </a:graphicData>
            </a:graphic>
          </wp:inline>
        </w:drawing>
      </w:r>
    </w:p>
    <w:p w14:paraId="432C4AEC" w14:textId="2E9FF04B" w:rsidR="00803148" w:rsidRPr="00803148" w:rsidRDefault="00803148" w:rsidP="00803148">
      <w:pPr>
        <w:keepNext/>
        <w:spacing w:line="312" w:lineRule="auto"/>
        <w:rPr>
          <w:rFonts w:eastAsia="Times New Roman" w:cs="Arial"/>
          <w:b/>
          <w:iCs/>
          <w:color w:val="auto"/>
          <w:lang w:eastAsia="fr-FR"/>
        </w:rPr>
      </w:pPr>
      <w:bookmarkStart w:id="782" w:name="_Toc499712662"/>
      <w:r w:rsidRPr="00803148">
        <w:rPr>
          <w:rFonts w:eastAsia="Times New Roman" w:cs="Arial"/>
          <w:b/>
          <w:bCs/>
          <w:color w:val="auto"/>
          <w:lang w:eastAsia="fr-FR"/>
        </w:rPr>
        <w:t xml:space="preserve">Photo </w:t>
      </w:r>
      <w:r w:rsidRPr="00803148">
        <w:rPr>
          <w:rFonts w:eastAsia="Times New Roman" w:cs="Arial"/>
          <w:b/>
          <w:bCs/>
          <w:color w:val="auto"/>
          <w:lang w:eastAsia="fr-FR"/>
        </w:rPr>
        <w:fldChar w:fldCharType="begin"/>
      </w:r>
      <w:r w:rsidRPr="00803148">
        <w:rPr>
          <w:rFonts w:eastAsia="Times New Roman" w:cs="Arial"/>
          <w:b/>
          <w:bCs/>
          <w:color w:val="auto"/>
          <w:lang w:eastAsia="fr-FR"/>
        </w:rPr>
        <w:instrText xml:space="preserve"> SEQ Photo \* ARABIC </w:instrText>
      </w:r>
      <w:r w:rsidRPr="00803148">
        <w:rPr>
          <w:rFonts w:eastAsia="Times New Roman" w:cs="Arial"/>
          <w:b/>
          <w:bCs/>
          <w:color w:val="auto"/>
          <w:lang w:eastAsia="fr-FR"/>
        </w:rPr>
        <w:fldChar w:fldCharType="separate"/>
      </w:r>
      <w:r>
        <w:rPr>
          <w:rFonts w:eastAsia="Times New Roman" w:cs="Arial"/>
          <w:b/>
          <w:bCs/>
          <w:noProof/>
          <w:color w:val="auto"/>
          <w:lang w:eastAsia="fr-FR"/>
        </w:rPr>
        <w:t>5</w:t>
      </w:r>
      <w:r w:rsidRPr="00803148">
        <w:rPr>
          <w:rFonts w:eastAsia="Times New Roman" w:cs="Arial"/>
          <w:b/>
          <w:bCs/>
          <w:color w:val="auto"/>
          <w:lang w:eastAsia="fr-FR"/>
        </w:rPr>
        <w:fldChar w:fldCharType="end"/>
      </w:r>
      <w:r w:rsidRPr="00803148">
        <w:rPr>
          <w:rFonts w:eastAsia="Times New Roman" w:cs="Arial"/>
          <w:b/>
          <w:bCs/>
          <w:color w:val="auto"/>
          <w:lang w:eastAsia="fr-FR"/>
        </w:rPr>
        <w:t>: Ouvrage sur la rivière fourigninkèrè sur la rue A28 3D300x350</w:t>
      </w:r>
      <w:bookmarkEnd w:id="782"/>
    </w:p>
    <w:p w14:paraId="15431E26" w14:textId="77777777" w:rsidR="00803148" w:rsidRPr="00803148" w:rsidRDefault="00803148" w:rsidP="00803148">
      <w:pPr>
        <w:spacing w:line="312" w:lineRule="auto"/>
        <w:jc w:val="both"/>
        <w:rPr>
          <w:rFonts w:eastAsia="Times New Roman" w:cs="Arial"/>
          <w:bCs/>
          <w:iCs/>
          <w:color w:val="auto"/>
          <w:lang w:eastAsia="fr-FR"/>
        </w:rPr>
      </w:pPr>
    </w:p>
    <w:p w14:paraId="4AE8462F" w14:textId="77777777" w:rsidR="00803148" w:rsidRPr="00803148" w:rsidRDefault="00803148" w:rsidP="00803148">
      <w:pPr>
        <w:keepNext/>
        <w:spacing w:line="312" w:lineRule="auto"/>
        <w:jc w:val="both"/>
        <w:rPr>
          <w:rFonts w:eastAsia="Times New Roman" w:cs="Arial"/>
          <w:color w:val="auto"/>
          <w:lang w:eastAsia="fr-FR"/>
        </w:rPr>
      </w:pPr>
      <w:r w:rsidRPr="00803148">
        <w:rPr>
          <w:rFonts w:eastAsia="Times New Roman" w:cs="Arial"/>
          <w:bCs/>
          <w:iCs/>
          <w:noProof/>
          <w:color w:val="auto"/>
          <w:lang w:eastAsia="fr-FR"/>
        </w:rPr>
        <w:lastRenderedPageBreak/>
        <w:drawing>
          <wp:inline distT="0" distB="0" distL="0" distR="0" wp14:anchorId="09235E40" wp14:editId="5FB24C2F">
            <wp:extent cx="5438898" cy="3060135"/>
            <wp:effectExtent l="0" t="0" r="0" b="6985"/>
            <wp:docPr id="19" name="Image 19" descr="C:\Users\galladassi\Desktop\MDCVDD - ASPHALTAGE\ETUDES HYDROLOGIQUES\NATITINGOU\IMG_20170909_093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galladassi\Desktop\MDCVDD - ASPHALTAGE\ETUDES HYDROLOGIQUES\NATITINGOU\IMG_20170909_093055.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440126" cy="3060826"/>
                    </a:xfrm>
                    <a:prstGeom prst="rect">
                      <a:avLst/>
                    </a:prstGeom>
                    <a:noFill/>
                    <a:ln>
                      <a:noFill/>
                    </a:ln>
                  </pic:spPr>
                </pic:pic>
              </a:graphicData>
            </a:graphic>
          </wp:inline>
        </w:drawing>
      </w:r>
    </w:p>
    <w:p w14:paraId="4BD9639F" w14:textId="2D35B3A7" w:rsidR="00803148" w:rsidRPr="00803148" w:rsidRDefault="00803148" w:rsidP="00803148">
      <w:pPr>
        <w:keepNext/>
        <w:spacing w:line="312" w:lineRule="auto"/>
        <w:rPr>
          <w:rFonts w:eastAsia="Times New Roman" w:cs="Arial"/>
          <w:b/>
          <w:iCs/>
          <w:color w:val="auto"/>
          <w:lang w:eastAsia="fr-FR"/>
        </w:rPr>
      </w:pPr>
      <w:bookmarkStart w:id="783" w:name="_Toc499712663"/>
      <w:r w:rsidRPr="00803148">
        <w:rPr>
          <w:rFonts w:eastAsia="Times New Roman" w:cs="Arial"/>
          <w:b/>
          <w:bCs/>
          <w:color w:val="auto"/>
          <w:lang w:eastAsia="fr-FR"/>
        </w:rPr>
        <w:t xml:space="preserve">Photo </w:t>
      </w:r>
      <w:r w:rsidRPr="00803148">
        <w:rPr>
          <w:rFonts w:eastAsia="Times New Roman" w:cs="Arial"/>
          <w:b/>
          <w:bCs/>
          <w:color w:val="auto"/>
          <w:lang w:eastAsia="fr-FR"/>
        </w:rPr>
        <w:fldChar w:fldCharType="begin"/>
      </w:r>
      <w:r w:rsidRPr="00803148">
        <w:rPr>
          <w:rFonts w:eastAsia="Times New Roman" w:cs="Arial"/>
          <w:b/>
          <w:bCs/>
          <w:color w:val="auto"/>
          <w:lang w:eastAsia="fr-FR"/>
        </w:rPr>
        <w:instrText xml:space="preserve"> SEQ Photo \* ARABIC </w:instrText>
      </w:r>
      <w:r w:rsidRPr="00803148">
        <w:rPr>
          <w:rFonts w:eastAsia="Times New Roman" w:cs="Arial"/>
          <w:b/>
          <w:bCs/>
          <w:color w:val="auto"/>
          <w:lang w:eastAsia="fr-FR"/>
        </w:rPr>
        <w:fldChar w:fldCharType="separate"/>
      </w:r>
      <w:r>
        <w:rPr>
          <w:rFonts w:eastAsia="Times New Roman" w:cs="Arial"/>
          <w:b/>
          <w:bCs/>
          <w:noProof/>
          <w:color w:val="auto"/>
          <w:lang w:eastAsia="fr-FR"/>
        </w:rPr>
        <w:t>6</w:t>
      </w:r>
      <w:r w:rsidRPr="00803148">
        <w:rPr>
          <w:rFonts w:eastAsia="Times New Roman" w:cs="Arial"/>
          <w:b/>
          <w:bCs/>
          <w:color w:val="auto"/>
          <w:lang w:eastAsia="fr-FR"/>
        </w:rPr>
        <w:fldChar w:fldCharType="end"/>
      </w:r>
      <w:r w:rsidRPr="00803148">
        <w:rPr>
          <w:rFonts w:eastAsia="Times New Roman" w:cs="Arial"/>
          <w:b/>
          <w:bCs/>
          <w:color w:val="auto"/>
          <w:lang w:eastAsia="fr-FR"/>
        </w:rPr>
        <w:t>: Ouverture dans la clôture pour l'éboulement naturel des eaux</w:t>
      </w:r>
      <w:bookmarkEnd w:id="783"/>
    </w:p>
    <w:p w14:paraId="5399A638" w14:textId="77777777" w:rsidR="00803148" w:rsidRPr="00803148" w:rsidRDefault="00803148" w:rsidP="00803148">
      <w:pPr>
        <w:keepNext/>
        <w:spacing w:line="312" w:lineRule="auto"/>
        <w:jc w:val="both"/>
        <w:rPr>
          <w:rFonts w:eastAsia="Times New Roman" w:cs="Arial"/>
          <w:color w:val="auto"/>
          <w:lang w:eastAsia="fr-FR"/>
        </w:rPr>
      </w:pPr>
      <w:r w:rsidRPr="00803148">
        <w:rPr>
          <w:rFonts w:eastAsia="Times New Roman" w:cs="Arial"/>
          <w:bCs/>
          <w:iCs/>
          <w:noProof/>
          <w:color w:val="auto"/>
          <w:lang w:eastAsia="fr-FR"/>
        </w:rPr>
        <w:drawing>
          <wp:inline distT="0" distB="0" distL="0" distR="0" wp14:anchorId="2BE9E6EF" wp14:editId="39A1AC3A">
            <wp:extent cx="5409732" cy="3107129"/>
            <wp:effectExtent l="0" t="0" r="635" b="0"/>
            <wp:docPr id="22" name="Image 22" descr="C:\Users\galladassi\Desktop\MDCVDD - ASPHALTAGE\ETUDES HYDROLOGIQUES\NATITINGOU\IMG_20170909_1008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galladassi\Desktop\MDCVDD - ASPHALTAGE\ETUDES HYDROLOGIQUES\NATITINGOU\IMG_20170909_100810.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438093" cy="3123418"/>
                    </a:xfrm>
                    <a:prstGeom prst="rect">
                      <a:avLst/>
                    </a:prstGeom>
                    <a:noFill/>
                    <a:ln>
                      <a:noFill/>
                    </a:ln>
                  </pic:spPr>
                </pic:pic>
              </a:graphicData>
            </a:graphic>
          </wp:inline>
        </w:drawing>
      </w:r>
    </w:p>
    <w:p w14:paraId="488A8763" w14:textId="3B0115E4" w:rsidR="00803148" w:rsidRPr="00803148" w:rsidRDefault="00803148" w:rsidP="00803148">
      <w:pPr>
        <w:keepNext/>
        <w:spacing w:line="312" w:lineRule="auto"/>
        <w:rPr>
          <w:rFonts w:eastAsia="Times New Roman" w:cs="Arial"/>
          <w:b/>
          <w:iCs/>
          <w:color w:val="auto"/>
          <w:lang w:eastAsia="fr-FR"/>
        </w:rPr>
      </w:pPr>
      <w:bookmarkStart w:id="784" w:name="_Toc499712664"/>
      <w:r w:rsidRPr="00803148">
        <w:rPr>
          <w:rFonts w:eastAsia="Times New Roman" w:cs="Arial"/>
          <w:b/>
          <w:bCs/>
          <w:color w:val="auto"/>
          <w:lang w:eastAsia="fr-FR"/>
        </w:rPr>
        <w:t xml:space="preserve">Photo </w:t>
      </w:r>
      <w:r w:rsidRPr="00803148">
        <w:rPr>
          <w:rFonts w:eastAsia="Times New Roman" w:cs="Arial"/>
          <w:b/>
          <w:bCs/>
          <w:color w:val="auto"/>
          <w:lang w:eastAsia="fr-FR"/>
        </w:rPr>
        <w:fldChar w:fldCharType="begin"/>
      </w:r>
      <w:r w:rsidRPr="00803148">
        <w:rPr>
          <w:rFonts w:eastAsia="Times New Roman" w:cs="Arial"/>
          <w:b/>
          <w:bCs/>
          <w:color w:val="auto"/>
          <w:lang w:eastAsia="fr-FR"/>
        </w:rPr>
        <w:instrText xml:space="preserve"> SEQ Photo \* ARABIC </w:instrText>
      </w:r>
      <w:r w:rsidRPr="00803148">
        <w:rPr>
          <w:rFonts w:eastAsia="Times New Roman" w:cs="Arial"/>
          <w:b/>
          <w:bCs/>
          <w:color w:val="auto"/>
          <w:lang w:eastAsia="fr-FR"/>
        </w:rPr>
        <w:fldChar w:fldCharType="separate"/>
      </w:r>
      <w:r>
        <w:rPr>
          <w:rFonts w:eastAsia="Times New Roman" w:cs="Arial"/>
          <w:b/>
          <w:bCs/>
          <w:noProof/>
          <w:color w:val="auto"/>
          <w:lang w:eastAsia="fr-FR"/>
        </w:rPr>
        <w:t>7</w:t>
      </w:r>
      <w:r w:rsidRPr="00803148">
        <w:rPr>
          <w:rFonts w:eastAsia="Times New Roman" w:cs="Arial"/>
          <w:b/>
          <w:bCs/>
          <w:color w:val="auto"/>
          <w:lang w:eastAsia="fr-FR"/>
        </w:rPr>
        <w:fldChar w:fldCharType="end"/>
      </w:r>
      <w:r w:rsidRPr="00803148">
        <w:rPr>
          <w:rFonts w:eastAsia="Times New Roman" w:cs="Arial"/>
          <w:b/>
          <w:bCs/>
          <w:color w:val="auto"/>
          <w:lang w:eastAsia="fr-FR"/>
        </w:rPr>
        <w:t>: couloir d'eau Pk 0+600 de la rue B19</w:t>
      </w:r>
      <w:bookmarkEnd w:id="784"/>
    </w:p>
    <w:p w14:paraId="0491D7C7" w14:textId="3ED90010" w:rsidR="00803148" w:rsidRPr="00803148" w:rsidRDefault="00803148" w:rsidP="00803148">
      <w:pPr>
        <w:spacing w:line="312" w:lineRule="auto"/>
        <w:jc w:val="both"/>
        <w:rPr>
          <w:rFonts w:eastAsia="Times New Roman" w:cs="Arial"/>
          <w:bCs/>
          <w:iCs/>
          <w:color w:val="auto"/>
          <w:lang w:eastAsia="fr-FR"/>
        </w:rPr>
      </w:pPr>
      <w:r w:rsidRPr="00803148">
        <w:rPr>
          <w:rFonts w:eastAsia="Times New Roman" w:cs="Arial"/>
          <w:bCs/>
          <w:iCs/>
          <w:color w:val="auto"/>
          <w:lang w:eastAsia="fr-FR"/>
        </w:rPr>
        <w:t>Au niveau de la rivière Fourigninkèrè, il a été m</w:t>
      </w:r>
      <w:r w:rsidR="005F4B0D">
        <w:rPr>
          <w:rFonts w:eastAsia="Times New Roman" w:cs="Arial"/>
          <w:bCs/>
          <w:iCs/>
          <w:color w:val="auto"/>
          <w:lang w:eastAsia="fr-FR"/>
        </w:rPr>
        <w:t xml:space="preserve">ise en œuvre des reboisements à </w:t>
      </w:r>
      <w:r w:rsidRPr="00803148">
        <w:rPr>
          <w:rFonts w:eastAsia="Times New Roman" w:cs="Arial"/>
          <w:bCs/>
          <w:iCs/>
          <w:color w:val="auto"/>
          <w:lang w:eastAsia="fr-FR"/>
        </w:rPr>
        <w:t xml:space="preserve">fin de protéger de l’érosion les lits amont et aval des grands ouvrages. Mais </w:t>
      </w:r>
      <w:r w:rsidR="005F4B0D">
        <w:rPr>
          <w:rFonts w:eastAsia="Times New Roman" w:cs="Arial"/>
          <w:bCs/>
          <w:iCs/>
          <w:color w:val="auto"/>
          <w:lang w:eastAsia="fr-FR"/>
        </w:rPr>
        <w:t xml:space="preserve">la végétation </w:t>
      </w:r>
      <w:r w:rsidRPr="00803148">
        <w:rPr>
          <w:rFonts w:eastAsia="Times New Roman" w:cs="Arial"/>
          <w:bCs/>
          <w:iCs/>
          <w:color w:val="auto"/>
          <w:lang w:eastAsia="fr-FR"/>
        </w:rPr>
        <w:t>provoque des obstructions des ouvertures au niveau de ces ouvrages.</w:t>
      </w:r>
    </w:p>
    <w:p w14:paraId="6A0FA38A" w14:textId="77777777" w:rsidR="00803148" w:rsidRPr="00803148" w:rsidRDefault="00803148" w:rsidP="00803148">
      <w:pPr>
        <w:spacing w:line="312" w:lineRule="auto"/>
        <w:jc w:val="both"/>
        <w:rPr>
          <w:rFonts w:eastAsia="Times New Roman" w:cs="Arial"/>
          <w:bCs/>
          <w:iCs/>
          <w:color w:val="auto"/>
          <w:lang w:eastAsia="fr-FR"/>
        </w:rPr>
      </w:pPr>
    </w:p>
    <w:p w14:paraId="7501D273" w14:textId="77777777" w:rsidR="00803148" w:rsidRPr="00803148" w:rsidRDefault="00803148" w:rsidP="00803148">
      <w:pPr>
        <w:keepNext/>
        <w:spacing w:line="312" w:lineRule="auto"/>
        <w:jc w:val="both"/>
        <w:rPr>
          <w:rFonts w:eastAsia="Times New Roman" w:cs="Arial"/>
          <w:color w:val="auto"/>
          <w:lang w:eastAsia="fr-FR"/>
        </w:rPr>
      </w:pPr>
      <w:r w:rsidRPr="00803148">
        <w:rPr>
          <w:rFonts w:eastAsia="Times New Roman" w:cs="Arial"/>
          <w:bCs/>
          <w:iCs/>
          <w:noProof/>
          <w:color w:val="auto"/>
          <w:lang w:eastAsia="fr-FR"/>
        </w:rPr>
        <w:lastRenderedPageBreak/>
        <w:drawing>
          <wp:inline distT="0" distB="0" distL="0" distR="0" wp14:anchorId="76DFF64F" wp14:editId="2C680ADF">
            <wp:extent cx="5486400" cy="3093633"/>
            <wp:effectExtent l="0" t="0" r="0" b="0"/>
            <wp:docPr id="29" name="Image 29" descr="C:\Users\galladassi\Desktop\MDCVDD - ASPHALTAGE\ETUDES HYDROLOGIQUES\NATITINGOU\RECENSEMENT OUVRAGE RUES NATITINGOU\RUE A27\RUE A27 OUVRAGE AM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galladassi\Desktop\MDCVDD - ASPHALTAGE\ETUDES HYDROLOGIQUES\NATITINGOU\RECENSEMENT OUVRAGE RUES NATITINGOU\RUE A27\RUE A27 OUVRAGE AMONT.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490308" cy="3095836"/>
                    </a:xfrm>
                    <a:prstGeom prst="rect">
                      <a:avLst/>
                    </a:prstGeom>
                    <a:noFill/>
                    <a:ln>
                      <a:noFill/>
                    </a:ln>
                  </pic:spPr>
                </pic:pic>
              </a:graphicData>
            </a:graphic>
          </wp:inline>
        </w:drawing>
      </w:r>
    </w:p>
    <w:p w14:paraId="61F38681" w14:textId="522DE4FD" w:rsidR="00803148" w:rsidRDefault="00803148" w:rsidP="00803148">
      <w:pPr>
        <w:keepNext/>
        <w:spacing w:line="312" w:lineRule="auto"/>
        <w:rPr>
          <w:rFonts w:eastAsia="Times New Roman" w:cs="Arial"/>
          <w:b/>
          <w:bCs/>
          <w:color w:val="auto"/>
          <w:lang w:eastAsia="fr-FR"/>
        </w:rPr>
      </w:pPr>
      <w:bookmarkStart w:id="785" w:name="_Toc499712665"/>
      <w:r w:rsidRPr="00803148">
        <w:rPr>
          <w:rFonts w:eastAsia="Times New Roman" w:cs="Arial"/>
          <w:b/>
          <w:bCs/>
          <w:color w:val="auto"/>
          <w:lang w:eastAsia="fr-FR"/>
        </w:rPr>
        <w:t xml:space="preserve">Photo </w:t>
      </w:r>
      <w:r w:rsidRPr="00803148">
        <w:rPr>
          <w:rFonts w:eastAsia="Times New Roman" w:cs="Arial"/>
          <w:b/>
          <w:bCs/>
          <w:color w:val="auto"/>
          <w:lang w:eastAsia="fr-FR"/>
        </w:rPr>
        <w:fldChar w:fldCharType="begin"/>
      </w:r>
      <w:r w:rsidRPr="00803148">
        <w:rPr>
          <w:rFonts w:eastAsia="Times New Roman" w:cs="Arial"/>
          <w:b/>
          <w:bCs/>
          <w:color w:val="auto"/>
          <w:lang w:eastAsia="fr-FR"/>
        </w:rPr>
        <w:instrText xml:space="preserve"> SEQ Photo \* ARABIC </w:instrText>
      </w:r>
      <w:r w:rsidRPr="00803148">
        <w:rPr>
          <w:rFonts w:eastAsia="Times New Roman" w:cs="Arial"/>
          <w:b/>
          <w:bCs/>
          <w:color w:val="auto"/>
          <w:lang w:eastAsia="fr-FR"/>
        </w:rPr>
        <w:fldChar w:fldCharType="separate"/>
      </w:r>
      <w:r w:rsidR="005F4B0D">
        <w:rPr>
          <w:rFonts w:eastAsia="Times New Roman" w:cs="Arial"/>
          <w:b/>
          <w:bCs/>
          <w:noProof/>
          <w:color w:val="auto"/>
          <w:lang w:eastAsia="fr-FR"/>
        </w:rPr>
        <w:t>8</w:t>
      </w:r>
      <w:r w:rsidRPr="00803148">
        <w:rPr>
          <w:rFonts w:eastAsia="Times New Roman" w:cs="Arial"/>
          <w:b/>
          <w:bCs/>
          <w:color w:val="auto"/>
          <w:lang w:eastAsia="fr-FR"/>
        </w:rPr>
        <w:fldChar w:fldCharType="end"/>
      </w:r>
      <w:r w:rsidRPr="00803148">
        <w:rPr>
          <w:rFonts w:eastAsia="Times New Roman" w:cs="Arial"/>
          <w:b/>
          <w:bCs/>
          <w:color w:val="auto"/>
          <w:lang w:eastAsia="fr-FR"/>
        </w:rPr>
        <w:t>: Obstruction du lit amont du dalot 3D300x350 au niveau de la rue B27</w:t>
      </w:r>
      <w:bookmarkEnd w:id="785"/>
    </w:p>
    <w:p w14:paraId="45B69F77" w14:textId="77777777" w:rsidR="005F4B0D" w:rsidRPr="00803148" w:rsidRDefault="005F4B0D" w:rsidP="00803148">
      <w:pPr>
        <w:keepNext/>
        <w:spacing w:line="312" w:lineRule="auto"/>
        <w:rPr>
          <w:rFonts w:eastAsia="Times New Roman" w:cs="Arial"/>
          <w:b/>
          <w:iCs/>
          <w:color w:val="auto"/>
          <w:lang w:eastAsia="fr-FR"/>
        </w:rPr>
      </w:pPr>
    </w:p>
    <w:p w14:paraId="4314ADEA" w14:textId="52AA2495" w:rsidR="00701C80" w:rsidRPr="00A9330B" w:rsidRDefault="000F4D1B" w:rsidP="006E37A6">
      <w:pPr>
        <w:pStyle w:val="Titre3"/>
      </w:pPr>
      <w:bookmarkStart w:id="786" w:name="_Toc45520833"/>
      <w:bookmarkStart w:id="787" w:name="_Toc52869636"/>
      <w:r w:rsidRPr="00A9330B">
        <w:t xml:space="preserve">3.2.4. </w:t>
      </w:r>
      <w:r w:rsidR="00701C80" w:rsidRPr="00A9330B">
        <w:t>Données socioéconomiques autour des rues et collecteurs concernées</w:t>
      </w:r>
      <w:bookmarkEnd w:id="786"/>
      <w:bookmarkEnd w:id="787"/>
    </w:p>
    <w:p w14:paraId="0B60B70A" w14:textId="77777777" w:rsidR="00701C80" w:rsidRPr="00A9330B" w:rsidRDefault="000F4D1B" w:rsidP="0064324E">
      <w:pPr>
        <w:pStyle w:val="Titre40"/>
      </w:pPr>
      <w:bookmarkStart w:id="788" w:name="_Toc45520834"/>
      <w:bookmarkStart w:id="789" w:name="_Toc52869637"/>
      <w:r w:rsidRPr="00A9330B">
        <w:t xml:space="preserve">3.2.4.1. </w:t>
      </w:r>
      <w:r w:rsidR="00701C80" w:rsidRPr="00A9330B">
        <w:t>Aspects sociaux et économiques</w:t>
      </w:r>
      <w:bookmarkEnd w:id="788"/>
      <w:bookmarkEnd w:id="789"/>
    </w:p>
    <w:p w14:paraId="185AA39F" w14:textId="77777777" w:rsidR="00701C80" w:rsidRPr="00A9330B" w:rsidRDefault="002D68D2" w:rsidP="007553CA">
      <w:pPr>
        <w:pStyle w:val="Titre"/>
      </w:pPr>
      <w:bookmarkStart w:id="790" w:name="_Toc45520835"/>
      <w:bookmarkStart w:id="791" w:name="_Toc52869638"/>
      <w:r w:rsidRPr="00A9330B">
        <w:t xml:space="preserve">3.2.4.1.1. </w:t>
      </w:r>
      <w:r w:rsidR="00701C80" w:rsidRPr="00A9330B">
        <w:t>Identification des personnes rencontrées</w:t>
      </w:r>
      <w:bookmarkEnd w:id="790"/>
      <w:bookmarkEnd w:id="791"/>
    </w:p>
    <w:p w14:paraId="6843CBF2" w14:textId="49380ADF" w:rsidR="00701C80" w:rsidRPr="00A9330B" w:rsidRDefault="00701C80" w:rsidP="000F7BA7">
      <w:pPr>
        <w:autoSpaceDE w:val="0"/>
        <w:autoSpaceDN w:val="0"/>
        <w:adjustRightInd w:val="0"/>
        <w:spacing w:after="240" w:line="240" w:lineRule="auto"/>
        <w:contextualSpacing/>
        <w:jc w:val="both"/>
        <w:rPr>
          <w:rFonts w:eastAsia="Times New Roman" w:cs="Arial"/>
          <w:color w:val="auto"/>
          <w:szCs w:val="24"/>
          <w:lang w:eastAsia="fr-FR"/>
        </w:rPr>
      </w:pPr>
      <w:r w:rsidRPr="00A9330B">
        <w:rPr>
          <w:rFonts w:eastAsia="Times New Roman" w:cs="Arial"/>
          <w:color w:val="auto"/>
          <w:szCs w:val="24"/>
          <w:lang w:eastAsia="fr-FR"/>
        </w:rPr>
        <w:t xml:space="preserve">La figure ci-dessous présente la durée d’installation des ménages dans les quartiers traversés par les ouvrages d’assainissement et rues. </w:t>
      </w:r>
    </w:p>
    <w:p w14:paraId="0605DF96" w14:textId="77777777" w:rsidR="00FB5FCD" w:rsidRPr="00A9330B" w:rsidRDefault="00FB5FCD" w:rsidP="00701C80">
      <w:pPr>
        <w:autoSpaceDE w:val="0"/>
        <w:autoSpaceDN w:val="0"/>
        <w:adjustRightInd w:val="0"/>
        <w:spacing w:after="240" w:line="240" w:lineRule="auto"/>
        <w:contextualSpacing/>
        <w:rPr>
          <w:rFonts w:eastAsia="Times New Roman" w:cs="Arial"/>
          <w:color w:val="auto"/>
          <w:szCs w:val="24"/>
          <w:lang w:eastAsia="fr-FR"/>
        </w:rPr>
      </w:pPr>
    </w:p>
    <w:p w14:paraId="4FF3EFE6" w14:textId="4471B9C5" w:rsidR="00701C80" w:rsidRPr="00A9330B" w:rsidRDefault="002D68D2" w:rsidP="00FB5FCD">
      <w:pPr>
        <w:autoSpaceDE w:val="0"/>
        <w:autoSpaceDN w:val="0"/>
        <w:adjustRightInd w:val="0"/>
        <w:spacing w:before="240" w:after="120" w:line="240" w:lineRule="auto"/>
        <w:jc w:val="center"/>
        <w:rPr>
          <w:rFonts w:eastAsia="Calibri"/>
          <w:b/>
          <w:sz w:val="20"/>
          <w:szCs w:val="20"/>
        </w:rPr>
      </w:pPr>
      <w:bookmarkStart w:id="792" w:name="_Toc51844231"/>
      <w:r w:rsidRPr="00A9330B">
        <w:rPr>
          <w:b/>
          <w:sz w:val="20"/>
          <w:szCs w:val="20"/>
        </w:rPr>
        <w:t xml:space="preserve">Figure </w:t>
      </w:r>
      <w:r w:rsidR="00C24C74" w:rsidRPr="00A9330B">
        <w:rPr>
          <w:b/>
          <w:noProof/>
          <w:sz w:val="20"/>
          <w:szCs w:val="20"/>
        </w:rPr>
        <w:fldChar w:fldCharType="begin"/>
      </w:r>
      <w:r w:rsidR="00C24C74" w:rsidRPr="00A9330B">
        <w:rPr>
          <w:b/>
          <w:noProof/>
          <w:sz w:val="20"/>
          <w:szCs w:val="20"/>
        </w:rPr>
        <w:instrText xml:space="preserve"> SEQ Figure \* ARABIC </w:instrText>
      </w:r>
      <w:r w:rsidR="00C24C74" w:rsidRPr="00A9330B">
        <w:rPr>
          <w:b/>
          <w:noProof/>
          <w:sz w:val="20"/>
          <w:szCs w:val="20"/>
        </w:rPr>
        <w:fldChar w:fldCharType="separate"/>
      </w:r>
      <w:r w:rsidR="00FB5FCD" w:rsidRPr="00A9330B">
        <w:rPr>
          <w:b/>
          <w:noProof/>
          <w:sz w:val="20"/>
          <w:szCs w:val="20"/>
        </w:rPr>
        <w:t>18</w:t>
      </w:r>
      <w:r w:rsidR="00C24C74" w:rsidRPr="00A9330B">
        <w:rPr>
          <w:b/>
          <w:noProof/>
          <w:sz w:val="20"/>
          <w:szCs w:val="20"/>
        </w:rPr>
        <w:fldChar w:fldCharType="end"/>
      </w:r>
      <w:r w:rsidRPr="00A9330B">
        <w:rPr>
          <w:b/>
          <w:sz w:val="20"/>
          <w:szCs w:val="20"/>
        </w:rPr>
        <w:t> </w:t>
      </w:r>
      <w:r w:rsidR="00701C80" w:rsidRPr="00A9330B">
        <w:rPr>
          <w:rFonts w:eastAsia="Calibri"/>
          <w:b/>
          <w:sz w:val="20"/>
          <w:szCs w:val="20"/>
        </w:rPr>
        <w:t>: Ancienneté dans le quartier</w:t>
      </w:r>
      <w:bookmarkEnd w:id="792"/>
    </w:p>
    <w:p w14:paraId="465A3136" w14:textId="0D1ECFC5" w:rsidR="00512304" w:rsidRPr="00A9330B" w:rsidRDefault="00512304" w:rsidP="0011523E">
      <w:pPr>
        <w:autoSpaceDE w:val="0"/>
        <w:autoSpaceDN w:val="0"/>
        <w:adjustRightInd w:val="0"/>
        <w:spacing w:after="120" w:line="240" w:lineRule="auto"/>
        <w:jc w:val="center"/>
        <w:rPr>
          <w:rFonts w:eastAsia="Calibri"/>
        </w:rPr>
      </w:pPr>
      <w:r w:rsidRPr="00A9330B">
        <w:rPr>
          <w:noProof/>
          <w:lang w:eastAsia="fr-FR"/>
        </w:rPr>
        <w:drawing>
          <wp:inline distT="0" distB="0" distL="0" distR="0" wp14:anchorId="72156DC3" wp14:editId="3B20D0B2">
            <wp:extent cx="4572000" cy="2743200"/>
            <wp:effectExtent l="0" t="0" r="0" b="0"/>
            <wp:docPr id="3142" name="Graphique 3142"/>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14:paraId="5C471E06" w14:textId="77777777" w:rsidR="00701C80" w:rsidRPr="00A9330B" w:rsidRDefault="00701C80" w:rsidP="00701C80">
      <w:pPr>
        <w:autoSpaceDE w:val="0"/>
        <w:autoSpaceDN w:val="0"/>
        <w:adjustRightInd w:val="0"/>
        <w:spacing w:after="120" w:line="240" w:lineRule="auto"/>
        <w:jc w:val="center"/>
        <w:rPr>
          <w:rFonts w:eastAsia="Calibri" w:cs="Arial"/>
          <w:color w:val="auto"/>
          <w:sz w:val="20"/>
          <w:szCs w:val="20"/>
        </w:rPr>
      </w:pPr>
      <w:r w:rsidRPr="00A9330B">
        <w:rPr>
          <w:rFonts w:eastAsia="Calibri" w:cs="Arial"/>
          <w:b/>
          <w:color w:val="auto"/>
          <w:sz w:val="20"/>
          <w:szCs w:val="20"/>
        </w:rPr>
        <w:t>Source </w:t>
      </w:r>
      <w:r w:rsidRPr="00A9330B">
        <w:rPr>
          <w:rFonts w:eastAsia="Calibri" w:cs="Arial"/>
          <w:color w:val="auto"/>
          <w:sz w:val="20"/>
          <w:szCs w:val="20"/>
        </w:rPr>
        <w:t>: Enquête de terrain, juin 2020</w:t>
      </w:r>
    </w:p>
    <w:p w14:paraId="2F57B35B" w14:textId="259804CD" w:rsidR="00701C80" w:rsidRPr="00A9330B" w:rsidRDefault="00701C80" w:rsidP="00FB5FCD">
      <w:pPr>
        <w:jc w:val="both"/>
      </w:pPr>
      <w:r w:rsidRPr="00A9330B">
        <w:t>Au nombre des chefs de ménage rencontrés, 31 % sont installés dans leurs quartiers depuis plus de 20 ans, 33 % depuis une période de 0 à 5 ans</w:t>
      </w:r>
      <w:r w:rsidR="005815D0" w:rsidRPr="00A9330B">
        <w:t xml:space="preserve"> </w:t>
      </w:r>
      <w:r w:rsidRPr="00A9330B">
        <w:t xml:space="preserve">; 15 % depuis une période de 5 à 10 ans. Ces 46 % installés plus de 10 ans ont favorablement répondu aux questions de l’enquête </w:t>
      </w:r>
      <w:r w:rsidRPr="00A9330B">
        <w:lastRenderedPageBreak/>
        <w:t>surtout en ce qui concerne les données du milieu. Quelques motifs sous-tendent ces installations (figure ci-dessous).</w:t>
      </w:r>
    </w:p>
    <w:p w14:paraId="52888878" w14:textId="77777777" w:rsidR="00701C80" w:rsidRPr="00A9330B" w:rsidRDefault="00701C80" w:rsidP="00701C80">
      <w:pPr>
        <w:spacing w:line="120" w:lineRule="auto"/>
        <w:jc w:val="both"/>
        <w:rPr>
          <w:rFonts w:eastAsia="Calibri" w:cs="Arial"/>
          <w:color w:val="auto"/>
        </w:rPr>
      </w:pPr>
    </w:p>
    <w:p w14:paraId="5787762E" w14:textId="77777777" w:rsidR="00C30CCB" w:rsidRPr="00A9330B" w:rsidRDefault="00C30CCB" w:rsidP="0011523E">
      <w:pPr>
        <w:autoSpaceDE w:val="0"/>
        <w:autoSpaceDN w:val="0"/>
        <w:adjustRightInd w:val="0"/>
        <w:spacing w:after="120" w:line="240" w:lineRule="auto"/>
        <w:jc w:val="center"/>
        <w:rPr>
          <w:b/>
          <w:sz w:val="20"/>
          <w:szCs w:val="20"/>
        </w:rPr>
      </w:pPr>
      <w:bookmarkStart w:id="793" w:name="_Toc51844232"/>
    </w:p>
    <w:p w14:paraId="19C625CB" w14:textId="35995CBC" w:rsidR="00701C80" w:rsidRPr="00A9330B" w:rsidRDefault="002D68D2" w:rsidP="0011523E">
      <w:pPr>
        <w:autoSpaceDE w:val="0"/>
        <w:autoSpaceDN w:val="0"/>
        <w:adjustRightInd w:val="0"/>
        <w:spacing w:after="120" w:line="240" w:lineRule="auto"/>
        <w:jc w:val="center"/>
        <w:rPr>
          <w:rFonts w:eastAsia="Calibri" w:cs="Arial"/>
          <w:b/>
          <w:color w:val="auto"/>
          <w:sz w:val="20"/>
          <w:szCs w:val="20"/>
        </w:rPr>
      </w:pPr>
      <w:r w:rsidRPr="00A9330B">
        <w:rPr>
          <w:b/>
          <w:sz w:val="20"/>
          <w:szCs w:val="20"/>
        </w:rPr>
        <w:t xml:space="preserve">Figure </w:t>
      </w:r>
      <w:r w:rsidRPr="00A9330B">
        <w:rPr>
          <w:b/>
          <w:sz w:val="20"/>
          <w:szCs w:val="20"/>
        </w:rPr>
        <w:fldChar w:fldCharType="begin"/>
      </w:r>
      <w:r w:rsidRPr="00A9330B">
        <w:rPr>
          <w:b/>
          <w:sz w:val="20"/>
          <w:szCs w:val="20"/>
        </w:rPr>
        <w:instrText xml:space="preserve"> SEQ Figure \* ARABIC </w:instrText>
      </w:r>
      <w:r w:rsidRPr="00A9330B">
        <w:rPr>
          <w:b/>
          <w:sz w:val="20"/>
          <w:szCs w:val="20"/>
        </w:rPr>
        <w:fldChar w:fldCharType="separate"/>
      </w:r>
      <w:r w:rsidR="00FB5FCD" w:rsidRPr="00A9330B">
        <w:rPr>
          <w:b/>
          <w:noProof/>
          <w:sz w:val="20"/>
          <w:szCs w:val="20"/>
        </w:rPr>
        <w:t>19</w:t>
      </w:r>
      <w:r w:rsidRPr="00A9330B">
        <w:rPr>
          <w:b/>
          <w:sz w:val="20"/>
          <w:szCs w:val="20"/>
        </w:rPr>
        <w:fldChar w:fldCharType="end"/>
      </w:r>
      <w:r w:rsidRPr="00A9330B">
        <w:rPr>
          <w:b/>
          <w:sz w:val="20"/>
          <w:szCs w:val="20"/>
        </w:rPr>
        <w:t xml:space="preserve"> </w:t>
      </w:r>
      <w:r w:rsidR="00701C80" w:rsidRPr="00A9330B">
        <w:rPr>
          <w:rFonts w:eastAsia="Calibri" w:cs="Arial"/>
          <w:b/>
          <w:color w:val="auto"/>
          <w:sz w:val="20"/>
          <w:szCs w:val="20"/>
        </w:rPr>
        <w:t>: Motifs d’installation des ménages dans le milieu récepteur du projet</w:t>
      </w:r>
      <w:bookmarkEnd w:id="793"/>
    </w:p>
    <w:p w14:paraId="1E3331CE" w14:textId="2D0A781D" w:rsidR="00512304" w:rsidRPr="00A9330B" w:rsidRDefault="00512304" w:rsidP="00701C80">
      <w:pPr>
        <w:autoSpaceDE w:val="0"/>
        <w:autoSpaceDN w:val="0"/>
        <w:adjustRightInd w:val="0"/>
        <w:spacing w:line="240" w:lineRule="auto"/>
        <w:jc w:val="center"/>
        <w:rPr>
          <w:rFonts w:eastAsia="Calibri" w:cs="Arial"/>
          <w:b/>
          <w:color w:val="auto"/>
          <w:sz w:val="20"/>
          <w:szCs w:val="20"/>
        </w:rPr>
      </w:pPr>
      <w:r w:rsidRPr="00A9330B">
        <w:rPr>
          <w:noProof/>
          <w:lang w:eastAsia="fr-FR"/>
        </w:rPr>
        <w:drawing>
          <wp:inline distT="0" distB="0" distL="0" distR="0" wp14:anchorId="05AEC6EE" wp14:editId="57954E68">
            <wp:extent cx="4401879" cy="2966484"/>
            <wp:effectExtent l="0" t="0" r="17780" b="5715"/>
            <wp:docPr id="3143" name="Graphique 3143"/>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14:paraId="61A49B76" w14:textId="77777777" w:rsidR="00701C80" w:rsidRPr="00A9330B" w:rsidRDefault="00701C80" w:rsidP="00701C80">
      <w:pPr>
        <w:autoSpaceDE w:val="0"/>
        <w:autoSpaceDN w:val="0"/>
        <w:adjustRightInd w:val="0"/>
        <w:spacing w:line="240" w:lineRule="auto"/>
        <w:jc w:val="center"/>
        <w:rPr>
          <w:rFonts w:eastAsia="Calibri" w:cs="Arial"/>
          <w:b/>
          <w:color w:val="auto"/>
          <w:sz w:val="20"/>
          <w:szCs w:val="20"/>
        </w:rPr>
      </w:pPr>
      <w:r w:rsidRPr="00A9330B">
        <w:rPr>
          <w:rFonts w:eastAsia="Calibri" w:cs="Arial"/>
          <w:b/>
          <w:color w:val="auto"/>
          <w:sz w:val="20"/>
          <w:szCs w:val="20"/>
        </w:rPr>
        <w:t>Source : Enquête de terrain, juin 2020</w:t>
      </w:r>
    </w:p>
    <w:p w14:paraId="02ECD8FC" w14:textId="77777777" w:rsidR="00701C80" w:rsidRPr="00A9330B" w:rsidRDefault="00701C80" w:rsidP="00FB5FCD">
      <w:pPr>
        <w:jc w:val="both"/>
      </w:pPr>
      <w:r w:rsidRPr="00A9330B">
        <w:t>S’agissant du motif de l’installation des chefs de ménages rencontrés, les natifs par héritage représentent 48 %, 27 % pour raison de manque de moyen s’installent dans les lits des cours d’eau, 23 % se sont installés grâce aux activités génératrices de revenus.</w:t>
      </w:r>
    </w:p>
    <w:p w14:paraId="48C29321" w14:textId="58B541BD" w:rsidR="00701C80" w:rsidRPr="00A9330B" w:rsidRDefault="002D68D2" w:rsidP="0011523E">
      <w:pPr>
        <w:spacing w:line="240" w:lineRule="auto"/>
        <w:jc w:val="center"/>
        <w:rPr>
          <w:rFonts w:eastAsia="Calibri" w:cs="Arial"/>
          <w:b/>
          <w:color w:val="auto"/>
        </w:rPr>
      </w:pPr>
      <w:bookmarkStart w:id="794" w:name="_Toc51844233"/>
      <w:r w:rsidRPr="00A9330B">
        <w:rPr>
          <w:b/>
          <w:sz w:val="20"/>
          <w:szCs w:val="20"/>
        </w:rPr>
        <w:t xml:space="preserve">Figure </w:t>
      </w:r>
      <w:r w:rsidRPr="00A9330B">
        <w:rPr>
          <w:b/>
          <w:sz w:val="20"/>
          <w:szCs w:val="20"/>
        </w:rPr>
        <w:fldChar w:fldCharType="begin"/>
      </w:r>
      <w:r w:rsidRPr="00A9330B">
        <w:rPr>
          <w:b/>
          <w:sz w:val="20"/>
          <w:szCs w:val="20"/>
        </w:rPr>
        <w:instrText xml:space="preserve"> SEQ Figure \* ARABIC </w:instrText>
      </w:r>
      <w:r w:rsidRPr="00A9330B">
        <w:rPr>
          <w:b/>
          <w:sz w:val="20"/>
          <w:szCs w:val="20"/>
        </w:rPr>
        <w:fldChar w:fldCharType="separate"/>
      </w:r>
      <w:r w:rsidR="00FB5FCD" w:rsidRPr="00A9330B">
        <w:rPr>
          <w:b/>
          <w:noProof/>
          <w:sz w:val="20"/>
          <w:szCs w:val="20"/>
        </w:rPr>
        <w:t>20</w:t>
      </w:r>
      <w:r w:rsidRPr="00A9330B">
        <w:rPr>
          <w:b/>
          <w:sz w:val="20"/>
          <w:szCs w:val="20"/>
        </w:rPr>
        <w:fldChar w:fldCharType="end"/>
      </w:r>
      <w:r w:rsidRPr="00A9330B">
        <w:rPr>
          <w:b/>
          <w:sz w:val="20"/>
          <w:szCs w:val="20"/>
        </w:rPr>
        <w:t xml:space="preserve"> </w:t>
      </w:r>
      <w:r w:rsidR="00701C80" w:rsidRPr="00A9330B">
        <w:rPr>
          <w:rFonts w:eastAsia="Calibri" w:cs="Arial"/>
          <w:b/>
          <w:color w:val="auto"/>
        </w:rPr>
        <w:t>: Sexe des chefs de ménages</w:t>
      </w:r>
      <w:bookmarkEnd w:id="794"/>
    </w:p>
    <w:p w14:paraId="7B278352" w14:textId="35E5D1B5" w:rsidR="00512304" w:rsidRPr="00A9330B" w:rsidRDefault="00512304" w:rsidP="00701C80">
      <w:pPr>
        <w:autoSpaceDE w:val="0"/>
        <w:autoSpaceDN w:val="0"/>
        <w:adjustRightInd w:val="0"/>
        <w:spacing w:line="240" w:lineRule="auto"/>
        <w:jc w:val="center"/>
        <w:rPr>
          <w:rFonts w:eastAsia="Calibri" w:cs="Arial"/>
          <w:b/>
          <w:color w:val="auto"/>
          <w:sz w:val="20"/>
          <w:szCs w:val="20"/>
        </w:rPr>
      </w:pPr>
      <w:r w:rsidRPr="00A9330B">
        <w:rPr>
          <w:noProof/>
          <w:lang w:eastAsia="fr-FR"/>
        </w:rPr>
        <w:drawing>
          <wp:inline distT="0" distB="0" distL="0" distR="0" wp14:anchorId="4CAADC67" wp14:editId="65481AC8">
            <wp:extent cx="4391246" cy="2987749"/>
            <wp:effectExtent l="0" t="0" r="9525" b="3175"/>
            <wp:docPr id="3144" name="Graphique 3144"/>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14:paraId="6B934495" w14:textId="77777777" w:rsidR="00701C80" w:rsidRPr="00A9330B" w:rsidRDefault="00701C80" w:rsidP="00701C80">
      <w:pPr>
        <w:autoSpaceDE w:val="0"/>
        <w:autoSpaceDN w:val="0"/>
        <w:adjustRightInd w:val="0"/>
        <w:spacing w:line="240" w:lineRule="auto"/>
        <w:jc w:val="center"/>
        <w:rPr>
          <w:rFonts w:eastAsia="Calibri" w:cs="Arial"/>
          <w:b/>
          <w:color w:val="auto"/>
          <w:sz w:val="20"/>
          <w:szCs w:val="20"/>
        </w:rPr>
      </w:pPr>
      <w:r w:rsidRPr="00A9330B">
        <w:rPr>
          <w:rFonts w:eastAsia="Calibri" w:cs="Arial"/>
          <w:b/>
          <w:color w:val="auto"/>
          <w:sz w:val="20"/>
          <w:szCs w:val="20"/>
        </w:rPr>
        <w:t>Source :</w:t>
      </w:r>
      <w:r w:rsidRPr="00A9330B">
        <w:rPr>
          <w:rFonts w:eastAsia="Calibri" w:cs="Arial"/>
          <w:color w:val="auto"/>
          <w:sz w:val="20"/>
          <w:szCs w:val="20"/>
        </w:rPr>
        <w:t xml:space="preserve"> Enquête de terrain, juin 2020</w:t>
      </w:r>
    </w:p>
    <w:p w14:paraId="0BBB020A" w14:textId="77777777" w:rsidR="00701C80" w:rsidRPr="00A9330B" w:rsidRDefault="00701C80" w:rsidP="000F7BA7">
      <w:pPr>
        <w:jc w:val="both"/>
      </w:pPr>
      <w:r w:rsidRPr="00A9330B">
        <w:t xml:space="preserve">La figure ci-dessus montre que 76 % d’hommes chefs de ménages ont été enquêtés contre 24 % de femmes. </w:t>
      </w:r>
    </w:p>
    <w:p w14:paraId="618387B4" w14:textId="77777777" w:rsidR="00C30CCB" w:rsidRPr="00A9330B" w:rsidRDefault="00C30CCB">
      <w:pPr>
        <w:spacing w:before="0" w:after="160" w:line="259" w:lineRule="auto"/>
        <w:rPr>
          <w:b/>
          <w:sz w:val="20"/>
          <w:szCs w:val="20"/>
        </w:rPr>
      </w:pPr>
      <w:bookmarkStart w:id="795" w:name="_Toc51844234"/>
      <w:r w:rsidRPr="00A9330B">
        <w:rPr>
          <w:b/>
          <w:sz w:val="20"/>
          <w:szCs w:val="20"/>
        </w:rPr>
        <w:br w:type="page"/>
      </w:r>
    </w:p>
    <w:p w14:paraId="5227F9AB" w14:textId="6BB6DE85" w:rsidR="00701C80" w:rsidRPr="00A9330B" w:rsidRDefault="002D68D2" w:rsidP="00FB5FCD">
      <w:pPr>
        <w:jc w:val="center"/>
        <w:rPr>
          <w:b/>
          <w:sz w:val="20"/>
          <w:szCs w:val="20"/>
        </w:rPr>
      </w:pPr>
      <w:r w:rsidRPr="00A9330B">
        <w:rPr>
          <w:b/>
          <w:sz w:val="20"/>
          <w:szCs w:val="20"/>
        </w:rPr>
        <w:lastRenderedPageBreak/>
        <w:t xml:space="preserve">Figure </w:t>
      </w:r>
      <w:r w:rsidRPr="00A9330B">
        <w:rPr>
          <w:b/>
          <w:sz w:val="20"/>
          <w:szCs w:val="20"/>
        </w:rPr>
        <w:fldChar w:fldCharType="begin"/>
      </w:r>
      <w:r w:rsidRPr="00A9330B">
        <w:rPr>
          <w:b/>
          <w:sz w:val="20"/>
          <w:szCs w:val="20"/>
        </w:rPr>
        <w:instrText xml:space="preserve"> SEQ Figure \* ARABIC </w:instrText>
      </w:r>
      <w:r w:rsidRPr="00A9330B">
        <w:rPr>
          <w:b/>
          <w:sz w:val="20"/>
          <w:szCs w:val="20"/>
        </w:rPr>
        <w:fldChar w:fldCharType="separate"/>
      </w:r>
      <w:r w:rsidR="00FB5FCD" w:rsidRPr="00A9330B">
        <w:rPr>
          <w:b/>
          <w:noProof/>
          <w:sz w:val="20"/>
          <w:szCs w:val="20"/>
        </w:rPr>
        <w:t>21</w:t>
      </w:r>
      <w:r w:rsidRPr="00A9330B">
        <w:rPr>
          <w:b/>
          <w:sz w:val="20"/>
          <w:szCs w:val="20"/>
        </w:rPr>
        <w:fldChar w:fldCharType="end"/>
      </w:r>
      <w:r w:rsidRPr="00A9330B">
        <w:rPr>
          <w:b/>
          <w:sz w:val="20"/>
          <w:szCs w:val="20"/>
        </w:rPr>
        <w:t xml:space="preserve"> </w:t>
      </w:r>
      <w:r w:rsidR="00701C80" w:rsidRPr="00A9330B">
        <w:rPr>
          <w:b/>
          <w:sz w:val="20"/>
          <w:szCs w:val="20"/>
        </w:rPr>
        <w:t>: Tranche des ménages enquêtés</w:t>
      </w:r>
      <w:bookmarkEnd w:id="795"/>
    </w:p>
    <w:p w14:paraId="0078CE63" w14:textId="35925EB1" w:rsidR="00512304" w:rsidRPr="00A9330B" w:rsidRDefault="00512304" w:rsidP="0011523E">
      <w:pPr>
        <w:autoSpaceDE w:val="0"/>
        <w:autoSpaceDN w:val="0"/>
        <w:adjustRightInd w:val="0"/>
        <w:spacing w:after="120" w:line="240" w:lineRule="auto"/>
        <w:jc w:val="center"/>
        <w:rPr>
          <w:rFonts w:eastAsia="Calibri" w:cs="Arial"/>
          <w:b/>
          <w:color w:val="auto"/>
          <w:sz w:val="20"/>
          <w:szCs w:val="20"/>
        </w:rPr>
      </w:pPr>
      <w:r w:rsidRPr="00A9330B">
        <w:rPr>
          <w:noProof/>
          <w:lang w:eastAsia="fr-FR"/>
        </w:rPr>
        <w:drawing>
          <wp:inline distT="0" distB="0" distL="0" distR="0" wp14:anchorId="4B478504" wp14:editId="11C6D228">
            <wp:extent cx="4572000" cy="2743200"/>
            <wp:effectExtent l="0" t="0" r="0" b="0"/>
            <wp:docPr id="3148" name="Graphique 3148"/>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14:paraId="62A1E61E" w14:textId="77777777" w:rsidR="00701C80" w:rsidRPr="00A9330B" w:rsidRDefault="00701C80" w:rsidP="00701C80">
      <w:pPr>
        <w:autoSpaceDE w:val="0"/>
        <w:autoSpaceDN w:val="0"/>
        <w:adjustRightInd w:val="0"/>
        <w:spacing w:line="240" w:lineRule="auto"/>
        <w:jc w:val="center"/>
        <w:rPr>
          <w:rFonts w:eastAsia="Calibri" w:cs="Arial"/>
          <w:color w:val="auto"/>
          <w:sz w:val="20"/>
          <w:szCs w:val="20"/>
        </w:rPr>
      </w:pPr>
      <w:r w:rsidRPr="00A9330B">
        <w:rPr>
          <w:rFonts w:eastAsia="Calibri" w:cs="Arial"/>
          <w:b/>
          <w:color w:val="auto"/>
          <w:sz w:val="20"/>
          <w:szCs w:val="20"/>
        </w:rPr>
        <w:t>Source :</w:t>
      </w:r>
      <w:r w:rsidRPr="00A9330B">
        <w:rPr>
          <w:rFonts w:eastAsia="Calibri" w:cs="Arial"/>
          <w:color w:val="auto"/>
          <w:sz w:val="20"/>
          <w:szCs w:val="20"/>
        </w:rPr>
        <w:t xml:space="preserve"> Enquête de terrain, juin 2020</w:t>
      </w:r>
    </w:p>
    <w:p w14:paraId="7805F44C" w14:textId="77777777" w:rsidR="00701C80" w:rsidRPr="00A9330B" w:rsidRDefault="00701C80" w:rsidP="00FB5FCD">
      <w:pPr>
        <w:jc w:val="both"/>
      </w:pPr>
      <w:r w:rsidRPr="00A9330B">
        <w:t>Parmi les chefs de ménages rencontrés, 30 % sont âgés de 36 à 45 ans, 28 %, de 26 à 35 ans, 19 % de 55 ans et plus, 11 % de 46 ans à 55 ans et 10 % sont âgés de 18 à 25 ans.</w:t>
      </w:r>
    </w:p>
    <w:p w14:paraId="294CF9DD" w14:textId="24FF5EBC" w:rsidR="00701C80" w:rsidRPr="00A9330B" w:rsidRDefault="002D68D2" w:rsidP="0011523E">
      <w:pPr>
        <w:spacing w:line="360" w:lineRule="auto"/>
        <w:jc w:val="center"/>
        <w:rPr>
          <w:rFonts w:eastAsia="Calibri" w:cs="Arial"/>
          <w:b/>
          <w:color w:val="auto"/>
          <w:sz w:val="20"/>
          <w:szCs w:val="20"/>
        </w:rPr>
      </w:pPr>
      <w:bookmarkStart w:id="796" w:name="_Toc51844235"/>
      <w:r w:rsidRPr="00A9330B">
        <w:rPr>
          <w:b/>
          <w:sz w:val="20"/>
          <w:szCs w:val="20"/>
        </w:rPr>
        <w:t xml:space="preserve">Figure </w:t>
      </w:r>
      <w:r w:rsidRPr="00A9330B">
        <w:rPr>
          <w:b/>
          <w:sz w:val="20"/>
          <w:szCs w:val="20"/>
        </w:rPr>
        <w:fldChar w:fldCharType="begin"/>
      </w:r>
      <w:r w:rsidRPr="00A9330B">
        <w:rPr>
          <w:b/>
          <w:sz w:val="20"/>
          <w:szCs w:val="20"/>
        </w:rPr>
        <w:instrText xml:space="preserve"> SEQ Figure \* ARABIC </w:instrText>
      </w:r>
      <w:r w:rsidRPr="00A9330B">
        <w:rPr>
          <w:b/>
          <w:sz w:val="20"/>
          <w:szCs w:val="20"/>
        </w:rPr>
        <w:fldChar w:fldCharType="separate"/>
      </w:r>
      <w:r w:rsidR="00FB5FCD" w:rsidRPr="00A9330B">
        <w:rPr>
          <w:b/>
          <w:noProof/>
          <w:sz w:val="20"/>
          <w:szCs w:val="20"/>
        </w:rPr>
        <w:t>22</w:t>
      </w:r>
      <w:r w:rsidRPr="00A9330B">
        <w:rPr>
          <w:b/>
          <w:sz w:val="20"/>
          <w:szCs w:val="20"/>
        </w:rPr>
        <w:fldChar w:fldCharType="end"/>
      </w:r>
      <w:r w:rsidRPr="00A9330B">
        <w:rPr>
          <w:b/>
          <w:sz w:val="20"/>
          <w:szCs w:val="20"/>
        </w:rPr>
        <w:t xml:space="preserve"> </w:t>
      </w:r>
      <w:r w:rsidR="00701C80" w:rsidRPr="00A9330B">
        <w:rPr>
          <w:rFonts w:eastAsia="Calibri" w:cs="Arial"/>
          <w:b/>
          <w:color w:val="auto"/>
          <w:sz w:val="20"/>
          <w:szCs w:val="20"/>
        </w:rPr>
        <w:t>: Religions pratiquées par les ménages enquêtés</w:t>
      </w:r>
      <w:bookmarkEnd w:id="796"/>
    </w:p>
    <w:p w14:paraId="5F67F666" w14:textId="3264829E" w:rsidR="00512304" w:rsidRPr="00A9330B" w:rsidRDefault="00512304" w:rsidP="0011523E">
      <w:pPr>
        <w:spacing w:line="360" w:lineRule="auto"/>
        <w:jc w:val="center"/>
        <w:rPr>
          <w:rFonts w:eastAsia="Calibri" w:cs="Arial"/>
          <w:b/>
          <w:color w:val="auto"/>
          <w:sz w:val="20"/>
          <w:szCs w:val="20"/>
        </w:rPr>
      </w:pPr>
      <w:r w:rsidRPr="00A9330B">
        <w:rPr>
          <w:noProof/>
          <w:lang w:eastAsia="fr-FR"/>
        </w:rPr>
        <w:drawing>
          <wp:inline distT="0" distB="0" distL="0" distR="0" wp14:anchorId="54F3BFE3" wp14:editId="2858B3C3">
            <wp:extent cx="4093535" cy="3327991"/>
            <wp:effectExtent l="0" t="0" r="2540" b="6350"/>
            <wp:docPr id="3150" name="Graphique 3150"/>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14:paraId="091A69AE" w14:textId="77777777" w:rsidR="00701C80" w:rsidRPr="00A9330B" w:rsidRDefault="00701C80" w:rsidP="00701C80">
      <w:pPr>
        <w:autoSpaceDE w:val="0"/>
        <w:autoSpaceDN w:val="0"/>
        <w:adjustRightInd w:val="0"/>
        <w:spacing w:after="240" w:line="240" w:lineRule="auto"/>
        <w:jc w:val="center"/>
        <w:rPr>
          <w:rFonts w:eastAsia="Calibri" w:cs="Arial"/>
          <w:i/>
          <w:color w:val="auto"/>
          <w:sz w:val="20"/>
          <w:szCs w:val="20"/>
        </w:rPr>
      </w:pPr>
      <w:r w:rsidRPr="00A9330B">
        <w:rPr>
          <w:rFonts w:eastAsia="Calibri" w:cs="Arial"/>
          <w:b/>
          <w:i/>
          <w:color w:val="auto"/>
          <w:sz w:val="20"/>
          <w:szCs w:val="20"/>
        </w:rPr>
        <w:t>Source :</w:t>
      </w:r>
      <w:r w:rsidRPr="00A9330B">
        <w:rPr>
          <w:rFonts w:eastAsia="Calibri" w:cs="Arial"/>
          <w:i/>
          <w:color w:val="auto"/>
          <w:sz w:val="20"/>
          <w:szCs w:val="20"/>
        </w:rPr>
        <w:t xml:space="preserve"> Enquête de terrain, juin 2020</w:t>
      </w:r>
    </w:p>
    <w:p w14:paraId="5554FC3F" w14:textId="13FFA18B" w:rsidR="00701C80" w:rsidRPr="00A9330B" w:rsidRDefault="00701C80" w:rsidP="00FB5FCD">
      <w:pPr>
        <w:jc w:val="both"/>
      </w:pPr>
      <w:r w:rsidRPr="00A9330B">
        <w:t xml:space="preserve">La figure ci-contre montre que </w:t>
      </w:r>
      <w:r w:rsidR="007553CA" w:rsidRPr="00A9330B">
        <w:t>la population riveraine</w:t>
      </w:r>
      <w:r w:rsidRPr="00A9330B">
        <w:t xml:space="preserve"> aux ouvrages qui seront réalisés est essentiellement chrétienne (71 %). La communauté musulmane est représentée par environ 22 % des enquêtés.  </w:t>
      </w:r>
    </w:p>
    <w:p w14:paraId="029BF3E7" w14:textId="77777777" w:rsidR="00701C80" w:rsidRPr="00A9330B" w:rsidRDefault="002D68D2" w:rsidP="007553CA">
      <w:pPr>
        <w:pStyle w:val="Titre"/>
      </w:pPr>
      <w:bookmarkStart w:id="797" w:name="_Toc45520836"/>
      <w:bookmarkStart w:id="798" w:name="_Toc52869639"/>
      <w:r w:rsidRPr="00A9330B">
        <w:t xml:space="preserve">3.2.4.1.2. </w:t>
      </w:r>
      <w:r w:rsidR="00701C80" w:rsidRPr="00A9330B">
        <w:t>Activités et emplois</w:t>
      </w:r>
      <w:bookmarkEnd w:id="797"/>
      <w:bookmarkEnd w:id="798"/>
      <w:r w:rsidR="00701C80" w:rsidRPr="00A9330B">
        <w:t xml:space="preserve">  </w:t>
      </w:r>
    </w:p>
    <w:p w14:paraId="33E892DA" w14:textId="77777777" w:rsidR="00701C80" w:rsidRPr="00A9330B" w:rsidRDefault="00701C80" w:rsidP="002D68D2">
      <w:pPr>
        <w:jc w:val="both"/>
      </w:pPr>
      <w:r w:rsidRPr="00A9330B">
        <w:t xml:space="preserve">En ce qui concerne les activités des chefs de ménage, 81 % des enquêtés ont une activité principale génératrice de revenus contre 19 % qui n’en ont pas. Parmi ceux qui exercent une </w:t>
      </w:r>
      <w:r w:rsidRPr="00A9330B">
        <w:lastRenderedPageBreak/>
        <w:t xml:space="preserve">activité, on rencontre toutes sortes de catégories d’activités. On peut de façon générale citer par exemple, des commerçants (33,66 %), des artisans (18,12 %), des agriculteurs (12,54 %),  des fonctionnaires (11,75 %), des ménagères (3,58 %) et des éleveurs (0,79 %)  tant du public que du privé, et de façon détaillée les activités suivantes : des entrepreneurs, des médecins, des commerçants, des tisserandes, des soudeurs, des vendeurs de toutes sortes d’articles, des pharmaciens, des maçons, des techniciens GSM, des cultivateurs, des conducteurs de zémidjan (taxis-motos), des frigoristes, des vétérinaires, des chauffeurs, des topographes, des cordonniers, …etc. La figure ci-dessous renseigne sur ces activités. </w:t>
      </w:r>
    </w:p>
    <w:p w14:paraId="1BF74045" w14:textId="6CAB5DB9" w:rsidR="00701C80" w:rsidRPr="00A9330B" w:rsidRDefault="002D68D2" w:rsidP="0011523E">
      <w:pPr>
        <w:spacing w:line="360" w:lineRule="auto"/>
        <w:jc w:val="center"/>
        <w:rPr>
          <w:rFonts w:eastAsia="Calibri" w:cs="Arial"/>
          <w:b/>
          <w:color w:val="auto"/>
          <w:sz w:val="20"/>
          <w:szCs w:val="20"/>
        </w:rPr>
      </w:pPr>
      <w:bookmarkStart w:id="799" w:name="_Toc51844236"/>
      <w:r w:rsidRPr="00A9330B">
        <w:rPr>
          <w:b/>
          <w:sz w:val="20"/>
          <w:szCs w:val="20"/>
        </w:rPr>
        <w:t xml:space="preserve">Figure </w:t>
      </w:r>
      <w:r w:rsidRPr="00A9330B">
        <w:rPr>
          <w:b/>
          <w:sz w:val="20"/>
          <w:szCs w:val="20"/>
        </w:rPr>
        <w:fldChar w:fldCharType="begin"/>
      </w:r>
      <w:r w:rsidRPr="00A9330B">
        <w:rPr>
          <w:b/>
          <w:sz w:val="20"/>
          <w:szCs w:val="20"/>
        </w:rPr>
        <w:instrText xml:space="preserve"> SEQ Figure \* ARABIC </w:instrText>
      </w:r>
      <w:r w:rsidRPr="00A9330B">
        <w:rPr>
          <w:b/>
          <w:sz w:val="20"/>
          <w:szCs w:val="20"/>
        </w:rPr>
        <w:fldChar w:fldCharType="separate"/>
      </w:r>
      <w:r w:rsidR="00FB5FCD" w:rsidRPr="00A9330B">
        <w:rPr>
          <w:b/>
          <w:noProof/>
          <w:sz w:val="20"/>
          <w:szCs w:val="20"/>
        </w:rPr>
        <w:t>23</w:t>
      </w:r>
      <w:r w:rsidRPr="00A9330B">
        <w:rPr>
          <w:b/>
          <w:sz w:val="20"/>
          <w:szCs w:val="20"/>
        </w:rPr>
        <w:fldChar w:fldCharType="end"/>
      </w:r>
      <w:r w:rsidRPr="00A9330B">
        <w:rPr>
          <w:b/>
          <w:sz w:val="20"/>
          <w:szCs w:val="20"/>
        </w:rPr>
        <w:t xml:space="preserve"> </w:t>
      </w:r>
      <w:r w:rsidR="00701C80" w:rsidRPr="00A9330B">
        <w:rPr>
          <w:rFonts w:eastAsia="Calibri" w:cs="Arial"/>
          <w:b/>
          <w:color w:val="auto"/>
          <w:sz w:val="20"/>
          <w:szCs w:val="20"/>
        </w:rPr>
        <w:t>: Activités principales exercées par les riverains dans les emprises du projet</w:t>
      </w:r>
      <w:bookmarkEnd w:id="799"/>
    </w:p>
    <w:p w14:paraId="33DFC08B" w14:textId="29EA6E43" w:rsidR="00512304" w:rsidRPr="00A9330B" w:rsidRDefault="00512304" w:rsidP="0011523E">
      <w:pPr>
        <w:spacing w:line="360" w:lineRule="auto"/>
        <w:jc w:val="center"/>
        <w:rPr>
          <w:rFonts w:eastAsia="Calibri" w:cs="Arial"/>
          <w:b/>
          <w:color w:val="auto"/>
        </w:rPr>
      </w:pPr>
      <w:r w:rsidRPr="00A9330B">
        <w:rPr>
          <w:noProof/>
          <w:lang w:eastAsia="fr-FR"/>
        </w:rPr>
        <w:drawing>
          <wp:inline distT="0" distB="0" distL="0" distR="0" wp14:anchorId="2194CB0C" wp14:editId="77D06EE0">
            <wp:extent cx="4136066" cy="2179675"/>
            <wp:effectExtent l="0" t="0" r="17145" b="11430"/>
            <wp:docPr id="3151" name="Graphique 3151"/>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14:paraId="77696703" w14:textId="77777777" w:rsidR="00701C80" w:rsidRPr="00A9330B" w:rsidRDefault="00701C80" w:rsidP="00701C80">
      <w:pPr>
        <w:spacing w:after="240" w:line="240" w:lineRule="auto"/>
        <w:jc w:val="center"/>
        <w:rPr>
          <w:rFonts w:eastAsia="Calibri" w:cs="Arial"/>
          <w:color w:val="auto"/>
          <w:sz w:val="20"/>
          <w:szCs w:val="20"/>
        </w:rPr>
      </w:pPr>
      <w:r w:rsidRPr="00A9330B">
        <w:rPr>
          <w:rFonts w:eastAsia="Calibri" w:cs="Arial"/>
          <w:b/>
          <w:color w:val="auto"/>
          <w:sz w:val="20"/>
          <w:szCs w:val="20"/>
        </w:rPr>
        <w:t>Source :</w:t>
      </w:r>
      <w:r w:rsidRPr="00A9330B">
        <w:rPr>
          <w:rFonts w:eastAsia="Calibri" w:cs="Arial"/>
          <w:color w:val="auto"/>
          <w:sz w:val="20"/>
          <w:szCs w:val="20"/>
        </w:rPr>
        <w:t xml:space="preserve"> Enquête de terrain, juin 2020</w:t>
      </w:r>
    </w:p>
    <w:p w14:paraId="21A1D707" w14:textId="4A0434BC" w:rsidR="00701C80" w:rsidRPr="00A9330B" w:rsidRDefault="00701C80" w:rsidP="002D68D2">
      <w:pPr>
        <w:jc w:val="both"/>
      </w:pPr>
      <w:r w:rsidRPr="00A9330B">
        <w:t>Il ressort de la figure que la principale activité de la population environnant des sites des ouvrages est le commerce (33,62 %), suivit de l’artisanat (23,76</w:t>
      </w:r>
      <w:r w:rsidR="009F6E5D" w:rsidRPr="00A9330B">
        <w:t xml:space="preserve"> </w:t>
      </w:r>
      <w:r w:rsidRPr="00A9330B">
        <w:t xml:space="preserve">%). Les fonctionnaires et les agriculteurs représentent respectivement 17,54 %, et 9,27 % de la population environnante des emprises des travaux. La figure ci-dessous présente la proportion des ménages qui exercent une activité dans l’emprise du projet en journée ou la nuit. </w:t>
      </w:r>
    </w:p>
    <w:p w14:paraId="4756151C" w14:textId="57495CED" w:rsidR="00701C80" w:rsidRPr="00A9330B" w:rsidRDefault="002D68D2" w:rsidP="0011523E">
      <w:pPr>
        <w:tabs>
          <w:tab w:val="left" w:pos="648"/>
          <w:tab w:val="left" w:pos="8388"/>
          <w:tab w:val="left" w:pos="9210"/>
        </w:tabs>
        <w:spacing w:after="120" w:line="240" w:lineRule="auto"/>
        <w:jc w:val="center"/>
        <w:rPr>
          <w:rFonts w:eastAsia="Calibri" w:cs="Arial"/>
          <w:b/>
          <w:color w:val="auto"/>
        </w:rPr>
      </w:pPr>
      <w:bookmarkStart w:id="800" w:name="_Toc51844237"/>
      <w:r w:rsidRPr="00A9330B">
        <w:rPr>
          <w:b/>
          <w:sz w:val="20"/>
          <w:szCs w:val="20"/>
        </w:rPr>
        <w:t xml:space="preserve">Figure </w:t>
      </w:r>
      <w:r w:rsidRPr="00A9330B">
        <w:rPr>
          <w:b/>
          <w:sz w:val="20"/>
          <w:szCs w:val="20"/>
        </w:rPr>
        <w:fldChar w:fldCharType="begin"/>
      </w:r>
      <w:r w:rsidRPr="00A9330B">
        <w:rPr>
          <w:b/>
          <w:sz w:val="20"/>
          <w:szCs w:val="20"/>
        </w:rPr>
        <w:instrText xml:space="preserve"> SEQ Figure \* ARABIC </w:instrText>
      </w:r>
      <w:r w:rsidRPr="00A9330B">
        <w:rPr>
          <w:b/>
          <w:sz w:val="20"/>
          <w:szCs w:val="20"/>
        </w:rPr>
        <w:fldChar w:fldCharType="separate"/>
      </w:r>
      <w:r w:rsidR="00FB5FCD" w:rsidRPr="00A9330B">
        <w:rPr>
          <w:b/>
          <w:noProof/>
          <w:sz w:val="20"/>
          <w:szCs w:val="20"/>
        </w:rPr>
        <w:t>24</w:t>
      </w:r>
      <w:r w:rsidRPr="00A9330B">
        <w:rPr>
          <w:b/>
          <w:sz w:val="20"/>
          <w:szCs w:val="20"/>
        </w:rPr>
        <w:fldChar w:fldCharType="end"/>
      </w:r>
      <w:r w:rsidRPr="00A9330B">
        <w:rPr>
          <w:b/>
          <w:sz w:val="20"/>
          <w:szCs w:val="20"/>
        </w:rPr>
        <w:t xml:space="preserve"> </w:t>
      </w:r>
      <w:r w:rsidR="00701C80" w:rsidRPr="00A9330B">
        <w:rPr>
          <w:rFonts w:eastAsia="Calibri" w:cs="Arial"/>
          <w:b/>
          <w:color w:val="auto"/>
        </w:rPr>
        <w:t>: Périodes d’activité dans l’emprise du projet</w:t>
      </w:r>
      <w:bookmarkEnd w:id="800"/>
    </w:p>
    <w:p w14:paraId="3A57519C" w14:textId="42E2ACE8" w:rsidR="00512304" w:rsidRPr="00A9330B" w:rsidRDefault="00512304" w:rsidP="0011523E">
      <w:pPr>
        <w:tabs>
          <w:tab w:val="left" w:pos="648"/>
          <w:tab w:val="left" w:pos="8388"/>
          <w:tab w:val="left" w:pos="9210"/>
        </w:tabs>
        <w:spacing w:after="120" w:line="240" w:lineRule="auto"/>
        <w:jc w:val="center"/>
        <w:rPr>
          <w:rFonts w:eastAsia="Calibri" w:cs="Arial"/>
          <w:b/>
          <w:color w:val="auto"/>
        </w:rPr>
      </w:pPr>
      <w:r w:rsidRPr="00A9330B">
        <w:rPr>
          <w:noProof/>
          <w:lang w:eastAsia="fr-FR"/>
        </w:rPr>
        <w:drawing>
          <wp:inline distT="0" distB="0" distL="0" distR="0" wp14:anchorId="0D1014F4" wp14:editId="432D2417">
            <wp:extent cx="3848987" cy="2562446"/>
            <wp:effectExtent l="0" t="0" r="18415" b="9525"/>
            <wp:docPr id="3152" name="Graphique 3152"/>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14:paraId="4C749B2D" w14:textId="77777777" w:rsidR="00701C80" w:rsidRPr="00A9330B" w:rsidRDefault="00701C80" w:rsidP="00701C80">
      <w:pPr>
        <w:tabs>
          <w:tab w:val="left" w:pos="648"/>
          <w:tab w:val="left" w:pos="8388"/>
          <w:tab w:val="left" w:pos="9210"/>
        </w:tabs>
        <w:spacing w:line="240" w:lineRule="auto"/>
        <w:jc w:val="center"/>
        <w:rPr>
          <w:rFonts w:eastAsia="Calibri" w:cs="Arial"/>
          <w:color w:val="auto"/>
          <w:sz w:val="20"/>
          <w:szCs w:val="20"/>
        </w:rPr>
      </w:pPr>
      <w:r w:rsidRPr="00A9330B">
        <w:rPr>
          <w:rFonts w:eastAsia="Calibri" w:cs="Arial"/>
          <w:b/>
          <w:color w:val="auto"/>
          <w:sz w:val="20"/>
          <w:szCs w:val="20"/>
        </w:rPr>
        <w:t>Source :</w:t>
      </w:r>
      <w:r w:rsidRPr="00A9330B">
        <w:rPr>
          <w:rFonts w:eastAsia="Calibri" w:cs="Arial"/>
          <w:color w:val="auto"/>
          <w:sz w:val="20"/>
          <w:szCs w:val="20"/>
        </w:rPr>
        <w:t xml:space="preserve"> Enquête de terrain, juin 2020</w:t>
      </w:r>
    </w:p>
    <w:p w14:paraId="3071FC8B" w14:textId="35FB483C" w:rsidR="00701C80" w:rsidRPr="00A9330B" w:rsidRDefault="00701C80" w:rsidP="002D68D2">
      <w:pPr>
        <w:jc w:val="both"/>
      </w:pPr>
      <w:r w:rsidRPr="00A9330B">
        <w:t xml:space="preserve">De cette figure, on retient que 85 % des chefs de ménage et riverains rencontrés qui ont une activité principale génératrice de revenus, pratiquent cette activité en journée contre 13 % qui la pratiquent la nuit comme de jour et 1,11 % qui est présent </w:t>
      </w:r>
      <w:r w:rsidR="009F6E5D" w:rsidRPr="00A9330B">
        <w:t xml:space="preserve">la </w:t>
      </w:r>
      <w:r w:rsidRPr="00A9330B">
        <w:t xml:space="preserve">nuit. De ce constat, il ressort </w:t>
      </w:r>
      <w:r w:rsidRPr="00A9330B">
        <w:lastRenderedPageBreak/>
        <w:t xml:space="preserve">que les activités seront perturbées pendant la réalisation du projet par conséquent des mesures doivent être prises pour atténuer les dommages. </w:t>
      </w:r>
    </w:p>
    <w:p w14:paraId="1FF22941" w14:textId="77777777" w:rsidR="002D68D2" w:rsidRPr="00A9330B" w:rsidRDefault="002D68D2" w:rsidP="002D68D2">
      <w:pPr>
        <w:spacing w:before="0"/>
        <w:jc w:val="both"/>
      </w:pPr>
    </w:p>
    <w:p w14:paraId="28256467" w14:textId="77777777" w:rsidR="00701C80" w:rsidRPr="00A9330B" w:rsidRDefault="002D68D2" w:rsidP="007553CA">
      <w:pPr>
        <w:pStyle w:val="Titre"/>
        <w:rPr>
          <w:rFonts w:eastAsia="Calibri"/>
        </w:rPr>
      </w:pPr>
      <w:bookmarkStart w:id="801" w:name="_Toc45520837"/>
      <w:bookmarkStart w:id="802" w:name="_Toc52869640"/>
      <w:r w:rsidRPr="00A9330B">
        <w:rPr>
          <w:rFonts w:eastAsia="Calibri"/>
        </w:rPr>
        <w:t xml:space="preserve">3.2.4.1.3. </w:t>
      </w:r>
      <w:r w:rsidR="00701C80" w:rsidRPr="00A9330B">
        <w:rPr>
          <w:rFonts w:eastAsia="Calibri"/>
        </w:rPr>
        <w:t>Inondation dans le milieu récepteur du projet</w:t>
      </w:r>
      <w:bookmarkEnd w:id="801"/>
      <w:bookmarkEnd w:id="802"/>
    </w:p>
    <w:p w14:paraId="3D898954" w14:textId="77777777" w:rsidR="00701C80" w:rsidRPr="00A9330B" w:rsidRDefault="00701C80" w:rsidP="00701C80">
      <w:pPr>
        <w:tabs>
          <w:tab w:val="left" w:pos="648"/>
          <w:tab w:val="left" w:pos="8388"/>
          <w:tab w:val="left" w:pos="9210"/>
        </w:tabs>
        <w:spacing w:after="120" w:line="240" w:lineRule="auto"/>
        <w:jc w:val="both"/>
        <w:rPr>
          <w:rFonts w:eastAsia="Calibri" w:cs="Arial"/>
          <w:color w:val="auto"/>
        </w:rPr>
      </w:pPr>
      <w:r w:rsidRPr="00A9330B">
        <w:rPr>
          <w:rFonts w:eastAsia="Calibri" w:cs="Arial"/>
          <w:color w:val="auto"/>
        </w:rPr>
        <w:t>La figure ci-dessous présente l’avis des populations sur l’inondation et les activités économiques dans le milieu récepteur du projet.</w:t>
      </w:r>
    </w:p>
    <w:p w14:paraId="490EB8C7" w14:textId="7C1F7C1E" w:rsidR="00701C80" w:rsidRPr="00A9330B" w:rsidRDefault="002D68D2" w:rsidP="0011523E">
      <w:pPr>
        <w:spacing w:line="360" w:lineRule="auto"/>
        <w:jc w:val="center"/>
        <w:rPr>
          <w:rFonts w:eastAsia="Calibri" w:cs="Arial"/>
          <w:b/>
          <w:color w:val="auto"/>
        </w:rPr>
      </w:pPr>
      <w:bookmarkStart w:id="803" w:name="_Toc51844238"/>
      <w:r w:rsidRPr="00A9330B">
        <w:rPr>
          <w:b/>
          <w:sz w:val="20"/>
          <w:szCs w:val="20"/>
        </w:rPr>
        <w:t xml:space="preserve">Figure </w:t>
      </w:r>
      <w:r w:rsidRPr="00A9330B">
        <w:rPr>
          <w:b/>
          <w:sz w:val="20"/>
          <w:szCs w:val="20"/>
        </w:rPr>
        <w:fldChar w:fldCharType="begin"/>
      </w:r>
      <w:r w:rsidRPr="00A9330B">
        <w:rPr>
          <w:b/>
          <w:sz w:val="20"/>
          <w:szCs w:val="20"/>
        </w:rPr>
        <w:instrText xml:space="preserve"> SEQ Figure \* ARABIC </w:instrText>
      </w:r>
      <w:r w:rsidRPr="00A9330B">
        <w:rPr>
          <w:b/>
          <w:sz w:val="20"/>
          <w:szCs w:val="20"/>
        </w:rPr>
        <w:fldChar w:fldCharType="separate"/>
      </w:r>
      <w:r w:rsidR="00FB5FCD" w:rsidRPr="00A9330B">
        <w:rPr>
          <w:b/>
          <w:noProof/>
          <w:sz w:val="20"/>
          <w:szCs w:val="20"/>
        </w:rPr>
        <w:t>25</w:t>
      </w:r>
      <w:r w:rsidRPr="00A9330B">
        <w:rPr>
          <w:b/>
          <w:sz w:val="20"/>
          <w:szCs w:val="20"/>
        </w:rPr>
        <w:fldChar w:fldCharType="end"/>
      </w:r>
      <w:r w:rsidRPr="00A9330B">
        <w:rPr>
          <w:b/>
          <w:sz w:val="20"/>
          <w:szCs w:val="20"/>
        </w:rPr>
        <w:t xml:space="preserve"> </w:t>
      </w:r>
      <w:r w:rsidR="00701C80" w:rsidRPr="00A9330B">
        <w:rPr>
          <w:rFonts w:eastAsia="Calibri" w:cs="Arial"/>
          <w:b/>
          <w:color w:val="auto"/>
        </w:rPr>
        <w:t>: Impacts des inondations sur les activités économiques</w:t>
      </w:r>
      <w:bookmarkEnd w:id="803"/>
    </w:p>
    <w:p w14:paraId="6C2FB4F7" w14:textId="7D3E60D9" w:rsidR="00512304" w:rsidRPr="00A9330B" w:rsidRDefault="00512304" w:rsidP="0011523E">
      <w:pPr>
        <w:spacing w:line="360" w:lineRule="auto"/>
        <w:jc w:val="center"/>
        <w:rPr>
          <w:rFonts w:eastAsia="Calibri" w:cs="Arial"/>
          <w:b/>
          <w:color w:val="auto"/>
        </w:rPr>
      </w:pPr>
      <w:r w:rsidRPr="00A9330B">
        <w:rPr>
          <w:noProof/>
          <w:lang w:eastAsia="fr-FR"/>
        </w:rPr>
        <w:drawing>
          <wp:inline distT="0" distB="0" distL="0" distR="0" wp14:anchorId="5D1669D4" wp14:editId="518AF6C0">
            <wp:extent cx="3732028" cy="2690038"/>
            <wp:effectExtent l="0" t="0" r="1905" b="15240"/>
            <wp:docPr id="3153" name="Graphique 3153"/>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14:paraId="54D387F4" w14:textId="77777777" w:rsidR="00701C80" w:rsidRPr="00A9330B" w:rsidRDefault="00701C80" w:rsidP="00701C80">
      <w:pPr>
        <w:spacing w:after="240" w:line="240" w:lineRule="auto"/>
        <w:jc w:val="center"/>
        <w:rPr>
          <w:rFonts w:eastAsia="Calibri" w:cs="Arial"/>
          <w:color w:val="auto"/>
          <w:sz w:val="20"/>
          <w:szCs w:val="20"/>
        </w:rPr>
      </w:pPr>
      <w:r w:rsidRPr="00A9330B">
        <w:rPr>
          <w:rFonts w:eastAsia="Calibri" w:cs="Arial"/>
          <w:b/>
          <w:color w:val="auto"/>
          <w:sz w:val="20"/>
          <w:szCs w:val="20"/>
        </w:rPr>
        <w:t>Source :</w:t>
      </w:r>
      <w:r w:rsidRPr="00A9330B">
        <w:rPr>
          <w:rFonts w:eastAsia="Calibri" w:cs="Arial"/>
          <w:color w:val="auto"/>
          <w:sz w:val="20"/>
          <w:szCs w:val="20"/>
        </w:rPr>
        <w:t xml:space="preserve"> Enquête de terrain, juin 2020</w:t>
      </w:r>
    </w:p>
    <w:p w14:paraId="5213776D" w14:textId="77777777" w:rsidR="00701C80" w:rsidRPr="00A9330B" w:rsidRDefault="00701C80" w:rsidP="002D68D2">
      <w:pPr>
        <w:pStyle w:val="NormalWeb"/>
        <w:jc w:val="both"/>
        <w:rPr>
          <w:rFonts w:eastAsia="Calibri"/>
        </w:rPr>
      </w:pPr>
      <w:r w:rsidRPr="00A9330B">
        <w:rPr>
          <w:rFonts w:eastAsia="Calibri"/>
        </w:rPr>
        <w:t>De l’analyse de la figure, il ressort que pendant les inondations, on assiste à la perturbation des activités économiques (70 %) à travers la mévente (26, 21 %) et la faillite (6,26 %) et la perte de biens (29,28 %) à travers les pertes de cultures et autres. La population s’est également prononcée sur les inondations et les milieux traversés par le projet par la figure ci-dessous.</w:t>
      </w:r>
    </w:p>
    <w:p w14:paraId="65C35A9A" w14:textId="19FA2AE1" w:rsidR="00701C80" w:rsidRPr="00A9330B" w:rsidRDefault="002D68D2" w:rsidP="0011523E">
      <w:pPr>
        <w:spacing w:line="360" w:lineRule="auto"/>
        <w:jc w:val="center"/>
        <w:rPr>
          <w:rFonts w:eastAsia="Calibri" w:cs="Arial"/>
          <w:b/>
          <w:color w:val="auto"/>
          <w:sz w:val="20"/>
          <w:szCs w:val="20"/>
        </w:rPr>
      </w:pPr>
      <w:bookmarkStart w:id="804" w:name="_Toc51844239"/>
      <w:r w:rsidRPr="00A9330B">
        <w:rPr>
          <w:rFonts w:cs="Arial"/>
          <w:b/>
          <w:sz w:val="20"/>
          <w:szCs w:val="20"/>
        </w:rPr>
        <w:t xml:space="preserve">Figure </w:t>
      </w:r>
      <w:r w:rsidRPr="00A9330B">
        <w:rPr>
          <w:rFonts w:cs="Arial"/>
          <w:b/>
          <w:sz w:val="20"/>
          <w:szCs w:val="20"/>
        </w:rPr>
        <w:fldChar w:fldCharType="begin"/>
      </w:r>
      <w:r w:rsidRPr="00A9330B">
        <w:rPr>
          <w:rFonts w:cs="Arial"/>
          <w:b/>
          <w:sz w:val="20"/>
          <w:szCs w:val="20"/>
        </w:rPr>
        <w:instrText xml:space="preserve"> SEQ Figure \* ARABIC </w:instrText>
      </w:r>
      <w:r w:rsidRPr="00A9330B">
        <w:rPr>
          <w:rFonts w:cs="Arial"/>
          <w:b/>
          <w:sz w:val="20"/>
          <w:szCs w:val="20"/>
        </w:rPr>
        <w:fldChar w:fldCharType="separate"/>
      </w:r>
      <w:r w:rsidR="00FB5FCD" w:rsidRPr="00A9330B">
        <w:rPr>
          <w:rFonts w:cs="Arial"/>
          <w:b/>
          <w:noProof/>
          <w:sz w:val="20"/>
          <w:szCs w:val="20"/>
        </w:rPr>
        <w:t>26</w:t>
      </w:r>
      <w:r w:rsidRPr="00A9330B">
        <w:rPr>
          <w:rFonts w:cs="Arial"/>
          <w:b/>
          <w:sz w:val="20"/>
          <w:szCs w:val="20"/>
        </w:rPr>
        <w:fldChar w:fldCharType="end"/>
      </w:r>
      <w:r w:rsidRPr="00A9330B">
        <w:rPr>
          <w:rFonts w:cs="Arial"/>
          <w:b/>
          <w:sz w:val="20"/>
          <w:szCs w:val="20"/>
        </w:rPr>
        <w:t xml:space="preserve"> </w:t>
      </w:r>
      <w:r w:rsidR="00701C80" w:rsidRPr="00A9330B">
        <w:rPr>
          <w:rFonts w:eastAsia="Calibri" w:cs="Arial"/>
          <w:b/>
          <w:color w:val="auto"/>
          <w:sz w:val="20"/>
          <w:szCs w:val="20"/>
        </w:rPr>
        <w:t>: Impacts des inondations dans les localités traversées par le projet</w:t>
      </w:r>
      <w:bookmarkEnd w:id="804"/>
    </w:p>
    <w:p w14:paraId="720BF32F" w14:textId="4F7D349B" w:rsidR="00512304" w:rsidRPr="00A9330B" w:rsidRDefault="00512304" w:rsidP="0011523E">
      <w:pPr>
        <w:spacing w:line="360" w:lineRule="auto"/>
        <w:jc w:val="center"/>
        <w:rPr>
          <w:rFonts w:eastAsia="Calibri" w:cs="Arial"/>
          <w:b/>
          <w:color w:val="auto"/>
          <w:sz w:val="20"/>
          <w:szCs w:val="20"/>
        </w:rPr>
      </w:pPr>
      <w:r w:rsidRPr="00A9330B">
        <w:rPr>
          <w:noProof/>
          <w:lang w:eastAsia="fr-FR"/>
        </w:rPr>
        <w:drawing>
          <wp:inline distT="0" distB="0" distL="0" distR="0" wp14:anchorId="1157F2C2" wp14:editId="7608A4C9">
            <wp:extent cx="4537494" cy="2398143"/>
            <wp:effectExtent l="0" t="0" r="15875" b="2540"/>
            <wp:docPr id="3154" name="Graphique 3154"/>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14:paraId="1277C447" w14:textId="77777777" w:rsidR="00701C80" w:rsidRPr="00A9330B" w:rsidRDefault="00701C80" w:rsidP="00701C80">
      <w:pPr>
        <w:spacing w:line="360" w:lineRule="auto"/>
        <w:jc w:val="center"/>
        <w:rPr>
          <w:rFonts w:eastAsia="Calibri" w:cs="Arial"/>
          <w:color w:val="auto"/>
          <w:sz w:val="20"/>
          <w:szCs w:val="20"/>
        </w:rPr>
      </w:pPr>
      <w:r w:rsidRPr="00A9330B">
        <w:rPr>
          <w:rFonts w:eastAsia="Calibri" w:cs="Arial"/>
          <w:b/>
          <w:color w:val="auto"/>
          <w:sz w:val="20"/>
          <w:szCs w:val="20"/>
        </w:rPr>
        <w:t>Source :</w:t>
      </w:r>
      <w:r w:rsidRPr="00A9330B">
        <w:rPr>
          <w:rFonts w:eastAsia="Calibri" w:cs="Arial"/>
          <w:color w:val="auto"/>
          <w:sz w:val="20"/>
          <w:szCs w:val="20"/>
        </w:rPr>
        <w:t xml:space="preserve"> Enquête de terrain, juin 2020</w:t>
      </w:r>
    </w:p>
    <w:p w14:paraId="17B194B6" w14:textId="2F5DCA9A" w:rsidR="00701C80" w:rsidRPr="00A9330B" w:rsidRDefault="00701C80" w:rsidP="00FB5FCD">
      <w:pPr>
        <w:jc w:val="both"/>
      </w:pPr>
      <w:r w:rsidRPr="00A9330B">
        <w:lastRenderedPageBreak/>
        <w:t xml:space="preserve">L’analyse de la figure ressort que la dégradation des routes est le principal impact des inondations (67 %), ensuite la destruction des constructions (24 %) et enfin </w:t>
      </w:r>
      <w:r w:rsidR="00512304" w:rsidRPr="00A9330B">
        <w:t>les court-circuit</w:t>
      </w:r>
      <w:r w:rsidR="009F6E5D" w:rsidRPr="00A9330B">
        <w:t>s</w:t>
      </w:r>
      <w:r w:rsidRPr="00A9330B">
        <w:t xml:space="preserve"> électriques (7 %).</w:t>
      </w:r>
    </w:p>
    <w:p w14:paraId="0C2FF547" w14:textId="77777777" w:rsidR="00484A58" w:rsidRPr="00A9330B" w:rsidRDefault="00484A58" w:rsidP="00FB5FCD">
      <w:pPr>
        <w:jc w:val="both"/>
      </w:pPr>
      <w:bookmarkStart w:id="805" w:name="_Toc45520838"/>
      <w:r w:rsidRPr="00A9330B">
        <w:t>3.2.4.1.4. Réseaux divers (électricité, eau)</w:t>
      </w:r>
      <w:bookmarkEnd w:id="805"/>
      <w:r w:rsidRPr="00A9330B">
        <w:t xml:space="preserve"> </w:t>
      </w:r>
    </w:p>
    <w:p w14:paraId="26E15580" w14:textId="77777777" w:rsidR="00701C80" w:rsidRPr="00A9330B" w:rsidRDefault="00701C80" w:rsidP="00FB5FCD">
      <w:pPr>
        <w:jc w:val="both"/>
      </w:pPr>
      <w:r w:rsidRPr="00A9330B">
        <w:t xml:space="preserve"> 92 % des enquêtés ont un équipement en eau contre 8 % qui n’en possèdent pas. 45 % de ceux qui ont un équipement en eau, ont un compteur sur leur parcelle, 23 % ont un compteur ailleurs, 12 % ont un puits sur la parcelle et 20 % a recours à un puits ailleurs. Les ménages subissant les inondations ont des difficultés d’accès à l’eau pendant les périodes d’inondation (figure ci-dessous).</w:t>
      </w:r>
    </w:p>
    <w:p w14:paraId="7F3B7E17" w14:textId="74C52CAC" w:rsidR="00701C80" w:rsidRPr="00A9330B" w:rsidRDefault="00484A58" w:rsidP="0011523E">
      <w:pPr>
        <w:spacing w:line="360" w:lineRule="auto"/>
        <w:jc w:val="center"/>
        <w:rPr>
          <w:rFonts w:eastAsia="Calibri"/>
          <w:b/>
          <w:sz w:val="20"/>
          <w:szCs w:val="20"/>
        </w:rPr>
      </w:pPr>
      <w:bookmarkStart w:id="806" w:name="_Toc51844240"/>
      <w:r w:rsidRPr="00A9330B">
        <w:rPr>
          <w:b/>
          <w:sz w:val="20"/>
          <w:szCs w:val="20"/>
        </w:rPr>
        <w:t xml:space="preserve">Figure </w:t>
      </w:r>
      <w:r w:rsidR="00C24C74" w:rsidRPr="00A9330B">
        <w:rPr>
          <w:b/>
          <w:noProof/>
          <w:sz w:val="20"/>
          <w:szCs w:val="20"/>
        </w:rPr>
        <w:fldChar w:fldCharType="begin"/>
      </w:r>
      <w:r w:rsidR="00C24C74" w:rsidRPr="00A9330B">
        <w:rPr>
          <w:b/>
          <w:noProof/>
          <w:sz w:val="20"/>
          <w:szCs w:val="20"/>
        </w:rPr>
        <w:instrText xml:space="preserve"> SEQ Figure \* ARABIC </w:instrText>
      </w:r>
      <w:r w:rsidR="00C24C74" w:rsidRPr="00A9330B">
        <w:rPr>
          <w:b/>
          <w:noProof/>
          <w:sz w:val="20"/>
          <w:szCs w:val="20"/>
        </w:rPr>
        <w:fldChar w:fldCharType="separate"/>
      </w:r>
      <w:r w:rsidR="00FB5FCD" w:rsidRPr="00A9330B">
        <w:rPr>
          <w:b/>
          <w:noProof/>
          <w:sz w:val="20"/>
          <w:szCs w:val="20"/>
        </w:rPr>
        <w:t>27</w:t>
      </w:r>
      <w:r w:rsidR="00C24C74" w:rsidRPr="00A9330B">
        <w:rPr>
          <w:b/>
          <w:noProof/>
          <w:sz w:val="20"/>
          <w:szCs w:val="20"/>
        </w:rPr>
        <w:fldChar w:fldCharType="end"/>
      </w:r>
      <w:r w:rsidRPr="00A9330B">
        <w:rPr>
          <w:b/>
          <w:sz w:val="20"/>
          <w:szCs w:val="20"/>
        </w:rPr>
        <w:t> :</w:t>
      </w:r>
      <w:r w:rsidR="00701C80" w:rsidRPr="00A9330B">
        <w:rPr>
          <w:rFonts w:eastAsia="Calibri"/>
          <w:b/>
          <w:sz w:val="20"/>
          <w:szCs w:val="20"/>
        </w:rPr>
        <w:t xml:space="preserve"> Approvisionnement en eau pendant les inondations dans le milieu</w:t>
      </w:r>
      <w:bookmarkEnd w:id="806"/>
    </w:p>
    <w:p w14:paraId="43C80BDB" w14:textId="6C7BA97F" w:rsidR="00512304" w:rsidRPr="00A9330B" w:rsidRDefault="00512304" w:rsidP="0011523E">
      <w:pPr>
        <w:spacing w:line="360" w:lineRule="auto"/>
        <w:jc w:val="center"/>
        <w:rPr>
          <w:rFonts w:eastAsia="Calibri"/>
        </w:rPr>
      </w:pPr>
      <w:r w:rsidRPr="00A9330B">
        <w:rPr>
          <w:noProof/>
          <w:lang w:eastAsia="fr-FR"/>
        </w:rPr>
        <w:drawing>
          <wp:inline distT="0" distB="0" distL="0" distR="0" wp14:anchorId="5F225E47" wp14:editId="4487AE6C">
            <wp:extent cx="4653469" cy="2879388"/>
            <wp:effectExtent l="0" t="0" r="13970" b="16510"/>
            <wp:docPr id="3158" name="Graphique 3158"/>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14:paraId="28614572" w14:textId="77777777" w:rsidR="00701C80" w:rsidRPr="00A9330B" w:rsidRDefault="00701C80" w:rsidP="00701C80">
      <w:pPr>
        <w:spacing w:line="240" w:lineRule="auto"/>
        <w:jc w:val="center"/>
        <w:rPr>
          <w:rFonts w:eastAsia="Calibri" w:cs="Arial"/>
          <w:color w:val="auto"/>
          <w:sz w:val="20"/>
          <w:szCs w:val="20"/>
        </w:rPr>
      </w:pPr>
      <w:r w:rsidRPr="00A9330B">
        <w:rPr>
          <w:rFonts w:eastAsia="Calibri" w:cs="Arial"/>
          <w:b/>
          <w:color w:val="auto"/>
          <w:sz w:val="20"/>
          <w:szCs w:val="20"/>
        </w:rPr>
        <w:t>Source :</w:t>
      </w:r>
      <w:r w:rsidRPr="00A9330B">
        <w:rPr>
          <w:rFonts w:eastAsia="Calibri" w:cs="Arial"/>
          <w:color w:val="auto"/>
          <w:sz w:val="20"/>
          <w:szCs w:val="20"/>
        </w:rPr>
        <w:t xml:space="preserve"> Enquête de terrain, juin 2020</w:t>
      </w:r>
    </w:p>
    <w:p w14:paraId="36B20174" w14:textId="77777777" w:rsidR="00701C80" w:rsidRPr="00A9330B" w:rsidRDefault="00701C80" w:rsidP="00FB5FCD">
      <w:pPr>
        <w:jc w:val="both"/>
      </w:pPr>
      <w:r w:rsidRPr="00A9330B">
        <w:t>De l’analyse de la figure il ressort que la source d’approvisionnement en eau pendant les inondations de la population est essentiellement l’eau de puits avec une proportion de 49,85 %. Cependant, 42,60 % de la population fait recours à la SONEB pendant les inondations contre 6, 6 % qui fait recours eaux des forages.</w:t>
      </w:r>
    </w:p>
    <w:p w14:paraId="0BAC5B2A" w14:textId="77777777" w:rsidR="00701C80" w:rsidRPr="00A9330B" w:rsidRDefault="00484A58" w:rsidP="0064324E">
      <w:pPr>
        <w:pStyle w:val="Titre40"/>
      </w:pPr>
      <w:bookmarkStart w:id="807" w:name="_Toc45520839"/>
      <w:bookmarkStart w:id="808" w:name="_Toc52869641"/>
      <w:r w:rsidRPr="00A9330B">
        <w:t xml:space="preserve">3.2.4.2. </w:t>
      </w:r>
      <w:r w:rsidR="00701C80" w:rsidRPr="00A9330B">
        <w:t>Environnement et assainissement</w:t>
      </w:r>
      <w:bookmarkEnd w:id="807"/>
      <w:bookmarkEnd w:id="808"/>
      <w:r w:rsidR="00701C80" w:rsidRPr="00A9330B">
        <w:t xml:space="preserve"> </w:t>
      </w:r>
    </w:p>
    <w:p w14:paraId="6E32081D" w14:textId="77777777" w:rsidR="00701C80" w:rsidRPr="00A9330B" w:rsidRDefault="00701C80" w:rsidP="00FB5FCD">
      <w:pPr>
        <w:jc w:val="both"/>
      </w:pPr>
      <w:r w:rsidRPr="00A9330B">
        <w:t>La figure ci-dessous présente les modes de gestion des déchets solides ménagers dans le milieu récepteur du projet. De cette figure, on retient que 80 % des ménages ne sont pas abonnés aux structures agréées de pré-collecte des ordures ménagères.</w:t>
      </w:r>
    </w:p>
    <w:p w14:paraId="19DBA079" w14:textId="77777777" w:rsidR="00C30CCB" w:rsidRPr="00A9330B" w:rsidRDefault="00C30CCB">
      <w:pPr>
        <w:spacing w:before="0" w:after="160" w:line="259" w:lineRule="auto"/>
        <w:rPr>
          <w:b/>
          <w:sz w:val="20"/>
          <w:szCs w:val="20"/>
        </w:rPr>
      </w:pPr>
      <w:bookmarkStart w:id="809" w:name="_Toc51844241"/>
      <w:r w:rsidRPr="00A9330B">
        <w:rPr>
          <w:b/>
          <w:sz w:val="20"/>
          <w:szCs w:val="20"/>
        </w:rPr>
        <w:br w:type="page"/>
      </w:r>
    </w:p>
    <w:p w14:paraId="6BE81BC2" w14:textId="49609908" w:rsidR="00701C80" w:rsidRPr="00A9330B" w:rsidRDefault="00484A58" w:rsidP="0011523E">
      <w:pPr>
        <w:spacing w:line="360" w:lineRule="auto"/>
        <w:jc w:val="center"/>
        <w:rPr>
          <w:rFonts w:eastAsia="Calibri" w:cs="Arial"/>
          <w:b/>
          <w:color w:val="auto"/>
          <w:sz w:val="20"/>
          <w:szCs w:val="20"/>
        </w:rPr>
      </w:pPr>
      <w:r w:rsidRPr="00A9330B">
        <w:rPr>
          <w:b/>
          <w:sz w:val="20"/>
          <w:szCs w:val="20"/>
        </w:rPr>
        <w:lastRenderedPageBreak/>
        <w:t xml:space="preserve">Figure </w:t>
      </w:r>
      <w:r w:rsidRPr="00A9330B">
        <w:rPr>
          <w:b/>
          <w:sz w:val="20"/>
          <w:szCs w:val="20"/>
        </w:rPr>
        <w:fldChar w:fldCharType="begin"/>
      </w:r>
      <w:r w:rsidRPr="00A9330B">
        <w:rPr>
          <w:b/>
          <w:sz w:val="20"/>
          <w:szCs w:val="20"/>
        </w:rPr>
        <w:instrText xml:space="preserve"> SEQ Figure \* ARABIC </w:instrText>
      </w:r>
      <w:r w:rsidRPr="00A9330B">
        <w:rPr>
          <w:b/>
          <w:sz w:val="20"/>
          <w:szCs w:val="20"/>
        </w:rPr>
        <w:fldChar w:fldCharType="separate"/>
      </w:r>
      <w:r w:rsidR="00430D7D" w:rsidRPr="00A9330B">
        <w:rPr>
          <w:b/>
          <w:noProof/>
          <w:sz w:val="20"/>
          <w:szCs w:val="20"/>
        </w:rPr>
        <w:t>30</w:t>
      </w:r>
      <w:r w:rsidRPr="00A9330B">
        <w:rPr>
          <w:b/>
          <w:sz w:val="20"/>
          <w:szCs w:val="20"/>
        </w:rPr>
        <w:fldChar w:fldCharType="end"/>
      </w:r>
      <w:r w:rsidRPr="00A9330B">
        <w:rPr>
          <w:b/>
          <w:sz w:val="20"/>
          <w:szCs w:val="20"/>
        </w:rPr>
        <w:t> </w:t>
      </w:r>
      <w:r w:rsidR="00701C80" w:rsidRPr="00A9330B">
        <w:rPr>
          <w:rFonts w:eastAsia="Calibri" w:cs="Arial"/>
          <w:b/>
          <w:color w:val="auto"/>
          <w:sz w:val="20"/>
          <w:szCs w:val="20"/>
        </w:rPr>
        <w:t>: Gestion des déchets par les ménages</w:t>
      </w:r>
      <w:bookmarkEnd w:id="809"/>
    </w:p>
    <w:p w14:paraId="7C36D361" w14:textId="5E583BFA" w:rsidR="00512304" w:rsidRPr="00A9330B" w:rsidRDefault="00512304" w:rsidP="0011523E">
      <w:pPr>
        <w:spacing w:line="360" w:lineRule="auto"/>
        <w:jc w:val="center"/>
        <w:rPr>
          <w:rFonts w:eastAsia="Calibri" w:cs="Arial"/>
          <w:b/>
          <w:color w:val="auto"/>
          <w:sz w:val="20"/>
          <w:szCs w:val="20"/>
        </w:rPr>
      </w:pPr>
      <w:r w:rsidRPr="00A9330B">
        <w:rPr>
          <w:noProof/>
          <w:lang w:eastAsia="fr-FR"/>
        </w:rPr>
        <w:drawing>
          <wp:inline distT="0" distB="0" distL="0" distR="0" wp14:anchorId="7A01DCE1" wp14:editId="6F84F96D">
            <wp:extent cx="4648200" cy="3132000"/>
            <wp:effectExtent l="0" t="0" r="0" b="11430"/>
            <wp:docPr id="3159" name="Graphique 3159"/>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14:paraId="427DC0EF" w14:textId="77777777" w:rsidR="00701C80" w:rsidRPr="00A9330B" w:rsidRDefault="00701C80" w:rsidP="00701C80">
      <w:pPr>
        <w:spacing w:after="240" w:line="240" w:lineRule="auto"/>
        <w:jc w:val="center"/>
        <w:rPr>
          <w:rFonts w:eastAsia="Calibri" w:cs="Arial"/>
          <w:color w:val="auto"/>
          <w:sz w:val="20"/>
          <w:szCs w:val="20"/>
        </w:rPr>
      </w:pPr>
      <w:r w:rsidRPr="00A9330B">
        <w:rPr>
          <w:rFonts w:eastAsia="Calibri" w:cs="Arial"/>
          <w:b/>
          <w:color w:val="auto"/>
          <w:sz w:val="20"/>
          <w:szCs w:val="20"/>
        </w:rPr>
        <w:t>Source :</w:t>
      </w:r>
      <w:r w:rsidRPr="00A9330B">
        <w:rPr>
          <w:rFonts w:eastAsia="Calibri" w:cs="Arial"/>
          <w:color w:val="auto"/>
          <w:sz w:val="20"/>
          <w:szCs w:val="20"/>
        </w:rPr>
        <w:t xml:space="preserve"> Enquête de terrain, juin 2020</w:t>
      </w:r>
    </w:p>
    <w:p w14:paraId="6D5F7A8C" w14:textId="04D716D4" w:rsidR="00701C80" w:rsidRPr="00A9330B" w:rsidRDefault="00701C80" w:rsidP="00FB5FCD">
      <w:pPr>
        <w:jc w:val="both"/>
      </w:pPr>
      <w:r w:rsidRPr="00A9330B">
        <w:t>La figure montre que la population environnante des futurs ouvrages à réaliser jette les déchets ménagers dans les dépotoirs sauvages (36,66 %), dans la brousse et des fossés (31,25 %), dans les rues (11.87 %), dans les parcelles vides (11,04 %). Seulement 6,87 % de la population environnante des ouvrages sont abonné</w:t>
      </w:r>
      <w:r w:rsidR="005822C3" w:rsidRPr="00A9330B">
        <w:t>s</w:t>
      </w:r>
      <w:r w:rsidRPr="00A9330B">
        <w:t xml:space="preserve"> aux ONG de pré-collecte des déchets ménagers. Il ressort également que la population jette les déchets ménagers dans les caniveaux (2,29. La figure ci-dessous présente les stratégies de gestion des infrastructures d’assainissement dans le milieu récepteur du projet. La photo ci-dessous montre un cas de dépotoir sauvage dans l’une des rues en projet.</w:t>
      </w:r>
    </w:p>
    <w:p w14:paraId="60A47F52" w14:textId="7241CD87" w:rsidR="00701C80" w:rsidRPr="00A9330B" w:rsidRDefault="00484A58" w:rsidP="0011523E">
      <w:pPr>
        <w:spacing w:after="120" w:line="240" w:lineRule="auto"/>
        <w:jc w:val="center"/>
        <w:rPr>
          <w:b/>
          <w:sz w:val="20"/>
          <w:szCs w:val="20"/>
        </w:rPr>
      </w:pPr>
      <w:r w:rsidRPr="00A9330B">
        <w:rPr>
          <w:b/>
          <w:sz w:val="20"/>
          <w:szCs w:val="20"/>
        </w:rPr>
        <w:t xml:space="preserve">Photo  </w:t>
      </w:r>
      <w:r w:rsidR="00C24C74" w:rsidRPr="00A9330B">
        <w:rPr>
          <w:b/>
          <w:noProof/>
          <w:sz w:val="20"/>
          <w:szCs w:val="20"/>
        </w:rPr>
        <w:fldChar w:fldCharType="begin"/>
      </w:r>
      <w:r w:rsidR="00C24C74" w:rsidRPr="00A9330B">
        <w:rPr>
          <w:b/>
          <w:noProof/>
          <w:sz w:val="20"/>
          <w:szCs w:val="20"/>
        </w:rPr>
        <w:instrText xml:space="preserve"> SEQ Photo_ \* ARABIC </w:instrText>
      </w:r>
      <w:r w:rsidR="00C24C74" w:rsidRPr="00A9330B">
        <w:rPr>
          <w:b/>
          <w:noProof/>
          <w:sz w:val="20"/>
          <w:szCs w:val="20"/>
        </w:rPr>
        <w:fldChar w:fldCharType="separate"/>
      </w:r>
      <w:r w:rsidR="008C6E12" w:rsidRPr="00A9330B">
        <w:rPr>
          <w:b/>
          <w:noProof/>
          <w:sz w:val="20"/>
          <w:szCs w:val="20"/>
        </w:rPr>
        <w:t>1</w:t>
      </w:r>
      <w:r w:rsidR="00C24C74" w:rsidRPr="00A9330B">
        <w:rPr>
          <w:b/>
          <w:noProof/>
          <w:sz w:val="20"/>
          <w:szCs w:val="20"/>
        </w:rPr>
        <w:fldChar w:fldCharType="end"/>
      </w:r>
      <w:r w:rsidRPr="00A9330B">
        <w:rPr>
          <w:b/>
          <w:sz w:val="20"/>
          <w:szCs w:val="20"/>
        </w:rPr>
        <w:t xml:space="preserve"> : </w:t>
      </w:r>
      <w:r w:rsidR="00701C80" w:rsidRPr="00A9330B">
        <w:rPr>
          <w:b/>
          <w:sz w:val="20"/>
          <w:szCs w:val="20"/>
        </w:rPr>
        <w:t>Un dépotoir sauvage dans l’emprise d’un collecteur retenu pour le projet.</w:t>
      </w:r>
    </w:p>
    <w:p w14:paraId="2813602B" w14:textId="0A5D1908" w:rsidR="00512304" w:rsidRPr="00A9330B" w:rsidRDefault="00512304" w:rsidP="0011523E">
      <w:pPr>
        <w:spacing w:after="120" w:line="240" w:lineRule="auto"/>
        <w:jc w:val="center"/>
      </w:pPr>
      <w:r w:rsidRPr="00A9330B">
        <w:rPr>
          <w:rFonts w:eastAsia="Calibri" w:cs="Arial"/>
          <w:noProof/>
          <w:color w:val="auto"/>
          <w:szCs w:val="18"/>
          <w:lang w:eastAsia="fr-FR"/>
        </w:rPr>
        <w:drawing>
          <wp:inline distT="0" distB="0" distL="0" distR="0" wp14:anchorId="3095FF5B" wp14:editId="0572096C">
            <wp:extent cx="3562709" cy="2980917"/>
            <wp:effectExtent l="0" t="0" r="0" b="0"/>
            <wp:docPr id="3160" name="Image 3160" descr="D:\EIE\BOHICON\PAPVS_Fab\Nati_Photos\PAR NATITINGOU IDANI\Camera\IMG_20200605_0827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IE\BOHICON\PAPVS_Fab\Nati_Photos\PAR NATITINGOU IDANI\Camera\IMG_20200605_082742.jpg"/>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t="37220"/>
                    <a:stretch/>
                  </pic:blipFill>
                  <pic:spPr bwMode="auto">
                    <a:xfrm>
                      <a:off x="0" y="0"/>
                      <a:ext cx="3570192" cy="2987178"/>
                    </a:xfrm>
                    <a:prstGeom prst="rect">
                      <a:avLst/>
                    </a:prstGeom>
                    <a:noFill/>
                    <a:ln>
                      <a:noFill/>
                    </a:ln>
                    <a:extLst>
                      <a:ext uri="{53640926-AAD7-44D8-BBD7-CCE9431645EC}">
                        <a14:shadowObscured xmlns:a14="http://schemas.microsoft.com/office/drawing/2010/main"/>
                      </a:ext>
                    </a:extLst>
                  </pic:spPr>
                </pic:pic>
              </a:graphicData>
            </a:graphic>
          </wp:inline>
        </w:drawing>
      </w:r>
    </w:p>
    <w:p w14:paraId="21B54BA7" w14:textId="77777777" w:rsidR="00701C80" w:rsidRPr="00A9330B" w:rsidRDefault="00701C80" w:rsidP="00701C80">
      <w:pPr>
        <w:spacing w:line="240" w:lineRule="auto"/>
        <w:jc w:val="center"/>
        <w:rPr>
          <w:rFonts w:eastAsia="Times New Roman" w:cs="Arial"/>
          <w:b/>
          <w:bCs/>
          <w:color w:val="000000"/>
          <w:sz w:val="20"/>
          <w:szCs w:val="20"/>
          <w:lang w:eastAsia="fr-FR"/>
        </w:rPr>
      </w:pPr>
      <w:r w:rsidRPr="00A9330B">
        <w:rPr>
          <w:rFonts w:eastAsia="Times New Roman" w:cs="Arial"/>
          <w:b/>
          <w:bCs/>
          <w:color w:val="000000"/>
          <w:sz w:val="20"/>
          <w:szCs w:val="20"/>
          <w:lang w:eastAsia="fr-FR"/>
        </w:rPr>
        <w:t xml:space="preserve">Prise de vue : </w:t>
      </w:r>
      <w:r w:rsidRPr="00A9330B">
        <w:rPr>
          <w:rFonts w:eastAsia="Times New Roman" w:cs="Arial"/>
          <w:bCs/>
          <w:color w:val="000000"/>
          <w:sz w:val="20"/>
          <w:szCs w:val="20"/>
          <w:lang w:eastAsia="fr-FR"/>
        </w:rPr>
        <w:t>Enquêteur, juin 2020</w:t>
      </w:r>
    </w:p>
    <w:p w14:paraId="0A5F0FB4" w14:textId="77777777" w:rsidR="00C30CCB" w:rsidRPr="00A9330B" w:rsidRDefault="00C30CCB" w:rsidP="0011523E">
      <w:pPr>
        <w:spacing w:line="360" w:lineRule="auto"/>
        <w:jc w:val="center"/>
        <w:rPr>
          <w:b/>
          <w:sz w:val="20"/>
          <w:szCs w:val="20"/>
        </w:rPr>
      </w:pPr>
      <w:bookmarkStart w:id="810" w:name="_Toc51844242"/>
    </w:p>
    <w:p w14:paraId="594D0D41" w14:textId="759258A1" w:rsidR="00701C80" w:rsidRPr="00A9330B" w:rsidRDefault="00484A58" w:rsidP="0011523E">
      <w:pPr>
        <w:spacing w:line="360" w:lineRule="auto"/>
        <w:jc w:val="center"/>
        <w:rPr>
          <w:rFonts w:eastAsia="Calibri" w:cs="Arial"/>
          <w:b/>
          <w:color w:val="auto"/>
          <w:sz w:val="20"/>
          <w:szCs w:val="20"/>
        </w:rPr>
      </w:pPr>
      <w:r w:rsidRPr="00A9330B">
        <w:rPr>
          <w:b/>
          <w:sz w:val="20"/>
          <w:szCs w:val="20"/>
        </w:rPr>
        <w:lastRenderedPageBreak/>
        <w:t xml:space="preserve">Figure </w:t>
      </w:r>
      <w:r w:rsidRPr="00A9330B">
        <w:rPr>
          <w:b/>
          <w:sz w:val="20"/>
          <w:szCs w:val="20"/>
        </w:rPr>
        <w:fldChar w:fldCharType="begin"/>
      </w:r>
      <w:r w:rsidRPr="00A9330B">
        <w:rPr>
          <w:b/>
          <w:sz w:val="20"/>
          <w:szCs w:val="20"/>
        </w:rPr>
        <w:instrText xml:space="preserve"> SEQ Figure \* ARABIC </w:instrText>
      </w:r>
      <w:r w:rsidRPr="00A9330B">
        <w:rPr>
          <w:b/>
          <w:sz w:val="20"/>
          <w:szCs w:val="20"/>
        </w:rPr>
        <w:fldChar w:fldCharType="separate"/>
      </w:r>
      <w:r w:rsidR="00FB5FCD" w:rsidRPr="00A9330B">
        <w:rPr>
          <w:b/>
          <w:noProof/>
          <w:sz w:val="20"/>
          <w:szCs w:val="20"/>
        </w:rPr>
        <w:t>29</w:t>
      </w:r>
      <w:r w:rsidRPr="00A9330B">
        <w:rPr>
          <w:b/>
          <w:sz w:val="20"/>
          <w:szCs w:val="20"/>
        </w:rPr>
        <w:fldChar w:fldCharType="end"/>
      </w:r>
      <w:r w:rsidRPr="00A9330B">
        <w:rPr>
          <w:b/>
          <w:sz w:val="20"/>
          <w:szCs w:val="20"/>
        </w:rPr>
        <w:t> </w:t>
      </w:r>
      <w:r w:rsidR="00701C80" w:rsidRPr="00A9330B">
        <w:rPr>
          <w:rFonts w:eastAsia="Calibri" w:cs="Arial"/>
          <w:b/>
          <w:color w:val="auto"/>
          <w:sz w:val="20"/>
          <w:szCs w:val="20"/>
        </w:rPr>
        <w:t>: Stratégies de gestion des infrastructures d’hygiène et d’assainissement</w:t>
      </w:r>
      <w:bookmarkEnd w:id="810"/>
    </w:p>
    <w:p w14:paraId="5B8374B2" w14:textId="5D20A4CF" w:rsidR="00512304" w:rsidRPr="00A9330B" w:rsidRDefault="00512304" w:rsidP="0011523E">
      <w:pPr>
        <w:spacing w:line="360" w:lineRule="auto"/>
        <w:jc w:val="center"/>
        <w:rPr>
          <w:rFonts w:eastAsia="Calibri" w:cs="Arial"/>
          <w:b/>
          <w:color w:val="auto"/>
          <w:sz w:val="20"/>
          <w:szCs w:val="20"/>
        </w:rPr>
      </w:pPr>
      <w:r w:rsidRPr="00A9330B">
        <w:rPr>
          <w:noProof/>
          <w:lang w:eastAsia="fr-FR"/>
        </w:rPr>
        <w:drawing>
          <wp:inline distT="0" distB="0" distL="0" distR="0" wp14:anchorId="485F725D" wp14:editId="10B33979">
            <wp:extent cx="4572000" cy="2743200"/>
            <wp:effectExtent l="0" t="0" r="0" b="0"/>
            <wp:docPr id="3161" name="Graphique 3161"/>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14:paraId="7C025EC3" w14:textId="77777777" w:rsidR="00701C80" w:rsidRPr="00A9330B" w:rsidRDefault="00701C80" w:rsidP="00701C80">
      <w:pPr>
        <w:spacing w:after="240" w:line="240" w:lineRule="auto"/>
        <w:jc w:val="center"/>
        <w:rPr>
          <w:rFonts w:eastAsia="Calibri" w:cs="Arial"/>
          <w:color w:val="auto"/>
          <w:sz w:val="20"/>
          <w:szCs w:val="20"/>
        </w:rPr>
      </w:pPr>
      <w:r w:rsidRPr="00A9330B">
        <w:rPr>
          <w:rFonts w:eastAsia="Calibri" w:cs="Arial"/>
          <w:b/>
          <w:color w:val="auto"/>
          <w:sz w:val="20"/>
          <w:szCs w:val="20"/>
        </w:rPr>
        <w:t>Source :</w:t>
      </w:r>
      <w:r w:rsidRPr="00A9330B">
        <w:rPr>
          <w:rFonts w:eastAsia="Calibri" w:cs="Arial"/>
          <w:color w:val="auto"/>
          <w:sz w:val="20"/>
          <w:szCs w:val="20"/>
        </w:rPr>
        <w:t xml:space="preserve"> Enquête de terrain, juin 2020</w:t>
      </w:r>
    </w:p>
    <w:p w14:paraId="01FA4B1E" w14:textId="41DFAE7D" w:rsidR="00701C80" w:rsidRPr="00A9330B" w:rsidRDefault="00701C80" w:rsidP="00FB5FCD">
      <w:pPr>
        <w:jc w:val="both"/>
      </w:pPr>
      <w:r w:rsidRPr="00A9330B">
        <w:t xml:space="preserve">De l’analyse de la figure </w:t>
      </w:r>
      <w:r w:rsidR="00484A58" w:rsidRPr="00A9330B">
        <w:t xml:space="preserve">27, </w:t>
      </w:r>
      <w:r w:rsidRPr="00A9330B">
        <w:t xml:space="preserve">il ressort qu’environ 58,31 % des ménages pensent que la </w:t>
      </w:r>
      <w:r w:rsidR="007553CA" w:rsidRPr="00A9330B">
        <w:t>mairie n’a</w:t>
      </w:r>
      <w:r w:rsidRPr="00A9330B">
        <w:t xml:space="preserve"> </w:t>
      </w:r>
      <w:r w:rsidR="007553CA" w:rsidRPr="00A9330B">
        <w:t>aucune stratégie</w:t>
      </w:r>
      <w:r w:rsidRPr="00A9330B">
        <w:t xml:space="preserve"> de gestion des i</w:t>
      </w:r>
      <w:r w:rsidR="00484A58" w:rsidRPr="00A9330B">
        <w:t>nfrastructures d'assainissement</w:t>
      </w:r>
      <w:r w:rsidR="005822C3" w:rsidRPr="00A9330B">
        <w:t xml:space="preserve"> </w:t>
      </w:r>
      <w:r w:rsidRPr="00A9330B">
        <w:t>(Caniveaux). Cependant 29,03 % des ménages ont affirmé que la mairie associe les riverains pour l’entretien des ouvrages d’assainissement par contre 12,65 % de ces ménages estime que ces entretiens sont confiés sur contrat de prestation.</w:t>
      </w:r>
    </w:p>
    <w:p w14:paraId="7A205D24" w14:textId="6DB1762D" w:rsidR="00701C80" w:rsidRPr="00A9330B" w:rsidRDefault="00701C80" w:rsidP="00FB5FCD">
      <w:pPr>
        <w:jc w:val="both"/>
        <w:rPr>
          <w:bCs/>
          <w:color w:val="000000"/>
          <w:szCs w:val="28"/>
        </w:rPr>
      </w:pPr>
      <w:r w:rsidRPr="00A9330B">
        <w:rPr>
          <w:bCs/>
          <w:color w:val="000000"/>
          <w:szCs w:val="28"/>
        </w:rPr>
        <w:t xml:space="preserve">72 % des enquêtés ont des latrines comme installations sanitaires (WC) contre 28 % qui n’en ont pas. 25 % de ceux qui possèdent des installations sanitaires utilisent le service de vidange formel, 15 % utilisent le mode de vidange </w:t>
      </w:r>
      <w:r w:rsidR="007553CA" w:rsidRPr="00A9330B">
        <w:rPr>
          <w:bCs/>
          <w:color w:val="000000"/>
          <w:szCs w:val="28"/>
        </w:rPr>
        <w:t>manuelle, 10</w:t>
      </w:r>
      <w:r w:rsidRPr="00A9330B">
        <w:rPr>
          <w:bCs/>
          <w:color w:val="000000"/>
          <w:szCs w:val="28"/>
        </w:rPr>
        <w:t xml:space="preserve"> % ont le système de trou bouché et 40 % n’ont jamais vidangé leurs installations. Ceux qui ne possèdent pas de latrines vont souvent se mettre </w:t>
      </w:r>
      <w:r w:rsidR="005822C3" w:rsidRPr="00A9330B">
        <w:rPr>
          <w:bCs/>
          <w:color w:val="000000"/>
          <w:szCs w:val="28"/>
        </w:rPr>
        <w:t xml:space="preserve">à l’aise </w:t>
      </w:r>
      <w:r w:rsidRPr="00A9330B">
        <w:rPr>
          <w:bCs/>
          <w:color w:val="000000"/>
          <w:szCs w:val="28"/>
        </w:rPr>
        <w:t>dans la brousse.</w:t>
      </w:r>
    </w:p>
    <w:p w14:paraId="46A22478" w14:textId="3867584D" w:rsidR="00701C80" w:rsidRPr="00A9330B" w:rsidRDefault="00701C80" w:rsidP="00FB5FCD">
      <w:pPr>
        <w:jc w:val="both"/>
        <w:rPr>
          <w:bCs/>
          <w:color w:val="000000"/>
          <w:szCs w:val="28"/>
        </w:rPr>
      </w:pPr>
      <w:r w:rsidRPr="00A9330B">
        <w:rPr>
          <w:bCs/>
          <w:color w:val="000000"/>
          <w:szCs w:val="28"/>
        </w:rPr>
        <w:t>96 % des enquêtés possèdent des installations sanitaires (douches) contre 4 % qui n’en possède</w:t>
      </w:r>
      <w:r w:rsidR="005822C3" w:rsidRPr="00A9330B">
        <w:rPr>
          <w:bCs/>
          <w:color w:val="000000"/>
          <w:szCs w:val="28"/>
        </w:rPr>
        <w:t>nt</w:t>
      </w:r>
      <w:r w:rsidRPr="00A9330B">
        <w:rPr>
          <w:bCs/>
          <w:color w:val="000000"/>
          <w:szCs w:val="28"/>
        </w:rPr>
        <w:t xml:space="preserve"> pas. 71 % des enquêtés possèdent une douche privée avec puisard contre 29 % qui possèdent une douche privée sans puisard.</w:t>
      </w:r>
    </w:p>
    <w:p w14:paraId="454CFCAC" w14:textId="77777777" w:rsidR="00D676D0" w:rsidRPr="00A9330B" w:rsidRDefault="00D676D0" w:rsidP="00FB5FCD">
      <w:pPr>
        <w:jc w:val="both"/>
        <w:rPr>
          <w:rFonts w:eastAsia="Times New Roman" w:cs="Calibri"/>
          <w:szCs w:val="24"/>
        </w:rPr>
      </w:pPr>
      <w:r w:rsidRPr="00A9330B">
        <w:rPr>
          <w:rFonts w:eastAsia="Times New Roman" w:cs="Calibri"/>
          <w:szCs w:val="24"/>
        </w:rPr>
        <w:t>La situation paraît plus préoccupante aujourd’hui, puisqu’au fil des années, des dysfonctionnements sont intervenus dans le système de collecte et d’élimination des DSM de la ville de Natitingou. Le seul point de regroupement restant (celui de marché central) n’est plus fonctionnel. Ce qui a favorisé l’existence des dépotoirs sauvages dans ladite ville (figure ci-dessous).</w:t>
      </w:r>
    </w:p>
    <w:p w14:paraId="020C3E57" w14:textId="77777777" w:rsidR="00FB5FCD" w:rsidRPr="00A9330B" w:rsidRDefault="00FB5FCD">
      <w:pPr>
        <w:spacing w:before="0" w:after="160" w:line="259" w:lineRule="auto"/>
      </w:pPr>
      <w:r w:rsidRPr="00A9330B">
        <w:br w:type="page"/>
      </w:r>
    </w:p>
    <w:p w14:paraId="5AD8DB3A" w14:textId="016F877E" w:rsidR="00D676D0" w:rsidRPr="00A9330B" w:rsidRDefault="0037530E" w:rsidP="0011523E">
      <w:pPr>
        <w:tabs>
          <w:tab w:val="left" w:pos="648"/>
          <w:tab w:val="left" w:pos="8388"/>
          <w:tab w:val="left" w:pos="9210"/>
        </w:tabs>
        <w:spacing w:after="120" w:line="240" w:lineRule="auto"/>
        <w:jc w:val="center"/>
        <w:rPr>
          <w:b/>
          <w:noProof/>
          <w:sz w:val="20"/>
          <w:szCs w:val="20"/>
        </w:rPr>
      </w:pPr>
      <w:bookmarkStart w:id="811" w:name="_Toc51844243"/>
      <w:r w:rsidRPr="00A9330B">
        <w:rPr>
          <w:b/>
          <w:sz w:val="20"/>
          <w:szCs w:val="20"/>
        </w:rPr>
        <w:lastRenderedPageBreak/>
        <w:t xml:space="preserve">Figure </w:t>
      </w:r>
      <w:r w:rsidR="00CB6BF2" w:rsidRPr="00A9330B">
        <w:rPr>
          <w:b/>
          <w:sz w:val="20"/>
          <w:szCs w:val="20"/>
        </w:rPr>
        <w:fldChar w:fldCharType="begin"/>
      </w:r>
      <w:r w:rsidR="00CB6BF2" w:rsidRPr="00A9330B">
        <w:rPr>
          <w:b/>
          <w:sz w:val="20"/>
          <w:szCs w:val="20"/>
        </w:rPr>
        <w:instrText xml:space="preserve"> SEQ Figure \* ARABIC </w:instrText>
      </w:r>
      <w:r w:rsidR="00CB6BF2" w:rsidRPr="00A9330B">
        <w:rPr>
          <w:b/>
          <w:sz w:val="20"/>
          <w:szCs w:val="20"/>
        </w:rPr>
        <w:fldChar w:fldCharType="separate"/>
      </w:r>
      <w:r w:rsidR="00FB5FCD" w:rsidRPr="00A9330B">
        <w:rPr>
          <w:b/>
          <w:noProof/>
          <w:sz w:val="20"/>
          <w:szCs w:val="20"/>
        </w:rPr>
        <w:t>30</w:t>
      </w:r>
      <w:r w:rsidR="00CB6BF2" w:rsidRPr="00A9330B">
        <w:rPr>
          <w:b/>
          <w:noProof/>
          <w:sz w:val="20"/>
          <w:szCs w:val="20"/>
        </w:rPr>
        <w:fldChar w:fldCharType="end"/>
      </w:r>
      <w:r w:rsidRPr="00A9330B">
        <w:rPr>
          <w:b/>
          <w:sz w:val="20"/>
          <w:szCs w:val="20"/>
        </w:rPr>
        <w:t> </w:t>
      </w:r>
      <w:r w:rsidR="00512304" w:rsidRPr="00A9330B">
        <w:rPr>
          <w:b/>
          <w:sz w:val="20"/>
          <w:szCs w:val="20"/>
        </w:rPr>
        <w:t>: Dépotoirs</w:t>
      </w:r>
      <w:r w:rsidR="00D676D0" w:rsidRPr="00A9330B">
        <w:rPr>
          <w:b/>
          <w:noProof/>
          <w:sz w:val="20"/>
          <w:szCs w:val="20"/>
        </w:rPr>
        <w:t xml:space="preserve"> sauvages dans la ville de Natitingou</w:t>
      </w:r>
      <w:bookmarkEnd w:id="811"/>
    </w:p>
    <w:p w14:paraId="7FD46EBE" w14:textId="13A96AE2" w:rsidR="00512304" w:rsidRPr="00A9330B" w:rsidRDefault="00512304" w:rsidP="0011523E">
      <w:pPr>
        <w:tabs>
          <w:tab w:val="left" w:pos="648"/>
          <w:tab w:val="left" w:pos="8388"/>
          <w:tab w:val="left" w:pos="9210"/>
        </w:tabs>
        <w:spacing w:after="120" w:line="240" w:lineRule="auto"/>
        <w:jc w:val="center"/>
      </w:pPr>
      <w:r w:rsidRPr="00A9330B">
        <w:rPr>
          <w:b/>
          <w:noProof/>
          <w:lang w:eastAsia="fr-FR"/>
        </w:rPr>
        <w:drawing>
          <wp:inline distT="0" distB="0" distL="0" distR="0" wp14:anchorId="65761D51" wp14:editId="51DA637E">
            <wp:extent cx="5368925" cy="7591774"/>
            <wp:effectExtent l="0" t="0" r="3175" b="9525"/>
            <wp:docPr id="3162" name="Image 3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NAT2_depo.jpe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5380061" cy="7607521"/>
                    </a:xfrm>
                    <a:prstGeom prst="rect">
                      <a:avLst/>
                    </a:prstGeom>
                  </pic:spPr>
                </pic:pic>
              </a:graphicData>
            </a:graphic>
          </wp:inline>
        </w:drawing>
      </w:r>
    </w:p>
    <w:p w14:paraId="555DD9D9" w14:textId="77777777" w:rsidR="00701C80" w:rsidRPr="00A9330B" w:rsidRDefault="00701C80" w:rsidP="00701C80">
      <w:pPr>
        <w:spacing w:line="120" w:lineRule="auto"/>
        <w:jc w:val="center"/>
        <w:rPr>
          <w:rFonts w:eastAsia="Times New Roman" w:cs="Times New Roman"/>
          <w:b/>
          <w:bCs/>
          <w:color w:val="auto"/>
        </w:rPr>
      </w:pPr>
    </w:p>
    <w:p w14:paraId="76C73FDE" w14:textId="77777777" w:rsidR="0037530E" w:rsidRPr="00A9330B" w:rsidRDefault="0037530E" w:rsidP="00213AFE">
      <w:pPr>
        <w:widowControl w:val="0"/>
        <w:spacing w:before="0" w:after="120" w:line="300" w:lineRule="exact"/>
        <w:contextualSpacing/>
        <w:jc w:val="both"/>
        <w:rPr>
          <w:rFonts w:eastAsia="Times New Roman" w:cs="Times New Roman"/>
          <w:b/>
          <w:color w:val="auto"/>
          <w:szCs w:val="24"/>
        </w:rPr>
      </w:pPr>
    </w:p>
    <w:p w14:paraId="21BCC5DF" w14:textId="7AD2A830" w:rsidR="00213AFE" w:rsidRPr="00A9330B" w:rsidRDefault="00213AFE" w:rsidP="00213AFE">
      <w:pPr>
        <w:widowControl w:val="0"/>
        <w:spacing w:after="120" w:line="300" w:lineRule="exact"/>
        <w:jc w:val="both"/>
        <w:rPr>
          <w:rFonts w:eastAsia="Times New Roman" w:cs="Times New Roman"/>
          <w:color w:val="auto"/>
          <w:szCs w:val="24"/>
          <w:lang w:eastAsia="fr-FR"/>
        </w:rPr>
      </w:pPr>
      <w:r w:rsidRPr="00A9330B">
        <w:rPr>
          <w:rFonts w:eastAsia="Times New Roman" w:cs="Times New Roman"/>
          <w:color w:val="auto"/>
          <w:szCs w:val="24"/>
          <w:lang w:eastAsia="fr-FR"/>
        </w:rPr>
        <w:t xml:space="preserve">La mairie de Natitingou a commencé l’expérience de la gestion des ordures ménagères avec quatre ONG. Sur cette base, la ville a été découpée en quatre zones. Chaque zone est attribuée à une ONG de pré-collecte. La ville s’est dotée ensuite de deux (02) points de transit (point de regroupement) et </w:t>
      </w:r>
      <w:r w:rsidRPr="00A9330B">
        <w:rPr>
          <w:rFonts w:eastAsia="Times New Roman" w:cs="Calibri"/>
          <w:color w:val="auto"/>
          <w:szCs w:val="24"/>
        </w:rPr>
        <w:t xml:space="preserve">d’une grande décharge finale à Moukoko-Tamou au nord-ouest à </w:t>
      </w:r>
      <w:r w:rsidRPr="00A9330B">
        <w:rPr>
          <w:rFonts w:eastAsia="Times New Roman" w:cs="Calibri"/>
          <w:color w:val="auto"/>
          <w:szCs w:val="24"/>
        </w:rPr>
        <w:lastRenderedPageBreak/>
        <w:t xml:space="preserve">environ 12 km de la ville. </w:t>
      </w:r>
      <w:r w:rsidRPr="00A9330B">
        <w:rPr>
          <w:rFonts w:eastAsia="Times New Roman" w:cs="Times New Roman"/>
          <w:color w:val="auto"/>
          <w:szCs w:val="24"/>
          <w:lang w:eastAsia="fr-FR"/>
        </w:rPr>
        <w:t xml:space="preserve">Avec l’appui de la direction départementale du cadre de vie, la mairie a négocié auprès de l’entreprise SOGEA-SATOM, </w:t>
      </w:r>
      <w:r w:rsidRPr="00A9330B">
        <w:rPr>
          <w:rFonts w:eastAsia="Times New Roman" w:cs="Calibri"/>
          <w:color w:val="auto"/>
          <w:szCs w:val="24"/>
        </w:rPr>
        <w:t xml:space="preserve">lors de la construction de la route Natitingou-Boukoumbé, </w:t>
      </w:r>
      <w:r w:rsidRPr="00A9330B">
        <w:rPr>
          <w:rFonts w:eastAsia="Times New Roman" w:cs="Times New Roman"/>
          <w:color w:val="auto"/>
          <w:szCs w:val="24"/>
          <w:lang w:eastAsia="fr-FR"/>
        </w:rPr>
        <w:t>la création d’une décharge finale moderne où les ordures seront recyclées et serviront de compos</w:t>
      </w:r>
      <w:r w:rsidR="005822C3" w:rsidRPr="00A9330B">
        <w:rPr>
          <w:rFonts w:eastAsia="Times New Roman" w:cs="Times New Roman"/>
          <w:color w:val="auto"/>
          <w:szCs w:val="24"/>
          <w:lang w:eastAsia="fr-FR"/>
        </w:rPr>
        <w:t>t</w:t>
      </w:r>
      <w:r w:rsidRPr="00A9330B">
        <w:rPr>
          <w:rFonts w:eastAsia="Times New Roman" w:cs="Times New Roman"/>
          <w:color w:val="auto"/>
          <w:szCs w:val="24"/>
          <w:lang w:eastAsia="fr-FR"/>
        </w:rPr>
        <w:t>es pour le maraichage ». Cette décharge finale est juste une aire de dépôt des ordures pré-collectées au niveau de la ville avec un bâtiment non fonctionnel.</w:t>
      </w:r>
    </w:p>
    <w:p w14:paraId="61FFCDD5" w14:textId="77777777" w:rsidR="00213AFE" w:rsidRPr="00A9330B" w:rsidRDefault="00213AFE" w:rsidP="00213AFE">
      <w:pPr>
        <w:widowControl w:val="0"/>
        <w:spacing w:after="120" w:line="300" w:lineRule="exact"/>
        <w:jc w:val="both"/>
        <w:rPr>
          <w:rFonts w:eastAsia="Times New Roman" w:cs="Calibri"/>
          <w:color w:val="auto"/>
          <w:szCs w:val="24"/>
        </w:rPr>
      </w:pPr>
      <w:r w:rsidRPr="00A9330B">
        <w:rPr>
          <w:rFonts w:eastAsia="Times New Roman" w:cs="Calibri"/>
          <w:color w:val="auto"/>
          <w:szCs w:val="24"/>
        </w:rPr>
        <w:t xml:space="preserve">La visite des points de regroupement ont permis de constater que celui situé non loin du mausolée de Kouandété n’est pas opérationnel depuis des années. </w:t>
      </w:r>
    </w:p>
    <w:p w14:paraId="2D884BB5" w14:textId="77777777" w:rsidR="00213AFE" w:rsidRPr="00A9330B" w:rsidRDefault="00213AFE" w:rsidP="00213AFE">
      <w:pPr>
        <w:widowControl w:val="0"/>
        <w:spacing w:after="120" w:line="300" w:lineRule="exact"/>
        <w:jc w:val="both"/>
        <w:rPr>
          <w:rFonts w:eastAsia="Times New Roman" w:cs="Calibri"/>
          <w:color w:val="auto"/>
          <w:szCs w:val="24"/>
        </w:rPr>
      </w:pPr>
      <w:r w:rsidRPr="00A9330B">
        <w:rPr>
          <w:rFonts w:eastAsia="Times New Roman" w:cs="Calibri"/>
          <w:color w:val="auto"/>
          <w:szCs w:val="24"/>
        </w:rPr>
        <w:t xml:space="preserve">Pour assurer le service de pré-collecte dans la ville de Natitingou, des tricycles ont été mis à la disposition des ONG par la Mairie avec l’appui du PLE (Partenariat Local de l’Eau). Jusqu’en 2013, seuls treize (13) quartiers (Kantaborifa, Winkè, Santa, Yokossi, Bagri, Tchirimina, Djindjeri– Béri, Boriyouré, Dassagaté, Sountchirantikou, Ourbouga, Yimporima et Forêt déclassée) sont couverts par les quatre ONG. </w:t>
      </w:r>
    </w:p>
    <w:p w14:paraId="60CD24BC" w14:textId="5006BDE5" w:rsidR="00213AFE" w:rsidRPr="00A9330B" w:rsidRDefault="00213AFE" w:rsidP="00213AFE">
      <w:pPr>
        <w:widowControl w:val="0"/>
        <w:spacing w:after="120" w:line="300" w:lineRule="exact"/>
        <w:jc w:val="both"/>
        <w:rPr>
          <w:rFonts w:eastAsia="Times New Roman" w:cs="Calibri"/>
          <w:color w:val="auto"/>
          <w:szCs w:val="24"/>
        </w:rPr>
      </w:pPr>
      <w:r w:rsidRPr="00A9330B">
        <w:rPr>
          <w:rFonts w:eastAsia="Times New Roman" w:cs="Calibri"/>
          <w:color w:val="auto"/>
          <w:szCs w:val="24"/>
        </w:rPr>
        <w:t>Il faut toutefois</w:t>
      </w:r>
      <w:r w:rsidR="002E526A" w:rsidRPr="00A9330B">
        <w:rPr>
          <w:rFonts w:eastAsia="Times New Roman" w:cs="Calibri"/>
          <w:color w:val="auto"/>
          <w:szCs w:val="24"/>
        </w:rPr>
        <w:t xml:space="preserve"> à </w:t>
      </w:r>
      <w:r w:rsidRPr="00A9330B">
        <w:rPr>
          <w:rFonts w:eastAsia="Times New Roman" w:cs="Calibri"/>
          <w:color w:val="auto"/>
          <w:szCs w:val="24"/>
        </w:rPr>
        <w:t>préciser que non seulement les treize (13) quartiers ne sont pas totalement couverts par les ONG, mais aussi, au moins six (6) quartiers urbains de Natitingou ne bénéficient pas du service de pré-collecte des ordures ménagères. Ces ONG pour répondre à l’attente des autorités et à la population doivent être renforcées et leurs équipes de travai</w:t>
      </w:r>
      <w:r w:rsidR="002E526A" w:rsidRPr="00A9330B">
        <w:rPr>
          <w:rFonts w:eastAsia="Times New Roman" w:cs="Calibri"/>
          <w:color w:val="auto"/>
          <w:szCs w:val="24"/>
        </w:rPr>
        <w:t>l formées</w:t>
      </w:r>
      <w:r w:rsidRPr="00A9330B">
        <w:rPr>
          <w:rFonts w:eastAsia="Times New Roman" w:cs="Calibri"/>
          <w:color w:val="auto"/>
          <w:szCs w:val="24"/>
        </w:rPr>
        <w:t>.</w:t>
      </w:r>
    </w:p>
    <w:p w14:paraId="0C7B33E6" w14:textId="77777777" w:rsidR="00701C80" w:rsidRPr="00A9330B" w:rsidRDefault="00484A58" w:rsidP="0064324E">
      <w:pPr>
        <w:pStyle w:val="Titre40"/>
      </w:pPr>
      <w:bookmarkStart w:id="812" w:name="_Toc45520840"/>
      <w:bookmarkStart w:id="813" w:name="_Toc52869642"/>
      <w:r w:rsidRPr="00A9330B">
        <w:t xml:space="preserve">3.2.4.3. Contraintes et perspectives liées aux activités du </w:t>
      </w:r>
      <w:r w:rsidR="00701C80" w:rsidRPr="00A9330B">
        <w:t>projet</w:t>
      </w:r>
      <w:bookmarkEnd w:id="812"/>
      <w:bookmarkEnd w:id="813"/>
    </w:p>
    <w:p w14:paraId="6D82BEC4" w14:textId="77777777" w:rsidR="00701C80" w:rsidRPr="00A9330B" w:rsidRDefault="00701C80" w:rsidP="00701C80">
      <w:pPr>
        <w:spacing w:line="360" w:lineRule="auto"/>
        <w:jc w:val="both"/>
        <w:rPr>
          <w:rFonts w:eastAsia="Calibri" w:cs="Arial"/>
          <w:color w:val="auto"/>
        </w:rPr>
      </w:pPr>
      <w:r w:rsidRPr="00A9330B">
        <w:rPr>
          <w:rFonts w:eastAsia="Calibri" w:cs="Arial"/>
          <w:color w:val="auto"/>
        </w:rPr>
        <w:t xml:space="preserve">La figure ci-dessous renseigne sur les craintes de la population avant la réalisation du projet. </w:t>
      </w:r>
    </w:p>
    <w:p w14:paraId="059C8E92" w14:textId="0D1D13C3" w:rsidR="00701C80" w:rsidRPr="00A9330B" w:rsidRDefault="00484A58" w:rsidP="0011523E">
      <w:pPr>
        <w:spacing w:line="360" w:lineRule="auto"/>
        <w:jc w:val="center"/>
        <w:rPr>
          <w:b/>
        </w:rPr>
      </w:pPr>
      <w:bookmarkStart w:id="814" w:name="_Toc51844244"/>
      <w:r w:rsidRPr="00A9330B">
        <w:rPr>
          <w:b/>
        </w:rPr>
        <w:t xml:space="preserve">Figure </w:t>
      </w:r>
      <w:r w:rsidRPr="00A9330B">
        <w:rPr>
          <w:b/>
        </w:rPr>
        <w:fldChar w:fldCharType="begin"/>
      </w:r>
      <w:r w:rsidRPr="00A9330B">
        <w:rPr>
          <w:b/>
        </w:rPr>
        <w:instrText xml:space="preserve"> SEQ Figure \* ARABIC </w:instrText>
      </w:r>
      <w:r w:rsidRPr="00A9330B">
        <w:rPr>
          <w:b/>
        </w:rPr>
        <w:fldChar w:fldCharType="separate"/>
      </w:r>
      <w:r w:rsidR="00FB5FCD" w:rsidRPr="00A9330B">
        <w:rPr>
          <w:b/>
          <w:noProof/>
        </w:rPr>
        <w:t>31</w:t>
      </w:r>
      <w:r w:rsidRPr="00A9330B">
        <w:rPr>
          <w:b/>
        </w:rPr>
        <w:fldChar w:fldCharType="end"/>
      </w:r>
      <w:r w:rsidRPr="00A9330B">
        <w:rPr>
          <w:b/>
        </w:rPr>
        <w:t xml:space="preserve"> : </w:t>
      </w:r>
      <w:r w:rsidR="00701C80" w:rsidRPr="00A9330B">
        <w:rPr>
          <w:b/>
        </w:rPr>
        <w:t>Craintes par rapport à la réalisation des travaux</w:t>
      </w:r>
      <w:bookmarkEnd w:id="814"/>
    </w:p>
    <w:p w14:paraId="70BE1214" w14:textId="46C88173" w:rsidR="00992C3B" w:rsidRPr="00A9330B" w:rsidRDefault="00992C3B" w:rsidP="0011523E">
      <w:pPr>
        <w:spacing w:line="360" w:lineRule="auto"/>
        <w:jc w:val="center"/>
        <w:rPr>
          <w:b/>
        </w:rPr>
      </w:pPr>
      <w:r w:rsidRPr="00A9330B">
        <w:rPr>
          <w:noProof/>
          <w:lang w:eastAsia="fr-FR"/>
        </w:rPr>
        <w:drawing>
          <wp:inline distT="0" distB="0" distL="0" distR="0" wp14:anchorId="151B001B" wp14:editId="60C28034">
            <wp:extent cx="4572000" cy="2880000"/>
            <wp:effectExtent l="0" t="0" r="0" b="15875"/>
            <wp:docPr id="3179" name="Graphique 3179"/>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p w14:paraId="6216383A" w14:textId="77777777" w:rsidR="00701C80" w:rsidRPr="00A9330B" w:rsidRDefault="00701C80" w:rsidP="00484A58">
      <w:pPr>
        <w:jc w:val="center"/>
      </w:pPr>
      <w:r w:rsidRPr="00A9330B">
        <w:rPr>
          <w:b/>
        </w:rPr>
        <w:t>Source :</w:t>
      </w:r>
      <w:r w:rsidRPr="00A9330B">
        <w:t xml:space="preserve"> Enquête de terrain, juin 2020</w:t>
      </w:r>
    </w:p>
    <w:p w14:paraId="0977E3F6" w14:textId="77777777" w:rsidR="00701C80" w:rsidRPr="00A9330B" w:rsidRDefault="00484A58" w:rsidP="00FB5FCD">
      <w:pPr>
        <w:jc w:val="both"/>
      </w:pPr>
      <w:r w:rsidRPr="00A9330B">
        <w:t xml:space="preserve">Les données de la figure 28 montrent que </w:t>
      </w:r>
      <w:r w:rsidR="00701C80" w:rsidRPr="00A9330B">
        <w:t xml:space="preserve">52,11 % des craintes par rapport à la réalisation des travaux d'assainissement pluvial est la destruction des biens situés dans l’emprise des ouvrages à réaliser. Ensuite l’insécurité est soulevée comme crainte par rapport à la réalisation des travaux avec une proportion d’environ 17,32 %. Les accidents et les dérangements sont craints par 14,70 % de la population environnante. En outre, il ressort de la figure que les craintes liées aux perturbations des réseaux (coupure d’électricité, eau…) et de perte d’activités seraient respectivement 8,15 % et 7,59 %. </w:t>
      </w:r>
    </w:p>
    <w:p w14:paraId="282C8549" w14:textId="2517EAB5" w:rsidR="00701C80" w:rsidRPr="00A9330B" w:rsidRDefault="00484A58" w:rsidP="0011523E">
      <w:pPr>
        <w:spacing w:line="360" w:lineRule="auto"/>
        <w:jc w:val="center"/>
        <w:rPr>
          <w:rFonts w:eastAsia="Calibri" w:cs="Arial"/>
          <w:b/>
          <w:color w:val="auto"/>
          <w:sz w:val="20"/>
          <w:szCs w:val="20"/>
        </w:rPr>
      </w:pPr>
      <w:bookmarkStart w:id="815" w:name="_Toc51844245"/>
      <w:r w:rsidRPr="00A9330B">
        <w:rPr>
          <w:rFonts w:cs="Arial"/>
          <w:b/>
          <w:sz w:val="20"/>
          <w:szCs w:val="20"/>
        </w:rPr>
        <w:lastRenderedPageBreak/>
        <w:t xml:space="preserve">Figure </w:t>
      </w:r>
      <w:r w:rsidRPr="00A9330B">
        <w:rPr>
          <w:rFonts w:cs="Arial"/>
          <w:b/>
          <w:sz w:val="20"/>
          <w:szCs w:val="20"/>
        </w:rPr>
        <w:fldChar w:fldCharType="begin"/>
      </w:r>
      <w:r w:rsidRPr="00A9330B">
        <w:rPr>
          <w:rFonts w:cs="Arial"/>
          <w:b/>
          <w:sz w:val="20"/>
          <w:szCs w:val="20"/>
        </w:rPr>
        <w:instrText xml:space="preserve"> SEQ Figure \* ARABIC </w:instrText>
      </w:r>
      <w:r w:rsidRPr="00A9330B">
        <w:rPr>
          <w:rFonts w:cs="Arial"/>
          <w:b/>
          <w:sz w:val="20"/>
          <w:szCs w:val="20"/>
        </w:rPr>
        <w:fldChar w:fldCharType="separate"/>
      </w:r>
      <w:r w:rsidR="00FB5FCD" w:rsidRPr="00A9330B">
        <w:rPr>
          <w:rFonts w:cs="Arial"/>
          <w:b/>
          <w:noProof/>
          <w:sz w:val="20"/>
          <w:szCs w:val="20"/>
        </w:rPr>
        <w:t>32</w:t>
      </w:r>
      <w:r w:rsidRPr="00A9330B">
        <w:rPr>
          <w:rFonts w:cs="Arial"/>
          <w:b/>
          <w:sz w:val="20"/>
          <w:szCs w:val="20"/>
        </w:rPr>
        <w:fldChar w:fldCharType="end"/>
      </w:r>
      <w:r w:rsidRPr="00A9330B">
        <w:rPr>
          <w:rFonts w:cs="Arial"/>
          <w:b/>
          <w:sz w:val="20"/>
          <w:szCs w:val="20"/>
        </w:rPr>
        <w:t> </w:t>
      </w:r>
      <w:r w:rsidR="00701C80" w:rsidRPr="00A9330B">
        <w:rPr>
          <w:rFonts w:eastAsia="Calibri" w:cs="Arial"/>
          <w:b/>
          <w:color w:val="auto"/>
          <w:sz w:val="20"/>
          <w:szCs w:val="20"/>
        </w:rPr>
        <w:t>: Craintes des populations après la réalisation des travaux</w:t>
      </w:r>
      <w:bookmarkEnd w:id="815"/>
    </w:p>
    <w:p w14:paraId="7577EE18" w14:textId="14F6003D" w:rsidR="00992C3B" w:rsidRPr="00A9330B" w:rsidRDefault="00992C3B" w:rsidP="0011523E">
      <w:pPr>
        <w:spacing w:line="360" w:lineRule="auto"/>
        <w:jc w:val="center"/>
        <w:rPr>
          <w:rFonts w:eastAsia="Calibri" w:cs="Arial"/>
          <w:b/>
          <w:color w:val="auto"/>
          <w:sz w:val="20"/>
          <w:szCs w:val="20"/>
        </w:rPr>
      </w:pPr>
      <w:r w:rsidRPr="00A9330B">
        <w:rPr>
          <w:noProof/>
          <w:lang w:eastAsia="fr-FR"/>
        </w:rPr>
        <w:drawing>
          <wp:inline distT="0" distB="0" distL="0" distR="0" wp14:anchorId="3C73DED4" wp14:editId="44384D79">
            <wp:extent cx="4468483" cy="2424023"/>
            <wp:effectExtent l="0" t="0" r="8890" b="14605"/>
            <wp:docPr id="3180" name="Graphique 3180"/>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p w14:paraId="4F0214FD" w14:textId="77777777" w:rsidR="00701C80" w:rsidRPr="00A9330B" w:rsidRDefault="00701C80" w:rsidP="00701C80">
      <w:pPr>
        <w:spacing w:line="240" w:lineRule="auto"/>
        <w:jc w:val="center"/>
        <w:rPr>
          <w:rFonts w:eastAsia="Calibri" w:cs="Arial"/>
          <w:color w:val="auto"/>
          <w:sz w:val="20"/>
          <w:szCs w:val="20"/>
        </w:rPr>
      </w:pPr>
      <w:r w:rsidRPr="00A9330B">
        <w:rPr>
          <w:rFonts w:eastAsia="Calibri" w:cs="Arial"/>
          <w:b/>
          <w:color w:val="auto"/>
          <w:sz w:val="20"/>
          <w:szCs w:val="20"/>
        </w:rPr>
        <w:t>Source :</w:t>
      </w:r>
      <w:r w:rsidRPr="00A9330B">
        <w:rPr>
          <w:rFonts w:eastAsia="Calibri" w:cs="Arial"/>
          <w:color w:val="auto"/>
          <w:sz w:val="20"/>
          <w:szCs w:val="20"/>
        </w:rPr>
        <w:t xml:space="preserve"> Enquête de terrain, juin 2020 </w:t>
      </w:r>
    </w:p>
    <w:p w14:paraId="1DEC1517" w14:textId="77777777" w:rsidR="00701C80" w:rsidRPr="00A9330B" w:rsidRDefault="00701C80" w:rsidP="00484A58">
      <w:pPr>
        <w:jc w:val="both"/>
      </w:pPr>
      <w:r w:rsidRPr="00A9330B">
        <w:t xml:space="preserve">La figure </w:t>
      </w:r>
      <w:r w:rsidR="00484A58" w:rsidRPr="00A9330B">
        <w:t xml:space="preserve">29 </w:t>
      </w:r>
      <w:r w:rsidRPr="00A9330B">
        <w:t>révèle que 27,14 % des craintes par rapport aux dommages à subir après la réalisation des travaux d'assainissement pluvial est l’accident, ensuite viennent la perte d’activité, la non remise à l’état initial des sites exploités et l’insécurité avec des proportions respectives de 26,24 %, 25,79 % et 20,51 %.</w:t>
      </w:r>
    </w:p>
    <w:p w14:paraId="04F1CB68" w14:textId="77777777" w:rsidR="00701C80" w:rsidRPr="00A9330B" w:rsidRDefault="00701C80" w:rsidP="00484A58">
      <w:pPr>
        <w:jc w:val="both"/>
        <w:rPr>
          <w:rFonts w:eastAsia="Times New Roman" w:cs="Arial"/>
          <w:color w:val="000000"/>
        </w:rPr>
      </w:pPr>
      <w:r w:rsidRPr="00A9330B">
        <w:rPr>
          <w:rFonts w:eastAsia="Times New Roman" w:cs="Arial"/>
          <w:color w:val="000000"/>
        </w:rPr>
        <w:t xml:space="preserve">S’agissant </w:t>
      </w:r>
      <w:r w:rsidRPr="00A9330B">
        <w:rPr>
          <w:rFonts w:eastAsia="Times New Roman" w:cs="Arial"/>
          <w:b/>
          <w:color w:val="000000"/>
        </w:rPr>
        <w:t>des dommages et nuisances que les populations subissent actuellement sur les rues et collecteurs identifiés</w:t>
      </w:r>
      <w:r w:rsidRPr="00A9330B">
        <w:rPr>
          <w:rFonts w:eastAsia="Times New Roman" w:cs="Arial"/>
          <w:color w:val="000000"/>
        </w:rPr>
        <w:t>, 42 % des enquêtés ont énumérés des problèmes d’accident, 47 % des problèmes d’insécurité, 41% des problèmes d’inondation, 16 % d’autres problèmes telles que les problèmes d’insalubrité, de poussière, d’érosion, d’inaccessibilité en saison pluvieuse et de manque d’électricité et d’eau et 11 % qui ont énuméré qu’ils ne subissent aucun dommage actuellement.</w:t>
      </w:r>
    </w:p>
    <w:p w14:paraId="4B150329" w14:textId="77777777" w:rsidR="00701C80" w:rsidRPr="00A9330B" w:rsidRDefault="00701C80" w:rsidP="00484A58">
      <w:pPr>
        <w:jc w:val="both"/>
        <w:rPr>
          <w:rFonts w:eastAsia="Times New Roman" w:cs="Arial"/>
          <w:color w:val="000000"/>
        </w:rPr>
      </w:pPr>
      <w:r w:rsidRPr="00A9330B">
        <w:rPr>
          <w:rFonts w:eastAsia="Times New Roman" w:cs="Arial"/>
          <w:color w:val="000000"/>
        </w:rPr>
        <w:t>Auprès des riverains enquêtés, 55 % ont énuméré des problèmes d’accidents, 9 % des problèmes d’insécurité, 64 % des problèmes d’inondation et 55 % d’autres problèmes telles que les problèmes d’absence d’éclairage, de dégradation des rues, d’érosion et de poussière en saison sèche.</w:t>
      </w:r>
    </w:p>
    <w:p w14:paraId="00272672" w14:textId="77777777" w:rsidR="00701C80" w:rsidRPr="00A9330B" w:rsidRDefault="00701C80" w:rsidP="00484A58">
      <w:pPr>
        <w:jc w:val="both"/>
        <w:rPr>
          <w:rFonts w:eastAsia="Times New Roman" w:cs="Arial"/>
          <w:color w:val="000000"/>
        </w:rPr>
      </w:pPr>
      <w:r w:rsidRPr="00A9330B">
        <w:rPr>
          <w:rFonts w:eastAsia="Times New Roman" w:cs="Arial"/>
          <w:color w:val="000000"/>
        </w:rPr>
        <w:t xml:space="preserve">Quant aux </w:t>
      </w:r>
      <w:r w:rsidRPr="00A9330B">
        <w:rPr>
          <w:rFonts w:eastAsia="Times New Roman" w:cs="Arial"/>
          <w:b/>
          <w:color w:val="000000"/>
        </w:rPr>
        <w:t>dommages et nuisances que les populations pourraient subir pendant les travaux de réalisation des travaux</w:t>
      </w:r>
      <w:r w:rsidRPr="00A9330B">
        <w:rPr>
          <w:rFonts w:eastAsia="Times New Roman" w:cs="Arial"/>
          <w:color w:val="000000"/>
        </w:rPr>
        <w:t>, des chefs de ménages enquêtés ont énuméré des problèmes de destruction de maisons/baraques, d’accidents, d’insécurité, d’inondation, d’autres problèmes tels que les problèmes de difficulté d’accès aux maisons, des déguerpissements, des déviations, de poussière, de bruits et de mévente.</w:t>
      </w:r>
    </w:p>
    <w:p w14:paraId="78FAA220" w14:textId="77777777" w:rsidR="00701C80" w:rsidRPr="00A9330B" w:rsidRDefault="00701C80" w:rsidP="00484A58">
      <w:pPr>
        <w:jc w:val="both"/>
        <w:rPr>
          <w:rFonts w:eastAsia="Times New Roman" w:cs="Arial"/>
          <w:color w:val="000000"/>
        </w:rPr>
      </w:pPr>
      <w:r w:rsidRPr="00A9330B">
        <w:rPr>
          <w:rFonts w:eastAsia="Times New Roman" w:cs="Arial"/>
          <w:color w:val="000000"/>
        </w:rPr>
        <w:t xml:space="preserve">Les populations craignent aussi la non réalisation du projet, la perte de la clientèle, le paiement des taxes communales et impôts, les accidents dus aux excès de vitesse. </w:t>
      </w:r>
    </w:p>
    <w:p w14:paraId="79C0C6CD" w14:textId="77777777" w:rsidR="0037530E" w:rsidRPr="00A9330B" w:rsidRDefault="0037530E">
      <w:pPr>
        <w:spacing w:before="0" w:after="160" w:line="259" w:lineRule="auto"/>
        <w:rPr>
          <w:rFonts w:eastAsia="Calibri" w:cstheme="majorBidi"/>
          <w:b/>
          <w:i/>
          <w:iCs/>
          <w:color w:val="auto"/>
        </w:rPr>
      </w:pPr>
      <w:r w:rsidRPr="00A9330B">
        <w:br w:type="page"/>
      </w:r>
    </w:p>
    <w:p w14:paraId="795973DF" w14:textId="382B8CAE" w:rsidR="00701C80" w:rsidRPr="00A9330B" w:rsidRDefault="00484A58" w:rsidP="0064324E">
      <w:pPr>
        <w:pStyle w:val="Titre4"/>
      </w:pPr>
      <w:bookmarkStart w:id="816" w:name="_Toc45520841"/>
      <w:bookmarkStart w:id="817" w:name="_Toc52869643"/>
      <w:r w:rsidRPr="00A9330B">
        <w:lastRenderedPageBreak/>
        <w:t xml:space="preserve">3.2.4.4. </w:t>
      </w:r>
      <w:r w:rsidR="00701C80" w:rsidRPr="00A9330B">
        <w:t>Impacts économiques et sociaux de la construction d’aménagement et de l’assainissement de la rue</w:t>
      </w:r>
      <w:bookmarkEnd w:id="816"/>
      <w:bookmarkEnd w:id="817"/>
      <w:r w:rsidR="00701C80" w:rsidRPr="00A9330B">
        <w:t xml:space="preserve"> </w:t>
      </w:r>
    </w:p>
    <w:p w14:paraId="7D2CD757" w14:textId="5F93ECCB" w:rsidR="00701C80" w:rsidRPr="00A9330B" w:rsidRDefault="00484A58" w:rsidP="00484A58">
      <w:pPr>
        <w:autoSpaceDE w:val="0"/>
        <w:autoSpaceDN w:val="0"/>
        <w:adjustRightInd w:val="0"/>
        <w:spacing w:after="120" w:line="240" w:lineRule="auto"/>
        <w:jc w:val="center"/>
        <w:rPr>
          <w:rFonts w:eastAsia="Times New Roman" w:cs="Arial"/>
          <w:b/>
          <w:color w:val="000000"/>
          <w:sz w:val="20"/>
          <w:szCs w:val="20"/>
        </w:rPr>
      </w:pPr>
      <w:bookmarkStart w:id="818" w:name="_Toc51844246"/>
      <w:r w:rsidRPr="00A9330B">
        <w:rPr>
          <w:b/>
          <w:sz w:val="20"/>
          <w:szCs w:val="20"/>
        </w:rPr>
        <w:t xml:space="preserve">Figure </w:t>
      </w:r>
      <w:r w:rsidRPr="00A9330B">
        <w:rPr>
          <w:b/>
          <w:sz w:val="20"/>
          <w:szCs w:val="20"/>
        </w:rPr>
        <w:fldChar w:fldCharType="begin"/>
      </w:r>
      <w:r w:rsidRPr="00A9330B">
        <w:rPr>
          <w:b/>
          <w:sz w:val="20"/>
          <w:szCs w:val="20"/>
        </w:rPr>
        <w:instrText xml:space="preserve"> SEQ Figure \* ARABIC </w:instrText>
      </w:r>
      <w:r w:rsidRPr="00A9330B">
        <w:rPr>
          <w:b/>
          <w:sz w:val="20"/>
          <w:szCs w:val="20"/>
        </w:rPr>
        <w:fldChar w:fldCharType="separate"/>
      </w:r>
      <w:r w:rsidR="00FB5FCD" w:rsidRPr="00A9330B">
        <w:rPr>
          <w:b/>
          <w:noProof/>
          <w:sz w:val="20"/>
          <w:szCs w:val="20"/>
        </w:rPr>
        <w:t>33</w:t>
      </w:r>
      <w:r w:rsidRPr="00A9330B">
        <w:rPr>
          <w:b/>
          <w:sz w:val="20"/>
          <w:szCs w:val="20"/>
        </w:rPr>
        <w:fldChar w:fldCharType="end"/>
      </w:r>
      <w:r w:rsidRPr="00A9330B">
        <w:rPr>
          <w:b/>
          <w:sz w:val="20"/>
          <w:szCs w:val="20"/>
        </w:rPr>
        <w:t> </w:t>
      </w:r>
      <w:r w:rsidR="00701C80" w:rsidRPr="00A9330B">
        <w:rPr>
          <w:rFonts w:eastAsia="Calibri" w:cs="Arial"/>
          <w:b/>
          <w:color w:val="000000"/>
          <w:sz w:val="20"/>
          <w:szCs w:val="20"/>
        </w:rPr>
        <w:t>:</w:t>
      </w:r>
      <w:r w:rsidR="00701C80" w:rsidRPr="00A9330B">
        <w:rPr>
          <w:rFonts w:eastAsia="Times New Roman" w:cs="Arial"/>
          <w:b/>
          <w:color w:val="000000"/>
          <w:sz w:val="20"/>
          <w:szCs w:val="20"/>
        </w:rPr>
        <w:t xml:space="preserve"> Avis de la population sur les impacts économiques et sociaux du projet</w:t>
      </w:r>
      <w:bookmarkEnd w:id="818"/>
    </w:p>
    <w:p w14:paraId="7B52ADCA" w14:textId="24ABC824" w:rsidR="00E70EB1" w:rsidRPr="00A9330B" w:rsidRDefault="00E70EB1" w:rsidP="00484A58">
      <w:pPr>
        <w:autoSpaceDE w:val="0"/>
        <w:autoSpaceDN w:val="0"/>
        <w:adjustRightInd w:val="0"/>
        <w:spacing w:after="120" w:line="240" w:lineRule="auto"/>
        <w:jc w:val="center"/>
        <w:rPr>
          <w:rFonts w:eastAsia="Times New Roman" w:cs="Arial"/>
          <w:b/>
          <w:color w:val="000000"/>
          <w:sz w:val="20"/>
          <w:szCs w:val="20"/>
        </w:rPr>
      </w:pPr>
      <w:r w:rsidRPr="00A9330B">
        <w:rPr>
          <w:noProof/>
          <w:lang w:eastAsia="fr-FR"/>
        </w:rPr>
        <w:drawing>
          <wp:inline distT="0" distB="0" distL="0" distR="0" wp14:anchorId="6D29DC93" wp14:editId="074BCD2C">
            <wp:extent cx="3714750" cy="2339975"/>
            <wp:effectExtent l="0" t="0" r="0" b="3175"/>
            <wp:docPr id="3181" name="Graphique 3181"/>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inline>
        </w:drawing>
      </w:r>
    </w:p>
    <w:p w14:paraId="3C4E30CC" w14:textId="77777777" w:rsidR="00701C80" w:rsidRPr="00A9330B" w:rsidRDefault="00701C80" w:rsidP="00FB5FCD">
      <w:pPr>
        <w:jc w:val="both"/>
        <w:rPr>
          <w:b/>
        </w:rPr>
      </w:pPr>
      <w:r w:rsidRPr="00A9330B">
        <w:rPr>
          <w:b/>
        </w:rPr>
        <w:t xml:space="preserve">Source : </w:t>
      </w:r>
      <w:r w:rsidRPr="00A9330B">
        <w:t>Enquête de terrain, juin 2020</w:t>
      </w:r>
    </w:p>
    <w:p w14:paraId="1EB2D642" w14:textId="612476C1" w:rsidR="00701C80" w:rsidRPr="00A9330B" w:rsidRDefault="00701C80" w:rsidP="00FB5FCD">
      <w:pPr>
        <w:jc w:val="both"/>
      </w:pPr>
      <w:r w:rsidRPr="00A9330B">
        <w:t>82 % des chefs de ménages ont affirmé que leurs activités connaîtront des changements du fait des travaux de rue et d’assainissement, la diminution des maladies hydriques, l’accès facile aux infras</w:t>
      </w:r>
      <w:r w:rsidR="00DB04E9" w:rsidRPr="00A9330B">
        <w:t xml:space="preserve">tructures </w:t>
      </w:r>
      <w:r w:rsidR="006D669A" w:rsidRPr="00A9330B">
        <w:t>sociocommunautaires</w:t>
      </w:r>
      <w:r w:rsidR="00DB04E9" w:rsidRPr="00A9330B">
        <w:t xml:space="preserve"> </w:t>
      </w:r>
      <w:r w:rsidRPr="00A9330B">
        <w:t xml:space="preserve">contre 12 % qui ont affirmé que leurs activités ne connaîtront pas de changement et 6 % sont restés sans réponse.  </w:t>
      </w:r>
    </w:p>
    <w:p w14:paraId="190B35FB" w14:textId="77777777" w:rsidR="00701C80" w:rsidRPr="00A9330B" w:rsidRDefault="00484A58" w:rsidP="0064324E">
      <w:pPr>
        <w:pStyle w:val="Titre40"/>
      </w:pPr>
      <w:bookmarkStart w:id="819" w:name="_Toc45520842"/>
      <w:bookmarkStart w:id="820" w:name="_Toc52869644"/>
      <w:r w:rsidRPr="00A9330B">
        <w:t xml:space="preserve">3.2.4.5. </w:t>
      </w:r>
      <w:r w:rsidR="00701C80" w:rsidRPr="00A9330B">
        <w:t>Attentes des populations du projet</w:t>
      </w:r>
      <w:bookmarkEnd w:id="819"/>
      <w:bookmarkEnd w:id="820"/>
      <w:r w:rsidR="00701C80" w:rsidRPr="00A9330B">
        <w:t xml:space="preserve"> </w:t>
      </w:r>
    </w:p>
    <w:p w14:paraId="5E228FEF" w14:textId="0F4864AF" w:rsidR="00701C80" w:rsidRPr="00A9330B" w:rsidRDefault="00701C80" w:rsidP="00701C80">
      <w:pPr>
        <w:autoSpaceDE w:val="0"/>
        <w:autoSpaceDN w:val="0"/>
        <w:adjustRightInd w:val="0"/>
        <w:spacing w:after="120" w:line="240" w:lineRule="auto"/>
        <w:jc w:val="both"/>
        <w:rPr>
          <w:rFonts w:eastAsia="Times New Roman" w:cs="Arial"/>
          <w:color w:val="000000"/>
        </w:rPr>
      </w:pPr>
      <w:r w:rsidRPr="00A9330B">
        <w:rPr>
          <w:rFonts w:eastAsia="Times New Roman" w:cs="Arial"/>
          <w:color w:val="000000"/>
        </w:rPr>
        <w:t xml:space="preserve">Pour ce qui est des changements espérés du fait des travaux du PAPVS, les populations ont énuméré le développement du quartier, la création de nouvelles activités le long des rues aménagées, l’augmentation du trafic, l’assainissement et l’accessibilité des quartiers, la sécurité du fait de l’éclairage des rues, </w:t>
      </w:r>
      <w:r w:rsidR="002276A2" w:rsidRPr="00A9330B">
        <w:rPr>
          <w:rFonts w:eastAsia="Times New Roman" w:cs="Arial"/>
          <w:color w:val="000000"/>
        </w:rPr>
        <w:t xml:space="preserve">la </w:t>
      </w:r>
      <w:r w:rsidRPr="00A9330B">
        <w:rPr>
          <w:rFonts w:eastAsia="Times New Roman" w:cs="Arial"/>
          <w:color w:val="000000"/>
        </w:rPr>
        <w:t>réduction des inondations,</w:t>
      </w:r>
      <w:r w:rsidR="002276A2" w:rsidRPr="00A9330B">
        <w:rPr>
          <w:rFonts w:eastAsia="Times New Roman" w:cs="Arial"/>
          <w:color w:val="000000"/>
        </w:rPr>
        <w:t xml:space="preserve"> la</w:t>
      </w:r>
      <w:r w:rsidRPr="00A9330B">
        <w:rPr>
          <w:rFonts w:eastAsia="Times New Roman" w:cs="Arial"/>
          <w:color w:val="000000"/>
        </w:rPr>
        <w:t xml:space="preserve"> lutte contre l’érosion,</w:t>
      </w:r>
      <w:r w:rsidR="00484A58" w:rsidRPr="00A9330B">
        <w:rPr>
          <w:rFonts w:eastAsia="Times New Roman" w:cs="Arial"/>
          <w:color w:val="000000"/>
        </w:rPr>
        <w:t xml:space="preserve"> </w:t>
      </w:r>
      <w:r w:rsidRPr="00A9330B">
        <w:rPr>
          <w:rFonts w:eastAsia="Times New Roman" w:cs="Arial"/>
          <w:color w:val="000000"/>
        </w:rPr>
        <w:t>disponibilité des ressources en eau pour l’agriculture, la fluidité de la circulation des personnes et des biens donc une augmentation de la clientèle et des devises, la visibilité des rue</w:t>
      </w:r>
      <w:r w:rsidR="00D960CE" w:rsidRPr="00A9330B">
        <w:rPr>
          <w:rFonts w:eastAsia="Times New Roman" w:cs="Arial"/>
          <w:color w:val="000000"/>
        </w:rPr>
        <w:t>s</w:t>
      </w:r>
      <w:r w:rsidRPr="00A9330B">
        <w:rPr>
          <w:rFonts w:eastAsia="Times New Roman" w:cs="Arial"/>
          <w:color w:val="000000"/>
        </w:rPr>
        <w:t>.</w:t>
      </w:r>
    </w:p>
    <w:p w14:paraId="56462C14" w14:textId="77777777" w:rsidR="00701C80" w:rsidRPr="00A9330B" w:rsidRDefault="00D960CE" w:rsidP="0064324E">
      <w:pPr>
        <w:pStyle w:val="Titre40"/>
      </w:pPr>
      <w:bookmarkStart w:id="821" w:name="_Toc45520843"/>
      <w:bookmarkStart w:id="822" w:name="_Toc52869645"/>
      <w:r w:rsidRPr="00A9330B">
        <w:t xml:space="preserve">3.2.4.6. </w:t>
      </w:r>
      <w:r w:rsidR="00701C80" w:rsidRPr="00A9330B">
        <w:t>Dynamique foncière et économique du projet selon les populations</w:t>
      </w:r>
      <w:bookmarkEnd w:id="821"/>
      <w:bookmarkEnd w:id="822"/>
    </w:p>
    <w:p w14:paraId="5D15E763" w14:textId="77777777" w:rsidR="00701C80" w:rsidRPr="00A9330B" w:rsidRDefault="00701C80" w:rsidP="006D669A">
      <w:pPr>
        <w:jc w:val="both"/>
      </w:pPr>
      <w:r w:rsidRPr="00A9330B">
        <w:t>Au niveau des chefs de ménages rencontrés, 56 % des enquêtés ont estimé qu’il y aura un essor dans la construction et l’achat des parcelles dans le quartier du fait des travaux du PAPVS contre 15 % qui ont déclaré qu’il n’y aura pas d’essor et 29 % sont restés sans réponse. Parmi ceux qui ont affirmé qu’il y aura un essor, 50 % ont déclaré un essor de 25 %, 38 % ont affirmé un essor de 50 %, 6 % respectivement un essor de 75 % et de 100 %.</w:t>
      </w:r>
    </w:p>
    <w:p w14:paraId="2C5A9EED" w14:textId="77777777" w:rsidR="00701C80" w:rsidRPr="00A9330B" w:rsidRDefault="00701C80" w:rsidP="006D669A">
      <w:pPr>
        <w:jc w:val="both"/>
      </w:pPr>
      <w:r w:rsidRPr="00A9330B">
        <w:t xml:space="preserve">59 % des chefs de ménages ont estimé qu’il y aura une augmentation dans le coût mensuel du loyer dans le quartier du fait des travaux de réhabilitation, de l’aménagement et de l’assainissement des rues contre 15 % qui ont affirmé qu’il n’y aura pas d’augmentation et 26 % sont restés sans réponse. Parmi ceux qui ont affirmé qu’il y aura une augmentation dans le coût mensuel du loyer, 56% ont déclaré une augmentation de 25 %, 38 % une augmentation de 50% et 6% a affirmé une augmentation de 75 %. </w:t>
      </w:r>
    </w:p>
    <w:p w14:paraId="2B8FBB65" w14:textId="77777777" w:rsidR="00701C80" w:rsidRPr="00A9330B" w:rsidRDefault="00701C80" w:rsidP="006D669A">
      <w:pPr>
        <w:jc w:val="both"/>
      </w:pPr>
      <w:r w:rsidRPr="00A9330B">
        <w:t>Quant aux riverains rencontrés, 36 % des enquêtés ont estimé qu’il y aura un essor dans la construction et l’achat des parcelles dans le quartier du fait des travaux de réhabilitation, de l’aménagement et de l’assainissement des rues contre 64 % qui ont déclaré qu’il n’y aura pas d’essor. Parmi ceux qui ont affirmé qu’il y aura un essor, 75 % ont déclaré un essor de 25 % et 25 % ont affirmé un essor de 50 %.</w:t>
      </w:r>
    </w:p>
    <w:p w14:paraId="4414EE9A" w14:textId="77777777" w:rsidR="00701C80" w:rsidRPr="00A9330B" w:rsidRDefault="00701C80" w:rsidP="006D669A">
      <w:pPr>
        <w:jc w:val="both"/>
      </w:pPr>
      <w:r w:rsidRPr="00A9330B">
        <w:lastRenderedPageBreak/>
        <w:t xml:space="preserve">27 % des riverains ont estimé qu’il y aura une augmentation dans le coût mensuel du loyer dans le quartier du fait des travaux de réhabilitation, de l’aménagement et de l’assainissement des rues contre 73 % qui ont affirmé qu’il n’y aura pas d’augmentation. Tous les riverains qui ont affirmé qu’il y aura une augmentation dans le coût mensuel du loyer, ont déclaré une augmentation de 25 %. </w:t>
      </w:r>
    </w:p>
    <w:p w14:paraId="47E3D82C" w14:textId="77777777" w:rsidR="00701C80" w:rsidRPr="00A9330B" w:rsidRDefault="00C5253D" w:rsidP="006D669A">
      <w:pPr>
        <w:jc w:val="both"/>
        <w:rPr>
          <w:b/>
        </w:rPr>
      </w:pPr>
      <w:bookmarkStart w:id="823" w:name="_Toc45520844"/>
      <w:r w:rsidRPr="00A9330B">
        <w:rPr>
          <w:b/>
        </w:rPr>
        <w:t xml:space="preserve">3.2.5. </w:t>
      </w:r>
      <w:r w:rsidR="00701C80" w:rsidRPr="00A9330B">
        <w:rPr>
          <w:b/>
        </w:rPr>
        <w:t>Recommandations générales</w:t>
      </w:r>
      <w:bookmarkEnd w:id="823"/>
    </w:p>
    <w:p w14:paraId="0AE8EDB9" w14:textId="77777777" w:rsidR="00701C80" w:rsidRPr="00A9330B" w:rsidRDefault="00701C80" w:rsidP="006D669A">
      <w:pPr>
        <w:jc w:val="both"/>
        <w:rPr>
          <w:rFonts w:eastAsia="Times New Roman" w:cs="Arial"/>
          <w:color w:val="000000"/>
        </w:rPr>
      </w:pPr>
      <w:r w:rsidRPr="00A9330B">
        <w:rPr>
          <w:rFonts w:eastAsia="Times New Roman" w:cs="Arial"/>
          <w:color w:val="000000"/>
        </w:rPr>
        <w:t>Au cours de la phase de collecte de données sur le terrain, les populations ont émis plusieurs recommandations dont entre autres :</w:t>
      </w:r>
    </w:p>
    <w:p w14:paraId="24F48E9A" w14:textId="77777777" w:rsidR="00701C80" w:rsidRPr="00A9330B" w:rsidRDefault="00701C80" w:rsidP="006D669A">
      <w:pPr>
        <w:autoSpaceDE w:val="0"/>
        <w:autoSpaceDN w:val="0"/>
        <w:adjustRightInd w:val="0"/>
        <w:rPr>
          <w:rFonts w:eastAsia="Times New Roman" w:cs="Arial"/>
          <w:b/>
          <w:color w:val="000000"/>
        </w:rPr>
      </w:pPr>
      <w:r w:rsidRPr="00A9330B">
        <w:rPr>
          <w:rFonts w:eastAsia="Times New Roman" w:cs="Arial"/>
          <w:b/>
          <w:color w:val="000000"/>
        </w:rPr>
        <w:t>Avant les travaux :</w:t>
      </w:r>
    </w:p>
    <w:p w14:paraId="550F6CDB" w14:textId="26DFEC41" w:rsidR="00701C80" w:rsidRPr="00A9330B" w:rsidRDefault="002276A2" w:rsidP="006D669A">
      <w:pPr>
        <w:numPr>
          <w:ilvl w:val="0"/>
          <w:numId w:val="3"/>
        </w:numPr>
        <w:autoSpaceDE w:val="0"/>
        <w:autoSpaceDN w:val="0"/>
        <w:adjustRightInd w:val="0"/>
        <w:ind w:left="714" w:hanging="357"/>
        <w:rPr>
          <w:rFonts w:eastAsia="Times New Roman" w:cs="Arial"/>
          <w:color w:val="000000"/>
        </w:rPr>
      </w:pPr>
      <w:r w:rsidRPr="00A9330B">
        <w:rPr>
          <w:rFonts w:eastAsia="Times New Roman" w:cs="Arial"/>
          <w:color w:val="000000"/>
        </w:rPr>
        <w:t>s</w:t>
      </w:r>
      <w:r w:rsidR="00701C80" w:rsidRPr="00A9330B">
        <w:rPr>
          <w:rFonts w:eastAsia="Times New Roman" w:cs="Arial"/>
          <w:color w:val="000000"/>
        </w:rPr>
        <w:t>ensibiliser les populations sur le projet,</w:t>
      </w:r>
    </w:p>
    <w:p w14:paraId="4BCFEF44" w14:textId="7777340E" w:rsidR="00701C80" w:rsidRPr="00A9330B" w:rsidRDefault="002276A2" w:rsidP="006D669A">
      <w:pPr>
        <w:numPr>
          <w:ilvl w:val="0"/>
          <w:numId w:val="3"/>
        </w:numPr>
        <w:autoSpaceDE w:val="0"/>
        <w:autoSpaceDN w:val="0"/>
        <w:adjustRightInd w:val="0"/>
        <w:ind w:left="714" w:hanging="357"/>
        <w:rPr>
          <w:rFonts w:eastAsia="Times New Roman" w:cs="Arial"/>
          <w:color w:val="000000"/>
        </w:rPr>
      </w:pPr>
      <w:r w:rsidRPr="00A9330B">
        <w:rPr>
          <w:rFonts w:eastAsia="Times New Roman" w:cs="Arial"/>
          <w:color w:val="000000"/>
        </w:rPr>
        <w:t>v</w:t>
      </w:r>
      <w:r w:rsidR="00701C80" w:rsidRPr="00A9330B">
        <w:rPr>
          <w:rFonts w:eastAsia="Times New Roman" w:cs="Arial"/>
          <w:color w:val="000000"/>
        </w:rPr>
        <w:t>oir avec les élus locaux les rues et collecteurs prioritaires à réaliser,</w:t>
      </w:r>
    </w:p>
    <w:p w14:paraId="031AD827" w14:textId="3314FF63" w:rsidR="00701C80" w:rsidRPr="00A9330B" w:rsidRDefault="002276A2" w:rsidP="006D669A">
      <w:pPr>
        <w:numPr>
          <w:ilvl w:val="0"/>
          <w:numId w:val="3"/>
        </w:numPr>
        <w:autoSpaceDE w:val="0"/>
        <w:autoSpaceDN w:val="0"/>
        <w:adjustRightInd w:val="0"/>
        <w:ind w:left="714" w:hanging="357"/>
        <w:rPr>
          <w:rFonts w:eastAsia="Times New Roman" w:cs="Arial"/>
          <w:color w:val="000000"/>
        </w:rPr>
      </w:pPr>
      <w:r w:rsidRPr="00A9330B">
        <w:rPr>
          <w:rFonts w:eastAsia="Times New Roman" w:cs="Arial"/>
          <w:color w:val="000000"/>
        </w:rPr>
        <w:t>a</w:t>
      </w:r>
      <w:r w:rsidR="00701C80" w:rsidRPr="00A9330B">
        <w:rPr>
          <w:rFonts w:eastAsia="Times New Roman" w:cs="Arial"/>
          <w:color w:val="000000"/>
        </w:rPr>
        <w:t>purer avec les élus locaux la liste définitive des rues et collecteurs à retenir pour le projet,</w:t>
      </w:r>
    </w:p>
    <w:p w14:paraId="37E2F87B" w14:textId="47964E02" w:rsidR="00701C80" w:rsidRPr="00A9330B" w:rsidRDefault="002276A2" w:rsidP="006D669A">
      <w:pPr>
        <w:numPr>
          <w:ilvl w:val="0"/>
          <w:numId w:val="3"/>
        </w:numPr>
        <w:autoSpaceDE w:val="0"/>
        <w:autoSpaceDN w:val="0"/>
        <w:adjustRightInd w:val="0"/>
        <w:ind w:left="714" w:hanging="357"/>
        <w:rPr>
          <w:rFonts w:eastAsia="Times New Roman" w:cs="Arial"/>
          <w:color w:val="000000"/>
        </w:rPr>
      </w:pPr>
      <w:r w:rsidRPr="00A9330B">
        <w:rPr>
          <w:rFonts w:eastAsia="Times New Roman" w:cs="Arial"/>
          <w:color w:val="000000"/>
        </w:rPr>
        <w:t>c</w:t>
      </w:r>
      <w:r w:rsidR="00701C80" w:rsidRPr="00A9330B">
        <w:rPr>
          <w:rFonts w:eastAsia="Times New Roman" w:cs="Arial"/>
          <w:color w:val="000000"/>
        </w:rPr>
        <w:t>réer de réelles déviations et les aménager,</w:t>
      </w:r>
    </w:p>
    <w:p w14:paraId="196355E3" w14:textId="6C3B82C8" w:rsidR="00701C80" w:rsidRPr="00A9330B" w:rsidRDefault="002276A2" w:rsidP="006D669A">
      <w:pPr>
        <w:numPr>
          <w:ilvl w:val="0"/>
          <w:numId w:val="3"/>
        </w:numPr>
        <w:autoSpaceDE w:val="0"/>
        <w:autoSpaceDN w:val="0"/>
        <w:adjustRightInd w:val="0"/>
        <w:ind w:left="714" w:hanging="357"/>
        <w:rPr>
          <w:rFonts w:eastAsia="Times New Roman" w:cs="Arial"/>
          <w:color w:val="000000"/>
        </w:rPr>
      </w:pPr>
      <w:r w:rsidRPr="00A9330B">
        <w:rPr>
          <w:rFonts w:eastAsia="Times New Roman" w:cs="Arial"/>
          <w:color w:val="000000"/>
        </w:rPr>
        <w:t>a</w:t>
      </w:r>
      <w:r w:rsidR="00701C80" w:rsidRPr="00A9330B">
        <w:rPr>
          <w:rFonts w:eastAsia="Times New Roman" w:cs="Arial"/>
          <w:color w:val="000000"/>
        </w:rPr>
        <w:t>ssocier les élus locaux au projet.</w:t>
      </w:r>
    </w:p>
    <w:p w14:paraId="12E2AFB9" w14:textId="77777777" w:rsidR="00701C80" w:rsidRPr="00A9330B" w:rsidRDefault="00701C80" w:rsidP="006D669A">
      <w:pPr>
        <w:autoSpaceDE w:val="0"/>
        <w:autoSpaceDN w:val="0"/>
        <w:adjustRightInd w:val="0"/>
        <w:rPr>
          <w:rFonts w:eastAsia="Times New Roman" w:cs="Arial"/>
          <w:color w:val="000000"/>
        </w:rPr>
      </w:pPr>
      <w:r w:rsidRPr="00A9330B">
        <w:rPr>
          <w:rFonts w:eastAsia="Times New Roman" w:cs="Arial"/>
          <w:b/>
          <w:color w:val="000000"/>
        </w:rPr>
        <w:t>Pendant les travaux</w:t>
      </w:r>
      <w:r w:rsidRPr="00A9330B">
        <w:rPr>
          <w:rFonts w:eastAsia="Times New Roman" w:cs="Arial"/>
          <w:color w:val="000000"/>
        </w:rPr>
        <w:t xml:space="preserve"> :</w:t>
      </w:r>
    </w:p>
    <w:p w14:paraId="1D7BFFE9" w14:textId="42152D9D" w:rsidR="00701C80" w:rsidRPr="00A9330B" w:rsidRDefault="00877531" w:rsidP="006D669A">
      <w:pPr>
        <w:numPr>
          <w:ilvl w:val="0"/>
          <w:numId w:val="4"/>
        </w:numPr>
        <w:autoSpaceDE w:val="0"/>
        <w:autoSpaceDN w:val="0"/>
        <w:adjustRightInd w:val="0"/>
        <w:ind w:left="714" w:hanging="357"/>
        <w:rPr>
          <w:rFonts w:eastAsia="Times New Roman" w:cs="Arial"/>
          <w:color w:val="000000"/>
        </w:rPr>
      </w:pPr>
      <w:r w:rsidRPr="00A9330B">
        <w:rPr>
          <w:rFonts w:eastAsia="Times New Roman" w:cs="Arial"/>
          <w:color w:val="000000"/>
        </w:rPr>
        <w:t>s</w:t>
      </w:r>
      <w:r w:rsidR="00701C80" w:rsidRPr="00A9330B">
        <w:rPr>
          <w:rFonts w:eastAsia="Times New Roman" w:cs="Arial"/>
          <w:color w:val="000000"/>
        </w:rPr>
        <w:t>écuriser les chantiers pour éviter les accidents,</w:t>
      </w:r>
    </w:p>
    <w:p w14:paraId="39154DDC" w14:textId="4183BCB9" w:rsidR="00701C80" w:rsidRPr="00A9330B" w:rsidRDefault="00877531" w:rsidP="006D669A">
      <w:pPr>
        <w:numPr>
          <w:ilvl w:val="0"/>
          <w:numId w:val="4"/>
        </w:numPr>
        <w:autoSpaceDE w:val="0"/>
        <w:autoSpaceDN w:val="0"/>
        <w:adjustRightInd w:val="0"/>
        <w:ind w:left="714" w:hanging="357"/>
        <w:rPr>
          <w:rFonts w:eastAsia="Times New Roman" w:cs="Arial"/>
          <w:color w:val="000000"/>
        </w:rPr>
      </w:pPr>
      <w:r w:rsidRPr="00A9330B">
        <w:rPr>
          <w:rFonts w:eastAsia="Times New Roman" w:cs="Arial"/>
          <w:color w:val="000000"/>
        </w:rPr>
        <w:t>f</w:t>
      </w:r>
      <w:r w:rsidR="00701C80" w:rsidRPr="00A9330B">
        <w:rPr>
          <w:rFonts w:eastAsia="Times New Roman" w:cs="Arial"/>
          <w:color w:val="000000"/>
        </w:rPr>
        <w:t>aire réellement un ouvrage de qualité et dans un bon délai,</w:t>
      </w:r>
    </w:p>
    <w:p w14:paraId="0158BDF4" w14:textId="75EBD321" w:rsidR="00701C80" w:rsidRPr="00A9330B" w:rsidRDefault="00877531" w:rsidP="006D669A">
      <w:pPr>
        <w:numPr>
          <w:ilvl w:val="0"/>
          <w:numId w:val="4"/>
        </w:numPr>
        <w:autoSpaceDE w:val="0"/>
        <w:autoSpaceDN w:val="0"/>
        <w:adjustRightInd w:val="0"/>
        <w:ind w:left="714" w:hanging="357"/>
        <w:rPr>
          <w:rFonts w:eastAsia="Times New Roman" w:cs="Arial"/>
          <w:color w:val="000000"/>
        </w:rPr>
      </w:pPr>
      <w:r w:rsidRPr="00A9330B">
        <w:rPr>
          <w:rFonts w:eastAsia="Times New Roman" w:cs="Arial"/>
          <w:color w:val="000000"/>
        </w:rPr>
        <w:t>p</w:t>
      </w:r>
      <w:r w:rsidR="00701C80" w:rsidRPr="00A9330B">
        <w:rPr>
          <w:rFonts w:eastAsia="Times New Roman" w:cs="Arial"/>
          <w:color w:val="000000"/>
        </w:rPr>
        <w:t>enser à l’assainissement des rues à aménager en ce qui concerne le drainage des eaux,</w:t>
      </w:r>
    </w:p>
    <w:p w14:paraId="447BE2A0" w14:textId="730F9597" w:rsidR="00701C80" w:rsidRPr="00A9330B" w:rsidRDefault="00877531" w:rsidP="006D669A">
      <w:pPr>
        <w:numPr>
          <w:ilvl w:val="0"/>
          <w:numId w:val="4"/>
        </w:numPr>
        <w:autoSpaceDE w:val="0"/>
        <w:autoSpaceDN w:val="0"/>
        <w:adjustRightInd w:val="0"/>
        <w:ind w:left="714" w:hanging="357"/>
        <w:rPr>
          <w:rFonts w:eastAsia="Times New Roman" w:cs="Arial"/>
          <w:color w:val="000000"/>
        </w:rPr>
      </w:pPr>
      <w:r w:rsidRPr="00A9330B">
        <w:rPr>
          <w:rFonts w:eastAsia="Times New Roman" w:cs="Arial"/>
          <w:color w:val="000000"/>
        </w:rPr>
        <w:t>p</w:t>
      </w:r>
      <w:r w:rsidR="00701C80" w:rsidRPr="00A9330B">
        <w:rPr>
          <w:rFonts w:eastAsia="Times New Roman" w:cs="Arial"/>
          <w:color w:val="000000"/>
        </w:rPr>
        <w:t>révoir des lampadaires solaires le long des rues pour l’éclairage,</w:t>
      </w:r>
    </w:p>
    <w:p w14:paraId="5FB1FBAD" w14:textId="37EAC4C2" w:rsidR="00701C80" w:rsidRPr="00A9330B" w:rsidRDefault="00877531" w:rsidP="006D669A">
      <w:pPr>
        <w:numPr>
          <w:ilvl w:val="0"/>
          <w:numId w:val="4"/>
        </w:numPr>
        <w:autoSpaceDE w:val="0"/>
        <w:autoSpaceDN w:val="0"/>
        <w:adjustRightInd w:val="0"/>
        <w:ind w:left="714" w:hanging="357"/>
        <w:rPr>
          <w:rFonts w:eastAsia="Times New Roman" w:cs="Arial"/>
          <w:color w:val="000000"/>
        </w:rPr>
      </w:pPr>
      <w:r w:rsidRPr="00A9330B">
        <w:rPr>
          <w:rFonts w:eastAsia="Times New Roman" w:cs="Arial"/>
          <w:color w:val="000000"/>
        </w:rPr>
        <w:t>p</w:t>
      </w:r>
      <w:r w:rsidR="00701C80" w:rsidRPr="00A9330B">
        <w:rPr>
          <w:rFonts w:eastAsia="Times New Roman" w:cs="Arial"/>
          <w:color w:val="000000"/>
        </w:rPr>
        <w:t>enser à la construction d’infrastructures socioéconomiques dans la ville notamment les marchés, gares routières, etc...</w:t>
      </w:r>
    </w:p>
    <w:p w14:paraId="4A110233" w14:textId="448B068A" w:rsidR="00701C80" w:rsidRPr="00A9330B" w:rsidRDefault="00877531" w:rsidP="006D669A">
      <w:pPr>
        <w:numPr>
          <w:ilvl w:val="0"/>
          <w:numId w:val="4"/>
        </w:numPr>
        <w:autoSpaceDE w:val="0"/>
        <w:autoSpaceDN w:val="0"/>
        <w:adjustRightInd w:val="0"/>
        <w:ind w:left="714" w:hanging="357"/>
        <w:rPr>
          <w:rFonts w:eastAsia="Times New Roman" w:cs="Arial"/>
          <w:color w:val="000000"/>
        </w:rPr>
      </w:pPr>
      <w:r w:rsidRPr="00A9330B">
        <w:rPr>
          <w:rFonts w:eastAsia="Times New Roman" w:cs="Arial"/>
          <w:color w:val="000000"/>
        </w:rPr>
        <w:t>a</w:t>
      </w:r>
      <w:r w:rsidR="00701C80" w:rsidRPr="00A9330B">
        <w:rPr>
          <w:rFonts w:eastAsia="Times New Roman" w:cs="Arial"/>
          <w:color w:val="000000"/>
        </w:rPr>
        <w:t>ssocier les élus locaux au suivi des travaux,</w:t>
      </w:r>
    </w:p>
    <w:p w14:paraId="098E3D04" w14:textId="2486C196" w:rsidR="00701C80" w:rsidRPr="00A9330B" w:rsidRDefault="00877531" w:rsidP="006D669A">
      <w:pPr>
        <w:numPr>
          <w:ilvl w:val="0"/>
          <w:numId w:val="4"/>
        </w:numPr>
        <w:autoSpaceDE w:val="0"/>
        <w:autoSpaceDN w:val="0"/>
        <w:adjustRightInd w:val="0"/>
        <w:rPr>
          <w:rFonts w:eastAsia="Times New Roman" w:cs="Arial"/>
          <w:color w:val="000000"/>
        </w:rPr>
      </w:pPr>
      <w:r w:rsidRPr="00A9330B">
        <w:rPr>
          <w:rFonts w:eastAsia="Times New Roman" w:cs="Arial"/>
          <w:color w:val="000000"/>
        </w:rPr>
        <w:t>p</w:t>
      </w:r>
      <w:r w:rsidR="00701C80" w:rsidRPr="00A9330B">
        <w:rPr>
          <w:rFonts w:eastAsia="Times New Roman" w:cs="Arial"/>
          <w:color w:val="000000"/>
        </w:rPr>
        <w:t>révoir des dos d’ânes sur les rues traversant des agglomérations pour la sécurité des populations,</w:t>
      </w:r>
    </w:p>
    <w:p w14:paraId="30C777CE" w14:textId="60BD6F15" w:rsidR="00701C80" w:rsidRPr="00A9330B" w:rsidRDefault="00877531" w:rsidP="006D669A">
      <w:pPr>
        <w:numPr>
          <w:ilvl w:val="0"/>
          <w:numId w:val="4"/>
        </w:numPr>
        <w:autoSpaceDE w:val="0"/>
        <w:autoSpaceDN w:val="0"/>
        <w:adjustRightInd w:val="0"/>
        <w:rPr>
          <w:rFonts w:eastAsia="Times New Roman" w:cs="Arial"/>
          <w:color w:val="000000"/>
        </w:rPr>
      </w:pPr>
      <w:r w:rsidRPr="00A9330B">
        <w:rPr>
          <w:rFonts w:eastAsia="Times New Roman" w:cs="Arial"/>
          <w:color w:val="000000"/>
        </w:rPr>
        <w:t>r</w:t>
      </w:r>
      <w:r w:rsidR="00701C80" w:rsidRPr="00A9330B">
        <w:rPr>
          <w:rFonts w:eastAsia="Times New Roman" w:cs="Arial"/>
          <w:color w:val="000000"/>
        </w:rPr>
        <w:t xml:space="preserve">ecruter de la main d’œuvre </w:t>
      </w:r>
      <w:r w:rsidR="006D669A" w:rsidRPr="00A9330B">
        <w:rPr>
          <w:rFonts w:eastAsia="Times New Roman" w:cs="Arial"/>
          <w:color w:val="000000"/>
        </w:rPr>
        <w:t>locale pour</w:t>
      </w:r>
      <w:r w:rsidR="00701C80" w:rsidRPr="00A9330B">
        <w:rPr>
          <w:rFonts w:eastAsia="Times New Roman" w:cs="Arial"/>
          <w:color w:val="000000"/>
        </w:rPr>
        <w:t xml:space="preserve"> certains travaux.</w:t>
      </w:r>
    </w:p>
    <w:p w14:paraId="6F4BD9E6" w14:textId="77777777" w:rsidR="00701C80" w:rsidRPr="00A9330B" w:rsidRDefault="00701C80" w:rsidP="006D669A">
      <w:pPr>
        <w:autoSpaceDE w:val="0"/>
        <w:autoSpaceDN w:val="0"/>
        <w:adjustRightInd w:val="0"/>
        <w:rPr>
          <w:rFonts w:eastAsia="Times New Roman" w:cs="Arial"/>
          <w:b/>
          <w:color w:val="000000"/>
        </w:rPr>
      </w:pPr>
      <w:r w:rsidRPr="00A9330B">
        <w:rPr>
          <w:rFonts w:eastAsia="Times New Roman" w:cs="Arial"/>
          <w:b/>
          <w:color w:val="000000"/>
        </w:rPr>
        <w:t>Après les travaux :</w:t>
      </w:r>
    </w:p>
    <w:p w14:paraId="4BF33202" w14:textId="5E5B5F6E" w:rsidR="00701C80" w:rsidRPr="00A9330B" w:rsidRDefault="00877531" w:rsidP="006D669A">
      <w:pPr>
        <w:numPr>
          <w:ilvl w:val="0"/>
          <w:numId w:val="5"/>
        </w:numPr>
        <w:autoSpaceDE w:val="0"/>
        <w:autoSpaceDN w:val="0"/>
        <w:adjustRightInd w:val="0"/>
        <w:rPr>
          <w:rFonts w:eastAsia="Times New Roman" w:cs="Arial"/>
          <w:color w:val="000000"/>
        </w:rPr>
      </w:pPr>
      <w:r w:rsidRPr="00A9330B">
        <w:rPr>
          <w:rFonts w:eastAsia="Times New Roman" w:cs="Arial"/>
          <w:color w:val="000000"/>
        </w:rPr>
        <w:t>p</w:t>
      </w:r>
      <w:r w:rsidR="00701C80" w:rsidRPr="00A9330B">
        <w:rPr>
          <w:rFonts w:eastAsia="Times New Roman" w:cs="Arial"/>
          <w:color w:val="000000"/>
        </w:rPr>
        <w:t>révoir des panneaux de signalisation pour limiter la vitesse des usagers dans les agglomérations,</w:t>
      </w:r>
    </w:p>
    <w:p w14:paraId="4BD24E78" w14:textId="7268E0E4" w:rsidR="00701C80" w:rsidRPr="00A9330B" w:rsidRDefault="00877531" w:rsidP="006D669A">
      <w:pPr>
        <w:numPr>
          <w:ilvl w:val="0"/>
          <w:numId w:val="5"/>
        </w:numPr>
        <w:autoSpaceDE w:val="0"/>
        <w:autoSpaceDN w:val="0"/>
        <w:adjustRightInd w:val="0"/>
        <w:rPr>
          <w:rFonts w:eastAsia="Times New Roman" w:cs="Arial"/>
          <w:color w:val="000000"/>
        </w:rPr>
      </w:pPr>
      <w:r w:rsidRPr="00A9330B">
        <w:rPr>
          <w:rFonts w:eastAsia="Times New Roman" w:cs="Arial"/>
          <w:color w:val="000000"/>
        </w:rPr>
        <w:t>p</w:t>
      </w:r>
      <w:r w:rsidR="00701C80" w:rsidRPr="00A9330B">
        <w:rPr>
          <w:rFonts w:eastAsia="Times New Roman" w:cs="Arial"/>
          <w:color w:val="000000"/>
        </w:rPr>
        <w:t xml:space="preserve">révoir des lampadaires solaires le long des rues pour l’éclairage, </w:t>
      </w:r>
    </w:p>
    <w:p w14:paraId="5E191FF8" w14:textId="3C88742E" w:rsidR="00701C80" w:rsidRPr="00A9330B" w:rsidRDefault="00877531" w:rsidP="006D669A">
      <w:pPr>
        <w:numPr>
          <w:ilvl w:val="0"/>
          <w:numId w:val="5"/>
        </w:numPr>
        <w:autoSpaceDE w:val="0"/>
        <w:autoSpaceDN w:val="0"/>
        <w:adjustRightInd w:val="0"/>
        <w:rPr>
          <w:rFonts w:eastAsia="Times New Roman" w:cs="Arial"/>
          <w:color w:val="000000"/>
        </w:rPr>
      </w:pPr>
      <w:r w:rsidRPr="00A9330B">
        <w:rPr>
          <w:rFonts w:eastAsia="Times New Roman" w:cs="Arial"/>
          <w:color w:val="000000"/>
        </w:rPr>
        <w:t>r</w:t>
      </w:r>
      <w:r w:rsidR="00701C80" w:rsidRPr="00A9330B">
        <w:rPr>
          <w:rFonts w:eastAsia="Times New Roman" w:cs="Arial"/>
          <w:color w:val="000000"/>
        </w:rPr>
        <w:t xml:space="preserve">éaliser des gardes corps pour des ouvrages d’assainissement à ciel ouvert, </w:t>
      </w:r>
    </w:p>
    <w:p w14:paraId="04EC46C9" w14:textId="59DDCB2C" w:rsidR="00701C80" w:rsidRPr="00A9330B" w:rsidRDefault="00877531" w:rsidP="006D669A">
      <w:pPr>
        <w:numPr>
          <w:ilvl w:val="0"/>
          <w:numId w:val="5"/>
        </w:numPr>
        <w:autoSpaceDE w:val="0"/>
        <w:autoSpaceDN w:val="0"/>
        <w:adjustRightInd w:val="0"/>
        <w:rPr>
          <w:rFonts w:eastAsia="Times New Roman" w:cs="Arial"/>
          <w:color w:val="000000"/>
        </w:rPr>
      </w:pPr>
      <w:r w:rsidRPr="00A9330B">
        <w:rPr>
          <w:rFonts w:eastAsia="Times New Roman" w:cs="Arial"/>
          <w:color w:val="000000"/>
        </w:rPr>
        <w:t>a</w:t>
      </w:r>
      <w:r w:rsidR="00701C80" w:rsidRPr="00A9330B">
        <w:rPr>
          <w:rFonts w:eastAsia="Times New Roman" w:cs="Arial"/>
          <w:color w:val="000000"/>
        </w:rPr>
        <w:t xml:space="preserve">ider les élus locaux pour l’entretien de ces nouveaux ouvrages.   </w:t>
      </w:r>
    </w:p>
    <w:p w14:paraId="776450C0" w14:textId="77777777" w:rsidR="00701C80" w:rsidRPr="00A9330B" w:rsidRDefault="00701C80" w:rsidP="006D669A">
      <w:pPr>
        <w:autoSpaceDE w:val="0"/>
        <w:autoSpaceDN w:val="0"/>
        <w:adjustRightInd w:val="0"/>
        <w:jc w:val="both"/>
        <w:rPr>
          <w:rFonts w:eastAsia="Times New Roman" w:cs="Arial"/>
          <w:color w:val="000000"/>
        </w:rPr>
      </w:pPr>
      <w:r w:rsidRPr="00A9330B">
        <w:rPr>
          <w:rFonts w:eastAsia="Times New Roman" w:cs="Arial"/>
          <w:color w:val="000000"/>
        </w:rPr>
        <w:t>Par ailleurs, avec le respect de la législation nationale et aussi des principes la Banque Mondiale en matière de sauvegarde sociale, une plus grande consultation publique, une participation locale et une préoccupation quant aux enjeux environnementaux et socioéconomiques est garantie.</w:t>
      </w:r>
    </w:p>
    <w:p w14:paraId="5E7ADDBE" w14:textId="77777777" w:rsidR="00401546" w:rsidRPr="00A9330B" w:rsidRDefault="00401546" w:rsidP="00701C80">
      <w:pPr>
        <w:spacing w:line="240" w:lineRule="auto"/>
        <w:rPr>
          <w:rFonts w:ascii="Times New Roman" w:eastAsiaTheme="minorEastAsia" w:hAnsi="Times New Roman" w:cs="Times New Roman"/>
          <w:color w:val="auto"/>
          <w:sz w:val="20"/>
          <w:szCs w:val="20"/>
          <w:lang w:eastAsia="fr-FR"/>
        </w:rPr>
      </w:pPr>
    </w:p>
    <w:p w14:paraId="2A99B5F0" w14:textId="77777777" w:rsidR="00C5253D" w:rsidRPr="00A9330B" w:rsidRDefault="00C5253D">
      <w:pPr>
        <w:spacing w:before="0" w:after="160" w:line="259" w:lineRule="auto"/>
        <w:rPr>
          <w:rFonts w:eastAsiaTheme="majorEastAsia" w:cstheme="majorBidi"/>
          <w:b/>
          <w:caps/>
          <w:color w:val="00B050"/>
          <w:sz w:val="30"/>
          <w:szCs w:val="30"/>
        </w:rPr>
      </w:pPr>
      <w:bookmarkStart w:id="824" w:name="_Toc43696620"/>
      <w:bookmarkStart w:id="825" w:name="_Toc43697642"/>
      <w:r w:rsidRPr="00A9330B">
        <w:rPr>
          <w:rFonts w:eastAsiaTheme="majorEastAsia" w:cstheme="majorBidi"/>
          <w:b/>
          <w:caps/>
          <w:color w:val="00B050"/>
          <w:sz w:val="30"/>
          <w:szCs w:val="30"/>
        </w:rPr>
        <w:br w:type="page"/>
      </w:r>
    </w:p>
    <w:p w14:paraId="65E591F3" w14:textId="77777777" w:rsidR="00401546" w:rsidRPr="00A9330B" w:rsidRDefault="00401546" w:rsidP="00401546">
      <w:pPr>
        <w:keepNext/>
        <w:keepLines/>
        <w:spacing w:line="240" w:lineRule="auto"/>
        <w:outlineLvl w:val="0"/>
        <w:rPr>
          <w:rFonts w:eastAsiaTheme="majorEastAsia" w:cstheme="majorBidi"/>
          <w:b/>
          <w:caps/>
          <w:color w:val="00B050"/>
          <w:sz w:val="30"/>
          <w:szCs w:val="30"/>
        </w:rPr>
      </w:pPr>
      <w:bookmarkStart w:id="826" w:name="_Toc52869646"/>
      <w:bookmarkStart w:id="827" w:name="_Toc52869837"/>
      <w:r w:rsidRPr="00A9330B">
        <w:rPr>
          <w:rFonts w:eastAsiaTheme="majorEastAsia" w:cstheme="majorBidi"/>
          <w:b/>
          <w:caps/>
          <w:color w:val="00B050"/>
          <w:sz w:val="30"/>
          <w:szCs w:val="30"/>
        </w:rPr>
        <w:lastRenderedPageBreak/>
        <w:t>4. CONSULTATIONS PUBLIQUES</w:t>
      </w:r>
      <w:bookmarkStart w:id="828" w:name="_Toc531434204"/>
      <w:bookmarkStart w:id="829" w:name="_Toc535244584"/>
      <w:bookmarkEnd w:id="824"/>
      <w:bookmarkEnd w:id="825"/>
      <w:bookmarkEnd w:id="826"/>
      <w:bookmarkEnd w:id="827"/>
    </w:p>
    <w:p w14:paraId="331D0858" w14:textId="77777777" w:rsidR="00401546" w:rsidRPr="00A9330B" w:rsidRDefault="00401546" w:rsidP="00401546">
      <w:pPr>
        <w:jc w:val="both"/>
        <w:rPr>
          <w:rFonts w:cs="Arial"/>
          <w:b/>
        </w:rPr>
      </w:pPr>
      <w:bookmarkStart w:id="830" w:name="_Toc336163910"/>
      <w:bookmarkEnd w:id="828"/>
      <w:bookmarkEnd w:id="829"/>
      <w:r w:rsidRPr="00A9330B">
        <w:rPr>
          <w:rFonts w:cs="Arial"/>
        </w:rPr>
        <w:t>Lors de la réalisation de l’EIES une place importante a été accordée à la consultation publique qui est une procédure</w:t>
      </w:r>
      <w:r w:rsidRPr="00A9330B">
        <w:rPr>
          <w:rFonts w:cs="Arial"/>
          <w:b/>
        </w:rPr>
        <w:t xml:space="preserve"> de participation du public au processus de décision.</w:t>
      </w:r>
    </w:p>
    <w:p w14:paraId="7BD5F57A" w14:textId="77777777" w:rsidR="00401546" w:rsidRPr="00A9330B" w:rsidRDefault="00401546" w:rsidP="00401546">
      <w:pPr>
        <w:jc w:val="both"/>
        <w:rPr>
          <w:rFonts w:cs="Arial"/>
        </w:rPr>
      </w:pPr>
      <w:r w:rsidRPr="00A9330B">
        <w:rPr>
          <w:rFonts w:cs="Arial"/>
        </w:rPr>
        <w:t>La participation du public est définie comme étant l'implication du public au processus d'étude d'impact sur l'environnement afin de fournir les éléments nécessaires à la prise de décision. Elle a pour objectif d'informer le public concerné sur l'existence d'un projet et de recueillir son avis sur les différents aspects de conception et d'exécution dudit projet.</w:t>
      </w:r>
    </w:p>
    <w:p w14:paraId="5A373D88" w14:textId="677C7522" w:rsidR="00401546" w:rsidRPr="00A9330B" w:rsidRDefault="006D669A" w:rsidP="00401546">
      <w:pPr>
        <w:jc w:val="both"/>
        <w:rPr>
          <w:rFonts w:cs="Arial"/>
        </w:rPr>
      </w:pPr>
      <w:r w:rsidRPr="00A9330B">
        <w:rPr>
          <w:rFonts w:cs="Arial"/>
        </w:rPr>
        <w:t xml:space="preserve">Le public concerné est : </w:t>
      </w:r>
      <w:r w:rsidR="00401546" w:rsidRPr="00A9330B">
        <w:rPr>
          <w:rFonts w:cs="Arial"/>
        </w:rPr>
        <w:t>- i) celui dont les intérêts sont touchés par les décisions prises en matière d'environnement relativement au projet ou – ii) celui qui a des intérêts à défendre ou à faire valoir dans le cadre du processus décisionnel devant conduire à la délivrance du certificat de conformité environnementale.</w:t>
      </w:r>
    </w:p>
    <w:p w14:paraId="1440801F" w14:textId="2CC8353F" w:rsidR="00401546" w:rsidRPr="00A9330B" w:rsidRDefault="00401546" w:rsidP="00401546">
      <w:pPr>
        <w:jc w:val="both"/>
        <w:rPr>
          <w:rFonts w:cs="Arial"/>
        </w:rPr>
      </w:pPr>
      <w:r w:rsidRPr="00A9330B">
        <w:rPr>
          <w:rFonts w:cs="Arial"/>
          <w:bCs/>
        </w:rPr>
        <w:t>Procédure</w:t>
      </w:r>
      <w:r w:rsidRPr="00A9330B">
        <w:rPr>
          <w:rFonts w:cs="Arial"/>
          <w:b/>
          <w:bCs/>
        </w:rPr>
        <w:t xml:space="preserve"> de participation du public au processus de décision, </w:t>
      </w:r>
      <w:r w:rsidRPr="00A9330B">
        <w:rPr>
          <w:rFonts w:cs="Arial"/>
          <w:bCs/>
        </w:rPr>
        <w:t>l</w:t>
      </w:r>
      <w:r w:rsidRPr="00A9330B">
        <w:rPr>
          <w:rFonts w:cs="Arial"/>
        </w:rPr>
        <w:t>a consultation publique permet aux personnes, groupes, acteurs ou municipalités concernés par un projet d’avoir accès à l’information technique, d’exprimer leurs opinions sur le projet et de mettre en lumière, entre autres, les valeurs collectives, les options divergentes, les préoccupations particulières, les aspects occultés qui doivent être considérés dans la prise de décision.</w:t>
      </w:r>
    </w:p>
    <w:p w14:paraId="0AB8A4AB" w14:textId="77777777" w:rsidR="00401546" w:rsidRPr="00A9330B" w:rsidRDefault="00401546" w:rsidP="006E37A6">
      <w:pPr>
        <w:pStyle w:val="Titre20"/>
      </w:pPr>
      <w:bookmarkStart w:id="831" w:name="_Toc405918040"/>
      <w:bookmarkStart w:id="832" w:name="_Toc517377201"/>
      <w:bookmarkStart w:id="833" w:name="_Toc43697643"/>
      <w:bookmarkStart w:id="834" w:name="_Toc52869647"/>
      <w:bookmarkStart w:id="835" w:name="_Toc52869838"/>
      <w:r w:rsidRPr="00A9330B">
        <w:t>4.1.  Perception des autorités communales, parties intéressées et des riverains</w:t>
      </w:r>
      <w:bookmarkEnd w:id="831"/>
      <w:bookmarkEnd w:id="832"/>
      <w:bookmarkEnd w:id="833"/>
      <w:bookmarkEnd w:id="834"/>
      <w:bookmarkEnd w:id="835"/>
    </w:p>
    <w:p w14:paraId="6891F442" w14:textId="488787D3" w:rsidR="00401546" w:rsidRPr="00A9330B" w:rsidRDefault="00401546" w:rsidP="00401546">
      <w:pPr>
        <w:jc w:val="both"/>
        <w:rPr>
          <w:rFonts w:cs="Arial"/>
        </w:rPr>
      </w:pPr>
      <w:r w:rsidRPr="00A9330B">
        <w:rPr>
          <w:rFonts w:cs="Arial"/>
        </w:rPr>
        <w:t xml:space="preserve">Les autorités locales ont été aussi consultées notamment la Mairie, les Chefs de Service Technique et les </w:t>
      </w:r>
      <w:r w:rsidR="00FF53D8" w:rsidRPr="00A9330B">
        <w:rPr>
          <w:rFonts w:cs="Arial"/>
        </w:rPr>
        <w:t>C</w:t>
      </w:r>
      <w:r w:rsidRPr="00A9330B">
        <w:rPr>
          <w:rFonts w:cs="Arial"/>
        </w:rPr>
        <w:t xml:space="preserve">hefs </w:t>
      </w:r>
      <w:r w:rsidR="00FF53D8" w:rsidRPr="00A9330B">
        <w:rPr>
          <w:rFonts w:cs="Arial"/>
        </w:rPr>
        <w:t>S</w:t>
      </w:r>
      <w:r w:rsidRPr="00A9330B">
        <w:rPr>
          <w:rFonts w:cs="Arial"/>
        </w:rPr>
        <w:t xml:space="preserve">ervices </w:t>
      </w:r>
      <w:r w:rsidR="00FF53D8" w:rsidRPr="00A9330B">
        <w:rPr>
          <w:rFonts w:cs="Arial"/>
        </w:rPr>
        <w:t>A</w:t>
      </w:r>
      <w:r w:rsidRPr="00A9330B">
        <w:rPr>
          <w:rFonts w:cs="Arial"/>
        </w:rPr>
        <w:t xml:space="preserve">ffaires </w:t>
      </w:r>
      <w:r w:rsidR="00FF53D8" w:rsidRPr="00A9330B">
        <w:rPr>
          <w:rFonts w:cs="Arial"/>
        </w:rPr>
        <w:t>D</w:t>
      </w:r>
      <w:r w:rsidRPr="00A9330B">
        <w:rPr>
          <w:rFonts w:cs="Arial"/>
        </w:rPr>
        <w:t xml:space="preserve">omaniales et </w:t>
      </w:r>
      <w:r w:rsidR="00FF53D8" w:rsidRPr="00A9330B">
        <w:rPr>
          <w:rFonts w:cs="Arial"/>
        </w:rPr>
        <w:t>E</w:t>
      </w:r>
      <w:r w:rsidRPr="00A9330B">
        <w:rPr>
          <w:rFonts w:cs="Arial"/>
        </w:rPr>
        <w:t>nvironnementales.</w:t>
      </w:r>
    </w:p>
    <w:p w14:paraId="42547466" w14:textId="12729178" w:rsidR="00401546" w:rsidRPr="00A9330B" w:rsidRDefault="00401546" w:rsidP="00401546">
      <w:pPr>
        <w:jc w:val="both"/>
        <w:rPr>
          <w:rFonts w:cs="Arial"/>
        </w:rPr>
      </w:pPr>
      <w:r w:rsidRPr="00A9330B">
        <w:rPr>
          <w:rFonts w:cs="Arial"/>
        </w:rPr>
        <w:t>Les populations et les autorités communales ont favorablement accueilli le projet. Ces dernières ont hâte de voir la mise en œuvre du projet dont les avantages sont énormes (praticabilité de la route en toutes saisons, confort, rapidité du trafic, augmentation du trafic, renforcement des échanges commerciaux, désenclavement de certains quartiers, etc.).</w:t>
      </w:r>
    </w:p>
    <w:p w14:paraId="3D024086" w14:textId="441E857A" w:rsidR="00401546" w:rsidRPr="00A9330B" w:rsidRDefault="00401546" w:rsidP="00401546">
      <w:pPr>
        <w:jc w:val="both"/>
        <w:rPr>
          <w:rFonts w:cs="Arial"/>
        </w:rPr>
      </w:pPr>
      <w:r w:rsidRPr="00A9330B">
        <w:rPr>
          <w:rFonts w:cs="Arial"/>
        </w:rPr>
        <w:t>La plupart pensent que le projet est l</w:t>
      </w:r>
      <w:r w:rsidR="00FF53D8" w:rsidRPr="00A9330B">
        <w:rPr>
          <w:rFonts w:cs="Arial"/>
        </w:rPr>
        <w:t>e</w:t>
      </w:r>
      <w:r w:rsidRPr="00A9330B">
        <w:rPr>
          <w:rFonts w:cs="Arial"/>
        </w:rPr>
        <w:t xml:space="preserve"> bienvenu et peu</w:t>
      </w:r>
      <w:r w:rsidR="00FF53D8" w:rsidRPr="00A9330B">
        <w:rPr>
          <w:rFonts w:cs="Arial"/>
        </w:rPr>
        <w:t>t</w:t>
      </w:r>
      <w:r w:rsidRPr="00A9330B">
        <w:rPr>
          <w:rFonts w:cs="Arial"/>
        </w:rPr>
        <w:t xml:space="preserve"> non seulement résoudre les problèmes ci-dessus mais aussi octroyer des avantages au nombre desquels on peut citer : </w:t>
      </w:r>
    </w:p>
    <w:p w14:paraId="1A723BDC" w14:textId="77777777" w:rsidR="00401546" w:rsidRPr="00A9330B" w:rsidRDefault="00401546" w:rsidP="00BD2F72">
      <w:pPr>
        <w:numPr>
          <w:ilvl w:val="0"/>
          <w:numId w:val="45"/>
        </w:numPr>
        <w:jc w:val="both"/>
        <w:rPr>
          <w:rFonts w:eastAsia="Times New Roman" w:cs="Arial"/>
          <w:szCs w:val="20"/>
          <w:lang w:eastAsia="de-DE"/>
        </w:rPr>
      </w:pPr>
      <w:r w:rsidRPr="00A9330B">
        <w:rPr>
          <w:rFonts w:eastAsia="Times New Roman" w:cs="Arial"/>
          <w:szCs w:val="20"/>
          <w:lang w:eastAsia="de-DE"/>
        </w:rPr>
        <w:t>le développement et le rayonnement des communes,</w:t>
      </w:r>
    </w:p>
    <w:p w14:paraId="2B6F1EF8" w14:textId="77777777" w:rsidR="00401546" w:rsidRPr="00A9330B" w:rsidRDefault="00401546" w:rsidP="00BD2F72">
      <w:pPr>
        <w:numPr>
          <w:ilvl w:val="0"/>
          <w:numId w:val="45"/>
        </w:numPr>
        <w:jc w:val="both"/>
        <w:rPr>
          <w:rFonts w:eastAsia="Times New Roman" w:cs="Arial"/>
          <w:szCs w:val="20"/>
          <w:lang w:eastAsia="de-DE"/>
        </w:rPr>
      </w:pPr>
      <w:r w:rsidRPr="00A9330B">
        <w:rPr>
          <w:rFonts w:eastAsia="Times New Roman" w:cs="Arial"/>
          <w:szCs w:val="20"/>
          <w:lang w:eastAsia="de-DE"/>
        </w:rPr>
        <w:t>la création d’emplois ;</w:t>
      </w:r>
    </w:p>
    <w:p w14:paraId="6103E4D6" w14:textId="77777777" w:rsidR="00401546" w:rsidRPr="00A9330B" w:rsidRDefault="00401546" w:rsidP="00BD2F72">
      <w:pPr>
        <w:numPr>
          <w:ilvl w:val="0"/>
          <w:numId w:val="45"/>
        </w:numPr>
        <w:jc w:val="both"/>
        <w:rPr>
          <w:rFonts w:eastAsia="Times New Roman" w:cs="Arial"/>
          <w:szCs w:val="20"/>
          <w:lang w:eastAsia="de-DE"/>
        </w:rPr>
      </w:pPr>
      <w:r w:rsidRPr="00A9330B">
        <w:rPr>
          <w:rFonts w:eastAsia="Times New Roman" w:cs="Arial"/>
          <w:szCs w:val="20"/>
          <w:lang w:eastAsia="de-DE"/>
        </w:rPr>
        <w:t xml:space="preserve">le renforcement des capacités des communes ; </w:t>
      </w:r>
    </w:p>
    <w:p w14:paraId="6D6ED04A" w14:textId="77777777" w:rsidR="00401546" w:rsidRPr="00A9330B" w:rsidRDefault="00401546" w:rsidP="00BD2F72">
      <w:pPr>
        <w:numPr>
          <w:ilvl w:val="0"/>
          <w:numId w:val="45"/>
        </w:numPr>
        <w:jc w:val="both"/>
        <w:rPr>
          <w:rFonts w:eastAsia="Times New Roman" w:cs="Arial"/>
          <w:szCs w:val="20"/>
          <w:lang w:eastAsia="de-DE"/>
        </w:rPr>
      </w:pPr>
      <w:r w:rsidRPr="00A9330B">
        <w:rPr>
          <w:rFonts w:eastAsia="Times New Roman" w:cs="Arial"/>
          <w:szCs w:val="20"/>
          <w:lang w:eastAsia="de-DE"/>
        </w:rPr>
        <w:t>l’amélioration des revenus des populations locales et développement urbain ;</w:t>
      </w:r>
    </w:p>
    <w:p w14:paraId="4F398BF6" w14:textId="77777777" w:rsidR="00401546" w:rsidRPr="00A9330B" w:rsidRDefault="00401546" w:rsidP="00BD2F72">
      <w:pPr>
        <w:numPr>
          <w:ilvl w:val="0"/>
          <w:numId w:val="45"/>
        </w:numPr>
        <w:jc w:val="both"/>
        <w:rPr>
          <w:rFonts w:eastAsia="Times New Roman" w:cs="Arial"/>
          <w:szCs w:val="20"/>
          <w:lang w:eastAsia="de-DE"/>
        </w:rPr>
      </w:pPr>
      <w:r w:rsidRPr="00A9330B">
        <w:rPr>
          <w:rFonts w:eastAsia="Times New Roman" w:cs="Arial"/>
          <w:szCs w:val="20"/>
          <w:lang w:eastAsia="de-DE"/>
        </w:rPr>
        <w:t>l’assainissement du milieu ;</w:t>
      </w:r>
    </w:p>
    <w:p w14:paraId="6DBB378D" w14:textId="77777777" w:rsidR="00401546" w:rsidRPr="00A9330B" w:rsidRDefault="00401546" w:rsidP="00BD2F72">
      <w:pPr>
        <w:numPr>
          <w:ilvl w:val="0"/>
          <w:numId w:val="45"/>
        </w:numPr>
        <w:jc w:val="both"/>
        <w:rPr>
          <w:rFonts w:eastAsia="Times New Roman" w:cs="Arial"/>
          <w:szCs w:val="20"/>
          <w:lang w:eastAsia="de-DE"/>
        </w:rPr>
      </w:pPr>
      <w:r w:rsidRPr="00A9330B">
        <w:rPr>
          <w:rFonts w:eastAsia="Times New Roman" w:cs="Arial"/>
          <w:szCs w:val="20"/>
          <w:lang w:eastAsia="de-DE"/>
        </w:rPr>
        <w:t>la réduction des problèmes de santé ;</w:t>
      </w:r>
    </w:p>
    <w:p w14:paraId="424F1E99" w14:textId="77777777" w:rsidR="00401546" w:rsidRPr="00A9330B" w:rsidRDefault="00401546" w:rsidP="00BD2F72">
      <w:pPr>
        <w:numPr>
          <w:ilvl w:val="0"/>
          <w:numId w:val="45"/>
        </w:numPr>
        <w:jc w:val="both"/>
        <w:rPr>
          <w:rFonts w:eastAsia="Times New Roman" w:cs="Arial"/>
          <w:szCs w:val="20"/>
          <w:lang w:eastAsia="de-DE"/>
        </w:rPr>
      </w:pPr>
      <w:r w:rsidRPr="00A9330B">
        <w:rPr>
          <w:rFonts w:eastAsia="Times New Roman" w:cs="Arial"/>
          <w:szCs w:val="20"/>
          <w:lang w:eastAsia="de-DE"/>
        </w:rPr>
        <w:t>les retombées économiques pour la commune</w:t>
      </w:r>
    </w:p>
    <w:p w14:paraId="223B564A" w14:textId="77777777" w:rsidR="00401546" w:rsidRPr="00A9330B" w:rsidRDefault="00401546" w:rsidP="006E37A6">
      <w:pPr>
        <w:pStyle w:val="Titre20"/>
      </w:pPr>
      <w:bookmarkStart w:id="836" w:name="_Toc517377202"/>
      <w:bookmarkStart w:id="837" w:name="_Toc43697644"/>
      <w:bookmarkStart w:id="838" w:name="_Toc52869648"/>
      <w:bookmarkStart w:id="839" w:name="_Toc52869839"/>
      <w:r w:rsidRPr="00A9330B">
        <w:t>4.2.  Position des groupes sociaux face au projet, à ses contraintes et conditions</w:t>
      </w:r>
      <w:bookmarkEnd w:id="830"/>
      <w:bookmarkEnd w:id="836"/>
      <w:bookmarkEnd w:id="837"/>
      <w:bookmarkEnd w:id="838"/>
      <w:bookmarkEnd w:id="839"/>
      <w:r w:rsidRPr="00A9330B">
        <w:t xml:space="preserve"> </w:t>
      </w:r>
    </w:p>
    <w:p w14:paraId="596A07C2" w14:textId="04408331" w:rsidR="00401546" w:rsidRPr="00A9330B" w:rsidRDefault="00401546" w:rsidP="00401546">
      <w:pPr>
        <w:jc w:val="both"/>
        <w:rPr>
          <w:rFonts w:cs="Arial"/>
        </w:rPr>
      </w:pPr>
      <w:r w:rsidRPr="00A9330B">
        <w:rPr>
          <w:rFonts w:cs="Arial"/>
        </w:rPr>
        <w:t>Les différentes composantes du projet exposées aux populations sont accueillies par les populations de la zone comme des attentes exprimées durant des années. Mais elles font intervenir des positions variables selon les ouvrages et les prestations prévues</w:t>
      </w:r>
      <w:r w:rsidR="00FF53D8" w:rsidRPr="00A9330B">
        <w:rPr>
          <w:rFonts w:cs="Arial"/>
        </w:rPr>
        <w:t>.</w:t>
      </w:r>
    </w:p>
    <w:p w14:paraId="0538C3C7" w14:textId="77777777" w:rsidR="00401546" w:rsidRPr="00A9330B" w:rsidRDefault="00401546" w:rsidP="00401546">
      <w:pPr>
        <w:suppressAutoHyphens/>
        <w:ind w:left="720"/>
        <w:outlineLvl w:val="2"/>
        <w:rPr>
          <w:rFonts w:eastAsiaTheme="majorEastAsia" w:cstheme="majorBidi"/>
          <w:i/>
          <w:color w:val="auto"/>
          <w:sz w:val="26"/>
          <w:szCs w:val="24"/>
        </w:rPr>
      </w:pPr>
      <w:bookmarkStart w:id="840" w:name="_Toc336163911"/>
      <w:bookmarkStart w:id="841" w:name="_Toc517377203"/>
      <w:bookmarkStart w:id="842" w:name="_Toc43697645"/>
      <w:bookmarkStart w:id="843" w:name="_Toc45520848"/>
      <w:bookmarkStart w:id="844" w:name="_Toc52869649"/>
      <w:r w:rsidRPr="00A9330B">
        <w:rPr>
          <w:rFonts w:eastAsiaTheme="majorEastAsia" w:cstheme="majorBidi"/>
          <w:i/>
          <w:color w:val="auto"/>
          <w:sz w:val="26"/>
          <w:szCs w:val="24"/>
        </w:rPr>
        <w:t>4.2.1. Perception du projet</w:t>
      </w:r>
      <w:bookmarkEnd w:id="840"/>
      <w:bookmarkEnd w:id="841"/>
      <w:bookmarkEnd w:id="842"/>
      <w:bookmarkEnd w:id="843"/>
      <w:bookmarkEnd w:id="844"/>
    </w:p>
    <w:p w14:paraId="6DBB6ADA" w14:textId="77777777" w:rsidR="00401546" w:rsidRPr="00A9330B" w:rsidRDefault="00401546" w:rsidP="00401546">
      <w:pPr>
        <w:jc w:val="both"/>
        <w:rPr>
          <w:rFonts w:cs="Arial"/>
        </w:rPr>
      </w:pPr>
      <w:r w:rsidRPr="00A9330B">
        <w:rPr>
          <w:rFonts w:cs="Arial"/>
        </w:rPr>
        <w:t xml:space="preserve">La plupart des propriétaires des habitations et infrastructures économiques dans l’emprise des voies apprécient le projet et acceptent d’être déplacés. Ils estiment dans le même temps que </w:t>
      </w:r>
      <w:r w:rsidRPr="00A9330B">
        <w:rPr>
          <w:rFonts w:cs="Arial"/>
        </w:rPr>
        <w:lastRenderedPageBreak/>
        <w:t xml:space="preserve">ces changements, vont favoriser la valorisation de l’habitat local qui évoluera vers la fonction de location. De même les conditions objectives introduites par l’aménagement vont favoriser les installations d’accueil comme les hôtels, les infrastructures culturelles et les services de distribution. </w:t>
      </w:r>
    </w:p>
    <w:p w14:paraId="49FF2AED" w14:textId="382EAE76" w:rsidR="00401546" w:rsidRPr="00A9330B" w:rsidRDefault="00155583" w:rsidP="00401546">
      <w:pPr>
        <w:suppressAutoHyphens/>
        <w:ind w:left="720"/>
        <w:outlineLvl w:val="2"/>
        <w:rPr>
          <w:rFonts w:eastAsiaTheme="majorEastAsia" w:cstheme="majorBidi"/>
          <w:i/>
          <w:color w:val="auto"/>
          <w:sz w:val="26"/>
          <w:szCs w:val="24"/>
        </w:rPr>
      </w:pPr>
      <w:bookmarkStart w:id="845" w:name="_Toc517377204"/>
      <w:bookmarkStart w:id="846" w:name="_Toc43697646"/>
      <w:bookmarkStart w:id="847" w:name="_Toc45520849"/>
      <w:bookmarkStart w:id="848" w:name="_Toc52869650"/>
      <w:r w:rsidRPr="00A9330B">
        <w:rPr>
          <w:rFonts w:eastAsiaTheme="majorEastAsia" w:cstheme="majorBidi"/>
          <w:i/>
          <w:color w:val="auto"/>
          <w:sz w:val="26"/>
          <w:szCs w:val="24"/>
        </w:rPr>
        <w:t>4.2.</w:t>
      </w:r>
      <w:r w:rsidR="00401546" w:rsidRPr="00A9330B">
        <w:rPr>
          <w:rFonts w:eastAsiaTheme="majorEastAsia" w:cstheme="majorBidi"/>
          <w:i/>
          <w:color w:val="auto"/>
          <w:sz w:val="26"/>
          <w:szCs w:val="24"/>
        </w:rPr>
        <w:t>2 - Organisation et tenue de la séance de consultation</w:t>
      </w:r>
      <w:bookmarkEnd w:id="845"/>
      <w:bookmarkEnd w:id="846"/>
      <w:bookmarkEnd w:id="847"/>
      <w:bookmarkEnd w:id="848"/>
    </w:p>
    <w:p w14:paraId="5D1E9825" w14:textId="77777777" w:rsidR="00401546" w:rsidRPr="00A9330B" w:rsidRDefault="00401546" w:rsidP="00401546">
      <w:pPr>
        <w:jc w:val="both"/>
        <w:rPr>
          <w:rFonts w:eastAsia="Calibri" w:cs="Arial"/>
        </w:rPr>
      </w:pPr>
      <w:r w:rsidRPr="00A9330B">
        <w:rPr>
          <w:rFonts w:eastAsia="Calibri" w:cs="Arial"/>
        </w:rPr>
        <w:t>La consultation du public participe d’une disposition légale, contenue dans la loi-cadre sur l’environnement au Bénin et dans les Politiques opérationnelles des partenaires techniques et financiers fondant de nouveaux principes dans le lien socio-politique et instituant l’implication des :</w:t>
      </w:r>
    </w:p>
    <w:p w14:paraId="79BF994E" w14:textId="77777777" w:rsidR="00401546" w:rsidRPr="00A9330B" w:rsidRDefault="00401546" w:rsidP="00BD2F72">
      <w:pPr>
        <w:numPr>
          <w:ilvl w:val="0"/>
          <w:numId w:val="46"/>
        </w:numPr>
        <w:jc w:val="both"/>
        <w:rPr>
          <w:rFonts w:eastAsia="Calibri" w:cs="Arial"/>
          <w:szCs w:val="20"/>
          <w:lang w:eastAsia="de-DE"/>
        </w:rPr>
      </w:pPr>
      <w:r w:rsidRPr="00A9330B">
        <w:rPr>
          <w:rFonts w:eastAsia="Calibri" w:cs="Arial"/>
          <w:szCs w:val="20"/>
          <w:lang w:eastAsia="de-DE"/>
        </w:rPr>
        <w:t>acteurs institutionnels, tels que les services techniques et les élus locaux ;</w:t>
      </w:r>
    </w:p>
    <w:p w14:paraId="46694BAF" w14:textId="77777777" w:rsidR="00401546" w:rsidRPr="00A9330B" w:rsidRDefault="00401546" w:rsidP="00BD2F72">
      <w:pPr>
        <w:numPr>
          <w:ilvl w:val="0"/>
          <w:numId w:val="46"/>
        </w:numPr>
        <w:jc w:val="both"/>
        <w:rPr>
          <w:rFonts w:eastAsia="Calibri" w:cs="Arial"/>
          <w:szCs w:val="20"/>
          <w:lang w:eastAsia="de-DE"/>
        </w:rPr>
      </w:pPr>
      <w:r w:rsidRPr="00A9330B">
        <w:rPr>
          <w:rFonts w:eastAsia="Calibri" w:cs="Arial"/>
          <w:szCs w:val="20"/>
          <w:lang w:eastAsia="de-DE"/>
        </w:rPr>
        <w:t>acteurs non institutionnels, en l’occurrence les acteurs des communautés de base, les individuels et les collectifs ;</w:t>
      </w:r>
    </w:p>
    <w:p w14:paraId="50894646" w14:textId="77777777" w:rsidR="00401546" w:rsidRPr="00A9330B" w:rsidRDefault="00401546" w:rsidP="00401546">
      <w:pPr>
        <w:jc w:val="both"/>
        <w:rPr>
          <w:rFonts w:eastAsia="Calibri" w:cs="Arial"/>
        </w:rPr>
      </w:pPr>
      <w:r w:rsidRPr="00A9330B">
        <w:rPr>
          <w:rFonts w:eastAsia="Calibri" w:cs="Arial"/>
        </w:rPr>
        <w:t>Cela, en vue d’intégrer leurs points de vue, préoccupations et recommandations dans la prise de décision et dans les modalités de mise en œuvre du projet.</w:t>
      </w:r>
    </w:p>
    <w:p w14:paraId="3D59D322" w14:textId="77777777" w:rsidR="00401546" w:rsidRPr="00A9330B" w:rsidRDefault="00401546" w:rsidP="00401546">
      <w:pPr>
        <w:jc w:val="both"/>
        <w:rPr>
          <w:rFonts w:eastAsia="Calibri" w:cs="Arial"/>
        </w:rPr>
      </w:pPr>
      <w:r w:rsidRPr="00A9330B">
        <w:rPr>
          <w:rFonts w:eastAsia="Calibri" w:cs="Arial"/>
        </w:rPr>
        <w:t>La consultation cherche à créer une dynamique d’échanges avec les différents acteurs dans l’optique d’inscrire un projet dans la durabilité en y associant les savoirs et expériences des différentes catégories d’acteurs sociaux. Cette démarche vise à faire participer des acteurs situés à des niveaux et à des positions moins stratégiques par rapport aux centres de décisions. Elle permet d’assurer d’une part la viabilité d’un projet, et d’autre part de favoriser son acceptabilité sociale.</w:t>
      </w:r>
    </w:p>
    <w:p w14:paraId="3A0581D0" w14:textId="77777777" w:rsidR="00401546" w:rsidRPr="00A9330B" w:rsidRDefault="00401546" w:rsidP="00401546">
      <w:pPr>
        <w:jc w:val="both"/>
        <w:rPr>
          <w:rFonts w:eastAsia="Calibri" w:cs="Arial"/>
        </w:rPr>
      </w:pPr>
      <w:r w:rsidRPr="00A9330B">
        <w:rPr>
          <w:rFonts w:eastAsia="Calibri" w:cs="Arial"/>
        </w:rPr>
        <w:t>En dehors de l’aspect informatif qui en constitue l’une des fonctions élémentaires, la consultation permet la prise en compte des préoccupations et attentes des populations locales dans le processus de mise en œuvre du projet.</w:t>
      </w:r>
    </w:p>
    <w:p w14:paraId="6DC7E864" w14:textId="42B49290" w:rsidR="001E6177" w:rsidRPr="00A9330B" w:rsidRDefault="001E6177" w:rsidP="001E6177">
      <w:pPr>
        <w:rPr>
          <w:color w:val="auto"/>
          <w:lang w:eastAsia="fr-FR"/>
        </w:rPr>
      </w:pPr>
      <w:r w:rsidRPr="00A9330B">
        <w:rPr>
          <w:lang w:eastAsia="fr-FR"/>
        </w:rPr>
        <w:t>Dans la Ville de Natitingou, plusieurs consultations publiques ont été réalisées :</w:t>
      </w:r>
    </w:p>
    <w:p w14:paraId="292B38C5" w14:textId="3B11D919" w:rsidR="001E6177" w:rsidRPr="00A9330B" w:rsidRDefault="001E6177" w:rsidP="00BD2F72">
      <w:pPr>
        <w:pStyle w:val="Paragraphedeliste"/>
        <w:numPr>
          <w:ilvl w:val="0"/>
          <w:numId w:val="122"/>
        </w:numPr>
        <w:jc w:val="both"/>
        <w:rPr>
          <w:lang w:val="fr-FR" w:eastAsia="fr-FR"/>
        </w:rPr>
      </w:pPr>
      <w:r w:rsidRPr="00A9330B">
        <w:rPr>
          <w:lang w:val="fr-FR" w:eastAsia="fr-FR"/>
        </w:rPr>
        <w:t>la réunion de lancement du PAR le 04 juin 2020 qui a connu la participation des représentants de la Mairie, des Chefs quartiers, notables, et de</w:t>
      </w:r>
      <w:r w:rsidR="00FF53D8" w:rsidRPr="00A9330B">
        <w:rPr>
          <w:lang w:val="fr-FR" w:eastAsia="fr-FR"/>
        </w:rPr>
        <w:t>s</w:t>
      </w:r>
      <w:r w:rsidRPr="00A9330B">
        <w:rPr>
          <w:lang w:val="fr-FR" w:eastAsia="fr-FR"/>
        </w:rPr>
        <w:t xml:space="preserve"> riverains. L’objectif était d’informer sur le projet et ses objectifs et communiquer les dates de démarrage des enquêtes socio-économiques et celles de démarrage et de fin des recensements du PAR.</w:t>
      </w:r>
    </w:p>
    <w:p w14:paraId="5BDE0192" w14:textId="718B33A7" w:rsidR="001E6177" w:rsidRPr="00A9330B" w:rsidRDefault="001E6177" w:rsidP="00BD2F72">
      <w:pPr>
        <w:pStyle w:val="Paragraphedeliste"/>
        <w:numPr>
          <w:ilvl w:val="0"/>
          <w:numId w:val="122"/>
        </w:numPr>
        <w:jc w:val="both"/>
        <w:rPr>
          <w:lang w:val="fr-FR" w:eastAsia="fr-FR"/>
        </w:rPr>
      </w:pPr>
      <w:r w:rsidRPr="00A9330B">
        <w:rPr>
          <w:lang w:val="fr-FR" w:eastAsia="fr-FR"/>
        </w:rPr>
        <w:t>Consultation publique pour EIES dans chacun des arrondissements : 1</w:t>
      </w:r>
      <w:r w:rsidRPr="00A9330B">
        <w:rPr>
          <w:vertAlign w:val="superscript"/>
          <w:lang w:val="fr-FR" w:eastAsia="fr-FR"/>
        </w:rPr>
        <w:t>er</w:t>
      </w:r>
      <w:r w:rsidRPr="00A9330B">
        <w:rPr>
          <w:lang w:val="fr-FR" w:eastAsia="fr-FR"/>
        </w:rPr>
        <w:t>, 2</w:t>
      </w:r>
      <w:r w:rsidRPr="00A9330B">
        <w:rPr>
          <w:vertAlign w:val="superscript"/>
          <w:lang w:val="fr-FR" w:eastAsia="fr-FR"/>
        </w:rPr>
        <w:t>ème</w:t>
      </w:r>
      <w:r w:rsidRPr="00A9330B">
        <w:rPr>
          <w:lang w:val="fr-FR" w:eastAsia="fr-FR"/>
        </w:rPr>
        <w:t xml:space="preserve"> et 3</w:t>
      </w:r>
      <w:r w:rsidRPr="00A9330B">
        <w:rPr>
          <w:vertAlign w:val="superscript"/>
          <w:lang w:val="fr-FR" w:eastAsia="fr-FR"/>
        </w:rPr>
        <w:t>ème</w:t>
      </w:r>
      <w:r w:rsidRPr="00A9330B">
        <w:rPr>
          <w:lang w:val="fr-FR" w:eastAsia="fr-FR"/>
        </w:rPr>
        <w:t xml:space="preserve"> de Natitingou le 16 juin 2020.</w:t>
      </w:r>
    </w:p>
    <w:p w14:paraId="0051E6D4" w14:textId="689F92EC" w:rsidR="00401546" w:rsidRPr="00A9330B" w:rsidRDefault="00401546" w:rsidP="00401546">
      <w:pPr>
        <w:jc w:val="both"/>
        <w:rPr>
          <w:rFonts w:eastAsia="Calibri" w:cs="Arial"/>
        </w:rPr>
      </w:pPr>
      <w:r w:rsidRPr="00A9330B">
        <w:rPr>
          <w:rFonts w:eastAsia="Calibri" w:cs="Arial"/>
        </w:rPr>
        <w:t>Cette consultation a rassemblé les élus locaux (Chefs d’Arrondissements, Chefs de Quartiers, conseillers) ou leurs représentants, autorités religieuses et traditionnel</w:t>
      </w:r>
      <w:r w:rsidR="00FF53D8" w:rsidRPr="00A9330B">
        <w:rPr>
          <w:rFonts w:eastAsia="Calibri" w:cs="Arial"/>
        </w:rPr>
        <w:t>le</w:t>
      </w:r>
      <w:r w:rsidRPr="00A9330B">
        <w:rPr>
          <w:rFonts w:eastAsia="Calibri" w:cs="Arial"/>
        </w:rPr>
        <w:t>s et quelques Personnes Potentiellement Affectées par le Projet (PAP) des 3 arrondissements (1</w:t>
      </w:r>
      <w:r w:rsidRPr="00A9330B">
        <w:rPr>
          <w:rFonts w:eastAsia="Calibri" w:cs="Arial"/>
          <w:vertAlign w:val="superscript"/>
        </w:rPr>
        <w:t>er</w:t>
      </w:r>
      <w:r w:rsidRPr="00A9330B">
        <w:rPr>
          <w:rFonts w:eastAsia="Calibri" w:cs="Arial"/>
        </w:rPr>
        <w:t>, 2</w:t>
      </w:r>
      <w:r w:rsidRPr="00A9330B">
        <w:rPr>
          <w:rFonts w:eastAsia="Calibri" w:cs="Arial"/>
          <w:vertAlign w:val="superscript"/>
        </w:rPr>
        <w:t>ème</w:t>
      </w:r>
      <w:r w:rsidRPr="00A9330B">
        <w:rPr>
          <w:rFonts w:eastAsia="Calibri" w:cs="Arial"/>
        </w:rPr>
        <w:t xml:space="preserve"> et 3</w:t>
      </w:r>
      <w:r w:rsidRPr="00A9330B">
        <w:rPr>
          <w:rFonts w:eastAsia="Calibri" w:cs="Arial"/>
          <w:vertAlign w:val="superscript"/>
        </w:rPr>
        <w:t>ème</w:t>
      </w:r>
      <w:r w:rsidRPr="00A9330B">
        <w:rPr>
          <w:rFonts w:eastAsia="Calibri" w:cs="Arial"/>
        </w:rPr>
        <w:t xml:space="preserve">) concernés par le projet. Toutes les informations (Procès-verbal et liste de présence des participants) concernant ladite consultation publique dans la ville de </w:t>
      </w:r>
      <w:r w:rsidR="00BA7D70" w:rsidRPr="00A9330B">
        <w:rPr>
          <w:rFonts w:eastAsia="Calibri" w:cs="Arial"/>
        </w:rPr>
        <w:t xml:space="preserve">Natitingou </w:t>
      </w:r>
      <w:r w:rsidRPr="00A9330B">
        <w:rPr>
          <w:rFonts w:eastAsia="Calibri" w:cs="Arial"/>
        </w:rPr>
        <w:t>pour ce qui est des 3 arrondissements (1</w:t>
      </w:r>
      <w:r w:rsidRPr="00A9330B">
        <w:rPr>
          <w:rFonts w:eastAsia="Calibri" w:cs="Arial"/>
          <w:vertAlign w:val="superscript"/>
        </w:rPr>
        <w:t>er</w:t>
      </w:r>
      <w:r w:rsidRPr="00A9330B">
        <w:rPr>
          <w:rFonts w:eastAsia="Calibri" w:cs="Arial"/>
        </w:rPr>
        <w:t>, 2</w:t>
      </w:r>
      <w:r w:rsidRPr="00A9330B">
        <w:rPr>
          <w:rFonts w:eastAsia="Calibri" w:cs="Arial"/>
          <w:vertAlign w:val="superscript"/>
        </w:rPr>
        <w:t>ème</w:t>
      </w:r>
      <w:r w:rsidRPr="00A9330B">
        <w:rPr>
          <w:rFonts w:eastAsia="Calibri" w:cs="Arial"/>
        </w:rPr>
        <w:t xml:space="preserve"> et 3</w:t>
      </w:r>
      <w:r w:rsidRPr="00A9330B">
        <w:rPr>
          <w:rFonts w:eastAsia="Calibri" w:cs="Arial"/>
          <w:vertAlign w:val="superscript"/>
        </w:rPr>
        <w:t>ème</w:t>
      </w:r>
      <w:r w:rsidRPr="00A9330B">
        <w:rPr>
          <w:rFonts w:eastAsia="Calibri" w:cs="Arial"/>
        </w:rPr>
        <w:t>) se trouvent en annexe d</w:t>
      </w:r>
      <w:r w:rsidR="00F76DB0" w:rsidRPr="00A9330B">
        <w:rPr>
          <w:rFonts w:eastAsia="Calibri" w:cs="Arial"/>
        </w:rPr>
        <w:t xml:space="preserve">u présent </w:t>
      </w:r>
      <w:r w:rsidRPr="00A9330B">
        <w:rPr>
          <w:rFonts w:eastAsia="Calibri" w:cs="Arial"/>
        </w:rPr>
        <w:t>rapport.</w:t>
      </w:r>
    </w:p>
    <w:p w14:paraId="6110F375" w14:textId="61237CCB" w:rsidR="00401546" w:rsidRPr="00A9330B" w:rsidRDefault="00401546" w:rsidP="00401546">
      <w:pPr>
        <w:jc w:val="both"/>
        <w:rPr>
          <w:rFonts w:eastAsia="Calibri" w:cs="Arial"/>
        </w:rPr>
      </w:pPr>
      <w:r w:rsidRPr="00A9330B">
        <w:rPr>
          <w:rFonts w:eastAsia="Calibri" w:cs="Arial"/>
        </w:rPr>
        <w:t xml:space="preserve">Les principales </w:t>
      </w:r>
      <w:r w:rsidR="00DB04E9" w:rsidRPr="00A9330B">
        <w:rPr>
          <w:rFonts w:eastAsia="Calibri" w:cs="Arial"/>
        </w:rPr>
        <w:t xml:space="preserve">préoccupations </w:t>
      </w:r>
      <w:r w:rsidRPr="00A9330B">
        <w:rPr>
          <w:rFonts w:eastAsia="Calibri" w:cs="Arial"/>
        </w:rPr>
        <w:t xml:space="preserve">des participants à la consultation publique sont : </w:t>
      </w:r>
    </w:p>
    <w:p w14:paraId="6258C24B" w14:textId="05F59A8A" w:rsidR="00401546" w:rsidRPr="00A9330B" w:rsidRDefault="00401546" w:rsidP="00BD2F72">
      <w:pPr>
        <w:numPr>
          <w:ilvl w:val="0"/>
          <w:numId w:val="47"/>
        </w:numPr>
        <w:jc w:val="both"/>
        <w:rPr>
          <w:rFonts w:eastAsia="Times New Roman" w:cs="Arial"/>
          <w:szCs w:val="20"/>
          <w:lang w:eastAsia="de-DE"/>
        </w:rPr>
      </w:pPr>
      <w:r w:rsidRPr="00A9330B">
        <w:rPr>
          <w:rFonts w:eastAsia="Times New Roman" w:cs="Arial"/>
          <w:szCs w:val="20"/>
          <w:lang w:eastAsia="de-DE"/>
        </w:rPr>
        <w:t>les rues du</w:t>
      </w:r>
      <w:r w:rsidR="00917EB7" w:rsidRPr="00A9330B">
        <w:rPr>
          <w:rFonts w:eastAsia="Times New Roman" w:cs="Arial"/>
          <w:szCs w:val="20"/>
          <w:lang w:eastAsia="de-DE"/>
        </w:rPr>
        <w:t xml:space="preserve"> projet PAPVS sont telles différentes </w:t>
      </w:r>
      <w:r w:rsidR="0051077A" w:rsidRPr="00A9330B">
        <w:rPr>
          <w:rFonts w:eastAsia="Times New Roman" w:cs="Arial"/>
          <w:szCs w:val="20"/>
          <w:lang w:eastAsia="de-DE"/>
        </w:rPr>
        <w:t xml:space="preserve"> </w:t>
      </w:r>
      <w:r w:rsidRPr="00A9330B">
        <w:rPr>
          <w:rFonts w:eastAsia="Times New Roman" w:cs="Arial"/>
          <w:szCs w:val="20"/>
          <w:lang w:eastAsia="de-DE"/>
        </w:rPr>
        <w:t>de celles de Asphaltage ?</w:t>
      </w:r>
    </w:p>
    <w:p w14:paraId="0222A9F7" w14:textId="5085E11A" w:rsidR="00401546" w:rsidRPr="00A9330B" w:rsidRDefault="00401546" w:rsidP="00BD2F72">
      <w:pPr>
        <w:numPr>
          <w:ilvl w:val="0"/>
          <w:numId w:val="47"/>
        </w:numPr>
        <w:jc w:val="both"/>
        <w:rPr>
          <w:rFonts w:eastAsia="Times New Roman" w:cs="Arial"/>
          <w:szCs w:val="20"/>
          <w:lang w:eastAsia="de-DE"/>
        </w:rPr>
      </w:pPr>
      <w:r w:rsidRPr="00A9330B">
        <w:rPr>
          <w:rFonts w:eastAsia="Times New Roman" w:cs="Arial"/>
          <w:szCs w:val="20"/>
          <w:lang w:eastAsia="de-DE"/>
        </w:rPr>
        <w:t>aura</w:t>
      </w:r>
      <w:r w:rsidR="00917EB7" w:rsidRPr="00A9330B">
        <w:rPr>
          <w:rFonts w:eastAsia="Times New Roman" w:cs="Arial"/>
          <w:szCs w:val="20"/>
          <w:lang w:eastAsia="de-DE"/>
        </w:rPr>
        <w:t>it</w:t>
      </w:r>
      <w:r w:rsidRPr="00A9330B">
        <w:rPr>
          <w:rFonts w:eastAsia="Times New Roman" w:cs="Arial"/>
          <w:szCs w:val="20"/>
          <w:lang w:eastAsia="de-DE"/>
        </w:rPr>
        <w:t>-il la phase II pour le projet asphaltage pour prendre en compte de nouvelle rue?</w:t>
      </w:r>
    </w:p>
    <w:p w14:paraId="06DF1FBB" w14:textId="77777777" w:rsidR="0051077A" w:rsidRPr="00A9330B" w:rsidRDefault="00401546" w:rsidP="00BD2F72">
      <w:pPr>
        <w:numPr>
          <w:ilvl w:val="0"/>
          <w:numId w:val="47"/>
        </w:numPr>
        <w:jc w:val="both"/>
        <w:rPr>
          <w:rFonts w:eastAsia="Times New Roman" w:cs="Arial"/>
          <w:szCs w:val="20"/>
          <w:lang w:eastAsia="de-DE"/>
        </w:rPr>
      </w:pPr>
      <w:r w:rsidRPr="00A9330B">
        <w:rPr>
          <w:rFonts w:eastAsia="Times New Roman" w:cs="Arial"/>
          <w:szCs w:val="20"/>
          <w:lang w:eastAsia="de-DE"/>
        </w:rPr>
        <w:t>les ouvrage</w:t>
      </w:r>
      <w:r w:rsidR="0051077A" w:rsidRPr="00A9330B">
        <w:rPr>
          <w:rFonts w:eastAsia="Times New Roman" w:cs="Arial"/>
          <w:szCs w:val="20"/>
          <w:lang w:eastAsia="de-DE"/>
        </w:rPr>
        <w:t>s seront-ils fermés ou ouverts ?</w:t>
      </w:r>
    </w:p>
    <w:p w14:paraId="38D108DA" w14:textId="77777777" w:rsidR="0051077A" w:rsidRPr="00A9330B" w:rsidRDefault="0051077A" w:rsidP="00BD2F72">
      <w:pPr>
        <w:numPr>
          <w:ilvl w:val="0"/>
          <w:numId w:val="47"/>
        </w:numPr>
        <w:jc w:val="both"/>
        <w:rPr>
          <w:rFonts w:eastAsia="Times New Roman" w:cs="Arial"/>
          <w:szCs w:val="20"/>
          <w:lang w:eastAsia="de-DE"/>
        </w:rPr>
      </w:pPr>
      <w:r w:rsidRPr="00A9330B">
        <w:rPr>
          <w:rFonts w:eastAsia="Times New Roman" w:cs="Arial"/>
          <w:szCs w:val="20"/>
          <w:lang w:eastAsia="de-DE"/>
        </w:rPr>
        <w:t>A quand le démarrage du projet ?</w:t>
      </w:r>
    </w:p>
    <w:p w14:paraId="464D5B58" w14:textId="77777777" w:rsidR="0051077A" w:rsidRPr="00A9330B" w:rsidRDefault="0051077A" w:rsidP="00BD2F72">
      <w:pPr>
        <w:numPr>
          <w:ilvl w:val="0"/>
          <w:numId w:val="47"/>
        </w:numPr>
        <w:jc w:val="both"/>
        <w:rPr>
          <w:rFonts w:eastAsia="Times New Roman" w:cs="Arial"/>
          <w:szCs w:val="20"/>
          <w:lang w:eastAsia="de-DE"/>
        </w:rPr>
      </w:pPr>
      <w:r w:rsidRPr="00A9330B">
        <w:rPr>
          <w:rFonts w:eastAsia="Times New Roman" w:cs="Arial"/>
          <w:szCs w:val="20"/>
          <w:lang w:eastAsia="de-DE"/>
        </w:rPr>
        <w:lastRenderedPageBreak/>
        <w:t>Dans la mesure où plusieurs personnes se trouvent dans l’emprise, la population sollicite l’accompagnement de l’Etat pour les personnes affectées par le Projet.</w:t>
      </w:r>
    </w:p>
    <w:p w14:paraId="20B60674" w14:textId="77777777" w:rsidR="00401546" w:rsidRPr="00A9330B" w:rsidRDefault="00401546" w:rsidP="00BD2F72">
      <w:pPr>
        <w:numPr>
          <w:ilvl w:val="0"/>
          <w:numId w:val="47"/>
        </w:numPr>
        <w:jc w:val="both"/>
        <w:rPr>
          <w:rFonts w:eastAsia="Times New Roman" w:cs="Arial"/>
          <w:szCs w:val="20"/>
          <w:lang w:eastAsia="de-DE"/>
        </w:rPr>
      </w:pPr>
      <w:r w:rsidRPr="00A9330B">
        <w:rPr>
          <w:rFonts w:eastAsia="Times New Roman" w:cs="Arial"/>
          <w:szCs w:val="20"/>
          <w:lang w:eastAsia="de-DE"/>
        </w:rPr>
        <w:t xml:space="preserve">en quoi consistera l’implication des élus locaux et quels est les délais pour libérer les emprises des rues concernées ? </w:t>
      </w:r>
    </w:p>
    <w:p w14:paraId="02224E8F" w14:textId="4AD91747" w:rsidR="00401546" w:rsidRPr="00A9330B" w:rsidRDefault="007E1C1E" w:rsidP="00401546">
      <w:pPr>
        <w:jc w:val="both"/>
        <w:rPr>
          <w:rFonts w:eastAsia="Calibri" w:cs="Arial"/>
        </w:rPr>
      </w:pPr>
      <w:r w:rsidRPr="00A9330B">
        <w:rPr>
          <w:rFonts w:eastAsia="Calibri" w:cs="Arial"/>
        </w:rPr>
        <w:t>L</w:t>
      </w:r>
      <w:r w:rsidR="00417D31" w:rsidRPr="00A9330B">
        <w:rPr>
          <w:rFonts w:eastAsia="Calibri" w:cs="Arial"/>
        </w:rPr>
        <w:t>es détails des échanges f</w:t>
      </w:r>
      <w:r w:rsidR="00FB5541" w:rsidRPr="00A9330B">
        <w:rPr>
          <w:rFonts w:eastAsia="Calibri" w:cs="Arial"/>
        </w:rPr>
        <w:t>igurent dans le tableau suivant</w:t>
      </w:r>
      <w:r w:rsidR="00417D31" w:rsidRPr="00A9330B">
        <w:rPr>
          <w:rFonts w:eastAsia="Calibri" w:cs="Arial"/>
        </w:rPr>
        <w:t>.</w:t>
      </w:r>
    </w:p>
    <w:p w14:paraId="792C832F" w14:textId="7A7197AB" w:rsidR="00401546" w:rsidRPr="00A9330B" w:rsidRDefault="00401546" w:rsidP="00401546">
      <w:pPr>
        <w:jc w:val="both"/>
        <w:rPr>
          <w:rFonts w:eastAsia="Calibri" w:cs="Arial"/>
        </w:rPr>
      </w:pPr>
      <w:r w:rsidRPr="00A9330B">
        <w:rPr>
          <w:rFonts w:eastAsia="Calibri" w:cs="Arial"/>
        </w:rPr>
        <w:t xml:space="preserve">On peut retenir que les participants ont compris les enjeux et l’importance de ce projet et adhèrent entièrement à l’idée de contribuer à la réalisation de ce projet. Les participants, dans leur majorité, ont réaffirmé leur attachement à ce projet et déclarent être prêts pour un accompagnement constructif.  </w:t>
      </w:r>
    </w:p>
    <w:p w14:paraId="3BB1ADF8" w14:textId="72D47181" w:rsidR="00401546" w:rsidRPr="00A9330B" w:rsidRDefault="00401546" w:rsidP="00401546">
      <w:pPr>
        <w:jc w:val="both"/>
        <w:rPr>
          <w:rFonts w:eastAsia="Calibri" w:cs="Arial"/>
        </w:rPr>
      </w:pPr>
      <w:r w:rsidRPr="00A9330B">
        <w:rPr>
          <w:rFonts w:eastAsia="Calibri" w:cs="Arial"/>
        </w:rPr>
        <w:t xml:space="preserve">Après avoir adressé ses remerciements aux participants, les CA de chaque Arrondissement ont clôturé la consultation </w:t>
      </w:r>
      <w:r w:rsidR="00F76DB0" w:rsidRPr="00A9330B">
        <w:rPr>
          <w:rFonts w:eastAsia="Calibri" w:cs="Arial"/>
        </w:rPr>
        <w:t xml:space="preserve">sur </w:t>
      </w:r>
      <w:r w:rsidRPr="00A9330B">
        <w:rPr>
          <w:rFonts w:eastAsia="Calibri" w:cs="Arial"/>
        </w:rPr>
        <w:t xml:space="preserve">une note de satisfaction générale. </w:t>
      </w:r>
    </w:p>
    <w:p w14:paraId="7CA74A77" w14:textId="5B1361C4" w:rsidR="008C6E12" w:rsidRPr="00A9330B" w:rsidRDefault="008C6E12" w:rsidP="008C6E12">
      <w:pPr>
        <w:jc w:val="both"/>
        <w:rPr>
          <w:rFonts w:eastAsia="Calibri" w:cs="Arial"/>
        </w:rPr>
      </w:pPr>
      <w:bookmarkStart w:id="849" w:name="_Toc52870067"/>
      <w:r w:rsidRPr="00A9330B">
        <w:rPr>
          <w:b/>
          <w:sz w:val="20"/>
          <w:szCs w:val="20"/>
        </w:rPr>
        <w:t xml:space="preserve">Planche  </w:t>
      </w:r>
      <w:r w:rsidRPr="00A9330B">
        <w:rPr>
          <w:b/>
          <w:noProof/>
          <w:sz w:val="20"/>
          <w:szCs w:val="20"/>
        </w:rPr>
        <w:fldChar w:fldCharType="begin"/>
      </w:r>
      <w:r w:rsidRPr="00A9330B">
        <w:rPr>
          <w:b/>
          <w:noProof/>
          <w:sz w:val="20"/>
          <w:szCs w:val="20"/>
        </w:rPr>
        <w:instrText xml:space="preserve"> SEQ Planche_ \* ARABIC </w:instrText>
      </w:r>
      <w:r w:rsidRPr="00A9330B">
        <w:rPr>
          <w:b/>
          <w:noProof/>
          <w:sz w:val="20"/>
          <w:szCs w:val="20"/>
        </w:rPr>
        <w:fldChar w:fldCharType="separate"/>
      </w:r>
      <w:r w:rsidRPr="00A9330B">
        <w:rPr>
          <w:b/>
          <w:noProof/>
          <w:sz w:val="20"/>
          <w:szCs w:val="20"/>
        </w:rPr>
        <w:t>9</w:t>
      </w:r>
      <w:r w:rsidRPr="00A9330B">
        <w:rPr>
          <w:b/>
          <w:noProof/>
          <w:sz w:val="20"/>
          <w:szCs w:val="20"/>
        </w:rPr>
        <w:fldChar w:fldCharType="end"/>
      </w:r>
      <w:r w:rsidRPr="00A9330B">
        <w:rPr>
          <w:b/>
          <w:sz w:val="20"/>
          <w:szCs w:val="20"/>
        </w:rPr>
        <w:t xml:space="preserve"> </w:t>
      </w:r>
      <w:r w:rsidRPr="00A9330B">
        <w:rPr>
          <w:rFonts w:eastAsia="Arial Narrow"/>
          <w:b/>
          <w:sz w:val="20"/>
          <w:szCs w:val="20"/>
        </w:rPr>
        <w:t>: Séances de consultation publique dans les arrondissements de Natitingou</w:t>
      </w:r>
      <w:bookmarkEnd w:id="849"/>
      <w:r w:rsidRPr="00A9330B">
        <w:rPr>
          <w:rFonts w:eastAsia="Arial Narrow"/>
          <w:b/>
          <w:sz w:val="20"/>
          <w:szCs w:val="20"/>
        </w:rPr>
        <w:t xml:space="preserve"> </w:t>
      </w:r>
    </w:p>
    <w:p w14:paraId="28482C5C" w14:textId="2BA16250" w:rsidR="008C6E12" w:rsidRPr="00A9330B" w:rsidRDefault="008C6E12" w:rsidP="00401546">
      <w:pPr>
        <w:jc w:val="both"/>
        <w:rPr>
          <w:rFonts w:eastAsia="Calibri" w:cs="Arial"/>
        </w:rPr>
      </w:pPr>
      <w:r w:rsidRPr="00A9330B">
        <w:rPr>
          <w:rFonts w:eastAsia="Calibri" w:cs="Arial"/>
          <w:noProof/>
          <w:lang w:eastAsia="fr-FR"/>
        </w:rPr>
        <w:drawing>
          <wp:inline distT="0" distB="0" distL="0" distR="0" wp14:anchorId="086A564E" wp14:editId="23C01C32">
            <wp:extent cx="2819400" cy="2089161"/>
            <wp:effectExtent l="0" t="0" r="0" b="6350"/>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825312" cy="2093542"/>
                    </a:xfrm>
                    <a:prstGeom prst="rect">
                      <a:avLst/>
                    </a:prstGeom>
                    <a:noFill/>
                    <a:ln>
                      <a:noFill/>
                    </a:ln>
                  </pic:spPr>
                </pic:pic>
              </a:graphicData>
            </a:graphic>
          </wp:inline>
        </w:drawing>
      </w:r>
      <w:r w:rsidRPr="00A9330B">
        <w:rPr>
          <w:rFonts w:eastAsia="Calibri" w:cs="Arial"/>
        </w:rPr>
        <w:t xml:space="preserve"> </w:t>
      </w:r>
      <w:r w:rsidRPr="00A9330B">
        <w:rPr>
          <w:rFonts w:eastAsia="Calibri" w:cs="Arial"/>
          <w:noProof/>
          <w:lang w:eastAsia="fr-FR"/>
        </w:rPr>
        <w:drawing>
          <wp:inline distT="0" distB="0" distL="0" distR="0" wp14:anchorId="29E268B6" wp14:editId="569CE5DF">
            <wp:extent cx="2877230" cy="2078990"/>
            <wp:effectExtent l="0" t="0" r="0" b="0"/>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885805" cy="2085186"/>
                    </a:xfrm>
                    <a:prstGeom prst="rect">
                      <a:avLst/>
                    </a:prstGeom>
                    <a:noFill/>
                    <a:ln>
                      <a:noFill/>
                    </a:ln>
                  </pic:spPr>
                </pic:pic>
              </a:graphicData>
            </a:graphic>
          </wp:inline>
        </w:drawing>
      </w:r>
      <w:r w:rsidRPr="00A9330B">
        <w:rPr>
          <w:rFonts w:eastAsia="Calibri" w:cs="Arial"/>
        </w:rPr>
        <w:t xml:space="preserve"> </w:t>
      </w:r>
      <w:r w:rsidRPr="00A9330B">
        <w:rPr>
          <w:rFonts w:eastAsia="Calibri" w:cs="Arial"/>
          <w:noProof/>
          <w:lang w:eastAsia="fr-FR"/>
        </w:rPr>
        <w:drawing>
          <wp:inline distT="0" distB="0" distL="0" distR="0" wp14:anchorId="27CBDD1F" wp14:editId="12778435">
            <wp:extent cx="2809566" cy="2005143"/>
            <wp:effectExtent l="0" t="0" r="0" b="0"/>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816730" cy="2010256"/>
                    </a:xfrm>
                    <a:prstGeom prst="rect">
                      <a:avLst/>
                    </a:prstGeom>
                    <a:noFill/>
                    <a:ln>
                      <a:noFill/>
                    </a:ln>
                  </pic:spPr>
                </pic:pic>
              </a:graphicData>
            </a:graphic>
          </wp:inline>
        </w:drawing>
      </w:r>
      <w:r w:rsidRPr="00A9330B">
        <w:rPr>
          <w:rFonts w:eastAsia="Calibri" w:cs="Arial"/>
        </w:rPr>
        <w:t xml:space="preserve"> </w:t>
      </w:r>
      <w:r w:rsidRPr="00A9330B">
        <w:rPr>
          <w:rFonts w:eastAsia="Calibri" w:cs="Arial"/>
          <w:noProof/>
          <w:lang w:eastAsia="fr-FR"/>
        </w:rPr>
        <w:drawing>
          <wp:inline distT="0" distB="0" distL="0" distR="0" wp14:anchorId="504F54BC" wp14:editId="04AA6ADE">
            <wp:extent cx="2870682" cy="2047875"/>
            <wp:effectExtent l="0" t="0" r="6350" b="0"/>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872788" cy="2049378"/>
                    </a:xfrm>
                    <a:prstGeom prst="rect">
                      <a:avLst/>
                    </a:prstGeom>
                    <a:noFill/>
                    <a:ln>
                      <a:noFill/>
                    </a:ln>
                  </pic:spPr>
                </pic:pic>
              </a:graphicData>
            </a:graphic>
          </wp:inline>
        </w:drawing>
      </w:r>
    </w:p>
    <w:p w14:paraId="27442082" w14:textId="77777777" w:rsidR="0090195C" w:rsidRPr="00A9330B" w:rsidRDefault="0090195C" w:rsidP="0090195C">
      <w:pPr>
        <w:spacing w:line="240" w:lineRule="auto"/>
        <w:jc w:val="center"/>
        <w:rPr>
          <w:rFonts w:eastAsia="Times New Roman" w:cs="Arial"/>
          <w:b/>
          <w:bCs/>
          <w:color w:val="000000"/>
          <w:sz w:val="20"/>
          <w:szCs w:val="20"/>
          <w:lang w:eastAsia="fr-FR"/>
        </w:rPr>
      </w:pPr>
      <w:r w:rsidRPr="00A9330B">
        <w:rPr>
          <w:rFonts w:eastAsia="Times New Roman" w:cs="Arial"/>
          <w:b/>
          <w:bCs/>
          <w:color w:val="000000"/>
          <w:sz w:val="20"/>
          <w:szCs w:val="20"/>
          <w:lang w:eastAsia="fr-FR"/>
        </w:rPr>
        <w:t xml:space="preserve">Prise de vue : </w:t>
      </w:r>
      <w:r w:rsidRPr="00A9330B">
        <w:rPr>
          <w:rFonts w:eastAsia="Times New Roman" w:cs="Arial"/>
          <w:bCs/>
          <w:color w:val="000000"/>
          <w:sz w:val="20"/>
          <w:szCs w:val="20"/>
          <w:lang w:eastAsia="fr-FR"/>
        </w:rPr>
        <w:t>Enquêteur, juin 2020</w:t>
      </w:r>
    </w:p>
    <w:p w14:paraId="69455B9F" w14:textId="77777777" w:rsidR="008C6E12" w:rsidRPr="00A9330B" w:rsidRDefault="008C6E12" w:rsidP="00401546">
      <w:pPr>
        <w:jc w:val="both"/>
        <w:rPr>
          <w:rFonts w:eastAsia="Calibri" w:cs="Arial"/>
        </w:rPr>
      </w:pPr>
    </w:p>
    <w:p w14:paraId="65CC5328" w14:textId="77777777" w:rsidR="008C6E12" w:rsidRPr="00A9330B" w:rsidRDefault="008C6E12" w:rsidP="00401546">
      <w:pPr>
        <w:jc w:val="both"/>
        <w:rPr>
          <w:rFonts w:eastAsia="Calibri" w:cs="Arial"/>
        </w:rPr>
      </w:pPr>
    </w:p>
    <w:p w14:paraId="6BC249B6" w14:textId="30041B7F" w:rsidR="00417D31" w:rsidRPr="00A9330B" w:rsidRDefault="00417D31">
      <w:pPr>
        <w:spacing w:before="0" w:after="160" w:line="259" w:lineRule="auto"/>
        <w:rPr>
          <w:rFonts w:eastAsia="Calibri" w:cs="Arial"/>
        </w:rPr>
      </w:pPr>
      <w:r w:rsidRPr="00A9330B">
        <w:rPr>
          <w:rFonts w:eastAsia="Calibri" w:cs="Arial"/>
        </w:rPr>
        <w:br w:type="page"/>
      </w:r>
    </w:p>
    <w:p w14:paraId="46BBFBEE" w14:textId="77777777" w:rsidR="00417D31" w:rsidRPr="00A9330B" w:rsidRDefault="00417D31" w:rsidP="00A9330B">
      <w:pPr>
        <w:pStyle w:val="Lgende"/>
        <w:sectPr w:rsidR="00417D31" w:rsidRPr="00A9330B" w:rsidSect="00401546">
          <w:headerReference w:type="default" r:id="rId85"/>
          <w:pgSz w:w="11906" w:h="16838"/>
          <w:pgMar w:top="1276" w:right="1417" w:bottom="1276" w:left="1417" w:header="708" w:footer="510" w:gutter="0"/>
          <w:cols w:space="708"/>
          <w:docGrid w:linePitch="360"/>
        </w:sectPr>
      </w:pPr>
    </w:p>
    <w:p w14:paraId="289FAA16" w14:textId="6472ED4C" w:rsidR="00417D31" w:rsidRPr="00A9330B" w:rsidRDefault="00417D31" w:rsidP="00A9330B">
      <w:pPr>
        <w:pStyle w:val="Lgende"/>
      </w:pPr>
      <w:bookmarkStart w:id="850" w:name="_Toc52873750"/>
      <w:r w:rsidRPr="00A9330B">
        <w:lastRenderedPageBreak/>
        <w:t xml:space="preserve">Tableau </w:t>
      </w:r>
      <w:r w:rsidR="00D24D0D" w:rsidRPr="00A9330B">
        <w:fldChar w:fldCharType="begin"/>
      </w:r>
      <w:r w:rsidR="00D24D0D" w:rsidRPr="00A9330B">
        <w:instrText xml:space="preserve"> SEQ Tableau \* ARABIC </w:instrText>
      </w:r>
      <w:r w:rsidR="00D24D0D" w:rsidRPr="00A9330B">
        <w:fldChar w:fldCharType="separate"/>
      </w:r>
      <w:r w:rsidRPr="00A9330B">
        <w:rPr>
          <w:noProof/>
        </w:rPr>
        <w:t>26</w:t>
      </w:r>
      <w:r w:rsidR="00D24D0D" w:rsidRPr="00A9330B">
        <w:rPr>
          <w:noProof/>
        </w:rPr>
        <w:fldChar w:fldCharType="end"/>
      </w:r>
      <w:r w:rsidRPr="00A9330B">
        <w:t> : Synthèse de la consultation publique dans les Arrondissements de la ville de Natitingou</w:t>
      </w:r>
      <w:bookmarkEnd w:id="850"/>
    </w:p>
    <w:tbl>
      <w:tblPr>
        <w:tblpPr w:leftFromText="141" w:rightFromText="141" w:vertAnchor="page" w:horzAnchor="margin" w:tblpXSpec="center" w:tblpY="1903"/>
        <w:tblW w:w="152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0"/>
        <w:gridCol w:w="1701"/>
        <w:gridCol w:w="1746"/>
        <w:gridCol w:w="2268"/>
        <w:gridCol w:w="2552"/>
        <w:gridCol w:w="2268"/>
        <w:gridCol w:w="2693"/>
      </w:tblGrid>
      <w:tr w:rsidR="00417D31" w:rsidRPr="00A9330B" w14:paraId="003B69BD" w14:textId="77777777" w:rsidTr="00417D31">
        <w:trPr>
          <w:trHeight w:val="789"/>
        </w:trPr>
        <w:tc>
          <w:tcPr>
            <w:tcW w:w="1980" w:type="dxa"/>
            <w:vAlign w:val="center"/>
          </w:tcPr>
          <w:p w14:paraId="3985C5A0" w14:textId="77777777" w:rsidR="00417D31" w:rsidRPr="00A9330B" w:rsidRDefault="00417D31" w:rsidP="00417D31">
            <w:pPr>
              <w:spacing w:line="240" w:lineRule="auto"/>
              <w:jc w:val="center"/>
              <w:rPr>
                <w:rFonts w:ascii="Arial Narrow" w:hAnsi="Arial Narrow" w:cs="Arial"/>
                <w:b/>
                <w:sz w:val="21"/>
                <w:szCs w:val="21"/>
              </w:rPr>
            </w:pPr>
            <w:r w:rsidRPr="00A9330B">
              <w:rPr>
                <w:rFonts w:ascii="Arial Narrow" w:hAnsi="Arial Narrow" w:cs="Arial"/>
                <w:b/>
                <w:sz w:val="21"/>
                <w:szCs w:val="21"/>
              </w:rPr>
              <w:t>Arrondissements</w:t>
            </w:r>
          </w:p>
        </w:tc>
        <w:tc>
          <w:tcPr>
            <w:tcW w:w="1701" w:type="dxa"/>
            <w:vAlign w:val="center"/>
          </w:tcPr>
          <w:p w14:paraId="5BFB5FDE" w14:textId="77777777" w:rsidR="00417D31" w:rsidRPr="00A9330B" w:rsidRDefault="00417D31" w:rsidP="00417D31">
            <w:pPr>
              <w:spacing w:line="240" w:lineRule="auto"/>
              <w:jc w:val="center"/>
              <w:rPr>
                <w:rFonts w:ascii="Arial Narrow" w:hAnsi="Arial Narrow" w:cs="Arial"/>
                <w:b/>
                <w:sz w:val="21"/>
                <w:szCs w:val="21"/>
              </w:rPr>
            </w:pPr>
            <w:r w:rsidRPr="00A9330B">
              <w:rPr>
                <w:rFonts w:ascii="Arial Narrow" w:hAnsi="Arial Narrow" w:cs="Arial"/>
                <w:b/>
                <w:sz w:val="21"/>
                <w:szCs w:val="21"/>
              </w:rPr>
              <w:t>Ouvrages/Rues</w:t>
            </w:r>
          </w:p>
        </w:tc>
        <w:tc>
          <w:tcPr>
            <w:tcW w:w="1746" w:type="dxa"/>
            <w:vAlign w:val="center"/>
          </w:tcPr>
          <w:p w14:paraId="5599B232" w14:textId="77777777" w:rsidR="00417D31" w:rsidRPr="00A9330B" w:rsidRDefault="00417D31" w:rsidP="00417D31">
            <w:pPr>
              <w:spacing w:line="240" w:lineRule="auto"/>
              <w:jc w:val="center"/>
              <w:rPr>
                <w:rFonts w:ascii="Arial Narrow" w:hAnsi="Arial Narrow" w:cs="Arial"/>
                <w:b/>
                <w:sz w:val="21"/>
                <w:szCs w:val="21"/>
              </w:rPr>
            </w:pPr>
            <w:r w:rsidRPr="00A9330B">
              <w:rPr>
                <w:rFonts w:ascii="Arial Narrow" w:hAnsi="Arial Narrow" w:cs="Arial"/>
                <w:b/>
                <w:sz w:val="21"/>
                <w:szCs w:val="21"/>
              </w:rPr>
              <w:t>Participants</w:t>
            </w:r>
          </w:p>
        </w:tc>
        <w:tc>
          <w:tcPr>
            <w:tcW w:w="2268" w:type="dxa"/>
            <w:vAlign w:val="center"/>
          </w:tcPr>
          <w:p w14:paraId="04560D3F" w14:textId="77777777" w:rsidR="00417D31" w:rsidRPr="00A9330B" w:rsidRDefault="00417D31" w:rsidP="00417D31">
            <w:pPr>
              <w:spacing w:line="240" w:lineRule="auto"/>
              <w:jc w:val="center"/>
              <w:rPr>
                <w:rFonts w:ascii="Arial Narrow" w:hAnsi="Arial Narrow" w:cs="Arial"/>
                <w:b/>
                <w:sz w:val="21"/>
                <w:szCs w:val="21"/>
              </w:rPr>
            </w:pPr>
            <w:r w:rsidRPr="00A9330B">
              <w:rPr>
                <w:rFonts w:ascii="Arial Narrow" w:hAnsi="Arial Narrow" w:cs="Arial"/>
                <w:b/>
                <w:sz w:val="21"/>
                <w:szCs w:val="21"/>
              </w:rPr>
              <w:t>Sujets de discussions</w:t>
            </w:r>
          </w:p>
        </w:tc>
        <w:tc>
          <w:tcPr>
            <w:tcW w:w="2552" w:type="dxa"/>
            <w:vAlign w:val="center"/>
          </w:tcPr>
          <w:p w14:paraId="7446DEA2" w14:textId="77777777" w:rsidR="00417D31" w:rsidRPr="00A9330B" w:rsidRDefault="00417D31" w:rsidP="00417D31">
            <w:pPr>
              <w:spacing w:line="240" w:lineRule="auto"/>
              <w:jc w:val="center"/>
              <w:rPr>
                <w:rFonts w:ascii="Arial Narrow" w:hAnsi="Arial Narrow" w:cs="Arial"/>
                <w:b/>
                <w:sz w:val="21"/>
                <w:szCs w:val="21"/>
              </w:rPr>
            </w:pPr>
            <w:r w:rsidRPr="00A9330B">
              <w:rPr>
                <w:rFonts w:ascii="Arial Narrow" w:hAnsi="Arial Narrow" w:cs="Arial"/>
                <w:b/>
                <w:sz w:val="21"/>
                <w:szCs w:val="21"/>
              </w:rPr>
              <w:t>Questions soulevées</w:t>
            </w:r>
          </w:p>
        </w:tc>
        <w:tc>
          <w:tcPr>
            <w:tcW w:w="2268" w:type="dxa"/>
            <w:vAlign w:val="center"/>
          </w:tcPr>
          <w:p w14:paraId="5DD7E842" w14:textId="77777777" w:rsidR="00417D31" w:rsidRPr="00A9330B" w:rsidRDefault="00417D31" w:rsidP="00417D31">
            <w:pPr>
              <w:spacing w:line="240" w:lineRule="auto"/>
              <w:jc w:val="center"/>
              <w:rPr>
                <w:rFonts w:ascii="Arial Narrow" w:hAnsi="Arial Narrow" w:cs="Arial"/>
                <w:b/>
                <w:sz w:val="21"/>
                <w:szCs w:val="21"/>
              </w:rPr>
            </w:pPr>
            <w:r w:rsidRPr="00A9330B">
              <w:rPr>
                <w:rFonts w:ascii="Arial Narrow" w:hAnsi="Arial Narrow" w:cs="Arial"/>
                <w:b/>
                <w:sz w:val="21"/>
                <w:szCs w:val="21"/>
              </w:rPr>
              <w:t>Réponses apportées</w:t>
            </w:r>
          </w:p>
        </w:tc>
        <w:tc>
          <w:tcPr>
            <w:tcW w:w="2693" w:type="dxa"/>
            <w:vAlign w:val="center"/>
          </w:tcPr>
          <w:p w14:paraId="3EF60C1C" w14:textId="77777777" w:rsidR="00417D31" w:rsidRPr="00A9330B" w:rsidRDefault="00417D31" w:rsidP="00417D31">
            <w:pPr>
              <w:spacing w:line="240" w:lineRule="auto"/>
              <w:jc w:val="center"/>
              <w:rPr>
                <w:rFonts w:ascii="Arial Narrow" w:hAnsi="Arial Narrow" w:cs="Arial"/>
                <w:b/>
                <w:sz w:val="21"/>
                <w:szCs w:val="21"/>
              </w:rPr>
            </w:pPr>
            <w:r w:rsidRPr="00A9330B">
              <w:rPr>
                <w:rFonts w:ascii="Arial Narrow" w:hAnsi="Arial Narrow" w:cs="Arial"/>
                <w:b/>
                <w:sz w:val="21"/>
                <w:szCs w:val="21"/>
              </w:rPr>
              <w:t>Suggestions et recommandations des personnes consultées</w:t>
            </w:r>
          </w:p>
        </w:tc>
      </w:tr>
      <w:tr w:rsidR="00417D31" w:rsidRPr="00A9330B" w14:paraId="068530D5" w14:textId="77777777" w:rsidTr="00417D31">
        <w:trPr>
          <w:trHeight w:val="789"/>
        </w:trPr>
        <w:tc>
          <w:tcPr>
            <w:tcW w:w="1980" w:type="dxa"/>
            <w:vAlign w:val="center"/>
          </w:tcPr>
          <w:p w14:paraId="025429CB" w14:textId="77777777" w:rsidR="00417D31" w:rsidRPr="00A9330B" w:rsidRDefault="00417D31" w:rsidP="00417D31">
            <w:pPr>
              <w:spacing w:before="0" w:line="240" w:lineRule="auto"/>
              <w:rPr>
                <w:rFonts w:ascii="Arial Narrow" w:hAnsi="Arial Narrow" w:cs="Arial"/>
                <w:b/>
                <w:sz w:val="21"/>
                <w:szCs w:val="21"/>
              </w:rPr>
            </w:pPr>
            <w:r w:rsidRPr="00A9330B">
              <w:rPr>
                <w:rFonts w:ascii="Arial Narrow" w:hAnsi="Arial Narrow" w:cs="Arial"/>
                <w:b/>
                <w:sz w:val="21"/>
                <w:szCs w:val="21"/>
              </w:rPr>
              <w:t>1</w:t>
            </w:r>
            <w:r w:rsidRPr="00A9330B">
              <w:rPr>
                <w:rFonts w:ascii="Arial Narrow" w:hAnsi="Arial Narrow" w:cs="Arial"/>
                <w:b/>
                <w:sz w:val="21"/>
                <w:szCs w:val="21"/>
                <w:vertAlign w:val="superscript"/>
              </w:rPr>
              <w:t>er</w:t>
            </w:r>
            <w:r w:rsidRPr="00A9330B">
              <w:rPr>
                <w:rFonts w:ascii="Arial Narrow" w:hAnsi="Arial Narrow" w:cs="Arial"/>
                <w:b/>
                <w:sz w:val="21"/>
                <w:szCs w:val="21"/>
              </w:rPr>
              <w:t xml:space="preserve"> Arrondissement</w:t>
            </w:r>
          </w:p>
        </w:tc>
        <w:tc>
          <w:tcPr>
            <w:tcW w:w="1701" w:type="dxa"/>
            <w:vAlign w:val="center"/>
          </w:tcPr>
          <w:p w14:paraId="71D3F1B7" w14:textId="77777777" w:rsidR="00417D31" w:rsidRPr="00A9330B" w:rsidRDefault="00417D31" w:rsidP="00417D31">
            <w:pPr>
              <w:spacing w:before="0" w:line="240" w:lineRule="auto"/>
              <w:rPr>
                <w:rFonts w:ascii="Arial Narrow" w:hAnsi="Arial Narrow" w:cs="Arial"/>
                <w:sz w:val="21"/>
                <w:szCs w:val="21"/>
              </w:rPr>
            </w:pPr>
            <w:r w:rsidRPr="00A9330B">
              <w:rPr>
                <w:rFonts w:ascii="Arial Narrow" w:hAnsi="Arial Narrow" w:cs="Arial"/>
                <w:sz w:val="21"/>
                <w:szCs w:val="21"/>
              </w:rPr>
              <w:t>Collecteurs et Rues</w:t>
            </w:r>
          </w:p>
        </w:tc>
        <w:tc>
          <w:tcPr>
            <w:tcW w:w="1746" w:type="dxa"/>
            <w:vAlign w:val="center"/>
          </w:tcPr>
          <w:p w14:paraId="6AECDEB2" w14:textId="77777777" w:rsidR="00417D31" w:rsidRPr="00A9330B" w:rsidRDefault="00417D31" w:rsidP="00417D31">
            <w:pPr>
              <w:spacing w:before="0" w:line="240" w:lineRule="auto"/>
              <w:rPr>
                <w:rFonts w:ascii="Arial Narrow" w:hAnsi="Arial Narrow" w:cs="Arial"/>
                <w:sz w:val="21"/>
                <w:szCs w:val="21"/>
              </w:rPr>
            </w:pPr>
            <w:r w:rsidRPr="00A9330B">
              <w:rPr>
                <w:rFonts w:ascii="Arial Narrow" w:hAnsi="Arial Narrow" w:cs="Arial"/>
                <w:sz w:val="21"/>
                <w:szCs w:val="21"/>
              </w:rPr>
              <w:t>Chef du 1</w:t>
            </w:r>
            <w:r w:rsidRPr="00A9330B">
              <w:rPr>
                <w:rFonts w:ascii="Arial Narrow" w:hAnsi="Arial Narrow" w:cs="Arial"/>
                <w:sz w:val="21"/>
                <w:szCs w:val="21"/>
                <w:vertAlign w:val="superscript"/>
              </w:rPr>
              <w:t>er</w:t>
            </w:r>
            <w:r w:rsidRPr="00A9330B">
              <w:rPr>
                <w:rFonts w:ascii="Arial Narrow" w:hAnsi="Arial Narrow" w:cs="Arial"/>
                <w:sz w:val="21"/>
                <w:szCs w:val="21"/>
              </w:rPr>
              <w:t xml:space="preserve">  Arrondissement</w:t>
            </w:r>
          </w:p>
        </w:tc>
        <w:tc>
          <w:tcPr>
            <w:tcW w:w="2268" w:type="dxa"/>
            <w:vAlign w:val="center"/>
          </w:tcPr>
          <w:p w14:paraId="1C283BF1" w14:textId="77777777" w:rsidR="00417D31" w:rsidRPr="00A9330B" w:rsidRDefault="00417D31" w:rsidP="00BD2F72">
            <w:pPr>
              <w:numPr>
                <w:ilvl w:val="0"/>
                <w:numId w:val="128"/>
              </w:numPr>
              <w:spacing w:before="0" w:line="240" w:lineRule="auto"/>
              <w:ind w:left="130" w:hanging="141"/>
              <w:contextualSpacing/>
              <w:jc w:val="both"/>
              <w:rPr>
                <w:rFonts w:ascii="Arial Narrow" w:hAnsi="Arial Narrow" w:cs="Arial"/>
                <w:sz w:val="21"/>
                <w:szCs w:val="21"/>
              </w:rPr>
            </w:pPr>
            <w:r w:rsidRPr="00A9330B">
              <w:rPr>
                <w:rFonts w:ascii="Arial Narrow" w:hAnsi="Arial Narrow" w:cs="Arial"/>
                <w:sz w:val="21"/>
                <w:szCs w:val="21"/>
              </w:rPr>
              <w:t>Relatifs aux craintes des populations par rapport à la réalisation effective du projet</w:t>
            </w:r>
          </w:p>
          <w:p w14:paraId="4E9047F8" w14:textId="77777777" w:rsidR="00417D31" w:rsidRPr="00A9330B" w:rsidRDefault="00417D31" w:rsidP="00BD2F72">
            <w:pPr>
              <w:numPr>
                <w:ilvl w:val="0"/>
                <w:numId w:val="128"/>
              </w:numPr>
              <w:spacing w:before="0" w:line="240" w:lineRule="auto"/>
              <w:ind w:left="130" w:hanging="141"/>
              <w:contextualSpacing/>
              <w:jc w:val="both"/>
              <w:rPr>
                <w:rFonts w:ascii="Arial Narrow" w:hAnsi="Arial Narrow" w:cs="Arial"/>
                <w:sz w:val="21"/>
                <w:szCs w:val="21"/>
              </w:rPr>
            </w:pPr>
            <w:r w:rsidRPr="00A9330B">
              <w:rPr>
                <w:rFonts w:ascii="Arial Narrow" w:hAnsi="Arial Narrow" w:cs="Arial"/>
                <w:sz w:val="21"/>
                <w:szCs w:val="21"/>
              </w:rPr>
              <w:t>Relatifs au sort des riverains affectés par le programme</w:t>
            </w:r>
          </w:p>
        </w:tc>
        <w:tc>
          <w:tcPr>
            <w:tcW w:w="2552" w:type="dxa"/>
            <w:vAlign w:val="center"/>
          </w:tcPr>
          <w:p w14:paraId="1025D082" w14:textId="77777777" w:rsidR="00417D31" w:rsidRPr="00A9330B" w:rsidRDefault="00417D31" w:rsidP="00BD2F72">
            <w:pPr>
              <w:numPr>
                <w:ilvl w:val="0"/>
                <w:numId w:val="127"/>
              </w:numPr>
              <w:spacing w:before="0" w:line="240" w:lineRule="auto"/>
              <w:ind w:left="145" w:hanging="142"/>
              <w:contextualSpacing/>
              <w:jc w:val="both"/>
              <w:rPr>
                <w:rFonts w:ascii="Arial Narrow" w:hAnsi="Arial Narrow" w:cs="Arial"/>
                <w:sz w:val="21"/>
                <w:szCs w:val="21"/>
              </w:rPr>
            </w:pPr>
            <w:r w:rsidRPr="00A9330B">
              <w:rPr>
                <w:rFonts w:ascii="Arial Narrow" w:hAnsi="Arial Narrow" w:cs="Arial"/>
                <w:sz w:val="21"/>
                <w:szCs w:val="21"/>
              </w:rPr>
              <w:t>Quel sera le sort des riverains affectés par le programme ?</w:t>
            </w:r>
          </w:p>
          <w:p w14:paraId="15BCD5C8" w14:textId="77777777" w:rsidR="00417D31" w:rsidRPr="00A9330B" w:rsidRDefault="00417D31" w:rsidP="00BD2F72">
            <w:pPr>
              <w:numPr>
                <w:ilvl w:val="0"/>
                <w:numId w:val="127"/>
              </w:numPr>
              <w:spacing w:before="0" w:line="240" w:lineRule="auto"/>
              <w:ind w:left="145" w:hanging="142"/>
              <w:contextualSpacing/>
              <w:jc w:val="both"/>
              <w:rPr>
                <w:rFonts w:ascii="Arial Narrow" w:hAnsi="Arial Narrow" w:cs="Arial"/>
                <w:sz w:val="21"/>
                <w:szCs w:val="21"/>
              </w:rPr>
            </w:pPr>
            <w:r w:rsidRPr="00A9330B">
              <w:rPr>
                <w:rFonts w:ascii="Arial Narrow" w:hAnsi="Arial Narrow" w:cs="Arial"/>
                <w:sz w:val="21"/>
                <w:szCs w:val="21"/>
              </w:rPr>
              <w:t>Pourquoi toutes les rues dégradées de l’arrondissement n’ont pas été prises en compte par le programme ?</w:t>
            </w:r>
          </w:p>
        </w:tc>
        <w:tc>
          <w:tcPr>
            <w:tcW w:w="2268" w:type="dxa"/>
            <w:vAlign w:val="center"/>
          </w:tcPr>
          <w:p w14:paraId="0862293C" w14:textId="77777777" w:rsidR="00417D31" w:rsidRPr="00A9330B" w:rsidRDefault="00417D31" w:rsidP="00BD2F72">
            <w:pPr>
              <w:numPr>
                <w:ilvl w:val="0"/>
                <w:numId w:val="127"/>
              </w:numPr>
              <w:spacing w:before="0" w:line="240" w:lineRule="auto"/>
              <w:ind w:left="144" w:hanging="144"/>
              <w:contextualSpacing/>
              <w:jc w:val="both"/>
              <w:rPr>
                <w:rFonts w:ascii="Arial Narrow" w:hAnsi="Arial Narrow" w:cs="Arial"/>
                <w:sz w:val="21"/>
                <w:szCs w:val="21"/>
              </w:rPr>
            </w:pPr>
            <w:r w:rsidRPr="00A9330B">
              <w:rPr>
                <w:rFonts w:ascii="Arial Narrow" w:hAnsi="Arial Narrow" w:cs="Arial"/>
                <w:sz w:val="21"/>
                <w:szCs w:val="21"/>
              </w:rPr>
              <w:t>Un seul projet ne peut prendre en compte toutes les rues.</w:t>
            </w:r>
          </w:p>
          <w:p w14:paraId="38D49287" w14:textId="77777777" w:rsidR="00417D31" w:rsidRPr="00A9330B" w:rsidRDefault="00417D31" w:rsidP="00BD2F72">
            <w:pPr>
              <w:numPr>
                <w:ilvl w:val="0"/>
                <w:numId w:val="127"/>
              </w:numPr>
              <w:spacing w:before="0" w:line="240" w:lineRule="auto"/>
              <w:ind w:left="144" w:hanging="144"/>
              <w:contextualSpacing/>
              <w:jc w:val="both"/>
              <w:rPr>
                <w:rFonts w:ascii="Arial Narrow" w:hAnsi="Arial Narrow" w:cs="Arial"/>
                <w:sz w:val="21"/>
                <w:szCs w:val="21"/>
              </w:rPr>
            </w:pPr>
            <w:r w:rsidRPr="00A9330B">
              <w:rPr>
                <w:rFonts w:ascii="Arial Narrow" w:hAnsi="Arial Narrow" w:cs="Arial"/>
                <w:sz w:val="21"/>
                <w:szCs w:val="21"/>
              </w:rPr>
              <w:t>Les préoccupations seront prises en compte</w:t>
            </w:r>
          </w:p>
        </w:tc>
        <w:tc>
          <w:tcPr>
            <w:tcW w:w="2693" w:type="dxa"/>
            <w:vAlign w:val="center"/>
          </w:tcPr>
          <w:p w14:paraId="4E061391" w14:textId="77777777" w:rsidR="00417D31" w:rsidRPr="00A9330B" w:rsidRDefault="00417D31" w:rsidP="00BD2F72">
            <w:pPr>
              <w:numPr>
                <w:ilvl w:val="0"/>
                <w:numId w:val="127"/>
              </w:numPr>
              <w:spacing w:before="0" w:line="240" w:lineRule="auto"/>
              <w:ind w:left="130" w:hanging="130"/>
              <w:contextualSpacing/>
              <w:jc w:val="both"/>
              <w:rPr>
                <w:rFonts w:ascii="Arial Narrow" w:hAnsi="Arial Narrow" w:cs="Arial"/>
                <w:b/>
                <w:sz w:val="21"/>
                <w:szCs w:val="21"/>
              </w:rPr>
            </w:pPr>
            <w:r w:rsidRPr="00A9330B">
              <w:rPr>
                <w:rFonts w:ascii="Arial Narrow" w:hAnsi="Arial Narrow" w:cs="Arial"/>
                <w:sz w:val="21"/>
                <w:szCs w:val="21"/>
              </w:rPr>
              <w:t>Que tous ceux qui sont impactés par le projet soient dédommagés</w:t>
            </w:r>
          </w:p>
          <w:p w14:paraId="5A29894D" w14:textId="77777777" w:rsidR="00417D31" w:rsidRPr="00A9330B" w:rsidRDefault="00417D31" w:rsidP="00BD2F72">
            <w:pPr>
              <w:numPr>
                <w:ilvl w:val="0"/>
                <w:numId w:val="127"/>
              </w:numPr>
              <w:spacing w:before="0" w:line="240" w:lineRule="auto"/>
              <w:ind w:left="144" w:hanging="144"/>
              <w:contextualSpacing/>
              <w:jc w:val="both"/>
              <w:rPr>
                <w:rFonts w:ascii="Arial Narrow" w:hAnsi="Arial Narrow" w:cs="Arial"/>
                <w:sz w:val="21"/>
                <w:szCs w:val="21"/>
              </w:rPr>
            </w:pPr>
            <w:r w:rsidRPr="00A9330B">
              <w:rPr>
                <w:rFonts w:ascii="Arial Narrow" w:hAnsi="Arial Narrow" w:cs="Arial"/>
                <w:sz w:val="21"/>
                <w:szCs w:val="21"/>
              </w:rPr>
              <w:t>Intégrer dans le programme, les rues qui sont complètement dégradées</w:t>
            </w:r>
          </w:p>
        </w:tc>
      </w:tr>
      <w:tr w:rsidR="00417D31" w:rsidRPr="00A9330B" w14:paraId="60D9C14E" w14:textId="77777777" w:rsidTr="00417D31">
        <w:trPr>
          <w:trHeight w:val="789"/>
        </w:trPr>
        <w:tc>
          <w:tcPr>
            <w:tcW w:w="1980" w:type="dxa"/>
            <w:vAlign w:val="center"/>
          </w:tcPr>
          <w:p w14:paraId="3EAF1766" w14:textId="77777777" w:rsidR="00417D31" w:rsidRPr="00A9330B" w:rsidRDefault="00417D31" w:rsidP="00417D31">
            <w:pPr>
              <w:spacing w:before="0" w:line="240" w:lineRule="auto"/>
              <w:rPr>
                <w:rFonts w:ascii="Arial Narrow" w:hAnsi="Arial Narrow" w:cs="Arial"/>
                <w:b/>
                <w:sz w:val="21"/>
                <w:szCs w:val="21"/>
              </w:rPr>
            </w:pPr>
            <w:r w:rsidRPr="00A9330B">
              <w:rPr>
                <w:rFonts w:ascii="Arial Narrow" w:hAnsi="Arial Narrow" w:cs="Arial"/>
                <w:b/>
                <w:sz w:val="21"/>
                <w:szCs w:val="21"/>
              </w:rPr>
              <w:t>2</w:t>
            </w:r>
            <w:r w:rsidRPr="00A9330B">
              <w:rPr>
                <w:rFonts w:ascii="Arial Narrow" w:hAnsi="Arial Narrow" w:cs="Arial"/>
                <w:b/>
                <w:sz w:val="21"/>
                <w:szCs w:val="21"/>
                <w:vertAlign w:val="superscript"/>
              </w:rPr>
              <w:t>e</w:t>
            </w:r>
            <w:r w:rsidRPr="00A9330B">
              <w:rPr>
                <w:rFonts w:ascii="Arial Narrow" w:hAnsi="Arial Narrow" w:cs="Arial"/>
                <w:b/>
                <w:sz w:val="21"/>
                <w:szCs w:val="21"/>
              </w:rPr>
              <w:t xml:space="preserve"> Arrondissement</w:t>
            </w:r>
          </w:p>
        </w:tc>
        <w:tc>
          <w:tcPr>
            <w:tcW w:w="1701" w:type="dxa"/>
            <w:vAlign w:val="center"/>
          </w:tcPr>
          <w:p w14:paraId="5E216A7C" w14:textId="77777777" w:rsidR="00417D31" w:rsidRPr="00A9330B" w:rsidRDefault="00417D31" w:rsidP="00417D31">
            <w:pPr>
              <w:spacing w:before="0" w:line="240" w:lineRule="auto"/>
              <w:rPr>
                <w:rFonts w:ascii="Arial Narrow" w:hAnsi="Arial Narrow" w:cs="Arial"/>
                <w:sz w:val="21"/>
                <w:szCs w:val="21"/>
              </w:rPr>
            </w:pPr>
            <w:r w:rsidRPr="00A9330B">
              <w:rPr>
                <w:rFonts w:ascii="Arial Narrow" w:hAnsi="Arial Narrow" w:cs="Arial"/>
                <w:sz w:val="21"/>
                <w:szCs w:val="21"/>
              </w:rPr>
              <w:t>Collecteurs et Rues</w:t>
            </w:r>
          </w:p>
        </w:tc>
        <w:tc>
          <w:tcPr>
            <w:tcW w:w="1746" w:type="dxa"/>
            <w:vAlign w:val="center"/>
          </w:tcPr>
          <w:p w14:paraId="42FF0D5C" w14:textId="77777777" w:rsidR="00417D31" w:rsidRPr="00A9330B" w:rsidRDefault="00417D31" w:rsidP="00417D31">
            <w:pPr>
              <w:spacing w:before="0" w:line="240" w:lineRule="auto"/>
              <w:rPr>
                <w:rFonts w:ascii="Arial Narrow" w:hAnsi="Arial Narrow" w:cs="Arial"/>
                <w:sz w:val="21"/>
                <w:szCs w:val="21"/>
              </w:rPr>
            </w:pPr>
            <w:r w:rsidRPr="00A9330B">
              <w:rPr>
                <w:rFonts w:ascii="Arial Narrow" w:hAnsi="Arial Narrow" w:cs="Arial"/>
                <w:sz w:val="21"/>
                <w:szCs w:val="21"/>
              </w:rPr>
              <w:t>Chef du 2</w:t>
            </w:r>
            <w:r w:rsidRPr="00A9330B">
              <w:rPr>
                <w:rFonts w:ascii="Arial Narrow" w:hAnsi="Arial Narrow" w:cs="Arial"/>
                <w:sz w:val="21"/>
                <w:szCs w:val="21"/>
                <w:vertAlign w:val="superscript"/>
              </w:rPr>
              <w:t>e</w:t>
            </w:r>
            <w:r w:rsidRPr="00A9330B">
              <w:rPr>
                <w:rFonts w:ascii="Arial Narrow" w:hAnsi="Arial Narrow" w:cs="Arial"/>
                <w:sz w:val="21"/>
                <w:szCs w:val="21"/>
              </w:rPr>
              <w:t xml:space="preserve"> Arrondissement</w:t>
            </w:r>
          </w:p>
        </w:tc>
        <w:tc>
          <w:tcPr>
            <w:tcW w:w="2268" w:type="dxa"/>
            <w:vAlign w:val="center"/>
          </w:tcPr>
          <w:p w14:paraId="4DB054FE" w14:textId="77777777" w:rsidR="00417D31" w:rsidRPr="00A9330B" w:rsidRDefault="00417D31" w:rsidP="00BD2F72">
            <w:pPr>
              <w:numPr>
                <w:ilvl w:val="0"/>
                <w:numId w:val="128"/>
              </w:numPr>
              <w:spacing w:before="0" w:line="240" w:lineRule="auto"/>
              <w:ind w:left="130" w:hanging="141"/>
              <w:contextualSpacing/>
              <w:jc w:val="both"/>
              <w:rPr>
                <w:rFonts w:ascii="Arial Narrow" w:hAnsi="Arial Narrow" w:cs="Arial"/>
                <w:sz w:val="21"/>
                <w:szCs w:val="21"/>
              </w:rPr>
            </w:pPr>
            <w:r w:rsidRPr="00A9330B">
              <w:rPr>
                <w:rFonts w:ascii="Arial Narrow" w:hAnsi="Arial Narrow" w:cs="Arial"/>
                <w:sz w:val="21"/>
                <w:szCs w:val="21"/>
              </w:rPr>
              <w:t>Relatifs aux craintes des populations par rapport à la réalisation effective du projet et au recrutement de la main d’œuvre locale</w:t>
            </w:r>
          </w:p>
          <w:p w14:paraId="00B9748F" w14:textId="77777777" w:rsidR="00417D31" w:rsidRPr="00A9330B" w:rsidRDefault="00417D31" w:rsidP="00BD2F72">
            <w:pPr>
              <w:numPr>
                <w:ilvl w:val="0"/>
                <w:numId w:val="128"/>
              </w:numPr>
              <w:spacing w:before="0" w:line="240" w:lineRule="auto"/>
              <w:ind w:left="130" w:hanging="141"/>
              <w:contextualSpacing/>
              <w:jc w:val="both"/>
              <w:rPr>
                <w:rFonts w:ascii="Arial Narrow" w:hAnsi="Arial Narrow" w:cs="Arial"/>
                <w:sz w:val="21"/>
                <w:szCs w:val="21"/>
              </w:rPr>
            </w:pPr>
            <w:r w:rsidRPr="00A9330B">
              <w:rPr>
                <w:rFonts w:ascii="Arial Narrow" w:hAnsi="Arial Narrow" w:cs="Arial"/>
                <w:sz w:val="21"/>
                <w:szCs w:val="21"/>
              </w:rPr>
              <w:t>Relatifs au sort des riverains affectés par le programme</w:t>
            </w:r>
          </w:p>
          <w:p w14:paraId="65B95515" w14:textId="77777777" w:rsidR="00417D31" w:rsidRPr="00A9330B" w:rsidRDefault="00417D31" w:rsidP="00BD2F72">
            <w:pPr>
              <w:numPr>
                <w:ilvl w:val="0"/>
                <w:numId w:val="128"/>
              </w:numPr>
              <w:spacing w:before="0" w:line="240" w:lineRule="auto"/>
              <w:ind w:left="130" w:hanging="141"/>
              <w:contextualSpacing/>
              <w:jc w:val="both"/>
              <w:rPr>
                <w:rFonts w:ascii="Arial Narrow" w:hAnsi="Arial Narrow" w:cs="Arial"/>
                <w:sz w:val="21"/>
                <w:szCs w:val="21"/>
              </w:rPr>
            </w:pPr>
            <w:r w:rsidRPr="00A9330B">
              <w:rPr>
                <w:rFonts w:ascii="Arial Narrow" w:hAnsi="Arial Narrow" w:cs="Arial"/>
                <w:sz w:val="21"/>
                <w:szCs w:val="21"/>
              </w:rPr>
              <w:t>Relatifs au démarrage du projet</w:t>
            </w:r>
          </w:p>
        </w:tc>
        <w:tc>
          <w:tcPr>
            <w:tcW w:w="2552" w:type="dxa"/>
            <w:vAlign w:val="center"/>
          </w:tcPr>
          <w:p w14:paraId="1201FD3F" w14:textId="7657927C" w:rsidR="00417D31" w:rsidRPr="00A9330B" w:rsidRDefault="00417D31" w:rsidP="00BD2F72">
            <w:pPr>
              <w:numPr>
                <w:ilvl w:val="0"/>
                <w:numId w:val="127"/>
              </w:numPr>
              <w:spacing w:before="0" w:line="240" w:lineRule="auto"/>
              <w:ind w:left="145" w:hanging="142"/>
              <w:contextualSpacing/>
              <w:jc w:val="both"/>
              <w:rPr>
                <w:rFonts w:ascii="Arial Narrow" w:hAnsi="Arial Narrow" w:cs="Arial"/>
                <w:sz w:val="21"/>
                <w:szCs w:val="21"/>
              </w:rPr>
            </w:pPr>
            <w:r w:rsidRPr="00A9330B">
              <w:rPr>
                <w:rFonts w:ascii="Arial Narrow" w:hAnsi="Arial Narrow" w:cs="Arial"/>
                <w:sz w:val="21"/>
                <w:szCs w:val="21"/>
              </w:rPr>
              <w:t>Quel sera le sort des riverains affectés par le pro</w:t>
            </w:r>
            <w:r w:rsidR="00D9264D" w:rsidRPr="00A9330B">
              <w:rPr>
                <w:rFonts w:ascii="Arial Narrow" w:hAnsi="Arial Narrow" w:cs="Arial"/>
                <w:sz w:val="21"/>
                <w:szCs w:val="21"/>
              </w:rPr>
              <w:t>jet</w:t>
            </w:r>
            <w:r w:rsidRPr="00A9330B">
              <w:rPr>
                <w:rFonts w:ascii="Arial Narrow" w:hAnsi="Arial Narrow" w:cs="Arial"/>
                <w:sz w:val="21"/>
                <w:szCs w:val="21"/>
              </w:rPr>
              <w:t> ?</w:t>
            </w:r>
          </w:p>
          <w:p w14:paraId="715D0711" w14:textId="77777777" w:rsidR="00417D31" w:rsidRPr="00A9330B" w:rsidRDefault="00417D31" w:rsidP="00BD2F72">
            <w:pPr>
              <w:numPr>
                <w:ilvl w:val="0"/>
                <w:numId w:val="127"/>
              </w:numPr>
              <w:spacing w:before="0" w:line="240" w:lineRule="auto"/>
              <w:ind w:left="145" w:hanging="142"/>
              <w:contextualSpacing/>
              <w:jc w:val="both"/>
              <w:rPr>
                <w:rFonts w:ascii="Arial Narrow" w:hAnsi="Arial Narrow" w:cs="Arial"/>
                <w:sz w:val="21"/>
                <w:szCs w:val="21"/>
              </w:rPr>
            </w:pPr>
            <w:r w:rsidRPr="00A9330B">
              <w:rPr>
                <w:rFonts w:ascii="Arial Narrow" w:hAnsi="Arial Narrow" w:cs="Arial"/>
                <w:sz w:val="21"/>
                <w:szCs w:val="21"/>
              </w:rPr>
              <w:t>Quel sera le début du démarrage du projet ?</w:t>
            </w:r>
          </w:p>
          <w:p w14:paraId="18E50553" w14:textId="7071D486" w:rsidR="00417D31" w:rsidRPr="00A9330B" w:rsidRDefault="00417D31" w:rsidP="00D9264D">
            <w:pPr>
              <w:numPr>
                <w:ilvl w:val="0"/>
                <w:numId w:val="127"/>
              </w:numPr>
              <w:spacing w:before="0" w:line="240" w:lineRule="auto"/>
              <w:ind w:left="145" w:hanging="142"/>
              <w:contextualSpacing/>
              <w:jc w:val="both"/>
              <w:rPr>
                <w:rFonts w:ascii="Arial Narrow" w:hAnsi="Arial Narrow" w:cs="Arial"/>
                <w:sz w:val="21"/>
                <w:szCs w:val="21"/>
              </w:rPr>
            </w:pPr>
            <w:r w:rsidRPr="00A9330B">
              <w:rPr>
                <w:rFonts w:ascii="Arial Narrow" w:hAnsi="Arial Narrow" w:cs="Arial"/>
                <w:sz w:val="21"/>
                <w:szCs w:val="21"/>
              </w:rPr>
              <w:t xml:space="preserve">La main d’œuvre locale sera-t-elle recrutée à la phase </w:t>
            </w:r>
            <w:r w:rsidR="00D9264D" w:rsidRPr="00A9330B">
              <w:rPr>
                <w:rFonts w:ascii="Arial Narrow" w:hAnsi="Arial Narrow" w:cs="Arial"/>
                <w:sz w:val="21"/>
                <w:szCs w:val="21"/>
              </w:rPr>
              <w:t>d’exécution</w:t>
            </w:r>
            <w:r w:rsidRPr="00A9330B">
              <w:rPr>
                <w:rFonts w:ascii="Arial Narrow" w:hAnsi="Arial Narrow" w:cs="Arial"/>
                <w:sz w:val="21"/>
                <w:szCs w:val="21"/>
              </w:rPr>
              <w:t xml:space="preserve"> du projet ?</w:t>
            </w:r>
          </w:p>
        </w:tc>
        <w:tc>
          <w:tcPr>
            <w:tcW w:w="2268" w:type="dxa"/>
            <w:vAlign w:val="center"/>
          </w:tcPr>
          <w:p w14:paraId="3117027A" w14:textId="77777777" w:rsidR="00D9264D" w:rsidRPr="00A9330B" w:rsidRDefault="00D9264D" w:rsidP="00D9264D">
            <w:pPr>
              <w:numPr>
                <w:ilvl w:val="0"/>
                <w:numId w:val="127"/>
              </w:numPr>
              <w:spacing w:before="0" w:line="240" w:lineRule="auto"/>
              <w:ind w:left="144" w:hanging="144"/>
              <w:contextualSpacing/>
              <w:jc w:val="both"/>
              <w:rPr>
                <w:rFonts w:ascii="Arial Narrow" w:hAnsi="Arial Narrow" w:cs="Arial"/>
                <w:sz w:val="21"/>
                <w:szCs w:val="21"/>
              </w:rPr>
            </w:pPr>
            <w:r w:rsidRPr="00A9330B">
              <w:rPr>
                <w:rFonts w:ascii="Arial Narrow" w:hAnsi="Arial Narrow" w:cs="Arial"/>
                <w:sz w:val="21"/>
                <w:szCs w:val="21"/>
              </w:rPr>
              <w:t xml:space="preserve">Les riverains affectés par le projet ont été recensés  </w:t>
            </w:r>
          </w:p>
          <w:p w14:paraId="2509F53B" w14:textId="70DC68DD" w:rsidR="00417D31" w:rsidRPr="00A9330B" w:rsidRDefault="00D9264D" w:rsidP="00D9264D">
            <w:pPr>
              <w:numPr>
                <w:ilvl w:val="0"/>
                <w:numId w:val="127"/>
              </w:numPr>
              <w:spacing w:before="0" w:line="240" w:lineRule="auto"/>
              <w:ind w:left="144" w:hanging="144"/>
              <w:contextualSpacing/>
              <w:jc w:val="both"/>
              <w:rPr>
                <w:rFonts w:ascii="Arial Narrow" w:hAnsi="Arial Narrow" w:cs="Arial"/>
                <w:sz w:val="21"/>
                <w:szCs w:val="21"/>
              </w:rPr>
            </w:pPr>
            <w:r w:rsidRPr="00A9330B">
              <w:rPr>
                <w:rFonts w:ascii="Arial Narrow" w:hAnsi="Arial Narrow" w:cs="Arial"/>
                <w:sz w:val="21"/>
                <w:szCs w:val="21"/>
              </w:rPr>
              <w:t xml:space="preserve">Les ayants droits seront indemnisés pour les biens affectées </w:t>
            </w:r>
          </w:p>
          <w:p w14:paraId="7947B8BE" w14:textId="77777777" w:rsidR="00417D31" w:rsidRPr="00A9330B" w:rsidRDefault="00D9264D" w:rsidP="00BD2F72">
            <w:pPr>
              <w:numPr>
                <w:ilvl w:val="0"/>
                <w:numId w:val="127"/>
              </w:numPr>
              <w:spacing w:before="0" w:line="240" w:lineRule="auto"/>
              <w:ind w:left="144" w:hanging="144"/>
              <w:contextualSpacing/>
              <w:jc w:val="both"/>
              <w:rPr>
                <w:rFonts w:ascii="Arial Narrow" w:hAnsi="Arial Narrow" w:cs="Arial"/>
                <w:sz w:val="21"/>
                <w:szCs w:val="21"/>
              </w:rPr>
            </w:pPr>
            <w:r w:rsidRPr="00A9330B">
              <w:rPr>
                <w:rFonts w:ascii="Arial Narrow" w:hAnsi="Arial Narrow" w:cs="Arial"/>
                <w:sz w:val="21"/>
                <w:szCs w:val="21"/>
              </w:rPr>
              <w:t xml:space="preserve">Une priorité sera accordée à la main d’œuvre locale </w:t>
            </w:r>
          </w:p>
          <w:p w14:paraId="0A119521" w14:textId="016D5CDC" w:rsidR="00D9264D" w:rsidRPr="00A9330B" w:rsidRDefault="00D9264D" w:rsidP="00BD2F72">
            <w:pPr>
              <w:numPr>
                <w:ilvl w:val="0"/>
                <w:numId w:val="127"/>
              </w:numPr>
              <w:spacing w:before="0" w:line="240" w:lineRule="auto"/>
              <w:ind w:left="144" w:hanging="144"/>
              <w:contextualSpacing/>
              <w:jc w:val="both"/>
              <w:rPr>
                <w:rFonts w:ascii="Arial Narrow" w:hAnsi="Arial Narrow" w:cs="Arial"/>
                <w:sz w:val="21"/>
                <w:szCs w:val="21"/>
              </w:rPr>
            </w:pPr>
            <w:r w:rsidRPr="00A9330B">
              <w:rPr>
                <w:rFonts w:ascii="Arial Narrow" w:hAnsi="Arial Narrow" w:cs="Arial"/>
                <w:sz w:val="21"/>
                <w:szCs w:val="21"/>
              </w:rPr>
              <w:t xml:space="preserve">Cette mesure figure dans le PGES et devra être appliquée </w:t>
            </w:r>
          </w:p>
        </w:tc>
        <w:tc>
          <w:tcPr>
            <w:tcW w:w="2693" w:type="dxa"/>
            <w:vAlign w:val="center"/>
          </w:tcPr>
          <w:p w14:paraId="5F92CB68" w14:textId="77777777" w:rsidR="00417D31" w:rsidRPr="00A9330B" w:rsidRDefault="00417D31" w:rsidP="00BD2F72">
            <w:pPr>
              <w:numPr>
                <w:ilvl w:val="0"/>
                <w:numId w:val="127"/>
              </w:numPr>
              <w:spacing w:before="0" w:line="240" w:lineRule="auto"/>
              <w:ind w:left="130" w:hanging="130"/>
              <w:contextualSpacing/>
              <w:jc w:val="both"/>
              <w:rPr>
                <w:rFonts w:ascii="Arial Narrow" w:hAnsi="Arial Narrow" w:cs="Arial"/>
                <w:b/>
                <w:sz w:val="21"/>
                <w:szCs w:val="21"/>
              </w:rPr>
            </w:pPr>
            <w:r w:rsidRPr="00A9330B">
              <w:rPr>
                <w:rFonts w:ascii="Arial Narrow" w:hAnsi="Arial Narrow" w:cs="Arial"/>
                <w:sz w:val="21"/>
                <w:szCs w:val="21"/>
              </w:rPr>
              <w:t>Que tous ceux qui sont impactés par le projet soient dédommagés</w:t>
            </w:r>
          </w:p>
          <w:p w14:paraId="1D924C5F" w14:textId="77777777" w:rsidR="00417D31" w:rsidRPr="00A9330B" w:rsidRDefault="00417D31" w:rsidP="00BD2F72">
            <w:pPr>
              <w:numPr>
                <w:ilvl w:val="0"/>
                <w:numId w:val="127"/>
              </w:numPr>
              <w:spacing w:before="0" w:line="240" w:lineRule="auto"/>
              <w:ind w:left="144" w:hanging="144"/>
              <w:contextualSpacing/>
              <w:jc w:val="both"/>
              <w:rPr>
                <w:rFonts w:ascii="Arial Narrow" w:hAnsi="Arial Narrow" w:cs="Arial"/>
                <w:sz w:val="21"/>
                <w:szCs w:val="21"/>
              </w:rPr>
            </w:pPr>
            <w:r w:rsidRPr="00A9330B">
              <w:rPr>
                <w:rFonts w:ascii="Arial Narrow" w:hAnsi="Arial Narrow" w:cs="Arial"/>
                <w:sz w:val="21"/>
                <w:szCs w:val="21"/>
              </w:rPr>
              <w:t xml:space="preserve">Intégrer dans le programme, les rues qui sont complètement dégradées </w:t>
            </w:r>
          </w:p>
          <w:p w14:paraId="10888818" w14:textId="77777777" w:rsidR="00417D31" w:rsidRPr="00A9330B" w:rsidRDefault="00417D31" w:rsidP="00BD2F72">
            <w:pPr>
              <w:numPr>
                <w:ilvl w:val="0"/>
                <w:numId w:val="127"/>
              </w:numPr>
              <w:spacing w:before="0" w:line="240" w:lineRule="auto"/>
              <w:ind w:left="144" w:hanging="144"/>
              <w:contextualSpacing/>
              <w:jc w:val="both"/>
              <w:rPr>
                <w:rFonts w:ascii="Arial Narrow" w:hAnsi="Arial Narrow" w:cs="Arial"/>
                <w:sz w:val="21"/>
                <w:szCs w:val="21"/>
              </w:rPr>
            </w:pPr>
            <w:r w:rsidRPr="00A9330B">
              <w:rPr>
                <w:rFonts w:ascii="Arial Narrow" w:hAnsi="Arial Narrow" w:cs="Arial"/>
                <w:sz w:val="21"/>
                <w:szCs w:val="21"/>
              </w:rPr>
              <w:t>Prendre en compte le recrutement la main d’œuvre locale</w:t>
            </w:r>
          </w:p>
        </w:tc>
      </w:tr>
      <w:tr w:rsidR="00D9264D" w:rsidRPr="00A9330B" w14:paraId="5E819E62" w14:textId="77777777" w:rsidTr="00417D31">
        <w:trPr>
          <w:trHeight w:val="789"/>
        </w:trPr>
        <w:tc>
          <w:tcPr>
            <w:tcW w:w="1980" w:type="dxa"/>
            <w:vAlign w:val="center"/>
          </w:tcPr>
          <w:p w14:paraId="1CD9BD35" w14:textId="77777777" w:rsidR="00D9264D" w:rsidRPr="00A9330B" w:rsidRDefault="00D9264D" w:rsidP="00D9264D">
            <w:pPr>
              <w:spacing w:before="0" w:line="240" w:lineRule="auto"/>
              <w:rPr>
                <w:rFonts w:ascii="Arial Narrow" w:hAnsi="Arial Narrow" w:cs="Arial"/>
                <w:b/>
                <w:sz w:val="21"/>
                <w:szCs w:val="21"/>
              </w:rPr>
            </w:pPr>
            <w:r w:rsidRPr="00A9330B">
              <w:rPr>
                <w:rFonts w:ascii="Arial Narrow" w:hAnsi="Arial Narrow" w:cs="Arial"/>
                <w:b/>
                <w:sz w:val="21"/>
                <w:szCs w:val="21"/>
              </w:rPr>
              <w:t>3</w:t>
            </w:r>
            <w:r w:rsidRPr="00A9330B">
              <w:rPr>
                <w:rFonts w:ascii="Arial Narrow" w:hAnsi="Arial Narrow" w:cs="Arial"/>
                <w:b/>
                <w:sz w:val="21"/>
                <w:szCs w:val="21"/>
                <w:vertAlign w:val="superscript"/>
              </w:rPr>
              <w:t>e</w:t>
            </w:r>
            <w:r w:rsidRPr="00A9330B">
              <w:rPr>
                <w:rFonts w:ascii="Arial Narrow" w:hAnsi="Arial Narrow" w:cs="Arial"/>
                <w:b/>
                <w:sz w:val="21"/>
                <w:szCs w:val="21"/>
              </w:rPr>
              <w:t xml:space="preserve"> Arrondissement</w:t>
            </w:r>
          </w:p>
        </w:tc>
        <w:tc>
          <w:tcPr>
            <w:tcW w:w="1701" w:type="dxa"/>
            <w:vAlign w:val="center"/>
          </w:tcPr>
          <w:p w14:paraId="683C54FF" w14:textId="77777777" w:rsidR="00D9264D" w:rsidRPr="00A9330B" w:rsidRDefault="00D9264D" w:rsidP="00D9264D">
            <w:pPr>
              <w:spacing w:before="0" w:line="240" w:lineRule="auto"/>
              <w:rPr>
                <w:rFonts w:ascii="Arial Narrow" w:hAnsi="Arial Narrow" w:cs="Arial"/>
                <w:b/>
                <w:sz w:val="21"/>
                <w:szCs w:val="21"/>
              </w:rPr>
            </w:pPr>
            <w:r w:rsidRPr="00A9330B">
              <w:rPr>
                <w:rFonts w:ascii="Arial Narrow" w:hAnsi="Arial Narrow" w:cs="Arial"/>
                <w:sz w:val="21"/>
                <w:szCs w:val="21"/>
              </w:rPr>
              <w:t>Collecteurs et Rues</w:t>
            </w:r>
          </w:p>
        </w:tc>
        <w:tc>
          <w:tcPr>
            <w:tcW w:w="1746" w:type="dxa"/>
            <w:vAlign w:val="center"/>
          </w:tcPr>
          <w:p w14:paraId="6D95A40F" w14:textId="77777777" w:rsidR="00D9264D" w:rsidRPr="00A9330B" w:rsidRDefault="00D9264D" w:rsidP="00D9264D">
            <w:pPr>
              <w:spacing w:before="0" w:line="240" w:lineRule="auto"/>
              <w:rPr>
                <w:rFonts w:ascii="Arial Narrow" w:hAnsi="Arial Narrow" w:cs="Arial"/>
                <w:b/>
                <w:sz w:val="21"/>
                <w:szCs w:val="21"/>
              </w:rPr>
            </w:pPr>
            <w:r w:rsidRPr="00A9330B">
              <w:rPr>
                <w:rFonts w:ascii="Arial Narrow" w:hAnsi="Arial Narrow" w:cs="Arial"/>
                <w:sz w:val="21"/>
                <w:szCs w:val="21"/>
              </w:rPr>
              <w:t>Chef du 3</w:t>
            </w:r>
            <w:r w:rsidRPr="00A9330B">
              <w:rPr>
                <w:rFonts w:ascii="Arial Narrow" w:hAnsi="Arial Narrow" w:cs="Arial"/>
                <w:sz w:val="21"/>
                <w:szCs w:val="21"/>
                <w:vertAlign w:val="superscript"/>
              </w:rPr>
              <w:t>e</w:t>
            </w:r>
            <w:r w:rsidRPr="00A9330B">
              <w:rPr>
                <w:rFonts w:ascii="Arial Narrow" w:hAnsi="Arial Narrow" w:cs="Arial"/>
                <w:sz w:val="21"/>
                <w:szCs w:val="21"/>
              </w:rPr>
              <w:t xml:space="preserve"> Arrondissement</w:t>
            </w:r>
          </w:p>
        </w:tc>
        <w:tc>
          <w:tcPr>
            <w:tcW w:w="2268" w:type="dxa"/>
            <w:vAlign w:val="center"/>
          </w:tcPr>
          <w:p w14:paraId="20C3C318" w14:textId="77777777" w:rsidR="00D9264D" w:rsidRPr="00A9330B" w:rsidRDefault="00D9264D" w:rsidP="00D9264D">
            <w:pPr>
              <w:numPr>
                <w:ilvl w:val="0"/>
                <w:numId w:val="128"/>
              </w:numPr>
              <w:spacing w:before="0" w:line="240" w:lineRule="auto"/>
              <w:ind w:left="130" w:hanging="141"/>
              <w:contextualSpacing/>
              <w:jc w:val="both"/>
              <w:rPr>
                <w:rFonts w:ascii="Arial Narrow" w:hAnsi="Arial Narrow" w:cs="Arial"/>
                <w:sz w:val="21"/>
                <w:szCs w:val="21"/>
              </w:rPr>
            </w:pPr>
            <w:r w:rsidRPr="00A9330B">
              <w:rPr>
                <w:rFonts w:ascii="Arial Narrow" w:hAnsi="Arial Narrow" w:cs="Arial"/>
                <w:sz w:val="21"/>
                <w:szCs w:val="21"/>
              </w:rPr>
              <w:t>Relatifs aux craintes des populations par rapport à la réalisation effective du projet et au recrutement de la main d’œuvre locale</w:t>
            </w:r>
          </w:p>
          <w:p w14:paraId="11203C13" w14:textId="77777777" w:rsidR="00D9264D" w:rsidRPr="00A9330B" w:rsidRDefault="00D9264D" w:rsidP="00D9264D">
            <w:pPr>
              <w:numPr>
                <w:ilvl w:val="0"/>
                <w:numId w:val="128"/>
              </w:numPr>
              <w:spacing w:before="0" w:line="240" w:lineRule="auto"/>
              <w:ind w:left="130" w:hanging="141"/>
              <w:contextualSpacing/>
              <w:jc w:val="both"/>
              <w:rPr>
                <w:rFonts w:ascii="Arial Narrow" w:hAnsi="Arial Narrow" w:cs="Arial"/>
                <w:sz w:val="21"/>
                <w:szCs w:val="21"/>
              </w:rPr>
            </w:pPr>
            <w:r w:rsidRPr="00A9330B">
              <w:rPr>
                <w:rFonts w:ascii="Arial Narrow" w:hAnsi="Arial Narrow" w:cs="Arial"/>
                <w:sz w:val="21"/>
                <w:szCs w:val="21"/>
              </w:rPr>
              <w:t>Relatifs au sort des riverains affectés par le programme</w:t>
            </w:r>
          </w:p>
          <w:p w14:paraId="1CAD5BE7" w14:textId="77777777" w:rsidR="00D9264D" w:rsidRPr="00A9330B" w:rsidRDefault="00D9264D" w:rsidP="00D9264D">
            <w:pPr>
              <w:numPr>
                <w:ilvl w:val="0"/>
                <w:numId w:val="128"/>
              </w:numPr>
              <w:spacing w:before="0" w:line="240" w:lineRule="auto"/>
              <w:ind w:left="130" w:hanging="141"/>
              <w:contextualSpacing/>
              <w:jc w:val="both"/>
              <w:rPr>
                <w:rFonts w:ascii="Arial Narrow" w:hAnsi="Arial Narrow" w:cs="Arial"/>
                <w:sz w:val="21"/>
                <w:szCs w:val="21"/>
              </w:rPr>
            </w:pPr>
            <w:r w:rsidRPr="00A9330B">
              <w:rPr>
                <w:rFonts w:ascii="Arial Narrow" w:hAnsi="Arial Narrow" w:cs="Arial"/>
                <w:sz w:val="21"/>
                <w:szCs w:val="21"/>
              </w:rPr>
              <w:t>Relatifs au démarrage du projet</w:t>
            </w:r>
          </w:p>
        </w:tc>
        <w:tc>
          <w:tcPr>
            <w:tcW w:w="2552" w:type="dxa"/>
            <w:vAlign w:val="center"/>
          </w:tcPr>
          <w:p w14:paraId="41AB6CD5" w14:textId="77777777" w:rsidR="00D9264D" w:rsidRPr="00A9330B" w:rsidRDefault="00D9264D" w:rsidP="00D9264D">
            <w:pPr>
              <w:numPr>
                <w:ilvl w:val="0"/>
                <w:numId w:val="127"/>
              </w:numPr>
              <w:spacing w:before="0" w:line="240" w:lineRule="auto"/>
              <w:ind w:left="145" w:hanging="142"/>
              <w:contextualSpacing/>
              <w:jc w:val="both"/>
              <w:rPr>
                <w:rFonts w:ascii="Arial Narrow" w:hAnsi="Arial Narrow" w:cs="Arial"/>
                <w:sz w:val="21"/>
                <w:szCs w:val="21"/>
              </w:rPr>
            </w:pPr>
            <w:r w:rsidRPr="00A9330B">
              <w:rPr>
                <w:rFonts w:ascii="Arial Narrow" w:hAnsi="Arial Narrow" w:cs="Arial"/>
                <w:sz w:val="21"/>
                <w:szCs w:val="21"/>
              </w:rPr>
              <w:t>Quel sera le sort des riverains affectés par le programme ?</w:t>
            </w:r>
          </w:p>
          <w:p w14:paraId="687AFEE5" w14:textId="77777777" w:rsidR="00D9264D" w:rsidRPr="00A9330B" w:rsidRDefault="00D9264D" w:rsidP="00D9264D">
            <w:pPr>
              <w:numPr>
                <w:ilvl w:val="0"/>
                <w:numId w:val="127"/>
              </w:numPr>
              <w:spacing w:before="0" w:line="240" w:lineRule="auto"/>
              <w:ind w:left="145" w:hanging="142"/>
              <w:contextualSpacing/>
              <w:jc w:val="both"/>
              <w:rPr>
                <w:rFonts w:ascii="Arial Narrow" w:hAnsi="Arial Narrow" w:cs="Arial"/>
                <w:sz w:val="21"/>
                <w:szCs w:val="21"/>
              </w:rPr>
            </w:pPr>
            <w:r w:rsidRPr="00A9330B">
              <w:rPr>
                <w:rFonts w:ascii="Arial Narrow" w:hAnsi="Arial Narrow" w:cs="Arial"/>
                <w:sz w:val="21"/>
                <w:szCs w:val="21"/>
              </w:rPr>
              <w:t>Quel sera le début du démarrage du projet ?</w:t>
            </w:r>
          </w:p>
          <w:p w14:paraId="51917706" w14:textId="77777777" w:rsidR="00D9264D" w:rsidRPr="00A9330B" w:rsidRDefault="00D9264D" w:rsidP="00D9264D">
            <w:pPr>
              <w:numPr>
                <w:ilvl w:val="0"/>
                <w:numId w:val="127"/>
              </w:numPr>
              <w:spacing w:before="0" w:line="240" w:lineRule="auto"/>
              <w:ind w:left="145" w:hanging="142"/>
              <w:contextualSpacing/>
              <w:jc w:val="both"/>
              <w:rPr>
                <w:rFonts w:ascii="Arial Narrow" w:hAnsi="Arial Narrow" w:cs="Arial"/>
                <w:sz w:val="21"/>
                <w:szCs w:val="21"/>
              </w:rPr>
            </w:pPr>
            <w:r w:rsidRPr="00A9330B">
              <w:rPr>
                <w:rFonts w:ascii="Arial Narrow" w:hAnsi="Arial Narrow" w:cs="Arial"/>
                <w:sz w:val="21"/>
                <w:szCs w:val="21"/>
              </w:rPr>
              <w:t>La main d’œuvre locale sera-t-elle recrutée à la phase exécutive du projet ?</w:t>
            </w:r>
          </w:p>
        </w:tc>
        <w:tc>
          <w:tcPr>
            <w:tcW w:w="2268" w:type="dxa"/>
            <w:vAlign w:val="center"/>
          </w:tcPr>
          <w:p w14:paraId="14DE10B9" w14:textId="77777777" w:rsidR="00D9264D" w:rsidRPr="00A9330B" w:rsidRDefault="00D9264D" w:rsidP="00D9264D">
            <w:pPr>
              <w:numPr>
                <w:ilvl w:val="0"/>
                <w:numId w:val="127"/>
              </w:numPr>
              <w:spacing w:before="0" w:line="240" w:lineRule="auto"/>
              <w:ind w:left="144" w:hanging="144"/>
              <w:contextualSpacing/>
              <w:jc w:val="both"/>
              <w:rPr>
                <w:rFonts w:ascii="Arial Narrow" w:hAnsi="Arial Narrow" w:cs="Arial"/>
                <w:sz w:val="21"/>
                <w:szCs w:val="21"/>
              </w:rPr>
            </w:pPr>
            <w:r w:rsidRPr="00A9330B">
              <w:rPr>
                <w:rFonts w:ascii="Arial Narrow" w:hAnsi="Arial Narrow" w:cs="Arial"/>
                <w:sz w:val="21"/>
                <w:szCs w:val="21"/>
              </w:rPr>
              <w:t xml:space="preserve">Les riverains affectés par le projet ont été recensés  </w:t>
            </w:r>
          </w:p>
          <w:p w14:paraId="26345543" w14:textId="77777777" w:rsidR="00D9264D" w:rsidRPr="00A9330B" w:rsidRDefault="00D9264D" w:rsidP="00D9264D">
            <w:pPr>
              <w:numPr>
                <w:ilvl w:val="0"/>
                <w:numId w:val="127"/>
              </w:numPr>
              <w:spacing w:before="0" w:line="240" w:lineRule="auto"/>
              <w:ind w:left="144" w:hanging="144"/>
              <w:contextualSpacing/>
              <w:jc w:val="both"/>
              <w:rPr>
                <w:rFonts w:ascii="Arial Narrow" w:hAnsi="Arial Narrow" w:cs="Arial"/>
                <w:sz w:val="21"/>
                <w:szCs w:val="21"/>
              </w:rPr>
            </w:pPr>
            <w:r w:rsidRPr="00A9330B">
              <w:rPr>
                <w:rFonts w:ascii="Arial Narrow" w:hAnsi="Arial Narrow" w:cs="Arial"/>
                <w:sz w:val="21"/>
                <w:szCs w:val="21"/>
              </w:rPr>
              <w:t xml:space="preserve">Les ayants droits seront indemnisés pour les biens affectées </w:t>
            </w:r>
          </w:p>
          <w:p w14:paraId="40B7ACD4" w14:textId="77777777" w:rsidR="00D9264D" w:rsidRPr="00A9330B" w:rsidRDefault="00D9264D" w:rsidP="00D9264D">
            <w:pPr>
              <w:numPr>
                <w:ilvl w:val="0"/>
                <w:numId w:val="127"/>
              </w:numPr>
              <w:spacing w:before="0" w:line="240" w:lineRule="auto"/>
              <w:ind w:left="144" w:hanging="144"/>
              <w:contextualSpacing/>
              <w:jc w:val="both"/>
              <w:rPr>
                <w:rFonts w:ascii="Arial Narrow" w:hAnsi="Arial Narrow" w:cs="Arial"/>
                <w:sz w:val="21"/>
                <w:szCs w:val="21"/>
              </w:rPr>
            </w:pPr>
            <w:r w:rsidRPr="00A9330B">
              <w:rPr>
                <w:rFonts w:ascii="Arial Narrow" w:hAnsi="Arial Narrow" w:cs="Arial"/>
                <w:sz w:val="21"/>
                <w:szCs w:val="21"/>
              </w:rPr>
              <w:t xml:space="preserve">Une priorité sera accordée à la main d’œuvre locale </w:t>
            </w:r>
          </w:p>
          <w:p w14:paraId="34724B69" w14:textId="616E1169" w:rsidR="00D9264D" w:rsidRPr="00A9330B" w:rsidRDefault="00D9264D" w:rsidP="00D9264D">
            <w:pPr>
              <w:numPr>
                <w:ilvl w:val="0"/>
                <w:numId w:val="127"/>
              </w:numPr>
              <w:spacing w:before="0" w:line="240" w:lineRule="auto"/>
              <w:ind w:left="144" w:hanging="144"/>
              <w:contextualSpacing/>
              <w:jc w:val="both"/>
              <w:rPr>
                <w:rFonts w:ascii="Arial Narrow" w:hAnsi="Arial Narrow" w:cs="Arial"/>
                <w:sz w:val="21"/>
                <w:szCs w:val="21"/>
              </w:rPr>
            </w:pPr>
            <w:r w:rsidRPr="00A9330B">
              <w:rPr>
                <w:rFonts w:ascii="Arial Narrow" w:hAnsi="Arial Narrow" w:cs="Arial"/>
                <w:sz w:val="21"/>
                <w:szCs w:val="21"/>
              </w:rPr>
              <w:t xml:space="preserve">Cette mesure figure dans le PGES et devra être appliquée </w:t>
            </w:r>
          </w:p>
        </w:tc>
        <w:tc>
          <w:tcPr>
            <w:tcW w:w="2693" w:type="dxa"/>
            <w:vAlign w:val="center"/>
          </w:tcPr>
          <w:p w14:paraId="1FC3C0FB" w14:textId="77777777" w:rsidR="00D9264D" w:rsidRPr="00A9330B" w:rsidRDefault="00D9264D" w:rsidP="00D9264D">
            <w:pPr>
              <w:numPr>
                <w:ilvl w:val="0"/>
                <w:numId w:val="127"/>
              </w:numPr>
              <w:spacing w:before="0" w:line="240" w:lineRule="auto"/>
              <w:ind w:left="130" w:hanging="130"/>
              <w:contextualSpacing/>
              <w:jc w:val="both"/>
              <w:rPr>
                <w:rFonts w:ascii="Arial Narrow" w:hAnsi="Arial Narrow" w:cs="Arial"/>
                <w:b/>
                <w:sz w:val="21"/>
                <w:szCs w:val="21"/>
              </w:rPr>
            </w:pPr>
            <w:r w:rsidRPr="00A9330B">
              <w:rPr>
                <w:rFonts w:ascii="Arial Narrow" w:hAnsi="Arial Narrow" w:cs="Arial"/>
                <w:sz w:val="21"/>
                <w:szCs w:val="21"/>
              </w:rPr>
              <w:t>Que tous ceux qui sont impactés par le projet soient dédommagés</w:t>
            </w:r>
          </w:p>
          <w:p w14:paraId="33CF1BC0" w14:textId="77777777" w:rsidR="00D9264D" w:rsidRPr="00A9330B" w:rsidRDefault="00D9264D" w:rsidP="00D9264D">
            <w:pPr>
              <w:numPr>
                <w:ilvl w:val="0"/>
                <w:numId w:val="127"/>
              </w:numPr>
              <w:spacing w:before="0" w:line="240" w:lineRule="auto"/>
              <w:ind w:left="144" w:hanging="144"/>
              <w:contextualSpacing/>
              <w:jc w:val="both"/>
              <w:rPr>
                <w:rFonts w:ascii="Arial Narrow" w:hAnsi="Arial Narrow" w:cs="Arial"/>
                <w:sz w:val="21"/>
                <w:szCs w:val="21"/>
              </w:rPr>
            </w:pPr>
            <w:r w:rsidRPr="00A9330B">
              <w:rPr>
                <w:rFonts w:ascii="Arial Narrow" w:hAnsi="Arial Narrow" w:cs="Arial"/>
                <w:sz w:val="21"/>
                <w:szCs w:val="21"/>
              </w:rPr>
              <w:t xml:space="preserve">Intégrer dans le programme, les rues qui sont complètement dégradées </w:t>
            </w:r>
          </w:p>
          <w:p w14:paraId="2B6861ED" w14:textId="77777777" w:rsidR="00D9264D" w:rsidRPr="00A9330B" w:rsidRDefault="00D9264D" w:rsidP="00D9264D">
            <w:pPr>
              <w:numPr>
                <w:ilvl w:val="0"/>
                <w:numId w:val="127"/>
              </w:numPr>
              <w:spacing w:before="0" w:line="240" w:lineRule="auto"/>
              <w:ind w:left="144" w:hanging="144"/>
              <w:contextualSpacing/>
              <w:jc w:val="both"/>
              <w:rPr>
                <w:rFonts w:ascii="Arial Narrow" w:hAnsi="Arial Narrow" w:cs="Arial"/>
                <w:sz w:val="21"/>
                <w:szCs w:val="21"/>
              </w:rPr>
            </w:pPr>
            <w:r w:rsidRPr="00A9330B">
              <w:rPr>
                <w:rFonts w:ascii="Arial Narrow" w:hAnsi="Arial Narrow" w:cs="Arial"/>
                <w:sz w:val="21"/>
                <w:szCs w:val="21"/>
              </w:rPr>
              <w:t>Prendre en compte le recrutement la main d’œuvre locale</w:t>
            </w:r>
          </w:p>
        </w:tc>
      </w:tr>
    </w:tbl>
    <w:p w14:paraId="4756D5B6" w14:textId="2BAA9252" w:rsidR="00417D31" w:rsidRPr="00A9330B" w:rsidRDefault="00417D31" w:rsidP="00701C80">
      <w:pPr>
        <w:spacing w:line="240" w:lineRule="auto"/>
        <w:rPr>
          <w:rFonts w:ascii="Times New Roman" w:eastAsiaTheme="minorEastAsia" w:hAnsi="Times New Roman" w:cs="Times New Roman"/>
          <w:color w:val="auto"/>
          <w:sz w:val="20"/>
          <w:szCs w:val="20"/>
          <w:lang w:eastAsia="fr-FR"/>
        </w:rPr>
        <w:sectPr w:rsidR="00417D31" w:rsidRPr="00A9330B" w:rsidSect="00417D31">
          <w:pgSz w:w="16838" w:h="11906" w:orient="landscape" w:code="9"/>
          <w:pgMar w:top="1418" w:right="1276" w:bottom="1418" w:left="1276" w:header="709" w:footer="510" w:gutter="0"/>
          <w:cols w:space="708"/>
          <w:docGrid w:linePitch="360"/>
        </w:sectPr>
      </w:pPr>
    </w:p>
    <w:p w14:paraId="056F60DD" w14:textId="1F5F0A9D" w:rsidR="00401546" w:rsidRPr="00A9330B" w:rsidRDefault="00C5253D" w:rsidP="0064324E">
      <w:pPr>
        <w:pStyle w:val="Titre1"/>
      </w:pPr>
      <w:bookmarkStart w:id="851" w:name="_Toc52869651"/>
      <w:bookmarkStart w:id="852" w:name="_Toc52869840"/>
      <w:r w:rsidRPr="00A9330B">
        <w:lastRenderedPageBreak/>
        <w:t xml:space="preserve">5. </w:t>
      </w:r>
      <w:r w:rsidR="00401546" w:rsidRPr="00A9330B">
        <w:t>DESCRIPTION DU PROJET</w:t>
      </w:r>
      <w:bookmarkEnd w:id="851"/>
      <w:bookmarkEnd w:id="852"/>
      <w:r w:rsidR="00417D31" w:rsidRPr="00A9330B">
        <w:tab/>
      </w:r>
    </w:p>
    <w:p w14:paraId="1CE3BB0E" w14:textId="77777777" w:rsidR="00401546" w:rsidRPr="00A9330B" w:rsidRDefault="00401546" w:rsidP="00401546">
      <w:pPr>
        <w:keepNext/>
        <w:keepLines/>
        <w:spacing w:before="200" w:line="276" w:lineRule="auto"/>
        <w:outlineLvl w:val="1"/>
        <w:rPr>
          <w:b/>
          <w:caps/>
          <w:sz w:val="26"/>
        </w:rPr>
      </w:pPr>
      <w:bookmarkStart w:id="853" w:name="_Toc43697648"/>
      <w:bookmarkStart w:id="854" w:name="_Toc52869652"/>
      <w:bookmarkStart w:id="855" w:name="_Toc52869841"/>
      <w:r w:rsidRPr="00A9330B">
        <w:rPr>
          <w:b/>
          <w:caps/>
          <w:sz w:val="26"/>
        </w:rPr>
        <w:t>5.1. Titre du projet</w:t>
      </w:r>
      <w:bookmarkEnd w:id="853"/>
      <w:bookmarkEnd w:id="854"/>
      <w:bookmarkEnd w:id="855"/>
      <w:r w:rsidRPr="00A9330B">
        <w:rPr>
          <w:b/>
          <w:caps/>
          <w:sz w:val="26"/>
        </w:rPr>
        <w:t xml:space="preserve">  </w:t>
      </w:r>
    </w:p>
    <w:p w14:paraId="678BC779" w14:textId="5E3FF17B" w:rsidR="00401546" w:rsidRPr="00A9330B" w:rsidRDefault="00917EB7" w:rsidP="00401546">
      <w:pPr>
        <w:jc w:val="both"/>
        <w:rPr>
          <w:caps/>
        </w:rPr>
      </w:pPr>
      <w:r w:rsidRPr="00A9330B">
        <w:t>Projet</w:t>
      </w:r>
      <w:r w:rsidR="00401546" w:rsidRPr="00A9330B">
        <w:t xml:space="preserve"> d’Assainissement Pluvial des Villes de Porto-Novo, Sèmè-Podji, Abomey-Calavi, Ouidah, Abomey, Bohicon, Parakou et Natitingou</w:t>
      </w:r>
    </w:p>
    <w:p w14:paraId="7870606B" w14:textId="1EA775CB" w:rsidR="00401546" w:rsidRPr="00A9330B" w:rsidRDefault="00401546" w:rsidP="00401546">
      <w:pPr>
        <w:jc w:val="both"/>
      </w:pPr>
      <w:r w:rsidRPr="00A9330B">
        <w:t xml:space="preserve">Ville de </w:t>
      </w:r>
      <w:r w:rsidR="00BA7D70" w:rsidRPr="00A9330B">
        <w:t xml:space="preserve">Natitingou </w:t>
      </w:r>
      <w:r w:rsidRPr="00A9330B">
        <w:t>(1</w:t>
      </w:r>
      <w:r w:rsidRPr="00A9330B">
        <w:rPr>
          <w:vertAlign w:val="superscript"/>
        </w:rPr>
        <w:t>er</w:t>
      </w:r>
      <w:r w:rsidRPr="00A9330B">
        <w:t>, 2</w:t>
      </w:r>
      <w:r w:rsidRPr="00A9330B">
        <w:rPr>
          <w:vertAlign w:val="superscript"/>
        </w:rPr>
        <w:t>ème</w:t>
      </w:r>
      <w:r w:rsidRPr="00A9330B">
        <w:t xml:space="preserve"> et 3</w:t>
      </w:r>
      <w:r w:rsidRPr="00A9330B">
        <w:rPr>
          <w:vertAlign w:val="superscript"/>
        </w:rPr>
        <w:t>ème</w:t>
      </w:r>
      <w:r w:rsidRPr="00A9330B">
        <w:t xml:space="preserve"> arrondissements de la Commune de Parakou). </w:t>
      </w:r>
    </w:p>
    <w:p w14:paraId="6A8635A6" w14:textId="77777777" w:rsidR="00401546" w:rsidRPr="00A9330B" w:rsidRDefault="00401546" w:rsidP="00401546">
      <w:pPr>
        <w:keepNext/>
        <w:keepLines/>
        <w:spacing w:before="200" w:line="276" w:lineRule="auto"/>
        <w:outlineLvl w:val="1"/>
        <w:rPr>
          <w:b/>
          <w:caps/>
          <w:sz w:val="26"/>
        </w:rPr>
      </w:pPr>
      <w:bookmarkStart w:id="856" w:name="_Toc110746240"/>
      <w:bookmarkStart w:id="857" w:name="_Toc405917990"/>
      <w:bookmarkStart w:id="858" w:name="_Toc517377140"/>
      <w:bookmarkStart w:id="859" w:name="_Toc43697649"/>
      <w:bookmarkStart w:id="860" w:name="_Toc52869653"/>
      <w:bookmarkStart w:id="861" w:name="_Toc52869842"/>
      <w:r w:rsidRPr="00A9330B">
        <w:rPr>
          <w:b/>
          <w:caps/>
          <w:sz w:val="26"/>
        </w:rPr>
        <w:t>5.2- Type de projet</w:t>
      </w:r>
      <w:bookmarkEnd w:id="856"/>
      <w:bookmarkEnd w:id="857"/>
      <w:bookmarkEnd w:id="858"/>
      <w:bookmarkEnd w:id="859"/>
      <w:bookmarkEnd w:id="860"/>
      <w:bookmarkEnd w:id="861"/>
      <w:r w:rsidRPr="00A9330B">
        <w:rPr>
          <w:b/>
          <w:caps/>
          <w:sz w:val="26"/>
        </w:rPr>
        <w:t xml:space="preserve">  </w:t>
      </w:r>
    </w:p>
    <w:p w14:paraId="39C522EE" w14:textId="0F9BD05D" w:rsidR="00401546" w:rsidRPr="00A9330B" w:rsidRDefault="00401546" w:rsidP="00417D31">
      <w:pPr>
        <w:jc w:val="both"/>
      </w:pPr>
      <w:r w:rsidRPr="00A9330B">
        <w:t>Selon l’annexe I du guide Général des Etudes d’Impact environnemental, le présent projet est classé dans le Chapitre</w:t>
      </w:r>
      <w:r w:rsidRPr="00A9330B">
        <w:rPr>
          <w:b/>
        </w:rPr>
        <w:t xml:space="preserve"> X</w:t>
      </w:r>
      <w:r w:rsidRPr="00A9330B">
        <w:rPr>
          <w:b/>
          <w:bCs/>
        </w:rPr>
        <w:t xml:space="preserve">III. PROJETS D'INFRASTRUCTURES, </w:t>
      </w:r>
      <w:r w:rsidRPr="00A9330B">
        <w:rPr>
          <w:bCs/>
        </w:rPr>
        <w:t xml:space="preserve">et en </w:t>
      </w:r>
      <w:r w:rsidRPr="00A9330B">
        <w:rPr>
          <w:sz w:val="24"/>
          <w:szCs w:val="24"/>
        </w:rPr>
        <w:t xml:space="preserve">XIII.1 : Construction de routes et d'infrastructures ayant une emprise supérieure à 20 m une longueur supérieure à 1 km et </w:t>
      </w:r>
      <w:r w:rsidRPr="00A9330B">
        <w:rPr>
          <w:rFonts w:eastAsia="Calibri"/>
        </w:rPr>
        <w:t xml:space="preserve">XIV.4 - Drainage d'une aire (marais ou </w:t>
      </w:r>
      <w:r w:rsidRPr="00A9330B">
        <w:t>marécage) &gt; 0,5 ha</w:t>
      </w:r>
      <w:r w:rsidR="00A6586F" w:rsidRPr="00A9330B">
        <w:t xml:space="preserve"> une longueur supérieure à 1 km et XIV.4 - Drainage d'une aire (marais ou marécage) &gt; 0,5 ha et est ainsi assujetti à une EIES approfondie</w:t>
      </w:r>
    </w:p>
    <w:p w14:paraId="5AD9E771" w14:textId="1F1E3E0B" w:rsidR="00401546" w:rsidRPr="00A9330B" w:rsidRDefault="00917EB7" w:rsidP="00417D31">
      <w:pPr>
        <w:jc w:val="both"/>
        <w:rPr>
          <w:sz w:val="24"/>
          <w:szCs w:val="24"/>
        </w:rPr>
      </w:pPr>
      <w:r w:rsidRPr="00A9330B">
        <w:t xml:space="preserve">Le présent projet </w:t>
      </w:r>
      <w:r w:rsidR="00401546" w:rsidRPr="00A9330B">
        <w:t xml:space="preserve">conformément aux exigences des SO de la BAD peut être classé dans la </w:t>
      </w:r>
      <w:r w:rsidR="00401546" w:rsidRPr="00A9330B">
        <w:rPr>
          <w:b/>
        </w:rPr>
        <w:t>catégorie 2</w:t>
      </w:r>
      <w:r w:rsidR="00401546" w:rsidRPr="00A9330B">
        <w:t xml:space="preserve"> « projets susceptibles d’avoir des impacts environnementaux ou sociaux négatifs spécifiques au site mais ceux-ci sont moins importants que ceux des projets de catégorie 1.</w:t>
      </w:r>
    </w:p>
    <w:p w14:paraId="7490B1DD" w14:textId="663EE936" w:rsidR="00401546" w:rsidRPr="00A9330B" w:rsidRDefault="00401546" w:rsidP="00417D31">
      <w:pPr>
        <w:jc w:val="both"/>
      </w:pPr>
      <w:r w:rsidRPr="00A9330B">
        <w:t xml:space="preserve">Les principaux travaux à réaliser sont : la libération de l’emprise, le revêtement des rues, le drainage et l’assainissement </w:t>
      </w:r>
      <w:r w:rsidR="00917EB7" w:rsidRPr="00A9330B">
        <w:t xml:space="preserve">des bassins versant </w:t>
      </w:r>
      <w:r w:rsidRPr="00A9330B">
        <w:t>et la construction des ouvrages d’art.</w:t>
      </w:r>
    </w:p>
    <w:p w14:paraId="5E6066FE" w14:textId="15F17457" w:rsidR="00207F11" w:rsidRPr="00A9330B" w:rsidRDefault="00401546" w:rsidP="000F7BA7">
      <w:pPr>
        <w:jc w:val="both"/>
      </w:pPr>
      <w:r w:rsidRPr="00A9330B">
        <w:t xml:space="preserve">En cohérence avec les standards adoptés pour les routes nationales et les « caractéristiques fondamentales à adopter pour la construction ou l’aménagement des routes principales » au sein de la </w:t>
      </w:r>
      <w:r w:rsidR="00917EB7" w:rsidRPr="00A9330B">
        <w:t>Communauté Economique Des Etats de l’Afrique de l’Ouest (CEDEAO)</w:t>
      </w:r>
      <w:r w:rsidRPr="00A9330B">
        <w:t xml:space="preserve"> les aménagements prévus par le projet consistent donc à construire des</w:t>
      </w:r>
      <w:r w:rsidR="00917EB7" w:rsidRPr="00A9330B">
        <w:t xml:space="preserve"> Ouvrages primaires et Secondaires de drainage et à aménager des</w:t>
      </w:r>
      <w:r w:rsidRPr="00A9330B">
        <w:t xml:space="preserve"> </w:t>
      </w:r>
      <w:r w:rsidR="00155583" w:rsidRPr="00A9330B">
        <w:t>rues</w:t>
      </w:r>
      <w:r w:rsidRPr="00A9330B">
        <w:t xml:space="preserve"> </w:t>
      </w:r>
      <w:r w:rsidR="0090195C" w:rsidRPr="00A9330B">
        <w:t xml:space="preserve">pour un linéaire total d’environ </w:t>
      </w:r>
      <w:r w:rsidR="00207F11" w:rsidRPr="00A9330B">
        <w:rPr>
          <w:b/>
        </w:rPr>
        <w:t>32,497 km dont </w:t>
      </w:r>
      <w:r w:rsidR="00207F11" w:rsidRPr="00A9330B">
        <w:t>10,929 km de rues et 21,567 km de collecteurs.</w:t>
      </w:r>
    </w:p>
    <w:p w14:paraId="456D4986" w14:textId="77777777" w:rsidR="00401546" w:rsidRPr="00A9330B" w:rsidRDefault="00401546" w:rsidP="00401546">
      <w:pPr>
        <w:keepNext/>
        <w:keepLines/>
        <w:spacing w:before="200" w:line="276" w:lineRule="auto"/>
        <w:outlineLvl w:val="1"/>
        <w:rPr>
          <w:b/>
          <w:caps/>
          <w:sz w:val="26"/>
        </w:rPr>
      </w:pPr>
      <w:bookmarkStart w:id="862" w:name="_Toc517377141"/>
      <w:bookmarkStart w:id="863" w:name="_Toc43697650"/>
      <w:bookmarkStart w:id="864" w:name="_Toc52869654"/>
      <w:bookmarkStart w:id="865" w:name="_Toc52869843"/>
      <w:r w:rsidRPr="00A9330B">
        <w:rPr>
          <w:b/>
          <w:caps/>
          <w:sz w:val="26"/>
        </w:rPr>
        <w:t>5.3 contenu du projet</w:t>
      </w:r>
      <w:bookmarkEnd w:id="862"/>
      <w:bookmarkEnd w:id="863"/>
      <w:bookmarkEnd w:id="864"/>
      <w:bookmarkEnd w:id="865"/>
      <w:r w:rsidRPr="00A9330B">
        <w:rPr>
          <w:b/>
          <w:caps/>
          <w:sz w:val="26"/>
        </w:rPr>
        <w:t xml:space="preserve"> </w:t>
      </w:r>
    </w:p>
    <w:p w14:paraId="0CAA7AA4" w14:textId="41173A46" w:rsidR="00401546" w:rsidRPr="00A9330B" w:rsidRDefault="00401546" w:rsidP="00401546">
      <w:pPr>
        <w:jc w:val="both"/>
      </w:pPr>
      <w:r w:rsidRPr="00A9330B">
        <w:t xml:space="preserve">De façon générale, ce projet vise à améliorer la mobilité urbaine à travers l’aménagement de voiries </w:t>
      </w:r>
      <w:r w:rsidR="00B35A4E" w:rsidRPr="00A9330B">
        <w:t xml:space="preserve">urbaines </w:t>
      </w:r>
      <w:r w:rsidR="00417D31" w:rsidRPr="00A9330B">
        <w:t>et le développement des infrastructures résilientes pour</w:t>
      </w:r>
      <w:r w:rsidRPr="00A9330B">
        <w:t xml:space="preserve"> </w:t>
      </w:r>
      <w:r w:rsidR="00417D31" w:rsidRPr="00A9330B">
        <w:t>l’assainissement, la collecte et le</w:t>
      </w:r>
      <w:r w:rsidRPr="00A9330B">
        <w:t xml:space="preserve"> drainage des eaux pluviales dans les villes secondaires. Le projet vise </w:t>
      </w:r>
      <w:r w:rsidR="00B35A4E" w:rsidRPr="00A9330B">
        <w:t xml:space="preserve">aussi </w:t>
      </w:r>
      <w:r w:rsidR="00417D31" w:rsidRPr="00A9330B">
        <w:t>à renforcer</w:t>
      </w:r>
      <w:r w:rsidRPr="00A9330B">
        <w:t xml:space="preserve"> la résilience </w:t>
      </w:r>
      <w:r w:rsidR="00417D31" w:rsidRPr="00A9330B">
        <w:t>des villes secondaires et</w:t>
      </w:r>
      <w:r w:rsidRPr="00A9330B">
        <w:t xml:space="preserve"> </w:t>
      </w:r>
      <w:r w:rsidR="00417D31" w:rsidRPr="00A9330B">
        <w:t>ainsi que des populations urbaines aux impacts du changement climatique</w:t>
      </w:r>
      <w:r w:rsidRPr="00A9330B">
        <w:t xml:space="preserve"> notamment aux risques d’inondations. Il permet de :</w:t>
      </w:r>
    </w:p>
    <w:p w14:paraId="032F9AB5" w14:textId="552CA838" w:rsidR="00401546" w:rsidRPr="00A9330B" w:rsidRDefault="00E613E5" w:rsidP="00BD2F72">
      <w:pPr>
        <w:numPr>
          <w:ilvl w:val="0"/>
          <w:numId w:val="54"/>
        </w:numPr>
        <w:overflowPunct w:val="0"/>
        <w:autoSpaceDE w:val="0"/>
        <w:autoSpaceDN w:val="0"/>
        <w:adjustRightInd w:val="0"/>
        <w:spacing w:line="288" w:lineRule="auto"/>
        <w:contextualSpacing/>
        <w:jc w:val="both"/>
        <w:rPr>
          <w:rFonts w:eastAsia="Times New Roman" w:cs="Times New Roman"/>
          <w:szCs w:val="20"/>
          <w:lang w:eastAsia="de-DE"/>
        </w:rPr>
      </w:pPr>
      <w:r w:rsidRPr="00A9330B">
        <w:rPr>
          <w:rFonts w:eastAsia="Times New Roman" w:cs="Times New Roman"/>
          <w:szCs w:val="20"/>
          <w:lang w:eastAsia="de-DE"/>
        </w:rPr>
        <w:t>p</w:t>
      </w:r>
      <w:r w:rsidR="00401546" w:rsidRPr="00A9330B">
        <w:rPr>
          <w:rFonts w:eastAsia="Times New Roman" w:cs="Times New Roman"/>
          <w:szCs w:val="20"/>
          <w:lang w:eastAsia="de-DE"/>
        </w:rPr>
        <w:t>rioriser l’aménagement des zones à forts risques d’inondations ;</w:t>
      </w:r>
    </w:p>
    <w:p w14:paraId="544EBCE9" w14:textId="49118B01" w:rsidR="00401546" w:rsidRPr="00A9330B" w:rsidRDefault="00E613E5" w:rsidP="00BD2F72">
      <w:pPr>
        <w:numPr>
          <w:ilvl w:val="0"/>
          <w:numId w:val="54"/>
        </w:numPr>
        <w:overflowPunct w:val="0"/>
        <w:autoSpaceDE w:val="0"/>
        <w:autoSpaceDN w:val="0"/>
        <w:adjustRightInd w:val="0"/>
        <w:spacing w:line="288" w:lineRule="auto"/>
        <w:contextualSpacing/>
        <w:jc w:val="both"/>
        <w:rPr>
          <w:rFonts w:eastAsia="Times New Roman" w:cs="Times New Roman"/>
          <w:szCs w:val="20"/>
          <w:lang w:eastAsia="de-DE"/>
        </w:rPr>
      </w:pPr>
      <w:r w:rsidRPr="00A9330B">
        <w:rPr>
          <w:rFonts w:eastAsia="Times New Roman" w:cs="Times New Roman"/>
          <w:szCs w:val="20"/>
          <w:lang w:eastAsia="de-DE"/>
        </w:rPr>
        <w:t>p</w:t>
      </w:r>
      <w:r w:rsidR="00401546" w:rsidRPr="00A9330B">
        <w:rPr>
          <w:rFonts w:eastAsia="Times New Roman" w:cs="Times New Roman"/>
          <w:szCs w:val="20"/>
          <w:lang w:eastAsia="de-DE"/>
        </w:rPr>
        <w:t>rioriser les zones concernées par le projet d’asphaltage en cours ;</w:t>
      </w:r>
    </w:p>
    <w:p w14:paraId="6BB22876" w14:textId="2A47AD22" w:rsidR="00401546" w:rsidRPr="00A9330B" w:rsidRDefault="00B35A4E" w:rsidP="00BD2F72">
      <w:pPr>
        <w:numPr>
          <w:ilvl w:val="0"/>
          <w:numId w:val="54"/>
        </w:numPr>
        <w:overflowPunct w:val="0"/>
        <w:autoSpaceDE w:val="0"/>
        <w:autoSpaceDN w:val="0"/>
        <w:adjustRightInd w:val="0"/>
        <w:spacing w:line="288" w:lineRule="auto"/>
        <w:contextualSpacing/>
        <w:jc w:val="both"/>
        <w:rPr>
          <w:rFonts w:eastAsia="Times New Roman" w:cs="Times New Roman"/>
          <w:szCs w:val="20"/>
          <w:lang w:eastAsia="de-DE"/>
        </w:rPr>
      </w:pPr>
      <w:r w:rsidRPr="00A9330B">
        <w:rPr>
          <w:rFonts w:eastAsia="Times New Roman" w:cs="Times New Roman"/>
          <w:szCs w:val="20"/>
          <w:lang w:eastAsia="de-DE"/>
        </w:rPr>
        <w:t>prioriser l’assainissement</w:t>
      </w:r>
      <w:r w:rsidR="00401546" w:rsidRPr="00A9330B">
        <w:rPr>
          <w:rFonts w:eastAsia="Times New Roman" w:cs="Times New Roman"/>
          <w:szCs w:val="20"/>
          <w:lang w:eastAsia="de-DE"/>
        </w:rPr>
        <w:t xml:space="preserve">  des  zones  à  forte  densité  urbaine  plutôt  que  les  axes  d’extension future de la ville ; </w:t>
      </w:r>
    </w:p>
    <w:p w14:paraId="2CC72457" w14:textId="29D102C0" w:rsidR="00401546" w:rsidRPr="00A9330B" w:rsidRDefault="00401546" w:rsidP="00BD2F72">
      <w:pPr>
        <w:numPr>
          <w:ilvl w:val="0"/>
          <w:numId w:val="54"/>
        </w:numPr>
        <w:overflowPunct w:val="0"/>
        <w:autoSpaceDE w:val="0"/>
        <w:autoSpaceDN w:val="0"/>
        <w:adjustRightInd w:val="0"/>
        <w:spacing w:line="288" w:lineRule="auto"/>
        <w:contextualSpacing/>
        <w:jc w:val="both"/>
        <w:rPr>
          <w:rFonts w:eastAsia="Times New Roman" w:cs="Times New Roman"/>
          <w:szCs w:val="20"/>
          <w:lang w:eastAsia="de-DE"/>
        </w:rPr>
      </w:pPr>
      <w:r w:rsidRPr="00A9330B">
        <w:rPr>
          <w:rFonts w:eastAsia="Times New Roman" w:cs="Times New Roman"/>
          <w:szCs w:val="20"/>
          <w:lang w:eastAsia="de-DE"/>
        </w:rPr>
        <w:t xml:space="preserve">Prioriser les interventions dans les quartiers (ou bassins versants) dépourvus de systèmes de </w:t>
      </w:r>
      <w:r w:rsidR="00B35A4E" w:rsidRPr="00A9330B">
        <w:rPr>
          <w:rFonts w:eastAsia="Times New Roman" w:cs="Times New Roman"/>
          <w:szCs w:val="20"/>
          <w:lang w:eastAsia="de-DE"/>
        </w:rPr>
        <w:t>drainage ou équipés de systèmes insuffisants ou incomplets, plutôt que les interventions de</w:t>
      </w:r>
      <w:r w:rsidRPr="00A9330B">
        <w:rPr>
          <w:rFonts w:eastAsia="Times New Roman" w:cs="Times New Roman"/>
          <w:szCs w:val="20"/>
          <w:lang w:eastAsia="de-DE"/>
        </w:rPr>
        <w:t xml:space="preserve"> réhabilitation ou d’extension d’ouvrages existants ;</w:t>
      </w:r>
    </w:p>
    <w:p w14:paraId="6EC9DF9D" w14:textId="01EC5146" w:rsidR="00401546" w:rsidRPr="00A9330B" w:rsidRDefault="00E613E5" w:rsidP="00BD2F72">
      <w:pPr>
        <w:numPr>
          <w:ilvl w:val="0"/>
          <w:numId w:val="54"/>
        </w:numPr>
        <w:overflowPunct w:val="0"/>
        <w:autoSpaceDE w:val="0"/>
        <w:autoSpaceDN w:val="0"/>
        <w:adjustRightInd w:val="0"/>
        <w:spacing w:line="288" w:lineRule="auto"/>
        <w:contextualSpacing/>
        <w:jc w:val="both"/>
        <w:rPr>
          <w:rFonts w:eastAsia="Times New Roman" w:cs="Times New Roman"/>
          <w:szCs w:val="20"/>
          <w:lang w:eastAsia="de-DE"/>
        </w:rPr>
      </w:pPr>
      <w:r w:rsidRPr="00A9330B">
        <w:rPr>
          <w:rFonts w:eastAsia="Times New Roman" w:cs="Times New Roman"/>
          <w:szCs w:val="20"/>
          <w:lang w:eastAsia="de-DE"/>
        </w:rPr>
        <w:t>f</w:t>
      </w:r>
      <w:r w:rsidR="00401546" w:rsidRPr="00A9330B">
        <w:rPr>
          <w:rFonts w:eastAsia="Times New Roman" w:cs="Times New Roman"/>
          <w:szCs w:val="20"/>
          <w:lang w:eastAsia="de-DE"/>
        </w:rPr>
        <w:t xml:space="preserve">aire passer les travaux </w:t>
      </w:r>
      <w:r w:rsidR="00F76DB0" w:rsidRPr="00A9330B">
        <w:rPr>
          <w:rFonts w:eastAsia="Times New Roman" w:cs="Times New Roman"/>
          <w:szCs w:val="20"/>
          <w:lang w:eastAsia="de-DE"/>
        </w:rPr>
        <w:t xml:space="preserve">en </w:t>
      </w:r>
      <w:r w:rsidR="00401546" w:rsidRPr="00A9330B">
        <w:rPr>
          <w:rFonts w:eastAsia="Times New Roman" w:cs="Times New Roman"/>
          <w:szCs w:val="20"/>
          <w:lang w:eastAsia="de-DE"/>
        </w:rPr>
        <w:t xml:space="preserve">aval avant les travaux </w:t>
      </w:r>
      <w:r w:rsidR="00F76DB0" w:rsidRPr="00A9330B">
        <w:rPr>
          <w:rFonts w:eastAsia="Times New Roman" w:cs="Times New Roman"/>
          <w:szCs w:val="20"/>
          <w:lang w:eastAsia="de-DE"/>
        </w:rPr>
        <w:t xml:space="preserve">en </w:t>
      </w:r>
      <w:r w:rsidR="00401546" w:rsidRPr="00A9330B">
        <w:rPr>
          <w:rFonts w:eastAsia="Times New Roman" w:cs="Times New Roman"/>
          <w:szCs w:val="20"/>
          <w:lang w:eastAsia="de-DE"/>
        </w:rPr>
        <w:t>amont ;</w:t>
      </w:r>
    </w:p>
    <w:p w14:paraId="51948B36" w14:textId="5015166A" w:rsidR="00401546" w:rsidRPr="00A9330B" w:rsidRDefault="00E613E5" w:rsidP="00BD2F72">
      <w:pPr>
        <w:numPr>
          <w:ilvl w:val="0"/>
          <w:numId w:val="54"/>
        </w:numPr>
        <w:overflowPunct w:val="0"/>
        <w:autoSpaceDE w:val="0"/>
        <w:autoSpaceDN w:val="0"/>
        <w:adjustRightInd w:val="0"/>
        <w:spacing w:line="288" w:lineRule="auto"/>
        <w:contextualSpacing/>
        <w:jc w:val="both"/>
        <w:rPr>
          <w:rFonts w:eastAsia="Times New Roman" w:cs="Times New Roman"/>
          <w:szCs w:val="20"/>
          <w:lang w:eastAsia="de-DE"/>
        </w:rPr>
      </w:pPr>
      <w:r w:rsidRPr="00A9330B">
        <w:rPr>
          <w:rFonts w:eastAsia="Times New Roman" w:cs="Times New Roman"/>
          <w:szCs w:val="20"/>
          <w:lang w:eastAsia="de-DE"/>
        </w:rPr>
        <w:t>p</w:t>
      </w:r>
      <w:r w:rsidR="00401546" w:rsidRPr="00A9330B">
        <w:rPr>
          <w:rFonts w:eastAsia="Times New Roman" w:cs="Times New Roman"/>
          <w:szCs w:val="20"/>
          <w:lang w:eastAsia="de-DE"/>
        </w:rPr>
        <w:t>rioriser la réhabilitation des équipements détériorés présentant un risque pour la sécurité de la population  (manque  ou  détérioration  des  dalles  de  couverture  de  collecteurs,  tampons  de regards, garde-corps, …) plutôt que les autres actions de réhabilitation ;</w:t>
      </w:r>
    </w:p>
    <w:p w14:paraId="4AAD7627" w14:textId="56A25905" w:rsidR="00401546" w:rsidRPr="00A9330B" w:rsidRDefault="00E613E5" w:rsidP="00BD2F72">
      <w:pPr>
        <w:numPr>
          <w:ilvl w:val="0"/>
          <w:numId w:val="54"/>
        </w:numPr>
        <w:overflowPunct w:val="0"/>
        <w:autoSpaceDE w:val="0"/>
        <w:autoSpaceDN w:val="0"/>
        <w:adjustRightInd w:val="0"/>
        <w:spacing w:line="288" w:lineRule="auto"/>
        <w:contextualSpacing/>
        <w:jc w:val="both"/>
        <w:rPr>
          <w:rFonts w:eastAsia="Times New Roman" w:cs="Times New Roman"/>
          <w:szCs w:val="20"/>
          <w:lang w:eastAsia="de-DE"/>
        </w:rPr>
      </w:pPr>
      <w:r w:rsidRPr="00A9330B">
        <w:rPr>
          <w:rFonts w:eastAsia="Times New Roman" w:cs="Times New Roman"/>
          <w:szCs w:val="20"/>
          <w:lang w:eastAsia="de-DE"/>
        </w:rPr>
        <w:t>p</w:t>
      </w:r>
      <w:r w:rsidR="00401546" w:rsidRPr="00A9330B">
        <w:rPr>
          <w:rFonts w:eastAsia="Times New Roman" w:cs="Times New Roman"/>
          <w:szCs w:val="20"/>
          <w:lang w:eastAsia="de-DE"/>
        </w:rPr>
        <w:t xml:space="preserve">rioriser  les  collecteurs  projetés  se  raccordant  à  des  ouvrages  existants  (donc  un  même exutoire  naturel  final),  plutôt  que  ceux  qui  se  déchargent  dans  un  </w:t>
      </w:r>
      <w:r w:rsidR="00401546" w:rsidRPr="00A9330B">
        <w:rPr>
          <w:rFonts w:eastAsia="Times New Roman" w:cs="Times New Roman"/>
          <w:szCs w:val="20"/>
          <w:lang w:eastAsia="de-DE"/>
        </w:rPr>
        <w:lastRenderedPageBreak/>
        <w:t>nouvel  exutoire  du  milieu naturel (lagune), af</w:t>
      </w:r>
      <w:r w:rsidR="00207F11" w:rsidRPr="00A9330B">
        <w:rPr>
          <w:rFonts w:eastAsia="Times New Roman" w:cs="Times New Roman"/>
          <w:szCs w:val="20"/>
          <w:lang w:eastAsia="de-DE"/>
        </w:rPr>
        <w:t>i</w:t>
      </w:r>
      <w:r w:rsidR="00401546" w:rsidRPr="00A9330B">
        <w:rPr>
          <w:rFonts w:eastAsia="Times New Roman" w:cs="Times New Roman"/>
          <w:szCs w:val="20"/>
          <w:lang w:eastAsia="de-DE"/>
        </w:rPr>
        <w:t>n de limiter les points de rejet dans le milieu naturel ;</w:t>
      </w:r>
    </w:p>
    <w:p w14:paraId="7B9A8058" w14:textId="0462B183" w:rsidR="00401546" w:rsidRPr="00A9330B" w:rsidRDefault="00E613E5" w:rsidP="00BD2F72">
      <w:pPr>
        <w:numPr>
          <w:ilvl w:val="0"/>
          <w:numId w:val="54"/>
        </w:numPr>
        <w:overflowPunct w:val="0"/>
        <w:autoSpaceDE w:val="0"/>
        <w:autoSpaceDN w:val="0"/>
        <w:adjustRightInd w:val="0"/>
        <w:spacing w:line="288" w:lineRule="auto"/>
        <w:contextualSpacing/>
        <w:jc w:val="both"/>
        <w:rPr>
          <w:rFonts w:eastAsia="Times New Roman" w:cs="Times New Roman"/>
          <w:szCs w:val="20"/>
          <w:lang w:eastAsia="de-DE"/>
        </w:rPr>
      </w:pPr>
      <w:r w:rsidRPr="00A9330B">
        <w:rPr>
          <w:rFonts w:eastAsia="Times New Roman" w:cs="Times New Roman"/>
          <w:szCs w:val="20"/>
          <w:lang w:eastAsia="de-DE"/>
        </w:rPr>
        <w:t>p</w:t>
      </w:r>
      <w:r w:rsidR="00401546" w:rsidRPr="00A9330B">
        <w:rPr>
          <w:rFonts w:eastAsia="Times New Roman" w:cs="Times New Roman"/>
          <w:szCs w:val="20"/>
          <w:lang w:eastAsia="de-DE"/>
        </w:rPr>
        <w:t>rioriser les  écosystèmes  humides  servant  de  réservoirs  et  de  conduits  naturels  des  eaux pluviales.</w:t>
      </w:r>
    </w:p>
    <w:p w14:paraId="713AA96D" w14:textId="45698D06" w:rsidR="00401546" w:rsidRPr="00A9330B" w:rsidRDefault="00B35A4E" w:rsidP="00401546">
      <w:pPr>
        <w:jc w:val="both"/>
      </w:pPr>
      <w:r w:rsidRPr="00A9330B">
        <w:t xml:space="preserve">Sur la base </w:t>
      </w:r>
      <w:r w:rsidR="00417D31" w:rsidRPr="00A9330B">
        <w:t>de ces considérations permettant de</w:t>
      </w:r>
      <w:r w:rsidR="00401546" w:rsidRPr="00A9330B">
        <w:t xml:space="preserve"> </w:t>
      </w:r>
      <w:r w:rsidR="00417D31" w:rsidRPr="00A9330B">
        <w:t>classer les actions en termes d’urgence, une</w:t>
      </w:r>
      <w:r w:rsidR="00401546" w:rsidRPr="00A9330B">
        <w:t xml:space="preserve"> </w:t>
      </w:r>
      <w:r w:rsidR="00417D31" w:rsidRPr="00A9330B">
        <w:t>priorisation des actions d’aménagement pour la période 2020</w:t>
      </w:r>
      <w:r w:rsidR="00401546" w:rsidRPr="00A9330B">
        <w:t>-</w:t>
      </w:r>
      <w:r w:rsidR="00417D31" w:rsidRPr="00A9330B">
        <w:t xml:space="preserve">2045 a été faite. </w:t>
      </w:r>
      <w:r w:rsidR="00401546" w:rsidRPr="00A9330B">
        <w:t xml:space="preserve">Il en </w:t>
      </w:r>
      <w:r w:rsidR="00417D31" w:rsidRPr="00A9330B">
        <w:t>ressort une stratégie d’investissement qui a préconisé</w:t>
      </w:r>
      <w:r w:rsidR="00401546" w:rsidRPr="00A9330B">
        <w:t xml:space="preserve"> l</w:t>
      </w:r>
      <w:r w:rsidR="00417D31" w:rsidRPr="00A9330B">
        <w:t>a</w:t>
      </w:r>
      <w:r w:rsidR="00401546" w:rsidRPr="00A9330B">
        <w:t xml:space="preserve"> réalisation </w:t>
      </w:r>
      <w:r w:rsidR="00417D31" w:rsidRPr="00A9330B">
        <w:t xml:space="preserve">des travaux </w:t>
      </w:r>
      <w:r w:rsidR="00401546" w:rsidRPr="00A9330B">
        <w:t>en trois phases</w:t>
      </w:r>
      <w:r w:rsidR="00417D31" w:rsidRPr="00A9330B">
        <w:t xml:space="preserve"> à </w:t>
      </w:r>
      <w:r w:rsidR="00401546" w:rsidRPr="00A9330B">
        <w:t>savoir :  (i)  la tranche d’urgence dont sont projetés pour être exécutés dans la période 2020 -2025 ; (ii) le programme d’investissement à moyen terme dont les travaux sont projetés pour être exécutés dans la période  2025-2030  ;  et  enfin  (iii)  le  programme  d’investissement  à  long  terme  dont  les  travaux  sont prévus pour être exécutés dans la période 2030-2045.</w:t>
      </w:r>
    </w:p>
    <w:p w14:paraId="190F0136" w14:textId="77777777" w:rsidR="00401546" w:rsidRPr="00A9330B" w:rsidRDefault="00401546" w:rsidP="00401546">
      <w:pPr>
        <w:suppressAutoHyphens/>
        <w:spacing w:line="240" w:lineRule="auto"/>
        <w:ind w:left="720"/>
        <w:outlineLvl w:val="2"/>
        <w:rPr>
          <w:rFonts w:eastAsiaTheme="majorEastAsia" w:cstheme="majorBidi"/>
          <w:i/>
          <w:color w:val="auto"/>
          <w:sz w:val="26"/>
          <w:szCs w:val="24"/>
        </w:rPr>
      </w:pPr>
      <w:bookmarkStart w:id="866" w:name="_Toc488659064"/>
      <w:bookmarkStart w:id="867" w:name="_Toc517377142"/>
      <w:bookmarkStart w:id="868" w:name="_Toc43697651"/>
      <w:bookmarkStart w:id="869" w:name="_Toc45520854"/>
      <w:bookmarkStart w:id="870" w:name="_Toc52869655"/>
      <w:r w:rsidRPr="00A9330B">
        <w:rPr>
          <w:rFonts w:eastAsiaTheme="majorEastAsia" w:cstheme="majorBidi"/>
          <w:i/>
          <w:color w:val="auto"/>
          <w:sz w:val="26"/>
          <w:szCs w:val="24"/>
        </w:rPr>
        <w:t>5.3.1. Présentation des ouvrages et rues à aménager</w:t>
      </w:r>
      <w:bookmarkEnd w:id="866"/>
      <w:bookmarkEnd w:id="867"/>
      <w:bookmarkEnd w:id="868"/>
      <w:bookmarkEnd w:id="869"/>
      <w:bookmarkEnd w:id="870"/>
      <w:r w:rsidRPr="00A9330B">
        <w:rPr>
          <w:rFonts w:eastAsiaTheme="majorEastAsia" w:cstheme="majorBidi"/>
          <w:i/>
          <w:color w:val="auto"/>
          <w:sz w:val="26"/>
          <w:szCs w:val="24"/>
        </w:rPr>
        <w:t xml:space="preserve"> </w:t>
      </w:r>
    </w:p>
    <w:p w14:paraId="6FAE240B" w14:textId="2019333F" w:rsidR="00401546" w:rsidRPr="00A9330B" w:rsidRDefault="00401546" w:rsidP="00401546">
      <w:pPr>
        <w:jc w:val="both"/>
      </w:pPr>
      <w:r w:rsidRPr="00A9330B">
        <w:t xml:space="preserve">La présente étude concerne la ville de </w:t>
      </w:r>
      <w:r w:rsidR="00A512FC" w:rsidRPr="00A9330B">
        <w:t>Natitingou</w:t>
      </w:r>
      <w:r w:rsidRPr="00A9330B">
        <w:t xml:space="preserve"> (les premier, deuxième et troisième arrondissements). </w:t>
      </w:r>
    </w:p>
    <w:p w14:paraId="06A9B961" w14:textId="77777777" w:rsidR="00401546" w:rsidRPr="00A9330B" w:rsidRDefault="00401546" w:rsidP="0064324E">
      <w:pPr>
        <w:pStyle w:val="Titre40"/>
      </w:pPr>
      <w:bookmarkStart w:id="871" w:name="_Toc43697652"/>
      <w:bookmarkStart w:id="872" w:name="_Toc45520855"/>
      <w:bookmarkStart w:id="873" w:name="_Toc52869656"/>
      <w:r w:rsidRPr="00A9330B">
        <w:t>5.3.1.1. Collecteurs à aménager</w:t>
      </w:r>
      <w:bookmarkEnd w:id="871"/>
      <w:bookmarkEnd w:id="872"/>
      <w:bookmarkEnd w:id="873"/>
    </w:p>
    <w:p w14:paraId="3839699F" w14:textId="4B1248EF" w:rsidR="00401546" w:rsidRPr="00A9330B" w:rsidRDefault="00401546" w:rsidP="00417D31">
      <w:pPr>
        <w:jc w:val="both"/>
      </w:pPr>
      <w:r w:rsidRPr="00A9330B">
        <w:t xml:space="preserve">Pour les besoins de l’étude les collecteurs à aménager sont répartis suivant les formes à savoir : (i) Les collecteurs à ciel ouvert de forme trapézoïdale et (ii) les collecteurs cadre fermés. Les nomenclatures des collecteurs découlent des noms des bassins versants qui les englobent. </w:t>
      </w:r>
      <w:r w:rsidR="00483816" w:rsidRPr="00A9330B">
        <w:t xml:space="preserve">Il est prévu </w:t>
      </w:r>
      <w:r w:rsidRPr="00A9330B">
        <w:t>au total à aménager :</w:t>
      </w:r>
    </w:p>
    <w:p w14:paraId="48B7445E" w14:textId="4D8FA85E" w:rsidR="00C5253D" w:rsidRPr="00A9330B" w:rsidRDefault="00483816" w:rsidP="00BD2F72">
      <w:pPr>
        <w:pStyle w:val="Paragraphedeliste"/>
        <w:numPr>
          <w:ilvl w:val="0"/>
          <w:numId w:val="80"/>
        </w:numPr>
        <w:jc w:val="both"/>
        <w:rPr>
          <w:lang w:val="fr-FR"/>
        </w:rPr>
      </w:pPr>
      <w:r w:rsidRPr="00A9330B">
        <w:rPr>
          <w:lang w:val="fr-FR"/>
        </w:rPr>
        <w:t xml:space="preserve">le </w:t>
      </w:r>
      <w:r w:rsidR="00C5253D" w:rsidRPr="00A9330B">
        <w:rPr>
          <w:lang w:val="fr-FR"/>
        </w:rPr>
        <w:t xml:space="preserve">Canal A </w:t>
      </w:r>
    </w:p>
    <w:p w14:paraId="39C69647" w14:textId="1B3B07BA" w:rsidR="00C5253D" w:rsidRPr="00A9330B" w:rsidRDefault="00483816" w:rsidP="00BD2F72">
      <w:pPr>
        <w:pStyle w:val="Paragraphedeliste"/>
        <w:numPr>
          <w:ilvl w:val="0"/>
          <w:numId w:val="80"/>
        </w:numPr>
        <w:jc w:val="both"/>
        <w:rPr>
          <w:lang w:val="fr-FR"/>
        </w:rPr>
      </w:pPr>
      <w:r w:rsidRPr="00A9330B">
        <w:rPr>
          <w:lang w:val="fr-FR"/>
        </w:rPr>
        <w:t xml:space="preserve">le </w:t>
      </w:r>
      <w:r w:rsidR="00C5253D" w:rsidRPr="00A9330B">
        <w:rPr>
          <w:lang w:val="fr-FR"/>
        </w:rPr>
        <w:t xml:space="preserve">Canal B </w:t>
      </w:r>
    </w:p>
    <w:p w14:paraId="127FEA40" w14:textId="42A41B6C" w:rsidR="00C5253D" w:rsidRPr="00A9330B" w:rsidRDefault="00483816" w:rsidP="00BD2F72">
      <w:pPr>
        <w:pStyle w:val="Paragraphedeliste"/>
        <w:numPr>
          <w:ilvl w:val="0"/>
          <w:numId w:val="80"/>
        </w:numPr>
        <w:jc w:val="both"/>
        <w:rPr>
          <w:lang w:val="fr-FR"/>
        </w:rPr>
      </w:pPr>
      <w:r w:rsidRPr="00A9330B">
        <w:rPr>
          <w:lang w:val="fr-FR"/>
        </w:rPr>
        <w:t xml:space="preserve">les </w:t>
      </w:r>
      <w:r w:rsidR="00C5253D" w:rsidRPr="00A9330B">
        <w:rPr>
          <w:lang w:val="fr-FR"/>
        </w:rPr>
        <w:t xml:space="preserve">Collecteurs secondaires </w:t>
      </w:r>
    </w:p>
    <w:p w14:paraId="5125C26F" w14:textId="3B503ABD" w:rsidR="00401546" w:rsidRPr="00A9330B" w:rsidRDefault="00483816" w:rsidP="00401546">
      <w:pPr>
        <w:jc w:val="both"/>
      </w:pPr>
      <w:r w:rsidRPr="00A9330B">
        <w:t>L</w:t>
      </w:r>
      <w:r w:rsidR="00401546" w:rsidRPr="00A9330B">
        <w:t>’aménagement de la plupart des couloirs d’eau, se fera à l’aide de collecteur à ciel</w:t>
      </w:r>
      <w:r w:rsidR="00154A60" w:rsidRPr="00A9330B">
        <w:t xml:space="preserve"> ouvert</w:t>
      </w:r>
      <w:r w:rsidR="00401546" w:rsidRPr="00A9330B">
        <w:t>. En effet cette forme de collecteur est la plus optimale compte tenu des formes des couloirs : rigole bien prononcée ; chemin d’eau étendu</w:t>
      </w:r>
      <w:r w:rsidRPr="00A9330B">
        <w:t>.</w:t>
      </w:r>
    </w:p>
    <w:p w14:paraId="30A106B9" w14:textId="77777777" w:rsidR="00401546" w:rsidRPr="00A9330B" w:rsidRDefault="00401546" w:rsidP="00401546">
      <w:r w:rsidRPr="00A9330B">
        <w:t>Les collecteurs suivants sont à aménager :</w:t>
      </w:r>
    </w:p>
    <w:p w14:paraId="2C8BBE5A" w14:textId="0526DCF1" w:rsidR="00401546" w:rsidRPr="00A9330B" w:rsidRDefault="00401546" w:rsidP="00401546">
      <w:pPr>
        <w:keepNext/>
        <w:spacing w:after="120" w:line="240" w:lineRule="auto"/>
        <w:jc w:val="center"/>
        <w:rPr>
          <w:rFonts w:eastAsia="Times New Roman" w:cs="Arial"/>
          <w:b/>
          <w:color w:val="000000"/>
          <w:sz w:val="20"/>
          <w:szCs w:val="20"/>
          <w:lang w:eastAsia="fr-FR"/>
        </w:rPr>
      </w:pPr>
      <w:bookmarkStart w:id="874" w:name="_Toc43696240"/>
      <w:bookmarkStart w:id="875" w:name="_Toc52873751"/>
      <w:r w:rsidRPr="00A9330B">
        <w:rPr>
          <w:rFonts w:eastAsia="Times New Roman" w:cs="Arial"/>
          <w:b/>
          <w:color w:val="000000"/>
          <w:sz w:val="20"/>
          <w:szCs w:val="20"/>
          <w:lang w:eastAsia="fr-FR"/>
        </w:rPr>
        <w:t xml:space="preserve">Tableau </w:t>
      </w:r>
      <w:r w:rsidRPr="00A9330B">
        <w:rPr>
          <w:rFonts w:eastAsia="Times New Roman" w:cs="Arial"/>
          <w:b/>
          <w:color w:val="000000"/>
          <w:sz w:val="20"/>
          <w:szCs w:val="20"/>
          <w:lang w:eastAsia="fr-FR"/>
        </w:rPr>
        <w:fldChar w:fldCharType="begin"/>
      </w:r>
      <w:r w:rsidRPr="00A9330B">
        <w:rPr>
          <w:rFonts w:eastAsia="Times New Roman" w:cs="Arial"/>
          <w:b/>
          <w:color w:val="000000"/>
          <w:sz w:val="20"/>
          <w:szCs w:val="20"/>
          <w:lang w:eastAsia="fr-FR"/>
        </w:rPr>
        <w:instrText xml:space="preserve"> SEQ Tableau \* ARABIC </w:instrText>
      </w:r>
      <w:r w:rsidRPr="00A9330B">
        <w:rPr>
          <w:rFonts w:eastAsia="Times New Roman" w:cs="Arial"/>
          <w:b/>
          <w:color w:val="000000"/>
          <w:sz w:val="20"/>
          <w:szCs w:val="20"/>
          <w:lang w:eastAsia="fr-FR"/>
        </w:rPr>
        <w:fldChar w:fldCharType="separate"/>
      </w:r>
      <w:r w:rsidR="00A9330B" w:rsidRPr="00A9330B">
        <w:rPr>
          <w:rFonts w:eastAsia="Times New Roman" w:cs="Arial"/>
          <w:b/>
          <w:noProof/>
          <w:color w:val="000000"/>
          <w:sz w:val="20"/>
          <w:szCs w:val="20"/>
          <w:lang w:eastAsia="fr-FR"/>
        </w:rPr>
        <w:t>27</w:t>
      </w:r>
      <w:r w:rsidRPr="00A9330B">
        <w:rPr>
          <w:rFonts w:eastAsia="Times New Roman" w:cs="Arial"/>
          <w:b/>
          <w:color w:val="000000"/>
          <w:sz w:val="20"/>
          <w:szCs w:val="20"/>
          <w:lang w:eastAsia="fr-FR"/>
        </w:rPr>
        <w:fldChar w:fldCharType="end"/>
      </w:r>
      <w:r w:rsidRPr="00A9330B">
        <w:rPr>
          <w:rFonts w:eastAsia="Times New Roman" w:cs="Arial"/>
          <w:b/>
          <w:color w:val="000000"/>
          <w:sz w:val="20"/>
          <w:szCs w:val="20"/>
          <w:lang w:eastAsia="fr-FR"/>
        </w:rPr>
        <w:t> : Liste</w:t>
      </w:r>
      <w:r w:rsidR="0064324E" w:rsidRPr="00A9330B">
        <w:rPr>
          <w:rFonts w:eastAsia="Times New Roman" w:cs="Arial"/>
          <w:b/>
          <w:color w:val="000000"/>
          <w:sz w:val="20"/>
          <w:szCs w:val="20"/>
          <w:lang w:eastAsia="fr-FR"/>
        </w:rPr>
        <w:t xml:space="preserve">, </w:t>
      </w:r>
      <w:r w:rsidRPr="00A9330B">
        <w:rPr>
          <w:rFonts w:eastAsia="Times New Roman" w:cs="Arial"/>
          <w:b/>
          <w:color w:val="000000"/>
          <w:sz w:val="20"/>
          <w:szCs w:val="20"/>
          <w:lang w:eastAsia="fr-FR"/>
        </w:rPr>
        <w:t xml:space="preserve">linéaires </w:t>
      </w:r>
      <w:r w:rsidR="0064324E" w:rsidRPr="00A9330B">
        <w:rPr>
          <w:rFonts w:eastAsia="Times New Roman" w:cs="Arial"/>
          <w:b/>
          <w:color w:val="000000"/>
          <w:sz w:val="20"/>
          <w:szCs w:val="20"/>
          <w:lang w:eastAsia="fr-FR"/>
        </w:rPr>
        <w:t xml:space="preserve">et caractéristiques </w:t>
      </w:r>
      <w:r w:rsidRPr="00A9330B">
        <w:rPr>
          <w:rFonts w:eastAsia="Times New Roman" w:cs="Arial"/>
          <w:b/>
          <w:color w:val="000000"/>
          <w:sz w:val="20"/>
          <w:szCs w:val="20"/>
          <w:lang w:eastAsia="fr-FR"/>
        </w:rPr>
        <w:t>des collecteurs retenus pour PAPVS</w:t>
      </w:r>
      <w:bookmarkEnd w:id="874"/>
      <w:r w:rsidR="00C5253D" w:rsidRPr="00A9330B">
        <w:rPr>
          <w:rFonts w:eastAsia="Times New Roman" w:cs="Arial"/>
          <w:b/>
          <w:color w:val="000000"/>
          <w:sz w:val="20"/>
          <w:szCs w:val="20"/>
          <w:lang w:eastAsia="fr-FR"/>
        </w:rPr>
        <w:t xml:space="preserve"> Natitingou</w:t>
      </w:r>
      <w:bookmarkEnd w:id="875"/>
      <w:r w:rsidR="00C5253D" w:rsidRPr="00A9330B">
        <w:rPr>
          <w:rFonts w:eastAsia="Times New Roman" w:cs="Arial"/>
          <w:b/>
          <w:color w:val="000000"/>
          <w:sz w:val="20"/>
          <w:szCs w:val="20"/>
          <w:lang w:eastAsia="fr-FR"/>
        </w:rPr>
        <w:t xml:space="preserve"> </w:t>
      </w:r>
    </w:p>
    <w:tbl>
      <w:tblPr>
        <w:tblW w:w="4698" w:type="pct"/>
        <w:tblInd w:w="557" w:type="dxa"/>
        <w:tblLayout w:type="fixed"/>
        <w:tblLook w:val="04A0" w:firstRow="1" w:lastRow="0" w:firstColumn="1" w:lastColumn="0" w:noHBand="0" w:noVBand="1"/>
      </w:tblPr>
      <w:tblGrid>
        <w:gridCol w:w="2097"/>
        <w:gridCol w:w="1276"/>
        <w:gridCol w:w="1386"/>
        <w:gridCol w:w="1334"/>
        <w:gridCol w:w="2412"/>
      </w:tblGrid>
      <w:tr w:rsidR="006F3566" w:rsidRPr="00A9330B" w14:paraId="6C87F5F9" w14:textId="77777777" w:rsidTr="000F7BA7">
        <w:trPr>
          <w:trHeight w:val="20"/>
          <w:tblHeader/>
        </w:trPr>
        <w:tc>
          <w:tcPr>
            <w:tcW w:w="1233" w:type="pct"/>
            <w:tcBorders>
              <w:top w:val="single" w:sz="8" w:space="0" w:color="auto"/>
              <w:left w:val="single" w:sz="8" w:space="0" w:color="auto"/>
              <w:bottom w:val="single" w:sz="4" w:space="0" w:color="auto"/>
              <w:right w:val="single" w:sz="4" w:space="0" w:color="auto"/>
            </w:tcBorders>
            <w:shd w:val="clear" w:color="auto" w:fill="00B0F0"/>
            <w:noWrap/>
            <w:vAlign w:val="center"/>
            <w:hideMark/>
          </w:tcPr>
          <w:p w14:paraId="4DC5CBB5" w14:textId="77777777" w:rsidR="006F3566" w:rsidRPr="00A9330B" w:rsidRDefault="006F3566" w:rsidP="0064324E">
            <w:pPr>
              <w:spacing w:line="240" w:lineRule="auto"/>
              <w:jc w:val="center"/>
              <w:rPr>
                <w:rFonts w:cs="Arial"/>
                <w:b/>
                <w:bCs/>
                <w:i/>
                <w:iCs/>
                <w:sz w:val="18"/>
                <w:szCs w:val="18"/>
              </w:rPr>
            </w:pPr>
            <w:r w:rsidRPr="00A9330B">
              <w:rPr>
                <w:rFonts w:cs="Arial"/>
                <w:b/>
                <w:bCs/>
                <w:i/>
                <w:iCs/>
                <w:sz w:val="18"/>
                <w:szCs w:val="18"/>
              </w:rPr>
              <w:t>DESIGNATION</w:t>
            </w:r>
          </w:p>
        </w:tc>
        <w:tc>
          <w:tcPr>
            <w:tcW w:w="750" w:type="pct"/>
            <w:tcBorders>
              <w:top w:val="single" w:sz="8" w:space="0" w:color="auto"/>
              <w:left w:val="nil"/>
              <w:bottom w:val="single" w:sz="4" w:space="0" w:color="auto"/>
              <w:right w:val="single" w:sz="4" w:space="0" w:color="auto"/>
            </w:tcBorders>
            <w:shd w:val="clear" w:color="auto" w:fill="00B0F0"/>
            <w:noWrap/>
            <w:vAlign w:val="center"/>
            <w:hideMark/>
          </w:tcPr>
          <w:p w14:paraId="3824B18D" w14:textId="77777777" w:rsidR="006F3566" w:rsidRPr="00A9330B" w:rsidRDefault="006F3566" w:rsidP="006E37A6">
            <w:pPr>
              <w:spacing w:line="240" w:lineRule="auto"/>
              <w:jc w:val="center"/>
              <w:rPr>
                <w:rFonts w:cs="Arial"/>
                <w:b/>
                <w:bCs/>
                <w:i/>
                <w:iCs/>
                <w:sz w:val="18"/>
                <w:szCs w:val="18"/>
              </w:rPr>
            </w:pPr>
            <w:r w:rsidRPr="00A9330B">
              <w:rPr>
                <w:rFonts w:cs="Arial"/>
                <w:b/>
                <w:bCs/>
                <w:i/>
                <w:iCs/>
                <w:sz w:val="18"/>
                <w:szCs w:val="18"/>
              </w:rPr>
              <w:t>EXUTOIRE</w:t>
            </w:r>
          </w:p>
        </w:tc>
        <w:tc>
          <w:tcPr>
            <w:tcW w:w="815" w:type="pct"/>
            <w:tcBorders>
              <w:top w:val="single" w:sz="8" w:space="0" w:color="auto"/>
              <w:left w:val="nil"/>
              <w:bottom w:val="single" w:sz="4" w:space="0" w:color="auto"/>
              <w:right w:val="single" w:sz="4" w:space="0" w:color="auto"/>
            </w:tcBorders>
            <w:shd w:val="clear" w:color="auto" w:fill="00B0F0"/>
            <w:noWrap/>
            <w:vAlign w:val="center"/>
            <w:hideMark/>
          </w:tcPr>
          <w:p w14:paraId="72BC3D0B" w14:textId="77777777" w:rsidR="006F3566" w:rsidRPr="00A9330B" w:rsidRDefault="006F3566" w:rsidP="00E33E4E">
            <w:pPr>
              <w:spacing w:line="240" w:lineRule="auto"/>
              <w:jc w:val="center"/>
              <w:rPr>
                <w:rFonts w:cs="Arial"/>
                <w:b/>
                <w:bCs/>
                <w:i/>
                <w:iCs/>
                <w:sz w:val="18"/>
                <w:szCs w:val="18"/>
              </w:rPr>
            </w:pPr>
            <w:r w:rsidRPr="00A9330B">
              <w:rPr>
                <w:rFonts w:cs="Arial"/>
                <w:b/>
                <w:bCs/>
                <w:i/>
                <w:iCs/>
                <w:sz w:val="18"/>
                <w:szCs w:val="18"/>
              </w:rPr>
              <w:t>Forme</w:t>
            </w:r>
          </w:p>
        </w:tc>
        <w:tc>
          <w:tcPr>
            <w:tcW w:w="784" w:type="pct"/>
            <w:tcBorders>
              <w:top w:val="single" w:sz="8" w:space="0" w:color="auto"/>
              <w:left w:val="nil"/>
              <w:bottom w:val="single" w:sz="4" w:space="0" w:color="auto"/>
              <w:right w:val="single" w:sz="4" w:space="0" w:color="auto"/>
            </w:tcBorders>
            <w:shd w:val="clear" w:color="auto" w:fill="00B0F0"/>
            <w:vAlign w:val="center"/>
            <w:hideMark/>
          </w:tcPr>
          <w:p w14:paraId="3A7ED27F" w14:textId="77777777" w:rsidR="006F3566" w:rsidRPr="00A9330B" w:rsidRDefault="006F3566" w:rsidP="00645DF1">
            <w:pPr>
              <w:spacing w:line="240" w:lineRule="auto"/>
              <w:jc w:val="center"/>
              <w:rPr>
                <w:rFonts w:cs="Arial"/>
                <w:b/>
                <w:bCs/>
                <w:i/>
                <w:iCs/>
                <w:sz w:val="18"/>
                <w:szCs w:val="18"/>
              </w:rPr>
            </w:pPr>
            <w:r w:rsidRPr="00A9330B">
              <w:rPr>
                <w:rFonts w:cs="Arial"/>
                <w:b/>
                <w:bCs/>
                <w:i/>
                <w:iCs/>
                <w:sz w:val="18"/>
                <w:szCs w:val="18"/>
              </w:rPr>
              <w:t>LINEAIRE REEL (ml)</w:t>
            </w:r>
          </w:p>
        </w:tc>
        <w:tc>
          <w:tcPr>
            <w:tcW w:w="1417" w:type="pct"/>
            <w:tcBorders>
              <w:top w:val="single" w:sz="8" w:space="0" w:color="auto"/>
              <w:left w:val="nil"/>
              <w:bottom w:val="single" w:sz="4" w:space="0" w:color="auto"/>
              <w:right w:val="single" w:sz="8" w:space="0" w:color="auto"/>
            </w:tcBorders>
            <w:shd w:val="clear" w:color="auto" w:fill="00B0F0"/>
            <w:vAlign w:val="center"/>
            <w:hideMark/>
          </w:tcPr>
          <w:p w14:paraId="2E5E2396" w14:textId="77777777" w:rsidR="006F3566" w:rsidRPr="00A9330B" w:rsidRDefault="006F3566" w:rsidP="000F7BA7">
            <w:pPr>
              <w:spacing w:line="240" w:lineRule="auto"/>
              <w:jc w:val="center"/>
              <w:rPr>
                <w:rFonts w:cs="Arial"/>
                <w:b/>
                <w:bCs/>
                <w:i/>
                <w:iCs/>
                <w:sz w:val="18"/>
                <w:szCs w:val="18"/>
              </w:rPr>
            </w:pPr>
            <w:r w:rsidRPr="00A9330B">
              <w:rPr>
                <w:rFonts w:cs="Arial"/>
                <w:b/>
                <w:bCs/>
                <w:i/>
                <w:iCs/>
                <w:sz w:val="18"/>
                <w:szCs w:val="18"/>
              </w:rPr>
              <w:t>SECTION (hxBxb)</w:t>
            </w:r>
          </w:p>
        </w:tc>
      </w:tr>
      <w:tr w:rsidR="0064324E" w:rsidRPr="00A9330B" w14:paraId="560A50D9" w14:textId="77777777" w:rsidTr="000F7BA7">
        <w:trPr>
          <w:trHeight w:val="20"/>
        </w:trPr>
        <w:tc>
          <w:tcPr>
            <w:tcW w:w="5000" w:type="pct"/>
            <w:gridSpan w:val="5"/>
            <w:tcBorders>
              <w:top w:val="single" w:sz="4" w:space="0" w:color="auto"/>
              <w:left w:val="single" w:sz="8" w:space="0" w:color="auto"/>
              <w:bottom w:val="single" w:sz="4" w:space="0" w:color="auto"/>
              <w:right w:val="single" w:sz="8" w:space="0" w:color="000000"/>
            </w:tcBorders>
            <w:shd w:val="clear" w:color="auto" w:fill="92D050"/>
            <w:noWrap/>
            <w:vAlign w:val="center"/>
            <w:hideMark/>
          </w:tcPr>
          <w:p w14:paraId="36F45269" w14:textId="77777777" w:rsidR="006F3566" w:rsidRPr="00A9330B" w:rsidRDefault="006F3566" w:rsidP="0064324E">
            <w:pPr>
              <w:spacing w:line="240" w:lineRule="auto"/>
              <w:jc w:val="center"/>
              <w:rPr>
                <w:rFonts w:cs="Arial"/>
                <w:b/>
                <w:bCs/>
                <w:i/>
                <w:iCs/>
                <w:sz w:val="18"/>
                <w:szCs w:val="18"/>
              </w:rPr>
            </w:pPr>
            <w:r w:rsidRPr="00A9330B">
              <w:rPr>
                <w:rFonts w:cs="Arial"/>
                <w:b/>
                <w:bCs/>
                <w:i/>
                <w:iCs/>
                <w:sz w:val="18"/>
                <w:szCs w:val="18"/>
              </w:rPr>
              <w:t>COLLECTEURS PRIMAIRES</w:t>
            </w:r>
          </w:p>
        </w:tc>
      </w:tr>
      <w:tr w:rsidR="0064324E" w:rsidRPr="00A9330B" w14:paraId="1062689A" w14:textId="77777777" w:rsidTr="000F7BA7">
        <w:trPr>
          <w:trHeight w:val="20"/>
        </w:trPr>
        <w:tc>
          <w:tcPr>
            <w:tcW w:w="1233" w:type="pct"/>
            <w:tcBorders>
              <w:top w:val="nil"/>
              <w:left w:val="single" w:sz="8" w:space="0" w:color="auto"/>
              <w:bottom w:val="single" w:sz="4" w:space="0" w:color="auto"/>
              <w:right w:val="single" w:sz="4" w:space="0" w:color="auto"/>
            </w:tcBorders>
            <w:shd w:val="clear" w:color="auto" w:fill="FFFFFF" w:themeFill="background1"/>
            <w:noWrap/>
            <w:vAlign w:val="center"/>
            <w:hideMark/>
          </w:tcPr>
          <w:p w14:paraId="64CC7257" w14:textId="77777777" w:rsidR="006F3566" w:rsidRPr="00A9330B" w:rsidRDefault="006F3566" w:rsidP="000F7BA7">
            <w:pPr>
              <w:spacing w:line="240" w:lineRule="auto"/>
              <w:jc w:val="center"/>
              <w:rPr>
                <w:rFonts w:cs="Arial"/>
                <w:i/>
                <w:iCs/>
                <w:sz w:val="18"/>
                <w:szCs w:val="18"/>
              </w:rPr>
            </w:pPr>
            <w:r w:rsidRPr="00A9330B">
              <w:rPr>
                <w:rFonts w:cs="Arial"/>
                <w:i/>
                <w:iCs/>
                <w:sz w:val="18"/>
                <w:szCs w:val="18"/>
              </w:rPr>
              <w:t>CANAL A (rivière Fourigninkèrè)</w:t>
            </w:r>
          </w:p>
        </w:tc>
        <w:tc>
          <w:tcPr>
            <w:tcW w:w="750" w:type="pct"/>
            <w:tcBorders>
              <w:top w:val="nil"/>
              <w:left w:val="nil"/>
              <w:bottom w:val="single" w:sz="4" w:space="0" w:color="auto"/>
              <w:right w:val="single" w:sz="4" w:space="0" w:color="auto"/>
            </w:tcBorders>
            <w:shd w:val="clear" w:color="auto" w:fill="auto"/>
            <w:noWrap/>
            <w:vAlign w:val="bottom"/>
            <w:hideMark/>
          </w:tcPr>
          <w:p w14:paraId="124B67D3" w14:textId="77777777" w:rsidR="006F3566" w:rsidRPr="00A9330B" w:rsidRDefault="006F3566" w:rsidP="0064324E">
            <w:pPr>
              <w:spacing w:line="240" w:lineRule="auto"/>
              <w:jc w:val="center"/>
              <w:rPr>
                <w:rFonts w:cs="Arial"/>
                <w:i/>
                <w:iCs/>
                <w:sz w:val="18"/>
                <w:szCs w:val="18"/>
              </w:rPr>
            </w:pPr>
            <w:r w:rsidRPr="00A9330B">
              <w:rPr>
                <w:rFonts w:cs="Arial"/>
                <w:i/>
                <w:iCs/>
                <w:sz w:val="18"/>
                <w:szCs w:val="18"/>
              </w:rPr>
              <w:t>exutoire</w:t>
            </w:r>
          </w:p>
        </w:tc>
        <w:tc>
          <w:tcPr>
            <w:tcW w:w="815" w:type="pct"/>
            <w:tcBorders>
              <w:top w:val="nil"/>
              <w:left w:val="nil"/>
              <w:bottom w:val="single" w:sz="4" w:space="0" w:color="auto"/>
              <w:right w:val="single" w:sz="4" w:space="0" w:color="auto"/>
            </w:tcBorders>
            <w:shd w:val="clear" w:color="auto" w:fill="auto"/>
            <w:noWrap/>
            <w:vAlign w:val="bottom"/>
            <w:hideMark/>
          </w:tcPr>
          <w:p w14:paraId="71DAB28F" w14:textId="77777777" w:rsidR="006F3566" w:rsidRPr="00A9330B" w:rsidRDefault="006F3566" w:rsidP="006E37A6">
            <w:pPr>
              <w:spacing w:line="240" w:lineRule="auto"/>
              <w:jc w:val="center"/>
              <w:rPr>
                <w:rFonts w:cs="Arial"/>
                <w:i/>
                <w:iCs/>
                <w:sz w:val="18"/>
                <w:szCs w:val="18"/>
              </w:rPr>
            </w:pPr>
            <w:r w:rsidRPr="00A9330B">
              <w:rPr>
                <w:rFonts w:cs="Arial"/>
                <w:i/>
                <w:iCs/>
                <w:sz w:val="18"/>
                <w:szCs w:val="18"/>
              </w:rPr>
              <w:t>trapèzoïdale</w:t>
            </w:r>
          </w:p>
        </w:tc>
        <w:tc>
          <w:tcPr>
            <w:tcW w:w="784" w:type="pct"/>
            <w:tcBorders>
              <w:top w:val="nil"/>
              <w:left w:val="nil"/>
              <w:bottom w:val="single" w:sz="4" w:space="0" w:color="auto"/>
              <w:right w:val="single" w:sz="4" w:space="0" w:color="auto"/>
            </w:tcBorders>
            <w:shd w:val="clear" w:color="auto" w:fill="auto"/>
            <w:noWrap/>
            <w:vAlign w:val="bottom"/>
            <w:hideMark/>
          </w:tcPr>
          <w:p w14:paraId="6E011EE5" w14:textId="77777777" w:rsidR="006F3566" w:rsidRPr="00A9330B" w:rsidRDefault="006F3566" w:rsidP="00E33E4E">
            <w:pPr>
              <w:spacing w:line="240" w:lineRule="auto"/>
              <w:jc w:val="right"/>
              <w:rPr>
                <w:rFonts w:cs="Arial"/>
                <w:i/>
                <w:iCs/>
                <w:sz w:val="18"/>
                <w:szCs w:val="18"/>
              </w:rPr>
            </w:pPr>
            <w:r w:rsidRPr="00A9330B">
              <w:rPr>
                <w:rFonts w:cs="Arial"/>
                <w:i/>
                <w:iCs/>
                <w:sz w:val="18"/>
                <w:szCs w:val="18"/>
              </w:rPr>
              <w:t>8650.15</w:t>
            </w:r>
          </w:p>
        </w:tc>
        <w:tc>
          <w:tcPr>
            <w:tcW w:w="1417" w:type="pct"/>
            <w:tcBorders>
              <w:top w:val="nil"/>
              <w:left w:val="nil"/>
              <w:bottom w:val="single" w:sz="4" w:space="0" w:color="auto"/>
              <w:right w:val="single" w:sz="8" w:space="0" w:color="auto"/>
            </w:tcBorders>
            <w:shd w:val="clear" w:color="auto" w:fill="auto"/>
            <w:vAlign w:val="bottom"/>
            <w:hideMark/>
          </w:tcPr>
          <w:p w14:paraId="3C0B1647" w14:textId="77777777" w:rsidR="006F3566" w:rsidRPr="00A9330B" w:rsidRDefault="006F3566" w:rsidP="00645DF1">
            <w:pPr>
              <w:spacing w:line="240" w:lineRule="auto"/>
              <w:rPr>
                <w:rFonts w:cs="Arial"/>
                <w:i/>
                <w:iCs/>
                <w:sz w:val="18"/>
                <w:szCs w:val="18"/>
              </w:rPr>
            </w:pPr>
            <w:r w:rsidRPr="00A9330B">
              <w:rPr>
                <w:rFonts w:cs="Arial"/>
                <w:i/>
                <w:iCs/>
                <w:sz w:val="18"/>
                <w:szCs w:val="18"/>
              </w:rPr>
              <w:t>0- 0+725  : 1,6x6,6x5</w:t>
            </w:r>
            <w:r w:rsidRPr="00A9330B">
              <w:rPr>
                <w:rFonts w:cs="Arial"/>
                <w:i/>
                <w:iCs/>
                <w:sz w:val="18"/>
                <w:szCs w:val="18"/>
              </w:rPr>
              <w:br/>
              <w:t>0+725 - 2+400 : 1,8x9,8x8</w:t>
            </w:r>
            <w:r w:rsidRPr="00A9330B">
              <w:rPr>
                <w:rFonts w:cs="Arial"/>
                <w:i/>
                <w:iCs/>
                <w:sz w:val="18"/>
                <w:szCs w:val="18"/>
              </w:rPr>
              <w:br/>
              <w:t>2+400 - 3+800 : 2x10x8</w:t>
            </w:r>
            <w:r w:rsidRPr="00A9330B">
              <w:rPr>
                <w:rFonts w:cs="Arial"/>
                <w:i/>
                <w:iCs/>
                <w:sz w:val="18"/>
                <w:szCs w:val="18"/>
              </w:rPr>
              <w:br/>
              <w:t xml:space="preserve">3+800 - 5+300 : 2x11x9 </w:t>
            </w:r>
            <w:r w:rsidRPr="00A9330B">
              <w:rPr>
                <w:rFonts w:cs="Arial"/>
                <w:i/>
                <w:iCs/>
                <w:sz w:val="18"/>
                <w:szCs w:val="18"/>
              </w:rPr>
              <w:br/>
              <w:t xml:space="preserve">5+300 - 6+900 : 2x12x10 </w:t>
            </w:r>
            <w:r w:rsidRPr="00A9330B">
              <w:rPr>
                <w:rFonts w:cs="Arial"/>
                <w:i/>
                <w:iCs/>
                <w:sz w:val="18"/>
                <w:szCs w:val="18"/>
              </w:rPr>
              <w:br/>
              <w:t>6+900 - Pk final : 2,5x12,5x10</w:t>
            </w:r>
          </w:p>
        </w:tc>
      </w:tr>
      <w:tr w:rsidR="0064324E" w:rsidRPr="00A9330B" w14:paraId="7E7813D5" w14:textId="77777777" w:rsidTr="000F7BA7">
        <w:trPr>
          <w:trHeight w:val="20"/>
        </w:trPr>
        <w:tc>
          <w:tcPr>
            <w:tcW w:w="1233" w:type="pct"/>
            <w:tcBorders>
              <w:top w:val="nil"/>
              <w:left w:val="single" w:sz="8" w:space="0" w:color="auto"/>
              <w:bottom w:val="single" w:sz="4" w:space="0" w:color="auto"/>
              <w:right w:val="single" w:sz="4" w:space="0" w:color="auto"/>
            </w:tcBorders>
            <w:shd w:val="clear" w:color="auto" w:fill="FFFFFF" w:themeFill="background1"/>
            <w:noWrap/>
            <w:vAlign w:val="bottom"/>
            <w:hideMark/>
          </w:tcPr>
          <w:p w14:paraId="2A53A860" w14:textId="22ABFA13" w:rsidR="006F3566" w:rsidRPr="00A9330B" w:rsidRDefault="006F3566" w:rsidP="0064324E">
            <w:pPr>
              <w:spacing w:line="240" w:lineRule="auto"/>
              <w:rPr>
                <w:rFonts w:cs="Arial"/>
                <w:i/>
                <w:iCs/>
                <w:sz w:val="18"/>
                <w:szCs w:val="18"/>
              </w:rPr>
            </w:pPr>
            <w:r w:rsidRPr="00A9330B">
              <w:rPr>
                <w:rFonts w:cs="Arial"/>
                <w:i/>
                <w:iCs/>
                <w:sz w:val="18"/>
                <w:szCs w:val="18"/>
              </w:rPr>
              <w:t>CANAL B (rivière wa</w:t>
            </w:r>
            <w:r w:rsidR="0064324E" w:rsidRPr="00A9330B">
              <w:rPr>
                <w:rFonts w:cs="Arial"/>
                <w:i/>
                <w:iCs/>
                <w:sz w:val="18"/>
                <w:szCs w:val="18"/>
              </w:rPr>
              <w:t>a</w:t>
            </w:r>
            <w:r w:rsidRPr="00A9330B">
              <w:rPr>
                <w:rFonts w:cs="Arial"/>
                <w:i/>
                <w:iCs/>
                <w:sz w:val="18"/>
                <w:szCs w:val="18"/>
              </w:rPr>
              <w:t>data)</w:t>
            </w:r>
          </w:p>
        </w:tc>
        <w:tc>
          <w:tcPr>
            <w:tcW w:w="750" w:type="pct"/>
            <w:tcBorders>
              <w:top w:val="nil"/>
              <w:left w:val="nil"/>
              <w:bottom w:val="single" w:sz="4" w:space="0" w:color="auto"/>
              <w:right w:val="single" w:sz="4" w:space="0" w:color="auto"/>
            </w:tcBorders>
            <w:shd w:val="clear" w:color="auto" w:fill="auto"/>
            <w:noWrap/>
            <w:vAlign w:val="bottom"/>
            <w:hideMark/>
          </w:tcPr>
          <w:p w14:paraId="666F28D7" w14:textId="77777777" w:rsidR="006F3566" w:rsidRPr="00A9330B" w:rsidRDefault="006F3566" w:rsidP="006E37A6">
            <w:pPr>
              <w:spacing w:line="240" w:lineRule="auto"/>
              <w:jc w:val="center"/>
              <w:rPr>
                <w:rFonts w:cs="Arial"/>
                <w:i/>
                <w:iCs/>
                <w:sz w:val="18"/>
                <w:szCs w:val="18"/>
              </w:rPr>
            </w:pPr>
            <w:r w:rsidRPr="00A9330B">
              <w:rPr>
                <w:rFonts w:cs="Arial"/>
                <w:i/>
                <w:iCs/>
                <w:sz w:val="18"/>
                <w:szCs w:val="18"/>
              </w:rPr>
              <w:t>exutoire</w:t>
            </w:r>
          </w:p>
        </w:tc>
        <w:tc>
          <w:tcPr>
            <w:tcW w:w="815" w:type="pct"/>
            <w:tcBorders>
              <w:top w:val="nil"/>
              <w:left w:val="nil"/>
              <w:bottom w:val="single" w:sz="4" w:space="0" w:color="auto"/>
              <w:right w:val="single" w:sz="4" w:space="0" w:color="auto"/>
            </w:tcBorders>
            <w:shd w:val="clear" w:color="auto" w:fill="auto"/>
            <w:noWrap/>
            <w:vAlign w:val="bottom"/>
            <w:hideMark/>
          </w:tcPr>
          <w:p w14:paraId="517EA243" w14:textId="77777777" w:rsidR="006F3566" w:rsidRPr="00A9330B" w:rsidRDefault="006F3566" w:rsidP="00E33E4E">
            <w:pPr>
              <w:spacing w:line="240" w:lineRule="auto"/>
              <w:jc w:val="center"/>
              <w:rPr>
                <w:rFonts w:cs="Arial"/>
                <w:i/>
                <w:iCs/>
                <w:sz w:val="18"/>
                <w:szCs w:val="18"/>
              </w:rPr>
            </w:pPr>
            <w:r w:rsidRPr="00A9330B">
              <w:rPr>
                <w:rFonts w:cs="Arial"/>
                <w:i/>
                <w:iCs/>
                <w:sz w:val="18"/>
                <w:szCs w:val="18"/>
              </w:rPr>
              <w:t>trapèzoïdale</w:t>
            </w:r>
          </w:p>
        </w:tc>
        <w:tc>
          <w:tcPr>
            <w:tcW w:w="784" w:type="pct"/>
            <w:tcBorders>
              <w:top w:val="nil"/>
              <w:left w:val="nil"/>
              <w:bottom w:val="single" w:sz="4" w:space="0" w:color="auto"/>
              <w:right w:val="single" w:sz="4" w:space="0" w:color="auto"/>
            </w:tcBorders>
            <w:shd w:val="clear" w:color="auto" w:fill="auto"/>
            <w:noWrap/>
            <w:vAlign w:val="bottom"/>
            <w:hideMark/>
          </w:tcPr>
          <w:p w14:paraId="0223BC3C" w14:textId="77777777" w:rsidR="006F3566" w:rsidRPr="00A9330B" w:rsidRDefault="006F3566" w:rsidP="00645DF1">
            <w:pPr>
              <w:spacing w:line="240" w:lineRule="auto"/>
              <w:jc w:val="right"/>
              <w:rPr>
                <w:rFonts w:cs="Arial"/>
                <w:i/>
                <w:iCs/>
                <w:sz w:val="18"/>
                <w:szCs w:val="18"/>
              </w:rPr>
            </w:pPr>
            <w:r w:rsidRPr="00A9330B">
              <w:rPr>
                <w:rFonts w:cs="Arial"/>
                <w:i/>
                <w:iCs/>
                <w:sz w:val="18"/>
                <w:szCs w:val="18"/>
              </w:rPr>
              <w:t>5690.88</w:t>
            </w:r>
          </w:p>
        </w:tc>
        <w:tc>
          <w:tcPr>
            <w:tcW w:w="1417" w:type="pct"/>
            <w:tcBorders>
              <w:top w:val="nil"/>
              <w:left w:val="nil"/>
              <w:bottom w:val="single" w:sz="4" w:space="0" w:color="auto"/>
              <w:right w:val="single" w:sz="8" w:space="0" w:color="auto"/>
            </w:tcBorders>
            <w:shd w:val="clear" w:color="auto" w:fill="auto"/>
            <w:noWrap/>
            <w:vAlign w:val="bottom"/>
            <w:hideMark/>
          </w:tcPr>
          <w:p w14:paraId="2FF8FFBF" w14:textId="77777777" w:rsidR="006F3566" w:rsidRPr="00A9330B" w:rsidRDefault="006F3566" w:rsidP="000F7BA7">
            <w:pPr>
              <w:spacing w:line="240" w:lineRule="auto"/>
              <w:rPr>
                <w:rFonts w:cs="Arial"/>
                <w:i/>
                <w:iCs/>
                <w:sz w:val="18"/>
                <w:szCs w:val="18"/>
              </w:rPr>
            </w:pPr>
            <w:r w:rsidRPr="00A9330B">
              <w:rPr>
                <w:rFonts w:cs="Arial"/>
                <w:i/>
                <w:iCs/>
                <w:sz w:val="18"/>
                <w:szCs w:val="18"/>
              </w:rPr>
              <w:t>2x11x9</w:t>
            </w:r>
          </w:p>
        </w:tc>
      </w:tr>
      <w:tr w:rsidR="0064324E" w:rsidRPr="00A9330B" w14:paraId="446B0EDD" w14:textId="77777777" w:rsidTr="000F7BA7">
        <w:trPr>
          <w:trHeight w:val="20"/>
        </w:trPr>
        <w:tc>
          <w:tcPr>
            <w:tcW w:w="2798" w:type="pct"/>
            <w:gridSpan w:val="3"/>
            <w:tcBorders>
              <w:top w:val="single" w:sz="4" w:space="0" w:color="auto"/>
              <w:left w:val="single" w:sz="8" w:space="0" w:color="auto"/>
              <w:bottom w:val="single" w:sz="4" w:space="0" w:color="auto"/>
              <w:right w:val="single" w:sz="4" w:space="0" w:color="auto"/>
            </w:tcBorders>
            <w:shd w:val="clear" w:color="auto" w:fill="FFFFFF" w:themeFill="background1"/>
            <w:noWrap/>
            <w:vAlign w:val="bottom"/>
            <w:hideMark/>
          </w:tcPr>
          <w:p w14:paraId="5F9DD43A" w14:textId="77777777" w:rsidR="006F3566" w:rsidRPr="00A9330B" w:rsidRDefault="006F3566" w:rsidP="0064324E">
            <w:pPr>
              <w:spacing w:line="240" w:lineRule="auto"/>
              <w:rPr>
                <w:rFonts w:cs="Arial"/>
                <w:b/>
                <w:i/>
                <w:iCs/>
                <w:sz w:val="18"/>
                <w:szCs w:val="18"/>
              </w:rPr>
            </w:pPr>
            <w:r w:rsidRPr="00A9330B">
              <w:rPr>
                <w:rFonts w:cs="Arial"/>
                <w:b/>
                <w:i/>
                <w:iCs/>
                <w:sz w:val="18"/>
                <w:szCs w:val="18"/>
              </w:rPr>
              <w:t>TOTAL COLLECTEURS PRIMAIRES</w:t>
            </w:r>
          </w:p>
        </w:tc>
        <w:tc>
          <w:tcPr>
            <w:tcW w:w="784" w:type="pct"/>
            <w:tcBorders>
              <w:top w:val="nil"/>
              <w:left w:val="nil"/>
              <w:bottom w:val="single" w:sz="4" w:space="0" w:color="auto"/>
              <w:right w:val="single" w:sz="4" w:space="0" w:color="auto"/>
            </w:tcBorders>
            <w:shd w:val="clear" w:color="auto" w:fill="auto"/>
            <w:noWrap/>
            <w:vAlign w:val="bottom"/>
            <w:hideMark/>
          </w:tcPr>
          <w:p w14:paraId="44E3AD08" w14:textId="77777777" w:rsidR="006F3566" w:rsidRPr="00A9330B" w:rsidRDefault="006F3566" w:rsidP="006E37A6">
            <w:pPr>
              <w:spacing w:line="240" w:lineRule="auto"/>
              <w:jc w:val="right"/>
              <w:rPr>
                <w:rFonts w:cs="Arial"/>
                <w:b/>
                <w:i/>
                <w:iCs/>
                <w:sz w:val="18"/>
                <w:szCs w:val="18"/>
              </w:rPr>
            </w:pPr>
            <w:r w:rsidRPr="00A9330B">
              <w:rPr>
                <w:rFonts w:cs="Arial"/>
                <w:b/>
                <w:i/>
                <w:iCs/>
                <w:sz w:val="18"/>
                <w:szCs w:val="18"/>
              </w:rPr>
              <w:t>14341.03</w:t>
            </w:r>
          </w:p>
        </w:tc>
        <w:tc>
          <w:tcPr>
            <w:tcW w:w="1417" w:type="pct"/>
            <w:tcBorders>
              <w:top w:val="nil"/>
              <w:left w:val="nil"/>
              <w:bottom w:val="single" w:sz="4" w:space="0" w:color="auto"/>
              <w:right w:val="single" w:sz="8" w:space="0" w:color="auto"/>
            </w:tcBorders>
            <w:shd w:val="clear" w:color="auto" w:fill="auto"/>
            <w:noWrap/>
            <w:vAlign w:val="bottom"/>
            <w:hideMark/>
          </w:tcPr>
          <w:p w14:paraId="6D71DE53" w14:textId="77777777" w:rsidR="006F3566" w:rsidRPr="00A9330B" w:rsidRDefault="006F3566" w:rsidP="00E33E4E">
            <w:pPr>
              <w:spacing w:line="240" w:lineRule="auto"/>
              <w:rPr>
                <w:rFonts w:cs="Arial"/>
                <w:i/>
                <w:iCs/>
                <w:sz w:val="18"/>
                <w:szCs w:val="18"/>
              </w:rPr>
            </w:pPr>
            <w:r w:rsidRPr="00A9330B">
              <w:rPr>
                <w:rFonts w:cs="Arial"/>
                <w:i/>
                <w:iCs/>
                <w:sz w:val="18"/>
                <w:szCs w:val="18"/>
              </w:rPr>
              <w:t> </w:t>
            </w:r>
          </w:p>
        </w:tc>
      </w:tr>
      <w:tr w:rsidR="0064324E" w:rsidRPr="00A9330B" w14:paraId="7ED0CC20" w14:textId="77777777" w:rsidTr="000F7BA7">
        <w:trPr>
          <w:trHeight w:val="20"/>
        </w:trPr>
        <w:tc>
          <w:tcPr>
            <w:tcW w:w="5000" w:type="pct"/>
            <w:gridSpan w:val="5"/>
            <w:tcBorders>
              <w:top w:val="single" w:sz="4" w:space="0" w:color="auto"/>
              <w:left w:val="single" w:sz="8" w:space="0" w:color="auto"/>
              <w:bottom w:val="single" w:sz="4" w:space="0" w:color="auto"/>
              <w:right w:val="single" w:sz="8" w:space="0" w:color="000000"/>
            </w:tcBorders>
            <w:shd w:val="clear" w:color="auto" w:fill="92D050"/>
            <w:noWrap/>
            <w:vAlign w:val="bottom"/>
            <w:hideMark/>
          </w:tcPr>
          <w:p w14:paraId="5A25FFBD" w14:textId="77777777" w:rsidR="006F3566" w:rsidRPr="00A9330B" w:rsidRDefault="006F3566" w:rsidP="0064324E">
            <w:pPr>
              <w:spacing w:line="240" w:lineRule="auto"/>
              <w:jc w:val="center"/>
              <w:rPr>
                <w:rFonts w:cs="Arial"/>
                <w:b/>
                <w:bCs/>
                <w:i/>
                <w:iCs/>
                <w:sz w:val="18"/>
                <w:szCs w:val="18"/>
              </w:rPr>
            </w:pPr>
            <w:r w:rsidRPr="00A9330B">
              <w:rPr>
                <w:rFonts w:cs="Arial"/>
                <w:b/>
                <w:bCs/>
                <w:i/>
                <w:iCs/>
                <w:sz w:val="18"/>
                <w:szCs w:val="18"/>
              </w:rPr>
              <w:t>COLLECTEURS SECONDAIRES</w:t>
            </w:r>
          </w:p>
        </w:tc>
      </w:tr>
      <w:tr w:rsidR="0064324E" w:rsidRPr="00A9330B" w14:paraId="684A5C29" w14:textId="77777777" w:rsidTr="000F7BA7">
        <w:trPr>
          <w:trHeight w:val="20"/>
        </w:trPr>
        <w:tc>
          <w:tcPr>
            <w:tcW w:w="1233" w:type="pct"/>
            <w:tcBorders>
              <w:top w:val="nil"/>
              <w:left w:val="single" w:sz="8" w:space="0" w:color="auto"/>
              <w:bottom w:val="single" w:sz="4" w:space="0" w:color="auto"/>
              <w:right w:val="single" w:sz="4" w:space="0" w:color="auto"/>
            </w:tcBorders>
            <w:shd w:val="clear" w:color="auto" w:fill="FFFFFF" w:themeFill="background1"/>
            <w:noWrap/>
            <w:vAlign w:val="bottom"/>
            <w:hideMark/>
          </w:tcPr>
          <w:p w14:paraId="2B33D8FE" w14:textId="77777777" w:rsidR="006F3566" w:rsidRPr="00A9330B" w:rsidRDefault="006F3566" w:rsidP="0064324E">
            <w:pPr>
              <w:spacing w:line="240" w:lineRule="auto"/>
              <w:rPr>
                <w:rFonts w:cs="Arial"/>
                <w:i/>
                <w:iCs/>
                <w:sz w:val="18"/>
                <w:szCs w:val="18"/>
              </w:rPr>
            </w:pPr>
            <w:r w:rsidRPr="00A9330B">
              <w:rPr>
                <w:rFonts w:cs="Arial"/>
                <w:i/>
                <w:iCs/>
                <w:sz w:val="18"/>
                <w:szCs w:val="18"/>
              </w:rPr>
              <w:t>COL_A2</w:t>
            </w:r>
          </w:p>
        </w:tc>
        <w:tc>
          <w:tcPr>
            <w:tcW w:w="750" w:type="pct"/>
            <w:tcBorders>
              <w:top w:val="nil"/>
              <w:left w:val="nil"/>
              <w:bottom w:val="single" w:sz="4" w:space="0" w:color="auto"/>
              <w:right w:val="single" w:sz="4" w:space="0" w:color="auto"/>
            </w:tcBorders>
            <w:shd w:val="clear" w:color="auto" w:fill="auto"/>
            <w:noWrap/>
            <w:vAlign w:val="bottom"/>
            <w:hideMark/>
          </w:tcPr>
          <w:p w14:paraId="7F185B5E" w14:textId="77777777" w:rsidR="006F3566" w:rsidRPr="00A9330B" w:rsidRDefault="006F3566" w:rsidP="006E37A6">
            <w:pPr>
              <w:spacing w:line="240" w:lineRule="auto"/>
              <w:jc w:val="center"/>
              <w:rPr>
                <w:rFonts w:cs="Arial"/>
                <w:i/>
                <w:iCs/>
                <w:sz w:val="18"/>
                <w:szCs w:val="18"/>
              </w:rPr>
            </w:pPr>
            <w:r w:rsidRPr="00A9330B">
              <w:rPr>
                <w:rFonts w:cs="Arial"/>
                <w:i/>
                <w:iCs/>
                <w:sz w:val="18"/>
                <w:szCs w:val="18"/>
              </w:rPr>
              <w:t>Canal A</w:t>
            </w:r>
          </w:p>
        </w:tc>
        <w:tc>
          <w:tcPr>
            <w:tcW w:w="815" w:type="pct"/>
            <w:tcBorders>
              <w:top w:val="nil"/>
              <w:left w:val="nil"/>
              <w:bottom w:val="single" w:sz="4" w:space="0" w:color="auto"/>
              <w:right w:val="single" w:sz="4" w:space="0" w:color="auto"/>
            </w:tcBorders>
            <w:shd w:val="clear" w:color="auto" w:fill="auto"/>
            <w:noWrap/>
            <w:vAlign w:val="bottom"/>
            <w:hideMark/>
          </w:tcPr>
          <w:p w14:paraId="64760FD8" w14:textId="77777777" w:rsidR="006F3566" w:rsidRPr="00A9330B" w:rsidRDefault="006F3566" w:rsidP="00E33E4E">
            <w:pPr>
              <w:spacing w:line="240" w:lineRule="auto"/>
              <w:rPr>
                <w:rFonts w:cs="Arial"/>
                <w:i/>
                <w:iCs/>
                <w:sz w:val="18"/>
                <w:szCs w:val="18"/>
              </w:rPr>
            </w:pPr>
            <w:r w:rsidRPr="00A9330B">
              <w:rPr>
                <w:rFonts w:cs="Arial"/>
                <w:i/>
                <w:iCs/>
                <w:sz w:val="18"/>
                <w:szCs w:val="18"/>
              </w:rPr>
              <w:t>trapèzoïdale</w:t>
            </w:r>
          </w:p>
        </w:tc>
        <w:tc>
          <w:tcPr>
            <w:tcW w:w="784" w:type="pct"/>
            <w:tcBorders>
              <w:top w:val="nil"/>
              <w:left w:val="nil"/>
              <w:bottom w:val="single" w:sz="4" w:space="0" w:color="auto"/>
              <w:right w:val="single" w:sz="4" w:space="0" w:color="auto"/>
            </w:tcBorders>
            <w:shd w:val="clear" w:color="auto" w:fill="auto"/>
            <w:noWrap/>
            <w:vAlign w:val="center"/>
            <w:hideMark/>
          </w:tcPr>
          <w:p w14:paraId="204AC47C" w14:textId="77777777" w:rsidR="006F3566" w:rsidRPr="00A9330B" w:rsidRDefault="006F3566" w:rsidP="00645DF1">
            <w:pPr>
              <w:spacing w:line="240" w:lineRule="auto"/>
              <w:jc w:val="right"/>
              <w:rPr>
                <w:rFonts w:cs="Arial"/>
                <w:i/>
                <w:iCs/>
                <w:sz w:val="18"/>
                <w:szCs w:val="18"/>
              </w:rPr>
            </w:pPr>
            <w:r w:rsidRPr="00A9330B">
              <w:rPr>
                <w:rFonts w:cs="Arial"/>
                <w:i/>
                <w:iCs/>
                <w:sz w:val="18"/>
                <w:szCs w:val="18"/>
              </w:rPr>
              <w:t>91.57</w:t>
            </w:r>
          </w:p>
        </w:tc>
        <w:tc>
          <w:tcPr>
            <w:tcW w:w="1417" w:type="pct"/>
            <w:tcBorders>
              <w:top w:val="nil"/>
              <w:left w:val="nil"/>
              <w:bottom w:val="single" w:sz="4" w:space="0" w:color="auto"/>
              <w:right w:val="single" w:sz="8" w:space="0" w:color="auto"/>
            </w:tcBorders>
            <w:shd w:val="clear" w:color="auto" w:fill="auto"/>
            <w:noWrap/>
            <w:vAlign w:val="bottom"/>
            <w:hideMark/>
          </w:tcPr>
          <w:p w14:paraId="6F609BEA" w14:textId="77777777" w:rsidR="006F3566" w:rsidRPr="00A9330B" w:rsidRDefault="006F3566" w:rsidP="000F7BA7">
            <w:pPr>
              <w:spacing w:line="240" w:lineRule="auto"/>
              <w:jc w:val="center"/>
              <w:rPr>
                <w:rFonts w:cs="Arial"/>
                <w:i/>
                <w:iCs/>
                <w:sz w:val="18"/>
                <w:szCs w:val="18"/>
              </w:rPr>
            </w:pPr>
            <w:r w:rsidRPr="00A9330B">
              <w:rPr>
                <w:rFonts w:cs="Arial"/>
                <w:i/>
                <w:iCs/>
                <w:sz w:val="18"/>
                <w:szCs w:val="18"/>
              </w:rPr>
              <w:t>1x3x2</w:t>
            </w:r>
          </w:p>
        </w:tc>
      </w:tr>
      <w:tr w:rsidR="0064324E" w:rsidRPr="00A9330B" w14:paraId="1F560817" w14:textId="77777777" w:rsidTr="000F7BA7">
        <w:trPr>
          <w:trHeight w:val="20"/>
        </w:trPr>
        <w:tc>
          <w:tcPr>
            <w:tcW w:w="1233" w:type="pct"/>
            <w:tcBorders>
              <w:top w:val="nil"/>
              <w:left w:val="single" w:sz="8" w:space="0" w:color="auto"/>
              <w:bottom w:val="single" w:sz="4" w:space="0" w:color="auto"/>
              <w:right w:val="single" w:sz="4" w:space="0" w:color="auto"/>
            </w:tcBorders>
            <w:shd w:val="clear" w:color="auto" w:fill="FFFFFF" w:themeFill="background1"/>
            <w:noWrap/>
            <w:vAlign w:val="bottom"/>
            <w:hideMark/>
          </w:tcPr>
          <w:p w14:paraId="07BE905A" w14:textId="77777777" w:rsidR="006F3566" w:rsidRPr="00A9330B" w:rsidRDefault="006F3566" w:rsidP="0064324E">
            <w:pPr>
              <w:spacing w:line="240" w:lineRule="auto"/>
              <w:rPr>
                <w:rFonts w:cs="Arial"/>
                <w:i/>
                <w:iCs/>
                <w:sz w:val="18"/>
                <w:szCs w:val="18"/>
              </w:rPr>
            </w:pPr>
            <w:r w:rsidRPr="00A9330B">
              <w:rPr>
                <w:rFonts w:cs="Arial"/>
                <w:i/>
                <w:iCs/>
                <w:sz w:val="18"/>
                <w:szCs w:val="18"/>
              </w:rPr>
              <w:t>COL_A3</w:t>
            </w:r>
          </w:p>
        </w:tc>
        <w:tc>
          <w:tcPr>
            <w:tcW w:w="750" w:type="pct"/>
            <w:tcBorders>
              <w:top w:val="nil"/>
              <w:left w:val="nil"/>
              <w:bottom w:val="single" w:sz="4" w:space="0" w:color="auto"/>
              <w:right w:val="single" w:sz="4" w:space="0" w:color="auto"/>
            </w:tcBorders>
            <w:shd w:val="clear" w:color="auto" w:fill="auto"/>
            <w:noWrap/>
            <w:vAlign w:val="bottom"/>
            <w:hideMark/>
          </w:tcPr>
          <w:p w14:paraId="34B47F0C" w14:textId="77777777" w:rsidR="006F3566" w:rsidRPr="00A9330B" w:rsidRDefault="006F3566" w:rsidP="006E37A6">
            <w:pPr>
              <w:spacing w:line="240" w:lineRule="auto"/>
              <w:jc w:val="center"/>
              <w:rPr>
                <w:rFonts w:cs="Arial"/>
                <w:i/>
                <w:iCs/>
                <w:sz w:val="18"/>
                <w:szCs w:val="18"/>
              </w:rPr>
            </w:pPr>
            <w:r w:rsidRPr="00A9330B">
              <w:rPr>
                <w:rFonts w:cs="Arial"/>
                <w:i/>
                <w:iCs/>
                <w:sz w:val="18"/>
                <w:szCs w:val="18"/>
              </w:rPr>
              <w:t>Canal A</w:t>
            </w:r>
          </w:p>
        </w:tc>
        <w:tc>
          <w:tcPr>
            <w:tcW w:w="815" w:type="pct"/>
            <w:tcBorders>
              <w:top w:val="nil"/>
              <w:left w:val="nil"/>
              <w:bottom w:val="single" w:sz="4" w:space="0" w:color="auto"/>
              <w:right w:val="single" w:sz="4" w:space="0" w:color="auto"/>
            </w:tcBorders>
            <w:shd w:val="clear" w:color="auto" w:fill="auto"/>
            <w:noWrap/>
            <w:vAlign w:val="bottom"/>
            <w:hideMark/>
          </w:tcPr>
          <w:p w14:paraId="0B7ACB9A" w14:textId="77777777" w:rsidR="006F3566" w:rsidRPr="00A9330B" w:rsidRDefault="006F3566" w:rsidP="00E33E4E">
            <w:pPr>
              <w:spacing w:line="240" w:lineRule="auto"/>
              <w:rPr>
                <w:rFonts w:cs="Arial"/>
                <w:i/>
                <w:iCs/>
                <w:sz w:val="18"/>
                <w:szCs w:val="18"/>
              </w:rPr>
            </w:pPr>
            <w:r w:rsidRPr="00A9330B">
              <w:rPr>
                <w:rFonts w:cs="Arial"/>
                <w:i/>
                <w:iCs/>
                <w:sz w:val="18"/>
                <w:szCs w:val="18"/>
              </w:rPr>
              <w:t>trapèzoïdale</w:t>
            </w:r>
          </w:p>
        </w:tc>
        <w:tc>
          <w:tcPr>
            <w:tcW w:w="784" w:type="pct"/>
            <w:tcBorders>
              <w:top w:val="nil"/>
              <w:left w:val="nil"/>
              <w:bottom w:val="single" w:sz="4" w:space="0" w:color="auto"/>
              <w:right w:val="single" w:sz="4" w:space="0" w:color="auto"/>
            </w:tcBorders>
            <w:shd w:val="clear" w:color="auto" w:fill="auto"/>
            <w:noWrap/>
            <w:vAlign w:val="center"/>
            <w:hideMark/>
          </w:tcPr>
          <w:p w14:paraId="00E17711" w14:textId="77777777" w:rsidR="006F3566" w:rsidRPr="00A9330B" w:rsidRDefault="006F3566" w:rsidP="00645DF1">
            <w:pPr>
              <w:spacing w:line="240" w:lineRule="auto"/>
              <w:jc w:val="right"/>
              <w:rPr>
                <w:rFonts w:cs="Arial"/>
                <w:i/>
                <w:iCs/>
                <w:sz w:val="18"/>
                <w:szCs w:val="18"/>
              </w:rPr>
            </w:pPr>
            <w:r w:rsidRPr="00A9330B">
              <w:rPr>
                <w:rFonts w:cs="Arial"/>
                <w:i/>
                <w:iCs/>
                <w:sz w:val="18"/>
                <w:szCs w:val="18"/>
              </w:rPr>
              <w:t>173.354</w:t>
            </w:r>
          </w:p>
        </w:tc>
        <w:tc>
          <w:tcPr>
            <w:tcW w:w="1417" w:type="pct"/>
            <w:tcBorders>
              <w:top w:val="nil"/>
              <w:left w:val="nil"/>
              <w:bottom w:val="single" w:sz="4" w:space="0" w:color="auto"/>
              <w:right w:val="single" w:sz="8" w:space="0" w:color="auto"/>
            </w:tcBorders>
            <w:shd w:val="clear" w:color="auto" w:fill="auto"/>
            <w:noWrap/>
            <w:vAlign w:val="bottom"/>
            <w:hideMark/>
          </w:tcPr>
          <w:p w14:paraId="64A1696B" w14:textId="77777777" w:rsidR="006F3566" w:rsidRPr="00A9330B" w:rsidRDefault="006F3566" w:rsidP="000F7BA7">
            <w:pPr>
              <w:spacing w:line="240" w:lineRule="auto"/>
              <w:jc w:val="center"/>
              <w:rPr>
                <w:rFonts w:cs="Arial"/>
                <w:i/>
                <w:iCs/>
                <w:sz w:val="18"/>
                <w:szCs w:val="18"/>
              </w:rPr>
            </w:pPr>
            <w:r w:rsidRPr="00A9330B">
              <w:rPr>
                <w:rFonts w:cs="Arial"/>
                <w:i/>
                <w:iCs/>
                <w:sz w:val="18"/>
                <w:szCs w:val="18"/>
              </w:rPr>
              <w:t>1x3x2</w:t>
            </w:r>
          </w:p>
        </w:tc>
      </w:tr>
      <w:tr w:rsidR="0064324E" w:rsidRPr="00A9330B" w14:paraId="341E3A42" w14:textId="77777777" w:rsidTr="000F7BA7">
        <w:trPr>
          <w:trHeight w:val="20"/>
        </w:trPr>
        <w:tc>
          <w:tcPr>
            <w:tcW w:w="1233" w:type="pct"/>
            <w:tcBorders>
              <w:top w:val="nil"/>
              <w:left w:val="single" w:sz="8" w:space="0" w:color="auto"/>
              <w:bottom w:val="single" w:sz="4" w:space="0" w:color="auto"/>
              <w:right w:val="single" w:sz="4" w:space="0" w:color="auto"/>
            </w:tcBorders>
            <w:shd w:val="clear" w:color="auto" w:fill="FFFFFF" w:themeFill="background1"/>
            <w:noWrap/>
            <w:vAlign w:val="bottom"/>
            <w:hideMark/>
          </w:tcPr>
          <w:p w14:paraId="42810D9B" w14:textId="77777777" w:rsidR="006F3566" w:rsidRPr="00A9330B" w:rsidRDefault="006F3566" w:rsidP="0064324E">
            <w:pPr>
              <w:spacing w:line="240" w:lineRule="auto"/>
              <w:rPr>
                <w:rFonts w:cs="Arial"/>
                <w:i/>
                <w:iCs/>
                <w:sz w:val="18"/>
                <w:szCs w:val="18"/>
              </w:rPr>
            </w:pPr>
            <w:r w:rsidRPr="00A9330B">
              <w:rPr>
                <w:rFonts w:cs="Arial"/>
                <w:i/>
                <w:iCs/>
                <w:sz w:val="18"/>
                <w:szCs w:val="18"/>
              </w:rPr>
              <w:t>COL_A4</w:t>
            </w:r>
          </w:p>
        </w:tc>
        <w:tc>
          <w:tcPr>
            <w:tcW w:w="750" w:type="pct"/>
            <w:tcBorders>
              <w:top w:val="nil"/>
              <w:left w:val="nil"/>
              <w:bottom w:val="single" w:sz="4" w:space="0" w:color="auto"/>
              <w:right w:val="single" w:sz="4" w:space="0" w:color="auto"/>
            </w:tcBorders>
            <w:shd w:val="clear" w:color="auto" w:fill="auto"/>
            <w:noWrap/>
            <w:vAlign w:val="bottom"/>
            <w:hideMark/>
          </w:tcPr>
          <w:p w14:paraId="6BF3D670" w14:textId="77777777" w:rsidR="006F3566" w:rsidRPr="00A9330B" w:rsidRDefault="006F3566" w:rsidP="006E37A6">
            <w:pPr>
              <w:spacing w:line="240" w:lineRule="auto"/>
              <w:jc w:val="center"/>
              <w:rPr>
                <w:rFonts w:cs="Arial"/>
                <w:i/>
                <w:iCs/>
                <w:sz w:val="18"/>
                <w:szCs w:val="18"/>
              </w:rPr>
            </w:pPr>
            <w:r w:rsidRPr="00A9330B">
              <w:rPr>
                <w:rFonts w:cs="Arial"/>
                <w:i/>
                <w:iCs/>
                <w:sz w:val="18"/>
                <w:szCs w:val="18"/>
              </w:rPr>
              <w:t>Canal A</w:t>
            </w:r>
          </w:p>
        </w:tc>
        <w:tc>
          <w:tcPr>
            <w:tcW w:w="815" w:type="pct"/>
            <w:tcBorders>
              <w:top w:val="nil"/>
              <w:left w:val="nil"/>
              <w:bottom w:val="single" w:sz="4" w:space="0" w:color="auto"/>
              <w:right w:val="single" w:sz="4" w:space="0" w:color="auto"/>
            </w:tcBorders>
            <w:shd w:val="clear" w:color="auto" w:fill="auto"/>
            <w:noWrap/>
            <w:vAlign w:val="bottom"/>
            <w:hideMark/>
          </w:tcPr>
          <w:p w14:paraId="04766C72" w14:textId="77777777" w:rsidR="006F3566" w:rsidRPr="00A9330B" w:rsidRDefault="006F3566" w:rsidP="00E33E4E">
            <w:pPr>
              <w:spacing w:line="240" w:lineRule="auto"/>
              <w:rPr>
                <w:rFonts w:cs="Arial"/>
                <w:i/>
                <w:iCs/>
                <w:sz w:val="18"/>
                <w:szCs w:val="18"/>
              </w:rPr>
            </w:pPr>
            <w:r w:rsidRPr="00A9330B">
              <w:rPr>
                <w:rFonts w:cs="Arial"/>
                <w:i/>
                <w:iCs/>
                <w:sz w:val="18"/>
                <w:szCs w:val="18"/>
              </w:rPr>
              <w:t>trapèzoïdale</w:t>
            </w:r>
          </w:p>
        </w:tc>
        <w:tc>
          <w:tcPr>
            <w:tcW w:w="784" w:type="pct"/>
            <w:tcBorders>
              <w:top w:val="nil"/>
              <w:left w:val="nil"/>
              <w:bottom w:val="single" w:sz="4" w:space="0" w:color="auto"/>
              <w:right w:val="single" w:sz="4" w:space="0" w:color="auto"/>
            </w:tcBorders>
            <w:shd w:val="clear" w:color="auto" w:fill="auto"/>
            <w:noWrap/>
            <w:vAlign w:val="center"/>
            <w:hideMark/>
          </w:tcPr>
          <w:p w14:paraId="4E2AF84D" w14:textId="77777777" w:rsidR="006F3566" w:rsidRPr="00A9330B" w:rsidRDefault="006F3566" w:rsidP="00645DF1">
            <w:pPr>
              <w:spacing w:line="240" w:lineRule="auto"/>
              <w:jc w:val="right"/>
              <w:rPr>
                <w:rFonts w:cs="Arial"/>
                <w:i/>
                <w:iCs/>
                <w:sz w:val="18"/>
                <w:szCs w:val="18"/>
              </w:rPr>
            </w:pPr>
            <w:r w:rsidRPr="00A9330B">
              <w:rPr>
                <w:rFonts w:cs="Arial"/>
                <w:i/>
                <w:iCs/>
                <w:sz w:val="18"/>
                <w:szCs w:val="18"/>
              </w:rPr>
              <w:t>301.977</w:t>
            </w:r>
          </w:p>
        </w:tc>
        <w:tc>
          <w:tcPr>
            <w:tcW w:w="1417" w:type="pct"/>
            <w:tcBorders>
              <w:top w:val="nil"/>
              <w:left w:val="nil"/>
              <w:bottom w:val="single" w:sz="4" w:space="0" w:color="auto"/>
              <w:right w:val="single" w:sz="8" w:space="0" w:color="auto"/>
            </w:tcBorders>
            <w:shd w:val="clear" w:color="auto" w:fill="auto"/>
            <w:noWrap/>
            <w:vAlign w:val="bottom"/>
            <w:hideMark/>
          </w:tcPr>
          <w:p w14:paraId="6184863A" w14:textId="77777777" w:rsidR="006F3566" w:rsidRPr="00A9330B" w:rsidRDefault="006F3566" w:rsidP="000F7BA7">
            <w:pPr>
              <w:spacing w:line="240" w:lineRule="auto"/>
              <w:jc w:val="center"/>
              <w:rPr>
                <w:rFonts w:cs="Arial"/>
                <w:i/>
                <w:iCs/>
                <w:sz w:val="18"/>
                <w:szCs w:val="18"/>
              </w:rPr>
            </w:pPr>
            <w:r w:rsidRPr="00A9330B">
              <w:rPr>
                <w:rFonts w:cs="Arial"/>
                <w:i/>
                <w:iCs/>
                <w:sz w:val="18"/>
                <w:szCs w:val="18"/>
              </w:rPr>
              <w:t>1x3x2</w:t>
            </w:r>
          </w:p>
        </w:tc>
      </w:tr>
      <w:tr w:rsidR="0064324E" w:rsidRPr="00A9330B" w14:paraId="358669C8" w14:textId="77777777" w:rsidTr="000F7BA7">
        <w:trPr>
          <w:trHeight w:val="20"/>
        </w:trPr>
        <w:tc>
          <w:tcPr>
            <w:tcW w:w="1233" w:type="pct"/>
            <w:tcBorders>
              <w:top w:val="nil"/>
              <w:left w:val="single" w:sz="8" w:space="0" w:color="auto"/>
              <w:bottom w:val="single" w:sz="4" w:space="0" w:color="auto"/>
              <w:right w:val="single" w:sz="4" w:space="0" w:color="auto"/>
            </w:tcBorders>
            <w:shd w:val="clear" w:color="auto" w:fill="FFFFFF" w:themeFill="background1"/>
            <w:noWrap/>
            <w:vAlign w:val="bottom"/>
            <w:hideMark/>
          </w:tcPr>
          <w:p w14:paraId="06ADD1FE" w14:textId="77777777" w:rsidR="006F3566" w:rsidRPr="00A9330B" w:rsidRDefault="006F3566" w:rsidP="0064324E">
            <w:pPr>
              <w:spacing w:line="240" w:lineRule="auto"/>
              <w:rPr>
                <w:rFonts w:cs="Arial"/>
                <w:i/>
                <w:iCs/>
                <w:sz w:val="18"/>
                <w:szCs w:val="18"/>
              </w:rPr>
            </w:pPr>
            <w:r w:rsidRPr="00A9330B">
              <w:rPr>
                <w:rFonts w:cs="Arial"/>
                <w:i/>
                <w:iCs/>
                <w:sz w:val="18"/>
                <w:szCs w:val="18"/>
              </w:rPr>
              <w:t>COL_A5</w:t>
            </w:r>
          </w:p>
        </w:tc>
        <w:tc>
          <w:tcPr>
            <w:tcW w:w="750" w:type="pct"/>
            <w:tcBorders>
              <w:top w:val="nil"/>
              <w:left w:val="nil"/>
              <w:bottom w:val="single" w:sz="4" w:space="0" w:color="auto"/>
              <w:right w:val="single" w:sz="4" w:space="0" w:color="auto"/>
            </w:tcBorders>
            <w:shd w:val="clear" w:color="auto" w:fill="auto"/>
            <w:noWrap/>
            <w:vAlign w:val="bottom"/>
            <w:hideMark/>
          </w:tcPr>
          <w:p w14:paraId="555DB2D9" w14:textId="77777777" w:rsidR="006F3566" w:rsidRPr="00A9330B" w:rsidRDefault="006F3566" w:rsidP="006E37A6">
            <w:pPr>
              <w:spacing w:line="240" w:lineRule="auto"/>
              <w:jc w:val="center"/>
              <w:rPr>
                <w:rFonts w:cs="Arial"/>
                <w:i/>
                <w:iCs/>
                <w:sz w:val="18"/>
                <w:szCs w:val="18"/>
              </w:rPr>
            </w:pPr>
            <w:r w:rsidRPr="00A9330B">
              <w:rPr>
                <w:rFonts w:cs="Arial"/>
                <w:i/>
                <w:iCs/>
                <w:sz w:val="18"/>
                <w:szCs w:val="18"/>
              </w:rPr>
              <w:t>Canal A</w:t>
            </w:r>
          </w:p>
        </w:tc>
        <w:tc>
          <w:tcPr>
            <w:tcW w:w="815" w:type="pct"/>
            <w:tcBorders>
              <w:top w:val="nil"/>
              <w:left w:val="nil"/>
              <w:bottom w:val="single" w:sz="4" w:space="0" w:color="auto"/>
              <w:right w:val="single" w:sz="4" w:space="0" w:color="auto"/>
            </w:tcBorders>
            <w:shd w:val="clear" w:color="auto" w:fill="auto"/>
            <w:noWrap/>
            <w:vAlign w:val="bottom"/>
            <w:hideMark/>
          </w:tcPr>
          <w:p w14:paraId="06A303CE" w14:textId="77777777" w:rsidR="006F3566" w:rsidRPr="00A9330B" w:rsidRDefault="006F3566" w:rsidP="00E33E4E">
            <w:pPr>
              <w:spacing w:line="240" w:lineRule="auto"/>
              <w:rPr>
                <w:rFonts w:cs="Arial"/>
                <w:i/>
                <w:iCs/>
                <w:sz w:val="18"/>
                <w:szCs w:val="18"/>
              </w:rPr>
            </w:pPr>
            <w:r w:rsidRPr="00A9330B">
              <w:rPr>
                <w:rFonts w:cs="Arial"/>
                <w:i/>
                <w:iCs/>
                <w:sz w:val="18"/>
                <w:szCs w:val="18"/>
              </w:rPr>
              <w:t>trapèzoïdale</w:t>
            </w:r>
          </w:p>
        </w:tc>
        <w:tc>
          <w:tcPr>
            <w:tcW w:w="784" w:type="pct"/>
            <w:tcBorders>
              <w:top w:val="nil"/>
              <w:left w:val="nil"/>
              <w:bottom w:val="single" w:sz="4" w:space="0" w:color="auto"/>
              <w:right w:val="single" w:sz="4" w:space="0" w:color="auto"/>
            </w:tcBorders>
            <w:shd w:val="clear" w:color="auto" w:fill="auto"/>
            <w:noWrap/>
            <w:vAlign w:val="center"/>
            <w:hideMark/>
          </w:tcPr>
          <w:p w14:paraId="36D5A890" w14:textId="77777777" w:rsidR="006F3566" w:rsidRPr="00A9330B" w:rsidRDefault="006F3566" w:rsidP="00645DF1">
            <w:pPr>
              <w:spacing w:line="240" w:lineRule="auto"/>
              <w:jc w:val="right"/>
              <w:rPr>
                <w:rFonts w:cs="Arial"/>
                <w:i/>
                <w:iCs/>
                <w:sz w:val="18"/>
                <w:szCs w:val="18"/>
              </w:rPr>
            </w:pPr>
            <w:r w:rsidRPr="00A9330B">
              <w:rPr>
                <w:rFonts w:cs="Arial"/>
                <w:i/>
                <w:iCs/>
                <w:sz w:val="18"/>
                <w:szCs w:val="18"/>
              </w:rPr>
              <w:t>838.676</w:t>
            </w:r>
          </w:p>
        </w:tc>
        <w:tc>
          <w:tcPr>
            <w:tcW w:w="1417" w:type="pct"/>
            <w:tcBorders>
              <w:top w:val="nil"/>
              <w:left w:val="nil"/>
              <w:bottom w:val="single" w:sz="4" w:space="0" w:color="auto"/>
              <w:right w:val="single" w:sz="8" w:space="0" w:color="auto"/>
            </w:tcBorders>
            <w:shd w:val="clear" w:color="auto" w:fill="auto"/>
            <w:noWrap/>
            <w:vAlign w:val="bottom"/>
            <w:hideMark/>
          </w:tcPr>
          <w:p w14:paraId="3DB07507" w14:textId="77777777" w:rsidR="006F3566" w:rsidRPr="00A9330B" w:rsidRDefault="006F3566" w:rsidP="000F7BA7">
            <w:pPr>
              <w:spacing w:line="240" w:lineRule="auto"/>
              <w:jc w:val="center"/>
              <w:rPr>
                <w:rFonts w:cs="Arial"/>
                <w:i/>
                <w:iCs/>
                <w:sz w:val="18"/>
                <w:szCs w:val="18"/>
              </w:rPr>
            </w:pPr>
            <w:r w:rsidRPr="00A9330B">
              <w:rPr>
                <w:rFonts w:cs="Arial"/>
                <w:i/>
                <w:iCs/>
                <w:sz w:val="18"/>
                <w:szCs w:val="18"/>
              </w:rPr>
              <w:t>1,6x6,6x5</w:t>
            </w:r>
          </w:p>
        </w:tc>
      </w:tr>
      <w:tr w:rsidR="0064324E" w:rsidRPr="00A9330B" w14:paraId="20D078EC" w14:textId="77777777" w:rsidTr="000F7BA7">
        <w:trPr>
          <w:trHeight w:val="20"/>
        </w:trPr>
        <w:tc>
          <w:tcPr>
            <w:tcW w:w="1233" w:type="pct"/>
            <w:tcBorders>
              <w:top w:val="nil"/>
              <w:left w:val="single" w:sz="8" w:space="0" w:color="auto"/>
              <w:bottom w:val="single" w:sz="4" w:space="0" w:color="auto"/>
              <w:right w:val="single" w:sz="4" w:space="0" w:color="auto"/>
            </w:tcBorders>
            <w:shd w:val="clear" w:color="auto" w:fill="FFFFFF" w:themeFill="background1"/>
            <w:noWrap/>
            <w:vAlign w:val="bottom"/>
            <w:hideMark/>
          </w:tcPr>
          <w:p w14:paraId="0094E824" w14:textId="77777777" w:rsidR="006F3566" w:rsidRPr="00A9330B" w:rsidRDefault="006F3566" w:rsidP="0064324E">
            <w:pPr>
              <w:spacing w:line="240" w:lineRule="auto"/>
              <w:rPr>
                <w:rFonts w:cs="Arial"/>
                <w:i/>
                <w:iCs/>
                <w:sz w:val="18"/>
                <w:szCs w:val="18"/>
              </w:rPr>
            </w:pPr>
            <w:r w:rsidRPr="00A9330B">
              <w:rPr>
                <w:rFonts w:cs="Arial"/>
                <w:i/>
                <w:iCs/>
                <w:sz w:val="18"/>
                <w:szCs w:val="18"/>
              </w:rPr>
              <w:lastRenderedPageBreak/>
              <w:t>COL_A6a1 + COL_A6a2</w:t>
            </w:r>
          </w:p>
        </w:tc>
        <w:tc>
          <w:tcPr>
            <w:tcW w:w="750" w:type="pct"/>
            <w:tcBorders>
              <w:top w:val="nil"/>
              <w:left w:val="nil"/>
              <w:bottom w:val="single" w:sz="4" w:space="0" w:color="auto"/>
              <w:right w:val="single" w:sz="4" w:space="0" w:color="auto"/>
            </w:tcBorders>
            <w:shd w:val="clear" w:color="auto" w:fill="auto"/>
            <w:noWrap/>
            <w:vAlign w:val="bottom"/>
            <w:hideMark/>
          </w:tcPr>
          <w:p w14:paraId="6B9A4F51" w14:textId="77777777" w:rsidR="006F3566" w:rsidRPr="00A9330B" w:rsidRDefault="006F3566" w:rsidP="006E37A6">
            <w:pPr>
              <w:spacing w:line="240" w:lineRule="auto"/>
              <w:jc w:val="center"/>
              <w:rPr>
                <w:rFonts w:cs="Arial"/>
                <w:i/>
                <w:iCs/>
                <w:sz w:val="18"/>
                <w:szCs w:val="18"/>
              </w:rPr>
            </w:pPr>
            <w:r w:rsidRPr="00A9330B">
              <w:rPr>
                <w:rFonts w:cs="Arial"/>
                <w:i/>
                <w:iCs/>
                <w:sz w:val="18"/>
                <w:szCs w:val="18"/>
              </w:rPr>
              <w:t>Canal A</w:t>
            </w:r>
          </w:p>
        </w:tc>
        <w:tc>
          <w:tcPr>
            <w:tcW w:w="815" w:type="pct"/>
            <w:tcBorders>
              <w:top w:val="nil"/>
              <w:left w:val="nil"/>
              <w:bottom w:val="single" w:sz="4" w:space="0" w:color="auto"/>
              <w:right w:val="single" w:sz="4" w:space="0" w:color="auto"/>
            </w:tcBorders>
            <w:shd w:val="clear" w:color="auto" w:fill="auto"/>
            <w:noWrap/>
            <w:vAlign w:val="bottom"/>
            <w:hideMark/>
          </w:tcPr>
          <w:p w14:paraId="19E1D702" w14:textId="77777777" w:rsidR="006F3566" w:rsidRPr="00A9330B" w:rsidRDefault="006F3566" w:rsidP="00E33E4E">
            <w:pPr>
              <w:spacing w:line="240" w:lineRule="auto"/>
              <w:rPr>
                <w:rFonts w:cs="Arial"/>
                <w:i/>
                <w:iCs/>
                <w:sz w:val="18"/>
                <w:szCs w:val="18"/>
              </w:rPr>
            </w:pPr>
            <w:r w:rsidRPr="00A9330B">
              <w:rPr>
                <w:rFonts w:cs="Arial"/>
                <w:i/>
                <w:iCs/>
                <w:sz w:val="18"/>
                <w:szCs w:val="18"/>
              </w:rPr>
              <w:t>trapèzoïdale</w:t>
            </w:r>
          </w:p>
        </w:tc>
        <w:tc>
          <w:tcPr>
            <w:tcW w:w="784" w:type="pct"/>
            <w:tcBorders>
              <w:top w:val="nil"/>
              <w:left w:val="nil"/>
              <w:bottom w:val="single" w:sz="4" w:space="0" w:color="auto"/>
              <w:right w:val="single" w:sz="4" w:space="0" w:color="auto"/>
            </w:tcBorders>
            <w:shd w:val="clear" w:color="auto" w:fill="auto"/>
            <w:noWrap/>
            <w:vAlign w:val="center"/>
            <w:hideMark/>
          </w:tcPr>
          <w:p w14:paraId="08021B0E" w14:textId="77777777" w:rsidR="006F3566" w:rsidRPr="00A9330B" w:rsidRDefault="006F3566" w:rsidP="00645DF1">
            <w:pPr>
              <w:spacing w:line="240" w:lineRule="auto"/>
              <w:jc w:val="right"/>
              <w:rPr>
                <w:rFonts w:cs="Arial"/>
                <w:i/>
                <w:iCs/>
                <w:sz w:val="18"/>
                <w:szCs w:val="18"/>
              </w:rPr>
            </w:pPr>
            <w:r w:rsidRPr="00A9330B">
              <w:rPr>
                <w:rFonts w:cs="Arial"/>
                <w:i/>
                <w:iCs/>
                <w:sz w:val="18"/>
                <w:szCs w:val="18"/>
              </w:rPr>
              <w:t>534.82</w:t>
            </w:r>
          </w:p>
        </w:tc>
        <w:tc>
          <w:tcPr>
            <w:tcW w:w="1417" w:type="pct"/>
            <w:tcBorders>
              <w:top w:val="nil"/>
              <w:left w:val="nil"/>
              <w:bottom w:val="single" w:sz="4" w:space="0" w:color="auto"/>
              <w:right w:val="single" w:sz="8" w:space="0" w:color="auto"/>
            </w:tcBorders>
            <w:shd w:val="clear" w:color="auto" w:fill="auto"/>
            <w:noWrap/>
            <w:vAlign w:val="bottom"/>
            <w:hideMark/>
          </w:tcPr>
          <w:p w14:paraId="53D4ABD2" w14:textId="77777777" w:rsidR="006F3566" w:rsidRPr="00A9330B" w:rsidRDefault="006F3566" w:rsidP="000F7BA7">
            <w:pPr>
              <w:spacing w:line="240" w:lineRule="auto"/>
              <w:jc w:val="center"/>
              <w:rPr>
                <w:rFonts w:cs="Arial"/>
                <w:i/>
                <w:iCs/>
                <w:sz w:val="18"/>
                <w:szCs w:val="18"/>
              </w:rPr>
            </w:pPr>
            <w:r w:rsidRPr="00A9330B">
              <w:rPr>
                <w:rFonts w:cs="Arial"/>
                <w:i/>
                <w:iCs/>
                <w:sz w:val="18"/>
                <w:szCs w:val="18"/>
              </w:rPr>
              <w:t>1,6x6,6x5</w:t>
            </w:r>
          </w:p>
        </w:tc>
      </w:tr>
      <w:tr w:rsidR="0064324E" w:rsidRPr="00A9330B" w14:paraId="51F844BC" w14:textId="77777777" w:rsidTr="000F7BA7">
        <w:trPr>
          <w:trHeight w:val="20"/>
        </w:trPr>
        <w:tc>
          <w:tcPr>
            <w:tcW w:w="1233" w:type="pct"/>
            <w:tcBorders>
              <w:top w:val="nil"/>
              <w:left w:val="single" w:sz="8" w:space="0" w:color="auto"/>
              <w:bottom w:val="single" w:sz="4" w:space="0" w:color="auto"/>
              <w:right w:val="single" w:sz="4" w:space="0" w:color="auto"/>
            </w:tcBorders>
            <w:shd w:val="clear" w:color="auto" w:fill="FFFFFF" w:themeFill="background1"/>
            <w:noWrap/>
            <w:vAlign w:val="bottom"/>
            <w:hideMark/>
          </w:tcPr>
          <w:p w14:paraId="78BBC335" w14:textId="77777777" w:rsidR="006F3566" w:rsidRPr="00A9330B" w:rsidRDefault="006F3566" w:rsidP="0064324E">
            <w:pPr>
              <w:spacing w:line="240" w:lineRule="auto"/>
              <w:rPr>
                <w:rFonts w:cs="Arial"/>
                <w:i/>
                <w:iCs/>
                <w:sz w:val="18"/>
                <w:szCs w:val="18"/>
              </w:rPr>
            </w:pPr>
            <w:r w:rsidRPr="00A9330B">
              <w:rPr>
                <w:rFonts w:cs="Arial"/>
                <w:i/>
                <w:iCs/>
                <w:sz w:val="18"/>
                <w:szCs w:val="18"/>
              </w:rPr>
              <w:t>COL_A7</w:t>
            </w:r>
          </w:p>
        </w:tc>
        <w:tc>
          <w:tcPr>
            <w:tcW w:w="750" w:type="pct"/>
            <w:tcBorders>
              <w:top w:val="nil"/>
              <w:left w:val="nil"/>
              <w:bottom w:val="single" w:sz="4" w:space="0" w:color="auto"/>
              <w:right w:val="single" w:sz="4" w:space="0" w:color="auto"/>
            </w:tcBorders>
            <w:shd w:val="clear" w:color="auto" w:fill="auto"/>
            <w:noWrap/>
            <w:vAlign w:val="bottom"/>
            <w:hideMark/>
          </w:tcPr>
          <w:p w14:paraId="563CC169" w14:textId="77777777" w:rsidR="006F3566" w:rsidRPr="00A9330B" w:rsidRDefault="006F3566" w:rsidP="006E37A6">
            <w:pPr>
              <w:spacing w:line="240" w:lineRule="auto"/>
              <w:jc w:val="center"/>
              <w:rPr>
                <w:rFonts w:cs="Arial"/>
                <w:i/>
                <w:iCs/>
                <w:sz w:val="18"/>
                <w:szCs w:val="18"/>
              </w:rPr>
            </w:pPr>
            <w:r w:rsidRPr="00A9330B">
              <w:rPr>
                <w:rFonts w:cs="Arial"/>
                <w:i/>
                <w:iCs/>
                <w:sz w:val="18"/>
                <w:szCs w:val="18"/>
              </w:rPr>
              <w:t>Canal A</w:t>
            </w:r>
          </w:p>
        </w:tc>
        <w:tc>
          <w:tcPr>
            <w:tcW w:w="815" w:type="pct"/>
            <w:tcBorders>
              <w:top w:val="nil"/>
              <w:left w:val="nil"/>
              <w:bottom w:val="single" w:sz="4" w:space="0" w:color="auto"/>
              <w:right w:val="single" w:sz="4" w:space="0" w:color="auto"/>
            </w:tcBorders>
            <w:shd w:val="clear" w:color="auto" w:fill="auto"/>
            <w:noWrap/>
            <w:vAlign w:val="bottom"/>
            <w:hideMark/>
          </w:tcPr>
          <w:p w14:paraId="73D4CE68" w14:textId="77777777" w:rsidR="006F3566" w:rsidRPr="00A9330B" w:rsidRDefault="006F3566" w:rsidP="00E33E4E">
            <w:pPr>
              <w:spacing w:line="240" w:lineRule="auto"/>
              <w:rPr>
                <w:rFonts w:cs="Arial"/>
                <w:i/>
                <w:iCs/>
                <w:sz w:val="18"/>
                <w:szCs w:val="18"/>
              </w:rPr>
            </w:pPr>
            <w:r w:rsidRPr="00A9330B">
              <w:rPr>
                <w:rFonts w:cs="Arial"/>
                <w:i/>
                <w:iCs/>
                <w:sz w:val="18"/>
                <w:szCs w:val="18"/>
              </w:rPr>
              <w:t>trapèzoïdale</w:t>
            </w:r>
          </w:p>
        </w:tc>
        <w:tc>
          <w:tcPr>
            <w:tcW w:w="784" w:type="pct"/>
            <w:tcBorders>
              <w:top w:val="nil"/>
              <w:left w:val="nil"/>
              <w:bottom w:val="single" w:sz="4" w:space="0" w:color="auto"/>
              <w:right w:val="single" w:sz="4" w:space="0" w:color="auto"/>
            </w:tcBorders>
            <w:shd w:val="clear" w:color="auto" w:fill="auto"/>
            <w:noWrap/>
            <w:vAlign w:val="center"/>
            <w:hideMark/>
          </w:tcPr>
          <w:p w14:paraId="45FF4FE3" w14:textId="77777777" w:rsidR="006F3566" w:rsidRPr="00A9330B" w:rsidRDefault="006F3566" w:rsidP="00645DF1">
            <w:pPr>
              <w:spacing w:line="240" w:lineRule="auto"/>
              <w:jc w:val="right"/>
              <w:rPr>
                <w:rFonts w:cs="Arial"/>
                <w:i/>
                <w:iCs/>
                <w:sz w:val="18"/>
                <w:szCs w:val="18"/>
              </w:rPr>
            </w:pPr>
            <w:r w:rsidRPr="00A9330B">
              <w:rPr>
                <w:rFonts w:cs="Arial"/>
                <w:i/>
                <w:iCs/>
                <w:sz w:val="18"/>
                <w:szCs w:val="18"/>
              </w:rPr>
              <w:t>324.74</w:t>
            </w:r>
          </w:p>
        </w:tc>
        <w:tc>
          <w:tcPr>
            <w:tcW w:w="1417" w:type="pct"/>
            <w:tcBorders>
              <w:top w:val="nil"/>
              <w:left w:val="nil"/>
              <w:bottom w:val="single" w:sz="4" w:space="0" w:color="auto"/>
              <w:right w:val="single" w:sz="8" w:space="0" w:color="auto"/>
            </w:tcBorders>
            <w:shd w:val="clear" w:color="auto" w:fill="auto"/>
            <w:noWrap/>
            <w:vAlign w:val="bottom"/>
            <w:hideMark/>
          </w:tcPr>
          <w:p w14:paraId="6EA884B7" w14:textId="77777777" w:rsidR="006F3566" w:rsidRPr="00A9330B" w:rsidRDefault="006F3566" w:rsidP="000F7BA7">
            <w:pPr>
              <w:spacing w:line="240" w:lineRule="auto"/>
              <w:jc w:val="center"/>
              <w:rPr>
                <w:rFonts w:cs="Arial"/>
                <w:i/>
                <w:iCs/>
                <w:sz w:val="18"/>
                <w:szCs w:val="18"/>
              </w:rPr>
            </w:pPr>
            <w:r w:rsidRPr="00A9330B">
              <w:rPr>
                <w:rFonts w:cs="Arial"/>
                <w:i/>
                <w:iCs/>
                <w:sz w:val="18"/>
                <w:szCs w:val="18"/>
              </w:rPr>
              <w:t>1,6x6,6x5</w:t>
            </w:r>
          </w:p>
        </w:tc>
      </w:tr>
      <w:tr w:rsidR="0064324E" w:rsidRPr="00A9330B" w14:paraId="54677F4C" w14:textId="77777777" w:rsidTr="000F7BA7">
        <w:trPr>
          <w:trHeight w:val="20"/>
        </w:trPr>
        <w:tc>
          <w:tcPr>
            <w:tcW w:w="1233" w:type="pct"/>
            <w:tcBorders>
              <w:top w:val="nil"/>
              <w:left w:val="single" w:sz="8" w:space="0" w:color="auto"/>
              <w:bottom w:val="single" w:sz="4" w:space="0" w:color="auto"/>
              <w:right w:val="single" w:sz="4" w:space="0" w:color="auto"/>
            </w:tcBorders>
            <w:shd w:val="clear" w:color="auto" w:fill="FFFFFF" w:themeFill="background1"/>
            <w:noWrap/>
            <w:vAlign w:val="bottom"/>
            <w:hideMark/>
          </w:tcPr>
          <w:p w14:paraId="3C71BBA3" w14:textId="77777777" w:rsidR="006F3566" w:rsidRPr="00A9330B" w:rsidRDefault="006F3566" w:rsidP="0064324E">
            <w:pPr>
              <w:spacing w:line="240" w:lineRule="auto"/>
              <w:rPr>
                <w:rFonts w:cs="Arial"/>
                <w:i/>
                <w:iCs/>
                <w:sz w:val="18"/>
                <w:szCs w:val="18"/>
              </w:rPr>
            </w:pPr>
            <w:r w:rsidRPr="00A9330B">
              <w:rPr>
                <w:rFonts w:cs="Arial"/>
                <w:i/>
                <w:iCs/>
                <w:sz w:val="18"/>
                <w:szCs w:val="18"/>
              </w:rPr>
              <w:t>COL_A8</w:t>
            </w:r>
          </w:p>
        </w:tc>
        <w:tc>
          <w:tcPr>
            <w:tcW w:w="750" w:type="pct"/>
            <w:tcBorders>
              <w:top w:val="nil"/>
              <w:left w:val="nil"/>
              <w:bottom w:val="single" w:sz="4" w:space="0" w:color="auto"/>
              <w:right w:val="single" w:sz="4" w:space="0" w:color="auto"/>
            </w:tcBorders>
            <w:shd w:val="clear" w:color="auto" w:fill="auto"/>
            <w:noWrap/>
            <w:vAlign w:val="bottom"/>
            <w:hideMark/>
          </w:tcPr>
          <w:p w14:paraId="72381FCC" w14:textId="77777777" w:rsidR="006F3566" w:rsidRPr="00A9330B" w:rsidRDefault="006F3566" w:rsidP="006E37A6">
            <w:pPr>
              <w:spacing w:line="240" w:lineRule="auto"/>
              <w:jc w:val="center"/>
              <w:rPr>
                <w:rFonts w:cs="Arial"/>
                <w:i/>
                <w:iCs/>
                <w:sz w:val="18"/>
                <w:szCs w:val="18"/>
              </w:rPr>
            </w:pPr>
            <w:r w:rsidRPr="00A9330B">
              <w:rPr>
                <w:rFonts w:cs="Arial"/>
                <w:i/>
                <w:iCs/>
                <w:sz w:val="18"/>
                <w:szCs w:val="18"/>
              </w:rPr>
              <w:t>Canal A</w:t>
            </w:r>
          </w:p>
        </w:tc>
        <w:tc>
          <w:tcPr>
            <w:tcW w:w="815" w:type="pct"/>
            <w:tcBorders>
              <w:top w:val="nil"/>
              <w:left w:val="nil"/>
              <w:bottom w:val="single" w:sz="4" w:space="0" w:color="auto"/>
              <w:right w:val="single" w:sz="4" w:space="0" w:color="auto"/>
            </w:tcBorders>
            <w:shd w:val="clear" w:color="auto" w:fill="auto"/>
            <w:noWrap/>
            <w:vAlign w:val="bottom"/>
            <w:hideMark/>
          </w:tcPr>
          <w:p w14:paraId="6E28CF2A" w14:textId="77777777" w:rsidR="006F3566" w:rsidRPr="00A9330B" w:rsidRDefault="006F3566" w:rsidP="00E33E4E">
            <w:pPr>
              <w:spacing w:line="240" w:lineRule="auto"/>
              <w:rPr>
                <w:rFonts w:cs="Arial"/>
                <w:i/>
                <w:iCs/>
                <w:sz w:val="18"/>
                <w:szCs w:val="18"/>
              </w:rPr>
            </w:pPr>
            <w:r w:rsidRPr="00A9330B">
              <w:rPr>
                <w:rFonts w:cs="Arial"/>
                <w:i/>
                <w:iCs/>
                <w:sz w:val="18"/>
                <w:szCs w:val="18"/>
              </w:rPr>
              <w:t>trapèzoïdale</w:t>
            </w:r>
          </w:p>
        </w:tc>
        <w:tc>
          <w:tcPr>
            <w:tcW w:w="784" w:type="pct"/>
            <w:tcBorders>
              <w:top w:val="nil"/>
              <w:left w:val="nil"/>
              <w:bottom w:val="single" w:sz="4" w:space="0" w:color="auto"/>
              <w:right w:val="single" w:sz="4" w:space="0" w:color="auto"/>
            </w:tcBorders>
            <w:shd w:val="clear" w:color="auto" w:fill="auto"/>
            <w:noWrap/>
            <w:vAlign w:val="center"/>
            <w:hideMark/>
          </w:tcPr>
          <w:p w14:paraId="2EA07A6A" w14:textId="77777777" w:rsidR="006F3566" w:rsidRPr="00A9330B" w:rsidRDefault="006F3566" w:rsidP="00645DF1">
            <w:pPr>
              <w:spacing w:line="240" w:lineRule="auto"/>
              <w:jc w:val="right"/>
              <w:rPr>
                <w:rFonts w:cs="Arial"/>
                <w:i/>
                <w:iCs/>
                <w:sz w:val="18"/>
                <w:szCs w:val="18"/>
              </w:rPr>
            </w:pPr>
            <w:r w:rsidRPr="00A9330B">
              <w:rPr>
                <w:rFonts w:cs="Arial"/>
                <w:i/>
                <w:iCs/>
                <w:sz w:val="18"/>
                <w:szCs w:val="18"/>
              </w:rPr>
              <w:t>263.94</w:t>
            </w:r>
          </w:p>
        </w:tc>
        <w:tc>
          <w:tcPr>
            <w:tcW w:w="1417" w:type="pct"/>
            <w:tcBorders>
              <w:top w:val="nil"/>
              <w:left w:val="nil"/>
              <w:bottom w:val="single" w:sz="4" w:space="0" w:color="auto"/>
              <w:right w:val="single" w:sz="8" w:space="0" w:color="auto"/>
            </w:tcBorders>
            <w:shd w:val="clear" w:color="auto" w:fill="auto"/>
            <w:noWrap/>
            <w:vAlign w:val="bottom"/>
            <w:hideMark/>
          </w:tcPr>
          <w:p w14:paraId="5D850D99" w14:textId="77777777" w:rsidR="006F3566" w:rsidRPr="00A9330B" w:rsidRDefault="006F3566" w:rsidP="000F7BA7">
            <w:pPr>
              <w:spacing w:line="240" w:lineRule="auto"/>
              <w:jc w:val="center"/>
              <w:rPr>
                <w:rFonts w:cs="Arial"/>
                <w:i/>
                <w:iCs/>
                <w:sz w:val="18"/>
                <w:szCs w:val="18"/>
              </w:rPr>
            </w:pPr>
            <w:r w:rsidRPr="00A9330B">
              <w:rPr>
                <w:rFonts w:cs="Arial"/>
                <w:i/>
                <w:iCs/>
                <w:sz w:val="18"/>
                <w:szCs w:val="18"/>
              </w:rPr>
              <w:t>1,6x6,6x5</w:t>
            </w:r>
          </w:p>
        </w:tc>
      </w:tr>
      <w:tr w:rsidR="0064324E" w:rsidRPr="00A9330B" w14:paraId="02717A5F" w14:textId="77777777" w:rsidTr="000F7BA7">
        <w:trPr>
          <w:trHeight w:val="20"/>
        </w:trPr>
        <w:tc>
          <w:tcPr>
            <w:tcW w:w="1233" w:type="pct"/>
            <w:tcBorders>
              <w:top w:val="nil"/>
              <w:left w:val="single" w:sz="8" w:space="0" w:color="auto"/>
              <w:bottom w:val="single" w:sz="4" w:space="0" w:color="auto"/>
              <w:right w:val="single" w:sz="4" w:space="0" w:color="auto"/>
            </w:tcBorders>
            <w:shd w:val="clear" w:color="auto" w:fill="FFFFFF" w:themeFill="background1"/>
            <w:noWrap/>
            <w:vAlign w:val="bottom"/>
            <w:hideMark/>
          </w:tcPr>
          <w:p w14:paraId="218B62D9" w14:textId="77777777" w:rsidR="006F3566" w:rsidRPr="00A9330B" w:rsidRDefault="006F3566" w:rsidP="0064324E">
            <w:pPr>
              <w:spacing w:line="240" w:lineRule="auto"/>
              <w:rPr>
                <w:rFonts w:cs="Arial"/>
                <w:i/>
                <w:iCs/>
                <w:sz w:val="18"/>
                <w:szCs w:val="18"/>
              </w:rPr>
            </w:pPr>
            <w:r w:rsidRPr="00A9330B">
              <w:rPr>
                <w:rFonts w:cs="Arial"/>
                <w:i/>
                <w:iCs/>
                <w:sz w:val="18"/>
                <w:szCs w:val="18"/>
              </w:rPr>
              <w:t>COL_A9</w:t>
            </w:r>
          </w:p>
        </w:tc>
        <w:tc>
          <w:tcPr>
            <w:tcW w:w="750" w:type="pct"/>
            <w:tcBorders>
              <w:top w:val="nil"/>
              <w:left w:val="nil"/>
              <w:bottom w:val="single" w:sz="4" w:space="0" w:color="auto"/>
              <w:right w:val="single" w:sz="4" w:space="0" w:color="auto"/>
            </w:tcBorders>
            <w:shd w:val="clear" w:color="auto" w:fill="auto"/>
            <w:noWrap/>
            <w:vAlign w:val="bottom"/>
            <w:hideMark/>
          </w:tcPr>
          <w:p w14:paraId="7B5BE94F" w14:textId="77777777" w:rsidR="006F3566" w:rsidRPr="00A9330B" w:rsidRDefault="006F3566" w:rsidP="006E37A6">
            <w:pPr>
              <w:spacing w:line="240" w:lineRule="auto"/>
              <w:jc w:val="center"/>
              <w:rPr>
                <w:rFonts w:cs="Arial"/>
                <w:i/>
                <w:iCs/>
                <w:sz w:val="18"/>
                <w:szCs w:val="18"/>
              </w:rPr>
            </w:pPr>
            <w:r w:rsidRPr="00A9330B">
              <w:rPr>
                <w:rFonts w:cs="Arial"/>
                <w:i/>
                <w:iCs/>
                <w:sz w:val="18"/>
                <w:szCs w:val="18"/>
              </w:rPr>
              <w:t>Canal A</w:t>
            </w:r>
          </w:p>
        </w:tc>
        <w:tc>
          <w:tcPr>
            <w:tcW w:w="815" w:type="pct"/>
            <w:tcBorders>
              <w:top w:val="nil"/>
              <w:left w:val="nil"/>
              <w:bottom w:val="single" w:sz="4" w:space="0" w:color="auto"/>
              <w:right w:val="single" w:sz="4" w:space="0" w:color="auto"/>
            </w:tcBorders>
            <w:shd w:val="clear" w:color="auto" w:fill="auto"/>
            <w:noWrap/>
            <w:vAlign w:val="bottom"/>
            <w:hideMark/>
          </w:tcPr>
          <w:p w14:paraId="10126AAC" w14:textId="77777777" w:rsidR="006F3566" w:rsidRPr="00A9330B" w:rsidRDefault="006F3566" w:rsidP="00E33E4E">
            <w:pPr>
              <w:spacing w:line="240" w:lineRule="auto"/>
              <w:rPr>
                <w:rFonts w:cs="Arial"/>
                <w:i/>
                <w:iCs/>
                <w:sz w:val="18"/>
                <w:szCs w:val="18"/>
              </w:rPr>
            </w:pPr>
            <w:r w:rsidRPr="00A9330B">
              <w:rPr>
                <w:rFonts w:cs="Arial"/>
                <w:i/>
                <w:iCs/>
                <w:sz w:val="18"/>
                <w:szCs w:val="18"/>
              </w:rPr>
              <w:t>trapèzoïdale</w:t>
            </w:r>
          </w:p>
        </w:tc>
        <w:tc>
          <w:tcPr>
            <w:tcW w:w="784" w:type="pct"/>
            <w:tcBorders>
              <w:top w:val="nil"/>
              <w:left w:val="nil"/>
              <w:bottom w:val="single" w:sz="4" w:space="0" w:color="auto"/>
              <w:right w:val="single" w:sz="4" w:space="0" w:color="auto"/>
            </w:tcBorders>
            <w:shd w:val="clear" w:color="auto" w:fill="auto"/>
            <w:noWrap/>
            <w:vAlign w:val="center"/>
            <w:hideMark/>
          </w:tcPr>
          <w:p w14:paraId="2D92FC69" w14:textId="77777777" w:rsidR="006F3566" w:rsidRPr="00A9330B" w:rsidRDefault="006F3566" w:rsidP="00645DF1">
            <w:pPr>
              <w:spacing w:line="240" w:lineRule="auto"/>
              <w:jc w:val="right"/>
              <w:rPr>
                <w:rFonts w:cs="Arial"/>
                <w:i/>
                <w:iCs/>
                <w:sz w:val="18"/>
                <w:szCs w:val="18"/>
              </w:rPr>
            </w:pPr>
            <w:r w:rsidRPr="00A9330B">
              <w:rPr>
                <w:rFonts w:cs="Arial"/>
                <w:i/>
                <w:iCs/>
                <w:sz w:val="18"/>
                <w:szCs w:val="18"/>
              </w:rPr>
              <w:t>1142.19</w:t>
            </w:r>
          </w:p>
        </w:tc>
        <w:tc>
          <w:tcPr>
            <w:tcW w:w="1417" w:type="pct"/>
            <w:tcBorders>
              <w:top w:val="nil"/>
              <w:left w:val="nil"/>
              <w:bottom w:val="single" w:sz="4" w:space="0" w:color="auto"/>
              <w:right w:val="single" w:sz="8" w:space="0" w:color="auto"/>
            </w:tcBorders>
            <w:shd w:val="clear" w:color="auto" w:fill="auto"/>
            <w:noWrap/>
            <w:vAlign w:val="bottom"/>
            <w:hideMark/>
          </w:tcPr>
          <w:p w14:paraId="7AEA1D43" w14:textId="77777777" w:rsidR="006F3566" w:rsidRPr="00A9330B" w:rsidRDefault="006F3566" w:rsidP="000F7BA7">
            <w:pPr>
              <w:spacing w:line="240" w:lineRule="auto"/>
              <w:jc w:val="center"/>
              <w:rPr>
                <w:rFonts w:cs="Arial"/>
                <w:i/>
                <w:iCs/>
                <w:sz w:val="18"/>
                <w:szCs w:val="18"/>
              </w:rPr>
            </w:pPr>
            <w:r w:rsidRPr="00A9330B">
              <w:rPr>
                <w:rFonts w:cs="Arial"/>
                <w:i/>
                <w:iCs/>
                <w:sz w:val="18"/>
                <w:szCs w:val="18"/>
              </w:rPr>
              <w:t>1,6x6,6x5</w:t>
            </w:r>
          </w:p>
        </w:tc>
      </w:tr>
      <w:tr w:rsidR="0064324E" w:rsidRPr="00A9330B" w14:paraId="4DB09E14" w14:textId="77777777" w:rsidTr="000F7BA7">
        <w:trPr>
          <w:trHeight w:val="20"/>
        </w:trPr>
        <w:tc>
          <w:tcPr>
            <w:tcW w:w="1233" w:type="pct"/>
            <w:tcBorders>
              <w:top w:val="nil"/>
              <w:left w:val="single" w:sz="8" w:space="0" w:color="auto"/>
              <w:bottom w:val="single" w:sz="4" w:space="0" w:color="auto"/>
              <w:right w:val="single" w:sz="4" w:space="0" w:color="auto"/>
            </w:tcBorders>
            <w:shd w:val="clear" w:color="auto" w:fill="FFFFFF" w:themeFill="background1"/>
            <w:noWrap/>
            <w:vAlign w:val="bottom"/>
            <w:hideMark/>
          </w:tcPr>
          <w:p w14:paraId="567038B2" w14:textId="77777777" w:rsidR="006F3566" w:rsidRPr="00A9330B" w:rsidRDefault="006F3566" w:rsidP="0064324E">
            <w:pPr>
              <w:spacing w:line="240" w:lineRule="auto"/>
              <w:rPr>
                <w:rFonts w:cs="Arial"/>
                <w:i/>
                <w:iCs/>
                <w:sz w:val="18"/>
                <w:szCs w:val="18"/>
              </w:rPr>
            </w:pPr>
            <w:r w:rsidRPr="00A9330B">
              <w:rPr>
                <w:rFonts w:cs="Arial"/>
                <w:i/>
                <w:iCs/>
                <w:sz w:val="18"/>
                <w:szCs w:val="18"/>
              </w:rPr>
              <w:t>COL_A10</w:t>
            </w:r>
          </w:p>
        </w:tc>
        <w:tc>
          <w:tcPr>
            <w:tcW w:w="750" w:type="pct"/>
            <w:tcBorders>
              <w:top w:val="nil"/>
              <w:left w:val="nil"/>
              <w:bottom w:val="single" w:sz="4" w:space="0" w:color="auto"/>
              <w:right w:val="single" w:sz="4" w:space="0" w:color="auto"/>
            </w:tcBorders>
            <w:shd w:val="clear" w:color="auto" w:fill="auto"/>
            <w:noWrap/>
            <w:vAlign w:val="bottom"/>
            <w:hideMark/>
          </w:tcPr>
          <w:p w14:paraId="2A3BE89F" w14:textId="77777777" w:rsidR="006F3566" w:rsidRPr="00A9330B" w:rsidRDefault="006F3566" w:rsidP="006E37A6">
            <w:pPr>
              <w:spacing w:line="240" w:lineRule="auto"/>
              <w:jc w:val="center"/>
              <w:rPr>
                <w:rFonts w:cs="Arial"/>
                <w:i/>
                <w:iCs/>
                <w:sz w:val="18"/>
                <w:szCs w:val="18"/>
              </w:rPr>
            </w:pPr>
            <w:r w:rsidRPr="00A9330B">
              <w:rPr>
                <w:rFonts w:cs="Arial"/>
                <w:i/>
                <w:iCs/>
                <w:sz w:val="18"/>
                <w:szCs w:val="18"/>
              </w:rPr>
              <w:t>Canal A</w:t>
            </w:r>
          </w:p>
        </w:tc>
        <w:tc>
          <w:tcPr>
            <w:tcW w:w="815" w:type="pct"/>
            <w:tcBorders>
              <w:top w:val="nil"/>
              <w:left w:val="nil"/>
              <w:bottom w:val="single" w:sz="4" w:space="0" w:color="auto"/>
              <w:right w:val="single" w:sz="4" w:space="0" w:color="auto"/>
            </w:tcBorders>
            <w:shd w:val="clear" w:color="auto" w:fill="auto"/>
            <w:noWrap/>
            <w:vAlign w:val="bottom"/>
            <w:hideMark/>
          </w:tcPr>
          <w:p w14:paraId="5757F214" w14:textId="77777777" w:rsidR="006F3566" w:rsidRPr="00A9330B" w:rsidRDefault="006F3566" w:rsidP="00E33E4E">
            <w:pPr>
              <w:spacing w:line="240" w:lineRule="auto"/>
              <w:rPr>
                <w:rFonts w:cs="Arial"/>
                <w:i/>
                <w:iCs/>
                <w:sz w:val="18"/>
                <w:szCs w:val="18"/>
              </w:rPr>
            </w:pPr>
            <w:r w:rsidRPr="00A9330B">
              <w:rPr>
                <w:rFonts w:cs="Arial"/>
                <w:i/>
                <w:iCs/>
                <w:sz w:val="18"/>
                <w:szCs w:val="18"/>
              </w:rPr>
              <w:t>trapèzoïdale</w:t>
            </w:r>
          </w:p>
        </w:tc>
        <w:tc>
          <w:tcPr>
            <w:tcW w:w="784" w:type="pct"/>
            <w:tcBorders>
              <w:top w:val="nil"/>
              <w:left w:val="nil"/>
              <w:bottom w:val="single" w:sz="4" w:space="0" w:color="auto"/>
              <w:right w:val="single" w:sz="4" w:space="0" w:color="auto"/>
            </w:tcBorders>
            <w:shd w:val="clear" w:color="auto" w:fill="auto"/>
            <w:noWrap/>
            <w:vAlign w:val="center"/>
            <w:hideMark/>
          </w:tcPr>
          <w:p w14:paraId="63EECCB2" w14:textId="77777777" w:rsidR="006F3566" w:rsidRPr="00A9330B" w:rsidRDefault="006F3566" w:rsidP="00645DF1">
            <w:pPr>
              <w:spacing w:line="240" w:lineRule="auto"/>
              <w:jc w:val="right"/>
              <w:rPr>
                <w:rFonts w:cs="Arial"/>
                <w:i/>
                <w:iCs/>
                <w:sz w:val="18"/>
                <w:szCs w:val="18"/>
              </w:rPr>
            </w:pPr>
            <w:r w:rsidRPr="00A9330B">
              <w:rPr>
                <w:rFonts w:cs="Arial"/>
                <w:i/>
                <w:iCs/>
                <w:sz w:val="18"/>
                <w:szCs w:val="18"/>
              </w:rPr>
              <w:t>1084.29</w:t>
            </w:r>
          </w:p>
        </w:tc>
        <w:tc>
          <w:tcPr>
            <w:tcW w:w="1417" w:type="pct"/>
            <w:tcBorders>
              <w:top w:val="nil"/>
              <w:left w:val="nil"/>
              <w:bottom w:val="single" w:sz="4" w:space="0" w:color="auto"/>
              <w:right w:val="single" w:sz="8" w:space="0" w:color="auto"/>
            </w:tcBorders>
            <w:shd w:val="clear" w:color="auto" w:fill="auto"/>
            <w:noWrap/>
            <w:vAlign w:val="bottom"/>
            <w:hideMark/>
          </w:tcPr>
          <w:p w14:paraId="5B2FA3ED" w14:textId="77777777" w:rsidR="006F3566" w:rsidRPr="00A9330B" w:rsidRDefault="006F3566" w:rsidP="000F7BA7">
            <w:pPr>
              <w:spacing w:line="240" w:lineRule="auto"/>
              <w:jc w:val="center"/>
              <w:rPr>
                <w:rFonts w:cs="Arial"/>
                <w:i/>
                <w:iCs/>
                <w:sz w:val="18"/>
                <w:szCs w:val="18"/>
              </w:rPr>
            </w:pPr>
            <w:r w:rsidRPr="00A9330B">
              <w:rPr>
                <w:rFonts w:cs="Arial"/>
                <w:i/>
                <w:iCs/>
                <w:sz w:val="18"/>
                <w:szCs w:val="18"/>
              </w:rPr>
              <w:t>1,6x6,6x5</w:t>
            </w:r>
          </w:p>
        </w:tc>
      </w:tr>
      <w:tr w:rsidR="0064324E" w:rsidRPr="00A9330B" w14:paraId="03A82688" w14:textId="77777777" w:rsidTr="000F7BA7">
        <w:trPr>
          <w:trHeight w:val="20"/>
        </w:trPr>
        <w:tc>
          <w:tcPr>
            <w:tcW w:w="1233" w:type="pct"/>
            <w:tcBorders>
              <w:top w:val="nil"/>
              <w:left w:val="single" w:sz="8" w:space="0" w:color="auto"/>
              <w:bottom w:val="single" w:sz="4" w:space="0" w:color="auto"/>
              <w:right w:val="single" w:sz="4" w:space="0" w:color="auto"/>
            </w:tcBorders>
            <w:shd w:val="clear" w:color="auto" w:fill="FFFFFF" w:themeFill="background1"/>
            <w:noWrap/>
            <w:vAlign w:val="bottom"/>
            <w:hideMark/>
          </w:tcPr>
          <w:p w14:paraId="0BAD3D16" w14:textId="77777777" w:rsidR="006F3566" w:rsidRPr="00A9330B" w:rsidRDefault="006F3566" w:rsidP="0064324E">
            <w:pPr>
              <w:spacing w:line="240" w:lineRule="auto"/>
              <w:rPr>
                <w:rFonts w:cs="Arial"/>
                <w:i/>
                <w:iCs/>
                <w:sz w:val="18"/>
                <w:szCs w:val="18"/>
              </w:rPr>
            </w:pPr>
            <w:r w:rsidRPr="00A9330B">
              <w:rPr>
                <w:rFonts w:cs="Arial"/>
                <w:i/>
                <w:iCs/>
                <w:sz w:val="18"/>
                <w:szCs w:val="18"/>
              </w:rPr>
              <w:t>COL_A11</w:t>
            </w:r>
          </w:p>
        </w:tc>
        <w:tc>
          <w:tcPr>
            <w:tcW w:w="750" w:type="pct"/>
            <w:tcBorders>
              <w:top w:val="nil"/>
              <w:left w:val="nil"/>
              <w:bottom w:val="single" w:sz="4" w:space="0" w:color="auto"/>
              <w:right w:val="single" w:sz="4" w:space="0" w:color="auto"/>
            </w:tcBorders>
            <w:shd w:val="clear" w:color="auto" w:fill="auto"/>
            <w:noWrap/>
            <w:vAlign w:val="bottom"/>
            <w:hideMark/>
          </w:tcPr>
          <w:p w14:paraId="100D23FA" w14:textId="77777777" w:rsidR="006F3566" w:rsidRPr="00A9330B" w:rsidRDefault="006F3566" w:rsidP="006E37A6">
            <w:pPr>
              <w:spacing w:line="240" w:lineRule="auto"/>
              <w:jc w:val="center"/>
              <w:rPr>
                <w:rFonts w:cs="Arial"/>
                <w:i/>
                <w:iCs/>
                <w:sz w:val="18"/>
                <w:szCs w:val="18"/>
              </w:rPr>
            </w:pPr>
            <w:r w:rsidRPr="00A9330B">
              <w:rPr>
                <w:rFonts w:cs="Arial"/>
                <w:i/>
                <w:iCs/>
                <w:sz w:val="18"/>
                <w:szCs w:val="18"/>
              </w:rPr>
              <w:t>Canal A</w:t>
            </w:r>
          </w:p>
        </w:tc>
        <w:tc>
          <w:tcPr>
            <w:tcW w:w="815" w:type="pct"/>
            <w:tcBorders>
              <w:top w:val="nil"/>
              <w:left w:val="nil"/>
              <w:bottom w:val="single" w:sz="4" w:space="0" w:color="auto"/>
              <w:right w:val="single" w:sz="4" w:space="0" w:color="auto"/>
            </w:tcBorders>
            <w:shd w:val="clear" w:color="auto" w:fill="auto"/>
            <w:noWrap/>
            <w:vAlign w:val="bottom"/>
            <w:hideMark/>
          </w:tcPr>
          <w:p w14:paraId="6329DD06" w14:textId="77777777" w:rsidR="006F3566" w:rsidRPr="00A9330B" w:rsidRDefault="006F3566" w:rsidP="00E33E4E">
            <w:pPr>
              <w:spacing w:line="240" w:lineRule="auto"/>
              <w:rPr>
                <w:rFonts w:cs="Arial"/>
                <w:i/>
                <w:iCs/>
                <w:sz w:val="18"/>
                <w:szCs w:val="18"/>
              </w:rPr>
            </w:pPr>
            <w:r w:rsidRPr="00A9330B">
              <w:rPr>
                <w:rFonts w:cs="Arial"/>
                <w:i/>
                <w:iCs/>
                <w:sz w:val="18"/>
                <w:szCs w:val="18"/>
              </w:rPr>
              <w:t>trapèzoïdale</w:t>
            </w:r>
          </w:p>
        </w:tc>
        <w:tc>
          <w:tcPr>
            <w:tcW w:w="784" w:type="pct"/>
            <w:tcBorders>
              <w:top w:val="nil"/>
              <w:left w:val="nil"/>
              <w:bottom w:val="single" w:sz="4" w:space="0" w:color="auto"/>
              <w:right w:val="single" w:sz="4" w:space="0" w:color="auto"/>
            </w:tcBorders>
            <w:shd w:val="clear" w:color="auto" w:fill="auto"/>
            <w:noWrap/>
            <w:vAlign w:val="center"/>
            <w:hideMark/>
          </w:tcPr>
          <w:p w14:paraId="581119A7" w14:textId="77777777" w:rsidR="006F3566" w:rsidRPr="00A9330B" w:rsidRDefault="006F3566" w:rsidP="00645DF1">
            <w:pPr>
              <w:spacing w:line="240" w:lineRule="auto"/>
              <w:jc w:val="right"/>
              <w:rPr>
                <w:rFonts w:cs="Arial"/>
                <w:i/>
                <w:iCs/>
                <w:sz w:val="18"/>
                <w:szCs w:val="18"/>
              </w:rPr>
            </w:pPr>
            <w:r w:rsidRPr="00A9330B">
              <w:rPr>
                <w:rFonts w:cs="Arial"/>
                <w:i/>
                <w:iCs/>
                <w:sz w:val="18"/>
                <w:szCs w:val="18"/>
              </w:rPr>
              <w:t>393.82</w:t>
            </w:r>
          </w:p>
        </w:tc>
        <w:tc>
          <w:tcPr>
            <w:tcW w:w="1417" w:type="pct"/>
            <w:tcBorders>
              <w:top w:val="nil"/>
              <w:left w:val="nil"/>
              <w:bottom w:val="single" w:sz="4" w:space="0" w:color="auto"/>
              <w:right w:val="single" w:sz="8" w:space="0" w:color="auto"/>
            </w:tcBorders>
            <w:shd w:val="clear" w:color="auto" w:fill="auto"/>
            <w:noWrap/>
            <w:vAlign w:val="bottom"/>
            <w:hideMark/>
          </w:tcPr>
          <w:p w14:paraId="2311F9C8" w14:textId="77777777" w:rsidR="006F3566" w:rsidRPr="00A9330B" w:rsidRDefault="006F3566" w:rsidP="000F7BA7">
            <w:pPr>
              <w:spacing w:line="240" w:lineRule="auto"/>
              <w:jc w:val="center"/>
              <w:rPr>
                <w:rFonts w:cs="Arial"/>
                <w:i/>
                <w:iCs/>
                <w:sz w:val="18"/>
                <w:szCs w:val="18"/>
              </w:rPr>
            </w:pPr>
            <w:r w:rsidRPr="00A9330B">
              <w:rPr>
                <w:rFonts w:cs="Arial"/>
                <w:i/>
                <w:iCs/>
                <w:sz w:val="18"/>
                <w:szCs w:val="18"/>
              </w:rPr>
              <w:t>1,6x6,6x5</w:t>
            </w:r>
          </w:p>
        </w:tc>
      </w:tr>
      <w:tr w:rsidR="0064324E" w:rsidRPr="00A9330B" w14:paraId="0EA9EFB1" w14:textId="77777777" w:rsidTr="000F7BA7">
        <w:trPr>
          <w:trHeight w:val="20"/>
        </w:trPr>
        <w:tc>
          <w:tcPr>
            <w:tcW w:w="1233" w:type="pct"/>
            <w:tcBorders>
              <w:top w:val="nil"/>
              <w:left w:val="single" w:sz="8" w:space="0" w:color="auto"/>
              <w:bottom w:val="single" w:sz="4" w:space="0" w:color="auto"/>
              <w:right w:val="single" w:sz="4" w:space="0" w:color="auto"/>
            </w:tcBorders>
            <w:shd w:val="clear" w:color="auto" w:fill="FFFFFF" w:themeFill="background1"/>
            <w:noWrap/>
            <w:vAlign w:val="bottom"/>
            <w:hideMark/>
          </w:tcPr>
          <w:p w14:paraId="64DADDB6" w14:textId="77777777" w:rsidR="006F3566" w:rsidRPr="00A9330B" w:rsidRDefault="006F3566" w:rsidP="0064324E">
            <w:pPr>
              <w:spacing w:line="240" w:lineRule="auto"/>
              <w:rPr>
                <w:rFonts w:cs="Arial"/>
                <w:i/>
                <w:iCs/>
                <w:sz w:val="18"/>
                <w:szCs w:val="18"/>
              </w:rPr>
            </w:pPr>
            <w:r w:rsidRPr="00A9330B">
              <w:rPr>
                <w:rFonts w:cs="Arial"/>
                <w:i/>
                <w:iCs/>
                <w:sz w:val="18"/>
                <w:szCs w:val="18"/>
              </w:rPr>
              <w:t>COL_B2a &amp; COL_B2b</w:t>
            </w:r>
          </w:p>
        </w:tc>
        <w:tc>
          <w:tcPr>
            <w:tcW w:w="750" w:type="pct"/>
            <w:tcBorders>
              <w:top w:val="nil"/>
              <w:left w:val="nil"/>
              <w:bottom w:val="single" w:sz="4" w:space="0" w:color="auto"/>
              <w:right w:val="single" w:sz="4" w:space="0" w:color="auto"/>
            </w:tcBorders>
            <w:shd w:val="clear" w:color="auto" w:fill="auto"/>
            <w:noWrap/>
            <w:vAlign w:val="bottom"/>
            <w:hideMark/>
          </w:tcPr>
          <w:p w14:paraId="3B7872B3" w14:textId="77777777" w:rsidR="006F3566" w:rsidRPr="00A9330B" w:rsidRDefault="006F3566" w:rsidP="006E37A6">
            <w:pPr>
              <w:spacing w:line="240" w:lineRule="auto"/>
              <w:jc w:val="center"/>
              <w:rPr>
                <w:rFonts w:cs="Arial"/>
                <w:i/>
                <w:iCs/>
                <w:sz w:val="18"/>
                <w:szCs w:val="18"/>
              </w:rPr>
            </w:pPr>
            <w:r w:rsidRPr="00A9330B">
              <w:rPr>
                <w:rFonts w:cs="Arial"/>
                <w:i/>
                <w:iCs/>
                <w:sz w:val="18"/>
                <w:szCs w:val="18"/>
              </w:rPr>
              <w:t>Canal B</w:t>
            </w:r>
          </w:p>
        </w:tc>
        <w:tc>
          <w:tcPr>
            <w:tcW w:w="815" w:type="pct"/>
            <w:tcBorders>
              <w:top w:val="nil"/>
              <w:left w:val="nil"/>
              <w:bottom w:val="single" w:sz="4" w:space="0" w:color="auto"/>
              <w:right w:val="single" w:sz="4" w:space="0" w:color="auto"/>
            </w:tcBorders>
            <w:shd w:val="clear" w:color="auto" w:fill="auto"/>
            <w:vAlign w:val="bottom"/>
            <w:hideMark/>
          </w:tcPr>
          <w:p w14:paraId="16D4FFDE" w14:textId="77777777" w:rsidR="006F3566" w:rsidRPr="00A9330B" w:rsidRDefault="006F3566" w:rsidP="00E33E4E">
            <w:pPr>
              <w:spacing w:line="240" w:lineRule="auto"/>
              <w:rPr>
                <w:rFonts w:cs="Arial"/>
                <w:i/>
                <w:iCs/>
                <w:sz w:val="18"/>
                <w:szCs w:val="18"/>
              </w:rPr>
            </w:pPr>
            <w:r w:rsidRPr="00A9330B">
              <w:rPr>
                <w:rFonts w:cs="Arial"/>
                <w:i/>
                <w:iCs/>
                <w:sz w:val="18"/>
                <w:szCs w:val="18"/>
              </w:rPr>
              <w:t>trapèzoïdale</w:t>
            </w:r>
          </w:p>
        </w:tc>
        <w:tc>
          <w:tcPr>
            <w:tcW w:w="784" w:type="pct"/>
            <w:tcBorders>
              <w:top w:val="nil"/>
              <w:left w:val="nil"/>
              <w:bottom w:val="single" w:sz="4" w:space="0" w:color="auto"/>
              <w:right w:val="single" w:sz="4" w:space="0" w:color="auto"/>
            </w:tcBorders>
            <w:shd w:val="clear" w:color="auto" w:fill="auto"/>
            <w:noWrap/>
            <w:vAlign w:val="center"/>
            <w:hideMark/>
          </w:tcPr>
          <w:p w14:paraId="04689C07" w14:textId="77777777" w:rsidR="006F3566" w:rsidRPr="00A9330B" w:rsidRDefault="006F3566" w:rsidP="00645DF1">
            <w:pPr>
              <w:spacing w:line="240" w:lineRule="auto"/>
              <w:jc w:val="right"/>
              <w:rPr>
                <w:rFonts w:cs="Arial"/>
                <w:i/>
                <w:iCs/>
                <w:sz w:val="18"/>
                <w:szCs w:val="18"/>
              </w:rPr>
            </w:pPr>
            <w:r w:rsidRPr="00A9330B">
              <w:rPr>
                <w:rFonts w:cs="Arial"/>
                <w:i/>
                <w:iCs/>
                <w:sz w:val="18"/>
                <w:szCs w:val="18"/>
              </w:rPr>
              <w:t>732.1</w:t>
            </w:r>
          </w:p>
        </w:tc>
        <w:tc>
          <w:tcPr>
            <w:tcW w:w="1417" w:type="pct"/>
            <w:tcBorders>
              <w:top w:val="nil"/>
              <w:left w:val="nil"/>
              <w:bottom w:val="single" w:sz="4" w:space="0" w:color="auto"/>
              <w:right w:val="single" w:sz="8" w:space="0" w:color="auto"/>
            </w:tcBorders>
            <w:shd w:val="clear" w:color="auto" w:fill="auto"/>
            <w:noWrap/>
            <w:vAlign w:val="bottom"/>
            <w:hideMark/>
          </w:tcPr>
          <w:p w14:paraId="3C366ABF" w14:textId="77777777" w:rsidR="006F3566" w:rsidRPr="00A9330B" w:rsidRDefault="006F3566" w:rsidP="000F7BA7">
            <w:pPr>
              <w:spacing w:line="240" w:lineRule="auto"/>
              <w:jc w:val="center"/>
              <w:rPr>
                <w:rFonts w:cs="Arial"/>
                <w:i/>
                <w:iCs/>
                <w:sz w:val="18"/>
                <w:szCs w:val="18"/>
              </w:rPr>
            </w:pPr>
            <w:r w:rsidRPr="00A9330B">
              <w:rPr>
                <w:rFonts w:cs="Arial"/>
                <w:i/>
                <w:iCs/>
                <w:sz w:val="18"/>
                <w:szCs w:val="18"/>
              </w:rPr>
              <w:t>1x3x2</w:t>
            </w:r>
          </w:p>
        </w:tc>
      </w:tr>
      <w:tr w:rsidR="0064324E" w:rsidRPr="00A9330B" w14:paraId="6932191F" w14:textId="77777777" w:rsidTr="000F7BA7">
        <w:trPr>
          <w:trHeight w:val="20"/>
        </w:trPr>
        <w:tc>
          <w:tcPr>
            <w:tcW w:w="1233" w:type="pct"/>
            <w:tcBorders>
              <w:top w:val="nil"/>
              <w:left w:val="single" w:sz="8" w:space="0" w:color="auto"/>
              <w:bottom w:val="single" w:sz="4" w:space="0" w:color="auto"/>
              <w:right w:val="single" w:sz="4" w:space="0" w:color="auto"/>
            </w:tcBorders>
            <w:shd w:val="clear" w:color="auto" w:fill="FFFFFF" w:themeFill="background1"/>
            <w:noWrap/>
            <w:vAlign w:val="bottom"/>
            <w:hideMark/>
          </w:tcPr>
          <w:p w14:paraId="285D05A9" w14:textId="77777777" w:rsidR="006F3566" w:rsidRPr="00A9330B" w:rsidRDefault="006F3566" w:rsidP="0064324E">
            <w:pPr>
              <w:spacing w:line="240" w:lineRule="auto"/>
              <w:rPr>
                <w:rFonts w:cs="Arial"/>
                <w:i/>
                <w:iCs/>
                <w:sz w:val="18"/>
                <w:szCs w:val="18"/>
              </w:rPr>
            </w:pPr>
            <w:r w:rsidRPr="00A9330B">
              <w:rPr>
                <w:rFonts w:cs="Arial"/>
                <w:i/>
                <w:iCs/>
                <w:sz w:val="18"/>
                <w:szCs w:val="18"/>
              </w:rPr>
              <w:t>COL_B3a , COL_B3b, COL_B3c &amp; COL_B3d</w:t>
            </w:r>
          </w:p>
        </w:tc>
        <w:tc>
          <w:tcPr>
            <w:tcW w:w="750" w:type="pct"/>
            <w:tcBorders>
              <w:top w:val="nil"/>
              <w:left w:val="nil"/>
              <w:bottom w:val="single" w:sz="4" w:space="0" w:color="auto"/>
              <w:right w:val="single" w:sz="4" w:space="0" w:color="auto"/>
            </w:tcBorders>
            <w:shd w:val="clear" w:color="auto" w:fill="auto"/>
            <w:noWrap/>
            <w:vAlign w:val="bottom"/>
            <w:hideMark/>
          </w:tcPr>
          <w:p w14:paraId="13AEEC41" w14:textId="77777777" w:rsidR="006F3566" w:rsidRPr="00A9330B" w:rsidRDefault="006F3566" w:rsidP="006E37A6">
            <w:pPr>
              <w:spacing w:line="240" w:lineRule="auto"/>
              <w:jc w:val="center"/>
              <w:rPr>
                <w:rFonts w:cs="Arial"/>
                <w:i/>
                <w:iCs/>
                <w:sz w:val="18"/>
                <w:szCs w:val="18"/>
              </w:rPr>
            </w:pPr>
            <w:r w:rsidRPr="00A9330B">
              <w:rPr>
                <w:rFonts w:cs="Arial"/>
                <w:i/>
                <w:iCs/>
                <w:sz w:val="18"/>
                <w:szCs w:val="18"/>
              </w:rPr>
              <w:t>Canal B</w:t>
            </w:r>
          </w:p>
        </w:tc>
        <w:tc>
          <w:tcPr>
            <w:tcW w:w="815" w:type="pct"/>
            <w:tcBorders>
              <w:top w:val="nil"/>
              <w:left w:val="nil"/>
              <w:bottom w:val="single" w:sz="4" w:space="0" w:color="auto"/>
              <w:right w:val="single" w:sz="4" w:space="0" w:color="auto"/>
            </w:tcBorders>
            <w:shd w:val="clear" w:color="auto" w:fill="auto"/>
            <w:vAlign w:val="bottom"/>
            <w:hideMark/>
          </w:tcPr>
          <w:p w14:paraId="38AA3482" w14:textId="77777777" w:rsidR="006F3566" w:rsidRPr="00A9330B" w:rsidRDefault="006F3566" w:rsidP="00E33E4E">
            <w:pPr>
              <w:spacing w:line="240" w:lineRule="auto"/>
              <w:rPr>
                <w:rFonts w:cs="Arial"/>
                <w:i/>
                <w:iCs/>
                <w:sz w:val="18"/>
                <w:szCs w:val="18"/>
              </w:rPr>
            </w:pPr>
            <w:r w:rsidRPr="00A9330B">
              <w:rPr>
                <w:rFonts w:cs="Arial"/>
                <w:i/>
                <w:iCs/>
                <w:sz w:val="18"/>
                <w:szCs w:val="18"/>
              </w:rPr>
              <w:t>trapèzoïdale</w:t>
            </w:r>
          </w:p>
        </w:tc>
        <w:tc>
          <w:tcPr>
            <w:tcW w:w="784" w:type="pct"/>
            <w:tcBorders>
              <w:top w:val="nil"/>
              <w:left w:val="nil"/>
              <w:bottom w:val="single" w:sz="4" w:space="0" w:color="auto"/>
              <w:right w:val="single" w:sz="4" w:space="0" w:color="auto"/>
            </w:tcBorders>
            <w:shd w:val="clear" w:color="auto" w:fill="auto"/>
            <w:noWrap/>
            <w:vAlign w:val="center"/>
            <w:hideMark/>
          </w:tcPr>
          <w:p w14:paraId="74AD3039" w14:textId="77777777" w:rsidR="006F3566" w:rsidRPr="00A9330B" w:rsidRDefault="006F3566" w:rsidP="00645DF1">
            <w:pPr>
              <w:spacing w:line="240" w:lineRule="auto"/>
              <w:jc w:val="right"/>
              <w:rPr>
                <w:rFonts w:cs="Arial"/>
                <w:i/>
                <w:iCs/>
                <w:sz w:val="18"/>
                <w:szCs w:val="18"/>
              </w:rPr>
            </w:pPr>
            <w:r w:rsidRPr="00A9330B">
              <w:rPr>
                <w:rFonts w:cs="Arial"/>
                <w:i/>
                <w:iCs/>
                <w:sz w:val="18"/>
                <w:szCs w:val="18"/>
              </w:rPr>
              <w:t>1344.55</w:t>
            </w:r>
          </w:p>
        </w:tc>
        <w:tc>
          <w:tcPr>
            <w:tcW w:w="1417" w:type="pct"/>
            <w:tcBorders>
              <w:top w:val="nil"/>
              <w:left w:val="nil"/>
              <w:bottom w:val="single" w:sz="4" w:space="0" w:color="auto"/>
              <w:right w:val="single" w:sz="8" w:space="0" w:color="auto"/>
            </w:tcBorders>
            <w:shd w:val="clear" w:color="auto" w:fill="auto"/>
            <w:noWrap/>
            <w:vAlign w:val="bottom"/>
            <w:hideMark/>
          </w:tcPr>
          <w:p w14:paraId="331FE21C" w14:textId="77777777" w:rsidR="006F3566" w:rsidRPr="00A9330B" w:rsidRDefault="006F3566" w:rsidP="000F7BA7">
            <w:pPr>
              <w:spacing w:line="240" w:lineRule="auto"/>
              <w:jc w:val="center"/>
              <w:rPr>
                <w:rFonts w:cs="Arial"/>
                <w:i/>
                <w:iCs/>
                <w:sz w:val="18"/>
                <w:szCs w:val="18"/>
              </w:rPr>
            </w:pPr>
            <w:r w:rsidRPr="00A9330B">
              <w:rPr>
                <w:rFonts w:cs="Arial"/>
                <w:i/>
                <w:iCs/>
                <w:sz w:val="18"/>
                <w:szCs w:val="18"/>
              </w:rPr>
              <w:t>1x3x2</w:t>
            </w:r>
          </w:p>
        </w:tc>
      </w:tr>
      <w:tr w:rsidR="0064324E" w:rsidRPr="00A9330B" w14:paraId="455FD8AE" w14:textId="77777777" w:rsidTr="000F7BA7">
        <w:trPr>
          <w:trHeight w:val="20"/>
        </w:trPr>
        <w:tc>
          <w:tcPr>
            <w:tcW w:w="2798" w:type="pct"/>
            <w:gridSpan w:val="3"/>
            <w:tcBorders>
              <w:top w:val="single" w:sz="4" w:space="0" w:color="auto"/>
              <w:left w:val="single" w:sz="8" w:space="0" w:color="auto"/>
              <w:bottom w:val="single" w:sz="4" w:space="0" w:color="auto"/>
              <w:right w:val="single" w:sz="4" w:space="0" w:color="auto"/>
            </w:tcBorders>
            <w:shd w:val="clear" w:color="auto" w:fill="FFFFFF" w:themeFill="background1"/>
            <w:noWrap/>
            <w:vAlign w:val="bottom"/>
            <w:hideMark/>
          </w:tcPr>
          <w:p w14:paraId="41FAA902" w14:textId="77777777" w:rsidR="006F3566" w:rsidRPr="00A9330B" w:rsidRDefault="006F3566" w:rsidP="0064324E">
            <w:pPr>
              <w:spacing w:line="240" w:lineRule="auto"/>
              <w:rPr>
                <w:rFonts w:cs="Arial"/>
                <w:i/>
                <w:iCs/>
                <w:sz w:val="18"/>
                <w:szCs w:val="18"/>
              </w:rPr>
            </w:pPr>
            <w:r w:rsidRPr="00A9330B">
              <w:rPr>
                <w:rFonts w:cs="Arial"/>
                <w:i/>
                <w:iCs/>
                <w:sz w:val="18"/>
                <w:szCs w:val="18"/>
              </w:rPr>
              <w:t>TOTAL COLLECTEURS SECONDAIRES</w:t>
            </w:r>
          </w:p>
        </w:tc>
        <w:tc>
          <w:tcPr>
            <w:tcW w:w="784" w:type="pct"/>
            <w:tcBorders>
              <w:top w:val="nil"/>
              <w:left w:val="nil"/>
              <w:bottom w:val="single" w:sz="4" w:space="0" w:color="auto"/>
              <w:right w:val="single" w:sz="4" w:space="0" w:color="auto"/>
            </w:tcBorders>
            <w:shd w:val="clear" w:color="auto" w:fill="auto"/>
            <w:noWrap/>
            <w:vAlign w:val="center"/>
            <w:hideMark/>
          </w:tcPr>
          <w:p w14:paraId="48327709" w14:textId="77777777" w:rsidR="006F3566" w:rsidRPr="00A9330B" w:rsidRDefault="006F3566" w:rsidP="006E37A6">
            <w:pPr>
              <w:spacing w:line="240" w:lineRule="auto"/>
              <w:jc w:val="right"/>
              <w:rPr>
                <w:rFonts w:cs="Arial"/>
                <w:i/>
                <w:iCs/>
                <w:sz w:val="18"/>
                <w:szCs w:val="18"/>
              </w:rPr>
            </w:pPr>
            <w:r w:rsidRPr="00A9330B">
              <w:rPr>
                <w:rFonts w:cs="Arial"/>
                <w:i/>
                <w:iCs/>
                <w:sz w:val="18"/>
                <w:szCs w:val="18"/>
              </w:rPr>
              <w:t>7226.027</w:t>
            </w:r>
          </w:p>
        </w:tc>
        <w:tc>
          <w:tcPr>
            <w:tcW w:w="1417" w:type="pct"/>
            <w:tcBorders>
              <w:top w:val="nil"/>
              <w:left w:val="nil"/>
              <w:bottom w:val="single" w:sz="4" w:space="0" w:color="auto"/>
              <w:right w:val="single" w:sz="8" w:space="0" w:color="auto"/>
            </w:tcBorders>
            <w:shd w:val="clear" w:color="auto" w:fill="auto"/>
            <w:noWrap/>
            <w:vAlign w:val="bottom"/>
            <w:hideMark/>
          </w:tcPr>
          <w:p w14:paraId="530D6EC8" w14:textId="77777777" w:rsidR="006F3566" w:rsidRPr="00A9330B" w:rsidRDefault="006F3566" w:rsidP="00E33E4E">
            <w:pPr>
              <w:spacing w:line="240" w:lineRule="auto"/>
              <w:jc w:val="center"/>
              <w:rPr>
                <w:rFonts w:cs="Arial"/>
                <w:i/>
                <w:iCs/>
                <w:sz w:val="18"/>
                <w:szCs w:val="18"/>
              </w:rPr>
            </w:pPr>
            <w:r w:rsidRPr="00A9330B">
              <w:rPr>
                <w:rFonts w:cs="Arial"/>
                <w:i/>
                <w:iCs/>
                <w:sz w:val="18"/>
                <w:szCs w:val="18"/>
              </w:rPr>
              <w:t> </w:t>
            </w:r>
          </w:p>
        </w:tc>
      </w:tr>
      <w:tr w:rsidR="0064324E" w:rsidRPr="00A9330B" w14:paraId="7C920503" w14:textId="77777777" w:rsidTr="000F7BA7">
        <w:trPr>
          <w:trHeight w:val="20"/>
        </w:trPr>
        <w:tc>
          <w:tcPr>
            <w:tcW w:w="1233" w:type="pct"/>
            <w:tcBorders>
              <w:top w:val="nil"/>
              <w:left w:val="single" w:sz="8" w:space="0" w:color="auto"/>
              <w:bottom w:val="single" w:sz="4" w:space="0" w:color="auto"/>
              <w:right w:val="single" w:sz="4" w:space="0" w:color="auto"/>
            </w:tcBorders>
            <w:shd w:val="clear" w:color="auto" w:fill="FFFFFF" w:themeFill="background1"/>
            <w:noWrap/>
            <w:vAlign w:val="bottom"/>
            <w:hideMark/>
          </w:tcPr>
          <w:p w14:paraId="090865E1" w14:textId="77777777" w:rsidR="006F3566" w:rsidRPr="00A9330B" w:rsidRDefault="006F3566" w:rsidP="0064324E">
            <w:pPr>
              <w:spacing w:line="240" w:lineRule="auto"/>
              <w:rPr>
                <w:rFonts w:cs="Arial"/>
                <w:i/>
                <w:iCs/>
                <w:sz w:val="18"/>
                <w:szCs w:val="18"/>
              </w:rPr>
            </w:pPr>
            <w:r w:rsidRPr="00A9330B">
              <w:rPr>
                <w:rFonts w:cs="Arial"/>
                <w:i/>
                <w:iCs/>
                <w:sz w:val="18"/>
                <w:szCs w:val="18"/>
              </w:rPr>
              <w:t> </w:t>
            </w:r>
          </w:p>
        </w:tc>
        <w:tc>
          <w:tcPr>
            <w:tcW w:w="750" w:type="pct"/>
            <w:tcBorders>
              <w:top w:val="nil"/>
              <w:left w:val="nil"/>
              <w:bottom w:val="single" w:sz="4" w:space="0" w:color="auto"/>
              <w:right w:val="single" w:sz="4" w:space="0" w:color="auto"/>
            </w:tcBorders>
            <w:shd w:val="clear" w:color="auto" w:fill="auto"/>
            <w:noWrap/>
            <w:vAlign w:val="bottom"/>
            <w:hideMark/>
          </w:tcPr>
          <w:p w14:paraId="223913F9" w14:textId="77777777" w:rsidR="006F3566" w:rsidRPr="00A9330B" w:rsidRDefault="006F3566" w:rsidP="006E37A6">
            <w:pPr>
              <w:spacing w:line="240" w:lineRule="auto"/>
              <w:rPr>
                <w:rFonts w:cs="Arial"/>
                <w:i/>
                <w:iCs/>
                <w:sz w:val="18"/>
                <w:szCs w:val="18"/>
              </w:rPr>
            </w:pPr>
            <w:r w:rsidRPr="00A9330B">
              <w:rPr>
                <w:rFonts w:cs="Arial"/>
                <w:i/>
                <w:iCs/>
                <w:sz w:val="18"/>
                <w:szCs w:val="18"/>
              </w:rPr>
              <w:t> </w:t>
            </w:r>
          </w:p>
        </w:tc>
        <w:tc>
          <w:tcPr>
            <w:tcW w:w="815" w:type="pct"/>
            <w:tcBorders>
              <w:top w:val="nil"/>
              <w:left w:val="nil"/>
              <w:bottom w:val="single" w:sz="4" w:space="0" w:color="auto"/>
              <w:right w:val="single" w:sz="4" w:space="0" w:color="auto"/>
            </w:tcBorders>
            <w:shd w:val="clear" w:color="auto" w:fill="auto"/>
            <w:vAlign w:val="bottom"/>
            <w:hideMark/>
          </w:tcPr>
          <w:p w14:paraId="02C009E2" w14:textId="77777777" w:rsidR="006F3566" w:rsidRPr="00A9330B" w:rsidRDefault="006F3566" w:rsidP="00E33E4E">
            <w:pPr>
              <w:spacing w:line="240" w:lineRule="auto"/>
              <w:rPr>
                <w:rFonts w:cs="Arial"/>
                <w:i/>
                <w:iCs/>
                <w:sz w:val="18"/>
                <w:szCs w:val="18"/>
              </w:rPr>
            </w:pPr>
            <w:r w:rsidRPr="00A9330B">
              <w:rPr>
                <w:rFonts w:cs="Arial"/>
                <w:i/>
                <w:iCs/>
                <w:sz w:val="18"/>
                <w:szCs w:val="18"/>
              </w:rPr>
              <w:t> </w:t>
            </w:r>
          </w:p>
        </w:tc>
        <w:tc>
          <w:tcPr>
            <w:tcW w:w="784" w:type="pct"/>
            <w:tcBorders>
              <w:top w:val="nil"/>
              <w:left w:val="nil"/>
              <w:bottom w:val="single" w:sz="4" w:space="0" w:color="auto"/>
              <w:right w:val="single" w:sz="4" w:space="0" w:color="auto"/>
            </w:tcBorders>
            <w:shd w:val="clear" w:color="auto" w:fill="auto"/>
            <w:noWrap/>
            <w:vAlign w:val="bottom"/>
            <w:hideMark/>
          </w:tcPr>
          <w:p w14:paraId="1C47CF16" w14:textId="77777777" w:rsidR="006F3566" w:rsidRPr="00A9330B" w:rsidRDefault="006F3566" w:rsidP="00645DF1">
            <w:pPr>
              <w:spacing w:line="240" w:lineRule="auto"/>
              <w:jc w:val="center"/>
              <w:rPr>
                <w:rFonts w:cs="Arial"/>
                <w:i/>
                <w:iCs/>
                <w:sz w:val="18"/>
                <w:szCs w:val="18"/>
              </w:rPr>
            </w:pPr>
            <w:r w:rsidRPr="00A9330B">
              <w:rPr>
                <w:rFonts w:cs="Arial"/>
                <w:i/>
                <w:iCs/>
                <w:sz w:val="18"/>
                <w:szCs w:val="18"/>
              </w:rPr>
              <w:t> </w:t>
            </w:r>
          </w:p>
        </w:tc>
        <w:tc>
          <w:tcPr>
            <w:tcW w:w="1417" w:type="pct"/>
            <w:tcBorders>
              <w:top w:val="nil"/>
              <w:left w:val="nil"/>
              <w:bottom w:val="single" w:sz="4" w:space="0" w:color="auto"/>
              <w:right w:val="single" w:sz="8" w:space="0" w:color="auto"/>
            </w:tcBorders>
            <w:shd w:val="clear" w:color="auto" w:fill="auto"/>
            <w:noWrap/>
            <w:vAlign w:val="bottom"/>
            <w:hideMark/>
          </w:tcPr>
          <w:p w14:paraId="09E04A60" w14:textId="77777777" w:rsidR="006F3566" w:rsidRPr="00A9330B" w:rsidRDefault="006F3566" w:rsidP="000F7BA7">
            <w:pPr>
              <w:spacing w:line="240" w:lineRule="auto"/>
              <w:jc w:val="center"/>
              <w:rPr>
                <w:rFonts w:cs="Arial"/>
                <w:i/>
                <w:iCs/>
                <w:sz w:val="18"/>
                <w:szCs w:val="18"/>
              </w:rPr>
            </w:pPr>
            <w:r w:rsidRPr="00A9330B">
              <w:rPr>
                <w:rFonts w:cs="Arial"/>
                <w:i/>
                <w:iCs/>
                <w:sz w:val="18"/>
                <w:szCs w:val="18"/>
              </w:rPr>
              <w:t> </w:t>
            </w:r>
          </w:p>
        </w:tc>
      </w:tr>
      <w:tr w:rsidR="0064324E" w:rsidRPr="00A9330B" w14:paraId="75F31A81" w14:textId="77777777" w:rsidTr="000F7BA7">
        <w:trPr>
          <w:trHeight w:val="20"/>
        </w:trPr>
        <w:tc>
          <w:tcPr>
            <w:tcW w:w="1233" w:type="pct"/>
            <w:tcBorders>
              <w:top w:val="nil"/>
              <w:left w:val="single" w:sz="8" w:space="0" w:color="auto"/>
              <w:bottom w:val="single" w:sz="8" w:space="0" w:color="auto"/>
              <w:right w:val="single" w:sz="4" w:space="0" w:color="auto"/>
            </w:tcBorders>
            <w:shd w:val="clear" w:color="auto" w:fill="FFFFFF" w:themeFill="background1"/>
            <w:noWrap/>
            <w:vAlign w:val="bottom"/>
            <w:hideMark/>
          </w:tcPr>
          <w:p w14:paraId="08D73084" w14:textId="77777777" w:rsidR="006F3566" w:rsidRPr="00A9330B" w:rsidRDefault="006F3566" w:rsidP="0064324E">
            <w:pPr>
              <w:spacing w:line="240" w:lineRule="auto"/>
              <w:rPr>
                <w:rFonts w:cs="Arial"/>
                <w:i/>
                <w:iCs/>
                <w:sz w:val="18"/>
                <w:szCs w:val="18"/>
              </w:rPr>
            </w:pPr>
            <w:r w:rsidRPr="00A9330B">
              <w:rPr>
                <w:rFonts w:cs="Arial"/>
                <w:i/>
                <w:iCs/>
                <w:sz w:val="18"/>
                <w:szCs w:val="18"/>
              </w:rPr>
              <w:t>TOTAL LINEAIRE DE COLLECTEURS</w:t>
            </w:r>
          </w:p>
        </w:tc>
        <w:tc>
          <w:tcPr>
            <w:tcW w:w="750" w:type="pct"/>
            <w:tcBorders>
              <w:top w:val="nil"/>
              <w:left w:val="nil"/>
              <w:bottom w:val="single" w:sz="8" w:space="0" w:color="auto"/>
              <w:right w:val="single" w:sz="4" w:space="0" w:color="auto"/>
            </w:tcBorders>
            <w:shd w:val="clear" w:color="auto" w:fill="auto"/>
            <w:noWrap/>
            <w:vAlign w:val="bottom"/>
            <w:hideMark/>
          </w:tcPr>
          <w:p w14:paraId="426CE523" w14:textId="77777777" w:rsidR="006F3566" w:rsidRPr="00A9330B" w:rsidRDefault="006F3566" w:rsidP="006E37A6">
            <w:pPr>
              <w:spacing w:line="240" w:lineRule="auto"/>
              <w:rPr>
                <w:rFonts w:cs="Arial"/>
                <w:i/>
                <w:iCs/>
                <w:sz w:val="18"/>
                <w:szCs w:val="18"/>
              </w:rPr>
            </w:pPr>
            <w:r w:rsidRPr="00A9330B">
              <w:rPr>
                <w:rFonts w:cs="Arial"/>
                <w:i/>
                <w:iCs/>
                <w:sz w:val="18"/>
                <w:szCs w:val="18"/>
              </w:rPr>
              <w:t> </w:t>
            </w:r>
          </w:p>
        </w:tc>
        <w:tc>
          <w:tcPr>
            <w:tcW w:w="815" w:type="pct"/>
            <w:tcBorders>
              <w:top w:val="nil"/>
              <w:left w:val="nil"/>
              <w:bottom w:val="single" w:sz="8" w:space="0" w:color="auto"/>
              <w:right w:val="single" w:sz="4" w:space="0" w:color="auto"/>
            </w:tcBorders>
            <w:shd w:val="clear" w:color="auto" w:fill="auto"/>
            <w:vAlign w:val="bottom"/>
            <w:hideMark/>
          </w:tcPr>
          <w:p w14:paraId="669F377E" w14:textId="77777777" w:rsidR="006F3566" w:rsidRPr="00A9330B" w:rsidRDefault="006F3566" w:rsidP="00E33E4E">
            <w:pPr>
              <w:spacing w:line="240" w:lineRule="auto"/>
              <w:rPr>
                <w:rFonts w:cs="Arial"/>
                <w:i/>
                <w:iCs/>
                <w:sz w:val="18"/>
                <w:szCs w:val="18"/>
              </w:rPr>
            </w:pPr>
            <w:r w:rsidRPr="00A9330B">
              <w:rPr>
                <w:rFonts w:cs="Arial"/>
                <w:i/>
                <w:iCs/>
                <w:sz w:val="18"/>
                <w:szCs w:val="18"/>
              </w:rPr>
              <w:t> </w:t>
            </w:r>
          </w:p>
        </w:tc>
        <w:tc>
          <w:tcPr>
            <w:tcW w:w="784" w:type="pct"/>
            <w:tcBorders>
              <w:top w:val="nil"/>
              <w:left w:val="nil"/>
              <w:bottom w:val="single" w:sz="8" w:space="0" w:color="auto"/>
              <w:right w:val="single" w:sz="4" w:space="0" w:color="auto"/>
            </w:tcBorders>
            <w:shd w:val="clear" w:color="auto" w:fill="auto"/>
            <w:noWrap/>
            <w:vAlign w:val="bottom"/>
            <w:hideMark/>
          </w:tcPr>
          <w:p w14:paraId="0520DD6E" w14:textId="77777777" w:rsidR="006F3566" w:rsidRPr="00A9330B" w:rsidRDefault="006F3566" w:rsidP="00645DF1">
            <w:pPr>
              <w:spacing w:line="240" w:lineRule="auto"/>
              <w:jc w:val="center"/>
              <w:rPr>
                <w:rFonts w:cs="Arial"/>
                <w:b/>
                <w:bCs/>
                <w:i/>
                <w:iCs/>
                <w:sz w:val="18"/>
                <w:szCs w:val="18"/>
              </w:rPr>
            </w:pPr>
            <w:r w:rsidRPr="00A9330B">
              <w:rPr>
                <w:rFonts w:cs="Arial"/>
                <w:b/>
                <w:bCs/>
                <w:i/>
                <w:iCs/>
                <w:sz w:val="18"/>
                <w:szCs w:val="18"/>
              </w:rPr>
              <w:t>21567.057</w:t>
            </w:r>
          </w:p>
        </w:tc>
        <w:tc>
          <w:tcPr>
            <w:tcW w:w="1417" w:type="pct"/>
            <w:tcBorders>
              <w:top w:val="nil"/>
              <w:left w:val="nil"/>
              <w:bottom w:val="single" w:sz="8" w:space="0" w:color="auto"/>
              <w:right w:val="single" w:sz="8" w:space="0" w:color="auto"/>
            </w:tcBorders>
            <w:shd w:val="clear" w:color="auto" w:fill="auto"/>
            <w:noWrap/>
            <w:vAlign w:val="bottom"/>
            <w:hideMark/>
          </w:tcPr>
          <w:p w14:paraId="58DB73B7" w14:textId="77777777" w:rsidR="006F3566" w:rsidRPr="00A9330B" w:rsidRDefault="006F3566" w:rsidP="000F7BA7">
            <w:pPr>
              <w:spacing w:line="240" w:lineRule="auto"/>
              <w:jc w:val="center"/>
              <w:rPr>
                <w:rFonts w:cs="Arial"/>
                <w:b/>
                <w:bCs/>
                <w:i/>
                <w:iCs/>
                <w:sz w:val="18"/>
                <w:szCs w:val="18"/>
              </w:rPr>
            </w:pPr>
            <w:r w:rsidRPr="00A9330B">
              <w:rPr>
                <w:rFonts w:cs="Arial"/>
                <w:b/>
                <w:bCs/>
                <w:i/>
                <w:iCs/>
                <w:sz w:val="18"/>
                <w:szCs w:val="18"/>
              </w:rPr>
              <w:t> </w:t>
            </w:r>
          </w:p>
        </w:tc>
      </w:tr>
    </w:tbl>
    <w:p w14:paraId="7ED6391B" w14:textId="77777777" w:rsidR="00224551" w:rsidRPr="00A9330B" w:rsidRDefault="00224551" w:rsidP="00417D31">
      <w:pPr>
        <w:ind w:left="708" w:firstLine="708"/>
        <w:rPr>
          <w:rFonts w:cs="Arial"/>
          <w:sz w:val="18"/>
          <w:szCs w:val="18"/>
        </w:rPr>
      </w:pPr>
      <w:r w:rsidRPr="00A9330B">
        <w:rPr>
          <w:rFonts w:cs="Arial"/>
          <w:b/>
          <w:sz w:val="18"/>
          <w:szCs w:val="18"/>
        </w:rPr>
        <w:t>Source</w:t>
      </w:r>
      <w:r w:rsidRPr="00A9330B">
        <w:rPr>
          <w:rFonts w:cs="Arial"/>
          <w:sz w:val="18"/>
          <w:szCs w:val="18"/>
        </w:rPr>
        <w:t xml:space="preserve"> : CECO BTP </w:t>
      </w:r>
    </w:p>
    <w:p w14:paraId="2C92BA9A" w14:textId="77777777" w:rsidR="00401546" w:rsidRPr="00A9330B" w:rsidRDefault="00401546" w:rsidP="000F7BA7">
      <w:pPr>
        <w:tabs>
          <w:tab w:val="left" w:pos="5296"/>
          <w:tab w:val="left" w:pos="6960"/>
          <w:tab w:val="left" w:pos="8864"/>
        </w:tabs>
        <w:spacing w:line="240" w:lineRule="auto"/>
        <w:ind w:left="108"/>
      </w:pPr>
      <w:bookmarkStart w:id="876" w:name="_Toc43697653"/>
      <w:bookmarkStart w:id="877" w:name="_Toc45520856"/>
      <w:r w:rsidRPr="00A9330B">
        <w:t>5.3.1.2. Voiries à aménager</w:t>
      </w:r>
      <w:bookmarkEnd w:id="876"/>
      <w:bookmarkEnd w:id="877"/>
    </w:p>
    <w:p w14:paraId="72BDC273" w14:textId="632F0855" w:rsidR="00401546" w:rsidRPr="00A9330B" w:rsidRDefault="0064324E" w:rsidP="000F7BA7">
      <w:pPr>
        <w:jc w:val="both"/>
        <w:rPr>
          <w:rFonts w:eastAsia="Times New Roman" w:cs="Times New Roman"/>
          <w:szCs w:val="20"/>
          <w:lang w:eastAsia="de-DE"/>
        </w:rPr>
      </w:pPr>
      <w:r w:rsidRPr="00A9330B">
        <w:t xml:space="preserve">Les rues en projet, sont principalement des voies de service devant permettre d’accéder facilement aux collecteurs en vue de leur maintenance. Outre ce critère très déterminant, les rues doivent aussi interagir avec les rues des phases A ou B du projet asphaltage pour former un réseau vraiment structurant. </w:t>
      </w:r>
    </w:p>
    <w:p w14:paraId="74D9A831" w14:textId="2B3F870F" w:rsidR="00401546" w:rsidRPr="00A9330B" w:rsidRDefault="00401546" w:rsidP="00401546">
      <w:pPr>
        <w:jc w:val="both"/>
      </w:pPr>
      <w:r w:rsidRPr="00A9330B">
        <w:t>La liste des rues en projet est :</w:t>
      </w:r>
    </w:p>
    <w:p w14:paraId="4A70D0AC" w14:textId="77777777" w:rsidR="0064324E" w:rsidRPr="00A9330B" w:rsidRDefault="0064324E" w:rsidP="00401546">
      <w:pPr>
        <w:jc w:val="both"/>
      </w:pPr>
    </w:p>
    <w:p w14:paraId="5D1647BA" w14:textId="73FF707F" w:rsidR="00401546" w:rsidRPr="00A9330B" w:rsidRDefault="00401546" w:rsidP="000F7BA7">
      <w:pPr>
        <w:spacing w:before="0" w:after="160" w:line="259" w:lineRule="auto"/>
        <w:jc w:val="center"/>
        <w:rPr>
          <w:rFonts w:eastAsia="Times New Roman" w:cs="Arial"/>
          <w:b/>
          <w:color w:val="000000"/>
          <w:sz w:val="20"/>
          <w:szCs w:val="20"/>
          <w:lang w:eastAsia="fr-FR"/>
        </w:rPr>
      </w:pPr>
      <w:bookmarkStart w:id="878" w:name="_Toc43696241"/>
      <w:bookmarkStart w:id="879" w:name="_Toc52873752"/>
      <w:r w:rsidRPr="00A9330B">
        <w:rPr>
          <w:rFonts w:eastAsia="Times New Roman" w:cs="Arial"/>
          <w:b/>
          <w:color w:val="000000"/>
          <w:sz w:val="20"/>
          <w:szCs w:val="20"/>
          <w:lang w:eastAsia="fr-FR"/>
        </w:rPr>
        <w:t xml:space="preserve">Tableau </w:t>
      </w:r>
      <w:r w:rsidRPr="00A9330B">
        <w:rPr>
          <w:rFonts w:eastAsia="Times New Roman" w:cs="Arial"/>
          <w:b/>
          <w:color w:val="000000"/>
          <w:sz w:val="20"/>
          <w:szCs w:val="20"/>
          <w:lang w:eastAsia="fr-FR"/>
        </w:rPr>
        <w:fldChar w:fldCharType="begin"/>
      </w:r>
      <w:r w:rsidRPr="00A9330B">
        <w:rPr>
          <w:rFonts w:eastAsia="Times New Roman" w:cs="Arial"/>
          <w:b/>
          <w:color w:val="000000"/>
          <w:sz w:val="20"/>
          <w:szCs w:val="20"/>
          <w:lang w:eastAsia="fr-FR"/>
        </w:rPr>
        <w:instrText xml:space="preserve"> SEQ Tableau \* ARABIC </w:instrText>
      </w:r>
      <w:r w:rsidRPr="00A9330B">
        <w:rPr>
          <w:rFonts w:eastAsia="Times New Roman" w:cs="Arial"/>
          <w:b/>
          <w:color w:val="000000"/>
          <w:sz w:val="20"/>
          <w:szCs w:val="20"/>
          <w:lang w:eastAsia="fr-FR"/>
        </w:rPr>
        <w:fldChar w:fldCharType="separate"/>
      </w:r>
      <w:r w:rsidR="00417D31" w:rsidRPr="00A9330B">
        <w:rPr>
          <w:rFonts w:eastAsia="Times New Roman" w:cs="Arial"/>
          <w:b/>
          <w:noProof/>
          <w:color w:val="000000"/>
          <w:sz w:val="20"/>
          <w:szCs w:val="20"/>
          <w:lang w:eastAsia="fr-FR"/>
        </w:rPr>
        <w:t>28</w:t>
      </w:r>
      <w:r w:rsidRPr="00A9330B">
        <w:rPr>
          <w:rFonts w:eastAsia="Times New Roman" w:cs="Arial"/>
          <w:b/>
          <w:color w:val="000000"/>
          <w:sz w:val="20"/>
          <w:szCs w:val="20"/>
          <w:lang w:eastAsia="fr-FR"/>
        </w:rPr>
        <w:fldChar w:fldCharType="end"/>
      </w:r>
      <w:r w:rsidRPr="00A9330B">
        <w:rPr>
          <w:rFonts w:eastAsia="Times New Roman" w:cs="Arial"/>
          <w:b/>
          <w:color w:val="000000"/>
          <w:sz w:val="20"/>
          <w:szCs w:val="20"/>
          <w:lang w:eastAsia="fr-FR"/>
        </w:rPr>
        <w:t> : Liste</w:t>
      </w:r>
      <w:r w:rsidR="0064324E" w:rsidRPr="00A9330B">
        <w:rPr>
          <w:rFonts w:eastAsia="Times New Roman" w:cs="Arial"/>
          <w:b/>
          <w:color w:val="000000"/>
          <w:sz w:val="20"/>
          <w:szCs w:val="20"/>
          <w:lang w:eastAsia="fr-FR"/>
        </w:rPr>
        <w:t xml:space="preserve">, </w:t>
      </w:r>
      <w:r w:rsidRPr="00A9330B">
        <w:rPr>
          <w:rFonts w:eastAsia="Times New Roman" w:cs="Arial"/>
          <w:b/>
          <w:color w:val="000000"/>
          <w:sz w:val="20"/>
          <w:szCs w:val="20"/>
          <w:lang w:eastAsia="fr-FR"/>
        </w:rPr>
        <w:t xml:space="preserve">linéaires </w:t>
      </w:r>
      <w:r w:rsidR="0064324E" w:rsidRPr="00A9330B">
        <w:rPr>
          <w:rFonts w:eastAsia="Times New Roman" w:cs="Arial"/>
          <w:b/>
          <w:color w:val="000000"/>
          <w:sz w:val="20"/>
          <w:szCs w:val="20"/>
          <w:lang w:eastAsia="fr-FR"/>
        </w:rPr>
        <w:t xml:space="preserve">et caractéristiques des </w:t>
      </w:r>
      <w:r w:rsidRPr="00A9330B">
        <w:rPr>
          <w:rFonts w:eastAsia="Times New Roman" w:cs="Arial"/>
          <w:b/>
          <w:color w:val="000000"/>
          <w:sz w:val="20"/>
          <w:szCs w:val="20"/>
          <w:lang w:eastAsia="fr-FR"/>
        </w:rPr>
        <w:t>rues retenus pour PAPVS</w:t>
      </w:r>
      <w:bookmarkEnd w:id="878"/>
      <w:bookmarkEnd w:id="879"/>
    </w:p>
    <w:tbl>
      <w:tblPr>
        <w:tblW w:w="9444" w:type="dxa"/>
        <w:tblLayout w:type="fixed"/>
        <w:tblLook w:val="04A0" w:firstRow="1" w:lastRow="0" w:firstColumn="1" w:lastColumn="0" w:noHBand="0" w:noVBand="1"/>
      </w:tblPr>
      <w:tblGrid>
        <w:gridCol w:w="1828"/>
        <w:gridCol w:w="1418"/>
        <w:gridCol w:w="2229"/>
        <w:gridCol w:w="1701"/>
        <w:gridCol w:w="2268"/>
      </w:tblGrid>
      <w:tr w:rsidR="0064324E" w:rsidRPr="00A9330B" w14:paraId="7C3341D0" w14:textId="77777777" w:rsidTr="000F7BA7">
        <w:trPr>
          <w:cantSplit/>
          <w:trHeight w:val="340"/>
          <w:tblHeader/>
        </w:trPr>
        <w:tc>
          <w:tcPr>
            <w:tcW w:w="1828" w:type="dxa"/>
            <w:tcBorders>
              <w:top w:val="single" w:sz="12" w:space="0" w:color="auto"/>
              <w:left w:val="single" w:sz="12" w:space="0" w:color="auto"/>
              <w:bottom w:val="single" w:sz="4" w:space="0" w:color="auto"/>
              <w:right w:val="single" w:sz="4" w:space="0" w:color="auto"/>
            </w:tcBorders>
            <w:shd w:val="clear" w:color="auto" w:fill="00B0F0"/>
            <w:noWrap/>
            <w:vAlign w:val="center"/>
            <w:hideMark/>
          </w:tcPr>
          <w:p w14:paraId="2A2B5CED" w14:textId="77777777" w:rsidR="0064324E" w:rsidRPr="00A9330B" w:rsidRDefault="0064324E" w:rsidP="0064324E">
            <w:pPr>
              <w:spacing w:line="240" w:lineRule="auto"/>
              <w:jc w:val="center"/>
              <w:rPr>
                <w:rFonts w:cs="Arial"/>
                <w:b/>
                <w:bCs/>
                <w:iCs/>
                <w:sz w:val="18"/>
                <w:szCs w:val="18"/>
              </w:rPr>
            </w:pPr>
            <w:r w:rsidRPr="00A9330B">
              <w:rPr>
                <w:rFonts w:cs="Arial"/>
                <w:b/>
                <w:bCs/>
                <w:iCs/>
                <w:sz w:val="18"/>
                <w:szCs w:val="18"/>
              </w:rPr>
              <w:t>Désignation</w:t>
            </w:r>
          </w:p>
        </w:tc>
        <w:tc>
          <w:tcPr>
            <w:tcW w:w="1418" w:type="dxa"/>
            <w:tcBorders>
              <w:top w:val="single" w:sz="12" w:space="0" w:color="auto"/>
              <w:left w:val="nil"/>
              <w:bottom w:val="single" w:sz="4" w:space="0" w:color="auto"/>
              <w:right w:val="single" w:sz="4" w:space="0" w:color="auto"/>
            </w:tcBorders>
            <w:shd w:val="clear" w:color="auto" w:fill="00B0F0"/>
            <w:noWrap/>
            <w:vAlign w:val="center"/>
            <w:hideMark/>
          </w:tcPr>
          <w:p w14:paraId="5C98CA29" w14:textId="77777777" w:rsidR="0064324E" w:rsidRPr="00A9330B" w:rsidRDefault="0064324E" w:rsidP="0064324E">
            <w:pPr>
              <w:spacing w:line="240" w:lineRule="auto"/>
              <w:jc w:val="center"/>
              <w:rPr>
                <w:rFonts w:cs="Arial"/>
                <w:b/>
                <w:bCs/>
                <w:iCs/>
                <w:sz w:val="18"/>
                <w:szCs w:val="18"/>
              </w:rPr>
            </w:pPr>
            <w:r w:rsidRPr="00A9330B">
              <w:rPr>
                <w:rFonts w:cs="Arial"/>
                <w:b/>
                <w:bCs/>
                <w:iCs/>
                <w:sz w:val="18"/>
                <w:szCs w:val="18"/>
              </w:rPr>
              <w:t>DEBUT</w:t>
            </w:r>
          </w:p>
        </w:tc>
        <w:tc>
          <w:tcPr>
            <w:tcW w:w="2229" w:type="dxa"/>
            <w:tcBorders>
              <w:top w:val="single" w:sz="12" w:space="0" w:color="auto"/>
              <w:left w:val="nil"/>
              <w:bottom w:val="single" w:sz="4" w:space="0" w:color="auto"/>
              <w:right w:val="single" w:sz="4" w:space="0" w:color="auto"/>
            </w:tcBorders>
            <w:shd w:val="clear" w:color="auto" w:fill="00B0F0"/>
            <w:noWrap/>
            <w:vAlign w:val="center"/>
            <w:hideMark/>
          </w:tcPr>
          <w:p w14:paraId="6C906D78" w14:textId="77777777" w:rsidR="0064324E" w:rsidRPr="00A9330B" w:rsidRDefault="0064324E" w:rsidP="006E37A6">
            <w:pPr>
              <w:spacing w:line="240" w:lineRule="auto"/>
              <w:jc w:val="center"/>
              <w:rPr>
                <w:rFonts w:cs="Arial"/>
                <w:b/>
                <w:bCs/>
                <w:iCs/>
                <w:sz w:val="18"/>
                <w:szCs w:val="18"/>
              </w:rPr>
            </w:pPr>
            <w:r w:rsidRPr="00A9330B">
              <w:rPr>
                <w:rFonts w:cs="Arial"/>
                <w:b/>
                <w:bCs/>
                <w:iCs/>
                <w:sz w:val="18"/>
                <w:szCs w:val="18"/>
              </w:rPr>
              <w:t>FIN</w:t>
            </w:r>
          </w:p>
        </w:tc>
        <w:tc>
          <w:tcPr>
            <w:tcW w:w="1701" w:type="dxa"/>
            <w:tcBorders>
              <w:top w:val="single" w:sz="12" w:space="0" w:color="auto"/>
              <w:left w:val="nil"/>
              <w:bottom w:val="single" w:sz="4" w:space="0" w:color="auto"/>
              <w:right w:val="single" w:sz="4" w:space="0" w:color="auto"/>
            </w:tcBorders>
            <w:shd w:val="clear" w:color="auto" w:fill="00B0F0"/>
            <w:vAlign w:val="center"/>
            <w:hideMark/>
          </w:tcPr>
          <w:p w14:paraId="7BC487FB" w14:textId="77777777" w:rsidR="0064324E" w:rsidRPr="00A9330B" w:rsidRDefault="0064324E" w:rsidP="00E33E4E">
            <w:pPr>
              <w:spacing w:line="240" w:lineRule="auto"/>
              <w:jc w:val="center"/>
              <w:rPr>
                <w:rFonts w:cs="Arial"/>
                <w:b/>
                <w:bCs/>
                <w:iCs/>
                <w:sz w:val="18"/>
                <w:szCs w:val="18"/>
              </w:rPr>
            </w:pPr>
            <w:r w:rsidRPr="00A9330B">
              <w:rPr>
                <w:rFonts w:cs="Arial"/>
                <w:b/>
                <w:bCs/>
                <w:iCs/>
                <w:sz w:val="18"/>
                <w:szCs w:val="18"/>
              </w:rPr>
              <w:t>LINEAIRE REEL (ml)</w:t>
            </w:r>
          </w:p>
        </w:tc>
        <w:tc>
          <w:tcPr>
            <w:tcW w:w="2268" w:type="dxa"/>
            <w:tcBorders>
              <w:top w:val="single" w:sz="12" w:space="0" w:color="auto"/>
              <w:left w:val="nil"/>
              <w:bottom w:val="single" w:sz="4" w:space="0" w:color="auto"/>
              <w:right w:val="single" w:sz="4" w:space="0" w:color="auto"/>
            </w:tcBorders>
            <w:shd w:val="clear" w:color="auto" w:fill="00B0F0"/>
            <w:vAlign w:val="center"/>
            <w:hideMark/>
          </w:tcPr>
          <w:p w14:paraId="3DA19DE5" w14:textId="77777777" w:rsidR="0064324E" w:rsidRPr="00A9330B" w:rsidRDefault="0064324E" w:rsidP="00645DF1">
            <w:pPr>
              <w:spacing w:line="240" w:lineRule="auto"/>
              <w:jc w:val="center"/>
              <w:rPr>
                <w:rFonts w:cs="Arial"/>
                <w:b/>
                <w:bCs/>
                <w:iCs/>
                <w:sz w:val="18"/>
                <w:szCs w:val="18"/>
              </w:rPr>
            </w:pPr>
            <w:r w:rsidRPr="00A9330B">
              <w:rPr>
                <w:rFonts w:cs="Arial"/>
                <w:b/>
                <w:bCs/>
                <w:iCs/>
                <w:sz w:val="18"/>
                <w:szCs w:val="18"/>
              </w:rPr>
              <w:t>TYPE DE REVETEMENT</w:t>
            </w:r>
          </w:p>
        </w:tc>
      </w:tr>
      <w:tr w:rsidR="0064324E" w:rsidRPr="00A9330B" w14:paraId="64066B2F" w14:textId="77777777" w:rsidTr="000F7BA7">
        <w:trPr>
          <w:cantSplit/>
          <w:trHeight w:val="340"/>
        </w:trPr>
        <w:tc>
          <w:tcPr>
            <w:tcW w:w="9444" w:type="dxa"/>
            <w:gridSpan w:val="5"/>
            <w:tcBorders>
              <w:top w:val="single" w:sz="4" w:space="0" w:color="auto"/>
              <w:left w:val="single" w:sz="12" w:space="0" w:color="auto"/>
              <w:bottom w:val="single" w:sz="4" w:space="0" w:color="auto"/>
              <w:right w:val="single" w:sz="4" w:space="0" w:color="auto"/>
            </w:tcBorders>
            <w:shd w:val="clear" w:color="auto" w:fill="92D050"/>
            <w:noWrap/>
            <w:vAlign w:val="center"/>
            <w:hideMark/>
          </w:tcPr>
          <w:p w14:paraId="5570D0C8" w14:textId="77777777" w:rsidR="0064324E" w:rsidRPr="00A9330B" w:rsidRDefault="0064324E" w:rsidP="0064324E">
            <w:pPr>
              <w:spacing w:line="240" w:lineRule="auto"/>
              <w:jc w:val="center"/>
              <w:rPr>
                <w:rFonts w:cs="Arial"/>
                <w:iCs/>
                <w:sz w:val="18"/>
                <w:szCs w:val="18"/>
              </w:rPr>
            </w:pPr>
            <w:r w:rsidRPr="00A9330B">
              <w:rPr>
                <w:rFonts w:cs="Arial"/>
                <w:iCs/>
                <w:sz w:val="18"/>
                <w:szCs w:val="18"/>
              </w:rPr>
              <w:t>RUES SECONDAIRES</w:t>
            </w:r>
          </w:p>
        </w:tc>
      </w:tr>
      <w:tr w:rsidR="0064324E" w:rsidRPr="00A9330B" w14:paraId="45DBE891" w14:textId="77777777" w:rsidTr="000F7BA7">
        <w:trPr>
          <w:cantSplit/>
          <w:trHeight w:val="340"/>
        </w:trPr>
        <w:tc>
          <w:tcPr>
            <w:tcW w:w="1828" w:type="dxa"/>
            <w:tcBorders>
              <w:top w:val="nil"/>
              <w:left w:val="single" w:sz="12" w:space="0" w:color="auto"/>
              <w:bottom w:val="single" w:sz="4" w:space="0" w:color="auto"/>
              <w:right w:val="single" w:sz="4" w:space="0" w:color="auto"/>
            </w:tcBorders>
            <w:shd w:val="clear" w:color="auto" w:fill="FFFFFF" w:themeFill="background1"/>
            <w:noWrap/>
            <w:vAlign w:val="bottom"/>
            <w:hideMark/>
          </w:tcPr>
          <w:p w14:paraId="654AE4CE" w14:textId="77777777" w:rsidR="0064324E" w:rsidRPr="00A9330B" w:rsidRDefault="0064324E" w:rsidP="0064324E">
            <w:pPr>
              <w:spacing w:line="240" w:lineRule="auto"/>
              <w:rPr>
                <w:rFonts w:cs="Arial"/>
                <w:iCs/>
                <w:sz w:val="18"/>
                <w:szCs w:val="18"/>
              </w:rPr>
            </w:pPr>
            <w:r w:rsidRPr="00A9330B">
              <w:rPr>
                <w:rFonts w:cs="Arial"/>
                <w:iCs/>
                <w:sz w:val="18"/>
                <w:szCs w:val="18"/>
              </w:rPr>
              <w:t>RUE D4</w:t>
            </w:r>
          </w:p>
        </w:tc>
        <w:tc>
          <w:tcPr>
            <w:tcW w:w="1418" w:type="dxa"/>
            <w:tcBorders>
              <w:top w:val="nil"/>
              <w:left w:val="nil"/>
              <w:bottom w:val="single" w:sz="4" w:space="0" w:color="auto"/>
              <w:right w:val="single" w:sz="4" w:space="0" w:color="auto"/>
            </w:tcBorders>
            <w:shd w:val="clear" w:color="auto" w:fill="auto"/>
            <w:vAlign w:val="bottom"/>
            <w:hideMark/>
          </w:tcPr>
          <w:p w14:paraId="0538A0E9" w14:textId="77777777" w:rsidR="0064324E" w:rsidRPr="00A9330B" w:rsidRDefault="0064324E" w:rsidP="0064324E">
            <w:pPr>
              <w:spacing w:line="240" w:lineRule="auto"/>
              <w:rPr>
                <w:rFonts w:cs="Arial"/>
                <w:iCs/>
                <w:sz w:val="18"/>
                <w:szCs w:val="18"/>
              </w:rPr>
            </w:pPr>
            <w:r w:rsidRPr="00A9330B">
              <w:rPr>
                <w:rFonts w:cs="Arial"/>
                <w:iCs/>
                <w:sz w:val="18"/>
                <w:szCs w:val="18"/>
              </w:rPr>
              <w:t>ROCADE</w:t>
            </w:r>
          </w:p>
        </w:tc>
        <w:tc>
          <w:tcPr>
            <w:tcW w:w="2229" w:type="dxa"/>
            <w:tcBorders>
              <w:top w:val="nil"/>
              <w:left w:val="nil"/>
              <w:bottom w:val="single" w:sz="4" w:space="0" w:color="auto"/>
              <w:right w:val="single" w:sz="4" w:space="0" w:color="auto"/>
            </w:tcBorders>
            <w:shd w:val="clear" w:color="auto" w:fill="auto"/>
            <w:vAlign w:val="bottom"/>
            <w:hideMark/>
          </w:tcPr>
          <w:p w14:paraId="6881B799" w14:textId="77777777" w:rsidR="0064324E" w:rsidRPr="00A9330B" w:rsidRDefault="0064324E" w:rsidP="006E37A6">
            <w:pPr>
              <w:spacing w:line="240" w:lineRule="auto"/>
              <w:rPr>
                <w:rFonts w:cs="Arial"/>
                <w:iCs/>
                <w:sz w:val="18"/>
                <w:szCs w:val="18"/>
              </w:rPr>
            </w:pPr>
            <w:r w:rsidRPr="00A9330B">
              <w:rPr>
                <w:rFonts w:cs="Arial"/>
                <w:iCs/>
                <w:sz w:val="18"/>
                <w:szCs w:val="18"/>
              </w:rPr>
              <w:t>CONTOURNEMENT</w:t>
            </w:r>
          </w:p>
        </w:tc>
        <w:tc>
          <w:tcPr>
            <w:tcW w:w="1701" w:type="dxa"/>
            <w:tcBorders>
              <w:top w:val="nil"/>
              <w:left w:val="nil"/>
              <w:bottom w:val="single" w:sz="4" w:space="0" w:color="auto"/>
              <w:right w:val="single" w:sz="4" w:space="0" w:color="auto"/>
            </w:tcBorders>
            <w:shd w:val="clear" w:color="auto" w:fill="auto"/>
            <w:noWrap/>
            <w:vAlign w:val="center"/>
            <w:hideMark/>
          </w:tcPr>
          <w:p w14:paraId="536D682F" w14:textId="77777777" w:rsidR="0064324E" w:rsidRPr="00A9330B" w:rsidRDefault="0064324E" w:rsidP="00E33E4E">
            <w:pPr>
              <w:spacing w:line="240" w:lineRule="auto"/>
              <w:jc w:val="right"/>
              <w:rPr>
                <w:rFonts w:cs="Arial"/>
                <w:iCs/>
                <w:sz w:val="18"/>
                <w:szCs w:val="18"/>
              </w:rPr>
            </w:pPr>
            <w:r w:rsidRPr="00A9330B">
              <w:rPr>
                <w:rFonts w:cs="Arial"/>
                <w:iCs/>
                <w:sz w:val="18"/>
                <w:szCs w:val="18"/>
              </w:rPr>
              <w:t>2813.24</w:t>
            </w:r>
          </w:p>
        </w:tc>
        <w:tc>
          <w:tcPr>
            <w:tcW w:w="2268" w:type="dxa"/>
            <w:tcBorders>
              <w:top w:val="nil"/>
              <w:left w:val="nil"/>
              <w:bottom w:val="single" w:sz="4" w:space="0" w:color="auto"/>
              <w:right w:val="single" w:sz="4" w:space="0" w:color="auto"/>
            </w:tcBorders>
            <w:shd w:val="clear" w:color="auto" w:fill="auto"/>
            <w:noWrap/>
            <w:vAlign w:val="bottom"/>
            <w:hideMark/>
          </w:tcPr>
          <w:p w14:paraId="2742B9BA" w14:textId="77777777" w:rsidR="0064324E" w:rsidRPr="00A9330B" w:rsidRDefault="0064324E" w:rsidP="00645DF1">
            <w:pPr>
              <w:spacing w:line="240" w:lineRule="auto"/>
              <w:jc w:val="center"/>
              <w:rPr>
                <w:rFonts w:cs="Arial"/>
                <w:iCs/>
                <w:sz w:val="18"/>
                <w:szCs w:val="18"/>
              </w:rPr>
            </w:pPr>
            <w:r w:rsidRPr="00A9330B">
              <w:rPr>
                <w:rFonts w:cs="Arial"/>
                <w:iCs/>
                <w:sz w:val="18"/>
                <w:szCs w:val="18"/>
              </w:rPr>
              <w:t>BITUME</w:t>
            </w:r>
          </w:p>
        </w:tc>
      </w:tr>
      <w:tr w:rsidR="0064324E" w:rsidRPr="00A9330B" w14:paraId="383FF466" w14:textId="77777777" w:rsidTr="000F7BA7">
        <w:trPr>
          <w:cantSplit/>
          <w:trHeight w:val="340"/>
        </w:trPr>
        <w:tc>
          <w:tcPr>
            <w:tcW w:w="1828" w:type="dxa"/>
            <w:tcBorders>
              <w:top w:val="nil"/>
              <w:left w:val="single" w:sz="12" w:space="0" w:color="auto"/>
              <w:bottom w:val="single" w:sz="4" w:space="0" w:color="auto"/>
              <w:right w:val="single" w:sz="4" w:space="0" w:color="auto"/>
            </w:tcBorders>
            <w:shd w:val="clear" w:color="auto" w:fill="FFFFFF" w:themeFill="background1"/>
            <w:noWrap/>
            <w:vAlign w:val="center"/>
            <w:hideMark/>
          </w:tcPr>
          <w:p w14:paraId="2075CDE8" w14:textId="77777777" w:rsidR="0064324E" w:rsidRPr="00A9330B" w:rsidRDefault="0064324E" w:rsidP="0064324E">
            <w:pPr>
              <w:spacing w:line="240" w:lineRule="auto"/>
              <w:rPr>
                <w:rFonts w:cs="Arial"/>
                <w:iCs/>
                <w:sz w:val="18"/>
                <w:szCs w:val="18"/>
              </w:rPr>
            </w:pPr>
            <w:r w:rsidRPr="00A9330B">
              <w:rPr>
                <w:rFonts w:cs="Arial"/>
                <w:iCs/>
                <w:sz w:val="18"/>
                <w:szCs w:val="18"/>
              </w:rPr>
              <w:t>RUE B1</w:t>
            </w:r>
          </w:p>
        </w:tc>
        <w:tc>
          <w:tcPr>
            <w:tcW w:w="1418" w:type="dxa"/>
            <w:tcBorders>
              <w:top w:val="nil"/>
              <w:left w:val="nil"/>
              <w:bottom w:val="single" w:sz="4" w:space="0" w:color="auto"/>
              <w:right w:val="single" w:sz="4" w:space="0" w:color="auto"/>
            </w:tcBorders>
            <w:shd w:val="clear" w:color="auto" w:fill="auto"/>
            <w:vAlign w:val="center"/>
            <w:hideMark/>
          </w:tcPr>
          <w:p w14:paraId="6268FED7" w14:textId="77777777" w:rsidR="0064324E" w:rsidRPr="00A9330B" w:rsidRDefault="0064324E" w:rsidP="0064324E">
            <w:pPr>
              <w:spacing w:line="240" w:lineRule="auto"/>
              <w:rPr>
                <w:rFonts w:cs="Arial"/>
                <w:iCs/>
                <w:sz w:val="18"/>
                <w:szCs w:val="18"/>
              </w:rPr>
            </w:pPr>
            <w:r w:rsidRPr="00A9330B">
              <w:rPr>
                <w:rFonts w:cs="Arial"/>
                <w:iCs/>
                <w:sz w:val="18"/>
                <w:szCs w:val="18"/>
              </w:rPr>
              <w:t>RUE B2</w:t>
            </w:r>
          </w:p>
        </w:tc>
        <w:tc>
          <w:tcPr>
            <w:tcW w:w="2229" w:type="dxa"/>
            <w:tcBorders>
              <w:top w:val="nil"/>
              <w:left w:val="nil"/>
              <w:bottom w:val="single" w:sz="4" w:space="0" w:color="auto"/>
              <w:right w:val="single" w:sz="4" w:space="0" w:color="auto"/>
            </w:tcBorders>
            <w:shd w:val="clear" w:color="auto" w:fill="auto"/>
            <w:vAlign w:val="center"/>
            <w:hideMark/>
          </w:tcPr>
          <w:p w14:paraId="71057BD5" w14:textId="77777777" w:rsidR="0064324E" w:rsidRPr="00A9330B" w:rsidRDefault="0064324E" w:rsidP="006E37A6">
            <w:pPr>
              <w:spacing w:line="240" w:lineRule="auto"/>
              <w:rPr>
                <w:rFonts w:cs="Arial"/>
                <w:iCs/>
                <w:sz w:val="18"/>
                <w:szCs w:val="18"/>
              </w:rPr>
            </w:pPr>
            <w:r w:rsidRPr="00A9330B">
              <w:rPr>
                <w:rFonts w:cs="Arial"/>
                <w:iCs/>
                <w:sz w:val="18"/>
                <w:szCs w:val="18"/>
              </w:rPr>
              <w:t>RNIE 3</w:t>
            </w:r>
          </w:p>
        </w:tc>
        <w:tc>
          <w:tcPr>
            <w:tcW w:w="1701" w:type="dxa"/>
            <w:tcBorders>
              <w:top w:val="nil"/>
              <w:left w:val="nil"/>
              <w:bottom w:val="single" w:sz="4" w:space="0" w:color="auto"/>
              <w:right w:val="single" w:sz="4" w:space="0" w:color="auto"/>
            </w:tcBorders>
            <w:shd w:val="clear" w:color="auto" w:fill="auto"/>
            <w:noWrap/>
            <w:vAlign w:val="center"/>
            <w:hideMark/>
          </w:tcPr>
          <w:p w14:paraId="7A6C92A3" w14:textId="77777777" w:rsidR="0064324E" w:rsidRPr="00A9330B" w:rsidRDefault="0064324E" w:rsidP="00E33E4E">
            <w:pPr>
              <w:spacing w:line="240" w:lineRule="auto"/>
              <w:jc w:val="right"/>
              <w:rPr>
                <w:rFonts w:cs="Arial"/>
                <w:iCs/>
                <w:sz w:val="18"/>
                <w:szCs w:val="18"/>
              </w:rPr>
            </w:pPr>
            <w:r w:rsidRPr="00A9330B">
              <w:rPr>
                <w:rFonts w:cs="Arial"/>
                <w:iCs/>
                <w:sz w:val="18"/>
                <w:szCs w:val="18"/>
              </w:rPr>
              <w:t>2345.97</w:t>
            </w:r>
          </w:p>
        </w:tc>
        <w:tc>
          <w:tcPr>
            <w:tcW w:w="2268" w:type="dxa"/>
            <w:tcBorders>
              <w:top w:val="nil"/>
              <w:left w:val="nil"/>
              <w:bottom w:val="single" w:sz="4" w:space="0" w:color="auto"/>
              <w:right w:val="single" w:sz="4" w:space="0" w:color="auto"/>
            </w:tcBorders>
            <w:shd w:val="clear" w:color="auto" w:fill="auto"/>
            <w:noWrap/>
            <w:vAlign w:val="bottom"/>
            <w:hideMark/>
          </w:tcPr>
          <w:p w14:paraId="32426596" w14:textId="77777777" w:rsidR="0064324E" w:rsidRPr="00A9330B" w:rsidRDefault="0064324E" w:rsidP="00645DF1">
            <w:pPr>
              <w:spacing w:line="240" w:lineRule="auto"/>
              <w:jc w:val="center"/>
              <w:rPr>
                <w:rFonts w:cs="Arial"/>
                <w:iCs/>
                <w:sz w:val="18"/>
                <w:szCs w:val="18"/>
              </w:rPr>
            </w:pPr>
            <w:r w:rsidRPr="00A9330B">
              <w:rPr>
                <w:rFonts w:cs="Arial"/>
                <w:iCs/>
                <w:sz w:val="18"/>
                <w:szCs w:val="18"/>
              </w:rPr>
              <w:t>BITUME</w:t>
            </w:r>
          </w:p>
        </w:tc>
      </w:tr>
      <w:tr w:rsidR="0064324E" w:rsidRPr="00A9330B" w14:paraId="0742DA83" w14:textId="77777777" w:rsidTr="000F7BA7">
        <w:trPr>
          <w:cantSplit/>
          <w:trHeight w:val="340"/>
        </w:trPr>
        <w:tc>
          <w:tcPr>
            <w:tcW w:w="1828" w:type="dxa"/>
            <w:tcBorders>
              <w:top w:val="nil"/>
              <w:left w:val="single" w:sz="12" w:space="0" w:color="auto"/>
              <w:bottom w:val="single" w:sz="4" w:space="0" w:color="auto"/>
              <w:right w:val="single" w:sz="4" w:space="0" w:color="auto"/>
            </w:tcBorders>
            <w:shd w:val="clear" w:color="auto" w:fill="FFFFFF" w:themeFill="background1"/>
            <w:noWrap/>
            <w:vAlign w:val="bottom"/>
            <w:hideMark/>
          </w:tcPr>
          <w:p w14:paraId="088FBCC8" w14:textId="77777777" w:rsidR="0064324E" w:rsidRPr="00A9330B" w:rsidRDefault="0064324E" w:rsidP="0064324E">
            <w:pPr>
              <w:spacing w:line="240" w:lineRule="auto"/>
              <w:rPr>
                <w:rFonts w:cs="Arial"/>
                <w:iCs/>
                <w:sz w:val="18"/>
                <w:szCs w:val="18"/>
              </w:rPr>
            </w:pPr>
            <w:r w:rsidRPr="00A9330B">
              <w:rPr>
                <w:rFonts w:cs="Arial"/>
                <w:iCs/>
                <w:sz w:val="18"/>
                <w:szCs w:val="18"/>
              </w:rPr>
              <w:t>RUE C5</w:t>
            </w:r>
          </w:p>
        </w:tc>
        <w:tc>
          <w:tcPr>
            <w:tcW w:w="1418" w:type="dxa"/>
            <w:tcBorders>
              <w:top w:val="nil"/>
              <w:left w:val="nil"/>
              <w:bottom w:val="single" w:sz="4" w:space="0" w:color="auto"/>
              <w:right w:val="single" w:sz="4" w:space="0" w:color="auto"/>
            </w:tcBorders>
            <w:shd w:val="clear" w:color="auto" w:fill="auto"/>
            <w:noWrap/>
            <w:vAlign w:val="bottom"/>
            <w:hideMark/>
          </w:tcPr>
          <w:p w14:paraId="0D4A0253" w14:textId="77777777" w:rsidR="0064324E" w:rsidRPr="00A9330B" w:rsidRDefault="0064324E" w:rsidP="0064324E">
            <w:pPr>
              <w:spacing w:line="240" w:lineRule="auto"/>
              <w:rPr>
                <w:rFonts w:cs="Arial"/>
                <w:iCs/>
                <w:sz w:val="18"/>
                <w:szCs w:val="18"/>
              </w:rPr>
            </w:pPr>
            <w:r w:rsidRPr="00A9330B">
              <w:rPr>
                <w:rFonts w:cs="Arial"/>
                <w:iCs/>
                <w:sz w:val="18"/>
                <w:szCs w:val="18"/>
              </w:rPr>
              <w:t>RUE B1</w:t>
            </w:r>
          </w:p>
        </w:tc>
        <w:tc>
          <w:tcPr>
            <w:tcW w:w="2229" w:type="dxa"/>
            <w:tcBorders>
              <w:top w:val="nil"/>
              <w:left w:val="nil"/>
              <w:bottom w:val="single" w:sz="4" w:space="0" w:color="auto"/>
              <w:right w:val="single" w:sz="4" w:space="0" w:color="auto"/>
            </w:tcBorders>
            <w:shd w:val="clear" w:color="auto" w:fill="auto"/>
            <w:noWrap/>
            <w:vAlign w:val="bottom"/>
            <w:hideMark/>
          </w:tcPr>
          <w:p w14:paraId="6B47F06F" w14:textId="77777777" w:rsidR="0064324E" w:rsidRPr="00A9330B" w:rsidRDefault="0064324E" w:rsidP="006E37A6">
            <w:pPr>
              <w:spacing w:line="240" w:lineRule="auto"/>
              <w:rPr>
                <w:rFonts w:cs="Arial"/>
                <w:iCs/>
                <w:sz w:val="18"/>
                <w:szCs w:val="18"/>
              </w:rPr>
            </w:pPr>
            <w:r w:rsidRPr="00A9330B">
              <w:rPr>
                <w:rFonts w:cs="Arial"/>
                <w:iCs/>
                <w:sz w:val="18"/>
                <w:szCs w:val="18"/>
              </w:rPr>
              <w:t>RNIE 3</w:t>
            </w:r>
          </w:p>
        </w:tc>
        <w:tc>
          <w:tcPr>
            <w:tcW w:w="1701" w:type="dxa"/>
            <w:tcBorders>
              <w:top w:val="nil"/>
              <w:left w:val="nil"/>
              <w:bottom w:val="single" w:sz="4" w:space="0" w:color="auto"/>
              <w:right w:val="single" w:sz="4" w:space="0" w:color="auto"/>
            </w:tcBorders>
            <w:shd w:val="clear" w:color="auto" w:fill="auto"/>
            <w:noWrap/>
            <w:vAlign w:val="center"/>
            <w:hideMark/>
          </w:tcPr>
          <w:p w14:paraId="41DFBAB3" w14:textId="77777777" w:rsidR="0064324E" w:rsidRPr="00A9330B" w:rsidRDefault="0064324E" w:rsidP="00E33E4E">
            <w:pPr>
              <w:spacing w:line="240" w:lineRule="auto"/>
              <w:jc w:val="right"/>
              <w:rPr>
                <w:rFonts w:cs="Arial"/>
                <w:iCs/>
                <w:sz w:val="18"/>
                <w:szCs w:val="18"/>
              </w:rPr>
            </w:pPr>
            <w:r w:rsidRPr="00A9330B">
              <w:rPr>
                <w:rFonts w:cs="Arial"/>
                <w:iCs/>
                <w:sz w:val="18"/>
                <w:szCs w:val="18"/>
              </w:rPr>
              <w:t>144.42</w:t>
            </w:r>
          </w:p>
        </w:tc>
        <w:tc>
          <w:tcPr>
            <w:tcW w:w="2268" w:type="dxa"/>
            <w:tcBorders>
              <w:top w:val="nil"/>
              <w:left w:val="nil"/>
              <w:bottom w:val="single" w:sz="4" w:space="0" w:color="auto"/>
              <w:right w:val="single" w:sz="4" w:space="0" w:color="auto"/>
            </w:tcBorders>
            <w:shd w:val="clear" w:color="auto" w:fill="auto"/>
            <w:noWrap/>
            <w:vAlign w:val="bottom"/>
            <w:hideMark/>
          </w:tcPr>
          <w:p w14:paraId="3F0A3FEA" w14:textId="77777777" w:rsidR="0064324E" w:rsidRPr="00A9330B" w:rsidRDefault="0064324E" w:rsidP="00645DF1">
            <w:pPr>
              <w:spacing w:line="240" w:lineRule="auto"/>
              <w:jc w:val="center"/>
              <w:rPr>
                <w:rFonts w:cs="Arial"/>
                <w:iCs/>
                <w:sz w:val="18"/>
                <w:szCs w:val="18"/>
              </w:rPr>
            </w:pPr>
            <w:r w:rsidRPr="00A9330B">
              <w:rPr>
                <w:rFonts w:cs="Arial"/>
                <w:iCs/>
                <w:sz w:val="18"/>
                <w:szCs w:val="18"/>
              </w:rPr>
              <w:t>BITUME</w:t>
            </w:r>
          </w:p>
        </w:tc>
      </w:tr>
      <w:tr w:rsidR="0064324E" w:rsidRPr="00A9330B" w14:paraId="354FB66F" w14:textId="77777777" w:rsidTr="000F7BA7">
        <w:trPr>
          <w:cantSplit/>
          <w:trHeight w:val="340"/>
        </w:trPr>
        <w:tc>
          <w:tcPr>
            <w:tcW w:w="1828" w:type="dxa"/>
            <w:tcBorders>
              <w:top w:val="nil"/>
              <w:left w:val="single" w:sz="12" w:space="0" w:color="auto"/>
              <w:bottom w:val="single" w:sz="4" w:space="0" w:color="auto"/>
              <w:right w:val="single" w:sz="4" w:space="0" w:color="auto"/>
            </w:tcBorders>
            <w:shd w:val="clear" w:color="auto" w:fill="FFFFFF" w:themeFill="background1"/>
            <w:noWrap/>
            <w:vAlign w:val="bottom"/>
            <w:hideMark/>
          </w:tcPr>
          <w:p w14:paraId="2AC599A6" w14:textId="77777777" w:rsidR="0064324E" w:rsidRPr="00A9330B" w:rsidRDefault="0064324E" w:rsidP="0064324E">
            <w:pPr>
              <w:spacing w:line="240" w:lineRule="auto"/>
              <w:rPr>
                <w:rFonts w:cs="Arial"/>
                <w:b/>
                <w:bCs/>
                <w:iCs/>
                <w:sz w:val="18"/>
                <w:szCs w:val="18"/>
              </w:rPr>
            </w:pPr>
            <w:r w:rsidRPr="00A9330B">
              <w:rPr>
                <w:rFonts w:cs="Arial"/>
                <w:b/>
                <w:bCs/>
                <w:iCs/>
                <w:sz w:val="18"/>
                <w:szCs w:val="18"/>
              </w:rPr>
              <w:t>Total</w:t>
            </w:r>
          </w:p>
        </w:tc>
        <w:tc>
          <w:tcPr>
            <w:tcW w:w="1418" w:type="dxa"/>
            <w:tcBorders>
              <w:top w:val="nil"/>
              <w:left w:val="nil"/>
              <w:bottom w:val="single" w:sz="4" w:space="0" w:color="auto"/>
              <w:right w:val="single" w:sz="4" w:space="0" w:color="auto"/>
            </w:tcBorders>
            <w:shd w:val="clear" w:color="auto" w:fill="auto"/>
            <w:vAlign w:val="center"/>
            <w:hideMark/>
          </w:tcPr>
          <w:p w14:paraId="79A448C6" w14:textId="77777777" w:rsidR="0064324E" w:rsidRPr="00A9330B" w:rsidRDefault="0064324E" w:rsidP="0064324E">
            <w:pPr>
              <w:spacing w:line="240" w:lineRule="auto"/>
              <w:rPr>
                <w:rFonts w:cs="Arial"/>
                <w:b/>
                <w:bCs/>
                <w:iCs/>
                <w:sz w:val="18"/>
                <w:szCs w:val="18"/>
              </w:rPr>
            </w:pPr>
            <w:r w:rsidRPr="00A9330B">
              <w:rPr>
                <w:rFonts w:cs="Arial"/>
                <w:b/>
                <w:bCs/>
                <w:iCs/>
                <w:sz w:val="18"/>
                <w:szCs w:val="18"/>
              </w:rPr>
              <w:t> </w:t>
            </w:r>
          </w:p>
        </w:tc>
        <w:tc>
          <w:tcPr>
            <w:tcW w:w="2229" w:type="dxa"/>
            <w:tcBorders>
              <w:top w:val="nil"/>
              <w:left w:val="nil"/>
              <w:bottom w:val="single" w:sz="4" w:space="0" w:color="auto"/>
              <w:right w:val="single" w:sz="4" w:space="0" w:color="auto"/>
            </w:tcBorders>
            <w:shd w:val="clear" w:color="auto" w:fill="auto"/>
            <w:vAlign w:val="bottom"/>
            <w:hideMark/>
          </w:tcPr>
          <w:p w14:paraId="2E88BB1B" w14:textId="77777777" w:rsidR="0064324E" w:rsidRPr="00A9330B" w:rsidRDefault="0064324E" w:rsidP="006E37A6">
            <w:pPr>
              <w:spacing w:line="240" w:lineRule="auto"/>
              <w:jc w:val="center"/>
              <w:rPr>
                <w:rFonts w:cs="Arial"/>
                <w:b/>
                <w:bCs/>
                <w:iCs/>
                <w:sz w:val="18"/>
                <w:szCs w:val="18"/>
              </w:rPr>
            </w:pPr>
            <w:r w:rsidRPr="00A9330B">
              <w:rPr>
                <w:rFonts w:cs="Arial"/>
                <w:b/>
                <w:bCs/>
                <w:iCs/>
                <w:sz w:val="18"/>
                <w:szCs w:val="18"/>
              </w:rPr>
              <w:t> </w:t>
            </w:r>
          </w:p>
        </w:tc>
        <w:tc>
          <w:tcPr>
            <w:tcW w:w="1701" w:type="dxa"/>
            <w:tcBorders>
              <w:top w:val="nil"/>
              <w:left w:val="nil"/>
              <w:bottom w:val="single" w:sz="4" w:space="0" w:color="auto"/>
              <w:right w:val="single" w:sz="4" w:space="0" w:color="auto"/>
            </w:tcBorders>
            <w:shd w:val="clear" w:color="auto" w:fill="auto"/>
            <w:noWrap/>
            <w:vAlign w:val="center"/>
            <w:hideMark/>
          </w:tcPr>
          <w:p w14:paraId="4E7ED94B" w14:textId="77777777" w:rsidR="0064324E" w:rsidRPr="00A9330B" w:rsidRDefault="0064324E" w:rsidP="00E33E4E">
            <w:pPr>
              <w:spacing w:line="240" w:lineRule="auto"/>
              <w:jc w:val="right"/>
              <w:rPr>
                <w:rFonts w:cs="Arial"/>
                <w:b/>
                <w:bCs/>
                <w:iCs/>
                <w:sz w:val="18"/>
                <w:szCs w:val="18"/>
              </w:rPr>
            </w:pPr>
            <w:r w:rsidRPr="00A9330B">
              <w:rPr>
                <w:rFonts w:cs="Arial"/>
                <w:b/>
                <w:bCs/>
                <w:iCs/>
                <w:sz w:val="18"/>
                <w:szCs w:val="18"/>
              </w:rPr>
              <w:t> </w:t>
            </w:r>
          </w:p>
        </w:tc>
        <w:tc>
          <w:tcPr>
            <w:tcW w:w="2268" w:type="dxa"/>
            <w:tcBorders>
              <w:top w:val="nil"/>
              <w:left w:val="nil"/>
              <w:bottom w:val="single" w:sz="4" w:space="0" w:color="auto"/>
              <w:right w:val="single" w:sz="4" w:space="0" w:color="auto"/>
            </w:tcBorders>
            <w:shd w:val="clear" w:color="auto" w:fill="auto"/>
            <w:noWrap/>
            <w:vAlign w:val="bottom"/>
            <w:hideMark/>
          </w:tcPr>
          <w:p w14:paraId="7362EDF5" w14:textId="77777777" w:rsidR="0064324E" w:rsidRPr="00A9330B" w:rsidRDefault="0064324E" w:rsidP="00645DF1">
            <w:pPr>
              <w:spacing w:line="240" w:lineRule="auto"/>
              <w:jc w:val="center"/>
              <w:rPr>
                <w:rFonts w:cs="Arial"/>
                <w:b/>
                <w:bCs/>
                <w:iCs/>
                <w:sz w:val="18"/>
                <w:szCs w:val="18"/>
              </w:rPr>
            </w:pPr>
            <w:r w:rsidRPr="00A9330B">
              <w:rPr>
                <w:rFonts w:cs="Arial"/>
                <w:b/>
                <w:bCs/>
                <w:iCs/>
                <w:sz w:val="18"/>
                <w:szCs w:val="18"/>
              </w:rPr>
              <w:t> </w:t>
            </w:r>
          </w:p>
        </w:tc>
      </w:tr>
      <w:tr w:rsidR="0064324E" w:rsidRPr="00A9330B" w14:paraId="778D863C" w14:textId="77777777" w:rsidTr="000F7BA7">
        <w:trPr>
          <w:cantSplit/>
          <w:trHeight w:val="340"/>
        </w:trPr>
        <w:tc>
          <w:tcPr>
            <w:tcW w:w="5475" w:type="dxa"/>
            <w:gridSpan w:val="3"/>
            <w:tcBorders>
              <w:top w:val="single" w:sz="4" w:space="0" w:color="auto"/>
              <w:left w:val="single" w:sz="12" w:space="0" w:color="auto"/>
              <w:bottom w:val="single" w:sz="4" w:space="0" w:color="auto"/>
              <w:right w:val="single" w:sz="4" w:space="0" w:color="auto"/>
            </w:tcBorders>
            <w:shd w:val="clear" w:color="auto" w:fill="FFFFFF" w:themeFill="background1"/>
            <w:noWrap/>
            <w:vAlign w:val="bottom"/>
            <w:hideMark/>
          </w:tcPr>
          <w:p w14:paraId="4E167F7D" w14:textId="77777777" w:rsidR="0064324E" w:rsidRPr="00A9330B" w:rsidRDefault="0064324E" w:rsidP="0064324E">
            <w:pPr>
              <w:spacing w:line="240" w:lineRule="auto"/>
              <w:rPr>
                <w:rFonts w:cs="Arial"/>
                <w:b/>
                <w:bCs/>
                <w:iCs/>
                <w:sz w:val="18"/>
                <w:szCs w:val="18"/>
              </w:rPr>
            </w:pPr>
            <w:r w:rsidRPr="00A9330B">
              <w:rPr>
                <w:rFonts w:cs="Arial"/>
                <w:b/>
                <w:bCs/>
                <w:iCs/>
                <w:sz w:val="18"/>
                <w:szCs w:val="18"/>
              </w:rPr>
              <w:t>RUES SECONDAIRES : LINEAIRE TOTAL</w:t>
            </w:r>
          </w:p>
        </w:tc>
        <w:tc>
          <w:tcPr>
            <w:tcW w:w="1701" w:type="dxa"/>
            <w:tcBorders>
              <w:top w:val="nil"/>
              <w:left w:val="nil"/>
              <w:bottom w:val="single" w:sz="4" w:space="0" w:color="auto"/>
              <w:right w:val="single" w:sz="4" w:space="0" w:color="auto"/>
            </w:tcBorders>
            <w:shd w:val="clear" w:color="auto" w:fill="auto"/>
            <w:noWrap/>
            <w:vAlign w:val="center"/>
            <w:hideMark/>
          </w:tcPr>
          <w:p w14:paraId="5025BCF8" w14:textId="77777777" w:rsidR="0064324E" w:rsidRPr="00A9330B" w:rsidRDefault="0064324E" w:rsidP="0064324E">
            <w:pPr>
              <w:spacing w:line="240" w:lineRule="auto"/>
              <w:jc w:val="right"/>
              <w:rPr>
                <w:rFonts w:cs="Arial"/>
                <w:b/>
                <w:bCs/>
                <w:iCs/>
                <w:sz w:val="18"/>
                <w:szCs w:val="18"/>
              </w:rPr>
            </w:pPr>
            <w:r w:rsidRPr="00A9330B">
              <w:rPr>
                <w:rFonts w:cs="Arial"/>
                <w:b/>
                <w:bCs/>
                <w:iCs/>
                <w:sz w:val="18"/>
                <w:szCs w:val="18"/>
              </w:rPr>
              <w:t>5303.630</w:t>
            </w:r>
          </w:p>
        </w:tc>
        <w:tc>
          <w:tcPr>
            <w:tcW w:w="2268" w:type="dxa"/>
            <w:tcBorders>
              <w:top w:val="nil"/>
              <w:left w:val="nil"/>
              <w:bottom w:val="single" w:sz="4" w:space="0" w:color="auto"/>
              <w:right w:val="single" w:sz="4" w:space="0" w:color="auto"/>
            </w:tcBorders>
            <w:shd w:val="clear" w:color="auto" w:fill="auto"/>
            <w:noWrap/>
            <w:vAlign w:val="bottom"/>
            <w:hideMark/>
          </w:tcPr>
          <w:p w14:paraId="52CF58C6" w14:textId="77777777" w:rsidR="0064324E" w:rsidRPr="00A9330B" w:rsidRDefault="0064324E" w:rsidP="006E37A6">
            <w:pPr>
              <w:spacing w:line="240" w:lineRule="auto"/>
              <w:jc w:val="center"/>
              <w:rPr>
                <w:rFonts w:cs="Arial"/>
                <w:b/>
                <w:bCs/>
                <w:iCs/>
                <w:sz w:val="18"/>
                <w:szCs w:val="18"/>
              </w:rPr>
            </w:pPr>
            <w:r w:rsidRPr="00A9330B">
              <w:rPr>
                <w:rFonts w:cs="Arial"/>
                <w:b/>
                <w:bCs/>
                <w:iCs/>
                <w:sz w:val="18"/>
                <w:szCs w:val="18"/>
              </w:rPr>
              <w:t> </w:t>
            </w:r>
          </w:p>
        </w:tc>
      </w:tr>
      <w:tr w:rsidR="0064324E" w:rsidRPr="00A9330B" w14:paraId="6E65D330" w14:textId="77777777" w:rsidTr="000F7BA7">
        <w:trPr>
          <w:cantSplit/>
          <w:trHeight w:val="340"/>
        </w:trPr>
        <w:tc>
          <w:tcPr>
            <w:tcW w:w="5475" w:type="dxa"/>
            <w:gridSpan w:val="3"/>
            <w:tcBorders>
              <w:top w:val="single" w:sz="4" w:space="0" w:color="auto"/>
              <w:left w:val="single" w:sz="12" w:space="0" w:color="auto"/>
              <w:bottom w:val="single" w:sz="4" w:space="0" w:color="auto"/>
              <w:right w:val="single" w:sz="4" w:space="0" w:color="auto"/>
            </w:tcBorders>
            <w:shd w:val="clear" w:color="auto" w:fill="FFFFFF" w:themeFill="background1"/>
            <w:noWrap/>
            <w:vAlign w:val="bottom"/>
          </w:tcPr>
          <w:p w14:paraId="5CC1B0CB" w14:textId="77777777" w:rsidR="0064324E" w:rsidRPr="00A9330B" w:rsidRDefault="0064324E" w:rsidP="0064324E">
            <w:pPr>
              <w:spacing w:line="240" w:lineRule="auto"/>
              <w:rPr>
                <w:rFonts w:cs="Arial"/>
                <w:b/>
                <w:bCs/>
                <w:iCs/>
                <w:sz w:val="18"/>
                <w:szCs w:val="18"/>
              </w:rPr>
            </w:pPr>
          </w:p>
        </w:tc>
        <w:tc>
          <w:tcPr>
            <w:tcW w:w="1701" w:type="dxa"/>
            <w:tcBorders>
              <w:top w:val="nil"/>
              <w:left w:val="nil"/>
              <w:bottom w:val="single" w:sz="4" w:space="0" w:color="auto"/>
              <w:right w:val="single" w:sz="4" w:space="0" w:color="auto"/>
            </w:tcBorders>
            <w:shd w:val="clear" w:color="auto" w:fill="auto"/>
            <w:noWrap/>
            <w:vAlign w:val="center"/>
          </w:tcPr>
          <w:p w14:paraId="0DA8306B" w14:textId="77777777" w:rsidR="0064324E" w:rsidRPr="00A9330B" w:rsidRDefault="0064324E" w:rsidP="0064324E">
            <w:pPr>
              <w:spacing w:line="240" w:lineRule="auto"/>
              <w:jc w:val="right"/>
              <w:rPr>
                <w:rFonts w:cs="Arial"/>
                <w:b/>
                <w:bCs/>
                <w:iCs/>
                <w:sz w:val="18"/>
                <w:szCs w:val="18"/>
              </w:rPr>
            </w:pPr>
          </w:p>
        </w:tc>
        <w:tc>
          <w:tcPr>
            <w:tcW w:w="2268" w:type="dxa"/>
            <w:tcBorders>
              <w:top w:val="nil"/>
              <w:left w:val="nil"/>
              <w:bottom w:val="single" w:sz="4" w:space="0" w:color="auto"/>
              <w:right w:val="single" w:sz="4" w:space="0" w:color="auto"/>
            </w:tcBorders>
            <w:shd w:val="clear" w:color="auto" w:fill="auto"/>
            <w:noWrap/>
            <w:vAlign w:val="bottom"/>
          </w:tcPr>
          <w:p w14:paraId="08563617" w14:textId="77777777" w:rsidR="0064324E" w:rsidRPr="00A9330B" w:rsidRDefault="0064324E" w:rsidP="0064324E">
            <w:pPr>
              <w:spacing w:line="240" w:lineRule="auto"/>
              <w:jc w:val="center"/>
              <w:rPr>
                <w:rFonts w:cs="Arial"/>
                <w:b/>
                <w:bCs/>
                <w:iCs/>
                <w:sz w:val="18"/>
                <w:szCs w:val="18"/>
              </w:rPr>
            </w:pPr>
          </w:p>
        </w:tc>
      </w:tr>
      <w:tr w:rsidR="0064324E" w:rsidRPr="00A9330B" w14:paraId="50BB2493" w14:textId="77777777" w:rsidTr="000F7BA7">
        <w:trPr>
          <w:cantSplit/>
          <w:trHeight w:val="340"/>
        </w:trPr>
        <w:tc>
          <w:tcPr>
            <w:tcW w:w="9444" w:type="dxa"/>
            <w:gridSpan w:val="5"/>
            <w:tcBorders>
              <w:top w:val="single" w:sz="4" w:space="0" w:color="auto"/>
              <w:left w:val="single" w:sz="12" w:space="0" w:color="auto"/>
              <w:bottom w:val="single" w:sz="4" w:space="0" w:color="auto"/>
              <w:right w:val="single" w:sz="4" w:space="0" w:color="auto"/>
            </w:tcBorders>
            <w:shd w:val="clear" w:color="auto" w:fill="92D050"/>
            <w:noWrap/>
            <w:vAlign w:val="center"/>
            <w:hideMark/>
          </w:tcPr>
          <w:p w14:paraId="2C2CE0DC" w14:textId="77777777" w:rsidR="0064324E" w:rsidRPr="00A9330B" w:rsidRDefault="0064324E" w:rsidP="0064324E">
            <w:pPr>
              <w:spacing w:line="240" w:lineRule="auto"/>
              <w:jc w:val="center"/>
              <w:rPr>
                <w:rFonts w:cs="Arial"/>
                <w:iCs/>
                <w:sz w:val="18"/>
                <w:szCs w:val="18"/>
              </w:rPr>
            </w:pPr>
            <w:r w:rsidRPr="00A9330B">
              <w:rPr>
                <w:rFonts w:cs="Arial"/>
                <w:iCs/>
                <w:sz w:val="18"/>
                <w:szCs w:val="18"/>
              </w:rPr>
              <w:t>RUES TERTIAIRES</w:t>
            </w:r>
          </w:p>
        </w:tc>
      </w:tr>
      <w:tr w:rsidR="0064324E" w:rsidRPr="00A9330B" w14:paraId="4694391B" w14:textId="77777777" w:rsidTr="000F7BA7">
        <w:trPr>
          <w:cantSplit/>
          <w:trHeight w:val="340"/>
        </w:trPr>
        <w:tc>
          <w:tcPr>
            <w:tcW w:w="1828" w:type="dxa"/>
            <w:tcBorders>
              <w:top w:val="nil"/>
              <w:left w:val="single" w:sz="12" w:space="0" w:color="auto"/>
              <w:bottom w:val="single" w:sz="4" w:space="0" w:color="auto"/>
              <w:right w:val="single" w:sz="4" w:space="0" w:color="auto"/>
            </w:tcBorders>
            <w:shd w:val="clear" w:color="auto" w:fill="FFFFFF" w:themeFill="background1"/>
            <w:noWrap/>
            <w:vAlign w:val="bottom"/>
            <w:hideMark/>
          </w:tcPr>
          <w:p w14:paraId="3676EE46" w14:textId="77777777" w:rsidR="0064324E" w:rsidRPr="00A9330B" w:rsidRDefault="0064324E" w:rsidP="0064324E">
            <w:pPr>
              <w:spacing w:line="240" w:lineRule="auto"/>
              <w:rPr>
                <w:rFonts w:cs="Arial"/>
                <w:iCs/>
                <w:sz w:val="18"/>
                <w:szCs w:val="18"/>
              </w:rPr>
            </w:pPr>
            <w:r w:rsidRPr="00A9330B">
              <w:rPr>
                <w:rFonts w:cs="Arial"/>
                <w:iCs/>
                <w:sz w:val="18"/>
                <w:szCs w:val="18"/>
              </w:rPr>
              <w:t>RUE A1</w:t>
            </w:r>
          </w:p>
        </w:tc>
        <w:tc>
          <w:tcPr>
            <w:tcW w:w="1418" w:type="dxa"/>
            <w:tcBorders>
              <w:top w:val="nil"/>
              <w:left w:val="nil"/>
              <w:bottom w:val="single" w:sz="4" w:space="0" w:color="auto"/>
              <w:right w:val="single" w:sz="4" w:space="0" w:color="auto"/>
            </w:tcBorders>
            <w:shd w:val="clear" w:color="auto" w:fill="auto"/>
            <w:noWrap/>
            <w:vAlign w:val="bottom"/>
            <w:hideMark/>
          </w:tcPr>
          <w:p w14:paraId="0B9FC93A" w14:textId="77777777" w:rsidR="0064324E" w:rsidRPr="00A9330B" w:rsidRDefault="0064324E" w:rsidP="0064324E">
            <w:pPr>
              <w:spacing w:line="240" w:lineRule="auto"/>
              <w:rPr>
                <w:rFonts w:cs="Arial"/>
                <w:iCs/>
                <w:sz w:val="18"/>
                <w:szCs w:val="18"/>
              </w:rPr>
            </w:pPr>
            <w:r w:rsidRPr="00A9330B">
              <w:rPr>
                <w:rFonts w:cs="Arial"/>
                <w:iCs/>
                <w:sz w:val="18"/>
                <w:szCs w:val="18"/>
              </w:rPr>
              <w:t>RNIE 3</w:t>
            </w:r>
          </w:p>
        </w:tc>
        <w:tc>
          <w:tcPr>
            <w:tcW w:w="2229" w:type="dxa"/>
            <w:tcBorders>
              <w:top w:val="nil"/>
              <w:left w:val="nil"/>
              <w:bottom w:val="single" w:sz="4" w:space="0" w:color="auto"/>
              <w:right w:val="single" w:sz="4" w:space="0" w:color="auto"/>
            </w:tcBorders>
            <w:shd w:val="clear" w:color="auto" w:fill="auto"/>
            <w:noWrap/>
            <w:vAlign w:val="bottom"/>
            <w:hideMark/>
          </w:tcPr>
          <w:p w14:paraId="0BF768BA" w14:textId="77777777" w:rsidR="0064324E" w:rsidRPr="00A9330B" w:rsidRDefault="0064324E" w:rsidP="006E37A6">
            <w:pPr>
              <w:spacing w:line="240" w:lineRule="auto"/>
              <w:rPr>
                <w:rFonts w:cs="Arial"/>
                <w:iCs/>
                <w:sz w:val="18"/>
                <w:szCs w:val="18"/>
              </w:rPr>
            </w:pPr>
            <w:r w:rsidRPr="00A9330B">
              <w:rPr>
                <w:rFonts w:cs="Arial"/>
                <w:iCs/>
                <w:sz w:val="18"/>
                <w:szCs w:val="18"/>
              </w:rPr>
              <w:t>RUE A2</w:t>
            </w:r>
          </w:p>
        </w:tc>
        <w:tc>
          <w:tcPr>
            <w:tcW w:w="1701" w:type="dxa"/>
            <w:tcBorders>
              <w:top w:val="nil"/>
              <w:left w:val="nil"/>
              <w:bottom w:val="single" w:sz="4" w:space="0" w:color="auto"/>
              <w:right w:val="single" w:sz="4" w:space="0" w:color="auto"/>
            </w:tcBorders>
            <w:shd w:val="clear" w:color="auto" w:fill="auto"/>
            <w:noWrap/>
            <w:vAlign w:val="center"/>
            <w:hideMark/>
          </w:tcPr>
          <w:p w14:paraId="2D7952F5" w14:textId="77777777" w:rsidR="0064324E" w:rsidRPr="00A9330B" w:rsidRDefault="0064324E" w:rsidP="00E33E4E">
            <w:pPr>
              <w:spacing w:line="240" w:lineRule="auto"/>
              <w:jc w:val="right"/>
              <w:rPr>
                <w:rFonts w:cs="Arial"/>
                <w:iCs/>
                <w:sz w:val="18"/>
                <w:szCs w:val="18"/>
              </w:rPr>
            </w:pPr>
            <w:r w:rsidRPr="00A9330B">
              <w:rPr>
                <w:rFonts w:cs="Arial"/>
                <w:iCs/>
                <w:sz w:val="18"/>
                <w:szCs w:val="18"/>
              </w:rPr>
              <w:t>214.480</w:t>
            </w:r>
          </w:p>
        </w:tc>
        <w:tc>
          <w:tcPr>
            <w:tcW w:w="2268" w:type="dxa"/>
            <w:tcBorders>
              <w:top w:val="nil"/>
              <w:left w:val="nil"/>
              <w:bottom w:val="single" w:sz="4" w:space="0" w:color="auto"/>
              <w:right w:val="single" w:sz="4" w:space="0" w:color="auto"/>
            </w:tcBorders>
            <w:shd w:val="clear" w:color="auto" w:fill="auto"/>
            <w:noWrap/>
            <w:vAlign w:val="bottom"/>
            <w:hideMark/>
          </w:tcPr>
          <w:p w14:paraId="22703B00" w14:textId="77777777" w:rsidR="0064324E" w:rsidRPr="00A9330B" w:rsidRDefault="0064324E" w:rsidP="00645DF1">
            <w:pPr>
              <w:spacing w:line="240" w:lineRule="auto"/>
              <w:jc w:val="center"/>
              <w:rPr>
                <w:rFonts w:cs="Arial"/>
                <w:iCs/>
                <w:sz w:val="18"/>
                <w:szCs w:val="18"/>
              </w:rPr>
            </w:pPr>
            <w:r w:rsidRPr="00A9330B">
              <w:rPr>
                <w:rFonts w:cs="Arial"/>
                <w:iCs/>
                <w:sz w:val="18"/>
                <w:szCs w:val="18"/>
              </w:rPr>
              <w:t>BITUME</w:t>
            </w:r>
          </w:p>
        </w:tc>
      </w:tr>
      <w:tr w:rsidR="0064324E" w:rsidRPr="00A9330B" w14:paraId="402D14AD" w14:textId="77777777" w:rsidTr="000F7BA7">
        <w:trPr>
          <w:cantSplit/>
          <w:trHeight w:val="340"/>
        </w:trPr>
        <w:tc>
          <w:tcPr>
            <w:tcW w:w="1828" w:type="dxa"/>
            <w:tcBorders>
              <w:top w:val="nil"/>
              <w:left w:val="single" w:sz="12" w:space="0" w:color="auto"/>
              <w:bottom w:val="single" w:sz="4" w:space="0" w:color="auto"/>
              <w:right w:val="single" w:sz="4" w:space="0" w:color="auto"/>
            </w:tcBorders>
            <w:shd w:val="clear" w:color="auto" w:fill="FFFFFF" w:themeFill="background1"/>
            <w:noWrap/>
            <w:vAlign w:val="bottom"/>
            <w:hideMark/>
          </w:tcPr>
          <w:p w14:paraId="3F5F8CF0" w14:textId="77777777" w:rsidR="0064324E" w:rsidRPr="00A9330B" w:rsidRDefault="0064324E" w:rsidP="0064324E">
            <w:pPr>
              <w:spacing w:line="240" w:lineRule="auto"/>
              <w:rPr>
                <w:rFonts w:cs="Arial"/>
                <w:iCs/>
                <w:sz w:val="18"/>
                <w:szCs w:val="18"/>
              </w:rPr>
            </w:pPr>
            <w:r w:rsidRPr="00A9330B">
              <w:rPr>
                <w:rFonts w:cs="Arial"/>
                <w:iCs/>
                <w:sz w:val="18"/>
                <w:szCs w:val="18"/>
              </w:rPr>
              <w:t>RUE A3</w:t>
            </w:r>
          </w:p>
        </w:tc>
        <w:tc>
          <w:tcPr>
            <w:tcW w:w="1418" w:type="dxa"/>
            <w:tcBorders>
              <w:top w:val="nil"/>
              <w:left w:val="nil"/>
              <w:bottom w:val="single" w:sz="4" w:space="0" w:color="auto"/>
              <w:right w:val="single" w:sz="4" w:space="0" w:color="auto"/>
            </w:tcBorders>
            <w:shd w:val="clear" w:color="auto" w:fill="auto"/>
            <w:noWrap/>
            <w:vAlign w:val="bottom"/>
            <w:hideMark/>
          </w:tcPr>
          <w:p w14:paraId="4FAE9BA4" w14:textId="77777777" w:rsidR="0064324E" w:rsidRPr="00A9330B" w:rsidRDefault="0064324E" w:rsidP="0064324E">
            <w:pPr>
              <w:spacing w:line="240" w:lineRule="auto"/>
              <w:rPr>
                <w:rFonts w:cs="Arial"/>
                <w:iCs/>
                <w:sz w:val="18"/>
                <w:szCs w:val="18"/>
              </w:rPr>
            </w:pPr>
            <w:r w:rsidRPr="00A9330B">
              <w:rPr>
                <w:rFonts w:cs="Arial"/>
                <w:iCs/>
                <w:sz w:val="18"/>
                <w:szCs w:val="18"/>
              </w:rPr>
              <w:t>RUE A2</w:t>
            </w:r>
          </w:p>
        </w:tc>
        <w:tc>
          <w:tcPr>
            <w:tcW w:w="2229" w:type="dxa"/>
            <w:tcBorders>
              <w:top w:val="nil"/>
              <w:left w:val="nil"/>
              <w:bottom w:val="single" w:sz="4" w:space="0" w:color="auto"/>
              <w:right w:val="single" w:sz="4" w:space="0" w:color="auto"/>
            </w:tcBorders>
            <w:shd w:val="clear" w:color="auto" w:fill="auto"/>
            <w:noWrap/>
            <w:vAlign w:val="bottom"/>
            <w:hideMark/>
          </w:tcPr>
          <w:p w14:paraId="7895D537" w14:textId="77777777" w:rsidR="0064324E" w:rsidRPr="00A9330B" w:rsidRDefault="0064324E" w:rsidP="006E37A6">
            <w:pPr>
              <w:spacing w:line="240" w:lineRule="auto"/>
              <w:rPr>
                <w:rFonts w:cs="Arial"/>
                <w:iCs/>
                <w:sz w:val="18"/>
                <w:szCs w:val="18"/>
              </w:rPr>
            </w:pPr>
            <w:r w:rsidRPr="00A9330B">
              <w:rPr>
                <w:rFonts w:cs="Arial"/>
                <w:iCs/>
                <w:sz w:val="18"/>
                <w:szCs w:val="18"/>
              </w:rPr>
              <w:t>CANAL A</w:t>
            </w:r>
          </w:p>
        </w:tc>
        <w:tc>
          <w:tcPr>
            <w:tcW w:w="1701" w:type="dxa"/>
            <w:tcBorders>
              <w:top w:val="nil"/>
              <w:left w:val="nil"/>
              <w:bottom w:val="single" w:sz="4" w:space="0" w:color="auto"/>
              <w:right w:val="single" w:sz="4" w:space="0" w:color="auto"/>
            </w:tcBorders>
            <w:shd w:val="clear" w:color="auto" w:fill="auto"/>
            <w:noWrap/>
            <w:vAlign w:val="center"/>
            <w:hideMark/>
          </w:tcPr>
          <w:p w14:paraId="27219BBD" w14:textId="77777777" w:rsidR="0064324E" w:rsidRPr="00A9330B" w:rsidRDefault="0064324E" w:rsidP="00E33E4E">
            <w:pPr>
              <w:spacing w:line="240" w:lineRule="auto"/>
              <w:jc w:val="right"/>
              <w:rPr>
                <w:rFonts w:cs="Arial"/>
                <w:iCs/>
                <w:sz w:val="18"/>
                <w:szCs w:val="18"/>
              </w:rPr>
            </w:pPr>
            <w:r w:rsidRPr="00A9330B">
              <w:rPr>
                <w:rFonts w:cs="Arial"/>
                <w:iCs/>
                <w:sz w:val="18"/>
                <w:szCs w:val="18"/>
              </w:rPr>
              <w:t>308.550</w:t>
            </w:r>
          </w:p>
        </w:tc>
        <w:tc>
          <w:tcPr>
            <w:tcW w:w="2268" w:type="dxa"/>
            <w:tcBorders>
              <w:top w:val="nil"/>
              <w:left w:val="nil"/>
              <w:bottom w:val="single" w:sz="4" w:space="0" w:color="auto"/>
              <w:right w:val="single" w:sz="4" w:space="0" w:color="auto"/>
            </w:tcBorders>
            <w:shd w:val="clear" w:color="auto" w:fill="auto"/>
            <w:noWrap/>
            <w:vAlign w:val="bottom"/>
            <w:hideMark/>
          </w:tcPr>
          <w:p w14:paraId="4F6065C5" w14:textId="77777777" w:rsidR="0064324E" w:rsidRPr="00A9330B" w:rsidRDefault="0064324E" w:rsidP="00645DF1">
            <w:pPr>
              <w:spacing w:line="240" w:lineRule="auto"/>
              <w:jc w:val="center"/>
              <w:rPr>
                <w:rFonts w:cs="Arial"/>
                <w:iCs/>
                <w:sz w:val="18"/>
                <w:szCs w:val="18"/>
              </w:rPr>
            </w:pPr>
            <w:r w:rsidRPr="00A9330B">
              <w:rPr>
                <w:rFonts w:cs="Arial"/>
                <w:iCs/>
                <w:sz w:val="18"/>
                <w:szCs w:val="18"/>
              </w:rPr>
              <w:t>BITUME</w:t>
            </w:r>
          </w:p>
        </w:tc>
      </w:tr>
      <w:tr w:rsidR="0064324E" w:rsidRPr="00A9330B" w14:paraId="5B34EB34" w14:textId="77777777" w:rsidTr="000F7BA7">
        <w:trPr>
          <w:cantSplit/>
          <w:trHeight w:val="340"/>
        </w:trPr>
        <w:tc>
          <w:tcPr>
            <w:tcW w:w="1828" w:type="dxa"/>
            <w:tcBorders>
              <w:top w:val="nil"/>
              <w:left w:val="single" w:sz="12" w:space="0" w:color="auto"/>
              <w:bottom w:val="single" w:sz="4" w:space="0" w:color="auto"/>
              <w:right w:val="single" w:sz="4" w:space="0" w:color="auto"/>
            </w:tcBorders>
            <w:shd w:val="clear" w:color="auto" w:fill="FFFFFF" w:themeFill="background1"/>
            <w:noWrap/>
            <w:vAlign w:val="bottom"/>
            <w:hideMark/>
          </w:tcPr>
          <w:p w14:paraId="1C7F1016" w14:textId="77777777" w:rsidR="0064324E" w:rsidRPr="00A9330B" w:rsidRDefault="0064324E" w:rsidP="0064324E">
            <w:pPr>
              <w:spacing w:line="240" w:lineRule="auto"/>
              <w:rPr>
                <w:rFonts w:cs="Arial"/>
                <w:iCs/>
                <w:sz w:val="18"/>
                <w:szCs w:val="18"/>
              </w:rPr>
            </w:pPr>
            <w:r w:rsidRPr="00A9330B">
              <w:rPr>
                <w:rFonts w:cs="Arial"/>
                <w:iCs/>
                <w:sz w:val="18"/>
                <w:szCs w:val="18"/>
              </w:rPr>
              <w:t>RUE C1</w:t>
            </w:r>
          </w:p>
        </w:tc>
        <w:tc>
          <w:tcPr>
            <w:tcW w:w="1418" w:type="dxa"/>
            <w:tcBorders>
              <w:top w:val="nil"/>
              <w:left w:val="nil"/>
              <w:bottom w:val="single" w:sz="4" w:space="0" w:color="auto"/>
              <w:right w:val="single" w:sz="4" w:space="0" w:color="auto"/>
            </w:tcBorders>
            <w:shd w:val="clear" w:color="auto" w:fill="auto"/>
            <w:noWrap/>
            <w:vAlign w:val="bottom"/>
            <w:hideMark/>
          </w:tcPr>
          <w:p w14:paraId="5198CA4C" w14:textId="77777777" w:rsidR="0064324E" w:rsidRPr="00A9330B" w:rsidRDefault="0064324E" w:rsidP="0064324E">
            <w:pPr>
              <w:spacing w:line="240" w:lineRule="auto"/>
              <w:rPr>
                <w:rFonts w:cs="Arial"/>
                <w:iCs/>
                <w:sz w:val="18"/>
                <w:szCs w:val="18"/>
              </w:rPr>
            </w:pPr>
            <w:r w:rsidRPr="00A9330B">
              <w:rPr>
                <w:rFonts w:cs="Arial"/>
                <w:iCs/>
                <w:sz w:val="18"/>
                <w:szCs w:val="18"/>
              </w:rPr>
              <w:t>RUE B24</w:t>
            </w:r>
          </w:p>
        </w:tc>
        <w:tc>
          <w:tcPr>
            <w:tcW w:w="2229" w:type="dxa"/>
            <w:tcBorders>
              <w:top w:val="nil"/>
              <w:left w:val="nil"/>
              <w:bottom w:val="single" w:sz="4" w:space="0" w:color="auto"/>
              <w:right w:val="single" w:sz="4" w:space="0" w:color="auto"/>
            </w:tcBorders>
            <w:shd w:val="clear" w:color="auto" w:fill="auto"/>
            <w:vAlign w:val="bottom"/>
            <w:hideMark/>
          </w:tcPr>
          <w:p w14:paraId="6D95A930" w14:textId="77777777" w:rsidR="0064324E" w:rsidRPr="00A9330B" w:rsidRDefault="0064324E" w:rsidP="006E37A6">
            <w:pPr>
              <w:spacing w:line="240" w:lineRule="auto"/>
              <w:rPr>
                <w:rFonts w:cs="Arial"/>
                <w:iCs/>
                <w:sz w:val="18"/>
                <w:szCs w:val="18"/>
              </w:rPr>
            </w:pPr>
            <w:r w:rsidRPr="00A9330B">
              <w:rPr>
                <w:rFonts w:cs="Arial"/>
                <w:iCs/>
                <w:sz w:val="18"/>
                <w:szCs w:val="18"/>
              </w:rPr>
              <w:t>RUE C2</w:t>
            </w:r>
          </w:p>
        </w:tc>
        <w:tc>
          <w:tcPr>
            <w:tcW w:w="1701" w:type="dxa"/>
            <w:tcBorders>
              <w:top w:val="nil"/>
              <w:left w:val="nil"/>
              <w:bottom w:val="single" w:sz="4" w:space="0" w:color="auto"/>
              <w:right w:val="single" w:sz="4" w:space="0" w:color="auto"/>
            </w:tcBorders>
            <w:shd w:val="clear" w:color="auto" w:fill="auto"/>
            <w:noWrap/>
            <w:vAlign w:val="center"/>
            <w:hideMark/>
          </w:tcPr>
          <w:p w14:paraId="21887FA4" w14:textId="77777777" w:rsidR="0064324E" w:rsidRPr="00A9330B" w:rsidRDefault="0064324E" w:rsidP="00E33E4E">
            <w:pPr>
              <w:spacing w:line="240" w:lineRule="auto"/>
              <w:jc w:val="right"/>
              <w:rPr>
                <w:rFonts w:cs="Arial"/>
                <w:iCs/>
                <w:sz w:val="18"/>
                <w:szCs w:val="18"/>
              </w:rPr>
            </w:pPr>
            <w:r w:rsidRPr="00A9330B">
              <w:rPr>
                <w:rFonts w:cs="Arial"/>
                <w:iCs/>
                <w:sz w:val="18"/>
                <w:szCs w:val="18"/>
              </w:rPr>
              <w:t>336.980</w:t>
            </w:r>
          </w:p>
        </w:tc>
        <w:tc>
          <w:tcPr>
            <w:tcW w:w="2268" w:type="dxa"/>
            <w:tcBorders>
              <w:top w:val="nil"/>
              <w:left w:val="nil"/>
              <w:bottom w:val="single" w:sz="4" w:space="0" w:color="auto"/>
              <w:right w:val="single" w:sz="4" w:space="0" w:color="auto"/>
            </w:tcBorders>
            <w:shd w:val="clear" w:color="auto" w:fill="auto"/>
            <w:noWrap/>
            <w:vAlign w:val="bottom"/>
            <w:hideMark/>
          </w:tcPr>
          <w:p w14:paraId="0C956AF5" w14:textId="77777777" w:rsidR="0064324E" w:rsidRPr="00A9330B" w:rsidRDefault="0064324E" w:rsidP="00645DF1">
            <w:pPr>
              <w:spacing w:line="240" w:lineRule="auto"/>
              <w:jc w:val="center"/>
              <w:rPr>
                <w:rFonts w:cs="Arial"/>
                <w:iCs/>
                <w:sz w:val="18"/>
                <w:szCs w:val="18"/>
              </w:rPr>
            </w:pPr>
            <w:r w:rsidRPr="00A9330B">
              <w:rPr>
                <w:rFonts w:cs="Arial"/>
                <w:iCs/>
                <w:sz w:val="18"/>
                <w:szCs w:val="18"/>
              </w:rPr>
              <w:t>BITUME</w:t>
            </w:r>
          </w:p>
        </w:tc>
      </w:tr>
      <w:tr w:rsidR="0064324E" w:rsidRPr="00A9330B" w14:paraId="47AE0D5F" w14:textId="77777777" w:rsidTr="000F7BA7">
        <w:trPr>
          <w:cantSplit/>
          <w:trHeight w:val="340"/>
        </w:trPr>
        <w:tc>
          <w:tcPr>
            <w:tcW w:w="1828" w:type="dxa"/>
            <w:tcBorders>
              <w:top w:val="nil"/>
              <w:left w:val="single" w:sz="12" w:space="0" w:color="auto"/>
              <w:bottom w:val="single" w:sz="4" w:space="0" w:color="auto"/>
              <w:right w:val="single" w:sz="4" w:space="0" w:color="auto"/>
            </w:tcBorders>
            <w:shd w:val="clear" w:color="auto" w:fill="FFFFFF" w:themeFill="background1"/>
            <w:noWrap/>
            <w:vAlign w:val="bottom"/>
            <w:hideMark/>
          </w:tcPr>
          <w:p w14:paraId="18301E8F" w14:textId="77777777" w:rsidR="0064324E" w:rsidRPr="00A9330B" w:rsidRDefault="0064324E" w:rsidP="0064324E">
            <w:pPr>
              <w:spacing w:line="240" w:lineRule="auto"/>
              <w:rPr>
                <w:rFonts w:cs="Arial"/>
                <w:iCs/>
                <w:sz w:val="18"/>
                <w:szCs w:val="18"/>
              </w:rPr>
            </w:pPr>
            <w:r w:rsidRPr="00A9330B">
              <w:rPr>
                <w:rFonts w:cs="Arial"/>
                <w:iCs/>
                <w:sz w:val="18"/>
                <w:szCs w:val="18"/>
              </w:rPr>
              <w:t>RUE C2</w:t>
            </w:r>
          </w:p>
        </w:tc>
        <w:tc>
          <w:tcPr>
            <w:tcW w:w="1418" w:type="dxa"/>
            <w:tcBorders>
              <w:top w:val="nil"/>
              <w:left w:val="nil"/>
              <w:bottom w:val="single" w:sz="4" w:space="0" w:color="auto"/>
              <w:right w:val="single" w:sz="4" w:space="0" w:color="auto"/>
            </w:tcBorders>
            <w:shd w:val="clear" w:color="auto" w:fill="auto"/>
            <w:vAlign w:val="bottom"/>
            <w:hideMark/>
          </w:tcPr>
          <w:p w14:paraId="0911004F" w14:textId="77777777" w:rsidR="0064324E" w:rsidRPr="00A9330B" w:rsidRDefault="0064324E" w:rsidP="0064324E">
            <w:pPr>
              <w:spacing w:line="240" w:lineRule="auto"/>
              <w:rPr>
                <w:rFonts w:cs="Arial"/>
                <w:iCs/>
                <w:sz w:val="18"/>
                <w:szCs w:val="18"/>
              </w:rPr>
            </w:pPr>
            <w:r w:rsidRPr="00A9330B">
              <w:rPr>
                <w:rFonts w:cs="Arial"/>
                <w:iCs/>
                <w:sz w:val="18"/>
                <w:szCs w:val="18"/>
              </w:rPr>
              <w:t>RUE B25</w:t>
            </w:r>
          </w:p>
        </w:tc>
        <w:tc>
          <w:tcPr>
            <w:tcW w:w="2229" w:type="dxa"/>
            <w:tcBorders>
              <w:top w:val="nil"/>
              <w:left w:val="nil"/>
              <w:bottom w:val="single" w:sz="4" w:space="0" w:color="auto"/>
              <w:right w:val="single" w:sz="4" w:space="0" w:color="auto"/>
            </w:tcBorders>
            <w:shd w:val="clear" w:color="auto" w:fill="auto"/>
            <w:vAlign w:val="bottom"/>
            <w:hideMark/>
          </w:tcPr>
          <w:p w14:paraId="6C459E8E" w14:textId="77777777" w:rsidR="0064324E" w:rsidRPr="00A9330B" w:rsidRDefault="0064324E" w:rsidP="006E37A6">
            <w:pPr>
              <w:spacing w:line="240" w:lineRule="auto"/>
              <w:rPr>
                <w:rFonts w:cs="Arial"/>
                <w:iCs/>
                <w:sz w:val="18"/>
                <w:szCs w:val="18"/>
              </w:rPr>
            </w:pPr>
            <w:r w:rsidRPr="00A9330B">
              <w:rPr>
                <w:rFonts w:cs="Arial"/>
                <w:iCs/>
                <w:sz w:val="18"/>
                <w:szCs w:val="18"/>
              </w:rPr>
              <w:t>RUE B24</w:t>
            </w:r>
          </w:p>
        </w:tc>
        <w:tc>
          <w:tcPr>
            <w:tcW w:w="1701" w:type="dxa"/>
            <w:tcBorders>
              <w:top w:val="nil"/>
              <w:left w:val="nil"/>
              <w:bottom w:val="single" w:sz="4" w:space="0" w:color="auto"/>
              <w:right w:val="single" w:sz="4" w:space="0" w:color="auto"/>
            </w:tcBorders>
            <w:shd w:val="clear" w:color="auto" w:fill="auto"/>
            <w:noWrap/>
            <w:vAlign w:val="center"/>
            <w:hideMark/>
          </w:tcPr>
          <w:p w14:paraId="45E08ED8" w14:textId="77777777" w:rsidR="0064324E" w:rsidRPr="00A9330B" w:rsidRDefault="0064324E" w:rsidP="00E33E4E">
            <w:pPr>
              <w:spacing w:line="240" w:lineRule="auto"/>
              <w:jc w:val="right"/>
              <w:rPr>
                <w:rFonts w:cs="Arial"/>
                <w:iCs/>
                <w:sz w:val="18"/>
                <w:szCs w:val="18"/>
              </w:rPr>
            </w:pPr>
            <w:r w:rsidRPr="00A9330B">
              <w:rPr>
                <w:rFonts w:cs="Arial"/>
                <w:iCs/>
                <w:sz w:val="18"/>
                <w:szCs w:val="18"/>
              </w:rPr>
              <w:t>258.920</w:t>
            </w:r>
          </w:p>
        </w:tc>
        <w:tc>
          <w:tcPr>
            <w:tcW w:w="2268" w:type="dxa"/>
            <w:tcBorders>
              <w:top w:val="nil"/>
              <w:left w:val="nil"/>
              <w:bottom w:val="nil"/>
              <w:right w:val="single" w:sz="4" w:space="0" w:color="auto"/>
            </w:tcBorders>
            <w:shd w:val="clear" w:color="auto" w:fill="auto"/>
            <w:noWrap/>
            <w:vAlign w:val="bottom"/>
            <w:hideMark/>
          </w:tcPr>
          <w:p w14:paraId="52D4C59E" w14:textId="77777777" w:rsidR="0064324E" w:rsidRPr="00A9330B" w:rsidRDefault="0064324E" w:rsidP="00645DF1">
            <w:pPr>
              <w:spacing w:line="240" w:lineRule="auto"/>
              <w:jc w:val="center"/>
              <w:rPr>
                <w:rFonts w:cs="Arial"/>
                <w:iCs/>
                <w:sz w:val="18"/>
                <w:szCs w:val="18"/>
              </w:rPr>
            </w:pPr>
            <w:r w:rsidRPr="00A9330B">
              <w:rPr>
                <w:rFonts w:cs="Arial"/>
                <w:iCs/>
                <w:sz w:val="18"/>
                <w:szCs w:val="18"/>
              </w:rPr>
              <w:t>BITUME</w:t>
            </w:r>
          </w:p>
        </w:tc>
      </w:tr>
      <w:tr w:rsidR="0064324E" w:rsidRPr="00A9330B" w14:paraId="0ABB89B3" w14:textId="77777777" w:rsidTr="000F7BA7">
        <w:trPr>
          <w:cantSplit/>
          <w:trHeight w:val="340"/>
        </w:trPr>
        <w:tc>
          <w:tcPr>
            <w:tcW w:w="1828" w:type="dxa"/>
            <w:tcBorders>
              <w:top w:val="nil"/>
              <w:left w:val="single" w:sz="12" w:space="0" w:color="auto"/>
              <w:bottom w:val="single" w:sz="4" w:space="0" w:color="auto"/>
              <w:right w:val="single" w:sz="4" w:space="0" w:color="auto"/>
            </w:tcBorders>
            <w:shd w:val="clear" w:color="auto" w:fill="FFFFFF" w:themeFill="background1"/>
            <w:noWrap/>
            <w:vAlign w:val="bottom"/>
            <w:hideMark/>
          </w:tcPr>
          <w:p w14:paraId="7B43E095" w14:textId="77777777" w:rsidR="0064324E" w:rsidRPr="00A9330B" w:rsidRDefault="0064324E" w:rsidP="0064324E">
            <w:pPr>
              <w:spacing w:line="240" w:lineRule="auto"/>
              <w:rPr>
                <w:rFonts w:cs="Arial"/>
                <w:iCs/>
                <w:sz w:val="18"/>
                <w:szCs w:val="18"/>
              </w:rPr>
            </w:pPr>
            <w:r w:rsidRPr="00A9330B">
              <w:rPr>
                <w:rFonts w:cs="Arial"/>
                <w:iCs/>
                <w:sz w:val="18"/>
                <w:szCs w:val="18"/>
              </w:rPr>
              <w:t>RUE D1</w:t>
            </w:r>
          </w:p>
        </w:tc>
        <w:tc>
          <w:tcPr>
            <w:tcW w:w="1418" w:type="dxa"/>
            <w:tcBorders>
              <w:top w:val="nil"/>
              <w:left w:val="nil"/>
              <w:bottom w:val="single" w:sz="4" w:space="0" w:color="auto"/>
              <w:right w:val="single" w:sz="4" w:space="0" w:color="auto"/>
            </w:tcBorders>
            <w:shd w:val="clear" w:color="auto" w:fill="auto"/>
            <w:noWrap/>
            <w:vAlign w:val="bottom"/>
            <w:hideMark/>
          </w:tcPr>
          <w:p w14:paraId="760BA39F" w14:textId="77777777" w:rsidR="0064324E" w:rsidRPr="00A9330B" w:rsidRDefault="0064324E" w:rsidP="0064324E">
            <w:pPr>
              <w:spacing w:line="240" w:lineRule="auto"/>
              <w:rPr>
                <w:rFonts w:cs="Arial"/>
                <w:iCs/>
                <w:sz w:val="18"/>
                <w:szCs w:val="18"/>
              </w:rPr>
            </w:pPr>
            <w:r w:rsidRPr="00A9330B">
              <w:rPr>
                <w:rFonts w:cs="Arial"/>
                <w:iCs/>
                <w:sz w:val="18"/>
                <w:szCs w:val="18"/>
              </w:rPr>
              <w:t>RUE A14</w:t>
            </w:r>
          </w:p>
        </w:tc>
        <w:tc>
          <w:tcPr>
            <w:tcW w:w="2229" w:type="dxa"/>
            <w:tcBorders>
              <w:top w:val="nil"/>
              <w:left w:val="nil"/>
              <w:bottom w:val="single" w:sz="4" w:space="0" w:color="auto"/>
              <w:right w:val="single" w:sz="4" w:space="0" w:color="auto"/>
            </w:tcBorders>
            <w:shd w:val="clear" w:color="auto" w:fill="auto"/>
            <w:noWrap/>
            <w:vAlign w:val="bottom"/>
            <w:hideMark/>
          </w:tcPr>
          <w:p w14:paraId="3790EF64" w14:textId="77777777" w:rsidR="0064324E" w:rsidRPr="00A9330B" w:rsidRDefault="0064324E" w:rsidP="006E37A6">
            <w:pPr>
              <w:spacing w:line="240" w:lineRule="auto"/>
              <w:rPr>
                <w:rFonts w:cs="Arial"/>
                <w:iCs/>
                <w:sz w:val="18"/>
                <w:szCs w:val="18"/>
              </w:rPr>
            </w:pPr>
            <w:r w:rsidRPr="00A9330B">
              <w:rPr>
                <w:rFonts w:cs="Arial"/>
                <w:iCs/>
                <w:sz w:val="18"/>
                <w:szCs w:val="18"/>
              </w:rPr>
              <w:t>RUE PAVEE EXISTANTE</w:t>
            </w:r>
          </w:p>
        </w:tc>
        <w:tc>
          <w:tcPr>
            <w:tcW w:w="1701" w:type="dxa"/>
            <w:tcBorders>
              <w:top w:val="nil"/>
              <w:left w:val="nil"/>
              <w:bottom w:val="single" w:sz="4" w:space="0" w:color="auto"/>
              <w:right w:val="single" w:sz="4" w:space="0" w:color="auto"/>
            </w:tcBorders>
            <w:shd w:val="clear" w:color="auto" w:fill="auto"/>
            <w:noWrap/>
            <w:vAlign w:val="center"/>
            <w:hideMark/>
          </w:tcPr>
          <w:p w14:paraId="4E3CA712" w14:textId="77777777" w:rsidR="0064324E" w:rsidRPr="00A9330B" w:rsidRDefault="0064324E" w:rsidP="00E33E4E">
            <w:pPr>
              <w:spacing w:line="240" w:lineRule="auto"/>
              <w:jc w:val="right"/>
              <w:rPr>
                <w:rFonts w:cs="Arial"/>
                <w:iCs/>
                <w:sz w:val="18"/>
                <w:szCs w:val="18"/>
              </w:rPr>
            </w:pPr>
            <w:r w:rsidRPr="00A9330B">
              <w:rPr>
                <w:rFonts w:cs="Arial"/>
                <w:iCs/>
                <w:sz w:val="18"/>
                <w:szCs w:val="18"/>
              </w:rPr>
              <w:t>237.430</w:t>
            </w:r>
          </w:p>
        </w:tc>
        <w:tc>
          <w:tcPr>
            <w:tcW w:w="2268" w:type="dxa"/>
            <w:tcBorders>
              <w:top w:val="single" w:sz="4" w:space="0" w:color="auto"/>
              <w:left w:val="nil"/>
              <w:bottom w:val="nil"/>
              <w:right w:val="single" w:sz="4" w:space="0" w:color="auto"/>
            </w:tcBorders>
            <w:shd w:val="clear" w:color="auto" w:fill="auto"/>
            <w:noWrap/>
            <w:vAlign w:val="bottom"/>
            <w:hideMark/>
          </w:tcPr>
          <w:p w14:paraId="07E22BEB" w14:textId="77777777" w:rsidR="0064324E" w:rsidRPr="00A9330B" w:rsidRDefault="0064324E" w:rsidP="00645DF1">
            <w:pPr>
              <w:spacing w:line="240" w:lineRule="auto"/>
              <w:jc w:val="center"/>
              <w:rPr>
                <w:rFonts w:cs="Arial"/>
                <w:iCs/>
                <w:sz w:val="18"/>
                <w:szCs w:val="18"/>
              </w:rPr>
            </w:pPr>
            <w:r w:rsidRPr="00A9330B">
              <w:rPr>
                <w:rFonts w:cs="Arial"/>
                <w:iCs/>
                <w:sz w:val="18"/>
                <w:szCs w:val="18"/>
              </w:rPr>
              <w:t>BITUME</w:t>
            </w:r>
          </w:p>
        </w:tc>
      </w:tr>
      <w:tr w:rsidR="0064324E" w:rsidRPr="00A9330B" w14:paraId="084421EA" w14:textId="77777777" w:rsidTr="000F7BA7">
        <w:trPr>
          <w:cantSplit/>
          <w:trHeight w:val="340"/>
        </w:trPr>
        <w:tc>
          <w:tcPr>
            <w:tcW w:w="1828" w:type="dxa"/>
            <w:tcBorders>
              <w:top w:val="nil"/>
              <w:left w:val="single" w:sz="12" w:space="0" w:color="auto"/>
              <w:bottom w:val="single" w:sz="4" w:space="0" w:color="auto"/>
              <w:right w:val="single" w:sz="4" w:space="0" w:color="auto"/>
            </w:tcBorders>
            <w:shd w:val="clear" w:color="auto" w:fill="FFFFFF" w:themeFill="background1"/>
            <w:noWrap/>
            <w:vAlign w:val="bottom"/>
            <w:hideMark/>
          </w:tcPr>
          <w:p w14:paraId="579E5BC3" w14:textId="77777777" w:rsidR="0064324E" w:rsidRPr="00A9330B" w:rsidRDefault="0064324E" w:rsidP="0064324E">
            <w:pPr>
              <w:spacing w:line="240" w:lineRule="auto"/>
              <w:rPr>
                <w:rFonts w:cs="Arial"/>
                <w:iCs/>
                <w:sz w:val="18"/>
                <w:szCs w:val="18"/>
              </w:rPr>
            </w:pPr>
            <w:r w:rsidRPr="00A9330B">
              <w:rPr>
                <w:rFonts w:cs="Arial"/>
                <w:iCs/>
                <w:sz w:val="18"/>
                <w:szCs w:val="18"/>
              </w:rPr>
              <w:t>RUE D2</w:t>
            </w:r>
          </w:p>
        </w:tc>
        <w:tc>
          <w:tcPr>
            <w:tcW w:w="1418" w:type="dxa"/>
            <w:tcBorders>
              <w:top w:val="nil"/>
              <w:left w:val="nil"/>
              <w:bottom w:val="single" w:sz="4" w:space="0" w:color="auto"/>
              <w:right w:val="single" w:sz="4" w:space="0" w:color="auto"/>
            </w:tcBorders>
            <w:shd w:val="clear" w:color="auto" w:fill="auto"/>
            <w:vAlign w:val="bottom"/>
            <w:hideMark/>
          </w:tcPr>
          <w:p w14:paraId="71332978" w14:textId="77777777" w:rsidR="0064324E" w:rsidRPr="00A9330B" w:rsidRDefault="0064324E" w:rsidP="0064324E">
            <w:pPr>
              <w:spacing w:line="240" w:lineRule="auto"/>
              <w:rPr>
                <w:rFonts w:cs="Arial"/>
                <w:iCs/>
                <w:sz w:val="18"/>
                <w:szCs w:val="18"/>
              </w:rPr>
            </w:pPr>
            <w:r w:rsidRPr="00A9330B">
              <w:rPr>
                <w:rFonts w:cs="Arial"/>
                <w:iCs/>
                <w:sz w:val="18"/>
                <w:szCs w:val="18"/>
              </w:rPr>
              <w:t>RUE PAVEE EXISTANTE</w:t>
            </w:r>
          </w:p>
        </w:tc>
        <w:tc>
          <w:tcPr>
            <w:tcW w:w="2229" w:type="dxa"/>
            <w:tcBorders>
              <w:top w:val="nil"/>
              <w:left w:val="nil"/>
              <w:bottom w:val="single" w:sz="4" w:space="0" w:color="auto"/>
              <w:right w:val="single" w:sz="4" w:space="0" w:color="auto"/>
            </w:tcBorders>
            <w:shd w:val="clear" w:color="auto" w:fill="auto"/>
            <w:vAlign w:val="bottom"/>
            <w:hideMark/>
          </w:tcPr>
          <w:p w14:paraId="52CAD46F" w14:textId="77777777" w:rsidR="0064324E" w:rsidRPr="00A9330B" w:rsidRDefault="0064324E" w:rsidP="006E37A6">
            <w:pPr>
              <w:spacing w:line="240" w:lineRule="auto"/>
              <w:rPr>
                <w:rFonts w:cs="Arial"/>
                <w:iCs/>
                <w:sz w:val="18"/>
                <w:szCs w:val="18"/>
              </w:rPr>
            </w:pPr>
            <w:r w:rsidRPr="00A9330B">
              <w:rPr>
                <w:rFonts w:cs="Arial"/>
                <w:iCs/>
                <w:sz w:val="18"/>
                <w:szCs w:val="18"/>
              </w:rPr>
              <w:t>RUE PAVEE EXISTANTE</w:t>
            </w:r>
          </w:p>
        </w:tc>
        <w:tc>
          <w:tcPr>
            <w:tcW w:w="1701" w:type="dxa"/>
            <w:tcBorders>
              <w:top w:val="nil"/>
              <w:left w:val="nil"/>
              <w:bottom w:val="single" w:sz="4" w:space="0" w:color="auto"/>
              <w:right w:val="single" w:sz="4" w:space="0" w:color="auto"/>
            </w:tcBorders>
            <w:shd w:val="clear" w:color="auto" w:fill="auto"/>
            <w:noWrap/>
            <w:vAlign w:val="center"/>
            <w:hideMark/>
          </w:tcPr>
          <w:p w14:paraId="4A447945" w14:textId="77777777" w:rsidR="0064324E" w:rsidRPr="00A9330B" w:rsidRDefault="0064324E" w:rsidP="00E33E4E">
            <w:pPr>
              <w:spacing w:line="240" w:lineRule="auto"/>
              <w:jc w:val="right"/>
              <w:rPr>
                <w:rFonts w:cs="Arial"/>
                <w:iCs/>
                <w:sz w:val="18"/>
                <w:szCs w:val="18"/>
              </w:rPr>
            </w:pPr>
            <w:r w:rsidRPr="00A9330B">
              <w:rPr>
                <w:rFonts w:cs="Arial"/>
                <w:iCs/>
                <w:sz w:val="18"/>
                <w:szCs w:val="18"/>
              </w:rPr>
              <w:t>177.290</w:t>
            </w:r>
          </w:p>
        </w:tc>
        <w:tc>
          <w:tcPr>
            <w:tcW w:w="2268" w:type="dxa"/>
            <w:tcBorders>
              <w:top w:val="single" w:sz="4" w:space="0" w:color="auto"/>
              <w:left w:val="nil"/>
              <w:bottom w:val="single" w:sz="4" w:space="0" w:color="auto"/>
              <w:right w:val="single" w:sz="4" w:space="0" w:color="auto"/>
            </w:tcBorders>
            <w:shd w:val="clear" w:color="auto" w:fill="auto"/>
            <w:noWrap/>
            <w:vAlign w:val="bottom"/>
            <w:hideMark/>
          </w:tcPr>
          <w:p w14:paraId="3FED28D4" w14:textId="77777777" w:rsidR="0064324E" w:rsidRPr="00A9330B" w:rsidRDefault="0064324E" w:rsidP="00645DF1">
            <w:pPr>
              <w:spacing w:line="240" w:lineRule="auto"/>
              <w:jc w:val="center"/>
              <w:rPr>
                <w:rFonts w:cs="Arial"/>
                <w:iCs/>
                <w:sz w:val="18"/>
                <w:szCs w:val="18"/>
              </w:rPr>
            </w:pPr>
            <w:r w:rsidRPr="00A9330B">
              <w:rPr>
                <w:rFonts w:cs="Arial"/>
                <w:iCs/>
                <w:sz w:val="18"/>
                <w:szCs w:val="18"/>
              </w:rPr>
              <w:t>BITUME</w:t>
            </w:r>
          </w:p>
        </w:tc>
      </w:tr>
      <w:tr w:rsidR="0064324E" w:rsidRPr="00A9330B" w14:paraId="2F070D39" w14:textId="77777777" w:rsidTr="000F7BA7">
        <w:trPr>
          <w:cantSplit/>
          <w:trHeight w:val="340"/>
        </w:trPr>
        <w:tc>
          <w:tcPr>
            <w:tcW w:w="1828" w:type="dxa"/>
            <w:tcBorders>
              <w:top w:val="nil"/>
              <w:left w:val="single" w:sz="12" w:space="0" w:color="auto"/>
              <w:bottom w:val="single" w:sz="4" w:space="0" w:color="auto"/>
              <w:right w:val="single" w:sz="4" w:space="0" w:color="auto"/>
            </w:tcBorders>
            <w:shd w:val="clear" w:color="auto" w:fill="FFFFFF" w:themeFill="background1"/>
            <w:noWrap/>
            <w:vAlign w:val="bottom"/>
            <w:hideMark/>
          </w:tcPr>
          <w:p w14:paraId="38D5B9C4" w14:textId="77777777" w:rsidR="0064324E" w:rsidRPr="00A9330B" w:rsidRDefault="0064324E" w:rsidP="0064324E">
            <w:pPr>
              <w:spacing w:line="240" w:lineRule="auto"/>
              <w:rPr>
                <w:rFonts w:cs="Arial"/>
                <w:iCs/>
                <w:sz w:val="18"/>
                <w:szCs w:val="18"/>
              </w:rPr>
            </w:pPr>
            <w:r w:rsidRPr="00A9330B">
              <w:rPr>
                <w:rFonts w:cs="Arial"/>
                <w:iCs/>
                <w:sz w:val="18"/>
                <w:szCs w:val="18"/>
              </w:rPr>
              <w:t>RUE A23</w:t>
            </w:r>
          </w:p>
        </w:tc>
        <w:tc>
          <w:tcPr>
            <w:tcW w:w="1418" w:type="dxa"/>
            <w:tcBorders>
              <w:top w:val="nil"/>
              <w:left w:val="nil"/>
              <w:bottom w:val="single" w:sz="4" w:space="0" w:color="auto"/>
              <w:right w:val="single" w:sz="4" w:space="0" w:color="auto"/>
            </w:tcBorders>
            <w:shd w:val="clear" w:color="auto" w:fill="auto"/>
            <w:noWrap/>
            <w:vAlign w:val="bottom"/>
            <w:hideMark/>
          </w:tcPr>
          <w:p w14:paraId="7A447109" w14:textId="77777777" w:rsidR="0064324E" w:rsidRPr="00A9330B" w:rsidRDefault="0064324E" w:rsidP="0064324E">
            <w:pPr>
              <w:spacing w:line="240" w:lineRule="auto"/>
              <w:rPr>
                <w:rFonts w:cs="Arial"/>
                <w:iCs/>
                <w:sz w:val="18"/>
                <w:szCs w:val="18"/>
              </w:rPr>
            </w:pPr>
            <w:r w:rsidRPr="00A9330B">
              <w:rPr>
                <w:rFonts w:cs="Arial"/>
                <w:iCs/>
                <w:sz w:val="18"/>
                <w:szCs w:val="18"/>
              </w:rPr>
              <w:t>RNIE 3</w:t>
            </w:r>
          </w:p>
        </w:tc>
        <w:tc>
          <w:tcPr>
            <w:tcW w:w="2229" w:type="dxa"/>
            <w:tcBorders>
              <w:top w:val="nil"/>
              <w:left w:val="nil"/>
              <w:bottom w:val="single" w:sz="4" w:space="0" w:color="auto"/>
              <w:right w:val="single" w:sz="4" w:space="0" w:color="auto"/>
            </w:tcBorders>
            <w:shd w:val="clear" w:color="auto" w:fill="auto"/>
            <w:noWrap/>
            <w:vAlign w:val="bottom"/>
            <w:hideMark/>
          </w:tcPr>
          <w:p w14:paraId="2EB1687F" w14:textId="77777777" w:rsidR="0064324E" w:rsidRPr="00A9330B" w:rsidRDefault="0064324E" w:rsidP="006E37A6">
            <w:pPr>
              <w:spacing w:line="240" w:lineRule="auto"/>
              <w:rPr>
                <w:rFonts w:cs="Arial"/>
                <w:iCs/>
                <w:sz w:val="18"/>
                <w:szCs w:val="18"/>
              </w:rPr>
            </w:pPr>
            <w:r w:rsidRPr="00A9330B">
              <w:rPr>
                <w:rFonts w:cs="Arial"/>
                <w:iCs/>
                <w:sz w:val="18"/>
                <w:szCs w:val="18"/>
              </w:rPr>
              <w:t>ROCADE</w:t>
            </w:r>
          </w:p>
        </w:tc>
        <w:tc>
          <w:tcPr>
            <w:tcW w:w="1701" w:type="dxa"/>
            <w:tcBorders>
              <w:top w:val="nil"/>
              <w:left w:val="nil"/>
              <w:bottom w:val="single" w:sz="4" w:space="0" w:color="auto"/>
              <w:right w:val="single" w:sz="4" w:space="0" w:color="auto"/>
            </w:tcBorders>
            <w:shd w:val="clear" w:color="auto" w:fill="auto"/>
            <w:noWrap/>
            <w:vAlign w:val="center"/>
            <w:hideMark/>
          </w:tcPr>
          <w:p w14:paraId="67029E49" w14:textId="77777777" w:rsidR="0064324E" w:rsidRPr="00A9330B" w:rsidRDefault="0064324E" w:rsidP="00E33E4E">
            <w:pPr>
              <w:spacing w:line="240" w:lineRule="auto"/>
              <w:jc w:val="right"/>
              <w:rPr>
                <w:rFonts w:cs="Arial"/>
                <w:iCs/>
                <w:sz w:val="18"/>
                <w:szCs w:val="18"/>
              </w:rPr>
            </w:pPr>
            <w:r w:rsidRPr="00A9330B">
              <w:rPr>
                <w:rFonts w:cs="Arial"/>
                <w:iCs/>
                <w:sz w:val="18"/>
                <w:szCs w:val="18"/>
              </w:rPr>
              <w:t>654.900</w:t>
            </w:r>
          </w:p>
        </w:tc>
        <w:tc>
          <w:tcPr>
            <w:tcW w:w="2268" w:type="dxa"/>
            <w:tcBorders>
              <w:top w:val="nil"/>
              <w:left w:val="nil"/>
              <w:bottom w:val="single" w:sz="4" w:space="0" w:color="auto"/>
              <w:right w:val="single" w:sz="4" w:space="0" w:color="auto"/>
            </w:tcBorders>
            <w:shd w:val="clear" w:color="auto" w:fill="auto"/>
            <w:noWrap/>
            <w:vAlign w:val="bottom"/>
            <w:hideMark/>
          </w:tcPr>
          <w:p w14:paraId="6A7F41AA" w14:textId="77777777" w:rsidR="0064324E" w:rsidRPr="00A9330B" w:rsidRDefault="0064324E" w:rsidP="00645DF1">
            <w:pPr>
              <w:spacing w:line="240" w:lineRule="auto"/>
              <w:jc w:val="center"/>
              <w:rPr>
                <w:rFonts w:cs="Arial"/>
                <w:iCs/>
                <w:sz w:val="18"/>
                <w:szCs w:val="18"/>
              </w:rPr>
            </w:pPr>
            <w:r w:rsidRPr="00A9330B">
              <w:rPr>
                <w:rFonts w:cs="Arial"/>
                <w:iCs/>
                <w:sz w:val="18"/>
                <w:szCs w:val="18"/>
              </w:rPr>
              <w:t>BITUME</w:t>
            </w:r>
          </w:p>
        </w:tc>
      </w:tr>
      <w:tr w:rsidR="0064324E" w:rsidRPr="00A9330B" w14:paraId="57FD661F" w14:textId="77777777" w:rsidTr="000F7BA7">
        <w:trPr>
          <w:cantSplit/>
          <w:trHeight w:val="340"/>
        </w:trPr>
        <w:tc>
          <w:tcPr>
            <w:tcW w:w="1828" w:type="dxa"/>
            <w:tcBorders>
              <w:top w:val="nil"/>
              <w:left w:val="single" w:sz="12" w:space="0" w:color="auto"/>
              <w:bottom w:val="single" w:sz="4" w:space="0" w:color="auto"/>
              <w:right w:val="single" w:sz="4" w:space="0" w:color="auto"/>
            </w:tcBorders>
            <w:shd w:val="clear" w:color="auto" w:fill="FFFFFF" w:themeFill="background1"/>
            <w:noWrap/>
            <w:vAlign w:val="bottom"/>
            <w:hideMark/>
          </w:tcPr>
          <w:p w14:paraId="3C92FDDA" w14:textId="77777777" w:rsidR="0064324E" w:rsidRPr="00A9330B" w:rsidRDefault="0064324E" w:rsidP="0064324E">
            <w:pPr>
              <w:spacing w:line="240" w:lineRule="auto"/>
              <w:rPr>
                <w:rFonts w:cs="Arial"/>
                <w:iCs/>
                <w:sz w:val="18"/>
                <w:szCs w:val="18"/>
              </w:rPr>
            </w:pPr>
            <w:r w:rsidRPr="00A9330B">
              <w:rPr>
                <w:rFonts w:cs="Arial"/>
                <w:iCs/>
                <w:sz w:val="18"/>
                <w:szCs w:val="18"/>
              </w:rPr>
              <w:lastRenderedPageBreak/>
              <w:t>RUE A24</w:t>
            </w:r>
          </w:p>
        </w:tc>
        <w:tc>
          <w:tcPr>
            <w:tcW w:w="1418" w:type="dxa"/>
            <w:tcBorders>
              <w:top w:val="nil"/>
              <w:left w:val="nil"/>
              <w:bottom w:val="single" w:sz="4" w:space="0" w:color="auto"/>
              <w:right w:val="single" w:sz="4" w:space="0" w:color="auto"/>
            </w:tcBorders>
            <w:shd w:val="clear" w:color="auto" w:fill="auto"/>
            <w:noWrap/>
            <w:vAlign w:val="bottom"/>
            <w:hideMark/>
          </w:tcPr>
          <w:p w14:paraId="6E216C3C" w14:textId="77777777" w:rsidR="0064324E" w:rsidRPr="00A9330B" w:rsidRDefault="0064324E" w:rsidP="0064324E">
            <w:pPr>
              <w:spacing w:line="240" w:lineRule="auto"/>
              <w:rPr>
                <w:rFonts w:cs="Arial"/>
                <w:iCs/>
                <w:sz w:val="18"/>
                <w:szCs w:val="18"/>
              </w:rPr>
            </w:pPr>
            <w:r w:rsidRPr="00A9330B">
              <w:rPr>
                <w:rFonts w:cs="Arial"/>
                <w:iCs/>
                <w:sz w:val="18"/>
                <w:szCs w:val="18"/>
              </w:rPr>
              <w:t>RNIE 3</w:t>
            </w:r>
          </w:p>
        </w:tc>
        <w:tc>
          <w:tcPr>
            <w:tcW w:w="2229" w:type="dxa"/>
            <w:tcBorders>
              <w:top w:val="nil"/>
              <w:left w:val="nil"/>
              <w:bottom w:val="single" w:sz="4" w:space="0" w:color="auto"/>
              <w:right w:val="single" w:sz="4" w:space="0" w:color="auto"/>
            </w:tcBorders>
            <w:shd w:val="clear" w:color="auto" w:fill="auto"/>
            <w:noWrap/>
            <w:vAlign w:val="bottom"/>
            <w:hideMark/>
          </w:tcPr>
          <w:p w14:paraId="1342240C" w14:textId="77777777" w:rsidR="0064324E" w:rsidRPr="00A9330B" w:rsidRDefault="0064324E" w:rsidP="006E37A6">
            <w:pPr>
              <w:spacing w:line="240" w:lineRule="auto"/>
              <w:rPr>
                <w:rFonts w:cs="Arial"/>
                <w:iCs/>
                <w:sz w:val="18"/>
                <w:szCs w:val="18"/>
              </w:rPr>
            </w:pPr>
            <w:r w:rsidRPr="00A9330B">
              <w:rPr>
                <w:rFonts w:cs="Arial"/>
                <w:iCs/>
                <w:sz w:val="18"/>
                <w:szCs w:val="18"/>
              </w:rPr>
              <w:t>CANAL A</w:t>
            </w:r>
          </w:p>
        </w:tc>
        <w:tc>
          <w:tcPr>
            <w:tcW w:w="1701" w:type="dxa"/>
            <w:tcBorders>
              <w:top w:val="nil"/>
              <w:left w:val="nil"/>
              <w:bottom w:val="single" w:sz="4" w:space="0" w:color="auto"/>
              <w:right w:val="single" w:sz="4" w:space="0" w:color="auto"/>
            </w:tcBorders>
            <w:shd w:val="clear" w:color="auto" w:fill="auto"/>
            <w:noWrap/>
            <w:vAlign w:val="center"/>
            <w:hideMark/>
          </w:tcPr>
          <w:p w14:paraId="6B6DA9B6" w14:textId="77777777" w:rsidR="0064324E" w:rsidRPr="00A9330B" w:rsidRDefault="0064324E" w:rsidP="00E33E4E">
            <w:pPr>
              <w:spacing w:line="240" w:lineRule="auto"/>
              <w:jc w:val="right"/>
              <w:rPr>
                <w:rFonts w:cs="Arial"/>
                <w:iCs/>
                <w:sz w:val="18"/>
                <w:szCs w:val="18"/>
              </w:rPr>
            </w:pPr>
            <w:r w:rsidRPr="00A9330B">
              <w:rPr>
                <w:rFonts w:cs="Arial"/>
                <w:iCs/>
                <w:sz w:val="18"/>
                <w:szCs w:val="18"/>
              </w:rPr>
              <w:t>684.550</w:t>
            </w:r>
          </w:p>
        </w:tc>
        <w:tc>
          <w:tcPr>
            <w:tcW w:w="2268" w:type="dxa"/>
            <w:tcBorders>
              <w:top w:val="nil"/>
              <w:left w:val="nil"/>
              <w:bottom w:val="single" w:sz="4" w:space="0" w:color="auto"/>
              <w:right w:val="single" w:sz="4" w:space="0" w:color="auto"/>
            </w:tcBorders>
            <w:shd w:val="clear" w:color="auto" w:fill="auto"/>
            <w:noWrap/>
            <w:vAlign w:val="bottom"/>
            <w:hideMark/>
          </w:tcPr>
          <w:p w14:paraId="6914A4A6" w14:textId="77777777" w:rsidR="0064324E" w:rsidRPr="00A9330B" w:rsidRDefault="0064324E" w:rsidP="00645DF1">
            <w:pPr>
              <w:spacing w:line="240" w:lineRule="auto"/>
              <w:jc w:val="center"/>
              <w:rPr>
                <w:rFonts w:cs="Arial"/>
                <w:iCs/>
                <w:sz w:val="18"/>
                <w:szCs w:val="18"/>
              </w:rPr>
            </w:pPr>
            <w:r w:rsidRPr="00A9330B">
              <w:rPr>
                <w:rFonts w:cs="Arial"/>
                <w:iCs/>
                <w:sz w:val="18"/>
                <w:szCs w:val="18"/>
              </w:rPr>
              <w:t>BITUME</w:t>
            </w:r>
          </w:p>
        </w:tc>
      </w:tr>
      <w:tr w:rsidR="0064324E" w:rsidRPr="00A9330B" w14:paraId="0236EB70" w14:textId="77777777" w:rsidTr="000F7BA7">
        <w:trPr>
          <w:cantSplit/>
          <w:trHeight w:val="340"/>
        </w:trPr>
        <w:tc>
          <w:tcPr>
            <w:tcW w:w="1828" w:type="dxa"/>
            <w:tcBorders>
              <w:top w:val="nil"/>
              <w:left w:val="single" w:sz="12" w:space="0" w:color="auto"/>
              <w:bottom w:val="single" w:sz="4" w:space="0" w:color="auto"/>
              <w:right w:val="single" w:sz="4" w:space="0" w:color="auto"/>
            </w:tcBorders>
            <w:shd w:val="clear" w:color="auto" w:fill="FFFFFF" w:themeFill="background1"/>
            <w:noWrap/>
            <w:vAlign w:val="bottom"/>
            <w:hideMark/>
          </w:tcPr>
          <w:p w14:paraId="2F4389BB" w14:textId="77777777" w:rsidR="0064324E" w:rsidRPr="00A9330B" w:rsidRDefault="0064324E" w:rsidP="0064324E">
            <w:pPr>
              <w:spacing w:line="240" w:lineRule="auto"/>
              <w:rPr>
                <w:rFonts w:cs="Arial"/>
                <w:iCs/>
                <w:sz w:val="18"/>
                <w:szCs w:val="18"/>
              </w:rPr>
            </w:pPr>
            <w:r w:rsidRPr="00A9330B">
              <w:rPr>
                <w:rFonts w:cs="Arial"/>
                <w:iCs/>
                <w:sz w:val="18"/>
                <w:szCs w:val="18"/>
              </w:rPr>
              <w:t>RUE B6</w:t>
            </w:r>
          </w:p>
        </w:tc>
        <w:tc>
          <w:tcPr>
            <w:tcW w:w="1418" w:type="dxa"/>
            <w:tcBorders>
              <w:top w:val="nil"/>
              <w:left w:val="nil"/>
              <w:bottom w:val="single" w:sz="4" w:space="0" w:color="auto"/>
              <w:right w:val="single" w:sz="4" w:space="0" w:color="auto"/>
            </w:tcBorders>
            <w:shd w:val="clear" w:color="auto" w:fill="auto"/>
            <w:vAlign w:val="bottom"/>
            <w:hideMark/>
          </w:tcPr>
          <w:p w14:paraId="4D0795F0" w14:textId="77777777" w:rsidR="0064324E" w:rsidRPr="00A9330B" w:rsidRDefault="0064324E" w:rsidP="0064324E">
            <w:pPr>
              <w:spacing w:line="240" w:lineRule="auto"/>
              <w:rPr>
                <w:rFonts w:cs="Arial"/>
                <w:iCs/>
                <w:sz w:val="18"/>
                <w:szCs w:val="18"/>
              </w:rPr>
            </w:pPr>
            <w:r w:rsidRPr="00A9330B">
              <w:rPr>
                <w:rFonts w:cs="Arial"/>
                <w:iCs/>
                <w:sz w:val="18"/>
                <w:szCs w:val="18"/>
              </w:rPr>
              <w:t>RNIE 3</w:t>
            </w:r>
          </w:p>
        </w:tc>
        <w:tc>
          <w:tcPr>
            <w:tcW w:w="2229" w:type="dxa"/>
            <w:tcBorders>
              <w:top w:val="nil"/>
              <w:left w:val="nil"/>
              <w:bottom w:val="single" w:sz="4" w:space="0" w:color="auto"/>
              <w:right w:val="single" w:sz="4" w:space="0" w:color="auto"/>
            </w:tcBorders>
            <w:shd w:val="clear" w:color="auto" w:fill="auto"/>
            <w:noWrap/>
            <w:vAlign w:val="bottom"/>
            <w:hideMark/>
          </w:tcPr>
          <w:p w14:paraId="370FEB35" w14:textId="77777777" w:rsidR="0064324E" w:rsidRPr="00A9330B" w:rsidRDefault="0064324E" w:rsidP="006E37A6">
            <w:pPr>
              <w:spacing w:line="240" w:lineRule="auto"/>
              <w:rPr>
                <w:rFonts w:cs="Arial"/>
                <w:iCs/>
                <w:sz w:val="18"/>
                <w:szCs w:val="18"/>
              </w:rPr>
            </w:pPr>
            <w:r w:rsidRPr="00A9330B">
              <w:rPr>
                <w:rFonts w:cs="Arial"/>
                <w:iCs/>
                <w:sz w:val="18"/>
                <w:szCs w:val="18"/>
              </w:rPr>
              <w:t>MONTAGNE</w:t>
            </w:r>
          </w:p>
        </w:tc>
        <w:tc>
          <w:tcPr>
            <w:tcW w:w="1701" w:type="dxa"/>
            <w:tcBorders>
              <w:top w:val="nil"/>
              <w:left w:val="nil"/>
              <w:bottom w:val="single" w:sz="4" w:space="0" w:color="auto"/>
              <w:right w:val="single" w:sz="4" w:space="0" w:color="auto"/>
            </w:tcBorders>
            <w:shd w:val="clear" w:color="auto" w:fill="auto"/>
            <w:noWrap/>
            <w:vAlign w:val="center"/>
            <w:hideMark/>
          </w:tcPr>
          <w:p w14:paraId="78BF33FB" w14:textId="77777777" w:rsidR="0064324E" w:rsidRPr="00A9330B" w:rsidRDefault="0064324E" w:rsidP="00E33E4E">
            <w:pPr>
              <w:spacing w:line="240" w:lineRule="auto"/>
              <w:jc w:val="right"/>
              <w:rPr>
                <w:rFonts w:cs="Arial"/>
                <w:iCs/>
                <w:sz w:val="18"/>
                <w:szCs w:val="18"/>
              </w:rPr>
            </w:pPr>
            <w:r w:rsidRPr="00A9330B">
              <w:rPr>
                <w:rFonts w:cs="Arial"/>
                <w:iCs/>
                <w:sz w:val="18"/>
                <w:szCs w:val="18"/>
              </w:rPr>
              <w:t>944.150</w:t>
            </w:r>
          </w:p>
        </w:tc>
        <w:tc>
          <w:tcPr>
            <w:tcW w:w="2268" w:type="dxa"/>
            <w:tcBorders>
              <w:top w:val="nil"/>
              <w:left w:val="nil"/>
              <w:bottom w:val="single" w:sz="4" w:space="0" w:color="auto"/>
              <w:right w:val="single" w:sz="4" w:space="0" w:color="auto"/>
            </w:tcBorders>
            <w:shd w:val="clear" w:color="auto" w:fill="auto"/>
            <w:noWrap/>
            <w:vAlign w:val="bottom"/>
            <w:hideMark/>
          </w:tcPr>
          <w:p w14:paraId="5A3A1B51" w14:textId="77777777" w:rsidR="0064324E" w:rsidRPr="00A9330B" w:rsidRDefault="0064324E" w:rsidP="00645DF1">
            <w:pPr>
              <w:spacing w:line="240" w:lineRule="auto"/>
              <w:jc w:val="center"/>
              <w:rPr>
                <w:rFonts w:cs="Arial"/>
                <w:iCs/>
                <w:sz w:val="18"/>
                <w:szCs w:val="18"/>
              </w:rPr>
            </w:pPr>
            <w:r w:rsidRPr="00A9330B">
              <w:rPr>
                <w:rFonts w:cs="Arial"/>
                <w:iCs/>
                <w:sz w:val="18"/>
                <w:szCs w:val="18"/>
              </w:rPr>
              <w:t>BITUME</w:t>
            </w:r>
          </w:p>
        </w:tc>
      </w:tr>
      <w:tr w:rsidR="0064324E" w:rsidRPr="00A9330B" w14:paraId="1CFB1348" w14:textId="77777777" w:rsidTr="000F7BA7">
        <w:trPr>
          <w:cantSplit/>
          <w:trHeight w:val="340"/>
        </w:trPr>
        <w:tc>
          <w:tcPr>
            <w:tcW w:w="1828" w:type="dxa"/>
            <w:tcBorders>
              <w:top w:val="nil"/>
              <w:left w:val="single" w:sz="12" w:space="0" w:color="auto"/>
              <w:bottom w:val="single" w:sz="4" w:space="0" w:color="auto"/>
              <w:right w:val="single" w:sz="4" w:space="0" w:color="auto"/>
            </w:tcBorders>
            <w:shd w:val="clear" w:color="auto" w:fill="FFFFFF" w:themeFill="background1"/>
            <w:noWrap/>
            <w:vAlign w:val="bottom"/>
            <w:hideMark/>
          </w:tcPr>
          <w:p w14:paraId="0FF2E894" w14:textId="77777777" w:rsidR="0064324E" w:rsidRPr="00A9330B" w:rsidRDefault="0064324E" w:rsidP="0064324E">
            <w:pPr>
              <w:spacing w:line="240" w:lineRule="auto"/>
              <w:rPr>
                <w:rFonts w:cs="Arial"/>
                <w:iCs/>
                <w:sz w:val="18"/>
                <w:szCs w:val="18"/>
              </w:rPr>
            </w:pPr>
            <w:r w:rsidRPr="00A9330B">
              <w:rPr>
                <w:rFonts w:cs="Arial"/>
                <w:iCs/>
                <w:sz w:val="18"/>
                <w:szCs w:val="18"/>
              </w:rPr>
              <w:t>RUE D3</w:t>
            </w:r>
          </w:p>
        </w:tc>
        <w:tc>
          <w:tcPr>
            <w:tcW w:w="1418" w:type="dxa"/>
            <w:tcBorders>
              <w:top w:val="nil"/>
              <w:left w:val="nil"/>
              <w:bottom w:val="single" w:sz="4" w:space="0" w:color="auto"/>
              <w:right w:val="single" w:sz="4" w:space="0" w:color="auto"/>
            </w:tcBorders>
            <w:shd w:val="clear" w:color="auto" w:fill="auto"/>
            <w:noWrap/>
            <w:vAlign w:val="bottom"/>
            <w:hideMark/>
          </w:tcPr>
          <w:p w14:paraId="74D134C8" w14:textId="77777777" w:rsidR="0064324E" w:rsidRPr="00A9330B" w:rsidRDefault="0064324E" w:rsidP="0064324E">
            <w:pPr>
              <w:spacing w:line="240" w:lineRule="auto"/>
              <w:rPr>
                <w:rFonts w:cs="Arial"/>
                <w:iCs/>
                <w:sz w:val="18"/>
                <w:szCs w:val="18"/>
              </w:rPr>
            </w:pPr>
            <w:r w:rsidRPr="00A9330B">
              <w:rPr>
                <w:rFonts w:cs="Arial"/>
                <w:iCs/>
                <w:sz w:val="18"/>
                <w:szCs w:val="18"/>
              </w:rPr>
              <w:t>RUE A27</w:t>
            </w:r>
          </w:p>
        </w:tc>
        <w:tc>
          <w:tcPr>
            <w:tcW w:w="2229" w:type="dxa"/>
            <w:tcBorders>
              <w:top w:val="nil"/>
              <w:left w:val="nil"/>
              <w:bottom w:val="single" w:sz="4" w:space="0" w:color="auto"/>
              <w:right w:val="single" w:sz="4" w:space="0" w:color="auto"/>
            </w:tcBorders>
            <w:shd w:val="clear" w:color="auto" w:fill="auto"/>
            <w:noWrap/>
            <w:vAlign w:val="bottom"/>
            <w:hideMark/>
          </w:tcPr>
          <w:p w14:paraId="18E2C449" w14:textId="77777777" w:rsidR="0064324E" w:rsidRPr="00A9330B" w:rsidRDefault="0064324E" w:rsidP="006E37A6">
            <w:pPr>
              <w:spacing w:line="240" w:lineRule="auto"/>
              <w:rPr>
                <w:rFonts w:cs="Arial"/>
                <w:iCs/>
                <w:sz w:val="18"/>
                <w:szCs w:val="18"/>
              </w:rPr>
            </w:pPr>
            <w:r w:rsidRPr="00A9330B">
              <w:rPr>
                <w:rFonts w:cs="Arial"/>
                <w:iCs/>
                <w:sz w:val="18"/>
                <w:szCs w:val="18"/>
              </w:rPr>
              <w:t>RUE A28</w:t>
            </w:r>
          </w:p>
        </w:tc>
        <w:tc>
          <w:tcPr>
            <w:tcW w:w="1701" w:type="dxa"/>
            <w:tcBorders>
              <w:top w:val="nil"/>
              <w:left w:val="nil"/>
              <w:bottom w:val="single" w:sz="4" w:space="0" w:color="auto"/>
              <w:right w:val="single" w:sz="4" w:space="0" w:color="auto"/>
            </w:tcBorders>
            <w:shd w:val="clear" w:color="auto" w:fill="auto"/>
            <w:noWrap/>
            <w:vAlign w:val="center"/>
            <w:hideMark/>
          </w:tcPr>
          <w:p w14:paraId="4E90E016" w14:textId="77777777" w:rsidR="0064324E" w:rsidRPr="00A9330B" w:rsidRDefault="0064324E" w:rsidP="00E33E4E">
            <w:pPr>
              <w:spacing w:line="240" w:lineRule="auto"/>
              <w:jc w:val="right"/>
              <w:rPr>
                <w:rFonts w:cs="Arial"/>
                <w:iCs/>
                <w:sz w:val="18"/>
                <w:szCs w:val="18"/>
              </w:rPr>
            </w:pPr>
            <w:r w:rsidRPr="00A9330B">
              <w:rPr>
                <w:rFonts w:cs="Arial"/>
                <w:iCs/>
                <w:sz w:val="18"/>
                <w:szCs w:val="18"/>
              </w:rPr>
              <w:t>665.940</w:t>
            </w:r>
          </w:p>
        </w:tc>
        <w:tc>
          <w:tcPr>
            <w:tcW w:w="2268" w:type="dxa"/>
            <w:tcBorders>
              <w:top w:val="nil"/>
              <w:left w:val="nil"/>
              <w:bottom w:val="single" w:sz="4" w:space="0" w:color="auto"/>
              <w:right w:val="single" w:sz="4" w:space="0" w:color="auto"/>
            </w:tcBorders>
            <w:shd w:val="clear" w:color="auto" w:fill="auto"/>
            <w:noWrap/>
            <w:vAlign w:val="bottom"/>
            <w:hideMark/>
          </w:tcPr>
          <w:p w14:paraId="26F19558" w14:textId="77777777" w:rsidR="0064324E" w:rsidRPr="00A9330B" w:rsidRDefault="0064324E" w:rsidP="00645DF1">
            <w:pPr>
              <w:spacing w:line="240" w:lineRule="auto"/>
              <w:jc w:val="center"/>
              <w:rPr>
                <w:rFonts w:cs="Arial"/>
                <w:iCs/>
                <w:sz w:val="18"/>
                <w:szCs w:val="18"/>
              </w:rPr>
            </w:pPr>
            <w:r w:rsidRPr="00A9330B">
              <w:rPr>
                <w:rFonts w:cs="Arial"/>
                <w:iCs/>
                <w:sz w:val="18"/>
                <w:szCs w:val="18"/>
              </w:rPr>
              <w:t>BITUME</w:t>
            </w:r>
          </w:p>
        </w:tc>
      </w:tr>
      <w:tr w:rsidR="0064324E" w:rsidRPr="00A9330B" w14:paraId="4D39B5F6" w14:textId="77777777" w:rsidTr="000F7BA7">
        <w:trPr>
          <w:cantSplit/>
          <w:trHeight w:val="340"/>
        </w:trPr>
        <w:tc>
          <w:tcPr>
            <w:tcW w:w="1828" w:type="dxa"/>
            <w:tcBorders>
              <w:top w:val="nil"/>
              <w:left w:val="single" w:sz="12" w:space="0" w:color="auto"/>
              <w:bottom w:val="single" w:sz="4" w:space="0" w:color="auto"/>
              <w:right w:val="single" w:sz="4" w:space="0" w:color="auto"/>
            </w:tcBorders>
            <w:shd w:val="clear" w:color="auto" w:fill="FFFFFF" w:themeFill="background1"/>
            <w:noWrap/>
            <w:vAlign w:val="bottom"/>
            <w:hideMark/>
          </w:tcPr>
          <w:p w14:paraId="671F817A" w14:textId="77777777" w:rsidR="0064324E" w:rsidRPr="00A9330B" w:rsidRDefault="0064324E" w:rsidP="0064324E">
            <w:pPr>
              <w:spacing w:line="240" w:lineRule="auto"/>
              <w:rPr>
                <w:rFonts w:cs="Arial"/>
                <w:iCs/>
                <w:sz w:val="18"/>
                <w:szCs w:val="18"/>
              </w:rPr>
            </w:pPr>
            <w:r w:rsidRPr="00A9330B">
              <w:rPr>
                <w:rFonts w:cs="Arial"/>
                <w:iCs/>
                <w:sz w:val="18"/>
                <w:szCs w:val="18"/>
              </w:rPr>
              <w:t>RUE B3</w:t>
            </w:r>
          </w:p>
        </w:tc>
        <w:tc>
          <w:tcPr>
            <w:tcW w:w="1418" w:type="dxa"/>
            <w:tcBorders>
              <w:top w:val="nil"/>
              <w:left w:val="nil"/>
              <w:bottom w:val="single" w:sz="4" w:space="0" w:color="auto"/>
              <w:right w:val="single" w:sz="4" w:space="0" w:color="auto"/>
            </w:tcBorders>
            <w:shd w:val="clear" w:color="auto" w:fill="auto"/>
            <w:noWrap/>
            <w:vAlign w:val="bottom"/>
            <w:hideMark/>
          </w:tcPr>
          <w:p w14:paraId="3EB71ABC" w14:textId="77777777" w:rsidR="0064324E" w:rsidRPr="00A9330B" w:rsidRDefault="0064324E" w:rsidP="0064324E">
            <w:pPr>
              <w:spacing w:line="240" w:lineRule="auto"/>
              <w:rPr>
                <w:rFonts w:cs="Arial"/>
                <w:iCs/>
                <w:sz w:val="18"/>
                <w:szCs w:val="18"/>
              </w:rPr>
            </w:pPr>
            <w:r w:rsidRPr="00A9330B">
              <w:rPr>
                <w:rFonts w:cs="Arial"/>
                <w:iCs/>
                <w:sz w:val="18"/>
                <w:szCs w:val="18"/>
              </w:rPr>
              <w:t>RUE B1</w:t>
            </w:r>
          </w:p>
        </w:tc>
        <w:tc>
          <w:tcPr>
            <w:tcW w:w="2229" w:type="dxa"/>
            <w:tcBorders>
              <w:top w:val="nil"/>
              <w:left w:val="nil"/>
              <w:bottom w:val="single" w:sz="4" w:space="0" w:color="auto"/>
              <w:right w:val="single" w:sz="4" w:space="0" w:color="auto"/>
            </w:tcBorders>
            <w:shd w:val="clear" w:color="auto" w:fill="auto"/>
            <w:noWrap/>
            <w:vAlign w:val="bottom"/>
            <w:hideMark/>
          </w:tcPr>
          <w:p w14:paraId="118969FA" w14:textId="77777777" w:rsidR="0064324E" w:rsidRPr="00A9330B" w:rsidRDefault="0064324E" w:rsidP="006E37A6">
            <w:pPr>
              <w:spacing w:line="240" w:lineRule="auto"/>
              <w:rPr>
                <w:rFonts w:cs="Arial"/>
                <w:iCs/>
                <w:sz w:val="18"/>
                <w:szCs w:val="18"/>
              </w:rPr>
            </w:pPr>
            <w:r w:rsidRPr="00A9330B">
              <w:rPr>
                <w:rFonts w:cs="Arial"/>
                <w:iCs/>
                <w:sz w:val="18"/>
                <w:szCs w:val="18"/>
              </w:rPr>
              <w:t>RUE B2</w:t>
            </w:r>
          </w:p>
        </w:tc>
        <w:tc>
          <w:tcPr>
            <w:tcW w:w="1701" w:type="dxa"/>
            <w:tcBorders>
              <w:top w:val="nil"/>
              <w:left w:val="nil"/>
              <w:bottom w:val="single" w:sz="4" w:space="0" w:color="auto"/>
              <w:right w:val="single" w:sz="4" w:space="0" w:color="auto"/>
            </w:tcBorders>
            <w:shd w:val="clear" w:color="auto" w:fill="auto"/>
            <w:noWrap/>
            <w:vAlign w:val="center"/>
            <w:hideMark/>
          </w:tcPr>
          <w:p w14:paraId="5FB360D4" w14:textId="77777777" w:rsidR="0064324E" w:rsidRPr="00A9330B" w:rsidRDefault="0064324E" w:rsidP="00E33E4E">
            <w:pPr>
              <w:spacing w:line="240" w:lineRule="auto"/>
              <w:jc w:val="right"/>
              <w:rPr>
                <w:rFonts w:cs="Arial"/>
                <w:iCs/>
                <w:sz w:val="18"/>
                <w:szCs w:val="18"/>
              </w:rPr>
            </w:pPr>
            <w:r w:rsidRPr="00A9330B">
              <w:rPr>
                <w:rFonts w:cs="Arial"/>
                <w:iCs/>
                <w:sz w:val="18"/>
                <w:szCs w:val="18"/>
              </w:rPr>
              <w:t>629.270</w:t>
            </w:r>
          </w:p>
        </w:tc>
        <w:tc>
          <w:tcPr>
            <w:tcW w:w="2268" w:type="dxa"/>
            <w:tcBorders>
              <w:top w:val="nil"/>
              <w:left w:val="nil"/>
              <w:bottom w:val="single" w:sz="4" w:space="0" w:color="auto"/>
              <w:right w:val="single" w:sz="4" w:space="0" w:color="auto"/>
            </w:tcBorders>
            <w:shd w:val="clear" w:color="auto" w:fill="auto"/>
            <w:noWrap/>
            <w:vAlign w:val="bottom"/>
            <w:hideMark/>
          </w:tcPr>
          <w:p w14:paraId="7F968A04" w14:textId="77777777" w:rsidR="0064324E" w:rsidRPr="00A9330B" w:rsidRDefault="0064324E" w:rsidP="00645DF1">
            <w:pPr>
              <w:spacing w:line="240" w:lineRule="auto"/>
              <w:jc w:val="center"/>
              <w:rPr>
                <w:rFonts w:cs="Arial"/>
                <w:iCs/>
                <w:sz w:val="18"/>
                <w:szCs w:val="18"/>
              </w:rPr>
            </w:pPr>
            <w:r w:rsidRPr="00A9330B">
              <w:rPr>
                <w:rFonts w:cs="Arial"/>
                <w:iCs/>
                <w:sz w:val="18"/>
                <w:szCs w:val="18"/>
              </w:rPr>
              <w:t>BITUME</w:t>
            </w:r>
          </w:p>
        </w:tc>
      </w:tr>
      <w:tr w:rsidR="0064324E" w:rsidRPr="00A9330B" w14:paraId="3B7412E5" w14:textId="77777777" w:rsidTr="000F7BA7">
        <w:trPr>
          <w:cantSplit/>
          <w:trHeight w:val="340"/>
        </w:trPr>
        <w:tc>
          <w:tcPr>
            <w:tcW w:w="1828" w:type="dxa"/>
            <w:tcBorders>
              <w:top w:val="nil"/>
              <w:left w:val="single" w:sz="12" w:space="0" w:color="auto"/>
              <w:bottom w:val="single" w:sz="4" w:space="0" w:color="auto"/>
              <w:right w:val="single" w:sz="4" w:space="0" w:color="auto"/>
            </w:tcBorders>
            <w:shd w:val="clear" w:color="auto" w:fill="FFFFFF" w:themeFill="background1"/>
            <w:noWrap/>
            <w:vAlign w:val="bottom"/>
            <w:hideMark/>
          </w:tcPr>
          <w:p w14:paraId="3A06779C" w14:textId="77777777" w:rsidR="0064324E" w:rsidRPr="00A9330B" w:rsidRDefault="0064324E" w:rsidP="0064324E">
            <w:pPr>
              <w:spacing w:line="240" w:lineRule="auto"/>
              <w:rPr>
                <w:rFonts w:cs="Arial"/>
                <w:iCs/>
                <w:sz w:val="18"/>
                <w:szCs w:val="18"/>
              </w:rPr>
            </w:pPr>
            <w:r w:rsidRPr="00A9330B">
              <w:rPr>
                <w:rFonts w:cs="Arial"/>
                <w:iCs/>
                <w:sz w:val="18"/>
                <w:szCs w:val="18"/>
              </w:rPr>
              <w:t>RUE C3</w:t>
            </w:r>
          </w:p>
        </w:tc>
        <w:tc>
          <w:tcPr>
            <w:tcW w:w="1418" w:type="dxa"/>
            <w:tcBorders>
              <w:top w:val="nil"/>
              <w:left w:val="nil"/>
              <w:bottom w:val="single" w:sz="4" w:space="0" w:color="auto"/>
              <w:right w:val="single" w:sz="4" w:space="0" w:color="auto"/>
            </w:tcBorders>
            <w:shd w:val="clear" w:color="auto" w:fill="auto"/>
            <w:vAlign w:val="bottom"/>
            <w:hideMark/>
          </w:tcPr>
          <w:p w14:paraId="25275BF6" w14:textId="77777777" w:rsidR="0064324E" w:rsidRPr="00A9330B" w:rsidRDefault="0064324E" w:rsidP="0064324E">
            <w:pPr>
              <w:spacing w:line="240" w:lineRule="auto"/>
              <w:rPr>
                <w:rFonts w:cs="Arial"/>
                <w:iCs/>
                <w:sz w:val="18"/>
                <w:szCs w:val="18"/>
              </w:rPr>
            </w:pPr>
            <w:r w:rsidRPr="00A9330B">
              <w:rPr>
                <w:rFonts w:cs="Arial"/>
                <w:iCs/>
                <w:sz w:val="18"/>
                <w:szCs w:val="18"/>
              </w:rPr>
              <w:t>RUE B3</w:t>
            </w:r>
          </w:p>
        </w:tc>
        <w:tc>
          <w:tcPr>
            <w:tcW w:w="2229" w:type="dxa"/>
            <w:tcBorders>
              <w:top w:val="nil"/>
              <w:left w:val="nil"/>
              <w:bottom w:val="single" w:sz="4" w:space="0" w:color="auto"/>
              <w:right w:val="single" w:sz="4" w:space="0" w:color="auto"/>
            </w:tcBorders>
            <w:shd w:val="clear" w:color="auto" w:fill="auto"/>
            <w:vAlign w:val="center"/>
            <w:hideMark/>
          </w:tcPr>
          <w:p w14:paraId="71FFC05C" w14:textId="77777777" w:rsidR="0064324E" w:rsidRPr="00A9330B" w:rsidRDefault="0064324E" w:rsidP="006E37A6">
            <w:pPr>
              <w:spacing w:line="240" w:lineRule="auto"/>
              <w:rPr>
                <w:rFonts w:cs="Arial"/>
                <w:iCs/>
                <w:sz w:val="18"/>
                <w:szCs w:val="18"/>
              </w:rPr>
            </w:pPr>
            <w:r w:rsidRPr="00A9330B">
              <w:rPr>
                <w:rFonts w:cs="Arial"/>
                <w:iCs/>
                <w:sz w:val="18"/>
                <w:szCs w:val="18"/>
              </w:rPr>
              <w:t>RNIE 3</w:t>
            </w:r>
          </w:p>
        </w:tc>
        <w:tc>
          <w:tcPr>
            <w:tcW w:w="1701" w:type="dxa"/>
            <w:tcBorders>
              <w:top w:val="nil"/>
              <w:left w:val="nil"/>
              <w:bottom w:val="single" w:sz="4" w:space="0" w:color="auto"/>
              <w:right w:val="single" w:sz="4" w:space="0" w:color="auto"/>
            </w:tcBorders>
            <w:shd w:val="clear" w:color="auto" w:fill="auto"/>
            <w:noWrap/>
            <w:vAlign w:val="center"/>
            <w:hideMark/>
          </w:tcPr>
          <w:p w14:paraId="7B837B03" w14:textId="77777777" w:rsidR="0064324E" w:rsidRPr="00A9330B" w:rsidRDefault="0064324E" w:rsidP="00E33E4E">
            <w:pPr>
              <w:spacing w:line="240" w:lineRule="auto"/>
              <w:jc w:val="right"/>
              <w:rPr>
                <w:rFonts w:cs="Arial"/>
                <w:iCs/>
                <w:sz w:val="18"/>
                <w:szCs w:val="18"/>
              </w:rPr>
            </w:pPr>
            <w:r w:rsidRPr="00A9330B">
              <w:rPr>
                <w:rFonts w:cs="Arial"/>
                <w:iCs/>
                <w:sz w:val="18"/>
                <w:szCs w:val="18"/>
              </w:rPr>
              <w:t>264.940</w:t>
            </w:r>
          </w:p>
        </w:tc>
        <w:tc>
          <w:tcPr>
            <w:tcW w:w="2268" w:type="dxa"/>
            <w:tcBorders>
              <w:top w:val="nil"/>
              <w:left w:val="nil"/>
              <w:bottom w:val="single" w:sz="4" w:space="0" w:color="auto"/>
              <w:right w:val="single" w:sz="4" w:space="0" w:color="auto"/>
            </w:tcBorders>
            <w:shd w:val="clear" w:color="auto" w:fill="auto"/>
            <w:noWrap/>
            <w:vAlign w:val="bottom"/>
            <w:hideMark/>
          </w:tcPr>
          <w:p w14:paraId="7E130A03" w14:textId="77777777" w:rsidR="0064324E" w:rsidRPr="00A9330B" w:rsidRDefault="0064324E" w:rsidP="00645DF1">
            <w:pPr>
              <w:spacing w:line="240" w:lineRule="auto"/>
              <w:jc w:val="center"/>
              <w:rPr>
                <w:rFonts w:cs="Arial"/>
                <w:iCs/>
                <w:sz w:val="18"/>
                <w:szCs w:val="18"/>
              </w:rPr>
            </w:pPr>
            <w:r w:rsidRPr="00A9330B">
              <w:rPr>
                <w:rFonts w:cs="Arial"/>
                <w:iCs/>
                <w:sz w:val="18"/>
                <w:szCs w:val="18"/>
              </w:rPr>
              <w:t>BITUME</w:t>
            </w:r>
          </w:p>
        </w:tc>
      </w:tr>
      <w:tr w:rsidR="0064324E" w:rsidRPr="00A9330B" w14:paraId="0BD3EAF1" w14:textId="77777777" w:rsidTr="000F7BA7">
        <w:trPr>
          <w:cantSplit/>
          <w:trHeight w:val="340"/>
        </w:trPr>
        <w:tc>
          <w:tcPr>
            <w:tcW w:w="1828" w:type="dxa"/>
            <w:tcBorders>
              <w:top w:val="nil"/>
              <w:left w:val="single" w:sz="12" w:space="0" w:color="auto"/>
              <w:bottom w:val="single" w:sz="4" w:space="0" w:color="auto"/>
              <w:right w:val="single" w:sz="4" w:space="0" w:color="auto"/>
            </w:tcBorders>
            <w:shd w:val="clear" w:color="auto" w:fill="FFFFFF" w:themeFill="background1"/>
            <w:noWrap/>
            <w:vAlign w:val="bottom"/>
            <w:hideMark/>
          </w:tcPr>
          <w:p w14:paraId="6F05B421" w14:textId="77777777" w:rsidR="0064324E" w:rsidRPr="00A9330B" w:rsidRDefault="0064324E" w:rsidP="0064324E">
            <w:pPr>
              <w:spacing w:line="240" w:lineRule="auto"/>
              <w:rPr>
                <w:rFonts w:cs="Arial"/>
                <w:iCs/>
                <w:sz w:val="18"/>
                <w:szCs w:val="18"/>
              </w:rPr>
            </w:pPr>
            <w:r w:rsidRPr="00A9330B">
              <w:rPr>
                <w:rFonts w:cs="Arial"/>
                <w:iCs/>
                <w:sz w:val="18"/>
                <w:szCs w:val="18"/>
              </w:rPr>
              <w:t>RUE C4</w:t>
            </w:r>
          </w:p>
        </w:tc>
        <w:tc>
          <w:tcPr>
            <w:tcW w:w="1418" w:type="dxa"/>
            <w:tcBorders>
              <w:top w:val="nil"/>
              <w:left w:val="nil"/>
              <w:bottom w:val="single" w:sz="4" w:space="0" w:color="auto"/>
              <w:right w:val="single" w:sz="4" w:space="0" w:color="auto"/>
            </w:tcBorders>
            <w:shd w:val="clear" w:color="auto" w:fill="auto"/>
            <w:noWrap/>
            <w:vAlign w:val="bottom"/>
            <w:hideMark/>
          </w:tcPr>
          <w:p w14:paraId="48DC4721" w14:textId="77777777" w:rsidR="0064324E" w:rsidRPr="00A9330B" w:rsidRDefault="0064324E" w:rsidP="0064324E">
            <w:pPr>
              <w:spacing w:line="240" w:lineRule="auto"/>
              <w:rPr>
                <w:rFonts w:cs="Arial"/>
                <w:iCs/>
                <w:sz w:val="18"/>
                <w:szCs w:val="18"/>
              </w:rPr>
            </w:pPr>
            <w:r w:rsidRPr="00A9330B">
              <w:rPr>
                <w:rFonts w:cs="Arial"/>
                <w:iCs/>
                <w:sz w:val="18"/>
                <w:szCs w:val="18"/>
              </w:rPr>
              <w:t>RUE B1</w:t>
            </w:r>
          </w:p>
        </w:tc>
        <w:tc>
          <w:tcPr>
            <w:tcW w:w="2229" w:type="dxa"/>
            <w:tcBorders>
              <w:top w:val="nil"/>
              <w:left w:val="nil"/>
              <w:bottom w:val="single" w:sz="4" w:space="0" w:color="auto"/>
              <w:right w:val="single" w:sz="4" w:space="0" w:color="auto"/>
            </w:tcBorders>
            <w:shd w:val="clear" w:color="auto" w:fill="auto"/>
            <w:vAlign w:val="bottom"/>
            <w:hideMark/>
          </w:tcPr>
          <w:p w14:paraId="45A1A19E" w14:textId="77777777" w:rsidR="0064324E" w:rsidRPr="00A9330B" w:rsidRDefault="0064324E" w:rsidP="006E37A6">
            <w:pPr>
              <w:spacing w:line="240" w:lineRule="auto"/>
              <w:rPr>
                <w:rFonts w:cs="Arial"/>
                <w:iCs/>
                <w:sz w:val="18"/>
                <w:szCs w:val="18"/>
              </w:rPr>
            </w:pPr>
            <w:r w:rsidRPr="00A9330B">
              <w:rPr>
                <w:rFonts w:cs="Arial"/>
                <w:iCs/>
                <w:sz w:val="18"/>
                <w:szCs w:val="18"/>
              </w:rPr>
              <w:t>RNIE 3</w:t>
            </w:r>
          </w:p>
        </w:tc>
        <w:tc>
          <w:tcPr>
            <w:tcW w:w="1701" w:type="dxa"/>
            <w:tcBorders>
              <w:top w:val="nil"/>
              <w:left w:val="nil"/>
              <w:bottom w:val="single" w:sz="4" w:space="0" w:color="auto"/>
              <w:right w:val="single" w:sz="4" w:space="0" w:color="auto"/>
            </w:tcBorders>
            <w:shd w:val="clear" w:color="auto" w:fill="auto"/>
            <w:noWrap/>
            <w:vAlign w:val="center"/>
            <w:hideMark/>
          </w:tcPr>
          <w:p w14:paraId="64C20210" w14:textId="77777777" w:rsidR="0064324E" w:rsidRPr="00A9330B" w:rsidRDefault="0064324E" w:rsidP="00E33E4E">
            <w:pPr>
              <w:spacing w:line="240" w:lineRule="auto"/>
              <w:jc w:val="right"/>
              <w:rPr>
                <w:rFonts w:cs="Arial"/>
                <w:iCs/>
                <w:sz w:val="18"/>
                <w:szCs w:val="18"/>
              </w:rPr>
            </w:pPr>
            <w:r w:rsidRPr="00A9330B">
              <w:rPr>
                <w:rFonts w:cs="Arial"/>
                <w:iCs/>
                <w:sz w:val="18"/>
                <w:szCs w:val="18"/>
              </w:rPr>
              <w:t>248.900</w:t>
            </w:r>
          </w:p>
        </w:tc>
        <w:tc>
          <w:tcPr>
            <w:tcW w:w="2268" w:type="dxa"/>
            <w:tcBorders>
              <w:top w:val="nil"/>
              <w:left w:val="nil"/>
              <w:bottom w:val="single" w:sz="4" w:space="0" w:color="auto"/>
              <w:right w:val="single" w:sz="4" w:space="0" w:color="auto"/>
            </w:tcBorders>
            <w:shd w:val="clear" w:color="auto" w:fill="auto"/>
            <w:noWrap/>
            <w:vAlign w:val="bottom"/>
            <w:hideMark/>
          </w:tcPr>
          <w:p w14:paraId="01D60D96" w14:textId="77777777" w:rsidR="0064324E" w:rsidRPr="00A9330B" w:rsidRDefault="0064324E" w:rsidP="00645DF1">
            <w:pPr>
              <w:spacing w:line="240" w:lineRule="auto"/>
              <w:jc w:val="center"/>
              <w:rPr>
                <w:rFonts w:cs="Arial"/>
                <w:iCs/>
                <w:sz w:val="18"/>
                <w:szCs w:val="18"/>
              </w:rPr>
            </w:pPr>
            <w:r w:rsidRPr="00A9330B">
              <w:rPr>
                <w:rFonts w:cs="Arial"/>
                <w:iCs/>
                <w:sz w:val="18"/>
                <w:szCs w:val="18"/>
              </w:rPr>
              <w:t>BITUME</w:t>
            </w:r>
          </w:p>
        </w:tc>
      </w:tr>
      <w:tr w:rsidR="0064324E" w:rsidRPr="00A9330B" w14:paraId="353558F8" w14:textId="77777777" w:rsidTr="000F7BA7">
        <w:trPr>
          <w:cantSplit/>
          <w:trHeight w:val="340"/>
        </w:trPr>
        <w:tc>
          <w:tcPr>
            <w:tcW w:w="5475" w:type="dxa"/>
            <w:gridSpan w:val="3"/>
            <w:tcBorders>
              <w:top w:val="single" w:sz="4" w:space="0" w:color="auto"/>
              <w:left w:val="single" w:sz="12" w:space="0" w:color="auto"/>
              <w:bottom w:val="single" w:sz="4" w:space="0" w:color="auto"/>
              <w:right w:val="single" w:sz="4" w:space="0" w:color="auto"/>
            </w:tcBorders>
            <w:shd w:val="clear" w:color="auto" w:fill="FFFFFF" w:themeFill="background1"/>
            <w:noWrap/>
            <w:vAlign w:val="bottom"/>
            <w:hideMark/>
          </w:tcPr>
          <w:p w14:paraId="5BE8E2EA" w14:textId="77777777" w:rsidR="0064324E" w:rsidRPr="00A9330B" w:rsidRDefault="0064324E" w:rsidP="0064324E">
            <w:pPr>
              <w:spacing w:line="240" w:lineRule="auto"/>
              <w:rPr>
                <w:rFonts w:cs="Arial"/>
                <w:b/>
                <w:bCs/>
                <w:iCs/>
                <w:sz w:val="18"/>
                <w:szCs w:val="18"/>
              </w:rPr>
            </w:pPr>
            <w:r w:rsidRPr="00A9330B">
              <w:rPr>
                <w:rFonts w:cs="Arial"/>
                <w:b/>
                <w:bCs/>
                <w:iCs/>
                <w:sz w:val="18"/>
                <w:szCs w:val="18"/>
              </w:rPr>
              <w:t>RUES TERTIAIRES: LINEAIRE TOTAL</w:t>
            </w:r>
          </w:p>
        </w:tc>
        <w:tc>
          <w:tcPr>
            <w:tcW w:w="1701" w:type="dxa"/>
            <w:tcBorders>
              <w:top w:val="nil"/>
              <w:left w:val="nil"/>
              <w:bottom w:val="single" w:sz="4" w:space="0" w:color="auto"/>
              <w:right w:val="single" w:sz="4" w:space="0" w:color="auto"/>
            </w:tcBorders>
            <w:shd w:val="clear" w:color="auto" w:fill="auto"/>
            <w:noWrap/>
            <w:vAlign w:val="center"/>
            <w:hideMark/>
          </w:tcPr>
          <w:p w14:paraId="105600CB" w14:textId="77777777" w:rsidR="0064324E" w:rsidRPr="00A9330B" w:rsidRDefault="0064324E" w:rsidP="0064324E">
            <w:pPr>
              <w:spacing w:line="240" w:lineRule="auto"/>
              <w:jc w:val="right"/>
              <w:rPr>
                <w:rFonts w:cs="Arial"/>
                <w:b/>
                <w:bCs/>
                <w:iCs/>
                <w:sz w:val="18"/>
                <w:szCs w:val="18"/>
              </w:rPr>
            </w:pPr>
            <w:r w:rsidRPr="00A9330B">
              <w:rPr>
                <w:rFonts w:cs="Arial"/>
                <w:b/>
                <w:bCs/>
                <w:iCs/>
                <w:sz w:val="18"/>
                <w:szCs w:val="18"/>
              </w:rPr>
              <w:t>5626.3</w:t>
            </w:r>
          </w:p>
        </w:tc>
        <w:tc>
          <w:tcPr>
            <w:tcW w:w="2268" w:type="dxa"/>
            <w:tcBorders>
              <w:top w:val="nil"/>
              <w:left w:val="nil"/>
              <w:bottom w:val="single" w:sz="4" w:space="0" w:color="auto"/>
              <w:right w:val="single" w:sz="4" w:space="0" w:color="auto"/>
            </w:tcBorders>
            <w:shd w:val="clear" w:color="auto" w:fill="auto"/>
            <w:noWrap/>
            <w:vAlign w:val="bottom"/>
            <w:hideMark/>
          </w:tcPr>
          <w:p w14:paraId="4E69357A" w14:textId="77777777" w:rsidR="0064324E" w:rsidRPr="00A9330B" w:rsidRDefault="0064324E" w:rsidP="006E37A6">
            <w:pPr>
              <w:spacing w:line="240" w:lineRule="auto"/>
              <w:jc w:val="center"/>
              <w:rPr>
                <w:rFonts w:cs="Arial"/>
                <w:b/>
                <w:bCs/>
                <w:iCs/>
                <w:sz w:val="18"/>
                <w:szCs w:val="18"/>
              </w:rPr>
            </w:pPr>
            <w:r w:rsidRPr="00A9330B">
              <w:rPr>
                <w:rFonts w:cs="Arial"/>
                <w:b/>
                <w:bCs/>
                <w:iCs/>
                <w:sz w:val="18"/>
                <w:szCs w:val="18"/>
              </w:rPr>
              <w:t> </w:t>
            </w:r>
          </w:p>
        </w:tc>
      </w:tr>
      <w:tr w:rsidR="0064324E" w:rsidRPr="00A9330B" w14:paraId="0BE4D21E" w14:textId="77777777" w:rsidTr="000F7BA7">
        <w:trPr>
          <w:cantSplit/>
          <w:trHeight w:val="340"/>
        </w:trPr>
        <w:tc>
          <w:tcPr>
            <w:tcW w:w="1828" w:type="dxa"/>
            <w:tcBorders>
              <w:top w:val="nil"/>
              <w:left w:val="single" w:sz="12" w:space="0" w:color="auto"/>
              <w:bottom w:val="single" w:sz="4" w:space="0" w:color="auto"/>
              <w:right w:val="single" w:sz="4" w:space="0" w:color="auto"/>
            </w:tcBorders>
            <w:shd w:val="clear" w:color="auto" w:fill="FFFFFF" w:themeFill="background1"/>
            <w:noWrap/>
            <w:vAlign w:val="bottom"/>
            <w:hideMark/>
          </w:tcPr>
          <w:p w14:paraId="5AA2FF27" w14:textId="77777777" w:rsidR="0064324E" w:rsidRPr="00A9330B" w:rsidRDefault="0064324E" w:rsidP="0064324E">
            <w:pPr>
              <w:spacing w:line="240" w:lineRule="auto"/>
              <w:rPr>
                <w:rFonts w:cs="Arial"/>
                <w:b/>
                <w:bCs/>
                <w:iCs/>
                <w:sz w:val="18"/>
                <w:szCs w:val="18"/>
              </w:rPr>
            </w:pPr>
            <w:r w:rsidRPr="00A9330B">
              <w:rPr>
                <w:rFonts w:cs="Arial"/>
                <w:b/>
                <w:bCs/>
                <w:iCs/>
                <w:sz w:val="18"/>
                <w:szCs w:val="18"/>
              </w:rPr>
              <w:t> </w:t>
            </w:r>
          </w:p>
        </w:tc>
        <w:tc>
          <w:tcPr>
            <w:tcW w:w="1418" w:type="dxa"/>
            <w:tcBorders>
              <w:top w:val="nil"/>
              <w:left w:val="nil"/>
              <w:bottom w:val="single" w:sz="4" w:space="0" w:color="auto"/>
              <w:right w:val="single" w:sz="4" w:space="0" w:color="auto"/>
            </w:tcBorders>
            <w:shd w:val="clear" w:color="auto" w:fill="auto"/>
            <w:noWrap/>
            <w:vAlign w:val="bottom"/>
            <w:hideMark/>
          </w:tcPr>
          <w:p w14:paraId="3A236BF0" w14:textId="77777777" w:rsidR="0064324E" w:rsidRPr="00A9330B" w:rsidRDefault="0064324E" w:rsidP="0064324E">
            <w:pPr>
              <w:spacing w:line="240" w:lineRule="auto"/>
              <w:rPr>
                <w:rFonts w:cs="Arial"/>
                <w:b/>
                <w:bCs/>
                <w:iCs/>
                <w:sz w:val="18"/>
                <w:szCs w:val="18"/>
              </w:rPr>
            </w:pPr>
            <w:r w:rsidRPr="00A9330B">
              <w:rPr>
                <w:rFonts w:cs="Arial"/>
                <w:b/>
                <w:bCs/>
                <w:iCs/>
                <w:sz w:val="18"/>
                <w:szCs w:val="18"/>
              </w:rPr>
              <w:t> </w:t>
            </w:r>
          </w:p>
        </w:tc>
        <w:tc>
          <w:tcPr>
            <w:tcW w:w="2229" w:type="dxa"/>
            <w:tcBorders>
              <w:top w:val="nil"/>
              <w:left w:val="nil"/>
              <w:bottom w:val="single" w:sz="4" w:space="0" w:color="auto"/>
              <w:right w:val="single" w:sz="4" w:space="0" w:color="auto"/>
            </w:tcBorders>
            <w:shd w:val="clear" w:color="auto" w:fill="auto"/>
            <w:noWrap/>
            <w:vAlign w:val="bottom"/>
            <w:hideMark/>
          </w:tcPr>
          <w:p w14:paraId="7BF097D2" w14:textId="77777777" w:rsidR="0064324E" w:rsidRPr="00A9330B" w:rsidRDefault="0064324E" w:rsidP="006E37A6">
            <w:pPr>
              <w:spacing w:line="240" w:lineRule="auto"/>
              <w:rPr>
                <w:rFonts w:cs="Arial"/>
                <w:b/>
                <w:bCs/>
                <w:iCs/>
                <w:sz w:val="18"/>
                <w:szCs w:val="18"/>
              </w:rPr>
            </w:pPr>
            <w:r w:rsidRPr="00A9330B">
              <w:rPr>
                <w:rFonts w:cs="Arial"/>
                <w:b/>
                <w:bCs/>
                <w:iCs/>
                <w:sz w:val="18"/>
                <w:szCs w:val="18"/>
              </w:rPr>
              <w:t> </w:t>
            </w:r>
          </w:p>
        </w:tc>
        <w:tc>
          <w:tcPr>
            <w:tcW w:w="1701" w:type="dxa"/>
            <w:tcBorders>
              <w:top w:val="nil"/>
              <w:left w:val="nil"/>
              <w:bottom w:val="single" w:sz="4" w:space="0" w:color="auto"/>
              <w:right w:val="single" w:sz="4" w:space="0" w:color="auto"/>
            </w:tcBorders>
            <w:shd w:val="clear" w:color="auto" w:fill="auto"/>
            <w:noWrap/>
            <w:vAlign w:val="bottom"/>
            <w:hideMark/>
          </w:tcPr>
          <w:p w14:paraId="57FD57FC" w14:textId="77777777" w:rsidR="0064324E" w:rsidRPr="00A9330B" w:rsidRDefault="0064324E" w:rsidP="00E33E4E">
            <w:pPr>
              <w:spacing w:line="240" w:lineRule="auto"/>
              <w:jc w:val="center"/>
              <w:rPr>
                <w:rFonts w:cs="Arial"/>
                <w:b/>
                <w:bCs/>
                <w:iCs/>
                <w:sz w:val="18"/>
                <w:szCs w:val="18"/>
              </w:rPr>
            </w:pPr>
            <w:r w:rsidRPr="00A9330B">
              <w:rPr>
                <w:rFonts w:cs="Arial"/>
                <w:b/>
                <w:bCs/>
                <w:iCs/>
                <w:sz w:val="18"/>
                <w:szCs w:val="18"/>
              </w:rPr>
              <w:t> </w:t>
            </w:r>
          </w:p>
        </w:tc>
        <w:tc>
          <w:tcPr>
            <w:tcW w:w="2268" w:type="dxa"/>
            <w:tcBorders>
              <w:top w:val="nil"/>
              <w:left w:val="nil"/>
              <w:bottom w:val="single" w:sz="4" w:space="0" w:color="auto"/>
              <w:right w:val="single" w:sz="4" w:space="0" w:color="auto"/>
            </w:tcBorders>
            <w:shd w:val="clear" w:color="auto" w:fill="auto"/>
            <w:noWrap/>
            <w:vAlign w:val="bottom"/>
            <w:hideMark/>
          </w:tcPr>
          <w:p w14:paraId="2D2552C3" w14:textId="77777777" w:rsidR="0064324E" w:rsidRPr="00A9330B" w:rsidRDefault="0064324E" w:rsidP="00645DF1">
            <w:pPr>
              <w:spacing w:line="240" w:lineRule="auto"/>
              <w:jc w:val="center"/>
              <w:rPr>
                <w:rFonts w:cs="Arial"/>
                <w:b/>
                <w:bCs/>
                <w:iCs/>
                <w:sz w:val="18"/>
                <w:szCs w:val="18"/>
              </w:rPr>
            </w:pPr>
            <w:r w:rsidRPr="00A9330B">
              <w:rPr>
                <w:rFonts w:cs="Arial"/>
                <w:b/>
                <w:bCs/>
                <w:iCs/>
                <w:sz w:val="18"/>
                <w:szCs w:val="18"/>
              </w:rPr>
              <w:t> </w:t>
            </w:r>
          </w:p>
        </w:tc>
      </w:tr>
      <w:tr w:rsidR="0064324E" w:rsidRPr="00A9330B" w14:paraId="011FDBCE" w14:textId="77777777" w:rsidTr="0064324E">
        <w:trPr>
          <w:cantSplit/>
          <w:trHeight w:val="340"/>
        </w:trPr>
        <w:tc>
          <w:tcPr>
            <w:tcW w:w="5475" w:type="dxa"/>
            <w:gridSpan w:val="3"/>
            <w:tcBorders>
              <w:top w:val="nil"/>
              <w:left w:val="single" w:sz="12" w:space="0" w:color="auto"/>
              <w:bottom w:val="single" w:sz="12" w:space="0" w:color="auto"/>
              <w:right w:val="single" w:sz="4" w:space="0" w:color="auto"/>
            </w:tcBorders>
            <w:shd w:val="clear" w:color="auto" w:fill="92D050"/>
            <w:noWrap/>
            <w:vAlign w:val="bottom"/>
            <w:hideMark/>
          </w:tcPr>
          <w:p w14:paraId="645D831E" w14:textId="77777777" w:rsidR="0064324E" w:rsidRPr="00A9330B" w:rsidRDefault="0064324E" w:rsidP="0064324E">
            <w:pPr>
              <w:spacing w:line="240" w:lineRule="auto"/>
              <w:rPr>
                <w:rFonts w:cs="Arial"/>
                <w:b/>
                <w:bCs/>
                <w:iCs/>
                <w:sz w:val="18"/>
                <w:szCs w:val="18"/>
                <w:u w:val="single"/>
              </w:rPr>
            </w:pPr>
            <w:r w:rsidRPr="00A9330B">
              <w:rPr>
                <w:rFonts w:cs="Arial"/>
                <w:b/>
                <w:bCs/>
                <w:iCs/>
                <w:sz w:val="18"/>
                <w:szCs w:val="18"/>
                <w:u w:val="single"/>
              </w:rPr>
              <w:t>LINEAIRE TOTAL DES RUES SELECTIONNEES</w:t>
            </w:r>
          </w:p>
        </w:tc>
        <w:tc>
          <w:tcPr>
            <w:tcW w:w="1701" w:type="dxa"/>
            <w:tcBorders>
              <w:top w:val="nil"/>
              <w:left w:val="nil"/>
              <w:bottom w:val="single" w:sz="12" w:space="0" w:color="auto"/>
              <w:right w:val="single" w:sz="4" w:space="0" w:color="auto"/>
            </w:tcBorders>
            <w:shd w:val="clear" w:color="auto" w:fill="92D050"/>
            <w:noWrap/>
            <w:vAlign w:val="bottom"/>
            <w:hideMark/>
          </w:tcPr>
          <w:p w14:paraId="727BF4E8" w14:textId="77777777" w:rsidR="0064324E" w:rsidRPr="00A9330B" w:rsidRDefault="0064324E" w:rsidP="0064324E">
            <w:pPr>
              <w:spacing w:line="240" w:lineRule="auto"/>
              <w:rPr>
                <w:rFonts w:cs="Arial"/>
                <w:b/>
                <w:bCs/>
                <w:iCs/>
                <w:sz w:val="18"/>
                <w:szCs w:val="18"/>
                <w:u w:val="single"/>
              </w:rPr>
            </w:pPr>
            <w:r w:rsidRPr="00A9330B">
              <w:rPr>
                <w:rFonts w:cs="Arial"/>
                <w:b/>
                <w:bCs/>
                <w:iCs/>
                <w:sz w:val="18"/>
                <w:szCs w:val="18"/>
                <w:u w:val="single"/>
              </w:rPr>
              <w:t xml:space="preserve">10,929.930   </w:t>
            </w:r>
          </w:p>
        </w:tc>
        <w:tc>
          <w:tcPr>
            <w:tcW w:w="2268" w:type="dxa"/>
            <w:tcBorders>
              <w:top w:val="nil"/>
              <w:left w:val="nil"/>
              <w:bottom w:val="single" w:sz="12" w:space="0" w:color="auto"/>
              <w:right w:val="single" w:sz="4" w:space="0" w:color="auto"/>
            </w:tcBorders>
            <w:shd w:val="clear" w:color="auto" w:fill="92D050"/>
            <w:noWrap/>
            <w:vAlign w:val="bottom"/>
            <w:hideMark/>
          </w:tcPr>
          <w:p w14:paraId="186F4E69" w14:textId="77777777" w:rsidR="0064324E" w:rsidRPr="00A9330B" w:rsidRDefault="0064324E" w:rsidP="006E37A6">
            <w:pPr>
              <w:spacing w:line="240" w:lineRule="auto"/>
              <w:jc w:val="center"/>
              <w:rPr>
                <w:rFonts w:cs="Arial"/>
                <w:b/>
                <w:bCs/>
                <w:iCs/>
                <w:sz w:val="18"/>
                <w:szCs w:val="18"/>
                <w:u w:val="single"/>
              </w:rPr>
            </w:pPr>
            <w:r w:rsidRPr="00A9330B">
              <w:rPr>
                <w:rFonts w:cs="Arial"/>
                <w:b/>
                <w:bCs/>
                <w:iCs/>
                <w:sz w:val="18"/>
                <w:szCs w:val="18"/>
                <w:u w:val="single"/>
              </w:rPr>
              <w:t> </w:t>
            </w:r>
          </w:p>
        </w:tc>
      </w:tr>
    </w:tbl>
    <w:p w14:paraId="17A5FE48" w14:textId="77777777" w:rsidR="00401546" w:rsidRPr="00A9330B" w:rsidRDefault="00401546" w:rsidP="00401546">
      <w:pPr>
        <w:jc w:val="center"/>
        <w:rPr>
          <w:rFonts w:cs="Arial"/>
          <w:sz w:val="18"/>
          <w:szCs w:val="18"/>
        </w:rPr>
      </w:pPr>
      <w:r w:rsidRPr="00A9330B">
        <w:rPr>
          <w:rFonts w:cs="Arial"/>
          <w:b/>
          <w:sz w:val="18"/>
          <w:szCs w:val="18"/>
        </w:rPr>
        <w:t>Source</w:t>
      </w:r>
      <w:r w:rsidRPr="00A9330B">
        <w:rPr>
          <w:rFonts w:cs="Arial"/>
          <w:sz w:val="18"/>
          <w:szCs w:val="18"/>
        </w:rPr>
        <w:t xml:space="preserve"> : CECO BTP </w:t>
      </w:r>
    </w:p>
    <w:p w14:paraId="5618D40A" w14:textId="39BFB472" w:rsidR="00401546" w:rsidRPr="00A9330B" w:rsidRDefault="00401546" w:rsidP="00401546">
      <w:pPr>
        <w:jc w:val="both"/>
        <w:rPr>
          <w:rFonts w:cs="Arial"/>
        </w:rPr>
      </w:pPr>
      <w:r w:rsidRPr="00A9330B">
        <w:rPr>
          <w:rFonts w:cs="Arial"/>
        </w:rPr>
        <w:t xml:space="preserve">Le projet vise la transformation qualitative et conséquente du réseau existant de manière à épouser le caractère de voie urbaine qui semble se dessiner de plus en plus avec la multiplication et l’émergence </w:t>
      </w:r>
      <w:r w:rsidR="00154A60" w:rsidRPr="00A9330B">
        <w:rPr>
          <w:rFonts w:cs="Arial"/>
        </w:rPr>
        <w:t xml:space="preserve">de </w:t>
      </w:r>
      <w:r w:rsidRPr="00A9330B">
        <w:rPr>
          <w:rFonts w:cs="Arial"/>
        </w:rPr>
        <w:t xml:space="preserve">moyennes agglomérations et </w:t>
      </w:r>
      <w:r w:rsidR="00154A60" w:rsidRPr="00A9330B">
        <w:rPr>
          <w:rFonts w:cs="Arial"/>
        </w:rPr>
        <w:t xml:space="preserve">de </w:t>
      </w:r>
      <w:r w:rsidRPr="00A9330B">
        <w:rPr>
          <w:rFonts w:cs="Arial"/>
        </w:rPr>
        <w:t>grandes agglomérations.</w:t>
      </w:r>
    </w:p>
    <w:p w14:paraId="118B7334" w14:textId="298BB26C" w:rsidR="00401546" w:rsidRPr="00A9330B" w:rsidRDefault="00401546" w:rsidP="00401546">
      <w:pPr>
        <w:jc w:val="both"/>
        <w:rPr>
          <w:rFonts w:cs="Arial"/>
        </w:rPr>
      </w:pPr>
      <w:r w:rsidRPr="00A9330B">
        <w:rPr>
          <w:rFonts w:cs="Arial"/>
        </w:rPr>
        <w:t xml:space="preserve">Cette transformation devra permettre de faire face aux défis que constitue l’assainissement de la ville de </w:t>
      </w:r>
      <w:r w:rsidR="00BA7D70" w:rsidRPr="00A9330B">
        <w:rPr>
          <w:rFonts w:cs="Arial"/>
        </w:rPr>
        <w:t xml:space="preserve">Natitingou </w:t>
      </w:r>
      <w:r w:rsidRPr="00A9330B">
        <w:rPr>
          <w:rFonts w:cs="Arial"/>
        </w:rPr>
        <w:t xml:space="preserve">et le trafic sans cesse croissant, qui sera alimenté par les besoins en mobilité au niveau national ; </w:t>
      </w:r>
      <w:r w:rsidR="00BA7D70" w:rsidRPr="00A9330B">
        <w:rPr>
          <w:rFonts w:cs="Arial"/>
        </w:rPr>
        <w:t xml:space="preserve">Natitingou </w:t>
      </w:r>
      <w:r w:rsidRPr="00A9330B">
        <w:rPr>
          <w:rFonts w:cs="Arial"/>
        </w:rPr>
        <w:t xml:space="preserve">étant une grande agglomération </w:t>
      </w:r>
      <w:r w:rsidR="000E2141" w:rsidRPr="00A9330B">
        <w:rPr>
          <w:rFonts w:cs="Arial"/>
        </w:rPr>
        <w:t xml:space="preserve">urbaine. Les figures ci-dessous présentent l’occupation de l’emprise de chaque ouvrage ou voirie dans la ville de Natitingou.  </w:t>
      </w:r>
      <w:r w:rsidRPr="00A9330B">
        <w:rPr>
          <w:rFonts w:cs="Arial"/>
        </w:rPr>
        <w:t xml:space="preserve"> </w:t>
      </w:r>
    </w:p>
    <w:p w14:paraId="45BB5BA0" w14:textId="77777777" w:rsidR="0090195C" w:rsidRPr="00A9330B" w:rsidRDefault="0090195C">
      <w:pPr>
        <w:spacing w:before="0" w:after="160" w:line="259" w:lineRule="auto"/>
      </w:pPr>
    </w:p>
    <w:p w14:paraId="413F5EB9" w14:textId="77777777" w:rsidR="0090195C" w:rsidRPr="00A9330B" w:rsidRDefault="0090195C">
      <w:pPr>
        <w:spacing w:before="0" w:after="160" w:line="259" w:lineRule="auto"/>
      </w:pPr>
    </w:p>
    <w:p w14:paraId="7C7AA0E1" w14:textId="4DF4BE8F" w:rsidR="007025F6" w:rsidRPr="00A9330B" w:rsidRDefault="007025F6">
      <w:pPr>
        <w:spacing w:before="0" w:after="160" w:line="259" w:lineRule="auto"/>
      </w:pPr>
      <w:r w:rsidRPr="00A9330B">
        <w:br w:type="page"/>
      </w:r>
    </w:p>
    <w:p w14:paraId="17B93B44" w14:textId="331FF4F4" w:rsidR="008D3933" w:rsidRPr="00A9330B" w:rsidRDefault="00430D7D" w:rsidP="007025F6">
      <w:pPr>
        <w:jc w:val="center"/>
        <w:rPr>
          <w:b/>
          <w:sz w:val="20"/>
          <w:szCs w:val="20"/>
        </w:rPr>
      </w:pPr>
      <w:bookmarkStart w:id="880" w:name="_Toc51844247"/>
      <w:r w:rsidRPr="00A9330B">
        <w:rPr>
          <w:b/>
          <w:sz w:val="20"/>
          <w:szCs w:val="20"/>
        </w:rPr>
        <w:lastRenderedPageBreak/>
        <w:t xml:space="preserve">Figure </w:t>
      </w:r>
      <w:r w:rsidR="00CB6BF2" w:rsidRPr="00A9330B">
        <w:rPr>
          <w:b/>
          <w:sz w:val="20"/>
          <w:szCs w:val="20"/>
        </w:rPr>
        <w:fldChar w:fldCharType="begin"/>
      </w:r>
      <w:r w:rsidR="00CB6BF2" w:rsidRPr="00A9330B">
        <w:rPr>
          <w:b/>
          <w:sz w:val="20"/>
          <w:szCs w:val="20"/>
        </w:rPr>
        <w:instrText xml:space="preserve"> SEQ Figure \* ARABIC </w:instrText>
      </w:r>
      <w:r w:rsidR="00CB6BF2" w:rsidRPr="00A9330B">
        <w:rPr>
          <w:b/>
          <w:sz w:val="20"/>
          <w:szCs w:val="20"/>
        </w:rPr>
        <w:fldChar w:fldCharType="separate"/>
      </w:r>
      <w:r w:rsidR="007025F6" w:rsidRPr="00A9330B">
        <w:rPr>
          <w:b/>
          <w:noProof/>
          <w:sz w:val="20"/>
          <w:szCs w:val="20"/>
        </w:rPr>
        <w:t>34</w:t>
      </w:r>
      <w:r w:rsidR="00CB6BF2" w:rsidRPr="00A9330B">
        <w:rPr>
          <w:b/>
          <w:noProof/>
          <w:sz w:val="20"/>
          <w:szCs w:val="20"/>
        </w:rPr>
        <w:fldChar w:fldCharType="end"/>
      </w:r>
      <w:r w:rsidRPr="00A9330B">
        <w:rPr>
          <w:b/>
          <w:sz w:val="20"/>
          <w:szCs w:val="20"/>
        </w:rPr>
        <w:t xml:space="preserve"> : </w:t>
      </w:r>
      <w:r w:rsidR="000E2141" w:rsidRPr="00A9330B">
        <w:rPr>
          <w:b/>
          <w:sz w:val="20"/>
          <w:szCs w:val="20"/>
        </w:rPr>
        <w:t xml:space="preserve">Occupation de l’emprise du collecteur </w:t>
      </w:r>
      <w:r w:rsidR="009E699D" w:rsidRPr="00A9330B">
        <w:rPr>
          <w:b/>
          <w:sz w:val="20"/>
          <w:szCs w:val="20"/>
        </w:rPr>
        <w:t>A1</w:t>
      </w:r>
      <w:r w:rsidR="006B11E2" w:rsidRPr="00A9330B">
        <w:rPr>
          <w:b/>
          <w:sz w:val="20"/>
          <w:szCs w:val="20"/>
        </w:rPr>
        <w:t xml:space="preserve"> (Fourigninkè)</w:t>
      </w:r>
      <w:r w:rsidR="0038033E" w:rsidRPr="00A9330B">
        <w:rPr>
          <w:b/>
          <w:sz w:val="20"/>
          <w:szCs w:val="20"/>
        </w:rPr>
        <w:t xml:space="preserve"> dans la ville de Natitingou</w:t>
      </w:r>
      <w:bookmarkEnd w:id="880"/>
    </w:p>
    <w:p w14:paraId="23DD6741" w14:textId="7FCEE7C6" w:rsidR="00A6586F" w:rsidRPr="00A9330B" w:rsidRDefault="00A6586F" w:rsidP="0011523E">
      <w:pPr>
        <w:jc w:val="both"/>
      </w:pPr>
      <w:r w:rsidRPr="00A9330B">
        <w:rPr>
          <w:noProof/>
          <w:lang w:eastAsia="fr-FR"/>
        </w:rPr>
        <w:drawing>
          <wp:inline distT="0" distB="0" distL="0" distR="0" wp14:anchorId="3F9E9BDA" wp14:editId="15D6BB78">
            <wp:extent cx="5534025" cy="8172905"/>
            <wp:effectExtent l="0" t="0" r="0" b="0"/>
            <wp:docPr id="3182" name="Image 3182" descr="C:\Users\HP\Desktop\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HP\Desktop\1.png"/>
                    <pic:cNvPicPr>
                      <a:picLocks noChangeAspect="1" noChangeArrowheads="1"/>
                    </pic:cNvPicPr>
                  </pic:nvPicPr>
                  <pic:blipFill rotWithShape="1">
                    <a:blip r:embed="rId16">
                      <a:extLst>
                        <a:ext uri="{28A0092B-C50C-407E-A947-70E740481C1C}">
                          <a14:useLocalDpi xmlns:a14="http://schemas.microsoft.com/office/drawing/2010/main" val="0"/>
                        </a:ext>
                      </a:extLst>
                    </a:blip>
                    <a:srcRect l="1819" r="9387"/>
                    <a:stretch/>
                  </pic:blipFill>
                  <pic:spPr bwMode="auto">
                    <a:xfrm>
                      <a:off x="0" y="0"/>
                      <a:ext cx="5535786" cy="8175505"/>
                    </a:xfrm>
                    <a:prstGeom prst="rect">
                      <a:avLst/>
                    </a:prstGeom>
                    <a:noFill/>
                    <a:ln>
                      <a:noFill/>
                    </a:ln>
                    <a:extLst>
                      <a:ext uri="{53640926-AAD7-44D8-BBD7-CCE9431645EC}">
                        <a14:shadowObscured xmlns:a14="http://schemas.microsoft.com/office/drawing/2010/main"/>
                      </a:ext>
                    </a:extLst>
                  </pic:spPr>
                </pic:pic>
              </a:graphicData>
            </a:graphic>
          </wp:inline>
        </w:drawing>
      </w:r>
    </w:p>
    <w:p w14:paraId="1CB66D25" w14:textId="0579F69C" w:rsidR="0038033E" w:rsidRPr="00A9330B" w:rsidRDefault="00A512FC" w:rsidP="0038033E">
      <w:pPr>
        <w:jc w:val="both"/>
      </w:pPr>
      <w:r w:rsidRPr="00A9330B">
        <w:t>L’emprise du colleteur A1 est occupée par des</w:t>
      </w:r>
      <w:r w:rsidR="00923D87" w:rsidRPr="00A9330B">
        <w:t xml:space="preserve"> maisons, des enclos d’élevage, des clôtures, des fosses septiques, des cuisines. Il ressort de l’analyse de cette figure que plusieurs biens seront affectés par la construction de ce collecteur. Ces biens ayant bénéficié d’un </w:t>
      </w:r>
      <w:r w:rsidR="00430D7D" w:rsidRPr="00A9330B">
        <w:lastRenderedPageBreak/>
        <w:t>recensement doivent</w:t>
      </w:r>
      <w:r w:rsidR="00923D87" w:rsidRPr="00A9330B">
        <w:t xml:space="preserve"> faire objet d’indemnisation aux personnes affectées par le projet avant le démarrage des travaux. </w:t>
      </w:r>
    </w:p>
    <w:p w14:paraId="62DE518B" w14:textId="235B75A2" w:rsidR="00CC6586" w:rsidRPr="00A9330B" w:rsidRDefault="00430D7D" w:rsidP="007025F6">
      <w:pPr>
        <w:jc w:val="center"/>
        <w:rPr>
          <w:b/>
          <w:sz w:val="20"/>
          <w:szCs w:val="20"/>
        </w:rPr>
      </w:pPr>
      <w:bookmarkStart w:id="881" w:name="_Toc51844248"/>
      <w:r w:rsidRPr="00A9330B">
        <w:rPr>
          <w:b/>
          <w:sz w:val="20"/>
          <w:szCs w:val="20"/>
        </w:rPr>
        <w:t xml:space="preserve">Figure </w:t>
      </w:r>
      <w:r w:rsidRPr="00A9330B">
        <w:rPr>
          <w:b/>
          <w:sz w:val="20"/>
          <w:szCs w:val="20"/>
        </w:rPr>
        <w:fldChar w:fldCharType="begin"/>
      </w:r>
      <w:r w:rsidRPr="00A9330B">
        <w:rPr>
          <w:b/>
          <w:sz w:val="20"/>
          <w:szCs w:val="20"/>
        </w:rPr>
        <w:instrText xml:space="preserve"> SEQ Figure \* ARABIC </w:instrText>
      </w:r>
      <w:r w:rsidRPr="00A9330B">
        <w:rPr>
          <w:b/>
          <w:sz w:val="20"/>
          <w:szCs w:val="20"/>
        </w:rPr>
        <w:fldChar w:fldCharType="separate"/>
      </w:r>
      <w:r w:rsidR="007025F6" w:rsidRPr="00A9330B">
        <w:rPr>
          <w:b/>
          <w:noProof/>
          <w:sz w:val="20"/>
          <w:szCs w:val="20"/>
        </w:rPr>
        <w:t>35</w:t>
      </w:r>
      <w:r w:rsidRPr="00A9330B">
        <w:rPr>
          <w:b/>
          <w:sz w:val="20"/>
          <w:szCs w:val="20"/>
        </w:rPr>
        <w:fldChar w:fldCharType="end"/>
      </w:r>
      <w:r w:rsidRPr="00A9330B">
        <w:rPr>
          <w:b/>
          <w:sz w:val="20"/>
          <w:szCs w:val="20"/>
        </w:rPr>
        <w:t> :</w:t>
      </w:r>
      <w:r w:rsidR="00CC6586" w:rsidRPr="00A9330B">
        <w:rPr>
          <w:b/>
          <w:sz w:val="20"/>
          <w:szCs w:val="20"/>
        </w:rPr>
        <w:t xml:space="preserve"> Occupation de l’emprise du collecteur A2 </w:t>
      </w:r>
      <w:r w:rsidR="006B11E2" w:rsidRPr="00A9330B">
        <w:rPr>
          <w:b/>
          <w:sz w:val="20"/>
          <w:szCs w:val="20"/>
        </w:rPr>
        <w:t xml:space="preserve">(Fourigninkè) </w:t>
      </w:r>
      <w:r w:rsidR="00CC6586" w:rsidRPr="00A9330B">
        <w:rPr>
          <w:b/>
          <w:sz w:val="20"/>
          <w:szCs w:val="20"/>
        </w:rPr>
        <w:t>dans la ville de Natitingou</w:t>
      </w:r>
      <w:bookmarkEnd w:id="881"/>
    </w:p>
    <w:p w14:paraId="52E8052D" w14:textId="2A1B6298" w:rsidR="00A6586F" w:rsidRPr="00A9330B" w:rsidRDefault="00A6586F" w:rsidP="0011523E">
      <w:pPr>
        <w:jc w:val="both"/>
        <w:rPr>
          <w:b/>
          <w:sz w:val="20"/>
          <w:szCs w:val="20"/>
        </w:rPr>
      </w:pPr>
      <w:r w:rsidRPr="00A9330B">
        <w:rPr>
          <w:rFonts w:eastAsiaTheme="majorEastAsia" w:cstheme="majorBidi"/>
          <w:b/>
          <w:bCs/>
          <w:noProof/>
          <w:lang w:eastAsia="fr-FR"/>
        </w:rPr>
        <w:drawing>
          <wp:inline distT="0" distB="0" distL="0" distR="0" wp14:anchorId="77A2337D" wp14:editId="2811909F">
            <wp:extent cx="5760720" cy="7785012"/>
            <wp:effectExtent l="0" t="0" r="0" b="6985"/>
            <wp:docPr id="3183" name="Image 3183" descr="C:\Users\HP\Desktop\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HP\Desktop\1.png"/>
                    <pic:cNvPicPr>
                      <a:picLocks noChangeAspect="1" noChangeArrowheads="1"/>
                    </pic:cNvPicPr>
                  </pic:nvPicPr>
                  <pic:blipFill rotWithShape="1">
                    <a:blip r:embed="rId86">
                      <a:extLst>
                        <a:ext uri="{28A0092B-C50C-407E-A947-70E740481C1C}">
                          <a14:useLocalDpi xmlns:a14="http://schemas.microsoft.com/office/drawing/2010/main" val="0"/>
                        </a:ext>
                      </a:extLst>
                    </a:blip>
                    <a:srcRect t="883" r="6405" b="2656"/>
                    <a:stretch/>
                  </pic:blipFill>
                  <pic:spPr bwMode="auto">
                    <a:xfrm>
                      <a:off x="0" y="0"/>
                      <a:ext cx="5760720" cy="7785012"/>
                    </a:xfrm>
                    <a:prstGeom prst="rect">
                      <a:avLst/>
                    </a:prstGeom>
                    <a:noFill/>
                    <a:ln>
                      <a:noFill/>
                    </a:ln>
                    <a:extLst>
                      <a:ext uri="{53640926-AAD7-44D8-BBD7-CCE9431645EC}">
                        <a14:shadowObscured xmlns:a14="http://schemas.microsoft.com/office/drawing/2010/main"/>
                      </a:ext>
                    </a:extLst>
                  </pic:spPr>
                </pic:pic>
              </a:graphicData>
            </a:graphic>
          </wp:inline>
        </w:drawing>
      </w:r>
    </w:p>
    <w:p w14:paraId="7806B424" w14:textId="0D1909AA" w:rsidR="00CC6586" w:rsidRPr="00A9330B" w:rsidRDefault="00CC6586" w:rsidP="00401546">
      <w:pPr>
        <w:jc w:val="both"/>
        <w:rPr>
          <w:rFonts w:eastAsiaTheme="majorEastAsia" w:cstheme="majorBidi"/>
          <w:bCs/>
        </w:rPr>
      </w:pPr>
      <w:r w:rsidRPr="00A9330B">
        <w:rPr>
          <w:rFonts w:eastAsiaTheme="majorEastAsia" w:cstheme="majorBidi"/>
          <w:bCs/>
        </w:rPr>
        <w:t xml:space="preserve">Peu d’éléments d’occupation de l’emprise sera affecté au niveau du collecteur A2. Il s’agit de quelques maisons, de terrasse, de clôture et de local d’élevage. Les dispositions doivent être </w:t>
      </w:r>
      <w:r w:rsidRPr="00A9330B">
        <w:rPr>
          <w:rFonts w:eastAsiaTheme="majorEastAsia" w:cstheme="majorBidi"/>
          <w:bCs/>
        </w:rPr>
        <w:lastRenderedPageBreak/>
        <w:t xml:space="preserve">prises pour que la mise en œuvre du PAR soit effective pour ne pas appauvrir d’avantage les populations affectées. </w:t>
      </w:r>
    </w:p>
    <w:p w14:paraId="1C93691F" w14:textId="6F4CFEA8" w:rsidR="00CC6586" w:rsidRPr="00A9330B" w:rsidRDefault="00430D7D" w:rsidP="007025F6">
      <w:pPr>
        <w:jc w:val="center"/>
        <w:rPr>
          <w:b/>
          <w:sz w:val="20"/>
          <w:szCs w:val="20"/>
        </w:rPr>
      </w:pPr>
      <w:bookmarkStart w:id="882" w:name="_Toc51844249"/>
      <w:r w:rsidRPr="00A9330B">
        <w:rPr>
          <w:b/>
          <w:sz w:val="20"/>
          <w:szCs w:val="20"/>
        </w:rPr>
        <w:t xml:space="preserve">Figure </w:t>
      </w:r>
      <w:r w:rsidRPr="00A9330B">
        <w:rPr>
          <w:b/>
          <w:sz w:val="20"/>
          <w:szCs w:val="20"/>
        </w:rPr>
        <w:fldChar w:fldCharType="begin"/>
      </w:r>
      <w:r w:rsidRPr="00A9330B">
        <w:rPr>
          <w:b/>
          <w:sz w:val="20"/>
          <w:szCs w:val="20"/>
        </w:rPr>
        <w:instrText xml:space="preserve"> SEQ Figure \* ARABIC </w:instrText>
      </w:r>
      <w:r w:rsidRPr="00A9330B">
        <w:rPr>
          <w:b/>
          <w:sz w:val="20"/>
          <w:szCs w:val="20"/>
        </w:rPr>
        <w:fldChar w:fldCharType="separate"/>
      </w:r>
      <w:r w:rsidR="007025F6" w:rsidRPr="00A9330B">
        <w:rPr>
          <w:b/>
          <w:noProof/>
          <w:sz w:val="20"/>
          <w:szCs w:val="20"/>
        </w:rPr>
        <w:t>36</w:t>
      </w:r>
      <w:r w:rsidRPr="00A9330B">
        <w:rPr>
          <w:b/>
          <w:sz w:val="20"/>
          <w:szCs w:val="20"/>
        </w:rPr>
        <w:fldChar w:fldCharType="end"/>
      </w:r>
      <w:r w:rsidRPr="00A9330B">
        <w:rPr>
          <w:b/>
          <w:sz w:val="20"/>
          <w:szCs w:val="20"/>
        </w:rPr>
        <w:t xml:space="preserve"> : </w:t>
      </w:r>
      <w:r w:rsidR="00CC6586" w:rsidRPr="00A9330B">
        <w:rPr>
          <w:b/>
          <w:sz w:val="20"/>
          <w:szCs w:val="20"/>
        </w:rPr>
        <w:t xml:space="preserve">Occupation de l’emprise du </w:t>
      </w:r>
      <w:r w:rsidR="006B11E2" w:rsidRPr="00A9330B">
        <w:rPr>
          <w:b/>
          <w:sz w:val="20"/>
          <w:szCs w:val="20"/>
        </w:rPr>
        <w:t xml:space="preserve">canal </w:t>
      </w:r>
      <w:r w:rsidR="00CC6586" w:rsidRPr="00A9330B">
        <w:rPr>
          <w:b/>
          <w:sz w:val="20"/>
          <w:szCs w:val="20"/>
        </w:rPr>
        <w:t xml:space="preserve">B </w:t>
      </w:r>
      <w:r w:rsidR="006B11E2" w:rsidRPr="00A9330B">
        <w:rPr>
          <w:b/>
          <w:sz w:val="20"/>
          <w:szCs w:val="20"/>
        </w:rPr>
        <w:t xml:space="preserve">(Wadata) </w:t>
      </w:r>
      <w:r w:rsidR="00CC6586" w:rsidRPr="00A9330B">
        <w:rPr>
          <w:b/>
          <w:sz w:val="20"/>
          <w:szCs w:val="20"/>
        </w:rPr>
        <w:t>dans la ville de Natitingou</w:t>
      </w:r>
      <w:bookmarkEnd w:id="882"/>
    </w:p>
    <w:p w14:paraId="1818FCB1" w14:textId="11A2D511" w:rsidR="00A6586F" w:rsidRPr="00A9330B" w:rsidRDefault="00A6586F" w:rsidP="0011523E">
      <w:pPr>
        <w:jc w:val="both"/>
        <w:rPr>
          <w:b/>
          <w:sz w:val="20"/>
          <w:szCs w:val="20"/>
        </w:rPr>
      </w:pPr>
      <w:r w:rsidRPr="00A9330B">
        <w:rPr>
          <w:rFonts w:eastAsiaTheme="majorEastAsia" w:cstheme="majorBidi"/>
          <w:b/>
          <w:bCs/>
          <w:noProof/>
          <w:lang w:eastAsia="fr-FR"/>
        </w:rPr>
        <w:drawing>
          <wp:inline distT="0" distB="0" distL="0" distR="0" wp14:anchorId="2ED49A95" wp14:editId="600A8326">
            <wp:extent cx="5760720" cy="4161763"/>
            <wp:effectExtent l="0" t="0" r="0" b="0"/>
            <wp:docPr id="3184" name="Image 3184" descr="C:\Users\HP\Desktop\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HP\Desktop\1.png"/>
                    <pic:cNvPicPr>
                      <a:picLocks noChangeAspect="1" noChangeArrowheads="1"/>
                    </pic:cNvPicPr>
                  </pic:nvPicPr>
                  <pic:blipFill rotWithShape="1">
                    <a:blip r:embed="rId87">
                      <a:extLst>
                        <a:ext uri="{28A0092B-C50C-407E-A947-70E740481C1C}">
                          <a14:useLocalDpi xmlns:a14="http://schemas.microsoft.com/office/drawing/2010/main" val="0"/>
                        </a:ext>
                      </a:extLst>
                    </a:blip>
                    <a:srcRect r="8224" b="49437"/>
                    <a:stretch/>
                  </pic:blipFill>
                  <pic:spPr bwMode="auto">
                    <a:xfrm>
                      <a:off x="0" y="0"/>
                      <a:ext cx="5760720" cy="4161763"/>
                    </a:xfrm>
                    <a:prstGeom prst="rect">
                      <a:avLst/>
                    </a:prstGeom>
                    <a:noFill/>
                    <a:ln>
                      <a:noFill/>
                    </a:ln>
                    <a:extLst>
                      <a:ext uri="{53640926-AAD7-44D8-BBD7-CCE9431645EC}">
                        <a14:shadowObscured xmlns:a14="http://schemas.microsoft.com/office/drawing/2010/main"/>
                      </a:ext>
                    </a:extLst>
                  </pic:spPr>
                </pic:pic>
              </a:graphicData>
            </a:graphic>
          </wp:inline>
        </w:drawing>
      </w:r>
    </w:p>
    <w:p w14:paraId="68EBF89C" w14:textId="4611AB5F" w:rsidR="000E2141" w:rsidRPr="00A9330B" w:rsidRDefault="006B11E2" w:rsidP="00401546">
      <w:pPr>
        <w:jc w:val="both"/>
        <w:rPr>
          <w:rFonts w:eastAsiaTheme="majorEastAsia" w:cstheme="majorBidi"/>
          <w:bCs/>
        </w:rPr>
      </w:pPr>
      <w:r w:rsidRPr="00A9330B">
        <w:rPr>
          <w:rFonts w:eastAsiaTheme="majorEastAsia" w:cstheme="majorBidi"/>
          <w:bCs/>
        </w:rPr>
        <w:t>Le canal B</w:t>
      </w:r>
      <w:r w:rsidR="00CC6586" w:rsidRPr="00A9330B">
        <w:rPr>
          <w:rFonts w:eastAsiaTheme="majorEastAsia" w:cstheme="majorBidi"/>
          <w:bCs/>
        </w:rPr>
        <w:t xml:space="preserve"> traverse plusieurs terrains vides</w:t>
      </w:r>
      <w:r w:rsidR="00DA1D11" w:rsidRPr="00A9330B">
        <w:rPr>
          <w:rFonts w:eastAsiaTheme="majorEastAsia" w:cstheme="majorBidi"/>
          <w:bCs/>
        </w:rPr>
        <w:t xml:space="preserve"> dont leurs propriétaires ont été </w:t>
      </w:r>
      <w:r w:rsidR="00430D7D" w:rsidRPr="00A9330B">
        <w:rPr>
          <w:rFonts w:eastAsiaTheme="majorEastAsia" w:cstheme="majorBidi"/>
          <w:bCs/>
        </w:rPr>
        <w:t>recensés, quelques</w:t>
      </w:r>
      <w:r w:rsidR="00DA1D11" w:rsidRPr="00A9330B">
        <w:rPr>
          <w:rFonts w:eastAsiaTheme="majorEastAsia" w:cstheme="majorBidi"/>
          <w:bCs/>
        </w:rPr>
        <w:t xml:space="preserve"> maisons sont érigées dans l’emprise de ce collecteur et des toilettes. Ces biens affectés sont plus concentrés dans les quartiers de Sountchirantikou et de Boriyouré. Aucun élément n’a été affecté dans le quartier Ouroubonna.</w:t>
      </w:r>
    </w:p>
    <w:p w14:paraId="49587E8D" w14:textId="77777777" w:rsidR="007025F6" w:rsidRPr="00A9330B" w:rsidRDefault="007025F6">
      <w:pPr>
        <w:spacing w:before="0" w:after="160" w:line="259" w:lineRule="auto"/>
        <w:rPr>
          <w:b/>
          <w:sz w:val="20"/>
          <w:szCs w:val="20"/>
        </w:rPr>
      </w:pPr>
      <w:r w:rsidRPr="00A9330B">
        <w:rPr>
          <w:b/>
          <w:sz w:val="20"/>
          <w:szCs w:val="20"/>
        </w:rPr>
        <w:br w:type="page"/>
      </w:r>
    </w:p>
    <w:p w14:paraId="07D73A0A" w14:textId="277CE322" w:rsidR="00DA1D11" w:rsidRPr="00A9330B" w:rsidRDefault="00430D7D" w:rsidP="007025F6">
      <w:pPr>
        <w:jc w:val="center"/>
        <w:rPr>
          <w:b/>
          <w:sz w:val="20"/>
          <w:szCs w:val="20"/>
        </w:rPr>
      </w:pPr>
      <w:bookmarkStart w:id="883" w:name="_Toc51844250"/>
      <w:r w:rsidRPr="00A9330B">
        <w:rPr>
          <w:b/>
          <w:sz w:val="20"/>
          <w:szCs w:val="20"/>
        </w:rPr>
        <w:lastRenderedPageBreak/>
        <w:t xml:space="preserve">Figure </w:t>
      </w:r>
      <w:r w:rsidRPr="00A9330B">
        <w:rPr>
          <w:b/>
          <w:sz w:val="20"/>
          <w:szCs w:val="20"/>
        </w:rPr>
        <w:fldChar w:fldCharType="begin"/>
      </w:r>
      <w:r w:rsidRPr="00A9330B">
        <w:rPr>
          <w:b/>
          <w:sz w:val="20"/>
          <w:szCs w:val="20"/>
        </w:rPr>
        <w:instrText xml:space="preserve"> SEQ Figure \* ARABIC </w:instrText>
      </w:r>
      <w:r w:rsidRPr="00A9330B">
        <w:rPr>
          <w:b/>
          <w:sz w:val="20"/>
          <w:szCs w:val="20"/>
        </w:rPr>
        <w:fldChar w:fldCharType="separate"/>
      </w:r>
      <w:r w:rsidR="007025F6" w:rsidRPr="00A9330B">
        <w:rPr>
          <w:b/>
          <w:noProof/>
          <w:sz w:val="20"/>
          <w:szCs w:val="20"/>
        </w:rPr>
        <w:t>37</w:t>
      </w:r>
      <w:r w:rsidRPr="00A9330B">
        <w:rPr>
          <w:b/>
          <w:sz w:val="20"/>
          <w:szCs w:val="20"/>
        </w:rPr>
        <w:fldChar w:fldCharType="end"/>
      </w:r>
      <w:r w:rsidRPr="00A9330B">
        <w:rPr>
          <w:b/>
          <w:sz w:val="20"/>
          <w:szCs w:val="20"/>
        </w:rPr>
        <w:t xml:space="preserve"> : </w:t>
      </w:r>
      <w:r w:rsidR="00DA1D11" w:rsidRPr="00A9330B">
        <w:rPr>
          <w:b/>
          <w:sz w:val="20"/>
          <w:szCs w:val="20"/>
        </w:rPr>
        <w:t>Occupation de l’emprise du collecteur A</w:t>
      </w:r>
      <w:r w:rsidR="006B11E2" w:rsidRPr="00A9330B">
        <w:rPr>
          <w:b/>
          <w:sz w:val="20"/>
          <w:szCs w:val="20"/>
        </w:rPr>
        <w:t>13a1</w:t>
      </w:r>
      <w:r w:rsidR="00DA1D11" w:rsidRPr="00A9330B">
        <w:rPr>
          <w:b/>
          <w:sz w:val="20"/>
          <w:szCs w:val="20"/>
        </w:rPr>
        <w:t xml:space="preserve"> dans la ville de Natitingou</w:t>
      </w:r>
      <w:bookmarkEnd w:id="883"/>
    </w:p>
    <w:p w14:paraId="411BC5AD" w14:textId="617B5BBB" w:rsidR="00A6586F" w:rsidRPr="00A9330B" w:rsidRDefault="00A6586F" w:rsidP="0011523E">
      <w:pPr>
        <w:jc w:val="both"/>
        <w:rPr>
          <w:b/>
          <w:sz w:val="20"/>
          <w:szCs w:val="20"/>
        </w:rPr>
      </w:pPr>
      <w:r w:rsidRPr="00A9330B">
        <w:rPr>
          <w:rFonts w:eastAsiaTheme="majorEastAsia" w:cstheme="majorBidi"/>
          <w:b/>
          <w:bCs/>
          <w:noProof/>
          <w:lang w:eastAsia="fr-FR"/>
        </w:rPr>
        <w:drawing>
          <wp:inline distT="0" distB="0" distL="0" distR="0" wp14:anchorId="547B05A0" wp14:editId="76A32F72">
            <wp:extent cx="5838825" cy="7543952"/>
            <wp:effectExtent l="0" t="0" r="0" b="0"/>
            <wp:docPr id="3185" name="Image 3185" descr="C:\Users\HP\Desktop\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HP\Desktop\1.png"/>
                    <pic:cNvPicPr>
                      <a:picLocks noChangeAspect="1" noChangeArrowheads="1"/>
                    </pic:cNvPicPr>
                  </pic:nvPicPr>
                  <pic:blipFill rotWithShape="1">
                    <a:blip r:embed="rId88">
                      <a:extLst>
                        <a:ext uri="{28A0092B-C50C-407E-A947-70E740481C1C}">
                          <a14:useLocalDpi xmlns:a14="http://schemas.microsoft.com/office/drawing/2010/main" val="0"/>
                        </a:ext>
                      </a:extLst>
                    </a:blip>
                    <a:srcRect r="7728" b="9087"/>
                    <a:stretch/>
                  </pic:blipFill>
                  <pic:spPr bwMode="auto">
                    <a:xfrm>
                      <a:off x="0" y="0"/>
                      <a:ext cx="5839386" cy="7544677"/>
                    </a:xfrm>
                    <a:prstGeom prst="rect">
                      <a:avLst/>
                    </a:prstGeom>
                    <a:noFill/>
                    <a:ln>
                      <a:noFill/>
                    </a:ln>
                    <a:extLst>
                      <a:ext uri="{53640926-AAD7-44D8-BBD7-CCE9431645EC}">
                        <a14:shadowObscured xmlns:a14="http://schemas.microsoft.com/office/drawing/2010/main"/>
                      </a:ext>
                    </a:extLst>
                  </pic:spPr>
                </pic:pic>
              </a:graphicData>
            </a:graphic>
          </wp:inline>
        </w:drawing>
      </w:r>
    </w:p>
    <w:p w14:paraId="56DEFC58" w14:textId="3A651368" w:rsidR="00E468AD" w:rsidRPr="00A9330B" w:rsidRDefault="00E468AD" w:rsidP="00E468AD">
      <w:pPr>
        <w:jc w:val="both"/>
        <w:rPr>
          <w:rFonts w:eastAsiaTheme="majorEastAsia" w:cstheme="majorBidi"/>
          <w:b/>
          <w:bCs/>
        </w:rPr>
      </w:pPr>
      <w:r w:rsidRPr="00A9330B">
        <w:t xml:space="preserve">Des maisons, des terrains vides, de fosses septiques, de clôture sont recensés dans l’emprise du collecteur. </w:t>
      </w:r>
    </w:p>
    <w:p w14:paraId="18BC1F11" w14:textId="77777777" w:rsidR="007025F6" w:rsidRPr="00A9330B" w:rsidRDefault="007025F6">
      <w:pPr>
        <w:spacing w:before="0" w:after="160" w:line="259" w:lineRule="auto"/>
        <w:rPr>
          <w:b/>
          <w:sz w:val="20"/>
          <w:szCs w:val="20"/>
        </w:rPr>
      </w:pPr>
      <w:r w:rsidRPr="00A9330B">
        <w:rPr>
          <w:b/>
          <w:sz w:val="20"/>
          <w:szCs w:val="20"/>
        </w:rPr>
        <w:br w:type="page"/>
      </w:r>
    </w:p>
    <w:p w14:paraId="1ADB1A4E" w14:textId="6018B779" w:rsidR="00E468AD" w:rsidRPr="00A9330B" w:rsidRDefault="00430D7D" w:rsidP="007025F6">
      <w:pPr>
        <w:jc w:val="center"/>
        <w:rPr>
          <w:b/>
          <w:sz w:val="20"/>
          <w:szCs w:val="20"/>
        </w:rPr>
      </w:pPr>
      <w:bookmarkStart w:id="884" w:name="_Toc51844251"/>
      <w:r w:rsidRPr="00A9330B">
        <w:rPr>
          <w:b/>
          <w:sz w:val="20"/>
          <w:szCs w:val="20"/>
        </w:rPr>
        <w:lastRenderedPageBreak/>
        <w:t xml:space="preserve">Figure </w:t>
      </w:r>
      <w:r w:rsidRPr="00A9330B">
        <w:rPr>
          <w:b/>
          <w:sz w:val="20"/>
          <w:szCs w:val="20"/>
        </w:rPr>
        <w:fldChar w:fldCharType="begin"/>
      </w:r>
      <w:r w:rsidRPr="00A9330B">
        <w:rPr>
          <w:b/>
          <w:sz w:val="20"/>
          <w:szCs w:val="20"/>
        </w:rPr>
        <w:instrText xml:space="preserve"> SEQ Figure \* ARABIC </w:instrText>
      </w:r>
      <w:r w:rsidRPr="00A9330B">
        <w:rPr>
          <w:b/>
          <w:sz w:val="20"/>
          <w:szCs w:val="20"/>
        </w:rPr>
        <w:fldChar w:fldCharType="separate"/>
      </w:r>
      <w:r w:rsidR="007025F6" w:rsidRPr="00A9330B">
        <w:rPr>
          <w:b/>
          <w:noProof/>
          <w:sz w:val="20"/>
          <w:szCs w:val="20"/>
        </w:rPr>
        <w:t>38</w:t>
      </w:r>
      <w:r w:rsidRPr="00A9330B">
        <w:rPr>
          <w:b/>
          <w:sz w:val="20"/>
          <w:szCs w:val="20"/>
        </w:rPr>
        <w:fldChar w:fldCharType="end"/>
      </w:r>
      <w:r w:rsidRPr="00A9330B">
        <w:rPr>
          <w:b/>
          <w:sz w:val="20"/>
          <w:szCs w:val="20"/>
        </w:rPr>
        <w:t> :</w:t>
      </w:r>
      <w:r w:rsidR="00E468AD" w:rsidRPr="00A9330B">
        <w:rPr>
          <w:b/>
          <w:sz w:val="20"/>
          <w:szCs w:val="20"/>
        </w:rPr>
        <w:t xml:space="preserve"> Occupation de l’emprise du collecteur A</w:t>
      </w:r>
      <w:r w:rsidR="00457592" w:rsidRPr="00A9330B">
        <w:rPr>
          <w:b/>
          <w:sz w:val="20"/>
          <w:szCs w:val="20"/>
        </w:rPr>
        <w:t>8a</w:t>
      </w:r>
      <w:r w:rsidR="00E468AD" w:rsidRPr="00A9330B">
        <w:rPr>
          <w:b/>
          <w:sz w:val="20"/>
          <w:szCs w:val="20"/>
        </w:rPr>
        <w:t xml:space="preserve"> dans la ville de Natitingou</w:t>
      </w:r>
      <w:bookmarkEnd w:id="884"/>
    </w:p>
    <w:p w14:paraId="5848BB32" w14:textId="7942559C" w:rsidR="00A6586F" w:rsidRPr="00A9330B" w:rsidRDefault="00A6586F" w:rsidP="0011523E">
      <w:pPr>
        <w:jc w:val="both"/>
        <w:rPr>
          <w:b/>
          <w:sz w:val="20"/>
          <w:szCs w:val="20"/>
        </w:rPr>
      </w:pPr>
      <w:r w:rsidRPr="00A9330B">
        <w:rPr>
          <w:rFonts w:eastAsiaTheme="majorEastAsia" w:cstheme="majorBidi"/>
          <w:b/>
          <w:bCs/>
          <w:noProof/>
          <w:lang w:eastAsia="fr-FR"/>
        </w:rPr>
        <w:drawing>
          <wp:inline distT="0" distB="0" distL="0" distR="0" wp14:anchorId="00DB49D2" wp14:editId="23490508">
            <wp:extent cx="5597033" cy="4068000"/>
            <wp:effectExtent l="0" t="0" r="3810" b="8890"/>
            <wp:docPr id="3186" name="Image 3186" descr="C:\Users\HP\Desktop\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HP\Desktop\1.png"/>
                    <pic:cNvPicPr>
                      <a:picLocks noChangeAspect="1" noChangeArrowheads="1"/>
                    </pic:cNvPicPr>
                  </pic:nvPicPr>
                  <pic:blipFill rotWithShape="1">
                    <a:blip r:embed="rId89">
                      <a:extLst>
                        <a:ext uri="{28A0092B-C50C-407E-A947-70E740481C1C}">
                          <a14:useLocalDpi xmlns:a14="http://schemas.microsoft.com/office/drawing/2010/main" val="0"/>
                        </a:ext>
                      </a:extLst>
                    </a:blip>
                    <a:srcRect t="3784" r="8554" b="45528"/>
                    <a:stretch/>
                  </pic:blipFill>
                  <pic:spPr bwMode="auto">
                    <a:xfrm>
                      <a:off x="0" y="0"/>
                      <a:ext cx="5597033" cy="4068000"/>
                    </a:xfrm>
                    <a:prstGeom prst="rect">
                      <a:avLst/>
                    </a:prstGeom>
                    <a:noFill/>
                    <a:ln>
                      <a:noFill/>
                    </a:ln>
                    <a:extLst>
                      <a:ext uri="{53640926-AAD7-44D8-BBD7-CCE9431645EC}">
                        <a14:shadowObscured xmlns:a14="http://schemas.microsoft.com/office/drawing/2010/main"/>
                      </a:ext>
                    </a:extLst>
                  </pic:spPr>
                </pic:pic>
              </a:graphicData>
            </a:graphic>
          </wp:inline>
        </w:drawing>
      </w:r>
    </w:p>
    <w:p w14:paraId="1038D9E3" w14:textId="294CD169" w:rsidR="000E2141" w:rsidRPr="00A9330B" w:rsidRDefault="00EE3A5B" w:rsidP="00401546">
      <w:pPr>
        <w:jc w:val="both"/>
        <w:rPr>
          <w:rFonts w:eastAsiaTheme="majorEastAsia" w:cstheme="majorBidi"/>
          <w:bCs/>
        </w:rPr>
      </w:pPr>
      <w:r w:rsidRPr="00A9330B">
        <w:rPr>
          <w:rFonts w:eastAsiaTheme="majorEastAsia" w:cstheme="majorBidi"/>
          <w:bCs/>
        </w:rPr>
        <w:t xml:space="preserve">Plusieurs maisons occupent l’emprise du </w:t>
      </w:r>
      <w:r w:rsidR="006B11E2" w:rsidRPr="00A9330B">
        <w:rPr>
          <w:rFonts w:eastAsiaTheme="majorEastAsia" w:cstheme="majorBidi"/>
          <w:bCs/>
        </w:rPr>
        <w:t>collecteur</w:t>
      </w:r>
      <w:r w:rsidR="006B11E2" w:rsidRPr="00A9330B">
        <w:t xml:space="preserve"> A</w:t>
      </w:r>
      <w:r w:rsidR="00457592" w:rsidRPr="00A9330B">
        <w:t>8a</w:t>
      </w:r>
      <w:r w:rsidR="006B11E2" w:rsidRPr="00A9330B">
        <w:rPr>
          <w:rFonts w:eastAsiaTheme="majorEastAsia" w:cstheme="majorBidi"/>
          <w:bCs/>
        </w:rPr>
        <w:t>,</w:t>
      </w:r>
      <w:r w:rsidRPr="00A9330B">
        <w:rPr>
          <w:rFonts w:eastAsiaTheme="majorEastAsia" w:cstheme="majorBidi"/>
          <w:bCs/>
        </w:rPr>
        <w:t xml:space="preserve"> des fosses septiques et une terrasse.   </w:t>
      </w:r>
    </w:p>
    <w:p w14:paraId="1EA52444" w14:textId="6BC1A445" w:rsidR="00EE3A5B" w:rsidRPr="00A9330B" w:rsidRDefault="00430D7D" w:rsidP="0011523E">
      <w:pPr>
        <w:jc w:val="both"/>
        <w:rPr>
          <w:b/>
          <w:sz w:val="20"/>
          <w:szCs w:val="20"/>
        </w:rPr>
      </w:pPr>
      <w:bookmarkStart w:id="885" w:name="_Toc51844252"/>
      <w:r w:rsidRPr="00A9330B">
        <w:rPr>
          <w:b/>
          <w:sz w:val="20"/>
          <w:szCs w:val="20"/>
        </w:rPr>
        <w:t xml:space="preserve">Figure </w:t>
      </w:r>
      <w:r w:rsidRPr="00A9330B">
        <w:rPr>
          <w:b/>
          <w:sz w:val="20"/>
          <w:szCs w:val="20"/>
        </w:rPr>
        <w:fldChar w:fldCharType="begin"/>
      </w:r>
      <w:r w:rsidRPr="00A9330B">
        <w:rPr>
          <w:b/>
          <w:sz w:val="20"/>
          <w:szCs w:val="20"/>
        </w:rPr>
        <w:instrText xml:space="preserve"> SEQ Figure \* ARABIC </w:instrText>
      </w:r>
      <w:r w:rsidRPr="00A9330B">
        <w:rPr>
          <w:b/>
          <w:sz w:val="20"/>
          <w:szCs w:val="20"/>
        </w:rPr>
        <w:fldChar w:fldCharType="separate"/>
      </w:r>
      <w:r w:rsidR="007025F6" w:rsidRPr="00A9330B">
        <w:rPr>
          <w:b/>
          <w:noProof/>
          <w:sz w:val="20"/>
          <w:szCs w:val="20"/>
        </w:rPr>
        <w:t>39</w:t>
      </w:r>
      <w:r w:rsidRPr="00A9330B">
        <w:rPr>
          <w:b/>
          <w:sz w:val="20"/>
          <w:szCs w:val="20"/>
        </w:rPr>
        <w:fldChar w:fldCharType="end"/>
      </w:r>
      <w:r w:rsidRPr="00A9330B">
        <w:rPr>
          <w:b/>
          <w:sz w:val="20"/>
          <w:szCs w:val="20"/>
        </w:rPr>
        <w:t xml:space="preserve"> : </w:t>
      </w:r>
      <w:r w:rsidR="00457592" w:rsidRPr="00A9330B">
        <w:rPr>
          <w:b/>
          <w:sz w:val="20"/>
          <w:szCs w:val="20"/>
        </w:rPr>
        <w:t>Occupation de l’emprise des</w:t>
      </w:r>
      <w:r w:rsidR="00EE3A5B" w:rsidRPr="00A9330B">
        <w:rPr>
          <w:b/>
          <w:sz w:val="20"/>
          <w:szCs w:val="20"/>
        </w:rPr>
        <w:t xml:space="preserve"> collecteur</w:t>
      </w:r>
      <w:r w:rsidR="00457592" w:rsidRPr="00A9330B">
        <w:rPr>
          <w:b/>
          <w:sz w:val="20"/>
          <w:szCs w:val="20"/>
        </w:rPr>
        <w:t>s</w:t>
      </w:r>
      <w:r w:rsidR="00EE3A5B" w:rsidRPr="00A9330B">
        <w:rPr>
          <w:b/>
          <w:sz w:val="20"/>
          <w:szCs w:val="20"/>
        </w:rPr>
        <w:t xml:space="preserve"> A</w:t>
      </w:r>
      <w:r w:rsidR="006B11E2" w:rsidRPr="00A9330B">
        <w:rPr>
          <w:b/>
          <w:sz w:val="20"/>
          <w:szCs w:val="20"/>
        </w:rPr>
        <w:t>6</w:t>
      </w:r>
      <w:r w:rsidR="00457592" w:rsidRPr="00A9330B">
        <w:rPr>
          <w:b/>
          <w:sz w:val="20"/>
          <w:szCs w:val="20"/>
        </w:rPr>
        <w:t>a3 et A6a1</w:t>
      </w:r>
      <w:r w:rsidR="00EE3A5B" w:rsidRPr="00A9330B">
        <w:rPr>
          <w:b/>
          <w:sz w:val="20"/>
          <w:szCs w:val="20"/>
        </w:rPr>
        <w:t xml:space="preserve"> dans la ville de Natitingou</w:t>
      </w:r>
      <w:bookmarkEnd w:id="885"/>
    </w:p>
    <w:p w14:paraId="571A82A4" w14:textId="2F12AB17" w:rsidR="00A6586F" w:rsidRPr="00A9330B" w:rsidRDefault="00A6586F" w:rsidP="0011523E">
      <w:pPr>
        <w:jc w:val="both"/>
        <w:rPr>
          <w:b/>
          <w:sz w:val="20"/>
          <w:szCs w:val="20"/>
        </w:rPr>
      </w:pPr>
      <w:r w:rsidRPr="00A9330B">
        <w:rPr>
          <w:rFonts w:eastAsiaTheme="majorEastAsia" w:cstheme="majorBidi"/>
          <w:b/>
          <w:bCs/>
          <w:noProof/>
          <w:lang w:eastAsia="fr-FR"/>
        </w:rPr>
        <w:drawing>
          <wp:inline distT="0" distB="0" distL="0" distR="0" wp14:anchorId="7A3A5F34" wp14:editId="4F64D385">
            <wp:extent cx="5588639" cy="4032000"/>
            <wp:effectExtent l="0" t="0" r="0" b="6985"/>
            <wp:docPr id="3187" name="Image 3187" descr="C:\Users\HP\Desktop\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HP\Desktop\1.png"/>
                    <pic:cNvPicPr>
                      <a:picLocks noChangeAspect="1" noChangeArrowheads="1"/>
                    </pic:cNvPicPr>
                  </pic:nvPicPr>
                  <pic:blipFill rotWithShape="1">
                    <a:blip r:embed="rId90">
                      <a:extLst>
                        <a:ext uri="{28A0092B-C50C-407E-A947-70E740481C1C}">
                          <a14:useLocalDpi xmlns:a14="http://schemas.microsoft.com/office/drawing/2010/main" val="0"/>
                        </a:ext>
                      </a:extLst>
                    </a:blip>
                    <a:srcRect t="4288" r="8554" b="45402"/>
                    <a:stretch/>
                  </pic:blipFill>
                  <pic:spPr bwMode="auto">
                    <a:xfrm>
                      <a:off x="0" y="0"/>
                      <a:ext cx="5588639" cy="4032000"/>
                    </a:xfrm>
                    <a:prstGeom prst="rect">
                      <a:avLst/>
                    </a:prstGeom>
                    <a:noFill/>
                    <a:ln>
                      <a:noFill/>
                    </a:ln>
                    <a:extLst>
                      <a:ext uri="{53640926-AAD7-44D8-BBD7-CCE9431645EC}">
                        <a14:shadowObscured xmlns:a14="http://schemas.microsoft.com/office/drawing/2010/main"/>
                      </a:ext>
                    </a:extLst>
                  </pic:spPr>
                </pic:pic>
              </a:graphicData>
            </a:graphic>
          </wp:inline>
        </w:drawing>
      </w:r>
    </w:p>
    <w:p w14:paraId="1BC5E26D" w14:textId="7B6D3D73" w:rsidR="00EE3A5B" w:rsidRPr="00A9330B" w:rsidRDefault="00EE3A5B" w:rsidP="00EE3A5B">
      <w:pPr>
        <w:jc w:val="both"/>
        <w:rPr>
          <w:rFonts w:eastAsiaTheme="majorEastAsia" w:cstheme="majorBidi"/>
          <w:bCs/>
        </w:rPr>
      </w:pPr>
      <w:r w:rsidRPr="00A9330B">
        <w:rPr>
          <w:rFonts w:eastAsiaTheme="majorEastAsia" w:cstheme="majorBidi"/>
          <w:bCs/>
        </w:rPr>
        <w:lastRenderedPageBreak/>
        <w:t>L’emprise de ce</w:t>
      </w:r>
      <w:r w:rsidR="00457592" w:rsidRPr="00A9330B">
        <w:rPr>
          <w:rFonts w:eastAsiaTheme="majorEastAsia" w:cstheme="majorBidi"/>
          <w:bCs/>
        </w:rPr>
        <w:t>s</w:t>
      </w:r>
      <w:r w:rsidRPr="00A9330B">
        <w:rPr>
          <w:rFonts w:eastAsiaTheme="majorEastAsia" w:cstheme="majorBidi"/>
          <w:bCs/>
        </w:rPr>
        <w:t xml:space="preserve"> collecteur</w:t>
      </w:r>
      <w:r w:rsidR="00457592" w:rsidRPr="00A9330B">
        <w:rPr>
          <w:rFonts w:eastAsiaTheme="majorEastAsia" w:cstheme="majorBidi"/>
          <w:bCs/>
        </w:rPr>
        <w:t>s</w:t>
      </w:r>
      <w:r w:rsidRPr="00A9330B">
        <w:rPr>
          <w:rFonts w:eastAsiaTheme="majorEastAsia" w:cstheme="majorBidi"/>
          <w:bCs/>
        </w:rPr>
        <w:t xml:space="preserve"> est dominée par l’occupation des maisons</w:t>
      </w:r>
      <w:r w:rsidR="00457592" w:rsidRPr="00A9330B">
        <w:rPr>
          <w:rFonts w:eastAsiaTheme="majorEastAsia" w:cstheme="majorBidi"/>
          <w:bCs/>
        </w:rPr>
        <w:t xml:space="preserve"> ensuite</w:t>
      </w:r>
      <w:r w:rsidRPr="00A9330B">
        <w:rPr>
          <w:rFonts w:eastAsiaTheme="majorEastAsia" w:cstheme="majorBidi"/>
          <w:bCs/>
        </w:rPr>
        <w:t xml:space="preserve"> une toilette et un puits.</w:t>
      </w:r>
    </w:p>
    <w:p w14:paraId="4241E88A" w14:textId="7AD00974" w:rsidR="00EE3A5B" w:rsidRPr="00A9330B" w:rsidRDefault="00430D7D" w:rsidP="007025F6">
      <w:pPr>
        <w:jc w:val="center"/>
        <w:rPr>
          <w:b/>
          <w:sz w:val="20"/>
          <w:szCs w:val="20"/>
        </w:rPr>
      </w:pPr>
      <w:bookmarkStart w:id="886" w:name="_Toc51844253"/>
      <w:r w:rsidRPr="00A9330B">
        <w:rPr>
          <w:b/>
          <w:sz w:val="20"/>
          <w:szCs w:val="20"/>
        </w:rPr>
        <w:t xml:space="preserve">Figure </w:t>
      </w:r>
      <w:r w:rsidRPr="00A9330B">
        <w:rPr>
          <w:b/>
          <w:sz w:val="20"/>
          <w:szCs w:val="20"/>
        </w:rPr>
        <w:fldChar w:fldCharType="begin"/>
      </w:r>
      <w:r w:rsidRPr="00A9330B">
        <w:rPr>
          <w:b/>
          <w:sz w:val="20"/>
          <w:szCs w:val="20"/>
        </w:rPr>
        <w:instrText xml:space="preserve"> SEQ Figure \* ARABIC </w:instrText>
      </w:r>
      <w:r w:rsidRPr="00A9330B">
        <w:rPr>
          <w:b/>
          <w:sz w:val="20"/>
          <w:szCs w:val="20"/>
        </w:rPr>
        <w:fldChar w:fldCharType="separate"/>
      </w:r>
      <w:r w:rsidR="007025F6" w:rsidRPr="00A9330B">
        <w:rPr>
          <w:b/>
          <w:noProof/>
          <w:sz w:val="20"/>
          <w:szCs w:val="20"/>
        </w:rPr>
        <w:t>40</w:t>
      </w:r>
      <w:r w:rsidRPr="00A9330B">
        <w:rPr>
          <w:b/>
          <w:sz w:val="20"/>
          <w:szCs w:val="20"/>
        </w:rPr>
        <w:fldChar w:fldCharType="end"/>
      </w:r>
      <w:r w:rsidRPr="00A9330B">
        <w:rPr>
          <w:b/>
          <w:sz w:val="20"/>
          <w:szCs w:val="20"/>
        </w:rPr>
        <w:t xml:space="preserve"> : </w:t>
      </w:r>
      <w:r w:rsidR="00EE3A5B" w:rsidRPr="00A9330B">
        <w:rPr>
          <w:b/>
          <w:sz w:val="20"/>
          <w:szCs w:val="20"/>
        </w:rPr>
        <w:t>Occupation de l’emprise d</w:t>
      </w:r>
      <w:r w:rsidR="00457592" w:rsidRPr="00A9330B">
        <w:rPr>
          <w:b/>
          <w:sz w:val="20"/>
          <w:szCs w:val="20"/>
        </w:rPr>
        <w:t>es</w:t>
      </w:r>
      <w:r w:rsidR="00EE3A5B" w:rsidRPr="00A9330B">
        <w:rPr>
          <w:b/>
          <w:sz w:val="20"/>
          <w:szCs w:val="20"/>
        </w:rPr>
        <w:t xml:space="preserve"> collecteur</w:t>
      </w:r>
      <w:r w:rsidR="00457592" w:rsidRPr="00A9330B">
        <w:rPr>
          <w:b/>
          <w:sz w:val="20"/>
          <w:szCs w:val="20"/>
        </w:rPr>
        <w:t>s</w:t>
      </w:r>
      <w:r w:rsidR="00EE3A5B" w:rsidRPr="00A9330B">
        <w:rPr>
          <w:b/>
          <w:sz w:val="20"/>
          <w:szCs w:val="20"/>
        </w:rPr>
        <w:t xml:space="preserve"> A</w:t>
      </w:r>
      <w:r w:rsidR="006B11E2" w:rsidRPr="00A9330B">
        <w:rPr>
          <w:b/>
          <w:sz w:val="20"/>
          <w:szCs w:val="20"/>
        </w:rPr>
        <w:t>6a</w:t>
      </w:r>
      <w:r w:rsidR="00457592" w:rsidRPr="00A9330B">
        <w:rPr>
          <w:b/>
          <w:sz w:val="20"/>
          <w:szCs w:val="20"/>
        </w:rPr>
        <w:t>4 et A6a2</w:t>
      </w:r>
      <w:r w:rsidR="00EE3A5B" w:rsidRPr="00A9330B">
        <w:rPr>
          <w:b/>
          <w:sz w:val="20"/>
          <w:szCs w:val="20"/>
        </w:rPr>
        <w:t xml:space="preserve"> dans la ville de Natitingou</w:t>
      </w:r>
      <w:bookmarkEnd w:id="886"/>
    </w:p>
    <w:p w14:paraId="4A1D9CBC" w14:textId="6D12A89E" w:rsidR="00A6586F" w:rsidRPr="00A9330B" w:rsidRDefault="00A6586F" w:rsidP="0011523E">
      <w:pPr>
        <w:jc w:val="both"/>
        <w:rPr>
          <w:b/>
          <w:sz w:val="20"/>
          <w:szCs w:val="20"/>
        </w:rPr>
      </w:pPr>
      <w:r w:rsidRPr="00A9330B">
        <w:rPr>
          <w:rFonts w:eastAsiaTheme="majorEastAsia" w:cstheme="majorBidi"/>
          <w:b/>
          <w:bCs/>
          <w:noProof/>
          <w:lang w:eastAsia="fr-FR"/>
        </w:rPr>
        <w:drawing>
          <wp:inline distT="0" distB="0" distL="0" distR="0" wp14:anchorId="7FDBAACF" wp14:editId="6E33B1B1">
            <wp:extent cx="5760720" cy="4171620"/>
            <wp:effectExtent l="0" t="0" r="0" b="635"/>
            <wp:docPr id="3188" name="Image 3188" descr="C:\Users\HP\Desktop\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HP\Desktop\1.png"/>
                    <pic:cNvPicPr>
                      <a:picLocks noChangeAspect="1" noChangeArrowheads="1"/>
                    </pic:cNvPicPr>
                  </pic:nvPicPr>
                  <pic:blipFill rotWithShape="1">
                    <a:blip r:embed="rId91">
                      <a:extLst>
                        <a:ext uri="{28A0092B-C50C-407E-A947-70E740481C1C}">
                          <a14:useLocalDpi xmlns:a14="http://schemas.microsoft.com/office/drawing/2010/main" val="0"/>
                        </a:ext>
                      </a:extLst>
                    </a:blip>
                    <a:srcRect t="3784" r="8215" b="45528"/>
                    <a:stretch/>
                  </pic:blipFill>
                  <pic:spPr bwMode="auto">
                    <a:xfrm>
                      <a:off x="0" y="0"/>
                      <a:ext cx="5760720" cy="4171620"/>
                    </a:xfrm>
                    <a:prstGeom prst="rect">
                      <a:avLst/>
                    </a:prstGeom>
                    <a:noFill/>
                    <a:ln>
                      <a:noFill/>
                    </a:ln>
                    <a:extLst>
                      <a:ext uri="{53640926-AAD7-44D8-BBD7-CCE9431645EC}">
                        <a14:shadowObscured xmlns:a14="http://schemas.microsoft.com/office/drawing/2010/main"/>
                      </a:ext>
                    </a:extLst>
                  </pic:spPr>
                </pic:pic>
              </a:graphicData>
            </a:graphic>
          </wp:inline>
        </w:drawing>
      </w:r>
    </w:p>
    <w:p w14:paraId="6D688EC6" w14:textId="125326F4" w:rsidR="00457592" w:rsidRPr="00A9330B" w:rsidRDefault="00AF5D59" w:rsidP="00457592">
      <w:pPr>
        <w:spacing w:line="240" w:lineRule="auto"/>
        <w:jc w:val="both"/>
        <w:rPr>
          <w:rFonts w:eastAsiaTheme="majorEastAsia" w:cstheme="majorBidi"/>
          <w:bCs/>
        </w:rPr>
      </w:pPr>
      <w:r w:rsidRPr="00A9330B">
        <w:rPr>
          <w:rFonts w:eastAsiaTheme="majorEastAsia" w:cstheme="majorBidi"/>
          <w:bCs/>
        </w:rPr>
        <w:t>L’emprise du collecteur A6a4 est occupée par des maisons, des clôtures et de cuisine. Par contre le collecteur A6a2</w:t>
      </w:r>
      <w:r w:rsidR="00CE65F7" w:rsidRPr="00A9330B">
        <w:rPr>
          <w:rFonts w:eastAsiaTheme="majorEastAsia" w:cstheme="majorBidi"/>
          <w:bCs/>
        </w:rPr>
        <w:t xml:space="preserve"> est moins occupé. </w:t>
      </w:r>
      <w:r w:rsidRPr="00A9330B">
        <w:rPr>
          <w:rFonts w:eastAsiaTheme="majorEastAsia" w:cstheme="majorBidi"/>
          <w:bCs/>
        </w:rPr>
        <w:t xml:space="preserve">  </w:t>
      </w:r>
    </w:p>
    <w:p w14:paraId="23CE8AF3" w14:textId="77777777" w:rsidR="00AF5D59" w:rsidRPr="00A9330B" w:rsidRDefault="00AF5D59" w:rsidP="00457592">
      <w:pPr>
        <w:spacing w:line="240" w:lineRule="auto"/>
        <w:jc w:val="both"/>
        <w:rPr>
          <w:rFonts w:eastAsiaTheme="majorEastAsia" w:cstheme="majorBidi"/>
          <w:bCs/>
        </w:rPr>
      </w:pPr>
    </w:p>
    <w:p w14:paraId="4A4BFFBF" w14:textId="77777777" w:rsidR="00430D7D" w:rsidRPr="00A9330B" w:rsidRDefault="00430D7D">
      <w:pPr>
        <w:spacing w:before="0" w:after="160" w:line="259" w:lineRule="auto"/>
        <w:rPr>
          <w:rFonts w:eastAsiaTheme="majorEastAsia" w:cstheme="majorBidi"/>
          <w:b/>
          <w:caps/>
          <w:color w:val="00B050"/>
          <w:sz w:val="30"/>
          <w:szCs w:val="30"/>
        </w:rPr>
      </w:pPr>
      <w:bookmarkStart w:id="887" w:name="_Toc43697654"/>
      <w:r w:rsidRPr="00A9330B">
        <w:rPr>
          <w:rFonts w:eastAsiaTheme="majorEastAsia" w:cstheme="majorBidi"/>
          <w:b/>
          <w:caps/>
          <w:color w:val="00B050"/>
          <w:sz w:val="30"/>
          <w:szCs w:val="30"/>
        </w:rPr>
        <w:br w:type="page"/>
      </w:r>
    </w:p>
    <w:p w14:paraId="064E3A2D" w14:textId="4F45F81B" w:rsidR="00401546" w:rsidRPr="00A9330B" w:rsidRDefault="00401546" w:rsidP="00401546">
      <w:pPr>
        <w:keepNext/>
        <w:keepLines/>
        <w:spacing w:line="240" w:lineRule="auto"/>
        <w:outlineLvl w:val="0"/>
        <w:rPr>
          <w:rFonts w:eastAsiaTheme="majorEastAsia" w:cstheme="majorBidi"/>
          <w:b/>
          <w:caps/>
          <w:color w:val="00B050"/>
          <w:sz w:val="30"/>
          <w:szCs w:val="30"/>
        </w:rPr>
      </w:pPr>
      <w:bookmarkStart w:id="888" w:name="_Toc52869657"/>
      <w:bookmarkStart w:id="889" w:name="_Toc52869844"/>
      <w:r w:rsidRPr="00A9330B">
        <w:rPr>
          <w:rFonts w:eastAsiaTheme="majorEastAsia" w:cstheme="majorBidi"/>
          <w:b/>
          <w:caps/>
          <w:color w:val="00B050"/>
          <w:sz w:val="30"/>
          <w:szCs w:val="30"/>
        </w:rPr>
        <w:lastRenderedPageBreak/>
        <w:t>6. ANALYSE DES choix et VARIANTES DU PROJET</w:t>
      </w:r>
      <w:bookmarkEnd w:id="887"/>
      <w:bookmarkEnd w:id="888"/>
      <w:bookmarkEnd w:id="889"/>
      <w:r w:rsidRPr="00A9330B">
        <w:rPr>
          <w:rFonts w:eastAsiaTheme="majorEastAsia" w:cstheme="majorBidi"/>
          <w:b/>
          <w:caps/>
          <w:color w:val="00B050"/>
          <w:sz w:val="30"/>
          <w:szCs w:val="30"/>
        </w:rPr>
        <w:t xml:space="preserve">  </w:t>
      </w:r>
    </w:p>
    <w:p w14:paraId="021A71C5" w14:textId="77777777" w:rsidR="00401546" w:rsidRPr="00A9330B" w:rsidRDefault="00401546" w:rsidP="00401546">
      <w:pPr>
        <w:keepNext/>
        <w:keepLines/>
        <w:spacing w:before="200" w:line="276" w:lineRule="auto"/>
        <w:outlineLvl w:val="1"/>
        <w:rPr>
          <w:b/>
          <w:caps/>
          <w:sz w:val="26"/>
        </w:rPr>
      </w:pPr>
      <w:bookmarkStart w:id="890" w:name="_Toc535244587"/>
      <w:bookmarkStart w:id="891" w:name="_Toc43697655"/>
      <w:bookmarkStart w:id="892" w:name="_Toc52869658"/>
      <w:bookmarkStart w:id="893" w:name="_Toc52869845"/>
      <w:r w:rsidRPr="00A9330B">
        <w:rPr>
          <w:b/>
          <w:caps/>
          <w:sz w:val="26"/>
        </w:rPr>
        <w:t xml:space="preserve">6.1. ANALYSE DES </w:t>
      </w:r>
      <w:bookmarkEnd w:id="890"/>
      <w:r w:rsidRPr="00A9330B">
        <w:rPr>
          <w:b/>
          <w:caps/>
          <w:sz w:val="26"/>
        </w:rPr>
        <w:t>variantes</w:t>
      </w:r>
      <w:bookmarkEnd w:id="891"/>
      <w:bookmarkEnd w:id="892"/>
      <w:bookmarkEnd w:id="893"/>
      <w:r w:rsidRPr="00A9330B">
        <w:rPr>
          <w:b/>
          <w:caps/>
          <w:sz w:val="26"/>
        </w:rPr>
        <w:t xml:space="preserve">  </w:t>
      </w:r>
    </w:p>
    <w:p w14:paraId="4B8B467E" w14:textId="77777777" w:rsidR="00401546" w:rsidRPr="00A9330B" w:rsidRDefault="00401546" w:rsidP="00401546">
      <w:pPr>
        <w:jc w:val="both"/>
      </w:pPr>
      <w:r w:rsidRPr="00A9330B">
        <w:t>Au cours de la conception du programme plusieurs hypothèses ont été évaluées. Ces différentes formes de conception ont été nécessaires pour opérer un choix optimal.</w:t>
      </w:r>
    </w:p>
    <w:p w14:paraId="391C24E5" w14:textId="77777777" w:rsidR="00401546" w:rsidRPr="00A9330B" w:rsidRDefault="00401546" w:rsidP="00401546">
      <w:pPr>
        <w:jc w:val="both"/>
      </w:pPr>
      <w:r w:rsidRPr="00A9330B">
        <w:t xml:space="preserve">Étant donné qu’en général le projet est une construction des ouvrages de drainage, les possibilités d’alternatives et de variantes sont limitées. </w:t>
      </w:r>
    </w:p>
    <w:p w14:paraId="07C03CDC" w14:textId="77777777" w:rsidR="00401546" w:rsidRPr="00A9330B" w:rsidRDefault="00401546" w:rsidP="00401546">
      <w:pPr>
        <w:suppressAutoHyphens/>
        <w:spacing w:line="240" w:lineRule="auto"/>
        <w:ind w:left="720"/>
        <w:outlineLvl w:val="2"/>
        <w:rPr>
          <w:rFonts w:eastAsiaTheme="majorEastAsia" w:cstheme="majorBidi"/>
          <w:i/>
          <w:color w:val="auto"/>
          <w:sz w:val="26"/>
          <w:szCs w:val="24"/>
        </w:rPr>
      </w:pPr>
      <w:bookmarkStart w:id="894" w:name="_Toc43697656"/>
      <w:bookmarkStart w:id="895" w:name="_Toc45520859"/>
      <w:bookmarkStart w:id="896" w:name="_Toc52869659"/>
      <w:r w:rsidRPr="00A9330B">
        <w:rPr>
          <w:rFonts w:eastAsiaTheme="majorEastAsia" w:cstheme="majorBidi"/>
          <w:i/>
          <w:color w:val="auto"/>
          <w:sz w:val="26"/>
          <w:szCs w:val="24"/>
        </w:rPr>
        <w:t>6.1.1. Analyse des variantes de Collecteurs</w:t>
      </w:r>
      <w:bookmarkEnd w:id="894"/>
      <w:bookmarkEnd w:id="895"/>
      <w:bookmarkEnd w:id="896"/>
      <w:r w:rsidRPr="00A9330B">
        <w:rPr>
          <w:rFonts w:eastAsiaTheme="majorEastAsia" w:cstheme="majorBidi"/>
          <w:i/>
          <w:color w:val="auto"/>
          <w:sz w:val="26"/>
          <w:szCs w:val="24"/>
        </w:rPr>
        <w:t xml:space="preserve">  </w:t>
      </w:r>
    </w:p>
    <w:p w14:paraId="74EB8B53" w14:textId="6F9AD151" w:rsidR="00401546" w:rsidRPr="00A9330B" w:rsidRDefault="00401546" w:rsidP="00401546">
      <w:r w:rsidRPr="00A9330B">
        <w:t>Suivant le</w:t>
      </w:r>
      <w:r w:rsidR="000B29BE" w:rsidRPr="00A9330B">
        <w:t xml:space="preserve"> Plan Directeur d’assainissement (</w:t>
      </w:r>
      <w:r w:rsidRPr="00A9330B">
        <w:t>PDA</w:t>
      </w:r>
      <w:r w:rsidR="000B29BE" w:rsidRPr="00A9330B">
        <w:t>)</w:t>
      </w:r>
      <w:r w:rsidRPr="00A9330B">
        <w:t xml:space="preserve"> et les informations recueillies sur le terrain, la commune de </w:t>
      </w:r>
      <w:r w:rsidR="00BA7D70" w:rsidRPr="00A9330B">
        <w:t xml:space="preserve">Natitingou </w:t>
      </w:r>
      <w:r w:rsidRPr="00A9330B">
        <w:t>est répartie sur 8 grands bassins dont les exutoires des r</w:t>
      </w:r>
      <w:r w:rsidR="001E0555" w:rsidRPr="00A9330B">
        <w:t xml:space="preserve">uisseaux qui </w:t>
      </w:r>
      <w:r w:rsidR="00430D7D" w:rsidRPr="00A9330B">
        <w:t>alimentent le</w:t>
      </w:r>
      <w:r w:rsidRPr="00A9330B">
        <w:t xml:space="preserve"> fleuve Ouémé</w:t>
      </w:r>
      <w:r w:rsidR="001E0555" w:rsidRPr="00A9330B">
        <w:t xml:space="preserve"> </w:t>
      </w:r>
      <w:r w:rsidRPr="00A9330B">
        <w:t>Les couloirs d’écoulement des eaux pluviales ont deux formes principales : les rigoles bien prononcées et les Chemins d’eau étendus.</w:t>
      </w:r>
      <w:r w:rsidRPr="00A9330B">
        <w:rPr>
          <w:rFonts w:ascii="Century Gothic" w:eastAsia="Times New Roman" w:hAnsi="Century Gothic" w:cs="Arial"/>
        </w:rPr>
        <w:t xml:space="preserve"> </w:t>
      </w:r>
      <w:r w:rsidRPr="00A9330B">
        <w:t>L’analyse des variantes se fera suivant un critère : les formes des collecteurs et leur positionnement (central ou latéral).</w:t>
      </w:r>
    </w:p>
    <w:p w14:paraId="0B4CF354" w14:textId="3B76AE0A" w:rsidR="00401546" w:rsidRPr="00A9330B" w:rsidRDefault="001E0555" w:rsidP="00BD2F72">
      <w:pPr>
        <w:numPr>
          <w:ilvl w:val="0"/>
          <w:numId w:val="58"/>
        </w:numPr>
        <w:overflowPunct w:val="0"/>
        <w:autoSpaceDE w:val="0"/>
        <w:autoSpaceDN w:val="0"/>
        <w:adjustRightInd w:val="0"/>
        <w:spacing w:line="288" w:lineRule="auto"/>
        <w:contextualSpacing/>
        <w:rPr>
          <w:rFonts w:eastAsia="Times New Roman" w:cs="Times New Roman"/>
          <w:b/>
          <w:szCs w:val="20"/>
          <w:lang w:eastAsia="de-DE"/>
        </w:rPr>
      </w:pPr>
      <w:r w:rsidRPr="00A9330B">
        <w:rPr>
          <w:rFonts w:eastAsia="Times New Roman" w:cs="Times New Roman"/>
          <w:b/>
          <w:szCs w:val="20"/>
          <w:lang w:eastAsia="de-DE"/>
        </w:rPr>
        <w:t>Forme des collecteurs</w:t>
      </w:r>
    </w:p>
    <w:p w14:paraId="221FA0E1" w14:textId="77777777" w:rsidR="00401546" w:rsidRPr="00A9330B" w:rsidRDefault="00401546" w:rsidP="00401546">
      <w:pPr>
        <w:jc w:val="both"/>
      </w:pPr>
      <w:r w:rsidRPr="00A9330B">
        <w:t xml:space="preserve">L’aménagement de la plupart des couloirs d’eau, se fera suivant deux variantes : </w:t>
      </w:r>
    </w:p>
    <w:p w14:paraId="326B9688" w14:textId="77777777" w:rsidR="00401546" w:rsidRPr="00A9330B" w:rsidRDefault="00401546" w:rsidP="00BD2F72">
      <w:pPr>
        <w:numPr>
          <w:ilvl w:val="0"/>
          <w:numId w:val="57"/>
        </w:numPr>
        <w:overflowPunct w:val="0"/>
        <w:autoSpaceDE w:val="0"/>
        <w:autoSpaceDN w:val="0"/>
        <w:adjustRightInd w:val="0"/>
        <w:spacing w:line="288" w:lineRule="auto"/>
        <w:contextualSpacing/>
        <w:rPr>
          <w:rFonts w:eastAsia="Times New Roman" w:cs="Times New Roman"/>
          <w:szCs w:val="20"/>
          <w:lang w:eastAsia="de-DE"/>
        </w:rPr>
      </w:pPr>
      <w:r w:rsidRPr="00A9330B">
        <w:rPr>
          <w:rFonts w:eastAsia="Times New Roman" w:cs="Times New Roman"/>
          <w:szCs w:val="20"/>
          <w:lang w:eastAsia="de-DE"/>
        </w:rPr>
        <w:t>Variante A : les collecteurs à ciel ouvert de forme trapézoïdale,</w:t>
      </w:r>
    </w:p>
    <w:p w14:paraId="647A9B1F" w14:textId="77777777" w:rsidR="00401546" w:rsidRPr="00A9330B" w:rsidRDefault="00401546" w:rsidP="00BD2F72">
      <w:pPr>
        <w:numPr>
          <w:ilvl w:val="0"/>
          <w:numId w:val="57"/>
        </w:numPr>
        <w:overflowPunct w:val="0"/>
        <w:autoSpaceDE w:val="0"/>
        <w:autoSpaceDN w:val="0"/>
        <w:adjustRightInd w:val="0"/>
        <w:spacing w:line="288" w:lineRule="auto"/>
        <w:contextualSpacing/>
        <w:rPr>
          <w:rFonts w:eastAsia="Times New Roman" w:cs="Times New Roman"/>
          <w:szCs w:val="20"/>
          <w:lang w:eastAsia="de-DE"/>
        </w:rPr>
      </w:pPr>
      <w:r w:rsidRPr="00A9330B">
        <w:rPr>
          <w:rFonts w:eastAsia="Times New Roman" w:cs="Times New Roman"/>
          <w:szCs w:val="20"/>
          <w:lang w:eastAsia="de-DE"/>
        </w:rPr>
        <w:t>Variante B : les collecteurs cadre fermés.</w:t>
      </w:r>
    </w:p>
    <w:p w14:paraId="4E9DEB8C" w14:textId="77777777" w:rsidR="00401546" w:rsidRPr="00A9330B" w:rsidRDefault="00401546" w:rsidP="00401546">
      <w:pPr>
        <w:jc w:val="both"/>
      </w:pPr>
      <w:r w:rsidRPr="00A9330B">
        <w:t>Le choix des variantes d’aménagements dépend de plusieurs critères suivants :</w:t>
      </w:r>
    </w:p>
    <w:p w14:paraId="1B623A4B" w14:textId="77777777" w:rsidR="00401546" w:rsidRPr="00A9330B" w:rsidRDefault="00401546" w:rsidP="00BD2F72">
      <w:pPr>
        <w:numPr>
          <w:ilvl w:val="0"/>
          <w:numId w:val="59"/>
        </w:numPr>
        <w:overflowPunct w:val="0"/>
        <w:autoSpaceDE w:val="0"/>
        <w:autoSpaceDN w:val="0"/>
        <w:adjustRightInd w:val="0"/>
        <w:spacing w:line="288" w:lineRule="auto"/>
        <w:contextualSpacing/>
        <w:rPr>
          <w:rFonts w:eastAsia="Times New Roman" w:cs="Times New Roman"/>
          <w:szCs w:val="20"/>
          <w:lang w:eastAsia="fr-FR"/>
        </w:rPr>
      </w:pPr>
      <w:r w:rsidRPr="00A9330B">
        <w:rPr>
          <w:rFonts w:eastAsia="Times New Roman" w:cs="Times New Roman"/>
          <w:szCs w:val="20"/>
          <w:lang w:eastAsia="fr-FR"/>
        </w:rPr>
        <w:t>Efficacité du drainage</w:t>
      </w:r>
    </w:p>
    <w:p w14:paraId="22632052" w14:textId="77777777" w:rsidR="00401546" w:rsidRPr="00A9330B" w:rsidRDefault="00401546" w:rsidP="00BD2F72">
      <w:pPr>
        <w:numPr>
          <w:ilvl w:val="0"/>
          <w:numId w:val="59"/>
        </w:numPr>
        <w:overflowPunct w:val="0"/>
        <w:autoSpaceDE w:val="0"/>
        <w:autoSpaceDN w:val="0"/>
        <w:adjustRightInd w:val="0"/>
        <w:spacing w:line="288" w:lineRule="auto"/>
        <w:contextualSpacing/>
        <w:rPr>
          <w:rFonts w:eastAsia="Times New Roman" w:cs="Times New Roman"/>
          <w:szCs w:val="20"/>
          <w:lang w:eastAsia="de-DE"/>
        </w:rPr>
      </w:pPr>
      <w:r w:rsidRPr="00A9330B">
        <w:rPr>
          <w:rFonts w:eastAsia="Times New Roman" w:cs="Times New Roman"/>
          <w:bCs/>
          <w:szCs w:val="20"/>
          <w:lang w:eastAsia="fr-FR"/>
        </w:rPr>
        <w:t>Difficulté technique (occupation du sol)</w:t>
      </w:r>
    </w:p>
    <w:p w14:paraId="4FDBB1CB" w14:textId="77777777" w:rsidR="00401546" w:rsidRPr="00A9330B" w:rsidRDefault="00401546" w:rsidP="00BD2F72">
      <w:pPr>
        <w:numPr>
          <w:ilvl w:val="0"/>
          <w:numId w:val="59"/>
        </w:numPr>
        <w:overflowPunct w:val="0"/>
        <w:autoSpaceDE w:val="0"/>
        <w:autoSpaceDN w:val="0"/>
        <w:adjustRightInd w:val="0"/>
        <w:spacing w:line="288" w:lineRule="auto"/>
        <w:contextualSpacing/>
        <w:rPr>
          <w:rFonts w:eastAsia="Times New Roman" w:cs="Times New Roman"/>
          <w:bCs/>
          <w:szCs w:val="20"/>
          <w:lang w:eastAsia="fr-FR"/>
        </w:rPr>
      </w:pPr>
      <w:r w:rsidRPr="00A9330B">
        <w:rPr>
          <w:rFonts w:eastAsia="Times New Roman" w:cs="Times New Roman"/>
          <w:bCs/>
          <w:szCs w:val="20"/>
          <w:lang w:eastAsia="fr-FR"/>
        </w:rPr>
        <w:t xml:space="preserve">Coût de construction </w:t>
      </w:r>
    </w:p>
    <w:p w14:paraId="3A40A7F1" w14:textId="77777777" w:rsidR="00401546" w:rsidRPr="00A9330B" w:rsidRDefault="00401546" w:rsidP="00BD2F72">
      <w:pPr>
        <w:numPr>
          <w:ilvl w:val="0"/>
          <w:numId w:val="59"/>
        </w:numPr>
        <w:overflowPunct w:val="0"/>
        <w:autoSpaceDE w:val="0"/>
        <w:autoSpaceDN w:val="0"/>
        <w:adjustRightInd w:val="0"/>
        <w:spacing w:line="288" w:lineRule="auto"/>
        <w:contextualSpacing/>
        <w:rPr>
          <w:rFonts w:eastAsia="Times New Roman" w:cs="Times New Roman"/>
          <w:szCs w:val="20"/>
          <w:lang w:eastAsia="de-DE"/>
        </w:rPr>
      </w:pPr>
      <w:r w:rsidRPr="00A9330B">
        <w:rPr>
          <w:rFonts w:eastAsia="Times New Roman" w:cs="Times New Roman"/>
          <w:szCs w:val="20"/>
          <w:lang w:eastAsia="de-DE"/>
        </w:rPr>
        <w:t>Durabilité de l’ouvrage</w:t>
      </w:r>
    </w:p>
    <w:p w14:paraId="5D77914E" w14:textId="77777777" w:rsidR="00401546" w:rsidRPr="00A9330B" w:rsidRDefault="00401546" w:rsidP="00BD2F72">
      <w:pPr>
        <w:numPr>
          <w:ilvl w:val="0"/>
          <w:numId w:val="59"/>
        </w:numPr>
        <w:overflowPunct w:val="0"/>
        <w:autoSpaceDE w:val="0"/>
        <w:autoSpaceDN w:val="0"/>
        <w:adjustRightInd w:val="0"/>
        <w:spacing w:line="288" w:lineRule="auto"/>
        <w:contextualSpacing/>
        <w:rPr>
          <w:rFonts w:eastAsia="Times New Roman" w:cs="Times New Roman"/>
          <w:szCs w:val="20"/>
          <w:lang w:eastAsia="de-DE"/>
        </w:rPr>
      </w:pPr>
      <w:r w:rsidRPr="00A9330B">
        <w:rPr>
          <w:rFonts w:eastAsia="Times New Roman" w:cs="Times New Roman"/>
          <w:szCs w:val="20"/>
          <w:lang w:eastAsia="de-DE"/>
        </w:rPr>
        <w:t>Facilité d’entretien</w:t>
      </w:r>
    </w:p>
    <w:p w14:paraId="4F0E457C" w14:textId="77777777" w:rsidR="00401546" w:rsidRPr="00A9330B" w:rsidRDefault="00401546" w:rsidP="00BD2F72">
      <w:pPr>
        <w:numPr>
          <w:ilvl w:val="0"/>
          <w:numId w:val="59"/>
        </w:numPr>
        <w:overflowPunct w:val="0"/>
        <w:autoSpaceDE w:val="0"/>
        <w:autoSpaceDN w:val="0"/>
        <w:adjustRightInd w:val="0"/>
        <w:spacing w:line="288" w:lineRule="auto"/>
        <w:contextualSpacing/>
        <w:rPr>
          <w:rFonts w:eastAsia="Times New Roman" w:cs="Times New Roman"/>
          <w:szCs w:val="20"/>
          <w:lang w:eastAsia="de-DE"/>
        </w:rPr>
      </w:pPr>
      <w:r w:rsidRPr="00A9330B">
        <w:rPr>
          <w:rFonts w:eastAsia="Times New Roman" w:cs="Times New Roman"/>
          <w:szCs w:val="20"/>
          <w:lang w:eastAsia="de-DE"/>
        </w:rPr>
        <w:t>Risque de dégradation de l’ouvrage</w:t>
      </w:r>
    </w:p>
    <w:p w14:paraId="718C9251" w14:textId="250E8122" w:rsidR="00401546" w:rsidRPr="00A9330B" w:rsidRDefault="00401546" w:rsidP="00401546">
      <w:pPr>
        <w:spacing w:after="120"/>
        <w:ind w:left="357"/>
        <w:rPr>
          <w:b/>
          <w:sz w:val="20"/>
          <w:szCs w:val="20"/>
        </w:rPr>
      </w:pPr>
      <w:bookmarkStart w:id="897" w:name="_Toc43696242"/>
      <w:bookmarkStart w:id="898" w:name="_Toc52873753"/>
      <w:r w:rsidRPr="00A9330B">
        <w:rPr>
          <w:b/>
          <w:sz w:val="20"/>
          <w:szCs w:val="20"/>
        </w:rPr>
        <w:t xml:space="preserve">Tableau </w:t>
      </w:r>
      <w:r w:rsidRPr="00A9330B">
        <w:rPr>
          <w:b/>
          <w:sz w:val="20"/>
          <w:szCs w:val="20"/>
        </w:rPr>
        <w:fldChar w:fldCharType="begin"/>
      </w:r>
      <w:r w:rsidRPr="00A9330B">
        <w:rPr>
          <w:b/>
          <w:sz w:val="20"/>
          <w:szCs w:val="20"/>
        </w:rPr>
        <w:instrText xml:space="preserve"> SEQ Tableau \* ARABIC </w:instrText>
      </w:r>
      <w:r w:rsidRPr="00A9330B">
        <w:rPr>
          <w:b/>
          <w:sz w:val="20"/>
          <w:szCs w:val="20"/>
        </w:rPr>
        <w:fldChar w:fldCharType="separate"/>
      </w:r>
      <w:r w:rsidR="007025F6" w:rsidRPr="00A9330B">
        <w:rPr>
          <w:b/>
          <w:noProof/>
          <w:sz w:val="20"/>
          <w:szCs w:val="20"/>
        </w:rPr>
        <w:t>29</w:t>
      </w:r>
      <w:r w:rsidRPr="00A9330B">
        <w:rPr>
          <w:b/>
          <w:sz w:val="20"/>
          <w:szCs w:val="20"/>
        </w:rPr>
        <w:fldChar w:fldCharType="end"/>
      </w:r>
      <w:r w:rsidRPr="00A9330B">
        <w:rPr>
          <w:b/>
          <w:sz w:val="20"/>
          <w:szCs w:val="20"/>
        </w:rPr>
        <w:t> : Variante forme</w:t>
      </w:r>
      <w:bookmarkEnd w:id="897"/>
      <w:bookmarkEnd w:id="898"/>
      <w:r w:rsidRPr="00A9330B">
        <w:rPr>
          <w:b/>
          <w:sz w:val="20"/>
          <w:szCs w:val="20"/>
        </w:rPr>
        <w:t xml:space="preserve"> </w:t>
      </w:r>
    </w:p>
    <w:tbl>
      <w:tblPr>
        <w:tblStyle w:val="Grilledutableau"/>
        <w:tblW w:w="0" w:type="auto"/>
        <w:tblInd w:w="357" w:type="dxa"/>
        <w:tblLook w:val="04A0" w:firstRow="1" w:lastRow="0" w:firstColumn="1" w:lastColumn="0" w:noHBand="0" w:noVBand="1"/>
      </w:tblPr>
      <w:tblGrid>
        <w:gridCol w:w="2539"/>
        <w:gridCol w:w="1532"/>
        <w:gridCol w:w="1628"/>
        <w:gridCol w:w="1495"/>
        <w:gridCol w:w="1511"/>
      </w:tblGrid>
      <w:tr w:rsidR="00401546" w:rsidRPr="00A9330B" w14:paraId="3F7E8C74" w14:textId="77777777" w:rsidTr="00401546">
        <w:tc>
          <w:tcPr>
            <w:tcW w:w="2362" w:type="dxa"/>
          </w:tcPr>
          <w:p w14:paraId="38D61953" w14:textId="77777777" w:rsidR="00401546" w:rsidRPr="00A9330B" w:rsidRDefault="00401546" w:rsidP="007025F6">
            <w:pPr>
              <w:spacing w:before="40" w:line="240" w:lineRule="auto"/>
              <w:rPr>
                <w:rFonts w:cs="Arial"/>
                <w:b/>
                <w:sz w:val="20"/>
                <w:szCs w:val="20"/>
              </w:rPr>
            </w:pPr>
            <w:r w:rsidRPr="00A9330B">
              <w:rPr>
                <w:rFonts w:cs="Arial"/>
                <w:b/>
                <w:sz w:val="20"/>
                <w:szCs w:val="20"/>
                <w:lang w:eastAsia="fr-FR"/>
              </w:rPr>
              <w:t>Critères de comparaison</w:t>
            </w:r>
          </w:p>
        </w:tc>
        <w:tc>
          <w:tcPr>
            <w:tcW w:w="1591" w:type="dxa"/>
          </w:tcPr>
          <w:p w14:paraId="08964E36" w14:textId="77777777" w:rsidR="00401546" w:rsidRPr="00A9330B" w:rsidRDefault="00401546" w:rsidP="007025F6">
            <w:pPr>
              <w:spacing w:before="40" w:line="240" w:lineRule="auto"/>
              <w:rPr>
                <w:rFonts w:cs="Arial"/>
                <w:b/>
                <w:sz w:val="20"/>
                <w:szCs w:val="20"/>
                <w:lang w:eastAsia="fr-FR"/>
              </w:rPr>
            </w:pPr>
            <w:r w:rsidRPr="00A9330B">
              <w:rPr>
                <w:rFonts w:cs="Arial"/>
                <w:b/>
                <w:sz w:val="20"/>
                <w:szCs w:val="20"/>
                <w:lang w:eastAsia="fr-FR"/>
              </w:rPr>
              <w:t>Variante A</w:t>
            </w:r>
          </w:p>
          <w:p w14:paraId="094324EB" w14:textId="77777777" w:rsidR="00401546" w:rsidRPr="00A9330B" w:rsidRDefault="00401546" w:rsidP="007025F6">
            <w:pPr>
              <w:spacing w:before="40" w:line="240" w:lineRule="auto"/>
              <w:rPr>
                <w:rFonts w:cs="Arial"/>
                <w:b/>
                <w:sz w:val="20"/>
                <w:szCs w:val="20"/>
                <w:lang w:eastAsia="fr-FR"/>
              </w:rPr>
            </w:pPr>
            <w:r w:rsidRPr="00A9330B">
              <w:rPr>
                <w:rFonts w:cs="Arial"/>
                <w:b/>
                <w:sz w:val="20"/>
                <w:szCs w:val="20"/>
                <w:lang w:eastAsia="fr-FR"/>
              </w:rPr>
              <w:t>Collecteur à ciel ouvert</w:t>
            </w:r>
          </w:p>
        </w:tc>
        <w:tc>
          <w:tcPr>
            <w:tcW w:w="1682" w:type="dxa"/>
          </w:tcPr>
          <w:p w14:paraId="6FEC00CB" w14:textId="77777777" w:rsidR="00401546" w:rsidRPr="00A9330B" w:rsidRDefault="00401546" w:rsidP="007025F6">
            <w:pPr>
              <w:spacing w:before="40" w:line="240" w:lineRule="auto"/>
              <w:rPr>
                <w:rFonts w:cs="Arial"/>
                <w:b/>
                <w:sz w:val="20"/>
                <w:szCs w:val="20"/>
                <w:lang w:eastAsia="fr-FR"/>
              </w:rPr>
            </w:pPr>
            <w:r w:rsidRPr="00A9330B">
              <w:rPr>
                <w:rFonts w:cs="Arial"/>
                <w:b/>
                <w:sz w:val="20"/>
                <w:szCs w:val="20"/>
                <w:lang w:eastAsia="fr-FR"/>
              </w:rPr>
              <w:t>Variante B</w:t>
            </w:r>
          </w:p>
          <w:p w14:paraId="4BE75924" w14:textId="77777777" w:rsidR="00401546" w:rsidRPr="00A9330B" w:rsidRDefault="00401546" w:rsidP="007025F6">
            <w:pPr>
              <w:spacing w:before="40" w:line="240" w:lineRule="auto"/>
              <w:rPr>
                <w:rFonts w:cs="Arial"/>
                <w:b/>
                <w:sz w:val="20"/>
                <w:szCs w:val="20"/>
              </w:rPr>
            </w:pPr>
            <w:r w:rsidRPr="00A9330B">
              <w:rPr>
                <w:rFonts w:cs="Arial"/>
                <w:b/>
                <w:sz w:val="20"/>
                <w:szCs w:val="20"/>
                <w:lang w:eastAsia="fr-FR"/>
              </w:rPr>
              <w:t>Collecteur cadre</w:t>
            </w:r>
          </w:p>
        </w:tc>
        <w:tc>
          <w:tcPr>
            <w:tcW w:w="1470" w:type="dxa"/>
          </w:tcPr>
          <w:p w14:paraId="05539B6A" w14:textId="77777777" w:rsidR="00401546" w:rsidRPr="00A9330B" w:rsidRDefault="00401546" w:rsidP="007025F6">
            <w:pPr>
              <w:spacing w:before="40" w:line="240" w:lineRule="auto"/>
              <w:rPr>
                <w:rFonts w:cs="Arial"/>
                <w:b/>
                <w:sz w:val="20"/>
                <w:szCs w:val="20"/>
              </w:rPr>
            </w:pPr>
            <w:r w:rsidRPr="00A9330B">
              <w:rPr>
                <w:rFonts w:cs="Arial"/>
                <w:b/>
                <w:sz w:val="20"/>
                <w:szCs w:val="20"/>
              </w:rPr>
              <w:t>Commentaire</w:t>
            </w:r>
          </w:p>
        </w:tc>
        <w:tc>
          <w:tcPr>
            <w:tcW w:w="1600" w:type="dxa"/>
          </w:tcPr>
          <w:p w14:paraId="737DE31C" w14:textId="77777777" w:rsidR="00401546" w:rsidRPr="00A9330B" w:rsidRDefault="00401546" w:rsidP="007025F6">
            <w:pPr>
              <w:spacing w:before="40" w:line="240" w:lineRule="auto"/>
              <w:rPr>
                <w:rFonts w:cs="Arial"/>
                <w:b/>
                <w:sz w:val="20"/>
                <w:szCs w:val="20"/>
              </w:rPr>
            </w:pPr>
            <w:r w:rsidRPr="00A9330B">
              <w:rPr>
                <w:rFonts w:cs="Arial"/>
                <w:b/>
                <w:sz w:val="20"/>
                <w:szCs w:val="20"/>
              </w:rPr>
              <w:t>Résultat</w:t>
            </w:r>
          </w:p>
        </w:tc>
      </w:tr>
      <w:tr w:rsidR="00401546" w:rsidRPr="00A9330B" w14:paraId="4DA9C9D8" w14:textId="77777777" w:rsidTr="00401546">
        <w:tc>
          <w:tcPr>
            <w:tcW w:w="5635" w:type="dxa"/>
            <w:gridSpan w:val="3"/>
          </w:tcPr>
          <w:p w14:paraId="74DF0B8A" w14:textId="77777777" w:rsidR="00401546" w:rsidRPr="00A9330B" w:rsidRDefault="00401546" w:rsidP="007025F6">
            <w:pPr>
              <w:spacing w:before="40" w:line="240" w:lineRule="auto"/>
              <w:rPr>
                <w:rFonts w:cs="Arial"/>
                <w:b/>
                <w:sz w:val="20"/>
                <w:szCs w:val="20"/>
                <w:lang w:eastAsia="fr-FR"/>
              </w:rPr>
            </w:pPr>
            <w:r w:rsidRPr="00A9330B">
              <w:rPr>
                <w:rFonts w:cs="Arial"/>
                <w:b/>
                <w:sz w:val="20"/>
                <w:szCs w:val="20"/>
                <w:lang w:eastAsia="fr-FR"/>
              </w:rPr>
              <w:t xml:space="preserve">Critères techniques  </w:t>
            </w:r>
          </w:p>
        </w:tc>
        <w:tc>
          <w:tcPr>
            <w:tcW w:w="1470" w:type="dxa"/>
          </w:tcPr>
          <w:p w14:paraId="2BCA9F53" w14:textId="77777777" w:rsidR="00401546" w:rsidRPr="00A9330B" w:rsidRDefault="00401546" w:rsidP="007025F6">
            <w:pPr>
              <w:spacing w:before="40" w:line="240" w:lineRule="auto"/>
              <w:rPr>
                <w:rFonts w:cs="Arial"/>
                <w:b/>
                <w:sz w:val="20"/>
                <w:szCs w:val="20"/>
              </w:rPr>
            </w:pPr>
          </w:p>
        </w:tc>
        <w:tc>
          <w:tcPr>
            <w:tcW w:w="1600" w:type="dxa"/>
            <w:vAlign w:val="center"/>
          </w:tcPr>
          <w:p w14:paraId="174F061A" w14:textId="77777777" w:rsidR="00401546" w:rsidRPr="00A9330B" w:rsidRDefault="00401546" w:rsidP="007025F6">
            <w:pPr>
              <w:spacing w:before="40" w:line="240" w:lineRule="auto"/>
              <w:rPr>
                <w:rFonts w:cs="Arial"/>
                <w:b/>
                <w:sz w:val="20"/>
                <w:szCs w:val="20"/>
              </w:rPr>
            </w:pPr>
          </w:p>
        </w:tc>
      </w:tr>
      <w:tr w:rsidR="00401546" w:rsidRPr="00A9330B" w14:paraId="4A12FC36" w14:textId="77777777" w:rsidTr="00401546">
        <w:tc>
          <w:tcPr>
            <w:tcW w:w="2362" w:type="dxa"/>
          </w:tcPr>
          <w:p w14:paraId="05B1385E" w14:textId="77777777" w:rsidR="00401546" w:rsidRPr="00A9330B" w:rsidRDefault="00401546" w:rsidP="007025F6">
            <w:pPr>
              <w:spacing w:before="40" w:line="240" w:lineRule="auto"/>
              <w:rPr>
                <w:rFonts w:cs="Arial"/>
                <w:b/>
                <w:sz w:val="20"/>
                <w:szCs w:val="20"/>
              </w:rPr>
            </w:pPr>
            <w:r w:rsidRPr="00A9330B">
              <w:rPr>
                <w:rFonts w:cs="Arial"/>
                <w:b/>
                <w:sz w:val="20"/>
                <w:szCs w:val="20"/>
                <w:lang w:eastAsia="fr-FR"/>
              </w:rPr>
              <w:t>Efficacité du drainage</w:t>
            </w:r>
          </w:p>
        </w:tc>
        <w:tc>
          <w:tcPr>
            <w:tcW w:w="1591" w:type="dxa"/>
            <w:vAlign w:val="center"/>
          </w:tcPr>
          <w:p w14:paraId="7ACC19E7" w14:textId="77777777" w:rsidR="00401546" w:rsidRPr="00A9330B" w:rsidRDefault="00401546" w:rsidP="007025F6">
            <w:pPr>
              <w:spacing w:before="40" w:line="240" w:lineRule="auto"/>
              <w:rPr>
                <w:rFonts w:cs="Arial"/>
                <w:sz w:val="20"/>
                <w:szCs w:val="20"/>
              </w:rPr>
            </w:pPr>
            <w:r w:rsidRPr="00A9330B">
              <w:rPr>
                <w:rFonts w:cs="Arial"/>
                <w:sz w:val="20"/>
                <w:szCs w:val="20"/>
              </w:rPr>
              <w:t>Oui</w:t>
            </w:r>
          </w:p>
        </w:tc>
        <w:tc>
          <w:tcPr>
            <w:tcW w:w="1682" w:type="dxa"/>
            <w:vAlign w:val="center"/>
          </w:tcPr>
          <w:p w14:paraId="030AB61F" w14:textId="77777777" w:rsidR="00401546" w:rsidRPr="00A9330B" w:rsidRDefault="00401546" w:rsidP="007025F6">
            <w:pPr>
              <w:spacing w:before="40" w:line="240" w:lineRule="auto"/>
              <w:rPr>
                <w:rFonts w:cs="Arial"/>
                <w:sz w:val="20"/>
                <w:szCs w:val="20"/>
              </w:rPr>
            </w:pPr>
            <w:r w:rsidRPr="00A9330B">
              <w:rPr>
                <w:rFonts w:cs="Arial"/>
                <w:sz w:val="20"/>
                <w:szCs w:val="20"/>
              </w:rPr>
              <w:t xml:space="preserve">Moins </w:t>
            </w:r>
          </w:p>
        </w:tc>
        <w:tc>
          <w:tcPr>
            <w:tcW w:w="1470" w:type="dxa"/>
          </w:tcPr>
          <w:p w14:paraId="4CF978D6" w14:textId="77777777" w:rsidR="00401546" w:rsidRPr="00A9330B" w:rsidRDefault="00401546" w:rsidP="007025F6">
            <w:pPr>
              <w:spacing w:before="40" w:line="240" w:lineRule="auto"/>
              <w:rPr>
                <w:rFonts w:cs="Arial"/>
                <w:sz w:val="20"/>
                <w:szCs w:val="20"/>
              </w:rPr>
            </w:pPr>
            <w:r w:rsidRPr="00A9330B">
              <w:rPr>
                <w:rFonts w:cs="Arial"/>
                <w:sz w:val="20"/>
                <w:szCs w:val="20"/>
              </w:rPr>
              <w:t xml:space="preserve">L’emprise permet de drainer une grande quantité d’eau </w:t>
            </w:r>
          </w:p>
        </w:tc>
        <w:tc>
          <w:tcPr>
            <w:tcW w:w="1600" w:type="dxa"/>
            <w:vAlign w:val="center"/>
          </w:tcPr>
          <w:p w14:paraId="199D7EB7" w14:textId="77777777" w:rsidR="00401546" w:rsidRPr="00A9330B" w:rsidRDefault="00401546" w:rsidP="007025F6">
            <w:pPr>
              <w:spacing w:before="40" w:line="240" w:lineRule="auto"/>
              <w:rPr>
                <w:rFonts w:cs="Arial"/>
                <w:sz w:val="20"/>
                <w:szCs w:val="20"/>
              </w:rPr>
            </w:pPr>
            <w:r w:rsidRPr="00A9330B">
              <w:rPr>
                <w:rFonts w:cs="Arial"/>
                <w:sz w:val="20"/>
                <w:szCs w:val="20"/>
              </w:rPr>
              <w:t>A et B</w:t>
            </w:r>
          </w:p>
        </w:tc>
      </w:tr>
      <w:tr w:rsidR="00401546" w:rsidRPr="00A9330B" w14:paraId="41DE7B0C" w14:textId="77777777" w:rsidTr="00401546">
        <w:tc>
          <w:tcPr>
            <w:tcW w:w="2362" w:type="dxa"/>
          </w:tcPr>
          <w:p w14:paraId="55627344" w14:textId="77777777" w:rsidR="00401546" w:rsidRPr="00A9330B" w:rsidRDefault="00401546" w:rsidP="007025F6">
            <w:pPr>
              <w:spacing w:before="40" w:line="240" w:lineRule="auto"/>
              <w:rPr>
                <w:rFonts w:cs="Arial"/>
                <w:b/>
                <w:sz w:val="20"/>
                <w:szCs w:val="20"/>
              </w:rPr>
            </w:pPr>
            <w:r w:rsidRPr="00A9330B">
              <w:rPr>
                <w:rFonts w:cs="Arial"/>
                <w:b/>
                <w:bCs/>
                <w:sz w:val="20"/>
                <w:szCs w:val="20"/>
                <w:lang w:eastAsia="fr-FR"/>
              </w:rPr>
              <w:t>Difficulté technique (occupation du sol)</w:t>
            </w:r>
          </w:p>
        </w:tc>
        <w:tc>
          <w:tcPr>
            <w:tcW w:w="1591" w:type="dxa"/>
            <w:vAlign w:val="center"/>
          </w:tcPr>
          <w:p w14:paraId="3CECD4C4" w14:textId="77777777" w:rsidR="00401546" w:rsidRPr="00A9330B" w:rsidRDefault="00401546" w:rsidP="007025F6">
            <w:pPr>
              <w:spacing w:before="40" w:line="240" w:lineRule="auto"/>
              <w:rPr>
                <w:rFonts w:cs="Arial"/>
                <w:sz w:val="20"/>
                <w:szCs w:val="20"/>
              </w:rPr>
            </w:pPr>
            <w:r w:rsidRPr="00A9330B">
              <w:rPr>
                <w:rFonts w:cs="Arial"/>
                <w:sz w:val="20"/>
                <w:szCs w:val="20"/>
              </w:rPr>
              <w:t>Oui</w:t>
            </w:r>
          </w:p>
        </w:tc>
        <w:tc>
          <w:tcPr>
            <w:tcW w:w="1682" w:type="dxa"/>
            <w:vAlign w:val="center"/>
          </w:tcPr>
          <w:p w14:paraId="64AB2D9B" w14:textId="77777777" w:rsidR="00401546" w:rsidRPr="00A9330B" w:rsidRDefault="00401546" w:rsidP="007025F6">
            <w:pPr>
              <w:spacing w:before="40" w:line="240" w:lineRule="auto"/>
              <w:rPr>
                <w:rFonts w:cs="Arial"/>
                <w:sz w:val="20"/>
                <w:szCs w:val="20"/>
              </w:rPr>
            </w:pPr>
            <w:r w:rsidRPr="00A9330B">
              <w:rPr>
                <w:rFonts w:cs="Arial"/>
                <w:sz w:val="20"/>
                <w:szCs w:val="20"/>
              </w:rPr>
              <w:t>Moins</w:t>
            </w:r>
          </w:p>
        </w:tc>
        <w:tc>
          <w:tcPr>
            <w:tcW w:w="1470" w:type="dxa"/>
          </w:tcPr>
          <w:p w14:paraId="16017B50" w14:textId="77777777" w:rsidR="00401546" w:rsidRPr="00A9330B" w:rsidRDefault="00401546" w:rsidP="007025F6">
            <w:pPr>
              <w:spacing w:before="40" w:line="240" w:lineRule="auto"/>
              <w:rPr>
                <w:rFonts w:cs="Arial"/>
                <w:sz w:val="20"/>
                <w:szCs w:val="20"/>
              </w:rPr>
            </w:pPr>
            <w:r w:rsidRPr="00A9330B">
              <w:rPr>
                <w:rFonts w:cs="Arial"/>
                <w:sz w:val="20"/>
                <w:szCs w:val="20"/>
              </w:rPr>
              <w:t>Plus de contrainte de terrains dans le cas des ouvrages latéraux (occupation d’espace limitée, présence de réseau…)</w:t>
            </w:r>
          </w:p>
        </w:tc>
        <w:tc>
          <w:tcPr>
            <w:tcW w:w="1600" w:type="dxa"/>
            <w:vAlign w:val="center"/>
          </w:tcPr>
          <w:p w14:paraId="51E46408" w14:textId="77777777" w:rsidR="00401546" w:rsidRPr="00A9330B" w:rsidRDefault="00401546" w:rsidP="007025F6">
            <w:pPr>
              <w:spacing w:before="40" w:line="240" w:lineRule="auto"/>
              <w:rPr>
                <w:rFonts w:cs="Arial"/>
                <w:sz w:val="20"/>
                <w:szCs w:val="20"/>
              </w:rPr>
            </w:pPr>
            <w:r w:rsidRPr="00A9330B">
              <w:rPr>
                <w:rFonts w:cs="Arial"/>
                <w:sz w:val="20"/>
                <w:szCs w:val="20"/>
              </w:rPr>
              <w:t>A</w:t>
            </w:r>
          </w:p>
        </w:tc>
      </w:tr>
      <w:tr w:rsidR="00401546" w:rsidRPr="00A9330B" w14:paraId="01D4211E" w14:textId="77777777" w:rsidTr="00401546">
        <w:tc>
          <w:tcPr>
            <w:tcW w:w="2362" w:type="dxa"/>
          </w:tcPr>
          <w:p w14:paraId="0F2343AB" w14:textId="77777777" w:rsidR="00401546" w:rsidRPr="00A9330B" w:rsidRDefault="00401546" w:rsidP="007025F6">
            <w:pPr>
              <w:spacing w:before="40" w:line="240" w:lineRule="auto"/>
              <w:rPr>
                <w:rFonts w:cs="Arial"/>
                <w:b/>
                <w:sz w:val="20"/>
                <w:szCs w:val="20"/>
              </w:rPr>
            </w:pPr>
            <w:r w:rsidRPr="00A9330B">
              <w:rPr>
                <w:rFonts w:cs="Arial"/>
                <w:b/>
                <w:bCs/>
                <w:sz w:val="20"/>
                <w:szCs w:val="20"/>
                <w:lang w:eastAsia="fr-FR"/>
              </w:rPr>
              <w:t>Coût de construction</w:t>
            </w:r>
          </w:p>
        </w:tc>
        <w:tc>
          <w:tcPr>
            <w:tcW w:w="1591" w:type="dxa"/>
            <w:vAlign w:val="center"/>
          </w:tcPr>
          <w:p w14:paraId="56E7B576" w14:textId="77777777" w:rsidR="00401546" w:rsidRPr="00A9330B" w:rsidRDefault="00401546" w:rsidP="007025F6">
            <w:pPr>
              <w:spacing w:before="40" w:line="240" w:lineRule="auto"/>
              <w:rPr>
                <w:rFonts w:cs="Arial"/>
                <w:sz w:val="20"/>
                <w:szCs w:val="20"/>
              </w:rPr>
            </w:pPr>
            <w:r w:rsidRPr="00A9330B">
              <w:rPr>
                <w:rFonts w:cs="Arial"/>
                <w:sz w:val="20"/>
                <w:szCs w:val="20"/>
              </w:rPr>
              <w:t>Elevé</w:t>
            </w:r>
          </w:p>
        </w:tc>
        <w:tc>
          <w:tcPr>
            <w:tcW w:w="1682" w:type="dxa"/>
            <w:vAlign w:val="center"/>
          </w:tcPr>
          <w:p w14:paraId="12294E81" w14:textId="77777777" w:rsidR="00401546" w:rsidRPr="00A9330B" w:rsidRDefault="00401546" w:rsidP="007025F6">
            <w:pPr>
              <w:spacing w:before="40" w:line="240" w:lineRule="auto"/>
              <w:rPr>
                <w:rFonts w:cs="Arial"/>
                <w:sz w:val="20"/>
                <w:szCs w:val="20"/>
              </w:rPr>
            </w:pPr>
            <w:r w:rsidRPr="00A9330B">
              <w:rPr>
                <w:rFonts w:cs="Arial"/>
                <w:sz w:val="20"/>
                <w:szCs w:val="20"/>
              </w:rPr>
              <w:t>Elevé</w:t>
            </w:r>
          </w:p>
        </w:tc>
        <w:tc>
          <w:tcPr>
            <w:tcW w:w="1470" w:type="dxa"/>
          </w:tcPr>
          <w:p w14:paraId="55B56E26" w14:textId="77777777" w:rsidR="00401546" w:rsidRPr="00A9330B" w:rsidRDefault="00401546" w:rsidP="007025F6">
            <w:pPr>
              <w:spacing w:before="40" w:line="240" w:lineRule="auto"/>
              <w:rPr>
                <w:rFonts w:cs="Arial"/>
                <w:sz w:val="20"/>
                <w:szCs w:val="20"/>
              </w:rPr>
            </w:pPr>
            <w:r w:rsidRPr="00A9330B">
              <w:rPr>
                <w:rFonts w:cs="Arial"/>
                <w:sz w:val="20"/>
                <w:szCs w:val="20"/>
              </w:rPr>
              <w:t xml:space="preserve">Presque identique </w:t>
            </w:r>
          </w:p>
        </w:tc>
        <w:tc>
          <w:tcPr>
            <w:tcW w:w="1600" w:type="dxa"/>
            <w:vAlign w:val="center"/>
          </w:tcPr>
          <w:p w14:paraId="2C4F85FE" w14:textId="77777777" w:rsidR="00401546" w:rsidRPr="00A9330B" w:rsidRDefault="00401546" w:rsidP="007025F6">
            <w:pPr>
              <w:spacing w:before="40" w:line="240" w:lineRule="auto"/>
              <w:rPr>
                <w:rFonts w:cs="Arial"/>
                <w:sz w:val="20"/>
                <w:szCs w:val="20"/>
              </w:rPr>
            </w:pPr>
            <w:r w:rsidRPr="00A9330B">
              <w:rPr>
                <w:rFonts w:cs="Arial"/>
                <w:sz w:val="20"/>
                <w:szCs w:val="20"/>
              </w:rPr>
              <w:t>A et B</w:t>
            </w:r>
          </w:p>
        </w:tc>
      </w:tr>
      <w:tr w:rsidR="00401546" w:rsidRPr="00A9330B" w14:paraId="3B0916BB" w14:textId="77777777" w:rsidTr="00401546">
        <w:tc>
          <w:tcPr>
            <w:tcW w:w="2362" w:type="dxa"/>
          </w:tcPr>
          <w:p w14:paraId="42072615" w14:textId="77777777" w:rsidR="00401546" w:rsidRPr="00A9330B" w:rsidRDefault="00401546" w:rsidP="007025F6">
            <w:pPr>
              <w:spacing w:before="40" w:line="240" w:lineRule="auto"/>
              <w:rPr>
                <w:rFonts w:cs="Arial"/>
                <w:b/>
                <w:sz w:val="20"/>
                <w:szCs w:val="20"/>
              </w:rPr>
            </w:pPr>
            <w:r w:rsidRPr="00A9330B">
              <w:rPr>
                <w:rFonts w:cs="Arial"/>
                <w:b/>
                <w:sz w:val="20"/>
                <w:szCs w:val="20"/>
              </w:rPr>
              <w:lastRenderedPageBreak/>
              <w:t>Durabilité de l’ouvrage</w:t>
            </w:r>
          </w:p>
        </w:tc>
        <w:tc>
          <w:tcPr>
            <w:tcW w:w="1591" w:type="dxa"/>
            <w:vAlign w:val="center"/>
          </w:tcPr>
          <w:p w14:paraId="274CD796" w14:textId="77777777" w:rsidR="00401546" w:rsidRPr="00A9330B" w:rsidRDefault="00401546" w:rsidP="007025F6">
            <w:pPr>
              <w:spacing w:before="40" w:line="240" w:lineRule="auto"/>
              <w:rPr>
                <w:rFonts w:cs="Arial"/>
                <w:sz w:val="20"/>
                <w:szCs w:val="20"/>
              </w:rPr>
            </w:pPr>
            <w:r w:rsidRPr="00A9330B">
              <w:rPr>
                <w:rFonts w:cs="Arial"/>
                <w:sz w:val="20"/>
                <w:szCs w:val="20"/>
              </w:rPr>
              <w:t>Oui</w:t>
            </w:r>
          </w:p>
        </w:tc>
        <w:tc>
          <w:tcPr>
            <w:tcW w:w="1682" w:type="dxa"/>
            <w:vAlign w:val="center"/>
          </w:tcPr>
          <w:p w14:paraId="49F76BCF" w14:textId="77777777" w:rsidR="00401546" w:rsidRPr="00A9330B" w:rsidRDefault="00401546" w:rsidP="007025F6">
            <w:pPr>
              <w:spacing w:before="40" w:line="240" w:lineRule="auto"/>
              <w:rPr>
                <w:rFonts w:cs="Arial"/>
                <w:sz w:val="20"/>
                <w:szCs w:val="20"/>
              </w:rPr>
            </w:pPr>
            <w:r w:rsidRPr="00A9330B">
              <w:rPr>
                <w:rFonts w:cs="Arial"/>
                <w:sz w:val="20"/>
                <w:szCs w:val="20"/>
              </w:rPr>
              <w:t>Oui</w:t>
            </w:r>
          </w:p>
        </w:tc>
        <w:tc>
          <w:tcPr>
            <w:tcW w:w="1470" w:type="dxa"/>
          </w:tcPr>
          <w:p w14:paraId="33EFC7A1" w14:textId="77777777" w:rsidR="00401546" w:rsidRPr="00A9330B" w:rsidRDefault="00401546" w:rsidP="007025F6">
            <w:pPr>
              <w:spacing w:before="40" w:line="240" w:lineRule="auto"/>
              <w:rPr>
                <w:rFonts w:cs="Arial"/>
                <w:sz w:val="20"/>
                <w:szCs w:val="20"/>
              </w:rPr>
            </w:pPr>
            <w:r w:rsidRPr="00A9330B">
              <w:rPr>
                <w:rFonts w:cs="Arial"/>
                <w:sz w:val="20"/>
                <w:szCs w:val="20"/>
              </w:rPr>
              <w:t xml:space="preserve">Presque identique </w:t>
            </w:r>
          </w:p>
        </w:tc>
        <w:tc>
          <w:tcPr>
            <w:tcW w:w="1600" w:type="dxa"/>
            <w:vAlign w:val="center"/>
          </w:tcPr>
          <w:p w14:paraId="10CA46C1" w14:textId="77777777" w:rsidR="00401546" w:rsidRPr="00A9330B" w:rsidRDefault="00401546" w:rsidP="007025F6">
            <w:pPr>
              <w:spacing w:before="40" w:line="240" w:lineRule="auto"/>
              <w:rPr>
                <w:rFonts w:cs="Arial"/>
                <w:sz w:val="20"/>
                <w:szCs w:val="20"/>
              </w:rPr>
            </w:pPr>
            <w:r w:rsidRPr="00A9330B">
              <w:rPr>
                <w:rFonts w:cs="Arial"/>
                <w:sz w:val="20"/>
                <w:szCs w:val="20"/>
              </w:rPr>
              <w:t>A et B</w:t>
            </w:r>
          </w:p>
        </w:tc>
      </w:tr>
      <w:tr w:rsidR="00401546" w:rsidRPr="00A9330B" w14:paraId="59891722" w14:textId="77777777" w:rsidTr="00401546">
        <w:tc>
          <w:tcPr>
            <w:tcW w:w="2362" w:type="dxa"/>
          </w:tcPr>
          <w:p w14:paraId="66B9DBBF" w14:textId="77777777" w:rsidR="00401546" w:rsidRPr="00A9330B" w:rsidRDefault="00401546" w:rsidP="007025F6">
            <w:pPr>
              <w:spacing w:before="40" w:line="240" w:lineRule="auto"/>
              <w:rPr>
                <w:rFonts w:cs="Arial"/>
                <w:b/>
                <w:sz w:val="20"/>
                <w:szCs w:val="20"/>
              </w:rPr>
            </w:pPr>
            <w:r w:rsidRPr="00A9330B">
              <w:rPr>
                <w:rFonts w:cs="Arial"/>
                <w:b/>
                <w:sz w:val="20"/>
                <w:szCs w:val="20"/>
              </w:rPr>
              <w:t xml:space="preserve">Rupture de liaison </w:t>
            </w:r>
          </w:p>
        </w:tc>
        <w:tc>
          <w:tcPr>
            <w:tcW w:w="1591" w:type="dxa"/>
            <w:vAlign w:val="center"/>
          </w:tcPr>
          <w:p w14:paraId="03302A19" w14:textId="77777777" w:rsidR="00401546" w:rsidRPr="00A9330B" w:rsidRDefault="00401546" w:rsidP="007025F6">
            <w:pPr>
              <w:spacing w:before="40" w:line="240" w:lineRule="auto"/>
              <w:rPr>
                <w:rFonts w:cs="Arial"/>
                <w:sz w:val="20"/>
                <w:szCs w:val="20"/>
              </w:rPr>
            </w:pPr>
            <w:r w:rsidRPr="00A9330B">
              <w:rPr>
                <w:rFonts w:cs="Arial"/>
                <w:sz w:val="20"/>
                <w:szCs w:val="20"/>
              </w:rPr>
              <w:t>Oui</w:t>
            </w:r>
          </w:p>
        </w:tc>
        <w:tc>
          <w:tcPr>
            <w:tcW w:w="1682" w:type="dxa"/>
            <w:vAlign w:val="center"/>
          </w:tcPr>
          <w:p w14:paraId="69CBB049" w14:textId="77777777" w:rsidR="00401546" w:rsidRPr="00A9330B" w:rsidRDefault="00401546" w:rsidP="007025F6">
            <w:pPr>
              <w:spacing w:before="40" w:line="240" w:lineRule="auto"/>
              <w:rPr>
                <w:rFonts w:cs="Arial"/>
                <w:sz w:val="20"/>
                <w:szCs w:val="20"/>
              </w:rPr>
            </w:pPr>
            <w:r w:rsidRPr="00A9330B">
              <w:rPr>
                <w:rFonts w:cs="Arial"/>
                <w:sz w:val="20"/>
                <w:szCs w:val="20"/>
              </w:rPr>
              <w:t>Non (Fermé et parfois carrossable)</w:t>
            </w:r>
          </w:p>
        </w:tc>
        <w:tc>
          <w:tcPr>
            <w:tcW w:w="1470" w:type="dxa"/>
          </w:tcPr>
          <w:p w14:paraId="4636CAFF" w14:textId="77777777" w:rsidR="00401546" w:rsidRPr="00A9330B" w:rsidRDefault="00401546" w:rsidP="007025F6">
            <w:pPr>
              <w:spacing w:before="40" w:line="240" w:lineRule="auto"/>
              <w:rPr>
                <w:rFonts w:cs="Arial"/>
                <w:sz w:val="20"/>
                <w:szCs w:val="20"/>
              </w:rPr>
            </w:pPr>
            <w:r w:rsidRPr="00A9330B">
              <w:rPr>
                <w:rFonts w:cs="Arial"/>
                <w:sz w:val="20"/>
                <w:szCs w:val="20"/>
              </w:rPr>
              <w:t xml:space="preserve">Les populations rencontrent des difficultés lorsque les ouvrages de franchissent ne sont pas rapprochés (obligation de faire de grand détour </w:t>
            </w:r>
          </w:p>
        </w:tc>
        <w:tc>
          <w:tcPr>
            <w:tcW w:w="1600" w:type="dxa"/>
            <w:vAlign w:val="center"/>
          </w:tcPr>
          <w:p w14:paraId="3F166763" w14:textId="77777777" w:rsidR="00401546" w:rsidRPr="00A9330B" w:rsidRDefault="00401546" w:rsidP="007025F6">
            <w:pPr>
              <w:spacing w:before="40" w:line="240" w:lineRule="auto"/>
              <w:rPr>
                <w:rFonts w:cs="Arial"/>
                <w:sz w:val="20"/>
                <w:szCs w:val="20"/>
              </w:rPr>
            </w:pPr>
            <w:r w:rsidRPr="00A9330B">
              <w:rPr>
                <w:rFonts w:cs="Arial"/>
                <w:sz w:val="20"/>
                <w:szCs w:val="20"/>
              </w:rPr>
              <w:t>B</w:t>
            </w:r>
          </w:p>
        </w:tc>
      </w:tr>
      <w:tr w:rsidR="00401546" w:rsidRPr="00A9330B" w14:paraId="560B3ECB" w14:textId="77777777" w:rsidTr="00401546">
        <w:tc>
          <w:tcPr>
            <w:tcW w:w="2362" w:type="dxa"/>
          </w:tcPr>
          <w:p w14:paraId="7B4948D7" w14:textId="77777777" w:rsidR="00401546" w:rsidRPr="00A9330B" w:rsidRDefault="00401546" w:rsidP="007025F6">
            <w:pPr>
              <w:spacing w:before="40" w:line="240" w:lineRule="auto"/>
              <w:rPr>
                <w:rFonts w:cs="Arial"/>
                <w:b/>
                <w:sz w:val="20"/>
                <w:szCs w:val="20"/>
              </w:rPr>
            </w:pPr>
            <w:r w:rsidRPr="00A9330B">
              <w:rPr>
                <w:rFonts w:cs="Arial"/>
                <w:b/>
                <w:sz w:val="20"/>
                <w:szCs w:val="20"/>
              </w:rPr>
              <w:t>Facilité d’entretien</w:t>
            </w:r>
          </w:p>
        </w:tc>
        <w:tc>
          <w:tcPr>
            <w:tcW w:w="1591" w:type="dxa"/>
            <w:vAlign w:val="center"/>
          </w:tcPr>
          <w:p w14:paraId="457C69F9" w14:textId="77777777" w:rsidR="00401546" w:rsidRPr="00A9330B" w:rsidRDefault="00401546" w:rsidP="007025F6">
            <w:pPr>
              <w:spacing w:before="40" w:line="240" w:lineRule="auto"/>
              <w:rPr>
                <w:rFonts w:cs="Arial"/>
                <w:sz w:val="20"/>
                <w:szCs w:val="20"/>
              </w:rPr>
            </w:pPr>
            <w:r w:rsidRPr="00A9330B">
              <w:rPr>
                <w:rFonts w:cs="Arial"/>
                <w:sz w:val="20"/>
                <w:szCs w:val="20"/>
              </w:rPr>
              <w:t>Facile</w:t>
            </w:r>
          </w:p>
        </w:tc>
        <w:tc>
          <w:tcPr>
            <w:tcW w:w="1682" w:type="dxa"/>
            <w:vAlign w:val="center"/>
          </w:tcPr>
          <w:p w14:paraId="50FA57B0" w14:textId="77777777" w:rsidR="00401546" w:rsidRPr="00A9330B" w:rsidRDefault="00401546" w:rsidP="007025F6">
            <w:pPr>
              <w:spacing w:before="40" w:line="240" w:lineRule="auto"/>
              <w:rPr>
                <w:rFonts w:cs="Arial"/>
                <w:sz w:val="20"/>
                <w:szCs w:val="20"/>
              </w:rPr>
            </w:pPr>
            <w:r w:rsidRPr="00A9330B">
              <w:rPr>
                <w:rFonts w:cs="Arial"/>
                <w:sz w:val="20"/>
                <w:szCs w:val="20"/>
              </w:rPr>
              <w:t>Moins facile</w:t>
            </w:r>
          </w:p>
        </w:tc>
        <w:tc>
          <w:tcPr>
            <w:tcW w:w="1470" w:type="dxa"/>
          </w:tcPr>
          <w:p w14:paraId="2F02D9CC" w14:textId="77777777" w:rsidR="00401546" w:rsidRPr="00A9330B" w:rsidRDefault="00401546" w:rsidP="007025F6">
            <w:pPr>
              <w:spacing w:before="40" w:line="240" w:lineRule="auto"/>
              <w:rPr>
                <w:rFonts w:cs="Arial"/>
                <w:sz w:val="20"/>
                <w:szCs w:val="20"/>
              </w:rPr>
            </w:pPr>
          </w:p>
        </w:tc>
        <w:tc>
          <w:tcPr>
            <w:tcW w:w="1600" w:type="dxa"/>
            <w:vAlign w:val="center"/>
          </w:tcPr>
          <w:p w14:paraId="1B6A3F4D" w14:textId="77777777" w:rsidR="00401546" w:rsidRPr="00A9330B" w:rsidRDefault="00401546" w:rsidP="007025F6">
            <w:pPr>
              <w:spacing w:before="40" w:line="240" w:lineRule="auto"/>
              <w:rPr>
                <w:rFonts w:cs="Arial"/>
                <w:sz w:val="20"/>
                <w:szCs w:val="20"/>
              </w:rPr>
            </w:pPr>
            <w:r w:rsidRPr="00A9330B">
              <w:rPr>
                <w:rFonts w:cs="Arial"/>
                <w:sz w:val="20"/>
                <w:szCs w:val="20"/>
              </w:rPr>
              <w:t>A</w:t>
            </w:r>
          </w:p>
        </w:tc>
      </w:tr>
      <w:tr w:rsidR="00401546" w:rsidRPr="00A9330B" w14:paraId="54D9A208" w14:textId="77777777" w:rsidTr="00401546">
        <w:tc>
          <w:tcPr>
            <w:tcW w:w="2362" w:type="dxa"/>
          </w:tcPr>
          <w:p w14:paraId="0874D913" w14:textId="77777777" w:rsidR="00401546" w:rsidRPr="00A9330B" w:rsidRDefault="00401546" w:rsidP="007025F6">
            <w:pPr>
              <w:spacing w:before="40" w:line="240" w:lineRule="auto"/>
              <w:rPr>
                <w:rFonts w:cs="Arial"/>
                <w:b/>
                <w:sz w:val="20"/>
                <w:szCs w:val="20"/>
              </w:rPr>
            </w:pPr>
            <w:r w:rsidRPr="00A9330B">
              <w:rPr>
                <w:rFonts w:cs="Arial"/>
                <w:b/>
                <w:sz w:val="20"/>
                <w:szCs w:val="20"/>
              </w:rPr>
              <w:t>Risque de dégradation de l’ouvrage</w:t>
            </w:r>
          </w:p>
        </w:tc>
        <w:tc>
          <w:tcPr>
            <w:tcW w:w="1591" w:type="dxa"/>
            <w:vAlign w:val="center"/>
          </w:tcPr>
          <w:p w14:paraId="05B873E4" w14:textId="77777777" w:rsidR="00401546" w:rsidRPr="00A9330B" w:rsidRDefault="00401546" w:rsidP="007025F6">
            <w:pPr>
              <w:spacing w:before="40" w:line="240" w:lineRule="auto"/>
              <w:rPr>
                <w:rFonts w:cs="Arial"/>
                <w:sz w:val="20"/>
                <w:szCs w:val="20"/>
              </w:rPr>
            </w:pPr>
            <w:r w:rsidRPr="00A9330B">
              <w:rPr>
                <w:rFonts w:cs="Arial"/>
                <w:sz w:val="20"/>
                <w:szCs w:val="20"/>
              </w:rPr>
              <w:t>Moins</w:t>
            </w:r>
          </w:p>
        </w:tc>
        <w:tc>
          <w:tcPr>
            <w:tcW w:w="1682" w:type="dxa"/>
            <w:vAlign w:val="center"/>
          </w:tcPr>
          <w:p w14:paraId="104297F8" w14:textId="77777777" w:rsidR="00401546" w:rsidRPr="00A9330B" w:rsidRDefault="00401546" w:rsidP="007025F6">
            <w:pPr>
              <w:spacing w:before="40" w:line="240" w:lineRule="auto"/>
              <w:rPr>
                <w:rFonts w:cs="Arial"/>
                <w:sz w:val="20"/>
                <w:szCs w:val="20"/>
              </w:rPr>
            </w:pPr>
            <w:r w:rsidRPr="00A9330B">
              <w:rPr>
                <w:rFonts w:cs="Arial"/>
                <w:sz w:val="20"/>
                <w:szCs w:val="20"/>
              </w:rPr>
              <w:t>Oui</w:t>
            </w:r>
          </w:p>
        </w:tc>
        <w:tc>
          <w:tcPr>
            <w:tcW w:w="1470" w:type="dxa"/>
          </w:tcPr>
          <w:p w14:paraId="65CCCA07" w14:textId="77777777" w:rsidR="00401546" w:rsidRPr="00A9330B" w:rsidRDefault="00401546" w:rsidP="007025F6">
            <w:pPr>
              <w:spacing w:before="40" w:line="240" w:lineRule="auto"/>
              <w:rPr>
                <w:rFonts w:cs="Arial"/>
                <w:sz w:val="20"/>
                <w:szCs w:val="20"/>
              </w:rPr>
            </w:pPr>
            <w:r w:rsidRPr="00A9330B">
              <w:rPr>
                <w:rFonts w:cs="Arial"/>
                <w:sz w:val="20"/>
                <w:szCs w:val="20"/>
              </w:rPr>
              <w:t>Facilité de branchement sur les ouvrages latéraux par les riverains pour l’évacuation de leurs eaux usées domestiques (incivisme des populations)</w:t>
            </w:r>
          </w:p>
        </w:tc>
        <w:tc>
          <w:tcPr>
            <w:tcW w:w="1600" w:type="dxa"/>
            <w:vAlign w:val="center"/>
          </w:tcPr>
          <w:p w14:paraId="7C6F4C93" w14:textId="77777777" w:rsidR="00401546" w:rsidRPr="00A9330B" w:rsidRDefault="00401546" w:rsidP="007025F6">
            <w:pPr>
              <w:spacing w:before="40" w:line="240" w:lineRule="auto"/>
              <w:rPr>
                <w:rFonts w:cs="Arial"/>
                <w:sz w:val="20"/>
                <w:szCs w:val="20"/>
              </w:rPr>
            </w:pPr>
            <w:r w:rsidRPr="00A9330B">
              <w:rPr>
                <w:rFonts w:cs="Arial"/>
                <w:sz w:val="20"/>
                <w:szCs w:val="20"/>
              </w:rPr>
              <w:t>A</w:t>
            </w:r>
          </w:p>
        </w:tc>
      </w:tr>
      <w:tr w:rsidR="00401546" w:rsidRPr="00A9330B" w14:paraId="3B1D32E6" w14:textId="77777777" w:rsidTr="00401546">
        <w:tc>
          <w:tcPr>
            <w:tcW w:w="5635" w:type="dxa"/>
            <w:gridSpan w:val="3"/>
          </w:tcPr>
          <w:p w14:paraId="3C29E5D9" w14:textId="77777777" w:rsidR="00401546" w:rsidRPr="00A9330B" w:rsidRDefault="00401546" w:rsidP="007025F6">
            <w:pPr>
              <w:spacing w:before="40" w:line="240" w:lineRule="auto"/>
              <w:rPr>
                <w:rFonts w:cs="Arial"/>
                <w:sz w:val="20"/>
                <w:szCs w:val="20"/>
              </w:rPr>
            </w:pPr>
            <w:r w:rsidRPr="00A9330B">
              <w:rPr>
                <w:rFonts w:cs="Arial"/>
                <w:b/>
                <w:sz w:val="20"/>
                <w:szCs w:val="20"/>
              </w:rPr>
              <w:t xml:space="preserve">Critères environnementales et sociales </w:t>
            </w:r>
          </w:p>
        </w:tc>
        <w:tc>
          <w:tcPr>
            <w:tcW w:w="1470" w:type="dxa"/>
          </w:tcPr>
          <w:p w14:paraId="2E63809D" w14:textId="77777777" w:rsidR="00401546" w:rsidRPr="00A9330B" w:rsidRDefault="00401546" w:rsidP="007025F6">
            <w:pPr>
              <w:spacing w:before="40" w:line="240" w:lineRule="auto"/>
              <w:rPr>
                <w:rFonts w:cs="Arial"/>
                <w:sz w:val="20"/>
                <w:szCs w:val="20"/>
              </w:rPr>
            </w:pPr>
          </w:p>
        </w:tc>
        <w:tc>
          <w:tcPr>
            <w:tcW w:w="1600" w:type="dxa"/>
            <w:vAlign w:val="center"/>
          </w:tcPr>
          <w:p w14:paraId="3A49C527" w14:textId="77777777" w:rsidR="00401546" w:rsidRPr="00A9330B" w:rsidRDefault="00401546" w:rsidP="007025F6">
            <w:pPr>
              <w:spacing w:before="40" w:line="240" w:lineRule="auto"/>
              <w:rPr>
                <w:rFonts w:cs="Arial"/>
                <w:sz w:val="20"/>
                <w:szCs w:val="20"/>
              </w:rPr>
            </w:pPr>
          </w:p>
        </w:tc>
      </w:tr>
      <w:tr w:rsidR="00401546" w:rsidRPr="00A9330B" w14:paraId="41BCD23C" w14:textId="77777777" w:rsidTr="00401546">
        <w:tc>
          <w:tcPr>
            <w:tcW w:w="2362" w:type="dxa"/>
            <w:vAlign w:val="center"/>
          </w:tcPr>
          <w:p w14:paraId="6A367134" w14:textId="77777777" w:rsidR="00401546" w:rsidRPr="00A9330B" w:rsidRDefault="00401546" w:rsidP="007025F6">
            <w:pPr>
              <w:autoSpaceDE w:val="0"/>
              <w:autoSpaceDN w:val="0"/>
              <w:adjustRightInd w:val="0"/>
              <w:spacing w:before="40" w:line="240" w:lineRule="auto"/>
              <w:rPr>
                <w:rFonts w:cs="Arial"/>
                <w:b/>
                <w:sz w:val="20"/>
                <w:szCs w:val="20"/>
                <w:lang w:eastAsia="fr-FR"/>
              </w:rPr>
            </w:pPr>
            <w:r w:rsidRPr="00A9330B">
              <w:rPr>
                <w:rFonts w:cs="Arial"/>
                <w:b/>
                <w:sz w:val="20"/>
                <w:szCs w:val="20"/>
                <w:lang w:eastAsia="fr-FR"/>
              </w:rPr>
              <w:t>Affectation/déplacement de personnes</w:t>
            </w:r>
          </w:p>
        </w:tc>
        <w:tc>
          <w:tcPr>
            <w:tcW w:w="1591" w:type="dxa"/>
            <w:vAlign w:val="center"/>
          </w:tcPr>
          <w:p w14:paraId="45A1B4F4" w14:textId="77777777" w:rsidR="00401546" w:rsidRPr="00A9330B" w:rsidRDefault="00401546" w:rsidP="007025F6">
            <w:pPr>
              <w:spacing w:before="40" w:line="240" w:lineRule="auto"/>
              <w:rPr>
                <w:rFonts w:cs="Arial"/>
                <w:sz w:val="20"/>
                <w:szCs w:val="20"/>
              </w:rPr>
            </w:pPr>
            <w:r w:rsidRPr="00A9330B">
              <w:rPr>
                <w:rFonts w:cs="Arial"/>
                <w:sz w:val="20"/>
                <w:szCs w:val="20"/>
              </w:rPr>
              <w:t>Plus</w:t>
            </w:r>
          </w:p>
        </w:tc>
        <w:tc>
          <w:tcPr>
            <w:tcW w:w="1682" w:type="dxa"/>
            <w:vAlign w:val="center"/>
          </w:tcPr>
          <w:p w14:paraId="67A7BF0B" w14:textId="77777777" w:rsidR="00401546" w:rsidRPr="00A9330B" w:rsidRDefault="00401546" w:rsidP="007025F6">
            <w:pPr>
              <w:spacing w:before="40" w:line="240" w:lineRule="auto"/>
              <w:rPr>
                <w:rFonts w:cs="Arial"/>
                <w:sz w:val="20"/>
                <w:szCs w:val="20"/>
              </w:rPr>
            </w:pPr>
            <w:r w:rsidRPr="00A9330B">
              <w:rPr>
                <w:rFonts w:cs="Arial"/>
                <w:sz w:val="20"/>
                <w:szCs w:val="20"/>
              </w:rPr>
              <w:t>Moins</w:t>
            </w:r>
          </w:p>
        </w:tc>
        <w:tc>
          <w:tcPr>
            <w:tcW w:w="1470" w:type="dxa"/>
            <w:vAlign w:val="center"/>
          </w:tcPr>
          <w:p w14:paraId="2958F100" w14:textId="77777777" w:rsidR="00401546" w:rsidRPr="00A9330B" w:rsidRDefault="00401546" w:rsidP="007025F6">
            <w:pPr>
              <w:spacing w:before="40" w:line="240" w:lineRule="auto"/>
              <w:rPr>
                <w:rFonts w:cs="Arial"/>
                <w:sz w:val="20"/>
                <w:szCs w:val="20"/>
              </w:rPr>
            </w:pPr>
            <w:r w:rsidRPr="00A9330B">
              <w:rPr>
                <w:rFonts w:cs="Arial"/>
                <w:sz w:val="20"/>
                <w:szCs w:val="20"/>
              </w:rPr>
              <w:t xml:space="preserve">Les collecteurs à ciel ouvert nécessitent plus d’espace </w:t>
            </w:r>
          </w:p>
        </w:tc>
        <w:tc>
          <w:tcPr>
            <w:tcW w:w="1600" w:type="dxa"/>
            <w:vAlign w:val="center"/>
          </w:tcPr>
          <w:p w14:paraId="542244F8" w14:textId="77777777" w:rsidR="00401546" w:rsidRPr="00A9330B" w:rsidRDefault="00401546" w:rsidP="007025F6">
            <w:pPr>
              <w:spacing w:before="40" w:line="240" w:lineRule="auto"/>
              <w:rPr>
                <w:rFonts w:cs="Arial"/>
                <w:sz w:val="20"/>
                <w:szCs w:val="20"/>
              </w:rPr>
            </w:pPr>
            <w:r w:rsidRPr="00A9330B">
              <w:rPr>
                <w:rFonts w:cs="Arial"/>
                <w:sz w:val="20"/>
                <w:szCs w:val="20"/>
              </w:rPr>
              <w:t>B</w:t>
            </w:r>
          </w:p>
        </w:tc>
      </w:tr>
      <w:tr w:rsidR="00401546" w:rsidRPr="00A9330B" w14:paraId="3151A4CD" w14:textId="77777777" w:rsidTr="00401546">
        <w:tc>
          <w:tcPr>
            <w:tcW w:w="2362" w:type="dxa"/>
            <w:vAlign w:val="center"/>
          </w:tcPr>
          <w:p w14:paraId="03DA101B" w14:textId="77777777" w:rsidR="00401546" w:rsidRPr="00A9330B" w:rsidRDefault="00401546" w:rsidP="007025F6">
            <w:pPr>
              <w:spacing w:before="40" w:line="240" w:lineRule="auto"/>
              <w:rPr>
                <w:rFonts w:cs="Arial"/>
                <w:b/>
                <w:sz w:val="20"/>
                <w:szCs w:val="20"/>
                <w:lang w:bidi="fr-FR"/>
              </w:rPr>
            </w:pPr>
            <w:r w:rsidRPr="00A9330B">
              <w:rPr>
                <w:rFonts w:cs="Arial"/>
                <w:b/>
                <w:sz w:val="20"/>
                <w:szCs w:val="20"/>
              </w:rPr>
              <w:t>Détérioration ou perte d’habitats pouvant affecter la biodiversité du milieu</w:t>
            </w:r>
          </w:p>
        </w:tc>
        <w:tc>
          <w:tcPr>
            <w:tcW w:w="1591" w:type="dxa"/>
            <w:vAlign w:val="center"/>
          </w:tcPr>
          <w:p w14:paraId="5FA89A26" w14:textId="77777777" w:rsidR="00401546" w:rsidRPr="00A9330B" w:rsidRDefault="00401546" w:rsidP="007025F6">
            <w:pPr>
              <w:spacing w:before="40" w:line="240" w:lineRule="auto"/>
              <w:rPr>
                <w:rFonts w:cs="Arial"/>
                <w:sz w:val="20"/>
                <w:szCs w:val="20"/>
              </w:rPr>
            </w:pPr>
            <w:r w:rsidRPr="00A9330B">
              <w:rPr>
                <w:rFonts w:cs="Arial"/>
                <w:sz w:val="20"/>
                <w:szCs w:val="20"/>
              </w:rPr>
              <w:t xml:space="preserve">Non </w:t>
            </w:r>
          </w:p>
        </w:tc>
        <w:tc>
          <w:tcPr>
            <w:tcW w:w="1682" w:type="dxa"/>
            <w:vAlign w:val="center"/>
          </w:tcPr>
          <w:p w14:paraId="622E8270" w14:textId="77777777" w:rsidR="00401546" w:rsidRPr="00A9330B" w:rsidRDefault="00401546" w:rsidP="007025F6">
            <w:pPr>
              <w:spacing w:before="40" w:line="240" w:lineRule="auto"/>
              <w:rPr>
                <w:rFonts w:cs="Arial"/>
                <w:sz w:val="20"/>
                <w:szCs w:val="20"/>
              </w:rPr>
            </w:pPr>
            <w:r w:rsidRPr="00A9330B">
              <w:rPr>
                <w:rFonts w:cs="Arial"/>
                <w:sz w:val="20"/>
                <w:szCs w:val="20"/>
              </w:rPr>
              <w:t xml:space="preserve">Non </w:t>
            </w:r>
          </w:p>
        </w:tc>
        <w:tc>
          <w:tcPr>
            <w:tcW w:w="1470" w:type="dxa"/>
            <w:vAlign w:val="center"/>
          </w:tcPr>
          <w:p w14:paraId="2D4EEC56" w14:textId="77777777" w:rsidR="00401546" w:rsidRPr="00A9330B" w:rsidRDefault="00401546" w:rsidP="007025F6">
            <w:pPr>
              <w:spacing w:before="40" w:line="240" w:lineRule="auto"/>
              <w:rPr>
                <w:rFonts w:cs="Arial"/>
                <w:sz w:val="20"/>
                <w:szCs w:val="20"/>
              </w:rPr>
            </w:pPr>
            <w:r w:rsidRPr="00A9330B">
              <w:rPr>
                <w:rFonts w:cs="Arial"/>
                <w:sz w:val="20"/>
                <w:szCs w:val="20"/>
              </w:rPr>
              <w:t xml:space="preserve">Pas de perte d’habitat sauf au niveau d’un collecteur </w:t>
            </w:r>
          </w:p>
        </w:tc>
        <w:tc>
          <w:tcPr>
            <w:tcW w:w="1600" w:type="dxa"/>
            <w:vAlign w:val="center"/>
          </w:tcPr>
          <w:p w14:paraId="47CD7D6D" w14:textId="77777777" w:rsidR="00401546" w:rsidRPr="00A9330B" w:rsidRDefault="00401546" w:rsidP="007025F6">
            <w:pPr>
              <w:spacing w:before="40" w:line="240" w:lineRule="auto"/>
              <w:rPr>
                <w:rFonts w:cs="Arial"/>
                <w:sz w:val="20"/>
                <w:szCs w:val="20"/>
              </w:rPr>
            </w:pPr>
            <w:r w:rsidRPr="00A9330B">
              <w:rPr>
                <w:rFonts w:cs="Arial"/>
                <w:sz w:val="20"/>
                <w:szCs w:val="20"/>
              </w:rPr>
              <w:t>A et B</w:t>
            </w:r>
          </w:p>
        </w:tc>
      </w:tr>
      <w:tr w:rsidR="00401546" w:rsidRPr="00A9330B" w14:paraId="4B622CC5" w14:textId="77777777" w:rsidTr="00401546">
        <w:tc>
          <w:tcPr>
            <w:tcW w:w="8705" w:type="dxa"/>
            <w:gridSpan w:val="5"/>
            <w:vAlign w:val="center"/>
          </w:tcPr>
          <w:p w14:paraId="242C1D06" w14:textId="77777777" w:rsidR="00401546" w:rsidRPr="00A9330B" w:rsidRDefault="00401546" w:rsidP="007025F6">
            <w:pPr>
              <w:spacing w:before="40" w:line="240" w:lineRule="auto"/>
              <w:rPr>
                <w:rFonts w:cs="Arial"/>
                <w:b/>
                <w:i/>
                <w:sz w:val="20"/>
                <w:szCs w:val="20"/>
              </w:rPr>
            </w:pPr>
            <w:r w:rsidRPr="00A9330B">
              <w:rPr>
                <w:rFonts w:cs="Arial"/>
                <w:b/>
                <w:i/>
                <w:sz w:val="20"/>
                <w:szCs w:val="20"/>
              </w:rPr>
              <w:t>Variante A : Collecteur à ciel ouvert choisi en majorité</w:t>
            </w:r>
          </w:p>
        </w:tc>
      </w:tr>
    </w:tbl>
    <w:p w14:paraId="105C673F" w14:textId="6F489D7E" w:rsidR="00401546" w:rsidRPr="00A9330B" w:rsidRDefault="00401546" w:rsidP="00401546">
      <w:pPr>
        <w:jc w:val="both"/>
        <w:rPr>
          <w:rFonts w:cs="Arial"/>
        </w:rPr>
      </w:pPr>
      <w:r w:rsidRPr="00A9330B">
        <w:rPr>
          <w:rFonts w:cs="Arial"/>
        </w:rPr>
        <w:t>De l’analyse du tableau de comparaison des deux variantes identifiées, il ressort que la variante A : collecteur à ciel </w:t>
      </w:r>
      <w:r w:rsidR="00430D7D" w:rsidRPr="00A9330B">
        <w:rPr>
          <w:rFonts w:cs="Arial"/>
        </w:rPr>
        <w:t>ouvert est</w:t>
      </w:r>
      <w:r w:rsidRPr="00A9330B">
        <w:rPr>
          <w:rFonts w:cs="Arial"/>
        </w:rPr>
        <w:t xml:space="preserve"> préférable et constitue la majorité des collecteurs à réaliser à </w:t>
      </w:r>
      <w:r w:rsidR="008A45BA" w:rsidRPr="00A9330B">
        <w:rPr>
          <w:rFonts w:cs="Arial"/>
        </w:rPr>
        <w:t>Natitingou</w:t>
      </w:r>
      <w:r w:rsidRPr="00A9330B">
        <w:rPr>
          <w:rFonts w:cs="Arial"/>
        </w:rPr>
        <w:t xml:space="preserve">. </w:t>
      </w:r>
    </w:p>
    <w:p w14:paraId="27E17442" w14:textId="77777777" w:rsidR="00401546" w:rsidRPr="00A9330B" w:rsidRDefault="00401546" w:rsidP="00401546">
      <w:pPr>
        <w:suppressAutoHyphens/>
        <w:spacing w:line="240" w:lineRule="auto"/>
        <w:ind w:left="720"/>
        <w:outlineLvl w:val="2"/>
        <w:rPr>
          <w:rFonts w:eastAsiaTheme="majorEastAsia" w:cstheme="majorBidi"/>
          <w:i/>
          <w:color w:val="auto"/>
          <w:sz w:val="26"/>
          <w:szCs w:val="24"/>
        </w:rPr>
      </w:pPr>
      <w:bookmarkStart w:id="899" w:name="_Toc43697657"/>
      <w:bookmarkStart w:id="900" w:name="_Toc45520860"/>
      <w:bookmarkStart w:id="901" w:name="_Toc52869660"/>
      <w:r w:rsidRPr="00A9330B">
        <w:rPr>
          <w:rFonts w:eastAsiaTheme="majorEastAsia" w:cstheme="majorBidi"/>
          <w:i/>
          <w:color w:val="auto"/>
          <w:sz w:val="26"/>
          <w:szCs w:val="24"/>
        </w:rPr>
        <w:t>6.1.2. Analyse des variantes de rues</w:t>
      </w:r>
      <w:bookmarkEnd w:id="899"/>
      <w:bookmarkEnd w:id="900"/>
      <w:bookmarkEnd w:id="901"/>
      <w:r w:rsidRPr="00A9330B">
        <w:rPr>
          <w:rFonts w:eastAsiaTheme="majorEastAsia" w:cstheme="majorBidi"/>
          <w:i/>
          <w:color w:val="auto"/>
          <w:sz w:val="26"/>
          <w:szCs w:val="24"/>
        </w:rPr>
        <w:t xml:space="preserve">   </w:t>
      </w:r>
    </w:p>
    <w:p w14:paraId="0F35C4AC" w14:textId="77777777" w:rsidR="00401546" w:rsidRPr="00A9330B" w:rsidRDefault="00401546" w:rsidP="00401546">
      <w:pPr>
        <w:jc w:val="both"/>
        <w:rPr>
          <w:rFonts w:cs="Arial"/>
        </w:rPr>
      </w:pPr>
      <w:r w:rsidRPr="00A9330B">
        <w:rPr>
          <w:rFonts w:cs="Arial"/>
        </w:rPr>
        <w:t>Étant donné qu’en général le projet est une construction, réhabilitation de tronçons routiers déjà existants, ainsi que certaines devant abriter des collecteurs, les possibilités variantes se limitent aux options d’aménagement des rues.</w:t>
      </w:r>
    </w:p>
    <w:p w14:paraId="1CC6B2E8" w14:textId="77777777" w:rsidR="00401546" w:rsidRPr="00A9330B" w:rsidRDefault="00401546" w:rsidP="00401546">
      <w:pPr>
        <w:jc w:val="both"/>
        <w:rPr>
          <w:rFonts w:cs="Arial"/>
        </w:rPr>
      </w:pPr>
      <w:r w:rsidRPr="00A9330B">
        <w:rPr>
          <w:rFonts w:cs="Arial"/>
        </w:rPr>
        <w:t>Le choix des options d’aménagements dépend de plusieurs critères :</w:t>
      </w:r>
    </w:p>
    <w:p w14:paraId="0DCA3F82" w14:textId="77777777" w:rsidR="00401546" w:rsidRPr="00A9330B" w:rsidRDefault="00401546" w:rsidP="00BD2F72">
      <w:pPr>
        <w:numPr>
          <w:ilvl w:val="0"/>
          <w:numId w:val="55"/>
        </w:numPr>
        <w:spacing w:before="60" w:line="240" w:lineRule="auto"/>
        <w:ind w:left="714" w:hanging="357"/>
        <w:jc w:val="both"/>
        <w:rPr>
          <w:rFonts w:eastAsia="Times New Roman" w:cs="Arial"/>
          <w:lang w:eastAsia="de-DE"/>
        </w:rPr>
      </w:pPr>
      <w:r w:rsidRPr="00A9330B">
        <w:rPr>
          <w:rFonts w:eastAsia="Times New Roman" w:cs="Arial"/>
          <w:lang w:eastAsia="de-DE"/>
        </w:rPr>
        <w:t xml:space="preserve">les caractéristiques géomorphologiques du sol, </w:t>
      </w:r>
    </w:p>
    <w:p w14:paraId="22F30DCF" w14:textId="77777777" w:rsidR="00401546" w:rsidRPr="00A9330B" w:rsidRDefault="00401546" w:rsidP="00BD2F72">
      <w:pPr>
        <w:numPr>
          <w:ilvl w:val="0"/>
          <w:numId w:val="55"/>
        </w:numPr>
        <w:spacing w:before="60" w:line="240" w:lineRule="auto"/>
        <w:ind w:left="714" w:hanging="357"/>
        <w:jc w:val="both"/>
        <w:rPr>
          <w:rFonts w:eastAsia="Times New Roman" w:cs="Arial"/>
          <w:lang w:eastAsia="de-DE"/>
        </w:rPr>
      </w:pPr>
      <w:r w:rsidRPr="00A9330B">
        <w:rPr>
          <w:rFonts w:eastAsia="Times New Roman" w:cs="Arial"/>
          <w:lang w:eastAsia="de-DE"/>
        </w:rPr>
        <w:t xml:space="preserve">les emprises retenues pour les rues, </w:t>
      </w:r>
    </w:p>
    <w:p w14:paraId="61657EC9" w14:textId="77777777" w:rsidR="00401546" w:rsidRPr="00A9330B" w:rsidRDefault="00401546" w:rsidP="00BD2F72">
      <w:pPr>
        <w:numPr>
          <w:ilvl w:val="0"/>
          <w:numId w:val="55"/>
        </w:numPr>
        <w:spacing w:before="60" w:line="240" w:lineRule="auto"/>
        <w:ind w:left="714" w:hanging="357"/>
        <w:jc w:val="both"/>
        <w:rPr>
          <w:rFonts w:eastAsia="Times New Roman" w:cs="Arial"/>
          <w:lang w:eastAsia="de-DE"/>
        </w:rPr>
      </w:pPr>
      <w:r w:rsidRPr="00A9330B">
        <w:rPr>
          <w:rFonts w:eastAsia="Times New Roman" w:cs="Arial"/>
          <w:lang w:eastAsia="de-DE"/>
        </w:rPr>
        <w:t>les aménagements projetés par type de rues,</w:t>
      </w:r>
    </w:p>
    <w:p w14:paraId="0DBDD4E4" w14:textId="77777777" w:rsidR="00401546" w:rsidRPr="00A9330B" w:rsidRDefault="00401546" w:rsidP="00BD2F72">
      <w:pPr>
        <w:numPr>
          <w:ilvl w:val="0"/>
          <w:numId w:val="55"/>
        </w:numPr>
        <w:spacing w:before="60" w:line="240" w:lineRule="auto"/>
        <w:ind w:left="714" w:hanging="357"/>
        <w:jc w:val="both"/>
        <w:rPr>
          <w:rFonts w:eastAsia="Times New Roman" w:cs="Arial"/>
          <w:lang w:eastAsia="de-DE"/>
        </w:rPr>
      </w:pPr>
      <w:r w:rsidRPr="00A9330B">
        <w:rPr>
          <w:rFonts w:eastAsia="Times New Roman" w:cs="Arial"/>
          <w:lang w:eastAsia="de-DE"/>
        </w:rPr>
        <w:t>durabilité ;</w:t>
      </w:r>
    </w:p>
    <w:p w14:paraId="469CE992" w14:textId="77777777" w:rsidR="00401546" w:rsidRPr="00A9330B" w:rsidRDefault="00401546" w:rsidP="00BD2F72">
      <w:pPr>
        <w:numPr>
          <w:ilvl w:val="0"/>
          <w:numId w:val="55"/>
        </w:numPr>
        <w:spacing w:before="60" w:line="240" w:lineRule="auto"/>
        <w:ind w:left="714" w:hanging="357"/>
        <w:jc w:val="both"/>
        <w:rPr>
          <w:rFonts w:eastAsia="Times New Roman" w:cs="Arial"/>
          <w:lang w:eastAsia="de-DE"/>
        </w:rPr>
      </w:pPr>
      <w:r w:rsidRPr="00A9330B">
        <w:rPr>
          <w:rFonts w:eastAsia="Times New Roman" w:cs="Arial"/>
          <w:lang w:eastAsia="de-DE"/>
        </w:rPr>
        <w:t>les aménagements paysagers,</w:t>
      </w:r>
    </w:p>
    <w:p w14:paraId="0CB96F77" w14:textId="77777777" w:rsidR="00401546" w:rsidRPr="00A9330B" w:rsidRDefault="00401546" w:rsidP="00BD2F72">
      <w:pPr>
        <w:numPr>
          <w:ilvl w:val="0"/>
          <w:numId w:val="55"/>
        </w:numPr>
        <w:spacing w:before="60" w:line="240" w:lineRule="auto"/>
        <w:ind w:left="714" w:hanging="357"/>
        <w:jc w:val="both"/>
        <w:rPr>
          <w:rFonts w:eastAsia="Times New Roman" w:cs="Arial"/>
          <w:lang w:eastAsia="de-DE"/>
        </w:rPr>
      </w:pPr>
      <w:r w:rsidRPr="00A9330B">
        <w:rPr>
          <w:rFonts w:eastAsia="Times New Roman" w:cs="Arial"/>
          <w:lang w:eastAsia="de-DE"/>
        </w:rPr>
        <w:t>le coût de l’aménagement.</w:t>
      </w:r>
    </w:p>
    <w:p w14:paraId="363EFACB" w14:textId="7A419E5A" w:rsidR="00401546" w:rsidRPr="00A9330B" w:rsidRDefault="00401546" w:rsidP="00401546">
      <w:pPr>
        <w:keepNext/>
        <w:spacing w:after="120" w:line="240" w:lineRule="auto"/>
        <w:jc w:val="center"/>
        <w:rPr>
          <w:rFonts w:eastAsia="Times New Roman" w:cs="Arial"/>
          <w:b/>
          <w:color w:val="000000"/>
          <w:sz w:val="20"/>
          <w:szCs w:val="20"/>
          <w:lang w:eastAsia="fr-FR"/>
        </w:rPr>
      </w:pPr>
      <w:bookmarkStart w:id="902" w:name="_Toc43696243"/>
      <w:bookmarkStart w:id="903" w:name="_Toc52873754"/>
      <w:r w:rsidRPr="00A9330B">
        <w:rPr>
          <w:rFonts w:eastAsia="Times New Roman" w:cs="Arial"/>
          <w:b/>
          <w:color w:val="000000"/>
          <w:sz w:val="20"/>
          <w:szCs w:val="20"/>
          <w:lang w:eastAsia="fr-FR"/>
        </w:rPr>
        <w:lastRenderedPageBreak/>
        <w:t xml:space="preserve">Tableau </w:t>
      </w:r>
      <w:r w:rsidRPr="00A9330B">
        <w:rPr>
          <w:rFonts w:eastAsia="Times New Roman" w:cs="Arial"/>
          <w:b/>
          <w:color w:val="000000"/>
          <w:sz w:val="20"/>
          <w:szCs w:val="20"/>
          <w:lang w:eastAsia="fr-FR"/>
        </w:rPr>
        <w:fldChar w:fldCharType="begin"/>
      </w:r>
      <w:r w:rsidRPr="00A9330B">
        <w:rPr>
          <w:rFonts w:eastAsia="Times New Roman" w:cs="Arial"/>
          <w:b/>
          <w:color w:val="000000"/>
          <w:sz w:val="20"/>
          <w:szCs w:val="20"/>
          <w:lang w:eastAsia="fr-FR"/>
        </w:rPr>
        <w:instrText xml:space="preserve"> SEQ Tableau \* ARABIC </w:instrText>
      </w:r>
      <w:r w:rsidRPr="00A9330B">
        <w:rPr>
          <w:rFonts w:eastAsia="Times New Roman" w:cs="Arial"/>
          <w:b/>
          <w:color w:val="000000"/>
          <w:sz w:val="20"/>
          <w:szCs w:val="20"/>
          <w:lang w:eastAsia="fr-FR"/>
        </w:rPr>
        <w:fldChar w:fldCharType="separate"/>
      </w:r>
      <w:r w:rsidR="007025F6" w:rsidRPr="00A9330B">
        <w:rPr>
          <w:rFonts w:eastAsia="Times New Roman" w:cs="Arial"/>
          <w:b/>
          <w:noProof/>
          <w:color w:val="000000"/>
          <w:sz w:val="20"/>
          <w:szCs w:val="20"/>
          <w:lang w:eastAsia="fr-FR"/>
        </w:rPr>
        <w:t>30</w:t>
      </w:r>
      <w:r w:rsidRPr="00A9330B">
        <w:rPr>
          <w:rFonts w:eastAsia="Times New Roman" w:cs="Arial"/>
          <w:b/>
          <w:color w:val="000000"/>
          <w:sz w:val="20"/>
          <w:szCs w:val="20"/>
          <w:lang w:eastAsia="fr-FR"/>
        </w:rPr>
        <w:fldChar w:fldCharType="end"/>
      </w:r>
      <w:r w:rsidRPr="00A9330B">
        <w:rPr>
          <w:rFonts w:eastAsia="Times New Roman" w:cs="Arial"/>
          <w:b/>
          <w:color w:val="000000"/>
          <w:sz w:val="20"/>
          <w:szCs w:val="20"/>
          <w:lang w:eastAsia="fr-FR"/>
        </w:rPr>
        <w:t> : Analyse des options d’aménagement des rues</w:t>
      </w:r>
      <w:bookmarkEnd w:id="902"/>
      <w:bookmarkEnd w:id="903"/>
      <w:r w:rsidRPr="00A9330B">
        <w:rPr>
          <w:rFonts w:eastAsia="Times New Roman" w:cs="Arial"/>
          <w:b/>
          <w:color w:val="000000"/>
          <w:sz w:val="20"/>
          <w:szCs w:val="20"/>
          <w:lang w:eastAsia="fr-FR"/>
        </w:rPr>
        <w:t xml:space="preserve"> </w:t>
      </w:r>
    </w:p>
    <w:tbl>
      <w:tblPr>
        <w:tblStyle w:val="Grilledutableau"/>
        <w:tblW w:w="0" w:type="auto"/>
        <w:jc w:val="center"/>
        <w:tblLook w:val="04A0" w:firstRow="1" w:lastRow="0" w:firstColumn="1" w:lastColumn="0" w:noHBand="0" w:noVBand="1"/>
      </w:tblPr>
      <w:tblGrid>
        <w:gridCol w:w="2539"/>
        <w:gridCol w:w="1477"/>
        <w:gridCol w:w="1553"/>
        <w:gridCol w:w="1651"/>
        <w:gridCol w:w="1485"/>
      </w:tblGrid>
      <w:tr w:rsidR="00401546" w:rsidRPr="00A9330B" w14:paraId="219A716D" w14:textId="77777777" w:rsidTr="00224551">
        <w:trPr>
          <w:jc w:val="center"/>
        </w:trPr>
        <w:tc>
          <w:tcPr>
            <w:tcW w:w="2539" w:type="dxa"/>
          </w:tcPr>
          <w:p w14:paraId="29280D2C" w14:textId="77777777" w:rsidR="00401546" w:rsidRPr="00A9330B" w:rsidRDefault="00401546" w:rsidP="00224551">
            <w:pPr>
              <w:spacing w:before="60" w:line="240" w:lineRule="auto"/>
              <w:rPr>
                <w:rFonts w:cs="Arial"/>
                <w:b/>
                <w:sz w:val="20"/>
                <w:szCs w:val="20"/>
              </w:rPr>
            </w:pPr>
            <w:r w:rsidRPr="00A9330B">
              <w:rPr>
                <w:rFonts w:cs="Arial"/>
                <w:b/>
                <w:sz w:val="20"/>
                <w:szCs w:val="20"/>
                <w:lang w:eastAsia="fr-FR"/>
              </w:rPr>
              <w:t>Critères de comparaison</w:t>
            </w:r>
          </w:p>
        </w:tc>
        <w:tc>
          <w:tcPr>
            <w:tcW w:w="1477" w:type="dxa"/>
          </w:tcPr>
          <w:p w14:paraId="008E1925" w14:textId="77777777" w:rsidR="00401546" w:rsidRPr="00A9330B" w:rsidRDefault="00401546" w:rsidP="00401546">
            <w:pPr>
              <w:spacing w:before="60" w:line="240" w:lineRule="auto"/>
              <w:rPr>
                <w:rFonts w:cs="Arial"/>
                <w:b/>
                <w:sz w:val="20"/>
                <w:szCs w:val="20"/>
                <w:lang w:eastAsia="fr-FR"/>
              </w:rPr>
            </w:pPr>
            <w:r w:rsidRPr="00A9330B">
              <w:rPr>
                <w:rFonts w:cs="Arial"/>
                <w:b/>
                <w:sz w:val="20"/>
                <w:szCs w:val="20"/>
                <w:lang w:eastAsia="fr-FR"/>
              </w:rPr>
              <w:t>Variante A</w:t>
            </w:r>
          </w:p>
          <w:p w14:paraId="666750D8" w14:textId="77777777" w:rsidR="00401546" w:rsidRPr="00A9330B" w:rsidRDefault="00401546" w:rsidP="00401546">
            <w:pPr>
              <w:spacing w:before="60" w:line="240" w:lineRule="auto"/>
              <w:rPr>
                <w:rFonts w:cs="Arial"/>
                <w:b/>
                <w:sz w:val="20"/>
                <w:szCs w:val="20"/>
                <w:lang w:eastAsia="fr-FR"/>
              </w:rPr>
            </w:pPr>
            <w:r w:rsidRPr="00A9330B">
              <w:rPr>
                <w:rFonts w:cs="Arial"/>
                <w:b/>
                <w:sz w:val="20"/>
                <w:szCs w:val="20"/>
                <w:lang w:eastAsia="fr-FR"/>
              </w:rPr>
              <w:t>Rue bitumée</w:t>
            </w:r>
          </w:p>
        </w:tc>
        <w:tc>
          <w:tcPr>
            <w:tcW w:w="1553" w:type="dxa"/>
          </w:tcPr>
          <w:p w14:paraId="24955559" w14:textId="77777777" w:rsidR="00401546" w:rsidRPr="00A9330B" w:rsidRDefault="00401546" w:rsidP="00401546">
            <w:pPr>
              <w:spacing w:before="60" w:line="240" w:lineRule="auto"/>
              <w:rPr>
                <w:rFonts w:cs="Arial"/>
                <w:b/>
                <w:sz w:val="20"/>
                <w:szCs w:val="20"/>
                <w:lang w:eastAsia="fr-FR"/>
              </w:rPr>
            </w:pPr>
            <w:r w:rsidRPr="00A9330B">
              <w:rPr>
                <w:rFonts w:cs="Arial"/>
                <w:b/>
                <w:sz w:val="20"/>
                <w:szCs w:val="20"/>
                <w:lang w:eastAsia="fr-FR"/>
              </w:rPr>
              <w:t>Variante B</w:t>
            </w:r>
          </w:p>
          <w:p w14:paraId="0FF80556" w14:textId="77777777" w:rsidR="00401546" w:rsidRPr="00A9330B" w:rsidRDefault="00401546" w:rsidP="00401546">
            <w:pPr>
              <w:spacing w:before="60" w:line="240" w:lineRule="auto"/>
              <w:rPr>
                <w:rFonts w:cs="Arial"/>
                <w:b/>
                <w:sz w:val="20"/>
                <w:szCs w:val="20"/>
              </w:rPr>
            </w:pPr>
            <w:r w:rsidRPr="00A9330B">
              <w:rPr>
                <w:rFonts w:cs="Arial"/>
                <w:b/>
                <w:sz w:val="20"/>
                <w:szCs w:val="20"/>
                <w:lang w:eastAsia="fr-FR"/>
              </w:rPr>
              <w:t xml:space="preserve">Rue pavée </w:t>
            </w:r>
          </w:p>
        </w:tc>
        <w:tc>
          <w:tcPr>
            <w:tcW w:w="1651" w:type="dxa"/>
          </w:tcPr>
          <w:p w14:paraId="38F16B17" w14:textId="77777777" w:rsidR="00401546" w:rsidRPr="00A9330B" w:rsidRDefault="00401546" w:rsidP="00224551">
            <w:pPr>
              <w:spacing w:before="60" w:line="240" w:lineRule="auto"/>
              <w:rPr>
                <w:rFonts w:cs="Arial"/>
                <w:b/>
                <w:sz w:val="20"/>
                <w:szCs w:val="20"/>
              </w:rPr>
            </w:pPr>
            <w:r w:rsidRPr="00A9330B">
              <w:rPr>
                <w:rFonts w:cs="Arial"/>
                <w:b/>
                <w:sz w:val="20"/>
                <w:szCs w:val="20"/>
              </w:rPr>
              <w:t>Commentaire</w:t>
            </w:r>
          </w:p>
        </w:tc>
        <w:tc>
          <w:tcPr>
            <w:tcW w:w="1485" w:type="dxa"/>
          </w:tcPr>
          <w:p w14:paraId="20A629B3" w14:textId="77777777" w:rsidR="00401546" w:rsidRPr="00A9330B" w:rsidRDefault="00401546" w:rsidP="00401546">
            <w:pPr>
              <w:spacing w:before="60" w:line="240" w:lineRule="auto"/>
              <w:rPr>
                <w:rFonts w:cs="Arial"/>
                <w:b/>
                <w:sz w:val="20"/>
                <w:szCs w:val="20"/>
              </w:rPr>
            </w:pPr>
            <w:r w:rsidRPr="00A9330B">
              <w:rPr>
                <w:rFonts w:cs="Arial"/>
                <w:b/>
                <w:sz w:val="20"/>
                <w:szCs w:val="20"/>
              </w:rPr>
              <w:t>Résultat</w:t>
            </w:r>
          </w:p>
        </w:tc>
      </w:tr>
      <w:tr w:rsidR="00401546" w:rsidRPr="00A9330B" w14:paraId="04E9703E" w14:textId="77777777" w:rsidTr="00224551">
        <w:trPr>
          <w:jc w:val="center"/>
        </w:trPr>
        <w:tc>
          <w:tcPr>
            <w:tcW w:w="5569" w:type="dxa"/>
            <w:gridSpan w:val="3"/>
          </w:tcPr>
          <w:p w14:paraId="3CFE1B52" w14:textId="77777777" w:rsidR="00401546" w:rsidRPr="00A9330B" w:rsidRDefault="00401546" w:rsidP="00224551">
            <w:pPr>
              <w:spacing w:before="60" w:line="240" w:lineRule="auto"/>
              <w:rPr>
                <w:rFonts w:cs="Arial"/>
                <w:b/>
                <w:sz w:val="20"/>
                <w:szCs w:val="20"/>
                <w:lang w:eastAsia="fr-FR"/>
              </w:rPr>
            </w:pPr>
            <w:r w:rsidRPr="00A9330B">
              <w:rPr>
                <w:rFonts w:cs="Arial"/>
                <w:b/>
                <w:sz w:val="20"/>
                <w:szCs w:val="20"/>
                <w:lang w:eastAsia="fr-FR"/>
              </w:rPr>
              <w:t xml:space="preserve">Critères techniques  </w:t>
            </w:r>
          </w:p>
        </w:tc>
        <w:tc>
          <w:tcPr>
            <w:tcW w:w="1651" w:type="dxa"/>
          </w:tcPr>
          <w:p w14:paraId="7B6ADF85" w14:textId="77777777" w:rsidR="00401546" w:rsidRPr="00A9330B" w:rsidRDefault="00401546" w:rsidP="00224551">
            <w:pPr>
              <w:spacing w:before="60" w:line="240" w:lineRule="auto"/>
              <w:rPr>
                <w:rFonts w:cs="Arial"/>
                <w:b/>
                <w:sz w:val="20"/>
                <w:szCs w:val="20"/>
              </w:rPr>
            </w:pPr>
          </w:p>
        </w:tc>
        <w:tc>
          <w:tcPr>
            <w:tcW w:w="1485" w:type="dxa"/>
            <w:vAlign w:val="center"/>
          </w:tcPr>
          <w:p w14:paraId="4E0DDD23" w14:textId="77777777" w:rsidR="00401546" w:rsidRPr="00A9330B" w:rsidRDefault="00401546" w:rsidP="00401546">
            <w:pPr>
              <w:spacing w:before="60" w:line="240" w:lineRule="auto"/>
              <w:rPr>
                <w:rFonts w:cs="Arial"/>
                <w:b/>
                <w:sz w:val="20"/>
                <w:szCs w:val="20"/>
              </w:rPr>
            </w:pPr>
          </w:p>
        </w:tc>
      </w:tr>
      <w:tr w:rsidR="00401546" w:rsidRPr="00A9330B" w14:paraId="433064FC" w14:textId="77777777" w:rsidTr="00224551">
        <w:trPr>
          <w:jc w:val="center"/>
        </w:trPr>
        <w:tc>
          <w:tcPr>
            <w:tcW w:w="2539" w:type="dxa"/>
          </w:tcPr>
          <w:p w14:paraId="0A83BCEA" w14:textId="77777777" w:rsidR="00401546" w:rsidRPr="00A9330B" w:rsidRDefault="00401546" w:rsidP="00224551">
            <w:pPr>
              <w:rPr>
                <w:rFonts w:cs="Arial"/>
                <w:b/>
                <w:sz w:val="20"/>
                <w:szCs w:val="20"/>
              </w:rPr>
            </w:pPr>
            <w:r w:rsidRPr="00A9330B">
              <w:rPr>
                <w:rFonts w:cs="Arial"/>
                <w:b/>
                <w:sz w:val="20"/>
                <w:szCs w:val="20"/>
              </w:rPr>
              <w:t>Caractéristiques géomorphologiques du sol (la tenure du sol, la structure du sol, les caractéristiques de la zone).</w:t>
            </w:r>
          </w:p>
        </w:tc>
        <w:tc>
          <w:tcPr>
            <w:tcW w:w="1477" w:type="dxa"/>
            <w:vAlign w:val="center"/>
          </w:tcPr>
          <w:p w14:paraId="7AF30DEF" w14:textId="77777777" w:rsidR="00401546" w:rsidRPr="00A9330B" w:rsidRDefault="00010F72" w:rsidP="00401546">
            <w:pPr>
              <w:spacing w:before="60" w:line="240" w:lineRule="auto"/>
              <w:rPr>
                <w:rFonts w:cs="Arial"/>
                <w:sz w:val="20"/>
                <w:szCs w:val="20"/>
              </w:rPr>
            </w:pPr>
            <w:r w:rsidRPr="00A9330B">
              <w:rPr>
                <w:rFonts w:cs="Arial"/>
                <w:sz w:val="20"/>
                <w:szCs w:val="20"/>
              </w:rPr>
              <w:t xml:space="preserve">Oui </w:t>
            </w:r>
          </w:p>
        </w:tc>
        <w:tc>
          <w:tcPr>
            <w:tcW w:w="1553" w:type="dxa"/>
            <w:vAlign w:val="center"/>
          </w:tcPr>
          <w:p w14:paraId="596A7B1D" w14:textId="77777777" w:rsidR="00401546" w:rsidRPr="00A9330B" w:rsidRDefault="00010F72" w:rsidP="00401546">
            <w:pPr>
              <w:spacing w:before="60" w:line="240" w:lineRule="auto"/>
              <w:rPr>
                <w:rFonts w:cs="Arial"/>
                <w:sz w:val="20"/>
                <w:szCs w:val="20"/>
              </w:rPr>
            </w:pPr>
            <w:r w:rsidRPr="00A9330B">
              <w:rPr>
                <w:rFonts w:cs="Arial"/>
                <w:sz w:val="20"/>
                <w:szCs w:val="20"/>
              </w:rPr>
              <w:t xml:space="preserve">Non </w:t>
            </w:r>
          </w:p>
        </w:tc>
        <w:tc>
          <w:tcPr>
            <w:tcW w:w="1651" w:type="dxa"/>
          </w:tcPr>
          <w:p w14:paraId="6501F9F3" w14:textId="77777777" w:rsidR="00010F72" w:rsidRPr="00A9330B" w:rsidRDefault="00010F72" w:rsidP="00224551">
            <w:pPr>
              <w:spacing w:before="60" w:line="240" w:lineRule="auto"/>
              <w:rPr>
                <w:rFonts w:cs="Arial"/>
                <w:sz w:val="20"/>
                <w:szCs w:val="20"/>
              </w:rPr>
            </w:pPr>
            <w:r w:rsidRPr="00A9330B">
              <w:rPr>
                <w:rFonts w:cs="Arial"/>
                <w:sz w:val="20"/>
                <w:szCs w:val="20"/>
              </w:rPr>
              <w:t>Sol rocheux</w:t>
            </w:r>
          </w:p>
          <w:p w14:paraId="17DEC721" w14:textId="77777777" w:rsidR="00401546" w:rsidRPr="00A9330B" w:rsidRDefault="00010F72" w:rsidP="00224551">
            <w:pPr>
              <w:spacing w:before="60" w:line="240" w:lineRule="auto"/>
              <w:rPr>
                <w:rFonts w:cs="Arial"/>
                <w:sz w:val="20"/>
                <w:szCs w:val="20"/>
              </w:rPr>
            </w:pPr>
            <w:r w:rsidRPr="00A9330B">
              <w:rPr>
                <w:rFonts w:cs="Arial"/>
                <w:sz w:val="20"/>
                <w:szCs w:val="20"/>
              </w:rPr>
              <w:t xml:space="preserve">Pentes très prononcées  </w:t>
            </w:r>
            <w:r w:rsidR="00401546" w:rsidRPr="00A9330B">
              <w:rPr>
                <w:rFonts w:cs="Arial"/>
                <w:sz w:val="20"/>
                <w:szCs w:val="20"/>
              </w:rPr>
              <w:t xml:space="preserve">  </w:t>
            </w:r>
          </w:p>
        </w:tc>
        <w:tc>
          <w:tcPr>
            <w:tcW w:w="1485" w:type="dxa"/>
            <w:vAlign w:val="center"/>
          </w:tcPr>
          <w:p w14:paraId="588A0D63" w14:textId="77777777" w:rsidR="00401546" w:rsidRPr="00A9330B" w:rsidRDefault="00010F72" w:rsidP="00401546">
            <w:pPr>
              <w:spacing w:before="60" w:line="240" w:lineRule="auto"/>
              <w:rPr>
                <w:rFonts w:cs="Arial"/>
                <w:sz w:val="20"/>
                <w:szCs w:val="20"/>
              </w:rPr>
            </w:pPr>
            <w:r w:rsidRPr="00A9330B">
              <w:rPr>
                <w:rFonts w:cs="Arial"/>
                <w:sz w:val="20"/>
                <w:szCs w:val="20"/>
              </w:rPr>
              <w:t>A</w:t>
            </w:r>
          </w:p>
        </w:tc>
      </w:tr>
      <w:tr w:rsidR="00401546" w:rsidRPr="00A9330B" w14:paraId="26985C90" w14:textId="77777777" w:rsidTr="00224551">
        <w:trPr>
          <w:jc w:val="center"/>
        </w:trPr>
        <w:tc>
          <w:tcPr>
            <w:tcW w:w="2539" w:type="dxa"/>
          </w:tcPr>
          <w:p w14:paraId="329EDF1B" w14:textId="77777777" w:rsidR="00401546" w:rsidRPr="00A9330B" w:rsidRDefault="00401546" w:rsidP="00224551">
            <w:pPr>
              <w:spacing w:before="60" w:line="240" w:lineRule="auto"/>
              <w:rPr>
                <w:rFonts w:cs="Arial"/>
                <w:b/>
                <w:sz w:val="20"/>
                <w:szCs w:val="20"/>
              </w:rPr>
            </w:pPr>
            <w:r w:rsidRPr="00A9330B">
              <w:rPr>
                <w:rFonts w:cs="Arial"/>
                <w:b/>
                <w:sz w:val="20"/>
                <w:szCs w:val="20"/>
              </w:rPr>
              <w:t>Emprises retenues pour les rues</w:t>
            </w:r>
          </w:p>
        </w:tc>
        <w:tc>
          <w:tcPr>
            <w:tcW w:w="1477" w:type="dxa"/>
            <w:vAlign w:val="center"/>
          </w:tcPr>
          <w:p w14:paraId="13E1D432" w14:textId="77777777" w:rsidR="00401546" w:rsidRPr="00A9330B" w:rsidRDefault="00401546" w:rsidP="00401546">
            <w:pPr>
              <w:spacing w:before="60" w:line="240" w:lineRule="auto"/>
              <w:rPr>
                <w:rFonts w:cs="Arial"/>
                <w:sz w:val="20"/>
                <w:szCs w:val="20"/>
              </w:rPr>
            </w:pPr>
            <w:r w:rsidRPr="00A9330B">
              <w:rPr>
                <w:rFonts w:cs="Arial"/>
                <w:sz w:val="20"/>
                <w:szCs w:val="20"/>
              </w:rPr>
              <w:t>Oui</w:t>
            </w:r>
          </w:p>
        </w:tc>
        <w:tc>
          <w:tcPr>
            <w:tcW w:w="1553" w:type="dxa"/>
            <w:vAlign w:val="center"/>
          </w:tcPr>
          <w:p w14:paraId="59963D48" w14:textId="77777777" w:rsidR="00401546" w:rsidRPr="00A9330B" w:rsidRDefault="00401546" w:rsidP="00401546">
            <w:pPr>
              <w:spacing w:before="60" w:line="240" w:lineRule="auto"/>
              <w:rPr>
                <w:rFonts w:cs="Arial"/>
                <w:sz w:val="20"/>
                <w:szCs w:val="20"/>
              </w:rPr>
            </w:pPr>
            <w:r w:rsidRPr="00A9330B">
              <w:rPr>
                <w:rFonts w:cs="Arial"/>
                <w:sz w:val="20"/>
                <w:szCs w:val="20"/>
              </w:rPr>
              <w:t xml:space="preserve">Oui </w:t>
            </w:r>
          </w:p>
        </w:tc>
        <w:tc>
          <w:tcPr>
            <w:tcW w:w="1651" w:type="dxa"/>
          </w:tcPr>
          <w:p w14:paraId="73B9D90E" w14:textId="77777777" w:rsidR="00401546" w:rsidRPr="00A9330B" w:rsidRDefault="00401546" w:rsidP="00224551">
            <w:pPr>
              <w:spacing w:before="60" w:line="240" w:lineRule="auto"/>
              <w:rPr>
                <w:rFonts w:cs="Arial"/>
                <w:sz w:val="20"/>
                <w:szCs w:val="20"/>
              </w:rPr>
            </w:pPr>
            <w:r w:rsidRPr="00A9330B">
              <w:rPr>
                <w:rFonts w:cs="Arial"/>
                <w:sz w:val="20"/>
                <w:szCs w:val="20"/>
              </w:rPr>
              <w:t xml:space="preserve">L’aménagement se fera de façade à ; façade </w:t>
            </w:r>
          </w:p>
        </w:tc>
        <w:tc>
          <w:tcPr>
            <w:tcW w:w="1485" w:type="dxa"/>
            <w:vAlign w:val="center"/>
          </w:tcPr>
          <w:p w14:paraId="3BC8EF7D" w14:textId="77777777" w:rsidR="00401546" w:rsidRPr="00A9330B" w:rsidRDefault="00401546" w:rsidP="00401546">
            <w:pPr>
              <w:spacing w:before="60" w:line="240" w:lineRule="auto"/>
              <w:rPr>
                <w:rFonts w:cs="Arial"/>
                <w:sz w:val="20"/>
                <w:szCs w:val="20"/>
              </w:rPr>
            </w:pPr>
            <w:r w:rsidRPr="00A9330B">
              <w:rPr>
                <w:rFonts w:cs="Arial"/>
                <w:sz w:val="20"/>
                <w:szCs w:val="20"/>
              </w:rPr>
              <w:t>A et B</w:t>
            </w:r>
          </w:p>
        </w:tc>
      </w:tr>
      <w:tr w:rsidR="00401546" w:rsidRPr="00A9330B" w14:paraId="6E041E66" w14:textId="77777777" w:rsidTr="00224551">
        <w:trPr>
          <w:jc w:val="center"/>
        </w:trPr>
        <w:tc>
          <w:tcPr>
            <w:tcW w:w="2539" w:type="dxa"/>
          </w:tcPr>
          <w:p w14:paraId="3E23C519" w14:textId="77777777" w:rsidR="00401546" w:rsidRPr="00A9330B" w:rsidRDefault="00401546" w:rsidP="00224551">
            <w:pPr>
              <w:spacing w:before="60" w:line="240" w:lineRule="auto"/>
              <w:rPr>
                <w:rFonts w:cs="Arial"/>
                <w:b/>
                <w:sz w:val="20"/>
                <w:szCs w:val="20"/>
              </w:rPr>
            </w:pPr>
            <w:r w:rsidRPr="00A9330B">
              <w:rPr>
                <w:rFonts w:cs="Arial"/>
                <w:b/>
                <w:sz w:val="20"/>
                <w:szCs w:val="20"/>
              </w:rPr>
              <w:t xml:space="preserve">Durabilité </w:t>
            </w:r>
          </w:p>
        </w:tc>
        <w:tc>
          <w:tcPr>
            <w:tcW w:w="1477" w:type="dxa"/>
            <w:vAlign w:val="center"/>
          </w:tcPr>
          <w:p w14:paraId="7D4D202D" w14:textId="77777777" w:rsidR="00401546" w:rsidRPr="00A9330B" w:rsidRDefault="00401546" w:rsidP="00401546">
            <w:pPr>
              <w:spacing w:before="60" w:line="240" w:lineRule="auto"/>
              <w:rPr>
                <w:rFonts w:cs="Arial"/>
                <w:sz w:val="20"/>
                <w:szCs w:val="20"/>
              </w:rPr>
            </w:pPr>
            <w:r w:rsidRPr="00A9330B">
              <w:rPr>
                <w:rFonts w:cs="Arial"/>
                <w:sz w:val="20"/>
                <w:szCs w:val="20"/>
              </w:rPr>
              <w:t>Oui</w:t>
            </w:r>
          </w:p>
        </w:tc>
        <w:tc>
          <w:tcPr>
            <w:tcW w:w="1553" w:type="dxa"/>
            <w:vAlign w:val="center"/>
          </w:tcPr>
          <w:p w14:paraId="12D86539" w14:textId="77777777" w:rsidR="00401546" w:rsidRPr="00A9330B" w:rsidRDefault="00401546" w:rsidP="00401546">
            <w:pPr>
              <w:spacing w:before="60" w:line="240" w:lineRule="auto"/>
              <w:rPr>
                <w:rFonts w:cs="Arial"/>
                <w:sz w:val="20"/>
                <w:szCs w:val="20"/>
              </w:rPr>
            </w:pPr>
            <w:r w:rsidRPr="00A9330B">
              <w:rPr>
                <w:rFonts w:cs="Arial"/>
                <w:sz w:val="20"/>
                <w:szCs w:val="20"/>
              </w:rPr>
              <w:t xml:space="preserve">Moins </w:t>
            </w:r>
          </w:p>
        </w:tc>
        <w:tc>
          <w:tcPr>
            <w:tcW w:w="1651" w:type="dxa"/>
          </w:tcPr>
          <w:p w14:paraId="12AFED63" w14:textId="77777777" w:rsidR="00401546" w:rsidRPr="00A9330B" w:rsidRDefault="00401546" w:rsidP="00224551">
            <w:pPr>
              <w:spacing w:before="60" w:line="240" w:lineRule="auto"/>
              <w:rPr>
                <w:rFonts w:cs="Arial"/>
                <w:sz w:val="20"/>
                <w:szCs w:val="20"/>
              </w:rPr>
            </w:pPr>
            <w:r w:rsidRPr="00A9330B">
              <w:rPr>
                <w:rFonts w:cs="Arial"/>
                <w:sz w:val="20"/>
                <w:szCs w:val="20"/>
              </w:rPr>
              <w:t xml:space="preserve">Presque identique </w:t>
            </w:r>
          </w:p>
        </w:tc>
        <w:tc>
          <w:tcPr>
            <w:tcW w:w="1485" w:type="dxa"/>
            <w:vAlign w:val="center"/>
          </w:tcPr>
          <w:p w14:paraId="0232B2DB" w14:textId="77777777" w:rsidR="00401546" w:rsidRPr="00A9330B" w:rsidRDefault="00401546" w:rsidP="00401546">
            <w:pPr>
              <w:spacing w:before="60" w:line="240" w:lineRule="auto"/>
              <w:rPr>
                <w:rFonts w:cs="Arial"/>
                <w:sz w:val="20"/>
                <w:szCs w:val="20"/>
              </w:rPr>
            </w:pPr>
            <w:r w:rsidRPr="00A9330B">
              <w:rPr>
                <w:rFonts w:cs="Arial"/>
                <w:sz w:val="20"/>
                <w:szCs w:val="20"/>
              </w:rPr>
              <w:t>A</w:t>
            </w:r>
          </w:p>
        </w:tc>
      </w:tr>
      <w:tr w:rsidR="00401546" w:rsidRPr="00A9330B" w14:paraId="06313F45" w14:textId="77777777" w:rsidTr="00224551">
        <w:trPr>
          <w:jc w:val="center"/>
        </w:trPr>
        <w:tc>
          <w:tcPr>
            <w:tcW w:w="2539" w:type="dxa"/>
          </w:tcPr>
          <w:p w14:paraId="2F0F1AA8" w14:textId="77777777" w:rsidR="00401546" w:rsidRPr="00A9330B" w:rsidRDefault="00401546" w:rsidP="00224551">
            <w:pPr>
              <w:spacing w:before="60" w:line="240" w:lineRule="auto"/>
              <w:rPr>
                <w:rFonts w:cs="Arial"/>
                <w:b/>
                <w:sz w:val="20"/>
                <w:szCs w:val="20"/>
              </w:rPr>
            </w:pPr>
            <w:r w:rsidRPr="00A9330B">
              <w:rPr>
                <w:rFonts w:cs="Arial"/>
                <w:b/>
                <w:sz w:val="20"/>
                <w:szCs w:val="20"/>
              </w:rPr>
              <w:t xml:space="preserve">Coût de l’aménagement   </w:t>
            </w:r>
          </w:p>
        </w:tc>
        <w:tc>
          <w:tcPr>
            <w:tcW w:w="1477" w:type="dxa"/>
            <w:vAlign w:val="center"/>
          </w:tcPr>
          <w:p w14:paraId="717E634A" w14:textId="77777777" w:rsidR="00401546" w:rsidRPr="00A9330B" w:rsidRDefault="00401546" w:rsidP="00401546">
            <w:pPr>
              <w:spacing w:before="60" w:line="240" w:lineRule="auto"/>
              <w:rPr>
                <w:rFonts w:cs="Arial"/>
                <w:sz w:val="20"/>
                <w:szCs w:val="20"/>
              </w:rPr>
            </w:pPr>
            <w:r w:rsidRPr="00A9330B">
              <w:rPr>
                <w:rFonts w:cs="Arial"/>
                <w:sz w:val="20"/>
                <w:szCs w:val="20"/>
              </w:rPr>
              <w:t xml:space="preserve">Plus élevé </w:t>
            </w:r>
          </w:p>
        </w:tc>
        <w:tc>
          <w:tcPr>
            <w:tcW w:w="1553" w:type="dxa"/>
            <w:vAlign w:val="center"/>
          </w:tcPr>
          <w:p w14:paraId="18B3F9EF" w14:textId="77777777" w:rsidR="00401546" w:rsidRPr="00A9330B" w:rsidRDefault="00401546" w:rsidP="00401546">
            <w:pPr>
              <w:spacing w:before="60" w:line="240" w:lineRule="auto"/>
              <w:rPr>
                <w:rFonts w:cs="Arial"/>
                <w:sz w:val="20"/>
                <w:szCs w:val="20"/>
              </w:rPr>
            </w:pPr>
            <w:r w:rsidRPr="00A9330B">
              <w:rPr>
                <w:rFonts w:cs="Arial"/>
                <w:sz w:val="20"/>
                <w:szCs w:val="20"/>
              </w:rPr>
              <w:t xml:space="preserve">Moins </w:t>
            </w:r>
          </w:p>
        </w:tc>
        <w:tc>
          <w:tcPr>
            <w:tcW w:w="1651" w:type="dxa"/>
          </w:tcPr>
          <w:p w14:paraId="4B87F69A" w14:textId="77777777" w:rsidR="00401546" w:rsidRPr="00A9330B" w:rsidRDefault="00401546" w:rsidP="00224551">
            <w:pPr>
              <w:spacing w:before="60" w:line="240" w:lineRule="auto"/>
              <w:rPr>
                <w:rFonts w:cs="Arial"/>
                <w:sz w:val="20"/>
                <w:szCs w:val="20"/>
              </w:rPr>
            </w:pPr>
            <w:r w:rsidRPr="00A9330B">
              <w:rPr>
                <w:rFonts w:cs="Arial"/>
                <w:sz w:val="20"/>
                <w:szCs w:val="20"/>
              </w:rPr>
              <w:t xml:space="preserve">Le bitumage revient plus cher à réaliser </w:t>
            </w:r>
          </w:p>
        </w:tc>
        <w:tc>
          <w:tcPr>
            <w:tcW w:w="1485" w:type="dxa"/>
            <w:vAlign w:val="center"/>
          </w:tcPr>
          <w:p w14:paraId="3A0C554D" w14:textId="77777777" w:rsidR="00401546" w:rsidRPr="00A9330B" w:rsidRDefault="00401546" w:rsidP="00401546">
            <w:pPr>
              <w:spacing w:before="60" w:line="240" w:lineRule="auto"/>
              <w:rPr>
                <w:rFonts w:cs="Arial"/>
                <w:sz w:val="20"/>
                <w:szCs w:val="20"/>
              </w:rPr>
            </w:pPr>
            <w:r w:rsidRPr="00A9330B">
              <w:rPr>
                <w:rFonts w:cs="Arial"/>
                <w:sz w:val="20"/>
                <w:szCs w:val="20"/>
              </w:rPr>
              <w:t>B</w:t>
            </w:r>
          </w:p>
        </w:tc>
      </w:tr>
      <w:tr w:rsidR="00401546" w:rsidRPr="00A9330B" w14:paraId="03F5700E" w14:textId="77777777" w:rsidTr="00224551">
        <w:trPr>
          <w:jc w:val="center"/>
        </w:trPr>
        <w:tc>
          <w:tcPr>
            <w:tcW w:w="2539" w:type="dxa"/>
          </w:tcPr>
          <w:p w14:paraId="2A54FACE" w14:textId="77777777" w:rsidR="00401546" w:rsidRPr="00A9330B" w:rsidRDefault="00401546" w:rsidP="00224551">
            <w:pPr>
              <w:spacing w:before="60" w:line="240" w:lineRule="auto"/>
              <w:rPr>
                <w:rFonts w:cs="Arial"/>
                <w:b/>
                <w:sz w:val="20"/>
                <w:szCs w:val="20"/>
              </w:rPr>
            </w:pPr>
            <w:r w:rsidRPr="00A9330B">
              <w:rPr>
                <w:rFonts w:cs="Arial"/>
                <w:b/>
                <w:sz w:val="20"/>
                <w:szCs w:val="20"/>
              </w:rPr>
              <w:t xml:space="preserve">Risque de dégradation </w:t>
            </w:r>
          </w:p>
        </w:tc>
        <w:tc>
          <w:tcPr>
            <w:tcW w:w="1477" w:type="dxa"/>
            <w:vAlign w:val="center"/>
          </w:tcPr>
          <w:p w14:paraId="19268848" w14:textId="77777777" w:rsidR="00401546" w:rsidRPr="00A9330B" w:rsidRDefault="00401546" w:rsidP="00401546">
            <w:pPr>
              <w:spacing w:before="60" w:line="240" w:lineRule="auto"/>
              <w:rPr>
                <w:rFonts w:cs="Arial"/>
                <w:sz w:val="20"/>
                <w:szCs w:val="20"/>
              </w:rPr>
            </w:pPr>
            <w:r w:rsidRPr="00A9330B">
              <w:rPr>
                <w:rFonts w:cs="Arial"/>
                <w:sz w:val="20"/>
                <w:szCs w:val="20"/>
              </w:rPr>
              <w:t xml:space="preserve">Moins </w:t>
            </w:r>
          </w:p>
        </w:tc>
        <w:tc>
          <w:tcPr>
            <w:tcW w:w="1553" w:type="dxa"/>
            <w:vAlign w:val="center"/>
          </w:tcPr>
          <w:p w14:paraId="7646E4A8" w14:textId="77777777" w:rsidR="00401546" w:rsidRPr="00A9330B" w:rsidRDefault="00401546" w:rsidP="00401546">
            <w:pPr>
              <w:spacing w:before="60" w:line="240" w:lineRule="auto"/>
              <w:rPr>
                <w:rFonts w:cs="Arial"/>
                <w:sz w:val="20"/>
                <w:szCs w:val="20"/>
              </w:rPr>
            </w:pPr>
            <w:r w:rsidRPr="00A9330B">
              <w:rPr>
                <w:rFonts w:cs="Arial"/>
                <w:sz w:val="20"/>
                <w:szCs w:val="20"/>
              </w:rPr>
              <w:t xml:space="preserve">Oui </w:t>
            </w:r>
          </w:p>
        </w:tc>
        <w:tc>
          <w:tcPr>
            <w:tcW w:w="1651" w:type="dxa"/>
          </w:tcPr>
          <w:p w14:paraId="18BEEB35" w14:textId="77777777" w:rsidR="00401546" w:rsidRPr="00A9330B" w:rsidRDefault="00401546" w:rsidP="00224551">
            <w:pPr>
              <w:spacing w:before="60" w:line="240" w:lineRule="auto"/>
              <w:rPr>
                <w:rFonts w:cs="Arial"/>
                <w:sz w:val="20"/>
                <w:szCs w:val="20"/>
              </w:rPr>
            </w:pPr>
            <w:r w:rsidRPr="00A9330B">
              <w:rPr>
                <w:rFonts w:cs="Arial"/>
                <w:sz w:val="20"/>
                <w:szCs w:val="20"/>
              </w:rPr>
              <w:t>Les rues pavées se dégradent plus vite que</w:t>
            </w:r>
            <w:r w:rsidR="00010F72" w:rsidRPr="00A9330B">
              <w:rPr>
                <w:rFonts w:cs="Arial"/>
                <w:sz w:val="20"/>
                <w:szCs w:val="20"/>
              </w:rPr>
              <w:t xml:space="preserve"> celles bitumées</w:t>
            </w:r>
          </w:p>
          <w:p w14:paraId="6F521290" w14:textId="77777777" w:rsidR="00010F72" w:rsidRPr="00A9330B" w:rsidRDefault="00010F72" w:rsidP="00224551">
            <w:pPr>
              <w:spacing w:before="60" w:line="240" w:lineRule="auto"/>
              <w:rPr>
                <w:rFonts w:cs="Arial"/>
                <w:sz w:val="20"/>
                <w:szCs w:val="20"/>
              </w:rPr>
            </w:pPr>
            <w:r w:rsidRPr="00A9330B">
              <w:rPr>
                <w:rFonts w:cs="Arial"/>
                <w:sz w:val="20"/>
                <w:szCs w:val="20"/>
              </w:rPr>
              <w:t xml:space="preserve">Surtout sur les terrains à pente forte </w:t>
            </w:r>
          </w:p>
        </w:tc>
        <w:tc>
          <w:tcPr>
            <w:tcW w:w="1485" w:type="dxa"/>
            <w:vAlign w:val="center"/>
          </w:tcPr>
          <w:p w14:paraId="3A9F1500" w14:textId="77777777" w:rsidR="00401546" w:rsidRPr="00A9330B" w:rsidRDefault="00401546" w:rsidP="00401546">
            <w:pPr>
              <w:spacing w:before="60" w:line="240" w:lineRule="auto"/>
              <w:rPr>
                <w:rFonts w:cs="Arial"/>
                <w:sz w:val="20"/>
                <w:szCs w:val="20"/>
              </w:rPr>
            </w:pPr>
            <w:r w:rsidRPr="00A9330B">
              <w:rPr>
                <w:rFonts w:cs="Arial"/>
                <w:sz w:val="20"/>
                <w:szCs w:val="20"/>
              </w:rPr>
              <w:t>A</w:t>
            </w:r>
          </w:p>
        </w:tc>
      </w:tr>
      <w:tr w:rsidR="00401546" w:rsidRPr="00A9330B" w14:paraId="5E345B17" w14:textId="77777777" w:rsidTr="00224551">
        <w:trPr>
          <w:jc w:val="center"/>
        </w:trPr>
        <w:tc>
          <w:tcPr>
            <w:tcW w:w="2539" w:type="dxa"/>
          </w:tcPr>
          <w:p w14:paraId="79D86E66" w14:textId="77777777" w:rsidR="00401546" w:rsidRPr="00A9330B" w:rsidRDefault="00401546" w:rsidP="00224551">
            <w:pPr>
              <w:spacing w:before="60" w:line="240" w:lineRule="auto"/>
              <w:rPr>
                <w:rFonts w:cs="Arial"/>
                <w:b/>
                <w:sz w:val="20"/>
                <w:szCs w:val="20"/>
              </w:rPr>
            </w:pPr>
            <w:r w:rsidRPr="00A9330B">
              <w:rPr>
                <w:rFonts w:cs="Arial"/>
                <w:b/>
                <w:sz w:val="20"/>
                <w:szCs w:val="20"/>
              </w:rPr>
              <w:t>Facilité d’entretien</w:t>
            </w:r>
          </w:p>
        </w:tc>
        <w:tc>
          <w:tcPr>
            <w:tcW w:w="1477" w:type="dxa"/>
            <w:vAlign w:val="center"/>
          </w:tcPr>
          <w:p w14:paraId="7F102A6C" w14:textId="77777777" w:rsidR="00401546" w:rsidRPr="00A9330B" w:rsidRDefault="00401546" w:rsidP="00401546">
            <w:pPr>
              <w:spacing w:before="60" w:line="240" w:lineRule="auto"/>
              <w:rPr>
                <w:rFonts w:cs="Arial"/>
                <w:sz w:val="20"/>
                <w:szCs w:val="20"/>
              </w:rPr>
            </w:pPr>
            <w:r w:rsidRPr="00A9330B">
              <w:rPr>
                <w:rFonts w:cs="Arial"/>
                <w:sz w:val="20"/>
                <w:szCs w:val="20"/>
              </w:rPr>
              <w:t xml:space="preserve">Moins </w:t>
            </w:r>
          </w:p>
        </w:tc>
        <w:tc>
          <w:tcPr>
            <w:tcW w:w="1553" w:type="dxa"/>
            <w:vAlign w:val="center"/>
          </w:tcPr>
          <w:p w14:paraId="2A387CAD" w14:textId="77777777" w:rsidR="00401546" w:rsidRPr="00A9330B" w:rsidRDefault="00401546" w:rsidP="00401546">
            <w:pPr>
              <w:spacing w:before="60" w:line="240" w:lineRule="auto"/>
              <w:rPr>
                <w:rFonts w:cs="Arial"/>
                <w:sz w:val="20"/>
                <w:szCs w:val="20"/>
              </w:rPr>
            </w:pPr>
            <w:r w:rsidRPr="00A9330B">
              <w:rPr>
                <w:rFonts w:cs="Arial"/>
                <w:sz w:val="20"/>
                <w:szCs w:val="20"/>
              </w:rPr>
              <w:t xml:space="preserve">Facile </w:t>
            </w:r>
          </w:p>
        </w:tc>
        <w:tc>
          <w:tcPr>
            <w:tcW w:w="1651" w:type="dxa"/>
          </w:tcPr>
          <w:p w14:paraId="5413D409" w14:textId="77777777" w:rsidR="00401546" w:rsidRPr="00A9330B" w:rsidRDefault="00401546" w:rsidP="00224551">
            <w:pPr>
              <w:spacing w:before="60" w:line="240" w:lineRule="auto"/>
              <w:rPr>
                <w:rFonts w:cs="Arial"/>
                <w:sz w:val="20"/>
                <w:szCs w:val="20"/>
              </w:rPr>
            </w:pPr>
            <w:r w:rsidRPr="00A9330B">
              <w:rPr>
                <w:rFonts w:cs="Arial"/>
                <w:sz w:val="20"/>
                <w:szCs w:val="20"/>
              </w:rPr>
              <w:t xml:space="preserve">Les pavés sont plus faciles à déposer et à remettre  en forme </w:t>
            </w:r>
          </w:p>
        </w:tc>
        <w:tc>
          <w:tcPr>
            <w:tcW w:w="1485" w:type="dxa"/>
            <w:vAlign w:val="center"/>
          </w:tcPr>
          <w:p w14:paraId="17BA3949" w14:textId="77777777" w:rsidR="00401546" w:rsidRPr="00A9330B" w:rsidRDefault="00401546" w:rsidP="00401546">
            <w:pPr>
              <w:spacing w:before="60" w:line="240" w:lineRule="auto"/>
              <w:rPr>
                <w:rFonts w:cs="Arial"/>
                <w:sz w:val="20"/>
                <w:szCs w:val="20"/>
              </w:rPr>
            </w:pPr>
            <w:r w:rsidRPr="00A9330B">
              <w:rPr>
                <w:rFonts w:cs="Arial"/>
                <w:sz w:val="20"/>
                <w:szCs w:val="20"/>
              </w:rPr>
              <w:t>B</w:t>
            </w:r>
          </w:p>
        </w:tc>
      </w:tr>
      <w:tr w:rsidR="00401546" w:rsidRPr="00A9330B" w14:paraId="4DFEED79" w14:textId="77777777" w:rsidTr="00224551">
        <w:trPr>
          <w:jc w:val="center"/>
        </w:trPr>
        <w:tc>
          <w:tcPr>
            <w:tcW w:w="2539" w:type="dxa"/>
          </w:tcPr>
          <w:p w14:paraId="19977CB1" w14:textId="77777777" w:rsidR="00401546" w:rsidRPr="00A9330B" w:rsidRDefault="00010F72" w:rsidP="00224551">
            <w:pPr>
              <w:spacing w:before="60" w:line="240" w:lineRule="auto"/>
              <w:rPr>
                <w:rFonts w:cs="Arial"/>
                <w:b/>
                <w:sz w:val="20"/>
                <w:szCs w:val="20"/>
              </w:rPr>
            </w:pPr>
            <w:r w:rsidRPr="00A9330B">
              <w:rPr>
                <w:rFonts w:cs="Arial"/>
                <w:b/>
                <w:sz w:val="20"/>
                <w:szCs w:val="20"/>
              </w:rPr>
              <w:t>L</w:t>
            </w:r>
            <w:r w:rsidR="00401546" w:rsidRPr="00A9330B">
              <w:rPr>
                <w:rFonts w:cs="Arial"/>
                <w:b/>
                <w:sz w:val="20"/>
                <w:szCs w:val="20"/>
              </w:rPr>
              <w:t>es aménagements paysagers</w:t>
            </w:r>
          </w:p>
        </w:tc>
        <w:tc>
          <w:tcPr>
            <w:tcW w:w="1477" w:type="dxa"/>
            <w:vAlign w:val="center"/>
          </w:tcPr>
          <w:p w14:paraId="63974507" w14:textId="77777777" w:rsidR="00401546" w:rsidRPr="00A9330B" w:rsidRDefault="00401546" w:rsidP="00401546">
            <w:pPr>
              <w:spacing w:before="60" w:line="240" w:lineRule="auto"/>
              <w:rPr>
                <w:rFonts w:cs="Arial"/>
                <w:sz w:val="20"/>
                <w:szCs w:val="20"/>
              </w:rPr>
            </w:pPr>
            <w:r w:rsidRPr="00A9330B">
              <w:rPr>
                <w:rFonts w:cs="Arial"/>
                <w:sz w:val="20"/>
                <w:szCs w:val="20"/>
              </w:rPr>
              <w:t xml:space="preserve">Oui </w:t>
            </w:r>
          </w:p>
        </w:tc>
        <w:tc>
          <w:tcPr>
            <w:tcW w:w="1553" w:type="dxa"/>
            <w:vAlign w:val="center"/>
          </w:tcPr>
          <w:p w14:paraId="3D3FF642" w14:textId="77777777" w:rsidR="00401546" w:rsidRPr="00A9330B" w:rsidRDefault="00401546" w:rsidP="00401546">
            <w:pPr>
              <w:spacing w:before="60" w:line="240" w:lineRule="auto"/>
              <w:rPr>
                <w:rFonts w:cs="Arial"/>
                <w:sz w:val="20"/>
                <w:szCs w:val="20"/>
              </w:rPr>
            </w:pPr>
            <w:r w:rsidRPr="00A9330B">
              <w:rPr>
                <w:rFonts w:cs="Arial"/>
                <w:sz w:val="20"/>
                <w:szCs w:val="20"/>
              </w:rPr>
              <w:t xml:space="preserve">Oui </w:t>
            </w:r>
          </w:p>
        </w:tc>
        <w:tc>
          <w:tcPr>
            <w:tcW w:w="1651" w:type="dxa"/>
          </w:tcPr>
          <w:p w14:paraId="59D71E36" w14:textId="77777777" w:rsidR="00401546" w:rsidRPr="00A9330B" w:rsidRDefault="00401546" w:rsidP="00224551">
            <w:pPr>
              <w:spacing w:before="60" w:line="240" w:lineRule="auto"/>
              <w:rPr>
                <w:rFonts w:cs="Arial"/>
                <w:sz w:val="20"/>
                <w:szCs w:val="20"/>
              </w:rPr>
            </w:pPr>
          </w:p>
        </w:tc>
        <w:tc>
          <w:tcPr>
            <w:tcW w:w="1485" w:type="dxa"/>
            <w:vAlign w:val="center"/>
          </w:tcPr>
          <w:p w14:paraId="2CAEEE76" w14:textId="77777777" w:rsidR="00401546" w:rsidRPr="00A9330B" w:rsidRDefault="00401546" w:rsidP="00401546">
            <w:pPr>
              <w:spacing w:before="60" w:line="240" w:lineRule="auto"/>
              <w:rPr>
                <w:rFonts w:cs="Arial"/>
                <w:sz w:val="20"/>
                <w:szCs w:val="20"/>
              </w:rPr>
            </w:pPr>
            <w:r w:rsidRPr="00A9330B">
              <w:rPr>
                <w:rFonts w:cs="Arial"/>
                <w:sz w:val="20"/>
                <w:szCs w:val="20"/>
              </w:rPr>
              <w:t>A et B</w:t>
            </w:r>
          </w:p>
        </w:tc>
      </w:tr>
      <w:tr w:rsidR="00401546" w:rsidRPr="00A9330B" w14:paraId="1A9B949A" w14:textId="77777777" w:rsidTr="00224551">
        <w:trPr>
          <w:jc w:val="center"/>
        </w:trPr>
        <w:tc>
          <w:tcPr>
            <w:tcW w:w="5569" w:type="dxa"/>
            <w:gridSpan w:val="3"/>
          </w:tcPr>
          <w:p w14:paraId="47E9152C" w14:textId="77777777" w:rsidR="00401546" w:rsidRPr="00A9330B" w:rsidRDefault="00401546" w:rsidP="00224551">
            <w:pPr>
              <w:spacing w:before="60" w:line="240" w:lineRule="auto"/>
              <w:rPr>
                <w:rFonts w:cs="Arial"/>
                <w:sz w:val="20"/>
                <w:szCs w:val="20"/>
              </w:rPr>
            </w:pPr>
            <w:r w:rsidRPr="00A9330B">
              <w:rPr>
                <w:rFonts w:cs="Arial"/>
                <w:b/>
                <w:sz w:val="20"/>
                <w:szCs w:val="20"/>
              </w:rPr>
              <w:t xml:space="preserve">Critères environnementales et sociales </w:t>
            </w:r>
          </w:p>
        </w:tc>
        <w:tc>
          <w:tcPr>
            <w:tcW w:w="1651" w:type="dxa"/>
          </w:tcPr>
          <w:p w14:paraId="53DE0722" w14:textId="77777777" w:rsidR="00401546" w:rsidRPr="00A9330B" w:rsidRDefault="00401546" w:rsidP="00224551">
            <w:pPr>
              <w:spacing w:before="60" w:line="240" w:lineRule="auto"/>
              <w:rPr>
                <w:rFonts w:cs="Arial"/>
                <w:sz w:val="20"/>
                <w:szCs w:val="20"/>
              </w:rPr>
            </w:pPr>
          </w:p>
        </w:tc>
        <w:tc>
          <w:tcPr>
            <w:tcW w:w="1485" w:type="dxa"/>
            <w:vAlign w:val="center"/>
          </w:tcPr>
          <w:p w14:paraId="07C48E81" w14:textId="77777777" w:rsidR="00401546" w:rsidRPr="00A9330B" w:rsidRDefault="00401546" w:rsidP="00401546">
            <w:pPr>
              <w:spacing w:before="60" w:line="240" w:lineRule="auto"/>
              <w:rPr>
                <w:rFonts w:cs="Arial"/>
                <w:sz w:val="20"/>
                <w:szCs w:val="20"/>
              </w:rPr>
            </w:pPr>
          </w:p>
        </w:tc>
      </w:tr>
      <w:tr w:rsidR="00401546" w:rsidRPr="00A9330B" w14:paraId="28E26E72" w14:textId="77777777" w:rsidTr="00224551">
        <w:trPr>
          <w:jc w:val="center"/>
        </w:trPr>
        <w:tc>
          <w:tcPr>
            <w:tcW w:w="2539" w:type="dxa"/>
            <w:vAlign w:val="center"/>
          </w:tcPr>
          <w:p w14:paraId="5DA09217" w14:textId="77777777" w:rsidR="00401546" w:rsidRPr="00A9330B" w:rsidRDefault="00401546" w:rsidP="00224551">
            <w:pPr>
              <w:autoSpaceDE w:val="0"/>
              <w:autoSpaceDN w:val="0"/>
              <w:adjustRightInd w:val="0"/>
              <w:spacing w:line="240" w:lineRule="auto"/>
              <w:rPr>
                <w:rFonts w:cs="Arial"/>
                <w:b/>
                <w:sz w:val="20"/>
                <w:szCs w:val="20"/>
                <w:lang w:eastAsia="fr-FR"/>
              </w:rPr>
            </w:pPr>
            <w:r w:rsidRPr="00A9330B">
              <w:rPr>
                <w:rFonts w:cs="Arial"/>
                <w:b/>
                <w:sz w:val="20"/>
                <w:szCs w:val="20"/>
                <w:lang w:eastAsia="fr-FR"/>
              </w:rPr>
              <w:t>Affectation/déplacement de personnes</w:t>
            </w:r>
          </w:p>
        </w:tc>
        <w:tc>
          <w:tcPr>
            <w:tcW w:w="1477" w:type="dxa"/>
            <w:vAlign w:val="center"/>
          </w:tcPr>
          <w:p w14:paraId="74115465" w14:textId="77777777" w:rsidR="00401546" w:rsidRPr="00A9330B" w:rsidRDefault="00401546" w:rsidP="00401546">
            <w:pPr>
              <w:spacing w:line="240" w:lineRule="auto"/>
              <w:rPr>
                <w:rFonts w:cs="Arial"/>
                <w:sz w:val="20"/>
                <w:szCs w:val="20"/>
              </w:rPr>
            </w:pPr>
            <w:r w:rsidRPr="00A9330B">
              <w:rPr>
                <w:rFonts w:cs="Arial"/>
                <w:sz w:val="20"/>
                <w:szCs w:val="20"/>
              </w:rPr>
              <w:t>Moins</w:t>
            </w:r>
          </w:p>
        </w:tc>
        <w:tc>
          <w:tcPr>
            <w:tcW w:w="1553" w:type="dxa"/>
            <w:vAlign w:val="center"/>
          </w:tcPr>
          <w:p w14:paraId="57DF90F0" w14:textId="77777777" w:rsidR="00401546" w:rsidRPr="00A9330B" w:rsidRDefault="00401546" w:rsidP="00401546">
            <w:pPr>
              <w:spacing w:line="240" w:lineRule="auto"/>
              <w:rPr>
                <w:rFonts w:cs="Arial"/>
                <w:sz w:val="20"/>
                <w:szCs w:val="20"/>
              </w:rPr>
            </w:pPr>
            <w:r w:rsidRPr="00A9330B">
              <w:rPr>
                <w:rFonts w:cs="Arial"/>
                <w:sz w:val="20"/>
                <w:szCs w:val="20"/>
              </w:rPr>
              <w:t>Moins</w:t>
            </w:r>
          </w:p>
        </w:tc>
        <w:tc>
          <w:tcPr>
            <w:tcW w:w="1651" w:type="dxa"/>
            <w:vAlign w:val="center"/>
          </w:tcPr>
          <w:p w14:paraId="36C836E8" w14:textId="77777777" w:rsidR="00401546" w:rsidRPr="00A9330B" w:rsidRDefault="00401546" w:rsidP="00224551">
            <w:pPr>
              <w:spacing w:line="240" w:lineRule="auto"/>
              <w:rPr>
                <w:rFonts w:cs="Arial"/>
                <w:sz w:val="20"/>
                <w:szCs w:val="20"/>
              </w:rPr>
            </w:pPr>
            <w:r w:rsidRPr="00A9330B">
              <w:rPr>
                <w:rFonts w:cs="Arial"/>
                <w:sz w:val="20"/>
                <w:szCs w:val="20"/>
              </w:rPr>
              <w:t xml:space="preserve">Les voies à aménager existe déjà </w:t>
            </w:r>
          </w:p>
        </w:tc>
        <w:tc>
          <w:tcPr>
            <w:tcW w:w="1485" w:type="dxa"/>
            <w:vAlign w:val="center"/>
          </w:tcPr>
          <w:p w14:paraId="39EF3574" w14:textId="77777777" w:rsidR="00401546" w:rsidRPr="00A9330B" w:rsidRDefault="00401546" w:rsidP="00401546">
            <w:pPr>
              <w:spacing w:before="60" w:line="240" w:lineRule="auto"/>
              <w:rPr>
                <w:rFonts w:cs="Arial"/>
                <w:sz w:val="20"/>
                <w:szCs w:val="20"/>
              </w:rPr>
            </w:pPr>
            <w:r w:rsidRPr="00A9330B">
              <w:rPr>
                <w:rFonts w:cs="Arial"/>
                <w:sz w:val="20"/>
                <w:szCs w:val="20"/>
              </w:rPr>
              <w:t>A et B</w:t>
            </w:r>
          </w:p>
        </w:tc>
      </w:tr>
      <w:tr w:rsidR="00401546" w:rsidRPr="00A9330B" w14:paraId="5C2A8ECB" w14:textId="77777777" w:rsidTr="00224551">
        <w:trPr>
          <w:jc w:val="center"/>
        </w:trPr>
        <w:tc>
          <w:tcPr>
            <w:tcW w:w="2539" w:type="dxa"/>
            <w:vAlign w:val="center"/>
          </w:tcPr>
          <w:p w14:paraId="11B3D3F3" w14:textId="77777777" w:rsidR="00401546" w:rsidRPr="00A9330B" w:rsidRDefault="00401546" w:rsidP="00224551">
            <w:pPr>
              <w:spacing w:line="240" w:lineRule="auto"/>
              <w:rPr>
                <w:rFonts w:cs="Arial"/>
                <w:b/>
                <w:sz w:val="20"/>
                <w:szCs w:val="20"/>
                <w:lang w:bidi="fr-FR"/>
              </w:rPr>
            </w:pPr>
            <w:r w:rsidRPr="00A9330B">
              <w:rPr>
                <w:rFonts w:cs="Arial"/>
                <w:b/>
                <w:sz w:val="20"/>
                <w:szCs w:val="20"/>
              </w:rPr>
              <w:t>Détérioration ou perte d’habitats pouvant affecter la biodiversité du milieu</w:t>
            </w:r>
          </w:p>
        </w:tc>
        <w:tc>
          <w:tcPr>
            <w:tcW w:w="1477" w:type="dxa"/>
            <w:vAlign w:val="center"/>
          </w:tcPr>
          <w:p w14:paraId="3AD6BE29" w14:textId="77777777" w:rsidR="00401546" w:rsidRPr="00A9330B" w:rsidRDefault="00401546" w:rsidP="00401546">
            <w:pPr>
              <w:spacing w:line="240" w:lineRule="auto"/>
              <w:rPr>
                <w:rFonts w:cs="Arial"/>
                <w:sz w:val="20"/>
                <w:szCs w:val="20"/>
              </w:rPr>
            </w:pPr>
            <w:r w:rsidRPr="00A9330B">
              <w:rPr>
                <w:rFonts w:cs="Arial"/>
                <w:sz w:val="20"/>
                <w:szCs w:val="20"/>
              </w:rPr>
              <w:t xml:space="preserve">Moins  </w:t>
            </w:r>
          </w:p>
        </w:tc>
        <w:tc>
          <w:tcPr>
            <w:tcW w:w="1553" w:type="dxa"/>
            <w:vAlign w:val="center"/>
          </w:tcPr>
          <w:p w14:paraId="5B49FD2A" w14:textId="77777777" w:rsidR="00401546" w:rsidRPr="00A9330B" w:rsidRDefault="00401546" w:rsidP="00401546">
            <w:pPr>
              <w:spacing w:line="240" w:lineRule="auto"/>
              <w:rPr>
                <w:rFonts w:cs="Arial"/>
                <w:sz w:val="20"/>
                <w:szCs w:val="20"/>
              </w:rPr>
            </w:pPr>
            <w:r w:rsidRPr="00A9330B">
              <w:rPr>
                <w:rFonts w:cs="Arial"/>
                <w:sz w:val="20"/>
                <w:szCs w:val="20"/>
              </w:rPr>
              <w:t xml:space="preserve">Moins  </w:t>
            </w:r>
          </w:p>
        </w:tc>
        <w:tc>
          <w:tcPr>
            <w:tcW w:w="1651" w:type="dxa"/>
            <w:vAlign w:val="center"/>
          </w:tcPr>
          <w:p w14:paraId="40821F08" w14:textId="77777777" w:rsidR="00401546" w:rsidRPr="00A9330B" w:rsidRDefault="00401546" w:rsidP="00224551">
            <w:pPr>
              <w:spacing w:line="240" w:lineRule="auto"/>
              <w:rPr>
                <w:rFonts w:cs="Arial"/>
                <w:sz w:val="20"/>
                <w:szCs w:val="20"/>
              </w:rPr>
            </w:pPr>
            <w:r w:rsidRPr="00A9330B">
              <w:rPr>
                <w:rFonts w:cs="Arial"/>
                <w:sz w:val="20"/>
                <w:szCs w:val="20"/>
              </w:rPr>
              <w:t xml:space="preserve">Les voies à aménager existe déjà  sauf celles qui permettent d’accéder aux collecteurs </w:t>
            </w:r>
          </w:p>
        </w:tc>
        <w:tc>
          <w:tcPr>
            <w:tcW w:w="1485" w:type="dxa"/>
            <w:vAlign w:val="center"/>
          </w:tcPr>
          <w:p w14:paraId="5AED4986" w14:textId="77777777" w:rsidR="00401546" w:rsidRPr="00A9330B" w:rsidRDefault="00401546" w:rsidP="00401546">
            <w:pPr>
              <w:spacing w:before="60" w:line="240" w:lineRule="auto"/>
              <w:rPr>
                <w:rFonts w:cs="Arial"/>
                <w:sz w:val="20"/>
                <w:szCs w:val="20"/>
              </w:rPr>
            </w:pPr>
            <w:r w:rsidRPr="00A9330B">
              <w:rPr>
                <w:rFonts w:cs="Arial"/>
                <w:sz w:val="20"/>
                <w:szCs w:val="20"/>
              </w:rPr>
              <w:t>A et B</w:t>
            </w:r>
          </w:p>
        </w:tc>
      </w:tr>
      <w:tr w:rsidR="00401546" w:rsidRPr="00A9330B" w14:paraId="1FCC0181" w14:textId="77777777" w:rsidTr="00224551">
        <w:trPr>
          <w:jc w:val="center"/>
        </w:trPr>
        <w:tc>
          <w:tcPr>
            <w:tcW w:w="8705" w:type="dxa"/>
            <w:gridSpan w:val="5"/>
            <w:vAlign w:val="center"/>
          </w:tcPr>
          <w:p w14:paraId="67B4D7E9" w14:textId="77777777" w:rsidR="00401546" w:rsidRPr="00A9330B" w:rsidRDefault="00401546" w:rsidP="0051077A">
            <w:pPr>
              <w:spacing w:before="60" w:line="240" w:lineRule="auto"/>
              <w:rPr>
                <w:rFonts w:cs="Arial"/>
                <w:b/>
                <w:i/>
                <w:sz w:val="20"/>
                <w:szCs w:val="20"/>
              </w:rPr>
            </w:pPr>
            <w:r w:rsidRPr="00A9330B">
              <w:rPr>
                <w:rFonts w:cs="Arial"/>
                <w:b/>
                <w:i/>
                <w:sz w:val="20"/>
                <w:szCs w:val="20"/>
              </w:rPr>
              <w:t xml:space="preserve">Variante B : Voie </w:t>
            </w:r>
            <w:r w:rsidR="0051077A" w:rsidRPr="00A9330B">
              <w:rPr>
                <w:rFonts w:cs="Arial"/>
                <w:b/>
                <w:i/>
                <w:sz w:val="20"/>
                <w:szCs w:val="20"/>
              </w:rPr>
              <w:t xml:space="preserve">bitumée </w:t>
            </w:r>
            <w:r w:rsidRPr="00A9330B">
              <w:rPr>
                <w:rFonts w:cs="Arial"/>
                <w:b/>
                <w:i/>
                <w:sz w:val="20"/>
                <w:szCs w:val="20"/>
              </w:rPr>
              <w:t>choisi</w:t>
            </w:r>
            <w:r w:rsidR="0051077A" w:rsidRPr="00A9330B">
              <w:rPr>
                <w:rFonts w:cs="Arial"/>
                <w:b/>
                <w:i/>
                <w:sz w:val="20"/>
                <w:szCs w:val="20"/>
              </w:rPr>
              <w:t>e</w:t>
            </w:r>
            <w:r w:rsidRPr="00A9330B">
              <w:rPr>
                <w:rFonts w:cs="Arial"/>
                <w:b/>
                <w:i/>
                <w:sz w:val="20"/>
                <w:szCs w:val="20"/>
              </w:rPr>
              <w:t xml:space="preserve"> en </w:t>
            </w:r>
            <w:r w:rsidR="0051077A" w:rsidRPr="00A9330B">
              <w:rPr>
                <w:rFonts w:cs="Arial"/>
                <w:b/>
                <w:i/>
                <w:sz w:val="20"/>
                <w:szCs w:val="20"/>
              </w:rPr>
              <w:t>totalité</w:t>
            </w:r>
          </w:p>
        </w:tc>
      </w:tr>
    </w:tbl>
    <w:p w14:paraId="70626F01" w14:textId="77777777" w:rsidR="00401546" w:rsidRPr="00A9330B" w:rsidRDefault="00401546" w:rsidP="00401546">
      <w:pPr>
        <w:rPr>
          <w:rFonts w:cs="Arial"/>
        </w:rPr>
      </w:pPr>
    </w:p>
    <w:p w14:paraId="0B495B99" w14:textId="77777777" w:rsidR="00224551" w:rsidRPr="00A9330B" w:rsidRDefault="00224551">
      <w:pPr>
        <w:spacing w:before="0" w:after="160" w:line="259" w:lineRule="auto"/>
        <w:rPr>
          <w:rFonts w:cs="Arial"/>
        </w:rPr>
      </w:pPr>
      <w:r w:rsidRPr="00A9330B">
        <w:rPr>
          <w:rFonts w:cs="Arial"/>
        </w:rPr>
        <w:br w:type="page"/>
      </w:r>
    </w:p>
    <w:p w14:paraId="184BB528" w14:textId="77777777" w:rsidR="00401546" w:rsidRPr="00A9330B" w:rsidRDefault="00401546" w:rsidP="00BD2F72">
      <w:pPr>
        <w:numPr>
          <w:ilvl w:val="0"/>
          <w:numId w:val="58"/>
        </w:numPr>
        <w:overflowPunct w:val="0"/>
        <w:autoSpaceDE w:val="0"/>
        <w:autoSpaceDN w:val="0"/>
        <w:adjustRightInd w:val="0"/>
        <w:spacing w:line="288" w:lineRule="auto"/>
        <w:contextualSpacing/>
        <w:rPr>
          <w:rFonts w:eastAsia="Times New Roman" w:cs="Times New Roman"/>
          <w:b/>
          <w:szCs w:val="20"/>
          <w:lang w:eastAsia="de-DE"/>
        </w:rPr>
      </w:pPr>
      <w:r w:rsidRPr="00A9330B">
        <w:rPr>
          <w:rFonts w:eastAsia="Times New Roman" w:cs="Times New Roman"/>
          <w:b/>
          <w:szCs w:val="20"/>
          <w:lang w:eastAsia="de-DE"/>
        </w:rPr>
        <w:lastRenderedPageBreak/>
        <w:t>Présentation des options d’aménagement suivant les catégories de rues</w:t>
      </w:r>
    </w:p>
    <w:p w14:paraId="2B717854" w14:textId="77777777" w:rsidR="00401546" w:rsidRPr="00A9330B" w:rsidRDefault="00401546" w:rsidP="007025F6">
      <w:pPr>
        <w:jc w:val="both"/>
      </w:pPr>
      <w:r w:rsidRPr="00A9330B">
        <w:t>Selon les catégories des rues, plusieurs options d’aménagement peuvent être proposées. Les options prennent en compte :</w:t>
      </w:r>
    </w:p>
    <w:p w14:paraId="3B21FC38" w14:textId="77777777" w:rsidR="00401546" w:rsidRPr="00A9330B" w:rsidRDefault="00401546" w:rsidP="007025F6">
      <w:pPr>
        <w:jc w:val="both"/>
      </w:pPr>
      <w:r w:rsidRPr="00A9330B">
        <w:t xml:space="preserve">Les options d’aménagements des rues sont présentées dans le tableau ci-après. </w:t>
      </w:r>
    </w:p>
    <w:p w14:paraId="21D5B1AF" w14:textId="10CC10DE" w:rsidR="00401546" w:rsidRPr="00A9330B" w:rsidRDefault="00401546" w:rsidP="00BD2F72">
      <w:pPr>
        <w:numPr>
          <w:ilvl w:val="0"/>
          <w:numId w:val="56"/>
        </w:numPr>
        <w:jc w:val="both"/>
        <w:rPr>
          <w:rFonts w:eastAsia="Times New Roman" w:cs="Times New Roman"/>
          <w:lang w:eastAsia="de-DE"/>
        </w:rPr>
      </w:pPr>
      <w:r w:rsidRPr="00A9330B">
        <w:rPr>
          <w:rFonts w:eastAsia="Times New Roman" w:cs="Times New Roman"/>
          <w:lang w:eastAsia="de-DE"/>
        </w:rPr>
        <w:t xml:space="preserve">les caractéristiques </w:t>
      </w:r>
      <w:r w:rsidR="00A6586F" w:rsidRPr="00A9330B">
        <w:rPr>
          <w:rFonts w:eastAsia="Times New Roman" w:cs="Times New Roman"/>
          <w:lang w:eastAsia="de-DE"/>
        </w:rPr>
        <w:t>des rues</w:t>
      </w:r>
      <w:r w:rsidRPr="00A9330B">
        <w:rPr>
          <w:rFonts w:eastAsia="Times New Roman" w:cs="Times New Roman"/>
          <w:lang w:eastAsia="de-DE"/>
        </w:rPr>
        <w:t> ;</w:t>
      </w:r>
    </w:p>
    <w:p w14:paraId="1E0E490A" w14:textId="77777777" w:rsidR="00401546" w:rsidRPr="00A9330B" w:rsidRDefault="00401546" w:rsidP="00BD2F72">
      <w:pPr>
        <w:numPr>
          <w:ilvl w:val="0"/>
          <w:numId w:val="56"/>
        </w:numPr>
        <w:jc w:val="both"/>
        <w:rPr>
          <w:rFonts w:eastAsia="Times New Roman" w:cs="Times New Roman"/>
          <w:lang w:eastAsia="de-DE"/>
        </w:rPr>
      </w:pPr>
      <w:r w:rsidRPr="00A9330B">
        <w:rPr>
          <w:rFonts w:eastAsia="Times New Roman" w:cs="Times New Roman"/>
          <w:lang w:eastAsia="de-DE"/>
        </w:rPr>
        <w:t>les emprises des rues ;</w:t>
      </w:r>
    </w:p>
    <w:p w14:paraId="2514BC88" w14:textId="77777777" w:rsidR="00401546" w:rsidRPr="00A9330B" w:rsidRDefault="00401546" w:rsidP="00BD2F72">
      <w:pPr>
        <w:numPr>
          <w:ilvl w:val="0"/>
          <w:numId w:val="56"/>
        </w:numPr>
        <w:jc w:val="both"/>
        <w:rPr>
          <w:rFonts w:eastAsia="Times New Roman" w:cs="Times New Roman"/>
          <w:lang w:eastAsia="de-DE"/>
        </w:rPr>
      </w:pPr>
      <w:r w:rsidRPr="00A9330B">
        <w:rPr>
          <w:rFonts w:eastAsia="Times New Roman" w:cs="Times New Roman"/>
          <w:lang w:eastAsia="de-DE"/>
        </w:rPr>
        <w:t>les aménagements paysagers ;</w:t>
      </w:r>
    </w:p>
    <w:p w14:paraId="27917437" w14:textId="77777777" w:rsidR="00401546" w:rsidRPr="00A9330B" w:rsidRDefault="00401546" w:rsidP="00BD2F72">
      <w:pPr>
        <w:numPr>
          <w:ilvl w:val="0"/>
          <w:numId w:val="56"/>
        </w:numPr>
        <w:jc w:val="both"/>
        <w:rPr>
          <w:rFonts w:eastAsia="Times New Roman" w:cs="Times New Roman"/>
          <w:lang w:eastAsia="de-DE"/>
        </w:rPr>
      </w:pPr>
      <w:r w:rsidRPr="00A9330B">
        <w:rPr>
          <w:rFonts w:eastAsia="Times New Roman" w:cs="Times New Roman"/>
          <w:lang w:eastAsia="de-DE"/>
        </w:rPr>
        <w:t>les infrastructures d’assainissement (caniveaux, fossé latéraux).</w:t>
      </w:r>
    </w:p>
    <w:p w14:paraId="12242E69" w14:textId="77777777" w:rsidR="00401546" w:rsidRPr="00A9330B" w:rsidRDefault="00401546" w:rsidP="006E37A6">
      <w:pPr>
        <w:pStyle w:val="Titre20"/>
      </w:pPr>
      <w:bookmarkStart w:id="904" w:name="_Toc531434211"/>
      <w:bookmarkStart w:id="905" w:name="_Toc535244591"/>
      <w:bookmarkStart w:id="906" w:name="_Toc43697658"/>
      <w:bookmarkStart w:id="907" w:name="_Toc52869661"/>
      <w:bookmarkStart w:id="908" w:name="_Toc52869846"/>
      <w:r w:rsidRPr="00A9330B">
        <w:t xml:space="preserve">6.2. </w:t>
      </w:r>
      <w:bookmarkStart w:id="909" w:name="_Toc524462516"/>
      <w:r w:rsidRPr="00A9330B">
        <w:t xml:space="preserve">Présentation </w:t>
      </w:r>
      <w:bookmarkEnd w:id="904"/>
      <w:bookmarkEnd w:id="905"/>
      <w:bookmarkEnd w:id="909"/>
      <w:r w:rsidRPr="00A9330B">
        <w:t>de la variante choisie</w:t>
      </w:r>
      <w:bookmarkEnd w:id="906"/>
      <w:bookmarkEnd w:id="907"/>
      <w:bookmarkEnd w:id="908"/>
      <w:r w:rsidRPr="00A9330B">
        <w:t xml:space="preserve"> </w:t>
      </w:r>
    </w:p>
    <w:p w14:paraId="1115301D" w14:textId="77777777" w:rsidR="00401546" w:rsidRPr="00A9330B" w:rsidRDefault="00401546" w:rsidP="00401546">
      <w:pPr>
        <w:suppressAutoHyphens/>
        <w:spacing w:line="240" w:lineRule="auto"/>
        <w:ind w:left="720"/>
        <w:outlineLvl w:val="2"/>
        <w:rPr>
          <w:rFonts w:eastAsiaTheme="majorEastAsia" w:cstheme="majorBidi"/>
          <w:i/>
          <w:color w:val="auto"/>
          <w:sz w:val="26"/>
          <w:szCs w:val="24"/>
        </w:rPr>
      </w:pPr>
      <w:bookmarkStart w:id="910" w:name="_Toc43697659"/>
      <w:bookmarkStart w:id="911" w:name="_Toc45520862"/>
      <w:bookmarkStart w:id="912" w:name="_Toc52869662"/>
      <w:r w:rsidRPr="00A9330B">
        <w:rPr>
          <w:rFonts w:eastAsiaTheme="majorEastAsia" w:cstheme="majorBidi"/>
          <w:i/>
          <w:color w:val="auto"/>
          <w:sz w:val="26"/>
          <w:szCs w:val="24"/>
        </w:rPr>
        <w:t>6.2.1.  Les ouvrages et les rues retenues</w:t>
      </w:r>
      <w:bookmarkEnd w:id="910"/>
      <w:bookmarkEnd w:id="911"/>
      <w:bookmarkEnd w:id="912"/>
      <w:r w:rsidRPr="00A9330B">
        <w:rPr>
          <w:rFonts w:eastAsiaTheme="majorEastAsia" w:cstheme="majorBidi"/>
          <w:i/>
          <w:color w:val="auto"/>
          <w:sz w:val="26"/>
          <w:szCs w:val="24"/>
        </w:rPr>
        <w:t xml:space="preserve"> </w:t>
      </w:r>
    </w:p>
    <w:p w14:paraId="74E38453" w14:textId="4A1F97E3" w:rsidR="00224551" w:rsidRPr="00A9330B" w:rsidRDefault="00401546" w:rsidP="00401546">
      <w:pPr>
        <w:spacing w:after="120"/>
      </w:pPr>
      <w:r w:rsidRPr="00A9330B">
        <w:t xml:space="preserve">Le tableau suivant présente les types d’ouvrages à réaliser dans la ville de </w:t>
      </w:r>
      <w:r w:rsidR="00224551" w:rsidRPr="00A9330B">
        <w:t xml:space="preserve">Natitingou </w:t>
      </w:r>
    </w:p>
    <w:p w14:paraId="4DF8CAA8" w14:textId="04AD9E71" w:rsidR="00C75DCA" w:rsidRPr="00A9330B" w:rsidRDefault="00C75DCA" w:rsidP="000F7BA7">
      <w:pPr>
        <w:pStyle w:val="Titre3"/>
      </w:pPr>
      <w:bookmarkStart w:id="913" w:name="_Toc46088001"/>
      <w:bookmarkStart w:id="914" w:name="_Toc52869663"/>
      <w:r w:rsidRPr="00A9330B">
        <w:rPr>
          <w:rFonts w:eastAsiaTheme="majorEastAsia" w:cstheme="majorBidi"/>
          <w:i w:val="0"/>
          <w:color w:val="auto"/>
          <w:sz w:val="26"/>
          <w:szCs w:val="24"/>
        </w:rPr>
        <w:t xml:space="preserve">6.2.1.1.  </w:t>
      </w:r>
      <w:r w:rsidRPr="00A9330B">
        <w:t>Collecteurs</w:t>
      </w:r>
      <w:bookmarkEnd w:id="913"/>
      <w:bookmarkEnd w:id="914"/>
    </w:p>
    <w:p w14:paraId="13A403E2" w14:textId="391B822C" w:rsidR="00C75DCA" w:rsidRPr="00A9330B" w:rsidRDefault="00C75DCA" w:rsidP="000F7BA7">
      <w:pPr>
        <w:rPr>
          <w:i/>
          <w:u w:val="single"/>
          <w:lang w:eastAsia="fr-FR"/>
        </w:rPr>
      </w:pPr>
      <w:r w:rsidRPr="00A9330B">
        <w:rPr>
          <w:rFonts w:eastAsiaTheme="majorEastAsia" w:cstheme="majorBidi"/>
          <w:i/>
          <w:color w:val="auto"/>
          <w:sz w:val="26"/>
          <w:szCs w:val="24"/>
          <w:u w:val="single"/>
          <w:lang w:eastAsia="fr-FR"/>
        </w:rPr>
        <w:t xml:space="preserve">Profils en travers </w:t>
      </w:r>
    </w:p>
    <w:p w14:paraId="5C837BE7" w14:textId="77777777" w:rsidR="00C75DCA" w:rsidRPr="00A9330B" w:rsidRDefault="00C75DCA" w:rsidP="00BD2F72">
      <w:pPr>
        <w:pStyle w:val="Paragraphedeliste"/>
        <w:numPr>
          <w:ilvl w:val="0"/>
          <w:numId w:val="142"/>
        </w:numPr>
        <w:rPr>
          <w:b/>
          <w:i/>
          <w:lang w:val="fr-FR"/>
        </w:rPr>
      </w:pPr>
      <w:bookmarkStart w:id="915" w:name="_Toc45799980"/>
      <w:r w:rsidRPr="00A9330B">
        <w:rPr>
          <w:b/>
          <w:i/>
          <w:lang w:val="fr-FR"/>
        </w:rPr>
        <w:t>Canal A (collecteur primaire) (rivière Funrigninkèrè) :</w:t>
      </w:r>
      <w:bookmarkEnd w:id="915"/>
    </w:p>
    <w:p w14:paraId="3B3523D6" w14:textId="77777777" w:rsidR="00C75DCA" w:rsidRPr="00A9330B" w:rsidRDefault="00C75DCA" w:rsidP="00BD2F72">
      <w:pPr>
        <w:pStyle w:val="Paragraphedeliste"/>
        <w:numPr>
          <w:ilvl w:val="0"/>
          <w:numId w:val="141"/>
        </w:numPr>
        <w:overflowPunct/>
        <w:autoSpaceDE/>
        <w:autoSpaceDN/>
        <w:adjustRightInd/>
        <w:jc w:val="both"/>
        <w:rPr>
          <w:rFonts w:eastAsia="Arial" w:cs="Arial"/>
          <w:szCs w:val="22"/>
          <w:lang w:val="fr-FR"/>
        </w:rPr>
      </w:pPr>
      <w:r w:rsidRPr="00A9330B">
        <w:rPr>
          <w:rFonts w:eastAsia="Arial" w:cs="Arial"/>
          <w:szCs w:val="22"/>
          <w:lang w:val="fr-FR"/>
        </w:rPr>
        <w:t>Protection des talus avec des perrés maçonnés,</w:t>
      </w:r>
    </w:p>
    <w:p w14:paraId="00AC9732" w14:textId="77777777" w:rsidR="00C75DCA" w:rsidRPr="00A9330B" w:rsidRDefault="00C75DCA" w:rsidP="00BD2F72">
      <w:pPr>
        <w:pStyle w:val="Paragraphedeliste"/>
        <w:numPr>
          <w:ilvl w:val="0"/>
          <w:numId w:val="141"/>
        </w:numPr>
        <w:overflowPunct/>
        <w:autoSpaceDE/>
        <w:autoSpaceDN/>
        <w:adjustRightInd/>
        <w:jc w:val="both"/>
        <w:rPr>
          <w:rFonts w:eastAsia="Arial" w:cs="Arial"/>
          <w:szCs w:val="22"/>
          <w:lang w:val="fr-FR"/>
        </w:rPr>
      </w:pPr>
      <w:r w:rsidRPr="00A9330B">
        <w:rPr>
          <w:rFonts w:eastAsia="Arial" w:cs="Arial"/>
          <w:szCs w:val="22"/>
          <w:lang w:val="fr-FR"/>
        </w:rPr>
        <w:t>Pente talus adoptée : 1/2</w:t>
      </w:r>
    </w:p>
    <w:p w14:paraId="78311375" w14:textId="77777777" w:rsidR="00C75DCA" w:rsidRPr="00A9330B" w:rsidRDefault="00C75DCA" w:rsidP="00BD2F72">
      <w:pPr>
        <w:pStyle w:val="Paragraphedeliste"/>
        <w:numPr>
          <w:ilvl w:val="0"/>
          <w:numId w:val="141"/>
        </w:numPr>
        <w:overflowPunct/>
        <w:autoSpaceDE/>
        <w:autoSpaceDN/>
        <w:adjustRightInd/>
        <w:jc w:val="both"/>
        <w:rPr>
          <w:rFonts w:eastAsia="Arial" w:cs="Arial"/>
          <w:szCs w:val="22"/>
          <w:lang w:val="fr-FR"/>
        </w:rPr>
      </w:pPr>
      <w:r w:rsidRPr="00A9330B">
        <w:rPr>
          <w:rFonts w:eastAsia="Arial" w:cs="Arial"/>
          <w:szCs w:val="22"/>
          <w:lang w:val="fr-FR"/>
        </w:rPr>
        <w:t>Mise en place de garde-corps de sécurité de type S7,</w:t>
      </w:r>
    </w:p>
    <w:p w14:paraId="0DC4557C" w14:textId="77777777" w:rsidR="00C75DCA" w:rsidRPr="00A9330B" w:rsidRDefault="00C75DCA" w:rsidP="00BD2F72">
      <w:pPr>
        <w:pStyle w:val="Paragraphedeliste"/>
        <w:numPr>
          <w:ilvl w:val="0"/>
          <w:numId w:val="141"/>
        </w:numPr>
        <w:overflowPunct/>
        <w:autoSpaceDE/>
        <w:autoSpaceDN/>
        <w:adjustRightInd/>
        <w:jc w:val="both"/>
        <w:rPr>
          <w:rFonts w:eastAsia="Arial" w:cs="Arial"/>
          <w:szCs w:val="22"/>
          <w:lang w:val="fr-FR"/>
        </w:rPr>
      </w:pPr>
      <w:r w:rsidRPr="00A9330B">
        <w:rPr>
          <w:rFonts w:eastAsia="Arial" w:cs="Arial"/>
          <w:szCs w:val="22"/>
          <w:lang w:val="fr-FR"/>
        </w:rPr>
        <w:t>Réalisation d’aller de 2,5m de large de part et d’autre du canal et recouvert de pavés décoratifs de 8cm d’épaisseur,</w:t>
      </w:r>
    </w:p>
    <w:p w14:paraId="40103D4E" w14:textId="77777777" w:rsidR="00C75DCA" w:rsidRPr="00A9330B" w:rsidRDefault="00C75DCA" w:rsidP="00BD2F72">
      <w:pPr>
        <w:pStyle w:val="Paragraphedeliste"/>
        <w:numPr>
          <w:ilvl w:val="0"/>
          <w:numId w:val="141"/>
        </w:numPr>
        <w:overflowPunct/>
        <w:autoSpaceDE/>
        <w:autoSpaceDN/>
        <w:adjustRightInd/>
        <w:jc w:val="both"/>
        <w:rPr>
          <w:rFonts w:eastAsia="Arial" w:cs="Arial"/>
          <w:szCs w:val="22"/>
          <w:lang w:val="fr-FR"/>
        </w:rPr>
      </w:pPr>
      <w:r w:rsidRPr="00A9330B">
        <w:rPr>
          <w:rFonts w:eastAsia="Arial" w:cs="Arial"/>
          <w:szCs w:val="22"/>
          <w:lang w:val="fr-FR"/>
        </w:rPr>
        <w:t>Protection du fond de la rivière par des enrochements,</w:t>
      </w:r>
    </w:p>
    <w:p w14:paraId="4A0CA936" w14:textId="77777777" w:rsidR="00C75DCA" w:rsidRPr="00A9330B" w:rsidRDefault="00C75DCA" w:rsidP="00BD2F72">
      <w:pPr>
        <w:pStyle w:val="Paragraphedeliste"/>
        <w:numPr>
          <w:ilvl w:val="0"/>
          <w:numId w:val="141"/>
        </w:numPr>
        <w:overflowPunct/>
        <w:autoSpaceDE/>
        <w:autoSpaceDN/>
        <w:adjustRightInd/>
        <w:jc w:val="both"/>
        <w:rPr>
          <w:rFonts w:eastAsia="Arial" w:cs="Arial"/>
          <w:szCs w:val="22"/>
          <w:lang w:val="fr-FR"/>
        </w:rPr>
      </w:pPr>
      <w:r w:rsidRPr="00A9330B">
        <w:rPr>
          <w:rFonts w:eastAsia="Arial" w:cs="Arial"/>
          <w:szCs w:val="22"/>
          <w:lang w:val="fr-FR"/>
        </w:rPr>
        <w:t>Mise en place de gabion à la limite sud de la rivière,</w:t>
      </w:r>
    </w:p>
    <w:p w14:paraId="62C44838" w14:textId="77777777" w:rsidR="00C75DCA" w:rsidRPr="00A9330B" w:rsidRDefault="00C75DCA" w:rsidP="00BD2F72">
      <w:pPr>
        <w:pStyle w:val="Paragraphedeliste"/>
        <w:numPr>
          <w:ilvl w:val="0"/>
          <w:numId w:val="141"/>
        </w:numPr>
        <w:overflowPunct/>
        <w:autoSpaceDE/>
        <w:autoSpaceDN/>
        <w:adjustRightInd/>
        <w:jc w:val="both"/>
        <w:rPr>
          <w:rFonts w:eastAsia="Arial" w:cs="Arial"/>
          <w:szCs w:val="22"/>
          <w:lang w:val="fr-FR"/>
        </w:rPr>
      </w:pPr>
      <w:r w:rsidRPr="00A9330B">
        <w:rPr>
          <w:rFonts w:eastAsia="Arial" w:cs="Arial"/>
          <w:szCs w:val="22"/>
          <w:lang w:val="fr-FR"/>
        </w:rPr>
        <w:t>Pose de lampadaires solaires le long du canal</w:t>
      </w:r>
    </w:p>
    <w:p w14:paraId="1F1370C0" w14:textId="77777777" w:rsidR="00C75DCA" w:rsidRPr="00A9330B" w:rsidRDefault="00C75DCA" w:rsidP="00BD2F72">
      <w:pPr>
        <w:pStyle w:val="Paragraphedeliste"/>
        <w:numPr>
          <w:ilvl w:val="0"/>
          <w:numId w:val="141"/>
        </w:numPr>
        <w:overflowPunct/>
        <w:autoSpaceDE/>
        <w:autoSpaceDN/>
        <w:adjustRightInd/>
        <w:jc w:val="both"/>
        <w:rPr>
          <w:rFonts w:eastAsia="Arial" w:cs="Arial"/>
          <w:szCs w:val="22"/>
          <w:lang w:val="fr-FR"/>
        </w:rPr>
      </w:pPr>
      <w:r w:rsidRPr="00A9330B">
        <w:rPr>
          <w:rFonts w:eastAsia="Arial" w:cs="Arial"/>
          <w:szCs w:val="22"/>
          <w:lang w:val="fr-FR"/>
        </w:rPr>
        <w:t>Reboisement des deux rives du canal</w:t>
      </w:r>
    </w:p>
    <w:p w14:paraId="47D93883" w14:textId="06A548F9" w:rsidR="00C75DCA" w:rsidRPr="00A9330B" w:rsidRDefault="00C75DCA" w:rsidP="00BD2F72">
      <w:pPr>
        <w:pStyle w:val="Paragraphedeliste"/>
        <w:numPr>
          <w:ilvl w:val="0"/>
          <w:numId w:val="141"/>
        </w:numPr>
        <w:overflowPunct/>
        <w:autoSpaceDE/>
        <w:autoSpaceDN/>
        <w:adjustRightInd/>
        <w:jc w:val="both"/>
        <w:rPr>
          <w:rFonts w:eastAsia="Arial" w:cs="Arial"/>
          <w:szCs w:val="22"/>
          <w:lang w:val="fr-FR"/>
        </w:rPr>
      </w:pPr>
      <w:r w:rsidRPr="00A9330B">
        <w:rPr>
          <w:rFonts w:eastAsia="Arial" w:cs="Arial"/>
          <w:szCs w:val="22"/>
          <w:lang w:val="fr-FR"/>
        </w:rPr>
        <w:t>Construction des dalots sur les voiries traverses</w:t>
      </w:r>
    </w:p>
    <w:p w14:paraId="337B00B4" w14:textId="77777777" w:rsidR="00C75DCA" w:rsidRPr="00A9330B" w:rsidRDefault="00C75DCA" w:rsidP="000F7BA7">
      <w:pPr>
        <w:pStyle w:val="Paragraphedeliste"/>
        <w:overflowPunct/>
        <w:autoSpaceDE/>
        <w:autoSpaceDN/>
        <w:adjustRightInd/>
        <w:ind w:left="1068"/>
        <w:jc w:val="both"/>
        <w:rPr>
          <w:rFonts w:eastAsia="Arial" w:cs="Arial"/>
          <w:szCs w:val="22"/>
          <w:lang w:val="fr-FR"/>
        </w:rPr>
      </w:pPr>
    </w:p>
    <w:p w14:paraId="7359CD5B" w14:textId="77777777" w:rsidR="00C75DCA" w:rsidRPr="00A9330B" w:rsidRDefault="00C75DCA" w:rsidP="00BD2F72">
      <w:pPr>
        <w:pStyle w:val="Paragraphedeliste"/>
        <w:numPr>
          <w:ilvl w:val="0"/>
          <w:numId w:val="142"/>
        </w:numPr>
        <w:rPr>
          <w:b/>
          <w:lang w:val="fr-FR"/>
        </w:rPr>
      </w:pPr>
      <w:bookmarkStart w:id="916" w:name="_Toc45799981"/>
      <w:r w:rsidRPr="00A9330B">
        <w:rPr>
          <w:b/>
          <w:lang w:val="fr-FR"/>
        </w:rPr>
        <w:t>Canal B (collecteur primaire) (rivière wadata)</w:t>
      </w:r>
      <w:bookmarkEnd w:id="916"/>
    </w:p>
    <w:p w14:paraId="57281F1B" w14:textId="77777777" w:rsidR="00C75DCA" w:rsidRPr="00A9330B" w:rsidRDefault="00C75DCA" w:rsidP="00BD2F72">
      <w:pPr>
        <w:pStyle w:val="Paragraphedeliste"/>
        <w:numPr>
          <w:ilvl w:val="0"/>
          <w:numId w:val="141"/>
        </w:numPr>
        <w:overflowPunct/>
        <w:autoSpaceDE/>
        <w:autoSpaceDN/>
        <w:adjustRightInd/>
        <w:jc w:val="both"/>
        <w:rPr>
          <w:rFonts w:eastAsia="Arial" w:cs="Arial"/>
          <w:szCs w:val="22"/>
          <w:lang w:val="fr-FR"/>
        </w:rPr>
      </w:pPr>
      <w:r w:rsidRPr="00A9330B">
        <w:rPr>
          <w:rFonts w:eastAsia="Arial" w:cs="Arial"/>
          <w:szCs w:val="22"/>
          <w:lang w:val="fr-FR"/>
        </w:rPr>
        <w:t>Protection des talus avec des perrés maçonnés,</w:t>
      </w:r>
    </w:p>
    <w:p w14:paraId="393E432C" w14:textId="77777777" w:rsidR="00C75DCA" w:rsidRPr="00A9330B" w:rsidRDefault="00C75DCA" w:rsidP="00BD2F72">
      <w:pPr>
        <w:pStyle w:val="Paragraphedeliste"/>
        <w:numPr>
          <w:ilvl w:val="0"/>
          <w:numId w:val="141"/>
        </w:numPr>
        <w:overflowPunct/>
        <w:autoSpaceDE/>
        <w:autoSpaceDN/>
        <w:adjustRightInd/>
        <w:jc w:val="both"/>
        <w:rPr>
          <w:rFonts w:eastAsia="Arial" w:cs="Arial"/>
          <w:szCs w:val="22"/>
          <w:lang w:val="fr-FR"/>
        </w:rPr>
      </w:pPr>
      <w:r w:rsidRPr="00A9330B">
        <w:rPr>
          <w:rFonts w:eastAsia="Arial" w:cs="Arial"/>
          <w:szCs w:val="22"/>
          <w:lang w:val="fr-FR"/>
        </w:rPr>
        <w:t>Pente de talus adoptée : 1/2</w:t>
      </w:r>
    </w:p>
    <w:p w14:paraId="24A3CC32" w14:textId="77777777" w:rsidR="00C75DCA" w:rsidRPr="00A9330B" w:rsidRDefault="00C75DCA" w:rsidP="00BD2F72">
      <w:pPr>
        <w:pStyle w:val="Paragraphedeliste"/>
        <w:numPr>
          <w:ilvl w:val="0"/>
          <w:numId w:val="141"/>
        </w:numPr>
        <w:overflowPunct/>
        <w:autoSpaceDE/>
        <w:autoSpaceDN/>
        <w:adjustRightInd/>
        <w:jc w:val="both"/>
        <w:rPr>
          <w:rFonts w:eastAsia="Arial" w:cs="Arial"/>
          <w:szCs w:val="22"/>
          <w:lang w:val="fr-FR"/>
        </w:rPr>
      </w:pPr>
      <w:r w:rsidRPr="00A9330B">
        <w:rPr>
          <w:rFonts w:eastAsia="Arial" w:cs="Arial"/>
          <w:szCs w:val="22"/>
          <w:lang w:val="fr-FR"/>
        </w:rPr>
        <w:t>Mise en place de garde-corps de sécurité de type S7,</w:t>
      </w:r>
    </w:p>
    <w:p w14:paraId="3ADD7281" w14:textId="77777777" w:rsidR="00C75DCA" w:rsidRPr="00A9330B" w:rsidRDefault="00C75DCA" w:rsidP="00BD2F72">
      <w:pPr>
        <w:pStyle w:val="Paragraphedeliste"/>
        <w:numPr>
          <w:ilvl w:val="0"/>
          <w:numId w:val="141"/>
        </w:numPr>
        <w:overflowPunct/>
        <w:autoSpaceDE/>
        <w:autoSpaceDN/>
        <w:adjustRightInd/>
        <w:jc w:val="both"/>
        <w:rPr>
          <w:rFonts w:eastAsia="Arial" w:cs="Arial"/>
          <w:szCs w:val="22"/>
          <w:lang w:val="fr-FR"/>
        </w:rPr>
      </w:pPr>
      <w:r w:rsidRPr="00A9330B">
        <w:rPr>
          <w:rFonts w:eastAsia="Arial" w:cs="Arial"/>
          <w:szCs w:val="22"/>
          <w:lang w:val="fr-FR"/>
        </w:rPr>
        <w:t>Protection du fond de la rivière par des enrochements,</w:t>
      </w:r>
    </w:p>
    <w:p w14:paraId="5C7E9E9F" w14:textId="77777777" w:rsidR="00C75DCA" w:rsidRPr="00A9330B" w:rsidRDefault="00C75DCA" w:rsidP="00BD2F72">
      <w:pPr>
        <w:pStyle w:val="Paragraphedeliste"/>
        <w:numPr>
          <w:ilvl w:val="0"/>
          <w:numId w:val="141"/>
        </w:numPr>
        <w:overflowPunct/>
        <w:autoSpaceDE/>
        <w:autoSpaceDN/>
        <w:adjustRightInd/>
        <w:jc w:val="both"/>
        <w:rPr>
          <w:rFonts w:eastAsia="Arial" w:cs="Arial"/>
          <w:szCs w:val="22"/>
          <w:lang w:val="fr-FR"/>
        </w:rPr>
      </w:pPr>
      <w:r w:rsidRPr="00A9330B">
        <w:rPr>
          <w:rFonts w:eastAsia="Arial" w:cs="Arial"/>
          <w:szCs w:val="22"/>
          <w:lang w:val="fr-FR"/>
        </w:rPr>
        <w:t>Mise en place de gabion à la limite sud de la rivière,</w:t>
      </w:r>
    </w:p>
    <w:p w14:paraId="009818DA" w14:textId="170D6E2F" w:rsidR="00C75DCA" w:rsidRPr="00A9330B" w:rsidRDefault="00C75DCA" w:rsidP="00BD2F72">
      <w:pPr>
        <w:pStyle w:val="Paragraphedeliste"/>
        <w:numPr>
          <w:ilvl w:val="0"/>
          <w:numId w:val="141"/>
        </w:numPr>
        <w:overflowPunct/>
        <w:autoSpaceDE/>
        <w:autoSpaceDN/>
        <w:adjustRightInd/>
        <w:jc w:val="both"/>
        <w:rPr>
          <w:rFonts w:eastAsia="Arial" w:cs="Arial"/>
          <w:szCs w:val="22"/>
          <w:lang w:val="fr-FR"/>
        </w:rPr>
      </w:pPr>
      <w:r w:rsidRPr="00A9330B">
        <w:rPr>
          <w:rFonts w:eastAsia="Arial" w:cs="Arial"/>
          <w:szCs w:val="22"/>
          <w:lang w:val="fr-FR"/>
        </w:rPr>
        <w:t>Construction des dalots sur les voiries traverses</w:t>
      </w:r>
    </w:p>
    <w:p w14:paraId="1F1249C1" w14:textId="77777777" w:rsidR="00C75DCA" w:rsidRPr="00A9330B" w:rsidRDefault="00C75DCA" w:rsidP="000F7BA7">
      <w:pPr>
        <w:pStyle w:val="Paragraphedeliste"/>
        <w:overflowPunct/>
        <w:autoSpaceDE/>
        <w:autoSpaceDN/>
        <w:adjustRightInd/>
        <w:ind w:left="1068"/>
        <w:jc w:val="both"/>
        <w:rPr>
          <w:rFonts w:eastAsia="Arial" w:cs="Arial"/>
          <w:szCs w:val="22"/>
          <w:lang w:val="fr-FR"/>
        </w:rPr>
      </w:pPr>
    </w:p>
    <w:p w14:paraId="65FE0390" w14:textId="77777777" w:rsidR="00C75DCA" w:rsidRPr="00A9330B" w:rsidRDefault="00C75DCA" w:rsidP="00BD2F72">
      <w:pPr>
        <w:pStyle w:val="Paragraphedeliste"/>
        <w:numPr>
          <w:ilvl w:val="0"/>
          <w:numId w:val="142"/>
        </w:numPr>
        <w:rPr>
          <w:b/>
          <w:lang w:val="fr-FR"/>
        </w:rPr>
      </w:pPr>
      <w:bookmarkStart w:id="917" w:name="_Toc45799982"/>
      <w:r w:rsidRPr="00A9330B">
        <w:rPr>
          <w:b/>
          <w:lang w:val="fr-FR"/>
        </w:rPr>
        <w:t>Collecteurs secondaires (forme trapézoïdale) :</w:t>
      </w:r>
      <w:bookmarkEnd w:id="917"/>
    </w:p>
    <w:p w14:paraId="5CDB9722" w14:textId="77777777" w:rsidR="00C75DCA" w:rsidRPr="00A9330B" w:rsidRDefault="00C75DCA" w:rsidP="00BD2F72">
      <w:pPr>
        <w:pStyle w:val="Paragraphedeliste"/>
        <w:numPr>
          <w:ilvl w:val="0"/>
          <w:numId w:val="141"/>
        </w:numPr>
        <w:overflowPunct/>
        <w:autoSpaceDE/>
        <w:autoSpaceDN/>
        <w:adjustRightInd/>
        <w:jc w:val="both"/>
        <w:rPr>
          <w:rFonts w:eastAsia="Arial" w:cs="Arial"/>
          <w:color w:val="000000"/>
          <w:szCs w:val="22"/>
          <w:lang w:val="fr-FR"/>
        </w:rPr>
      </w:pPr>
      <w:r w:rsidRPr="00A9330B">
        <w:rPr>
          <w:rFonts w:eastAsia="Arial" w:cs="Arial"/>
          <w:color w:val="000000"/>
          <w:szCs w:val="22"/>
          <w:lang w:val="fr-FR"/>
        </w:rPr>
        <w:t>Protection des talus avec des perrés maçonnés,</w:t>
      </w:r>
    </w:p>
    <w:p w14:paraId="6F41E743" w14:textId="77777777" w:rsidR="00C75DCA" w:rsidRPr="00A9330B" w:rsidRDefault="00C75DCA" w:rsidP="00BD2F72">
      <w:pPr>
        <w:pStyle w:val="Paragraphedeliste"/>
        <w:numPr>
          <w:ilvl w:val="0"/>
          <w:numId w:val="141"/>
        </w:numPr>
        <w:overflowPunct/>
        <w:autoSpaceDE/>
        <w:autoSpaceDN/>
        <w:adjustRightInd/>
        <w:jc w:val="both"/>
        <w:rPr>
          <w:rFonts w:eastAsia="Arial" w:cs="Arial"/>
          <w:color w:val="000000"/>
          <w:szCs w:val="22"/>
          <w:lang w:val="fr-FR"/>
        </w:rPr>
      </w:pPr>
      <w:r w:rsidRPr="00A9330B">
        <w:rPr>
          <w:rFonts w:eastAsia="Arial" w:cs="Arial"/>
          <w:color w:val="000000"/>
          <w:szCs w:val="22"/>
          <w:lang w:val="fr-FR"/>
        </w:rPr>
        <w:t>Protection du fond avec des perrés maçonnés,</w:t>
      </w:r>
    </w:p>
    <w:p w14:paraId="4E51F577" w14:textId="77777777" w:rsidR="00C75DCA" w:rsidRPr="00A9330B" w:rsidRDefault="00C75DCA" w:rsidP="00BD2F72">
      <w:pPr>
        <w:pStyle w:val="Paragraphedeliste"/>
        <w:numPr>
          <w:ilvl w:val="0"/>
          <w:numId w:val="141"/>
        </w:numPr>
        <w:overflowPunct/>
        <w:autoSpaceDE/>
        <w:autoSpaceDN/>
        <w:adjustRightInd/>
        <w:jc w:val="both"/>
        <w:rPr>
          <w:rFonts w:eastAsia="Arial" w:cs="Arial"/>
          <w:color w:val="000000"/>
          <w:szCs w:val="22"/>
          <w:lang w:val="fr-FR"/>
        </w:rPr>
      </w:pPr>
      <w:r w:rsidRPr="00A9330B">
        <w:rPr>
          <w:rFonts w:eastAsia="Arial" w:cs="Arial"/>
          <w:color w:val="000000"/>
          <w:szCs w:val="22"/>
          <w:lang w:val="fr-FR"/>
        </w:rPr>
        <w:t>Pente de talus : 1/2</w:t>
      </w:r>
    </w:p>
    <w:p w14:paraId="3942C773" w14:textId="77777777" w:rsidR="00C75DCA" w:rsidRPr="00A9330B" w:rsidRDefault="00C75DCA" w:rsidP="00BD2F72">
      <w:pPr>
        <w:pStyle w:val="Paragraphedeliste"/>
        <w:numPr>
          <w:ilvl w:val="0"/>
          <w:numId w:val="141"/>
        </w:numPr>
        <w:overflowPunct/>
        <w:autoSpaceDE/>
        <w:autoSpaceDN/>
        <w:adjustRightInd/>
        <w:jc w:val="both"/>
        <w:rPr>
          <w:rFonts w:eastAsia="Arial" w:cs="Arial"/>
          <w:color w:val="000000"/>
          <w:szCs w:val="22"/>
          <w:lang w:val="fr-FR"/>
        </w:rPr>
      </w:pPr>
      <w:r w:rsidRPr="00A9330B">
        <w:rPr>
          <w:rFonts w:eastAsia="Arial" w:cs="Arial"/>
          <w:color w:val="000000"/>
          <w:szCs w:val="22"/>
          <w:lang w:val="fr-FR"/>
        </w:rPr>
        <w:t>Mise en place de garde-corps de sécurité de type S7,</w:t>
      </w:r>
    </w:p>
    <w:p w14:paraId="51EA4BDC" w14:textId="77777777" w:rsidR="00C75DCA" w:rsidRPr="00A9330B" w:rsidRDefault="00C75DCA" w:rsidP="00BD2F72">
      <w:pPr>
        <w:pStyle w:val="Paragraphedeliste"/>
        <w:numPr>
          <w:ilvl w:val="0"/>
          <w:numId w:val="141"/>
        </w:numPr>
        <w:overflowPunct/>
        <w:autoSpaceDE/>
        <w:autoSpaceDN/>
        <w:adjustRightInd/>
        <w:jc w:val="both"/>
        <w:rPr>
          <w:rFonts w:eastAsia="Arial" w:cs="Arial"/>
          <w:color w:val="000000"/>
          <w:szCs w:val="22"/>
          <w:lang w:val="fr-FR"/>
        </w:rPr>
      </w:pPr>
      <w:r w:rsidRPr="00A9330B">
        <w:rPr>
          <w:rFonts w:eastAsia="Arial" w:cs="Arial"/>
          <w:color w:val="000000"/>
          <w:szCs w:val="22"/>
          <w:lang w:val="fr-FR"/>
        </w:rPr>
        <w:t>Construction des dalots sur les voiries traversées</w:t>
      </w:r>
    </w:p>
    <w:p w14:paraId="3912C28E" w14:textId="77777777" w:rsidR="00C75DCA" w:rsidRPr="00A9330B" w:rsidRDefault="00C75DCA" w:rsidP="00401546">
      <w:pPr>
        <w:spacing w:after="120"/>
      </w:pPr>
    </w:p>
    <w:p w14:paraId="784C5FD0" w14:textId="33EC5DB4" w:rsidR="006E37A6" w:rsidRPr="00A9330B" w:rsidRDefault="006E37A6" w:rsidP="006E37A6">
      <w:pPr>
        <w:pStyle w:val="Titre3"/>
      </w:pPr>
      <w:bookmarkStart w:id="918" w:name="_Toc167538116"/>
      <w:bookmarkStart w:id="919" w:name="_Toc377538645"/>
      <w:bookmarkStart w:id="920" w:name="_Toc381007998"/>
      <w:bookmarkStart w:id="921" w:name="_Toc505009497"/>
      <w:bookmarkStart w:id="922" w:name="_Toc46088011"/>
      <w:bookmarkStart w:id="923" w:name="_Toc52869664"/>
      <w:r w:rsidRPr="00A9330B">
        <w:rPr>
          <w:rFonts w:eastAsiaTheme="majorEastAsia" w:cstheme="majorBidi"/>
          <w:i w:val="0"/>
          <w:color w:val="auto"/>
          <w:sz w:val="26"/>
          <w:szCs w:val="24"/>
        </w:rPr>
        <w:lastRenderedPageBreak/>
        <w:t xml:space="preserve">6.2.1.1.  </w:t>
      </w:r>
      <w:r w:rsidRPr="00A9330B">
        <w:t>Rues à aménager</w:t>
      </w:r>
      <w:bookmarkEnd w:id="923"/>
      <w:r w:rsidRPr="00A9330B">
        <w:t xml:space="preserve"> </w:t>
      </w:r>
    </w:p>
    <w:p w14:paraId="5F249CFE" w14:textId="5C4211C1" w:rsidR="006E37A6" w:rsidRPr="00A9330B" w:rsidRDefault="006E37A6" w:rsidP="000F7BA7">
      <w:pPr>
        <w:jc w:val="both"/>
        <w:rPr>
          <w:rFonts w:eastAsiaTheme="majorEastAsia" w:cs="Arial"/>
          <w:i/>
          <w:color w:val="auto"/>
          <w:u w:val="single"/>
          <w:lang w:eastAsia="fr-FR"/>
        </w:rPr>
      </w:pPr>
      <w:r w:rsidRPr="00A9330B">
        <w:rPr>
          <w:rFonts w:eastAsiaTheme="majorEastAsia" w:cs="Arial"/>
          <w:i/>
          <w:color w:val="auto"/>
          <w:u w:val="single"/>
          <w:lang w:eastAsia="fr-FR"/>
        </w:rPr>
        <w:t>Profils en travers</w:t>
      </w:r>
    </w:p>
    <w:p w14:paraId="73AD6AF8" w14:textId="77777777" w:rsidR="006E37A6" w:rsidRPr="00A9330B" w:rsidRDefault="006E37A6" w:rsidP="006E37A6">
      <w:pPr>
        <w:spacing w:line="360" w:lineRule="auto"/>
        <w:jc w:val="both"/>
        <w:rPr>
          <w:rFonts w:eastAsia="Arial" w:cs="Arial"/>
          <w:color w:val="000000"/>
        </w:rPr>
      </w:pPr>
      <w:r w:rsidRPr="00A9330B">
        <w:rPr>
          <w:rFonts w:eastAsia="Arial" w:cs="Arial"/>
          <w:color w:val="000000"/>
        </w:rPr>
        <w:t>Suivant les catégories de rues, un (01) type de profils est proposé pour les rues secondaires, et deux (2) pour les rues tertiaires.</w:t>
      </w:r>
    </w:p>
    <w:p w14:paraId="5EEDA1F4" w14:textId="77777777" w:rsidR="006E37A6" w:rsidRPr="00A9330B" w:rsidRDefault="006E37A6" w:rsidP="00BD2F72">
      <w:pPr>
        <w:pStyle w:val="Paragraphedeliste"/>
        <w:numPr>
          <w:ilvl w:val="0"/>
          <w:numId w:val="143"/>
        </w:numPr>
        <w:rPr>
          <w:b/>
          <w:lang w:val="fr-FR"/>
        </w:rPr>
      </w:pPr>
      <w:r w:rsidRPr="00A9330B">
        <w:rPr>
          <w:b/>
          <w:lang w:val="fr-FR"/>
        </w:rPr>
        <w:t>Rues secondaires</w:t>
      </w:r>
    </w:p>
    <w:p w14:paraId="4811EBC6" w14:textId="77777777" w:rsidR="00E33E4E" w:rsidRPr="00A9330B" w:rsidRDefault="006E37A6" w:rsidP="006E37A6">
      <w:pPr>
        <w:spacing w:line="360" w:lineRule="auto"/>
        <w:jc w:val="both"/>
        <w:rPr>
          <w:rFonts w:eastAsia="Arial" w:cs="Arial"/>
          <w:color w:val="000000"/>
        </w:rPr>
      </w:pPr>
      <w:bookmarkStart w:id="924" w:name="_Toc499558957"/>
      <w:r w:rsidRPr="00A9330B">
        <w:rPr>
          <w:rFonts w:eastAsia="Arial" w:cs="Arial"/>
          <w:color w:val="000000"/>
        </w:rPr>
        <w:t>Un (01) type de profil en travers a été proposé pour les voies secondaires.</w:t>
      </w:r>
    </w:p>
    <w:p w14:paraId="5D6B0334" w14:textId="550749B0" w:rsidR="006E37A6" w:rsidRPr="00A9330B" w:rsidRDefault="006E37A6" w:rsidP="006E37A6">
      <w:pPr>
        <w:spacing w:line="360" w:lineRule="auto"/>
        <w:jc w:val="both"/>
        <w:rPr>
          <w:rFonts w:eastAsia="Arial" w:cs="Arial"/>
          <w:color w:val="000000"/>
        </w:rPr>
      </w:pPr>
      <w:r w:rsidRPr="00A9330B">
        <w:rPr>
          <w:rFonts w:eastAsia="Arial" w:cs="Arial"/>
          <w:color w:val="000000"/>
        </w:rPr>
        <w:t xml:space="preserve">Ainsi, le </w:t>
      </w:r>
      <w:r w:rsidRPr="00A9330B">
        <w:rPr>
          <w:rFonts w:eastAsia="Arial" w:cs="Arial"/>
          <w:b/>
          <w:color w:val="000000"/>
        </w:rPr>
        <w:t>profil en travers type PF SEC 01</w:t>
      </w:r>
      <w:r w:rsidRPr="00A9330B">
        <w:rPr>
          <w:rFonts w:eastAsia="Arial" w:cs="Arial"/>
          <w:color w:val="000000"/>
        </w:rPr>
        <w:t xml:space="preserve"> présente les caractéristiques suivantes :</w:t>
      </w:r>
    </w:p>
    <w:p w14:paraId="6D66BB81" w14:textId="77777777" w:rsidR="006E37A6" w:rsidRPr="00A9330B" w:rsidRDefault="006E37A6" w:rsidP="00BD2F72">
      <w:pPr>
        <w:pStyle w:val="Paragraphedeliste"/>
        <w:numPr>
          <w:ilvl w:val="0"/>
          <w:numId w:val="144"/>
        </w:numPr>
        <w:overflowPunct/>
        <w:autoSpaceDE/>
        <w:autoSpaceDN/>
        <w:adjustRightInd/>
        <w:spacing w:before="0" w:line="360" w:lineRule="auto"/>
        <w:jc w:val="both"/>
        <w:rPr>
          <w:rFonts w:eastAsia="Arial" w:cs="Arial"/>
          <w:color w:val="000000"/>
          <w:szCs w:val="22"/>
          <w:lang w:val="fr-FR"/>
        </w:rPr>
      </w:pPr>
      <w:r w:rsidRPr="00A9330B">
        <w:rPr>
          <w:rFonts w:eastAsia="Arial" w:cs="Arial"/>
          <w:color w:val="000000"/>
          <w:szCs w:val="22"/>
          <w:lang w:val="fr-FR"/>
        </w:rPr>
        <w:t xml:space="preserve">Chaussée unique bidirectionnelle de 7m de largeur ; </w:t>
      </w:r>
    </w:p>
    <w:p w14:paraId="193426FF" w14:textId="77777777" w:rsidR="006E37A6" w:rsidRPr="00A9330B" w:rsidRDefault="006E37A6" w:rsidP="00BD2F72">
      <w:pPr>
        <w:pStyle w:val="Paragraphedeliste"/>
        <w:numPr>
          <w:ilvl w:val="0"/>
          <w:numId w:val="144"/>
        </w:numPr>
        <w:overflowPunct/>
        <w:autoSpaceDE/>
        <w:autoSpaceDN/>
        <w:adjustRightInd/>
        <w:spacing w:before="0" w:line="360" w:lineRule="auto"/>
        <w:jc w:val="both"/>
        <w:rPr>
          <w:rFonts w:eastAsia="Arial" w:cs="Arial"/>
          <w:color w:val="000000"/>
          <w:szCs w:val="22"/>
          <w:lang w:val="fr-FR"/>
        </w:rPr>
      </w:pPr>
      <w:r w:rsidRPr="00A9330B">
        <w:rPr>
          <w:rFonts w:eastAsia="Arial" w:cs="Arial"/>
          <w:color w:val="000000"/>
          <w:szCs w:val="22"/>
          <w:lang w:val="fr-FR"/>
        </w:rPr>
        <w:t>Largeur des accotements : 2 m chacun y compris les cunettes (CS2+T2);</w:t>
      </w:r>
    </w:p>
    <w:p w14:paraId="00C8C41B" w14:textId="77777777" w:rsidR="006E37A6" w:rsidRPr="00A9330B" w:rsidRDefault="006E37A6" w:rsidP="00BD2F72">
      <w:pPr>
        <w:pStyle w:val="Paragraphedeliste"/>
        <w:numPr>
          <w:ilvl w:val="0"/>
          <w:numId w:val="144"/>
        </w:numPr>
        <w:overflowPunct/>
        <w:autoSpaceDE/>
        <w:autoSpaceDN/>
        <w:adjustRightInd/>
        <w:spacing w:before="0" w:line="360" w:lineRule="auto"/>
        <w:jc w:val="both"/>
        <w:rPr>
          <w:rFonts w:eastAsia="Arial" w:cs="Arial"/>
          <w:color w:val="000000"/>
          <w:szCs w:val="22"/>
          <w:lang w:val="fr-FR"/>
        </w:rPr>
      </w:pPr>
      <w:r w:rsidRPr="00A9330B">
        <w:rPr>
          <w:rFonts w:eastAsia="Arial" w:cs="Arial"/>
          <w:color w:val="000000"/>
          <w:szCs w:val="22"/>
          <w:lang w:val="fr-FR"/>
        </w:rPr>
        <w:t>2 trottoirs bilatéraux de 4,5m de large chacun y compris les ouvrages d’assainissement ;</w:t>
      </w:r>
    </w:p>
    <w:p w14:paraId="3117ED84" w14:textId="77777777" w:rsidR="006E37A6" w:rsidRPr="00A9330B" w:rsidRDefault="006E37A6" w:rsidP="00BD2F72">
      <w:pPr>
        <w:pStyle w:val="Paragraphedeliste"/>
        <w:numPr>
          <w:ilvl w:val="0"/>
          <w:numId w:val="144"/>
        </w:numPr>
        <w:overflowPunct/>
        <w:autoSpaceDE/>
        <w:autoSpaceDN/>
        <w:adjustRightInd/>
        <w:spacing w:before="0" w:line="360" w:lineRule="auto"/>
        <w:jc w:val="both"/>
        <w:rPr>
          <w:rFonts w:eastAsia="Arial" w:cs="Arial"/>
          <w:color w:val="000000"/>
          <w:szCs w:val="22"/>
          <w:lang w:val="fr-FR"/>
        </w:rPr>
      </w:pPr>
      <w:r w:rsidRPr="00A9330B">
        <w:rPr>
          <w:rFonts w:eastAsia="Arial" w:cs="Arial"/>
          <w:color w:val="000000"/>
          <w:szCs w:val="22"/>
          <w:lang w:val="fr-FR"/>
        </w:rPr>
        <w:t>Deux rangées de lampadaires solaires monocross dans les trottoirs ;</w:t>
      </w:r>
    </w:p>
    <w:p w14:paraId="7DFFB326" w14:textId="77777777" w:rsidR="006E37A6" w:rsidRPr="00A9330B" w:rsidRDefault="006E37A6" w:rsidP="00BD2F72">
      <w:pPr>
        <w:pStyle w:val="Paragraphedeliste"/>
        <w:numPr>
          <w:ilvl w:val="0"/>
          <w:numId w:val="144"/>
        </w:numPr>
        <w:overflowPunct/>
        <w:autoSpaceDE/>
        <w:autoSpaceDN/>
        <w:adjustRightInd/>
        <w:spacing w:before="0" w:line="360" w:lineRule="auto"/>
        <w:jc w:val="both"/>
        <w:rPr>
          <w:rFonts w:eastAsia="Arial" w:cs="Arial"/>
          <w:color w:val="000000"/>
          <w:szCs w:val="22"/>
          <w:lang w:val="fr-FR"/>
        </w:rPr>
      </w:pPr>
      <w:r w:rsidRPr="00A9330B">
        <w:rPr>
          <w:rFonts w:eastAsia="Arial" w:cs="Arial"/>
          <w:color w:val="000000"/>
          <w:szCs w:val="22"/>
          <w:lang w:val="fr-FR"/>
        </w:rPr>
        <w:t>Deux rangées d’arbres d’alignement</w:t>
      </w:r>
    </w:p>
    <w:p w14:paraId="5588A81C" w14:textId="77777777" w:rsidR="006E37A6" w:rsidRPr="00A9330B" w:rsidRDefault="006E37A6" w:rsidP="00BD2F72">
      <w:pPr>
        <w:pStyle w:val="Paragraphedeliste"/>
        <w:numPr>
          <w:ilvl w:val="0"/>
          <w:numId w:val="144"/>
        </w:numPr>
        <w:overflowPunct/>
        <w:autoSpaceDE/>
        <w:autoSpaceDN/>
        <w:adjustRightInd/>
        <w:spacing w:before="0" w:line="360" w:lineRule="auto"/>
        <w:jc w:val="both"/>
        <w:rPr>
          <w:rFonts w:eastAsia="Arial" w:cs="Arial"/>
          <w:color w:val="000000"/>
          <w:szCs w:val="22"/>
          <w:lang w:val="fr-FR"/>
        </w:rPr>
      </w:pPr>
      <w:r w:rsidRPr="00A9330B">
        <w:rPr>
          <w:rFonts w:eastAsia="Arial" w:cs="Arial"/>
          <w:color w:val="000000"/>
          <w:szCs w:val="22"/>
          <w:lang w:val="fr-FR"/>
        </w:rPr>
        <w:t>Profil en toit avec un devers de 2,5%.</w:t>
      </w:r>
    </w:p>
    <w:p w14:paraId="76A62099" w14:textId="77777777" w:rsidR="006E37A6" w:rsidRPr="00A9330B" w:rsidRDefault="006E37A6" w:rsidP="00E33E4E">
      <w:pPr>
        <w:spacing w:line="360" w:lineRule="auto"/>
        <w:jc w:val="both"/>
        <w:rPr>
          <w:rFonts w:eastAsia="Arial" w:cs="Arial"/>
          <w:color w:val="000000"/>
        </w:rPr>
      </w:pPr>
      <w:r w:rsidRPr="00A9330B">
        <w:rPr>
          <w:rFonts w:eastAsia="Arial" w:cs="Arial"/>
          <w:color w:val="000000"/>
        </w:rPr>
        <w:t>Voir profil en travers PF SEC 01</w:t>
      </w:r>
    </w:p>
    <w:p w14:paraId="5E3D7309" w14:textId="77777777" w:rsidR="006E37A6" w:rsidRPr="00A9330B" w:rsidRDefault="006E37A6" w:rsidP="00BD2F72">
      <w:pPr>
        <w:pStyle w:val="Paragraphedeliste"/>
        <w:numPr>
          <w:ilvl w:val="0"/>
          <w:numId w:val="145"/>
        </w:numPr>
        <w:rPr>
          <w:b/>
          <w:lang w:val="fr-FR"/>
        </w:rPr>
      </w:pPr>
      <w:r w:rsidRPr="00A9330B">
        <w:rPr>
          <w:b/>
          <w:lang w:val="fr-FR"/>
        </w:rPr>
        <w:t>Rues tertiaires</w:t>
      </w:r>
      <w:bookmarkEnd w:id="924"/>
    </w:p>
    <w:p w14:paraId="705B6022" w14:textId="77777777" w:rsidR="00E33E4E" w:rsidRPr="00A9330B" w:rsidRDefault="006E37A6" w:rsidP="00E33E4E">
      <w:pPr>
        <w:spacing w:line="360" w:lineRule="auto"/>
        <w:jc w:val="both"/>
        <w:rPr>
          <w:rFonts w:eastAsia="Arial" w:cs="Arial"/>
          <w:color w:val="000000"/>
        </w:rPr>
      </w:pPr>
      <w:r w:rsidRPr="00A9330B">
        <w:rPr>
          <w:rFonts w:eastAsia="Arial" w:cs="Arial"/>
          <w:color w:val="000000"/>
        </w:rPr>
        <w:t xml:space="preserve">Deux (02) types de profils en travers ont été proposés pour les voies tertiaires. </w:t>
      </w:r>
    </w:p>
    <w:p w14:paraId="7672F802" w14:textId="21EF31EF" w:rsidR="006E37A6" w:rsidRPr="00A9330B" w:rsidRDefault="006E37A6" w:rsidP="00E33E4E">
      <w:pPr>
        <w:spacing w:line="360" w:lineRule="auto"/>
        <w:jc w:val="both"/>
        <w:rPr>
          <w:rFonts w:eastAsia="Arial" w:cs="Arial"/>
          <w:color w:val="000000"/>
        </w:rPr>
      </w:pPr>
      <w:r w:rsidRPr="00A9330B">
        <w:rPr>
          <w:rFonts w:eastAsia="Arial" w:cs="Arial"/>
          <w:color w:val="000000"/>
        </w:rPr>
        <w:t xml:space="preserve">Ainsi, </w:t>
      </w:r>
      <w:r w:rsidRPr="00A9330B">
        <w:rPr>
          <w:rFonts w:eastAsia="Arial" w:cs="Arial"/>
          <w:b/>
          <w:color w:val="000000"/>
        </w:rPr>
        <w:t>le profil en travers type PF TER 01</w:t>
      </w:r>
      <w:r w:rsidRPr="00A9330B">
        <w:rPr>
          <w:rFonts w:eastAsia="Arial" w:cs="Arial"/>
          <w:color w:val="000000"/>
        </w:rPr>
        <w:t xml:space="preserve"> présente les caractéristiques suivantes :</w:t>
      </w:r>
    </w:p>
    <w:p w14:paraId="33A15977" w14:textId="77777777" w:rsidR="006E37A6" w:rsidRPr="00A9330B" w:rsidRDefault="006E37A6" w:rsidP="00BD2F72">
      <w:pPr>
        <w:pStyle w:val="Paragraphedeliste"/>
        <w:numPr>
          <w:ilvl w:val="0"/>
          <w:numId w:val="146"/>
        </w:numPr>
        <w:overflowPunct/>
        <w:autoSpaceDE/>
        <w:autoSpaceDN/>
        <w:adjustRightInd/>
        <w:spacing w:before="0" w:line="360" w:lineRule="auto"/>
        <w:jc w:val="both"/>
        <w:rPr>
          <w:rFonts w:eastAsia="Arial" w:cs="Arial"/>
          <w:color w:val="000000"/>
          <w:szCs w:val="22"/>
          <w:lang w:val="fr-FR"/>
        </w:rPr>
      </w:pPr>
      <w:r w:rsidRPr="00A9330B">
        <w:rPr>
          <w:rFonts w:eastAsia="Arial" w:cs="Arial"/>
          <w:color w:val="000000"/>
          <w:szCs w:val="22"/>
          <w:lang w:val="fr-FR"/>
        </w:rPr>
        <w:t xml:space="preserve">Chaussée unique bidirectionnelle de 7m de largeur ; </w:t>
      </w:r>
    </w:p>
    <w:p w14:paraId="4FF20412" w14:textId="77777777" w:rsidR="006E37A6" w:rsidRPr="00A9330B" w:rsidRDefault="006E37A6" w:rsidP="00BD2F72">
      <w:pPr>
        <w:pStyle w:val="Paragraphedeliste"/>
        <w:numPr>
          <w:ilvl w:val="0"/>
          <w:numId w:val="146"/>
        </w:numPr>
        <w:overflowPunct/>
        <w:autoSpaceDE/>
        <w:autoSpaceDN/>
        <w:adjustRightInd/>
        <w:spacing w:before="0" w:line="360" w:lineRule="auto"/>
        <w:jc w:val="both"/>
        <w:rPr>
          <w:rFonts w:eastAsia="Arial" w:cs="Arial"/>
          <w:color w:val="000000"/>
          <w:szCs w:val="22"/>
          <w:lang w:val="fr-FR"/>
        </w:rPr>
      </w:pPr>
      <w:r w:rsidRPr="00A9330B">
        <w:rPr>
          <w:rFonts w:eastAsia="Arial" w:cs="Arial"/>
          <w:color w:val="000000"/>
          <w:szCs w:val="22"/>
          <w:lang w:val="fr-FR"/>
        </w:rPr>
        <w:t>Des bordures CS2 combinées aux T2 le long des ouvrages d’assainissement ;</w:t>
      </w:r>
    </w:p>
    <w:p w14:paraId="1292F837" w14:textId="77777777" w:rsidR="006E37A6" w:rsidRPr="00A9330B" w:rsidRDefault="006E37A6" w:rsidP="00BD2F72">
      <w:pPr>
        <w:pStyle w:val="Paragraphedeliste"/>
        <w:numPr>
          <w:ilvl w:val="0"/>
          <w:numId w:val="146"/>
        </w:numPr>
        <w:overflowPunct/>
        <w:autoSpaceDE/>
        <w:autoSpaceDN/>
        <w:adjustRightInd/>
        <w:spacing w:before="0" w:line="360" w:lineRule="auto"/>
        <w:jc w:val="both"/>
        <w:rPr>
          <w:rFonts w:eastAsia="Arial" w:cs="Arial"/>
          <w:color w:val="000000"/>
          <w:szCs w:val="22"/>
          <w:lang w:val="fr-FR"/>
        </w:rPr>
      </w:pPr>
      <w:r w:rsidRPr="00A9330B">
        <w:rPr>
          <w:rFonts w:eastAsia="Arial" w:cs="Arial"/>
          <w:color w:val="000000"/>
          <w:szCs w:val="22"/>
          <w:lang w:val="fr-FR"/>
        </w:rPr>
        <w:t>2 trottoirs bilatéraux de 3,58m de large chacun y compris les ouvrages d’assainissement ;</w:t>
      </w:r>
    </w:p>
    <w:p w14:paraId="2B490902" w14:textId="77777777" w:rsidR="006E37A6" w:rsidRPr="00A9330B" w:rsidRDefault="006E37A6" w:rsidP="00BD2F72">
      <w:pPr>
        <w:pStyle w:val="Paragraphedeliste"/>
        <w:numPr>
          <w:ilvl w:val="0"/>
          <w:numId w:val="146"/>
        </w:numPr>
        <w:overflowPunct/>
        <w:autoSpaceDE/>
        <w:autoSpaceDN/>
        <w:adjustRightInd/>
        <w:spacing w:before="0" w:line="360" w:lineRule="auto"/>
        <w:jc w:val="both"/>
        <w:rPr>
          <w:rFonts w:eastAsia="Arial" w:cs="Arial"/>
          <w:color w:val="000000"/>
          <w:szCs w:val="22"/>
          <w:lang w:val="fr-FR"/>
        </w:rPr>
      </w:pPr>
      <w:r w:rsidRPr="00A9330B">
        <w:rPr>
          <w:rFonts w:eastAsia="Arial" w:cs="Arial"/>
          <w:color w:val="000000"/>
          <w:szCs w:val="22"/>
          <w:lang w:val="fr-FR"/>
        </w:rPr>
        <w:t>Deux rangées de lampadaires solaires monocross dans les trottoirs ;</w:t>
      </w:r>
    </w:p>
    <w:p w14:paraId="2BEB5FF4" w14:textId="77777777" w:rsidR="006E37A6" w:rsidRPr="00A9330B" w:rsidRDefault="006E37A6" w:rsidP="00BD2F72">
      <w:pPr>
        <w:pStyle w:val="Paragraphedeliste"/>
        <w:numPr>
          <w:ilvl w:val="0"/>
          <w:numId w:val="146"/>
        </w:numPr>
        <w:overflowPunct/>
        <w:autoSpaceDE/>
        <w:autoSpaceDN/>
        <w:adjustRightInd/>
        <w:spacing w:before="0" w:line="360" w:lineRule="auto"/>
        <w:jc w:val="both"/>
        <w:rPr>
          <w:rFonts w:eastAsia="Arial" w:cs="Arial"/>
          <w:color w:val="000000"/>
          <w:szCs w:val="22"/>
          <w:lang w:val="fr-FR"/>
        </w:rPr>
      </w:pPr>
      <w:r w:rsidRPr="00A9330B">
        <w:rPr>
          <w:rFonts w:eastAsia="Arial" w:cs="Arial"/>
          <w:color w:val="000000"/>
          <w:szCs w:val="22"/>
          <w:lang w:val="fr-FR"/>
        </w:rPr>
        <w:t>Deux rangées d’arbres présentes ou non en fonction de la largeur des ouvrages d’assainissement ;</w:t>
      </w:r>
    </w:p>
    <w:p w14:paraId="7FCCDF64" w14:textId="77777777" w:rsidR="006E37A6" w:rsidRPr="00A9330B" w:rsidRDefault="006E37A6" w:rsidP="00BD2F72">
      <w:pPr>
        <w:pStyle w:val="Paragraphedeliste"/>
        <w:numPr>
          <w:ilvl w:val="0"/>
          <w:numId w:val="146"/>
        </w:numPr>
        <w:overflowPunct/>
        <w:autoSpaceDE/>
        <w:autoSpaceDN/>
        <w:adjustRightInd/>
        <w:spacing w:before="0" w:line="360" w:lineRule="auto"/>
        <w:jc w:val="both"/>
        <w:rPr>
          <w:rFonts w:eastAsia="Arial" w:cs="Arial"/>
          <w:color w:val="000000"/>
          <w:szCs w:val="22"/>
          <w:lang w:val="fr-FR"/>
        </w:rPr>
      </w:pPr>
      <w:r w:rsidRPr="00A9330B">
        <w:rPr>
          <w:rFonts w:eastAsia="Arial" w:cs="Arial"/>
          <w:color w:val="000000"/>
          <w:szCs w:val="22"/>
          <w:lang w:val="fr-FR"/>
        </w:rPr>
        <w:t>Profil en toit avec un devers de 2,5%.</w:t>
      </w:r>
    </w:p>
    <w:p w14:paraId="71A2F1AA" w14:textId="77777777" w:rsidR="006E37A6" w:rsidRPr="00A9330B" w:rsidRDefault="006E37A6" w:rsidP="00BD2F72">
      <w:pPr>
        <w:pStyle w:val="Paragraphedeliste"/>
        <w:numPr>
          <w:ilvl w:val="0"/>
          <w:numId w:val="146"/>
        </w:numPr>
        <w:spacing w:line="360" w:lineRule="auto"/>
        <w:jc w:val="both"/>
        <w:rPr>
          <w:rFonts w:eastAsia="Arial" w:cs="Arial"/>
          <w:color w:val="000000"/>
          <w:lang w:val="fr-FR"/>
        </w:rPr>
      </w:pPr>
      <w:r w:rsidRPr="00A9330B">
        <w:rPr>
          <w:rFonts w:eastAsia="Arial" w:cs="Arial"/>
          <w:color w:val="000000"/>
          <w:lang w:val="fr-FR"/>
        </w:rPr>
        <w:t xml:space="preserve">Voir profil en travers PF TER 01 </w:t>
      </w:r>
    </w:p>
    <w:p w14:paraId="0311D0B4" w14:textId="77777777" w:rsidR="006E37A6" w:rsidRPr="00A9330B" w:rsidRDefault="006E37A6" w:rsidP="00645DF1">
      <w:pPr>
        <w:spacing w:line="360" w:lineRule="auto"/>
        <w:jc w:val="both"/>
        <w:rPr>
          <w:rFonts w:eastAsia="Arial" w:cs="Arial"/>
          <w:color w:val="000000"/>
        </w:rPr>
      </w:pPr>
      <w:r w:rsidRPr="00A9330B">
        <w:rPr>
          <w:rFonts w:eastAsia="Arial" w:cs="Arial"/>
          <w:color w:val="000000"/>
        </w:rPr>
        <w:t xml:space="preserve">Le </w:t>
      </w:r>
      <w:r w:rsidRPr="00A9330B">
        <w:rPr>
          <w:rFonts w:eastAsia="Arial" w:cs="Arial"/>
          <w:b/>
          <w:color w:val="000000"/>
        </w:rPr>
        <w:t>profil en travers type PF TER 02</w:t>
      </w:r>
      <w:r w:rsidRPr="00A9330B">
        <w:rPr>
          <w:rFonts w:eastAsia="Arial" w:cs="Arial"/>
          <w:color w:val="000000"/>
        </w:rPr>
        <w:t xml:space="preserve"> présente les caractéristiques suivantes :</w:t>
      </w:r>
    </w:p>
    <w:p w14:paraId="5D803765" w14:textId="77777777" w:rsidR="006E37A6" w:rsidRPr="00A9330B" w:rsidRDefault="006E37A6" w:rsidP="00BD2F72">
      <w:pPr>
        <w:pStyle w:val="Paragraphedeliste"/>
        <w:numPr>
          <w:ilvl w:val="0"/>
          <w:numId w:val="147"/>
        </w:numPr>
        <w:overflowPunct/>
        <w:autoSpaceDE/>
        <w:autoSpaceDN/>
        <w:adjustRightInd/>
        <w:spacing w:before="0" w:line="360" w:lineRule="auto"/>
        <w:jc w:val="both"/>
        <w:rPr>
          <w:rFonts w:eastAsia="Arial" w:cs="Arial"/>
          <w:color w:val="000000"/>
          <w:szCs w:val="22"/>
          <w:lang w:val="fr-FR"/>
        </w:rPr>
      </w:pPr>
      <w:r w:rsidRPr="00A9330B">
        <w:rPr>
          <w:rFonts w:eastAsia="Arial" w:cs="Arial"/>
          <w:color w:val="000000"/>
          <w:szCs w:val="22"/>
          <w:lang w:val="fr-FR"/>
        </w:rPr>
        <w:t xml:space="preserve">Chaussée unique bidirectionnelle de 6m de largeur ; </w:t>
      </w:r>
    </w:p>
    <w:p w14:paraId="1ADA0BC4" w14:textId="77777777" w:rsidR="006E37A6" w:rsidRPr="00A9330B" w:rsidRDefault="006E37A6" w:rsidP="00BD2F72">
      <w:pPr>
        <w:pStyle w:val="Paragraphedeliste"/>
        <w:numPr>
          <w:ilvl w:val="0"/>
          <w:numId w:val="147"/>
        </w:numPr>
        <w:overflowPunct/>
        <w:autoSpaceDE/>
        <w:autoSpaceDN/>
        <w:adjustRightInd/>
        <w:spacing w:before="0" w:line="360" w:lineRule="auto"/>
        <w:jc w:val="both"/>
        <w:rPr>
          <w:rFonts w:eastAsia="Arial" w:cs="Arial"/>
          <w:color w:val="000000"/>
          <w:szCs w:val="22"/>
          <w:lang w:val="fr-FR"/>
        </w:rPr>
      </w:pPr>
      <w:r w:rsidRPr="00A9330B">
        <w:rPr>
          <w:rFonts w:eastAsia="Arial" w:cs="Arial"/>
          <w:color w:val="000000"/>
          <w:szCs w:val="22"/>
          <w:lang w:val="fr-FR"/>
        </w:rPr>
        <w:t>Des bordures CS2 combinées aux T2 le long des ouvrages d’assainissement ;</w:t>
      </w:r>
    </w:p>
    <w:p w14:paraId="3A02222A" w14:textId="77777777" w:rsidR="006E37A6" w:rsidRPr="00A9330B" w:rsidRDefault="006E37A6" w:rsidP="00BD2F72">
      <w:pPr>
        <w:pStyle w:val="Paragraphedeliste"/>
        <w:numPr>
          <w:ilvl w:val="0"/>
          <w:numId w:val="147"/>
        </w:numPr>
        <w:overflowPunct/>
        <w:autoSpaceDE/>
        <w:autoSpaceDN/>
        <w:adjustRightInd/>
        <w:spacing w:before="0" w:line="360" w:lineRule="auto"/>
        <w:jc w:val="both"/>
        <w:rPr>
          <w:rFonts w:eastAsia="Arial" w:cs="Arial"/>
          <w:color w:val="000000"/>
          <w:szCs w:val="22"/>
          <w:lang w:val="fr-FR"/>
        </w:rPr>
      </w:pPr>
      <w:r w:rsidRPr="00A9330B">
        <w:rPr>
          <w:rFonts w:eastAsia="Arial" w:cs="Arial"/>
          <w:color w:val="000000"/>
          <w:szCs w:val="22"/>
          <w:lang w:val="fr-FR"/>
        </w:rPr>
        <w:t xml:space="preserve">2 trottoirs bilatéraux de 1,5m de large chacun y compris les ouvrages d’assainissement ; </w:t>
      </w:r>
    </w:p>
    <w:p w14:paraId="7EE5756D" w14:textId="77777777" w:rsidR="006E37A6" w:rsidRPr="00A9330B" w:rsidRDefault="006E37A6" w:rsidP="00BD2F72">
      <w:pPr>
        <w:pStyle w:val="Paragraphedeliste"/>
        <w:numPr>
          <w:ilvl w:val="0"/>
          <w:numId w:val="147"/>
        </w:numPr>
        <w:overflowPunct/>
        <w:autoSpaceDE/>
        <w:autoSpaceDN/>
        <w:adjustRightInd/>
        <w:spacing w:before="0" w:line="360" w:lineRule="auto"/>
        <w:jc w:val="both"/>
        <w:rPr>
          <w:rFonts w:eastAsia="Arial" w:cs="Arial"/>
          <w:color w:val="000000"/>
          <w:szCs w:val="22"/>
          <w:lang w:val="fr-FR"/>
        </w:rPr>
      </w:pPr>
      <w:r w:rsidRPr="00A9330B">
        <w:rPr>
          <w:rFonts w:eastAsia="Arial" w:cs="Arial"/>
          <w:color w:val="000000"/>
          <w:szCs w:val="22"/>
          <w:lang w:val="fr-FR"/>
        </w:rPr>
        <w:t>une rangée de lampadaires solaires monocross dans les trottoirs ;</w:t>
      </w:r>
    </w:p>
    <w:p w14:paraId="43D6E470" w14:textId="77777777" w:rsidR="006E37A6" w:rsidRPr="00A9330B" w:rsidRDefault="006E37A6" w:rsidP="00BD2F72">
      <w:pPr>
        <w:pStyle w:val="Paragraphedeliste"/>
        <w:numPr>
          <w:ilvl w:val="0"/>
          <w:numId w:val="147"/>
        </w:numPr>
        <w:overflowPunct/>
        <w:autoSpaceDE/>
        <w:autoSpaceDN/>
        <w:adjustRightInd/>
        <w:spacing w:before="0" w:line="360" w:lineRule="auto"/>
        <w:jc w:val="both"/>
        <w:rPr>
          <w:rFonts w:eastAsia="Arial" w:cs="Arial"/>
          <w:color w:val="000000"/>
          <w:szCs w:val="22"/>
          <w:lang w:val="fr-FR"/>
        </w:rPr>
      </w:pPr>
      <w:r w:rsidRPr="00A9330B">
        <w:rPr>
          <w:rFonts w:eastAsia="Arial" w:cs="Arial"/>
          <w:color w:val="000000"/>
          <w:szCs w:val="22"/>
          <w:lang w:val="fr-FR"/>
        </w:rPr>
        <w:t>Profil en pente unique de 2,5%.</w:t>
      </w:r>
    </w:p>
    <w:p w14:paraId="260670AF" w14:textId="77777777" w:rsidR="006E37A6" w:rsidRPr="00A9330B" w:rsidRDefault="006E37A6" w:rsidP="00645DF1">
      <w:pPr>
        <w:spacing w:line="360" w:lineRule="auto"/>
        <w:jc w:val="both"/>
        <w:rPr>
          <w:rFonts w:eastAsia="Arial" w:cs="Arial"/>
          <w:color w:val="000000"/>
        </w:rPr>
      </w:pPr>
      <w:r w:rsidRPr="00A9330B">
        <w:rPr>
          <w:rFonts w:eastAsia="Arial" w:cs="Arial"/>
          <w:color w:val="000000"/>
        </w:rPr>
        <w:t>Voir profil en travers PF TER 02</w:t>
      </w:r>
    </w:p>
    <w:p w14:paraId="601DB4CD" w14:textId="77777777" w:rsidR="006E37A6" w:rsidRPr="00A9330B" w:rsidRDefault="006E37A6" w:rsidP="00645DF1">
      <w:pPr>
        <w:spacing w:line="360" w:lineRule="auto"/>
        <w:jc w:val="both"/>
        <w:rPr>
          <w:rFonts w:eastAsia="Arial" w:cs="Arial"/>
          <w:color w:val="000000"/>
        </w:rPr>
      </w:pPr>
    </w:p>
    <w:p w14:paraId="6EAE0465" w14:textId="77777777" w:rsidR="006E37A6" w:rsidRPr="00A9330B" w:rsidRDefault="006E37A6" w:rsidP="000F7BA7">
      <w:pPr>
        <w:spacing w:line="288" w:lineRule="auto"/>
        <w:jc w:val="both"/>
        <w:rPr>
          <w:rFonts w:cs="Arial"/>
        </w:rPr>
      </w:pPr>
    </w:p>
    <w:p w14:paraId="24EB946C" w14:textId="77777777" w:rsidR="006E37A6" w:rsidRPr="00A9330B" w:rsidRDefault="006E37A6" w:rsidP="000F7BA7">
      <w:pPr>
        <w:rPr>
          <w:i/>
          <w:u w:val="single"/>
        </w:rPr>
      </w:pPr>
      <w:bookmarkStart w:id="925" w:name="_Toc46088014"/>
      <w:r w:rsidRPr="00A9330B">
        <w:rPr>
          <w:i/>
          <w:u w:val="single"/>
        </w:rPr>
        <w:lastRenderedPageBreak/>
        <w:t>Structures de chaussées retenues</w:t>
      </w:r>
      <w:bookmarkEnd w:id="925"/>
    </w:p>
    <w:p w14:paraId="7CA9C547" w14:textId="247DB556" w:rsidR="006E37A6" w:rsidRPr="00A9330B" w:rsidRDefault="006E37A6" w:rsidP="00A9330B">
      <w:pPr>
        <w:pStyle w:val="Lgende"/>
      </w:pPr>
      <w:bookmarkStart w:id="926" w:name="_Toc46088049"/>
      <w:bookmarkStart w:id="927" w:name="_Toc52873755"/>
      <w:r w:rsidRPr="00A9330B">
        <w:t xml:space="preserve">Tableau </w:t>
      </w:r>
      <w:r w:rsidRPr="00A9330B">
        <w:fldChar w:fldCharType="begin"/>
      </w:r>
      <w:r w:rsidRPr="00A9330B">
        <w:instrText xml:space="preserve"> SEQ Tableau \* ARABIC </w:instrText>
      </w:r>
      <w:r w:rsidRPr="00A9330B">
        <w:fldChar w:fldCharType="separate"/>
      </w:r>
      <w:r w:rsidR="00E33E4E" w:rsidRPr="00A9330B">
        <w:rPr>
          <w:noProof/>
        </w:rPr>
        <w:t>31</w:t>
      </w:r>
      <w:r w:rsidRPr="00A9330B">
        <w:rPr>
          <w:noProof/>
        </w:rPr>
        <w:fldChar w:fldCharType="end"/>
      </w:r>
      <w:r w:rsidRPr="00A9330B">
        <w:t xml:space="preserve"> : Structures de chaussées retenues</w:t>
      </w:r>
      <w:bookmarkEnd w:id="926"/>
      <w:bookmarkEnd w:id="927"/>
    </w:p>
    <w:tbl>
      <w:tblPr>
        <w:tblStyle w:val="Grilledutableau"/>
        <w:tblW w:w="4614" w:type="pct"/>
        <w:tblInd w:w="279" w:type="dxa"/>
        <w:tblLook w:val="04A0" w:firstRow="1" w:lastRow="0" w:firstColumn="1" w:lastColumn="0" w:noHBand="0" w:noVBand="1"/>
      </w:tblPr>
      <w:tblGrid>
        <w:gridCol w:w="2125"/>
        <w:gridCol w:w="2880"/>
        <w:gridCol w:w="3357"/>
      </w:tblGrid>
      <w:tr w:rsidR="006E37A6" w:rsidRPr="00A9330B" w14:paraId="578CB59D" w14:textId="77777777" w:rsidTr="000F7BA7">
        <w:trPr>
          <w:trHeight w:val="20"/>
          <w:tblHeader/>
        </w:trPr>
        <w:tc>
          <w:tcPr>
            <w:tcW w:w="1270" w:type="pct"/>
            <w:shd w:val="clear" w:color="auto" w:fill="00B0F0"/>
            <w:vAlign w:val="center"/>
          </w:tcPr>
          <w:p w14:paraId="18023107" w14:textId="77777777" w:rsidR="006E37A6" w:rsidRPr="00A9330B" w:rsidRDefault="006E37A6" w:rsidP="000F7BA7">
            <w:pPr>
              <w:spacing w:line="240" w:lineRule="auto"/>
              <w:jc w:val="both"/>
              <w:rPr>
                <w:rFonts w:eastAsia="Arial" w:cs="Arial"/>
                <w:color w:val="000000"/>
                <w:sz w:val="20"/>
                <w:szCs w:val="20"/>
              </w:rPr>
            </w:pPr>
            <w:r w:rsidRPr="00A9330B">
              <w:rPr>
                <w:rFonts w:eastAsia="Arial" w:cs="Arial"/>
                <w:color w:val="000000"/>
                <w:sz w:val="20"/>
                <w:szCs w:val="20"/>
              </w:rPr>
              <w:t>STRUCTURES</w:t>
            </w:r>
          </w:p>
        </w:tc>
        <w:tc>
          <w:tcPr>
            <w:tcW w:w="1722" w:type="pct"/>
            <w:shd w:val="clear" w:color="auto" w:fill="00B0F0"/>
            <w:vAlign w:val="center"/>
          </w:tcPr>
          <w:p w14:paraId="271F9351" w14:textId="77777777" w:rsidR="006E37A6" w:rsidRPr="00A9330B" w:rsidRDefault="006E37A6" w:rsidP="000F7BA7">
            <w:pPr>
              <w:spacing w:line="240" w:lineRule="auto"/>
              <w:jc w:val="both"/>
              <w:rPr>
                <w:rFonts w:eastAsia="Arial" w:cs="Arial"/>
                <w:color w:val="000000"/>
                <w:sz w:val="20"/>
                <w:szCs w:val="20"/>
              </w:rPr>
            </w:pPr>
            <w:r w:rsidRPr="00A9330B">
              <w:rPr>
                <w:rFonts w:eastAsia="Arial" w:cs="Arial"/>
                <w:color w:val="000000"/>
                <w:sz w:val="20"/>
                <w:szCs w:val="20"/>
              </w:rPr>
              <w:t>HYPOTHESES</w:t>
            </w:r>
          </w:p>
        </w:tc>
        <w:tc>
          <w:tcPr>
            <w:tcW w:w="2007" w:type="pct"/>
            <w:shd w:val="clear" w:color="auto" w:fill="00B0F0"/>
            <w:vAlign w:val="center"/>
          </w:tcPr>
          <w:p w14:paraId="01633FA1" w14:textId="77777777" w:rsidR="006E37A6" w:rsidRPr="00A9330B" w:rsidRDefault="006E37A6" w:rsidP="000F7BA7">
            <w:pPr>
              <w:spacing w:line="240" w:lineRule="auto"/>
              <w:jc w:val="both"/>
              <w:rPr>
                <w:rFonts w:eastAsia="Arial" w:cs="Arial"/>
                <w:color w:val="000000"/>
                <w:sz w:val="20"/>
                <w:szCs w:val="20"/>
              </w:rPr>
            </w:pPr>
            <w:r w:rsidRPr="00A9330B">
              <w:rPr>
                <w:rFonts w:eastAsia="Arial" w:cs="Arial"/>
                <w:color w:val="000000"/>
                <w:sz w:val="20"/>
                <w:szCs w:val="20"/>
              </w:rPr>
              <w:t>STRUCTURE RETENUE</w:t>
            </w:r>
          </w:p>
        </w:tc>
      </w:tr>
      <w:tr w:rsidR="006E37A6" w:rsidRPr="00A9330B" w14:paraId="663D4C1B" w14:textId="77777777" w:rsidTr="000F7BA7">
        <w:trPr>
          <w:trHeight w:val="20"/>
        </w:trPr>
        <w:tc>
          <w:tcPr>
            <w:tcW w:w="1270" w:type="pct"/>
            <w:vAlign w:val="center"/>
          </w:tcPr>
          <w:p w14:paraId="4C2035BB" w14:textId="77777777" w:rsidR="006E37A6" w:rsidRPr="00A9330B" w:rsidRDefault="006E37A6" w:rsidP="000F7BA7">
            <w:pPr>
              <w:spacing w:line="240" w:lineRule="auto"/>
              <w:jc w:val="both"/>
              <w:rPr>
                <w:rFonts w:eastAsia="Arial" w:cs="Arial"/>
                <w:color w:val="000000"/>
                <w:sz w:val="20"/>
                <w:szCs w:val="20"/>
              </w:rPr>
            </w:pPr>
            <w:r w:rsidRPr="00A9330B">
              <w:rPr>
                <w:rFonts w:eastAsia="Arial" w:cs="Arial"/>
                <w:color w:val="000000"/>
                <w:sz w:val="20"/>
                <w:szCs w:val="20"/>
              </w:rPr>
              <w:t>STRUCTURE 1</w:t>
            </w:r>
          </w:p>
        </w:tc>
        <w:tc>
          <w:tcPr>
            <w:tcW w:w="1722" w:type="pct"/>
            <w:vAlign w:val="center"/>
          </w:tcPr>
          <w:p w14:paraId="0ABA293E" w14:textId="77777777" w:rsidR="006E37A6" w:rsidRPr="00A9330B" w:rsidRDefault="006E37A6" w:rsidP="000F7BA7">
            <w:pPr>
              <w:spacing w:line="240" w:lineRule="auto"/>
              <w:jc w:val="both"/>
              <w:rPr>
                <w:rFonts w:eastAsia="Arial" w:cs="Arial"/>
                <w:color w:val="000000"/>
                <w:sz w:val="20"/>
                <w:szCs w:val="20"/>
              </w:rPr>
            </w:pPr>
            <w:r w:rsidRPr="00A9330B">
              <w:rPr>
                <w:rFonts w:eastAsia="Arial" w:cs="Arial"/>
                <w:color w:val="000000"/>
                <w:sz w:val="20"/>
                <w:szCs w:val="20"/>
              </w:rPr>
              <w:t>100 PL/jour/sens – T3-</w:t>
            </w:r>
          </w:p>
          <w:p w14:paraId="22CCEEFD" w14:textId="77777777" w:rsidR="006E37A6" w:rsidRPr="00A9330B" w:rsidRDefault="006E37A6" w:rsidP="000F7BA7">
            <w:pPr>
              <w:spacing w:line="240" w:lineRule="auto"/>
              <w:jc w:val="both"/>
              <w:rPr>
                <w:rFonts w:eastAsia="Arial" w:cs="Arial"/>
                <w:color w:val="000000"/>
                <w:sz w:val="20"/>
                <w:szCs w:val="20"/>
              </w:rPr>
            </w:pPr>
            <w:r w:rsidRPr="00A9330B">
              <w:rPr>
                <w:rFonts w:eastAsia="Arial" w:cs="Arial"/>
                <w:color w:val="000000"/>
                <w:sz w:val="20"/>
                <w:szCs w:val="20"/>
              </w:rPr>
              <w:t>CAM= 1,30</w:t>
            </w:r>
          </w:p>
          <w:p w14:paraId="2AF933FB" w14:textId="77777777" w:rsidR="006E37A6" w:rsidRPr="00A9330B" w:rsidRDefault="006E37A6" w:rsidP="000F7BA7">
            <w:pPr>
              <w:spacing w:line="240" w:lineRule="auto"/>
              <w:jc w:val="both"/>
              <w:rPr>
                <w:rFonts w:eastAsia="Arial" w:cs="Arial"/>
                <w:color w:val="000000"/>
                <w:sz w:val="20"/>
                <w:szCs w:val="20"/>
              </w:rPr>
            </w:pPr>
            <w:r w:rsidRPr="00A9330B">
              <w:rPr>
                <w:rFonts w:eastAsia="Arial" w:cs="Arial"/>
                <w:color w:val="000000"/>
                <w:sz w:val="20"/>
                <w:szCs w:val="20"/>
              </w:rPr>
              <w:t>Sol = 100 MPA</w:t>
            </w:r>
          </w:p>
        </w:tc>
        <w:tc>
          <w:tcPr>
            <w:tcW w:w="2007" w:type="pct"/>
            <w:vAlign w:val="center"/>
          </w:tcPr>
          <w:p w14:paraId="354BF662" w14:textId="77777777" w:rsidR="006E37A6" w:rsidRPr="00A9330B" w:rsidRDefault="006E37A6" w:rsidP="000F7BA7">
            <w:pPr>
              <w:spacing w:line="240" w:lineRule="auto"/>
              <w:jc w:val="both"/>
              <w:rPr>
                <w:rFonts w:eastAsia="Arial" w:cs="Arial"/>
                <w:color w:val="000000"/>
                <w:sz w:val="20"/>
                <w:szCs w:val="20"/>
              </w:rPr>
            </w:pPr>
            <w:r w:rsidRPr="00A9330B">
              <w:rPr>
                <w:rFonts w:eastAsia="Arial" w:cs="Arial"/>
                <w:color w:val="000000"/>
                <w:sz w:val="20"/>
                <w:szCs w:val="20"/>
              </w:rPr>
              <w:t xml:space="preserve">S : 6 cm de BB 0/10 </w:t>
            </w:r>
          </w:p>
          <w:p w14:paraId="3E37CB0B" w14:textId="77777777" w:rsidR="006E37A6" w:rsidRPr="00A9330B" w:rsidRDefault="006E37A6" w:rsidP="000F7BA7">
            <w:pPr>
              <w:spacing w:line="240" w:lineRule="auto"/>
              <w:jc w:val="both"/>
              <w:rPr>
                <w:rFonts w:eastAsia="Arial" w:cs="Arial"/>
                <w:color w:val="000000"/>
                <w:sz w:val="20"/>
                <w:szCs w:val="20"/>
              </w:rPr>
            </w:pPr>
            <w:r w:rsidRPr="00A9330B">
              <w:rPr>
                <w:rFonts w:eastAsia="Arial" w:cs="Arial"/>
                <w:color w:val="000000"/>
                <w:sz w:val="20"/>
                <w:szCs w:val="20"/>
              </w:rPr>
              <w:t>Monocouche 10/14</w:t>
            </w:r>
          </w:p>
          <w:p w14:paraId="7D753CBC" w14:textId="77777777" w:rsidR="006E37A6" w:rsidRPr="00A9330B" w:rsidRDefault="006E37A6" w:rsidP="000F7BA7">
            <w:pPr>
              <w:spacing w:line="240" w:lineRule="auto"/>
              <w:jc w:val="both"/>
              <w:rPr>
                <w:rFonts w:eastAsia="Arial" w:cs="Arial"/>
                <w:color w:val="000000"/>
                <w:sz w:val="20"/>
                <w:szCs w:val="20"/>
              </w:rPr>
            </w:pPr>
            <w:r w:rsidRPr="00A9330B">
              <w:rPr>
                <w:rFonts w:eastAsia="Arial" w:cs="Arial"/>
                <w:color w:val="000000"/>
                <w:sz w:val="20"/>
                <w:szCs w:val="20"/>
              </w:rPr>
              <w:t>B : 20 cm de Graveleux à 4%</w:t>
            </w:r>
          </w:p>
          <w:p w14:paraId="15A7ED0A" w14:textId="77777777" w:rsidR="006E37A6" w:rsidRPr="00A9330B" w:rsidRDefault="006E37A6" w:rsidP="000F7BA7">
            <w:pPr>
              <w:spacing w:line="240" w:lineRule="auto"/>
              <w:jc w:val="both"/>
              <w:rPr>
                <w:rFonts w:eastAsia="Arial" w:cs="Arial"/>
                <w:color w:val="000000"/>
                <w:sz w:val="20"/>
                <w:szCs w:val="20"/>
              </w:rPr>
            </w:pPr>
            <w:r w:rsidRPr="00A9330B">
              <w:rPr>
                <w:rFonts w:eastAsia="Arial" w:cs="Arial"/>
                <w:color w:val="000000"/>
                <w:sz w:val="20"/>
                <w:szCs w:val="20"/>
              </w:rPr>
              <w:t xml:space="preserve">F : 20 cm de Graveleux naturel </w:t>
            </w:r>
          </w:p>
        </w:tc>
      </w:tr>
      <w:tr w:rsidR="006E37A6" w:rsidRPr="00A9330B" w14:paraId="3179CF72" w14:textId="77777777" w:rsidTr="000F7BA7">
        <w:trPr>
          <w:trHeight w:val="20"/>
        </w:trPr>
        <w:tc>
          <w:tcPr>
            <w:tcW w:w="1270" w:type="pct"/>
            <w:vAlign w:val="center"/>
          </w:tcPr>
          <w:p w14:paraId="589D9FD8" w14:textId="77777777" w:rsidR="006E37A6" w:rsidRPr="00A9330B" w:rsidRDefault="006E37A6" w:rsidP="000F7BA7">
            <w:pPr>
              <w:spacing w:line="240" w:lineRule="auto"/>
              <w:jc w:val="both"/>
              <w:rPr>
                <w:rFonts w:eastAsia="Arial" w:cs="Arial"/>
                <w:color w:val="000000"/>
                <w:sz w:val="20"/>
                <w:szCs w:val="20"/>
              </w:rPr>
            </w:pPr>
            <w:r w:rsidRPr="00A9330B">
              <w:rPr>
                <w:rFonts w:eastAsia="Arial" w:cs="Arial"/>
                <w:color w:val="000000"/>
                <w:sz w:val="20"/>
                <w:szCs w:val="20"/>
              </w:rPr>
              <w:t>STRUCTURE 4</w:t>
            </w:r>
          </w:p>
          <w:p w14:paraId="3209FADC" w14:textId="77777777" w:rsidR="006E37A6" w:rsidRPr="00A9330B" w:rsidRDefault="006E37A6" w:rsidP="000F7BA7">
            <w:pPr>
              <w:spacing w:line="240" w:lineRule="auto"/>
              <w:jc w:val="both"/>
              <w:rPr>
                <w:rFonts w:eastAsia="Arial" w:cs="Arial"/>
                <w:color w:val="000000"/>
                <w:sz w:val="20"/>
                <w:szCs w:val="20"/>
              </w:rPr>
            </w:pPr>
            <w:r w:rsidRPr="00A9330B">
              <w:rPr>
                <w:rFonts w:eastAsia="Arial" w:cs="Arial"/>
                <w:color w:val="000000"/>
                <w:sz w:val="20"/>
                <w:szCs w:val="20"/>
              </w:rPr>
              <w:t>Trottoir en pavé</w:t>
            </w:r>
          </w:p>
        </w:tc>
        <w:tc>
          <w:tcPr>
            <w:tcW w:w="1722" w:type="pct"/>
            <w:vAlign w:val="center"/>
          </w:tcPr>
          <w:p w14:paraId="43E99826" w14:textId="77777777" w:rsidR="006E37A6" w:rsidRPr="00A9330B" w:rsidRDefault="006E37A6" w:rsidP="000F7BA7">
            <w:pPr>
              <w:spacing w:line="240" w:lineRule="auto"/>
              <w:rPr>
                <w:rFonts w:eastAsia="Arial" w:cs="Arial"/>
                <w:color w:val="000000"/>
                <w:sz w:val="20"/>
                <w:szCs w:val="20"/>
              </w:rPr>
            </w:pPr>
            <w:r w:rsidRPr="00A9330B">
              <w:rPr>
                <w:rFonts w:eastAsia="Arial" w:cs="Arial"/>
                <w:color w:val="000000"/>
                <w:sz w:val="20"/>
                <w:szCs w:val="20"/>
              </w:rPr>
              <w:t>X</w:t>
            </w:r>
          </w:p>
        </w:tc>
        <w:tc>
          <w:tcPr>
            <w:tcW w:w="2007" w:type="pct"/>
            <w:vAlign w:val="center"/>
          </w:tcPr>
          <w:p w14:paraId="737EB58E" w14:textId="77777777" w:rsidR="006E37A6" w:rsidRPr="00A9330B" w:rsidRDefault="006E37A6" w:rsidP="000F7BA7">
            <w:pPr>
              <w:spacing w:line="240" w:lineRule="auto"/>
              <w:jc w:val="both"/>
              <w:rPr>
                <w:rFonts w:eastAsia="Arial" w:cs="Arial"/>
                <w:color w:val="000000"/>
                <w:sz w:val="20"/>
                <w:szCs w:val="20"/>
              </w:rPr>
            </w:pPr>
            <w:r w:rsidRPr="00A9330B">
              <w:rPr>
                <w:rFonts w:eastAsia="Arial" w:cs="Arial"/>
                <w:color w:val="000000"/>
                <w:sz w:val="20"/>
                <w:szCs w:val="20"/>
              </w:rPr>
              <w:t xml:space="preserve">Surface : 8 cm de pavé </w:t>
            </w:r>
          </w:p>
          <w:p w14:paraId="5F07FAED" w14:textId="77777777" w:rsidR="006E37A6" w:rsidRPr="00A9330B" w:rsidRDefault="006E37A6" w:rsidP="000F7BA7">
            <w:pPr>
              <w:spacing w:line="240" w:lineRule="auto"/>
              <w:jc w:val="both"/>
              <w:rPr>
                <w:rFonts w:eastAsia="Arial" w:cs="Arial"/>
                <w:color w:val="000000"/>
                <w:sz w:val="20"/>
                <w:szCs w:val="20"/>
              </w:rPr>
            </w:pPr>
            <w:r w:rsidRPr="00A9330B">
              <w:rPr>
                <w:rFonts w:eastAsia="Arial" w:cs="Arial"/>
                <w:color w:val="000000"/>
                <w:sz w:val="20"/>
                <w:szCs w:val="20"/>
              </w:rPr>
              <w:t xml:space="preserve">Lit de pose : 3 cm de sable </w:t>
            </w:r>
          </w:p>
          <w:p w14:paraId="50323721" w14:textId="77777777" w:rsidR="006E37A6" w:rsidRPr="00A9330B" w:rsidRDefault="006E37A6" w:rsidP="000F7BA7">
            <w:pPr>
              <w:spacing w:line="240" w:lineRule="auto"/>
              <w:jc w:val="both"/>
              <w:rPr>
                <w:rFonts w:eastAsia="Arial" w:cs="Arial"/>
                <w:color w:val="000000"/>
                <w:sz w:val="20"/>
                <w:szCs w:val="20"/>
              </w:rPr>
            </w:pPr>
            <w:r w:rsidRPr="00A9330B">
              <w:rPr>
                <w:rFonts w:eastAsia="Arial" w:cs="Arial"/>
                <w:color w:val="000000"/>
                <w:sz w:val="20"/>
                <w:szCs w:val="20"/>
              </w:rPr>
              <w:t>B: 15 cm de Graveleux naturel</w:t>
            </w:r>
          </w:p>
        </w:tc>
      </w:tr>
    </w:tbl>
    <w:p w14:paraId="135396F5" w14:textId="4D559220" w:rsidR="006E37A6" w:rsidRPr="00A9330B" w:rsidRDefault="00645DF1" w:rsidP="00A9330B">
      <w:pPr>
        <w:pStyle w:val="Lgende"/>
      </w:pPr>
      <w:bookmarkStart w:id="928" w:name="_Toc504487282"/>
      <w:bookmarkStart w:id="929" w:name="_Toc505009502"/>
      <w:bookmarkStart w:id="930" w:name="_Toc46088015"/>
      <w:r w:rsidRPr="00A9330B">
        <w:tab/>
      </w:r>
      <w:bookmarkStart w:id="931" w:name="_Toc46088050"/>
      <w:bookmarkStart w:id="932" w:name="_Toc52873756"/>
      <w:bookmarkEnd w:id="928"/>
      <w:bookmarkEnd w:id="929"/>
      <w:bookmarkEnd w:id="930"/>
      <w:r w:rsidR="006E37A6" w:rsidRPr="00A9330B">
        <w:t xml:space="preserve">Tableau </w:t>
      </w:r>
      <w:r w:rsidR="006E37A6" w:rsidRPr="00A9330B">
        <w:fldChar w:fldCharType="begin"/>
      </w:r>
      <w:r w:rsidR="006E37A6" w:rsidRPr="00A9330B">
        <w:instrText xml:space="preserve"> SEQ Tableau \* ARABIC </w:instrText>
      </w:r>
      <w:r w:rsidR="006E37A6" w:rsidRPr="00A9330B">
        <w:fldChar w:fldCharType="separate"/>
      </w:r>
      <w:r w:rsidRPr="00A9330B">
        <w:rPr>
          <w:noProof/>
        </w:rPr>
        <w:t>32</w:t>
      </w:r>
      <w:r w:rsidR="006E37A6" w:rsidRPr="00A9330B">
        <w:rPr>
          <w:noProof/>
        </w:rPr>
        <w:fldChar w:fldCharType="end"/>
      </w:r>
      <w:r w:rsidR="006E37A6" w:rsidRPr="00A9330B">
        <w:t>:</w:t>
      </w:r>
      <w:r w:rsidRPr="00A9330B">
        <w:t xml:space="preserve"> </w:t>
      </w:r>
      <w:r w:rsidR="006E37A6" w:rsidRPr="00A9330B">
        <w:t>Liste des rues avec leurs structures</w:t>
      </w:r>
      <w:bookmarkEnd w:id="931"/>
      <w:bookmarkEnd w:id="932"/>
    </w:p>
    <w:tbl>
      <w:tblPr>
        <w:tblStyle w:val="Grilledutableau3"/>
        <w:tblW w:w="4535" w:type="pct"/>
        <w:tblInd w:w="421" w:type="dxa"/>
        <w:tblLook w:val="04A0" w:firstRow="1" w:lastRow="0" w:firstColumn="1" w:lastColumn="0" w:noHBand="0" w:noVBand="1"/>
      </w:tblPr>
      <w:tblGrid>
        <w:gridCol w:w="1981"/>
        <w:gridCol w:w="1703"/>
        <w:gridCol w:w="1701"/>
        <w:gridCol w:w="2834"/>
      </w:tblGrid>
      <w:tr w:rsidR="00645DF1" w:rsidRPr="00A9330B" w14:paraId="3E852673" w14:textId="77777777" w:rsidTr="000F7BA7">
        <w:trPr>
          <w:trHeight w:val="397"/>
          <w:tblHeader/>
        </w:trPr>
        <w:tc>
          <w:tcPr>
            <w:tcW w:w="1205" w:type="pct"/>
            <w:shd w:val="clear" w:color="auto" w:fill="00B0F0"/>
            <w:noWrap/>
            <w:hideMark/>
          </w:tcPr>
          <w:p w14:paraId="08D2EA95" w14:textId="77777777" w:rsidR="006E37A6" w:rsidRPr="00A9330B" w:rsidRDefault="006E37A6" w:rsidP="000F7BA7">
            <w:pPr>
              <w:spacing w:before="80" w:line="240" w:lineRule="auto"/>
              <w:jc w:val="both"/>
              <w:rPr>
                <w:rFonts w:cs="Arial"/>
                <w:b/>
                <w:bCs/>
                <w:color w:val="000000"/>
                <w:sz w:val="18"/>
                <w:szCs w:val="18"/>
              </w:rPr>
            </w:pPr>
            <w:r w:rsidRPr="00A9330B">
              <w:rPr>
                <w:rFonts w:cs="Arial"/>
                <w:b/>
                <w:bCs/>
                <w:color w:val="000000"/>
                <w:sz w:val="18"/>
                <w:szCs w:val="18"/>
              </w:rPr>
              <w:t>REF</w:t>
            </w:r>
          </w:p>
        </w:tc>
        <w:tc>
          <w:tcPr>
            <w:tcW w:w="1036" w:type="pct"/>
            <w:shd w:val="clear" w:color="auto" w:fill="00B0F0"/>
            <w:noWrap/>
            <w:hideMark/>
          </w:tcPr>
          <w:p w14:paraId="1E7E04BD" w14:textId="77777777" w:rsidR="006E37A6" w:rsidRPr="00A9330B" w:rsidRDefault="006E37A6" w:rsidP="000F7BA7">
            <w:pPr>
              <w:spacing w:before="80" w:line="240" w:lineRule="auto"/>
              <w:jc w:val="both"/>
              <w:rPr>
                <w:rFonts w:cs="Arial"/>
                <w:b/>
                <w:bCs/>
                <w:color w:val="000000"/>
                <w:sz w:val="18"/>
                <w:szCs w:val="18"/>
              </w:rPr>
            </w:pPr>
            <w:r w:rsidRPr="00A9330B">
              <w:rPr>
                <w:rFonts w:cs="Arial"/>
                <w:b/>
                <w:bCs/>
                <w:color w:val="000000"/>
                <w:sz w:val="18"/>
                <w:szCs w:val="18"/>
              </w:rPr>
              <w:t>REVÊTEMENT</w:t>
            </w:r>
          </w:p>
        </w:tc>
        <w:tc>
          <w:tcPr>
            <w:tcW w:w="1035" w:type="pct"/>
            <w:shd w:val="clear" w:color="auto" w:fill="00B0F0"/>
          </w:tcPr>
          <w:p w14:paraId="63887963" w14:textId="77777777" w:rsidR="006E37A6" w:rsidRPr="00A9330B" w:rsidRDefault="006E37A6" w:rsidP="000F7BA7">
            <w:pPr>
              <w:spacing w:before="80" w:line="240" w:lineRule="auto"/>
              <w:jc w:val="both"/>
              <w:rPr>
                <w:rFonts w:cs="Arial"/>
                <w:b/>
                <w:bCs/>
                <w:color w:val="000000"/>
                <w:sz w:val="18"/>
                <w:szCs w:val="18"/>
              </w:rPr>
            </w:pPr>
            <w:r w:rsidRPr="00A9330B">
              <w:rPr>
                <w:rFonts w:cs="Arial"/>
                <w:b/>
                <w:bCs/>
                <w:color w:val="000000"/>
                <w:sz w:val="18"/>
                <w:szCs w:val="18"/>
              </w:rPr>
              <w:t>TRAFIC</w:t>
            </w:r>
          </w:p>
        </w:tc>
        <w:tc>
          <w:tcPr>
            <w:tcW w:w="1724" w:type="pct"/>
            <w:shd w:val="clear" w:color="auto" w:fill="00B0F0"/>
            <w:noWrap/>
            <w:hideMark/>
          </w:tcPr>
          <w:p w14:paraId="05A5A3AF" w14:textId="77777777" w:rsidR="006E37A6" w:rsidRPr="00A9330B" w:rsidRDefault="006E37A6" w:rsidP="000F7BA7">
            <w:pPr>
              <w:spacing w:before="80" w:line="240" w:lineRule="auto"/>
              <w:jc w:val="both"/>
              <w:rPr>
                <w:rFonts w:cs="Arial"/>
                <w:b/>
                <w:bCs/>
                <w:color w:val="000000"/>
                <w:sz w:val="18"/>
                <w:szCs w:val="18"/>
              </w:rPr>
            </w:pPr>
            <w:r w:rsidRPr="00A9330B">
              <w:rPr>
                <w:rFonts w:cs="Arial"/>
                <w:b/>
                <w:bCs/>
                <w:color w:val="000000"/>
                <w:sz w:val="18"/>
                <w:szCs w:val="18"/>
              </w:rPr>
              <w:t>STRUCTURES</w:t>
            </w:r>
          </w:p>
        </w:tc>
      </w:tr>
      <w:tr w:rsidR="00645DF1" w:rsidRPr="00A9330B" w14:paraId="6D772275" w14:textId="77777777" w:rsidTr="000F7BA7">
        <w:trPr>
          <w:trHeight w:val="397"/>
        </w:trPr>
        <w:tc>
          <w:tcPr>
            <w:tcW w:w="1205" w:type="pct"/>
            <w:noWrap/>
          </w:tcPr>
          <w:p w14:paraId="1520D442" w14:textId="77777777" w:rsidR="006E37A6" w:rsidRPr="00A9330B" w:rsidRDefault="006E37A6" w:rsidP="000F7BA7">
            <w:pPr>
              <w:spacing w:before="80" w:line="240" w:lineRule="auto"/>
              <w:jc w:val="both"/>
              <w:rPr>
                <w:rFonts w:cs="Arial"/>
                <w:iCs/>
                <w:sz w:val="18"/>
                <w:szCs w:val="18"/>
              </w:rPr>
            </w:pPr>
            <w:r w:rsidRPr="00A9330B">
              <w:rPr>
                <w:rFonts w:cs="Arial"/>
                <w:sz w:val="18"/>
                <w:szCs w:val="18"/>
              </w:rPr>
              <w:t>RUE D4</w:t>
            </w:r>
          </w:p>
        </w:tc>
        <w:tc>
          <w:tcPr>
            <w:tcW w:w="1036" w:type="pct"/>
          </w:tcPr>
          <w:p w14:paraId="277BB095" w14:textId="77777777" w:rsidR="006E37A6" w:rsidRPr="00A9330B" w:rsidRDefault="006E37A6" w:rsidP="000F7BA7">
            <w:pPr>
              <w:spacing w:before="80" w:line="240" w:lineRule="auto"/>
              <w:jc w:val="both"/>
              <w:rPr>
                <w:rFonts w:cs="Arial"/>
                <w:iCs/>
                <w:color w:val="000000"/>
                <w:sz w:val="18"/>
                <w:szCs w:val="18"/>
              </w:rPr>
            </w:pPr>
            <w:r w:rsidRPr="00A9330B">
              <w:rPr>
                <w:rFonts w:cs="Arial"/>
                <w:iCs/>
                <w:color w:val="000000"/>
                <w:sz w:val="18"/>
                <w:szCs w:val="18"/>
              </w:rPr>
              <w:t>BITUME</w:t>
            </w:r>
          </w:p>
        </w:tc>
        <w:tc>
          <w:tcPr>
            <w:tcW w:w="1035" w:type="pct"/>
          </w:tcPr>
          <w:p w14:paraId="4F321E58" w14:textId="77777777" w:rsidR="006E37A6" w:rsidRPr="00A9330B" w:rsidRDefault="006E37A6" w:rsidP="000F7BA7">
            <w:pPr>
              <w:spacing w:before="80" w:line="240" w:lineRule="auto"/>
              <w:jc w:val="both"/>
              <w:rPr>
                <w:rFonts w:cs="Arial"/>
                <w:sz w:val="18"/>
                <w:szCs w:val="18"/>
              </w:rPr>
            </w:pPr>
            <w:r w:rsidRPr="00A9330B">
              <w:rPr>
                <w:rFonts w:cs="Arial"/>
                <w:sz w:val="18"/>
                <w:szCs w:val="18"/>
              </w:rPr>
              <w:t>100 PL</w:t>
            </w:r>
          </w:p>
          <w:p w14:paraId="50C2E41E" w14:textId="77777777" w:rsidR="006E37A6" w:rsidRPr="00A9330B" w:rsidRDefault="006E37A6" w:rsidP="000F7BA7">
            <w:pPr>
              <w:spacing w:before="80" w:line="240" w:lineRule="auto"/>
              <w:jc w:val="both"/>
              <w:rPr>
                <w:rFonts w:cs="Arial"/>
                <w:sz w:val="18"/>
                <w:szCs w:val="18"/>
              </w:rPr>
            </w:pPr>
            <w:r w:rsidRPr="00A9330B">
              <w:rPr>
                <w:rFonts w:cs="Arial"/>
                <w:sz w:val="18"/>
                <w:szCs w:val="18"/>
              </w:rPr>
              <w:t>CAM=1,30</w:t>
            </w:r>
          </w:p>
        </w:tc>
        <w:tc>
          <w:tcPr>
            <w:tcW w:w="1724" w:type="pct"/>
          </w:tcPr>
          <w:p w14:paraId="5FB63E0B" w14:textId="77777777" w:rsidR="006E37A6" w:rsidRPr="00A9330B" w:rsidRDefault="006E37A6" w:rsidP="000F7BA7">
            <w:pPr>
              <w:spacing w:before="80" w:line="240" w:lineRule="auto"/>
              <w:jc w:val="both"/>
              <w:rPr>
                <w:rFonts w:cs="Arial"/>
                <w:color w:val="000000"/>
                <w:sz w:val="18"/>
                <w:szCs w:val="18"/>
              </w:rPr>
            </w:pPr>
            <w:r w:rsidRPr="00A9330B">
              <w:rPr>
                <w:rFonts w:cs="Arial"/>
                <w:color w:val="000000"/>
                <w:sz w:val="18"/>
                <w:szCs w:val="18"/>
              </w:rPr>
              <w:t>6BB + CM + 20GLT + 20GLN</w:t>
            </w:r>
          </w:p>
        </w:tc>
      </w:tr>
      <w:tr w:rsidR="00645DF1" w:rsidRPr="00A9330B" w14:paraId="4A553525" w14:textId="77777777" w:rsidTr="000F7BA7">
        <w:trPr>
          <w:trHeight w:val="397"/>
        </w:trPr>
        <w:tc>
          <w:tcPr>
            <w:tcW w:w="1205" w:type="pct"/>
            <w:noWrap/>
          </w:tcPr>
          <w:p w14:paraId="0E71C304" w14:textId="77777777" w:rsidR="006E37A6" w:rsidRPr="00A9330B" w:rsidRDefault="006E37A6" w:rsidP="000F7BA7">
            <w:pPr>
              <w:spacing w:before="80" w:line="240" w:lineRule="auto"/>
              <w:jc w:val="both"/>
              <w:rPr>
                <w:rFonts w:cs="Arial"/>
                <w:iCs/>
                <w:sz w:val="18"/>
                <w:szCs w:val="18"/>
              </w:rPr>
            </w:pPr>
            <w:r w:rsidRPr="00A9330B">
              <w:rPr>
                <w:rFonts w:cs="Arial"/>
                <w:sz w:val="18"/>
                <w:szCs w:val="18"/>
              </w:rPr>
              <w:t>RUE B1</w:t>
            </w:r>
          </w:p>
        </w:tc>
        <w:tc>
          <w:tcPr>
            <w:tcW w:w="1036" w:type="pct"/>
          </w:tcPr>
          <w:p w14:paraId="3D532222" w14:textId="77777777" w:rsidR="006E37A6" w:rsidRPr="00A9330B" w:rsidRDefault="006E37A6" w:rsidP="000F7BA7">
            <w:pPr>
              <w:spacing w:before="80" w:line="240" w:lineRule="auto"/>
              <w:jc w:val="both"/>
              <w:rPr>
                <w:rFonts w:cs="Arial"/>
                <w:iCs/>
                <w:color w:val="000000"/>
                <w:sz w:val="18"/>
                <w:szCs w:val="18"/>
              </w:rPr>
            </w:pPr>
            <w:r w:rsidRPr="00A9330B">
              <w:rPr>
                <w:rFonts w:cs="Arial"/>
                <w:iCs/>
                <w:color w:val="000000"/>
                <w:sz w:val="18"/>
                <w:szCs w:val="18"/>
              </w:rPr>
              <w:t>BITUME</w:t>
            </w:r>
          </w:p>
        </w:tc>
        <w:tc>
          <w:tcPr>
            <w:tcW w:w="1035" w:type="pct"/>
          </w:tcPr>
          <w:p w14:paraId="3951363D" w14:textId="77777777" w:rsidR="006E37A6" w:rsidRPr="00A9330B" w:rsidRDefault="006E37A6" w:rsidP="000F7BA7">
            <w:pPr>
              <w:spacing w:before="80" w:line="240" w:lineRule="auto"/>
              <w:jc w:val="both"/>
              <w:rPr>
                <w:rFonts w:cs="Arial"/>
                <w:sz w:val="18"/>
                <w:szCs w:val="18"/>
              </w:rPr>
            </w:pPr>
            <w:r w:rsidRPr="00A9330B">
              <w:rPr>
                <w:rFonts w:cs="Arial"/>
                <w:sz w:val="18"/>
                <w:szCs w:val="18"/>
              </w:rPr>
              <w:t>100 PL</w:t>
            </w:r>
          </w:p>
          <w:p w14:paraId="7B9A8B5D" w14:textId="77777777" w:rsidR="006E37A6" w:rsidRPr="00A9330B" w:rsidRDefault="006E37A6" w:rsidP="000F7BA7">
            <w:pPr>
              <w:spacing w:before="80" w:line="240" w:lineRule="auto"/>
              <w:jc w:val="both"/>
              <w:rPr>
                <w:rFonts w:cs="Arial"/>
                <w:color w:val="000000"/>
                <w:sz w:val="18"/>
                <w:szCs w:val="18"/>
              </w:rPr>
            </w:pPr>
            <w:r w:rsidRPr="00A9330B">
              <w:rPr>
                <w:rFonts w:cs="Arial"/>
                <w:sz w:val="18"/>
                <w:szCs w:val="18"/>
              </w:rPr>
              <w:t>CAM=1,30</w:t>
            </w:r>
          </w:p>
        </w:tc>
        <w:tc>
          <w:tcPr>
            <w:tcW w:w="1724" w:type="pct"/>
          </w:tcPr>
          <w:p w14:paraId="72E15A61" w14:textId="77777777" w:rsidR="006E37A6" w:rsidRPr="00A9330B" w:rsidRDefault="006E37A6" w:rsidP="000F7BA7">
            <w:pPr>
              <w:spacing w:before="80" w:line="240" w:lineRule="auto"/>
              <w:jc w:val="both"/>
              <w:rPr>
                <w:rFonts w:cs="Arial"/>
                <w:color w:val="000000"/>
                <w:sz w:val="18"/>
                <w:szCs w:val="18"/>
              </w:rPr>
            </w:pPr>
            <w:r w:rsidRPr="00A9330B">
              <w:rPr>
                <w:rFonts w:cs="Arial"/>
                <w:color w:val="000000"/>
                <w:sz w:val="18"/>
                <w:szCs w:val="18"/>
              </w:rPr>
              <w:t xml:space="preserve">6BB + CM + 20GLT + 20GLN </w:t>
            </w:r>
          </w:p>
        </w:tc>
      </w:tr>
      <w:tr w:rsidR="00645DF1" w:rsidRPr="00A9330B" w14:paraId="7004461A" w14:textId="77777777" w:rsidTr="000F7BA7">
        <w:trPr>
          <w:trHeight w:val="397"/>
        </w:trPr>
        <w:tc>
          <w:tcPr>
            <w:tcW w:w="1205" w:type="pct"/>
            <w:noWrap/>
          </w:tcPr>
          <w:p w14:paraId="41E4BAA9" w14:textId="77777777" w:rsidR="006E37A6" w:rsidRPr="00A9330B" w:rsidRDefault="006E37A6" w:rsidP="000F7BA7">
            <w:pPr>
              <w:spacing w:before="80" w:line="240" w:lineRule="auto"/>
              <w:jc w:val="both"/>
              <w:rPr>
                <w:rFonts w:cs="Arial"/>
                <w:iCs/>
                <w:sz w:val="18"/>
                <w:szCs w:val="18"/>
              </w:rPr>
            </w:pPr>
            <w:r w:rsidRPr="00A9330B">
              <w:rPr>
                <w:rFonts w:cs="Arial"/>
                <w:sz w:val="18"/>
                <w:szCs w:val="18"/>
              </w:rPr>
              <w:t>RUE C5</w:t>
            </w:r>
          </w:p>
        </w:tc>
        <w:tc>
          <w:tcPr>
            <w:tcW w:w="1036" w:type="pct"/>
          </w:tcPr>
          <w:p w14:paraId="7ED9C6A6" w14:textId="77777777" w:rsidR="006E37A6" w:rsidRPr="00A9330B" w:rsidRDefault="006E37A6" w:rsidP="000F7BA7">
            <w:pPr>
              <w:spacing w:before="80" w:line="240" w:lineRule="auto"/>
              <w:jc w:val="both"/>
              <w:rPr>
                <w:rFonts w:cs="Arial"/>
                <w:iCs/>
                <w:color w:val="000000"/>
                <w:sz w:val="18"/>
                <w:szCs w:val="18"/>
              </w:rPr>
            </w:pPr>
            <w:r w:rsidRPr="00A9330B">
              <w:rPr>
                <w:rFonts w:cs="Arial"/>
                <w:iCs/>
                <w:color w:val="000000"/>
                <w:sz w:val="18"/>
                <w:szCs w:val="18"/>
              </w:rPr>
              <w:t>BITUME</w:t>
            </w:r>
          </w:p>
        </w:tc>
        <w:tc>
          <w:tcPr>
            <w:tcW w:w="1035" w:type="pct"/>
          </w:tcPr>
          <w:p w14:paraId="03A6C5AB" w14:textId="77777777" w:rsidR="006E37A6" w:rsidRPr="00A9330B" w:rsidRDefault="006E37A6" w:rsidP="000F7BA7">
            <w:pPr>
              <w:spacing w:before="80" w:line="240" w:lineRule="auto"/>
              <w:jc w:val="both"/>
              <w:rPr>
                <w:rFonts w:cs="Arial"/>
                <w:sz w:val="18"/>
                <w:szCs w:val="18"/>
              </w:rPr>
            </w:pPr>
            <w:r w:rsidRPr="00A9330B">
              <w:rPr>
                <w:rFonts w:cs="Arial"/>
                <w:sz w:val="18"/>
                <w:szCs w:val="18"/>
              </w:rPr>
              <w:t>100 PL</w:t>
            </w:r>
          </w:p>
          <w:p w14:paraId="2FF9F23C" w14:textId="77777777" w:rsidR="006E37A6" w:rsidRPr="00A9330B" w:rsidRDefault="006E37A6" w:rsidP="000F7BA7">
            <w:pPr>
              <w:spacing w:before="80" w:line="240" w:lineRule="auto"/>
              <w:jc w:val="both"/>
              <w:rPr>
                <w:rFonts w:cs="Arial"/>
                <w:sz w:val="18"/>
                <w:szCs w:val="18"/>
              </w:rPr>
            </w:pPr>
            <w:r w:rsidRPr="00A9330B">
              <w:rPr>
                <w:rFonts w:cs="Arial"/>
                <w:sz w:val="18"/>
                <w:szCs w:val="18"/>
              </w:rPr>
              <w:t>CAM=1,30</w:t>
            </w:r>
          </w:p>
        </w:tc>
        <w:tc>
          <w:tcPr>
            <w:tcW w:w="1724" w:type="pct"/>
          </w:tcPr>
          <w:p w14:paraId="22CEBBB8" w14:textId="77777777" w:rsidR="006E37A6" w:rsidRPr="00A9330B" w:rsidRDefault="006E37A6" w:rsidP="000F7BA7">
            <w:pPr>
              <w:spacing w:before="80" w:line="240" w:lineRule="auto"/>
              <w:jc w:val="both"/>
              <w:rPr>
                <w:rFonts w:cs="Arial"/>
                <w:color w:val="000000"/>
                <w:sz w:val="18"/>
                <w:szCs w:val="18"/>
              </w:rPr>
            </w:pPr>
            <w:r w:rsidRPr="00A9330B">
              <w:rPr>
                <w:rFonts w:cs="Arial"/>
                <w:color w:val="000000"/>
                <w:sz w:val="18"/>
                <w:szCs w:val="18"/>
              </w:rPr>
              <w:t>6BB + CM + 20GLT + 20GLN</w:t>
            </w:r>
          </w:p>
        </w:tc>
      </w:tr>
      <w:tr w:rsidR="00645DF1" w:rsidRPr="00A9330B" w14:paraId="55E4BE9C" w14:textId="77777777" w:rsidTr="000F7BA7">
        <w:trPr>
          <w:trHeight w:val="397"/>
        </w:trPr>
        <w:tc>
          <w:tcPr>
            <w:tcW w:w="1205" w:type="pct"/>
            <w:noWrap/>
          </w:tcPr>
          <w:p w14:paraId="6F023F7D" w14:textId="77777777" w:rsidR="006E37A6" w:rsidRPr="00A9330B" w:rsidRDefault="006E37A6" w:rsidP="000F7BA7">
            <w:pPr>
              <w:spacing w:before="80" w:line="240" w:lineRule="auto"/>
              <w:jc w:val="both"/>
              <w:rPr>
                <w:rFonts w:cs="Arial"/>
                <w:iCs/>
                <w:sz w:val="18"/>
                <w:szCs w:val="18"/>
              </w:rPr>
            </w:pPr>
            <w:r w:rsidRPr="00A9330B">
              <w:rPr>
                <w:rFonts w:cs="Arial"/>
                <w:sz w:val="18"/>
                <w:szCs w:val="18"/>
              </w:rPr>
              <w:t>RUE A1</w:t>
            </w:r>
          </w:p>
        </w:tc>
        <w:tc>
          <w:tcPr>
            <w:tcW w:w="1036" w:type="pct"/>
          </w:tcPr>
          <w:p w14:paraId="444A9BEA" w14:textId="77777777" w:rsidR="006E37A6" w:rsidRPr="00A9330B" w:rsidRDefault="006E37A6" w:rsidP="000F7BA7">
            <w:pPr>
              <w:spacing w:before="80" w:line="240" w:lineRule="auto"/>
              <w:jc w:val="both"/>
              <w:rPr>
                <w:rFonts w:cs="Arial"/>
                <w:iCs/>
                <w:color w:val="000000"/>
                <w:sz w:val="18"/>
                <w:szCs w:val="18"/>
              </w:rPr>
            </w:pPr>
            <w:r w:rsidRPr="00A9330B">
              <w:rPr>
                <w:rFonts w:cs="Arial"/>
                <w:iCs/>
                <w:color w:val="000000"/>
                <w:sz w:val="18"/>
                <w:szCs w:val="18"/>
              </w:rPr>
              <w:t>BITUME</w:t>
            </w:r>
          </w:p>
        </w:tc>
        <w:tc>
          <w:tcPr>
            <w:tcW w:w="1035" w:type="pct"/>
          </w:tcPr>
          <w:p w14:paraId="7D4C436F" w14:textId="77777777" w:rsidR="006E37A6" w:rsidRPr="00A9330B" w:rsidRDefault="006E37A6" w:rsidP="000F7BA7">
            <w:pPr>
              <w:spacing w:before="80" w:line="240" w:lineRule="auto"/>
              <w:jc w:val="both"/>
              <w:rPr>
                <w:rFonts w:cs="Arial"/>
                <w:sz w:val="18"/>
                <w:szCs w:val="18"/>
              </w:rPr>
            </w:pPr>
            <w:r w:rsidRPr="00A9330B">
              <w:rPr>
                <w:rFonts w:cs="Arial"/>
                <w:sz w:val="18"/>
                <w:szCs w:val="18"/>
              </w:rPr>
              <w:t>100 PL</w:t>
            </w:r>
          </w:p>
          <w:p w14:paraId="71C3FAF3" w14:textId="77777777" w:rsidR="006E37A6" w:rsidRPr="00A9330B" w:rsidRDefault="006E37A6" w:rsidP="000F7BA7">
            <w:pPr>
              <w:spacing w:before="80" w:line="240" w:lineRule="auto"/>
              <w:jc w:val="both"/>
              <w:rPr>
                <w:rFonts w:cs="Arial"/>
                <w:sz w:val="18"/>
                <w:szCs w:val="18"/>
              </w:rPr>
            </w:pPr>
            <w:r w:rsidRPr="00A9330B">
              <w:rPr>
                <w:rFonts w:cs="Arial"/>
                <w:sz w:val="18"/>
                <w:szCs w:val="18"/>
              </w:rPr>
              <w:t>CAM=1,30</w:t>
            </w:r>
          </w:p>
        </w:tc>
        <w:tc>
          <w:tcPr>
            <w:tcW w:w="1724" w:type="pct"/>
          </w:tcPr>
          <w:p w14:paraId="067F1F69" w14:textId="77777777" w:rsidR="006E37A6" w:rsidRPr="00A9330B" w:rsidRDefault="006E37A6" w:rsidP="000F7BA7">
            <w:pPr>
              <w:spacing w:before="80" w:line="240" w:lineRule="auto"/>
              <w:jc w:val="both"/>
              <w:rPr>
                <w:rFonts w:cs="Arial"/>
                <w:color w:val="000000"/>
                <w:sz w:val="18"/>
                <w:szCs w:val="18"/>
              </w:rPr>
            </w:pPr>
            <w:r w:rsidRPr="00A9330B">
              <w:rPr>
                <w:rFonts w:cs="Arial"/>
                <w:color w:val="000000"/>
                <w:sz w:val="18"/>
                <w:szCs w:val="18"/>
              </w:rPr>
              <w:t>6BB + CM + 20GLT + 20GLN</w:t>
            </w:r>
          </w:p>
        </w:tc>
      </w:tr>
      <w:tr w:rsidR="00645DF1" w:rsidRPr="00A9330B" w14:paraId="4DDFA26E" w14:textId="77777777" w:rsidTr="000F7BA7">
        <w:trPr>
          <w:trHeight w:val="397"/>
        </w:trPr>
        <w:tc>
          <w:tcPr>
            <w:tcW w:w="1205" w:type="pct"/>
            <w:noWrap/>
          </w:tcPr>
          <w:p w14:paraId="43713ABE" w14:textId="77777777" w:rsidR="006E37A6" w:rsidRPr="00A9330B" w:rsidRDefault="006E37A6" w:rsidP="000F7BA7">
            <w:pPr>
              <w:spacing w:before="80" w:line="240" w:lineRule="auto"/>
              <w:jc w:val="both"/>
              <w:rPr>
                <w:rFonts w:cs="Arial"/>
                <w:iCs/>
                <w:sz w:val="18"/>
                <w:szCs w:val="18"/>
              </w:rPr>
            </w:pPr>
            <w:r w:rsidRPr="00A9330B">
              <w:rPr>
                <w:rFonts w:cs="Arial"/>
                <w:sz w:val="18"/>
                <w:szCs w:val="18"/>
              </w:rPr>
              <w:t>RUE A3</w:t>
            </w:r>
          </w:p>
        </w:tc>
        <w:tc>
          <w:tcPr>
            <w:tcW w:w="1036" w:type="pct"/>
          </w:tcPr>
          <w:p w14:paraId="69E75D38" w14:textId="77777777" w:rsidR="006E37A6" w:rsidRPr="00A9330B" w:rsidRDefault="006E37A6" w:rsidP="000F7BA7">
            <w:pPr>
              <w:spacing w:before="80" w:line="240" w:lineRule="auto"/>
              <w:jc w:val="both"/>
              <w:rPr>
                <w:rFonts w:cs="Arial"/>
                <w:iCs/>
                <w:color w:val="000000"/>
                <w:sz w:val="18"/>
                <w:szCs w:val="18"/>
              </w:rPr>
            </w:pPr>
            <w:r w:rsidRPr="00A9330B">
              <w:rPr>
                <w:rFonts w:cs="Arial"/>
                <w:iCs/>
                <w:color w:val="000000"/>
                <w:sz w:val="18"/>
                <w:szCs w:val="18"/>
              </w:rPr>
              <w:t>BITUME</w:t>
            </w:r>
          </w:p>
        </w:tc>
        <w:tc>
          <w:tcPr>
            <w:tcW w:w="1035" w:type="pct"/>
          </w:tcPr>
          <w:p w14:paraId="6BF01125" w14:textId="77777777" w:rsidR="006E37A6" w:rsidRPr="00A9330B" w:rsidRDefault="006E37A6" w:rsidP="000F7BA7">
            <w:pPr>
              <w:spacing w:before="80" w:line="240" w:lineRule="auto"/>
              <w:jc w:val="both"/>
              <w:rPr>
                <w:rFonts w:cs="Arial"/>
                <w:sz w:val="18"/>
                <w:szCs w:val="18"/>
              </w:rPr>
            </w:pPr>
            <w:r w:rsidRPr="00A9330B">
              <w:rPr>
                <w:rFonts w:cs="Arial"/>
                <w:sz w:val="18"/>
                <w:szCs w:val="18"/>
              </w:rPr>
              <w:t>100 PL</w:t>
            </w:r>
          </w:p>
          <w:p w14:paraId="73CEB68B" w14:textId="77777777" w:rsidR="006E37A6" w:rsidRPr="00A9330B" w:rsidRDefault="006E37A6" w:rsidP="000F7BA7">
            <w:pPr>
              <w:spacing w:before="80" w:line="240" w:lineRule="auto"/>
              <w:jc w:val="both"/>
              <w:rPr>
                <w:rFonts w:cs="Arial"/>
                <w:sz w:val="18"/>
                <w:szCs w:val="18"/>
              </w:rPr>
            </w:pPr>
            <w:r w:rsidRPr="00A9330B">
              <w:rPr>
                <w:rFonts w:cs="Arial"/>
                <w:sz w:val="18"/>
                <w:szCs w:val="18"/>
              </w:rPr>
              <w:t>CAM=1,30</w:t>
            </w:r>
          </w:p>
        </w:tc>
        <w:tc>
          <w:tcPr>
            <w:tcW w:w="1724" w:type="pct"/>
          </w:tcPr>
          <w:p w14:paraId="5C3DE74F" w14:textId="77777777" w:rsidR="006E37A6" w:rsidRPr="00A9330B" w:rsidRDefault="006E37A6" w:rsidP="000F7BA7">
            <w:pPr>
              <w:spacing w:before="80" w:line="240" w:lineRule="auto"/>
              <w:jc w:val="both"/>
              <w:rPr>
                <w:rFonts w:cs="Arial"/>
                <w:color w:val="000000"/>
                <w:sz w:val="18"/>
                <w:szCs w:val="18"/>
              </w:rPr>
            </w:pPr>
            <w:r w:rsidRPr="00A9330B">
              <w:rPr>
                <w:rFonts w:cs="Arial"/>
                <w:color w:val="000000"/>
                <w:sz w:val="18"/>
                <w:szCs w:val="18"/>
              </w:rPr>
              <w:t>6BB + CM + 20GLT + 20GLN</w:t>
            </w:r>
          </w:p>
        </w:tc>
      </w:tr>
      <w:tr w:rsidR="00645DF1" w:rsidRPr="00A9330B" w14:paraId="773066EE" w14:textId="77777777" w:rsidTr="000F7BA7">
        <w:trPr>
          <w:trHeight w:val="397"/>
        </w:trPr>
        <w:tc>
          <w:tcPr>
            <w:tcW w:w="1205" w:type="pct"/>
            <w:noWrap/>
          </w:tcPr>
          <w:p w14:paraId="176742E9" w14:textId="77777777" w:rsidR="006E37A6" w:rsidRPr="00A9330B" w:rsidRDefault="006E37A6" w:rsidP="000F7BA7">
            <w:pPr>
              <w:spacing w:before="80" w:line="240" w:lineRule="auto"/>
              <w:jc w:val="both"/>
              <w:rPr>
                <w:rFonts w:cs="Arial"/>
                <w:iCs/>
                <w:sz w:val="18"/>
                <w:szCs w:val="18"/>
              </w:rPr>
            </w:pPr>
            <w:r w:rsidRPr="00A9330B">
              <w:rPr>
                <w:rFonts w:cs="Arial"/>
                <w:sz w:val="18"/>
                <w:szCs w:val="18"/>
              </w:rPr>
              <w:t>RUE C1</w:t>
            </w:r>
          </w:p>
        </w:tc>
        <w:tc>
          <w:tcPr>
            <w:tcW w:w="1036" w:type="pct"/>
          </w:tcPr>
          <w:p w14:paraId="6F7E9C2A" w14:textId="77777777" w:rsidR="006E37A6" w:rsidRPr="00A9330B" w:rsidRDefault="006E37A6" w:rsidP="000F7BA7">
            <w:pPr>
              <w:spacing w:before="80" w:line="240" w:lineRule="auto"/>
              <w:jc w:val="both"/>
              <w:rPr>
                <w:rFonts w:cs="Arial"/>
                <w:iCs/>
                <w:color w:val="000000"/>
                <w:sz w:val="18"/>
                <w:szCs w:val="18"/>
              </w:rPr>
            </w:pPr>
            <w:r w:rsidRPr="00A9330B">
              <w:rPr>
                <w:rFonts w:cs="Arial"/>
                <w:iCs/>
                <w:color w:val="000000"/>
                <w:sz w:val="18"/>
                <w:szCs w:val="18"/>
              </w:rPr>
              <w:t>BITUME</w:t>
            </w:r>
          </w:p>
        </w:tc>
        <w:tc>
          <w:tcPr>
            <w:tcW w:w="1035" w:type="pct"/>
          </w:tcPr>
          <w:p w14:paraId="6739E7F3" w14:textId="77777777" w:rsidR="006E37A6" w:rsidRPr="00A9330B" w:rsidRDefault="006E37A6" w:rsidP="000F7BA7">
            <w:pPr>
              <w:spacing w:before="80" w:line="240" w:lineRule="auto"/>
              <w:jc w:val="both"/>
              <w:rPr>
                <w:rFonts w:cs="Arial"/>
                <w:sz w:val="18"/>
                <w:szCs w:val="18"/>
              </w:rPr>
            </w:pPr>
            <w:r w:rsidRPr="00A9330B">
              <w:rPr>
                <w:rFonts w:cs="Arial"/>
                <w:sz w:val="18"/>
                <w:szCs w:val="18"/>
              </w:rPr>
              <w:t>100 PL</w:t>
            </w:r>
          </w:p>
          <w:p w14:paraId="33843650" w14:textId="77777777" w:rsidR="006E37A6" w:rsidRPr="00A9330B" w:rsidRDefault="006E37A6" w:rsidP="000F7BA7">
            <w:pPr>
              <w:spacing w:before="80" w:line="240" w:lineRule="auto"/>
              <w:jc w:val="both"/>
              <w:rPr>
                <w:rFonts w:cs="Arial"/>
                <w:sz w:val="18"/>
                <w:szCs w:val="18"/>
              </w:rPr>
            </w:pPr>
            <w:r w:rsidRPr="00A9330B">
              <w:rPr>
                <w:rFonts w:cs="Arial"/>
                <w:sz w:val="18"/>
                <w:szCs w:val="18"/>
              </w:rPr>
              <w:t>CAM=1,30</w:t>
            </w:r>
          </w:p>
        </w:tc>
        <w:tc>
          <w:tcPr>
            <w:tcW w:w="1724" w:type="pct"/>
          </w:tcPr>
          <w:p w14:paraId="72245727" w14:textId="77777777" w:rsidR="006E37A6" w:rsidRPr="00A9330B" w:rsidRDefault="006E37A6" w:rsidP="000F7BA7">
            <w:pPr>
              <w:spacing w:before="80" w:line="240" w:lineRule="auto"/>
              <w:jc w:val="both"/>
              <w:rPr>
                <w:rFonts w:cs="Arial"/>
                <w:color w:val="000000"/>
                <w:sz w:val="18"/>
                <w:szCs w:val="18"/>
              </w:rPr>
            </w:pPr>
            <w:r w:rsidRPr="00A9330B">
              <w:rPr>
                <w:rFonts w:cs="Arial"/>
                <w:color w:val="000000"/>
                <w:sz w:val="18"/>
                <w:szCs w:val="18"/>
              </w:rPr>
              <w:t>6BB + CM + 20GLT + 20GLN</w:t>
            </w:r>
          </w:p>
        </w:tc>
      </w:tr>
      <w:tr w:rsidR="00645DF1" w:rsidRPr="00A9330B" w14:paraId="5138FD28" w14:textId="77777777" w:rsidTr="000F7BA7">
        <w:trPr>
          <w:trHeight w:val="397"/>
        </w:trPr>
        <w:tc>
          <w:tcPr>
            <w:tcW w:w="1205" w:type="pct"/>
            <w:noWrap/>
          </w:tcPr>
          <w:p w14:paraId="16E9AABB" w14:textId="77777777" w:rsidR="006E37A6" w:rsidRPr="00A9330B" w:rsidRDefault="006E37A6" w:rsidP="000F7BA7">
            <w:pPr>
              <w:spacing w:before="80" w:line="240" w:lineRule="auto"/>
              <w:jc w:val="both"/>
              <w:rPr>
                <w:rFonts w:cs="Arial"/>
                <w:iCs/>
                <w:sz w:val="18"/>
                <w:szCs w:val="18"/>
              </w:rPr>
            </w:pPr>
            <w:r w:rsidRPr="00A9330B">
              <w:rPr>
                <w:rFonts w:cs="Arial"/>
                <w:sz w:val="18"/>
                <w:szCs w:val="18"/>
              </w:rPr>
              <w:t>RUE C2</w:t>
            </w:r>
          </w:p>
        </w:tc>
        <w:tc>
          <w:tcPr>
            <w:tcW w:w="1036" w:type="pct"/>
          </w:tcPr>
          <w:p w14:paraId="1D477B90" w14:textId="77777777" w:rsidR="006E37A6" w:rsidRPr="00A9330B" w:rsidRDefault="006E37A6" w:rsidP="000F7BA7">
            <w:pPr>
              <w:spacing w:before="80" w:line="240" w:lineRule="auto"/>
              <w:jc w:val="both"/>
              <w:rPr>
                <w:rFonts w:cs="Arial"/>
                <w:iCs/>
                <w:color w:val="000000"/>
                <w:sz w:val="18"/>
                <w:szCs w:val="18"/>
              </w:rPr>
            </w:pPr>
            <w:r w:rsidRPr="00A9330B">
              <w:rPr>
                <w:rFonts w:cs="Arial"/>
                <w:iCs/>
                <w:color w:val="000000"/>
                <w:sz w:val="18"/>
                <w:szCs w:val="18"/>
              </w:rPr>
              <w:t>BITUME</w:t>
            </w:r>
          </w:p>
        </w:tc>
        <w:tc>
          <w:tcPr>
            <w:tcW w:w="1035" w:type="pct"/>
          </w:tcPr>
          <w:p w14:paraId="5A5BFC8E" w14:textId="77777777" w:rsidR="006E37A6" w:rsidRPr="00A9330B" w:rsidRDefault="006E37A6" w:rsidP="000F7BA7">
            <w:pPr>
              <w:spacing w:before="80" w:line="240" w:lineRule="auto"/>
              <w:jc w:val="both"/>
              <w:rPr>
                <w:rFonts w:cs="Arial"/>
                <w:sz w:val="18"/>
                <w:szCs w:val="18"/>
              </w:rPr>
            </w:pPr>
            <w:r w:rsidRPr="00A9330B">
              <w:rPr>
                <w:rFonts w:cs="Arial"/>
                <w:sz w:val="18"/>
                <w:szCs w:val="18"/>
              </w:rPr>
              <w:t>100 PL</w:t>
            </w:r>
          </w:p>
          <w:p w14:paraId="15F4CB19" w14:textId="77777777" w:rsidR="006E37A6" w:rsidRPr="00A9330B" w:rsidRDefault="006E37A6" w:rsidP="000F7BA7">
            <w:pPr>
              <w:spacing w:before="80" w:line="240" w:lineRule="auto"/>
              <w:jc w:val="both"/>
              <w:rPr>
                <w:rFonts w:cs="Arial"/>
                <w:sz w:val="18"/>
                <w:szCs w:val="18"/>
              </w:rPr>
            </w:pPr>
            <w:r w:rsidRPr="00A9330B">
              <w:rPr>
                <w:rFonts w:cs="Arial"/>
                <w:sz w:val="18"/>
                <w:szCs w:val="18"/>
              </w:rPr>
              <w:t>CAM=1,30</w:t>
            </w:r>
          </w:p>
        </w:tc>
        <w:tc>
          <w:tcPr>
            <w:tcW w:w="1724" w:type="pct"/>
          </w:tcPr>
          <w:p w14:paraId="6B204D0E" w14:textId="77777777" w:rsidR="006E37A6" w:rsidRPr="00A9330B" w:rsidRDefault="006E37A6" w:rsidP="000F7BA7">
            <w:pPr>
              <w:spacing w:before="80" w:line="240" w:lineRule="auto"/>
              <w:jc w:val="both"/>
              <w:rPr>
                <w:rFonts w:cs="Arial"/>
                <w:color w:val="000000"/>
                <w:sz w:val="18"/>
                <w:szCs w:val="18"/>
              </w:rPr>
            </w:pPr>
            <w:r w:rsidRPr="00A9330B">
              <w:rPr>
                <w:rFonts w:cs="Arial"/>
                <w:color w:val="000000"/>
                <w:sz w:val="18"/>
                <w:szCs w:val="18"/>
              </w:rPr>
              <w:t>6BB + CM + 20GLT + 20GLN</w:t>
            </w:r>
          </w:p>
        </w:tc>
      </w:tr>
      <w:tr w:rsidR="00645DF1" w:rsidRPr="00A9330B" w14:paraId="253E88E6" w14:textId="77777777" w:rsidTr="000F7BA7">
        <w:trPr>
          <w:trHeight w:val="397"/>
        </w:trPr>
        <w:tc>
          <w:tcPr>
            <w:tcW w:w="1205" w:type="pct"/>
            <w:noWrap/>
          </w:tcPr>
          <w:p w14:paraId="1254D71A" w14:textId="77777777" w:rsidR="006E37A6" w:rsidRPr="00A9330B" w:rsidRDefault="006E37A6" w:rsidP="000F7BA7">
            <w:pPr>
              <w:spacing w:before="80" w:line="240" w:lineRule="auto"/>
              <w:jc w:val="both"/>
              <w:rPr>
                <w:rFonts w:cs="Arial"/>
                <w:iCs/>
                <w:sz w:val="18"/>
                <w:szCs w:val="18"/>
              </w:rPr>
            </w:pPr>
            <w:r w:rsidRPr="00A9330B">
              <w:rPr>
                <w:rFonts w:cs="Arial"/>
                <w:sz w:val="18"/>
                <w:szCs w:val="18"/>
              </w:rPr>
              <w:t>RUE D1</w:t>
            </w:r>
          </w:p>
        </w:tc>
        <w:tc>
          <w:tcPr>
            <w:tcW w:w="1036" w:type="pct"/>
          </w:tcPr>
          <w:p w14:paraId="5BCCC5AD" w14:textId="77777777" w:rsidR="006E37A6" w:rsidRPr="00A9330B" w:rsidRDefault="006E37A6" w:rsidP="000F7BA7">
            <w:pPr>
              <w:spacing w:before="80" w:line="240" w:lineRule="auto"/>
              <w:jc w:val="both"/>
              <w:rPr>
                <w:rFonts w:cs="Arial"/>
                <w:iCs/>
                <w:color w:val="000000"/>
                <w:sz w:val="18"/>
                <w:szCs w:val="18"/>
              </w:rPr>
            </w:pPr>
            <w:r w:rsidRPr="00A9330B">
              <w:rPr>
                <w:rFonts w:cs="Arial"/>
                <w:iCs/>
                <w:color w:val="000000"/>
                <w:sz w:val="18"/>
                <w:szCs w:val="18"/>
              </w:rPr>
              <w:t>BITUME</w:t>
            </w:r>
          </w:p>
        </w:tc>
        <w:tc>
          <w:tcPr>
            <w:tcW w:w="1035" w:type="pct"/>
          </w:tcPr>
          <w:p w14:paraId="59C877C1" w14:textId="77777777" w:rsidR="006E37A6" w:rsidRPr="00A9330B" w:rsidRDefault="006E37A6" w:rsidP="000F7BA7">
            <w:pPr>
              <w:spacing w:before="80" w:line="240" w:lineRule="auto"/>
              <w:jc w:val="both"/>
              <w:rPr>
                <w:rFonts w:cs="Arial"/>
                <w:sz w:val="18"/>
                <w:szCs w:val="18"/>
              </w:rPr>
            </w:pPr>
            <w:r w:rsidRPr="00A9330B">
              <w:rPr>
                <w:rFonts w:cs="Arial"/>
                <w:sz w:val="18"/>
                <w:szCs w:val="18"/>
              </w:rPr>
              <w:t>100 PL</w:t>
            </w:r>
          </w:p>
          <w:p w14:paraId="7AA71541" w14:textId="77777777" w:rsidR="006E37A6" w:rsidRPr="00A9330B" w:rsidRDefault="006E37A6" w:rsidP="000F7BA7">
            <w:pPr>
              <w:spacing w:before="80" w:line="240" w:lineRule="auto"/>
              <w:jc w:val="both"/>
              <w:rPr>
                <w:rFonts w:cs="Arial"/>
                <w:color w:val="000000"/>
                <w:sz w:val="18"/>
                <w:szCs w:val="18"/>
              </w:rPr>
            </w:pPr>
            <w:r w:rsidRPr="00A9330B">
              <w:rPr>
                <w:rFonts w:cs="Arial"/>
                <w:sz w:val="18"/>
                <w:szCs w:val="18"/>
              </w:rPr>
              <w:t>CAM=1,30</w:t>
            </w:r>
          </w:p>
        </w:tc>
        <w:tc>
          <w:tcPr>
            <w:tcW w:w="1724" w:type="pct"/>
          </w:tcPr>
          <w:p w14:paraId="76E75F43" w14:textId="77777777" w:rsidR="006E37A6" w:rsidRPr="00A9330B" w:rsidRDefault="006E37A6" w:rsidP="000F7BA7">
            <w:pPr>
              <w:spacing w:before="80" w:line="240" w:lineRule="auto"/>
              <w:jc w:val="both"/>
              <w:rPr>
                <w:rFonts w:cs="Arial"/>
                <w:color w:val="000000"/>
                <w:sz w:val="18"/>
                <w:szCs w:val="18"/>
              </w:rPr>
            </w:pPr>
            <w:r w:rsidRPr="00A9330B">
              <w:rPr>
                <w:rFonts w:cs="Arial"/>
                <w:color w:val="000000"/>
                <w:sz w:val="18"/>
                <w:szCs w:val="18"/>
              </w:rPr>
              <w:t>6BB + CM + 20GLT + 20GLN</w:t>
            </w:r>
          </w:p>
        </w:tc>
      </w:tr>
      <w:tr w:rsidR="00645DF1" w:rsidRPr="00A9330B" w14:paraId="68868426" w14:textId="77777777" w:rsidTr="000F7BA7">
        <w:trPr>
          <w:trHeight w:val="397"/>
        </w:trPr>
        <w:tc>
          <w:tcPr>
            <w:tcW w:w="1205" w:type="pct"/>
            <w:noWrap/>
          </w:tcPr>
          <w:p w14:paraId="6B16A742" w14:textId="77777777" w:rsidR="006E37A6" w:rsidRPr="00A9330B" w:rsidRDefault="006E37A6" w:rsidP="000F7BA7">
            <w:pPr>
              <w:spacing w:before="80" w:line="240" w:lineRule="auto"/>
              <w:jc w:val="both"/>
              <w:rPr>
                <w:rFonts w:cs="Arial"/>
                <w:iCs/>
                <w:sz w:val="18"/>
                <w:szCs w:val="18"/>
              </w:rPr>
            </w:pPr>
            <w:r w:rsidRPr="00A9330B">
              <w:rPr>
                <w:rFonts w:cs="Arial"/>
                <w:sz w:val="18"/>
                <w:szCs w:val="18"/>
              </w:rPr>
              <w:t>RUE D2</w:t>
            </w:r>
          </w:p>
        </w:tc>
        <w:tc>
          <w:tcPr>
            <w:tcW w:w="1036" w:type="pct"/>
          </w:tcPr>
          <w:p w14:paraId="5F1B88A9" w14:textId="77777777" w:rsidR="006E37A6" w:rsidRPr="00A9330B" w:rsidRDefault="006E37A6" w:rsidP="000F7BA7">
            <w:pPr>
              <w:spacing w:before="80" w:line="240" w:lineRule="auto"/>
              <w:jc w:val="both"/>
              <w:rPr>
                <w:rFonts w:cs="Arial"/>
                <w:iCs/>
                <w:color w:val="000000"/>
                <w:sz w:val="18"/>
                <w:szCs w:val="18"/>
              </w:rPr>
            </w:pPr>
            <w:r w:rsidRPr="00A9330B">
              <w:rPr>
                <w:rFonts w:cs="Arial"/>
                <w:iCs/>
                <w:color w:val="000000"/>
                <w:sz w:val="18"/>
                <w:szCs w:val="18"/>
              </w:rPr>
              <w:t>BITUME</w:t>
            </w:r>
          </w:p>
        </w:tc>
        <w:tc>
          <w:tcPr>
            <w:tcW w:w="1035" w:type="pct"/>
          </w:tcPr>
          <w:p w14:paraId="3E5694A2" w14:textId="77777777" w:rsidR="006E37A6" w:rsidRPr="00A9330B" w:rsidRDefault="006E37A6" w:rsidP="000F7BA7">
            <w:pPr>
              <w:spacing w:before="80" w:line="240" w:lineRule="auto"/>
              <w:jc w:val="both"/>
              <w:rPr>
                <w:rFonts w:cs="Arial"/>
                <w:sz w:val="18"/>
                <w:szCs w:val="18"/>
              </w:rPr>
            </w:pPr>
            <w:r w:rsidRPr="00A9330B">
              <w:rPr>
                <w:rFonts w:cs="Arial"/>
                <w:sz w:val="18"/>
                <w:szCs w:val="18"/>
              </w:rPr>
              <w:t>100 PL</w:t>
            </w:r>
          </w:p>
          <w:p w14:paraId="1A90F182" w14:textId="77777777" w:rsidR="006E37A6" w:rsidRPr="00A9330B" w:rsidRDefault="006E37A6" w:rsidP="000F7BA7">
            <w:pPr>
              <w:spacing w:before="80" w:line="240" w:lineRule="auto"/>
              <w:jc w:val="both"/>
              <w:rPr>
                <w:rFonts w:cs="Arial"/>
                <w:color w:val="000000"/>
                <w:sz w:val="18"/>
                <w:szCs w:val="18"/>
              </w:rPr>
            </w:pPr>
            <w:r w:rsidRPr="00A9330B">
              <w:rPr>
                <w:rFonts w:cs="Arial"/>
                <w:sz w:val="18"/>
                <w:szCs w:val="18"/>
              </w:rPr>
              <w:t>CAM=1,30</w:t>
            </w:r>
          </w:p>
        </w:tc>
        <w:tc>
          <w:tcPr>
            <w:tcW w:w="1724" w:type="pct"/>
          </w:tcPr>
          <w:p w14:paraId="458DB5DC" w14:textId="77777777" w:rsidR="006E37A6" w:rsidRPr="00A9330B" w:rsidRDefault="006E37A6" w:rsidP="000F7BA7">
            <w:pPr>
              <w:spacing w:before="80" w:line="240" w:lineRule="auto"/>
              <w:jc w:val="both"/>
              <w:rPr>
                <w:rFonts w:cs="Arial"/>
                <w:color w:val="000000"/>
                <w:sz w:val="18"/>
                <w:szCs w:val="18"/>
              </w:rPr>
            </w:pPr>
            <w:r w:rsidRPr="00A9330B">
              <w:rPr>
                <w:rFonts w:cs="Arial"/>
                <w:color w:val="000000"/>
                <w:sz w:val="18"/>
                <w:szCs w:val="18"/>
              </w:rPr>
              <w:t>6BB + CM + 20GLT + 20GLN</w:t>
            </w:r>
          </w:p>
        </w:tc>
      </w:tr>
      <w:tr w:rsidR="00645DF1" w:rsidRPr="00A9330B" w14:paraId="1AB66F2C" w14:textId="77777777" w:rsidTr="000F7BA7">
        <w:trPr>
          <w:trHeight w:val="397"/>
        </w:trPr>
        <w:tc>
          <w:tcPr>
            <w:tcW w:w="1205" w:type="pct"/>
            <w:noWrap/>
          </w:tcPr>
          <w:p w14:paraId="0B888DBC" w14:textId="77777777" w:rsidR="006E37A6" w:rsidRPr="00A9330B" w:rsidRDefault="006E37A6" w:rsidP="000F7BA7">
            <w:pPr>
              <w:spacing w:before="80" w:line="240" w:lineRule="auto"/>
              <w:jc w:val="both"/>
              <w:rPr>
                <w:rFonts w:cs="Arial"/>
                <w:iCs/>
                <w:sz w:val="18"/>
                <w:szCs w:val="18"/>
              </w:rPr>
            </w:pPr>
            <w:r w:rsidRPr="00A9330B">
              <w:rPr>
                <w:rFonts w:cs="Arial"/>
                <w:sz w:val="18"/>
                <w:szCs w:val="18"/>
              </w:rPr>
              <w:t>RUE A23</w:t>
            </w:r>
          </w:p>
        </w:tc>
        <w:tc>
          <w:tcPr>
            <w:tcW w:w="1036" w:type="pct"/>
          </w:tcPr>
          <w:p w14:paraId="10B2164E" w14:textId="77777777" w:rsidR="006E37A6" w:rsidRPr="00A9330B" w:rsidRDefault="006E37A6" w:rsidP="000F7BA7">
            <w:pPr>
              <w:spacing w:before="80" w:line="240" w:lineRule="auto"/>
              <w:jc w:val="both"/>
              <w:rPr>
                <w:rFonts w:cs="Arial"/>
                <w:iCs/>
                <w:color w:val="000000"/>
                <w:sz w:val="18"/>
                <w:szCs w:val="18"/>
              </w:rPr>
            </w:pPr>
            <w:r w:rsidRPr="00A9330B">
              <w:rPr>
                <w:rFonts w:cs="Arial"/>
                <w:iCs/>
                <w:color w:val="000000"/>
                <w:sz w:val="18"/>
                <w:szCs w:val="18"/>
              </w:rPr>
              <w:t>BITUME</w:t>
            </w:r>
          </w:p>
        </w:tc>
        <w:tc>
          <w:tcPr>
            <w:tcW w:w="1035" w:type="pct"/>
          </w:tcPr>
          <w:p w14:paraId="1B0E59DF" w14:textId="77777777" w:rsidR="006E37A6" w:rsidRPr="00A9330B" w:rsidRDefault="006E37A6" w:rsidP="000F7BA7">
            <w:pPr>
              <w:spacing w:before="80" w:line="240" w:lineRule="auto"/>
              <w:jc w:val="both"/>
              <w:rPr>
                <w:rFonts w:cs="Arial"/>
                <w:sz w:val="18"/>
                <w:szCs w:val="18"/>
              </w:rPr>
            </w:pPr>
            <w:r w:rsidRPr="00A9330B">
              <w:rPr>
                <w:rFonts w:cs="Arial"/>
                <w:sz w:val="18"/>
                <w:szCs w:val="18"/>
              </w:rPr>
              <w:t>100 PL</w:t>
            </w:r>
          </w:p>
          <w:p w14:paraId="109A87F2" w14:textId="77777777" w:rsidR="006E37A6" w:rsidRPr="00A9330B" w:rsidRDefault="006E37A6" w:rsidP="000F7BA7">
            <w:pPr>
              <w:spacing w:before="80" w:line="240" w:lineRule="auto"/>
              <w:jc w:val="both"/>
              <w:rPr>
                <w:rFonts w:cs="Arial"/>
                <w:sz w:val="18"/>
                <w:szCs w:val="18"/>
              </w:rPr>
            </w:pPr>
            <w:r w:rsidRPr="00A9330B">
              <w:rPr>
                <w:rFonts w:cs="Arial"/>
                <w:sz w:val="18"/>
                <w:szCs w:val="18"/>
              </w:rPr>
              <w:t>CAM=1,30</w:t>
            </w:r>
          </w:p>
        </w:tc>
        <w:tc>
          <w:tcPr>
            <w:tcW w:w="1724" w:type="pct"/>
          </w:tcPr>
          <w:p w14:paraId="135E10C7" w14:textId="77777777" w:rsidR="006E37A6" w:rsidRPr="00A9330B" w:rsidRDefault="006E37A6" w:rsidP="000F7BA7">
            <w:pPr>
              <w:spacing w:before="80" w:line="240" w:lineRule="auto"/>
              <w:jc w:val="both"/>
              <w:rPr>
                <w:rFonts w:cs="Arial"/>
                <w:color w:val="000000"/>
                <w:sz w:val="18"/>
                <w:szCs w:val="18"/>
              </w:rPr>
            </w:pPr>
            <w:r w:rsidRPr="00A9330B">
              <w:rPr>
                <w:rFonts w:cs="Arial"/>
                <w:color w:val="000000"/>
                <w:sz w:val="18"/>
                <w:szCs w:val="18"/>
              </w:rPr>
              <w:t>6BB + CM + 20GLT + 20GLN</w:t>
            </w:r>
          </w:p>
        </w:tc>
      </w:tr>
      <w:tr w:rsidR="00645DF1" w:rsidRPr="00A9330B" w14:paraId="7524ECD8" w14:textId="77777777" w:rsidTr="000F7BA7">
        <w:trPr>
          <w:trHeight w:val="397"/>
        </w:trPr>
        <w:tc>
          <w:tcPr>
            <w:tcW w:w="1205" w:type="pct"/>
            <w:noWrap/>
          </w:tcPr>
          <w:p w14:paraId="63D3AC65" w14:textId="77777777" w:rsidR="006E37A6" w:rsidRPr="00A9330B" w:rsidRDefault="006E37A6" w:rsidP="000F7BA7">
            <w:pPr>
              <w:spacing w:before="80" w:line="240" w:lineRule="auto"/>
              <w:jc w:val="both"/>
              <w:rPr>
                <w:rFonts w:cs="Arial"/>
                <w:iCs/>
                <w:sz w:val="18"/>
                <w:szCs w:val="18"/>
              </w:rPr>
            </w:pPr>
            <w:r w:rsidRPr="00A9330B">
              <w:rPr>
                <w:rFonts w:cs="Arial"/>
                <w:sz w:val="18"/>
                <w:szCs w:val="18"/>
              </w:rPr>
              <w:t>RUE A24</w:t>
            </w:r>
          </w:p>
        </w:tc>
        <w:tc>
          <w:tcPr>
            <w:tcW w:w="1036" w:type="pct"/>
          </w:tcPr>
          <w:p w14:paraId="4A898E7C" w14:textId="77777777" w:rsidR="006E37A6" w:rsidRPr="00A9330B" w:rsidRDefault="006E37A6" w:rsidP="000F7BA7">
            <w:pPr>
              <w:spacing w:before="80" w:line="240" w:lineRule="auto"/>
              <w:jc w:val="both"/>
              <w:rPr>
                <w:rFonts w:cs="Arial"/>
                <w:iCs/>
                <w:color w:val="000000"/>
                <w:sz w:val="18"/>
                <w:szCs w:val="18"/>
              </w:rPr>
            </w:pPr>
            <w:r w:rsidRPr="00A9330B">
              <w:rPr>
                <w:rFonts w:cs="Arial"/>
                <w:iCs/>
                <w:color w:val="000000"/>
                <w:sz w:val="18"/>
                <w:szCs w:val="18"/>
              </w:rPr>
              <w:t>BITUME</w:t>
            </w:r>
          </w:p>
        </w:tc>
        <w:tc>
          <w:tcPr>
            <w:tcW w:w="1035" w:type="pct"/>
          </w:tcPr>
          <w:p w14:paraId="1A2C0530" w14:textId="77777777" w:rsidR="006E37A6" w:rsidRPr="00A9330B" w:rsidRDefault="006E37A6" w:rsidP="000F7BA7">
            <w:pPr>
              <w:spacing w:before="80" w:line="240" w:lineRule="auto"/>
              <w:jc w:val="both"/>
              <w:rPr>
                <w:rFonts w:cs="Arial"/>
                <w:sz w:val="18"/>
                <w:szCs w:val="18"/>
              </w:rPr>
            </w:pPr>
            <w:r w:rsidRPr="00A9330B">
              <w:rPr>
                <w:rFonts w:cs="Arial"/>
                <w:sz w:val="18"/>
                <w:szCs w:val="18"/>
              </w:rPr>
              <w:t>100 PL</w:t>
            </w:r>
          </w:p>
          <w:p w14:paraId="25CFC99F" w14:textId="77777777" w:rsidR="006E37A6" w:rsidRPr="00A9330B" w:rsidRDefault="006E37A6" w:rsidP="000F7BA7">
            <w:pPr>
              <w:spacing w:before="80" w:line="240" w:lineRule="auto"/>
              <w:jc w:val="both"/>
              <w:rPr>
                <w:rFonts w:cs="Arial"/>
                <w:color w:val="000000"/>
                <w:sz w:val="18"/>
                <w:szCs w:val="18"/>
              </w:rPr>
            </w:pPr>
            <w:r w:rsidRPr="00A9330B">
              <w:rPr>
                <w:rFonts w:cs="Arial"/>
                <w:sz w:val="18"/>
                <w:szCs w:val="18"/>
              </w:rPr>
              <w:t>CAM=1,30</w:t>
            </w:r>
          </w:p>
        </w:tc>
        <w:tc>
          <w:tcPr>
            <w:tcW w:w="1724" w:type="pct"/>
          </w:tcPr>
          <w:p w14:paraId="2F76A1AB" w14:textId="77777777" w:rsidR="006E37A6" w:rsidRPr="00A9330B" w:rsidRDefault="006E37A6" w:rsidP="000F7BA7">
            <w:pPr>
              <w:spacing w:before="80" w:line="240" w:lineRule="auto"/>
              <w:jc w:val="both"/>
              <w:rPr>
                <w:rFonts w:cs="Arial"/>
                <w:color w:val="000000"/>
                <w:sz w:val="18"/>
                <w:szCs w:val="18"/>
              </w:rPr>
            </w:pPr>
            <w:r w:rsidRPr="00A9330B">
              <w:rPr>
                <w:rFonts w:cs="Arial"/>
                <w:color w:val="000000"/>
                <w:sz w:val="18"/>
                <w:szCs w:val="18"/>
              </w:rPr>
              <w:t>6BB + CM + 20GLT + 20GLN</w:t>
            </w:r>
          </w:p>
        </w:tc>
      </w:tr>
      <w:tr w:rsidR="00645DF1" w:rsidRPr="00A9330B" w14:paraId="1D070129" w14:textId="77777777" w:rsidTr="000F7BA7">
        <w:trPr>
          <w:trHeight w:val="397"/>
        </w:trPr>
        <w:tc>
          <w:tcPr>
            <w:tcW w:w="1205" w:type="pct"/>
            <w:noWrap/>
          </w:tcPr>
          <w:p w14:paraId="249EFE80" w14:textId="77777777" w:rsidR="006E37A6" w:rsidRPr="00A9330B" w:rsidRDefault="006E37A6" w:rsidP="000F7BA7">
            <w:pPr>
              <w:spacing w:before="80" w:line="240" w:lineRule="auto"/>
              <w:jc w:val="both"/>
              <w:rPr>
                <w:rFonts w:cs="Arial"/>
                <w:iCs/>
                <w:sz w:val="18"/>
                <w:szCs w:val="18"/>
              </w:rPr>
            </w:pPr>
            <w:r w:rsidRPr="00A9330B">
              <w:rPr>
                <w:rFonts w:cs="Arial"/>
                <w:sz w:val="18"/>
                <w:szCs w:val="18"/>
              </w:rPr>
              <w:t>RUE B6</w:t>
            </w:r>
          </w:p>
        </w:tc>
        <w:tc>
          <w:tcPr>
            <w:tcW w:w="1036" w:type="pct"/>
          </w:tcPr>
          <w:p w14:paraId="02963ADD" w14:textId="77777777" w:rsidR="006E37A6" w:rsidRPr="00A9330B" w:rsidRDefault="006E37A6" w:rsidP="000F7BA7">
            <w:pPr>
              <w:spacing w:before="80" w:line="240" w:lineRule="auto"/>
              <w:jc w:val="both"/>
              <w:rPr>
                <w:rFonts w:cs="Arial"/>
                <w:iCs/>
                <w:color w:val="000000"/>
                <w:sz w:val="18"/>
                <w:szCs w:val="18"/>
              </w:rPr>
            </w:pPr>
            <w:r w:rsidRPr="00A9330B">
              <w:rPr>
                <w:rFonts w:cs="Arial"/>
                <w:iCs/>
                <w:color w:val="000000"/>
                <w:sz w:val="18"/>
                <w:szCs w:val="18"/>
              </w:rPr>
              <w:t>BITUME</w:t>
            </w:r>
          </w:p>
        </w:tc>
        <w:tc>
          <w:tcPr>
            <w:tcW w:w="1035" w:type="pct"/>
          </w:tcPr>
          <w:p w14:paraId="585CD2E7" w14:textId="77777777" w:rsidR="006E37A6" w:rsidRPr="00A9330B" w:rsidRDefault="006E37A6" w:rsidP="000F7BA7">
            <w:pPr>
              <w:spacing w:before="80" w:line="240" w:lineRule="auto"/>
              <w:jc w:val="both"/>
              <w:rPr>
                <w:rFonts w:cs="Arial"/>
                <w:sz w:val="18"/>
                <w:szCs w:val="18"/>
              </w:rPr>
            </w:pPr>
            <w:r w:rsidRPr="00A9330B">
              <w:rPr>
                <w:rFonts w:cs="Arial"/>
                <w:sz w:val="18"/>
                <w:szCs w:val="18"/>
              </w:rPr>
              <w:t>100 PL</w:t>
            </w:r>
          </w:p>
          <w:p w14:paraId="7C13BE9C" w14:textId="77777777" w:rsidR="006E37A6" w:rsidRPr="00A9330B" w:rsidRDefault="006E37A6" w:rsidP="000F7BA7">
            <w:pPr>
              <w:spacing w:before="80" w:line="240" w:lineRule="auto"/>
              <w:jc w:val="both"/>
              <w:rPr>
                <w:rFonts w:cs="Arial"/>
                <w:color w:val="000000"/>
                <w:sz w:val="18"/>
                <w:szCs w:val="18"/>
              </w:rPr>
            </w:pPr>
            <w:r w:rsidRPr="00A9330B">
              <w:rPr>
                <w:rFonts w:cs="Arial"/>
                <w:sz w:val="18"/>
                <w:szCs w:val="18"/>
              </w:rPr>
              <w:t>CAM=1,30</w:t>
            </w:r>
          </w:p>
        </w:tc>
        <w:tc>
          <w:tcPr>
            <w:tcW w:w="1724" w:type="pct"/>
          </w:tcPr>
          <w:p w14:paraId="1C845D96" w14:textId="77777777" w:rsidR="006E37A6" w:rsidRPr="00A9330B" w:rsidRDefault="006E37A6" w:rsidP="000F7BA7">
            <w:pPr>
              <w:spacing w:before="80" w:line="240" w:lineRule="auto"/>
              <w:jc w:val="both"/>
              <w:rPr>
                <w:rFonts w:cs="Arial"/>
                <w:color w:val="000000"/>
                <w:sz w:val="18"/>
                <w:szCs w:val="18"/>
              </w:rPr>
            </w:pPr>
            <w:r w:rsidRPr="00A9330B">
              <w:rPr>
                <w:rFonts w:cs="Arial"/>
                <w:color w:val="000000"/>
                <w:sz w:val="18"/>
                <w:szCs w:val="18"/>
              </w:rPr>
              <w:t>6BB + CM + 20GLT + 20GLN</w:t>
            </w:r>
          </w:p>
        </w:tc>
      </w:tr>
      <w:tr w:rsidR="00645DF1" w:rsidRPr="00A9330B" w14:paraId="7C08BB78" w14:textId="77777777" w:rsidTr="000F7BA7">
        <w:trPr>
          <w:trHeight w:val="397"/>
        </w:trPr>
        <w:tc>
          <w:tcPr>
            <w:tcW w:w="1205" w:type="pct"/>
            <w:noWrap/>
          </w:tcPr>
          <w:p w14:paraId="30C4482E" w14:textId="77777777" w:rsidR="006E37A6" w:rsidRPr="00A9330B" w:rsidRDefault="006E37A6" w:rsidP="000F7BA7">
            <w:pPr>
              <w:spacing w:before="80" w:line="240" w:lineRule="auto"/>
              <w:jc w:val="both"/>
              <w:rPr>
                <w:rFonts w:cs="Arial"/>
                <w:iCs/>
                <w:sz w:val="18"/>
                <w:szCs w:val="18"/>
              </w:rPr>
            </w:pPr>
            <w:r w:rsidRPr="00A9330B">
              <w:rPr>
                <w:rFonts w:cs="Arial"/>
                <w:sz w:val="18"/>
                <w:szCs w:val="18"/>
              </w:rPr>
              <w:t>RUE D3</w:t>
            </w:r>
          </w:p>
        </w:tc>
        <w:tc>
          <w:tcPr>
            <w:tcW w:w="1036" w:type="pct"/>
          </w:tcPr>
          <w:p w14:paraId="7511CEB8" w14:textId="77777777" w:rsidR="006E37A6" w:rsidRPr="00A9330B" w:rsidRDefault="006E37A6" w:rsidP="000F7BA7">
            <w:pPr>
              <w:spacing w:before="80" w:line="240" w:lineRule="auto"/>
              <w:jc w:val="both"/>
              <w:rPr>
                <w:rFonts w:cs="Arial"/>
                <w:iCs/>
                <w:color w:val="000000"/>
                <w:sz w:val="18"/>
                <w:szCs w:val="18"/>
              </w:rPr>
            </w:pPr>
            <w:r w:rsidRPr="00A9330B">
              <w:rPr>
                <w:rFonts w:cs="Arial"/>
                <w:iCs/>
                <w:color w:val="000000"/>
                <w:sz w:val="18"/>
                <w:szCs w:val="18"/>
              </w:rPr>
              <w:t>BITUME</w:t>
            </w:r>
          </w:p>
        </w:tc>
        <w:tc>
          <w:tcPr>
            <w:tcW w:w="1035" w:type="pct"/>
          </w:tcPr>
          <w:p w14:paraId="47346A05" w14:textId="77777777" w:rsidR="006E37A6" w:rsidRPr="00A9330B" w:rsidRDefault="006E37A6" w:rsidP="000F7BA7">
            <w:pPr>
              <w:spacing w:before="80" w:line="240" w:lineRule="auto"/>
              <w:jc w:val="both"/>
              <w:rPr>
                <w:rFonts w:cs="Arial"/>
                <w:sz w:val="18"/>
                <w:szCs w:val="18"/>
              </w:rPr>
            </w:pPr>
            <w:r w:rsidRPr="00A9330B">
              <w:rPr>
                <w:rFonts w:cs="Arial"/>
                <w:sz w:val="18"/>
                <w:szCs w:val="18"/>
              </w:rPr>
              <w:t>100 PL</w:t>
            </w:r>
          </w:p>
          <w:p w14:paraId="40D4215A" w14:textId="77777777" w:rsidR="006E37A6" w:rsidRPr="00A9330B" w:rsidRDefault="006E37A6" w:rsidP="000F7BA7">
            <w:pPr>
              <w:spacing w:before="80" w:line="240" w:lineRule="auto"/>
              <w:jc w:val="both"/>
              <w:rPr>
                <w:rFonts w:cs="Arial"/>
                <w:color w:val="000000"/>
                <w:sz w:val="18"/>
                <w:szCs w:val="18"/>
              </w:rPr>
            </w:pPr>
            <w:r w:rsidRPr="00A9330B">
              <w:rPr>
                <w:rFonts w:cs="Arial"/>
                <w:sz w:val="18"/>
                <w:szCs w:val="18"/>
              </w:rPr>
              <w:t>CAM=1,30</w:t>
            </w:r>
          </w:p>
        </w:tc>
        <w:tc>
          <w:tcPr>
            <w:tcW w:w="1724" w:type="pct"/>
          </w:tcPr>
          <w:p w14:paraId="251043E0" w14:textId="77777777" w:rsidR="006E37A6" w:rsidRPr="00A9330B" w:rsidRDefault="006E37A6" w:rsidP="000F7BA7">
            <w:pPr>
              <w:spacing w:before="80" w:line="240" w:lineRule="auto"/>
              <w:jc w:val="both"/>
              <w:rPr>
                <w:rFonts w:cs="Arial"/>
                <w:color w:val="000000"/>
                <w:sz w:val="18"/>
                <w:szCs w:val="18"/>
              </w:rPr>
            </w:pPr>
            <w:r w:rsidRPr="00A9330B">
              <w:rPr>
                <w:rFonts w:cs="Arial"/>
                <w:color w:val="000000"/>
                <w:sz w:val="18"/>
                <w:szCs w:val="18"/>
              </w:rPr>
              <w:t>6BB + CM + 20GLT + 20GLN</w:t>
            </w:r>
          </w:p>
        </w:tc>
      </w:tr>
      <w:tr w:rsidR="00645DF1" w:rsidRPr="00A9330B" w14:paraId="5F0E71EB" w14:textId="77777777" w:rsidTr="000F7BA7">
        <w:trPr>
          <w:trHeight w:val="397"/>
        </w:trPr>
        <w:tc>
          <w:tcPr>
            <w:tcW w:w="1205" w:type="pct"/>
            <w:noWrap/>
          </w:tcPr>
          <w:p w14:paraId="760CD54A" w14:textId="77777777" w:rsidR="006E37A6" w:rsidRPr="00A9330B" w:rsidRDefault="006E37A6" w:rsidP="000F7BA7">
            <w:pPr>
              <w:spacing w:before="80" w:line="240" w:lineRule="auto"/>
              <w:jc w:val="both"/>
              <w:rPr>
                <w:rFonts w:cs="Arial"/>
                <w:sz w:val="18"/>
                <w:szCs w:val="18"/>
              </w:rPr>
            </w:pPr>
            <w:r w:rsidRPr="00A9330B">
              <w:rPr>
                <w:rFonts w:cs="Arial"/>
                <w:sz w:val="18"/>
                <w:szCs w:val="18"/>
              </w:rPr>
              <w:t>RUE B3</w:t>
            </w:r>
          </w:p>
        </w:tc>
        <w:tc>
          <w:tcPr>
            <w:tcW w:w="1036" w:type="pct"/>
          </w:tcPr>
          <w:p w14:paraId="655F6AE5" w14:textId="77777777" w:rsidR="006E37A6" w:rsidRPr="00A9330B" w:rsidRDefault="006E37A6" w:rsidP="000F7BA7">
            <w:pPr>
              <w:spacing w:before="80" w:line="240" w:lineRule="auto"/>
              <w:jc w:val="both"/>
              <w:rPr>
                <w:rFonts w:cs="Arial"/>
                <w:iCs/>
                <w:color w:val="000000"/>
                <w:sz w:val="18"/>
                <w:szCs w:val="18"/>
              </w:rPr>
            </w:pPr>
            <w:r w:rsidRPr="00A9330B">
              <w:rPr>
                <w:rFonts w:cs="Arial"/>
                <w:iCs/>
                <w:color w:val="000000"/>
                <w:sz w:val="18"/>
                <w:szCs w:val="18"/>
              </w:rPr>
              <w:t>BITUME</w:t>
            </w:r>
          </w:p>
        </w:tc>
        <w:tc>
          <w:tcPr>
            <w:tcW w:w="1035" w:type="pct"/>
          </w:tcPr>
          <w:p w14:paraId="1894CC81" w14:textId="77777777" w:rsidR="006E37A6" w:rsidRPr="00A9330B" w:rsidRDefault="006E37A6" w:rsidP="000F7BA7">
            <w:pPr>
              <w:spacing w:before="80" w:line="240" w:lineRule="auto"/>
              <w:jc w:val="both"/>
              <w:rPr>
                <w:rFonts w:cs="Arial"/>
                <w:sz w:val="18"/>
                <w:szCs w:val="18"/>
              </w:rPr>
            </w:pPr>
            <w:r w:rsidRPr="00A9330B">
              <w:rPr>
                <w:rFonts w:cs="Arial"/>
                <w:sz w:val="18"/>
                <w:szCs w:val="18"/>
              </w:rPr>
              <w:t>100 PL</w:t>
            </w:r>
          </w:p>
          <w:p w14:paraId="1F762743" w14:textId="77777777" w:rsidR="006E37A6" w:rsidRPr="00A9330B" w:rsidRDefault="006E37A6" w:rsidP="000F7BA7">
            <w:pPr>
              <w:spacing w:before="80" w:line="240" w:lineRule="auto"/>
              <w:jc w:val="both"/>
              <w:rPr>
                <w:rFonts w:cs="Arial"/>
                <w:sz w:val="18"/>
                <w:szCs w:val="18"/>
              </w:rPr>
            </w:pPr>
            <w:r w:rsidRPr="00A9330B">
              <w:rPr>
                <w:rFonts w:cs="Arial"/>
                <w:sz w:val="18"/>
                <w:szCs w:val="18"/>
              </w:rPr>
              <w:t>CAM=1,30</w:t>
            </w:r>
          </w:p>
        </w:tc>
        <w:tc>
          <w:tcPr>
            <w:tcW w:w="1724" w:type="pct"/>
          </w:tcPr>
          <w:p w14:paraId="12CD0A3D" w14:textId="77777777" w:rsidR="006E37A6" w:rsidRPr="00A9330B" w:rsidRDefault="006E37A6" w:rsidP="000F7BA7">
            <w:pPr>
              <w:spacing w:before="80" w:line="240" w:lineRule="auto"/>
              <w:jc w:val="both"/>
              <w:rPr>
                <w:rFonts w:cs="Arial"/>
                <w:color w:val="000000"/>
                <w:sz w:val="18"/>
                <w:szCs w:val="18"/>
              </w:rPr>
            </w:pPr>
            <w:r w:rsidRPr="00A9330B">
              <w:rPr>
                <w:rFonts w:cs="Arial"/>
                <w:color w:val="000000"/>
                <w:sz w:val="18"/>
                <w:szCs w:val="18"/>
              </w:rPr>
              <w:t>6BB + CM + 20GLT + 20GLN</w:t>
            </w:r>
          </w:p>
        </w:tc>
      </w:tr>
      <w:tr w:rsidR="00645DF1" w:rsidRPr="00A9330B" w14:paraId="47670941" w14:textId="77777777" w:rsidTr="000F7BA7">
        <w:trPr>
          <w:trHeight w:val="397"/>
        </w:trPr>
        <w:tc>
          <w:tcPr>
            <w:tcW w:w="1205" w:type="pct"/>
            <w:noWrap/>
          </w:tcPr>
          <w:p w14:paraId="48352135" w14:textId="77777777" w:rsidR="006E37A6" w:rsidRPr="00A9330B" w:rsidRDefault="006E37A6" w:rsidP="000F7BA7">
            <w:pPr>
              <w:spacing w:before="80" w:line="240" w:lineRule="auto"/>
              <w:jc w:val="both"/>
              <w:rPr>
                <w:rFonts w:cs="Arial"/>
                <w:sz w:val="18"/>
                <w:szCs w:val="18"/>
              </w:rPr>
            </w:pPr>
            <w:r w:rsidRPr="00A9330B">
              <w:rPr>
                <w:rFonts w:cs="Arial"/>
                <w:sz w:val="18"/>
                <w:szCs w:val="18"/>
              </w:rPr>
              <w:t>RUE C3</w:t>
            </w:r>
          </w:p>
        </w:tc>
        <w:tc>
          <w:tcPr>
            <w:tcW w:w="1036" w:type="pct"/>
          </w:tcPr>
          <w:p w14:paraId="3947CA1E" w14:textId="77777777" w:rsidR="006E37A6" w:rsidRPr="00A9330B" w:rsidRDefault="006E37A6" w:rsidP="000F7BA7">
            <w:pPr>
              <w:spacing w:before="80" w:line="240" w:lineRule="auto"/>
              <w:jc w:val="both"/>
              <w:rPr>
                <w:rFonts w:cs="Arial"/>
                <w:iCs/>
                <w:color w:val="000000"/>
                <w:sz w:val="18"/>
                <w:szCs w:val="18"/>
              </w:rPr>
            </w:pPr>
            <w:r w:rsidRPr="00A9330B">
              <w:rPr>
                <w:rFonts w:cs="Arial"/>
                <w:iCs/>
                <w:color w:val="000000"/>
                <w:sz w:val="18"/>
                <w:szCs w:val="18"/>
              </w:rPr>
              <w:t>BITUME</w:t>
            </w:r>
          </w:p>
        </w:tc>
        <w:tc>
          <w:tcPr>
            <w:tcW w:w="1035" w:type="pct"/>
          </w:tcPr>
          <w:p w14:paraId="1221AEE7" w14:textId="77777777" w:rsidR="006E37A6" w:rsidRPr="00A9330B" w:rsidRDefault="006E37A6" w:rsidP="000F7BA7">
            <w:pPr>
              <w:spacing w:before="80" w:line="240" w:lineRule="auto"/>
              <w:jc w:val="both"/>
              <w:rPr>
                <w:rFonts w:cs="Arial"/>
                <w:sz w:val="18"/>
                <w:szCs w:val="18"/>
              </w:rPr>
            </w:pPr>
            <w:r w:rsidRPr="00A9330B">
              <w:rPr>
                <w:rFonts w:cs="Arial"/>
                <w:sz w:val="18"/>
                <w:szCs w:val="18"/>
              </w:rPr>
              <w:t>100 PL</w:t>
            </w:r>
          </w:p>
          <w:p w14:paraId="313F8AC4" w14:textId="77777777" w:rsidR="006E37A6" w:rsidRPr="00A9330B" w:rsidRDefault="006E37A6" w:rsidP="000F7BA7">
            <w:pPr>
              <w:spacing w:before="80" w:line="240" w:lineRule="auto"/>
              <w:jc w:val="both"/>
              <w:rPr>
                <w:rFonts w:cs="Arial"/>
                <w:sz w:val="18"/>
                <w:szCs w:val="18"/>
              </w:rPr>
            </w:pPr>
            <w:r w:rsidRPr="00A9330B">
              <w:rPr>
                <w:rFonts w:cs="Arial"/>
                <w:sz w:val="18"/>
                <w:szCs w:val="18"/>
              </w:rPr>
              <w:t>CAM=1,30</w:t>
            </w:r>
          </w:p>
        </w:tc>
        <w:tc>
          <w:tcPr>
            <w:tcW w:w="1724" w:type="pct"/>
          </w:tcPr>
          <w:p w14:paraId="6DBB598B" w14:textId="77777777" w:rsidR="006E37A6" w:rsidRPr="00A9330B" w:rsidRDefault="006E37A6" w:rsidP="000F7BA7">
            <w:pPr>
              <w:spacing w:before="80" w:line="240" w:lineRule="auto"/>
              <w:jc w:val="both"/>
              <w:rPr>
                <w:rFonts w:cs="Arial"/>
                <w:color w:val="000000"/>
                <w:sz w:val="18"/>
                <w:szCs w:val="18"/>
              </w:rPr>
            </w:pPr>
            <w:r w:rsidRPr="00A9330B">
              <w:rPr>
                <w:rFonts w:cs="Arial"/>
                <w:color w:val="000000"/>
                <w:sz w:val="18"/>
                <w:szCs w:val="18"/>
              </w:rPr>
              <w:t>6BB + CM + 20GLT + 20GLN</w:t>
            </w:r>
          </w:p>
        </w:tc>
      </w:tr>
      <w:tr w:rsidR="00645DF1" w:rsidRPr="00A9330B" w14:paraId="277A0DA9" w14:textId="77777777" w:rsidTr="000F7BA7">
        <w:trPr>
          <w:trHeight w:val="397"/>
        </w:trPr>
        <w:tc>
          <w:tcPr>
            <w:tcW w:w="1205" w:type="pct"/>
            <w:noWrap/>
          </w:tcPr>
          <w:p w14:paraId="56DAE1D9" w14:textId="77777777" w:rsidR="006E37A6" w:rsidRPr="00A9330B" w:rsidRDefault="006E37A6" w:rsidP="000F7BA7">
            <w:pPr>
              <w:spacing w:before="80" w:line="240" w:lineRule="auto"/>
              <w:jc w:val="both"/>
              <w:rPr>
                <w:rFonts w:cs="Arial"/>
                <w:sz w:val="18"/>
                <w:szCs w:val="18"/>
              </w:rPr>
            </w:pPr>
            <w:r w:rsidRPr="00A9330B">
              <w:rPr>
                <w:rFonts w:cs="Arial"/>
                <w:sz w:val="18"/>
                <w:szCs w:val="18"/>
              </w:rPr>
              <w:t>RUE C4</w:t>
            </w:r>
          </w:p>
        </w:tc>
        <w:tc>
          <w:tcPr>
            <w:tcW w:w="1036" w:type="pct"/>
          </w:tcPr>
          <w:p w14:paraId="26171681" w14:textId="77777777" w:rsidR="006E37A6" w:rsidRPr="00A9330B" w:rsidRDefault="006E37A6" w:rsidP="000F7BA7">
            <w:pPr>
              <w:spacing w:before="80" w:line="240" w:lineRule="auto"/>
              <w:jc w:val="both"/>
              <w:rPr>
                <w:rFonts w:cs="Arial"/>
                <w:iCs/>
                <w:color w:val="000000"/>
                <w:sz w:val="18"/>
                <w:szCs w:val="18"/>
              </w:rPr>
            </w:pPr>
            <w:r w:rsidRPr="00A9330B">
              <w:rPr>
                <w:rFonts w:cs="Arial"/>
                <w:iCs/>
                <w:color w:val="000000"/>
                <w:sz w:val="18"/>
                <w:szCs w:val="18"/>
              </w:rPr>
              <w:t>BITUME</w:t>
            </w:r>
          </w:p>
        </w:tc>
        <w:tc>
          <w:tcPr>
            <w:tcW w:w="1035" w:type="pct"/>
          </w:tcPr>
          <w:p w14:paraId="5EC71014" w14:textId="77777777" w:rsidR="006E37A6" w:rsidRPr="00A9330B" w:rsidRDefault="006E37A6" w:rsidP="000F7BA7">
            <w:pPr>
              <w:spacing w:before="80" w:line="240" w:lineRule="auto"/>
              <w:jc w:val="both"/>
              <w:rPr>
                <w:rFonts w:cs="Arial"/>
                <w:sz w:val="18"/>
                <w:szCs w:val="18"/>
              </w:rPr>
            </w:pPr>
            <w:r w:rsidRPr="00A9330B">
              <w:rPr>
                <w:rFonts w:cs="Arial"/>
                <w:sz w:val="18"/>
                <w:szCs w:val="18"/>
              </w:rPr>
              <w:t>100 PL</w:t>
            </w:r>
          </w:p>
          <w:p w14:paraId="15C0B878" w14:textId="77777777" w:rsidR="006E37A6" w:rsidRPr="00A9330B" w:rsidRDefault="006E37A6" w:rsidP="000F7BA7">
            <w:pPr>
              <w:spacing w:before="80" w:line="240" w:lineRule="auto"/>
              <w:jc w:val="both"/>
              <w:rPr>
                <w:rFonts w:cs="Arial"/>
                <w:sz w:val="18"/>
                <w:szCs w:val="18"/>
              </w:rPr>
            </w:pPr>
            <w:r w:rsidRPr="00A9330B">
              <w:rPr>
                <w:rFonts w:cs="Arial"/>
                <w:sz w:val="18"/>
                <w:szCs w:val="18"/>
              </w:rPr>
              <w:t>CAM=1,30</w:t>
            </w:r>
          </w:p>
        </w:tc>
        <w:tc>
          <w:tcPr>
            <w:tcW w:w="1724" w:type="pct"/>
          </w:tcPr>
          <w:p w14:paraId="1D7187F9" w14:textId="77777777" w:rsidR="006E37A6" w:rsidRPr="00A9330B" w:rsidRDefault="006E37A6" w:rsidP="000F7BA7">
            <w:pPr>
              <w:spacing w:before="80" w:line="240" w:lineRule="auto"/>
              <w:jc w:val="both"/>
              <w:rPr>
                <w:rFonts w:cs="Arial"/>
                <w:color w:val="000000"/>
                <w:sz w:val="18"/>
                <w:szCs w:val="18"/>
              </w:rPr>
            </w:pPr>
            <w:r w:rsidRPr="00A9330B">
              <w:rPr>
                <w:rFonts w:cs="Arial"/>
                <w:color w:val="000000"/>
                <w:sz w:val="18"/>
                <w:szCs w:val="18"/>
              </w:rPr>
              <w:t>6BB + CM + 20GLT + 20GLN</w:t>
            </w:r>
          </w:p>
        </w:tc>
      </w:tr>
    </w:tbl>
    <w:p w14:paraId="5F88B828" w14:textId="13E9566D" w:rsidR="006E37A6" w:rsidRPr="00A9330B" w:rsidRDefault="00B830DB" w:rsidP="000F7BA7">
      <w:pPr>
        <w:ind w:left="708" w:firstLine="708"/>
        <w:jc w:val="both"/>
        <w:rPr>
          <w:b/>
          <w:i/>
          <w:sz w:val="20"/>
          <w:szCs w:val="20"/>
        </w:rPr>
      </w:pPr>
      <w:bookmarkStart w:id="933" w:name="_Toc43697661"/>
      <w:bookmarkEnd w:id="918"/>
      <w:bookmarkEnd w:id="919"/>
      <w:bookmarkEnd w:id="920"/>
      <w:bookmarkEnd w:id="921"/>
      <w:bookmarkEnd w:id="922"/>
      <w:r w:rsidRPr="00A9330B">
        <w:rPr>
          <w:rFonts w:cs="Arial"/>
          <w:b/>
          <w:i/>
          <w:sz w:val="20"/>
          <w:szCs w:val="20"/>
        </w:rPr>
        <w:t>Source : CECO-BTP, 2020</w:t>
      </w:r>
    </w:p>
    <w:p w14:paraId="05FE1E2D" w14:textId="21A73C9C" w:rsidR="00401546" w:rsidRPr="00A9330B" w:rsidRDefault="00401546" w:rsidP="00401546">
      <w:pPr>
        <w:suppressAutoHyphens/>
        <w:spacing w:line="240" w:lineRule="auto"/>
        <w:ind w:left="720"/>
        <w:outlineLvl w:val="2"/>
        <w:rPr>
          <w:rFonts w:eastAsiaTheme="majorEastAsia" w:cstheme="majorBidi"/>
          <w:i/>
          <w:color w:val="auto"/>
          <w:sz w:val="26"/>
          <w:szCs w:val="24"/>
        </w:rPr>
      </w:pPr>
      <w:bookmarkStart w:id="934" w:name="_Toc45520865"/>
      <w:bookmarkStart w:id="935" w:name="_Toc52869665"/>
      <w:r w:rsidRPr="00A9330B">
        <w:rPr>
          <w:rFonts w:eastAsiaTheme="majorEastAsia" w:cstheme="majorBidi"/>
          <w:i/>
          <w:color w:val="auto"/>
          <w:sz w:val="26"/>
          <w:szCs w:val="24"/>
        </w:rPr>
        <w:lastRenderedPageBreak/>
        <w:t>6.2.2. Activités du projet</w:t>
      </w:r>
      <w:bookmarkEnd w:id="933"/>
      <w:bookmarkEnd w:id="934"/>
      <w:bookmarkEnd w:id="935"/>
    </w:p>
    <w:p w14:paraId="00D8623E" w14:textId="77777777" w:rsidR="00401546" w:rsidRPr="00A9330B" w:rsidRDefault="00401546" w:rsidP="00401546">
      <w:r w:rsidRPr="00A9330B">
        <w:t>Le récapitulatif des activités entrevues pour la suite de la mise en œuvre du programme est présenté comme suit :</w:t>
      </w:r>
    </w:p>
    <w:p w14:paraId="3E30C758" w14:textId="2010EE1E" w:rsidR="00401546" w:rsidRPr="00A9330B" w:rsidRDefault="00DA7A72" w:rsidP="0064324E">
      <w:pPr>
        <w:pStyle w:val="Titre40"/>
      </w:pPr>
      <w:bookmarkStart w:id="936" w:name="_Toc43697662"/>
      <w:bookmarkStart w:id="937" w:name="_Toc45520866"/>
      <w:bookmarkStart w:id="938" w:name="_Toc52869666"/>
      <w:r w:rsidRPr="00A9330B">
        <w:t>6.2.2.1.  Phase démarrage (P</w:t>
      </w:r>
      <w:r w:rsidR="00401546" w:rsidRPr="00A9330B">
        <w:t>réparation des travaux)</w:t>
      </w:r>
      <w:bookmarkEnd w:id="936"/>
      <w:bookmarkEnd w:id="937"/>
      <w:bookmarkEnd w:id="938"/>
    </w:p>
    <w:p w14:paraId="705C6268" w14:textId="518AEC53" w:rsidR="00401546" w:rsidRPr="00A9330B" w:rsidRDefault="00401546" w:rsidP="00401546">
      <w:pPr>
        <w:keepNext/>
        <w:spacing w:after="120" w:line="240" w:lineRule="auto"/>
        <w:jc w:val="center"/>
        <w:rPr>
          <w:rFonts w:eastAsia="Times New Roman" w:cs="Arial"/>
          <w:b/>
          <w:color w:val="000000"/>
          <w:sz w:val="20"/>
          <w:szCs w:val="20"/>
          <w:lang w:eastAsia="fr-FR"/>
        </w:rPr>
      </w:pPr>
      <w:bookmarkStart w:id="939" w:name="_Toc43696244"/>
      <w:bookmarkStart w:id="940" w:name="_Toc52873757"/>
      <w:r w:rsidRPr="00A9330B">
        <w:rPr>
          <w:rFonts w:eastAsia="Times New Roman" w:cs="Arial"/>
          <w:b/>
          <w:color w:val="000000"/>
          <w:sz w:val="20"/>
          <w:szCs w:val="20"/>
          <w:lang w:eastAsia="fr-FR"/>
        </w:rPr>
        <w:t xml:space="preserve">Tableau </w:t>
      </w:r>
      <w:r w:rsidRPr="00A9330B">
        <w:rPr>
          <w:rFonts w:eastAsia="Times New Roman" w:cs="Arial"/>
          <w:b/>
          <w:color w:val="000000"/>
          <w:sz w:val="20"/>
          <w:szCs w:val="20"/>
          <w:lang w:eastAsia="fr-FR"/>
        </w:rPr>
        <w:fldChar w:fldCharType="begin"/>
      </w:r>
      <w:r w:rsidRPr="00A9330B">
        <w:rPr>
          <w:rFonts w:eastAsia="Times New Roman" w:cs="Arial"/>
          <w:b/>
          <w:color w:val="000000"/>
          <w:sz w:val="20"/>
          <w:szCs w:val="20"/>
          <w:lang w:eastAsia="fr-FR"/>
        </w:rPr>
        <w:instrText xml:space="preserve"> SEQ Tableau \* ARABIC </w:instrText>
      </w:r>
      <w:r w:rsidRPr="00A9330B">
        <w:rPr>
          <w:rFonts w:eastAsia="Times New Roman" w:cs="Arial"/>
          <w:b/>
          <w:color w:val="000000"/>
          <w:sz w:val="20"/>
          <w:szCs w:val="20"/>
          <w:lang w:eastAsia="fr-FR"/>
        </w:rPr>
        <w:fldChar w:fldCharType="separate"/>
      </w:r>
      <w:r w:rsidR="000F7BA7" w:rsidRPr="00A9330B">
        <w:rPr>
          <w:rFonts w:eastAsia="Times New Roman" w:cs="Arial"/>
          <w:b/>
          <w:noProof/>
          <w:color w:val="000000"/>
          <w:sz w:val="20"/>
          <w:szCs w:val="20"/>
          <w:lang w:eastAsia="fr-FR"/>
        </w:rPr>
        <w:t>33</w:t>
      </w:r>
      <w:r w:rsidRPr="00A9330B">
        <w:rPr>
          <w:rFonts w:eastAsia="Times New Roman" w:cs="Arial"/>
          <w:b/>
          <w:color w:val="000000"/>
          <w:sz w:val="20"/>
          <w:szCs w:val="20"/>
          <w:lang w:eastAsia="fr-FR"/>
        </w:rPr>
        <w:fldChar w:fldCharType="end"/>
      </w:r>
      <w:r w:rsidRPr="00A9330B">
        <w:rPr>
          <w:rFonts w:eastAsia="Times New Roman" w:cs="Arial"/>
          <w:b/>
          <w:color w:val="000000"/>
          <w:sz w:val="20"/>
          <w:szCs w:val="20"/>
          <w:lang w:eastAsia="fr-FR"/>
        </w:rPr>
        <w:t xml:space="preserve"> : Récapitulatif des activités de démarrage du projet</w:t>
      </w:r>
      <w:bookmarkEnd w:id="939"/>
      <w:bookmarkEnd w:id="940"/>
    </w:p>
    <w:tbl>
      <w:tblPr>
        <w:tblStyle w:val="Grilledutableau181"/>
        <w:tblW w:w="9243" w:type="dxa"/>
        <w:tblInd w:w="108" w:type="dxa"/>
        <w:tblLook w:val="04A0" w:firstRow="1" w:lastRow="0" w:firstColumn="1" w:lastColumn="0" w:noHBand="0" w:noVBand="1"/>
      </w:tblPr>
      <w:tblGrid>
        <w:gridCol w:w="2772"/>
        <w:gridCol w:w="2442"/>
        <w:gridCol w:w="4029"/>
      </w:tblGrid>
      <w:tr w:rsidR="00E34C13" w:rsidRPr="00A9330B" w14:paraId="4339F840" w14:textId="77777777" w:rsidTr="00E34C13">
        <w:trPr>
          <w:trHeight w:val="123"/>
        </w:trPr>
        <w:tc>
          <w:tcPr>
            <w:tcW w:w="0" w:type="auto"/>
            <w:vAlign w:val="center"/>
          </w:tcPr>
          <w:p w14:paraId="394E79A4" w14:textId="77777777" w:rsidR="00E34C13" w:rsidRPr="00A9330B" w:rsidRDefault="00E34C13" w:rsidP="00B26D48">
            <w:pPr>
              <w:spacing w:line="240" w:lineRule="auto"/>
              <w:jc w:val="center"/>
              <w:rPr>
                <w:rFonts w:cs="Arial"/>
                <w:b/>
                <w:color w:val="auto"/>
                <w:sz w:val="20"/>
                <w:szCs w:val="20"/>
              </w:rPr>
            </w:pPr>
            <w:r w:rsidRPr="00A9330B">
              <w:rPr>
                <w:rFonts w:cs="Arial"/>
                <w:b/>
                <w:color w:val="auto"/>
                <w:sz w:val="20"/>
                <w:szCs w:val="20"/>
              </w:rPr>
              <w:t>Activités</w:t>
            </w:r>
          </w:p>
        </w:tc>
        <w:tc>
          <w:tcPr>
            <w:tcW w:w="0" w:type="auto"/>
            <w:vAlign w:val="center"/>
          </w:tcPr>
          <w:p w14:paraId="129D6D23" w14:textId="77777777" w:rsidR="00E34C13" w:rsidRPr="00A9330B" w:rsidRDefault="00E34C13" w:rsidP="00B26D48">
            <w:pPr>
              <w:spacing w:line="240" w:lineRule="auto"/>
              <w:jc w:val="center"/>
              <w:rPr>
                <w:rFonts w:cs="Arial"/>
                <w:b/>
                <w:color w:val="auto"/>
                <w:sz w:val="20"/>
                <w:szCs w:val="20"/>
              </w:rPr>
            </w:pPr>
            <w:r w:rsidRPr="00A9330B">
              <w:rPr>
                <w:rFonts w:cs="Arial"/>
                <w:b/>
                <w:color w:val="auto"/>
                <w:sz w:val="20"/>
                <w:szCs w:val="20"/>
              </w:rPr>
              <w:t xml:space="preserve">Sous –Activités </w:t>
            </w:r>
          </w:p>
        </w:tc>
        <w:tc>
          <w:tcPr>
            <w:tcW w:w="4029" w:type="dxa"/>
          </w:tcPr>
          <w:p w14:paraId="3C70820D" w14:textId="77777777" w:rsidR="00E34C13" w:rsidRPr="00A9330B" w:rsidRDefault="00E34C13" w:rsidP="00B26D48">
            <w:pPr>
              <w:spacing w:line="240" w:lineRule="auto"/>
              <w:jc w:val="center"/>
              <w:rPr>
                <w:rFonts w:cs="Arial"/>
                <w:b/>
                <w:color w:val="auto"/>
                <w:sz w:val="20"/>
                <w:szCs w:val="20"/>
              </w:rPr>
            </w:pPr>
            <w:r w:rsidRPr="00A9330B">
              <w:rPr>
                <w:rFonts w:cs="Arial"/>
                <w:b/>
                <w:color w:val="auto"/>
                <w:sz w:val="20"/>
                <w:szCs w:val="20"/>
              </w:rPr>
              <w:t xml:space="preserve">Commentaires </w:t>
            </w:r>
          </w:p>
        </w:tc>
      </w:tr>
      <w:tr w:rsidR="00E34C13" w:rsidRPr="00A9330B" w14:paraId="241177B7" w14:textId="77777777" w:rsidTr="00E34C13">
        <w:trPr>
          <w:trHeight w:val="123"/>
        </w:trPr>
        <w:tc>
          <w:tcPr>
            <w:tcW w:w="9243" w:type="dxa"/>
            <w:gridSpan w:val="3"/>
            <w:shd w:val="clear" w:color="auto" w:fill="F7CAAC" w:themeFill="accent2" w:themeFillTint="66"/>
            <w:vAlign w:val="center"/>
          </w:tcPr>
          <w:p w14:paraId="1D3C0ED3" w14:textId="3C222399" w:rsidR="00E34C13" w:rsidRPr="00A9330B" w:rsidRDefault="00E34C13" w:rsidP="00B26D48">
            <w:pPr>
              <w:spacing w:line="240" w:lineRule="auto"/>
              <w:jc w:val="center"/>
              <w:rPr>
                <w:rFonts w:cs="Arial"/>
                <w:b/>
                <w:color w:val="auto"/>
                <w:sz w:val="20"/>
                <w:szCs w:val="20"/>
              </w:rPr>
            </w:pPr>
            <w:r w:rsidRPr="00A9330B">
              <w:rPr>
                <w:rFonts w:cs="Arial"/>
                <w:b/>
                <w:color w:val="auto"/>
                <w:sz w:val="20"/>
                <w:szCs w:val="20"/>
              </w:rPr>
              <w:t>Phase préparatoire : avant les travaux de construction</w:t>
            </w:r>
          </w:p>
        </w:tc>
      </w:tr>
      <w:tr w:rsidR="00B26D48" w:rsidRPr="00A9330B" w14:paraId="19DB43BB" w14:textId="77777777" w:rsidTr="00067067">
        <w:trPr>
          <w:trHeight w:val="573"/>
        </w:trPr>
        <w:tc>
          <w:tcPr>
            <w:tcW w:w="0" w:type="auto"/>
          </w:tcPr>
          <w:p w14:paraId="2E3005B0" w14:textId="20513ECF" w:rsidR="00B26D48" w:rsidRPr="00A9330B" w:rsidRDefault="00067067" w:rsidP="00B26D48">
            <w:pPr>
              <w:spacing w:line="240" w:lineRule="auto"/>
              <w:rPr>
                <w:rFonts w:cs="Arial"/>
                <w:color w:val="auto"/>
                <w:sz w:val="20"/>
                <w:szCs w:val="20"/>
              </w:rPr>
            </w:pPr>
            <w:r w:rsidRPr="00A9330B">
              <w:rPr>
                <w:rFonts w:cs="Arial"/>
                <w:sz w:val="18"/>
                <w:szCs w:val="18"/>
              </w:rPr>
              <w:t>Transport et circulation de la machinerie et des équipements</w:t>
            </w:r>
          </w:p>
        </w:tc>
        <w:tc>
          <w:tcPr>
            <w:tcW w:w="0" w:type="auto"/>
          </w:tcPr>
          <w:p w14:paraId="36274ECF" w14:textId="059D7F6A" w:rsidR="00B26D48" w:rsidRPr="00A9330B" w:rsidRDefault="00B26D48" w:rsidP="00B26D48">
            <w:pPr>
              <w:spacing w:line="240" w:lineRule="auto"/>
              <w:rPr>
                <w:rFonts w:cs="Arial"/>
                <w:color w:val="auto"/>
                <w:sz w:val="20"/>
                <w:szCs w:val="20"/>
              </w:rPr>
            </w:pPr>
          </w:p>
        </w:tc>
        <w:tc>
          <w:tcPr>
            <w:tcW w:w="4029" w:type="dxa"/>
          </w:tcPr>
          <w:p w14:paraId="788B7A2F" w14:textId="7211917D" w:rsidR="00B26D48" w:rsidRPr="00A9330B" w:rsidRDefault="00067067" w:rsidP="00B26D48">
            <w:pPr>
              <w:spacing w:line="240" w:lineRule="auto"/>
              <w:rPr>
                <w:rFonts w:cs="Arial"/>
                <w:color w:val="auto"/>
                <w:sz w:val="20"/>
                <w:szCs w:val="20"/>
              </w:rPr>
            </w:pPr>
            <w:r w:rsidRPr="00A9330B">
              <w:rPr>
                <w:rFonts w:cs="Arial"/>
                <w:color w:val="auto"/>
                <w:sz w:val="20"/>
                <w:szCs w:val="20"/>
              </w:rPr>
              <w:t xml:space="preserve">Consiste au déplacement des engins de chantier, camions, et autres équipements vers la base vie </w:t>
            </w:r>
          </w:p>
        </w:tc>
      </w:tr>
      <w:tr w:rsidR="00067067" w:rsidRPr="00A9330B" w14:paraId="357235D9" w14:textId="77777777" w:rsidTr="00067067">
        <w:trPr>
          <w:trHeight w:val="4380"/>
        </w:trPr>
        <w:tc>
          <w:tcPr>
            <w:tcW w:w="0" w:type="auto"/>
          </w:tcPr>
          <w:p w14:paraId="5184E9B0" w14:textId="15E57F4C" w:rsidR="00067067" w:rsidRPr="00A9330B" w:rsidRDefault="00067067" w:rsidP="00067067">
            <w:pPr>
              <w:spacing w:line="240" w:lineRule="auto"/>
              <w:rPr>
                <w:rFonts w:cs="Arial"/>
                <w:sz w:val="20"/>
                <w:szCs w:val="20"/>
              </w:rPr>
            </w:pPr>
            <w:r w:rsidRPr="00A9330B">
              <w:rPr>
                <w:rFonts w:cs="Arial"/>
                <w:sz w:val="20"/>
                <w:szCs w:val="20"/>
              </w:rPr>
              <w:t>I</w:t>
            </w:r>
            <w:r w:rsidRPr="00A9330B">
              <w:rPr>
                <w:rFonts w:cs="Arial"/>
                <w:spacing w:val="-1"/>
                <w:sz w:val="20"/>
                <w:szCs w:val="20"/>
              </w:rPr>
              <w:t>ns</w:t>
            </w:r>
            <w:r w:rsidRPr="00A9330B">
              <w:rPr>
                <w:rFonts w:cs="Arial"/>
                <w:sz w:val="20"/>
                <w:szCs w:val="20"/>
              </w:rPr>
              <w:t>ta</w:t>
            </w:r>
            <w:r w:rsidRPr="00A9330B">
              <w:rPr>
                <w:rFonts w:cs="Arial"/>
                <w:spacing w:val="-1"/>
                <w:sz w:val="20"/>
                <w:szCs w:val="20"/>
              </w:rPr>
              <w:t>l</w:t>
            </w:r>
            <w:r w:rsidRPr="00A9330B">
              <w:rPr>
                <w:rFonts w:cs="Arial"/>
                <w:sz w:val="20"/>
                <w:szCs w:val="20"/>
              </w:rPr>
              <w:t>lat</w:t>
            </w:r>
            <w:r w:rsidRPr="00A9330B">
              <w:rPr>
                <w:rFonts w:cs="Arial"/>
                <w:spacing w:val="-1"/>
                <w:sz w:val="20"/>
                <w:szCs w:val="20"/>
              </w:rPr>
              <w:t>i</w:t>
            </w:r>
            <w:r w:rsidRPr="00A9330B">
              <w:rPr>
                <w:rFonts w:cs="Arial"/>
                <w:spacing w:val="1"/>
                <w:sz w:val="20"/>
                <w:szCs w:val="20"/>
              </w:rPr>
              <w:t>o</w:t>
            </w:r>
            <w:r w:rsidRPr="00A9330B">
              <w:rPr>
                <w:rFonts w:cs="Arial"/>
                <w:sz w:val="20"/>
                <w:szCs w:val="20"/>
              </w:rPr>
              <w:t>n</w:t>
            </w:r>
            <w:r w:rsidRPr="00A9330B">
              <w:rPr>
                <w:rFonts w:cs="Arial"/>
                <w:spacing w:val="1"/>
                <w:sz w:val="20"/>
                <w:szCs w:val="20"/>
              </w:rPr>
              <w:t xml:space="preserve"> </w:t>
            </w:r>
            <w:r w:rsidRPr="00A9330B">
              <w:rPr>
                <w:rFonts w:cs="Arial"/>
                <w:spacing w:val="-1"/>
                <w:sz w:val="20"/>
                <w:szCs w:val="20"/>
              </w:rPr>
              <w:t>d</w:t>
            </w:r>
            <w:r w:rsidRPr="00A9330B">
              <w:rPr>
                <w:rFonts w:cs="Arial"/>
                <w:sz w:val="20"/>
                <w:szCs w:val="20"/>
              </w:rPr>
              <w:t>e</w:t>
            </w:r>
            <w:r w:rsidRPr="00A9330B">
              <w:rPr>
                <w:rFonts w:cs="Arial"/>
                <w:spacing w:val="-1"/>
                <w:sz w:val="20"/>
                <w:szCs w:val="20"/>
              </w:rPr>
              <w:t xml:space="preserve"> </w:t>
            </w:r>
            <w:r w:rsidRPr="00A9330B">
              <w:rPr>
                <w:rFonts w:cs="Arial"/>
                <w:spacing w:val="1"/>
                <w:sz w:val="20"/>
                <w:szCs w:val="20"/>
              </w:rPr>
              <w:t>c</w:t>
            </w:r>
            <w:r w:rsidRPr="00A9330B">
              <w:rPr>
                <w:rFonts w:cs="Arial"/>
                <w:spacing w:val="-1"/>
                <w:sz w:val="20"/>
                <w:szCs w:val="20"/>
              </w:rPr>
              <w:t>h</w:t>
            </w:r>
            <w:r w:rsidRPr="00A9330B">
              <w:rPr>
                <w:rFonts w:cs="Arial"/>
                <w:sz w:val="20"/>
                <w:szCs w:val="20"/>
              </w:rPr>
              <w:t>a</w:t>
            </w:r>
            <w:r w:rsidRPr="00A9330B">
              <w:rPr>
                <w:rFonts w:cs="Arial"/>
                <w:spacing w:val="1"/>
                <w:sz w:val="20"/>
                <w:szCs w:val="20"/>
              </w:rPr>
              <w:t>n</w:t>
            </w:r>
            <w:r w:rsidRPr="00A9330B">
              <w:rPr>
                <w:rFonts w:cs="Arial"/>
                <w:sz w:val="20"/>
                <w:szCs w:val="20"/>
              </w:rPr>
              <w:t>t</w:t>
            </w:r>
            <w:r w:rsidRPr="00A9330B">
              <w:rPr>
                <w:rFonts w:cs="Arial"/>
                <w:spacing w:val="-1"/>
                <w:sz w:val="20"/>
                <w:szCs w:val="20"/>
              </w:rPr>
              <w:t>ie</w:t>
            </w:r>
            <w:r w:rsidRPr="00A9330B">
              <w:rPr>
                <w:rFonts w:cs="Arial"/>
                <w:sz w:val="20"/>
                <w:szCs w:val="20"/>
              </w:rPr>
              <w:t>r/signalisation de l’entreprise /</w:t>
            </w:r>
            <w:r w:rsidRPr="00A9330B">
              <w:rPr>
                <w:rFonts w:cs="Arial"/>
                <w:color w:val="auto"/>
                <w:sz w:val="20"/>
                <w:szCs w:val="20"/>
              </w:rPr>
              <w:t xml:space="preserve">Installation des bases vie </w:t>
            </w:r>
          </w:p>
        </w:tc>
        <w:tc>
          <w:tcPr>
            <w:tcW w:w="0" w:type="auto"/>
          </w:tcPr>
          <w:p w14:paraId="4346DA42" w14:textId="484B128B" w:rsidR="00067067" w:rsidRPr="00A9330B" w:rsidRDefault="00067067" w:rsidP="00067067">
            <w:pPr>
              <w:spacing w:line="240" w:lineRule="auto"/>
              <w:rPr>
                <w:rFonts w:cs="Arial"/>
                <w:color w:val="auto"/>
                <w:sz w:val="20"/>
                <w:szCs w:val="20"/>
              </w:rPr>
            </w:pPr>
            <w:r w:rsidRPr="00A9330B">
              <w:rPr>
                <w:rFonts w:cs="Arial"/>
                <w:color w:val="auto"/>
                <w:sz w:val="20"/>
                <w:szCs w:val="20"/>
              </w:rPr>
              <w:t>Installation propre aux Entreprises</w:t>
            </w:r>
            <w:r w:rsidRPr="00A9330B">
              <w:rPr>
                <w:rFonts w:cs="Arial"/>
                <w:color w:val="auto"/>
                <w:sz w:val="20"/>
                <w:szCs w:val="20"/>
              </w:rPr>
              <w:br/>
              <w:t>Identification des bases vie</w:t>
            </w:r>
          </w:p>
          <w:p w14:paraId="30E18D60" w14:textId="77777777" w:rsidR="00067067" w:rsidRPr="00A9330B" w:rsidRDefault="00067067" w:rsidP="00067067">
            <w:pPr>
              <w:spacing w:line="240" w:lineRule="auto"/>
              <w:rPr>
                <w:rFonts w:cs="Arial"/>
                <w:color w:val="auto"/>
                <w:sz w:val="20"/>
                <w:szCs w:val="20"/>
              </w:rPr>
            </w:pPr>
            <w:r w:rsidRPr="00A9330B">
              <w:rPr>
                <w:rFonts w:cs="Arial"/>
                <w:color w:val="auto"/>
                <w:sz w:val="20"/>
                <w:szCs w:val="20"/>
              </w:rPr>
              <w:t>Travaux topographiques</w:t>
            </w:r>
          </w:p>
          <w:p w14:paraId="57F9636E" w14:textId="77777777" w:rsidR="00067067" w:rsidRPr="00A9330B" w:rsidRDefault="00067067" w:rsidP="00067067">
            <w:pPr>
              <w:spacing w:line="240" w:lineRule="auto"/>
              <w:rPr>
                <w:rFonts w:cs="Arial"/>
                <w:color w:val="auto"/>
                <w:sz w:val="20"/>
                <w:szCs w:val="20"/>
              </w:rPr>
            </w:pPr>
            <w:r w:rsidRPr="00A9330B">
              <w:rPr>
                <w:rFonts w:cs="Arial"/>
                <w:color w:val="auto"/>
                <w:sz w:val="20"/>
                <w:szCs w:val="20"/>
              </w:rPr>
              <w:t>Libération des emprises</w:t>
            </w:r>
          </w:p>
          <w:p w14:paraId="15685EB6" w14:textId="77777777" w:rsidR="00067067" w:rsidRPr="00A9330B" w:rsidRDefault="00067067" w:rsidP="00067067">
            <w:pPr>
              <w:spacing w:line="240" w:lineRule="auto"/>
              <w:rPr>
                <w:rFonts w:cs="Arial"/>
                <w:color w:val="auto"/>
                <w:sz w:val="20"/>
                <w:szCs w:val="20"/>
              </w:rPr>
            </w:pPr>
            <w:r w:rsidRPr="00A9330B">
              <w:rPr>
                <w:rFonts w:cs="Arial"/>
                <w:color w:val="auto"/>
                <w:sz w:val="20"/>
                <w:szCs w:val="20"/>
              </w:rPr>
              <w:t>Nettoyage de site</w:t>
            </w:r>
            <w:r w:rsidRPr="00A9330B">
              <w:rPr>
                <w:rFonts w:cs="Arial"/>
                <w:color w:val="auto"/>
                <w:sz w:val="20"/>
                <w:szCs w:val="20"/>
              </w:rPr>
              <w:br/>
              <w:t>Débroussaillage – Décapage</w:t>
            </w:r>
          </w:p>
          <w:p w14:paraId="6006273C" w14:textId="77777777" w:rsidR="00067067" w:rsidRPr="00A9330B" w:rsidRDefault="00067067" w:rsidP="00067067">
            <w:pPr>
              <w:spacing w:line="240" w:lineRule="auto"/>
              <w:rPr>
                <w:rFonts w:cs="Arial"/>
                <w:color w:val="auto"/>
                <w:sz w:val="20"/>
                <w:szCs w:val="20"/>
              </w:rPr>
            </w:pPr>
            <w:r w:rsidRPr="00A9330B">
              <w:rPr>
                <w:rFonts w:cs="Arial"/>
                <w:color w:val="auto"/>
                <w:sz w:val="20"/>
                <w:szCs w:val="20"/>
              </w:rPr>
              <w:t>Abattage d’arbre</w:t>
            </w:r>
          </w:p>
          <w:p w14:paraId="671C0EB3" w14:textId="77777777" w:rsidR="00067067" w:rsidRPr="00A9330B" w:rsidRDefault="00067067" w:rsidP="00067067">
            <w:pPr>
              <w:spacing w:line="240" w:lineRule="auto"/>
              <w:rPr>
                <w:rFonts w:cs="Arial"/>
                <w:color w:val="auto"/>
                <w:sz w:val="20"/>
                <w:szCs w:val="20"/>
              </w:rPr>
            </w:pPr>
            <w:r w:rsidRPr="00A9330B">
              <w:rPr>
                <w:rFonts w:cs="Arial"/>
                <w:color w:val="auto"/>
                <w:sz w:val="20"/>
                <w:szCs w:val="20"/>
              </w:rPr>
              <w:t>Aménagement de l’aire devant abriter la base vie</w:t>
            </w:r>
          </w:p>
          <w:p w14:paraId="7305EF68" w14:textId="3A6CC411" w:rsidR="00067067" w:rsidRPr="00A9330B" w:rsidRDefault="00067067" w:rsidP="00067067">
            <w:pPr>
              <w:spacing w:line="240" w:lineRule="auto"/>
              <w:rPr>
                <w:rFonts w:cs="Arial"/>
                <w:color w:val="auto"/>
                <w:sz w:val="20"/>
                <w:szCs w:val="20"/>
              </w:rPr>
            </w:pPr>
            <w:r w:rsidRPr="00A9330B">
              <w:rPr>
                <w:rFonts w:cs="Arial"/>
                <w:color w:val="auto"/>
                <w:sz w:val="20"/>
                <w:szCs w:val="20"/>
              </w:rPr>
              <w:t xml:space="preserve">Apport des matériels et équipements de chantier </w:t>
            </w:r>
          </w:p>
        </w:tc>
        <w:tc>
          <w:tcPr>
            <w:tcW w:w="4029" w:type="dxa"/>
          </w:tcPr>
          <w:p w14:paraId="79AA8E3F" w14:textId="7D00DFD8" w:rsidR="00067067" w:rsidRPr="00A9330B" w:rsidRDefault="00067067" w:rsidP="000F7BA7">
            <w:pPr>
              <w:spacing w:line="240" w:lineRule="auto"/>
              <w:jc w:val="both"/>
              <w:rPr>
                <w:rFonts w:cs="Arial"/>
                <w:sz w:val="20"/>
                <w:szCs w:val="20"/>
              </w:rPr>
            </w:pPr>
            <w:r w:rsidRPr="00A9330B">
              <w:rPr>
                <w:rFonts w:cs="Arial"/>
                <w:sz w:val="20"/>
                <w:szCs w:val="20"/>
              </w:rPr>
              <w:t xml:space="preserve">Signalisation de l’entreprise et </w:t>
            </w:r>
            <w:r w:rsidR="007025F6" w:rsidRPr="00A9330B">
              <w:rPr>
                <w:rFonts w:cs="Arial"/>
                <w:sz w:val="20"/>
                <w:szCs w:val="20"/>
              </w:rPr>
              <w:t>sécurisation du</w:t>
            </w:r>
            <w:r w:rsidRPr="00A9330B">
              <w:rPr>
                <w:rFonts w:cs="Arial"/>
                <w:sz w:val="20"/>
                <w:szCs w:val="20"/>
              </w:rPr>
              <w:t xml:space="preserve"> chantier </w:t>
            </w:r>
          </w:p>
          <w:p w14:paraId="1F20116E" w14:textId="13D38344" w:rsidR="00067067" w:rsidRPr="00A9330B" w:rsidRDefault="00067067" w:rsidP="000F7BA7">
            <w:pPr>
              <w:spacing w:line="240" w:lineRule="auto"/>
              <w:jc w:val="both"/>
              <w:rPr>
                <w:rFonts w:cs="Arial"/>
                <w:color w:val="auto"/>
                <w:sz w:val="20"/>
                <w:szCs w:val="20"/>
              </w:rPr>
            </w:pPr>
            <w:r w:rsidRPr="00A9330B">
              <w:rPr>
                <w:rFonts w:cs="Arial"/>
                <w:sz w:val="20"/>
                <w:szCs w:val="20"/>
              </w:rPr>
              <w:t xml:space="preserve">Signalisation routière pour favoriser la fluidité du trafic et </w:t>
            </w:r>
            <w:r w:rsidR="00CD7397" w:rsidRPr="00A9330B">
              <w:rPr>
                <w:rFonts w:cs="Arial"/>
                <w:sz w:val="20"/>
                <w:szCs w:val="20"/>
              </w:rPr>
              <w:t xml:space="preserve">pour </w:t>
            </w:r>
            <w:r w:rsidRPr="00A9330B">
              <w:rPr>
                <w:rFonts w:cs="Arial"/>
                <w:sz w:val="20"/>
                <w:szCs w:val="20"/>
              </w:rPr>
              <w:t>diminuer les gênes aux riverains.</w:t>
            </w:r>
          </w:p>
          <w:p w14:paraId="2C497D42" w14:textId="77777777" w:rsidR="00067067" w:rsidRPr="00A9330B" w:rsidRDefault="00067067" w:rsidP="000F7BA7">
            <w:pPr>
              <w:widowControl w:val="0"/>
              <w:autoSpaceDE w:val="0"/>
              <w:autoSpaceDN w:val="0"/>
              <w:adjustRightInd w:val="0"/>
              <w:spacing w:line="240" w:lineRule="auto"/>
              <w:jc w:val="both"/>
              <w:rPr>
                <w:rFonts w:cs="Arial"/>
                <w:color w:val="auto"/>
                <w:sz w:val="20"/>
                <w:szCs w:val="20"/>
              </w:rPr>
            </w:pPr>
            <w:r w:rsidRPr="00A9330B">
              <w:rPr>
                <w:rFonts w:cs="Arial"/>
                <w:spacing w:val="1"/>
                <w:sz w:val="20"/>
                <w:szCs w:val="20"/>
              </w:rPr>
              <w:t>Travaux géodésiques pour les études techniques</w:t>
            </w:r>
          </w:p>
          <w:p w14:paraId="1A570DB8" w14:textId="77777777" w:rsidR="00067067" w:rsidRPr="00A9330B" w:rsidRDefault="00067067" w:rsidP="000F7BA7">
            <w:pPr>
              <w:widowControl w:val="0"/>
              <w:autoSpaceDE w:val="0"/>
              <w:autoSpaceDN w:val="0"/>
              <w:adjustRightInd w:val="0"/>
              <w:spacing w:line="240" w:lineRule="auto"/>
              <w:jc w:val="both"/>
              <w:rPr>
                <w:rFonts w:cs="Arial"/>
                <w:spacing w:val="1"/>
                <w:sz w:val="20"/>
                <w:szCs w:val="20"/>
              </w:rPr>
            </w:pPr>
            <w:r w:rsidRPr="00A9330B">
              <w:rPr>
                <w:rFonts w:cs="Arial"/>
                <w:spacing w:val="1"/>
                <w:sz w:val="20"/>
                <w:szCs w:val="20"/>
              </w:rPr>
              <w:t xml:space="preserve">Rendre disponible les espaces devant abriter les bases vie de toutes contraintes et obstacles  </w:t>
            </w:r>
          </w:p>
          <w:p w14:paraId="45BE6D41" w14:textId="681918B7" w:rsidR="00067067" w:rsidRPr="00A9330B" w:rsidRDefault="00067067" w:rsidP="000F7BA7">
            <w:pPr>
              <w:widowControl w:val="0"/>
              <w:autoSpaceDE w:val="0"/>
              <w:autoSpaceDN w:val="0"/>
              <w:adjustRightInd w:val="0"/>
              <w:spacing w:line="240" w:lineRule="auto"/>
              <w:jc w:val="both"/>
              <w:rPr>
                <w:rFonts w:cs="Arial"/>
                <w:sz w:val="20"/>
                <w:szCs w:val="20"/>
              </w:rPr>
            </w:pPr>
            <w:r w:rsidRPr="00A9330B">
              <w:rPr>
                <w:rFonts w:cs="Arial"/>
                <w:sz w:val="20"/>
                <w:szCs w:val="20"/>
              </w:rPr>
              <w:t>Mise en place des équipements, matériels et infrastructures devant servir aux travaux de construction.</w:t>
            </w:r>
          </w:p>
        </w:tc>
      </w:tr>
      <w:tr w:rsidR="00067067" w:rsidRPr="00A9330B" w14:paraId="0C01EF71" w14:textId="77777777" w:rsidTr="00E34C13">
        <w:tc>
          <w:tcPr>
            <w:tcW w:w="0" w:type="auto"/>
          </w:tcPr>
          <w:p w14:paraId="351BF638" w14:textId="77777777" w:rsidR="00067067" w:rsidRPr="00A9330B" w:rsidRDefault="00067067" w:rsidP="00067067">
            <w:pPr>
              <w:spacing w:line="240" w:lineRule="auto"/>
              <w:rPr>
                <w:rFonts w:cs="Arial"/>
                <w:color w:val="auto"/>
                <w:sz w:val="20"/>
                <w:szCs w:val="20"/>
              </w:rPr>
            </w:pPr>
          </w:p>
          <w:p w14:paraId="0CC19F55" w14:textId="77777777" w:rsidR="00067067" w:rsidRPr="00A9330B" w:rsidRDefault="00067067" w:rsidP="00067067">
            <w:pPr>
              <w:spacing w:line="240" w:lineRule="auto"/>
              <w:rPr>
                <w:rFonts w:cs="Arial"/>
                <w:color w:val="auto"/>
                <w:sz w:val="20"/>
                <w:szCs w:val="20"/>
              </w:rPr>
            </w:pPr>
            <w:r w:rsidRPr="00A9330B">
              <w:rPr>
                <w:rFonts w:cs="Arial"/>
                <w:color w:val="auto"/>
                <w:sz w:val="20"/>
                <w:szCs w:val="20"/>
              </w:rPr>
              <w:t>Déplacement de réseaux</w:t>
            </w:r>
          </w:p>
        </w:tc>
        <w:tc>
          <w:tcPr>
            <w:tcW w:w="0" w:type="auto"/>
          </w:tcPr>
          <w:p w14:paraId="7B0A4350" w14:textId="77777777" w:rsidR="00067067" w:rsidRPr="00A9330B" w:rsidRDefault="00067067" w:rsidP="00067067">
            <w:pPr>
              <w:spacing w:line="240" w:lineRule="auto"/>
              <w:rPr>
                <w:rFonts w:cs="Arial"/>
                <w:color w:val="auto"/>
                <w:sz w:val="20"/>
                <w:szCs w:val="20"/>
              </w:rPr>
            </w:pPr>
            <w:r w:rsidRPr="00A9330B">
              <w:rPr>
                <w:rFonts w:cs="Arial"/>
                <w:color w:val="auto"/>
                <w:sz w:val="20"/>
                <w:szCs w:val="20"/>
              </w:rPr>
              <w:t xml:space="preserve">Sondage pour reconnaissance de réseaux </w:t>
            </w:r>
          </w:p>
          <w:p w14:paraId="53C5402F" w14:textId="77777777" w:rsidR="00067067" w:rsidRPr="00A9330B" w:rsidRDefault="00067067" w:rsidP="00067067">
            <w:pPr>
              <w:spacing w:line="240" w:lineRule="auto"/>
              <w:rPr>
                <w:rFonts w:cs="Arial"/>
                <w:color w:val="auto"/>
                <w:sz w:val="20"/>
                <w:szCs w:val="20"/>
              </w:rPr>
            </w:pPr>
            <w:r w:rsidRPr="00A9330B">
              <w:rPr>
                <w:rFonts w:cs="Arial"/>
                <w:color w:val="auto"/>
                <w:sz w:val="20"/>
                <w:szCs w:val="20"/>
              </w:rPr>
              <w:t>Déplacement de réseaux exceptionnels</w:t>
            </w:r>
          </w:p>
        </w:tc>
        <w:tc>
          <w:tcPr>
            <w:tcW w:w="4029" w:type="dxa"/>
          </w:tcPr>
          <w:p w14:paraId="513C291C" w14:textId="3B95B0CC" w:rsidR="00067067" w:rsidRPr="00A9330B" w:rsidRDefault="00067067" w:rsidP="000F7BA7">
            <w:pPr>
              <w:spacing w:line="240" w:lineRule="auto"/>
              <w:jc w:val="both"/>
              <w:rPr>
                <w:rFonts w:cs="Arial"/>
                <w:color w:val="auto"/>
                <w:sz w:val="20"/>
                <w:szCs w:val="20"/>
              </w:rPr>
            </w:pPr>
            <w:r w:rsidRPr="00A9330B">
              <w:rPr>
                <w:rFonts w:cs="Arial"/>
                <w:sz w:val="20"/>
                <w:szCs w:val="20"/>
              </w:rPr>
              <w:t>Consiste à déplacer tout le réseau enfoui et aérien (câbles divers appartenant à divers concessionnaires telles que la SBEE, la SONEB, BTI, etc.).</w:t>
            </w:r>
          </w:p>
        </w:tc>
      </w:tr>
      <w:tr w:rsidR="00067067" w:rsidRPr="00A9330B" w14:paraId="43AFB044" w14:textId="77777777" w:rsidTr="00E34C13">
        <w:tc>
          <w:tcPr>
            <w:tcW w:w="0" w:type="auto"/>
          </w:tcPr>
          <w:p w14:paraId="1AB7B467" w14:textId="77777777" w:rsidR="00067067" w:rsidRPr="00A9330B" w:rsidRDefault="00067067" w:rsidP="00067067">
            <w:pPr>
              <w:widowControl w:val="0"/>
              <w:autoSpaceDE w:val="0"/>
              <w:autoSpaceDN w:val="0"/>
              <w:adjustRightInd w:val="0"/>
              <w:spacing w:line="240" w:lineRule="auto"/>
              <w:rPr>
                <w:rFonts w:cs="Arial"/>
                <w:spacing w:val="1"/>
                <w:sz w:val="20"/>
                <w:szCs w:val="20"/>
              </w:rPr>
            </w:pPr>
            <w:r w:rsidRPr="00A9330B">
              <w:rPr>
                <w:rFonts w:cs="Arial"/>
                <w:spacing w:val="1"/>
                <w:sz w:val="20"/>
                <w:szCs w:val="20"/>
              </w:rPr>
              <w:t>Dédommagement  des  populations déplacées</w:t>
            </w:r>
          </w:p>
        </w:tc>
        <w:tc>
          <w:tcPr>
            <w:tcW w:w="0" w:type="auto"/>
          </w:tcPr>
          <w:p w14:paraId="14909C67" w14:textId="77777777" w:rsidR="00067067" w:rsidRPr="00A9330B" w:rsidRDefault="00067067" w:rsidP="00067067">
            <w:pPr>
              <w:widowControl w:val="0"/>
              <w:autoSpaceDE w:val="0"/>
              <w:autoSpaceDN w:val="0"/>
              <w:adjustRightInd w:val="0"/>
              <w:spacing w:line="240" w:lineRule="auto"/>
              <w:rPr>
                <w:rFonts w:cs="Arial"/>
                <w:spacing w:val="1"/>
                <w:sz w:val="20"/>
                <w:szCs w:val="20"/>
              </w:rPr>
            </w:pPr>
            <w:r w:rsidRPr="00A9330B">
              <w:rPr>
                <w:rFonts w:cs="Arial"/>
                <w:spacing w:val="1"/>
                <w:sz w:val="20"/>
                <w:szCs w:val="20"/>
              </w:rPr>
              <w:t>Mettre en œuvre les PAR</w:t>
            </w:r>
          </w:p>
        </w:tc>
        <w:tc>
          <w:tcPr>
            <w:tcW w:w="4029" w:type="dxa"/>
          </w:tcPr>
          <w:p w14:paraId="6DB13E4B" w14:textId="1DD7FDF9" w:rsidR="00067067" w:rsidRPr="00A9330B" w:rsidRDefault="00067067" w:rsidP="000F7BA7">
            <w:pPr>
              <w:widowControl w:val="0"/>
              <w:autoSpaceDE w:val="0"/>
              <w:autoSpaceDN w:val="0"/>
              <w:adjustRightInd w:val="0"/>
              <w:spacing w:line="240" w:lineRule="auto"/>
              <w:jc w:val="both"/>
              <w:rPr>
                <w:rFonts w:cs="Arial"/>
                <w:spacing w:val="1"/>
                <w:sz w:val="20"/>
                <w:szCs w:val="20"/>
              </w:rPr>
            </w:pPr>
            <w:r w:rsidRPr="00A9330B">
              <w:rPr>
                <w:rFonts w:cs="Arial"/>
                <w:spacing w:val="1"/>
                <w:sz w:val="20"/>
                <w:szCs w:val="20"/>
              </w:rPr>
              <w:t xml:space="preserve">Consulter  les  personnes  affectées  par le  projet  (PAP)  et  prendre  en  compte leurs préoccupations </w:t>
            </w:r>
          </w:p>
        </w:tc>
      </w:tr>
      <w:tr w:rsidR="00067067" w:rsidRPr="00A9330B" w14:paraId="27C35725" w14:textId="77777777" w:rsidTr="00E34C13">
        <w:tc>
          <w:tcPr>
            <w:tcW w:w="0" w:type="auto"/>
          </w:tcPr>
          <w:p w14:paraId="0986E508" w14:textId="77777777" w:rsidR="00067067" w:rsidRPr="00A9330B" w:rsidRDefault="00067067" w:rsidP="00067067">
            <w:pPr>
              <w:spacing w:line="240" w:lineRule="auto"/>
              <w:rPr>
                <w:rFonts w:cs="Arial"/>
                <w:color w:val="auto"/>
                <w:sz w:val="20"/>
                <w:szCs w:val="20"/>
              </w:rPr>
            </w:pPr>
          </w:p>
          <w:p w14:paraId="170D1AD5" w14:textId="77777777" w:rsidR="00067067" w:rsidRPr="00A9330B" w:rsidRDefault="00067067" w:rsidP="00067067">
            <w:pPr>
              <w:spacing w:line="240" w:lineRule="auto"/>
              <w:rPr>
                <w:rFonts w:cs="Arial"/>
                <w:color w:val="auto"/>
                <w:sz w:val="20"/>
                <w:szCs w:val="20"/>
              </w:rPr>
            </w:pPr>
            <w:r w:rsidRPr="00A9330B">
              <w:rPr>
                <w:rFonts w:cs="Arial"/>
                <w:color w:val="auto"/>
                <w:sz w:val="20"/>
                <w:szCs w:val="20"/>
              </w:rPr>
              <w:t xml:space="preserve">Libération des emprises </w:t>
            </w:r>
          </w:p>
        </w:tc>
        <w:tc>
          <w:tcPr>
            <w:tcW w:w="0" w:type="auto"/>
          </w:tcPr>
          <w:p w14:paraId="6CCB1652" w14:textId="77777777" w:rsidR="00067067" w:rsidRPr="00A9330B" w:rsidRDefault="00067067" w:rsidP="00067067">
            <w:pPr>
              <w:spacing w:line="240" w:lineRule="auto"/>
              <w:rPr>
                <w:rFonts w:cs="Arial"/>
                <w:color w:val="auto"/>
                <w:sz w:val="20"/>
              </w:rPr>
            </w:pPr>
            <w:r w:rsidRPr="00A9330B">
              <w:rPr>
                <w:rFonts w:cs="Arial"/>
                <w:color w:val="auto"/>
                <w:sz w:val="20"/>
              </w:rPr>
              <w:t>Déplacement des installations, biens et activités présents dans l’emprise</w:t>
            </w:r>
          </w:p>
          <w:p w14:paraId="462449CA" w14:textId="77777777" w:rsidR="00067067" w:rsidRPr="00A9330B" w:rsidRDefault="00067067" w:rsidP="00067067">
            <w:pPr>
              <w:spacing w:line="240" w:lineRule="auto"/>
              <w:rPr>
                <w:rFonts w:cs="Arial"/>
                <w:color w:val="auto"/>
                <w:sz w:val="20"/>
                <w:lang w:eastAsia="fr-FR"/>
              </w:rPr>
            </w:pPr>
            <w:r w:rsidRPr="00A9330B">
              <w:rPr>
                <w:rFonts w:cs="Arial"/>
                <w:color w:val="auto"/>
                <w:sz w:val="20"/>
                <w:lang w:eastAsia="fr-FR"/>
              </w:rPr>
              <w:t>Déplacement de réseaux</w:t>
            </w:r>
          </w:p>
          <w:p w14:paraId="792FA9EA" w14:textId="77777777" w:rsidR="00067067" w:rsidRPr="00A9330B" w:rsidRDefault="00067067" w:rsidP="00067067">
            <w:pPr>
              <w:spacing w:line="240" w:lineRule="auto"/>
              <w:rPr>
                <w:rFonts w:cs="Arial"/>
                <w:color w:val="auto"/>
                <w:sz w:val="20"/>
                <w:lang w:eastAsia="fr-FR"/>
              </w:rPr>
            </w:pPr>
            <w:r w:rsidRPr="00A9330B">
              <w:rPr>
                <w:rFonts w:cs="Arial"/>
                <w:color w:val="auto"/>
                <w:sz w:val="20"/>
                <w:lang w:eastAsia="fr-FR"/>
              </w:rPr>
              <w:t>Abattage d’arbres</w:t>
            </w:r>
          </w:p>
          <w:p w14:paraId="3496668D" w14:textId="77777777" w:rsidR="00067067" w:rsidRPr="00A9330B" w:rsidRDefault="00067067" w:rsidP="00067067">
            <w:pPr>
              <w:spacing w:line="240" w:lineRule="auto"/>
              <w:rPr>
                <w:rFonts w:cs="Arial"/>
                <w:color w:val="auto"/>
                <w:sz w:val="20"/>
                <w:lang w:eastAsia="fr-FR"/>
              </w:rPr>
            </w:pPr>
            <w:r w:rsidRPr="00A9330B">
              <w:rPr>
                <w:rFonts w:cs="Arial"/>
                <w:color w:val="auto"/>
                <w:sz w:val="20"/>
                <w:lang w:eastAsia="fr-FR"/>
              </w:rPr>
              <w:t>Destruction de plantations</w:t>
            </w:r>
          </w:p>
          <w:p w14:paraId="08E90279" w14:textId="77777777" w:rsidR="00067067" w:rsidRPr="00A9330B" w:rsidRDefault="00067067" w:rsidP="00067067">
            <w:pPr>
              <w:spacing w:line="240" w:lineRule="auto"/>
              <w:rPr>
                <w:rFonts w:cs="Arial"/>
                <w:color w:val="auto"/>
                <w:sz w:val="20"/>
                <w:lang w:eastAsia="fr-FR"/>
              </w:rPr>
            </w:pPr>
            <w:r w:rsidRPr="00A9330B">
              <w:rPr>
                <w:rFonts w:cs="Arial"/>
                <w:color w:val="auto"/>
                <w:sz w:val="20"/>
                <w:lang w:eastAsia="fr-FR"/>
              </w:rPr>
              <w:t>Démolition ou déplacement d’équipement</w:t>
            </w:r>
          </w:p>
          <w:p w14:paraId="6E1087DD" w14:textId="77777777" w:rsidR="00067067" w:rsidRPr="00A9330B" w:rsidRDefault="00067067" w:rsidP="00067067">
            <w:pPr>
              <w:spacing w:line="240" w:lineRule="auto"/>
              <w:rPr>
                <w:rFonts w:eastAsia="Times New Roman" w:cs="Arial"/>
                <w:color w:val="auto"/>
                <w:sz w:val="20"/>
                <w:szCs w:val="20"/>
                <w:lang w:eastAsia="fr-FR"/>
              </w:rPr>
            </w:pPr>
            <w:r w:rsidRPr="00A9330B">
              <w:rPr>
                <w:rFonts w:eastAsia="Times New Roman" w:cs="Arial"/>
                <w:color w:val="auto"/>
                <w:sz w:val="20"/>
                <w:szCs w:val="20"/>
                <w:lang w:eastAsia="fr-FR"/>
              </w:rPr>
              <w:t xml:space="preserve">Démolition des infrastructures et bâtiments susceptibles de déranger les travaux </w:t>
            </w:r>
          </w:p>
        </w:tc>
        <w:tc>
          <w:tcPr>
            <w:tcW w:w="4029" w:type="dxa"/>
          </w:tcPr>
          <w:p w14:paraId="0B391410" w14:textId="77777777" w:rsidR="00067067" w:rsidRPr="00A9330B" w:rsidRDefault="00067067" w:rsidP="000F7BA7">
            <w:pPr>
              <w:spacing w:line="240" w:lineRule="auto"/>
              <w:jc w:val="both"/>
              <w:rPr>
                <w:rFonts w:cs="Arial"/>
                <w:color w:val="auto"/>
                <w:sz w:val="20"/>
                <w:szCs w:val="20"/>
              </w:rPr>
            </w:pPr>
            <w:r w:rsidRPr="00A9330B">
              <w:rPr>
                <w:rFonts w:cs="Arial"/>
                <w:spacing w:val="1"/>
                <w:sz w:val="20"/>
                <w:szCs w:val="20"/>
              </w:rPr>
              <w:t xml:space="preserve">Rendre disponible les espaces à aménager de toutes contraintes et obstacles  </w:t>
            </w:r>
          </w:p>
        </w:tc>
      </w:tr>
      <w:tr w:rsidR="00067067" w:rsidRPr="00A9330B" w14:paraId="234AA108" w14:textId="77777777" w:rsidTr="00E34C13">
        <w:tc>
          <w:tcPr>
            <w:tcW w:w="0" w:type="auto"/>
          </w:tcPr>
          <w:p w14:paraId="03C082F2" w14:textId="77777777" w:rsidR="00067067" w:rsidRPr="00A9330B" w:rsidRDefault="00067067" w:rsidP="00067067">
            <w:pPr>
              <w:widowControl w:val="0"/>
              <w:tabs>
                <w:tab w:val="left" w:pos="426"/>
                <w:tab w:val="left" w:pos="851"/>
                <w:tab w:val="left" w:pos="1134"/>
              </w:tabs>
              <w:overflowPunct w:val="0"/>
              <w:autoSpaceDE w:val="0"/>
              <w:autoSpaceDN w:val="0"/>
              <w:adjustRightInd w:val="0"/>
              <w:spacing w:line="240" w:lineRule="auto"/>
              <w:textAlignment w:val="baseline"/>
              <w:rPr>
                <w:rFonts w:eastAsia="Times New Roman" w:cs="Arial"/>
                <w:color w:val="auto"/>
                <w:sz w:val="20"/>
                <w:szCs w:val="20"/>
                <w:lang w:eastAsia="fr-FR"/>
              </w:rPr>
            </w:pPr>
          </w:p>
          <w:p w14:paraId="0B6C2D6C" w14:textId="77777777" w:rsidR="00067067" w:rsidRPr="00A9330B" w:rsidRDefault="00067067" w:rsidP="00067067">
            <w:pPr>
              <w:widowControl w:val="0"/>
              <w:tabs>
                <w:tab w:val="left" w:pos="426"/>
                <w:tab w:val="left" w:pos="851"/>
                <w:tab w:val="left" w:pos="1134"/>
              </w:tabs>
              <w:overflowPunct w:val="0"/>
              <w:autoSpaceDE w:val="0"/>
              <w:autoSpaceDN w:val="0"/>
              <w:adjustRightInd w:val="0"/>
              <w:spacing w:line="240" w:lineRule="auto"/>
              <w:textAlignment w:val="baseline"/>
              <w:rPr>
                <w:rFonts w:eastAsia="Times New Roman" w:cs="Arial"/>
                <w:color w:val="auto"/>
                <w:sz w:val="20"/>
                <w:szCs w:val="20"/>
                <w:lang w:eastAsia="fr-FR"/>
              </w:rPr>
            </w:pPr>
            <w:r w:rsidRPr="00A9330B">
              <w:rPr>
                <w:rFonts w:eastAsia="Times New Roman" w:cs="Arial"/>
                <w:color w:val="auto"/>
                <w:sz w:val="20"/>
                <w:szCs w:val="20"/>
                <w:lang w:eastAsia="fr-FR"/>
              </w:rPr>
              <w:t xml:space="preserve">Aménagement des déviations </w:t>
            </w:r>
          </w:p>
        </w:tc>
        <w:tc>
          <w:tcPr>
            <w:tcW w:w="0" w:type="auto"/>
          </w:tcPr>
          <w:p w14:paraId="501741DB" w14:textId="77777777" w:rsidR="00067067" w:rsidRPr="00A9330B" w:rsidRDefault="00067067" w:rsidP="00067067">
            <w:pPr>
              <w:spacing w:line="240" w:lineRule="auto"/>
              <w:rPr>
                <w:rFonts w:cs="Arial"/>
                <w:color w:val="auto"/>
                <w:sz w:val="20"/>
              </w:rPr>
            </w:pPr>
            <w:r w:rsidRPr="00A9330B">
              <w:rPr>
                <w:rFonts w:cs="Arial"/>
                <w:color w:val="auto"/>
                <w:sz w:val="20"/>
              </w:rPr>
              <w:t>Nettoyage des sites</w:t>
            </w:r>
          </w:p>
          <w:p w14:paraId="27463C30" w14:textId="77777777" w:rsidR="00067067" w:rsidRPr="00A9330B" w:rsidRDefault="00067067" w:rsidP="00067067">
            <w:pPr>
              <w:spacing w:line="240" w:lineRule="auto"/>
              <w:rPr>
                <w:rFonts w:cs="Arial"/>
                <w:color w:val="auto"/>
                <w:sz w:val="20"/>
              </w:rPr>
            </w:pPr>
            <w:r w:rsidRPr="00A9330B">
              <w:rPr>
                <w:rFonts w:cs="Arial"/>
                <w:color w:val="auto"/>
                <w:sz w:val="20"/>
              </w:rPr>
              <w:t>Débroussaillage – Décapage</w:t>
            </w:r>
          </w:p>
          <w:p w14:paraId="4C7FB7CE" w14:textId="77777777" w:rsidR="00067067" w:rsidRPr="00A9330B" w:rsidRDefault="00067067" w:rsidP="00067067">
            <w:pPr>
              <w:spacing w:line="240" w:lineRule="auto"/>
              <w:rPr>
                <w:rFonts w:cs="Arial"/>
                <w:spacing w:val="-1"/>
                <w:sz w:val="20"/>
              </w:rPr>
            </w:pPr>
            <w:r w:rsidRPr="00A9330B">
              <w:rPr>
                <w:rFonts w:cs="Arial"/>
                <w:color w:val="auto"/>
                <w:sz w:val="20"/>
              </w:rPr>
              <w:t>Profilage des déviations</w:t>
            </w:r>
            <w:r w:rsidRPr="00A9330B">
              <w:rPr>
                <w:rFonts w:cs="Arial"/>
                <w:spacing w:val="-1"/>
                <w:sz w:val="20"/>
              </w:rPr>
              <w:t xml:space="preserve"> </w:t>
            </w:r>
          </w:p>
          <w:p w14:paraId="5ABB46C8" w14:textId="77777777" w:rsidR="00067067" w:rsidRPr="00A9330B" w:rsidRDefault="00067067" w:rsidP="00067067">
            <w:pPr>
              <w:spacing w:line="240" w:lineRule="auto"/>
              <w:rPr>
                <w:rFonts w:cs="Arial"/>
                <w:color w:val="auto"/>
                <w:sz w:val="20"/>
              </w:rPr>
            </w:pPr>
            <w:r w:rsidRPr="00A9330B">
              <w:rPr>
                <w:rFonts w:cs="Arial"/>
                <w:spacing w:val="-1"/>
                <w:sz w:val="20"/>
              </w:rPr>
              <w:t>Entretien courant de la déviation</w:t>
            </w:r>
          </w:p>
        </w:tc>
        <w:tc>
          <w:tcPr>
            <w:tcW w:w="4029" w:type="dxa"/>
          </w:tcPr>
          <w:p w14:paraId="5D97448A" w14:textId="77777777" w:rsidR="00067067" w:rsidRPr="00A9330B" w:rsidRDefault="00067067" w:rsidP="000F7BA7">
            <w:pPr>
              <w:spacing w:line="240" w:lineRule="auto"/>
              <w:jc w:val="both"/>
              <w:rPr>
                <w:rFonts w:cs="Arial"/>
                <w:color w:val="auto"/>
                <w:sz w:val="20"/>
                <w:szCs w:val="20"/>
              </w:rPr>
            </w:pPr>
            <w:r w:rsidRPr="00A9330B">
              <w:rPr>
                <w:rFonts w:cs="Arial"/>
                <w:color w:val="auto"/>
                <w:sz w:val="20"/>
                <w:szCs w:val="20"/>
              </w:rPr>
              <w:t xml:space="preserve">Pour faciliter la circulation des personnes et des biens malgré les travaux </w:t>
            </w:r>
          </w:p>
          <w:p w14:paraId="0F2D52D4" w14:textId="77777777" w:rsidR="00067067" w:rsidRPr="00A9330B" w:rsidRDefault="00067067" w:rsidP="000F7BA7">
            <w:pPr>
              <w:spacing w:line="240" w:lineRule="auto"/>
              <w:jc w:val="both"/>
              <w:rPr>
                <w:rFonts w:cs="Arial"/>
                <w:spacing w:val="-1"/>
                <w:sz w:val="20"/>
                <w:szCs w:val="20"/>
              </w:rPr>
            </w:pPr>
            <w:r w:rsidRPr="00A9330B">
              <w:rPr>
                <w:rFonts w:cs="Arial"/>
                <w:spacing w:val="-1"/>
                <w:sz w:val="20"/>
                <w:szCs w:val="20"/>
              </w:rPr>
              <w:t xml:space="preserve">Isoler des zones sujettes d’aménagement pendant les travaux, </w:t>
            </w:r>
          </w:p>
          <w:p w14:paraId="58CF49AF" w14:textId="34DE59A6" w:rsidR="00067067" w:rsidRPr="00A9330B" w:rsidRDefault="00067067" w:rsidP="000F7BA7">
            <w:pPr>
              <w:spacing w:line="240" w:lineRule="auto"/>
              <w:jc w:val="both"/>
              <w:rPr>
                <w:rFonts w:cs="Arial"/>
                <w:color w:val="auto"/>
                <w:sz w:val="20"/>
                <w:szCs w:val="20"/>
              </w:rPr>
            </w:pPr>
            <w:r w:rsidRPr="00A9330B">
              <w:rPr>
                <w:rFonts w:cs="Arial"/>
                <w:spacing w:val="-1"/>
                <w:sz w:val="20"/>
                <w:szCs w:val="20"/>
              </w:rPr>
              <w:t xml:space="preserve">Aménager des voies mitoyennes ouvertes ou aménagées pour le déplacement des personnes et des biens. </w:t>
            </w:r>
          </w:p>
        </w:tc>
      </w:tr>
      <w:tr w:rsidR="00067067" w:rsidRPr="00A9330B" w14:paraId="5885B02F" w14:textId="77777777" w:rsidTr="00E34C13">
        <w:tc>
          <w:tcPr>
            <w:tcW w:w="0" w:type="auto"/>
          </w:tcPr>
          <w:p w14:paraId="70A40B86" w14:textId="77777777" w:rsidR="00067067" w:rsidRPr="00A9330B" w:rsidRDefault="00067067" w:rsidP="00067067">
            <w:pPr>
              <w:widowControl w:val="0"/>
              <w:autoSpaceDE w:val="0"/>
              <w:autoSpaceDN w:val="0"/>
              <w:adjustRightInd w:val="0"/>
              <w:spacing w:line="240" w:lineRule="auto"/>
              <w:ind w:left="44"/>
              <w:rPr>
                <w:rFonts w:cs="Arial"/>
                <w:sz w:val="20"/>
                <w:szCs w:val="20"/>
              </w:rPr>
            </w:pPr>
            <w:r w:rsidRPr="00A9330B">
              <w:rPr>
                <w:rFonts w:cs="Arial"/>
                <w:spacing w:val="-1"/>
                <w:sz w:val="20"/>
                <w:szCs w:val="20"/>
              </w:rPr>
              <w:t xml:space="preserve"> Ges</w:t>
            </w:r>
            <w:r w:rsidRPr="00A9330B">
              <w:rPr>
                <w:rFonts w:cs="Arial"/>
                <w:sz w:val="20"/>
                <w:szCs w:val="20"/>
              </w:rPr>
              <w:t>t</w:t>
            </w:r>
            <w:r w:rsidRPr="00A9330B">
              <w:rPr>
                <w:rFonts w:cs="Arial"/>
                <w:spacing w:val="-1"/>
                <w:sz w:val="20"/>
                <w:szCs w:val="20"/>
              </w:rPr>
              <w:t>i</w:t>
            </w:r>
            <w:r w:rsidRPr="00A9330B">
              <w:rPr>
                <w:rFonts w:cs="Arial"/>
                <w:spacing w:val="1"/>
                <w:sz w:val="20"/>
                <w:szCs w:val="20"/>
              </w:rPr>
              <w:t>o</w:t>
            </w:r>
            <w:r w:rsidRPr="00A9330B">
              <w:rPr>
                <w:rFonts w:cs="Arial"/>
                <w:sz w:val="20"/>
                <w:szCs w:val="20"/>
              </w:rPr>
              <w:t>n</w:t>
            </w:r>
            <w:r w:rsidRPr="00A9330B">
              <w:rPr>
                <w:rFonts w:cs="Arial"/>
                <w:spacing w:val="1"/>
                <w:sz w:val="20"/>
                <w:szCs w:val="20"/>
              </w:rPr>
              <w:t xml:space="preserve"> </w:t>
            </w:r>
            <w:r w:rsidRPr="00A9330B">
              <w:rPr>
                <w:rFonts w:cs="Arial"/>
                <w:spacing w:val="-1"/>
                <w:sz w:val="20"/>
                <w:szCs w:val="20"/>
              </w:rPr>
              <w:t>de la base vie de</w:t>
            </w:r>
            <w:r w:rsidRPr="00A9330B">
              <w:rPr>
                <w:rFonts w:cs="Arial"/>
                <w:sz w:val="20"/>
                <w:szCs w:val="20"/>
              </w:rPr>
              <w:t xml:space="preserve"> </w:t>
            </w:r>
            <w:r w:rsidRPr="00A9330B">
              <w:rPr>
                <w:rFonts w:cs="Arial"/>
                <w:spacing w:val="-1"/>
                <w:sz w:val="20"/>
                <w:szCs w:val="20"/>
              </w:rPr>
              <w:t>l</w:t>
            </w:r>
            <w:r w:rsidRPr="00A9330B">
              <w:rPr>
                <w:rFonts w:cs="Arial"/>
                <w:sz w:val="20"/>
                <w:szCs w:val="20"/>
              </w:rPr>
              <w:t>’</w:t>
            </w:r>
            <w:r w:rsidRPr="00A9330B">
              <w:rPr>
                <w:rFonts w:cs="Arial"/>
                <w:spacing w:val="-1"/>
                <w:sz w:val="20"/>
                <w:szCs w:val="20"/>
              </w:rPr>
              <w:t>en</w:t>
            </w:r>
            <w:r w:rsidRPr="00A9330B">
              <w:rPr>
                <w:rFonts w:cs="Arial"/>
                <w:sz w:val="20"/>
                <w:szCs w:val="20"/>
              </w:rPr>
              <w:t>t</w:t>
            </w:r>
            <w:r w:rsidRPr="00A9330B">
              <w:rPr>
                <w:rFonts w:cs="Arial"/>
                <w:spacing w:val="-1"/>
                <w:sz w:val="20"/>
                <w:szCs w:val="20"/>
              </w:rPr>
              <w:t>r</w:t>
            </w:r>
            <w:r w:rsidRPr="00A9330B">
              <w:rPr>
                <w:rFonts w:cs="Arial"/>
                <w:spacing w:val="1"/>
                <w:sz w:val="20"/>
                <w:szCs w:val="20"/>
              </w:rPr>
              <w:t>e</w:t>
            </w:r>
            <w:r w:rsidRPr="00A9330B">
              <w:rPr>
                <w:rFonts w:cs="Arial"/>
                <w:spacing w:val="-1"/>
                <w:sz w:val="20"/>
                <w:szCs w:val="20"/>
              </w:rPr>
              <w:t>p</w:t>
            </w:r>
            <w:r w:rsidRPr="00A9330B">
              <w:rPr>
                <w:rFonts w:cs="Arial"/>
                <w:sz w:val="20"/>
                <w:szCs w:val="20"/>
              </w:rPr>
              <w:t>r</w:t>
            </w:r>
            <w:r w:rsidRPr="00A9330B">
              <w:rPr>
                <w:rFonts w:cs="Arial"/>
                <w:spacing w:val="-1"/>
                <w:sz w:val="20"/>
                <w:szCs w:val="20"/>
              </w:rPr>
              <w:t>i</w:t>
            </w:r>
            <w:r w:rsidRPr="00A9330B">
              <w:rPr>
                <w:rFonts w:cs="Arial"/>
                <w:spacing w:val="1"/>
                <w:sz w:val="20"/>
                <w:szCs w:val="20"/>
              </w:rPr>
              <w:t>s</w:t>
            </w:r>
            <w:r w:rsidRPr="00A9330B">
              <w:rPr>
                <w:rFonts w:cs="Arial"/>
                <w:sz w:val="20"/>
                <w:szCs w:val="20"/>
              </w:rPr>
              <w:t xml:space="preserve">e </w:t>
            </w:r>
          </w:p>
        </w:tc>
        <w:tc>
          <w:tcPr>
            <w:tcW w:w="0" w:type="auto"/>
          </w:tcPr>
          <w:p w14:paraId="605B0CFD" w14:textId="77777777" w:rsidR="00067067" w:rsidRPr="00A9330B" w:rsidRDefault="00067067" w:rsidP="00067067">
            <w:pPr>
              <w:widowControl w:val="0"/>
              <w:overflowPunct w:val="0"/>
              <w:autoSpaceDE w:val="0"/>
              <w:autoSpaceDN w:val="0"/>
              <w:adjustRightInd w:val="0"/>
              <w:spacing w:line="240" w:lineRule="auto"/>
              <w:rPr>
                <w:rFonts w:eastAsia="Times New Roman" w:cs="Arial"/>
                <w:spacing w:val="-1"/>
                <w:sz w:val="20"/>
                <w:szCs w:val="20"/>
                <w:lang w:eastAsia="de-DE"/>
              </w:rPr>
            </w:pPr>
            <w:r w:rsidRPr="00A9330B">
              <w:rPr>
                <w:rFonts w:eastAsia="Times New Roman" w:cs="Arial"/>
                <w:spacing w:val="-1"/>
                <w:sz w:val="20"/>
                <w:szCs w:val="20"/>
                <w:lang w:eastAsia="de-DE"/>
              </w:rPr>
              <w:t xml:space="preserve">Signalisation </w:t>
            </w:r>
          </w:p>
          <w:p w14:paraId="200E2E4A" w14:textId="7933C624" w:rsidR="00067067" w:rsidRPr="00A9330B" w:rsidRDefault="00067067" w:rsidP="00067067">
            <w:pPr>
              <w:widowControl w:val="0"/>
              <w:overflowPunct w:val="0"/>
              <w:autoSpaceDE w:val="0"/>
              <w:autoSpaceDN w:val="0"/>
              <w:adjustRightInd w:val="0"/>
              <w:spacing w:line="240" w:lineRule="auto"/>
              <w:rPr>
                <w:rFonts w:eastAsia="Times New Roman" w:cs="Arial"/>
                <w:spacing w:val="-1"/>
                <w:sz w:val="20"/>
                <w:szCs w:val="20"/>
                <w:lang w:eastAsia="de-DE"/>
              </w:rPr>
            </w:pPr>
            <w:r w:rsidRPr="00A9330B">
              <w:rPr>
                <w:rFonts w:eastAsia="Times New Roman" w:cs="Arial"/>
                <w:spacing w:val="-1"/>
                <w:sz w:val="20"/>
                <w:szCs w:val="20"/>
                <w:lang w:eastAsia="de-DE"/>
              </w:rPr>
              <w:t xml:space="preserve">Identification des ateliers et aires de travail </w:t>
            </w:r>
          </w:p>
          <w:p w14:paraId="5B128155" w14:textId="77777777" w:rsidR="00067067" w:rsidRPr="00A9330B" w:rsidRDefault="00067067" w:rsidP="00067067">
            <w:pPr>
              <w:widowControl w:val="0"/>
              <w:overflowPunct w:val="0"/>
              <w:autoSpaceDE w:val="0"/>
              <w:autoSpaceDN w:val="0"/>
              <w:adjustRightInd w:val="0"/>
              <w:spacing w:line="240" w:lineRule="auto"/>
              <w:rPr>
                <w:rFonts w:eastAsia="Times New Roman" w:cs="Arial"/>
                <w:spacing w:val="-1"/>
                <w:sz w:val="20"/>
                <w:szCs w:val="20"/>
                <w:lang w:eastAsia="de-DE"/>
              </w:rPr>
            </w:pPr>
            <w:r w:rsidRPr="00A9330B">
              <w:rPr>
                <w:rFonts w:eastAsia="Times New Roman" w:cs="Arial"/>
                <w:spacing w:val="-1"/>
                <w:sz w:val="20"/>
                <w:szCs w:val="20"/>
                <w:lang w:eastAsia="de-DE"/>
              </w:rPr>
              <w:t xml:space="preserve">Plan de circulation </w:t>
            </w:r>
          </w:p>
          <w:p w14:paraId="6FF87969" w14:textId="77777777" w:rsidR="00067067" w:rsidRPr="00A9330B" w:rsidRDefault="00067067" w:rsidP="00067067">
            <w:pPr>
              <w:widowControl w:val="0"/>
              <w:overflowPunct w:val="0"/>
              <w:autoSpaceDE w:val="0"/>
              <w:autoSpaceDN w:val="0"/>
              <w:adjustRightInd w:val="0"/>
              <w:spacing w:line="240" w:lineRule="auto"/>
              <w:rPr>
                <w:rFonts w:eastAsia="Times New Roman" w:cs="Arial"/>
                <w:spacing w:val="-1"/>
                <w:sz w:val="20"/>
                <w:szCs w:val="20"/>
                <w:lang w:eastAsia="de-DE"/>
              </w:rPr>
            </w:pPr>
            <w:r w:rsidRPr="00A9330B">
              <w:rPr>
                <w:rFonts w:eastAsia="Times New Roman" w:cs="Arial"/>
                <w:spacing w:val="-1"/>
                <w:sz w:val="20"/>
                <w:szCs w:val="20"/>
                <w:lang w:eastAsia="de-DE"/>
              </w:rPr>
              <w:t xml:space="preserve">Collecte des déchets </w:t>
            </w:r>
          </w:p>
        </w:tc>
        <w:tc>
          <w:tcPr>
            <w:tcW w:w="4029" w:type="dxa"/>
          </w:tcPr>
          <w:p w14:paraId="2A56A1B0" w14:textId="77777777" w:rsidR="00067067" w:rsidRPr="00A9330B" w:rsidRDefault="00067067" w:rsidP="000F7BA7">
            <w:pPr>
              <w:spacing w:line="240" w:lineRule="auto"/>
              <w:jc w:val="both"/>
              <w:rPr>
                <w:rFonts w:cs="Arial"/>
                <w:spacing w:val="1"/>
                <w:sz w:val="20"/>
                <w:szCs w:val="20"/>
              </w:rPr>
            </w:pPr>
            <w:r w:rsidRPr="00A9330B">
              <w:rPr>
                <w:rFonts w:eastAsia="Times New Roman" w:cs="Arial"/>
                <w:sz w:val="20"/>
                <w:szCs w:val="20"/>
                <w:lang w:eastAsia="fr-FR"/>
              </w:rPr>
              <w:t>Les bases-vies sont installées dans des espaces urbains publics ou privés libres qui seront pris en location par les entreprises. Il n’y aura pas de déboisements spécifiques à ces espaces.</w:t>
            </w:r>
          </w:p>
        </w:tc>
      </w:tr>
      <w:tr w:rsidR="00067067" w:rsidRPr="00A9330B" w14:paraId="2FA48417" w14:textId="77777777" w:rsidTr="00E34C13">
        <w:tc>
          <w:tcPr>
            <w:tcW w:w="0" w:type="auto"/>
          </w:tcPr>
          <w:p w14:paraId="680693BD" w14:textId="77777777" w:rsidR="00067067" w:rsidRPr="00A9330B" w:rsidRDefault="00067067" w:rsidP="00067067">
            <w:pPr>
              <w:widowControl w:val="0"/>
              <w:autoSpaceDE w:val="0"/>
              <w:autoSpaceDN w:val="0"/>
              <w:adjustRightInd w:val="0"/>
              <w:spacing w:line="240" w:lineRule="auto"/>
              <w:ind w:left="44"/>
              <w:rPr>
                <w:rFonts w:cs="Arial"/>
                <w:spacing w:val="-1"/>
                <w:sz w:val="20"/>
                <w:szCs w:val="20"/>
              </w:rPr>
            </w:pPr>
            <w:r w:rsidRPr="00A9330B">
              <w:rPr>
                <w:rFonts w:cs="Arial"/>
                <w:spacing w:val="-1"/>
                <w:sz w:val="20"/>
                <w:szCs w:val="20"/>
              </w:rPr>
              <w:t>Gestion des déchets de chantiers (solides et liquides)</w:t>
            </w:r>
          </w:p>
        </w:tc>
        <w:tc>
          <w:tcPr>
            <w:tcW w:w="0" w:type="auto"/>
          </w:tcPr>
          <w:p w14:paraId="5F5EB3A4" w14:textId="77777777" w:rsidR="00067067" w:rsidRPr="00A9330B" w:rsidRDefault="00067067" w:rsidP="00067067">
            <w:pPr>
              <w:widowControl w:val="0"/>
              <w:spacing w:line="240" w:lineRule="auto"/>
              <w:rPr>
                <w:rFonts w:cs="Arial"/>
                <w:spacing w:val="-1"/>
                <w:sz w:val="20"/>
              </w:rPr>
            </w:pPr>
          </w:p>
        </w:tc>
        <w:tc>
          <w:tcPr>
            <w:tcW w:w="4029" w:type="dxa"/>
          </w:tcPr>
          <w:p w14:paraId="4F1E8FB1" w14:textId="0C3F5CE4" w:rsidR="00067067" w:rsidRPr="00A9330B" w:rsidRDefault="00067067" w:rsidP="000F7BA7">
            <w:pPr>
              <w:widowControl w:val="0"/>
              <w:autoSpaceDE w:val="0"/>
              <w:autoSpaceDN w:val="0"/>
              <w:adjustRightInd w:val="0"/>
              <w:spacing w:line="240" w:lineRule="auto"/>
              <w:jc w:val="both"/>
              <w:rPr>
                <w:rFonts w:cs="Arial"/>
                <w:spacing w:val="-1"/>
                <w:sz w:val="20"/>
                <w:szCs w:val="20"/>
              </w:rPr>
            </w:pPr>
            <w:r w:rsidRPr="00A9330B">
              <w:rPr>
                <w:rFonts w:cs="Arial"/>
                <w:spacing w:val="-1"/>
                <w:sz w:val="20"/>
                <w:szCs w:val="20"/>
              </w:rPr>
              <w:t>Les travaux divers sur les bases-vie génèreront des déchets solides et liquides qui méritent une attention particulière pendant les travaux.</w:t>
            </w:r>
          </w:p>
          <w:p w14:paraId="627B4F77" w14:textId="77777777" w:rsidR="00067067" w:rsidRPr="00A9330B" w:rsidRDefault="00067067" w:rsidP="000F7BA7">
            <w:pPr>
              <w:spacing w:line="240" w:lineRule="auto"/>
              <w:jc w:val="both"/>
              <w:rPr>
                <w:rFonts w:cs="Arial"/>
                <w:spacing w:val="1"/>
                <w:sz w:val="20"/>
                <w:szCs w:val="20"/>
              </w:rPr>
            </w:pPr>
            <w:r w:rsidRPr="00A9330B">
              <w:rPr>
                <w:rFonts w:cs="Arial"/>
                <w:spacing w:val="-1"/>
                <w:sz w:val="20"/>
                <w:szCs w:val="20"/>
              </w:rPr>
              <w:t>Il s’agit aussi des déchets issus des travaux de maçonnerie, de ferraillage, de l’infirmerie, de menuiserie, etc.</w:t>
            </w:r>
          </w:p>
        </w:tc>
      </w:tr>
    </w:tbl>
    <w:p w14:paraId="309AA15E" w14:textId="103A9041" w:rsidR="00401546" w:rsidRPr="00A9330B" w:rsidRDefault="00401546" w:rsidP="0064324E">
      <w:pPr>
        <w:pStyle w:val="Titre40"/>
      </w:pPr>
      <w:bookmarkStart w:id="941" w:name="_Toc43697663"/>
      <w:bookmarkStart w:id="942" w:name="_Toc45520867"/>
      <w:bookmarkStart w:id="943" w:name="_Toc52869667"/>
      <w:r w:rsidRPr="00A9330B">
        <w:t xml:space="preserve">6.2.2.2.  Phase des </w:t>
      </w:r>
      <w:r w:rsidR="00430D7D" w:rsidRPr="00A9330B">
        <w:t>aménagements (</w:t>
      </w:r>
      <w:r w:rsidR="00DA7A72" w:rsidRPr="00A9330B">
        <w:t>T</w:t>
      </w:r>
      <w:r w:rsidRPr="00A9330B">
        <w:t>ravaux)</w:t>
      </w:r>
      <w:bookmarkEnd w:id="941"/>
      <w:bookmarkEnd w:id="942"/>
      <w:bookmarkEnd w:id="943"/>
    </w:p>
    <w:p w14:paraId="372D7202" w14:textId="501DC18E" w:rsidR="00401546" w:rsidRPr="00A9330B" w:rsidRDefault="00401546" w:rsidP="00401546">
      <w:pPr>
        <w:keepNext/>
        <w:spacing w:after="120" w:line="240" w:lineRule="auto"/>
        <w:jc w:val="center"/>
        <w:rPr>
          <w:rFonts w:eastAsia="Times New Roman" w:cs="Arial"/>
          <w:b/>
          <w:color w:val="000000"/>
          <w:sz w:val="20"/>
          <w:szCs w:val="20"/>
          <w:lang w:eastAsia="fr-FR"/>
        </w:rPr>
      </w:pPr>
      <w:bookmarkStart w:id="944" w:name="_Toc43696245"/>
      <w:bookmarkStart w:id="945" w:name="_Toc52873758"/>
      <w:r w:rsidRPr="00A9330B">
        <w:rPr>
          <w:rFonts w:eastAsia="Times New Roman" w:cs="Arial"/>
          <w:b/>
          <w:color w:val="000000"/>
          <w:sz w:val="20"/>
          <w:szCs w:val="20"/>
          <w:lang w:eastAsia="fr-FR"/>
        </w:rPr>
        <w:t xml:space="preserve">Tableau </w:t>
      </w:r>
      <w:r w:rsidRPr="00A9330B">
        <w:rPr>
          <w:rFonts w:eastAsia="Times New Roman" w:cs="Arial"/>
          <w:b/>
          <w:color w:val="000000"/>
          <w:sz w:val="20"/>
          <w:szCs w:val="20"/>
          <w:lang w:eastAsia="fr-FR"/>
        </w:rPr>
        <w:fldChar w:fldCharType="begin"/>
      </w:r>
      <w:r w:rsidRPr="00A9330B">
        <w:rPr>
          <w:rFonts w:eastAsia="Times New Roman" w:cs="Arial"/>
          <w:b/>
          <w:color w:val="000000"/>
          <w:sz w:val="20"/>
          <w:szCs w:val="20"/>
          <w:lang w:eastAsia="fr-FR"/>
        </w:rPr>
        <w:instrText xml:space="preserve"> SEQ Tableau \* ARABIC </w:instrText>
      </w:r>
      <w:r w:rsidRPr="00A9330B">
        <w:rPr>
          <w:rFonts w:eastAsia="Times New Roman" w:cs="Arial"/>
          <w:b/>
          <w:color w:val="000000"/>
          <w:sz w:val="20"/>
          <w:szCs w:val="20"/>
          <w:lang w:eastAsia="fr-FR"/>
        </w:rPr>
        <w:fldChar w:fldCharType="separate"/>
      </w:r>
      <w:r w:rsidR="007025F6" w:rsidRPr="00A9330B">
        <w:rPr>
          <w:rFonts w:eastAsia="Times New Roman" w:cs="Arial"/>
          <w:b/>
          <w:noProof/>
          <w:color w:val="000000"/>
          <w:sz w:val="20"/>
          <w:szCs w:val="20"/>
          <w:lang w:eastAsia="fr-FR"/>
        </w:rPr>
        <w:t>34</w:t>
      </w:r>
      <w:r w:rsidRPr="00A9330B">
        <w:rPr>
          <w:rFonts w:eastAsia="Times New Roman" w:cs="Arial"/>
          <w:b/>
          <w:color w:val="000000"/>
          <w:sz w:val="20"/>
          <w:szCs w:val="20"/>
          <w:lang w:eastAsia="fr-FR"/>
        </w:rPr>
        <w:fldChar w:fldCharType="end"/>
      </w:r>
      <w:r w:rsidRPr="00A9330B">
        <w:rPr>
          <w:rFonts w:eastAsia="Times New Roman" w:cs="Arial"/>
          <w:b/>
          <w:color w:val="000000"/>
          <w:sz w:val="20"/>
          <w:szCs w:val="20"/>
          <w:lang w:eastAsia="fr-FR"/>
        </w:rPr>
        <w:t xml:space="preserve"> : Récapitulatif des activités de la phase de construction du projet</w:t>
      </w:r>
      <w:bookmarkEnd w:id="944"/>
      <w:bookmarkEnd w:id="945"/>
    </w:p>
    <w:tbl>
      <w:tblPr>
        <w:tblStyle w:val="Grilledutableau181"/>
        <w:tblW w:w="5159" w:type="pct"/>
        <w:tblLook w:val="04A0" w:firstRow="1" w:lastRow="0" w:firstColumn="1" w:lastColumn="0" w:noHBand="0" w:noVBand="1"/>
      </w:tblPr>
      <w:tblGrid>
        <w:gridCol w:w="2717"/>
        <w:gridCol w:w="2900"/>
        <w:gridCol w:w="3733"/>
      </w:tblGrid>
      <w:tr w:rsidR="00E34C13" w:rsidRPr="00E216F6" w14:paraId="122D2A1D" w14:textId="77777777" w:rsidTr="00E34C13">
        <w:trPr>
          <w:trHeight w:val="123"/>
        </w:trPr>
        <w:tc>
          <w:tcPr>
            <w:tcW w:w="1453" w:type="pct"/>
          </w:tcPr>
          <w:p w14:paraId="50269F31" w14:textId="77777777" w:rsidR="00E34C13" w:rsidRPr="00E216F6" w:rsidRDefault="00E34C13" w:rsidP="007025F6">
            <w:pPr>
              <w:spacing w:before="40" w:line="240" w:lineRule="auto"/>
              <w:jc w:val="center"/>
              <w:rPr>
                <w:rFonts w:cs="Arial"/>
                <w:b/>
                <w:color w:val="auto"/>
                <w:sz w:val="19"/>
                <w:szCs w:val="19"/>
              </w:rPr>
            </w:pPr>
            <w:r w:rsidRPr="00E216F6">
              <w:rPr>
                <w:rFonts w:cs="Arial"/>
                <w:b/>
                <w:color w:val="auto"/>
                <w:sz w:val="19"/>
                <w:szCs w:val="19"/>
              </w:rPr>
              <w:t>Activités</w:t>
            </w:r>
          </w:p>
        </w:tc>
        <w:tc>
          <w:tcPr>
            <w:tcW w:w="1551" w:type="pct"/>
          </w:tcPr>
          <w:p w14:paraId="74B60220" w14:textId="77777777" w:rsidR="00E34C13" w:rsidRPr="00E216F6" w:rsidRDefault="00E34C13" w:rsidP="007025F6">
            <w:pPr>
              <w:spacing w:before="40" w:line="240" w:lineRule="auto"/>
              <w:jc w:val="center"/>
              <w:rPr>
                <w:rFonts w:cs="Arial"/>
                <w:b/>
                <w:color w:val="auto"/>
                <w:sz w:val="19"/>
                <w:szCs w:val="19"/>
              </w:rPr>
            </w:pPr>
            <w:r w:rsidRPr="00E216F6">
              <w:rPr>
                <w:rFonts w:cs="Arial"/>
                <w:b/>
                <w:color w:val="auto"/>
                <w:sz w:val="19"/>
                <w:szCs w:val="19"/>
              </w:rPr>
              <w:t xml:space="preserve">Sous –Activités </w:t>
            </w:r>
          </w:p>
        </w:tc>
        <w:tc>
          <w:tcPr>
            <w:tcW w:w="1996" w:type="pct"/>
          </w:tcPr>
          <w:p w14:paraId="057C71FA" w14:textId="77777777" w:rsidR="00E34C13" w:rsidRPr="00E216F6" w:rsidRDefault="00E34C13" w:rsidP="007025F6">
            <w:pPr>
              <w:spacing w:before="40" w:line="240" w:lineRule="auto"/>
              <w:jc w:val="center"/>
              <w:rPr>
                <w:rFonts w:cs="Arial"/>
                <w:b/>
                <w:color w:val="auto"/>
                <w:sz w:val="19"/>
                <w:szCs w:val="19"/>
              </w:rPr>
            </w:pPr>
            <w:r w:rsidRPr="00E216F6">
              <w:rPr>
                <w:rFonts w:cs="Arial"/>
                <w:b/>
                <w:color w:val="auto"/>
                <w:sz w:val="19"/>
                <w:szCs w:val="19"/>
              </w:rPr>
              <w:t xml:space="preserve">Commentaires </w:t>
            </w:r>
          </w:p>
        </w:tc>
      </w:tr>
      <w:tr w:rsidR="00E34C13" w:rsidRPr="00E216F6" w14:paraId="28805A54" w14:textId="77777777" w:rsidTr="00E34C13">
        <w:trPr>
          <w:trHeight w:val="123"/>
        </w:trPr>
        <w:tc>
          <w:tcPr>
            <w:tcW w:w="5000" w:type="pct"/>
            <w:gridSpan w:val="3"/>
            <w:shd w:val="clear" w:color="auto" w:fill="F7CAAC" w:themeFill="accent2" w:themeFillTint="66"/>
          </w:tcPr>
          <w:p w14:paraId="4E1F7961" w14:textId="4202C048" w:rsidR="00E34C13" w:rsidRPr="00E216F6" w:rsidRDefault="00DA7A72" w:rsidP="007025F6">
            <w:pPr>
              <w:spacing w:before="40" w:line="240" w:lineRule="auto"/>
              <w:jc w:val="center"/>
              <w:rPr>
                <w:rFonts w:cs="Arial"/>
                <w:b/>
                <w:color w:val="auto"/>
                <w:sz w:val="19"/>
                <w:szCs w:val="19"/>
              </w:rPr>
            </w:pPr>
            <w:r w:rsidRPr="00E216F6">
              <w:rPr>
                <w:rFonts w:eastAsiaTheme="majorEastAsia" w:cstheme="majorBidi"/>
                <w:b/>
                <w:i/>
                <w:iCs/>
                <w:color w:val="auto"/>
                <w:sz w:val="19"/>
                <w:szCs w:val="19"/>
              </w:rPr>
              <w:t>Phase des aménagements  (T</w:t>
            </w:r>
            <w:r w:rsidR="00E34C13" w:rsidRPr="00E216F6">
              <w:rPr>
                <w:rFonts w:eastAsiaTheme="majorEastAsia" w:cstheme="majorBidi"/>
                <w:b/>
                <w:i/>
                <w:iCs/>
                <w:color w:val="auto"/>
                <w:sz w:val="19"/>
                <w:szCs w:val="19"/>
              </w:rPr>
              <w:t>ravaux)</w:t>
            </w:r>
          </w:p>
        </w:tc>
      </w:tr>
      <w:tr w:rsidR="00E34C13" w:rsidRPr="00E216F6" w14:paraId="063C34D2" w14:textId="77777777" w:rsidTr="00E34C13">
        <w:tc>
          <w:tcPr>
            <w:tcW w:w="1453" w:type="pct"/>
          </w:tcPr>
          <w:p w14:paraId="6A7346C9" w14:textId="77777777" w:rsidR="00E34C13" w:rsidRPr="00E216F6" w:rsidRDefault="00E34C13" w:rsidP="007025F6">
            <w:pPr>
              <w:widowControl w:val="0"/>
              <w:tabs>
                <w:tab w:val="left" w:pos="426"/>
                <w:tab w:val="left" w:pos="851"/>
                <w:tab w:val="left" w:pos="1134"/>
              </w:tabs>
              <w:overflowPunct w:val="0"/>
              <w:autoSpaceDE w:val="0"/>
              <w:autoSpaceDN w:val="0"/>
              <w:adjustRightInd w:val="0"/>
              <w:spacing w:before="40" w:line="240" w:lineRule="auto"/>
              <w:textAlignment w:val="baseline"/>
              <w:rPr>
                <w:rFonts w:eastAsia="Times New Roman" w:cs="Arial"/>
                <w:color w:val="auto"/>
                <w:sz w:val="19"/>
                <w:szCs w:val="19"/>
                <w:lang w:eastAsia="fr-FR"/>
              </w:rPr>
            </w:pPr>
          </w:p>
          <w:p w14:paraId="636F8C65" w14:textId="77777777" w:rsidR="00E34C13" w:rsidRPr="00E216F6" w:rsidRDefault="00E34C13" w:rsidP="007025F6">
            <w:pPr>
              <w:widowControl w:val="0"/>
              <w:tabs>
                <w:tab w:val="left" w:pos="426"/>
                <w:tab w:val="left" w:pos="851"/>
                <w:tab w:val="left" w:pos="1134"/>
              </w:tabs>
              <w:overflowPunct w:val="0"/>
              <w:autoSpaceDE w:val="0"/>
              <w:autoSpaceDN w:val="0"/>
              <w:adjustRightInd w:val="0"/>
              <w:spacing w:before="40" w:line="240" w:lineRule="auto"/>
              <w:textAlignment w:val="baseline"/>
              <w:rPr>
                <w:rFonts w:eastAsia="Times New Roman" w:cs="Arial"/>
                <w:color w:val="auto"/>
                <w:sz w:val="19"/>
                <w:szCs w:val="19"/>
                <w:lang w:eastAsia="fr-FR"/>
              </w:rPr>
            </w:pPr>
            <w:r w:rsidRPr="00E216F6">
              <w:rPr>
                <w:rFonts w:eastAsia="Times New Roman" w:cs="Arial"/>
                <w:color w:val="auto"/>
                <w:sz w:val="19"/>
                <w:szCs w:val="19"/>
                <w:lang w:eastAsia="fr-FR"/>
              </w:rPr>
              <w:t xml:space="preserve">Signalisation </w:t>
            </w:r>
          </w:p>
          <w:p w14:paraId="4969F6CD" w14:textId="77777777" w:rsidR="00E34C13" w:rsidRPr="00E216F6" w:rsidRDefault="00E34C13" w:rsidP="007025F6">
            <w:pPr>
              <w:spacing w:before="40" w:line="240" w:lineRule="auto"/>
              <w:rPr>
                <w:rFonts w:cs="Arial"/>
                <w:color w:val="auto"/>
                <w:sz w:val="19"/>
                <w:szCs w:val="19"/>
              </w:rPr>
            </w:pPr>
          </w:p>
        </w:tc>
        <w:tc>
          <w:tcPr>
            <w:tcW w:w="1551" w:type="pct"/>
          </w:tcPr>
          <w:p w14:paraId="012DF6D6" w14:textId="77777777" w:rsidR="00E34C13" w:rsidRPr="00E216F6" w:rsidRDefault="00E34C13" w:rsidP="000F7BA7">
            <w:pPr>
              <w:spacing w:before="40" w:line="240" w:lineRule="auto"/>
              <w:jc w:val="both"/>
              <w:rPr>
                <w:rFonts w:cs="Arial"/>
                <w:color w:val="auto"/>
                <w:sz w:val="19"/>
                <w:szCs w:val="19"/>
              </w:rPr>
            </w:pPr>
            <w:r w:rsidRPr="00E216F6">
              <w:rPr>
                <w:rFonts w:cs="Arial"/>
                <w:color w:val="auto"/>
                <w:sz w:val="19"/>
                <w:szCs w:val="19"/>
              </w:rPr>
              <w:t>Mise en place des panneaux de chantier</w:t>
            </w:r>
          </w:p>
          <w:p w14:paraId="5B63137B" w14:textId="77777777" w:rsidR="00E34C13" w:rsidRPr="00E216F6" w:rsidRDefault="00E34C13" w:rsidP="000F7BA7">
            <w:pPr>
              <w:spacing w:before="40" w:line="240" w:lineRule="auto"/>
              <w:jc w:val="both"/>
              <w:rPr>
                <w:rFonts w:cs="Arial"/>
                <w:color w:val="auto"/>
                <w:sz w:val="19"/>
                <w:szCs w:val="19"/>
              </w:rPr>
            </w:pPr>
            <w:r w:rsidRPr="00E216F6">
              <w:rPr>
                <w:rFonts w:cs="Arial"/>
                <w:color w:val="auto"/>
                <w:sz w:val="19"/>
                <w:szCs w:val="19"/>
              </w:rPr>
              <w:t xml:space="preserve">Balisage du chantier </w:t>
            </w:r>
          </w:p>
          <w:p w14:paraId="02EF482E" w14:textId="77777777" w:rsidR="00E34C13" w:rsidRPr="00E216F6" w:rsidRDefault="00E34C13" w:rsidP="000F7BA7">
            <w:pPr>
              <w:spacing w:before="40" w:line="240" w:lineRule="auto"/>
              <w:jc w:val="both"/>
              <w:rPr>
                <w:rFonts w:cs="Arial"/>
                <w:color w:val="auto"/>
                <w:sz w:val="19"/>
                <w:szCs w:val="19"/>
              </w:rPr>
            </w:pPr>
            <w:r w:rsidRPr="00E216F6">
              <w:rPr>
                <w:rFonts w:cs="Arial"/>
                <w:color w:val="auto"/>
                <w:sz w:val="19"/>
                <w:szCs w:val="19"/>
              </w:rPr>
              <w:t>Indication des déviations</w:t>
            </w:r>
          </w:p>
          <w:p w14:paraId="30B0BA45" w14:textId="77777777" w:rsidR="00E34C13" w:rsidRPr="00E216F6" w:rsidRDefault="00E34C13" w:rsidP="000F7BA7">
            <w:pPr>
              <w:spacing w:before="40" w:line="240" w:lineRule="auto"/>
              <w:jc w:val="both"/>
              <w:rPr>
                <w:rFonts w:cs="Arial"/>
                <w:color w:val="auto"/>
                <w:sz w:val="19"/>
                <w:szCs w:val="19"/>
              </w:rPr>
            </w:pPr>
            <w:r w:rsidRPr="00E216F6">
              <w:rPr>
                <w:rFonts w:cs="Arial"/>
                <w:color w:val="auto"/>
                <w:sz w:val="19"/>
                <w:szCs w:val="19"/>
              </w:rPr>
              <w:t xml:space="preserve">Eclairage  de chantier  </w:t>
            </w:r>
          </w:p>
        </w:tc>
        <w:tc>
          <w:tcPr>
            <w:tcW w:w="1996" w:type="pct"/>
          </w:tcPr>
          <w:p w14:paraId="06E6AD55" w14:textId="748894C3" w:rsidR="00E34C13" w:rsidRPr="00E216F6" w:rsidRDefault="00E34C13" w:rsidP="000F7BA7">
            <w:pPr>
              <w:spacing w:before="40" w:line="240" w:lineRule="auto"/>
              <w:jc w:val="both"/>
              <w:rPr>
                <w:rFonts w:cs="Arial"/>
                <w:sz w:val="19"/>
                <w:szCs w:val="19"/>
              </w:rPr>
            </w:pPr>
            <w:r w:rsidRPr="00E216F6">
              <w:rPr>
                <w:rFonts w:cs="Arial"/>
                <w:sz w:val="19"/>
                <w:szCs w:val="19"/>
              </w:rPr>
              <w:t>Signalisation d</w:t>
            </w:r>
            <w:r w:rsidR="001053D5" w:rsidRPr="00E216F6">
              <w:rPr>
                <w:rFonts w:cs="Arial"/>
                <w:sz w:val="19"/>
                <w:szCs w:val="19"/>
              </w:rPr>
              <w:t xml:space="preserve">e l’entreprise et sécurisation </w:t>
            </w:r>
            <w:r w:rsidRPr="00E216F6">
              <w:rPr>
                <w:rFonts w:cs="Arial"/>
                <w:sz w:val="19"/>
                <w:szCs w:val="19"/>
              </w:rPr>
              <w:t xml:space="preserve">du chantier </w:t>
            </w:r>
          </w:p>
          <w:p w14:paraId="5A944C33" w14:textId="77777777" w:rsidR="00E34C13" w:rsidRPr="00E216F6" w:rsidRDefault="00E34C13" w:rsidP="000F7BA7">
            <w:pPr>
              <w:spacing w:before="40" w:line="240" w:lineRule="auto"/>
              <w:jc w:val="both"/>
              <w:rPr>
                <w:rFonts w:cs="Arial"/>
                <w:color w:val="auto"/>
                <w:sz w:val="19"/>
                <w:szCs w:val="19"/>
              </w:rPr>
            </w:pPr>
            <w:r w:rsidRPr="00E216F6">
              <w:rPr>
                <w:rFonts w:cs="Arial"/>
                <w:sz w:val="19"/>
                <w:szCs w:val="19"/>
              </w:rPr>
              <w:t>Signalisation routière pour favoriser la fluidité du trafic et de diminuer les gênes aux riverains.</w:t>
            </w:r>
          </w:p>
        </w:tc>
      </w:tr>
      <w:tr w:rsidR="00E34C13" w:rsidRPr="00E216F6" w14:paraId="6543A800" w14:textId="77777777" w:rsidTr="00E34C13">
        <w:tc>
          <w:tcPr>
            <w:tcW w:w="1453" w:type="pct"/>
          </w:tcPr>
          <w:p w14:paraId="2BB6AA16" w14:textId="77777777" w:rsidR="00E34C13" w:rsidRPr="00E216F6" w:rsidRDefault="00E34C13" w:rsidP="007025F6">
            <w:pPr>
              <w:widowControl w:val="0"/>
              <w:tabs>
                <w:tab w:val="left" w:pos="426"/>
                <w:tab w:val="left" w:pos="851"/>
                <w:tab w:val="left" w:pos="1134"/>
              </w:tabs>
              <w:overflowPunct w:val="0"/>
              <w:autoSpaceDE w:val="0"/>
              <w:autoSpaceDN w:val="0"/>
              <w:adjustRightInd w:val="0"/>
              <w:spacing w:before="40" w:line="240" w:lineRule="auto"/>
              <w:textAlignment w:val="baseline"/>
              <w:rPr>
                <w:rFonts w:eastAsia="Times New Roman" w:cs="Arial"/>
                <w:color w:val="auto"/>
                <w:sz w:val="19"/>
                <w:szCs w:val="19"/>
                <w:lang w:eastAsia="fr-FR"/>
              </w:rPr>
            </w:pPr>
            <w:r w:rsidRPr="00E216F6">
              <w:rPr>
                <w:rFonts w:eastAsia="Times New Roman" w:cs="Arial"/>
                <w:color w:val="auto"/>
                <w:sz w:val="19"/>
                <w:szCs w:val="19"/>
                <w:lang w:eastAsia="fr-FR"/>
              </w:rPr>
              <w:t xml:space="preserve">Délimitation des emprises </w:t>
            </w:r>
          </w:p>
        </w:tc>
        <w:tc>
          <w:tcPr>
            <w:tcW w:w="1551" w:type="pct"/>
          </w:tcPr>
          <w:p w14:paraId="19A7C704" w14:textId="77777777" w:rsidR="00E34C13" w:rsidRPr="00E216F6" w:rsidRDefault="00E34C13" w:rsidP="000F7BA7">
            <w:pPr>
              <w:spacing w:before="40" w:line="240" w:lineRule="auto"/>
              <w:jc w:val="both"/>
              <w:rPr>
                <w:rFonts w:cs="Arial"/>
                <w:color w:val="auto"/>
                <w:sz w:val="19"/>
                <w:szCs w:val="19"/>
              </w:rPr>
            </w:pPr>
            <w:r w:rsidRPr="00E216F6">
              <w:rPr>
                <w:rFonts w:cs="Arial"/>
                <w:color w:val="auto"/>
                <w:sz w:val="19"/>
                <w:szCs w:val="19"/>
              </w:rPr>
              <w:t>Travaux topographiques</w:t>
            </w:r>
          </w:p>
        </w:tc>
        <w:tc>
          <w:tcPr>
            <w:tcW w:w="1996" w:type="pct"/>
          </w:tcPr>
          <w:p w14:paraId="548AA0B2" w14:textId="77777777" w:rsidR="00E34C13" w:rsidRPr="00E216F6" w:rsidRDefault="00E34C13" w:rsidP="000F7BA7">
            <w:pPr>
              <w:widowControl w:val="0"/>
              <w:autoSpaceDE w:val="0"/>
              <w:autoSpaceDN w:val="0"/>
              <w:adjustRightInd w:val="0"/>
              <w:spacing w:before="40" w:line="240" w:lineRule="auto"/>
              <w:jc w:val="both"/>
              <w:rPr>
                <w:rFonts w:cs="Arial"/>
                <w:sz w:val="19"/>
                <w:szCs w:val="19"/>
              </w:rPr>
            </w:pPr>
            <w:r w:rsidRPr="00E216F6">
              <w:rPr>
                <w:rFonts w:cs="Arial"/>
                <w:spacing w:val="1"/>
                <w:sz w:val="19"/>
                <w:szCs w:val="19"/>
              </w:rPr>
              <w:t>Travaux géodésiques pour les études techniques</w:t>
            </w:r>
          </w:p>
        </w:tc>
      </w:tr>
      <w:tr w:rsidR="00E34C13" w:rsidRPr="00E216F6" w14:paraId="2C20ABA2" w14:textId="77777777" w:rsidTr="00E34C13">
        <w:tc>
          <w:tcPr>
            <w:tcW w:w="1453" w:type="pct"/>
          </w:tcPr>
          <w:p w14:paraId="269ECAF9" w14:textId="77777777" w:rsidR="00E34C13" w:rsidRPr="00E216F6" w:rsidRDefault="00E34C13" w:rsidP="007025F6">
            <w:pPr>
              <w:widowControl w:val="0"/>
              <w:tabs>
                <w:tab w:val="left" w:pos="426"/>
                <w:tab w:val="left" w:pos="851"/>
                <w:tab w:val="left" w:pos="1134"/>
              </w:tabs>
              <w:overflowPunct w:val="0"/>
              <w:autoSpaceDE w:val="0"/>
              <w:autoSpaceDN w:val="0"/>
              <w:adjustRightInd w:val="0"/>
              <w:spacing w:before="40" w:line="240" w:lineRule="auto"/>
              <w:textAlignment w:val="baseline"/>
              <w:rPr>
                <w:rFonts w:eastAsia="Times New Roman" w:cs="Arial"/>
                <w:color w:val="auto"/>
                <w:sz w:val="19"/>
                <w:szCs w:val="19"/>
                <w:lang w:eastAsia="fr-FR"/>
              </w:rPr>
            </w:pPr>
          </w:p>
          <w:p w14:paraId="34DD8840" w14:textId="77777777" w:rsidR="00E34C13" w:rsidRPr="00E216F6" w:rsidRDefault="00E34C13" w:rsidP="007025F6">
            <w:pPr>
              <w:widowControl w:val="0"/>
              <w:tabs>
                <w:tab w:val="left" w:pos="426"/>
                <w:tab w:val="left" w:pos="851"/>
                <w:tab w:val="left" w:pos="1134"/>
              </w:tabs>
              <w:overflowPunct w:val="0"/>
              <w:autoSpaceDE w:val="0"/>
              <w:autoSpaceDN w:val="0"/>
              <w:adjustRightInd w:val="0"/>
              <w:spacing w:before="40" w:line="240" w:lineRule="auto"/>
              <w:textAlignment w:val="baseline"/>
              <w:rPr>
                <w:rFonts w:eastAsia="Times New Roman" w:cs="Arial"/>
                <w:color w:val="auto"/>
                <w:sz w:val="19"/>
                <w:szCs w:val="19"/>
                <w:lang w:eastAsia="fr-FR"/>
              </w:rPr>
            </w:pPr>
            <w:r w:rsidRPr="00E216F6">
              <w:rPr>
                <w:rFonts w:eastAsia="Times New Roman" w:cs="Arial"/>
                <w:color w:val="auto"/>
                <w:sz w:val="19"/>
                <w:szCs w:val="19"/>
                <w:lang w:eastAsia="fr-FR"/>
              </w:rPr>
              <w:t xml:space="preserve">Aménagement et entretiens des déviations </w:t>
            </w:r>
          </w:p>
        </w:tc>
        <w:tc>
          <w:tcPr>
            <w:tcW w:w="1551" w:type="pct"/>
          </w:tcPr>
          <w:p w14:paraId="31C0D844" w14:textId="77777777" w:rsidR="00E34C13" w:rsidRPr="00E216F6" w:rsidRDefault="00E34C13" w:rsidP="000F7BA7">
            <w:pPr>
              <w:spacing w:before="40" w:line="240" w:lineRule="auto"/>
              <w:jc w:val="both"/>
              <w:rPr>
                <w:rFonts w:cs="Arial"/>
                <w:color w:val="auto"/>
                <w:sz w:val="19"/>
                <w:szCs w:val="19"/>
              </w:rPr>
            </w:pPr>
            <w:r w:rsidRPr="00E216F6">
              <w:rPr>
                <w:rFonts w:cs="Arial"/>
                <w:color w:val="auto"/>
                <w:sz w:val="19"/>
                <w:szCs w:val="19"/>
              </w:rPr>
              <w:t>Nettoyage des sites</w:t>
            </w:r>
          </w:p>
          <w:p w14:paraId="4E357A73" w14:textId="77777777" w:rsidR="00E34C13" w:rsidRPr="00E216F6" w:rsidRDefault="00E34C13" w:rsidP="000F7BA7">
            <w:pPr>
              <w:spacing w:before="40" w:line="240" w:lineRule="auto"/>
              <w:jc w:val="both"/>
              <w:rPr>
                <w:rFonts w:cs="Arial"/>
                <w:color w:val="auto"/>
                <w:sz w:val="19"/>
                <w:szCs w:val="19"/>
              </w:rPr>
            </w:pPr>
            <w:r w:rsidRPr="00E216F6">
              <w:rPr>
                <w:rFonts w:cs="Arial"/>
                <w:color w:val="auto"/>
                <w:sz w:val="19"/>
                <w:szCs w:val="19"/>
              </w:rPr>
              <w:t>Débroussaillage – Décapage</w:t>
            </w:r>
          </w:p>
          <w:p w14:paraId="74A76E22" w14:textId="77777777" w:rsidR="00E34C13" w:rsidRPr="00E216F6" w:rsidRDefault="00E34C13" w:rsidP="000F7BA7">
            <w:pPr>
              <w:spacing w:before="40" w:line="240" w:lineRule="auto"/>
              <w:jc w:val="both"/>
              <w:rPr>
                <w:rFonts w:cs="Arial"/>
                <w:spacing w:val="-1"/>
                <w:sz w:val="19"/>
                <w:szCs w:val="19"/>
              </w:rPr>
            </w:pPr>
            <w:r w:rsidRPr="00E216F6">
              <w:rPr>
                <w:rFonts w:cs="Arial"/>
                <w:color w:val="auto"/>
                <w:sz w:val="19"/>
                <w:szCs w:val="19"/>
              </w:rPr>
              <w:t>Profilage des déviations</w:t>
            </w:r>
            <w:r w:rsidRPr="00E216F6">
              <w:rPr>
                <w:rFonts w:cs="Arial"/>
                <w:spacing w:val="-1"/>
                <w:sz w:val="19"/>
                <w:szCs w:val="19"/>
              </w:rPr>
              <w:t xml:space="preserve"> </w:t>
            </w:r>
          </w:p>
          <w:p w14:paraId="5638FED1" w14:textId="77777777" w:rsidR="00E34C13" w:rsidRPr="00E216F6" w:rsidRDefault="00E34C13" w:rsidP="000F7BA7">
            <w:pPr>
              <w:spacing w:before="40" w:line="240" w:lineRule="auto"/>
              <w:jc w:val="both"/>
              <w:rPr>
                <w:rFonts w:cs="Arial"/>
                <w:color w:val="auto"/>
                <w:sz w:val="19"/>
                <w:szCs w:val="19"/>
              </w:rPr>
            </w:pPr>
            <w:r w:rsidRPr="00E216F6">
              <w:rPr>
                <w:rFonts w:cs="Arial"/>
                <w:spacing w:val="-1"/>
                <w:sz w:val="19"/>
                <w:szCs w:val="19"/>
              </w:rPr>
              <w:t>Entretien courant de la déviation</w:t>
            </w:r>
          </w:p>
        </w:tc>
        <w:tc>
          <w:tcPr>
            <w:tcW w:w="1996" w:type="pct"/>
          </w:tcPr>
          <w:p w14:paraId="63948A7D" w14:textId="77777777" w:rsidR="00E34C13" w:rsidRPr="00E216F6" w:rsidRDefault="00E34C13" w:rsidP="000F7BA7">
            <w:pPr>
              <w:spacing w:before="40" w:line="240" w:lineRule="auto"/>
              <w:jc w:val="both"/>
              <w:rPr>
                <w:rFonts w:cs="Arial"/>
                <w:color w:val="auto"/>
                <w:sz w:val="19"/>
                <w:szCs w:val="19"/>
              </w:rPr>
            </w:pPr>
            <w:r w:rsidRPr="00E216F6">
              <w:rPr>
                <w:rFonts w:cs="Arial"/>
                <w:color w:val="auto"/>
                <w:sz w:val="19"/>
                <w:szCs w:val="19"/>
              </w:rPr>
              <w:t xml:space="preserve">Pour faciliter la circulation des personnes et des biens malgré les travaux </w:t>
            </w:r>
          </w:p>
          <w:p w14:paraId="5491D332" w14:textId="77777777" w:rsidR="00E34C13" w:rsidRPr="00E216F6" w:rsidRDefault="00E34C13" w:rsidP="000F7BA7">
            <w:pPr>
              <w:spacing w:before="40" w:line="240" w:lineRule="auto"/>
              <w:jc w:val="both"/>
              <w:rPr>
                <w:rFonts w:cs="Arial"/>
                <w:spacing w:val="-1"/>
                <w:sz w:val="19"/>
                <w:szCs w:val="19"/>
              </w:rPr>
            </w:pPr>
            <w:r w:rsidRPr="00E216F6">
              <w:rPr>
                <w:rFonts w:cs="Arial"/>
                <w:spacing w:val="-1"/>
                <w:sz w:val="19"/>
                <w:szCs w:val="19"/>
              </w:rPr>
              <w:t xml:space="preserve">Isoler des zones sujettes d’aménagement pendant les travaux, </w:t>
            </w:r>
          </w:p>
          <w:p w14:paraId="796013AE" w14:textId="521036D3" w:rsidR="00E34C13" w:rsidRPr="00E216F6" w:rsidRDefault="00CD7397" w:rsidP="000F7BA7">
            <w:pPr>
              <w:spacing w:before="40" w:line="240" w:lineRule="auto"/>
              <w:jc w:val="both"/>
              <w:rPr>
                <w:rFonts w:cs="Arial"/>
                <w:spacing w:val="-1"/>
                <w:sz w:val="19"/>
                <w:szCs w:val="19"/>
              </w:rPr>
            </w:pPr>
            <w:r w:rsidRPr="00E216F6">
              <w:rPr>
                <w:rFonts w:cs="Arial"/>
                <w:spacing w:val="-1"/>
                <w:sz w:val="19"/>
                <w:szCs w:val="19"/>
              </w:rPr>
              <w:t>D</w:t>
            </w:r>
            <w:r w:rsidR="00C65F5B" w:rsidRPr="00E216F6">
              <w:rPr>
                <w:rFonts w:cs="Arial"/>
                <w:spacing w:val="-1"/>
                <w:sz w:val="19"/>
                <w:szCs w:val="19"/>
              </w:rPr>
              <w:t>es voies mitoyennes</w:t>
            </w:r>
            <w:r w:rsidR="00E34C13" w:rsidRPr="00E216F6">
              <w:rPr>
                <w:rFonts w:cs="Arial"/>
                <w:spacing w:val="-1"/>
                <w:sz w:val="19"/>
                <w:szCs w:val="19"/>
              </w:rPr>
              <w:t xml:space="preserve"> ouvertes ou aménagées pour le déplacement des personnes et des biens. </w:t>
            </w:r>
          </w:p>
          <w:p w14:paraId="75DFF757" w14:textId="77777777" w:rsidR="00E34C13" w:rsidRPr="00E216F6" w:rsidRDefault="00E34C13" w:rsidP="000F7BA7">
            <w:pPr>
              <w:spacing w:before="40" w:line="240" w:lineRule="auto"/>
              <w:jc w:val="both"/>
              <w:rPr>
                <w:rFonts w:cs="Arial"/>
                <w:color w:val="auto"/>
                <w:sz w:val="19"/>
                <w:szCs w:val="19"/>
              </w:rPr>
            </w:pPr>
            <w:r w:rsidRPr="00E216F6">
              <w:rPr>
                <w:rFonts w:cs="Arial"/>
                <w:spacing w:val="-1"/>
                <w:sz w:val="19"/>
                <w:szCs w:val="19"/>
              </w:rPr>
              <w:t xml:space="preserve">Arroser les déviations pour éviter les émissions de poussières </w:t>
            </w:r>
          </w:p>
        </w:tc>
      </w:tr>
      <w:tr w:rsidR="001053D5" w:rsidRPr="00E216F6" w14:paraId="38521655" w14:textId="77777777" w:rsidTr="00BE4C78">
        <w:trPr>
          <w:trHeight w:val="695"/>
        </w:trPr>
        <w:tc>
          <w:tcPr>
            <w:tcW w:w="1453" w:type="pct"/>
          </w:tcPr>
          <w:p w14:paraId="572829DC" w14:textId="77777777" w:rsidR="001053D5" w:rsidRPr="00E216F6" w:rsidRDefault="001053D5" w:rsidP="007025F6">
            <w:pPr>
              <w:spacing w:before="40" w:line="240" w:lineRule="auto"/>
              <w:rPr>
                <w:rFonts w:cs="Arial"/>
                <w:color w:val="auto"/>
                <w:sz w:val="19"/>
                <w:szCs w:val="19"/>
              </w:rPr>
            </w:pPr>
            <w:r w:rsidRPr="00E216F6">
              <w:rPr>
                <w:rFonts w:cs="Arial"/>
                <w:color w:val="auto"/>
                <w:sz w:val="19"/>
                <w:szCs w:val="19"/>
              </w:rPr>
              <w:t xml:space="preserve">Libération des emprises  </w:t>
            </w:r>
          </w:p>
        </w:tc>
        <w:tc>
          <w:tcPr>
            <w:tcW w:w="1551" w:type="pct"/>
          </w:tcPr>
          <w:p w14:paraId="3ADAC273" w14:textId="77777777" w:rsidR="001053D5" w:rsidRPr="00E216F6" w:rsidRDefault="001053D5" w:rsidP="007025F6">
            <w:pPr>
              <w:spacing w:before="40" w:line="240" w:lineRule="auto"/>
              <w:rPr>
                <w:rFonts w:cs="Arial"/>
                <w:sz w:val="19"/>
                <w:szCs w:val="19"/>
              </w:rPr>
            </w:pPr>
            <w:r w:rsidRPr="00E216F6">
              <w:rPr>
                <w:rFonts w:cs="Arial"/>
                <w:sz w:val="19"/>
                <w:szCs w:val="19"/>
              </w:rPr>
              <w:t xml:space="preserve">Dépose </w:t>
            </w:r>
            <w:r w:rsidRPr="00E216F6">
              <w:rPr>
                <w:rFonts w:cs="Arial"/>
                <w:spacing w:val="-1"/>
                <w:sz w:val="19"/>
                <w:szCs w:val="19"/>
              </w:rPr>
              <w:t>de</w:t>
            </w:r>
            <w:r w:rsidRPr="00E216F6">
              <w:rPr>
                <w:rFonts w:cs="Arial"/>
                <w:sz w:val="19"/>
                <w:szCs w:val="19"/>
              </w:rPr>
              <w:t>s</w:t>
            </w:r>
            <w:r w:rsidRPr="00E216F6">
              <w:rPr>
                <w:rFonts w:cs="Arial"/>
                <w:spacing w:val="-1"/>
                <w:sz w:val="19"/>
                <w:szCs w:val="19"/>
              </w:rPr>
              <w:t xml:space="preserve"> p</w:t>
            </w:r>
            <w:r w:rsidRPr="00E216F6">
              <w:rPr>
                <w:rFonts w:cs="Arial"/>
                <w:sz w:val="19"/>
                <w:szCs w:val="19"/>
              </w:rPr>
              <w:t>av</w:t>
            </w:r>
            <w:r w:rsidRPr="00E216F6">
              <w:rPr>
                <w:rFonts w:cs="Arial"/>
                <w:spacing w:val="2"/>
                <w:sz w:val="19"/>
                <w:szCs w:val="19"/>
              </w:rPr>
              <w:t>é</w:t>
            </w:r>
            <w:r w:rsidRPr="00E216F6">
              <w:rPr>
                <w:rFonts w:cs="Arial"/>
                <w:sz w:val="19"/>
                <w:szCs w:val="19"/>
              </w:rPr>
              <w:t>s</w:t>
            </w:r>
          </w:p>
          <w:p w14:paraId="75629455" w14:textId="77777777" w:rsidR="001053D5" w:rsidRPr="00E216F6" w:rsidRDefault="001053D5" w:rsidP="007025F6">
            <w:pPr>
              <w:spacing w:before="40" w:line="240" w:lineRule="auto"/>
              <w:rPr>
                <w:rFonts w:cs="Arial"/>
                <w:color w:val="auto"/>
                <w:sz w:val="19"/>
                <w:szCs w:val="19"/>
              </w:rPr>
            </w:pPr>
            <w:r w:rsidRPr="00E216F6">
              <w:rPr>
                <w:rFonts w:cs="Arial"/>
                <w:sz w:val="19"/>
                <w:szCs w:val="19"/>
              </w:rPr>
              <w:t xml:space="preserve">Démolition d’ouvrages divers </w:t>
            </w:r>
          </w:p>
        </w:tc>
        <w:tc>
          <w:tcPr>
            <w:tcW w:w="1996" w:type="pct"/>
          </w:tcPr>
          <w:p w14:paraId="61E189EC" w14:textId="77777777" w:rsidR="001053D5" w:rsidRPr="00E216F6" w:rsidRDefault="001053D5" w:rsidP="000F7BA7">
            <w:pPr>
              <w:widowControl w:val="0"/>
              <w:autoSpaceDE w:val="0"/>
              <w:autoSpaceDN w:val="0"/>
              <w:adjustRightInd w:val="0"/>
              <w:spacing w:before="40" w:line="240" w:lineRule="auto"/>
              <w:jc w:val="both"/>
              <w:rPr>
                <w:rFonts w:cs="Arial"/>
                <w:spacing w:val="1"/>
                <w:sz w:val="19"/>
                <w:szCs w:val="19"/>
              </w:rPr>
            </w:pPr>
            <w:r w:rsidRPr="00E216F6">
              <w:rPr>
                <w:rFonts w:cs="Arial"/>
                <w:spacing w:val="1"/>
                <w:sz w:val="19"/>
                <w:szCs w:val="19"/>
              </w:rPr>
              <w:t>La dépose consiste en l’enlèvement et stockage des pavés existants</w:t>
            </w:r>
          </w:p>
          <w:p w14:paraId="2475051E" w14:textId="77777777" w:rsidR="001053D5" w:rsidRPr="00E216F6" w:rsidRDefault="001053D5" w:rsidP="000F7BA7">
            <w:pPr>
              <w:widowControl w:val="0"/>
              <w:autoSpaceDE w:val="0"/>
              <w:autoSpaceDN w:val="0"/>
              <w:adjustRightInd w:val="0"/>
              <w:spacing w:before="40" w:line="240" w:lineRule="auto"/>
              <w:jc w:val="both"/>
              <w:rPr>
                <w:rFonts w:cs="Arial"/>
                <w:spacing w:val="1"/>
                <w:sz w:val="19"/>
                <w:szCs w:val="19"/>
              </w:rPr>
            </w:pPr>
            <w:r w:rsidRPr="00E216F6">
              <w:rPr>
                <w:rFonts w:cs="Arial"/>
                <w:spacing w:val="1"/>
                <w:sz w:val="19"/>
                <w:szCs w:val="19"/>
              </w:rPr>
              <w:t xml:space="preserve">La démolition concerne les ouvrages autres que les biens des PAP dans l’emprise </w:t>
            </w:r>
          </w:p>
        </w:tc>
      </w:tr>
      <w:tr w:rsidR="00E34C13" w:rsidRPr="00E216F6" w14:paraId="279FAC1E" w14:textId="77777777" w:rsidTr="00E34C13">
        <w:tc>
          <w:tcPr>
            <w:tcW w:w="1453" w:type="pct"/>
          </w:tcPr>
          <w:p w14:paraId="51E4CB02" w14:textId="5249615B" w:rsidR="00E34C13" w:rsidRPr="00E216F6" w:rsidRDefault="00E34C13" w:rsidP="007025F6">
            <w:pPr>
              <w:spacing w:before="40" w:line="240" w:lineRule="auto"/>
              <w:rPr>
                <w:rFonts w:cs="Arial"/>
                <w:color w:val="auto"/>
                <w:sz w:val="19"/>
                <w:szCs w:val="19"/>
              </w:rPr>
            </w:pPr>
          </w:p>
          <w:p w14:paraId="514CF18E" w14:textId="77777777" w:rsidR="00E34C13" w:rsidRPr="00E216F6" w:rsidRDefault="00E34C13" w:rsidP="007025F6">
            <w:pPr>
              <w:spacing w:before="40" w:line="240" w:lineRule="auto"/>
              <w:rPr>
                <w:rFonts w:cs="Arial"/>
                <w:color w:val="auto"/>
                <w:sz w:val="19"/>
                <w:szCs w:val="19"/>
              </w:rPr>
            </w:pPr>
            <w:r w:rsidRPr="00E216F6">
              <w:rPr>
                <w:rFonts w:cs="Arial"/>
                <w:color w:val="auto"/>
                <w:sz w:val="19"/>
                <w:szCs w:val="19"/>
              </w:rPr>
              <w:t>Déplacement de réseaux</w:t>
            </w:r>
          </w:p>
        </w:tc>
        <w:tc>
          <w:tcPr>
            <w:tcW w:w="1551" w:type="pct"/>
          </w:tcPr>
          <w:p w14:paraId="0FDBA8A9" w14:textId="77777777" w:rsidR="00E34C13" w:rsidRPr="00E216F6" w:rsidRDefault="00E34C13" w:rsidP="000F7BA7">
            <w:pPr>
              <w:spacing w:before="40" w:line="240" w:lineRule="auto"/>
              <w:jc w:val="both"/>
              <w:rPr>
                <w:rFonts w:cs="Arial"/>
                <w:color w:val="auto"/>
                <w:sz w:val="19"/>
                <w:szCs w:val="19"/>
              </w:rPr>
            </w:pPr>
            <w:r w:rsidRPr="00E216F6">
              <w:rPr>
                <w:rFonts w:cs="Arial"/>
                <w:color w:val="auto"/>
                <w:sz w:val="19"/>
                <w:szCs w:val="19"/>
              </w:rPr>
              <w:t xml:space="preserve">Sondage pour reconnaissance de réseaux </w:t>
            </w:r>
          </w:p>
          <w:p w14:paraId="78E20739" w14:textId="77777777" w:rsidR="00E34C13" w:rsidRPr="00E216F6" w:rsidRDefault="00E34C13" w:rsidP="000F7BA7">
            <w:pPr>
              <w:spacing w:before="40" w:line="240" w:lineRule="auto"/>
              <w:jc w:val="both"/>
              <w:rPr>
                <w:rFonts w:cs="Arial"/>
                <w:color w:val="auto"/>
                <w:sz w:val="19"/>
                <w:szCs w:val="19"/>
              </w:rPr>
            </w:pPr>
            <w:r w:rsidRPr="00E216F6">
              <w:rPr>
                <w:rFonts w:cs="Arial"/>
                <w:color w:val="auto"/>
                <w:sz w:val="19"/>
                <w:szCs w:val="19"/>
              </w:rPr>
              <w:t>Déplacement de réseaux exceptionnels</w:t>
            </w:r>
          </w:p>
        </w:tc>
        <w:tc>
          <w:tcPr>
            <w:tcW w:w="1996" w:type="pct"/>
          </w:tcPr>
          <w:p w14:paraId="123C1FE1" w14:textId="65FF0CF4" w:rsidR="00E34C13" w:rsidRPr="00E216F6" w:rsidRDefault="00E34C13" w:rsidP="000F7BA7">
            <w:pPr>
              <w:spacing w:before="40" w:line="240" w:lineRule="auto"/>
              <w:jc w:val="both"/>
              <w:rPr>
                <w:rFonts w:cs="Arial"/>
                <w:color w:val="auto"/>
                <w:sz w:val="19"/>
                <w:szCs w:val="19"/>
              </w:rPr>
            </w:pPr>
            <w:r w:rsidRPr="00E216F6">
              <w:rPr>
                <w:rFonts w:cs="Arial"/>
                <w:sz w:val="19"/>
                <w:szCs w:val="19"/>
              </w:rPr>
              <w:t>Consiste à déplacer tout le réseau e</w:t>
            </w:r>
            <w:r w:rsidR="00C65F5B" w:rsidRPr="00E216F6">
              <w:rPr>
                <w:rFonts w:cs="Arial"/>
                <w:sz w:val="19"/>
                <w:szCs w:val="19"/>
              </w:rPr>
              <w:t>nfoui et aérien (câbles divers</w:t>
            </w:r>
            <w:r w:rsidRPr="00E216F6">
              <w:rPr>
                <w:rFonts w:cs="Arial"/>
                <w:sz w:val="19"/>
                <w:szCs w:val="19"/>
              </w:rPr>
              <w:t xml:space="preserve"> appartenant à divers concessionnaires telles que la SBEE, la SONEB, </w:t>
            </w:r>
            <w:r w:rsidR="00C65F5B" w:rsidRPr="00E216F6">
              <w:rPr>
                <w:rFonts w:cs="Arial"/>
                <w:sz w:val="19"/>
                <w:szCs w:val="19"/>
              </w:rPr>
              <w:t>BTI</w:t>
            </w:r>
            <w:r w:rsidRPr="00E216F6">
              <w:rPr>
                <w:rFonts w:cs="Arial"/>
                <w:sz w:val="19"/>
                <w:szCs w:val="19"/>
              </w:rPr>
              <w:t>, etc.).</w:t>
            </w:r>
          </w:p>
        </w:tc>
      </w:tr>
      <w:tr w:rsidR="00E34C13" w:rsidRPr="00E216F6" w14:paraId="246B9AAD" w14:textId="77777777" w:rsidTr="00E34C13">
        <w:tc>
          <w:tcPr>
            <w:tcW w:w="1453" w:type="pct"/>
            <w:vMerge w:val="restart"/>
            <w:vAlign w:val="center"/>
          </w:tcPr>
          <w:p w14:paraId="54285C1E" w14:textId="3B0ED53A" w:rsidR="00E34C13" w:rsidRPr="00E216F6" w:rsidRDefault="00E34C13" w:rsidP="007025F6">
            <w:pPr>
              <w:spacing w:before="40" w:line="240" w:lineRule="auto"/>
              <w:rPr>
                <w:rFonts w:cs="Arial"/>
                <w:color w:val="auto"/>
                <w:sz w:val="19"/>
                <w:szCs w:val="19"/>
              </w:rPr>
            </w:pPr>
            <w:r w:rsidRPr="00E216F6">
              <w:rPr>
                <w:rFonts w:cs="Arial"/>
                <w:color w:val="auto"/>
                <w:sz w:val="19"/>
                <w:szCs w:val="19"/>
              </w:rPr>
              <w:t>Préparation des plates</w:t>
            </w:r>
            <w:r w:rsidR="00C65F5B" w:rsidRPr="00E216F6">
              <w:rPr>
                <w:rFonts w:cs="Arial"/>
                <w:color w:val="auto"/>
                <w:sz w:val="19"/>
                <w:szCs w:val="19"/>
              </w:rPr>
              <w:t>-formes</w:t>
            </w:r>
          </w:p>
          <w:p w14:paraId="2B62D500" w14:textId="77777777" w:rsidR="00E34C13" w:rsidRPr="00E216F6" w:rsidRDefault="00E34C13" w:rsidP="007025F6">
            <w:pPr>
              <w:spacing w:before="40" w:line="240" w:lineRule="auto"/>
              <w:jc w:val="center"/>
              <w:rPr>
                <w:rFonts w:cs="Arial"/>
                <w:color w:val="auto"/>
                <w:sz w:val="19"/>
                <w:szCs w:val="19"/>
              </w:rPr>
            </w:pPr>
          </w:p>
          <w:p w14:paraId="09921C46" w14:textId="77777777" w:rsidR="00E34C13" w:rsidRPr="00E216F6" w:rsidRDefault="00E34C13" w:rsidP="007025F6">
            <w:pPr>
              <w:spacing w:before="40" w:line="240" w:lineRule="auto"/>
              <w:rPr>
                <w:rFonts w:cs="Arial"/>
                <w:color w:val="auto"/>
                <w:sz w:val="19"/>
                <w:szCs w:val="19"/>
              </w:rPr>
            </w:pPr>
            <w:r w:rsidRPr="00E216F6">
              <w:rPr>
                <w:rFonts w:cs="Arial"/>
                <w:color w:val="auto"/>
                <w:sz w:val="19"/>
                <w:szCs w:val="19"/>
              </w:rPr>
              <w:lastRenderedPageBreak/>
              <w:t>Préparation des assises des collecteurs</w:t>
            </w:r>
          </w:p>
        </w:tc>
        <w:tc>
          <w:tcPr>
            <w:tcW w:w="1551" w:type="pct"/>
          </w:tcPr>
          <w:p w14:paraId="4553508B" w14:textId="77777777" w:rsidR="00E34C13" w:rsidRPr="00E216F6" w:rsidRDefault="00E34C13" w:rsidP="000F7BA7">
            <w:pPr>
              <w:widowControl w:val="0"/>
              <w:autoSpaceDE w:val="0"/>
              <w:autoSpaceDN w:val="0"/>
              <w:adjustRightInd w:val="0"/>
              <w:spacing w:before="40" w:line="240" w:lineRule="auto"/>
              <w:ind w:left="44"/>
              <w:jc w:val="both"/>
              <w:rPr>
                <w:rFonts w:cs="Arial"/>
                <w:spacing w:val="-1"/>
                <w:sz w:val="19"/>
                <w:szCs w:val="19"/>
              </w:rPr>
            </w:pPr>
            <w:r w:rsidRPr="00E216F6">
              <w:rPr>
                <w:rFonts w:cs="Arial"/>
                <w:spacing w:val="-1"/>
                <w:sz w:val="19"/>
                <w:szCs w:val="19"/>
              </w:rPr>
              <w:lastRenderedPageBreak/>
              <w:t>Gestion des déchets de chantiers (solides et liquides)</w:t>
            </w:r>
          </w:p>
        </w:tc>
        <w:tc>
          <w:tcPr>
            <w:tcW w:w="1996" w:type="pct"/>
          </w:tcPr>
          <w:p w14:paraId="2845B74B" w14:textId="3A1E183A" w:rsidR="00E34C13" w:rsidRPr="00E216F6" w:rsidRDefault="001053D5" w:rsidP="000F7BA7">
            <w:pPr>
              <w:widowControl w:val="0"/>
              <w:autoSpaceDE w:val="0"/>
              <w:autoSpaceDN w:val="0"/>
              <w:adjustRightInd w:val="0"/>
              <w:spacing w:before="40" w:line="240" w:lineRule="auto"/>
              <w:jc w:val="both"/>
              <w:rPr>
                <w:rFonts w:cs="Arial"/>
                <w:spacing w:val="-1"/>
                <w:sz w:val="19"/>
                <w:szCs w:val="19"/>
              </w:rPr>
            </w:pPr>
            <w:r w:rsidRPr="00E216F6">
              <w:rPr>
                <w:rFonts w:cs="Arial"/>
                <w:spacing w:val="-1"/>
                <w:sz w:val="19"/>
                <w:szCs w:val="19"/>
              </w:rPr>
              <w:t>Les travaux diver</w:t>
            </w:r>
            <w:r w:rsidR="00E34C13" w:rsidRPr="00E216F6">
              <w:rPr>
                <w:rFonts w:cs="Arial"/>
                <w:spacing w:val="-1"/>
                <w:sz w:val="19"/>
                <w:szCs w:val="19"/>
              </w:rPr>
              <w:t>s sur les bases-vie génèreront des déchets solides et liquides qui méritent une attention particulière pendant les travaux.</w:t>
            </w:r>
          </w:p>
          <w:p w14:paraId="15958713" w14:textId="77777777" w:rsidR="00E34C13" w:rsidRPr="00E216F6" w:rsidRDefault="00E34C13" w:rsidP="000F7BA7">
            <w:pPr>
              <w:widowControl w:val="0"/>
              <w:autoSpaceDE w:val="0"/>
              <w:autoSpaceDN w:val="0"/>
              <w:adjustRightInd w:val="0"/>
              <w:spacing w:before="40" w:line="240" w:lineRule="auto"/>
              <w:jc w:val="both"/>
              <w:rPr>
                <w:rFonts w:cs="Arial"/>
                <w:spacing w:val="-1"/>
                <w:sz w:val="19"/>
                <w:szCs w:val="19"/>
              </w:rPr>
            </w:pPr>
            <w:r w:rsidRPr="00E216F6">
              <w:rPr>
                <w:rFonts w:cs="Arial"/>
                <w:spacing w:val="-1"/>
                <w:sz w:val="19"/>
                <w:szCs w:val="19"/>
              </w:rPr>
              <w:t xml:space="preserve">Il s’agit aussi des déchets issus des </w:t>
            </w:r>
            <w:r w:rsidRPr="00E216F6">
              <w:rPr>
                <w:rFonts w:cs="Arial"/>
                <w:spacing w:val="-1"/>
                <w:sz w:val="19"/>
                <w:szCs w:val="19"/>
              </w:rPr>
              <w:lastRenderedPageBreak/>
              <w:t>travaux de maçonnerie, de ferraillage, de l’infirmerie, de menuiserie, etc.</w:t>
            </w:r>
          </w:p>
        </w:tc>
      </w:tr>
      <w:tr w:rsidR="00E34C13" w:rsidRPr="00E216F6" w14:paraId="0EA3D5C4" w14:textId="77777777" w:rsidTr="00E34C13">
        <w:tc>
          <w:tcPr>
            <w:tcW w:w="1453" w:type="pct"/>
            <w:vMerge/>
          </w:tcPr>
          <w:p w14:paraId="278A383A" w14:textId="77777777" w:rsidR="00E34C13" w:rsidRPr="00E216F6" w:rsidRDefault="00E34C13" w:rsidP="007025F6">
            <w:pPr>
              <w:spacing w:before="40" w:line="240" w:lineRule="auto"/>
              <w:rPr>
                <w:rFonts w:cs="Arial"/>
                <w:color w:val="auto"/>
                <w:sz w:val="19"/>
                <w:szCs w:val="19"/>
              </w:rPr>
            </w:pPr>
          </w:p>
        </w:tc>
        <w:tc>
          <w:tcPr>
            <w:tcW w:w="1551" w:type="pct"/>
          </w:tcPr>
          <w:p w14:paraId="7C9BC16A" w14:textId="77777777" w:rsidR="00E34C13" w:rsidRPr="00E216F6" w:rsidRDefault="00E34C13" w:rsidP="000F7BA7">
            <w:pPr>
              <w:widowControl w:val="0"/>
              <w:autoSpaceDE w:val="0"/>
              <w:autoSpaceDN w:val="0"/>
              <w:adjustRightInd w:val="0"/>
              <w:spacing w:before="40" w:line="240" w:lineRule="auto"/>
              <w:ind w:left="44"/>
              <w:jc w:val="both"/>
              <w:rPr>
                <w:rFonts w:cs="Arial"/>
                <w:spacing w:val="-1"/>
                <w:sz w:val="19"/>
                <w:szCs w:val="19"/>
              </w:rPr>
            </w:pPr>
            <w:r w:rsidRPr="00E216F6">
              <w:rPr>
                <w:rFonts w:cs="Arial"/>
                <w:spacing w:val="-1"/>
                <w:sz w:val="19"/>
                <w:szCs w:val="19"/>
              </w:rPr>
              <w:t>Circulation des équipements et matériels de chantiers/transport de matériaux</w:t>
            </w:r>
          </w:p>
        </w:tc>
        <w:tc>
          <w:tcPr>
            <w:tcW w:w="1996" w:type="pct"/>
          </w:tcPr>
          <w:p w14:paraId="7E57F01F" w14:textId="77777777" w:rsidR="00E34C13" w:rsidRPr="00E216F6" w:rsidRDefault="00E34C13" w:rsidP="000F7BA7">
            <w:pPr>
              <w:widowControl w:val="0"/>
              <w:autoSpaceDE w:val="0"/>
              <w:autoSpaceDN w:val="0"/>
              <w:adjustRightInd w:val="0"/>
              <w:spacing w:before="40" w:line="240" w:lineRule="auto"/>
              <w:jc w:val="both"/>
              <w:rPr>
                <w:rFonts w:cs="Arial"/>
                <w:spacing w:val="-1"/>
                <w:sz w:val="19"/>
                <w:szCs w:val="19"/>
              </w:rPr>
            </w:pPr>
            <w:r w:rsidRPr="00E216F6">
              <w:rPr>
                <w:rFonts w:cs="Arial"/>
                <w:spacing w:val="-1"/>
                <w:sz w:val="19"/>
                <w:szCs w:val="19"/>
              </w:rPr>
              <w:t>Les activités de construction et d’approvisionnement des chantiers en matériaux nécessitent un trafic d’engins (lourds et légers) et de véhicules (camions et autres).</w:t>
            </w:r>
          </w:p>
        </w:tc>
      </w:tr>
      <w:tr w:rsidR="00E34C13" w:rsidRPr="00E216F6" w14:paraId="71C6FE24" w14:textId="77777777" w:rsidTr="00E34C13">
        <w:tc>
          <w:tcPr>
            <w:tcW w:w="1453" w:type="pct"/>
            <w:vMerge/>
          </w:tcPr>
          <w:p w14:paraId="18F589BE" w14:textId="77777777" w:rsidR="00E34C13" w:rsidRPr="00E216F6" w:rsidRDefault="00E34C13" w:rsidP="007025F6">
            <w:pPr>
              <w:spacing w:before="40" w:line="240" w:lineRule="auto"/>
              <w:rPr>
                <w:rFonts w:cs="Arial"/>
                <w:color w:val="auto"/>
                <w:sz w:val="19"/>
                <w:szCs w:val="19"/>
              </w:rPr>
            </w:pPr>
          </w:p>
        </w:tc>
        <w:tc>
          <w:tcPr>
            <w:tcW w:w="1551" w:type="pct"/>
          </w:tcPr>
          <w:p w14:paraId="1EB209A1" w14:textId="77777777" w:rsidR="00E34C13" w:rsidRPr="00E216F6" w:rsidRDefault="00E34C13" w:rsidP="007025F6">
            <w:pPr>
              <w:spacing w:before="40" w:line="240" w:lineRule="auto"/>
              <w:rPr>
                <w:rFonts w:cs="Arial"/>
                <w:spacing w:val="-1"/>
                <w:sz w:val="19"/>
                <w:szCs w:val="19"/>
              </w:rPr>
            </w:pPr>
            <w:r w:rsidRPr="00E216F6">
              <w:rPr>
                <w:rFonts w:cs="Arial"/>
                <w:sz w:val="19"/>
                <w:szCs w:val="19"/>
              </w:rPr>
              <w:t>D</w:t>
            </w:r>
            <w:r w:rsidRPr="00E216F6">
              <w:rPr>
                <w:rFonts w:cs="Arial"/>
                <w:spacing w:val="-1"/>
                <w:sz w:val="19"/>
                <w:szCs w:val="19"/>
              </w:rPr>
              <w:t>é</w:t>
            </w:r>
            <w:r w:rsidRPr="00E216F6">
              <w:rPr>
                <w:rFonts w:cs="Arial"/>
                <w:spacing w:val="1"/>
                <w:sz w:val="19"/>
                <w:szCs w:val="19"/>
              </w:rPr>
              <w:t>c</w:t>
            </w:r>
            <w:r w:rsidRPr="00E216F6">
              <w:rPr>
                <w:rFonts w:cs="Arial"/>
                <w:sz w:val="19"/>
                <w:szCs w:val="19"/>
              </w:rPr>
              <w:t>a</w:t>
            </w:r>
            <w:r w:rsidRPr="00E216F6">
              <w:rPr>
                <w:rFonts w:cs="Arial"/>
                <w:spacing w:val="-1"/>
                <w:sz w:val="19"/>
                <w:szCs w:val="19"/>
              </w:rPr>
              <w:t>p</w:t>
            </w:r>
            <w:r w:rsidRPr="00E216F6">
              <w:rPr>
                <w:rFonts w:cs="Arial"/>
                <w:sz w:val="19"/>
                <w:szCs w:val="19"/>
              </w:rPr>
              <w:t>age/démolition</w:t>
            </w:r>
            <w:r w:rsidRPr="00E216F6">
              <w:rPr>
                <w:rFonts w:cs="Arial"/>
                <w:spacing w:val="-1"/>
                <w:sz w:val="19"/>
                <w:szCs w:val="19"/>
              </w:rPr>
              <w:t xml:space="preserve"> </w:t>
            </w:r>
          </w:p>
          <w:p w14:paraId="2F282388" w14:textId="77777777" w:rsidR="00E34C13" w:rsidRPr="00E216F6" w:rsidRDefault="00E34C13" w:rsidP="007025F6">
            <w:pPr>
              <w:spacing w:before="40" w:line="240" w:lineRule="auto"/>
              <w:rPr>
                <w:rFonts w:cs="Arial"/>
                <w:color w:val="auto"/>
                <w:sz w:val="19"/>
                <w:szCs w:val="19"/>
              </w:rPr>
            </w:pPr>
            <w:r w:rsidRPr="00E216F6">
              <w:rPr>
                <w:rFonts w:cs="Arial"/>
                <w:color w:val="auto"/>
                <w:sz w:val="19"/>
                <w:szCs w:val="19"/>
              </w:rPr>
              <w:t>Débroussaillage – Décapage</w:t>
            </w:r>
          </w:p>
          <w:p w14:paraId="31E7DB2B" w14:textId="77777777" w:rsidR="00E34C13" w:rsidRPr="00E216F6" w:rsidRDefault="00E34C13" w:rsidP="007025F6">
            <w:pPr>
              <w:spacing w:before="40" w:line="240" w:lineRule="auto"/>
              <w:rPr>
                <w:rFonts w:cs="Arial"/>
                <w:color w:val="auto"/>
                <w:sz w:val="19"/>
                <w:szCs w:val="19"/>
              </w:rPr>
            </w:pPr>
            <w:r w:rsidRPr="00E216F6">
              <w:rPr>
                <w:rFonts w:cs="Arial"/>
                <w:color w:val="auto"/>
                <w:sz w:val="19"/>
                <w:szCs w:val="19"/>
              </w:rPr>
              <w:t>Démolition d’ouvrages existants</w:t>
            </w:r>
          </w:p>
          <w:p w14:paraId="26CFD465" w14:textId="77777777" w:rsidR="00E34C13" w:rsidRPr="00E216F6" w:rsidRDefault="00E34C13" w:rsidP="007025F6">
            <w:pPr>
              <w:spacing w:before="40" w:line="240" w:lineRule="auto"/>
              <w:rPr>
                <w:rFonts w:cs="Arial"/>
                <w:color w:val="auto"/>
                <w:sz w:val="19"/>
                <w:szCs w:val="19"/>
              </w:rPr>
            </w:pPr>
            <w:r w:rsidRPr="00E216F6">
              <w:rPr>
                <w:rFonts w:cs="Arial"/>
                <w:color w:val="auto"/>
                <w:sz w:val="19"/>
                <w:szCs w:val="19"/>
              </w:rPr>
              <w:t>Démolition et scarification de chaussée</w:t>
            </w:r>
          </w:p>
          <w:p w14:paraId="0E13DD05" w14:textId="77777777" w:rsidR="00E34C13" w:rsidRPr="00E216F6" w:rsidRDefault="00E34C13" w:rsidP="007025F6">
            <w:pPr>
              <w:spacing w:before="40" w:line="240" w:lineRule="auto"/>
              <w:rPr>
                <w:rFonts w:cs="Arial"/>
                <w:color w:val="auto"/>
                <w:sz w:val="19"/>
                <w:szCs w:val="19"/>
              </w:rPr>
            </w:pPr>
            <w:r w:rsidRPr="00E216F6">
              <w:rPr>
                <w:rFonts w:cs="Arial"/>
                <w:color w:val="auto"/>
                <w:sz w:val="19"/>
                <w:szCs w:val="19"/>
              </w:rPr>
              <w:t>Démolition de bordures</w:t>
            </w:r>
          </w:p>
          <w:p w14:paraId="2B12B061" w14:textId="77777777" w:rsidR="00E34C13" w:rsidRPr="00E216F6" w:rsidRDefault="00E34C13" w:rsidP="007025F6">
            <w:pPr>
              <w:spacing w:before="40" w:line="240" w:lineRule="auto"/>
              <w:rPr>
                <w:rFonts w:cs="Arial"/>
                <w:b/>
                <w:spacing w:val="4"/>
                <w:sz w:val="19"/>
                <w:szCs w:val="19"/>
              </w:rPr>
            </w:pPr>
            <w:r w:rsidRPr="00E216F6">
              <w:rPr>
                <w:rFonts w:cs="Arial"/>
                <w:color w:val="auto"/>
                <w:sz w:val="19"/>
                <w:szCs w:val="19"/>
              </w:rPr>
              <w:t>Curage d’ouvrage de drainage enterré</w:t>
            </w:r>
          </w:p>
        </w:tc>
        <w:tc>
          <w:tcPr>
            <w:tcW w:w="1996" w:type="pct"/>
          </w:tcPr>
          <w:p w14:paraId="07054F7C" w14:textId="77777777" w:rsidR="00E34C13" w:rsidRPr="00E216F6" w:rsidRDefault="00E34C13" w:rsidP="000F7BA7">
            <w:pPr>
              <w:spacing w:before="40" w:line="240" w:lineRule="auto"/>
              <w:jc w:val="both"/>
              <w:rPr>
                <w:rFonts w:cs="Arial"/>
                <w:sz w:val="19"/>
                <w:szCs w:val="19"/>
              </w:rPr>
            </w:pPr>
            <w:r w:rsidRPr="00E216F6">
              <w:rPr>
                <w:rFonts w:cs="Arial"/>
                <w:spacing w:val="1"/>
                <w:sz w:val="19"/>
                <w:szCs w:val="19"/>
              </w:rPr>
              <w:t>Il s’agit d’enlever le substrat existant pour atteindre la couche idéale qui soutiendra les travaux de terrassements</w:t>
            </w:r>
          </w:p>
        </w:tc>
      </w:tr>
      <w:tr w:rsidR="00C65F5B" w:rsidRPr="00E216F6" w14:paraId="35464F33" w14:textId="77777777" w:rsidTr="00C65F5B">
        <w:trPr>
          <w:trHeight w:val="2195"/>
        </w:trPr>
        <w:tc>
          <w:tcPr>
            <w:tcW w:w="1453" w:type="pct"/>
            <w:vMerge/>
          </w:tcPr>
          <w:p w14:paraId="6D5C7155" w14:textId="77777777" w:rsidR="00C65F5B" w:rsidRPr="00E216F6" w:rsidRDefault="00C65F5B" w:rsidP="007025F6">
            <w:pPr>
              <w:spacing w:before="40" w:line="240" w:lineRule="auto"/>
              <w:rPr>
                <w:rFonts w:cs="Arial"/>
                <w:color w:val="auto"/>
                <w:sz w:val="19"/>
                <w:szCs w:val="19"/>
              </w:rPr>
            </w:pPr>
          </w:p>
        </w:tc>
        <w:tc>
          <w:tcPr>
            <w:tcW w:w="1551" w:type="pct"/>
          </w:tcPr>
          <w:p w14:paraId="0E74AC43" w14:textId="370A3B49" w:rsidR="00C65F5B" w:rsidRPr="00E216F6" w:rsidRDefault="00C65F5B" w:rsidP="007025F6">
            <w:pPr>
              <w:widowControl w:val="0"/>
              <w:autoSpaceDE w:val="0"/>
              <w:autoSpaceDN w:val="0"/>
              <w:adjustRightInd w:val="0"/>
              <w:spacing w:before="40" w:line="240" w:lineRule="auto"/>
              <w:ind w:left="44"/>
              <w:rPr>
                <w:rFonts w:cs="Arial"/>
                <w:b/>
                <w:spacing w:val="4"/>
                <w:sz w:val="19"/>
                <w:szCs w:val="19"/>
              </w:rPr>
            </w:pPr>
            <w:r w:rsidRPr="00E216F6">
              <w:rPr>
                <w:rFonts w:cs="Arial"/>
                <w:spacing w:val="1"/>
                <w:sz w:val="19"/>
                <w:szCs w:val="19"/>
              </w:rPr>
              <w:t>T</w:t>
            </w:r>
            <w:r w:rsidRPr="00E216F6">
              <w:rPr>
                <w:rFonts w:cs="Arial"/>
                <w:sz w:val="19"/>
                <w:szCs w:val="19"/>
              </w:rPr>
              <w:t>rava</w:t>
            </w:r>
            <w:r w:rsidRPr="00E216F6">
              <w:rPr>
                <w:rFonts w:cs="Arial"/>
                <w:spacing w:val="-1"/>
                <w:sz w:val="19"/>
                <w:szCs w:val="19"/>
              </w:rPr>
              <w:t>u</w:t>
            </w:r>
            <w:r w:rsidRPr="00E216F6">
              <w:rPr>
                <w:rFonts w:cs="Arial"/>
                <w:sz w:val="19"/>
                <w:szCs w:val="19"/>
              </w:rPr>
              <w:t>x</w:t>
            </w:r>
            <w:r w:rsidRPr="00E216F6">
              <w:rPr>
                <w:rFonts w:cs="Arial"/>
                <w:spacing w:val="-1"/>
                <w:sz w:val="19"/>
                <w:szCs w:val="19"/>
              </w:rPr>
              <w:t xml:space="preserve"> d</w:t>
            </w:r>
            <w:r w:rsidRPr="00E216F6">
              <w:rPr>
                <w:rFonts w:cs="Arial"/>
                <w:sz w:val="19"/>
                <w:szCs w:val="19"/>
              </w:rPr>
              <w:t>e</w:t>
            </w:r>
            <w:r w:rsidRPr="00E216F6">
              <w:rPr>
                <w:rFonts w:cs="Arial"/>
                <w:spacing w:val="-1"/>
                <w:sz w:val="19"/>
                <w:szCs w:val="19"/>
              </w:rPr>
              <w:t xml:space="preserve"> </w:t>
            </w:r>
            <w:r w:rsidRPr="00E216F6">
              <w:rPr>
                <w:rFonts w:cs="Arial"/>
                <w:sz w:val="19"/>
                <w:szCs w:val="19"/>
              </w:rPr>
              <w:t>f</w:t>
            </w:r>
            <w:r w:rsidRPr="00E216F6">
              <w:rPr>
                <w:rFonts w:cs="Arial"/>
                <w:spacing w:val="1"/>
                <w:sz w:val="19"/>
                <w:szCs w:val="19"/>
              </w:rPr>
              <w:t>o</w:t>
            </w:r>
            <w:r w:rsidRPr="00E216F6">
              <w:rPr>
                <w:rFonts w:cs="Arial"/>
                <w:spacing w:val="-1"/>
                <w:sz w:val="19"/>
                <w:szCs w:val="19"/>
              </w:rPr>
              <w:t>u</w:t>
            </w:r>
            <w:r w:rsidRPr="00E216F6">
              <w:rPr>
                <w:rFonts w:cs="Arial"/>
                <w:sz w:val="19"/>
                <w:szCs w:val="19"/>
              </w:rPr>
              <w:t>il</w:t>
            </w:r>
            <w:r w:rsidRPr="00E216F6">
              <w:rPr>
                <w:rFonts w:cs="Arial"/>
                <w:spacing w:val="2"/>
                <w:sz w:val="19"/>
                <w:szCs w:val="19"/>
              </w:rPr>
              <w:t>l</w:t>
            </w:r>
            <w:r w:rsidRPr="00E216F6">
              <w:rPr>
                <w:rFonts w:cs="Arial"/>
                <w:sz w:val="19"/>
                <w:szCs w:val="19"/>
              </w:rPr>
              <w:t>es</w:t>
            </w:r>
            <w:r w:rsidRPr="00E216F6">
              <w:rPr>
                <w:rFonts w:cs="Arial"/>
                <w:spacing w:val="-1"/>
                <w:sz w:val="19"/>
                <w:szCs w:val="19"/>
              </w:rPr>
              <w:t xml:space="preserve"> </w:t>
            </w:r>
          </w:p>
        </w:tc>
        <w:tc>
          <w:tcPr>
            <w:tcW w:w="1996" w:type="pct"/>
          </w:tcPr>
          <w:p w14:paraId="2D014CD9" w14:textId="77777777" w:rsidR="00C65F5B" w:rsidRPr="00E216F6" w:rsidRDefault="00C65F5B" w:rsidP="000F7BA7">
            <w:pPr>
              <w:spacing w:before="40" w:line="240" w:lineRule="auto"/>
              <w:jc w:val="both"/>
              <w:rPr>
                <w:rFonts w:cs="Arial"/>
                <w:spacing w:val="1"/>
                <w:sz w:val="19"/>
                <w:szCs w:val="19"/>
              </w:rPr>
            </w:pPr>
            <w:r w:rsidRPr="00E216F6">
              <w:rPr>
                <w:rFonts w:cs="Arial"/>
                <w:spacing w:val="1"/>
                <w:sz w:val="19"/>
                <w:szCs w:val="19"/>
              </w:rPr>
              <w:t>Ce sont les travaux d’excavation permettant l’ouverture des tranchées pour faire ressortir tous les objets enfouis qui se retrouveraient sur le tracé du collecteur ou caniveau à construire</w:t>
            </w:r>
          </w:p>
          <w:p w14:paraId="25EDF7C0" w14:textId="77777777" w:rsidR="00C65F5B" w:rsidRPr="00E216F6" w:rsidRDefault="00C65F5B" w:rsidP="000F7BA7">
            <w:pPr>
              <w:spacing w:before="40" w:line="240" w:lineRule="auto"/>
              <w:jc w:val="both"/>
              <w:rPr>
                <w:rFonts w:cs="Arial"/>
                <w:sz w:val="19"/>
                <w:szCs w:val="19"/>
              </w:rPr>
            </w:pPr>
            <w:r w:rsidRPr="00E216F6">
              <w:rPr>
                <w:rFonts w:cs="Arial"/>
                <w:spacing w:val="1"/>
                <w:sz w:val="19"/>
                <w:szCs w:val="19"/>
              </w:rPr>
              <w:t xml:space="preserve">Fouilles pour réaliser les caniveaux des rues </w:t>
            </w:r>
          </w:p>
        </w:tc>
      </w:tr>
      <w:tr w:rsidR="00E34C13" w:rsidRPr="00E216F6" w14:paraId="72A6EED5" w14:textId="77777777" w:rsidTr="00E34C13">
        <w:tc>
          <w:tcPr>
            <w:tcW w:w="1453" w:type="pct"/>
          </w:tcPr>
          <w:p w14:paraId="57DB887B" w14:textId="77777777" w:rsidR="00E34C13" w:rsidRPr="00E216F6" w:rsidRDefault="00E34C13" w:rsidP="007025F6">
            <w:pPr>
              <w:spacing w:before="40" w:line="240" w:lineRule="auto"/>
              <w:rPr>
                <w:rFonts w:cs="Arial"/>
                <w:color w:val="auto"/>
                <w:sz w:val="19"/>
                <w:szCs w:val="19"/>
              </w:rPr>
            </w:pPr>
            <w:r w:rsidRPr="00E216F6">
              <w:rPr>
                <w:rFonts w:cs="Arial"/>
                <w:color w:val="auto"/>
                <w:sz w:val="19"/>
                <w:szCs w:val="19"/>
              </w:rPr>
              <w:t xml:space="preserve">Terrassement </w:t>
            </w:r>
          </w:p>
        </w:tc>
        <w:tc>
          <w:tcPr>
            <w:tcW w:w="1551" w:type="pct"/>
          </w:tcPr>
          <w:p w14:paraId="506586F2" w14:textId="38C32DD4" w:rsidR="00247DBE" w:rsidRPr="00E216F6" w:rsidRDefault="00C65F5B" w:rsidP="000F7BA7">
            <w:pPr>
              <w:spacing w:before="40" w:line="240" w:lineRule="auto"/>
              <w:jc w:val="both"/>
              <w:rPr>
                <w:rFonts w:cs="Arial"/>
                <w:sz w:val="19"/>
                <w:szCs w:val="19"/>
              </w:rPr>
            </w:pPr>
            <w:r w:rsidRPr="00E216F6">
              <w:rPr>
                <w:rFonts w:cs="Arial"/>
                <w:sz w:val="19"/>
                <w:szCs w:val="19"/>
              </w:rPr>
              <w:t>Pu</w:t>
            </w:r>
            <w:r w:rsidRPr="00E216F6">
              <w:rPr>
                <w:rFonts w:cs="Arial"/>
                <w:spacing w:val="-1"/>
                <w:sz w:val="19"/>
                <w:szCs w:val="19"/>
              </w:rPr>
              <w:t>rg</w:t>
            </w:r>
            <w:r w:rsidRPr="00E216F6">
              <w:rPr>
                <w:rFonts w:cs="Arial"/>
                <w:sz w:val="19"/>
                <w:szCs w:val="19"/>
              </w:rPr>
              <w:t>e</w:t>
            </w:r>
            <w:r w:rsidRPr="00E216F6">
              <w:rPr>
                <w:rFonts w:cs="Arial"/>
                <w:spacing w:val="-1"/>
                <w:sz w:val="19"/>
                <w:szCs w:val="19"/>
              </w:rPr>
              <w:t xml:space="preserve"> </w:t>
            </w:r>
            <w:r w:rsidRPr="00E216F6">
              <w:rPr>
                <w:rFonts w:cs="Arial"/>
                <w:sz w:val="19"/>
                <w:szCs w:val="19"/>
              </w:rPr>
              <w:t>im</w:t>
            </w:r>
            <w:r w:rsidRPr="00E216F6">
              <w:rPr>
                <w:rFonts w:cs="Arial"/>
                <w:spacing w:val="-1"/>
                <w:sz w:val="19"/>
                <w:szCs w:val="19"/>
              </w:rPr>
              <w:t>p</w:t>
            </w:r>
            <w:r w:rsidRPr="00E216F6">
              <w:rPr>
                <w:rFonts w:cs="Arial"/>
                <w:spacing w:val="1"/>
                <w:sz w:val="19"/>
                <w:szCs w:val="19"/>
              </w:rPr>
              <w:t>o</w:t>
            </w:r>
            <w:r w:rsidRPr="00E216F6">
              <w:rPr>
                <w:rFonts w:cs="Arial"/>
                <w:sz w:val="19"/>
                <w:szCs w:val="19"/>
              </w:rPr>
              <w:t>r</w:t>
            </w:r>
            <w:r w:rsidRPr="00E216F6">
              <w:rPr>
                <w:rFonts w:cs="Arial"/>
                <w:spacing w:val="-1"/>
                <w:sz w:val="19"/>
                <w:szCs w:val="19"/>
              </w:rPr>
              <w:t>t</w:t>
            </w:r>
            <w:r w:rsidRPr="00E216F6">
              <w:rPr>
                <w:rFonts w:cs="Arial"/>
                <w:spacing w:val="2"/>
                <w:sz w:val="19"/>
                <w:szCs w:val="19"/>
              </w:rPr>
              <w:t>a</w:t>
            </w:r>
            <w:r w:rsidRPr="00E216F6">
              <w:rPr>
                <w:rFonts w:cs="Arial"/>
                <w:spacing w:val="-1"/>
                <w:sz w:val="19"/>
                <w:szCs w:val="19"/>
              </w:rPr>
              <w:t>n</w:t>
            </w:r>
            <w:r w:rsidRPr="00E216F6">
              <w:rPr>
                <w:rFonts w:cs="Arial"/>
                <w:sz w:val="19"/>
                <w:szCs w:val="19"/>
              </w:rPr>
              <w:t xml:space="preserve">te </w:t>
            </w:r>
            <w:r w:rsidRPr="00E216F6">
              <w:rPr>
                <w:rFonts w:cs="Arial"/>
                <w:spacing w:val="-1"/>
                <w:sz w:val="19"/>
                <w:szCs w:val="19"/>
              </w:rPr>
              <w:t>e</w:t>
            </w:r>
            <w:r w:rsidRPr="00E216F6">
              <w:rPr>
                <w:rFonts w:cs="Arial"/>
                <w:sz w:val="19"/>
                <w:szCs w:val="19"/>
              </w:rPr>
              <w:t xml:space="preserve">t </w:t>
            </w:r>
            <w:r w:rsidRPr="00E216F6">
              <w:rPr>
                <w:rFonts w:cs="Arial"/>
                <w:spacing w:val="2"/>
                <w:sz w:val="19"/>
                <w:szCs w:val="19"/>
              </w:rPr>
              <w:t>m</w:t>
            </w:r>
            <w:r w:rsidRPr="00E216F6">
              <w:rPr>
                <w:rFonts w:cs="Arial"/>
                <w:sz w:val="19"/>
                <w:szCs w:val="19"/>
              </w:rPr>
              <w:t>i</w:t>
            </w:r>
            <w:r w:rsidRPr="00E216F6">
              <w:rPr>
                <w:rFonts w:cs="Arial"/>
                <w:spacing w:val="-1"/>
                <w:sz w:val="19"/>
                <w:szCs w:val="19"/>
              </w:rPr>
              <w:t>s</w:t>
            </w:r>
            <w:r w:rsidR="00CD7397" w:rsidRPr="00E216F6">
              <w:rPr>
                <w:rFonts w:cs="Arial"/>
                <w:spacing w:val="-1"/>
                <w:sz w:val="19"/>
                <w:szCs w:val="19"/>
              </w:rPr>
              <w:t>e</w:t>
            </w:r>
            <w:r w:rsidRPr="00E216F6">
              <w:rPr>
                <w:rFonts w:cs="Arial"/>
                <w:spacing w:val="2"/>
                <w:sz w:val="19"/>
                <w:szCs w:val="19"/>
              </w:rPr>
              <w:t xml:space="preserve"> </w:t>
            </w:r>
            <w:r w:rsidRPr="00E216F6">
              <w:rPr>
                <w:rFonts w:cs="Arial"/>
                <w:spacing w:val="-1"/>
                <w:sz w:val="19"/>
                <w:szCs w:val="19"/>
              </w:rPr>
              <w:t>dép</w:t>
            </w:r>
            <w:r w:rsidRPr="00E216F6">
              <w:rPr>
                <w:rFonts w:cs="Arial"/>
                <w:spacing w:val="1"/>
                <w:sz w:val="19"/>
                <w:szCs w:val="19"/>
              </w:rPr>
              <w:t>ô</w:t>
            </w:r>
            <w:r w:rsidRPr="00E216F6">
              <w:rPr>
                <w:rFonts w:cs="Arial"/>
                <w:sz w:val="19"/>
                <w:szCs w:val="19"/>
              </w:rPr>
              <w:t>t</w:t>
            </w:r>
            <w:r w:rsidRPr="00E216F6">
              <w:rPr>
                <w:rFonts w:cs="Arial"/>
                <w:spacing w:val="2"/>
                <w:sz w:val="19"/>
                <w:szCs w:val="19"/>
              </w:rPr>
              <w:t xml:space="preserve"> </w:t>
            </w:r>
            <w:r w:rsidRPr="00E216F6">
              <w:rPr>
                <w:rFonts w:cs="Arial"/>
                <w:spacing w:val="-1"/>
                <w:sz w:val="19"/>
                <w:szCs w:val="19"/>
              </w:rPr>
              <w:t>de</w:t>
            </w:r>
            <w:r w:rsidRPr="00E216F6">
              <w:rPr>
                <w:rFonts w:cs="Arial"/>
                <w:sz w:val="19"/>
                <w:szCs w:val="19"/>
              </w:rPr>
              <w:t xml:space="preserve">s </w:t>
            </w:r>
            <w:r w:rsidRPr="00E216F6">
              <w:rPr>
                <w:rFonts w:cs="Arial"/>
                <w:spacing w:val="-1"/>
                <w:sz w:val="19"/>
                <w:szCs w:val="19"/>
              </w:rPr>
              <w:t>p</w:t>
            </w:r>
            <w:r w:rsidRPr="00E216F6">
              <w:rPr>
                <w:rFonts w:cs="Arial"/>
                <w:sz w:val="19"/>
                <w:szCs w:val="19"/>
              </w:rPr>
              <w:t>r</w:t>
            </w:r>
            <w:r w:rsidRPr="00E216F6">
              <w:rPr>
                <w:rFonts w:cs="Arial"/>
                <w:spacing w:val="1"/>
                <w:sz w:val="19"/>
                <w:szCs w:val="19"/>
              </w:rPr>
              <w:t>o</w:t>
            </w:r>
            <w:r w:rsidRPr="00E216F6">
              <w:rPr>
                <w:rFonts w:cs="Arial"/>
                <w:spacing w:val="-1"/>
                <w:sz w:val="19"/>
                <w:szCs w:val="19"/>
              </w:rPr>
              <w:t>du</w:t>
            </w:r>
            <w:r w:rsidRPr="00E216F6">
              <w:rPr>
                <w:rFonts w:cs="Arial"/>
                <w:sz w:val="19"/>
                <w:szCs w:val="19"/>
              </w:rPr>
              <w:t>i</w:t>
            </w:r>
            <w:r w:rsidRPr="00E216F6">
              <w:rPr>
                <w:rFonts w:cs="Arial"/>
                <w:spacing w:val="2"/>
                <w:sz w:val="19"/>
                <w:szCs w:val="19"/>
              </w:rPr>
              <w:t>t</w:t>
            </w:r>
            <w:r w:rsidRPr="00E216F6">
              <w:rPr>
                <w:rFonts w:cs="Arial"/>
                <w:sz w:val="19"/>
                <w:szCs w:val="19"/>
              </w:rPr>
              <w:t>s</w:t>
            </w:r>
          </w:p>
          <w:p w14:paraId="3B47C08A" w14:textId="61F6D5A4" w:rsidR="00247DBE" w:rsidRPr="00E216F6" w:rsidRDefault="00247DBE" w:rsidP="000F7BA7">
            <w:pPr>
              <w:spacing w:before="40" w:line="240" w:lineRule="auto"/>
              <w:jc w:val="both"/>
              <w:rPr>
                <w:rFonts w:cs="Arial"/>
                <w:color w:val="auto"/>
                <w:sz w:val="19"/>
                <w:szCs w:val="19"/>
              </w:rPr>
            </w:pPr>
            <w:r w:rsidRPr="00E216F6">
              <w:rPr>
                <w:rFonts w:cs="Arial"/>
                <w:color w:val="auto"/>
                <w:sz w:val="19"/>
                <w:szCs w:val="19"/>
              </w:rPr>
              <w:t>Déblais en grande masse en terrain meuble et mis en dépôt</w:t>
            </w:r>
          </w:p>
          <w:p w14:paraId="00038D66" w14:textId="77777777" w:rsidR="00247DBE" w:rsidRPr="00E216F6" w:rsidRDefault="00247DBE" w:rsidP="000F7BA7">
            <w:pPr>
              <w:spacing w:before="40" w:line="240" w:lineRule="auto"/>
              <w:jc w:val="both"/>
              <w:rPr>
                <w:rFonts w:cs="Arial"/>
                <w:color w:val="auto"/>
                <w:sz w:val="19"/>
                <w:szCs w:val="19"/>
              </w:rPr>
            </w:pPr>
            <w:r w:rsidRPr="00E216F6">
              <w:rPr>
                <w:rFonts w:cs="Arial"/>
                <w:color w:val="auto"/>
                <w:sz w:val="19"/>
                <w:szCs w:val="19"/>
              </w:rPr>
              <w:t xml:space="preserve">Fouilles et excavations </w:t>
            </w:r>
          </w:p>
          <w:p w14:paraId="1B559DFB" w14:textId="13A2AE0D" w:rsidR="00247DBE" w:rsidRPr="00E216F6" w:rsidRDefault="00247DBE" w:rsidP="000F7BA7">
            <w:pPr>
              <w:spacing w:before="40" w:line="240" w:lineRule="auto"/>
              <w:jc w:val="both"/>
              <w:rPr>
                <w:rFonts w:cs="Arial"/>
                <w:sz w:val="19"/>
                <w:szCs w:val="19"/>
              </w:rPr>
            </w:pPr>
            <w:r w:rsidRPr="00E216F6">
              <w:rPr>
                <w:rFonts w:cs="Arial"/>
                <w:color w:val="auto"/>
                <w:sz w:val="19"/>
                <w:szCs w:val="19"/>
              </w:rPr>
              <w:t>Mis</w:t>
            </w:r>
            <w:r w:rsidR="00CD7397" w:rsidRPr="00E216F6">
              <w:rPr>
                <w:rFonts w:cs="Arial"/>
                <w:color w:val="auto"/>
                <w:sz w:val="19"/>
                <w:szCs w:val="19"/>
              </w:rPr>
              <w:t>e</w:t>
            </w:r>
            <w:r w:rsidRPr="00E216F6">
              <w:rPr>
                <w:rFonts w:cs="Arial"/>
                <w:color w:val="auto"/>
                <w:sz w:val="19"/>
                <w:szCs w:val="19"/>
              </w:rPr>
              <w:t xml:space="preserve"> en dépôt de remblais provenant des déblais</w:t>
            </w:r>
          </w:p>
          <w:p w14:paraId="1C0FB41F" w14:textId="2E87D619" w:rsidR="00C65F5B" w:rsidRPr="00E216F6" w:rsidRDefault="00C65F5B" w:rsidP="000F7BA7">
            <w:pPr>
              <w:spacing w:before="40" w:line="240" w:lineRule="auto"/>
              <w:jc w:val="both"/>
              <w:rPr>
                <w:rFonts w:cs="Arial"/>
                <w:color w:val="auto"/>
                <w:sz w:val="19"/>
                <w:szCs w:val="19"/>
              </w:rPr>
            </w:pPr>
            <w:r w:rsidRPr="00E216F6">
              <w:rPr>
                <w:rFonts w:cs="Arial"/>
                <w:sz w:val="19"/>
                <w:szCs w:val="19"/>
              </w:rPr>
              <w:t xml:space="preserve">Remblais </w:t>
            </w:r>
          </w:p>
        </w:tc>
        <w:tc>
          <w:tcPr>
            <w:tcW w:w="1996" w:type="pct"/>
          </w:tcPr>
          <w:p w14:paraId="41EBA6A5" w14:textId="580FF77D" w:rsidR="00C65F5B" w:rsidRPr="00E216F6" w:rsidRDefault="00C65F5B" w:rsidP="000F7BA7">
            <w:pPr>
              <w:spacing w:before="40" w:line="240" w:lineRule="auto"/>
              <w:jc w:val="both"/>
              <w:rPr>
                <w:rFonts w:cs="Arial"/>
                <w:color w:val="auto"/>
                <w:sz w:val="19"/>
                <w:szCs w:val="19"/>
              </w:rPr>
            </w:pPr>
            <w:r w:rsidRPr="00E216F6">
              <w:rPr>
                <w:rFonts w:cs="Arial"/>
                <w:sz w:val="19"/>
                <w:szCs w:val="19"/>
              </w:rPr>
              <w:t>C’est l’enlèvement des déchets, de la vase et de la terre de mauvaise tenure ou qualité</w:t>
            </w:r>
          </w:p>
          <w:p w14:paraId="4FE8E876" w14:textId="77777777" w:rsidR="00E34C13" w:rsidRPr="00E216F6" w:rsidRDefault="00E34C13" w:rsidP="000F7BA7">
            <w:pPr>
              <w:spacing w:before="40" w:line="240" w:lineRule="auto"/>
              <w:jc w:val="both"/>
              <w:rPr>
                <w:rFonts w:cs="Arial"/>
                <w:color w:val="auto"/>
                <w:sz w:val="19"/>
                <w:szCs w:val="19"/>
              </w:rPr>
            </w:pPr>
            <w:r w:rsidRPr="00E216F6">
              <w:rPr>
                <w:rFonts w:cs="Arial"/>
                <w:color w:val="auto"/>
                <w:sz w:val="19"/>
                <w:szCs w:val="19"/>
              </w:rPr>
              <w:t xml:space="preserve">Mise en place des couches successives devant constituer la chaussée </w:t>
            </w:r>
          </w:p>
          <w:p w14:paraId="217DD025" w14:textId="0710874F" w:rsidR="00247DBE" w:rsidRPr="00E216F6" w:rsidRDefault="00247DBE" w:rsidP="000F7BA7">
            <w:pPr>
              <w:spacing w:before="40" w:line="240" w:lineRule="auto"/>
              <w:jc w:val="both"/>
              <w:rPr>
                <w:rFonts w:cs="Arial"/>
                <w:color w:val="auto"/>
                <w:sz w:val="19"/>
                <w:szCs w:val="19"/>
              </w:rPr>
            </w:pPr>
          </w:p>
        </w:tc>
      </w:tr>
      <w:tr w:rsidR="00B97F07" w:rsidRPr="00E216F6" w14:paraId="43648C3C" w14:textId="77777777" w:rsidTr="00E34C13">
        <w:tc>
          <w:tcPr>
            <w:tcW w:w="1453" w:type="pct"/>
          </w:tcPr>
          <w:p w14:paraId="5F7F533B" w14:textId="77777777" w:rsidR="00B97F07" w:rsidRPr="00E216F6" w:rsidRDefault="00B97F07" w:rsidP="007025F6">
            <w:pPr>
              <w:spacing w:before="40" w:line="240" w:lineRule="auto"/>
              <w:rPr>
                <w:rFonts w:cs="Arial"/>
                <w:color w:val="auto"/>
                <w:sz w:val="19"/>
                <w:szCs w:val="19"/>
              </w:rPr>
            </w:pPr>
          </w:p>
          <w:p w14:paraId="32A8F8A5" w14:textId="0B9A572B" w:rsidR="00B97F07" w:rsidRPr="00E216F6" w:rsidRDefault="00B97F07" w:rsidP="007025F6">
            <w:pPr>
              <w:spacing w:before="40" w:line="240" w:lineRule="auto"/>
              <w:rPr>
                <w:rFonts w:cs="Arial"/>
                <w:color w:val="auto"/>
                <w:sz w:val="19"/>
                <w:szCs w:val="19"/>
              </w:rPr>
            </w:pPr>
            <w:r w:rsidRPr="00E216F6">
              <w:rPr>
                <w:rFonts w:cs="Arial"/>
                <w:color w:val="auto"/>
                <w:sz w:val="19"/>
                <w:szCs w:val="19"/>
              </w:rPr>
              <w:t xml:space="preserve">Emprunts de matériaux </w:t>
            </w:r>
          </w:p>
          <w:p w14:paraId="17578F3C" w14:textId="77777777" w:rsidR="00B97F07" w:rsidRPr="00E216F6" w:rsidRDefault="00B97F07" w:rsidP="007025F6">
            <w:pPr>
              <w:spacing w:before="40" w:line="240" w:lineRule="auto"/>
              <w:rPr>
                <w:rFonts w:cs="Arial"/>
                <w:color w:val="auto"/>
                <w:sz w:val="19"/>
                <w:szCs w:val="19"/>
              </w:rPr>
            </w:pPr>
            <w:r w:rsidRPr="00E216F6">
              <w:rPr>
                <w:rFonts w:cs="Arial"/>
                <w:color w:val="auto"/>
                <w:sz w:val="19"/>
                <w:szCs w:val="19"/>
              </w:rPr>
              <w:t xml:space="preserve">Carrières </w:t>
            </w:r>
          </w:p>
        </w:tc>
        <w:tc>
          <w:tcPr>
            <w:tcW w:w="1551" w:type="pct"/>
          </w:tcPr>
          <w:p w14:paraId="151EBA9B" w14:textId="77777777" w:rsidR="00B97F07" w:rsidRPr="00E216F6" w:rsidRDefault="00B97F07" w:rsidP="000F7BA7">
            <w:pPr>
              <w:spacing w:before="40" w:line="240" w:lineRule="auto"/>
              <w:jc w:val="both"/>
              <w:rPr>
                <w:rFonts w:cs="Arial"/>
                <w:color w:val="auto"/>
                <w:sz w:val="19"/>
                <w:szCs w:val="19"/>
              </w:rPr>
            </w:pPr>
            <w:r w:rsidRPr="00E216F6">
              <w:rPr>
                <w:rFonts w:cs="Arial"/>
                <w:color w:val="auto"/>
                <w:sz w:val="19"/>
                <w:szCs w:val="19"/>
              </w:rPr>
              <w:t>Extraction de matériaux</w:t>
            </w:r>
          </w:p>
          <w:p w14:paraId="56E97C90" w14:textId="77777777" w:rsidR="00B97F07" w:rsidRPr="00E216F6" w:rsidRDefault="00B97F07" w:rsidP="000F7BA7">
            <w:pPr>
              <w:spacing w:before="40" w:line="240" w:lineRule="auto"/>
              <w:jc w:val="both"/>
              <w:rPr>
                <w:rFonts w:cs="Arial"/>
                <w:color w:val="auto"/>
                <w:sz w:val="19"/>
                <w:szCs w:val="19"/>
              </w:rPr>
            </w:pPr>
            <w:r w:rsidRPr="00E216F6">
              <w:rPr>
                <w:rFonts w:cs="Arial"/>
                <w:color w:val="auto"/>
                <w:sz w:val="19"/>
                <w:szCs w:val="19"/>
              </w:rPr>
              <w:t>Gerbage de matériaux en carrière et sur site</w:t>
            </w:r>
          </w:p>
          <w:p w14:paraId="565C7940" w14:textId="77777777" w:rsidR="00B97F07" w:rsidRPr="00E216F6" w:rsidRDefault="00B97F07" w:rsidP="000F7BA7">
            <w:pPr>
              <w:spacing w:before="40" w:line="240" w:lineRule="auto"/>
              <w:jc w:val="both"/>
              <w:rPr>
                <w:rFonts w:cs="Arial"/>
                <w:color w:val="auto"/>
                <w:sz w:val="19"/>
                <w:szCs w:val="19"/>
              </w:rPr>
            </w:pPr>
            <w:r w:rsidRPr="00E216F6">
              <w:rPr>
                <w:rFonts w:cs="Arial"/>
                <w:color w:val="auto"/>
                <w:sz w:val="19"/>
                <w:szCs w:val="19"/>
              </w:rPr>
              <w:t>Apport de matériaux de fondation</w:t>
            </w:r>
          </w:p>
          <w:p w14:paraId="34A47D65" w14:textId="77777777" w:rsidR="00B97F07" w:rsidRPr="00E216F6" w:rsidRDefault="00B97F07" w:rsidP="000F7BA7">
            <w:pPr>
              <w:spacing w:before="40" w:line="240" w:lineRule="auto"/>
              <w:jc w:val="both"/>
              <w:rPr>
                <w:rFonts w:cs="Arial"/>
                <w:color w:val="auto"/>
                <w:sz w:val="19"/>
                <w:szCs w:val="19"/>
              </w:rPr>
            </w:pPr>
            <w:r w:rsidRPr="00E216F6">
              <w:rPr>
                <w:rFonts w:cs="Arial"/>
                <w:color w:val="auto"/>
                <w:sz w:val="19"/>
                <w:szCs w:val="19"/>
              </w:rPr>
              <w:t>Apport de matériaux de remblais</w:t>
            </w:r>
          </w:p>
          <w:p w14:paraId="256B49CF" w14:textId="77777777" w:rsidR="00B97F07" w:rsidRPr="00E216F6" w:rsidRDefault="00B97F07" w:rsidP="000F7BA7">
            <w:pPr>
              <w:spacing w:before="40" w:line="240" w:lineRule="auto"/>
              <w:jc w:val="both"/>
              <w:rPr>
                <w:rFonts w:cs="Arial"/>
                <w:color w:val="auto"/>
                <w:sz w:val="19"/>
                <w:szCs w:val="19"/>
              </w:rPr>
            </w:pPr>
            <w:r w:rsidRPr="00E216F6">
              <w:rPr>
                <w:rFonts w:cs="Arial"/>
                <w:color w:val="auto"/>
                <w:sz w:val="19"/>
                <w:szCs w:val="19"/>
              </w:rPr>
              <w:t>Concassage et apport de matériaux de concassage</w:t>
            </w:r>
          </w:p>
          <w:p w14:paraId="1FFB53EE" w14:textId="77777777" w:rsidR="00B97F07" w:rsidRPr="00E216F6" w:rsidRDefault="00B97F07" w:rsidP="000F7BA7">
            <w:pPr>
              <w:spacing w:before="40" w:line="240" w:lineRule="auto"/>
              <w:jc w:val="both"/>
              <w:rPr>
                <w:rFonts w:cs="Arial"/>
                <w:color w:val="auto"/>
                <w:sz w:val="19"/>
                <w:szCs w:val="19"/>
              </w:rPr>
            </w:pPr>
            <w:r w:rsidRPr="00E216F6">
              <w:rPr>
                <w:rFonts w:cs="Arial"/>
                <w:color w:val="auto"/>
                <w:sz w:val="19"/>
                <w:szCs w:val="19"/>
              </w:rPr>
              <w:t>Transport des matériaux sur les chantiers</w:t>
            </w:r>
          </w:p>
        </w:tc>
        <w:tc>
          <w:tcPr>
            <w:tcW w:w="1996" w:type="pct"/>
          </w:tcPr>
          <w:p w14:paraId="07CFA11D" w14:textId="77777777" w:rsidR="00B97F07" w:rsidRPr="00E216F6" w:rsidRDefault="00B97F07" w:rsidP="000F7BA7">
            <w:pPr>
              <w:spacing w:before="40" w:line="240" w:lineRule="auto"/>
              <w:jc w:val="both"/>
              <w:rPr>
                <w:rFonts w:cs="Arial"/>
                <w:color w:val="auto"/>
                <w:sz w:val="19"/>
                <w:szCs w:val="19"/>
              </w:rPr>
            </w:pPr>
            <w:r w:rsidRPr="00E216F6">
              <w:rPr>
                <w:rFonts w:cs="Arial"/>
                <w:color w:val="auto"/>
                <w:sz w:val="19"/>
                <w:szCs w:val="19"/>
              </w:rPr>
              <w:t xml:space="preserve">Tenir compte des zones où sont prélevées les matériaux de construction </w:t>
            </w:r>
          </w:p>
        </w:tc>
      </w:tr>
      <w:tr w:rsidR="00B97F07" w:rsidRPr="00E216F6" w14:paraId="0C528CA4" w14:textId="77777777" w:rsidTr="00E34C13">
        <w:tc>
          <w:tcPr>
            <w:tcW w:w="1453" w:type="pct"/>
          </w:tcPr>
          <w:p w14:paraId="46FC2087" w14:textId="77777777" w:rsidR="00B97F07" w:rsidRPr="00E216F6" w:rsidRDefault="00B97F07" w:rsidP="007025F6">
            <w:pPr>
              <w:spacing w:before="40" w:line="240" w:lineRule="auto"/>
              <w:rPr>
                <w:rFonts w:cs="Arial"/>
                <w:color w:val="auto"/>
                <w:sz w:val="19"/>
                <w:szCs w:val="19"/>
              </w:rPr>
            </w:pPr>
          </w:p>
          <w:p w14:paraId="5178B960" w14:textId="77777777" w:rsidR="00B97F07" w:rsidRPr="00E216F6" w:rsidRDefault="00B97F07" w:rsidP="007025F6">
            <w:pPr>
              <w:spacing w:before="40" w:line="240" w:lineRule="auto"/>
              <w:rPr>
                <w:rFonts w:cs="Arial"/>
                <w:color w:val="auto"/>
                <w:sz w:val="19"/>
                <w:szCs w:val="19"/>
              </w:rPr>
            </w:pPr>
            <w:r w:rsidRPr="00E216F6">
              <w:rPr>
                <w:rFonts w:cs="Arial"/>
                <w:color w:val="auto"/>
                <w:sz w:val="19"/>
                <w:szCs w:val="19"/>
              </w:rPr>
              <w:t xml:space="preserve">Construction des collecteurs </w:t>
            </w:r>
          </w:p>
          <w:p w14:paraId="1F6C8C04" w14:textId="77777777" w:rsidR="00B97F07" w:rsidRPr="00E216F6" w:rsidRDefault="00B97F07" w:rsidP="007025F6">
            <w:pPr>
              <w:spacing w:before="40" w:line="240" w:lineRule="auto"/>
              <w:rPr>
                <w:rFonts w:cs="Arial"/>
                <w:color w:val="auto"/>
                <w:sz w:val="19"/>
                <w:szCs w:val="19"/>
              </w:rPr>
            </w:pPr>
          </w:p>
          <w:p w14:paraId="22443DC3" w14:textId="78A22CF5" w:rsidR="00B97F07" w:rsidRPr="00E216F6" w:rsidRDefault="00B97F07" w:rsidP="007025F6">
            <w:pPr>
              <w:spacing w:before="40" w:line="240" w:lineRule="auto"/>
              <w:rPr>
                <w:rFonts w:cs="Arial"/>
                <w:color w:val="auto"/>
                <w:sz w:val="19"/>
                <w:szCs w:val="19"/>
              </w:rPr>
            </w:pPr>
            <w:r w:rsidRPr="00E216F6">
              <w:rPr>
                <w:rFonts w:cs="Arial"/>
                <w:color w:val="auto"/>
                <w:sz w:val="19"/>
                <w:szCs w:val="19"/>
              </w:rPr>
              <w:t>Constructions des Chaussées et Trottoirs</w:t>
            </w:r>
          </w:p>
        </w:tc>
        <w:tc>
          <w:tcPr>
            <w:tcW w:w="1551" w:type="pct"/>
          </w:tcPr>
          <w:p w14:paraId="2F02202E" w14:textId="77777777" w:rsidR="00B97F07" w:rsidRPr="00E216F6" w:rsidRDefault="00B97F07" w:rsidP="000F7BA7">
            <w:pPr>
              <w:spacing w:before="40" w:line="240" w:lineRule="auto"/>
              <w:jc w:val="both"/>
              <w:rPr>
                <w:rFonts w:cs="Arial"/>
                <w:color w:val="auto"/>
                <w:sz w:val="19"/>
                <w:szCs w:val="19"/>
              </w:rPr>
            </w:pPr>
            <w:r w:rsidRPr="00E216F6">
              <w:rPr>
                <w:rFonts w:cs="Arial"/>
                <w:color w:val="auto"/>
                <w:sz w:val="19"/>
                <w:szCs w:val="19"/>
              </w:rPr>
              <w:t xml:space="preserve">Mise en œuvre de matériaux pour Couche de fondation et base </w:t>
            </w:r>
          </w:p>
          <w:p w14:paraId="7F996358" w14:textId="77777777" w:rsidR="00B97F07" w:rsidRPr="00E216F6" w:rsidRDefault="00B97F07" w:rsidP="000F7BA7">
            <w:pPr>
              <w:spacing w:before="40" w:line="240" w:lineRule="auto"/>
              <w:jc w:val="both"/>
              <w:rPr>
                <w:rFonts w:cs="Arial"/>
                <w:color w:val="auto"/>
                <w:sz w:val="19"/>
                <w:szCs w:val="19"/>
              </w:rPr>
            </w:pPr>
            <w:r w:rsidRPr="00E216F6">
              <w:rPr>
                <w:rFonts w:cs="Arial"/>
                <w:color w:val="auto"/>
                <w:sz w:val="19"/>
                <w:szCs w:val="19"/>
              </w:rPr>
              <w:t>Compactage de matériaux pour chaussées</w:t>
            </w:r>
          </w:p>
          <w:p w14:paraId="3A85109E" w14:textId="77777777" w:rsidR="00B97F07" w:rsidRPr="00E216F6" w:rsidRDefault="00B97F07" w:rsidP="000F7BA7">
            <w:pPr>
              <w:spacing w:before="40" w:line="240" w:lineRule="auto"/>
              <w:jc w:val="both"/>
              <w:rPr>
                <w:rFonts w:cs="Arial"/>
                <w:color w:val="auto"/>
                <w:sz w:val="19"/>
                <w:szCs w:val="19"/>
              </w:rPr>
            </w:pPr>
            <w:r w:rsidRPr="00E216F6">
              <w:rPr>
                <w:rFonts w:cs="Arial"/>
                <w:color w:val="auto"/>
                <w:sz w:val="19"/>
                <w:szCs w:val="19"/>
              </w:rPr>
              <w:t xml:space="preserve">Préfabrication d’éléments pavés ou bordures </w:t>
            </w:r>
          </w:p>
          <w:p w14:paraId="1DDB5BBC" w14:textId="77777777" w:rsidR="00B97F07" w:rsidRPr="00E216F6" w:rsidRDefault="00B97F07" w:rsidP="000F7BA7">
            <w:pPr>
              <w:spacing w:before="40" w:line="240" w:lineRule="auto"/>
              <w:jc w:val="both"/>
              <w:rPr>
                <w:rFonts w:cs="Arial"/>
                <w:color w:val="auto"/>
                <w:sz w:val="19"/>
                <w:szCs w:val="19"/>
              </w:rPr>
            </w:pPr>
            <w:r w:rsidRPr="00E216F6">
              <w:rPr>
                <w:rFonts w:cs="Arial"/>
                <w:color w:val="auto"/>
                <w:sz w:val="19"/>
                <w:szCs w:val="19"/>
              </w:rPr>
              <w:t>Mise en œuvre d’éléments préfabriqués</w:t>
            </w:r>
          </w:p>
          <w:p w14:paraId="035B0914" w14:textId="77777777" w:rsidR="00B97F07" w:rsidRPr="00E216F6" w:rsidRDefault="00B97F07" w:rsidP="000F7BA7">
            <w:pPr>
              <w:spacing w:before="40" w:line="240" w:lineRule="auto"/>
              <w:jc w:val="both"/>
              <w:rPr>
                <w:rFonts w:cs="Arial"/>
                <w:color w:val="auto"/>
                <w:sz w:val="19"/>
                <w:szCs w:val="19"/>
              </w:rPr>
            </w:pPr>
            <w:r w:rsidRPr="00E216F6">
              <w:rPr>
                <w:rFonts w:cs="Arial"/>
                <w:color w:val="auto"/>
                <w:sz w:val="19"/>
                <w:szCs w:val="19"/>
              </w:rPr>
              <w:t xml:space="preserve">Mise en forme de la couche de roulement </w:t>
            </w:r>
          </w:p>
          <w:p w14:paraId="5677E635" w14:textId="77777777" w:rsidR="00B97F07" w:rsidRPr="00E216F6" w:rsidRDefault="00B97F07" w:rsidP="000F7BA7">
            <w:pPr>
              <w:spacing w:before="40" w:line="240" w:lineRule="auto"/>
              <w:jc w:val="both"/>
              <w:rPr>
                <w:rFonts w:cs="Arial"/>
                <w:color w:val="auto"/>
                <w:sz w:val="19"/>
                <w:szCs w:val="19"/>
              </w:rPr>
            </w:pPr>
            <w:r w:rsidRPr="00E216F6">
              <w:rPr>
                <w:rFonts w:cs="Arial"/>
                <w:color w:val="auto"/>
                <w:sz w:val="19"/>
                <w:szCs w:val="19"/>
              </w:rPr>
              <w:t>Revêtement de la chaussée</w:t>
            </w:r>
          </w:p>
        </w:tc>
        <w:tc>
          <w:tcPr>
            <w:tcW w:w="1996" w:type="pct"/>
          </w:tcPr>
          <w:p w14:paraId="50C763F5" w14:textId="77777777" w:rsidR="00B97F07" w:rsidRPr="00E216F6" w:rsidRDefault="00B97F07" w:rsidP="007025F6">
            <w:pPr>
              <w:spacing w:before="40" w:line="240" w:lineRule="auto"/>
              <w:rPr>
                <w:rFonts w:cs="Arial"/>
                <w:color w:val="auto"/>
                <w:sz w:val="19"/>
                <w:szCs w:val="19"/>
              </w:rPr>
            </w:pPr>
          </w:p>
        </w:tc>
      </w:tr>
      <w:tr w:rsidR="00B97F07" w:rsidRPr="00E216F6" w14:paraId="0AD29F19" w14:textId="77777777" w:rsidTr="00E34C13">
        <w:tc>
          <w:tcPr>
            <w:tcW w:w="1453" w:type="pct"/>
          </w:tcPr>
          <w:p w14:paraId="14AE2679" w14:textId="77777777" w:rsidR="00B97F07" w:rsidRPr="00E216F6" w:rsidRDefault="00B97F07" w:rsidP="007025F6">
            <w:pPr>
              <w:spacing w:before="40" w:line="240" w:lineRule="auto"/>
              <w:rPr>
                <w:rFonts w:cs="Arial"/>
                <w:color w:val="auto"/>
                <w:sz w:val="19"/>
                <w:szCs w:val="19"/>
              </w:rPr>
            </w:pPr>
          </w:p>
          <w:p w14:paraId="7806AFCB" w14:textId="77777777" w:rsidR="00B97F07" w:rsidRPr="00E216F6" w:rsidRDefault="00B97F07" w:rsidP="007025F6">
            <w:pPr>
              <w:spacing w:before="40" w:line="240" w:lineRule="auto"/>
              <w:rPr>
                <w:rFonts w:cs="Arial"/>
                <w:color w:val="auto"/>
                <w:sz w:val="19"/>
                <w:szCs w:val="19"/>
              </w:rPr>
            </w:pPr>
            <w:r w:rsidRPr="00E216F6">
              <w:rPr>
                <w:rFonts w:cs="Arial"/>
                <w:color w:val="auto"/>
                <w:sz w:val="19"/>
                <w:szCs w:val="19"/>
              </w:rPr>
              <w:t>Assainissement et drainage</w:t>
            </w:r>
          </w:p>
        </w:tc>
        <w:tc>
          <w:tcPr>
            <w:tcW w:w="1551" w:type="pct"/>
          </w:tcPr>
          <w:p w14:paraId="3392F5A9" w14:textId="77777777" w:rsidR="00B97F07" w:rsidRPr="00E216F6" w:rsidRDefault="00B97F07" w:rsidP="000F7BA7">
            <w:pPr>
              <w:spacing w:before="40" w:line="240" w:lineRule="auto"/>
              <w:jc w:val="both"/>
              <w:rPr>
                <w:rFonts w:cs="Arial"/>
                <w:color w:val="auto"/>
                <w:sz w:val="19"/>
                <w:szCs w:val="19"/>
              </w:rPr>
            </w:pPr>
            <w:r w:rsidRPr="00E216F6">
              <w:rPr>
                <w:rFonts w:cs="Arial"/>
                <w:color w:val="auto"/>
                <w:sz w:val="19"/>
                <w:szCs w:val="19"/>
              </w:rPr>
              <w:t xml:space="preserve">Fouilles pour ouvrage de drainage </w:t>
            </w:r>
          </w:p>
          <w:p w14:paraId="27E71210" w14:textId="77777777" w:rsidR="00B97F07" w:rsidRPr="00E216F6" w:rsidRDefault="00B97F07" w:rsidP="000F7BA7">
            <w:pPr>
              <w:spacing w:before="40" w:line="240" w:lineRule="auto"/>
              <w:jc w:val="both"/>
              <w:rPr>
                <w:rFonts w:cs="Arial"/>
                <w:color w:val="auto"/>
                <w:sz w:val="19"/>
                <w:szCs w:val="19"/>
              </w:rPr>
            </w:pPr>
            <w:r w:rsidRPr="00E216F6">
              <w:rPr>
                <w:rFonts w:cs="Arial"/>
                <w:color w:val="auto"/>
                <w:sz w:val="19"/>
                <w:szCs w:val="19"/>
              </w:rPr>
              <w:t xml:space="preserve">Mise en œuvre de matériaux pour construction d’ouvrage </w:t>
            </w:r>
            <w:r w:rsidRPr="00E216F6">
              <w:rPr>
                <w:rFonts w:cs="Arial"/>
                <w:color w:val="auto"/>
                <w:sz w:val="19"/>
                <w:szCs w:val="19"/>
              </w:rPr>
              <w:lastRenderedPageBreak/>
              <w:t>d’art, construction de fossés ou de caniveaux, construction de divergents</w:t>
            </w:r>
          </w:p>
        </w:tc>
        <w:tc>
          <w:tcPr>
            <w:tcW w:w="1996" w:type="pct"/>
          </w:tcPr>
          <w:p w14:paraId="66ACB618" w14:textId="77777777" w:rsidR="00B97F07" w:rsidRPr="00E216F6" w:rsidRDefault="00B97F07" w:rsidP="007025F6">
            <w:pPr>
              <w:spacing w:before="40" w:line="240" w:lineRule="auto"/>
              <w:rPr>
                <w:rFonts w:cs="Arial"/>
                <w:color w:val="auto"/>
                <w:sz w:val="19"/>
                <w:szCs w:val="19"/>
              </w:rPr>
            </w:pPr>
          </w:p>
        </w:tc>
      </w:tr>
      <w:tr w:rsidR="00B97F07" w:rsidRPr="00E216F6" w14:paraId="5672B3EC" w14:textId="77777777" w:rsidTr="00E34C13">
        <w:tc>
          <w:tcPr>
            <w:tcW w:w="1453" w:type="pct"/>
          </w:tcPr>
          <w:p w14:paraId="00EEDEF2" w14:textId="77777777" w:rsidR="00B97F07" w:rsidRPr="00E216F6" w:rsidRDefault="00B97F07" w:rsidP="007025F6">
            <w:pPr>
              <w:spacing w:before="40" w:line="240" w:lineRule="auto"/>
              <w:rPr>
                <w:rFonts w:cs="Arial"/>
                <w:color w:val="auto"/>
                <w:sz w:val="19"/>
                <w:szCs w:val="19"/>
              </w:rPr>
            </w:pPr>
          </w:p>
          <w:p w14:paraId="66EB8DBA" w14:textId="77777777" w:rsidR="00B97F07" w:rsidRPr="00E216F6" w:rsidRDefault="00B97F07" w:rsidP="007025F6">
            <w:pPr>
              <w:spacing w:before="40" w:line="240" w:lineRule="auto"/>
              <w:rPr>
                <w:rFonts w:cs="Arial"/>
                <w:color w:val="auto"/>
                <w:sz w:val="19"/>
                <w:szCs w:val="19"/>
              </w:rPr>
            </w:pPr>
            <w:r w:rsidRPr="00E216F6">
              <w:rPr>
                <w:rFonts w:cs="Arial"/>
                <w:color w:val="auto"/>
                <w:sz w:val="19"/>
                <w:szCs w:val="19"/>
              </w:rPr>
              <w:t xml:space="preserve">Mesures d’accompagnement </w:t>
            </w:r>
          </w:p>
        </w:tc>
        <w:tc>
          <w:tcPr>
            <w:tcW w:w="1551" w:type="pct"/>
          </w:tcPr>
          <w:p w14:paraId="75A91207" w14:textId="77777777" w:rsidR="00B97F07" w:rsidRPr="00E216F6" w:rsidRDefault="00B97F07" w:rsidP="000F7BA7">
            <w:pPr>
              <w:widowControl w:val="0"/>
              <w:tabs>
                <w:tab w:val="left" w:pos="426"/>
                <w:tab w:val="left" w:pos="851"/>
                <w:tab w:val="left" w:pos="1134"/>
              </w:tabs>
              <w:overflowPunct w:val="0"/>
              <w:autoSpaceDE w:val="0"/>
              <w:autoSpaceDN w:val="0"/>
              <w:adjustRightInd w:val="0"/>
              <w:spacing w:before="40" w:line="240" w:lineRule="auto"/>
              <w:jc w:val="both"/>
              <w:textAlignment w:val="baseline"/>
              <w:rPr>
                <w:rFonts w:eastAsia="Times New Roman" w:cs="Arial"/>
                <w:color w:val="auto"/>
                <w:sz w:val="19"/>
                <w:szCs w:val="19"/>
                <w:lang w:eastAsia="fr-FR"/>
              </w:rPr>
            </w:pPr>
            <w:r w:rsidRPr="00E216F6">
              <w:rPr>
                <w:rFonts w:eastAsia="Times New Roman" w:cs="Arial"/>
                <w:color w:val="auto"/>
                <w:sz w:val="19"/>
                <w:szCs w:val="19"/>
                <w:lang w:eastAsia="fr-FR"/>
              </w:rPr>
              <w:t>Protection des talus</w:t>
            </w:r>
          </w:p>
          <w:p w14:paraId="72258CB4" w14:textId="77777777" w:rsidR="00B97F07" w:rsidRPr="00E216F6" w:rsidRDefault="00B97F07" w:rsidP="000F7BA7">
            <w:pPr>
              <w:widowControl w:val="0"/>
              <w:tabs>
                <w:tab w:val="left" w:pos="426"/>
                <w:tab w:val="left" w:pos="851"/>
                <w:tab w:val="left" w:pos="1134"/>
              </w:tabs>
              <w:overflowPunct w:val="0"/>
              <w:autoSpaceDE w:val="0"/>
              <w:autoSpaceDN w:val="0"/>
              <w:adjustRightInd w:val="0"/>
              <w:spacing w:before="40" w:line="240" w:lineRule="auto"/>
              <w:jc w:val="both"/>
              <w:textAlignment w:val="baseline"/>
              <w:rPr>
                <w:rFonts w:eastAsia="Times New Roman" w:cs="Arial"/>
                <w:color w:val="auto"/>
                <w:sz w:val="19"/>
                <w:szCs w:val="19"/>
                <w:lang w:eastAsia="fr-FR"/>
              </w:rPr>
            </w:pPr>
            <w:r w:rsidRPr="00E216F6">
              <w:rPr>
                <w:rFonts w:eastAsia="Times New Roman" w:cs="Arial"/>
                <w:color w:val="auto"/>
                <w:sz w:val="19"/>
                <w:szCs w:val="19"/>
                <w:lang w:eastAsia="fr-FR"/>
              </w:rPr>
              <w:t xml:space="preserve">Plantation d’arbres </w:t>
            </w:r>
          </w:p>
          <w:p w14:paraId="7F0903FE" w14:textId="77777777" w:rsidR="00B97F07" w:rsidRPr="00E216F6" w:rsidRDefault="00B97F07" w:rsidP="000F7BA7">
            <w:pPr>
              <w:widowControl w:val="0"/>
              <w:tabs>
                <w:tab w:val="left" w:pos="426"/>
                <w:tab w:val="left" w:pos="851"/>
                <w:tab w:val="left" w:pos="1134"/>
              </w:tabs>
              <w:overflowPunct w:val="0"/>
              <w:autoSpaceDE w:val="0"/>
              <w:autoSpaceDN w:val="0"/>
              <w:adjustRightInd w:val="0"/>
              <w:spacing w:before="40" w:line="240" w:lineRule="auto"/>
              <w:jc w:val="both"/>
              <w:textAlignment w:val="baseline"/>
              <w:rPr>
                <w:rFonts w:eastAsia="Times New Roman" w:cs="Arial"/>
                <w:color w:val="auto"/>
                <w:sz w:val="19"/>
                <w:szCs w:val="19"/>
                <w:lang w:eastAsia="fr-FR"/>
              </w:rPr>
            </w:pPr>
            <w:r w:rsidRPr="00E216F6">
              <w:rPr>
                <w:rFonts w:eastAsia="Times New Roman" w:cs="Arial"/>
                <w:color w:val="auto"/>
                <w:sz w:val="19"/>
                <w:szCs w:val="19"/>
                <w:lang w:eastAsia="fr-FR"/>
              </w:rPr>
              <w:t>Eclairage (optionnel)</w:t>
            </w:r>
          </w:p>
          <w:p w14:paraId="5C783A68" w14:textId="531422A1" w:rsidR="0009253E" w:rsidRPr="00E216F6" w:rsidRDefault="0009253E" w:rsidP="000F7BA7">
            <w:pPr>
              <w:widowControl w:val="0"/>
              <w:tabs>
                <w:tab w:val="left" w:pos="426"/>
                <w:tab w:val="left" w:pos="851"/>
                <w:tab w:val="left" w:pos="1134"/>
              </w:tabs>
              <w:overflowPunct w:val="0"/>
              <w:autoSpaceDE w:val="0"/>
              <w:autoSpaceDN w:val="0"/>
              <w:adjustRightInd w:val="0"/>
              <w:spacing w:before="40" w:line="240" w:lineRule="auto"/>
              <w:jc w:val="both"/>
              <w:textAlignment w:val="baseline"/>
              <w:rPr>
                <w:rFonts w:eastAsia="Times New Roman" w:cs="Arial"/>
                <w:color w:val="auto"/>
                <w:sz w:val="19"/>
                <w:szCs w:val="19"/>
                <w:lang w:eastAsia="fr-FR"/>
              </w:rPr>
            </w:pPr>
            <w:r w:rsidRPr="00E216F6">
              <w:rPr>
                <w:rFonts w:eastAsia="Times New Roman" w:cs="Arial"/>
                <w:color w:val="auto"/>
                <w:sz w:val="19"/>
                <w:szCs w:val="19"/>
                <w:lang w:eastAsia="fr-FR"/>
              </w:rPr>
              <w:t>Clôture des infrastructures sociocommunautaires</w:t>
            </w:r>
          </w:p>
          <w:p w14:paraId="01BFF180" w14:textId="1E1B2BF0" w:rsidR="0009253E" w:rsidRPr="00E216F6" w:rsidRDefault="0009253E" w:rsidP="000F7BA7">
            <w:pPr>
              <w:widowControl w:val="0"/>
              <w:tabs>
                <w:tab w:val="left" w:pos="426"/>
                <w:tab w:val="left" w:pos="851"/>
                <w:tab w:val="left" w:pos="1134"/>
              </w:tabs>
              <w:overflowPunct w:val="0"/>
              <w:autoSpaceDE w:val="0"/>
              <w:autoSpaceDN w:val="0"/>
              <w:adjustRightInd w:val="0"/>
              <w:spacing w:before="40" w:line="240" w:lineRule="auto"/>
              <w:jc w:val="both"/>
              <w:textAlignment w:val="baseline"/>
              <w:rPr>
                <w:rFonts w:eastAsia="Times New Roman" w:cs="Arial"/>
                <w:color w:val="auto"/>
                <w:sz w:val="19"/>
                <w:szCs w:val="19"/>
                <w:lang w:eastAsia="fr-FR"/>
              </w:rPr>
            </w:pPr>
            <w:r w:rsidRPr="00E216F6">
              <w:rPr>
                <w:rFonts w:eastAsia="Times New Roman" w:cs="Arial"/>
                <w:color w:val="auto"/>
                <w:sz w:val="19"/>
                <w:szCs w:val="19"/>
                <w:lang w:eastAsia="fr-FR"/>
              </w:rPr>
              <w:t xml:space="preserve">Construction de latrines </w:t>
            </w:r>
          </w:p>
          <w:p w14:paraId="1371598D" w14:textId="13E144AE" w:rsidR="00A9330B" w:rsidRPr="00E216F6" w:rsidRDefault="00A9330B" w:rsidP="000F7BA7">
            <w:pPr>
              <w:widowControl w:val="0"/>
              <w:tabs>
                <w:tab w:val="left" w:pos="426"/>
                <w:tab w:val="left" w:pos="851"/>
                <w:tab w:val="left" w:pos="1134"/>
              </w:tabs>
              <w:overflowPunct w:val="0"/>
              <w:autoSpaceDE w:val="0"/>
              <w:autoSpaceDN w:val="0"/>
              <w:adjustRightInd w:val="0"/>
              <w:spacing w:before="40" w:line="240" w:lineRule="auto"/>
              <w:jc w:val="both"/>
              <w:textAlignment w:val="baseline"/>
              <w:rPr>
                <w:rFonts w:eastAsia="Times New Roman" w:cs="Arial"/>
                <w:color w:val="auto"/>
                <w:sz w:val="19"/>
                <w:szCs w:val="19"/>
                <w:lang w:eastAsia="fr-FR"/>
              </w:rPr>
            </w:pPr>
            <w:r w:rsidRPr="00E216F6">
              <w:rPr>
                <w:rFonts w:eastAsia="Times New Roman" w:cs="Arial"/>
                <w:color w:val="auto"/>
                <w:sz w:val="19"/>
                <w:szCs w:val="19"/>
                <w:lang w:eastAsia="fr-FR"/>
              </w:rPr>
              <w:t xml:space="preserve">Construction de point de regroupement de déchets </w:t>
            </w:r>
          </w:p>
          <w:p w14:paraId="44148361" w14:textId="62D35FB0" w:rsidR="00A9330B" w:rsidRPr="00E216F6" w:rsidRDefault="00A9330B" w:rsidP="000F7BA7">
            <w:pPr>
              <w:widowControl w:val="0"/>
              <w:tabs>
                <w:tab w:val="left" w:pos="426"/>
                <w:tab w:val="left" w:pos="851"/>
                <w:tab w:val="left" w:pos="1134"/>
              </w:tabs>
              <w:overflowPunct w:val="0"/>
              <w:autoSpaceDE w:val="0"/>
              <w:autoSpaceDN w:val="0"/>
              <w:adjustRightInd w:val="0"/>
              <w:spacing w:before="40" w:line="240" w:lineRule="auto"/>
              <w:jc w:val="both"/>
              <w:textAlignment w:val="baseline"/>
              <w:rPr>
                <w:rFonts w:eastAsia="Times New Roman" w:cs="Arial"/>
                <w:color w:val="auto"/>
                <w:sz w:val="19"/>
                <w:szCs w:val="19"/>
                <w:lang w:eastAsia="fr-FR"/>
              </w:rPr>
            </w:pPr>
            <w:r w:rsidRPr="00E216F6">
              <w:rPr>
                <w:rFonts w:eastAsia="Times New Roman" w:cs="Arial"/>
                <w:color w:val="auto"/>
                <w:sz w:val="19"/>
                <w:szCs w:val="19"/>
                <w:lang w:eastAsia="fr-FR"/>
              </w:rPr>
              <w:t xml:space="preserve">Réalisation de forage pour l’alimentation en eau potable au niveau des exutoires </w:t>
            </w:r>
          </w:p>
          <w:p w14:paraId="62C2FE3E" w14:textId="77777777" w:rsidR="0009253E" w:rsidRPr="00E216F6" w:rsidRDefault="00E216F6" w:rsidP="000F7BA7">
            <w:pPr>
              <w:widowControl w:val="0"/>
              <w:tabs>
                <w:tab w:val="left" w:pos="426"/>
                <w:tab w:val="left" w:pos="851"/>
                <w:tab w:val="left" w:pos="1134"/>
              </w:tabs>
              <w:overflowPunct w:val="0"/>
              <w:autoSpaceDE w:val="0"/>
              <w:autoSpaceDN w:val="0"/>
              <w:adjustRightInd w:val="0"/>
              <w:spacing w:before="40" w:line="240" w:lineRule="auto"/>
              <w:jc w:val="both"/>
              <w:textAlignment w:val="baseline"/>
              <w:rPr>
                <w:rFonts w:eastAsia="Times New Roman" w:cs="Arial"/>
                <w:color w:val="auto"/>
                <w:sz w:val="19"/>
                <w:szCs w:val="19"/>
                <w:lang w:eastAsia="fr-FR"/>
              </w:rPr>
            </w:pPr>
            <w:r w:rsidRPr="00E216F6">
              <w:rPr>
                <w:rFonts w:eastAsia="Times New Roman" w:cs="Arial"/>
                <w:color w:val="auto"/>
                <w:sz w:val="19"/>
                <w:szCs w:val="19"/>
                <w:lang w:eastAsia="fr-FR"/>
              </w:rPr>
              <w:t xml:space="preserve">Construction de piège à sédiment au niveau des exutoires </w:t>
            </w:r>
          </w:p>
          <w:p w14:paraId="2593C077" w14:textId="13A4C768" w:rsidR="00E216F6" w:rsidRPr="00E216F6" w:rsidRDefault="00E216F6" w:rsidP="000F7BA7">
            <w:pPr>
              <w:widowControl w:val="0"/>
              <w:tabs>
                <w:tab w:val="left" w:pos="426"/>
                <w:tab w:val="left" w:pos="851"/>
                <w:tab w:val="left" w:pos="1134"/>
              </w:tabs>
              <w:overflowPunct w:val="0"/>
              <w:autoSpaceDE w:val="0"/>
              <w:autoSpaceDN w:val="0"/>
              <w:adjustRightInd w:val="0"/>
              <w:spacing w:before="40" w:line="240" w:lineRule="auto"/>
              <w:jc w:val="both"/>
              <w:textAlignment w:val="baseline"/>
              <w:rPr>
                <w:rFonts w:eastAsia="Times New Roman" w:cs="Arial"/>
                <w:color w:val="auto"/>
                <w:sz w:val="19"/>
                <w:szCs w:val="19"/>
                <w:lang w:eastAsia="fr-FR"/>
              </w:rPr>
            </w:pPr>
            <w:r w:rsidRPr="00E216F6">
              <w:rPr>
                <w:rFonts w:eastAsia="Times New Roman" w:cs="Arial"/>
                <w:color w:val="auto"/>
                <w:sz w:val="19"/>
                <w:szCs w:val="19"/>
                <w:lang w:eastAsia="fr-FR"/>
              </w:rPr>
              <w:t>Réalisation d’un dispositif de récupération des déchets</w:t>
            </w:r>
            <w:r>
              <w:rPr>
                <w:rFonts w:eastAsia="Times New Roman" w:cs="Arial"/>
                <w:color w:val="auto"/>
                <w:sz w:val="19"/>
                <w:szCs w:val="19"/>
                <w:lang w:eastAsia="fr-FR"/>
              </w:rPr>
              <w:t xml:space="preserve"> solides au niveau de la sorti</w:t>
            </w:r>
            <w:r w:rsidRPr="00E216F6">
              <w:rPr>
                <w:rFonts w:eastAsia="Times New Roman" w:cs="Arial"/>
                <w:color w:val="auto"/>
                <w:sz w:val="19"/>
                <w:szCs w:val="19"/>
                <w:lang w:eastAsia="fr-FR"/>
              </w:rPr>
              <w:t xml:space="preserve">e des eaux en aval des ouvrages </w:t>
            </w:r>
          </w:p>
        </w:tc>
        <w:tc>
          <w:tcPr>
            <w:tcW w:w="1996" w:type="pct"/>
          </w:tcPr>
          <w:p w14:paraId="304B5E70" w14:textId="77777777" w:rsidR="00B97F07" w:rsidRPr="00E216F6" w:rsidRDefault="00B97F07" w:rsidP="007025F6">
            <w:pPr>
              <w:widowControl w:val="0"/>
              <w:tabs>
                <w:tab w:val="left" w:pos="426"/>
                <w:tab w:val="left" w:pos="851"/>
                <w:tab w:val="left" w:pos="1134"/>
              </w:tabs>
              <w:overflowPunct w:val="0"/>
              <w:autoSpaceDE w:val="0"/>
              <w:autoSpaceDN w:val="0"/>
              <w:adjustRightInd w:val="0"/>
              <w:spacing w:before="40" w:line="240" w:lineRule="auto"/>
              <w:textAlignment w:val="baseline"/>
              <w:rPr>
                <w:rFonts w:eastAsia="Times New Roman" w:cs="Arial"/>
                <w:color w:val="auto"/>
                <w:sz w:val="19"/>
                <w:szCs w:val="19"/>
                <w:lang w:eastAsia="fr-FR"/>
              </w:rPr>
            </w:pPr>
          </w:p>
        </w:tc>
      </w:tr>
      <w:tr w:rsidR="00B97F07" w:rsidRPr="00E216F6" w14:paraId="0996AEBE" w14:textId="77777777" w:rsidTr="00E34C13">
        <w:tc>
          <w:tcPr>
            <w:tcW w:w="1453" w:type="pct"/>
          </w:tcPr>
          <w:p w14:paraId="3E14E9F0" w14:textId="3BA07D5D" w:rsidR="00B97F07" w:rsidRPr="00E216F6" w:rsidRDefault="00B97F07" w:rsidP="007025F6">
            <w:pPr>
              <w:spacing w:before="40" w:line="240" w:lineRule="auto"/>
              <w:rPr>
                <w:rFonts w:cs="Arial"/>
                <w:color w:val="auto"/>
                <w:sz w:val="19"/>
                <w:szCs w:val="19"/>
              </w:rPr>
            </w:pPr>
          </w:p>
          <w:p w14:paraId="435F767A" w14:textId="77777777" w:rsidR="00B97F07" w:rsidRPr="00E216F6" w:rsidRDefault="00B97F07" w:rsidP="007025F6">
            <w:pPr>
              <w:spacing w:before="40" w:line="240" w:lineRule="auto"/>
              <w:rPr>
                <w:rFonts w:cs="Arial"/>
                <w:color w:val="auto"/>
                <w:sz w:val="19"/>
                <w:szCs w:val="19"/>
              </w:rPr>
            </w:pPr>
            <w:r w:rsidRPr="00E216F6">
              <w:rPr>
                <w:rFonts w:cs="Arial"/>
                <w:color w:val="auto"/>
                <w:sz w:val="19"/>
                <w:szCs w:val="19"/>
              </w:rPr>
              <w:t xml:space="preserve">Repli du chantier </w:t>
            </w:r>
          </w:p>
        </w:tc>
        <w:tc>
          <w:tcPr>
            <w:tcW w:w="1551" w:type="pct"/>
          </w:tcPr>
          <w:p w14:paraId="4050FB70" w14:textId="77777777" w:rsidR="00B97F07" w:rsidRPr="00E216F6" w:rsidRDefault="00B97F07" w:rsidP="000F7BA7">
            <w:pPr>
              <w:widowControl w:val="0"/>
              <w:tabs>
                <w:tab w:val="left" w:pos="426"/>
                <w:tab w:val="left" w:pos="851"/>
                <w:tab w:val="left" w:pos="1134"/>
              </w:tabs>
              <w:overflowPunct w:val="0"/>
              <w:autoSpaceDE w:val="0"/>
              <w:autoSpaceDN w:val="0"/>
              <w:adjustRightInd w:val="0"/>
              <w:spacing w:before="40" w:line="240" w:lineRule="auto"/>
              <w:jc w:val="both"/>
              <w:textAlignment w:val="baseline"/>
              <w:rPr>
                <w:rFonts w:eastAsia="Times New Roman" w:cs="Arial"/>
                <w:color w:val="auto"/>
                <w:sz w:val="19"/>
                <w:szCs w:val="19"/>
                <w:lang w:eastAsia="fr-FR"/>
              </w:rPr>
            </w:pPr>
            <w:r w:rsidRPr="00E216F6">
              <w:rPr>
                <w:rFonts w:eastAsia="Times New Roman" w:cs="Arial"/>
                <w:color w:val="auto"/>
                <w:sz w:val="19"/>
                <w:szCs w:val="19"/>
                <w:lang w:eastAsia="fr-FR"/>
              </w:rPr>
              <w:t>Nettoyage du site et des bases</w:t>
            </w:r>
          </w:p>
          <w:p w14:paraId="7DCADEB6" w14:textId="77777777" w:rsidR="00B97F07" w:rsidRPr="00E216F6" w:rsidRDefault="00B97F07" w:rsidP="000F7BA7">
            <w:pPr>
              <w:widowControl w:val="0"/>
              <w:tabs>
                <w:tab w:val="left" w:pos="426"/>
                <w:tab w:val="left" w:pos="851"/>
                <w:tab w:val="left" w:pos="1134"/>
              </w:tabs>
              <w:overflowPunct w:val="0"/>
              <w:autoSpaceDE w:val="0"/>
              <w:autoSpaceDN w:val="0"/>
              <w:adjustRightInd w:val="0"/>
              <w:spacing w:before="40" w:line="240" w:lineRule="auto"/>
              <w:jc w:val="both"/>
              <w:textAlignment w:val="baseline"/>
              <w:rPr>
                <w:rFonts w:eastAsia="Times New Roman" w:cs="Arial"/>
                <w:color w:val="auto"/>
                <w:sz w:val="19"/>
                <w:szCs w:val="19"/>
                <w:lang w:eastAsia="fr-FR"/>
              </w:rPr>
            </w:pPr>
            <w:r w:rsidRPr="00E216F6">
              <w:rPr>
                <w:rFonts w:eastAsia="Times New Roman" w:cs="Arial"/>
                <w:color w:val="auto"/>
                <w:sz w:val="19"/>
                <w:szCs w:val="19"/>
                <w:lang w:eastAsia="fr-FR"/>
              </w:rPr>
              <w:t>Restauration des carrières de prélèvement</w:t>
            </w:r>
          </w:p>
          <w:p w14:paraId="6ACEE2F4" w14:textId="77777777" w:rsidR="00B97F07" w:rsidRPr="00E216F6" w:rsidRDefault="00B97F07" w:rsidP="000F7BA7">
            <w:pPr>
              <w:widowControl w:val="0"/>
              <w:tabs>
                <w:tab w:val="left" w:pos="426"/>
                <w:tab w:val="left" w:pos="851"/>
                <w:tab w:val="left" w:pos="1134"/>
              </w:tabs>
              <w:overflowPunct w:val="0"/>
              <w:autoSpaceDE w:val="0"/>
              <w:autoSpaceDN w:val="0"/>
              <w:adjustRightInd w:val="0"/>
              <w:spacing w:before="40" w:line="240" w:lineRule="auto"/>
              <w:jc w:val="both"/>
              <w:textAlignment w:val="baseline"/>
              <w:rPr>
                <w:rFonts w:eastAsia="Times New Roman" w:cs="Arial"/>
                <w:color w:val="auto"/>
                <w:sz w:val="19"/>
                <w:szCs w:val="19"/>
                <w:lang w:eastAsia="fr-FR"/>
              </w:rPr>
            </w:pPr>
            <w:r w:rsidRPr="00E216F6">
              <w:rPr>
                <w:rFonts w:eastAsia="Times New Roman" w:cs="Arial"/>
                <w:color w:val="auto"/>
                <w:sz w:val="19"/>
                <w:szCs w:val="19"/>
                <w:lang w:eastAsia="fr-FR"/>
              </w:rPr>
              <w:t>Replis (démolition baraque de chantier et repli des engins).</w:t>
            </w:r>
          </w:p>
        </w:tc>
        <w:tc>
          <w:tcPr>
            <w:tcW w:w="1996" w:type="pct"/>
          </w:tcPr>
          <w:p w14:paraId="1DE587C7" w14:textId="77777777" w:rsidR="00B97F07" w:rsidRPr="00E216F6" w:rsidRDefault="00B97F07" w:rsidP="007025F6">
            <w:pPr>
              <w:widowControl w:val="0"/>
              <w:tabs>
                <w:tab w:val="left" w:pos="426"/>
                <w:tab w:val="left" w:pos="851"/>
                <w:tab w:val="left" w:pos="1134"/>
              </w:tabs>
              <w:overflowPunct w:val="0"/>
              <w:autoSpaceDE w:val="0"/>
              <w:autoSpaceDN w:val="0"/>
              <w:adjustRightInd w:val="0"/>
              <w:spacing w:before="40" w:line="240" w:lineRule="auto"/>
              <w:textAlignment w:val="baseline"/>
              <w:rPr>
                <w:rFonts w:eastAsia="Times New Roman" w:cs="Arial"/>
                <w:color w:val="auto"/>
                <w:sz w:val="19"/>
                <w:szCs w:val="19"/>
                <w:lang w:eastAsia="fr-FR"/>
              </w:rPr>
            </w:pPr>
          </w:p>
        </w:tc>
      </w:tr>
    </w:tbl>
    <w:p w14:paraId="2FEE1CD1" w14:textId="2B8345D1" w:rsidR="00401546" w:rsidRPr="00A9330B" w:rsidRDefault="00E34C13" w:rsidP="0064324E">
      <w:pPr>
        <w:pStyle w:val="Titre40"/>
      </w:pPr>
      <w:bookmarkStart w:id="946" w:name="_Toc45520868"/>
      <w:bookmarkStart w:id="947" w:name="_Toc43697664"/>
      <w:bookmarkStart w:id="948" w:name="_Toc52869668"/>
      <w:r w:rsidRPr="00A9330B">
        <w:t>6.2.2.3.  Phase d’exploitation</w:t>
      </w:r>
      <w:bookmarkEnd w:id="946"/>
      <w:bookmarkEnd w:id="948"/>
      <w:r w:rsidRPr="00A9330B">
        <w:t xml:space="preserve"> </w:t>
      </w:r>
      <w:bookmarkEnd w:id="947"/>
    </w:p>
    <w:p w14:paraId="5CD448A1" w14:textId="1AF3853F" w:rsidR="00401546" w:rsidRPr="00A9330B" w:rsidRDefault="00401546" w:rsidP="00401546">
      <w:pPr>
        <w:keepNext/>
        <w:spacing w:after="120" w:line="240" w:lineRule="auto"/>
        <w:jc w:val="center"/>
        <w:rPr>
          <w:rFonts w:eastAsia="Times New Roman" w:cs="Arial"/>
          <w:b/>
          <w:color w:val="000000"/>
          <w:sz w:val="20"/>
          <w:szCs w:val="20"/>
          <w:lang w:eastAsia="fr-FR"/>
        </w:rPr>
      </w:pPr>
      <w:bookmarkStart w:id="949" w:name="_Toc43696246"/>
      <w:bookmarkStart w:id="950" w:name="_Toc52873759"/>
      <w:r w:rsidRPr="00A9330B">
        <w:rPr>
          <w:rFonts w:eastAsia="Times New Roman" w:cs="Arial"/>
          <w:b/>
          <w:color w:val="000000"/>
          <w:sz w:val="20"/>
          <w:szCs w:val="20"/>
          <w:lang w:eastAsia="fr-FR"/>
        </w:rPr>
        <w:t xml:space="preserve">Tableau </w:t>
      </w:r>
      <w:r w:rsidRPr="00A9330B">
        <w:rPr>
          <w:rFonts w:eastAsia="Times New Roman" w:cs="Arial"/>
          <w:b/>
          <w:color w:val="000000"/>
          <w:sz w:val="20"/>
          <w:szCs w:val="20"/>
          <w:lang w:eastAsia="fr-FR"/>
        </w:rPr>
        <w:fldChar w:fldCharType="begin"/>
      </w:r>
      <w:r w:rsidRPr="00A9330B">
        <w:rPr>
          <w:rFonts w:eastAsia="Times New Roman" w:cs="Arial"/>
          <w:b/>
          <w:color w:val="000000"/>
          <w:sz w:val="20"/>
          <w:szCs w:val="20"/>
          <w:lang w:eastAsia="fr-FR"/>
        </w:rPr>
        <w:instrText xml:space="preserve"> SEQ Tableau \* ARABIC </w:instrText>
      </w:r>
      <w:r w:rsidRPr="00A9330B">
        <w:rPr>
          <w:rFonts w:eastAsia="Times New Roman" w:cs="Arial"/>
          <w:b/>
          <w:color w:val="000000"/>
          <w:sz w:val="20"/>
          <w:szCs w:val="20"/>
          <w:lang w:eastAsia="fr-FR"/>
        </w:rPr>
        <w:fldChar w:fldCharType="separate"/>
      </w:r>
      <w:r w:rsidR="007025F6" w:rsidRPr="00A9330B">
        <w:rPr>
          <w:rFonts w:eastAsia="Times New Roman" w:cs="Arial"/>
          <w:b/>
          <w:noProof/>
          <w:color w:val="000000"/>
          <w:sz w:val="20"/>
          <w:szCs w:val="20"/>
          <w:lang w:eastAsia="fr-FR"/>
        </w:rPr>
        <w:t>35</w:t>
      </w:r>
      <w:r w:rsidRPr="00A9330B">
        <w:rPr>
          <w:rFonts w:eastAsia="Times New Roman" w:cs="Arial"/>
          <w:b/>
          <w:color w:val="000000"/>
          <w:sz w:val="20"/>
          <w:szCs w:val="20"/>
          <w:lang w:eastAsia="fr-FR"/>
        </w:rPr>
        <w:fldChar w:fldCharType="end"/>
      </w:r>
      <w:r w:rsidRPr="00A9330B">
        <w:rPr>
          <w:rFonts w:eastAsia="Times New Roman" w:cs="Arial"/>
          <w:b/>
          <w:color w:val="000000"/>
          <w:sz w:val="20"/>
          <w:szCs w:val="20"/>
          <w:lang w:eastAsia="fr-FR"/>
        </w:rPr>
        <w:t xml:space="preserve"> : Récapitulatif des activités de la phase d’exploitation des ouvrages et rues</w:t>
      </w:r>
      <w:bookmarkEnd w:id="949"/>
      <w:bookmarkEnd w:id="950"/>
      <w:r w:rsidRPr="00A9330B">
        <w:rPr>
          <w:rFonts w:eastAsia="Times New Roman" w:cs="Arial"/>
          <w:b/>
          <w:color w:val="000000"/>
          <w:sz w:val="20"/>
          <w:szCs w:val="20"/>
          <w:lang w:eastAsia="fr-FR"/>
        </w:rPr>
        <w:t xml:space="preserve"> </w:t>
      </w:r>
    </w:p>
    <w:tbl>
      <w:tblPr>
        <w:tblStyle w:val="Grilledutableau181"/>
        <w:tblW w:w="5159" w:type="pct"/>
        <w:tblLook w:val="04A0" w:firstRow="1" w:lastRow="0" w:firstColumn="1" w:lastColumn="0" w:noHBand="0" w:noVBand="1"/>
      </w:tblPr>
      <w:tblGrid>
        <w:gridCol w:w="2717"/>
        <w:gridCol w:w="2900"/>
        <w:gridCol w:w="3733"/>
      </w:tblGrid>
      <w:tr w:rsidR="00E34C13" w:rsidRPr="00A9330B" w14:paraId="08EC5A6F" w14:textId="77777777" w:rsidTr="00E34C13">
        <w:trPr>
          <w:trHeight w:val="123"/>
        </w:trPr>
        <w:tc>
          <w:tcPr>
            <w:tcW w:w="1453" w:type="pct"/>
          </w:tcPr>
          <w:p w14:paraId="49059BDA" w14:textId="77777777" w:rsidR="00E34C13" w:rsidRPr="00A9330B" w:rsidRDefault="00E34C13" w:rsidP="007025F6">
            <w:pPr>
              <w:spacing w:before="40" w:line="240" w:lineRule="auto"/>
              <w:jc w:val="center"/>
              <w:rPr>
                <w:rFonts w:cs="Arial"/>
                <w:b/>
                <w:color w:val="auto"/>
                <w:sz w:val="20"/>
                <w:szCs w:val="20"/>
              </w:rPr>
            </w:pPr>
            <w:r w:rsidRPr="00A9330B">
              <w:rPr>
                <w:rFonts w:cs="Arial"/>
                <w:b/>
                <w:color w:val="auto"/>
                <w:sz w:val="20"/>
                <w:szCs w:val="20"/>
              </w:rPr>
              <w:t>Activités</w:t>
            </w:r>
          </w:p>
        </w:tc>
        <w:tc>
          <w:tcPr>
            <w:tcW w:w="1551" w:type="pct"/>
          </w:tcPr>
          <w:p w14:paraId="7738C977" w14:textId="77777777" w:rsidR="00E34C13" w:rsidRPr="00A9330B" w:rsidRDefault="00E34C13" w:rsidP="007025F6">
            <w:pPr>
              <w:spacing w:before="40" w:line="240" w:lineRule="auto"/>
              <w:jc w:val="center"/>
              <w:rPr>
                <w:rFonts w:cs="Arial"/>
                <w:b/>
                <w:color w:val="auto"/>
                <w:sz w:val="20"/>
                <w:szCs w:val="20"/>
              </w:rPr>
            </w:pPr>
            <w:r w:rsidRPr="00A9330B">
              <w:rPr>
                <w:rFonts w:cs="Arial"/>
                <w:b/>
                <w:color w:val="auto"/>
                <w:sz w:val="20"/>
                <w:szCs w:val="20"/>
              </w:rPr>
              <w:t xml:space="preserve">Sous –Activités </w:t>
            </w:r>
          </w:p>
        </w:tc>
        <w:tc>
          <w:tcPr>
            <w:tcW w:w="1996" w:type="pct"/>
          </w:tcPr>
          <w:p w14:paraId="5895E12D" w14:textId="77777777" w:rsidR="00E34C13" w:rsidRPr="00A9330B" w:rsidRDefault="00E34C13" w:rsidP="007025F6">
            <w:pPr>
              <w:spacing w:before="40" w:line="240" w:lineRule="auto"/>
              <w:jc w:val="center"/>
              <w:rPr>
                <w:rFonts w:cs="Arial"/>
                <w:b/>
                <w:color w:val="auto"/>
                <w:sz w:val="20"/>
                <w:szCs w:val="20"/>
              </w:rPr>
            </w:pPr>
            <w:r w:rsidRPr="00A9330B">
              <w:rPr>
                <w:rFonts w:cs="Arial"/>
                <w:b/>
                <w:color w:val="auto"/>
                <w:sz w:val="20"/>
                <w:szCs w:val="20"/>
              </w:rPr>
              <w:t xml:space="preserve">Commentaires </w:t>
            </w:r>
          </w:p>
        </w:tc>
      </w:tr>
      <w:tr w:rsidR="00E34C13" w:rsidRPr="00A9330B" w14:paraId="672A871C" w14:textId="77777777" w:rsidTr="00E34C13">
        <w:trPr>
          <w:trHeight w:val="123"/>
        </w:trPr>
        <w:tc>
          <w:tcPr>
            <w:tcW w:w="5000" w:type="pct"/>
            <w:gridSpan w:val="3"/>
            <w:shd w:val="clear" w:color="auto" w:fill="F7CAAC" w:themeFill="accent2" w:themeFillTint="66"/>
          </w:tcPr>
          <w:p w14:paraId="3B312378" w14:textId="7C0FC32B" w:rsidR="00E34C13" w:rsidRPr="00A9330B" w:rsidRDefault="00E34C13" w:rsidP="007025F6">
            <w:pPr>
              <w:spacing w:before="40" w:line="240" w:lineRule="auto"/>
              <w:rPr>
                <w:rFonts w:cs="Arial"/>
                <w:b/>
                <w:color w:val="auto"/>
                <w:sz w:val="20"/>
                <w:szCs w:val="20"/>
              </w:rPr>
            </w:pPr>
            <w:r w:rsidRPr="00A9330B">
              <w:rPr>
                <w:rFonts w:cs="Arial"/>
                <w:b/>
                <w:color w:val="auto"/>
                <w:sz w:val="20"/>
                <w:szCs w:val="20"/>
              </w:rPr>
              <w:t>Phase d’exploitation</w:t>
            </w:r>
            <w:r w:rsidR="0009253E" w:rsidRPr="00A9330B">
              <w:rPr>
                <w:rFonts w:cs="Arial"/>
                <w:b/>
                <w:color w:val="auto"/>
                <w:sz w:val="20"/>
                <w:szCs w:val="20"/>
              </w:rPr>
              <w:t xml:space="preserve"> </w:t>
            </w:r>
          </w:p>
        </w:tc>
      </w:tr>
      <w:tr w:rsidR="00E34C13" w:rsidRPr="00A9330B" w14:paraId="1F4187B4" w14:textId="77777777" w:rsidTr="00E34C13">
        <w:tc>
          <w:tcPr>
            <w:tcW w:w="1453" w:type="pct"/>
          </w:tcPr>
          <w:p w14:paraId="7858D3E8" w14:textId="661A37F8" w:rsidR="00E34C13" w:rsidRPr="00A9330B" w:rsidRDefault="00E34C13" w:rsidP="007025F6">
            <w:pPr>
              <w:spacing w:before="40" w:line="240" w:lineRule="auto"/>
              <w:rPr>
                <w:rFonts w:cs="Arial"/>
                <w:color w:val="auto"/>
                <w:sz w:val="20"/>
                <w:szCs w:val="20"/>
              </w:rPr>
            </w:pPr>
            <w:r w:rsidRPr="00A9330B">
              <w:rPr>
                <w:rFonts w:cs="Arial"/>
                <w:color w:val="auto"/>
                <w:sz w:val="20"/>
                <w:szCs w:val="20"/>
              </w:rPr>
              <w:t xml:space="preserve">Mise en service des collecteurs et </w:t>
            </w:r>
            <w:r w:rsidR="0009253E" w:rsidRPr="00A9330B">
              <w:rPr>
                <w:rFonts w:cs="Arial"/>
                <w:color w:val="auto"/>
                <w:sz w:val="20"/>
                <w:szCs w:val="20"/>
              </w:rPr>
              <w:t xml:space="preserve">des </w:t>
            </w:r>
            <w:r w:rsidRPr="00A9330B">
              <w:rPr>
                <w:rFonts w:cs="Arial"/>
                <w:color w:val="auto"/>
                <w:sz w:val="20"/>
                <w:szCs w:val="20"/>
              </w:rPr>
              <w:t xml:space="preserve">rues aménagés </w:t>
            </w:r>
          </w:p>
        </w:tc>
        <w:tc>
          <w:tcPr>
            <w:tcW w:w="1551" w:type="pct"/>
          </w:tcPr>
          <w:p w14:paraId="02C653CF" w14:textId="77777777" w:rsidR="00E34C13" w:rsidRPr="00A9330B" w:rsidRDefault="00E34C13" w:rsidP="000F7BA7">
            <w:pPr>
              <w:tabs>
                <w:tab w:val="left" w:pos="1134"/>
              </w:tabs>
              <w:spacing w:before="40" w:line="240" w:lineRule="auto"/>
              <w:jc w:val="both"/>
              <w:rPr>
                <w:rFonts w:cs="Arial"/>
                <w:color w:val="auto"/>
                <w:sz w:val="20"/>
                <w:szCs w:val="20"/>
              </w:rPr>
            </w:pPr>
            <w:r w:rsidRPr="00A9330B">
              <w:rPr>
                <w:rFonts w:cs="Arial"/>
                <w:color w:val="auto"/>
                <w:sz w:val="20"/>
                <w:szCs w:val="20"/>
              </w:rPr>
              <w:t>Transport et circulation (Circulation des véhicules, des biens et des personnes) ;</w:t>
            </w:r>
          </w:p>
          <w:p w14:paraId="2B4DB5D8" w14:textId="30DF9373" w:rsidR="00E34C13" w:rsidRPr="00A9330B" w:rsidRDefault="00E34C13" w:rsidP="000F7BA7">
            <w:pPr>
              <w:tabs>
                <w:tab w:val="left" w:pos="1134"/>
              </w:tabs>
              <w:spacing w:before="40" w:line="240" w:lineRule="auto"/>
              <w:jc w:val="both"/>
              <w:rPr>
                <w:rFonts w:cs="Arial"/>
                <w:color w:val="auto"/>
                <w:sz w:val="20"/>
                <w:szCs w:val="20"/>
              </w:rPr>
            </w:pPr>
            <w:r w:rsidRPr="00A9330B">
              <w:rPr>
                <w:rFonts w:cs="Arial"/>
                <w:color w:val="auto"/>
                <w:sz w:val="20"/>
                <w:szCs w:val="20"/>
              </w:rPr>
              <w:t>Fonctionne</w:t>
            </w:r>
            <w:r w:rsidR="0009253E" w:rsidRPr="00A9330B">
              <w:rPr>
                <w:rFonts w:cs="Arial"/>
                <w:color w:val="auto"/>
                <w:sz w:val="20"/>
                <w:szCs w:val="20"/>
              </w:rPr>
              <w:t>ment des ouvrages de drainage ;</w:t>
            </w:r>
          </w:p>
        </w:tc>
        <w:tc>
          <w:tcPr>
            <w:tcW w:w="1996" w:type="pct"/>
          </w:tcPr>
          <w:p w14:paraId="5F45E2D4" w14:textId="77777777" w:rsidR="00E34C13" w:rsidRPr="00A9330B" w:rsidRDefault="00E34C13" w:rsidP="000F7BA7">
            <w:pPr>
              <w:tabs>
                <w:tab w:val="left" w:pos="1134"/>
              </w:tabs>
              <w:spacing w:before="40" w:line="240" w:lineRule="auto"/>
              <w:jc w:val="both"/>
              <w:rPr>
                <w:rFonts w:cs="Arial"/>
                <w:color w:val="auto"/>
                <w:sz w:val="20"/>
                <w:szCs w:val="20"/>
              </w:rPr>
            </w:pPr>
            <w:r w:rsidRPr="00A9330B">
              <w:rPr>
                <w:rFonts w:cs="Arial"/>
                <w:color w:val="auto"/>
                <w:sz w:val="20"/>
                <w:szCs w:val="20"/>
              </w:rPr>
              <w:t xml:space="preserve">Nettoyage permanent des rues </w:t>
            </w:r>
          </w:p>
          <w:p w14:paraId="171BC42C" w14:textId="77777777" w:rsidR="00E34C13" w:rsidRPr="00A9330B" w:rsidRDefault="00E34C13" w:rsidP="000F7BA7">
            <w:pPr>
              <w:tabs>
                <w:tab w:val="left" w:pos="1134"/>
              </w:tabs>
              <w:spacing w:before="40" w:line="240" w:lineRule="auto"/>
              <w:jc w:val="both"/>
              <w:rPr>
                <w:rFonts w:cs="Arial"/>
                <w:color w:val="auto"/>
                <w:sz w:val="20"/>
                <w:szCs w:val="20"/>
              </w:rPr>
            </w:pPr>
            <w:r w:rsidRPr="00A9330B">
              <w:rPr>
                <w:rFonts w:cs="Arial"/>
                <w:color w:val="auto"/>
                <w:sz w:val="20"/>
                <w:szCs w:val="20"/>
              </w:rPr>
              <w:t xml:space="preserve">Nettoyage périodique des collecteurs </w:t>
            </w:r>
          </w:p>
        </w:tc>
      </w:tr>
      <w:tr w:rsidR="00E34C13" w:rsidRPr="00A9330B" w14:paraId="77CF7C72" w14:textId="77777777" w:rsidTr="00E34C13">
        <w:tc>
          <w:tcPr>
            <w:tcW w:w="1453" w:type="pct"/>
          </w:tcPr>
          <w:p w14:paraId="04A73E80" w14:textId="6C7E9DA4" w:rsidR="00E34C13" w:rsidRPr="00A9330B" w:rsidRDefault="0009253E" w:rsidP="007025F6">
            <w:pPr>
              <w:spacing w:before="40" w:line="240" w:lineRule="auto"/>
              <w:rPr>
                <w:rFonts w:cs="Arial"/>
                <w:color w:val="auto"/>
                <w:sz w:val="20"/>
                <w:szCs w:val="20"/>
              </w:rPr>
            </w:pPr>
            <w:r w:rsidRPr="00A9330B">
              <w:rPr>
                <w:rFonts w:cs="Arial"/>
                <w:color w:val="auto"/>
                <w:sz w:val="20"/>
                <w:szCs w:val="20"/>
              </w:rPr>
              <w:t>Entretien périodique (</w:t>
            </w:r>
            <w:r w:rsidR="00E34C13" w:rsidRPr="00A9330B">
              <w:rPr>
                <w:rFonts w:cs="Arial"/>
                <w:color w:val="auto"/>
                <w:sz w:val="20"/>
                <w:szCs w:val="20"/>
              </w:rPr>
              <w:t xml:space="preserve">Réparation des dommages </w:t>
            </w:r>
          </w:p>
          <w:p w14:paraId="369F7917" w14:textId="3E18FD73" w:rsidR="00E34C13" w:rsidRPr="00A9330B" w:rsidRDefault="0009253E" w:rsidP="007025F6">
            <w:pPr>
              <w:spacing w:before="40" w:line="240" w:lineRule="auto"/>
              <w:rPr>
                <w:rFonts w:cs="Arial"/>
                <w:color w:val="auto"/>
                <w:sz w:val="20"/>
                <w:szCs w:val="20"/>
              </w:rPr>
            </w:pPr>
            <w:r w:rsidRPr="00A9330B">
              <w:rPr>
                <w:rFonts w:cs="Arial"/>
                <w:color w:val="auto"/>
                <w:sz w:val="20"/>
                <w:szCs w:val="20"/>
              </w:rPr>
              <w:t>(D</w:t>
            </w:r>
            <w:r w:rsidR="00B26D48" w:rsidRPr="00A9330B">
              <w:rPr>
                <w:rFonts w:cs="Arial"/>
                <w:color w:val="auto"/>
                <w:sz w:val="20"/>
                <w:szCs w:val="20"/>
              </w:rPr>
              <w:t>ésherbage des bordures</w:t>
            </w:r>
            <w:r w:rsidRPr="00A9330B">
              <w:rPr>
                <w:rFonts w:cs="Arial"/>
                <w:color w:val="auto"/>
                <w:sz w:val="20"/>
                <w:szCs w:val="20"/>
              </w:rPr>
              <w:t>)</w:t>
            </w:r>
            <w:r w:rsidR="00B26D48" w:rsidRPr="00A9330B">
              <w:rPr>
                <w:rFonts w:cs="Arial"/>
                <w:color w:val="auto"/>
                <w:sz w:val="20"/>
                <w:szCs w:val="20"/>
              </w:rPr>
              <w:t xml:space="preserve"> </w:t>
            </w:r>
          </w:p>
          <w:p w14:paraId="1ABE5CF5" w14:textId="6C93EC18" w:rsidR="00E34C13" w:rsidRPr="00A9330B" w:rsidRDefault="00E34C13" w:rsidP="007025F6">
            <w:pPr>
              <w:spacing w:before="40" w:line="240" w:lineRule="auto"/>
              <w:rPr>
                <w:rFonts w:cs="Arial"/>
                <w:color w:val="auto"/>
                <w:sz w:val="20"/>
                <w:szCs w:val="20"/>
              </w:rPr>
            </w:pPr>
          </w:p>
        </w:tc>
        <w:tc>
          <w:tcPr>
            <w:tcW w:w="1551" w:type="pct"/>
          </w:tcPr>
          <w:p w14:paraId="1400EBC3" w14:textId="77777777" w:rsidR="00E34C13" w:rsidRPr="00A9330B" w:rsidRDefault="00E34C13" w:rsidP="000F7BA7">
            <w:pPr>
              <w:spacing w:before="40" w:line="240" w:lineRule="auto"/>
              <w:jc w:val="both"/>
              <w:rPr>
                <w:rFonts w:cs="Arial"/>
                <w:color w:val="auto"/>
                <w:sz w:val="20"/>
                <w:szCs w:val="20"/>
              </w:rPr>
            </w:pPr>
            <w:r w:rsidRPr="00A9330B">
              <w:rPr>
                <w:rFonts w:cs="Arial"/>
                <w:color w:val="auto"/>
                <w:sz w:val="20"/>
                <w:szCs w:val="20"/>
              </w:rPr>
              <w:t>Transport de matériaux sur place</w:t>
            </w:r>
          </w:p>
          <w:p w14:paraId="77EC7DC2" w14:textId="3C7CEF19" w:rsidR="0009253E" w:rsidRPr="00A9330B" w:rsidRDefault="0009253E" w:rsidP="000F7BA7">
            <w:pPr>
              <w:tabs>
                <w:tab w:val="left" w:pos="1134"/>
              </w:tabs>
              <w:spacing w:before="40" w:line="240" w:lineRule="auto"/>
              <w:jc w:val="both"/>
              <w:rPr>
                <w:rFonts w:cs="Arial"/>
                <w:color w:val="auto"/>
                <w:sz w:val="20"/>
                <w:szCs w:val="20"/>
              </w:rPr>
            </w:pPr>
            <w:r w:rsidRPr="00A9330B">
              <w:rPr>
                <w:rFonts w:cs="Arial"/>
                <w:color w:val="auto"/>
                <w:sz w:val="20"/>
                <w:szCs w:val="20"/>
              </w:rPr>
              <w:t>Travaux d’entretiens périodiques des rues.</w:t>
            </w:r>
          </w:p>
          <w:p w14:paraId="07477653" w14:textId="77777777" w:rsidR="0009253E" w:rsidRPr="00A9330B" w:rsidRDefault="0009253E" w:rsidP="000F7BA7">
            <w:pPr>
              <w:tabs>
                <w:tab w:val="left" w:pos="1134"/>
              </w:tabs>
              <w:spacing w:before="40" w:line="240" w:lineRule="auto"/>
              <w:jc w:val="both"/>
              <w:rPr>
                <w:rFonts w:cs="Arial"/>
                <w:color w:val="auto"/>
                <w:sz w:val="20"/>
                <w:szCs w:val="20"/>
              </w:rPr>
            </w:pPr>
            <w:r w:rsidRPr="00A9330B">
              <w:rPr>
                <w:rFonts w:cs="Arial"/>
                <w:color w:val="auto"/>
                <w:sz w:val="20"/>
                <w:szCs w:val="20"/>
              </w:rPr>
              <w:t xml:space="preserve">Curage des collecteurs et caniveaux </w:t>
            </w:r>
          </w:p>
          <w:p w14:paraId="5B930E71" w14:textId="77777777" w:rsidR="0009253E" w:rsidRPr="00A9330B" w:rsidRDefault="0009253E" w:rsidP="000F7BA7">
            <w:pPr>
              <w:tabs>
                <w:tab w:val="left" w:pos="1134"/>
              </w:tabs>
              <w:spacing w:before="40" w:line="240" w:lineRule="auto"/>
              <w:jc w:val="both"/>
              <w:rPr>
                <w:rFonts w:cs="Arial"/>
                <w:color w:val="auto"/>
                <w:sz w:val="20"/>
                <w:szCs w:val="20"/>
              </w:rPr>
            </w:pPr>
            <w:r w:rsidRPr="00A9330B">
              <w:rPr>
                <w:rFonts w:cs="Arial"/>
                <w:color w:val="auto"/>
                <w:sz w:val="20"/>
                <w:szCs w:val="20"/>
              </w:rPr>
              <w:t xml:space="preserve">Remplacement des dallettes </w:t>
            </w:r>
          </w:p>
          <w:p w14:paraId="339DD90C" w14:textId="77777777" w:rsidR="0009253E" w:rsidRPr="00A9330B" w:rsidRDefault="0009253E" w:rsidP="000F7BA7">
            <w:pPr>
              <w:tabs>
                <w:tab w:val="left" w:pos="1134"/>
              </w:tabs>
              <w:spacing w:before="40" w:line="240" w:lineRule="auto"/>
              <w:jc w:val="both"/>
              <w:rPr>
                <w:rFonts w:cs="Arial"/>
                <w:color w:val="auto"/>
                <w:sz w:val="20"/>
                <w:szCs w:val="20"/>
              </w:rPr>
            </w:pPr>
            <w:r w:rsidRPr="00A9330B">
              <w:rPr>
                <w:rFonts w:cs="Arial"/>
                <w:color w:val="auto"/>
                <w:sz w:val="20"/>
                <w:szCs w:val="20"/>
              </w:rPr>
              <w:t xml:space="preserve">Entretien des exutoires </w:t>
            </w:r>
          </w:p>
          <w:p w14:paraId="0C28761A" w14:textId="499C6C96" w:rsidR="0009253E" w:rsidRPr="00A9330B" w:rsidRDefault="0009253E" w:rsidP="000F7BA7">
            <w:pPr>
              <w:tabs>
                <w:tab w:val="left" w:pos="1134"/>
              </w:tabs>
              <w:spacing w:before="40" w:line="240" w:lineRule="auto"/>
              <w:jc w:val="both"/>
              <w:rPr>
                <w:rFonts w:cs="Arial"/>
                <w:color w:val="auto"/>
                <w:sz w:val="20"/>
                <w:szCs w:val="20"/>
              </w:rPr>
            </w:pPr>
            <w:r w:rsidRPr="00A9330B">
              <w:rPr>
                <w:rFonts w:cs="Arial"/>
                <w:color w:val="auto"/>
                <w:sz w:val="20"/>
                <w:szCs w:val="20"/>
              </w:rPr>
              <w:t>Entretien des arbres plantés jusqu’à croissance optimale</w:t>
            </w:r>
          </w:p>
          <w:p w14:paraId="026159A2" w14:textId="77777777" w:rsidR="00E34C13" w:rsidRPr="00A9330B" w:rsidRDefault="00E34C13" w:rsidP="000F7BA7">
            <w:pPr>
              <w:spacing w:before="40" w:line="240" w:lineRule="auto"/>
              <w:jc w:val="both"/>
              <w:rPr>
                <w:rFonts w:cs="Arial"/>
                <w:color w:val="auto"/>
                <w:sz w:val="20"/>
                <w:szCs w:val="20"/>
              </w:rPr>
            </w:pPr>
            <w:r w:rsidRPr="00A9330B">
              <w:rPr>
                <w:rFonts w:cs="Arial"/>
                <w:color w:val="auto"/>
                <w:sz w:val="20"/>
                <w:szCs w:val="20"/>
              </w:rPr>
              <w:t>Décapage, remblai et compactage des endroits ciblés</w:t>
            </w:r>
          </w:p>
          <w:p w14:paraId="6BB83B65" w14:textId="49D99497" w:rsidR="00E34C13" w:rsidRPr="00A9330B" w:rsidRDefault="00E34C13" w:rsidP="000F7BA7">
            <w:pPr>
              <w:spacing w:before="40" w:line="240" w:lineRule="auto"/>
              <w:jc w:val="both"/>
              <w:rPr>
                <w:rFonts w:cs="Arial"/>
                <w:color w:val="auto"/>
                <w:sz w:val="20"/>
                <w:szCs w:val="20"/>
              </w:rPr>
            </w:pPr>
            <w:r w:rsidRPr="00A9330B">
              <w:rPr>
                <w:rFonts w:cs="Arial"/>
                <w:color w:val="auto"/>
                <w:sz w:val="20"/>
                <w:szCs w:val="20"/>
              </w:rPr>
              <w:t xml:space="preserve">Mise en œuvre de matériaux </w:t>
            </w:r>
            <w:r w:rsidR="00362D97" w:rsidRPr="00A9330B">
              <w:rPr>
                <w:rFonts w:cs="Arial"/>
                <w:color w:val="auto"/>
                <w:sz w:val="20"/>
                <w:szCs w:val="20"/>
              </w:rPr>
              <w:t xml:space="preserve">pour couches de </w:t>
            </w:r>
            <w:r w:rsidR="00CD7397" w:rsidRPr="00A9330B">
              <w:rPr>
                <w:rFonts w:cs="Arial"/>
                <w:color w:val="auto"/>
                <w:sz w:val="20"/>
                <w:szCs w:val="20"/>
              </w:rPr>
              <w:t xml:space="preserve">la </w:t>
            </w:r>
            <w:r w:rsidR="00362D97" w:rsidRPr="00A9330B">
              <w:rPr>
                <w:rFonts w:cs="Arial"/>
                <w:color w:val="auto"/>
                <w:sz w:val="20"/>
                <w:szCs w:val="20"/>
              </w:rPr>
              <w:t>chaussée</w:t>
            </w:r>
          </w:p>
          <w:p w14:paraId="15CB7D98" w14:textId="77777777" w:rsidR="00E34C13" w:rsidRPr="00A9330B" w:rsidRDefault="00E34C13" w:rsidP="000F7BA7">
            <w:pPr>
              <w:spacing w:before="40" w:line="240" w:lineRule="auto"/>
              <w:jc w:val="both"/>
              <w:rPr>
                <w:rFonts w:cs="Arial"/>
                <w:color w:val="auto"/>
                <w:sz w:val="20"/>
                <w:szCs w:val="20"/>
              </w:rPr>
            </w:pPr>
          </w:p>
        </w:tc>
        <w:tc>
          <w:tcPr>
            <w:tcW w:w="1996" w:type="pct"/>
          </w:tcPr>
          <w:p w14:paraId="3A9DE9FD" w14:textId="52A0964A" w:rsidR="00E34C13" w:rsidRPr="00A9330B" w:rsidRDefault="00E34C13" w:rsidP="000F7BA7">
            <w:pPr>
              <w:tabs>
                <w:tab w:val="left" w:pos="1134"/>
              </w:tabs>
              <w:spacing w:before="40" w:line="240" w:lineRule="auto"/>
              <w:jc w:val="both"/>
              <w:rPr>
                <w:rFonts w:cs="Arial"/>
                <w:color w:val="auto"/>
                <w:sz w:val="20"/>
                <w:szCs w:val="20"/>
              </w:rPr>
            </w:pPr>
            <w:r w:rsidRPr="00A9330B">
              <w:rPr>
                <w:rFonts w:cs="Arial"/>
                <w:color w:val="auto"/>
                <w:sz w:val="20"/>
                <w:szCs w:val="20"/>
              </w:rPr>
              <w:t>Il s’agit des entretiens courant</w:t>
            </w:r>
            <w:r w:rsidR="00362D97" w:rsidRPr="00A9330B">
              <w:rPr>
                <w:rFonts w:cs="Arial"/>
                <w:color w:val="auto"/>
                <w:sz w:val="20"/>
                <w:szCs w:val="20"/>
              </w:rPr>
              <w:t>s</w:t>
            </w:r>
            <w:r w:rsidRPr="00A9330B">
              <w:rPr>
                <w:rFonts w:cs="Arial"/>
                <w:color w:val="auto"/>
                <w:sz w:val="20"/>
                <w:szCs w:val="20"/>
              </w:rPr>
              <w:t xml:space="preserve"> des rues, du curage des collecteurs et </w:t>
            </w:r>
            <w:r w:rsidR="00362D97" w:rsidRPr="00A9330B">
              <w:rPr>
                <w:rFonts w:cs="Arial"/>
                <w:color w:val="auto"/>
                <w:sz w:val="20"/>
                <w:szCs w:val="20"/>
              </w:rPr>
              <w:t>caniveaux, des réfections diverses, de l’espaces des espaces verts, etc.</w:t>
            </w:r>
          </w:p>
          <w:p w14:paraId="57266A79" w14:textId="77777777" w:rsidR="00E34C13" w:rsidRPr="00A9330B" w:rsidRDefault="00E34C13" w:rsidP="000F7BA7">
            <w:pPr>
              <w:spacing w:before="40" w:line="240" w:lineRule="auto"/>
              <w:jc w:val="both"/>
              <w:rPr>
                <w:rFonts w:cs="Arial"/>
                <w:color w:val="auto"/>
                <w:sz w:val="20"/>
                <w:szCs w:val="20"/>
              </w:rPr>
            </w:pPr>
          </w:p>
        </w:tc>
      </w:tr>
    </w:tbl>
    <w:p w14:paraId="026C7ECB" w14:textId="77777777" w:rsidR="000F7BA7" w:rsidRPr="00A9330B" w:rsidRDefault="000F7BA7" w:rsidP="000F7BA7">
      <w:bookmarkStart w:id="951" w:name="_Toc531434216"/>
      <w:bookmarkStart w:id="952" w:name="_Toc535244595"/>
      <w:bookmarkStart w:id="953" w:name="_Toc43697665"/>
    </w:p>
    <w:p w14:paraId="64ADD4F0" w14:textId="77777777" w:rsidR="000F7BA7" w:rsidRPr="00A9330B" w:rsidRDefault="000F7BA7">
      <w:pPr>
        <w:spacing w:before="0" w:after="160" w:line="259" w:lineRule="auto"/>
        <w:rPr>
          <w:rFonts w:eastAsiaTheme="majorEastAsia" w:cstheme="majorBidi"/>
          <w:b/>
          <w:caps/>
          <w:color w:val="00B050"/>
          <w:sz w:val="30"/>
          <w:szCs w:val="30"/>
        </w:rPr>
      </w:pPr>
      <w:r w:rsidRPr="00A9330B">
        <w:rPr>
          <w:rFonts w:eastAsiaTheme="majorEastAsia" w:cstheme="majorBidi"/>
          <w:b/>
          <w:caps/>
          <w:color w:val="00B050"/>
          <w:sz w:val="30"/>
          <w:szCs w:val="30"/>
        </w:rPr>
        <w:br w:type="page"/>
      </w:r>
    </w:p>
    <w:p w14:paraId="6DE60F1B" w14:textId="1748F363" w:rsidR="00401546" w:rsidRPr="00A9330B" w:rsidRDefault="00401546" w:rsidP="00401546">
      <w:pPr>
        <w:keepNext/>
        <w:keepLines/>
        <w:spacing w:line="240" w:lineRule="auto"/>
        <w:outlineLvl w:val="0"/>
        <w:rPr>
          <w:rFonts w:eastAsiaTheme="majorEastAsia" w:cstheme="majorBidi"/>
          <w:b/>
          <w:caps/>
          <w:color w:val="00B050"/>
          <w:sz w:val="30"/>
          <w:szCs w:val="30"/>
        </w:rPr>
      </w:pPr>
      <w:bookmarkStart w:id="954" w:name="_Toc52869669"/>
      <w:bookmarkStart w:id="955" w:name="_Toc52869847"/>
      <w:r w:rsidRPr="00A9330B">
        <w:rPr>
          <w:rFonts w:eastAsiaTheme="majorEastAsia" w:cstheme="majorBidi"/>
          <w:b/>
          <w:caps/>
          <w:color w:val="00B050"/>
          <w:sz w:val="30"/>
          <w:szCs w:val="30"/>
        </w:rPr>
        <w:lastRenderedPageBreak/>
        <w:t xml:space="preserve">7. </w:t>
      </w:r>
      <w:bookmarkStart w:id="956" w:name="_Toc523415131"/>
      <w:bookmarkStart w:id="957" w:name="_Toc523417502"/>
      <w:bookmarkStart w:id="958" w:name="_Toc523758629"/>
      <w:bookmarkStart w:id="959" w:name="_Toc523850133"/>
      <w:bookmarkStart w:id="960" w:name="_Toc523850217"/>
      <w:bookmarkStart w:id="961" w:name="_Toc523857284"/>
      <w:bookmarkStart w:id="962" w:name="_Toc523858021"/>
      <w:bookmarkStart w:id="963" w:name="_Toc524452967"/>
      <w:bookmarkStart w:id="964" w:name="_Toc524462520"/>
      <w:r w:rsidRPr="00A9330B">
        <w:rPr>
          <w:rFonts w:eastAsiaTheme="majorEastAsia" w:cstheme="majorBidi"/>
          <w:b/>
          <w:caps/>
          <w:color w:val="00B050"/>
          <w:sz w:val="30"/>
          <w:szCs w:val="30"/>
        </w:rPr>
        <w:t>PRINCIPAUX ENJEUX ENVIRONNEMENTAUX ET SOCIAUX DU PROJET</w:t>
      </w:r>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p>
    <w:p w14:paraId="2DDE7C04" w14:textId="77777777" w:rsidR="00401546" w:rsidRPr="00A9330B" w:rsidRDefault="00401546" w:rsidP="00401546">
      <w:pPr>
        <w:autoSpaceDE w:val="0"/>
        <w:autoSpaceDN w:val="0"/>
        <w:adjustRightInd w:val="0"/>
        <w:jc w:val="both"/>
        <w:rPr>
          <w:rFonts w:cs="Arial"/>
          <w:color w:val="000000"/>
        </w:rPr>
      </w:pPr>
      <w:bookmarkStart w:id="965" w:name="_Toc535244607"/>
      <w:r w:rsidRPr="00A9330B">
        <w:rPr>
          <w:rFonts w:cs="Arial"/>
          <w:color w:val="000000"/>
        </w:rPr>
        <w:t>« Un enjeu environnemental désigne la valeur prise par une fonction ou un usage, un territoire ou un milieu au regard des préoccupations écologiques, patrimoniales, paysagères, sociologiques, de qualité de la vie et de santé. Cette valeur est celle accordée par la société à un moment donné, qui intègre aussi des aspects économiques et sociaux ».</w:t>
      </w:r>
    </w:p>
    <w:p w14:paraId="4B486D02" w14:textId="77777777" w:rsidR="00401546" w:rsidRPr="00A9330B" w:rsidRDefault="00401546" w:rsidP="00401546">
      <w:pPr>
        <w:autoSpaceDE w:val="0"/>
        <w:autoSpaceDN w:val="0"/>
        <w:adjustRightInd w:val="0"/>
        <w:jc w:val="both"/>
        <w:rPr>
          <w:rFonts w:cs="Arial"/>
          <w:color w:val="000000"/>
        </w:rPr>
      </w:pPr>
      <w:r w:rsidRPr="00A9330B">
        <w:rPr>
          <w:rFonts w:cs="Arial"/>
          <w:color w:val="000000"/>
        </w:rPr>
        <w:t>Dans le cadre du présent projet, bien que toutes les caractéristiques ne soient pas connues en détail à ce stade, il est nécessaire de mettre en exergue les préoccupations environnementales ; ceci permettra d’identifier globalement les biens, les valeurs environnementales, les éléments ou les fonctions du milieu dont il faut éviter la dégradation et la disparition et également de se fixer des cibles et des objectifs à atteindre pour la protection des populations, des écosystèmes et des zones ou éléments à risque.</w:t>
      </w:r>
    </w:p>
    <w:p w14:paraId="348AD179" w14:textId="0EA53FEE" w:rsidR="00401546" w:rsidRPr="00A9330B" w:rsidRDefault="00401546" w:rsidP="00401546">
      <w:pPr>
        <w:jc w:val="both"/>
        <w:rPr>
          <w:rFonts w:cs="Arial"/>
          <w:lang w:eastAsia="fr-FR"/>
        </w:rPr>
      </w:pPr>
      <w:r w:rsidRPr="00A9330B">
        <w:rPr>
          <w:rFonts w:cs="Arial"/>
          <w:color w:val="000000"/>
        </w:rPr>
        <w:t xml:space="preserve">La mise en œuvre du projet fait appel à des enjeux environnementaux et sociaux non négligeables à toutes les phases de sa réalisation. </w:t>
      </w:r>
      <w:r w:rsidRPr="00A9330B">
        <w:rPr>
          <w:rFonts w:cs="Arial"/>
          <w:lang w:eastAsia="fr-FR"/>
        </w:rPr>
        <w:t xml:space="preserve">L’identification des enjeux permet de connaître les composantes du milieu qui méritent une attention particulière et les préoccupations majeures des parties prenantes au projet. Dans le cas présent, il s’agit des contraintes environnementales et sociales qui pourraient constituer un risque ou un avantage pour la réalisation du projet. A l’analyse du contexte du projet et de la situation environnementale, on note </w:t>
      </w:r>
      <w:r w:rsidR="00430D7D" w:rsidRPr="00A9330B">
        <w:rPr>
          <w:rFonts w:cs="Arial"/>
          <w:lang w:eastAsia="fr-FR"/>
        </w:rPr>
        <w:t>que les</w:t>
      </w:r>
      <w:r w:rsidRPr="00A9330B">
        <w:rPr>
          <w:rFonts w:cs="Arial"/>
          <w:lang w:eastAsia="fr-FR"/>
        </w:rPr>
        <w:t xml:space="preserve"> enjeux se déclinent en enjeux (i) politiques et institutionnels, (ii) environnementaux et socioéconomiques.</w:t>
      </w:r>
    </w:p>
    <w:p w14:paraId="4C92F070" w14:textId="77777777" w:rsidR="00401546" w:rsidRPr="00A9330B" w:rsidRDefault="00401546" w:rsidP="00645DF1">
      <w:pPr>
        <w:pStyle w:val="Titre20"/>
      </w:pPr>
      <w:bookmarkStart w:id="966" w:name="_Toc386966086"/>
      <w:bookmarkStart w:id="967" w:name="_Toc386966087"/>
      <w:bookmarkStart w:id="968" w:name="_Toc7777908"/>
      <w:bookmarkStart w:id="969" w:name="_Toc7777909"/>
      <w:bookmarkStart w:id="970" w:name="_Toc7777910"/>
      <w:bookmarkStart w:id="971" w:name="_Toc7777911"/>
      <w:bookmarkStart w:id="972" w:name="_Toc7777912"/>
      <w:bookmarkStart w:id="973" w:name="_Toc7777913"/>
      <w:bookmarkStart w:id="974" w:name="_Toc8057647"/>
      <w:bookmarkStart w:id="975" w:name="_Toc8139275"/>
      <w:bookmarkStart w:id="976" w:name="_Toc8139548"/>
      <w:bookmarkStart w:id="977" w:name="_Toc8139754"/>
      <w:bookmarkStart w:id="978" w:name="_Toc8139960"/>
      <w:bookmarkStart w:id="979" w:name="_Toc8140166"/>
      <w:bookmarkStart w:id="980" w:name="_Toc8140372"/>
      <w:bookmarkStart w:id="981" w:name="_Toc8140578"/>
      <w:bookmarkStart w:id="982" w:name="_Toc8140784"/>
      <w:bookmarkStart w:id="983" w:name="_Toc8140990"/>
      <w:bookmarkStart w:id="984" w:name="_Toc8141402"/>
      <w:bookmarkStart w:id="985" w:name="_Toc8141608"/>
      <w:bookmarkStart w:id="986" w:name="_Toc8141814"/>
      <w:bookmarkStart w:id="987" w:name="_Toc8204348"/>
      <w:bookmarkStart w:id="988" w:name="_Toc8204612"/>
      <w:bookmarkStart w:id="989" w:name="_Toc535671342"/>
      <w:bookmarkStart w:id="990" w:name="_Toc536197285"/>
      <w:bookmarkStart w:id="991" w:name="_Toc536197479"/>
      <w:bookmarkStart w:id="992" w:name="_Toc536197673"/>
      <w:bookmarkStart w:id="993" w:name="_Toc536197867"/>
      <w:bookmarkStart w:id="994" w:name="_Toc536198255"/>
      <w:bookmarkStart w:id="995" w:name="_Toc536198449"/>
      <w:bookmarkStart w:id="996" w:name="_Toc536198643"/>
      <w:bookmarkStart w:id="997" w:name="_Toc536198837"/>
      <w:bookmarkStart w:id="998" w:name="_Toc536199031"/>
      <w:bookmarkStart w:id="999" w:name="_Toc536443384"/>
      <w:bookmarkStart w:id="1000" w:name="_Toc536519618"/>
      <w:bookmarkStart w:id="1001" w:name="_Toc536534578"/>
      <w:bookmarkStart w:id="1002" w:name="_Toc536534764"/>
      <w:bookmarkStart w:id="1003" w:name="_Toc536534950"/>
      <w:bookmarkStart w:id="1004" w:name="_Toc536535136"/>
      <w:bookmarkStart w:id="1005" w:name="_Toc536535508"/>
      <w:bookmarkStart w:id="1006" w:name="_Toc536535881"/>
      <w:bookmarkStart w:id="1007" w:name="_Toc536536068"/>
      <w:bookmarkStart w:id="1008" w:name="_Toc536536255"/>
      <w:bookmarkStart w:id="1009" w:name="_Toc536536442"/>
      <w:bookmarkStart w:id="1010" w:name="_Toc536536629"/>
      <w:bookmarkStart w:id="1011" w:name="_Toc536544742"/>
      <w:bookmarkStart w:id="1012" w:name="_Toc536544929"/>
      <w:bookmarkStart w:id="1013" w:name="_Toc7688867"/>
      <w:bookmarkStart w:id="1014" w:name="_Toc7689053"/>
      <w:bookmarkStart w:id="1015" w:name="_Toc7689239"/>
      <w:bookmarkStart w:id="1016" w:name="_Toc7689446"/>
      <w:bookmarkStart w:id="1017" w:name="_Toc7689818"/>
      <w:bookmarkStart w:id="1018" w:name="_Toc7690004"/>
      <w:bookmarkStart w:id="1019" w:name="_Toc7691495"/>
      <w:bookmarkStart w:id="1020" w:name="_Toc7691761"/>
      <w:bookmarkStart w:id="1021" w:name="_Toc7691984"/>
      <w:bookmarkStart w:id="1022" w:name="_Toc7692390"/>
      <w:bookmarkStart w:id="1023" w:name="_Toc7692600"/>
      <w:bookmarkStart w:id="1024" w:name="_Toc7695046"/>
      <w:bookmarkStart w:id="1025" w:name="_Toc7695253"/>
      <w:bookmarkStart w:id="1026" w:name="_Toc43697666"/>
      <w:bookmarkStart w:id="1027" w:name="_Toc52869670"/>
      <w:bookmarkStart w:id="1028" w:name="_Toc52869848"/>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r w:rsidRPr="00A9330B">
        <w:rPr>
          <w:rFonts w:eastAsia="Calibri"/>
          <w:color w:val="003300"/>
        </w:rPr>
        <w:t xml:space="preserve">7.1. </w:t>
      </w:r>
      <w:bookmarkStart w:id="1029" w:name="_Toc8139549"/>
      <w:bookmarkStart w:id="1030" w:name="_Toc8139755"/>
      <w:bookmarkStart w:id="1031" w:name="_Toc8139961"/>
      <w:bookmarkStart w:id="1032" w:name="_Toc8140167"/>
      <w:bookmarkStart w:id="1033" w:name="_Toc8140373"/>
      <w:bookmarkStart w:id="1034" w:name="_Toc8140579"/>
      <w:bookmarkStart w:id="1035" w:name="_Toc8140785"/>
      <w:bookmarkStart w:id="1036" w:name="_Toc8140991"/>
      <w:bookmarkStart w:id="1037" w:name="_Toc8141403"/>
      <w:bookmarkStart w:id="1038" w:name="_Toc8141609"/>
      <w:bookmarkStart w:id="1039" w:name="_Toc8141815"/>
      <w:bookmarkStart w:id="1040" w:name="_Toc8204349"/>
      <w:bookmarkStart w:id="1041" w:name="_Toc8204613"/>
      <w:r w:rsidRPr="00A9330B">
        <w:t>Enjeux politiques et institutionnels</w:t>
      </w:r>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p>
    <w:p w14:paraId="3C1EDE97" w14:textId="77777777" w:rsidR="00401546" w:rsidRPr="00A9330B" w:rsidRDefault="00401546" w:rsidP="00401546">
      <w:pPr>
        <w:suppressAutoHyphens/>
        <w:spacing w:line="240" w:lineRule="auto"/>
        <w:ind w:left="720"/>
        <w:outlineLvl w:val="2"/>
        <w:rPr>
          <w:rFonts w:eastAsiaTheme="majorEastAsia" w:cstheme="majorBidi"/>
          <w:i/>
          <w:color w:val="auto"/>
          <w:sz w:val="26"/>
          <w:szCs w:val="24"/>
        </w:rPr>
      </w:pPr>
      <w:bookmarkStart w:id="1042" w:name="_Toc33367059"/>
      <w:bookmarkStart w:id="1043" w:name="_Toc43697667"/>
      <w:bookmarkStart w:id="1044" w:name="_Toc45520871"/>
      <w:bookmarkStart w:id="1045" w:name="_Toc52869671"/>
      <w:r w:rsidRPr="00A9330B">
        <w:rPr>
          <w:rFonts w:eastAsiaTheme="majorEastAsia" w:cstheme="majorBidi"/>
          <w:i/>
          <w:color w:val="auto"/>
          <w:sz w:val="26"/>
          <w:szCs w:val="24"/>
        </w:rPr>
        <w:t>7.1.1. Réponse aux objectifs du PAG</w:t>
      </w:r>
      <w:bookmarkEnd w:id="1042"/>
      <w:bookmarkEnd w:id="1043"/>
      <w:bookmarkEnd w:id="1044"/>
      <w:bookmarkEnd w:id="1045"/>
    </w:p>
    <w:p w14:paraId="074E21E6" w14:textId="2BA8E063" w:rsidR="00401546" w:rsidRPr="00A9330B" w:rsidRDefault="00401546" w:rsidP="00401546">
      <w:pPr>
        <w:jc w:val="both"/>
        <w:rPr>
          <w:lang w:eastAsia="fr-FR"/>
        </w:rPr>
      </w:pPr>
      <w:r w:rsidRPr="00A9330B">
        <w:t>Dans la mise en œuvre des grandes orientations du développeme</w:t>
      </w:r>
      <w:r w:rsidR="001E0555" w:rsidRPr="00A9330B">
        <w:t>nt du secteur dans le Projet</w:t>
      </w:r>
      <w:r w:rsidRPr="00A9330B">
        <w:t xml:space="preserve"> d’Action du Gouvernement PAG, un accent particulier</w:t>
      </w:r>
      <w:r w:rsidRPr="00A9330B">
        <w:rPr>
          <w:lang w:eastAsia="fr-FR"/>
        </w:rPr>
        <w:t xml:space="preserve"> </w:t>
      </w:r>
      <w:r w:rsidR="00362D97" w:rsidRPr="00A9330B">
        <w:rPr>
          <w:lang w:eastAsia="fr-FR"/>
        </w:rPr>
        <w:t xml:space="preserve">a été mis </w:t>
      </w:r>
      <w:r w:rsidRPr="00A9330B">
        <w:rPr>
          <w:lang w:eastAsia="fr-FR"/>
        </w:rPr>
        <w:t>sur l’amélioration du cadre de vie.</w:t>
      </w:r>
    </w:p>
    <w:p w14:paraId="5B771C44" w14:textId="5F37F91C" w:rsidR="00401546" w:rsidRPr="00A9330B" w:rsidRDefault="00401546" w:rsidP="00401546">
      <w:pPr>
        <w:jc w:val="both"/>
        <w:rPr>
          <w:lang w:eastAsia="fr-FR"/>
        </w:rPr>
      </w:pPr>
      <w:r w:rsidRPr="00A9330B">
        <w:rPr>
          <w:lang w:eastAsia="fr-FR"/>
        </w:rPr>
        <w:t>Compte  tenu  des  besoins  accrus  identifiés  dans  d’autres  villes,  notamment  dans  les  villes engagées dans le projet Asphaltage en cours où des ouvrages de drainage devant servir d’exutoire sont nécessaires, le Gouvernement  a  inscrit  dans  son  Programme  d’action  quinquennal  '</w:t>
      </w:r>
      <w:r w:rsidR="00E1470A" w:rsidRPr="00A9330B">
        <w:rPr>
          <w:lang w:eastAsia="fr-FR"/>
        </w:rPr>
        <w:t>'Bénin  Révélé'',  le  Projet</w:t>
      </w:r>
      <w:r w:rsidRPr="00A9330B">
        <w:rPr>
          <w:lang w:eastAsia="fr-FR"/>
        </w:rPr>
        <w:t xml:space="preserve"> d’Assainissement  Pluvial  des  Vi</w:t>
      </w:r>
      <w:r w:rsidR="00E1470A" w:rsidRPr="00A9330B">
        <w:rPr>
          <w:lang w:eastAsia="fr-FR"/>
        </w:rPr>
        <w:t xml:space="preserve">lles  Secondaires qui </w:t>
      </w:r>
      <w:r w:rsidRPr="00A9330B">
        <w:rPr>
          <w:lang w:eastAsia="fr-FR"/>
        </w:rPr>
        <w:t>prend  en  compte  les  villes  de  Porto -Novo,  Sèmè-Podji,  Abomey-Calavi,  Ouidah, Abomey,  Bohicon,  Parako</w:t>
      </w:r>
      <w:r w:rsidR="00457368" w:rsidRPr="00A9330B">
        <w:rPr>
          <w:lang w:eastAsia="fr-FR"/>
        </w:rPr>
        <w:t>u  et  Natitingou.  Ce projet</w:t>
      </w:r>
      <w:r w:rsidRPr="00A9330B">
        <w:rPr>
          <w:lang w:eastAsia="fr-FR"/>
        </w:rPr>
        <w:t xml:space="preserve"> vient </w:t>
      </w:r>
      <w:r w:rsidR="00430D7D" w:rsidRPr="00A9330B">
        <w:rPr>
          <w:lang w:eastAsia="fr-FR"/>
        </w:rPr>
        <w:t>satisfaire les ambitions du</w:t>
      </w:r>
      <w:r w:rsidRPr="00A9330B">
        <w:rPr>
          <w:lang w:eastAsia="fr-FR"/>
        </w:rPr>
        <w:t xml:space="preserve"> Gouvernement qui veut améliorer le bien-être de tous les béninois et préserver l’environnement avec comme vision un développement inclusif et durable articulé autour de villes résilientes et sûres, parvenir à un aménagement équilibré du territoire et améliorer la mobilité urbaine.</w:t>
      </w:r>
    </w:p>
    <w:p w14:paraId="038440E3" w14:textId="77777777" w:rsidR="00401546" w:rsidRPr="00A9330B" w:rsidRDefault="00401546" w:rsidP="00401546">
      <w:pPr>
        <w:suppressAutoHyphens/>
        <w:spacing w:line="240" w:lineRule="auto"/>
        <w:ind w:left="720"/>
        <w:outlineLvl w:val="2"/>
        <w:rPr>
          <w:rFonts w:eastAsiaTheme="majorEastAsia" w:cstheme="majorBidi"/>
          <w:i/>
          <w:color w:val="auto"/>
          <w:sz w:val="26"/>
          <w:szCs w:val="24"/>
        </w:rPr>
      </w:pPr>
      <w:bookmarkStart w:id="1046" w:name="_Toc33367061"/>
      <w:bookmarkStart w:id="1047" w:name="_Toc43697668"/>
      <w:bookmarkStart w:id="1048" w:name="_Toc45520872"/>
      <w:bookmarkStart w:id="1049" w:name="_Toc535671343"/>
      <w:bookmarkStart w:id="1050" w:name="_Toc52869672"/>
      <w:r w:rsidRPr="00A9330B">
        <w:rPr>
          <w:rFonts w:eastAsiaTheme="majorEastAsia" w:cstheme="majorBidi"/>
          <w:i/>
          <w:color w:val="auto"/>
          <w:sz w:val="26"/>
          <w:szCs w:val="24"/>
        </w:rPr>
        <w:t>7.1.2. Participation à la politique d’aménagement du territoire</w:t>
      </w:r>
      <w:bookmarkEnd w:id="1046"/>
      <w:bookmarkEnd w:id="1047"/>
      <w:bookmarkEnd w:id="1048"/>
      <w:bookmarkEnd w:id="1050"/>
    </w:p>
    <w:p w14:paraId="03B9F253" w14:textId="77777777" w:rsidR="00401546" w:rsidRPr="00A9330B" w:rsidRDefault="00401546" w:rsidP="00401546">
      <w:pPr>
        <w:autoSpaceDE w:val="0"/>
        <w:autoSpaceDN w:val="0"/>
        <w:adjustRightInd w:val="0"/>
        <w:ind w:right="84"/>
        <w:jc w:val="both"/>
        <w:rPr>
          <w:rFonts w:cs="Arial"/>
          <w:color w:val="000000"/>
        </w:rPr>
      </w:pPr>
      <w:r w:rsidRPr="00A9330B">
        <w:rPr>
          <w:rFonts w:cs="Arial"/>
          <w:color w:val="000000"/>
        </w:rPr>
        <w:t>Le projet participe ainsi à l’aménagement du territoire car la ville Parakou, dans le cadre de son PDU a prévu la réalisation des ouvrages d’assainissement et l’amélioration de la voirie pour une meilleure structuration de la Ville.</w:t>
      </w:r>
    </w:p>
    <w:p w14:paraId="7213204B" w14:textId="77777777" w:rsidR="00401546" w:rsidRPr="00A9330B" w:rsidRDefault="00401546" w:rsidP="00645DF1">
      <w:pPr>
        <w:pStyle w:val="Titre20"/>
      </w:pPr>
      <w:bookmarkStart w:id="1051" w:name="_Toc536197286"/>
      <w:bookmarkStart w:id="1052" w:name="_Toc536197480"/>
      <w:bookmarkStart w:id="1053" w:name="_Toc536197674"/>
      <w:bookmarkStart w:id="1054" w:name="_Toc536197868"/>
      <w:bookmarkStart w:id="1055" w:name="_Toc536198256"/>
      <w:bookmarkStart w:id="1056" w:name="_Toc536198450"/>
      <w:bookmarkStart w:id="1057" w:name="_Toc536198644"/>
      <w:bookmarkStart w:id="1058" w:name="_Toc536198838"/>
      <w:bookmarkStart w:id="1059" w:name="_Toc536199032"/>
      <w:bookmarkStart w:id="1060" w:name="_Toc536443385"/>
      <w:bookmarkStart w:id="1061" w:name="_Toc536519619"/>
      <w:bookmarkStart w:id="1062" w:name="_Toc536534579"/>
      <w:bookmarkStart w:id="1063" w:name="_Toc536534765"/>
      <w:bookmarkStart w:id="1064" w:name="_Toc536534951"/>
      <w:bookmarkStart w:id="1065" w:name="_Toc536535137"/>
      <w:bookmarkStart w:id="1066" w:name="_Toc536535509"/>
      <w:bookmarkStart w:id="1067" w:name="_Toc536535882"/>
      <w:bookmarkStart w:id="1068" w:name="_Toc536536069"/>
      <w:bookmarkStart w:id="1069" w:name="_Toc536536256"/>
      <w:bookmarkStart w:id="1070" w:name="_Toc536536443"/>
      <w:bookmarkStart w:id="1071" w:name="_Toc536536630"/>
      <w:bookmarkStart w:id="1072" w:name="_Toc536544743"/>
      <w:bookmarkStart w:id="1073" w:name="_Toc536544930"/>
      <w:bookmarkStart w:id="1074" w:name="_Toc7688868"/>
      <w:bookmarkStart w:id="1075" w:name="_Toc7689054"/>
      <w:bookmarkStart w:id="1076" w:name="_Toc7689240"/>
      <w:bookmarkStart w:id="1077" w:name="_Toc7689447"/>
      <w:bookmarkStart w:id="1078" w:name="_Toc7689819"/>
      <w:bookmarkStart w:id="1079" w:name="_Toc7690005"/>
      <w:bookmarkStart w:id="1080" w:name="_Toc7691496"/>
      <w:bookmarkStart w:id="1081" w:name="_Toc7691762"/>
      <w:bookmarkStart w:id="1082" w:name="_Toc7691985"/>
      <w:bookmarkStart w:id="1083" w:name="_Toc7692391"/>
      <w:bookmarkStart w:id="1084" w:name="_Toc7692601"/>
      <w:bookmarkStart w:id="1085" w:name="_Toc7695047"/>
      <w:bookmarkStart w:id="1086" w:name="_Toc7695254"/>
      <w:bookmarkStart w:id="1087" w:name="_Toc8139550"/>
      <w:bookmarkStart w:id="1088" w:name="_Toc8139756"/>
      <w:bookmarkStart w:id="1089" w:name="_Toc8139962"/>
      <w:bookmarkStart w:id="1090" w:name="_Toc8140168"/>
      <w:bookmarkStart w:id="1091" w:name="_Toc8140374"/>
      <w:bookmarkStart w:id="1092" w:name="_Toc8140580"/>
      <w:bookmarkStart w:id="1093" w:name="_Toc8140786"/>
      <w:bookmarkStart w:id="1094" w:name="_Toc8140992"/>
      <w:bookmarkStart w:id="1095" w:name="_Toc8141404"/>
      <w:bookmarkStart w:id="1096" w:name="_Toc8141610"/>
      <w:bookmarkStart w:id="1097" w:name="_Toc8141816"/>
      <w:bookmarkStart w:id="1098" w:name="_Toc8204350"/>
      <w:bookmarkStart w:id="1099" w:name="_Toc8204614"/>
      <w:bookmarkStart w:id="1100" w:name="_Toc43697669"/>
      <w:bookmarkStart w:id="1101" w:name="_Toc52869673"/>
      <w:bookmarkStart w:id="1102" w:name="_Toc52869849"/>
      <w:r w:rsidRPr="00A9330B">
        <w:t>7.2. Enjeux environnementaux</w:t>
      </w:r>
      <w:bookmarkStart w:id="1103" w:name="_Toc7777916"/>
      <w:bookmarkStart w:id="1104" w:name="_Toc387444217"/>
      <w:bookmarkStart w:id="1105" w:name="_Toc387444430"/>
      <w:bookmarkStart w:id="1106" w:name="_Toc387444643"/>
      <w:bookmarkStart w:id="1107" w:name="_Toc387444856"/>
      <w:bookmarkStart w:id="1108" w:name="_Toc387445069"/>
      <w:bookmarkStart w:id="1109" w:name="_Toc387445495"/>
      <w:bookmarkStart w:id="1110" w:name="_Toc387445708"/>
      <w:bookmarkStart w:id="1111" w:name="_Toc387446134"/>
      <w:bookmarkStart w:id="1112" w:name="_Toc387446347"/>
      <w:bookmarkStart w:id="1113" w:name="_Toc387446738"/>
      <w:bookmarkStart w:id="1114" w:name="_Toc387446916"/>
      <w:bookmarkStart w:id="1115" w:name="_Toc388869563"/>
      <w:bookmarkStart w:id="1116" w:name="_Toc388869761"/>
      <w:bookmarkStart w:id="1117" w:name="_Toc388869959"/>
      <w:bookmarkStart w:id="1118" w:name="_Toc388870157"/>
      <w:bookmarkStart w:id="1119" w:name="_Toc388870355"/>
      <w:bookmarkStart w:id="1120" w:name="_Toc388870553"/>
      <w:bookmarkStart w:id="1121" w:name="_Toc388870751"/>
      <w:bookmarkStart w:id="1122" w:name="_Toc388870949"/>
      <w:bookmarkStart w:id="1123" w:name="_Toc388871147"/>
      <w:bookmarkStart w:id="1124" w:name="_Toc388871345"/>
      <w:bookmarkStart w:id="1125" w:name="_Toc388871543"/>
      <w:bookmarkStart w:id="1126" w:name="_Toc388896837"/>
      <w:bookmarkStart w:id="1127" w:name="_Toc535671344"/>
      <w:bookmarkStart w:id="1128" w:name="_Toc536197287"/>
      <w:bookmarkStart w:id="1129" w:name="_Toc536197481"/>
      <w:bookmarkStart w:id="1130" w:name="_Toc536197675"/>
      <w:bookmarkStart w:id="1131" w:name="_Toc536197869"/>
      <w:bookmarkStart w:id="1132" w:name="_Toc536198257"/>
      <w:bookmarkStart w:id="1133" w:name="_Toc536198451"/>
      <w:bookmarkStart w:id="1134" w:name="_Toc536198645"/>
      <w:bookmarkStart w:id="1135" w:name="_Toc536198839"/>
      <w:bookmarkStart w:id="1136" w:name="_Toc536199033"/>
      <w:bookmarkStart w:id="1137" w:name="_Toc536443386"/>
      <w:bookmarkStart w:id="1138" w:name="_Toc536519620"/>
      <w:bookmarkStart w:id="1139" w:name="_Toc536534580"/>
      <w:bookmarkStart w:id="1140" w:name="_Toc536534766"/>
      <w:bookmarkStart w:id="1141" w:name="_Toc536534952"/>
      <w:bookmarkStart w:id="1142" w:name="_Toc536535138"/>
      <w:bookmarkStart w:id="1143" w:name="_Toc536535510"/>
      <w:bookmarkStart w:id="1144" w:name="_Toc536535883"/>
      <w:bookmarkStart w:id="1145" w:name="_Toc536536070"/>
      <w:bookmarkStart w:id="1146" w:name="_Toc536536257"/>
      <w:bookmarkStart w:id="1147" w:name="_Toc536536444"/>
      <w:bookmarkStart w:id="1148" w:name="_Toc536536631"/>
      <w:bookmarkStart w:id="1149" w:name="_Toc536544744"/>
      <w:bookmarkStart w:id="1150" w:name="_Toc536544931"/>
      <w:bookmarkStart w:id="1151" w:name="_Toc7688869"/>
      <w:bookmarkStart w:id="1152" w:name="_Toc7689055"/>
      <w:bookmarkStart w:id="1153" w:name="_Toc7689241"/>
      <w:bookmarkStart w:id="1154" w:name="_Toc7689448"/>
      <w:bookmarkStart w:id="1155" w:name="_Toc7689820"/>
      <w:bookmarkStart w:id="1156" w:name="_Toc7690006"/>
      <w:bookmarkStart w:id="1157" w:name="_Toc7691497"/>
      <w:bookmarkStart w:id="1158" w:name="_Toc7691763"/>
      <w:bookmarkStart w:id="1159" w:name="_Toc7691986"/>
      <w:bookmarkStart w:id="1160" w:name="_Toc7692392"/>
      <w:bookmarkStart w:id="1161" w:name="_Toc7692602"/>
      <w:bookmarkStart w:id="1162" w:name="_Toc7695048"/>
      <w:bookmarkStart w:id="1163" w:name="_Toc7695255"/>
      <w:bookmarkEnd w:id="1049"/>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bookmarkEnd w:id="1101"/>
      <w:bookmarkEnd w:id="1102"/>
      <w:bookmarkEnd w:id="1103"/>
    </w:p>
    <w:p w14:paraId="62CADC19" w14:textId="77777777" w:rsidR="00401546" w:rsidRPr="00A9330B" w:rsidRDefault="00401546" w:rsidP="00401546">
      <w:pPr>
        <w:suppressAutoHyphens/>
        <w:spacing w:line="240" w:lineRule="auto"/>
        <w:ind w:left="720"/>
        <w:outlineLvl w:val="2"/>
        <w:rPr>
          <w:rFonts w:eastAsiaTheme="majorEastAsia" w:cstheme="majorBidi"/>
          <w:i/>
          <w:color w:val="auto"/>
          <w:sz w:val="26"/>
          <w:szCs w:val="24"/>
        </w:rPr>
      </w:pPr>
      <w:bookmarkStart w:id="1164" w:name="_Toc43697670"/>
      <w:bookmarkStart w:id="1165" w:name="_Toc45520874"/>
      <w:bookmarkStart w:id="1166" w:name="_Toc52869674"/>
      <w:r w:rsidRPr="00A9330B">
        <w:rPr>
          <w:rFonts w:eastAsiaTheme="majorEastAsia" w:cstheme="majorBidi"/>
          <w:i/>
          <w:color w:val="auto"/>
          <w:sz w:val="26"/>
          <w:szCs w:val="24"/>
        </w:rPr>
        <w:t>7.2.1. Structuration de l’espace</w:t>
      </w:r>
      <w:bookmarkEnd w:id="1164"/>
      <w:bookmarkEnd w:id="1165"/>
      <w:bookmarkEnd w:id="1166"/>
      <w:r w:rsidRPr="00A9330B">
        <w:rPr>
          <w:rFonts w:eastAsiaTheme="majorEastAsia" w:cstheme="majorBidi"/>
          <w:i/>
          <w:color w:val="auto"/>
          <w:sz w:val="26"/>
          <w:szCs w:val="24"/>
        </w:rPr>
        <w:t xml:space="preserve"> </w:t>
      </w:r>
    </w:p>
    <w:p w14:paraId="1B6A98DB" w14:textId="77777777" w:rsidR="00401546" w:rsidRPr="00A9330B" w:rsidRDefault="00401546" w:rsidP="00401546">
      <w:pPr>
        <w:autoSpaceDE w:val="0"/>
        <w:autoSpaceDN w:val="0"/>
        <w:adjustRightInd w:val="0"/>
        <w:ind w:right="-1"/>
        <w:jc w:val="both"/>
        <w:rPr>
          <w:rFonts w:cs="Arial"/>
          <w:color w:val="000000"/>
        </w:rPr>
      </w:pPr>
      <w:r w:rsidRPr="00A9330B">
        <w:rPr>
          <w:rFonts w:cs="Arial"/>
          <w:color w:val="000000"/>
        </w:rPr>
        <w:t xml:space="preserve">La construction des rues permettra de décongestionner le trafic existant souvent très intense sur la voie existante et facilitera les déplacements humains, la rapidité dans le transport des biens et des personnes, la rapidité dans les prestations de services, la sécurité des personnes </w:t>
      </w:r>
      <w:r w:rsidRPr="00A9330B">
        <w:rPr>
          <w:rFonts w:cs="Arial"/>
          <w:color w:val="000000"/>
        </w:rPr>
        <w:lastRenderedPageBreak/>
        <w:t>et des productions en circulation, l’accessibilité financière des biens localement produits et la possibilité pour chaque milieu de valoriser ses avantages comparatifs dans les échanges commerciaux.</w:t>
      </w:r>
    </w:p>
    <w:p w14:paraId="6376C101" w14:textId="77777777" w:rsidR="0051077A" w:rsidRPr="00A9330B" w:rsidRDefault="0051077A" w:rsidP="00401546">
      <w:pPr>
        <w:autoSpaceDE w:val="0"/>
        <w:autoSpaceDN w:val="0"/>
        <w:adjustRightInd w:val="0"/>
        <w:ind w:right="-1"/>
        <w:jc w:val="both"/>
        <w:rPr>
          <w:rFonts w:cs="Arial"/>
          <w:color w:val="000000"/>
        </w:rPr>
      </w:pPr>
      <w:r w:rsidRPr="00A9330B">
        <w:rPr>
          <w:rFonts w:cs="Arial"/>
          <w:color w:val="000000"/>
        </w:rPr>
        <w:t>Natitingou étant une ville touristique, les aménagements prévus contribueront à l’embellissement de la ville et à un meilleur attrait touristique.</w:t>
      </w:r>
    </w:p>
    <w:p w14:paraId="5DD72D16" w14:textId="77777777" w:rsidR="00401546" w:rsidRPr="00A9330B" w:rsidRDefault="00401546" w:rsidP="00401546">
      <w:pPr>
        <w:suppressAutoHyphens/>
        <w:spacing w:line="240" w:lineRule="auto"/>
        <w:ind w:left="720"/>
        <w:outlineLvl w:val="2"/>
        <w:rPr>
          <w:rFonts w:eastAsiaTheme="majorEastAsia" w:cstheme="majorBidi"/>
          <w:i/>
          <w:color w:val="auto"/>
          <w:sz w:val="26"/>
          <w:szCs w:val="24"/>
        </w:rPr>
      </w:pPr>
      <w:bookmarkStart w:id="1167" w:name="_Toc43697671"/>
      <w:bookmarkStart w:id="1168" w:name="_Toc45520875"/>
      <w:bookmarkStart w:id="1169" w:name="_Toc52869675"/>
      <w:r w:rsidRPr="00A9330B">
        <w:rPr>
          <w:rFonts w:eastAsiaTheme="majorEastAsia" w:cstheme="majorBidi"/>
          <w:i/>
          <w:color w:val="auto"/>
          <w:sz w:val="26"/>
          <w:szCs w:val="24"/>
        </w:rPr>
        <w:t>7.2.2. Meilleur assainissement de la ville</w:t>
      </w:r>
      <w:bookmarkEnd w:id="1167"/>
      <w:bookmarkEnd w:id="1168"/>
      <w:bookmarkEnd w:id="1169"/>
      <w:r w:rsidRPr="00A9330B">
        <w:rPr>
          <w:rFonts w:eastAsiaTheme="majorEastAsia" w:cstheme="majorBidi"/>
          <w:i/>
          <w:color w:val="auto"/>
          <w:sz w:val="26"/>
          <w:szCs w:val="24"/>
        </w:rPr>
        <w:t xml:space="preserve"> </w:t>
      </w:r>
    </w:p>
    <w:p w14:paraId="22E98A26" w14:textId="77777777" w:rsidR="00401546" w:rsidRPr="00A9330B" w:rsidRDefault="00401546" w:rsidP="00401546">
      <w:pPr>
        <w:jc w:val="both"/>
        <w:rPr>
          <w:rFonts w:cs="Arial"/>
        </w:rPr>
      </w:pPr>
      <w:r w:rsidRPr="00A9330B">
        <w:rPr>
          <w:rFonts w:cs="Arial"/>
        </w:rPr>
        <w:t xml:space="preserve">Le projet permettra de lutter efficacement contre les inondations, l’érosion des voies et contribuera fortement au bien-être des populations. </w:t>
      </w:r>
    </w:p>
    <w:p w14:paraId="74658F85" w14:textId="77777777" w:rsidR="00401546" w:rsidRPr="00A9330B" w:rsidRDefault="00401546" w:rsidP="00401546">
      <w:pPr>
        <w:suppressAutoHyphens/>
        <w:spacing w:line="240" w:lineRule="auto"/>
        <w:ind w:left="720"/>
        <w:outlineLvl w:val="2"/>
        <w:rPr>
          <w:rFonts w:eastAsia="Calibri" w:cstheme="majorBidi"/>
          <w:i/>
          <w:noProof/>
          <w:color w:val="auto"/>
          <w:sz w:val="26"/>
          <w:szCs w:val="24"/>
        </w:rPr>
      </w:pPr>
      <w:bookmarkStart w:id="1170" w:name="_Toc387444218"/>
      <w:bookmarkStart w:id="1171" w:name="_Toc387444431"/>
      <w:bookmarkStart w:id="1172" w:name="_Toc387444644"/>
      <w:bookmarkStart w:id="1173" w:name="_Toc387444857"/>
      <w:bookmarkStart w:id="1174" w:name="_Toc387445070"/>
      <w:bookmarkStart w:id="1175" w:name="_Toc387445496"/>
      <w:bookmarkStart w:id="1176" w:name="_Toc387445709"/>
      <w:bookmarkStart w:id="1177" w:name="_Toc387446135"/>
      <w:bookmarkStart w:id="1178" w:name="_Toc387446348"/>
      <w:bookmarkStart w:id="1179" w:name="_Toc387446739"/>
      <w:bookmarkStart w:id="1180" w:name="_Toc387446917"/>
      <w:bookmarkStart w:id="1181" w:name="_Toc388869564"/>
      <w:bookmarkStart w:id="1182" w:name="_Toc388869762"/>
      <w:bookmarkStart w:id="1183" w:name="_Toc388869960"/>
      <w:bookmarkStart w:id="1184" w:name="_Toc388870158"/>
      <w:bookmarkStart w:id="1185" w:name="_Toc388870356"/>
      <w:bookmarkStart w:id="1186" w:name="_Toc388870554"/>
      <w:bookmarkStart w:id="1187" w:name="_Toc388870752"/>
      <w:bookmarkStart w:id="1188" w:name="_Toc388870950"/>
      <w:bookmarkStart w:id="1189" w:name="_Toc388871148"/>
      <w:bookmarkStart w:id="1190" w:name="_Toc388871346"/>
      <w:bookmarkStart w:id="1191" w:name="_Toc388871544"/>
      <w:bookmarkStart w:id="1192" w:name="_Toc388896838"/>
      <w:bookmarkStart w:id="1193" w:name="_Toc535671345"/>
      <w:bookmarkStart w:id="1194" w:name="_Toc536197288"/>
      <w:bookmarkStart w:id="1195" w:name="_Toc536197482"/>
      <w:bookmarkStart w:id="1196" w:name="_Toc536197676"/>
      <w:bookmarkStart w:id="1197" w:name="_Toc536197870"/>
      <w:bookmarkStart w:id="1198" w:name="_Toc536198258"/>
      <w:bookmarkStart w:id="1199" w:name="_Toc536198452"/>
      <w:bookmarkStart w:id="1200" w:name="_Toc536198646"/>
      <w:bookmarkStart w:id="1201" w:name="_Toc536198840"/>
      <w:bookmarkStart w:id="1202" w:name="_Toc536199034"/>
      <w:bookmarkStart w:id="1203" w:name="_Toc536443387"/>
      <w:bookmarkStart w:id="1204" w:name="_Toc536519621"/>
      <w:bookmarkStart w:id="1205" w:name="_Toc536534581"/>
      <w:bookmarkStart w:id="1206" w:name="_Toc536534767"/>
      <w:bookmarkStart w:id="1207" w:name="_Toc536534953"/>
      <w:bookmarkStart w:id="1208" w:name="_Toc536535139"/>
      <w:bookmarkStart w:id="1209" w:name="_Toc536535511"/>
      <w:bookmarkStart w:id="1210" w:name="_Toc536535884"/>
      <w:bookmarkStart w:id="1211" w:name="_Toc536536071"/>
      <w:bookmarkStart w:id="1212" w:name="_Toc536536258"/>
      <w:bookmarkStart w:id="1213" w:name="_Toc536536445"/>
      <w:bookmarkStart w:id="1214" w:name="_Toc536536632"/>
      <w:bookmarkStart w:id="1215" w:name="_Toc536544745"/>
      <w:bookmarkStart w:id="1216" w:name="_Toc536544932"/>
      <w:bookmarkStart w:id="1217" w:name="_Toc7688870"/>
      <w:bookmarkStart w:id="1218" w:name="_Toc7689056"/>
      <w:bookmarkStart w:id="1219" w:name="_Toc7689242"/>
      <w:bookmarkStart w:id="1220" w:name="_Toc7689449"/>
      <w:bookmarkStart w:id="1221" w:name="_Toc7689821"/>
      <w:bookmarkStart w:id="1222" w:name="_Toc7690007"/>
      <w:bookmarkStart w:id="1223" w:name="_Toc7691498"/>
      <w:bookmarkStart w:id="1224" w:name="_Toc7691764"/>
      <w:bookmarkStart w:id="1225" w:name="_Toc7691987"/>
      <w:bookmarkStart w:id="1226" w:name="_Toc7692393"/>
      <w:bookmarkStart w:id="1227" w:name="_Toc7692603"/>
      <w:bookmarkStart w:id="1228" w:name="_Toc7695049"/>
      <w:bookmarkStart w:id="1229" w:name="_Toc7695256"/>
      <w:bookmarkStart w:id="1230" w:name="_Toc8139552"/>
      <w:bookmarkStart w:id="1231" w:name="_Toc8139758"/>
      <w:bookmarkStart w:id="1232" w:name="_Toc8139964"/>
      <w:bookmarkStart w:id="1233" w:name="_Toc8140170"/>
      <w:bookmarkStart w:id="1234" w:name="_Toc8140376"/>
      <w:bookmarkStart w:id="1235" w:name="_Toc8140582"/>
      <w:bookmarkStart w:id="1236" w:name="_Toc8140788"/>
      <w:bookmarkStart w:id="1237" w:name="_Toc8140994"/>
      <w:bookmarkStart w:id="1238" w:name="_Toc8141406"/>
      <w:bookmarkStart w:id="1239" w:name="_Toc8141612"/>
      <w:bookmarkStart w:id="1240" w:name="_Toc8141818"/>
      <w:bookmarkStart w:id="1241" w:name="_Toc8204352"/>
      <w:bookmarkStart w:id="1242" w:name="_Toc8204616"/>
      <w:bookmarkStart w:id="1243" w:name="_Toc43697672"/>
      <w:bookmarkStart w:id="1244" w:name="_Toc45520876"/>
      <w:bookmarkStart w:id="1245" w:name="_Toc52869676"/>
      <w:bookmarkEnd w:id="1104"/>
      <w:bookmarkEnd w:id="1105"/>
      <w:bookmarkEnd w:id="1106"/>
      <w:bookmarkEnd w:id="1107"/>
      <w:bookmarkEnd w:id="1108"/>
      <w:bookmarkEnd w:id="1109"/>
      <w:bookmarkEnd w:id="1110"/>
      <w:bookmarkEnd w:id="1111"/>
      <w:bookmarkEnd w:id="1112"/>
      <w:bookmarkEnd w:id="1113"/>
      <w:bookmarkEnd w:id="1114"/>
      <w:bookmarkEnd w:id="1115"/>
      <w:bookmarkEnd w:id="1116"/>
      <w:bookmarkEnd w:id="1117"/>
      <w:bookmarkEnd w:id="1118"/>
      <w:bookmarkEnd w:id="1119"/>
      <w:bookmarkEnd w:id="1120"/>
      <w:bookmarkEnd w:id="1121"/>
      <w:bookmarkEnd w:id="1122"/>
      <w:bookmarkEnd w:id="1123"/>
      <w:bookmarkEnd w:id="1124"/>
      <w:bookmarkEnd w:id="1125"/>
      <w:bookmarkEnd w:id="1126"/>
      <w:bookmarkEnd w:id="1127"/>
      <w:bookmarkEnd w:id="1128"/>
      <w:bookmarkEnd w:id="1129"/>
      <w:bookmarkEnd w:id="1130"/>
      <w:bookmarkEnd w:id="1131"/>
      <w:bookmarkEnd w:id="1132"/>
      <w:bookmarkEnd w:id="1133"/>
      <w:bookmarkEnd w:id="1134"/>
      <w:bookmarkEnd w:id="1135"/>
      <w:bookmarkEnd w:id="1136"/>
      <w:bookmarkEnd w:id="1137"/>
      <w:bookmarkEnd w:id="1138"/>
      <w:bookmarkEnd w:id="1139"/>
      <w:bookmarkEnd w:id="1140"/>
      <w:bookmarkEnd w:id="1141"/>
      <w:bookmarkEnd w:id="1142"/>
      <w:bookmarkEnd w:id="1143"/>
      <w:bookmarkEnd w:id="1144"/>
      <w:bookmarkEnd w:id="1145"/>
      <w:bookmarkEnd w:id="1146"/>
      <w:bookmarkEnd w:id="1147"/>
      <w:bookmarkEnd w:id="1148"/>
      <w:bookmarkEnd w:id="1149"/>
      <w:bookmarkEnd w:id="1150"/>
      <w:bookmarkEnd w:id="1151"/>
      <w:bookmarkEnd w:id="1152"/>
      <w:bookmarkEnd w:id="1153"/>
      <w:bookmarkEnd w:id="1154"/>
      <w:bookmarkEnd w:id="1155"/>
      <w:bookmarkEnd w:id="1156"/>
      <w:bookmarkEnd w:id="1157"/>
      <w:bookmarkEnd w:id="1158"/>
      <w:bookmarkEnd w:id="1159"/>
      <w:bookmarkEnd w:id="1160"/>
      <w:bookmarkEnd w:id="1161"/>
      <w:bookmarkEnd w:id="1162"/>
      <w:bookmarkEnd w:id="1163"/>
      <w:r w:rsidRPr="00A9330B">
        <w:rPr>
          <w:rFonts w:eastAsiaTheme="majorEastAsia" w:cstheme="majorBidi"/>
          <w:i/>
          <w:color w:val="auto"/>
          <w:sz w:val="26"/>
          <w:szCs w:val="24"/>
        </w:rPr>
        <w:t xml:space="preserve">7.2.3. </w:t>
      </w:r>
      <w:r w:rsidRPr="00A9330B">
        <w:rPr>
          <w:rFonts w:eastAsia="Calibri" w:cstheme="majorBidi"/>
          <w:i/>
          <w:noProof/>
          <w:color w:val="auto"/>
          <w:sz w:val="26"/>
          <w:szCs w:val="24"/>
        </w:rPr>
        <w:t>La préservation de la biodiversité</w:t>
      </w:r>
      <w:bookmarkEnd w:id="1170"/>
      <w:bookmarkEnd w:id="1171"/>
      <w:bookmarkEnd w:id="1172"/>
      <w:bookmarkEnd w:id="1173"/>
      <w:bookmarkEnd w:id="1174"/>
      <w:bookmarkEnd w:id="1175"/>
      <w:bookmarkEnd w:id="1176"/>
      <w:bookmarkEnd w:id="1177"/>
      <w:bookmarkEnd w:id="1178"/>
      <w:bookmarkEnd w:id="1179"/>
      <w:bookmarkEnd w:id="1180"/>
      <w:bookmarkEnd w:id="1181"/>
      <w:bookmarkEnd w:id="1182"/>
      <w:bookmarkEnd w:id="1183"/>
      <w:bookmarkEnd w:id="1184"/>
      <w:bookmarkEnd w:id="1185"/>
      <w:bookmarkEnd w:id="1186"/>
      <w:bookmarkEnd w:id="1187"/>
      <w:bookmarkEnd w:id="1188"/>
      <w:bookmarkEnd w:id="1189"/>
      <w:bookmarkEnd w:id="1190"/>
      <w:bookmarkEnd w:id="1191"/>
      <w:bookmarkEnd w:id="1192"/>
      <w:bookmarkEnd w:id="1193"/>
      <w:bookmarkEnd w:id="1194"/>
      <w:bookmarkEnd w:id="1195"/>
      <w:bookmarkEnd w:id="1196"/>
      <w:bookmarkEnd w:id="1197"/>
      <w:bookmarkEnd w:id="1198"/>
      <w:bookmarkEnd w:id="1199"/>
      <w:bookmarkEnd w:id="1200"/>
      <w:bookmarkEnd w:id="1201"/>
      <w:bookmarkEnd w:id="1202"/>
      <w:bookmarkEnd w:id="1203"/>
      <w:bookmarkEnd w:id="1204"/>
      <w:bookmarkEnd w:id="1205"/>
      <w:bookmarkEnd w:id="1206"/>
      <w:bookmarkEnd w:id="1207"/>
      <w:bookmarkEnd w:id="1208"/>
      <w:bookmarkEnd w:id="1209"/>
      <w:bookmarkEnd w:id="1210"/>
      <w:bookmarkEnd w:id="1211"/>
      <w:bookmarkEnd w:id="1212"/>
      <w:bookmarkEnd w:id="1213"/>
      <w:bookmarkEnd w:id="1214"/>
      <w:bookmarkEnd w:id="1215"/>
      <w:bookmarkEnd w:id="1216"/>
      <w:bookmarkEnd w:id="1217"/>
      <w:bookmarkEnd w:id="1218"/>
      <w:bookmarkEnd w:id="1219"/>
      <w:bookmarkEnd w:id="1220"/>
      <w:bookmarkEnd w:id="1221"/>
      <w:bookmarkEnd w:id="1222"/>
      <w:bookmarkEnd w:id="1223"/>
      <w:bookmarkEnd w:id="1224"/>
      <w:bookmarkEnd w:id="1225"/>
      <w:bookmarkEnd w:id="1226"/>
      <w:bookmarkEnd w:id="1227"/>
      <w:bookmarkEnd w:id="1228"/>
      <w:bookmarkEnd w:id="1229"/>
      <w:bookmarkEnd w:id="1230"/>
      <w:bookmarkEnd w:id="1231"/>
      <w:bookmarkEnd w:id="1232"/>
      <w:bookmarkEnd w:id="1233"/>
      <w:bookmarkEnd w:id="1234"/>
      <w:bookmarkEnd w:id="1235"/>
      <w:bookmarkEnd w:id="1236"/>
      <w:bookmarkEnd w:id="1237"/>
      <w:bookmarkEnd w:id="1238"/>
      <w:bookmarkEnd w:id="1239"/>
      <w:bookmarkEnd w:id="1240"/>
      <w:bookmarkEnd w:id="1241"/>
      <w:bookmarkEnd w:id="1242"/>
      <w:bookmarkEnd w:id="1243"/>
      <w:bookmarkEnd w:id="1244"/>
      <w:bookmarkEnd w:id="1245"/>
      <w:r w:rsidRPr="00A9330B">
        <w:rPr>
          <w:rFonts w:eastAsia="Calibri" w:cstheme="majorBidi"/>
          <w:i/>
          <w:noProof/>
          <w:color w:val="auto"/>
          <w:sz w:val="26"/>
          <w:szCs w:val="24"/>
        </w:rPr>
        <w:t xml:space="preserve"> </w:t>
      </w:r>
      <w:bookmarkStart w:id="1246" w:name="_Toc386966123"/>
      <w:bookmarkStart w:id="1247" w:name="_Toc386966129"/>
      <w:bookmarkStart w:id="1248" w:name="_Toc386966130"/>
      <w:bookmarkStart w:id="1249" w:name="_Toc386966131"/>
      <w:bookmarkStart w:id="1250" w:name="_Toc386966132"/>
      <w:bookmarkStart w:id="1251" w:name="_Toc386966133"/>
      <w:bookmarkStart w:id="1252" w:name="_Toc386966134"/>
      <w:bookmarkEnd w:id="1246"/>
      <w:bookmarkEnd w:id="1247"/>
      <w:bookmarkEnd w:id="1248"/>
      <w:bookmarkEnd w:id="1249"/>
      <w:bookmarkEnd w:id="1250"/>
      <w:bookmarkEnd w:id="1251"/>
      <w:bookmarkEnd w:id="1252"/>
    </w:p>
    <w:p w14:paraId="773FD899" w14:textId="2E02A97F" w:rsidR="00401546" w:rsidRPr="00A9330B" w:rsidRDefault="00401546" w:rsidP="00401546">
      <w:pPr>
        <w:jc w:val="both"/>
        <w:rPr>
          <w:rFonts w:cs="Arial"/>
          <w:lang w:eastAsia="fr-FR"/>
        </w:rPr>
      </w:pPr>
      <w:r w:rsidRPr="00A9330B">
        <w:rPr>
          <w:rFonts w:cs="Arial"/>
          <w:lang w:eastAsia="fr-FR"/>
        </w:rPr>
        <w:t>En raison des activités des populations en zone péri-</w:t>
      </w:r>
      <w:r w:rsidR="007025F6" w:rsidRPr="00A9330B">
        <w:rPr>
          <w:rFonts w:cs="Arial"/>
          <w:lang w:eastAsia="fr-FR"/>
        </w:rPr>
        <w:t>urbaine, les</w:t>
      </w:r>
      <w:r w:rsidRPr="00A9330B">
        <w:rPr>
          <w:rFonts w:cs="Arial"/>
          <w:lang w:eastAsia="fr-FR"/>
        </w:rPr>
        <w:t xml:space="preserve"> enjeux sont minimes.</w:t>
      </w:r>
    </w:p>
    <w:p w14:paraId="67656C60" w14:textId="068370F0" w:rsidR="00401546" w:rsidRPr="00A9330B" w:rsidRDefault="00401546" w:rsidP="00401546">
      <w:pPr>
        <w:jc w:val="both"/>
        <w:rPr>
          <w:rFonts w:cs="Arial"/>
          <w:lang w:eastAsia="fr-FR"/>
        </w:rPr>
      </w:pPr>
      <w:r w:rsidRPr="00A9330B">
        <w:rPr>
          <w:rFonts w:cs="Arial"/>
          <w:lang w:eastAsia="fr-FR"/>
        </w:rPr>
        <w:t>Les effets du projet su</w:t>
      </w:r>
      <w:r w:rsidR="00362D97" w:rsidRPr="00A9330B">
        <w:rPr>
          <w:rFonts w:cs="Arial"/>
          <w:lang w:eastAsia="fr-FR"/>
        </w:rPr>
        <w:t>r la biodiversité seront limité</w:t>
      </w:r>
      <w:r w:rsidRPr="00A9330B">
        <w:rPr>
          <w:rFonts w:cs="Arial"/>
          <w:lang w:eastAsia="fr-FR"/>
        </w:rPr>
        <w:t xml:space="preserve">s, car il n’y a pas de formation forestière (forêt classée ou sacrée), la dégradation de la végétation sera ciblée sur les périmètres devant abriter les ouvrages et les rues à aménager. Les rues et leurs abords sont généralement dépourvus de végétation. Quant aux collecteurs, ils passent dans des zones urbaines et les exutoires offrent aux populations des opportunités pour les cultures maraichères. La végétation naturelle n’existe plus pratiquement. </w:t>
      </w:r>
    </w:p>
    <w:p w14:paraId="38FB9663" w14:textId="69525BB1" w:rsidR="00401546" w:rsidRPr="00A9330B" w:rsidRDefault="00401546" w:rsidP="00401546">
      <w:pPr>
        <w:jc w:val="both"/>
        <w:rPr>
          <w:rFonts w:cs="Arial"/>
          <w:lang w:eastAsia="fr-FR"/>
        </w:rPr>
      </w:pPr>
      <w:r w:rsidRPr="00A9330B">
        <w:rPr>
          <w:rFonts w:cs="Arial"/>
          <w:lang w:eastAsia="fr-FR"/>
        </w:rPr>
        <w:t>Par contre, la biodiversité des zones de prélèvements des matériaux d’emprunts pour la réalisation</w:t>
      </w:r>
      <w:r w:rsidR="00362D97" w:rsidRPr="00A9330B">
        <w:rPr>
          <w:rFonts w:cs="Arial"/>
          <w:lang w:eastAsia="fr-FR"/>
        </w:rPr>
        <w:t xml:space="preserve"> des travaux du Projet pourrai</w:t>
      </w:r>
      <w:r w:rsidRPr="00A9330B">
        <w:rPr>
          <w:rFonts w:cs="Arial"/>
          <w:lang w:eastAsia="fr-FR"/>
        </w:rPr>
        <w:t>t subir d’éventuelles perturbations.</w:t>
      </w:r>
    </w:p>
    <w:p w14:paraId="26C522F1" w14:textId="77777777" w:rsidR="00401546" w:rsidRPr="00A9330B" w:rsidRDefault="00401546" w:rsidP="00401546">
      <w:pPr>
        <w:suppressAutoHyphens/>
        <w:spacing w:line="240" w:lineRule="auto"/>
        <w:ind w:left="720"/>
        <w:outlineLvl w:val="2"/>
        <w:rPr>
          <w:rFonts w:eastAsia="Calibri" w:cstheme="majorBidi"/>
          <w:i/>
          <w:noProof/>
          <w:color w:val="auto"/>
          <w:sz w:val="26"/>
          <w:szCs w:val="24"/>
        </w:rPr>
      </w:pPr>
      <w:bookmarkStart w:id="1253" w:name="_Toc43697673"/>
      <w:bookmarkStart w:id="1254" w:name="_Toc45520877"/>
      <w:bookmarkStart w:id="1255" w:name="_Toc52869677"/>
      <w:r w:rsidRPr="00A9330B">
        <w:rPr>
          <w:rFonts w:eastAsiaTheme="majorEastAsia" w:cstheme="majorBidi"/>
          <w:i/>
          <w:color w:val="auto"/>
          <w:sz w:val="26"/>
          <w:szCs w:val="24"/>
        </w:rPr>
        <w:t xml:space="preserve">7.2.4. </w:t>
      </w:r>
      <w:r w:rsidRPr="00A9330B">
        <w:rPr>
          <w:rFonts w:eastAsia="Calibri" w:cstheme="majorBidi"/>
          <w:i/>
          <w:noProof/>
          <w:color w:val="auto"/>
          <w:sz w:val="26"/>
          <w:szCs w:val="24"/>
        </w:rPr>
        <w:t>Modification de l’aspect paysager</w:t>
      </w:r>
      <w:bookmarkEnd w:id="1253"/>
      <w:bookmarkEnd w:id="1254"/>
      <w:bookmarkEnd w:id="1255"/>
      <w:r w:rsidRPr="00A9330B">
        <w:rPr>
          <w:rFonts w:eastAsia="Calibri" w:cstheme="majorBidi"/>
          <w:i/>
          <w:noProof/>
          <w:color w:val="auto"/>
          <w:sz w:val="26"/>
          <w:szCs w:val="24"/>
        </w:rPr>
        <w:t xml:space="preserve"> </w:t>
      </w:r>
    </w:p>
    <w:p w14:paraId="73DA3C42" w14:textId="26F56752" w:rsidR="00401546" w:rsidRPr="00A9330B" w:rsidRDefault="00401546" w:rsidP="00401546">
      <w:pPr>
        <w:jc w:val="both"/>
        <w:rPr>
          <w:rFonts w:cs="Arial"/>
          <w:lang w:eastAsia="fr-FR"/>
        </w:rPr>
      </w:pPr>
      <w:r w:rsidRPr="00A9330B">
        <w:rPr>
          <w:rFonts w:cs="Arial"/>
          <w:lang w:eastAsia="fr-FR"/>
        </w:rPr>
        <w:t xml:space="preserve">Le paysage, récepteur du projet est l’agglomération dans la mesure où les travaux se feront en milieu urbain et </w:t>
      </w:r>
      <w:r w:rsidR="007025F6" w:rsidRPr="00A9330B">
        <w:rPr>
          <w:rFonts w:cs="Arial"/>
          <w:lang w:eastAsia="fr-FR"/>
        </w:rPr>
        <w:t>périurbain et</w:t>
      </w:r>
      <w:r w:rsidRPr="00A9330B">
        <w:rPr>
          <w:rFonts w:cs="Arial"/>
          <w:lang w:eastAsia="fr-FR"/>
        </w:rPr>
        <w:t xml:space="preserve"> les impacts seront principalement perçus par les populations. Les effets sur le paysage seront suffisamment perçus : les collecteurs à ciel ouvert sont de grandes dimensions et traversent pratiquement la ville sur plusieurs tronçons.</w:t>
      </w:r>
    </w:p>
    <w:p w14:paraId="16469F79" w14:textId="08B4F79B" w:rsidR="00401546" w:rsidRPr="00A9330B" w:rsidRDefault="00401546" w:rsidP="00401546">
      <w:pPr>
        <w:jc w:val="both"/>
        <w:rPr>
          <w:rFonts w:cs="Arial"/>
          <w:lang w:eastAsia="fr-FR"/>
        </w:rPr>
      </w:pPr>
      <w:r w:rsidRPr="00A9330B">
        <w:rPr>
          <w:rFonts w:cs="Arial"/>
          <w:lang w:eastAsia="fr-FR"/>
        </w:rPr>
        <w:t>Les ru</w:t>
      </w:r>
      <w:r w:rsidR="00362D97" w:rsidRPr="00A9330B">
        <w:rPr>
          <w:rFonts w:cs="Arial"/>
          <w:lang w:eastAsia="fr-FR"/>
        </w:rPr>
        <w:t>e</w:t>
      </w:r>
      <w:r w:rsidRPr="00A9330B">
        <w:rPr>
          <w:rFonts w:cs="Arial"/>
          <w:lang w:eastAsia="fr-FR"/>
        </w:rPr>
        <w:t>s à aménager permettront de mieux structurer l’espac</w:t>
      </w:r>
      <w:r w:rsidR="00E1470A" w:rsidRPr="00A9330B">
        <w:rPr>
          <w:rFonts w:cs="Arial"/>
          <w:lang w:eastAsia="fr-FR"/>
        </w:rPr>
        <w:t>e et le résultat sera une ville</w:t>
      </w:r>
      <w:r w:rsidRPr="00A9330B">
        <w:rPr>
          <w:rFonts w:cs="Arial"/>
          <w:lang w:eastAsia="fr-FR"/>
        </w:rPr>
        <w:t xml:space="preserve"> plus belle.</w:t>
      </w:r>
    </w:p>
    <w:p w14:paraId="2E60A339" w14:textId="77777777" w:rsidR="00401546" w:rsidRPr="00A9330B" w:rsidRDefault="00401546" w:rsidP="00401546">
      <w:pPr>
        <w:suppressAutoHyphens/>
        <w:spacing w:line="240" w:lineRule="auto"/>
        <w:ind w:left="720"/>
        <w:outlineLvl w:val="2"/>
        <w:rPr>
          <w:rFonts w:eastAsia="Calibri" w:cstheme="majorBidi"/>
          <w:i/>
          <w:noProof/>
          <w:color w:val="auto"/>
          <w:sz w:val="26"/>
          <w:szCs w:val="24"/>
        </w:rPr>
      </w:pPr>
      <w:bookmarkStart w:id="1256" w:name="_Toc43697674"/>
      <w:bookmarkStart w:id="1257" w:name="_Toc45520878"/>
      <w:bookmarkStart w:id="1258" w:name="_Toc52869678"/>
      <w:r w:rsidRPr="00A9330B">
        <w:rPr>
          <w:rFonts w:eastAsiaTheme="majorEastAsia" w:cstheme="majorBidi"/>
          <w:i/>
          <w:color w:val="auto"/>
          <w:sz w:val="26"/>
          <w:szCs w:val="24"/>
        </w:rPr>
        <w:t xml:space="preserve">7.2.5. </w:t>
      </w:r>
      <w:r w:rsidRPr="00A9330B">
        <w:rPr>
          <w:rFonts w:eastAsia="Calibri" w:cstheme="majorBidi"/>
          <w:i/>
          <w:noProof/>
          <w:color w:val="auto"/>
          <w:sz w:val="26"/>
          <w:szCs w:val="24"/>
        </w:rPr>
        <w:t>Déplacement des persones et des biens</w:t>
      </w:r>
      <w:bookmarkEnd w:id="1256"/>
      <w:bookmarkEnd w:id="1257"/>
      <w:bookmarkEnd w:id="1258"/>
      <w:r w:rsidRPr="00A9330B">
        <w:rPr>
          <w:rFonts w:eastAsia="Calibri" w:cstheme="majorBidi"/>
          <w:i/>
          <w:noProof/>
          <w:color w:val="auto"/>
          <w:sz w:val="26"/>
          <w:szCs w:val="24"/>
        </w:rPr>
        <w:t xml:space="preserve"> </w:t>
      </w:r>
    </w:p>
    <w:p w14:paraId="4C62995F" w14:textId="77777777" w:rsidR="00401546" w:rsidRPr="00A9330B" w:rsidRDefault="00401546" w:rsidP="00401546">
      <w:pPr>
        <w:jc w:val="both"/>
        <w:rPr>
          <w:rFonts w:cs="Arial"/>
        </w:rPr>
      </w:pPr>
      <w:r w:rsidRPr="00A9330B">
        <w:rPr>
          <w:rFonts w:cs="Arial"/>
        </w:rPr>
        <w:t>Le projet se déroule en milieu où l’occupation est dense. Il a été constaté que les itinéraires proposés traversent des domaines privés ou abritent parfois des installations dont les plus importants sont : les habitations, les espaces maraichers, des installations commerciales, etc. La libération des emprises aura aussi pour conséquences le déplacement des installations et des biens existants dans l’emprise.</w:t>
      </w:r>
    </w:p>
    <w:p w14:paraId="7DA2BF47" w14:textId="77777777" w:rsidR="00401546" w:rsidRPr="00A9330B" w:rsidRDefault="00401546" w:rsidP="00401546">
      <w:pPr>
        <w:suppressAutoHyphens/>
        <w:spacing w:line="240" w:lineRule="auto"/>
        <w:ind w:left="720"/>
        <w:outlineLvl w:val="2"/>
        <w:rPr>
          <w:rFonts w:eastAsiaTheme="majorEastAsia" w:cstheme="majorBidi"/>
          <w:i/>
          <w:color w:val="auto"/>
          <w:sz w:val="26"/>
          <w:szCs w:val="24"/>
        </w:rPr>
      </w:pPr>
      <w:bookmarkStart w:id="1259" w:name="_Toc43697675"/>
      <w:bookmarkStart w:id="1260" w:name="_Toc45520879"/>
      <w:bookmarkStart w:id="1261" w:name="_Toc52869679"/>
      <w:r w:rsidRPr="00A9330B">
        <w:rPr>
          <w:rFonts w:eastAsiaTheme="majorEastAsia" w:cstheme="majorBidi"/>
          <w:i/>
          <w:color w:val="auto"/>
          <w:sz w:val="26"/>
          <w:szCs w:val="24"/>
        </w:rPr>
        <w:t>7.2.6. Amélioration des conditions de vie</w:t>
      </w:r>
      <w:bookmarkEnd w:id="1259"/>
      <w:bookmarkEnd w:id="1260"/>
      <w:bookmarkEnd w:id="1261"/>
    </w:p>
    <w:p w14:paraId="67910AF7" w14:textId="77777777" w:rsidR="00401546" w:rsidRPr="00A9330B" w:rsidRDefault="00401546" w:rsidP="00401546">
      <w:pPr>
        <w:spacing w:before="0" w:line="240" w:lineRule="auto"/>
        <w:jc w:val="both"/>
        <w:rPr>
          <w:rFonts w:cs="Arial"/>
        </w:rPr>
      </w:pPr>
      <w:r w:rsidRPr="00A9330B">
        <w:rPr>
          <w:rFonts w:cs="Arial"/>
        </w:rPr>
        <w:t>L’amélioration des conditions de vie et de santé dans les zones concernées surtout les zones défavorisées et la contribution à la résolution des questions de développement humain et social.</w:t>
      </w:r>
    </w:p>
    <w:p w14:paraId="425E8F74" w14:textId="77777777" w:rsidR="00401546" w:rsidRPr="00A9330B" w:rsidRDefault="00401546" w:rsidP="00401546">
      <w:pPr>
        <w:jc w:val="both"/>
        <w:rPr>
          <w:rFonts w:cs="Arial"/>
        </w:rPr>
      </w:pPr>
      <w:r w:rsidRPr="00A9330B">
        <w:rPr>
          <w:rFonts w:cs="Arial"/>
        </w:rPr>
        <w:t>La durabilité et la viabilité des routes et leur mise en conformité aux normes</w:t>
      </w:r>
    </w:p>
    <w:p w14:paraId="40B23A4B" w14:textId="77777777" w:rsidR="00401546" w:rsidRPr="00A9330B" w:rsidRDefault="00401546" w:rsidP="00401546">
      <w:pPr>
        <w:keepNext/>
        <w:keepLines/>
        <w:spacing w:before="200" w:line="276" w:lineRule="auto"/>
        <w:outlineLvl w:val="1"/>
        <w:rPr>
          <w:b/>
          <w:caps/>
          <w:sz w:val="26"/>
        </w:rPr>
      </w:pPr>
      <w:bookmarkStart w:id="1262" w:name="_Toc7688872"/>
      <w:bookmarkStart w:id="1263" w:name="_Toc7689058"/>
      <w:bookmarkStart w:id="1264" w:name="_Toc7689244"/>
      <w:bookmarkStart w:id="1265" w:name="_Toc7689451"/>
      <w:bookmarkStart w:id="1266" w:name="_Toc7689823"/>
      <w:bookmarkStart w:id="1267" w:name="_Toc7690009"/>
      <w:bookmarkStart w:id="1268" w:name="_Toc7691500"/>
      <w:bookmarkStart w:id="1269" w:name="_Toc7691766"/>
      <w:bookmarkStart w:id="1270" w:name="_Toc7691989"/>
      <w:bookmarkStart w:id="1271" w:name="_Toc7692395"/>
      <w:bookmarkStart w:id="1272" w:name="_Toc7692605"/>
      <w:bookmarkStart w:id="1273" w:name="_Toc7695051"/>
      <w:bookmarkStart w:id="1274" w:name="_Toc7695258"/>
      <w:bookmarkStart w:id="1275" w:name="_Toc8139554"/>
      <w:bookmarkStart w:id="1276" w:name="_Toc8139760"/>
      <w:bookmarkStart w:id="1277" w:name="_Toc8139966"/>
      <w:bookmarkStart w:id="1278" w:name="_Toc8140172"/>
      <w:bookmarkStart w:id="1279" w:name="_Toc8140378"/>
      <w:bookmarkStart w:id="1280" w:name="_Toc8140584"/>
      <w:bookmarkStart w:id="1281" w:name="_Toc8140790"/>
      <w:bookmarkStart w:id="1282" w:name="_Toc8140996"/>
      <w:bookmarkStart w:id="1283" w:name="_Toc8141408"/>
      <w:bookmarkStart w:id="1284" w:name="_Toc8141614"/>
      <w:bookmarkStart w:id="1285" w:name="_Toc8141820"/>
      <w:bookmarkStart w:id="1286" w:name="_Toc8204354"/>
      <w:bookmarkStart w:id="1287" w:name="_Toc8204618"/>
      <w:bookmarkStart w:id="1288" w:name="_Toc43697676"/>
      <w:bookmarkStart w:id="1289" w:name="_Toc52869680"/>
      <w:bookmarkStart w:id="1290" w:name="_Toc52869850"/>
      <w:r w:rsidRPr="00A9330B">
        <w:rPr>
          <w:b/>
          <w:caps/>
          <w:sz w:val="26"/>
        </w:rPr>
        <w:t>7.3. Enjeux sur la santé</w:t>
      </w:r>
      <w:bookmarkEnd w:id="1262"/>
      <w:bookmarkEnd w:id="1263"/>
      <w:bookmarkEnd w:id="1264"/>
      <w:bookmarkEnd w:id="1265"/>
      <w:bookmarkEnd w:id="1266"/>
      <w:bookmarkEnd w:id="1267"/>
      <w:bookmarkEnd w:id="1268"/>
      <w:bookmarkEnd w:id="1269"/>
      <w:bookmarkEnd w:id="1270"/>
      <w:bookmarkEnd w:id="1271"/>
      <w:bookmarkEnd w:id="1272"/>
      <w:bookmarkEnd w:id="1273"/>
      <w:bookmarkEnd w:id="1274"/>
      <w:bookmarkEnd w:id="1275"/>
      <w:bookmarkEnd w:id="1276"/>
      <w:bookmarkEnd w:id="1277"/>
      <w:bookmarkEnd w:id="1278"/>
      <w:bookmarkEnd w:id="1279"/>
      <w:bookmarkEnd w:id="1280"/>
      <w:bookmarkEnd w:id="1281"/>
      <w:bookmarkEnd w:id="1282"/>
      <w:bookmarkEnd w:id="1283"/>
      <w:bookmarkEnd w:id="1284"/>
      <w:bookmarkEnd w:id="1285"/>
      <w:bookmarkEnd w:id="1286"/>
      <w:bookmarkEnd w:id="1287"/>
      <w:bookmarkEnd w:id="1288"/>
      <w:bookmarkEnd w:id="1289"/>
      <w:bookmarkEnd w:id="1290"/>
      <w:r w:rsidRPr="00A9330B">
        <w:rPr>
          <w:b/>
          <w:caps/>
          <w:sz w:val="26"/>
        </w:rPr>
        <w:t xml:space="preserve"> </w:t>
      </w:r>
    </w:p>
    <w:p w14:paraId="10733155" w14:textId="77777777" w:rsidR="00401546" w:rsidRPr="00A9330B" w:rsidRDefault="00401546" w:rsidP="00401546">
      <w:pPr>
        <w:suppressAutoHyphens/>
        <w:spacing w:line="240" w:lineRule="auto"/>
        <w:ind w:left="720"/>
        <w:outlineLvl w:val="2"/>
        <w:rPr>
          <w:rFonts w:eastAsiaTheme="majorEastAsia" w:cstheme="majorBidi"/>
          <w:i/>
          <w:color w:val="auto"/>
          <w:sz w:val="26"/>
          <w:szCs w:val="24"/>
        </w:rPr>
      </w:pPr>
      <w:bookmarkStart w:id="1291" w:name="_Toc7777918"/>
      <w:bookmarkStart w:id="1292" w:name="_Toc7777919"/>
      <w:bookmarkStart w:id="1293" w:name="_Toc536197291"/>
      <w:bookmarkStart w:id="1294" w:name="_Toc536197485"/>
      <w:bookmarkStart w:id="1295" w:name="_Toc536197679"/>
      <w:bookmarkStart w:id="1296" w:name="_Toc536197873"/>
      <w:bookmarkStart w:id="1297" w:name="_Toc536198261"/>
      <w:bookmarkStart w:id="1298" w:name="_Toc536198455"/>
      <w:bookmarkStart w:id="1299" w:name="_Toc536198649"/>
      <w:bookmarkStart w:id="1300" w:name="_Toc536198843"/>
      <w:bookmarkStart w:id="1301" w:name="_Toc536199037"/>
      <w:bookmarkStart w:id="1302" w:name="_Toc536443390"/>
      <w:bookmarkStart w:id="1303" w:name="_Toc536519624"/>
      <w:bookmarkStart w:id="1304" w:name="_Toc536534584"/>
      <w:bookmarkStart w:id="1305" w:name="_Toc536534770"/>
      <w:bookmarkStart w:id="1306" w:name="_Toc536534956"/>
      <w:bookmarkStart w:id="1307" w:name="_Toc536535142"/>
      <w:bookmarkStart w:id="1308" w:name="_Toc536535514"/>
      <w:bookmarkStart w:id="1309" w:name="_Toc536535887"/>
      <w:bookmarkStart w:id="1310" w:name="_Toc536536074"/>
      <w:bookmarkStart w:id="1311" w:name="_Toc536536261"/>
      <w:bookmarkStart w:id="1312" w:name="_Toc536536448"/>
      <w:bookmarkStart w:id="1313" w:name="_Toc536536635"/>
      <w:bookmarkStart w:id="1314" w:name="_Toc536544748"/>
      <w:bookmarkStart w:id="1315" w:name="_Toc536544935"/>
      <w:bookmarkStart w:id="1316" w:name="_Toc7688874"/>
      <w:bookmarkStart w:id="1317" w:name="_Toc7689060"/>
      <w:bookmarkStart w:id="1318" w:name="_Toc7689246"/>
      <w:bookmarkStart w:id="1319" w:name="_Toc7689453"/>
      <w:bookmarkStart w:id="1320" w:name="_Toc7689825"/>
      <w:bookmarkStart w:id="1321" w:name="_Toc7690011"/>
      <w:bookmarkStart w:id="1322" w:name="_Toc7691502"/>
      <w:bookmarkStart w:id="1323" w:name="_Toc7691768"/>
      <w:bookmarkStart w:id="1324" w:name="_Toc7691991"/>
      <w:bookmarkStart w:id="1325" w:name="_Toc7692397"/>
      <w:bookmarkStart w:id="1326" w:name="_Toc7692607"/>
      <w:bookmarkStart w:id="1327" w:name="_Toc7695053"/>
      <w:bookmarkStart w:id="1328" w:name="_Toc7695260"/>
      <w:bookmarkStart w:id="1329" w:name="_Toc43697677"/>
      <w:bookmarkStart w:id="1330" w:name="_Toc45520881"/>
      <w:bookmarkStart w:id="1331" w:name="_Toc535671348"/>
      <w:bookmarkStart w:id="1332" w:name="_Toc52869681"/>
      <w:bookmarkEnd w:id="1291"/>
      <w:bookmarkEnd w:id="1292"/>
      <w:r w:rsidRPr="00A9330B">
        <w:rPr>
          <w:rFonts w:eastAsiaTheme="majorEastAsia" w:cstheme="majorBidi"/>
          <w:i/>
          <w:color w:val="auto"/>
          <w:sz w:val="26"/>
          <w:szCs w:val="24"/>
        </w:rPr>
        <w:t>7.3.1. Amélioration de la santé</w:t>
      </w:r>
      <w:bookmarkEnd w:id="1293"/>
      <w:bookmarkEnd w:id="1294"/>
      <w:bookmarkEnd w:id="1295"/>
      <w:bookmarkEnd w:id="1296"/>
      <w:bookmarkEnd w:id="1297"/>
      <w:bookmarkEnd w:id="1298"/>
      <w:bookmarkEnd w:id="1299"/>
      <w:bookmarkEnd w:id="1300"/>
      <w:bookmarkEnd w:id="1301"/>
      <w:bookmarkEnd w:id="1302"/>
      <w:bookmarkEnd w:id="1303"/>
      <w:bookmarkEnd w:id="1304"/>
      <w:bookmarkEnd w:id="1305"/>
      <w:bookmarkEnd w:id="1306"/>
      <w:bookmarkEnd w:id="1307"/>
      <w:bookmarkEnd w:id="1308"/>
      <w:bookmarkEnd w:id="1309"/>
      <w:bookmarkEnd w:id="1310"/>
      <w:bookmarkEnd w:id="1311"/>
      <w:bookmarkEnd w:id="1312"/>
      <w:bookmarkEnd w:id="1313"/>
      <w:bookmarkEnd w:id="1314"/>
      <w:bookmarkEnd w:id="1315"/>
      <w:bookmarkEnd w:id="1316"/>
      <w:bookmarkEnd w:id="1317"/>
      <w:bookmarkEnd w:id="1318"/>
      <w:bookmarkEnd w:id="1319"/>
      <w:bookmarkEnd w:id="1320"/>
      <w:bookmarkEnd w:id="1321"/>
      <w:bookmarkEnd w:id="1322"/>
      <w:bookmarkEnd w:id="1323"/>
      <w:bookmarkEnd w:id="1324"/>
      <w:bookmarkEnd w:id="1325"/>
      <w:bookmarkEnd w:id="1326"/>
      <w:bookmarkEnd w:id="1327"/>
      <w:bookmarkEnd w:id="1328"/>
      <w:bookmarkEnd w:id="1329"/>
      <w:bookmarkEnd w:id="1330"/>
      <w:bookmarkEnd w:id="1332"/>
    </w:p>
    <w:bookmarkEnd w:id="1331"/>
    <w:p w14:paraId="2E383471" w14:textId="3848ACC1" w:rsidR="00401546" w:rsidRPr="00A9330B" w:rsidRDefault="00401546" w:rsidP="00401546">
      <w:pPr>
        <w:jc w:val="both"/>
        <w:rPr>
          <w:rFonts w:cs="Arial"/>
          <w:lang w:eastAsia="fr-FR"/>
        </w:rPr>
      </w:pPr>
      <w:r w:rsidRPr="00A9330B">
        <w:rPr>
          <w:rFonts w:cs="Arial"/>
          <w:lang w:eastAsia="fr-FR"/>
        </w:rPr>
        <w:t>L’assainissement permettra l’amélioration de la santé des populations bénéficiaires par une réduct</w:t>
      </w:r>
      <w:r w:rsidR="00362D97" w:rsidRPr="00A9330B">
        <w:rPr>
          <w:rFonts w:cs="Arial"/>
          <w:lang w:eastAsia="fr-FR"/>
        </w:rPr>
        <w:t>ion des maladies hydriques</w:t>
      </w:r>
      <w:r w:rsidR="00E7483D" w:rsidRPr="00A9330B">
        <w:rPr>
          <w:rFonts w:cs="Arial"/>
          <w:lang w:eastAsia="fr-FR"/>
        </w:rPr>
        <w:t>.</w:t>
      </w:r>
      <w:r w:rsidR="00362D97" w:rsidRPr="00A9330B">
        <w:rPr>
          <w:rFonts w:cs="Arial"/>
          <w:lang w:eastAsia="fr-FR"/>
        </w:rPr>
        <w:t xml:space="preserve"> </w:t>
      </w:r>
      <w:r w:rsidR="00E7483D" w:rsidRPr="00A9330B">
        <w:rPr>
          <w:rFonts w:cs="Arial"/>
          <w:lang w:eastAsia="fr-FR"/>
        </w:rPr>
        <w:t>Il</w:t>
      </w:r>
      <w:r w:rsidRPr="00A9330B">
        <w:rPr>
          <w:rFonts w:cs="Arial"/>
          <w:lang w:eastAsia="fr-FR"/>
        </w:rPr>
        <w:t xml:space="preserve"> permettra aux populations d’avoir accès à l’eau potable et donc d’éviter les maladies hydriques et d’avoir une bonne santé. </w:t>
      </w:r>
    </w:p>
    <w:p w14:paraId="57182D32" w14:textId="77777777" w:rsidR="007025F6" w:rsidRPr="00A9330B" w:rsidRDefault="007025F6" w:rsidP="00401546">
      <w:pPr>
        <w:jc w:val="both"/>
        <w:rPr>
          <w:rFonts w:cs="Arial"/>
          <w:lang w:eastAsia="fr-FR"/>
        </w:rPr>
      </w:pPr>
    </w:p>
    <w:p w14:paraId="3D408D1F" w14:textId="77777777" w:rsidR="00401546" w:rsidRPr="00A9330B" w:rsidRDefault="00401546" w:rsidP="00401546">
      <w:pPr>
        <w:suppressAutoHyphens/>
        <w:spacing w:line="240" w:lineRule="auto"/>
        <w:ind w:left="720"/>
        <w:outlineLvl w:val="2"/>
        <w:rPr>
          <w:rFonts w:eastAsiaTheme="majorEastAsia" w:cstheme="majorBidi"/>
          <w:i/>
          <w:color w:val="auto"/>
          <w:sz w:val="26"/>
          <w:szCs w:val="24"/>
        </w:rPr>
      </w:pPr>
      <w:bookmarkStart w:id="1333" w:name="_Toc43697678"/>
      <w:bookmarkStart w:id="1334" w:name="_Toc45520882"/>
      <w:bookmarkStart w:id="1335" w:name="_Toc7688875"/>
      <w:bookmarkStart w:id="1336" w:name="_Toc7689061"/>
      <w:bookmarkStart w:id="1337" w:name="_Toc7689247"/>
      <w:bookmarkStart w:id="1338" w:name="_Toc7689454"/>
      <w:bookmarkStart w:id="1339" w:name="_Toc7689826"/>
      <w:bookmarkStart w:id="1340" w:name="_Toc7690012"/>
      <w:bookmarkStart w:id="1341" w:name="_Toc7691503"/>
      <w:bookmarkStart w:id="1342" w:name="_Toc7691769"/>
      <w:bookmarkStart w:id="1343" w:name="_Toc7691992"/>
      <w:bookmarkStart w:id="1344" w:name="_Toc7692398"/>
      <w:bookmarkStart w:id="1345" w:name="_Toc7692608"/>
      <w:bookmarkStart w:id="1346" w:name="_Toc7695054"/>
      <w:bookmarkStart w:id="1347" w:name="_Toc7695261"/>
      <w:bookmarkStart w:id="1348" w:name="_Toc52869682"/>
      <w:r w:rsidRPr="00A9330B">
        <w:rPr>
          <w:rFonts w:eastAsiaTheme="majorEastAsia" w:cstheme="majorBidi"/>
          <w:i/>
          <w:color w:val="auto"/>
          <w:sz w:val="26"/>
          <w:szCs w:val="24"/>
        </w:rPr>
        <w:lastRenderedPageBreak/>
        <w:t>7.3.2. Enjeux liés à l’assainissement de la ville</w:t>
      </w:r>
      <w:bookmarkEnd w:id="1333"/>
      <w:bookmarkEnd w:id="1334"/>
      <w:bookmarkEnd w:id="1348"/>
      <w:r w:rsidRPr="00A9330B">
        <w:rPr>
          <w:rFonts w:eastAsiaTheme="majorEastAsia" w:cstheme="majorBidi"/>
          <w:i/>
          <w:color w:val="auto"/>
          <w:sz w:val="26"/>
          <w:szCs w:val="24"/>
        </w:rPr>
        <w:t xml:space="preserve"> </w:t>
      </w:r>
      <w:bookmarkEnd w:id="1335"/>
      <w:bookmarkEnd w:id="1336"/>
      <w:bookmarkEnd w:id="1337"/>
      <w:bookmarkEnd w:id="1338"/>
      <w:bookmarkEnd w:id="1339"/>
      <w:bookmarkEnd w:id="1340"/>
      <w:bookmarkEnd w:id="1341"/>
      <w:bookmarkEnd w:id="1342"/>
      <w:bookmarkEnd w:id="1343"/>
      <w:bookmarkEnd w:id="1344"/>
      <w:bookmarkEnd w:id="1345"/>
      <w:bookmarkEnd w:id="1346"/>
      <w:bookmarkEnd w:id="1347"/>
    </w:p>
    <w:p w14:paraId="7072AF55" w14:textId="77777777" w:rsidR="00401546" w:rsidRPr="00A9330B" w:rsidRDefault="00401546" w:rsidP="00401546">
      <w:pPr>
        <w:jc w:val="both"/>
        <w:rPr>
          <w:rFonts w:cs="Arial"/>
          <w:lang w:eastAsia="fr-FR"/>
        </w:rPr>
      </w:pPr>
      <w:r w:rsidRPr="00A9330B">
        <w:rPr>
          <w:rFonts w:cs="Arial"/>
          <w:lang w:eastAsia="fr-FR"/>
        </w:rPr>
        <w:t xml:space="preserve">D’une manière générale, l’assainissement de la ville et de ses agglomérations est quelque peu déficient, que ce soit pour la gestion des excrétas, des eaux usées domestiques, des déchets solides et des eaux pluviales. Les aménagements prévus auront un impact direct sur l’assainissement de la ville.  </w:t>
      </w:r>
    </w:p>
    <w:p w14:paraId="7ABD3E3F" w14:textId="77777777" w:rsidR="00401546" w:rsidRPr="00A9330B" w:rsidRDefault="00401546" w:rsidP="00645DF1">
      <w:pPr>
        <w:pStyle w:val="Titre20"/>
      </w:pPr>
      <w:bookmarkStart w:id="1349" w:name="_Toc535671346"/>
      <w:bookmarkStart w:id="1350" w:name="_Toc536197289"/>
      <w:bookmarkStart w:id="1351" w:name="_Toc536197483"/>
      <w:bookmarkStart w:id="1352" w:name="_Toc536197677"/>
      <w:bookmarkStart w:id="1353" w:name="_Toc536197871"/>
      <w:bookmarkStart w:id="1354" w:name="_Toc536198259"/>
      <w:bookmarkStart w:id="1355" w:name="_Toc536198453"/>
      <w:bookmarkStart w:id="1356" w:name="_Toc536198647"/>
      <w:bookmarkStart w:id="1357" w:name="_Toc536198841"/>
      <w:bookmarkStart w:id="1358" w:name="_Toc536199035"/>
      <w:bookmarkStart w:id="1359" w:name="_Toc536443388"/>
      <w:bookmarkStart w:id="1360" w:name="_Toc536519622"/>
      <w:bookmarkStart w:id="1361" w:name="_Toc536534582"/>
      <w:bookmarkStart w:id="1362" w:name="_Toc536534768"/>
      <w:bookmarkStart w:id="1363" w:name="_Toc536534954"/>
      <w:bookmarkStart w:id="1364" w:name="_Toc536535140"/>
      <w:bookmarkStart w:id="1365" w:name="_Toc536535512"/>
      <w:bookmarkStart w:id="1366" w:name="_Toc536535885"/>
      <w:bookmarkStart w:id="1367" w:name="_Toc536536072"/>
      <w:bookmarkStart w:id="1368" w:name="_Toc536536259"/>
      <w:bookmarkStart w:id="1369" w:name="_Toc536536446"/>
      <w:bookmarkStart w:id="1370" w:name="_Toc536536633"/>
      <w:bookmarkStart w:id="1371" w:name="_Toc536544746"/>
      <w:bookmarkStart w:id="1372" w:name="_Toc536544933"/>
      <w:bookmarkStart w:id="1373" w:name="_Toc7688876"/>
      <w:bookmarkStart w:id="1374" w:name="_Toc7689062"/>
      <w:bookmarkStart w:id="1375" w:name="_Toc7689248"/>
      <w:bookmarkStart w:id="1376" w:name="_Toc7689455"/>
      <w:bookmarkStart w:id="1377" w:name="_Toc7689827"/>
      <w:bookmarkStart w:id="1378" w:name="_Toc7690013"/>
      <w:bookmarkStart w:id="1379" w:name="_Toc7691504"/>
      <w:bookmarkStart w:id="1380" w:name="_Toc7691770"/>
      <w:bookmarkStart w:id="1381" w:name="_Toc7691993"/>
      <w:bookmarkStart w:id="1382" w:name="_Toc7692399"/>
      <w:bookmarkStart w:id="1383" w:name="_Toc7692609"/>
      <w:bookmarkStart w:id="1384" w:name="_Toc7695055"/>
      <w:bookmarkStart w:id="1385" w:name="_Toc7695262"/>
      <w:bookmarkStart w:id="1386" w:name="_Toc8139556"/>
      <w:bookmarkStart w:id="1387" w:name="_Toc8139762"/>
      <w:bookmarkStart w:id="1388" w:name="_Toc8139968"/>
      <w:bookmarkStart w:id="1389" w:name="_Toc8140174"/>
      <w:bookmarkStart w:id="1390" w:name="_Toc8140380"/>
      <w:bookmarkStart w:id="1391" w:name="_Toc8140586"/>
      <w:bookmarkStart w:id="1392" w:name="_Toc8140792"/>
      <w:bookmarkStart w:id="1393" w:name="_Toc8140998"/>
      <w:bookmarkStart w:id="1394" w:name="_Toc8141410"/>
      <w:bookmarkStart w:id="1395" w:name="_Toc8141616"/>
      <w:bookmarkStart w:id="1396" w:name="_Toc8141822"/>
      <w:bookmarkStart w:id="1397" w:name="_Toc8204356"/>
      <w:bookmarkStart w:id="1398" w:name="_Toc8204620"/>
      <w:bookmarkStart w:id="1399" w:name="_Toc43697679"/>
      <w:bookmarkStart w:id="1400" w:name="_Toc52869683"/>
      <w:bookmarkStart w:id="1401" w:name="_Toc52869851"/>
      <w:r w:rsidRPr="00A9330B">
        <w:t>7.4. Enjeux socio-économiques</w:t>
      </w:r>
      <w:bookmarkEnd w:id="1349"/>
      <w:bookmarkEnd w:id="1350"/>
      <w:bookmarkEnd w:id="1351"/>
      <w:bookmarkEnd w:id="1352"/>
      <w:bookmarkEnd w:id="1353"/>
      <w:bookmarkEnd w:id="1354"/>
      <w:bookmarkEnd w:id="1355"/>
      <w:bookmarkEnd w:id="1356"/>
      <w:bookmarkEnd w:id="1357"/>
      <w:bookmarkEnd w:id="1358"/>
      <w:bookmarkEnd w:id="1359"/>
      <w:bookmarkEnd w:id="1360"/>
      <w:bookmarkEnd w:id="1361"/>
      <w:bookmarkEnd w:id="1362"/>
      <w:bookmarkEnd w:id="1363"/>
      <w:bookmarkEnd w:id="1364"/>
      <w:bookmarkEnd w:id="1365"/>
      <w:bookmarkEnd w:id="1366"/>
      <w:bookmarkEnd w:id="1367"/>
      <w:bookmarkEnd w:id="1368"/>
      <w:bookmarkEnd w:id="1369"/>
      <w:bookmarkEnd w:id="1370"/>
      <w:bookmarkEnd w:id="1371"/>
      <w:bookmarkEnd w:id="1372"/>
      <w:bookmarkEnd w:id="1373"/>
      <w:bookmarkEnd w:id="1374"/>
      <w:bookmarkEnd w:id="1375"/>
      <w:bookmarkEnd w:id="1376"/>
      <w:bookmarkEnd w:id="1377"/>
      <w:bookmarkEnd w:id="1378"/>
      <w:bookmarkEnd w:id="1379"/>
      <w:bookmarkEnd w:id="1380"/>
      <w:bookmarkEnd w:id="1381"/>
      <w:bookmarkEnd w:id="1382"/>
      <w:bookmarkEnd w:id="1383"/>
      <w:bookmarkEnd w:id="1384"/>
      <w:bookmarkEnd w:id="1385"/>
      <w:bookmarkEnd w:id="1386"/>
      <w:bookmarkEnd w:id="1387"/>
      <w:bookmarkEnd w:id="1388"/>
      <w:bookmarkEnd w:id="1389"/>
      <w:bookmarkEnd w:id="1390"/>
      <w:bookmarkEnd w:id="1391"/>
      <w:bookmarkEnd w:id="1392"/>
      <w:bookmarkEnd w:id="1393"/>
      <w:bookmarkEnd w:id="1394"/>
      <w:bookmarkEnd w:id="1395"/>
      <w:bookmarkEnd w:id="1396"/>
      <w:bookmarkEnd w:id="1397"/>
      <w:bookmarkEnd w:id="1398"/>
      <w:bookmarkEnd w:id="1399"/>
      <w:bookmarkEnd w:id="1400"/>
      <w:bookmarkEnd w:id="1401"/>
    </w:p>
    <w:p w14:paraId="4909E628" w14:textId="77777777" w:rsidR="00401546" w:rsidRPr="00A9330B" w:rsidRDefault="00401546" w:rsidP="00401546">
      <w:pPr>
        <w:suppressAutoHyphens/>
        <w:spacing w:line="240" w:lineRule="auto"/>
        <w:ind w:left="720"/>
        <w:outlineLvl w:val="2"/>
        <w:rPr>
          <w:rFonts w:eastAsia="Calibri" w:cstheme="majorBidi"/>
          <w:i/>
          <w:noProof/>
          <w:color w:val="auto"/>
          <w:sz w:val="26"/>
          <w:szCs w:val="24"/>
        </w:rPr>
      </w:pPr>
      <w:bookmarkStart w:id="1402" w:name="_Toc7688877"/>
      <w:bookmarkStart w:id="1403" w:name="_Toc7689063"/>
      <w:bookmarkStart w:id="1404" w:name="_Toc7689249"/>
      <w:bookmarkStart w:id="1405" w:name="_Toc7689456"/>
      <w:bookmarkStart w:id="1406" w:name="_Toc7689828"/>
      <w:bookmarkStart w:id="1407" w:name="_Toc7690014"/>
      <w:bookmarkStart w:id="1408" w:name="_Toc7691505"/>
      <w:bookmarkStart w:id="1409" w:name="_Toc7691771"/>
      <w:bookmarkStart w:id="1410" w:name="_Toc7691994"/>
      <w:bookmarkStart w:id="1411" w:name="_Toc7692400"/>
      <w:bookmarkStart w:id="1412" w:name="_Toc7692610"/>
      <w:bookmarkStart w:id="1413" w:name="_Toc7695056"/>
      <w:bookmarkStart w:id="1414" w:name="_Toc7695263"/>
      <w:bookmarkStart w:id="1415" w:name="_Toc8139557"/>
      <w:bookmarkStart w:id="1416" w:name="_Toc8139763"/>
      <w:bookmarkStart w:id="1417" w:name="_Toc8139969"/>
      <w:bookmarkStart w:id="1418" w:name="_Toc8140175"/>
      <w:bookmarkStart w:id="1419" w:name="_Toc8140381"/>
      <w:bookmarkStart w:id="1420" w:name="_Toc8140587"/>
      <w:bookmarkStart w:id="1421" w:name="_Toc8140793"/>
      <w:bookmarkStart w:id="1422" w:name="_Toc8140999"/>
      <w:bookmarkStart w:id="1423" w:name="_Toc8141411"/>
      <w:bookmarkStart w:id="1424" w:name="_Toc8141617"/>
      <w:bookmarkStart w:id="1425" w:name="_Toc8141823"/>
      <w:bookmarkStart w:id="1426" w:name="_Toc8204357"/>
      <w:bookmarkStart w:id="1427" w:name="_Toc8204621"/>
      <w:bookmarkStart w:id="1428" w:name="_Toc43697680"/>
      <w:bookmarkStart w:id="1429" w:name="_Toc45520884"/>
      <w:bookmarkStart w:id="1430" w:name="_Toc52869684"/>
      <w:r w:rsidRPr="00A9330B">
        <w:rPr>
          <w:rFonts w:eastAsiaTheme="majorEastAsia" w:cstheme="majorBidi"/>
          <w:i/>
          <w:color w:val="auto"/>
          <w:sz w:val="26"/>
          <w:szCs w:val="24"/>
        </w:rPr>
        <w:t xml:space="preserve">7.4.1. </w:t>
      </w:r>
      <w:r w:rsidRPr="00A9330B">
        <w:rPr>
          <w:rFonts w:eastAsia="Calibri" w:cstheme="majorBidi"/>
          <w:i/>
          <w:noProof/>
          <w:color w:val="auto"/>
          <w:sz w:val="26"/>
          <w:szCs w:val="24"/>
        </w:rPr>
        <w:t>Foncier</w:t>
      </w:r>
      <w:bookmarkEnd w:id="1402"/>
      <w:bookmarkEnd w:id="1403"/>
      <w:bookmarkEnd w:id="1404"/>
      <w:bookmarkEnd w:id="1405"/>
      <w:bookmarkEnd w:id="1406"/>
      <w:bookmarkEnd w:id="1407"/>
      <w:bookmarkEnd w:id="1408"/>
      <w:bookmarkEnd w:id="1409"/>
      <w:bookmarkEnd w:id="1410"/>
      <w:bookmarkEnd w:id="1411"/>
      <w:bookmarkEnd w:id="1412"/>
      <w:bookmarkEnd w:id="1413"/>
      <w:bookmarkEnd w:id="1414"/>
      <w:bookmarkEnd w:id="1415"/>
      <w:bookmarkEnd w:id="1416"/>
      <w:bookmarkEnd w:id="1417"/>
      <w:bookmarkEnd w:id="1418"/>
      <w:bookmarkEnd w:id="1419"/>
      <w:bookmarkEnd w:id="1420"/>
      <w:bookmarkEnd w:id="1421"/>
      <w:bookmarkEnd w:id="1422"/>
      <w:bookmarkEnd w:id="1423"/>
      <w:bookmarkEnd w:id="1424"/>
      <w:bookmarkEnd w:id="1425"/>
      <w:bookmarkEnd w:id="1426"/>
      <w:bookmarkEnd w:id="1427"/>
      <w:bookmarkEnd w:id="1428"/>
      <w:bookmarkEnd w:id="1429"/>
      <w:bookmarkEnd w:id="1430"/>
      <w:r w:rsidRPr="00A9330B">
        <w:rPr>
          <w:rFonts w:eastAsia="Calibri" w:cstheme="majorBidi"/>
          <w:i/>
          <w:noProof/>
          <w:color w:val="auto"/>
          <w:sz w:val="26"/>
          <w:szCs w:val="24"/>
        </w:rPr>
        <w:t xml:space="preserve"> </w:t>
      </w:r>
    </w:p>
    <w:p w14:paraId="1BCF5C55" w14:textId="77777777" w:rsidR="00401546" w:rsidRPr="00A9330B" w:rsidRDefault="00401546" w:rsidP="00401546">
      <w:pPr>
        <w:jc w:val="both"/>
        <w:rPr>
          <w:rFonts w:cs="Arial"/>
          <w:lang w:eastAsia="fr-FR"/>
        </w:rPr>
      </w:pPr>
      <w:r w:rsidRPr="00A9330B">
        <w:rPr>
          <w:rFonts w:cs="Arial"/>
          <w:lang w:eastAsia="fr-FR"/>
        </w:rPr>
        <w:t xml:space="preserve">La réalisation du projet nécessitera l’acquisition de terre pour la construction des installations. Les propriétaires et les exploitants actuels perdront définitivement leurs domaines. </w:t>
      </w:r>
    </w:p>
    <w:p w14:paraId="7D15ED83" w14:textId="64A143BD" w:rsidR="00401546" w:rsidRPr="00A9330B" w:rsidRDefault="00401546" w:rsidP="00401546">
      <w:pPr>
        <w:jc w:val="both"/>
        <w:rPr>
          <w:rFonts w:cs="Arial"/>
          <w:lang w:eastAsia="fr-FR"/>
        </w:rPr>
      </w:pPr>
      <w:r w:rsidRPr="00A9330B">
        <w:rPr>
          <w:rFonts w:cs="Arial"/>
          <w:lang w:eastAsia="fr-FR"/>
        </w:rPr>
        <w:t>Il y aura par conséquent un déplacement involontaire de personnes affectées par le projet et une perte temporaire ou définitive de revenus tirés de l’exploitation de</w:t>
      </w:r>
      <w:r w:rsidR="00DD0EA7" w:rsidRPr="00A9330B">
        <w:rPr>
          <w:rFonts w:cs="Arial"/>
          <w:lang w:eastAsia="fr-FR"/>
        </w:rPr>
        <w:t>s</w:t>
      </w:r>
      <w:r w:rsidRPr="00A9330B">
        <w:rPr>
          <w:rFonts w:cs="Arial"/>
          <w:lang w:eastAsia="fr-FR"/>
        </w:rPr>
        <w:t xml:space="preserve"> terres. </w:t>
      </w:r>
    </w:p>
    <w:p w14:paraId="4D45A31D" w14:textId="77777777" w:rsidR="00401546" w:rsidRPr="00A9330B" w:rsidRDefault="00401546" w:rsidP="00401546">
      <w:pPr>
        <w:jc w:val="both"/>
        <w:rPr>
          <w:rFonts w:cs="Arial"/>
          <w:lang w:eastAsia="fr-FR"/>
        </w:rPr>
      </w:pPr>
      <w:r w:rsidRPr="00A9330B">
        <w:rPr>
          <w:rFonts w:cs="Arial"/>
          <w:lang w:eastAsia="fr-FR"/>
        </w:rPr>
        <w:t xml:space="preserve">Cette situation constitue un enjeu majeur pour les populations affectées et nécessite une indemnisation juste et équitable qui ne doit pas faire l’objet de contestation. L’indemnisation doit permettre aux populations de rétablir leur ancien niveau de revenu ou de l’améliorer. Pour ce faire, il faut un suivi social des personnes affectées et le processus d’indemnisation doit impliquer toute structure compétente en la matière. </w:t>
      </w:r>
    </w:p>
    <w:p w14:paraId="038F785D" w14:textId="77777777" w:rsidR="00401546" w:rsidRPr="00A9330B" w:rsidRDefault="00401546" w:rsidP="00401546">
      <w:pPr>
        <w:suppressAutoHyphens/>
        <w:spacing w:line="240" w:lineRule="auto"/>
        <w:ind w:left="720"/>
        <w:outlineLvl w:val="2"/>
        <w:rPr>
          <w:rFonts w:eastAsia="Calibri" w:cstheme="majorBidi"/>
          <w:i/>
          <w:noProof/>
          <w:color w:val="auto"/>
          <w:sz w:val="26"/>
          <w:szCs w:val="24"/>
        </w:rPr>
      </w:pPr>
      <w:bookmarkStart w:id="1431" w:name="_Toc387444215"/>
      <w:bookmarkStart w:id="1432" w:name="_Toc387444428"/>
      <w:bookmarkStart w:id="1433" w:name="_Toc387444641"/>
      <w:bookmarkStart w:id="1434" w:name="_Toc387445067"/>
      <w:bookmarkStart w:id="1435" w:name="_Toc387445493"/>
      <w:bookmarkStart w:id="1436" w:name="_Toc387445706"/>
      <w:bookmarkStart w:id="1437" w:name="_Toc387446132"/>
      <w:bookmarkStart w:id="1438" w:name="_Toc387446345"/>
      <w:bookmarkStart w:id="1439" w:name="_Toc387446736"/>
      <w:bookmarkStart w:id="1440" w:name="_Toc387446914"/>
      <w:bookmarkStart w:id="1441" w:name="_Toc388869561"/>
      <w:bookmarkStart w:id="1442" w:name="_Toc388869759"/>
      <w:bookmarkStart w:id="1443" w:name="_Toc388869957"/>
      <w:bookmarkStart w:id="1444" w:name="_Toc388870155"/>
      <w:bookmarkStart w:id="1445" w:name="_Toc388870353"/>
      <w:bookmarkStart w:id="1446" w:name="_Toc388870551"/>
      <w:bookmarkStart w:id="1447" w:name="_Toc388870749"/>
      <w:bookmarkStart w:id="1448" w:name="_Toc388870947"/>
      <w:bookmarkStart w:id="1449" w:name="_Toc388871145"/>
      <w:bookmarkStart w:id="1450" w:name="_Toc388871343"/>
      <w:bookmarkStart w:id="1451" w:name="_Toc388871541"/>
      <w:bookmarkStart w:id="1452" w:name="_Toc388896835"/>
      <w:bookmarkStart w:id="1453" w:name="_Toc535671349"/>
      <w:bookmarkStart w:id="1454" w:name="_Toc536197292"/>
      <w:bookmarkStart w:id="1455" w:name="_Toc536197486"/>
      <w:bookmarkStart w:id="1456" w:name="_Toc536197680"/>
      <w:bookmarkStart w:id="1457" w:name="_Toc536197874"/>
      <w:bookmarkStart w:id="1458" w:name="_Toc536198262"/>
      <w:bookmarkStart w:id="1459" w:name="_Toc536198456"/>
      <w:bookmarkStart w:id="1460" w:name="_Toc536198650"/>
      <w:bookmarkStart w:id="1461" w:name="_Toc536198844"/>
      <w:bookmarkStart w:id="1462" w:name="_Toc536199038"/>
      <w:bookmarkStart w:id="1463" w:name="_Toc536443391"/>
      <w:bookmarkStart w:id="1464" w:name="_Toc536519625"/>
      <w:bookmarkStart w:id="1465" w:name="_Toc536534585"/>
      <w:bookmarkStart w:id="1466" w:name="_Toc536534771"/>
      <w:bookmarkStart w:id="1467" w:name="_Toc536534957"/>
      <w:bookmarkStart w:id="1468" w:name="_Toc536535143"/>
      <w:bookmarkStart w:id="1469" w:name="_Toc536535515"/>
      <w:bookmarkStart w:id="1470" w:name="_Toc536535888"/>
      <w:bookmarkStart w:id="1471" w:name="_Toc536536075"/>
      <w:bookmarkStart w:id="1472" w:name="_Toc536536262"/>
      <w:bookmarkStart w:id="1473" w:name="_Toc536536449"/>
      <w:bookmarkStart w:id="1474" w:name="_Toc536536636"/>
      <w:bookmarkStart w:id="1475" w:name="_Toc536544749"/>
      <w:bookmarkStart w:id="1476" w:name="_Toc536544936"/>
      <w:bookmarkStart w:id="1477" w:name="_Toc7688878"/>
      <w:bookmarkStart w:id="1478" w:name="_Toc7689064"/>
      <w:bookmarkStart w:id="1479" w:name="_Toc7689250"/>
      <w:bookmarkStart w:id="1480" w:name="_Toc7689457"/>
      <w:bookmarkStart w:id="1481" w:name="_Toc7689829"/>
      <w:bookmarkStart w:id="1482" w:name="_Toc7690015"/>
      <w:bookmarkStart w:id="1483" w:name="_Toc7691506"/>
      <w:bookmarkStart w:id="1484" w:name="_Toc7691772"/>
      <w:bookmarkStart w:id="1485" w:name="_Toc7691995"/>
      <w:bookmarkStart w:id="1486" w:name="_Toc7692401"/>
      <w:bookmarkStart w:id="1487" w:name="_Toc7692611"/>
      <w:bookmarkStart w:id="1488" w:name="_Toc7695057"/>
      <w:bookmarkStart w:id="1489" w:name="_Toc7695264"/>
      <w:bookmarkStart w:id="1490" w:name="_Toc8139558"/>
      <w:bookmarkStart w:id="1491" w:name="_Toc8139764"/>
      <w:bookmarkStart w:id="1492" w:name="_Toc8139970"/>
      <w:bookmarkStart w:id="1493" w:name="_Toc8140176"/>
      <w:bookmarkStart w:id="1494" w:name="_Toc8140382"/>
      <w:bookmarkStart w:id="1495" w:name="_Toc8140588"/>
      <w:bookmarkStart w:id="1496" w:name="_Toc8140794"/>
      <w:bookmarkStart w:id="1497" w:name="_Toc8141000"/>
      <w:bookmarkStart w:id="1498" w:name="_Toc8141412"/>
      <w:bookmarkStart w:id="1499" w:name="_Toc8141618"/>
      <w:bookmarkStart w:id="1500" w:name="_Toc8141824"/>
      <w:bookmarkStart w:id="1501" w:name="_Toc8204358"/>
      <w:bookmarkStart w:id="1502" w:name="_Toc8204622"/>
      <w:bookmarkStart w:id="1503" w:name="_Toc43697681"/>
      <w:bookmarkStart w:id="1504" w:name="_Toc45520885"/>
      <w:bookmarkStart w:id="1505" w:name="_Toc52869685"/>
      <w:r w:rsidRPr="00A9330B">
        <w:rPr>
          <w:rFonts w:eastAsiaTheme="majorEastAsia" w:cstheme="majorBidi"/>
          <w:i/>
          <w:color w:val="auto"/>
          <w:sz w:val="26"/>
          <w:szCs w:val="24"/>
        </w:rPr>
        <w:t xml:space="preserve">7.4.2. </w:t>
      </w:r>
      <w:r w:rsidRPr="00A9330B">
        <w:rPr>
          <w:rFonts w:eastAsia="Calibri" w:cstheme="majorBidi"/>
          <w:i/>
          <w:noProof/>
          <w:color w:val="auto"/>
          <w:sz w:val="26"/>
          <w:szCs w:val="24"/>
        </w:rPr>
        <w:t>Les retombées économiques et sociales</w:t>
      </w:r>
      <w:bookmarkEnd w:id="1431"/>
      <w:bookmarkEnd w:id="1432"/>
      <w:bookmarkEnd w:id="1433"/>
      <w:bookmarkEnd w:id="1434"/>
      <w:bookmarkEnd w:id="1435"/>
      <w:bookmarkEnd w:id="1436"/>
      <w:bookmarkEnd w:id="1437"/>
      <w:bookmarkEnd w:id="1438"/>
      <w:bookmarkEnd w:id="1439"/>
      <w:bookmarkEnd w:id="1440"/>
      <w:bookmarkEnd w:id="1441"/>
      <w:bookmarkEnd w:id="1442"/>
      <w:bookmarkEnd w:id="1443"/>
      <w:bookmarkEnd w:id="1444"/>
      <w:bookmarkEnd w:id="1445"/>
      <w:bookmarkEnd w:id="1446"/>
      <w:bookmarkEnd w:id="1447"/>
      <w:bookmarkEnd w:id="1448"/>
      <w:bookmarkEnd w:id="1449"/>
      <w:bookmarkEnd w:id="1450"/>
      <w:bookmarkEnd w:id="1451"/>
      <w:bookmarkEnd w:id="1452"/>
      <w:bookmarkEnd w:id="1453"/>
      <w:bookmarkEnd w:id="1454"/>
      <w:bookmarkEnd w:id="1455"/>
      <w:bookmarkEnd w:id="1456"/>
      <w:bookmarkEnd w:id="1457"/>
      <w:bookmarkEnd w:id="1458"/>
      <w:bookmarkEnd w:id="1459"/>
      <w:bookmarkEnd w:id="1460"/>
      <w:bookmarkEnd w:id="1461"/>
      <w:bookmarkEnd w:id="1462"/>
      <w:bookmarkEnd w:id="1463"/>
      <w:bookmarkEnd w:id="1464"/>
      <w:bookmarkEnd w:id="1465"/>
      <w:bookmarkEnd w:id="1466"/>
      <w:bookmarkEnd w:id="1467"/>
      <w:bookmarkEnd w:id="1468"/>
      <w:bookmarkEnd w:id="1469"/>
      <w:bookmarkEnd w:id="1470"/>
      <w:bookmarkEnd w:id="1471"/>
      <w:bookmarkEnd w:id="1472"/>
      <w:bookmarkEnd w:id="1473"/>
      <w:bookmarkEnd w:id="1474"/>
      <w:bookmarkEnd w:id="1475"/>
      <w:bookmarkEnd w:id="1476"/>
      <w:bookmarkEnd w:id="1477"/>
      <w:bookmarkEnd w:id="1478"/>
      <w:bookmarkEnd w:id="1479"/>
      <w:bookmarkEnd w:id="1480"/>
      <w:bookmarkEnd w:id="1481"/>
      <w:bookmarkEnd w:id="1482"/>
      <w:bookmarkEnd w:id="1483"/>
      <w:bookmarkEnd w:id="1484"/>
      <w:bookmarkEnd w:id="1485"/>
      <w:bookmarkEnd w:id="1486"/>
      <w:bookmarkEnd w:id="1487"/>
      <w:bookmarkEnd w:id="1488"/>
      <w:bookmarkEnd w:id="1489"/>
      <w:bookmarkEnd w:id="1490"/>
      <w:bookmarkEnd w:id="1491"/>
      <w:bookmarkEnd w:id="1492"/>
      <w:bookmarkEnd w:id="1493"/>
      <w:bookmarkEnd w:id="1494"/>
      <w:bookmarkEnd w:id="1495"/>
      <w:bookmarkEnd w:id="1496"/>
      <w:bookmarkEnd w:id="1497"/>
      <w:bookmarkEnd w:id="1498"/>
      <w:bookmarkEnd w:id="1499"/>
      <w:bookmarkEnd w:id="1500"/>
      <w:bookmarkEnd w:id="1501"/>
      <w:bookmarkEnd w:id="1502"/>
      <w:bookmarkEnd w:id="1503"/>
      <w:bookmarkEnd w:id="1504"/>
      <w:bookmarkEnd w:id="1505"/>
      <w:r w:rsidRPr="00A9330B">
        <w:rPr>
          <w:rFonts w:eastAsia="Calibri" w:cstheme="majorBidi"/>
          <w:i/>
          <w:noProof/>
          <w:color w:val="auto"/>
          <w:sz w:val="26"/>
          <w:szCs w:val="24"/>
        </w:rPr>
        <w:t xml:space="preserve"> </w:t>
      </w:r>
    </w:p>
    <w:p w14:paraId="32093FAF" w14:textId="77777777" w:rsidR="00401546" w:rsidRPr="00A9330B" w:rsidRDefault="00401546" w:rsidP="00401546">
      <w:pPr>
        <w:jc w:val="both"/>
        <w:rPr>
          <w:rFonts w:cs="Arial"/>
          <w:lang w:eastAsia="fr-FR"/>
        </w:rPr>
      </w:pPr>
      <w:r w:rsidRPr="00A9330B">
        <w:rPr>
          <w:rFonts w:cs="Arial"/>
          <w:lang w:eastAsia="fr-FR"/>
        </w:rPr>
        <w:t xml:space="preserve">De l’exécution jusqu’à son exploitation, l’incidence économique du projet sera fort appréciable pour les populations locales création d’emplois, accroissement de de revenus pour les prestataires. </w:t>
      </w:r>
    </w:p>
    <w:p w14:paraId="27DCE362" w14:textId="66DE3576" w:rsidR="00401546" w:rsidRPr="00A9330B" w:rsidRDefault="00401546" w:rsidP="00401546">
      <w:pPr>
        <w:jc w:val="both"/>
        <w:rPr>
          <w:rFonts w:cs="Arial"/>
          <w:lang w:eastAsia="fr-FR"/>
        </w:rPr>
      </w:pPr>
      <w:r w:rsidRPr="00A9330B">
        <w:rPr>
          <w:rFonts w:cs="Arial"/>
          <w:lang w:eastAsia="fr-FR"/>
        </w:rPr>
        <w:t xml:space="preserve">La réalisation </w:t>
      </w:r>
      <w:r w:rsidR="00430D7D" w:rsidRPr="00A9330B">
        <w:rPr>
          <w:rFonts w:cs="Arial"/>
          <w:lang w:eastAsia="fr-FR"/>
        </w:rPr>
        <w:t>du projet</w:t>
      </w:r>
      <w:r w:rsidRPr="00A9330B">
        <w:rPr>
          <w:rFonts w:cs="Arial"/>
          <w:lang w:eastAsia="fr-FR"/>
        </w:rPr>
        <w:t xml:space="preserve"> permettra aux populations bénéficiaires de faire des économies en matière de santé et de temps qui pourront être réinvestis dans des activités de développement socioéconomique.</w:t>
      </w:r>
    </w:p>
    <w:p w14:paraId="600BF307" w14:textId="77777777" w:rsidR="00401546" w:rsidRPr="00A9330B" w:rsidRDefault="00401546" w:rsidP="00401546">
      <w:pPr>
        <w:suppressAutoHyphens/>
        <w:spacing w:line="240" w:lineRule="auto"/>
        <w:ind w:left="720"/>
        <w:outlineLvl w:val="2"/>
        <w:rPr>
          <w:rFonts w:eastAsia="Calibri" w:cstheme="majorBidi"/>
          <w:i/>
          <w:noProof/>
          <w:color w:val="auto"/>
          <w:sz w:val="26"/>
          <w:szCs w:val="24"/>
        </w:rPr>
      </w:pPr>
      <w:bookmarkStart w:id="1506" w:name="_Toc387444216"/>
      <w:bookmarkStart w:id="1507" w:name="_Toc387444429"/>
      <w:bookmarkStart w:id="1508" w:name="_Toc387444642"/>
      <w:bookmarkStart w:id="1509" w:name="_Toc387444855"/>
      <w:bookmarkStart w:id="1510" w:name="_Toc387445068"/>
      <w:bookmarkStart w:id="1511" w:name="_Toc387445494"/>
      <w:bookmarkStart w:id="1512" w:name="_Toc387445707"/>
      <w:bookmarkStart w:id="1513" w:name="_Toc387446133"/>
      <w:bookmarkStart w:id="1514" w:name="_Toc387446346"/>
      <w:bookmarkStart w:id="1515" w:name="_Toc387446737"/>
      <w:bookmarkStart w:id="1516" w:name="_Toc387446915"/>
      <w:bookmarkStart w:id="1517" w:name="_Toc388869562"/>
      <w:bookmarkStart w:id="1518" w:name="_Toc388869760"/>
      <w:bookmarkStart w:id="1519" w:name="_Toc388869958"/>
      <w:bookmarkStart w:id="1520" w:name="_Toc388870156"/>
      <w:bookmarkStart w:id="1521" w:name="_Toc388870354"/>
      <w:bookmarkStart w:id="1522" w:name="_Toc388870552"/>
      <w:bookmarkStart w:id="1523" w:name="_Toc388870750"/>
      <w:bookmarkStart w:id="1524" w:name="_Toc388870948"/>
      <w:bookmarkStart w:id="1525" w:name="_Toc388871146"/>
      <w:bookmarkStart w:id="1526" w:name="_Toc388871344"/>
      <w:bookmarkStart w:id="1527" w:name="_Toc388871542"/>
      <w:bookmarkStart w:id="1528" w:name="_Toc388896836"/>
      <w:bookmarkStart w:id="1529" w:name="_Toc535671350"/>
      <w:bookmarkStart w:id="1530" w:name="_Toc536197293"/>
      <w:bookmarkStart w:id="1531" w:name="_Toc536197487"/>
      <w:bookmarkStart w:id="1532" w:name="_Toc536197681"/>
      <w:bookmarkStart w:id="1533" w:name="_Toc536197875"/>
      <w:bookmarkStart w:id="1534" w:name="_Toc536198263"/>
      <w:bookmarkStart w:id="1535" w:name="_Toc536198457"/>
      <w:bookmarkStart w:id="1536" w:name="_Toc536198651"/>
      <w:bookmarkStart w:id="1537" w:name="_Toc536198845"/>
      <w:bookmarkStart w:id="1538" w:name="_Toc536199039"/>
      <w:bookmarkStart w:id="1539" w:name="_Toc536443392"/>
      <w:bookmarkStart w:id="1540" w:name="_Toc536519626"/>
      <w:bookmarkStart w:id="1541" w:name="_Toc536534586"/>
      <w:bookmarkStart w:id="1542" w:name="_Toc536534772"/>
      <w:bookmarkStart w:id="1543" w:name="_Toc536534958"/>
      <w:bookmarkStart w:id="1544" w:name="_Toc536535144"/>
      <w:bookmarkStart w:id="1545" w:name="_Toc536535516"/>
      <w:bookmarkStart w:id="1546" w:name="_Toc536535889"/>
      <w:bookmarkStart w:id="1547" w:name="_Toc536536076"/>
      <w:bookmarkStart w:id="1548" w:name="_Toc536536263"/>
      <w:bookmarkStart w:id="1549" w:name="_Toc536536450"/>
      <w:bookmarkStart w:id="1550" w:name="_Toc536536637"/>
      <w:bookmarkStart w:id="1551" w:name="_Toc536544750"/>
      <w:bookmarkStart w:id="1552" w:name="_Toc536544937"/>
      <w:bookmarkStart w:id="1553" w:name="_Toc7688879"/>
      <w:bookmarkStart w:id="1554" w:name="_Toc7689065"/>
      <w:bookmarkStart w:id="1555" w:name="_Toc7689251"/>
      <w:bookmarkStart w:id="1556" w:name="_Toc7689458"/>
      <w:bookmarkStart w:id="1557" w:name="_Toc7689830"/>
      <w:bookmarkStart w:id="1558" w:name="_Toc7690016"/>
      <w:bookmarkStart w:id="1559" w:name="_Toc7691507"/>
      <w:bookmarkStart w:id="1560" w:name="_Toc7691773"/>
      <w:bookmarkStart w:id="1561" w:name="_Toc7691996"/>
      <w:bookmarkStart w:id="1562" w:name="_Toc7692402"/>
      <w:bookmarkStart w:id="1563" w:name="_Toc7692612"/>
      <w:bookmarkStart w:id="1564" w:name="_Toc7695058"/>
      <w:bookmarkStart w:id="1565" w:name="_Toc7695265"/>
      <w:bookmarkStart w:id="1566" w:name="_Toc8139559"/>
      <w:bookmarkStart w:id="1567" w:name="_Toc8139765"/>
      <w:bookmarkStart w:id="1568" w:name="_Toc8139971"/>
      <w:bookmarkStart w:id="1569" w:name="_Toc8140177"/>
      <w:bookmarkStart w:id="1570" w:name="_Toc8140383"/>
      <w:bookmarkStart w:id="1571" w:name="_Toc8140589"/>
      <w:bookmarkStart w:id="1572" w:name="_Toc8140795"/>
      <w:bookmarkStart w:id="1573" w:name="_Toc8141001"/>
      <w:bookmarkStart w:id="1574" w:name="_Toc8141413"/>
      <w:bookmarkStart w:id="1575" w:name="_Toc8141619"/>
      <w:bookmarkStart w:id="1576" w:name="_Toc8141825"/>
      <w:bookmarkStart w:id="1577" w:name="_Toc8204359"/>
      <w:bookmarkStart w:id="1578" w:name="_Toc8204623"/>
      <w:bookmarkStart w:id="1579" w:name="_Toc43697682"/>
      <w:bookmarkStart w:id="1580" w:name="_Toc45520886"/>
      <w:bookmarkStart w:id="1581" w:name="_Toc52869686"/>
      <w:r w:rsidRPr="00A9330B">
        <w:rPr>
          <w:rFonts w:eastAsia="Calibri" w:cstheme="majorBidi"/>
          <w:i/>
          <w:noProof/>
          <w:color w:val="auto"/>
          <w:sz w:val="26"/>
          <w:szCs w:val="24"/>
        </w:rPr>
        <w:t>7.4.3. La restriction de la circulation, des accès aux propriétés</w:t>
      </w:r>
      <w:bookmarkEnd w:id="1506"/>
      <w:bookmarkEnd w:id="1507"/>
      <w:bookmarkEnd w:id="1508"/>
      <w:bookmarkEnd w:id="1509"/>
      <w:bookmarkEnd w:id="1510"/>
      <w:bookmarkEnd w:id="1511"/>
      <w:bookmarkEnd w:id="1512"/>
      <w:bookmarkEnd w:id="1513"/>
      <w:bookmarkEnd w:id="1514"/>
      <w:bookmarkEnd w:id="1515"/>
      <w:bookmarkEnd w:id="1516"/>
      <w:bookmarkEnd w:id="1517"/>
      <w:bookmarkEnd w:id="1518"/>
      <w:bookmarkEnd w:id="1519"/>
      <w:bookmarkEnd w:id="1520"/>
      <w:bookmarkEnd w:id="1521"/>
      <w:bookmarkEnd w:id="1522"/>
      <w:bookmarkEnd w:id="1523"/>
      <w:bookmarkEnd w:id="1524"/>
      <w:bookmarkEnd w:id="1525"/>
      <w:bookmarkEnd w:id="1526"/>
      <w:bookmarkEnd w:id="1527"/>
      <w:bookmarkEnd w:id="1528"/>
      <w:bookmarkEnd w:id="1529"/>
      <w:bookmarkEnd w:id="1530"/>
      <w:bookmarkEnd w:id="1531"/>
      <w:bookmarkEnd w:id="1532"/>
      <w:bookmarkEnd w:id="1533"/>
      <w:bookmarkEnd w:id="1534"/>
      <w:bookmarkEnd w:id="1535"/>
      <w:bookmarkEnd w:id="1536"/>
      <w:bookmarkEnd w:id="1537"/>
      <w:bookmarkEnd w:id="1538"/>
      <w:bookmarkEnd w:id="1539"/>
      <w:bookmarkEnd w:id="1540"/>
      <w:bookmarkEnd w:id="1541"/>
      <w:bookmarkEnd w:id="1542"/>
      <w:bookmarkEnd w:id="1543"/>
      <w:bookmarkEnd w:id="1544"/>
      <w:bookmarkEnd w:id="1545"/>
      <w:bookmarkEnd w:id="1546"/>
      <w:bookmarkEnd w:id="1547"/>
      <w:bookmarkEnd w:id="1548"/>
      <w:bookmarkEnd w:id="1549"/>
      <w:bookmarkEnd w:id="1550"/>
      <w:bookmarkEnd w:id="1551"/>
      <w:bookmarkEnd w:id="1552"/>
      <w:r w:rsidRPr="00A9330B">
        <w:rPr>
          <w:rFonts w:eastAsia="Calibri" w:cstheme="majorBidi"/>
          <w:i/>
          <w:noProof/>
          <w:color w:val="auto"/>
          <w:sz w:val="26"/>
          <w:szCs w:val="24"/>
        </w:rPr>
        <w:t xml:space="preserve"> et des activités dans les zones en travaux</w:t>
      </w:r>
      <w:bookmarkEnd w:id="1553"/>
      <w:bookmarkEnd w:id="1554"/>
      <w:bookmarkEnd w:id="1555"/>
      <w:bookmarkEnd w:id="1556"/>
      <w:bookmarkEnd w:id="1557"/>
      <w:bookmarkEnd w:id="1558"/>
      <w:bookmarkEnd w:id="1559"/>
      <w:bookmarkEnd w:id="1560"/>
      <w:bookmarkEnd w:id="1561"/>
      <w:bookmarkEnd w:id="1562"/>
      <w:bookmarkEnd w:id="1563"/>
      <w:bookmarkEnd w:id="1564"/>
      <w:bookmarkEnd w:id="1565"/>
      <w:bookmarkEnd w:id="1566"/>
      <w:bookmarkEnd w:id="1567"/>
      <w:bookmarkEnd w:id="1568"/>
      <w:bookmarkEnd w:id="1569"/>
      <w:bookmarkEnd w:id="1570"/>
      <w:bookmarkEnd w:id="1571"/>
      <w:bookmarkEnd w:id="1572"/>
      <w:bookmarkEnd w:id="1573"/>
      <w:bookmarkEnd w:id="1574"/>
      <w:bookmarkEnd w:id="1575"/>
      <w:bookmarkEnd w:id="1576"/>
      <w:bookmarkEnd w:id="1577"/>
      <w:bookmarkEnd w:id="1578"/>
      <w:bookmarkEnd w:id="1579"/>
      <w:bookmarkEnd w:id="1580"/>
      <w:bookmarkEnd w:id="1581"/>
      <w:r w:rsidRPr="00A9330B">
        <w:rPr>
          <w:rFonts w:eastAsia="Calibri" w:cstheme="majorBidi"/>
          <w:i/>
          <w:noProof/>
          <w:color w:val="auto"/>
          <w:sz w:val="26"/>
          <w:szCs w:val="24"/>
        </w:rPr>
        <w:t xml:space="preserve"> </w:t>
      </w:r>
    </w:p>
    <w:p w14:paraId="457737DF" w14:textId="77777777" w:rsidR="00401546" w:rsidRPr="00A9330B" w:rsidRDefault="00401546" w:rsidP="00401546">
      <w:pPr>
        <w:jc w:val="both"/>
        <w:rPr>
          <w:rFonts w:cs="Arial"/>
          <w:lang w:eastAsia="fr-FR"/>
        </w:rPr>
      </w:pPr>
      <w:r w:rsidRPr="00A9330B">
        <w:rPr>
          <w:rFonts w:cs="Arial"/>
          <w:lang w:eastAsia="fr-FR"/>
        </w:rPr>
        <w:t>Pendant les travaux, la circulation des véhicules de chantier, la construction de fouilles en tranchée et de pose de conduite vont impacter des routes et des accès aux domaines des riverains. Cette situation entrainera la perturbation de la circulation des automobilistes et des piétons. Il en sera de même pour les accès aux domiciles et diverses activités situées le long de ces voies et ouvrages à aménager.</w:t>
      </w:r>
    </w:p>
    <w:p w14:paraId="09A7482C" w14:textId="77777777" w:rsidR="00401546" w:rsidRPr="00A9330B" w:rsidRDefault="00401546" w:rsidP="00401546">
      <w:pPr>
        <w:keepNext/>
        <w:keepLines/>
        <w:spacing w:line="240" w:lineRule="auto"/>
        <w:outlineLvl w:val="0"/>
        <w:rPr>
          <w:rFonts w:eastAsiaTheme="majorEastAsia" w:cstheme="majorBidi"/>
          <w:b/>
          <w:caps/>
          <w:color w:val="2E74B5" w:themeColor="accent1" w:themeShade="BF"/>
          <w:sz w:val="28"/>
          <w:szCs w:val="32"/>
        </w:rPr>
      </w:pPr>
    </w:p>
    <w:p w14:paraId="71887182" w14:textId="77777777" w:rsidR="00401546" w:rsidRPr="00A9330B" w:rsidRDefault="00401546" w:rsidP="00401546">
      <w:pPr>
        <w:spacing w:before="0" w:line="120" w:lineRule="auto"/>
        <w:jc w:val="center"/>
        <w:rPr>
          <w:rFonts w:eastAsiaTheme="majorEastAsia" w:cstheme="majorBidi"/>
          <w:b/>
          <w:caps/>
          <w:color w:val="2E74B5" w:themeColor="accent1" w:themeShade="BF"/>
          <w:sz w:val="28"/>
          <w:szCs w:val="32"/>
        </w:rPr>
      </w:pPr>
      <w:r w:rsidRPr="00A9330B">
        <w:rPr>
          <w:rFonts w:eastAsiaTheme="majorEastAsia" w:cstheme="majorBidi"/>
          <w:b/>
          <w:caps/>
          <w:color w:val="2E74B5" w:themeColor="accent1" w:themeShade="BF"/>
          <w:sz w:val="28"/>
          <w:szCs w:val="32"/>
        </w:rPr>
        <w:br w:type="page"/>
      </w:r>
    </w:p>
    <w:p w14:paraId="1A778AE7" w14:textId="77777777" w:rsidR="00401546" w:rsidRPr="00A9330B" w:rsidRDefault="00401546" w:rsidP="00401546">
      <w:pPr>
        <w:keepNext/>
        <w:keepLines/>
        <w:spacing w:line="240" w:lineRule="auto"/>
        <w:outlineLvl w:val="0"/>
        <w:rPr>
          <w:rFonts w:eastAsiaTheme="majorEastAsia" w:cstheme="majorBidi"/>
          <w:b/>
          <w:caps/>
          <w:color w:val="00B050"/>
          <w:sz w:val="30"/>
          <w:szCs w:val="30"/>
        </w:rPr>
      </w:pPr>
      <w:bookmarkStart w:id="1582" w:name="_Toc43697683"/>
      <w:bookmarkStart w:id="1583" w:name="_Toc52869687"/>
      <w:bookmarkStart w:id="1584" w:name="_Toc52869852"/>
      <w:r w:rsidRPr="00A9330B">
        <w:rPr>
          <w:rFonts w:eastAsiaTheme="majorEastAsia" w:cstheme="majorBidi"/>
          <w:b/>
          <w:caps/>
          <w:color w:val="00B050"/>
          <w:sz w:val="30"/>
          <w:szCs w:val="30"/>
        </w:rPr>
        <w:lastRenderedPageBreak/>
        <w:t>8. analyse environnementale</w:t>
      </w:r>
      <w:bookmarkEnd w:id="1582"/>
      <w:bookmarkEnd w:id="1583"/>
      <w:bookmarkEnd w:id="1584"/>
      <w:r w:rsidRPr="00A9330B">
        <w:rPr>
          <w:rFonts w:eastAsiaTheme="majorEastAsia" w:cstheme="majorBidi"/>
          <w:b/>
          <w:caps/>
          <w:color w:val="00B050"/>
          <w:sz w:val="30"/>
          <w:szCs w:val="30"/>
        </w:rPr>
        <w:t xml:space="preserve"> </w:t>
      </w:r>
    </w:p>
    <w:p w14:paraId="7718915D" w14:textId="77777777" w:rsidR="00401546" w:rsidRPr="00A9330B" w:rsidRDefault="00401546" w:rsidP="00401546">
      <w:pPr>
        <w:keepNext/>
        <w:keepLines/>
        <w:spacing w:before="200" w:line="276" w:lineRule="auto"/>
        <w:outlineLvl w:val="1"/>
        <w:rPr>
          <w:b/>
          <w:caps/>
          <w:color w:val="0000FF"/>
          <w:sz w:val="26"/>
          <w:u w:val="single"/>
        </w:rPr>
      </w:pPr>
      <w:bookmarkStart w:id="1585" w:name="_Toc38326570"/>
      <w:bookmarkStart w:id="1586" w:name="_Toc38327202"/>
      <w:bookmarkStart w:id="1587" w:name="_Toc38327282"/>
      <w:bookmarkStart w:id="1588" w:name="_Toc38327362"/>
      <w:bookmarkStart w:id="1589" w:name="_Toc38328707"/>
      <w:bookmarkStart w:id="1590" w:name="_Toc38329199"/>
      <w:bookmarkStart w:id="1591" w:name="_Toc38329260"/>
      <w:bookmarkStart w:id="1592" w:name="_Toc38329404"/>
      <w:bookmarkStart w:id="1593" w:name="_Toc38329660"/>
      <w:bookmarkStart w:id="1594" w:name="_Toc38329729"/>
      <w:bookmarkStart w:id="1595" w:name="_Toc38530529"/>
      <w:bookmarkStart w:id="1596" w:name="_Toc38531769"/>
      <w:bookmarkStart w:id="1597" w:name="_Toc38531936"/>
      <w:bookmarkStart w:id="1598" w:name="_Toc38532254"/>
      <w:bookmarkStart w:id="1599" w:name="_Toc38532475"/>
      <w:bookmarkStart w:id="1600" w:name="_Toc38532528"/>
      <w:bookmarkStart w:id="1601" w:name="_Toc38532582"/>
      <w:bookmarkStart w:id="1602" w:name="_Toc38532635"/>
      <w:bookmarkStart w:id="1603" w:name="_Toc38532765"/>
      <w:bookmarkStart w:id="1604" w:name="_Toc38690041"/>
      <w:bookmarkStart w:id="1605" w:name="_Toc38690734"/>
      <w:bookmarkStart w:id="1606" w:name="_Toc377256629"/>
      <w:bookmarkStart w:id="1607" w:name="_Toc161190205"/>
      <w:bookmarkStart w:id="1608" w:name="_Toc161547091"/>
      <w:bookmarkStart w:id="1609" w:name="_Toc218920762"/>
      <w:bookmarkStart w:id="1610" w:name="_Toc230058406"/>
      <w:bookmarkStart w:id="1611" w:name="_Toc246328610"/>
      <w:bookmarkStart w:id="1612" w:name="_Toc258429433"/>
      <w:bookmarkStart w:id="1613" w:name="_Toc258429859"/>
      <w:bookmarkStart w:id="1614" w:name="_Toc259874065"/>
      <w:bookmarkStart w:id="1615" w:name="_Toc296251299"/>
      <w:bookmarkStart w:id="1616" w:name="_Toc311920315"/>
      <w:bookmarkStart w:id="1617" w:name="_Toc336163953"/>
      <w:bookmarkStart w:id="1618" w:name="_Toc517377184"/>
      <w:bookmarkStart w:id="1619" w:name="_Toc43697684"/>
      <w:bookmarkStart w:id="1620" w:name="_Toc52869688"/>
      <w:bookmarkStart w:id="1621" w:name="_Toc52869853"/>
      <w:r w:rsidRPr="00A9330B">
        <w:rPr>
          <w:b/>
          <w:caps/>
          <w:sz w:val="26"/>
        </w:rPr>
        <w:t>8.1- Identification des impacts</w:t>
      </w:r>
      <w:bookmarkEnd w:id="1585"/>
      <w:bookmarkEnd w:id="1586"/>
      <w:bookmarkEnd w:id="1587"/>
      <w:bookmarkEnd w:id="1588"/>
      <w:bookmarkEnd w:id="1589"/>
      <w:bookmarkEnd w:id="1590"/>
      <w:bookmarkEnd w:id="1591"/>
      <w:bookmarkEnd w:id="1592"/>
      <w:bookmarkEnd w:id="1593"/>
      <w:bookmarkEnd w:id="1594"/>
      <w:bookmarkEnd w:id="1595"/>
      <w:bookmarkEnd w:id="1596"/>
      <w:bookmarkEnd w:id="1597"/>
      <w:bookmarkEnd w:id="1598"/>
      <w:bookmarkEnd w:id="1599"/>
      <w:bookmarkEnd w:id="1600"/>
      <w:bookmarkEnd w:id="1601"/>
      <w:bookmarkEnd w:id="1602"/>
      <w:bookmarkEnd w:id="1603"/>
      <w:bookmarkEnd w:id="1604"/>
      <w:bookmarkEnd w:id="1605"/>
      <w:bookmarkEnd w:id="1606"/>
      <w:bookmarkEnd w:id="1607"/>
      <w:bookmarkEnd w:id="1608"/>
      <w:bookmarkEnd w:id="1609"/>
      <w:bookmarkEnd w:id="1610"/>
      <w:bookmarkEnd w:id="1611"/>
      <w:bookmarkEnd w:id="1612"/>
      <w:bookmarkEnd w:id="1613"/>
      <w:bookmarkEnd w:id="1614"/>
      <w:bookmarkEnd w:id="1615"/>
      <w:bookmarkEnd w:id="1616"/>
      <w:bookmarkEnd w:id="1617"/>
      <w:bookmarkEnd w:id="1618"/>
      <w:bookmarkEnd w:id="1619"/>
      <w:bookmarkEnd w:id="1620"/>
      <w:bookmarkEnd w:id="1621"/>
    </w:p>
    <w:p w14:paraId="048D87A3" w14:textId="77777777" w:rsidR="00401546" w:rsidRPr="00A9330B" w:rsidRDefault="00401546" w:rsidP="00401546">
      <w:pPr>
        <w:jc w:val="both"/>
        <w:rPr>
          <w:rFonts w:cs="Arial"/>
          <w:color w:val="auto"/>
        </w:rPr>
      </w:pPr>
      <w:r w:rsidRPr="00A9330B">
        <w:rPr>
          <w:rFonts w:cs="Arial"/>
          <w:color w:val="auto"/>
        </w:rPr>
        <w:t>Les impacts du projet sur l’état initial de la zone du projet seront identifiés, caractérisés et évalués à trois niveaux : d’abord à la phase de démarrage, ensuite à la phase des aménagements et enfin à la phase de l’exploitation et d’entretien.</w:t>
      </w:r>
    </w:p>
    <w:p w14:paraId="44992C97" w14:textId="77777777" w:rsidR="00401546" w:rsidRPr="00A9330B" w:rsidRDefault="00401546" w:rsidP="00401546">
      <w:pPr>
        <w:suppressAutoHyphens/>
        <w:spacing w:line="240" w:lineRule="auto"/>
        <w:ind w:left="720"/>
        <w:outlineLvl w:val="2"/>
        <w:rPr>
          <w:rFonts w:eastAsiaTheme="majorEastAsia" w:cstheme="majorBidi"/>
          <w:i/>
          <w:color w:val="auto"/>
          <w:sz w:val="26"/>
          <w:szCs w:val="24"/>
        </w:rPr>
      </w:pPr>
      <w:bookmarkStart w:id="1622" w:name="_Toc336163954"/>
      <w:bookmarkStart w:id="1623" w:name="_Toc517377185"/>
      <w:bookmarkStart w:id="1624" w:name="_Toc43697685"/>
      <w:bookmarkStart w:id="1625" w:name="_Toc45520889"/>
      <w:bookmarkStart w:id="1626" w:name="_Toc52869689"/>
      <w:r w:rsidRPr="00A9330B">
        <w:rPr>
          <w:rFonts w:eastAsiaTheme="majorEastAsia" w:cstheme="majorBidi"/>
          <w:i/>
          <w:color w:val="auto"/>
          <w:sz w:val="26"/>
          <w:szCs w:val="24"/>
        </w:rPr>
        <w:t>8.1.1. Détermination des composantes environnementales susceptibles d’être touchées par le projet</w:t>
      </w:r>
      <w:bookmarkEnd w:id="1622"/>
      <w:bookmarkEnd w:id="1623"/>
      <w:bookmarkEnd w:id="1624"/>
      <w:bookmarkEnd w:id="1625"/>
      <w:bookmarkEnd w:id="1626"/>
      <w:r w:rsidRPr="00A9330B">
        <w:rPr>
          <w:rFonts w:eastAsiaTheme="majorEastAsia" w:cstheme="majorBidi"/>
          <w:i/>
          <w:color w:val="auto"/>
          <w:sz w:val="26"/>
          <w:szCs w:val="24"/>
        </w:rPr>
        <w:t xml:space="preserve"> </w:t>
      </w:r>
    </w:p>
    <w:p w14:paraId="4350756C" w14:textId="77777777" w:rsidR="00401546" w:rsidRPr="00A9330B" w:rsidRDefault="00401546" w:rsidP="00401546">
      <w:pPr>
        <w:jc w:val="both"/>
        <w:rPr>
          <w:rFonts w:cs="Arial"/>
        </w:rPr>
      </w:pPr>
      <w:r w:rsidRPr="00A9330B">
        <w:rPr>
          <w:rFonts w:cs="Arial"/>
        </w:rPr>
        <w:t>Cette partie présente l’interaction entre les milieux touchés ainsi que les activités du projet aux principales phases de préparation, de construction, d’exploitation avant de montrer les interactions possibles entre les activités et ces milieux.</w:t>
      </w:r>
    </w:p>
    <w:p w14:paraId="00B57E8A" w14:textId="12E2E422" w:rsidR="00401546" w:rsidRPr="00A9330B" w:rsidRDefault="00401546" w:rsidP="00401546">
      <w:pPr>
        <w:jc w:val="both"/>
        <w:rPr>
          <w:rFonts w:cs="Arial"/>
        </w:rPr>
      </w:pPr>
      <w:r w:rsidRPr="00A9330B">
        <w:rPr>
          <w:rFonts w:cs="Arial"/>
        </w:rPr>
        <w:t xml:space="preserve">Les composantes environnementales sensibles à la réalisation dudit projet sont : air, eau, sol, faune, flore, sécurité, social, économie. Il s’agira de déterminer parmi ces composantes de l’environnement celles qui pourraient être touchées pendant les activités du projet que sont : la phase préparatoire, la phase de construction, la phase d’exploitation et d’entretien. </w:t>
      </w:r>
    </w:p>
    <w:p w14:paraId="4DC4207D" w14:textId="30B0789B" w:rsidR="00401546" w:rsidRPr="00A9330B" w:rsidRDefault="00401546" w:rsidP="0051077A">
      <w:pPr>
        <w:keepNext/>
        <w:spacing w:before="240" w:after="120" w:line="240" w:lineRule="auto"/>
        <w:jc w:val="center"/>
        <w:rPr>
          <w:rFonts w:eastAsia="Times New Roman" w:cs="Arial"/>
          <w:b/>
          <w:bCs/>
          <w:color w:val="000000"/>
          <w:sz w:val="20"/>
          <w:szCs w:val="20"/>
          <w:lang w:eastAsia="fr-FR"/>
        </w:rPr>
      </w:pPr>
      <w:bookmarkStart w:id="1627" w:name="_Toc24724032"/>
      <w:bookmarkStart w:id="1628" w:name="_Toc43696247"/>
      <w:bookmarkStart w:id="1629" w:name="_Toc52873760"/>
      <w:r w:rsidRPr="00A9330B">
        <w:rPr>
          <w:rFonts w:eastAsia="Times New Roman" w:cs="Arial"/>
          <w:b/>
          <w:color w:val="000000"/>
          <w:sz w:val="20"/>
          <w:szCs w:val="20"/>
          <w:lang w:eastAsia="fr-FR"/>
        </w:rPr>
        <w:t xml:space="preserve">Tableau </w:t>
      </w:r>
      <w:r w:rsidRPr="00A9330B">
        <w:rPr>
          <w:rFonts w:eastAsia="Times New Roman" w:cs="Arial"/>
          <w:b/>
          <w:color w:val="000000"/>
          <w:sz w:val="20"/>
          <w:szCs w:val="20"/>
          <w:lang w:eastAsia="fr-FR"/>
        </w:rPr>
        <w:fldChar w:fldCharType="begin"/>
      </w:r>
      <w:r w:rsidRPr="00A9330B">
        <w:rPr>
          <w:rFonts w:eastAsia="Times New Roman" w:cs="Arial"/>
          <w:b/>
          <w:color w:val="000000"/>
          <w:sz w:val="20"/>
          <w:szCs w:val="20"/>
          <w:lang w:eastAsia="fr-FR"/>
        </w:rPr>
        <w:instrText xml:space="preserve"> SEQ Tableau \* ARABIC </w:instrText>
      </w:r>
      <w:r w:rsidRPr="00A9330B">
        <w:rPr>
          <w:rFonts w:eastAsia="Times New Roman" w:cs="Arial"/>
          <w:b/>
          <w:color w:val="000000"/>
          <w:sz w:val="20"/>
          <w:szCs w:val="20"/>
          <w:lang w:eastAsia="fr-FR"/>
        </w:rPr>
        <w:fldChar w:fldCharType="separate"/>
      </w:r>
      <w:r w:rsidR="00417D31" w:rsidRPr="00A9330B">
        <w:rPr>
          <w:rFonts w:eastAsia="Times New Roman" w:cs="Arial"/>
          <w:b/>
          <w:noProof/>
          <w:color w:val="000000"/>
          <w:sz w:val="20"/>
          <w:szCs w:val="20"/>
          <w:lang w:eastAsia="fr-FR"/>
        </w:rPr>
        <w:t>36</w:t>
      </w:r>
      <w:r w:rsidRPr="00A9330B">
        <w:rPr>
          <w:rFonts w:eastAsia="Times New Roman" w:cs="Arial"/>
          <w:b/>
          <w:color w:val="000000"/>
          <w:sz w:val="20"/>
          <w:szCs w:val="20"/>
          <w:lang w:eastAsia="fr-FR"/>
        </w:rPr>
        <w:fldChar w:fldCharType="end"/>
      </w:r>
      <w:r w:rsidRPr="00A9330B">
        <w:rPr>
          <w:rFonts w:eastAsia="Times New Roman" w:cs="Arial"/>
          <w:b/>
          <w:color w:val="000000"/>
          <w:sz w:val="20"/>
          <w:szCs w:val="20"/>
          <w:lang w:eastAsia="fr-FR"/>
        </w:rPr>
        <w:t xml:space="preserve"> : Interrelations entre activités du projet et composantes susceptibles d’être affectées</w:t>
      </w:r>
      <w:bookmarkEnd w:id="1627"/>
      <w:bookmarkEnd w:id="1628"/>
      <w:bookmarkEnd w:id="1629"/>
    </w:p>
    <w:tbl>
      <w:tblPr>
        <w:tblStyle w:val="Grilledutableau"/>
        <w:tblpPr w:leftFromText="141" w:rightFromText="141" w:vertAnchor="text" w:tblpX="-34" w:tblpY="1"/>
        <w:tblOverlap w:val="never"/>
        <w:tblW w:w="5413" w:type="pct"/>
        <w:tblLayout w:type="fixed"/>
        <w:tblLook w:val="04A0" w:firstRow="1" w:lastRow="0" w:firstColumn="1" w:lastColumn="0" w:noHBand="0" w:noVBand="1"/>
      </w:tblPr>
      <w:tblGrid>
        <w:gridCol w:w="1637"/>
        <w:gridCol w:w="3164"/>
        <w:gridCol w:w="446"/>
        <w:gridCol w:w="446"/>
        <w:gridCol w:w="446"/>
        <w:gridCol w:w="445"/>
        <w:gridCol w:w="445"/>
        <w:gridCol w:w="445"/>
        <w:gridCol w:w="445"/>
        <w:gridCol w:w="445"/>
        <w:gridCol w:w="445"/>
        <w:gridCol w:w="392"/>
        <w:gridCol w:w="53"/>
        <w:gridCol w:w="557"/>
      </w:tblGrid>
      <w:tr w:rsidR="00913D06" w:rsidRPr="00A9330B" w14:paraId="57EDEAAC" w14:textId="77777777" w:rsidTr="00E216F6">
        <w:trPr>
          <w:trHeight w:val="139"/>
          <w:tblHeader/>
        </w:trPr>
        <w:tc>
          <w:tcPr>
            <w:tcW w:w="2446" w:type="pct"/>
            <w:gridSpan w:val="2"/>
            <w:vMerge w:val="restart"/>
            <w:shd w:val="clear" w:color="auto" w:fill="B4C6E7" w:themeFill="accent5" w:themeFillTint="66"/>
            <w:vAlign w:val="center"/>
          </w:tcPr>
          <w:p w14:paraId="781F49A1" w14:textId="7B6E0357" w:rsidR="00401546" w:rsidRPr="00A9330B" w:rsidRDefault="00401546" w:rsidP="00BE4C78">
            <w:pPr>
              <w:spacing w:before="40" w:line="240" w:lineRule="auto"/>
              <w:ind w:left="57" w:right="57"/>
              <w:rPr>
                <w:rFonts w:cs="Arial"/>
                <w:b/>
                <w:sz w:val="18"/>
                <w:szCs w:val="18"/>
              </w:rPr>
            </w:pPr>
            <w:r w:rsidRPr="00A9330B">
              <w:rPr>
                <w:rFonts w:cs="Arial"/>
                <w:b/>
                <w:sz w:val="18"/>
                <w:szCs w:val="18"/>
              </w:rPr>
              <w:t xml:space="preserve">Activités </w:t>
            </w:r>
            <w:r w:rsidR="00362D97" w:rsidRPr="00A9330B">
              <w:rPr>
                <w:rFonts w:cs="Arial"/>
                <w:b/>
                <w:sz w:val="18"/>
                <w:szCs w:val="18"/>
              </w:rPr>
              <w:t>et sou-</w:t>
            </w:r>
            <w:r w:rsidR="00E7483D" w:rsidRPr="00A9330B">
              <w:rPr>
                <w:rFonts w:cs="Arial"/>
                <w:b/>
                <w:sz w:val="18"/>
                <w:szCs w:val="18"/>
              </w:rPr>
              <w:t xml:space="preserve">activités </w:t>
            </w:r>
            <w:r w:rsidRPr="00A9330B">
              <w:rPr>
                <w:rFonts w:cs="Arial"/>
                <w:b/>
                <w:sz w:val="18"/>
                <w:szCs w:val="18"/>
              </w:rPr>
              <w:t>du projet par phase</w:t>
            </w:r>
          </w:p>
        </w:tc>
        <w:tc>
          <w:tcPr>
            <w:tcW w:w="2554" w:type="pct"/>
            <w:gridSpan w:val="12"/>
            <w:shd w:val="clear" w:color="auto" w:fill="B4C6E7" w:themeFill="accent5" w:themeFillTint="66"/>
            <w:vAlign w:val="center"/>
          </w:tcPr>
          <w:p w14:paraId="63589235" w14:textId="77777777" w:rsidR="00401546" w:rsidRPr="00A9330B" w:rsidRDefault="00401546" w:rsidP="00E7483D">
            <w:pPr>
              <w:spacing w:before="40" w:line="240" w:lineRule="auto"/>
              <w:ind w:left="57" w:right="57"/>
              <w:rPr>
                <w:rFonts w:cs="Arial"/>
                <w:b/>
                <w:sz w:val="18"/>
                <w:szCs w:val="18"/>
              </w:rPr>
            </w:pPr>
            <w:r w:rsidRPr="00A9330B">
              <w:rPr>
                <w:rFonts w:cs="Arial"/>
                <w:b/>
                <w:sz w:val="18"/>
                <w:szCs w:val="18"/>
              </w:rPr>
              <w:t>Composantes du milieu affectées</w:t>
            </w:r>
          </w:p>
        </w:tc>
      </w:tr>
      <w:tr w:rsidR="00525E29" w:rsidRPr="00A9330B" w14:paraId="06A8B0DB" w14:textId="77777777" w:rsidTr="00E216F6">
        <w:trPr>
          <w:cantSplit/>
          <w:trHeight w:val="1423"/>
          <w:tblHeader/>
        </w:trPr>
        <w:tc>
          <w:tcPr>
            <w:tcW w:w="2446" w:type="pct"/>
            <w:gridSpan w:val="2"/>
            <w:vMerge/>
            <w:vAlign w:val="center"/>
          </w:tcPr>
          <w:p w14:paraId="5D50A625" w14:textId="77777777" w:rsidR="00401546" w:rsidRPr="00A9330B" w:rsidRDefault="00401546" w:rsidP="00BE4C78">
            <w:pPr>
              <w:spacing w:before="40" w:line="240" w:lineRule="auto"/>
              <w:ind w:left="57" w:right="57"/>
              <w:rPr>
                <w:rFonts w:cs="Arial"/>
                <w:b/>
                <w:sz w:val="18"/>
                <w:szCs w:val="18"/>
              </w:rPr>
            </w:pPr>
          </w:p>
        </w:tc>
        <w:tc>
          <w:tcPr>
            <w:tcW w:w="227" w:type="pct"/>
            <w:shd w:val="clear" w:color="auto" w:fill="B4C6E7" w:themeFill="accent5" w:themeFillTint="66"/>
            <w:textDirection w:val="btLr"/>
            <w:vAlign w:val="center"/>
          </w:tcPr>
          <w:p w14:paraId="7A02B53A" w14:textId="77777777" w:rsidR="00401546" w:rsidRPr="00A9330B" w:rsidRDefault="00401546" w:rsidP="00E7483D">
            <w:pPr>
              <w:spacing w:before="40" w:line="240" w:lineRule="auto"/>
              <w:ind w:left="57" w:right="57"/>
              <w:rPr>
                <w:rFonts w:cs="Arial"/>
                <w:b/>
                <w:sz w:val="18"/>
                <w:szCs w:val="18"/>
              </w:rPr>
            </w:pPr>
            <w:r w:rsidRPr="00A9330B">
              <w:rPr>
                <w:rFonts w:cs="Arial"/>
                <w:b/>
                <w:sz w:val="18"/>
                <w:szCs w:val="18"/>
              </w:rPr>
              <w:t>Air</w:t>
            </w:r>
          </w:p>
        </w:tc>
        <w:tc>
          <w:tcPr>
            <w:tcW w:w="227" w:type="pct"/>
            <w:shd w:val="clear" w:color="auto" w:fill="B4C6E7" w:themeFill="accent5" w:themeFillTint="66"/>
            <w:textDirection w:val="btLr"/>
            <w:vAlign w:val="center"/>
          </w:tcPr>
          <w:p w14:paraId="54EF5F77" w14:textId="77777777" w:rsidR="00401546" w:rsidRPr="00A9330B" w:rsidRDefault="00401546" w:rsidP="00E7483D">
            <w:pPr>
              <w:spacing w:before="40" w:line="240" w:lineRule="auto"/>
              <w:ind w:left="57" w:right="57"/>
              <w:rPr>
                <w:rFonts w:cs="Arial"/>
                <w:b/>
                <w:sz w:val="18"/>
                <w:szCs w:val="18"/>
              </w:rPr>
            </w:pPr>
            <w:r w:rsidRPr="00A9330B">
              <w:rPr>
                <w:rFonts w:cs="Arial"/>
                <w:b/>
                <w:sz w:val="18"/>
                <w:szCs w:val="18"/>
              </w:rPr>
              <w:t>Sol</w:t>
            </w:r>
          </w:p>
        </w:tc>
        <w:tc>
          <w:tcPr>
            <w:tcW w:w="227" w:type="pct"/>
            <w:shd w:val="clear" w:color="auto" w:fill="B4C6E7" w:themeFill="accent5" w:themeFillTint="66"/>
            <w:textDirection w:val="btLr"/>
            <w:vAlign w:val="center"/>
          </w:tcPr>
          <w:p w14:paraId="7E2E398F" w14:textId="77777777" w:rsidR="00401546" w:rsidRPr="00A9330B" w:rsidRDefault="00401546" w:rsidP="00E7483D">
            <w:pPr>
              <w:spacing w:before="40" w:line="240" w:lineRule="auto"/>
              <w:ind w:left="57" w:right="57"/>
              <w:rPr>
                <w:rFonts w:cs="Arial"/>
                <w:b/>
                <w:sz w:val="18"/>
                <w:szCs w:val="18"/>
              </w:rPr>
            </w:pPr>
            <w:r w:rsidRPr="00A9330B">
              <w:rPr>
                <w:rFonts w:cs="Arial"/>
                <w:b/>
                <w:sz w:val="18"/>
                <w:szCs w:val="18"/>
              </w:rPr>
              <w:t>Eau</w:t>
            </w:r>
          </w:p>
        </w:tc>
        <w:tc>
          <w:tcPr>
            <w:tcW w:w="227" w:type="pct"/>
            <w:shd w:val="clear" w:color="auto" w:fill="B4C6E7" w:themeFill="accent5" w:themeFillTint="66"/>
            <w:textDirection w:val="btLr"/>
            <w:vAlign w:val="center"/>
          </w:tcPr>
          <w:p w14:paraId="4E632147" w14:textId="77777777" w:rsidR="00401546" w:rsidRPr="00A9330B" w:rsidRDefault="00401546" w:rsidP="00E7483D">
            <w:pPr>
              <w:spacing w:before="40" w:line="240" w:lineRule="auto"/>
              <w:ind w:left="57" w:right="57"/>
              <w:rPr>
                <w:rFonts w:cs="Arial"/>
                <w:b/>
                <w:sz w:val="18"/>
                <w:szCs w:val="18"/>
              </w:rPr>
            </w:pPr>
            <w:r w:rsidRPr="00A9330B">
              <w:rPr>
                <w:rFonts w:cs="Arial"/>
                <w:b/>
                <w:sz w:val="18"/>
                <w:szCs w:val="18"/>
              </w:rPr>
              <w:t>Flore</w:t>
            </w:r>
          </w:p>
        </w:tc>
        <w:tc>
          <w:tcPr>
            <w:tcW w:w="227" w:type="pct"/>
            <w:shd w:val="clear" w:color="auto" w:fill="B4C6E7" w:themeFill="accent5" w:themeFillTint="66"/>
            <w:textDirection w:val="btLr"/>
            <w:vAlign w:val="center"/>
          </w:tcPr>
          <w:p w14:paraId="4C008439" w14:textId="77777777" w:rsidR="00401546" w:rsidRPr="00A9330B" w:rsidRDefault="00401546" w:rsidP="00E7483D">
            <w:pPr>
              <w:spacing w:before="40" w:line="240" w:lineRule="auto"/>
              <w:ind w:left="57" w:right="57"/>
              <w:rPr>
                <w:rFonts w:cs="Arial"/>
                <w:b/>
                <w:sz w:val="18"/>
                <w:szCs w:val="18"/>
              </w:rPr>
            </w:pPr>
            <w:r w:rsidRPr="00A9330B">
              <w:rPr>
                <w:rFonts w:cs="Arial"/>
                <w:b/>
                <w:sz w:val="18"/>
                <w:szCs w:val="18"/>
              </w:rPr>
              <w:t>Faune</w:t>
            </w:r>
          </w:p>
        </w:tc>
        <w:tc>
          <w:tcPr>
            <w:tcW w:w="227" w:type="pct"/>
            <w:shd w:val="clear" w:color="auto" w:fill="B4C6E7" w:themeFill="accent5" w:themeFillTint="66"/>
            <w:textDirection w:val="btLr"/>
            <w:vAlign w:val="center"/>
          </w:tcPr>
          <w:p w14:paraId="4ADD59F8" w14:textId="77777777" w:rsidR="00401546" w:rsidRPr="00A9330B" w:rsidRDefault="00401546" w:rsidP="00E7483D">
            <w:pPr>
              <w:spacing w:before="40" w:line="240" w:lineRule="auto"/>
              <w:ind w:left="57" w:right="57"/>
              <w:rPr>
                <w:rFonts w:cs="Arial"/>
                <w:b/>
                <w:sz w:val="18"/>
                <w:szCs w:val="18"/>
              </w:rPr>
            </w:pPr>
            <w:r w:rsidRPr="00A9330B">
              <w:rPr>
                <w:rFonts w:cs="Arial"/>
                <w:b/>
                <w:sz w:val="18"/>
                <w:szCs w:val="18"/>
              </w:rPr>
              <w:t>Santé</w:t>
            </w:r>
          </w:p>
        </w:tc>
        <w:tc>
          <w:tcPr>
            <w:tcW w:w="227" w:type="pct"/>
            <w:shd w:val="clear" w:color="auto" w:fill="B4C6E7" w:themeFill="accent5" w:themeFillTint="66"/>
            <w:textDirection w:val="btLr"/>
            <w:vAlign w:val="center"/>
          </w:tcPr>
          <w:p w14:paraId="28D16213" w14:textId="77777777" w:rsidR="00401546" w:rsidRPr="00A9330B" w:rsidRDefault="00401546" w:rsidP="00E7483D">
            <w:pPr>
              <w:spacing w:before="40" w:line="240" w:lineRule="auto"/>
              <w:ind w:left="57" w:right="57"/>
              <w:rPr>
                <w:rFonts w:cs="Arial"/>
                <w:b/>
                <w:sz w:val="18"/>
                <w:szCs w:val="18"/>
              </w:rPr>
            </w:pPr>
            <w:r w:rsidRPr="00A9330B">
              <w:rPr>
                <w:rFonts w:cs="Arial"/>
                <w:b/>
                <w:sz w:val="18"/>
                <w:szCs w:val="18"/>
              </w:rPr>
              <w:t>Social</w:t>
            </w:r>
          </w:p>
        </w:tc>
        <w:tc>
          <w:tcPr>
            <w:tcW w:w="227" w:type="pct"/>
            <w:shd w:val="clear" w:color="auto" w:fill="B4C6E7" w:themeFill="accent5" w:themeFillTint="66"/>
            <w:textDirection w:val="btLr"/>
            <w:vAlign w:val="center"/>
          </w:tcPr>
          <w:p w14:paraId="03AC4AB9" w14:textId="77777777" w:rsidR="00401546" w:rsidRPr="00A9330B" w:rsidRDefault="00401546" w:rsidP="00E7483D">
            <w:pPr>
              <w:spacing w:before="40" w:line="240" w:lineRule="auto"/>
              <w:ind w:left="57" w:right="57"/>
              <w:rPr>
                <w:rFonts w:cs="Arial"/>
                <w:b/>
                <w:sz w:val="18"/>
                <w:szCs w:val="18"/>
              </w:rPr>
            </w:pPr>
            <w:r w:rsidRPr="00A9330B">
              <w:rPr>
                <w:rFonts w:cs="Arial"/>
                <w:b/>
                <w:sz w:val="18"/>
                <w:szCs w:val="18"/>
              </w:rPr>
              <w:t>Economie</w:t>
            </w:r>
          </w:p>
        </w:tc>
        <w:tc>
          <w:tcPr>
            <w:tcW w:w="227" w:type="pct"/>
            <w:shd w:val="clear" w:color="auto" w:fill="B4C6E7" w:themeFill="accent5" w:themeFillTint="66"/>
            <w:textDirection w:val="btLr"/>
            <w:vAlign w:val="center"/>
          </w:tcPr>
          <w:p w14:paraId="03BB4A31" w14:textId="77777777" w:rsidR="00401546" w:rsidRPr="00A9330B" w:rsidRDefault="00401546" w:rsidP="00E7483D">
            <w:pPr>
              <w:spacing w:before="40" w:line="240" w:lineRule="auto"/>
              <w:ind w:left="57" w:right="57"/>
              <w:rPr>
                <w:rFonts w:cs="Arial"/>
                <w:b/>
                <w:sz w:val="18"/>
                <w:szCs w:val="18"/>
              </w:rPr>
            </w:pPr>
            <w:r w:rsidRPr="00A9330B">
              <w:rPr>
                <w:rFonts w:cs="Arial"/>
                <w:b/>
                <w:sz w:val="18"/>
                <w:szCs w:val="18"/>
              </w:rPr>
              <w:t>Sécurité</w:t>
            </w:r>
          </w:p>
        </w:tc>
        <w:tc>
          <w:tcPr>
            <w:tcW w:w="200" w:type="pct"/>
            <w:shd w:val="clear" w:color="auto" w:fill="B4C6E7" w:themeFill="accent5" w:themeFillTint="66"/>
            <w:textDirection w:val="btLr"/>
            <w:vAlign w:val="center"/>
          </w:tcPr>
          <w:p w14:paraId="4319E901" w14:textId="77777777" w:rsidR="00401546" w:rsidRPr="00A9330B" w:rsidRDefault="00401546" w:rsidP="00E7483D">
            <w:pPr>
              <w:spacing w:before="40" w:line="240" w:lineRule="auto"/>
              <w:ind w:left="57" w:right="57"/>
              <w:rPr>
                <w:rFonts w:cs="Arial"/>
                <w:b/>
                <w:sz w:val="18"/>
                <w:szCs w:val="18"/>
              </w:rPr>
            </w:pPr>
            <w:r w:rsidRPr="00A9330B">
              <w:rPr>
                <w:rFonts w:cs="Arial"/>
                <w:b/>
                <w:sz w:val="18"/>
                <w:szCs w:val="18"/>
              </w:rPr>
              <w:t>Paysage</w:t>
            </w:r>
          </w:p>
        </w:tc>
        <w:tc>
          <w:tcPr>
            <w:tcW w:w="312" w:type="pct"/>
            <w:gridSpan w:val="2"/>
            <w:shd w:val="clear" w:color="auto" w:fill="B4C6E7" w:themeFill="accent5" w:themeFillTint="66"/>
            <w:textDirection w:val="btLr"/>
            <w:vAlign w:val="center"/>
          </w:tcPr>
          <w:p w14:paraId="540CB5D6" w14:textId="77777777" w:rsidR="00401546" w:rsidRPr="00A9330B" w:rsidRDefault="00401546" w:rsidP="00E7483D">
            <w:pPr>
              <w:spacing w:before="40" w:line="240" w:lineRule="auto"/>
              <w:ind w:left="57" w:right="57"/>
              <w:rPr>
                <w:rFonts w:cs="Arial"/>
                <w:b/>
                <w:sz w:val="18"/>
                <w:szCs w:val="18"/>
              </w:rPr>
            </w:pPr>
            <w:r w:rsidRPr="00A9330B">
              <w:rPr>
                <w:rFonts w:cs="Arial"/>
                <w:b/>
                <w:sz w:val="18"/>
                <w:szCs w:val="18"/>
              </w:rPr>
              <w:t>Culturel et cultuel</w:t>
            </w:r>
          </w:p>
        </w:tc>
      </w:tr>
      <w:tr w:rsidR="00401546" w:rsidRPr="00A9330B" w14:paraId="5186A2A1" w14:textId="77777777" w:rsidTr="00E7483D">
        <w:trPr>
          <w:cantSplit/>
          <w:trHeight w:val="309"/>
        </w:trPr>
        <w:tc>
          <w:tcPr>
            <w:tcW w:w="5000" w:type="pct"/>
            <w:gridSpan w:val="14"/>
            <w:shd w:val="clear" w:color="auto" w:fill="F7CAAC" w:themeFill="accent2" w:themeFillTint="66"/>
            <w:vAlign w:val="center"/>
          </w:tcPr>
          <w:p w14:paraId="10957A6F" w14:textId="77777777" w:rsidR="00401546" w:rsidRPr="00A9330B" w:rsidRDefault="00401546" w:rsidP="00BE4C78">
            <w:pPr>
              <w:spacing w:before="40" w:line="240" w:lineRule="auto"/>
              <w:ind w:left="113" w:right="113"/>
              <w:rPr>
                <w:rFonts w:cs="Arial"/>
                <w:b/>
                <w:sz w:val="18"/>
                <w:szCs w:val="18"/>
              </w:rPr>
            </w:pPr>
            <w:r w:rsidRPr="00A9330B">
              <w:rPr>
                <w:rFonts w:cs="Arial"/>
                <w:b/>
                <w:sz w:val="18"/>
                <w:szCs w:val="18"/>
              </w:rPr>
              <w:t>PHASE DE PREPARATOIRE</w:t>
            </w:r>
          </w:p>
        </w:tc>
      </w:tr>
      <w:tr w:rsidR="00913D06" w:rsidRPr="00A9330B" w14:paraId="0362AC9F" w14:textId="77777777" w:rsidTr="00E216F6">
        <w:trPr>
          <w:trHeight w:val="163"/>
        </w:trPr>
        <w:tc>
          <w:tcPr>
            <w:tcW w:w="834" w:type="pct"/>
          </w:tcPr>
          <w:p w14:paraId="3519DE12" w14:textId="77777777" w:rsidR="00401546" w:rsidRPr="00A9330B" w:rsidRDefault="00401546" w:rsidP="00BE4C78">
            <w:pPr>
              <w:spacing w:before="40" w:line="240" w:lineRule="auto"/>
              <w:rPr>
                <w:rFonts w:cs="Arial"/>
                <w:sz w:val="18"/>
                <w:szCs w:val="18"/>
              </w:rPr>
            </w:pPr>
          </w:p>
          <w:p w14:paraId="3C691B60" w14:textId="54E5AE39" w:rsidR="00401546" w:rsidRPr="00A9330B" w:rsidRDefault="00EA4914" w:rsidP="00BE4C78">
            <w:pPr>
              <w:spacing w:before="40" w:line="240" w:lineRule="auto"/>
              <w:rPr>
                <w:rFonts w:cs="Arial"/>
                <w:sz w:val="18"/>
                <w:szCs w:val="18"/>
              </w:rPr>
            </w:pPr>
            <w:r w:rsidRPr="00A9330B">
              <w:rPr>
                <w:rFonts w:cs="Arial"/>
                <w:sz w:val="18"/>
                <w:szCs w:val="18"/>
              </w:rPr>
              <w:t>Transport et circulation de la machinerie et des équipements</w:t>
            </w:r>
          </w:p>
        </w:tc>
        <w:tc>
          <w:tcPr>
            <w:tcW w:w="1611" w:type="pct"/>
          </w:tcPr>
          <w:p w14:paraId="2B8CBB9A" w14:textId="0CDE0EF1" w:rsidR="00401546" w:rsidRPr="00A9330B" w:rsidRDefault="00401546" w:rsidP="00BE4C78">
            <w:pPr>
              <w:spacing w:before="40" w:line="240" w:lineRule="auto"/>
              <w:rPr>
                <w:rFonts w:cs="Arial"/>
                <w:sz w:val="18"/>
                <w:szCs w:val="18"/>
              </w:rPr>
            </w:pPr>
          </w:p>
        </w:tc>
        <w:tc>
          <w:tcPr>
            <w:tcW w:w="227" w:type="pct"/>
            <w:vAlign w:val="center"/>
          </w:tcPr>
          <w:p w14:paraId="5105D13F" w14:textId="7A813813" w:rsidR="00401546" w:rsidRPr="00A9330B" w:rsidRDefault="00EA4914" w:rsidP="00E7483D">
            <w:pPr>
              <w:spacing w:before="40" w:line="240" w:lineRule="auto"/>
              <w:rPr>
                <w:rFonts w:cs="Arial"/>
                <w:i/>
                <w:sz w:val="18"/>
                <w:szCs w:val="18"/>
              </w:rPr>
            </w:pPr>
            <w:r w:rsidRPr="00A9330B">
              <w:rPr>
                <w:rFonts w:cs="Arial"/>
                <w:i/>
                <w:sz w:val="18"/>
                <w:szCs w:val="18"/>
              </w:rPr>
              <w:t>X</w:t>
            </w:r>
          </w:p>
        </w:tc>
        <w:tc>
          <w:tcPr>
            <w:tcW w:w="227" w:type="pct"/>
            <w:vAlign w:val="center"/>
          </w:tcPr>
          <w:p w14:paraId="6739309B" w14:textId="4A5137FF" w:rsidR="00401546" w:rsidRPr="00A9330B" w:rsidRDefault="00EA4914" w:rsidP="00E7483D">
            <w:pPr>
              <w:spacing w:before="40" w:line="240" w:lineRule="auto"/>
              <w:rPr>
                <w:rFonts w:cs="Arial"/>
                <w:i/>
                <w:sz w:val="18"/>
                <w:szCs w:val="18"/>
              </w:rPr>
            </w:pPr>
            <w:r w:rsidRPr="00A9330B">
              <w:rPr>
                <w:rFonts w:cs="Arial"/>
                <w:i/>
                <w:sz w:val="18"/>
                <w:szCs w:val="18"/>
              </w:rPr>
              <w:t>X</w:t>
            </w:r>
          </w:p>
        </w:tc>
        <w:tc>
          <w:tcPr>
            <w:tcW w:w="227" w:type="pct"/>
            <w:vAlign w:val="center"/>
          </w:tcPr>
          <w:p w14:paraId="180A9888" w14:textId="77777777" w:rsidR="00401546" w:rsidRPr="00A9330B" w:rsidRDefault="00401546" w:rsidP="00E7483D">
            <w:pPr>
              <w:spacing w:before="40" w:line="240" w:lineRule="auto"/>
              <w:rPr>
                <w:rFonts w:cs="Arial"/>
                <w:i/>
                <w:sz w:val="18"/>
                <w:szCs w:val="18"/>
              </w:rPr>
            </w:pPr>
          </w:p>
        </w:tc>
        <w:tc>
          <w:tcPr>
            <w:tcW w:w="227" w:type="pct"/>
            <w:vAlign w:val="center"/>
          </w:tcPr>
          <w:p w14:paraId="698A544C" w14:textId="77777777" w:rsidR="00401546" w:rsidRPr="00A9330B" w:rsidRDefault="00401546" w:rsidP="00E7483D">
            <w:pPr>
              <w:spacing w:before="40" w:line="240" w:lineRule="auto"/>
              <w:rPr>
                <w:rFonts w:cs="Arial"/>
                <w:i/>
                <w:sz w:val="18"/>
                <w:szCs w:val="18"/>
              </w:rPr>
            </w:pPr>
          </w:p>
        </w:tc>
        <w:tc>
          <w:tcPr>
            <w:tcW w:w="227" w:type="pct"/>
            <w:vAlign w:val="center"/>
          </w:tcPr>
          <w:p w14:paraId="7AD0DEF8" w14:textId="77777777" w:rsidR="00401546" w:rsidRPr="00A9330B" w:rsidRDefault="00401546" w:rsidP="00E7483D">
            <w:pPr>
              <w:spacing w:before="40" w:line="240" w:lineRule="auto"/>
              <w:rPr>
                <w:rFonts w:cs="Arial"/>
                <w:i/>
                <w:sz w:val="18"/>
                <w:szCs w:val="18"/>
              </w:rPr>
            </w:pPr>
          </w:p>
        </w:tc>
        <w:tc>
          <w:tcPr>
            <w:tcW w:w="227" w:type="pct"/>
            <w:vAlign w:val="center"/>
          </w:tcPr>
          <w:p w14:paraId="3A06B77F" w14:textId="300176DE" w:rsidR="00401546" w:rsidRPr="00A9330B" w:rsidRDefault="00AD0B7B" w:rsidP="00E7483D">
            <w:pPr>
              <w:spacing w:before="40" w:line="240" w:lineRule="auto"/>
              <w:rPr>
                <w:rFonts w:cs="Arial"/>
                <w:i/>
                <w:sz w:val="18"/>
                <w:szCs w:val="18"/>
              </w:rPr>
            </w:pPr>
            <w:r w:rsidRPr="00A9330B">
              <w:rPr>
                <w:rFonts w:cs="Arial"/>
                <w:i/>
                <w:sz w:val="18"/>
                <w:szCs w:val="18"/>
              </w:rPr>
              <w:t>X</w:t>
            </w:r>
          </w:p>
        </w:tc>
        <w:tc>
          <w:tcPr>
            <w:tcW w:w="227" w:type="pct"/>
            <w:vAlign w:val="center"/>
          </w:tcPr>
          <w:p w14:paraId="2EBA5017" w14:textId="77777777" w:rsidR="00401546" w:rsidRPr="00A9330B" w:rsidRDefault="00401546" w:rsidP="00E7483D">
            <w:pPr>
              <w:spacing w:before="40" w:line="240" w:lineRule="auto"/>
              <w:rPr>
                <w:rFonts w:cs="Arial"/>
                <w:i/>
                <w:sz w:val="18"/>
                <w:szCs w:val="18"/>
              </w:rPr>
            </w:pPr>
            <w:r w:rsidRPr="00A9330B">
              <w:rPr>
                <w:rFonts w:cs="Arial"/>
                <w:i/>
                <w:sz w:val="18"/>
                <w:szCs w:val="18"/>
              </w:rPr>
              <w:t>X</w:t>
            </w:r>
          </w:p>
        </w:tc>
        <w:tc>
          <w:tcPr>
            <w:tcW w:w="227" w:type="pct"/>
            <w:vAlign w:val="center"/>
          </w:tcPr>
          <w:p w14:paraId="3C9F4ABD" w14:textId="77777777" w:rsidR="00401546" w:rsidRPr="00A9330B" w:rsidRDefault="00401546" w:rsidP="00E7483D">
            <w:pPr>
              <w:spacing w:before="40" w:line="240" w:lineRule="auto"/>
              <w:rPr>
                <w:rFonts w:cs="Arial"/>
                <w:i/>
                <w:sz w:val="18"/>
                <w:szCs w:val="18"/>
              </w:rPr>
            </w:pPr>
            <w:r w:rsidRPr="00A9330B">
              <w:rPr>
                <w:rFonts w:cs="Arial"/>
                <w:i/>
                <w:sz w:val="18"/>
                <w:szCs w:val="18"/>
              </w:rPr>
              <w:t>X</w:t>
            </w:r>
          </w:p>
        </w:tc>
        <w:tc>
          <w:tcPr>
            <w:tcW w:w="227" w:type="pct"/>
            <w:vAlign w:val="center"/>
          </w:tcPr>
          <w:p w14:paraId="4602F9F8" w14:textId="77777777" w:rsidR="00401546" w:rsidRPr="00A9330B" w:rsidRDefault="00401546" w:rsidP="00E7483D">
            <w:pPr>
              <w:spacing w:before="40" w:line="240" w:lineRule="auto"/>
              <w:rPr>
                <w:rFonts w:cs="Arial"/>
                <w:i/>
                <w:sz w:val="18"/>
                <w:szCs w:val="18"/>
              </w:rPr>
            </w:pPr>
            <w:r w:rsidRPr="00A9330B">
              <w:rPr>
                <w:rFonts w:cs="Arial"/>
                <w:i/>
                <w:sz w:val="18"/>
                <w:szCs w:val="18"/>
              </w:rPr>
              <w:t>X</w:t>
            </w:r>
          </w:p>
        </w:tc>
        <w:tc>
          <w:tcPr>
            <w:tcW w:w="227" w:type="pct"/>
            <w:gridSpan w:val="2"/>
            <w:vAlign w:val="center"/>
          </w:tcPr>
          <w:p w14:paraId="7B3C799B" w14:textId="77777777" w:rsidR="00401546" w:rsidRPr="00A9330B" w:rsidRDefault="00401546" w:rsidP="00E7483D">
            <w:pPr>
              <w:spacing w:before="40" w:line="240" w:lineRule="auto"/>
              <w:rPr>
                <w:rFonts w:cs="Arial"/>
                <w:i/>
                <w:sz w:val="18"/>
                <w:szCs w:val="18"/>
              </w:rPr>
            </w:pPr>
          </w:p>
        </w:tc>
        <w:tc>
          <w:tcPr>
            <w:tcW w:w="285" w:type="pct"/>
            <w:vAlign w:val="center"/>
          </w:tcPr>
          <w:p w14:paraId="5A121955" w14:textId="77777777" w:rsidR="00401546" w:rsidRPr="00A9330B" w:rsidRDefault="00401546" w:rsidP="00E7483D">
            <w:pPr>
              <w:spacing w:before="40" w:line="240" w:lineRule="auto"/>
              <w:rPr>
                <w:rFonts w:cs="Arial"/>
                <w:i/>
                <w:sz w:val="18"/>
                <w:szCs w:val="18"/>
              </w:rPr>
            </w:pPr>
          </w:p>
        </w:tc>
      </w:tr>
      <w:tr w:rsidR="00913D06" w:rsidRPr="00A9330B" w14:paraId="6AE642ED" w14:textId="77777777" w:rsidTr="00E216F6">
        <w:trPr>
          <w:trHeight w:val="2931"/>
        </w:trPr>
        <w:tc>
          <w:tcPr>
            <w:tcW w:w="834" w:type="pct"/>
          </w:tcPr>
          <w:p w14:paraId="176875A1" w14:textId="77777777" w:rsidR="00EA4914" w:rsidRPr="00A9330B" w:rsidRDefault="00EA4914" w:rsidP="00BE4C78">
            <w:pPr>
              <w:spacing w:before="40" w:line="240" w:lineRule="auto"/>
              <w:rPr>
                <w:rFonts w:cs="Arial"/>
                <w:sz w:val="18"/>
                <w:szCs w:val="18"/>
              </w:rPr>
            </w:pPr>
          </w:p>
          <w:p w14:paraId="3E0935A9" w14:textId="77777777" w:rsidR="00AD0B7B" w:rsidRPr="00A9330B" w:rsidRDefault="00AD0B7B" w:rsidP="00BE4C78">
            <w:pPr>
              <w:spacing w:line="240" w:lineRule="auto"/>
              <w:rPr>
                <w:rFonts w:eastAsia="Calibri" w:cs="Arial"/>
                <w:color w:val="auto"/>
                <w:sz w:val="18"/>
                <w:szCs w:val="18"/>
              </w:rPr>
            </w:pPr>
            <w:r w:rsidRPr="00A9330B">
              <w:rPr>
                <w:rFonts w:eastAsia="Calibri" w:cs="Arial"/>
                <w:sz w:val="18"/>
                <w:szCs w:val="18"/>
              </w:rPr>
              <w:t>I</w:t>
            </w:r>
            <w:r w:rsidRPr="00A9330B">
              <w:rPr>
                <w:rFonts w:eastAsia="Calibri" w:cs="Arial"/>
                <w:spacing w:val="-1"/>
                <w:sz w:val="18"/>
                <w:szCs w:val="18"/>
              </w:rPr>
              <w:t>ns</w:t>
            </w:r>
            <w:r w:rsidRPr="00A9330B">
              <w:rPr>
                <w:rFonts w:eastAsia="Calibri" w:cs="Arial"/>
                <w:sz w:val="18"/>
                <w:szCs w:val="18"/>
              </w:rPr>
              <w:t>ta</w:t>
            </w:r>
            <w:r w:rsidRPr="00A9330B">
              <w:rPr>
                <w:rFonts w:eastAsia="Calibri" w:cs="Arial"/>
                <w:spacing w:val="-1"/>
                <w:sz w:val="18"/>
                <w:szCs w:val="18"/>
              </w:rPr>
              <w:t>l</w:t>
            </w:r>
            <w:r w:rsidRPr="00A9330B">
              <w:rPr>
                <w:rFonts w:eastAsia="Calibri" w:cs="Arial"/>
                <w:sz w:val="18"/>
                <w:szCs w:val="18"/>
              </w:rPr>
              <w:t>lat</w:t>
            </w:r>
            <w:r w:rsidRPr="00A9330B">
              <w:rPr>
                <w:rFonts w:eastAsia="Calibri" w:cs="Arial"/>
                <w:spacing w:val="-1"/>
                <w:sz w:val="18"/>
                <w:szCs w:val="18"/>
              </w:rPr>
              <w:t>i</w:t>
            </w:r>
            <w:r w:rsidRPr="00A9330B">
              <w:rPr>
                <w:rFonts w:eastAsia="Calibri" w:cs="Arial"/>
                <w:spacing w:val="1"/>
                <w:sz w:val="18"/>
                <w:szCs w:val="18"/>
              </w:rPr>
              <w:t>o</w:t>
            </w:r>
            <w:r w:rsidRPr="00A9330B">
              <w:rPr>
                <w:rFonts w:eastAsia="Calibri" w:cs="Arial"/>
                <w:sz w:val="18"/>
                <w:szCs w:val="18"/>
              </w:rPr>
              <w:t>n</w:t>
            </w:r>
            <w:r w:rsidRPr="00A9330B">
              <w:rPr>
                <w:rFonts w:eastAsia="Calibri" w:cs="Arial"/>
                <w:spacing w:val="1"/>
                <w:sz w:val="18"/>
                <w:szCs w:val="18"/>
              </w:rPr>
              <w:t xml:space="preserve"> </w:t>
            </w:r>
            <w:r w:rsidRPr="00A9330B">
              <w:rPr>
                <w:rFonts w:eastAsia="Calibri" w:cs="Arial"/>
                <w:spacing w:val="-1"/>
                <w:sz w:val="18"/>
                <w:szCs w:val="18"/>
              </w:rPr>
              <w:t>d</w:t>
            </w:r>
            <w:r w:rsidRPr="00A9330B">
              <w:rPr>
                <w:rFonts w:eastAsia="Calibri" w:cs="Arial"/>
                <w:sz w:val="18"/>
                <w:szCs w:val="18"/>
              </w:rPr>
              <w:t>e</w:t>
            </w:r>
            <w:r w:rsidRPr="00A9330B">
              <w:rPr>
                <w:rFonts w:eastAsia="Calibri" w:cs="Arial"/>
                <w:spacing w:val="-1"/>
                <w:sz w:val="18"/>
                <w:szCs w:val="18"/>
              </w:rPr>
              <w:t xml:space="preserve"> </w:t>
            </w:r>
            <w:r w:rsidRPr="00A9330B">
              <w:rPr>
                <w:rFonts w:eastAsia="Calibri" w:cs="Arial"/>
                <w:spacing w:val="1"/>
                <w:sz w:val="18"/>
                <w:szCs w:val="18"/>
              </w:rPr>
              <w:t>c</w:t>
            </w:r>
            <w:r w:rsidRPr="00A9330B">
              <w:rPr>
                <w:rFonts w:eastAsia="Calibri" w:cs="Arial"/>
                <w:spacing w:val="-1"/>
                <w:sz w:val="18"/>
                <w:szCs w:val="18"/>
              </w:rPr>
              <w:t>h</w:t>
            </w:r>
            <w:r w:rsidRPr="00A9330B">
              <w:rPr>
                <w:rFonts w:eastAsia="Calibri" w:cs="Arial"/>
                <w:sz w:val="18"/>
                <w:szCs w:val="18"/>
              </w:rPr>
              <w:t>a</w:t>
            </w:r>
            <w:r w:rsidRPr="00A9330B">
              <w:rPr>
                <w:rFonts w:eastAsia="Calibri" w:cs="Arial"/>
                <w:spacing w:val="1"/>
                <w:sz w:val="18"/>
                <w:szCs w:val="18"/>
              </w:rPr>
              <w:t>n</w:t>
            </w:r>
            <w:r w:rsidRPr="00A9330B">
              <w:rPr>
                <w:rFonts w:eastAsia="Calibri" w:cs="Arial"/>
                <w:sz w:val="18"/>
                <w:szCs w:val="18"/>
              </w:rPr>
              <w:t>t</w:t>
            </w:r>
            <w:r w:rsidRPr="00A9330B">
              <w:rPr>
                <w:rFonts w:eastAsia="Calibri" w:cs="Arial"/>
                <w:spacing w:val="-1"/>
                <w:sz w:val="18"/>
                <w:szCs w:val="18"/>
              </w:rPr>
              <w:t>ie</w:t>
            </w:r>
            <w:r w:rsidRPr="00A9330B">
              <w:rPr>
                <w:rFonts w:eastAsia="Calibri" w:cs="Arial"/>
                <w:sz w:val="18"/>
                <w:szCs w:val="18"/>
              </w:rPr>
              <w:t>r</w:t>
            </w:r>
            <w:r w:rsidRPr="00A9330B" w:rsidDel="00595ADB">
              <w:rPr>
                <w:rFonts w:eastAsia="Calibri" w:cs="Arial"/>
                <w:sz w:val="18"/>
                <w:szCs w:val="18"/>
              </w:rPr>
              <w:t xml:space="preserve"> </w:t>
            </w:r>
            <w:r w:rsidRPr="00A9330B">
              <w:rPr>
                <w:rFonts w:eastAsia="Calibri" w:cs="Arial"/>
                <w:sz w:val="18"/>
                <w:szCs w:val="18"/>
              </w:rPr>
              <w:t>/</w:t>
            </w:r>
            <w:r w:rsidRPr="00A9330B">
              <w:rPr>
                <w:rFonts w:eastAsia="Calibri" w:cs="Arial"/>
                <w:color w:val="auto"/>
                <w:sz w:val="18"/>
                <w:szCs w:val="18"/>
              </w:rPr>
              <w:t xml:space="preserve"> Installation des bases vie</w:t>
            </w:r>
            <w:r w:rsidRPr="00A9330B">
              <w:rPr>
                <w:rFonts w:eastAsia="Calibri" w:cs="Arial"/>
                <w:sz w:val="18"/>
                <w:szCs w:val="18"/>
              </w:rPr>
              <w:t>/signalisation de l’entreprise</w:t>
            </w:r>
          </w:p>
          <w:p w14:paraId="48910C04" w14:textId="738485AD" w:rsidR="00EA4914" w:rsidRPr="00A9330B" w:rsidRDefault="00EA4914" w:rsidP="00BE4C78">
            <w:pPr>
              <w:spacing w:before="40" w:line="240" w:lineRule="auto"/>
              <w:rPr>
                <w:rFonts w:cs="Arial"/>
                <w:sz w:val="18"/>
                <w:szCs w:val="18"/>
              </w:rPr>
            </w:pPr>
          </w:p>
        </w:tc>
        <w:tc>
          <w:tcPr>
            <w:tcW w:w="1611" w:type="pct"/>
          </w:tcPr>
          <w:p w14:paraId="1BD59FAE" w14:textId="198A5999" w:rsidR="00AD0B7B" w:rsidRPr="00A9330B" w:rsidRDefault="00AD0B7B" w:rsidP="000F7BA7">
            <w:pPr>
              <w:spacing w:line="240" w:lineRule="auto"/>
              <w:jc w:val="both"/>
              <w:rPr>
                <w:rFonts w:eastAsia="Calibri" w:cs="Arial"/>
                <w:color w:val="auto"/>
                <w:sz w:val="18"/>
                <w:szCs w:val="18"/>
              </w:rPr>
            </w:pPr>
            <w:r w:rsidRPr="00A9330B">
              <w:rPr>
                <w:rFonts w:eastAsia="Calibri" w:cs="Arial"/>
                <w:color w:val="auto"/>
                <w:sz w:val="18"/>
                <w:szCs w:val="18"/>
              </w:rPr>
              <w:t>Installation propre aux Entreprises</w:t>
            </w:r>
            <w:r w:rsidRPr="00A9330B">
              <w:rPr>
                <w:rFonts w:eastAsia="Calibri" w:cs="Arial"/>
                <w:color w:val="auto"/>
                <w:sz w:val="18"/>
                <w:szCs w:val="18"/>
              </w:rPr>
              <w:br/>
              <w:t>Identification des bases vie</w:t>
            </w:r>
          </w:p>
          <w:p w14:paraId="6D5B9D77" w14:textId="77777777" w:rsidR="00AD0B7B" w:rsidRPr="00A9330B" w:rsidRDefault="00AD0B7B" w:rsidP="000F7BA7">
            <w:pPr>
              <w:spacing w:line="240" w:lineRule="auto"/>
              <w:jc w:val="both"/>
              <w:rPr>
                <w:rFonts w:eastAsia="Calibri" w:cs="Arial"/>
                <w:color w:val="auto"/>
                <w:sz w:val="18"/>
                <w:szCs w:val="18"/>
              </w:rPr>
            </w:pPr>
            <w:r w:rsidRPr="00A9330B">
              <w:rPr>
                <w:rFonts w:eastAsia="Calibri" w:cs="Arial"/>
                <w:color w:val="auto"/>
                <w:sz w:val="18"/>
                <w:szCs w:val="18"/>
              </w:rPr>
              <w:t>Travaux topographiques</w:t>
            </w:r>
          </w:p>
          <w:p w14:paraId="6EB4D477" w14:textId="77777777" w:rsidR="00AD0B7B" w:rsidRPr="00A9330B" w:rsidRDefault="00AD0B7B" w:rsidP="000F7BA7">
            <w:pPr>
              <w:spacing w:after="120" w:line="240" w:lineRule="auto"/>
              <w:jc w:val="both"/>
              <w:rPr>
                <w:rFonts w:eastAsia="Calibri" w:cs="Arial"/>
                <w:color w:val="auto"/>
                <w:sz w:val="18"/>
                <w:szCs w:val="18"/>
              </w:rPr>
            </w:pPr>
            <w:r w:rsidRPr="00A9330B">
              <w:rPr>
                <w:rFonts w:eastAsia="Calibri" w:cs="Arial"/>
                <w:color w:val="auto"/>
                <w:sz w:val="18"/>
                <w:szCs w:val="18"/>
              </w:rPr>
              <w:t>Libération des emprises</w:t>
            </w:r>
            <w:r w:rsidRPr="00A9330B">
              <w:rPr>
                <w:rFonts w:eastAsia="Calibri" w:cs="Arial"/>
                <w:color w:val="auto"/>
                <w:sz w:val="18"/>
                <w:szCs w:val="18"/>
              </w:rPr>
              <w:br/>
              <w:t>Nettoyage de site</w:t>
            </w:r>
            <w:r w:rsidRPr="00A9330B">
              <w:rPr>
                <w:rFonts w:eastAsia="Calibri" w:cs="Arial"/>
                <w:color w:val="auto"/>
                <w:sz w:val="18"/>
                <w:szCs w:val="18"/>
              </w:rPr>
              <w:br/>
              <w:t>Débroussaillage – Décapage</w:t>
            </w:r>
            <w:r w:rsidRPr="00A9330B">
              <w:rPr>
                <w:rFonts w:eastAsia="Calibri" w:cs="Arial"/>
                <w:color w:val="auto"/>
                <w:sz w:val="18"/>
                <w:szCs w:val="18"/>
              </w:rPr>
              <w:br/>
              <w:t>Abattage d’arbre</w:t>
            </w:r>
            <w:r w:rsidRPr="00A9330B">
              <w:rPr>
                <w:rFonts w:eastAsia="Calibri" w:cs="Arial"/>
                <w:color w:val="auto"/>
                <w:sz w:val="18"/>
                <w:szCs w:val="18"/>
              </w:rPr>
              <w:br/>
              <w:t>Aménagement de l’aire devant abriter la base vie</w:t>
            </w:r>
          </w:p>
          <w:p w14:paraId="7F86E398" w14:textId="2A47CB59" w:rsidR="00EA4914" w:rsidRPr="00A9330B" w:rsidRDefault="00AD0B7B" w:rsidP="000F7BA7">
            <w:pPr>
              <w:spacing w:before="40" w:line="240" w:lineRule="auto"/>
              <w:jc w:val="both"/>
              <w:rPr>
                <w:rFonts w:cs="Arial"/>
                <w:sz w:val="18"/>
                <w:szCs w:val="18"/>
              </w:rPr>
            </w:pPr>
            <w:r w:rsidRPr="00A9330B">
              <w:rPr>
                <w:rFonts w:eastAsia="Calibri" w:cs="Arial"/>
                <w:color w:val="auto"/>
                <w:sz w:val="18"/>
                <w:szCs w:val="18"/>
              </w:rPr>
              <w:t>Apport des matériels et équipements de chantier</w:t>
            </w:r>
          </w:p>
        </w:tc>
        <w:tc>
          <w:tcPr>
            <w:tcW w:w="227" w:type="pct"/>
            <w:vAlign w:val="center"/>
          </w:tcPr>
          <w:p w14:paraId="74D63EDE" w14:textId="02861F2C" w:rsidR="00EA4914" w:rsidRPr="00A9330B" w:rsidRDefault="00EA4914" w:rsidP="00FB7027">
            <w:pPr>
              <w:spacing w:before="40" w:line="240" w:lineRule="auto"/>
              <w:rPr>
                <w:rFonts w:cs="Arial"/>
                <w:i/>
                <w:sz w:val="18"/>
                <w:szCs w:val="18"/>
              </w:rPr>
            </w:pPr>
            <w:r w:rsidRPr="00A9330B">
              <w:rPr>
                <w:rFonts w:cs="Arial"/>
                <w:i/>
                <w:sz w:val="18"/>
                <w:szCs w:val="18"/>
              </w:rPr>
              <w:t>X</w:t>
            </w:r>
          </w:p>
        </w:tc>
        <w:tc>
          <w:tcPr>
            <w:tcW w:w="227" w:type="pct"/>
            <w:vAlign w:val="center"/>
          </w:tcPr>
          <w:p w14:paraId="5A36C634" w14:textId="408B03FB" w:rsidR="00EA4914" w:rsidRPr="00A9330B" w:rsidRDefault="00EA4914" w:rsidP="00FB7027">
            <w:pPr>
              <w:spacing w:before="40" w:line="240" w:lineRule="auto"/>
              <w:rPr>
                <w:rFonts w:cs="Arial"/>
                <w:i/>
                <w:sz w:val="18"/>
                <w:szCs w:val="18"/>
              </w:rPr>
            </w:pPr>
            <w:r w:rsidRPr="00A9330B">
              <w:rPr>
                <w:rFonts w:cs="Arial"/>
                <w:i/>
                <w:sz w:val="18"/>
                <w:szCs w:val="18"/>
              </w:rPr>
              <w:t>X</w:t>
            </w:r>
          </w:p>
        </w:tc>
        <w:tc>
          <w:tcPr>
            <w:tcW w:w="227" w:type="pct"/>
            <w:vAlign w:val="center"/>
          </w:tcPr>
          <w:p w14:paraId="025EA6F7" w14:textId="77777777" w:rsidR="00EA4914" w:rsidRPr="00A9330B" w:rsidRDefault="00EA4914" w:rsidP="00E7483D">
            <w:pPr>
              <w:spacing w:before="40" w:line="240" w:lineRule="auto"/>
              <w:rPr>
                <w:rFonts w:cs="Arial"/>
                <w:i/>
                <w:sz w:val="18"/>
                <w:szCs w:val="18"/>
              </w:rPr>
            </w:pPr>
          </w:p>
        </w:tc>
        <w:tc>
          <w:tcPr>
            <w:tcW w:w="227" w:type="pct"/>
            <w:vAlign w:val="center"/>
          </w:tcPr>
          <w:p w14:paraId="0437FEB1" w14:textId="56F12100" w:rsidR="00EA4914" w:rsidRPr="00A9330B" w:rsidRDefault="00EA4914" w:rsidP="00FB7027">
            <w:pPr>
              <w:spacing w:before="40" w:line="240" w:lineRule="auto"/>
              <w:rPr>
                <w:rFonts w:cs="Arial"/>
                <w:i/>
                <w:sz w:val="18"/>
                <w:szCs w:val="18"/>
              </w:rPr>
            </w:pPr>
            <w:r w:rsidRPr="00A9330B">
              <w:rPr>
                <w:rFonts w:cs="Arial"/>
                <w:i/>
                <w:sz w:val="18"/>
                <w:szCs w:val="18"/>
              </w:rPr>
              <w:t>X</w:t>
            </w:r>
          </w:p>
        </w:tc>
        <w:tc>
          <w:tcPr>
            <w:tcW w:w="227" w:type="pct"/>
            <w:vAlign w:val="center"/>
          </w:tcPr>
          <w:p w14:paraId="73327F2D" w14:textId="6730E216" w:rsidR="00EA4914" w:rsidRPr="00A9330B" w:rsidRDefault="00EA4914" w:rsidP="00FB7027">
            <w:pPr>
              <w:spacing w:before="40" w:line="240" w:lineRule="auto"/>
              <w:rPr>
                <w:rFonts w:cs="Arial"/>
                <w:i/>
                <w:sz w:val="18"/>
                <w:szCs w:val="18"/>
              </w:rPr>
            </w:pPr>
            <w:r w:rsidRPr="00A9330B">
              <w:rPr>
                <w:rFonts w:cs="Arial"/>
                <w:i/>
                <w:sz w:val="18"/>
                <w:szCs w:val="18"/>
              </w:rPr>
              <w:t>X</w:t>
            </w:r>
          </w:p>
        </w:tc>
        <w:tc>
          <w:tcPr>
            <w:tcW w:w="227" w:type="pct"/>
            <w:vAlign w:val="center"/>
          </w:tcPr>
          <w:p w14:paraId="7345DEFD" w14:textId="40ABEF26" w:rsidR="00EA4914" w:rsidRPr="00A9330B" w:rsidRDefault="00EA4914" w:rsidP="00FB7027">
            <w:pPr>
              <w:spacing w:before="40" w:line="240" w:lineRule="auto"/>
              <w:rPr>
                <w:rFonts w:cs="Arial"/>
                <w:i/>
                <w:sz w:val="18"/>
                <w:szCs w:val="18"/>
              </w:rPr>
            </w:pPr>
            <w:r w:rsidRPr="00A9330B">
              <w:rPr>
                <w:rFonts w:cs="Arial"/>
                <w:i/>
                <w:sz w:val="18"/>
                <w:szCs w:val="18"/>
              </w:rPr>
              <w:t>X</w:t>
            </w:r>
          </w:p>
        </w:tc>
        <w:tc>
          <w:tcPr>
            <w:tcW w:w="227" w:type="pct"/>
            <w:vAlign w:val="center"/>
          </w:tcPr>
          <w:p w14:paraId="5A88985A" w14:textId="01E11249" w:rsidR="00EA4914" w:rsidRPr="00A9330B" w:rsidRDefault="00EA4914" w:rsidP="00FB7027">
            <w:pPr>
              <w:spacing w:before="40" w:line="240" w:lineRule="auto"/>
              <w:rPr>
                <w:rFonts w:cs="Arial"/>
                <w:i/>
                <w:sz w:val="18"/>
                <w:szCs w:val="18"/>
              </w:rPr>
            </w:pPr>
            <w:r w:rsidRPr="00A9330B">
              <w:rPr>
                <w:rFonts w:cs="Arial"/>
                <w:i/>
                <w:sz w:val="18"/>
                <w:szCs w:val="18"/>
              </w:rPr>
              <w:t>X</w:t>
            </w:r>
          </w:p>
        </w:tc>
        <w:tc>
          <w:tcPr>
            <w:tcW w:w="227" w:type="pct"/>
            <w:vAlign w:val="center"/>
          </w:tcPr>
          <w:p w14:paraId="4549AC0E" w14:textId="692C094B" w:rsidR="00EA4914" w:rsidRPr="00A9330B" w:rsidRDefault="00EA4914" w:rsidP="00FB7027">
            <w:pPr>
              <w:spacing w:before="40" w:line="240" w:lineRule="auto"/>
              <w:rPr>
                <w:rFonts w:cs="Arial"/>
                <w:i/>
                <w:sz w:val="18"/>
                <w:szCs w:val="18"/>
              </w:rPr>
            </w:pPr>
            <w:r w:rsidRPr="00A9330B">
              <w:rPr>
                <w:rFonts w:cs="Arial"/>
                <w:i/>
                <w:sz w:val="18"/>
                <w:szCs w:val="18"/>
              </w:rPr>
              <w:t>X</w:t>
            </w:r>
          </w:p>
        </w:tc>
        <w:tc>
          <w:tcPr>
            <w:tcW w:w="227" w:type="pct"/>
            <w:vAlign w:val="center"/>
          </w:tcPr>
          <w:p w14:paraId="365A7C7D" w14:textId="3795C4BD" w:rsidR="00EA4914" w:rsidRPr="00A9330B" w:rsidRDefault="00EA4914" w:rsidP="00FB7027">
            <w:pPr>
              <w:spacing w:before="40" w:line="240" w:lineRule="auto"/>
              <w:rPr>
                <w:rFonts w:cs="Arial"/>
                <w:i/>
                <w:sz w:val="18"/>
                <w:szCs w:val="18"/>
              </w:rPr>
            </w:pPr>
            <w:r w:rsidRPr="00A9330B">
              <w:rPr>
                <w:rFonts w:cs="Arial"/>
                <w:i/>
                <w:sz w:val="18"/>
                <w:szCs w:val="18"/>
              </w:rPr>
              <w:t>X</w:t>
            </w:r>
          </w:p>
        </w:tc>
        <w:tc>
          <w:tcPr>
            <w:tcW w:w="227" w:type="pct"/>
            <w:gridSpan w:val="2"/>
            <w:vAlign w:val="center"/>
          </w:tcPr>
          <w:p w14:paraId="4866945C" w14:textId="708EED2F" w:rsidR="00EA4914" w:rsidRPr="00A9330B" w:rsidRDefault="00EA4914" w:rsidP="00FB7027">
            <w:pPr>
              <w:spacing w:before="40" w:line="240" w:lineRule="auto"/>
              <w:rPr>
                <w:rFonts w:cs="Arial"/>
                <w:i/>
                <w:sz w:val="18"/>
                <w:szCs w:val="18"/>
              </w:rPr>
            </w:pPr>
            <w:r w:rsidRPr="00A9330B">
              <w:rPr>
                <w:rFonts w:cs="Arial"/>
                <w:i/>
                <w:sz w:val="18"/>
                <w:szCs w:val="18"/>
              </w:rPr>
              <w:t>X</w:t>
            </w:r>
          </w:p>
        </w:tc>
        <w:tc>
          <w:tcPr>
            <w:tcW w:w="285" w:type="pct"/>
            <w:vAlign w:val="center"/>
          </w:tcPr>
          <w:p w14:paraId="22567C2B" w14:textId="77777777" w:rsidR="00EA4914" w:rsidRPr="00A9330B" w:rsidRDefault="00EA4914" w:rsidP="00E7483D">
            <w:pPr>
              <w:spacing w:before="40" w:line="240" w:lineRule="auto"/>
              <w:rPr>
                <w:rFonts w:cs="Arial"/>
                <w:i/>
                <w:sz w:val="18"/>
                <w:szCs w:val="18"/>
              </w:rPr>
            </w:pPr>
          </w:p>
        </w:tc>
      </w:tr>
      <w:tr w:rsidR="001053D5" w:rsidRPr="00A9330B" w14:paraId="3D6EFA84" w14:textId="77777777" w:rsidTr="00E216F6">
        <w:trPr>
          <w:trHeight w:val="163"/>
        </w:trPr>
        <w:tc>
          <w:tcPr>
            <w:tcW w:w="834" w:type="pct"/>
          </w:tcPr>
          <w:p w14:paraId="7304982F" w14:textId="77777777" w:rsidR="001053D5" w:rsidRPr="00A9330B" w:rsidRDefault="001053D5" w:rsidP="00BE4C78">
            <w:pPr>
              <w:spacing w:before="40" w:line="240" w:lineRule="auto"/>
              <w:rPr>
                <w:rFonts w:cs="Arial"/>
                <w:sz w:val="18"/>
                <w:szCs w:val="18"/>
              </w:rPr>
            </w:pPr>
          </w:p>
          <w:p w14:paraId="124F2E4D" w14:textId="77777777" w:rsidR="001053D5" w:rsidRPr="00A9330B" w:rsidRDefault="001053D5" w:rsidP="00BE4C78">
            <w:pPr>
              <w:spacing w:before="40" w:line="240" w:lineRule="auto"/>
              <w:rPr>
                <w:rFonts w:cs="Arial"/>
                <w:sz w:val="18"/>
                <w:szCs w:val="18"/>
              </w:rPr>
            </w:pPr>
            <w:r w:rsidRPr="00A9330B">
              <w:rPr>
                <w:rFonts w:cs="Arial"/>
                <w:sz w:val="18"/>
                <w:szCs w:val="18"/>
              </w:rPr>
              <w:t xml:space="preserve">Libération des emprises </w:t>
            </w:r>
          </w:p>
        </w:tc>
        <w:tc>
          <w:tcPr>
            <w:tcW w:w="1611" w:type="pct"/>
          </w:tcPr>
          <w:p w14:paraId="02AFF0C1" w14:textId="77777777" w:rsidR="001053D5" w:rsidRPr="00A9330B" w:rsidRDefault="001053D5" w:rsidP="000F7BA7">
            <w:pPr>
              <w:spacing w:before="40" w:line="240" w:lineRule="auto"/>
              <w:jc w:val="both"/>
              <w:rPr>
                <w:rFonts w:cs="Arial"/>
                <w:sz w:val="18"/>
                <w:szCs w:val="18"/>
              </w:rPr>
            </w:pPr>
            <w:r w:rsidRPr="00A9330B">
              <w:rPr>
                <w:rFonts w:cs="Arial"/>
                <w:sz w:val="18"/>
                <w:szCs w:val="18"/>
              </w:rPr>
              <w:t>Déplacement des installations, biens et activités présents dans l’emprise</w:t>
            </w:r>
          </w:p>
          <w:p w14:paraId="32B3D91B" w14:textId="77777777" w:rsidR="001053D5" w:rsidRPr="00A9330B" w:rsidRDefault="001053D5" w:rsidP="000F7BA7">
            <w:pPr>
              <w:spacing w:before="40" w:line="240" w:lineRule="auto"/>
              <w:jc w:val="both"/>
              <w:rPr>
                <w:rFonts w:eastAsia="Times New Roman" w:cs="Arial"/>
                <w:sz w:val="18"/>
                <w:szCs w:val="18"/>
                <w:lang w:eastAsia="de-DE"/>
              </w:rPr>
            </w:pPr>
            <w:r w:rsidRPr="00A9330B">
              <w:rPr>
                <w:rFonts w:eastAsia="Times New Roman" w:cs="Arial"/>
                <w:sz w:val="18"/>
                <w:szCs w:val="18"/>
                <w:lang w:eastAsia="de-DE"/>
              </w:rPr>
              <w:t>Déplacement de réseaux</w:t>
            </w:r>
          </w:p>
          <w:p w14:paraId="389CB51B" w14:textId="77777777" w:rsidR="001053D5" w:rsidRPr="00A9330B" w:rsidRDefault="001053D5" w:rsidP="000F7BA7">
            <w:pPr>
              <w:spacing w:before="40" w:line="240" w:lineRule="auto"/>
              <w:jc w:val="both"/>
              <w:rPr>
                <w:rFonts w:eastAsia="Times New Roman" w:cs="Arial"/>
                <w:sz w:val="18"/>
                <w:szCs w:val="18"/>
                <w:lang w:eastAsia="de-DE"/>
              </w:rPr>
            </w:pPr>
            <w:r w:rsidRPr="00A9330B">
              <w:rPr>
                <w:rFonts w:eastAsia="Times New Roman" w:cs="Arial"/>
                <w:sz w:val="18"/>
                <w:szCs w:val="18"/>
                <w:lang w:eastAsia="de-DE"/>
              </w:rPr>
              <w:t>Abattage d’arbres</w:t>
            </w:r>
          </w:p>
          <w:p w14:paraId="6EDCA48C" w14:textId="77777777" w:rsidR="001053D5" w:rsidRPr="00A9330B" w:rsidRDefault="001053D5" w:rsidP="000F7BA7">
            <w:pPr>
              <w:spacing w:before="40" w:line="240" w:lineRule="auto"/>
              <w:jc w:val="both"/>
              <w:rPr>
                <w:rFonts w:eastAsia="Times New Roman" w:cs="Arial"/>
                <w:sz w:val="18"/>
                <w:szCs w:val="18"/>
                <w:lang w:eastAsia="de-DE"/>
              </w:rPr>
            </w:pPr>
            <w:r w:rsidRPr="00A9330B">
              <w:rPr>
                <w:rFonts w:eastAsia="Times New Roman" w:cs="Arial"/>
                <w:sz w:val="18"/>
                <w:szCs w:val="18"/>
                <w:lang w:eastAsia="de-DE"/>
              </w:rPr>
              <w:t>Destruction de plantations</w:t>
            </w:r>
          </w:p>
          <w:p w14:paraId="21A1839A" w14:textId="77777777" w:rsidR="001053D5" w:rsidRPr="00A9330B" w:rsidRDefault="001053D5" w:rsidP="000F7BA7">
            <w:pPr>
              <w:spacing w:before="40" w:line="240" w:lineRule="auto"/>
              <w:jc w:val="both"/>
              <w:rPr>
                <w:rFonts w:eastAsia="Times New Roman" w:cs="Arial"/>
                <w:sz w:val="18"/>
                <w:szCs w:val="18"/>
                <w:lang w:eastAsia="de-DE"/>
              </w:rPr>
            </w:pPr>
            <w:r w:rsidRPr="00A9330B">
              <w:rPr>
                <w:rFonts w:eastAsia="Times New Roman" w:cs="Arial"/>
                <w:sz w:val="18"/>
                <w:szCs w:val="18"/>
                <w:lang w:eastAsia="de-DE"/>
              </w:rPr>
              <w:t>Démolition ou déplacement d’équipements</w:t>
            </w:r>
          </w:p>
          <w:p w14:paraId="4C425E6C" w14:textId="77777777" w:rsidR="001053D5" w:rsidRPr="00A9330B" w:rsidRDefault="001053D5" w:rsidP="000F7BA7">
            <w:pPr>
              <w:spacing w:before="40" w:line="240" w:lineRule="auto"/>
              <w:jc w:val="both"/>
              <w:rPr>
                <w:rFonts w:eastAsia="Times New Roman" w:cs="Arial"/>
                <w:sz w:val="18"/>
                <w:szCs w:val="18"/>
                <w:lang w:eastAsia="de-DE"/>
              </w:rPr>
            </w:pPr>
            <w:r w:rsidRPr="00A9330B">
              <w:rPr>
                <w:rFonts w:eastAsia="Times New Roman" w:cs="Arial"/>
                <w:sz w:val="18"/>
                <w:szCs w:val="18"/>
                <w:lang w:eastAsia="de-DE"/>
              </w:rPr>
              <w:t xml:space="preserve">Déplacement et Démolition des infrastructures et bâtiments dans l’emprise  </w:t>
            </w:r>
          </w:p>
        </w:tc>
        <w:tc>
          <w:tcPr>
            <w:tcW w:w="227" w:type="pct"/>
            <w:vAlign w:val="center"/>
          </w:tcPr>
          <w:p w14:paraId="292D26E8" w14:textId="77777777" w:rsidR="001053D5" w:rsidRPr="00A9330B" w:rsidRDefault="001053D5" w:rsidP="001053D5">
            <w:pPr>
              <w:spacing w:before="40" w:line="240" w:lineRule="auto"/>
              <w:rPr>
                <w:rFonts w:cs="Arial"/>
                <w:i/>
                <w:sz w:val="18"/>
                <w:szCs w:val="18"/>
              </w:rPr>
            </w:pPr>
            <w:r w:rsidRPr="00A9330B">
              <w:rPr>
                <w:rFonts w:cs="Arial"/>
                <w:i/>
                <w:sz w:val="18"/>
                <w:szCs w:val="18"/>
              </w:rPr>
              <w:t>X</w:t>
            </w:r>
          </w:p>
        </w:tc>
        <w:tc>
          <w:tcPr>
            <w:tcW w:w="227" w:type="pct"/>
            <w:vAlign w:val="center"/>
          </w:tcPr>
          <w:p w14:paraId="443A6BAC" w14:textId="77777777" w:rsidR="001053D5" w:rsidRPr="00A9330B" w:rsidRDefault="001053D5" w:rsidP="001053D5">
            <w:pPr>
              <w:spacing w:before="40" w:line="240" w:lineRule="auto"/>
              <w:rPr>
                <w:rFonts w:cs="Arial"/>
                <w:i/>
                <w:sz w:val="18"/>
                <w:szCs w:val="18"/>
              </w:rPr>
            </w:pPr>
            <w:r w:rsidRPr="00A9330B">
              <w:rPr>
                <w:rFonts w:cs="Arial"/>
                <w:i/>
                <w:sz w:val="18"/>
                <w:szCs w:val="18"/>
              </w:rPr>
              <w:t>X</w:t>
            </w:r>
          </w:p>
        </w:tc>
        <w:tc>
          <w:tcPr>
            <w:tcW w:w="227" w:type="pct"/>
            <w:vAlign w:val="center"/>
          </w:tcPr>
          <w:p w14:paraId="104173B6" w14:textId="77777777" w:rsidR="001053D5" w:rsidRPr="00A9330B" w:rsidRDefault="001053D5" w:rsidP="001053D5">
            <w:pPr>
              <w:spacing w:before="40" w:line="240" w:lineRule="auto"/>
              <w:rPr>
                <w:rFonts w:cs="Arial"/>
                <w:i/>
                <w:sz w:val="18"/>
                <w:szCs w:val="18"/>
              </w:rPr>
            </w:pPr>
            <w:r w:rsidRPr="00A9330B">
              <w:rPr>
                <w:rFonts w:cs="Arial"/>
                <w:i/>
                <w:sz w:val="18"/>
                <w:szCs w:val="18"/>
              </w:rPr>
              <w:t>X</w:t>
            </w:r>
          </w:p>
        </w:tc>
        <w:tc>
          <w:tcPr>
            <w:tcW w:w="227" w:type="pct"/>
            <w:vAlign w:val="center"/>
          </w:tcPr>
          <w:p w14:paraId="3A00D8DF" w14:textId="77777777" w:rsidR="001053D5" w:rsidRPr="00A9330B" w:rsidRDefault="001053D5" w:rsidP="001053D5">
            <w:pPr>
              <w:spacing w:before="40" w:line="240" w:lineRule="auto"/>
              <w:rPr>
                <w:rFonts w:cs="Arial"/>
                <w:i/>
                <w:sz w:val="18"/>
                <w:szCs w:val="18"/>
              </w:rPr>
            </w:pPr>
            <w:r w:rsidRPr="00A9330B">
              <w:rPr>
                <w:rFonts w:cs="Arial"/>
                <w:i/>
                <w:sz w:val="18"/>
                <w:szCs w:val="18"/>
              </w:rPr>
              <w:t>X</w:t>
            </w:r>
          </w:p>
        </w:tc>
        <w:tc>
          <w:tcPr>
            <w:tcW w:w="227" w:type="pct"/>
            <w:vAlign w:val="center"/>
          </w:tcPr>
          <w:p w14:paraId="4D8CAEFD" w14:textId="77777777" w:rsidR="001053D5" w:rsidRPr="00A9330B" w:rsidRDefault="001053D5" w:rsidP="001053D5">
            <w:pPr>
              <w:spacing w:before="40" w:line="240" w:lineRule="auto"/>
              <w:rPr>
                <w:rFonts w:cs="Arial"/>
                <w:i/>
                <w:sz w:val="18"/>
                <w:szCs w:val="18"/>
              </w:rPr>
            </w:pPr>
            <w:r w:rsidRPr="00A9330B">
              <w:rPr>
                <w:rFonts w:cs="Arial"/>
                <w:i/>
                <w:sz w:val="18"/>
                <w:szCs w:val="18"/>
              </w:rPr>
              <w:t>X</w:t>
            </w:r>
          </w:p>
        </w:tc>
        <w:tc>
          <w:tcPr>
            <w:tcW w:w="227" w:type="pct"/>
            <w:vAlign w:val="center"/>
          </w:tcPr>
          <w:p w14:paraId="292200CB" w14:textId="77777777" w:rsidR="001053D5" w:rsidRPr="00A9330B" w:rsidRDefault="001053D5" w:rsidP="001053D5">
            <w:pPr>
              <w:spacing w:before="40" w:line="240" w:lineRule="auto"/>
              <w:rPr>
                <w:rFonts w:cs="Arial"/>
                <w:i/>
                <w:sz w:val="18"/>
                <w:szCs w:val="18"/>
              </w:rPr>
            </w:pPr>
            <w:r w:rsidRPr="00A9330B">
              <w:rPr>
                <w:rFonts w:cs="Arial"/>
                <w:i/>
                <w:sz w:val="18"/>
                <w:szCs w:val="18"/>
              </w:rPr>
              <w:t>X</w:t>
            </w:r>
          </w:p>
        </w:tc>
        <w:tc>
          <w:tcPr>
            <w:tcW w:w="227" w:type="pct"/>
            <w:vAlign w:val="center"/>
          </w:tcPr>
          <w:p w14:paraId="18854045" w14:textId="77777777" w:rsidR="001053D5" w:rsidRPr="00A9330B" w:rsidRDefault="001053D5" w:rsidP="001053D5">
            <w:pPr>
              <w:spacing w:before="40" w:line="240" w:lineRule="auto"/>
              <w:rPr>
                <w:rFonts w:cs="Arial"/>
                <w:i/>
                <w:sz w:val="18"/>
                <w:szCs w:val="18"/>
              </w:rPr>
            </w:pPr>
            <w:r w:rsidRPr="00A9330B">
              <w:rPr>
                <w:rFonts w:cs="Arial"/>
                <w:i/>
                <w:sz w:val="18"/>
                <w:szCs w:val="18"/>
              </w:rPr>
              <w:t>X</w:t>
            </w:r>
          </w:p>
        </w:tc>
        <w:tc>
          <w:tcPr>
            <w:tcW w:w="227" w:type="pct"/>
            <w:vAlign w:val="center"/>
          </w:tcPr>
          <w:p w14:paraId="4AFF4659" w14:textId="77777777" w:rsidR="001053D5" w:rsidRPr="00A9330B" w:rsidRDefault="001053D5" w:rsidP="001053D5">
            <w:pPr>
              <w:spacing w:before="40" w:line="240" w:lineRule="auto"/>
              <w:rPr>
                <w:rFonts w:cs="Arial"/>
                <w:i/>
                <w:sz w:val="18"/>
                <w:szCs w:val="18"/>
              </w:rPr>
            </w:pPr>
            <w:r w:rsidRPr="00A9330B">
              <w:rPr>
                <w:rFonts w:cs="Arial"/>
                <w:i/>
                <w:sz w:val="18"/>
                <w:szCs w:val="18"/>
              </w:rPr>
              <w:t>X</w:t>
            </w:r>
          </w:p>
        </w:tc>
        <w:tc>
          <w:tcPr>
            <w:tcW w:w="227" w:type="pct"/>
            <w:vAlign w:val="center"/>
          </w:tcPr>
          <w:p w14:paraId="3E3A8F69" w14:textId="77777777" w:rsidR="001053D5" w:rsidRPr="00A9330B" w:rsidRDefault="001053D5" w:rsidP="001053D5">
            <w:pPr>
              <w:spacing w:before="40" w:line="240" w:lineRule="auto"/>
              <w:rPr>
                <w:rFonts w:cs="Arial"/>
                <w:i/>
                <w:sz w:val="18"/>
                <w:szCs w:val="18"/>
              </w:rPr>
            </w:pPr>
            <w:r w:rsidRPr="00A9330B">
              <w:rPr>
                <w:rFonts w:cs="Arial"/>
                <w:i/>
                <w:sz w:val="18"/>
                <w:szCs w:val="18"/>
              </w:rPr>
              <w:t>X</w:t>
            </w:r>
          </w:p>
        </w:tc>
        <w:tc>
          <w:tcPr>
            <w:tcW w:w="227" w:type="pct"/>
            <w:gridSpan w:val="2"/>
            <w:vAlign w:val="center"/>
          </w:tcPr>
          <w:p w14:paraId="679C8922" w14:textId="77777777" w:rsidR="001053D5" w:rsidRPr="00A9330B" w:rsidRDefault="001053D5" w:rsidP="001053D5">
            <w:pPr>
              <w:spacing w:before="40" w:line="240" w:lineRule="auto"/>
              <w:rPr>
                <w:rFonts w:cs="Arial"/>
                <w:i/>
                <w:sz w:val="18"/>
                <w:szCs w:val="18"/>
              </w:rPr>
            </w:pPr>
            <w:r w:rsidRPr="00A9330B">
              <w:rPr>
                <w:rFonts w:cs="Arial"/>
                <w:i/>
                <w:sz w:val="18"/>
                <w:szCs w:val="18"/>
              </w:rPr>
              <w:t>X</w:t>
            </w:r>
          </w:p>
        </w:tc>
        <w:tc>
          <w:tcPr>
            <w:tcW w:w="285" w:type="pct"/>
            <w:vAlign w:val="center"/>
          </w:tcPr>
          <w:p w14:paraId="7B45BCF5" w14:textId="77777777" w:rsidR="001053D5" w:rsidRPr="00A9330B" w:rsidRDefault="001053D5" w:rsidP="001053D5">
            <w:pPr>
              <w:spacing w:before="40" w:line="240" w:lineRule="auto"/>
              <w:rPr>
                <w:rFonts w:cs="Arial"/>
                <w:i/>
                <w:sz w:val="18"/>
                <w:szCs w:val="18"/>
              </w:rPr>
            </w:pPr>
            <w:r w:rsidRPr="00A9330B">
              <w:rPr>
                <w:rFonts w:cs="Arial"/>
                <w:i/>
                <w:sz w:val="18"/>
                <w:szCs w:val="18"/>
              </w:rPr>
              <w:t>X</w:t>
            </w:r>
          </w:p>
        </w:tc>
      </w:tr>
      <w:tr w:rsidR="00913D06" w:rsidRPr="00A9330B" w14:paraId="7CD981BC" w14:textId="77777777" w:rsidTr="00E216F6">
        <w:trPr>
          <w:trHeight w:val="163"/>
        </w:trPr>
        <w:tc>
          <w:tcPr>
            <w:tcW w:w="834" w:type="pct"/>
          </w:tcPr>
          <w:p w14:paraId="6083D15E" w14:textId="77777777" w:rsidR="00401546" w:rsidRPr="00A9330B" w:rsidRDefault="00401546" w:rsidP="00BE4C78">
            <w:pPr>
              <w:spacing w:before="40" w:line="240" w:lineRule="auto"/>
              <w:rPr>
                <w:rFonts w:cs="Arial"/>
                <w:sz w:val="18"/>
                <w:szCs w:val="18"/>
              </w:rPr>
            </w:pPr>
            <w:r w:rsidRPr="00A9330B">
              <w:rPr>
                <w:rFonts w:cs="Arial"/>
                <w:sz w:val="18"/>
                <w:szCs w:val="18"/>
              </w:rPr>
              <w:lastRenderedPageBreak/>
              <w:t>Déplacement éventuel de réseaux</w:t>
            </w:r>
          </w:p>
        </w:tc>
        <w:tc>
          <w:tcPr>
            <w:tcW w:w="1611" w:type="pct"/>
          </w:tcPr>
          <w:p w14:paraId="3C03F989" w14:textId="77777777" w:rsidR="00401546" w:rsidRPr="00A9330B" w:rsidRDefault="00401546" w:rsidP="000F7BA7">
            <w:pPr>
              <w:spacing w:before="40" w:line="240" w:lineRule="auto"/>
              <w:jc w:val="both"/>
              <w:rPr>
                <w:rFonts w:cs="Arial"/>
                <w:sz w:val="18"/>
                <w:szCs w:val="18"/>
              </w:rPr>
            </w:pPr>
            <w:r w:rsidRPr="00A9330B">
              <w:rPr>
                <w:rFonts w:cs="Arial"/>
                <w:sz w:val="18"/>
                <w:szCs w:val="18"/>
              </w:rPr>
              <w:t xml:space="preserve">Sondage pour reconnaissance de réseaux </w:t>
            </w:r>
          </w:p>
          <w:p w14:paraId="7F88D64E" w14:textId="77777777" w:rsidR="00401546" w:rsidRPr="00A9330B" w:rsidRDefault="00401546" w:rsidP="000F7BA7">
            <w:pPr>
              <w:spacing w:before="40" w:line="240" w:lineRule="auto"/>
              <w:jc w:val="both"/>
              <w:rPr>
                <w:rFonts w:cs="Arial"/>
                <w:sz w:val="18"/>
                <w:szCs w:val="18"/>
              </w:rPr>
            </w:pPr>
            <w:r w:rsidRPr="00A9330B">
              <w:rPr>
                <w:rFonts w:cs="Arial"/>
                <w:sz w:val="18"/>
                <w:szCs w:val="18"/>
              </w:rPr>
              <w:t>Déplacement de réseaux exceptionnels</w:t>
            </w:r>
          </w:p>
        </w:tc>
        <w:tc>
          <w:tcPr>
            <w:tcW w:w="227" w:type="pct"/>
            <w:vAlign w:val="center"/>
          </w:tcPr>
          <w:p w14:paraId="3F9270DD" w14:textId="77777777" w:rsidR="00401546" w:rsidRPr="00A9330B" w:rsidRDefault="00401546" w:rsidP="00E7483D">
            <w:pPr>
              <w:spacing w:before="40" w:line="240" w:lineRule="auto"/>
              <w:rPr>
                <w:rFonts w:cs="Arial"/>
                <w:i/>
                <w:sz w:val="18"/>
                <w:szCs w:val="18"/>
              </w:rPr>
            </w:pPr>
            <w:r w:rsidRPr="00A9330B">
              <w:rPr>
                <w:rFonts w:cs="Arial"/>
                <w:i/>
                <w:sz w:val="18"/>
                <w:szCs w:val="18"/>
              </w:rPr>
              <w:t>X</w:t>
            </w:r>
          </w:p>
        </w:tc>
        <w:tc>
          <w:tcPr>
            <w:tcW w:w="227" w:type="pct"/>
            <w:vAlign w:val="center"/>
          </w:tcPr>
          <w:p w14:paraId="700091F1" w14:textId="77777777" w:rsidR="00401546" w:rsidRPr="00A9330B" w:rsidRDefault="00401546" w:rsidP="00E7483D">
            <w:pPr>
              <w:spacing w:before="40" w:line="240" w:lineRule="auto"/>
              <w:rPr>
                <w:rFonts w:cs="Arial"/>
                <w:i/>
                <w:sz w:val="18"/>
                <w:szCs w:val="18"/>
              </w:rPr>
            </w:pPr>
            <w:r w:rsidRPr="00A9330B">
              <w:rPr>
                <w:rFonts w:cs="Arial"/>
                <w:i/>
                <w:sz w:val="18"/>
                <w:szCs w:val="18"/>
              </w:rPr>
              <w:t>X</w:t>
            </w:r>
          </w:p>
        </w:tc>
        <w:tc>
          <w:tcPr>
            <w:tcW w:w="227" w:type="pct"/>
            <w:vAlign w:val="center"/>
          </w:tcPr>
          <w:p w14:paraId="60EBCB93" w14:textId="77777777" w:rsidR="00401546" w:rsidRPr="00A9330B" w:rsidRDefault="00401546" w:rsidP="00E7483D">
            <w:pPr>
              <w:spacing w:before="40" w:line="240" w:lineRule="auto"/>
              <w:rPr>
                <w:rFonts w:cs="Arial"/>
                <w:i/>
                <w:sz w:val="18"/>
                <w:szCs w:val="18"/>
              </w:rPr>
            </w:pPr>
            <w:r w:rsidRPr="00A9330B">
              <w:rPr>
                <w:rFonts w:cs="Arial"/>
                <w:i/>
                <w:sz w:val="18"/>
                <w:szCs w:val="18"/>
              </w:rPr>
              <w:t>X</w:t>
            </w:r>
          </w:p>
        </w:tc>
        <w:tc>
          <w:tcPr>
            <w:tcW w:w="227" w:type="pct"/>
            <w:vAlign w:val="center"/>
          </w:tcPr>
          <w:p w14:paraId="50EDBE83" w14:textId="77777777" w:rsidR="00401546" w:rsidRPr="00A9330B" w:rsidRDefault="00401546" w:rsidP="00E7483D">
            <w:pPr>
              <w:spacing w:before="40" w:line="240" w:lineRule="auto"/>
              <w:rPr>
                <w:rFonts w:cs="Arial"/>
                <w:i/>
                <w:sz w:val="18"/>
                <w:szCs w:val="18"/>
              </w:rPr>
            </w:pPr>
            <w:r w:rsidRPr="00A9330B">
              <w:rPr>
                <w:rFonts w:cs="Arial"/>
                <w:i/>
                <w:sz w:val="18"/>
                <w:szCs w:val="18"/>
              </w:rPr>
              <w:t>X</w:t>
            </w:r>
          </w:p>
        </w:tc>
        <w:tc>
          <w:tcPr>
            <w:tcW w:w="227" w:type="pct"/>
            <w:vAlign w:val="center"/>
          </w:tcPr>
          <w:p w14:paraId="4BB287F2" w14:textId="77777777" w:rsidR="00401546" w:rsidRPr="00A9330B" w:rsidRDefault="00401546" w:rsidP="00E7483D">
            <w:pPr>
              <w:spacing w:before="40" w:line="240" w:lineRule="auto"/>
              <w:rPr>
                <w:rFonts w:cs="Arial"/>
                <w:i/>
                <w:sz w:val="18"/>
                <w:szCs w:val="18"/>
              </w:rPr>
            </w:pPr>
            <w:r w:rsidRPr="00A9330B">
              <w:rPr>
                <w:rFonts w:cs="Arial"/>
                <w:i/>
                <w:sz w:val="18"/>
                <w:szCs w:val="18"/>
              </w:rPr>
              <w:t>X</w:t>
            </w:r>
          </w:p>
        </w:tc>
        <w:tc>
          <w:tcPr>
            <w:tcW w:w="227" w:type="pct"/>
            <w:vAlign w:val="center"/>
          </w:tcPr>
          <w:p w14:paraId="1B163F62" w14:textId="77777777" w:rsidR="00401546" w:rsidRPr="00A9330B" w:rsidRDefault="00401546" w:rsidP="00E7483D">
            <w:pPr>
              <w:spacing w:before="40" w:line="240" w:lineRule="auto"/>
              <w:rPr>
                <w:rFonts w:cs="Arial"/>
                <w:i/>
                <w:sz w:val="18"/>
                <w:szCs w:val="18"/>
              </w:rPr>
            </w:pPr>
            <w:r w:rsidRPr="00A9330B">
              <w:rPr>
                <w:rFonts w:cs="Arial"/>
                <w:i/>
                <w:sz w:val="18"/>
                <w:szCs w:val="18"/>
              </w:rPr>
              <w:t>X</w:t>
            </w:r>
          </w:p>
        </w:tc>
        <w:tc>
          <w:tcPr>
            <w:tcW w:w="227" w:type="pct"/>
            <w:vAlign w:val="center"/>
          </w:tcPr>
          <w:p w14:paraId="3F8A5EBB" w14:textId="77777777" w:rsidR="00401546" w:rsidRPr="00A9330B" w:rsidRDefault="00401546" w:rsidP="00E7483D">
            <w:pPr>
              <w:spacing w:before="40" w:line="240" w:lineRule="auto"/>
              <w:rPr>
                <w:rFonts w:cs="Arial"/>
                <w:i/>
                <w:sz w:val="18"/>
                <w:szCs w:val="18"/>
              </w:rPr>
            </w:pPr>
            <w:r w:rsidRPr="00A9330B">
              <w:rPr>
                <w:rFonts w:cs="Arial"/>
                <w:i/>
                <w:sz w:val="18"/>
                <w:szCs w:val="18"/>
              </w:rPr>
              <w:t>X</w:t>
            </w:r>
          </w:p>
        </w:tc>
        <w:tc>
          <w:tcPr>
            <w:tcW w:w="227" w:type="pct"/>
            <w:vAlign w:val="center"/>
          </w:tcPr>
          <w:p w14:paraId="3A60F464" w14:textId="77777777" w:rsidR="00401546" w:rsidRPr="00A9330B" w:rsidRDefault="00401546" w:rsidP="00E7483D">
            <w:pPr>
              <w:spacing w:before="40" w:line="240" w:lineRule="auto"/>
              <w:rPr>
                <w:rFonts w:cs="Arial"/>
                <w:i/>
                <w:sz w:val="18"/>
                <w:szCs w:val="18"/>
              </w:rPr>
            </w:pPr>
            <w:r w:rsidRPr="00A9330B">
              <w:rPr>
                <w:rFonts w:cs="Arial"/>
                <w:i/>
                <w:sz w:val="18"/>
                <w:szCs w:val="18"/>
              </w:rPr>
              <w:t>X</w:t>
            </w:r>
          </w:p>
        </w:tc>
        <w:tc>
          <w:tcPr>
            <w:tcW w:w="227" w:type="pct"/>
            <w:vAlign w:val="center"/>
          </w:tcPr>
          <w:p w14:paraId="348C6C9B" w14:textId="77777777" w:rsidR="00401546" w:rsidRPr="00A9330B" w:rsidRDefault="00401546" w:rsidP="00E7483D">
            <w:pPr>
              <w:spacing w:before="40" w:line="240" w:lineRule="auto"/>
              <w:rPr>
                <w:rFonts w:cs="Arial"/>
                <w:i/>
                <w:sz w:val="18"/>
                <w:szCs w:val="18"/>
              </w:rPr>
            </w:pPr>
            <w:r w:rsidRPr="00A9330B">
              <w:rPr>
                <w:rFonts w:cs="Arial"/>
                <w:i/>
                <w:sz w:val="18"/>
                <w:szCs w:val="18"/>
              </w:rPr>
              <w:t>X</w:t>
            </w:r>
          </w:p>
        </w:tc>
        <w:tc>
          <w:tcPr>
            <w:tcW w:w="227" w:type="pct"/>
            <w:gridSpan w:val="2"/>
            <w:vAlign w:val="center"/>
          </w:tcPr>
          <w:p w14:paraId="0A2F4CB4" w14:textId="77777777" w:rsidR="00401546" w:rsidRPr="00A9330B" w:rsidRDefault="00401546" w:rsidP="00E7483D">
            <w:pPr>
              <w:spacing w:before="40" w:line="240" w:lineRule="auto"/>
              <w:rPr>
                <w:rFonts w:cs="Arial"/>
                <w:i/>
                <w:sz w:val="18"/>
                <w:szCs w:val="18"/>
              </w:rPr>
            </w:pPr>
            <w:r w:rsidRPr="00A9330B">
              <w:rPr>
                <w:rFonts w:cs="Arial"/>
                <w:i/>
                <w:sz w:val="18"/>
                <w:szCs w:val="18"/>
              </w:rPr>
              <w:t>X</w:t>
            </w:r>
          </w:p>
        </w:tc>
        <w:tc>
          <w:tcPr>
            <w:tcW w:w="285" w:type="pct"/>
            <w:vAlign w:val="center"/>
          </w:tcPr>
          <w:p w14:paraId="539E596D" w14:textId="77777777" w:rsidR="00401546" w:rsidRPr="00A9330B" w:rsidRDefault="00401546" w:rsidP="00E7483D">
            <w:pPr>
              <w:spacing w:before="40" w:line="240" w:lineRule="auto"/>
              <w:rPr>
                <w:rFonts w:cs="Arial"/>
                <w:i/>
                <w:sz w:val="18"/>
                <w:szCs w:val="18"/>
              </w:rPr>
            </w:pPr>
          </w:p>
        </w:tc>
      </w:tr>
      <w:tr w:rsidR="00913D06" w:rsidRPr="00A9330B" w14:paraId="5C0AA49C" w14:textId="77777777" w:rsidTr="00E216F6">
        <w:trPr>
          <w:trHeight w:val="163"/>
        </w:trPr>
        <w:tc>
          <w:tcPr>
            <w:tcW w:w="834" w:type="pct"/>
          </w:tcPr>
          <w:p w14:paraId="3F531304" w14:textId="77777777" w:rsidR="00401546" w:rsidRPr="00A9330B" w:rsidRDefault="00401546" w:rsidP="00BE4C78">
            <w:pPr>
              <w:spacing w:before="40" w:line="240" w:lineRule="auto"/>
              <w:rPr>
                <w:rFonts w:cs="Arial"/>
                <w:sz w:val="18"/>
                <w:szCs w:val="18"/>
              </w:rPr>
            </w:pPr>
            <w:r w:rsidRPr="00A9330B">
              <w:rPr>
                <w:rFonts w:cs="Arial"/>
                <w:sz w:val="18"/>
                <w:szCs w:val="18"/>
              </w:rPr>
              <w:t xml:space="preserve">Dédommagement des personnes affectées par le projet </w:t>
            </w:r>
          </w:p>
        </w:tc>
        <w:tc>
          <w:tcPr>
            <w:tcW w:w="1611" w:type="pct"/>
          </w:tcPr>
          <w:p w14:paraId="710D54E5" w14:textId="77777777" w:rsidR="00401546" w:rsidRPr="00A9330B" w:rsidRDefault="00401546" w:rsidP="000F7BA7">
            <w:pPr>
              <w:spacing w:before="40" w:line="240" w:lineRule="auto"/>
              <w:jc w:val="both"/>
              <w:rPr>
                <w:rFonts w:cs="Arial"/>
                <w:sz w:val="18"/>
                <w:szCs w:val="18"/>
              </w:rPr>
            </w:pPr>
            <w:r w:rsidRPr="00A9330B">
              <w:rPr>
                <w:rFonts w:cs="Arial"/>
                <w:sz w:val="18"/>
                <w:szCs w:val="18"/>
              </w:rPr>
              <w:t>Mise en œuvre du PAR</w:t>
            </w:r>
          </w:p>
        </w:tc>
        <w:tc>
          <w:tcPr>
            <w:tcW w:w="227" w:type="pct"/>
            <w:vAlign w:val="center"/>
          </w:tcPr>
          <w:p w14:paraId="277ECA3B" w14:textId="77777777" w:rsidR="00401546" w:rsidRPr="00A9330B" w:rsidRDefault="00401546" w:rsidP="00E7483D">
            <w:pPr>
              <w:spacing w:before="40" w:line="240" w:lineRule="auto"/>
              <w:rPr>
                <w:rFonts w:cs="Arial"/>
                <w:i/>
                <w:sz w:val="18"/>
                <w:szCs w:val="18"/>
              </w:rPr>
            </w:pPr>
          </w:p>
        </w:tc>
        <w:tc>
          <w:tcPr>
            <w:tcW w:w="227" w:type="pct"/>
            <w:vAlign w:val="center"/>
          </w:tcPr>
          <w:p w14:paraId="462108C8" w14:textId="77777777" w:rsidR="00401546" w:rsidRPr="00A9330B" w:rsidRDefault="00401546" w:rsidP="00E7483D">
            <w:pPr>
              <w:spacing w:before="40" w:line="240" w:lineRule="auto"/>
              <w:rPr>
                <w:rFonts w:cs="Arial"/>
                <w:i/>
                <w:sz w:val="18"/>
                <w:szCs w:val="18"/>
              </w:rPr>
            </w:pPr>
          </w:p>
        </w:tc>
        <w:tc>
          <w:tcPr>
            <w:tcW w:w="227" w:type="pct"/>
            <w:vAlign w:val="center"/>
          </w:tcPr>
          <w:p w14:paraId="7C5AC834" w14:textId="77777777" w:rsidR="00401546" w:rsidRPr="00A9330B" w:rsidRDefault="00401546" w:rsidP="00E7483D">
            <w:pPr>
              <w:spacing w:before="40" w:line="240" w:lineRule="auto"/>
              <w:rPr>
                <w:rFonts w:cs="Arial"/>
                <w:i/>
                <w:sz w:val="18"/>
                <w:szCs w:val="18"/>
              </w:rPr>
            </w:pPr>
          </w:p>
        </w:tc>
        <w:tc>
          <w:tcPr>
            <w:tcW w:w="227" w:type="pct"/>
            <w:vAlign w:val="center"/>
          </w:tcPr>
          <w:p w14:paraId="41BF7424" w14:textId="77777777" w:rsidR="00401546" w:rsidRPr="00A9330B" w:rsidRDefault="00401546" w:rsidP="00E7483D">
            <w:pPr>
              <w:spacing w:before="40" w:line="240" w:lineRule="auto"/>
              <w:rPr>
                <w:rFonts w:cs="Arial"/>
                <w:i/>
                <w:sz w:val="18"/>
                <w:szCs w:val="18"/>
              </w:rPr>
            </w:pPr>
          </w:p>
        </w:tc>
        <w:tc>
          <w:tcPr>
            <w:tcW w:w="227" w:type="pct"/>
            <w:vAlign w:val="center"/>
          </w:tcPr>
          <w:p w14:paraId="68D76FA7" w14:textId="77777777" w:rsidR="00401546" w:rsidRPr="00A9330B" w:rsidRDefault="00401546" w:rsidP="00E7483D">
            <w:pPr>
              <w:spacing w:before="40" w:line="240" w:lineRule="auto"/>
              <w:rPr>
                <w:rFonts w:cs="Arial"/>
                <w:i/>
                <w:sz w:val="18"/>
                <w:szCs w:val="18"/>
              </w:rPr>
            </w:pPr>
          </w:p>
        </w:tc>
        <w:tc>
          <w:tcPr>
            <w:tcW w:w="227" w:type="pct"/>
            <w:vAlign w:val="center"/>
          </w:tcPr>
          <w:p w14:paraId="2BE34D0F" w14:textId="77777777" w:rsidR="00401546" w:rsidRPr="00A9330B" w:rsidRDefault="00401546" w:rsidP="00E7483D">
            <w:pPr>
              <w:spacing w:before="40" w:line="240" w:lineRule="auto"/>
              <w:rPr>
                <w:rFonts w:cs="Arial"/>
                <w:i/>
                <w:sz w:val="18"/>
                <w:szCs w:val="18"/>
              </w:rPr>
            </w:pPr>
          </w:p>
        </w:tc>
        <w:tc>
          <w:tcPr>
            <w:tcW w:w="227" w:type="pct"/>
            <w:vAlign w:val="center"/>
          </w:tcPr>
          <w:p w14:paraId="4A1007CC" w14:textId="77777777" w:rsidR="00401546" w:rsidRPr="00A9330B" w:rsidRDefault="00401546" w:rsidP="00E7483D">
            <w:pPr>
              <w:spacing w:before="40" w:line="240" w:lineRule="auto"/>
              <w:rPr>
                <w:rFonts w:cs="Arial"/>
                <w:i/>
                <w:sz w:val="18"/>
                <w:szCs w:val="18"/>
              </w:rPr>
            </w:pPr>
            <w:r w:rsidRPr="00A9330B">
              <w:rPr>
                <w:rFonts w:cs="Arial"/>
                <w:i/>
                <w:sz w:val="18"/>
                <w:szCs w:val="18"/>
              </w:rPr>
              <w:t>X</w:t>
            </w:r>
          </w:p>
        </w:tc>
        <w:tc>
          <w:tcPr>
            <w:tcW w:w="227" w:type="pct"/>
            <w:vAlign w:val="center"/>
          </w:tcPr>
          <w:p w14:paraId="640804A9" w14:textId="77777777" w:rsidR="00401546" w:rsidRPr="00A9330B" w:rsidRDefault="00401546" w:rsidP="00E7483D">
            <w:pPr>
              <w:spacing w:before="40" w:line="240" w:lineRule="auto"/>
              <w:rPr>
                <w:rFonts w:cs="Arial"/>
                <w:i/>
                <w:sz w:val="18"/>
                <w:szCs w:val="18"/>
              </w:rPr>
            </w:pPr>
            <w:r w:rsidRPr="00A9330B">
              <w:rPr>
                <w:rFonts w:cs="Arial"/>
                <w:i/>
                <w:sz w:val="18"/>
                <w:szCs w:val="18"/>
              </w:rPr>
              <w:t>X</w:t>
            </w:r>
          </w:p>
        </w:tc>
        <w:tc>
          <w:tcPr>
            <w:tcW w:w="227" w:type="pct"/>
            <w:vAlign w:val="center"/>
          </w:tcPr>
          <w:p w14:paraId="22A7A249" w14:textId="77777777" w:rsidR="00401546" w:rsidRPr="00A9330B" w:rsidRDefault="00401546" w:rsidP="00E7483D">
            <w:pPr>
              <w:spacing w:before="40" w:line="240" w:lineRule="auto"/>
              <w:rPr>
                <w:rFonts w:cs="Arial"/>
                <w:i/>
                <w:sz w:val="18"/>
                <w:szCs w:val="18"/>
              </w:rPr>
            </w:pPr>
          </w:p>
        </w:tc>
        <w:tc>
          <w:tcPr>
            <w:tcW w:w="227" w:type="pct"/>
            <w:gridSpan w:val="2"/>
            <w:vAlign w:val="center"/>
          </w:tcPr>
          <w:p w14:paraId="14098AA9" w14:textId="77777777" w:rsidR="00401546" w:rsidRPr="00A9330B" w:rsidRDefault="00401546" w:rsidP="00E7483D">
            <w:pPr>
              <w:spacing w:before="40" w:line="240" w:lineRule="auto"/>
              <w:rPr>
                <w:rFonts w:cs="Arial"/>
                <w:i/>
                <w:sz w:val="18"/>
                <w:szCs w:val="18"/>
              </w:rPr>
            </w:pPr>
          </w:p>
        </w:tc>
        <w:tc>
          <w:tcPr>
            <w:tcW w:w="285" w:type="pct"/>
            <w:vAlign w:val="center"/>
          </w:tcPr>
          <w:p w14:paraId="4D193B74" w14:textId="77777777" w:rsidR="00401546" w:rsidRPr="00A9330B" w:rsidRDefault="00401546" w:rsidP="00E7483D">
            <w:pPr>
              <w:spacing w:before="40" w:line="240" w:lineRule="auto"/>
              <w:rPr>
                <w:rFonts w:cs="Arial"/>
                <w:i/>
                <w:sz w:val="18"/>
                <w:szCs w:val="18"/>
              </w:rPr>
            </w:pPr>
          </w:p>
        </w:tc>
      </w:tr>
      <w:tr w:rsidR="00913D06" w:rsidRPr="00A9330B" w14:paraId="2A626877" w14:textId="77777777" w:rsidTr="00E216F6">
        <w:trPr>
          <w:trHeight w:val="163"/>
        </w:trPr>
        <w:tc>
          <w:tcPr>
            <w:tcW w:w="834" w:type="pct"/>
          </w:tcPr>
          <w:p w14:paraId="4D76279D" w14:textId="77777777" w:rsidR="009748B7" w:rsidRPr="00A9330B" w:rsidRDefault="009748B7" w:rsidP="00BE4C78">
            <w:pPr>
              <w:widowControl w:val="0"/>
              <w:tabs>
                <w:tab w:val="left" w:pos="426"/>
                <w:tab w:val="left" w:pos="851"/>
                <w:tab w:val="left" w:pos="1134"/>
              </w:tabs>
              <w:overflowPunct w:val="0"/>
              <w:autoSpaceDE w:val="0"/>
              <w:autoSpaceDN w:val="0"/>
              <w:adjustRightInd w:val="0"/>
              <w:spacing w:line="240" w:lineRule="auto"/>
              <w:textAlignment w:val="baseline"/>
              <w:rPr>
                <w:rFonts w:eastAsia="Times New Roman" w:cs="Arial"/>
                <w:color w:val="auto"/>
                <w:sz w:val="18"/>
                <w:szCs w:val="18"/>
                <w:lang w:eastAsia="fr-FR"/>
              </w:rPr>
            </w:pPr>
          </w:p>
          <w:p w14:paraId="141DB08A" w14:textId="48DA8C79" w:rsidR="009748B7" w:rsidRPr="00A9330B" w:rsidRDefault="009748B7" w:rsidP="00BE4C78">
            <w:pPr>
              <w:spacing w:before="40" w:line="240" w:lineRule="auto"/>
              <w:rPr>
                <w:rFonts w:cs="Arial"/>
                <w:sz w:val="18"/>
                <w:szCs w:val="18"/>
              </w:rPr>
            </w:pPr>
            <w:r w:rsidRPr="00A9330B">
              <w:rPr>
                <w:rFonts w:eastAsia="Times New Roman" w:cs="Arial"/>
                <w:color w:val="auto"/>
                <w:sz w:val="18"/>
                <w:szCs w:val="18"/>
                <w:lang w:eastAsia="fr-FR"/>
              </w:rPr>
              <w:t xml:space="preserve">Aménagement des déviations </w:t>
            </w:r>
          </w:p>
        </w:tc>
        <w:tc>
          <w:tcPr>
            <w:tcW w:w="1611" w:type="pct"/>
          </w:tcPr>
          <w:p w14:paraId="034BE104" w14:textId="77777777" w:rsidR="009748B7" w:rsidRPr="00A9330B" w:rsidRDefault="009748B7" w:rsidP="000F7BA7">
            <w:pPr>
              <w:spacing w:line="240" w:lineRule="auto"/>
              <w:jc w:val="both"/>
              <w:rPr>
                <w:rFonts w:eastAsia="Calibri" w:cs="Arial"/>
                <w:color w:val="auto"/>
                <w:sz w:val="18"/>
                <w:szCs w:val="18"/>
              </w:rPr>
            </w:pPr>
            <w:r w:rsidRPr="00A9330B">
              <w:rPr>
                <w:rFonts w:eastAsia="Calibri" w:cs="Arial"/>
                <w:color w:val="auto"/>
                <w:sz w:val="18"/>
                <w:szCs w:val="18"/>
              </w:rPr>
              <w:t>Nettoyage des sites</w:t>
            </w:r>
          </w:p>
          <w:p w14:paraId="11040EE1" w14:textId="77777777" w:rsidR="009748B7" w:rsidRPr="00A9330B" w:rsidRDefault="009748B7" w:rsidP="000F7BA7">
            <w:pPr>
              <w:spacing w:line="240" w:lineRule="auto"/>
              <w:jc w:val="both"/>
              <w:rPr>
                <w:rFonts w:eastAsia="Calibri" w:cs="Arial"/>
                <w:color w:val="auto"/>
                <w:sz w:val="18"/>
                <w:szCs w:val="18"/>
              </w:rPr>
            </w:pPr>
            <w:r w:rsidRPr="00A9330B">
              <w:rPr>
                <w:rFonts w:eastAsia="Calibri" w:cs="Arial"/>
                <w:color w:val="auto"/>
                <w:sz w:val="18"/>
                <w:szCs w:val="18"/>
              </w:rPr>
              <w:t>Débroussaillage – Décapage</w:t>
            </w:r>
          </w:p>
          <w:p w14:paraId="63BB7899" w14:textId="77777777" w:rsidR="009748B7" w:rsidRPr="00A9330B" w:rsidRDefault="009748B7" w:rsidP="000F7BA7">
            <w:pPr>
              <w:spacing w:line="240" w:lineRule="auto"/>
              <w:jc w:val="both"/>
              <w:rPr>
                <w:rFonts w:cs="Arial"/>
                <w:spacing w:val="-1"/>
                <w:sz w:val="18"/>
                <w:szCs w:val="18"/>
              </w:rPr>
            </w:pPr>
            <w:r w:rsidRPr="00A9330B">
              <w:rPr>
                <w:rFonts w:eastAsia="Calibri" w:cs="Arial"/>
                <w:color w:val="auto"/>
                <w:sz w:val="18"/>
                <w:szCs w:val="18"/>
              </w:rPr>
              <w:t>Profilage des déviations</w:t>
            </w:r>
            <w:r w:rsidRPr="00A9330B">
              <w:rPr>
                <w:rFonts w:cs="Arial"/>
                <w:spacing w:val="-1"/>
                <w:sz w:val="18"/>
                <w:szCs w:val="18"/>
              </w:rPr>
              <w:t xml:space="preserve"> </w:t>
            </w:r>
          </w:p>
          <w:p w14:paraId="520A64DD" w14:textId="2A0E7288" w:rsidR="009748B7" w:rsidRPr="00A9330B" w:rsidRDefault="009748B7" w:rsidP="000F7BA7">
            <w:pPr>
              <w:spacing w:before="40" w:line="240" w:lineRule="auto"/>
              <w:jc w:val="both"/>
              <w:rPr>
                <w:rFonts w:cs="Arial"/>
                <w:sz w:val="18"/>
                <w:szCs w:val="18"/>
              </w:rPr>
            </w:pPr>
            <w:r w:rsidRPr="00A9330B">
              <w:rPr>
                <w:rFonts w:cs="Arial"/>
                <w:spacing w:val="-1"/>
                <w:sz w:val="18"/>
                <w:szCs w:val="18"/>
              </w:rPr>
              <w:t>Entretien courant de la déviation</w:t>
            </w:r>
          </w:p>
        </w:tc>
        <w:tc>
          <w:tcPr>
            <w:tcW w:w="227" w:type="pct"/>
            <w:vAlign w:val="center"/>
          </w:tcPr>
          <w:p w14:paraId="73CC5E1B" w14:textId="245F95A8" w:rsidR="009748B7" w:rsidRPr="00A9330B" w:rsidRDefault="009748B7" w:rsidP="009748B7">
            <w:pPr>
              <w:spacing w:before="40" w:line="240" w:lineRule="auto"/>
              <w:rPr>
                <w:rFonts w:cs="Arial"/>
                <w:i/>
                <w:sz w:val="18"/>
                <w:szCs w:val="18"/>
              </w:rPr>
            </w:pPr>
            <w:r w:rsidRPr="00A9330B">
              <w:rPr>
                <w:rFonts w:cs="Arial"/>
                <w:i/>
                <w:sz w:val="18"/>
                <w:szCs w:val="18"/>
              </w:rPr>
              <w:t>X</w:t>
            </w:r>
          </w:p>
        </w:tc>
        <w:tc>
          <w:tcPr>
            <w:tcW w:w="227" w:type="pct"/>
            <w:vAlign w:val="center"/>
          </w:tcPr>
          <w:p w14:paraId="02431A43" w14:textId="01FD0B40" w:rsidR="009748B7" w:rsidRPr="00A9330B" w:rsidRDefault="009748B7" w:rsidP="009748B7">
            <w:pPr>
              <w:spacing w:before="40" w:line="240" w:lineRule="auto"/>
              <w:rPr>
                <w:rFonts w:cs="Arial"/>
                <w:i/>
                <w:sz w:val="18"/>
                <w:szCs w:val="18"/>
              </w:rPr>
            </w:pPr>
            <w:r w:rsidRPr="00A9330B">
              <w:rPr>
                <w:rFonts w:cs="Arial"/>
                <w:i/>
                <w:sz w:val="18"/>
                <w:szCs w:val="18"/>
              </w:rPr>
              <w:t>X</w:t>
            </w:r>
          </w:p>
        </w:tc>
        <w:tc>
          <w:tcPr>
            <w:tcW w:w="227" w:type="pct"/>
            <w:vAlign w:val="center"/>
          </w:tcPr>
          <w:p w14:paraId="635337E8" w14:textId="75F3867D" w:rsidR="009748B7" w:rsidRPr="00A9330B" w:rsidRDefault="009748B7" w:rsidP="009748B7">
            <w:pPr>
              <w:spacing w:before="40" w:line="240" w:lineRule="auto"/>
              <w:rPr>
                <w:rFonts w:cs="Arial"/>
                <w:i/>
                <w:sz w:val="18"/>
                <w:szCs w:val="18"/>
              </w:rPr>
            </w:pPr>
            <w:r w:rsidRPr="00A9330B">
              <w:rPr>
                <w:rFonts w:cs="Arial"/>
                <w:i/>
                <w:sz w:val="18"/>
                <w:szCs w:val="18"/>
              </w:rPr>
              <w:t>X</w:t>
            </w:r>
          </w:p>
        </w:tc>
        <w:tc>
          <w:tcPr>
            <w:tcW w:w="227" w:type="pct"/>
            <w:vAlign w:val="center"/>
          </w:tcPr>
          <w:p w14:paraId="0A94A8A3" w14:textId="63A55916" w:rsidR="009748B7" w:rsidRPr="00A9330B" w:rsidRDefault="009748B7" w:rsidP="009748B7">
            <w:pPr>
              <w:spacing w:before="40" w:line="240" w:lineRule="auto"/>
              <w:rPr>
                <w:rFonts w:cs="Arial"/>
                <w:i/>
                <w:sz w:val="18"/>
                <w:szCs w:val="18"/>
              </w:rPr>
            </w:pPr>
            <w:r w:rsidRPr="00A9330B">
              <w:rPr>
                <w:rFonts w:cs="Arial"/>
                <w:i/>
                <w:sz w:val="18"/>
                <w:szCs w:val="18"/>
              </w:rPr>
              <w:t>X</w:t>
            </w:r>
          </w:p>
        </w:tc>
        <w:tc>
          <w:tcPr>
            <w:tcW w:w="227" w:type="pct"/>
            <w:vAlign w:val="center"/>
          </w:tcPr>
          <w:p w14:paraId="0416282C" w14:textId="59577BBB" w:rsidR="009748B7" w:rsidRPr="00A9330B" w:rsidRDefault="009748B7" w:rsidP="009748B7">
            <w:pPr>
              <w:spacing w:before="40" w:line="240" w:lineRule="auto"/>
              <w:rPr>
                <w:rFonts w:cs="Arial"/>
                <w:i/>
                <w:sz w:val="18"/>
                <w:szCs w:val="18"/>
              </w:rPr>
            </w:pPr>
            <w:r w:rsidRPr="00A9330B">
              <w:rPr>
                <w:rFonts w:cs="Arial"/>
                <w:i/>
                <w:sz w:val="18"/>
                <w:szCs w:val="18"/>
              </w:rPr>
              <w:t>X</w:t>
            </w:r>
          </w:p>
        </w:tc>
        <w:tc>
          <w:tcPr>
            <w:tcW w:w="227" w:type="pct"/>
            <w:vAlign w:val="center"/>
          </w:tcPr>
          <w:p w14:paraId="610FC0E0" w14:textId="0C32A481" w:rsidR="009748B7" w:rsidRPr="00A9330B" w:rsidRDefault="009748B7" w:rsidP="009748B7">
            <w:pPr>
              <w:spacing w:before="40" w:line="240" w:lineRule="auto"/>
              <w:rPr>
                <w:rFonts w:cs="Arial"/>
                <w:i/>
                <w:sz w:val="18"/>
                <w:szCs w:val="18"/>
              </w:rPr>
            </w:pPr>
            <w:r w:rsidRPr="00A9330B">
              <w:rPr>
                <w:rFonts w:cs="Arial"/>
                <w:i/>
                <w:sz w:val="18"/>
                <w:szCs w:val="18"/>
              </w:rPr>
              <w:t>X</w:t>
            </w:r>
          </w:p>
        </w:tc>
        <w:tc>
          <w:tcPr>
            <w:tcW w:w="227" w:type="pct"/>
            <w:vAlign w:val="center"/>
          </w:tcPr>
          <w:p w14:paraId="3467479D" w14:textId="0DDDAE1A" w:rsidR="009748B7" w:rsidRPr="00A9330B" w:rsidRDefault="009748B7" w:rsidP="009748B7">
            <w:pPr>
              <w:spacing w:before="40" w:line="240" w:lineRule="auto"/>
              <w:rPr>
                <w:rFonts w:cs="Arial"/>
                <w:i/>
                <w:sz w:val="18"/>
                <w:szCs w:val="18"/>
              </w:rPr>
            </w:pPr>
            <w:r w:rsidRPr="00A9330B">
              <w:rPr>
                <w:rFonts w:cs="Arial"/>
                <w:i/>
                <w:sz w:val="18"/>
                <w:szCs w:val="18"/>
              </w:rPr>
              <w:t>X</w:t>
            </w:r>
          </w:p>
        </w:tc>
        <w:tc>
          <w:tcPr>
            <w:tcW w:w="227" w:type="pct"/>
            <w:vAlign w:val="center"/>
          </w:tcPr>
          <w:p w14:paraId="79331DA2" w14:textId="0C6CC8A1" w:rsidR="009748B7" w:rsidRPr="00A9330B" w:rsidRDefault="009748B7" w:rsidP="009748B7">
            <w:pPr>
              <w:spacing w:before="40" w:line="240" w:lineRule="auto"/>
              <w:rPr>
                <w:rFonts w:cs="Arial"/>
                <w:i/>
                <w:sz w:val="18"/>
                <w:szCs w:val="18"/>
              </w:rPr>
            </w:pPr>
            <w:r w:rsidRPr="00A9330B">
              <w:rPr>
                <w:rFonts w:cs="Arial"/>
                <w:i/>
                <w:sz w:val="18"/>
                <w:szCs w:val="18"/>
              </w:rPr>
              <w:t>X</w:t>
            </w:r>
          </w:p>
        </w:tc>
        <w:tc>
          <w:tcPr>
            <w:tcW w:w="227" w:type="pct"/>
            <w:vAlign w:val="center"/>
          </w:tcPr>
          <w:p w14:paraId="3904DA9F" w14:textId="44599045" w:rsidR="009748B7" w:rsidRPr="00A9330B" w:rsidRDefault="009748B7" w:rsidP="009748B7">
            <w:pPr>
              <w:spacing w:before="40" w:line="240" w:lineRule="auto"/>
              <w:rPr>
                <w:rFonts w:cs="Arial"/>
                <w:i/>
                <w:sz w:val="18"/>
                <w:szCs w:val="18"/>
              </w:rPr>
            </w:pPr>
            <w:r w:rsidRPr="00A9330B">
              <w:rPr>
                <w:rFonts w:cs="Arial"/>
                <w:i/>
                <w:sz w:val="18"/>
                <w:szCs w:val="18"/>
              </w:rPr>
              <w:t>X</w:t>
            </w:r>
          </w:p>
        </w:tc>
        <w:tc>
          <w:tcPr>
            <w:tcW w:w="227" w:type="pct"/>
            <w:gridSpan w:val="2"/>
            <w:vAlign w:val="center"/>
          </w:tcPr>
          <w:p w14:paraId="0A43C887" w14:textId="3B00815B" w:rsidR="009748B7" w:rsidRPr="00A9330B" w:rsidRDefault="009748B7" w:rsidP="009748B7">
            <w:pPr>
              <w:spacing w:before="40" w:line="240" w:lineRule="auto"/>
              <w:rPr>
                <w:rFonts w:cs="Arial"/>
                <w:i/>
                <w:sz w:val="18"/>
                <w:szCs w:val="18"/>
              </w:rPr>
            </w:pPr>
            <w:r w:rsidRPr="00A9330B">
              <w:rPr>
                <w:rFonts w:cs="Arial"/>
                <w:i/>
                <w:sz w:val="18"/>
                <w:szCs w:val="18"/>
              </w:rPr>
              <w:t>X</w:t>
            </w:r>
          </w:p>
        </w:tc>
        <w:tc>
          <w:tcPr>
            <w:tcW w:w="285" w:type="pct"/>
            <w:vAlign w:val="center"/>
          </w:tcPr>
          <w:p w14:paraId="65709073" w14:textId="77777777" w:rsidR="009748B7" w:rsidRPr="00A9330B" w:rsidRDefault="009748B7" w:rsidP="009748B7">
            <w:pPr>
              <w:spacing w:before="40" w:line="240" w:lineRule="auto"/>
              <w:rPr>
                <w:rFonts w:cs="Arial"/>
                <w:i/>
                <w:sz w:val="18"/>
                <w:szCs w:val="18"/>
              </w:rPr>
            </w:pPr>
          </w:p>
        </w:tc>
      </w:tr>
      <w:tr w:rsidR="00913D06" w:rsidRPr="00A9330B" w14:paraId="00C43A85" w14:textId="77777777" w:rsidTr="00E216F6">
        <w:trPr>
          <w:trHeight w:val="163"/>
        </w:trPr>
        <w:tc>
          <w:tcPr>
            <w:tcW w:w="834" w:type="pct"/>
          </w:tcPr>
          <w:p w14:paraId="00260FC2" w14:textId="3833D767" w:rsidR="00FB7027" w:rsidRPr="00A9330B" w:rsidRDefault="00FB7027" w:rsidP="00BE4C78">
            <w:pPr>
              <w:spacing w:before="40" w:line="240" w:lineRule="auto"/>
              <w:rPr>
                <w:rFonts w:cs="Arial"/>
                <w:sz w:val="18"/>
                <w:szCs w:val="18"/>
              </w:rPr>
            </w:pPr>
            <w:r w:rsidRPr="00A9330B">
              <w:rPr>
                <w:rFonts w:eastAsia="Calibri" w:cs="Arial"/>
                <w:spacing w:val="-1"/>
                <w:sz w:val="18"/>
                <w:szCs w:val="18"/>
              </w:rPr>
              <w:t>Ges</w:t>
            </w:r>
            <w:r w:rsidRPr="00A9330B">
              <w:rPr>
                <w:rFonts w:eastAsia="Calibri" w:cs="Arial"/>
                <w:sz w:val="18"/>
                <w:szCs w:val="18"/>
              </w:rPr>
              <w:t>t</w:t>
            </w:r>
            <w:r w:rsidRPr="00A9330B">
              <w:rPr>
                <w:rFonts w:eastAsia="Calibri" w:cs="Arial"/>
                <w:spacing w:val="-1"/>
                <w:sz w:val="18"/>
                <w:szCs w:val="18"/>
              </w:rPr>
              <w:t>i</w:t>
            </w:r>
            <w:r w:rsidRPr="00A9330B">
              <w:rPr>
                <w:rFonts w:eastAsia="Calibri" w:cs="Arial"/>
                <w:spacing w:val="1"/>
                <w:sz w:val="18"/>
                <w:szCs w:val="18"/>
              </w:rPr>
              <w:t>o</w:t>
            </w:r>
            <w:r w:rsidRPr="00A9330B">
              <w:rPr>
                <w:rFonts w:eastAsia="Calibri" w:cs="Arial"/>
                <w:sz w:val="18"/>
                <w:szCs w:val="18"/>
              </w:rPr>
              <w:t>n</w:t>
            </w:r>
            <w:r w:rsidRPr="00A9330B">
              <w:rPr>
                <w:rFonts w:eastAsia="Calibri" w:cs="Arial"/>
                <w:spacing w:val="1"/>
                <w:sz w:val="18"/>
                <w:szCs w:val="18"/>
              </w:rPr>
              <w:t xml:space="preserve"> </w:t>
            </w:r>
            <w:r w:rsidRPr="00A9330B">
              <w:rPr>
                <w:rFonts w:eastAsia="Calibri" w:cs="Arial"/>
                <w:spacing w:val="-1"/>
                <w:sz w:val="18"/>
                <w:szCs w:val="18"/>
              </w:rPr>
              <w:t>de la base vie de</w:t>
            </w:r>
            <w:r w:rsidRPr="00A9330B">
              <w:rPr>
                <w:rFonts w:eastAsia="Calibri" w:cs="Arial"/>
                <w:sz w:val="18"/>
                <w:szCs w:val="18"/>
              </w:rPr>
              <w:t xml:space="preserve"> </w:t>
            </w:r>
            <w:r w:rsidRPr="00A9330B">
              <w:rPr>
                <w:rFonts w:eastAsia="Calibri" w:cs="Arial"/>
                <w:spacing w:val="-1"/>
                <w:sz w:val="18"/>
                <w:szCs w:val="18"/>
              </w:rPr>
              <w:t>l</w:t>
            </w:r>
            <w:r w:rsidRPr="00A9330B">
              <w:rPr>
                <w:rFonts w:eastAsia="Calibri" w:cs="Arial"/>
                <w:sz w:val="18"/>
                <w:szCs w:val="18"/>
              </w:rPr>
              <w:t>’</w:t>
            </w:r>
            <w:r w:rsidRPr="00A9330B">
              <w:rPr>
                <w:rFonts w:eastAsia="Calibri" w:cs="Arial"/>
                <w:spacing w:val="-1"/>
                <w:sz w:val="18"/>
                <w:szCs w:val="18"/>
              </w:rPr>
              <w:t>en</w:t>
            </w:r>
            <w:r w:rsidRPr="00A9330B">
              <w:rPr>
                <w:rFonts w:eastAsia="Calibri" w:cs="Arial"/>
                <w:sz w:val="18"/>
                <w:szCs w:val="18"/>
              </w:rPr>
              <w:t>t</w:t>
            </w:r>
            <w:r w:rsidRPr="00A9330B">
              <w:rPr>
                <w:rFonts w:eastAsia="Calibri" w:cs="Arial"/>
                <w:spacing w:val="-1"/>
                <w:sz w:val="18"/>
                <w:szCs w:val="18"/>
              </w:rPr>
              <w:t>r</w:t>
            </w:r>
            <w:r w:rsidRPr="00A9330B">
              <w:rPr>
                <w:rFonts w:eastAsia="Calibri" w:cs="Arial"/>
                <w:spacing w:val="1"/>
                <w:sz w:val="18"/>
                <w:szCs w:val="18"/>
              </w:rPr>
              <w:t>e</w:t>
            </w:r>
            <w:r w:rsidRPr="00A9330B">
              <w:rPr>
                <w:rFonts w:eastAsia="Calibri" w:cs="Arial"/>
                <w:spacing w:val="-1"/>
                <w:sz w:val="18"/>
                <w:szCs w:val="18"/>
              </w:rPr>
              <w:t>p</w:t>
            </w:r>
            <w:r w:rsidRPr="00A9330B">
              <w:rPr>
                <w:rFonts w:eastAsia="Calibri" w:cs="Arial"/>
                <w:sz w:val="18"/>
                <w:szCs w:val="18"/>
              </w:rPr>
              <w:t>r</w:t>
            </w:r>
            <w:r w:rsidRPr="00A9330B">
              <w:rPr>
                <w:rFonts w:eastAsia="Calibri" w:cs="Arial"/>
                <w:spacing w:val="-1"/>
                <w:sz w:val="18"/>
                <w:szCs w:val="18"/>
              </w:rPr>
              <w:t>i</w:t>
            </w:r>
            <w:r w:rsidRPr="00A9330B">
              <w:rPr>
                <w:rFonts w:eastAsia="Calibri" w:cs="Arial"/>
                <w:spacing w:val="1"/>
                <w:sz w:val="18"/>
                <w:szCs w:val="18"/>
              </w:rPr>
              <w:t>s</w:t>
            </w:r>
            <w:r w:rsidRPr="00A9330B">
              <w:rPr>
                <w:rFonts w:eastAsia="Calibri" w:cs="Arial"/>
                <w:sz w:val="18"/>
                <w:szCs w:val="18"/>
              </w:rPr>
              <w:t xml:space="preserve">e </w:t>
            </w:r>
          </w:p>
        </w:tc>
        <w:tc>
          <w:tcPr>
            <w:tcW w:w="1611" w:type="pct"/>
          </w:tcPr>
          <w:p w14:paraId="37DB6EE6" w14:textId="77777777" w:rsidR="00FB7027" w:rsidRPr="00A9330B" w:rsidRDefault="00FB7027" w:rsidP="000F7BA7">
            <w:pPr>
              <w:widowControl w:val="0"/>
              <w:spacing w:line="240" w:lineRule="auto"/>
              <w:jc w:val="both"/>
              <w:rPr>
                <w:rFonts w:cs="Arial"/>
                <w:spacing w:val="-1"/>
                <w:sz w:val="18"/>
                <w:szCs w:val="18"/>
              </w:rPr>
            </w:pPr>
            <w:r w:rsidRPr="00A9330B">
              <w:rPr>
                <w:rFonts w:cs="Arial"/>
                <w:spacing w:val="-1"/>
                <w:sz w:val="18"/>
                <w:szCs w:val="18"/>
              </w:rPr>
              <w:t xml:space="preserve">Signalisation </w:t>
            </w:r>
          </w:p>
          <w:p w14:paraId="783A3748" w14:textId="77777777" w:rsidR="00FB7027" w:rsidRPr="00A9330B" w:rsidRDefault="00FB7027" w:rsidP="000F7BA7">
            <w:pPr>
              <w:widowControl w:val="0"/>
              <w:spacing w:line="240" w:lineRule="auto"/>
              <w:jc w:val="both"/>
              <w:rPr>
                <w:rFonts w:cs="Arial"/>
                <w:spacing w:val="-1"/>
                <w:sz w:val="18"/>
                <w:szCs w:val="18"/>
              </w:rPr>
            </w:pPr>
            <w:r w:rsidRPr="00A9330B">
              <w:rPr>
                <w:rFonts w:cs="Arial"/>
                <w:spacing w:val="-1"/>
                <w:sz w:val="18"/>
                <w:szCs w:val="18"/>
              </w:rPr>
              <w:t xml:space="preserve">Identification des ateliers et aires de travail </w:t>
            </w:r>
          </w:p>
          <w:p w14:paraId="6C67BB2A" w14:textId="77777777" w:rsidR="00FB7027" w:rsidRPr="00A9330B" w:rsidRDefault="00FB7027" w:rsidP="000F7BA7">
            <w:pPr>
              <w:widowControl w:val="0"/>
              <w:spacing w:line="240" w:lineRule="auto"/>
              <w:jc w:val="both"/>
              <w:rPr>
                <w:rFonts w:cs="Arial"/>
                <w:spacing w:val="-1"/>
                <w:sz w:val="18"/>
                <w:szCs w:val="18"/>
              </w:rPr>
            </w:pPr>
            <w:r w:rsidRPr="00A9330B">
              <w:rPr>
                <w:rFonts w:cs="Arial"/>
                <w:spacing w:val="-1"/>
                <w:sz w:val="18"/>
                <w:szCs w:val="18"/>
              </w:rPr>
              <w:t xml:space="preserve">Plan de circulation </w:t>
            </w:r>
          </w:p>
          <w:p w14:paraId="4F373701" w14:textId="62843DC1" w:rsidR="00FB7027" w:rsidRPr="00A9330B" w:rsidRDefault="00FB7027" w:rsidP="000F7BA7">
            <w:pPr>
              <w:spacing w:before="40" w:line="240" w:lineRule="auto"/>
              <w:jc w:val="both"/>
              <w:rPr>
                <w:rFonts w:cs="Arial"/>
                <w:sz w:val="18"/>
                <w:szCs w:val="18"/>
              </w:rPr>
            </w:pPr>
            <w:r w:rsidRPr="00A9330B">
              <w:rPr>
                <w:rFonts w:cs="Arial"/>
                <w:spacing w:val="-1"/>
                <w:sz w:val="18"/>
                <w:szCs w:val="18"/>
              </w:rPr>
              <w:t xml:space="preserve">Collecte des déchets </w:t>
            </w:r>
          </w:p>
        </w:tc>
        <w:tc>
          <w:tcPr>
            <w:tcW w:w="227" w:type="pct"/>
            <w:vAlign w:val="center"/>
          </w:tcPr>
          <w:p w14:paraId="1445FDAE" w14:textId="386E540E" w:rsidR="00FB7027" w:rsidRPr="00A9330B" w:rsidRDefault="00FB7027" w:rsidP="00FB7027">
            <w:pPr>
              <w:spacing w:before="40" w:line="240" w:lineRule="auto"/>
              <w:rPr>
                <w:rFonts w:cs="Arial"/>
                <w:i/>
                <w:sz w:val="18"/>
                <w:szCs w:val="18"/>
              </w:rPr>
            </w:pPr>
            <w:r w:rsidRPr="00A9330B">
              <w:rPr>
                <w:rFonts w:cs="Arial"/>
                <w:i/>
                <w:sz w:val="18"/>
                <w:szCs w:val="18"/>
              </w:rPr>
              <w:t>X</w:t>
            </w:r>
          </w:p>
        </w:tc>
        <w:tc>
          <w:tcPr>
            <w:tcW w:w="227" w:type="pct"/>
            <w:vAlign w:val="center"/>
          </w:tcPr>
          <w:p w14:paraId="5C21B5AE" w14:textId="7B9B799E" w:rsidR="00FB7027" w:rsidRPr="00A9330B" w:rsidRDefault="00FB7027" w:rsidP="00FB7027">
            <w:pPr>
              <w:spacing w:before="40" w:line="240" w:lineRule="auto"/>
              <w:rPr>
                <w:rFonts w:cs="Arial"/>
                <w:i/>
                <w:sz w:val="18"/>
                <w:szCs w:val="18"/>
              </w:rPr>
            </w:pPr>
            <w:r w:rsidRPr="00A9330B">
              <w:rPr>
                <w:rFonts w:cs="Arial"/>
                <w:i/>
                <w:sz w:val="18"/>
                <w:szCs w:val="18"/>
              </w:rPr>
              <w:t>X</w:t>
            </w:r>
          </w:p>
        </w:tc>
        <w:tc>
          <w:tcPr>
            <w:tcW w:w="227" w:type="pct"/>
            <w:vAlign w:val="center"/>
          </w:tcPr>
          <w:p w14:paraId="1443BA44" w14:textId="1695AF1E" w:rsidR="00FB7027" w:rsidRPr="00A9330B" w:rsidRDefault="00FB7027" w:rsidP="00FB7027">
            <w:pPr>
              <w:spacing w:before="40" w:line="240" w:lineRule="auto"/>
              <w:rPr>
                <w:rFonts w:cs="Arial"/>
                <w:i/>
                <w:sz w:val="18"/>
                <w:szCs w:val="18"/>
              </w:rPr>
            </w:pPr>
            <w:r w:rsidRPr="00A9330B">
              <w:rPr>
                <w:rFonts w:cs="Arial"/>
                <w:i/>
                <w:sz w:val="18"/>
                <w:szCs w:val="18"/>
              </w:rPr>
              <w:t>X</w:t>
            </w:r>
          </w:p>
        </w:tc>
        <w:tc>
          <w:tcPr>
            <w:tcW w:w="227" w:type="pct"/>
            <w:vAlign w:val="center"/>
          </w:tcPr>
          <w:p w14:paraId="054D8551" w14:textId="4A3839B7" w:rsidR="00FB7027" w:rsidRPr="00A9330B" w:rsidRDefault="00FB7027" w:rsidP="00FB7027">
            <w:pPr>
              <w:spacing w:before="40" w:line="240" w:lineRule="auto"/>
              <w:rPr>
                <w:rFonts w:cs="Arial"/>
                <w:i/>
                <w:sz w:val="18"/>
                <w:szCs w:val="18"/>
              </w:rPr>
            </w:pPr>
          </w:p>
        </w:tc>
        <w:tc>
          <w:tcPr>
            <w:tcW w:w="227" w:type="pct"/>
            <w:vAlign w:val="center"/>
          </w:tcPr>
          <w:p w14:paraId="0A003A43" w14:textId="77777777" w:rsidR="00FB7027" w:rsidRPr="00A9330B" w:rsidRDefault="00FB7027" w:rsidP="00FB7027">
            <w:pPr>
              <w:spacing w:before="40" w:line="240" w:lineRule="auto"/>
              <w:rPr>
                <w:rFonts w:cs="Arial"/>
                <w:i/>
                <w:sz w:val="18"/>
                <w:szCs w:val="18"/>
              </w:rPr>
            </w:pPr>
          </w:p>
        </w:tc>
        <w:tc>
          <w:tcPr>
            <w:tcW w:w="227" w:type="pct"/>
            <w:vAlign w:val="center"/>
          </w:tcPr>
          <w:p w14:paraId="45C7DAE8" w14:textId="4D37BD45" w:rsidR="00FB7027" w:rsidRPr="00A9330B" w:rsidRDefault="00FB7027" w:rsidP="00FB7027">
            <w:pPr>
              <w:spacing w:before="40" w:line="240" w:lineRule="auto"/>
              <w:rPr>
                <w:rFonts w:cs="Arial"/>
                <w:i/>
                <w:sz w:val="18"/>
                <w:szCs w:val="18"/>
              </w:rPr>
            </w:pPr>
            <w:r w:rsidRPr="00A9330B">
              <w:rPr>
                <w:rFonts w:cs="Arial"/>
                <w:i/>
                <w:sz w:val="18"/>
                <w:szCs w:val="18"/>
              </w:rPr>
              <w:t>X</w:t>
            </w:r>
          </w:p>
        </w:tc>
        <w:tc>
          <w:tcPr>
            <w:tcW w:w="227" w:type="pct"/>
            <w:vAlign w:val="center"/>
          </w:tcPr>
          <w:p w14:paraId="1F25C376" w14:textId="6E64DE40" w:rsidR="00FB7027" w:rsidRPr="00A9330B" w:rsidRDefault="00FB7027" w:rsidP="00FB7027">
            <w:pPr>
              <w:spacing w:before="40" w:line="240" w:lineRule="auto"/>
              <w:rPr>
                <w:rFonts w:cs="Arial"/>
                <w:i/>
                <w:sz w:val="18"/>
                <w:szCs w:val="18"/>
              </w:rPr>
            </w:pPr>
            <w:r w:rsidRPr="00A9330B">
              <w:rPr>
                <w:rFonts w:cs="Arial"/>
                <w:i/>
                <w:sz w:val="18"/>
                <w:szCs w:val="18"/>
              </w:rPr>
              <w:t>X</w:t>
            </w:r>
          </w:p>
        </w:tc>
        <w:tc>
          <w:tcPr>
            <w:tcW w:w="227" w:type="pct"/>
            <w:vAlign w:val="center"/>
          </w:tcPr>
          <w:p w14:paraId="06C83CCB" w14:textId="2EAF2374" w:rsidR="00FB7027" w:rsidRPr="00A9330B" w:rsidRDefault="00FB7027" w:rsidP="00FB7027">
            <w:pPr>
              <w:spacing w:before="40" w:line="240" w:lineRule="auto"/>
              <w:rPr>
                <w:rFonts w:cs="Arial"/>
                <w:i/>
                <w:sz w:val="18"/>
                <w:szCs w:val="18"/>
              </w:rPr>
            </w:pPr>
            <w:r w:rsidRPr="00A9330B">
              <w:rPr>
                <w:rFonts w:cs="Arial"/>
                <w:i/>
                <w:sz w:val="18"/>
                <w:szCs w:val="18"/>
              </w:rPr>
              <w:t>X</w:t>
            </w:r>
          </w:p>
        </w:tc>
        <w:tc>
          <w:tcPr>
            <w:tcW w:w="227" w:type="pct"/>
            <w:vAlign w:val="center"/>
          </w:tcPr>
          <w:p w14:paraId="4AD0F0B1" w14:textId="0FEFE9B1" w:rsidR="00FB7027" w:rsidRPr="00A9330B" w:rsidRDefault="00FB7027" w:rsidP="00FB7027">
            <w:pPr>
              <w:spacing w:before="40" w:line="240" w:lineRule="auto"/>
              <w:rPr>
                <w:rFonts w:cs="Arial"/>
                <w:i/>
                <w:sz w:val="18"/>
                <w:szCs w:val="18"/>
              </w:rPr>
            </w:pPr>
            <w:r w:rsidRPr="00A9330B">
              <w:rPr>
                <w:rFonts w:cs="Arial"/>
                <w:i/>
                <w:sz w:val="18"/>
                <w:szCs w:val="18"/>
              </w:rPr>
              <w:t>X</w:t>
            </w:r>
          </w:p>
        </w:tc>
        <w:tc>
          <w:tcPr>
            <w:tcW w:w="227" w:type="pct"/>
            <w:gridSpan w:val="2"/>
            <w:vAlign w:val="center"/>
          </w:tcPr>
          <w:p w14:paraId="4CAE91F0" w14:textId="01E4E8E5" w:rsidR="00FB7027" w:rsidRPr="00A9330B" w:rsidRDefault="00FB7027" w:rsidP="00FB7027">
            <w:pPr>
              <w:spacing w:before="40" w:line="240" w:lineRule="auto"/>
              <w:rPr>
                <w:rFonts w:cs="Arial"/>
                <w:i/>
                <w:sz w:val="18"/>
                <w:szCs w:val="18"/>
              </w:rPr>
            </w:pPr>
            <w:r w:rsidRPr="00A9330B">
              <w:rPr>
                <w:rFonts w:cs="Arial"/>
                <w:i/>
                <w:sz w:val="18"/>
                <w:szCs w:val="18"/>
              </w:rPr>
              <w:t>X</w:t>
            </w:r>
          </w:p>
        </w:tc>
        <w:tc>
          <w:tcPr>
            <w:tcW w:w="285" w:type="pct"/>
            <w:vAlign w:val="center"/>
          </w:tcPr>
          <w:p w14:paraId="602183A5" w14:textId="4CC56CBE" w:rsidR="00FB7027" w:rsidRPr="00A9330B" w:rsidRDefault="00FB7027" w:rsidP="00FB7027">
            <w:pPr>
              <w:spacing w:before="40" w:line="240" w:lineRule="auto"/>
              <w:rPr>
                <w:rFonts w:cs="Arial"/>
                <w:i/>
                <w:sz w:val="18"/>
                <w:szCs w:val="18"/>
              </w:rPr>
            </w:pPr>
          </w:p>
        </w:tc>
      </w:tr>
      <w:tr w:rsidR="00913D06" w:rsidRPr="00A9330B" w14:paraId="0ECAC701" w14:textId="77777777" w:rsidTr="00E216F6">
        <w:trPr>
          <w:trHeight w:val="163"/>
        </w:trPr>
        <w:tc>
          <w:tcPr>
            <w:tcW w:w="834" w:type="pct"/>
          </w:tcPr>
          <w:p w14:paraId="62183F94" w14:textId="06420CED" w:rsidR="00FB7027" w:rsidRPr="00A9330B" w:rsidRDefault="00FB7027" w:rsidP="000F7BA7">
            <w:pPr>
              <w:spacing w:before="40" w:line="240" w:lineRule="auto"/>
              <w:jc w:val="left"/>
              <w:rPr>
                <w:rFonts w:cs="Arial"/>
                <w:sz w:val="18"/>
                <w:szCs w:val="18"/>
              </w:rPr>
            </w:pPr>
            <w:r w:rsidRPr="00A9330B">
              <w:rPr>
                <w:rFonts w:eastAsia="Calibri" w:cs="Arial"/>
                <w:spacing w:val="-1"/>
                <w:sz w:val="18"/>
                <w:szCs w:val="18"/>
              </w:rPr>
              <w:t>Gestion des déchets de chantiers (solides et liquides)</w:t>
            </w:r>
          </w:p>
        </w:tc>
        <w:tc>
          <w:tcPr>
            <w:tcW w:w="1611" w:type="pct"/>
          </w:tcPr>
          <w:p w14:paraId="574BEA3B" w14:textId="77777777" w:rsidR="00FB7027" w:rsidRPr="00A9330B" w:rsidRDefault="00FB7027" w:rsidP="00BE4C78">
            <w:pPr>
              <w:spacing w:before="40" w:line="240" w:lineRule="auto"/>
              <w:rPr>
                <w:rFonts w:cs="Arial"/>
                <w:sz w:val="18"/>
                <w:szCs w:val="18"/>
              </w:rPr>
            </w:pPr>
          </w:p>
        </w:tc>
        <w:tc>
          <w:tcPr>
            <w:tcW w:w="227" w:type="pct"/>
            <w:vAlign w:val="center"/>
          </w:tcPr>
          <w:p w14:paraId="1665AEA1" w14:textId="1A86D7C5" w:rsidR="00FB7027" w:rsidRPr="00A9330B" w:rsidRDefault="00FB7027" w:rsidP="00FB7027">
            <w:pPr>
              <w:spacing w:before="40" w:line="240" w:lineRule="auto"/>
              <w:rPr>
                <w:rFonts w:cs="Arial"/>
                <w:i/>
                <w:sz w:val="18"/>
                <w:szCs w:val="18"/>
              </w:rPr>
            </w:pPr>
            <w:r w:rsidRPr="00A9330B">
              <w:rPr>
                <w:rFonts w:cs="Arial"/>
                <w:i/>
                <w:sz w:val="18"/>
                <w:szCs w:val="18"/>
              </w:rPr>
              <w:t>X</w:t>
            </w:r>
          </w:p>
        </w:tc>
        <w:tc>
          <w:tcPr>
            <w:tcW w:w="227" w:type="pct"/>
            <w:vAlign w:val="center"/>
          </w:tcPr>
          <w:p w14:paraId="55E91E1E" w14:textId="42104ECC" w:rsidR="00FB7027" w:rsidRPr="00A9330B" w:rsidRDefault="00FB7027" w:rsidP="00FB7027">
            <w:pPr>
              <w:spacing w:before="40" w:line="240" w:lineRule="auto"/>
              <w:rPr>
                <w:rFonts w:cs="Arial"/>
                <w:i/>
                <w:sz w:val="18"/>
                <w:szCs w:val="18"/>
              </w:rPr>
            </w:pPr>
            <w:r w:rsidRPr="00A9330B">
              <w:rPr>
                <w:rFonts w:cs="Arial"/>
                <w:i/>
                <w:sz w:val="18"/>
                <w:szCs w:val="18"/>
              </w:rPr>
              <w:t>X</w:t>
            </w:r>
          </w:p>
        </w:tc>
        <w:tc>
          <w:tcPr>
            <w:tcW w:w="227" w:type="pct"/>
            <w:vAlign w:val="center"/>
          </w:tcPr>
          <w:p w14:paraId="6B35579D" w14:textId="06ABC4B9" w:rsidR="00FB7027" w:rsidRPr="00A9330B" w:rsidRDefault="00FB7027" w:rsidP="00FB7027">
            <w:pPr>
              <w:spacing w:before="40" w:line="240" w:lineRule="auto"/>
              <w:rPr>
                <w:rFonts w:cs="Arial"/>
                <w:i/>
                <w:sz w:val="18"/>
                <w:szCs w:val="18"/>
              </w:rPr>
            </w:pPr>
            <w:r w:rsidRPr="00A9330B">
              <w:rPr>
                <w:rFonts w:cs="Arial"/>
                <w:i/>
                <w:sz w:val="18"/>
                <w:szCs w:val="18"/>
              </w:rPr>
              <w:t>X</w:t>
            </w:r>
          </w:p>
        </w:tc>
        <w:tc>
          <w:tcPr>
            <w:tcW w:w="227" w:type="pct"/>
            <w:vAlign w:val="center"/>
          </w:tcPr>
          <w:p w14:paraId="786EFF65" w14:textId="023F1377" w:rsidR="00FB7027" w:rsidRPr="00A9330B" w:rsidRDefault="00FB7027" w:rsidP="00FB7027">
            <w:pPr>
              <w:spacing w:before="40" w:line="240" w:lineRule="auto"/>
              <w:rPr>
                <w:rFonts w:cs="Arial"/>
                <w:i/>
                <w:sz w:val="18"/>
                <w:szCs w:val="18"/>
              </w:rPr>
            </w:pPr>
          </w:p>
        </w:tc>
        <w:tc>
          <w:tcPr>
            <w:tcW w:w="227" w:type="pct"/>
            <w:vAlign w:val="center"/>
          </w:tcPr>
          <w:p w14:paraId="5548AC1E" w14:textId="77777777" w:rsidR="00FB7027" w:rsidRPr="00A9330B" w:rsidRDefault="00FB7027" w:rsidP="00FB7027">
            <w:pPr>
              <w:spacing w:before="40" w:line="240" w:lineRule="auto"/>
              <w:rPr>
                <w:rFonts w:cs="Arial"/>
                <w:i/>
                <w:sz w:val="18"/>
                <w:szCs w:val="18"/>
              </w:rPr>
            </w:pPr>
          </w:p>
        </w:tc>
        <w:tc>
          <w:tcPr>
            <w:tcW w:w="227" w:type="pct"/>
            <w:vAlign w:val="center"/>
          </w:tcPr>
          <w:p w14:paraId="5FFFE06D" w14:textId="445A899F" w:rsidR="00FB7027" w:rsidRPr="00A9330B" w:rsidRDefault="00FB7027" w:rsidP="00FB7027">
            <w:pPr>
              <w:spacing w:before="40" w:line="240" w:lineRule="auto"/>
              <w:rPr>
                <w:rFonts w:cs="Arial"/>
                <w:i/>
                <w:sz w:val="18"/>
                <w:szCs w:val="18"/>
              </w:rPr>
            </w:pPr>
            <w:r w:rsidRPr="00A9330B">
              <w:rPr>
                <w:rFonts w:cs="Arial"/>
                <w:i/>
                <w:sz w:val="18"/>
                <w:szCs w:val="18"/>
              </w:rPr>
              <w:t>X</w:t>
            </w:r>
          </w:p>
        </w:tc>
        <w:tc>
          <w:tcPr>
            <w:tcW w:w="227" w:type="pct"/>
            <w:vAlign w:val="center"/>
          </w:tcPr>
          <w:p w14:paraId="76519427" w14:textId="605E74D9" w:rsidR="00FB7027" w:rsidRPr="00A9330B" w:rsidRDefault="00FB7027" w:rsidP="00FB7027">
            <w:pPr>
              <w:spacing w:before="40" w:line="240" w:lineRule="auto"/>
              <w:rPr>
                <w:rFonts w:cs="Arial"/>
                <w:i/>
                <w:sz w:val="18"/>
                <w:szCs w:val="18"/>
              </w:rPr>
            </w:pPr>
            <w:r w:rsidRPr="00A9330B">
              <w:rPr>
                <w:rFonts w:cs="Arial"/>
                <w:i/>
                <w:sz w:val="18"/>
                <w:szCs w:val="18"/>
              </w:rPr>
              <w:t>X</w:t>
            </w:r>
          </w:p>
        </w:tc>
        <w:tc>
          <w:tcPr>
            <w:tcW w:w="227" w:type="pct"/>
            <w:vAlign w:val="center"/>
          </w:tcPr>
          <w:p w14:paraId="32ADA537" w14:textId="22B58BBD" w:rsidR="00FB7027" w:rsidRPr="00A9330B" w:rsidRDefault="00FB7027" w:rsidP="00FB7027">
            <w:pPr>
              <w:spacing w:before="40" w:line="240" w:lineRule="auto"/>
              <w:rPr>
                <w:rFonts w:cs="Arial"/>
                <w:i/>
                <w:sz w:val="18"/>
                <w:szCs w:val="18"/>
              </w:rPr>
            </w:pPr>
            <w:r w:rsidRPr="00A9330B">
              <w:rPr>
                <w:rFonts w:cs="Arial"/>
                <w:i/>
                <w:sz w:val="18"/>
                <w:szCs w:val="18"/>
              </w:rPr>
              <w:t>X</w:t>
            </w:r>
          </w:p>
        </w:tc>
        <w:tc>
          <w:tcPr>
            <w:tcW w:w="227" w:type="pct"/>
            <w:vAlign w:val="center"/>
          </w:tcPr>
          <w:p w14:paraId="4AA7EAFF" w14:textId="29BEA282" w:rsidR="00FB7027" w:rsidRPr="00A9330B" w:rsidRDefault="00FB7027" w:rsidP="00FB7027">
            <w:pPr>
              <w:spacing w:before="40" w:line="240" w:lineRule="auto"/>
              <w:rPr>
                <w:rFonts w:cs="Arial"/>
                <w:i/>
                <w:sz w:val="18"/>
                <w:szCs w:val="18"/>
              </w:rPr>
            </w:pPr>
            <w:r w:rsidRPr="00A9330B">
              <w:rPr>
                <w:rFonts w:cs="Arial"/>
                <w:i/>
                <w:sz w:val="18"/>
                <w:szCs w:val="18"/>
              </w:rPr>
              <w:t>X</w:t>
            </w:r>
          </w:p>
        </w:tc>
        <w:tc>
          <w:tcPr>
            <w:tcW w:w="227" w:type="pct"/>
            <w:gridSpan w:val="2"/>
            <w:vAlign w:val="center"/>
          </w:tcPr>
          <w:p w14:paraId="26EF256F" w14:textId="116D2EB2" w:rsidR="00FB7027" w:rsidRPr="00A9330B" w:rsidRDefault="00FB7027" w:rsidP="00FB7027">
            <w:pPr>
              <w:spacing w:before="40" w:line="240" w:lineRule="auto"/>
              <w:rPr>
                <w:rFonts w:cs="Arial"/>
                <w:i/>
                <w:sz w:val="18"/>
                <w:szCs w:val="18"/>
              </w:rPr>
            </w:pPr>
            <w:r w:rsidRPr="00A9330B">
              <w:rPr>
                <w:rFonts w:cs="Arial"/>
                <w:i/>
                <w:sz w:val="18"/>
                <w:szCs w:val="18"/>
              </w:rPr>
              <w:t>X</w:t>
            </w:r>
          </w:p>
        </w:tc>
        <w:tc>
          <w:tcPr>
            <w:tcW w:w="285" w:type="pct"/>
            <w:vAlign w:val="center"/>
          </w:tcPr>
          <w:p w14:paraId="3F7BE346" w14:textId="54A6A0F1" w:rsidR="00FB7027" w:rsidRPr="00A9330B" w:rsidRDefault="00FB7027" w:rsidP="00FB7027">
            <w:pPr>
              <w:spacing w:before="40" w:line="240" w:lineRule="auto"/>
              <w:rPr>
                <w:rFonts w:cs="Arial"/>
                <w:i/>
                <w:sz w:val="18"/>
                <w:szCs w:val="18"/>
              </w:rPr>
            </w:pPr>
          </w:p>
        </w:tc>
      </w:tr>
      <w:tr w:rsidR="00FB7027" w:rsidRPr="00A9330B" w14:paraId="5784F141" w14:textId="77777777" w:rsidTr="00E7483D">
        <w:trPr>
          <w:trHeight w:val="163"/>
        </w:trPr>
        <w:tc>
          <w:tcPr>
            <w:tcW w:w="5000" w:type="pct"/>
            <w:gridSpan w:val="14"/>
            <w:shd w:val="clear" w:color="auto" w:fill="F7CAAC" w:themeFill="accent2" w:themeFillTint="66"/>
          </w:tcPr>
          <w:p w14:paraId="1D7CCB03" w14:textId="77777777" w:rsidR="00FB7027" w:rsidRPr="00A9330B" w:rsidRDefault="00FB7027" w:rsidP="000F7BA7">
            <w:pPr>
              <w:spacing w:before="40" w:line="240" w:lineRule="auto"/>
              <w:jc w:val="left"/>
              <w:rPr>
                <w:rFonts w:cs="Arial"/>
                <w:b/>
                <w:sz w:val="18"/>
                <w:szCs w:val="18"/>
              </w:rPr>
            </w:pPr>
            <w:r w:rsidRPr="00A9330B">
              <w:rPr>
                <w:rFonts w:cs="Arial"/>
                <w:b/>
                <w:sz w:val="18"/>
                <w:szCs w:val="18"/>
              </w:rPr>
              <w:t>PHASE DE CONSTRUCTION</w:t>
            </w:r>
          </w:p>
        </w:tc>
      </w:tr>
      <w:tr w:rsidR="00525E29" w:rsidRPr="00A9330B" w14:paraId="4F13CBE7" w14:textId="77777777" w:rsidTr="00E216F6">
        <w:trPr>
          <w:trHeight w:val="163"/>
        </w:trPr>
        <w:tc>
          <w:tcPr>
            <w:tcW w:w="834" w:type="pct"/>
          </w:tcPr>
          <w:p w14:paraId="17998092" w14:textId="19034A21" w:rsidR="00525E29" w:rsidRPr="00A9330B" w:rsidRDefault="00525E29" w:rsidP="000F7BA7">
            <w:pPr>
              <w:spacing w:before="60"/>
              <w:jc w:val="left"/>
              <w:rPr>
                <w:rFonts w:cs="Arial"/>
                <w:sz w:val="18"/>
                <w:szCs w:val="18"/>
              </w:rPr>
            </w:pPr>
            <w:r w:rsidRPr="00A9330B">
              <w:rPr>
                <w:rFonts w:cs="Arial"/>
                <w:sz w:val="18"/>
                <w:szCs w:val="18"/>
              </w:rPr>
              <w:t>Transport et circulation (</w:t>
            </w:r>
          </w:p>
          <w:p w14:paraId="76E61B68" w14:textId="77777777" w:rsidR="00525E29" w:rsidRPr="00A9330B" w:rsidRDefault="00525E29" w:rsidP="000F7BA7">
            <w:pPr>
              <w:spacing w:before="60"/>
              <w:jc w:val="left"/>
              <w:rPr>
                <w:rFonts w:cs="Arial"/>
                <w:sz w:val="18"/>
                <w:szCs w:val="18"/>
              </w:rPr>
            </w:pPr>
            <w:r w:rsidRPr="00A9330B">
              <w:rPr>
                <w:rFonts w:cs="Arial"/>
                <w:sz w:val="18"/>
                <w:szCs w:val="18"/>
              </w:rPr>
              <w:t xml:space="preserve">Construction des ouvrages (chaussée, caniveaux, collecteurs,.)  </w:t>
            </w:r>
          </w:p>
          <w:p w14:paraId="2228292D" w14:textId="74B651B9" w:rsidR="00525E29" w:rsidRPr="00A9330B" w:rsidRDefault="00525E29" w:rsidP="000F7BA7">
            <w:pPr>
              <w:spacing w:before="40" w:line="240" w:lineRule="auto"/>
              <w:jc w:val="left"/>
              <w:rPr>
                <w:rFonts w:cs="Arial"/>
                <w:sz w:val="18"/>
                <w:szCs w:val="18"/>
              </w:rPr>
            </w:pPr>
            <w:r w:rsidRPr="00A9330B">
              <w:rPr>
                <w:rFonts w:cs="Arial"/>
                <w:sz w:val="18"/>
                <w:szCs w:val="18"/>
              </w:rPr>
              <w:t>Fournitures et pause des équipements</w:t>
            </w:r>
          </w:p>
        </w:tc>
        <w:tc>
          <w:tcPr>
            <w:tcW w:w="1611" w:type="pct"/>
          </w:tcPr>
          <w:p w14:paraId="6DFF988D" w14:textId="77777777" w:rsidR="00913D06" w:rsidRPr="00A9330B" w:rsidRDefault="00525E29" w:rsidP="000F7BA7">
            <w:pPr>
              <w:spacing w:before="40" w:line="240" w:lineRule="auto"/>
              <w:jc w:val="both"/>
              <w:rPr>
                <w:rFonts w:cs="Arial"/>
                <w:sz w:val="18"/>
                <w:szCs w:val="18"/>
              </w:rPr>
            </w:pPr>
            <w:r w:rsidRPr="00A9330B">
              <w:rPr>
                <w:rFonts w:cs="Arial"/>
                <w:sz w:val="18"/>
                <w:szCs w:val="18"/>
              </w:rPr>
              <w:t>Approvisionnement de matériaux, déplacements des engins, transport du personnel de chantier</w:t>
            </w:r>
          </w:p>
          <w:p w14:paraId="64DAD51D" w14:textId="77777777" w:rsidR="00913D06" w:rsidRPr="00A9330B" w:rsidRDefault="00913D06" w:rsidP="000F7BA7">
            <w:pPr>
              <w:spacing w:before="40" w:line="240" w:lineRule="auto"/>
              <w:jc w:val="both"/>
              <w:rPr>
                <w:rFonts w:cs="Arial"/>
                <w:sz w:val="18"/>
                <w:szCs w:val="18"/>
              </w:rPr>
            </w:pPr>
          </w:p>
          <w:p w14:paraId="28D44EA4" w14:textId="71A5131B" w:rsidR="00525E29" w:rsidRPr="00A9330B" w:rsidRDefault="00525E29" w:rsidP="000F7BA7">
            <w:pPr>
              <w:spacing w:before="40" w:line="240" w:lineRule="auto"/>
              <w:jc w:val="both"/>
              <w:rPr>
                <w:rFonts w:cs="Arial"/>
                <w:sz w:val="18"/>
                <w:szCs w:val="18"/>
              </w:rPr>
            </w:pPr>
            <w:r w:rsidRPr="00A9330B">
              <w:rPr>
                <w:rFonts w:cs="Arial"/>
                <w:sz w:val="18"/>
                <w:szCs w:val="18"/>
              </w:rPr>
              <w:t> </w:t>
            </w:r>
          </w:p>
        </w:tc>
        <w:tc>
          <w:tcPr>
            <w:tcW w:w="227" w:type="pct"/>
            <w:vAlign w:val="center"/>
          </w:tcPr>
          <w:p w14:paraId="73D9BDA5" w14:textId="62A38E53" w:rsidR="00525E29" w:rsidRPr="00A9330B" w:rsidRDefault="00525E29" w:rsidP="00525E29">
            <w:pPr>
              <w:spacing w:before="40" w:line="240" w:lineRule="auto"/>
              <w:rPr>
                <w:rFonts w:cs="Arial"/>
                <w:i/>
                <w:sz w:val="18"/>
                <w:szCs w:val="18"/>
              </w:rPr>
            </w:pPr>
            <w:r w:rsidRPr="00A9330B">
              <w:rPr>
                <w:rFonts w:cs="Arial"/>
                <w:i/>
                <w:sz w:val="18"/>
                <w:szCs w:val="18"/>
              </w:rPr>
              <w:t>X</w:t>
            </w:r>
          </w:p>
        </w:tc>
        <w:tc>
          <w:tcPr>
            <w:tcW w:w="227" w:type="pct"/>
            <w:vAlign w:val="center"/>
          </w:tcPr>
          <w:p w14:paraId="034D5B81" w14:textId="3797FC51" w:rsidR="00525E29" w:rsidRPr="00A9330B" w:rsidRDefault="00525E29" w:rsidP="00525E29">
            <w:pPr>
              <w:spacing w:before="40" w:line="240" w:lineRule="auto"/>
              <w:rPr>
                <w:rFonts w:cs="Arial"/>
                <w:i/>
                <w:sz w:val="18"/>
                <w:szCs w:val="18"/>
              </w:rPr>
            </w:pPr>
            <w:r w:rsidRPr="00A9330B">
              <w:rPr>
                <w:rFonts w:cs="Arial"/>
                <w:i/>
                <w:sz w:val="18"/>
                <w:szCs w:val="18"/>
              </w:rPr>
              <w:t>X</w:t>
            </w:r>
          </w:p>
        </w:tc>
        <w:tc>
          <w:tcPr>
            <w:tcW w:w="227" w:type="pct"/>
            <w:vAlign w:val="center"/>
          </w:tcPr>
          <w:p w14:paraId="49BC2161" w14:textId="5CB7740F" w:rsidR="00525E29" w:rsidRPr="00A9330B" w:rsidRDefault="00525E29" w:rsidP="00525E29">
            <w:pPr>
              <w:spacing w:before="40" w:line="240" w:lineRule="auto"/>
              <w:rPr>
                <w:rFonts w:cs="Arial"/>
                <w:i/>
                <w:sz w:val="18"/>
                <w:szCs w:val="18"/>
              </w:rPr>
            </w:pPr>
            <w:r w:rsidRPr="00A9330B">
              <w:rPr>
                <w:rFonts w:cs="Arial"/>
                <w:i/>
                <w:sz w:val="18"/>
                <w:szCs w:val="18"/>
              </w:rPr>
              <w:t>X</w:t>
            </w:r>
          </w:p>
        </w:tc>
        <w:tc>
          <w:tcPr>
            <w:tcW w:w="227" w:type="pct"/>
            <w:vAlign w:val="center"/>
          </w:tcPr>
          <w:p w14:paraId="515964F3" w14:textId="6E6952CB" w:rsidR="00525E29" w:rsidRPr="00A9330B" w:rsidRDefault="00525E29" w:rsidP="00525E29">
            <w:pPr>
              <w:spacing w:before="40" w:line="240" w:lineRule="auto"/>
              <w:rPr>
                <w:rFonts w:cs="Arial"/>
                <w:i/>
                <w:sz w:val="18"/>
                <w:szCs w:val="18"/>
              </w:rPr>
            </w:pPr>
          </w:p>
        </w:tc>
        <w:tc>
          <w:tcPr>
            <w:tcW w:w="227" w:type="pct"/>
            <w:vAlign w:val="center"/>
          </w:tcPr>
          <w:p w14:paraId="6D829F88" w14:textId="77777777" w:rsidR="00525E29" w:rsidRPr="00A9330B" w:rsidRDefault="00525E29" w:rsidP="00525E29">
            <w:pPr>
              <w:spacing w:before="40" w:line="240" w:lineRule="auto"/>
              <w:rPr>
                <w:rFonts w:cs="Arial"/>
                <w:i/>
                <w:sz w:val="18"/>
                <w:szCs w:val="18"/>
              </w:rPr>
            </w:pPr>
          </w:p>
        </w:tc>
        <w:tc>
          <w:tcPr>
            <w:tcW w:w="227" w:type="pct"/>
            <w:vAlign w:val="center"/>
          </w:tcPr>
          <w:p w14:paraId="472F1BC4" w14:textId="04EC4BFA" w:rsidR="00525E29" w:rsidRPr="00A9330B" w:rsidRDefault="00525E29" w:rsidP="00525E29">
            <w:pPr>
              <w:spacing w:before="40" w:line="240" w:lineRule="auto"/>
              <w:rPr>
                <w:rFonts w:cs="Arial"/>
                <w:i/>
                <w:sz w:val="18"/>
                <w:szCs w:val="18"/>
              </w:rPr>
            </w:pPr>
            <w:r w:rsidRPr="00A9330B">
              <w:rPr>
                <w:rFonts w:cs="Arial"/>
                <w:i/>
                <w:sz w:val="18"/>
                <w:szCs w:val="18"/>
              </w:rPr>
              <w:t>X</w:t>
            </w:r>
          </w:p>
        </w:tc>
        <w:tc>
          <w:tcPr>
            <w:tcW w:w="227" w:type="pct"/>
            <w:vAlign w:val="center"/>
          </w:tcPr>
          <w:p w14:paraId="754915AD" w14:textId="782B7834" w:rsidR="00525E29" w:rsidRPr="00A9330B" w:rsidRDefault="00525E29" w:rsidP="00525E29">
            <w:pPr>
              <w:spacing w:before="40" w:line="240" w:lineRule="auto"/>
              <w:rPr>
                <w:rFonts w:cs="Arial"/>
                <w:i/>
                <w:sz w:val="18"/>
                <w:szCs w:val="18"/>
              </w:rPr>
            </w:pPr>
            <w:r w:rsidRPr="00A9330B">
              <w:rPr>
                <w:rFonts w:cs="Arial"/>
                <w:i/>
                <w:sz w:val="18"/>
                <w:szCs w:val="18"/>
              </w:rPr>
              <w:t>X</w:t>
            </w:r>
          </w:p>
        </w:tc>
        <w:tc>
          <w:tcPr>
            <w:tcW w:w="227" w:type="pct"/>
            <w:vAlign w:val="center"/>
          </w:tcPr>
          <w:p w14:paraId="0FD18822" w14:textId="36AF608C" w:rsidR="00525E29" w:rsidRPr="00A9330B" w:rsidRDefault="00525E29" w:rsidP="00525E29">
            <w:pPr>
              <w:spacing w:before="40" w:line="240" w:lineRule="auto"/>
              <w:rPr>
                <w:rFonts w:cs="Arial"/>
                <w:i/>
                <w:sz w:val="18"/>
                <w:szCs w:val="18"/>
              </w:rPr>
            </w:pPr>
            <w:r w:rsidRPr="00A9330B">
              <w:rPr>
                <w:rFonts w:cs="Arial"/>
                <w:i/>
                <w:sz w:val="18"/>
                <w:szCs w:val="18"/>
              </w:rPr>
              <w:t>X</w:t>
            </w:r>
          </w:p>
        </w:tc>
        <w:tc>
          <w:tcPr>
            <w:tcW w:w="227" w:type="pct"/>
            <w:vAlign w:val="center"/>
          </w:tcPr>
          <w:p w14:paraId="7460449C" w14:textId="0117A5DE" w:rsidR="00525E29" w:rsidRPr="00A9330B" w:rsidRDefault="00525E29" w:rsidP="00525E29">
            <w:pPr>
              <w:spacing w:before="40" w:line="240" w:lineRule="auto"/>
              <w:rPr>
                <w:rFonts w:cs="Arial"/>
                <w:i/>
                <w:sz w:val="18"/>
                <w:szCs w:val="18"/>
              </w:rPr>
            </w:pPr>
            <w:r w:rsidRPr="00A9330B">
              <w:rPr>
                <w:rFonts w:cs="Arial"/>
                <w:i/>
                <w:sz w:val="18"/>
                <w:szCs w:val="18"/>
              </w:rPr>
              <w:t>X</w:t>
            </w:r>
          </w:p>
        </w:tc>
        <w:tc>
          <w:tcPr>
            <w:tcW w:w="227" w:type="pct"/>
            <w:gridSpan w:val="2"/>
            <w:vAlign w:val="center"/>
          </w:tcPr>
          <w:p w14:paraId="2C3500B8" w14:textId="0342E24F" w:rsidR="00525E29" w:rsidRPr="00A9330B" w:rsidRDefault="00525E29" w:rsidP="00525E29">
            <w:pPr>
              <w:spacing w:before="40" w:line="240" w:lineRule="auto"/>
              <w:rPr>
                <w:rFonts w:cs="Arial"/>
                <w:i/>
                <w:sz w:val="18"/>
                <w:szCs w:val="18"/>
              </w:rPr>
            </w:pPr>
            <w:r w:rsidRPr="00A9330B">
              <w:rPr>
                <w:rFonts w:cs="Arial"/>
                <w:i/>
                <w:sz w:val="18"/>
                <w:szCs w:val="18"/>
              </w:rPr>
              <w:t>X</w:t>
            </w:r>
          </w:p>
        </w:tc>
        <w:tc>
          <w:tcPr>
            <w:tcW w:w="285" w:type="pct"/>
            <w:vAlign w:val="center"/>
          </w:tcPr>
          <w:p w14:paraId="086969FD" w14:textId="223BBEFB" w:rsidR="00525E29" w:rsidRPr="00A9330B" w:rsidRDefault="00525E29" w:rsidP="00525E29">
            <w:pPr>
              <w:spacing w:before="40" w:line="240" w:lineRule="auto"/>
              <w:rPr>
                <w:rFonts w:cs="Arial"/>
                <w:i/>
                <w:sz w:val="18"/>
                <w:szCs w:val="18"/>
              </w:rPr>
            </w:pPr>
          </w:p>
        </w:tc>
      </w:tr>
      <w:tr w:rsidR="00525E29" w:rsidRPr="00A9330B" w14:paraId="4DCEEE69" w14:textId="77777777" w:rsidTr="00E216F6">
        <w:trPr>
          <w:trHeight w:val="163"/>
        </w:trPr>
        <w:tc>
          <w:tcPr>
            <w:tcW w:w="834" w:type="pct"/>
          </w:tcPr>
          <w:p w14:paraId="49DF8ED5" w14:textId="77777777" w:rsidR="00525E29" w:rsidRPr="00A9330B" w:rsidRDefault="00525E29" w:rsidP="000F7BA7">
            <w:pPr>
              <w:widowControl w:val="0"/>
              <w:tabs>
                <w:tab w:val="left" w:pos="426"/>
                <w:tab w:val="left" w:pos="851"/>
                <w:tab w:val="left" w:pos="1134"/>
              </w:tabs>
              <w:overflowPunct w:val="0"/>
              <w:autoSpaceDE w:val="0"/>
              <w:autoSpaceDN w:val="0"/>
              <w:adjustRightInd w:val="0"/>
              <w:spacing w:line="240" w:lineRule="auto"/>
              <w:jc w:val="left"/>
              <w:textAlignment w:val="baseline"/>
              <w:rPr>
                <w:rFonts w:eastAsia="Times New Roman" w:cs="Arial"/>
                <w:color w:val="auto"/>
                <w:sz w:val="18"/>
                <w:szCs w:val="18"/>
                <w:lang w:eastAsia="fr-FR"/>
              </w:rPr>
            </w:pPr>
          </w:p>
          <w:p w14:paraId="20776184" w14:textId="77777777" w:rsidR="00525E29" w:rsidRPr="00A9330B" w:rsidRDefault="00525E29" w:rsidP="000F7BA7">
            <w:pPr>
              <w:widowControl w:val="0"/>
              <w:tabs>
                <w:tab w:val="left" w:pos="426"/>
                <w:tab w:val="left" w:pos="851"/>
                <w:tab w:val="left" w:pos="1134"/>
              </w:tabs>
              <w:overflowPunct w:val="0"/>
              <w:autoSpaceDE w:val="0"/>
              <w:autoSpaceDN w:val="0"/>
              <w:adjustRightInd w:val="0"/>
              <w:spacing w:line="240" w:lineRule="auto"/>
              <w:jc w:val="left"/>
              <w:textAlignment w:val="baseline"/>
              <w:rPr>
                <w:rFonts w:eastAsia="Times New Roman" w:cs="Arial"/>
                <w:color w:val="auto"/>
                <w:sz w:val="18"/>
                <w:szCs w:val="18"/>
                <w:lang w:eastAsia="fr-FR"/>
              </w:rPr>
            </w:pPr>
            <w:r w:rsidRPr="00A9330B">
              <w:rPr>
                <w:rFonts w:eastAsia="Times New Roman" w:cs="Arial"/>
                <w:color w:val="auto"/>
                <w:sz w:val="18"/>
                <w:szCs w:val="18"/>
                <w:lang w:eastAsia="fr-FR"/>
              </w:rPr>
              <w:t xml:space="preserve">Signalisation </w:t>
            </w:r>
          </w:p>
          <w:p w14:paraId="25E2C1F3" w14:textId="77777777" w:rsidR="00525E29" w:rsidRPr="00A9330B" w:rsidRDefault="00525E29" w:rsidP="000F7BA7">
            <w:pPr>
              <w:widowControl w:val="0"/>
              <w:tabs>
                <w:tab w:val="left" w:pos="426"/>
                <w:tab w:val="left" w:pos="851"/>
                <w:tab w:val="left" w:pos="1134"/>
              </w:tabs>
              <w:overflowPunct w:val="0"/>
              <w:autoSpaceDE w:val="0"/>
              <w:autoSpaceDN w:val="0"/>
              <w:adjustRightInd w:val="0"/>
              <w:spacing w:line="240" w:lineRule="auto"/>
              <w:jc w:val="left"/>
              <w:textAlignment w:val="baseline"/>
              <w:rPr>
                <w:rFonts w:eastAsia="Times New Roman" w:cs="Arial"/>
                <w:color w:val="auto"/>
                <w:sz w:val="18"/>
                <w:szCs w:val="18"/>
                <w:lang w:eastAsia="fr-FR"/>
              </w:rPr>
            </w:pPr>
          </w:p>
        </w:tc>
        <w:tc>
          <w:tcPr>
            <w:tcW w:w="1611" w:type="pct"/>
          </w:tcPr>
          <w:p w14:paraId="1EE4BA28" w14:textId="77777777" w:rsidR="00525E29" w:rsidRPr="00A9330B" w:rsidRDefault="00525E29" w:rsidP="000F7BA7">
            <w:pPr>
              <w:spacing w:line="240" w:lineRule="auto"/>
              <w:jc w:val="both"/>
              <w:rPr>
                <w:rFonts w:eastAsia="Calibri" w:cs="Arial"/>
                <w:color w:val="auto"/>
                <w:sz w:val="18"/>
                <w:szCs w:val="18"/>
              </w:rPr>
            </w:pPr>
            <w:r w:rsidRPr="00A9330B">
              <w:rPr>
                <w:rFonts w:eastAsia="Calibri" w:cs="Arial"/>
                <w:color w:val="auto"/>
                <w:sz w:val="18"/>
                <w:szCs w:val="18"/>
              </w:rPr>
              <w:t>Mise en place des panneaux de chantier</w:t>
            </w:r>
          </w:p>
          <w:p w14:paraId="47C642A8" w14:textId="77777777" w:rsidR="00525E29" w:rsidRPr="00A9330B" w:rsidRDefault="00525E29" w:rsidP="000F7BA7">
            <w:pPr>
              <w:spacing w:line="240" w:lineRule="auto"/>
              <w:jc w:val="both"/>
              <w:rPr>
                <w:rFonts w:eastAsia="Calibri" w:cs="Arial"/>
                <w:color w:val="auto"/>
                <w:sz w:val="18"/>
                <w:szCs w:val="18"/>
              </w:rPr>
            </w:pPr>
            <w:r w:rsidRPr="00A9330B">
              <w:rPr>
                <w:rFonts w:eastAsia="Calibri" w:cs="Arial"/>
                <w:color w:val="auto"/>
                <w:sz w:val="18"/>
                <w:szCs w:val="18"/>
              </w:rPr>
              <w:t xml:space="preserve">Balisage du chantier </w:t>
            </w:r>
          </w:p>
          <w:p w14:paraId="1BF814BB" w14:textId="77777777" w:rsidR="00525E29" w:rsidRPr="00A9330B" w:rsidRDefault="00525E29" w:rsidP="000F7BA7">
            <w:pPr>
              <w:spacing w:line="240" w:lineRule="auto"/>
              <w:jc w:val="both"/>
              <w:rPr>
                <w:rFonts w:eastAsia="Calibri" w:cs="Arial"/>
                <w:color w:val="auto"/>
                <w:sz w:val="18"/>
                <w:szCs w:val="18"/>
              </w:rPr>
            </w:pPr>
            <w:r w:rsidRPr="00A9330B">
              <w:rPr>
                <w:rFonts w:eastAsia="Calibri" w:cs="Arial"/>
                <w:color w:val="auto"/>
                <w:sz w:val="18"/>
                <w:szCs w:val="18"/>
              </w:rPr>
              <w:t>Indication des déviations</w:t>
            </w:r>
          </w:p>
          <w:p w14:paraId="073750A3" w14:textId="173FFA6A" w:rsidR="00525E29" w:rsidRPr="00A9330B" w:rsidRDefault="00525E29" w:rsidP="000F7BA7">
            <w:pPr>
              <w:spacing w:line="240" w:lineRule="auto"/>
              <w:jc w:val="both"/>
              <w:rPr>
                <w:rFonts w:eastAsia="Calibri" w:cs="Arial"/>
                <w:color w:val="auto"/>
                <w:sz w:val="18"/>
                <w:szCs w:val="18"/>
              </w:rPr>
            </w:pPr>
            <w:r w:rsidRPr="00A9330B">
              <w:rPr>
                <w:rFonts w:eastAsia="Calibri" w:cs="Arial"/>
                <w:color w:val="auto"/>
                <w:sz w:val="18"/>
                <w:szCs w:val="18"/>
              </w:rPr>
              <w:t xml:space="preserve">Eclairage  de chantier  </w:t>
            </w:r>
          </w:p>
        </w:tc>
        <w:tc>
          <w:tcPr>
            <w:tcW w:w="227" w:type="pct"/>
            <w:vAlign w:val="center"/>
          </w:tcPr>
          <w:p w14:paraId="701D2A05" w14:textId="77777777" w:rsidR="00525E29" w:rsidRPr="00A9330B" w:rsidRDefault="00525E29" w:rsidP="00525E29">
            <w:pPr>
              <w:spacing w:before="40" w:line="240" w:lineRule="auto"/>
              <w:rPr>
                <w:rFonts w:cs="Arial"/>
                <w:i/>
                <w:sz w:val="18"/>
                <w:szCs w:val="18"/>
              </w:rPr>
            </w:pPr>
          </w:p>
        </w:tc>
        <w:tc>
          <w:tcPr>
            <w:tcW w:w="227" w:type="pct"/>
            <w:vAlign w:val="center"/>
          </w:tcPr>
          <w:p w14:paraId="29E1F37C" w14:textId="0C767BFE" w:rsidR="00525E29" w:rsidRPr="00A9330B" w:rsidRDefault="00525E29" w:rsidP="00525E29">
            <w:pPr>
              <w:spacing w:before="40" w:line="240" w:lineRule="auto"/>
              <w:rPr>
                <w:rFonts w:cs="Arial"/>
                <w:i/>
                <w:sz w:val="18"/>
                <w:szCs w:val="18"/>
              </w:rPr>
            </w:pPr>
            <w:r w:rsidRPr="00A9330B">
              <w:rPr>
                <w:rFonts w:cs="Arial"/>
                <w:i/>
                <w:sz w:val="18"/>
                <w:szCs w:val="18"/>
              </w:rPr>
              <w:t>X</w:t>
            </w:r>
          </w:p>
        </w:tc>
        <w:tc>
          <w:tcPr>
            <w:tcW w:w="227" w:type="pct"/>
            <w:vAlign w:val="center"/>
          </w:tcPr>
          <w:p w14:paraId="5C46A4A7" w14:textId="77777777" w:rsidR="00525E29" w:rsidRPr="00A9330B" w:rsidRDefault="00525E29" w:rsidP="00525E29">
            <w:pPr>
              <w:spacing w:before="40" w:line="240" w:lineRule="auto"/>
              <w:rPr>
                <w:rFonts w:cs="Arial"/>
                <w:i/>
                <w:sz w:val="18"/>
                <w:szCs w:val="18"/>
              </w:rPr>
            </w:pPr>
          </w:p>
        </w:tc>
        <w:tc>
          <w:tcPr>
            <w:tcW w:w="227" w:type="pct"/>
            <w:vAlign w:val="center"/>
          </w:tcPr>
          <w:p w14:paraId="1D2774E2" w14:textId="77777777" w:rsidR="00525E29" w:rsidRPr="00A9330B" w:rsidRDefault="00525E29" w:rsidP="00525E29">
            <w:pPr>
              <w:spacing w:before="40" w:line="240" w:lineRule="auto"/>
              <w:rPr>
                <w:rFonts w:cs="Arial"/>
                <w:i/>
                <w:sz w:val="18"/>
                <w:szCs w:val="18"/>
              </w:rPr>
            </w:pPr>
          </w:p>
        </w:tc>
        <w:tc>
          <w:tcPr>
            <w:tcW w:w="227" w:type="pct"/>
            <w:vAlign w:val="center"/>
          </w:tcPr>
          <w:p w14:paraId="0DBBD041" w14:textId="77777777" w:rsidR="00525E29" w:rsidRPr="00A9330B" w:rsidRDefault="00525E29" w:rsidP="00525E29">
            <w:pPr>
              <w:spacing w:before="40" w:line="240" w:lineRule="auto"/>
              <w:rPr>
                <w:rFonts w:cs="Arial"/>
                <w:i/>
                <w:sz w:val="18"/>
                <w:szCs w:val="18"/>
              </w:rPr>
            </w:pPr>
          </w:p>
        </w:tc>
        <w:tc>
          <w:tcPr>
            <w:tcW w:w="227" w:type="pct"/>
            <w:vAlign w:val="center"/>
          </w:tcPr>
          <w:p w14:paraId="79311265" w14:textId="77777777" w:rsidR="00525E29" w:rsidRPr="00A9330B" w:rsidRDefault="00525E29" w:rsidP="00525E29">
            <w:pPr>
              <w:spacing w:before="40" w:line="240" w:lineRule="auto"/>
              <w:rPr>
                <w:rFonts w:cs="Arial"/>
                <w:i/>
                <w:sz w:val="18"/>
                <w:szCs w:val="18"/>
              </w:rPr>
            </w:pPr>
          </w:p>
        </w:tc>
        <w:tc>
          <w:tcPr>
            <w:tcW w:w="227" w:type="pct"/>
            <w:vAlign w:val="center"/>
          </w:tcPr>
          <w:p w14:paraId="6A9BA327" w14:textId="387F7DB1" w:rsidR="00525E29" w:rsidRPr="00A9330B" w:rsidRDefault="00525E29" w:rsidP="00525E29">
            <w:pPr>
              <w:spacing w:before="40" w:line="240" w:lineRule="auto"/>
              <w:rPr>
                <w:rFonts w:cs="Arial"/>
                <w:i/>
                <w:sz w:val="18"/>
                <w:szCs w:val="18"/>
              </w:rPr>
            </w:pPr>
            <w:r w:rsidRPr="00A9330B">
              <w:rPr>
                <w:rFonts w:cs="Arial"/>
                <w:i/>
                <w:sz w:val="18"/>
                <w:szCs w:val="18"/>
              </w:rPr>
              <w:t>X</w:t>
            </w:r>
          </w:p>
        </w:tc>
        <w:tc>
          <w:tcPr>
            <w:tcW w:w="227" w:type="pct"/>
            <w:vAlign w:val="center"/>
          </w:tcPr>
          <w:p w14:paraId="6FCEEFBF" w14:textId="0E05AE8B" w:rsidR="00525E29" w:rsidRPr="00A9330B" w:rsidRDefault="00525E29" w:rsidP="00525E29">
            <w:pPr>
              <w:spacing w:before="40" w:line="240" w:lineRule="auto"/>
              <w:rPr>
                <w:rFonts w:cs="Arial"/>
                <w:i/>
                <w:sz w:val="18"/>
                <w:szCs w:val="18"/>
              </w:rPr>
            </w:pPr>
            <w:r w:rsidRPr="00A9330B">
              <w:rPr>
                <w:rFonts w:cs="Arial"/>
                <w:i/>
                <w:sz w:val="18"/>
                <w:szCs w:val="18"/>
              </w:rPr>
              <w:t>X</w:t>
            </w:r>
          </w:p>
        </w:tc>
        <w:tc>
          <w:tcPr>
            <w:tcW w:w="227" w:type="pct"/>
            <w:vAlign w:val="center"/>
          </w:tcPr>
          <w:p w14:paraId="70D077C2" w14:textId="0B05C9AA" w:rsidR="00525E29" w:rsidRPr="00A9330B" w:rsidRDefault="00525E29" w:rsidP="00525E29">
            <w:pPr>
              <w:spacing w:before="40" w:line="240" w:lineRule="auto"/>
              <w:rPr>
                <w:rFonts w:cs="Arial"/>
                <w:i/>
                <w:sz w:val="18"/>
                <w:szCs w:val="18"/>
              </w:rPr>
            </w:pPr>
            <w:r w:rsidRPr="00A9330B">
              <w:rPr>
                <w:rFonts w:cs="Arial"/>
                <w:i/>
                <w:sz w:val="18"/>
                <w:szCs w:val="18"/>
              </w:rPr>
              <w:t>X</w:t>
            </w:r>
          </w:p>
        </w:tc>
        <w:tc>
          <w:tcPr>
            <w:tcW w:w="227" w:type="pct"/>
            <w:gridSpan w:val="2"/>
            <w:vAlign w:val="center"/>
          </w:tcPr>
          <w:p w14:paraId="088F339C" w14:textId="781636F3" w:rsidR="00525E29" w:rsidRPr="00A9330B" w:rsidRDefault="00525E29" w:rsidP="00525E29">
            <w:pPr>
              <w:spacing w:before="40" w:line="240" w:lineRule="auto"/>
              <w:rPr>
                <w:rFonts w:cs="Arial"/>
                <w:i/>
                <w:sz w:val="18"/>
                <w:szCs w:val="18"/>
              </w:rPr>
            </w:pPr>
            <w:r w:rsidRPr="00A9330B">
              <w:rPr>
                <w:rFonts w:cs="Arial"/>
                <w:i/>
                <w:sz w:val="18"/>
                <w:szCs w:val="18"/>
              </w:rPr>
              <w:t>X</w:t>
            </w:r>
          </w:p>
        </w:tc>
        <w:tc>
          <w:tcPr>
            <w:tcW w:w="285" w:type="pct"/>
            <w:vAlign w:val="center"/>
          </w:tcPr>
          <w:p w14:paraId="78BB8AF6" w14:textId="77777777" w:rsidR="00525E29" w:rsidRPr="00A9330B" w:rsidRDefault="00525E29" w:rsidP="00525E29">
            <w:pPr>
              <w:spacing w:before="40" w:line="240" w:lineRule="auto"/>
              <w:rPr>
                <w:rFonts w:cs="Arial"/>
                <w:i/>
                <w:sz w:val="18"/>
                <w:szCs w:val="18"/>
              </w:rPr>
            </w:pPr>
          </w:p>
        </w:tc>
      </w:tr>
      <w:tr w:rsidR="00525E29" w:rsidRPr="00A9330B" w14:paraId="4C5DCBD4" w14:textId="77777777" w:rsidTr="00E216F6">
        <w:trPr>
          <w:trHeight w:val="163"/>
        </w:trPr>
        <w:tc>
          <w:tcPr>
            <w:tcW w:w="834" w:type="pct"/>
          </w:tcPr>
          <w:p w14:paraId="5D0F29D6" w14:textId="77777777" w:rsidR="00525E29" w:rsidRPr="00A9330B" w:rsidRDefault="00525E29" w:rsidP="000F7BA7">
            <w:pPr>
              <w:widowControl w:val="0"/>
              <w:tabs>
                <w:tab w:val="left" w:pos="426"/>
                <w:tab w:val="left" w:pos="851"/>
                <w:tab w:val="left" w:pos="1134"/>
              </w:tabs>
              <w:overflowPunct w:val="0"/>
              <w:autoSpaceDE w:val="0"/>
              <w:autoSpaceDN w:val="0"/>
              <w:adjustRightInd w:val="0"/>
              <w:spacing w:line="240" w:lineRule="auto"/>
              <w:jc w:val="left"/>
              <w:textAlignment w:val="baseline"/>
              <w:rPr>
                <w:rFonts w:eastAsia="Times New Roman" w:cs="Arial"/>
                <w:color w:val="auto"/>
                <w:sz w:val="18"/>
                <w:szCs w:val="18"/>
                <w:lang w:eastAsia="fr-FR"/>
              </w:rPr>
            </w:pPr>
          </w:p>
          <w:p w14:paraId="39F378FD" w14:textId="29C4E14B" w:rsidR="00525E29" w:rsidRPr="00A9330B" w:rsidRDefault="00525E29" w:rsidP="000F7BA7">
            <w:pPr>
              <w:spacing w:before="40" w:line="240" w:lineRule="auto"/>
              <w:jc w:val="left"/>
              <w:rPr>
                <w:rFonts w:cs="Arial"/>
                <w:sz w:val="18"/>
                <w:szCs w:val="18"/>
              </w:rPr>
            </w:pPr>
            <w:r w:rsidRPr="00A9330B">
              <w:rPr>
                <w:rFonts w:eastAsia="Times New Roman" w:cs="Arial"/>
                <w:color w:val="auto"/>
                <w:sz w:val="18"/>
                <w:szCs w:val="18"/>
                <w:lang w:eastAsia="fr-FR"/>
              </w:rPr>
              <w:t xml:space="preserve">Aménagement et entretiens des déviations </w:t>
            </w:r>
          </w:p>
        </w:tc>
        <w:tc>
          <w:tcPr>
            <w:tcW w:w="1611" w:type="pct"/>
          </w:tcPr>
          <w:p w14:paraId="06DB907C" w14:textId="77777777" w:rsidR="00525E29" w:rsidRPr="00A9330B" w:rsidRDefault="00525E29" w:rsidP="000F7BA7">
            <w:pPr>
              <w:spacing w:line="240" w:lineRule="auto"/>
              <w:jc w:val="both"/>
              <w:rPr>
                <w:rFonts w:eastAsia="Calibri" w:cs="Arial"/>
                <w:color w:val="auto"/>
                <w:sz w:val="18"/>
                <w:szCs w:val="18"/>
              </w:rPr>
            </w:pPr>
            <w:r w:rsidRPr="00A9330B">
              <w:rPr>
                <w:rFonts w:eastAsia="Calibri" w:cs="Arial"/>
                <w:color w:val="auto"/>
                <w:sz w:val="18"/>
                <w:szCs w:val="18"/>
              </w:rPr>
              <w:t>Nettoyage des sites</w:t>
            </w:r>
          </w:p>
          <w:p w14:paraId="304293BB" w14:textId="77777777" w:rsidR="00525E29" w:rsidRPr="00A9330B" w:rsidRDefault="00525E29" w:rsidP="000F7BA7">
            <w:pPr>
              <w:spacing w:line="240" w:lineRule="auto"/>
              <w:jc w:val="both"/>
              <w:rPr>
                <w:rFonts w:eastAsia="Calibri" w:cs="Arial"/>
                <w:color w:val="auto"/>
                <w:sz w:val="18"/>
                <w:szCs w:val="18"/>
              </w:rPr>
            </w:pPr>
            <w:r w:rsidRPr="00A9330B">
              <w:rPr>
                <w:rFonts w:eastAsia="Calibri" w:cs="Arial"/>
                <w:color w:val="auto"/>
                <w:sz w:val="18"/>
                <w:szCs w:val="18"/>
              </w:rPr>
              <w:t>Débroussaillage – Décapage</w:t>
            </w:r>
          </w:p>
          <w:p w14:paraId="052A3222" w14:textId="77777777" w:rsidR="00525E29" w:rsidRPr="00A9330B" w:rsidRDefault="00525E29" w:rsidP="000F7BA7">
            <w:pPr>
              <w:spacing w:line="240" w:lineRule="auto"/>
              <w:jc w:val="both"/>
              <w:rPr>
                <w:rFonts w:cs="Arial"/>
                <w:spacing w:val="-1"/>
                <w:sz w:val="18"/>
                <w:szCs w:val="18"/>
              </w:rPr>
            </w:pPr>
            <w:r w:rsidRPr="00A9330B">
              <w:rPr>
                <w:rFonts w:eastAsia="Calibri" w:cs="Arial"/>
                <w:color w:val="auto"/>
                <w:sz w:val="18"/>
                <w:szCs w:val="18"/>
              </w:rPr>
              <w:t>Profilage des déviations</w:t>
            </w:r>
            <w:r w:rsidRPr="00A9330B">
              <w:rPr>
                <w:rFonts w:cs="Arial"/>
                <w:spacing w:val="-1"/>
                <w:sz w:val="18"/>
                <w:szCs w:val="18"/>
              </w:rPr>
              <w:t xml:space="preserve"> </w:t>
            </w:r>
          </w:p>
          <w:p w14:paraId="4C755741" w14:textId="3ED1FF3B" w:rsidR="00525E29" w:rsidRPr="00A9330B" w:rsidRDefault="00525E29" w:rsidP="000F7BA7">
            <w:pPr>
              <w:spacing w:before="40" w:line="240" w:lineRule="auto"/>
              <w:jc w:val="both"/>
              <w:rPr>
                <w:rFonts w:cs="Arial"/>
                <w:sz w:val="18"/>
                <w:szCs w:val="18"/>
              </w:rPr>
            </w:pPr>
            <w:r w:rsidRPr="00A9330B">
              <w:rPr>
                <w:rFonts w:cs="Arial"/>
                <w:spacing w:val="-1"/>
                <w:sz w:val="18"/>
                <w:szCs w:val="18"/>
              </w:rPr>
              <w:t>Entretien courant de la déviation</w:t>
            </w:r>
          </w:p>
        </w:tc>
        <w:tc>
          <w:tcPr>
            <w:tcW w:w="227" w:type="pct"/>
            <w:vAlign w:val="center"/>
          </w:tcPr>
          <w:p w14:paraId="4CA12E2E" w14:textId="561CFBA0" w:rsidR="00525E29" w:rsidRPr="00A9330B" w:rsidRDefault="00525E29" w:rsidP="00525E29">
            <w:pPr>
              <w:spacing w:before="40" w:line="240" w:lineRule="auto"/>
              <w:rPr>
                <w:rFonts w:cs="Arial"/>
                <w:i/>
                <w:sz w:val="18"/>
                <w:szCs w:val="18"/>
              </w:rPr>
            </w:pPr>
            <w:r w:rsidRPr="00A9330B">
              <w:rPr>
                <w:rFonts w:cs="Arial"/>
                <w:i/>
                <w:sz w:val="18"/>
                <w:szCs w:val="18"/>
              </w:rPr>
              <w:t>X</w:t>
            </w:r>
          </w:p>
        </w:tc>
        <w:tc>
          <w:tcPr>
            <w:tcW w:w="227" w:type="pct"/>
            <w:vAlign w:val="center"/>
          </w:tcPr>
          <w:p w14:paraId="5E75852F" w14:textId="30EE1BB1" w:rsidR="00525E29" w:rsidRPr="00A9330B" w:rsidRDefault="00525E29" w:rsidP="00525E29">
            <w:pPr>
              <w:spacing w:before="40" w:line="240" w:lineRule="auto"/>
              <w:rPr>
                <w:rFonts w:cs="Arial"/>
                <w:i/>
                <w:sz w:val="18"/>
                <w:szCs w:val="18"/>
              </w:rPr>
            </w:pPr>
            <w:r w:rsidRPr="00A9330B">
              <w:rPr>
                <w:rFonts w:cs="Arial"/>
                <w:i/>
                <w:sz w:val="18"/>
                <w:szCs w:val="18"/>
              </w:rPr>
              <w:t>X</w:t>
            </w:r>
          </w:p>
        </w:tc>
        <w:tc>
          <w:tcPr>
            <w:tcW w:w="227" w:type="pct"/>
            <w:vAlign w:val="center"/>
          </w:tcPr>
          <w:p w14:paraId="5D833A2F" w14:textId="4C9C7663" w:rsidR="00525E29" w:rsidRPr="00A9330B" w:rsidRDefault="00525E29" w:rsidP="00525E29">
            <w:pPr>
              <w:spacing w:before="40" w:line="240" w:lineRule="auto"/>
              <w:rPr>
                <w:rFonts w:cs="Arial"/>
                <w:i/>
                <w:sz w:val="18"/>
                <w:szCs w:val="18"/>
              </w:rPr>
            </w:pPr>
          </w:p>
        </w:tc>
        <w:tc>
          <w:tcPr>
            <w:tcW w:w="227" w:type="pct"/>
            <w:vAlign w:val="center"/>
          </w:tcPr>
          <w:p w14:paraId="0E5BFC50" w14:textId="28F2BBBA" w:rsidR="00525E29" w:rsidRPr="00A9330B" w:rsidRDefault="00525E29" w:rsidP="00525E29">
            <w:pPr>
              <w:spacing w:before="40" w:line="240" w:lineRule="auto"/>
              <w:rPr>
                <w:rFonts w:cs="Arial"/>
                <w:i/>
                <w:sz w:val="18"/>
                <w:szCs w:val="18"/>
              </w:rPr>
            </w:pPr>
            <w:r w:rsidRPr="00A9330B">
              <w:rPr>
                <w:rFonts w:cs="Arial"/>
                <w:i/>
                <w:sz w:val="18"/>
                <w:szCs w:val="18"/>
              </w:rPr>
              <w:t>X</w:t>
            </w:r>
          </w:p>
        </w:tc>
        <w:tc>
          <w:tcPr>
            <w:tcW w:w="227" w:type="pct"/>
            <w:vAlign w:val="center"/>
          </w:tcPr>
          <w:p w14:paraId="79EB375D" w14:textId="623B10BC" w:rsidR="00525E29" w:rsidRPr="00A9330B" w:rsidRDefault="00525E29" w:rsidP="00525E29">
            <w:pPr>
              <w:spacing w:before="40" w:line="240" w:lineRule="auto"/>
              <w:rPr>
                <w:rFonts w:cs="Arial"/>
                <w:i/>
                <w:sz w:val="18"/>
                <w:szCs w:val="18"/>
              </w:rPr>
            </w:pPr>
            <w:r w:rsidRPr="00A9330B">
              <w:rPr>
                <w:rFonts w:cs="Arial"/>
                <w:i/>
                <w:sz w:val="18"/>
                <w:szCs w:val="18"/>
              </w:rPr>
              <w:t>X</w:t>
            </w:r>
          </w:p>
        </w:tc>
        <w:tc>
          <w:tcPr>
            <w:tcW w:w="227" w:type="pct"/>
            <w:vAlign w:val="center"/>
          </w:tcPr>
          <w:p w14:paraId="4FB7F4BA" w14:textId="0318A557" w:rsidR="00525E29" w:rsidRPr="00A9330B" w:rsidRDefault="00525E29" w:rsidP="00525E29">
            <w:pPr>
              <w:spacing w:before="40" w:line="240" w:lineRule="auto"/>
              <w:rPr>
                <w:rFonts w:cs="Arial"/>
                <w:i/>
                <w:sz w:val="18"/>
                <w:szCs w:val="18"/>
              </w:rPr>
            </w:pPr>
            <w:r w:rsidRPr="00A9330B">
              <w:rPr>
                <w:rFonts w:cs="Arial"/>
                <w:i/>
                <w:sz w:val="18"/>
                <w:szCs w:val="18"/>
              </w:rPr>
              <w:t>X</w:t>
            </w:r>
          </w:p>
        </w:tc>
        <w:tc>
          <w:tcPr>
            <w:tcW w:w="227" w:type="pct"/>
            <w:vAlign w:val="center"/>
          </w:tcPr>
          <w:p w14:paraId="5F346CD8" w14:textId="638BBB1E" w:rsidR="00525E29" w:rsidRPr="00A9330B" w:rsidRDefault="00525E29" w:rsidP="00525E29">
            <w:pPr>
              <w:spacing w:before="40" w:line="240" w:lineRule="auto"/>
              <w:rPr>
                <w:rFonts w:cs="Arial"/>
                <w:i/>
                <w:sz w:val="18"/>
                <w:szCs w:val="18"/>
              </w:rPr>
            </w:pPr>
            <w:r w:rsidRPr="00A9330B">
              <w:rPr>
                <w:rFonts w:cs="Arial"/>
                <w:i/>
                <w:sz w:val="18"/>
                <w:szCs w:val="18"/>
              </w:rPr>
              <w:t>X</w:t>
            </w:r>
          </w:p>
        </w:tc>
        <w:tc>
          <w:tcPr>
            <w:tcW w:w="227" w:type="pct"/>
            <w:vAlign w:val="center"/>
          </w:tcPr>
          <w:p w14:paraId="79407C2C" w14:textId="029656CE" w:rsidR="00525E29" w:rsidRPr="00A9330B" w:rsidRDefault="00525E29" w:rsidP="00525E29">
            <w:pPr>
              <w:spacing w:before="40" w:line="240" w:lineRule="auto"/>
              <w:rPr>
                <w:rFonts w:cs="Arial"/>
                <w:i/>
                <w:sz w:val="18"/>
                <w:szCs w:val="18"/>
              </w:rPr>
            </w:pPr>
            <w:r w:rsidRPr="00A9330B">
              <w:rPr>
                <w:rFonts w:cs="Arial"/>
                <w:i/>
                <w:sz w:val="18"/>
                <w:szCs w:val="18"/>
              </w:rPr>
              <w:t>X</w:t>
            </w:r>
          </w:p>
        </w:tc>
        <w:tc>
          <w:tcPr>
            <w:tcW w:w="227" w:type="pct"/>
            <w:vAlign w:val="center"/>
          </w:tcPr>
          <w:p w14:paraId="39E89ECB" w14:textId="5C8CCC57" w:rsidR="00525E29" w:rsidRPr="00A9330B" w:rsidRDefault="00525E29" w:rsidP="00525E29">
            <w:pPr>
              <w:spacing w:before="40" w:line="240" w:lineRule="auto"/>
              <w:rPr>
                <w:rFonts w:cs="Arial"/>
                <w:i/>
                <w:sz w:val="18"/>
                <w:szCs w:val="18"/>
              </w:rPr>
            </w:pPr>
            <w:r w:rsidRPr="00A9330B">
              <w:rPr>
                <w:rFonts w:cs="Arial"/>
                <w:i/>
                <w:sz w:val="18"/>
                <w:szCs w:val="18"/>
              </w:rPr>
              <w:t>X</w:t>
            </w:r>
          </w:p>
        </w:tc>
        <w:tc>
          <w:tcPr>
            <w:tcW w:w="227" w:type="pct"/>
            <w:gridSpan w:val="2"/>
            <w:vAlign w:val="center"/>
          </w:tcPr>
          <w:p w14:paraId="2C20A07F" w14:textId="20880598" w:rsidR="00525E29" w:rsidRPr="00A9330B" w:rsidRDefault="00525E29" w:rsidP="00525E29">
            <w:pPr>
              <w:spacing w:before="40" w:line="240" w:lineRule="auto"/>
              <w:rPr>
                <w:rFonts w:cs="Arial"/>
                <w:i/>
                <w:sz w:val="18"/>
                <w:szCs w:val="18"/>
              </w:rPr>
            </w:pPr>
            <w:r w:rsidRPr="00A9330B">
              <w:rPr>
                <w:rFonts w:cs="Arial"/>
                <w:i/>
                <w:sz w:val="18"/>
                <w:szCs w:val="18"/>
              </w:rPr>
              <w:t>X</w:t>
            </w:r>
          </w:p>
        </w:tc>
        <w:tc>
          <w:tcPr>
            <w:tcW w:w="285" w:type="pct"/>
            <w:vAlign w:val="center"/>
          </w:tcPr>
          <w:p w14:paraId="7AB9FE4D" w14:textId="0121A8E9" w:rsidR="00525E29" w:rsidRPr="00A9330B" w:rsidRDefault="00525E29" w:rsidP="00525E29">
            <w:pPr>
              <w:spacing w:before="40" w:line="240" w:lineRule="auto"/>
              <w:rPr>
                <w:rFonts w:cs="Arial"/>
                <w:i/>
                <w:sz w:val="18"/>
                <w:szCs w:val="18"/>
              </w:rPr>
            </w:pPr>
          </w:p>
        </w:tc>
      </w:tr>
      <w:tr w:rsidR="00525E29" w:rsidRPr="00A9330B" w14:paraId="4D520226" w14:textId="77777777" w:rsidTr="00E216F6">
        <w:trPr>
          <w:trHeight w:val="163"/>
        </w:trPr>
        <w:tc>
          <w:tcPr>
            <w:tcW w:w="834" w:type="pct"/>
          </w:tcPr>
          <w:p w14:paraId="6BCDBED2" w14:textId="19395776" w:rsidR="00525E29" w:rsidRPr="00A9330B" w:rsidRDefault="00525E29" w:rsidP="00BE4C78">
            <w:pPr>
              <w:spacing w:before="40" w:line="240" w:lineRule="auto"/>
              <w:rPr>
                <w:rFonts w:eastAsia="Times New Roman" w:cs="Arial"/>
                <w:color w:val="auto"/>
                <w:sz w:val="18"/>
                <w:szCs w:val="18"/>
                <w:lang w:eastAsia="fr-FR"/>
              </w:rPr>
            </w:pPr>
            <w:r w:rsidRPr="00A9330B">
              <w:rPr>
                <w:rFonts w:eastAsia="Calibri" w:cs="Arial"/>
                <w:color w:val="auto"/>
                <w:sz w:val="18"/>
                <w:szCs w:val="18"/>
              </w:rPr>
              <w:t>Dégagement d’emprise</w:t>
            </w:r>
          </w:p>
        </w:tc>
        <w:tc>
          <w:tcPr>
            <w:tcW w:w="1611" w:type="pct"/>
          </w:tcPr>
          <w:p w14:paraId="47DCFD91" w14:textId="72500D94" w:rsidR="00525E29" w:rsidRPr="00A9330B" w:rsidRDefault="00525E29" w:rsidP="000F7BA7">
            <w:pPr>
              <w:spacing w:line="240" w:lineRule="auto"/>
              <w:jc w:val="both"/>
              <w:rPr>
                <w:rFonts w:eastAsia="Calibri" w:cs="Arial"/>
                <w:sz w:val="18"/>
                <w:szCs w:val="18"/>
              </w:rPr>
            </w:pPr>
            <w:r w:rsidRPr="00A9330B">
              <w:rPr>
                <w:rFonts w:eastAsia="Calibri" w:cs="Arial"/>
                <w:sz w:val="18"/>
                <w:szCs w:val="18"/>
              </w:rPr>
              <w:t>Dépose de pavés</w:t>
            </w:r>
          </w:p>
          <w:p w14:paraId="4F1E78A5" w14:textId="03F88A42" w:rsidR="00525E29" w:rsidRPr="00A9330B" w:rsidRDefault="00525E29" w:rsidP="000F7BA7">
            <w:pPr>
              <w:spacing w:before="40" w:line="240" w:lineRule="auto"/>
              <w:jc w:val="both"/>
              <w:rPr>
                <w:rFonts w:eastAsia="Calibri" w:cs="Arial"/>
                <w:color w:val="auto"/>
                <w:sz w:val="18"/>
                <w:szCs w:val="18"/>
              </w:rPr>
            </w:pPr>
            <w:r w:rsidRPr="00A9330B">
              <w:rPr>
                <w:rFonts w:eastAsia="Calibri" w:cs="Arial"/>
                <w:sz w:val="18"/>
                <w:szCs w:val="18"/>
              </w:rPr>
              <w:t>Démolition d’ouvrage divers</w:t>
            </w:r>
          </w:p>
        </w:tc>
        <w:tc>
          <w:tcPr>
            <w:tcW w:w="227" w:type="pct"/>
            <w:vAlign w:val="center"/>
          </w:tcPr>
          <w:p w14:paraId="5F07439B" w14:textId="2335DAED" w:rsidR="00525E29" w:rsidRPr="00A9330B" w:rsidRDefault="00525E29" w:rsidP="00525E29">
            <w:pPr>
              <w:spacing w:before="40" w:line="240" w:lineRule="auto"/>
              <w:rPr>
                <w:rFonts w:cs="Arial"/>
                <w:i/>
                <w:sz w:val="18"/>
                <w:szCs w:val="18"/>
              </w:rPr>
            </w:pPr>
            <w:r w:rsidRPr="00A9330B">
              <w:rPr>
                <w:rFonts w:cs="Arial"/>
                <w:i/>
                <w:sz w:val="18"/>
                <w:szCs w:val="18"/>
              </w:rPr>
              <w:t>X</w:t>
            </w:r>
          </w:p>
        </w:tc>
        <w:tc>
          <w:tcPr>
            <w:tcW w:w="227" w:type="pct"/>
            <w:vAlign w:val="center"/>
          </w:tcPr>
          <w:p w14:paraId="34B98034" w14:textId="641C8A77" w:rsidR="00525E29" w:rsidRPr="00A9330B" w:rsidRDefault="00525E29" w:rsidP="00525E29">
            <w:pPr>
              <w:spacing w:before="40" w:line="240" w:lineRule="auto"/>
              <w:rPr>
                <w:rFonts w:cs="Arial"/>
                <w:i/>
                <w:sz w:val="18"/>
                <w:szCs w:val="18"/>
              </w:rPr>
            </w:pPr>
            <w:r w:rsidRPr="00A9330B">
              <w:rPr>
                <w:rFonts w:cs="Arial"/>
                <w:i/>
                <w:sz w:val="18"/>
                <w:szCs w:val="18"/>
              </w:rPr>
              <w:t>X</w:t>
            </w:r>
          </w:p>
        </w:tc>
        <w:tc>
          <w:tcPr>
            <w:tcW w:w="227" w:type="pct"/>
            <w:vAlign w:val="center"/>
          </w:tcPr>
          <w:p w14:paraId="4B781E23" w14:textId="35F8E54D" w:rsidR="00525E29" w:rsidRPr="00A9330B" w:rsidRDefault="00525E29" w:rsidP="00525E29">
            <w:pPr>
              <w:spacing w:before="40" w:line="240" w:lineRule="auto"/>
              <w:rPr>
                <w:rFonts w:cs="Arial"/>
                <w:i/>
                <w:sz w:val="18"/>
                <w:szCs w:val="18"/>
              </w:rPr>
            </w:pPr>
            <w:r w:rsidRPr="00A9330B">
              <w:rPr>
                <w:rFonts w:cs="Arial"/>
                <w:i/>
                <w:sz w:val="18"/>
                <w:szCs w:val="18"/>
              </w:rPr>
              <w:t>X</w:t>
            </w:r>
          </w:p>
        </w:tc>
        <w:tc>
          <w:tcPr>
            <w:tcW w:w="227" w:type="pct"/>
            <w:vAlign w:val="center"/>
          </w:tcPr>
          <w:p w14:paraId="5A28F6FC" w14:textId="70FA7C2A" w:rsidR="00525E29" w:rsidRPr="00A9330B" w:rsidRDefault="00525E29" w:rsidP="00525E29">
            <w:pPr>
              <w:spacing w:before="40" w:line="240" w:lineRule="auto"/>
              <w:rPr>
                <w:rFonts w:cs="Arial"/>
                <w:i/>
                <w:sz w:val="18"/>
                <w:szCs w:val="18"/>
              </w:rPr>
            </w:pPr>
          </w:p>
        </w:tc>
        <w:tc>
          <w:tcPr>
            <w:tcW w:w="227" w:type="pct"/>
            <w:vAlign w:val="center"/>
          </w:tcPr>
          <w:p w14:paraId="70980C51" w14:textId="77777777" w:rsidR="00525E29" w:rsidRPr="00A9330B" w:rsidRDefault="00525E29" w:rsidP="00525E29">
            <w:pPr>
              <w:spacing w:before="40" w:line="240" w:lineRule="auto"/>
              <w:rPr>
                <w:rFonts w:cs="Arial"/>
                <w:i/>
                <w:sz w:val="18"/>
                <w:szCs w:val="18"/>
              </w:rPr>
            </w:pPr>
          </w:p>
        </w:tc>
        <w:tc>
          <w:tcPr>
            <w:tcW w:w="227" w:type="pct"/>
            <w:vAlign w:val="center"/>
          </w:tcPr>
          <w:p w14:paraId="141D7969" w14:textId="0D3CAC7D" w:rsidR="00525E29" w:rsidRPr="00A9330B" w:rsidRDefault="00525E29" w:rsidP="00525E29">
            <w:pPr>
              <w:spacing w:before="40" w:line="240" w:lineRule="auto"/>
              <w:rPr>
                <w:rFonts w:cs="Arial"/>
                <w:i/>
                <w:sz w:val="18"/>
                <w:szCs w:val="18"/>
              </w:rPr>
            </w:pPr>
            <w:r w:rsidRPr="00A9330B">
              <w:rPr>
                <w:rFonts w:cs="Arial"/>
                <w:i/>
                <w:sz w:val="18"/>
                <w:szCs w:val="18"/>
              </w:rPr>
              <w:t>X</w:t>
            </w:r>
          </w:p>
        </w:tc>
        <w:tc>
          <w:tcPr>
            <w:tcW w:w="227" w:type="pct"/>
            <w:vAlign w:val="center"/>
          </w:tcPr>
          <w:p w14:paraId="49C77FE5" w14:textId="6BB1F7B2" w:rsidR="00525E29" w:rsidRPr="00A9330B" w:rsidRDefault="00525E29" w:rsidP="00525E29">
            <w:pPr>
              <w:spacing w:before="40" w:line="240" w:lineRule="auto"/>
              <w:rPr>
                <w:rFonts w:cs="Arial"/>
                <w:i/>
                <w:sz w:val="18"/>
                <w:szCs w:val="18"/>
              </w:rPr>
            </w:pPr>
            <w:r w:rsidRPr="00A9330B">
              <w:rPr>
                <w:rFonts w:cs="Arial"/>
                <w:i/>
                <w:sz w:val="18"/>
                <w:szCs w:val="18"/>
              </w:rPr>
              <w:t>X</w:t>
            </w:r>
          </w:p>
        </w:tc>
        <w:tc>
          <w:tcPr>
            <w:tcW w:w="227" w:type="pct"/>
            <w:vAlign w:val="center"/>
          </w:tcPr>
          <w:p w14:paraId="05824A5D" w14:textId="25786206" w:rsidR="00525E29" w:rsidRPr="00A9330B" w:rsidRDefault="00525E29" w:rsidP="00525E29">
            <w:pPr>
              <w:spacing w:before="40" w:line="240" w:lineRule="auto"/>
              <w:rPr>
                <w:rFonts w:cs="Arial"/>
                <w:i/>
                <w:sz w:val="18"/>
                <w:szCs w:val="18"/>
              </w:rPr>
            </w:pPr>
            <w:r w:rsidRPr="00A9330B">
              <w:rPr>
                <w:rFonts w:cs="Arial"/>
                <w:i/>
                <w:sz w:val="18"/>
                <w:szCs w:val="18"/>
              </w:rPr>
              <w:t>X</w:t>
            </w:r>
          </w:p>
        </w:tc>
        <w:tc>
          <w:tcPr>
            <w:tcW w:w="227" w:type="pct"/>
            <w:vAlign w:val="center"/>
          </w:tcPr>
          <w:p w14:paraId="726B80EA" w14:textId="16554B7C" w:rsidR="00525E29" w:rsidRPr="00A9330B" w:rsidRDefault="00525E29" w:rsidP="00525E29">
            <w:pPr>
              <w:spacing w:before="40" w:line="240" w:lineRule="auto"/>
              <w:rPr>
                <w:rFonts w:cs="Arial"/>
                <w:i/>
                <w:sz w:val="18"/>
                <w:szCs w:val="18"/>
              </w:rPr>
            </w:pPr>
            <w:r w:rsidRPr="00A9330B">
              <w:rPr>
                <w:rFonts w:cs="Arial"/>
                <w:i/>
                <w:sz w:val="18"/>
                <w:szCs w:val="18"/>
              </w:rPr>
              <w:t>X</w:t>
            </w:r>
          </w:p>
        </w:tc>
        <w:tc>
          <w:tcPr>
            <w:tcW w:w="227" w:type="pct"/>
            <w:gridSpan w:val="2"/>
            <w:vAlign w:val="center"/>
          </w:tcPr>
          <w:p w14:paraId="213D7484" w14:textId="613D9C93" w:rsidR="00525E29" w:rsidRPr="00A9330B" w:rsidRDefault="00525E29" w:rsidP="00525E29">
            <w:pPr>
              <w:spacing w:before="40" w:line="240" w:lineRule="auto"/>
              <w:rPr>
                <w:rFonts w:cs="Arial"/>
                <w:i/>
                <w:sz w:val="18"/>
                <w:szCs w:val="18"/>
              </w:rPr>
            </w:pPr>
            <w:r w:rsidRPr="00A9330B">
              <w:rPr>
                <w:rFonts w:cs="Arial"/>
                <w:i/>
                <w:sz w:val="18"/>
                <w:szCs w:val="18"/>
              </w:rPr>
              <w:t>X</w:t>
            </w:r>
          </w:p>
        </w:tc>
        <w:tc>
          <w:tcPr>
            <w:tcW w:w="285" w:type="pct"/>
            <w:vAlign w:val="center"/>
          </w:tcPr>
          <w:p w14:paraId="4DABA7D2" w14:textId="00126A4F" w:rsidR="00525E29" w:rsidRPr="00A9330B" w:rsidRDefault="00525E29" w:rsidP="00525E29">
            <w:pPr>
              <w:spacing w:before="40" w:line="240" w:lineRule="auto"/>
              <w:rPr>
                <w:rFonts w:cs="Arial"/>
                <w:i/>
                <w:sz w:val="18"/>
                <w:szCs w:val="18"/>
              </w:rPr>
            </w:pPr>
          </w:p>
        </w:tc>
      </w:tr>
      <w:tr w:rsidR="00525E29" w:rsidRPr="00A9330B" w14:paraId="25174D52" w14:textId="77777777" w:rsidTr="00E216F6">
        <w:trPr>
          <w:trHeight w:val="163"/>
        </w:trPr>
        <w:tc>
          <w:tcPr>
            <w:tcW w:w="834" w:type="pct"/>
          </w:tcPr>
          <w:p w14:paraId="10B55AC8" w14:textId="77777777" w:rsidR="00525E29" w:rsidRPr="00A9330B" w:rsidRDefault="00525E29" w:rsidP="00BE4C78">
            <w:pPr>
              <w:spacing w:line="240" w:lineRule="auto"/>
              <w:rPr>
                <w:rFonts w:eastAsia="Calibri" w:cs="Arial"/>
                <w:color w:val="auto"/>
                <w:sz w:val="18"/>
                <w:szCs w:val="18"/>
              </w:rPr>
            </w:pPr>
          </w:p>
          <w:p w14:paraId="3E40A829" w14:textId="18685D3C" w:rsidR="00525E29" w:rsidRPr="00A9330B" w:rsidRDefault="00525E29" w:rsidP="00BE4C78">
            <w:pPr>
              <w:spacing w:before="40" w:line="240" w:lineRule="auto"/>
              <w:rPr>
                <w:rFonts w:eastAsia="Times New Roman" w:cs="Arial"/>
                <w:color w:val="auto"/>
                <w:sz w:val="18"/>
                <w:szCs w:val="18"/>
                <w:lang w:eastAsia="fr-FR"/>
              </w:rPr>
            </w:pPr>
            <w:r w:rsidRPr="00A9330B">
              <w:rPr>
                <w:rFonts w:eastAsia="Calibri" w:cs="Arial"/>
                <w:color w:val="auto"/>
                <w:sz w:val="18"/>
                <w:szCs w:val="18"/>
              </w:rPr>
              <w:t>Déplacement de réseaux</w:t>
            </w:r>
          </w:p>
        </w:tc>
        <w:tc>
          <w:tcPr>
            <w:tcW w:w="1611" w:type="pct"/>
          </w:tcPr>
          <w:p w14:paraId="76CD9193" w14:textId="77777777" w:rsidR="00525E29" w:rsidRPr="00A9330B" w:rsidRDefault="00525E29" w:rsidP="000F7BA7">
            <w:pPr>
              <w:spacing w:line="240" w:lineRule="auto"/>
              <w:jc w:val="both"/>
              <w:rPr>
                <w:rFonts w:eastAsia="Calibri" w:cs="Arial"/>
                <w:color w:val="auto"/>
                <w:sz w:val="18"/>
                <w:szCs w:val="18"/>
              </w:rPr>
            </w:pPr>
            <w:r w:rsidRPr="00A9330B">
              <w:rPr>
                <w:rFonts w:eastAsia="Calibri" w:cs="Arial"/>
                <w:color w:val="auto"/>
                <w:sz w:val="18"/>
                <w:szCs w:val="18"/>
              </w:rPr>
              <w:t xml:space="preserve">Sondage pour reconnaissance de réseaux </w:t>
            </w:r>
          </w:p>
          <w:p w14:paraId="518010C6" w14:textId="475698E2" w:rsidR="00525E29" w:rsidRPr="00A9330B" w:rsidRDefault="00525E29" w:rsidP="000F7BA7">
            <w:pPr>
              <w:spacing w:before="40" w:line="240" w:lineRule="auto"/>
              <w:jc w:val="both"/>
              <w:rPr>
                <w:rFonts w:eastAsia="Calibri" w:cs="Arial"/>
                <w:color w:val="auto"/>
                <w:sz w:val="18"/>
                <w:szCs w:val="18"/>
              </w:rPr>
            </w:pPr>
            <w:r w:rsidRPr="00A9330B">
              <w:rPr>
                <w:rFonts w:eastAsia="Calibri" w:cs="Arial"/>
                <w:color w:val="auto"/>
                <w:sz w:val="18"/>
                <w:szCs w:val="18"/>
              </w:rPr>
              <w:t>Déplacement de réseaux exceptionnels</w:t>
            </w:r>
          </w:p>
        </w:tc>
        <w:tc>
          <w:tcPr>
            <w:tcW w:w="227" w:type="pct"/>
            <w:vAlign w:val="center"/>
          </w:tcPr>
          <w:p w14:paraId="39105AA4" w14:textId="7F94C8A5" w:rsidR="00525E29" w:rsidRPr="00A9330B" w:rsidRDefault="00525E29" w:rsidP="00525E29">
            <w:pPr>
              <w:spacing w:before="40" w:line="240" w:lineRule="auto"/>
              <w:rPr>
                <w:rFonts w:cs="Arial"/>
                <w:i/>
                <w:sz w:val="18"/>
                <w:szCs w:val="18"/>
              </w:rPr>
            </w:pPr>
            <w:r w:rsidRPr="00A9330B">
              <w:rPr>
                <w:rFonts w:cs="Arial"/>
                <w:i/>
                <w:sz w:val="18"/>
                <w:szCs w:val="18"/>
              </w:rPr>
              <w:t>X</w:t>
            </w:r>
          </w:p>
        </w:tc>
        <w:tc>
          <w:tcPr>
            <w:tcW w:w="227" w:type="pct"/>
            <w:vAlign w:val="center"/>
          </w:tcPr>
          <w:p w14:paraId="43720FD5" w14:textId="09E26AD7" w:rsidR="00525E29" w:rsidRPr="00A9330B" w:rsidRDefault="00525E29" w:rsidP="00525E29">
            <w:pPr>
              <w:spacing w:before="40" w:line="240" w:lineRule="auto"/>
              <w:rPr>
                <w:rFonts w:cs="Arial"/>
                <w:i/>
                <w:sz w:val="18"/>
                <w:szCs w:val="18"/>
              </w:rPr>
            </w:pPr>
            <w:r w:rsidRPr="00A9330B">
              <w:rPr>
                <w:rFonts w:cs="Arial"/>
                <w:i/>
                <w:sz w:val="18"/>
                <w:szCs w:val="18"/>
              </w:rPr>
              <w:t>X</w:t>
            </w:r>
          </w:p>
        </w:tc>
        <w:tc>
          <w:tcPr>
            <w:tcW w:w="227" w:type="pct"/>
            <w:vAlign w:val="center"/>
          </w:tcPr>
          <w:p w14:paraId="09D63872" w14:textId="4E296830" w:rsidR="00525E29" w:rsidRPr="00A9330B" w:rsidRDefault="00525E29" w:rsidP="00525E29">
            <w:pPr>
              <w:spacing w:before="40" w:line="240" w:lineRule="auto"/>
              <w:rPr>
                <w:rFonts w:cs="Arial"/>
                <w:i/>
                <w:sz w:val="18"/>
                <w:szCs w:val="18"/>
              </w:rPr>
            </w:pPr>
            <w:r w:rsidRPr="00A9330B">
              <w:rPr>
                <w:rFonts w:cs="Arial"/>
                <w:i/>
                <w:sz w:val="18"/>
                <w:szCs w:val="18"/>
              </w:rPr>
              <w:t>X</w:t>
            </w:r>
          </w:p>
        </w:tc>
        <w:tc>
          <w:tcPr>
            <w:tcW w:w="227" w:type="pct"/>
            <w:vAlign w:val="center"/>
          </w:tcPr>
          <w:p w14:paraId="7A402DA0" w14:textId="258EC81D" w:rsidR="00525E29" w:rsidRPr="00A9330B" w:rsidRDefault="00525E29" w:rsidP="00525E29">
            <w:pPr>
              <w:spacing w:before="40" w:line="240" w:lineRule="auto"/>
              <w:rPr>
                <w:rFonts w:cs="Arial"/>
                <w:i/>
                <w:sz w:val="18"/>
                <w:szCs w:val="18"/>
              </w:rPr>
            </w:pPr>
            <w:r w:rsidRPr="00A9330B">
              <w:rPr>
                <w:rFonts w:cs="Arial"/>
                <w:i/>
                <w:sz w:val="18"/>
                <w:szCs w:val="18"/>
              </w:rPr>
              <w:t>X</w:t>
            </w:r>
          </w:p>
        </w:tc>
        <w:tc>
          <w:tcPr>
            <w:tcW w:w="227" w:type="pct"/>
            <w:vAlign w:val="center"/>
          </w:tcPr>
          <w:p w14:paraId="0B234685" w14:textId="6DE42C6B" w:rsidR="00525E29" w:rsidRPr="00A9330B" w:rsidRDefault="00525E29" w:rsidP="00525E29">
            <w:pPr>
              <w:spacing w:before="40" w:line="240" w:lineRule="auto"/>
              <w:rPr>
                <w:rFonts w:cs="Arial"/>
                <w:i/>
                <w:sz w:val="18"/>
                <w:szCs w:val="18"/>
              </w:rPr>
            </w:pPr>
            <w:r w:rsidRPr="00A9330B">
              <w:rPr>
                <w:rFonts w:cs="Arial"/>
                <w:i/>
                <w:sz w:val="18"/>
                <w:szCs w:val="18"/>
              </w:rPr>
              <w:t>X</w:t>
            </w:r>
          </w:p>
        </w:tc>
        <w:tc>
          <w:tcPr>
            <w:tcW w:w="227" w:type="pct"/>
            <w:vAlign w:val="center"/>
          </w:tcPr>
          <w:p w14:paraId="6355054D" w14:textId="719FCFBB" w:rsidR="00525E29" w:rsidRPr="00A9330B" w:rsidRDefault="00525E29" w:rsidP="00525E29">
            <w:pPr>
              <w:spacing w:before="40" w:line="240" w:lineRule="auto"/>
              <w:rPr>
                <w:rFonts w:cs="Arial"/>
                <w:i/>
                <w:sz w:val="18"/>
                <w:szCs w:val="18"/>
              </w:rPr>
            </w:pPr>
            <w:r w:rsidRPr="00A9330B">
              <w:rPr>
                <w:rFonts w:cs="Arial"/>
                <w:i/>
                <w:sz w:val="18"/>
                <w:szCs w:val="18"/>
              </w:rPr>
              <w:t>X</w:t>
            </w:r>
          </w:p>
        </w:tc>
        <w:tc>
          <w:tcPr>
            <w:tcW w:w="227" w:type="pct"/>
            <w:vAlign w:val="center"/>
          </w:tcPr>
          <w:p w14:paraId="4FB94286" w14:textId="1AF138EA" w:rsidR="00525E29" w:rsidRPr="00A9330B" w:rsidRDefault="00525E29" w:rsidP="00525E29">
            <w:pPr>
              <w:spacing w:before="40" w:line="240" w:lineRule="auto"/>
              <w:rPr>
                <w:rFonts w:cs="Arial"/>
                <w:i/>
                <w:sz w:val="18"/>
                <w:szCs w:val="18"/>
              </w:rPr>
            </w:pPr>
            <w:r w:rsidRPr="00A9330B">
              <w:rPr>
                <w:rFonts w:cs="Arial"/>
                <w:i/>
                <w:sz w:val="18"/>
                <w:szCs w:val="18"/>
              </w:rPr>
              <w:t>X</w:t>
            </w:r>
          </w:p>
        </w:tc>
        <w:tc>
          <w:tcPr>
            <w:tcW w:w="227" w:type="pct"/>
            <w:vAlign w:val="center"/>
          </w:tcPr>
          <w:p w14:paraId="1139E992" w14:textId="332125C7" w:rsidR="00525E29" w:rsidRPr="00A9330B" w:rsidRDefault="00525E29" w:rsidP="00525E29">
            <w:pPr>
              <w:spacing w:before="40" w:line="240" w:lineRule="auto"/>
              <w:rPr>
                <w:rFonts w:cs="Arial"/>
                <w:i/>
                <w:sz w:val="18"/>
                <w:szCs w:val="18"/>
              </w:rPr>
            </w:pPr>
            <w:r w:rsidRPr="00A9330B">
              <w:rPr>
                <w:rFonts w:cs="Arial"/>
                <w:i/>
                <w:sz w:val="18"/>
                <w:szCs w:val="18"/>
              </w:rPr>
              <w:t>X</w:t>
            </w:r>
          </w:p>
        </w:tc>
        <w:tc>
          <w:tcPr>
            <w:tcW w:w="227" w:type="pct"/>
            <w:vAlign w:val="center"/>
          </w:tcPr>
          <w:p w14:paraId="75C2462D" w14:textId="19B302AF" w:rsidR="00525E29" w:rsidRPr="00A9330B" w:rsidRDefault="00525E29" w:rsidP="00525E29">
            <w:pPr>
              <w:spacing w:before="40" w:line="240" w:lineRule="auto"/>
              <w:rPr>
                <w:rFonts w:cs="Arial"/>
                <w:i/>
                <w:sz w:val="18"/>
                <w:szCs w:val="18"/>
              </w:rPr>
            </w:pPr>
            <w:r w:rsidRPr="00A9330B">
              <w:rPr>
                <w:rFonts w:cs="Arial"/>
                <w:i/>
                <w:sz w:val="18"/>
                <w:szCs w:val="18"/>
              </w:rPr>
              <w:t>X</w:t>
            </w:r>
          </w:p>
        </w:tc>
        <w:tc>
          <w:tcPr>
            <w:tcW w:w="227" w:type="pct"/>
            <w:gridSpan w:val="2"/>
            <w:vAlign w:val="center"/>
          </w:tcPr>
          <w:p w14:paraId="390B18C5" w14:textId="037AC0AE" w:rsidR="00525E29" w:rsidRPr="00A9330B" w:rsidRDefault="00525E29" w:rsidP="00525E29">
            <w:pPr>
              <w:spacing w:before="40" w:line="240" w:lineRule="auto"/>
              <w:rPr>
                <w:rFonts w:cs="Arial"/>
                <w:i/>
                <w:sz w:val="18"/>
                <w:szCs w:val="18"/>
              </w:rPr>
            </w:pPr>
            <w:r w:rsidRPr="00A9330B">
              <w:rPr>
                <w:rFonts w:cs="Arial"/>
                <w:i/>
                <w:sz w:val="18"/>
                <w:szCs w:val="18"/>
              </w:rPr>
              <w:t>X</w:t>
            </w:r>
          </w:p>
        </w:tc>
        <w:tc>
          <w:tcPr>
            <w:tcW w:w="285" w:type="pct"/>
            <w:vAlign w:val="center"/>
          </w:tcPr>
          <w:p w14:paraId="79C2111C" w14:textId="173E832B" w:rsidR="00525E29" w:rsidRPr="00A9330B" w:rsidRDefault="00525E29" w:rsidP="00525E29">
            <w:pPr>
              <w:spacing w:before="40" w:line="240" w:lineRule="auto"/>
              <w:rPr>
                <w:rFonts w:cs="Arial"/>
                <w:i/>
                <w:sz w:val="18"/>
                <w:szCs w:val="18"/>
              </w:rPr>
            </w:pPr>
            <w:r w:rsidRPr="00A9330B">
              <w:rPr>
                <w:rFonts w:cs="Arial"/>
                <w:i/>
                <w:sz w:val="18"/>
                <w:szCs w:val="18"/>
              </w:rPr>
              <w:t>X</w:t>
            </w:r>
          </w:p>
        </w:tc>
      </w:tr>
      <w:tr w:rsidR="00525E29" w:rsidRPr="00A9330B" w14:paraId="2D345A25" w14:textId="77777777" w:rsidTr="00E216F6">
        <w:trPr>
          <w:trHeight w:val="163"/>
        </w:trPr>
        <w:tc>
          <w:tcPr>
            <w:tcW w:w="834" w:type="pct"/>
            <w:vMerge w:val="restart"/>
          </w:tcPr>
          <w:p w14:paraId="0D4C07A7" w14:textId="77777777" w:rsidR="00525E29" w:rsidRPr="00A9330B" w:rsidRDefault="00525E29" w:rsidP="00BE4C78">
            <w:pPr>
              <w:widowControl w:val="0"/>
              <w:tabs>
                <w:tab w:val="left" w:pos="426"/>
                <w:tab w:val="left" w:pos="851"/>
                <w:tab w:val="left" w:pos="1134"/>
              </w:tabs>
              <w:overflowPunct w:val="0"/>
              <w:autoSpaceDE w:val="0"/>
              <w:autoSpaceDN w:val="0"/>
              <w:adjustRightInd w:val="0"/>
              <w:spacing w:before="40" w:line="240" w:lineRule="auto"/>
              <w:textAlignment w:val="baseline"/>
              <w:rPr>
                <w:rFonts w:eastAsia="Times New Roman" w:cs="Arial"/>
                <w:color w:val="auto"/>
                <w:sz w:val="18"/>
                <w:szCs w:val="18"/>
                <w:lang w:eastAsia="fr-FR"/>
              </w:rPr>
            </w:pPr>
          </w:p>
          <w:p w14:paraId="38CE3DF4" w14:textId="77777777" w:rsidR="00525E29" w:rsidRPr="00A9330B" w:rsidRDefault="00525E29" w:rsidP="00BE4C78">
            <w:pPr>
              <w:spacing w:line="240" w:lineRule="auto"/>
              <w:rPr>
                <w:rFonts w:eastAsia="Calibri" w:cs="Arial"/>
                <w:color w:val="auto"/>
                <w:sz w:val="18"/>
                <w:szCs w:val="18"/>
              </w:rPr>
            </w:pPr>
            <w:r w:rsidRPr="00A9330B">
              <w:rPr>
                <w:rFonts w:eastAsia="Calibri" w:cs="Arial"/>
                <w:color w:val="auto"/>
                <w:sz w:val="18"/>
                <w:szCs w:val="18"/>
              </w:rPr>
              <w:t>Préparation des plateformes</w:t>
            </w:r>
          </w:p>
          <w:p w14:paraId="5B2B7A87" w14:textId="77777777" w:rsidR="00525E29" w:rsidRPr="00A9330B" w:rsidRDefault="00525E29" w:rsidP="00BE4C78">
            <w:pPr>
              <w:spacing w:line="240" w:lineRule="auto"/>
              <w:rPr>
                <w:rFonts w:eastAsia="Calibri" w:cs="Arial"/>
                <w:color w:val="auto"/>
                <w:sz w:val="18"/>
                <w:szCs w:val="18"/>
              </w:rPr>
            </w:pPr>
          </w:p>
          <w:p w14:paraId="0D629C7C" w14:textId="2E08726C" w:rsidR="00525E29" w:rsidRPr="00A9330B" w:rsidRDefault="00525E29" w:rsidP="00BE4C78">
            <w:pPr>
              <w:widowControl w:val="0"/>
              <w:tabs>
                <w:tab w:val="left" w:pos="426"/>
                <w:tab w:val="left" w:pos="851"/>
                <w:tab w:val="left" w:pos="1134"/>
              </w:tabs>
              <w:overflowPunct w:val="0"/>
              <w:autoSpaceDE w:val="0"/>
              <w:autoSpaceDN w:val="0"/>
              <w:adjustRightInd w:val="0"/>
              <w:spacing w:before="40" w:line="240" w:lineRule="auto"/>
              <w:textAlignment w:val="baseline"/>
              <w:rPr>
                <w:rFonts w:cs="Arial"/>
                <w:sz w:val="18"/>
                <w:szCs w:val="18"/>
              </w:rPr>
            </w:pPr>
            <w:r w:rsidRPr="00A9330B">
              <w:rPr>
                <w:rFonts w:eastAsia="Calibri" w:cs="Arial"/>
                <w:color w:val="auto"/>
                <w:sz w:val="18"/>
                <w:szCs w:val="18"/>
              </w:rPr>
              <w:t>Préparation des assises des collecteurs</w:t>
            </w:r>
          </w:p>
        </w:tc>
        <w:tc>
          <w:tcPr>
            <w:tcW w:w="1611" w:type="pct"/>
          </w:tcPr>
          <w:p w14:paraId="1B1A0888" w14:textId="5254EDEF" w:rsidR="00525E29" w:rsidRPr="00A9330B" w:rsidRDefault="00525E29" w:rsidP="000F7BA7">
            <w:pPr>
              <w:spacing w:before="40" w:line="240" w:lineRule="auto"/>
              <w:jc w:val="both"/>
              <w:rPr>
                <w:rFonts w:cs="Arial"/>
                <w:sz w:val="18"/>
                <w:szCs w:val="18"/>
              </w:rPr>
            </w:pPr>
            <w:r w:rsidRPr="00A9330B">
              <w:rPr>
                <w:rFonts w:eastAsia="Calibri" w:cs="Arial"/>
                <w:spacing w:val="-1"/>
                <w:sz w:val="18"/>
                <w:szCs w:val="18"/>
              </w:rPr>
              <w:t>Gestion des déchets de chantiers (solides et liquides)</w:t>
            </w:r>
          </w:p>
        </w:tc>
        <w:tc>
          <w:tcPr>
            <w:tcW w:w="227" w:type="pct"/>
            <w:vAlign w:val="center"/>
          </w:tcPr>
          <w:p w14:paraId="50C607D2" w14:textId="4D40516E" w:rsidR="00525E29" w:rsidRPr="00A9330B" w:rsidRDefault="00525E29" w:rsidP="00525E29">
            <w:pPr>
              <w:spacing w:before="40" w:line="240" w:lineRule="auto"/>
              <w:rPr>
                <w:rFonts w:cs="Arial"/>
                <w:i/>
                <w:sz w:val="18"/>
                <w:szCs w:val="18"/>
              </w:rPr>
            </w:pPr>
            <w:r w:rsidRPr="00A9330B">
              <w:rPr>
                <w:rFonts w:cs="Arial"/>
                <w:i/>
                <w:sz w:val="18"/>
                <w:szCs w:val="18"/>
              </w:rPr>
              <w:t>X</w:t>
            </w:r>
          </w:p>
        </w:tc>
        <w:tc>
          <w:tcPr>
            <w:tcW w:w="227" w:type="pct"/>
            <w:vAlign w:val="center"/>
          </w:tcPr>
          <w:p w14:paraId="5826E8E4" w14:textId="3780D5AF" w:rsidR="00525E29" w:rsidRPr="00A9330B" w:rsidRDefault="00525E29" w:rsidP="00525E29">
            <w:pPr>
              <w:spacing w:before="40" w:line="240" w:lineRule="auto"/>
              <w:rPr>
                <w:rFonts w:cs="Arial"/>
                <w:i/>
                <w:sz w:val="18"/>
                <w:szCs w:val="18"/>
              </w:rPr>
            </w:pPr>
            <w:r w:rsidRPr="00A9330B">
              <w:rPr>
                <w:rFonts w:cs="Arial"/>
                <w:i/>
                <w:sz w:val="18"/>
                <w:szCs w:val="18"/>
              </w:rPr>
              <w:t>X</w:t>
            </w:r>
          </w:p>
        </w:tc>
        <w:tc>
          <w:tcPr>
            <w:tcW w:w="227" w:type="pct"/>
            <w:vAlign w:val="center"/>
          </w:tcPr>
          <w:p w14:paraId="67C1585B" w14:textId="6492638D" w:rsidR="00525E29" w:rsidRPr="00A9330B" w:rsidRDefault="00525E29" w:rsidP="00525E29">
            <w:pPr>
              <w:spacing w:before="40" w:line="240" w:lineRule="auto"/>
              <w:rPr>
                <w:rFonts w:cs="Arial"/>
                <w:i/>
                <w:sz w:val="18"/>
                <w:szCs w:val="18"/>
              </w:rPr>
            </w:pPr>
            <w:r w:rsidRPr="00A9330B">
              <w:rPr>
                <w:rFonts w:cs="Arial"/>
                <w:i/>
                <w:sz w:val="18"/>
                <w:szCs w:val="18"/>
              </w:rPr>
              <w:t>X</w:t>
            </w:r>
          </w:p>
        </w:tc>
        <w:tc>
          <w:tcPr>
            <w:tcW w:w="227" w:type="pct"/>
            <w:vAlign w:val="center"/>
          </w:tcPr>
          <w:p w14:paraId="7F67799D" w14:textId="5F021547" w:rsidR="00525E29" w:rsidRPr="00A9330B" w:rsidRDefault="00525E29" w:rsidP="00525E29">
            <w:pPr>
              <w:spacing w:before="40" w:line="240" w:lineRule="auto"/>
              <w:rPr>
                <w:rFonts w:cs="Arial"/>
                <w:i/>
                <w:sz w:val="18"/>
                <w:szCs w:val="18"/>
              </w:rPr>
            </w:pPr>
            <w:r w:rsidRPr="00A9330B">
              <w:rPr>
                <w:rFonts w:cs="Arial"/>
                <w:i/>
                <w:sz w:val="18"/>
                <w:szCs w:val="18"/>
              </w:rPr>
              <w:t>X</w:t>
            </w:r>
          </w:p>
        </w:tc>
        <w:tc>
          <w:tcPr>
            <w:tcW w:w="227" w:type="pct"/>
            <w:vAlign w:val="center"/>
          </w:tcPr>
          <w:p w14:paraId="3FB18514" w14:textId="77777777" w:rsidR="00525E29" w:rsidRPr="00A9330B" w:rsidRDefault="00525E29" w:rsidP="00525E29">
            <w:pPr>
              <w:spacing w:before="40" w:line="240" w:lineRule="auto"/>
              <w:rPr>
                <w:rFonts w:cs="Arial"/>
                <w:i/>
                <w:sz w:val="18"/>
                <w:szCs w:val="18"/>
              </w:rPr>
            </w:pPr>
          </w:p>
        </w:tc>
        <w:tc>
          <w:tcPr>
            <w:tcW w:w="227" w:type="pct"/>
            <w:vAlign w:val="center"/>
          </w:tcPr>
          <w:p w14:paraId="184B32A6" w14:textId="6DF724B3" w:rsidR="00525E29" w:rsidRPr="00A9330B" w:rsidRDefault="00525E29" w:rsidP="00525E29">
            <w:pPr>
              <w:spacing w:before="40" w:line="240" w:lineRule="auto"/>
              <w:rPr>
                <w:rFonts w:cs="Arial"/>
                <w:i/>
                <w:sz w:val="18"/>
                <w:szCs w:val="18"/>
              </w:rPr>
            </w:pPr>
            <w:r w:rsidRPr="00A9330B">
              <w:rPr>
                <w:rFonts w:cs="Arial"/>
                <w:i/>
                <w:sz w:val="18"/>
                <w:szCs w:val="18"/>
              </w:rPr>
              <w:t>X</w:t>
            </w:r>
          </w:p>
        </w:tc>
        <w:tc>
          <w:tcPr>
            <w:tcW w:w="227" w:type="pct"/>
            <w:vAlign w:val="center"/>
          </w:tcPr>
          <w:p w14:paraId="17E2D0BD" w14:textId="3D47D40C" w:rsidR="00525E29" w:rsidRPr="00A9330B" w:rsidRDefault="00525E29" w:rsidP="00525E29">
            <w:pPr>
              <w:spacing w:before="40" w:line="240" w:lineRule="auto"/>
              <w:rPr>
                <w:rFonts w:cs="Arial"/>
                <w:i/>
                <w:sz w:val="18"/>
                <w:szCs w:val="18"/>
              </w:rPr>
            </w:pPr>
            <w:r w:rsidRPr="00A9330B">
              <w:rPr>
                <w:rFonts w:cs="Arial"/>
                <w:i/>
                <w:sz w:val="18"/>
                <w:szCs w:val="18"/>
              </w:rPr>
              <w:t>X</w:t>
            </w:r>
          </w:p>
        </w:tc>
        <w:tc>
          <w:tcPr>
            <w:tcW w:w="227" w:type="pct"/>
            <w:vAlign w:val="center"/>
          </w:tcPr>
          <w:p w14:paraId="736EB29B" w14:textId="079EB54B" w:rsidR="00525E29" w:rsidRPr="00A9330B" w:rsidRDefault="00525E29" w:rsidP="00525E29">
            <w:pPr>
              <w:spacing w:before="40" w:line="240" w:lineRule="auto"/>
              <w:rPr>
                <w:rFonts w:cs="Arial"/>
                <w:i/>
                <w:sz w:val="18"/>
                <w:szCs w:val="18"/>
              </w:rPr>
            </w:pPr>
            <w:r w:rsidRPr="00A9330B">
              <w:rPr>
                <w:rFonts w:cs="Arial"/>
                <w:i/>
                <w:sz w:val="18"/>
                <w:szCs w:val="18"/>
              </w:rPr>
              <w:t>X</w:t>
            </w:r>
          </w:p>
        </w:tc>
        <w:tc>
          <w:tcPr>
            <w:tcW w:w="227" w:type="pct"/>
            <w:vAlign w:val="center"/>
          </w:tcPr>
          <w:p w14:paraId="78C6DD3D" w14:textId="6E9DA50E" w:rsidR="00525E29" w:rsidRPr="00A9330B" w:rsidRDefault="00525E29" w:rsidP="00525E29">
            <w:pPr>
              <w:spacing w:before="40" w:line="240" w:lineRule="auto"/>
              <w:rPr>
                <w:rFonts w:cs="Arial"/>
                <w:i/>
                <w:sz w:val="18"/>
                <w:szCs w:val="18"/>
              </w:rPr>
            </w:pPr>
            <w:r w:rsidRPr="00A9330B">
              <w:rPr>
                <w:rFonts w:cs="Arial"/>
                <w:i/>
                <w:sz w:val="18"/>
                <w:szCs w:val="18"/>
              </w:rPr>
              <w:t>X</w:t>
            </w:r>
          </w:p>
        </w:tc>
        <w:tc>
          <w:tcPr>
            <w:tcW w:w="227" w:type="pct"/>
            <w:gridSpan w:val="2"/>
            <w:vAlign w:val="center"/>
          </w:tcPr>
          <w:p w14:paraId="002273F6" w14:textId="30D20DBC" w:rsidR="00525E29" w:rsidRPr="00A9330B" w:rsidRDefault="00525E29" w:rsidP="00525E29">
            <w:pPr>
              <w:spacing w:before="40" w:line="240" w:lineRule="auto"/>
              <w:rPr>
                <w:rFonts w:cs="Arial"/>
                <w:i/>
                <w:sz w:val="18"/>
                <w:szCs w:val="18"/>
              </w:rPr>
            </w:pPr>
            <w:r w:rsidRPr="00A9330B">
              <w:rPr>
                <w:rFonts w:cs="Arial"/>
                <w:i/>
                <w:sz w:val="18"/>
                <w:szCs w:val="18"/>
              </w:rPr>
              <w:t>X</w:t>
            </w:r>
          </w:p>
        </w:tc>
        <w:tc>
          <w:tcPr>
            <w:tcW w:w="285" w:type="pct"/>
            <w:vAlign w:val="center"/>
          </w:tcPr>
          <w:p w14:paraId="44C74F27" w14:textId="0565C4AF" w:rsidR="00525E29" w:rsidRPr="00A9330B" w:rsidRDefault="00525E29" w:rsidP="00525E29">
            <w:pPr>
              <w:spacing w:before="40" w:line="240" w:lineRule="auto"/>
              <w:rPr>
                <w:rFonts w:cs="Arial"/>
                <w:i/>
                <w:sz w:val="18"/>
                <w:szCs w:val="18"/>
              </w:rPr>
            </w:pPr>
            <w:r w:rsidRPr="00A9330B">
              <w:rPr>
                <w:rFonts w:cs="Arial"/>
                <w:i/>
                <w:sz w:val="18"/>
                <w:szCs w:val="18"/>
              </w:rPr>
              <w:t>X</w:t>
            </w:r>
          </w:p>
        </w:tc>
      </w:tr>
      <w:tr w:rsidR="00525E29" w:rsidRPr="00A9330B" w14:paraId="210A33AA" w14:textId="77777777" w:rsidTr="00E216F6">
        <w:trPr>
          <w:trHeight w:val="163"/>
        </w:trPr>
        <w:tc>
          <w:tcPr>
            <w:tcW w:w="834" w:type="pct"/>
            <w:vMerge/>
          </w:tcPr>
          <w:p w14:paraId="3AD19755" w14:textId="0A12C63F" w:rsidR="00525E29" w:rsidRPr="00A9330B" w:rsidRDefault="00525E29" w:rsidP="00BE4C78">
            <w:pPr>
              <w:widowControl w:val="0"/>
              <w:tabs>
                <w:tab w:val="left" w:pos="426"/>
                <w:tab w:val="left" w:pos="851"/>
                <w:tab w:val="left" w:pos="1134"/>
              </w:tabs>
              <w:overflowPunct w:val="0"/>
              <w:autoSpaceDE w:val="0"/>
              <w:autoSpaceDN w:val="0"/>
              <w:adjustRightInd w:val="0"/>
              <w:spacing w:before="40" w:line="240" w:lineRule="auto"/>
              <w:textAlignment w:val="baseline"/>
              <w:rPr>
                <w:rFonts w:cs="Arial"/>
                <w:sz w:val="18"/>
                <w:szCs w:val="18"/>
              </w:rPr>
            </w:pPr>
          </w:p>
        </w:tc>
        <w:tc>
          <w:tcPr>
            <w:tcW w:w="1611" w:type="pct"/>
          </w:tcPr>
          <w:p w14:paraId="15A76EB9" w14:textId="1F38D978" w:rsidR="00525E29" w:rsidRPr="00A9330B" w:rsidRDefault="00525E29" w:rsidP="000F7BA7">
            <w:pPr>
              <w:spacing w:before="40" w:line="240" w:lineRule="auto"/>
              <w:jc w:val="both"/>
              <w:rPr>
                <w:rFonts w:cs="Arial"/>
                <w:sz w:val="18"/>
                <w:szCs w:val="18"/>
              </w:rPr>
            </w:pPr>
            <w:r w:rsidRPr="00A9330B">
              <w:rPr>
                <w:rFonts w:eastAsia="Calibri" w:cs="Arial"/>
                <w:spacing w:val="-1"/>
                <w:sz w:val="18"/>
                <w:szCs w:val="18"/>
              </w:rPr>
              <w:t>Circulation des équipements et matériels de chantiers/transport de matériaux</w:t>
            </w:r>
          </w:p>
        </w:tc>
        <w:tc>
          <w:tcPr>
            <w:tcW w:w="227" w:type="pct"/>
            <w:vAlign w:val="center"/>
          </w:tcPr>
          <w:p w14:paraId="534F76B0" w14:textId="00BFB0F7" w:rsidR="00525E29" w:rsidRPr="00A9330B" w:rsidRDefault="00525E29" w:rsidP="00525E29">
            <w:pPr>
              <w:spacing w:before="40" w:line="240" w:lineRule="auto"/>
              <w:rPr>
                <w:rFonts w:cs="Arial"/>
                <w:i/>
                <w:sz w:val="18"/>
                <w:szCs w:val="18"/>
              </w:rPr>
            </w:pPr>
            <w:r w:rsidRPr="00A9330B">
              <w:rPr>
                <w:rFonts w:cs="Arial"/>
                <w:i/>
                <w:sz w:val="18"/>
                <w:szCs w:val="18"/>
              </w:rPr>
              <w:t>X</w:t>
            </w:r>
          </w:p>
        </w:tc>
        <w:tc>
          <w:tcPr>
            <w:tcW w:w="227" w:type="pct"/>
            <w:vAlign w:val="center"/>
          </w:tcPr>
          <w:p w14:paraId="2A8922B8" w14:textId="54F4960C" w:rsidR="00525E29" w:rsidRPr="00A9330B" w:rsidRDefault="00525E29" w:rsidP="00525E29">
            <w:pPr>
              <w:spacing w:before="40" w:line="240" w:lineRule="auto"/>
              <w:rPr>
                <w:rFonts w:cs="Arial"/>
                <w:i/>
                <w:sz w:val="18"/>
                <w:szCs w:val="18"/>
              </w:rPr>
            </w:pPr>
            <w:r w:rsidRPr="00A9330B">
              <w:rPr>
                <w:rFonts w:cs="Arial"/>
                <w:i/>
                <w:sz w:val="18"/>
                <w:szCs w:val="18"/>
              </w:rPr>
              <w:t>X</w:t>
            </w:r>
          </w:p>
        </w:tc>
        <w:tc>
          <w:tcPr>
            <w:tcW w:w="227" w:type="pct"/>
            <w:vAlign w:val="center"/>
          </w:tcPr>
          <w:p w14:paraId="6A05AC15" w14:textId="462D2B8B" w:rsidR="00525E29" w:rsidRPr="00A9330B" w:rsidRDefault="00525E29" w:rsidP="00525E29">
            <w:pPr>
              <w:spacing w:before="40" w:line="240" w:lineRule="auto"/>
              <w:rPr>
                <w:rFonts w:cs="Arial"/>
                <w:i/>
                <w:sz w:val="18"/>
                <w:szCs w:val="18"/>
              </w:rPr>
            </w:pPr>
            <w:r w:rsidRPr="00A9330B">
              <w:rPr>
                <w:rFonts w:cs="Arial"/>
                <w:i/>
                <w:sz w:val="18"/>
                <w:szCs w:val="18"/>
              </w:rPr>
              <w:t>X</w:t>
            </w:r>
          </w:p>
        </w:tc>
        <w:tc>
          <w:tcPr>
            <w:tcW w:w="227" w:type="pct"/>
            <w:vAlign w:val="center"/>
          </w:tcPr>
          <w:p w14:paraId="76A78727" w14:textId="4DEC48FD" w:rsidR="00525E29" w:rsidRPr="00A9330B" w:rsidRDefault="00525E29" w:rsidP="00525E29">
            <w:pPr>
              <w:spacing w:before="40" w:line="240" w:lineRule="auto"/>
              <w:rPr>
                <w:rFonts w:cs="Arial"/>
                <w:i/>
                <w:sz w:val="18"/>
                <w:szCs w:val="18"/>
              </w:rPr>
            </w:pPr>
            <w:r w:rsidRPr="00A9330B">
              <w:rPr>
                <w:rFonts w:cs="Arial"/>
                <w:i/>
                <w:sz w:val="18"/>
                <w:szCs w:val="18"/>
              </w:rPr>
              <w:t>X</w:t>
            </w:r>
          </w:p>
        </w:tc>
        <w:tc>
          <w:tcPr>
            <w:tcW w:w="227" w:type="pct"/>
            <w:vAlign w:val="center"/>
          </w:tcPr>
          <w:p w14:paraId="13F8E818" w14:textId="77777777" w:rsidR="00525E29" w:rsidRPr="00A9330B" w:rsidRDefault="00525E29" w:rsidP="00525E29">
            <w:pPr>
              <w:spacing w:before="40" w:line="240" w:lineRule="auto"/>
              <w:rPr>
                <w:rFonts w:cs="Arial"/>
                <w:i/>
                <w:sz w:val="18"/>
                <w:szCs w:val="18"/>
              </w:rPr>
            </w:pPr>
          </w:p>
        </w:tc>
        <w:tc>
          <w:tcPr>
            <w:tcW w:w="227" w:type="pct"/>
            <w:vAlign w:val="center"/>
          </w:tcPr>
          <w:p w14:paraId="4EEC9D2F" w14:textId="7CB8F569" w:rsidR="00525E29" w:rsidRPr="00A9330B" w:rsidRDefault="00525E29" w:rsidP="00525E29">
            <w:pPr>
              <w:spacing w:before="40" w:line="240" w:lineRule="auto"/>
              <w:rPr>
                <w:rFonts w:cs="Arial"/>
                <w:i/>
                <w:sz w:val="18"/>
                <w:szCs w:val="18"/>
              </w:rPr>
            </w:pPr>
            <w:r w:rsidRPr="00A9330B">
              <w:rPr>
                <w:rFonts w:cs="Arial"/>
                <w:i/>
                <w:sz w:val="18"/>
                <w:szCs w:val="18"/>
              </w:rPr>
              <w:t>X</w:t>
            </w:r>
          </w:p>
        </w:tc>
        <w:tc>
          <w:tcPr>
            <w:tcW w:w="227" w:type="pct"/>
            <w:vAlign w:val="center"/>
          </w:tcPr>
          <w:p w14:paraId="66570451" w14:textId="5EABC5BD" w:rsidR="00525E29" w:rsidRPr="00A9330B" w:rsidRDefault="00525E29" w:rsidP="00525E29">
            <w:pPr>
              <w:spacing w:before="40" w:line="240" w:lineRule="auto"/>
              <w:rPr>
                <w:rFonts w:cs="Arial"/>
                <w:i/>
                <w:sz w:val="18"/>
                <w:szCs w:val="18"/>
              </w:rPr>
            </w:pPr>
            <w:r w:rsidRPr="00A9330B">
              <w:rPr>
                <w:rFonts w:cs="Arial"/>
                <w:i/>
                <w:sz w:val="18"/>
                <w:szCs w:val="18"/>
              </w:rPr>
              <w:t>X</w:t>
            </w:r>
          </w:p>
        </w:tc>
        <w:tc>
          <w:tcPr>
            <w:tcW w:w="227" w:type="pct"/>
            <w:vAlign w:val="center"/>
          </w:tcPr>
          <w:p w14:paraId="334D7503" w14:textId="7ECDC297" w:rsidR="00525E29" w:rsidRPr="00A9330B" w:rsidRDefault="00525E29" w:rsidP="00525E29">
            <w:pPr>
              <w:spacing w:before="40" w:line="240" w:lineRule="auto"/>
              <w:rPr>
                <w:rFonts w:cs="Arial"/>
                <w:i/>
                <w:sz w:val="18"/>
                <w:szCs w:val="18"/>
              </w:rPr>
            </w:pPr>
            <w:r w:rsidRPr="00A9330B">
              <w:rPr>
                <w:rFonts w:cs="Arial"/>
                <w:i/>
                <w:sz w:val="18"/>
                <w:szCs w:val="18"/>
              </w:rPr>
              <w:t>X</w:t>
            </w:r>
          </w:p>
        </w:tc>
        <w:tc>
          <w:tcPr>
            <w:tcW w:w="227" w:type="pct"/>
            <w:vAlign w:val="center"/>
          </w:tcPr>
          <w:p w14:paraId="3D8EC8E9" w14:textId="36AF2061" w:rsidR="00525E29" w:rsidRPr="00A9330B" w:rsidRDefault="00525E29" w:rsidP="00525E29">
            <w:pPr>
              <w:spacing w:before="40" w:line="240" w:lineRule="auto"/>
              <w:rPr>
                <w:rFonts w:cs="Arial"/>
                <w:i/>
                <w:sz w:val="18"/>
                <w:szCs w:val="18"/>
              </w:rPr>
            </w:pPr>
            <w:r w:rsidRPr="00A9330B">
              <w:rPr>
                <w:rFonts w:cs="Arial"/>
                <w:i/>
                <w:sz w:val="18"/>
                <w:szCs w:val="18"/>
              </w:rPr>
              <w:t>X</w:t>
            </w:r>
          </w:p>
        </w:tc>
        <w:tc>
          <w:tcPr>
            <w:tcW w:w="227" w:type="pct"/>
            <w:gridSpan w:val="2"/>
            <w:vAlign w:val="center"/>
          </w:tcPr>
          <w:p w14:paraId="29BE5DCD" w14:textId="7779F716" w:rsidR="00525E29" w:rsidRPr="00A9330B" w:rsidRDefault="00525E29" w:rsidP="00525E29">
            <w:pPr>
              <w:spacing w:before="40" w:line="240" w:lineRule="auto"/>
              <w:rPr>
                <w:rFonts w:cs="Arial"/>
                <w:i/>
                <w:sz w:val="18"/>
                <w:szCs w:val="18"/>
              </w:rPr>
            </w:pPr>
            <w:r w:rsidRPr="00A9330B">
              <w:rPr>
                <w:rFonts w:cs="Arial"/>
                <w:i/>
                <w:sz w:val="18"/>
                <w:szCs w:val="18"/>
              </w:rPr>
              <w:t>X</w:t>
            </w:r>
          </w:p>
        </w:tc>
        <w:tc>
          <w:tcPr>
            <w:tcW w:w="285" w:type="pct"/>
            <w:vAlign w:val="center"/>
          </w:tcPr>
          <w:p w14:paraId="07213C12" w14:textId="1D08FCA2" w:rsidR="00525E29" w:rsidRPr="00A9330B" w:rsidRDefault="00525E29" w:rsidP="00525E29">
            <w:pPr>
              <w:spacing w:before="40" w:line="240" w:lineRule="auto"/>
              <w:rPr>
                <w:rFonts w:cs="Arial"/>
                <w:i/>
                <w:sz w:val="18"/>
                <w:szCs w:val="18"/>
              </w:rPr>
            </w:pPr>
            <w:r w:rsidRPr="00A9330B">
              <w:rPr>
                <w:rFonts w:cs="Arial"/>
                <w:i/>
                <w:sz w:val="18"/>
                <w:szCs w:val="18"/>
              </w:rPr>
              <w:t>X</w:t>
            </w:r>
          </w:p>
        </w:tc>
      </w:tr>
      <w:tr w:rsidR="00525E29" w:rsidRPr="00A9330B" w14:paraId="7BE46288" w14:textId="77777777" w:rsidTr="00E216F6">
        <w:trPr>
          <w:trHeight w:val="163"/>
        </w:trPr>
        <w:tc>
          <w:tcPr>
            <w:tcW w:w="834" w:type="pct"/>
            <w:vMerge/>
          </w:tcPr>
          <w:p w14:paraId="4FE22949" w14:textId="28DD03B8" w:rsidR="00525E29" w:rsidRPr="00A9330B" w:rsidRDefault="00525E29" w:rsidP="00BE4C78">
            <w:pPr>
              <w:widowControl w:val="0"/>
              <w:tabs>
                <w:tab w:val="left" w:pos="426"/>
                <w:tab w:val="left" w:pos="851"/>
                <w:tab w:val="left" w:pos="1134"/>
              </w:tabs>
              <w:overflowPunct w:val="0"/>
              <w:autoSpaceDE w:val="0"/>
              <w:autoSpaceDN w:val="0"/>
              <w:adjustRightInd w:val="0"/>
              <w:spacing w:before="40" w:line="240" w:lineRule="auto"/>
              <w:textAlignment w:val="baseline"/>
              <w:rPr>
                <w:rFonts w:eastAsia="Times New Roman" w:cs="Arial"/>
                <w:color w:val="auto"/>
                <w:sz w:val="18"/>
                <w:szCs w:val="18"/>
                <w:lang w:eastAsia="fr-FR"/>
              </w:rPr>
            </w:pPr>
          </w:p>
        </w:tc>
        <w:tc>
          <w:tcPr>
            <w:tcW w:w="1611" w:type="pct"/>
          </w:tcPr>
          <w:p w14:paraId="62FB9CCB" w14:textId="77777777" w:rsidR="00525E29" w:rsidRPr="00A9330B" w:rsidRDefault="00525E29" w:rsidP="000F7BA7">
            <w:pPr>
              <w:spacing w:line="240" w:lineRule="auto"/>
              <w:jc w:val="both"/>
              <w:rPr>
                <w:rFonts w:eastAsia="Calibri" w:cs="Arial"/>
                <w:spacing w:val="-1"/>
                <w:sz w:val="18"/>
                <w:szCs w:val="18"/>
              </w:rPr>
            </w:pPr>
            <w:r w:rsidRPr="00A9330B">
              <w:rPr>
                <w:rFonts w:eastAsia="Calibri" w:cs="Arial"/>
                <w:sz w:val="18"/>
                <w:szCs w:val="18"/>
              </w:rPr>
              <w:t>D</w:t>
            </w:r>
            <w:r w:rsidRPr="00A9330B">
              <w:rPr>
                <w:rFonts w:eastAsia="Calibri" w:cs="Arial"/>
                <w:spacing w:val="-1"/>
                <w:sz w:val="18"/>
                <w:szCs w:val="18"/>
              </w:rPr>
              <w:t>é</w:t>
            </w:r>
            <w:r w:rsidRPr="00A9330B">
              <w:rPr>
                <w:rFonts w:eastAsia="Calibri" w:cs="Arial"/>
                <w:spacing w:val="1"/>
                <w:sz w:val="18"/>
                <w:szCs w:val="18"/>
              </w:rPr>
              <w:t>c</w:t>
            </w:r>
            <w:r w:rsidRPr="00A9330B">
              <w:rPr>
                <w:rFonts w:eastAsia="Calibri" w:cs="Arial"/>
                <w:sz w:val="18"/>
                <w:szCs w:val="18"/>
              </w:rPr>
              <w:t>a</w:t>
            </w:r>
            <w:r w:rsidRPr="00A9330B">
              <w:rPr>
                <w:rFonts w:eastAsia="Calibri" w:cs="Arial"/>
                <w:spacing w:val="-1"/>
                <w:sz w:val="18"/>
                <w:szCs w:val="18"/>
              </w:rPr>
              <w:t>p</w:t>
            </w:r>
            <w:r w:rsidRPr="00A9330B">
              <w:rPr>
                <w:rFonts w:eastAsia="Calibri" w:cs="Arial"/>
                <w:sz w:val="18"/>
                <w:szCs w:val="18"/>
              </w:rPr>
              <w:t>age/démolition</w:t>
            </w:r>
            <w:r w:rsidRPr="00A9330B">
              <w:rPr>
                <w:rFonts w:eastAsia="Calibri" w:cs="Arial"/>
                <w:spacing w:val="-1"/>
                <w:sz w:val="18"/>
                <w:szCs w:val="18"/>
              </w:rPr>
              <w:t xml:space="preserve"> </w:t>
            </w:r>
          </w:p>
          <w:p w14:paraId="69BB0D88" w14:textId="77777777" w:rsidR="00525E29" w:rsidRPr="00A9330B" w:rsidRDefault="00525E29" w:rsidP="000F7BA7">
            <w:pPr>
              <w:spacing w:line="240" w:lineRule="auto"/>
              <w:jc w:val="both"/>
              <w:rPr>
                <w:rFonts w:eastAsia="Calibri" w:cs="Arial"/>
                <w:color w:val="auto"/>
                <w:sz w:val="18"/>
                <w:szCs w:val="18"/>
              </w:rPr>
            </w:pPr>
            <w:r w:rsidRPr="00A9330B">
              <w:rPr>
                <w:rFonts w:eastAsia="Calibri" w:cs="Arial"/>
                <w:color w:val="auto"/>
                <w:sz w:val="18"/>
                <w:szCs w:val="18"/>
              </w:rPr>
              <w:t>Débroussaillage – Décapage</w:t>
            </w:r>
          </w:p>
          <w:p w14:paraId="480308ED" w14:textId="77777777" w:rsidR="00525E29" w:rsidRPr="00A9330B" w:rsidRDefault="00525E29" w:rsidP="000F7BA7">
            <w:pPr>
              <w:spacing w:line="240" w:lineRule="auto"/>
              <w:jc w:val="both"/>
              <w:rPr>
                <w:rFonts w:eastAsia="Calibri" w:cs="Arial"/>
                <w:color w:val="auto"/>
                <w:sz w:val="18"/>
                <w:szCs w:val="18"/>
              </w:rPr>
            </w:pPr>
            <w:r w:rsidRPr="00A9330B">
              <w:rPr>
                <w:rFonts w:eastAsia="Calibri" w:cs="Arial"/>
                <w:color w:val="auto"/>
                <w:sz w:val="18"/>
                <w:szCs w:val="18"/>
              </w:rPr>
              <w:lastRenderedPageBreak/>
              <w:t>Démolition d’ouvrages existants</w:t>
            </w:r>
          </w:p>
          <w:p w14:paraId="377A42DE" w14:textId="77777777" w:rsidR="00525E29" w:rsidRPr="00A9330B" w:rsidRDefault="00525E29" w:rsidP="000F7BA7">
            <w:pPr>
              <w:spacing w:line="240" w:lineRule="auto"/>
              <w:jc w:val="both"/>
              <w:rPr>
                <w:rFonts w:eastAsia="Calibri" w:cs="Arial"/>
                <w:color w:val="auto"/>
                <w:sz w:val="18"/>
                <w:szCs w:val="18"/>
              </w:rPr>
            </w:pPr>
            <w:r w:rsidRPr="00A9330B">
              <w:rPr>
                <w:rFonts w:eastAsia="Calibri" w:cs="Arial"/>
                <w:color w:val="auto"/>
                <w:sz w:val="18"/>
                <w:szCs w:val="18"/>
              </w:rPr>
              <w:t>Démolition et scarification de chaussée</w:t>
            </w:r>
          </w:p>
          <w:p w14:paraId="6863FF29" w14:textId="77777777" w:rsidR="00525E29" w:rsidRPr="00A9330B" w:rsidRDefault="00525E29" w:rsidP="000F7BA7">
            <w:pPr>
              <w:spacing w:line="240" w:lineRule="auto"/>
              <w:jc w:val="both"/>
              <w:rPr>
                <w:rFonts w:eastAsia="Calibri" w:cs="Arial"/>
                <w:color w:val="auto"/>
                <w:sz w:val="18"/>
                <w:szCs w:val="18"/>
              </w:rPr>
            </w:pPr>
            <w:r w:rsidRPr="00A9330B">
              <w:rPr>
                <w:rFonts w:eastAsia="Calibri" w:cs="Arial"/>
                <w:color w:val="auto"/>
                <w:sz w:val="18"/>
                <w:szCs w:val="18"/>
              </w:rPr>
              <w:t>Démolition de bordures</w:t>
            </w:r>
          </w:p>
          <w:p w14:paraId="38D275C3" w14:textId="5F40B0CB" w:rsidR="00525E29" w:rsidRPr="00A9330B" w:rsidRDefault="00525E29" w:rsidP="000F7BA7">
            <w:pPr>
              <w:spacing w:before="40" w:line="240" w:lineRule="auto"/>
              <w:jc w:val="both"/>
              <w:rPr>
                <w:rFonts w:cs="Arial"/>
                <w:sz w:val="18"/>
                <w:szCs w:val="18"/>
              </w:rPr>
            </w:pPr>
            <w:r w:rsidRPr="00A9330B">
              <w:rPr>
                <w:rFonts w:eastAsia="Calibri" w:cs="Arial"/>
                <w:color w:val="auto"/>
                <w:sz w:val="18"/>
                <w:szCs w:val="18"/>
              </w:rPr>
              <w:t>Curage d’ouvrage de drainage enterré</w:t>
            </w:r>
          </w:p>
        </w:tc>
        <w:tc>
          <w:tcPr>
            <w:tcW w:w="227" w:type="pct"/>
            <w:vAlign w:val="center"/>
          </w:tcPr>
          <w:p w14:paraId="7CFC8D02" w14:textId="0DA93237" w:rsidR="00525E29" w:rsidRPr="00A9330B" w:rsidRDefault="00525E29" w:rsidP="00525E29">
            <w:pPr>
              <w:spacing w:before="40" w:line="240" w:lineRule="auto"/>
              <w:rPr>
                <w:rFonts w:cs="Arial"/>
                <w:i/>
                <w:sz w:val="18"/>
                <w:szCs w:val="18"/>
              </w:rPr>
            </w:pPr>
            <w:r w:rsidRPr="00A9330B">
              <w:rPr>
                <w:rFonts w:cs="Arial"/>
                <w:i/>
                <w:sz w:val="18"/>
                <w:szCs w:val="18"/>
              </w:rPr>
              <w:lastRenderedPageBreak/>
              <w:t>X</w:t>
            </w:r>
          </w:p>
        </w:tc>
        <w:tc>
          <w:tcPr>
            <w:tcW w:w="227" w:type="pct"/>
            <w:vAlign w:val="center"/>
          </w:tcPr>
          <w:p w14:paraId="7FBA7764" w14:textId="7F39898F" w:rsidR="00525E29" w:rsidRPr="00A9330B" w:rsidRDefault="00525E29" w:rsidP="00525E29">
            <w:pPr>
              <w:spacing w:before="40" w:line="240" w:lineRule="auto"/>
              <w:rPr>
                <w:rFonts w:cs="Arial"/>
                <w:i/>
                <w:sz w:val="18"/>
                <w:szCs w:val="18"/>
              </w:rPr>
            </w:pPr>
            <w:r w:rsidRPr="00A9330B">
              <w:rPr>
                <w:rFonts w:cs="Arial"/>
                <w:i/>
                <w:sz w:val="18"/>
                <w:szCs w:val="18"/>
              </w:rPr>
              <w:t>X</w:t>
            </w:r>
          </w:p>
        </w:tc>
        <w:tc>
          <w:tcPr>
            <w:tcW w:w="227" w:type="pct"/>
            <w:vAlign w:val="center"/>
          </w:tcPr>
          <w:p w14:paraId="2F83264C" w14:textId="2CB7897C" w:rsidR="00525E29" w:rsidRPr="00A9330B" w:rsidRDefault="00525E29" w:rsidP="00525E29">
            <w:pPr>
              <w:spacing w:before="40" w:line="240" w:lineRule="auto"/>
              <w:rPr>
                <w:rFonts w:cs="Arial"/>
                <w:i/>
                <w:sz w:val="18"/>
                <w:szCs w:val="18"/>
              </w:rPr>
            </w:pPr>
          </w:p>
        </w:tc>
        <w:tc>
          <w:tcPr>
            <w:tcW w:w="227" w:type="pct"/>
            <w:vAlign w:val="center"/>
          </w:tcPr>
          <w:p w14:paraId="55610BE6" w14:textId="0EAD7758" w:rsidR="00525E29" w:rsidRPr="00A9330B" w:rsidRDefault="00525E29" w:rsidP="00525E29">
            <w:pPr>
              <w:spacing w:before="40" w:line="240" w:lineRule="auto"/>
              <w:rPr>
                <w:rFonts w:cs="Arial"/>
                <w:i/>
                <w:sz w:val="18"/>
                <w:szCs w:val="18"/>
              </w:rPr>
            </w:pPr>
          </w:p>
        </w:tc>
        <w:tc>
          <w:tcPr>
            <w:tcW w:w="227" w:type="pct"/>
            <w:vAlign w:val="center"/>
          </w:tcPr>
          <w:p w14:paraId="07124BAD" w14:textId="77777777" w:rsidR="00525E29" w:rsidRPr="00A9330B" w:rsidRDefault="00525E29" w:rsidP="00525E29">
            <w:pPr>
              <w:spacing w:before="40" w:line="240" w:lineRule="auto"/>
              <w:rPr>
                <w:rFonts w:cs="Arial"/>
                <w:i/>
                <w:sz w:val="18"/>
                <w:szCs w:val="18"/>
              </w:rPr>
            </w:pPr>
          </w:p>
        </w:tc>
        <w:tc>
          <w:tcPr>
            <w:tcW w:w="227" w:type="pct"/>
            <w:vAlign w:val="center"/>
          </w:tcPr>
          <w:p w14:paraId="63EDEC82" w14:textId="7AEF319E" w:rsidR="00525E29" w:rsidRPr="00A9330B" w:rsidRDefault="00525E29" w:rsidP="00525E29">
            <w:pPr>
              <w:spacing w:before="40" w:line="240" w:lineRule="auto"/>
              <w:rPr>
                <w:rFonts w:cs="Arial"/>
                <w:i/>
                <w:sz w:val="18"/>
                <w:szCs w:val="18"/>
              </w:rPr>
            </w:pPr>
          </w:p>
        </w:tc>
        <w:tc>
          <w:tcPr>
            <w:tcW w:w="227" w:type="pct"/>
            <w:vAlign w:val="center"/>
          </w:tcPr>
          <w:p w14:paraId="39972E10" w14:textId="6D80269C" w:rsidR="00525E29" w:rsidRPr="00A9330B" w:rsidRDefault="00525E29" w:rsidP="00525E29">
            <w:pPr>
              <w:spacing w:before="40" w:line="240" w:lineRule="auto"/>
              <w:rPr>
                <w:rFonts w:cs="Arial"/>
                <w:i/>
                <w:sz w:val="18"/>
                <w:szCs w:val="18"/>
              </w:rPr>
            </w:pPr>
            <w:r w:rsidRPr="00A9330B">
              <w:rPr>
                <w:rFonts w:cs="Arial"/>
                <w:i/>
                <w:sz w:val="18"/>
                <w:szCs w:val="18"/>
              </w:rPr>
              <w:t>X</w:t>
            </w:r>
          </w:p>
        </w:tc>
        <w:tc>
          <w:tcPr>
            <w:tcW w:w="227" w:type="pct"/>
            <w:vAlign w:val="center"/>
          </w:tcPr>
          <w:p w14:paraId="77CEF8CC" w14:textId="4DA19580" w:rsidR="00525E29" w:rsidRPr="00A9330B" w:rsidRDefault="00525E29" w:rsidP="00525E29">
            <w:pPr>
              <w:spacing w:before="40" w:line="240" w:lineRule="auto"/>
              <w:rPr>
                <w:rFonts w:cs="Arial"/>
                <w:i/>
                <w:sz w:val="18"/>
                <w:szCs w:val="18"/>
              </w:rPr>
            </w:pPr>
            <w:r w:rsidRPr="00A9330B">
              <w:rPr>
                <w:rFonts w:cs="Arial"/>
                <w:i/>
                <w:sz w:val="18"/>
                <w:szCs w:val="18"/>
              </w:rPr>
              <w:t>X</w:t>
            </w:r>
          </w:p>
        </w:tc>
        <w:tc>
          <w:tcPr>
            <w:tcW w:w="227" w:type="pct"/>
            <w:vAlign w:val="center"/>
          </w:tcPr>
          <w:p w14:paraId="5A2B93E8" w14:textId="21BA558C" w:rsidR="00525E29" w:rsidRPr="00A9330B" w:rsidRDefault="00525E29" w:rsidP="00525E29">
            <w:pPr>
              <w:spacing w:before="40" w:line="240" w:lineRule="auto"/>
              <w:rPr>
                <w:rFonts w:cs="Arial"/>
                <w:i/>
                <w:sz w:val="18"/>
                <w:szCs w:val="18"/>
              </w:rPr>
            </w:pPr>
            <w:r w:rsidRPr="00A9330B">
              <w:rPr>
                <w:rFonts w:cs="Arial"/>
                <w:i/>
                <w:sz w:val="18"/>
                <w:szCs w:val="18"/>
              </w:rPr>
              <w:t>X</w:t>
            </w:r>
          </w:p>
        </w:tc>
        <w:tc>
          <w:tcPr>
            <w:tcW w:w="227" w:type="pct"/>
            <w:gridSpan w:val="2"/>
            <w:vAlign w:val="center"/>
          </w:tcPr>
          <w:p w14:paraId="54D61767" w14:textId="49E6244C" w:rsidR="00525E29" w:rsidRPr="00A9330B" w:rsidRDefault="00525E29" w:rsidP="00525E29">
            <w:pPr>
              <w:spacing w:before="40" w:line="240" w:lineRule="auto"/>
              <w:rPr>
                <w:rFonts w:cs="Arial"/>
                <w:i/>
                <w:sz w:val="18"/>
                <w:szCs w:val="18"/>
              </w:rPr>
            </w:pPr>
          </w:p>
        </w:tc>
        <w:tc>
          <w:tcPr>
            <w:tcW w:w="285" w:type="pct"/>
            <w:vAlign w:val="center"/>
          </w:tcPr>
          <w:p w14:paraId="344CA861" w14:textId="276464B3" w:rsidR="00525E29" w:rsidRPr="00A9330B" w:rsidRDefault="00525E29" w:rsidP="00525E29">
            <w:pPr>
              <w:spacing w:before="40" w:line="240" w:lineRule="auto"/>
              <w:rPr>
                <w:rFonts w:cs="Arial"/>
                <w:i/>
                <w:sz w:val="18"/>
                <w:szCs w:val="18"/>
              </w:rPr>
            </w:pPr>
          </w:p>
        </w:tc>
      </w:tr>
      <w:tr w:rsidR="00525E29" w:rsidRPr="00A9330B" w14:paraId="4B96857D" w14:textId="77777777" w:rsidTr="00E216F6">
        <w:trPr>
          <w:trHeight w:val="163"/>
        </w:trPr>
        <w:tc>
          <w:tcPr>
            <w:tcW w:w="834" w:type="pct"/>
          </w:tcPr>
          <w:p w14:paraId="73086794" w14:textId="77777777" w:rsidR="00525E29" w:rsidRPr="00A9330B" w:rsidRDefault="00525E29" w:rsidP="00BE4C78">
            <w:pPr>
              <w:spacing w:before="40" w:line="240" w:lineRule="auto"/>
              <w:rPr>
                <w:rFonts w:cs="Arial"/>
                <w:sz w:val="18"/>
                <w:szCs w:val="18"/>
              </w:rPr>
            </w:pPr>
          </w:p>
          <w:p w14:paraId="247A8C3B" w14:textId="77777777" w:rsidR="00525E29" w:rsidRPr="00A9330B" w:rsidRDefault="00525E29" w:rsidP="00BE4C78">
            <w:pPr>
              <w:spacing w:before="40" w:line="240" w:lineRule="auto"/>
              <w:rPr>
                <w:rFonts w:cs="Arial"/>
                <w:sz w:val="18"/>
                <w:szCs w:val="18"/>
              </w:rPr>
            </w:pPr>
            <w:r w:rsidRPr="00A9330B">
              <w:rPr>
                <w:rFonts w:cs="Arial"/>
                <w:sz w:val="18"/>
                <w:szCs w:val="18"/>
              </w:rPr>
              <w:t xml:space="preserve">Terrassement </w:t>
            </w:r>
          </w:p>
        </w:tc>
        <w:tc>
          <w:tcPr>
            <w:tcW w:w="1611" w:type="pct"/>
          </w:tcPr>
          <w:p w14:paraId="0C6289D4" w14:textId="77777777" w:rsidR="00525E29" w:rsidRPr="00A9330B" w:rsidRDefault="00525E29" w:rsidP="000F7BA7">
            <w:pPr>
              <w:spacing w:before="40" w:line="240" w:lineRule="auto"/>
              <w:jc w:val="both"/>
              <w:rPr>
                <w:rFonts w:cs="Arial"/>
                <w:sz w:val="18"/>
                <w:szCs w:val="18"/>
              </w:rPr>
            </w:pPr>
            <w:r w:rsidRPr="00A9330B">
              <w:rPr>
                <w:rFonts w:cs="Arial"/>
                <w:sz w:val="18"/>
                <w:szCs w:val="18"/>
              </w:rPr>
              <w:t>Nettoyage des sites</w:t>
            </w:r>
          </w:p>
          <w:p w14:paraId="3B4E4E0D" w14:textId="77777777" w:rsidR="00525E29" w:rsidRPr="00A9330B" w:rsidRDefault="00525E29" w:rsidP="000F7BA7">
            <w:pPr>
              <w:spacing w:before="40" w:line="240" w:lineRule="auto"/>
              <w:jc w:val="both"/>
              <w:rPr>
                <w:rFonts w:cs="Arial"/>
                <w:sz w:val="18"/>
                <w:szCs w:val="18"/>
              </w:rPr>
            </w:pPr>
            <w:r w:rsidRPr="00A9330B">
              <w:rPr>
                <w:rFonts w:cs="Arial"/>
                <w:sz w:val="18"/>
                <w:szCs w:val="18"/>
              </w:rPr>
              <w:t>Débroussaillage – Décapage</w:t>
            </w:r>
          </w:p>
          <w:p w14:paraId="46151FDD" w14:textId="77777777" w:rsidR="00525E29" w:rsidRPr="00A9330B" w:rsidRDefault="00525E29" w:rsidP="000F7BA7">
            <w:pPr>
              <w:spacing w:before="40" w:line="240" w:lineRule="auto"/>
              <w:jc w:val="both"/>
              <w:rPr>
                <w:rFonts w:cs="Arial"/>
                <w:sz w:val="18"/>
                <w:szCs w:val="18"/>
              </w:rPr>
            </w:pPr>
            <w:r w:rsidRPr="00A9330B">
              <w:rPr>
                <w:rFonts w:cs="Arial"/>
                <w:sz w:val="18"/>
                <w:szCs w:val="18"/>
              </w:rPr>
              <w:t>Démolition d’ouvrages existants</w:t>
            </w:r>
          </w:p>
          <w:p w14:paraId="337444A4" w14:textId="77777777" w:rsidR="00525E29" w:rsidRPr="00A9330B" w:rsidRDefault="00525E29" w:rsidP="000F7BA7">
            <w:pPr>
              <w:spacing w:before="40" w:line="240" w:lineRule="auto"/>
              <w:jc w:val="both"/>
              <w:rPr>
                <w:rFonts w:cs="Arial"/>
                <w:sz w:val="18"/>
                <w:szCs w:val="18"/>
              </w:rPr>
            </w:pPr>
            <w:r w:rsidRPr="00A9330B">
              <w:rPr>
                <w:rFonts w:cs="Arial"/>
                <w:sz w:val="18"/>
                <w:szCs w:val="18"/>
              </w:rPr>
              <w:t>Démolition et scarification de chaussée</w:t>
            </w:r>
          </w:p>
          <w:p w14:paraId="0E7A1BE0" w14:textId="77777777" w:rsidR="00525E29" w:rsidRPr="00A9330B" w:rsidRDefault="00525E29" w:rsidP="000F7BA7">
            <w:pPr>
              <w:spacing w:before="40" w:line="240" w:lineRule="auto"/>
              <w:jc w:val="both"/>
              <w:rPr>
                <w:rFonts w:cs="Arial"/>
                <w:sz w:val="18"/>
                <w:szCs w:val="18"/>
              </w:rPr>
            </w:pPr>
            <w:r w:rsidRPr="00A9330B">
              <w:rPr>
                <w:rFonts w:cs="Arial"/>
                <w:sz w:val="18"/>
                <w:szCs w:val="18"/>
              </w:rPr>
              <w:t xml:space="preserve">Démolition diverse </w:t>
            </w:r>
          </w:p>
        </w:tc>
        <w:tc>
          <w:tcPr>
            <w:tcW w:w="227" w:type="pct"/>
            <w:vAlign w:val="center"/>
          </w:tcPr>
          <w:p w14:paraId="7D8C211C" w14:textId="77777777" w:rsidR="00525E29" w:rsidRPr="00A9330B" w:rsidRDefault="00525E29" w:rsidP="00525E29">
            <w:pPr>
              <w:spacing w:before="40" w:line="240" w:lineRule="auto"/>
              <w:rPr>
                <w:rFonts w:cs="Arial"/>
                <w:i/>
                <w:sz w:val="18"/>
                <w:szCs w:val="18"/>
              </w:rPr>
            </w:pPr>
            <w:r w:rsidRPr="00A9330B">
              <w:rPr>
                <w:rFonts w:cs="Arial"/>
                <w:i/>
                <w:sz w:val="18"/>
                <w:szCs w:val="18"/>
              </w:rPr>
              <w:t>X</w:t>
            </w:r>
          </w:p>
        </w:tc>
        <w:tc>
          <w:tcPr>
            <w:tcW w:w="227" w:type="pct"/>
            <w:vAlign w:val="center"/>
          </w:tcPr>
          <w:p w14:paraId="03DF2CFB" w14:textId="77777777" w:rsidR="00525E29" w:rsidRPr="00A9330B" w:rsidRDefault="00525E29" w:rsidP="00525E29">
            <w:pPr>
              <w:spacing w:before="40" w:line="240" w:lineRule="auto"/>
              <w:rPr>
                <w:rFonts w:cs="Arial"/>
                <w:i/>
                <w:sz w:val="18"/>
                <w:szCs w:val="18"/>
              </w:rPr>
            </w:pPr>
            <w:r w:rsidRPr="00A9330B">
              <w:rPr>
                <w:rFonts w:cs="Arial"/>
                <w:i/>
                <w:sz w:val="18"/>
                <w:szCs w:val="18"/>
              </w:rPr>
              <w:t>X</w:t>
            </w:r>
          </w:p>
        </w:tc>
        <w:tc>
          <w:tcPr>
            <w:tcW w:w="227" w:type="pct"/>
            <w:vAlign w:val="center"/>
          </w:tcPr>
          <w:p w14:paraId="23CD4BC3" w14:textId="77777777" w:rsidR="00525E29" w:rsidRPr="00A9330B" w:rsidRDefault="00525E29" w:rsidP="00525E29">
            <w:pPr>
              <w:spacing w:before="40" w:line="240" w:lineRule="auto"/>
              <w:rPr>
                <w:rFonts w:cs="Arial"/>
                <w:i/>
                <w:sz w:val="18"/>
                <w:szCs w:val="18"/>
              </w:rPr>
            </w:pPr>
            <w:r w:rsidRPr="00A9330B">
              <w:rPr>
                <w:rFonts w:cs="Arial"/>
                <w:i/>
                <w:sz w:val="18"/>
                <w:szCs w:val="18"/>
              </w:rPr>
              <w:t>X</w:t>
            </w:r>
          </w:p>
        </w:tc>
        <w:tc>
          <w:tcPr>
            <w:tcW w:w="227" w:type="pct"/>
            <w:vAlign w:val="center"/>
          </w:tcPr>
          <w:p w14:paraId="15E0429F" w14:textId="77777777" w:rsidR="00525E29" w:rsidRPr="00A9330B" w:rsidRDefault="00525E29" w:rsidP="00525E29">
            <w:pPr>
              <w:spacing w:before="40" w:line="240" w:lineRule="auto"/>
              <w:rPr>
                <w:rFonts w:cs="Arial"/>
                <w:i/>
                <w:sz w:val="18"/>
                <w:szCs w:val="18"/>
              </w:rPr>
            </w:pPr>
            <w:r w:rsidRPr="00A9330B">
              <w:rPr>
                <w:rFonts w:cs="Arial"/>
                <w:i/>
                <w:sz w:val="18"/>
                <w:szCs w:val="18"/>
              </w:rPr>
              <w:t>X</w:t>
            </w:r>
          </w:p>
        </w:tc>
        <w:tc>
          <w:tcPr>
            <w:tcW w:w="227" w:type="pct"/>
            <w:vAlign w:val="center"/>
          </w:tcPr>
          <w:p w14:paraId="57688BE0" w14:textId="77777777" w:rsidR="00525E29" w:rsidRPr="00A9330B" w:rsidRDefault="00525E29" w:rsidP="00525E29">
            <w:pPr>
              <w:spacing w:before="40" w:line="240" w:lineRule="auto"/>
              <w:rPr>
                <w:rFonts w:cs="Arial"/>
                <w:i/>
                <w:sz w:val="18"/>
                <w:szCs w:val="18"/>
              </w:rPr>
            </w:pPr>
            <w:r w:rsidRPr="00A9330B">
              <w:rPr>
                <w:rFonts w:cs="Arial"/>
                <w:i/>
                <w:sz w:val="18"/>
                <w:szCs w:val="18"/>
              </w:rPr>
              <w:t>X</w:t>
            </w:r>
          </w:p>
        </w:tc>
        <w:tc>
          <w:tcPr>
            <w:tcW w:w="227" w:type="pct"/>
            <w:vAlign w:val="center"/>
          </w:tcPr>
          <w:p w14:paraId="60CB0077" w14:textId="77777777" w:rsidR="00525E29" w:rsidRPr="00A9330B" w:rsidRDefault="00525E29" w:rsidP="00525E29">
            <w:pPr>
              <w:spacing w:before="40" w:line="240" w:lineRule="auto"/>
              <w:rPr>
                <w:rFonts w:cs="Arial"/>
                <w:i/>
                <w:sz w:val="18"/>
                <w:szCs w:val="18"/>
              </w:rPr>
            </w:pPr>
            <w:r w:rsidRPr="00A9330B">
              <w:rPr>
                <w:rFonts w:cs="Arial"/>
                <w:i/>
                <w:sz w:val="18"/>
                <w:szCs w:val="18"/>
              </w:rPr>
              <w:t>X</w:t>
            </w:r>
          </w:p>
        </w:tc>
        <w:tc>
          <w:tcPr>
            <w:tcW w:w="227" w:type="pct"/>
            <w:vAlign w:val="center"/>
          </w:tcPr>
          <w:p w14:paraId="66DDCB3E" w14:textId="77777777" w:rsidR="00525E29" w:rsidRPr="00A9330B" w:rsidRDefault="00525E29" w:rsidP="00525E29">
            <w:pPr>
              <w:spacing w:before="40" w:line="240" w:lineRule="auto"/>
              <w:rPr>
                <w:rFonts w:cs="Arial"/>
                <w:i/>
                <w:sz w:val="18"/>
                <w:szCs w:val="18"/>
              </w:rPr>
            </w:pPr>
            <w:r w:rsidRPr="00A9330B">
              <w:rPr>
                <w:rFonts w:cs="Arial"/>
                <w:i/>
                <w:sz w:val="18"/>
                <w:szCs w:val="18"/>
              </w:rPr>
              <w:t>X</w:t>
            </w:r>
          </w:p>
        </w:tc>
        <w:tc>
          <w:tcPr>
            <w:tcW w:w="227" w:type="pct"/>
            <w:vAlign w:val="center"/>
          </w:tcPr>
          <w:p w14:paraId="65CAE695" w14:textId="77777777" w:rsidR="00525E29" w:rsidRPr="00A9330B" w:rsidRDefault="00525E29" w:rsidP="00525E29">
            <w:pPr>
              <w:spacing w:before="40" w:line="240" w:lineRule="auto"/>
              <w:rPr>
                <w:rFonts w:cs="Arial"/>
                <w:i/>
                <w:sz w:val="18"/>
                <w:szCs w:val="18"/>
              </w:rPr>
            </w:pPr>
            <w:r w:rsidRPr="00A9330B">
              <w:rPr>
                <w:rFonts w:cs="Arial"/>
                <w:i/>
                <w:sz w:val="18"/>
                <w:szCs w:val="18"/>
              </w:rPr>
              <w:t>X</w:t>
            </w:r>
          </w:p>
        </w:tc>
        <w:tc>
          <w:tcPr>
            <w:tcW w:w="227" w:type="pct"/>
            <w:vAlign w:val="center"/>
          </w:tcPr>
          <w:p w14:paraId="33FCD2E6" w14:textId="77777777" w:rsidR="00525E29" w:rsidRPr="00A9330B" w:rsidRDefault="00525E29" w:rsidP="00525E29">
            <w:pPr>
              <w:spacing w:before="40" w:line="240" w:lineRule="auto"/>
              <w:rPr>
                <w:rFonts w:cs="Arial"/>
                <w:i/>
                <w:sz w:val="18"/>
                <w:szCs w:val="18"/>
              </w:rPr>
            </w:pPr>
            <w:r w:rsidRPr="00A9330B">
              <w:rPr>
                <w:rFonts w:cs="Arial"/>
                <w:i/>
                <w:sz w:val="18"/>
                <w:szCs w:val="18"/>
              </w:rPr>
              <w:t>X</w:t>
            </w:r>
          </w:p>
        </w:tc>
        <w:tc>
          <w:tcPr>
            <w:tcW w:w="227" w:type="pct"/>
            <w:gridSpan w:val="2"/>
            <w:vAlign w:val="center"/>
          </w:tcPr>
          <w:p w14:paraId="05338332" w14:textId="77777777" w:rsidR="00525E29" w:rsidRPr="00A9330B" w:rsidRDefault="00525E29" w:rsidP="00525E29">
            <w:pPr>
              <w:spacing w:before="40" w:line="240" w:lineRule="auto"/>
              <w:rPr>
                <w:rFonts w:cs="Arial"/>
                <w:i/>
                <w:sz w:val="18"/>
                <w:szCs w:val="18"/>
              </w:rPr>
            </w:pPr>
            <w:r w:rsidRPr="00A9330B">
              <w:rPr>
                <w:rFonts w:cs="Arial"/>
                <w:i/>
                <w:sz w:val="18"/>
                <w:szCs w:val="18"/>
              </w:rPr>
              <w:t>X</w:t>
            </w:r>
          </w:p>
        </w:tc>
        <w:tc>
          <w:tcPr>
            <w:tcW w:w="285" w:type="pct"/>
            <w:vAlign w:val="center"/>
          </w:tcPr>
          <w:p w14:paraId="243CCD23" w14:textId="77777777" w:rsidR="00525E29" w:rsidRPr="00A9330B" w:rsidRDefault="00525E29" w:rsidP="00525E29">
            <w:pPr>
              <w:spacing w:before="40" w:line="240" w:lineRule="auto"/>
              <w:rPr>
                <w:rFonts w:cs="Arial"/>
                <w:i/>
                <w:sz w:val="18"/>
                <w:szCs w:val="18"/>
              </w:rPr>
            </w:pPr>
          </w:p>
        </w:tc>
      </w:tr>
      <w:tr w:rsidR="00525E29" w:rsidRPr="00A9330B" w14:paraId="3C0E6EF4" w14:textId="77777777" w:rsidTr="00E216F6">
        <w:trPr>
          <w:trHeight w:val="163"/>
        </w:trPr>
        <w:tc>
          <w:tcPr>
            <w:tcW w:w="834" w:type="pct"/>
          </w:tcPr>
          <w:p w14:paraId="527EF792" w14:textId="77777777" w:rsidR="00525E29" w:rsidRPr="00A9330B" w:rsidRDefault="00525E29" w:rsidP="00BE4C78">
            <w:pPr>
              <w:spacing w:line="240" w:lineRule="auto"/>
              <w:rPr>
                <w:rFonts w:eastAsia="Calibri" w:cs="Arial"/>
                <w:color w:val="auto"/>
                <w:sz w:val="18"/>
                <w:szCs w:val="18"/>
              </w:rPr>
            </w:pPr>
          </w:p>
          <w:p w14:paraId="6BEC8157" w14:textId="77777777" w:rsidR="00525E29" w:rsidRPr="00A9330B" w:rsidRDefault="00525E29" w:rsidP="00BE4C78">
            <w:pPr>
              <w:spacing w:line="240" w:lineRule="auto"/>
              <w:rPr>
                <w:rFonts w:eastAsia="Calibri" w:cs="Arial"/>
                <w:color w:val="auto"/>
                <w:sz w:val="18"/>
                <w:szCs w:val="18"/>
              </w:rPr>
            </w:pPr>
            <w:r w:rsidRPr="00A9330B">
              <w:rPr>
                <w:rFonts w:eastAsia="Calibri" w:cs="Arial"/>
                <w:color w:val="auto"/>
                <w:sz w:val="18"/>
                <w:szCs w:val="18"/>
              </w:rPr>
              <w:t xml:space="preserve">Emprunts de matériaux </w:t>
            </w:r>
          </w:p>
          <w:p w14:paraId="32051218" w14:textId="6B2AD69F" w:rsidR="00525E29" w:rsidRPr="00A9330B" w:rsidRDefault="00525E29" w:rsidP="00BE4C78">
            <w:pPr>
              <w:spacing w:before="40" w:line="240" w:lineRule="auto"/>
              <w:rPr>
                <w:rFonts w:cs="Arial"/>
                <w:sz w:val="18"/>
                <w:szCs w:val="18"/>
              </w:rPr>
            </w:pPr>
            <w:r w:rsidRPr="00A9330B">
              <w:rPr>
                <w:rFonts w:eastAsia="Calibri" w:cs="Arial"/>
                <w:color w:val="auto"/>
                <w:sz w:val="18"/>
                <w:szCs w:val="18"/>
              </w:rPr>
              <w:t xml:space="preserve">Carrières </w:t>
            </w:r>
          </w:p>
        </w:tc>
        <w:tc>
          <w:tcPr>
            <w:tcW w:w="1611" w:type="pct"/>
          </w:tcPr>
          <w:p w14:paraId="657880E1" w14:textId="77777777" w:rsidR="00525E29" w:rsidRPr="00A9330B" w:rsidRDefault="00525E29" w:rsidP="000F7BA7">
            <w:pPr>
              <w:spacing w:line="240" w:lineRule="auto"/>
              <w:jc w:val="both"/>
              <w:rPr>
                <w:rFonts w:eastAsia="Calibri" w:cs="Arial"/>
                <w:color w:val="auto"/>
                <w:sz w:val="18"/>
                <w:szCs w:val="18"/>
              </w:rPr>
            </w:pPr>
            <w:r w:rsidRPr="00A9330B">
              <w:rPr>
                <w:rFonts w:eastAsia="Calibri" w:cs="Arial"/>
                <w:color w:val="auto"/>
                <w:sz w:val="18"/>
                <w:szCs w:val="18"/>
              </w:rPr>
              <w:t>Extraction de matériaux</w:t>
            </w:r>
          </w:p>
          <w:p w14:paraId="5AF51FF6" w14:textId="77777777" w:rsidR="00525E29" w:rsidRPr="00A9330B" w:rsidRDefault="00525E29" w:rsidP="000F7BA7">
            <w:pPr>
              <w:spacing w:line="240" w:lineRule="auto"/>
              <w:jc w:val="both"/>
              <w:rPr>
                <w:rFonts w:eastAsia="Calibri" w:cs="Arial"/>
                <w:color w:val="auto"/>
                <w:sz w:val="18"/>
                <w:szCs w:val="18"/>
              </w:rPr>
            </w:pPr>
            <w:r w:rsidRPr="00A9330B">
              <w:rPr>
                <w:rFonts w:eastAsia="Calibri" w:cs="Arial"/>
                <w:color w:val="auto"/>
                <w:sz w:val="18"/>
                <w:szCs w:val="18"/>
              </w:rPr>
              <w:t>Gerbage de matériaux en carrière et sur site</w:t>
            </w:r>
          </w:p>
          <w:p w14:paraId="08D8139C" w14:textId="77777777" w:rsidR="00525E29" w:rsidRPr="00A9330B" w:rsidRDefault="00525E29" w:rsidP="000F7BA7">
            <w:pPr>
              <w:spacing w:line="240" w:lineRule="auto"/>
              <w:jc w:val="both"/>
              <w:rPr>
                <w:rFonts w:eastAsia="Calibri" w:cs="Arial"/>
                <w:color w:val="auto"/>
                <w:sz w:val="18"/>
                <w:szCs w:val="18"/>
              </w:rPr>
            </w:pPr>
            <w:r w:rsidRPr="00A9330B">
              <w:rPr>
                <w:rFonts w:eastAsia="Calibri" w:cs="Arial"/>
                <w:color w:val="auto"/>
                <w:sz w:val="18"/>
                <w:szCs w:val="18"/>
              </w:rPr>
              <w:t>Apport de matériaux de fondation</w:t>
            </w:r>
          </w:p>
          <w:p w14:paraId="64750915" w14:textId="77777777" w:rsidR="00525E29" w:rsidRPr="00A9330B" w:rsidRDefault="00525E29" w:rsidP="000F7BA7">
            <w:pPr>
              <w:spacing w:line="240" w:lineRule="auto"/>
              <w:jc w:val="both"/>
              <w:rPr>
                <w:rFonts w:eastAsia="Calibri" w:cs="Arial"/>
                <w:color w:val="auto"/>
                <w:sz w:val="18"/>
                <w:szCs w:val="18"/>
              </w:rPr>
            </w:pPr>
            <w:r w:rsidRPr="00A9330B">
              <w:rPr>
                <w:rFonts w:eastAsia="Calibri" w:cs="Arial"/>
                <w:color w:val="auto"/>
                <w:sz w:val="18"/>
                <w:szCs w:val="18"/>
              </w:rPr>
              <w:t>Apport de matériaux de remblais</w:t>
            </w:r>
          </w:p>
          <w:p w14:paraId="78EA5A6B" w14:textId="77777777" w:rsidR="00525E29" w:rsidRPr="00A9330B" w:rsidRDefault="00525E29" w:rsidP="000F7BA7">
            <w:pPr>
              <w:spacing w:line="240" w:lineRule="auto"/>
              <w:jc w:val="both"/>
              <w:rPr>
                <w:rFonts w:eastAsia="Calibri" w:cs="Arial"/>
                <w:color w:val="auto"/>
                <w:sz w:val="18"/>
                <w:szCs w:val="18"/>
              </w:rPr>
            </w:pPr>
            <w:r w:rsidRPr="00A9330B">
              <w:rPr>
                <w:rFonts w:eastAsia="Calibri" w:cs="Arial"/>
                <w:color w:val="auto"/>
                <w:sz w:val="18"/>
                <w:szCs w:val="18"/>
              </w:rPr>
              <w:t>Concassage et apport de matériaux de concassage</w:t>
            </w:r>
          </w:p>
          <w:p w14:paraId="0793EBDA" w14:textId="519BBB5F" w:rsidR="00525E29" w:rsidRPr="00A9330B" w:rsidRDefault="00525E29" w:rsidP="000F7BA7">
            <w:pPr>
              <w:spacing w:before="40" w:line="240" w:lineRule="auto"/>
              <w:jc w:val="both"/>
              <w:rPr>
                <w:rFonts w:cs="Arial"/>
                <w:sz w:val="18"/>
                <w:szCs w:val="18"/>
              </w:rPr>
            </w:pPr>
            <w:r w:rsidRPr="00A9330B">
              <w:rPr>
                <w:rFonts w:eastAsia="Calibri" w:cs="Arial"/>
                <w:color w:val="auto"/>
                <w:sz w:val="18"/>
                <w:szCs w:val="18"/>
              </w:rPr>
              <w:t>Transport des matériaux sur les chantiers</w:t>
            </w:r>
          </w:p>
        </w:tc>
        <w:tc>
          <w:tcPr>
            <w:tcW w:w="227" w:type="pct"/>
            <w:vAlign w:val="center"/>
          </w:tcPr>
          <w:p w14:paraId="50CBC876" w14:textId="77777777" w:rsidR="00525E29" w:rsidRPr="00A9330B" w:rsidRDefault="00525E29" w:rsidP="00525E29">
            <w:pPr>
              <w:spacing w:before="40" w:line="240" w:lineRule="auto"/>
              <w:rPr>
                <w:rFonts w:cs="Arial"/>
                <w:i/>
                <w:sz w:val="18"/>
                <w:szCs w:val="18"/>
              </w:rPr>
            </w:pPr>
          </w:p>
        </w:tc>
        <w:tc>
          <w:tcPr>
            <w:tcW w:w="227" w:type="pct"/>
            <w:vAlign w:val="center"/>
          </w:tcPr>
          <w:p w14:paraId="34D62E89" w14:textId="77777777" w:rsidR="00525E29" w:rsidRPr="00A9330B" w:rsidRDefault="00525E29" w:rsidP="00525E29">
            <w:pPr>
              <w:spacing w:before="40" w:line="240" w:lineRule="auto"/>
              <w:rPr>
                <w:rFonts w:cs="Arial"/>
                <w:i/>
                <w:sz w:val="18"/>
                <w:szCs w:val="18"/>
              </w:rPr>
            </w:pPr>
          </w:p>
        </w:tc>
        <w:tc>
          <w:tcPr>
            <w:tcW w:w="227" w:type="pct"/>
            <w:vAlign w:val="center"/>
          </w:tcPr>
          <w:p w14:paraId="17C4052E" w14:textId="77777777" w:rsidR="00525E29" w:rsidRPr="00A9330B" w:rsidRDefault="00525E29" w:rsidP="00525E29">
            <w:pPr>
              <w:spacing w:before="40" w:line="240" w:lineRule="auto"/>
              <w:rPr>
                <w:rFonts w:cs="Arial"/>
                <w:i/>
                <w:sz w:val="18"/>
                <w:szCs w:val="18"/>
              </w:rPr>
            </w:pPr>
          </w:p>
        </w:tc>
        <w:tc>
          <w:tcPr>
            <w:tcW w:w="227" w:type="pct"/>
            <w:vAlign w:val="center"/>
          </w:tcPr>
          <w:p w14:paraId="56076D28" w14:textId="77777777" w:rsidR="00525E29" w:rsidRPr="00A9330B" w:rsidRDefault="00525E29" w:rsidP="00525E29">
            <w:pPr>
              <w:spacing w:before="40" w:line="240" w:lineRule="auto"/>
              <w:rPr>
                <w:rFonts w:cs="Arial"/>
                <w:i/>
                <w:sz w:val="18"/>
                <w:szCs w:val="18"/>
              </w:rPr>
            </w:pPr>
          </w:p>
        </w:tc>
        <w:tc>
          <w:tcPr>
            <w:tcW w:w="227" w:type="pct"/>
            <w:vAlign w:val="center"/>
          </w:tcPr>
          <w:p w14:paraId="75F38141" w14:textId="77777777" w:rsidR="00525E29" w:rsidRPr="00A9330B" w:rsidRDefault="00525E29" w:rsidP="00525E29">
            <w:pPr>
              <w:spacing w:before="40" w:line="240" w:lineRule="auto"/>
              <w:rPr>
                <w:rFonts w:cs="Arial"/>
                <w:i/>
                <w:sz w:val="18"/>
                <w:szCs w:val="18"/>
              </w:rPr>
            </w:pPr>
          </w:p>
        </w:tc>
        <w:tc>
          <w:tcPr>
            <w:tcW w:w="227" w:type="pct"/>
            <w:vAlign w:val="center"/>
          </w:tcPr>
          <w:p w14:paraId="19B27FC5" w14:textId="77777777" w:rsidR="00525E29" w:rsidRPr="00A9330B" w:rsidRDefault="00525E29" w:rsidP="00525E29">
            <w:pPr>
              <w:spacing w:before="40" w:line="240" w:lineRule="auto"/>
              <w:rPr>
                <w:rFonts w:cs="Arial"/>
                <w:i/>
                <w:sz w:val="18"/>
                <w:szCs w:val="18"/>
              </w:rPr>
            </w:pPr>
          </w:p>
        </w:tc>
        <w:tc>
          <w:tcPr>
            <w:tcW w:w="227" w:type="pct"/>
            <w:vAlign w:val="center"/>
          </w:tcPr>
          <w:p w14:paraId="6FDC646E" w14:textId="77777777" w:rsidR="00525E29" w:rsidRPr="00A9330B" w:rsidRDefault="00525E29" w:rsidP="00525E29">
            <w:pPr>
              <w:spacing w:before="40" w:line="240" w:lineRule="auto"/>
              <w:rPr>
                <w:rFonts w:cs="Arial"/>
                <w:i/>
                <w:sz w:val="18"/>
                <w:szCs w:val="18"/>
              </w:rPr>
            </w:pPr>
          </w:p>
        </w:tc>
        <w:tc>
          <w:tcPr>
            <w:tcW w:w="227" w:type="pct"/>
            <w:vAlign w:val="center"/>
          </w:tcPr>
          <w:p w14:paraId="7505D52E" w14:textId="77777777" w:rsidR="00525E29" w:rsidRPr="00A9330B" w:rsidRDefault="00525E29" w:rsidP="00525E29">
            <w:pPr>
              <w:spacing w:before="40" w:line="240" w:lineRule="auto"/>
              <w:rPr>
                <w:rFonts w:cs="Arial"/>
                <w:i/>
                <w:sz w:val="18"/>
                <w:szCs w:val="18"/>
              </w:rPr>
            </w:pPr>
          </w:p>
        </w:tc>
        <w:tc>
          <w:tcPr>
            <w:tcW w:w="227" w:type="pct"/>
            <w:vAlign w:val="center"/>
          </w:tcPr>
          <w:p w14:paraId="7BD04469" w14:textId="77777777" w:rsidR="00525E29" w:rsidRPr="00A9330B" w:rsidRDefault="00525E29" w:rsidP="00525E29">
            <w:pPr>
              <w:spacing w:before="40" w:line="240" w:lineRule="auto"/>
              <w:rPr>
                <w:rFonts w:cs="Arial"/>
                <w:i/>
                <w:sz w:val="18"/>
                <w:szCs w:val="18"/>
              </w:rPr>
            </w:pPr>
          </w:p>
        </w:tc>
        <w:tc>
          <w:tcPr>
            <w:tcW w:w="227" w:type="pct"/>
            <w:gridSpan w:val="2"/>
            <w:vAlign w:val="center"/>
          </w:tcPr>
          <w:p w14:paraId="7FDD7656" w14:textId="77777777" w:rsidR="00525E29" w:rsidRPr="00A9330B" w:rsidRDefault="00525E29" w:rsidP="00525E29">
            <w:pPr>
              <w:spacing w:before="40" w:line="240" w:lineRule="auto"/>
              <w:rPr>
                <w:rFonts w:cs="Arial"/>
                <w:i/>
                <w:sz w:val="18"/>
                <w:szCs w:val="18"/>
              </w:rPr>
            </w:pPr>
          </w:p>
        </w:tc>
        <w:tc>
          <w:tcPr>
            <w:tcW w:w="285" w:type="pct"/>
            <w:vAlign w:val="center"/>
          </w:tcPr>
          <w:p w14:paraId="6E11CDBB" w14:textId="77777777" w:rsidR="00525E29" w:rsidRPr="00A9330B" w:rsidRDefault="00525E29" w:rsidP="00525E29">
            <w:pPr>
              <w:spacing w:before="40" w:line="240" w:lineRule="auto"/>
              <w:rPr>
                <w:rFonts w:cs="Arial"/>
                <w:i/>
                <w:sz w:val="18"/>
                <w:szCs w:val="18"/>
              </w:rPr>
            </w:pPr>
          </w:p>
        </w:tc>
      </w:tr>
      <w:tr w:rsidR="00525E29" w:rsidRPr="00A9330B" w14:paraId="42F77A03" w14:textId="77777777" w:rsidTr="00E216F6">
        <w:trPr>
          <w:trHeight w:val="163"/>
        </w:trPr>
        <w:tc>
          <w:tcPr>
            <w:tcW w:w="834" w:type="pct"/>
          </w:tcPr>
          <w:p w14:paraId="3FF6C257" w14:textId="77777777" w:rsidR="00525E29" w:rsidRPr="00A9330B" w:rsidRDefault="00525E29" w:rsidP="00BE4C78">
            <w:pPr>
              <w:spacing w:line="240" w:lineRule="auto"/>
              <w:rPr>
                <w:rFonts w:eastAsia="Calibri" w:cs="Arial"/>
                <w:color w:val="auto"/>
                <w:sz w:val="18"/>
                <w:szCs w:val="18"/>
              </w:rPr>
            </w:pPr>
          </w:p>
          <w:p w14:paraId="788A61F0" w14:textId="77777777" w:rsidR="00525E29" w:rsidRPr="00A9330B" w:rsidRDefault="00525E29" w:rsidP="00BE4C78">
            <w:pPr>
              <w:spacing w:line="240" w:lineRule="auto"/>
              <w:rPr>
                <w:rFonts w:eastAsia="Calibri" w:cs="Arial"/>
                <w:color w:val="auto"/>
                <w:sz w:val="18"/>
                <w:szCs w:val="18"/>
              </w:rPr>
            </w:pPr>
            <w:r w:rsidRPr="00A9330B">
              <w:rPr>
                <w:rFonts w:eastAsia="Calibri" w:cs="Arial"/>
                <w:color w:val="auto"/>
                <w:sz w:val="18"/>
                <w:szCs w:val="18"/>
              </w:rPr>
              <w:t xml:space="preserve">Construction des collecteurs </w:t>
            </w:r>
          </w:p>
          <w:p w14:paraId="6FDC2853" w14:textId="77777777" w:rsidR="00525E29" w:rsidRPr="00A9330B" w:rsidRDefault="00525E29" w:rsidP="00BE4C78">
            <w:pPr>
              <w:spacing w:line="240" w:lineRule="auto"/>
              <w:rPr>
                <w:rFonts w:eastAsia="Calibri" w:cs="Arial"/>
                <w:color w:val="auto"/>
                <w:sz w:val="18"/>
                <w:szCs w:val="18"/>
              </w:rPr>
            </w:pPr>
          </w:p>
          <w:p w14:paraId="5D2C12F8" w14:textId="6C03E6F8" w:rsidR="00525E29" w:rsidRPr="00A9330B" w:rsidRDefault="00525E29" w:rsidP="00BE4C78">
            <w:pPr>
              <w:spacing w:before="40" w:line="240" w:lineRule="auto"/>
              <w:rPr>
                <w:rFonts w:cs="Arial"/>
                <w:sz w:val="18"/>
                <w:szCs w:val="18"/>
              </w:rPr>
            </w:pPr>
            <w:r w:rsidRPr="00A9330B">
              <w:rPr>
                <w:rFonts w:eastAsia="Calibri" w:cs="Arial"/>
                <w:color w:val="auto"/>
                <w:sz w:val="18"/>
                <w:szCs w:val="18"/>
              </w:rPr>
              <w:t>Constructions des Chaussée et Trottoirs</w:t>
            </w:r>
          </w:p>
        </w:tc>
        <w:tc>
          <w:tcPr>
            <w:tcW w:w="1611" w:type="pct"/>
          </w:tcPr>
          <w:p w14:paraId="6CC0AACE" w14:textId="77777777" w:rsidR="00525E29" w:rsidRPr="00A9330B" w:rsidRDefault="00525E29" w:rsidP="000F7BA7">
            <w:pPr>
              <w:spacing w:line="240" w:lineRule="auto"/>
              <w:jc w:val="both"/>
              <w:rPr>
                <w:rFonts w:eastAsia="Calibri" w:cs="Arial"/>
                <w:color w:val="auto"/>
                <w:sz w:val="18"/>
                <w:szCs w:val="18"/>
              </w:rPr>
            </w:pPr>
            <w:r w:rsidRPr="00A9330B">
              <w:rPr>
                <w:rFonts w:eastAsia="Calibri" w:cs="Arial"/>
                <w:color w:val="auto"/>
                <w:sz w:val="18"/>
                <w:szCs w:val="18"/>
              </w:rPr>
              <w:t xml:space="preserve">Mise en œuvre de matériaux pour Couche de fondation et base </w:t>
            </w:r>
          </w:p>
          <w:p w14:paraId="3665A4A3" w14:textId="77777777" w:rsidR="00525E29" w:rsidRPr="00A9330B" w:rsidRDefault="00525E29" w:rsidP="000F7BA7">
            <w:pPr>
              <w:spacing w:line="240" w:lineRule="auto"/>
              <w:jc w:val="both"/>
              <w:rPr>
                <w:rFonts w:eastAsia="Calibri" w:cs="Arial"/>
                <w:color w:val="auto"/>
                <w:sz w:val="18"/>
                <w:szCs w:val="18"/>
              </w:rPr>
            </w:pPr>
            <w:r w:rsidRPr="00A9330B">
              <w:rPr>
                <w:rFonts w:eastAsia="Calibri" w:cs="Arial"/>
                <w:color w:val="auto"/>
                <w:sz w:val="18"/>
                <w:szCs w:val="18"/>
              </w:rPr>
              <w:t>Compactage de matériaux pour chaussées</w:t>
            </w:r>
          </w:p>
          <w:p w14:paraId="7469C82B" w14:textId="77777777" w:rsidR="00525E29" w:rsidRPr="00A9330B" w:rsidRDefault="00525E29" w:rsidP="000F7BA7">
            <w:pPr>
              <w:spacing w:line="240" w:lineRule="auto"/>
              <w:jc w:val="both"/>
              <w:rPr>
                <w:rFonts w:eastAsia="Calibri" w:cs="Arial"/>
                <w:color w:val="auto"/>
                <w:sz w:val="18"/>
                <w:szCs w:val="18"/>
              </w:rPr>
            </w:pPr>
            <w:r w:rsidRPr="00A9330B">
              <w:rPr>
                <w:rFonts w:eastAsia="Calibri" w:cs="Arial"/>
                <w:color w:val="auto"/>
                <w:sz w:val="18"/>
                <w:szCs w:val="18"/>
              </w:rPr>
              <w:t xml:space="preserve">Préfabrication d’éléments pavés ou bordures </w:t>
            </w:r>
          </w:p>
          <w:p w14:paraId="19311A5A" w14:textId="77777777" w:rsidR="00525E29" w:rsidRPr="00A9330B" w:rsidRDefault="00525E29" w:rsidP="000F7BA7">
            <w:pPr>
              <w:spacing w:line="240" w:lineRule="auto"/>
              <w:jc w:val="both"/>
              <w:rPr>
                <w:rFonts w:eastAsia="Calibri" w:cs="Arial"/>
                <w:color w:val="auto"/>
                <w:sz w:val="18"/>
                <w:szCs w:val="18"/>
              </w:rPr>
            </w:pPr>
            <w:r w:rsidRPr="00A9330B">
              <w:rPr>
                <w:rFonts w:eastAsia="Calibri" w:cs="Arial"/>
                <w:color w:val="auto"/>
                <w:sz w:val="18"/>
                <w:szCs w:val="18"/>
              </w:rPr>
              <w:t>Mise en œuvre d’éléments préfabriqués</w:t>
            </w:r>
          </w:p>
          <w:p w14:paraId="0BCCA493" w14:textId="77777777" w:rsidR="00525E29" w:rsidRPr="00A9330B" w:rsidRDefault="00525E29" w:rsidP="000F7BA7">
            <w:pPr>
              <w:spacing w:line="240" w:lineRule="auto"/>
              <w:jc w:val="both"/>
              <w:rPr>
                <w:rFonts w:eastAsia="Calibri" w:cs="Arial"/>
                <w:color w:val="auto"/>
                <w:sz w:val="18"/>
                <w:szCs w:val="18"/>
              </w:rPr>
            </w:pPr>
            <w:r w:rsidRPr="00A9330B">
              <w:rPr>
                <w:rFonts w:eastAsia="Calibri" w:cs="Arial"/>
                <w:color w:val="auto"/>
                <w:sz w:val="18"/>
                <w:szCs w:val="18"/>
              </w:rPr>
              <w:t xml:space="preserve">Mise en forme de la couche de roulement </w:t>
            </w:r>
          </w:p>
          <w:p w14:paraId="5ED8E9AD" w14:textId="44D23F85" w:rsidR="00525E29" w:rsidRPr="00A9330B" w:rsidRDefault="00525E29" w:rsidP="000F7BA7">
            <w:pPr>
              <w:spacing w:before="40" w:line="240" w:lineRule="auto"/>
              <w:jc w:val="both"/>
              <w:rPr>
                <w:rFonts w:cs="Arial"/>
                <w:sz w:val="18"/>
                <w:szCs w:val="18"/>
              </w:rPr>
            </w:pPr>
            <w:r w:rsidRPr="00A9330B">
              <w:rPr>
                <w:rFonts w:eastAsia="Calibri" w:cs="Arial"/>
                <w:color w:val="auto"/>
                <w:sz w:val="18"/>
                <w:szCs w:val="18"/>
              </w:rPr>
              <w:t>Revêtement de la chaussée</w:t>
            </w:r>
          </w:p>
        </w:tc>
        <w:tc>
          <w:tcPr>
            <w:tcW w:w="227" w:type="pct"/>
            <w:vAlign w:val="center"/>
          </w:tcPr>
          <w:p w14:paraId="428985FD" w14:textId="77777777" w:rsidR="00525E29" w:rsidRPr="00A9330B" w:rsidRDefault="00525E29" w:rsidP="00525E29">
            <w:pPr>
              <w:spacing w:before="40" w:line="240" w:lineRule="auto"/>
              <w:rPr>
                <w:rFonts w:cs="Arial"/>
                <w:i/>
                <w:sz w:val="18"/>
                <w:szCs w:val="18"/>
              </w:rPr>
            </w:pPr>
            <w:r w:rsidRPr="00A9330B">
              <w:rPr>
                <w:rFonts w:cs="Arial"/>
                <w:i/>
                <w:sz w:val="18"/>
                <w:szCs w:val="18"/>
              </w:rPr>
              <w:t>X</w:t>
            </w:r>
          </w:p>
        </w:tc>
        <w:tc>
          <w:tcPr>
            <w:tcW w:w="227" w:type="pct"/>
            <w:vAlign w:val="center"/>
          </w:tcPr>
          <w:p w14:paraId="30E60338" w14:textId="77777777" w:rsidR="00525E29" w:rsidRPr="00A9330B" w:rsidRDefault="00525E29" w:rsidP="00525E29">
            <w:pPr>
              <w:spacing w:before="40" w:line="240" w:lineRule="auto"/>
              <w:rPr>
                <w:rFonts w:cs="Arial"/>
                <w:i/>
                <w:sz w:val="18"/>
                <w:szCs w:val="18"/>
              </w:rPr>
            </w:pPr>
            <w:r w:rsidRPr="00A9330B">
              <w:rPr>
                <w:rFonts w:cs="Arial"/>
                <w:i/>
                <w:sz w:val="18"/>
                <w:szCs w:val="18"/>
              </w:rPr>
              <w:t>X</w:t>
            </w:r>
          </w:p>
        </w:tc>
        <w:tc>
          <w:tcPr>
            <w:tcW w:w="227" w:type="pct"/>
            <w:vAlign w:val="center"/>
          </w:tcPr>
          <w:p w14:paraId="031639B0" w14:textId="77777777" w:rsidR="00525E29" w:rsidRPr="00A9330B" w:rsidRDefault="00525E29" w:rsidP="00525E29">
            <w:pPr>
              <w:spacing w:before="40" w:line="240" w:lineRule="auto"/>
              <w:rPr>
                <w:rFonts w:cs="Arial"/>
                <w:i/>
                <w:sz w:val="18"/>
                <w:szCs w:val="18"/>
              </w:rPr>
            </w:pPr>
            <w:r w:rsidRPr="00A9330B">
              <w:rPr>
                <w:rFonts w:cs="Arial"/>
                <w:i/>
                <w:sz w:val="18"/>
                <w:szCs w:val="18"/>
              </w:rPr>
              <w:t>X</w:t>
            </w:r>
          </w:p>
        </w:tc>
        <w:tc>
          <w:tcPr>
            <w:tcW w:w="227" w:type="pct"/>
            <w:vAlign w:val="center"/>
          </w:tcPr>
          <w:p w14:paraId="06AFCD36" w14:textId="77777777" w:rsidR="00525E29" w:rsidRPr="00A9330B" w:rsidRDefault="00525E29" w:rsidP="00525E29">
            <w:pPr>
              <w:spacing w:before="40" w:line="240" w:lineRule="auto"/>
              <w:rPr>
                <w:rFonts w:cs="Arial"/>
                <w:i/>
                <w:sz w:val="18"/>
                <w:szCs w:val="18"/>
              </w:rPr>
            </w:pPr>
            <w:r w:rsidRPr="00A9330B">
              <w:rPr>
                <w:rFonts w:cs="Arial"/>
                <w:i/>
                <w:sz w:val="18"/>
                <w:szCs w:val="18"/>
              </w:rPr>
              <w:t>X</w:t>
            </w:r>
          </w:p>
        </w:tc>
        <w:tc>
          <w:tcPr>
            <w:tcW w:w="227" w:type="pct"/>
            <w:vAlign w:val="center"/>
          </w:tcPr>
          <w:p w14:paraId="216053E8" w14:textId="77777777" w:rsidR="00525E29" w:rsidRPr="00A9330B" w:rsidRDefault="00525E29" w:rsidP="00525E29">
            <w:pPr>
              <w:spacing w:before="40" w:line="240" w:lineRule="auto"/>
              <w:rPr>
                <w:rFonts w:cs="Arial"/>
                <w:i/>
                <w:sz w:val="18"/>
                <w:szCs w:val="18"/>
              </w:rPr>
            </w:pPr>
          </w:p>
        </w:tc>
        <w:tc>
          <w:tcPr>
            <w:tcW w:w="227" w:type="pct"/>
            <w:vAlign w:val="center"/>
          </w:tcPr>
          <w:p w14:paraId="077FBA1A" w14:textId="77777777" w:rsidR="00525E29" w:rsidRPr="00A9330B" w:rsidRDefault="00525E29" w:rsidP="00525E29">
            <w:pPr>
              <w:spacing w:before="40" w:line="240" w:lineRule="auto"/>
              <w:rPr>
                <w:rFonts w:cs="Arial"/>
                <w:i/>
                <w:sz w:val="18"/>
                <w:szCs w:val="18"/>
              </w:rPr>
            </w:pPr>
            <w:r w:rsidRPr="00A9330B">
              <w:rPr>
                <w:rFonts w:cs="Arial"/>
                <w:i/>
                <w:sz w:val="18"/>
                <w:szCs w:val="18"/>
              </w:rPr>
              <w:t>X</w:t>
            </w:r>
          </w:p>
        </w:tc>
        <w:tc>
          <w:tcPr>
            <w:tcW w:w="227" w:type="pct"/>
            <w:vAlign w:val="center"/>
          </w:tcPr>
          <w:p w14:paraId="4A131EF8" w14:textId="77777777" w:rsidR="00525E29" w:rsidRPr="00A9330B" w:rsidRDefault="00525E29" w:rsidP="00525E29">
            <w:pPr>
              <w:spacing w:before="40" w:line="240" w:lineRule="auto"/>
              <w:rPr>
                <w:rFonts w:cs="Arial"/>
                <w:i/>
                <w:sz w:val="18"/>
                <w:szCs w:val="18"/>
              </w:rPr>
            </w:pPr>
            <w:r w:rsidRPr="00A9330B">
              <w:rPr>
                <w:rFonts w:cs="Arial"/>
                <w:i/>
                <w:sz w:val="18"/>
                <w:szCs w:val="18"/>
              </w:rPr>
              <w:t>X</w:t>
            </w:r>
          </w:p>
        </w:tc>
        <w:tc>
          <w:tcPr>
            <w:tcW w:w="227" w:type="pct"/>
            <w:vAlign w:val="center"/>
          </w:tcPr>
          <w:p w14:paraId="5A97F608" w14:textId="77777777" w:rsidR="00525E29" w:rsidRPr="00A9330B" w:rsidRDefault="00525E29" w:rsidP="00525E29">
            <w:pPr>
              <w:spacing w:before="40" w:line="240" w:lineRule="auto"/>
              <w:rPr>
                <w:rFonts w:cs="Arial"/>
                <w:i/>
                <w:sz w:val="18"/>
                <w:szCs w:val="18"/>
              </w:rPr>
            </w:pPr>
            <w:r w:rsidRPr="00A9330B">
              <w:rPr>
                <w:rFonts w:cs="Arial"/>
                <w:i/>
                <w:sz w:val="18"/>
                <w:szCs w:val="18"/>
              </w:rPr>
              <w:t>X</w:t>
            </w:r>
          </w:p>
        </w:tc>
        <w:tc>
          <w:tcPr>
            <w:tcW w:w="227" w:type="pct"/>
            <w:vAlign w:val="center"/>
          </w:tcPr>
          <w:p w14:paraId="12C682A7" w14:textId="77777777" w:rsidR="00525E29" w:rsidRPr="00A9330B" w:rsidRDefault="00525E29" w:rsidP="00525E29">
            <w:pPr>
              <w:spacing w:before="40" w:line="240" w:lineRule="auto"/>
              <w:rPr>
                <w:rFonts w:cs="Arial"/>
                <w:i/>
                <w:sz w:val="18"/>
                <w:szCs w:val="18"/>
              </w:rPr>
            </w:pPr>
            <w:r w:rsidRPr="00A9330B">
              <w:rPr>
                <w:rFonts w:cs="Arial"/>
                <w:i/>
                <w:sz w:val="18"/>
                <w:szCs w:val="18"/>
              </w:rPr>
              <w:t>X</w:t>
            </w:r>
          </w:p>
        </w:tc>
        <w:tc>
          <w:tcPr>
            <w:tcW w:w="227" w:type="pct"/>
            <w:gridSpan w:val="2"/>
            <w:vAlign w:val="center"/>
          </w:tcPr>
          <w:p w14:paraId="648EE9CD" w14:textId="77777777" w:rsidR="00525E29" w:rsidRPr="00A9330B" w:rsidRDefault="00525E29" w:rsidP="00525E29">
            <w:pPr>
              <w:spacing w:before="40" w:line="240" w:lineRule="auto"/>
              <w:rPr>
                <w:rFonts w:cs="Arial"/>
                <w:i/>
                <w:sz w:val="18"/>
                <w:szCs w:val="18"/>
              </w:rPr>
            </w:pPr>
            <w:r w:rsidRPr="00A9330B">
              <w:rPr>
                <w:rFonts w:cs="Arial"/>
                <w:i/>
                <w:sz w:val="18"/>
                <w:szCs w:val="18"/>
              </w:rPr>
              <w:t>X</w:t>
            </w:r>
          </w:p>
        </w:tc>
        <w:tc>
          <w:tcPr>
            <w:tcW w:w="285" w:type="pct"/>
            <w:vAlign w:val="center"/>
          </w:tcPr>
          <w:p w14:paraId="59AC52F5" w14:textId="77777777" w:rsidR="00525E29" w:rsidRPr="00A9330B" w:rsidRDefault="00525E29" w:rsidP="00525E29">
            <w:pPr>
              <w:spacing w:before="40" w:line="240" w:lineRule="auto"/>
              <w:rPr>
                <w:rFonts w:cs="Arial"/>
                <w:i/>
                <w:sz w:val="18"/>
                <w:szCs w:val="18"/>
              </w:rPr>
            </w:pPr>
          </w:p>
        </w:tc>
      </w:tr>
      <w:tr w:rsidR="00525E29" w:rsidRPr="00A9330B" w14:paraId="2245A7CE" w14:textId="77777777" w:rsidTr="00E216F6">
        <w:trPr>
          <w:trHeight w:val="1090"/>
        </w:trPr>
        <w:tc>
          <w:tcPr>
            <w:tcW w:w="834" w:type="pct"/>
          </w:tcPr>
          <w:p w14:paraId="778BAA1C" w14:textId="77777777" w:rsidR="00525E29" w:rsidRPr="00A9330B" w:rsidRDefault="00525E29" w:rsidP="00BE4C78">
            <w:pPr>
              <w:spacing w:before="40" w:line="240" w:lineRule="auto"/>
              <w:rPr>
                <w:rFonts w:cs="Arial"/>
                <w:sz w:val="18"/>
                <w:szCs w:val="18"/>
              </w:rPr>
            </w:pPr>
          </w:p>
          <w:p w14:paraId="4409E264" w14:textId="77777777" w:rsidR="00525E29" w:rsidRPr="00A9330B" w:rsidRDefault="00525E29" w:rsidP="00BE4C78">
            <w:pPr>
              <w:spacing w:before="40" w:line="240" w:lineRule="auto"/>
              <w:rPr>
                <w:rFonts w:cs="Arial"/>
                <w:sz w:val="18"/>
                <w:szCs w:val="18"/>
              </w:rPr>
            </w:pPr>
            <w:r w:rsidRPr="00A9330B">
              <w:rPr>
                <w:rFonts w:cs="Arial"/>
                <w:sz w:val="18"/>
                <w:szCs w:val="18"/>
              </w:rPr>
              <w:t>Assainissement et drainage</w:t>
            </w:r>
          </w:p>
        </w:tc>
        <w:tc>
          <w:tcPr>
            <w:tcW w:w="1611" w:type="pct"/>
          </w:tcPr>
          <w:p w14:paraId="4A3EF7A9" w14:textId="77777777" w:rsidR="00525E29" w:rsidRPr="00A9330B" w:rsidRDefault="00525E29" w:rsidP="000F7BA7">
            <w:pPr>
              <w:spacing w:before="40" w:line="240" w:lineRule="auto"/>
              <w:jc w:val="both"/>
              <w:rPr>
                <w:rFonts w:cs="Arial"/>
                <w:sz w:val="18"/>
                <w:szCs w:val="18"/>
              </w:rPr>
            </w:pPr>
            <w:r w:rsidRPr="00A9330B">
              <w:rPr>
                <w:rFonts w:cs="Arial"/>
                <w:sz w:val="18"/>
                <w:szCs w:val="18"/>
              </w:rPr>
              <w:t xml:space="preserve">Fouilles pour ouvrage de drainage </w:t>
            </w:r>
          </w:p>
          <w:p w14:paraId="6CAFE65C" w14:textId="77777777" w:rsidR="00525E29" w:rsidRPr="00A9330B" w:rsidRDefault="00525E29" w:rsidP="000F7BA7">
            <w:pPr>
              <w:spacing w:before="40" w:line="240" w:lineRule="auto"/>
              <w:jc w:val="both"/>
              <w:rPr>
                <w:rFonts w:cs="Arial"/>
                <w:sz w:val="18"/>
                <w:szCs w:val="18"/>
              </w:rPr>
            </w:pPr>
            <w:r w:rsidRPr="00A9330B">
              <w:rPr>
                <w:rFonts w:cs="Arial"/>
                <w:sz w:val="18"/>
                <w:szCs w:val="18"/>
              </w:rPr>
              <w:t>Mise en œuvre de matériaux pour construction d’ouvrage d’art, construction de fossés, de caniveaux ou de divergents</w:t>
            </w:r>
          </w:p>
        </w:tc>
        <w:tc>
          <w:tcPr>
            <w:tcW w:w="227" w:type="pct"/>
            <w:vAlign w:val="center"/>
          </w:tcPr>
          <w:p w14:paraId="33253AB4" w14:textId="77777777" w:rsidR="00525E29" w:rsidRPr="00A9330B" w:rsidRDefault="00525E29" w:rsidP="00525E29">
            <w:pPr>
              <w:spacing w:before="40" w:line="240" w:lineRule="auto"/>
              <w:rPr>
                <w:rFonts w:cs="Arial"/>
                <w:sz w:val="18"/>
                <w:szCs w:val="18"/>
              </w:rPr>
            </w:pPr>
            <w:r w:rsidRPr="00A9330B">
              <w:rPr>
                <w:rFonts w:cs="Arial"/>
                <w:sz w:val="18"/>
                <w:szCs w:val="18"/>
              </w:rPr>
              <w:t>X</w:t>
            </w:r>
          </w:p>
        </w:tc>
        <w:tc>
          <w:tcPr>
            <w:tcW w:w="227" w:type="pct"/>
            <w:vAlign w:val="center"/>
          </w:tcPr>
          <w:p w14:paraId="3649D8CB" w14:textId="77777777" w:rsidR="00525E29" w:rsidRPr="00A9330B" w:rsidRDefault="00525E29" w:rsidP="00525E29">
            <w:pPr>
              <w:spacing w:before="40" w:line="240" w:lineRule="auto"/>
              <w:rPr>
                <w:rFonts w:cs="Arial"/>
                <w:sz w:val="18"/>
                <w:szCs w:val="18"/>
              </w:rPr>
            </w:pPr>
          </w:p>
        </w:tc>
        <w:tc>
          <w:tcPr>
            <w:tcW w:w="227" w:type="pct"/>
            <w:vAlign w:val="center"/>
          </w:tcPr>
          <w:p w14:paraId="4A0EAF93" w14:textId="77777777" w:rsidR="00525E29" w:rsidRPr="00A9330B" w:rsidRDefault="00525E29" w:rsidP="00525E29">
            <w:pPr>
              <w:spacing w:before="40" w:line="240" w:lineRule="auto"/>
              <w:rPr>
                <w:rFonts w:cs="Arial"/>
                <w:sz w:val="18"/>
                <w:szCs w:val="18"/>
              </w:rPr>
            </w:pPr>
            <w:r w:rsidRPr="00A9330B">
              <w:rPr>
                <w:rFonts w:cs="Arial"/>
                <w:sz w:val="18"/>
                <w:szCs w:val="18"/>
              </w:rPr>
              <w:t>X</w:t>
            </w:r>
          </w:p>
        </w:tc>
        <w:tc>
          <w:tcPr>
            <w:tcW w:w="227" w:type="pct"/>
            <w:vAlign w:val="center"/>
          </w:tcPr>
          <w:p w14:paraId="30726D59" w14:textId="77777777" w:rsidR="00525E29" w:rsidRPr="00A9330B" w:rsidRDefault="00525E29" w:rsidP="00525E29">
            <w:pPr>
              <w:spacing w:before="40" w:line="240" w:lineRule="auto"/>
              <w:rPr>
                <w:rFonts w:cs="Arial"/>
                <w:sz w:val="18"/>
                <w:szCs w:val="18"/>
              </w:rPr>
            </w:pPr>
            <w:r w:rsidRPr="00A9330B">
              <w:rPr>
                <w:rFonts w:cs="Arial"/>
                <w:sz w:val="18"/>
                <w:szCs w:val="18"/>
              </w:rPr>
              <w:t>X</w:t>
            </w:r>
          </w:p>
        </w:tc>
        <w:tc>
          <w:tcPr>
            <w:tcW w:w="227" w:type="pct"/>
            <w:vAlign w:val="center"/>
          </w:tcPr>
          <w:p w14:paraId="30D9CC18" w14:textId="77777777" w:rsidR="00525E29" w:rsidRPr="00A9330B" w:rsidRDefault="00525E29" w:rsidP="00525E29">
            <w:pPr>
              <w:spacing w:before="40" w:line="240" w:lineRule="auto"/>
              <w:rPr>
                <w:rFonts w:cs="Arial"/>
                <w:sz w:val="18"/>
                <w:szCs w:val="18"/>
              </w:rPr>
            </w:pPr>
            <w:r w:rsidRPr="00A9330B">
              <w:rPr>
                <w:rFonts w:cs="Arial"/>
                <w:sz w:val="18"/>
                <w:szCs w:val="18"/>
              </w:rPr>
              <w:t>X</w:t>
            </w:r>
          </w:p>
        </w:tc>
        <w:tc>
          <w:tcPr>
            <w:tcW w:w="227" w:type="pct"/>
            <w:vAlign w:val="center"/>
          </w:tcPr>
          <w:p w14:paraId="2E77899D" w14:textId="77777777" w:rsidR="00525E29" w:rsidRPr="00A9330B" w:rsidRDefault="00525E29" w:rsidP="00525E29">
            <w:pPr>
              <w:spacing w:before="40" w:line="240" w:lineRule="auto"/>
              <w:rPr>
                <w:rFonts w:cs="Arial"/>
                <w:sz w:val="18"/>
                <w:szCs w:val="18"/>
              </w:rPr>
            </w:pPr>
            <w:r w:rsidRPr="00A9330B">
              <w:rPr>
                <w:rFonts w:cs="Arial"/>
                <w:sz w:val="18"/>
                <w:szCs w:val="18"/>
              </w:rPr>
              <w:t>X</w:t>
            </w:r>
          </w:p>
        </w:tc>
        <w:tc>
          <w:tcPr>
            <w:tcW w:w="227" w:type="pct"/>
            <w:vAlign w:val="center"/>
          </w:tcPr>
          <w:p w14:paraId="3AE71E28" w14:textId="77777777" w:rsidR="00525E29" w:rsidRPr="00A9330B" w:rsidRDefault="00525E29" w:rsidP="00525E29">
            <w:pPr>
              <w:spacing w:before="40" w:line="240" w:lineRule="auto"/>
              <w:rPr>
                <w:rFonts w:cs="Arial"/>
                <w:sz w:val="18"/>
                <w:szCs w:val="18"/>
              </w:rPr>
            </w:pPr>
            <w:r w:rsidRPr="00A9330B">
              <w:rPr>
                <w:rFonts w:cs="Arial"/>
                <w:sz w:val="18"/>
                <w:szCs w:val="18"/>
              </w:rPr>
              <w:t>X</w:t>
            </w:r>
          </w:p>
        </w:tc>
        <w:tc>
          <w:tcPr>
            <w:tcW w:w="227" w:type="pct"/>
            <w:vAlign w:val="center"/>
          </w:tcPr>
          <w:p w14:paraId="4F7CC15E" w14:textId="77777777" w:rsidR="00525E29" w:rsidRPr="00A9330B" w:rsidRDefault="00525E29" w:rsidP="00525E29">
            <w:pPr>
              <w:spacing w:before="40" w:line="240" w:lineRule="auto"/>
              <w:rPr>
                <w:rFonts w:cs="Arial"/>
                <w:sz w:val="18"/>
                <w:szCs w:val="18"/>
              </w:rPr>
            </w:pPr>
            <w:r w:rsidRPr="00A9330B">
              <w:rPr>
                <w:rFonts w:cs="Arial"/>
                <w:sz w:val="18"/>
                <w:szCs w:val="18"/>
              </w:rPr>
              <w:t>X</w:t>
            </w:r>
          </w:p>
        </w:tc>
        <w:tc>
          <w:tcPr>
            <w:tcW w:w="227" w:type="pct"/>
            <w:vAlign w:val="center"/>
          </w:tcPr>
          <w:p w14:paraId="00130F04" w14:textId="77777777" w:rsidR="00525E29" w:rsidRPr="00A9330B" w:rsidRDefault="00525E29" w:rsidP="00525E29">
            <w:pPr>
              <w:spacing w:before="40" w:line="240" w:lineRule="auto"/>
              <w:rPr>
                <w:rFonts w:cs="Arial"/>
                <w:sz w:val="18"/>
                <w:szCs w:val="18"/>
              </w:rPr>
            </w:pPr>
            <w:r w:rsidRPr="00A9330B">
              <w:rPr>
                <w:rFonts w:cs="Arial"/>
                <w:sz w:val="18"/>
                <w:szCs w:val="18"/>
              </w:rPr>
              <w:t>X</w:t>
            </w:r>
          </w:p>
        </w:tc>
        <w:tc>
          <w:tcPr>
            <w:tcW w:w="227" w:type="pct"/>
            <w:gridSpan w:val="2"/>
            <w:vAlign w:val="center"/>
          </w:tcPr>
          <w:p w14:paraId="7633B416" w14:textId="77777777" w:rsidR="00525E29" w:rsidRPr="00A9330B" w:rsidRDefault="00525E29" w:rsidP="00525E29">
            <w:pPr>
              <w:spacing w:before="40" w:line="240" w:lineRule="auto"/>
              <w:rPr>
                <w:rFonts w:cs="Arial"/>
                <w:sz w:val="18"/>
                <w:szCs w:val="18"/>
              </w:rPr>
            </w:pPr>
            <w:r w:rsidRPr="00A9330B">
              <w:rPr>
                <w:rFonts w:cs="Arial"/>
                <w:sz w:val="18"/>
                <w:szCs w:val="18"/>
              </w:rPr>
              <w:t>X</w:t>
            </w:r>
          </w:p>
        </w:tc>
        <w:tc>
          <w:tcPr>
            <w:tcW w:w="285" w:type="pct"/>
            <w:vAlign w:val="center"/>
          </w:tcPr>
          <w:p w14:paraId="3890B392" w14:textId="77777777" w:rsidR="00525E29" w:rsidRPr="00A9330B" w:rsidRDefault="00525E29" w:rsidP="00525E29">
            <w:pPr>
              <w:spacing w:before="40" w:line="240" w:lineRule="auto"/>
              <w:rPr>
                <w:rFonts w:cs="Arial"/>
                <w:sz w:val="18"/>
                <w:szCs w:val="18"/>
              </w:rPr>
            </w:pPr>
            <w:r w:rsidRPr="00A9330B">
              <w:rPr>
                <w:rFonts w:cs="Arial"/>
                <w:sz w:val="18"/>
                <w:szCs w:val="18"/>
              </w:rPr>
              <w:t>X</w:t>
            </w:r>
          </w:p>
        </w:tc>
      </w:tr>
      <w:tr w:rsidR="00E216F6" w:rsidRPr="00A9330B" w14:paraId="480CB550" w14:textId="77777777" w:rsidTr="00E216F6">
        <w:trPr>
          <w:trHeight w:val="163"/>
        </w:trPr>
        <w:tc>
          <w:tcPr>
            <w:tcW w:w="834" w:type="pct"/>
          </w:tcPr>
          <w:p w14:paraId="3C9E5098" w14:textId="77777777" w:rsidR="00E216F6" w:rsidRPr="00A9330B" w:rsidRDefault="00E216F6" w:rsidP="00E216F6">
            <w:pPr>
              <w:spacing w:line="240" w:lineRule="auto"/>
              <w:rPr>
                <w:rFonts w:eastAsia="Calibri" w:cs="Arial"/>
                <w:color w:val="auto"/>
                <w:sz w:val="18"/>
                <w:szCs w:val="18"/>
              </w:rPr>
            </w:pPr>
          </w:p>
          <w:p w14:paraId="62E3F195" w14:textId="20869F74" w:rsidR="00E216F6" w:rsidRPr="00A9330B" w:rsidRDefault="00E216F6" w:rsidP="00E216F6">
            <w:pPr>
              <w:spacing w:before="40" w:line="240" w:lineRule="auto"/>
              <w:rPr>
                <w:rFonts w:cs="Arial"/>
                <w:sz w:val="18"/>
                <w:szCs w:val="18"/>
              </w:rPr>
            </w:pPr>
            <w:r w:rsidRPr="00A9330B">
              <w:rPr>
                <w:rFonts w:eastAsia="Calibri" w:cs="Arial"/>
                <w:color w:val="auto"/>
                <w:sz w:val="18"/>
                <w:szCs w:val="18"/>
              </w:rPr>
              <w:t xml:space="preserve">Mesures d’accompagnement </w:t>
            </w:r>
          </w:p>
        </w:tc>
        <w:tc>
          <w:tcPr>
            <w:tcW w:w="1611" w:type="pct"/>
          </w:tcPr>
          <w:p w14:paraId="4D209F9C" w14:textId="77777777" w:rsidR="00E216F6" w:rsidRPr="00E216F6" w:rsidRDefault="00E216F6" w:rsidP="00E216F6">
            <w:pPr>
              <w:widowControl w:val="0"/>
              <w:tabs>
                <w:tab w:val="left" w:pos="426"/>
                <w:tab w:val="left" w:pos="851"/>
                <w:tab w:val="left" w:pos="1134"/>
              </w:tabs>
              <w:overflowPunct w:val="0"/>
              <w:autoSpaceDE w:val="0"/>
              <w:autoSpaceDN w:val="0"/>
              <w:adjustRightInd w:val="0"/>
              <w:spacing w:before="60" w:line="240" w:lineRule="auto"/>
              <w:jc w:val="both"/>
              <w:textAlignment w:val="baseline"/>
              <w:rPr>
                <w:rFonts w:eastAsia="Times New Roman" w:cs="Arial"/>
                <w:color w:val="auto"/>
                <w:sz w:val="19"/>
                <w:szCs w:val="19"/>
                <w:lang w:eastAsia="fr-FR"/>
              </w:rPr>
            </w:pPr>
            <w:r w:rsidRPr="00E216F6">
              <w:rPr>
                <w:rFonts w:eastAsia="Times New Roman" w:cs="Arial"/>
                <w:color w:val="auto"/>
                <w:sz w:val="19"/>
                <w:szCs w:val="19"/>
                <w:lang w:eastAsia="fr-FR"/>
              </w:rPr>
              <w:t>Protection des talus</w:t>
            </w:r>
          </w:p>
          <w:p w14:paraId="7797F80A" w14:textId="77777777" w:rsidR="00E216F6" w:rsidRPr="00E216F6" w:rsidRDefault="00E216F6" w:rsidP="00E216F6">
            <w:pPr>
              <w:widowControl w:val="0"/>
              <w:tabs>
                <w:tab w:val="left" w:pos="426"/>
                <w:tab w:val="left" w:pos="851"/>
                <w:tab w:val="left" w:pos="1134"/>
              </w:tabs>
              <w:overflowPunct w:val="0"/>
              <w:autoSpaceDE w:val="0"/>
              <w:autoSpaceDN w:val="0"/>
              <w:adjustRightInd w:val="0"/>
              <w:spacing w:before="60" w:line="240" w:lineRule="auto"/>
              <w:jc w:val="both"/>
              <w:textAlignment w:val="baseline"/>
              <w:rPr>
                <w:rFonts w:eastAsia="Times New Roman" w:cs="Arial"/>
                <w:color w:val="auto"/>
                <w:sz w:val="19"/>
                <w:szCs w:val="19"/>
                <w:lang w:eastAsia="fr-FR"/>
              </w:rPr>
            </w:pPr>
            <w:r w:rsidRPr="00E216F6">
              <w:rPr>
                <w:rFonts w:eastAsia="Times New Roman" w:cs="Arial"/>
                <w:color w:val="auto"/>
                <w:sz w:val="19"/>
                <w:szCs w:val="19"/>
                <w:lang w:eastAsia="fr-FR"/>
              </w:rPr>
              <w:t xml:space="preserve">Plantation d’arbres </w:t>
            </w:r>
          </w:p>
          <w:p w14:paraId="1C1385B4" w14:textId="77777777" w:rsidR="00E216F6" w:rsidRPr="00E216F6" w:rsidRDefault="00E216F6" w:rsidP="00E216F6">
            <w:pPr>
              <w:widowControl w:val="0"/>
              <w:tabs>
                <w:tab w:val="left" w:pos="426"/>
                <w:tab w:val="left" w:pos="851"/>
                <w:tab w:val="left" w:pos="1134"/>
              </w:tabs>
              <w:overflowPunct w:val="0"/>
              <w:autoSpaceDE w:val="0"/>
              <w:autoSpaceDN w:val="0"/>
              <w:adjustRightInd w:val="0"/>
              <w:spacing w:before="60" w:line="240" w:lineRule="auto"/>
              <w:jc w:val="both"/>
              <w:textAlignment w:val="baseline"/>
              <w:rPr>
                <w:rFonts w:eastAsia="Times New Roman" w:cs="Arial"/>
                <w:color w:val="auto"/>
                <w:sz w:val="19"/>
                <w:szCs w:val="19"/>
                <w:lang w:eastAsia="fr-FR"/>
              </w:rPr>
            </w:pPr>
            <w:r w:rsidRPr="00E216F6">
              <w:rPr>
                <w:rFonts w:eastAsia="Times New Roman" w:cs="Arial"/>
                <w:color w:val="auto"/>
                <w:sz w:val="19"/>
                <w:szCs w:val="19"/>
                <w:lang w:eastAsia="fr-FR"/>
              </w:rPr>
              <w:t>Eclairage (optionnel)</w:t>
            </w:r>
          </w:p>
          <w:p w14:paraId="33FD1DC9" w14:textId="77777777" w:rsidR="00E216F6" w:rsidRPr="00E216F6" w:rsidRDefault="00E216F6" w:rsidP="00E216F6">
            <w:pPr>
              <w:widowControl w:val="0"/>
              <w:tabs>
                <w:tab w:val="left" w:pos="426"/>
                <w:tab w:val="left" w:pos="851"/>
                <w:tab w:val="left" w:pos="1134"/>
              </w:tabs>
              <w:overflowPunct w:val="0"/>
              <w:autoSpaceDE w:val="0"/>
              <w:autoSpaceDN w:val="0"/>
              <w:adjustRightInd w:val="0"/>
              <w:spacing w:before="60" w:line="240" w:lineRule="auto"/>
              <w:jc w:val="both"/>
              <w:textAlignment w:val="baseline"/>
              <w:rPr>
                <w:rFonts w:eastAsia="Times New Roman" w:cs="Arial"/>
                <w:color w:val="auto"/>
                <w:sz w:val="19"/>
                <w:szCs w:val="19"/>
                <w:lang w:eastAsia="fr-FR"/>
              </w:rPr>
            </w:pPr>
            <w:r w:rsidRPr="00E216F6">
              <w:rPr>
                <w:rFonts w:eastAsia="Times New Roman" w:cs="Arial"/>
                <w:color w:val="auto"/>
                <w:sz w:val="19"/>
                <w:szCs w:val="19"/>
                <w:lang w:eastAsia="fr-FR"/>
              </w:rPr>
              <w:t>Clôture des infrastructures sociocommunautaires</w:t>
            </w:r>
          </w:p>
          <w:p w14:paraId="106C883B" w14:textId="77777777" w:rsidR="00E216F6" w:rsidRPr="00E216F6" w:rsidRDefault="00E216F6" w:rsidP="00E216F6">
            <w:pPr>
              <w:widowControl w:val="0"/>
              <w:tabs>
                <w:tab w:val="left" w:pos="426"/>
                <w:tab w:val="left" w:pos="851"/>
                <w:tab w:val="left" w:pos="1134"/>
              </w:tabs>
              <w:overflowPunct w:val="0"/>
              <w:autoSpaceDE w:val="0"/>
              <w:autoSpaceDN w:val="0"/>
              <w:adjustRightInd w:val="0"/>
              <w:spacing w:before="60" w:line="240" w:lineRule="auto"/>
              <w:jc w:val="both"/>
              <w:textAlignment w:val="baseline"/>
              <w:rPr>
                <w:rFonts w:eastAsia="Times New Roman" w:cs="Arial"/>
                <w:color w:val="auto"/>
                <w:sz w:val="19"/>
                <w:szCs w:val="19"/>
                <w:lang w:eastAsia="fr-FR"/>
              </w:rPr>
            </w:pPr>
            <w:r w:rsidRPr="00E216F6">
              <w:rPr>
                <w:rFonts w:eastAsia="Times New Roman" w:cs="Arial"/>
                <w:color w:val="auto"/>
                <w:sz w:val="19"/>
                <w:szCs w:val="19"/>
                <w:lang w:eastAsia="fr-FR"/>
              </w:rPr>
              <w:t xml:space="preserve">Construction de latrines </w:t>
            </w:r>
          </w:p>
          <w:p w14:paraId="2EB2FB9A" w14:textId="77777777" w:rsidR="00E216F6" w:rsidRPr="00E216F6" w:rsidRDefault="00E216F6" w:rsidP="00E216F6">
            <w:pPr>
              <w:widowControl w:val="0"/>
              <w:tabs>
                <w:tab w:val="left" w:pos="426"/>
                <w:tab w:val="left" w:pos="851"/>
                <w:tab w:val="left" w:pos="1134"/>
              </w:tabs>
              <w:overflowPunct w:val="0"/>
              <w:autoSpaceDE w:val="0"/>
              <w:autoSpaceDN w:val="0"/>
              <w:adjustRightInd w:val="0"/>
              <w:spacing w:before="60" w:line="240" w:lineRule="auto"/>
              <w:jc w:val="both"/>
              <w:textAlignment w:val="baseline"/>
              <w:rPr>
                <w:rFonts w:eastAsia="Times New Roman" w:cs="Arial"/>
                <w:color w:val="auto"/>
                <w:sz w:val="19"/>
                <w:szCs w:val="19"/>
                <w:lang w:eastAsia="fr-FR"/>
              </w:rPr>
            </w:pPr>
            <w:r w:rsidRPr="00E216F6">
              <w:rPr>
                <w:rFonts w:eastAsia="Times New Roman" w:cs="Arial"/>
                <w:color w:val="auto"/>
                <w:sz w:val="19"/>
                <w:szCs w:val="19"/>
                <w:lang w:eastAsia="fr-FR"/>
              </w:rPr>
              <w:t xml:space="preserve">Construction de point de regroupement de déchets </w:t>
            </w:r>
          </w:p>
          <w:p w14:paraId="236B1751" w14:textId="77777777" w:rsidR="00E216F6" w:rsidRPr="00E216F6" w:rsidRDefault="00E216F6" w:rsidP="00E216F6">
            <w:pPr>
              <w:widowControl w:val="0"/>
              <w:tabs>
                <w:tab w:val="left" w:pos="426"/>
                <w:tab w:val="left" w:pos="851"/>
                <w:tab w:val="left" w:pos="1134"/>
              </w:tabs>
              <w:overflowPunct w:val="0"/>
              <w:autoSpaceDE w:val="0"/>
              <w:autoSpaceDN w:val="0"/>
              <w:adjustRightInd w:val="0"/>
              <w:spacing w:before="60" w:line="240" w:lineRule="auto"/>
              <w:jc w:val="both"/>
              <w:textAlignment w:val="baseline"/>
              <w:rPr>
                <w:rFonts w:eastAsia="Times New Roman" w:cs="Arial"/>
                <w:color w:val="auto"/>
                <w:sz w:val="19"/>
                <w:szCs w:val="19"/>
                <w:lang w:eastAsia="fr-FR"/>
              </w:rPr>
            </w:pPr>
            <w:r w:rsidRPr="00E216F6">
              <w:rPr>
                <w:rFonts w:eastAsia="Times New Roman" w:cs="Arial"/>
                <w:color w:val="auto"/>
                <w:sz w:val="19"/>
                <w:szCs w:val="19"/>
                <w:lang w:eastAsia="fr-FR"/>
              </w:rPr>
              <w:t xml:space="preserve">Réalisation de forage pour l’alimentation en eau potable au niveau des exutoires </w:t>
            </w:r>
          </w:p>
          <w:p w14:paraId="5E6A4621" w14:textId="77777777" w:rsidR="00E216F6" w:rsidRPr="00E216F6" w:rsidRDefault="00E216F6" w:rsidP="00E216F6">
            <w:pPr>
              <w:widowControl w:val="0"/>
              <w:tabs>
                <w:tab w:val="left" w:pos="426"/>
                <w:tab w:val="left" w:pos="851"/>
                <w:tab w:val="left" w:pos="1134"/>
              </w:tabs>
              <w:overflowPunct w:val="0"/>
              <w:autoSpaceDE w:val="0"/>
              <w:autoSpaceDN w:val="0"/>
              <w:adjustRightInd w:val="0"/>
              <w:spacing w:before="60" w:line="240" w:lineRule="auto"/>
              <w:jc w:val="both"/>
              <w:textAlignment w:val="baseline"/>
              <w:rPr>
                <w:rFonts w:eastAsia="Times New Roman" w:cs="Arial"/>
                <w:color w:val="auto"/>
                <w:sz w:val="19"/>
                <w:szCs w:val="19"/>
                <w:lang w:eastAsia="fr-FR"/>
              </w:rPr>
            </w:pPr>
            <w:r w:rsidRPr="00E216F6">
              <w:rPr>
                <w:rFonts w:eastAsia="Times New Roman" w:cs="Arial"/>
                <w:color w:val="auto"/>
                <w:sz w:val="19"/>
                <w:szCs w:val="19"/>
                <w:lang w:eastAsia="fr-FR"/>
              </w:rPr>
              <w:t xml:space="preserve">Construction de piège à sédiment au niveau des exutoires </w:t>
            </w:r>
          </w:p>
          <w:p w14:paraId="521F1F73" w14:textId="24D8B7D2" w:rsidR="00E216F6" w:rsidRDefault="00E216F6" w:rsidP="00E216F6">
            <w:pPr>
              <w:spacing w:before="60" w:line="240" w:lineRule="auto"/>
              <w:jc w:val="both"/>
              <w:rPr>
                <w:rFonts w:eastAsia="Times New Roman" w:cs="Arial"/>
                <w:color w:val="auto"/>
                <w:sz w:val="19"/>
                <w:szCs w:val="19"/>
                <w:lang w:eastAsia="fr-FR"/>
              </w:rPr>
            </w:pPr>
            <w:r w:rsidRPr="00E216F6">
              <w:rPr>
                <w:rFonts w:eastAsia="Times New Roman" w:cs="Arial"/>
                <w:color w:val="auto"/>
                <w:sz w:val="19"/>
                <w:szCs w:val="19"/>
                <w:lang w:eastAsia="fr-FR"/>
              </w:rPr>
              <w:t>Réalisation d’un dispositif de récupération des déchets</w:t>
            </w:r>
            <w:r>
              <w:rPr>
                <w:rFonts w:eastAsia="Times New Roman" w:cs="Arial"/>
                <w:color w:val="auto"/>
                <w:sz w:val="19"/>
                <w:szCs w:val="19"/>
                <w:lang w:eastAsia="fr-FR"/>
              </w:rPr>
              <w:t xml:space="preserve"> solides au niveau de la sor</w:t>
            </w:r>
            <w:r w:rsidRPr="00E216F6">
              <w:rPr>
                <w:rFonts w:eastAsia="Times New Roman" w:cs="Arial"/>
                <w:color w:val="auto"/>
                <w:sz w:val="19"/>
                <w:szCs w:val="19"/>
                <w:lang w:eastAsia="fr-FR"/>
              </w:rPr>
              <w:t>t</w:t>
            </w:r>
            <w:r>
              <w:rPr>
                <w:rFonts w:eastAsia="Times New Roman" w:cs="Arial"/>
                <w:color w:val="auto"/>
                <w:sz w:val="19"/>
                <w:szCs w:val="19"/>
                <w:lang w:eastAsia="fr-FR"/>
              </w:rPr>
              <w:t>i</w:t>
            </w:r>
            <w:r w:rsidRPr="00E216F6">
              <w:rPr>
                <w:rFonts w:eastAsia="Times New Roman" w:cs="Arial"/>
                <w:color w:val="auto"/>
                <w:sz w:val="19"/>
                <w:szCs w:val="19"/>
                <w:lang w:eastAsia="fr-FR"/>
              </w:rPr>
              <w:t>e des eaux en aval des ouvrages</w:t>
            </w:r>
          </w:p>
          <w:p w14:paraId="3BFCFD11" w14:textId="3870955F" w:rsidR="00E216F6" w:rsidRPr="00A9330B" w:rsidRDefault="00E216F6" w:rsidP="00E216F6">
            <w:pPr>
              <w:spacing w:before="60" w:line="240" w:lineRule="auto"/>
              <w:jc w:val="both"/>
              <w:rPr>
                <w:rFonts w:cs="Arial"/>
                <w:sz w:val="18"/>
                <w:szCs w:val="18"/>
              </w:rPr>
            </w:pPr>
            <w:r w:rsidRPr="00E216F6">
              <w:rPr>
                <w:rFonts w:eastAsia="Times New Roman" w:cs="Arial"/>
                <w:color w:val="auto"/>
                <w:sz w:val="19"/>
                <w:szCs w:val="19"/>
                <w:lang w:eastAsia="fr-FR"/>
              </w:rPr>
              <w:t xml:space="preserve"> </w:t>
            </w:r>
          </w:p>
        </w:tc>
        <w:tc>
          <w:tcPr>
            <w:tcW w:w="227" w:type="pct"/>
            <w:vAlign w:val="center"/>
          </w:tcPr>
          <w:p w14:paraId="73854280" w14:textId="77777777" w:rsidR="00E216F6" w:rsidRPr="00A9330B" w:rsidRDefault="00E216F6" w:rsidP="00E216F6">
            <w:pPr>
              <w:spacing w:before="40" w:line="240" w:lineRule="auto"/>
              <w:rPr>
                <w:rFonts w:cs="Arial"/>
                <w:i/>
                <w:sz w:val="18"/>
                <w:szCs w:val="18"/>
              </w:rPr>
            </w:pPr>
            <w:r w:rsidRPr="00A9330B">
              <w:rPr>
                <w:rFonts w:cs="Arial"/>
                <w:i/>
                <w:sz w:val="18"/>
                <w:szCs w:val="18"/>
              </w:rPr>
              <w:t>X</w:t>
            </w:r>
          </w:p>
        </w:tc>
        <w:tc>
          <w:tcPr>
            <w:tcW w:w="227" w:type="pct"/>
            <w:vAlign w:val="center"/>
          </w:tcPr>
          <w:p w14:paraId="5A5513B9" w14:textId="77777777" w:rsidR="00E216F6" w:rsidRPr="00A9330B" w:rsidRDefault="00E216F6" w:rsidP="00E216F6">
            <w:pPr>
              <w:spacing w:before="40" w:line="240" w:lineRule="auto"/>
              <w:rPr>
                <w:rFonts w:cs="Arial"/>
                <w:i/>
                <w:sz w:val="18"/>
                <w:szCs w:val="18"/>
              </w:rPr>
            </w:pPr>
            <w:r w:rsidRPr="00A9330B">
              <w:rPr>
                <w:rFonts w:cs="Arial"/>
                <w:i/>
                <w:sz w:val="18"/>
                <w:szCs w:val="18"/>
              </w:rPr>
              <w:t>X</w:t>
            </w:r>
          </w:p>
        </w:tc>
        <w:tc>
          <w:tcPr>
            <w:tcW w:w="227" w:type="pct"/>
            <w:vAlign w:val="center"/>
          </w:tcPr>
          <w:p w14:paraId="0CE2775A" w14:textId="77777777" w:rsidR="00E216F6" w:rsidRPr="00A9330B" w:rsidRDefault="00E216F6" w:rsidP="00E216F6">
            <w:pPr>
              <w:spacing w:before="40" w:line="240" w:lineRule="auto"/>
              <w:rPr>
                <w:rFonts w:cs="Arial"/>
                <w:i/>
                <w:sz w:val="18"/>
                <w:szCs w:val="18"/>
              </w:rPr>
            </w:pPr>
            <w:r w:rsidRPr="00A9330B">
              <w:rPr>
                <w:rFonts w:cs="Arial"/>
                <w:i/>
                <w:sz w:val="18"/>
                <w:szCs w:val="18"/>
              </w:rPr>
              <w:t>X</w:t>
            </w:r>
          </w:p>
        </w:tc>
        <w:tc>
          <w:tcPr>
            <w:tcW w:w="227" w:type="pct"/>
            <w:vAlign w:val="center"/>
          </w:tcPr>
          <w:p w14:paraId="670974AF" w14:textId="77777777" w:rsidR="00E216F6" w:rsidRPr="00A9330B" w:rsidRDefault="00E216F6" w:rsidP="00E216F6">
            <w:pPr>
              <w:spacing w:before="40" w:line="240" w:lineRule="auto"/>
              <w:rPr>
                <w:rFonts w:cs="Arial"/>
                <w:i/>
                <w:sz w:val="18"/>
                <w:szCs w:val="18"/>
              </w:rPr>
            </w:pPr>
          </w:p>
        </w:tc>
        <w:tc>
          <w:tcPr>
            <w:tcW w:w="227" w:type="pct"/>
            <w:vAlign w:val="center"/>
          </w:tcPr>
          <w:p w14:paraId="70CE583B" w14:textId="77777777" w:rsidR="00E216F6" w:rsidRPr="00A9330B" w:rsidRDefault="00E216F6" w:rsidP="00E216F6">
            <w:pPr>
              <w:spacing w:before="40" w:line="240" w:lineRule="auto"/>
              <w:rPr>
                <w:rFonts w:cs="Arial"/>
                <w:i/>
                <w:sz w:val="18"/>
                <w:szCs w:val="18"/>
              </w:rPr>
            </w:pPr>
          </w:p>
        </w:tc>
        <w:tc>
          <w:tcPr>
            <w:tcW w:w="227" w:type="pct"/>
            <w:vAlign w:val="center"/>
          </w:tcPr>
          <w:p w14:paraId="371BB689" w14:textId="77777777" w:rsidR="00E216F6" w:rsidRPr="00A9330B" w:rsidRDefault="00E216F6" w:rsidP="00E216F6">
            <w:pPr>
              <w:spacing w:before="40" w:line="240" w:lineRule="auto"/>
              <w:rPr>
                <w:rFonts w:cs="Arial"/>
                <w:i/>
                <w:sz w:val="18"/>
                <w:szCs w:val="18"/>
              </w:rPr>
            </w:pPr>
            <w:r w:rsidRPr="00A9330B">
              <w:rPr>
                <w:rFonts w:cs="Arial"/>
                <w:i/>
                <w:sz w:val="18"/>
                <w:szCs w:val="18"/>
              </w:rPr>
              <w:t>X</w:t>
            </w:r>
          </w:p>
        </w:tc>
        <w:tc>
          <w:tcPr>
            <w:tcW w:w="227" w:type="pct"/>
            <w:vAlign w:val="center"/>
          </w:tcPr>
          <w:p w14:paraId="3D367D36" w14:textId="77777777" w:rsidR="00E216F6" w:rsidRPr="00A9330B" w:rsidRDefault="00E216F6" w:rsidP="00E216F6">
            <w:pPr>
              <w:spacing w:before="40" w:line="240" w:lineRule="auto"/>
              <w:rPr>
                <w:rFonts w:cs="Arial"/>
                <w:i/>
                <w:sz w:val="18"/>
                <w:szCs w:val="18"/>
              </w:rPr>
            </w:pPr>
            <w:r w:rsidRPr="00A9330B">
              <w:rPr>
                <w:rFonts w:cs="Arial"/>
                <w:i/>
                <w:sz w:val="18"/>
                <w:szCs w:val="18"/>
              </w:rPr>
              <w:t>X</w:t>
            </w:r>
          </w:p>
        </w:tc>
        <w:tc>
          <w:tcPr>
            <w:tcW w:w="227" w:type="pct"/>
            <w:vAlign w:val="center"/>
          </w:tcPr>
          <w:p w14:paraId="6E6E597B" w14:textId="77777777" w:rsidR="00E216F6" w:rsidRPr="00A9330B" w:rsidRDefault="00E216F6" w:rsidP="00E216F6">
            <w:pPr>
              <w:spacing w:before="40" w:line="240" w:lineRule="auto"/>
              <w:rPr>
                <w:rFonts w:cs="Arial"/>
                <w:i/>
                <w:sz w:val="18"/>
                <w:szCs w:val="18"/>
              </w:rPr>
            </w:pPr>
            <w:r w:rsidRPr="00A9330B">
              <w:rPr>
                <w:rFonts w:cs="Arial"/>
                <w:i/>
                <w:sz w:val="18"/>
                <w:szCs w:val="18"/>
              </w:rPr>
              <w:t>X</w:t>
            </w:r>
          </w:p>
        </w:tc>
        <w:tc>
          <w:tcPr>
            <w:tcW w:w="227" w:type="pct"/>
            <w:vAlign w:val="center"/>
          </w:tcPr>
          <w:p w14:paraId="1A6BADDC" w14:textId="77777777" w:rsidR="00E216F6" w:rsidRPr="00A9330B" w:rsidRDefault="00E216F6" w:rsidP="00E216F6">
            <w:pPr>
              <w:spacing w:before="40" w:line="240" w:lineRule="auto"/>
              <w:rPr>
                <w:rFonts w:cs="Arial"/>
                <w:i/>
                <w:sz w:val="18"/>
                <w:szCs w:val="18"/>
              </w:rPr>
            </w:pPr>
            <w:r w:rsidRPr="00A9330B">
              <w:rPr>
                <w:rFonts w:cs="Arial"/>
                <w:i/>
                <w:sz w:val="18"/>
                <w:szCs w:val="18"/>
              </w:rPr>
              <w:t>X</w:t>
            </w:r>
          </w:p>
        </w:tc>
        <w:tc>
          <w:tcPr>
            <w:tcW w:w="227" w:type="pct"/>
            <w:gridSpan w:val="2"/>
            <w:vAlign w:val="center"/>
          </w:tcPr>
          <w:p w14:paraId="2FF9933C" w14:textId="77777777" w:rsidR="00E216F6" w:rsidRPr="00A9330B" w:rsidRDefault="00E216F6" w:rsidP="00E216F6">
            <w:pPr>
              <w:spacing w:before="40" w:line="240" w:lineRule="auto"/>
              <w:rPr>
                <w:rFonts w:cs="Arial"/>
                <w:i/>
                <w:sz w:val="18"/>
                <w:szCs w:val="18"/>
              </w:rPr>
            </w:pPr>
            <w:r w:rsidRPr="00A9330B">
              <w:rPr>
                <w:rFonts w:cs="Arial"/>
                <w:i/>
                <w:sz w:val="18"/>
                <w:szCs w:val="18"/>
              </w:rPr>
              <w:t>X</w:t>
            </w:r>
          </w:p>
        </w:tc>
        <w:tc>
          <w:tcPr>
            <w:tcW w:w="285" w:type="pct"/>
            <w:vAlign w:val="center"/>
          </w:tcPr>
          <w:p w14:paraId="1492351F" w14:textId="77777777" w:rsidR="00E216F6" w:rsidRPr="00A9330B" w:rsidRDefault="00E216F6" w:rsidP="00E216F6">
            <w:pPr>
              <w:spacing w:before="40" w:line="240" w:lineRule="auto"/>
              <w:rPr>
                <w:rFonts w:cs="Arial"/>
                <w:i/>
                <w:sz w:val="18"/>
                <w:szCs w:val="18"/>
              </w:rPr>
            </w:pPr>
          </w:p>
        </w:tc>
      </w:tr>
      <w:tr w:rsidR="00E216F6" w:rsidRPr="00A9330B" w14:paraId="2406E7B7" w14:textId="77777777" w:rsidTr="00E216F6">
        <w:trPr>
          <w:trHeight w:val="163"/>
        </w:trPr>
        <w:tc>
          <w:tcPr>
            <w:tcW w:w="834" w:type="pct"/>
          </w:tcPr>
          <w:p w14:paraId="10B5ABBE" w14:textId="77777777" w:rsidR="00E216F6" w:rsidRPr="00A9330B" w:rsidRDefault="00E216F6" w:rsidP="00E216F6">
            <w:pPr>
              <w:spacing w:line="240" w:lineRule="auto"/>
              <w:rPr>
                <w:rFonts w:eastAsia="Calibri" w:cs="Arial"/>
                <w:color w:val="auto"/>
                <w:sz w:val="18"/>
                <w:szCs w:val="18"/>
              </w:rPr>
            </w:pPr>
          </w:p>
          <w:p w14:paraId="2A9489BE" w14:textId="248A4030" w:rsidR="00E216F6" w:rsidRPr="00A9330B" w:rsidRDefault="00E216F6" w:rsidP="00E216F6">
            <w:pPr>
              <w:spacing w:before="40" w:line="240" w:lineRule="auto"/>
              <w:rPr>
                <w:rFonts w:cs="Arial"/>
                <w:sz w:val="18"/>
                <w:szCs w:val="18"/>
              </w:rPr>
            </w:pPr>
            <w:r w:rsidRPr="00A9330B">
              <w:rPr>
                <w:rFonts w:eastAsia="Calibri" w:cs="Arial"/>
                <w:color w:val="auto"/>
                <w:sz w:val="18"/>
                <w:szCs w:val="18"/>
              </w:rPr>
              <w:t xml:space="preserve">Repli du chantier </w:t>
            </w:r>
          </w:p>
        </w:tc>
        <w:tc>
          <w:tcPr>
            <w:tcW w:w="1611" w:type="pct"/>
          </w:tcPr>
          <w:p w14:paraId="691EDEE2" w14:textId="77777777" w:rsidR="00E216F6" w:rsidRPr="00A9330B" w:rsidRDefault="00E216F6" w:rsidP="00E216F6">
            <w:pPr>
              <w:widowControl w:val="0"/>
              <w:tabs>
                <w:tab w:val="left" w:pos="426"/>
                <w:tab w:val="left" w:pos="851"/>
                <w:tab w:val="left" w:pos="1134"/>
              </w:tabs>
              <w:overflowPunct w:val="0"/>
              <w:autoSpaceDE w:val="0"/>
              <w:autoSpaceDN w:val="0"/>
              <w:adjustRightInd w:val="0"/>
              <w:spacing w:line="240" w:lineRule="auto"/>
              <w:jc w:val="both"/>
              <w:textAlignment w:val="baseline"/>
              <w:rPr>
                <w:rFonts w:eastAsia="Times New Roman" w:cs="Arial"/>
                <w:color w:val="auto"/>
                <w:sz w:val="18"/>
                <w:szCs w:val="18"/>
                <w:lang w:eastAsia="fr-FR"/>
              </w:rPr>
            </w:pPr>
            <w:r w:rsidRPr="00A9330B">
              <w:rPr>
                <w:rFonts w:eastAsia="Times New Roman" w:cs="Arial"/>
                <w:color w:val="auto"/>
                <w:sz w:val="18"/>
                <w:szCs w:val="18"/>
                <w:lang w:eastAsia="fr-FR"/>
              </w:rPr>
              <w:t>Nettoyage du site et des bases</w:t>
            </w:r>
          </w:p>
          <w:p w14:paraId="6059667B" w14:textId="77777777" w:rsidR="00E216F6" w:rsidRPr="00A9330B" w:rsidRDefault="00E216F6" w:rsidP="00E216F6">
            <w:pPr>
              <w:widowControl w:val="0"/>
              <w:tabs>
                <w:tab w:val="left" w:pos="426"/>
                <w:tab w:val="left" w:pos="851"/>
                <w:tab w:val="left" w:pos="1134"/>
              </w:tabs>
              <w:overflowPunct w:val="0"/>
              <w:autoSpaceDE w:val="0"/>
              <w:autoSpaceDN w:val="0"/>
              <w:adjustRightInd w:val="0"/>
              <w:spacing w:line="240" w:lineRule="auto"/>
              <w:jc w:val="both"/>
              <w:textAlignment w:val="baseline"/>
              <w:rPr>
                <w:rFonts w:eastAsia="Times New Roman" w:cs="Arial"/>
                <w:color w:val="auto"/>
                <w:sz w:val="18"/>
                <w:szCs w:val="18"/>
                <w:lang w:eastAsia="fr-FR"/>
              </w:rPr>
            </w:pPr>
            <w:r w:rsidRPr="00A9330B">
              <w:rPr>
                <w:rFonts w:eastAsia="Times New Roman" w:cs="Arial"/>
                <w:color w:val="auto"/>
                <w:sz w:val="18"/>
                <w:szCs w:val="18"/>
                <w:lang w:eastAsia="fr-FR"/>
              </w:rPr>
              <w:t>Restauration des carrières de prélèvement</w:t>
            </w:r>
          </w:p>
          <w:p w14:paraId="172E3F84" w14:textId="77777777" w:rsidR="00E216F6" w:rsidRPr="00A9330B" w:rsidRDefault="00E216F6" w:rsidP="00E216F6">
            <w:pPr>
              <w:spacing w:before="40" w:line="240" w:lineRule="auto"/>
              <w:jc w:val="both"/>
              <w:rPr>
                <w:rFonts w:eastAsia="Times New Roman" w:cs="Arial"/>
                <w:color w:val="auto"/>
                <w:sz w:val="18"/>
                <w:szCs w:val="18"/>
                <w:lang w:eastAsia="fr-FR"/>
              </w:rPr>
            </w:pPr>
            <w:r w:rsidRPr="00A9330B">
              <w:rPr>
                <w:rFonts w:eastAsia="Times New Roman" w:cs="Arial"/>
                <w:color w:val="auto"/>
                <w:sz w:val="18"/>
                <w:szCs w:val="18"/>
                <w:lang w:eastAsia="fr-FR"/>
              </w:rPr>
              <w:t>Replis (démolition baraque de chantier et repli des engins).</w:t>
            </w:r>
          </w:p>
          <w:p w14:paraId="1CC4B29E" w14:textId="0FA3BA49" w:rsidR="00E216F6" w:rsidRPr="00A9330B" w:rsidRDefault="00E216F6" w:rsidP="00E216F6">
            <w:pPr>
              <w:spacing w:before="40" w:line="240" w:lineRule="auto"/>
              <w:jc w:val="both"/>
              <w:rPr>
                <w:rFonts w:cs="Arial"/>
                <w:sz w:val="18"/>
                <w:szCs w:val="18"/>
              </w:rPr>
            </w:pPr>
          </w:p>
        </w:tc>
        <w:tc>
          <w:tcPr>
            <w:tcW w:w="227" w:type="pct"/>
            <w:vAlign w:val="center"/>
          </w:tcPr>
          <w:p w14:paraId="4105276C" w14:textId="77777777" w:rsidR="00E216F6" w:rsidRPr="00A9330B" w:rsidRDefault="00E216F6" w:rsidP="00E216F6">
            <w:pPr>
              <w:spacing w:before="40" w:line="240" w:lineRule="auto"/>
              <w:rPr>
                <w:rFonts w:cs="Arial"/>
                <w:i/>
                <w:sz w:val="18"/>
                <w:szCs w:val="18"/>
              </w:rPr>
            </w:pPr>
            <w:r w:rsidRPr="00A9330B">
              <w:rPr>
                <w:rFonts w:cs="Arial"/>
                <w:i/>
                <w:sz w:val="18"/>
                <w:szCs w:val="18"/>
              </w:rPr>
              <w:t>X</w:t>
            </w:r>
          </w:p>
        </w:tc>
        <w:tc>
          <w:tcPr>
            <w:tcW w:w="227" w:type="pct"/>
            <w:vAlign w:val="center"/>
          </w:tcPr>
          <w:p w14:paraId="7DC633C5" w14:textId="77777777" w:rsidR="00E216F6" w:rsidRPr="00A9330B" w:rsidRDefault="00E216F6" w:rsidP="00E216F6">
            <w:pPr>
              <w:spacing w:before="40" w:line="240" w:lineRule="auto"/>
              <w:rPr>
                <w:rFonts w:cs="Arial"/>
                <w:i/>
                <w:sz w:val="18"/>
                <w:szCs w:val="18"/>
              </w:rPr>
            </w:pPr>
            <w:r w:rsidRPr="00A9330B">
              <w:rPr>
                <w:rFonts w:cs="Arial"/>
                <w:i/>
                <w:sz w:val="18"/>
                <w:szCs w:val="18"/>
              </w:rPr>
              <w:t>X</w:t>
            </w:r>
          </w:p>
        </w:tc>
        <w:tc>
          <w:tcPr>
            <w:tcW w:w="227" w:type="pct"/>
            <w:vAlign w:val="center"/>
          </w:tcPr>
          <w:p w14:paraId="37BD0F18" w14:textId="77777777" w:rsidR="00E216F6" w:rsidRPr="00A9330B" w:rsidRDefault="00E216F6" w:rsidP="00E216F6">
            <w:pPr>
              <w:spacing w:before="40" w:line="240" w:lineRule="auto"/>
              <w:rPr>
                <w:rFonts w:cs="Arial"/>
                <w:i/>
                <w:sz w:val="18"/>
                <w:szCs w:val="18"/>
              </w:rPr>
            </w:pPr>
            <w:r w:rsidRPr="00A9330B">
              <w:rPr>
                <w:rFonts w:cs="Arial"/>
                <w:i/>
                <w:sz w:val="18"/>
                <w:szCs w:val="18"/>
              </w:rPr>
              <w:t>X</w:t>
            </w:r>
          </w:p>
        </w:tc>
        <w:tc>
          <w:tcPr>
            <w:tcW w:w="227" w:type="pct"/>
            <w:vAlign w:val="center"/>
          </w:tcPr>
          <w:p w14:paraId="6AF8CF60" w14:textId="77777777" w:rsidR="00E216F6" w:rsidRPr="00A9330B" w:rsidRDefault="00E216F6" w:rsidP="00E216F6">
            <w:pPr>
              <w:spacing w:before="40" w:line="240" w:lineRule="auto"/>
              <w:rPr>
                <w:rFonts w:cs="Arial"/>
                <w:i/>
                <w:sz w:val="18"/>
                <w:szCs w:val="18"/>
              </w:rPr>
            </w:pPr>
          </w:p>
        </w:tc>
        <w:tc>
          <w:tcPr>
            <w:tcW w:w="227" w:type="pct"/>
            <w:vAlign w:val="center"/>
          </w:tcPr>
          <w:p w14:paraId="663896E6" w14:textId="77777777" w:rsidR="00E216F6" w:rsidRPr="00A9330B" w:rsidRDefault="00E216F6" w:rsidP="00E216F6">
            <w:pPr>
              <w:spacing w:before="40" w:line="240" w:lineRule="auto"/>
              <w:rPr>
                <w:rFonts w:cs="Arial"/>
                <w:i/>
                <w:sz w:val="18"/>
                <w:szCs w:val="18"/>
              </w:rPr>
            </w:pPr>
          </w:p>
        </w:tc>
        <w:tc>
          <w:tcPr>
            <w:tcW w:w="227" w:type="pct"/>
            <w:vAlign w:val="center"/>
          </w:tcPr>
          <w:p w14:paraId="2401EDAB" w14:textId="77777777" w:rsidR="00E216F6" w:rsidRPr="00A9330B" w:rsidRDefault="00E216F6" w:rsidP="00E216F6">
            <w:pPr>
              <w:spacing w:before="40" w:line="240" w:lineRule="auto"/>
              <w:rPr>
                <w:rFonts w:cs="Arial"/>
                <w:i/>
                <w:sz w:val="18"/>
                <w:szCs w:val="18"/>
              </w:rPr>
            </w:pPr>
            <w:r w:rsidRPr="00A9330B">
              <w:rPr>
                <w:rFonts w:cs="Arial"/>
                <w:i/>
                <w:sz w:val="18"/>
                <w:szCs w:val="18"/>
              </w:rPr>
              <w:t>X</w:t>
            </w:r>
          </w:p>
        </w:tc>
        <w:tc>
          <w:tcPr>
            <w:tcW w:w="227" w:type="pct"/>
            <w:vAlign w:val="center"/>
          </w:tcPr>
          <w:p w14:paraId="7907731D" w14:textId="77777777" w:rsidR="00E216F6" w:rsidRPr="00A9330B" w:rsidRDefault="00E216F6" w:rsidP="00E216F6">
            <w:pPr>
              <w:spacing w:before="40" w:line="240" w:lineRule="auto"/>
              <w:rPr>
                <w:rFonts w:cs="Arial"/>
                <w:i/>
                <w:sz w:val="18"/>
                <w:szCs w:val="18"/>
              </w:rPr>
            </w:pPr>
            <w:r w:rsidRPr="00A9330B">
              <w:rPr>
                <w:rFonts w:cs="Arial"/>
                <w:i/>
                <w:sz w:val="18"/>
                <w:szCs w:val="18"/>
              </w:rPr>
              <w:t>X</w:t>
            </w:r>
          </w:p>
        </w:tc>
        <w:tc>
          <w:tcPr>
            <w:tcW w:w="227" w:type="pct"/>
            <w:vAlign w:val="center"/>
          </w:tcPr>
          <w:p w14:paraId="2DD81001" w14:textId="77777777" w:rsidR="00E216F6" w:rsidRPr="00A9330B" w:rsidRDefault="00E216F6" w:rsidP="00E216F6">
            <w:pPr>
              <w:spacing w:before="40" w:line="240" w:lineRule="auto"/>
              <w:rPr>
                <w:rFonts w:cs="Arial"/>
                <w:i/>
                <w:sz w:val="18"/>
                <w:szCs w:val="18"/>
              </w:rPr>
            </w:pPr>
            <w:r w:rsidRPr="00A9330B">
              <w:rPr>
                <w:rFonts w:cs="Arial"/>
                <w:i/>
                <w:sz w:val="18"/>
                <w:szCs w:val="18"/>
              </w:rPr>
              <w:t>X</w:t>
            </w:r>
          </w:p>
        </w:tc>
        <w:tc>
          <w:tcPr>
            <w:tcW w:w="227" w:type="pct"/>
            <w:vAlign w:val="center"/>
          </w:tcPr>
          <w:p w14:paraId="54EAC290" w14:textId="77777777" w:rsidR="00E216F6" w:rsidRPr="00A9330B" w:rsidRDefault="00E216F6" w:rsidP="00E216F6">
            <w:pPr>
              <w:spacing w:before="40" w:line="240" w:lineRule="auto"/>
              <w:rPr>
                <w:rFonts w:cs="Arial"/>
                <w:i/>
                <w:sz w:val="18"/>
                <w:szCs w:val="18"/>
              </w:rPr>
            </w:pPr>
            <w:r w:rsidRPr="00A9330B">
              <w:rPr>
                <w:rFonts w:cs="Arial"/>
                <w:i/>
                <w:sz w:val="18"/>
                <w:szCs w:val="18"/>
              </w:rPr>
              <w:t>X</w:t>
            </w:r>
          </w:p>
        </w:tc>
        <w:tc>
          <w:tcPr>
            <w:tcW w:w="227" w:type="pct"/>
            <w:gridSpan w:val="2"/>
            <w:vAlign w:val="center"/>
          </w:tcPr>
          <w:p w14:paraId="4D370419" w14:textId="77777777" w:rsidR="00E216F6" w:rsidRPr="00A9330B" w:rsidRDefault="00E216F6" w:rsidP="00E216F6">
            <w:pPr>
              <w:spacing w:before="40" w:line="240" w:lineRule="auto"/>
              <w:rPr>
                <w:rFonts w:cs="Arial"/>
                <w:i/>
                <w:sz w:val="18"/>
                <w:szCs w:val="18"/>
              </w:rPr>
            </w:pPr>
            <w:r w:rsidRPr="00A9330B">
              <w:rPr>
                <w:rFonts w:cs="Arial"/>
                <w:i/>
                <w:sz w:val="18"/>
                <w:szCs w:val="18"/>
              </w:rPr>
              <w:t>X</w:t>
            </w:r>
          </w:p>
        </w:tc>
        <w:tc>
          <w:tcPr>
            <w:tcW w:w="285" w:type="pct"/>
            <w:vAlign w:val="center"/>
          </w:tcPr>
          <w:p w14:paraId="52A5219A" w14:textId="77777777" w:rsidR="00E216F6" w:rsidRPr="00A9330B" w:rsidRDefault="00E216F6" w:rsidP="00E216F6">
            <w:pPr>
              <w:spacing w:before="40" w:line="240" w:lineRule="auto"/>
              <w:rPr>
                <w:rFonts w:cs="Arial"/>
                <w:i/>
                <w:sz w:val="18"/>
                <w:szCs w:val="18"/>
              </w:rPr>
            </w:pPr>
          </w:p>
        </w:tc>
      </w:tr>
      <w:tr w:rsidR="00E216F6" w:rsidRPr="00A9330B" w14:paraId="37B478C3" w14:textId="77777777" w:rsidTr="00E7483D">
        <w:trPr>
          <w:trHeight w:val="318"/>
        </w:trPr>
        <w:tc>
          <w:tcPr>
            <w:tcW w:w="5000" w:type="pct"/>
            <w:gridSpan w:val="14"/>
            <w:shd w:val="clear" w:color="auto" w:fill="F7CAAC" w:themeFill="accent2" w:themeFillTint="66"/>
            <w:vAlign w:val="center"/>
          </w:tcPr>
          <w:p w14:paraId="1F987B07" w14:textId="5BA4CAB8" w:rsidR="00E216F6" w:rsidRPr="00A9330B" w:rsidRDefault="00E216F6" w:rsidP="00E216F6">
            <w:pPr>
              <w:spacing w:before="40" w:line="240" w:lineRule="auto"/>
              <w:rPr>
                <w:rFonts w:cs="Arial"/>
                <w:b/>
                <w:sz w:val="18"/>
                <w:szCs w:val="18"/>
              </w:rPr>
            </w:pPr>
            <w:r w:rsidRPr="00A9330B">
              <w:rPr>
                <w:rFonts w:cs="Arial"/>
                <w:b/>
                <w:sz w:val="18"/>
                <w:szCs w:val="18"/>
              </w:rPr>
              <w:t xml:space="preserve">PHASE D’EXPLOITATION </w:t>
            </w:r>
          </w:p>
        </w:tc>
      </w:tr>
      <w:tr w:rsidR="00E216F6" w:rsidRPr="00A9330B" w14:paraId="4679572A" w14:textId="77777777" w:rsidTr="00E216F6">
        <w:trPr>
          <w:trHeight w:val="774"/>
        </w:trPr>
        <w:tc>
          <w:tcPr>
            <w:tcW w:w="834" w:type="pct"/>
            <w:vMerge w:val="restart"/>
          </w:tcPr>
          <w:p w14:paraId="7FECDE57" w14:textId="77777777" w:rsidR="00E216F6" w:rsidRPr="00A9330B" w:rsidRDefault="00E216F6" w:rsidP="00E216F6">
            <w:pPr>
              <w:spacing w:before="40" w:line="240" w:lineRule="auto"/>
              <w:rPr>
                <w:rFonts w:cs="Arial"/>
                <w:sz w:val="18"/>
                <w:szCs w:val="18"/>
              </w:rPr>
            </w:pPr>
            <w:r w:rsidRPr="00A9330B">
              <w:rPr>
                <w:rFonts w:eastAsia="Calibri" w:cs="Arial"/>
                <w:color w:val="auto"/>
                <w:sz w:val="18"/>
                <w:szCs w:val="18"/>
              </w:rPr>
              <w:t>Mise en service des collecteurs et des rues aménagées</w:t>
            </w:r>
          </w:p>
          <w:p w14:paraId="45447999" w14:textId="77777777" w:rsidR="00E216F6" w:rsidRPr="00A9330B" w:rsidRDefault="00E216F6" w:rsidP="00E216F6">
            <w:pPr>
              <w:spacing w:line="240" w:lineRule="auto"/>
              <w:rPr>
                <w:rFonts w:eastAsia="Calibri" w:cs="Arial"/>
                <w:color w:val="auto"/>
                <w:sz w:val="18"/>
                <w:szCs w:val="18"/>
              </w:rPr>
            </w:pPr>
            <w:r w:rsidRPr="00A9330B">
              <w:rPr>
                <w:rFonts w:eastAsia="Calibri" w:cs="Arial"/>
                <w:color w:val="auto"/>
                <w:sz w:val="18"/>
                <w:szCs w:val="18"/>
              </w:rPr>
              <w:t xml:space="preserve">Entretien périodique </w:t>
            </w:r>
          </w:p>
          <w:p w14:paraId="6EF9B141" w14:textId="77777777" w:rsidR="00E216F6" w:rsidRPr="00A9330B" w:rsidRDefault="00E216F6" w:rsidP="00E216F6">
            <w:pPr>
              <w:spacing w:line="240" w:lineRule="auto"/>
              <w:rPr>
                <w:rFonts w:eastAsia="Calibri" w:cs="Arial"/>
                <w:color w:val="auto"/>
                <w:sz w:val="18"/>
                <w:szCs w:val="18"/>
              </w:rPr>
            </w:pPr>
            <w:r w:rsidRPr="00A9330B">
              <w:rPr>
                <w:rFonts w:eastAsia="Calibri" w:cs="Arial"/>
                <w:color w:val="auto"/>
                <w:sz w:val="18"/>
                <w:szCs w:val="18"/>
              </w:rPr>
              <w:t xml:space="preserve">(Réparation des dommages </w:t>
            </w:r>
          </w:p>
          <w:p w14:paraId="7C12002C" w14:textId="77777777" w:rsidR="00E216F6" w:rsidRPr="00A9330B" w:rsidRDefault="00E216F6" w:rsidP="00E216F6">
            <w:pPr>
              <w:spacing w:line="240" w:lineRule="auto"/>
              <w:rPr>
                <w:rFonts w:eastAsia="Calibri" w:cs="Arial"/>
                <w:color w:val="auto"/>
                <w:sz w:val="18"/>
                <w:szCs w:val="18"/>
              </w:rPr>
            </w:pPr>
            <w:r w:rsidRPr="00A9330B">
              <w:rPr>
                <w:rFonts w:eastAsia="Calibri" w:cs="Arial"/>
                <w:color w:val="auto"/>
                <w:sz w:val="18"/>
                <w:szCs w:val="18"/>
              </w:rPr>
              <w:t>Désherbage des bordures)</w:t>
            </w:r>
          </w:p>
          <w:p w14:paraId="599D9809" w14:textId="77777777" w:rsidR="00E216F6" w:rsidRPr="00A9330B" w:rsidRDefault="00E216F6" w:rsidP="00E216F6">
            <w:pPr>
              <w:spacing w:line="240" w:lineRule="auto"/>
              <w:rPr>
                <w:rFonts w:eastAsia="Calibri" w:cs="Arial"/>
                <w:color w:val="auto"/>
                <w:sz w:val="18"/>
                <w:szCs w:val="18"/>
              </w:rPr>
            </w:pPr>
          </w:p>
          <w:p w14:paraId="218993AE" w14:textId="2152C8C4" w:rsidR="00E216F6" w:rsidRPr="00A9330B" w:rsidRDefault="00E216F6" w:rsidP="00E216F6">
            <w:pPr>
              <w:spacing w:before="40" w:line="240" w:lineRule="auto"/>
              <w:rPr>
                <w:rFonts w:cs="Arial"/>
                <w:sz w:val="18"/>
                <w:szCs w:val="18"/>
              </w:rPr>
            </w:pPr>
          </w:p>
        </w:tc>
        <w:tc>
          <w:tcPr>
            <w:tcW w:w="1611" w:type="pct"/>
          </w:tcPr>
          <w:p w14:paraId="354F40BA" w14:textId="77777777" w:rsidR="00E216F6" w:rsidRPr="00A9330B" w:rsidRDefault="00E216F6" w:rsidP="00E216F6">
            <w:pPr>
              <w:tabs>
                <w:tab w:val="left" w:pos="1134"/>
              </w:tabs>
              <w:spacing w:line="240" w:lineRule="auto"/>
              <w:jc w:val="left"/>
              <w:rPr>
                <w:rFonts w:eastAsia="Calibri" w:cs="Arial"/>
                <w:color w:val="auto"/>
                <w:sz w:val="18"/>
                <w:szCs w:val="18"/>
              </w:rPr>
            </w:pPr>
            <w:r w:rsidRPr="00A9330B">
              <w:rPr>
                <w:rFonts w:eastAsia="Calibri" w:cs="Arial"/>
                <w:color w:val="auto"/>
                <w:sz w:val="18"/>
                <w:szCs w:val="18"/>
              </w:rPr>
              <w:t>Transport et circulation (Circulation des véhicules, des biens et des personnes) ;</w:t>
            </w:r>
          </w:p>
          <w:p w14:paraId="3C72F5F7" w14:textId="77777777" w:rsidR="00E216F6" w:rsidRPr="00A9330B" w:rsidRDefault="00E216F6" w:rsidP="00E216F6">
            <w:pPr>
              <w:tabs>
                <w:tab w:val="left" w:pos="1134"/>
              </w:tabs>
              <w:spacing w:line="240" w:lineRule="auto"/>
              <w:jc w:val="left"/>
              <w:rPr>
                <w:rFonts w:eastAsia="Calibri" w:cs="Arial"/>
                <w:color w:val="auto"/>
                <w:sz w:val="18"/>
                <w:szCs w:val="18"/>
              </w:rPr>
            </w:pPr>
            <w:r w:rsidRPr="00A9330B">
              <w:rPr>
                <w:rFonts w:eastAsia="Calibri" w:cs="Arial"/>
                <w:color w:val="auto"/>
                <w:sz w:val="18"/>
                <w:szCs w:val="18"/>
              </w:rPr>
              <w:t>Fonctionnement des ouvrages de drainage ;</w:t>
            </w:r>
          </w:p>
          <w:p w14:paraId="35F32E96" w14:textId="2233B90F" w:rsidR="00E216F6" w:rsidRPr="00A9330B" w:rsidRDefault="00E216F6" w:rsidP="00E216F6">
            <w:pPr>
              <w:tabs>
                <w:tab w:val="left" w:pos="1134"/>
              </w:tabs>
              <w:spacing w:before="40" w:line="240" w:lineRule="auto"/>
              <w:jc w:val="left"/>
              <w:rPr>
                <w:rFonts w:cs="Arial"/>
                <w:sz w:val="18"/>
                <w:szCs w:val="18"/>
              </w:rPr>
            </w:pPr>
          </w:p>
        </w:tc>
        <w:tc>
          <w:tcPr>
            <w:tcW w:w="227" w:type="pct"/>
            <w:vAlign w:val="center"/>
          </w:tcPr>
          <w:p w14:paraId="4D4F090F" w14:textId="77777777" w:rsidR="00E216F6" w:rsidRPr="00A9330B" w:rsidRDefault="00E216F6" w:rsidP="00E216F6">
            <w:pPr>
              <w:tabs>
                <w:tab w:val="left" w:pos="1134"/>
              </w:tabs>
              <w:spacing w:before="40" w:line="240" w:lineRule="auto"/>
              <w:rPr>
                <w:rFonts w:cs="Arial"/>
                <w:sz w:val="18"/>
                <w:szCs w:val="18"/>
              </w:rPr>
            </w:pPr>
            <w:r w:rsidRPr="00A9330B">
              <w:rPr>
                <w:rFonts w:cs="Arial"/>
                <w:sz w:val="18"/>
                <w:szCs w:val="18"/>
              </w:rPr>
              <w:t>X</w:t>
            </w:r>
          </w:p>
        </w:tc>
        <w:tc>
          <w:tcPr>
            <w:tcW w:w="227" w:type="pct"/>
            <w:vAlign w:val="center"/>
          </w:tcPr>
          <w:p w14:paraId="6C1B52BF" w14:textId="48E5D458" w:rsidR="00E216F6" w:rsidRPr="00A9330B" w:rsidRDefault="00E216F6" w:rsidP="00E216F6">
            <w:pPr>
              <w:tabs>
                <w:tab w:val="left" w:pos="1134"/>
              </w:tabs>
              <w:spacing w:before="40" w:line="240" w:lineRule="auto"/>
              <w:rPr>
                <w:rFonts w:cs="Arial"/>
                <w:sz w:val="18"/>
                <w:szCs w:val="18"/>
              </w:rPr>
            </w:pPr>
            <w:r w:rsidRPr="00A9330B">
              <w:rPr>
                <w:rFonts w:cs="Arial"/>
                <w:sz w:val="18"/>
                <w:szCs w:val="18"/>
              </w:rPr>
              <w:t>X</w:t>
            </w:r>
          </w:p>
        </w:tc>
        <w:tc>
          <w:tcPr>
            <w:tcW w:w="227" w:type="pct"/>
            <w:vAlign w:val="center"/>
          </w:tcPr>
          <w:p w14:paraId="6F426278" w14:textId="50103082" w:rsidR="00E216F6" w:rsidRPr="00A9330B" w:rsidRDefault="00E216F6" w:rsidP="00E216F6">
            <w:pPr>
              <w:tabs>
                <w:tab w:val="left" w:pos="1134"/>
              </w:tabs>
              <w:spacing w:before="40" w:line="240" w:lineRule="auto"/>
              <w:rPr>
                <w:rFonts w:cs="Arial"/>
                <w:sz w:val="18"/>
                <w:szCs w:val="18"/>
              </w:rPr>
            </w:pPr>
            <w:r w:rsidRPr="00A9330B">
              <w:rPr>
                <w:rFonts w:cs="Arial"/>
                <w:sz w:val="18"/>
                <w:szCs w:val="18"/>
              </w:rPr>
              <w:t>X</w:t>
            </w:r>
          </w:p>
        </w:tc>
        <w:tc>
          <w:tcPr>
            <w:tcW w:w="227" w:type="pct"/>
            <w:vAlign w:val="center"/>
          </w:tcPr>
          <w:p w14:paraId="60C883D0" w14:textId="77777777" w:rsidR="00E216F6" w:rsidRPr="00A9330B" w:rsidRDefault="00E216F6" w:rsidP="00E216F6">
            <w:pPr>
              <w:tabs>
                <w:tab w:val="left" w:pos="1134"/>
              </w:tabs>
              <w:spacing w:before="40" w:line="240" w:lineRule="auto"/>
              <w:rPr>
                <w:rFonts w:cs="Arial"/>
                <w:sz w:val="18"/>
                <w:szCs w:val="18"/>
              </w:rPr>
            </w:pPr>
          </w:p>
        </w:tc>
        <w:tc>
          <w:tcPr>
            <w:tcW w:w="227" w:type="pct"/>
            <w:vAlign w:val="center"/>
          </w:tcPr>
          <w:p w14:paraId="0775A3E6" w14:textId="77777777" w:rsidR="00E216F6" w:rsidRPr="00A9330B" w:rsidRDefault="00E216F6" w:rsidP="00E216F6">
            <w:pPr>
              <w:tabs>
                <w:tab w:val="left" w:pos="1134"/>
              </w:tabs>
              <w:spacing w:before="40" w:line="240" w:lineRule="auto"/>
              <w:rPr>
                <w:rFonts w:cs="Arial"/>
                <w:sz w:val="18"/>
                <w:szCs w:val="18"/>
              </w:rPr>
            </w:pPr>
          </w:p>
        </w:tc>
        <w:tc>
          <w:tcPr>
            <w:tcW w:w="227" w:type="pct"/>
            <w:vAlign w:val="center"/>
          </w:tcPr>
          <w:p w14:paraId="471D6028" w14:textId="77777777" w:rsidR="00E216F6" w:rsidRPr="00A9330B" w:rsidRDefault="00E216F6" w:rsidP="00E216F6">
            <w:pPr>
              <w:tabs>
                <w:tab w:val="left" w:pos="1134"/>
              </w:tabs>
              <w:spacing w:before="40" w:line="240" w:lineRule="auto"/>
              <w:rPr>
                <w:rFonts w:cs="Arial"/>
                <w:sz w:val="18"/>
                <w:szCs w:val="18"/>
              </w:rPr>
            </w:pPr>
            <w:r w:rsidRPr="00A9330B">
              <w:rPr>
                <w:rFonts w:cs="Arial"/>
                <w:sz w:val="18"/>
                <w:szCs w:val="18"/>
              </w:rPr>
              <w:t>X</w:t>
            </w:r>
          </w:p>
        </w:tc>
        <w:tc>
          <w:tcPr>
            <w:tcW w:w="227" w:type="pct"/>
            <w:vAlign w:val="center"/>
          </w:tcPr>
          <w:p w14:paraId="4CFEC1D0" w14:textId="77777777" w:rsidR="00E216F6" w:rsidRPr="00A9330B" w:rsidRDefault="00E216F6" w:rsidP="00E216F6">
            <w:pPr>
              <w:tabs>
                <w:tab w:val="left" w:pos="1134"/>
              </w:tabs>
              <w:spacing w:before="40" w:line="240" w:lineRule="auto"/>
              <w:rPr>
                <w:rFonts w:cs="Arial"/>
                <w:sz w:val="18"/>
                <w:szCs w:val="18"/>
              </w:rPr>
            </w:pPr>
            <w:r w:rsidRPr="00A9330B">
              <w:rPr>
                <w:rFonts w:cs="Arial"/>
                <w:sz w:val="18"/>
                <w:szCs w:val="18"/>
              </w:rPr>
              <w:t>X</w:t>
            </w:r>
          </w:p>
        </w:tc>
        <w:tc>
          <w:tcPr>
            <w:tcW w:w="227" w:type="pct"/>
            <w:vAlign w:val="center"/>
          </w:tcPr>
          <w:p w14:paraId="645E15E3" w14:textId="77777777" w:rsidR="00E216F6" w:rsidRPr="00A9330B" w:rsidRDefault="00E216F6" w:rsidP="00E216F6">
            <w:pPr>
              <w:tabs>
                <w:tab w:val="left" w:pos="1134"/>
              </w:tabs>
              <w:spacing w:before="40" w:line="240" w:lineRule="auto"/>
              <w:rPr>
                <w:rFonts w:cs="Arial"/>
                <w:sz w:val="18"/>
                <w:szCs w:val="18"/>
              </w:rPr>
            </w:pPr>
            <w:r w:rsidRPr="00A9330B">
              <w:rPr>
                <w:rFonts w:cs="Arial"/>
                <w:sz w:val="18"/>
                <w:szCs w:val="18"/>
              </w:rPr>
              <w:t>X</w:t>
            </w:r>
          </w:p>
        </w:tc>
        <w:tc>
          <w:tcPr>
            <w:tcW w:w="227" w:type="pct"/>
            <w:vAlign w:val="center"/>
          </w:tcPr>
          <w:p w14:paraId="087A90B1" w14:textId="77777777" w:rsidR="00E216F6" w:rsidRPr="00A9330B" w:rsidRDefault="00E216F6" w:rsidP="00E216F6">
            <w:pPr>
              <w:tabs>
                <w:tab w:val="left" w:pos="1134"/>
              </w:tabs>
              <w:spacing w:before="40" w:line="240" w:lineRule="auto"/>
              <w:rPr>
                <w:rFonts w:cs="Arial"/>
                <w:sz w:val="18"/>
                <w:szCs w:val="18"/>
              </w:rPr>
            </w:pPr>
            <w:r w:rsidRPr="00A9330B">
              <w:rPr>
                <w:rFonts w:cs="Arial"/>
                <w:sz w:val="18"/>
                <w:szCs w:val="18"/>
              </w:rPr>
              <w:t>X</w:t>
            </w:r>
          </w:p>
        </w:tc>
        <w:tc>
          <w:tcPr>
            <w:tcW w:w="227" w:type="pct"/>
            <w:gridSpan w:val="2"/>
            <w:vAlign w:val="center"/>
          </w:tcPr>
          <w:p w14:paraId="610D8701" w14:textId="77777777" w:rsidR="00E216F6" w:rsidRPr="00A9330B" w:rsidRDefault="00E216F6" w:rsidP="00E216F6">
            <w:pPr>
              <w:tabs>
                <w:tab w:val="left" w:pos="1134"/>
              </w:tabs>
              <w:spacing w:before="40" w:line="240" w:lineRule="auto"/>
              <w:rPr>
                <w:rFonts w:cs="Arial"/>
                <w:sz w:val="18"/>
                <w:szCs w:val="18"/>
              </w:rPr>
            </w:pPr>
            <w:r w:rsidRPr="00A9330B">
              <w:rPr>
                <w:rFonts w:cs="Arial"/>
                <w:sz w:val="18"/>
                <w:szCs w:val="18"/>
              </w:rPr>
              <w:t>X</w:t>
            </w:r>
          </w:p>
        </w:tc>
        <w:tc>
          <w:tcPr>
            <w:tcW w:w="285" w:type="pct"/>
            <w:vAlign w:val="center"/>
          </w:tcPr>
          <w:p w14:paraId="5F010DC0" w14:textId="77777777" w:rsidR="00E216F6" w:rsidRPr="00A9330B" w:rsidRDefault="00E216F6" w:rsidP="00E216F6">
            <w:pPr>
              <w:tabs>
                <w:tab w:val="left" w:pos="1134"/>
              </w:tabs>
              <w:spacing w:before="40" w:line="240" w:lineRule="auto"/>
              <w:rPr>
                <w:rFonts w:cs="Arial"/>
                <w:sz w:val="18"/>
                <w:szCs w:val="18"/>
              </w:rPr>
            </w:pPr>
          </w:p>
        </w:tc>
      </w:tr>
      <w:tr w:rsidR="00E216F6" w:rsidRPr="00A9330B" w14:paraId="262224EF" w14:textId="77777777" w:rsidTr="00E216F6">
        <w:trPr>
          <w:trHeight w:val="486"/>
        </w:trPr>
        <w:tc>
          <w:tcPr>
            <w:tcW w:w="834" w:type="pct"/>
            <w:vMerge/>
          </w:tcPr>
          <w:p w14:paraId="3811CCFC" w14:textId="77777777" w:rsidR="00E216F6" w:rsidRPr="00A9330B" w:rsidRDefault="00E216F6" w:rsidP="00E216F6">
            <w:pPr>
              <w:spacing w:before="40" w:line="240" w:lineRule="auto"/>
              <w:rPr>
                <w:rFonts w:cs="Arial"/>
                <w:sz w:val="18"/>
                <w:szCs w:val="18"/>
              </w:rPr>
            </w:pPr>
          </w:p>
        </w:tc>
        <w:tc>
          <w:tcPr>
            <w:tcW w:w="1611" w:type="pct"/>
          </w:tcPr>
          <w:p w14:paraId="46437F5A" w14:textId="77777777" w:rsidR="00E216F6" w:rsidRPr="00A9330B" w:rsidRDefault="00E216F6" w:rsidP="00E216F6">
            <w:pPr>
              <w:tabs>
                <w:tab w:val="left" w:pos="1134"/>
              </w:tabs>
              <w:spacing w:line="240" w:lineRule="auto"/>
              <w:jc w:val="left"/>
              <w:rPr>
                <w:rFonts w:eastAsia="Calibri" w:cs="Arial"/>
                <w:color w:val="auto"/>
                <w:sz w:val="18"/>
                <w:szCs w:val="18"/>
              </w:rPr>
            </w:pPr>
            <w:r w:rsidRPr="00A9330B">
              <w:rPr>
                <w:rFonts w:eastAsia="Calibri" w:cs="Arial"/>
                <w:color w:val="auto"/>
                <w:sz w:val="18"/>
                <w:szCs w:val="18"/>
              </w:rPr>
              <w:t>Travaux d’entretiens périodiques des rues.</w:t>
            </w:r>
          </w:p>
          <w:p w14:paraId="26796B00" w14:textId="77777777" w:rsidR="00E216F6" w:rsidRPr="00A9330B" w:rsidRDefault="00E216F6" w:rsidP="00E216F6">
            <w:pPr>
              <w:tabs>
                <w:tab w:val="left" w:pos="1134"/>
              </w:tabs>
              <w:spacing w:line="240" w:lineRule="auto"/>
              <w:jc w:val="left"/>
              <w:rPr>
                <w:rFonts w:eastAsia="Calibri" w:cs="Arial"/>
                <w:color w:val="auto"/>
                <w:sz w:val="18"/>
                <w:szCs w:val="18"/>
              </w:rPr>
            </w:pPr>
            <w:r w:rsidRPr="00A9330B">
              <w:rPr>
                <w:rFonts w:eastAsia="Calibri" w:cs="Arial"/>
                <w:color w:val="auto"/>
                <w:sz w:val="18"/>
                <w:szCs w:val="18"/>
              </w:rPr>
              <w:t>Entretien des arbres plantés jusqu’à croissance optimale</w:t>
            </w:r>
          </w:p>
          <w:p w14:paraId="1B0AA788" w14:textId="77777777" w:rsidR="00E216F6" w:rsidRPr="00A9330B" w:rsidRDefault="00E216F6" w:rsidP="00E216F6">
            <w:pPr>
              <w:tabs>
                <w:tab w:val="left" w:pos="1134"/>
              </w:tabs>
              <w:spacing w:line="240" w:lineRule="auto"/>
              <w:jc w:val="left"/>
              <w:rPr>
                <w:rFonts w:eastAsia="Calibri" w:cs="Arial"/>
                <w:color w:val="auto"/>
                <w:sz w:val="18"/>
                <w:szCs w:val="18"/>
              </w:rPr>
            </w:pPr>
            <w:r w:rsidRPr="00A9330B">
              <w:rPr>
                <w:rFonts w:eastAsia="Calibri" w:cs="Arial"/>
                <w:color w:val="auto"/>
                <w:sz w:val="18"/>
                <w:szCs w:val="18"/>
              </w:rPr>
              <w:t xml:space="preserve">Curage des collecteurs et caniveaux </w:t>
            </w:r>
          </w:p>
          <w:p w14:paraId="02C9DFA8" w14:textId="77777777" w:rsidR="00E216F6" w:rsidRPr="00A9330B" w:rsidRDefault="00E216F6" w:rsidP="00E216F6">
            <w:pPr>
              <w:tabs>
                <w:tab w:val="left" w:pos="1134"/>
              </w:tabs>
              <w:spacing w:line="240" w:lineRule="auto"/>
              <w:jc w:val="left"/>
              <w:rPr>
                <w:rFonts w:eastAsia="Calibri" w:cs="Arial"/>
                <w:color w:val="auto"/>
                <w:sz w:val="18"/>
                <w:szCs w:val="18"/>
              </w:rPr>
            </w:pPr>
            <w:r w:rsidRPr="00A9330B">
              <w:rPr>
                <w:rFonts w:eastAsia="Calibri" w:cs="Arial"/>
                <w:color w:val="auto"/>
                <w:sz w:val="18"/>
                <w:szCs w:val="18"/>
              </w:rPr>
              <w:t xml:space="preserve">Entretien des exutoires </w:t>
            </w:r>
          </w:p>
          <w:p w14:paraId="1595DBF1" w14:textId="77777777" w:rsidR="00E216F6" w:rsidRPr="00A9330B" w:rsidRDefault="00E216F6" w:rsidP="00E216F6">
            <w:pPr>
              <w:spacing w:line="240" w:lineRule="auto"/>
              <w:jc w:val="left"/>
              <w:rPr>
                <w:rFonts w:eastAsia="Calibri" w:cs="Arial"/>
                <w:color w:val="auto"/>
                <w:sz w:val="18"/>
                <w:szCs w:val="18"/>
              </w:rPr>
            </w:pPr>
            <w:r w:rsidRPr="00A9330B">
              <w:rPr>
                <w:rFonts w:eastAsia="Calibri" w:cs="Arial"/>
                <w:color w:val="auto"/>
                <w:sz w:val="18"/>
                <w:szCs w:val="18"/>
              </w:rPr>
              <w:t>Entretien des dallettes Transport de matériaux sur place</w:t>
            </w:r>
          </w:p>
          <w:p w14:paraId="312370F7" w14:textId="77777777" w:rsidR="00E216F6" w:rsidRPr="00A9330B" w:rsidRDefault="00E216F6" w:rsidP="00E216F6">
            <w:pPr>
              <w:spacing w:line="240" w:lineRule="auto"/>
              <w:jc w:val="left"/>
              <w:rPr>
                <w:rFonts w:eastAsia="Calibri" w:cs="Arial"/>
                <w:color w:val="auto"/>
                <w:sz w:val="18"/>
                <w:szCs w:val="18"/>
              </w:rPr>
            </w:pPr>
            <w:r w:rsidRPr="00A9330B">
              <w:rPr>
                <w:rFonts w:eastAsia="Calibri" w:cs="Arial"/>
                <w:color w:val="auto"/>
                <w:sz w:val="18"/>
                <w:szCs w:val="18"/>
              </w:rPr>
              <w:t>Décapage, remblai et compactage des endroits ciblés</w:t>
            </w:r>
          </w:p>
          <w:p w14:paraId="37B177FE" w14:textId="77777777" w:rsidR="00E216F6" w:rsidRPr="00A9330B" w:rsidRDefault="00E216F6" w:rsidP="00E216F6">
            <w:pPr>
              <w:spacing w:line="240" w:lineRule="auto"/>
              <w:jc w:val="left"/>
              <w:rPr>
                <w:rFonts w:eastAsia="Calibri" w:cs="Arial"/>
                <w:color w:val="auto"/>
                <w:sz w:val="18"/>
                <w:szCs w:val="18"/>
              </w:rPr>
            </w:pPr>
            <w:r w:rsidRPr="00A9330B">
              <w:rPr>
                <w:rFonts w:eastAsia="Calibri" w:cs="Arial"/>
                <w:color w:val="auto"/>
                <w:sz w:val="18"/>
                <w:szCs w:val="18"/>
              </w:rPr>
              <w:t>Mise en œuvre de matériaux pour couches de chaussée</w:t>
            </w:r>
          </w:p>
          <w:p w14:paraId="1DF1BA83" w14:textId="4C647E06" w:rsidR="00E216F6" w:rsidRPr="00A9330B" w:rsidRDefault="00E216F6" w:rsidP="00E216F6">
            <w:pPr>
              <w:tabs>
                <w:tab w:val="left" w:pos="1134"/>
              </w:tabs>
              <w:spacing w:before="40" w:line="240" w:lineRule="auto"/>
              <w:rPr>
                <w:rFonts w:cs="Arial"/>
                <w:sz w:val="18"/>
                <w:szCs w:val="18"/>
              </w:rPr>
            </w:pPr>
          </w:p>
        </w:tc>
        <w:tc>
          <w:tcPr>
            <w:tcW w:w="227" w:type="pct"/>
            <w:vAlign w:val="center"/>
          </w:tcPr>
          <w:p w14:paraId="5D8CFAB2" w14:textId="77777777" w:rsidR="00E216F6" w:rsidRPr="00A9330B" w:rsidRDefault="00E216F6" w:rsidP="00E216F6">
            <w:pPr>
              <w:tabs>
                <w:tab w:val="left" w:pos="1134"/>
              </w:tabs>
              <w:spacing w:before="40" w:line="240" w:lineRule="auto"/>
              <w:rPr>
                <w:rFonts w:cs="Arial"/>
                <w:sz w:val="18"/>
                <w:szCs w:val="18"/>
              </w:rPr>
            </w:pPr>
            <w:r w:rsidRPr="00A9330B">
              <w:rPr>
                <w:rFonts w:cs="Arial"/>
                <w:sz w:val="18"/>
                <w:szCs w:val="18"/>
              </w:rPr>
              <w:t>X</w:t>
            </w:r>
          </w:p>
        </w:tc>
        <w:tc>
          <w:tcPr>
            <w:tcW w:w="227" w:type="pct"/>
            <w:vAlign w:val="center"/>
          </w:tcPr>
          <w:p w14:paraId="047A66F8" w14:textId="77777777" w:rsidR="00E216F6" w:rsidRPr="00A9330B" w:rsidRDefault="00E216F6" w:rsidP="00E216F6">
            <w:pPr>
              <w:tabs>
                <w:tab w:val="left" w:pos="1134"/>
              </w:tabs>
              <w:spacing w:before="40" w:line="240" w:lineRule="auto"/>
              <w:rPr>
                <w:rFonts w:cs="Arial"/>
                <w:sz w:val="18"/>
                <w:szCs w:val="18"/>
              </w:rPr>
            </w:pPr>
          </w:p>
        </w:tc>
        <w:tc>
          <w:tcPr>
            <w:tcW w:w="227" w:type="pct"/>
            <w:vAlign w:val="center"/>
          </w:tcPr>
          <w:p w14:paraId="66CCE593" w14:textId="77777777" w:rsidR="00E216F6" w:rsidRPr="00A9330B" w:rsidRDefault="00E216F6" w:rsidP="00E216F6">
            <w:pPr>
              <w:tabs>
                <w:tab w:val="left" w:pos="1134"/>
              </w:tabs>
              <w:spacing w:before="40" w:line="240" w:lineRule="auto"/>
              <w:rPr>
                <w:rFonts w:cs="Arial"/>
                <w:sz w:val="18"/>
                <w:szCs w:val="18"/>
              </w:rPr>
            </w:pPr>
            <w:r w:rsidRPr="00A9330B">
              <w:rPr>
                <w:rFonts w:cs="Arial"/>
                <w:sz w:val="18"/>
                <w:szCs w:val="18"/>
              </w:rPr>
              <w:t>X</w:t>
            </w:r>
          </w:p>
        </w:tc>
        <w:tc>
          <w:tcPr>
            <w:tcW w:w="227" w:type="pct"/>
            <w:vAlign w:val="center"/>
          </w:tcPr>
          <w:p w14:paraId="5D901C0E" w14:textId="77777777" w:rsidR="00E216F6" w:rsidRPr="00A9330B" w:rsidRDefault="00E216F6" w:rsidP="00E216F6">
            <w:pPr>
              <w:tabs>
                <w:tab w:val="left" w:pos="1134"/>
              </w:tabs>
              <w:spacing w:before="40" w:line="240" w:lineRule="auto"/>
              <w:rPr>
                <w:rFonts w:cs="Arial"/>
                <w:sz w:val="18"/>
                <w:szCs w:val="18"/>
              </w:rPr>
            </w:pPr>
          </w:p>
        </w:tc>
        <w:tc>
          <w:tcPr>
            <w:tcW w:w="227" w:type="pct"/>
            <w:vAlign w:val="center"/>
          </w:tcPr>
          <w:p w14:paraId="7C913540" w14:textId="77777777" w:rsidR="00E216F6" w:rsidRPr="00A9330B" w:rsidRDefault="00E216F6" w:rsidP="00E216F6">
            <w:pPr>
              <w:tabs>
                <w:tab w:val="left" w:pos="1134"/>
              </w:tabs>
              <w:spacing w:before="40" w:line="240" w:lineRule="auto"/>
              <w:rPr>
                <w:rFonts w:cs="Arial"/>
                <w:sz w:val="18"/>
                <w:szCs w:val="18"/>
              </w:rPr>
            </w:pPr>
          </w:p>
        </w:tc>
        <w:tc>
          <w:tcPr>
            <w:tcW w:w="227" w:type="pct"/>
            <w:vAlign w:val="center"/>
          </w:tcPr>
          <w:p w14:paraId="69B4D53A" w14:textId="77777777" w:rsidR="00E216F6" w:rsidRPr="00A9330B" w:rsidRDefault="00E216F6" w:rsidP="00E216F6">
            <w:pPr>
              <w:tabs>
                <w:tab w:val="left" w:pos="1134"/>
              </w:tabs>
              <w:spacing w:before="40" w:line="240" w:lineRule="auto"/>
              <w:rPr>
                <w:rFonts w:cs="Arial"/>
                <w:sz w:val="18"/>
                <w:szCs w:val="18"/>
              </w:rPr>
            </w:pPr>
          </w:p>
        </w:tc>
        <w:tc>
          <w:tcPr>
            <w:tcW w:w="227" w:type="pct"/>
            <w:vAlign w:val="center"/>
          </w:tcPr>
          <w:p w14:paraId="5965115F" w14:textId="77777777" w:rsidR="00E216F6" w:rsidRPr="00A9330B" w:rsidRDefault="00E216F6" w:rsidP="00E216F6">
            <w:pPr>
              <w:tabs>
                <w:tab w:val="left" w:pos="1134"/>
              </w:tabs>
              <w:spacing w:before="40" w:line="240" w:lineRule="auto"/>
              <w:rPr>
                <w:rFonts w:cs="Arial"/>
                <w:sz w:val="18"/>
                <w:szCs w:val="18"/>
              </w:rPr>
            </w:pPr>
            <w:r w:rsidRPr="00A9330B">
              <w:rPr>
                <w:rFonts w:cs="Arial"/>
                <w:sz w:val="18"/>
                <w:szCs w:val="18"/>
              </w:rPr>
              <w:t>X</w:t>
            </w:r>
          </w:p>
        </w:tc>
        <w:tc>
          <w:tcPr>
            <w:tcW w:w="227" w:type="pct"/>
            <w:vAlign w:val="center"/>
          </w:tcPr>
          <w:p w14:paraId="15585AA8" w14:textId="77777777" w:rsidR="00E216F6" w:rsidRPr="00A9330B" w:rsidRDefault="00E216F6" w:rsidP="00E216F6">
            <w:pPr>
              <w:tabs>
                <w:tab w:val="left" w:pos="1134"/>
              </w:tabs>
              <w:spacing w:before="40" w:line="240" w:lineRule="auto"/>
              <w:rPr>
                <w:rFonts w:cs="Arial"/>
                <w:sz w:val="18"/>
                <w:szCs w:val="18"/>
              </w:rPr>
            </w:pPr>
          </w:p>
        </w:tc>
        <w:tc>
          <w:tcPr>
            <w:tcW w:w="227" w:type="pct"/>
            <w:vAlign w:val="center"/>
          </w:tcPr>
          <w:p w14:paraId="799A9D25" w14:textId="77777777" w:rsidR="00E216F6" w:rsidRPr="00A9330B" w:rsidRDefault="00E216F6" w:rsidP="00E216F6">
            <w:pPr>
              <w:tabs>
                <w:tab w:val="left" w:pos="1134"/>
              </w:tabs>
              <w:spacing w:before="40" w:line="240" w:lineRule="auto"/>
              <w:rPr>
                <w:rFonts w:cs="Arial"/>
                <w:sz w:val="18"/>
                <w:szCs w:val="18"/>
              </w:rPr>
            </w:pPr>
          </w:p>
        </w:tc>
        <w:tc>
          <w:tcPr>
            <w:tcW w:w="227" w:type="pct"/>
            <w:gridSpan w:val="2"/>
            <w:vAlign w:val="center"/>
          </w:tcPr>
          <w:p w14:paraId="3B8B8489" w14:textId="77777777" w:rsidR="00E216F6" w:rsidRPr="00A9330B" w:rsidRDefault="00E216F6" w:rsidP="00E216F6">
            <w:pPr>
              <w:tabs>
                <w:tab w:val="left" w:pos="1134"/>
              </w:tabs>
              <w:spacing w:before="40" w:line="240" w:lineRule="auto"/>
              <w:rPr>
                <w:rFonts w:cs="Arial"/>
                <w:sz w:val="18"/>
                <w:szCs w:val="18"/>
              </w:rPr>
            </w:pPr>
            <w:r w:rsidRPr="00A9330B">
              <w:rPr>
                <w:rFonts w:cs="Arial"/>
                <w:sz w:val="18"/>
                <w:szCs w:val="18"/>
              </w:rPr>
              <w:t>X</w:t>
            </w:r>
          </w:p>
        </w:tc>
        <w:tc>
          <w:tcPr>
            <w:tcW w:w="285" w:type="pct"/>
            <w:vAlign w:val="center"/>
          </w:tcPr>
          <w:p w14:paraId="72684B6A" w14:textId="77777777" w:rsidR="00E216F6" w:rsidRPr="00A9330B" w:rsidRDefault="00E216F6" w:rsidP="00E216F6">
            <w:pPr>
              <w:tabs>
                <w:tab w:val="left" w:pos="1134"/>
              </w:tabs>
              <w:spacing w:before="40" w:line="240" w:lineRule="auto"/>
              <w:rPr>
                <w:rFonts w:cs="Arial"/>
                <w:sz w:val="18"/>
                <w:szCs w:val="18"/>
              </w:rPr>
            </w:pPr>
          </w:p>
        </w:tc>
      </w:tr>
    </w:tbl>
    <w:p w14:paraId="1640BD51" w14:textId="77777777" w:rsidR="00401546" w:rsidRPr="00A9330B" w:rsidRDefault="00401546" w:rsidP="00401546">
      <w:pPr>
        <w:suppressAutoHyphens/>
        <w:spacing w:line="240" w:lineRule="auto"/>
        <w:ind w:left="720"/>
        <w:outlineLvl w:val="2"/>
        <w:rPr>
          <w:rFonts w:eastAsiaTheme="majorEastAsia" w:cstheme="majorBidi"/>
          <w:i/>
          <w:color w:val="auto"/>
          <w:sz w:val="26"/>
          <w:szCs w:val="24"/>
        </w:rPr>
      </w:pPr>
      <w:bookmarkStart w:id="1630" w:name="_Toc33367080"/>
      <w:bookmarkStart w:id="1631" w:name="_Toc43697686"/>
      <w:bookmarkStart w:id="1632" w:name="_Toc45520890"/>
      <w:bookmarkStart w:id="1633" w:name="_Toc52869690"/>
      <w:r w:rsidRPr="00A9330B">
        <w:rPr>
          <w:rFonts w:eastAsiaTheme="majorEastAsia" w:cstheme="majorBidi"/>
          <w:i/>
          <w:color w:val="auto"/>
          <w:sz w:val="26"/>
          <w:szCs w:val="24"/>
        </w:rPr>
        <w:t>8.1.2. Identification des principaux impacts du projet</w:t>
      </w:r>
      <w:bookmarkEnd w:id="1630"/>
      <w:bookmarkEnd w:id="1631"/>
      <w:bookmarkEnd w:id="1632"/>
      <w:bookmarkEnd w:id="1633"/>
      <w:r w:rsidRPr="00A9330B">
        <w:rPr>
          <w:rFonts w:eastAsiaTheme="majorEastAsia" w:cstheme="majorBidi"/>
          <w:i/>
          <w:color w:val="auto"/>
          <w:sz w:val="26"/>
          <w:szCs w:val="24"/>
        </w:rPr>
        <w:t xml:space="preserve"> </w:t>
      </w:r>
    </w:p>
    <w:p w14:paraId="4CAB8D3D" w14:textId="77777777" w:rsidR="00401546" w:rsidRPr="00A9330B" w:rsidRDefault="00401546" w:rsidP="00401546">
      <w:pPr>
        <w:jc w:val="both"/>
        <w:rPr>
          <w:rFonts w:cs="GEJIJJ+TimesNewRoman"/>
          <w:color w:val="000000"/>
        </w:rPr>
      </w:pPr>
      <w:r w:rsidRPr="00A9330B">
        <w:rPr>
          <w:rFonts w:cs="GEJIJJ+TimesNewRoman"/>
          <w:color w:val="000000"/>
        </w:rPr>
        <w:t xml:space="preserve">Les avantages socio-économiques des projets de construction de route et d’assainissement sont nombreux : un service fiable en toute saison, des coûts de transport réduits, l’accès à de nouveaux centres d’emploi, l’emploi d’une main-d’œuvre locale et des prestataires locaux pour la réalisation du projet, un meilleur accès aux soins de santé et aux autres services sociaux, le confort et la rapidité dans la circulation, un renforcement des économies locales, etc.. </w:t>
      </w:r>
    </w:p>
    <w:p w14:paraId="6C563B91" w14:textId="77777777" w:rsidR="00401546" w:rsidRPr="00A9330B" w:rsidRDefault="00401546" w:rsidP="00401546">
      <w:pPr>
        <w:jc w:val="both"/>
      </w:pPr>
      <w:r w:rsidRPr="00A9330B">
        <w:rPr>
          <w:rFonts w:cs="GEJIJJ+TimesNewRoman"/>
          <w:color w:val="000000"/>
        </w:rPr>
        <w:t>Ces travaux peuvent aussi bien engendrer des impacts négatifs complexes. Ceux-ci peuvent être importants et significatifs non seulement sur les ressources naturelles et les écosystèmes mais aussi sur le milieu culturel et social.</w:t>
      </w:r>
    </w:p>
    <w:p w14:paraId="433824C8" w14:textId="77777777" w:rsidR="00401546" w:rsidRPr="00A9330B" w:rsidRDefault="00401546" w:rsidP="00401546">
      <w:pPr>
        <w:widowControl w:val="0"/>
        <w:spacing w:before="0" w:line="240" w:lineRule="auto"/>
        <w:jc w:val="both"/>
        <w:rPr>
          <w:rFonts w:cs="Arial"/>
          <w:color w:val="auto"/>
        </w:rPr>
      </w:pPr>
      <w:r w:rsidRPr="00A9330B">
        <w:rPr>
          <w:rFonts w:cs="Arial"/>
          <w:color w:val="auto"/>
        </w:rPr>
        <w:t xml:space="preserve">L'identification des impacts s'effectue en suivant une méthode qui met en relation les activités prévues dans le cadre de la réalisation du projet et les composantes pertinentes du milieu. Pour chacune des interrelations entre les activités et les composantes pertinentes, on identifiera la probabilité d’apparition d’un impact. </w:t>
      </w:r>
    </w:p>
    <w:p w14:paraId="5BE7F747" w14:textId="77777777" w:rsidR="00401546" w:rsidRPr="00A9330B" w:rsidRDefault="00401546" w:rsidP="00401546">
      <w:r w:rsidRPr="00A9330B">
        <w:t>Les principaux impacts identifiés sont :</w:t>
      </w:r>
    </w:p>
    <w:p w14:paraId="2571F119" w14:textId="21DD34BB" w:rsidR="00401546" w:rsidRPr="00A9330B" w:rsidRDefault="00F9134C" w:rsidP="0064324E">
      <w:pPr>
        <w:pStyle w:val="Titre40"/>
      </w:pPr>
      <w:bookmarkStart w:id="1634" w:name="_Toc336163956"/>
      <w:bookmarkStart w:id="1635" w:name="_Toc517364172"/>
      <w:bookmarkStart w:id="1636" w:name="_Toc43697687"/>
      <w:bookmarkStart w:id="1637" w:name="_Toc45520891"/>
      <w:bookmarkStart w:id="1638" w:name="_Toc52869691"/>
      <w:r w:rsidRPr="00A9330B">
        <w:t>8.1.2</w:t>
      </w:r>
      <w:r w:rsidR="00401546" w:rsidRPr="00A9330B">
        <w:t>.1. Identification et description des impacts positifs du projet</w:t>
      </w:r>
      <w:bookmarkEnd w:id="1634"/>
      <w:bookmarkEnd w:id="1635"/>
      <w:bookmarkEnd w:id="1636"/>
      <w:bookmarkEnd w:id="1637"/>
      <w:bookmarkEnd w:id="1638"/>
      <w:r w:rsidR="00401546" w:rsidRPr="00A9330B">
        <w:t xml:space="preserve"> </w:t>
      </w:r>
    </w:p>
    <w:p w14:paraId="1F3B2194" w14:textId="50E34D38" w:rsidR="00401546" w:rsidRPr="00A9330B" w:rsidRDefault="00401546" w:rsidP="00401546">
      <w:pPr>
        <w:keepNext/>
        <w:spacing w:after="120" w:line="240" w:lineRule="auto"/>
        <w:jc w:val="center"/>
        <w:rPr>
          <w:rFonts w:eastAsia="Times New Roman" w:cs="Arial"/>
          <w:b/>
          <w:color w:val="000000"/>
          <w:sz w:val="20"/>
          <w:szCs w:val="20"/>
          <w:lang w:eastAsia="fr-FR"/>
        </w:rPr>
      </w:pPr>
      <w:bookmarkStart w:id="1639" w:name="_Toc336136104"/>
      <w:bookmarkStart w:id="1640" w:name="_Toc336164788"/>
      <w:bookmarkStart w:id="1641" w:name="_Toc517363586"/>
      <w:bookmarkStart w:id="1642" w:name="_Toc24724033"/>
      <w:bookmarkStart w:id="1643" w:name="_Toc43696248"/>
      <w:bookmarkStart w:id="1644" w:name="_Toc52873761"/>
      <w:r w:rsidRPr="00A9330B">
        <w:rPr>
          <w:rFonts w:eastAsia="Times New Roman" w:cs="Arial"/>
          <w:b/>
          <w:color w:val="000000"/>
          <w:sz w:val="20"/>
          <w:szCs w:val="20"/>
          <w:lang w:eastAsia="fr-FR"/>
        </w:rPr>
        <w:t xml:space="preserve">Tableau </w:t>
      </w:r>
      <w:r w:rsidRPr="00A9330B">
        <w:rPr>
          <w:rFonts w:eastAsia="Times New Roman" w:cs="Arial"/>
          <w:b/>
          <w:color w:val="000000"/>
          <w:sz w:val="20"/>
          <w:szCs w:val="20"/>
          <w:lang w:eastAsia="fr-FR"/>
        </w:rPr>
        <w:fldChar w:fldCharType="begin"/>
      </w:r>
      <w:r w:rsidRPr="00A9330B">
        <w:rPr>
          <w:rFonts w:eastAsia="Times New Roman" w:cs="Arial"/>
          <w:b/>
          <w:color w:val="000000"/>
          <w:sz w:val="20"/>
          <w:szCs w:val="20"/>
          <w:lang w:eastAsia="fr-FR"/>
        </w:rPr>
        <w:instrText xml:space="preserve"> SEQ Tableau \* ARABIC </w:instrText>
      </w:r>
      <w:r w:rsidRPr="00A9330B">
        <w:rPr>
          <w:rFonts w:eastAsia="Times New Roman" w:cs="Arial"/>
          <w:b/>
          <w:color w:val="000000"/>
          <w:sz w:val="20"/>
          <w:szCs w:val="20"/>
          <w:lang w:eastAsia="fr-FR"/>
        </w:rPr>
        <w:fldChar w:fldCharType="separate"/>
      </w:r>
      <w:r w:rsidR="007025F6" w:rsidRPr="00A9330B">
        <w:rPr>
          <w:rFonts w:eastAsia="Times New Roman" w:cs="Arial"/>
          <w:b/>
          <w:noProof/>
          <w:color w:val="000000"/>
          <w:sz w:val="20"/>
          <w:szCs w:val="20"/>
          <w:lang w:eastAsia="fr-FR"/>
        </w:rPr>
        <w:t>37</w:t>
      </w:r>
      <w:r w:rsidRPr="00A9330B">
        <w:rPr>
          <w:rFonts w:eastAsia="Times New Roman" w:cs="Arial"/>
          <w:b/>
          <w:color w:val="000000"/>
          <w:sz w:val="20"/>
          <w:szCs w:val="20"/>
          <w:lang w:eastAsia="fr-FR"/>
        </w:rPr>
        <w:fldChar w:fldCharType="end"/>
      </w:r>
      <w:r w:rsidRPr="00A9330B">
        <w:rPr>
          <w:rFonts w:eastAsia="Times New Roman" w:cs="Arial"/>
          <w:b/>
          <w:color w:val="000000"/>
          <w:sz w:val="20"/>
          <w:szCs w:val="20"/>
          <w:lang w:eastAsia="fr-FR"/>
        </w:rPr>
        <w:t> : Impacts positifs du projet</w:t>
      </w:r>
      <w:bookmarkEnd w:id="1639"/>
      <w:bookmarkEnd w:id="1640"/>
      <w:bookmarkEnd w:id="1641"/>
      <w:bookmarkEnd w:id="1642"/>
      <w:bookmarkEnd w:id="1643"/>
      <w:bookmarkEnd w:id="1644"/>
    </w:p>
    <w:tbl>
      <w:tblPr>
        <w:tblStyle w:val="Grilledutableau"/>
        <w:tblW w:w="0" w:type="auto"/>
        <w:tblLook w:val="04A0" w:firstRow="1" w:lastRow="0" w:firstColumn="1" w:lastColumn="0" w:noHBand="0" w:noVBand="1"/>
      </w:tblPr>
      <w:tblGrid>
        <w:gridCol w:w="2173"/>
        <w:gridCol w:w="2731"/>
        <w:gridCol w:w="4158"/>
      </w:tblGrid>
      <w:tr w:rsidR="00401546" w:rsidRPr="00A9330B" w14:paraId="3EEF6D1E" w14:textId="77777777" w:rsidTr="00BD13FE">
        <w:tc>
          <w:tcPr>
            <w:tcW w:w="2173" w:type="dxa"/>
            <w:vMerge w:val="restart"/>
            <w:vAlign w:val="center"/>
          </w:tcPr>
          <w:p w14:paraId="3A83E7E8" w14:textId="77777777" w:rsidR="00401546" w:rsidRPr="00A9330B" w:rsidRDefault="00401546" w:rsidP="0051077A">
            <w:pPr>
              <w:spacing w:before="60"/>
              <w:ind w:left="357"/>
              <w:rPr>
                <w:rFonts w:cs="Arial"/>
                <w:b/>
                <w:sz w:val="18"/>
                <w:szCs w:val="18"/>
              </w:rPr>
            </w:pPr>
            <w:r w:rsidRPr="00A9330B">
              <w:rPr>
                <w:rFonts w:cs="Arial"/>
                <w:b/>
                <w:sz w:val="18"/>
                <w:szCs w:val="18"/>
              </w:rPr>
              <w:t>Activités source d’impact</w:t>
            </w:r>
          </w:p>
        </w:tc>
        <w:tc>
          <w:tcPr>
            <w:tcW w:w="2731" w:type="dxa"/>
            <w:vAlign w:val="center"/>
          </w:tcPr>
          <w:p w14:paraId="71649182" w14:textId="77777777" w:rsidR="00401546" w:rsidRPr="00A9330B" w:rsidRDefault="00401546" w:rsidP="0051077A">
            <w:pPr>
              <w:spacing w:before="60"/>
              <w:ind w:left="357"/>
              <w:rPr>
                <w:rFonts w:cs="Arial"/>
                <w:b/>
                <w:sz w:val="18"/>
                <w:szCs w:val="18"/>
              </w:rPr>
            </w:pPr>
            <w:r w:rsidRPr="00A9330B">
              <w:rPr>
                <w:rFonts w:cs="Arial"/>
                <w:b/>
                <w:sz w:val="18"/>
                <w:szCs w:val="18"/>
              </w:rPr>
              <w:t>Impacts positifs potentiels</w:t>
            </w:r>
          </w:p>
        </w:tc>
        <w:tc>
          <w:tcPr>
            <w:tcW w:w="4158" w:type="dxa"/>
            <w:vAlign w:val="center"/>
          </w:tcPr>
          <w:p w14:paraId="3A2F2D73" w14:textId="77777777" w:rsidR="00401546" w:rsidRPr="00A9330B" w:rsidRDefault="00401546" w:rsidP="0051077A">
            <w:pPr>
              <w:spacing w:before="60"/>
              <w:ind w:left="357"/>
              <w:rPr>
                <w:rFonts w:cs="Arial"/>
                <w:b/>
                <w:sz w:val="18"/>
                <w:szCs w:val="18"/>
              </w:rPr>
            </w:pPr>
            <w:r w:rsidRPr="00A9330B">
              <w:rPr>
                <w:rFonts w:cs="Arial"/>
                <w:b/>
                <w:sz w:val="18"/>
                <w:szCs w:val="18"/>
              </w:rPr>
              <w:t>Description</w:t>
            </w:r>
          </w:p>
        </w:tc>
      </w:tr>
      <w:tr w:rsidR="00401546" w:rsidRPr="00A9330B" w14:paraId="718990A1" w14:textId="77777777" w:rsidTr="00BD13FE">
        <w:tc>
          <w:tcPr>
            <w:tcW w:w="2173" w:type="dxa"/>
            <w:vMerge/>
            <w:vAlign w:val="center"/>
          </w:tcPr>
          <w:p w14:paraId="0239F7A9" w14:textId="77777777" w:rsidR="00401546" w:rsidRPr="00A9330B" w:rsidRDefault="00401546" w:rsidP="0051077A">
            <w:pPr>
              <w:spacing w:before="60"/>
              <w:rPr>
                <w:rFonts w:cs="Arial"/>
                <w:sz w:val="18"/>
                <w:szCs w:val="18"/>
              </w:rPr>
            </w:pPr>
          </w:p>
        </w:tc>
        <w:tc>
          <w:tcPr>
            <w:tcW w:w="6889" w:type="dxa"/>
            <w:gridSpan w:val="2"/>
            <w:shd w:val="clear" w:color="auto" w:fill="F7CAAC" w:themeFill="accent2" w:themeFillTint="66"/>
            <w:vAlign w:val="center"/>
          </w:tcPr>
          <w:p w14:paraId="04DEC71F" w14:textId="77777777" w:rsidR="00401546" w:rsidRPr="00A9330B" w:rsidRDefault="00401546" w:rsidP="0051077A">
            <w:pPr>
              <w:spacing w:before="60"/>
              <w:rPr>
                <w:rFonts w:cs="Arial"/>
                <w:b/>
                <w:i/>
                <w:sz w:val="18"/>
                <w:szCs w:val="18"/>
              </w:rPr>
            </w:pPr>
            <w:r w:rsidRPr="00A9330B">
              <w:rPr>
                <w:rFonts w:cs="Arial"/>
                <w:b/>
                <w:i/>
                <w:sz w:val="18"/>
                <w:szCs w:val="18"/>
              </w:rPr>
              <w:t xml:space="preserve">PHASE DE PREPARATION/DEMARRAGE </w:t>
            </w:r>
          </w:p>
        </w:tc>
      </w:tr>
      <w:tr w:rsidR="00401546" w:rsidRPr="00A9330B" w14:paraId="7DCA9033" w14:textId="77777777" w:rsidTr="00BD13FE">
        <w:tc>
          <w:tcPr>
            <w:tcW w:w="2173" w:type="dxa"/>
            <w:vMerge w:val="restart"/>
          </w:tcPr>
          <w:p w14:paraId="3BE8914C" w14:textId="77777777" w:rsidR="00525E29" w:rsidRPr="00A9330B" w:rsidRDefault="00525E29" w:rsidP="00525E29">
            <w:pPr>
              <w:spacing w:line="240" w:lineRule="auto"/>
              <w:rPr>
                <w:rFonts w:eastAsia="Calibri" w:cs="Arial"/>
                <w:color w:val="auto"/>
                <w:sz w:val="18"/>
                <w:szCs w:val="18"/>
              </w:rPr>
            </w:pPr>
            <w:r w:rsidRPr="00A9330B">
              <w:rPr>
                <w:rFonts w:eastAsia="Calibri" w:cs="Arial"/>
                <w:sz w:val="18"/>
                <w:szCs w:val="18"/>
              </w:rPr>
              <w:t>I</w:t>
            </w:r>
            <w:r w:rsidRPr="00A9330B">
              <w:rPr>
                <w:rFonts w:eastAsia="Calibri" w:cs="Arial"/>
                <w:spacing w:val="-1"/>
                <w:sz w:val="18"/>
                <w:szCs w:val="18"/>
              </w:rPr>
              <w:t>ns</w:t>
            </w:r>
            <w:r w:rsidRPr="00A9330B">
              <w:rPr>
                <w:rFonts w:eastAsia="Calibri" w:cs="Arial"/>
                <w:sz w:val="18"/>
                <w:szCs w:val="18"/>
              </w:rPr>
              <w:t>ta</w:t>
            </w:r>
            <w:r w:rsidRPr="00A9330B">
              <w:rPr>
                <w:rFonts w:eastAsia="Calibri" w:cs="Arial"/>
                <w:spacing w:val="-1"/>
                <w:sz w:val="18"/>
                <w:szCs w:val="18"/>
              </w:rPr>
              <w:t>l</w:t>
            </w:r>
            <w:r w:rsidRPr="00A9330B">
              <w:rPr>
                <w:rFonts w:eastAsia="Calibri" w:cs="Arial"/>
                <w:sz w:val="18"/>
                <w:szCs w:val="18"/>
              </w:rPr>
              <w:t>lat</w:t>
            </w:r>
            <w:r w:rsidRPr="00A9330B">
              <w:rPr>
                <w:rFonts w:eastAsia="Calibri" w:cs="Arial"/>
                <w:spacing w:val="-1"/>
                <w:sz w:val="18"/>
                <w:szCs w:val="18"/>
              </w:rPr>
              <w:t>i</w:t>
            </w:r>
            <w:r w:rsidRPr="00A9330B">
              <w:rPr>
                <w:rFonts w:eastAsia="Calibri" w:cs="Arial"/>
                <w:spacing w:val="1"/>
                <w:sz w:val="18"/>
                <w:szCs w:val="18"/>
              </w:rPr>
              <w:t>o</w:t>
            </w:r>
            <w:r w:rsidRPr="00A9330B">
              <w:rPr>
                <w:rFonts w:eastAsia="Calibri" w:cs="Arial"/>
                <w:sz w:val="18"/>
                <w:szCs w:val="18"/>
              </w:rPr>
              <w:t>n</w:t>
            </w:r>
            <w:r w:rsidRPr="00A9330B">
              <w:rPr>
                <w:rFonts w:eastAsia="Calibri" w:cs="Arial"/>
                <w:spacing w:val="1"/>
                <w:sz w:val="18"/>
                <w:szCs w:val="18"/>
              </w:rPr>
              <w:t xml:space="preserve"> </w:t>
            </w:r>
            <w:r w:rsidRPr="00A9330B">
              <w:rPr>
                <w:rFonts w:eastAsia="Calibri" w:cs="Arial"/>
                <w:spacing w:val="-1"/>
                <w:sz w:val="18"/>
                <w:szCs w:val="18"/>
              </w:rPr>
              <w:t>d</w:t>
            </w:r>
            <w:r w:rsidRPr="00A9330B">
              <w:rPr>
                <w:rFonts w:eastAsia="Calibri" w:cs="Arial"/>
                <w:sz w:val="18"/>
                <w:szCs w:val="18"/>
              </w:rPr>
              <w:t>e</w:t>
            </w:r>
            <w:r w:rsidRPr="00A9330B">
              <w:rPr>
                <w:rFonts w:eastAsia="Calibri" w:cs="Arial"/>
                <w:spacing w:val="-1"/>
                <w:sz w:val="18"/>
                <w:szCs w:val="18"/>
              </w:rPr>
              <w:t xml:space="preserve"> </w:t>
            </w:r>
            <w:r w:rsidRPr="00A9330B">
              <w:rPr>
                <w:rFonts w:eastAsia="Calibri" w:cs="Arial"/>
                <w:spacing w:val="1"/>
                <w:sz w:val="18"/>
                <w:szCs w:val="18"/>
              </w:rPr>
              <w:t>c</w:t>
            </w:r>
            <w:r w:rsidRPr="00A9330B">
              <w:rPr>
                <w:rFonts w:eastAsia="Calibri" w:cs="Arial"/>
                <w:spacing w:val="-1"/>
                <w:sz w:val="18"/>
                <w:szCs w:val="18"/>
              </w:rPr>
              <w:t>h</w:t>
            </w:r>
            <w:r w:rsidRPr="00A9330B">
              <w:rPr>
                <w:rFonts w:eastAsia="Calibri" w:cs="Arial"/>
                <w:sz w:val="18"/>
                <w:szCs w:val="18"/>
              </w:rPr>
              <w:t>a</w:t>
            </w:r>
            <w:r w:rsidRPr="00A9330B">
              <w:rPr>
                <w:rFonts w:eastAsia="Calibri" w:cs="Arial"/>
                <w:spacing w:val="1"/>
                <w:sz w:val="18"/>
                <w:szCs w:val="18"/>
              </w:rPr>
              <w:t>n</w:t>
            </w:r>
            <w:r w:rsidRPr="00A9330B">
              <w:rPr>
                <w:rFonts w:eastAsia="Calibri" w:cs="Arial"/>
                <w:sz w:val="18"/>
                <w:szCs w:val="18"/>
              </w:rPr>
              <w:t>t</w:t>
            </w:r>
            <w:r w:rsidRPr="00A9330B">
              <w:rPr>
                <w:rFonts w:eastAsia="Calibri" w:cs="Arial"/>
                <w:spacing w:val="-1"/>
                <w:sz w:val="18"/>
                <w:szCs w:val="18"/>
              </w:rPr>
              <w:t>ie</w:t>
            </w:r>
            <w:r w:rsidRPr="00A9330B">
              <w:rPr>
                <w:rFonts w:eastAsia="Calibri" w:cs="Arial"/>
                <w:sz w:val="18"/>
                <w:szCs w:val="18"/>
              </w:rPr>
              <w:t>r/signalisation de l’entreprise/</w:t>
            </w:r>
            <w:r w:rsidRPr="00A9330B">
              <w:rPr>
                <w:rFonts w:eastAsia="Calibri" w:cs="Arial"/>
                <w:color w:val="auto"/>
                <w:sz w:val="18"/>
                <w:szCs w:val="18"/>
              </w:rPr>
              <w:t xml:space="preserve"> Installation des bases vie</w:t>
            </w:r>
          </w:p>
          <w:p w14:paraId="641AD398" w14:textId="77777777" w:rsidR="00525E29" w:rsidRPr="00A9330B" w:rsidRDefault="00525E29" w:rsidP="00525E29">
            <w:pPr>
              <w:spacing w:line="240" w:lineRule="auto"/>
              <w:rPr>
                <w:rFonts w:eastAsia="Calibri" w:cs="Arial"/>
                <w:color w:val="auto"/>
                <w:sz w:val="18"/>
                <w:szCs w:val="18"/>
              </w:rPr>
            </w:pPr>
          </w:p>
          <w:p w14:paraId="457E734E" w14:textId="605F1D01" w:rsidR="00401546" w:rsidRPr="00A9330B" w:rsidRDefault="00401546" w:rsidP="0051077A">
            <w:pPr>
              <w:spacing w:before="60"/>
              <w:rPr>
                <w:rFonts w:cs="Arial"/>
                <w:sz w:val="18"/>
                <w:szCs w:val="18"/>
              </w:rPr>
            </w:pPr>
          </w:p>
        </w:tc>
        <w:tc>
          <w:tcPr>
            <w:tcW w:w="2731" w:type="dxa"/>
          </w:tcPr>
          <w:p w14:paraId="1F1A4796" w14:textId="77777777" w:rsidR="00401546" w:rsidRPr="00A9330B" w:rsidRDefault="00401546" w:rsidP="000F7BA7">
            <w:pPr>
              <w:spacing w:before="60"/>
              <w:jc w:val="both"/>
              <w:rPr>
                <w:rFonts w:cs="Arial"/>
                <w:sz w:val="18"/>
                <w:szCs w:val="18"/>
              </w:rPr>
            </w:pPr>
            <w:r w:rsidRPr="00A9330B">
              <w:rPr>
                <w:rFonts w:cs="Arial"/>
                <w:sz w:val="18"/>
                <w:szCs w:val="18"/>
              </w:rPr>
              <w:lastRenderedPageBreak/>
              <w:t>Création d’emplois temporaires pour les ouvriers et techniciens</w:t>
            </w:r>
          </w:p>
        </w:tc>
        <w:tc>
          <w:tcPr>
            <w:tcW w:w="4158" w:type="dxa"/>
          </w:tcPr>
          <w:p w14:paraId="4E390D93" w14:textId="3E3CA26E" w:rsidR="00401546" w:rsidRPr="00A9330B" w:rsidRDefault="00401546" w:rsidP="000F7BA7">
            <w:pPr>
              <w:spacing w:before="60"/>
              <w:jc w:val="both"/>
              <w:rPr>
                <w:rFonts w:cs="Arial"/>
                <w:sz w:val="18"/>
                <w:szCs w:val="18"/>
              </w:rPr>
            </w:pPr>
            <w:r w:rsidRPr="00A9330B">
              <w:rPr>
                <w:rFonts w:cs="Arial"/>
                <w:sz w:val="18"/>
                <w:szCs w:val="18"/>
              </w:rPr>
              <w:t>Des ouvriers</w:t>
            </w:r>
            <w:r w:rsidR="00F9134C" w:rsidRPr="00A9330B">
              <w:rPr>
                <w:rFonts w:cs="Arial"/>
                <w:sz w:val="18"/>
                <w:szCs w:val="18"/>
              </w:rPr>
              <w:t xml:space="preserve"> et techniciens</w:t>
            </w:r>
            <w:r w:rsidRPr="00A9330B">
              <w:rPr>
                <w:rFonts w:cs="Arial"/>
                <w:sz w:val="18"/>
                <w:szCs w:val="18"/>
              </w:rPr>
              <w:t xml:space="preserve"> seront recrutés pour réaliser les travaux et ainsi avoir des revenus</w:t>
            </w:r>
          </w:p>
        </w:tc>
      </w:tr>
      <w:tr w:rsidR="00401546" w:rsidRPr="00A9330B" w14:paraId="49CF42F1" w14:textId="77777777" w:rsidTr="00BD13FE">
        <w:tc>
          <w:tcPr>
            <w:tcW w:w="2173" w:type="dxa"/>
            <w:vMerge/>
          </w:tcPr>
          <w:p w14:paraId="5F0ADF86" w14:textId="77777777" w:rsidR="00401546" w:rsidRPr="00A9330B" w:rsidRDefault="00401546" w:rsidP="0051077A">
            <w:pPr>
              <w:spacing w:before="60"/>
              <w:rPr>
                <w:rFonts w:cs="Arial"/>
                <w:sz w:val="18"/>
                <w:szCs w:val="18"/>
              </w:rPr>
            </w:pPr>
          </w:p>
        </w:tc>
        <w:tc>
          <w:tcPr>
            <w:tcW w:w="2731" w:type="dxa"/>
          </w:tcPr>
          <w:p w14:paraId="3F2E0034" w14:textId="77777777" w:rsidR="00401546" w:rsidRPr="00A9330B" w:rsidRDefault="00401546" w:rsidP="000F7BA7">
            <w:pPr>
              <w:spacing w:before="60"/>
              <w:jc w:val="both"/>
              <w:rPr>
                <w:rFonts w:cs="Arial"/>
                <w:sz w:val="18"/>
                <w:szCs w:val="18"/>
              </w:rPr>
            </w:pPr>
            <w:r w:rsidRPr="00A9330B">
              <w:rPr>
                <w:rFonts w:cs="Arial"/>
                <w:sz w:val="18"/>
                <w:szCs w:val="18"/>
              </w:rPr>
              <w:t>Création de nouvelles opportunités d’affaires</w:t>
            </w:r>
          </w:p>
        </w:tc>
        <w:tc>
          <w:tcPr>
            <w:tcW w:w="4158" w:type="dxa"/>
          </w:tcPr>
          <w:p w14:paraId="155A71DF" w14:textId="1CA8A1C0" w:rsidR="0051077A" w:rsidRPr="00A9330B" w:rsidRDefault="00401546" w:rsidP="000F7BA7">
            <w:pPr>
              <w:spacing w:before="60"/>
              <w:jc w:val="both"/>
              <w:rPr>
                <w:rFonts w:cs="Arial"/>
                <w:sz w:val="18"/>
                <w:szCs w:val="18"/>
              </w:rPr>
            </w:pPr>
            <w:r w:rsidRPr="00A9330B">
              <w:rPr>
                <w:rFonts w:cs="Arial"/>
                <w:sz w:val="18"/>
                <w:szCs w:val="18"/>
              </w:rPr>
              <w:t>La présence</w:t>
            </w:r>
            <w:r w:rsidR="00F9134C" w:rsidRPr="00A9330B">
              <w:rPr>
                <w:rFonts w:cs="Arial"/>
                <w:sz w:val="18"/>
                <w:szCs w:val="18"/>
              </w:rPr>
              <w:t xml:space="preserve"> des ouvriers sur le chantier de constru</w:t>
            </w:r>
            <w:r w:rsidR="00B84FE3" w:rsidRPr="00A9330B">
              <w:rPr>
                <w:rFonts w:cs="Arial"/>
                <w:sz w:val="18"/>
                <w:szCs w:val="18"/>
              </w:rPr>
              <w:t xml:space="preserve">ction des bases vie </w:t>
            </w:r>
            <w:r w:rsidRPr="00A9330B">
              <w:rPr>
                <w:rFonts w:cs="Arial"/>
                <w:sz w:val="18"/>
                <w:szCs w:val="18"/>
              </w:rPr>
              <w:t xml:space="preserve"> aura un impact positif </w:t>
            </w:r>
            <w:r w:rsidRPr="00A9330B">
              <w:rPr>
                <w:rFonts w:cs="Arial"/>
                <w:sz w:val="18"/>
                <w:szCs w:val="18"/>
              </w:rPr>
              <w:lastRenderedPageBreak/>
              <w:t>sur le fonctionnement de nombreuses petites unités commerciales, vente de denrées alimentaires et petits métiers.</w:t>
            </w:r>
          </w:p>
        </w:tc>
      </w:tr>
      <w:tr w:rsidR="00401546" w:rsidRPr="00A9330B" w14:paraId="52FA31B0" w14:textId="77777777" w:rsidTr="00BD13FE">
        <w:tc>
          <w:tcPr>
            <w:tcW w:w="2173" w:type="dxa"/>
          </w:tcPr>
          <w:p w14:paraId="2F47E39B" w14:textId="4CDB85CB" w:rsidR="00401546" w:rsidRPr="00A9330B" w:rsidRDefault="00401546" w:rsidP="0051077A">
            <w:pPr>
              <w:spacing w:before="60"/>
              <w:rPr>
                <w:rFonts w:cs="Arial"/>
                <w:sz w:val="18"/>
                <w:szCs w:val="18"/>
              </w:rPr>
            </w:pPr>
            <w:r w:rsidRPr="00A9330B">
              <w:rPr>
                <w:rFonts w:cs="Arial"/>
                <w:sz w:val="18"/>
                <w:szCs w:val="18"/>
              </w:rPr>
              <w:lastRenderedPageBreak/>
              <w:t>Libération des emprises (abattage des arbres</w:t>
            </w:r>
            <w:r w:rsidR="00B84FE3" w:rsidRPr="00A9330B">
              <w:rPr>
                <w:rFonts w:cs="Arial"/>
                <w:sz w:val="18"/>
                <w:szCs w:val="18"/>
              </w:rPr>
              <w:t>, démolition, etc</w:t>
            </w:r>
            <w:r w:rsidR="004359C3" w:rsidRPr="00A9330B">
              <w:rPr>
                <w:rFonts w:cs="Arial"/>
                <w:sz w:val="18"/>
                <w:szCs w:val="18"/>
              </w:rPr>
              <w:t>.</w:t>
            </w:r>
            <w:r w:rsidRPr="00A9330B">
              <w:rPr>
                <w:rFonts w:cs="Arial"/>
                <w:sz w:val="18"/>
                <w:szCs w:val="18"/>
              </w:rPr>
              <w:t>)</w:t>
            </w:r>
          </w:p>
        </w:tc>
        <w:tc>
          <w:tcPr>
            <w:tcW w:w="2731" w:type="dxa"/>
          </w:tcPr>
          <w:p w14:paraId="73F372CB" w14:textId="36526EBC" w:rsidR="00401546" w:rsidRPr="00A9330B" w:rsidRDefault="004359C3" w:rsidP="000F7BA7">
            <w:pPr>
              <w:spacing w:before="60"/>
              <w:jc w:val="both"/>
              <w:rPr>
                <w:rFonts w:cs="Arial"/>
                <w:sz w:val="18"/>
                <w:szCs w:val="18"/>
              </w:rPr>
            </w:pPr>
            <w:r w:rsidRPr="00A9330B">
              <w:rPr>
                <w:rFonts w:cs="Arial"/>
                <w:sz w:val="18"/>
                <w:szCs w:val="18"/>
              </w:rPr>
              <w:t xml:space="preserve">Disponibilité </w:t>
            </w:r>
            <w:r w:rsidR="00401546" w:rsidRPr="00A9330B">
              <w:rPr>
                <w:rFonts w:cs="Arial"/>
                <w:sz w:val="18"/>
                <w:szCs w:val="18"/>
              </w:rPr>
              <w:t>de bois de feu et de bois d’œuvre</w:t>
            </w:r>
          </w:p>
          <w:p w14:paraId="56F2BF0F" w14:textId="77777777" w:rsidR="00B84FE3" w:rsidRPr="00A9330B" w:rsidRDefault="00401546" w:rsidP="000F7BA7">
            <w:pPr>
              <w:spacing w:before="60"/>
              <w:jc w:val="both"/>
              <w:rPr>
                <w:rFonts w:cs="Arial"/>
                <w:sz w:val="18"/>
                <w:szCs w:val="18"/>
              </w:rPr>
            </w:pPr>
            <w:r w:rsidRPr="00A9330B">
              <w:rPr>
                <w:rFonts w:cs="Arial"/>
                <w:sz w:val="18"/>
                <w:szCs w:val="18"/>
              </w:rPr>
              <w:t>Création de revenus</w:t>
            </w:r>
          </w:p>
          <w:p w14:paraId="0C5216E6" w14:textId="77777777" w:rsidR="004359C3" w:rsidRPr="00A9330B" w:rsidRDefault="00B84FE3" w:rsidP="000F7BA7">
            <w:pPr>
              <w:spacing w:before="60"/>
              <w:jc w:val="both"/>
              <w:rPr>
                <w:rFonts w:cs="Arial"/>
                <w:sz w:val="18"/>
                <w:szCs w:val="18"/>
              </w:rPr>
            </w:pPr>
            <w:r w:rsidRPr="00A9330B">
              <w:rPr>
                <w:rFonts w:cs="Arial"/>
                <w:sz w:val="18"/>
                <w:szCs w:val="18"/>
              </w:rPr>
              <w:t>Création d’emplois temporaires</w:t>
            </w:r>
          </w:p>
          <w:p w14:paraId="7A93A360" w14:textId="77777777" w:rsidR="00401546" w:rsidRPr="00A9330B" w:rsidRDefault="004359C3" w:rsidP="000F7BA7">
            <w:pPr>
              <w:spacing w:before="60"/>
              <w:jc w:val="both"/>
              <w:rPr>
                <w:rFonts w:cs="Arial"/>
                <w:sz w:val="18"/>
                <w:szCs w:val="18"/>
              </w:rPr>
            </w:pPr>
            <w:r w:rsidRPr="00A9330B">
              <w:rPr>
                <w:rFonts w:cs="Arial"/>
                <w:sz w:val="18"/>
                <w:szCs w:val="18"/>
              </w:rPr>
              <w:t>Création d’emplois temporaires pour les ouvriers et techniciens</w:t>
            </w:r>
          </w:p>
          <w:p w14:paraId="5D87CC82" w14:textId="4E6B0460" w:rsidR="00430D7D" w:rsidRPr="00A9330B" w:rsidRDefault="00430D7D" w:rsidP="000F7BA7">
            <w:pPr>
              <w:spacing w:before="60"/>
              <w:jc w:val="both"/>
              <w:rPr>
                <w:rFonts w:cs="Arial"/>
                <w:sz w:val="18"/>
                <w:szCs w:val="18"/>
              </w:rPr>
            </w:pPr>
          </w:p>
        </w:tc>
        <w:tc>
          <w:tcPr>
            <w:tcW w:w="4158" w:type="dxa"/>
          </w:tcPr>
          <w:p w14:paraId="3DBD6D52" w14:textId="68EF4DFF" w:rsidR="0051077A" w:rsidRPr="00A9330B" w:rsidRDefault="00401546" w:rsidP="000F7BA7">
            <w:pPr>
              <w:spacing w:before="60"/>
              <w:jc w:val="both"/>
              <w:rPr>
                <w:rFonts w:cs="Arial"/>
                <w:sz w:val="18"/>
                <w:szCs w:val="18"/>
              </w:rPr>
            </w:pPr>
            <w:r w:rsidRPr="00A9330B">
              <w:rPr>
                <w:rFonts w:cs="Arial"/>
                <w:sz w:val="18"/>
                <w:szCs w:val="18"/>
              </w:rPr>
              <w:t>La l</w:t>
            </w:r>
            <w:r w:rsidR="00525E29" w:rsidRPr="00A9330B">
              <w:rPr>
                <w:rFonts w:cs="Arial"/>
                <w:sz w:val="18"/>
                <w:szCs w:val="18"/>
              </w:rPr>
              <w:t>ibération des emprises implique</w:t>
            </w:r>
            <w:r w:rsidRPr="00A9330B">
              <w:rPr>
                <w:rFonts w:cs="Arial"/>
                <w:sz w:val="18"/>
                <w:szCs w:val="18"/>
              </w:rPr>
              <w:t xml:space="preserve"> l’abattage des arbres qui sont affectés par le projet. Si la commune et les quartiers sont bien organisés, les produits d’abattage seront mis à la disposition de la population pour en tirer profit</w:t>
            </w:r>
          </w:p>
          <w:p w14:paraId="2717B151" w14:textId="77777777" w:rsidR="0051077A" w:rsidRPr="00A9330B" w:rsidRDefault="0051077A" w:rsidP="000F7BA7">
            <w:pPr>
              <w:spacing w:before="60"/>
              <w:jc w:val="both"/>
              <w:rPr>
                <w:rFonts w:cs="Arial"/>
                <w:sz w:val="18"/>
                <w:szCs w:val="18"/>
              </w:rPr>
            </w:pPr>
          </w:p>
        </w:tc>
      </w:tr>
      <w:tr w:rsidR="008120E6" w:rsidRPr="00A9330B" w14:paraId="29733023" w14:textId="77777777" w:rsidTr="00BD13FE">
        <w:tc>
          <w:tcPr>
            <w:tcW w:w="2173" w:type="dxa"/>
          </w:tcPr>
          <w:p w14:paraId="4E27F652" w14:textId="77777777" w:rsidR="008120E6" w:rsidRPr="00A9330B" w:rsidRDefault="008120E6" w:rsidP="0051077A">
            <w:pPr>
              <w:spacing w:before="60"/>
              <w:rPr>
                <w:rFonts w:cs="Arial"/>
                <w:sz w:val="18"/>
                <w:szCs w:val="18"/>
              </w:rPr>
            </w:pPr>
          </w:p>
        </w:tc>
        <w:tc>
          <w:tcPr>
            <w:tcW w:w="6889" w:type="dxa"/>
            <w:gridSpan w:val="2"/>
            <w:shd w:val="clear" w:color="auto" w:fill="F7CAAC" w:themeFill="accent2" w:themeFillTint="66"/>
          </w:tcPr>
          <w:p w14:paraId="19428EF6" w14:textId="209A0888" w:rsidR="008120E6" w:rsidRPr="00A9330B" w:rsidRDefault="00525E29" w:rsidP="008120E6">
            <w:pPr>
              <w:spacing w:before="60"/>
              <w:rPr>
                <w:rFonts w:cs="Arial"/>
                <w:b/>
                <w:i/>
                <w:sz w:val="18"/>
                <w:szCs w:val="18"/>
              </w:rPr>
            </w:pPr>
            <w:r w:rsidRPr="00A9330B">
              <w:rPr>
                <w:rFonts w:cs="Arial"/>
                <w:b/>
                <w:i/>
                <w:sz w:val="18"/>
                <w:szCs w:val="18"/>
              </w:rPr>
              <w:t xml:space="preserve">PHASE DES AMENAGEMENTS / CONSTRUCTION </w:t>
            </w:r>
          </w:p>
        </w:tc>
      </w:tr>
      <w:tr w:rsidR="008120E6" w:rsidRPr="00A9330B" w14:paraId="7EF15262" w14:textId="77777777" w:rsidTr="00BD13FE">
        <w:tc>
          <w:tcPr>
            <w:tcW w:w="2173" w:type="dxa"/>
          </w:tcPr>
          <w:p w14:paraId="43534E99" w14:textId="69362D27" w:rsidR="00EA06B1" w:rsidRPr="00A9330B" w:rsidRDefault="00525E29" w:rsidP="00CF424F">
            <w:pPr>
              <w:spacing w:before="60"/>
              <w:rPr>
                <w:rFonts w:cs="Arial"/>
                <w:sz w:val="18"/>
                <w:szCs w:val="18"/>
              </w:rPr>
            </w:pPr>
            <w:r w:rsidRPr="00A9330B">
              <w:rPr>
                <w:rFonts w:cs="Arial"/>
                <w:sz w:val="18"/>
                <w:szCs w:val="18"/>
              </w:rPr>
              <w:t xml:space="preserve">Signalisation </w:t>
            </w:r>
          </w:p>
        </w:tc>
        <w:tc>
          <w:tcPr>
            <w:tcW w:w="2731" w:type="dxa"/>
          </w:tcPr>
          <w:p w14:paraId="6DFB1ADF" w14:textId="77777777" w:rsidR="008120E6" w:rsidRPr="00A9330B" w:rsidRDefault="008120E6" w:rsidP="008120E6">
            <w:pPr>
              <w:spacing w:before="60"/>
              <w:rPr>
                <w:rFonts w:cs="Arial"/>
                <w:sz w:val="18"/>
                <w:szCs w:val="18"/>
              </w:rPr>
            </w:pPr>
          </w:p>
        </w:tc>
        <w:tc>
          <w:tcPr>
            <w:tcW w:w="4158" w:type="dxa"/>
          </w:tcPr>
          <w:p w14:paraId="5542CE4D" w14:textId="562CDEF7" w:rsidR="008120E6" w:rsidRPr="00A9330B" w:rsidRDefault="008120E6" w:rsidP="00CF424F">
            <w:pPr>
              <w:spacing w:before="60"/>
              <w:rPr>
                <w:rFonts w:cs="Arial"/>
                <w:sz w:val="18"/>
                <w:szCs w:val="18"/>
              </w:rPr>
            </w:pPr>
          </w:p>
        </w:tc>
      </w:tr>
      <w:tr w:rsidR="00525E29" w:rsidRPr="00A9330B" w14:paraId="1225E687" w14:textId="77777777" w:rsidTr="00BD13FE">
        <w:tc>
          <w:tcPr>
            <w:tcW w:w="2173" w:type="dxa"/>
          </w:tcPr>
          <w:p w14:paraId="13A3527B" w14:textId="77777777" w:rsidR="00525E29" w:rsidRPr="00A9330B" w:rsidRDefault="00525E29" w:rsidP="00525E29">
            <w:pPr>
              <w:spacing w:before="60"/>
              <w:rPr>
                <w:rFonts w:cs="Arial"/>
                <w:sz w:val="18"/>
                <w:szCs w:val="18"/>
              </w:rPr>
            </w:pPr>
            <w:r w:rsidRPr="00A9330B">
              <w:rPr>
                <w:rFonts w:cs="Arial"/>
                <w:sz w:val="18"/>
                <w:szCs w:val="18"/>
              </w:rPr>
              <w:t>Transport et circulation (approvisionnement de matériaux, déplacements des engins, transport du personnel de chantier) </w:t>
            </w:r>
          </w:p>
          <w:p w14:paraId="44139176" w14:textId="6DCE90EF" w:rsidR="00525E29" w:rsidRPr="00A9330B" w:rsidRDefault="00525E29" w:rsidP="00525E29">
            <w:pPr>
              <w:spacing w:before="60"/>
              <w:rPr>
                <w:rFonts w:cs="Arial"/>
                <w:sz w:val="18"/>
                <w:szCs w:val="18"/>
              </w:rPr>
            </w:pPr>
            <w:r w:rsidRPr="00A9330B">
              <w:rPr>
                <w:rFonts w:cs="Arial"/>
                <w:sz w:val="18"/>
                <w:szCs w:val="18"/>
              </w:rPr>
              <w:t xml:space="preserve">Construction des ouvrages (chaussée, caniveaux, collecteurs,.)  </w:t>
            </w:r>
          </w:p>
          <w:p w14:paraId="6F38E10C" w14:textId="3DC0223A" w:rsidR="00525E29" w:rsidRPr="00A9330B" w:rsidRDefault="00525E29" w:rsidP="00525E29">
            <w:pPr>
              <w:spacing w:before="60"/>
              <w:rPr>
                <w:rFonts w:cs="Arial"/>
                <w:sz w:val="18"/>
                <w:szCs w:val="18"/>
              </w:rPr>
            </w:pPr>
            <w:r w:rsidRPr="00A9330B">
              <w:rPr>
                <w:rFonts w:cs="Arial"/>
                <w:sz w:val="18"/>
                <w:szCs w:val="18"/>
              </w:rPr>
              <w:t xml:space="preserve">Fournitures et pause des équipements </w:t>
            </w:r>
          </w:p>
        </w:tc>
        <w:tc>
          <w:tcPr>
            <w:tcW w:w="2731" w:type="dxa"/>
          </w:tcPr>
          <w:p w14:paraId="0EEDD40E" w14:textId="77777777" w:rsidR="00525E29" w:rsidRPr="00A9330B" w:rsidRDefault="00525E29" w:rsidP="000F7BA7">
            <w:pPr>
              <w:jc w:val="both"/>
              <w:rPr>
                <w:rFonts w:cs="Arial"/>
                <w:sz w:val="18"/>
                <w:szCs w:val="18"/>
              </w:rPr>
            </w:pPr>
            <w:r w:rsidRPr="00A9330B">
              <w:rPr>
                <w:rFonts w:cs="Arial"/>
                <w:sz w:val="18"/>
                <w:szCs w:val="18"/>
              </w:rPr>
              <w:t>Création d’emploi dû aux travaux (réalisation et suivi)</w:t>
            </w:r>
          </w:p>
          <w:p w14:paraId="54ECCD6A" w14:textId="77777777" w:rsidR="00525E29" w:rsidRPr="00A9330B" w:rsidRDefault="00525E29" w:rsidP="000F7BA7">
            <w:pPr>
              <w:jc w:val="both"/>
              <w:rPr>
                <w:rFonts w:cs="Arial"/>
                <w:sz w:val="18"/>
                <w:szCs w:val="18"/>
              </w:rPr>
            </w:pPr>
            <w:r w:rsidRPr="00A9330B">
              <w:rPr>
                <w:rFonts w:cs="Arial"/>
                <w:sz w:val="18"/>
                <w:szCs w:val="18"/>
              </w:rPr>
              <w:t xml:space="preserve">Création d’opportunités économiques pour les prestataires </w:t>
            </w:r>
          </w:p>
          <w:p w14:paraId="741E7122" w14:textId="77777777" w:rsidR="00525E29" w:rsidRPr="00A9330B" w:rsidRDefault="00525E29" w:rsidP="00525E29">
            <w:pPr>
              <w:rPr>
                <w:rFonts w:cs="Arial"/>
                <w:sz w:val="18"/>
                <w:szCs w:val="18"/>
              </w:rPr>
            </w:pPr>
          </w:p>
        </w:tc>
        <w:tc>
          <w:tcPr>
            <w:tcW w:w="4158" w:type="dxa"/>
          </w:tcPr>
          <w:p w14:paraId="1B913B6B" w14:textId="77777777" w:rsidR="00525E29" w:rsidRPr="00A9330B" w:rsidRDefault="00525E29" w:rsidP="000F7BA7">
            <w:pPr>
              <w:jc w:val="both"/>
              <w:rPr>
                <w:rFonts w:cs="Arial"/>
                <w:sz w:val="18"/>
                <w:szCs w:val="18"/>
              </w:rPr>
            </w:pPr>
            <w:r w:rsidRPr="00A9330B">
              <w:rPr>
                <w:rFonts w:cs="Arial"/>
                <w:sz w:val="18"/>
                <w:szCs w:val="18"/>
              </w:rPr>
              <w:t>La réalisation du projet permettra la création d'emplois durant la phase de construction, et induira une augmentation du revenu contribuant ainsi à la lutte contre la pauvreté.</w:t>
            </w:r>
          </w:p>
          <w:p w14:paraId="4EE71538" w14:textId="5722F61A" w:rsidR="00525E29" w:rsidRPr="00A9330B" w:rsidRDefault="00525E29" w:rsidP="000F7BA7">
            <w:pPr>
              <w:jc w:val="both"/>
              <w:rPr>
                <w:rFonts w:cs="Arial"/>
                <w:sz w:val="18"/>
                <w:szCs w:val="18"/>
              </w:rPr>
            </w:pPr>
            <w:r w:rsidRPr="00A9330B">
              <w:rPr>
                <w:rFonts w:cs="Arial"/>
                <w:sz w:val="18"/>
                <w:szCs w:val="18"/>
              </w:rPr>
              <w:t xml:space="preserve">Les opérateurs économiques et les prestataires de service auront des opportunités d’affaires à travers les approvisionnements en matériaux, la sous-traitance, la location des engins et équipements, les achats du matériel, etc, </w:t>
            </w:r>
          </w:p>
        </w:tc>
      </w:tr>
      <w:tr w:rsidR="00525E29" w:rsidRPr="00A9330B" w14:paraId="2B5B0C6C" w14:textId="77777777" w:rsidTr="00BD13FE">
        <w:tc>
          <w:tcPr>
            <w:tcW w:w="2173" w:type="dxa"/>
          </w:tcPr>
          <w:p w14:paraId="63510ECB" w14:textId="77777777" w:rsidR="00525E29" w:rsidRPr="00A9330B" w:rsidRDefault="00525E29" w:rsidP="00525E29">
            <w:pPr>
              <w:spacing w:before="60"/>
              <w:rPr>
                <w:rFonts w:cs="Arial"/>
                <w:sz w:val="18"/>
                <w:szCs w:val="18"/>
              </w:rPr>
            </w:pPr>
          </w:p>
        </w:tc>
        <w:tc>
          <w:tcPr>
            <w:tcW w:w="6889" w:type="dxa"/>
            <w:gridSpan w:val="2"/>
            <w:shd w:val="clear" w:color="auto" w:fill="F7CAAC" w:themeFill="accent2" w:themeFillTint="66"/>
          </w:tcPr>
          <w:p w14:paraId="37B16421" w14:textId="7583D6EC" w:rsidR="00525E29" w:rsidRPr="00A9330B" w:rsidRDefault="00525E29" w:rsidP="000F7BA7">
            <w:pPr>
              <w:spacing w:before="60"/>
              <w:jc w:val="both"/>
              <w:rPr>
                <w:rFonts w:cs="Arial"/>
                <w:b/>
                <w:sz w:val="18"/>
                <w:szCs w:val="18"/>
              </w:rPr>
            </w:pPr>
            <w:r w:rsidRPr="00A9330B">
              <w:rPr>
                <w:rFonts w:cs="Arial"/>
                <w:b/>
                <w:sz w:val="18"/>
                <w:szCs w:val="18"/>
              </w:rPr>
              <w:t xml:space="preserve">PHASE D’EXPLOITATION </w:t>
            </w:r>
          </w:p>
        </w:tc>
      </w:tr>
      <w:tr w:rsidR="005B72AA" w:rsidRPr="00A9330B" w14:paraId="22BD4B60" w14:textId="77777777" w:rsidTr="00BD13FE">
        <w:trPr>
          <w:trHeight w:val="1831"/>
        </w:trPr>
        <w:tc>
          <w:tcPr>
            <w:tcW w:w="2173" w:type="dxa"/>
            <w:vMerge w:val="restart"/>
          </w:tcPr>
          <w:p w14:paraId="19BBE367" w14:textId="77777777" w:rsidR="005B72AA" w:rsidRPr="00A9330B" w:rsidRDefault="005B72AA" w:rsidP="00525E29">
            <w:pPr>
              <w:spacing w:before="60"/>
              <w:rPr>
                <w:rFonts w:cs="Arial"/>
                <w:sz w:val="18"/>
                <w:szCs w:val="18"/>
              </w:rPr>
            </w:pPr>
            <w:r w:rsidRPr="00A9330B">
              <w:rPr>
                <w:rFonts w:cs="Arial"/>
                <w:sz w:val="18"/>
                <w:szCs w:val="18"/>
              </w:rPr>
              <w:t xml:space="preserve">Mise en service des collecteurs et des rues aménagées </w:t>
            </w:r>
          </w:p>
          <w:p w14:paraId="316BFB2C" w14:textId="6F02CE12" w:rsidR="005B72AA" w:rsidRPr="00A9330B" w:rsidRDefault="005B72AA" w:rsidP="00525E29">
            <w:pPr>
              <w:spacing w:before="60"/>
              <w:rPr>
                <w:rFonts w:cs="Arial"/>
                <w:sz w:val="18"/>
                <w:szCs w:val="18"/>
              </w:rPr>
            </w:pPr>
            <w:r w:rsidRPr="00A9330B">
              <w:rPr>
                <w:rFonts w:cs="Arial"/>
                <w:sz w:val="18"/>
                <w:szCs w:val="18"/>
              </w:rPr>
              <w:t>Entretien périodique</w:t>
            </w:r>
          </w:p>
          <w:p w14:paraId="59A87136" w14:textId="6BDBAC72" w:rsidR="005B72AA" w:rsidRPr="00A9330B" w:rsidRDefault="005B72AA" w:rsidP="00525E29">
            <w:pPr>
              <w:spacing w:before="60"/>
              <w:rPr>
                <w:rFonts w:cs="Arial"/>
                <w:sz w:val="18"/>
                <w:szCs w:val="18"/>
              </w:rPr>
            </w:pPr>
            <w:r w:rsidRPr="00A9330B">
              <w:rPr>
                <w:rFonts w:cs="Arial"/>
                <w:sz w:val="18"/>
                <w:szCs w:val="18"/>
              </w:rPr>
              <w:t xml:space="preserve">Réparation des dommages </w:t>
            </w:r>
          </w:p>
          <w:p w14:paraId="5EF85B2E" w14:textId="7FBECA40" w:rsidR="005B72AA" w:rsidRPr="00A9330B" w:rsidRDefault="005B72AA" w:rsidP="00525E29">
            <w:pPr>
              <w:spacing w:before="60"/>
              <w:rPr>
                <w:rFonts w:cs="Arial"/>
                <w:sz w:val="18"/>
                <w:szCs w:val="18"/>
              </w:rPr>
            </w:pPr>
            <w:r w:rsidRPr="00A9330B">
              <w:rPr>
                <w:rFonts w:cs="Arial"/>
                <w:sz w:val="18"/>
                <w:szCs w:val="18"/>
              </w:rPr>
              <w:t>désherbage des bordures</w:t>
            </w:r>
          </w:p>
        </w:tc>
        <w:tc>
          <w:tcPr>
            <w:tcW w:w="2731" w:type="dxa"/>
          </w:tcPr>
          <w:p w14:paraId="3ACF6BF7" w14:textId="77777777" w:rsidR="005B72AA" w:rsidRPr="00A9330B" w:rsidRDefault="005B72AA" w:rsidP="00525E29">
            <w:pPr>
              <w:rPr>
                <w:rFonts w:cs="Arial"/>
                <w:sz w:val="18"/>
                <w:szCs w:val="18"/>
              </w:rPr>
            </w:pPr>
            <w:r w:rsidRPr="00A9330B">
              <w:rPr>
                <w:rFonts w:cs="Arial"/>
                <w:sz w:val="18"/>
                <w:szCs w:val="18"/>
              </w:rPr>
              <w:t xml:space="preserve">Mobilité urbaine </w:t>
            </w:r>
          </w:p>
          <w:p w14:paraId="3559563A" w14:textId="77777777" w:rsidR="005B72AA" w:rsidRPr="00A9330B" w:rsidRDefault="005B72AA" w:rsidP="00525E29">
            <w:pPr>
              <w:spacing w:before="60"/>
              <w:rPr>
                <w:rFonts w:cs="Arial"/>
                <w:sz w:val="18"/>
                <w:szCs w:val="18"/>
              </w:rPr>
            </w:pPr>
          </w:p>
        </w:tc>
        <w:tc>
          <w:tcPr>
            <w:tcW w:w="4158" w:type="dxa"/>
          </w:tcPr>
          <w:p w14:paraId="3F4DB248" w14:textId="426DBD52" w:rsidR="005B72AA" w:rsidRPr="00A9330B" w:rsidRDefault="005B72AA" w:rsidP="000F7BA7">
            <w:pPr>
              <w:jc w:val="both"/>
              <w:rPr>
                <w:rFonts w:cs="Arial"/>
                <w:sz w:val="18"/>
                <w:szCs w:val="18"/>
              </w:rPr>
            </w:pPr>
            <w:r w:rsidRPr="00A9330B">
              <w:rPr>
                <w:rFonts w:cs="Arial"/>
                <w:sz w:val="18"/>
                <w:szCs w:val="18"/>
              </w:rPr>
              <w:t>En effet, en offrant un réseau d’infrastructures développé et en bon état et des services de transport performants et compétitifs, on aboutit à la réduction des coûts, le bon approvisionnement des marchés et le développement des activités économiques, l’accès aux ressources, le confort dans la circulation,  etc.</w:t>
            </w:r>
          </w:p>
        </w:tc>
      </w:tr>
      <w:tr w:rsidR="005B72AA" w:rsidRPr="00A9330B" w14:paraId="788B5D16" w14:textId="77777777" w:rsidTr="00BD13FE">
        <w:trPr>
          <w:trHeight w:val="2289"/>
        </w:trPr>
        <w:tc>
          <w:tcPr>
            <w:tcW w:w="2173" w:type="dxa"/>
            <w:vMerge/>
          </w:tcPr>
          <w:p w14:paraId="73574AF5" w14:textId="77777777" w:rsidR="005B72AA" w:rsidRPr="00A9330B" w:rsidRDefault="005B72AA" w:rsidP="00525E29">
            <w:pPr>
              <w:spacing w:before="60"/>
              <w:rPr>
                <w:rFonts w:cs="Arial"/>
                <w:sz w:val="18"/>
                <w:szCs w:val="18"/>
              </w:rPr>
            </w:pPr>
          </w:p>
        </w:tc>
        <w:tc>
          <w:tcPr>
            <w:tcW w:w="2731" w:type="dxa"/>
          </w:tcPr>
          <w:p w14:paraId="68018679" w14:textId="77777777" w:rsidR="005B72AA" w:rsidRPr="00A9330B" w:rsidRDefault="005B72AA" w:rsidP="00525E29">
            <w:pPr>
              <w:rPr>
                <w:rFonts w:cs="Arial"/>
                <w:sz w:val="18"/>
                <w:szCs w:val="18"/>
              </w:rPr>
            </w:pPr>
            <w:r w:rsidRPr="00A9330B">
              <w:rPr>
                <w:rFonts w:cs="Arial"/>
                <w:sz w:val="18"/>
                <w:szCs w:val="18"/>
              </w:rPr>
              <w:t>Création d’emploi dû aux travaux</w:t>
            </w:r>
          </w:p>
          <w:p w14:paraId="1D90C90B" w14:textId="77777777" w:rsidR="005B72AA" w:rsidRPr="00A9330B" w:rsidRDefault="005B72AA" w:rsidP="00525E29">
            <w:pPr>
              <w:rPr>
                <w:rFonts w:cs="Arial"/>
                <w:sz w:val="18"/>
                <w:szCs w:val="18"/>
              </w:rPr>
            </w:pPr>
            <w:r w:rsidRPr="00A9330B">
              <w:rPr>
                <w:rFonts w:cs="Arial"/>
                <w:sz w:val="18"/>
                <w:szCs w:val="18"/>
              </w:rPr>
              <w:t xml:space="preserve">Création d’opportunités économiques pour les prestataires </w:t>
            </w:r>
          </w:p>
          <w:p w14:paraId="76E398C1" w14:textId="77777777" w:rsidR="005B72AA" w:rsidRPr="00A9330B" w:rsidRDefault="005B72AA" w:rsidP="00525E29">
            <w:pPr>
              <w:rPr>
                <w:rFonts w:cs="Arial"/>
                <w:sz w:val="18"/>
                <w:szCs w:val="18"/>
              </w:rPr>
            </w:pPr>
          </w:p>
        </w:tc>
        <w:tc>
          <w:tcPr>
            <w:tcW w:w="4158" w:type="dxa"/>
          </w:tcPr>
          <w:p w14:paraId="567D72DA" w14:textId="77777777" w:rsidR="005B72AA" w:rsidRPr="00A9330B" w:rsidRDefault="005B72AA" w:rsidP="000F7BA7">
            <w:pPr>
              <w:jc w:val="both"/>
              <w:rPr>
                <w:rFonts w:cs="Arial"/>
                <w:sz w:val="18"/>
                <w:szCs w:val="18"/>
              </w:rPr>
            </w:pPr>
            <w:r w:rsidRPr="00A9330B">
              <w:rPr>
                <w:rFonts w:cs="Arial"/>
                <w:sz w:val="18"/>
                <w:szCs w:val="18"/>
              </w:rPr>
              <w:t>La réalisation du projet permettra la création d'emplois durant la phase de construction, et induira une augmentation du revenu contribuant ainsi à la lutte contre la pauvreté.</w:t>
            </w:r>
          </w:p>
          <w:p w14:paraId="146818C8" w14:textId="65AD31AE" w:rsidR="005B72AA" w:rsidRPr="00A9330B" w:rsidRDefault="005B72AA" w:rsidP="000F7BA7">
            <w:pPr>
              <w:jc w:val="both"/>
              <w:rPr>
                <w:rFonts w:cs="Arial"/>
                <w:sz w:val="18"/>
                <w:szCs w:val="18"/>
              </w:rPr>
            </w:pPr>
            <w:r w:rsidRPr="00A9330B">
              <w:rPr>
                <w:rFonts w:cs="Arial"/>
                <w:sz w:val="18"/>
                <w:szCs w:val="18"/>
              </w:rPr>
              <w:t xml:space="preserve">Les opérateurs économiques et les prestataires de service auront des opportunités d’affaires à travers les approvisionnements en matériaux et équipements, la sous-traitance, la location des engins et équipements, les achats du matériel, etc, </w:t>
            </w:r>
          </w:p>
        </w:tc>
      </w:tr>
      <w:tr w:rsidR="005B72AA" w:rsidRPr="00A9330B" w14:paraId="6712C66E" w14:textId="77777777" w:rsidTr="00BD13FE">
        <w:tc>
          <w:tcPr>
            <w:tcW w:w="2173" w:type="dxa"/>
            <w:vMerge/>
          </w:tcPr>
          <w:p w14:paraId="317C663E" w14:textId="77777777" w:rsidR="005B72AA" w:rsidRPr="00A9330B" w:rsidRDefault="005B72AA" w:rsidP="00525E29">
            <w:pPr>
              <w:spacing w:before="60"/>
              <w:rPr>
                <w:rFonts w:cs="Arial"/>
                <w:sz w:val="18"/>
                <w:szCs w:val="18"/>
              </w:rPr>
            </w:pPr>
          </w:p>
        </w:tc>
        <w:tc>
          <w:tcPr>
            <w:tcW w:w="2731" w:type="dxa"/>
          </w:tcPr>
          <w:p w14:paraId="0C6B2075" w14:textId="77777777" w:rsidR="005B72AA" w:rsidRPr="00A9330B" w:rsidRDefault="005B72AA" w:rsidP="00525E29">
            <w:pPr>
              <w:spacing w:before="60"/>
              <w:rPr>
                <w:rFonts w:cs="Arial"/>
                <w:sz w:val="18"/>
                <w:szCs w:val="18"/>
              </w:rPr>
            </w:pPr>
            <w:r w:rsidRPr="00A9330B">
              <w:rPr>
                <w:rFonts w:cs="Arial"/>
                <w:sz w:val="18"/>
                <w:szCs w:val="18"/>
              </w:rPr>
              <w:t>Amélioration de l’accessibilité</w:t>
            </w:r>
          </w:p>
          <w:p w14:paraId="04C8EA5F" w14:textId="77777777" w:rsidR="005B72AA" w:rsidRPr="00A9330B" w:rsidRDefault="005B72AA" w:rsidP="00525E29">
            <w:pPr>
              <w:spacing w:before="60"/>
              <w:rPr>
                <w:rFonts w:cs="Arial"/>
                <w:sz w:val="18"/>
                <w:szCs w:val="18"/>
              </w:rPr>
            </w:pPr>
          </w:p>
        </w:tc>
        <w:tc>
          <w:tcPr>
            <w:tcW w:w="4158" w:type="dxa"/>
          </w:tcPr>
          <w:p w14:paraId="2AD3E507" w14:textId="77777777" w:rsidR="005B72AA" w:rsidRPr="00A9330B" w:rsidRDefault="005B72AA" w:rsidP="000F7BA7">
            <w:pPr>
              <w:spacing w:before="60"/>
              <w:jc w:val="both"/>
              <w:rPr>
                <w:rFonts w:cs="Arial"/>
                <w:sz w:val="18"/>
                <w:szCs w:val="18"/>
              </w:rPr>
            </w:pPr>
            <w:r w:rsidRPr="00A9330B">
              <w:rPr>
                <w:rFonts w:cs="Arial"/>
                <w:sz w:val="18"/>
                <w:szCs w:val="18"/>
              </w:rPr>
              <w:t xml:space="preserve">L’amélioration de l’accessibilité est effective notamment pour l’accès aux équipements scolaires, administratifs et de santé de même que les marchés. </w:t>
            </w:r>
          </w:p>
          <w:p w14:paraId="1E05FEF5" w14:textId="77777777" w:rsidR="005B72AA" w:rsidRPr="00A9330B" w:rsidRDefault="005B72AA" w:rsidP="000F7BA7">
            <w:pPr>
              <w:spacing w:before="60"/>
              <w:jc w:val="both"/>
              <w:rPr>
                <w:rFonts w:cs="Arial"/>
                <w:sz w:val="18"/>
                <w:szCs w:val="18"/>
              </w:rPr>
            </w:pPr>
            <w:r w:rsidRPr="00A9330B">
              <w:rPr>
                <w:rFonts w:cs="Arial"/>
                <w:sz w:val="18"/>
                <w:szCs w:val="18"/>
              </w:rPr>
              <w:t>Sur le plan social, les infrastructures en bon état facilitent l’accès aux services de base.</w:t>
            </w:r>
          </w:p>
        </w:tc>
      </w:tr>
      <w:tr w:rsidR="005B72AA" w:rsidRPr="00A9330B" w14:paraId="368E5F3B" w14:textId="77777777" w:rsidTr="00BD13FE">
        <w:tc>
          <w:tcPr>
            <w:tcW w:w="2173" w:type="dxa"/>
            <w:vMerge/>
          </w:tcPr>
          <w:p w14:paraId="56536A76" w14:textId="77777777" w:rsidR="005B72AA" w:rsidRPr="00A9330B" w:rsidRDefault="005B72AA" w:rsidP="00525E29">
            <w:pPr>
              <w:spacing w:before="60"/>
              <w:rPr>
                <w:rFonts w:cs="Arial"/>
                <w:sz w:val="18"/>
                <w:szCs w:val="18"/>
              </w:rPr>
            </w:pPr>
          </w:p>
        </w:tc>
        <w:tc>
          <w:tcPr>
            <w:tcW w:w="2731" w:type="dxa"/>
          </w:tcPr>
          <w:p w14:paraId="59281E69" w14:textId="77777777" w:rsidR="005B72AA" w:rsidRPr="00A9330B" w:rsidRDefault="005B72AA" w:rsidP="00525E29">
            <w:pPr>
              <w:spacing w:before="60"/>
              <w:rPr>
                <w:rFonts w:cs="Arial"/>
                <w:sz w:val="18"/>
                <w:szCs w:val="18"/>
              </w:rPr>
            </w:pPr>
            <w:r w:rsidRPr="00A9330B">
              <w:rPr>
                <w:rFonts w:cs="Arial"/>
                <w:sz w:val="18"/>
                <w:szCs w:val="18"/>
              </w:rPr>
              <w:t>Le désenclavement des populations </w:t>
            </w:r>
          </w:p>
        </w:tc>
        <w:tc>
          <w:tcPr>
            <w:tcW w:w="4158" w:type="dxa"/>
          </w:tcPr>
          <w:p w14:paraId="73239169" w14:textId="77777777" w:rsidR="005B72AA" w:rsidRPr="00A9330B" w:rsidRDefault="005B72AA" w:rsidP="000F7BA7">
            <w:pPr>
              <w:spacing w:before="60"/>
              <w:jc w:val="both"/>
              <w:rPr>
                <w:rFonts w:cs="Arial"/>
                <w:sz w:val="18"/>
                <w:szCs w:val="18"/>
              </w:rPr>
            </w:pPr>
            <w:r w:rsidRPr="00A9330B">
              <w:rPr>
                <w:rFonts w:cs="Arial"/>
                <w:sz w:val="18"/>
                <w:szCs w:val="18"/>
              </w:rPr>
              <w:t>La réalisation de la route permettra l’amélioration de l’accès aux zones difficiles surtout en saison des pluies, la facilitation des échanges (commerce), l’accès plus facile aux infrastructures sociocommunautaires </w:t>
            </w:r>
          </w:p>
        </w:tc>
      </w:tr>
      <w:tr w:rsidR="005B72AA" w:rsidRPr="00A9330B" w14:paraId="27C98C9F" w14:textId="77777777" w:rsidTr="00BD13FE">
        <w:tc>
          <w:tcPr>
            <w:tcW w:w="2173" w:type="dxa"/>
            <w:vMerge/>
          </w:tcPr>
          <w:p w14:paraId="0EE83E77" w14:textId="77777777" w:rsidR="005B72AA" w:rsidRPr="00A9330B" w:rsidRDefault="005B72AA" w:rsidP="00525E29">
            <w:pPr>
              <w:spacing w:before="60"/>
              <w:rPr>
                <w:rFonts w:cs="Arial"/>
                <w:sz w:val="18"/>
                <w:szCs w:val="18"/>
              </w:rPr>
            </w:pPr>
          </w:p>
        </w:tc>
        <w:tc>
          <w:tcPr>
            <w:tcW w:w="2731" w:type="dxa"/>
          </w:tcPr>
          <w:p w14:paraId="7EB12182" w14:textId="77777777" w:rsidR="005B72AA" w:rsidRPr="00A9330B" w:rsidRDefault="005B72AA" w:rsidP="00525E29">
            <w:pPr>
              <w:spacing w:before="60"/>
              <w:rPr>
                <w:rFonts w:cs="Arial"/>
                <w:sz w:val="18"/>
                <w:szCs w:val="18"/>
              </w:rPr>
            </w:pPr>
            <w:r w:rsidRPr="00A9330B">
              <w:rPr>
                <w:rFonts w:cs="Arial"/>
                <w:sz w:val="18"/>
                <w:szCs w:val="18"/>
              </w:rPr>
              <w:t xml:space="preserve">L’amélioration du trafic </w:t>
            </w:r>
          </w:p>
        </w:tc>
        <w:tc>
          <w:tcPr>
            <w:tcW w:w="4158" w:type="dxa"/>
          </w:tcPr>
          <w:p w14:paraId="6C5F86F6" w14:textId="77777777" w:rsidR="005B72AA" w:rsidRPr="00A9330B" w:rsidRDefault="005B72AA" w:rsidP="000F7BA7">
            <w:pPr>
              <w:spacing w:before="60"/>
              <w:jc w:val="both"/>
              <w:rPr>
                <w:rFonts w:cs="Arial"/>
                <w:sz w:val="18"/>
                <w:szCs w:val="18"/>
              </w:rPr>
            </w:pPr>
            <w:r w:rsidRPr="00A9330B">
              <w:rPr>
                <w:rFonts w:cs="Arial"/>
                <w:sz w:val="18"/>
                <w:szCs w:val="18"/>
              </w:rPr>
              <w:t xml:space="preserve">L’augmentation de la capacité et l’amélioration de la mobilité  et la mise aux normes des rues et ouvrages </w:t>
            </w:r>
          </w:p>
        </w:tc>
      </w:tr>
      <w:tr w:rsidR="005B72AA" w:rsidRPr="00A9330B" w14:paraId="527BE99E" w14:textId="77777777" w:rsidTr="00BD13FE">
        <w:tc>
          <w:tcPr>
            <w:tcW w:w="2173" w:type="dxa"/>
            <w:vMerge/>
          </w:tcPr>
          <w:p w14:paraId="5A2D1C2C" w14:textId="77777777" w:rsidR="005B72AA" w:rsidRPr="00A9330B" w:rsidRDefault="005B72AA" w:rsidP="00525E29">
            <w:pPr>
              <w:spacing w:before="60"/>
              <w:rPr>
                <w:rFonts w:cs="Arial"/>
                <w:sz w:val="18"/>
                <w:szCs w:val="18"/>
              </w:rPr>
            </w:pPr>
          </w:p>
        </w:tc>
        <w:tc>
          <w:tcPr>
            <w:tcW w:w="2731" w:type="dxa"/>
          </w:tcPr>
          <w:p w14:paraId="0F9E979C" w14:textId="0CE4D227" w:rsidR="005B72AA" w:rsidRPr="00A9330B" w:rsidRDefault="005B72AA" w:rsidP="00525E29">
            <w:pPr>
              <w:spacing w:before="60"/>
              <w:rPr>
                <w:rFonts w:cs="Arial"/>
                <w:sz w:val="18"/>
                <w:szCs w:val="18"/>
              </w:rPr>
            </w:pPr>
            <w:r w:rsidRPr="00A9330B">
              <w:rPr>
                <w:rFonts w:cs="Arial"/>
                <w:sz w:val="18"/>
                <w:szCs w:val="18"/>
              </w:rPr>
              <w:t xml:space="preserve">La durabilité et la viabilité des rues et leur mise en conformité aux normes de sécurité </w:t>
            </w:r>
          </w:p>
        </w:tc>
        <w:tc>
          <w:tcPr>
            <w:tcW w:w="4158" w:type="dxa"/>
          </w:tcPr>
          <w:p w14:paraId="522AE40F" w14:textId="415ED8B7" w:rsidR="005B72AA" w:rsidRPr="00A9330B" w:rsidRDefault="005B72AA" w:rsidP="000F7BA7">
            <w:pPr>
              <w:spacing w:before="60"/>
              <w:jc w:val="both"/>
              <w:rPr>
                <w:rFonts w:cs="Arial"/>
                <w:sz w:val="18"/>
                <w:szCs w:val="18"/>
              </w:rPr>
            </w:pPr>
            <w:r w:rsidRPr="00A9330B">
              <w:rPr>
                <w:rFonts w:cs="Arial"/>
                <w:sz w:val="18"/>
                <w:szCs w:val="18"/>
              </w:rPr>
              <w:t xml:space="preserve">L’élargissement des rues va permettre de les conformer aux normes admises dans la sous-région et de supporter aisément et en toute sécurité le trafic dans un contexte d’intégration sous régionale </w:t>
            </w:r>
          </w:p>
        </w:tc>
      </w:tr>
      <w:tr w:rsidR="005B72AA" w:rsidRPr="00A9330B" w14:paraId="48214656" w14:textId="77777777" w:rsidTr="00BD13FE">
        <w:tc>
          <w:tcPr>
            <w:tcW w:w="2173" w:type="dxa"/>
            <w:vMerge/>
          </w:tcPr>
          <w:p w14:paraId="22FD750F" w14:textId="77777777" w:rsidR="005B72AA" w:rsidRPr="00A9330B" w:rsidRDefault="005B72AA" w:rsidP="00525E29">
            <w:pPr>
              <w:spacing w:before="60"/>
              <w:rPr>
                <w:rFonts w:cs="Arial"/>
                <w:sz w:val="18"/>
                <w:szCs w:val="18"/>
              </w:rPr>
            </w:pPr>
          </w:p>
        </w:tc>
        <w:tc>
          <w:tcPr>
            <w:tcW w:w="2731" w:type="dxa"/>
          </w:tcPr>
          <w:p w14:paraId="708080BC" w14:textId="6EACC74F" w:rsidR="005B72AA" w:rsidRPr="00A9330B" w:rsidRDefault="005B72AA" w:rsidP="00525E29">
            <w:pPr>
              <w:spacing w:before="60"/>
              <w:rPr>
                <w:rFonts w:cs="Arial"/>
                <w:sz w:val="18"/>
                <w:szCs w:val="18"/>
              </w:rPr>
            </w:pPr>
            <w:r w:rsidRPr="00A9330B">
              <w:rPr>
                <w:rFonts w:cs="Arial"/>
                <w:sz w:val="18"/>
                <w:szCs w:val="18"/>
              </w:rPr>
              <w:t>Amélioration de la sécurité routière</w:t>
            </w:r>
          </w:p>
        </w:tc>
        <w:tc>
          <w:tcPr>
            <w:tcW w:w="4158" w:type="dxa"/>
          </w:tcPr>
          <w:p w14:paraId="756711F0" w14:textId="77777777" w:rsidR="005B72AA" w:rsidRPr="00A9330B" w:rsidRDefault="005B72AA" w:rsidP="000F7BA7">
            <w:pPr>
              <w:spacing w:before="60"/>
              <w:jc w:val="both"/>
              <w:rPr>
                <w:rFonts w:cs="Arial"/>
                <w:sz w:val="18"/>
                <w:szCs w:val="18"/>
              </w:rPr>
            </w:pPr>
            <w:r w:rsidRPr="00A9330B">
              <w:rPr>
                <w:rFonts w:cs="Arial"/>
                <w:sz w:val="18"/>
                <w:szCs w:val="18"/>
              </w:rPr>
              <w:t xml:space="preserve">L’amélioration de la sécurité routière est effective par </w:t>
            </w:r>
          </w:p>
          <w:p w14:paraId="0E28284A" w14:textId="77777777" w:rsidR="005B72AA" w:rsidRPr="00A9330B" w:rsidRDefault="005B72AA" w:rsidP="00BD2F72">
            <w:pPr>
              <w:numPr>
                <w:ilvl w:val="0"/>
                <w:numId w:val="62"/>
              </w:numPr>
              <w:spacing w:before="60" w:line="240" w:lineRule="auto"/>
              <w:ind w:left="357" w:hanging="357"/>
              <w:jc w:val="both"/>
              <w:rPr>
                <w:rFonts w:cs="Arial"/>
                <w:sz w:val="18"/>
                <w:szCs w:val="18"/>
              </w:rPr>
            </w:pPr>
            <w:r w:rsidRPr="00A9330B">
              <w:rPr>
                <w:rFonts w:cs="Arial"/>
                <w:sz w:val="18"/>
                <w:szCs w:val="18"/>
              </w:rPr>
              <w:t>l’amélioration des caractéristiques techniques qui favorisent un bon écoulement du trafic ;</w:t>
            </w:r>
          </w:p>
          <w:p w14:paraId="359E5B5A" w14:textId="77777777" w:rsidR="005B72AA" w:rsidRPr="00A9330B" w:rsidRDefault="005B72AA" w:rsidP="00BD2F72">
            <w:pPr>
              <w:numPr>
                <w:ilvl w:val="0"/>
                <w:numId w:val="62"/>
              </w:numPr>
              <w:spacing w:before="60" w:line="240" w:lineRule="auto"/>
              <w:ind w:left="357" w:hanging="357"/>
              <w:jc w:val="both"/>
              <w:rPr>
                <w:rFonts w:cs="Arial"/>
                <w:sz w:val="18"/>
                <w:szCs w:val="18"/>
              </w:rPr>
            </w:pPr>
            <w:r w:rsidRPr="00A9330B">
              <w:rPr>
                <w:rFonts w:cs="Arial"/>
                <w:sz w:val="18"/>
                <w:szCs w:val="18"/>
              </w:rPr>
              <w:t>la garantie importante de sécurité dans le déplacement des populations ;</w:t>
            </w:r>
          </w:p>
          <w:p w14:paraId="17235594" w14:textId="77777777" w:rsidR="005B72AA" w:rsidRPr="00A9330B" w:rsidRDefault="005B72AA" w:rsidP="00BD2F72">
            <w:pPr>
              <w:numPr>
                <w:ilvl w:val="0"/>
                <w:numId w:val="62"/>
              </w:numPr>
              <w:spacing w:before="60" w:line="240" w:lineRule="auto"/>
              <w:ind w:left="357" w:hanging="357"/>
              <w:jc w:val="both"/>
              <w:rPr>
                <w:rFonts w:cs="Arial"/>
                <w:sz w:val="18"/>
                <w:szCs w:val="18"/>
              </w:rPr>
            </w:pPr>
            <w:r w:rsidRPr="00A9330B">
              <w:rPr>
                <w:rFonts w:cs="Arial"/>
                <w:sz w:val="18"/>
                <w:szCs w:val="18"/>
              </w:rPr>
              <w:t>la mise en place de ralentisseurs et de panneaux de signalisation ;</w:t>
            </w:r>
          </w:p>
          <w:p w14:paraId="43BE749D" w14:textId="77777777" w:rsidR="005B72AA" w:rsidRPr="00A9330B" w:rsidRDefault="005B72AA" w:rsidP="00BD2F72">
            <w:pPr>
              <w:numPr>
                <w:ilvl w:val="0"/>
                <w:numId w:val="62"/>
              </w:numPr>
              <w:spacing w:before="60" w:line="240" w:lineRule="auto"/>
              <w:ind w:left="357" w:hanging="357"/>
              <w:jc w:val="both"/>
              <w:rPr>
                <w:rFonts w:cs="Arial"/>
                <w:sz w:val="18"/>
                <w:szCs w:val="18"/>
              </w:rPr>
            </w:pPr>
            <w:r w:rsidRPr="00A9330B">
              <w:rPr>
                <w:rFonts w:cs="Arial"/>
                <w:sz w:val="18"/>
                <w:szCs w:val="18"/>
              </w:rPr>
              <w:t xml:space="preserve">la mise en place des feux tricolores pour réguler le trafic ; </w:t>
            </w:r>
          </w:p>
          <w:p w14:paraId="0CD7A6A9" w14:textId="7C8C865F" w:rsidR="005B72AA" w:rsidRPr="00A9330B" w:rsidRDefault="005B72AA" w:rsidP="00BD2F72">
            <w:pPr>
              <w:numPr>
                <w:ilvl w:val="0"/>
                <w:numId w:val="62"/>
              </w:numPr>
              <w:spacing w:before="60" w:line="240" w:lineRule="auto"/>
              <w:ind w:left="357" w:hanging="357"/>
              <w:jc w:val="both"/>
              <w:rPr>
                <w:rFonts w:cs="Arial"/>
                <w:sz w:val="18"/>
                <w:szCs w:val="18"/>
              </w:rPr>
            </w:pPr>
            <w:r w:rsidRPr="00A9330B">
              <w:rPr>
                <w:rFonts w:cs="Arial"/>
                <w:sz w:val="18"/>
                <w:szCs w:val="18"/>
              </w:rPr>
              <w:t xml:space="preserve">la mise en place des dispositifs et mesures d’accompagnement pour  garantir la sécurité des populations et des usagers de la route </w:t>
            </w:r>
          </w:p>
        </w:tc>
      </w:tr>
      <w:tr w:rsidR="005B72AA" w:rsidRPr="00A9330B" w14:paraId="09933511" w14:textId="77777777" w:rsidTr="00BD13FE">
        <w:tc>
          <w:tcPr>
            <w:tcW w:w="2173" w:type="dxa"/>
            <w:vMerge/>
          </w:tcPr>
          <w:p w14:paraId="060C3AAF" w14:textId="77777777" w:rsidR="005B72AA" w:rsidRPr="00A9330B" w:rsidRDefault="005B72AA" w:rsidP="00525E29">
            <w:pPr>
              <w:spacing w:before="60"/>
              <w:rPr>
                <w:rFonts w:cs="Arial"/>
                <w:sz w:val="18"/>
                <w:szCs w:val="18"/>
              </w:rPr>
            </w:pPr>
          </w:p>
        </w:tc>
        <w:tc>
          <w:tcPr>
            <w:tcW w:w="2731" w:type="dxa"/>
          </w:tcPr>
          <w:p w14:paraId="4E9D8416" w14:textId="77777777" w:rsidR="005B72AA" w:rsidRPr="00A9330B" w:rsidRDefault="005B72AA" w:rsidP="00525E29">
            <w:pPr>
              <w:spacing w:before="60"/>
              <w:rPr>
                <w:rFonts w:cs="Arial"/>
                <w:sz w:val="18"/>
                <w:szCs w:val="18"/>
              </w:rPr>
            </w:pPr>
            <w:r w:rsidRPr="00A9330B">
              <w:rPr>
                <w:rFonts w:cs="Arial"/>
                <w:sz w:val="18"/>
                <w:szCs w:val="18"/>
              </w:rPr>
              <w:t>Amélioration du confort et du cadre de vie</w:t>
            </w:r>
          </w:p>
          <w:p w14:paraId="0BE120F4" w14:textId="77777777" w:rsidR="005B72AA" w:rsidRPr="00A9330B" w:rsidRDefault="005B72AA" w:rsidP="00525E29">
            <w:pPr>
              <w:spacing w:before="60"/>
              <w:rPr>
                <w:rFonts w:cs="Arial"/>
                <w:sz w:val="18"/>
                <w:szCs w:val="18"/>
              </w:rPr>
            </w:pPr>
          </w:p>
          <w:p w14:paraId="1E33F995" w14:textId="77777777" w:rsidR="005B72AA" w:rsidRPr="00A9330B" w:rsidRDefault="005B72AA" w:rsidP="00525E29">
            <w:pPr>
              <w:spacing w:before="60"/>
              <w:rPr>
                <w:rFonts w:cs="Arial"/>
                <w:sz w:val="18"/>
                <w:szCs w:val="18"/>
              </w:rPr>
            </w:pPr>
          </w:p>
        </w:tc>
        <w:tc>
          <w:tcPr>
            <w:tcW w:w="4158" w:type="dxa"/>
          </w:tcPr>
          <w:p w14:paraId="56B9E5C4" w14:textId="165FE23A" w:rsidR="005B72AA" w:rsidRPr="00A9330B" w:rsidRDefault="005B72AA" w:rsidP="000F7BA7">
            <w:pPr>
              <w:tabs>
                <w:tab w:val="center" w:pos="4536"/>
                <w:tab w:val="right" w:pos="9072"/>
              </w:tabs>
              <w:spacing w:before="60" w:line="240" w:lineRule="auto"/>
              <w:jc w:val="both"/>
              <w:rPr>
                <w:rFonts w:cs="Arial"/>
                <w:sz w:val="18"/>
                <w:szCs w:val="18"/>
              </w:rPr>
            </w:pPr>
            <w:r w:rsidRPr="00A9330B">
              <w:rPr>
                <w:rFonts w:cs="Arial"/>
                <w:sz w:val="18"/>
                <w:szCs w:val="18"/>
              </w:rPr>
              <w:t xml:space="preserve">Outre les effets positifs dans le domaine de la sécurité des usagers et des riverains de la route, le bitumage des routes </w:t>
            </w:r>
            <w:r w:rsidR="007025F6" w:rsidRPr="00A9330B">
              <w:rPr>
                <w:rFonts w:cs="Arial"/>
                <w:sz w:val="18"/>
                <w:szCs w:val="18"/>
              </w:rPr>
              <w:t>permet</w:t>
            </w:r>
            <w:r w:rsidRPr="00A9330B">
              <w:rPr>
                <w:rFonts w:cs="Arial"/>
                <w:sz w:val="18"/>
                <w:szCs w:val="18"/>
              </w:rPr>
              <w:t xml:space="preserve"> de :</w:t>
            </w:r>
          </w:p>
          <w:p w14:paraId="34B061BA" w14:textId="77777777" w:rsidR="005B72AA" w:rsidRPr="00A9330B" w:rsidRDefault="005B72AA" w:rsidP="00BD2F72">
            <w:pPr>
              <w:widowControl w:val="0"/>
              <w:numPr>
                <w:ilvl w:val="0"/>
                <w:numId w:val="63"/>
              </w:numPr>
              <w:tabs>
                <w:tab w:val="center" w:pos="4320"/>
                <w:tab w:val="right" w:pos="8640"/>
              </w:tabs>
              <w:spacing w:before="60" w:line="240" w:lineRule="auto"/>
              <w:ind w:left="357" w:hanging="357"/>
              <w:jc w:val="both"/>
              <w:rPr>
                <w:rFonts w:cs="Arial"/>
                <w:sz w:val="18"/>
                <w:szCs w:val="18"/>
              </w:rPr>
            </w:pPr>
            <w:r w:rsidRPr="00A9330B">
              <w:rPr>
                <w:rFonts w:cs="Arial"/>
                <w:sz w:val="18"/>
                <w:szCs w:val="18"/>
              </w:rPr>
              <w:t>améliorer le confort routier</w:t>
            </w:r>
          </w:p>
          <w:p w14:paraId="3316DC76" w14:textId="77777777" w:rsidR="005B72AA" w:rsidRPr="00A9330B" w:rsidRDefault="005B72AA" w:rsidP="00BD2F72">
            <w:pPr>
              <w:widowControl w:val="0"/>
              <w:numPr>
                <w:ilvl w:val="0"/>
                <w:numId w:val="63"/>
              </w:numPr>
              <w:tabs>
                <w:tab w:val="center" w:pos="4320"/>
                <w:tab w:val="right" w:pos="8640"/>
              </w:tabs>
              <w:spacing w:before="60" w:line="240" w:lineRule="auto"/>
              <w:ind w:left="357" w:hanging="357"/>
              <w:jc w:val="both"/>
              <w:rPr>
                <w:rFonts w:cs="Arial"/>
                <w:sz w:val="18"/>
                <w:szCs w:val="18"/>
              </w:rPr>
            </w:pPr>
            <w:r w:rsidRPr="00A9330B">
              <w:rPr>
                <w:rFonts w:cs="Arial"/>
                <w:sz w:val="18"/>
                <w:szCs w:val="18"/>
              </w:rPr>
              <w:t>réduire l’émission de poussière pour les habitations situées à proximité de la route</w:t>
            </w:r>
          </w:p>
          <w:p w14:paraId="4AFA90D6" w14:textId="5A8DD8CF" w:rsidR="005B72AA" w:rsidRPr="00A9330B" w:rsidRDefault="005B72AA" w:rsidP="00BD2F72">
            <w:pPr>
              <w:widowControl w:val="0"/>
              <w:numPr>
                <w:ilvl w:val="0"/>
                <w:numId w:val="63"/>
              </w:numPr>
              <w:tabs>
                <w:tab w:val="center" w:pos="4320"/>
                <w:tab w:val="right" w:pos="8640"/>
              </w:tabs>
              <w:spacing w:before="60" w:line="240" w:lineRule="auto"/>
              <w:ind w:left="357" w:hanging="357"/>
              <w:jc w:val="both"/>
              <w:rPr>
                <w:rFonts w:cs="Arial"/>
                <w:sz w:val="18"/>
                <w:szCs w:val="18"/>
              </w:rPr>
            </w:pPr>
            <w:r w:rsidRPr="00A9330B">
              <w:rPr>
                <w:rFonts w:cs="Arial"/>
                <w:sz w:val="18"/>
                <w:szCs w:val="18"/>
              </w:rPr>
              <w:t xml:space="preserve">réaliser des gains de temps de déplacement tant pour les usagers </w:t>
            </w:r>
            <w:r w:rsidR="00C77031" w:rsidRPr="00A9330B">
              <w:rPr>
                <w:rFonts w:cs="Arial"/>
                <w:sz w:val="18"/>
                <w:szCs w:val="18"/>
              </w:rPr>
              <w:t>que pour …..</w:t>
            </w:r>
          </w:p>
        </w:tc>
      </w:tr>
      <w:tr w:rsidR="005B72AA" w:rsidRPr="00A9330B" w14:paraId="61084FCD" w14:textId="77777777" w:rsidTr="00BD13FE">
        <w:tc>
          <w:tcPr>
            <w:tcW w:w="2173" w:type="dxa"/>
            <w:vMerge/>
          </w:tcPr>
          <w:p w14:paraId="44A4A428" w14:textId="77777777" w:rsidR="005B72AA" w:rsidRPr="00A9330B" w:rsidRDefault="005B72AA" w:rsidP="00525E29">
            <w:pPr>
              <w:spacing w:before="60"/>
              <w:rPr>
                <w:rFonts w:cs="Arial"/>
                <w:sz w:val="18"/>
                <w:szCs w:val="18"/>
              </w:rPr>
            </w:pPr>
          </w:p>
        </w:tc>
        <w:tc>
          <w:tcPr>
            <w:tcW w:w="2731" w:type="dxa"/>
          </w:tcPr>
          <w:p w14:paraId="7B3A633A" w14:textId="2D721F76" w:rsidR="005B72AA" w:rsidRPr="00A9330B" w:rsidRDefault="005B72AA" w:rsidP="00525E29">
            <w:pPr>
              <w:spacing w:before="60"/>
              <w:rPr>
                <w:rFonts w:cs="Arial"/>
                <w:sz w:val="18"/>
                <w:szCs w:val="18"/>
              </w:rPr>
            </w:pPr>
            <w:r w:rsidRPr="00A9330B">
              <w:rPr>
                <w:rFonts w:cs="Arial"/>
                <w:sz w:val="18"/>
                <w:szCs w:val="18"/>
              </w:rPr>
              <w:t>La fluidité du trafic</w:t>
            </w:r>
          </w:p>
        </w:tc>
        <w:tc>
          <w:tcPr>
            <w:tcW w:w="4158" w:type="dxa"/>
          </w:tcPr>
          <w:p w14:paraId="09FD99F7" w14:textId="0E2DAC8A" w:rsidR="005B72AA" w:rsidRPr="00A9330B" w:rsidRDefault="005B72AA" w:rsidP="000F7BA7">
            <w:pPr>
              <w:spacing w:before="60"/>
              <w:jc w:val="both"/>
              <w:rPr>
                <w:rFonts w:cs="Arial"/>
                <w:sz w:val="18"/>
                <w:szCs w:val="18"/>
              </w:rPr>
            </w:pPr>
            <w:r w:rsidRPr="00A9330B">
              <w:rPr>
                <w:rFonts w:cs="Arial"/>
                <w:sz w:val="18"/>
                <w:szCs w:val="18"/>
              </w:rPr>
              <w:t>La fluidité facilitera les déplacements humains, la rapidité de transports des biens et des services, la sécurité des productions en circulation, l’accès aux marchés locaux, l’accessibilité aux biens localement produits et la possibilité pour chaque milieu de valoriser ses avantages comparatifs dans les échanges commerciaux.</w:t>
            </w:r>
          </w:p>
        </w:tc>
      </w:tr>
      <w:tr w:rsidR="005B72AA" w:rsidRPr="00A9330B" w14:paraId="7E5F1642" w14:textId="77777777" w:rsidTr="00BD13FE">
        <w:tc>
          <w:tcPr>
            <w:tcW w:w="2173" w:type="dxa"/>
            <w:vMerge w:val="restart"/>
          </w:tcPr>
          <w:p w14:paraId="7A246FF9" w14:textId="65E585FB" w:rsidR="005B72AA" w:rsidRPr="00A9330B" w:rsidRDefault="005B72AA" w:rsidP="00525E29">
            <w:pPr>
              <w:spacing w:before="60"/>
              <w:rPr>
                <w:rFonts w:cs="Arial"/>
                <w:sz w:val="18"/>
                <w:szCs w:val="18"/>
              </w:rPr>
            </w:pPr>
          </w:p>
        </w:tc>
        <w:tc>
          <w:tcPr>
            <w:tcW w:w="2731" w:type="dxa"/>
          </w:tcPr>
          <w:p w14:paraId="62E896D8" w14:textId="084CBDCB" w:rsidR="005B72AA" w:rsidRPr="00A9330B" w:rsidRDefault="005B72AA" w:rsidP="00525E29">
            <w:pPr>
              <w:spacing w:before="60"/>
              <w:rPr>
                <w:rFonts w:cs="Arial"/>
                <w:sz w:val="18"/>
                <w:szCs w:val="18"/>
              </w:rPr>
            </w:pPr>
            <w:r w:rsidRPr="00A9330B">
              <w:rPr>
                <w:rFonts w:cs="Arial"/>
                <w:sz w:val="18"/>
                <w:szCs w:val="18"/>
              </w:rPr>
              <w:t>L’amélioration du drainage des eaux pluviales par  les ouvrages d’assainissement mis en place</w:t>
            </w:r>
          </w:p>
        </w:tc>
        <w:tc>
          <w:tcPr>
            <w:tcW w:w="4158" w:type="dxa"/>
          </w:tcPr>
          <w:p w14:paraId="0FEFD22F" w14:textId="3C0F97D8" w:rsidR="005B72AA" w:rsidRPr="00A9330B" w:rsidRDefault="005B72AA" w:rsidP="000F7BA7">
            <w:pPr>
              <w:spacing w:before="60"/>
              <w:jc w:val="both"/>
              <w:rPr>
                <w:rFonts w:cs="Arial"/>
                <w:sz w:val="18"/>
                <w:szCs w:val="18"/>
              </w:rPr>
            </w:pPr>
            <w:r w:rsidRPr="00A9330B">
              <w:rPr>
                <w:rFonts w:cs="Arial"/>
                <w:sz w:val="18"/>
                <w:szCs w:val="18"/>
              </w:rPr>
              <w:t>Les ouvrages d’assainissement ont pour rôle de collecter l’eau (chaussée et bassin), de faire transiter l’eau (fossés, descente d’eau, traversées) et enfin d’évacuer l’eau (exutoires, chenal aval d’ouvrages). La gestion des eaux dans les ouvrages routiers est particulièrement importante, permettant ainsi : la durabilité de la chaussée</w:t>
            </w:r>
          </w:p>
        </w:tc>
      </w:tr>
      <w:tr w:rsidR="005B72AA" w:rsidRPr="00A9330B" w14:paraId="4E19374E" w14:textId="77777777" w:rsidTr="00BD13FE">
        <w:tc>
          <w:tcPr>
            <w:tcW w:w="2173" w:type="dxa"/>
            <w:vMerge/>
          </w:tcPr>
          <w:p w14:paraId="3E5C11C0" w14:textId="3151DF7A" w:rsidR="005B72AA" w:rsidRPr="00A9330B" w:rsidRDefault="005B72AA" w:rsidP="00525E29">
            <w:pPr>
              <w:spacing w:before="60"/>
              <w:rPr>
                <w:rFonts w:cs="Arial"/>
                <w:sz w:val="18"/>
                <w:szCs w:val="18"/>
              </w:rPr>
            </w:pPr>
          </w:p>
        </w:tc>
        <w:tc>
          <w:tcPr>
            <w:tcW w:w="2731" w:type="dxa"/>
          </w:tcPr>
          <w:p w14:paraId="6D21CD69" w14:textId="77777777" w:rsidR="005B72AA" w:rsidRPr="00A9330B" w:rsidRDefault="005B72AA" w:rsidP="00525E29">
            <w:pPr>
              <w:spacing w:before="60"/>
              <w:rPr>
                <w:rFonts w:cs="Arial"/>
                <w:sz w:val="18"/>
                <w:szCs w:val="18"/>
              </w:rPr>
            </w:pPr>
            <w:r w:rsidRPr="00A9330B">
              <w:rPr>
                <w:rFonts w:cs="Arial"/>
                <w:sz w:val="18"/>
                <w:szCs w:val="18"/>
              </w:rPr>
              <w:t xml:space="preserve">Diminution du coût d’entretien des véhicules </w:t>
            </w:r>
          </w:p>
        </w:tc>
        <w:tc>
          <w:tcPr>
            <w:tcW w:w="4158" w:type="dxa"/>
          </w:tcPr>
          <w:p w14:paraId="44D22D1B" w14:textId="77777777" w:rsidR="005B72AA" w:rsidRPr="00A9330B" w:rsidRDefault="005B72AA" w:rsidP="000F7BA7">
            <w:pPr>
              <w:tabs>
                <w:tab w:val="center" w:pos="4536"/>
                <w:tab w:val="right" w:pos="9072"/>
              </w:tabs>
              <w:spacing w:before="60" w:line="240" w:lineRule="auto"/>
              <w:jc w:val="both"/>
              <w:rPr>
                <w:rFonts w:cs="Arial"/>
                <w:sz w:val="18"/>
                <w:szCs w:val="18"/>
              </w:rPr>
            </w:pPr>
            <w:r w:rsidRPr="00A9330B">
              <w:rPr>
                <w:rFonts w:cs="Arial"/>
                <w:sz w:val="18"/>
                <w:szCs w:val="18"/>
              </w:rPr>
              <w:t>La réhabilitation et/ou le bitumage des rues contribuent à diminuer le coût d’entretien des véhicules.</w:t>
            </w:r>
          </w:p>
        </w:tc>
      </w:tr>
      <w:tr w:rsidR="005B72AA" w:rsidRPr="00A9330B" w14:paraId="386B3FDB" w14:textId="77777777" w:rsidTr="00BD13FE">
        <w:tc>
          <w:tcPr>
            <w:tcW w:w="2173" w:type="dxa"/>
            <w:vMerge/>
          </w:tcPr>
          <w:p w14:paraId="386B84A7" w14:textId="2CF71760" w:rsidR="005B72AA" w:rsidRPr="00A9330B" w:rsidRDefault="005B72AA" w:rsidP="00525E29">
            <w:pPr>
              <w:spacing w:before="60"/>
              <w:rPr>
                <w:rFonts w:cs="Arial"/>
                <w:sz w:val="18"/>
                <w:szCs w:val="18"/>
              </w:rPr>
            </w:pPr>
          </w:p>
        </w:tc>
        <w:tc>
          <w:tcPr>
            <w:tcW w:w="2731" w:type="dxa"/>
          </w:tcPr>
          <w:p w14:paraId="0FCCC1EE" w14:textId="77777777" w:rsidR="005B72AA" w:rsidRPr="00A9330B" w:rsidRDefault="005B72AA" w:rsidP="00525E29">
            <w:pPr>
              <w:spacing w:before="60"/>
              <w:rPr>
                <w:rFonts w:cs="Arial"/>
                <w:sz w:val="18"/>
                <w:szCs w:val="18"/>
              </w:rPr>
            </w:pPr>
            <w:r w:rsidRPr="00A9330B">
              <w:rPr>
                <w:rFonts w:cs="Arial"/>
                <w:sz w:val="18"/>
                <w:szCs w:val="18"/>
              </w:rPr>
              <w:t>Création de nouvelles potentialités économiques et d’emplois</w:t>
            </w:r>
          </w:p>
          <w:p w14:paraId="3D3870F9" w14:textId="77777777" w:rsidR="005B72AA" w:rsidRPr="00A9330B" w:rsidRDefault="005B72AA" w:rsidP="00525E29">
            <w:pPr>
              <w:spacing w:before="60"/>
              <w:rPr>
                <w:rFonts w:cs="Arial"/>
                <w:sz w:val="18"/>
                <w:szCs w:val="18"/>
              </w:rPr>
            </w:pPr>
          </w:p>
        </w:tc>
        <w:tc>
          <w:tcPr>
            <w:tcW w:w="4158" w:type="dxa"/>
          </w:tcPr>
          <w:p w14:paraId="3952CC0F" w14:textId="77777777" w:rsidR="005B72AA" w:rsidRPr="00A9330B" w:rsidRDefault="005B72AA" w:rsidP="000F7BA7">
            <w:pPr>
              <w:spacing w:before="60"/>
              <w:jc w:val="both"/>
              <w:rPr>
                <w:rFonts w:cs="Arial"/>
                <w:sz w:val="18"/>
                <w:szCs w:val="18"/>
              </w:rPr>
            </w:pPr>
            <w:r w:rsidRPr="00A9330B">
              <w:rPr>
                <w:rFonts w:cs="Arial"/>
                <w:sz w:val="18"/>
                <w:szCs w:val="18"/>
              </w:rPr>
              <w:t>L’exécution d’un projet favorise la création de nouvelles potentialités économiques la création d’emplois temporaires durant la phase de construction/réhabilitation, l'augmentation du revenu, ce qui réduira le taux de chômage. Il pourra également engendrer une économie locale de proximité, basée sur l’artisanat et le tourisme. C’est une contribution à la lutte contre la pauvreté</w:t>
            </w:r>
          </w:p>
        </w:tc>
      </w:tr>
      <w:tr w:rsidR="005B72AA" w:rsidRPr="00A9330B" w14:paraId="5EE2A6DE" w14:textId="77777777" w:rsidTr="00BD13FE">
        <w:tc>
          <w:tcPr>
            <w:tcW w:w="2173" w:type="dxa"/>
            <w:vMerge/>
          </w:tcPr>
          <w:p w14:paraId="569C06E3" w14:textId="77777777" w:rsidR="005B72AA" w:rsidRPr="00A9330B" w:rsidRDefault="005B72AA" w:rsidP="00525E29">
            <w:pPr>
              <w:spacing w:before="60"/>
              <w:rPr>
                <w:rFonts w:cs="Arial"/>
                <w:sz w:val="18"/>
                <w:szCs w:val="18"/>
              </w:rPr>
            </w:pPr>
          </w:p>
        </w:tc>
        <w:tc>
          <w:tcPr>
            <w:tcW w:w="2731" w:type="dxa"/>
          </w:tcPr>
          <w:p w14:paraId="3AC10FE7" w14:textId="58D11ECE" w:rsidR="005B72AA" w:rsidRPr="00A9330B" w:rsidRDefault="005B72AA" w:rsidP="00525E29">
            <w:pPr>
              <w:spacing w:before="60"/>
              <w:rPr>
                <w:rFonts w:cs="Arial"/>
                <w:sz w:val="18"/>
                <w:szCs w:val="18"/>
              </w:rPr>
            </w:pPr>
            <w:bookmarkStart w:id="1645" w:name="_Toc24667903"/>
            <w:r w:rsidRPr="00A9330B">
              <w:rPr>
                <w:rFonts w:eastAsia="Times New Roman" w:cs="Arial"/>
                <w:color w:val="auto"/>
                <w:sz w:val="18"/>
                <w:szCs w:val="18"/>
                <w:lang w:eastAsia="fr-FR"/>
              </w:rPr>
              <w:t>Possibilité de changement de statut social</w:t>
            </w:r>
            <w:bookmarkEnd w:id="1645"/>
          </w:p>
        </w:tc>
        <w:tc>
          <w:tcPr>
            <w:tcW w:w="4158" w:type="dxa"/>
          </w:tcPr>
          <w:p w14:paraId="1B8BD7CD" w14:textId="69979861" w:rsidR="005B72AA" w:rsidRPr="00A9330B" w:rsidRDefault="005B72AA" w:rsidP="000F7BA7">
            <w:pPr>
              <w:spacing w:before="60"/>
              <w:jc w:val="both"/>
              <w:rPr>
                <w:rFonts w:cs="Arial"/>
                <w:sz w:val="18"/>
                <w:szCs w:val="18"/>
              </w:rPr>
            </w:pPr>
            <w:bookmarkStart w:id="1646" w:name="_Toc24667904"/>
            <w:r w:rsidRPr="00A9330B">
              <w:rPr>
                <w:rFonts w:eastAsia="Times New Roman" w:cs="Arial"/>
                <w:color w:val="auto"/>
                <w:sz w:val="18"/>
                <w:szCs w:val="18"/>
                <w:lang w:eastAsia="fr-FR"/>
              </w:rPr>
              <w:t>Le changement d’activité économique et les modifications dans la structure socio-professionnelle par  passage d’un statut d’agriculteur, à celui de revendeur, commerçant ou artisan : facteur de mobilité ascendante dans la société</w:t>
            </w:r>
            <w:bookmarkEnd w:id="1646"/>
          </w:p>
        </w:tc>
      </w:tr>
      <w:tr w:rsidR="005B72AA" w:rsidRPr="00A9330B" w14:paraId="365D7C52" w14:textId="77777777" w:rsidTr="00BD13FE">
        <w:tc>
          <w:tcPr>
            <w:tcW w:w="2173" w:type="dxa"/>
            <w:vMerge/>
          </w:tcPr>
          <w:p w14:paraId="057D7753" w14:textId="77777777" w:rsidR="005B72AA" w:rsidRPr="00A9330B" w:rsidRDefault="005B72AA" w:rsidP="00525E29">
            <w:pPr>
              <w:spacing w:before="60"/>
              <w:rPr>
                <w:rFonts w:cs="Arial"/>
                <w:sz w:val="18"/>
                <w:szCs w:val="18"/>
              </w:rPr>
            </w:pPr>
          </w:p>
        </w:tc>
        <w:tc>
          <w:tcPr>
            <w:tcW w:w="2731" w:type="dxa"/>
          </w:tcPr>
          <w:p w14:paraId="3957588F" w14:textId="77777777" w:rsidR="005B72AA" w:rsidRPr="00A9330B" w:rsidRDefault="005B72AA" w:rsidP="00525E29">
            <w:pPr>
              <w:spacing w:before="60"/>
              <w:rPr>
                <w:rFonts w:cs="Arial"/>
                <w:sz w:val="18"/>
                <w:szCs w:val="18"/>
              </w:rPr>
            </w:pPr>
            <w:r w:rsidRPr="00A9330B">
              <w:rPr>
                <w:rFonts w:cs="Arial"/>
                <w:sz w:val="18"/>
                <w:szCs w:val="18"/>
              </w:rPr>
              <w:t xml:space="preserve">Modification positives qualitatives des conditions de vie </w:t>
            </w:r>
          </w:p>
        </w:tc>
        <w:tc>
          <w:tcPr>
            <w:tcW w:w="4158" w:type="dxa"/>
          </w:tcPr>
          <w:p w14:paraId="66ED42A2" w14:textId="77777777" w:rsidR="005B72AA" w:rsidRPr="00A9330B" w:rsidRDefault="005B72AA" w:rsidP="000F7BA7">
            <w:pPr>
              <w:spacing w:before="60"/>
              <w:jc w:val="both"/>
              <w:rPr>
                <w:rFonts w:cs="Arial"/>
                <w:sz w:val="18"/>
                <w:szCs w:val="18"/>
              </w:rPr>
            </w:pPr>
            <w:r w:rsidRPr="00A9330B">
              <w:rPr>
                <w:rFonts w:cs="Arial"/>
                <w:sz w:val="18"/>
                <w:szCs w:val="18"/>
              </w:rPr>
              <w:t>Les modifications positives de la qualité de vie des populations de la zone par les nouvelles conditions de transport, de circulation, de communication et les interrelations, de même que l’accès plus rapide et plus aisé aux centres de soins </w:t>
            </w:r>
          </w:p>
          <w:p w14:paraId="37223524" w14:textId="77777777" w:rsidR="005B72AA" w:rsidRPr="00A9330B" w:rsidRDefault="005B72AA" w:rsidP="000F7BA7">
            <w:pPr>
              <w:spacing w:before="60"/>
              <w:jc w:val="both"/>
              <w:rPr>
                <w:rFonts w:cs="Arial"/>
                <w:sz w:val="18"/>
                <w:szCs w:val="18"/>
              </w:rPr>
            </w:pPr>
            <w:r w:rsidRPr="00A9330B">
              <w:rPr>
                <w:rFonts w:cs="Arial"/>
                <w:sz w:val="18"/>
                <w:szCs w:val="18"/>
              </w:rPr>
              <w:t>L’amélioration des conditions de vie et de santé dans les zones concernées ou les zones défavorisées et la contribution à la résolution des questions de développement humain et social </w:t>
            </w:r>
          </w:p>
        </w:tc>
      </w:tr>
      <w:tr w:rsidR="005B72AA" w:rsidRPr="00A9330B" w14:paraId="5DD8E8D7" w14:textId="77777777" w:rsidTr="00BD13FE">
        <w:tc>
          <w:tcPr>
            <w:tcW w:w="2173" w:type="dxa"/>
            <w:vMerge/>
          </w:tcPr>
          <w:p w14:paraId="3B773240" w14:textId="77777777" w:rsidR="005B72AA" w:rsidRPr="00A9330B" w:rsidRDefault="005B72AA" w:rsidP="00525E29">
            <w:pPr>
              <w:spacing w:before="60"/>
              <w:rPr>
                <w:rFonts w:cs="Arial"/>
                <w:sz w:val="18"/>
                <w:szCs w:val="18"/>
              </w:rPr>
            </w:pPr>
          </w:p>
        </w:tc>
        <w:tc>
          <w:tcPr>
            <w:tcW w:w="2731" w:type="dxa"/>
          </w:tcPr>
          <w:p w14:paraId="66CFA0A2" w14:textId="72F9F53D" w:rsidR="005B72AA" w:rsidRPr="00A9330B" w:rsidRDefault="005B72AA" w:rsidP="00525E29">
            <w:pPr>
              <w:spacing w:before="60"/>
              <w:rPr>
                <w:rFonts w:cs="Arial"/>
                <w:sz w:val="18"/>
                <w:szCs w:val="18"/>
              </w:rPr>
            </w:pPr>
            <w:r w:rsidRPr="00A9330B">
              <w:rPr>
                <w:rFonts w:cs="Arial"/>
                <w:sz w:val="18"/>
                <w:szCs w:val="18"/>
              </w:rPr>
              <w:t>Revalorisation du foncier </w:t>
            </w:r>
          </w:p>
        </w:tc>
        <w:tc>
          <w:tcPr>
            <w:tcW w:w="4158" w:type="dxa"/>
          </w:tcPr>
          <w:p w14:paraId="46524975" w14:textId="77777777" w:rsidR="005B72AA" w:rsidRPr="00A9330B" w:rsidRDefault="005B72AA" w:rsidP="000F7BA7">
            <w:pPr>
              <w:spacing w:before="60"/>
              <w:jc w:val="both"/>
              <w:rPr>
                <w:rFonts w:cs="Arial"/>
                <w:sz w:val="18"/>
                <w:szCs w:val="18"/>
              </w:rPr>
            </w:pPr>
            <w:r w:rsidRPr="00A9330B">
              <w:rPr>
                <w:rFonts w:cs="Arial"/>
                <w:sz w:val="18"/>
                <w:szCs w:val="18"/>
              </w:rPr>
              <w:t>L’aménagement de la route va permettre un accès plus rapide et plus facile à ces zones et ainsi favoriser l’augmentation de la valeur monétaire des terres.</w:t>
            </w:r>
          </w:p>
        </w:tc>
      </w:tr>
    </w:tbl>
    <w:p w14:paraId="149D9160" w14:textId="43CD6C02" w:rsidR="00401546" w:rsidRPr="00A9330B" w:rsidRDefault="00401546" w:rsidP="000F7BA7">
      <w:pPr>
        <w:keepNext/>
        <w:keepLines/>
        <w:widowControl w:val="0"/>
        <w:spacing w:after="120" w:line="240" w:lineRule="auto"/>
        <w:ind w:left="1191"/>
        <w:outlineLvl w:val="3"/>
        <w:rPr>
          <w:rFonts w:eastAsiaTheme="majorEastAsia" w:cstheme="majorBidi"/>
          <w:b/>
          <w:i/>
          <w:iCs/>
          <w:color w:val="auto"/>
        </w:rPr>
      </w:pPr>
      <w:bookmarkStart w:id="1647" w:name="_Toc325004110"/>
      <w:bookmarkStart w:id="1648" w:name="_Toc325004736"/>
      <w:bookmarkStart w:id="1649" w:name="_Toc336163957"/>
      <w:bookmarkStart w:id="1650" w:name="_Toc517364173"/>
      <w:bookmarkStart w:id="1651" w:name="_Toc43697688"/>
      <w:bookmarkStart w:id="1652" w:name="_Toc45520892"/>
      <w:bookmarkStart w:id="1653" w:name="_Toc52869692"/>
      <w:r w:rsidRPr="00A9330B">
        <w:rPr>
          <w:rFonts w:eastAsiaTheme="majorEastAsia" w:cstheme="majorBidi"/>
          <w:b/>
          <w:i/>
          <w:iCs/>
          <w:color w:val="auto"/>
        </w:rPr>
        <w:t xml:space="preserve">8.1.1.2. </w:t>
      </w:r>
      <w:r w:rsidR="00430D7D" w:rsidRPr="00A9330B">
        <w:rPr>
          <w:rFonts w:eastAsiaTheme="majorEastAsia" w:cstheme="majorBidi"/>
          <w:b/>
          <w:i/>
          <w:iCs/>
          <w:color w:val="auto"/>
        </w:rPr>
        <w:t>Identification, description</w:t>
      </w:r>
      <w:r w:rsidRPr="00A9330B">
        <w:rPr>
          <w:rFonts w:eastAsiaTheme="majorEastAsia" w:cstheme="majorBidi"/>
          <w:b/>
          <w:i/>
          <w:iCs/>
          <w:color w:val="auto"/>
        </w:rPr>
        <w:t xml:space="preserve"> et évaluation de l’importance des impacts négatifs</w:t>
      </w:r>
      <w:bookmarkEnd w:id="1647"/>
      <w:bookmarkEnd w:id="1648"/>
      <w:r w:rsidRPr="00A9330B">
        <w:rPr>
          <w:rFonts w:eastAsiaTheme="majorEastAsia" w:cstheme="majorBidi"/>
          <w:b/>
          <w:i/>
          <w:iCs/>
          <w:color w:val="auto"/>
        </w:rPr>
        <w:t xml:space="preserve"> du projet</w:t>
      </w:r>
      <w:bookmarkEnd w:id="1649"/>
      <w:bookmarkEnd w:id="1650"/>
      <w:bookmarkEnd w:id="1651"/>
      <w:bookmarkEnd w:id="1652"/>
      <w:bookmarkEnd w:id="1653"/>
      <w:r w:rsidRPr="00A9330B">
        <w:rPr>
          <w:rFonts w:eastAsiaTheme="majorEastAsia" w:cstheme="majorBidi"/>
          <w:b/>
          <w:i/>
          <w:iCs/>
          <w:color w:val="auto"/>
        </w:rPr>
        <w:t xml:space="preserve"> </w:t>
      </w:r>
    </w:p>
    <w:p w14:paraId="7BDED029" w14:textId="77777777" w:rsidR="00401546" w:rsidRPr="00A9330B" w:rsidRDefault="00401546" w:rsidP="00401546">
      <w:pPr>
        <w:jc w:val="both"/>
        <w:rPr>
          <w:b/>
        </w:rPr>
      </w:pPr>
      <w:r w:rsidRPr="00A9330B">
        <w:t>Les impacts directs du projet dérivent des activités de construction, d’exploitation et de l’entretien des rues et ouvrages réalisés. Les activités de défrichement, de terrassement, construction d’ouvrages, déplacement des réseaux, la construction de la plate-forme et autres peuvent avoir des impacts négatifs significatifs sur l’environnement : perte du couvert végétal, expropriation au détriment d’autres utilisations, modification du ruissellement naturel, changements de niveau des nappes souterraines, risques de glissements de terrain, érosion, sédimentation des cours d’eau et des lacs, dégradation du paysage, destruction ou déplacement de sites culturels et création d’obstacles aux déplacements des espèces animales sauvages, du bétail et des habitants de la région, etc.. La plupart de ces impacts peuvent non seulement se produire sur les lieux de construction mais également à l’endroit des carrières, des bancs d’emprunt et des terrains de stockage servant au projet. En outre, la pollution de l’air et des sols provenant des postes de bitumage, le dégagement de poussière et le bruit engendré par les équipements de construction et par les explosions éventuelles, les fuites de carburants et d’huiles, les ordures produites et, s’il s’agit de projets d’envergure, la présence d’une main-d’œuvre non résidente, peuvent être préjudiciables à l’environnement et aux valeurs socioculturelles de la région traversée.</w:t>
      </w:r>
    </w:p>
    <w:p w14:paraId="2DE4AF41" w14:textId="77777777" w:rsidR="00401546" w:rsidRPr="00A9330B" w:rsidRDefault="00401546" w:rsidP="00401546">
      <w:pPr>
        <w:jc w:val="both"/>
        <w:rPr>
          <w:bCs/>
        </w:rPr>
      </w:pPr>
      <w:r w:rsidRPr="00A9330B">
        <w:t>La fréquentation des routes peut également avoir les impacts suivants : demande croissante en carburants; accidents avec les engins non motorisés ou substitution des moyens de transport non motorisés; accroissement de la pollution atmosphérique, bruit ; détritus sur le bord des routes ; accidents parfois fatals pour les personnes et les animaux ; risques pour la santé et l’environnement que représentent les accidents en présence de produits dangereux en transit; et pollution de l’eau par les fuites et l’accumulation de polluants à la surface des routes.</w:t>
      </w:r>
    </w:p>
    <w:p w14:paraId="39241BEB" w14:textId="77777777" w:rsidR="00401546" w:rsidRPr="00A9330B" w:rsidRDefault="00401546" w:rsidP="00401546">
      <w:pPr>
        <w:jc w:val="both"/>
        <w:rPr>
          <w:rFonts w:cs="Arial"/>
          <w:b/>
          <w:bCs/>
        </w:rPr>
      </w:pPr>
      <w:r w:rsidRPr="00A9330B">
        <w:t xml:space="preserve">A ceux-ci, il faut ajouter : l’urbanisme sauvage auquel le projet donne lieu ; la perturbation du régime foncier local par les spéculateurs ; la facilité d’accès aux habitats naturels (dégradation de la biodiversité) ; la migration de la main-d’œuvre et la dislocation des économies de subsistance. </w:t>
      </w:r>
      <w:r w:rsidRPr="00A9330B">
        <w:rPr>
          <w:rFonts w:cs="Arial"/>
          <w:bCs/>
        </w:rPr>
        <w:t>Le tableau ci-après présente les impacts négatifs significatifs identifiés</w:t>
      </w:r>
    </w:p>
    <w:p w14:paraId="1308874F" w14:textId="77777777" w:rsidR="0013556B" w:rsidRPr="00A9330B" w:rsidRDefault="0013556B" w:rsidP="00401546">
      <w:pPr>
        <w:keepNext/>
        <w:spacing w:after="120" w:line="240" w:lineRule="auto"/>
        <w:jc w:val="center"/>
        <w:rPr>
          <w:rFonts w:eastAsia="Times New Roman" w:cs="Arial"/>
          <w:b/>
          <w:color w:val="000000"/>
          <w:sz w:val="20"/>
          <w:szCs w:val="20"/>
          <w:lang w:eastAsia="fr-FR"/>
        </w:rPr>
        <w:sectPr w:rsidR="0013556B" w:rsidRPr="00A9330B" w:rsidSect="00401546">
          <w:pgSz w:w="11906" w:h="16838"/>
          <w:pgMar w:top="1276" w:right="1417" w:bottom="1276" w:left="1417" w:header="708" w:footer="510" w:gutter="0"/>
          <w:cols w:space="708"/>
          <w:docGrid w:linePitch="360"/>
        </w:sectPr>
      </w:pPr>
      <w:bookmarkStart w:id="1654" w:name="_Toc336136105"/>
      <w:bookmarkStart w:id="1655" w:name="_Toc336164789"/>
      <w:bookmarkStart w:id="1656" w:name="_Toc517363587"/>
      <w:bookmarkStart w:id="1657" w:name="_Toc24724034"/>
      <w:bookmarkStart w:id="1658" w:name="_Toc43696249"/>
    </w:p>
    <w:p w14:paraId="394FCEE7" w14:textId="7362590D" w:rsidR="00401546" w:rsidRPr="00A9330B" w:rsidRDefault="00401546" w:rsidP="0013556B">
      <w:pPr>
        <w:keepNext/>
        <w:spacing w:after="120" w:line="240" w:lineRule="auto"/>
        <w:jc w:val="center"/>
        <w:rPr>
          <w:rFonts w:eastAsia="Times New Roman" w:cs="Arial"/>
          <w:b/>
          <w:color w:val="000000"/>
          <w:sz w:val="20"/>
          <w:szCs w:val="20"/>
          <w:lang w:eastAsia="fr-FR"/>
        </w:rPr>
      </w:pPr>
      <w:bookmarkStart w:id="1659" w:name="_Toc52873762"/>
      <w:r w:rsidRPr="00A9330B">
        <w:rPr>
          <w:rFonts w:eastAsia="Times New Roman" w:cs="Arial"/>
          <w:b/>
          <w:color w:val="000000"/>
          <w:sz w:val="20"/>
          <w:szCs w:val="20"/>
          <w:lang w:eastAsia="fr-FR"/>
        </w:rPr>
        <w:lastRenderedPageBreak/>
        <w:t xml:space="preserve">Tableau </w:t>
      </w:r>
      <w:r w:rsidRPr="00A9330B">
        <w:rPr>
          <w:rFonts w:eastAsia="Times New Roman" w:cs="Arial"/>
          <w:b/>
          <w:color w:val="000000"/>
          <w:sz w:val="20"/>
          <w:szCs w:val="20"/>
          <w:lang w:eastAsia="fr-FR"/>
        </w:rPr>
        <w:fldChar w:fldCharType="begin"/>
      </w:r>
      <w:r w:rsidRPr="00A9330B">
        <w:rPr>
          <w:rFonts w:eastAsia="Times New Roman" w:cs="Arial"/>
          <w:b/>
          <w:color w:val="000000"/>
          <w:sz w:val="20"/>
          <w:szCs w:val="20"/>
          <w:lang w:eastAsia="fr-FR"/>
        </w:rPr>
        <w:instrText xml:space="preserve"> SEQ Tableau \* ARABIC </w:instrText>
      </w:r>
      <w:r w:rsidRPr="00A9330B">
        <w:rPr>
          <w:rFonts w:eastAsia="Times New Roman" w:cs="Arial"/>
          <w:b/>
          <w:color w:val="000000"/>
          <w:sz w:val="20"/>
          <w:szCs w:val="20"/>
          <w:lang w:eastAsia="fr-FR"/>
        </w:rPr>
        <w:fldChar w:fldCharType="separate"/>
      </w:r>
      <w:r w:rsidR="007025F6" w:rsidRPr="00A9330B">
        <w:rPr>
          <w:rFonts w:eastAsia="Times New Roman" w:cs="Arial"/>
          <w:b/>
          <w:noProof/>
          <w:color w:val="000000"/>
          <w:sz w:val="20"/>
          <w:szCs w:val="20"/>
          <w:lang w:eastAsia="fr-FR"/>
        </w:rPr>
        <w:t>38</w:t>
      </w:r>
      <w:r w:rsidRPr="00A9330B">
        <w:rPr>
          <w:rFonts w:eastAsia="Times New Roman" w:cs="Arial"/>
          <w:b/>
          <w:color w:val="000000"/>
          <w:sz w:val="20"/>
          <w:szCs w:val="20"/>
          <w:lang w:eastAsia="fr-FR"/>
        </w:rPr>
        <w:fldChar w:fldCharType="end"/>
      </w:r>
      <w:r w:rsidRPr="00A9330B">
        <w:rPr>
          <w:rFonts w:eastAsia="Times New Roman" w:cs="Arial"/>
          <w:b/>
          <w:color w:val="000000"/>
          <w:lang w:eastAsia="fr-FR"/>
        </w:rPr>
        <w:t xml:space="preserve"> : </w:t>
      </w:r>
      <w:r w:rsidRPr="00A9330B">
        <w:rPr>
          <w:rFonts w:eastAsia="Times New Roman" w:cs="Arial"/>
          <w:b/>
          <w:color w:val="000000"/>
          <w:sz w:val="20"/>
          <w:szCs w:val="20"/>
          <w:lang w:eastAsia="fr-FR"/>
        </w:rPr>
        <w:t>Identification des impacts négatifs : phase préparatoire</w:t>
      </w:r>
      <w:bookmarkEnd w:id="1654"/>
      <w:bookmarkEnd w:id="1655"/>
      <w:bookmarkEnd w:id="1656"/>
      <w:bookmarkEnd w:id="1657"/>
      <w:bookmarkEnd w:id="1658"/>
      <w:bookmarkEnd w:id="1659"/>
      <w:r w:rsidRPr="00A9330B">
        <w:rPr>
          <w:rFonts w:eastAsia="Times New Roman" w:cs="Arial"/>
          <w:b/>
          <w:color w:val="000000"/>
          <w:sz w:val="20"/>
          <w:szCs w:val="20"/>
          <w:lang w:eastAsia="fr-FR"/>
        </w:rPr>
        <w:t xml:space="preserve"> </w:t>
      </w:r>
    </w:p>
    <w:tbl>
      <w:tblPr>
        <w:tblStyle w:val="Grilledutableau"/>
        <w:tblW w:w="4787" w:type="pct"/>
        <w:tblInd w:w="250" w:type="dxa"/>
        <w:tblLayout w:type="fixed"/>
        <w:tblLook w:val="04A0" w:firstRow="1" w:lastRow="0" w:firstColumn="1" w:lastColumn="0" w:noHBand="0" w:noVBand="1"/>
      </w:tblPr>
      <w:tblGrid>
        <w:gridCol w:w="3147"/>
        <w:gridCol w:w="5246"/>
        <w:gridCol w:w="850"/>
        <w:gridCol w:w="992"/>
        <w:gridCol w:w="1134"/>
        <w:gridCol w:w="1156"/>
        <w:gridCol w:w="1143"/>
      </w:tblGrid>
      <w:tr w:rsidR="00401546" w:rsidRPr="00A9330B" w14:paraId="22D3E888" w14:textId="77777777" w:rsidTr="00401546">
        <w:trPr>
          <w:trHeight w:val="426"/>
          <w:tblHeader/>
        </w:trPr>
        <w:tc>
          <w:tcPr>
            <w:tcW w:w="5000" w:type="pct"/>
            <w:gridSpan w:val="7"/>
            <w:shd w:val="clear" w:color="auto" w:fill="F7CAAC" w:themeFill="accent2" w:themeFillTint="66"/>
            <w:vAlign w:val="center"/>
          </w:tcPr>
          <w:p w14:paraId="45C1472A" w14:textId="77777777" w:rsidR="00401546" w:rsidRPr="00A9330B" w:rsidRDefault="00401546" w:rsidP="0013556B">
            <w:pPr>
              <w:rPr>
                <w:rFonts w:cs="Arial"/>
                <w:b/>
                <w:sz w:val="18"/>
                <w:szCs w:val="18"/>
              </w:rPr>
            </w:pPr>
            <w:r w:rsidRPr="00A9330B">
              <w:rPr>
                <w:rFonts w:cs="Arial"/>
                <w:b/>
                <w:sz w:val="18"/>
                <w:szCs w:val="18"/>
              </w:rPr>
              <w:t xml:space="preserve">1. PHASE DE PREPARATION /DEMARRAGE </w:t>
            </w:r>
          </w:p>
        </w:tc>
      </w:tr>
      <w:tr w:rsidR="00401546" w:rsidRPr="00A9330B" w14:paraId="1F2069D7" w14:textId="77777777" w:rsidTr="0013556B">
        <w:trPr>
          <w:cantSplit/>
          <w:trHeight w:val="353"/>
          <w:tblHeader/>
        </w:trPr>
        <w:tc>
          <w:tcPr>
            <w:tcW w:w="1151" w:type="pct"/>
            <w:vMerge w:val="restart"/>
            <w:vAlign w:val="center"/>
          </w:tcPr>
          <w:p w14:paraId="368C6DD1" w14:textId="77777777" w:rsidR="00401546" w:rsidRPr="00A9330B" w:rsidRDefault="00401546" w:rsidP="0013556B">
            <w:pPr>
              <w:rPr>
                <w:rFonts w:cs="Arial"/>
                <w:b/>
                <w:sz w:val="16"/>
                <w:szCs w:val="16"/>
              </w:rPr>
            </w:pPr>
            <w:r w:rsidRPr="00A9330B">
              <w:rPr>
                <w:rFonts w:cs="Arial"/>
                <w:b/>
                <w:sz w:val="16"/>
                <w:szCs w:val="16"/>
              </w:rPr>
              <w:t>Activités sources d’impacts</w:t>
            </w:r>
          </w:p>
        </w:tc>
        <w:tc>
          <w:tcPr>
            <w:tcW w:w="1919" w:type="pct"/>
            <w:vMerge w:val="restart"/>
            <w:vAlign w:val="center"/>
          </w:tcPr>
          <w:p w14:paraId="445DBE8C" w14:textId="77777777" w:rsidR="00401546" w:rsidRPr="00A9330B" w:rsidRDefault="00401546" w:rsidP="0013556B">
            <w:pPr>
              <w:rPr>
                <w:rFonts w:cs="Arial"/>
                <w:b/>
                <w:sz w:val="16"/>
                <w:szCs w:val="16"/>
              </w:rPr>
            </w:pPr>
            <w:r w:rsidRPr="00A9330B">
              <w:rPr>
                <w:rFonts w:cs="Arial"/>
                <w:b/>
                <w:sz w:val="16"/>
                <w:szCs w:val="16"/>
              </w:rPr>
              <w:t xml:space="preserve">Impacts négatifs potentiels </w:t>
            </w:r>
          </w:p>
        </w:tc>
        <w:tc>
          <w:tcPr>
            <w:tcW w:w="1930" w:type="pct"/>
            <w:gridSpan w:val="5"/>
          </w:tcPr>
          <w:p w14:paraId="5B63CF9C" w14:textId="77777777" w:rsidR="00401546" w:rsidRPr="00A9330B" w:rsidRDefault="00401546" w:rsidP="0013556B">
            <w:pPr>
              <w:rPr>
                <w:rFonts w:cs="Arial"/>
                <w:b/>
                <w:sz w:val="16"/>
                <w:szCs w:val="16"/>
              </w:rPr>
            </w:pPr>
            <w:r w:rsidRPr="00A9330B">
              <w:rPr>
                <w:rFonts w:cs="Arial"/>
                <w:b/>
                <w:sz w:val="16"/>
                <w:szCs w:val="16"/>
              </w:rPr>
              <w:t xml:space="preserve">Evaluation de l’impact </w:t>
            </w:r>
          </w:p>
        </w:tc>
      </w:tr>
      <w:tr w:rsidR="00401546" w:rsidRPr="00A9330B" w14:paraId="23992FB8" w14:textId="77777777" w:rsidTr="0013556B">
        <w:trPr>
          <w:trHeight w:val="982"/>
          <w:tblHeader/>
        </w:trPr>
        <w:tc>
          <w:tcPr>
            <w:tcW w:w="1151" w:type="pct"/>
            <w:vMerge/>
            <w:vAlign w:val="center"/>
          </w:tcPr>
          <w:p w14:paraId="39893299" w14:textId="77777777" w:rsidR="00401546" w:rsidRPr="00A9330B" w:rsidRDefault="00401546" w:rsidP="0013556B">
            <w:pPr>
              <w:rPr>
                <w:rFonts w:cs="Arial"/>
                <w:b/>
                <w:sz w:val="16"/>
                <w:szCs w:val="16"/>
              </w:rPr>
            </w:pPr>
          </w:p>
        </w:tc>
        <w:tc>
          <w:tcPr>
            <w:tcW w:w="1919" w:type="pct"/>
            <w:vMerge/>
            <w:vAlign w:val="center"/>
          </w:tcPr>
          <w:p w14:paraId="5F66FB16" w14:textId="77777777" w:rsidR="00401546" w:rsidRPr="00A9330B" w:rsidRDefault="00401546" w:rsidP="0013556B">
            <w:pPr>
              <w:rPr>
                <w:rFonts w:cs="Arial"/>
                <w:b/>
                <w:sz w:val="16"/>
                <w:szCs w:val="16"/>
              </w:rPr>
            </w:pPr>
          </w:p>
        </w:tc>
        <w:tc>
          <w:tcPr>
            <w:tcW w:w="311" w:type="pct"/>
            <w:textDirection w:val="btLr"/>
          </w:tcPr>
          <w:p w14:paraId="0CBB5D3A" w14:textId="77777777" w:rsidR="00401546" w:rsidRPr="00A9330B" w:rsidRDefault="00401546" w:rsidP="0013556B">
            <w:pPr>
              <w:rPr>
                <w:rFonts w:cs="Arial"/>
                <w:b/>
                <w:sz w:val="16"/>
                <w:szCs w:val="16"/>
              </w:rPr>
            </w:pPr>
            <w:r w:rsidRPr="00A9330B">
              <w:rPr>
                <w:rFonts w:cs="Arial"/>
                <w:b/>
                <w:sz w:val="16"/>
                <w:szCs w:val="16"/>
              </w:rPr>
              <w:t>Caractère + / -</w:t>
            </w:r>
          </w:p>
        </w:tc>
        <w:tc>
          <w:tcPr>
            <w:tcW w:w="363" w:type="pct"/>
            <w:textDirection w:val="btLr"/>
          </w:tcPr>
          <w:p w14:paraId="0AF43292" w14:textId="77777777" w:rsidR="00401546" w:rsidRPr="00A9330B" w:rsidRDefault="00401546" w:rsidP="0013556B">
            <w:pPr>
              <w:rPr>
                <w:rFonts w:cs="Arial"/>
                <w:b/>
                <w:sz w:val="16"/>
                <w:szCs w:val="16"/>
              </w:rPr>
            </w:pPr>
            <w:r w:rsidRPr="00A9330B">
              <w:rPr>
                <w:rFonts w:cs="Arial"/>
                <w:b/>
                <w:sz w:val="16"/>
                <w:szCs w:val="16"/>
              </w:rPr>
              <w:t xml:space="preserve">intensité </w:t>
            </w:r>
          </w:p>
        </w:tc>
        <w:tc>
          <w:tcPr>
            <w:tcW w:w="415" w:type="pct"/>
            <w:textDirection w:val="btLr"/>
          </w:tcPr>
          <w:p w14:paraId="5544BCDE" w14:textId="77777777" w:rsidR="00401546" w:rsidRPr="00A9330B" w:rsidRDefault="00401546" w:rsidP="0013556B">
            <w:pPr>
              <w:rPr>
                <w:rFonts w:cs="Arial"/>
                <w:b/>
                <w:sz w:val="16"/>
                <w:szCs w:val="16"/>
              </w:rPr>
            </w:pPr>
            <w:r w:rsidRPr="00A9330B">
              <w:rPr>
                <w:rFonts w:cs="Arial"/>
                <w:b/>
                <w:sz w:val="16"/>
                <w:szCs w:val="16"/>
              </w:rPr>
              <w:t xml:space="preserve">Etendue </w:t>
            </w:r>
          </w:p>
        </w:tc>
        <w:tc>
          <w:tcPr>
            <w:tcW w:w="423" w:type="pct"/>
            <w:textDirection w:val="btLr"/>
          </w:tcPr>
          <w:p w14:paraId="490E6278" w14:textId="77777777" w:rsidR="00401546" w:rsidRPr="00A9330B" w:rsidRDefault="00401546" w:rsidP="0013556B">
            <w:pPr>
              <w:rPr>
                <w:rFonts w:cs="Arial"/>
                <w:b/>
                <w:sz w:val="16"/>
                <w:szCs w:val="16"/>
              </w:rPr>
            </w:pPr>
            <w:r w:rsidRPr="00A9330B">
              <w:rPr>
                <w:rFonts w:cs="Arial"/>
                <w:b/>
                <w:sz w:val="16"/>
                <w:szCs w:val="16"/>
              </w:rPr>
              <w:t xml:space="preserve">Durée </w:t>
            </w:r>
          </w:p>
        </w:tc>
        <w:tc>
          <w:tcPr>
            <w:tcW w:w="418" w:type="pct"/>
            <w:textDirection w:val="btLr"/>
          </w:tcPr>
          <w:p w14:paraId="47E47CEB" w14:textId="77777777" w:rsidR="00401546" w:rsidRPr="00A9330B" w:rsidRDefault="00401546" w:rsidP="0013556B">
            <w:pPr>
              <w:rPr>
                <w:rFonts w:cs="Arial"/>
                <w:b/>
                <w:sz w:val="16"/>
                <w:szCs w:val="16"/>
              </w:rPr>
            </w:pPr>
            <w:r w:rsidRPr="00A9330B">
              <w:rPr>
                <w:rFonts w:cs="Arial"/>
                <w:b/>
                <w:sz w:val="16"/>
                <w:szCs w:val="16"/>
              </w:rPr>
              <w:t xml:space="preserve">Importance </w:t>
            </w:r>
          </w:p>
        </w:tc>
      </w:tr>
      <w:tr w:rsidR="00401546" w:rsidRPr="00A9330B" w14:paraId="17161C91" w14:textId="77777777" w:rsidTr="0013556B">
        <w:trPr>
          <w:trHeight w:val="426"/>
        </w:trPr>
        <w:tc>
          <w:tcPr>
            <w:tcW w:w="1151" w:type="pct"/>
          </w:tcPr>
          <w:p w14:paraId="46C87258" w14:textId="77777777" w:rsidR="00401546" w:rsidRPr="00A9330B" w:rsidRDefault="00401546" w:rsidP="0013556B">
            <w:pPr>
              <w:rPr>
                <w:rFonts w:cs="Arial"/>
                <w:sz w:val="18"/>
                <w:szCs w:val="18"/>
              </w:rPr>
            </w:pPr>
            <w:r w:rsidRPr="00A9330B">
              <w:rPr>
                <w:rFonts w:cs="Arial"/>
                <w:sz w:val="18"/>
                <w:szCs w:val="18"/>
              </w:rPr>
              <w:t>1.1. Transport et circulation de la machinerie et des équipements</w:t>
            </w:r>
          </w:p>
        </w:tc>
        <w:tc>
          <w:tcPr>
            <w:tcW w:w="1919" w:type="pct"/>
          </w:tcPr>
          <w:p w14:paraId="12D78545" w14:textId="77777777" w:rsidR="00401546" w:rsidRPr="00A9330B" w:rsidRDefault="00401546" w:rsidP="0013556B">
            <w:pPr>
              <w:rPr>
                <w:rFonts w:cs="Arial"/>
                <w:sz w:val="18"/>
                <w:szCs w:val="18"/>
              </w:rPr>
            </w:pPr>
            <w:r w:rsidRPr="00A9330B">
              <w:rPr>
                <w:rFonts w:cs="Arial"/>
                <w:b/>
                <w:sz w:val="18"/>
                <w:szCs w:val="18"/>
              </w:rPr>
              <w:t xml:space="preserve">Emissions de particules </w:t>
            </w:r>
            <w:r w:rsidRPr="00A9330B">
              <w:rPr>
                <w:rFonts w:cs="Arial"/>
                <w:sz w:val="18"/>
                <w:szCs w:val="18"/>
              </w:rPr>
              <w:t>poussières dans l’air dues au trafic</w:t>
            </w:r>
          </w:p>
          <w:p w14:paraId="0205ADEE" w14:textId="77777777" w:rsidR="00401546" w:rsidRPr="00A9330B" w:rsidRDefault="00401546" w:rsidP="0013556B">
            <w:pPr>
              <w:rPr>
                <w:rFonts w:cs="Arial"/>
                <w:sz w:val="18"/>
                <w:szCs w:val="18"/>
              </w:rPr>
            </w:pPr>
            <w:r w:rsidRPr="00A9330B">
              <w:rPr>
                <w:rFonts w:cs="Arial"/>
                <w:b/>
                <w:sz w:val="18"/>
                <w:szCs w:val="18"/>
              </w:rPr>
              <w:t xml:space="preserve">Nuisances sonores </w:t>
            </w:r>
            <w:r w:rsidRPr="00A9330B">
              <w:rPr>
                <w:rFonts w:cs="Arial"/>
                <w:sz w:val="18"/>
                <w:szCs w:val="18"/>
              </w:rPr>
              <w:t xml:space="preserve">dues au trafic et au déchargement des équipements </w:t>
            </w:r>
          </w:p>
        </w:tc>
        <w:tc>
          <w:tcPr>
            <w:tcW w:w="311" w:type="pct"/>
            <w:vAlign w:val="center"/>
          </w:tcPr>
          <w:p w14:paraId="2EEE360A" w14:textId="77777777" w:rsidR="00401546" w:rsidRPr="00A9330B" w:rsidRDefault="00401546" w:rsidP="0013556B">
            <w:pPr>
              <w:rPr>
                <w:rFonts w:cs="Arial"/>
                <w:sz w:val="18"/>
                <w:szCs w:val="18"/>
              </w:rPr>
            </w:pPr>
            <w:r w:rsidRPr="00A9330B">
              <w:rPr>
                <w:rFonts w:cs="Arial"/>
                <w:sz w:val="16"/>
                <w:szCs w:val="16"/>
              </w:rPr>
              <w:t>-</w:t>
            </w:r>
          </w:p>
        </w:tc>
        <w:tc>
          <w:tcPr>
            <w:tcW w:w="363" w:type="pct"/>
            <w:vAlign w:val="center"/>
          </w:tcPr>
          <w:p w14:paraId="039BE86B" w14:textId="77777777" w:rsidR="00401546" w:rsidRPr="00A9330B" w:rsidRDefault="00401546" w:rsidP="0013556B">
            <w:pPr>
              <w:rPr>
                <w:rFonts w:cs="Arial"/>
                <w:sz w:val="18"/>
                <w:szCs w:val="18"/>
              </w:rPr>
            </w:pPr>
            <w:r w:rsidRPr="00A9330B">
              <w:rPr>
                <w:rFonts w:cs="Arial"/>
                <w:sz w:val="16"/>
                <w:szCs w:val="16"/>
              </w:rPr>
              <w:t xml:space="preserve">faible </w:t>
            </w:r>
          </w:p>
        </w:tc>
        <w:tc>
          <w:tcPr>
            <w:tcW w:w="415" w:type="pct"/>
            <w:vAlign w:val="center"/>
          </w:tcPr>
          <w:p w14:paraId="0F2FFFA1" w14:textId="77777777" w:rsidR="00401546" w:rsidRPr="00A9330B" w:rsidRDefault="00401546" w:rsidP="0013556B">
            <w:pPr>
              <w:rPr>
                <w:rFonts w:cs="Arial"/>
                <w:sz w:val="18"/>
                <w:szCs w:val="18"/>
              </w:rPr>
            </w:pPr>
            <w:r w:rsidRPr="00A9330B">
              <w:rPr>
                <w:rFonts w:cs="Arial"/>
                <w:sz w:val="16"/>
                <w:szCs w:val="16"/>
              </w:rPr>
              <w:t>ponctuelle</w:t>
            </w:r>
          </w:p>
        </w:tc>
        <w:tc>
          <w:tcPr>
            <w:tcW w:w="423" w:type="pct"/>
            <w:vAlign w:val="center"/>
          </w:tcPr>
          <w:p w14:paraId="3F6E8427" w14:textId="77777777" w:rsidR="00401546" w:rsidRPr="00A9330B" w:rsidRDefault="00401546" w:rsidP="0013556B">
            <w:pPr>
              <w:rPr>
                <w:rFonts w:cs="Arial"/>
                <w:sz w:val="18"/>
                <w:szCs w:val="18"/>
              </w:rPr>
            </w:pPr>
            <w:r w:rsidRPr="00A9330B">
              <w:rPr>
                <w:rFonts w:cs="Arial"/>
                <w:sz w:val="16"/>
                <w:szCs w:val="16"/>
              </w:rPr>
              <w:t xml:space="preserve">temporaire  </w:t>
            </w:r>
          </w:p>
        </w:tc>
        <w:tc>
          <w:tcPr>
            <w:tcW w:w="418" w:type="pct"/>
            <w:vAlign w:val="center"/>
          </w:tcPr>
          <w:p w14:paraId="0DD09CA5" w14:textId="77777777" w:rsidR="00401546" w:rsidRPr="00A9330B" w:rsidRDefault="00401546" w:rsidP="0013556B">
            <w:pPr>
              <w:rPr>
                <w:rFonts w:cs="Arial"/>
                <w:sz w:val="18"/>
                <w:szCs w:val="18"/>
              </w:rPr>
            </w:pPr>
            <w:r w:rsidRPr="00A9330B">
              <w:rPr>
                <w:rFonts w:cs="Arial"/>
                <w:sz w:val="16"/>
                <w:szCs w:val="16"/>
              </w:rPr>
              <w:t xml:space="preserve">Faible </w:t>
            </w:r>
          </w:p>
        </w:tc>
      </w:tr>
      <w:tr w:rsidR="00401546" w:rsidRPr="00A9330B" w14:paraId="00B557B5" w14:textId="77777777" w:rsidTr="0013556B">
        <w:trPr>
          <w:trHeight w:val="426"/>
        </w:trPr>
        <w:tc>
          <w:tcPr>
            <w:tcW w:w="1151" w:type="pct"/>
            <w:vMerge w:val="restart"/>
          </w:tcPr>
          <w:p w14:paraId="4652AA1C" w14:textId="3FCDFFA5" w:rsidR="00401546" w:rsidRPr="00A9330B" w:rsidRDefault="00401546" w:rsidP="007B34B9">
            <w:pPr>
              <w:rPr>
                <w:rFonts w:cs="Arial"/>
                <w:sz w:val="18"/>
                <w:szCs w:val="18"/>
              </w:rPr>
            </w:pPr>
            <w:r w:rsidRPr="00A9330B">
              <w:rPr>
                <w:rFonts w:cs="Arial"/>
                <w:sz w:val="18"/>
                <w:szCs w:val="18"/>
              </w:rPr>
              <w:t xml:space="preserve">1.2. </w:t>
            </w:r>
            <w:r w:rsidR="007B34B9" w:rsidRPr="00A9330B">
              <w:rPr>
                <w:rFonts w:cs="Arial"/>
                <w:sz w:val="18"/>
                <w:szCs w:val="18"/>
              </w:rPr>
              <w:t>Installation de chantier /signalisation de chantier/installation des bases vie</w:t>
            </w:r>
          </w:p>
        </w:tc>
        <w:tc>
          <w:tcPr>
            <w:tcW w:w="1919" w:type="pct"/>
          </w:tcPr>
          <w:p w14:paraId="6C54E04B" w14:textId="77777777" w:rsidR="00401546" w:rsidRPr="00A9330B" w:rsidRDefault="00401546" w:rsidP="0013556B">
            <w:pPr>
              <w:rPr>
                <w:rFonts w:cs="Arial"/>
                <w:b/>
                <w:sz w:val="18"/>
                <w:szCs w:val="18"/>
              </w:rPr>
            </w:pPr>
            <w:r w:rsidRPr="00A9330B">
              <w:rPr>
                <w:rFonts w:cs="Arial"/>
                <w:b/>
                <w:sz w:val="18"/>
                <w:szCs w:val="18"/>
              </w:rPr>
              <w:t xml:space="preserve">Emissions de poussières particules dans l’air </w:t>
            </w:r>
          </w:p>
          <w:p w14:paraId="0F2D7B36" w14:textId="77777777" w:rsidR="00401546" w:rsidRPr="00A9330B" w:rsidRDefault="00401546" w:rsidP="000F7BA7">
            <w:pPr>
              <w:jc w:val="both"/>
              <w:rPr>
                <w:rFonts w:cs="Arial"/>
                <w:sz w:val="18"/>
                <w:szCs w:val="18"/>
              </w:rPr>
            </w:pPr>
            <w:r w:rsidRPr="00A9330B">
              <w:rPr>
                <w:rFonts w:cs="Arial"/>
                <w:sz w:val="18"/>
                <w:szCs w:val="18"/>
              </w:rPr>
              <w:t>Les actions de terrassement, de transports et de déchargement de matériaux entraînent une augmentation de la concentration des poussières (sables, latérite, etc.) dans l’atmosphère. L’impact de la pollution atmosphérique sur les populations se présente avec beaucoup d’acuité au niveau des zones habitées et particulièrement en milieu urbain et périurbain.</w:t>
            </w:r>
          </w:p>
        </w:tc>
        <w:tc>
          <w:tcPr>
            <w:tcW w:w="311" w:type="pct"/>
            <w:vAlign w:val="center"/>
          </w:tcPr>
          <w:p w14:paraId="5EDC71B3" w14:textId="77777777" w:rsidR="00401546" w:rsidRPr="00A9330B" w:rsidRDefault="00401546" w:rsidP="0013556B">
            <w:pPr>
              <w:rPr>
                <w:rFonts w:cs="Arial"/>
                <w:b/>
                <w:sz w:val="18"/>
                <w:szCs w:val="18"/>
              </w:rPr>
            </w:pPr>
            <w:r w:rsidRPr="00A9330B">
              <w:rPr>
                <w:rFonts w:cs="Arial"/>
                <w:sz w:val="16"/>
                <w:szCs w:val="16"/>
              </w:rPr>
              <w:t>-</w:t>
            </w:r>
          </w:p>
        </w:tc>
        <w:tc>
          <w:tcPr>
            <w:tcW w:w="363" w:type="pct"/>
            <w:vAlign w:val="center"/>
          </w:tcPr>
          <w:p w14:paraId="4A02CAE0" w14:textId="77777777" w:rsidR="00401546" w:rsidRPr="00A9330B" w:rsidRDefault="00401546" w:rsidP="0013556B">
            <w:pPr>
              <w:rPr>
                <w:rFonts w:cs="Arial"/>
                <w:b/>
                <w:sz w:val="18"/>
                <w:szCs w:val="18"/>
              </w:rPr>
            </w:pPr>
            <w:r w:rsidRPr="00A9330B">
              <w:rPr>
                <w:rFonts w:cs="Arial"/>
                <w:sz w:val="16"/>
                <w:szCs w:val="16"/>
              </w:rPr>
              <w:t xml:space="preserve">faible </w:t>
            </w:r>
          </w:p>
        </w:tc>
        <w:tc>
          <w:tcPr>
            <w:tcW w:w="415" w:type="pct"/>
            <w:vAlign w:val="center"/>
          </w:tcPr>
          <w:p w14:paraId="682DCDF6" w14:textId="77777777" w:rsidR="00401546" w:rsidRPr="00A9330B" w:rsidRDefault="00401546" w:rsidP="0013556B">
            <w:pPr>
              <w:rPr>
                <w:rFonts w:cs="Arial"/>
                <w:b/>
                <w:sz w:val="18"/>
                <w:szCs w:val="18"/>
              </w:rPr>
            </w:pPr>
            <w:r w:rsidRPr="00A9330B">
              <w:rPr>
                <w:rFonts w:cs="Arial"/>
                <w:sz w:val="16"/>
                <w:szCs w:val="16"/>
              </w:rPr>
              <w:t>ponctuelle</w:t>
            </w:r>
          </w:p>
        </w:tc>
        <w:tc>
          <w:tcPr>
            <w:tcW w:w="423" w:type="pct"/>
            <w:vAlign w:val="center"/>
          </w:tcPr>
          <w:p w14:paraId="4043475C" w14:textId="77777777" w:rsidR="00401546" w:rsidRPr="00A9330B" w:rsidRDefault="00401546" w:rsidP="0013556B">
            <w:pPr>
              <w:rPr>
                <w:rFonts w:cs="Arial"/>
                <w:b/>
                <w:sz w:val="18"/>
                <w:szCs w:val="18"/>
              </w:rPr>
            </w:pPr>
            <w:r w:rsidRPr="00A9330B">
              <w:rPr>
                <w:rFonts w:cs="Arial"/>
                <w:sz w:val="16"/>
                <w:szCs w:val="16"/>
              </w:rPr>
              <w:t xml:space="preserve">temporaire  </w:t>
            </w:r>
          </w:p>
        </w:tc>
        <w:tc>
          <w:tcPr>
            <w:tcW w:w="418" w:type="pct"/>
            <w:vAlign w:val="center"/>
          </w:tcPr>
          <w:p w14:paraId="70156AF6" w14:textId="77777777" w:rsidR="00401546" w:rsidRPr="00A9330B" w:rsidRDefault="00401546" w:rsidP="0013556B">
            <w:pPr>
              <w:rPr>
                <w:rFonts w:cs="Arial"/>
                <w:b/>
                <w:sz w:val="18"/>
                <w:szCs w:val="18"/>
              </w:rPr>
            </w:pPr>
            <w:r w:rsidRPr="00A9330B">
              <w:rPr>
                <w:rFonts w:cs="Arial"/>
                <w:sz w:val="16"/>
                <w:szCs w:val="16"/>
              </w:rPr>
              <w:t xml:space="preserve">Faible </w:t>
            </w:r>
          </w:p>
        </w:tc>
      </w:tr>
      <w:tr w:rsidR="00401546" w:rsidRPr="00A9330B" w14:paraId="3BE680B2" w14:textId="77777777" w:rsidTr="0013556B">
        <w:trPr>
          <w:trHeight w:val="300"/>
        </w:trPr>
        <w:tc>
          <w:tcPr>
            <w:tcW w:w="1151" w:type="pct"/>
            <w:vMerge/>
          </w:tcPr>
          <w:p w14:paraId="47F26371" w14:textId="77777777" w:rsidR="00401546" w:rsidRPr="00A9330B" w:rsidRDefault="00401546" w:rsidP="0013556B">
            <w:pPr>
              <w:rPr>
                <w:rFonts w:cs="Arial"/>
                <w:sz w:val="18"/>
                <w:szCs w:val="18"/>
              </w:rPr>
            </w:pPr>
          </w:p>
        </w:tc>
        <w:tc>
          <w:tcPr>
            <w:tcW w:w="1919" w:type="pct"/>
          </w:tcPr>
          <w:p w14:paraId="38DDB1BB" w14:textId="77777777" w:rsidR="00401546" w:rsidRPr="00A9330B" w:rsidRDefault="00401546" w:rsidP="0013556B">
            <w:pPr>
              <w:rPr>
                <w:rFonts w:cs="Arial"/>
                <w:b/>
                <w:sz w:val="18"/>
                <w:szCs w:val="18"/>
              </w:rPr>
            </w:pPr>
            <w:r w:rsidRPr="00A9330B">
              <w:rPr>
                <w:rFonts w:cs="Arial"/>
                <w:b/>
                <w:sz w:val="18"/>
                <w:szCs w:val="18"/>
              </w:rPr>
              <w:t xml:space="preserve">Pertes de végétation </w:t>
            </w:r>
          </w:p>
          <w:p w14:paraId="2BF82368" w14:textId="529EA0E7" w:rsidR="00401546" w:rsidRPr="00A9330B" w:rsidRDefault="00401546" w:rsidP="000F7BA7">
            <w:pPr>
              <w:jc w:val="both"/>
              <w:rPr>
                <w:rFonts w:cs="Arial"/>
                <w:sz w:val="18"/>
                <w:szCs w:val="18"/>
              </w:rPr>
            </w:pPr>
            <w:r w:rsidRPr="00A9330B">
              <w:rPr>
                <w:rFonts w:cs="Arial"/>
                <w:sz w:val="18"/>
                <w:szCs w:val="18"/>
              </w:rPr>
              <w:t xml:space="preserve">Du fait de l’occupation de l’espace qu’il est indispensable de libérer pour la base vie avant la réalisation des travaux, des arbres et plantations se retrouveraient dans l’emprise du projet </w:t>
            </w:r>
          </w:p>
          <w:p w14:paraId="697329C4" w14:textId="77777777" w:rsidR="00401546" w:rsidRPr="00A9330B" w:rsidRDefault="00401546" w:rsidP="000F7BA7">
            <w:pPr>
              <w:jc w:val="both"/>
              <w:rPr>
                <w:rFonts w:cs="Arial"/>
                <w:b/>
                <w:sz w:val="18"/>
                <w:szCs w:val="18"/>
              </w:rPr>
            </w:pPr>
            <w:r w:rsidRPr="00A9330B">
              <w:rPr>
                <w:rFonts w:cs="Arial"/>
                <w:sz w:val="18"/>
                <w:szCs w:val="18"/>
              </w:rPr>
              <w:t xml:space="preserve">En effet, la localisation de la base vie permettra de faire le bilan exhaustif de la flore susceptible d’être affectée  </w:t>
            </w:r>
          </w:p>
        </w:tc>
        <w:tc>
          <w:tcPr>
            <w:tcW w:w="311" w:type="pct"/>
            <w:vAlign w:val="center"/>
          </w:tcPr>
          <w:p w14:paraId="02162E02" w14:textId="77777777" w:rsidR="00401546" w:rsidRPr="00A9330B" w:rsidRDefault="00401546" w:rsidP="0013556B">
            <w:pPr>
              <w:rPr>
                <w:rFonts w:cs="Arial"/>
                <w:b/>
                <w:sz w:val="18"/>
                <w:szCs w:val="18"/>
              </w:rPr>
            </w:pPr>
            <w:r w:rsidRPr="00A9330B">
              <w:rPr>
                <w:rFonts w:cs="Arial"/>
                <w:sz w:val="16"/>
                <w:szCs w:val="16"/>
              </w:rPr>
              <w:t>+</w:t>
            </w:r>
          </w:p>
        </w:tc>
        <w:tc>
          <w:tcPr>
            <w:tcW w:w="363" w:type="pct"/>
            <w:vAlign w:val="center"/>
          </w:tcPr>
          <w:p w14:paraId="27EFA220" w14:textId="77777777" w:rsidR="00401546" w:rsidRPr="00A9330B" w:rsidRDefault="00401546" w:rsidP="0013556B">
            <w:pPr>
              <w:rPr>
                <w:rFonts w:cs="Arial"/>
                <w:b/>
                <w:sz w:val="18"/>
                <w:szCs w:val="18"/>
              </w:rPr>
            </w:pPr>
            <w:r w:rsidRPr="00A9330B">
              <w:rPr>
                <w:rFonts w:cs="Arial"/>
                <w:sz w:val="16"/>
                <w:szCs w:val="16"/>
              </w:rPr>
              <w:t>moyenne</w:t>
            </w:r>
          </w:p>
        </w:tc>
        <w:tc>
          <w:tcPr>
            <w:tcW w:w="415" w:type="pct"/>
            <w:vAlign w:val="center"/>
          </w:tcPr>
          <w:p w14:paraId="2F2B5D3A" w14:textId="77777777" w:rsidR="00401546" w:rsidRPr="00A9330B" w:rsidRDefault="00401546" w:rsidP="0013556B">
            <w:pPr>
              <w:rPr>
                <w:rFonts w:cs="Arial"/>
                <w:b/>
                <w:sz w:val="18"/>
                <w:szCs w:val="18"/>
              </w:rPr>
            </w:pPr>
            <w:r w:rsidRPr="00A9330B">
              <w:rPr>
                <w:rFonts w:cs="Arial"/>
                <w:sz w:val="16"/>
                <w:szCs w:val="16"/>
              </w:rPr>
              <w:t>locale</w:t>
            </w:r>
          </w:p>
        </w:tc>
        <w:tc>
          <w:tcPr>
            <w:tcW w:w="423" w:type="pct"/>
            <w:vAlign w:val="center"/>
          </w:tcPr>
          <w:p w14:paraId="2DA43C02" w14:textId="77777777" w:rsidR="00401546" w:rsidRPr="00A9330B" w:rsidRDefault="00401546" w:rsidP="0013556B">
            <w:pPr>
              <w:rPr>
                <w:rFonts w:cs="Arial"/>
                <w:b/>
                <w:sz w:val="18"/>
                <w:szCs w:val="18"/>
              </w:rPr>
            </w:pPr>
            <w:r w:rsidRPr="00A9330B">
              <w:rPr>
                <w:rFonts w:cs="Arial"/>
                <w:sz w:val="16"/>
                <w:szCs w:val="16"/>
              </w:rPr>
              <w:t xml:space="preserve">permanente </w:t>
            </w:r>
          </w:p>
        </w:tc>
        <w:tc>
          <w:tcPr>
            <w:tcW w:w="418" w:type="pct"/>
            <w:vAlign w:val="center"/>
          </w:tcPr>
          <w:p w14:paraId="109EEC93" w14:textId="77777777" w:rsidR="00401546" w:rsidRPr="00A9330B" w:rsidRDefault="00401546" w:rsidP="0013556B">
            <w:pPr>
              <w:rPr>
                <w:rFonts w:cs="Arial"/>
                <w:b/>
                <w:sz w:val="18"/>
                <w:szCs w:val="18"/>
              </w:rPr>
            </w:pPr>
            <w:r w:rsidRPr="00A9330B">
              <w:rPr>
                <w:rFonts w:cs="Arial"/>
                <w:sz w:val="16"/>
                <w:szCs w:val="16"/>
              </w:rPr>
              <w:t>Moyenne</w:t>
            </w:r>
          </w:p>
        </w:tc>
      </w:tr>
      <w:tr w:rsidR="00401546" w:rsidRPr="00A9330B" w14:paraId="7B209AD1" w14:textId="77777777" w:rsidTr="0013556B">
        <w:trPr>
          <w:trHeight w:val="300"/>
        </w:trPr>
        <w:tc>
          <w:tcPr>
            <w:tcW w:w="1151" w:type="pct"/>
            <w:vMerge/>
          </w:tcPr>
          <w:p w14:paraId="14E3F679" w14:textId="77777777" w:rsidR="00401546" w:rsidRPr="00A9330B" w:rsidRDefault="00401546" w:rsidP="0013556B">
            <w:pPr>
              <w:rPr>
                <w:rFonts w:cs="Arial"/>
                <w:sz w:val="18"/>
                <w:szCs w:val="18"/>
              </w:rPr>
            </w:pPr>
          </w:p>
        </w:tc>
        <w:tc>
          <w:tcPr>
            <w:tcW w:w="1919" w:type="pct"/>
          </w:tcPr>
          <w:p w14:paraId="08733037" w14:textId="77777777" w:rsidR="00401546" w:rsidRPr="00A9330B" w:rsidRDefault="00401546" w:rsidP="0013556B">
            <w:pPr>
              <w:rPr>
                <w:rFonts w:cs="Arial"/>
                <w:b/>
                <w:sz w:val="18"/>
                <w:szCs w:val="18"/>
              </w:rPr>
            </w:pPr>
            <w:r w:rsidRPr="00A9330B">
              <w:rPr>
                <w:rFonts w:cs="Arial"/>
                <w:b/>
                <w:sz w:val="18"/>
                <w:szCs w:val="18"/>
              </w:rPr>
              <w:t>Pollution du sol par les déchets solides</w:t>
            </w:r>
          </w:p>
          <w:p w14:paraId="460D608F" w14:textId="77777777" w:rsidR="00401546" w:rsidRPr="00A9330B" w:rsidRDefault="00401546" w:rsidP="000F7BA7">
            <w:pPr>
              <w:jc w:val="both"/>
              <w:rPr>
                <w:rFonts w:cs="Arial"/>
                <w:sz w:val="18"/>
                <w:szCs w:val="18"/>
              </w:rPr>
            </w:pPr>
            <w:r w:rsidRPr="00A9330B">
              <w:rPr>
                <w:rFonts w:cs="Arial"/>
                <w:sz w:val="18"/>
                <w:szCs w:val="18"/>
              </w:rPr>
              <w:t>Au niveau des ateliers, garages d’entretien et de réparation et stations d’approvisionnement en carburant, les activités génèrent des nuisances certaines sur l’environnement, dont les plus significatives portent sur la production de toutes sortes de déchets.</w:t>
            </w:r>
          </w:p>
        </w:tc>
        <w:tc>
          <w:tcPr>
            <w:tcW w:w="311" w:type="pct"/>
            <w:vAlign w:val="center"/>
          </w:tcPr>
          <w:p w14:paraId="0A3E18BB" w14:textId="77777777" w:rsidR="00401546" w:rsidRPr="00A9330B" w:rsidRDefault="00401546" w:rsidP="0013556B">
            <w:pPr>
              <w:rPr>
                <w:rFonts w:cs="Arial"/>
                <w:b/>
                <w:sz w:val="18"/>
                <w:szCs w:val="18"/>
              </w:rPr>
            </w:pPr>
            <w:r w:rsidRPr="00A9330B">
              <w:rPr>
                <w:rFonts w:cs="Arial"/>
                <w:sz w:val="16"/>
                <w:szCs w:val="16"/>
              </w:rPr>
              <w:t>-</w:t>
            </w:r>
          </w:p>
        </w:tc>
        <w:tc>
          <w:tcPr>
            <w:tcW w:w="363" w:type="pct"/>
            <w:vAlign w:val="center"/>
          </w:tcPr>
          <w:p w14:paraId="0B477C0D" w14:textId="77777777" w:rsidR="00401546" w:rsidRPr="00A9330B" w:rsidRDefault="00401546" w:rsidP="0013556B">
            <w:pPr>
              <w:rPr>
                <w:rFonts w:cs="Arial"/>
                <w:b/>
                <w:sz w:val="18"/>
                <w:szCs w:val="18"/>
              </w:rPr>
            </w:pPr>
            <w:r w:rsidRPr="00A9330B">
              <w:rPr>
                <w:rFonts w:cs="Arial"/>
                <w:sz w:val="16"/>
                <w:szCs w:val="16"/>
              </w:rPr>
              <w:t xml:space="preserve">faible </w:t>
            </w:r>
          </w:p>
        </w:tc>
        <w:tc>
          <w:tcPr>
            <w:tcW w:w="415" w:type="pct"/>
            <w:vAlign w:val="center"/>
          </w:tcPr>
          <w:p w14:paraId="506EC874" w14:textId="77777777" w:rsidR="00401546" w:rsidRPr="00A9330B" w:rsidRDefault="00401546" w:rsidP="0013556B">
            <w:pPr>
              <w:rPr>
                <w:rFonts w:cs="Arial"/>
                <w:b/>
                <w:sz w:val="18"/>
                <w:szCs w:val="18"/>
              </w:rPr>
            </w:pPr>
            <w:r w:rsidRPr="00A9330B">
              <w:rPr>
                <w:rFonts w:cs="Arial"/>
                <w:sz w:val="16"/>
                <w:szCs w:val="16"/>
              </w:rPr>
              <w:t>ponctuelle</w:t>
            </w:r>
          </w:p>
        </w:tc>
        <w:tc>
          <w:tcPr>
            <w:tcW w:w="423" w:type="pct"/>
            <w:vAlign w:val="center"/>
          </w:tcPr>
          <w:p w14:paraId="450CD9CA" w14:textId="77777777" w:rsidR="00401546" w:rsidRPr="00A9330B" w:rsidRDefault="00401546" w:rsidP="0013556B">
            <w:pPr>
              <w:rPr>
                <w:rFonts w:cs="Arial"/>
                <w:b/>
                <w:sz w:val="18"/>
                <w:szCs w:val="18"/>
              </w:rPr>
            </w:pPr>
            <w:r w:rsidRPr="00A9330B">
              <w:rPr>
                <w:rFonts w:cs="Arial"/>
                <w:sz w:val="16"/>
                <w:szCs w:val="16"/>
              </w:rPr>
              <w:t xml:space="preserve">temporaire  </w:t>
            </w:r>
          </w:p>
        </w:tc>
        <w:tc>
          <w:tcPr>
            <w:tcW w:w="418" w:type="pct"/>
            <w:vAlign w:val="center"/>
          </w:tcPr>
          <w:p w14:paraId="190BF772" w14:textId="77777777" w:rsidR="00401546" w:rsidRPr="00A9330B" w:rsidRDefault="00401546" w:rsidP="0013556B">
            <w:pPr>
              <w:rPr>
                <w:rFonts w:cs="Arial"/>
                <w:b/>
                <w:sz w:val="18"/>
                <w:szCs w:val="18"/>
              </w:rPr>
            </w:pPr>
            <w:r w:rsidRPr="00A9330B">
              <w:rPr>
                <w:rFonts w:cs="Arial"/>
                <w:sz w:val="16"/>
                <w:szCs w:val="16"/>
              </w:rPr>
              <w:t xml:space="preserve">Faible </w:t>
            </w:r>
          </w:p>
        </w:tc>
      </w:tr>
      <w:tr w:rsidR="0013556B" w:rsidRPr="00A9330B" w14:paraId="5BC1AC0D" w14:textId="77777777" w:rsidTr="0013556B">
        <w:trPr>
          <w:trHeight w:val="300"/>
        </w:trPr>
        <w:tc>
          <w:tcPr>
            <w:tcW w:w="1151" w:type="pct"/>
            <w:vMerge/>
          </w:tcPr>
          <w:p w14:paraId="2CE02BEE" w14:textId="77777777" w:rsidR="0013556B" w:rsidRPr="00A9330B" w:rsidRDefault="0013556B" w:rsidP="0013556B">
            <w:pPr>
              <w:rPr>
                <w:rFonts w:cs="Arial"/>
                <w:sz w:val="18"/>
                <w:szCs w:val="18"/>
              </w:rPr>
            </w:pPr>
          </w:p>
        </w:tc>
        <w:tc>
          <w:tcPr>
            <w:tcW w:w="1919" w:type="pct"/>
          </w:tcPr>
          <w:p w14:paraId="6C5A4BD5" w14:textId="77777777" w:rsidR="0013556B" w:rsidRPr="00A9330B" w:rsidRDefault="0013556B" w:rsidP="0013556B">
            <w:pPr>
              <w:rPr>
                <w:rFonts w:cs="Arial"/>
                <w:b/>
                <w:sz w:val="18"/>
                <w:szCs w:val="18"/>
              </w:rPr>
            </w:pPr>
            <w:r w:rsidRPr="00A9330B">
              <w:rPr>
                <w:rFonts w:cs="Arial"/>
                <w:b/>
                <w:sz w:val="18"/>
                <w:szCs w:val="18"/>
              </w:rPr>
              <w:t>Déversement des hydrocarbures au sol dans la base vie</w:t>
            </w:r>
          </w:p>
          <w:p w14:paraId="7AFDCD19" w14:textId="5B3C0EA4" w:rsidR="0013556B" w:rsidRPr="00A9330B" w:rsidRDefault="0013556B" w:rsidP="000F7BA7">
            <w:pPr>
              <w:jc w:val="both"/>
              <w:rPr>
                <w:rFonts w:cs="Arial"/>
                <w:sz w:val="18"/>
                <w:szCs w:val="18"/>
              </w:rPr>
            </w:pPr>
            <w:r w:rsidRPr="00A9330B">
              <w:rPr>
                <w:rFonts w:cs="Arial"/>
                <w:sz w:val="18"/>
                <w:szCs w:val="18"/>
              </w:rPr>
              <w:lastRenderedPageBreak/>
              <w:t xml:space="preserve">Les principales activités menées dans les bases-vie sont : l’approvisionnement en hydrocarbures, le fonctionnement d’atelier mécanique, le fonctionnement des ateliers de préfabrication d’éléments, le stockage et la manipulation des matériaux, etc.  ces activités peuvent générer des déversements lors des manipulations </w:t>
            </w:r>
          </w:p>
        </w:tc>
        <w:tc>
          <w:tcPr>
            <w:tcW w:w="311" w:type="pct"/>
            <w:vAlign w:val="center"/>
          </w:tcPr>
          <w:p w14:paraId="75B226C0" w14:textId="77777777" w:rsidR="0013556B" w:rsidRPr="00A9330B" w:rsidRDefault="0013556B" w:rsidP="0013556B">
            <w:pPr>
              <w:rPr>
                <w:rFonts w:cs="Arial"/>
                <w:b/>
                <w:sz w:val="18"/>
                <w:szCs w:val="18"/>
              </w:rPr>
            </w:pPr>
            <w:r w:rsidRPr="00A9330B">
              <w:rPr>
                <w:rFonts w:cs="Arial"/>
                <w:sz w:val="16"/>
                <w:szCs w:val="16"/>
              </w:rPr>
              <w:lastRenderedPageBreak/>
              <w:t>-</w:t>
            </w:r>
          </w:p>
        </w:tc>
        <w:tc>
          <w:tcPr>
            <w:tcW w:w="363" w:type="pct"/>
            <w:vAlign w:val="center"/>
          </w:tcPr>
          <w:p w14:paraId="4E857887" w14:textId="77777777" w:rsidR="0013556B" w:rsidRPr="00A9330B" w:rsidRDefault="0013556B" w:rsidP="0013556B">
            <w:pPr>
              <w:rPr>
                <w:rFonts w:cs="Arial"/>
                <w:b/>
                <w:sz w:val="18"/>
                <w:szCs w:val="18"/>
              </w:rPr>
            </w:pPr>
            <w:r w:rsidRPr="00A9330B">
              <w:rPr>
                <w:rFonts w:cs="Arial"/>
                <w:sz w:val="16"/>
                <w:szCs w:val="16"/>
              </w:rPr>
              <w:t xml:space="preserve">Moyenne </w:t>
            </w:r>
          </w:p>
        </w:tc>
        <w:tc>
          <w:tcPr>
            <w:tcW w:w="415" w:type="pct"/>
            <w:vAlign w:val="center"/>
          </w:tcPr>
          <w:p w14:paraId="716DB8B8" w14:textId="77777777" w:rsidR="0013556B" w:rsidRPr="00A9330B" w:rsidRDefault="0013556B" w:rsidP="0013556B">
            <w:pPr>
              <w:rPr>
                <w:rFonts w:cs="Arial"/>
                <w:b/>
                <w:sz w:val="18"/>
                <w:szCs w:val="18"/>
              </w:rPr>
            </w:pPr>
            <w:r w:rsidRPr="00A9330B">
              <w:rPr>
                <w:rFonts w:cs="Arial"/>
                <w:sz w:val="16"/>
                <w:szCs w:val="16"/>
              </w:rPr>
              <w:t>ponctuelle</w:t>
            </w:r>
          </w:p>
        </w:tc>
        <w:tc>
          <w:tcPr>
            <w:tcW w:w="423" w:type="pct"/>
            <w:vAlign w:val="center"/>
          </w:tcPr>
          <w:p w14:paraId="19545758" w14:textId="77777777" w:rsidR="0013556B" w:rsidRPr="00A9330B" w:rsidRDefault="0013556B" w:rsidP="0013556B">
            <w:pPr>
              <w:rPr>
                <w:rFonts w:cs="Arial"/>
                <w:b/>
                <w:sz w:val="18"/>
                <w:szCs w:val="18"/>
              </w:rPr>
            </w:pPr>
            <w:r w:rsidRPr="00A9330B">
              <w:rPr>
                <w:rFonts w:cs="Arial"/>
                <w:sz w:val="16"/>
                <w:szCs w:val="16"/>
              </w:rPr>
              <w:t xml:space="preserve">temporaire </w:t>
            </w:r>
          </w:p>
        </w:tc>
        <w:tc>
          <w:tcPr>
            <w:tcW w:w="418" w:type="pct"/>
            <w:vAlign w:val="center"/>
          </w:tcPr>
          <w:p w14:paraId="53A77F0B" w14:textId="77777777" w:rsidR="0013556B" w:rsidRPr="00A9330B" w:rsidRDefault="0013556B" w:rsidP="0013556B">
            <w:pPr>
              <w:rPr>
                <w:rFonts w:cs="Arial"/>
                <w:b/>
                <w:sz w:val="18"/>
                <w:szCs w:val="18"/>
              </w:rPr>
            </w:pPr>
            <w:r w:rsidRPr="00A9330B">
              <w:rPr>
                <w:rFonts w:cs="Arial"/>
                <w:sz w:val="16"/>
                <w:szCs w:val="16"/>
              </w:rPr>
              <w:t xml:space="preserve">Faible </w:t>
            </w:r>
          </w:p>
        </w:tc>
      </w:tr>
      <w:tr w:rsidR="0013556B" w:rsidRPr="00A9330B" w14:paraId="286328B5" w14:textId="77777777" w:rsidTr="0013556B">
        <w:trPr>
          <w:trHeight w:val="300"/>
        </w:trPr>
        <w:tc>
          <w:tcPr>
            <w:tcW w:w="1151" w:type="pct"/>
            <w:vMerge/>
          </w:tcPr>
          <w:p w14:paraId="16402D40" w14:textId="77777777" w:rsidR="0013556B" w:rsidRPr="00A9330B" w:rsidRDefault="0013556B" w:rsidP="0013556B">
            <w:pPr>
              <w:rPr>
                <w:rFonts w:cs="Arial"/>
                <w:sz w:val="18"/>
                <w:szCs w:val="18"/>
              </w:rPr>
            </w:pPr>
          </w:p>
        </w:tc>
        <w:tc>
          <w:tcPr>
            <w:tcW w:w="1919" w:type="pct"/>
          </w:tcPr>
          <w:p w14:paraId="55A0530D" w14:textId="2974934E" w:rsidR="0013556B" w:rsidRPr="00A9330B" w:rsidRDefault="0013556B" w:rsidP="000F7BA7">
            <w:pPr>
              <w:jc w:val="both"/>
              <w:rPr>
                <w:rFonts w:cs="Arial"/>
                <w:sz w:val="18"/>
                <w:szCs w:val="18"/>
              </w:rPr>
            </w:pPr>
            <w:r w:rsidRPr="00A9330B">
              <w:rPr>
                <w:rFonts w:cs="Arial"/>
                <w:b/>
                <w:sz w:val="18"/>
                <w:szCs w:val="18"/>
              </w:rPr>
              <w:t>Pollution du sol et des nappes par les eaux usées, huiles usagées (graisses, hydrocarbures, lubrifiants) et de composés organiques au plomb</w:t>
            </w:r>
            <w:r w:rsidRPr="00A9330B">
              <w:rPr>
                <w:rFonts w:cs="Arial"/>
                <w:sz w:val="18"/>
                <w:szCs w:val="18"/>
              </w:rPr>
              <w:t xml:space="preserve"> (eaux de galvanisation, acides, etc.)</w:t>
            </w:r>
          </w:p>
          <w:p w14:paraId="3714A573" w14:textId="029F0061" w:rsidR="0013556B" w:rsidRPr="00A9330B" w:rsidRDefault="0013556B" w:rsidP="000F7BA7">
            <w:pPr>
              <w:jc w:val="both"/>
              <w:rPr>
                <w:rFonts w:cs="Arial"/>
                <w:b/>
                <w:sz w:val="18"/>
                <w:szCs w:val="18"/>
              </w:rPr>
            </w:pPr>
            <w:r w:rsidRPr="00A9330B">
              <w:rPr>
                <w:rFonts w:cs="Arial"/>
                <w:sz w:val="18"/>
                <w:szCs w:val="18"/>
              </w:rPr>
              <w:t xml:space="preserve">Les déversements peuvent par infiltration contaminer le sol et atteindre les nappes  </w:t>
            </w:r>
          </w:p>
        </w:tc>
        <w:tc>
          <w:tcPr>
            <w:tcW w:w="311" w:type="pct"/>
            <w:vAlign w:val="center"/>
          </w:tcPr>
          <w:p w14:paraId="2E1C0545" w14:textId="65E84D61" w:rsidR="0013556B" w:rsidRPr="00A9330B" w:rsidRDefault="0013556B" w:rsidP="0013556B">
            <w:pPr>
              <w:rPr>
                <w:rFonts w:cs="Arial"/>
                <w:sz w:val="16"/>
                <w:szCs w:val="16"/>
              </w:rPr>
            </w:pPr>
            <w:r w:rsidRPr="00A9330B">
              <w:rPr>
                <w:rFonts w:cs="Arial"/>
                <w:sz w:val="16"/>
                <w:szCs w:val="16"/>
              </w:rPr>
              <w:t>-</w:t>
            </w:r>
          </w:p>
        </w:tc>
        <w:tc>
          <w:tcPr>
            <w:tcW w:w="363" w:type="pct"/>
            <w:vAlign w:val="center"/>
          </w:tcPr>
          <w:p w14:paraId="0402EF67" w14:textId="1BED703C" w:rsidR="0013556B" w:rsidRPr="00A9330B" w:rsidRDefault="0013556B" w:rsidP="0013556B">
            <w:pPr>
              <w:rPr>
                <w:rFonts w:cs="Arial"/>
                <w:sz w:val="16"/>
                <w:szCs w:val="16"/>
              </w:rPr>
            </w:pPr>
            <w:r w:rsidRPr="00A9330B">
              <w:rPr>
                <w:rFonts w:cs="Arial"/>
                <w:sz w:val="16"/>
                <w:szCs w:val="16"/>
              </w:rPr>
              <w:t xml:space="preserve">Moyenne </w:t>
            </w:r>
          </w:p>
        </w:tc>
        <w:tc>
          <w:tcPr>
            <w:tcW w:w="415" w:type="pct"/>
            <w:vAlign w:val="center"/>
          </w:tcPr>
          <w:p w14:paraId="7FA6F2E5" w14:textId="7EF77A25" w:rsidR="0013556B" w:rsidRPr="00A9330B" w:rsidRDefault="0013556B" w:rsidP="0013556B">
            <w:pPr>
              <w:rPr>
                <w:rFonts w:cs="Arial"/>
                <w:sz w:val="16"/>
                <w:szCs w:val="16"/>
              </w:rPr>
            </w:pPr>
            <w:r w:rsidRPr="00A9330B">
              <w:rPr>
                <w:rFonts w:cs="Arial"/>
                <w:sz w:val="16"/>
                <w:szCs w:val="16"/>
              </w:rPr>
              <w:t>ponctuelle</w:t>
            </w:r>
          </w:p>
        </w:tc>
        <w:tc>
          <w:tcPr>
            <w:tcW w:w="423" w:type="pct"/>
            <w:vAlign w:val="center"/>
          </w:tcPr>
          <w:p w14:paraId="42C12909" w14:textId="7715E12A" w:rsidR="0013556B" w:rsidRPr="00A9330B" w:rsidRDefault="0013556B" w:rsidP="0013556B">
            <w:pPr>
              <w:rPr>
                <w:rFonts w:cs="Arial"/>
                <w:sz w:val="16"/>
                <w:szCs w:val="16"/>
              </w:rPr>
            </w:pPr>
            <w:r w:rsidRPr="00A9330B">
              <w:rPr>
                <w:rFonts w:cs="Arial"/>
                <w:sz w:val="16"/>
                <w:szCs w:val="16"/>
              </w:rPr>
              <w:t xml:space="preserve">temporaire </w:t>
            </w:r>
          </w:p>
        </w:tc>
        <w:tc>
          <w:tcPr>
            <w:tcW w:w="418" w:type="pct"/>
            <w:vAlign w:val="center"/>
          </w:tcPr>
          <w:p w14:paraId="07502334" w14:textId="1D6BEEB0" w:rsidR="0013556B" w:rsidRPr="00A9330B" w:rsidRDefault="0013556B" w:rsidP="0013556B">
            <w:pPr>
              <w:rPr>
                <w:rFonts w:cs="Arial"/>
                <w:sz w:val="16"/>
                <w:szCs w:val="16"/>
              </w:rPr>
            </w:pPr>
            <w:r w:rsidRPr="00A9330B">
              <w:rPr>
                <w:rFonts w:cs="Arial"/>
                <w:sz w:val="16"/>
                <w:szCs w:val="16"/>
              </w:rPr>
              <w:t xml:space="preserve">Faible </w:t>
            </w:r>
          </w:p>
        </w:tc>
      </w:tr>
      <w:tr w:rsidR="0013556B" w:rsidRPr="00A9330B" w14:paraId="43A608F5" w14:textId="77777777" w:rsidTr="0013556B">
        <w:trPr>
          <w:trHeight w:val="300"/>
        </w:trPr>
        <w:tc>
          <w:tcPr>
            <w:tcW w:w="1151" w:type="pct"/>
            <w:vMerge/>
          </w:tcPr>
          <w:p w14:paraId="2FF24D82" w14:textId="77777777" w:rsidR="0013556B" w:rsidRPr="00A9330B" w:rsidRDefault="0013556B" w:rsidP="0013556B">
            <w:pPr>
              <w:rPr>
                <w:rFonts w:cs="Arial"/>
                <w:sz w:val="18"/>
                <w:szCs w:val="18"/>
              </w:rPr>
            </w:pPr>
          </w:p>
        </w:tc>
        <w:tc>
          <w:tcPr>
            <w:tcW w:w="1919" w:type="pct"/>
          </w:tcPr>
          <w:p w14:paraId="7D944572" w14:textId="77777777" w:rsidR="0013556B" w:rsidRPr="00A9330B" w:rsidRDefault="0013556B" w:rsidP="0013556B">
            <w:pPr>
              <w:rPr>
                <w:rFonts w:cs="Arial"/>
                <w:b/>
                <w:sz w:val="18"/>
                <w:szCs w:val="18"/>
              </w:rPr>
            </w:pPr>
            <w:r w:rsidRPr="00A9330B">
              <w:rPr>
                <w:rFonts w:cs="Arial"/>
                <w:b/>
                <w:sz w:val="18"/>
                <w:szCs w:val="18"/>
              </w:rPr>
              <w:t>Pollution du sol par les eaux usées</w:t>
            </w:r>
          </w:p>
          <w:p w14:paraId="3C3922B8" w14:textId="77777777" w:rsidR="0013556B" w:rsidRPr="00A9330B" w:rsidRDefault="0013556B" w:rsidP="0013556B">
            <w:pPr>
              <w:rPr>
                <w:rFonts w:cs="Arial"/>
                <w:b/>
                <w:sz w:val="18"/>
                <w:szCs w:val="18"/>
              </w:rPr>
            </w:pPr>
            <w:r w:rsidRPr="00A9330B">
              <w:rPr>
                <w:rFonts w:cs="Arial"/>
                <w:sz w:val="18"/>
                <w:szCs w:val="18"/>
              </w:rPr>
              <w:t>La pollution de l’environnement et du cadre de vie par des rejets des produits de vidange et de lavage dans le milieu naturel (huiles usées, graisses, hydrocarbures et de composés organiques au plomb, pièces défectueuses, eaux de galvanisation, acides, etc.)</w:t>
            </w:r>
          </w:p>
        </w:tc>
        <w:tc>
          <w:tcPr>
            <w:tcW w:w="311" w:type="pct"/>
            <w:vAlign w:val="center"/>
          </w:tcPr>
          <w:p w14:paraId="76F5D3DE" w14:textId="77777777" w:rsidR="0013556B" w:rsidRPr="00A9330B" w:rsidRDefault="0013556B" w:rsidP="0013556B">
            <w:pPr>
              <w:rPr>
                <w:rFonts w:cs="Arial"/>
                <w:b/>
                <w:sz w:val="18"/>
                <w:szCs w:val="18"/>
              </w:rPr>
            </w:pPr>
            <w:r w:rsidRPr="00A9330B">
              <w:rPr>
                <w:rFonts w:cs="Arial"/>
                <w:sz w:val="16"/>
                <w:szCs w:val="16"/>
              </w:rPr>
              <w:t>-</w:t>
            </w:r>
          </w:p>
        </w:tc>
        <w:tc>
          <w:tcPr>
            <w:tcW w:w="363" w:type="pct"/>
            <w:vAlign w:val="center"/>
          </w:tcPr>
          <w:p w14:paraId="4FCDE27C" w14:textId="77777777" w:rsidR="0013556B" w:rsidRPr="00A9330B" w:rsidRDefault="0013556B" w:rsidP="0013556B">
            <w:pPr>
              <w:rPr>
                <w:rFonts w:cs="Arial"/>
                <w:b/>
                <w:sz w:val="18"/>
                <w:szCs w:val="18"/>
              </w:rPr>
            </w:pPr>
            <w:r w:rsidRPr="00A9330B">
              <w:rPr>
                <w:rFonts w:cs="Arial"/>
                <w:sz w:val="16"/>
                <w:szCs w:val="16"/>
              </w:rPr>
              <w:t xml:space="preserve">faible </w:t>
            </w:r>
          </w:p>
        </w:tc>
        <w:tc>
          <w:tcPr>
            <w:tcW w:w="415" w:type="pct"/>
            <w:vAlign w:val="center"/>
          </w:tcPr>
          <w:p w14:paraId="28768C2F" w14:textId="77777777" w:rsidR="0013556B" w:rsidRPr="00A9330B" w:rsidRDefault="0013556B" w:rsidP="0013556B">
            <w:pPr>
              <w:rPr>
                <w:rFonts w:cs="Arial"/>
                <w:b/>
                <w:sz w:val="18"/>
                <w:szCs w:val="18"/>
              </w:rPr>
            </w:pPr>
            <w:r w:rsidRPr="00A9330B">
              <w:rPr>
                <w:rFonts w:cs="Arial"/>
                <w:sz w:val="16"/>
                <w:szCs w:val="16"/>
              </w:rPr>
              <w:t>ponctuelle</w:t>
            </w:r>
          </w:p>
        </w:tc>
        <w:tc>
          <w:tcPr>
            <w:tcW w:w="423" w:type="pct"/>
            <w:vAlign w:val="center"/>
          </w:tcPr>
          <w:p w14:paraId="66ECB872" w14:textId="77777777" w:rsidR="0013556B" w:rsidRPr="00A9330B" w:rsidRDefault="0013556B" w:rsidP="0013556B">
            <w:pPr>
              <w:rPr>
                <w:rFonts w:cs="Arial"/>
                <w:b/>
                <w:sz w:val="18"/>
                <w:szCs w:val="18"/>
              </w:rPr>
            </w:pPr>
            <w:r w:rsidRPr="00A9330B">
              <w:rPr>
                <w:rFonts w:cs="Arial"/>
                <w:sz w:val="16"/>
                <w:szCs w:val="16"/>
              </w:rPr>
              <w:t>temporaire</w:t>
            </w:r>
          </w:p>
        </w:tc>
        <w:tc>
          <w:tcPr>
            <w:tcW w:w="418" w:type="pct"/>
            <w:vAlign w:val="center"/>
          </w:tcPr>
          <w:p w14:paraId="226CD14C" w14:textId="77777777" w:rsidR="0013556B" w:rsidRPr="00A9330B" w:rsidRDefault="0013556B" w:rsidP="0013556B">
            <w:pPr>
              <w:rPr>
                <w:rFonts w:cs="Arial"/>
                <w:b/>
                <w:sz w:val="18"/>
                <w:szCs w:val="18"/>
              </w:rPr>
            </w:pPr>
            <w:r w:rsidRPr="00A9330B">
              <w:rPr>
                <w:rFonts w:cs="Arial"/>
                <w:sz w:val="16"/>
                <w:szCs w:val="16"/>
              </w:rPr>
              <w:t xml:space="preserve">Faible </w:t>
            </w:r>
          </w:p>
        </w:tc>
      </w:tr>
      <w:tr w:rsidR="0013556B" w:rsidRPr="00A9330B" w14:paraId="4F429F9D" w14:textId="77777777" w:rsidTr="0013556B">
        <w:trPr>
          <w:trHeight w:val="300"/>
        </w:trPr>
        <w:tc>
          <w:tcPr>
            <w:tcW w:w="1151" w:type="pct"/>
            <w:vMerge w:val="restart"/>
          </w:tcPr>
          <w:p w14:paraId="53B26942" w14:textId="4E8E7BA8" w:rsidR="0013556B" w:rsidRPr="00A9330B" w:rsidRDefault="001053D5" w:rsidP="001053D5">
            <w:pPr>
              <w:rPr>
                <w:rFonts w:cs="Arial"/>
                <w:sz w:val="18"/>
                <w:szCs w:val="18"/>
              </w:rPr>
            </w:pPr>
            <w:r w:rsidRPr="00A9330B">
              <w:rPr>
                <w:rFonts w:cs="Arial"/>
                <w:sz w:val="18"/>
                <w:szCs w:val="18"/>
              </w:rPr>
              <w:t>1.2. Installation de chantier /signalisation de chantier/installation des bases vie</w:t>
            </w:r>
          </w:p>
        </w:tc>
        <w:tc>
          <w:tcPr>
            <w:tcW w:w="1919" w:type="pct"/>
          </w:tcPr>
          <w:p w14:paraId="7E7CE309" w14:textId="77777777" w:rsidR="0013556B" w:rsidRPr="00A9330B" w:rsidRDefault="0013556B" w:rsidP="0013556B">
            <w:pPr>
              <w:rPr>
                <w:rFonts w:cs="Arial"/>
                <w:b/>
                <w:sz w:val="18"/>
                <w:szCs w:val="18"/>
              </w:rPr>
            </w:pPr>
            <w:r w:rsidRPr="00A9330B">
              <w:rPr>
                <w:rFonts w:cs="Arial"/>
                <w:b/>
                <w:sz w:val="18"/>
                <w:szCs w:val="18"/>
              </w:rPr>
              <w:t>Déversement des hydrocarbures au sol dans la base vie</w:t>
            </w:r>
          </w:p>
          <w:p w14:paraId="181EDD36" w14:textId="5D37AC71" w:rsidR="0013556B" w:rsidRPr="00A9330B" w:rsidRDefault="0013556B" w:rsidP="001053D5">
            <w:pPr>
              <w:rPr>
                <w:rFonts w:cs="Arial"/>
                <w:sz w:val="18"/>
                <w:szCs w:val="18"/>
              </w:rPr>
            </w:pPr>
            <w:r w:rsidRPr="00A9330B">
              <w:rPr>
                <w:rFonts w:cs="Arial"/>
                <w:sz w:val="18"/>
                <w:szCs w:val="18"/>
              </w:rPr>
              <w:t xml:space="preserve">Les principales activités menées dans les bases-vie sont : l’approvisionnement en hydrocarbures, le fonctionnement d’atelier mécanique, le fonctionnement des ateliers de préfabrication d’éléments, le stockage et la manipulation des matériaux, etc.  ces activités peuvent générer des déversements lors des manipulations </w:t>
            </w:r>
          </w:p>
        </w:tc>
        <w:tc>
          <w:tcPr>
            <w:tcW w:w="311" w:type="pct"/>
            <w:vAlign w:val="center"/>
          </w:tcPr>
          <w:p w14:paraId="73192DB7" w14:textId="77777777" w:rsidR="0013556B" w:rsidRPr="00A9330B" w:rsidRDefault="0013556B" w:rsidP="0013556B">
            <w:pPr>
              <w:rPr>
                <w:rFonts w:cs="Arial"/>
                <w:sz w:val="16"/>
                <w:szCs w:val="16"/>
              </w:rPr>
            </w:pPr>
            <w:r w:rsidRPr="00A9330B">
              <w:rPr>
                <w:rFonts w:cs="Arial"/>
                <w:sz w:val="16"/>
                <w:szCs w:val="16"/>
              </w:rPr>
              <w:t>-</w:t>
            </w:r>
          </w:p>
        </w:tc>
        <w:tc>
          <w:tcPr>
            <w:tcW w:w="363" w:type="pct"/>
            <w:vAlign w:val="center"/>
          </w:tcPr>
          <w:p w14:paraId="27FBC22A" w14:textId="77777777" w:rsidR="0013556B" w:rsidRPr="00A9330B" w:rsidRDefault="0013556B" w:rsidP="0013556B">
            <w:pPr>
              <w:rPr>
                <w:rFonts w:cs="Arial"/>
                <w:sz w:val="16"/>
                <w:szCs w:val="16"/>
              </w:rPr>
            </w:pPr>
            <w:r w:rsidRPr="00A9330B">
              <w:rPr>
                <w:rFonts w:cs="Arial"/>
                <w:sz w:val="16"/>
                <w:szCs w:val="16"/>
              </w:rPr>
              <w:t>moyenne</w:t>
            </w:r>
          </w:p>
        </w:tc>
        <w:tc>
          <w:tcPr>
            <w:tcW w:w="415" w:type="pct"/>
            <w:vAlign w:val="center"/>
          </w:tcPr>
          <w:p w14:paraId="00548254" w14:textId="77777777" w:rsidR="0013556B" w:rsidRPr="00A9330B" w:rsidRDefault="0013556B" w:rsidP="0013556B">
            <w:pPr>
              <w:rPr>
                <w:rFonts w:cs="Arial"/>
                <w:sz w:val="16"/>
                <w:szCs w:val="16"/>
              </w:rPr>
            </w:pPr>
            <w:r w:rsidRPr="00A9330B">
              <w:rPr>
                <w:rFonts w:cs="Arial"/>
                <w:sz w:val="16"/>
                <w:szCs w:val="16"/>
              </w:rPr>
              <w:t>locale</w:t>
            </w:r>
          </w:p>
        </w:tc>
        <w:tc>
          <w:tcPr>
            <w:tcW w:w="423" w:type="pct"/>
            <w:vAlign w:val="center"/>
          </w:tcPr>
          <w:p w14:paraId="4518856A" w14:textId="77777777" w:rsidR="0013556B" w:rsidRPr="00A9330B" w:rsidRDefault="0013556B" w:rsidP="0013556B">
            <w:pPr>
              <w:rPr>
                <w:rFonts w:cs="Arial"/>
                <w:sz w:val="16"/>
                <w:szCs w:val="16"/>
              </w:rPr>
            </w:pPr>
            <w:r w:rsidRPr="00A9330B">
              <w:rPr>
                <w:rFonts w:cs="Arial"/>
                <w:sz w:val="16"/>
                <w:szCs w:val="16"/>
              </w:rPr>
              <w:t>temporaire</w:t>
            </w:r>
          </w:p>
        </w:tc>
        <w:tc>
          <w:tcPr>
            <w:tcW w:w="418" w:type="pct"/>
            <w:vAlign w:val="center"/>
          </w:tcPr>
          <w:p w14:paraId="58C3167D" w14:textId="77777777" w:rsidR="0013556B" w:rsidRPr="00A9330B" w:rsidRDefault="0013556B" w:rsidP="0013556B">
            <w:pPr>
              <w:rPr>
                <w:rFonts w:cs="Arial"/>
                <w:sz w:val="16"/>
                <w:szCs w:val="16"/>
              </w:rPr>
            </w:pPr>
            <w:r w:rsidRPr="00A9330B">
              <w:rPr>
                <w:rFonts w:cs="Arial"/>
                <w:sz w:val="16"/>
                <w:szCs w:val="16"/>
              </w:rPr>
              <w:t xml:space="preserve">Faible </w:t>
            </w:r>
          </w:p>
        </w:tc>
      </w:tr>
      <w:tr w:rsidR="0013556B" w:rsidRPr="00A9330B" w14:paraId="0CC55593" w14:textId="77777777" w:rsidTr="0013556B">
        <w:trPr>
          <w:trHeight w:val="300"/>
        </w:trPr>
        <w:tc>
          <w:tcPr>
            <w:tcW w:w="1151" w:type="pct"/>
            <w:vMerge/>
          </w:tcPr>
          <w:p w14:paraId="49F21A95" w14:textId="77777777" w:rsidR="0013556B" w:rsidRPr="00A9330B" w:rsidRDefault="0013556B" w:rsidP="0013556B">
            <w:pPr>
              <w:rPr>
                <w:rFonts w:cs="Arial"/>
                <w:sz w:val="18"/>
                <w:szCs w:val="18"/>
              </w:rPr>
            </w:pPr>
          </w:p>
        </w:tc>
        <w:tc>
          <w:tcPr>
            <w:tcW w:w="1919" w:type="pct"/>
          </w:tcPr>
          <w:p w14:paraId="67F2AA15" w14:textId="4723183C" w:rsidR="0013556B" w:rsidRPr="00A9330B" w:rsidRDefault="0013556B" w:rsidP="000F7BA7">
            <w:pPr>
              <w:jc w:val="both"/>
              <w:rPr>
                <w:rFonts w:cs="Arial"/>
                <w:sz w:val="18"/>
                <w:szCs w:val="18"/>
              </w:rPr>
            </w:pPr>
            <w:r w:rsidRPr="00A9330B">
              <w:rPr>
                <w:rFonts w:cs="Arial"/>
                <w:b/>
                <w:sz w:val="18"/>
                <w:szCs w:val="18"/>
              </w:rPr>
              <w:t xml:space="preserve">Pollution du sol et des nappes par les eaux usées, huiles usagées (graisses, hydrocarbures, lubrifiants) et de </w:t>
            </w:r>
            <w:r w:rsidRPr="00A9330B">
              <w:rPr>
                <w:rFonts w:cs="Arial"/>
                <w:b/>
                <w:sz w:val="18"/>
                <w:szCs w:val="18"/>
              </w:rPr>
              <w:lastRenderedPageBreak/>
              <w:t>composés organiques au plomb</w:t>
            </w:r>
            <w:r w:rsidRPr="00A9330B">
              <w:rPr>
                <w:rFonts w:cs="Arial"/>
                <w:sz w:val="18"/>
                <w:szCs w:val="18"/>
              </w:rPr>
              <w:t xml:space="preserve"> (eaux de galvanisation, acides, etc.)</w:t>
            </w:r>
          </w:p>
          <w:p w14:paraId="6373CD4E" w14:textId="77777777" w:rsidR="0013556B" w:rsidRPr="00A9330B" w:rsidRDefault="0013556B" w:rsidP="000F7BA7">
            <w:pPr>
              <w:jc w:val="both"/>
              <w:rPr>
                <w:rFonts w:cs="Arial"/>
                <w:sz w:val="18"/>
                <w:szCs w:val="18"/>
              </w:rPr>
            </w:pPr>
            <w:r w:rsidRPr="00A9330B">
              <w:rPr>
                <w:rFonts w:cs="Arial"/>
                <w:sz w:val="18"/>
                <w:szCs w:val="18"/>
              </w:rPr>
              <w:t xml:space="preserve">Les déversements peuvent par infiltration contaminer le sol et atteindre les nappes  </w:t>
            </w:r>
          </w:p>
        </w:tc>
        <w:tc>
          <w:tcPr>
            <w:tcW w:w="311" w:type="pct"/>
            <w:vAlign w:val="center"/>
          </w:tcPr>
          <w:p w14:paraId="6C9815D4" w14:textId="77777777" w:rsidR="0013556B" w:rsidRPr="00A9330B" w:rsidRDefault="0013556B" w:rsidP="0013556B">
            <w:pPr>
              <w:rPr>
                <w:rFonts w:cs="Arial"/>
                <w:sz w:val="16"/>
                <w:szCs w:val="16"/>
              </w:rPr>
            </w:pPr>
            <w:r w:rsidRPr="00A9330B">
              <w:rPr>
                <w:rFonts w:cs="Arial"/>
                <w:sz w:val="16"/>
                <w:szCs w:val="16"/>
              </w:rPr>
              <w:lastRenderedPageBreak/>
              <w:t>-</w:t>
            </w:r>
          </w:p>
        </w:tc>
        <w:tc>
          <w:tcPr>
            <w:tcW w:w="363" w:type="pct"/>
            <w:vAlign w:val="center"/>
          </w:tcPr>
          <w:p w14:paraId="218A66D2" w14:textId="77777777" w:rsidR="0013556B" w:rsidRPr="00A9330B" w:rsidRDefault="0013556B" w:rsidP="0013556B">
            <w:pPr>
              <w:rPr>
                <w:rFonts w:cs="Arial"/>
                <w:sz w:val="16"/>
                <w:szCs w:val="16"/>
              </w:rPr>
            </w:pPr>
            <w:r w:rsidRPr="00A9330B">
              <w:rPr>
                <w:rFonts w:cs="Arial"/>
                <w:sz w:val="16"/>
                <w:szCs w:val="16"/>
              </w:rPr>
              <w:t>moyenne</w:t>
            </w:r>
          </w:p>
        </w:tc>
        <w:tc>
          <w:tcPr>
            <w:tcW w:w="415" w:type="pct"/>
            <w:vAlign w:val="center"/>
          </w:tcPr>
          <w:p w14:paraId="5597430E" w14:textId="77777777" w:rsidR="0013556B" w:rsidRPr="00A9330B" w:rsidRDefault="0013556B" w:rsidP="0013556B">
            <w:pPr>
              <w:rPr>
                <w:rFonts w:cs="Arial"/>
                <w:sz w:val="16"/>
                <w:szCs w:val="16"/>
              </w:rPr>
            </w:pPr>
            <w:r w:rsidRPr="00A9330B">
              <w:rPr>
                <w:rFonts w:cs="Arial"/>
                <w:sz w:val="16"/>
                <w:szCs w:val="16"/>
              </w:rPr>
              <w:t>locale</w:t>
            </w:r>
          </w:p>
        </w:tc>
        <w:tc>
          <w:tcPr>
            <w:tcW w:w="423" w:type="pct"/>
            <w:vAlign w:val="center"/>
          </w:tcPr>
          <w:p w14:paraId="26F455D7" w14:textId="77777777" w:rsidR="0013556B" w:rsidRPr="00A9330B" w:rsidRDefault="0013556B" w:rsidP="0013556B">
            <w:pPr>
              <w:rPr>
                <w:rFonts w:cs="Arial"/>
                <w:sz w:val="16"/>
                <w:szCs w:val="16"/>
              </w:rPr>
            </w:pPr>
            <w:r w:rsidRPr="00A9330B">
              <w:rPr>
                <w:rFonts w:cs="Arial"/>
                <w:sz w:val="16"/>
                <w:szCs w:val="16"/>
              </w:rPr>
              <w:t xml:space="preserve">temporaire </w:t>
            </w:r>
          </w:p>
        </w:tc>
        <w:tc>
          <w:tcPr>
            <w:tcW w:w="418" w:type="pct"/>
            <w:vAlign w:val="center"/>
          </w:tcPr>
          <w:p w14:paraId="068DE636" w14:textId="77777777" w:rsidR="0013556B" w:rsidRPr="00A9330B" w:rsidRDefault="0013556B" w:rsidP="0013556B">
            <w:pPr>
              <w:rPr>
                <w:rFonts w:cs="Arial"/>
                <w:sz w:val="16"/>
                <w:szCs w:val="16"/>
              </w:rPr>
            </w:pPr>
            <w:r w:rsidRPr="00A9330B">
              <w:rPr>
                <w:rFonts w:cs="Arial"/>
                <w:sz w:val="16"/>
                <w:szCs w:val="16"/>
              </w:rPr>
              <w:t xml:space="preserve">Faible </w:t>
            </w:r>
          </w:p>
        </w:tc>
      </w:tr>
      <w:tr w:rsidR="0013556B" w:rsidRPr="00A9330B" w14:paraId="5C9B5ED5" w14:textId="77777777" w:rsidTr="0013556B">
        <w:trPr>
          <w:trHeight w:val="426"/>
        </w:trPr>
        <w:tc>
          <w:tcPr>
            <w:tcW w:w="1151" w:type="pct"/>
            <w:vMerge w:val="restart"/>
            <w:vAlign w:val="center"/>
          </w:tcPr>
          <w:p w14:paraId="0970A579" w14:textId="514EE8AC" w:rsidR="0013556B" w:rsidRPr="00A9330B" w:rsidRDefault="001053D5" w:rsidP="0013556B">
            <w:pPr>
              <w:rPr>
                <w:rFonts w:cs="Arial"/>
                <w:sz w:val="18"/>
                <w:szCs w:val="18"/>
              </w:rPr>
            </w:pPr>
            <w:r w:rsidRPr="00A9330B">
              <w:rPr>
                <w:rFonts w:cs="Arial"/>
                <w:sz w:val="18"/>
                <w:szCs w:val="18"/>
              </w:rPr>
              <w:lastRenderedPageBreak/>
              <w:t>1.3</w:t>
            </w:r>
            <w:r w:rsidR="0013556B" w:rsidRPr="00A9330B">
              <w:rPr>
                <w:rFonts w:cs="Arial"/>
                <w:sz w:val="18"/>
                <w:szCs w:val="18"/>
              </w:rPr>
              <w:t>. Libération des emprises</w:t>
            </w:r>
          </w:p>
          <w:p w14:paraId="4188C7DB" w14:textId="77777777" w:rsidR="0013556B" w:rsidRPr="00A9330B" w:rsidRDefault="0013556B" w:rsidP="0013556B">
            <w:pPr>
              <w:rPr>
                <w:rFonts w:cs="Arial"/>
                <w:sz w:val="18"/>
                <w:szCs w:val="18"/>
              </w:rPr>
            </w:pPr>
            <w:r w:rsidRPr="00A9330B">
              <w:rPr>
                <w:rFonts w:cs="Arial"/>
                <w:sz w:val="18"/>
                <w:szCs w:val="18"/>
              </w:rPr>
              <w:t>Terrassement</w:t>
            </w:r>
          </w:p>
        </w:tc>
        <w:tc>
          <w:tcPr>
            <w:tcW w:w="1919" w:type="pct"/>
          </w:tcPr>
          <w:p w14:paraId="3767FF8A" w14:textId="77777777" w:rsidR="0013556B" w:rsidRPr="00A9330B" w:rsidRDefault="0013556B" w:rsidP="000F7BA7">
            <w:pPr>
              <w:jc w:val="both"/>
              <w:rPr>
                <w:rFonts w:cs="Arial"/>
                <w:sz w:val="18"/>
                <w:szCs w:val="18"/>
              </w:rPr>
            </w:pPr>
            <w:r w:rsidRPr="00A9330B">
              <w:rPr>
                <w:rFonts w:cs="Arial"/>
                <w:b/>
                <w:sz w:val="18"/>
                <w:szCs w:val="18"/>
              </w:rPr>
              <w:t>Perte de biens foncier et immobilier</w:t>
            </w:r>
            <w:r w:rsidRPr="00A9330B">
              <w:rPr>
                <w:rFonts w:cs="Arial"/>
                <w:sz w:val="18"/>
                <w:szCs w:val="18"/>
              </w:rPr>
              <w:t xml:space="preserve"> du fait de la libération de l’emprise de la route pour les travaux</w:t>
            </w:r>
          </w:p>
        </w:tc>
        <w:tc>
          <w:tcPr>
            <w:tcW w:w="311" w:type="pct"/>
            <w:vAlign w:val="center"/>
          </w:tcPr>
          <w:p w14:paraId="2BC328F3" w14:textId="77777777" w:rsidR="0013556B" w:rsidRPr="00A9330B" w:rsidRDefault="0013556B" w:rsidP="0013556B">
            <w:pPr>
              <w:rPr>
                <w:rFonts w:cs="Arial"/>
                <w:b/>
                <w:sz w:val="18"/>
                <w:szCs w:val="18"/>
              </w:rPr>
            </w:pPr>
            <w:r w:rsidRPr="00A9330B">
              <w:rPr>
                <w:rFonts w:cs="Arial"/>
                <w:sz w:val="16"/>
                <w:szCs w:val="16"/>
              </w:rPr>
              <w:t>-</w:t>
            </w:r>
          </w:p>
        </w:tc>
        <w:tc>
          <w:tcPr>
            <w:tcW w:w="363" w:type="pct"/>
            <w:vAlign w:val="center"/>
          </w:tcPr>
          <w:p w14:paraId="7906C79E" w14:textId="77777777" w:rsidR="0013556B" w:rsidRPr="00A9330B" w:rsidRDefault="0013556B" w:rsidP="0013556B">
            <w:pPr>
              <w:rPr>
                <w:rFonts w:cs="Arial"/>
                <w:b/>
                <w:sz w:val="18"/>
                <w:szCs w:val="18"/>
              </w:rPr>
            </w:pPr>
            <w:r w:rsidRPr="00A9330B">
              <w:rPr>
                <w:rFonts w:cs="Arial"/>
                <w:sz w:val="16"/>
                <w:szCs w:val="16"/>
              </w:rPr>
              <w:t xml:space="preserve">Forte </w:t>
            </w:r>
          </w:p>
        </w:tc>
        <w:tc>
          <w:tcPr>
            <w:tcW w:w="415" w:type="pct"/>
            <w:vAlign w:val="center"/>
          </w:tcPr>
          <w:p w14:paraId="1424F455" w14:textId="77777777" w:rsidR="0013556B" w:rsidRPr="00A9330B" w:rsidRDefault="0013556B" w:rsidP="0013556B">
            <w:pPr>
              <w:rPr>
                <w:rFonts w:cs="Arial"/>
                <w:b/>
                <w:sz w:val="18"/>
                <w:szCs w:val="18"/>
              </w:rPr>
            </w:pPr>
            <w:r w:rsidRPr="00A9330B">
              <w:rPr>
                <w:rFonts w:cs="Arial"/>
                <w:sz w:val="16"/>
                <w:szCs w:val="16"/>
              </w:rPr>
              <w:t>locale</w:t>
            </w:r>
          </w:p>
        </w:tc>
        <w:tc>
          <w:tcPr>
            <w:tcW w:w="423" w:type="pct"/>
            <w:vAlign w:val="center"/>
          </w:tcPr>
          <w:p w14:paraId="68BE2523" w14:textId="77777777" w:rsidR="0013556B" w:rsidRPr="00A9330B" w:rsidRDefault="0013556B" w:rsidP="0013556B">
            <w:pPr>
              <w:rPr>
                <w:rFonts w:cs="Arial"/>
                <w:b/>
                <w:sz w:val="18"/>
                <w:szCs w:val="18"/>
              </w:rPr>
            </w:pPr>
            <w:r w:rsidRPr="00A9330B">
              <w:rPr>
                <w:rFonts w:cs="Arial"/>
                <w:sz w:val="16"/>
                <w:szCs w:val="16"/>
              </w:rPr>
              <w:t xml:space="preserve">permanente </w:t>
            </w:r>
          </w:p>
        </w:tc>
        <w:tc>
          <w:tcPr>
            <w:tcW w:w="418" w:type="pct"/>
            <w:vAlign w:val="center"/>
          </w:tcPr>
          <w:p w14:paraId="61A39BC2" w14:textId="77777777" w:rsidR="0013556B" w:rsidRPr="00A9330B" w:rsidRDefault="0013556B" w:rsidP="0013556B">
            <w:pPr>
              <w:rPr>
                <w:rFonts w:cs="Arial"/>
                <w:b/>
                <w:sz w:val="18"/>
                <w:szCs w:val="18"/>
              </w:rPr>
            </w:pPr>
            <w:r w:rsidRPr="00A9330B">
              <w:rPr>
                <w:rFonts w:cs="Arial"/>
                <w:sz w:val="16"/>
                <w:szCs w:val="16"/>
              </w:rPr>
              <w:t xml:space="preserve">Forte </w:t>
            </w:r>
          </w:p>
        </w:tc>
      </w:tr>
      <w:tr w:rsidR="0013556B" w:rsidRPr="00A9330B" w14:paraId="2FE1E68A" w14:textId="77777777" w:rsidTr="0013556B">
        <w:trPr>
          <w:trHeight w:val="426"/>
        </w:trPr>
        <w:tc>
          <w:tcPr>
            <w:tcW w:w="1151" w:type="pct"/>
            <w:vMerge/>
          </w:tcPr>
          <w:p w14:paraId="4F91E6CC" w14:textId="77777777" w:rsidR="0013556B" w:rsidRPr="00A9330B" w:rsidRDefault="0013556B" w:rsidP="0013556B">
            <w:pPr>
              <w:rPr>
                <w:rFonts w:cs="Arial"/>
                <w:sz w:val="18"/>
                <w:szCs w:val="18"/>
              </w:rPr>
            </w:pPr>
          </w:p>
        </w:tc>
        <w:tc>
          <w:tcPr>
            <w:tcW w:w="1919" w:type="pct"/>
          </w:tcPr>
          <w:p w14:paraId="2B4FFCA6" w14:textId="77777777" w:rsidR="0013556B" w:rsidRPr="00A9330B" w:rsidRDefault="0013556B" w:rsidP="000F7BA7">
            <w:pPr>
              <w:jc w:val="both"/>
              <w:rPr>
                <w:rFonts w:cs="Arial"/>
                <w:sz w:val="18"/>
                <w:szCs w:val="18"/>
              </w:rPr>
            </w:pPr>
            <w:r w:rsidRPr="00A9330B">
              <w:rPr>
                <w:rFonts w:cs="Arial"/>
                <w:b/>
                <w:sz w:val="18"/>
                <w:szCs w:val="18"/>
              </w:rPr>
              <w:t>Déplacement et ou perturbation des activités économiques et perte de revenu</w:t>
            </w:r>
            <w:r w:rsidRPr="00A9330B">
              <w:rPr>
                <w:rFonts w:cs="Arial"/>
                <w:sz w:val="18"/>
                <w:szCs w:val="18"/>
              </w:rPr>
              <w:t xml:space="preserve"> (boutiques, baraques, étalages, marchés de bétail, …)</w:t>
            </w:r>
          </w:p>
        </w:tc>
        <w:tc>
          <w:tcPr>
            <w:tcW w:w="311" w:type="pct"/>
            <w:vAlign w:val="center"/>
          </w:tcPr>
          <w:p w14:paraId="369C2C4B" w14:textId="77777777" w:rsidR="0013556B" w:rsidRPr="00A9330B" w:rsidRDefault="0013556B" w:rsidP="0013556B">
            <w:pPr>
              <w:rPr>
                <w:rFonts w:cs="Arial"/>
                <w:b/>
                <w:sz w:val="18"/>
                <w:szCs w:val="18"/>
              </w:rPr>
            </w:pPr>
            <w:r w:rsidRPr="00A9330B">
              <w:rPr>
                <w:rFonts w:cs="Arial"/>
                <w:sz w:val="16"/>
                <w:szCs w:val="16"/>
              </w:rPr>
              <w:t>-</w:t>
            </w:r>
          </w:p>
        </w:tc>
        <w:tc>
          <w:tcPr>
            <w:tcW w:w="363" w:type="pct"/>
            <w:vAlign w:val="center"/>
          </w:tcPr>
          <w:p w14:paraId="205C17BC" w14:textId="77777777" w:rsidR="0013556B" w:rsidRPr="00A9330B" w:rsidRDefault="0013556B" w:rsidP="0013556B">
            <w:pPr>
              <w:rPr>
                <w:rFonts w:cs="Arial"/>
                <w:b/>
                <w:sz w:val="18"/>
                <w:szCs w:val="18"/>
              </w:rPr>
            </w:pPr>
            <w:r w:rsidRPr="00A9330B">
              <w:rPr>
                <w:rFonts w:cs="Arial"/>
                <w:sz w:val="16"/>
                <w:szCs w:val="16"/>
              </w:rPr>
              <w:t>moyenne</w:t>
            </w:r>
          </w:p>
        </w:tc>
        <w:tc>
          <w:tcPr>
            <w:tcW w:w="415" w:type="pct"/>
            <w:vAlign w:val="center"/>
          </w:tcPr>
          <w:p w14:paraId="08073CA6" w14:textId="77777777" w:rsidR="0013556B" w:rsidRPr="00A9330B" w:rsidRDefault="0013556B" w:rsidP="0013556B">
            <w:pPr>
              <w:rPr>
                <w:rFonts w:cs="Arial"/>
                <w:b/>
                <w:sz w:val="18"/>
                <w:szCs w:val="18"/>
              </w:rPr>
            </w:pPr>
            <w:r w:rsidRPr="00A9330B">
              <w:rPr>
                <w:rFonts w:cs="Arial"/>
                <w:sz w:val="16"/>
                <w:szCs w:val="16"/>
              </w:rPr>
              <w:t>locale</w:t>
            </w:r>
          </w:p>
        </w:tc>
        <w:tc>
          <w:tcPr>
            <w:tcW w:w="423" w:type="pct"/>
            <w:vAlign w:val="center"/>
          </w:tcPr>
          <w:p w14:paraId="18AE6C5F" w14:textId="77777777" w:rsidR="0013556B" w:rsidRPr="00A9330B" w:rsidRDefault="0013556B" w:rsidP="0013556B">
            <w:pPr>
              <w:rPr>
                <w:rFonts w:cs="Arial"/>
                <w:b/>
                <w:sz w:val="18"/>
                <w:szCs w:val="18"/>
              </w:rPr>
            </w:pPr>
            <w:r w:rsidRPr="00A9330B">
              <w:rPr>
                <w:rFonts w:cs="Arial"/>
                <w:sz w:val="16"/>
                <w:szCs w:val="16"/>
              </w:rPr>
              <w:t xml:space="preserve">permanente </w:t>
            </w:r>
          </w:p>
        </w:tc>
        <w:tc>
          <w:tcPr>
            <w:tcW w:w="418" w:type="pct"/>
            <w:vAlign w:val="center"/>
          </w:tcPr>
          <w:p w14:paraId="76803799" w14:textId="77777777" w:rsidR="0013556B" w:rsidRPr="00A9330B" w:rsidRDefault="0013556B" w:rsidP="0013556B">
            <w:pPr>
              <w:rPr>
                <w:rFonts w:cs="Arial"/>
                <w:b/>
                <w:sz w:val="18"/>
                <w:szCs w:val="18"/>
              </w:rPr>
            </w:pPr>
            <w:r w:rsidRPr="00A9330B">
              <w:rPr>
                <w:rFonts w:cs="Arial"/>
                <w:sz w:val="16"/>
                <w:szCs w:val="16"/>
              </w:rPr>
              <w:t>Moyenne</w:t>
            </w:r>
          </w:p>
        </w:tc>
      </w:tr>
      <w:tr w:rsidR="0013556B" w:rsidRPr="00A9330B" w14:paraId="5C9581D2" w14:textId="77777777" w:rsidTr="0013556B">
        <w:tc>
          <w:tcPr>
            <w:tcW w:w="1151" w:type="pct"/>
            <w:vMerge/>
          </w:tcPr>
          <w:p w14:paraId="0855FCA6" w14:textId="77777777" w:rsidR="0013556B" w:rsidRPr="00A9330B" w:rsidRDefault="0013556B" w:rsidP="0013556B">
            <w:pPr>
              <w:rPr>
                <w:rFonts w:cs="Arial"/>
                <w:sz w:val="18"/>
                <w:szCs w:val="18"/>
              </w:rPr>
            </w:pPr>
          </w:p>
        </w:tc>
        <w:tc>
          <w:tcPr>
            <w:tcW w:w="1919" w:type="pct"/>
          </w:tcPr>
          <w:p w14:paraId="65CA2ED7" w14:textId="77777777" w:rsidR="0013556B" w:rsidRPr="00A9330B" w:rsidRDefault="0013556B" w:rsidP="000F7BA7">
            <w:pPr>
              <w:jc w:val="both"/>
              <w:rPr>
                <w:rFonts w:cs="Arial"/>
                <w:sz w:val="18"/>
                <w:szCs w:val="18"/>
              </w:rPr>
            </w:pPr>
            <w:r w:rsidRPr="00A9330B">
              <w:rPr>
                <w:rFonts w:cs="Arial"/>
                <w:b/>
                <w:sz w:val="18"/>
                <w:szCs w:val="18"/>
              </w:rPr>
              <w:t>Pertes ou déplacements d’infrastructures et équipements socioéconomiques et sociocommunautaires</w:t>
            </w:r>
            <w:r w:rsidRPr="00A9330B">
              <w:rPr>
                <w:rFonts w:cs="Arial"/>
                <w:sz w:val="18"/>
                <w:szCs w:val="18"/>
              </w:rPr>
              <w:t xml:space="preserve"> </w:t>
            </w:r>
          </w:p>
        </w:tc>
        <w:tc>
          <w:tcPr>
            <w:tcW w:w="311" w:type="pct"/>
            <w:vAlign w:val="center"/>
          </w:tcPr>
          <w:p w14:paraId="1873D356" w14:textId="77777777" w:rsidR="0013556B" w:rsidRPr="00A9330B" w:rsidRDefault="0013556B" w:rsidP="0013556B">
            <w:pPr>
              <w:rPr>
                <w:rFonts w:cs="Arial"/>
                <w:b/>
                <w:sz w:val="18"/>
                <w:szCs w:val="18"/>
              </w:rPr>
            </w:pPr>
            <w:r w:rsidRPr="00A9330B">
              <w:rPr>
                <w:rFonts w:cs="Arial"/>
                <w:sz w:val="16"/>
                <w:szCs w:val="16"/>
              </w:rPr>
              <w:t>-</w:t>
            </w:r>
          </w:p>
        </w:tc>
        <w:tc>
          <w:tcPr>
            <w:tcW w:w="363" w:type="pct"/>
            <w:vAlign w:val="center"/>
          </w:tcPr>
          <w:p w14:paraId="2E7F4CEE" w14:textId="77777777" w:rsidR="0013556B" w:rsidRPr="00A9330B" w:rsidRDefault="0013556B" w:rsidP="0013556B">
            <w:pPr>
              <w:rPr>
                <w:rFonts w:cs="Arial"/>
                <w:b/>
                <w:sz w:val="18"/>
                <w:szCs w:val="18"/>
              </w:rPr>
            </w:pPr>
            <w:r w:rsidRPr="00A9330B">
              <w:rPr>
                <w:rFonts w:cs="Arial"/>
                <w:sz w:val="16"/>
                <w:szCs w:val="16"/>
              </w:rPr>
              <w:t>moyenne</w:t>
            </w:r>
          </w:p>
        </w:tc>
        <w:tc>
          <w:tcPr>
            <w:tcW w:w="415" w:type="pct"/>
            <w:vAlign w:val="center"/>
          </w:tcPr>
          <w:p w14:paraId="64B71343" w14:textId="77777777" w:rsidR="0013556B" w:rsidRPr="00A9330B" w:rsidRDefault="0013556B" w:rsidP="0013556B">
            <w:pPr>
              <w:rPr>
                <w:rFonts w:cs="Arial"/>
                <w:b/>
                <w:sz w:val="18"/>
                <w:szCs w:val="18"/>
              </w:rPr>
            </w:pPr>
            <w:r w:rsidRPr="00A9330B">
              <w:rPr>
                <w:rFonts w:cs="Arial"/>
                <w:sz w:val="16"/>
                <w:szCs w:val="16"/>
              </w:rPr>
              <w:t>locale</w:t>
            </w:r>
          </w:p>
        </w:tc>
        <w:tc>
          <w:tcPr>
            <w:tcW w:w="423" w:type="pct"/>
            <w:vAlign w:val="center"/>
          </w:tcPr>
          <w:p w14:paraId="5E6AD225" w14:textId="77777777" w:rsidR="0013556B" w:rsidRPr="00A9330B" w:rsidRDefault="0013556B" w:rsidP="0013556B">
            <w:pPr>
              <w:rPr>
                <w:rFonts w:cs="Arial"/>
                <w:b/>
                <w:sz w:val="18"/>
                <w:szCs w:val="18"/>
              </w:rPr>
            </w:pPr>
            <w:r w:rsidRPr="00A9330B">
              <w:rPr>
                <w:rFonts w:cs="Arial"/>
                <w:sz w:val="16"/>
                <w:szCs w:val="16"/>
              </w:rPr>
              <w:t xml:space="preserve">permanente </w:t>
            </w:r>
          </w:p>
        </w:tc>
        <w:tc>
          <w:tcPr>
            <w:tcW w:w="418" w:type="pct"/>
            <w:vAlign w:val="center"/>
          </w:tcPr>
          <w:p w14:paraId="430CC95B" w14:textId="77777777" w:rsidR="0013556B" w:rsidRPr="00A9330B" w:rsidRDefault="0013556B" w:rsidP="0013556B">
            <w:pPr>
              <w:rPr>
                <w:rFonts w:cs="Arial"/>
                <w:b/>
                <w:sz w:val="18"/>
                <w:szCs w:val="18"/>
              </w:rPr>
            </w:pPr>
            <w:r w:rsidRPr="00A9330B">
              <w:rPr>
                <w:rFonts w:cs="Arial"/>
                <w:sz w:val="16"/>
                <w:szCs w:val="16"/>
              </w:rPr>
              <w:t>Moyenne</w:t>
            </w:r>
          </w:p>
        </w:tc>
      </w:tr>
      <w:tr w:rsidR="0013556B" w:rsidRPr="00A9330B" w14:paraId="3844A05A" w14:textId="77777777" w:rsidTr="0013556B">
        <w:tc>
          <w:tcPr>
            <w:tcW w:w="1151" w:type="pct"/>
            <w:tcBorders>
              <w:bottom w:val="single" w:sz="4" w:space="0" w:color="000000" w:themeColor="text1"/>
            </w:tcBorders>
          </w:tcPr>
          <w:p w14:paraId="6EA2465A" w14:textId="77777777" w:rsidR="0013556B" w:rsidRPr="00A9330B" w:rsidRDefault="0013556B" w:rsidP="0013556B">
            <w:pPr>
              <w:rPr>
                <w:rFonts w:cs="Arial"/>
                <w:sz w:val="18"/>
                <w:szCs w:val="18"/>
              </w:rPr>
            </w:pPr>
            <w:r w:rsidRPr="00A9330B">
              <w:rPr>
                <w:rFonts w:cs="Arial"/>
                <w:sz w:val="18"/>
                <w:szCs w:val="18"/>
              </w:rPr>
              <w:t>1.5. Déplacement de réseaux</w:t>
            </w:r>
          </w:p>
        </w:tc>
        <w:tc>
          <w:tcPr>
            <w:tcW w:w="1919" w:type="pct"/>
            <w:tcBorders>
              <w:bottom w:val="single" w:sz="4" w:space="0" w:color="000000" w:themeColor="text1"/>
            </w:tcBorders>
          </w:tcPr>
          <w:p w14:paraId="6271EE91" w14:textId="46815C7F" w:rsidR="0013556B" w:rsidRPr="00A9330B" w:rsidRDefault="0013556B" w:rsidP="000F7BA7">
            <w:pPr>
              <w:jc w:val="both"/>
              <w:rPr>
                <w:rFonts w:cs="Arial"/>
                <w:sz w:val="18"/>
                <w:szCs w:val="18"/>
              </w:rPr>
            </w:pPr>
            <w:r w:rsidRPr="00A9330B">
              <w:rPr>
                <w:rFonts w:cs="Arial"/>
                <w:b/>
                <w:sz w:val="18"/>
                <w:szCs w:val="18"/>
              </w:rPr>
              <w:t>Accidents</w:t>
            </w:r>
            <w:r w:rsidRPr="00A9330B">
              <w:rPr>
                <w:rFonts w:cs="Arial"/>
                <w:sz w:val="18"/>
                <w:szCs w:val="18"/>
              </w:rPr>
              <w:t xml:space="preserve"> </w:t>
            </w:r>
            <w:r w:rsidRPr="00A9330B">
              <w:rPr>
                <w:rFonts w:cs="Arial"/>
                <w:b/>
                <w:sz w:val="18"/>
                <w:szCs w:val="18"/>
              </w:rPr>
              <w:t>dus aux excavations</w:t>
            </w:r>
            <w:r w:rsidRPr="00A9330B">
              <w:rPr>
                <w:rFonts w:cs="Arial"/>
                <w:sz w:val="18"/>
                <w:szCs w:val="18"/>
              </w:rPr>
              <w:t xml:space="preserve"> les réalisations des sondages pour les déplacements des réseaux existants peut laisser des excavations, source potentiel</w:t>
            </w:r>
            <w:r w:rsidR="004D157F" w:rsidRPr="00A9330B">
              <w:rPr>
                <w:rFonts w:cs="Arial"/>
                <w:sz w:val="18"/>
                <w:szCs w:val="18"/>
              </w:rPr>
              <w:t>le</w:t>
            </w:r>
            <w:r w:rsidRPr="00A9330B">
              <w:rPr>
                <w:rFonts w:cs="Arial"/>
                <w:sz w:val="18"/>
                <w:szCs w:val="18"/>
              </w:rPr>
              <w:t xml:space="preserve"> d’accidents</w:t>
            </w:r>
          </w:p>
        </w:tc>
        <w:tc>
          <w:tcPr>
            <w:tcW w:w="311" w:type="pct"/>
            <w:tcBorders>
              <w:bottom w:val="single" w:sz="4" w:space="0" w:color="000000" w:themeColor="text1"/>
            </w:tcBorders>
            <w:vAlign w:val="center"/>
          </w:tcPr>
          <w:p w14:paraId="47DA24E4" w14:textId="77777777" w:rsidR="0013556B" w:rsidRPr="00A9330B" w:rsidRDefault="0013556B" w:rsidP="0013556B">
            <w:pPr>
              <w:rPr>
                <w:rFonts w:cs="Arial"/>
                <w:sz w:val="18"/>
                <w:szCs w:val="18"/>
              </w:rPr>
            </w:pPr>
            <w:r w:rsidRPr="00A9330B">
              <w:rPr>
                <w:rFonts w:cs="Arial"/>
                <w:sz w:val="16"/>
                <w:szCs w:val="16"/>
              </w:rPr>
              <w:t xml:space="preserve">- </w:t>
            </w:r>
          </w:p>
        </w:tc>
        <w:tc>
          <w:tcPr>
            <w:tcW w:w="363" w:type="pct"/>
            <w:tcBorders>
              <w:bottom w:val="single" w:sz="4" w:space="0" w:color="000000" w:themeColor="text1"/>
            </w:tcBorders>
            <w:vAlign w:val="center"/>
          </w:tcPr>
          <w:p w14:paraId="16C60E1B" w14:textId="77777777" w:rsidR="0013556B" w:rsidRPr="00A9330B" w:rsidRDefault="0013556B" w:rsidP="0013556B">
            <w:pPr>
              <w:rPr>
                <w:rFonts w:cs="Arial"/>
                <w:sz w:val="18"/>
                <w:szCs w:val="18"/>
              </w:rPr>
            </w:pPr>
            <w:r w:rsidRPr="00A9330B">
              <w:rPr>
                <w:rFonts w:cs="Arial"/>
                <w:sz w:val="16"/>
                <w:szCs w:val="16"/>
              </w:rPr>
              <w:t xml:space="preserve">faible </w:t>
            </w:r>
          </w:p>
        </w:tc>
        <w:tc>
          <w:tcPr>
            <w:tcW w:w="415" w:type="pct"/>
            <w:tcBorders>
              <w:bottom w:val="single" w:sz="4" w:space="0" w:color="000000" w:themeColor="text1"/>
            </w:tcBorders>
            <w:vAlign w:val="center"/>
          </w:tcPr>
          <w:p w14:paraId="4717DC07" w14:textId="77777777" w:rsidR="0013556B" w:rsidRPr="00A9330B" w:rsidRDefault="0013556B" w:rsidP="0013556B">
            <w:pPr>
              <w:rPr>
                <w:rFonts w:cs="Arial"/>
                <w:sz w:val="18"/>
                <w:szCs w:val="18"/>
              </w:rPr>
            </w:pPr>
            <w:r w:rsidRPr="00A9330B">
              <w:rPr>
                <w:rFonts w:cs="Arial"/>
                <w:sz w:val="16"/>
                <w:szCs w:val="16"/>
              </w:rPr>
              <w:t>ponctuelle</w:t>
            </w:r>
          </w:p>
        </w:tc>
        <w:tc>
          <w:tcPr>
            <w:tcW w:w="423" w:type="pct"/>
            <w:tcBorders>
              <w:bottom w:val="single" w:sz="4" w:space="0" w:color="000000" w:themeColor="text1"/>
            </w:tcBorders>
            <w:vAlign w:val="center"/>
          </w:tcPr>
          <w:p w14:paraId="7960D78D" w14:textId="77777777" w:rsidR="0013556B" w:rsidRPr="00A9330B" w:rsidRDefault="0013556B" w:rsidP="0013556B">
            <w:pPr>
              <w:rPr>
                <w:rFonts w:cs="Arial"/>
                <w:sz w:val="18"/>
                <w:szCs w:val="18"/>
              </w:rPr>
            </w:pPr>
            <w:r w:rsidRPr="00A9330B">
              <w:rPr>
                <w:rFonts w:cs="Arial"/>
                <w:sz w:val="16"/>
                <w:szCs w:val="16"/>
              </w:rPr>
              <w:t xml:space="preserve">temporaire </w:t>
            </w:r>
          </w:p>
        </w:tc>
        <w:tc>
          <w:tcPr>
            <w:tcW w:w="418" w:type="pct"/>
            <w:tcBorders>
              <w:bottom w:val="single" w:sz="4" w:space="0" w:color="000000" w:themeColor="text1"/>
            </w:tcBorders>
            <w:vAlign w:val="center"/>
          </w:tcPr>
          <w:p w14:paraId="133A225A" w14:textId="77777777" w:rsidR="0013556B" w:rsidRPr="00A9330B" w:rsidRDefault="0013556B" w:rsidP="0013556B">
            <w:pPr>
              <w:rPr>
                <w:rFonts w:cs="Arial"/>
                <w:sz w:val="18"/>
                <w:szCs w:val="18"/>
              </w:rPr>
            </w:pPr>
            <w:r w:rsidRPr="00A9330B">
              <w:rPr>
                <w:rFonts w:cs="Arial"/>
                <w:sz w:val="16"/>
                <w:szCs w:val="16"/>
              </w:rPr>
              <w:t>Faible</w:t>
            </w:r>
          </w:p>
        </w:tc>
      </w:tr>
    </w:tbl>
    <w:p w14:paraId="3BC86560" w14:textId="77777777" w:rsidR="00401546" w:rsidRPr="00A9330B" w:rsidRDefault="00401546" w:rsidP="0013556B">
      <w:pPr>
        <w:tabs>
          <w:tab w:val="left" w:pos="1950"/>
          <w:tab w:val="left" w:pos="3937"/>
        </w:tabs>
        <w:ind w:left="250"/>
        <w:rPr>
          <w:rFonts w:cs="Arial"/>
          <w:b/>
        </w:rPr>
      </w:pPr>
    </w:p>
    <w:p w14:paraId="50E23A0B" w14:textId="77777777" w:rsidR="0013556B" w:rsidRPr="00A9330B" w:rsidRDefault="0013556B" w:rsidP="00401546">
      <w:pPr>
        <w:keepNext/>
        <w:spacing w:after="120" w:line="240" w:lineRule="auto"/>
        <w:jc w:val="center"/>
        <w:rPr>
          <w:rFonts w:eastAsia="Times New Roman" w:cs="Arial"/>
          <w:b/>
          <w:color w:val="000000"/>
          <w:sz w:val="20"/>
          <w:szCs w:val="20"/>
          <w:lang w:eastAsia="fr-FR"/>
        </w:rPr>
        <w:sectPr w:rsidR="0013556B" w:rsidRPr="00A9330B" w:rsidSect="0013556B">
          <w:pgSz w:w="16838" w:h="11906" w:orient="landscape" w:code="9"/>
          <w:pgMar w:top="1418" w:right="1276" w:bottom="1418" w:left="1276" w:header="709" w:footer="510" w:gutter="0"/>
          <w:cols w:space="708"/>
          <w:docGrid w:linePitch="360"/>
        </w:sectPr>
      </w:pPr>
      <w:bookmarkStart w:id="1660" w:name="_Toc336136106"/>
      <w:bookmarkStart w:id="1661" w:name="_Toc336164790"/>
      <w:bookmarkStart w:id="1662" w:name="_Toc517363588"/>
      <w:bookmarkStart w:id="1663" w:name="_Toc24724035"/>
      <w:bookmarkStart w:id="1664" w:name="_Toc43696250"/>
    </w:p>
    <w:p w14:paraId="11E5F50F" w14:textId="50BE505F" w:rsidR="00401546" w:rsidRPr="00A9330B" w:rsidRDefault="00401546" w:rsidP="0013556B">
      <w:pPr>
        <w:keepNext/>
        <w:spacing w:after="120" w:line="240" w:lineRule="auto"/>
        <w:jc w:val="center"/>
        <w:rPr>
          <w:rFonts w:eastAsia="Times New Roman" w:cs="Arial"/>
          <w:b/>
          <w:color w:val="000000"/>
          <w:sz w:val="20"/>
          <w:szCs w:val="20"/>
          <w:lang w:eastAsia="fr-FR"/>
        </w:rPr>
      </w:pPr>
      <w:bookmarkStart w:id="1665" w:name="_Toc52873763"/>
      <w:r w:rsidRPr="00A9330B">
        <w:rPr>
          <w:rFonts w:eastAsia="Times New Roman" w:cs="Arial"/>
          <w:b/>
          <w:color w:val="000000"/>
          <w:sz w:val="20"/>
          <w:szCs w:val="20"/>
          <w:lang w:eastAsia="fr-FR"/>
        </w:rPr>
        <w:lastRenderedPageBreak/>
        <w:t xml:space="preserve">Tableau </w:t>
      </w:r>
      <w:r w:rsidRPr="00A9330B">
        <w:rPr>
          <w:rFonts w:eastAsia="Times New Roman" w:cs="Arial"/>
          <w:b/>
          <w:color w:val="000000"/>
          <w:sz w:val="20"/>
          <w:szCs w:val="20"/>
          <w:lang w:eastAsia="fr-FR"/>
        </w:rPr>
        <w:fldChar w:fldCharType="begin"/>
      </w:r>
      <w:r w:rsidRPr="00A9330B">
        <w:rPr>
          <w:rFonts w:eastAsia="Times New Roman" w:cs="Arial"/>
          <w:b/>
          <w:color w:val="000000"/>
          <w:sz w:val="20"/>
          <w:szCs w:val="20"/>
          <w:lang w:eastAsia="fr-FR"/>
        </w:rPr>
        <w:instrText xml:space="preserve"> SEQ Tableau \* ARABIC </w:instrText>
      </w:r>
      <w:r w:rsidRPr="00A9330B">
        <w:rPr>
          <w:rFonts w:eastAsia="Times New Roman" w:cs="Arial"/>
          <w:b/>
          <w:color w:val="000000"/>
          <w:sz w:val="20"/>
          <w:szCs w:val="20"/>
          <w:lang w:eastAsia="fr-FR"/>
        </w:rPr>
        <w:fldChar w:fldCharType="separate"/>
      </w:r>
      <w:r w:rsidR="00417D31" w:rsidRPr="00A9330B">
        <w:rPr>
          <w:rFonts w:eastAsia="Times New Roman" w:cs="Arial"/>
          <w:b/>
          <w:noProof/>
          <w:color w:val="000000"/>
          <w:sz w:val="20"/>
          <w:szCs w:val="20"/>
          <w:lang w:eastAsia="fr-FR"/>
        </w:rPr>
        <w:t>39</w:t>
      </w:r>
      <w:r w:rsidRPr="00A9330B">
        <w:rPr>
          <w:rFonts w:eastAsia="Times New Roman" w:cs="Arial"/>
          <w:b/>
          <w:color w:val="000000"/>
          <w:sz w:val="20"/>
          <w:szCs w:val="20"/>
          <w:lang w:eastAsia="fr-FR"/>
        </w:rPr>
        <w:fldChar w:fldCharType="end"/>
      </w:r>
      <w:r w:rsidRPr="00A9330B">
        <w:rPr>
          <w:rFonts w:eastAsia="Times New Roman" w:cs="Arial"/>
          <w:b/>
          <w:color w:val="000000"/>
          <w:sz w:val="20"/>
          <w:szCs w:val="20"/>
          <w:lang w:eastAsia="fr-FR"/>
        </w:rPr>
        <w:t xml:space="preserve"> </w:t>
      </w:r>
      <w:r w:rsidRPr="00A9330B">
        <w:rPr>
          <w:rFonts w:cs="Arial"/>
          <w:b/>
          <w:color w:val="000000"/>
        </w:rPr>
        <w:t>:</w:t>
      </w:r>
      <w:r w:rsidRPr="00A9330B">
        <w:rPr>
          <w:rFonts w:eastAsia="Times New Roman" w:cs="Arial"/>
          <w:b/>
          <w:color w:val="000000"/>
          <w:sz w:val="20"/>
          <w:szCs w:val="20"/>
          <w:lang w:eastAsia="fr-FR"/>
        </w:rPr>
        <w:t xml:space="preserve"> Identification des impacts négatifs potentiels de la phase  de construction</w:t>
      </w:r>
      <w:bookmarkEnd w:id="1660"/>
      <w:bookmarkEnd w:id="1661"/>
      <w:bookmarkEnd w:id="1662"/>
      <w:bookmarkEnd w:id="1663"/>
      <w:bookmarkEnd w:id="1664"/>
      <w:bookmarkEnd w:id="1665"/>
      <w:r w:rsidRPr="00A9330B">
        <w:rPr>
          <w:rFonts w:eastAsia="Times New Roman" w:cs="Arial"/>
          <w:b/>
          <w:color w:val="000000"/>
          <w:sz w:val="20"/>
          <w:szCs w:val="20"/>
          <w:lang w:eastAsia="fr-FR"/>
        </w:rPr>
        <w:t xml:space="preserve"> </w:t>
      </w:r>
    </w:p>
    <w:tbl>
      <w:tblPr>
        <w:tblStyle w:val="Grilledutableau"/>
        <w:tblW w:w="4870" w:type="pct"/>
        <w:tblInd w:w="250" w:type="dxa"/>
        <w:tblLayout w:type="fixed"/>
        <w:tblLook w:val="04A0" w:firstRow="1" w:lastRow="0" w:firstColumn="1" w:lastColumn="0" w:noHBand="0" w:noVBand="1"/>
      </w:tblPr>
      <w:tblGrid>
        <w:gridCol w:w="2859"/>
        <w:gridCol w:w="4110"/>
        <w:gridCol w:w="1140"/>
        <w:gridCol w:w="1213"/>
        <w:gridCol w:w="1491"/>
        <w:gridCol w:w="1713"/>
        <w:gridCol w:w="1379"/>
      </w:tblGrid>
      <w:tr w:rsidR="00401546" w:rsidRPr="00A9330B" w14:paraId="4959D5D8" w14:textId="77777777" w:rsidTr="00401546">
        <w:trPr>
          <w:tblHeader/>
        </w:trPr>
        <w:tc>
          <w:tcPr>
            <w:tcW w:w="5000" w:type="pct"/>
            <w:gridSpan w:val="7"/>
            <w:shd w:val="clear" w:color="auto" w:fill="F7CAAC" w:themeFill="accent2" w:themeFillTint="66"/>
            <w:vAlign w:val="center"/>
          </w:tcPr>
          <w:p w14:paraId="3DF70A7B" w14:textId="77777777" w:rsidR="00401546" w:rsidRPr="00A9330B" w:rsidRDefault="00401546" w:rsidP="0013556B">
            <w:pPr>
              <w:spacing w:before="60"/>
              <w:rPr>
                <w:rFonts w:cs="Arial"/>
                <w:b/>
                <w:sz w:val="18"/>
                <w:szCs w:val="18"/>
              </w:rPr>
            </w:pPr>
            <w:r w:rsidRPr="00A9330B">
              <w:rPr>
                <w:rFonts w:cs="Arial"/>
                <w:b/>
                <w:sz w:val="18"/>
                <w:szCs w:val="18"/>
              </w:rPr>
              <w:t>2. PHASE DE CONSTRUCTION – TRAVAUX</w:t>
            </w:r>
          </w:p>
        </w:tc>
      </w:tr>
      <w:tr w:rsidR="00401546" w:rsidRPr="00A9330B" w14:paraId="2E707E41" w14:textId="77777777" w:rsidTr="00401546">
        <w:trPr>
          <w:trHeight w:val="325"/>
          <w:tblHeader/>
        </w:trPr>
        <w:tc>
          <w:tcPr>
            <w:tcW w:w="1028" w:type="pct"/>
            <w:vMerge w:val="restart"/>
            <w:vAlign w:val="center"/>
          </w:tcPr>
          <w:p w14:paraId="166D8C0C" w14:textId="77777777" w:rsidR="00401546" w:rsidRPr="00A9330B" w:rsidRDefault="00401546" w:rsidP="0013556B">
            <w:pPr>
              <w:spacing w:before="60"/>
              <w:rPr>
                <w:rFonts w:cs="Arial"/>
                <w:b/>
                <w:sz w:val="18"/>
                <w:szCs w:val="18"/>
              </w:rPr>
            </w:pPr>
            <w:r w:rsidRPr="00A9330B">
              <w:rPr>
                <w:rFonts w:cs="Arial"/>
                <w:b/>
                <w:sz w:val="18"/>
                <w:szCs w:val="18"/>
              </w:rPr>
              <w:t>Activités sources d’impacts</w:t>
            </w:r>
          </w:p>
        </w:tc>
        <w:tc>
          <w:tcPr>
            <w:tcW w:w="1478" w:type="pct"/>
            <w:vMerge w:val="restart"/>
            <w:vAlign w:val="center"/>
          </w:tcPr>
          <w:p w14:paraId="03A27444" w14:textId="77777777" w:rsidR="00401546" w:rsidRPr="00A9330B" w:rsidRDefault="00401546" w:rsidP="0013556B">
            <w:pPr>
              <w:spacing w:before="60"/>
              <w:rPr>
                <w:rFonts w:cs="Arial"/>
                <w:b/>
                <w:sz w:val="18"/>
                <w:szCs w:val="18"/>
              </w:rPr>
            </w:pPr>
            <w:r w:rsidRPr="00A9330B">
              <w:rPr>
                <w:rFonts w:cs="Arial"/>
                <w:b/>
                <w:sz w:val="18"/>
                <w:szCs w:val="18"/>
              </w:rPr>
              <w:t>Impacts négatifs</w:t>
            </w:r>
          </w:p>
        </w:tc>
        <w:tc>
          <w:tcPr>
            <w:tcW w:w="2494" w:type="pct"/>
            <w:gridSpan w:val="5"/>
          </w:tcPr>
          <w:p w14:paraId="0A530842" w14:textId="77777777" w:rsidR="00401546" w:rsidRPr="00A9330B" w:rsidRDefault="00401546" w:rsidP="0013556B">
            <w:pPr>
              <w:spacing w:before="60"/>
              <w:rPr>
                <w:rFonts w:cs="Arial"/>
                <w:b/>
                <w:sz w:val="18"/>
                <w:szCs w:val="18"/>
              </w:rPr>
            </w:pPr>
            <w:r w:rsidRPr="00A9330B">
              <w:rPr>
                <w:rFonts w:cs="Arial"/>
                <w:b/>
                <w:sz w:val="18"/>
                <w:szCs w:val="18"/>
              </w:rPr>
              <w:t xml:space="preserve">Evaluation de l’impact </w:t>
            </w:r>
          </w:p>
        </w:tc>
      </w:tr>
      <w:tr w:rsidR="00401546" w:rsidRPr="00A9330B" w14:paraId="40674365" w14:textId="77777777" w:rsidTr="0045250F">
        <w:trPr>
          <w:cantSplit/>
          <w:trHeight w:val="1211"/>
          <w:tblHeader/>
        </w:trPr>
        <w:tc>
          <w:tcPr>
            <w:tcW w:w="1028" w:type="pct"/>
            <w:vMerge/>
            <w:vAlign w:val="center"/>
          </w:tcPr>
          <w:p w14:paraId="2CA858E2" w14:textId="77777777" w:rsidR="00401546" w:rsidRPr="00A9330B" w:rsidRDefault="00401546" w:rsidP="0013556B">
            <w:pPr>
              <w:spacing w:before="60"/>
              <w:rPr>
                <w:rFonts w:cs="Arial"/>
                <w:b/>
                <w:sz w:val="18"/>
                <w:szCs w:val="18"/>
              </w:rPr>
            </w:pPr>
          </w:p>
        </w:tc>
        <w:tc>
          <w:tcPr>
            <w:tcW w:w="1478" w:type="pct"/>
            <w:vMerge/>
            <w:vAlign w:val="center"/>
          </w:tcPr>
          <w:p w14:paraId="5166A4B3" w14:textId="77777777" w:rsidR="00401546" w:rsidRPr="00A9330B" w:rsidRDefault="00401546" w:rsidP="0013556B">
            <w:pPr>
              <w:spacing w:before="60"/>
              <w:rPr>
                <w:rFonts w:cs="Arial"/>
                <w:b/>
                <w:sz w:val="18"/>
                <w:szCs w:val="18"/>
              </w:rPr>
            </w:pPr>
          </w:p>
        </w:tc>
        <w:tc>
          <w:tcPr>
            <w:tcW w:w="410" w:type="pct"/>
            <w:textDirection w:val="btLr"/>
          </w:tcPr>
          <w:p w14:paraId="69C9559F" w14:textId="77777777" w:rsidR="00401546" w:rsidRPr="00A9330B" w:rsidRDefault="00401546" w:rsidP="0013556B">
            <w:pPr>
              <w:spacing w:before="60"/>
              <w:ind w:left="113" w:right="113"/>
              <w:rPr>
                <w:rFonts w:cs="Arial"/>
                <w:b/>
                <w:sz w:val="18"/>
                <w:szCs w:val="18"/>
              </w:rPr>
            </w:pPr>
            <w:r w:rsidRPr="00A9330B">
              <w:rPr>
                <w:rFonts w:cs="Arial"/>
                <w:b/>
                <w:sz w:val="18"/>
                <w:szCs w:val="18"/>
              </w:rPr>
              <w:t xml:space="preserve">Caractère +/- </w:t>
            </w:r>
          </w:p>
        </w:tc>
        <w:tc>
          <w:tcPr>
            <w:tcW w:w="436" w:type="pct"/>
            <w:textDirection w:val="btLr"/>
          </w:tcPr>
          <w:p w14:paraId="6BE6927F" w14:textId="77777777" w:rsidR="00401546" w:rsidRPr="00A9330B" w:rsidRDefault="00401546" w:rsidP="0013556B">
            <w:pPr>
              <w:spacing w:before="60"/>
              <w:ind w:left="113" w:right="113"/>
              <w:rPr>
                <w:rFonts w:cs="Arial"/>
                <w:b/>
                <w:sz w:val="18"/>
                <w:szCs w:val="18"/>
              </w:rPr>
            </w:pPr>
            <w:r w:rsidRPr="00A9330B">
              <w:rPr>
                <w:rFonts w:cs="Arial"/>
                <w:b/>
                <w:sz w:val="18"/>
                <w:szCs w:val="18"/>
              </w:rPr>
              <w:t xml:space="preserve">Intensité </w:t>
            </w:r>
          </w:p>
        </w:tc>
        <w:tc>
          <w:tcPr>
            <w:tcW w:w="536" w:type="pct"/>
            <w:textDirection w:val="btLr"/>
          </w:tcPr>
          <w:p w14:paraId="078EF4E5" w14:textId="77777777" w:rsidR="00401546" w:rsidRPr="00A9330B" w:rsidRDefault="00401546" w:rsidP="0013556B">
            <w:pPr>
              <w:spacing w:before="60"/>
              <w:ind w:left="113" w:right="113"/>
              <w:rPr>
                <w:rFonts w:cs="Arial"/>
                <w:b/>
                <w:sz w:val="18"/>
                <w:szCs w:val="18"/>
              </w:rPr>
            </w:pPr>
            <w:r w:rsidRPr="00A9330B">
              <w:rPr>
                <w:rFonts w:cs="Arial"/>
                <w:b/>
                <w:sz w:val="18"/>
                <w:szCs w:val="18"/>
              </w:rPr>
              <w:t xml:space="preserve">Etendue </w:t>
            </w:r>
          </w:p>
        </w:tc>
        <w:tc>
          <w:tcPr>
            <w:tcW w:w="616" w:type="pct"/>
            <w:textDirection w:val="btLr"/>
          </w:tcPr>
          <w:p w14:paraId="1255B841" w14:textId="77777777" w:rsidR="00401546" w:rsidRPr="00A9330B" w:rsidRDefault="00401546" w:rsidP="0013556B">
            <w:pPr>
              <w:spacing w:before="60"/>
              <w:ind w:left="113" w:right="113"/>
              <w:rPr>
                <w:rFonts w:cs="Arial"/>
                <w:b/>
                <w:sz w:val="18"/>
                <w:szCs w:val="18"/>
              </w:rPr>
            </w:pPr>
            <w:r w:rsidRPr="00A9330B">
              <w:rPr>
                <w:rFonts w:cs="Arial"/>
                <w:b/>
                <w:sz w:val="18"/>
                <w:szCs w:val="18"/>
              </w:rPr>
              <w:t xml:space="preserve">Durée </w:t>
            </w:r>
          </w:p>
        </w:tc>
        <w:tc>
          <w:tcPr>
            <w:tcW w:w="496" w:type="pct"/>
            <w:textDirection w:val="btLr"/>
          </w:tcPr>
          <w:p w14:paraId="7D8A5EE4" w14:textId="77777777" w:rsidR="00401546" w:rsidRPr="00A9330B" w:rsidRDefault="00401546" w:rsidP="0013556B">
            <w:pPr>
              <w:spacing w:before="60"/>
              <w:ind w:left="113" w:right="113"/>
              <w:rPr>
                <w:rFonts w:cs="Arial"/>
                <w:b/>
                <w:sz w:val="18"/>
                <w:szCs w:val="18"/>
              </w:rPr>
            </w:pPr>
            <w:r w:rsidRPr="00A9330B">
              <w:rPr>
                <w:rFonts w:cs="Arial"/>
                <w:b/>
                <w:sz w:val="18"/>
                <w:szCs w:val="18"/>
              </w:rPr>
              <w:t xml:space="preserve">Importance </w:t>
            </w:r>
          </w:p>
        </w:tc>
      </w:tr>
      <w:tr w:rsidR="00667A3D" w:rsidRPr="00A9330B" w14:paraId="64475791" w14:textId="77777777" w:rsidTr="0045250F">
        <w:tc>
          <w:tcPr>
            <w:tcW w:w="1028" w:type="pct"/>
            <w:vMerge w:val="restart"/>
          </w:tcPr>
          <w:p w14:paraId="7D9AAC09" w14:textId="77777777" w:rsidR="00667A3D" w:rsidRPr="00A9330B" w:rsidRDefault="00667A3D" w:rsidP="00667A3D">
            <w:pPr>
              <w:spacing w:before="60" w:line="240" w:lineRule="auto"/>
              <w:rPr>
                <w:rFonts w:cs="Arial"/>
                <w:color w:val="auto"/>
                <w:sz w:val="20"/>
                <w:szCs w:val="20"/>
              </w:rPr>
            </w:pPr>
            <w:r w:rsidRPr="00A9330B">
              <w:rPr>
                <w:rFonts w:cs="Arial"/>
                <w:sz w:val="18"/>
                <w:szCs w:val="18"/>
              </w:rPr>
              <w:t xml:space="preserve">2.1. </w:t>
            </w:r>
            <w:r w:rsidRPr="00A9330B">
              <w:rPr>
                <w:rFonts w:cs="Arial"/>
                <w:color w:val="auto"/>
                <w:sz w:val="20"/>
                <w:szCs w:val="20"/>
              </w:rPr>
              <w:t>Préparation des plates-formes</w:t>
            </w:r>
          </w:p>
          <w:p w14:paraId="2E595252" w14:textId="77777777" w:rsidR="00667A3D" w:rsidRPr="00A9330B" w:rsidRDefault="00667A3D" w:rsidP="00667A3D">
            <w:pPr>
              <w:spacing w:before="60"/>
              <w:rPr>
                <w:rFonts w:cs="Arial"/>
                <w:sz w:val="18"/>
                <w:szCs w:val="18"/>
              </w:rPr>
            </w:pPr>
            <w:r w:rsidRPr="00A9330B">
              <w:rPr>
                <w:rFonts w:cs="Arial"/>
                <w:color w:val="auto"/>
                <w:sz w:val="20"/>
                <w:szCs w:val="20"/>
              </w:rPr>
              <w:t>Préparation des assises des collecteurs</w:t>
            </w:r>
          </w:p>
          <w:p w14:paraId="33B7E310" w14:textId="77777777" w:rsidR="00667A3D" w:rsidRPr="00A9330B" w:rsidRDefault="00667A3D" w:rsidP="00667A3D">
            <w:pPr>
              <w:spacing w:before="60"/>
              <w:rPr>
                <w:rFonts w:cs="Arial"/>
                <w:sz w:val="18"/>
                <w:szCs w:val="18"/>
              </w:rPr>
            </w:pPr>
          </w:p>
          <w:p w14:paraId="54914930" w14:textId="31ED37C8" w:rsidR="00667A3D" w:rsidRPr="00A9330B" w:rsidRDefault="00667A3D" w:rsidP="0013556B">
            <w:pPr>
              <w:spacing w:before="60"/>
              <w:rPr>
                <w:rFonts w:cs="Arial"/>
                <w:sz w:val="18"/>
                <w:szCs w:val="18"/>
              </w:rPr>
            </w:pPr>
          </w:p>
        </w:tc>
        <w:tc>
          <w:tcPr>
            <w:tcW w:w="1478" w:type="pct"/>
          </w:tcPr>
          <w:p w14:paraId="05E11FD0" w14:textId="1A3F5D3E" w:rsidR="00667A3D" w:rsidRPr="00A9330B" w:rsidRDefault="00667A3D" w:rsidP="0013556B">
            <w:pPr>
              <w:spacing w:before="60"/>
              <w:rPr>
                <w:rFonts w:cs="Arial"/>
                <w:sz w:val="18"/>
                <w:szCs w:val="18"/>
              </w:rPr>
            </w:pPr>
            <w:r w:rsidRPr="00A9330B">
              <w:rPr>
                <w:rFonts w:cs="Arial"/>
                <w:sz w:val="18"/>
                <w:szCs w:val="18"/>
              </w:rPr>
              <w:t xml:space="preserve"> </w:t>
            </w:r>
          </w:p>
        </w:tc>
        <w:tc>
          <w:tcPr>
            <w:tcW w:w="410" w:type="pct"/>
          </w:tcPr>
          <w:p w14:paraId="288E18E6" w14:textId="77777777" w:rsidR="00667A3D" w:rsidRPr="00A9330B" w:rsidRDefault="00667A3D" w:rsidP="0013556B">
            <w:pPr>
              <w:spacing w:before="60"/>
              <w:rPr>
                <w:rFonts w:cs="Arial"/>
                <w:sz w:val="18"/>
                <w:szCs w:val="18"/>
              </w:rPr>
            </w:pPr>
            <w:r w:rsidRPr="00A9330B">
              <w:rPr>
                <w:rFonts w:cs="Arial"/>
                <w:sz w:val="18"/>
                <w:szCs w:val="18"/>
              </w:rPr>
              <w:t>-</w:t>
            </w:r>
          </w:p>
        </w:tc>
        <w:tc>
          <w:tcPr>
            <w:tcW w:w="436" w:type="pct"/>
          </w:tcPr>
          <w:p w14:paraId="6E5DFB14" w14:textId="77777777" w:rsidR="00667A3D" w:rsidRPr="00A9330B" w:rsidRDefault="00667A3D" w:rsidP="0013556B">
            <w:pPr>
              <w:spacing w:before="60"/>
              <w:rPr>
                <w:rFonts w:cs="Arial"/>
                <w:sz w:val="18"/>
                <w:szCs w:val="18"/>
              </w:rPr>
            </w:pPr>
            <w:r w:rsidRPr="00A9330B">
              <w:rPr>
                <w:rFonts w:cs="Arial"/>
                <w:sz w:val="18"/>
                <w:szCs w:val="18"/>
              </w:rPr>
              <w:t>-</w:t>
            </w:r>
          </w:p>
        </w:tc>
        <w:tc>
          <w:tcPr>
            <w:tcW w:w="536" w:type="pct"/>
          </w:tcPr>
          <w:p w14:paraId="26763211" w14:textId="77777777" w:rsidR="00667A3D" w:rsidRPr="00A9330B" w:rsidRDefault="00667A3D" w:rsidP="0013556B">
            <w:pPr>
              <w:spacing w:before="60"/>
              <w:rPr>
                <w:rFonts w:cs="Arial"/>
                <w:sz w:val="18"/>
                <w:szCs w:val="18"/>
              </w:rPr>
            </w:pPr>
            <w:r w:rsidRPr="00A9330B">
              <w:rPr>
                <w:rFonts w:cs="Arial"/>
                <w:sz w:val="18"/>
                <w:szCs w:val="18"/>
              </w:rPr>
              <w:t>-</w:t>
            </w:r>
          </w:p>
        </w:tc>
        <w:tc>
          <w:tcPr>
            <w:tcW w:w="616" w:type="pct"/>
          </w:tcPr>
          <w:p w14:paraId="1F6B7D23" w14:textId="77777777" w:rsidR="00667A3D" w:rsidRPr="00A9330B" w:rsidRDefault="00667A3D" w:rsidP="0013556B">
            <w:pPr>
              <w:spacing w:before="60"/>
              <w:rPr>
                <w:rFonts w:cs="Arial"/>
                <w:sz w:val="18"/>
                <w:szCs w:val="18"/>
              </w:rPr>
            </w:pPr>
            <w:r w:rsidRPr="00A9330B">
              <w:rPr>
                <w:rFonts w:cs="Arial"/>
                <w:sz w:val="18"/>
                <w:szCs w:val="18"/>
              </w:rPr>
              <w:t>-</w:t>
            </w:r>
          </w:p>
        </w:tc>
        <w:tc>
          <w:tcPr>
            <w:tcW w:w="496" w:type="pct"/>
          </w:tcPr>
          <w:p w14:paraId="79AC5BB6" w14:textId="77777777" w:rsidR="00667A3D" w:rsidRPr="00A9330B" w:rsidRDefault="00667A3D" w:rsidP="0013556B">
            <w:pPr>
              <w:spacing w:before="60"/>
              <w:rPr>
                <w:rFonts w:cs="Arial"/>
                <w:sz w:val="18"/>
                <w:szCs w:val="18"/>
              </w:rPr>
            </w:pPr>
            <w:r w:rsidRPr="00A9330B">
              <w:rPr>
                <w:rFonts w:cs="Arial"/>
                <w:sz w:val="18"/>
                <w:szCs w:val="18"/>
              </w:rPr>
              <w:t>-</w:t>
            </w:r>
          </w:p>
        </w:tc>
      </w:tr>
      <w:tr w:rsidR="00667A3D" w:rsidRPr="00A9330B" w14:paraId="2E9ABB01" w14:textId="77777777" w:rsidTr="0045250F">
        <w:tc>
          <w:tcPr>
            <w:tcW w:w="1028" w:type="pct"/>
            <w:vMerge/>
          </w:tcPr>
          <w:p w14:paraId="6A455CD8" w14:textId="6AFF5895" w:rsidR="00667A3D" w:rsidRPr="00A9330B" w:rsidRDefault="00667A3D" w:rsidP="0013556B">
            <w:pPr>
              <w:spacing w:before="60"/>
              <w:rPr>
                <w:rFonts w:cs="Arial"/>
                <w:sz w:val="18"/>
                <w:szCs w:val="18"/>
              </w:rPr>
            </w:pPr>
          </w:p>
        </w:tc>
        <w:tc>
          <w:tcPr>
            <w:tcW w:w="1478" w:type="pct"/>
          </w:tcPr>
          <w:p w14:paraId="0207C62E" w14:textId="77777777" w:rsidR="00667A3D" w:rsidRPr="00A9330B" w:rsidRDefault="00667A3D" w:rsidP="0013556B">
            <w:pPr>
              <w:spacing w:before="60"/>
              <w:rPr>
                <w:rFonts w:cs="Arial"/>
                <w:b/>
                <w:sz w:val="18"/>
                <w:szCs w:val="18"/>
              </w:rPr>
            </w:pPr>
            <w:r w:rsidRPr="00A9330B">
              <w:rPr>
                <w:rFonts w:cs="Arial"/>
                <w:b/>
                <w:sz w:val="18"/>
                <w:szCs w:val="18"/>
              </w:rPr>
              <w:t>Perte de biens fonciers, cultures, arbres ou activités</w:t>
            </w:r>
          </w:p>
          <w:p w14:paraId="7F4A81EA" w14:textId="77777777" w:rsidR="00667A3D" w:rsidRPr="00A9330B" w:rsidRDefault="00667A3D" w:rsidP="0013556B">
            <w:pPr>
              <w:spacing w:before="60"/>
              <w:rPr>
                <w:rFonts w:cs="Arial"/>
                <w:sz w:val="18"/>
                <w:szCs w:val="18"/>
              </w:rPr>
            </w:pPr>
            <w:r w:rsidRPr="00A9330B">
              <w:rPr>
                <w:rFonts w:cs="Arial"/>
                <w:b/>
                <w:sz w:val="18"/>
                <w:szCs w:val="18"/>
              </w:rPr>
              <w:t>Expropriation</w:t>
            </w:r>
            <w:r w:rsidRPr="00A9330B">
              <w:rPr>
                <w:rFonts w:cs="Arial"/>
                <w:sz w:val="18"/>
                <w:szCs w:val="18"/>
              </w:rPr>
              <w:t xml:space="preserve"> </w:t>
            </w:r>
          </w:p>
          <w:p w14:paraId="6866D87B" w14:textId="6BC63E17" w:rsidR="00667A3D" w:rsidRPr="00A9330B" w:rsidRDefault="00667A3D" w:rsidP="000F7BA7">
            <w:pPr>
              <w:spacing w:before="60"/>
              <w:jc w:val="both"/>
              <w:rPr>
                <w:rFonts w:cs="Arial"/>
                <w:sz w:val="18"/>
                <w:szCs w:val="18"/>
              </w:rPr>
            </w:pPr>
            <w:r w:rsidRPr="00A9330B">
              <w:rPr>
                <w:rFonts w:cs="Arial"/>
                <w:sz w:val="18"/>
                <w:szCs w:val="18"/>
              </w:rPr>
              <w:t xml:space="preserve">Les terrains qui rentrent dans l’emprise du projet ne seront plus disponibles après le projet ; </w:t>
            </w:r>
            <w:r w:rsidR="004D157F" w:rsidRPr="00A9330B">
              <w:rPr>
                <w:rFonts w:cs="Arial"/>
                <w:sz w:val="18"/>
                <w:szCs w:val="18"/>
              </w:rPr>
              <w:t xml:space="preserve">ils </w:t>
            </w:r>
            <w:r w:rsidRPr="00A9330B">
              <w:rPr>
                <w:rFonts w:cs="Arial"/>
                <w:sz w:val="18"/>
                <w:szCs w:val="18"/>
              </w:rPr>
              <w:t xml:space="preserve"> seront détournés de leur vocation initiale en faveur de la route </w:t>
            </w:r>
          </w:p>
        </w:tc>
        <w:tc>
          <w:tcPr>
            <w:tcW w:w="410" w:type="pct"/>
            <w:vAlign w:val="center"/>
          </w:tcPr>
          <w:p w14:paraId="4C8BDBCC" w14:textId="77777777" w:rsidR="00667A3D" w:rsidRPr="00A9330B" w:rsidRDefault="00667A3D" w:rsidP="0013556B">
            <w:pPr>
              <w:spacing w:before="60"/>
              <w:rPr>
                <w:rFonts w:cs="Arial"/>
                <w:b/>
                <w:sz w:val="18"/>
                <w:szCs w:val="18"/>
              </w:rPr>
            </w:pPr>
            <w:r w:rsidRPr="00A9330B">
              <w:rPr>
                <w:rFonts w:cs="Arial"/>
                <w:sz w:val="16"/>
                <w:szCs w:val="16"/>
              </w:rPr>
              <w:t>-</w:t>
            </w:r>
          </w:p>
        </w:tc>
        <w:tc>
          <w:tcPr>
            <w:tcW w:w="436" w:type="pct"/>
            <w:vAlign w:val="center"/>
          </w:tcPr>
          <w:p w14:paraId="2C7BF747" w14:textId="77777777" w:rsidR="00667A3D" w:rsidRPr="00A9330B" w:rsidRDefault="00667A3D" w:rsidP="0013556B">
            <w:pPr>
              <w:spacing w:before="60"/>
              <w:rPr>
                <w:rFonts w:cs="Arial"/>
                <w:b/>
                <w:sz w:val="18"/>
                <w:szCs w:val="18"/>
              </w:rPr>
            </w:pPr>
            <w:r w:rsidRPr="00A9330B">
              <w:rPr>
                <w:rFonts w:cs="Arial"/>
                <w:sz w:val="16"/>
                <w:szCs w:val="16"/>
              </w:rPr>
              <w:t>moyenne</w:t>
            </w:r>
          </w:p>
        </w:tc>
        <w:tc>
          <w:tcPr>
            <w:tcW w:w="536" w:type="pct"/>
            <w:vAlign w:val="center"/>
          </w:tcPr>
          <w:p w14:paraId="2ACA344A" w14:textId="77777777" w:rsidR="00667A3D" w:rsidRPr="00A9330B" w:rsidRDefault="00667A3D" w:rsidP="0013556B">
            <w:pPr>
              <w:spacing w:before="60"/>
              <w:rPr>
                <w:rFonts w:cs="Arial"/>
                <w:b/>
                <w:sz w:val="18"/>
                <w:szCs w:val="18"/>
              </w:rPr>
            </w:pPr>
            <w:r w:rsidRPr="00A9330B">
              <w:rPr>
                <w:rFonts w:cs="Arial"/>
                <w:sz w:val="16"/>
                <w:szCs w:val="16"/>
              </w:rPr>
              <w:t>locale</w:t>
            </w:r>
          </w:p>
        </w:tc>
        <w:tc>
          <w:tcPr>
            <w:tcW w:w="616" w:type="pct"/>
            <w:vAlign w:val="center"/>
          </w:tcPr>
          <w:p w14:paraId="2A44B807" w14:textId="77777777" w:rsidR="00667A3D" w:rsidRPr="00A9330B" w:rsidRDefault="00667A3D" w:rsidP="0013556B">
            <w:pPr>
              <w:spacing w:before="60"/>
              <w:rPr>
                <w:rFonts w:cs="Arial"/>
                <w:b/>
                <w:sz w:val="18"/>
                <w:szCs w:val="18"/>
              </w:rPr>
            </w:pPr>
            <w:r w:rsidRPr="00A9330B">
              <w:rPr>
                <w:rFonts w:cs="Arial"/>
                <w:sz w:val="16"/>
                <w:szCs w:val="16"/>
              </w:rPr>
              <w:t xml:space="preserve">permanente </w:t>
            </w:r>
          </w:p>
        </w:tc>
        <w:tc>
          <w:tcPr>
            <w:tcW w:w="496" w:type="pct"/>
            <w:vAlign w:val="center"/>
          </w:tcPr>
          <w:p w14:paraId="2954A06A" w14:textId="77777777" w:rsidR="00667A3D" w:rsidRPr="00A9330B" w:rsidRDefault="00667A3D" w:rsidP="0013556B">
            <w:pPr>
              <w:spacing w:before="60"/>
              <w:rPr>
                <w:rFonts w:cs="Arial"/>
                <w:b/>
                <w:sz w:val="18"/>
                <w:szCs w:val="18"/>
              </w:rPr>
            </w:pPr>
            <w:r w:rsidRPr="00A9330B">
              <w:rPr>
                <w:rFonts w:cs="Arial"/>
                <w:sz w:val="16"/>
                <w:szCs w:val="16"/>
              </w:rPr>
              <w:t>Moyenne</w:t>
            </w:r>
          </w:p>
        </w:tc>
      </w:tr>
      <w:tr w:rsidR="00667A3D" w:rsidRPr="00A9330B" w14:paraId="7C94C8AA" w14:textId="77777777" w:rsidTr="0045250F">
        <w:tc>
          <w:tcPr>
            <w:tcW w:w="1028" w:type="pct"/>
            <w:vMerge/>
          </w:tcPr>
          <w:p w14:paraId="0104ED8F" w14:textId="77777777" w:rsidR="00667A3D" w:rsidRPr="00A9330B" w:rsidRDefault="00667A3D" w:rsidP="0013556B">
            <w:pPr>
              <w:spacing w:before="60"/>
              <w:rPr>
                <w:rFonts w:cs="Arial"/>
                <w:sz w:val="18"/>
                <w:szCs w:val="18"/>
              </w:rPr>
            </w:pPr>
          </w:p>
        </w:tc>
        <w:tc>
          <w:tcPr>
            <w:tcW w:w="1478" w:type="pct"/>
          </w:tcPr>
          <w:p w14:paraId="351A3269" w14:textId="77777777" w:rsidR="00667A3D" w:rsidRPr="00A9330B" w:rsidRDefault="00667A3D" w:rsidP="0013556B">
            <w:pPr>
              <w:spacing w:before="60"/>
              <w:rPr>
                <w:rFonts w:cs="Arial"/>
                <w:b/>
                <w:sz w:val="18"/>
                <w:szCs w:val="18"/>
              </w:rPr>
            </w:pPr>
            <w:r w:rsidRPr="00A9330B">
              <w:rPr>
                <w:rFonts w:cs="Arial"/>
                <w:b/>
                <w:sz w:val="18"/>
                <w:szCs w:val="18"/>
              </w:rPr>
              <w:t>Destruction de la végétation et la faune</w:t>
            </w:r>
          </w:p>
          <w:p w14:paraId="490CA71C" w14:textId="77777777" w:rsidR="00667A3D" w:rsidRPr="00A9330B" w:rsidRDefault="00667A3D" w:rsidP="000F7BA7">
            <w:pPr>
              <w:spacing w:before="60"/>
              <w:jc w:val="both"/>
              <w:rPr>
                <w:rFonts w:cs="Arial"/>
                <w:sz w:val="18"/>
                <w:szCs w:val="18"/>
              </w:rPr>
            </w:pPr>
            <w:r w:rsidRPr="00A9330B">
              <w:rPr>
                <w:rFonts w:cs="Arial"/>
                <w:sz w:val="18"/>
                <w:szCs w:val="18"/>
              </w:rPr>
              <w:t xml:space="preserve">La végétation située dans l’emprise du projet sera détruite et par conséquent la faune qui y est liée </w:t>
            </w:r>
          </w:p>
          <w:p w14:paraId="0573AEA9" w14:textId="77777777" w:rsidR="00667A3D" w:rsidRPr="00A9330B" w:rsidRDefault="00667A3D" w:rsidP="000F7BA7">
            <w:pPr>
              <w:jc w:val="both"/>
              <w:rPr>
                <w:sz w:val="18"/>
                <w:szCs w:val="18"/>
              </w:rPr>
            </w:pPr>
            <w:r w:rsidRPr="00A9330B">
              <w:rPr>
                <w:sz w:val="18"/>
                <w:szCs w:val="18"/>
              </w:rPr>
              <w:t xml:space="preserve">La faune peut aussi se déplacer plus loin  </w:t>
            </w:r>
          </w:p>
          <w:p w14:paraId="42003E25" w14:textId="77777777" w:rsidR="00667A3D" w:rsidRPr="00A9330B" w:rsidRDefault="00667A3D" w:rsidP="000F7BA7">
            <w:pPr>
              <w:jc w:val="both"/>
              <w:rPr>
                <w:sz w:val="18"/>
                <w:szCs w:val="18"/>
              </w:rPr>
            </w:pPr>
            <w:r w:rsidRPr="00A9330B">
              <w:rPr>
                <w:sz w:val="18"/>
                <w:szCs w:val="18"/>
              </w:rPr>
              <w:t>La végétation concernée est celle qui se trouve aux abords des collecteurs actuels et dans les plaines inondables (exutoires)</w:t>
            </w:r>
          </w:p>
          <w:p w14:paraId="1E5CE67D" w14:textId="4680A71D" w:rsidR="00667A3D" w:rsidRPr="00A9330B" w:rsidRDefault="00667A3D" w:rsidP="000F7BA7">
            <w:pPr>
              <w:jc w:val="both"/>
              <w:rPr>
                <w:sz w:val="18"/>
                <w:szCs w:val="18"/>
              </w:rPr>
            </w:pPr>
            <w:r w:rsidRPr="00A9330B">
              <w:rPr>
                <w:sz w:val="18"/>
                <w:szCs w:val="18"/>
              </w:rPr>
              <w:t xml:space="preserve">On peut également citer quelques champs et jardins maraichers mis en place au abord des couloirs d’eau ou jardins de cases </w:t>
            </w:r>
          </w:p>
        </w:tc>
        <w:tc>
          <w:tcPr>
            <w:tcW w:w="410" w:type="pct"/>
            <w:vAlign w:val="center"/>
          </w:tcPr>
          <w:p w14:paraId="6D03031A" w14:textId="77777777" w:rsidR="00667A3D" w:rsidRPr="00A9330B" w:rsidRDefault="00667A3D" w:rsidP="0013556B">
            <w:pPr>
              <w:spacing w:before="60"/>
              <w:rPr>
                <w:rFonts w:cs="Arial"/>
                <w:sz w:val="16"/>
                <w:szCs w:val="16"/>
              </w:rPr>
            </w:pPr>
            <w:r w:rsidRPr="00A9330B">
              <w:rPr>
                <w:rFonts w:cs="Arial"/>
                <w:sz w:val="16"/>
                <w:szCs w:val="16"/>
              </w:rPr>
              <w:t>-</w:t>
            </w:r>
          </w:p>
        </w:tc>
        <w:tc>
          <w:tcPr>
            <w:tcW w:w="436" w:type="pct"/>
            <w:vAlign w:val="center"/>
          </w:tcPr>
          <w:p w14:paraId="279AF768" w14:textId="77777777" w:rsidR="00667A3D" w:rsidRPr="00A9330B" w:rsidRDefault="00667A3D" w:rsidP="0013556B">
            <w:pPr>
              <w:spacing w:before="60"/>
              <w:rPr>
                <w:rFonts w:cs="Arial"/>
                <w:sz w:val="16"/>
                <w:szCs w:val="16"/>
              </w:rPr>
            </w:pPr>
            <w:r w:rsidRPr="00A9330B">
              <w:rPr>
                <w:rFonts w:cs="Arial"/>
                <w:sz w:val="16"/>
                <w:szCs w:val="16"/>
              </w:rPr>
              <w:t xml:space="preserve">Forte </w:t>
            </w:r>
          </w:p>
        </w:tc>
        <w:tc>
          <w:tcPr>
            <w:tcW w:w="536" w:type="pct"/>
            <w:vAlign w:val="center"/>
          </w:tcPr>
          <w:p w14:paraId="7F12071A" w14:textId="77777777" w:rsidR="00667A3D" w:rsidRPr="00A9330B" w:rsidRDefault="00667A3D" w:rsidP="0013556B">
            <w:pPr>
              <w:spacing w:before="60"/>
              <w:rPr>
                <w:rFonts w:cs="Arial"/>
                <w:sz w:val="16"/>
                <w:szCs w:val="16"/>
              </w:rPr>
            </w:pPr>
            <w:r w:rsidRPr="00A9330B">
              <w:rPr>
                <w:rFonts w:cs="Arial"/>
                <w:sz w:val="16"/>
                <w:szCs w:val="16"/>
              </w:rPr>
              <w:t>locale</w:t>
            </w:r>
          </w:p>
        </w:tc>
        <w:tc>
          <w:tcPr>
            <w:tcW w:w="616" w:type="pct"/>
            <w:vAlign w:val="center"/>
          </w:tcPr>
          <w:p w14:paraId="71A764BB" w14:textId="77777777" w:rsidR="00667A3D" w:rsidRPr="00A9330B" w:rsidRDefault="00667A3D" w:rsidP="0013556B">
            <w:pPr>
              <w:spacing w:before="60"/>
              <w:rPr>
                <w:rFonts w:cs="Arial"/>
                <w:sz w:val="16"/>
                <w:szCs w:val="16"/>
              </w:rPr>
            </w:pPr>
            <w:r w:rsidRPr="00A9330B">
              <w:rPr>
                <w:rFonts w:cs="Arial"/>
                <w:sz w:val="16"/>
                <w:szCs w:val="16"/>
              </w:rPr>
              <w:t xml:space="preserve">permanente </w:t>
            </w:r>
          </w:p>
        </w:tc>
        <w:tc>
          <w:tcPr>
            <w:tcW w:w="496" w:type="pct"/>
            <w:vAlign w:val="center"/>
          </w:tcPr>
          <w:p w14:paraId="3DD0568A" w14:textId="77777777" w:rsidR="00667A3D" w:rsidRPr="00A9330B" w:rsidRDefault="00667A3D" w:rsidP="0013556B">
            <w:pPr>
              <w:spacing w:before="60"/>
              <w:rPr>
                <w:rFonts w:cs="Arial"/>
                <w:sz w:val="16"/>
                <w:szCs w:val="16"/>
              </w:rPr>
            </w:pPr>
            <w:r w:rsidRPr="00A9330B">
              <w:rPr>
                <w:rFonts w:cs="Arial"/>
                <w:sz w:val="16"/>
                <w:szCs w:val="16"/>
              </w:rPr>
              <w:t xml:space="preserve">Forte </w:t>
            </w:r>
          </w:p>
        </w:tc>
      </w:tr>
      <w:tr w:rsidR="00667A3D" w:rsidRPr="00A9330B" w14:paraId="61DEB285" w14:textId="77777777" w:rsidTr="0045250F">
        <w:tc>
          <w:tcPr>
            <w:tcW w:w="1028" w:type="pct"/>
            <w:vMerge/>
          </w:tcPr>
          <w:p w14:paraId="72E32E78" w14:textId="77777777" w:rsidR="00667A3D" w:rsidRPr="00A9330B" w:rsidRDefault="00667A3D" w:rsidP="0013556B">
            <w:pPr>
              <w:spacing w:before="60"/>
              <w:rPr>
                <w:rFonts w:cs="Arial"/>
                <w:sz w:val="18"/>
                <w:szCs w:val="18"/>
              </w:rPr>
            </w:pPr>
          </w:p>
        </w:tc>
        <w:tc>
          <w:tcPr>
            <w:tcW w:w="1478" w:type="pct"/>
          </w:tcPr>
          <w:p w14:paraId="107AB698" w14:textId="77777777" w:rsidR="00667A3D" w:rsidRPr="00A9330B" w:rsidRDefault="00667A3D" w:rsidP="0013556B">
            <w:pPr>
              <w:spacing w:before="60"/>
              <w:rPr>
                <w:rFonts w:cs="Arial"/>
                <w:b/>
                <w:sz w:val="18"/>
                <w:szCs w:val="18"/>
              </w:rPr>
            </w:pPr>
            <w:r w:rsidRPr="00A9330B">
              <w:rPr>
                <w:rFonts w:cs="Arial"/>
                <w:b/>
                <w:sz w:val="18"/>
                <w:szCs w:val="18"/>
              </w:rPr>
              <w:t xml:space="preserve">Emission de particules et de poussières dans l’air </w:t>
            </w:r>
          </w:p>
          <w:p w14:paraId="4EBBA894" w14:textId="2C993852" w:rsidR="00667A3D" w:rsidRPr="00A9330B" w:rsidRDefault="00667A3D" w:rsidP="000F7BA7">
            <w:pPr>
              <w:spacing w:before="60"/>
              <w:jc w:val="both"/>
              <w:rPr>
                <w:rFonts w:cs="Arial"/>
                <w:sz w:val="18"/>
                <w:szCs w:val="18"/>
              </w:rPr>
            </w:pPr>
            <w:r w:rsidRPr="00A9330B">
              <w:rPr>
                <w:rFonts w:cs="Arial"/>
                <w:sz w:val="18"/>
                <w:szCs w:val="18"/>
              </w:rPr>
              <w:t>Les travaux de construction,</w:t>
            </w:r>
            <w:r w:rsidR="004D157F" w:rsidRPr="00A9330B">
              <w:rPr>
                <w:rFonts w:cs="Arial"/>
                <w:sz w:val="18"/>
                <w:szCs w:val="18"/>
              </w:rPr>
              <w:t xml:space="preserve"> la</w:t>
            </w:r>
            <w:r w:rsidRPr="00A9330B">
              <w:rPr>
                <w:rFonts w:cs="Arial"/>
                <w:sz w:val="18"/>
                <w:szCs w:val="18"/>
              </w:rPr>
              <w:t xml:space="preserve"> mise en œuvre des matériaux, </w:t>
            </w:r>
            <w:r w:rsidR="004D157F" w:rsidRPr="00A9330B">
              <w:rPr>
                <w:rFonts w:cs="Arial"/>
                <w:sz w:val="18"/>
                <w:szCs w:val="18"/>
              </w:rPr>
              <w:t xml:space="preserve">la </w:t>
            </w:r>
            <w:r w:rsidRPr="00A9330B">
              <w:rPr>
                <w:rFonts w:cs="Arial"/>
                <w:sz w:val="18"/>
                <w:szCs w:val="18"/>
              </w:rPr>
              <w:t xml:space="preserve">manipulation des emprunts, </w:t>
            </w:r>
            <w:r w:rsidR="004D157F" w:rsidRPr="00A9330B">
              <w:rPr>
                <w:rFonts w:cs="Arial"/>
                <w:sz w:val="18"/>
                <w:szCs w:val="18"/>
              </w:rPr>
              <w:t xml:space="preserve">le </w:t>
            </w:r>
            <w:r w:rsidRPr="00A9330B">
              <w:rPr>
                <w:rFonts w:cs="Arial"/>
                <w:sz w:val="18"/>
                <w:szCs w:val="18"/>
              </w:rPr>
              <w:t xml:space="preserve">concassage, </w:t>
            </w:r>
            <w:r w:rsidR="004D157F" w:rsidRPr="00A9330B">
              <w:rPr>
                <w:rFonts w:cs="Arial"/>
                <w:sz w:val="18"/>
                <w:szCs w:val="18"/>
              </w:rPr>
              <w:t xml:space="preserve">la </w:t>
            </w:r>
            <w:r w:rsidRPr="00A9330B">
              <w:rPr>
                <w:rFonts w:cs="Arial"/>
                <w:sz w:val="18"/>
                <w:szCs w:val="18"/>
              </w:rPr>
              <w:t xml:space="preserve">préfabrication des pavés sont souvent générateurs de poussières et d’émissions de particules dans l’air </w:t>
            </w:r>
          </w:p>
        </w:tc>
        <w:tc>
          <w:tcPr>
            <w:tcW w:w="410" w:type="pct"/>
            <w:vAlign w:val="center"/>
          </w:tcPr>
          <w:p w14:paraId="103F1AEC" w14:textId="77777777" w:rsidR="00667A3D" w:rsidRPr="00A9330B" w:rsidRDefault="00667A3D" w:rsidP="0013556B">
            <w:pPr>
              <w:spacing w:before="60"/>
              <w:rPr>
                <w:rFonts w:cs="Arial"/>
                <w:b/>
                <w:sz w:val="18"/>
                <w:szCs w:val="18"/>
              </w:rPr>
            </w:pPr>
            <w:r w:rsidRPr="00A9330B">
              <w:rPr>
                <w:rFonts w:cs="Arial"/>
                <w:sz w:val="16"/>
                <w:szCs w:val="16"/>
              </w:rPr>
              <w:t>-</w:t>
            </w:r>
          </w:p>
        </w:tc>
        <w:tc>
          <w:tcPr>
            <w:tcW w:w="436" w:type="pct"/>
            <w:vAlign w:val="center"/>
          </w:tcPr>
          <w:p w14:paraId="5FF88B73" w14:textId="77777777" w:rsidR="00667A3D" w:rsidRPr="00A9330B" w:rsidRDefault="00667A3D" w:rsidP="0013556B">
            <w:pPr>
              <w:spacing w:before="60"/>
              <w:rPr>
                <w:rFonts w:cs="Arial"/>
                <w:b/>
                <w:sz w:val="18"/>
                <w:szCs w:val="18"/>
              </w:rPr>
            </w:pPr>
            <w:r w:rsidRPr="00A9330B">
              <w:rPr>
                <w:rFonts w:cs="Arial"/>
                <w:sz w:val="16"/>
                <w:szCs w:val="16"/>
              </w:rPr>
              <w:t>moyenne</w:t>
            </w:r>
          </w:p>
        </w:tc>
        <w:tc>
          <w:tcPr>
            <w:tcW w:w="536" w:type="pct"/>
            <w:vAlign w:val="center"/>
          </w:tcPr>
          <w:p w14:paraId="5D0AB210" w14:textId="77777777" w:rsidR="00667A3D" w:rsidRPr="00A9330B" w:rsidRDefault="00667A3D" w:rsidP="0013556B">
            <w:pPr>
              <w:spacing w:before="60"/>
              <w:rPr>
                <w:rFonts w:cs="Arial"/>
                <w:b/>
                <w:sz w:val="18"/>
                <w:szCs w:val="18"/>
              </w:rPr>
            </w:pPr>
            <w:r w:rsidRPr="00A9330B">
              <w:rPr>
                <w:rFonts w:cs="Arial"/>
                <w:sz w:val="16"/>
                <w:szCs w:val="16"/>
              </w:rPr>
              <w:t>locale</w:t>
            </w:r>
          </w:p>
        </w:tc>
        <w:tc>
          <w:tcPr>
            <w:tcW w:w="616" w:type="pct"/>
            <w:vAlign w:val="center"/>
          </w:tcPr>
          <w:p w14:paraId="7E5DF03E" w14:textId="77777777" w:rsidR="00667A3D" w:rsidRPr="00A9330B" w:rsidRDefault="00667A3D" w:rsidP="0013556B">
            <w:pPr>
              <w:spacing w:before="60"/>
              <w:rPr>
                <w:rFonts w:cs="Arial"/>
                <w:b/>
                <w:sz w:val="18"/>
                <w:szCs w:val="18"/>
              </w:rPr>
            </w:pPr>
            <w:r w:rsidRPr="00A9330B">
              <w:rPr>
                <w:rFonts w:cs="Arial"/>
                <w:sz w:val="16"/>
                <w:szCs w:val="16"/>
              </w:rPr>
              <w:t xml:space="preserve">permanente </w:t>
            </w:r>
          </w:p>
        </w:tc>
        <w:tc>
          <w:tcPr>
            <w:tcW w:w="496" w:type="pct"/>
            <w:vAlign w:val="center"/>
          </w:tcPr>
          <w:p w14:paraId="74D671F5" w14:textId="77777777" w:rsidR="00667A3D" w:rsidRPr="00A9330B" w:rsidRDefault="00667A3D" w:rsidP="0013556B">
            <w:pPr>
              <w:spacing w:before="60"/>
              <w:rPr>
                <w:rFonts w:cs="Arial"/>
                <w:b/>
                <w:sz w:val="18"/>
                <w:szCs w:val="18"/>
              </w:rPr>
            </w:pPr>
            <w:r w:rsidRPr="00A9330B">
              <w:rPr>
                <w:rFonts w:cs="Arial"/>
                <w:sz w:val="16"/>
                <w:szCs w:val="16"/>
              </w:rPr>
              <w:t>Moyenne</w:t>
            </w:r>
          </w:p>
        </w:tc>
      </w:tr>
      <w:tr w:rsidR="00667A3D" w:rsidRPr="00A9330B" w14:paraId="29270028" w14:textId="77777777" w:rsidTr="0045250F">
        <w:tc>
          <w:tcPr>
            <w:tcW w:w="1028" w:type="pct"/>
            <w:vMerge/>
          </w:tcPr>
          <w:p w14:paraId="37739586" w14:textId="77777777" w:rsidR="00667A3D" w:rsidRPr="00A9330B" w:rsidRDefault="00667A3D" w:rsidP="0013556B">
            <w:pPr>
              <w:spacing w:before="60"/>
              <w:rPr>
                <w:rFonts w:cs="Arial"/>
                <w:sz w:val="18"/>
                <w:szCs w:val="18"/>
              </w:rPr>
            </w:pPr>
          </w:p>
        </w:tc>
        <w:tc>
          <w:tcPr>
            <w:tcW w:w="1478" w:type="pct"/>
          </w:tcPr>
          <w:p w14:paraId="683BFD29" w14:textId="77777777" w:rsidR="00667A3D" w:rsidRPr="00A9330B" w:rsidRDefault="00667A3D" w:rsidP="0013556B">
            <w:pPr>
              <w:spacing w:before="60"/>
              <w:rPr>
                <w:rFonts w:cs="Arial"/>
                <w:b/>
                <w:sz w:val="18"/>
                <w:szCs w:val="18"/>
              </w:rPr>
            </w:pPr>
            <w:r w:rsidRPr="00A9330B">
              <w:rPr>
                <w:rFonts w:cs="Arial"/>
                <w:b/>
                <w:sz w:val="18"/>
                <w:szCs w:val="18"/>
              </w:rPr>
              <w:t>Production de déchets solides</w:t>
            </w:r>
          </w:p>
          <w:p w14:paraId="606BF2AC" w14:textId="77777777" w:rsidR="00667A3D" w:rsidRPr="00A9330B" w:rsidRDefault="00667A3D" w:rsidP="000F7BA7">
            <w:pPr>
              <w:spacing w:before="60"/>
              <w:jc w:val="both"/>
              <w:rPr>
                <w:rFonts w:cs="Arial"/>
                <w:sz w:val="18"/>
                <w:szCs w:val="18"/>
              </w:rPr>
            </w:pPr>
            <w:r w:rsidRPr="00A9330B">
              <w:rPr>
                <w:rFonts w:cs="Arial"/>
                <w:sz w:val="18"/>
                <w:szCs w:val="18"/>
              </w:rPr>
              <w:t xml:space="preserve">Déchets inertes de démantèlement, déchets végétaux, déchets d’emballage et déchets de chantier </w:t>
            </w:r>
          </w:p>
        </w:tc>
        <w:tc>
          <w:tcPr>
            <w:tcW w:w="410" w:type="pct"/>
            <w:vAlign w:val="center"/>
          </w:tcPr>
          <w:p w14:paraId="28499617" w14:textId="77777777" w:rsidR="00667A3D" w:rsidRPr="00A9330B" w:rsidRDefault="00667A3D" w:rsidP="0013556B">
            <w:pPr>
              <w:spacing w:before="60"/>
              <w:rPr>
                <w:rFonts w:cs="Arial"/>
                <w:b/>
                <w:sz w:val="18"/>
                <w:szCs w:val="18"/>
              </w:rPr>
            </w:pPr>
            <w:r w:rsidRPr="00A9330B">
              <w:rPr>
                <w:rFonts w:cs="Arial"/>
                <w:b/>
                <w:sz w:val="16"/>
                <w:szCs w:val="16"/>
              </w:rPr>
              <w:t>-</w:t>
            </w:r>
          </w:p>
        </w:tc>
        <w:tc>
          <w:tcPr>
            <w:tcW w:w="436" w:type="pct"/>
            <w:vAlign w:val="center"/>
          </w:tcPr>
          <w:p w14:paraId="2A0FAF86" w14:textId="77777777" w:rsidR="00667A3D" w:rsidRPr="00A9330B" w:rsidRDefault="00667A3D" w:rsidP="0013556B">
            <w:pPr>
              <w:spacing w:before="60"/>
              <w:rPr>
                <w:rFonts w:cs="Arial"/>
                <w:b/>
                <w:sz w:val="18"/>
                <w:szCs w:val="18"/>
              </w:rPr>
            </w:pPr>
            <w:r w:rsidRPr="00A9330B">
              <w:rPr>
                <w:rFonts w:cs="Arial"/>
                <w:sz w:val="16"/>
                <w:szCs w:val="16"/>
              </w:rPr>
              <w:t>faible</w:t>
            </w:r>
          </w:p>
        </w:tc>
        <w:tc>
          <w:tcPr>
            <w:tcW w:w="536" w:type="pct"/>
            <w:vAlign w:val="center"/>
          </w:tcPr>
          <w:p w14:paraId="36CD5FE0" w14:textId="77777777" w:rsidR="00667A3D" w:rsidRPr="00A9330B" w:rsidRDefault="00667A3D" w:rsidP="0013556B">
            <w:pPr>
              <w:spacing w:before="60"/>
              <w:rPr>
                <w:rFonts w:cs="Arial"/>
                <w:b/>
                <w:sz w:val="18"/>
                <w:szCs w:val="18"/>
              </w:rPr>
            </w:pPr>
            <w:r w:rsidRPr="00A9330B">
              <w:rPr>
                <w:rFonts w:cs="Arial"/>
                <w:sz w:val="16"/>
                <w:szCs w:val="16"/>
              </w:rPr>
              <w:t>locale</w:t>
            </w:r>
          </w:p>
        </w:tc>
        <w:tc>
          <w:tcPr>
            <w:tcW w:w="616" w:type="pct"/>
            <w:vAlign w:val="center"/>
          </w:tcPr>
          <w:p w14:paraId="7FE3F70D" w14:textId="77777777" w:rsidR="00667A3D" w:rsidRPr="00A9330B" w:rsidRDefault="00667A3D" w:rsidP="0013556B">
            <w:pPr>
              <w:spacing w:before="60"/>
              <w:rPr>
                <w:rFonts w:cs="Arial"/>
                <w:b/>
                <w:sz w:val="18"/>
                <w:szCs w:val="18"/>
              </w:rPr>
            </w:pPr>
            <w:r w:rsidRPr="00A9330B">
              <w:rPr>
                <w:rFonts w:cs="Arial"/>
                <w:sz w:val="16"/>
                <w:szCs w:val="16"/>
              </w:rPr>
              <w:t>temporaire</w:t>
            </w:r>
          </w:p>
        </w:tc>
        <w:tc>
          <w:tcPr>
            <w:tcW w:w="496" w:type="pct"/>
            <w:vAlign w:val="center"/>
          </w:tcPr>
          <w:p w14:paraId="6789B664" w14:textId="77777777" w:rsidR="00667A3D" w:rsidRPr="00A9330B" w:rsidRDefault="00667A3D" w:rsidP="0013556B">
            <w:pPr>
              <w:spacing w:before="60"/>
              <w:rPr>
                <w:rFonts w:cs="Arial"/>
                <w:b/>
                <w:sz w:val="18"/>
                <w:szCs w:val="18"/>
              </w:rPr>
            </w:pPr>
            <w:r w:rsidRPr="00A9330B">
              <w:rPr>
                <w:rFonts w:cs="Arial"/>
                <w:sz w:val="16"/>
                <w:szCs w:val="16"/>
              </w:rPr>
              <w:t xml:space="preserve">Faible </w:t>
            </w:r>
          </w:p>
        </w:tc>
      </w:tr>
      <w:tr w:rsidR="00667A3D" w:rsidRPr="00A9330B" w14:paraId="0195E1BE" w14:textId="77777777" w:rsidTr="0045250F">
        <w:tc>
          <w:tcPr>
            <w:tcW w:w="1028" w:type="pct"/>
            <w:vMerge/>
          </w:tcPr>
          <w:p w14:paraId="583DD29A" w14:textId="77777777" w:rsidR="00667A3D" w:rsidRPr="00A9330B" w:rsidRDefault="00667A3D" w:rsidP="0013556B">
            <w:pPr>
              <w:spacing w:before="60"/>
              <w:rPr>
                <w:rFonts w:cs="Arial"/>
                <w:sz w:val="18"/>
                <w:szCs w:val="18"/>
              </w:rPr>
            </w:pPr>
          </w:p>
        </w:tc>
        <w:tc>
          <w:tcPr>
            <w:tcW w:w="1478" w:type="pct"/>
          </w:tcPr>
          <w:p w14:paraId="56C53024" w14:textId="77777777" w:rsidR="00667A3D" w:rsidRPr="00A9330B" w:rsidRDefault="00667A3D" w:rsidP="0013556B">
            <w:pPr>
              <w:spacing w:before="60"/>
              <w:rPr>
                <w:rFonts w:cs="Arial"/>
                <w:b/>
                <w:sz w:val="18"/>
                <w:szCs w:val="18"/>
              </w:rPr>
            </w:pPr>
            <w:r w:rsidRPr="00A9330B">
              <w:rPr>
                <w:rFonts w:cs="Arial"/>
                <w:b/>
                <w:sz w:val="18"/>
                <w:szCs w:val="18"/>
              </w:rPr>
              <w:t>Modification des écoulements des eaux de surface</w:t>
            </w:r>
          </w:p>
          <w:p w14:paraId="65D4B8E1" w14:textId="4265686C" w:rsidR="00667A3D" w:rsidRPr="00A9330B" w:rsidRDefault="00667A3D" w:rsidP="000F7BA7">
            <w:pPr>
              <w:spacing w:before="60"/>
              <w:jc w:val="both"/>
              <w:rPr>
                <w:rFonts w:cs="Arial"/>
                <w:sz w:val="18"/>
                <w:szCs w:val="18"/>
              </w:rPr>
            </w:pPr>
            <w:r w:rsidRPr="00A9330B">
              <w:rPr>
                <w:rFonts w:cs="Arial"/>
                <w:sz w:val="18"/>
                <w:szCs w:val="18"/>
              </w:rPr>
              <w:t xml:space="preserve">L’installation du chantier : </w:t>
            </w:r>
            <w:r w:rsidR="004D157F" w:rsidRPr="00A9330B">
              <w:rPr>
                <w:rFonts w:cs="Arial"/>
                <w:sz w:val="18"/>
                <w:szCs w:val="18"/>
              </w:rPr>
              <w:t xml:space="preserve">le </w:t>
            </w:r>
            <w:r w:rsidRPr="00A9330B">
              <w:rPr>
                <w:rFonts w:cs="Arial"/>
                <w:sz w:val="18"/>
                <w:szCs w:val="18"/>
              </w:rPr>
              <w:t xml:space="preserve">déblais, </w:t>
            </w:r>
            <w:r w:rsidR="004D157F" w:rsidRPr="00A9330B">
              <w:rPr>
                <w:rFonts w:cs="Arial"/>
                <w:sz w:val="18"/>
                <w:szCs w:val="18"/>
              </w:rPr>
              <w:t xml:space="preserve">le </w:t>
            </w:r>
            <w:r w:rsidRPr="00A9330B">
              <w:rPr>
                <w:rFonts w:cs="Arial"/>
                <w:sz w:val="18"/>
                <w:szCs w:val="18"/>
              </w:rPr>
              <w:t>balisage</w:t>
            </w:r>
            <w:r w:rsidR="004D157F" w:rsidRPr="00A9330B">
              <w:rPr>
                <w:rFonts w:cs="Arial"/>
                <w:sz w:val="18"/>
                <w:szCs w:val="18"/>
              </w:rPr>
              <w:t xml:space="preserve">, </w:t>
            </w:r>
            <w:r w:rsidRPr="00A9330B">
              <w:rPr>
                <w:rFonts w:cs="Arial"/>
                <w:sz w:val="18"/>
                <w:szCs w:val="18"/>
              </w:rPr>
              <w:t>,</w:t>
            </w:r>
            <w:r w:rsidR="004D157F" w:rsidRPr="00A9330B">
              <w:rPr>
                <w:rFonts w:cs="Arial"/>
                <w:sz w:val="18"/>
                <w:szCs w:val="18"/>
              </w:rPr>
              <w:t xml:space="preserve">les </w:t>
            </w:r>
            <w:r w:rsidRPr="00A9330B">
              <w:rPr>
                <w:rFonts w:cs="Arial"/>
                <w:sz w:val="18"/>
                <w:szCs w:val="18"/>
              </w:rPr>
              <w:t xml:space="preserve"> fouilles, et autres travaux peuvent constituer un obstacle à l’écoulement normal des eaux pluviales surtout qu’il s’agit des couloirs naturels de l’eau </w:t>
            </w:r>
          </w:p>
        </w:tc>
        <w:tc>
          <w:tcPr>
            <w:tcW w:w="410" w:type="pct"/>
            <w:vAlign w:val="center"/>
          </w:tcPr>
          <w:p w14:paraId="2CC58DD8" w14:textId="77777777" w:rsidR="00667A3D" w:rsidRPr="00A9330B" w:rsidRDefault="00667A3D" w:rsidP="0013556B">
            <w:pPr>
              <w:spacing w:before="60"/>
              <w:rPr>
                <w:rFonts w:cs="Arial"/>
                <w:b/>
                <w:sz w:val="18"/>
                <w:szCs w:val="18"/>
              </w:rPr>
            </w:pPr>
            <w:r w:rsidRPr="00A9330B">
              <w:rPr>
                <w:rFonts w:cs="Arial"/>
                <w:b/>
                <w:sz w:val="16"/>
                <w:szCs w:val="16"/>
              </w:rPr>
              <w:t>-</w:t>
            </w:r>
          </w:p>
        </w:tc>
        <w:tc>
          <w:tcPr>
            <w:tcW w:w="436" w:type="pct"/>
            <w:vAlign w:val="center"/>
          </w:tcPr>
          <w:p w14:paraId="31DF65D8" w14:textId="77777777" w:rsidR="00667A3D" w:rsidRPr="00A9330B" w:rsidRDefault="00667A3D" w:rsidP="0013556B">
            <w:pPr>
              <w:spacing w:before="60"/>
              <w:rPr>
                <w:rFonts w:cs="Arial"/>
                <w:b/>
                <w:sz w:val="18"/>
                <w:szCs w:val="18"/>
              </w:rPr>
            </w:pPr>
            <w:r w:rsidRPr="00A9330B">
              <w:rPr>
                <w:rFonts w:cs="Arial"/>
                <w:sz w:val="16"/>
                <w:szCs w:val="16"/>
              </w:rPr>
              <w:t>faible</w:t>
            </w:r>
          </w:p>
        </w:tc>
        <w:tc>
          <w:tcPr>
            <w:tcW w:w="536" w:type="pct"/>
            <w:vAlign w:val="center"/>
          </w:tcPr>
          <w:p w14:paraId="6252E928" w14:textId="77777777" w:rsidR="00667A3D" w:rsidRPr="00A9330B" w:rsidRDefault="00667A3D" w:rsidP="0013556B">
            <w:pPr>
              <w:spacing w:before="60"/>
              <w:rPr>
                <w:rFonts w:cs="Arial"/>
                <w:b/>
                <w:sz w:val="18"/>
                <w:szCs w:val="18"/>
              </w:rPr>
            </w:pPr>
            <w:r w:rsidRPr="00A9330B">
              <w:rPr>
                <w:rFonts w:cs="Arial"/>
                <w:sz w:val="16"/>
                <w:szCs w:val="16"/>
              </w:rPr>
              <w:t>locale</w:t>
            </w:r>
          </w:p>
        </w:tc>
        <w:tc>
          <w:tcPr>
            <w:tcW w:w="616" w:type="pct"/>
            <w:vAlign w:val="center"/>
          </w:tcPr>
          <w:p w14:paraId="21C78DA2" w14:textId="77777777" w:rsidR="00667A3D" w:rsidRPr="00A9330B" w:rsidRDefault="00667A3D" w:rsidP="0013556B">
            <w:pPr>
              <w:spacing w:before="60"/>
              <w:rPr>
                <w:rFonts w:cs="Arial"/>
                <w:b/>
                <w:sz w:val="18"/>
                <w:szCs w:val="18"/>
              </w:rPr>
            </w:pPr>
            <w:r w:rsidRPr="00A9330B">
              <w:rPr>
                <w:rFonts w:cs="Arial"/>
                <w:sz w:val="16"/>
                <w:szCs w:val="16"/>
              </w:rPr>
              <w:t>temporaire</w:t>
            </w:r>
          </w:p>
        </w:tc>
        <w:tc>
          <w:tcPr>
            <w:tcW w:w="496" w:type="pct"/>
            <w:vAlign w:val="center"/>
          </w:tcPr>
          <w:p w14:paraId="7F913B1E" w14:textId="77777777" w:rsidR="00667A3D" w:rsidRPr="00A9330B" w:rsidRDefault="00667A3D" w:rsidP="0013556B">
            <w:pPr>
              <w:spacing w:before="60"/>
              <w:rPr>
                <w:rFonts w:cs="Arial"/>
                <w:b/>
                <w:sz w:val="18"/>
                <w:szCs w:val="18"/>
              </w:rPr>
            </w:pPr>
            <w:r w:rsidRPr="00A9330B">
              <w:rPr>
                <w:rFonts w:cs="Arial"/>
                <w:sz w:val="16"/>
                <w:szCs w:val="16"/>
              </w:rPr>
              <w:t xml:space="preserve">Faible </w:t>
            </w:r>
          </w:p>
        </w:tc>
      </w:tr>
      <w:tr w:rsidR="00401546" w:rsidRPr="00A9330B" w14:paraId="3F1D1173" w14:textId="77777777" w:rsidTr="0045250F">
        <w:tc>
          <w:tcPr>
            <w:tcW w:w="1028" w:type="pct"/>
            <w:vMerge w:val="restart"/>
            <w:vAlign w:val="center"/>
          </w:tcPr>
          <w:p w14:paraId="017ED0A4" w14:textId="77777777" w:rsidR="00401546" w:rsidRPr="00A9330B" w:rsidRDefault="00401546" w:rsidP="0013556B">
            <w:pPr>
              <w:widowControl w:val="0"/>
              <w:tabs>
                <w:tab w:val="left" w:pos="426"/>
                <w:tab w:val="left" w:pos="851"/>
                <w:tab w:val="left" w:pos="1134"/>
              </w:tabs>
              <w:overflowPunct w:val="0"/>
              <w:autoSpaceDE w:val="0"/>
              <w:autoSpaceDN w:val="0"/>
              <w:adjustRightInd w:val="0"/>
              <w:spacing w:before="0" w:line="240" w:lineRule="auto"/>
              <w:textAlignment w:val="baseline"/>
              <w:rPr>
                <w:rFonts w:eastAsia="Times New Roman" w:cs="Arial"/>
                <w:color w:val="auto"/>
                <w:sz w:val="18"/>
                <w:szCs w:val="18"/>
                <w:lang w:eastAsia="fr-FR"/>
              </w:rPr>
            </w:pPr>
          </w:p>
          <w:p w14:paraId="7916DAF2" w14:textId="301301F9" w:rsidR="00401546" w:rsidRPr="00A9330B" w:rsidRDefault="00401546" w:rsidP="0013556B">
            <w:pPr>
              <w:spacing w:before="60"/>
              <w:rPr>
                <w:rFonts w:cs="Arial"/>
                <w:sz w:val="18"/>
                <w:szCs w:val="18"/>
              </w:rPr>
            </w:pPr>
            <w:r w:rsidRPr="00A9330B">
              <w:rPr>
                <w:rFonts w:cs="Arial"/>
                <w:i/>
                <w:sz w:val="18"/>
                <w:szCs w:val="18"/>
              </w:rPr>
              <w:t>2.</w:t>
            </w:r>
            <w:r w:rsidR="00667A3D" w:rsidRPr="00A9330B">
              <w:rPr>
                <w:rFonts w:cs="Arial"/>
                <w:i/>
                <w:sz w:val="18"/>
                <w:szCs w:val="18"/>
              </w:rPr>
              <w:t>2</w:t>
            </w:r>
            <w:r w:rsidRPr="00A9330B">
              <w:rPr>
                <w:rFonts w:cs="Arial"/>
                <w:i/>
                <w:sz w:val="18"/>
                <w:szCs w:val="18"/>
              </w:rPr>
              <w:t xml:space="preserve">. Aménagement des déviations </w:t>
            </w:r>
          </w:p>
          <w:p w14:paraId="7CDA7F08" w14:textId="77777777" w:rsidR="00401546" w:rsidRPr="00A9330B" w:rsidRDefault="00401546" w:rsidP="0013556B">
            <w:pPr>
              <w:rPr>
                <w:rFonts w:cs="Arial"/>
                <w:sz w:val="18"/>
                <w:szCs w:val="18"/>
              </w:rPr>
            </w:pPr>
          </w:p>
          <w:p w14:paraId="65484AB8" w14:textId="77777777" w:rsidR="00401546" w:rsidRPr="00A9330B" w:rsidRDefault="00401546" w:rsidP="0013556B">
            <w:pPr>
              <w:spacing w:before="60"/>
              <w:rPr>
                <w:rFonts w:cs="Arial"/>
                <w:sz w:val="18"/>
                <w:szCs w:val="18"/>
              </w:rPr>
            </w:pPr>
          </w:p>
        </w:tc>
        <w:tc>
          <w:tcPr>
            <w:tcW w:w="1478" w:type="pct"/>
          </w:tcPr>
          <w:p w14:paraId="21675594" w14:textId="489FAEB6" w:rsidR="00401546" w:rsidRPr="00A9330B" w:rsidRDefault="00401546" w:rsidP="0013556B">
            <w:pPr>
              <w:rPr>
                <w:rFonts w:cs="Arial"/>
                <w:b/>
                <w:sz w:val="18"/>
                <w:szCs w:val="18"/>
              </w:rPr>
            </w:pPr>
            <w:r w:rsidRPr="00A9330B">
              <w:rPr>
                <w:rFonts w:cs="Arial"/>
                <w:b/>
                <w:sz w:val="18"/>
                <w:szCs w:val="18"/>
              </w:rPr>
              <w:t xml:space="preserve">Destruction de la flore et de </w:t>
            </w:r>
            <w:r w:rsidR="004D157F" w:rsidRPr="00A9330B">
              <w:rPr>
                <w:rFonts w:cs="Arial"/>
                <w:b/>
                <w:sz w:val="18"/>
                <w:szCs w:val="18"/>
              </w:rPr>
              <w:t xml:space="preserve">la </w:t>
            </w:r>
            <w:r w:rsidRPr="00A9330B">
              <w:rPr>
                <w:rFonts w:cs="Arial"/>
                <w:b/>
                <w:sz w:val="18"/>
                <w:szCs w:val="18"/>
              </w:rPr>
              <w:t xml:space="preserve">faune </w:t>
            </w:r>
          </w:p>
          <w:p w14:paraId="144AD55A" w14:textId="77777777" w:rsidR="00401546" w:rsidRPr="00A9330B" w:rsidRDefault="00401546" w:rsidP="000F7BA7">
            <w:pPr>
              <w:jc w:val="both"/>
              <w:rPr>
                <w:rFonts w:cs="Arial"/>
                <w:sz w:val="18"/>
                <w:szCs w:val="18"/>
              </w:rPr>
            </w:pPr>
            <w:r w:rsidRPr="00A9330B">
              <w:rPr>
                <w:rFonts w:cs="Arial"/>
                <w:sz w:val="18"/>
                <w:szCs w:val="18"/>
              </w:rPr>
              <w:t xml:space="preserve">Il s’agit ici de la végétation qui se trouve dans l’emprise des déviations identifiées et de la faune inféodée à celle-ci </w:t>
            </w:r>
          </w:p>
        </w:tc>
        <w:tc>
          <w:tcPr>
            <w:tcW w:w="410" w:type="pct"/>
            <w:vAlign w:val="center"/>
          </w:tcPr>
          <w:p w14:paraId="15E79538" w14:textId="77777777" w:rsidR="00401546" w:rsidRPr="00A9330B" w:rsidRDefault="00401546" w:rsidP="0013556B">
            <w:pPr>
              <w:spacing w:before="60"/>
              <w:rPr>
                <w:rFonts w:cs="Arial"/>
                <w:b/>
                <w:sz w:val="16"/>
                <w:szCs w:val="16"/>
              </w:rPr>
            </w:pPr>
            <w:r w:rsidRPr="00A9330B">
              <w:rPr>
                <w:rFonts w:cs="Arial"/>
                <w:b/>
                <w:sz w:val="16"/>
                <w:szCs w:val="16"/>
              </w:rPr>
              <w:t>-</w:t>
            </w:r>
          </w:p>
        </w:tc>
        <w:tc>
          <w:tcPr>
            <w:tcW w:w="436" w:type="pct"/>
            <w:vAlign w:val="center"/>
          </w:tcPr>
          <w:p w14:paraId="70544FAC" w14:textId="77777777" w:rsidR="00401546" w:rsidRPr="00A9330B" w:rsidRDefault="00401546" w:rsidP="0013556B">
            <w:pPr>
              <w:spacing w:before="60"/>
              <w:rPr>
                <w:rFonts w:cs="Arial"/>
                <w:sz w:val="16"/>
                <w:szCs w:val="16"/>
              </w:rPr>
            </w:pPr>
            <w:r w:rsidRPr="00A9330B">
              <w:rPr>
                <w:rFonts w:cs="Arial"/>
                <w:sz w:val="16"/>
                <w:szCs w:val="16"/>
              </w:rPr>
              <w:t>faible</w:t>
            </w:r>
          </w:p>
        </w:tc>
        <w:tc>
          <w:tcPr>
            <w:tcW w:w="536" w:type="pct"/>
            <w:vAlign w:val="center"/>
          </w:tcPr>
          <w:p w14:paraId="6D815A84" w14:textId="77777777" w:rsidR="00401546" w:rsidRPr="00A9330B" w:rsidRDefault="00401546" w:rsidP="0013556B">
            <w:pPr>
              <w:spacing w:before="60"/>
              <w:rPr>
                <w:rFonts w:cs="Arial"/>
                <w:sz w:val="16"/>
                <w:szCs w:val="16"/>
              </w:rPr>
            </w:pPr>
            <w:r w:rsidRPr="00A9330B">
              <w:rPr>
                <w:rFonts w:cs="Arial"/>
                <w:sz w:val="16"/>
                <w:szCs w:val="16"/>
              </w:rPr>
              <w:t>locale</w:t>
            </w:r>
          </w:p>
        </w:tc>
        <w:tc>
          <w:tcPr>
            <w:tcW w:w="616" w:type="pct"/>
            <w:vAlign w:val="center"/>
          </w:tcPr>
          <w:p w14:paraId="167A5C7D" w14:textId="77777777" w:rsidR="00401546" w:rsidRPr="00A9330B" w:rsidRDefault="00401546" w:rsidP="0013556B">
            <w:pPr>
              <w:spacing w:before="60"/>
              <w:rPr>
                <w:rFonts w:cs="Arial"/>
                <w:sz w:val="16"/>
                <w:szCs w:val="16"/>
              </w:rPr>
            </w:pPr>
            <w:r w:rsidRPr="00A9330B">
              <w:rPr>
                <w:rFonts w:cs="Arial"/>
                <w:sz w:val="16"/>
                <w:szCs w:val="16"/>
              </w:rPr>
              <w:t>temporaire</w:t>
            </w:r>
          </w:p>
        </w:tc>
        <w:tc>
          <w:tcPr>
            <w:tcW w:w="496" w:type="pct"/>
            <w:vAlign w:val="center"/>
          </w:tcPr>
          <w:p w14:paraId="6F3AD57D" w14:textId="77777777" w:rsidR="00401546" w:rsidRPr="00A9330B" w:rsidRDefault="00401546" w:rsidP="0013556B">
            <w:pPr>
              <w:spacing w:before="60"/>
              <w:rPr>
                <w:rFonts w:cs="Arial"/>
                <w:sz w:val="16"/>
                <w:szCs w:val="16"/>
              </w:rPr>
            </w:pPr>
            <w:r w:rsidRPr="00A9330B">
              <w:rPr>
                <w:rFonts w:cs="Arial"/>
                <w:sz w:val="16"/>
                <w:szCs w:val="16"/>
              </w:rPr>
              <w:t xml:space="preserve">Faible </w:t>
            </w:r>
          </w:p>
        </w:tc>
      </w:tr>
      <w:tr w:rsidR="00401546" w:rsidRPr="00A9330B" w14:paraId="10C9D945" w14:textId="77777777" w:rsidTr="0045250F">
        <w:tc>
          <w:tcPr>
            <w:tcW w:w="1028" w:type="pct"/>
            <w:vMerge/>
          </w:tcPr>
          <w:p w14:paraId="59333820" w14:textId="77777777" w:rsidR="00401546" w:rsidRPr="00A9330B" w:rsidRDefault="00401546" w:rsidP="0013556B">
            <w:pPr>
              <w:spacing w:before="60"/>
              <w:rPr>
                <w:rFonts w:cs="Arial"/>
                <w:i/>
                <w:sz w:val="18"/>
                <w:szCs w:val="18"/>
              </w:rPr>
            </w:pPr>
          </w:p>
        </w:tc>
        <w:tc>
          <w:tcPr>
            <w:tcW w:w="1478" w:type="pct"/>
          </w:tcPr>
          <w:p w14:paraId="1CFD0B2E" w14:textId="77777777" w:rsidR="00401546" w:rsidRPr="00A9330B" w:rsidRDefault="00401546" w:rsidP="0013556B">
            <w:pPr>
              <w:spacing w:before="60"/>
              <w:rPr>
                <w:rFonts w:cs="Arial"/>
                <w:b/>
                <w:sz w:val="18"/>
                <w:szCs w:val="18"/>
              </w:rPr>
            </w:pPr>
            <w:r w:rsidRPr="00A9330B">
              <w:rPr>
                <w:rFonts w:cs="Arial"/>
                <w:b/>
                <w:sz w:val="18"/>
                <w:szCs w:val="18"/>
              </w:rPr>
              <w:t xml:space="preserve">Emission de particules et de poussières dans l’air </w:t>
            </w:r>
          </w:p>
          <w:p w14:paraId="32A2983D" w14:textId="77777777" w:rsidR="00401546" w:rsidRPr="00A9330B" w:rsidRDefault="00401546" w:rsidP="0013556B">
            <w:pPr>
              <w:spacing w:before="60"/>
              <w:rPr>
                <w:rFonts w:cs="Arial"/>
                <w:b/>
                <w:sz w:val="18"/>
                <w:szCs w:val="18"/>
              </w:rPr>
            </w:pPr>
            <w:r w:rsidRPr="00A9330B">
              <w:rPr>
                <w:rFonts w:cs="Arial"/>
                <w:b/>
                <w:sz w:val="18"/>
                <w:szCs w:val="18"/>
              </w:rPr>
              <w:t xml:space="preserve">Nuisance sonore </w:t>
            </w:r>
          </w:p>
          <w:p w14:paraId="22B71C4D" w14:textId="2F48DCE9" w:rsidR="00401546" w:rsidRPr="00A9330B" w:rsidRDefault="00401546" w:rsidP="000F7BA7">
            <w:pPr>
              <w:jc w:val="both"/>
              <w:rPr>
                <w:rFonts w:cs="Arial"/>
                <w:b/>
                <w:sz w:val="18"/>
                <w:szCs w:val="18"/>
              </w:rPr>
            </w:pPr>
            <w:r w:rsidRPr="00A9330B">
              <w:rPr>
                <w:rFonts w:cs="Arial"/>
                <w:sz w:val="18"/>
                <w:szCs w:val="18"/>
              </w:rPr>
              <w:t>Les travaux de nettoyage</w:t>
            </w:r>
            <w:r w:rsidR="004D157F" w:rsidRPr="00A9330B">
              <w:rPr>
                <w:rFonts w:cs="Arial"/>
                <w:sz w:val="18"/>
                <w:szCs w:val="18"/>
              </w:rPr>
              <w:t xml:space="preserve">, </w:t>
            </w:r>
            <w:r w:rsidRPr="00A9330B">
              <w:rPr>
                <w:rFonts w:cs="Arial"/>
                <w:sz w:val="18"/>
                <w:szCs w:val="18"/>
              </w:rPr>
              <w:t xml:space="preserve"> de terrassement et de profilage de la déviation sont sources de poussières et de bruit </w:t>
            </w:r>
          </w:p>
        </w:tc>
        <w:tc>
          <w:tcPr>
            <w:tcW w:w="410" w:type="pct"/>
            <w:vAlign w:val="center"/>
          </w:tcPr>
          <w:p w14:paraId="65C57C07" w14:textId="77777777" w:rsidR="00401546" w:rsidRPr="00A9330B" w:rsidRDefault="00401546" w:rsidP="0013556B">
            <w:pPr>
              <w:spacing w:before="60"/>
              <w:rPr>
                <w:rFonts w:cs="Arial"/>
                <w:b/>
                <w:sz w:val="16"/>
                <w:szCs w:val="16"/>
              </w:rPr>
            </w:pPr>
            <w:r w:rsidRPr="00A9330B">
              <w:rPr>
                <w:rFonts w:cs="Arial"/>
                <w:b/>
                <w:sz w:val="16"/>
                <w:szCs w:val="16"/>
              </w:rPr>
              <w:t>-</w:t>
            </w:r>
          </w:p>
        </w:tc>
        <w:tc>
          <w:tcPr>
            <w:tcW w:w="436" w:type="pct"/>
            <w:vAlign w:val="center"/>
          </w:tcPr>
          <w:p w14:paraId="64341260" w14:textId="77777777" w:rsidR="00401546" w:rsidRPr="00A9330B" w:rsidRDefault="00401546" w:rsidP="000F7BA7">
            <w:pPr>
              <w:spacing w:before="60"/>
              <w:jc w:val="both"/>
              <w:rPr>
                <w:rFonts w:cs="Arial"/>
                <w:sz w:val="16"/>
                <w:szCs w:val="16"/>
              </w:rPr>
            </w:pPr>
            <w:r w:rsidRPr="00A9330B">
              <w:rPr>
                <w:rFonts w:cs="Arial"/>
                <w:sz w:val="16"/>
                <w:szCs w:val="16"/>
              </w:rPr>
              <w:t xml:space="preserve">Moyenne </w:t>
            </w:r>
          </w:p>
        </w:tc>
        <w:tc>
          <w:tcPr>
            <w:tcW w:w="536" w:type="pct"/>
            <w:vAlign w:val="center"/>
          </w:tcPr>
          <w:p w14:paraId="3CB1D40D" w14:textId="77777777" w:rsidR="00401546" w:rsidRPr="00A9330B" w:rsidRDefault="00401546" w:rsidP="0013556B">
            <w:pPr>
              <w:spacing w:before="60"/>
              <w:rPr>
                <w:rFonts w:cs="Arial"/>
                <w:sz w:val="16"/>
                <w:szCs w:val="16"/>
              </w:rPr>
            </w:pPr>
            <w:r w:rsidRPr="00A9330B">
              <w:rPr>
                <w:rFonts w:cs="Arial"/>
                <w:sz w:val="16"/>
                <w:szCs w:val="16"/>
              </w:rPr>
              <w:t>locale</w:t>
            </w:r>
          </w:p>
        </w:tc>
        <w:tc>
          <w:tcPr>
            <w:tcW w:w="616" w:type="pct"/>
            <w:vAlign w:val="center"/>
          </w:tcPr>
          <w:p w14:paraId="0D20D523" w14:textId="77777777" w:rsidR="00401546" w:rsidRPr="00A9330B" w:rsidRDefault="00401546" w:rsidP="0013556B">
            <w:pPr>
              <w:spacing w:before="60"/>
              <w:rPr>
                <w:rFonts w:cs="Arial"/>
                <w:sz w:val="16"/>
                <w:szCs w:val="16"/>
              </w:rPr>
            </w:pPr>
            <w:r w:rsidRPr="00A9330B">
              <w:rPr>
                <w:rFonts w:cs="Arial"/>
                <w:sz w:val="16"/>
                <w:szCs w:val="16"/>
              </w:rPr>
              <w:t>temporaire</w:t>
            </w:r>
          </w:p>
        </w:tc>
        <w:tc>
          <w:tcPr>
            <w:tcW w:w="496" w:type="pct"/>
            <w:vAlign w:val="center"/>
          </w:tcPr>
          <w:p w14:paraId="3F9D4E19" w14:textId="77777777" w:rsidR="00401546" w:rsidRPr="00A9330B" w:rsidRDefault="00401546" w:rsidP="0013556B">
            <w:pPr>
              <w:spacing w:before="60"/>
              <w:rPr>
                <w:rFonts w:cs="Arial"/>
                <w:sz w:val="16"/>
                <w:szCs w:val="16"/>
              </w:rPr>
            </w:pPr>
            <w:r w:rsidRPr="00A9330B">
              <w:rPr>
                <w:rFonts w:cs="Arial"/>
                <w:sz w:val="16"/>
                <w:szCs w:val="16"/>
              </w:rPr>
              <w:t xml:space="preserve">Faible </w:t>
            </w:r>
          </w:p>
        </w:tc>
      </w:tr>
      <w:tr w:rsidR="00401546" w:rsidRPr="00A9330B" w14:paraId="14FC8B6D" w14:textId="77777777" w:rsidTr="0045250F">
        <w:tc>
          <w:tcPr>
            <w:tcW w:w="1028" w:type="pct"/>
            <w:vMerge/>
          </w:tcPr>
          <w:p w14:paraId="2AA0EAC8" w14:textId="77777777" w:rsidR="00401546" w:rsidRPr="00A9330B" w:rsidRDefault="00401546" w:rsidP="0013556B">
            <w:pPr>
              <w:spacing w:before="60"/>
              <w:rPr>
                <w:rFonts w:cs="Arial"/>
                <w:sz w:val="18"/>
                <w:szCs w:val="18"/>
              </w:rPr>
            </w:pPr>
          </w:p>
        </w:tc>
        <w:tc>
          <w:tcPr>
            <w:tcW w:w="1478" w:type="pct"/>
          </w:tcPr>
          <w:p w14:paraId="7A5BD5C4" w14:textId="77777777" w:rsidR="00401546" w:rsidRPr="00A9330B" w:rsidRDefault="00401546" w:rsidP="0013556B">
            <w:pPr>
              <w:spacing w:before="60"/>
              <w:rPr>
                <w:rFonts w:cs="Arial"/>
                <w:b/>
                <w:sz w:val="18"/>
                <w:szCs w:val="18"/>
              </w:rPr>
            </w:pPr>
            <w:r w:rsidRPr="00A9330B">
              <w:rPr>
                <w:rFonts w:cs="Arial"/>
                <w:sz w:val="18"/>
                <w:szCs w:val="18"/>
              </w:rPr>
              <w:t xml:space="preserve"> </w:t>
            </w:r>
            <w:r w:rsidRPr="00A9330B">
              <w:rPr>
                <w:rFonts w:cs="Arial"/>
                <w:b/>
                <w:sz w:val="18"/>
                <w:szCs w:val="18"/>
              </w:rPr>
              <w:t>Accidents</w:t>
            </w:r>
            <w:r w:rsidRPr="00A9330B">
              <w:rPr>
                <w:rFonts w:cs="Arial"/>
                <w:sz w:val="18"/>
                <w:szCs w:val="18"/>
              </w:rPr>
              <w:t xml:space="preserve"> </w:t>
            </w:r>
            <w:r w:rsidRPr="00A9330B">
              <w:rPr>
                <w:rFonts w:cs="Arial"/>
                <w:b/>
                <w:sz w:val="18"/>
                <w:szCs w:val="18"/>
              </w:rPr>
              <w:t xml:space="preserve">dus aux travaux </w:t>
            </w:r>
          </w:p>
          <w:p w14:paraId="3024BB9C" w14:textId="77777777" w:rsidR="00401546" w:rsidRPr="00A9330B" w:rsidRDefault="00401546" w:rsidP="000F7BA7">
            <w:pPr>
              <w:spacing w:before="60"/>
              <w:jc w:val="both"/>
              <w:rPr>
                <w:rFonts w:cs="Arial"/>
                <w:b/>
                <w:sz w:val="18"/>
                <w:szCs w:val="18"/>
              </w:rPr>
            </w:pPr>
            <w:r w:rsidRPr="00A9330B">
              <w:rPr>
                <w:rFonts w:cs="Arial"/>
                <w:sz w:val="18"/>
                <w:szCs w:val="18"/>
              </w:rPr>
              <w:t>L’aménagement des déviations peut être source d’accidents de circulation si les travaux ne sont pas bien signalés</w:t>
            </w:r>
          </w:p>
        </w:tc>
        <w:tc>
          <w:tcPr>
            <w:tcW w:w="410" w:type="pct"/>
            <w:vAlign w:val="center"/>
          </w:tcPr>
          <w:p w14:paraId="0C3E2FCF" w14:textId="77777777" w:rsidR="00401546" w:rsidRPr="00A9330B" w:rsidRDefault="00401546" w:rsidP="0013556B">
            <w:pPr>
              <w:spacing w:before="60"/>
              <w:rPr>
                <w:rFonts w:cs="Arial"/>
                <w:b/>
                <w:sz w:val="16"/>
                <w:szCs w:val="16"/>
              </w:rPr>
            </w:pPr>
            <w:r w:rsidRPr="00A9330B">
              <w:rPr>
                <w:rFonts w:cs="Arial"/>
                <w:b/>
                <w:sz w:val="16"/>
                <w:szCs w:val="16"/>
              </w:rPr>
              <w:t>-</w:t>
            </w:r>
          </w:p>
        </w:tc>
        <w:tc>
          <w:tcPr>
            <w:tcW w:w="436" w:type="pct"/>
            <w:vAlign w:val="center"/>
          </w:tcPr>
          <w:p w14:paraId="48BCCD66" w14:textId="77777777" w:rsidR="00401546" w:rsidRPr="00A9330B" w:rsidRDefault="00401546" w:rsidP="0013556B">
            <w:pPr>
              <w:spacing w:before="60"/>
              <w:rPr>
                <w:rFonts w:cs="Arial"/>
                <w:sz w:val="16"/>
                <w:szCs w:val="16"/>
              </w:rPr>
            </w:pPr>
            <w:r w:rsidRPr="00A9330B">
              <w:rPr>
                <w:rFonts w:cs="Arial"/>
                <w:sz w:val="16"/>
                <w:szCs w:val="16"/>
              </w:rPr>
              <w:t xml:space="preserve">Moyenne </w:t>
            </w:r>
          </w:p>
        </w:tc>
        <w:tc>
          <w:tcPr>
            <w:tcW w:w="536" w:type="pct"/>
            <w:vAlign w:val="center"/>
          </w:tcPr>
          <w:p w14:paraId="0E209A8C" w14:textId="77777777" w:rsidR="00401546" w:rsidRPr="00A9330B" w:rsidRDefault="00401546" w:rsidP="0013556B">
            <w:pPr>
              <w:spacing w:before="60"/>
              <w:rPr>
                <w:rFonts w:cs="Arial"/>
                <w:sz w:val="16"/>
                <w:szCs w:val="16"/>
              </w:rPr>
            </w:pPr>
            <w:r w:rsidRPr="00A9330B">
              <w:rPr>
                <w:rFonts w:cs="Arial"/>
                <w:sz w:val="16"/>
                <w:szCs w:val="16"/>
              </w:rPr>
              <w:t>locale</w:t>
            </w:r>
          </w:p>
        </w:tc>
        <w:tc>
          <w:tcPr>
            <w:tcW w:w="616" w:type="pct"/>
            <w:vAlign w:val="center"/>
          </w:tcPr>
          <w:p w14:paraId="13D5B432" w14:textId="77777777" w:rsidR="00401546" w:rsidRPr="00A9330B" w:rsidRDefault="00401546" w:rsidP="0013556B">
            <w:pPr>
              <w:spacing w:before="60"/>
              <w:rPr>
                <w:rFonts w:cs="Arial"/>
                <w:sz w:val="16"/>
                <w:szCs w:val="16"/>
              </w:rPr>
            </w:pPr>
            <w:r w:rsidRPr="00A9330B">
              <w:rPr>
                <w:rFonts w:cs="Arial"/>
                <w:sz w:val="16"/>
                <w:szCs w:val="16"/>
              </w:rPr>
              <w:t>temporaire</w:t>
            </w:r>
          </w:p>
        </w:tc>
        <w:tc>
          <w:tcPr>
            <w:tcW w:w="496" w:type="pct"/>
            <w:vAlign w:val="center"/>
          </w:tcPr>
          <w:p w14:paraId="086E92A5" w14:textId="77777777" w:rsidR="00401546" w:rsidRPr="00A9330B" w:rsidRDefault="00401546" w:rsidP="0013556B">
            <w:pPr>
              <w:spacing w:before="60"/>
              <w:rPr>
                <w:rFonts w:cs="Arial"/>
                <w:sz w:val="16"/>
                <w:szCs w:val="16"/>
              </w:rPr>
            </w:pPr>
            <w:r w:rsidRPr="00A9330B">
              <w:rPr>
                <w:rFonts w:cs="Arial"/>
                <w:sz w:val="16"/>
                <w:szCs w:val="16"/>
              </w:rPr>
              <w:t xml:space="preserve">Faible </w:t>
            </w:r>
          </w:p>
        </w:tc>
      </w:tr>
      <w:tr w:rsidR="00401546" w:rsidRPr="00A9330B" w14:paraId="42AFBF0F" w14:textId="77777777" w:rsidTr="0045250F">
        <w:trPr>
          <w:trHeight w:val="706"/>
        </w:trPr>
        <w:tc>
          <w:tcPr>
            <w:tcW w:w="1028" w:type="pct"/>
            <w:vMerge w:val="restart"/>
          </w:tcPr>
          <w:p w14:paraId="377D9304" w14:textId="77777777" w:rsidR="00401546" w:rsidRPr="00A9330B" w:rsidRDefault="00401546" w:rsidP="0013556B">
            <w:pPr>
              <w:spacing w:before="60"/>
              <w:rPr>
                <w:rFonts w:cs="Arial"/>
                <w:sz w:val="18"/>
                <w:szCs w:val="18"/>
              </w:rPr>
            </w:pPr>
            <w:r w:rsidRPr="00A9330B">
              <w:rPr>
                <w:rFonts w:cs="Arial"/>
                <w:sz w:val="18"/>
                <w:szCs w:val="18"/>
              </w:rPr>
              <w:lastRenderedPageBreak/>
              <w:t xml:space="preserve">2.5. Transports et circulation de la machinerie et des équipements </w:t>
            </w:r>
          </w:p>
        </w:tc>
        <w:tc>
          <w:tcPr>
            <w:tcW w:w="1478" w:type="pct"/>
          </w:tcPr>
          <w:p w14:paraId="677DBFB1" w14:textId="77777777" w:rsidR="00401546" w:rsidRPr="00A9330B" w:rsidRDefault="00401546" w:rsidP="0013556B">
            <w:pPr>
              <w:spacing w:before="60"/>
              <w:rPr>
                <w:rFonts w:cs="Arial"/>
                <w:sz w:val="18"/>
                <w:szCs w:val="18"/>
              </w:rPr>
            </w:pPr>
            <w:r w:rsidRPr="00A9330B">
              <w:rPr>
                <w:rFonts w:cs="Arial"/>
                <w:b/>
                <w:sz w:val="18"/>
                <w:szCs w:val="18"/>
              </w:rPr>
              <w:t>Emission de poussières et de particules de gaz</w:t>
            </w:r>
            <w:r w:rsidRPr="00A9330B">
              <w:rPr>
                <w:rFonts w:cs="Arial"/>
                <w:sz w:val="18"/>
                <w:szCs w:val="18"/>
              </w:rPr>
              <w:t xml:space="preserve"> dans l’air par les moteurs (fumées)</w:t>
            </w:r>
          </w:p>
          <w:p w14:paraId="5E2FCED4" w14:textId="77777777" w:rsidR="00401546" w:rsidRPr="00A9330B" w:rsidRDefault="00401546" w:rsidP="0013556B">
            <w:pPr>
              <w:spacing w:before="60"/>
              <w:rPr>
                <w:rFonts w:cs="Arial"/>
                <w:sz w:val="18"/>
                <w:szCs w:val="18"/>
              </w:rPr>
            </w:pPr>
            <w:r w:rsidRPr="00A9330B">
              <w:rPr>
                <w:rFonts w:cs="Arial"/>
                <w:b/>
                <w:sz w:val="18"/>
                <w:szCs w:val="18"/>
              </w:rPr>
              <w:t>Nuisance sonore et vibration</w:t>
            </w:r>
            <w:r w:rsidRPr="00A9330B">
              <w:rPr>
                <w:rFonts w:cs="Arial"/>
                <w:sz w:val="18"/>
                <w:szCs w:val="18"/>
              </w:rPr>
              <w:t xml:space="preserve"> due au bruit des moteurs </w:t>
            </w:r>
          </w:p>
        </w:tc>
        <w:tc>
          <w:tcPr>
            <w:tcW w:w="410" w:type="pct"/>
            <w:vAlign w:val="center"/>
          </w:tcPr>
          <w:p w14:paraId="6B1E7993" w14:textId="77777777" w:rsidR="00401546" w:rsidRPr="00A9330B" w:rsidRDefault="00401546" w:rsidP="0013556B">
            <w:pPr>
              <w:spacing w:before="60"/>
              <w:rPr>
                <w:rFonts w:cs="Arial"/>
                <w:b/>
                <w:sz w:val="18"/>
                <w:szCs w:val="18"/>
              </w:rPr>
            </w:pPr>
            <w:r w:rsidRPr="00A9330B">
              <w:rPr>
                <w:rFonts w:cs="Arial"/>
                <w:sz w:val="16"/>
                <w:szCs w:val="16"/>
              </w:rPr>
              <w:t>-</w:t>
            </w:r>
          </w:p>
        </w:tc>
        <w:tc>
          <w:tcPr>
            <w:tcW w:w="436" w:type="pct"/>
            <w:vAlign w:val="center"/>
          </w:tcPr>
          <w:p w14:paraId="0B2ADF16" w14:textId="77777777" w:rsidR="00401546" w:rsidRPr="00A9330B" w:rsidRDefault="00401546" w:rsidP="0013556B">
            <w:pPr>
              <w:spacing w:before="60"/>
              <w:rPr>
                <w:rFonts w:cs="Arial"/>
                <w:b/>
                <w:sz w:val="18"/>
                <w:szCs w:val="18"/>
              </w:rPr>
            </w:pPr>
            <w:r w:rsidRPr="00A9330B">
              <w:rPr>
                <w:rFonts w:cs="Arial"/>
                <w:sz w:val="16"/>
                <w:szCs w:val="16"/>
              </w:rPr>
              <w:t>moyenne</w:t>
            </w:r>
          </w:p>
        </w:tc>
        <w:tc>
          <w:tcPr>
            <w:tcW w:w="536" w:type="pct"/>
            <w:vAlign w:val="center"/>
          </w:tcPr>
          <w:p w14:paraId="06BD0B03" w14:textId="77777777" w:rsidR="00401546" w:rsidRPr="00A9330B" w:rsidRDefault="00401546" w:rsidP="0013556B">
            <w:pPr>
              <w:spacing w:before="60"/>
              <w:rPr>
                <w:rFonts w:cs="Arial"/>
                <w:b/>
                <w:sz w:val="18"/>
                <w:szCs w:val="18"/>
              </w:rPr>
            </w:pPr>
            <w:r w:rsidRPr="00A9330B">
              <w:rPr>
                <w:rFonts w:cs="Arial"/>
                <w:sz w:val="16"/>
                <w:szCs w:val="16"/>
              </w:rPr>
              <w:t>locale</w:t>
            </w:r>
          </w:p>
        </w:tc>
        <w:tc>
          <w:tcPr>
            <w:tcW w:w="616" w:type="pct"/>
            <w:vAlign w:val="center"/>
          </w:tcPr>
          <w:p w14:paraId="1D5C3886" w14:textId="77777777" w:rsidR="00401546" w:rsidRPr="00A9330B" w:rsidRDefault="00401546" w:rsidP="0013556B">
            <w:pPr>
              <w:spacing w:before="60"/>
              <w:rPr>
                <w:rFonts w:cs="Arial"/>
                <w:b/>
                <w:sz w:val="18"/>
                <w:szCs w:val="18"/>
              </w:rPr>
            </w:pPr>
            <w:r w:rsidRPr="00A9330B">
              <w:rPr>
                <w:rFonts w:cs="Arial"/>
                <w:sz w:val="16"/>
                <w:szCs w:val="16"/>
              </w:rPr>
              <w:t xml:space="preserve">permanente </w:t>
            </w:r>
          </w:p>
        </w:tc>
        <w:tc>
          <w:tcPr>
            <w:tcW w:w="496" w:type="pct"/>
            <w:vAlign w:val="center"/>
          </w:tcPr>
          <w:p w14:paraId="75F13CA0" w14:textId="77777777" w:rsidR="00401546" w:rsidRPr="00A9330B" w:rsidRDefault="00401546" w:rsidP="0013556B">
            <w:pPr>
              <w:spacing w:before="60"/>
              <w:rPr>
                <w:rFonts w:cs="Arial"/>
                <w:b/>
                <w:sz w:val="18"/>
                <w:szCs w:val="18"/>
              </w:rPr>
            </w:pPr>
            <w:r w:rsidRPr="00A9330B">
              <w:rPr>
                <w:rFonts w:cs="Arial"/>
                <w:sz w:val="16"/>
                <w:szCs w:val="16"/>
              </w:rPr>
              <w:t>Moyenne</w:t>
            </w:r>
          </w:p>
        </w:tc>
      </w:tr>
      <w:tr w:rsidR="00401546" w:rsidRPr="00A9330B" w14:paraId="322F6C17" w14:textId="77777777" w:rsidTr="0045250F">
        <w:tc>
          <w:tcPr>
            <w:tcW w:w="1028" w:type="pct"/>
            <w:vMerge/>
          </w:tcPr>
          <w:p w14:paraId="6B4182E1" w14:textId="77777777" w:rsidR="00401546" w:rsidRPr="00A9330B" w:rsidRDefault="00401546" w:rsidP="0013556B">
            <w:pPr>
              <w:spacing w:before="60"/>
              <w:rPr>
                <w:rFonts w:cs="Arial"/>
                <w:sz w:val="18"/>
                <w:szCs w:val="18"/>
              </w:rPr>
            </w:pPr>
          </w:p>
        </w:tc>
        <w:tc>
          <w:tcPr>
            <w:tcW w:w="1478" w:type="pct"/>
          </w:tcPr>
          <w:p w14:paraId="4B46E92C" w14:textId="77777777" w:rsidR="00401546" w:rsidRPr="00A9330B" w:rsidRDefault="00401546" w:rsidP="0013556B">
            <w:pPr>
              <w:spacing w:before="60"/>
              <w:rPr>
                <w:rFonts w:cs="Arial"/>
                <w:b/>
                <w:sz w:val="18"/>
                <w:szCs w:val="18"/>
              </w:rPr>
            </w:pPr>
            <w:r w:rsidRPr="00A9330B">
              <w:rPr>
                <w:rFonts w:cs="Arial"/>
                <w:b/>
                <w:sz w:val="18"/>
                <w:szCs w:val="18"/>
              </w:rPr>
              <w:t>Altération de la qualité des ressources en eaux</w:t>
            </w:r>
          </w:p>
          <w:p w14:paraId="7A6C2B80" w14:textId="77777777" w:rsidR="00401546" w:rsidRPr="00A9330B" w:rsidRDefault="00401546" w:rsidP="000F7BA7">
            <w:pPr>
              <w:spacing w:before="60"/>
              <w:jc w:val="both"/>
              <w:rPr>
                <w:rFonts w:cs="Arial"/>
                <w:sz w:val="18"/>
                <w:szCs w:val="18"/>
              </w:rPr>
            </w:pPr>
            <w:r w:rsidRPr="00A9330B">
              <w:rPr>
                <w:rFonts w:cs="Arial"/>
                <w:sz w:val="18"/>
                <w:szCs w:val="18"/>
              </w:rPr>
              <w:t xml:space="preserve">La construction d’une route peut altérer la qualité des eaux souterraines et de surface qui peuvent être polluées par des déversements d’hydrocarbures provenant des zones d’entretien et de stationnement des engins motorisés du chantier ainsi que par les matières fines issues de l’érosion des sols et des terrassements (turbidité). </w:t>
            </w:r>
          </w:p>
        </w:tc>
        <w:tc>
          <w:tcPr>
            <w:tcW w:w="410" w:type="pct"/>
            <w:vAlign w:val="center"/>
          </w:tcPr>
          <w:p w14:paraId="22CDCAA2" w14:textId="77777777" w:rsidR="00401546" w:rsidRPr="00A9330B" w:rsidRDefault="00401546" w:rsidP="0013556B">
            <w:pPr>
              <w:spacing w:before="60"/>
              <w:rPr>
                <w:rFonts w:cs="Arial"/>
                <w:b/>
                <w:sz w:val="18"/>
                <w:szCs w:val="18"/>
              </w:rPr>
            </w:pPr>
            <w:r w:rsidRPr="00A9330B">
              <w:rPr>
                <w:rFonts w:cs="Arial"/>
                <w:b/>
                <w:sz w:val="16"/>
                <w:szCs w:val="16"/>
              </w:rPr>
              <w:t>-</w:t>
            </w:r>
          </w:p>
        </w:tc>
        <w:tc>
          <w:tcPr>
            <w:tcW w:w="436" w:type="pct"/>
            <w:vAlign w:val="center"/>
          </w:tcPr>
          <w:p w14:paraId="4BE36984" w14:textId="77777777" w:rsidR="00401546" w:rsidRPr="00A9330B" w:rsidRDefault="00401546" w:rsidP="0013556B">
            <w:pPr>
              <w:spacing w:before="60"/>
              <w:rPr>
                <w:rFonts w:cs="Arial"/>
                <w:b/>
                <w:sz w:val="18"/>
                <w:szCs w:val="18"/>
              </w:rPr>
            </w:pPr>
            <w:r w:rsidRPr="00A9330B">
              <w:rPr>
                <w:rFonts w:cs="Arial"/>
                <w:sz w:val="16"/>
                <w:szCs w:val="16"/>
              </w:rPr>
              <w:t>faible</w:t>
            </w:r>
          </w:p>
        </w:tc>
        <w:tc>
          <w:tcPr>
            <w:tcW w:w="536" w:type="pct"/>
            <w:vAlign w:val="center"/>
          </w:tcPr>
          <w:p w14:paraId="6E53BD6C" w14:textId="77777777" w:rsidR="00401546" w:rsidRPr="00A9330B" w:rsidRDefault="00401546" w:rsidP="0013556B">
            <w:pPr>
              <w:spacing w:before="60"/>
              <w:rPr>
                <w:rFonts w:cs="Arial"/>
                <w:b/>
                <w:sz w:val="18"/>
                <w:szCs w:val="18"/>
              </w:rPr>
            </w:pPr>
            <w:r w:rsidRPr="00A9330B">
              <w:rPr>
                <w:rFonts w:cs="Arial"/>
                <w:sz w:val="16"/>
                <w:szCs w:val="16"/>
              </w:rPr>
              <w:t>locale</w:t>
            </w:r>
          </w:p>
        </w:tc>
        <w:tc>
          <w:tcPr>
            <w:tcW w:w="616" w:type="pct"/>
            <w:vAlign w:val="center"/>
          </w:tcPr>
          <w:p w14:paraId="1D96DB96" w14:textId="77777777" w:rsidR="00401546" w:rsidRPr="00A9330B" w:rsidRDefault="00401546" w:rsidP="0013556B">
            <w:pPr>
              <w:spacing w:before="60"/>
              <w:rPr>
                <w:rFonts w:cs="Arial"/>
                <w:b/>
                <w:sz w:val="18"/>
                <w:szCs w:val="18"/>
              </w:rPr>
            </w:pPr>
            <w:r w:rsidRPr="00A9330B">
              <w:rPr>
                <w:rFonts w:cs="Arial"/>
                <w:sz w:val="16"/>
                <w:szCs w:val="16"/>
              </w:rPr>
              <w:t>temporaire</w:t>
            </w:r>
          </w:p>
        </w:tc>
        <w:tc>
          <w:tcPr>
            <w:tcW w:w="496" w:type="pct"/>
            <w:vAlign w:val="center"/>
          </w:tcPr>
          <w:p w14:paraId="3F72CD01" w14:textId="77777777" w:rsidR="00401546" w:rsidRPr="00A9330B" w:rsidRDefault="00401546" w:rsidP="0013556B">
            <w:pPr>
              <w:spacing w:before="60"/>
              <w:rPr>
                <w:rFonts w:cs="Arial"/>
                <w:b/>
                <w:sz w:val="18"/>
                <w:szCs w:val="18"/>
              </w:rPr>
            </w:pPr>
            <w:r w:rsidRPr="00A9330B">
              <w:rPr>
                <w:rFonts w:cs="Arial"/>
                <w:sz w:val="16"/>
                <w:szCs w:val="16"/>
              </w:rPr>
              <w:t xml:space="preserve">Faible </w:t>
            </w:r>
          </w:p>
        </w:tc>
      </w:tr>
      <w:tr w:rsidR="00401546" w:rsidRPr="00A9330B" w14:paraId="0C3E9BE0" w14:textId="77777777" w:rsidTr="0045250F">
        <w:tc>
          <w:tcPr>
            <w:tcW w:w="1028" w:type="pct"/>
            <w:vMerge/>
          </w:tcPr>
          <w:p w14:paraId="60528831" w14:textId="77777777" w:rsidR="00401546" w:rsidRPr="00A9330B" w:rsidRDefault="00401546" w:rsidP="0013556B">
            <w:pPr>
              <w:spacing w:before="60"/>
              <w:rPr>
                <w:rFonts w:cs="Arial"/>
                <w:sz w:val="18"/>
                <w:szCs w:val="18"/>
              </w:rPr>
            </w:pPr>
          </w:p>
        </w:tc>
        <w:tc>
          <w:tcPr>
            <w:tcW w:w="1478" w:type="pct"/>
          </w:tcPr>
          <w:p w14:paraId="593FB7D6" w14:textId="77777777" w:rsidR="00401546" w:rsidRPr="00A9330B" w:rsidRDefault="00401546" w:rsidP="0013556B">
            <w:pPr>
              <w:spacing w:before="60"/>
              <w:rPr>
                <w:rFonts w:cs="Arial"/>
                <w:b/>
                <w:sz w:val="18"/>
                <w:szCs w:val="18"/>
              </w:rPr>
            </w:pPr>
            <w:r w:rsidRPr="00A9330B">
              <w:rPr>
                <w:rFonts w:cs="Arial"/>
                <w:b/>
                <w:sz w:val="18"/>
                <w:szCs w:val="18"/>
              </w:rPr>
              <w:t>Epuisement de ressources en eau</w:t>
            </w:r>
          </w:p>
          <w:p w14:paraId="7C7C6621" w14:textId="77777777" w:rsidR="00401546" w:rsidRPr="00A9330B" w:rsidRDefault="00401546" w:rsidP="000F7BA7">
            <w:pPr>
              <w:spacing w:before="60"/>
              <w:jc w:val="both"/>
              <w:rPr>
                <w:rFonts w:cs="Arial"/>
                <w:sz w:val="18"/>
                <w:szCs w:val="18"/>
              </w:rPr>
            </w:pPr>
            <w:r w:rsidRPr="00A9330B">
              <w:rPr>
                <w:rFonts w:cs="Arial"/>
                <w:sz w:val="18"/>
                <w:szCs w:val="18"/>
              </w:rPr>
              <w:t>L’utilisation des points d’eau avoisinants comme source d’approvisionnement pour le chantier peut affecter le potentiel de la ressource quand on sait que les travaux de construction nécessitent de fortes consommations en eau, surtout pour le compactage.</w:t>
            </w:r>
          </w:p>
        </w:tc>
        <w:tc>
          <w:tcPr>
            <w:tcW w:w="410" w:type="pct"/>
            <w:vAlign w:val="center"/>
          </w:tcPr>
          <w:p w14:paraId="4B66F494" w14:textId="77777777" w:rsidR="00401546" w:rsidRPr="00A9330B" w:rsidRDefault="00401546" w:rsidP="0013556B">
            <w:pPr>
              <w:spacing w:before="60"/>
              <w:rPr>
                <w:rFonts w:cs="Arial"/>
                <w:b/>
                <w:sz w:val="18"/>
                <w:szCs w:val="18"/>
              </w:rPr>
            </w:pPr>
            <w:r w:rsidRPr="00A9330B">
              <w:rPr>
                <w:rFonts w:cs="Arial"/>
                <w:b/>
                <w:sz w:val="16"/>
                <w:szCs w:val="16"/>
              </w:rPr>
              <w:t>-</w:t>
            </w:r>
          </w:p>
        </w:tc>
        <w:tc>
          <w:tcPr>
            <w:tcW w:w="436" w:type="pct"/>
            <w:vAlign w:val="center"/>
          </w:tcPr>
          <w:p w14:paraId="47C19D85" w14:textId="77777777" w:rsidR="00401546" w:rsidRPr="00A9330B" w:rsidRDefault="00401546" w:rsidP="0013556B">
            <w:pPr>
              <w:spacing w:before="60"/>
              <w:rPr>
                <w:rFonts w:cs="Arial"/>
                <w:b/>
                <w:sz w:val="18"/>
                <w:szCs w:val="18"/>
              </w:rPr>
            </w:pPr>
            <w:r w:rsidRPr="00A9330B">
              <w:rPr>
                <w:rFonts w:cs="Arial"/>
                <w:sz w:val="16"/>
                <w:szCs w:val="16"/>
              </w:rPr>
              <w:t>faible</w:t>
            </w:r>
          </w:p>
        </w:tc>
        <w:tc>
          <w:tcPr>
            <w:tcW w:w="536" w:type="pct"/>
            <w:vAlign w:val="center"/>
          </w:tcPr>
          <w:p w14:paraId="69C4C34B" w14:textId="77777777" w:rsidR="00401546" w:rsidRPr="00A9330B" w:rsidRDefault="00401546" w:rsidP="0013556B">
            <w:pPr>
              <w:spacing w:before="60"/>
              <w:rPr>
                <w:rFonts w:cs="Arial"/>
                <w:b/>
                <w:sz w:val="18"/>
                <w:szCs w:val="18"/>
              </w:rPr>
            </w:pPr>
            <w:r w:rsidRPr="00A9330B">
              <w:rPr>
                <w:rFonts w:cs="Arial"/>
                <w:sz w:val="16"/>
                <w:szCs w:val="16"/>
              </w:rPr>
              <w:t>locale</w:t>
            </w:r>
          </w:p>
        </w:tc>
        <w:tc>
          <w:tcPr>
            <w:tcW w:w="616" w:type="pct"/>
            <w:vAlign w:val="center"/>
          </w:tcPr>
          <w:p w14:paraId="3C84F521" w14:textId="77777777" w:rsidR="00401546" w:rsidRPr="00A9330B" w:rsidRDefault="00401546" w:rsidP="0013556B">
            <w:pPr>
              <w:spacing w:before="60"/>
              <w:rPr>
                <w:rFonts w:cs="Arial"/>
                <w:b/>
                <w:sz w:val="18"/>
                <w:szCs w:val="18"/>
              </w:rPr>
            </w:pPr>
            <w:r w:rsidRPr="00A9330B">
              <w:rPr>
                <w:rFonts w:cs="Arial"/>
                <w:sz w:val="16"/>
                <w:szCs w:val="16"/>
              </w:rPr>
              <w:t>temporaire</w:t>
            </w:r>
          </w:p>
        </w:tc>
        <w:tc>
          <w:tcPr>
            <w:tcW w:w="496" w:type="pct"/>
            <w:vAlign w:val="center"/>
          </w:tcPr>
          <w:p w14:paraId="53BCC782" w14:textId="77777777" w:rsidR="00401546" w:rsidRPr="00A9330B" w:rsidRDefault="00401546" w:rsidP="0013556B">
            <w:pPr>
              <w:spacing w:before="60"/>
              <w:rPr>
                <w:rFonts w:cs="Arial"/>
                <w:b/>
                <w:sz w:val="18"/>
                <w:szCs w:val="18"/>
              </w:rPr>
            </w:pPr>
            <w:r w:rsidRPr="00A9330B">
              <w:rPr>
                <w:rFonts w:cs="Arial"/>
                <w:sz w:val="16"/>
                <w:szCs w:val="16"/>
              </w:rPr>
              <w:t xml:space="preserve">Faible </w:t>
            </w:r>
          </w:p>
        </w:tc>
      </w:tr>
      <w:tr w:rsidR="00401546" w:rsidRPr="00A9330B" w14:paraId="33F6305B" w14:textId="77777777" w:rsidTr="0045250F">
        <w:trPr>
          <w:trHeight w:val="272"/>
        </w:trPr>
        <w:tc>
          <w:tcPr>
            <w:tcW w:w="1028" w:type="pct"/>
            <w:vMerge/>
          </w:tcPr>
          <w:p w14:paraId="58EE8517" w14:textId="77777777" w:rsidR="00401546" w:rsidRPr="00A9330B" w:rsidRDefault="00401546" w:rsidP="0013556B">
            <w:pPr>
              <w:spacing w:before="60"/>
              <w:rPr>
                <w:rFonts w:cs="Arial"/>
                <w:sz w:val="18"/>
                <w:szCs w:val="18"/>
              </w:rPr>
            </w:pPr>
          </w:p>
        </w:tc>
        <w:tc>
          <w:tcPr>
            <w:tcW w:w="1478" w:type="pct"/>
          </w:tcPr>
          <w:p w14:paraId="51749D58" w14:textId="77777777" w:rsidR="00401546" w:rsidRPr="00A9330B" w:rsidRDefault="00401546" w:rsidP="0013556B">
            <w:pPr>
              <w:spacing w:before="60"/>
              <w:rPr>
                <w:rFonts w:cs="Arial"/>
                <w:b/>
                <w:sz w:val="18"/>
                <w:szCs w:val="18"/>
              </w:rPr>
            </w:pPr>
            <w:r w:rsidRPr="00A9330B">
              <w:rPr>
                <w:rFonts w:cs="Arial"/>
                <w:b/>
                <w:sz w:val="18"/>
                <w:szCs w:val="18"/>
              </w:rPr>
              <w:t>Perte de l’esthétique des paysages</w:t>
            </w:r>
          </w:p>
          <w:p w14:paraId="01C51895" w14:textId="77777777" w:rsidR="00401546" w:rsidRPr="00A9330B" w:rsidRDefault="00401546" w:rsidP="000F7BA7">
            <w:pPr>
              <w:spacing w:before="60"/>
              <w:jc w:val="both"/>
              <w:rPr>
                <w:rFonts w:cs="Arial"/>
                <w:snapToGrid w:val="0"/>
                <w:sz w:val="18"/>
                <w:szCs w:val="18"/>
              </w:rPr>
            </w:pPr>
            <w:r w:rsidRPr="00A9330B">
              <w:rPr>
                <w:rFonts w:cs="Arial"/>
                <w:snapToGrid w:val="0"/>
                <w:sz w:val="18"/>
                <w:szCs w:val="18"/>
              </w:rPr>
              <w:t xml:space="preserve">D’une manière générale, les effets négatifs portent sur l’altération des caractéristiques morphologiques et visuelles (structures des composantes du paysage) due aux travaux de terrassement, aux ouvertures de carrières, aux dépôts de matériaux et de produits le long du tracé et à la création d’habitations temporaires </w:t>
            </w:r>
            <w:r w:rsidRPr="00A9330B">
              <w:rPr>
                <w:rFonts w:cs="Arial"/>
                <w:snapToGrid w:val="0"/>
                <w:sz w:val="18"/>
                <w:szCs w:val="18"/>
              </w:rPr>
              <w:lastRenderedPageBreak/>
              <w:t>pour les employés des chantiers situés en zone rurale.</w:t>
            </w:r>
          </w:p>
        </w:tc>
        <w:tc>
          <w:tcPr>
            <w:tcW w:w="410" w:type="pct"/>
            <w:vAlign w:val="center"/>
          </w:tcPr>
          <w:p w14:paraId="014CB6EB" w14:textId="77777777" w:rsidR="00401546" w:rsidRPr="00A9330B" w:rsidRDefault="00401546" w:rsidP="0013556B">
            <w:pPr>
              <w:spacing w:before="60"/>
              <w:rPr>
                <w:rFonts w:cs="Arial"/>
                <w:b/>
                <w:sz w:val="18"/>
                <w:szCs w:val="18"/>
              </w:rPr>
            </w:pPr>
            <w:r w:rsidRPr="00A9330B">
              <w:rPr>
                <w:rFonts w:cs="Arial"/>
                <w:b/>
                <w:sz w:val="16"/>
                <w:szCs w:val="16"/>
              </w:rPr>
              <w:lastRenderedPageBreak/>
              <w:t>-</w:t>
            </w:r>
          </w:p>
        </w:tc>
        <w:tc>
          <w:tcPr>
            <w:tcW w:w="436" w:type="pct"/>
            <w:vAlign w:val="center"/>
          </w:tcPr>
          <w:p w14:paraId="7711FDFB" w14:textId="77777777" w:rsidR="00401546" w:rsidRPr="00A9330B" w:rsidRDefault="00401546" w:rsidP="0013556B">
            <w:pPr>
              <w:spacing w:before="60"/>
              <w:rPr>
                <w:rFonts w:cs="Arial"/>
                <w:b/>
                <w:sz w:val="18"/>
                <w:szCs w:val="18"/>
              </w:rPr>
            </w:pPr>
            <w:r w:rsidRPr="00A9330B">
              <w:rPr>
                <w:rFonts w:cs="Arial"/>
                <w:sz w:val="16"/>
                <w:szCs w:val="16"/>
              </w:rPr>
              <w:t>faible</w:t>
            </w:r>
          </w:p>
        </w:tc>
        <w:tc>
          <w:tcPr>
            <w:tcW w:w="536" w:type="pct"/>
            <w:vAlign w:val="center"/>
          </w:tcPr>
          <w:p w14:paraId="08498842" w14:textId="77777777" w:rsidR="00401546" w:rsidRPr="00A9330B" w:rsidRDefault="00401546" w:rsidP="0013556B">
            <w:pPr>
              <w:spacing w:before="60"/>
              <w:rPr>
                <w:rFonts w:cs="Arial"/>
                <w:b/>
                <w:sz w:val="18"/>
                <w:szCs w:val="18"/>
              </w:rPr>
            </w:pPr>
            <w:r w:rsidRPr="00A9330B">
              <w:rPr>
                <w:rFonts w:cs="Arial"/>
                <w:sz w:val="16"/>
                <w:szCs w:val="16"/>
              </w:rPr>
              <w:t>locale</w:t>
            </w:r>
          </w:p>
        </w:tc>
        <w:tc>
          <w:tcPr>
            <w:tcW w:w="616" w:type="pct"/>
            <w:vAlign w:val="center"/>
          </w:tcPr>
          <w:p w14:paraId="07FCF903" w14:textId="77777777" w:rsidR="00401546" w:rsidRPr="00A9330B" w:rsidRDefault="00401546" w:rsidP="0013556B">
            <w:pPr>
              <w:spacing w:before="60"/>
              <w:rPr>
                <w:rFonts w:cs="Arial"/>
                <w:b/>
                <w:sz w:val="18"/>
                <w:szCs w:val="18"/>
              </w:rPr>
            </w:pPr>
            <w:r w:rsidRPr="00A9330B">
              <w:rPr>
                <w:rFonts w:cs="Arial"/>
                <w:sz w:val="16"/>
                <w:szCs w:val="16"/>
              </w:rPr>
              <w:t>temporaire</w:t>
            </w:r>
          </w:p>
        </w:tc>
        <w:tc>
          <w:tcPr>
            <w:tcW w:w="496" w:type="pct"/>
            <w:vAlign w:val="center"/>
          </w:tcPr>
          <w:p w14:paraId="0EE9A1F0" w14:textId="77777777" w:rsidR="00401546" w:rsidRPr="00A9330B" w:rsidRDefault="00401546" w:rsidP="0013556B">
            <w:pPr>
              <w:spacing w:before="60"/>
              <w:rPr>
                <w:rFonts w:cs="Arial"/>
                <w:b/>
                <w:sz w:val="18"/>
                <w:szCs w:val="18"/>
              </w:rPr>
            </w:pPr>
            <w:r w:rsidRPr="00A9330B">
              <w:rPr>
                <w:rFonts w:cs="Arial"/>
                <w:sz w:val="16"/>
                <w:szCs w:val="16"/>
              </w:rPr>
              <w:t xml:space="preserve">Faible </w:t>
            </w:r>
          </w:p>
        </w:tc>
      </w:tr>
      <w:tr w:rsidR="00401546" w:rsidRPr="00A9330B" w14:paraId="2A744247" w14:textId="77777777" w:rsidTr="0045250F">
        <w:tc>
          <w:tcPr>
            <w:tcW w:w="1028" w:type="pct"/>
          </w:tcPr>
          <w:p w14:paraId="06A9E76F" w14:textId="77777777" w:rsidR="00401546" w:rsidRPr="00A9330B" w:rsidRDefault="00401546" w:rsidP="0013556B">
            <w:pPr>
              <w:spacing w:before="60"/>
              <w:rPr>
                <w:rFonts w:cs="Arial"/>
                <w:sz w:val="18"/>
                <w:szCs w:val="18"/>
              </w:rPr>
            </w:pPr>
            <w:r w:rsidRPr="00A9330B">
              <w:rPr>
                <w:rFonts w:cs="Arial"/>
                <w:sz w:val="18"/>
                <w:szCs w:val="18"/>
              </w:rPr>
              <w:lastRenderedPageBreak/>
              <w:t>2.6. Terrassement Déblais en grande masse en terrain meuble et mis en dépôt</w:t>
            </w:r>
          </w:p>
        </w:tc>
        <w:tc>
          <w:tcPr>
            <w:tcW w:w="1478" w:type="pct"/>
          </w:tcPr>
          <w:p w14:paraId="3F202EAB" w14:textId="77777777" w:rsidR="00401546" w:rsidRPr="00A9330B" w:rsidRDefault="00401546" w:rsidP="0013556B">
            <w:pPr>
              <w:spacing w:before="60"/>
              <w:rPr>
                <w:rFonts w:cs="Arial"/>
                <w:b/>
                <w:sz w:val="18"/>
                <w:szCs w:val="18"/>
              </w:rPr>
            </w:pPr>
            <w:r w:rsidRPr="00A9330B">
              <w:rPr>
                <w:rFonts w:cs="Arial"/>
                <w:b/>
                <w:sz w:val="18"/>
                <w:szCs w:val="18"/>
              </w:rPr>
              <w:t xml:space="preserve">Emissions atmosphériques (fumées, poussières) par  les moteurs </w:t>
            </w:r>
          </w:p>
          <w:p w14:paraId="50AB2971" w14:textId="77777777" w:rsidR="00401546" w:rsidRPr="00A9330B" w:rsidRDefault="00401546" w:rsidP="0013556B">
            <w:pPr>
              <w:spacing w:before="60"/>
              <w:rPr>
                <w:rFonts w:cs="Arial"/>
                <w:b/>
                <w:sz w:val="18"/>
                <w:szCs w:val="18"/>
              </w:rPr>
            </w:pPr>
            <w:r w:rsidRPr="00A9330B">
              <w:rPr>
                <w:rFonts w:cs="Arial"/>
                <w:b/>
                <w:sz w:val="18"/>
                <w:szCs w:val="18"/>
              </w:rPr>
              <w:t>Epandage de matériaux sur les routes</w:t>
            </w:r>
          </w:p>
          <w:p w14:paraId="5161AD4A" w14:textId="77777777" w:rsidR="00401546" w:rsidRPr="00A9330B" w:rsidRDefault="00401546" w:rsidP="000F7BA7">
            <w:pPr>
              <w:spacing w:before="60"/>
              <w:jc w:val="both"/>
              <w:rPr>
                <w:rFonts w:cs="Arial"/>
                <w:sz w:val="18"/>
                <w:szCs w:val="18"/>
              </w:rPr>
            </w:pPr>
            <w:r w:rsidRPr="00A9330B">
              <w:rPr>
                <w:rFonts w:cs="Arial"/>
                <w:sz w:val="18"/>
                <w:szCs w:val="18"/>
              </w:rPr>
              <w:t>Les actions de terrassement, de transports et de déchargement de matériaux entraînent une augmentation de la concentration des poussières (sables, latérite, etc.) dans l’atmosphère. L’impact de la pollution atmosphérique sur les populations  se présente avec beaucoup d’acuité au niveau des zones habitées et particulièrement en milieu urbain.</w:t>
            </w:r>
          </w:p>
        </w:tc>
        <w:tc>
          <w:tcPr>
            <w:tcW w:w="410" w:type="pct"/>
            <w:vAlign w:val="center"/>
          </w:tcPr>
          <w:p w14:paraId="2B41D689" w14:textId="77777777" w:rsidR="00401546" w:rsidRPr="00A9330B" w:rsidRDefault="00401546" w:rsidP="0013556B">
            <w:pPr>
              <w:spacing w:before="60"/>
              <w:rPr>
                <w:rFonts w:cs="Arial"/>
                <w:b/>
                <w:sz w:val="18"/>
                <w:szCs w:val="18"/>
              </w:rPr>
            </w:pPr>
            <w:r w:rsidRPr="00A9330B">
              <w:rPr>
                <w:rFonts w:cs="Arial"/>
                <w:b/>
                <w:sz w:val="16"/>
                <w:szCs w:val="16"/>
              </w:rPr>
              <w:t>-</w:t>
            </w:r>
          </w:p>
        </w:tc>
        <w:tc>
          <w:tcPr>
            <w:tcW w:w="436" w:type="pct"/>
            <w:vAlign w:val="center"/>
          </w:tcPr>
          <w:p w14:paraId="17D019C4" w14:textId="77777777" w:rsidR="00401546" w:rsidRPr="00A9330B" w:rsidRDefault="00401546" w:rsidP="0013556B">
            <w:pPr>
              <w:spacing w:before="60"/>
              <w:rPr>
                <w:rFonts w:cs="Arial"/>
                <w:b/>
                <w:sz w:val="18"/>
                <w:szCs w:val="18"/>
              </w:rPr>
            </w:pPr>
            <w:r w:rsidRPr="00A9330B">
              <w:rPr>
                <w:rFonts w:cs="Arial"/>
                <w:sz w:val="16"/>
                <w:szCs w:val="16"/>
              </w:rPr>
              <w:t>faible</w:t>
            </w:r>
          </w:p>
        </w:tc>
        <w:tc>
          <w:tcPr>
            <w:tcW w:w="536" w:type="pct"/>
            <w:vAlign w:val="center"/>
          </w:tcPr>
          <w:p w14:paraId="25793F6F" w14:textId="77777777" w:rsidR="00401546" w:rsidRPr="00A9330B" w:rsidRDefault="00401546" w:rsidP="0013556B">
            <w:pPr>
              <w:spacing w:before="60"/>
              <w:rPr>
                <w:rFonts w:cs="Arial"/>
                <w:b/>
                <w:sz w:val="18"/>
                <w:szCs w:val="18"/>
              </w:rPr>
            </w:pPr>
            <w:r w:rsidRPr="00A9330B">
              <w:rPr>
                <w:rFonts w:cs="Arial"/>
                <w:sz w:val="16"/>
                <w:szCs w:val="16"/>
              </w:rPr>
              <w:t>locale</w:t>
            </w:r>
          </w:p>
        </w:tc>
        <w:tc>
          <w:tcPr>
            <w:tcW w:w="616" w:type="pct"/>
            <w:vAlign w:val="center"/>
          </w:tcPr>
          <w:p w14:paraId="378346E3" w14:textId="77777777" w:rsidR="00401546" w:rsidRPr="00A9330B" w:rsidRDefault="00401546" w:rsidP="0013556B">
            <w:pPr>
              <w:spacing w:before="60"/>
              <w:rPr>
                <w:rFonts w:cs="Arial"/>
                <w:b/>
                <w:sz w:val="18"/>
                <w:szCs w:val="18"/>
              </w:rPr>
            </w:pPr>
            <w:r w:rsidRPr="00A9330B">
              <w:rPr>
                <w:rFonts w:cs="Arial"/>
                <w:sz w:val="16"/>
                <w:szCs w:val="16"/>
              </w:rPr>
              <w:t>temporaire</w:t>
            </w:r>
          </w:p>
        </w:tc>
        <w:tc>
          <w:tcPr>
            <w:tcW w:w="496" w:type="pct"/>
            <w:vAlign w:val="center"/>
          </w:tcPr>
          <w:p w14:paraId="424349D5" w14:textId="77777777" w:rsidR="00401546" w:rsidRPr="00A9330B" w:rsidRDefault="00401546" w:rsidP="0013556B">
            <w:pPr>
              <w:spacing w:before="60"/>
              <w:rPr>
                <w:rFonts w:cs="Arial"/>
                <w:b/>
                <w:sz w:val="18"/>
                <w:szCs w:val="18"/>
              </w:rPr>
            </w:pPr>
            <w:r w:rsidRPr="00A9330B">
              <w:rPr>
                <w:rFonts w:cs="Arial"/>
                <w:sz w:val="16"/>
                <w:szCs w:val="16"/>
              </w:rPr>
              <w:t xml:space="preserve">Faible </w:t>
            </w:r>
          </w:p>
        </w:tc>
      </w:tr>
      <w:tr w:rsidR="00401546" w:rsidRPr="00A9330B" w14:paraId="2E27A058" w14:textId="77777777" w:rsidTr="0045250F">
        <w:tc>
          <w:tcPr>
            <w:tcW w:w="1028" w:type="pct"/>
            <w:vMerge w:val="restart"/>
          </w:tcPr>
          <w:p w14:paraId="491F65B9" w14:textId="77777777" w:rsidR="00401546" w:rsidRPr="00A9330B" w:rsidRDefault="00401546" w:rsidP="0013556B">
            <w:pPr>
              <w:spacing w:before="60"/>
              <w:rPr>
                <w:rFonts w:cs="Arial"/>
                <w:sz w:val="18"/>
                <w:szCs w:val="18"/>
              </w:rPr>
            </w:pPr>
            <w:r w:rsidRPr="00A9330B">
              <w:rPr>
                <w:rFonts w:cs="Arial"/>
                <w:sz w:val="18"/>
                <w:szCs w:val="18"/>
              </w:rPr>
              <w:t xml:space="preserve">2.7. Exploitation des carrières et zones d’emprunts </w:t>
            </w:r>
          </w:p>
          <w:p w14:paraId="548E526E" w14:textId="77777777" w:rsidR="00401546" w:rsidRPr="00A9330B" w:rsidRDefault="00401546" w:rsidP="0013556B">
            <w:pPr>
              <w:spacing w:before="60"/>
              <w:rPr>
                <w:rFonts w:cs="Arial"/>
                <w:sz w:val="18"/>
                <w:szCs w:val="18"/>
              </w:rPr>
            </w:pPr>
          </w:p>
        </w:tc>
        <w:tc>
          <w:tcPr>
            <w:tcW w:w="1478" w:type="pct"/>
          </w:tcPr>
          <w:p w14:paraId="72FD3933" w14:textId="77777777" w:rsidR="00401546" w:rsidRPr="00A9330B" w:rsidRDefault="00401546" w:rsidP="0013556B">
            <w:pPr>
              <w:spacing w:before="60"/>
              <w:rPr>
                <w:rFonts w:cs="Arial"/>
                <w:b/>
                <w:sz w:val="18"/>
                <w:szCs w:val="18"/>
              </w:rPr>
            </w:pPr>
            <w:r w:rsidRPr="00A9330B">
              <w:rPr>
                <w:rFonts w:cs="Arial"/>
                <w:b/>
                <w:sz w:val="18"/>
                <w:szCs w:val="18"/>
              </w:rPr>
              <w:t xml:space="preserve">Destruction de milieu naturel par l’exploitation des carrières et des zones d’emprunt </w:t>
            </w:r>
          </w:p>
          <w:p w14:paraId="7788414D" w14:textId="77777777" w:rsidR="00401546" w:rsidRPr="00A9330B" w:rsidRDefault="00401546" w:rsidP="000F7BA7">
            <w:pPr>
              <w:autoSpaceDE w:val="0"/>
              <w:autoSpaceDN w:val="0"/>
              <w:adjustRightInd w:val="0"/>
              <w:jc w:val="both"/>
              <w:rPr>
                <w:sz w:val="18"/>
                <w:szCs w:val="18"/>
              </w:rPr>
            </w:pPr>
            <w:r w:rsidRPr="00A9330B">
              <w:rPr>
                <w:sz w:val="18"/>
                <w:szCs w:val="18"/>
              </w:rPr>
              <w:t>L’approvisionnement en matériaux de construction se fera au niveau des carrières existantes ou ouvertes pour les besoins du chantier. L’ouverture et l’exploitation de carrières de matériaux de construction (sable, gravier, latérite, etc.) participent aussi à la dégradation du paysage avec les nuisances liées aux excavations délaissées après le prélèvement des matériaux.</w:t>
            </w:r>
          </w:p>
          <w:p w14:paraId="413E16D7" w14:textId="77777777" w:rsidR="00401546" w:rsidRPr="00A9330B" w:rsidRDefault="00401546" w:rsidP="000F7BA7">
            <w:pPr>
              <w:jc w:val="both"/>
              <w:rPr>
                <w:sz w:val="18"/>
                <w:szCs w:val="18"/>
              </w:rPr>
            </w:pPr>
            <w:r w:rsidRPr="00A9330B">
              <w:rPr>
                <w:sz w:val="18"/>
                <w:szCs w:val="18"/>
              </w:rPr>
              <w:t>Une grande quantité de matériaux sera prélevée dans le milieu naturel entraînant des excavations et l’ouverture de nouvelles carrières :</w:t>
            </w:r>
          </w:p>
          <w:p w14:paraId="05FF174B" w14:textId="77777777" w:rsidR="00401546" w:rsidRPr="00A9330B" w:rsidRDefault="00401546" w:rsidP="00BD2F72">
            <w:pPr>
              <w:widowControl w:val="0"/>
              <w:numPr>
                <w:ilvl w:val="0"/>
                <w:numId w:val="64"/>
              </w:numPr>
              <w:tabs>
                <w:tab w:val="clear" w:pos="360"/>
                <w:tab w:val="num" w:pos="167"/>
              </w:tabs>
              <w:spacing w:before="0" w:line="240" w:lineRule="auto"/>
              <w:ind w:left="167" w:hanging="167"/>
              <w:contextualSpacing/>
              <w:rPr>
                <w:rFonts w:eastAsia="Times New Roman" w:cs="Times New Roman"/>
                <w:sz w:val="18"/>
                <w:szCs w:val="18"/>
                <w:lang w:eastAsia="de-DE"/>
              </w:rPr>
            </w:pPr>
            <w:r w:rsidRPr="00A9330B">
              <w:rPr>
                <w:rFonts w:eastAsia="Times New Roman" w:cs="Times New Roman"/>
                <w:sz w:val="18"/>
                <w:szCs w:val="18"/>
                <w:lang w:eastAsia="de-DE"/>
              </w:rPr>
              <w:t>emprunts de matériaux rocheux ;</w:t>
            </w:r>
          </w:p>
          <w:p w14:paraId="262D3BEA" w14:textId="77777777" w:rsidR="00401546" w:rsidRPr="00A9330B" w:rsidRDefault="00401546" w:rsidP="00BD2F72">
            <w:pPr>
              <w:widowControl w:val="0"/>
              <w:numPr>
                <w:ilvl w:val="0"/>
                <w:numId w:val="64"/>
              </w:numPr>
              <w:tabs>
                <w:tab w:val="clear" w:pos="360"/>
                <w:tab w:val="num" w:pos="167"/>
              </w:tabs>
              <w:spacing w:before="0" w:line="240" w:lineRule="auto"/>
              <w:ind w:left="167" w:hanging="167"/>
              <w:contextualSpacing/>
              <w:rPr>
                <w:rFonts w:eastAsia="Times New Roman" w:cs="Times New Roman"/>
                <w:sz w:val="18"/>
                <w:szCs w:val="18"/>
                <w:lang w:eastAsia="de-DE"/>
              </w:rPr>
            </w:pPr>
            <w:r w:rsidRPr="00A9330B">
              <w:rPr>
                <w:rFonts w:eastAsia="Times New Roman" w:cs="Times New Roman"/>
                <w:sz w:val="18"/>
                <w:szCs w:val="18"/>
                <w:lang w:eastAsia="de-DE"/>
              </w:rPr>
              <w:lastRenderedPageBreak/>
              <w:t>emprunts de sable continental ;</w:t>
            </w:r>
          </w:p>
          <w:p w14:paraId="3060452B" w14:textId="77777777" w:rsidR="00401546" w:rsidRPr="00A9330B" w:rsidRDefault="00401546" w:rsidP="00BD2F72">
            <w:pPr>
              <w:widowControl w:val="0"/>
              <w:numPr>
                <w:ilvl w:val="0"/>
                <w:numId w:val="64"/>
              </w:numPr>
              <w:tabs>
                <w:tab w:val="clear" w:pos="360"/>
                <w:tab w:val="num" w:pos="167"/>
              </w:tabs>
              <w:spacing w:before="0" w:line="240" w:lineRule="auto"/>
              <w:ind w:left="167" w:hanging="167"/>
              <w:contextualSpacing/>
              <w:rPr>
                <w:rFonts w:eastAsia="Times New Roman" w:cs="Times New Roman"/>
                <w:sz w:val="18"/>
                <w:szCs w:val="18"/>
                <w:lang w:eastAsia="de-DE"/>
              </w:rPr>
            </w:pPr>
            <w:r w:rsidRPr="00A9330B">
              <w:rPr>
                <w:rFonts w:eastAsia="Times New Roman" w:cs="Times New Roman"/>
                <w:sz w:val="18"/>
                <w:szCs w:val="18"/>
                <w:lang w:eastAsia="de-DE"/>
              </w:rPr>
              <w:t>emprunts de graveleux latéritique ;</w:t>
            </w:r>
          </w:p>
          <w:p w14:paraId="784A4F32" w14:textId="77777777" w:rsidR="00401546" w:rsidRPr="00A9330B" w:rsidRDefault="00401546" w:rsidP="00BD2F72">
            <w:pPr>
              <w:widowControl w:val="0"/>
              <w:numPr>
                <w:ilvl w:val="0"/>
                <w:numId w:val="64"/>
              </w:numPr>
              <w:tabs>
                <w:tab w:val="clear" w:pos="360"/>
                <w:tab w:val="num" w:pos="167"/>
              </w:tabs>
              <w:spacing w:before="0" w:line="240" w:lineRule="auto"/>
              <w:ind w:left="167" w:hanging="167"/>
              <w:contextualSpacing/>
              <w:rPr>
                <w:rFonts w:eastAsia="Times New Roman" w:cs="Times New Roman"/>
                <w:sz w:val="18"/>
                <w:szCs w:val="18"/>
                <w:lang w:eastAsia="de-DE"/>
              </w:rPr>
            </w:pPr>
            <w:r w:rsidRPr="00A9330B">
              <w:rPr>
                <w:rFonts w:eastAsia="Times New Roman" w:cs="Times New Roman"/>
                <w:sz w:val="18"/>
                <w:szCs w:val="18"/>
                <w:lang w:eastAsia="de-DE"/>
              </w:rPr>
              <w:t>emprunts de graviers roulés.</w:t>
            </w:r>
          </w:p>
          <w:p w14:paraId="55CD236E" w14:textId="4A6F16B9" w:rsidR="00401546" w:rsidRPr="00A9330B" w:rsidRDefault="00401546" w:rsidP="000F7BA7">
            <w:pPr>
              <w:spacing w:before="60"/>
              <w:jc w:val="both"/>
              <w:rPr>
                <w:rFonts w:cs="Arial"/>
                <w:b/>
                <w:sz w:val="18"/>
                <w:szCs w:val="18"/>
              </w:rPr>
            </w:pPr>
            <w:r w:rsidRPr="00A9330B">
              <w:rPr>
                <w:sz w:val="18"/>
                <w:szCs w:val="18"/>
              </w:rPr>
              <w:t xml:space="preserve">L’évaluation de la quantité de ces matériaux sera affinée au cours des études APD et en phase </w:t>
            </w:r>
            <w:r w:rsidR="004D157F" w:rsidRPr="00A9330B">
              <w:rPr>
                <w:sz w:val="18"/>
                <w:szCs w:val="18"/>
              </w:rPr>
              <w:t xml:space="preserve">de </w:t>
            </w:r>
            <w:r w:rsidRPr="00A9330B">
              <w:rPr>
                <w:sz w:val="18"/>
                <w:szCs w:val="18"/>
              </w:rPr>
              <w:t>travaux</w:t>
            </w:r>
          </w:p>
        </w:tc>
        <w:tc>
          <w:tcPr>
            <w:tcW w:w="410" w:type="pct"/>
            <w:vAlign w:val="center"/>
          </w:tcPr>
          <w:p w14:paraId="39D50CF3" w14:textId="77777777" w:rsidR="00401546" w:rsidRPr="00A9330B" w:rsidRDefault="00401546" w:rsidP="0013556B">
            <w:pPr>
              <w:spacing w:before="60"/>
              <w:rPr>
                <w:rFonts w:cs="Arial"/>
                <w:b/>
                <w:sz w:val="16"/>
                <w:szCs w:val="16"/>
              </w:rPr>
            </w:pPr>
            <w:r w:rsidRPr="00A9330B">
              <w:rPr>
                <w:rFonts w:cs="Arial"/>
                <w:b/>
                <w:sz w:val="16"/>
                <w:szCs w:val="16"/>
              </w:rPr>
              <w:lastRenderedPageBreak/>
              <w:t>-</w:t>
            </w:r>
          </w:p>
        </w:tc>
        <w:tc>
          <w:tcPr>
            <w:tcW w:w="436" w:type="pct"/>
            <w:vAlign w:val="center"/>
          </w:tcPr>
          <w:p w14:paraId="3D5EA5E3" w14:textId="77777777" w:rsidR="00401546" w:rsidRPr="00A9330B" w:rsidRDefault="00401546" w:rsidP="0013556B">
            <w:pPr>
              <w:spacing w:before="60"/>
              <w:rPr>
                <w:rFonts w:cs="Arial"/>
                <w:sz w:val="16"/>
                <w:szCs w:val="16"/>
              </w:rPr>
            </w:pPr>
            <w:r w:rsidRPr="00A9330B">
              <w:rPr>
                <w:rFonts w:cs="Arial"/>
                <w:sz w:val="16"/>
                <w:szCs w:val="16"/>
              </w:rPr>
              <w:t>forte</w:t>
            </w:r>
          </w:p>
        </w:tc>
        <w:tc>
          <w:tcPr>
            <w:tcW w:w="536" w:type="pct"/>
            <w:vAlign w:val="center"/>
          </w:tcPr>
          <w:p w14:paraId="730EC69C" w14:textId="77777777" w:rsidR="00401546" w:rsidRPr="00A9330B" w:rsidRDefault="00401546" w:rsidP="0013556B">
            <w:pPr>
              <w:spacing w:before="60"/>
              <w:rPr>
                <w:rFonts w:cs="Arial"/>
                <w:sz w:val="16"/>
                <w:szCs w:val="16"/>
              </w:rPr>
            </w:pPr>
            <w:r w:rsidRPr="00A9330B">
              <w:rPr>
                <w:rFonts w:cs="Arial"/>
                <w:sz w:val="16"/>
                <w:szCs w:val="16"/>
              </w:rPr>
              <w:t>Régionale</w:t>
            </w:r>
          </w:p>
        </w:tc>
        <w:tc>
          <w:tcPr>
            <w:tcW w:w="616" w:type="pct"/>
            <w:vAlign w:val="center"/>
          </w:tcPr>
          <w:p w14:paraId="18E64403" w14:textId="77777777" w:rsidR="00401546" w:rsidRPr="00A9330B" w:rsidRDefault="00401546" w:rsidP="0013556B">
            <w:pPr>
              <w:spacing w:before="60"/>
              <w:rPr>
                <w:rFonts w:cs="Arial"/>
                <w:sz w:val="16"/>
                <w:szCs w:val="16"/>
              </w:rPr>
            </w:pPr>
            <w:r w:rsidRPr="00A9330B">
              <w:rPr>
                <w:rFonts w:cs="Arial"/>
                <w:sz w:val="16"/>
                <w:szCs w:val="16"/>
              </w:rPr>
              <w:t>permanente</w:t>
            </w:r>
          </w:p>
        </w:tc>
        <w:tc>
          <w:tcPr>
            <w:tcW w:w="496" w:type="pct"/>
            <w:vAlign w:val="center"/>
          </w:tcPr>
          <w:p w14:paraId="54CBEBF3" w14:textId="77777777" w:rsidR="00401546" w:rsidRPr="00A9330B" w:rsidRDefault="00401546" w:rsidP="0013556B">
            <w:pPr>
              <w:spacing w:before="60"/>
              <w:rPr>
                <w:rFonts w:cs="Arial"/>
                <w:sz w:val="16"/>
                <w:szCs w:val="16"/>
              </w:rPr>
            </w:pPr>
            <w:r w:rsidRPr="00A9330B">
              <w:rPr>
                <w:rFonts w:cs="Arial"/>
                <w:sz w:val="16"/>
                <w:szCs w:val="16"/>
              </w:rPr>
              <w:t xml:space="preserve">Forte </w:t>
            </w:r>
          </w:p>
        </w:tc>
      </w:tr>
      <w:tr w:rsidR="00401546" w:rsidRPr="00A9330B" w14:paraId="0C1ECEEB" w14:textId="77777777" w:rsidTr="0045250F">
        <w:tc>
          <w:tcPr>
            <w:tcW w:w="1028" w:type="pct"/>
            <w:vMerge/>
          </w:tcPr>
          <w:p w14:paraId="413F2C5B" w14:textId="77777777" w:rsidR="00401546" w:rsidRPr="00A9330B" w:rsidRDefault="00401546" w:rsidP="0013556B">
            <w:pPr>
              <w:spacing w:before="60"/>
              <w:rPr>
                <w:rFonts w:cs="Arial"/>
                <w:sz w:val="18"/>
                <w:szCs w:val="18"/>
              </w:rPr>
            </w:pPr>
          </w:p>
        </w:tc>
        <w:tc>
          <w:tcPr>
            <w:tcW w:w="1478" w:type="pct"/>
          </w:tcPr>
          <w:p w14:paraId="2F95777A" w14:textId="77E28FE4" w:rsidR="00401546" w:rsidRPr="00A9330B" w:rsidRDefault="00401546" w:rsidP="0013556B">
            <w:pPr>
              <w:spacing w:before="60"/>
              <w:rPr>
                <w:rFonts w:cs="Arial"/>
                <w:b/>
                <w:sz w:val="18"/>
                <w:szCs w:val="18"/>
              </w:rPr>
            </w:pPr>
            <w:r w:rsidRPr="00A9330B">
              <w:rPr>
                <w:rFonts w:cs="Arial"/>
                <w:b/>
                <w:sz w:val="18"/>
                <w:szCs w:val="18"/>
              </w:rPr>
              <w:t xml:space="preserve">Emissions atmosphériques (fumées, poussières) par les moteurs </w:t>
            </w:r>
          </w:p>
          <w:p w14:paraId="141543B0" w14:textId="77777777" w:rsidR="00401546" w:rsidRPr="00A9330B" w:rsidRDefault="00401546" w:rsidP="0013556B">
            <w:pPr>
              <w:spacing w:before="60"/>
              <w:rPr>
                <w:rFonts w:cs="Arial"/>
                <w:b/>
                <w:sz w:val="18"/>
                <w:szCs w:val="18"/>
              </w:rPr>
            </w:pPr>
            <w:r w:rsidRPr="00A9330B">
              <w:rPr>
                <w:rFonts w:cs="Arial"/>
                <w:b/>
                <w:sz w:val="18"/>
                <w:szCs w:val="18"/>
              </w:rPr>
              <w:t xml:space="preserve">Epandage de matériaux sur les routes et voies d’accès </w:t>
            </w:r>
          </w:p>
          <w:p w14:paraId="0ED26B8A" w14:textId="77777777" w:rsidR="00401546" w:rsidRPr="00A9330B" w:rsidRDefault="00401546" w:rsidP="000F7BA7">
            <w:pPr>
              <w:spacing w:before="60"/>
              <w:jc w:val="both"/>
              <w:rPr>
                <w:rFonts w:cs="Arial"/>
                <w:b/>
                <w:sz w:val="18"/>
                <w:szCs w:val="18"/>
              </w:rPr>
            </w:pPr>
            <w:r w:rsidRPr="00A9330B">
              <w:rPr>
                <w:rFonts w:cs="Arial"/>
                <w:sz w:val="18"/>
                <w:szCs w:val="18"/>
              </w:rPr>
              <w:t>Les actions de terrassement, de transports et de déchargement de matériaux entraînent une augmentation de la concentration des poussières (sables, latérite, etc.) dans l’atmosphère. L’impact de la pollution atmosphérique sur les populations  se présente avec beaucoup d’acuité au niveau des zones habitées et particulièrement en milieu urbain et périurbain.</w:t>
            </w:r>
          </w:p>
        </w:tc>
        <w:tc>
          <w:tcPr>
            <w:tcW w:w="410" w:type="pct"/>
            <w:vAlign w:val="center"/>
          </w:tcPr>
          <w:p w14:paraId="3974543E" w14:textId="77777777" w:rsidR="00401546" w:rsidRPr="00A9330B" w:rsidRDefault="00401546" w:rsidP="0013556B">
            <w:pPr>
              <w:spacing w:before="60"/>
              <w:rPr>
                <w:rFonts w:cs="Arial"/>
                <w:b/>
                <w:sz w:val="16"/>
                <w:szCs w:val="16"/>
              </w:rPr>
            </w:pPr>
            <w:r w:rsidRPr="00A9330B">
              <w:rPr>
                <w:rFonts w:cs="Arial"/>
                <w:b/>
                <w:sz w:val="16"/>
                <w:szCs w:val="16"/>
              </w:rPr>
              <w:t>-</w:t>
            </w:r>
          </w:p>
        </w:tc>
        <w:tc>
          <w:tcPr>
            <w:tcW w:w="436" w:type="pct"/>
            <w:vAlign w:val="center"/>
          </w:tcPr>
          <w:p w14:paraId="3ED09076" w14:textId="77777777" w:rsidR="00401546" w:rsidRPr="00A9330B" w:rsidRDefault="00401546" w:rsidP="0013556B">
            <w:pPr>
              <w:spacing w:before="60"/>
              <w:rPr>
                <w:rFonts w:cs="Arial"/>
                <w:sz w:val="16"/>
                <w:szCs w:val="16"/>
              </w:rPr>
            </w:pPr>
            <w:r w:rsidRPr="00A9330B">
              <w:rPr>
                <w:rFonts w:cs="Arial"/>
                <w:sz w:val="16"/>
                <w:szCs w:val="16"/>
              </w:rPr>
              <w:t>forte</w:t>
            </w:r>
          </w:p>
        </w:tc>
        <w:tc>
          <w:tcPr>
            <w:tcW w:w="536" w:type="pct"/>
            <w:vAlign w:val="center"/>
          </w:tcPr>
          <w:p w14:paraId="6242D2B6" w14:textId="77777777" w:rsidR="00401546" w:rsidRPr="00A9330B" w:rsidRDefault="00401546" w:rsidP="0013556B">
            <w:pPr>
              <w:spacing w:before="60"/>
              <w:rPr>
                <w:rFonts w:cs="Arial"/>
                <w:sz w:val="16"/>
                <w:szCs w:val="16"/>
              </w:rPr>
            </w:pPr>
            <w:r w:rsidRPr="00A9330B">
              <w:rPr>
                <w:rFonts w:cs="Arial"/>
                <w:sz w:val="16"/>
                <w:szCs w:val="16"/>
              </w:rPr>
              <w:t>Régionale</w:t>
            </w:r>
          </w:p>
        </w:tc>
        <w:tc>
          <w:tcPr>
            <w:tcW w:w="616" w:type="pct"/>
            <w:vAlign w:val="center"/>
          </w:tcPr>
          <w:p w14:paraId="389A73C6" w14:textId="77777777" w:rsidR="00401546" w:rsidRPr="00A9330B" w:rsidRDefault="00401546" w:rsidP="0013556B">
            <w:pPr>
              <w:spacing w:before="60"/>
              <w:rPr>
                <w:rFonts w:cs="Arial"/>
                <w:sz w:val="16"/>
                <w:szCs w:val="16"/>
              </w:rPr>
            </w:pPr>
            <w:r w:rsidRPr="00A9330B">
              <w:rPr>
                <w:rFonts w:cs="Arial"/>
                <w:sz w:val="16"/>
                <w:szCs w:val="16"/>
              </w:rPr>
              <w:t>permanente</w:t>
            </w:r>
          </w:p>
        </w:tc>
        <w:tc>
          <w:tcPr>
            <w:tcW w:w="496" w:type="pct"/>
            <w:vAlign w:val="center"/>
          </w:tcPr>
          <w:p w14:paraId="18583CBD" w14:textId="77777777" w:rsidR="00401546" w:rsidRPr="00A9330B" w:rsidRDefault="00401546" w:rsidP="0013556B">
            <w:pPr>
              <w:spacing w:before="60"/>
              <w:rPr>
                <w:rFonts w:cs="Arial"/>
                <w:sz w:val="16"/>
                <w:szCs w:val="16"/>
              </w:rPr>
            </w:pPr>
            <w:r w:rsidRPr="00A9330B">
              <w:rPr>
                <w:rFonts w:cs="Arial"/>
                <w:sz w:val="16"/>
                <w:szCs w:val="16"/>
              </w:rPr>
              <w:t xml:space="preserve">Forte </w:t>
            </w:r>
          </w:p>
        </w:tc>
      </w:tr>
      <w:tr w:rsidR="00401546" w:rsidRPr="00A9330B" w14:paraId="4830DF90" w14:textId="77777777" w:rsidTr="0045250F">
        <w:tc>
          <w:tcPr>
            <w:tcW w:w="1028" w:type="pct"/>
            <w:vMerge w:val="restart"/>
          </w:tcPr>
          <w:p w14:paraId="14F4BFF3" w14:textId="77777777" w:rsidR="00401546" w:rsidRPr="00A9330B" w:rsidRDefault="00401546" w:rsidP="0013556B">
            <w:pPr>
              <w:rPr>
                <w:rFonts w:cs="Arial"/>
                <w:sz w:val="18"/>
                <w:szCs w:val="18"/>
              </w:rPr>
            </w:pPr>
            <w:r w:rsidRPr="00A9330B">
              <w:rPr>
                <w:rFonts w:cs="Arial"/>
                <w:sz w:val="18"/>
                <w:szCs w:val="18"/>
              </w:rPr>
              <w:t xml:space="preserve">2.8.  </w:t>
            </w:r>
          </w:p>
          <w:p w14:paraId="0C74980F" w14:textId="77777777" w:rsidR="00401546" w:rsidRPr="00A9330B" w:rsidRDefault="00401546" w:rsidP="0013556B">
            <w:pPr>
              <w:rPr>
                <w:rFonts w:cs="Arial"/>
                <w:sz w:val="18"/>
                <w:szCs w:val="18"/>
              </w:rPr>
            </w:pPr>
            <w:r w:rsidRPr="00A9330B">
              <w:rPr>
                <w:rFonts w:cs="Arial"/>
                <w:sz w:val="18"/>
                <w:szCs w:val="18"/>
              </w:rPr>
              <w:t xml:space="preserve">Construction des Chaussées </w:t>
            </w:r>
          </w:p>
          <w:p w14:paraId="6FFA3590" w14:textId="77777777" w:rsidR="00401546" w:rsidRPr="00A9330B" w:rsidRDefault="00401546" w:rsidP="0013556B">
            <w:pPr>
              <w:rPr>
                <w:rFonts w:cs="Arial"/>
                <w:sz w:val="18"/>
                <w:szCs w:val="18"/>
              </w:rPr>
            </w:pPr>
            <w:r w:rsidRPr="00A9330B">
              <w:rPr>
                <w:rFonts w:cs="Arial"/>
                <w:sz w:val="18"/>
                <w:szCs w:val="18"/>
              </w:rPr>
              <w:t>Assainissement et drainage</w:t>
            </w:r>
          </w:p>
          <w:p w14:paraId="6CE5C567" w14:textId="77777777" w:rsidR="00401546" w:rsidRPr="00A9330B" w:rsidRDefault="00401546" w:rsidP="0013556B">
            <w:pPr>
              <w:spacing w:before="60"/>
              <w:rPr>
                <w:rFonts w:cs="Arial"/>
                <w:sz w:val="18"/>
                <w:szCs w:val="18"/>
              </w:rPr>
            </w:pPr>
          </w:p>
        </w:tc>
        <w:tc>
          <w:tcPr>
            <w:tcW w:w="1478" w:type="pct"/>
          </w:tcPr>
          <w:p w14:paraId="45D2F66E" w14:textId="77777777" w:rsidR="00401546" w:rsidRPr="00A9330B" w:rsidRDefault="00401546" w:rsidP="000F7BA7">
            <w:pPr>
              <w:jc w:val="both"/>
              <w:rPr>
                <w:sz w:val="18"/>
                <w:szCs w:val="18"/>
              </w:rPr>
            </w:pPr>
            <w:r w:rsidRPr="00A9330B">
              <w:rPr>
                <w:rFonts w:cs="Arial"/>
                <w:b/>
                <w:sz w:val="18"/>
                <w:szCs w:val="18"/>
              </w:rPr>
              <w:t>Consommation/destruction de ressources naturelles</w:t>
            </w:r>
            <w:r w:rsidRPr="00A9330B">
              <w:rPr>
                <w:rFonts w:cs="Arial"/>
                <w:sz w:val="18"/>
                <w:szCs w:val="18"/>
              </w:rPr>
              <w:t> (abattage d’arbres, destruction de champs de culture ou de partie de plantation, pépinières et jardins)</w:t>
            </w:r>
          </w:p>
        </w:tc>
        <w:tc>
          <w:tcPr>
            <w:tcW w:w="410" w:type="pct"/>
            <w:vAlign w:val="center"/>
          </w:tcPr>
          <w:p w14:paraId="4944B719" w14:textId="77777777" w:rsidR="00401546" w:rsidRPr="00A9330B" w:rsidRDefault="00401546" w:rsidP="0013556B">
            <w:pPr>
              <w:spacing w:before="60"/>
              <w:rPr>
                <w:rFonts w:cs="Arial"/>
                <w:b/>
                <w:sz w:val="18"/>
                <w:szCs w:val="18"/>
              </w:rPr>
            </w:pPr>
            <w:r w:rsidRPr="00A9330B">
              <w:rPr>
                <w:rFonts w:cs="Arial"/>
                <w:b/>
                <w:sz w:val="16"/>
                <w:szCs w:val="16"/>
              </w:rPr>
              <w:t>-</w:t>
            </w:r>
          </w:p>
        </w:tc>
        <w:tc>
          <w:tcPr>
            <w:tcW w:w="436" w:type="pct"/>
            <w:vAlign w:val="center"/>
          </w:tcPr>
          <w:p w14:paraId="6C310B74" w14:textId="77777777" w:rsidR="00401546" w:rsidRPr="00A9330B" w:rsidRDefault="00401546" w:rsidP="0013556B">
            <w:pPr>
              <w:spacing w:before="60"/>
              <w:rPr>
                <w:rFonts w:cs="Arial"/>
                <w:b/>
                <w:sz w:val="18"/>
                <w:szCs w:val="18"/>
              </w:rPr>
            </w:pPr>
            <w:r w:rsidRPr="00A9330B">
              <w:rPr>
                <w:rFonts w:cs="Arial"/>
                <w:sz w:val="16"/>
                <w:szCs w:val="16"/>
              </w:rPr>
              <w:t>moyenne</w:t>
            </w:r>
          </w:p>
        </w:tc>
        <w:tc>
          <w:tcPr>
            <w:tcW w:w="536" w:type="pct"/>
            <w:vAlign w:val="center"/>
          </w:tcPr>
          <w:p w14:paraId="30914505" w14:textId="77777777" w:rsidR="00401546" w:rsidRPr="00A9330B" w:rsidRDefault="00401546" w:rsidP="0013556B">
            <w:pPr>
              <w:spacing w:before="60"/>
              <w:rPr>
                <w:rFonts w:cs="Arial"/>
                <w:b/>
                <w:sz w:val="18"/>
                <w:szCs w:val="18"/>
              </w:rPr>
            </w:pPr>
            <w:r w:rsidRPr="00A9330B">
              <w:rPr>
                <w:rFonts w:cs="Arial"/>
                <w:sz w:val="16"/>
                <w:szCs w:val="16"/>
              </w:rPr>
              <w:t>locale</w:t>
            </w:r>
          </w:p>
        </w:tc>
        <w:tc>
          <w:tcPr>
            <w:tcW w:w="616" w:type="pct"/>
            <w:vAlign w:val="center"/>
          </w:tcPr>
          <w:p w14:paraId="5011AF9A" w14:textId="77777777" w:rsidR="00401546" w:rsidRPr="00A9330B" w:rsidRDefault="00401546" w:rsidP="0013556B">
            <w:pPr>
              <w:spacing w:before="60"/>
              <w:rPr>
                <w:rFonts w:cs="Arial"/>
                <w:b/>
                <w:sz w:val="18"/>
                <w:szCs w:val="18"/>
              </w:rPr>
            </w:pPr>
            <w:r w:rsidRPr="00A9330B">
              <w:rPr>
                <w:rFonts w:cs="Arial"/>
                <w:sz w:val="16"/>
                <w:szCs w:val="16"/>
              </w:rPr>
              <w:t>temporaire</w:t>
            </w:r>
          </w:p>
        </w:tc>
        <w:tc>
          <w:tcPr>
            <w:tcW w:w="496" w:type="pct"/>
            <w:vAlign w:val="center"/>
          </w:tcPr>
          <w:p w14:paraId="518A782B" w14:textId="77777777" w:rsidR="00401546" w:rsidRPr="00A9330B" w:rsidRDefault="00401546" w:rsidP="0013556B">
            <w:pPr>
              <w:spacing w:before="60"/>
              <w:rPr>
                <w:rFonts w:cs="Arial"/>
                <w:b/>
                <w:sz w:val="18"/>
                <w:szCs w:val="18"/>
              </w:rPr>
            </w:pPr>
            <w:r w:rsidRPr="00A9330B">
              <w:rPr>
                <w:rFonts w:cs="Arial"/>
                <w:sz w:val="16"/>
                <w:szCs w:val="16"/>
              </w:rPr>
              <w:t xml:space="preserve">Faible </w:t>
            </w:r>
          </w:p>
        </w:tc>
      </w:tr>
      <w:tr w:rsidR="00401546" w:rsidRPr="00A9330B" w14:paraId="7FDF9404" w14:textId="77777777" w:rsidTr="0045250F">
        <w:tc>
          <w:tcPr>
            <w:tcW w:w="1028" w:type="pct"/>
            <w:vMerge/>
          </w:tcPr>
          <w:p w14:paraId="15FD7E44" w14:textId="77777777" w:rsidR="00401546" w:rsidRPr="00A9330B" w:rsidRDefault="00401546" w:rsidP="0013556B">
            <w:pPr>
              <w:spacing w:before="60"/>
              <w:rPr>
                <w:rFonts w:cs="Arial"/>
                <w:sz w:val="18"/>
                <w:szCs w:val="18"/>
              </w:rPr>
            </w:pPr>
          </w:p>
        </w:tc>
        <w:tc>
          <w:tcPr>
            <w:tcW w:w="1478" w:type="pct"/>
          </w:tcPr>
          <w:p w14:paraId="38E1C035" w14:textId="77777777" w:rsidR="00401546" w:rsidRPr="00A9330B" w:rsidRDefault="00401546" w:rsidP="000F7BA7">
            <w:pPr>
              <w:spacing w:before="60"/>
              <w:jc w:val="both"/>
              <w:rPr>
                <w:rFonts w:cs="Arial"/>
                <w:sz w:val="18"/>
                <w:szCs w:val="18"/>
              </w:rPr>
            </w:pPr>
            <w:r w:rsidRPr="00A9330B">
              <w:rPr>
                <w:rFonts w:cs="Arial"/>
                <w:b/>
                <w:sz w:val="18"/>
                <w:szCs w:val="18"/>
              </w:rPr>
              <w:t>Risque de pollution des eaux de surface</w:t>
            </w:r>
            <w:r w:rsidRPr="00A9330B">
              <w:rPr>
                <w:rFonts w:cs="Arial"/>
                <w:sz w:val="18"/>
                <w:szCs w:val="18"/>
              </w:rPr>
              <w:t xml:space="preserve"> et leur contamination par des substances dangereuses (engins et activités de construction de la route)</w:t>
            </w:r>
          </w:p>
        </w:tc>
        <w:tc>
          <w:tcPr>
            <w:tcW w:w="410" w:type="pct"/>
            <w:vAlign w:val="center"/>
          </w:tcPr>
          <w:p w14:paraId="4797925C" w14:textId="77777777" w:rsidR="00401546" w:rsidRPr="00A9330B" w:rsidRDefault="00401546" w:rsidP="0013556B">
            <w:pPr>
              <w:spacing w:before="60"/>
              <w:rPr>
                <w:rFonts w:cs="Arial"/>
                <w:b/>
                <w:sz w:val="18"/>
                <w:szCs w:val="18"/>
              </w:rPr>
            </w:pPr>
            <w:r w:rsidRPr="00A9330B">
              <w:rPr>
                <w:rFonts w:cs="Arial"/>
                <w:b/>
                <w:sz w:val="16"/>
                <w:szCs w:val="16"/>
              </w:rPr>
              <w:t>-</w:t>
            </w:r>
          </w:p>
        </w:tc>
        <w:tc>
          <w:tcPr>
            <w:tcW w:w="436" w:type="pct"/>
            <w:vAlign w:val="center"/>
          </w:tcPr>
          <w:p w14:paraId="1CD6BCD9" w14:textId="77777777" w:rsidR="00401546" w:rsidRPr="00A9330B" w:rsidRDefault="00401546" w:rsidP="0013556B">
            <w:pPr>
              <w:spacing w:before="60"/>
              <w:rPr>
                <w:rFonts w:cs="Arial"/>
                <w:b/>
                <w:sz w:val="18"/>
                <w:szCs w:val="18"/>
              </w:rPr>
            </w:pPr>
            <w:r w:rsidRPr="00A9330B">
              <w:rPr>
                <w:rFonts w:cs="Arial"/>
                <w:sz w:val="16"/>
                <w:szCs w:val="16"/>
              </w:rPr>
              <w:t xml:space="preserve">faible </w:t>
            </w:r>
          </w:p>
        </w:tc>
        <w:tc>
          <w:tcPr>
            <w:tcW w:w="536" w:type="pct"/>
            <w:vAlign w:val="center"/>
          </w:tcPr>
          <w:p w14:paraId="75179A1C" w14:textId="77777777" w:rsidR="00401546" w:rsidRPr="00A9330B" w:rsidRDefault="00401546" w:rsidP="0013556B">
            <w:pPr>
              <w:spacing w:before="60"/>
              <w:rPr>
                <w:rFonts w:cs="Arial"/>
                <w:b/>
                <w:sz w:val="18"/>
                <w:szCs w:val="18"/>
              </w:rPr>
            </w:pPr>
            <w:r w:rsidRPr="00A9330B">
              <w:rPr>
                <w:rFonts w:cs="Arial"/>
                <w:sz w:val="16"/>
                <w:szCs w:val="16"/>
              </w:rPr>
              <w:t>ponctuelle</w:t>
            </w:r>
          </w:p>
        </w:tc>
        <w:tc>
          <w:tcPr>
            <w:tcW w:w="616" w:type="pct"/>
            <w:vAlign w:val="center"/>
          </w:tcPr>
          <w:p w14:paraId="258016BD" w14:textId="77777777" w:rsidR="00401546" w:rsidRPr="00A9330B" w:rsidRDefault="00401546" w:rsidP="0013556B">
            <w:pPr>
              <w:spacing w:before="60"/>
              <w:rPr>
                <w:rFonts w:cs="Arial"/>
                <w:b/>
                <w:sz w:val="18"/>
                <w:szCs w:val="18"/>
              </w:rPr>
            </w:pPr>
            <w:r w:rsidRPr="00A9330B">
              <w:rPr>
                <w:rFonts w:cs="Arial"/>
                <w:sz w:val="16"/>
                <w:szCs w:val="16"/>
              </w:rPr>
              <w:t xml:space="preserve">temporaire </w:t>
            </w:r>
          </w:p>
        </w:tc>
        <w:tc>
          <w:tcPr>
            <w:tcW w:w="496" w:type="pct"/>
            <w:vAlign w:val="center"/>
          </w:tcPr>
          <w:p w14:paraId="3DF52029" w14:textId="77777777" w:rsidR="00401546" w:rsidRPr="00A9330B" w:rsidRDefault="00401546" w:rsidP="0013556B">
            <w:pPr>
              <w:spacing w:before="60"/>
              <w:rPr>
                <w:rFonts w:cs="Arial"/>
                <w:b/>
                <w:sz w:val="18"/>
                <w:szCs w:val="18"/>
              </w:rPr>
            </w:pPr>
            <w:r w:rsidRPr="00A9330B">
              <w:rPr>
                <w:rFonts w:cs="Arial"/>
                <w:sz w:val="16"/>
                <w:szCs w:val="16"/>
              </w:rPr>
              <w:t>Faible</w:t>
            </w:r>
          </w:p>
        </w:tc>
      </w:tr>
      <w:tr w:rsidR="00401546" w:rsidRPr="00A9330B" w14:paraId="5A289BB9" w14:textId="77777777" w:rsidTr="0045250F">
        <w:tc>
          <w:tcPr>
            <w:tcW w:w="1028" w:type="pct"/>
            <w:vMerge/>
          </w:tcPr>
          <w:p w14:paraId="3F3E5676" w14:textId="77777777" w:rsidR="00401546" w:rsidRPr="00A9330B" w:rsidRDefault="00401546" w:rsidP="0013556B">
            <w:pPr>
              <w:spacing w:before="60"/>
              <w:rPr>
                <w:rFonts w:cs="Arial"/>
                <w:sz w:val="18"/>
                <w:szCs w:val="18"/>
              </w:rPr>
            </w:pPr>
          </w:p>
        </w:tc>
        <w:tc>
          <w:tcPr>
            <w:tcW w:w="1478" w:type="pct"/>
          </w:tcPr>
          <w:p w14:paraId="5587D431" w14:textId="77777777" w:rsidR="00401546" w:rsidRPr="00A9330B" w:rsidRDefault="00401546" w:rsidP="000F7BA7">
            <w:pPr>
              <w:spacing w:before="60"/>
              <w:jc w:val="both"/>
              <w:rPr>
                <w:rFonts w:cs="Arial"/>
                <w:sz w:val="18"/>
                <w:szCs w:val="18"/>
              </w:rPr>
            </w:pPr>
            <w:r w:rsidRPr="00A9330B">
              <w:rPr>
                <w:rFonts w:cs="Arial"/>
                <w:b/>
                <w:sz w:val="18"/>
                <w:szCs w:val="18"/>
              </w:rPr>
              <w:t>Déversements accidentels de produits</w:t>
            </w:r>
            <w:r w:rsidRPr="00A9330B">
              <w:rPr>
                <w:rFonts w:cs="Arial"/>
                <w:sz w:val="18"/>
                <w:szCs w:val="18"/>
              </w:rPr>
              <w:t xml:space="preserve"> (huiles usagées, bitume, autres)</w:t>
            </w:r>
          </w:p>
        </w:tc>
        <w:tc>
          <w:tcPr>
            <w:tcW w:w="410" w:type="pct"/>
            <w:vAlign w:val="center"/>
          </w:tcPr>
          <w:p w14:paraId="56E44825" w14:textId="77777777" w:rsidR="00401546" w:rsidRPr="00A9330B" w:rsidRDefault="00401546" w:rsidP="0013556B">
            <w:pPr>
              <w:spacing w:before="60"/>
              <w:rPr>
                <w:rFonts w:cs="Arial"/>
                <w:b/>
                <w:sz w:val="18"/>
                <w:szCs w:val="18"/>
              </w:rPr>
            </w:pPr>
            <w:r w:rsidRPr="00A9330B">
              <w:rPr>
                <w:rFonts w:cs="Arial"/>
                <w:b/>
                <w:sz w:val="16"/>
                <w:szCs w:val="16"/>
              </w:rPr>
              <w:t>-</w:t>
            </w:r>
          </w:p>
        </w:tc>
        <w:tc>
          <w:tcPr>
            <w:tcW w:w="436" w:type="pct"/>
            <w:vAlign w:val="center"/>
          </w:tcPr>
          <w:p w14:paraId="0EB0A64F" w14:textId="77777777" w:rsidR="00401546" w:rsidRPr="00A9330B" w:rsidRDefault="00401546" w:rsidP="0013556B">
            <w:pPr>
              <w:spacing w:before="60"/>
              <w:rPr>
                <w:rFonts w:cs="Arial"/>
                <w:b/>
                <w:sz w:val="18"/>
                <w:szCs w:val="18"/>
              </w:rPr>
            </w:pPr>
            <w:r w:rsidRPr="00A9330B">
              <w:rPr>
                <w:rFonts w:cs="Arial"/>
                <w:sz w:val="16"/>
                <w:szCs w:val="16"/>
              </w:rPr>
              <w:t xml:space="preserve">moyenne </w:t>
            </w:r>
          </w:p>
        </w:tc>
        <w:tc>
          <w:tcPr>
            <w:tcW w:w="536" w:type="pct"/>
            <w:vAlign w:val="center"/>
          </w:tcPr>
          <w:p w14:paraId="29E8E9A3" w14:textId="77777777" w:rsidR="00401546" w:rsidRPr="00A9330B" w:rsidRDefault="00401546" w:rsidP="0013556B">
            <w:pPr>
              <w:spacing w:before="60"/>
              <w:rPr>
                <w:rFonts w:cs="Arial"/>
                <w:b/>
                <w:sz w:val="18"/>
                <w:szCs w:val="18"/>
              </w:rPr>
            </w:pPr>
            <w:r w:rsidRPr="00A9330B">
              <w:rPr>
                <w:rFonts w:cs="Arial"/>
                <w:sz w:val="16"/>
                <w:szCs w:val="16"/>
              </w:rPr>
              <w:t>ponctuelle</w:t>
            </w:r>
          </w:p>
        </w:tc>
        <w:tc>
          <w:tcPr>
            <w:tcW w:w="616" w:type="pct"/>
            <w:vAlign w:val="center"/>
          </w:tcPr>
          <w:p w14:paraId="6757C9E2" w14:textId="77777777" w:rsidR="00401546" w:rsidRPr="00A9330B" w:rsidRDefault="00401546" w:rsidP="0013556B">
            <w:pPr>
              <w:spacing w:before="60"/>
              <w:rPr>
                <w:rFonts w:cs="Arial"/>
                <w:b/>
                <w:sz w:val="18"/>
                <w:szCs w:val="18"/>
              </w:rPr>
            </w:pPr>
            <w:r w:rsidRPr="00A9330B">
              <w:rPr>
                <w:rFonts w:cs="Arial"/>
                <w:sz w:val="16"/>
                <w:szCs w:val="16"/>
              </w:rPr>
              <w:t xml:space="preserve">temporaire </w:t>
            </w:r>
          </w:p>
        </w:tc>
        <w:tc>
          <w:tcPr>
            <w:tcW w:w="496" w:type="pct"/>
            <w:vAlign w:val="center"/>
          </w:tcPr>
          <w:p w14:paraId="2DE8E1BB" w14:textId="77777777" w:rsidR="00401546" w:rsidRPr="00A9330B" w:rsidRDefault="00401546" w:rsidP="0013556B">
            <w:pPr>
              <w:spacing w:before="60"/>
              <w:rPr>
                <w:rFonts w:cs="Arial"/>
                <w:b/>
                <w:sz w:val="18"/>
                <w:szCs w:val="18"/>
              </w:rPr>
            </w:pPr>
            <w:r w:rsidRPr="00A9330B">
              <w:rPr>
                <w:rFonts w:cs="Arial"/>
                <w:sz w:val="16"/>
                <w:szCs w:val="16"/>
              </w:rPr>
              <w:t xml:space="preserve">Faible </w:t>
            </w:r>
          </w:p>
        </w:tc>
      </w:tr>
      <w:tr w:rsidR="00401546" w:rsidRPr="00A9330B" w14:paraId="420B0271" w14:textId="77777777" w:rsidTr="0045250F">
        <w:tc>
          <w:tcPr>
            <w:tcW w:w="1028" w:type="pct"/>
            <w:vMerge/>
          </w:tcPr>
          <w:p w14:paraId="62EAEB69" w14:textId="77777777" w:rsidR="00401546" w:rsidRPr="00A9330B" w:rsidRDefault="00401546" w:rsidP="0013556B">
            <w:pPr>
              <w:spacing w:before="60"/>
              <w:rPr>
                <w:rFonts w:cs="Arial"/>
                <w:sz w:val="18"/>
                <w:szCs w:val="18"/>
              </w:rPr>
            </w:pPr>
          </w:p>
        </w:tc>
        <w:tc>
          <w:tcPr>
            <w:tcW w:w="1478" w:type="pct"/>
          </w:tcPr>
          <w:p w14:paraId="247898A1" w14:textId="1FD9663D" w:rsidR="00401546" w:rsidRPr="00A9330B" w:rsidRDefault="00401546" w:rsidP="00E63C17">
            <w:pPr>
              <w:spacing w:before="60"/>
              <w:rPr>
                <w:rFonts w:cs="Arial"/>
                <w:sz w:val="18"/>
                <w:szCs w:val="18"/>
              </w:rPr>
            </w:pPr>
            <w:r w:rsidRPr="00A9330B">
              <w:rPr>
                <w:rFonts w:cs="Arial"/>
                <w:b/>
                <w:sz w:val="18"/>
                <w:szCs w:val="18"/>
              </w:rPr>
              <w:t>Production des déchets solides inertes</w:t>
            </w:r>
            <w:r w:rsidR="00E63C17" w:rsidRPr="00A9330B">
              <w:rPr>
                <w:rFonts w:cs="Arial"/>
                <w:sz w:val="18"/>
                <w:szCs w:val="18"/>
              </w:rPr>
              <w:t xml:space="preserve"> Exisgence </w:t>
            </w:r>
            <w:r w:rsidRPr="00A9330B">
              <w:rPr>
                <w:rFonts w:cs="Arial"/>
                <w:sz w:val="18"/>
                <w:szCs w:val="18"/>
              </w:rPr>
              <w:t xml:space="preserve"> des restes de matériaux de chantier  (déblais, remblais etc..)</w:t>
            </w:r>
          </w:p>
        </w:tc>
        <w:tc>
          <w:tcPr>
            <w:tcW w:w="410" w:type="pct"/>
            <w:vAlign w:val="center"/>
          </w:tcPr>
          <w:p w14:paraId="41842F2E" w14:textId="77777777" w:rsidR="00401546" w:rsidRPr="00A9330B" w:rsidRDefault="00401546" w:rsidP="0013556B">
            <w:pPr>
              <w:spacing w:before="60"/>
              <w:rPr>
                <w:rFonts w:cs="Arial"/>
                <w:b/>
                <w:sz w:val="18"/>
                <w:szCs w:val="18"/>
              </w:rPr>
            </w:pPr>
            <w:r w:rsidRPr="00A9330B">
              <w:rPr>
                <w:rFonts w:cs="Arial"/>
                <w:b/>
                <w:sz w:val="16"/>
                <w:szCs w:val="16"/>
              </w:rPr>
              <w:t>-</w:t>
            </w:r>
          </w:p>
        </w:tc>
        <w:tc>
          <w:tcPr>
            <w:tcW w:w="436" w:type="pct"/>
            <w:vAlign w:val="center"/>
          </w:tcPr>
          <w:p w14:paraId="0712D79F" w14:textId="77777777" w:rsidR="00401546" w:rsidRPr="00A9330B" w:rsidRDefault="00401546" w:rsidP="0013556B">
            <w:pPr>
              <w:spacing w:before="60"/>
              <w:rPr>
                <w:rFonts w:cs="Arial"/>
                <w:b/>
                <w:sz w:val="18"/>
                <w:szCs w:val="18"/>
              </w:rPr>
            </w:pPr>
            <w:r w:rsidRPr="00A9330B">
              <w:rPr>
                <w:rFonts w:cs="Arial"/>
                <w:sz w:val="16"/>
                <w:szCs w:val="16"/>
              </w:rPr>
              <w:t xml:space="preserve">faible </w:t>
            </w:r>
          </w:p>
        </w:tc>
        <w:tc>
          <w:tcPr>
            <w:tcW w:w="536" w:type="pct"/>
            <w:vAlign w:val="center"/>
          </w:tcPr>
          <w:p w14:paraId="78E6B56A" w14:textId="77777777" w:rsidR="00401546" w:rsidRPr="00A9330B" w:rsidRDefault="00401546" w:rsidP="0013556B">
            <w:pPr>
              <w:spacing w:before="60"/>
              <w:rPr>
                <w:rFonts w:cs="Arial"/>
                <w:b/>
                <w:sz w:val="18"/>
                <w:szCs w:val="18"/>
              </w:rPr>
            </w:pPr>
            <w:r w:rsidRPr="00A9330B">
              <w:rPr>
                <w:rFonts w:cs="Arial"/>
                <w:sz w:val="16"/>
                <w:szCs w:val="16"/>
              </w:rPr>
              <w:t>ponctuelle</w:t>
            </w:r>
          </w:p>
        </w:tc>
        <w:tc>
          <w:tcPr>
            <w:tcW w:w="616" w:type="pct"/>
            <w:vAlign w:val="center"/>
          </w:tcPr>
          <w:p w14:paraId="45CAAEB9" w14:textId="77777777" w:rsidR="00401546" w:rsidRPr="00A9330B" w:rsidRDefault="00401546" w:rsidP="0013556B">
            <w:pPr>
              <w:spacing w:before="60"/>
              <w:rPr>
                <w:rFonts w:cs="Arial"/>
                <w:b/>
                <w:sz w:val="18"/>
                <w:szCs w:val="18"/>
              </w:rPr>
            </w:pPr>
            <w:r w:rsidRPr="00A9330B">
              <w:rPr>
                <w:rFonts w:cs="Arial"/>
                <w:sz w:val="16"/>
                <w:szCs w:val="16"/>
              </w:rPr>
              <w:t xml:space="preserve">temporaire </w:t>
            </w:r>
          </w:p>
        </w:tc>
        <w:tc>
          <w:tcPr>
            <w:tcW w:w="496" w:type="pct"/>
            <w:vAlign w:val="center"/>
          </w:tcPr>
          <w:p w14:paraId="0B9DDBEE" w14:textId="77777777" w:rsidR="00401546" w:rsidRPr="00A9330B" w:rsidRDefault="00401546" w:rsidP="0013556B">
            <w:pPr>
              <w:spacing w:before="60"/>
              <w:rPr>
                <w:rFonts w:cs="Arial"/>
                <w:b/>
                <w:sz w:val="18"/>
                <w:szCs w:val="18"/>
              </w:rPr>
            </w:pPr>
            <w:r w:rsidRPr="00A9330B">
              <w:rPr>
                <w:rFonts w:cs="Arial"/>
                <w:sz w:val="16"/>
                <w:szCs w:val="16"/>
              </w:rPr>
              <w:t>Faible</w:t>
            </w:r>
          </w:p>
        </w:tc>
      </w:tr>
      <w:tr w:rsidR="00401546" w:rsidRPr="00A9330B" w14:paraId="5CB0513A" w14:textId="77777777" w:rsidTr="0045250F">
        <w:tc>
          <w:tcPr>
            <w:tcW w:w="1028" w:type="pct"/>
            <w:vMerge/>
          </w:tcPr>
          <w:p w14:paraId="3B697FBE" w14:textId="77777777" w:rsidR="00401546" w:rsidRPr="00A9330B" w:rsidRDefault="00401546" w:rsidP="0013556B">
            <w:pPr>
              <w:spacing w:before="60"/>
              <w:rPr>
                <w:rFonts w:cs="Arial"/>
                <w:sz w:val="18"/>
                <w:szCs w:val="18"/>
              </w:rPr>
            </w:pPr>
          </w:p>
        </w:tc>
        <w:tc>
          <w:tcPr>
            <w:tcW w:w="1478" w:type="pct"/>
          </w:tcPr>
          <w:p w14:paraId="59567BEE" w14:textId="77777777" w:rsidR="00401546" w:rsidRPr="00A9330B" w:rsidRDefault="00401546" w:rsidP="000F7BA7">
            <w:pPr>
              <w:spacing w:before="60"/>
              <w:jc w:val="both"/>
              <w:rPr>
                <w:rFonts w:cs="Arial"/>
                <w:sz w:val="18"/>
                <w:szCs w:val="18"/>
              </w:rPr>
            </w:pPr>
            <w:r w:rsidRPr="00A9330B">
              <w:rPr>
                <w:rFonts w:cs="Arial"/>
                <w:b/>
                <w:sz w:val="18"/>
                <w:szCs w:val="18"/>
              </w:rPr>
              <w:t>Déplacement éventuel d’activités</w:t>
            </w:r>
            <w:r w:rsidRPr="00A9330B">
              <w:rPr>
                <w:rFonts w:cs="Arial"/>
                <w:sz w:val="18"/>
                <w:szCs w:val="18"/>
              </w:rPr>
              <w:t>, de biens et de personnes au fur et à mesure de la réalisation des travaux</w:t>
            </w:r>
          </w:p>
        </w:tc>
        <w:tc>
          <w:tcPr>
            <w:tcW w:w="410" w:type="pct"/>
            <w:vAlign w:val="center"/>
          </w:tcPr>
          <w:p w14:paraId="65DD467B" w14:textId="77777777" w:rsidR="00401546" w:rsidRPr="00A9330B" w:rsidRDefault="00401546" w:rsidP="0013556B">
            <w:pPr>
              <w:spacing w:before="60"/>
              <w:rPr>
                <w:rFonts w:cs="Arial"/>
                <w:b/>
                <w:sz w:val="18"/>
                <w:szCs w:val="18"/>
              </w:rPr>
            </w:pPr>
            <w:r w:rsidRPr="00A9330B">
              <w:rPr>
                <w:rFonts w:cs="Arial"/>
                <w:sz w:val="16"/>
                <w:szCs w:val="16"/>
              </w:rPr>
              <w:t>-</w:t>
            </w:r>
          </w:p>
        </w:tc>
        <w:tc>
          <w:tcPr>
            <w:tcW w:w="436" w:type="pct"/>
            <w:vAlign w:val="center"/>
          </w:tcPr>
          <w:p w14:paraId="74E5C189" w14:textId="77777777" w:rsidR="00401546" w:rsidRPr="00A9330B" w:rsidRDefault="00401546" w:rsidP="0013556B">
            <w:pPr>
              <w:spacing w:before="60"/>
              <w:rPr>
                <w:rFonts w:cs="Arial"/>
                <w:b/>
                <w:sz w:val="18"/>
                <w:szCs w:val="18"/>
              </w:rPr>
            </w:pPr>
            <w:r w:rsidRPr="00A9330B">
              <w:rPr>
                <w:rFonts w:cs="Arial"/>
                <w:sz w:val="16"/>
                <w:szCs w:val="16"/>
              </w:rPr>
              <w:t>moyenne</w:t>
            </w:r>
          </w:p>
        </w:tc>
        <w:tc>
          <w:tcPr>
            <w:tcW w:w="536" w:type="pct"/>
            <w:vAlign w:val="center"/>
          </w:tcPr>
          <w:p w14:paraId="2D3E9158" w14:textId="77777777" w:rsidR="00401546" w:rsidRPr="00A9330B" w:rsidRDefault="00401546" w:rsidP="0013556B">
            <w:pPr>
              <w:spacing w:before="60"/>
              <w:rPr>
                <w:rFonts w:cs="Arial"/>
                <w:b/>
                <w:sz w:val="18"/>
                <w:szCs w:val="18"/>
              </w:rPr>
            </w:pPr>
            <w:r w:rsidRPr="00A9330B">
              <w:rPr>
                <w:rFonts w:cs="Arial"/>
                <w:sz w:val="16"/>
                <w:szCs w:val="16"/>
              </w:rPr>
              <w:t>locale</w:t>
            </w:r>
          </w:p>
        </w:tc>
        <w:tc>
          <w:tcPr>
            <w:tcW w:w="616" w:type="pct"/>
            <w:vAlign w:val="center"/>
          </w:tcPr>
          <w:p w14:paraId="545A9816" w14:textId="77777777" w:rsidR="00401546" w:rsidRPr="00A9330B" w:rsidRDefault="00401546" w:rsidP="0013556B">
            <w:pPr>
              <w:spacing w:before="60"/>
              <w:rPr>
                <w:rFonts w:cs="Arial"/>
                <w:b/>
                <w:sz w:val="18"/>
                <w:szCs w:val="18"/>
              </w:rPr>
            </w:pPr>
            <w:r w:rsidRPr="00A9330B">
              <w:rPr>
                <w:rFonts w:cs="Arial"/>
                <w:sz w:val="16"/>
                <w:szCs w:val="16"/>
              </w:rPr>
              <w:t xml:space="preserve">permanente </w:t>
            </w:r>
          </w:p>
        </w:tc>
        <w:tc>
          <w:tcPr>
            <w:tcW w:w="496" w:type="pct"/>
            <w:vAlign w:val="center"/>
          </w:tcPr>
          <w:p w14:paraId="328969E5" w14:textId="77777777" w:rsidR="00401546" w:rsidRPr="00A9330B" w:rsidRDefault="00401546" w:rsidP="0013556B">
            <w:pPr>
              <w:spacing w:before="60"/>
              <w:rPr>
                <w:rFonts w:cs="Arial"/>
                <w:b/>
                <w:sz w:val="18"/>
                <w:szCs w:val="18"/>
              </w:rPr>
            </w:pPr>
            <w:r w:rsidRPr="00A9330B">
              <w:rPr>
                <w:rFonts w:cs="Arial"/>
                <w:sz w:val="16"/>
                <w:szCs w:val="16"/>
              </w:rPr>
              <w:t>Moyenne</w:t>
            </w:r>
          </w:p>
        </w:tc>
      </w:tr>
      <w:tr w:rsidR="00401546" w:rsidRPr="00A9330B" w14:paraId="03B6E306" w14:textId="77777777" w:rsidTr="0045250F">
        <w:tc>
          <w:tcPr>
            <w:tcW w:w="1028" w:type="pct"/>
            <w:vMerge/>
          </w:tcPr>
          <w:p w14:paraId="73291282" w14:textId="77777777" w:rsidR="00401546" w:rsidRPr="00A9330B" w:rsidRDefault="00401546" w:rsidP="0013556B">
            <w:pPr>
              <w:spacing w:before="60"/>
              <w:rPr>
                <w:rFonts w:cs="Arial"/>
                <w:sz w:val="18"/>
                <w:szCs w:val="18"/>
              </w:rPr>
            </w:pPr>
          </w:p>
        </w:tc>
        <w:tc>
          <w:tcPr>
            <w:tcW w:w="1478" w:type="pct"/>
          </w:tcPr>
          <w:p w14:paraId="09B7E969" w14:textId="77777777" w:rsidR="00401546" w:rsidRPr="00A9330B" w:rsidRDefault="00401546" w:rsidP="000F7BA7">
            <w:pPr>
              <w:spacing w:before="60"/>
              <w:jc w:val="both"/>
              <w:rPr>
                <w:rFonts w:cs="Arial"/>
                <w:sz w:val="18"/>
                <w:szCs w:val="18"/>
              </w:rPr>
            </w:pPr>
            <w:r w:rsidRPr="00A9330B">
              <w:rPr>
                <w:rFonts w:cs="Arial"/>
                <w:sz w:val="18"/>
                <w:szCs w:val="18"/>
              </w:rPr>
              <w:t>Perturbation des services de réseaux d’eau, d’électricité et de téléphonie</w:t>
            </w:r>
          </w:p>
        </w:tc>
        <w:tc>
          <w:tcPr>
            <w:tcW w:w="410" w:type="pct"/>
            <w:vAlign w:val="center"/>
          </w:tcPr>
          <w:p w14:paraId="6F820F13" w14:textId="77777777" w:rsidR="00401546" w:rsidRPr="00A9330B" w:rsidRDefault="00401546" w:rsidP="0013556B">
            <w:pPr>
              <w:spacing w:before="60"/>
              <w:rPr>
                <w:rFonts w:cs="Arial"/>
                <w:sz w:val="18"/>
                <w:szCs w:val="18"/>
              </w:rPr>
            </w:pPr>
            <w:r w:rsidRPr="00A9330B">
              <w:rPr>
                <w:rFonts w:cs="Arial"/>
                <w:sz w:val="16"/>
                <w:szCs w:val="16"/>
              </w:rPr>
              <w:t>-</w:t>
            </w:r>
          </w:p>
        </w:tc>
        <w:tc>
          <w:tcPr>
            <w:tcW w:w="436" w:type="pct"/>
            <w:vAlign w:val="center"/>
          </w:tcPr>
          <w:p w14:paraId="6B893300" w14:textId="77777777" w:rsidR="00401546" w:rsidRPr="00A9330B" w:rsidRDefault="00401546" w:rsidP="0013556B">
            <w:pPr>
              <w:spacing w:before="60"/>
              <w:rPr>
                <w:rFonts w:cs="Arial"/>
                <w:sz w:val="18"/>
                <w:szCs w:val="18"/>
              </w:rPr>
            </w:pPr>
            <w:r w:rsidRPr="00A9330B">
              <w:rPr>
                <w:rFonts w:cs="Arial"/>
                <w:sz w:val="16"/>
                <w:szCs w:val="16"/>
              </w:rPr>
              <w:t>moyenne</w:t>
            </w:r>
          </w:p>
        </w:tc>
        <w:tc>
          <w:tcPr>
            <w:tcW w:w="536" w:type="pct"/>
            <w:vAlign w:val="center"/>
          </w:tcPr>
          <w:p w14:paraId="097684CF" w14:textId="77777777" w:rsidR="00401546" w:rsidRPr="00A9330B" w:rsidRDefault="00401546" w:rsidP="0013556B">
            <w:pPr>
              <w:spacing w:before="60"/>
              <w:rPr>
                <w:rFonts w:cs="Arial"/>
                <w:sz w:val="18"/>
                <w:szCs w:val="18"/>
              </w:rPr>
            </w:pPr>
            <w:r w:rsidRPr="00A9330B">
              <w:rPr>
                <w:rFonts w:cs="Arial"/>
                <w:sz w:val="16"/>
                <w:szCs w:val="16"/>
              </w:rPr>
              <w:t>locale</w:t>
            </w:r>
          </w:p>
        </w:tc>
        <w:tc>
          <w:tcPr>
            <w:tcW w:w="616" w:type="pct"/>
            <w:vAlign w:val="center"/>
          </w:tcPr>
          <w:p w14:paraId="22D1ABC7" w14:textId="77777777" w:rsidR="00401546" w:rsidRPr="00A9330B" w:rsidRDefault="00401546" w:rsidP="0013556B">
            <w:pPr>
              <w:spacing w:before="60"/>
              <w:rPr>
                <w:rFonts w:cs="Arial"/>
                <w:sz w:val="18"/>
                <w:szCs w:val="18"/>
              </w:rPr>
            </w:pPr>
            <w:r w:rsidRPr="00A9330B">
              <w:rPr>
                <w:rFonts w:cs="Arial"/>
                <w:sz w:val="16"/>
                <w:szCs w:val="16"/>
              </w:rPr>
              <w:t xml:space="preserve">permanente </w:t>
            </w:r>
          </w:p>
        </w:tc>
        <w:tc>
          <w:tcPr>
            <w:tcW w:w="496" w:type="pct"/>
            <w:vAlign w:val="center"/>
          </w:tcPr>
          <w:p w14:paraId="60B7BC12" w14:textId="77777777" w:rsidR="00401546" w:rsidRPr="00A9330B" w:rsidRDefault="00401546" w:rsidP="0013556B">
            <w:pPr>
              <w:spacing w:before="60"/>
              <w:rPr>
                <w:rFonts w:cs="Arial"/>
                <w:sz w:val="18"/>
                <w:szCs w:val="18"/>
              </w:rPr>
            </w:pPr>
            <w:r w:rsidRPr="00A9330B">
              <w:rPr>
                <w:rFonts w:cs="Arial"/>
                <w:sz w:val="16"/>
                <w:szCs w:val="16"/>
              </w:rPr>
              <w:t>Moyenne</w:t>
            </w:r>
          </w:p>
        </w:tc>
      </w:tr>
      <w:tr w:rsidR="00401546" w:rsidRPr="00A9330B" w14:paraId="0A2778ED" w14:textId="77777777" w:rsidTr="0045250F">
        <w:tc>
          <w:tcPr>
            <w:tcW w:w="1028" w:type="pct"/>
            <w:vMerge/>
          </w:tcPr>
          <w:p w14:paraId="1A30008C" w14:textId="77777777" w:rsidR="00401546" w:rsidRPr="00A9330B" w:rsidRDefault="00401546" w:rsidP="0013556B">
            <w:pPr>
              <w:spacing w:before="60"/>
              <w:rPr>
                <w:rFonts w:cs="Arial"/>
                <w:sz w:val="18"/>
                <w:szCs w:val="18"/>
              </w:rPr>
            </w:pPr>
          </w:p>
        </w:tc>
        <w:tc>
          <w:tcPr>
            <w:tcW w:w="1478" w:type="pct"/>
          </w:tcPr>
          <w:p w14:paraId="3E91CA82" w14:textId="77777777" w:rsidR="00401546" w:rsidRPr="00A9330B" w:rsidRDefault="00401546" w:rsidP="000F7BA7">
            <w:pPr>
              <w:spacing w:before="60"/>
              <w:jc w:val="both"/>
              <w:rPr>
                <w:rFonts w:cs="Arial"/>
                <w:sz w:val="18"/>
                <w:szCs w:val="18"/>
              </w:rPr>
            </w:pPr>
            <w:r w:rsidRPr="00A9330B">
              <w:rPr>
                <w:rFonts w:cs="Arial"/>
                <w:sz w:val="18"/>
                <w:szCs w:val="18"/>
              </w:rPr>
              <w:t>Augmentation ponctuelle du risque d’accident de circulation dû au trafic des engins et à l’encombrement de la route</w:t>
            </w:r>
          </w:p>
        </w:tc>
        <w:tc>
          <w:tcPr>
            <w:tcW w:w="410" w:type="pct"/>
            <w:vAlign w:val="center"/>
          </w:tcPr>
          <w:p w14:paraId="7A12BA49" w14:textId="77777777" w:rsidR="00401546" w:rsidRPr="00A9330B" w:rsidRDefault="00401546" w:rsidP="0013556B">
            <w:pPr>
              <w:spacing w:before="60"/>
              <w:rPr>
                <w:rFonts w:cs="Arial"/>
                <w:sz w:val="18"/>
                <w:szCs w:val="18"/>
              </w:rPr>
            </w:pPr>
            <w:r w:rsidRPr="00A9330B">
              <w:rPr>
                <w:rFonts w:cs="Arial"/>
                <w:sz w:val="16"/>
                <w:szCs w:val="16"/>
              </w:rPr>
              <w:t>-</w:t>
            </w:r>
          </w:p>
        </w:tc>
        <w:tc>
          <w:tcPr>
            <w:tcW w:w="436" w:type="pct"/>
            <w:vAlign w:val="center"/>
          </w:tcPr>
          <w:p w14:paraId="3B81734A" w14:textId="77777777" w:rsidR="00401546" w:rsidRPr="00A9330B" w:rsidRDefault="00401546" w:rsidP="0013556B">
            <w:pPr>
              <w:spacing w:before="60"/>
              <w:rPr>
                <w:rFonts w:cs="Arial"/>
                <w:sz w:val="18"/>
                <w:szCs w:val="18"/>
              </w:rPr>
            </w:pPr>
            <w:r w:rsidRPr="00A9330B">
              <w:rPr>
                <w:rFonts w:cs="Arial"/>
                <w:sz w:val="16"/>
                <w:szCs w:val="16"/>
              </w:rPr>
              <w:t>moyenne</w:t>
            </w:r>
          </w:p>
        </w:tc>
        <w:tc>
          <w:tcPr>
            <w:tcW w:w="536" w:type="pct"/>
            <w:vAlign w:val="center"/>
          </w:tcPr>
          <w:p w14:paraId="70309F98" w14:textId="77777777" w:rsidR="00401546" w:rsidRPr="00A9330B" w:rsidRDefault="00401546" w:rsidP="0013556B">
            <w:pPr>
              <w:spacing w:before="60"/>
              <w:rPr>
                <w:rFonts w:cs="Arial"/>
                <w:sz w:val="18"/>
                <w:szCs w:val="18"/>
              </w:rPr>
            </w:pPr>
            <w:r w:rsidRPr="00A9330B">
              <w:rPr>
                <w:rFonts w:cs="Arial"/>
                <w:sz w:val="16"/>
                <w:szCs w:val="16"/>
              </w:rPr>
              <w:t>locale</w:t>
            </w:r>
          </w:p>
        </w:tc>
        <w:tc>
          <w:tcPr>
            <w:tcW w:w="616" w:type="pct"/>
            <w:vAlign w:val="center"/>
          </w:tcPr>
          <w:p w14:paraId="14676F86" w14:textId="77777777" w:rsidR="00401546" w:rsidRPr="00A9330B" w:rsidRDefault="00401546" w:rsidP="0013556B">
            <w:pPr>
              <w:spacing w:before="60"/>
              <w:rPr>
                <w:rFonts w:cs="Arial"/>
                <w:sz w:val="18"/>
                <w:szCs w:val="18"/>
              </w:rPr>
            </w:pPr>
            <w:r w:rsidRPr="00A9330B">
              <w:rPr>
                <w:rFonts w:cs="Arial"/>
                <w:sz w:val="16"/>
                <w:szCs w:val="16"/>
              </w:rPr>
              <w:t xml:space="preserve">permanente </w:t>
            </w:r>
          </w:p>
        </w:tc>
        <w:tc>
          <w:tcPr>
            <w:tcW w:w="496" w:type="pct"/>
            <w:vAlign w:val="center"/>
          </w:tcPr>
          <w:p w14:paraId="5F2E3155" w14:textId="77777777" w:rsidR="00401546" w:rsidRPr="00A9330B" w:rsidRDefault="00401546" w:rsidP="0013556B">
            <w:pPr>
              <w:spacing w:before="60"/>
              <w:rPr>
                <w:rFonts w:cs="Arial"/>
                <w:sz w:val="18"/>
                <w:szCs w:val="18"/>
              </w:rPr>
            </w:pPr>
            <w:r w:rsidRPr="00A9330B">
              <w:rPr>
                <w:rFonts w:cs="Arial"/>
                <w:sz w:val="16"/>
                <w:szCs w:val="16"/>
              </w:rPr>
              <w:t>Moyenne</w:t>
            </w:r>
          </w:p>
        </w:tc>
      </w:tr>
      <w:tr w:rsidR="00401546" w:rsidRPr="00A9330B" w14:paraId="6E9DC3ED" w14:textId="77777777" w:rsidTr="0045250F">
        <w:tc>
          <w:tcPr>
            <w:tcW w:w="1028" w:type="pct"/>
            <w:vMerge/>
          </w:tcPr>
          <w:p w14:paraId="2756D6EB" w14:textId="77777777" w:rsidR="00401546" w:rsidRPr="00A9330B" w:rsidRDefault="00401546" w:rsidP="0013556B">
            <w:pPr>
              <w:spacing w:before="60"/>
              <w:rPr>
                <w:rFonts w:cs="Arial"/>
                <w:sz w:val="18"/>
                <w:szCs w:val="18"/>
              </w:rPr>
            </w:pPr>
          </w:p>
        </w:tc>
        <w:tc>
          <w:tcPr>
            <w:tcW w:w="1478" w:type="pct"/>
          </w:tcPr>
          <w:p w14:paraId="497FBF66" w14:textId="77777777" w:rsidR="00401546" w:rsidRPr="00A9330B" w:rsidRDefault="00401546" w:rsidP="000F7BA7">
            <w:pPr>
              <w:spacing w:before="60"/>
              <w:jc w:val="both"/>
              <w:rPr>
                <w:rFonts w:cs="Arial"/>
                <w:sz w:val="18"/>
                <w:szCs w:val="18"/>
              </w:rPr>
            </w:pPr>
            <w:r w:rsidRPr="00A9330B">
              <w:rPr>
                <w:rFonts w:cs="Arial"/>
                <w:sz w:val="18"/>
                <w:szCs w:val="18"/>
              </w:rPr>
              <w:t>Accident de travail</w:t>
            </w:r>
          </w:p>
        </w:tc>
        <w:tc>
          <w:tcPr>
            <w:tcW w:w="410" w:type="pct"/>
            <w:vAlign w:val="center"/>
          </w:tcPr>
          <w:p w14:paraId="44DE9794" w14:textId="77777777" w:rsidR="00401546" w:rsidRPr="00A9330B" w:rsidRDefault="00401546" w:rsidP="0013556B">
            <w:pPr>
              <w:spacing w:before="60"/>
              <w:rPr>
                <w:rFonts w:cs="Arial"/>
                <w:sz w:val="18"/>
                <w:szCs w:val="18"/>
              </w:rPr>
            </w:pPr>
            <w:r w:rsidRPr="00A9330B">
              <w:rPr>
                <w:rFonts w:cs="Arial"/>
                <w:sz w:val="16"/>
                <w:szCs w:val="16"/>
              </w:rPr>
              <w:t>-</w:t>
            </w:r>
          </w:p>
        </w:tc>
        <w:tc>
          <w:tcPr>
            <w:tcW w:w="436" w:type="pct"/>
            <w:vAlign w:val="center"/>
          </w:tcPr>
          <w:p w14:paraId="2A69D558" w14:textId="77777777" w:rsidR="00401546" w:rsidRPr="00A9330B" w:rsidRDefault="00401546" w:rsidP="0013556B">
            <w:pPr>
              <w:spacing w:before="60"/>
              <w:rPr>
                <w:rFonts w:cs="Arial"/>
                <w:sz w:val="18"/>
                <w:szCs w:val="18"/>
              </w:rPr>
            </w:pPr>
            <w:r w:rsidRPr="00A9330B">
              <w:rPr>
                <w:rFonts w:cs="Arial"/>
                <w:sz w:val="16"/>
                <w:szCs w:val="16"/>
              </w:rPr>
              <w:t>moyenne</w:t>
            </w:r>
          </w:p>
        </w:tc>
        <w:tc>
          <w:tcPr>
            <w:tcW w:w="536" w:type="pct"/>
            <w:vAlign w:val="center"/>
          </w:tcPr>
          <w:p w14:paraId="392A5CDF" w14:textId="77777777" w:rsidR="00401546" w:rsidRPr="00A9330B" w:rsidRDefault="00401546" w:rsidP="0013556B">
            <w:pPr>
              <w:spacing w:before="60"/>
              <w:rPr>
                <w:rFonts w:cs="Arial"/>
                <w:sz w:val="18"/>
                <w:szCs w:val="18"/>
              </w:rPr>
            </w:pPr>
            <w:r w:rsidRPr="00A9330B">
              <w:rPr>
                <w:rFonts w:cs="Arial"/>
                <w:sz w:val="16"/>
                <w:szCs w:val="16"/>
              </w:rPr>
              <w:t>locale</w:t>
            </w:r>
          </w:p>
        </w:tc>
        <w:tc>
          <w:tcPr>
            <w:tcW w:w="616" w:type="pct"/>
            <w:vAlign w:val="center"/>
          </w:tcPr>
          <w:p w14:paraId="2939B0ED" w14:textId="77777777" w:rsidR="00401546" w:rsidRPr="00A9330B" w:rsidRDefault="00401546" w:rsidP="0013556B">
            <w:pPr>
              <w:spacing w:before="60"/>
              <w:rPr>
                <w:rFonts w:cs="Arial"/>
                <w:sz w:val="18"/>
                <w:szCs w:val="18"/>
              </w:rPr>
            </w:pPr>
            <w:r w:rsidRPr="00A9330B">
              <w:rPr>
                <w:rFonts w:cs="Arial"/>
                <w:sz w:val="16"/>
                <w:szCs w:val="16"/>
              </w:rPr>
              <w:t xml:space="preserve">permanente </w:t>
            </w:r>
          </w:p>
        </w:tc>
        <w:tc>
          <w:tcPr>
            <w:tcW w:w="496" w:type="pct"/>
            <w:vAlign w:val="center"/>
          </w:tcPr>
          <w:p w14:paraId="25454CBD" w14:textId="77777777" w:rsidR="00401546" w:rsidRPr="00A9330B" w:rsidRDefault="00401546" w:rsidP="0013556B">
            <w:pPr>
              <w:spacing w:before="60"/>
              <w:rPr>
                <w:rFonts w:cs="Arial"/>
                <w:sz w:val="18"/>
                <w:szCs w:val="18"/>
              </w:rPr>
            </w:pPr>
            <w:r w:rsidRPr="00A9330B">
              <w:rPr>
                <w:rFonts w:cs="Arial"/>
                <w:sz w:val="16"/>
                <w:szCs w:val="16"/>
              </w:rPr>
              <w:t>Moyenne</w:t>
            </w:r>
          </w:p>
        </w:tc>
      </w:tr>
      <w:tr w:rsidR="00401546" w:rsidRPr="00A9330B" w14:paraId="01E3DB6A" w14:textId="77777777" w:rsidTr="0045250F">
        <w:tc>
          <w:tcPr>
            <w:tcW w:w="1028" w:type="pct"/>
            <w:vMerge/>
          </w:tcPr>
          <w:p w14:paraId="35725010" w14:textId="77777777" w:rsidR="00401546" w:rsidRPr="00A9330B" w:rsidRDefault="00401546" w:rsidP="0013556B">
            <w:pPr>
              <w:spacing w:before="60"/>
              <w:rPr>
                <w:rFonts w:cs="Arial"/>
                <w:sz w:val="18"/>
                <w:szCs w:val="18"/>
              </w:rPr>
            </w:pPr>
          </w:p>
        </w:tc>
        <w:tc>
          <w:tcPr>
            <w:tcW w:w="1478" w:type="pct"/>
          </w:tcPr>
          <w:p w14:paraId="7D763E1D" w14:textId="77777777" w:rsidR="00401546" w:rsidRPr="00A9330B" w:rsidRDefault="00401546" w:rsidP="000F7BA7">
            <w:pPr>
              <w:spacing w:before="60"/>
              <w:jc w:val="both"/>
              <w:rPr>
                <w:rFonts w:cs="Arial"/>
                <w:sz w:val="18"/>
                <w:szCs w:val="18"/>
              </w:rPr>
            </w:pPr>
            <w:r w:rsidRPr="00A9330B">
              <w:rPr>
                <w:rFonts w:cs="Arial"/>
                <w:sz w:val="18"/>
                <w:szCs w:val="18"/>
              </w:rPr>
              <w:t>Transmission de maladies contagieuses entre ouvriers et populations autochtones</w:t>
            </w:r>
          </w:p>
        </w:tc>
        <w:tc>
          <w:tcPr>
            <w:tcW w:w="410" w:type="pct"/>
            <w:vAlign w:val="center"/>
          </w:tcPr>
          <w:p w14:paraId="3C39E99A" w14:textId="77777777" w:rsidR="00401546" w:rsidRPr="00A9330B" w:rsidRDefault="00401546" w:rsidP="0013556B">
            <w:pPr>
              <w:spacing w:before="60"/>
              <w:rPr>
                <w:rFonts w:cs="Arial"/>
                <w:sz w:val="18"/>
                <w:szCs w:val="18"/>
              </w:rPr>
            </w:pPr>
            <w:r w:rsidRPr="00A9330B">
              <w:rPr>
                <w:rFonts w:cs="Arial"/>
                <w:b/>
                <w:sz w:val="16"/>
                <w:szCs w:val="16"/>
              </w:rPr>
              <w:t>-</w:t>
            </w:r>
          </w:p>
        </w:tc>
        <w:tc>
          <w:tcPr>
            <w:tcW w:w="436" w:type="pct"/>
            <w:vAlign w:val="center"/>
          </w:tcPr>
          <w:p w14:paraId="14C39795" w14:textId="77777777" w:rsidR="00401546" w:rsidRPr="00A9330B" w:rsidRDefault="00401546" w:rsidP="0013556B">
            <w:pPr>
              <w:spacing w:before="60"/>
              <w:rPr>
                <w:rFonts w:cs="Arial"/>
                <w:sz w:val="18"/>
                <w:szCs w:val="18"/>
              </w:rPr>
            </w:pPr>
            <w:r w:rsidRPr="00A9330B">
              <w:rPr>
                <w:rFonts w:cs="Arial"/>
                <w:sz w:val="16"/>
                <w:szCs w:val="16"/>
              </w:rPr>
              <w:t>moyenne</w:t>
            </w:r>
          </w:p>
        </w:tc>
        <w:tc>
          <w:tcPr>
            <w:tcW w:w="536" w:type="pct"/>
            <w:vAlign w:val="center"/>
          </w:tcPr>
          <w:p w14:paraId="2E9AF26A" w14:textId="77777777" w:rsidR="00401546" w:rsidRPr="00A9330B" w:rsidRDefault="00401546" w:rsidP="0013556B">
            <w:pPr>
              <w:spacing w:before="60"/>
              <w:rPr>
                <w:rFonts w:cs="Arial"/>
                <w:sz w:val="18"/>
                <w:szCs w:val="18"/>
              </w:rPr>
            </w:pPr>
            <w:r w:rsidRPr="00A9330B">
              <w:rPr>
                <w:rFonts w:cs="Arial"/>
                <w:sz w:val="16"/>
                <w:szCs w:val="16"/>
              </w:rPr>
              <w:t>locale</w:t>
            </w:r>
          </w:p>
        </w:tc>
        <w:tc>
          <w:tcPr>
            <w:tcW w:w="616" w:type="pct"/>
            <w:vAlign w:val="center"/>
          </w:tcPr>
          <w:p w14:paraId="0952AAB2" w14:textId="77777777" w:rsidR="00401546" w:rsidRPr="00A9330B" w:rsidRDefault="00401546" w:rsidP="0013556B">
            <w:pPr>
              <w:spacing w:before="60"/>
              <w:rPr>
                <w:rFonts w:cs="Arial"/>
                <w:sz w:val="18"/>
                <w:szCs w:val="18"/>
              </w:rPr>
            </w:pPr>
            <w:r w:rsidRPr="00A9330B">
              <w:rPr>
                <w:rFonts w:cs="Arial"/>
                <w:sz w:val="16"/>
                <w:szCs w:val="16"/>
              </w:rPr>
              <w:t xml:space="preserve">temporaire </w:t>
            </w:r>
          </w:p>
        </w:tc>
        <w:tc>
          <w:tcPr>
            <w:tcW w:w="496" w:type="pct"/>
            <w:vAlign w:val="center"/>
          </w:tcPr>
          <w:p w14:paraId="436B2E81" w14:textId="77777777" w:rsidR="00401546" w:rsidRPr="00A9330B" w:rsidRDefault="00401546" w:rsidP="0013556B">
            <w:pPr>
              <w:spacing w:before="60"/>
              <w:rPr>
                <w:rFonts w:cs="Arial"/>
                <w:sz w:val="18"/>
                <w:szCs w:val="18"/>
              </w:rPr>
            </w:pPr>
            <w:r w:rsidRPr="00A9330B">
              <w:rPr>
                <w:rFonts w:cs="Arial"/>
                <w:sz w:val="16"/>
                <w:szCs w:val="16"/>
              </w:rPr>
              <w:t>Faible</w:t>
            </w:r>
          </w:p>
        </w:tc>
      </w:tr>
      <w:tr w:rsidR="00401546" w:rsidRPr="00A9330B" w14:paraId="29D2D0DE" w14:textId="77777777" w:rsidTr="0045250F">
        <w:tc>
          <w:tcPr>
            <w:tcW w:w="1028" w:type="pct"/>
            <w:vMerge/>
          </w:tcPr>
          <w:p w14:paraId="1D652F1A" w14:textId="77777777" w:rsidR="00401546" w:rsidRPr="00A9330B" w:rsidRDefault="00401546" w:rsidP="0013556B">
            <w:pPr>
              <w:spacing w:before="60"/>
              <w:rPr>
                <w:rFonts w:cs="Arial"/>
                <w:sz w:val="18"/>
                <w:szCs w:val="18"/>
              </w:rPr>
            </w:pPr>
          </w:p>
        </w:tc>
        <w:tc>
          <w:tcPr>
            <w:tcW w:w="1478" w:type="pct"/>
          </w:tcPr>
          <w:p w14:paraId="4DCCB7C3" w14:textId="77777777" w:rsidR="00401546" w:rsidRPr="00A9330B" w:rsidRDefault="00401546" w:rsidP="000F7BA7">
            <w:pPr>
              <w:spacing w:before="60"/>
              <w:jc w:val="both"/>
              <w:rPr>
                <w:rFonts w:cs="Arial"/>
                <w:sz w:val="18"/>
                <w:szCs w:val="18"/>
              </w:rPr>
            </w:pPr>
            <w:r w:rsidRPr="00A9330B">
              <w:rPr>
                <w:rFonts w:cs="Arial"/>
                <w:bCs/>
                <w:sz w:val="18"/>
                <w:szCs w:val="18"/>
              </w:rPr>
              <w:t>Développement d’interrelations et de rencontres interpersonnelles pouvant induire des formes de déviance sociale (prostitution, sexualité occasionnelle, grossesse non désirée, IST VIH SIDA)</w:t>
            </w:r>
          </w:p>
        </w:tc>
        <w:tc>
          <w:tcPr>
            <w:tcW w:w="410" w:type="pct"/>
            <w:vAlign w:val="center"/>
          </w:tcPr>
          <w:p w14:paraId="41B290FA" w14:textId="77777777" w:rsidR="00401546" w:rsidRPr="00A9330B" w:rsidRDefault="00401546" w:rsidP="0013556B">
            <w:pPr>
              <w:spacing w:before="60"/>
              <w:rPr>
                <w:rFonts w:cs="Arial"/>
                <w:sz w:val="18"/>
                <w:szCs w:val="18"/>
              </w:rPr>
            </w:pPr>
            <w:r w:rsidRPr="00A9330B">
              <w:rPr>
                <w:rFonts w:cs="Arial"/>
                <w:b/>
                <w:sz w:val="16"/>
                <w:szCs w:val="16"/>
              </w:rPr>
              <w:t>-</w:t>
            </w:r>
          </w:p>
        </w:tc>
        <w:tc>
          <w:tcPr>
            <w:tcW w:w="436" w:type="pct"/>
            <w:vAlign w:val="center"/>
          </w:tcPr>
          <w:p w14:paraId="7A709830" w14:textId="77777777" w:rsidR="00401546" w:rsidRPr="00A9330B" w:rsidRDefault="00401546" w:rsidP="0013556B">
            <w:pPr>
              <w:spacing w:before="60"/>
              <w:rPr>
                <w:rFonts w:cs="Arial"/>
                <w:sz w:val="18"/>
                <w:szCs w:val="18"/>
              </w:rPr>
            </w:pPr>
            <w:r w:rsidRPr="00A9330B">
              <w:rPr>
                <w:rFonts w:cs="Arial"/>
                <w:sz w:val="16"/>
                <w:szCs w:val="16"/>
              </w:rPr>
              <w:t xml:space="preserve">moyenne  </w:t>
            </w:r>
          </w:p>
        </w:tc>
        <w:tc>
          <w:tcPr>
            <w:tcW w:w="536" w:type="pct"/>
            <w:vAlign w:val="center"/>
          </w:tcPr>
          <w:p w14:paraId="4C8B73AE" w14:textId="77777777" w:rsidR="00401546" w:rsidRPr="00A9330B" w:rsidRDefault="00401546" w:rsidP="0013556B">
            <w:pPr>
              <w:spacing w:before="60"/>
              <w:rPr>
                <w:rFonts w:cs="Arial"/>
                <w:sz w:val="18"/>
                <w:szCs w:val="18"/>
              </w:rPr>
            </w:pPr>
            <w:r w:rsidRPr="00A9330B">
              <w:rPr>
                <w:rFonts w:cs="Arial"/>
                <w:sz w:val="16"/>
                <w:szCs w:val="16"/>
              </w:rPr>
              <w:t xml:space="preserve">locale </w:t>
            </w:r>
          </w:p>
        </w:tc>
        <w:tc>
          <w:tcPr>
            <w:tcW w:w="616" w:type="pct"/>
            <w:vAlign w:val="center"/>
          </w:tcPr>
          <w:p w14:paraId="1CE1B8FF" w14:textId="77777777" w:rsidR="00401546" w:rsidRPr="00A9330B" w:rsidRDefault="00401546" w:rsidP="0013556B">
            <w:pPr>
              <w:spacing w:before="60"/>
              <w:rPr>
                <w:rFonts w:cs="Arial"/>
                <w:sz w:val="18"/>
                <w:szCs w:val="18"/>
              </w:rPr>
            </w:pPr>
            <w:r w:rsidRPr="00A9330B">
              <w:rPr>
                <w:rFonts w:cs="Arial"/>
                <w:sz w:val="16"/>
                <w:szCs w:val="16"/>
              </w:rPr>
              <w:t xml:space="preserve">Permanente </w:t>
            </w:r>
          </w:p>
        </w:tc>
        <w:tc>
          <w:tcPr>
            <w:tcW w:w="496" w:type="pct"/>
            <w:vAlign w:val="center"/>
          </w:tcPr>
          <w:p w14:paraId="1A82DFDD" w14:textId="77777777" w:rsidR="00401546" w:rsidRPr="00A9330B" w:rsidRDefault="00401546" w:rsidP="0013556B">
            <w:pPr>
              <w:spacing w:before="60"/>
              <w:rPr>
                <w:rFonts w:cs="Arial"/>
                <w:sz w:val="18"/>
                <w:szCs w:val="18"/>
              </w:rPr>
            </w:pPr>
            <w:r w:rsidRPr="00A9330B">
              <w:rPr>
                <w:rFonts w:cs="Arial"/>
                <w:sz w:val="16"/>
                <w:szCs w:val="16"/>
              </w:rPr>
              <w:t xml:space="preserve">Moyenne </w:t>
            </w:r>
          </w:p>
        </w:tc>
      </w:tr>
      <w:tr w:rsidR="00401546" w:rsidRPr="00A9330B" w14:paraId="4485E5F2" w14:textId="77777777" w:rsidTr="0045250F">
        <w:tc>
          <w:tcPr>
            <w:tcW w:w="1028" w:type="pct"/>
            <w:vMerge/>
          </w:tcPr>
          <w:p w14:paraId="17A3953D" w14:textId="77777777" w:rsidR="00401546" w:rsidRPr="00A9330B" w:rsidRDefault="00401546" w:rsidP="0013556B">
            <w:pPr>
              <w:spacing w:before="60"/>
              <w:rPr>
                <w:rFonts w:cs="Arial"/>
                <w:sz w:val="18"/>
                <w:szCs w:val="18"/>
              </w:rPr>
            </w:pPr>
          </w:p>
        </w:tc>
        <w:tc>
          <w:tcPr>
            <w:tcW w:w="1478" w:type="pct"/>
          </w:tcPr>
          <w:p w14:paraId="79A10EA9" w14:textId="77777777" w:rsidR="00401546" w:rsidRPr="00A9330B" w:rsidRDefault="00401546" w:rsidP="000F7BA7">
            <w:pPr>
              <w:spacing w:before="60"/>
              <w:jc w:val="both"/>
              <w:rPr>
                <w:rFonts w:cs="Arial"/>
                <w:sz w:val="18"/>
                <w:szCs w:val="18"/>
              </w:rPr>
            </w:pPr>
            <w:r w:rsidRPr="00A9330B">
              <w:rPr>
                <w:rFonts w:cs="Arial"/>
                <w:sz w:val="18"/>
                <w:szCs w:val="18"/>
              </w:rPr>
              <w:t>Augmentation ponctuelle du taux de grossesse non désirée et déscolarisation des filles</w:t>
            </w:r>
          </w:p>
        </w:tc>
        <w:tc>
          <w:tcPr>
            <w:tcW w:w="410" w:type="pct"/>
            <w:vAlign w:val="center"/>
          </w:tcPr>
          <w:p w14:paraId="32BC70DE" w14:textId="77777777" w:rsidR="00401546" w:rsidRPr="00A9330B" w:rsidRDefault="00401546" w:rsidP="0013556B">
            <w:pPr>
              <w:spacing w:before="60"/>
              <w:rPr>
                <w:rFonts w:cs="Arial"/>
                <w:sz w:val="18"/>
                <w:szCs w:val="18"/>
              </w:rPr>
            </w:pPr>
            <w:r w:rsidRPr="00A9330B">
              <w:rPr>
                <w:rFonts w:cs="Arial"/>
                <w:b/>
                <w:sz w:val="16"/>
                <w:szCs w:val="16"/>
              </w:rPr>
              <w:t>-</w:t>
            </w:r>
          </w:p>
        </w:tc>
        <w:tc>
          <w:tcPr>
            <w:tcW w:w="436" w:type="pct"/>
            <w:vAlign w:val="center"/>
          </w:tcPr>
          <w:p w14:paraId="0242B7B7" w14:textId="77777777" w:rsidR="00401546" w:rsidRPr="00A9330B" w:rsidRDefault="00401546" w:rsidP="0013556B">
            <w:pPr>
              <w:spacing w:before="60"/>
              <w:rPr>
                <w:rFonts w:cs="Arial"/>
                <w:sz w:val="18"/>
                <w:szCs w:val="18"/>
              </w:rPr>
            </w:pPr>
            <w:r w:rsidRPr="00A9330B">
              <w:rPr>
                <w:rFonts w:cs="Arial"/>
                <w:sz w:val="16"/>
                <w:szCs w:val="16"/>
              </w:rPr>
              <w:t xml:space="preserve">moyenne </w:t>
            </w:r>
          </w:p>
        </w:tc>
        <w:tc>
          <w:tcPr>
            <w:tcW w:w="536" w:type="pct"/>
            <w:vAlign w:val="center"/>
          </w:tcPr>
          <w:p w14:paraId="548E8A65" w14:textId="77777777" w:rsidR="00401546" w:rsidRPr="00A9330B" w:rsidRDefault="00401546" w:rsidP="0013556B">
            <w:pPr>
              <w:spacing w:before="60"/>
              <w:rPr>
                <w:rFonts w:cs="Arial"/>
                <w:sz w:val="18"/>
                <w:szCs w:val="18"/>
              </w:rPr>
            </w:pPr>
            <w:r w:rsidRPr="00A9330B">
              <w:rPr>
                <w:rFonts w:cs="Arial"/>
                <w:sz w:val="16"/>
                <w:szCs w:val="16"/>
              </w:rPr>
              <w:t>ponctuelle</w:t>
            </w:r>
          </w:p>
        </w:tc>
        <w:tc>
          <w:tcPr>
            <w:tcW w:w="616" w:type="pct"/>
            <w:vAlign w:val="center"/>
          </w:tcPr>
          <w:p w14:paraId="7B603741" w14:textId="77777777" w:rsidR="00401546" w:rsidRPr="00A9330B" w:rsidRDefault="00401546" w:rsidP="0013556B">
            <w:pPr>
              <w:spacing w:before="60"/>
              <w:rPr>
                <w:rFonts w:cs="Arial"/>
                <w:sz w:val="18"/>
                <w:szCs w:val="18"/>
              </w:rPr>
            </w:pPr>
            <w:r w:rsidRPr="00A9330B">
              <w:rPr>
                <w:rFonts w:cs="Arial"/>
                <w:sz w:val="16"/>
                <w:szCs w:val="16"/>
              </w:rPr>
              <w:t xml:space="preserve">temporaire </w:t>
            </w:r>
          </w:p>
        </w:tc>
        <w:tc>
          <w:tcPr>
            <w:tcW w:w="496" w:type="pct"/>
            <w:vAlign w:val="center"/>
          </w:tcPr>
          <w:p w14:paraId="3534C568" w14:textId="77777777" w:rsidR="00401546" w:rsidRPr="00A9330B" w:rsidRDefault="00401546" w:rsidP="0013556B">
            <w:pPr>
              <w:spacing w:before="60"/>
              <w:rPr>
                <w:rFonts w:cs="Arial"/>
                <w:sz w:val="18"/>
                <w:szCs w:val="18"/>
              </w:rPr>
            </w:pPr>
            <w:r w:rsidRPr="00A9330B">
              <w:rPr>
                <w:rFonts w:cs="Arial"/>
                <w:sz w:val="16"/>
                <w:szCs w:val="16"/>
              </w:rPr>
              <w:t>Faible</w:t>
            </w:r>
          </w:p>
        </w:tc>
      </w:tr>
      <w:tr w:rsidR="00401546" w:rsidRPr="00A9330B" w14:paraId="2DEEC065" w14:textId="77777777" w:rsidTr="0045250F">
        <w:tc>
          <w:tcPr>
            <w:tcW w:w="1028" w:type="pct"/>
            <w:vMerge/>
          </w:tcPr>
          <w:p w14:paraId="5FD35379" w14:textId="77777777" w:rsidR="00401546" w:rsidRPr="00A9330B" w:rsidRDefault="00401546" w:rsidP="0013556B">
            <w:pPr>
              <w:spacing w:before="60"/>
              <w:rPr>
                <w:rFonts w:cs="Arial"/>
                <w:sz w:val="18"/>
                <w:szCs w:val="18"/>
              </w:rPr>
            </w:pPr>
          </w:p>
        </w:tc>
        <w:tc>
          <w:tcPr>
            <w:tcW w:w="1478" w:type="pct"/>
          </w:tcPr>
          <w:p w14:paraId="49362BA3" w14:textId="77777777" w:rsidR="00401546" w:rsidRPr="00A9330B" w:rsidRDefault="00401546" w:rsidP="000F7BA7">
            <w:pPr>
              <w:spacing w:before="60"/>
              <w:jc w:val="both"/>
              <w:rPr>
                <w:rFonts w:cs="Arial"/>
                <w:sz w:val="18"/>
                <w:szCs w:val="18"/>
              </w:rPr>
            </w:pPr>
            <w:r w:rsidRPr="00A9330B">
              <w:rPr>
                <w:rFonts w:cs="Arial"/>
                <w:sz w:val="18"/>
                <w:szCs w:val="18"/>
              </w:rPr>
              <w:t>Brassage, influence sur les us et coutumes : conflits entre ouvriers, manœuvres et populations autochtones</w:t>
            </w:r>
          </w:p>
        </w:tc>
        <w:tc>
          <w:tcPr>
            <w:tcW w:w="410" w:type="pct"/>
            <w:vAlign w:val="center"/>
          </w:tcPr>
          <w:p w14:paraId="3E34EE85" w14:textId="77777777" w:rsidR="00401546" w:rsidRPr="00A9330B" w:rsidRDefault="00401546" w:rsidP="0013556B">
            <w:pPr>
              <w:spacing w:before="60"/>
              <w:rPr>
                <w:rFonts w:cs="Arial"/>
                <w:sz w:val="18"/>
                <w:szCs w:val="18"/>
              </w:rPr>
            </w:pPr>
            <w:r w:rsidRPr="00A9330B">
              <w:rPr>
                <w:rFonts w:cs="Arial"/>
                <w:b/>
                <w:sz w:val="16"/>
                <w:szCs w:val="16"/>
              </w:rPr>
              <w:t>-</w:t>
            </w:r>
          </w:p>
        </w:tc>
        <w:tc>
          <w:tcPr>
            <w:tcW w:w="436" w:type="pct"/>
            <w:vAlign w:val="center"/>
          </w:tcPr>
          <w:p w14:paraId="0FAF4A26" w14:textId="77777777" w:rsidR="00401546" w:rsidRPr="00A9330B" w:rsidRDefault="00401546" w:rsidP="0013556B">
            <w:pPr>
              <w:spacing w:before="60"/>
              <w:rPr>
                <w:rFonts w:cs="Arial"/>
                <w:sz w:val="18"/>
                <w:szCs w:val="18"/>
              </w:rPr>
            </w:pPr>
            <w:r w:rsidRPr="00A9330B">
              <w:rPr>
                <w:rFonts w:cs="Arial"/>
                <w:sz w:val="16"/>
                <w:szCs w:val="16"/>
              </w:rPr>
              <w:t xml:space="preserve">faible </w:t>
            </w:r>
          </w:p>
        </w:tc>
        <w:tc>
          <w:tcPr>
            <w:tcW w:w="536" w:type="pct"/>
            <w:vAlign w:val="center"/>
          </w:tcPr>
          <w:p w14:paraId="52BC4183" w14:textId="77777777" w:rsidR="00401546" w:rsidRPr="00A9330B" w:rsidRDefault="00401546" w:rsidP="0013556B">
            <w:pPr>
              <w:spacing w:before="60"/>
              <w:rPr>
                <w:rFonts w:cs="Arial"/>
                <w:sz w:val="18"/>
                <w:szCs w:val="18"/>
              </w:rPr>
            </w:pPr>
            <w:r w:rsidRPr="00A9330B">
              <w:rPr>
                <w:rFonts w:cs="Arial"/>
                <w:sz w:val="16"/>
                <w:szCs w:val="16"/>
              </w:rPr>
              <w:t>ponctuelle</w:t>
            </w:r>
          </w:p>
        </w:tc>
        <w:tc>
          <w:tcPr>
            <w:tcW w:w="616" w:type="pct"/>
            <w:vAlign w:val="center"/>
          </w:tcPr>
          <w:p w14:paraId="1B2A10CA" w14:textId="77777777" w:rsidR="00401546" w:rsidRPr="00A9330B" w:rsidRDefault="00401546" w:rsidP="0013556B">
            <w:pPr>
              <w:spacing w:before="60"/>
              <w:rPr>
                <w:rFonts w:cs="Arial"/>
                <w:sz w:val="18"/>
                <w:szCs w:val="18"/>
              </w:rPr>
            </w:pPr>
            <w:r w:rsidRPr="00A9330B">
              <w:rPr>
                <w:rFonts w:cs="Arial"/>
                <w:sz w:val="16"/>
                <w:szCs w:val="16"/>
              </w:rPr>
              <w:t xml:space="preserve">temporaire </w:t>
            </w:r>
          </w:p>
        </w:tc>
        <w:tc>
          <w:tcPr>
            <w:tcW w:w="496" w:type="pct"/>
            <w:vAlign w:val="center"/>
          </w:tcPr>
          <w:p w14:paraId="37D2D2D3" w14:textId="77777777" w:rsidR="00401546" w:rsidRPr="00A9330B" w:rsidRDefault="00401546" w:rsidP="0013556B">
            <w:pPr>
              <w:spacing w:before="60"/>
              <w:rPr>
                <w:rFonts w:cs="Arial"/>
                <w:sz w:val="18"/>
                <w:szCs w:val="18"/>
              </w:rPr>
            </w:pPr>
            <w:r w:rsidRPr="00A9330B">
              <w:rPr>
                <w:rFonts w:cs="Arial"/>
                <w:sz w:val="16"/>
                <w:szCs w:val="16"/>
              </w:rPr>
              <w:t>Faible</w:t>
            </w:r>
          </w:p>
        </w:tc>
      </w:tr>
      <w:tr w:rsidR="00401546" w:rsidRPr="00A9330B" w14:paraId="7AF52332" w14:textId="77777777" w:rsidTr="0045250F">
        <w:tc>
          <w:tcPr>
            <w:tcW w:w="1028" w:type="pct"/>
            <w:vMerge/>
          </w:tcPr>
          <w:p w14:paraId="3B57B111" w14:textId="77777777" w:rsidR="00401546" w:rsidRPr="00A9330B" w:rsidRDefault="00401546" w:rsidP="0013556B">
            <w:pPr>
              <w:spacing w:before="60"/>
              <w:rPr>
                <w:rFonts w:cs="Arial"/>
                <w:sz w:val="18"/>
                <w:szCs w:val="18"/>
              </w:rPr>
            </w:pPr>
          </w:p>
        </w:tc>
        <w:tc>
          <w:tcPr>
            <w:tcW w:w="1478" w:type="pct"/>
          </w:tcPr>
          <w:p w14:paraId="2E30B2DE" w14:textId="77777777" w:rsidR="00401546" w:rsidRPr="00A9330B" w:rsidRDefault="00401546" w:rsidP="000F7BA7">
            <w:pPr>
              <w:spacing w:before="60"/>
              <w:jc w:val="both"/>
              <w:rPr>
                <w:rFonts w:cs="Arial"/>
                <w:sz w:val="18"/>
                <w:szCs w:val="18"/>
              </w:rPr>
            </w:pPr>
            <w:r w:rsidRPr="00A9330B">
              <w:rPr>
                <w:rFonts w:cs="Arial"/>
                <w:sz w:val="18"/>
                <w:szCs w:val="18"/>
              </w:rPr>
              <w:t xml:space="preserve">Entrave temporaire à la circulation et aux activités urbaines et périurbaines </w:t>
            </w:r>
          </w:p>
        </w:tc>
        <w:tc>
          <w:tcPr>
            <w:tcW w:w="410" w:type="pct"/>
            <w:vAlign w:val="center"/>
          </w:tcPr>
          <w:p w14:paraId="1D4AB263" w14:textId="77777777" w:rsidR="00401546" w:rsidRPr="00A9330B" w:rsidRDefault="00401546" w:rsidP="0013556B">
            <w:pPr>
              <w:spacing w:before="60"/>
              <w:rPr>
                <w:rFonts w:cs="Arial"/>
                <w:sz w:val="18"/>
                <w:szCs w:val="18"/>
              </w:rPr>
            </w:pPr>
            <w:r w:rsidRPr="00A9330B">
              <w:rPr>
                <w:rFonts w:cs="Arial"/>
                <w:b/>
                <w:sz w:val="16"/>
                <w:szCs w:val="16"/>
              </w:rPr>
              <w:t>-</w:t>
            </w:r>
          </w:p>
        </w:tc>
        <w:tc>
          <w:tcPr>
            <w:tcW w:w="436" w:type="pct"/>
            <w:vAlign w:val="center"/>
          </w:tcPr>
          <w:p w14:paraId="55AA3B3B" w14:textId="77777777" w:rsidR="00401546" w:rsidRPr="00A9330B" w:rsidRDefault="00401546" w:rsidP="0013556B">
            <w:pPr>
              <w:spacing w:before="60"/>
              <w:rPr>
                <w:rFonts w:cs="Arial"/>
                <w:sz w:val="18"/>
                <w:szCs w:val="18"/>
              </w:rPr>
            </w:pPr>
            <w:r w:rsidRPr="00A9330B">
              <w:rPr>
                <w:rFonts w:cs="Arial"/>
                <w:sz w:val="16"/>
                <w:szCs w:val="16"/>
              </w:rPr>
              <w:t xml:space="preserve">faible </w:t>
            </w:r>
          </w:p>
        </w:tc>
        <w:tc>
          <w:tcPr>
            <w:tcW w:w="536" w:type="pct"/>
            <w:vAlign w:val="center"/>
          </w:tcPr>
          <w:p w14:paraId="7EAF3A45" w14:textId="77777777" w:rsidR="00401546" w:rsidRPr="00A9330B" w:rsidRDefault="00401546" w:rsidP="0013556B">
            <w:pPr>
              <w:spacing w:before="60"/>
              <w:rPr>
                <w:rFonts w:cs="Arial"/>
                <w:sz w:val="18"/>
                <w:szCs w:val="18"/>
              </w:rPr>
            </w:pPr>
            <w:r w:rsidRPr="00A9330B">
              <w:rPr>
                <w:rFonts w:cs="Arial"/>
                <w:sz w:val="16"/>
                <w:szCs w:val="16"/>
              </w:rPr>
              <w:t>ponctuelle</w:t>
            </w:r>
          </w:p>
        </w:tc>
        <w:tc>
          <w:tcPr>
            <w:tcW w:w="616" w:type="pct"/>
            <w:vAlign w:val="center"/>
          </w:tcPr>
          <w:p w14:paraId="235B623A" w14:textId="77777777" w:rsidR="00401546" w:rsidRPr="00A9330B" w:rsidRDefault="00401546" w:rsidP="0013556B">
            <w:pPr>
              <w:spacing w:before="60"/>
              <w:rPr>
                <w:rFonts w:cs="Arial"/>
                <w:sz w:val="18"/>
                <w:szCs w:val="18"/>
              </w:rPr>
            </w:pPr>
            <w:r w:rsidRPr="00A9330B">
              <w:rPr>
                <w:rFonts w:cs="Arial"/>
                <w:sz w:val="16"/>
                <w:szCs w:val="16"/>
              </w:rPr>
              <w:t xml:space="preserve">temporaire </w:t>
            </w:r>
          </w:p>
        </w:tc>
        <w:tc>
          <w:tcPr>
            <w:tcW w:w="496" w:type="pct"/>
            <w:vAlign w:val="center"/>
          </w:tcPr>
          <w:p w14:paraId="03D419F9" w14:textId="77777777" w:rsidR="00401546" w:rsidRPr="00A9330B" w:rsidRDefault="00401546" w:rsidP="0013556B">
            <w:pPr>
              <w:spacing w:before="60"/>
              <w:rPr>
                <w:rFonts w:cs="Arial"/>
                <w:sz w:val="18"/>
                <w:szCs w:val="18"/>
              </w:rPr>
            </w:pPr>
            <w:r w:rsidRPr="00A9330B">
              <w:rPr>
                <w:rFonts w:cs="Arial"/>
                <w:sz w:val="16"/>
                <w:szCs w:val="16"/>
              </w:rPr>
              <w:t>Faible</w:t>
            </w:r>
          </w:p>
        </w:tc>
      </w:tr>
      <w:tr w:rsidR="00401546" w:rsidRPr="00A9330B" w14:paraId="2B94E981" w14:textId="77777777" w:rsidTr="0045250F">
        <w:tc>
          <w:tcPr>
            <w:tcW w:w="1028" w:type="pct"/>
          </w:tcPr>
          <w:p w14:paraId="295428C8" w14:textId="77777777" w:rsidR="00401546" w:rsidRPr="00A9330B" w:rsidRDefault="00401546" w:rsidP="0013556B">
            <w:pPr>
              <w:widowControl w:val="0"/>
              <w:tabs>
                <w:tab w:val="left" w:pos="426"/>
                <w:tab w:val="left" w:pos="851"/>
                <w:tab w:val="left" w:pos="1134"/>
              </w:tabs>
              <w:overflowPunct w:val="0"/>
              <w:autoSpaceDE w:val="0"/>
              <w:autoSpaceDN w:val="0"/>
              <w:adjustRightInd w:val="0"/>
              <w:spacing w:before="60" w:line="240" w:lineRule="auto"/>
              <w:textAlignment w:val="baseline"/>
              <w:rPr>
                <w:rFonts w:eastAsia="Times New Roman" w:cs="Arial"/>
                <w:color w:val="auto"/>
                <w:sz w:val="18"/>
                <w:szCs w:val="18"/>
                <w:lang w:eastAsia="fr-FR"/>
              </w:rPr>
            </w:pPr>
            <w:r w:rsidRPr="00A9330B">
              <w:rPr>
                <w:rFonts w:eastAsia="Times New Roman" w:cs="Arial"/>
                <w:color w:val="auto"/>
                <w:sz w:val="18"/>
                <w:szCs w:val="18"/>
                <w:lang w:eastAsia="fr-FR"/>
              </w:rPr>
              <w:t xml:space="preserve">2.9. Signalisation et divers </w:t>
            </w:r>
          </w:p>
          <w:p w14:paraId="1CAD3EA0" w14:textId="77777777" w:rsidR="00401546" w:rsidRPr="00A9330B" w:rsidRDefault="00401546" w:rsidP="0013556B">
            <w:pPr>
              <w:spacing w:before="60"/>
              <w:rPr>
                <w:rFonts w:cs="Arial"/>
                <w:sz w:val="18"/>
                <w:szCs w:val="18"/>
              </w:rPr>
            </w:pPr>
            <w:r w:rsidRPr="00A9330B">
              <w:rPr>
                <w:sz w:val="18"/>
                <w:szCs w:val="18"/>
              </w:rPr>
              <w:lastRenderedPageBreak/>
              <w:t>Travaux d’éclairage de la chaussée</w:t>
            </w:r>
            <w:r w:rsidRPr="00A9330B">
              <w:rPr>
                <w:rFonts w:cs="Arial"/>
                <w:sz w:val="18"/>
                <w:szCs w:val="18"/>
              </w:rPr>
              <w:t xml:space="preserve"> </w:t>
            </w:r>
          </w:p>
        </w:tc>
        <w:tc>
          <w:tcPr>
            <w:tcW w:w="1478" w:type="pct"/>
          </w:tcPr>
          <w:p w14:paraId="3D483BEB" w14:textId="77777777" w:rsidR="00401546" w:rsidRPr="00A9330B" w:rsidRDefault="00401546" w:rsidP="0013556B">
            <w:pPr>
              <w:spacing w:before="60"/>
              <w:rPr>
                <w:rFonts w:cs="Arial"/>
                <w:b/>
                <w:sz w:val="18"/>
                <w:szCs w:val="18"/>
              </w:rPr>
            </w:pPr>
            <w:r w:rsidRPr="00A9330B">
              <w:rPr>
                <w:rFonts w:cs="Arial"/>
                <w:b/>
                <w:sz w:val="18"/>
                <w:szCs w:val="18"/>
              </w:rPr>
              <w:lastRenderedPageBreak/>
              <w:t xml:space="preserve">Entrave temporaire à la circulation et aux activités urbaines et périurbaines </w:t>
            </w:r>
          </w:p>
          <w:p w14:paraId="172F7E44" w14:textId="77777777" w:rsidR="00401546" w:rsidRPr="00A9330B" w:rsidRDefault="00401546" w:rsidP="000F7BA7">
            <w:pPr>
              <w:spacing w:before="60"/>
              <w:jc w:val="both"/>
              <w:rPr>
                <w:rFonts w:cs="Arial"/>
                <w:sz w:val="18"/>
                <w:szCs w:val="18"/>
              </w:rPr>
            </w:pPr>
            <w:r w:rsidRPr="00A9330B">
              <w:rPr>
                <w:rFonts w:cs="Arial"/>
                <w:sz w:val="18"/>
                <w:szCs w:val="18"/>
              </w:rPr>
              <w:lastRenderedPageBreak/>
              <w:t>Cette nuisance sera générée par la mise en place de la signalisation horizontale et verticale (des panneaux de signalisations, des panneaux d’indication etc.)</w:t>
            </w:r>
          </w:p>
        </w:tc>
        <w:tc>
          <w:tcPr>
            <w:tcW w:w="410" w:type="pct"/>
            <w:vAlign w:val="center"/>
          </w:tcPr>
          <w:p w14:paraId="140BACA8" w14:textId="77777777" w:rsidR="00401546" w:rsidRPr="00A9330B" w:rsidRDefault="00401546" w:rsidP="0013556B">
            <w:pPr>
              <w:spacing w:before="60"/>
              <w:rPr>
                <w:rFonts w:cs="Arial"/>
                <w:sz w:val="18"/>
                <w:szCs w:val="18"/>
              </w:rPr>
            </w:pPr>
            <w:r w:rsidRPr="00A9330B">
              <w:rPr>
                <w:rFonts w:cs="Arial"/>
                <w:b/>
                <w:sz w:val="16"/>
                <w:szCs w:val="16"/>
              </w:rPr>
              <w:lastRenderedPageBreak/>
              <w:t>-</w:t>
            </w:r>
          </w:p>
        </w:tc>
        <w:tc>
          <w:tcPr>
            <w:tcW w:w="436" w:type="pct"/>
            <w:vAlign w:val="center"/>
          </w:tcPr>
          <w:p w14:paraId="1EEB541E" w14:textId="77777777" w:rsidR="00401546" w:rsidRPr="00A9330B" w:rsidRDefault="00401546" w:rsidP="0013556B">
            <w:pPr>
              <w:spacing w:before="60"/>
              <w:rPr>
                <w:rFonts w:cs="Arial"/>
                <w:sz w:val="18"/>
                <w:szCs w:val="18"/>
              </w:rPr>
            </w:pPr>
            <w:r w:rsidRPr="00A9330B">
              <w:rPr>
                <w:rFonts w:cs="Arial"/>
                <w:sz w:val="16"/>
                <w:szCs w:val="16"/>
              </w:rPr>
              <w:t xml:space="preserve">faible </w:t>
            </w:r>
          </w:p>
        </w:tc>
        <w:tc>
          <w:tcPr>
            <w:tcW w:w="536" w:type="pct"/>
            <w:vAlign w:val="center"/>
          </w:tcPr>
          <w:p w14:paraId="4506C762" w14:textId="77777777" w:rsidR="00401546" w:rsidRPr="00A9330B" w:rsidRDefault="00401546" w:rsidP="0013556B">
            <w:pPr>
              <w:spacing w:before="60"/>
              <w:rPr>
                <w:rFonts w:cs="Arial"/>
                <w:sz w:val="18"/>
                <w:szCs w:val="18"/>
              </w:rPr>
            </w:pPr>
            <w:r w:rsidRPr="00A9330B">
              <w:rPr>
                <w:rFonts w:cs="Arial"/>
                <w:sz w:val="16"/>
                <w:szCs w:val="16"/>
              </w:rPr>
              <w:t>locale</w:t>
            </w:r>
          </w:p>
        </w:tc>
        <w:tc>
          <w:tcPr>
            <w:tcW w:w="616" w:type="pct"/>
            <w:vAlign w:val="center"/>
          </w:tcPr>
          <w:p w14:paraId="301BD531" w14:textId="77777777" w:rsidR="00401546" w:rsidRPr="00A9330B" w:rsidRDefault="00401546" w:rsidP="0013556B">
            <w:pPr>
              <w:spacing w:before="60"/>
              <w:rPr>
                <w:rFonts w:cs="Arial"/>
                <w:sz w:val="18"/>
                <w:szCs w:val="18"/>
              </w:rPr>
            </w:pPr>
            <w:r w:rsidRPr="00A9330B">
              <w:rPr>
                <w:rFonts w:cs="Arial"/>
                <w:sz w:val="16"/>
                <w:szCs w:val="16"/>
              </w:rPr>
              <w:t xml:space="preserve">temporaire </w:t>
            </w:r>
          </w:p>
        </w:tc>
        <w:tc>
          <w:tcPr>
            <w:tcW w:w="496" w:type="pct"/>
            <w:vAlign w:val="center"/>
          </w:tcPr>
          <w:p w14:paraId="36CE836E" w14:textId="77777777" w:rsidR="00401546" w:rsidRPr="00A9330B" w:rsidRDefault="00401546" w:rsidP="0013556B">
            <w:pPr>
              <w:spacing w:before="60"/>
              <w:rPr>
                <w:rFonts w:cs="Arial"/>
                <w:sz w:val="18"/>
                <w:szCs w:val="18"/>
              </w:rPr>
            </w:pPr>
            <w:r w:rsidRPr="00A9330B">
              <w:rPr>
                <w:rFonts w:cs="Arial"/>
                <w:sz w:val="16"/>
                <w:szCs w:val="16"/>
              </w:rPr>
              <w:t>Faible</w:t>
            </w:r>
          </w:p>
        </w:tc>
      </w:tr>
      <w:tr w:rsidR="00401546" w:rsidRPr="00A9330B" w14:paraId="243787DC" w14:textId="77777777" w:rsidTr="0045250F">
        <w:tc>
          <w:tcPr>
            <w:tcW w:w="1028" w:type="pct"/>
            <w:vMerge w:val="restart"/>
          </w:tcPr>
          <w:p w14:paraId="0ACECBD7" w14:textId="77777777" w:rsidR="00401546" w:rsidRPr="00A9330B" w:rsidRDefault="00401546" w:rsidP="0013556B">
            <w:pPr>
              <w:widowControl w:val="0"/>
              <w:tabs>
                <w:tab w:val="left" w:pos="426"/>
                <w:tab w:val="left" w:pos="851"/>
                <w:tab w:val="left" w:pos="1134"/>
              </w:tabs>
              <w:overflowPunct w:val="0"/>
              <w:autoSpaceDE w:val="0"/>
              <w:autoSpaceDN w:val="0"/>
              <w:adjustRightInd w:val="0"/>
              <w:spacing w:before="60" w:line="240" w:lineRule="auto"/>
              <w:textAlignment w:val="baseline"/>
              <w:rPr>
                <w:rFonts w:eastAsia="Times New Roman" w:cs="Arial"/>
                <w:color w:val="auto"/>
                <w:sz w:val="18"/>
                <w:szCs w:val="18"/>
                <w:lang w:eastAsia="fr-FR"/>
              </w:rPr>
            </w:pPr>
            <w:r w:rsidRPr="00A9330B">
              <w:rPr>
                <w:rFonts w:eastAsia="Times New Roman" w:cs="Arial"/>
                <w:color w:val="auto"/>
                <w:sz w:val="18"/>
                <w:szCs w:val="18"/>
                <w:lang w:eastAsia="fr-FR"/>
              </w:rPr>
              <w:lastRenderedPageBreak/>
              <w:t xml:space="preserve">2.10 Construction  des ouvrages d’assainissement et des ouvrages d’art </w:t>
            </w:r>
          </w:p>
        </w:tc>
        <w:tc>
          <w:tcPr>
            <w:tcW w:w="1478" w:type="pct"/>
          </w:tcPr>
          <w:p w14:paraId="3A6E9FA4" w14:textId="77777777" w:rsidR="00401546" w:rsidRPr="00A9330B" w:rsidRDefault="00401546" w:rsidP="0013556B">
            <w:pPr>
              <w:rPr>
                <w:rFonts w:cs="Arial"/>
                <w:b/>
                <w:sz w:val="18"/>
                <w:szCs w:val="18"/>
              </w:rPr>
            </w:pPr>
            <w:r w:rsidRPr="00A9330B">
              <w:rPr>
                <w:rFonts w:cs="Arial"/>
                <w:b/>
                <w:sz w:val="18"/>
                <w:szCs w:val="18"/>
              </w:rPr>
              <w:t xml:space="preserve">Emissions de poussières particules dans l’air </w:t>
            </w:r>
          </w:p>
          <w:p w14:paraId="40EF3AAF" w14:textId="77777777" w:rsidR="00401546" w:rsidRPr="00A9330B" w:rsidRDefault="00401546" w:rsidP="000F7BA7">
            <w:pPr>
              <w:spacing w:before="60"/>
              <w:jc w:val="both"/>
              <w:rPr>
                <w:rFonts w:cs="Arial"/>
                <w:b/>
                <w:sz w:val="18"/>
                <w:szCs w:val="18"/>
              </w:rPr>
            </w:pPr>
            <w:r w:rsidRPr="00A9330B">
              <w:rPr>
                <w:rFonts w:cs="Arial"/>
                <w:sz w:val="18"/>
                <w:szCs w:val="18"/>
              </w:rPr>
              <w:t xml:space="preserve">Les actions de décapage, décaissement, terrassement, de transports et de déchargement de matériaux entraînent une augmentation de la concentration des poussières (sables, silteux, latérite, concassé, etc.) dans l’atmosphère. L’impact de la pollution atmosphérique sur les populations se présente avec beaucoup d’acuité au niveau des zones habitées </w:t>
            </w:r>
          </w:p>
        </w:tc>
        <w:tc>
          <w:tcPr>
            <w:tcW w:w="410" w:type="pct"/>
            <w:vAlign w:val="center"/>
          </w:tcPr>
          <w:p w14:paraId="34AB18D4" w14:textId="77777777" w:rsidR="00401546" w:rsidRPr="00A9330B" w:rsidRDefault="00401546" w:rsidP="0013556B">
            <w:pPr>
              <w:spacing w:before="60"/>
              <w:rPr>
                <w:rFonts w:cs="Arial"/>
                <w:b/>
                <w:sz w:val="16"/>
                <w:szCs w:val="16"/>
              </w:rPr>
            </w:pPr>
            <w:r w:rsidRPr="00A9330B">
              <w:rPr>
                <w:rFonts w:cs="Arial"/>
                <w:sz w:val="16"/>
                <w:szCs w:val="16"/>
              </w:rPr>
              <w:t>-</w:t>
            </w:r>
          </w:p>
        </w:tc>
        <w:tc>
          <w:tcPr>
            <w:tcW w:w="436" w:type="pct"/>
            <w:vAlign w:val="center"/>
          </w:tcPr>
          <w:p w14:paraId="22E43AE9" w14:textId="77777777" w:rsidR="00401546" w:rsidRPr="00A9330B" w:rsidRDefault="00401546" w:rsidP="0013556B">
            <w:pPr>
              <w:spacing w:before="60"/>
              <w:rPr>
                <w:rFonts w:cs="Arial"/>
                <w:sz w:val="16"/>
                <w:szCs w:val="16"/>
              </w:rPr>
            </w:pPr>
            <w:r w:rsidRPr="00A9330B">
              <w:rPr>
                <w:rFonts w:cs="Arial"/>
                <w:sz w:val="16"/>
                <w:szCs w:val="16"/>
              </w:rPr>
              <w:t xml:space="preserve">moyenne </w:t>
            </w:r>
          </w:p>
        </w:tc>
        <w:tc>
          <w:tcPr>
            <w:tcW w:w="536" w:type="pct"/>
            <w:vAlign w:val="center"/>
          </w:tcPr>
          <w:p w14:paraId="28B4B179" w14:textId="77777777" w:rsidR="00401546" w:rsidRPr="00A9330B" w:rsidRDefault="00401546" w:rsidP="0013556B">
            <w:pPr>
              <w:spacing w:before="60"/>
              <w:rPr>
                <w:rFonts w:cs="Arial"/>
                <w:sz w:val="16"/>
                <w:szCs w:val="16"/>
              </w:rPr>
            </w:pPr>
            <w:r w:rsidRPr="00A9330B">
              <w:rPr>
                <w:rFonts w:cs="Arial"/>
                <w:sz w:val="16"/>
                <w:szCs w:val="16"/>
              </w:rPr>
              <w:t xml:space="preserve">locale </w:t>
            </w:r>
          </w:p>
        </w:tc>
        <w:tc>
          <w:tcPr>
            <w:tcW w:w="616" w:type="pct"/>
            <w:vAlign w:val="center"/>
          </w:tcPr>
          <w:p w14:paraId="3709249B" w14:textId="77777777" w:rsidR="00401546" w:rsidRPr="00A9330B" w:rsidRDefault="00401546" w:rsidP="0013556B">
            <w:pPr>
              <w:spacing w:before="60"/>
              <w:rPr>
                <w:rFonts w:cs="Arial"/>
                <w:sz w:val="16"/>
                <w:szCs w:val="16"/>
              </w:rPr>
            </w:pPr>
            <w:r w:rsidRPr="00A9330B">
              <w:rPr>
                <w:rFonts w:cs="Arial"/>
                <w:sz w:val="16"/>
                <w:szCs w:val="16"/>
              </w:rPr>
              <w:t xml:space="preserve">temporaire  </w:t>
            </w:r>
          </w:p>
        </w:tc>
        <w:tc>
          <w:tcPr>
            <w:tcW w:w="496" w:type="pct"/>
            <w:vAlign w:val="center"/>
          </w:tcPr>
          <w:p w14:paraId="74CE2A3E" w14:textId="77777777" w:rsidR="00401546" w:rsidRPr="00A9330B" w:rsidRDefault="00401546" w:rsidP="0013556B">
            <w:pPr>
              <w:spacing w:before="60"/>
              <w:rPr>
                <w:rFonts w:cs="Arial"/>
                <w:sz w:val="16"/>
                <w:szCs w:val="16"/>
              </w:rPr>
            </w:pPr>
            <w:r w:rsidRPr="00A9330B">
              <w:rPr>
                <w:rFonts w:cs="Arial"/>
                <w:sz w:val="16"/>
                <w:szCs w:val="16"/>
              </w:rPr>
              <w:t xml:space="preserve">Moyenne  </w:t>
            </w:r>
          </w:p>
        </w:tc>
      </w:tr>
      <w:tr w:rsidR="00401546" w:rsidRPr="00A9330B" w14:paraId="355358F4" w14:textId="77777777" w:rsidTr="0045250F">
        <w:tc>
          <w:tcPr>
            <w:tcW w:w="1028" w:type="pct"/>
            <w:vMerge/>
          </w:tcPr>
          <w:p w14:paraId="0163B5CD" w14:textId="77777777" w:rsidR="00401546" w:rsidRPr="00A9330B" w:rsidRDefault="00401546" w:rsidP="0013556B">
            <w:pPr>
              <w:widowControl w:val="0"/>
              <w:tabs>
                <w:tab w:val="left" w:pos="426"/>
                <w:tab w:val="left" w:pos="851"/>
                <w:tab w:val="left" w:pos="1134"/>
              </w:tabs>
              <w:overflowPunct w:val="0"/>
              <w:autoSpaceDE w:val="0"/>
              <w:autoSpaceDN w:val="0"/>
              <w:adjustRightInd w:val="0"/>
              <w:spacing w:before="60" w:line="240" w:lineRule="auto"/>
              <w:textAlignment w:val="baseline"/>
              <w:rPr>
                <w:rFonts w:eastAsia="Times New Roman" w:cs="Arial"/>
                <w:color w:val="auto"/>
                <w:sz w:val="18"/>
                <w:szCs w:val="18"/>
                <w:lang w:eastAsia="fr-FR"/>
              </w:rPr>
            </w:pPr>
          </w:p>
        </w:tc>
        <w:tc>
          <w:tcPr>
            <w:tcW w:w="1478" w:type="pct"/>
          </w:tcPr>
          <w:p w14:paraId="694239C2" w14:textId="77777777" w:rsidR="00401546" w:rsidRPr="00A9330B" w:rsidRDefault="00401546" w:rsidP="0013556B">
            <w:pPr>
              <w:rPr>
                <w:rFonts w:cs="Arial"/>
                <w:b/>
                <w:sz w:val="18"/>
                <w:szCs w:val="18"/>
              </w:rPr>
            </w:pPr>
            <w:r w:rsidRPr="00A9330B">
              <w:rPr>
                <w:rFonts w:cs="Arial"/>
                <w:b/>
                <w:sz w:val="18"/>
                <w:szCs w:val="18"/>
              </w:rPr>
              <w:t>Pollution du sol par les déchets solides</w:t>
            </w:r>
          </w:p>
          <w:p w14:paraId="2CAEC1D6" w14:textId="770AF565" w:rsidR="00401546" w:rsidRPr="00A9330B" w:rsidRDefault="00401546" w:rsidP="000F7BA7">
            <w:pPr>
              <w:spacing w:before="60"/>
              <w:jc w:val="both"/>
              <w:rPr>
                <w:rFonts w:cs="Arial"/>
                <w:sz w:val="18"/>
                <w:szCs w:val="18"/>
              </w:rPr>
            </w:pPr>
            <w:r w:rsidRPr="00A9330B">
              <w:rPr>
                <w:rFonts w:cs="Arial"/>
                <w:sz w:val="18"/>
                <w:szCs w:val="18"/>
              </w:rPr>
              <w:t xml:space="preserve">au niveau des aires de travaux dus à la présence des ouvriers et </w:t>
            </w:r>
            <w:r w:rsidR="00350C9E" w:rsidRPr="00A9330B">
              <w:rPr>
                <w:rFonts w:cs="Arial"/>
                <w:sz w:val="18"/>
                <w:szCs w:val="18"/>
              </w:rPr>
              <w:t>manœuvres</w:t>
            </w:r>
            <w:r w:rsidRPr="00A9330B">
              <w:rPr>
                <w:rFonts w:cs="Arial"/>
                <w:sz w:val="18"/>
                <w:szCs w:val="18"/>
              </w:rPr>
              <w:t xml:space="preserve">, à la vente des denrées alimentaires, et de produits de première nécessité pour le personnel travaillant sur place    </w:t>
            </w:r>
          </w:p>
        </w:tc>
        <w:tc>
          <w:tcPr>
            <w:tcW w:w="410" w:type="pct"/>
            <w:vAlign w:val="center"/>
          </w:tcPr>
          <w:p w14:paraId="474F056F" w14:textId="77777777" w:rsidR="00401546" w:rsidRPr="00A9330B" w:rsidRDefault="00401546" w:rsidP="0013556B">
            <w:pPr>
              <w:spacing w:before="60"/>
              <w:rPr>
                <w:rFonts w:cs="Arial"/>
                <w:b/>
                <w:sz w:val="16"/>
                <w:szCs w:val="16"/>
              </w:rPr>
            </w:pPr>
            <w:r w:rsidRPr="00A9330B">
              <w:rPr>
                <w:rFonts w:cs="Arial"/>
                <w:sz w:val="16"/>
                <w:szCs w:val="16"/>
              </w:rPr>
              <w:t>-</w:t>
            </w:r>
          </w:p>
        </w:tc>
        <w:tc>
          <w:tcPr>
            <w:tcW w:w="436" w:type="pct"/>
            <w:vAlign w:val="center"/>
          </w:tcPr>
          <w:p w14:paraId="3D90533C" w14:textId="77777777" w:rsidR="00401546" w:rsidRPr="00A9330B" w:rsidRDefault="00401546" w:rsidP="0013556B">
            <w:pPr>
              <w:spacing w:before="60"/>
              <w:rPr>
                <w:rFonts w:cs="Arial"/>
                <w:sz w:val="16"/>
                <w:szCs w:val="16"/>
              </w:rPr>
            </w:pPr>
            <w:r w:rsidRPr="00A9330B">
              <w:rPr>
                <w:rFonts w:cs="Arial"/>
                <w:sz w:val="16"/>
                <w:szCs w:val="16"/>
              </w:rPr>
              <w:t xml:space="preserve">faible </w:t>
            </w:r>
          </w:p>
        </w:tc>
        <w:tc>
          <w:tcPr>
            <w:tcW w:w="536" w:type="pct"/>
            <w:vAlign w:val="center"/>
          </w:tcPr>
          <w:p w14:paraId="64D5EB74" w14:textId="77777777" w:rsidR="00401546" w:rsidRPr="00A9330B" w:rsidRDefault="00401546" w:rsidP="0013556B">
            <w:pPr>
              <w:spacing w:before="60"/>
              <w:rPr>
                <w:rFonts w:cs="Arial"/>
                <w:sz w:val="16"/>
                <w:szCs w:val="16"/>
              </w:rPr>
            </w:pPr>
            <w:r w:rsidRPr="00A9330B">
              <w:rPr>
                <w:rFonts w:cs="Arial"/>
                <w:sz w:val="16"/>
                <w:szCs w:val="16"/>
              </w:rPr>
              <w:t xml:space="preserve">Locale </w:t>
            </w:r>
          </w:p>
        </w:tc>
        <w:tc>
          <w:tcPr>
            <w:tcW w:w="616" w:type="pct"/>
            <w:vAlign w:val="center"/>
          </w:tcPr>
          <w:p w14:paraId="7DB6A5FE" w14:textId="77777777" w:rsidR="00401546" w:rsidRPr="00A9330B" w:rsidRDefault="00401546" w:rsidP="0013556B">
            <w:pPr>
              <w:spacing w:before="60"/>
              <w:rPr>
                <w:rFonts w:cs="Arial"/>
                <w:sz w:val="16"/>
                <w:szCs w:val="16"/>
              </w:rPr>
            </w:pPr>
            <w:r w:rsidRPr="00A9330B">
              <w:rPr>
                <w:rFonts w:cs="Arial"/>
                <w:sz w:val="16"/>
                <w:szCs w:val="16"/>
              </w:rPr>
              <w:t xml:space="preserve">temporaire  </w:t>
            </w:r>
          </w:p>
        </w:tc>
        <w:tc>
          <w:tcPr>
            <w:tcW w:w="496" w:type="pct"/>
            <w:vAlign w:val="center"/>
          </w:tcPr>
          <w:p w14:paraId="630AEDD8" w14:textId="77777777" w:rsidR="00401546" w:rsidRPr="00A9330B" w:rsidRDefault="00401546" w:rsidP="0013556B">
            <w:pPr>
              <w:spacing w:before="60"/>
              <w:rPr>
                <w:rFonts w:cs="Arial"/>
                <w:sz w:val="16"/>
                <w:szCs w:val="16"/>
              </w:rPr>
            </w:pPr>
            <w:r w:rsidRPr="00A9330B">
              <w:rPr>
                <w:rFonts w:cs="Arial"/>
                <w:sz w:val="16"/>
                <w:szCs w:val="16"/>
              </w:rPr>
              <w:t xml:space="preserve">Faible </w:t>
            </w:r>
          </w:p>
        </w:tc>
      </w:tr>
      <w:tr w:rsidR="00401546" w:rsidRPr="00A9330B" w14:paraId="448D0FEE" w14:textId="77777777" w:rsidTr="0045250F">
        <w:tc>
          <w:tcPr>
            <w:tcW w:w="1028" w:type="pct"/>
            <w:vMerge/>
          </w:tcPr>
          <w:p w14:paraId="5988482E" w14:textId="77777777" w:rsidR="00401546" w:rsidRPr="00A9330B" w:rsidRDefault="00401546" w:rsidP="0013556B">
            <w:pPr>
              <w:widowControl w:val="0"/>
              <w:tabs>
                <w:tab w:val="left" w:pos="426"/>
                <w:tab w:val="left" w:pos="851"/>
                <w:tab w:val="left" w:pos="1134"/>
              </w:tabs>
              <w:overflowPunct w:val="0"/>
              <w:autoSpaceDE w:val="0"/>
              <w:autoSpaceDN w:val="0"/>
              <w:adjustRightInd w:val="0"/>
              <w:spacing w:before="60" w:line="240" w:lineRule="auto"/>
              <w:textAlignment w:val="baseline"/>
              <w:rPr>
                <w:rFonts w:eastAsia="Times New Roman" w:cs="Arial"/>
                <w:color w:val="auto"/>
                <w:sz w:val="18"/>
                <w:szCs w:val="18"/>
                <w:lang w:eastAsia="fr-FR"/>
              </w:rPr>
            </w:pPr>
          </w:p>
        </w:tc>
        <w:tc>
          <w:tcPr>
            <w:tcW w:w="1478" w:type="pct"/>
          </w:tcPr>
          <w:p w14:paraId="5C45E7BF" w14:textId="77777777" w:rsidR="00401546" w:rsidRPr="00A9330B" w:rsidRDefault="00401546" w:rsidP="0013556B">
            <w:pPr>
              <w:rPr>
                <w:rFonts w:cs="Arial"/>
                <w:b/>
                <w:sz w:val="18"/>
                <w:szCs w:val="18"/>
              </w:rPr>
            </w:pPr>
            <w:r w:rsidRPr="00A9330B">
              <w:rPr>
                <w:rFonts w:cs="Arial"/>
                <w:b/>
                <w:sz w:val="18"/>
                <w:szCs w:val="18"/>
              </w:rPr>
              <w:t xml:space="preserve">Déversement des hydrocarbures </w:t>
            </w:r>
          </w:p>
          <w:p w14:paraId="00D87ED4" w14:textId="77777777" w:rsidR="00401546" w:rsidRPr="00A9330B" w:rsidRDefault="00401546" w:rsidP="000F7BA7">
            <w:pPr>
              <w:spacing w:before="60"/>
              <w:jc w:val="both"/>
              <w:rPr>
                <w:rFonts w:cs="Arial"/>
                <w:b/>
                <w:sz w:val="18"/>
                <w:szCs w:val="18"/>
              </w:rPr>
            </w:pPr>
            <w:r w:rsidRPr="00A9330B">
              <w:rPr>
                <w:rFonts w:cs="Arial"/>
                <w:sz w:val="18"/>
                <w:szCs w:val="18"/>
              </w:rPr>
              <w:t>La pollution du milieu par les rejets de déchets liquides issus des activités : huiles usagées, hydrocarbures et autres composés, purges, boues contaminées issus des  travaux et éventuellement de métaux lourds</w:t>
            </w:r>
          </w:p>
        </w:tc>
        <w:tc>
          <w:tcPr>
            <w:tcW w:w="410" w:type="pct"/>
            <w:vAlign w:val="center"/>
          </w:tcPr>
          <w:p w14:paraId="0C8648D6" w14:textId="77777777" w:rsidR="00401546" w:rsidRPr="00A9330B" w:rsidRDefault="00401546" w:rsidP="0013556B">
            <w:pPr>
              <w:spacing w:before="60"/>
              <w:rPr>
                <w:rFonts w:cs="Arial"/>
                <w:b/>
                <w:sz w:val="16"/>
                <w:szCs w:val="16"/>
              </w:rPr>
            </w:pPr>
            <w:r w:rsidRPr="00A9330B">
              <w:rPr>
                <w:rFonts w:cs="Arial"/>
                <w:sz w:val="16"/>
                <w:szCs w:val="16"/>
              </w:rPr>
              <w:t>-</w:t>
            </w:r>
          </w:p>
        </w:tc>
        <w:tc>
          <w:tcPr>
            <w:tcW w:w="436" w:type="pct"/>
            <w:vAlign w:val="center"/>
          </w:tcPr>
          <w:p w14:paraId="16A4E79A" w14:textId="77777777" w:rsidR="00401546" w:rsidRPr="00A9330B" w:rsidRDefault="00401546" w:rsidP="0013556B">
            <w:pPr>
              <w:spacing w:before="60"/>
              <w:rPr>
                <w:rFonts w:cs="Arial"/>
                <w:sz w:val="16"/>
                <w:szCs w:val="16"/>
              </w:rPr>
            </w:pPr>
            <w:r w:rsidRPr="00A9330B">
              <w:rPr>
                <w:rFonts w:cs="Arial"/>
                <w:sz w:val="16"/>
                <w:szCs w:val="16"/>
              </w:rPr>
              <w:t xml:space="preserve">Moyenne </w:t>
            </w:r>
          </w:p>
        </w:tc>
        <w:tc>
          <w:tcPr>
            <w:tcW w:w="536" w:type="pct"/>
            <w:vAlign w:val="center"/>
          </w:tcPr>
          <w:p w14:paraId="4F55C437" w14:textId="77777777" w:rsidR="00401546" w:rsidRPr="00A9330B" w:rsidRDefault="00401546" w:rsidP="0013556B">
            <w:pPr>
              <w:spacing w:before="60"/>
              <w:rPr>
                <w:rFonts w:cs="Arial"/>
                <w:sz w:val="16"/>
                <w:szCs w:val="16"/>
              </w:rPr>
            </w:pPr>
            <w:r w:rsidRPr="00A9330B">
              <w:rPr>
                <w:rFonts w:cs="Arial"/>
                <w:sz w:val="16"/>
                <w:szCs w:val="16"/>
              </w:rPr>
              <w:t xml:space="preserve">Locale </w:t>
            </w:r>
          </w:p>
        </w:tc>
        <w:tc>
          <w:tcPr>
            <w:tcW w:w="616" w:type="pct"/>
            <w:vAlign w:val="center"/>
          </w:tcPr>
          <w:p w14:paraId="28555C31" w14:textId="77777777" w:rsidR="00401546" w:rsidRPr="00A9330B" w:rsidRDefault="00401546" w:rsidP="0013556B">
            <w:pPr>
              <w:spacing w:before="60"/>
              <w:rPr>
                <w:rFonts w:cs="Arial"/>
                <w:sz w:val="16"/>
                <w:szCs w:val="16"/>
              </w:rPr>
            </w:pPr>
            <w:r w:rsidRPr="00A9330B">
              <w:rPr>
                <w:rFonts w:cs="Arial"/>
                <w:sz w:val="16"/>
                <w:szCs w:val="16"/>
              </w:rPr>
              <w:t xml:space="preserve">temporaire </w:t>
            </w:r>
          </w:p>
        </w:tc>
        <w:tc>
          <w:tcPr>
            <w:tcW w:w="496" w:type="pct"/>
            <w:vAlign w:val="center"/>
          </w:tcPr>
          <w:p w14:paraId="6DBE9CAA" w14:textId="77777777" w:rsidR="00401546" w:rsidRPr="00A9330B" w:rsidRDefault="00401546" w:rsidP="0013556B">
            <w:pPr>
              <w:spacing w:before="60"/>
              <w:rPr>
                <w:rFonts w:cs="Arial"/>
                <w:sz w:val="16"/>
                <w:szCs w:val="16"/>
              </w:rPr>
            </w:pPr>
            <w:r w:rsidRPr="00A9330B">
              <w:rPr>
                <w:rFonts w:cs="Arial"/>
                <w:sz w:val="16"/>
                <w:szCs w:val="16"/>
              </w:rPr>
              <w:t xml:space="preserve">Faible </w:t>
            </w:r>
          </w:p>
        </w:tc>
      </w:tr>
      <w:tr w:rsidR="00401546" w:rsidRPr="00A9330B" w14:paraId="7883F37A" w14:textId="77777777" w:rsidTr="0045250F">
        <w:tc>
          <w:tcPr>
            <w:tcW w:w="1028" w:type="pct"/>
            <w:vMerge/>
          </w:tcPr>
          <w:p w14:paraId="72A90622" w14:textId="77777777" w:rsidR="00401546" w:rsidRPr="00A9330B" w:rsidRDefault="00401546" w:rsidP="0013556B">
            <w:pPr>
              <w:widowControl w:val="0"/>
              <w:tabs>
                <w:tab w:val="left" w:pos="426"/>
                <w:tab w:val="left" w:pos="851"/>
                <w:tab w:val="left" w:pos="1134"/>
              </w:tabs>
              <w:overflowPunct w:val="0"/>
              <w:autoSpaceDE w:val="0"/>
              <w:autoSpaceDN w:val="0"/>
              <w:adjustRightInd w:val="0"/>
              <w:spacing w:before="60" w:line="240" w:lineRule="auto"/>
              <w:textAlignment w:val="baseline"/>
              <w:rPr>
                <w:rFonts w:eastAsia="Times New Roman" w:cs="Arial"/>
                <w:color w:val="auto"/>
                <w:sz w:val="18"/>
                <w:szCs w:val="18"/>
                <w:lang w:eastAsia="fr-FR"/>
              </w:rPr>
            </w:pPr>
          </w:p>
        </w:tc>
        <w:tc>
          <w:tcPr>
            <w:tcW w:w="1478" w:type="pct"/>
          </w:tcPr>
          <w:p w14:paraId="595D3D09" w14:textId="77777777" w:rsidR="00401546" w:rsidRPr="00A9330B" w:rsidRDefault="00401546" w:rsidP="0013556B">
            <w:pPr>
              <w:rPr>
                <w:rFonts w:cs="Arial"/>
                <w:b/>
                <w:sz w:val="18"/>
                <w:szCs w:val="18"/>
              </w:rPr>
            </w:pPr>
            <w:r w:rsidRPr="00A9330B">
              <w:rPr>
                <w:rFonts w:cs="Arial"/>
                <w:b/>
                <w:sz w:val="18"/>
                <w:szCs w:val="18"/>
              </w:rPr>
              <w:t>Pollution du sol et eaux usées</w:t>
            </w:r>
          </w:p>
          <w:p w14:paraId="122B4041" w14:textId="72CA57C7" w:rsidR="00401546" w:rsidRPr="00A9330B" w:rsidRDefault="00401546" w:rsidP="000F7BA7">
            <w:pPr>
              <w:spacing w:before="60"/>
              <w:jc w:val="both"/>
              <w:rPr>
                <w:rFonts w:cs="Arial"/>
                <w:sz w:val="18"/>
                <w:szCs w:val="18"/>
              </w:rPr>
            </w:pPr>
            <w:r w:rsidRPr="00A9330B">
              <w:rPr>
                <w:rFonts w:cs="Arial"/>
                <w:sz w:val="18"/>
                <w:szCs w:val="18"/>
              </w:rPr>
              <w:t xml:space="preserve">La pollution du sol et des eaux usées par des déversements accidentels et des rejets des </w:t>
            </w:r>
            <w:r w:rsidRPr="00A9330B">
              <w:rPr>
                <w:rFonts w:cs="Arial"/>
                <w:sz w:val="18"/>
                <w:szCs w:val="18"/>
              </w:rPr>
              <w:lastRenderedPageBreak/>
              <w:t>produits de vidange et de lavage des engins dans le milieu naturel (huiles usées</w:t>
            </w:r>
            <w:r w:rsidR="00350C9E" w:rsidRPr="00A9330B">
              <w:rPr>
                <w:rFonts w:cs="Arial"/>
                <w:sz w:val="18"/>
                <w:szCs w:val="18"/>
              </w:rPr>
              <w:t xml:space="preserve">, graisses, hydrocarbures etc. </w:t>
            </w:r>
          </w:p>
        </w:tc>
        <w:tc>
          <w:tcPr>
            <w:tcW w:w="410" w:type="pct"/>
            <w:vAlign w:val="center"/>
          </w:tcPr>
          <w:p w14:paraId="204CC2A0" w14:textId="77777777" w:rsidR="00401546" w:rsidRPr="00A9330B" w:rsidRDefault="00401546" w:rsidP="0013556B">
            <w:pPr>
              <w:spacing w:before="60"/>
              <w:rPr>
                <w:rFonts w:cs="Arial"/>
                <w:b/>
                <w:sz w:val="16"/>
                <w:szCs w:val="16"/>
              </w:rPr>
            </w:pPr>
            <w:r w:rsidRPr="00A9330B">
              <w:rPr>
                <w:rFonts w:cs="Arial"/>
                <w:sz w:val="16"/>
                <w:szCs w:val="16"/>
              </w:rPr>
              <w:lastRenderedPageBreak/>
              <w:t>-</w:t>
            </w:r>
          </w:p>
        </w:tc>
        <w:tc>
          <w:tcPr>
            <w:tcW w:w="436" w:type="pct"/>
            <w:vAlign w:val="center"/>
          </w:tcPr>
          <w:p w14:paraId="3BD332C4" w14:textId="77777777" w:rsidR="00401546" w:rsidRPr="00A9330B" w:rsidRDefault="00401546" w:rsidP="0013556B">
            <w:pPr>
              <w:spacing w:before="60"/>
              <w:rPr>
                <w:rFonts w:cs="Arial"/>
                <w:sz w:val="16"/>
                <w:szCs w:val="16"/>
              </w:rPr>
            </w:pPr>
            <w:r w:rsidRPr="00A9330B">
              <w:rPr>
                <w:rFonts w:cs="Arial"/>
                <w:sz w:val="16"/>
                <w:szCs w:val="16"/>
              </w:rPr>
              <w:t xml:space="preserve">faible </w:t>
            </w:r>
          </w:p>
        </w:tc>
        <w:tc>
          <w:tcPr>
            <w:tcW w:w="536" w:type="pct"/>
            <w:vAlign w:val="center"/>
          </w:tcPr>
          <w:p w14:paraId="304F5D59" w14:textId="77777777" w:rsidR="00401546" w:rsidRPr="00A9330B" w:rsidRDefault="00401546" w:rsidP="0013556B">
            <w:pPr>
              <w:spacing w:before="60"/>
              <w:rPr>
                <w:rFonts w:cs="Arial"/>
                <w:sz w:val="16"/>
                <w:szCs w:val="16"/>
              </w:rPr>
            </w:pPr>
            <w:r w:rsidRPr="00A9330B">
              <w:rPr>
                <w:rFonts w:cs="Arial"/>
                <w:sz w:val="16"/>
                <w:szCs w:val="16"/>
              </w:rPr>
              <w:t xml:space="preserve">locale </w:t>
            </w:r>
          </w:p>
        </w:tc>
        <w:tc>
          <w:tcPr>
            <w:tcW w:w="616" w:type="pct"/>
            <w:vAlign w:val="center"/>
          </w:tcPr>
          <w:p w14:paraId="6FBCF87E" w14:textId="77777777" w:rsidR="00401546" w:rsidRPr="00A9330B" w:rsidRDefault="00401546" w:rsidP="0013556B">
            <w:pPr>
              <w:spacing w:before="60"/>
              <w:rPr>
                <w:rFonts w:cs="Arial"/>
                <w:sz w:val="16"/>
                <w:szCs w:val="16"/>
              </w:rPr>
            </w:pPr>
            <w:r w:rsidRPr="00A9330B">
              <w:rPr>
                <w:rFonts w:cs="Arial"/>
                <w:sz w:val="16"/>
                <w:szCs w:val="16"/>
              </w:rPr>
              <w:t>temporaire</w:t>
            </w:r>
          </w:p>
        </w:tc>
        <w:tc>
          <w:tcPr>
            <w:tcW w:w="496" w:type="pct"/>
            <w:vAlign w:val="center"/>
          </w:tcPr>
          <w:p w14:paraId="3F95FFD2" w14:textId="77777777" w:rsidR="00401546" w:rsidRPr="00A9330B" w:rsidRDefault="00401546" w:rsidP="0013556B">
            <w:pPr>
              <w:spacing w:before="60"/>
              <w:rPr>
                <w:rFonts w:cs="Arial"/>
                <w:sz w:val="16"/>
                <w:szCs w:val="16"/>
              </w:rPr>
            </w:pPr>
            <w:r w:rsidRPr="00A9330B">
              <w:rPr>
                <w:rFonts w:cs="Arial"/>
                <w:sz w:val="16"/>
                <w:szCs w:val="16"/>
              </w:rPr>
              <w:t xml:space="preserve">Faible </w:t>
            </w:r>
          </w:p>
        </w:tc>
      </w:tr>
      <w:tr w:rsidR="00401546" w:rsidRPr="00A9330B" w14:paraId="48DB0E64" w14:textId="77777777" w:rsidTr="0045250F">
        <w:tc>
          <w:tcPr>
            <w:tcW w:w="1028" w:type="pct"/>
            <w:vMerge/>
          </w:tcPr>
          <w:p w14:paraId="79208781" w14:textId="77777777" w:rsidR="00401546" w:rsidRPr="00A9330B" w:rsidRDefault="00401546" w:rsidP="0013556B">
            <w:pPr>
              <w:widowControl w:val="0"/>
              <w:tabs>
                <w:tab w:val="left" w:pos="426"/>
                <w:tab w:val="left" w:pos="851"/>
                <w:tab w:val="left" w:pos="1134"/>
              </w:tabs>
              <w:overflowPunct w:val="0"/>
              <w:autoSpaceDE w:val="0"/>
              <w:autoSpaceDN w:val="0"/>
              <w:adjustRightInd w:val="0"/>
              <w:spacing w:before="60" w:line="240" w:lineRule="auto"/>
              <w:textAlignment w:val="baseline"/>
              <w:rPr>
                <w:rFonts w:eastAsia="Times New Roman" w:cs="Arial"/>
                <w:color w:val="auto"/>
                <w:sz w:val="18"/>
                <w:szCs w:val="18"/>
                <w:lang w:eastAsia="fr-FR"/>
              </w:rPr>
            </w:pPr>
          </w:p>
        </w:tc>
        <w:tc>
          <w:tcPr>
            <w:tcW w:w="1478" w:type="pct"/>
          </w:tcPr>
          <w:p w14:paraId="6FFB4730" w14:textId="77777777" w:rsidR="00401546" w:rsidRPr="00A9330B" w:rsidRDefault="00401546" w:rsidP="0013556B">
            <w:pPr>
              <w:rPr>
                <w:rFonts w:cs="Arial"/>
                <w:b/>
                <w:sz w:val="18"/>
                <w:szCs w:val="18"/>
              </w:rPr>
            </w:pPr>
            <w:r w:rsidRPr="00A9330B">
              <w:rPr>
                <w:rFonts w:cs="Arial"/>
                <w:b/>
                <w:sz w:val="18"/>
                <w:szCs w:val="18"/>
              </w:rPr>
              <w:t xml:space="preserve">Déversement des hydrocarbures au sol </w:t>
            </w:r>
          </w:p>
          <w:p w14:paraId="15E6E8DD" w14:textId="77777777" w:rsidR="00401546" w:rsidRPr="00A9330B" w:rsidRDefault="00401546" w:rsidP="000F7BA7">
            <w:pPr>
              <w:jc w:val="both"/>
              <w:rPr>
                <w:rFonts w:cs="Arial"/>
                <w:b/>
                <w:sz w:val="18"/>
                <w:szCs w:val="18"/>
              </w:rPr>
            </w:pPr>
            <w:r w:rsidRPr="00A9330B">
              <w:rPr>
                <w:rFonts w:cs="Arial"/>
                <w:sz w:val="18"/>
                <w:szCs w:val="18"/>
              </w:rPr>
              <w:t xml:space="preserve">Les déversements seront dus ici aux manipulations, aux erreurs humaines et à la perte accidentelle de confinement des produits  </w:t>
            </w:r>
          </w:p>
        </w:tc>
        <w:tc>
          <w:tcPr>
            <w:tcW w:w="410" w:type="pct"/>
            <w:vAlign w:val="center"/>
          </w:tcPr>
          <w:p w14:paraId="56801377" w14:textId="77777777" w:rsidR="00401546" w:rsidRPr="00A9330B" w:rsidRDefault="00401546" w:rsidP="0013556B">
            <w:pPr>
              <w:spacing w:before="60"/>
              <w:rPr>
                <w:rFonts w:cs="Arial"/>
                <w:b/>
                <w:sz w:val="16"/>
                <w:szCs w:val="16"/>
              </w:rPr>
            </w:pPr>
            <w:r w:rsidRPr="00A9330B">
              <w:rPr>
                <w:rFonts w:cs="Arial"/>
                <w:sz w:val="16"/>
                <w:szCs w:val="16"/>
              </w:rPr>
              <w:t>-</w:t>
            </w:r>
          </w:p>
        </w:tc>
        <w:tc>
          <w:tcPr>
            <w:tcW w:w="436" w:type="pct"/>
            <w:vAlign w:val="center"/>
          </w:tcPr>
          <w:p w14:paraId="0A77AA61" w14:textId="77777777" w:rsidR="00401546" w:rsidRPr="00A9330B" w:rsidRDefault="00401546" w:rsidP="0013556B">
            <w:pPr>
              <w:spacing w:before="60"/>
              <w:rPr>
                <w:rFonts w:cs="Arial"/>
                <w:sz w:val="16"/>
                <w:szCs w:val="16"/>
              </w:rPr>
            </w:pPr>
            <w:r w:rsidRPr="00A9330B">
              <w:rPr>
                <w:rFonts w:cs="Arial"/>
                <w:sz w:val="16"/>
                <w:szCs w:val="16"/>
              </w:rPr>
              <w:t>moyenne</w:t>
            </w:r>
          </w:p>
        </w:tc>
        <w:tc>
          <w:tcPr>
            <w:tcW w:w="536" w:type="pct"/>
            <w:vAlign w:val="center"/>
          </w:tcPr>
          <w:p w14:paraId="2BCFFF2A" w14:textId="77777777" w:rsidR="00401546" w:rsidRPr="00A9330B" w:rsidRDefault="00401546" w:rsidP="0013556B">
            <w:pPr>
              <w:spacing w:before="60"/>
              <w:rPr>
                <w:rFonts w:cs="Arial"/>
                <w:sz w:val="16"/>
                <w:szCs w:val="16"/>
              </w:rPr>
            </w:pPr>
            <w:r w:rsidRPr="00A9330B">
              <w:rPr>
                <w:rFonts w:cs="Arial"/>
                <w:sz w:val="16"/>
                <w:szCs w:val="16"/>
              </w:rPr>
              <w:t>locale</w:t>
            </w:r>
          </w:p>
        </w:tc>
        <w:tc>
          <w:tcPr>
            <w:tcW w:w="616" w:type="pct"/>
            <w:vAlign w:val="center"/>
          </w:tcPr>
          <w:p w14:paraId="657CC360" w14:textId="77777777" w:rsidR="00401546" w:rsidRPr="00A9330B" w:rsidRDefault="00401546" w:rsidP="0013556B">
            <w:pPr>
              <w:spacing w:before="60"/>
              <w:rPr>
                <w:rFonts w:cs="Arial"/>
                <w:sz w:val="16"/>
                <w:szCs w:val="16"/>
              </w:rPr>
            </w:pPr>
            <w:r w:rsidRPr="00A9330B">
              <w:rPr>
                <w:rFonts w:cs="Arial"/>
                <w:sz w:val="16"/>
                <w:szCs w:val="16"/>
              </w:rPr>
              <w:t>temporaire</w:t>
            </w:r>
          </w:p>
        </w:tc>
        <w:tc>
          <w:tcPr>
            <w:tcW w:w="496" w:type="pct"/>
            <w:vAlign w:val="center"/>
          </w:tcPr>
          <w:p w14:paraId="7E6020E6" w14:textId="77777777" w:rsidR="00401546" w:rsidRPr="00A9330B" w:rsidRDefault="00401546" w:rsidP="0013556B">
            <w:pPr>
              <w:spacing w:before="60"/>
              <w:rPr>
                <w:rFonts w:cs="Arial"/>
                <w:sz w:val="16"/>
                <w:szCs w:val="16"/>
              </w:rPr>
            </w:pPr>
            <w:r w:rsidRPr="00A9330B">
              <w:rPr>
                <w:rFonts w:cs="Arial"/>
                <w:sz w:val="16"/>
                <w:szCs w:val="16"/>
              </w:rPr>
              <w:t xml:space="preserve">Faible </w:t>
            </w:r>
          </w:p>
        </w:tc>
      </w:tr>
      <w:tr w:rsidR="00401546" w:rsidRPr="00A9330B" w14:paraId="56D7557A" w14:textId="77777777" w:rsidTr="0045250F">
        <w:tc>
          <w:tcPr>
            <w:tcW w:w="1028" w:type="pct"/>
            <w:vMerge/>
          </w:tcPr>
          <w:p w14:paraId="16C3EF78" w14:textId="77777777" w:rsidR="00401546" w:rsidRPr="00A9330B" w:rsidRDefault="00401546" w:rsidP="0013556B">
            <w:pPr>
              <w:widowControl w:val="0"/>
              <w:tabs>
                <w:tab w:val="left" w:pos="426"/>
                <w:tab w:val="left" w:pos="851"/>
                <w:tab w:val="left" w:pos="1134"/>
              </w:tabs>
              <w:overflowPunct w:val="0"/>
              <w:autoSpaceDE w:val="0"/>
              <w:autoSpaceDN w:val="0"/>
              <w:adjustRightInd w:val="0"/>
              <w:spacing w:before="60" w:line="240" w:lineRule="auto"/>
              <w:textAlignment w:val="baseline"/>
              <w:rPr>
                <w:rFonts w:eastAsia="Times New Roman" w:cs="Arial"/>
                <w:color w:val="auto"/>
                <w:sz w:val="18"/>
                <w:szCs w:val="18"/>
                <w:lang w:eastAsia="fr-FR"/>
              </w:rPr>
            </w:pPr>
          </w:p>
        </w:tc>
        <w:tc>
          <w:tcPr>
            <w:tcW w:w="1478" w:type="pct"/>
          </w:tcPr>
          <w:p w14:paraId="75C6799A" w14:textId="77777777" w:rsidR="00401546" w:rsidRPr="00A9330B" w:rsidRDefault="00401546" w:rsidP="0013556B">
            <w:pPr>
              <w:rPr>
                <w:rFonts w:cs="Arial"/>
                <w:b/>
                <w:sz w:val="18"/>
                <w:szCs w:val="18"/>
              </w:rPr>
            </w:pPr>
            <w:r w:rsidRPr="00A9330B">
              <w:rPr>
                <w:rFonts w:cs="Arial"/>
                <w:b/>
                <w:sz w:val="18"/>
                <w:szCs w:val="18"/>
              </w:rPr>
              <w:t xml:space="preserve">Pollution du sol et des nappes par les eaux usées, huiles usagées (graisses, hydrocarbures, lubrifiants)  </w:t>
            </w:r>
          </w:p>
          <w:p w14:paraId="5A33ECD3" w14:textId="77777777" w:rsidR="00401546" w:rsidRPr="00A9330B" w:rsidRDefault="00401546" w:rsidP="000F7BA7">
            <w:pPr>
              <w:jc w:val="both"/>
              <w:rPr>
                <w:rFonts w:cs="Arial"/>
                <w:b/>
                <w:sz w:val="18"/>
                <w:szCs w:val="18"/>
              </w:rPr>
            </w:pPr>
            <w:r w:rsidRPr="00A9330B">
              <w:rPr>
                <w:rFonts w:cs="Arial"/>
                <w:sz w:val="18"/>
                <w:szCs w:val="18"/>
              </w:rPr>
              <w:t xml:space="preserve">Les déversements peuvent par infiltration contaminer le sol et atteindre les nappes  </w:t>
            </w:r>
          </w:p>
        </w:tc>
        <w:tc>
          <w:tcPr>
            <w:tcW w:w="410" w:type="pct"/>
            <w:vAlign w:val="center"/>
          </w:tcPr>
          <w:p w14:paraId="15113971" w14:textId="77777777" w:rsidR="00401546" w:rsidRPr="00A9330B" w:rsidRDefault="00401546" w:rsidP="0013556B">
            <w:pPr>
              <w:spacing w:before="60"/>
              <w:rPr>
                <w:rFonts w:cs="Arial"/>
                <w:b/>
                <w:sz w:val="16"/>
                <w:szCs w:val="16"/>
              </w:rPr>
            </w:pPr>
            <w:r w:rsidRPr="00A9330B">
              <w:rPr>
                <w:rFonts w:cs="Arial"/>
                <w:sz w:val="16"/>
                <w:szCs w:val="16"/>
              </w:rPr>
              <w:t>-</w:t>
            </w:r>
          </w:p>
        </w:tc>
        <w:tc>
          <w:tcPr>
            <w:tcW w:w="436" w:type="pct"/>
            <w:vAlign w:val="center"/>
          </w:tcPr>
          <w:p w14:paraId="50D54EE9" w14:textId="77777777" w:rsidR="00401546" w:rsidRPr="00A9330B" w:rsidRDefault="00401546" w:rsidP="0013556B">
            <w:pPr>
              <w:spacing w:before="60"/>
              <w:rPr>
                <w:rFonts w:cs="Arial"/>
                <w:sz w:val="16"/>
                <w:szCs w:val="16"/>
              </w:rPr>
            </w:pPr>
            <w:r w:rsidRPr="00A9330B">
              <w:rPr>
                <w:rFonts w:cs="Arial"/>
                <w:sz w:val="16"/>
                <w:szCs w:val="16"/>
              </w:rPr>
              <w:t>moyenne</w:t>
            </w:r>
          </w:p>
        </w:tc>
        <w:tc>
          <w:tcPr>
            <w:tcW w:w="536" w:type="pct"/>
            <w:vAlign w:val="center"/>
          </w:tcPr>
          <w:p w14:paraId="22411697" w14:textId="77777777" w:rsidR="00401546" w:rsidRPr="00A9330B" w:rsidRDefault="00401546" w:rsidP="0013556B">
            <w:pPr>
              <w:spacing w:before="60"/>
              <w:rPr>
                <w:rFonts w:cs="Arial"/>
                <w:sz w:val="16"/>
                <w:szCs w:val="16"/>
              </w:rPr>
            </w:pPr>
            <w:r w:rsidRPr="00A9330B">
              <w:rPr>
                <w:rFonts w:cs="Arial"/>
                <w:sz w:val="16"/>
                <w:szCs w:val="16"/>
              </w:rPr>
              <w:t>locale</w:t>
            </w:r>
          </w:p>
        </w:tc>
        <w:tc>
          <w:tcPr>
            <w:tcW w:w="616" w:type="pct"/>
            <w:vAlign w:val="center"/>
          </w:tcPr>
          <w:p w14:paraId="360C5F72" w14:textId="77777777" w:rsidR="00401546" w:rsidRPr="00A9330B" w:rsidRDefault="00401546" w:rsidP="0013556B">
            <w:pPr>
              <w:spacing w:before="60"/>
              <w:rPr>
                <w:rFonts w:cs="Arial"/>
                <w:sz w:val="16"/>
                <w:szCs w:val="16"/>
              </w:rPr>
            </w:pPr>
            <w:r w:rsidRPr="00A9330B">
              <w:rPr>
                <w:rFonts w:cs="Arial"/>
                <w:sz w:val="16"/>
                <w:szCs w:val="16"/>
              </w:rPr>
              <w:t xml:space="preserve">temporaire </w:t>
            </w:r>
          </w:p>
        </w:tc>
        <w:tc>
          <w:tcPr>
            <w:tcW w:w="496" w:type="pct"/>
            <w:vAlign w:val="center"/>
          </w:tcPr>
          <w:p w14:paraId="13B661EC" w14:textId="77777777" w:rsidR="00401546" w:rsidRPr="00A9330B" w:rsidRDefault="00401546" w:rsidP="0013556B">
            <w:pPr>
              <w:spacing w:before="60"/>
              <w:rPr>
                <w:rFonts w:cs="Arial"/>
                <w:sz w:val="16"/>
                <w:szCs w:val="16"/>
              </w:rPr>
            </w:pPr>
            <w:r w:rsidRPr="00A9330B">
              <w:rPr>
                <w:rFonts w:cs="Arial"/>
                <w:sz w:val="16"/>
                <w:szCs w:val="16"/>
              </w:rPr>
              <w:t xml:space="preserve">Faible </w:t>
            </w:r>
          </w:p>
        </w:tc>
      </w:tr>
      <w:tr w:rsidR="00401546" w:rsidRPr="00A9330B" w14:paraId="0CCA0F29" w14:textId="77777777" w:rsidTr="0045250F">
        <w:tc>
          <w:tcPr>
            <w:tcW w:w="1028" w:type="pct"/>
          </w:tcPr>
          <w:p w14:paraId="1DF712BF" w14:textId="77777777" w:rsidR="00401546" w:rsidRPr="00A9330B" w:rsidRDefault="00401546" w:rsidP="0013556B">
            <w:pPr>
              <w:widowControl w:val="0"/>
              <w:tabs>
                <w:tab w:val="left" w:pos="426"/>
                <w:tab w:val="left" w:pos="851"/>
                <w:tab w:val="left" w:pos="1134"/>
              </w:tabs>
              <w:overflowPunct w:val="0"/>
              <w:autoSpaceDE w:val="0"/>
              <w:autoSpaceDN w:val="0"/>
              <w:adjustRightInd w:val="0"/>
              <w:spacing w:before="60" w:line="240" w:lineRule="auto"/>
              <w:textAlignment w:val="baseline"/>
              <w:rPr>
                <w:rFonts w:eastAsia="Times New Roman" w:cs="Arial"/>
                <w:color w:val="auto"/>
                <w:sz w:val="18"/>
                <w:szCs w:val="18"/>
                <w:lang w:eastAsia="fr-FR"/>
              </w:rPr>
            </w:pPr>
          </w:p>
        </w:tc>
        <w:tc>
          <w:tcPr>
            <w:tcW w:w="1478" w:type="pct"/>
          </w:tcPr>
          <w:p w14:paraId="2A96F2AB" w14:textId="77777777" w:rsidR="00401546" w:rsidRPr="00A9330B" w:rsidRDefault="00401546" w:rsidP="0013556B">
            <w:pPr>
              <w:spacing w:before="60"/>
              <w:rPr>
                <w:rFonts w:cs="Arial"/>
                <w:b/>
                <w:sz w:val="18"/>
                <w:szCs w:val="18"/>
              </w:rPr>
            </w:pPr>
            <w:r w:rsidRPr="00A9330B">
              <w:rPr>
                <w:rFonts w:cs="Arial"/>
                <w:b/>
                <w:sz w:val="18"/>
                <w:szCs w:val="18"/>
              </w:rPr>
              <w:t xml:space="preserve">Turbidité de l’eau </w:t>
            </w:r>
          </w:p>
          <w:p w14:paraId="7BE85652" w14:textId="77777777" w:rsidR="00401546" w:rsidRPr="00A9330B" w:rsidRDefault="00401546" w:rsidP="000F7BA7">
            <w:pPr>
              <w:spacing w:before="60"/>
              <w:jc w:val="both"/>
              <w:rPr>
                <w:rFonts w:cs="Arial"/>
                <w:sz w:val="18"/>
                <w:szCs w:val="18"/>
              </w:rPr>
            </w:pPr>
            <w:r w:rsidRPr="00A9330B">
              <w:rPr>
                <w:rFonts w:cs="Arial"/>
                <w:sz w:val="18"/>
                <w:szCs w:val="18"/>
              </w:rPr>
              <w:t xml:space="preserve">Les purges et fouilles contribueront à remettre les matières en suspension et ainsi augmenter leur turbidité notamment lors de la réalisation des ouvrages </w:t>
            </w:r>
          </w:p>
        </w:tc>
        <w:tc>
          <w:tcPr>
            <w:tcW w:w="410" w:type="pct"/>
            <w:vAlign w:val="center"/>
          </w:tcPr>
          <w:p w14:paraId="1B447D94" w14:textId="77777777" w:rsidR="00401546" w:rsidRPr="00A9330B" w:rsidRDefault="00401546" w:rsidP="0013556B">
            <w:pPr>
              <w:spacing w:before="60"/>
              <w:rPr>
                <w:rFonts w:cs="Arial"/>
                <w:b/>
                <w:sz w:val="16"/>
                <w:szCs w:val="16"/>
              </w:rPr>
            </w:pPr>
            <w:r w:rsidRPr="00A9330B">
              <w:rPr>
                <w:rFonts w:cs="Arial"/>
                <w:sz w:val="16"/>
                <w:szCs w:val="16"/>
              </w:rPr>
              <w:t>-</w:t>
            </w:r>
          </w:p>
        </w:tc>
        <w:tc>
          <w:tcPr>
            <w:tcW w:w="436" w:type="pct"/>
            <w:vAlign w:val="center"/>
          </w:tcPr>
          <w:p w14:paraId="2D925EEC" w14:textId="77777777" w:rsidR="00401546" w:rsidRPr="00A9330B" w:rsidRDefault="00401546" w:rsidP="0013556B">
            <w:pPr>
              <w:spacing w:before="60"/>
              <w:rPr>
                <w:rFonts w:cs="Arial"/>
                <w:sz w:val="16"/>
                <w:szCs w:val="16"/>
              </w:rPr>
            </w:pPr>
            <w:r w:rsidRPr="00A9330B">
              <w:rPr>
                <w:rFonts w:cs="Arial"/>
                <w:sz w:val="16"/>
                <w:szCs w:val="16"/>
              </w:rPr>
              <w:t xml:space="preserve">Forte </w:t>
            </w:r>
          </w:p>
        </w:tc>
        <w:tc>
          <w:tcPr>
            <w:tcW w:w="536" w:type="pct"/>
            <w:vAlign w:val="center"/>
          </w:tcPr>
          <w:p w14:paraId="63505A80" w14:textId="77777777" w:rsidR="00401546" w:rsidRPr="00A9330B" w:rsidRDefault="00401546" w:rsidP="0013556B">
            <w:pPr>
              <w:spacing w:before="60"/>
              <w:rPr>
                <w:rFonts w:cs="Arial"/>
                <w:sz w:val="16"/>
                <w:szCs w:val="16"/>
              </w:rPr>
            </w:pPr>
            <w:r w:rsidRPr="00A9330B">
              <w:rPr>
                <w:rFonts w:cs="Arial"/>
                <w:sz w:val="16"/>
                <w:szCs w:val="16"/>
              </w:rPr>
              <w:t>locale</w:t>
            </w:r>
          </w:p>
        </w:tc>
        <w:tc>
          <w:tcPr>
            <w:tcW w:w="616" w:type="pct"/>
            <w:vAlign w:val="center"/>
          </w:tcPr>
          <w:p w14:paraId="1CACC761" w14:textId="77777777" w:rsidR="00401546" w:rsidRPr="00A9330B" w:rsidRDefault="00401546" w:rsidP="0013556B">
            <w:pPr>
              <w:spacing w:before="60"/>
              <w:rPr>
                <w:rFonts w:cs="Arial"/>
                <w:sz w:val="16"/>
                <w:szCs w:val="16"/>
              </w:rPr>
            </w:pPr>
            <w:r w:rsidRPr="00A9330B">
              <w:rPr>
                <w:rFonts w:cs="Arial"/>
                <w:sz w:val="16"/>
                <w:szCs w:val="16"/>
              </w:rPr>
              <w:t xml:space="preserve">temporaire </w:t>
            </w:r>
          </w:p>
        </w:tc>
        <w:tc>
          <w:tcPr>
            <w:tcW w:w="496" w:type="pct"/>
            <w:vAlign w:val="center"/>
          </w:tcPr>
          <w:p w14:paraId="2B6996C7" w14:textId="77777777" w:rsidR="00401546" w:rsidRPr="00A9330B" w:rsidRDefault="00401546" w:rsidP="0013556B">
            <w:pPr>
              <w:spacing w:before="60"/>
              <w:rPr>
                <w:rFonts w:cs="Arial"/>
                <w:sz w:val="16"/>
                <w:szCs w:val="16"/>
              </w:rPr>
            </w:pPr>
            <w:r w:rsidRPr="00A9330B">
              <w:rPr>
                <w:rFonts w:cs="Arial"/>
                <w:sz w:val="16"/>
                <w:szCs w:val="16"/>
              </w:rPr>
              <w:t xml:space="preserve">Moyenne </w:t>
            </w:r>
          </w:p>
        </w:tc>
      </w:tr>
      <w:tr w:rsidR="004C234F" w:rsidRPr="00A9330B" w14:paraId="0DEACC98" w14:textId="77777777" w:rsidTr="0045250F">
        <w:tc>
          <w:tcPr>
            <w:tcW w:w="1028" w:type="pct"/>
          </w:tcPr>
          <w:p w14:paraId="3A9F1CDA" w14:textId="77777777" w:rsidR="004C234F" w:rsidRDefault="004C234F" w:rsidP="004C234F">
            <w:pPr>
              <w:widowControl w:val="0"/>
              <w:tabs>
                <w:tab w:val="left" w:pos="426"/>
                <w:tab w:val="left" w:pos="851"/>
                <w:tab w:val="left" w:pos="1134"/>
              </w:tabs>
              <w:overflowPunct w:val="0"/>
              <w:autoSpaceDE w:val="0"/>
              <w:autoSpaceDN w:val="0"/>
              <w:adjustRightInd w:val="0"/>
              <w:spacing w:before="60" w:line="240" w:lineRule="auto"/>
              <w:textAlignment w:val="baseline"/>
              <w:rPr>
                <w:rFonts w:eastAsia="Times New Roman" w:cs="Arial"/>
                <w:i/>
                <w:color w:val="auto"/>
                <w:sz w:val="18"/>
                <w:szCs w:val="18"/>
                <w:lang w:eastAsia="fr-FR"/>
              </w:rPr>
            </w:pPr>
            <w:r w:rsidRPr="00A9330B">
              <w:rPr>
                <w:rFonts w:eastAsia="Times New Roman" w:cs="Times New Roman"/>
                <w:i/>
                <w:color w:val="auto"/>
                <w:sz w:val="18"/>
                <w:szCs w:val="18"/>
                <w:lang w:eastAsia="fr-FR"/>
              </w:rPr>
              <w:t xml:space="preserve">2.11. Aménagement paysager, </w:t>
            </w:r>
            <w:r w:rsidRPr="00A9330B">
              <w:rPr>
                <w:rFonts w:eastAsia="Times New Roman" w:cs="Arial"/>
                <w:i/>
                <w:color w:val="auto"/>
                <w:sz w:val="18"/>
                <w:szCs w:val="18"/>
                <w:lang w:eastAsia="fr-FR"/>
              </w:rPr>
              <w:t xml:space="preserve">Mesures d’accompagnement </w:t>
            </w:r>
          </w:p>
          <w:p w14:paraId="709757C1" w14:textId="77777777" w:rsidR="004C234F" w:rsidRPr="00E216F6" w:rsidRDefault="004C234F" w:rsidP="004C234F">
            <w:pPr>
              <w:widowControl w:val="0"/>
              <w:tabs>
                <w:tab w:val="left" w:pos="426"/>
                <w:tab w:val="left" w:pos="851"/>
                <w:tab w:val="left" w:pos="1134"/>
              </w:tabs>
              <w:overflowPunct w:val="0"/>
              <w:autoSpaceDE w:val="0"/>
              <w:autoSpaceDN w:val="0"/>
              <w:adjustRightInd w:val="0"/>
              <w:spacing w:before="40" w:line="240" w:lineRule="auto"/>
              <w:jc w:val="both"/>
              <w:textAlignment w:val="baseline"/>
              <w:rPr>
                <w:rFonts w:eastAsia="Times New Roman" w:cs="Arial"/>
                <w:color w:val="auto"/>
                <w:sz w:val="19"/>
                <w:szCs w:val="19"/>
                <w:lang w:eastAsia="fr-FR"/>
              </w:rPr>
            </w:pPr>
            <w:r w:rsidRPr="00E216F6">
              <w:rPr>
                <w:rFonts w:eastAsia="Times New Roman" w:cs="Arial"/>
                <w:color w:val="auto"/>
                <w:sz w:val="19"/>
                <w:szCs w:val="19"/>
                <w:lang w:eastAsia="fr-FR"/>
              </w:rPr>
              <w:t>Protection des talus</w:t>
            </w:r>
          </w:p>
          <w:p w14:paraId="790E83CA" w14:textId="77777777" w:rsidR="004C234F" w:rsidRPr="00E216F6" w:rsidRDefault="004C234F" w:rsidP="004C234F">
            <w:pPr>
              <w:widowControl w:val="0"/>
              <w:tabs>
                <w:tab w:val="left" w:pos="426"/>
                <w:tab w:val="left" w:pos="851"/>
                <w:tab w:val="left" w:pos="1134"/>
              </w:tabs>
              <w:overflowPunct w:val="0"/>
              <w:autoSpaceDE w:val="0"/>
              <w:autoSpaceDN w:val="0"/>
              <w:adjustRightInd w:val="0"/>
              <w:spacing w:before="40" w:line="240" w:lineRule="auto"/>
              <w:jc w:val="both"/>
              <w:textAlignment w:val="baseline"/>
              <w:rPr>
                <w:rFonts w:eastAsia="Times New Roman" w:cs="Arial"/>
                <w:color w:val="auto"/>
                <w:sz w:val="19"/>
                <w:szCs w:val="19"/>
                <w:lang w:eastAsia="fr-FR"/>
              </w:rPr>
            </w:pPr>
            <w:r w:rsidRPr="00E216F6">
              <w:rPr>
                <w:rFonts w:eastAsia="Times New Roman" w:cs="Arial"/>
                <w:color w:val="auto"/>
                <w:sz w:val="19"/>
                <w:szCs w:val="19"/>
                <w:lang w:eastAsia="fr-FR"/>
              </w:rPr>
              <w:t xml:space="preserve">Plantation d’arbres </w:t>
            </w:r>
          </w:p>
          <w:p w14:paraId="3CE2E62D" w14:textId="77777777" w:rsidR="004C234F" w:rsidRPr="00E216F6" w:rsidRDefault="004C234F" w:rsidP="004C234F">
            <w:pPr>
              <w:widowControl w:val="0"/>
              <w:tabs>
                <w:tab w:val="left" w:pos="426"/>
                <w:tab w:val="left" w:pos="851"/>
                <w:tab w:val="left" w:pos="1134"/>
              </w:tabs>
              <w:overflowPunct w:val="0"/>
              <w:autoSpaceDE w:val="0"/>
              <w:autoSpaceDN w:val="0"/>
              <w:adjustRightInd w:val="0"/>
              <w:spacing w:before="40" w:line="240" w:lineRule="auto"/>
              <w:jc w:val="both"/>
              <w:textAlignment w:val="baseline"/>
              <w:rPr>
                <w:rFonts w:eastAsia="Times New Roman" w:cs="Arial"/>
                <w:color w:val="auto"/>
                <w:sz w:val="19"/>
                <w:szCs w:val="19"/>
                <w:lang w:eastAsia="fr-FR"/>
              </w:rPr>
            </w:pPr>
            <w:r w:rsidRPr="00E216F6">
              <w:rPr>
                <w:rFonts w:eastAsia="Times New Roman" w:cs="Arial"/>
                <w:color w:val="auto"/>
                <w:sz w:val="19"/>
                <w:szCs w:val="19"/>
                <w:lang w:eastAsia="fr-FR"/>
              </w:rPr>
              <w:t>Eclairage (optionnel)</w:t>
            </w:r>
          </w:p>
          <w:p w14:paraId="67A527AF" w14:textId="77777777" w:rsidR="004C234F" w:rsidRPr="00E216F6" w:rsidRDefault="004C234F" w:rsidP="004C234F">
            <w:pPr>
              <w:widowControl w:val="0"/>
              <w:tabs>
                <w:tab w:val="left" w:pos="426"/>
                <w:tab w:val="left" w:pos="851"/>
                <w:tab w:val="left" w:pos="1134"/>
              </w:tabs>
              <w:overflowPunct w:val="0"/>
              <w:autoSpaceDE w:val="0"/>
              <w:autoSpaceDN w:val="0"/>
              <w:adjustRightInd w:val="0"/>
              <w:spacing w:before="40" w:line="240" w:lineRule="auto"/>
              <w:jc w:val="both"/>
              <w:textAlignment w:val="baseline"/>
              <w:rPr>
                <w:rFonts w:eastAsia="Times New Roman" w:cs="Arial"/>
                <w:color w:val="auto"/>
                <w:sz w:val="19"/>
                <w:szCs w:val="19"/>
                <w:lang w:eastAsia="fr-FR"/>
              </w:rPr>
            </w:pPr>
            <w:r w:rsidRPr="00E216F6">
              <w:rPr>
                <w:rFonts w:eastAsia="Times New Roman" w:cs="Arial"/>
                <w:color w:val="auto"/>
                <w:sz w:val="19"/>
                <w:szCs w:val="19"/>
                <w:lang w:eastAsia="fr-FR"/>
              </w:rPr>
              <w:t>Clôture des infrastructures sociocommunautaires</w:t>
            </w:r>
          </w:p>
          <w:p w14:paraId="45F04E86" w14:textId="77777777" w:rsidR="004C234F" w:rsidRPr="00E216F6" w:rsidRDefault="004C234F" w:rsidP="004C234F">
            <w:pPr>
              <w:widowControl w:val="0"/>
              <w:tabs>
                <w:tab w:val="left" w:pos="426"/>
                <w:tab w:val="left" w:pos="851"/>
                <w:tab w:val="left" w:pos="1134"/>
              </w:tabs>
              <w:overflowPunct w:val="0"/>
              <w:autoSpaceDE w:val="0"/>
              <w:autoSpaceDN w:val="0"/>
              <w:adjustRightInd w:val="0"/>
              <w:spacing w:before="40" w:line="240" w:lineRule="auto"/>
              <w:jc w:val="both"/>
              <w:textAlignment w:val="baseline"/>
              <w:rPr>
                <w:rFonts w:eastAsia="Times New Roman" w:cs="Arial"/>
                <w:color w:val="auto"/>
                <w:sz w:val="19"/>
                <w:szCs w:val="19"/>
                <w:lang w:eastAsia="fr-FR"/>
              </w:rPr>
            </w:pPr>
            <w:r w:rsidRPr="00E216F6">
              <w:rPr>
                <w:rFonts w:eastAsia="Times New Roman" w:cs="Arial"/>
                <w:color w:val="auto"/>
                <w:sz w:val="19"/>
                <w:szCs w:val="19"/>
                <w:lang w:eastAsia="fr-FR"/>
              </w:rPr>
              <w:t xml:space="preserve">Construction de latrines </w:t>
            </w:r>
          </w:p>
          <w:p w14:paraId="2F013E60" w14:textId="77777777" w:rsidR="004C234F" w:rsidRPr="00E216F6" w:rsidRDefault="004C234F" w:rsidP="004C234F">
            <w:pPr>
              <w:widowControl w:val="0"/>
              <w:tabs>
                <w:tab w:val="left" w:pos="426"/>
                <w:tab w:val="left" w:pos="851"/>
                <w:tab w:val="left" w:pos="1134"/>
              </w:tabs>
              <w:overflowPunct w:val="0"/>
              <w:autoSpaceDE w:val="0"/>
              <w:autoSpaceDN w:val="0"/>
              <w:adjustRightInd w:val="0"/>
              <w:spacing w:before="40" w:line="240" w:lineRule="auto"/>
              <w:jc w:val="both"/>
              <w:textAlignment w:val="baseline"/>
              <w:rPr>
                <w:rFonts w:eastAsia="Times New Roman" w:cs="Arial"/>
                <w:color w:val="auto"/>
                <w:sz w:val="19"/>
                <w:szCs w:val="19"/>
                <w:lang w:eastAsia="fr-FR"/>
              </w:rPr>
            </w:pPr>
            <w:r w:rsidRPr="00E216F6">
              <w:rPr>
                <w:rFonts w:eastAsia="Times New Roman" w:cs="Arial"/>
                <w:color w:val="auto"/>
                <w:sz w:val="19"/>
                <w:szCs w:val="19"/>
                <w:lang w:eastAsia="fr-FR"/>
              </w:rPr>
              <w:t xml:space="preserve">Construction de point de regroupement de déchets </w:t>
            </w:r>
          </w:p>
          <w:p w14:paraId="5DC2BE97" w14:textId="59C5FB6B" w:rsidR="004C234F" w:rsidRDefault="004C234F" w:rsidP="004C234F">
            <w:pPr>
              <w:widowControl w:val="0"/>
              <w:tabs>
                <w:tab w:val="left" w:pos="426"/>
                <w:tab w:val="left" w:pos="851"/>
                <w:tab w:val="left" w:pos="1134"/>
              </w:tabs>
              <w:overflowPunct w:val="0"/>
              <w:autoSpaceDE w:val="0"/>
              <w:autoSpaceDN w:val="0"/>
              <w:adjustRightInd w:val="0"/>
              <w:spacing w:before="40" w:line="240" w:lineRule="auto"/>
              <w:jc w:val="both"/>
              <w:textAlignment w:val="baseline"/>
              <w:rPr>
                <w:rFonts w:eastAsia="Times New Roman" w:cs="Arial"/>
                <w:color w:val="auto"/>
                <w:sz w:val="19"/>
                <w:szCs w:val="19"/>
                <w:lang w:eastAsia="fr-FR"/>
              </w:rPr>
            </w:pPr>
            <w:r w:rsidRPr="00E216F6">
              <w:rPr>
                <w:rFonts w:eastAsia="Times New Roman" w:cs="Arial"/>
                <w:color w:val="auto"/>
                <w:sz w:val="19"/>
                <w:szCs w:val="19"/>
                <w:lang w:eastAsia="fr-FR"/>
              </w:rPr>
              <w:lastRenderedPageBreak/>
              <w:t xml:space="preserve">Réalisation de forage pour l’alimentation en eau potable au niveau des exutoires </w:t>
            </w:r>
          </w:p>
          <w:p w14:paraId="2E8FB58D" w14:textId="77777777" w:rsidR="004C234F" w:rsidRPr="00E216F6" w:rsidRDefault="004C234F" w:rsidP="004C234F">
            <w:pPr>
              <w:widowControl w:val="0"/>
              <w:tabs>
                <w:tab w:val="left" w:pos="426"/>
                <w:tab w:val="left" w:pos="851"/>
                <w:tab w:val="left" w:pos="1134"/>
              </w:tabs>
              <w:overflowPunct w:val="0"/>
              <w:autoSpaceDE w:val="0"/>
              <w:autoSpaceDN w:val="0"/>
              <w:adjustRightInd w:val="0"/>
              <w:spacing w:before="40" w:line="240" w:lineRule="auto"/>
              <w:jc w:val="both"/>
              <w:textAlignment w:val="baseline"/>
              <w:rPr>
                <w:rFonts w:eastAsia="Times New Roman" w:cs="Arial"/>
                <w:color w:val="auto"/>
                <w:sz w:val="19"/>
                <w:szCs w:val="19"/>
                <w:lang w:eastAsia="fr-FR"/>
              </w:rPr>
            </w:pPr>
            <w:r w:rsidRPr="00E216F6">
              <w:rPr>
                <w:rFonts w:eastAsia="Times New Roman" w:cs="Arial"/>
                <w:color w:val="auto"/>
                <w:sz w:val="19"/>
                <w:szCs w:val="19"/>
                <w:lang w:eastAsia="fr-FR"/>
              </w:rPr>
              <w:t xml:space="preserve">Construction de piège à sédiment au niveau des exutoires </w:t>
            </w:r>
          </w:p>
          <w:p w14:paraId="1B4B1FA6" w14:textId="4C5F07B8" w:rsidR="004C234F" w:rsidRPr="00E216F6" w:rsidRDefault="004C234F" w:rsidP="004C234F">
            <w:pPr>
              <w:widowControl w:val="0"/>
              <w:tabs>
                <w:tab w:val="left" w:pos="426"/>
                <w:tab w:val="left" w:pos="851"/>
                <w:tab w:val="left" w:pos="1134"/>
              </w:tabs>
              <w:overflowPunct w:val="0"/>
              <w:autoSpaceDE w:val="0"/>
              <w:autoSpaceDN w:val="0"/>
              <w:adjustRightInd w:val="0"/>
              <w:spacing w:before="40" w:line="240" w:lineRule="auto"/>
              <w:jc w:val="both"/>
              <w:textAlignment w:val="baseline"/>
              <w:rPr>
                <w:rFonts w:eastAsia="Times New Roman" w:cs="Arial"/>
                <w:color w:val="auto"/>
                <w:sz w:val="19"/>
                <w:szCs w:val="19"/>
                <w:lang w:eastAsia="fr-FR"/>
              </w:rPr>
            </w:pPr>
            <w:r w:rsidRPr="00E216F6">
              <w:rPr>
                <w:rFonts w:eastAsia="Times New Roman" w:cs="Arial"/>
                <w:color w:val="auto"/>
                <w:sz w:val="19"/>
                <w:szCs w:val="19"/>
                <w:lang w:eastAsia="fr-FR"/>
              </w:rPr>
              <w:t>Réalisation d’un dispositif de récupération des déchets solides au niveau de la sort</w:t>
            </w:r>
            <w:r>
              <w:rPr>
                <w:rFonts w:eastAsia="Times New Roman" w:cs="Arial"/>
                <w:color w:val="auto"/>
                <w:sz w:val="19"/>
                <w:szCs w:val="19"/>
                <w:lang w:eastAsia="fr-FR"/>
              </w:rPr>
              <w:t>i</w:t>
            </w:r>
            <w:r w:rsidRPr="00E216F6">
              <w:rPr>
                <w:rFonts w:eastAsia="Times New Roman" w:cs="Arial"/>
                <w:color w:val="auto"/>
                <w:sz w:val="19"/>
                <w:szCs w:val="19"/>
                <w:lang w:eastAsia="fr-FR"/>
              </w:rPr>
              <w:t>e des eaux en aval des ouvrages</w:t>
            </w:r>
          </w:p>
          <w:p w14:paraId="3EB45A95" w14:textId="72F4F670" w:rsidR="004C234F" w:rsidRPr="00A9330B" w:rsidRDefault="004C234F" w:rsidP="004C234F">
            <w:pPr>
              <w:widowControl w:val="0"/>
              <w:tabs>
                <w:tab w:val="left" w:pos="426"/>
                <w:tab w:val="left" w:pos="851"/>
                <w:tab w:val="left" w:pos="1134"/>
              </w:tabs>
              <w:overflowPunct w:val="0"/>
              <w:autoSpaceDE w:val="0"/>
              <w:autoSpaceDN w:val="0"/>
              <w:adjustRightInd w:val="0"/>
              <w:spacing w:before="60" w:line="240" w:lineRule="auto"/>
              <w:textAlignment w:val="baseline"/>
              <w:rPr>
                <w:rFonts w:eastAsia="Times New Roman" w:cs="Arial"/>
                <w:color w:val="auto"/>
                <w:sz w:val="18"/>
                <w:szCs w:val="18"/>
                <w:lang w:eastAsia="fr-FR"/>
              </w:rPr>
            </w:pPr>
          </w:p>
        </w:tc>
        <w:tc>
          <w:tcPr>
            <w:tcW w:w="1478" w:type="pct"/>
          </w:tcPr>
          <w:p w14:paraId="26593BFD" w14:textId="629F40FA" w:rsidR="004C234F" w:rsidRDefault="004C234F" w:rsidP="004C234F">
            <w:pPr>
              <w:spacing w:before="60"/>
              <w:jc w:val="left"/>
              <w:rPr>
                <w:rFonts w:eastAsia="Times New Roman" w:cs="Arial"/>
                <w:color w:val="auto"/>
                <w:sz w:val="19"/>
                <w:szCs w:val="19"/>
                <w:lang w:eastAsia="fr-FR"/>
              </w:rPr>
            </w:pPr>
            <w:r>
              <w:rPr>
                <w:rFonts w:eastAsia="Times New Roman" w:cs="Arial"/>
                <w:color w:val="auto"/>
                <w:sz w:val="19"/>
                <w:szCs w:val="19"/>
                <w:lang w:eastAsia="fr-FR"/>
              </w:rPr>
              <w:lastRenderedPageBreak/>
              <w:t xml:space="preserve">Pour l’essentiel ces mesures sont positives pour les populations bénéficiaires </w:t>
            </w:r>
          </w:p>
          <w:p w14:paraId="56CD66A2" w14:textId="4D56089A" w:rsidR="004C234F" w:rsidRDefault="004C234F" w:rsidP="004C234F">
            <w:pPr>
              <w:spacing w:before="60"/>
              <w:jc w:val="left"/>
              <w:rPr>
                <w:rFonts w:eastAsia="Times New Roman" w:cs="Arial"/>
                <w:color w:val="auto"/>
                <w:sz w:val="19"/>
                <w:szCs w:val="19"/>
                <w:lang w:eastAsia="fr-FR"/>
              </w:rPr>
            </w:pPr>
            <w:r>
              <w:rPr>
                <w:rFonts w:eastAsia="Times New Roman" w:cs="Arial"/>
                <w:color w:val="auto"/>
                <w:sz w:val="19"/>
                <w:szCs w:val="19"/>
                <w:lang w:eastAsia="fr-FR"/>
              </w:rPr>
              <w:t>Mais leur réalisation est susceptible de générer quelques nuisances étant donné que ce seront des travaux de BTP</w:t>
            </w:r>
          </w:p>
          <w:p w14:paraId="44A7C77B" w14:textId="1ADA54C2" w:rsidR="004C234F" w:rsidRDefault="004C234F" w:rsidP="004C234F">
            <w:pPr>
              <w:spacing w:before="60"/>
              <w:jc w:val="left"/>
              <w:rPr>
                <w:rFonts w:eastAsia="Times New Roman" w:cs="Arial"/>
                <w:color w:val="auto"/>
                <w:sz w:val="19"/>
                <w:szCs w:val="19"/>
                <w:lang w:eastAsia="fr-FR"/>
              </w:rPr>
            </w:pPr>
            <w:r>
              <w:rPr>
                <w:rFonts w:eastAsia="Times New Roman" w:cs="Arial"/>
                <w:color w:val="auto"/>
                <w:sz w:val="19"/>
                <w:szCs w:val="19"/>
                <w:lang w:eastAsia="fr-FR"/>
              </w:rPr>
              <w:t xml:space="preserve">On aura en général alors des émissions de poussières, des nuisances sonores et des vibrations, des déversements accidentels d’hydrocarbures ou de produits chimiques au sol </w:t>
            </w:r>
          </w:p>
          <w:p w14:paraId="2803D2EF" w14:textId="7809ADB0" w:rsidR="004C234F" w:rsidRPr="00A9330B" w:rsidRDefault="004C234F" w:rsidP="004C234F">
            <w:pPr>
              <w:spacing w:before="60"/>
              <w:rPr>
                <w:rFonts w:cs="Arial"/>
                <w:sz w:val="18"/>
                <w:szCs w:val="18"/>
              </w:rPr>
            </w:pPr>
            <w:r>
              <w:rPr>
                <w:rFonts w:eastAsia="Times New Roman" w:cs="Arial"/>
                <w:color w:val="auto"/>
                <w:sz w:val="19"/>
                <w:szCs w:val="19"/>
                <w:lang w:eastAsia="fr-FR"/>
              </w:rPr>
              <w:lastRenderedPageBreak/>
              <w:t xml:space="preserve"> </w:t>
            </w:r>
            <w:r w:rsidRPr="00E216F6">
              <w:rPr>
                <w:rFonts w:eastAsia="Times New Roman" w:cs="Arial"/>
                <w:color w:val="auto"/>
                <w:sz w:val="19"/>
                <w:szCs w:val="19"/>
                <w:lang w:eastAsia="fr-FR"/>
              </w:rPr>
              <w:t xml:space="preserve"> </w:t>
            </w:r>
          </w:p>
        </w:tc>
        <w:tc>
          <w:tcPr>
            <w:tcW w:w="410" w:type="pct"/>
            <w:vAlign w:val="center"/>
          </w:tcPr>
          <w:p w14:paraId="35BFD545" w14:textId="292F504F" w:rsidR="004C234F" w:rsidRPr="00A9330B" w:rsidRDefault="004C234F" w:rsidP="004C234F">
            <w:pPr>
              <w:spacing w:before="60"/>
              <w:rPr>
                <w:rFonts w:cs="Arial"/>
                <w:b/>
                <w:sz w:val="16"/>
                <w:szCs w:val="16"/>
              </w:rPr>
            </w:pPr>
            <w:r>
              <w:rPr>
                <w:rFonts w:cs="Arial"/>
                <w:b/>
                <w:sz w:val="16"/>
                <w:szCs w:val="16"/>
              </w:rPr>
              <w:lastRenderedPageBreak/>
              <w:t>-</w:t>
            </w:r>
          </w:p>
        </w:tc>
        <w:tc>
          <w:tcPr>
            <w:tcW w:w="436" w:type="pct"/>
            <w:vAlign w:val="center"/>
          </w:tcPr>
          <w:p w14:paraId="1B65859F" w14:textId="7688F670" w:rsidR="004C234F" w:rsidRPr="00A9330B" w:rsidRDefault="004C234F" w:rsidP="004C234F">
            <w:pPr>
              <w:spacing w:before="60"/>
              <w:rPr>
                <w:rFonts w:cs="Arial"/>
                <w:sz w:val="16"/>
                <w:szCs w:val="16"/>
              </w:rPr>
            </w:pPr>
            <w:r w:rsidRPr="00A9330B">
              <w:rPr>
                <w:rFonts w:cs="Arial"/>
                <w:sz w:val="16"/>
                <w:szCs w:val="16"/>
              </w:rPr>
              <w:t xml:space="preserve">faible </w:t>
            </w:r>
          </w:p>
        </w:tc>
        <w:tc>
          <w:tcPr>
            <w:tcW w:w="536" w:type="pct"/>
            <w:vAlign w:val="center"/>
          </w:tcPr>
          <w:p w14:paraId="20C3D82A" w14:textId="7F632FE1" w:rsidR="004C234F" w:rsidRPr="00A9330B" w:rsidRDefault="004C234F" w:rsidP="004C234F">
            <w:pPr>
              <w:spacing w:before="60"/>
              <w:rPr>
                <w:rFonts w:cs="Arial"/>
                <w:sz w:val="16"/>
                <w:szCs w:val="16"/>
              </w:rPr>
            </w:pPr>
            <w:r w:rsidRPr="00A9330B">
              <w:rPr>
                <w:rFonts w:cs="Arial"/>
                <w:sz w:val="16"/>
                <w:szCs w:val="16"/>
              </w:rPr>
              <w:t xml:space="preserve">locale </w:t>
            </w:r>
          </w:p>
        </w:tc>
        <w:tc>
          <w:tcPr>
            <w:tcW w:w="616" w:type="pct"/>
            <w:vAlign w:val="center"/>
          </w:tcPr>
          <w:p w14:paraId="14488DF7" w14:textId="1B30BB0F" w:rsidR="004C234F" w:rsidRPr="00A9330B" w:rsidRDefault="004C234F" w:rsidP="004C234F">
            <w:pPr>
              <w:spacing w:before="60"/>
              <w:rPr>
                <w:rFonts w:cs="Arial"/>
                <w:sz w:val="16"/>
                <w:szCs w:val="16"/>
              </w:rPr>
            </w:pPr>
            <w:r w:rsidRPr="00A9330B">
              <w:rPr>
                <w:rFonts w:cs="Arial"/>
                <w:sz w:val="16"/>
                <w:szCs w:val="16"/>
              </w:rPr>
              <w:t>temporaire</w:t>
            </w:r>
          </w:p>
        </w:tc>
        <w:tc>
          <w:tcPr>
            <w:tcW w:w="496" w:type="pct"/>
            <w:vAlign w:val="center"/>
          </w:tcPr>
          <w:p w14:paraId="3E7AF3E1" w14:textId="3784ECB7" w:rsidR="004C234F" w:rsidRPr="00A9330B" w:rsidRDefault="004C234F" w:rsidP="004C234F">
            <w:pPr>
              <w:spacing w:before="60"/>
              <w:rPr>
                <w:rFonts w:cs="Arial"/>
                <w:sz w:val="16"/>
                <w:szCs w:val="16"/>
              </w:rPr>
            </w:pPr>
            <w:r w:rsidRPr="00A9330B">
              <w:rPr>
                <w:rFonts w:cs="Arial"/>
                <w:sz w:val="16"/>
                <w:szCs w:val="16"/>
              </w:rPr>
              <w:t xml:space="preserve">Faible </w:t>
            </w:r>
          </w:p>
        </w:tc>
      </w:tr>
      <w:tr w:rsidR="004C234F" w:rsidRPr="00A9330B" w14:paraId="29B93D77" w14:textId="77777777" w:rsidTr="0045250F">
        <w:tc>
          <w:tcPr>
            <w:tcW w:w="1028" w:type="pct"/>
            <w:vMerge w:val="restart"/>
          </w:tcPr>
          <w:p w14:paraId="03B78C22" w14:textId="77777777" w:rsidR="004C234F" w:rsidRPr="00A9330B" w:rsidRDefault="004C234F" w:rsidP="004C234F">
            <w:pPr>
              <w:rPr>
                <w:rFonts w:cs="Arial"/>
                <w:sz w:val="18"/>
                <w:szCs w:val="18"/>
              </w:rPr>
            </w:pPr>
          </w:p>
          <w:p w14:paraId="3387AE92" w14:textId="77777777" w:rsidR="004C234F" w:rsidRPr="00A9330B" w:rsidRDefault="004C234F" w:rsidP="004C234F">
            <w:pPr>
              <w:widowControl w:val="0"/>
              <w:tabs>
                <w:tab w:val="left" w:pos="426"/>
                <w:tab w:val="left" w:pos="851"/>
                <w:tab w:val="left" w:pos="1134"/>
              </w:tabs>
              <w:overflowPunct w:val="0"/>
              <w:autoSpaceDE w:val="0"/>
              <w:autoSpaceDN w:val="0"/>
              <w:adjustRightInd w:val="0"/>
              <w:spacing w:before="60" w:line="240" w:lineRule="auto"/>
              <w:textAlignment w:val="baseline"/>
              <w:rPr>
                <w:rFonts w:eastAsia="Times New Roman" w:cs="Arial"/>
                <w:color w:val="auto"/>
                <w:sz w:val="18"/>
                <w:szCs w:val="18"/>
                <w:lang w:eastAsia="fr-FR"/>
              </w:rPr>
            </w:pPr>
            <w:r w:rsidRPr="00A9330B">
              <w:rPr>
                <w:rFonts w:eastAsia="Times New Roman" w:cs="Arial"/>
                <w:i/>
                <w:color w:val="auto"/>
                <w:sz w:val="18"/>
                <w:szCs w:val="18"/>
                <w:lang w:eastAsia="fr-FR"/>
              </w:rPr>
              <w:t xml:space="preserve">2.12. Repli du chantier </w:t>
            </w:r>
          </w:p>
        </w:tc>
        <w:tc>
          <w:tcPr>
            <w:tcW w:w="1478" w:type="pct"/>
          </w:tcPr>
          <w:p w14:paraId="7740F60C" w14:textId="77777777" w:rsidR="004C234F" w:rsidRPr="00A9330B" w:rsidRDefault="004C234F" w:rsidP="004C234F">
            <w:pPr>
              <w:spacing w:before="60"/>
              <w:rPr>
                <w:rFonts w:cs="Arial"/>
                <w:b/>
                <w:sz w:val="18"/>
                <w:szCs w:val="18"/>
              </w:rPr>
            </w:pPr>
            <w:r w:rsidRPr="00A9330B">
              <w:rPr>
                <w:rFonts w:cs="Arial"/>
                <w:b/>
                <w:sz w:val="18"/>
                <w:szCs w:val="18"/>
              </w:rPr>
              <w:t xml:space="preserve">Entrave temporaire à la circulation et aux activités </w:t>
            </w:r>
          </w:p>
          <w:p w14:paraId="122C107D" w14:textId="77777777" w:rsidR="004C234F" w:rsidRPr="00A9330B" w:rsidRDefault="004C234F" w:rsidP="004C234F">
            <w:pPr>
              <w:spacing w:before="60"/>
              <w:jc w:val="both"/>
              <w:rPr>
                <w:rFonts w:cs="Arial"/>
                <w:sz w:val="18"/>
                <w:szCs w:val="18"/>
              </w:rPr>
            </w:pPr>
            <w:r w:rsidRPr="00A9330B">
              <w:rPr>
                <w:rFonts w:cs="Arial"/>
                <w:sz w:val="18"/>
                <w:szCs w:val="18"/>
              </w:rPr>
              <w:t>Elle sera due à la libération de la base vie et au déplacement des engins et équipements de chantier vers d’autres destinations</w:t>
            </w:r>
          </w:p>
        </w:tc>
        <w:tc>
          <w:tcPr>
            <w:tcW w:w="410" w:type="pct"/>
            <w:vAlign w:val="center"/>
          </w:tcPr>
          <w:p w14:paraId="3F815511" w14:textId="77777777" w:rsidR="004C234F" w:rsidRPr="00A9330B" w:rsidRDefault="004C234F" w:rsidP="004C234F">
            <w:pPr>
              <w:spacing w:before="60"/>
              <w:rPr>
                <w:rFonts w:cs="Arial"/>
                <w:b/>
                <w:sz w:val="16"/>
                <w:szCs w:val="16"/>
              </w:rPr>
            </w:pPr>
            <w:r w:rsidRPr="00A9330B">
              <w:rPr>
                <w:rFonts w:cs="Arial"/>
                <w:b/>
                <w:sz w:val="16"/>
                <w:szCs w:val="16"/>
              </w:rPr>
              <w:t>-</w:t>
            </w:r>
          </w:p>
        </w:tc>
        <w:tc>
          <w:tcPr>
            <w:tcW w:w="436" w:type="pct"/>
            <w:vAlign w:val="center"/>
          </w:tcPr>
          <w:p w14:paraId="5FA935DB" w14:textId="77777777" w:rsidR="004C234F" w:rsidRPr="00A9330B" w:rsidRDefault="004C234F" w:rsidP="004C234F">
            <w:pPr>
              <w:spacing w:before="60"/>
              <w:rPr>
                <w:rFonts w:cs="Arial"/>
                <w:sz w:val="16"/>
                <w:szCs w:val="16"/>
              </w:rPr>
            </w:pPr>
            <w:r w:rsidRPr="00A9330B">
              <w:rPr>
                <w:rFonts w:cs="Arial"/>
                <w:sz w:val="16"/>
                <w:szCs w:val="16"/>
              </w:rPr>
              <w:t xml:space="preserve">faible </w:t>
            </w:r>
          </w:p>
        </w:tc>
        <w:tc>
          <w:tcPr>
            <w:tcW w:w="536" w:type="pct"/>
            <w:vAlign w:val="center"/>
          </w:tcPr>
          <w:p w14:paraId="7983F3BD" w14:textId="77777777" w:rsidR="004C234F" w:rsidRPr="00A9330B" w:rsidRDefault="004C234F" w:rsidP="004C234F">
            <w:pPr>
              <w:spacing w:before="60"/>
              <w:rPr>
                <w:rFonts w:cs="Arial"/>
                <w:sz w:val="16"/>
                <w:szCs w:val="16"/>
              </w:rPr>
            </w:pPr>
            <w:r w:rsidRPr="00A9330B">
              <w:rPr>
                <w:rFonts w:cs="Arial"/>
                <w:sz w:val="16"/>
                <w:szCs w:val="16"/>
              </w:rPr>
              <w:t>locale</w:t>
            </w:r>
          </w:p>
        </w:tc>
        <w:tc>
          <w:tcPr>
            <w:tcW w:w="616" w:type="pct"/>
            <w:vAlign w:val="center"/>
          </w:tcPr>
          <w:p w14:paraId="562A8A0D" w14:textId="77777777" w:rsidR="004C234F" w:rsidRPr="00A9330B" w:rsidRDefault="004C234F" w:rsidP="004C234F">
            <w:pPr>
              <w:spacing w:before="60"/>
              <w:rPr>
                <w:rFonts w:cs="Arial"/>
                <w:sz w:val="16"/>
                <w:szCs w:val="16"/>
              </w:rPr>
            </w:pPr>
            <w:r w:rsidRPr="00A9330B">
              <w:rPr>
                <w:rFonts w:cs="Arial"/>
                <w:sz w:val="16"/>
                <w:szCs w:val="16"/>
              </w:rPr>
              <w:t xml:space="preserve">temporaire </w:t>
            </w:r>
          </w:p>
        </w:tc>
        <w:tc>
          <w:tcPr>
            <w:tcW w:w="496" w:type="pct"/>
            <w:vAlign w:val="center"/>
          </w:tcPr>
          <w:p w14:paraId="38FF003F" w14:textId="77777777" w:rsidR="004C234F" w:rsidRPr="00A9330B" w:rsidRDefault="004C234F" w:rsidP="004C234F">
            <w:pPr>
              <w:spacing w:before="60"/>
              <w:rPr>
                <w:rFonts w:cs="Arial"/>
                <w:sz w:val="16"/>
                <w:szCs w:val="16"/>
              </w:rPr>
            </w:pPr>
            <w:r w:rsidRPr="00A9330B">
              <w:rPr>
                <w:rFonts w:cs="Arial"/>
                <w:sz w:val="16"/>
                <w:szCs w:val="16"/>
              </w:rPr>
              <w:t>Faible</w:t>
            </w:r>
          </w:p>
        </w:tc>
      </w:tr>
      <w:tr w:rsidR="004C234F" w:rsidRPr="00A9330B" w14:paraId="264D7ADA" w14:textId="77777777" w:rsidTr="0045250F">
        <w:tc>
          <w:tcPr>
            <w:tcW w:w="1028" w:type="pct"/>
            <w:vMerge/>
          </w:tcPr>
          <w:p w14:paraId="4277CA22" w14:textId="77777777" w:rsidR="004C234F" w:rsidRPr="00A9330B" w:rsidRDefault="004C234F" w:rsidP="004C234F">
            <w:pPr>
              <w:rPr>
                <w:rFonts w:cs="Arial"/>
                <w:sz w:val="18"/>
                <w:szCs w:val="18"/>
              </w:rPr>
            </w:pPr>
          </w:p>
        </w:tc>
        <w:tc>
          <w:tcPr>
            <w:tcW w:w="1478" w:type="pct"/>
          </w:tcPr>
          <w:p w14:paraId="08925445" w14:textId="77777777" w:rsidR="004C234F" w:rsidRPr="00A9330B" w:rsidRDefault="004C234F" w:rsidP="004C234F">
            <w:pPr>
              <w:rPr>
                <w:rFonts w:cs="Arial"/>
                <w:b/>
                <w:sz w:val="18"/>
                <w:szCs w:val="18"/>
              </w:rPr>
            </w:pPr>
            <w:r w:rsidRPr="00A9330B">
              <w:rPr>
                <w:rFonts w:cs="Arial"/>
                <w:b/>
                <w:sz w:val="18"/>
                <w:szCs w:val="18"/>
              </w:rPr>
              <w:t xml:space="preserve">Emissions de poussières particules dans l’air </w:t>
            </w:r>
          </w:p>
          <w:p w14:paraId="70B78D57" w14:textId="77777777" w:rsidR="004C234F" w:rsidRPr="00A9330B" w:rsidRDefault="004C234F" w:rsidP="004C234F">
            <w:pPr>
              <w:rPr>
                <w:rFonts w:cs="Arial"/>
                <w:b/>
                <w:sz w:val="18"/>
                <w:szCs w:val="18"/>
              </w:rPr>
            </w:pPr>
            <w:r w:rsidRPr="00A9330B">
              <w:rPr>
                <w:rFonts w:cs="Arial"/>
                <w:b/>
                <w:sz w:val="18"/>
                <w:szCs w:val="18"/>
              </w:rPr>
              <w:t xml:space="preserve">Nuisances sonores et vibration </w:t>
            </w:r>
          </w:p>
          <w:p w14:paraId="4CB63E3D" w14:textId="77777777" w:rsidR="004C234F" w:rsidRPr="00A9330B" w:rsidRDefault="004C234F" w:rsidP="004C234F">
            <w:pPr>
              <w:spacing w:before="60"/>
              <w:rPr>
                <w:rFonts w:cs="Arial"/>
                <w:b/>
                <w:sz w:val="18"/>
                <w:szCs w:val="18"/>
              </w:rPr>
            </w:pPr>
            <w:r w:rsidRPr="00A9330B">
              <w:rPr>
                <w:rFonts w:cs="Arial"/>
                <w:sz w:val="18"/>
                <w:szCs w:val="18"/>
              </w:rPr>
              <w:t xml:space="preserve">L’impact sera essentiellement dû à la circulation du matériel roulant  </w:t>
            </w:r>
          </w:p>
        </w:tc>
        <w:tc>
          <w:tcPr>
            <w:tcW w:w="410" w:type="pct"/>
            <w:vAlign w:val="center"/>
          </w:tcPr>
          <w:p w14:paraId="067E78EA" w14:textId="77777777" w:rsidR="004C234F" w:rsidRPr="00A9330B" w:rsidRDefault="004C234F" w:rsidP="004C234F">
            <w:pPr>
              <w:spacing w:before="60"/>
              <w:rPr>
                <w:rFonts w:cs="Arial"/>
                <w:b/>
                <w:sz w:val="16"/>
                <w:szCs w:val="16"/>
              </w:rPr>
            </w:pPr>
            <w:r w:rsidRPr="00A9330B">
              <w:rPr>
                <w:rFonts w:cs="Arial"/>
                <w:sz w:val="16"/>
                <w:szCs w:val="16"/>
              </w:rPr>
              <w:t>-</w:t>
            </w:r>
          </w:p>
        </w:tc>
        <w:tc>
          <w:tcPr>
            <w:tcW w:w="436" w:type="pct"/>
            <w:vAlign w:val="center"/>
          </w:tcPr>
          <w:p w14:paraId="3CF158D0" w14:textId="77777777" w:rsidR="004C234F" w:rsidRPr="00A9330B" w:rsidRDefault="004C234F" w:rsidP="004C234F">
            <w:pPr>
              <w:spacing w:before="60"/>
              <w:rPr>
                <w:rFonts w:cs="Arial"/>
                <w:sz w:val="16"/>
                <w:szCs w:val="16"/>
              </w:rPr>
            </w:pPr>
            <w:r w:rsidRPr="00A9330B">
              <w:rPr>
                <w:rFonts w:cs="Arial"/>
                <w:sz w:val="16"/>
                <w:szCs w:val="16"/>
              </w:rPr>
              <w:t xml:space="preserve">faible  </w:t>
            </w:r>
          </w:p>
        </w:tc>
        <w:tc>
          <w:tcPr>
            <w:tcW w:w="536" w:type="pct"/>
            <w:vAlign w:val="center"/>
          </w:tcPr>
          <w:p w14:paraId="11E8F90F" w14:textId="77777777" w:rsidR="004C234F" w:rsidRPr="00A9330B" w:rsidRDefault="004C234F" w:rsidP="004C234F">
            <w:pPr>
              <w:spacing w:before="60"/>
              <w:rPr>
                <w:rFonts w:cs="Arial"/>
                <w:sz w:val="16"/>
                <w:szCs w:val="16"/>
              </w:rPr>
            </w:pPr>
            <w:r w:rsidRPr="00A9330B">
              <w:rPr>
                <w:rFonts w:cs="Arial"/>
                <w:sz w:val="16"/>
                <w:szCs w:val="16"/>
              </w:rPr>
              <w:t xml:space="preserve">locale </w:t>
            </w:r>
          </w:p>
        </w:tc>
        <w:tc>
          <w:tcPr>
            <w:tcW w:w="616" w:type="pct"/>
            <w:vAlign w:val="center"/>
          </w:tcPr>
          <w:p w14:paraId="31A77198" w14:textId="77777777" w:rsidR="004C234F" w:rsidRPr="00A9330B" w:rsidRDefault="004C234F" w:rsidP="004C234F">
            <w:pPr>
              <w:spacing w:before="60"/>
              <w:rPr>
                <w:rFonts w:cs="Arial"/>
                <w:sz w:val="16"/>
                <w:szCs w:val="16"/>
              </w:rPr>
            </w:pPr>
            <w:r w:rsidRPr="00A9330B">
              <w:rPr>
                <w:rFonts w:cs="Arial"/>
                <w:sz w:val="16"/>
                <w:szCs w:val="16"/>
              </w:rPr>
              <w:t xml:space="preserve">temporaire  </w:t>
            </w:r>
          </w:p>
        </w:tc>
        <w:tc>
          <w:tcPr>
            <w:tcW w:w="496" w:type="pct"/>
            <w:vAlign w:val="center"/>
          </w:tcPr>
          <w:p w14:paraId="7FBD9015" w14:textId="77777777" w:rsidR="004C234F" w:rsidRPr="00A9330B" w:rsidRDefault="004C234F" w:rsidP="004C234F">
            <w:pPr>
              <w:spacing w:before="60"/>
              <w:rPr>
                <w:rFonts w:cs="Arial"/>
                <w:sz w:val="16"/>
                <w:szCs w:val="16"/>
              </w:rPr>
            </w:pPr>
            <w:r w:rsidRPr="00A9330B">
              <w:rPr>
                <w:rFonts w:cs="Arial"/>
                <w:sz w:val="16"/>
                <w:szCs w:val="16"/>
              </w:rPr>
              <w:t xml:space="preserve">Faible  </w:t>
            </w:r>
          </w:p>
        </w:tc>
      </w:tr>
      <w:tr w:rsidR="004C234F" w:rsidRPr="00A9330B" w14:paraId="535AF554" w14:textId="77777777" w:rsidTr="0045250F">
        <w:tc>
          <w:tcPr>
            <w:tcW w:w="1028" w:type="pct"/>
            <w:vMerge/>
          </w:tcPr>
          <w:p w14:paraId="056ED58A" w14:textId="77777777" w:rsidR="004C234F" w:rsidRPr="00A9330B" w:rsidRDefault="004C234F" w:rsidP="004C234F">
            <w:pPr>
              <w:rPr>
                <w:rFonts w:cs="Arial"/>
                <w:sz w:val="18"/>
                <w:szCs w:val="18"/>
              </w:rPr>
            </w:pPr>
          </w:p>
        </w:tc>
        <w:tc>
          <w:tcPr>
            <w:tcW w:w="1478" w:type="pct"/>
          </w:tcPr>
          <w:p w14:paraId="0802C888" w14:textId="77777777" w:rsidR="004C234F" w:rsidRPr="00A9330B" w:rsidRDefault="004C234F" w:rsidP="004C234F">
            <w:pPr>
              <w:rPr>
                <w:rFonts w:cs="Arial"/>
                <w:b/>
                <w:sz w:val="18"/>
                <w:szCs w:val="18"/>
              </w:rPr>
            </w:pPr>
            <w:r w:rsidRPr="00A9330B">
              <w:rPr>
                <w:rFonts w:cs="Arial"/>
                <w:b/>
                <w:sz w:val="18"/>
                <w:szCs w:val="18"/>
              </w:rPr>
              <w:t xml:space="preserve">Pollution du sol par les déchets solides et les huiles usagées </w:t>
            </w:r>
          </w:p>
          <w:p w14:paraId="6DD3C220" w14:textId="77777777" w:rsidR="004C234F" w:rsidRPr="00A9330B" w:rsidRDefault="004C234F" w:rsidP="004C234F">
            <w:pPr>
              <w:spacing w:before="60"/>
              <w:jc w:val="both"/>
              <w:rPr>
                <w:rFonts w:cs="Arial"/>
                <w:b/>
                <w:sz w:val="18"/>
                <w:szCs w:val="18"/>
              </w:rPr>
            </w:pPr>
            <w:r w:rsidRPr="00A9330B">
              <w:rPr>
                <w:rFonts w:cs="Arial"/>
                <w:sz w:val="18"/>
                <w:szCs w:val="18"/>
              </w:rPr>
              <w:t>Les déchets ici seront générés par le démantèlement des équipements de chantier, le nettoyage de la base vie et des sites de travaux, les emballages, etc.</w:t>
            </w:r>
          </w:p>
        </w:tc>
        <w:tc>
          <w:tcPr>
            <w:tcW w:w="410" w:type="pct"/>
            <w:vAlign w:val="center"/>
          </w:tcPr>
          <w:p w14:paraId="6FCB32B8" w14:textId="77777777" w:rsidR="004C234F" w:rsidRPr="00A9330B" w:rsidRDefault="004C234F" w:rsidP="004C234F">
            <w:pPr>
              <w:spacing w:before="60"/>
              <w:rPr>
                <w:rFonts w:cs="Arial"/>
                <w:b/>
                <w:sz w:val="16"/>
                <w:szCs w:val="16"/>
              </w:rPr>
            </w:pPr>
            <w:r w:rsidRPr="00A9330B">
              <w:rPr>
                <w:rFonts w:cs="Arial"/>
                <w:sz w:val="16"/>
                <w:szCs w:val="16"/>
              </w:rPr>
              <w:t>-</w:t>
            </w:r>
          </w:p>
        </w:tc>
        <w:tc>
          <w:tcPr>
            <w:tcW w:w="436" w:type="pct"/>
            <w:vAlign w:val="center"/>
          </w:tcPr>
          <w:p w14:paraId="6165A8AA" w14:textId="77777777" w:rsidR="004C234F" w:rsidRPr="00A9330B" w:rsidRDefault="004C234F" w:rsidP="004C234F">
            <w:pPr>
              <w:spacing w:before="60"/>
              <w:rPr>
                <w:rFonts w:cs="Arial"/>
                <w:sz w:val="16"/>
                <w:szCs w:val="16"/>
              </w:rPr>
            </w:pPr>
            <w:r w:rsidRPr="00A9330B">
              <w:rPr>
                <w:rFonts w:cs="Arial"/>
                <w:sz w:val="16"/>
                <w:szCs w:val="16"/>
              </w:rPr>
              <w:t xml:space="preserve">Moyenne </w:t>
            </w:r>
          </w:p>
        </w:tc>
        <w:tc>
          <w:tcPr>
            <w:tcW w:w="536" w:type="pct"/>
            <w:vAlign w:val="center"/>
          </w:tcPr>
          <w:p w14:paraId="14046A49" w14:textId="77777777" w:rsidR="004C234F" w:rsidRPr="00A9330B" w:rsidRDefault="004C234F" w:rsidP="004C234F">
            <w:pPr>
              <w:spacing w:before="60"/>
              <w:rPr>
                <w:rFonts w:cs="Arial"/>
                <w:sz w:val="16"/>
                <w:szCs w:val="16"/>
              </w:rPr>
            </w:pPr>
            <w:r w:rsidRPr="00A9330B">
              <w:rPr>
                <w:rFonts w:cs="Arial"/>
                <w:sz w:val="16"/>
                <w:szCs w:val="16"/>
              </w:rPr>
              <w:t xml:space="preserve">Locale </w:t>
            </w:r>
          </w:p>
        </w:tc>
        <w:tc>
          <w:tcPr>
            <w:tcW w:w="616" w:type="pct"/>
            <w:vAlign w:val="center"/>
          </w:tcPr>
          <w:p w14:paraId="086E34E9" w14:textId="77777777" w:rsidR="004C234F" w:rsidRPr="00A9330B" w:rsidRDefault="004C234F" w:rsidP="004C234F">
            <w:pPr>
              <w:spacing w:before="60"/>
              <w:rPr>
                <w:rFonts w:cs="Arial"/>
                <w:sz w:val="16"/>
                <w:szCs w:val="16"/>
              </w:rPr>
            </w:pPr>
            <w:r w:rsidRPr="00A9330B">
              <w:rPr>
                <w:rFonts w:cs="Arial"/>
                <w:sz w:val="16"/>
                <w:szCs w:val="16"/>
              </w:rPr>
              <w:t xml:space="preserve">temporaire  </w:t>
            </w:r>
          </w:p>
        </w:tc>
        <w:tc>
          <w:tcPr>
            <w:tcW w:w="496" w:type="pct"/>
            <w:vAlign w:val="center"/>
          </w:tcPr>
          <w:p w14:paraId="06F07F94" w14:textId="77777777" w:rsidR="004C234F" w:rsidRPr="00A9330B" w:rsidRDefault="004C234F" w:rsidP="004C234F">
            <w:pPr>
              <w:spacing w:before="60"/>
              <w:rPr>
                <w:rFonts w:cs="Arial"/>
                <w:sz w:val="16"/>
                <w:szCs w:val="16"/>
              </w:rPr>
            </w:pPr>
            <w:r w:rsidRPr="00A9330B">
              <w:rPr>
                <w:rFonts w:cs="Arial"/>
                <w:sz w:val="16"/>
                <w:szCs w:val="16"/>
              </w:rPr>
              <w:t xml:space="preserve">Moyenne  </w:t>
            </w:r>
          </w:p>
        </w:tc>
      </w:tr>
    </w:tbl>
    <w:p w14:paraId="638289EE" w14:textId="77777777" w:rsidR="00401546" w:rsidRPr="00A9330B" w:rsidRDefault="00401546" w:rsidP="0013556B">
      <w:pPr>
        <w:tabs>
          <w:tab w:val="left" w:pos="1950"/>
          <w:tab w:val="left" w:pos="3937"/>
        </w:tabs>
        <w:ind w:left="250"/>
        <w:rPr>
          <w:rFonts w:cs="Arial"/>
          <w:b/>
        </w:rPr>
      </w:pPr>
    </w:p>
    <w:p w14:paraId="21F25750" w14:textId="6A0E1FB8" w:rsidR="00401546" w:rsidRPr="00A9330B" w:rsidRDefault="00401546" w:rsidP="0013556B">
      <w:pPr>
        <w:keepNext/>
        <w:spacing w:after="120" w:line="240" w:lineRule="auto"/>
        <w:jc w:val="center"/>
        <w:rPr>
          <w:rFonts w:eastAsia="Times New Roman" w:cs="Arial"/>
          <w:b/>
          <w:color w:val="000000"/>
          <w:sz w:val="20"/>
          <w:szCs w:val="20"/>
          <w:lang w:eastAsia="fr-FR"/>
        </w:rPr>
      </w:pPr>
      <w:bookmarkStart w:id="1666" w:name="_Toc517363589"/>
      <w:bookmarkStart w:id="1667" w:name="_Toc24724036"/>
      <w:bookmarkStart w:id="1668" w:name="_Toc43696251"/>
      <w:bookmarkStart w:id="1669" w:name="_Toc52873764"/>
      <w:r w:rsidRPr="00A9330B">
        <w:rPr>
          <w:rFonts w:eastAsia="Times New Roman" w:cs="Arial"/>
          <w:b/>
          <w:color w:val="000000"/>
          <w:sz w:val="20"/>
          <w:szCs w:val="20"/>
          <w:lang w:eastAsia="fr-FR"/>
        </w:rPr>
        <w:t xml:space="preserve">Tableau </w:t>
      </w:r>
      <w:r w:rsidRPr="00A9330B">
        <w:rPr>
          <w:rFonts w:eastAsia="Times New Roman" w:cs="Arial"/>
          <w:b/>
          <w:color w:val="000000"/>
          <w:sz w:val="20"/>
          <w:szCs w:val="20"/>
          <w:lang w:eastAsia="fr-FR"/>
        </w:rPr>
        <w:fldChar w:fldCharType="begin"/>
      </w:r>
      <w:r w:rsidRPr="00A9330B">
        <w:rPr>
          <w:rFonts w:eastAsia="Times New Roman" w:cs="Arial"/>
          <w:b/>
          <w:color w:val="000000"/>
          <w:sz w:val="20"/>
          <w:szCs w:val="20"/>
          <w:lang w:eastAsia="fr-FR"/>
        </w:rPr>
        <w:instrText xml:space="preserve"> SEQ Tableau \* ARABIC </w:instrText>
      </w:r>
      <w:r w:rsidRPr="00A9330B">
        <w:rPr>
          <w:rFonts w:eastAsia="Times New Roman" w:cs="Arial"/>
          <w:b/>
          <w:color w:val="000000"/>
          <w:sz w:val="20"/>
          <w:szCs w:val="20"/>
          <w:lang w:eastAsia="fr-FR"/>
        </w:rPr>
        <w:fldChar w:fldCharType="separate"/>
      </w:r>
      <w:r w:rsidR="007025F6" w:rsidRPr="00A9330B">
        <w:rPr>
          <w:rFonts w:eastAsia="Times New Roman" w:cs="Arial"/>
          <w:b/>
          <w:noProof/>
          <w:color w:val="000000"/>
          <w:sz w:val="20"/>
          <w:szCs w:val="20"/>
          <w:lang w:eastAsia="fr-FR"/>
        </w:rPr>
        <w:t>40</w:t>
      </w:r>
      <w:r w:rsidRPr="00A9330B">
        <w:rPr>
          <w:rFonts w:eastAsia="Times New Roman" w:cs="Arial"/>
          <w:b/>
          <w:color w:val="000000"/>
          <w:sz w:val="20"/>
          <w:szCs w:val="20"/>
          <w:lang w:eastAsia="fr-FR"/>
        </w:rPr>
        <w:fldChar w:fldCharType="end"/>
      </w:r>
      <w:r w:rsidRPr="00A9330B">
        <w:rPr>
          <w:rFonts w:eastAsia="Times New Roman" w:cs="Arial"/>
          <w:b/>
          <w:color w:val="000000"/>
          <w:sz w:val="20"/>
          <w:szCs w:val="20"/>
          <w:lang w:eastAsia="fr-FR"/>
        </w:rPr>
        <w:t xml:space="preserve"> </w:t>
      </w:r>
      <w:r w:rsidRPr="00A9330B">
        <w:rPr>
          <w:rFonts w:cs="Arial"/>
          <w:b/>
          <w:color w:val="000000"/>
        </w:rPr>
        <w:t xml:space="preserve">: </w:t>
      </w:r>
      <w:r w:rsidRPr="00A9330B">
        <w:rPr>
          <w:rFonts w:eastAsia="Times New Roman" w:cs="Arial"/>
          <w:b/>
          <w:color w:val="000000"/>
          <w:sz w:val="20"/>
          <w:szCs w:val="20"/>
          <w:lang w:eastAsia="fr-FR"/>
        </w:rPr>
        <w:t>Identification des impacts négatifs : phase  d’exploitation et d’entretien</w:t>
      </w:r>
      <w:bookmarkEnd w:id="1666"/>
      <w:bookmarkEnd w:id="1667"/>
      <w:bookmarkEnd w:id="1668"/>
      <w:bookmarkEnd w:id="1669"/>
      <w:r w:rsidRPr="00A9330B">
        <w:rPr>
          <w:rFonts w:eastAsia="Times New Roman" w:cs="Arial"/>
          <w:b/>
          <w:color w:val="000000"/>
          <w:sz w:val="20"/>
          <w:szCs w:val="20"/>
          <w:lang w:eastAsia="fr-FR"/>
        </w:rPr>
        <w:t xml:space="preserve"> </w:t>
      </w:r>
    </w:p>
    <w:p w14:paraId="690C6875" w14:textId="77777777" w:rsidR="00401546" w:rsidRPr="00A9330B" w:rsidRDefault="00401546" w:rsidP="0013556B">
      <w:pPr>
        <w:tabs>
          <w:tab w:val="left" w:pos="1950"/>
          <w:tab w:val="left" w:pos="3937"/>
        </w:tabs>
        <w:ind w:left="250"/>
        <w:rPr>
          <w:rFonts w:cs="Arial"/>
        </w:rPr>
      </w:pPr>
    </w:p>
    <w:tbl>
      <w:tblPr>
        <w:tblStyle w:val="Grilledutableau"/>
        <w:tblW w:w="4870" w:type="pct"/>
        <w:tblInd w:w="250" w:type="dxa"/>
        <w:tblLook w:val="04A0" w:firstRow="1" w:lastRow="0" w:firstColumn="1" w:lastColumn="0" w:noHBand="0" w:noVBand="1"/>
      </w:tblPr>
      <w:tblGrid>
        <w:gridCol w:w="2066"/>
        <w:gridCol w:w="4950"/>
        <w:gridCol w:w="1285"/>
        <w:gridCol w:w="1299"/>
        <w:gridCol w:w="1402"/>
        <w:gridCol w:w="1585"/>
        <w:gridCol w:w="1318"/>
      </w:tblGrid>
      <w:tr w:rsidR="00401546" w:rsidRPr="00A9330B" w14:paraId="38626806" w14:textId="77777777" w:rsidTr="00401546">
        <w:tc>
          <w:tcPr>
            <w:tcW w:w="5000" w:type="pct"/>
            <w:gridSpan w:val="7"/>
            <w:shd w:val="clear" w:color="auto" w:fill="F7CAAC" w:themeFill="accent2" w:themeFillTint="66"/>
            <w:vAlign w:val="center"/>
          </w:tcPr>
          <w:p w14:paraId="1C104CE3" w14:textId="77777777" w:rsidR="00401546" w:rsidRPr="00A9330B" w:rsidRDefault="00401546" w:rsidP="0013556B">
            <w:pPr>
              <w:spacing w:before="60"/>
              <w:rPr>
                <w:rFonts w:cs="Arial"/>
                <w:b/>
                <w:sz w:val="18"/>
                <w:szCs w:val="18"/>
              </w:rPr>
            </w:pPr>
            <w:r w:rsidRPr="00A9330B">
              <w:rPr>
                <w:rFonts w:cs="Arial"/>
                <w:b/>
                <w:sz w:val="18"/>
                <w:szCs w:val="18"/>
              </w:rPr>
              <w:t>3. PHASE  D’EXPLOITATION ET D’ENTRETIEN</w:t>
            </w:r>
          </w:p>
        </w:tc>
      </w:tr>
      <w:tr w:rsidR="00401546" w:rsidRPr="00A9330B" w14:paraId="37624458" w14:textId="77777777" w:rsidTr="009C5C1D">
        <w:tc>
          <w:tcPr>
            <w:tcW w:w="743" w:type="pct"/>
            <w:vMerge w:val="restart"/>
            <w:shd w:val="clear" w:color="auto" w:fill="auto"/>
            <w:vAlign w:val="center"/>
          </w:tcPr>
          <w:p w14:paraId="323D7391" w14:textId="77777777" w:rsidR="00401546" w:rsidRPr="00A9330B" w:rsidRDefault="00401546" w:rsidP="0013556B">
            <w:pPr>
              <w:spacing w:before="60"/>
              <w:rPr>
                <w:rFonts w:cs="Arial"/>
                <w:b/>
                <w:sz w:val="18"/>
                <w:szCs w:val="18"/>
              </w:rPr>
            </w:pPr>
            <w:r w:rsidRPr="00A9330B">
              <w:rPr>
                <w:rFonts w:cs="Arial"/>
                <w:b/>
                <w:sz w:val="18"/>
                <w:szCs w:val="18"/>
              </w:rPr>
              <w:t>Activités sources d’impacts</w:t>
            </w:r>
          </w:p>
        </w:tc>
        <w:tc>
          <w:tcPr>
            <w:tcW w:w="1780" w:type="pct"/>
            <w:vMerge w:val="restart"/>
            <w:shd w:val="clear" w:color="auto" w:fill="auto"/>
            <w:vAlign w:val="center"/>
          </w:tcPr>
          <w:p w14:paraId="7A873CCA" w14:textId="77777777" w:rsidR="00401546" w:rsidRPr="00A9330B" w:rsidRDefault="00401546" w:rsidP="0013556B">
            <w:pPr>
              <w:spacing w:before="60"/>
              <w:rPr>
                <w:rFonts w:cs="Arial"/>
                <w:b/>
                <w:sz w:val="18"/>
                <w:szCs w:val="18"/>
              </w:rPr>
            </w:pPr>
            <w:r w:rsidRPr="00A9330B">
              <w:rPr>
                <w:rFonts w:cs="Arial"/>
                <w:b/>
                <w:sz w:val="18"/>
                <w:szCs w:val="18"/>
              </w:rPr>
              <w:t xml:space="preserve">Impacts négatifs potentiels </w:t>
            </w:r>
          </w:p>
        </w:tc>
        <w:tc>
          <w:tcPr>
            <w:tcW w:w="2477" w:type="pct"/>
            <w:gridSpan w:val="5"/>
          </w:tcPr>
          <w:p w14:paraId="31341DA6" w14:textId="77777777" w:rsidR="00401546" w:rsidRPr="00A9330B" w:rsidRDefault="00401546" w:rsidP="0013556B">
            <w:pPr>
              <w:spacing w:before="60"/>
              <w:rPr>
                <w:rFonts w:cs="Arial"/>
                <w:b/>
                <w:sz w:val="18"/>
                <w:szCs w:val="18"/>
              </w:rPr>
            </w:pPr>
            <w:r w:rsidRPr="00A9330B">
              <w:rPr>
                <w:rFonts w:cs="Arial"/>
                <w:b/>
                <w:sz w:val="18"/>
                <w:szCs w:val="18"/>
              </w:rPr>
              <w:t xml:space="preserve">Evaluation de l’impact </w:t>
            </w:r>
          </w:p>
        </w:tc>
      </w:tr>
      <w:tr w:rsidR="00401546" w:rsidRPr="00A9330B" w14:paraId="0775E3BE" w14:textId="77777777" w:rsidTr="00401546">
        <w:trPr>
          <w:cantSplit/>
          <w:trHeight w:val="1258"/>
        </w:trPr>
        <w:tc>
          <w:tcPr>
            <w:tcW w:w="743" w:type="pct"/>
            <w:vMerge/>
            <w:shd w:val="clear" w:color="auto" w:fill="auto"/>
            <w:vAlign w:val="center"/>
          </w:tcPr>
          <w:p w14:paraId="4FE4B20B" w14:textId="77777777" w:rsidR="00401546" w:rsidRPr="00A9330B" w:rsidRDefault="00401546" w:rsidP="0013556B">
            <w:pPr>
              <w:spacing w:before="60"/>
              <w:rPr>
                <w:rFonts w:cs="Arial"/>
                <w:b/>
                <w:sz w:val="18"/>
                <w:szCs w:val="18"/>
              </w:rPr>
            </w:pPr>
          </w:p>
        </w:tc>
        <w:tc>
          <w:tcPr>
            <w:tcW w:w="1780" w:type="pct"/>
            <w:vMerge/>
            <w:shd w:val="clear" w:color="auto" w:fill="auto"/>
            <w:vAlign w:val="center"/>
          </w:tcPr>
          <w:p w14:paraId="138F342E" w14:textId="77777777" w:rsidR="00401546" w:rsidRPr="00A9330B" w:rsidRDefault="00401546" w:rsidP="0013556B">
            <w:pPr>
              <w:spacing w:before="60"/>
              <w:rPr>
                <w:rFonts w:cs="Arial"/>
                <w:b/>
                <w:sz w:val="18"/>
                <w:szCs w:val="18"/>
              </w:rPr>
            </w:pPr>
          </w:p>
        </w:tc>
        <w:tc>
          <w:tcPr>
            <w:tcW w:w="462" w:type="pct"/>
            <w:textDirection w:val="btLr"/>
          </w:tcPr>
          <w:p w14:paraId="77D17690" w14:textId="77777777" w:rsidR="00401546" w:rsidRPr="00A9330B" w:rsidRDefault="00401546" w:rsidP="0013556B">
            <w:pPr>
              <w:spacing w:before="60"/>
              <w:ind w:left="113" w:right="113"/>
              <w:rPr>
                <w:rFonts w:cs="Arial"/>
                <w:b/>
                <w:sz w:val="18"/>
                <w:szCs w:val="18"/>
              </w:rPr>
            </w:pPr>
            <w:r w:rsidRPr="00A9330B">
              <w:rPr>
                <w:rFonts w:cs="Arial"/>
                <w:b/>
                <w:sz w:val="18"/>
                <w:szCs w:val="18"/>
              </w:rPr>
              <w:t>Caractère +/ -</w:t>
            </w:r>
          </w:p>
        </w:tc>
        <w:tc>
          <w:tcPr>
            <w:tcW w:w="467" w:type="pct"/>
            <w:textDirection w:val="btLr"/>
          </w:tcPr>
          <w:p w14:paraId="39BE78CF" w14:textId="77777777" w:rsidR="00401546" w:rsidRPr="00A9330B" w:rsidRDefault="00401546" w:rsidP="0013556B">
            <w:pPr>
              <w:spacing w:before="60"/>
              <w:ind w:left="113" w:right="113"/>
              <w:rPr>
                <w:rFonts w:cs="Arial"/>
                <w:b/>
                <w:sz w:val="18"/>
                <w:szCs w:val="18"/>
              </w:rPr>
            </w:pPr>
            <w:r w:rsidRPr="00A9330B">
              <w:rPr>
                <w:rFonts w:cs="Arial"/>
                <w:b/>
                <w:sz w:val="18"/>
                <w:szCs w:val="18"/>
              </w:rPr>
              <w:t xml:space="preserve">Intensité </w:t>
            </w:r>
          </w:p>
        </w:tc>
        <w:tc>
          <w:tcPr>
            <w:tcW w:w="504" w:type="pct"/>
            <w:textDirection w:val="btLr"/>
          </w:tcPr>
          <w:p w14:paraId="5B2D78D6" w14:textId="77777777" w:rsidR="00401546" w:rsidRPr="00A9330B" w:rsidRDefault="00401546" w:rsidP="0013556B">
            <w:pPr>
              <w:spacing w:before="60"/>
              <w:ind w:left="113" w:right="113"/>
              <w:rPr>
                <w:rFonts w:cs="Arial"/>
                <w:b/>
                <w:sz w:val="18"/>
                <w:szCs w:val="18"/>
              </w:rPr>
            </w:pPr>
            <w:r w:rsidRPr="00A9330B">
              <w:rPr>
                <w:rFonts w:cs="Arial"/>
                <w:b/>
                <w:sz w:val="18"/>
                <w:szCs w:val="18"/>
              </w:rPr>
              <w:t xml:space="preserve">Etendue </w:t>
            </w:r>
          </w:p>
        </w:tc>
        <w:tc>
          <w:tcPr>
            <w:tcW w:w="570" w:type="pct"/>
            <w:textDirection w:val="btLr"/>
          </w:tcPr>
          <w:p w14:paraId="7A818933" w14:textId="77777777" w:rsidR="00401546" w:rsidRPr="00A9330B" w:rsidRDefault="00401546" w:rsidP="0013556B">
            <w:pPr>
              <w:spacing w:before="60"/>
              <w:ind w:left="113" w:right="113"/>
              <w:rPr>
                <w:rFonts w:cs="Arial"/>
                <w:b/>
                <w:sz w:val="18"/>
                <w:szCs w:val="18"/>
              </w:rPr>
            </w:pPr>
            <w:r w:rsidRPr="00A9330B">
              <w:rPr>
                <w:rFonts w:cs="Arial"/>
                <w:b/>
                <w:sz w:val="18"/>
                <w:szCs w:val="18"/>
              </w:rPr>
              <w:t>Durée</w:t>
            </w:r>
          </w:p>
        </w:tc>
        <w:tc>
          <w:tcPr>
            <w:tcW w:w="474" w:type="pct"/>
            <w:textDirection w:val="btLr"/>
          </w:tcPr>
          <w:p w14:paraId="5679531A" w14:textId="77777777" w:rsidR="00401546" w:rsidRPr="00A9330B" w:rsidRDefault="00401546" w:rsidP="0013556B">
            <w:pPr>
              <w:spacing w:before="60"/>
              <w:ind w:left="113" w:right="113"/>
              <w:rPr>
                <w:rFonts w:cs="Arial"/>
                <w:b/>
                <w:sz w:val="18"/>
                <w:szCs w:val="18"/>
              </w:rPr>
            </w:pPr>
            <w:r w:rsidRPr="00A9330B">
              <w:rPr>
                <w:rFonts w:cs="Arial"/>
                <w:b/>
                <w:sz w:val="18"/>
                <w:szCs w:val="18"/>
              </w:rPr>
              <w:t>Importance</w:t>
            </w:r>
          </w:p>
        </w:tc>
      </w:tr>
      <w:tr w:rsidR="00401546" w:rsidRPr="00A9330B" w14:paraId="6D1CF627" w14:textId="77777777" w:rsidTr="00401546">
        <w:tc>
          <w:tcPr>
            <w:tcW w:w="743" w:type="pct"/>
            <w:vMerge w:val="restart"/>
            <w:tcBorders>
              <w:bottom w:val="single" w:sz="4" w:space="0" w:color="000000" w:themeColor="text1"/>
            </w:tcBorders>
          </w:tcPr>
          <w:p w14:paraId="50AE9496" w14:textId="77777777" w:rsidR="00401546" w:rsidRPr="00A9330B" w:rsidRDefault="00401546" w:rsidP="0013556B">
            <w:pPr>
              <w:spacing w:before="60"/>
              <w:rPr>
                <w:rFonts w:cs="Arial"/>
                <w:sz w:val="18"/>
                <w:szCs w:val="18"/>
              </w:rPr>
            </w:pPr>
            <w:r w:rsidRPr="00A9330B">
              <w:rPr>
                <w:rFonts w:cs="Arial"/>
                <w:sz w:val="18"/>
                <w:szCs w:val="18"/>
              </w:rPr>
              <w:t xml:space="preserve">3.1. Trafic et transport routier </w:t>
            </w:r>
          </w:p>
        </w:tc>
        <w:tc>
          <w:tcPr>
            <w:tcW w:w="1780" w:type="pct"/>
            <w:tcBorders>
              <w:bottom w:val="single" w:sz="4" w:space="0" w:color="000000" w:themeColor="text1"/>
            </w:tcBorders>
          </w:tcPr>
          <w:p w14:paraId="548730E8" w14:textId="77777777" w:rsidR="00401546" w:rsidRPr="00A9330B" w:rsidRDefault="00401546" w:rsidP="0013556B">
            <w:pPr>
              <w:spacing w:before="60"/>
              <w:rPr>
                <w:rFonts w:cs="Arial"/>
                <w:b/>
                <w:snapToGrid w:val="0"/>
                <w:sz w:val="18"/>
                <w:szCs w:val="18"/>
              </w:rPr>
            </w:pPr>
            <w:r w:rsidRPr="00A9330B">
              <w:rPr>
                <w:rFonts w:cs="Arial"/>
                <w:b/>
                <w:snapToGrid w:val="0"/>
                <w:sz w:val="18"/>
                <w:szCs w:val="18"/>
              </w:rPr>
              <w:t xml:space="preserve">Contamination du sol et de l’eau par les métaux lourds </w:t>
            </w:r>
          </w:p>
          <w:p w14:paraId="616C1C21" w14:textId="4450C8DD" w:rsidR="00401546" w:rsidRPr="00A9330B" w:rsidRDefault="00401546" w:rsidP="000F7BA7">
            <w:pPr>
              <w:spacing w:before="60"/>
              <w:jc w:val="both"/>
              <w:rPr>
                <w:rFonts w:cs="Arial"/>
                <w:sz w:val="18"/>
                <w:szCs w:val="18"/>
              </w:rPr>
            </w:pPr>
            <w:r w:rsidRPr="00A9330B">
              <w:rPr>
                <w:rFonts w:cs="Arial"/>
                <w:snapToGrid w:val="0"/>
                <w:sz w:val="18"/>
                <w:szCs w:val="18"/>
              </w:rPr>
              <w:t>Le trafic induit des effets négatifs sur les sols et les eaux liés notamment à l’émission de métaux lourds provenant des gaz d’échappement  (pollution chronique), au</w:t>
            </w:r>
            <w:r w:rsidR="00E63C17" w:rsidRPr="00A9330B">
              <w:rPr>
                <w:rFonts w:cs="Arial"/>
                <w:snapToGrid w:val="0"/>
                <w:sz w:val="18"/>
                <w:szCs w:val="18"/>
              </w:rPr>
              <w:t>x</w:t>
            </w:r>
            <w:r w:rsidRPr="00A9330B">
              <w:rPr>
                <w:rFonts w:cs="Arial"/>
                <w:snapToGrid w:val="0"/>
                <w:sz w:val="18"/>
                <w:szCs w:val="18"/>
              </w:rPr>
              <w:t xml:space="preserve"> rejets accidentels de polluants (pollution accidentelle), à l’émission de résidus d’usure de pneus et les huiles issues de fuite.</w:t>
            </w:r>
          </w:p>
        </w:tc>
        <w:tc>
          <w:tcPr>
            <w:tcW w:w="462" w:type="pct"/>
            <w:vAlign w:val="center"/>
          </w:tcPr>
          <w:p w14:paraId="0B8014C1" w14:textId="77777777" w:rsidR="00401546" w:rsidRPr="00A9330B" w:rsidRDefault="00401546" w:rsidP="0013556B">
            <w:pPr>
              <w:spacing w:before="60"/>
              <w:rPr>
                <w:rFonts w:cs="Arial"/>
                <w:b/>
                <w:snapToGrid w:val="0"/>
                <w:sz w:val="18"/>
                <w:szCs w:val="18"/>
              </w:rPr>
            </w:pPr>
            <w:r w:rsidRPr="00A9330B">
              <w:rPr>
                <w:rFonts w:cs="Arial"/>
                <w:b/>
                <w:sz w:val="16"/>
                <w:szCs w:val="16"/>
              </w:rPr>
              <w:t>-</w:t>
            </w:r>
          </w:p>
        </w:tc>
        <w:tc>
          <w:tcPr>
            <w:tcW w:w="467" w:type="pct"/>
            <w:vAlign w:val="center"/>
          </w:tcPr>
          <w:p w14:paraId="4BA8DFC4" w14:textId="77777777" w:rsidR="00401546" w:rsidRPr="00A9330B" w:rsidRDefault="00401546" w:rsidP="0013556B">
            <w:pPr>
              <w:spacing w:before="60"/>
              <w:rPr>
                <w:rFonts w:cs="Arial"/>
                <w:b/>
                <w:snapToGrid w:val="0"/>
                <w:sz w:val="18"/>
                <w:szCs w:val="18"/>
              </w:rPr>
            </w:pPr>
            <w:r w:rsidRPr="00A9330B">
              <w:rPr>
                <w:rFonts w:cs="Arial"/>
                <w:sz w:val="16"/>
                <w:szCs w:val="16"/>
              </w:rPr>
              <w:t xml:space="preserve">faible </w:t>
            </w:r>
          </w:p>
        </w:tc>
        <w:tc>
          <w:tcPr>
            <w:tcW w:w="504" w:type="pct"/>
            <w:vAlign w:val="center"/>
          </w:tcPr>
          <w:p w14:paraId="289D5020" w14:textId="77777777" w:rsidR="00401546" w:rsidRPr="00A9330B" w:rsidRDefault="00401546" w:rsidP="0013556B">
            <w:pPr>
              <w:spacing w:before="60"/>
              <w:rPr>
                <w:rFonts w:cs="Arial"/>
                <w:b/>
                <w:snapToGrid w:val="0"/>
                <w:sz w:val="18"/>
                <w:szCs w:val="18"/>
              </w:rPr>
            </w:pPr>
            <w:r w:rsidRPr="00A9330B">
              <w:rPr>
                <w:rFonts w:cs="Arial"/>
                <w:sz w:val="16"/>
                <w:szCs w:val="16"/>
              </w:rPr>
              <w:t>ponctuelle</w:t>
            </w:r>
          </w:p>
        </w:tc>
        <w:tc>
          <w:tcPr>
            <w:tcW w:w="570" w:type="pct"/>
            <w:vAlign w:val="center"/>
          </w:tcPr>
          <w:p w14:paraId="3617A102" w14:textId="77777777" w:rsidR="00401546" w:rsidRPr="00A9330B" w:rsidRDefault="00401546" w:rsidP="0013556B">
            <w:pPr>
              <w:spacing w:before="60"/>
              <w:rPr>
                <w:rFonts w:cs="Arial"/>
                <w:b/>
                <w:snapToGrid w:val="0"/>
                <w:sz w:val="18"/>
                <w:szCs w:val="18"/>
              </w:rPr>
            </w:pPr>
            <w:r w:rsidRPr="00A9330B">
              <w:rPr>
                <w:rFonts w:cs="Arial"/>
                <w:sz w:val="16"/>
                <w:szCs w:val="16"/>
              </w:rPr>
              <w:t xml:space="preserve">temporaire </w:t>
            </w:r>
          </w:p>
        </w:tc>
        <w:tc>
          <w:tcPr>
            <w:tcW w:w="474" w:type="pct"/>
            <w:vAlign w:val="center"/>
          </w:tcPr>
          <w:p w14:paraId="4388AB35" w14:textId="77777777" w:rsidR="00401546" w:rsidRPr="00A9330B" w:rsidRDefault="00401546" w:rsidP="0013556B">
            <w:pPr>
              <w:spacing w:before="60"/>
              <w:rPr>
                <w:rFonts w:cs="Arial"/>
                <w:b/>
                <w:snapToGrid w:val="0"/>
                <w:sz w:val="18"/>
                <w:szCs w:val="18"/>
              </w:rPr>
            </w:pPr>
            <w:r w:rsidRPr="00A9330B">
              <w:rPr>
                <w:rFonts w:cs="Arial"/>
                <w:sz w:val="16"/>
                <w:szCs w:val="16"/>
              </w:rPr>
              <w:t>Faible</w:t>
            </w:r>
          </w:p>
        </w:tc>
      </w:tr>
      <w:tr w:rsidR="00401546" w:rsidRPr="00A9330B" w14:paraId="5228CA3F" w14:textId="77777777" w:rsidTr="00401546">
        <w:tc>
          <w:tcPr>
            <w:tcW w:w="743" w:type="pct"/>
            <w:vMerge/>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B1C3793" w14:textId="77777777" w:rsidR="00401546" w:rsidRPr="00A9330B" w:rsidRDefault="00401546" w:rsidP="0013556B">
            <w:pPr>
              <w:spacing w:before="60"/>
              <w:rPr>
                <w:rFonts w:cs="Arial"/>
                <w:sz w:val="18"/>
                <w:szCs w:val="18"/>
              </w:rPr>
            </w:pPr>
          </w:p>
        </w:tc>
        <w:tc>
          <w:tcPr>
            <w:tcW w:w="1780" w:type="pct"/>
            <w:tcBorders>
              <w:top w:val="single" w:sz="4" w:space="0" w:color="000000" w:themeColor="text1"/>
              <w:left w:val="single" w:sz="4" w:space="0" w:color="000000" w:themeColor="text1"/>
              <w:bottom w:val="single" w:sz="4" w:space="0" w:color="000000" w:themeColor="text1"/>
            </w:tcBorders>
          </w:tcPr>
          <w:p w14:paraId="548CAA30" w14:textId="77777777" w:rsidR="00401546" w:rsidRPr="00A9330B" w:rsidRDefault="00401546" w:rsidP="0013556B">
            <w:pPr>
              <w:spacing w:before="60"/>
              <w:rPr>
                <w:rFonts w:cs="Arial"/>
                <w:sz w:val="18"/>
                <w:szCs w:val="18"/>
              </w:rPr>
            </w:pPr>
            <w:r w:rsidRPr="00A9330B">
              <w:rPr>
                <w:rFonts w:cs="Arial"/>
                <w:b/>
                <w:sz w:val="18"/>
                <w:szCs w:val="18"/>
              </w:rPr>
              <w:t>Les émissions de particules dans l’atmosphère</w:t>
            </w:r>
            <w:r w:rsidRPr="00A9330B">
              <w:rPr>
                <w:rFonts w:cs="Arial"/>
                <w:sz w:val="18"/>
                <w:szCs w:val="18"/>
              </w:rPr>
              <w:t xml:space="preserve"> </w:t>
            </w:r>
          </w:p>
          <w:p w14:paraId="3369DE96" w14:textId="5543CEA8" w:rsidR="00401546" w:rsidRPr="00A9330B" w:rsidRDefault="00401546" w:rsidP="000F7BA7">
            <w:pPr>
              <w:spacing w:before="60"/>
              <w:jc w:val="both"/>
              <w:rPr>
                <w:rFonts w:cs="Arial"/>
                <w:sz w:val="18"/>
                <w:szCs w:val="18"/>
              </w:rPr>
            </w:pPr>
            <w:r w:rsidRPr="00A9330B">
              <w:rPr>
                <w:rFonts w:cs="Arial"/>
                <w:sz w:val="18"/>
                <w:szCs w:val="18"/>
              </w:rPr>
              <w:t xml:space="preserve">Elles concernent principalement des polluants dans l’atmosphère, notamment le dioxyde de soufre, les oxydes d’azote, les hydrocarbures, le monoxyde de carbone, le plomb ainsi que les aérosols (microparticules en suspension provenant notamment de la combustion du gasoil). </w:t>
            </w:r>
          </w:p>
          <w:p w14:paraId="7F8CF096" w14:textId="7234075A" w:rsidR="00401546" w:rsidRPr="00A9330B" w:rsidRDefault="00401546" w:rsidP="000F7BA7">
            <w:pPr>
              <w:spacing w:before="60"/>
              <w:jc w:val="both"/>
              <w:rPr>
                <w:rFonts w:cs="Arial"/>
                <w:sz w:val="18"/>
                <w:szCs w:val="18"/>
              </w:rPr>
            </w:pPr>
            <w:r w:rsidRPr="00A9330B">
              <w:rPr>
                <w:rFonts w:cs="Arial"/>
                <w:sz w:val="18"/>
                <w:szCs w:val="18"/>
              </w:rPr>
              <w:t>Ces rejets de polluants atmosphériques sont dus à l’utilisation de carburants</w:t>
            </w:r>
            <w:r w:rsidR="00E63C17" w:rsidRPr="00A9330B">
              <w:rPr>
                <w:rFonts w:cs="Arial"/>
                <w:sz w:val="18"/>
                <w:szCs w:val="18"/>
              </w:rPr>
              <w:t xml:space="preserve"> de mauvaise qualité</w:t>
            </w:r>
            <w:r w:rsidRPr="00A9330B">
              <w:rPr>
                <w:rFonts w:cs="Arial"/>
                <w:sz w:val="18"/>
                <w:szCs w:val="18"/>
              </w:rPr>
              <w:t xml:space="preserve">, à la vétusté du parc automobile et à un défaut d’entretien des moteurs des véhicules. </w:t>
            </w:r>
          </w:p>
        </w:tc>
        <w:tc>
          <w:tcPr>
            <w:tcW w:w="462" w:type="pct"/>
            <w:vAlign w:val="center"/>
          </w:tcPr>
          <w:p w14:paraId="5CF6B15D" w14:textId="77777777" w:rsidR="00401546" w:rsidRPr="00A9330B" w:rsidRDefault="00401546" w:rsidP="0013556B">
            <w:pPr>
              <w:spacing w:before="60"/>
              <w:rPr>
                <w:rFonts w:cs="Arial"/>
                <w:b/>
                <w:sz w:val="18"/>
                <w:szCs w:val="18"/>
              </w:rPr>
            </w:pPr>
            <w:r w:rsidRPr="00A9330B">
              <w:rPr>
                <w:rFonts w:cs="Arial"/>
                <w:b/>
                <w:sz w:val="16"/>
                <w:szCs w:val="16"/>
              </w:rPr>
              <w:t>-</w:t>
            </w:r>
          </w:p>
        </w:tc>
        <w:tc>
          <w:tcPr>
            <w:tcW w:w="467" w:type="pct"/>
            <w:vAlign w:val="center"/>
          </w:tcPr>
          <w:p w14:paraId="7EFF14D3" w14:textId="77777777" w:rsidR="00401546" w:rsidRPr="00A9330B" w:rsidRDefault="00401546" w:rsidP="0013556B">
            <w:pPr>
              <w:spacing w:before="60"/>
              <w:rPr>
                <w:rFonts w:cs="Arial"/>
                <w:b/>
                <w:sz w:val="18"/>
                <w:szCs w:val="18"/>
              </w:rPr>
            </w:pPr>
            <w:r w:rsidRPr="00A9330B">
              <w:rPr>
                <w:rFonts w:cs="Arial"/>
                <w:sz w:val="16"/>
                <w:szCs w:val="16"/>
              </w:rPr>
              <w:t>moyenne</w:t>
            </w:r>
          </w:p>
        </w:tc>
        <w:tc>
          <w:tcPr>
            <w:tcW w:w="504" w:type="pct"/>
            <w:vAlign w:val="center"/>
          </w:tcPr>
          <w:p w14:paraId="1ACECCE7" w14:textId="77777777" w:rsidR="00401546" w:rsidRPr="00A9330B" w:rsidRDefault="00401546" w:rsidP="0013556B">
            <w:pPr>
              <w:spacing w:before="60"/>
              <w:rPr>
                <w:rFonts w:cs="Arial"/>
                <w:b/>
                <w:sz w:val="18"/>
                <w:szCs w:val="18"/>
              </w:rPr>
            </w:pPr>
            <w:r w:rsidRPr="00A9330B">
              <w:rPr>
                <w:rFonts w:cs="Arial"/>
                <w:sz w:val="16"/>
                <w:szCs w:val="16"/>
              </w:rPr>
              <w:t>régionale</w:t>
            </w:r>
          </w:p>
        </w:tc>
        <w:tc>
          <w:tcPr>
            <w:tcW w:w="570" w:type="pct"/>
            <w:vAlign w:val="center"/>
          </w:tcPr>
          <w:p w14:paraId="0A978347" w14:textId="77777777" w:rsidR="00401546" w:rsidRPr="00A9330B" w:rsidRDefault="00401546" w:rsidP="0013556B">
            <w:pPr>
              <w:spacing w:before="60"/>
              <w:rPr>
                <w:rFonts w:cs="Arial"/>
                <w:b/>
                <w:sz w:val="18"/>
                <w:szCs w:val="18"/>
              </w:rPr>
            </w:pPr>
            <w:r w:rsidRPr="00A9330B">
              <w:rPr>
                <w:rFonts w:cs="Arial"/>
                <w:sz w:val="16"/>
                <w:szCs w:val="16"/>
              </w:rPr>
              <w:t xml:space="preserve">permanente </w:t>
            </w:r>
          </w:p>
        </w:tc>
        <w:tc>
          <w:tcPr>
            <w:tcW w:w="474" w:type="pct"/>
            <w:vAlign w:val="center"/>
          </w:tcPr>
          <w:p w14:paraId="7193E799" w14:textId="77777777" w:rsidR="00401546" w:rsidRPr="00A9330B" w:rsidRDefault="00401546" w:rsidP="0013556B">
            <w:pPr>
              <w:spacing w:before="60"/>
              <w:rPr>
                <w:rFonts w:cs="Arial"/>
                <w:b/>
                <w:sz w:val="18"/>
                <w:szCs w:val="18"/>
              </w:rPr>
            </w:pPr>
            <w:r w:rsidRPr="00A9330B">
              <w:rPr>
                <w:rFonts w:cs="Arial"/>
                <w:sz w:val="16"/>
                <w:szCs w:val="16"/>
              </w:rPr>
              <w:t xml:space="preserve">Moyenne </w:t>
            </w:r>
          </w:p>
        </w:tc>
      </w:tr>
      <w:tr w:rsidR="00401546" w:rsidRPr="00A9330B" w14:paraId="61E1FE6D" w14:textId="77777777" w:rsidTr="00401546">
        <w:tc>
          <w:tcPr>
            <w:tcW w:w="743" w:type="pct"/>
            <w:vMerge/>
            <w:tcBorders>
              <w:top w:val="single" w:sz="4" w:space="0" w:color="000000" w:themeColor="text1"/>
            </w:tcBorders>
          </w:tcPr>
          <w:p w14:paraId="01E3C1DC" w14:textId="77777777" w:rsidR="00401546" w:rsidRPr="00A9330B" w:rsidRDefault="00401546" w:rsidP="0013556B">
            <w:pPr>
              <w:spacing w:before="60"/>
              <w:rPr>
                <w:rFonts w:cs="Arial"/>
                <w:sz w:val="18"/>
                <w:szCs w:val="18"/>
              </w:rPr>
            </w:pPr>
          </w:p>
        </w:tc>
        <w:tc>
          <w:tcPr>
            <w:tcW w:w="1780" w:type="pct"/>
            <w:tcBorders>
              <w:top w:val="single" w:sz="4" w:space="0" w:color="000000" w:themeColor="text1"/>
            </w:tcBorders>
          </w:tcPr>
          <w:p w14:paraId="1990C8C6" w14:textId="77777777" w:rsidR="00401546" w:rsidRPr="00A9330B" w:rsidRDefault="00401546" w:rsidP="0013556B">
            <w:pPr>
              <w:spacing w:before="60"/>
              <w:rPr>
                <w:rFonts w:cs="Arial"/>
                <w:b/>
                <w:sz w:val="18"/>
                <w:szCs w:val="18"/>
              </w:rPr>
            </w:pPr>
            <w:r w:rsidRPr="00A9330B">
              <w:rPr>
                <w:rFonts w:cs="Arial"/>
                <w:b/>
                <w:sz w:val="18"/>
                <w:szCs w:val="18"/>
              </w:rPr>
              <w:t xml:space="preserve">Augmentation du bruit aux abords des routes </w:t>
            </w:r>
          </w:p>
          <w:p w14:paraId="62732215" w14:textId="1D6FC384" w:rsidR="00401546" w:rsidRPr="00A9330B" w:rsidRDefault="00401546" w:rsidP="000F7BA7">
            <w:pPr>
              <w:spacing w:before="60"/>
              <w:jc w:val="both"/>
              <w:rPr>
                <w:rFonts w:cs="Arial"/>
                <w:sz w:val="18"/>
                <w:szCs w:val="18"/>
              </w:rPr>
            </w:pPr>
            <w:r w:rsidRPr="00A9330B">
              <w:rPr>
                <w:rFonts w:cs="Arial"/>
                <w:sz w:val="18"/>
                <w:szCs w:val="18"/>
              </w:rPr>
              <w:t xml:space="preserve">La pollution sonore est due à l’augmentation du trafic, l’augmentation de la vitesse de circulation, </w:t>
            </w:r>
            <w:r w:rsidR="00E63C17" w:rsidRPr="00A9330B">
              <w:rPr>
                <w:rFonts w:cs="Arial"/>
                <w:sz w:val="18"/>
                <w:szCs w:val="18"/>
              </w:rPr>
              <w:t xml:space="preserve">le </w:t>
            </w:r>
            <w:r w:rsidRPr="00A9330B">
              <w:rPr>
                <w:rFonts w:cs="Arial"/>
                <w:sz w:val="18"/>
                <w:szCs w:val="18"/>
              </w:rPr>
              <w:t>bruit des moteurs et les klaxons.</w:t>
            </w:r>
          </w:p>
        </w:tc>
        <w:tc>
          <w:tcPr>
            <w:tcW w:w="462" w:type="pct"/>
            <w:vAlign w:val="center"/>
          </w:tcPr>
          <w:p w14:paraId="75EF5B6A" w14:textId="77777777" w:rsidR="00401546" w:rsidRPr="00A9330B" w:rsidRDefault="00401546" w:rsidP="0013556B">
            <w:pPr>
              <w:spacing w:before="60"/>
              <w:rPr>
                <w:rFonts w:cs="Arial"/>
                <w:b/>
                <w:sz w:val="18"/>
                <w:szCs w:val="18"/>
              </w:rPr>
            </w:pPr>
            <w:r w:rsidRPr="00A9330B">
              <w:rPr>
                <w:rFonts w:cs="Arial"/>
                <w:b/>
                <w:sz w:val="16"/>
                <w:szCs w:val="16"/>
              </w:rPr>
              <w:t>-</w:t>
            </w:r>
          </w:p>
        </w:tc>
        <w:tc>
          <w:tcPr>
            <w:tcW w:w="467" w:type="pct"/>
            <w:vAlign w:val="center"/>
          </w:tcPr>
          <w:p w14:paraId="7A92DEE6" w14:textId="77777777" w:rsidR="00401546" w:rsidRPr="00A9330B" w:rsidRDefault="00401546" w:rsidP="0013556B">
            <w:pPr>
              <w:spacing w:before="60"/>
              <w:rPr>
                <w:rFonts w:cs="Arial"/>
                <w:b/>
                <w:sz w:val="18"/>
                <w:szCs w:val="18"/>
              </w:rPr>
            </w:pPr>
            <w:r w:rsidRPr="00A9330B">
              <w:rPr>
                <w:rFonts w:cs="Arial"/>
                <w:sz w:val="16"/>
                <w:szCs w:val="16"/>
              </w:rPr>
              <w:t>moyenne</w:t>
            </w:r>
          </w:p>
        </w:tc>
        <w:tc>
          <w:tcPr>
            <w:tcW w:w="504" w:type="pct"/>
            <w:vAlign w:val="center"/>
          </w:tcPr>
          <w:p w14:paraId="6F7E253F" w14:textId="77777777" w:rsidR="00401546" w:rsidRPr="00A9330B" w:rsidRDefault="00401546" w:rsidP="0013556B">
            <w:pPr>
              <w:spacing w:before="60"/>
              <w:rPr>
                <w:rFonts w:cs="Arial"/>
                <w:b/>
                <w:sz w:val="18"/>
                <w:szCs w:val="18"/>
              </w:rPr>
            </w:pPr>
            <w:r w:rsidRPr="00A9330B">
              <w:rPr>
                <w:rFonts w:cs="Arial"/>
                <w:sz w:val="16"/>
                <w:szCs w:val="16"/>
              </w:rPr>
              <w:t>locale</w:t>
            </w:r>
          </w:p>
        </w:tc>
        <w:tc>
          <w:tcPr>
            <w:tcW w:w="570" w:type="pct"/>
            <w:vAlign w:val="center"/>
          </w:tcPr>
          <w:p w14:paraId="5567E04A" w14:textId="77777777" w:rsidR="00401546" w:rsidRPr="00A9330B" w:rsidRDefault="00401546" w:rsidP="0013556B">
            <w:pPr>
              <w:spacing w:before="60"/>
              <w:rPr>
                <w:rFonts w:cs="Arial"/>
                <w:b/>
                <w:sz w:val="18"/>
                <w:szCs w:val="18"/>
              </w:rPr>
            </w:pPr>
            <w:r w:rsidRPr="00A9330B">
              <w:rPr>
                <w:rFonts w:cs="Arial"/>
                <w:sz w:val="16"/>
                <w:szCs w:val="16"/>
              </w:rPr>
              <w:t>permanente</w:t>
            </w:r>
          </w:p>
        </w:tc>
        <w:tc>
          <w:tcPr>
            <w:tcW w:w="474" w:type="pct"/>
            <w:vAlign w:val="center"/>
          </w:tcPr>
          <w:p w14:paraId="0D146136" w14:textId="77777777" w:rsidR="00401546" w:rsidRPr="00A9330B" w:rsidRDefault="00401546" w:rsidP="0013556B">
            <w:pPr>
              <w:spacing w:before="60"/>
              <w:rPr>
                <w:rFonts w:cs="Arial"/>
                <w:b/>
                <w:sz w:val="18"/>
                <w:szCs w:val="18"/>
              </w:rPr>
            </w:pPr>
            <w:r w:rsidRPr="00A9330B">
              <w:rPr>
                <w:rFonts w:cs="Arial"/>
                <w:sz w:val="16"/>
                <w:szCs w:val="16"/>
              </w:rPr>
              <w:t xml:space="preserve">Faible </w:t>
            </w:r>
          </w:p>
        </w:tc>
      </w:tr>
      <w:tr w:rsidR="00401546" w:rsidRPr="00A9330B" w14:paraId="79A63297" w14:textId="77777777" w:rsidTr="00401546">
        <w:tc>
          <w:tcPr>
            <w:tcW w:w="743" w:type="pct"/>
            <w:vMerge w:val="restart"/>
          </w:tcPr>
          <w:p w14:paraId="35EA8313" w14:textId="77777777" w:rsidR="00401546" w:rsidRPr="00A9330B" w:rsidRDefault="00401546" w:rsidP="0013556B">
            <w:pPr>
              <w:rPr>
                <w:rFonts w:cs="Arial"/>
                <w:sz w:val="18"/>
                <w:szCs w:val="18"/>
              </w:rPr>
            </w:pPr>
            <w:r w:rsidRPr="00A9330B">
              <w:rPr>
                <w:rFonts w:cs="Arial"/>
                <w:sz w:val="18"/>
                <w:szCs w:val="18"/>
              </w:rPr>
              <w:t xml:space="preserve">3.2. Réparation des dommages </w:t>
            </w:r>
          </w:p>
          <w:p w14:paraId="00B343D4" w14:textId="77777777" w:rsidR="00401546" w:rsidRPr="00A9330B" w:rsidRDefault="00401546" w:rsidP="0013556B">
            <w:pPr>
              <w:spacing w:before="60"/>
              <w:rPr>
                <w:rFonts w:cs="Arial"/>
                <w:sz w:val="18"/>
                <w:szCs w:val="18"/>
              </w:rPr>
            </w:pPr>
            <w:r w:rsidRPr="00A9330B">
              <w:rPr>
                <w:rFonts w:cs="Arial"/>
                <w:sz w:val="18"/>
                <w:szCs w:val="18"/>
              </w:rPr>
              <w:lastRenderedPageBreak/>
              <w:t xml:space="preserve">Désherbage des bordures </w:t>
            </w:r>
          </w:p>
          <w:p w14:paraId="783DB9E9" w14:textId="77777777" w:rsidR="00401546" w:rsidRPr="00A9330B" w:rsidRDefault="00401546" w:rsidP="0013556B">
            <w:pPr>
              <w:spacing w:before="60"/>
              <w:rPr>
                <w:rFonts w:cs="Arial"/>
                <w:bCs/>
                <w:sz w:val="18"/>
                <w:szCs w:val="18"/>
              </w:rPr>
            </w:pPr>
            <w:r w:rsidRPr="00A9330B">
              <w:rPr>
                <w:rFonts w:cs="Arial"/>
                <w:sz w:val="18"/>
                <w:szCs w:val="18"/>
              </w:rPr>
              <w:t>Stockage de matériaux et matériels</w:t>
            </w:r>
          </w:p>
        </w:tc>
        <w:tc>
          <w:tcPr>
            <w:tcW w:w="1780" w:type="pct"/>
          </w:tcPr>
          <w:p w14:paraId="73120BB1" w14:textId="77777777" w:rsidR="00401546" w:rsidRPr="00A9330B" w:rsidRDefault="00401546" w:rsidP="000F7BA7">
            <w:pPr>
              <w:spacing w:before="60"/>
              <w:jc w:val="both"/>
              <w:rPr>
                <w:rFonts w:cs="Arial"/>
                <w:sz w:val="18"/>
                <w:szCs w:val="18"/>
              </w:rPr>
            </w:pPr>
            <w:r w:rsidRPr="00A9330B">
              <w:rPr>
                <w:rFonts w:cs="Arial"/>
                <w:sz w:val="18"/>
                <w:szCs w:val="18"/>
              </w:rPr>
              <w:lastRenderedPageBreak/>
              <w:t xml:space="preserve">Les activités d’entretien routier font l’objet de peu d’attention du point de vue de leur impact sur l’environnement, contrairement aux travaux de construction. Les nuisances sur l’environnement sont certes plus faibles que celles liées </w:t>
            </w:r>
            <w:r w:rsidRPr="00A9330B">
              <w:rPr>
                <w:rFonts w:cs="Arial"/>
                <w:sz w:val="18"/>
                <w:szCs w:val="18"/>
              </w:rPr>
              <w:lastRenderedPageBreak/>
              <w:t xml:space="preserve">à la construction mais le caractère répétitif de ces opérations entraîne des effets d’accumulation et d’amplification pour certains des dommages causés (notamment dans le cas des zones d’emprunt, etc.). </w:t>
            </w:r>
          </w:p>
          <w:p w14:paraId="165767D6" w14:textId="77777777" w:rsidR="00401546" w:rsidRPr="00A9330B" w:rsidRDefault="00401546" w:rsidP="000F7BA7">
            <w:pPr>
              <w:spacing w:before="60"/>
              <w:jc w:val="both"/>
              <w:rPr>
                <w:rFonts w:cs="Arial"/>
                <w:sz w:val="18"/>
                <w:szCs w:val="18"/>
              </w:rPr>
            </w:pPr>
            <w:r w:rsidRPr="00A9330B">
              <w:rPr>
                <w:rFonts w:cs="Arial"/>
                <w:sz w:val="18"/>
                <w:szCs w:val="18"/>
              </w:rPr>
              <w:t>Les impacts négatifs qui découlent des travaux d’entretien concernent :</w:t>
            </w:r>
          </w:p>
          <w:p w14:paraId="32372AD3" w14:textId="77777777" w:rsidR="00401546" w:rsidRPr="00A9330B" w:rsidRDefault="00401546" w:rsidP="000F7BA7">
            <w:pPr>
              <w:spacing w:before="60"/>
              <w:jc w:val="both"/>
              <w:rPr>
                <w:rFonts w:cs="Arial"/>
                <w:sz w:val="18"/>
                <w:szCs w:val="18"/>
              </w:rPr>
            </w:pPr>
            <w:r w:rsidRPr="00A9330B">
              <w:rPr>
                <w:rFonts w:cs="Arial"/>
                <w:b/>
                <w:sz w:val="18"/>
                <w:szCs w:val="18"/>
              </w:rPr>
              <w:t>La dégradation des sols, des eaux et de la végétation</w:t>
            </w:r>
            <w:r w:rsidRPr="00A9330B">
              <w:rPr>
                <w:rFonts w:cs="Arial"/>
                <w:sz w:val="18"/>
                <w:szCs w:val="18"/>
              </w:rPr>
              <w:t xml:space="preserve"> par l’ouverture de carrière d’emprunt et le stockage des matériaux et produits d’entretien</w:t>
            </w:r>
          </w:p>
        </w:tc>
        <w:tc>
          <w:tcPr>
            <w:tcW w:w="462" w:type="pct"/>
            <w:vAlign w:val="center"/>
          </w:tcPr>
          <w:p w14:paraId="0972AF55" w14:textId="77777777" w:rsidR="00401546" w:rsidRPr="00A9330B" w:rsidRDefault="00401546" w:rsidP="0013556B">
            <w:pPr>
              <w:spacing w:before="60"/>
              <w:rPr>
                <w:rFonts w:cs="Arial"/>
                <w:sz w:val="18"/>
                <w:szCs w:val="18"/>
              </w:rPr>
            </w:pPr>
            <w:r w:rsidRPr="00A9330B">
              <w:rPr>
                <w:rFonts w:cs="Arial"/>
                <w:b/>
                <w:sz w:val="16"/>
                <w:szCs w:val="16"/>
              </w:rPr>
              <w:lastRenderedPageBreak/>
              <w:t>-</w:t>
            </w:r>
          </w:p>
        </w:tc>
        <w:tc>
          <w:tcPr>
            <w:tcW w:w="467" w:type="pct"/>
            <w:vAlign w:val="center"/>
          </w:tcPr>
          <w:p w14:paraId="0FBCF8B8" w14:textId="77777777" w:rsidR="00401546" w:rsidRPr="00A9330B" w:rsidRDefault="00401546" w:rsidP="0013556B">
            <w:pPr>
              <w:spacing w:before="60"/>
              <w:rPr>
                <w:rFonts w:cs="Arial"/>
                <w:sz w:val="18"/>
                <w:szCs w:val="18"/>
              </w:rPr>
            </w:pPr>
            <w:r w:rsidRPr="00A9330B">
              <w:rPr>
                <w:rFonts w:cs="Arial"/>
                <w:sz w:val="16"/>
                <w:szCs w:val="16"/>
              </w:rPr>
              <w:t xml:space="preserve">Faible </w:t>
            </w:r>
          </w:p>
        </w:tc>
        <w:tc>
          <w:tcPr>
            <w:tcW w:w="504" w:type="pct"/>
            <w:vAlign w:val="center"/>
          </w:tcPr>
          <w:p w14:paraId="5F9E5E18" w14:textId="77777777" w:rsidR="00401546" w:rsidRPr="00A9330B" w:rsidRDefault="00401546" w:rsidP="0013556B">
            <w:pPr>
              <w:spacing w:before="60"/>
              <w:rPr>
                <w:rFonts w:cs="Arial"/>
                <w:sz w:val="18"/>
                <w:szCs w:val="18"/>
              </w:rPr>
            </w:pPr>
            <w:r w:rsidRPr="00A9330B">
              <w:rPr>
                <w:rFonts w:cs="Arial"/>
                <w:sz w:val="16"/>
                <w:szCs w:val="16"/>
              </w:rPr>
              <w:t>locale</w:t>
            </w:r>
          </w:p>
        </w:tc>
        <w:tc>
          <w:tcPr>
            <w:tcW w:w="570" w:type="pct"/>
            <w:vAlign w:val="center"/>
          </w:tcPr>
          <w:p w14:paraId="598CA1D9" w14:textId="77777777" w:rsidR="00401546" w:rsidRPr="00A9330B" w:rsidRDefault="00401546" w:rsidP="0013556B">
            <w:pPr>
              <w:spacing w:before="60"/>
              <w:rPr>
                <w:rFonts w:cs="Arial"/>
                <w:sz w:val="18"/>
                <w:szCs w:val="18"/>
              </w:rPr>
            </w:pPr>
            <w:r w:rsidRPr="00A9330B">
              <w:rPr>
                <w:rFonts w:cs="Arial"/>
                <w:sz w:val="16"/>
                <w:szCs w:val="16"/>
              </w:rPr>
              <w:t>temporaire</w:t>
            </w:r>
          </w:p>
        </w:tc>
        <w:tc>
          <w:tcPr>
            <w:tcW w:w="474" w:type="pct"/>
            <w:vAlign w:val="center"/>
          </w:tcPr>
          <w:p w14:paraId="0329E797" w14:textId="77777777" w:rsidR="00401546" w:rsidRPr="00A9330B" w:rsidRDefault="00401546" w:rsidP="0013556B">
            <w:pPr>
              <w:spacing w:before="60"/>
              <w:rPr>
                <w:rFonts w:cs="Arial"/>
                <w:sz w:val="18"/>
                <w:szCs w:val="18"/>
              </w:rPr>
            </w:pPr>
            <w:r w:rsidRPr="00A9330B">
              <w:rPr>
                <w:rFonts w:cs="Arial"/>
                <w:sz w:val="16"/>
                <w:szCs w:val="16"/>
              </w:rPr>
              <w:t xml:space="preserve">Faible </w:t>
            </w:r>
          </w:p>
        </w:tc>
      </w:tr>
      <w:tr w:rsidR="00401546" w:rsidRPr="00A9330B" w14:paraId="344229BB" w14:textId="77777777" w:rsidTr="00401546">
        <w:tc>
          <w:tcPr>
            <w:tcW w:w="743" w:type="pct"/>
            <w:vMerge/>
          </w:tcPr>
          <w:p w14:paraId="77EFC789" w14:textId="77777777" w:rsidR="00401546" w:rsidRPr="00A9330B" w:rsidRDefault="00401546" w:rsidP="0013556B">
            <w:pPr>
              <w:rPr>
                <w:rFonts w:cs="Arial"/>
                <w:sz w:val="18"/>
                <w:szCs w:val="18"/>
              </w:rPr>
            </w:pPr>
          </w:p>
        </w:tc>
        <w:tc>
          <w:tcPr>
            <w:tcW w:w="1780" w:type="pct"/>
          </w:tcPr>
          <w:p w14:paraId="44C6CD47" w14:textId="77777777" w:rsidR="00401546" w:rsidRPr="00A9330B" w:rsidRDefault="00401546" w:rsidP="000F7BA7">
            <w:pPr>
              <w:spacing w:before="60"/>
              <w:jc w:val="both"/>
              <w:rPr>
                <w:rFonts w:cs="Arial"/>
                <w:sz w:val="18"/>
                <w:szCs w:val="18"/>
              </w:rPr>
            </w:pPr>
            <w:r w:rsidRPr="00A9330B">
              <w:rPr>
                <w:rFonts w:cs="Arial"/>
                <w:sz w:val="18"/>
                <w:szCs w:val="18"/>
              </w:rPr>
              <w:t xml:space="preserve">L’insécurité et les nuisances (pollution sonore, etc.) liées à la présence du chantier sur la chaussée ou ses abords </w:t>
            </w:r>
          </w:p>
        </w:tc>
        <w:tc>
          <w:tcPr>
            <w:tcW w:w="462" w:type="pct"/>
            <w:vAlign w:val="center"/>
          </w:tcPr>
          <w:p w14:paraId="19BDF609" w14:textId="77777777" w:rsidR="00401546" w:rsidRPr="00A9330B" w:rsidRDefault="00401546" w:rsidP="0013556B">
            <w:pPr>
              <w:spacing w:before="60"/>
              <w:rPr>
                <w:rFonts w:cs="Arial"/>
                <w:sz w:val="18"/>
                <w:szCs w:val="18"/>
              </w:rPr>
            </w:pPr>
            <w:r w:rsidRPr="00A9330B">
              <w:rPr>
                <w:rFonts w:cs="Arial"/>
                <w:b/>
                <w:sz w:val="16"/>
                <w:szCs w:val="16"/>
              </w:rPr>
              <w:t>-</w:t>
            </w:r>
          </w:p>
        </w:tc>
        <w:tc>
          <w:tcPr>
            <w:tcW w:w="467" w:type="pct"/>
            <w:vAlign w:val="center"/>
          </w:tcPr>
          <w:p w14:paraId="2794778F" w14:textId="77777777" w:rsidR="00401546" w:rsidRPr="00A9330B" w:rsidRDefault="00401546" w:rsidP="0013556B">
            <w:pPr>
              <w:spacing w:before="60"/>
              <w:rPr>
                <w:rFonts w:cs="Arial"/>
                <w:sz w:val="18"/>
                <w:szCs w:val="18"/>
              </w:rPr>
            </w:pPr>
            <w:r w:rsidRPr="00A9330B">
              <w:rPr>
                <w:rFonts w:cs="Arial"/>
                <w:sz w:val="16"/>
                <w:szCs w:val="16"/>
              </w:rPr>
              <w:t>moyenne</w:t>
            </w:r>
          </w:p>
        </w:tc>
        <w:tc>
          <w:tcPr>
            <w:tcW w:w="504" w:type="pct"/>
            <w:vAlign w:val="center"/>
          </w:tcPr>
          <w:p w14:paraId="05BB7CF3" w14:textId="77777777" w:rsidR="00401546" w:rsidRPr="00A9330B" w:rsidRDefault="00401546" w:rsidP="0013556B">
            <w:pPr>
              <w:spacing w:before="60"/>
              <w:rPr>
                <w:rFonts w:cs="Arial"/>
                <w:sz w:val="18"/>
                <w:szCs w:val="18"/>
              </w:rPr>
            </w:pPr>
            <w:r w:rsidRPr="00A9330B">
              <w:rPr>
                <w:rFonts w:cs="Arial"/>
                <w:sz w:val="16"/>
                <w:szCs w:val="16"/>
              </w:rPr>
              <w:t>locale</w:t>
            </w:r>
          </w:p>
        </w:tc>
        <w:tc>
          <w:tcPr>
            <w:tcW w:w="570" w:type="pct"/>
            <w:vAlign w:val="center"/>
          </w:tcPr>
          <w:p w14:paraId="04B51B25" w14:textId="77777777" w:rsidR="00401546" w:rsidRPr="00A9330B" w:rsidRDefault="00401546" w:rsidP="0013556B">
            <w:pPr>
              <w:spacing w:before="60"/>
              <w:rPr>
                <w:rFonts w:cs="Arial"/>
                <w:sz w:val="18"/>
                <w:szCs w:val="18"/>
              </w:rPr>
            </w:pPr>
            <w:r w:rsidRPr="00A9330B">
              <w:rPr>
                <w:rFonts w:cs="Arial"/>
                <w:sz w:val="16"/>
                <w:szCs w:val="16"/>
              </w:rPr>
              <w:t>temporaire</w:t>
            </w:r>
          </w:p>
        </w:tc>
        <w:tc>
          <w:tcPr>
            <w:tcW w:w="474" w:type="pct"/>
            <w:vAlign w:val="center"/>
          </w:tcPr>
          <w:p w14:paraId="32DF1C01" w14:textId="77777777" w:rsidR="00401546" w:rsidRPr="00A9330B" w:rsidRDefault="00401546" w:rsidP="0013556B">
            <w:pPr>
              <w:spacing w:before="60"/>
              <w:rPr>
                <w:rFonts w:cs="Arial"/>
                <w:sz w:val="18"/>
                <w:szCs w:val="18"/>
              </w:rPr>
            </w:pPr>
            <w:r w:rsidRPr="00A9330B">
              <w:rPr>
                <w:rFonts w:cs="Arial"/>
                <w:sz w:val="16"/>
                <w:szCs w:val="16"/>
              </w:rPr>
              <w:t xml:space="preserve">Faible </w:t>
            </w:r>
          </w:p>
        </w:tc>
      </w:tr>
      <w:tr w:rsidR="00401546" w:rsidRPr="00A9330B" w14:paraId="77FF5A78" w14:textId="77777777" w:rsidTr="00401546">
        <w:tc>
          <w:tcPr>
            <w:tcW w:w="743" w:type="pct"/>
            <w:vMerge/>
          </w:tcPr>
          <w:p w14:paraId="6947BCD4" w14:textId="77777777" w:rsidR="00401546" w:rsidRPr="00A9330B" w:rsidRDefault="00401546" w:rsidP="0013556B">
            <w:pPr>
              <w:rPr>
                <w:rFonts w:cs="Arial"/>
                <w:sz w:val="18"/>
                <w:szCs w:val="18"/>
              </w:rPr>
            </w:pPr>
          </w:p>
        </w:tc>
        <w:tc>
          <w:tcPr>
            <w:tcW w:w="1780" w:type="pct"/>
          </w:tcPr>
          <w:p w14:paraId="0023FF50" w14:textId="77777777" w:rsidR="00401546" w:rsidRPr="00A9330B" w:rsidRDefault="00401546" w:rsidP="000F7BA7">
            <w:pPr>
              <w:spacing w:before="60"/>
              <w:jc w:val="both"/>
              <w:rPr>
                <w:rFonts w:cs="Arial"/>
                <w:sz w:val="18"/>
                <w:szCs w:val="18"/>
              </w:rPr>
            </w:pPr>
            <w:r w:rsidRPr="00A9330B">
              <w:rPr>
                <w:rFonts w:cs="Arial"/>
                <w:sz w:val="18"/>
                <w:szCs w:val="18"/>
              </w:rPr>
              <w:t>la transformation du site du chantier, à la fin des travaux, en dépotoir avec le stockage et l’abandon sur place des matériels hors d’usage, des matériaux d’entretien et des résidus de démolition.</w:t>
            </w:r>
          </w:p>
        </w:tc>
        <w:tc>
          <w:tcPr>
            <w:tcW w:w="462" w:type="pct"/>
            <w:vAlign w:val="center"/>
          </w:tcPr>
          <w:p w14:paraId="000661EE" w14:textId="77777777" w:rsidR="00401546" w:rsidRPr="00A9330B" w:rsidRDefault="00401546" w:rsidP="0013556B">
            <w:pPr>
              <w:spacing w:before="60"/>
              <w:rPr>
                <w:rFonts w:cs="Arial"/>
                <w:sz w:val="18"/>
                <w:szCs w:val="18"/>
              </w:rPr>
            </w:pPr>
            <w:r w:rsidRPr="00A9330B">
              <w:rPr>
                <w:rFonts w:cs="Arial"/>
                <w:b/>
                <w:sz w:val="16"/>
                <w:szCs w:val="16"/>
              </w:rPr>
              <w:t>-</w:t>
            </w:r>
          </w:p>
        </w:tc>
        <w:tc>
          <w:tcPr>
            <w:tcW w:w="467" w:type="pct"/>
            <w:vAlign w:val="center"/>
          </w:tcPr>
          <w:p w14:paraId="0FE78DFB" w14:textId="77777777" w:rsidR="00401546" w:rsidRPr="00A9330B" w:rsidRDefault="00401546" w:rsidP="0013556B">
            <w:pPr>
              <w:spacing w:before="60"/>
              <w:rPr>
                <w:rFonts w:cs="Arial"/>
                <w:sz w:val="18"/>
                <w:szCs w:val="18"/>
              </w:rPr>
            </w:pPr>
            <w:r w:rsidRPr="00A9330B">
              <w:rPr>
                <w:rFonts w:cs="Arial"/>
                <w:sz w:val="16"/>
                <w:szCs w:val="16"/>
              </w:rPr>
              <w:t>moyenne</w:t>
            </w:r>
          </w:p>
        </w:tc>
        <w:tc>
          <w:tcPr>
            <w:tcW w:w="504" w:type="pct"/>
            <w:vAlign w:val="center"/>
          </w:tcPr>
          <w:p w14:paraId="413E7F9B" w14:textId="77777777" w:rsidR="00401546" w:rsidRPr="00A9330B" w:rsidRDefault="00401546" w:rsidP="0013556B">
            <w:pPr>
              <w:spacing w:before="60"/>
              <w:rPr>
                <w:rFonts w:cs="Arial"/>
                <w:sz w:val="18"/>
                <w:szCs w:val="18"/>
              </w:rPr>
            </w:pPr>
            <w:r w:rsidRPr="00A9330B">
              <w:rPr>
                <w:rFonts w:cs="Arial"/>
                <w:sz w:val="16"/>
                <w:szCs w:val="16"/>
              </w:rPr>
              <w:t>locale</w:t>
            </w:r>
          </w:p>
        </w:tc>
        <w:tc>
          <w:tcPr>
            <w:tcW w:w="570" w:type="pct"/>
            <w:vAlign w:val="center"/>
          </w:tcPr>
          <w:p w14:paraId="15B241F5" w14:textId="77777777" w:rsidR="00401546" w:rsidRPr="00A9330B" w:rsidRDefault="00401546" w:rsidP="0013556B">
            <w:pPr>
              <w:spacing w:before="60"/>
              <w:rPr>
                <w:rFonts w:cs="Arial"/>
                <w:sz w:val="18"/>
                <w:szCs w:val="18"/>
              </w:rPr>
            </w:pPr>
            <w:r w:rsidRPr="00A9330B">
              <w:rPr>
                <w:rFonts w:cs="Arial"/>
                <w:sz w:val="16"/>
                <w:szCs w:val="16"/>
              </w:rPr>
              <w:t>temporaire</w:t>
            </w:r>
          </w:p>
        </w:tc>
        <w:tc>
          <w:tcPr>
            <w:tcW w:w="474" w:type="pct"/>
            <w:vAlign w:val="center"/>
          </w:tcPr>
          <w:p w14:paraId="729923CD" w14:textId="77777777" w:rsidR="00401546" w:rsidRPr="00A9330B" w:rsidRDefault="00401546" w:rsidP="0013556B">
            <w:pPr>
              <w:spacing w:before="60"/>
              <w:rPr>
                <w:rFonts w:cs="Arial"/>
                <w:sz w:val="18"/>
                <w:szCs w:val="18"/>
              </w:rPr>
            </w:pPr>
            <w:r w:rsidRPr="00A9330B">
              <w:rPr>
                <w:rFonts w:cs="Arial"/>
                <w:sz w:val="16"/>
                <w:szCs w:val="16"/>
              </w:rPr>
              <w:t xml:space="preserve">Faible </w:t>
            </w:r>
          </w:p>
        </w:tc>
      </w:tr>
      <w:tr w:rsidR="00401546" w:rsidRPr="00A9330B" w14:paraId="2840321D" w14:textId="77777777" w:rsidTr="00401546">
        <w:tc>
          <w:tcPr>
            <w:tcW w:w="743" w:type="pct"/>
            <w:vMerge/>
          </w:tcPr>
          <w:p w14:paraId="1A3E961F" w14:textId="77777777" w:rsidR="00401546" w:rsidRPr="00A9330B" w:rsidRDefault="00401546" w:rsidP="0013556B">
            <w:pPr>
              <w:rPr>
                <w:rFonts w:cs="Arial"/>
                <w:sz w:val="18"/>
                <w:szCs w:val="18"/>
              </w:rPr>
            </w:pPr>
          </w:p>
        </w:tc>
        <w:tc>
          <w:tcPr>
            <w:tcW w:w="1780" w:type="pct"/>
          </w:tcPr>
          <w:p w14:paraId="6E11E5B8" w14:textId="510AF5B0" w:rsidR="00401546" w:rsidRPr="00A9330B" w:rsidRDefault="00305985" w:rsidP="000F7BA7">
            <w:pPr>
              <w:spacing w:before="60"/>
              <w:jc w:val="both"/>
              <w:rPr>
                <w:rFonts w:cs="Arial"/>
                <w:sz w:val="18"/>
                <w:szCs w:val="18"/>
              </w:rPr>
            </w:pPr>
            <w:r w:rsidRPr="00A9330B">
              <w:rPr>
                <w:rFonts w:cs="Arial"/>
                <w:sz w:val="18"/>
                <w:szCs w:val="18"/>
              </w:rPr>
              <w:t>Le s</w:t>
            </w:r>
            <w:r w:rsidR="00401546" w:rsidRPr="00A9330B">
              <w:rPr>
                <w:rFonts w:cs="Arial"/>
                <w:sz w:val="18"/>
                <w:szCs w:val="18"/>
              </w:rPr>
              <w:t>tockage et l’abandon sur place des matériels hors d’usage, des matériaux d’entretien et des résidus de démolition.</w:t>
            </w:r>
          </w:p>
        </w:tc>
        <w:tc>
          <w:tcPr>
            <w:tcW w:w="462" w:type="pct"/>
            <w:vAlign w:val="center"/>
          </w:tcPr>
          <w:p w14:paraId="3FA6C878" w14:textId="77777777" w:rsidR="00401546" w:rsidRPr="00A9330B" w:rsidRDefault="00401546" w:rsidP="0013556B">
            <w:pPr>
              <w:spacing w:before="60"/>
              <w:rPr>
                <w:rFonts w:cs="Arial"/>
                <w:sz w:val="18"/>
                <w:szCs w:val="18"/>
              </w:rPr>
            </w:pPr>
            <w:r w:rsidRPr="00A9330B">
              <w:rPr>
                <w:rFonts w:cs="Arial"/>
                <w:b/>
                <w:sz w:val="16"/>
                <w:szCs w:val="16"/>
              </w:rPr>
              <w:t>-</w:t>
            </w:r>
          </w:p>
        </w:tc>
        <w:tc>
          <w:tcPr>
            <w:tcW w:w="467" w:type="pct"/>
            <w:vAlign w:val="center"/>
          </w:tcPr>
          <w:p w14:paraId="7C656A8C" w14:textId="77777777" w:rsidR="00401546" w:rsidRPr="00A9330B" w:rsidRDefault="00401546" w:rsidP="0013556B">
            <w:pPr>
              <w:spacing w:before="60"/>
              <w:rPr>
                <w:rFonts w:cs="Arial"/>
                <w:sz w:val="18"/>
                <w:szCs w:val="18"/>
              </w:rPr>
            </w:pPr>
            <w:r w:rsidRPr="00A9330B">
              <w:rPr>
                <w:rFonts w:cs="Arial"/>
                <w:sz w:val="16"/>
                <w:szCs w:val="16"/>
              </w:rPr>
              <w:t>moyenne</w:t>
            </w:r>
          </w:p>
        </w:tc>
        <w:tc>
          <w:tcPr>
            <w:tcW w:w="504" w:type="pct"/>
            <w:vAlign w:val="center"/>
          </w:tcPr>
          <w:p w14:paraId="59B57D96" w14:textId="77777777" w:rsidR="00401546" w:rsidRPr="00A9330B" w:rsidRDefault="00401546" w:rsidP="0013556B">
            <w:pPr>
              <w:spacing w:before="60"/>
              <w:rPr>
                <w:rFonts w:cs="Arial"/>
                <w:sz w:val="18"/>
                <w:szCs w:val="18"/>
              </w:rPr>
            </w:pPr>
            <w:r w:rsidRPr="00A9330B">
              <w:rPr>
                <w:rFonts w:cs="Arial"/>
                <w:sz w:val="16"/>
                <w:szCs w:val="16"/>
              </w:rPr>
              <w:t>locale</w:t>
            </w:r>
          </w:p>
        </w:tc>
        <w:tc>
          <w:tcPr>
            <w:tcW w:w="570" w:type="pct"/>
            <w:vAlign w:val="center"/>
          </w:tcPr>
          <w:p w14:paraId="229FBFBB" w14:textId="77777777" w:rsidR="00401546" w:rsidRPr="00A9330B" w:rsidRDefault="00401546" w:rsidP="0013556B">
            <w:pPr>
              <w:spacing w:before="60"/>
              <w:rPr>
                <w:rFonts w:cs="Arial"/>
                <w:sz w:val="18"/>
                <w:szCs w:val="18"/>
              </w:rPr>
            </w:pPr>
            <w:r w:rsidRPr="00A9330B">
              <w:rPr>
                <w:rFonts w:cs="Arial"/>
                <w:sz w:val="16"/>
                <w:szCs w:val="16"/>
              </w:rPr>
              <w:t>temporaire</w:t>
            </w:r>
          </w:p>
        </w:tc>
        <w:tc>
          <w:tcPr>
            <w:tcW w:w="474" w:type="pct"/>
            <w:vAlign w:val="center"/>
          </w:tcPr>
          <w:p w14:paraId="658B3369" w14:textId="77777777" w:rsidR="00401546" w:rsidRPr="00A9330B" w:rsidRDefault="00401546" w:rsidP="0013556B">
            <w:pPr>
              <w:spacing w:before="60"/>
              <w:rPr>
                <w:rFonts w:cs="Arial"/>
                <w:sz w:val="18"/>
                <w:szCs w:val="18"/>
              </w:rPr>
            </w:pPr>
            <w:r w:rsidRPr="00A9330B">
              <w:rPr>
                <w:rFonts w:cs="Arial"/>
                <w:sz w:val="16"/>
                <w:szCs w:val="16"/>
              </w:rPr>
              <w:t xml:space="preserve">Faible </w:t>
            </w:r>
          </w:p>
        </w:tc>
      </w:tr>
      <w:tr w:rsidR="009C5C1D" w:rsidRPr="00A9330B" w14:paraId="22D3B788" w14:textId="77777777" w:rsidTr="009C5C1D">
        <w:tc>
          <w:tcPr>
            <w:tcW w:w="743" w:type="pct"/>
            <w:vMerge w:val="restart"/>
            <w:vAlign w:val="center"/>
          </w:tcPr>
          <w:p w14:paraId="471FC5C3" w14:textId="0F1BBFE2" w:rsidR="009C5C1D" w:rsidRPr="00A9330B" w:rsidRDefault="009C5C1D" w:rsidP="009C5C1D">
            <w:pPr>
              <w:rPr>
                <w:rFonts w:cs="Arial"/>
                <w:sz w:val="18"/>
                <w:szCs w:val="18"/>
              </w:rPr>
            </w:pPr>
            <w:r w:rsidRPr="00A9330B">
              <w:rPr>
                <w:rFonts w:cs="Arial"/>
                <w:sz w:val="19"/>
                <w:szCs w:val="19"/>
              </w:rPr>
              <w:t xml:space="preserve">3.3. Drainage des eaux pluviales vers les exutoires </w:t>
            </w:r>
          </w:p>
        </w:tc>
        <w:tc>
          <w:tcPr>
            <w:tcW w:w="1780" w:type="pct"/>
          </w:tcPr>
          <w:p w14:paraId="28F2A52E" w14:textId="369CE96A" w:rsidR="009C5C1D" w:rsidRPr="00A9330B" w:rsidRDefault="009C5C1D" w:rsidP="009C5C1D">
            <w:pPr>
              <w:spacing w:before="60"/>
              <w:jc w:val="both"/>
              <w:rPr>
                <w:rFonts w:cs="Arial"/>
                <w:sz w:val="18"/>
                <w:szCs w:val="18"/>
              </w:rPr>
            </w:pPr>
            <w:r w:rsidRPr="00A9330B">
              <w:rPr>
                <w:rFonts w:cs="Arial"/>
                <w:sz w:val="19"/>
                <w:szCs w:val="19"/>
              </w:rPr>
              <w:t xml:space="preserve">Accumulation de déchets solides au niveau des exutoires et des berges des plans d’eau </w:t>
            </w:r>
          </w:p>
        </w:tc>
        <w:tc>
          <w:tcPr>
            <w:tcW w:w="462" w:type="pct"/>
          </w:tcPr>
          <w:p w14:paraId="7FB7994B" w14:textId="3CB356B5" w:rsidR="009C5C1D" w:rsidRPr="00A9330B" w:rsidRDefault="009C5C1D" w:rsidP="009C5C1D">
            <w:pPr>
              <w:spacing w:before="60"/>
              <w:rPr>
                <w:rFonts w:cs="Arial"/>
                <w:b/>
                <w:sz w:val="16"/>
                <w:szCs w:val="16"/>
              </w:rPr>
            </w:pPr>
            <w:r w:rsidRPr="00A9330B">
              <w:rPr>
                <w:rFonts w:cs="Arial"/>
                <w:sz w:val="19"/>
                <w:szCs w:val="19"/>
              </w:rPr>
              <w:t>-</w:t>
            </w:r>
          </w:p>
        </w:tc>
        <w:tc>
          <w:tcPr>
            <w:tcW w:w="467" w:type="pct"/>
            <w:vAlign w:val="center"/>
          </w:tcPr>
          <w:p w14:paraId="4180CC4E" w14:textId="4712375E" w:rsidR="009C5C1D" w:rsidRPr="00A9330B" w:rsidRDefault="009C5C1D" w:rsidP="009C5C1D">
            <w:pPr>
              <w:spacing w:before="60"/>
              <w:rPr>
                <w:rFonts w:cs="Arial"/>
                <w:sz w:val="16"/>
                <w:szCs w:val="16"/>
              </w:rPr>
            </w:pPr>
            <w:r w:rsidRPr="00A9330B">
              <w:rPr>
                <w:rFonts w:cs="Arial"/>
                <w:sz w:val="18"/>
                <w:szCs w:val="18"/>
              </w:rPr>
              <w:t>moyenne</w:t>
            </w:r>
          </w:p>
        </w:tc>
        <w:tc>
          <w:tcPr>
            <w:tcW w:w="504" w:type="pct"/>
            <w:vAlign w:val="center"/>
          </w:tcPr>
          <w:p w14:paraId="052AA222" w14:textId="20E2F448" w:rsidR="009C5C1D" w:rsidRPr="00A9330B" w:rsidRDefault="009C5C1D" w:rsidP="009C5C1D">
            <w:pPr>
              <w:spacing w:before="60"/>
              <w:rPr>
                <w:rFonts w:cs="Arial"/>
                <w:sz w:val="16"/>
                <w:szCs w:val="16"/>
              </w:rPr>
            </w:pPr>
            <w:r w:rsidRPr="00A9330B">
              <w:rPr>
                <w:rFonts w:cs="Arial"/>
                <w:sz w:val="18"/>
                <w:szCs w:val="18"/>
              </w:rPr>
              <w:t>régionale</w:t>
            </w:r>
          </w:p>
        </w:tc>
        <w:tc>
          <w:tcPr>
            <w:tcW w:w="570" w:type="pct"/>
            <w:vAlign w:val="center"/>
          </w:tcPr>
          <w:p w14:paraId="4F9AA501" w14:textId="3DC22D8C" w:rsidR="009C5C1D" w:rsidRPr="00A9330B" w:rsidRDefault="009C5C1D" w:rsidP="009C5C1D">
            <w:pPr>
              <w:spacing w:before="60"/>
              <w:rPr>
                <w:rFonts w:cs="Arial"/>
                <w:sz w:val="16"/>
                <w:szCs w:val="16"/>
              </w:rPr>
            </w:pPr>
            <w:r w:rsidRPr="00A9330B">
              <w:rPr>
                <w:rFonts w:cs="Arial"/>
                <w:sz w:val="18"/>
                <w:szCs w:val="18"/>
              </w:rPr>
              <w:t xml:space="preserve">permanente </w:t>
            </w:r>
          </w:p>
        </w:tc>
        <w:tc>
          <w:tcPr>
            <w:tcW w:w="474" w:type="pct"/>
            <w:vAlign w:val="center"/>
          </w:tcPr>
          <w:p w14:paraId="7AB8E91B" w14:textId="5D5A20F6" w:rsidR="009C5C1D" w:rsidRPr="00A9330B" w:rsidRDefault="009C5C1D" w:rsidP="009C5C1D">
            <w:pPr>
              <w:spacing w:before="60"/>
              <w:rPr>
                <w:rFonts w:cs="Arial"/>
                <w:sz w:val="16"/>
                <w:szCs w:val="16"/>
              </w:rPr>
            </w:pPr>
            <w:r w:rsidRPr="00A9330B">
              <w:rPr>
                <w:rFonts w:cs="Arial"/>
                <w:sz w:val="18"/>
                <w:szCs w:val="18"/>
              </w:rPr>
              <w:t xml:space="preserve">Moyenne </w:t>
            </w:r>
          </w:p>
        </w:tc>
      </w:tr>
      <w:tr w:rsidR="009C5C1D" w:rsidRPr="00A9330B" w14:paraId="1150BBD9" w14:textId="77777777" w:rsidTr="009C5C1D">
        <w:tc>
          <w:tcPr>
            <w:tcW w:w="743" w:type="pct"/>
            <w:vMerge/>
            <w:vAlign w:val="center"/>
          </w:tcPr>
          <w:p w14:paraId="2ACDFDE5" w14:textId="77777777" w:rsidR="009C5C1D" w:rsidRPr="00A9330B" w:rsidRDefault="009C5C1D" w:rsidP="009C5C1D">
            <w:pPr>
              <w:rPr>
                <w:rFonts w:cs="Arial"/>
                <w:sz w:val="18"/>
                <w:szCs w:val="18"/>
              </w:rPr>
            </w:pPr>
          </w:p>
        </w:tc>
        <w:tc>
          <w:tcPr>
            <w:tcW w:w="1780" w:type="pct"/>
          </w:tcPr>
          <w:p w14:paraId="3B91F469" w14:textId="65AF53AF" w:rsidR="009C5C1D" w:rsidRPr="00A9330B" w:rsidRDefault="009C5C1D" w:rsidP="009C5C1D">
            <w:pPr>
              <w:spacing w:before="60"/>
              <w:jc w:val="both"/>
              <w:rPr>
                <w:rFonts w:cs="Arial"/>
                <w:sz w:val="18"/>
                <w:szCs w:val="18"/>
              </w:rPr>
            </w:pPr>
            <w:r w:rsidRPr="00A9330B">
              <w:rPr>
                <w:rFonts w:cs="Arial"/>
                <w:sz w:val="19"/>
                <w:szCs w:val="19"/>
              </w:rPr>
              <w:t xml:space="preserve">Comblement des exutoires par des dépôts de sédiments issus du draine des eaux pluviales </w:t>
            </w:r>
          </w:p>
        </w:tc>
        <w:tc>
          <w:tcPr>
            <w:tcW w:w="462" w:type="pct"/>
          </w:tcPr>
          <w:p w14:paraId="695A3F27" w14:textId="122A4402" w:rsidR="009C5C1D" w:rsidRPr="00A9330B" w:rsidRDefault="009C5C1D" w:rsidP="009C5C1D">
            <w:pPr>
              <w:spacing w:before="60"/>
              <w:rPr>
                <w:rFonts w:cs="Arial"/>
                <w:b/>
                <w:sz w:val="16"/>
                <w:szCs w:val="16"/>
              </w:rPr>
            </w:pPr>
            <w:r w:rsidRPr="00A9330B">
              <w:rPr>
                <w:rFonts w:cs="Arial"/>
                <w:sz w:val="19"/>
                <w:szCs w:val="19"/>
              </w:rPr>
              <w:t>-</w:t>
            </w:r>
          </w:p>
        </w:tc>
        <w:tc>
          <w:tcPr>
            <w:tcW w:w="467" w:type="pct"/>
            <w:vAlign w:val="center"/>
          </w:tcPr>
          <w:p w14:paraId="4635A14C" w14:textId="7A7FB59F" w:rsidR="009C5C1D" w:rsidRPr="00A9330B" w:rsidRDefault="009C5C1D" w:rsidP="009C5C1D">
            <w:pPr>
              <w:spacing w:before="60"/>
              <w:rPr>
                <w:rFonts w:cs="Arial"/>
                <w:sz w:val="16"/>
                <w:szCs w:val="16"/>
              </w:rPr>
            </w:pPr>
            <w:r w:rsidRPr="00A9330B">
              <w:rPr>
                <w:rFonts w:cs="Arial"/>
                <w:sz w:val="18"/>
                <w:szCs w:val="18"/>
              </w:rPr>
              <w:t>moyenne</w:t>
            </w:r>
          </w:p>
        </w:tc>
        <w:tc>
          <w:tcPr>
            <w:tcW w:w="504" w:type="pct"/>
            <w:vAlign w:val="center"/>
          </w:tcPr>
          <w:p w14:paraId="1279AA31" w14:textId="10679E1C" w:rsidR="009C5C1D" w:rsidRPr="00A9330B" w:rsidRDefault="009C5C1D" w:rsidP="009C5C1D">
            <w:pPr>
              <w:spacing w:before="60"/>
              <w:rPr>
                <w:rFonts w:cs="Arial"/>
                <w:sz w:val="16"/>
                <w:szCs w:val="16"/>
              </w:rPr>
            </w:pPr>
            <w:r w:rsidRPr="00A9330B">
              <w:rPr>
                <w:rFonts w:cs="Arial"/>
                <w:sz w:val="18"/>
                <w:szCs w:val="18"/>
              </w:rPr>
              <w:t>régionale</w:t>
            </w:r>
          </w:p>
        </w:tc>
        <w:tc>
          <w:tcPr>
            <w:tcW w:w="570" w:type="pct"/>
            <w:vAlign w:val="center"/>
          </w:tcPr>
          <w:p w14:paraId="6082DB83" w14:textId="722949B2" w:rsidR="009C5C1D" w:rsidRPr="00A9330B" w:rsidRDefault="009C5C1D" w:rsidP="009C5C1D">
            <w:pPr>
              <w:spacing w:before="60"/>
              <w:rPr>
                <w:rFonts w:cs="Arial"/>
                <w:sz w:val="16"/>
                <w:szCs w:val="16"/>
              </w:rPr>
            </w:pPr>
            <w:r w:rsidRPr="00A9330B">
              <w:rPr>
                <w:rFonts w:cs="Arial"/>
                <w:sz w:val="18"/>
                <w:szCs w:val="18"/>
              </w:rPr>
              <w:t xml:space="preserve">permanente </w:t>
            </w:r>
          </w:p>
        </w:tc>
        <w:tc>
          <w:tcPr>
            <w:tcW w:w="474" w:type="pct"/>
            <w:vAlign w:val="center"/>
          </w:tcPr>
          <w:p w14:paraId="172C15E5" w14:textId="34FD3457" w:rsidR="009C5C1D" w:rsidRPr="00A9330B" w:rsidRDefault="009C5C1D" w:rsidP="009C5C1D">
            <w:pPr>
              <w:spacing w:before="60"/>
              <w:rPr>
                <w:rFonts w:cs="Arial"/>
                <w:sz w:val="16"/>
                <w:szCs w:val="16"/>
              </w:rPr>
            </w:pPr>
            <w:r w:rsidRPr="00A9330B">
              <w:rPr>
                <w:rFonts w:cs="Arial"/>
                <w:sz w:val="18"/>
                <w:szCs w:val="18"/>
              </w:rPr>
              <w:t xml:space="preserve">Moyenne </w:t>
            </w:r>
          </w:p>
        </w:tc>
      </w:tr>
      <w:tr w:rsidR="009C5C1D" w:rsidRPr="00A9330B" w14:paraId="44C2C1E5" w14:textId="77777777" w:rsidTr="00401546">
        <w:tc>
          <w:tcPr>
            <w:tcW w:w="743" w:type="pct"/>
            <w:vAlign w:val="center"/>
          </w:tcPr>
          <w:p w14:paraId="41CF5CC0" w14:textId="20274093" w:rsidR="009C5C1D" w:rsidRPr="00A9330B" w:rsidRDefault="009C5C1D" w:rsidP="009C5C1D">
            <w:pPr>
              <w:rPr>
                <w:rFonts w:cs="Arial"/>
                <w:sz w:val="18"/>
                <w:szCs w:val="18"/>
              </w:rPr>
            </w:pPr>
            <w:r w:rsidRPr="00A9330B">
              <w:rPr>
                <w:rFonts w:cs="Arial"/>
                <w:sz w:val="19"/>
                <w:szCs w:val="19"/>
              </w:rPr>
              <w:t>3.4. Réception des travaux</w:t>
            </w:r>
          </w:p>
        </w:tc>
        <w:tc>
          <w:tcPr>
            <w:tcW w:w="1780" w:type="pct"/>
          </w:tcPr>
          <w:p w14:paraId="4B25FFE6" w14:textId="179BD9DC" w:rsidR="009C5C1D" w:rsidRPr="00A9330B" w:rsidRDefault="009C5C1D" w:rsidP="009C5C1D">
            <w:pPr>
              <w:spacing w:before="60"/>
              <w:rPr>
                <w:rFonts w:cs="Arial"/>
                <w:sz w:val="18"/>
                <w:szCs w:val="18"/>
              </w:rPr>
            </w:pPr>
            <w:r w:rsidRPr="00A9330B">
              <w:rPr>
                <w:rFonts w:cs="Arial"/>
                <w:sz w:val="19"/>
                <w:szCs w:val="19"/>
              </w:rPr>
              <w:t xml:space="preserve">Non significatif </w:t>
            </w:r>
          </w:p>
        </w:tc>
        <w:tc>
          <w:tcPr>
            <w:tcW w:w="462" w:type="pct"/>
          </w:tcPr>
          <w:p w14:paraId="0BD705B5" w14:textId="51019B39" w:rsidR="009C5C1D" w:rsidRPr="00A9330B" w:rsidRDefault="009C5C1D" w:rsidP="009C5C1D">
            <w:pPr>
              <w:spacing w:before="60"/>
              <w:rPr>
                <w:rFonts w:cs="Arial"/>
                <w:sz w:val="18"/>
                <w:szCs w:val="18"/>
              </w:rPr>
            </w:pPr>
            <w:r w:rsidRPr="00A9330B">
              <w:rPr>
                <w:rFonts w:cs="Arial"/>
                <w:sz w:val="19"/>
                <w:szCs w:val="19"/>
              </w:rPr>
              <w:t>-</w:t>
            </w:r>
          </w:p>
        </w:tc>
        <w:tc>
          <w:tcPr>
            <w:tcW w:w="467" w:type="pct"/>
          </w:tcPr>
          <w:p w14:paraId="53029A7D" w14:textId="77777777" w:rsidR="009C5C1D" w:rsidRPr="00A9330B" w:rsidRDefault="009C5C1D" w:rsidP="009C5C1D">
            <w:pPr>
              <w:spacing w:before="60"/>
              <w:rPr>
                <w:rFonts w:cs="Arial"/>
                <w:sz w:val="18"/>
                <w:szCs w:val="18"/>
              </w:rPr>
            </w:pPr>
          </w:p>
        </w:tc>
        <w:tc>
          <w:tcPr>
            <w:tcW w:w="504" w:type="pct"/>
          </w:tcPr>
          <w:p w14:paraId="25ED8DEB" w14:textId="77777777" w:rsidR="009C5C1D" w:rsidRPr="00A9330B" w:rsidRDefault="009C5C1D" w:rsidP="009C5C1D">
            <w:pPr>
              <w:spacing w:before="60"/>
              <w:rPr>
                <w:rFonts w:cs="Arial"/>
                <w:sz w:val="18"/>
                <w:szCs w:val="18"/>
              </w:rPr>
            </w:pPr>
          </w:p>
        </w:tc>
        <w:tc>
          <w:tcPr>
            <w:tcW w:w="570" w:type="pct"/>
          </w:tcPr>
          <w:p w14:paraId="256A486A" w14:textId="77777777" w:rsidR="009C5C1D" w:rsidRPr="00A9330B" w:rsidRDefault="009C5C1D" w:rsidP="009C5C1D">
            <w:pPr>
              <w:spacing w:before="60"/>
              <w:rPr>
                <w:rFonts w:cs="Arial"/>
                <w:sz w:val="18"/>
                <w:szCs w:val="18"/>
              </w:rPr>
            </w:pPr>
          </w:p>
        </w:tc>
        <w:tc>
          <w:tcPr>
            <w:tcW w:w="474" w:type="pct"/>
          </w:tcPr>
          <w:p w14:paraId="7968CE64" w14:textId="77777777" w:rsidR="009C5C1D" w:rsidRPr="00A9330B" w:rsidRDefault="009C5C1D" w:rsidP="009C5C1D">
            <w:pPr>
              <w:spacing w:before="60"/>
              <w:rPr>
                <w:rFonts w:cs="Arial"/>
                <w:sz w:val="18"/>
                <w:szCs w:val="18"/>
              </w:rPr>
            </w:pPr>
          </w:p>
        </w:tc>
      </w:tr>
    </w:tbl>
    <w:p w14:paraId="596DABB1" w14:textId="12A661D1" w:rsidR="0013556B" w:rsidRDefault="0013556B" w:rsidP="00401546">
      <w:pPr>
        <w:keepNext/>
        <w:keepLines/>
        <w:widowControl w:val="0"/>
        <w:spacing w:after="120" w:line="240" w:lineRule="auto"/>
        <w:ind w:left="1191"/>
        <w:jc w:val="both"/>
        <w:outlineLvl w:val="3"/>
        <w:rPr>
          <w:rFonts w:eastAsiaTheme="majorEastAsia" w:cstheme="majorBidi"/>
          <w:b/>
          <w:i/>
          <w:iCs/>
          <w:color w:val="auto"/>
        </w:rPr>
      </w:pPr>
      <w:bookmarkStart w:id="1670" w:name="_Toc405918037"/>
      <w:bookmarkStart w:id="1671" w:name="_Toc517364174"/>
      <w:bookmarkStart w:id="1672" w:name="_Toc43697689"/>
    </w:p>
    <w:p w14:paraId="14035224" w14:textId="2EC9A0BC" w:rsidR="00E216F6" w:rsidRDefault="00E216F6" w:rsidP="00401546">
      <w:pPr>
        <w:keepNext/>
        <w:keepLines/>
        <w:widowControl w:val="0"/>
        <w:spacing w:after="120" w:line="240" w:lineRule="auto"/>
        <w:ind w:left="1191"/>
        <w:jc w:val="both"/>
        <w:outlineLvl w:val="3"/>
        <w:rPr>
          <w:rFonts w:eastAsiaTheme="majorEastAsia" w:cstheme="majorBidi"/>
          <w:b/>
          <w:i/>
          <w:iCs/>
          <w:color w:val="auto"/>
        </w:rPr>
      </w:pPr>
    </w:p>
    <w:p w14:paraId="1254D1C4" w14:textId="59021F9F" w:rsidR="004C234F" w:rsidRDefault="004C234F" w:rsidP="00E216F6">
      <w:pPr>
        <w:keepNext/>
        <w:keepLines/>
        <w:widowControl w:val="0"/>
        <w:spacing w:after="120" w:line="240" w:lineRule="auto"/>
        <w:ind w:left="1191"/>
        <w:jc w:val="both"/>
        <w:outlineLvl w:val="3"/>
        <w:rPr>
          <w:rFonts w:eastAsia="Times New Roman" w:cs="Arial"/>
          <w:color w:val="auto"/>
          <w:sz w:val="19"/>
          <w:szCs w:val="19"/>
          <w:lang w:eastAsia="fr-FR"/>
        </w:rPr>
      </w:pPr>
    </w:p>
    <w:p w14:paraId="4183F612" w14:textId="77777777" w:rsidR="004C234F" w:rsidRPr="00A9330B" w:rsidRDefault="004C234F" w:rsidP="00E216F6">
      <w:pPr>
        <w:keepNext/>
        <w:keepLines/>
        <w:widowControl w:val="0"/>
        <w:spacing w:after="120" w:line="240" w:lineRule="auto"/>
        <w:ind w:left="1191"/>
        <w:jc w:val="both"/>
        <w:outlineLvl w:val="3"/>
        <w:rPr>
          <w:rFonts w:eastAsiaTheme="majorEastAsia" w:cstheme="majorBidi"/>
          <w:b/>
          <w:i/>
          <w:iCs/>
          <w:color w:val="auto"/>
        </w:rPr>
        <w:sectPr w:rsidR="004C234F" w:rsidRPr="00A9330B" w:rsidSect="0013556B">
          <w:pgSz w:w="16838" w:h="11906" w:orient="landscape" w:code="9"/>
          <w:pgMar w:top="1418" w:right="1276" w:bottom="1418" w:left="1276" w:header="709" w:footer="510" w:gutter="0"/>
          <w:cols w:space="708"/>
          <w:docGrid w:linePitch="360"/>
        </w:sectPr>
      </w:pPr>
    </w:p>
    <w:p w14:paraId="7E9559DC" w14:textId="172334C2" w:rsidR="00401546" w:rsidRPr="00A9330B" w:rsidRDefault="00401546" w:rsidP="0064324E">
      <w:pPr>
        <w:pStyle w:val="Titre40"/>
      </w:pPr>
      <w:bookmarkStart w:id="1673" w:name="_Toc45520893"/>
      <w:bookmarkStart w:id="1674" w:name="_Toc52869693"/>
      <w:r w:rsidRPr="00A9330B">
        <w:lastRenderedPageBreak/>
        <w:t xml:space="preserve">8.1.1.3. Impacts </w:t>
      </w:r>
      <w:r w:rsidR="00667A3D" w:rsidRPr="00A9330B">
        <w:t>c</w:t>
      </w:r>
      <w:r w:rsidRPr="00A9330B">
        <w:t xml:space="preserve">umulatifs </w:t>
      </w:r>
      <w:bookmarkEnd w:id="1670"/>
      <w:r w:rsidRPr="00A9330B">
        <w:t>probables</w:t>
      </w:r>
      <w:bookmarkEnd w:id="1671"/>
      <w:bookmarkEnd w:id="1672"/>
      <w:bookmarkEnd w:id="1673"/>
      <w:bookmarkEnd w:id="1674"/>
    </w:p>
    <w:p w14:paraId="42A54DCC" w14:textId="2455D13F" w:rsidR="00401546" w:rsidRPr="00A9330B" w:rsidRDefault="00401546" w:rsidP="00401546">
      <w:pPr>
        <w:jc w:val="both"/>
        <w:rPr>
          <w:rFonts w:cs="Arial"/>
        </w:rPr>
      </w:pPr>
      <w:r w:rsidRPr="00A9330B">
        <w:rPr>
          <w:rFonts w:cs="Arial"/>
        </w:rPr>
        <w:t>Les effets cumulatifs probables sont liés aux émissions atmosphériques lors de la réalisation des travaux et de la phase d’exploitation, le niveau de bruit ambiant (le bruit des équipements et du trafic), la gestion des déchets de construction (inertes et déchets ménagers), de même que les risques d’accident dans la mesure où les travaux peuvent se faire simultanément avec d’autres projet du PAG.</w:t>
      </w:r>
    </w:p>
    <w:p w14:paraId="5AA67522" w14:textId="71874139" w:rsidR="00401546" w:rsidRPr="00A9330B" w:rsidRDefault="00401546" w:rsidP="00401546">
      <w:pPr>
        <w:jc w:val="both"/>
        <w:rPr>
          <w:rFonts w:cs="Arial"/>
        </w:rPr>
      </w:pPr>
      <w:r w:rsidRPr="00A9330B">
        <w:rPr>
          <w:rFonts w:cs="Arial"/>
        </w:rPr>
        <w:t>Il faut noter que dans la mise en œuvre du PAG, plusieurs projets sont en cours d’études dont la réalisation pourrait se faire dans les mêmes aires géographiques que le projet notamment le projet Asphaltage des rues, phase II, dont le démarrage est imminent.</w:t>
      </w:r>
    </w:p>
    <w:p w14:paraId="3EE87404" w14:textId="77777777" w:rsidR="00401546" w:rsidRPr="00A9330B" w:rsidRDefault="00401546" w:rsidP="00401546">
      <w:pPr>
        <w:jc w:val="both"/>
        <w:rPr>
          <w:rFonts w:cs="Arial"/>
        </w:rPr>
      </w:pPr>
      <w:r w:rsidRPr="00A9330B">
        <w:rPr>
          <w:rFonts w:cs="Arial"/>
        </w:rPr>
        <w:t xml:space="preserve">Les travaux liés à ce projet se dérouleront en général dans le domaine public et particulièrement dans les voiries. </w:t>
      </w:r>
    </w:p>
    <w:p w14:paraId="76B78F0C" w14:textId="77777777" w:rsidR="00401546" w:rsidRPr="00A9330B" w:rsidRDefault="00401546" w:rsidP="00401546">
      <w:pPr>
        <w:jc w:val="both"/>
        <w:rPr>
          <w:rFonts w:cs="Arial"/>
        </w:rPr>
      </w:pPr>
      <w:r w:rsidRPr="00A9330B">
        <w:rPr>
          <w:rFonts w:cs="Arial"/>
        </w:rPr>
        <w:t>Il serait donc souhaitable qu’un plan d’action synergique soit élaboré et mis en œuvre pour une gestion adéquate des travaux desdits projets afin d’éviter les conflits et l’augmentation des nuisances pour les usagers des routes de secteurs concernés. Pour ce faire :</w:t>
      </w:r>
    </w:p>
    <w:p w14:paraId="7AF7B824" w14:textId="77777777" w:rsidR="00401546" w:rsidRPr="00A9330B" w:rsidRDefault="00401546" w:rsidP="00BD2F72">
      <w:pPr>
        <w:widowControl w:val="0"/>
        <w:numPr>
          <w:ilvl w:val="0"/>
          <w:numId w:val="65"/>
        </w:numPr>
        <w:spacing w:before="0" w:line="240" w:lineRule="auto"/>
        <w:contextualSpacing/>
        <w:jc w:val="both"/>
        <w:rPr>
          <w:rFonts w:eastAsia="Times New Roman" w:cs="Arial"/>
          <w:szCs w:val="20"/>
          <w:lang w:eastAsia="de-DE"/>
        </w:rPr>
      </w:pPr>
      <w:r w:rsidRPr="00A9330B">
        <w:rPr>
          <w:rFonts w:eastAsia="Times New Roman" w:cs="Arial"/>
          <w:szCs w:val="20"/>
          <w:lang w:eastAsia="de-DE"/>
        </w:rPr>
        <w:t>les autres projets devront être clairement identifiées avant le démarrage des travaux ;</w:t>
      </w:r>
    </w:p>
    <w:p w14:paraId="0C6035CB" w14:textId="77777777" w:rsidR="00401546" w:rsidRPr="00A9330B" w:rsidRDefault="00401546" w:rsidP="00BD2F72">
      <w:pPr>
        <w:numPr>
          <w:ilvl w:val="0"/>
          <w:numId w:val="65"/>
        </w:numPr>
        <w:spacing w:line="240" w:lineRule="auto"/>
        <w:ind w:left="714" w:hanging="357"/>
        <w:jc w:val="both"/>
        <w:rPr>
          <w:rFonts w:eastAsia="Times New Roman" w:cs="Arial"/>
          <w:szCs w:val="20"/>
          <w:lang w:eastAsia="de-DE"/>
        </w:rPr>
      </w:pPr>
      <w:r w:rsidRPr="00A9330B">
        <w:rPr>
          <w:rFonts w:eastAsia="Times New Roman" w:cs="Arial"/>
          <w:szCs w:val="20"/>
          <w:lang w:eastAsia="de-DE"/>
        </w:rPr>
        <w:t>les calendriers d’exécution des travaux des  différents projets devront être coordonnés ;</w:t>
      </w:r>
    </w:p>
    <w:p w14:paraId="61FC51D5" w14:textId="77777777" w:rsidR="00401546" w:rsidRPr="00A9330B" w:rsidRDefault="00401546" w:rsidP="00BD2F72">
      <w:pPr>
        <w:numPr>
          <w:ilvl w:val="0"/>
          <w:numId w:val="65"/>
        </w:numPr>
        <w:spacing w:line="240" w:lineRule="auto"/>
        <w:ind w:left="714" w:hanging="357"/>
        <w:jc w:val="both"/>
        <w:rPr>
          <w:rFonts w:eastAsia="Times New Roman" w:cs="Arial"/>
          <w:szCs w:val="20"/>
          <w:lang w:eastAsia="de-DE"/>
        </w:rPr>
      </w:pPr>
      <w:r w:rsidRPr="00A9330B">
        <w:rPr>
          <w:rFonts w:eastAsia="Times New Roman" w:cs="Arial"/>
          <w:szCs w:val="20"/>
          <w:lang w:eastAsia="de-DE"/>
        </w:rPr>
        <w:t>des réservations devront être faites dans les voiries pour les autres projets à venir (fourreaux pour les canalisations et les lignes électriques, autres réseaux etc.) ;</w:t>
      </w:r>
    </w:p>
    <w:p w14:paraId="4ABDC39F" w14:textId="77777777" w:rsidR="00401546" w:rsidRPr="00A9330B" w:rsidRDefault="00401546" w:rsidP="000F7BA7">
      <w:pPr>
        <w:pStyle w:val="Titre20"/>
      </w:pPr>
      <w:r w:rsidRPr="00A9330B">
        <w:t xml:space="preserve"> </w:t>
      </w:r>
      <w:bookmarkStart w:id="1675" w:name="_Toc33367081"/>
      <w:bookmarkStart w:id="1676" w:name="_Toc43697690"/>
      <w:bookmarkStart w:id="1677" w:name="_Toc52869694"/>
      <w:bookmarkStart w:id="1678" w:name="_Toc52869854"/>
      <w:r w:rsidRPr="00A9330B">
        <w:t>8.2. Proposition de mesures</w:t>
      </w:r>
      <w:bookmarkEnd w:id="1675"/>
      <w:bookmarkEnd w:id="1676"/>
      <w:bookmarkEnd w:id="1677"/>
      <w:bookmarkEnd w:id="1678"/>
    </w:p>
    <w:p w14:paraId="6D067DC8" w14:textId="06283FC8" w:rsidR="00401546" w:rsidRPr="00A9330B" w:rsidRDefault="00401546" w:rsidP="00401546">
      <w:pPr>
        <w:autoSpaceDE w:val="0"/>
        <w:autoSpaceDN w:val="0"/>
        <w:adjustRightInd w:val="0"/>
        <w:jc w:val="both"/>
        <w:rPr>
          <w:rFonts w:cs="Arial"/>
        </w:rPr>
      </w:pPr>
      <w:r w:rsidRPr="00A9330B">
        <w:rPr>
          <w:rFonts w:cs="Arial"/>
        </w:rPr>
        <w:t>L'atténuation des impacts vise à permettre la meilleure intégration possible du projet dans le milieu récepteur. L'étude doit donc présenter les mesures d'atténuation qui seront appliquées pour réduire ou éliminer les impacts négatifs du projet, ainsi que les mesures destinées à maximiser les impacts positifs. Les mesur</w:t>
      </w:r>
      <w:r w:rsidR="00667A3D" w:rsidRPr="00A9330B">
        <w:rPr>
          <w:rFonts w:cs="Arial"/>
        </w:rPr>
        <w:t>e</w:t>
      </w:r>
      <w:r w:rsidRPr="00A9330B">
        <w:rPr>
          <w:rFonts w:cs="Arial"/>
        </w:rPr>
        <w:t>s proposées sont compilées dans le tableau de synthèse des impacts et mesures d’atténuation suivant :</w:t>
      </w:r>
    </w:p>
    <w:p w14:paraId="2D144563" w14:textId="77777777" w:rsidR="00401546" w:rsidRPr="00A9330B" w:rsidRDefault="00401546" w:rsidP="00401546">
      <w:pPr>
        <w:autoSpaceDE w:val="0"/>
        <w:autoSpaceDN w:val="0"/>
        <w:adjustRightInd w:val="0"/>
        <w:jc w:val="both"/>
        <w:rPr>
          <w:rFonts w:cs="Arial"/>
        </w:rPr>
      </w:pPr>
    </w:p>
    <w:p w14:paraId="7DB6B7CF" w14:textId="77777777" w:rsidR="00401546" w:rsidRPr="00A9330B" w:rsidRDefault="00401546" w:rsidP="00401546">
      <w:pPr>
        <w:keepNext/>
        <w:spacing w:after="120" w:line="240" w:lineRule="auto"/>
        <w:jc w:val="center"/>
        <w:rPr>
          <w:rFonts w:eastAsia="Times New Roman" w:cs="Arial"/>
          <w:b/>
          <w:color w:val="000000"/>
          <w:sz w:val="20"/>
          <w:szCs w:val="20"/>
          <w:lang w:eastAsia="fr-FR"/>
        </w:rPr>
        <w:sectPr w:rsidR="00401546" w:rsidRPr="00A9330B" w:rsidSect="00401546">
          <w:pgSz w:w="11906" w:h="16838"/>
          <w:pgMar w:top="1276" w:right="1417" w:bottom="1276" w:left="1417" w:header="708" w:footer="510" w:gutter="0"/>
          <w:cols w:space="708"/>
          <w:docGrid w:linePitch="360"/>
        </w:sectPr>
      </w:pPr>
    </w:p>
    <w:p w14:paraId="65B68006" w14:textId="147EA7E6" w:rsidR="00401546" w:rsidRPr="00A9330B" w:rsidRDefault="00401546" w:rsidP="001C7E6D">
      <w:pPr>
        <w:keepNext/>
        <w:spacing w:line="240" w:lineRule="auto"/>
        <w:jc w:val="center"/>
        <w:rPr>
          <w:rFonts w:eastAsia="Times New Roman" w:cs="Arial"/>
          <w:b/>
          <w:color w:val="000000"/>
          <w:sz w:val="20"/>
          <w:szCs w:val="20"/>
          <w:lang w:eastAsia="fr-FR"/>
        </w:rPr>
      </w:pPr>
      <w:bookmarkStart w:id="1679" w:name="_Toc43696252"/>
      <w:bookmarkStart w:id="1680" w:name="_Toc52873765"/>
      <w:r w:rsidRPr="00A9330B">
        <w:rPr>
          <w:rFonts w:eastAsia="Times New Roman" w:cs="Arial"/>
          <w:b/>
          <w:color w:val="000000"/>
          <w:sz w:val="20"/>
          <w:szCs w:val="20"/>
          <w:lang w:eastAsia="fr-FR"/>
        </w:rPr>
        <w:lastRenderedPageBreak/>
        <w:t xml:space="preserve">Tableau </w:t>
      </w:r>
      <w:r w:rsidRPr="00A9330B">
        <w:rPr>
          <w:rFonts w:eastAsia="Times New Roman" w:cs="Arial"/>
          <w:b/>
          <w:color w:val="000000"/>
          <w:sz w:val="20"/>
          <w:szCs w:val="20"/>
          <w:lang w:eastAsia="fr-FR"/>
        </w:rPr>
        <w:fldChar w:fldCharType="begin"/>
      </w:r>
      <w:r w:rsidRPr="00A9330B">
        <w:rPr>
          <w:rFonts w:eastAsia="Times New Roman" w:cs="Arial"/>
          <w:b/>
          <w:color w:val="000000"/>
          <w:sz w:val="20"/>
          <w:szCs w:val="20"/>
          <w:lang w:eastAsia="fr-FR"/>
        </w:rPr>
        <w:instrText xml:space="preserve"> SEQ Tableau \* ARABIC </w:instrText>
      </w:r>
      <w:r w:rsidRPr="00A9330B">
        <w:rPr>
          <w:rFonts w:eastAsia="Times New Roman" w:cs="Arial"/>
          <w:b/>
          <w:color w:val="000000"/>
          <w:sz w:val="20"/>
          <w:szCs w:val="20"/>
          <w:lang w:eastAsia="fr-FR"/>
        </w:rPr>
        <w:fldChar w:fldCharType="separate"/>
      </w:r>
      <w:r w:rsidR="00417D31" w:rsidRPr="00A9330B">
        <w:rPr>
          <w:rFonts w:eastAsia="Times New Roman" w:cs="Arial"/>
          <w:b/>
          <w:noProof/>
          <w:color w:val="000000"/>
          <w:sz w:val="20"/>
          <w:szCs w:val="20"/>
          <w:lang w:eastAsia="fr-FR"/>
        </w:rPr>
        <w:t>41</w:t>
      </w:r>
      <w:r w:rsidRPr="00A9330B">
        <w:rPr>
          <w:rFonts w:eastAsia="Times New Roman" w:cs="Arial"/>
          <w:b/>
          <w:color w:val="000000"/>
          <w:sz w:val="20"/>
          <w:szCs w:val="20"/>
          <w:lang w:eastAsia="fr-FR"/>
        </w:rPr>
        <w:fldChar w:fldCharType="end"/>
      </w:r>
      <w:r w:rsidR="00C07BE5" w:rsidRPr="00A9330B">
        <w:rPr>
          <w:rFonts w:eastAsia="Times New Roman" w:cs="Arial"/>
          <w:b/>
          <w:color w:val="000000"/>
          <w:sz w:val="20"/>
          <w:szCs w:val="20"/>
          <w:lang w:eastAsia="fr-FR"/>
        </w:rPr>
        <w:t> : T</w:t>
      </w:r>
      <w:r w:rsidRPr="00A9330B">
        <w:rPr>
          <w:rFonts w:eastAsia="Times New Roman" w:cs="Arial"/>
          <w:b/>
          <w:color w:val="000000"/>
          <w:sz w:val="20"/>
          <w:szCs w:val="20"/>
          <w:lang w:eastAsia="fr-FR"/>
        </w:rPr>
        <w:t>ableau de synthèse des impacts et mesures</w:t>
      </w:r>
      <w:bookmarkEnd w:id="1679"/>
      <w:bookmarkEnd w:id="1680"/>
    </w:p>
    <w:tbl>
      <w:tblPr>
        <w:tblStyle w:val="Grilledutableau"/>
        <w:tblW w:w="13571" w:type="dxa"/>
        <w:tblInd w:w="421" w:type="dxa"/>
        <w:tblLook w:val="04A0" w:firstRow="1" w:lastRow="0" w:firstColumn="1" w:lastColumn="0" w:noHBand="0" w:noVBand="1"/>
      </w:tblPr>
      <w:tblGrid>
        <w:gridCol w:w="2425"/>
        <w:gridCol w:w="2193"/>
        <w:gridCol w:w="2595"/>
        <w:gridCol w:w="1523"/>
        <w:gridCol w:w="2641"/>
        <w:gridCol w:w="2194"/>
      </w:tblGrid>
      <w:tr w:rsidR="00B31E28" w:rsidRPr="00A9330B" w14:paraId="0994A708" w14:textId="77777777" w:rsidTr="00350C9E">
        <w:trPr>
          <w:tblHeader/>
        </w:trPr>
        <w:tc>
          <w:tcPr>
            <w:tcW w:w="2425" w:type="dxa"/>
            <w:vAlign w:val="center"/>
          </w:tcPr>
          <w:p w14:paraId="717F7937" w14:textId="77777777" w:rsidR="00B31E28" w:rsidRPr="00A9330B" w:rsidRDefault="00B31E28" w:rsidP="00B31E28">
            <w:pPr>
              <w:spacing w:before="60" w:line="240" w:lineRule="auto"/>
              <w:rPr>
                <w:b/>
                <w:color w:val="auto"/>
                <w:sz w:val="20"/>
                <w:szCs w:val="20"/>
              </w:rPr>
            </w:pPr>
            <w:r w:rsidRPr="00A9330B">
              <w:rPr>
                <w:b/>
                <w:color w:val="auto"/>
                <w:sz w:val="20"/>
                <w:szCs w:val="20"/>
              </w:rPr>
              <w:t>ACTIVITES SOURCE D’IMPACT</w:t>
            </w:r>
          </w:p>
        </w:tc>
        <w:tc>
          <w:tcPr>
            <w:tcW w:w="2193" w:type="dxa"/>
            <w:vAlign w:val="center"/>
          </w:tcPr>
          <w:p w14:paraId="425A397A" w14:textId="77777777" w:rsidR="00B31E28" w:rsidRPr="00A9330B" w:rsidRDefault="00B31E28" w:rsidP="00B31E28">
            <w:pPr>
              <w:spacing w:before="60" w:line="240" w:lineRule="auto"/>
              <w:rPr>
                <w:b/>
                <w:color w:val="auto"/>
                <w:sz w:val="20"/>
                <w:szCs w:val="20"/>
              </w:rPr>
            </w:pPr>
            <w:r w:rsidRPr="00A9330B">
              <w:rPr>
                <w:b/>
                <w:color w:val="auto"/>
                <w:sz w:val="20"/>
                <w:szCs w:val="20"/>
              </w:rPr>
              <w:t xml:space="preserve">IMPACTS POSITIFS </w:t>
            </w:r>
          </w:p>
        </w:tc>
        <w:tc>
          <w:tcPr>
            <w:tcW w:w="2595" w:type="dxa"/>
          </w:tcPr>
          <w:p w14:paraId="1A5BD8F6" w14:textId="77777777" w:rsidR="00B31E28" w:rsidRPr="00A9330B" w:rsidRDefault="00B31E28" w:rsidP="00B31E28">
            <w:pPr>
              <w:spacing w:before="60" w:line="240" w:lineRule="auto"/>
              <w:rPr>
                <w:b/>
                <w:color w:val="auto"/>
                <w:sz w:val="20"/>
                <w:szCs w:val="20"/>
              </w:rPr>
            </w:pPr>
            <w:r w:rsidRPr="00A9330B">
              <w:rPr>
                <w:b/>
                <w:color w:val="auto"/>
                <w:sz w:val="20"/>
                <w:szCs w:val="20"/>
              </w:rPr>
              <w:t xml:space="preserve">IMPACTS NEGATIFS </w:t>
            </w:r>
          </w:p>
        </w:tc>
        <w:tc>
          <w:tcPr>
            <w:tcW w:w="1523" w:type="dxa"/>
          </w:tcPr>
          <w:p w14:paraId="509F0E76" w14:textId="77777777" w:rsidR="00B31E28" w:rsidRPr="00A9330B" w:rsidRDefault="00B31E28" w:rsidP="00B31E28">
            <w:pPr>
              <w:spacing w:before="60" w:line="240" w:lineRule="auto"/>
              <w:rPr>
                <w:b/>
                <w:color w:val="auto"/>
                <w:sz w:val="20"/>
                <w:szCs w:val="20"/>
              </w:rPr>
            </w:pPr>
            <w:r w:rsidRPr="00A9330B">
              <w:rPr>
                <w:b/>
                <w:color w:val="auto"/>
                <w:sz w:val="20"/>
                <w:szCs w:val="20"/>
              </w:rPr>
              <w:t xml:space="preserve">IMORTANCE </w:t>
            </w:r>
          </w:p>
        </w:tc>
        <w:tc>
          <w:tcPr>
            <w:tcW w:w="2641" w:type="dxa"/>
          </w:tcPr>
          <w:p w14:paraId="00FAAE72" w14:textId="77777777" w:rsidR="00B31E28" w:rsidRPr="00A9330B" w:rsidRDefault="00B31E28" w:rsidP="00B31E28">
            <w:pPr>
              <w:spacing w:before="60" w:line="240" w:lineRule="auto"/>
              <w:rPr>
                <w:b/>
                <w:color w:val="auto"/>
                <w:sz w:val="20"/>
                <w:szCs w:val="20"/>
              </w:rPr>
            </w:pPr>
            <w:r w:rsidRPr="00A9330B">
              <w:rPr>
                <w:b/>
                <w:color w:val="auto"/>
                <w:sz w:val="20"/>
                <w:szCs w:val="20"/>
              </w:rPr>
              <w:t xml:space="preserve">MESURES D’ATTENUATION </w:t>
            </w:r>
          </w:p>
        </w:tc>
        <w:tc>
          <w:tcPr>
            <w:tcW w:w="2194" w:type="dxa"/>
          </w:tcPr>
          <w:p w14:paraId="2C02FC45" w14:textId="77777777" w:rsidR="00B31E28" w:rsidRPr="00A9330B" w:rsidRDefault="00B31E28" w:rsidP="00B31E28">
            <w:pPr>
              <w:spacing w:before="60" w:line="240" w:lineRule="auto"/>
              <w:rPr>
                <w:b/>
                <w:color w:val="auto"/>
                <w:sz w:val="20"/>
                <w:szCs w:val="20"/>
              </w:rPr>
            </w:pPr>
            <w:r w:rsidRPr="00A9330B">
              <w:rPr>
                <w:b/>
                <w:color w:val="auto"/>
                <w:sz w:val="20"/>
                <w:szCs w:val="20"/>
              </w:rPr>
              <w:t>MESURES DE MAXIMISATION</w:t>
            </w:r>
          </w:p>
        </w:tc>
      </w:tr>
      <w:tr w:rsidR="00B31E28" w:rsidRPr="00A9330B" w14:paraId="5D949B1A" w14:textId="77777777" w:rsidTr="003C5233">
        <w:tc>
          <w:tcPr>
            <w:tcW w:w="13571" w:type="dxa"/>
            <w:gridSpan w:val="6"/>
            <w:shd w:val="clear" w:color="auto" w:fill="F7CAAC" w:themeFill="accent2" w:themeFillTint="66"/>
          </w:tcPr>
          <w:p w14:paraId="26D89338" w14:textId="77777777" w:rsidR="00B31E28" w:rsidRPr="00A9330B" w:rsidRDefault="00B31E28" w:rsidP="00B31E28">
            <w:pPr>
              <w:spacing w:before="60" w:line="240" w:lineRule="auto"/>
              <w:rPr>
                <w:color w:val="auto"/>
                <w:sz w:val="20"/>
                <w:szCs w:val="20"/>
              </w:rPr>
            </w:pPr>
            <w:r w:rsidRPr="00A9330B">
              <w:rPr>
                <w:i/>
                <w:color w:val="auto"/>
                <w:sz w:val="20"/>
                <w:szCs w:val="20"/>
              </w:rPr>
              <w:t>PHASE DE PREPARATION</w:t>
            </w:r>
          </w:p>
        </w:tc>
      </w:tr>
      <w:tr w:rsidR="00B31E28" w:rsidRPr="00A9330B" w14:paraId="30ABBFA7" w14:textId="77777777" w:rsidTr="00350C9E">
        <w:trPr>
          <w:trHeight w:val="839"/>
        </w:trPr>
        <w:tc>
          <w:tcPr>
            <w:tcW w:w="2425" w:type="dxa"/>
            <w:vMerge w:val="restart"/>
          </w:tcPr>
          <w:p w14:paraId="290F2F24" w14:textId="77777777" w:rsidR="00B31E28" w:rsidRPr="00A9330B" w:rsidRDefault="00B31E28" w:rsidP="00BD2F72">
            <w:pPr>
              <w:widowControl w:val="0"/>
              <w:numPr>
                <w:ilvl w:val="1"/>
                <w:numId w:val="66"/>
              </w:numPr>
              <w:spacing w:before="60" w:line="240" w:lineRule="auto"/>
              <w:jc w:val="both"/>
              <w:rPr>
                <w:color w:val="auto"/>
                <w:sz w:val="20"/>
                <w:szCs w:val="20"/>
                <w:lang w:eastAsia="de-DE"/>
              </w:rPr>
            </w:pPr>
            <w:r w:rsidRPr="00A9330B">
              <w:rPr>
                <w:color w:val="auto"/>
                <w:sz w:val="20"/>
                <w:szCs w:val="20"/>
                <w:lang w:eastAsia="de-DE"/>
              </w:rPr>
              <w:t>Transport et circulation de la machinerie et des équipements</w:t>
            </w:r>
          </w:p>
        </w:tc>
        <w:tc>
          <w:tcPr>
            <w:tcW w:w="2193" w:type="dxa"/>
          </w:tcPr>
          <w:p w14:paraId="46904F72" w14:textId="77777777" w:rsidR="00B31E28" w:rsidRPr="00A9330B" w:rsidRDefault="00B31E28" w:rsidP="000F7BA7">
            <w:pPr>
              <w:spacing w:before="60" w:line="240" w:lineRule="auto"/>
              <w:jc w:val="both"/>
              <w:rPr>
                <w:color w:val="auto"/>
                <w:sz w:val="20"/>
                <w:szCs w:val="20"/>
              </w:rPr>
            </w:pPr>
            <w:r w:rsidRPr="00A9330B">
              <w:rPr>
                <w:color w:val="auto"/>
                <w:sz w:val="20"/>
                <w:szCs w:val="20"/>
              </w:rPr>
              <w:t>1.1.b.1. Création d’emplois temporaires pour les ouvriers et techniciens</w:t>
            </w:r>
          </w:p>
        </w:tc>
        <w:tc>
          <w:tcPr>
            <w:tcW w:w="2595" w:type="dxa"/>
          </w:tcPr>
          <w:p w14:paraId="29449A50" w14:textId="77777777" w:rsidR="00B31E28" w:rsidRPr="00A9330B" w:rsidRDefault="00B31E28" w:rsidP="000F7BA7">
            <w:pPr>
              <w:spacing w:before="60" w:line="240" w:lineRule="auto"/>
              <w:jc w:val="both"/>
              <w:rPr>
                <w:color w:val="auto"/>
                <w:sz w:val="20"/>
                <w:szCs w:val="20"/>
              </w:rPr>
            </w:pPr>
            <w:r w:rsidRPr="00A9330B">
              <w:rPr>
                <w:color w:val="auto"/>
                <w:sz w:val="20"/>
                <w:szCs w:val="20"/>
              </w:rPr>
              <w:t>1.1.a.1 Pollution atmosphérique émises par les particules dans l’air dues au trafic</w:t>
            </w:r>
          </w:p>
        </w:tc>
        <w:tc>
          <w:tcPr>
            <w:tcW w:w="1523" w:type="dxa"/>
          </w:tcPr>
          <w:p w14:paraId="47E0B6FE" w14:textId="77777777" w:rsidR="00B31E28" w:rsidRPr="00A9330B" w:rsidRDefault="00B31E28" w:rsidP="00B31E28">
            <w:pPr>
              <w:spacing w:before="60" w:line="240" w:lineRule="auto"/>
              <w:rPr>
                <w:color w:val="auto"/>
                <w:sz w:val="20"/>
                <w:szCs w:val="20"/>
              </w:rPr>
            </w:pPr>
            <w:r w:rsidRPr="00A9330B">
              <w:rPr>
                <w:color w:val="auto"/>
                <w:sz w:val="20"/>
                <w:szCs w:val="20"/>
              </w:rPr>
              <w:t>Faible</w:t>
            </w:r>
          </w:p>
        </w:tc>
        <w:tc>
          <w:tcPr>
            <w:tcW w:w="2641" w:type="dxa"/>
            <w:vMerge w:val="restart"/>
          </w:tcPr>
          <w:p w14:paraId="12D91680" w14:textId="77777777" w:rsidR="00B31E28" w:rsidRPr="00A9330B" w:rsidRDefault="00B31E28" w:rsidP="000F7BA7">
            <w:pPr>
              <w:spacing w:before="60" w:line="240" w:lineRule="auto"/>
              <w:jc w:val="both"/>
              <w:rPr>
                <w:color w:val="auto"/>
                <w:sz w:val="20"/>
                <w:szCs w:val="20"/>
              </w:rPr>
            </w:pPr>
            <w:r w:rsidRPr="00A9330B">
              <w:rPr>
                <w:color w:val="auto"/>
                <w:sz w:val="20"/>
                <w:szCs w:val="20"/>
              </w:rPr>
              <w:t>1.1.a.1.1 Doter le personnel de chantier des équipements de protection individuels (EPI : cache nez, bouchon  d’oreille, casque anti-bruit …) et veiller à leur port effectif</w:t>
            </w:r>
            <w:r w:rsidRPr="00A9330B" w:rsidDel="00022691">
              <w:rPr>
                <w:color w:val="auto"/>
                <w:sz w:val="20"/>
                <w:szCs w:val="20"/>
              </w:rPr>
              <w:t xml:space="preserve"> </w:t>
            </w:r>
          </w:p>
        </w:tc>
        <w:tc>
          <w:tcPr>
            <w:tcW w:w="2194" w:type="dxa"/>
          </w:tcPr>
          <w:p w14:paraId="2D40F961" w14:textId="77777777" w:rsidR="00B31E28" w:rsidRPr="00A9330B" w:rsidRDefault="00B31E28" w:rsidP="00B31E28">
            <w:pPr>
              <w:spacing w:before="60" w:line="240" w:lineRule="auto"/>
              <w:rPr>
                <w:color w:val="auto"/>
                <w:sz w:val="20"/>
                <w:szCs w:val="20"/>
              </w:rPr>
            </w:pPr>
            <w:r w:rsidRPr="00A9330B">
              <w:rPr>
                <w:color w:val="auto"/>
                <w:sz w:val="20"/>
                <w:szCs w:val="20"/>
              </w:rPr>
              <w:t>1.1.b.1.1. Donner priorité à la main d’œuvre locale à compétence égale</w:t>
            </w:r>
          </w:p>
        </w:tc>
      </w:tr>
      <w:tr w:rsidR="00B31E28" w:rsidRPr="00A9330B" w14:paraId="07C0DE1E" w14:textId="77777777" w:rsidTr="00350C9E">
        <w:tc>
          <w:tcPr>
            <w:tcW w:w="2425" w:type="dxa"/>
            <w:vMerge/>
          </w:tcPr>
          <w:p w14:paraId="47E43319" w14:textId="77777777" w:rsidR="00B31E28" w:rsidRPr="00A9330B" w:rsidRDefault="00B31E28" w:rsidP="00B31E28">
            <w:pPr>
              <w:spacing w:before="60" w:line="240" w:lineRule="auto"/>
              <w:rPr>
                <w:color w:val="auto"/>
                <w:sz w:val="20"/>
                <w:szCs w:val="20"/>
              </w:rPr>
            </w:pPr>
          </w:p>
        </w:tc>
        <w:tc>
          <w:tcPr>
            <w:tcW w:w="2193" w:type="dxa"/>
          </w:tcPr>
          <w:p w14:paraId="18892039" w14:textId="77777777" w:rsidR="00B31E28" w:rsidRPr="00A9330B" w:rsidRDefault="00B31E28" w:rsidP="000F7BA7">
            <w:pPr>
              <w:spacing w:before="60" w:line="240" w:lineRule="auto"/>
              <w:jc w:val="both"/>
              <w:rPr>
                <w:color w:val="auto"/>
                <w:sz w:val="20"/>
                <w:szCs w:val="20"/>
              </w:rPr>
            </w:pPr>
            <w:r w:rsidRPr="00A9330B">
              <w:rPr>
                <w:color w:val="auto"/>
                <w:sz w:val="20"/>
                <w:szCs w:val="20"/>
              </w:rPr>
              <w:t>1.1.b.2. Création de nouvelles opportunités d’affaires</w:t>
            </w:r>
          </w:p>
        </w:tc>
        <w:tc>
          <w:tcPr>
            <w:tcW w:w="2595" w:type="dxa"/>
          </w:tcPr>
          <w:p w14:paraId="5FA5F1E3" w14:textId="77777777" w:rsidR="00B31E28" w:rsidRPr="00A9330B" w:rsidRDefault="00B31E28" w:rsidP="000F7BA7">
            <w:pPr>
              <w:spacing w:before="60" w:line="240" w:lineRule="auto"/>
              <w:jc w:val="both"/>
              <w:rPr>
                <w:color w:val="auto"/>
                <w:sz w:val="20"/>
                <w:szCs w:val="20"/>
              </w:rPr>
            </w:pPr>
            <w:r w:rsidRPr="00A9330B">
              <w:rPr>
                <w:color w:val="auto"/>
                <w:sz w:val="20"/>
                <w:szCs w:val="20"/>
              </w:rPr>
              <w:t>1.1.a.2.  Pollution sonores dues au trafic et au déchargement des équipements</w:t>
            </w:r>
          </w:p>
        </w:tc>
        <w:tc>
          <w:tcPr>
            <w:tcW w:w="1523" w:type="dxa"/>
          </w:tcPr>
          <w:p w14:paraId="7C3D80BB" w14:textId="77777777" w:rsidR="00B31E28" w:rsidRPr="00A9330B" w:rsidRDefault="00B31E28" w:rsidP="00B31E28">
            <w:pPr>
              <w:spacing w:before="60" w:line="240" w:lineRule="auto"/>
              <w:rPr>
                <w:color w:val="auto"/>
                <w:sz w:val="20"/>
                <w:szCs w:val="20"/>
              </w:rPr>
            </w:pPr>
            <w:r w:rsidRPr="00A9330B">
              <w:rPr>
                <w:color w:val="auto"/>
                <w:sz w:val="20"/>
                <w:szCs w:val="20"/>
              </w:rPr>
              <w:t xml:space="preserve">Faible </w:t>
            </w:r>
          </w:p>
        </w:tc>
        <w:tc>
          <w:tcPr>
            <w:tcW w:w="2641" w:type="dxa"/>
            <w:vMerge/>
          </w:tcPr>
          <w:p w14:paraId="5E807C05" w14:textId="77777777" w:rsidR="00B31E28" w:rsidRPr="00A9330B" w:rsidRDefault="00B31E28" w:rsidP="000F7BA7">
            <w:pPr>
              <w:spacing w:before="60" w:line="240" w:lineRule="auto"/>
              <w:jc w:val="both"/>
              <w:rPr>
                <w:color w:val="auto"/>
                <w:sz w:val="20"/>
                <w:szCs w:val="20"/>
              </w:rPr>
            </w:pPr>
          </w:p>
        </w:tc>
        <w:tc>
          <w:tcPr>
            <w:tcW w:w="2194" w:type="dxa"/>
          </w:tcPr>
          <w:p w14:paraId="0222AFDA" w14:textId="77777777" w:rsidR="00B31E28" w:rsidRPr="00A9330B" w:rsidRDefault="00B31E28" w:rsidP="00B31E28">
            <w:pPr>
              <w:spacing w:before="60" w:line="240" w:lineRule="auto"/>
              <w:rPr>
                <w:color w:val="auto"/>
                <w:sz w:val="20"/>
                <w:szCs w:val="20"/>
              </w:rPr>
            </w:pPr>
            <w:r w:rsidRPr="00A9330B">
              <w:rPr>
                <w:color w:val="auto"/>
                <w:sz w:val="20"/>
                <w:szCs w:val="20"/>
              </w:rPr>
              <w:t xml:space="preserve">1.1.b.2.1. Faire la promotion des prestataires locaux </w:t>
            </w:r>
          </w:p>
        </w:tc>
      </w:tr>
      <w:tr w:rsidR="00B31E28" w:rsidRPr="00A9330B" w14:paraId="47BB4A80" w14:textId="77777777" w:rsidTr="00350C9E">
        <w:tc>
          <w:tcPr>
            <w:tcW w:w="2425" w:type="dxa"/>
            <w:vMerge w:val="restart"/>
          </w:tcPr>
          <w:p w14:paraId="0D15E6EB" w14:textId="77777777" w:rsidR="00B31E28" w:rsidRPr="00A9330B" w:rsidRDefault="00B31E28" w:rsidP="00BD2F72">
            <w:pPr>
              <w:widowControl w:val="0"/>
              <w:numPr>
                <w:ilvl w:val="1"/>
                <w:numId w:val="66"/>
              </w:numPr>
              <w:spacing w:before="60" w:line="240" w:lineRule="auto"/>
              <w:jc w:val="both"/>
              <w:rPr>
                <w:color w:val="auto"/>
                <w:sz w:val="20"/>
                <w:szCs w:val="20"/>
              </w:rPr>
            </w:pPr>
            <w:r w:rsidRPr="00A9330B">
              <w:rPr>
                <w:color w:val="auto"/>
                <w:sz w:val="20"/>
                <w:szCs w:val="20"/>
                <w:lang w:eastAsia="de-DE"/>
              </w:rPr>
              <w:t>Installation de base vie</w:t>
            </w:r>
          </w:p>
        </w:tc>
        <w:tc>
          <w:tcPr>
            <w:tcW w:w="2193" w:type="dxa"/>
          </w:tcPr>
          <w:p w14:paraId="1C486A74" w14:textId="77777777" w:rsidR="00B31E28" w:rsidRPr="00A9330B" w:rsidRDefault="00B31E28" w:rsidP="00B31E28">
            <w:pPr>
              <w:spacing w:before="60" w:line="240" w:lineRule="auto"/>
              <w:rPr>
                <w:color w:val="auto"/>
                <w:sz w:val="20"/>
                <w:szCs w:val="20"/>
              </w:rPr>
            </w:pPr>
          </w:p>
        </w:tc>
        <w:tc>
          <w:tcPr>
            <w:tcW w:w="2595" w:type="dxa"/>
          </w:tcPr>
          <w:p w14:paraId="2128AB5A" w14:textId="77777777" w:rsidR="00B31E28" w:rsidRPr="00A9330B" w:rsidRDefault="00B31E28" w:rsidP="000F7BA7">
            <w:pPr>
              <w:spacing w:before="60" w:line="240" w:lineRule="auto"/>
              <w:jc w:val="both"/>
              <w:rPr>
                <w:color w:val="auto"/>
                <w:sz w:val="20"/>
                <w:szCs w:val="20"/>
              </w:rPr>
            </w:pPr>
            <w:r w:rsidRPr="00A9330B">
              <w:rPr>
                <w:color w:val="auto"/>
                <w:sz w:val="20"/>
                <w:szCs w:val="20"/>
              </w:rPr>
              <w:t>1.2.a.1 Pollution atmosphérique émises par les particules dans l’air dues au trafic</w:t>
            </w:r>
            <w:r w:rsidRPr="00A9330B" w:rsidDel="007E28C2">
              <w:rPr>
                <w:color w:val="auto"/>
                <w:sz w:val="20"/>
                <w:szCs w:val="20"/>
              </w:rPr>
              <w:t xml:space="preserve"> </w:t>
            </w:r>
          </w:p>
          <w:p w14:paraId="30426C05" w14:textId="77777777" w:rsidR="00B31E28" w:rsidRPr="00A9330B" w:rsidRDefault="00B31E28" w:rsidP="000F7BA7">
            <w:pPr>
              <w:spacing w:before="60" w:line="240" w:lineRule="auto"/>
              <w:jc w:val="both"/>
              <w:rPr>
                <w:color w:val="auto"/>
                <w:sz w:val="20"/>
                <w:szCs w:val="20"/>
              </w:rPr>
            </w:pPr>
            <w:r w:rsidRPr="00A9330B">
              <w:rPr>
                <w:color w:val="auto"/>
                <w:sz w:val="20"/>
                <w:szCs w:val="20"/>
              </w:rPr>
              <w:t xml:space="preserve">1.2.a.2.  Pollutions sonores dues au trafic et au déchargement matériaux </w:t>
            </w:r>
          </w:p>
        </w:tc>
        <w:tc>
          <w:tcPr>
            <w:tcW w:w="1523" w:type="dxa"/>
          </w:tcPr>
          <w:p w14:paraId="7F36CADD" w14:textId="77777777" w:rsidR="00B31E28" w:rsidRPr="00A9330B" w:rsidRDefault="00B31E28" w:rsidP="00B31E28">
            <w:pPr>
              <w:spacing w:before="60" w:line="240" w:lineRule="auto"/>
              <w:rPr>
                <w:color w:val="auto"/>
                <w:sz w:val="20"/>
                <w:szCs w:val="20"/>
              </w:rPr>
            </w:pPr>
            <w:r w:rsidRPr="00A9330B">
              <w:rPr>
                <w:color w:val="auto"/>
                <w:sz w:val="20"/>
                <w:szCs w:val="20"/>
              </w:rPr>
              <w:t xml:space="preserve">Faible </w:t>
            </w:r>
          </w:p>
        </w:tc>
        <w:tc>
          <w:tcPr>
            <w:tcW w:w="2641" w:type="dxa"/>
          </w:tcPr>
          <w:p w14:paraId="74117253" w14:textId="77777777" w:rsidR="00B31E28" w:rsidRPr="00A9330B" w:rsidRDefault="00B31E28" w:rsidP="000F7BA7">
            <w:pPr>
              <w:spacing w:before="60" w:line="240" w:lineRule="auto"/>
              <w:jc w:val="both"/>
              <w:rPr>
                <w:color w:val="auto"/>
                <w:sz w:val="20"/>
                <w:szCs w:val="20"/>
              </w:rPr>
            </w:pPr>
            <w:r w:rsidRPr="00A9330B">
              <w:rPr>
                <w:color w:val="auto"/>
                <w:sz w:val="20"/>
                <w:szCs w:val="20"/>
              </w:rPr>
              <w:t>1.2.a.1.1 Doter le personnel de chantier des équipements de protection individuels (EPI : cache nez, bouchon  d’oreille, casque anti-bruit …) et veiller à leur port effectif</w:t>
            </w:r>
          </w:p>
        </w:tc>
        <w:tc>
          <w:tcPr>
            <w:tcW w:w="2194" w:type="dxa"/>
          </w:tcPr>
          <w:p w14:paraId="5C5BC5AC" w14:textId="77777777" w:rsidR="00B31E28" w:rsidRPr="00A9330B" w:rsidRDefault="00B31E28" w:rsidP="00B31E28">
            <w:pPr>
              <w:spacing w:before="60" w:line="240" w:lineRule="auto"/>
              <w:rPr>
                <w:color w:val="auto"/>
                <w:sz w:val="20"/>
                <w:szCs w:val="20"/>
              </w:rPr>
            </w:pPr>
          </w:p>
        </w:tc>
      </w:tr>
      <w:tr w:rsidR="00B31E28" w:rsidRPr="00A9330B" w14:paraId="4EA96DAA" w14:textId="77777777" w:rsidTr="00350C9E">
        <w:tc>
          <w:tcPr>
            <w:tcW w:w="2425" w:type="dxa"/>
            <w:vMerge/>
          </w:tcPr>
          <w:p w14:paraId="7725E35E" w14:textId="77777777" w:rsidR="00B31E28" w:rsidRPr="00A9330B" w:rsidRDefault="00B31E28" w:rsidP="00B31E28">
            <w:pPr>
              <w:overflowPunct w:val="0"/>
              <w:autoSpaceDE w:val="0"/>
              <w:autoSpaceDN w:val="0"/>
              <w:adjustRightInd w:val="0"/>
              <w:spacing w:before="60" w:line="240" w:lineRule="auto"/>
              <w:ind w:left="360"/>
              <w:rPr>
                <w:color w:val="auto"/>
                <w:sz w:val="20"/>
                <w:szCs w:val="20"/>
                <w:lang w:eastAsia="de-DE"/>
              </w:rPr>
            </w:pPr>
          </w:p>
        </w:tc>
        <w:tc>
          <w:tcPr>
            <w:tcW w:w="2193" w:type="dxa"/>
            <w:vMerge w:val="restart"/>
          </w:tcPr>
          <w:p w14:paraId="0390894F" w14:textId="77777777" w:rsidR="00B31E28" w:rsidRPr="00A9330B" w:rsidRDefault="00B31E28" w:rsidP="00B31E28">
            <w:pPr>
              <w:spacing w:before="60" w:line="240" w:lineRule="auto"/>
              <w:rPr>
                <w:color w:val="auto"/>
                <w:sz w:val="20"/>
                <w:szCs w:val="20"/>
              </w:rPr>
            </w:pPr>
          </w:p>
        </w:tc>
        <w:tc>
          <w:tcPr>
            <w:tcW w:w="2595" w:type="dxa"/>
            <w:vMerge w:val="restart"/>
          </w:tcPr>
          <w:p w14:paraId="5AF04E6D" w14:textId="77777777" w:rsidR="00B31E28" w:rsidRPr="00A9330B" w:rsidRDefault="00B31E28" w:rsidP="000F7BA7">
            <w:pPr>
              <w:spacing w:before="60" w:line="240" w:lineRule="auto"/>
              <w:jc w:val="both"/>
              <w:rPr>
                <w:color w:val="auto"/>
                <w:sz w:val="20"/>
                <w:szCs w:val="20"/>
              </w:rPr>
            </w:pPr>
            <w:r w:rsidRPr="00A9330B">
              <w:rPr>
                <w:color w:val="auto"/>
                <w:sz w:val="20"/>
                <w:szCs w:val="20"/>
              </w:rPr>
              <w:t>1.2..a.3. Déboisement et pertes de cultures ou de plantations, destruction de la végétation  pour l’installation des bases vie</w:t>
            </w:r>
          </w:p>
        </w:tc>
        <w:tc>
          <w:tcPr>
            <w:tcW w:w="1523" w:type="dxa"/>
            <w:vMerge w:val="restart"/>
          </w:tcPr>
          <w:p w14:paraId="4FFD8450" w14:textId="77777777" w:rsidR="00B31E28" w:rsidRPr="00A9330B" w:rsidRDefault="00B31E28" w:rsidP="00B31E28">
            <w:pPr>
              <w:spacing w:before="60" w:line="240" w:lineRule="auto"/>
              <w:rPr>
                <w:color w:val="auto"/>
                <w:sz w:val="20"/>
                <w:szCs w:val="20"/>
              </w:rPr>
            </w:pPr>
          </w:p>
          <w:p w14:paraId="4BC9CD4D" w14:textId="77777777" w:rsidR="00B31E28" w:rsidRPr="00A9330B" w:rsidRDefault="00B31E28" w:rsidP="00B31E28">
            <w:pPr>
              <w:spacing w:before="60" w:line="240" w:lineRule="auto"/>
              <w:rPr>
                <w:color w:val="auto"/>
                <w:sz w:val="20"/>
                <w:szCs w:val="20"/>
              </w:rPr>
            </w:pPr>
          </w:p>
          <w:p w14:paraId="17D5CD74" w14:textId="77777777" w:rsidR="00B31E28" w:rsidRPr="00A9330B" w:rsidRDefault="00B31E28" w:rsidP="00B31E28">
            <w:pPr>
              <w:spacing w:before="60" w:line="240" w:lineRule="auto"/>
              <w:rPr>
                <w:color w:val="auto"/>
                <w:sz w:val="20"/>
                <w:szCs w:val="20"/>
              </w:rPr>
            </w:pPr>
          </w:p>
          <w:p w14:paraId="0037A3C0" w14:textId="77777777" w:rsidR="00B31E28" w:rsidRPr="00A9330B" w:rsidRDefault="00B31E28" w:rsidP="00B31E28">
            <w:pPr>
              <w:spacing w:before="60" w:line="240" w:lineRule="auto"/>
              <w:rPr>
                <w:color w:val="auto"/>
                <w:sz w:val="20"/>
                <w:szCs w:val="20"/>
              </w:rPr>
            </w:pPr>
          </w:p>
          <w:p w14:paraId="7191B099" w14:textId="77777777" w:rsidR="00B31E28" w:rsidRPr="00A9330B" w:rsidRDefault="00B31E28" w:rsidP="00B31E28">
            <w:pPr>
              <w:spacing w:before="60" w:line="240" w:lineRule="auto"/>
              <w:rPr>
                <w:color w:val="auto"/>
                <w:sz w:val="20"/>
                <w:szCs w:val="20"/>
              </w:rPr>
            </w:pPr>
            <w:r w:rsidRPr="00A9330B">
              <w:rPr>
                <w:color w:val="auto"/>
                <w:sz w:val="20"/>
                <w:szCs w:val="20"/>
              </w:rPr>
              <w:t xml:space="preserve">Faible </w:t>
            </w:r>
          </w:p>
          <w:p w14:paraId="7D30D218" w14:textId="77777777" w:rsidR="00B31E28" w:rsidRPr="00A9330B" w:rsidRDefault="00B31E28" w:rsidP="00B31E28">
            <w:pPr>
              <w:spacing w:before="60" w:line="240" w:lineRule="auto"/>
              <w:rPr>
                <w:color w:val="auto"/>
                <w:sz w:val="20"/>
                <w:szCs w:val="20"/>
              </w:rPr>
            </w:pPr>
          </w:p>
        </w:tc>
        <w:tc>
          <w:tcPr>
            <w:tcW w:w="2641" w:type="dxa"/>
          </w:tcPr>
          <w:p w14:paraId="54F8DC54" w14:textId="77777777" w:rsidR="00B31E28" w:rsidRPr="00A9330B" w:rsidRDefault="00B31E28" w:rsidP="000F7BA7">
            <w:pPr>
              <w:spacing w:before="60" w:line="240" w:lineRule="auto"/>
              <w:jc w:val="both"/>
              <w:rPr>
                <w:color w:val="auto"/>
                <w:sz w:val="20"/>
                <w:szCs w:val="20"/>
              </w:rPr>
            </w:pPr>
            <w:r w:rsidRPr="00A9330B">
              <w:rPr>
                <w:color w:val="auto"/>
                <w:sz w:val="20"/>
                <w:szCs w:val="20"/>
              </w:rPr>
              <w:t>1.2.a.3.1. Prendre l’autorisation de l’inspection forestière avant toute coupe d’arbres</w:t>
            </w:r>
          </w:p>
        </w:tc>
        <w:tc>
          <w:tcPr>
            <w:tcW w:w="2194" w:type="dxa"/>
          </w:tcPr>
          <w:p w14:paraId="6A2954DC" w14:textId="77777777" w:rsidR="00B31E28" w:rsidRPr="00A9330B" w:rsidRDefault="00B31E28" w:rsidP="00B31E28">
            <w:pPr>
              <w:spacing w:before="60" w:line="240" w:lineRule="auto"/>
              <w:rPr>
                <w:color w:val="auto"/>
                <w:sz w:val="20"/>
                <w:szCs w:val="20"/>
              </w:rPr>
            </w:pPr>
          </w:p>
        </w:tc>
      </w:tr>
      <w:tr w:rsidR="00B31E28" w:rsidRPr="00A9330B" w14:paraId="3453DDDF" w14:textId="77777777" w:rsidTr="00350C9E">
        <w:tc>
          <w:tcPr>
            <w:tcW w:w="2425" w:type="dxa"/>
            <w:vMerge/>
          </w:tcPr>
          <w:p w14:paraId="54E0E241" w14:textId="77777777" w:rsidR="00B31E28" w:rsidRPr="00A9330B" w:rsidRDefault="00B31E28" w:rsidP="00B31E28">
            <w:pPr>
              <w:overflowPunct w:val="0"/>
              <w:autoSpaceDE w:val="0"/>
              <w:autoSpaceDN w:val="0"/>
              <w:adjustRightInd w:val="0"/>
              <w:spacing w:before="60" w:line="240" w:lineRule="auto"/>
              <w:ind w:left="360"/>
              <w:rPr>
                <w:color w:val="auto"/>
                <w:sz w:val="20"/>
                <w:szCs w:val="20"/>
                <w:lang w:eastAsia="de-DE"/>
              </w:rPr>
            </w:pPr>
          </w:p>
        </w:tc>
        <w:tc>
          <w:tcPr>
            <w:tcW w:w="2193" w:type="dxa"/>
            <w:vMerge/>
          </w:tcPr>
          <w:p w14:paraId="5254CD1A" w14:textId="77777777" w:rsidR="00B31E28" w:rsidRPr="00A9330B" w:rsidRDefault="00B31E28" w:rsidP="00B31E28">
            <w:pPr>
              <w:spacing w:before="60" w:line="240" w:lineRule="auto"/>
              <w:rPr>
                <w:color w:val="auto"/>
                <w:sz w:val="20"/>
                <w:szCs w:val="20"/>
              </w:rPr>
            </w:pPr>
          </w:p>
        </w:tc>
        <w:tc>
          <w:tcPr>
            <w:tcW w:w="2595" w:type="dxa"/>
            <w:vMerge/>
          </w:tcPr>
          <w:p w14:paraId="1A4D3118" w14:textId="77777777" w:rsidR="00B31E28" w:rsidRPr="00A9330B" w:rsidRDefault="00B31E28" w:rsidP="00B31E28">
            <w:pPr>
              <w:spacing w:before="60" w:line="240" w:lineRule="auto"/>
              <w:rPr>
                <w:color w:val="auto"/>
                <w:sz w:val="20"/>
                <w:szCs w:val="20"/>
              </w:rPr>
            </w:pPr>
          </w:p>
        </w:tc>
        <w:tc>
          <w:tcPr>
            <w:tcW w:w="1523" w:type="dxa"/>
            <w:vMerge/>
          </w:tcPr>
          <w:p w14:paraId="1E61269C" w14:textId="77777777" w:rsidR="00B31E28" w:rsidRPr="00A9330B" w:rsidRDefault="00B31E28" w:rsidP="00B31E28">
            <w:pPr>
              <w:spacing w:before="60" w:line="240" w:lineRule="auto"/>
              <w:rPr>
                <w:color w:val="auto"/>
                <w:sz w:val="20"/>
                <w:szCs w:val="20"/>
              </w:rPr>
            </w:pPr>
          </w:p>
        </w:tc>
        <w:tc>
          <w:tcPr>
            <w:tcW w:w="2641" w:type="dxa"/>
          </w:tcPr>
          <w:p w14:paraId="1012EDB1" w14:textId="77777777" w:rsidR="00B31E28" w:rsidRPr="00A9330B" w:rsidRDefault="00B31E28" w:rsidP="000F7BA7">
            <w:pPr>
              <w:spacing w:before="60" w:line="240" w:lineRule="auto"/>
              <w:jc w:val="both"/>
              <w:rPr>
                <w:color w:val="auto"/>
                <w:sz w:val="20"/>
                <w:szCs w:val="20"/>
              </w:rPr>
            </w:pPr>
            <w:r w:rsidRPr="00A9330B">
              <w:rPr>
                <w:color w:val="auto"/>
                <w:sz w:val="20"/>
                <w:szCs w:val="20"/>
              </w:rPr>
              <w:t>1.2.a.3.2. Elaborer  et mettre en œuvre un plan de reboisement en compensation sur un site à  identifier par les parties prenantes</w:t>
            </w:r>
          </w:p>
        </w:tc>
        <w:tc>
          <w:tcPr>
            <w:tcW w:w="2194" w:type="dxa"/>
          </w:tcPr>
          <w:p w14:paraId="41354990" w14:textId="77777777" w:rsidR="00B31E28" w:rsidRPr="00A9330B" w:rsidRDefault="00B31E28" w:rsidP="00B31E28">
            <w:pPr>
              <w:spacing w:before="60" w:line="240" w:lineRule="auto"/>
              <w:rPr>
                <w:color w:val="auto"/>
                <w:sz w:val="20"/>
                <w:szCs w:val="20"/>
              </w:rPr>
            </w:pPr>
          </w:p>
        </w:tc>
      </w:tr>
      <w:tr w:rsidR="00B31E28" w:rsidRPr="00A9330B" w14:paraId="19F85272" w14:textId="77777777" w:rsidTr="00350C9E">
        <w:trPr>
          <w:trHeight w:val="338"/>
        </w:trPr>
        <w:tc>
          <w:tcPr>
            <w:tcW w:w="2425" w:type="dxa"/>
            <w:vMerge/>
          </w:tcPr>
          <w:p w14:paraId="10739592" w14:textId="77777777" w:rsidR="00B31E28" w:rsidRPr="00A9330B" w:rsidRDefault="00B31E28" w:rsidP="00B31E28">
            <w:pPr>
              <w:overflowPunct w:val="0"/>
              <w:autoSpaceDE w:val="0"/>
              <w:autoSpaceDN w:val="0"/>
              <w:adjustRightInd w:val="0"/>
              <w:spacing w:before="60" w:line="240" w:lineRule="auto"/>
              <w:ind w:left="360"/>
              <w:rPr>
                <w:color w:val="auto"/>
                <w:sz w:val="20"/>
                <w:szCs w:val="20"/>
                <w:lang w:eastAsia="de-DE"/>
              </w:rPr>
            </w:pPr>
          </w:p>
        </w:tc>
        <w:tc>
          <w:tcPr>
            <w:tcW w:w="2193" w:type="dxa"/>
            <w:vMerge w:val="restart"/>
          </w:tcPr>
          <w:p w14:paraId="3D3DC88C" w14:textId="77777777" w:rsidR="00B31E28" w:rsidRPr="00A9330B" w:rsidRDefault="00B31E28" w:rsidP="00B31E28">
            <w:pPr>
              <w:spacing w:before="60" w:line="240" w:lineRule="auto"/>
              <w:rPr>
                <w:color w:val="auto"/>
                <w:sz w:val="20"/>
                <w:szCs w:val="20"/>
              </w:rPr>
            </w:pPr>
          </w:p>
        </w:tc>
        <w:tc>
          <w:tcPr>
            <w:tcW w:w="2595" w:type="dxa"/>
            <w:vMerge w:val="restart"/>
          </w:tcPr>
          <w:p w14:paraId="064379C8" w14:textId="77777777" w:rsidR="00B31E28" w:rsidRPr="00A9330B" w:rsidRDefault="00B31E28" w:rsidP="000F7BA7">
            <w:pPr>
              <w:spacing w:before="60" w:line="240" w:lineRule="auto"/>
              <w:jc w:val="both"/>
              <w:rPr>
                <w:color w:val="auto"/>
                <w:sz w:val="20"/>
                <w:szCs w:val="20"/>
              </w:rPr>
            </w:pPr>
            <w:r w:rsidRPr="00A9330B">
              <w:rPr>
                <w:color w:val="auto"/>
                <w:sz w:val="20"/>
                <w:szCs w:val="20"/>
              </w:rPr>
              <w:t>1.2.a.4.1. Pollution du sol par les déchets solides au  niveau des ateliers, garages et stations d’approvisionnement en carburant.</w:t>
            </w:r>
          </w:p>
        </w:tc>
        <w:tc>
          <w:tcPr>
            <w:tcW w:w="1523" w:type="dxa"/>
            <w:vMerge w:val="restart"/>
          </w:tcPr>
          <w:p w14:paraId="65A395BE" w14:textId="77777777" w:rsidR="00B31E28" w:rsidRPr="00A9330B" w:rsidRDefault="00B31E28" w:rsidP="00B31E28">
            <w:pPr>
              <w:spacing w:before="60" w:line="240" w:lineRule="auto"/>
              <w:rPr>
                <w:color w:val="auto"/>
                <w:sz w:val="20"/>
                <w:szCs w:val="20"/>
              </w:rPr>
            </w:pPr>
            <w:r w:rsidRPr="00A9330B">
              <w:rPr>
                <w:color w:val="auto"/>
                <w:sz w:val="20"/>
                <w:szCs w:val="20"/>
              </w:rPr>
              <w:t xml:space="preserve">Faible </w:t>
            </w:r>
          </w:p>
        </w:tc>
        <w:tc>
          <w:tcPr>
            <w:tcW w:w="2641" w:type="dxa"/>
          </w:tcPr>
          <w:p w14:paraId="4FB47AAE" w14:textId="77777777" w:rsidR="00B31E28" w:rsidRPr="00A9330B" w:rsidRDefault="00B31E28" w:rsidP="00B31E28">
            <w:pPr>
              <w:spacing w:before="60" w:line="240" w:lineRule="auto"/>
              <w:rPr>
                <w:color w:val="auto"/>
                <w:sz w:val="20"/>
                <w:szCs w:val="20"/>
              </w:rPr>
            </w:pPr>
            <w:r w:rsidRPr="00A9330B">
              <w:rPr>
                <w:color w:val="auto"/>
                <w:sz w:val="20"/>
                <w:szCs w:val="20"/>
              </w:rPr>
              <w:t xml:space="preserve">1.2.a.4.1. Disposer de poubelles sur la base vie </w:t>
            </w:r>
          </w:p>
        </w:tc>
        <w:tc>
          <w:tcPr>
            <w:tcW w:w="2194" w:type="dxa"/>
          </w:tcPr>
          <w:p w14:paraId="59D34B30" w14:textId="77777777" w:rsidR="00B31E28" w:rsidRPr="00A9330B" w:rsidRDefault="00B31E28" w:rsidP="00B31E28">
            <w:pPr>
              <w:spacing w:before="60" w:line="240" w:lineRule="auto"/>
              <w:rPr>
                <w:color w:val="auto"/>
                <w:sz w:val="20"/>
                <w:szCs w:val="20"/>
              </w:rPr>
            </w:pPr>
          </w:p>
        </w:tc>
      </w:tr>
      <w:tr w:rsidR="00B31E28" w:rsidRPr="00A9330B" w14:paraId="1266CEDA" w14:textId="77777777" w:rsidTr="00350C9E">
        <w:tc>
          <w:tcPr>
            <w:tcW w:w="2425" w:type="dxa"/>
            <w:vMerge/>
          </w:tcPr>
          <w:p w14:paraId="667FA95E" w14:textId="77777777" w:rsidR="00B31E28" w:rsidRPr="00A9330B" w:rsidRDefault="00B31E28" w:rsidP="00B31E28">
            <w:pPr>
              <w:overflowPunct w:val="0"/>
              <w:autoSpaceDE w:val="0"/>
              <w:autoSpaceDN w:val="0"/>
              <w:adjustRightInd w:val="0"/>
              <w:spacing w:before="60" w:line="240" w:lineRule="auto"/>
              <w:ind w:left="360"/>
              <w:rPr>
                <w:color w:val="auto"/>
                <w:sz w:val="20"/>
                <w:szCs w:val="20"/>
                <w:lang w:eastAsia="de-DE"/>
              </w:rPr>
            </w:pPr>
          </w:p>
        </w:tc>
        <w:tc>
          <w:tcPr>
            <w:tcW w:w="2193" w:type="dxa"/>
            <w:vMerge/>
          </w:tcPr>
          <w:p w14:paraId="4A915FB4" w14:textId="77777777" w:rsidR="00B31E28" w:rsidRPr="00A9330B" w:rsidRDefault="00B31E28" w:rsidP="00B31E28">
            <w:pPr>
              <w:spacing w:before="60" w:line="240" w:lineRule="auto"/>
              <w:rPr>
                <w:color w:val="auto"/>
                <w:sz w:val="20"/>
                <w:szCs w:val="20"/>
              </w:rPr>
            </w:pPr>
          </w:p>
        </w:tc>
        <w:tc>
          <w:tcPr>
            <w:tcW w:w="2595" w:type="dxa"/>
            <w:vMerge/>
          </w:tcPr>
          <w:p w14:paraId="46114D17" w14:textId="77777777" w:rsidR="00B31E28" w:rsidRPr="00A9330B" w:rsidRDefault="00B31E28" w:rsidP="00B31E28">
            <w:pPr>
              <w:spacing w:before="60" w:line="240" w:lineRule="auto"/>
              <w:rPr>
                <w:color w:val="auto"/>
                <w:sz w:val="20"/>
                <w:szCs w:val="20"/>
              </w:rPr>
            </w:pPr>
          </w:p>
        </w:tc>
        <w:tc>
          <w:tcPr>
            <w:tcW w:w="1523" w:type="dxa"/>
            <w:vMerge/>
          </w:tcPr>
          <w:p w14:paraId="20C736E3" w14:textId="77777777" w:rsidR="00B31E28" w:rsidRPr="00A9330B" w:rsidRDefault="00B31E28" w:rsidP="00B31E28">
            <w:pPr>
              <w:spacing w:before="60" w:line="240" w:lineRule="auto"/>
              <w:rPr>
                <w:color w:val="auto"/>
                <w:sz w:val="20"/>
                <w:szCs w:val="20"/>
              </w:rPr>
            </w:pPr>
          </w:p>
        </w:tc>
        <w:tc>
          <w:tcPr>
            <w:tcW w:w="2641" w:type="dxa"/>
          </w:tcPr>
          <w:p w14:paraId="1591598A" w14:textId="77777777" w:rsidR="00B31E28" w:rsidRPr="00A9330B" w:rsidRDefault="00B31E28" w:rsidP="00B31E28">
            <w:pPr>
              <w:spacing w:before="60" w:line="240" w:lineRule="auto"/>
              <w:rPr>
                <w:color w:val="auto"/>
                <w:sz w:val="20"/>
                <w:szCs w:val="20"/>
              </w:rPr>
            </w:pPr>
            <w:r w:rsidRPr="00A9330B">
              <w:rPr>
                <w:color w:val="auto"/>
                <w:sz w:val="20"/>
                <w:szCs w:val="20"/>
              </w:rPr>
              <w:t>1.2.a.4.2. Veiller à la collecte et à l’enlèvement des déchets solides par une structure agréée</w:t>
            </w:r>
          </w:p>
        </w:tc>
        <w:tc>
          <w:tcPr>
            <w:tcW w:w="2194" w:type="dxa"/>
          </w:tcPr>
          <w:p w14:paraId="0424CA05" w14:textId="77777777" w:rsidR="00B31E28" w:rsidRPr="00A9330B" w:rsidRDefault="00B31E28" w:rsidP="00B31E28">
            <w:pPr>
              <w:spacing w:before="60" w:line="240" w:lineRule="auto"/>
              <w:rPr>
                <w:color w:val="auto"/>
                <w:sz w:val="20"/>
                <w:szCs w:val="20"/>
              </w:rPr>
            </w:pPr>
          </w:p>
        </w:tc>
      </w:tr>
      <w:tr w:rsidR="00B31E28" w:rsidRPr="00A9330B" w14:paraId="096DBA2D" w14:textId="77777777" w:rsidTr="00350C9E">
        <w:trPr>
          <w:trHeight w:val="663"/>
        </w:trPr>
        <w:tc>
          <w:tcPr>
            <w:tcW w:w="2425" w:type="dxa"/>
            <w:vMerge/>
          </w:tcPr>
          <w:p w14:paraId="0D1A3B0B" w14:textId="77777777" w:rsidR="00B31E28" w:rsidRPr="00A9330B" w:rsidRDefault="00B31E28" w:rsidP="00B31E28">
            <w:pPr>
              <w:overflowPunct w:val="0"/>
              <w:autoSpaceDE w:val="0"/>
              <w:autoSpaceDN w:val="0"/>
              <w:adjustRightInd w:val="0"/>
              <w:spacing w:before="60" w:line="240" w:lineRule="auto"/>
              <w:ind w:left="360"/>
              <w:rPr>
                <w:color w:val="auto"/>
                <w:sz w:val="20"/>
                <w:szCs w:val="20"/>
                <w:lang w:eastAsia="de-DE"/>
              </w:rPr>
            </w:pPr>
          </w:p>
        </w:tc>
        <w:tc>
          <w:tcPr>
            <w:tcW w:w="2193" w:type="dxa"/>
            <w:vMerge/>
          </w:tcPr>
          <w:p w14:paraId="4257D12A" w14:textId="77777777" w:rsidR="00B31E28" w:rsidRPr="00A9330B" w:rsidRDefault="00B31E28" w:rsidP="00B31E28">
            <w:pPr>
              <w:spacing w:before="60" w:line="240" w:lineRule="auto"/>
              <w:rPr>
                <w:color w:val="auto"/>
                <w:sz w:val="20"/>
                <w:szCs w:val="20"/>
              </w:rPr>
            </w:pPr>
          </w:p>
        </w:tc>
        <w:tc>
          <w:tcPr>
            <w:tcW w:w="2595" w:type="dxa"/>
            <w:vMerge w:val="restart"/>
          </w:tcPr>
          <w:p w14:paraId="3E000CA1" w14:textId="77777777" w:rsidR="00B31E28" w:rsidRPr="00A9330B" w:rsidRDefault="00B31E28" w:rsidP="000F7BA7">
            <w:pPr>
              <w:spacing w:before="60" w:line="240" w:lineRule="auto"/>
              <w:jc w:val="both"/>
              <w:rPr>
                <w:color w:val="auto"/>
                <w:sz w:val="20"/>
                <w:szCs w:val="20"/>
              </w:rPr>
            </w:pPr>
            <w:r w:rsidRPr="00A9330B">
              <w:rPr>
                <w:color w:val="auto"/>
                <w:sz w:val="20"/>
                <w:szCs w:val="20"/>
              </w:rPr>
              <w:t>1.2.a.5. Déversement accidentel des hydrocarbures par les rejets de déchets liquides issus des activités : huiles usagées, hydrocarbures et composés organiques au plomb, boues contenant des produits toxiques ou autres métaux lourds</w:t>
            </w:r>
          </w:p>
        </w:tc>
        <w:tc>
          <w:tcPr>
            <w:tcW w:w="1523" w:type="dxa"/>
            <w:vMerge w:val="restart"/>
          </w:tcPr>
          <w:p w14:paraId="22F14432" w14:textId="1E184643" w:rsidR="00B31E28" w:rsidRPr="00A9330B" w:rsidRDefault="00B31E28" w:rsidP="005F0465">
            <w:pPr>
              <w:spacing w:before="60" w:line="240" w:lineRule="auto"/>
              <w:rPr>
                <w:color w:val="auto"/>
                <w:sz w:val="20"/>
                <w:szCs w:val="20"/>
              </w:rPr>
            </w:pPr>
            <w:r w:rsidRPr="00A9330B">
              <w:rPr>
                <w:color w:val="auto"/>
                <w:sz w:val="20"/>
                <w:szCs w:val="20"/>
              </w:rPr>
              <w:t>Faible</w:t>
            </w:r>
          </w:p>
        </w:tc>
        <w:tc>
          <w:tcPr>
            <w:tcW w:w="2641" w:type="dxa"/>
          </w:tcPr>
          <w:p w14:paraId="1CD2057D" w14:textId="77777777" w:rsidR="00B31E28" w:rsidRPr="00A9330B" w:rsidRDefault="00B31E28" w:rsidP="000F7BA7">
            <w:pPr>
              <w:spacing w:before="60" w:line="240" w:lineRule="auto"/>
              <w:jc w:val="both"/>
              <w:rPr>
                <w:color w:val="auto"/>
                <w:sz w:val="20"/>
                <w:szCs w:val="20"/>
              </w:rPr>
            </w:pPr>
            <w:r w:rsidRPr="00A9330B">
              <w:rPr>
                <w:color w:val="auto"/>
                <w:sz w:val="20"/>
                <w:szCs w:val="20"/>
              </w:rPr>
              <w:t>1.2.a.5.1. Aménager des aires étanches pour la manipulation des huiles usagées, graisses, hydrocarbures … dans la base vie</w:t>
            </w:r>
          </w:p>
        </w:tc>
        <w:tc>
          <w:tcPr>
            <w:tcW w:w="2194" w:type="dxa"/>
          </w:tcPr>
          <w:p w14:paraId="40293F49" w14:textId="77777777" w:rsidR="00B31E28" w:rsidRPr="00A9330B" w:rsidRDefault="00B31E28" w:rsidP="00B31E28">
            <w:pPr>
              <w:spacing w:before="60" w:line="240" w:lineRule="auto"/>
              <w:rPr>
                <w:color w:val="auto"/>
                <w:sz w:val="20"/>
                <w:szCs w:val="20"/>
              </w:rPr>
            </w:pPr>
          </w:p>
        </w:tc>
      </w:tr>
      <w:tr w:rsidR="00B31E28" w:rsidRPr="00A9330B" w14:paraId="4458483D" w14:textId="77777777" w:rsidTr="00350C9E">
        <w:tc>
          <w:tcPr>
            <w:tcW w:w="2425" w:type="dxa"/>
            <w:vMerge/>
          </w:tcPr>
          <w:p w14:paraId="518BFDFA" w14:textId="77777777" w:rsidR="00B31E28" w:rsidRPr="00A9330B" w:rsidRDefault="00B31E28" w:rsidP="00B31E28">
            <w:pPr>
              <w:overflowPunct w:val="0"/>
              <w:autoSpaceDE w:val="0"/>
              <w:autoSpaceDN w:val="0"/>
              <w:adjustRightInd w:val="0"/>
              <w:spacing w:before="60" w:line="240" w:lineRule="auto"/>
              <w:ind w:left="360"/>
              <w:rPr>
                <w:color w:val="auto"/>
                <w:sz w:val="20"/>
                <w:szCs w:val="20"/>
                <w:lang w:eastAsia="de-DE"/>
              </w:rPr>
            </w:pPr>
          </w:p>
        </w:tc>
        <w:tc>
          <w:tcPr>
            <w:tcW w:w="2193" w:type="dxa"/>
            <w:vMerge/>
          </w:tcPr>
          <w:p w14:paraId="029B516A" w14:textId="77777777" w:rsidR="00B31E28" w:rsidRPr="00A9330B" w:rsidRDefault="00B31E28" w:rsidP="00B31E28">
            <w:pPr>
              <w:spacing w:before="60" w:line="240" w:lineRule="auto"/>
              <w:rPr>
                <w:color w:val="auto"/>
                <w:sz w:val="20"/>
                <w:szCs w:val="20"/>
              </w:rPr>
            </w:pPr>
          </w:p>
        </w:tc>
        <w:tc>
          <w:tcPr>
            <w:tcW w:w="2595" w:type="dxa"/>
            <w:vMerge/>
          </w:tcPr>
          <w:p w14:paraId="1B8F1113" w14:textId="77777777" w:rsidR="00B31E28" w:rsidRPr="00A9330B" w:rsidRDefault="00B31E28" w:rsidP="000F7BA7">
            <w:pPr>
              <w:spacing w:before="60" w:line="240" w:lineRule="auto"/>
              <w:jc w:val="both"/>
              <w:rPr>
                <w:color w:val="auto"/>
                <w:sz w:val="20"/>
                <w:szCs w:val="20"/>
              </w:rPr>
            </w:pPr>
          </w:p>
        </w:tc>
        <w:tc>
          <w:tcPr>
            <w:tcW w:w="1523" w:type="dxa"/>
            <w:vMerge/>
          </w:tcPr>
          <w:p w14:paraId="5A8EB6E8" w14:textId="77777777" w:rsidR="00B31E28" w:rsidRPr="00A9330B" w:rsidRDefault="00B31E28">
            <w:pPr>
              <w:spacing w:before="60" w:line="240" w:lineRule="auto"/>
              <w:rPr>
                <w:color w:val="auto"/>
                <w:sz w:val="20"/>
                <w:szCs w:val="20"/>
              </w:rPr>
            </w:pPr>
          </w:p>
        </w:tc>
        <w:tc>
          <w:tcPr>
            <w:tcW w:w="2641" w:type="dxa"/>
          </w:tcPr>
          <w:p w14:paraId="300BCB2F" w14:textId="77777777" w:rsidR="00B31E28" w:rsidRPr="00A9330B" w:rsidRDefault="00B31E28" w:rsidP="000F7BA7">
            <w:pPr>
              <w:spacing w:before="60" w:line="240" w:lineRule="auto"/>
              <w:jc w:val="both"/>
              <w:rPr>
                <w:color w:val="auto"/>
                <w:sz w:val="20"/>
                <w:szCs w:val="20"/>
              </w:rPr>
            </w:pPr>
            <w:r w:rsidRPr="00A9330B">
              <w:rPr>
                <w:color w:val="auto"/>
                <w:sz w:val="20"/>
                <w:szCs w:val="20"/>
              </w:rPr>
              <w:t>1.2.a.5.2. Veiller à la collecte et à l’enlèvement des huiles usagées par les structures agréées</w:t>
            </w:r>
          </w:p>
        </w:tc>
        <w:tc>
          <w:tcPr>
            <w:tcW w:w="2194" w:type="dxa"/>
          </w:tcPr>
          <w:p w14:paraId="4F7E88F0" w14:textId="77777777" w:rsidR="00B31E28" w:rsidRPr="00A9330B" w:rsidRDefault="00B31E28" w:rsidP="00B31E28">
            <w:pPr>
              <w:spacing w:before="60" w:line="240" w:lineRule="auto"/>
              <w:rPr>
                <w:color w:val="auto"/>
                <w:sz w:val="20"/>
                <w:szCs w:val="20"/>
              </w:rPr>
            </w:pPr>
          </w:p>
        </w:tc>
      </w:tr>
      <w:tr w:rsidR="00B31E28" w:rsidRPr="00A9330B" w14:paraId="56B7033D" w14:textId="77777777" w:rsidTr="00350C9E">
        <w:trPr>
          <w:trHeight w:val="668"/>
        </w:trPr>
        <w:tc>
          <w:tcPr>
            <w:tcW w:w="2425" w:type="dxa"/>
            <w:vMerge/>
          </w:tcPr>
          <w:p w14:paraId="09D818F7" w14:textId="77777777" w:rsidR="00B31E28" w:rsidRPr="00A9330B" w:rsidRDefault="00B31E28" w:rsidP="00B31E28">
            <w:pPr>
              <w:spacing w:before="60" w:line="240" w:lineRule="auto"/>
              <w:rPr>
                <w:color w:val="auto"/>
                <w:sz w:val="20"/>
                <w:szCs w:val="20"/>
              </w:rPr>
            </w:pPr>
          </w:p>
        </w:tc>
        <w:tc>
          <w:tcPr>
            <w:tcW w:w="2193" w:type="dxa"/>
            <w:vMerge w:val="restart"/>
          </w:tcPr>
          <w:p w14:paraId="4242762D" w14:textId="77777777" w:rsidR="00B31E28" w:rsidRPr="00A9330B" w:rsidRDefault="00B31E28" w:rsidP="00B31E28">
            <w:pPr>
              <w:spacing w:before="60" w:line="240" w:lineRule="auto"/>
              <w:rPr>
                <w:color w:val="auto"/>
                <w:sz w:val="20"/>
                <w:szCs w:val="20"/>
              </w:rPr>
            </w:pPr>
          </w:p>
        </w:tc>
        <w:tc>
          <w:tcPr>
            <w:tcW w:w="2595" w:type="dxa"/>
            <w:vMerge w:val="restart"/>
          </w:tcPr>
          <w:p w14:paraId="0ABC69E7" w14:textId="77777777" w:rsidR="00B31E28" w:rsidRPr="00A9330B" w:rsidRDefault="00B31E28" w:rsidP="000F7BA7">
            <w:pPr>
              <w:spacing w:before="60" w:line="240" w:lineRule="auto"/>
              <w:jc w:val="both"/>
              <w:rPr>
                <w:color w:val="auto"/>
                <w:sz w:val="20"/>
                <w:szCs w:val="20"/>
              </w:rPr>
            </w:pPr>
            <w:r w:rsidRPr="00A9330B">
              <w:rPr>
                <w:color w:val="auto"/>
                <w:sz w:val="20"/>
                <w:szCs w:val="20"/>
              </w:rPr>
              <w:t>1.2.a.6. Pollution du sol et des nappes par les eaux usées, huiles usagées (graisses, hydrocarbures, lubrifiants)  et de composés organiques</w:t>
            </w:r>
          </w:p>
        </w:tc>
        <w:tc>
          <w:tcPr>
            <w:tcW w:w="1523" w:type="dxa"/>
            <w:vMerge w:val="restart"/>
          </w:tcPr>
          <w:p w14:paraId="79377651" w14:textId="77777777" w:rsidR="00B31E28" w:rsidRPr="00A9330B" w:rsidRDefault="00B31E28" w:rsidP="005F0465">
            <w:pPr>
              <w:spacing w:before="60" w:line="240" w:lineRule="auto"/>
              <w:rPr>
                <w:color w:val="auto"/>
                <w:sz w:val="20"/>
                <w:szCs w:val="20"/>
              </w:rPr>
            </w:pPr>
            <w:r w:rsidRPr="00A9330B">
              <w:rPr>
                <w:color w:val="auto"/>
                <w:sz w:val="20"/>
                <w:szCs w:val="20"/>
              </w:rPr>
              <w:t>Moyenne</w:t>
            </w:r>
          </w:p>
        </w:tc>
        <w:tc>
          <w:tcPr>
            <w:tcW w:w="2641" w:type="dxa"/>
          </w:tcPr>
          <w:p w14:paraId="5FC2F27E" w14:textId="77777777" w:rsidR="00B31E28" w:rsidRPr="00A9330B" w:rsidRDefault="00B31E28" w:rsidP="000F7BA7">
            <w:pPr>
              <w:spacing w:before="60" w:line="240" w:lineRule="auto"/>
              <w:jc w:val="both"/>
              <w:rPr>
                <w:color w:val="auto"/>
                <w:sz w:val="20"/>
                <w:szCs w:val="20"/>
              </w:rPr>
            </w:pPr>
            <w:r w:rsidRPr="00A9330B">
              <w:rPr>
                <w:color w:val="auto"/>
                <w:sz w:val="20"/>
                <w:szCs w:val="20"/>
              </w:rPr>
              <w:t>1.2.a.6.1. Aménager des bassins de décantation dans la base vie au niveau de l’atelier mécanique, des centrales à béton et à enrobé</w:t>
            </w:r>
          </w:p>
        </w:tc>
        <w:tc>
          <w:tcPr>
            <w:tcW w:w="2194" w:type="dxa"/>
          </w:tcPr>
          <w:p w14:paraId="54DDA95C" w14:textId="77777777" w:rsidR="00B31E28" w:rsidRPr="00A9330B" w:rsidRDefault="00B31E28" w:rsidP="00B31E28">
            <w:pPr>
              <w:spacing w:before="60" w:line="240" w:lineRule="auto"/>
              <w:rPr>
                <w:color w:val="auto"/>
                <w:sz w:val="20"/>
                <w:szCs w:val="20"/>
              </w:rPr>
            </w:pPr>
          </w:p>
        </w:tc>
      </w:tr>
      <w:tr w:rsidR="00B31E28" w:rsidRPr="00A9330B" w14:paraId="29E6460E" w14:textId="77777777" w:rsidTr="00350C9E">
        <w:tc>
          <w:tcPr>
            <w:tcW w:w="2425" w:type="dxa"/>
            <w:vMerge/>
          </w:tcPr>
          <w:p w14:paraId="46042CAD" w14:textId="77777777" w:rsidR="00B31E28" w:rsidRPr="00A9330B" w:rsidRDefault="00B31E28" w:rsidP="00B31E28">
            <w:pPr>
              <w:spacing w:before="60" w:line="240" w:lineRule="auto"/>
              <w:rPr>
                <w:color w:val="auto"/>
                <w:sz w:val="20"/>
                <w:szCs w:val="20"/>
              </w:rPr>
            </w:pPr>
          </w:p>
        </w:tc>
        <w:tc>
          <w:tcPr>
            <w:tcW w:w="2193" w:type="dxa"/>
            <w:vMerge/>
          </w:tcPr>
          <w:p w14:paraId="2932C9CE" w14:textId="77777777" w:rsidR="00B31E28" w:rsidRPr="00A9330B" w:rsidRDefault="00B31E28" w:rsidP="00B31E28">
            <w:pPr>
              <w:spacing w:before="60" w:line="240" w:lineRule="auto"/>
              <w:rPr>
                <w:color w:val="auto"/>
                <w:sz w:val="20"/>
                <w:szCs w:val="20"/>
              </w:rPr>
            </w:pPr>
          </w:p>
        </w:tc>
        <w:tc>
          <w:tcPr>
            <w:tcW w:w="2595" w:type="dxa"/>
            <w:vMerge/>
          </w:tcPr>
          <w:p w14:paraId="1C74BF53" w14:textId="77777777" w:rsidR="00B31E28" w:rsidRPr="00A9330B" w:rsidRDefault="00B31E28" w:rsidP="000F7BA7">
            <w:pPr>
              <w:spacing w:before="60" w:line="240" w:lineRule="auto"/>
              <w:jc w:val="both"/>
              <w:rPr>
                <w:color w:val="auto"/>
                <w:sz w:val="20"/>
                <w:szCs w:val="20"/>
              </w:rPr>
            </w:pPr>
          </w:p>
        </w:tc>
        <w:tc>
          <w:tcPr>
            <w:tcW w:w="1523" w:type="dxa"/>
            <w:vMerge/>
          </w:tcPr>
          <w:p w14:paraId="45DCA4AD" w14:textId="77777777" w:rsidR="00B31E28" w:rsidRPr="00A9330B" w:rsidRDefault="00B31E28">
            <w:pPr>
              <w:spacing w:before="60" w:line="240" w:lineRule="auto"/>
              <w:rPr>
                <w:color w:val="auto"/>
                <w:sz w:val="20"/>
                <w:szCs w:val="20"/>
              </w:rPr>
            </w:pPr>
          </w:p>
        </w:tc>
        <w:tc>
          <w:tcPr>
            <w:tcW w:w="2641" w:type="dxa"/>
          </w:tcPr>
          <w:p w14:paraId="3CA64C4D" w14:textId="77777777" w:rsidR="00B31E28" w:rsidRPr="00A9330B" w:rsidRDefault="00B31E28" w:rsidP="000F7BA7">
            <w:pPr>
              <w:spacing w:before="60" w:line="240" w:lineRule="auto"/>
              <w:jc w:val="both"/>
              <w:rPr>
                <w:color w:val="auto"/>
                <w:sz w:val="20"/>
                <w:szCs w:val="20"/>
              </w:rPr>
            </w:pPr>
            <w:r w:rsidRPr="00A9330B">
              <w:rPr>
                <w:color w:val="auto"/>
                <w:sz w:val="20"/>
                <w:szCs w:val="20"/>
              </w:rPr>
              <w:t>1.2.a.6.2. Installer un déshuileur au niveau du système de collecte des eaux usées</w:t>
            </w:r>
          </w:p>
        </w:tc>
        <w:tc>
          <w:tcPr>
            <w:tcW w:w="2194" w:type="dxa"/>
          </w:tcPr>
          <w:p w14:paraId="52C9FC70" w14:textId="77777777" w:rsidR="00B31E28" w:rsidRPr="00A9330B" w:rsidRDefault="00B31E28" w:rsidP="00B31E28">
            <w:pPr>
              <w:spacing w:before="60" w:line="240" w:lineRule="auto"/>
              <w:rPr>
                <w:color w:val="auto"/>
                <w:sz w:val="20"/>
                <w:szCs w:val="20"/>
              </w:rPr>
            </w:pPr>
          </w:p>
        </w:tc>
      </w:tr>
      <w:tr w:rsidR="00B31E28" w:rsidRPr="00A9330B" w14:paraId="116B3E27" w14:textId="77777777" w:rsidTr="00350C9E">
        <w:tc>
          <w:tcPr>
            <w:tcW w:w="2425" w:type="dxa"/>
            <w:vMerge w:val="restart"/>
          </w:tcPr>
          <w:p w14:paraId="021A5A1C" w14:textId="77777777" w:rsidR="00B31E28" w:rsidRPr="00A9330B" w:rsidRDefault="00B31E28" w:rsidP="00BD2F72">
            <w:pPr>
              <w:widowControl w:val="0"/>
              <w:numPr>
                <w:ilvl w:val="1"/>
                <w:numId w:val="66"/>
              </w:numPr>
              <w:spacing w:before="60" w:line="240" w:lineRule="auto"/>
              <w:jc w:val="both"/>
              <w:rPr>
                <w:color w:val="auto"/>
                <w:sz w:val="20"/>
                <w:szCs w:val="20"/>
                <w:lang w:eastAsia="de-DE"/>
              </w:rPr>
            </w:pPr>
            <w:r w:rsidRPr="00A9330B">
              <w:rPr>
                <w:color w:val="auto"/>
                <w:sz w:val="20"/>
                <w:szCs w:val="20"/>
                <w:lang w:eastAsia="de-DE"/>
              </w:rPr>
              <w:t>Libération des emprises</w:t>
            </w:r>
          </w:p>
          <w:p w14:paraId="47FFA18A" w14:textId="77777777" w:rsidR="00B31E28" w:rsidRPr="00A9330B" w:rsidRDefault="00B31E28" w:rsidP="00BD2F72">
            <w:pPr>
              <w:widowControl w:val="0"/>
              <w:numPr>
                <w:ilvl w:val="1"/>
                <w:numId w:val="66"/>
              </w:numPr>
              <w:spacing w:before="60" w:line="240" w:lineRule="auto"/>
              <w:jc w:val="both"/>
              <w:rPr>
                <w:color w:val="auto"/>
                <w:sz w:val="20"/>
                <w:szCs w:val="20"/>
                <w:lang w:eastAsia="de-DE"/>
              </w:rPr>
            </w:pPr>
            <w:r w:rsidRPr="00A9330B">
              <w:rPr>
                <w:color w:val="auto"/>
                <w:sz w:val="20"/>
                <w:szCs w:val="20"/>
                <w:lang w:eastAsia="de-DE"/>
              </w:rPr>
              <w:t>Dédommagement des PAP</w:t>
            </w:r>
          </w:p>
          <w:p w14:paraId="34E4FBE9" w14:textId="77777777" w:rsidR="00B31E28" w:rsidRPr="00A9330B" w:rsidRDefault="00B31E28" w:rsidP="00B31E28">
            <w:pPr>
              <w:spacing w:before="60" w:line="240" w:lineRule="auto"/>
              <w:rPr>
                <w:color w:val="auto"/>
                <w:sz w:val="20"/>
                <w:szCs w:val="20"/>
              </w:rPr>
            </w:pPr>
          </w:p>
        </w:tc>
        <w:tc>
          <w:tcPr>
            <w:tcW w:w="2193" w:type="dxa"/>
          </w:tcPr>
          <w:p w14:paraId="4FA0DCC8" w14:textId="77777777" w:rsidR="00B31E28" w:rsidRPr="00A9330B" w:rsidRDefault="00B31E28" w:rsidP="00B31E28">
            <w:pPr>
              <w:spacing w:before="60" w:line="240" w:lineRule="auto"/>
              <w:rPr>
                <w:color w:val="auto"/>
                <w:sz w:val="20"/>
                <w:szCs w:val="20"/>
              </w:rPr>
            </w:pPr>
            <w:r w:rsidRPr="00A9330B">
              <w:rPr>
                <w:color w:val="auto"/>
                <w:sz w:val="20"/>
                <w:szCs w:val="20"/>
              </w:rPr>
              <w:t>1.3.b.1. Mise à disposition de bois de feu et de bois d’œuvre</w:t>
            </w:r>
          </w:p>
        </w:tc>
        <w:tc>
          <w:tcPr>
            <w:tcW w:w="2595" w:type="dxa"/>
          </w:tcPr>
          <w:p w14:paraId="6942B4E7" w14:textId="77777777" w:rsidR="00B31E28" w:rsidRPr="00A9330B" w:rsidRDefault="00B31E28" w:rsidP="000F7BA7">
            <w:pPr>
              <w:spacing w:before="60" w:line="240" w:lineRule="auto"/>
              <w:jc w:val="both"/>
              <w:rPr>
                <w:color w:val="auto"/>
                <w:sz w:val="20"/>
                <w:szCs w:val="20"/>
              </w:rPr>
            </w:pPr>
            <w:r w:rsidRPr="00A9330B">
              <w:rPr>
                <w:color w:val="auto"/>
                <w:sz w:val="20"/>
                <w:szCs w:val="20"/>
              </w:rPr>
              <w:t>1.3.a.1. Perte de biens foncier et immobilier du fait de la libération de l’emprise de la route pour les travaux</w:t>
            </w:r>
          </w:p>
        </w:tc>
        <w:tc>
          <w:tcPr>
            <w:tcW w:w="1523" w:type="dxa"/>
            <w:vAlign w:val="center"/>
          </w:tcPr>
          <w:p w14:paraId="3F22F05D" w14:textId="244C2BF8" w:rsidR="00B31E28" w:rsidRPr="00A9330B" w:rsidRDefault="00B31E28" w:rsidP="005F0465">
            <w:pPr>
              <w:spacing w:before="60" w:line="240" w:lineRule="auto"/>
              <w:rPr>
                <w:color w:val="auto"/>
                <w:sz w:val="20"/>
                <w:szCs w:val="20"/>
              </w:rPr>
            </w:pPr>
            <w:r w:rsidRPr="00A9330B">
              <w:rPr>
                <w:color w:val="auto"/>
                <w:sz w:val="20"/>
                <w:szCs w:val="20"/>
              </w:rPr>
              <w:t>Forte</w:t>
            </w:r>
          </w:p>
        </w:tc>
        <w:tc>
          <w:tcPr>
            <w:tcW w:w="2641" w:type="dxa"/>
          </w:tcPr>
          <w:p w14:paraId="3A6BEF96" w14:textId="77777777" w:rsidR="00B31E28" w:rsidRPr="00A9330B" w:rsidRDefault="00B31E28" w:rsidP="000F7BA7">
            <w:pPr>
              <w:spacing w:before="60" w:line="240" w:lineRule="auto"/>
              <w:jc w:val="both"/>
              <w:rPr>
                <w:color w:val="auto"/>
                <w:sz w:val="20"/>
                <w:szCs w:val="20"/>
              </w:rPr>
            </w:pPr>
            <w:r w:rsidRPr="00A9330B">
              <w:rPr>
                <w:color w:val="auto"/>
                <w:sz w:val="20"/>
                <w:szCs w:val="20"/>
              </w:rPr>
              <w:t>1.3.a.1.1. Elaborer  et mettre en œuvre le PAR</w:t>
            </w:r>
          </w:p>
        </w:tc>
        <w:tc>
          <w:tcPr>
            <w:tcW w:w="2194" w:type="dxa"/>
          </w:tcPr>
          <w:p w14:paraId="59D31220" w14:textId="77777777" w:rsidR="00B31E28" w:rsidRPr="00A9330B" w:rsidRDefault="00B31E28" w:rsidP="00B31E28">
            <w:pPr>
              <w:spacing w:before="60" w:line="240" w:lineRule="auto"/>
              <w:rPr>
                <w:color w:val="auto"/>
                <w:sz w:val="20"/>
                <w:szCs w:val="20"/>
              </w:rPr>
            </w:pPr>
          </w:p>
        </w:tc>
      </w:tr>
      <w:tr w:rsidR="00350C9E" w:rsidRPr="00A9330B" w14:paraId="1DE13019" w14:textId="77777777" w:rsidTr="00350C9E">
        <w:trPr>
          <w:trHeight w:val="980"/>
        </w:trPr>
        <w:tc>
          <w:tcPr>
            <w:tcW w:w="2425" w:type="dxa"/>
            <w:vMerge/>
          </w:tcPr>
          <w:p w14:paraId="5A3C208E" w14:textId="77777777" w:rsidR="00350C9E" w:rsidRPr="00A9330B" w:rsidRDefault="00350C9E" w:rsidP="00B31E28">
            <w:pPr>
              <w:overflowPunct w:val="0"/>
              <w:autoSpaceDE w:val="0"/>
              <w:autoSpaceDN w:val="0"/>
              <w:adjustRightInd w:val="0"/>
              <w:spacing w:before="60" w:line="240" w:lineRule="auto"/>
              <w:ind w:left="360"/>
              <w:rPr>
                <w:color w:val="auto"/>
                <w:sz w:val="20"/>
                <w:szCs w:val="20"/>
                <w:lang w:eastAsia="de-DE"/>
              </w:rPr>
            </w:pPr>
          </w:p>
        </w:tc>
        <w:tc>
          <w:tcPr>
            <w:tcW w:w="2193" w:type="dxa"/>
          </w:tcPr>
          <w:p w14:paraId="4FB9BEE0" w14:textId="77777777" w:rsidR="00350C9E" w:rsidRPr="00A9330B" w:rsidRDefault="00350C9E" w:rsidP="00B31E28">
            <w:pPr>
              <w:spacing w:before="60" w:line="240" w:lineRule="auto"/>
              <w:rPr>
                <w:color w:val="auto"/>
                <w:sz w:val="20"/>
                <w:szCs w:val="20"/>
              </w:rPr>
            </w:pPr>
          </w:p>
        </w:tc>
        <w:tc>
          <w:tcPr>
            <w:tcW w:w="2595" w:type="dxa"/>
          </w:tcPr>
          <w:p w14:paraId="23DC88AB" w14:textId="77777777" w:rsidR="00350C9E" w:rsidRPr="00A9330B" w:rsidRDefault="00350C9E" w:rsidP="000F7BA7">
            <w:pPr>
              <w:spacing w:before="60" w:line="240" w:lineRule="auto"/>
              <w:jc w:val="both"/>
              <w:rPr>
                <w:color w:val="auto"/>
                <w:sz w:val="20"/>
                <w:szCs w:val="20"/>
              </w:rPr>
            </w:pPr>
            <w:r w:rsidRPr="00A9330B">
              <w:rPr>
                <w:color w:val="auto"/>
                <w:sz w:val="20"/>
                <w:szCs w:val="20"/>
              </w:rPr>
              <w:t>1.3.a.2. Déplacement et ou perturbation des activités économiques et perte de revenus</w:t>
            </w:r>
          </w:p>
        </w:tc>
        <w:tc>
          <w:tcPr>
            <w:tcW w:w="1523" w:type="dxa"/>
            <w:vAlign w:val="center"/>
          </w:tcPr>
          <w:p w14:paraId="5E73D42C" w14:textId="77777777" w:rsidR="00350C9E" w:rsidRPr="00A9330B" w:rsidRDefault="00350C9E" w:rsidP="00B31E28">
            <w:pPr>
              <w:spacing w:before="60" w:line="240" w:lineRule="auto"/>
              <w:rPr>
                <w:color w:val="auto"/>
                <w:sz w:val="20"/>
                <w:szCs w:val="20"/>
              </w:rPr>
            </w:pPr>
            <w:r w:rsidRPr="00A9330B">
              <w:rPr>
                <w:color w:val="auto"/>
                <w:sz w:val="20"/>
                <w:szCs w:val="20"/>
              </w:rPr>
              <w:t>Moyenne</w:t>
            </w:r>
          </w:p>
        </w:tc>
        <w:tc>
          <w:tcPr>
            <w:tcW w:w="2641" w:type="dxa"/>
          </w:tcPr>
          <w:p w14:paraId="1C9F83D6" w14:textId="77777777" w:rsidR="00350C9E" w:rsidRPr="00A9330B" w:rsidRDefault="00350C9E" w:rsidP="000F7BA7">
            <w:pPr>
              <w:spacing w:before="60" w:line="240" w:lineRule="auto"/>
              <w:jc w:val="both"/>
              <w:rPr>
                <w:color w:val="auto"/>
                <w:sz w:val="20"/>
                <w:szCs w:val="20"/>
              </w:rPr>
            </w:pPr>
            <w:r w:rsidRPr="00A9330B">
              <w:rPr>
                <w:color w:val="auto"/>
                <w:sz w:val="20"/>
                <w:szCs w:val="20"/>
              </w:rPr>
              <w:t>1.3.a.2.1. Elaborer  et mettre en œuvre le PAR (dédommagement des PAPs )</w:t>
            </w:r>
          </w:p>
        </w:tc>
        <w:tc>
          <w:tcPr>
            <w:tcW w:w="2194" w:type="dxa"/>
          </w:tcPr>
          <w:p w14:paraId="2E917924" w14:textId="77777777" w:rsidR="00350C9E" w:rsidRPr="00A9330B" w:rsidRDefault="00350C9E" w:rsidP="00B31E28">
            <w:pPr>
              <w:spacing w:before="60" w:line="240" w:lineRule="auto"/>
              <w:rPr>
                <w:color w:val="auto"/>
                <w:sz w:val="20"/>
                <w:szCs w:val="20"/>
              </w:rPr>
            </w:pPr>
          </w:p>
        </w:tc>
      </w:tr>
      <w:tr w:rsidR="00B31E28" w:rsidRPr="00A9330B" w14:paraId="1FAD6A3B" w14:textId="77777777" w:rsidTr="00350C9E">
        <w:tc>
          <w:tcPr>
            <w:tcW w:w="2425" w:type="dxa"/>
            <w:vMerge/>
          </w:tcPr>
          <w:p w14:paraId="221FC7D6" w14:textId="77777777" w:rsidR="00B31E28" w:rsidRPr="00A9330B" w:rsidRDefault="00B31E28" w:rsidP="00B31E28">
            <w:pPr>
              <w:spacing w:before="60" w:line="240" w:lineRule="auto"/>
              <w:rPr>
                <w:color w:val="auto"/>
                <w:sz w:val="20"/>
                <w:szCs w:val="20"/>
              </w:rPr>
            </w:pPr>
          </w:p>
        </w:tc>
        <w:tc>
          <w:tcPr>
            <w:tcW w:w="2193" w:type="dxa"/>
          </w:tcPr>
          <w:p w14:paraId="38421251" w14:textId="77777777" w:rsidR="00B31E28" w:rsidRPr="00A9330B" w:rsidRDefault="00B31E28" w:rsidP="00B31E28">
            <w:pPr>
              <w:spacing w:before="60" w:line="240" w:lineRule="auto"/>
              <w:rPr>
                <w:color w:val="auto"/>
                <w:sz w:val="20"/>
                <w:szCs w:val="20"/>
              </w:rPr>
            </w:pPr>
            <w:r w:rsidRPr="00A9330B">
              <w:rPr>
                <w:color w:val="auto"/>
                <w:sz w:val="20"/>
                <w:szCs w:val="20"/>
              </w:rPr>
              <w:t>1.3.b.2. Création de revenus</w:t>
            </w:r>
          </w:p>
        </w:tc>
        <w:tc>
          <w:tcPr>
            <w:tcW w:w="2595" w:type="dxa"/>
          </w:tcPr>
          <w:p w14:paraId="59C58265" w14:textId="77777777" w:rsidR="00B31E28" w:rsidRPr="00A9330B" w:rsidRDefault="00B31E28" w:rsidP="000F7BA7">
            <w:pPr>
              <w:spacing w:before="60" w:line="240" w:lineRule="auto"/>
              <w:jc w:val="both"/>
              <w:rPr>
                <w:color w:val="auto"/>
                <w:sz w:val="20"/>
                <w:szCs w:val="20"/>
              </w:rPr>
            </w:pPr>
            <w:r w:rsidRPr="00A9330B">
              <w:rPr>
                <w:color w:val="auto"/>
                <w:sz w:val="20"/>
                <w:szCs w:val="20"/>
              </w:rPr>
              <w:t xml:space="preserve">1.3.a.3. Pertes ou déplacements d’infrastructures et équipements </w:t>
            </w:r>
            <w:r w:rsidRPr="00A9330B">
              <w:rPr>
                <w:color w:val="auto"/>
                <w:sz w:val="20"/>
                <w:szCs w:val="20"/>
              </w:rPr>
              <w:lastRenderedPageBreak/>
              <w:t xml:space="preserve">socioéconomiques et sociocommunautaires </w:t>
            </w:r>
          </w:p>
        </w:tc>
        <w:tc>
          <w:tcPr>
            <w:tcW w:w="1523" w:type="dxa"/>
            <w:vAlign w:val="center"/>
          </w:tcPr>
          <w:p w14:paraId="092835C9" w14:textId="77777777" w:rsidR="00B31E28" w:rsidRPr="00A9330B" w:rsidRDefault="00B31E28" w:rsidP="00B31E28">
            <w:pPr>
              <w:spacing w:before="60" w:line="240" w:lineRule="auto"/>
              <w:rPr>
                <w:color w:val="auto"/>
                <w:sz w:val="20"/>
                <w:szCs w:val="20"/>
              </w:rPr>
            </w:pPr>
            <w:r w:rsidRPr="00A9330B">
              <w:rPr>
                <w:color w:val="auto"/>
                <w:sz w:val="20"/>
                <w:szCs w:val="20"/>
              </w:rPr>
              <w:lastRenderedPageBreak/>
              <w:t>Moyenne</w:t>
            </w:r>
          </w:p>
        </w:tc>
        <w:tc>
          <w:tcPr>
            <w:tcW w:w="2641" w:type="dxa"/>
          </w:tcPr>
          <w:p w14:paraId="66A4125F" w14:textId="77777777" w:rsidR="00B31E28" w:rsidRPr="00A9330B" w:rsidRDefault="00B31E28" w:rsidP="000F7BA7">
            <w:pPr>
              <w:spacing w:before="60" w:line="240" w:lineRule="auto"/>
              <w:jc w:val="both"/>
              <w:rPr>
                <w:color w:val="auto"/>
                <w:sz w:val="20"/>
                <w:szCs w:val="20"/>
              </w:rPr>
            </w:pPr>
            <w:r w:rsidRPr="00A9330B">
              <w:rPr>
                <w:color w:val="auto"/>
                <w:sz w:val="20"/>
                <w:szCs w:val="20"/>
              </w:rPr>
              <w:t>1.3.a.3.1. Faire une compensation pour la reconstruction des infrastructures et équipements affectés</w:t>
            </w:r>
          </w:p>
        </w:tc>
        <w:tc>
          <w:tcPr>
            <w:tcW w:w="2194" w:type="dxa"/>
          </w:tcPr>
          <w:p w14:paraId="3F61A2C0" w14:textId="77777777" w:rsidR="00B31E28" w:rsidRPr="00A9330B" w:rsidRDefault="00B31E28" w:rsidP="00B31E28">
            <w:pPr>
              <w:spacing w:before="60" w:line="240" w:lineRule="auto"/>
              <w:rPr>
                <w:color w:val="auto"/>
                <w:sz w:val="20"/>
                <w:szCs w:val="20"/>
              </w:rPr>
            </w:pPr>
          </w:p>
        </w:tc>
      </w:tr>
      <w:tr w:rsidR="00B31E28" w:rsidRPr="00A9330B" w14:paraId="5AA3468E" w14:textId="77777777" w:rsidTr="00350C9E">
        <w:tc>
          <w:tcPr>
            <w:tcW w:w="2425" w:type="dxa"/>
            <w:vMerge/>
          </w:tcPr>
          <w:p w14:paraId="5AD1220A" w14:textId="77777777" w:rsidR="00B31E28" w:rsidRPr="00A9330B" w:rsidRDefault="00B31E28" w:rsidP="00B31E28">
            <w:pPr>
              <w:spacing w:before="60" w:line="240" w:lineRule="auto"/>
              <w:rPr>
                <w:color w:val="auto"/>
                <w:sz w:val="20"/>
                <w:szCs w:val="20"/>
              </w:rPr>
            </w:pPr>
          </w:p>
        </w:tc>
        <w:tc>
          <w:tcPr>
            <w:tcW w:w="2193" w:type="dxa"/>
          </w:tcPr>
          <w:p w14:paraId="2413B3D9" w14:textId="77777777" w:rsidR="00B31E28" w:rsidRPr="00A9330B" w:rsidRDefault="00B31E28" w:rsidP="00B31E28">
            <w:pPr>
              <w:spacing w:before="60" w:line="240" w:lineRule="auto"/>
              <w:rPr>
                <w:color w:val="auto"/>
                <w:sz w:val="20"/>
                <w:szCs w:val="20"/>
              </w:rPr>
            </w:pPr>
          </w:p>
        </w:tc>
        <w:tc>
          <w:tcPr>
            <w:tcW w:w="2595" w:type="dxa"/>
          </w:tcPr>
          <w:p w14:paraId="22E759FC" w14:textId="77777777" w:rsidR="00B31E28" w:rsidRPr="00A9330B" w:rsidRDefault="00B31E28" w:rsidP="000F7BA7">
            <w:pPr>
              <w:spacing w:before="60" w:line="240" w:lineRule="auto"/>
              <w:jc w:val="both"/>
              <w:rPr>
                <w:color w:val="auto"/>
                <w:sz w:val="20"/>
                <w:szCs w:val="20"/>
              </w:rPr>
            </w:pPr>
            <w:r w:rsidRPr="00A9330B">
              <w:rPr>
                <w:color w:val="auto"/>
                <w:sz w:val="20"/>
                <w:szCs w:val="20"/>
              </w:rPr>
              <w:t xml:space="preserve">1.3.a.4. Déplacement éventuel de patrimoines socio-culturels (sanctuaires) dû à l’emprise de la route  </w:t>
            </w:r>
          </w:p>
        </w:tc>
        <w:tc>
          <w:tcPr>
            <w:tcW w:w="1523" w:type="dxa"/>
          </w:tcPr>
          <w:p w14:paraId="2073DD55" w14:textId="77777777" w:rsidR="00B31E28" w:rsidRPr="00A9330B" w:rsidRDefault="00B31E28" w:rsidP="00B31E28">
            <w:pPr>
              <w:spacing w:before="60" w:line="240" w:lineRule="auto"/>
              <w:rPr>
                <w:color w:val="auto"/>
                <w:sz w:val="20"/>
                <w:szCs w:val="20"/>
              </w:rPr>
            </w:pPr>
            <w:r w:rsidRPr="00A9330B">
              <w:rPr>
                <w:color w:val="auto"/>
                <w:sz w:val="20"/>
                <w:szCs w:val="20"/>
              </w:rPr>
              <w:t>Forte</w:t>
            </w:r>
          </w:p>
        </w:tc>
        <w:tc>
          <w:tcPr>
            <w:tcW w:w="2641" w:type="dxa"/>
          </w:tcPr>
          <w:p w14:paraId="17FED5FB" w14:textId="77777777" w:rsidR="00B31E28" w:rsidRPr="00A9330B" w:rsidRDefault="00B31E28" w:rsidP="000F7BA7">
            <w:pPr>
              <w:spacing w:before="60" w:line="240" w:lineRule="auto"/>
              <w:jc w:val="both"/>
              <w:rPr>
                <w:color w:val="auto"/>
                <w:sz w:val="20"/>
                <w:szCs w:val="20"/>
              </w:rPr>
            </w:pPr>
            <w:r w:rsidRPr="00A9330B">
              <w:rPr>
                <w:color w:val="auto"/>
                <w:sz w:val="20"/>
                <w:szCs w:val="20"/>
              </w:rPr>
              <w:t>1.3.a.4.1. Contribuer à la réinstallation des patrimoines socio-culturels affectés</w:t>
            </w:r>
          </w:p>
        </w:tc>
        <w:tc>
          <w:tcPr>
            <w:tcW w:w="2194" w:type="dxa"/>
          </w:tcPr>
          <w:p w14:paraId="2663B854" w14:textId="77777777" w:rsidR="00B31E28" w:rsidRPr="00A9330B" w:rsidRDefault="00B31E28" w:rsidP="00B31E28">
            <w:pPr>
              <w:spacing w:before="60" w:line="240" w:lineRule="auto"/>
              <w:rPr>
                <w:color w:val="auto"/>
                <w:sz w:val="20"/>
                <w:szCs w:val="20"/>
              </w:rPr>
            </w:pPr>
          </w:p>
        </w:tc>
      </w:tr>
      <w:tr w:rsidR="00B31E28" w:rsidRPr="00A9330B" w14:paraId="63B6BB75" w14:textId="77777777" w:rsidTr="00350C9E">
        <w:tc>
          <w:tcPr>
            <w:tcW w:w="2425" w:type="dxa"/>
            <w:vMerge w:val="restart"/>
          </w:tcPr>
          <w:p w14:paraId="44D69FD6" w14:textId="77777777" w:rsidR="00B31E28" w:rsidRPr="00A9330B" w:rsidRDefault="00B31E28" w:rsidP="00BD2F72">
            <w:pPr>
              <w:widowControl w:val="0"/>
              <w:numPr>
                <w:ilvl w:val="1"/>
                <w:numId w:val="66"/>
              </w:numPr>
              <w:spacing w:before="60" w:line="240" w:lineRule="auto"/>
              <w:rPr>
                <w:color w:val="auto"/>
                <w:sz w:val="20"/>
                <w:szCs w:val="20"/>
                <w:lang w:eastAsia="de-DE"/>
              </w:rPr>
            </w:pPr>
            <w:r w:rsidRPr="00A9330B">
              <w:rPr>
                <w:color w:val="auto"/>
                <w:sz w:val="20"/>
                <w:szCs w:val="20"/>
                <w:lang w:eastAsia="de-DE"/>
              </w:rPr>
              <w:t xml:space="preserve">Déplacement de réseaux </w:t>
            </w:r>
          </w:p>
        </w:tc>
        <w:tc>
          <w:tcPr>
            <w:tcW w:w="2193" w:type="dxa"/>
            <w:vMerge w:val="restart"/>
          </w:tcPr>
          <w:p w14:paraId="78BE9DF2" w14:textId="77777777" w:rsidR="00B31E28" w:rsidRPr="00A9330B" w:rsidRDefault="00B31E28" w:rsidP="00B31E28">
            <w:pPr>
              <w:spacing w:before="60" w:line="240" w:lineRule="auto"/>
              <w:rPr>
                <w:color w:val="auto"/>
                <w:sz w:val="20"/>
                <w:szCs w:val="20"/>
              </w:rPr>
            </w:pPr>
          </w:p>
        </w:tc>
        <w:tc>
          <w:tcPr>
            <w:tcW w:w="2595" w:type="dxa"/>
            <w:vMerge w:val="restart"/>
          </w:tcPr>
          <w:p w14:paraId="43BE3883" w14:textId="77777777" w:rsidR="00B31E28" w:rsidRPr="00A9330B" w:rsidRDefault="00B31E28" w:rsidP="000F7BA7">
            <w:pPr>
              <w:spacing w:before="60" w:line="240" w:lineRule="auto"/>
              <w:jc w:val="both"/>
              <w:rPr>
                <w:color w:val="auto"/>
                <w:sz w:val="20"/>
                <w:szCs w:val="20"/>
              </w:rPr>
            </w:pPr>
            <w:r w:rsidRPr="00A9330B">
              <w:rPr>
                <w:color w:val="auto"/>
                <w:sz w:val="20"/>
                <w:szCs w:val="20"/>
              </w:rPr>
              <w:t>1.4.a.1. Accidents dus aux fouilles de sondages des réseaux existants</w:t>
            </w:r>
          </w:p>
        </w:tc>
        <w:tc>
          <w:tcPr>
            <w:tcW w:w="1523" w:type="dxa"/>
            <w:vMerge w:val="restart"/>
          </w:tcPr>
          <w:p w14:paraId="738ACD22" w14:textId="77777777" w:rsidR="00B31E28" w:rsidRPr="00A9330B" w:rsidRDefault="00B31E28" w:rsidP="00B31E28">
            <w:pPr>
              <w:spacing w:before="60" w:line="240" w:lineRule="auto"/>
              <w:rPr>
                <w:color w:val="auto"/>
                <w:sz w:val="20"/>
                <w:szCs w:val="20"/>
              </w:rPr>
            </w:pPr>
            <w:r w:rsidRPr="00A9330B">
              <w:rPr>
                <w:color w:val="auto"/>
                <w:sz w:val="20"/>
                <w:szCs w:val="20"/>
              </w:rPr>
              <w:t xml:space="preserve">Faible </w:t>
            </w:r>
          </w:p>
        </w:tc>
        <w:tc>
          <w:tcPr>
            <w:tcW w:w="2641" w:type="dxa"/>
          </w:tcPr>
          <w:p w14:paraId="2EEC7F7F" w14:textId="77777777" w:rsidR="00B31E28" w:rsidRPr="00A9330B" w:rsidRDefault="00B31E28" w:rsidP="000F7BA7">
            <w:pPr>
              <w:spacing w:before="60" w:line="240" w:lineRule="auto"/>
              <w:jc w:val="both"/>
              <w:rPr>
                <w:color w:val="auto"/>
                <w:sz w:val="20"/>
                <w:szCs w:val="20"/>
              </w:rPr>
            </w:pPr>
            <w:r w:rsidRPr="00A9330B">
              <w:rPr>
                <w:color w:val="auto"/>
                <w:sz w:val="20"/>
                <w:szCs w:val="20"/>
              </w:rPr>
              <w:t xml:space="preserve">1.4.a.1.1. Refermer les fouilles ou les baliser correctement suivant l’évolution des travaux  </w:t>
            </w:r>
          </w:p>
        </w:tc>
        <w:tc>
          <w:tcPr>
            <w:tcW w:w="2194" w:type="dxa"/>
          </w:tcPr>
          <w:p w14:paraId="41E40593" w14:textId="77777777" w:rsidR="00B31E28" w:rsidRPr="00A9330B" w:rsidRDefault="00B31E28" w:rsidP="00B31E28">
            <w:pPr>
              <w:spacing w:before="60" w:line="240" w:lineRule="auto"/>
              <w:rPr>
                <w:color w:val="auto"/>
                <w:sz w:val="20"/>
                <w:szCs w:val="20"/>
              </w:rPr>
            </w:pPr>
          </w:p>
        </w:tc>
      </w:tr>
      <w:tr w:rsidR="00B31E28" w:rsidRPr="00A9330B" w14:paraId="0678E3E8" w14:textId="77777777" w:rsidTr="00350C9E">
        <w:tc>
          <w:tcPr>
            <w:tcW w:w="2425" w:type="dxa"/>
            <w:vMerge/>
          </w:tcPr>
          <w:p w14:paraId="74425649" w14:textId="77777777" w:rsidR="00B31E28" w:rsidRPr="00A9330B" w:rsidRDefault="00B31E28" w:rsidP="00BD2F72">
            <w:pPr>
              <w:widowControl w:val="0"/>
              <w:numPr>
                <w:ilvl w:val="1"/>
                <w:numId w:val="66"/>
              </w:numPr>
              <w:spacing w:before="60" w:line="240" w:lineRule="auto"/>
              <w:jc w:val="both"/>
              <w:rPr>
                <w:color w:val="auto"/>
                <w:sz w:val="20"/>
                <w:szCs w:val="20"/>
                <w:lang w:eastAsia="de-DE"/>
              </w:rPr>
            </w:pPr>
          </w:p>
        </w:tc>
        <w:tc>
          <w:tcPr>
            <w:tcW w:w="2193" w:type="dxa"/>
            <w:vMerge/>
          </w:tcPr>
          <w:p w14:paraId="2FF5261B" w14:textId="77777777" w:rsidR="00B31E28" w:rsidRPr="00A9330B" w:rsidRDefault="00B31E28" w:rsidP="00B31E28">
            <w:pPr>
              <w:spacing w:before="60" w:line="240" w:lineRule="auto"/>
              <w:rPr>
                <w:color w:val="auto"/>
                <w:sz w:val="20"/>
                <w:szCs w:val="20"/>
              </w:rPr>
            </w:pPr>
          </w:p>
        </w:tc>
        <w:tc>
          <w:tcPr>
            <w:tcW w:w="2595" w:type="dxa"/>
            <w:vMerge/>
          </w:tcPr>
          <w:p w14:paraId="6AC3AFC0" w14:textId="77777777" w:rsidR="00B31E28" w:rsidRPr="00A9330B" w:rsidRDefault="00B31E28" w:rsidP="00B31E28">
            <w:pPr>
              <w:spacing w:before="60" w:line="240" w:lineRule="auto"/>
              <w:rPr>
                <w:color w:val="auto"/>
                <w:sz w:val="20"/>
                <w:szCs w:val="20"/>
              </w:rPr>
            </w:pPr>
          </w:p>
        </w:tc>
        <w:tc>
          <w:tcPr>
            <w:tcW w:w="1523" w:type="dxa"/>
            <w:vMerge/>
          </w:tcPr>
          <w:p w14:paraId="703A3FB3" w14:textId="77777777" w:rsidR="00B31E28" w:rsidRPr="00A9330B" w:rsidRDefault="00B31E28" w:rsidP="00B31E28">
            <w:pPr>
              <w:spacing w:before="60" w:line="240" w:lineRule="auto"/>
              <w:rPr>
                <w:color w:val="auto"/>
                <w:sz w:val="20"/>
                <w:szCs w:val="20"/>
              </w:rPr>
            </w:pPr>
          </w:p>
        </w:tc>
        <w:tc>
          <w:tcPr>
            <w:tcW w:w="2641" w:type="dxa"/>
          </w:tcPr>
          <w:p w14:paraId="05AAA5E6" w14:textId="77777777" w:rsidR="00B31E28" w:rsidRPr="00A9330B" w:rsidRDefault="00B31E28" w:rsidP="000F7BA7">
            <w:pPr>
              <w:spacing w:before="60" w:line="240" w:lineRule="auto"/>
              <w:jc w:val="both"/>
              <w:rPr>
                <w:color w:val="auto"/>
                <w:sz w:val="20"/>
                <w:szCs w:val="20"/>
              </w:rPr>
            </w:pPr>
            <w:r w:rsidRPr="00A9330B">
              <w:rPr>
                <w:color w:val="auto"/>
                <w:sz w:val="20"/>
                <w:szCs w:val="20"/>
              </w:rPr>
              <w:t>1.4.a.1.2. Mettre en place un système de surveillance et de signalisation pour la sécurité des populations</w:t>
            </w:r>
          </w:p>
        </w:tc>
        <w:tc>
          <w:tcPr>
            <w:tcW w:w="2194" w:type="dxa"/>
          </w:tcPr>
          <w:p w14:paraId="7EAB235F" w14:textId="77777777" w:rsidR="00B31E28" w:rsidRPr="00A9330B" w:rsidRDefault="00B31E28" w:rsidP="00B31E28">
            <w:pPr>
              <w:spacing w:before="60" w:line="240" w:lineRule="auto"/>
              <w:rPr>
                <w:color w:val="auto"/>
                <w:sz w:val="20"/>
                <w:szCs w:val="20"/>
              </w:rPr>
            </w:pPr>
          </w:p>
        </w:tc>
      </w:tr>
      <w:tr w:rsidR="00B31E28" w:rsidRPr="00A9330B" w14:paraId="3B39BBA1" w14:textId="77777777" w:rsidTr="003C5233">
        <w:tc>
          <w:tcPr>
            <w:tcW w:w="13571" w:type="dxa"/>
            <w:gridSpan w:val="6"/>
            <w:shd w:val="clear" w:color="auto" w:fill="F7CAAC" w:themeFill="accent2" w:themeFillTint="66"/>
          </w:tcPr>
          <w:p w14:paraId="66CC0070" w14:textId="77777777" w:rsidR="00B31E28" w:rsidRPr="00A9330B" w:rsidRDefault="00B31E28" w:rsidP="00B31E28">
            <w:pPr>
              <w:spacing w:before="60" w:line="240" w:lineRule="auto"/>
              <w:rPr>
                <w:i/>
                <w:color w:val="auto"/>
                <w:sz w:val="20"/>
                <w:szCs w:val="20"/>
              </w:rPr>
            </w:pPr>
            <w:r w:rsidRPr="00A9330B">
              <w:rPr>
                <w:i/>
                <w:color w:val="auto"/>
                <w:sz w:val="20"/>
                <w:szCs w:val="20"/>
              </w:rPr>
              <w:t>PHASE DE CONSTRUCTION</w:t>
            </w:r>
          </w:p>
        </w:tc>
      </w:tr>
      <w:tr w:rsidR="00B31E28" w:rsidRPr="00A9330B" w14:paraId="09EBA511" w14:textId="77777777" w:rsidTr="00350C9E">
        <w:tc>
          <w:tcPr>
            <w:tcW w:w="2425" w:type="dxa"/>
          </w:tcPr>
          <w:p w14:paraId="30DFDB64" w14:textId="77777777" w:rsidR="00B31E28" w:rsidRPr="00A9330B" w:rsidRDefault="00B31E28" w:rsidP="000F7BA7">
            <w:pPr>
              <w:spacing w:before="60" w:line="240" w:lineRule="auto"/>
              <w:jc w:val="both"/>
              <w:rPr>
                <w:color w:val="auto"/>
                <w:sz w:val="20"/>
                <w:szCs w:val="20"/>
              </w:rPr>
            </w:pPr>
            <w:r w:rsidRPr="00A9330B">
              <w:rPr>
                <w:color w:val="auto"/>
                <w:sz w:val="20"/>
                <w:szCs w:val="20"/>
              </w:rPr>
              <w:t xml:space="preserve">2.1 Implantation </w:t>
            </w:r>
          </w:p>
        </w:tc>
        <w:tc>
          <w:tcPr>
            <w:tcW w:w="2193" w:type="dxa"/>
          </w:tcPr>
          <w:p w14:paraId="16F0653F" w14:textId="77777777" w:rsidR="00B31E28" w:rsidRPr="00A9330B" w:rsidRDefault="00B31E28" w:rsidP="00B31E28">
            <w:pPr>
              <w:spacing w:before="60" w:line="240" w:lineRule="auto"/>
              <w:rPr>
                <w:color w:val="auto"/>
                <w:sz w:val="20"/>
                <w:szCs w:val="20"/>
              </w:rPr>
            </w:pPr>
          </w:p>
        </w:tc>
        <w:tc>
          <w:tcPr>
            <w:tcW w:w="2595" w:type="dxa"/>
          </w:tcPr>
          <w:p w14:paraId="1F68D42A" w14:textId="77777777" w:rsidR="00B31E28" w:rsidRPr="00A9330B" w:rsidRDefault="00B31E28" w:rsidP="000F7BA7">
            <w:pPr>
              <w:spacing w:before="60" w:line="240" w:lineRule="auto"/>
              <w:jc w:val="both"/>
              <w:rPr>
                <w:color w:val="auto"/>
                <w:sz w:val="20"/>
                <w:szCs w:val="20"/>
              </w:rPr>
            </w:pPr>
            <w:r w:rsidRPr="00A9330B">
              <w:rPr>
                <w:color w:val="auto"/>
                <w:sz w:val="20"/>
                <w:szCs w:val="20"/>
              </w:rPr>
              <w:t>2.1..a.1. Pertes de végétation due au layonnage</w:t>
            </w:r>
          </w:p>
          <w:p w14:paraId="13A02487" w14:textId="77777777" w:rsidR="00B31E28" w:rsidRPr="00A9330B" w:rsidRDefault="00B31E28" w:rsidP="000F7BA7">
            <w:pPr>
              <w:spacing w:before="60" w:line="240" w:lineRule="auto"/>
              <w:jc w:val="both"/>
              <w:rPr>
                <w:color w:val="auto"/>
                <w:sz w:val="20"/>
                <w:szCs w:val="20"/>
              </w:rPr>
            </w:pPr>
            <w:r w:rsidRPr="00A9330B">
              <w:rPr>
                <w:color w:val="auto"/>
                <w:sz w:val="20"/>
                <w:szCs w:val="20"/>
              </w:rPr>
              <w:t>2.1.a.2. Poussières et bruit des engins et véhicules de chantier</w:t>
            </w:r>
          </w:p>
        </w:tc>
        <w:tc>
          <w:tcPr>
            <w:tcW w:w="1523" w:type="dxa"/>
          </w:tcPr>
          <w:p w14:paraId="01A61DA6" w14:textId="77777777" w:rsidR="00B31E28" w:rsidRPr="00A9330B" w:rsidRDefault="00B31E28" w:rsidP="00B31E28">
            <w:pPr>
              <w:spacing w:before="60" w:line="240" w:lineRule="auto"/>
              <w:rPr>
                <w:color w:val="auto"/>
                <w:sz w:val="20"/>
                <w:szCs w:val="20"/>
              </w:rPr>
            </w:pPr>
            <w:r w:rsidRPr="00A9330B">
              <w:rPr>
                <w:color w:val="auto"/>
                <w:sz w:val="20"/>
                <w:szCs w:val="20"/>
              </w:rPr>
              <w:t xml:space="preserve">Faible </w:t>
            </w:r>
          </w:p>
        </w:tc>
        <w:tc>
          <w:tcPr>
            <w:tcW w:w="2641" w:type="dxa"/>
          </w:tcPr>
          <w:p w14:paraId="5CCC0B2C" w14:textId="77777777" w:rsidR="00B31E28" w:rsidRPr="00A9330B" w:rsidRDefault="00B31E28" w:rsidP="000F7BA7">
            <w:pPr>
              <w:spacing w:before="60" w:line="240" w:lineRule="auto"/>
              <w:jc w:val="both"/>
              <w:rPr>
                <w:color w:val="auto"/>
                <w:sz w:val="20"/>
                <w:szCs w:val="20"/>
              </w:rPr>
            </w:pPr>
            <w:r w:rsidRPr="00A9330B">
              <w:rPr>
                <w:color w:val="auto"/>
                <w:sz w:val="20"/>
                <w:szCs w:val="20"/>
              </w:rPr>
              <w:t>Ces impacts ne sont pas significatifs</w:t>
            </w:r>
          </w:p>
        </w:tc>
        <w:tc>
          <w:tcPr>
            <w:tcW w:w="2194" w:type="dxa"/>
          </w:tcPr>
          <w:p w14:paraId="1AD574B9" w14:textId="77777777" w:rsidR="00B31E28" w:rsidRPr="00A9330B" w:rsidRDefault="00B31E28" w:rsidP="00B31E28">
            <w:pPr>
              <w:spacing w:before="60" w:line="240" w:lineRule="auto"/>
              <w:rPr>
                <w:color w:val="auto"/>
                <w:sz w:val="20"/>
                <w:szCs w:val="20"/>
              </w:rPr>
            </w:pPr>
          </w:p>
        </w:tc>
      </w:tr>
      <w:tr w:rsidR="00B31E28" w:rsidRPr="00A9330B" w14:paraId="2F5A2383" w14:textId="77777777" w:rsidTr="00350C9E">
        <w:tc>
          <w:tcPr>
            <w:tcW w:w="2425" w:type="dxa"/>
            <w:vMerge w:val="restart"/>
          </w:tcPr>
          <w:p w14:paraId="30283812" w14:textId="77777777" w:rsidR="00B31E28" w:rsidRPr="00A9330B" w:rsidRDefault="00B31E28" w:rsidP="000F7BA7">
            <w:pPr>
              <w:spacing w:before="60" w:line="240" w:lineRule="auto"/>
              <w:jc w:val="both"/>
              <w:rPr>
                <w:color w:val="auto"/>
                <w:sz w:val="20"/>
                <w:szCs w:val="20"/>
              </w:rPr>
            </w:pPr>
            <w:r w:rsidRPr="00A9330B">
              <w:rPr>
                <w:color w:val="auto"/>
                <w:sz w:val="20"/>
                <w:szCs w:val="20"/>
              </w:rPr>
              <w:t xml:space="preserve">2.2. Travaux préparatoires et d’aménagements </w:t>
            </w:r>
          </w:p>
          <w:p w14:paraId="11FBDB8A" w14:textId="77777777" w:rsidR="00B31E28" w:rsidRPr="00A9330B" w:rsidRDefault="00B31E28" w:rsidP="000F7BA7">
            <w:pPr>
              <w:spacing w:before="60" w:line="240" w:lineRule="auto"/>
              <w:jc w:val="both"/>
              <w:rPr>
                <w:color w:val="auto"/>
                <w:sz w:val="20"/>
                <w:szCs w:val="20"/>
              </w:rPr>
            </w:pPr>
            <w:r w:rsidRPr="00A9330B">
              <w:rPr>
                <w:color w:val="auto"/>
                <w:sz w:val="20"/>
                <w:szCs w:val="20"/>
              </w:rPr>
              <w:t>Débroussaillage Décapage</w:t>
            </w:r>
            <w:r w:rsidRPr="00A9330B">
              <w:rPr>
                <w:color w:val="auto"/>
                <w:sz w:val="20"/>
                <w:szCs w:val="20"/>
              </w:rPr>
              <w:br/>
              <w:t>Abattage d’arbres</w:t>
            </w:r>
            <w:r w:rsidRPr="00A9330B">
              <w:rPr>
                <w:color w:val="auto"/>
                <w:sz w:val="20"/>
                <w:szCs w:val="20"/>
              </w:rPr>
              <w:br/>
            </w:r>
          </w:p>
          <w:p w14:paraId="0621FE2D" w14:textId="77777777" w:rsidR="00B31E28" w:rsidRPr="00A9330B" w:rsidRDefault="00B31E28" w:rsidP="000F7BA7">
            <w:pPr>
              <w:spacing w:before="60" w:line="240" w:lineRule="auto"/>
              <w:jc w:val="both"/>
              <w:rPr>
                <w:color w:val="auto"/>
                <w:sz w:val="20"/>
                <w:szCs w:val="20"/>
              </w:rPr>
            </w:pPr>
            <w:r w:rsidRPr="00A9330B">
              <w:rPr>
                <w:color w:val="auto"/>
                <w:sz w:val="20"/>
                <w:szCs w:val="20"/>
              </w:rPr>
              <w:t>2.3 Démolition d’ouvrage</w:t>
            </w:r>
            <w:r w:rsidRPr="00A9330B">
              <w:rPr>
                <w:color w:val="auto"/>
                <w:sz w:val="20"/>
                <w:szCs w:val="20"/>
              </w:rPr>
              <w:br/>
              <w:t>Démolition et scarification de chaussée, Démolition de bordures</w:t>
            </w:r>
          </w:p>
        </w:tc>
        <w:tc>
          <w:tcPr>
            <w:tcW w:w="2193" w:type="dxa"/>
          </w:tcPr>
          <w:p w14:paraId="6120AAEF" w14:textId="77777777" w:rsidR="00B31E28" w:rsidRPr="00A9330B" w:rsidRDefault="00B31E28" w:rsidP="00B31E28">
            <w:pPr>
              <w:spacing w:before="60" w:line="240" w:lineRule="auto"/>
              <w:rPr>
                <w:color w:val="auto"/>
                <w:sz w:val="20"/>
                <w:szCs w:val="20"/>
              </w:rPr>
            </w:pPr>
            <w:r w:rsidRPr="00A9330B">
              <w:rPr>
                <w:color w:val="auto"/>
                <w:sz w:val="20"/>
                <w:szCs w:val="20"/>
              </w:rPr>
              <w:t>2.2.b.1. Importance économique du secteur transport</w:t>
            </w:r>
          </w:p>
        </w:tc>
        <w:tc>
          <w:tcPr>
            <w:tcW w:w="2595" w:type="dxa"/>
          </w:tcPr>
          <w:p w14:paraId="3D4A8192" w14:textId="77777777" w:rsidR="00B31E28" w:rsidRPr="00A9330B" w:rsidRDefault="00B31E28" w:rsidP="000F7BA7">
            <w:pPr>
              <w:spacing w:before="60" w:line="240" w:lineRule="auto"/>
              <w:jc w:val="both"/>
              <w:rPr>
                <w:color w:val="auto"/>
                <w:sz w:val="20"/>
                <w:szCs w:val="20"/>
              </w:rPr>
            </w:pPr>
            <w:r w:rsidRPr="00A9330B">
              <w:rPr>
                <w:color w:val="auto"/>
                <w:sz w:val="20"/>
                <w:szCs w:val="20"/>
              </w:rPr>
              <w:t>2.2.a.1. Perte de biens fonciers, cultures, arbres ou activités</w:t>
            </w:r>
          </w:p>
        </w:tc>
        <w:tc>
          <w:tcPr>
            <w:tcW w:w="1523" w:type="dxa"/>
          </w:tcPr>
          <w:p w14:paraId="6E598358" w14:textId="77777777" w:rsidR="00B31E28" w:rsidRPr="00A9330B" w:rsidRDefault="00B31E28" w:rsidP="00B31E28">
            <w:pPr>
              <w:spacing w:before="60" w:line="240" w:lineRule="auto"/>
              <w:rPr>
                <w:color w:val="auto"/>
                <w:sz w:val="20"/>
                <w:szCs w:val="20"/>
              </w:rPr>
            </w:pPr>
            <w:r w:rsidRPr="00A9330B">
              <w:rPr>
                <w:color w:val="auto"/>
                <w:sz w:val="20"/>
                <w:szCs w:val="20"/>
              </w:rPr>
              <w:t xml:space="preserve">Moyenne </w:t>
            </w:r>
          </w:p>
        </w:tc>
        <w:tc>
          <w:tcPr>
            <w:tcW w:w="2641" w:type="dxa"/>
          </w:tcPr>
          <w:p w14:paraId="7B10C7D8" w14:textId="77777777" w:rsidR="00B31E28" w:rsidRPr="00A9330B" w:rsidRDefault="00B31E28" w:rsidP="000F7BA7">
            <w:pPr>
              <w:spacing w:before="60" w:line="240" w:lineRule="auto"/>
              <w:jc w:val="both"/>
              <w:rPr>
                <w:color w:val="auto"/>
                <w:sz w:val="20"/>
                <w:szCs w:val="20"/>
              </w:rPr>
            </w:pPr>
            <w:r w:rsidRPr="00A9330B">
              <w:rPr>
                <w:color w:val="auto"/>
                <w:sz w:val="20"/>
                <w:szCs w:val="20"/>
              </w:rPr>
              <w:t>2.1.a.2.1. Faire une compensation pour les biens et les activités perdus</w:t>
            </w:r>
            <w:r w:rsidRPr="00A9330B" w:rsidDel="00626B9A">
              <w:rPr>
                <w:color w:val="auto"/>
                <w:sz w:val="20"/>
                <w:szCs w:val="20"/>
              </w:rPr>
              <w:t xml:space="preserve"> </w:t>
            </w:r>
          </w:p>
        </w:tc>
        <w:tc>
          <w:tcPr>
            <w:tcW w:w="2194" w:type="dxa"/>
          </w:tcPr>
          <w:p w14:paraId="4DCF937E" w14:textId="77777777" w:rsidR="00B31E28" w:rsidRPr="00A9330B" w:rsidRDefault="00B31E28" w:rsidP="00B31E28">
            <w:pPr>
              <w:spacing w:before="60" w:line="240" w:lineRule="auto"/>
              <w:rPr>
                <w:color w:val="auto"/>
                <w:sz w:val="20"/>
                <w:szCs w:val="20"/>
              </w:rPr>
            </w:pPr>
          </w:p>
        </w:tc>
      </w:tr>
      <w:tr w:rsidR="00B31E28" w:rsidRPr="00A9330B" w14:paraId="053F925E" w14:textId="77777777" w:rsidTr="00350C9E">
        <w:tc>
          <w:tcPr>
            <w:tcW w:w="2425" w:type="dxa"/>
            <w:vMerge/>
          </w:tcPr>
          <w:p w14:paraId="30113128" w14:textId="77777777" w:rsidR="00B31E28" w:rsidRPr="00A9330B" w:rsidRDefault="00B31E28" w:rsidP="00B31E28">
            <w:pPr>
              <w:spacing w:before="60" w:line="240" w:lineRule="auto"/>
              <w:rPr>
                <w:color w:val="auto"/>
                <w:sz w:val="20"/>
                <w:szCs w:val="20"/>
              </w:rPr>
            </w:pPr>
          </w:p>
        </w:tc>
        <w:tc>
          <w:tcPr>
            <w:tcW w:w="2193" w:type="dxa"/>
            <w:vMerge w:val="restart"/>
          </w:tcPr>
          <w:p w14:paraId="1E9799D5" w14:textId="77777777" w:rsidR="00B31E28" w:rsidRPr="00A9330B" w:rsidRDefault="00B31E28" w:rsidP="00B31E28">
            <w:pPr>
              <w:spacing w:before="60" w:line="240" w:lineRule="auto"/>
              <w:rPr>
                <w:color w:val="auto"/>
                <w:sz w:val="20"/>
                <w:szCs w:val="20"/>
              </w:rPr>
            </w:pPr>
          </w:p>
        </w:tc>
        <w:tc>
          <w:tcPr>
            <w:tcW w:w="2595" w:type="dxa"/>
          </w:tcPr>
          <w:p w14:paraId="38F5531A" w14:textId="77777777" w:rsidR="00B31E28" w:rsidRPr="00A9330B" w:rsidRDefault="00B31E28" w:rsidP="000F7BA7">
            <w:pPr>
              <w:spacing w:before="60" w:line="240" w:lineRule="auto"/>
              <w:jc w:val="both"/>
              <w:rPr>
                <w:color w:val="auto"/>
                <w:sz w:val="20"/>
                <w:szCs w:val="20"/>
              </w:rPr>
            </w:pPr>
            <w:r w:rsidRPr="00A9330B">
              <w:rPr>
                <w:color w:val="auto"/>
                <w:sz w:val="20"/>
                <w:szCs w:val="20"/>
              </w:rPr>
              <w:t>2.2.a.2. Expropriation des terrains qui rentrent dans l’emprise du projet</w:t>
            </w:r>
          </w:p>
        </w:tc>
        <w:tc>
          <w:tcPr>
            <w:tcW w:w="1523" w:type="dxa"/>
          </w:tcPr>
          <w:p w14:paraId="3681D44D" w14:textId="77777777" w:rsidR="00B31E28" w:rsidRPr="00A9330B" w:rsidRDefault="00B31E28" w:rsidP="00B31E28">
            <w:pPr>
              <w:spacing w:before="60" w:line="240" w:lineRule="auto"/>
              <w:rPr>
                <w:color w:val="auto"/>
                <w:sz w:val="20"/>
                <w:szCs w:val="20"/>
              </w:rPr>
            </w:pPr>
            <w:r w:rsidRPr="00A9330B">
              <w:rPr>
                <w:color w:val="auto"/>
                <w:sz w:val="20"/>
                <w:szCs w:val="20"/>
              </w:rPr>
              <w:t>Moyenne</w:t>
            </w:r>
          </w:p>
        </w:tc>
        <w:tc>
          <w:tcPr>
            <w:tcW w:w="2641" w:type="dxa"/>
          </w:tcPr>
          <w:p w14:paraId="2DBA6F3B" w14:textId="77777777" w:rsidR="00B31E28" w:rsidRPr="00A9330B" w:rsidRDefault="00B31E28" w:rsidP="000F7BA7">
            <w:pPr>
              <w:spacing w:before="60" w:line="240" w:lineRule="auto"/>
              <w:jc w:val="both"/>
              <w:rPr>
                <w:color w:val="auto"/>
                <w:sz w:val="20"/>
                <w:szCs w:val="20"/>
              </w:rPr>
            </w:pPr>
            <w:r w:rsidRPr="00A9330B">
              <w:rPr>
                <w:color w:val="auto"/>
                <w:sz w:val="20"/>
                <w:szCs w:val="20"/>
              </w:rPr>
              <w:t>2.1.a.2.2. Procéder à un jute et préalable dédommagement des personnes affectées par le projet</w:t>
            </w:r>
          </w:p>
        </w:tc>
        <w:tc>
          <w:tcPr>
            <w:tcW w:w="2194" w:type="dxa"/>
          </w:tcPr>
          <w:p w14:paraId="6449FB6E" w14:textId="77777777" w:rsidR="00B31E28" w:rsidRPr="00A9330B" w:rsidRDefault="00B31E28" w:rsidP="00B31E28">
            <w:pPr>
              <w:spacing w:before="60" w:line="240" w:lineRule="auto"/>
              <w:rPr>
                <w:color w:val="auto"/>
                <w:sz w:val="20"/>
                <w:szCs w:val="20"/>
              </w:rPr>
            </w:pPr>
          </w:p>
        </w:tc>
      </w:tr>
      <w:tr w:rsidR="00B31E28" w:rsidRPr="00A9330B" w14:paraId="19851AD3" w14:textId="77777777" w:rsidTr="00350C9E">
        <w:tc>
          <w:tcPr>
            <w:tcW w:w="2425" w:type="dxa"/>
            <w:vMerge/>
          </w:tcPr>
          <w:p w14:paraId="72DEC6BC" w14:textId="77777777" w:rsidR="00B31E28" w:rsidRPr="00A9330B" w:rsidRDefault="00B31E28" w:rsidP="00B31E28">
            <w:pPr>
              <w:spacing w:before="60" w:line="240" w:lineRule="auto"/>
              <w:rPr>
                <w:color w:val="auto"/>
                <w:sz w:val="20"/>
                <w:szCs w:val="20"/>
              </w:rPr>
            </w:pPr>
          </w:p>
        </w:tc>
        <w:tc>
          <w:tcPr>
            <w:tcW w:w="2193" w:type="dxa"/>
            <w:vMerge/>
          </w:tcPr>
          <w:p w14:paraId="677B090A" w14:textId="77777777" w:rsidR="00B31E28" w:rsidRPr="00A9330B" w:rsidRDefault="00B31E28" w:rsidP="00B31E28">
            <w:pPr>
              <w:spacing w:before="60" w:line="240" w:lineRule="auto"/>
              <w:rPr>
                <w:color w:val="auto"/>
                <w:sz w:val="20"/>
                <w:szCs w:val="20"/>
              </w:rPr>
            </w:pPr>
          </w:p>
        </w:tc>
        <w:tc>
          <w:tcPr>
            <w:tcW w:w="2595" w:type="dxa"/>
          </w:tcPr>
          <w:p w14:paraId="7616B074" w14:textId="77777777" w:rsidR="00B31E28" w:rsidRPr="00A9330B" w:rsidRDefault="00B31E28" w:rsidP="000F7BA7">
            <w:pPr>
              <w:spacing w:before="60" w:line="240" w:lineRule="auto"/>
              <w:jc w:val="both"/>
              <w:rPr>
                <w:color w:val="auto"/>
                <w:sz w:val="20"/>
                <w:szCs w:val="20"/>
              </w:rPr>
            </w:pPr>
            <w:r w:rsidRPr="00A9330B">
              <w:rPr>
                <w:color w:val="auto"/>
                <w:sz w:val="20"/>
                <w:szCs w:val="20"/>
              </w:rPr>
              <w:t xml:space="preserve">2.3.a.1. Destruction de la végétation et de la faune située dans l’emprise du projet </w:t>
            </w:r>
          </w:p>
        </w:tc>
        <w:tc>
          <w:tcPr>
            <w:tcW w:w="1523" w:type="dxa"/>
            <w:vAlign w:val="center"/>
          </w:tcPr>
          <w:p w14:paraId="5F7C3A97" w14:textId="77777777" w:rsidR="00B31E28" w:rsidRPr="00A9330B" w:rsidRDefault="00B31E28" w:rsidP="00B31E28">
            <w:pPr>
              <w:spacing w:before="60" w:line="240" w:lineRule="auto"/>
              <w:rPr>
                <w:color w:val="auto"/>
                <w:sz w:val="20"/>
                <w:szCs w:val="20"/>
              </w:rPr>
            </w:pPr>
            <w:r w:rsidRPr="00A9330B">
              <w:rPr>
                <w:color w:val="auto"/>
                <w:sz w:val="20"/>
                <w:szCs w:val="20"/>
              </w:rPr>
              <w:t xml:space="preserve">Forte </w:t>
            </w:r>
          </w:p>
        </w:tc>
        <w:tc>
          <w:tcPr>
            <w:tcW w:w="2641" w:type="dxa"/>
          </w:tcPr>
          <w:p w14:paraId="3BE094CA" w14:textId="77777777" w:rsidR="00B31E28" w:rsidRPr="00A9330B" w:rsidRDefault="00B31E28" w:rsidP="000F7BA7">
            <w:pPr>
              <w:spacing w:before="60" w:line="240" w:lineRule="auto"/>
              <w:jc w:val="both"/>
              <w:rPr>
                <w:color w:val="auto"/>
                <w:sz w:val="20"/>
                <w:szCs w:val="20"/>
              </w:rPr>
            </w:pPr>
            <w:r w:rsidRPr="00A9330B">
              <w:rPr>
                <w:color w:val="auto"/>
                <w:sz w:val="20"/>
                <w:szCs w:val="20"/>
              </w:rPr>
              <w:t xml:space="preserve">2.3.a.1.1. Elaborer  et mettre en œuvre un plan de reboisement en </w:t>
            </w:r>
            <w:r w:rsidRPr="00A9330B">
              <w:rPr>
                <w:color w:val="auto"/>
                <w:sz w:val="20"/>
                <w:szCs w:val="20"/>
              </w:rPr>
              <w:lastRenderedPageBreak/>
              <w:t xml:space="preserve">compensation sur un site identifié </w:t>
            </w:r>
          </w:p>
        </w:tc>
        <w:tc>
          <w:tcPr>
            <w:tcW w:w="2194" w:type="dxa"/>
          </w:tcPr>
          <w:p w14:paraId="31B8CC5F" w14:textId="77777777" w:rsidR="00B31E28" w:rsidRPr="00A9330B" w:rsidRDefault="00B31E28" w:rsidP="00B31E28">
            <w:pPr>
              <w:spacing w:before="60" w:line="240" w:lineRule="auto"/>
              <w:rPr>
                <w:color w:val="auto"/>
                <w:sz w:val="20"/>
                <w:szCs w:val="20"/>
              </w:rPr>
            </w:pPr>
          </w:p>
        </w:tc>
      </w:tr>
      <w:tr w:rsidR="00B31E28" w:rsidRPr="00A9330B" w14:paraId="122CFAF0" w14:textId="77777777" w:rsidTr="00350C9E">
        <w:trPr>
          <w:trHeight w:val="639"/>
        </w:trPr>
        <w:tc>
          <w:tcPr>
            <w:tcW w:w="2425" w:type="dxa"/>
            <w:vMerge/>
          </w:tcPr>
          <w:p w14:paraId="2262E0FA" w14:textId="77777777" w:rsidR="00B31E28" w:rsidRPr="00A9330B" w:rsidRDefault="00B31E28" w:rsidP="00B31E28">
            <w:pPr>
              <w:spacing w:before="60" w:line="240" w:lineRule="auto"/>
              <w:rPr>
                <w:color w:val="auto"/>
                <w:sz w:val="20"/>
                <w:szCs w:val="20"/>
              </w:rPr>
            </w:pPr>
          </w:p>
        </w:tc>
        <w:tc>
          <w:tcPr>
            <w:tcW w:w="2193" w:type="dxa"/>
            <w:vMerge/>
          </w:tcPr>
          <w:p w14:paraId="465DA5DF" w14:textId="77777777" w:rsidR="00B31E28" w:rsidRPr="00A9330B" w:rsidRDefault="00B31E28" w:rsidP="00B31E28">
            <w:pPr>
              <w:spacing w:before="60" w:line="240" w:lineRule="auto"/>
              <w:rPr>
                <w:color w:val="auto"/>
                <w:sz w:val="20"/>
                <w:szCs w:val="20"/>
              </w:rPr>
            </w:pPr>
          </w:p>
        </w:tc>
        <w:tc>
          <w:tcPr>
            <w:tcW w:w="2595" w:type="dxa"/>
            <w:vMerge w:val="restart"/>
          </w:tcPr>
          <w:p w14:paraId="11B127B1" w14:textId="77777777" w:rsidR="00B31E28" w:rsidRPr="00A9330B" w:rsidRDefault="00B31E28" w:rsidP="000F7BA7">
            <w:pPr>
              <w:spacing w:before="60" w:line="240" w:lineRule="auto"/>
              <w:jc w:val="both"/>
              <w:rPr>
                <w:color w:val="auto"/>
                <w:sz w:val="20"/>
                <w:szCs w:val="20"/>
              </w:rPr>
            </w:pPr>
            <w:r w:rsidRPr="00A9330B">
              <w:rPr>
                <w:color w:val="auto"/>
                <w:sz w:val="20"/>
                <w:szCs w:val="20"/>
              </w:rPr>
              <w:t>2.3.a.2. Pollution atmosphérique émises par les particules dans l’air</w:t>
            </w:r>
          </w:p>
        </w:tc>
        <w:tc>
          <w:tcPr>
            <w:tcW w:w="1523" w:type="dxa"/>
            <w:vMerge w:val="restart"/>
            <w:vAlign w:val="center"/>
          </w:tcPr>
          <w:p w14:paraId="544C764F" w14:textId="77777777" w:rsidR="00B31E28" w:rsidRPr="00A9330B" w:rsidRDefault="00B31E28" w:rsidP="00B31E28">
            <w:pPr>
              <w:spacing w:before="60" w:line="240" w:lineRule="auto"/>
              <w:rPr>
                <w:color w:val="auto"/>
                <w:sz w:val="20"/>
                <w:szCs w:val="20"/>
              </w:rPr>
            </w:pPr>
            <w:r w:rsidRPr="00A9330B">
              <w:rPr>
                <w:color w:val="auto"/>
                <w:sz w:val="20"/>
                <w:szCs w:val="20"/>
              </w:rPr>
              <w:t>Moyenne</w:t>
            </w:r>
          </w:p>
        </w:tc>
        <w:tc>
          <w:tcPr>
            <w:tcW w:w="2641" w:type="dxa"/>
          </w:tcPr>
          <w:p w14:paraId="146399B5" w14:textId="77777777" w:rsidR="00B31E28" w:rsidRPr="00A9330B" w:rsidRDefault="00B31E28" w:rsidP="000F7BA7">
            <w:pPr>
              <w:spacing w:before="60" w:line="240" w:lineRule="auto"/>
              <w:jc w:val="both"/>
              <w:rPr>
                <w:color w:val="auto"/>
                <w:sz w:val="20"/>
                <w:szCs w:val="20"/>
              </w:rPr>
            </w:pPr>
            <w:r w:rsidRPr="00A9330B">
              <w:rPr>
                <w:color w:val="auto"/>
                <w:sz w:val="20"/>
                <w:szCs w:val="20"/>
              </w:rPr>
              <w:t xml:space="preserve">2.3.a.2.1. Doter le personnel de chantier des équipements de protection individuels (EPI) et veiller à leur port effectif </w:t>
            </w:r>
          </w:p>
        </w:tc>
        <w:tc>
          <w:tcPr>
            <w:tcW w:w="2194" w:type="dxa"/>
          </w:tcPr>
          <w:p w14:paraId="4C0C6289" w14:textId="77777777" w:rsidR="00B31E28" w:rsidRPr="00A9330B" w:rsidRDefault="00B31E28" w:rsidP="00B31E28">
            <w:pPr>
              <w:spacing w:before="60" w:line="240" w:lineRule="auto"/>
              <w:rPr>
                <w:color w:val="auto"/>
                <w:sz w:val="20"/>
                <w:szCs w:val="20"/>
              </w:rPr>
            </w:pPr>
          </w:p>
        </w:tc>
      </w:tr>
      <w:tr w:rsidR="00B31E28" w:rsidRPr="00A9330B" w14:paraId="5FB8E0E5" w14:textId="77777777" w:rsidTr="00350C9E">
        <w:tc>
          <w:tcPr>
            <w:tcW w:w="2425" w:type="dxa"/>
            <w:vMerge/>
          </w:tcPr>
          <w:p w14:paraId="62A38281" w14:textId="77777777" w:rsidR="00B31E28" w:rsidRPr="00A9330B" w:rsidRDefault="00B31E28" w:rsidP="00B31E28">
            <w:pPr>
              <w:spacing w:before="60" w:line="240" w:lineRule="auto"/>
              <w:rPr>
                <w:color w:val="auto"/>
                <w:sz w:val="20"/>
                <w:szCs w:val="20"/>
              </w:rPr>
            </w:pPr>
          </w:p>
        </w:tc>
        <w:tc>
          <w:tcPr>
            <w:tcW w:w="2193" w:type="dxa"/>
            <w:vMerge/>
          </w:tcPr>
          <w:p w14:paraId="35D28D58" w14:textId="77777777" w:rsidR="00B31E28" w:rsidRPr="00A9330B" w:rsidRDefault="00B31E28" w:rsidP="00B31E28">
            <w:pPr>
              <w:spacing w:before="60" w:line="240" w:lineRule="auto"/>
              <w:rPr>
                <w:color w:val="auto"/>
                <w:sz w:val="20"/>
                <w:szCs w:val="20"/>
              </w:rPr>
            </w:pPr>
          </w:p>
        </w:tc>
        <w:tc>
          <w:tcPr>
            <w:tcW w:w="2595" w:type="dxa"/>
            <w:vMerge/>
          </w:tcPr>
          <w:p w14:paraId="698533D2" w14:textId="77777777" w:rsidR="00B31E28" w:rsidRPr="00A9330B" w:rsidRDefault="00B31E28" w:rsidP="000F7BA7">
            <w:pPr>
              <w:spacing w:before="60" w:line="240" w:lineRule="auto"/>
              <w:jc w:val="both"/>
              <w:rPr>
                <w:color w:val="auto"/>
                <w:sz w:val="20"/>
                <w:szCs w:val="20"/>
              </w:rPr>
            </w:pPr>
          </w:p>
        </w:tc>
        <w:tc>
          <w:tcPr>
            <w:tcW w:w="1523" w:type="dxa"/>
            <w:vMerge/>
            <w:vAlign w:val="center"/>
          </w:tcPr>
          <w:p w14:paraId="3621EABD" w14:textId="77777777" w:rsidR="00B31E28" w:rsidRPr="00A9330B" w:rsidRDefault="00B31E28" w:rsidP="00B31E28">
            <w:pPr>
              <w:spacing w:before="60" w:line="240" w:lineRule="auto"/>
              <w:rPr>
                <w:color w:val="auto"/>
                <w:sz w:val="20"/>
                <w:szCs w:val="20"/>
              </w:rPr>
            </w:pPr>
          </w:p>
        </w:tc>
        <w:tc>
          <w:tcPr>
            <w:tcW w:w="2641" w:type="dxa"/>
          </w:tcPr>
          <w:p w14:paraId="4E371A45" w14:textId="77777777" w:rsidR="00B31E28" w:rsidRPr="00A9330B" w:rsidRDefault="00B31E28" w:rsidP="000F7BA7">
            <w:pPr>
              <w:spacing w:before="60" w:line="240" w:lineRule="auto"/>
              <w:jc w:val="both"/>
              <w:rPr>
                <w:color w:val="auto"/>
                <w:sz w:val="20"/>
                <w:szCs w:val="20"/>
              </w:rPr>
            </w:pPr>
            <w:r w:rsidRPr="00A9330B">
              <w:rPr>
                <w:color w:val="auto"/>
                <w:sz w:val="20"/>
                <w:szCs w:val="20"/>
              </w:rPr>
              <w:t>2.3.a.2.2. Arroser les voies de circulation, les déviations et les plates-formes en phase chantier</w:t>
            </w:r>
          </w:p>
        </w:tc>
        <w:tc>
          <w:tcPr>
            <w:tcW w:w="2194" w:type="dxa"/>
          </w:tcPr>
          <w:p w14:paraId="32F79917" w14:textId="77777777" w:rsidR="00B31E28" w:rsidRPr="00A9330B" w:rsidRDefault="00B31E28" w:rsidP="00B31E28">
            <w:pPr>
              <w:spacing w:before="60" w:line="240" w:lineRule="auto"/>
              <w:rPr>
                <w:color w:val="auto"/>
                <w:sz w:val="20"/>
                <w:szCs w:val="20"/>
              </w:rPr>
            </w:pPr>
          </w:p>
        </w:tc>
      </w:tr>
      <w:tr w:rsidR="00B31E28" w:rsidRPr="00A9330B" w14:paraId="72CDD175" w14:textId="77777777" w:rsidTr="00350C9E">
        <w:tc>
          <w:tcPr>
            <w:tcW w:w="2425" w:type="dxa"/>
            <w:vMerge/>
          </w:tcPr>
          <w:p w14:paraId="52988D5A" w14:textId="77777777" w:rsidR="00B31E28" w:rsidRPr="00A9330B" w:rsidRDefault="00B31E28" w:rsidP="00B31E28">
            <w:pPr>
              <w:spacing w:before="60" w:line="240" w:lineRule="auto"/>
              <w:rPr>
                <w:color w:val="auto"/>
                <w:sz w:val="20"/>
                <w:szCs w:val="20"/>
              </w:rPr>
            </w:pPr>
          </w:p>
        </w:tc>
        <w:tc>
          <w:tcPr>
            <w:tcW w:w="2193" w:type="dxa"/>
            <w:vMerge/>
          </w:tcPr>
          <w:p w14:paraId="41739F92" w14:textId="77777777" w:rsidR="00B31E28" w:rsidRPr="00A9330B" w:rsidRDefault="00B31E28" w:rsidP="00B31E28">
            <w:pPr>
              <w:spacing w:before="60" w:line="240" w:lineRule="auto"/>
              <w:rPr>
                <w:color w:val="auto"/>
                <w:sz w:val="20"/>
                <w:szCs w:val="20"/>
              </w:rPr>
            </w:pPr>
          </w:p>
        </w:tc>
        <w:tc>
          <w:tcPr>
            <w:tcW w:w="2595" w:type="dxa"/>
          </w:tcPr>
          <w:p w14:paraId="0BBD70C5" w14:textId="61695AE9" w:rsidR="00B31E28" w:rsidRPr="00A9330B" w:rsidRDefault="00B31E28" w:rsidP="000F7BA7">
            <w:pPr>
              <w:spacing w:before="60" w:line="240" w:lineRule="auto"/>
              <w:jc w:val="both"/>
              <w:rPr>
                <w:color w:val="auto"/>
                <w:sz w:val="20"/>
                <w:szCs w:val="20"/>
              </w:rPr>
            </w:pPr>
            <w:r w:rsidRPr="00A9330B">
              <w:rPr>
                <w:color w:val="auto"/>
                <w:sz w:val="20"/>
                <w:szCs w:val="20"/>
              </w:rPr>
              <w:t xml:space="preserve">2.3.a.3 Production de déchets </w:t>
            </w:r>
            <w:r w:rsidR="00350C9E" w:rsidRPr="00A9330B">
              <w:rPr>
                <w:color w:val="auto"/>
                <w:sz w:val="20"/>
                <w:szCs w:val="20"/>
              </w:rPr>
              <w:t>solides inertes</w:t>
            </w:r>
            <w:r w:rsidRPr="00A9330B">
              <w:rPr>
                <w:color w:val="auto"/>
                <w:sz w:val="20"/>
                <w:szCs w:val="20"/>
              </w:rPr>
              <w:t xml:space="preserve"> issus de démantèlement, déchets végétaux, déchets d’emballage et déchets de chantier</w:t>
            </w:r>
          </w:p>
          <w:p w14:paraId="7D9BE90A" w14:textId="77777777" w:rsidR="00B31E28" w:rsidRPr="00A9330B" w:rsidRDefault="00B31E28" w:rsidP="000F7BA7">
            <w:pPr>
              <w:spacing w:before="60" w:line="240" w:lineRule="auto"/>
              <w:jc w:val="both"/>
              <w:rPr>
                <w:color w:val="auto"/>
                <w:sz w:val="20"/>
                <w:szCs w:val="20"/>
              </w:rPr>
            </w:pPr>
          </w:p>
        </w:tc>
        <w:tc>
          <w:tcPr>
            <w:tcW w:w="1523" w:type="dxa"/>
            <w:vAlign w:val="center"/>
          </w:tcPr>
          <w:p w14:paraId="61481CAB" w14:textId="77777777" w:rsidR="00B31E28" w:rsidRPr="00A9330B" w:rsidRDefault="00B31E28" w:rsidP="00B31E28">
            <w:pPr>
              <w:spacing w:before="60" w:line="240" w:lineRule="auto"/>
              <w:rPr>
                <w:color w:val="auto"/>
                <w:sz w:val="20"/>
                <w:szCs w:val="20"/>
              </w:rPr>
            </w:pPr>
            <w:r w:rsidRPr="00A9330B">
              <w:rPr>
                <w:color w:val="auto"/>
                <w:sz w:val="20"/>
                <w:szCs w:val="20"/>
              </w:rPr>
              <w:t xml:space="preserve">Faible </w:t>
            </w:r>
          </w:p>
        </w:tc>
        <w:tc>
          <w:tcPr>
            <w:tcW w:w="2641" w:type="dxa"/>
          </w:tcPr>
          <w:p w14:paraId="2680A5AA" w14:textId="77777777" w:rsidR="00B31E28" w:rsidRPr="00A9330B" w:rsidRDefault="00B31E28" w:rsidP="000F7BA7">
            <w:pPr>
              <w:spacing w:before="60" w:line="240" w:lineRule="auto"/>
              <w:jc w:val="both"/>
              <w:rPr>
                <w:color w:val="auto"/>
                <w:sz w:val="20"/>
                <w:szCs w:val="20"/>
              </w:rPr>
            </w:pPr>
            <w:r w:rsidRPr="00A9330B">
              <w:rPr>
                <w:color w:val="auto"/>
                <w:sz w:val="20"/>
                <w:szCs w:val="20"/>
              </w:rPr>
              <w:t>2.3.a.3.1. Mettre en œuvre un mode adéquat de gestion des déchets solides</w:t>
            </w:r>
          </w:p>
        </w:tc>
        <w:tc>
          <w:tcPr>
            <w:tcW w:w="2194" w:type="dxa"/>
          </w:tcPr>
          <w:p w14:paraId="3060208F" w14:textId="77777777" w:rsidR="00B31E28" w:rsidRPr="00A9330B" w:rsidRDefault="00B31E28" w:rsidP="00B31E28">
            <w:pPr>
              <w:spacing w:before="60" w:line="240" w:lineRule="auto"/>
              <w:rPr>
                <w:color w:val="auto"/>
                <w:sz w:val="20"/>
                <w:szCs w:val="20"/>
              </w:rPr>
            </w:pPr>
          </w:p>
        </w:tc>
      </w:tr>
      <w:tr w:rsidR="00B31E28" w:rsidRPr="00A9330B" w14:paraId="0F515CE5" w14:textId="77777777" w:rsidTr="00350C9E">
        <w:tc>
          <w:tcPr>
            <w:tcW w:w="2425" w:type="dxa"/>
            <w:vMerge w:val="restart"/>
          </w:tcPr>
          <w:p w14:paraId="5CE96898" w14:textId="77777777" w:rsidR="00B31E28" w:rsidRPr="00A9330B" w:rsidRDefault="00B31E28" w:rsidP="00B31E28">
            <w:pPr>
              <w:widowControl w:val="0"/>
              <w:tabs>
                <w:tab w:val="left" w:pos="426"/>
                <w:tab w:val="left" w:pos="851"/>
                <w:tab w:val="left" w:pos="1134"/>
              </w:tabs>
              <w:overflowPunct w:val="0"/>
              <w:autoSpaceDE w:val="0"/>
              <w:autoSpaceDN w:val="0"/>
              <w:adjustRightInd w:val="0"/>
              <w:spacing w:before="60" w:line="240" w:lineRule="auto"/>
              <w:textAlignment w:val="baseline"/>
              <w:rPr>
                <w:color w:val="auto"/>
                <w:sz w:val="20"/>
                <w:szCs w:val="20"/>
              </w:rPr>
            </w:pPr>
          </w:p>
          <w:p w14:paraId="015E6910" w14:textId="77777777" w:rsidR="00B31E28" w:rsidRPr="00A9330B" w:rsidRDefault="00B31E28" w:rsidP="00B31E28">
            <w:pPr>
              <w:spacing w:before="60" w:line="240" w:lineRule="auto"/>
              <w:rPr>
                <w:color w:val="auto"/>
                <w:sz w:val="20"/>
                <w:szCs w:val="20"/>
              </w:rPr>
            </w:pPr>
            <w:r w:rsidRPr="00A9330B">
              <w:rPr>
                <w:color w:val="auto"/>
                <w:sz w:val="20"/>
                <w:szCs w:val="20"/>
              </w:rPr>
              <w:t xml:space="preserve">2.4. Aménagement des déviations </w:t>
            </w:r>
          </w:p>
        </w:tc>
        <w:tc>
          <w:tcPr>
            <w:tcW w:w="2193" w:type="dxa"/>
            <w:vMerge/>
          </w:tcPr>
          <w:p w14:paraId="1DF13620" w14:textId="77777777" w:rsidR="00B31E28" w:rsidRPr="00A9330B" w:rsidRDefault="00B31E28" w:rsidP="00B31E28">
            <w:pPr>
              <w:spacing w:before="60" w:line="240" w:lineRule="auto"/>
              <w:rPr>
                <w:color w:val="auto"/>
                <w:sz w:val="20"/>
                <w:szCs w:val="20"/>
              </w:rPr>
            </w:pPr>
          </w:p>
        </w:tc>
        <w:tc>
          <w:tcPr>
            <w:tcW w:w="2595" w:type="dxa"/>
          </w:tcPr>
          <w:p w14:paraId="49B61CA7" w14:textId="77777777" w:rsidR="00B31E28" w:rsidRPr="00A9330B" w:rsidRDefault="00B31E28" w:rsidP="000F7BA7">
            <w:pPr>
              <w:spacing w:before="60" w:line="240" w:lineRule="auto"/>
              <w:jc w:val="both"/>
              <w:rPr>
                <w:color w:val="auto"/>
                <w:sz w:val="20"/>
                <w:szCs w:val="20"/>
              </w:rPr>
            </w:pPr>
            <w:r w:rsidRPr="00A9330B">
              <w:rPr>
                <w:color w:val="auto"/>
                <w:sz w:val="20"/>
                <w:szCs w:val="20"/>
              </w:rPr>
              <w:t>2.4.a.1. Destruction de la flore et de la faune dans l’emprise des déviations identifiées</w:t>
            </w:r>
          </w:p>
        </w:tc>
        <w:tc>
          <w:tcPr>
            <w:tcW w:w="1523" w:type="dxa"/>
            <w:vAlign w:val="center"/>
          </w:tcPr>
          <w:p w14:paraId="6A760C64" w14:textId="77777777" w:rsidR="00B31E28" w:rsidRPr="00A9330B" w:rsidRDefault="00B31E28" w:rsidP="00B31E28">
            <w:pPr>
              <w:spacing w:before="60" w:line="240" w:lineRule="auto"/>
              <w:rPr>
                <w:color w:val="auto"/>
                <w:sz w:val="20"/>
                <w:szCs w:val="20"/>
              </w:rPr>
            </w:pPr>
            <w:r w:rsidRPr="00A9330B">
              <w:rPr>
                <w:color w:val="auto"/>
                <w:sz w:val="20"/>
                <w:szCs w:val="20"/>
              </w:rPr>
              <w:t xml:space="preserve">Faible </w:t>
            </w:r>
          </w:p>
        </w:tc>
        <w:tc>
          <w:tcPr>
            <w:tcW w:w="2641" w:type="dxa"/>
          </w:tcPr>
          <w:p w14:paraId="4DC6590E" w14:textId="77777777" w:rsidR="00B31E28" w:rsidRPr="00A9330B" w:rsidRDefault="00B31E28" w:rsidP="000F7BA7">
            <w:pPr>
              <w:spacing w:before="60" w:line="240" w:lineRule="auto"/>
              <w:jc w:val="both"/>
              <w:rPr>
                <w:color w:val="auto"/>
                <w:sz w:val="20"/>
                <w:szCs w:val="20"/>
              </w:rPr>
            </w:pPr>
            <w:r w:rsidRPr="00A9330B">
              <w:rPr>
                <w:color w:val="auto"/>
                <w:sz w:val="20"/>
                <w:szCs w:val="20"/>
              </w:rPr>
              <w:t>2.4.a.1.1. Elaborer  et mettre en œuvre un plan de reboisement en compensation sur un site à identifier par l’entreprise</w:t>
            </w:r>
            <w:r w:rsidRPr="00A9330B" w:rsidDel="00136590">
              <w:rPr>
                <w:color w:val="auto"/>
                <w:sz w:val="20"/>
                <w:szCs w:val="20"/>
              </w:rPr>
              <w:t xml:space="preserve"> </w:t>
            </w:r>
          </w:p>
        </w:tc>
        <w:tc>
          <w:tcPr>
            <w:tcW w:w="2194" w:type="dxa"/>
          </w:tcPr>
          <w:p w14:paraId="4D534A2C" w14:textId="77777777" w:rsidR="00B31E28" w:rsidRPr="00A9330B" w:rsidRDefault="00B31E28" w:rsidP="00B31E28">
            <w:pPr>
              <w:spacing w:before="60" w:line="240" w:lineRule="auto"/>
              <w:rPr>
                <w:color w:val="auto"/>
                <w:sz w:val="20"/>
                <w:szCs w:val="20"/>
              </w:rPr>
            </w:pPr>
          </w:p>
        </w:tc>
      </w:tr>
      <w:tr w:rsidR="00B31E28" w:rsidRPr="00A9330B" w14:paraId="6362E668" w14:textId="77777777" w:rsidTr="00350C9E">
        <w:tc>
          <w:tcPr>
            <w:tcW w:w="2425" w:type="dxa"/>
            <w:vMerge/>
          </w:tcPr>
          <w:p w14:paraId="3F6567AD" w14:textId="77777777" w:rsidR="00B31E28" w:rsidRPr="00A9330B" w:rsidRDefault="00B31E28" w:rsidP="00B31E28">
            <w:pPr>
              <w:spacing w:before="60" w:line="240" w:lineRule="auto"/>
              <w:rPr>
                <w:color w:val="auto"/>
                <w:sz w:val="20"/>
                <w:szCs w:val="20"/>
              </w:rPr>
            </w:pPr>
          </w:p>
        </w:tc>
        <w:tc>
          <w:tcPr>
            <w:tcW w:w="2193" w:type="dxa"/>
            <w:vMerge/>
          </w:tcPr>
          <w:p w14:paraId="30473150" w14:textId="77777777" w:rsidR="00B31E28" w:rsidRPr="00A9330B" w:rsidRDefault="00B31E28" w:rsidP="00B31E28">
            <w:pPr>
              <w:spacing w:before="60" w:line="240" w:lineRule="auto"/>
              <w:rPr>
                <w:color w:val="auto"/>
                <w:sz w:val="20"/>
                <w:szCs w:val="20"/>
              </w:rPr>
            </w:pPr>
          </w:p>
        </w:tc>
        <w:tc>
          <w:tcPr>
            <w:tcW w:w="2595" w:type="dxa"/>
            <w:vMerge w:val="restart"/>
          </w:tcPr>
          <w:p w14:paraId="363B9F42" w14:textId="77777777" w:rsidR="00B31E28" w:rsidRPr="00A9330B" w:rsidRDefault="00B31E28" w:rsidP="000F7BA7">
            <w:pPr>
              <w:spacing w:before="60" w:line="240" w:lineRule="auto"/>
              <w:jc w:val="both"/>
              <w:rPr>
                <w:color w:val="auto"/>
                <w:sz w:val="20"/>
                <w:szCs w:val="20"/>
              </w:rPr>
            </w:pPr>
            <w:r w:rsidRPr="00A9330B">
              <w:rPr>
                <w:color w:val="auto"/>
                <w:sz w:val="20"/>
                <w:szCs w:val="20"/>
              </w:rPr>
              <w:t>2.4.a.2. Pollution atmosphérique émises par les particules dans l’air</w:t>
            </w:r>
          </w:p>
        </w:tc>
        <w:tc>
          <w:tcPr>
            <w:tcW w:w="1523" w:type="dxa"/>
            <w:vMerge w:val="restart"/>
            <w:vAlign w:val="center"/>
          </w:tcPr>
          <w:p w14:paraId="28596E9C" w14:textId="77777777" w:rsidR="00B31E28" w:rsidRPr="00A9330B" w:rsidRDefault="00B31E28" w:rsidP="00B31E28">
            <w:pPr>
              <w:spacing w:before="60" w:line="240" w:lineRule="auto"/>
              <w:rPr>
                <w:color w:val="auto"/>
                <w:sz w:val="20"/>
                <w:szCs w:val="20"/>
              </w:rPr>
            </w:pPr>
            <w:r w:rsidRPr="00A9330B">
              <w:rPr>
                <w:color w:val="auto"/>
                <w:sz w:val="20"/>
                <w:szCs w:val="20"/>
              </w:rPr>
              <w:t xml:space="preserve">Faible </w:t>
            </w:r>
          </w:p>
        </w:tc>
        <w:tc>
          <w:tcPr>
            <w:tcW w:w="2641" w:type="dxa"/>
          </w:tcPr>
          <w:p w14:paraId="09F52307" w14:textId="77777777" w:rsidR="00B31E28" w:rsidRPr="00A9330B" w:rsidRDefault="00B31E28" w:rsidP="000F7BA7">
            <w:pPr>
              <w:spacing w:before="40" w:line="240" w:lineRule="auto"/>
              <w:jc w:val="both"/>
              <w:rPr>
                <w:color w:val="auto"/>
                <w:sz w:val="20"/>
                <w:szCs w:val="20"/>
              </w:rPr>
            </w:pPr>
            <w:r w:rsidRPr="00A9330B">
              <w:rPr>
                <w:color w:val="auto"/>
                <w:sz w:val="20"/>
                <w:szCs w:val="20"/>
              </w:rPr>
              <w:t xml:space="preserve">2.4.a.2.1.  Doter le personnel de chantier des équipements de protection individuels (EPI) et veiller à leur port effectif </w:t>
            </w:r>
          </w:p>
        </w:tc>
        <w:tc>
          <w:tcPr>
            <w:tcW w:w="2194" w:type="dxa"/>
          </w:tcPr>
          <w:p w14:paraId="1C4D7A8B" w14:textId="77777777" w:rsidR="00B31E28" w:rsidRPr="00A9330B" w:rsidRDefault="00B31E28" w:rsidP="00B31E28">
            <w:pPr>
              <w:spacing w:before="60" w:line="240" w:lineRule="auto"/>
              <w:rPr>
                <w:color w:val="auto"/>
                <w:sz w:val="20"/>
                <w:szCs w:val="20"/>
              </w:rPr>
            </w:pPr>
          </w:p>
        </w:tc>
      </w:tr>
      <w:tr w:rsidR="00B31E28" w:rsidRPr="00A9330B" w14:paraId="7A4070F4" w14:textId="77777777" w:rsidTr="00350C9E">
        <w:tc>
          <w:tcPr>
            <w:tcW w:w="2425" w:type="dxa"/>
            <w:vMerge/>
          </w:tcPr>
          <w:p w14:paraId="642E21A9" w14:textId="77777777" w:rsidR="00B31E28" w:rsidRPr="00A9330B" w:rsidRDefault="00B31E28" w:rsidP="00B31E28">
            <w:pPr>
              <w:spacing w:before="60" w:line="240" w:lineRule="auto"/>
              <w:rPr>
                <w:color w:val="auto"/>
                <w:sz w:val="20"/>
                <w:szCs w:val="20"/>
              </w:rPr>
            </w:pPr>
          </w:p>
        </w:tc>
        <w:tc>
          <w:tcPr>
            <w:tcW w:w="2193" w:type="dxa"/>
            <w:vMerge/>
          </w:tcPr>
          <w:p w14:paraId="58CE303A" w14:textId="77777777" w:rsidR="00B31E28" w:rsidRPr="00A9330B" w:rsidRDefault="00B31E28" w:rsidP="00B31E28">
            <w:pPr>
              <w:spacing w:before="60" w:line="240" w:lineRule="auto"/>
              <w:rPr>
                <w:color w:val="auto"/>
                <w:sz w:val="20"/>
                <w:szCs w:val="20"/>
              </w:rPr>
            </w:pPr>
          </w:p>
        </w:tc>
        <w:tc>
          <w:tcPr>
            <w:tcW w:w="2595" w:type="dxa"/>
            <w:vMerge/>
          </w:tcPr>
          <w:p w14:paraId="791D071F" w14:textId="77777777" w:rsidR="00B31E28" w:rsidRPr="00A9330B" w:rsidRDefault="00B31E28" w:rsidP="00B31E28">
            <w:pPr>
              <w:spacing w:before="60" w:line="240" w:lineRule="auto"/>
              <w:rPr>
                <w:color w:val="auto"/>
                <w:sz w:val="20"/>
                <w:szCs w:val="20"/>
              </w:rPr>
            </w:pPr>
          </w:p>
        </w:tc>
        <w:tc>
          <w:tcPr>
            <w:tcW w:w="1523" w:type="dxa"/>
            <w:vMerge/>
            <w:vAlign w:val="center"/>
          </w:tcPr>
          <w:p w14:paraId="69A7193C" w14:textId="77777777" w:rsidR="00B31E28" w:rsidRPr="00A9330B" w:rsidRDefault="00B31E28" w:rsidP="00B31E28">
            <w:pPr>
              <w:spacing w:before="60" w:line="240" w:lineRule="auto"/>
              <w:rPr>
                <w:color w:val="auto"/>
                <w:sz w:val="20"/>
                <w:szCs w:val="20"/>
              </w:rPr>
            </w:pPr>
          </w:p>
        </w:tc>
        <w:tc>
          <w:tcPr>
            <w:tcW w:w="2641" w:type="dxa"/>
          </w:tcPr>
          <w:p w14:paraId="4A7FFF11" w14:textId="77777777" w:rsidR="00B31E28" w:rsidRPr="00A9330B" w:rsidRDefault="00B31E28" w:rsidP="00B31E28">
            <w:pPr>
              <w:spacing w:before="40" w:line="240" w:lineRule="auto"/>
              <w:rPr>
                <w:color w:val="auto"/>
                <w:sz w:val="20"/>
                <w:szCs w:val="20"/>
              </w:rPr>
            </w:pPr>
            <w:r w:rsidRPr="00A9330B">
              <w:rPr>
                <w:color w:val="auto"/>
                <w:sz w:val="20"/>
                <w:szCs w:val="20"/>
              </w:rPr>
              <w:t>2.4.a.2.2. Arroser les voies de déviations</w:t>
            </w:r>
          </w:p>
        </w:tc>
        <w:tc>
          <w:tcPr>
            <w:tcW w:w="2194" w:type="dxa"/>
          </w:tcPr>
          <w:p w14:paraId="2B691B13" w14:textId="77777777" w:rsidR="00B31E28" w:rsidRPr="00A9330B" w:rsidRDefault="00B31E28" w:rsidP="00B31E28">
            <w:pPr>
              <w:spacing w:before="60" w:line="240" w:lineRule="auto"/>
              <w:rPr>
                <w:color w:val="auto"/>
                <w:sz w:val="20"/>
                <w:szCs w:val="20"/>
              </w:rPr>
            </w:pPr>
          </w:p>
        </w:tc>
      </w:tr>
      <w:tr w:rsidR="00B31E28" w:rsidRPr="00A9330B" w14:paraId="7FF24B6E" w14:textId="77777777" w:rsidTr="00350C9E">
        <w:tc>
          <w:tcPr>
            <w:tcW w:w="2425" w:type="dxa"/>
            <w:vMerge/>
          </w:tcPr>
          <w:p w14:paraId="153A44AB" w14:textId="77777777" w:rsidR="00B31E28" w:rsidRPr="00A9330B" w:rsidRDefault="00B31E28" w:rsidP="00B31E28">
            <w:pPr>
              <w:spacing w:before="60" w:line="240" w:lineRule="auto"/>
              <w:rPr>
                <w:color w:val="auto"/>
                <w:sz w:val="20"/>
                <w:szCs w:val="20"/>
              </w:rPr>
            </w:pPr>
          </w:p>
        </w:tc>
        <w:tc>
          <w:tcPr>
            <w:tcW w:w="2193" w:type="dxa"/>
            <w:vMerge/>
          </w:tcPr>
          <w:p w14:paraId="776909B1" w14:textId="77777777" w:rsidR="00B31E28" w:rsidRPr="00A9330B" w:rsidRDefault="00B31E28" w:rsidP="00B31E28">
            <w:pPr>
              <w:spacing w:before="60" w:line="240" w:lineRule="auto"/>
              <w:rPr>
                <w:color w:val="auto"/>
                <w:sz w:val="20"/>
                <w:szCs w:val="20"/>
              </w:rPr>
            </w:pPr>
          </w:p>
        </w:tc>
        <w:tc>
          <w:tcPr>
            <w:tcW w:w="2595" w:type="dxa"/>
          </w:tcPr>
          <w:p w14:paraId="13A5C6A3" w14:textId="77777777" w:rsidR="00B31E28" w:rsidRPr="00A9330B" w:rsidRDefault="00B31E28" w:rsidP="00B31E28">
            <w:pPr>
              <w:spacing w:before="60" w:line="240" w:lineRule="auto"/>
              <w:rPr>
                <w:color w:val="auto"/>
                <w:sz w:val="20"/>
                <w:szCs w:val="20"/>
              </w:rPr>
            </w:pPr>
            <w:r w:rsidRPr="00A9330B">
              <w:rPr>
                <w:color w:val="auto"/>
                <w:sz w:val="20"/>
                <w:szCs w:val="20"/>
              </w:rPr>
              <w:t>2.4.a.3. Nuisance sonore</w:t>
            </w:r>
          </w:p>
        </w:tc>
        <w:tc>
          <w:tcPr>
            <w:tcW w:w="1523" w:type="dxa"/>
            <w:vAlign w:val="center"/>
          </w:tcPr>
          <w:p w14:paraId="59C20E17" w14:textId="77777777" w:rsidR="00B31E28" w:rsidRPr="00A9330B" w:rsidRDefault="00B31E28" w:rsidP="00B31E28">
            <w:pPr>
              <w:spacing w:before="60" w:line="240" w:lineRule="auto"/>
              <w:rPr>
                <w:color w:val="auto"/>
                <w:sz w:val="20"/>
                <w:szCs w:val="20"/>
              </w:rPr>
            </w:pPr>
            <w:r w:rsidRPr="00A9330B">
              <w:rPr>
                <w:color w:val="auto"/>
                <w:sz w:val="20"/>
                <w:szCs w:val="20"/>
              </w:rPr>
              <w:t xml:space="preserve">Faible </w:t>
            </w:r>
          </w:p>
        </w:tc>
        <w:tc>
          <w:tcPr>
            <w:tcW w:w="2641" w:type="dxa"/>
          </w:tcPr>
          <w:p w14:paraId="04A36F03" w14:textId="77777777" w:rsidR="00B31E28" w:rsidRPr="00A9330B" w:rsidRDefault="00B31E28" w:rsidP="00B31E28">
            <w:pPr>
              <w:spacing w:before="40" w:line="240" w:lineRule="auto"/>
              <w:rPr>
                <w:color w:val="auto"/>
                <w:sz w:val="20"/>
                <w:szCs w:val="20"/>
              </w:rPr>
            </w:pPr>
            <w:r w:rsidRPr="00A9330B">
              <w:rPr>
                <w:color w:val="auto"/>
                <w:sz w:val="20"/>
                <w:szCs w:val="20"/>
              </w:rPr>
              <w:t xml:space="preserve">2.4.a.3.1. Doter le personnel de chantier des équipements de protection </w:t>
            </w:r>
            <w:r w:rsidRPr="00A9330B">
              <w:rPr>
                <w:color w:val="auto"/>
                <w:sz w:val="20"/>
                <w:szCs w:val="20"/>
              </w:rPr>
              <w:lastRenderedPageBreak/>
              <w:t xml:space="preserve">individuels (EPI) et veiller à leur port effectif </w:t>
            </w:r>
          </w:p>
        </w:tc>
        <w:tc>
          <w:tcPr>
            <w:tcW w:w="2194" w:type="dxa"/>
          </w:tcPr>
          <w:p w14:paraId="0CE673BA" w14:textId="77777777" w:rsidR="00B31E28" w:rsidRPr="00A9330B" w:rsidRDefault="00B31E28" w:rsidP="00B31E28">
            <w:pPr>
              <w:spacing w:before="60" w:line="240" w:lineRule="auto"/>
              <w:rPr>
                <w:color w:val="auto"/>
                <w:sz w:val="20"/>
                <w:szCs w:val="20"/>
              </w:rPr>
            </w:pPr>
          </w:p>
        </w:tc>
      </w:tr>
      <w:tr w:rsidR="00B31E28" w:rsidRPr="00A9330B" w14:paraId="1E57392F" w14:textId="77777777" w:rsidTr="00350C9E">
        <w:tc>
          <w:tcPr>
            <w:tcW w:w="2425" w:type="dxa"/>
            <w:vMerge/>
          </w:tcPr>
          <w:p w14:paraId="0D44C941" w14:textId="77777777" w:rsidR="00B31E28" w:rsidRPr="00A9330B" w:rsidRDefault="00B31E28" w:rsidP="00B31E28">
            <w:pPr>
              <w:spacing w:before="60" w:line="240" w:lineRule="auto"/>
              <w:rPr>
                <w:color w:val="auto"/>
                <w:sz w:val="20"/>
                <w:szCs w:val="20"/>
              </w:rPr>
            </w:pPr>
          </w:p>
        </w:tc>
        <w:tc>
          <w:tcPr>
            <w:tcW w:w="2193" w:type="dxa"/>
            <w:vMerge/>
          </w:tcPr>
          <w:p w14:paraId="22E973B2" w14:textId="77777777" w:rsidR="00B31E28" w:rsidRPr="00A9330B" w:rsidRDefault="00B31E28" w:rsidP="00B31E28">
            <w:pPr>
              <w:spacing w:before="60" w:line="240" w:lineRule="auto"/>
              <w:rPr>
                <w:color w:val="auto"/>
                <w:sz w:val="20"/>
                <w:szCs w:val="20"/>
              </w:rPr>
            </w:pPr>
          </w:p>
        </w:tc>
        <w:tc>
          <w:tcPr>
            <w:tcW w:w="2595" w:type="dxa"/>
            <w:vMerge w:val="restart"/>
          </w:tcPr>
          <w:p w14:paraId="7108262A" w14:textId="77777777" w:rsidR="00B31E28" w:rsidRPr="00A9330B" w:rsidRDefault="00B31E28" w:rsidP="000F7BA7">
            <w:pPr>
              <w:spacing w:before="60" w:line="240" w:lineRule="auto"/>
              <w:jc w:val="both"/>
              <w:rPr>
                <w:color w:val="auto"/>
                <w:sz w:val="20"/>
                <w:szCs w:val="20"/>
              </w:rPr>
            </w:pPr>
            <w:r w:rsidRPr="00A9330B">
              <w:rPr>
                <w:color w:val="auto"/>
                <w:sz w:val="20"/>
                <w:szCs w:val="20"/>
              </w:rPr>
              <w:t xml:space="preserve">2.4.a.4. Accidents dus aux travaux d’aménagement des déviations </w:t>
            </w:r>
          </w:p>
        </w:tc>
        <w:tc>
          <w:tcPr>
            <w:tcW w:w="1523" w:type="dxa"/>
            <w:vMerge w:val="restart"/>
          </w:tcPr>
          <w:p w14:paraId="60AD036E" w14:textId="77777777" w:rsidR="00B31E28" w:rsidRPr="00A9330B" w:rsidRDefault="00B31E28" w:rsidP="00B31E28">
            <w:pPr>
              <w:spacing w:before="60" w:line="240" w:lineRule="auto"/>
              <w:rPr>
                <w:color w:val="auto"/>
                <w:sz w:val="20"/>
                <w:szCs w:val="20"/>
              </w:rPr>
            </w:pPr>
            <w:r w:rsidRPr="00A9330B">
              <w:rPr>
                <w:color w:val="auto"/>
                <w:sz w:val="20"/>
                <w:szCs w:val="20"/>
              </w:rPr>
              <w:t>Faible</w:t>
            </w:r>
          </w:p>
        </w:tc>
        <w:tc>
          <w:tcPr>
            <w:tcW w:w="2641" w:type="dxa"/>
          </w:tcPr>
          <w:p w14:paraId="68697BA2" w14:textId="77777777" w:rsidR="00B31E28" w:rsidRPr="00A9330B" w:rsidRDefault="00B31E28" w:rsidP="000F7BA7">
            <w:pPr>
              <w:spacing w:before="60" w:line="240" w:lineRule="auto"/>
              <w:jc w:val="both"/>
              <w:rPr>
                <w:color w:val="auto"/>
                <w:sz w:val="20"/>
                <w:szCs w:val="20"/>
              </w:rPr>
            </w:pPr>
            <w:r w:rsidRPr="00A9330B">
              <w:rPr>
                <w:color w:val="auto"/>
                <w:sz w:val="20"/>
                <w:szCs w:val="20"/>
              </w:rPr>
              <w:t xml:space="preserve">2.4.a.4.1. Mettre des panneaux de signalisation dans les zones de travaux </w:t>
            </w:r>
          </w:p>
        </w:tc>
        <w:tc>
          <w:tcPr>
            <w:tcW w:w="2194" w:type="dxa"/>
          </w:tcPr>
          <w:p w14:paraId="31B8EC8A" w14:textId="77777777" w:rsidR="00B31E28" w:rsidRPr="00A9330B" w:rsidRDefault="00B31E28" w:rsidP="00B31E28">
            <w:pPr>
              <w:spacing w:before="60" w:line="240" w:lineRule="auto"/>
              <w:rPr>
                <w:color w:val="auto"/>
                <w:sz w:val="20"/>
                <w:szCs w:val="20"/>
              </w:rPr>
            </w:pPr>
          </w:p>
        </w:tc>
      </w:tr>
      <w:tr w:rsidR="00B31E28" w:rsidRPr="00A9330B" w14:paraId="5807BCCB" w14:textId="77777777" w:rsidTr="00350C9E">
        <w:tc>
          <w:tcPr>
            <w:tcW w:w="2425" w:type="dxa"/>
            <w:vMerge/>
          </w:tcPr>
          <w:p w14:paraId="13398BC1" w14:textId="77777777" w:rsidR="00B31E28" w:rsidRPr="00A9330B" w:rsidRDefault="00B31E28" w:rsidP="00B31E28">
            <w:pPr>
              <w:spacing w:before="60" w:line="240" w:lineRule="auto"/>
              <w:rPr>
                <w:color w:val="auto"/>
                <w:sz w:val="20"/>
                <w:szCs w:val="20"/>
              </w:rPr>
            </w:pPr>
          </w:p>
        </w:tc>
        <w:tc>
          <w:tcPr>
            <w:tcW w:w="2193" w:type="dxa"/>
            <w:vMerge/>
          </w:tcPr>
          <w:p w14:paraId="21B33020" w14:textId="77777777" w:rsidR="00B31E28" w:rsidRPr="00A9330B" w:rsidRDefault="00B31E28" w:rsidP="00B31E28">
            <w:pPr>
              <w:spacing w:before="60" w:line="240" w:lineRule="auto"/>
              <w:rPr>
                <w:color w:val="auto"/>
                <w:sz w:val="20"/>
                <w:szCs w:val="20"/>
              </w:rPr>
            </w:pPr>
          </w:p>
        </w:tc>
        <w:tc>
          <w:tcPr>
            <w:tcW w:w="2595" w:type="dxa"/>
            <w:vMerge/>
          </w:tcPr>
          <w:p w14:paraId="7249FA43" w14:textId="77777777" w:rsidR="00B31E28" w:rsidRPr="00A9330B" w:rsidRDefault="00B31E28" w:rsidP="000F7BA7">
            <w:pPr>
              <w:spacing w:before="60" w:line="240" w:lineRule="auto"/>
              <w:jc w:val="both"/>
              <w:rPr>
                <w:color w:val="auto"/>
                <w:sz w:val="20"/>
                <w:szCs w:val="20"/>
              </w:rPr>
            </w:pPr>
          </w:p>
        </w:tc>
        <w:tc>
          <w:tcPr>
            <w:tcW w:w="1523" w:type="dxa"/>
            <w:vMerge/>
          </w:tcPr>
          <w:p w14:paraId="1B12D6DA" w14:textId="77777777" w:rsidR="00B31E28" w:rsidRPr="00A9330B" w:rsidRDefault="00B31E28" w:rsidP="00B31E28">
            <w:pPr>
              <w:spacing w:before="60" w:line="240" w:lineRule="auto"/>
              <w:rPr>
                <w:color w:val="auto"/>
                <w:sz w:val="20"/>
                <w:szCs w:val="20"/>
              </w:rPr>
            </w:pPr>
          </w:p>
        </w:tc>
        <w:tc>
          <w:tcPr>
            <w:tcW w:w="2641" w:type="dxa"/>
          </w:tcPr>
          <w:p w14:paraId="3CC91C12" w14:textId="77777777" w:rsidR="00B31E28" w:rsidRPr="00A9330B" w:rsidRDefault="00B31E28" w:rsidP="000F7BA7">
            <w:pPr>
              <w:spacing w:before="60" w:line="240" w:lineRule="auto"/>
              <w:jc w:val="both"/>
              <w:rPr>
                <w:color w:val="auto"/>
                <w:sz w:val="20"/>
                <w:szCs w:val="20"/>
              </w:rPr>
            </w:pPr>
            <w:r w:rsidRPr="00A9330B">
              <w:rPr>
                <w:color w:val="auto"/>
                <w:sz w:val="20"/>
                <w:szCs w:val="20"/>
              </w:rPr>
              <w:t>2.4.a.4.2. Mettre en place un dispositif de régulation de la circulation</w:t>
            </w:r>
          </w:p>
        </w:tc>
        <w:tc>
          <w:tcPr>
            <w:tcW w:w="2194" w:type="dxa"/>
          </w:tcPr>
          <w:p w14:paraId="0A46C532" w14:textId="77777777" w:rsidR="00B31E28" w:rsidRPr="00A9330B" w:rsidRDefault="00B31E28" w:rsidP="00B31E28">
            <w:pPr>
              <w:spacing w:before="60" w:line="240" w:lineRule="auto"/>
              <w:rPr>
                <w:color w:val="auto"/>
                <w:sz w:val="20"/>
                <w:szCs w:val="20"/>
              </w:rPr>
            </w:pPr>
          </w:p>
        </w:tc>
      </w:tr>
      <w:tr w:rsidR="00B31E28" w:rsidRPr="00A9330B" w14:paraId="16F25A22" w14:textId="77777777" w:rsidTr="00350C9E">
        <w:tc>
          <w:tcPr>
            <w:tcW w:w="2425" w:type="dxa"/>
            <w:vMerge w:val="restart"/>
          </w:tcPr>
          <w:p w14:paraId="3BE2A957" w14:textId="77777777" w:rsidR="00B31E28" w:rsidRPr="00A9330B" w:rsidRDefault="00B31E28" w:rsidP="00B31E28">
            <w:pPr>
              <w:spacing w:before="60" w:line="240" w:lineRule="auto"/>
              <w:rPr>
                <w:color w:val="auto"/>
                <w:sz w:val="20"/>
                <w:szCs w:val="20"/>
              </w:rPr>
            </w:pPr>
            <w:r w:rsidRPr="00A9330B">
              <w:rPr>
                <w:color w:val="auto"/>
                <w:sz w:val="20"/>
                <w:szCs w:val="20"/>
              </w:rPr>
              <w:t>2.5. Transports et circulation de la machinerie et des équipements</w:t>
            </w:r>
          </w:p>
        </w:tc>
        <w:tc>
          <w:tcPr>
            <w:tcW w:w="2193" w:type="dxa"/>
            <w:vMerge w:val="restart"/>
          </w:tcPr>
          <w:p w14:paraId="0187302C" w14:textId="77777777" w:rsidR="00B31E28" w:rsidRPr="00A9330B" w:rsidRDefault="00B31E28" w:rsidP="00B31E28">
            <w:pPr>
              <w:spacing w:before="60" w:line="240" w:lineRule="auto"/>
              <w:rPr>
                <w:color w:val="auto"/>
                <w:sz w:val="20"/>
                <w:szCs w:val="20"/>
              </w:rPr>
            </w:pPr>
          </w:p>
        </w:tc>
        <w:tc>
          <w:tcPr>
            <w:tcW w:w="2595" w:type="dxa"/>
            <w:vMerge w:val="restart"/>
          </w:tcPr>
          <w:p w14:paraId="3A4FB8FD" w14:textId="77777777" w:rsidR="00B31E28" w:rsidRPr="00A9330B" w:rsidRDefault="00B31E28" w:rsidP="000F7BA7">
            <w:pPr>
              <w:spacing w:before="60" w:line="240" w:lineRule="auto"/>
              <w:jc w:val="both"/>
              <w:rPr>
                <w:color w:val="auto"/>
                <w:sz w:val="20"/>
                <w:szCs w:val="20"/>
              </w:rPr>
            </w:pPr>
            <w:r w:rsidRPr="00A9330B">
              <w:rPr>
                <w:color w:val="auto"/>
                <w:sz w:val="20"/>
                <w:szCs w:val="20"/>
              </w:rPr>
              <w:t>2.5.a.1. Pollution atmosphérique émises par les particules dans l’air de par les moteurs (fumées)</w:t>
            </w:r>
          </w:p>
        </w:tc>
        <w:tc>
          <w:tcPr>
            <w:tcW w:w="1523" w:type="dxa"/>
            <w:vMerge w:val="restart"/>
            <w:vAlign w:val="center"/>
          </w:tcPr>
          <w:p w14:paraId="1F7893CF" w14:textId="77777777" w:rsidR="00B31E28" w:rsidRPr="00A9330B" w:rsidRDefault="00B31E28" w:rsidP="00B31E28">
            <w:pPr>
              <w:spacing w:before="60" w:line="240" w:lineRule="auto"/>
              <w:rPr>
                <w:color w:val="auto"/>
                <w:sz w:val="20"/>
                <w:szCs w:val="20"/>
              </w:rPr>
            </w:pPr>
            <w:r w:rsidRPr="00A9330B">
              <w:rPr>
                <w:color w:val="auto"/>
                <w:sz w:val="20"/>
                <w:szCs w:val="20"/>
              </w:rPr>
              <w:t>Moyenne</w:t>
            </w:r>
          </w:p>
        </w:tc>
        <w:tc>
          <w:tcPr>
            <w:tcW w:w="2641" w:type="dxa"/>
          </w:tcPr>
          <w:p w14:paraId="6FCB3F98" w14:textId="77777777" w:rsidR="00B31E28" w:rsidRPr="00A9330B" w:rsidRDefault="00B31E28" w:rsidP="000F7BA7">
            <w:pPr>
              <w:spacing w:before="40" w:line="240" w:lineRule="auto"/>
              <w:jc w:val="both"/>
              <w:rPr>
                <w:color w:val="auto"/>
                <w:sz w:val="20"/>
                <w:szCs w:val="20"/>
              </w:rPr>
            </w:pPr>
            <w:r w:rsidRPr="00A9330B">
              <w:rPr>
                <w:color w:val="auto"/>
                <w:sz w:val="20"/>
                <w:szCs w:val="20"/>
              </w:rPr>
              <w:t xml:space="preserve">2.5.a.1.1. Doter le personnel de chantier des équipements de protection individuels (EPI) et veiller à leur port effectif </w:t>
            </w:r>
          </w:p>
        </w:tc>
        <w:tc>
          <w:tcPr>
            <w:tcW w:w="2194" w:type="dxa"/>
          </w:tcPr>
          <w:p w14:paraId="63538A6D" w14:textId="77777777" w:rsidR="00B31E28" w:rsidRPr="00A9330B" w:rsidRDefault="00B31E28" w:rsidP="00B31E28">
            <w:pPr>
              <w:spacing w:before="60" w:line="240" w:lineRule="auto"/>
              <w:rPr>
                <w:color w:val="auto"/>
                <w:sz w:val="20"/>
                <w:szCs w:val="20"/>
              </w:rPr>
            </w:pPr>
          </w:p>
        </w:tc>
      </w:tr>
      <w:tr w:rsidR="00B31E28" w:rsidRPr="00A9330B" w14:paraId="1C533091" w14:textId="77777777" w:rsidTr="00350C9E">
        <w:tc>
          <w:tcPr>
            <w:tcW w:w="2425" w:type="dxa"/>
            <w:vMerge/>
          </w:tcPr>
          <w:p w14:paraId="6A78785B" w14:textId="77777777" w:rsidR="00B31E28" w:rsidRPr="00A9330B" w:rsidRDefault="00B31E28" w:rsidP="00B31E28">
            <w:pPr>
              <w:spacing w:before="60" w:line="240" w:lineRule="auto"/>
              <w:rPr>
                <w:color w:val="auto"/>
                <w:sz w:val="20"/>
                <w:szCs w:val="20"/>
              </w:rPr>
            </w:pPr>
          </w:p>
        </w:tc>
        <w:tc>
          <w:tcPr>
            <w:tcW w:w="2193" w:type="dxa"/>
            <w:vMerge/>
          </w:tcPr>
          <w:p w14:paraId="2AAE2921" w14:textId="77777777" w:rsidR="00B31E28" w:rsidRPr="00A9330B" w:rsidRDefault="00B31E28" w:rsidP="00B31E28">
            <w:pPr>
              <w:spacing w:before="60" w:line="240" w:lineRule="auto"/>
              <w:rPr>
                <w:color w:val="auto"/>
                <w:sz w:val="20"/>
                <w:szCs w:val="20"/>
              </w:rPr>
            </w:pPr>
          </w:p>
        </w:tc>
        <w:tc>
          <w:tcPr>
            <w:tcW w:w="2595" w:type="dxa"/>
            <w:vMerge/>
          </w:tcPr>
          <w:p w14:paraId="766CAA4E" w14:textId="77777777" w:rsidR="00B31E28" w:rsidRPr="00A9330B" w:rsidRDefault="00B31E28" w:rsidP="000F7BA7">
            <w:pPr>
              <w:spacing w:before="60" w:line="240" w:lineRule="auto"/>
              <w:jc w:val="both"/>
              <w:rPr>
                <w:color w:val="auto"/>
                <w:sz w:val="20"/>
                <w:szCs w:val="20"/>
              </w:rPr>
            </w:pPr>
          </w:p>
        </w:tc>
        <w:tc>
          <w:tcPr>
            <w:tcW w:w="1523" w:type="dxa"/>
            <w:vMerge/>
            <w:vAlign w:val="center"/>
          </w:tcPr>
          <w:p w14:paraId="41CE71F0" w14:textId="77777777" w:rsidR="00B31E28" w:rsidRPr="00A9330B" w:rsidRDefault="00B31E28" w:rsidP="00B31E28">
            <w:pPr>
              <w:spacing w:before="60" w:line="240" w:lineRule="auto"/>
              <w:rPr>
                <w:color w:val="auto"/>
                <w:sz w:val="20"/>
                <w:szCs w:val="20"/>
              </w:rPr>
            </w:pPr>
          </w:p>
        </w:tc>
        <w:tc>
          <w:tcPr>
            <w:tcW w:w="2641" w:type="dxa"/>
          </w:tcPr>
          <w:p w14:paraId="27F5EAEA" w14:textId="77777777" w:rsidR="00B31E28" w:rsidRPr="00A9330B" w:rsidRDefault="00B31E28" w:rsidP="000F7BA7">
            <w:pPr>
              <w:spacing w:before="40" w:line="240" w:lineRule="auto"/>
              <w:jc w:val="both"/>
              <w:rPr>
                <w:color w:val="auto"/>
                <w:sz w:val="20"/>
                <w:szCs w:val="20"/>
              </w:rPr>
            </w:pPr>
            <w:r w:rsidRPr="00A9330B">
              <w:rPr>
                <w:color w:val="auto"/>
                <w:sz w:val="20"/>
                <w:szCs w:val="20"/>
              </w:rPr>
              <w:t>2.5.a.1.2. Veiller à l’entretien des engins et véhicules de chantier</w:t>
            </w:r>
          </w:p>
        </w:tc>
        <w:tc>
          <w:tcPr>
            <w:tcW w:w="2194" w:type="dxa"/>
          </w:tcPr>
          <w:p w14:paraId="2041EDF9" w14:textId="77777777" w:rsidR="00B31E28" w:rsidRPr="00A9330B" w:rsidRDefault="00B31E28" w:rsidP="00B31E28">
            <w:pPr>
              <w:spacing w:before="60" w:line="240" w:lineRule="auto"/>
              <w:rPr>
                <w:color w:val="auto"/>
                <w:sz w:val="20"/>
                <w:szCs w:val="20"/>
              </w:rPr>
            </w:pPr>
          </w:p>
        </w:tc>
      </w:tr>
      <w:tr w:rsidR="00B31E28" w:rsidRPr="00A9330B" w14:paraId="4DE3CDEA" w14:textId="77777777" w:rsidTr="00350C9E">
        <w:tc>
          <w:tcPr>
            <w:tcW w:w="2425" w:type="dxa"/>
            <w:vMerge/>
          </w:tcPr>
          <w:p w14:paraId="3E7AEC9D" w14:textId="77777777" w:rsidR="00B31E28" w:rsidRPr="00A9330B" w:rsidRDefault="00B31E28" w:rsidP="00B31E28">
            <w:pPr>
              <w:spacing w:before="60" w:line="240" w:lineRule="auto"/>
              <w:rPr>
                <w:color w:val="auto"/>
                <w:sz w:val="20"/>
                <w:szCs w:val="20"/>
              </w:rPr>
            </w:pPr>
          </w:p>
        </w:tc>
        <w:tc>
          <w:tcPr>
            <w:tcW w:w="2193" w:type="dxa"/>
            <w:vMerge/>
          </w:tcPr>
          <w:p w14:paraId="0CD416E2" w14:textId="77777777" w:rsidR="00B31E28" w:rsidRPr="00A9330B" w:rsidRDefault="00B31E28" w:rsidP="00B31E28">
            <w:pPr>
              <w:spacing w:before="60" w:line="240" w:lineRule="auto"/>
              <w:rPr>
                <w:color w:val="auto"/>
                <w:sz w:val="20"/>
                <w:szCs w:val="20"/>
              </w:rPr>
            </w:pPr>
          </w:p>
        </w:tc>
        <w:tc>
          <w:tcPr>
            <w:tcW w:w="2595" w:type="dxa"/>
            <w:vMerge w:val="restart"/>
          </w:tcPr>
          <w:p w14:paraId="3F7E9965" w14:textId="77777777" w:rsidR="00B31E28" w:rsidRPr="00A9330B" w:rsidRDefault="00B31E28" w:rsidP="000F7BA7">
            <w:pPr>
              <w:spacing w:before="60" w:line="240" w:lineRule="auto"/>
              <w:jc w:val="both"/>
              <w:rPr>
                <w:color w:val="auto"/>
                <w:sz w:val="20"/>
                <w:szCs w:val="20"/>
              </w:rPr>
            </w:pPr>
            <w:r w:rsidRPr="00A9330B">
              <w:rPr>
                <w:color w:val="auto"/>
                <w:sz w:val="20"/>
                <w:szCs w:val="20"/>
              </w:rPr>
              <w:t>2.5.a.2. Pollution sonore et vibration due au bruit des moteurs</w:t>
            </w:r>
          </w:p>
        </w:tc>
        <w:tc>
          <w:tcPr>
            <w:tcW w:w="1523" w:type="dxa"/>
            <w:vMerge w:val="restart"/>
            <w:vAlign w:val="center"/>
          </w:tcPr>
          <w:p w14:paraId="76CF817E" w14:textId="77777777" w:rsidR="00B31E28" w:rsidRPr="00A9330B" w:rsidRDefault="00B31E28" w:rsidP="00B31E28">
            <w:pPr>
              <w:spacing w:before="60" w:line="240" w:lineRule="auto"/>
              <w:rPr>
                <w:color w:val="auto"/>
                <w:sz w:val="20"/>
                <w:szCs w:val="20"/>
              </w:rPr>
            </w:pPr>
          </w:p>
          <w:p w14:paraId="11A7BBC2" w14:textId="77777777" w:rsidR="00B31E28" w:rsidRPr="00A9330B" w:rsidRDefault="00B31E28" w:rsidP="00B31E28">
            <w:pPr>
              <w:spacing w:before="60" w:line="240" w:lineRule="auto"/>
              <w:rPr>
                <w:color w:val="auto"/>
                <w:sz w:val="20"/>
                <w:szCs w:val="20"/>
              </w:rPr>
            </w:pPr>
            <w:r w:rsidRPr="00A9330B">
              <w:rPr>
                <w:color w:val="auto"/>
                <w:sz w:val="20"/>
                <w:szCs w:val="20"/>
              </w:rPr>
              <w:t xml:space="preserve">Faible </w:t>
            </w:r>
          </w:p>
        </w:tc>
        <w:tc>
          <w:tcPr>
            <w:tcW w:w="2641" w:type="dxa"/>
          </w:tcPr>
          <w:p w14:paraId="6ADAB40D" w14:textId="77777777" w:rsidR="00B31E28" w:rsidRPr="00A9330B" w:rsidRDefault="00B31E28" w:rsidP="000F7BA7">
            <w:pPr>
              <w:spacing w:before="40" w:line="240" w:lineRule="auto"/>
              <w:jc w:val="both"/>
              <w:rPr>
                <w:color w:val="auto"/>
                <w:sz w:val="20"/>
                <w:szCs w:val="20"/>
              </w:rPr>
            </w:pPr>
            <w:r w:rsidRPr="00A9330B">
              <w:rPr>
                <w:color w:val="auto"/>
                <w:sz w:val="20"/>
                <w:szCs w:val="20"/>
              </w:rPr>
              <w:t xml:space="preserve">2.5.a.2.1. Doter le personnel de chantier des équipements de protection individuels (EPI) et veiller à leur port effectif </w:t>
            </w:r>
          </w:p>
        </w:tc>
        <w:tc>
          <w:tcPr>
            <w:tcW w:w="2194" w:type="dxa"/>
          </w:tcPr>
          <w:p w14:paraId="633A47DD" w14:textId="77777777" w:rsidR="00B31E28" w:rsidRPr="00A9330B" w:rsidRDefault="00B31E28" w:rsidP="00B31E28">
            <w:pPr>
              <w:spacing w:before="60" w:line="240" w:lineRule="auto"/>
              <w:rPr>
                <w:color w:val="auto"/>
                <w:sz w:val="20"/>
                <w:szCs w:val="20"/>
              </w:rPr>
            </w:pPr>
          </w:p>
        </w:tc>
      </w:tr>
      <w:tr w:rsidR="00B31E28" w:rsidRPr="00A9330B" w14:paraId="5DEDBDD9" w14:textId="77777777" w:rsidTr="00350C9E">
        <w:tc>
          <w:tcPr>
            <w:tcW w:w="2425" w:type="dxa"/>
            <w:vMerge/>
          </w:tcPr>
          <w:p w14:paraId="375F61AD" w14:textId="77777777" w:rsidR="00B31E28" w:rsidRPr="00A9330B" w:rsidRDefault="00B31E28" w:rsidP="00B31E28">
            <w:pPr>
              <w:spacing w:before="60" w:line="240" w:lineRule="auto"/>
              <w:rPr>
                <w:color w:val="auto"/>
                <w:sz w:val="20"/>
                <w:szCs w:val="20"/>
              </w:rPr>
            </w:pPr>
          </w:p>
        </w:tc>
        <w:tc>
          <w:tcPr>
            <w:tcW w:w="2193" w:type="dxa"/>
            <w:vMerge/>
          </w:tcPr>
          <w:p w14:paraId="6132F141" w14:textId="77777777" w:rsidR="00B31E28" w:rsidRPr="00A9330B" w:rsidRDefault="00B31E28" w:rsidP="00B31E28">
            <w:pPr>
              <w:spacing w:before="60" w:line="240" w:lineRule="auto"/>
              <w:rPr>
                <w:color w:val="auto"/>
                <w:sz w:val="20"/>
                <w:szCs w:val="20"/>
              </w:rPr>
            </w:pPr>
          </w:p>
        </w:tc>
        <w:tc>
          <w:tcPr>
            <w:tcW w:w="2595" w:type="dxa"/>
            <w:vMerge/>
          </w:tcPr>
          <w:p w14:paraId="7A5E286C" w14:textId="77777777" w:rsidR="00B31E28" w:rsidRPr="00A9330B" w:rsidRDefault="00B31E28" w:rsidP="000F7BA7">
            <w:pPr>
              <w:spacing w:before="60" w:line="240" w:lineRule="auto"/>
              <w:jc w:val="both"/>
              <w:rPr>
                <w:color w:val="auto"/>
                <w:sz w:val="20"/>
                <w:szCs w:val="20"/>
              </w:rPr>
            </w:pPr>
          </w:p>
        </w:tc>
        <w:tc>
          <w:tcPr>
            <w:tcW w:w="1523" w:type="dxa"/>
            <w:vMerge/>
            <w:vAlign w:val="center"/>
          </w:tcPr>
          <w:p w14:paraId="0941A0F6" w14:textId="77777777" w:rsidR="00B31E28" w:rsidRPr="00A9330B" w:rsidRDefault="00B31E28" w:rsidP="00B31E28">
            <w:pPr>
              <w:spacing w:before="60" w:line="240" w:lineRule="auto"/>
              <w:rPr>
                <w:color w:val="auto"/>
                <w:sz w:val="20"/>
                <w:szCs w:val="20"/>
              </w:rPr>
            </w:pPr>
          </w:p>
        </w:tc>
        <w:tc>
          <w:tcPr>
            <w:tcW w:w="2641" w:type="dxa"/>
          </w:tcPr>
          <w:p w14:paraId="35C8BC3C" w14:textId="77777777" w:rsidR="00B31E28" w:rsidRPr="00A9330B" w:rsidRDefault="00B31E28" w:rsidP="000F7BA7">
            <w:pPr>
              <w:spacing w:before="60" w:line="240" w:lineRule="auto"/>
              <w:jc w:val="both"/>
              <w:rPr>
                <w:color w:val="auto"/>
                <w:sz w:val="20"/>
                <w:szCs w:val="20"/>
              </w:rPr>
            </w:pPr>
            <w:r w:rsidRPr="00A9330B">
              <w:rPr>
                <w:color w:val="auto"/>
                <w:sz w:val="20"/>
                <w:szCs w:val="20"/>
              </w:rPr>
              <w:t>2.5.a.2.2. Veiller à l’entretien des engins et véhicules de chantier et respecter les tranches horaires de travail</w:t>
            </w:r>
          </w:p>
        </w:tc>
        <w:tc>
          <w:tcPr>
            <w:tcW w:w="2194" w:type="dxa"/>
          </w:tcPr>
          <w:p w14:paraId="70EA0C7B" w14:textId="77777777" w:rsidR="00B31E28" w:rsidRPr="00A9330B" w:rsidRDefault="00B31E28" w:rsidP="00B31E28">
            <w:pPr>
              <w:spacing w:before="60" w:line="240" w:lineRule="auto"/>
              <w:rPr>
                <w:color w:val="auto"/>
                <w:sz w:val="20"/>
                <w:szCs w:val="20"/>
              </w:rPr>
            </w:pPr>
          </w:p>
        </w:tc>
      </w:tr>
      <w:tr w:rsidR="00B31E28" w:rsidRPr="00A9330B" w14:paraId="248DD0A8" w14:textId="77777777" w:rsidTr="00350C9E">
        <w:tc>
          <w:tcPr>
            <w:tcW w:w="2425" w:type="dxa"/>
            <w:vMerge/>
          </w:tcPr>
          <w:p w14:paraId="04990EB8" w14:textId="77777777" w:rsidR="00B31E28" w:rsidRPr="00A9330B" w:rsidRDefault="00B31E28" w:rsidP="00B31E28">
            <w:pPr>
              <w:spacing w:before="60" w:line="240" w:lineRule="auto"/>
              <w:rPr>
                <w:color w:val="auto"/>
                <w:sz w:val="20"/>
                <w:szCs w:val="20"/>
              </w:rPr>
            </w:pPr>
          </w:p>
        </w:tc>
        <w:tc>
          <w:tcPr>
            <w:tcW w:w="2193" w:type="dxa"/>
            <w:vMerge/>
          </w:tcPr>
          <w:p w14:paraId="7ED656FF" w14:textId="77777777" w:rsidR="00B31E28" w:rsidRPr="00A9330B" w:rsidRDefault="00B31E28" w:rsidP="00B31E28">
            <w:pPr>
              <w:spacing w:before="60" w:line="240" w:lineRule="auto"/>
              <w:rPr>
                <w:color w:val="auto"/>
                <w:sz w:val="20"/>
                <w:szCs w:val="20"/>
              </w:rPr>
            </w:pPr>
          </w:p>
        </w:tc>
        <w:tc>
          <w:tcPr>
            <w:tcW w:w="2595" w:type="dxa"/>
            <w:vMerge w:val="restart"/>
          </w:tcPr>
          <w:p w14:paraId="7FD470A4" w14:textId="77777777" w:rsidR="00B31E28" w:rsidRPr="00A9330B" w:rsidRDefault="00B31E28" w:rsidP="000F7BA7">
            <w:pPr>
              <w:spacing w:before="60" w:line="240" w:lineRule="auto"/>
              <w:jc w:val="both"/>
              <w:rPr>
                <w:color w:val="auto"/>
                <w:sz w:val="20"/>
                <w:szCs w:val="20"/>
              </w:rPr>
            </w:pPr>
            <w:r w:rsidRPr="00A9330B">
              <w:rPr>
                <w:color w:val="auto"/>
                <w:sz w:val="20"/>
                <w:szCs w:val="20"/>
              </w:rPr>
              <w:t xml:space="preserve">2.5.a.3. Altération de la qualité des ressources en eaux par des déversements d’hydrocarbures provenant des zones d’entretien et de stationnement des engins motorisés du chantier ainsi </w:t>
            </w:r>
            <w:r w:rsidRPr="00A9330B">
              <w:rPr>
                <w:color w:val="auto"/>
                <w:sz w:val="20"/>
                <w:szCs w:val="20"/>
              </w:rPr>
              <w:lastRenderedPageBreak/>
              <w:t xml:space="preserve">que par les matières fines issues de l’érosion des sols et des terrassements (turbidité). </w:t>
            </w:r>
          </w:p>
        </w:tc>
        <w:tc>
          <w:tcPr>
            <w:tcW w:w="1523" w:type="dxa"/>
            <w:vMerge w:val="restart"/>
            <w:vAlign w:val="center"/>
          </w:tcPr>
          <w:p w14:paraId="13F23519" w14:textId="77777777" w:rsidR="00B31E28" w:rsidRPr="00A9330B" w:rsidRDefault="00B31E28" w:rsidP="00B31E28">
            <w:pPr>
              <w:spacing w:before="60" w:line="240" w:lineRule="auto"/>
              <w:rPr>
                <w:color w:val="auto"/>
                <w:sz w:val="20"/>
                <w:szCs w:val="20"/>
              </w:rPr>
            </w:pPr>
            <w:r w:rsidRPr="00A9330B">
              <w:rPr>
                <w:color w:val="auto"/>
                <w:sz w:val="20"/>
                <w:szCs w:val="20"/>
              </w:rPr>
              <w:lastRenderedPageBreak/>
              <w:t xml:space="preserve">Faible </w:t>
            </w:r>
          </w:p>
        </w:tc>
        <w:tc>
          <w:tcPr>
            <w:tcW w:w="2641" w:type="dxa"/>
          </w:tcPr>
          <w:p w14:paraId="4DEBBAC0" w14:textId="77777777" w:rsidR="00B31E28" w:rsidRPr="00A9330B" w:rsidRDefault="00B31E28" w:rsidP="000F7BA7">
            <w:pPr>
              <w:spacing w:before="60" w:line="240" w:lineRule="auto"/>
              <w:jc w:val="both"/>
              <w:rPr>
                <w:color w:val="auto"/>
                <w:sz w:val="20"/>
                <w:szCs w:val="20"/>
              </w:rPr>
            </w:pPr>
            <w:r w:rsidRPr="00A9330B">
              <w:rPr>
                <w:color w:val="auto"/>
                <w:sz w:val="20"/>
                <w:szCs w:val="20"/>
              </w:rPr>
              <w:t>2.5.a.3.1. Aménager des bassins de décantation dans la base vie au niveau de l’atelier mécanique, des centrales à béton et à enrobé</w:t>
            </w:r>
          </w:p>
        </w:tc>
        <w:tc>
          <w:tcPr>
            <w:tcW w:w="2194" w:type="dxa"/>
          </w:tcPr>
          <w:p w14:paraId="67683A34" w14:textId="77777777" w:rsidR="00B31E28" w:rsidRPr="00A9330B" w:rsidRDefault="00B31E28" w:rsidP="00B31E28">
            <w:pPr>
              <w:spacing w:before="60" w:line="240" w:lineRule="auto"/>
              <w:rPr>
                <w:color w:val="auto"/>
                <w:sz w:val="20"/>
                <w:szCs w:val="20"/>
              </w:rPr>
            </w:pPr>
          </w:p>
        </w:tc>
      </w:tr>
      <w:tr w:rsidR="00B31E28" w:rsidRPr="00A9330B" w14:paraId="5F446E82" w14:textId="77777777" w:rsidTr="00350C9E">
        <w:tc>
          <w:tcPr>
            <w:tcW w:w="2425" w:type="dxa"/>
            <w:vMerge/>
          </w:tcPr>
          <w:p w14:paraId="6F8A88DB" w14:textId="77777777" w:rsidR="00B31E28" w:rsidRPr="00A9330B" w:rsidRDefault="00B31E28" w:rsidP="00B31E28">
            <w:pPr>
              <w:spacing w:before="60" w:line="240" w:lineRule="auto"/>
              <w:rPr>
                <w:color w:val="auto"/>
                <w:sz w:val="20"/>
                <w:szCs w:val="20"/>
              </w:rPr>
            </w:pPr>
          </w:p>
        </w:tc>
        <w:tc>
          <w:tcPr>
            <w:tcW w:w="2193" w:type="dxa"/>
            <w:vMerge/>
          </w:tcPr>
          <w:p w14:paraId="30B132DE" w14:textId="77777777" w:rsidR="00B31E28" w:rsidRPr="00A9330B" w:rsidRDefault="00B31E28" w:rsidP="00B31E28">
            <w:pPr>
              <w:spacing w:before="60" w:line="240" w:lineRule="auto"/>
              <w:rPr>
                <w:color w:val="auto"/>
                <w:sz w:val="20"/>
                <w:szCs w:val="20"/>
              </w:rPr>
            </w:pPr>
          </w:p>
        </w:tc>
        <w:tc>
          <w:tcPr>
            <w:tcW w:w="2595" w:type="dxa"/>
            <w:vMerge/>
          </w:tcPr>
          <w:p w14:paraId="18F94B7D" w14:textId="77777777" w:rsidR="00B31E28" w:rsidRPr="00A9330B" w:rsidRDefault="00B31E28" w:rsidP="000F7BA7">
            <w:pPr>
              <w:spacing w:before="60" w:line="240" w:lineRule="auto"/>
              <w:jc w:val="both"/>
              <w:rPr>
                <w:color w:val="auto"/>
                <w:sz w:val="20"/>
                <w:szCs w:val="20"/>
              </w:rPr>
            </w:pPr>
          </w:p>
        </w:tc>
        <w:tc>
          <w:tcPr>
            <w:tcW w:w="1523" w:type="dxa"/>
            <w:vMerge/>
            <w:vAlign w:val="center"/>
          </w:tcPr>
          <w:p w14:paraId="2ED1AFE9" w14:textId="77777777" w:rsidR="00B31E28" w:rsidRPr="00A9330B" w:rsidRDefault="00B31E28" w:rsidP="00B31E28">
            <w:pPr>
              <w:spacing w:before="60" w:line="240" w:lineRule="auto"/>
              <w:rPr>
                <w:color w:val="auto"/>
                <w:sz w:val="20"/>
                <w:szCs w:val="20"/>
              </w:rPr>
            </w:pPr>
          </w:p>
        </w:tc>
        <w:tc>
          <w:tcPr>
            <w:tcW w:w="2641" w:type="dxa"/>
          </w:tcPr>
          <w:p w14:paraId="3D564BA5" w14:textId="77777777" w:rsidR="00B31E28" w:rsidRPr="00A9330B" w:rsidRDefault="00B31E28" w:rsidP="00B31E28">
            <w:pPr>
              <w:spacing w:before="60" w:line="240" w:lineRule="auto"/>
              <w:rPr>
                <w:color w:val="auto"/>
                <w:sz w:val="20"/>
                <w:szCs w:val="20"/>
              </w:rPr>
            </w:pPr>
            <w:r w:rsidRPr="00A9330B">
              <w:rPr>
                <w:color w:val="auto"/>
                <w:sz w:val="20"/>
                <w:szCs w:val="20"/>
              </w:rPr>
              <w:t xml:space="preserve">2.5.a.3.2. Aménager des aires étanches pour la </w:t>
            </w:r>
            <w:r w:rsidRPr="00A9330B">
              <w:rPr>
                <w:color w:val="auto"/>
                <w:sz w:val="20"/>
                <w:szCs w:val="20"/>
              </w:rPr>
              <w:lastRenderedPageBreak/>
              <w:t xml:space="preserve">manipulation des huiles usagées </w:t>
            </w:r>
          </w:p>
        </w:tc>
        <w:tc>
          <w:tcPr>
            <w:tcW w:w="2194" w:type="dxa"/>
          </w:tcPr>
          <w:p w14:paraId="32A0D627" w14:textId="77777777" w:rsidR="00B31E28" w:rsidRPr="00A9330B" w:rsidRDefault="00B31E28" w:rsidP="00B31E28">
            <w:pPr>
              <w:spacing w:before="60" w:line="240" w:lineRule="auto"/>
              <w:rPr>
                <w:color w:val="auto"/>
                <w:sz w:val="20"/>
                <w:szCs w:val="20"/>
              </w:rPr>
            </w:pPr>
          </w:p>
        </w:tc>
      </w:tr>
      <w:tr w:rsidR="00B31E28" w:rsidRPr="00A9330B" w14:paraId="3EE4791C" w14:textId="77777777" w:rsidTr="00350C9E">
        <w:tc>
          <w:tcPr>
            <w:tcW w:w="2425" w:type="dxa"/>
            <w:vMerge/>
          </w:tcPr>
          <w:p w14:paraId="5F5050FC" w14:textId="77777777" w:rsidR="00B31E28" w:rsidRPr="00A9330B" w:rsidRDefault="00B31E28" w:rsidP="00B31E28">
            <w:pPr>
              <w:spacing w:before="60" w:line="240" w:lineRule="auto"/>
              <w:rPr>
                <w:color w:val="auto"/>
                <w:sz w:val="20"/>
                <w:szCs w:val="20"/>
              </w:rPr>
            </w:pPr>
          </w:p>
        </w:tc>
        <w:tc>
          <w:tcPr>
            <w:tcW w:w="2193" w:type="dxa"/>
            <w:vMerge/>
          </w:tcPr>
          <w:p w14:paraId="273FB2A2" w14:textId="77777777" w:rsidR="00B31E28" w:rsidRPr="00A9330B" w:rsidRDefault="00B31E28" w:rsidP="00B31E28">
            <w:pPr>
              <w:spacing w:before="60" w:line="240" w:lineRule="auto"/>
              <w:rPr>
                <w:color w:val="auto"/>
                <w:sz w:val="20"/>
                <w:szCs w:val="20"/>
              </w:rPr>
            </w:pPr>
          </w:p>
        </w:tc>
        <w:tc>
          <w:tcPr>
            <w:tcW w:w="2595" w:type="dxa"/>
            <w:vMerge/>
          </w:tcPr>
          <w:p w14:paraId="51B4B795" w14:textId="77777777" w:rsidR="00B31E28" w:rsidRPr="00A9330B" w:rsidRDefault="00B31E28" w:rsidP="000F7BA7">
            <w:pPr>
              <w:spacing w:before="60" w:line="240" w:lineRule="auto"/>
              <w:jc w:val="both"/>
              <w:rPr>
                <w:color w:val="auto"/>
                <w:sz w:val="20"/>
                <w:szCs w:val="20"/>
              </w:rPr>
            </w:pPr>
          </w:p>
        </w:tc>
        <w:tc>
          <w:tcPr>
            <w:tcW w:w="1523" w:type="dxa"/>
            <w:vMerge/>
            <w:vAlign w:val="center"/>
          </w:tcPr>
          <w:p w14:paraId="1CF3BAF4" w14:textId="77777777" w:rsidR="00B31E28" w:rsidRPr="00A9330B" w:rsidRDefault="00B31E28" w:rsidP="00B31E28">
            <w:pPr>
              <w:spacing w:before="60" w:line="240" w:lineRule="auto"/>
              <w:rPr>
                <w:color w:val="auto"/>
                <w:sz w:val="20"/>
                <w:szCs w:val="20"/>
              </w:rPr>
            </w:pPr>
          </w:p>
        </w:tc>
        <w:tc>
          <w:tcPr>
            <w:tcW w:w="2641" w:type="dxa"/>
          </w:tcPr>
          <w:p w14:paraId="4D57E4BA" w14:textId="77777777" w:rsidR="00B31E28" w:rsidRPr="00A9330B" w:rsidRDefault="00B31E28" w:rsidP="000F7BA7">
            <w:pPr>
              <w:spacing w:before="60" w:line="240" w:lineRule="auto"/>
              <w:jc w:val="both"/>
              <w:rPr>
                <w:color w:val="auto"/>
                <w:sz w:val="20"/>
                <w:szCs w:val="20"/>
              </w:rPr>
            </w:pPr>
            <w:r w:rsidRPr="00A9330B">
              <w:rPr>
                <w:color w:val="auto"/>
                <w:sz w:val="20"/>
                <w:szCs w:val="20"/>
              </w:rPr>
              <w:t>2.5.a.3.3. Veiller à la collecte et à l’enlèvement des huiles usagées par les structures agréées</w:t>
            </w:r>
          </w:p>
        </w:tc>
        <w:tc>
          <w:tcPr>
            <w:tcW w:w="2194" w:type="dxa"/>
          </w:tcPr>
          <w:p w14:paraId="3FEE955A" w14:textId="77777777" w:rsidR="00B31E28" w:rsidRPr="00A9330B" w:rsidRDefault="00B31E28" w:rsidP="00B31E28">
            <w:pPr>
              <w:spacing w:before="60" w:line="240" w:lineRule="auto"/>
              <w:rPr>
                <w:color w:val="auto"/>
                <w:sz w:val="20"/>
                <w:szCs w:val="20"/>
              </w:rPr>
            </w:pPr>
          </w:p>
        </w:tc>
      </w:tr>
      <w:tr w:rsidR="00B31E28" w:rsidRPr="00A9330B" w14:paraId="615D51E6" w14:textId="77777777" w:rsidTr="00350C9E">
        <w:tc>
          <w:tcPr>
            <w:tcW w:w="2425" w:type="dxa"/>
            <w:vMerge/>
          </w:tcPr>
          <w:p w14:paraId="5E06F1B9" w14:textId="77777777" w:rsidR="00B31E28" w:rsidRPr="00A9330B" w:rsidRDefault="00B31E28" w:rsidP="00B31E28">
            <w:pPr>
              <w:spacing w:before="60" w:line="240" w:lineRule="auto"/>
              <w:rPr>
                <w:color w:val="auto"/>
                <w:sz w:val="20"/>
                <w:szCs w:val="20"/>
              </w:rPr>
            </w:pPr>
          </w:p>
        </w:tc>
        <w:tc>
          <w:tcPr>
            <w:tcW w:w="2193" w:type="dxa"/>
            <w:vMerge/>
          </w:tcPr>
          <w:p w14:paraId="4B743C25" w14:textId="77777777" w:rsidR="00B31E28" w:rsidRPr="00A9330B" w:rsidRDefault="00B31E28" w:rsidP="00B31E28">
            <w:pPr>
              <w:spacing w:before="60" w:line="240" w:lineRule="auto"/>
              <w:rPr>
                <w:color w:val="auto"/>
                <w:sz w:val="20"/>
                <w:szCs w:val="20"/>
              </w:rPr>
            </w:pPr>
          </w:p>
        </w:tc>
        <w:tc>
          <w:tcPr>
            <w:tcW w:w="2595" w:type="dxa"/>
          </w:tcPr>
          <w:p w14:paraId="45342D89" w14:textId="77777777" w:rsidR="00B31E28" w:rsidRPr="00A9330B" w:rsidRDefault="00B31E28" w:rsidP="000F7BA7">
            <w:pPr>
              <w:spacing w:before="60" w:line="240" w:lineRule="auto"/>
              <w:jc w:val="both"/>
              <w:rPr>
                <w:color w:val="auto"/>
                <w:sz w:val="20"/>
                <w:szCs w:val="20"/>
              </w:rPr>
            </w:pPr>
            <w:r w:rsidRPr="00A9330B">
              <w:rPr>
                <w:color w:val="auto"/>
                <w:sz w:val="20"/>
                <w:szCs w:val="20"/>
              </w:rPr>
              <w:t xml:space="preserve">2.5.a.4. Epuisement de ressources en eau source d’approvisionnement pour le chantier </w:t>
            </w:r>
          </w:p>
        </w:tc>
        <w:tc>
          <w:tcPr>
            <w:tcW w:w="1523" w:type="dxa"/>
            <w:vAlign w:val="center"/>
          </w:tcPr>
          <w:p w14:paraId="7DC3AF4A" w14:textId="77777777" w:rsidR="00B31E28" w:rsidRPr="00A9330B" w:rsidRDefault="00B31E28" w:rsidP="00B31E28">
            <w:pPr>
              <w:spacing w:before="60" w:line="240" w:lineRule="auto"/>
              <w:rPr>
                <w:color w:val="auto"/>
                <w:sz w:val="20"/>
                <w:szCs w:val="20"/>
              </w:rPr>
            </w:pPr>
            <w:r w:rsidRPr="00A9330B">
              <w:rPr>
                <w:color w:val="auto"/>
                <w:sz w:val="20"/>
                <w:szCs w:val="20"/>
              </w:rPr>
              <w:t xml:space="preserve">Faible </w:t>
            </w:r>
          </w:p>
        </w:tc>
        <w:tc>
          <w:tcPr>
            <w:tcW w:w="2641" w:type="dxa"/>
          </w:tcPr>
          <w:p w14:paraId="5728B7DF" w14:textId="77777777" w:rsidR="00B31E28" w:rsidRPr="00A9330B" w:rsidRDefault="00B31E28" w:rsidP="000F7BA7">
            <w:pPr>
              <w:spacing w:before="60" w:line="240" w:lineRule="auto"/>
              <w:jc w:val="both"/>
              <w:rPr>
                <w:color w:val="auto"/>
                <w:sz w:val="20"/>
                <w:szCs w:val="20"/>
              </w:rPr>
            </w:pPr>
            <w:r w:rsidRPr="00A9330B">
              <w:rPr>
                <w:color w:val="auto"/>
                <w:sz w:val="20"/>
                <w:szCs w:val="20"/>
              </w:rPr>
              <w:t xml:space="preserve">2.5.a.4.1.  Faire une gestion rationnelle des eaux </w:t>
            </w:r>
          </w:p>
        </w:tc>
        <w:tc>
          <w:tcPr>
            <w:tcW w:w="2194" w:type="dxa"/>
          </w:tcPr>
          <w:p w14:paraId="5022C7F1" w14:textId="77777777" w:rsidR="00B31E28" w:rsidRPr="00A9330B" w:rsidRDefault="00B31E28" w:rsidP="00B31E28">
            <w:pPr>
              <w:spacing w:before="60" w:line="240" w:lineRule="auto"/>
              <w:rPr>
                <w:color w:val="auto"/>
                <w:sz w:val="20"/>
                <w:szCs w:val="20"/>
              </w:rPr>
            </w:pPr>
          </w:p>
        </w:tc>
      </w:tr>
      <w:tr w:rsidR="00B31E28" w:rsidRPr="00A9330B" w14:paraId="3D97B577" w14:textId="77777777" w:rsidTr="00350C9E">
        <w:tc>
          <w:tcPr>
            <w:tcW w:w="2425" w:type="dxa"/>
            <w:vMerge/>
          </w:tcPr>
          <w:p w14:paraId="541BCD3B" w14:textId="77777777" w:rsidR="00B31E28" w:rsidRPr="00A9330B" w:rsidRDefault="00B31E28" w:rsidP="00B31E28">
            <w:pPr>
              <w:spacing w:before="60" w:line="240" w:lineRule="auto"/>
              <w:rPr>
                <w:color w:val="auto"/>
                <w:sz w:val="20"/>
                <w:szCs w:val="20"/>
              </w:rPr>
            </w:pPr>
          </w:p>
        </w:tc>
        <w:tc>
          <w:tcPr>
            <w:tcW w:w="2193" w:type="dxa"/>
            <w:vMerge/>
          </w:tcPr>
          <w:p w14:paraId="499D20C2" w14:textId="77777777" w:rsidR="00B31E28" w:rsidRPr="00A9330B" w:rsidRDefault="00B31E28" w:rsidP="00B31E28">
            <w:pPr>
              <w:spacing w:before="60" w:line="240" w:lineRule="auto"/>
              <w:rPr>
                <w:color w:val="auto"/>
                <w:sz w:val="20"/>
                <w:szCs w:val="20"/>
              </w:rPr>
            </w:pPr>
          </w:p>
        </w:tc>
        <w:tc>
          <w:tcPr>
            <w:tcW w:w="2595" w:type="dxa"/>
          </w:tcPr>
          <w:p w14:paraId="2BFE8187" w14:textId="77777777" w:rsidR="00B31E28" w:rsidRPr="00A9330B" w:rsidRDefault="00B31E28" w:rsidP="000F7BA7">
            <w:pPr>
              <w:spacing w:before="60" w:line="240" w:lineRule="auto"/>
              <w:jc w:val="both"/>
              <w:rPr>
                <w:color w:val="auto"/>
                <w:sz w:val="20"/>
                <w:szCs w:val="20"/>
              </w:rPr>
            </w:pPr>
            <w:r w:rsidRPr="00A9330B">
              <w:rPr>
                <w:color w:val="auto"/>
                <w:sz w:val="20"/>
                <w:szCs w:val="20"/>
              </w:rPr>
              <w:t xml:space="preserve">2.5.a.5. Perte de l’esthétique des paysages </w:t>
            </w:r>
            <w:r w:rsidRPr="00A9330B">
              <w:rPr>
                <w:snapToGrid w:val="0"/>
                <w:color w:val="auto"/>
                <w:sz w:val="20"/>
                <w:szCs w:val="20"/>
              </w:rPr>
              <w:t xml:space="preserve">due aux travaux de terrassement, aux ouvertures de carrières, aux dépôts de matériaux et de produits le long des tracés </w:t>
            </w:r>
          </w:p>
        </w:tc>
        <w:tc>
          <w:tcPr>
            <w:tcW w:w="1523" w:type="dxa"/>
            <w:vAlign w:val="center"/>
          </w:tcPr>
          <w:p w14:paraId="5DBBE3B8" w14:textId="77777777" w:rsidR="00B31E28" w:rsidRPr="00A9330B" w:rsidRDefault="00B31E28" w:rsidP="00B31E28">
            <w:pPr>
              <w:spacing w:before="60" w:line="240" w:lineRule="auto"/>
              <w:rPr>
                <w:color w:val="auto"/>
                <w:sz w:val="20"/>
                <w:szCs w:val="20"/>
              </w:rPr>
            </w:pPr>
            <w:r w:rsidRPr="00A9330B">
              <w:rPr>
                <w:color w:val="auto"/>
                <w:sz w:val="20"/>
                <w:szCs w:val="20"/>
              </w:rPr>
              <w:t xml:space="preserve">Faible </w:t>
            </w:r>
          </w:p>
        </w:tc>
        <w:tc>
          <w:tcPr>
            <w:tcW w:w="2641" w:type="dxa"/>
          </w:tcPr>
          <w:p w14:paraId="0C1BF538" w14:textId="77777777" w:rsidR="00B31E28" w:rsidRPr="00A9330B" w:rsidRDefault="00B31E28" w:rsidP="000F7BA7">
            <w:pPr>
              <w:spacing w:before="40" w:line="240" w:lineRule="auto"/>
              <w:jc w:val="both"/>
              <w:rPr>
                <w:color w:val="auto"/>
                <w:sz w:val="20"/>
                <w:szCs w:val="20"/>
              </w:rPr>
            </w:pPr>
            <w:r w:rsidRPr="00A9330B">
              <w:rPr>
                <w:color w:val="auto"/>
                <w:sz w:val="20"/>
                <w:szCs w:val="20"/>
              </w:rPr>
              <w:t xml:space="preserve">2.5.a.5.1. Assurer un  entreposage adéquat des matériaux </w:t>
            </w:r>
          </w:p>
          <w:p w14:paraId="279B23FC" w14:textId="77777777" w:rsidR="00B31E28" w:rsidRPr="00A9330B" w:rsidRDefault="00B31E28" w:rsidP="000F7BA7">
            <w:pPr>
              <w:spacing w:before="60" w:line="240" w:lineRule="auto"/>
              <w:jc w:val="both"/>
              <w:rPr>
                <w:color w:val="auto"/>
                <w:sz w:val="20"/>
                <w:szCs w:val="20"/>
              </w:rPr>
            </w:pPr>
            <w:r w:rsidRPr="00A9330B">
              <w:rPr>
                <w:color w:val="auto"/>
                <w:sz w:val="20"/>
                <w:szCs w:val="20"/>
              </w:rPr>
              <w:t xml:space="preserve">2.5.a.4.2. Veiller à la restauration des carrières et des sites d’emprunts </w:t>
            </w:r>
          </w:p>
        </w:tc>
        <w:tc>
          <w:tcPr>
            <w:tcW w:w="2194" w:type="dxa"/>
          </w:tcPr>
          <w:p w14:paraId="05C04EB2" w14:textId="77777777" w:rsidR="00B31E28" w:rsidRPr="00A9330B" w:rsidRDefault="00B31E28" w:rsidP="00B31E28">
            <w:pPr>
              <w:spacing w:before="60" w:line="240" w:lineRule="auto"/>
              <w:rPr>
                <w:color w:val="auto"/>
                <w:sz w:val="20"/>
                <w:szCs w:val="20"/>
              </w:rPr>
            </w:pPr>
          </w:p>
        </w:tc>
      </w:tr>
      <w:tr w:rsidR="00B31E28" w:rsidRPr="00A9330B" w14:paraId="46977B28" w14:textId="77777777" w:rsidTr="00350C9E">
        <w:tc>
          <w:tcPr>
            <w:tcW w:w="2425" w:type="dxa"/>
            <w:vMerge w:val="restart"/>
          </w:tcPr>
          <w:p w14:paraId="001975EB" w14:textId="77777777" w:rsidR="00B31E28" w:rsidRPr="00A9330B" w:rsidRDefault="00B31E28" w:rsidP="00B31E28">
            <w:pPr>
              <w:spacing w:before="60" w:line="240" w:lineRule="auto"/>
              <w:rPr>
                <w:color w:val="auto"/>
                <w:sz w:val="20"/>
                <w:szCs w:val="20"/>
              </w:rPr>
            </w:pPr>
            <w:r w:rsidRPr="00A9330B">
              <w:rPr>
                <w:color w:val="auto"/>
                <w:sz w:val="20"/>
                <w:szCs w:val="20"/>
              </w:rPr>
              <w:t>2.6. Terrassement Déblais en grande masse en terrain meuble et mis en dépôt</w:t>
            </w:r>
          </w:p>
        </w:tc>
        <w:tc>
          <w:tcPr>
            <w:tcW w:w="2193" w:type="dxa"/>
            <w:vMerge w:val="restart"/>
          </w:tcPr>
          <w:p w14:paraId="6BCD6A1F" w14:textId="77777777" w:rsidR="00B31E28" w:rsidRPr="00A9330B" w:rsidRDefault="00B31E28" w:rsidP="00B31E28">
            <w:pPr>
              <w:spacing w:before="60" w:line="240" w:lineRule="auto"/>
              <w:rPr>
                <w:color w:val="auto"/>
                <w:sz w:val="20"/>
                <w:szCs w:val="20"/>
              </w:rPr>
            </w:pPr>
          </w:p>
        </w:tc>
        <w:tc>
          <w:tcPr>
            <w:tcW w:w="2595" w:type="dxa"/>
            <w:vMerge w:val="restart"/>
          </w:tcPr>
          <w:p w14:paraId="426D187B" w14:textId="77777777" w:rsidR="00B31E28" w:rsidRPr="00A9330B" w:rsidRDefault="00B31E28" w:rsidP="000F7BA7">
            <w:pPr>
              <w:spacing w:before="60" w:line="240" w:lineRule="auto"/>
              <w:jc w:val="both"/>
              <w:rPr>
                <w:color w:val="auto"/>
                <w:sz w:val="20"/>
                <w:szCs w:val="20"/>
              </w:rPr>
            </w:pPr>
            <w:r w:rsidRPr="00A9330B">
              <w:rPr>
                <w:color w:val="auto"/>
                <w:sz w:val="20"/>
                <w:szCs w:val="20"/>
              </w:rPr>
              <w:t xml:space="preserve">2.6.a.1. Pollution atmosphérique émises par les particules dans l’air (fumées, poussières) par  les moteurs </w:t>
            </w:r>
          </w:p>
        </w:tc>
        <w:tc>
          <w:tcPr>
            <w:tcW w:w="1523" w:type="dxa"/>
            <w:vMerge w:val="restart"/>
            <w:vAlign w:val="center"/>
          </w:tcPr>
          <w:p w14:paraId="6E50F97A" w14:textId="77777777" w:rsidR="00B31E28" w:rsidRPr="00A9330B" w:rsidRDefault="00B31E28" w:rsidP="00B31E28">
            <w:pPr>
              <w:spacing w:before="60" w:line="240" w:lineRule="auto"/>
              <w:rPr>
                <w:color w:val="auto"/>
                <w:sz w:val="20"/>
                <w:szCs w:val="20"/>
              </w:rPr>
            </w:pPr>
            <w:r w:rsidRPr="00A9330B">
              <w:rPr>
                <w:color w:val="auto"/>
                <w:sz w:val="20"/>
                <w:szCs w:val="20"/>
              </w:rPr>
              <w:t xml:space="preserve">Faible </w:t>
            </w:r>
          </w:p>
        </w:tc>
        <w:tc>
          <w:tcPr>
            <w:tcW w:w="2641" w:type="dxa"/>
          </w:tcPr>
          <w:p w14:paraId="337FB282" w14:textId="77777777" w:rsidR="00B31E28" w:rsidRPr="00A9330B" w:rsidRDefault="00B31E28" w:rsidP="000F7BA7">
            <w:pPr>
              <w:spacing w:before="40" w:line="240" w:lineRule="auto"/>
              <w:jc w:val="both"/>
              <w:rPr>
                <w:color w:val="auto"/>
                <w:sz w:val="20"/>
                <w:szCs w:val="20"/>
              </w:rPr>
            </w:pPr>
            <w:r w:rsidRPr="00A9330B">
              <w:rPr>
                <w:color w:val="auto"/>
                <w:sz w:val="20"/>
                <w:szCs w:val="20"/>
              </w:rPr>
              <w:t xml:space="preserve">2.6.a.1.1. Doter le personnel de chantier des équipements de protection individuels (EPI) et veiller à leur port effectif </w:t>
            </w:r>
          </w:p>
        </w:tc>
        <w:tc>
          <w:tcPr>
            <w:tcW w:w="2194" w:type="dxa"/>
          </w:tcPr>
          <w:p w14:paraId="44F0025D" w14:textId="77777777" w:rsidR="00B31E28" w:rsidRPr="00A9330B" w:rsidRDefault="00B31E28" w:rsidP="00B31E28">
            <w:pPr>
              <w:spacing w:before="60" w:line="240" w:lineRule="auto"/>
              <w:rPr>
                <w:color w:val="auto"/>
                <w:sz w:val="20"/>
                <w:szCs w:val="20"/>
              </w:rPr>
            </w:pPr>
          </w:p>
        </w:tc>
      </w:tr>
      <w:tr w:rsidR="00B31E28" w:rsidRPr="00A9330B" w14:paraId="34110539" w14:textId="77777777" w:rsidTr="00350C9E">
        <w:tc>
          <w:tcPr>
            <w:tcW w:w="2425" w:type="dxa"/>
            <w:vMerge/>
          </w:tcPr>
          <w:p w14:paraId="3C5C9169" w14:textId="77777777" w:rsidR="00B31E28" w:rsidRPr="00A9330B" w:rsidRDefault="00B31E28" w:rsidP="00B31E28">
            <w:pPr>
              <w:spacing w:before="60" w:line="240" w:lineRule="auto"/>
              <w:rPr>
                <w:color w:val="auto"/>
                <w:sz w:val="20"/>
                <w:szCs w:val="20"/>
              </w:rPr>
            </w:pPr>
          </w:p>
        </w:tc>
        <w:tc>
          <w:tcPr>
            <w:tcW w:w="2193" w:type="dxa"/>
            <w:vMerge/>
          </w:tcPr>
          <w:p w14:paraId="464347DB" w14:textId="77777777" w:rsidR="00B31E28" w:rsidRPr="00A9330B" w:rsidRDefault="00B31E28" w:rsidP="00B31E28">
            <w:pPr>
              <w:spacing w:before="60" w:line="240" w:lineRule="auto"/>
              <w:rPr>
                <w:color w:val="auto"/>
                <w:sz w:val="20"/>
                <w:szCs w:val="20"/>
              </w:rPr>
            </w:pPr>
          </w:p>
        </w:tc>
        <w:tc>
          <w:tcPr>
            <w:tcW w:w="2595" w:type="dxa"/>
            <w:vMerge/>
          </w:tcPr>
          <w:p w14:paraId="1E2866D1" w14:textId="77777777" w:rsidR="00B31E28" w:rsidRPr="00A9330B" w:rsidRDefault="00B31E28" w:rsidP="00B31E28">
            <w:pPr>
              <w:spacing w:before="60" w:line="240" w:lineRule="auto"/>
              <w:rPr>
                <w:color w:val="auto"/>
                <w:sz w:val="20"/>
                <w:szCs w:val="20"/>
              </w:rPr>
            </w:pPr>
          </w:p>
        </w:tc>
        <w:tc>
          <w:tcPr>
            <w:tcW w:w="1523" w:type="dxa"/>
            <w:vMerge/>
            <w:vAlign w:val="center"/>
          </w:tcPr>
          <w:p w14:paraId="0EFD13A1" w14:textId="77777777" w:rsidR="00B31E28" w:rsidRPr="00A9330B" w:rsidRDefault="00B31E28" w:rsidP="00B31E28">
            <w:pPr>
              <w:spacing w:before="60" w:line="240" w:lineRule="auto"/>
              <w:rPr>
                <w:color w:val="auto"/>
                <w:sz w:val="20"/>
                <w:szCs w:val="20"/>
              </w:rPr>
            </w:pPr>
          </w:p>
        </w:tc>
        <w:tc>
          <w:tcPr>
            <w:tcW w:w="2641" w:type="dxa"/>
          </w:tcPr>
          <w:p w14:paraId="1DE6C7B4" w14:textId="77777777" w:rsidR="00B31E28" w:rsidRPr="00A9330B" w:rsidRDefault="00B31E28" w:rsidP="000F7BA7">
            <w:pPr>
              <w:spacing w:before="40" w:line="240" w:lineRule="auto"/>
              <w:jc w:val="both"/>
              <w:rPr>
                <w:color w:val="auto"/>
                <w:sz w:val="20"/>
                <w:szCs w:val="20"/>
              </w:rPr>
            </w:pPr>
            <w:r w:rsidRPr="00A9330B">
              <w:rPr>
                <w:color w:val="auto"/>
                <w:sz w:val="20"/>
                <w:szCs w:val="20"/>
              </w:rPr>
              <w:t>2.6.a.1.2. Veiller à l’entretien des engins et véhicules de chantier</w:t>
            </w:r>
          </w:p>
        </w:tc>
        <w:tc>
          <w:tcPr>
            <w:tcW w:w="2194" w:type="dxa"/>
          </w:tcPr>
          <w:p w14:paraId="3988116B" w14:textId="77777777" w:rsidR="00B31E28" w:rsidRPr="00A9330B" w:rsidRDefault="00B31E28" w:rsidP="00B31E28">
            <w:pPr>
              <w:spacing w:before="60" w:line="240" w:lineRule="auto"/>
              <w:rPr>
                <w:color w:val="auto"/>
                <w:sz w:val="20"/>
                <w:szCs w:val="20"/>
              </w:rPr>
            </w:pPr>
          </w:p>
        </w:tc>
      </w:tr>
      <w:tr w:rsidR="00B31E28" w:rsidRPr="00A9330B" w14:paraId="579D101A" w14:textId="77777777" w:rsidTr="00350C9E">
        <w:tc>
          <w:tcPr>
            <w:tcW w:w="2425" w:type="dxa"/>
            <w:vMerge/>
          </w:tcPr>
          <w:p w14:paraId="0C021CE6" w14:textId="77777777" w:rsidR="00B31E28" w:rsidRPr="00A9330B" w:rsidRDefault="00B31E28" w:rsidP="00B31E28">
            <w:pPr>
              <w:spacing w:before="60" w:line="240" w:lineRule="auto"/>
              <w:rPr>
                <w:color w:val="auto"/>
                <w:sz w:val="20"/>
                <w:szCs w:val="20"/>
              </w:rPr>
            </w:pPr>
          </w:p>
        </w:tc>
        <w:tc>
          <w:tcPr>
            <w:tcW w:w="2193" w:type="dxa"/>
            <w:vMerge/>
          </w:tcPr>
          <w:p w14:paraId="481B5814" w14:textId="77777777" w:rsidR="00B31E28" w:rsidRPr="00A9330B" w:rsidRDefault="00B31E28" w:rsidP="00B31E28">
            <w:pPr>
              <w:spacing w:before="60" w:line="240" w:lineRule="auto"/>
              <w:rPr>
                <w:color w:val="auto"/>
                <w:sz w:val="20"/>
                <w:szCs w:val="20"/>
              </w:rPr>
            </w:pPr>
          </w:p>
        </w:tc>
        <w:tc>
          <w:tcPr>
            <w:tcW w:w="2595" w:type="dxa"/>
            <w:vMerge/>
          </w:tcPr>
          <w:p w14:paraId="5C0EDDC4" w14:textId="77777777" w:rsidR="00B31E28" w:rsidRPr="00A9330B" w:rsidRDefault="00B31E28" w:rsidP="00B31E28">
            <w:pPr>
              <w:spacing w:before="60" w:line="240" w:lineRule="auto"/>
              <w:rPr>
                <w:color w:val="auto"/>
                <w:sz w:val="20"/>
                <w:szCs w:val="20"/>
              </w:rPr>
            </w:pPr>
          </w:p>
        </w:tc>
        <w:tc>
          <w:tcPr>
            <w:tcW w:w="1523" w:type="dxa"/>
            <w:vMerge/>
            <w:vAlign w:val="center"/>
          </w:tcPr>
          <w:p w14:paraId="415E94A0" w14:textId="77777777" w:rsidR="00B31E28" w:rsidRPr="00A9330B" w:rsidRDefault="00B31E28" w:rsidP="00B31E28">
            <w:pPr>
              <w:spacing w:before="60" w:line="240" w:lineRule="auto"/>
              <w:rPr>
                <w:color w:val="auto"/>
                <w:sz w:val="20"/>
                <w:szCs w:val="20"/>
              </w:rPr>
            </w:pPr>
          </w:p>
        </w:tc>
        <w:tc>
          <w:tcPr>
            <w:tcW w:w="2641" w:type="dxa"/>
          </w:tcPr>
          <w:p w14:paraId="64789198" w14:textId="77777777" w:rsidR="00B31E28" w:rsidRPr="00A9330B" w:rsidRDefault="00B31E28" w:rsidP="000F7BA7">
            <w:pPr>
              <w:spacing w:before="60" w:line="240" w:lineRule="auto"/>
              <w:jc w:val="both"/>
              <w:rPr>
                <w:color w:val="auto"/>
                <w:sz w:val="20"/>
                <w:szCs w:val="20"/>
              </w:rPr>
            </w:pPr>
            <w:r w:rsidRPr="00A9330B">
              <w:rPr>
                <w:color w:val="auto"/>
                <w:sz w:val="20"/>
                <w:szCs w:val="20"/>
              </w:rPr>
              <w:t>2.6.a.1.3. Arroser les voies de déviations</w:t>
            </w:r>
          </w:p>
        </w:tc>
        <w:tc>
          <w:tcPr>
            <w:tcW w:w="2194" w:type="dxa"/>
          </w:tcPr>
          <w:p w14:paraId="00765B66" w14:textId="77777777" w:rsidR="00B31E28" w:rsidRPr="00A9330B" w:rsidRDefault="00B31E28" w:rsidP="00B31E28">
            <w:pPr>
              <w:spacing w:before="60" w:line="240" w:lineRule="auto"/>
              <w:rPr>
                <w:color w:val="auto"/>
                <w:sz w:val="20"/>
                <w:szCs w:val="20"/>
              </w:rPr>
            </w:pPr>
          </w:p>
        </w:tc>
      </w:tr>
      <w:tr w:rsidR="00B31E28" w:rsidRPr="00A9330B" w14:paraId="343B488F" w14:textId="77777777" w:rsidTr="00350C9E">
        <w:tc>
          <w:tcPr>
            <w:tcW w:w="2425" w:type="dxa"/>
            <w:vMerge/>
          </w:tcPr>
          <w:p w14:paraId="3F7F8A31" w14:textId="77777777" w:rsidR="00B31E28" w:rsidRPr="00A9330B" w:rsidRDefault="00B31E28" w:rsidP="00B31E28">
            <w:pPr>
              <w:spacing w:before="60" w:line="240" w:lineRule="auto"/>
              <w:rPr>
                <w:color w:val="auto"/>
                <w:sz w:val="20"/>
                <w:szCs w:val="20"/>
              </w:rPr>
            </w:pPr>
          </w:p>
        </w:tc>
        <w:tc>
          <w:tcPr>
            <w:tcW w:w="2193" w:type="dxa"/>
            <w:vMerge/>
          </w:tcPr>
          <w:p w14:paraId="1AE54974" w14:textId="77777777" w:rsidR="00B31E28" w:rsidRPr="00A9330B" w:rsidRDefault="00B31E28" w:rsidP="00B31E28">
            <w:pPr>
              <w:spacing w:before="60" w:line="240" w:lineRule="auto"/>
              <w:rPr>
                <w:color w:val="auto"/>
                <w:sz w:val="20"/>
                <w:szCs w:val="20"/>
              </w:rPr>
            </w:pPr>
          </w:p>
        </w:tc>
        <w:tc>
          <w:tcPr>
            <w:tcW w:w="2595" w:type="dxa"/>
          </w:tcPr>
          <w:p w14:paraId="693F9DD6" w14:textId="77777777" w:rsidR="00B31E28" w:rsidRPr="00A9330B" w:rsidRDefault="00B31E28" w:rsidP="00B31E28">
            <w:pPr>
              <w:spacing w:before="60" w:line="240" w:lineRule="auto"/>
              <w:rPr>
                <w:color w:val="auto"/>
                <w:sz w:val="20"/>
                <w:szCs w:val="20"/>
              </w:rPr>
            </w:pPr>
            <w:r w:rsidRPr="00A9330B">
              <w:rPr>
                <w:color w:val="auto"/>
                <w:sz w:val="20"/>
                <w:szCs w:val="20"/>
              </w:rPr>
              <w:t>2.6.a.2. Epandage de matériaux sur les routes</w:t>
            </w:r>
          </w:p>
        </w:tc>
        <w:tc>
          <w:tcPr>
            <w:tcW w:w="1523" w:type="dxa"/>
            <w:vAlign w:val="center"/>
          </w:tcPr>
          <w:p w14:paraId="48970B82" w14:textId="77777777" w:rsidR="00B31E28" w:rsidRPr="00A9330B" w:rsidRDefault="00B31E28" w:rsidP="00B31E28">
            <w:pPr>
              <w:spacing w:before="60" w:line="240" w:lineRule="auto"/>
              <w:rPr>
                <w:color w:val="auto"/>
                <w:sz w:val="20"/>
                <w:szCs w:val="20"/>
              </w:rPr>
            </w:pPr>
            <w:r w:rsidRPr="00A9330B">
              <w:rPr>
                <w:color w:val="auto"/>
                <w:sz w:val="20"/>
                <w:szCs w:val="20"/>
              </w:rPr>
              <w:t xml:space="preserve">Moyenne </w:t>
            </w:r>
          </w:p>
        </w:tc>
        <w:tc>
          <w:tcPr>
            <w:tcW w:w="2641" w:type="dxa"/>
          </w:tcPr>
          <w:p w14:paraId="65A1623A" w14:textId="77777777" w:rsidR="00B31E28" w:rsidRPr="00A9330B" w:rsidRDefault="00B31E28" w:rsidP="000F7BA7">
            <w:pPr>
              <w:spacing w:before="60" w:line="240" w:lineRule="auto"/>
              <w:jc w:val="both"/>
              <w:rPr>
                <w:color w:val="auto"/>
                <w:sz w:val="20"/>
                <w:szCs w:val="20"/>
              </w:rPr>
            </w:pPr>
            <w:r w:rsidRPr="00A9330B">
              <w:rPr>
                <w:color w:val="auto"/>
                <w:sz w:val="20"/>
                <w:szCs w:val="20"/>
              </w:rPr>
              <w:t>2.6.a.2.1. Couvrir de bâches les camions qui transportent les matériaux  venant des carrières et des emprunts</w:t>
            </w:r>
          </w:p>
        </w:tc>
        <w:tc>
          <w:tcPr>
            <w:tcW w:w="2194" w:type="dxa"/>
          </w:tcPr>
          <w:p w14:paraId="7B422967" w14:textId="77777777" w:rsidR="00B31E28" w:rsidRPr="00A9330B" w:rsidRDefault="00B31E28" w:rsidP="00B31E28">
            <w:pPr>
              <w:spacing w:before="60" w:line="240" w:lineRule="auto"/>
              <w:rPr>
                <w:color w:val="auto"/>
                <w:sz w:val="20"/>
                <w:szCs w:val="20"/>
              </w:rPr>
            </w:pPr>
          </w:p>
        </w:tc>
      </w:tr>
      <w:tr w:rsidR="00B31E28" w:rsidRPr="00A9330B" w14:paraId="79B8EF23" w14:textId="77777777" w:rsidTr="00350C9E">
        <w:tc>
          <w:tcPr>
            <w:tcW w:w="2425" w:type="dxa"/>
            <w:vMerge w:val="restart"/>
          </w:tcPr>
          <w:p w14:paraId="615B5E67" w14:textId="77777777" w:rsidR="00B31E28" w:rsidRPr="00A9330B" w:rsidRDefault="00B31E28" w:rsidP="00B31E28">
            <w:pPr>
              <w:spacing w:before="60" w:line="240" w:lineRule="auto"/>
              <w:rPr>
                <w:color w:val="auto"/>
                <w:sz w:val="20"/>
                <w:szCs w:val="20"/>
              </w:rPr>
            </w:pPr>
            <w:r w:rsidRPr="00A9330B">
              <w:rPr>
                <w:color w:val="auto"/>
                <w:sz w:val="20"/>
                <w:szCs w:val="20"/>
              </w:rPr>
              <w:lastRenderedPageBreak/>
              <w:t xml:space="preserve">2.7. exploitation des carrières et zones d’emprunts </w:t>
            </w:r>
          </w:p>
        </w:tc>
        <w:tc>
          <w:tcPr>
            <w:tcW w:w="2193" w:type="dxa"/>
            <w:vMerge w:val="restart"/>
          </w:tcPr>
          <w:p w14:paraId="09418810" w14:textId="77777777" w:rsidR="00B31E28" w:rsidRPr="00A9330B" w:rsidRDefault="00B31E28" w:rsidP="00B31E28">
            <w:pPr>
              <w:spacing w:before="60" w:line="240" w:lineRule="auto"/>
              <w:rPr>
                <w:color w:val="auto"/>
                <w:sz w:val="20"/>
                <w:szCs w:val="20"/>
              </w:rPr>
            </w:pPr>
          </w:p>
        </w:tc>
        <w:tc>
          <w:tcPr>
            <w:tcW w:w="2595" w:type="dxa"/>
            <w:vMerge w:val="restart"/>
          </w:tcPr>
          <w:p w14:paraId="320D7DD8" w14:textId="77777777" w:rsidR="00B31E28" w:rsidRPr="00A9330B" w:rsidRDefault="00B31E28" w:rsidP="000F7BA7">
            <w:pPr>
              <w:spacing w:before="60" w:line="240" w:lineRule="auto"/>
              <w:jc w:val="both"/>
              <w:rPr>
                <w:color w:val="auto"/>
                <w:sz w:val="20"/>
                <w:szCs w:val="20"/>
              </w:rPr>
            </w:pPr>
            <w:r w:rsidRPr="00A9330B">
              <w:rPr>
                <w:color w:val="auto"/>
                <w:sz w:val="20"/>
                <w:szCs w:val="20"/>
              </w:rPr>
              <w:t xml:space="preserve">2.7.a.1. Destruction de milieu naturel par l’exploitation des carrières et des zones d’emprunt </w:t>
            </w:r>
          </w:p>
        </w:tc>
        <w:tc>
          <w:tcPr>
            <w:tcW w:w="1523" w:type="dxa"/>
            <w:vMerge w:val="restart"/>
            <w:vAlign w:val="center"/>
          </w:tcPr>
          <w:p w14:paraId="4AA18B81" w14:textId="77777777" w:rsidR="00B31E28" w:rsidRPr="00A9330B" w:rsidRDefault="00B31E28" w:rsidP="00B31E28">
            <w:pPr>
              <w:spacing w:before="60" w:line="240" w:lineRule="auto"/>
              <w:rPr>
                <w:color w:val="auto"/>
                <w:sz w:val="20"/>
                <w:szCs w:val="20"/>
              </w:rPr>
            </w:pPr>
            <w:r w:rsidRPr="00A9330B">
              <w:rPr>
                <w:color w:val="auto"/>
                <w:sz w:val="20"/>
                <w:szCs w:val="20"/>
              </w:rPr>
              <w:t xml:space="preserve">Forte </w:t>
            </w:r>
          </w:p>
        </w:tc>
        <w:tc>
          <w:tcPr>
            <w:tcW w:w="2641" w:type="dxa"/>
          </w:tcPr>
          <w:p w14:paraId="3271AB02" w14:textId="77777777" w:rsidR="00B31E28" w:rsidRPr="00A9330B" w:rsidRDefault="00B31E28" w:rsidP="000F7BA7">
            <w:pPr>
              <w:spacing w:before="60" w:line="240" w:lineRule="auto"/>
              <w:jc w:val="both"/>
              <w:rPr>
                <w:color w:val="auto"/>
                <w:sz w:val="20"/>
                <w:szCs w:val="20"/>
              </w:rPr>
            </w:pPr>
            <w:r w:rsidRPr="00A9330B">
              <w:rPr>
                <w:color w:val="auto"/>
                <w:sz w:val="20"/>
                <w:szCs w:val="20"/>
              </w:rPr>
              <w:t>2.7.a.1.1. Elaborer  et mettre en œuvre un plan de reboisement en compensation sur un site identifié et un Plan de Protection Environnementale du Site (PPES)</w:t>
            </w:r>
          </w:p>
        </w:tc>
        <w:tc>
          <w:tcPr>
            <w:tcW w:w="2194" w:type="dxa"/>
          </w:tcPr>
          <w:p w14:paraId="4DBA28B8" w14:textId="77777777" w:rsidR="00B31E28" w:rsidRPr="00A9330B" w:rsidRDefault="00B31E28" w:rsidP="00B31E28">
            <w:pPr>
              <w:spacing w:before="60" w:line="240" w:lineRule="auto"/>
              <w:rPr>
                <w:color w:val="auto"/>
                <w:sz w:val="20"/>
                <w:szCs w:val="20"/>
              </w:rPr>
            </w:pPr>
          </w:p>
        </w:tc>
      </w:tr>
      <w:tr w:rsidR="00B31E28" w:rsidRPr="00A9330B" w14:paraId="15964474" w14:textId="77777777" w:rsidTr="00350C9E">
        <w:tc>
          <w:tcPr>
            <w:tcW w:w="2425" w:type="dxa"/>
            <w:vMerge/>
          </w:tcPr>
          <w:p w14:paraId="46BAF8D1" w14:textId="77777777" w:rsidR="00B31E28" w:rsidRPr="00A9330B" w:rsidRDefault="00B31E28" w:rsidP="00B31E28">
            <w:pPr>
              <w:spacing w:before="60" w:line="240" w:lineRule="auto"/>
              <w:rPr>
                <w:color w:val="auto"/>
                <w:sz w:val="20"/>
                <w:szCs w:val="20"/>
              </w:rPr>
            </w:pPr>
          </w:p>
        </w:tc>
        <w:tc>
          <w:tcPr>
            <w:tcW w:w="2193" w:type="dxa"/>
            <w:vMerge/>
          </w:tcPr>
          <w:p w14:paraId="0DE8415F" w14:textId="77777777" w:rsidR="00B31E28" w:rsidRPr="00A9330B" w:rsidRDefault="00B31E28" w:rsidP="00B31E28">
            <w:pPr>
              <w:spacing w:before="60" w:line="240" w:lineRule="auto"/>
              <w:rPr>
                <w:color w:val="auto"/>
                <w:sz w:val="20"/>
                <w:szCs w:val="20"/>
              </w:rPr>
            </w:pPr>
          </w:p>
        </w:tc>
        <w:tc>
          <w:tcPr>
            <w:tcW w:w="2595" w:type="dxa"/>
            <w:vMerge/>
          </w:tcPr>
          <w:p w14:paraId="22208C04" w14:textId="77777777" w:rsidR="00B31E28" w:rsidRPr="00A9330B" w:rsidRDefault="00B31E28" w:rsidP="000F7BA7">
            <w:pPr>
              <w:spacing w:before="60" w:line="240" w:lineRule="auto"/>
              <w:jc w:val="both"/>
              <w:rPr>
                <w:color w:val="auto"/>
                <w:sz w:val="20"/>
                <w:szCs w:val="20"/>
              </w:rPr>
            </w:pPr>
          </w:p>
        </w:tc>
        <w:tc>
          <w:tcPr>
            <w:tcW w:w="1523" w:type="dxa"/>
            <w:vMerge/>
            <w:vAlign w:val="center"/>
          </w:tcPr>
          <w:p w14:paraId="55A83943" w14:textId="77777777" w:rsidR="00B31E28" w:rsidRPr="00A9330B" w:rsidRDefault="00B31E28" w:rsidP="00B31E28">
            <w:pPr>
              <w:spacing w:before="60" w:line="240" w:lineRule="auto"/>
              <w:rPr>
                <w:color w:val="auto"/>
                <w:sz w:val="20"/>
                <w:szCs w:val="20"/>
              </w:rPr>
            </w:pPr>
          </w:p>
        </w:tc>
        <w:tc>
          <w:tcPr>
            <w:tcW w:w="2641" w:type="dxa"/>
          </w:tcPr>
          <w:p w14:paraId="31A9A7F1" w14:textId="77777777" w:rsidR="00B31E28" w:rsidRPr="00A9330B" w:rsidRDefault="00B31E28" w:rsidP="000F7BA7">
            <w:pPr>
              <w:spacing w:before="40" w:line="240" w:lineRule="auto"/>
              <w:jc w:val="both"/>
              <w:rPr>
                <w:color w:val="auto"/>
                <w:sz w:val="20"/>
                <w:szCs w:val="20"/>
              </w:rPr>
            </w:pPr>
            <w:r w:rsidRPr="00A9330B">
              <w:rPr>
                <w:color w:val="auto"/>
                <w:sz w:val="20"/>
                <w:szCs w:val="20"/>
              </w:rPr>
              <w:t>2.7.a.1.2. Prendre toutes les autorisations nécessaires pour l’ouverture de carrières ou d’emprunts</w:t>
            </w:r>
          </w:p>
        </w:tc>
        <w:tc>
          <w:tcPr>
            <w:tcW w:w="2194" w:type="dxa"/>
          </w:tcPr>
          <w:p w14:paraId="549C91E8" w14:textId="77777777" w:rsidR="00B31E28" w:rsidRPr="00A9330B" w:rsidRDefault="00B31E28" w:rsidP="00B31E28">
            <w:pPr>
              <w:spacing w:before="60" w:line="240" w:lineRule="auto"/>
              <w:rPr>
                <w:color w:val="auto"/>
                <w:sz w:val="20"/>
                <w:szCs w:val="20"/>
              </w:rPr>
            </w:pPr>
          </w:p>
        </w:tc>
      </w:tr>
      <w:tr w:rsidR="00B31E28" w:rsidRPr="00A9330B" w14:paraId="6E7FC9CA" w14:textId="77777777" w:rsidTr="00350C9E">
        <w:tc>
          <w:tcPr>
            <w:tcW w:w="2425" w:type="dxa"/>
            <w:vMerge/>
          </w:tcPr>
          <w:p w14:paraId="40CCE172" w14:textId="77777777" w:rsidR="00B31E28" w:rsidRPr="00A9330B" w:rsidRDefault="00B31E28" w:rsidP="00B31E28">
            <w:pPr>
              <w:spacing w:before="60" w:line="240" w:lineRule="auto"/>
              <w:rPr>
                <w:color w:val="auto"/>
                <w:sz w:val="20"/>
                <w:szCs w:val="20"/>
              </w:rPr>
            </w:pPr>
          </w:p>
        </w:tc>
        <w:tc>
          <w:tcPr>
            <w:tcW w:w="2193" w:type="dxa"/>
            <w:vMerge/>
          </w:tcPr>
          <w:p w14:paraId="0EF19AF3" w14:textId="77777777" w:rsidR="00B31E28" w:rsidRPr="00A9330B" w:rsidRDefault="00B31E28" w:rsidP="00B31E28">
            <w:pPr>
              <w:spacing w:before="60" w:line="240" w:lineRule="auto"/>
              <w:rPr>
                <w:color w:val="auto"/>
                <w:sz w:val="20"/>
                <w:szCs w:val="20"/>
              </w:rPr>
            </w:pPr>
          </w:p>
        </w:tc>
        <w:tc>
          <w:tcPr>
            <w:tcW w:w="2595" w:type="dxa"/>
            <w:vMerge/>
          </w:tcPr>
          <w:p w14:paraId="65D20928" w14:textId="77777777" w:rsidR="00B31E28" w:rsidRPr="00A9330B" w:rsidRDefault="00B31E28" w:rsidP="000F7BA7">
            <w:pPr>
              <w:spacing w:before="60" w:line="240" w:lineRule="auto"/>
              <w:jc w:val="both"/>
              <w:rPr>
                <w:color w:val="auto"/>
                <w:sz w:val="20"/>
                <w:szCs w:val="20"/>
              </w:rPr>
            </w:pPr>
          </w:p>
        </w:tc>
        <w:tc>
          <w:tcPr>
            <w:tcW w:w="1523" w:type="dxa"/>
            <w:vMerge/>
            <w:vAlign w:val="center"/>
          </w:tcPr>
          <w:p w14:paraId="45B63C2A" w14:textId="77777777" w:rsidR="00B31E28" w:rsidRPr="00A9330B" w:rsidRDefault="00B31E28" w:rsidP="00B31E28">
            <w:pPr>
              <w:spacing w:before="60" w:line="240" w:lineRule="auto"/>
              <w:rPr>
                <w:color w:val="auto"/>
                <w:sz w:val="20"/>
                <w:szCs w:val="20"/>
              </w:rPr>
            </w:pPr>
          </w:p>
        </w:tc>
        <w:tc>
          <w:tcPr>
            <w:tcW w:w="2641" w:type="dxa"/>
          </w:tcPr>
          <w:p w14:paraId="7B2F0207" w14:textId="77777777" w:rsidR="00B31E28" w:rsidRPr="00A9330B" w:rsidRDefault="00B31E28" w:rsidP="000F7BA7">
            <w:pPr>
              <w:spacing w:before="60" w:line="240" w:lineRule="auto"/>
              <w:jc w:val="both"/>
              <w:rPr>
                <w:color w:val="auto"/>
                <w:sz w:val="20"/>
                <w:szCs w:val="20"/>
              </w:rPr>
            </w:pPr>
            <w:r w:rsidRPr="00A9330B">
              <w:rPr>
                <w:color w:val="auto"/>
                <w:sz w:val="20"/>
                <w:szCs w:val="20"/>
              </w:rPr>
              <w:t>2.7.a.1.3. S’approvisionner auprès des carrières agréées</w:t>
            </w:r>
          </w:p>
        </w:tc>
        <w:tc>
          <w:tcPr>
            <w:tcW w:w="2194" w:type="dxa"/>
          </w:tcPr>
          <w:p w14:paraId="556DC086" w14:textId="77777777" w:rsidR="00B31E28" w:rsidRPr="00A9330B" w:rsidRDefault="00B31E28" w:rsidP="00B31E28">
            <w:pPr>
              <w:spacing w:before="60" w:line="240" w:lineRule="auto"/>
              <w:rPr>
                <w:color w:val="auto"/>
                <w:sz w:val="20"/>
                <w:szCs w:val="20"/>
              </w:rPr>
            </w:pPr>
          </w:p>
        </w:tc>
      </w:tr>
      <w:tr w:rsidR="00B31E28" w:rsidRPr="00A9330B" w14:paraId="46FDC6C5" w14:textId="77777777" w:rsidTr="00350C9E">
        <w:tc>
          <w:tcPr>
            <w:tcW w:w="2425" w:type="dxa"/>
            <w:vMerge/>
          </w:tcPr>
          <w:p w14:paraId="376D46EA" w14:textId="77777777" w:rsidR="00B31E28" w:rsidRPr="00A9330B" w:rsidRDefault="00B31E28" w:rsidP="00B31E28">
            <w:pPr>
              <w:spacing w:before="60" w:line="240" w:lineRule="auto"/>
              <w:rPr>
                <w:color w:val="auto"/>
                <w:sz w:val="20"/>
                <w:szCs w:val="20"/>
              </w:rPr>
            </w:pPr>
          </w:p>
        </w:tc>
        <w:tc>
          <w:tcPr>
            <w:tcW w:w="2193" w:type="dxa"/>
            <w:vMerge/>
          </w:tcPr>
          <w:p w14:paraId="764654A6" w14:textId="77777777" w:rsidR="00B31E28" w:rsidRPr="00A9330B" w:rsidRDefault="00B31E28" w:rsidP="00B31E28">
            <w:pPr>
              <w:spacing w:before="60" w:line="240" w:lineRule="auto"/>
              <w:rPr>
                <w:color w:val="auto"/>
                <w:sz w:val="20"/>
                <w:szCs w:val="20"/>
              </w:rPr>
            </w:pPr>
          </w:p>
        </w:tc>
        <w:tc>
          <w:tcPr>
            <w:tcW w:w="2595" w:type="dxa"/>
            <w:vMerge w:val="restart"/>
          </w:tcPr>
          <w:p w14:paraId="032A55C0" w14:textId="77777777" w:rsidR="00B31E28" w:rsidRPr="00A9330B" w:rsidRDefault="00B31E28" w:rsidP="000F7BA7">
            <w:pPr>
              <w:spacing w:before="60" w:line="240" w:lineRule="auto"/>
              <w:jc w:val="both"/>
              <w:rPr>
                <w:color w:val="auto"/>
                <w:sz w:val="20"/>
                <w:szCs w:val="20"/>
              </w:rPr>
            </w:pPr>
            <w:r w:rsidRPr="00A9330B">
              <w:rPr>
                <w:color w:val="auto"/>
                <w:sz w:val="20"/>
                <w:szCs w:val="20"/>
              </w:rPr>
              <w:t xml:space="preserve">2.7.a.2. Pollution atmosphérique émises par les particules dans l’air par  les moteurs </w:t>
            </w:r>
          </w:p>
        </w:tc>
        <w:tc>
          <w:tcPr>
            <w:tcW w:w="1523" w:type="dxa"/>
            <w:vMerge w:val="restart"/>
          </w:tcPr>
          <w:p w14:paraId="0A285A87" w14:textId="77777777" w:rsidR="00B31E28" w:rsidRPr="00A9330B" w:rsidRDefault="00B31E28" w:rsidP="00B31E28">
            <w:pPr>
              <w:spacing w:before="60" w:line="240" w:lineRule="auto"/>
              <w:rPr>
                <w:color w:val="auto"/>
                <w:sz w:val="20"/>
                <w:szCs w:val="20"/>
              </w:rPr>
            </w:pPr>
          </w:p>
          <w:p w14:paraId="4925B43A" w14:textId="77777777" w:rsidR="00B31E28" w:rsidRPr="00A9330B" w:rsidRDefault="00B31E28" w:rsidP="00B31E28">
            <w:pPr>
              <w:spacing w:before="60" w:line="240" w:lineRule="auto"/>
              <w:rPr>
                <w:color w:val="auto"/>
                <w:sz w:val="20"/>
                <w:szCs w:val="20"/>
              </w:rPr>
            </w:pPr>
            <w:r w:rsidRPr="00A9330B">
              <w:rPr>
                <w:color w:val="auto"/>
                <w:sz w:val="20"/>
                <w:szCs w:val="20"/>
              </w:rPr>
              <w:t xml:space="preserve">Faible </w:t>
            </w:r>
          </w:p>
        </w:tc>
        <w:tc>
          <w:tcPr>
            <w:tcW w:w="2641" w:type="dxa"/>
          </w:tcPr>
          <w:p w14:paraId="467FF4F8" w14:textId="77777777" w:rsidR="00B31E28" w:rsidRPr="00A9330B" w:rsidRDefault="00B31E28" w:rsidP="000F7BA7">
            <w:pPr>
              <w:spacing w:before="40" w:line="240" w:lineRule="auto"/>
              <w:jc w:val="both"/>
              <w:rPr>
                <w:color w:val="auto"/>
                <w:sz w:val="20"/>
                <w:szCs w:val="20"/>
              </w:rPr>
            </w:pPr>
            <w:r w:rsidRPr="00A9330B">
              <w:rPr>
                <w:color w:val="auto"/>
                <w:sz w:val="20"/>
                <w:szCs w:val="20"/>
              </w:rPr>
              <w:t xml:space="preserve">2.7.a.2.1. Doter le personnel de chantier des équipements de protection individuels (EPI) et veiller à leur port effectif </w:t>
            </w:r>
          </w:p>
        </w:tc>
        <w:tc>
          <w:tcPr>
            <w:tcW w:w="2194" w:type="dxa"/>
          </w:tcPr>
          <w:p w14:paraId="35E5ABD4" w14:textId="77777777" w:rsidR="00B31E28" w:rsidRPr="00A9330B" w:rsidRDefault="00B31E28" w:rsidP="00B31E28">
            <w:pPr>
              <w:spacing w:before="60" w:line="240" w:lineRule="auto"/>
              <w:rPr>
                <w:color w:val="auto"/>
                <w:sz w:val="20"/>
                <w:szCs w:val="20"/>
              </w:rPr>
            </w:pPr>
          </w:p>
        </w:tc>
      </w:tr>
      <w:tr w:rsidR="00B31E28" w:rsidRPr="00A9330B" w14:paraId="5F239717" w14:textId="77777777" w:rsidTr="00350C9E">
        <w:tc>
          <w:tcPr>
            <w:tcW w:w="2425" w:type="dxa"/>
            <w:vMerge/>
          </w:tcPr>
          <w:p w14:paraId="10BF5CD8" w14:textId="77777777" w:rsidR="00B31E28" w:rsidRPr="00A9330B" w:rsidRDefault="00B31E28" w:rsidP="00B31E28">
            <w:pPr>
              <w:spacing w:before="60" w:line="240" w:lineRule="auto"/>
              <w:rPr>
                <w:color w:val="auto"/>
                <w:sz w:val="20"/>
                <w:szCs w:val="20"/>
              </w:rPr>
            </w:pPr>
          </w:p>
        </w:tc>
        <w:tc>
          <w:tcPr>
            <w:tcW w:w="2193" w:type="dxa"/>
            <w:vMerge/>
          </w:tcPr>
          <w:p w14:paraId="185985D1" w14:textId="77777777" w:rsidR="00B31E28" w:rsidRPr="00A9330B" w:rsidRDefault="00B31E28" w:rsidP="00B31E28">
            <w:pPr>
              <w:spacing w:before="60" w:line="240" w:lineRule="auto"/>
              <w:rPr>
                <w:color w:val="auto"/>
                <w:sz w:val="20"/>
                <w:szCs w:val="20"/>
              </w:rPr>
            </w:pPr>
          </w:p>
        </w:tc>
        <w:tc>
          <w:tcPr>
            <w:tcW w:w="2595" w:type="dxa"/>
            <w:vMerge/>
          </w:tcPr>
          <w:p w14:paraId="3D6F5102" w14:textId="77777777" w:rsidR="00B31E28" w:rsidRPr="00A9330B" w:rsidRDefault="00B31E28" w:rsidP="00B31E28">
            <w:pPr>
              <w:spacing w:before="60" w:line="240" w:lineRule="auto"/>
              <w:rPr>
                <w:color w:val="auto"/>
                <w:sz w:val="20"/>
                <w:szCs w:val="20"/>
              </w:rPr>
            </w:pPr>
          </w:p>
        </w:tc>
        <w:tc>
          <w:tcPr>
            <w:tcW w:w="1523" w:type="dxa"/>
            <w:vMerge/>
          </w:tcPr>
          <w:p w14:paraId="72838866" w14:textId="77777777" w:rsidR="00B31E28" w:rsidRPr="00A9330B" w:rsidRDefault="00B31E28" w:rsidP="00B31E28">
            <w:pPr>
              <w:spacing w:before="60" w:line="240" w:lineRule="auto"/>
              <w:rPr>
                <w:color w:val="auto"/>
                <w:sz w:val="20"/>
                <w:szCs w:val="20"/>
              </w:rPr>
            </w:pPr>
          </w:p>
        </w:tc>
        <w:tc>
          <w:tcPr>
            <w:tcW w:w="2641" w:type="dxa"/>
          </w:tcPr>
          <w:p w14:paraId="3B14A69E" w14:textId="77777777" w:rsidR="00B31E28" w:rsidRPr="00A9330B" w:rsidRDefault="00B31E28" w:rsidP="000F7BA7">
            <w:pPr>
              <w:spacing w:before="40" w:line="240" w:lineRule="auto"/>
              <w:jc w:val="both"/>
              <w:rPr>
                <w:color w:val="auto"/>
                <w:sz w:val="20"/>
                <w:szCs w:val="20"/>
              </w:rPr>
            </w:pPr>
            <w:r w:rsidRPr="00A9330B">
              <w:rPr>
                <w:color w:val="auto"/>
                <w:sz w:val="20"/>
                <w:szCs w:val="20"/>
              </w:rPr>
              <w:t>2.7.a.2.2. Veiller à l’entretien des engins et véhicules de chantier</w:t>
            </w:r>
          </w:p>
        </w:tc>
        <w:tc>
          <w:tcPr>
            <w:tcW w:w="2194" w:type="dxa"/>
          </w:tcPr>
          <w:p w14:paraId="2248D517" w14:textId="77777777" w:rsidR="00B31E28" w:rsidRPr="00A9330B" w:rsidRDefault="00B31E28" w:rsidP="00B31E28">
            <w:pPr>
              <w:spacing w:before="60" w:line="240" w:lineRule="auto"/>
              <w:rPr>
                <w:color w:val="auto"/>
                <w:sz w:val="20"/>
                <w:szCs w:val="20"/>
              </w:rPr>
            </w:pPr>
          </w:p>
        </w:tc>
      </w:tr>
      <w:tr w:rsidR="00B31E28" w:rsidRPr="00A9330B" w14:paraId="56D34AF3" w14:textId="77777777" w:rsidTr="00350C9E">
        <w:tc>
          <w:tcPr>
            <w:tcW w:w="2425" w:type="dxa"/>
            <w:vMerge/>
          </w:tcPr>
          <w:p w14:paraId="73682EFC" w14:textId="77777777" w:rsidR="00B31E28" w:rsidRPr="00A9330B" w:rsidRDefault="00B31E28" w:rsidP="00B31E28">
            <w:pPr>
              <w:spacing w:before="60" w:line="240" w:lineRule="auto"/>
              <w:rPr>
                <w:color w:val="auto"/>
                <w:sz w:val="20"/>
                <w:szCs w:val="20"/>
              </w:rPr>
            </w:pPr>
          </w:p>
        </w:tc>
        <w:tc>
          <w:tcPr>
            <w:tcW w:w="2193" w:type="dxa"/>
            <w:vMerge/>
          </w:tcPr>
          <w:p w14:paraId="7EDF6D62" w14:textId="77777777" w:rsidR="00B31E28" w:rsidRPr="00A9330B" w:rsidRDefault="00B31E28" w:rsidP="00B31E28">
            <w:pPr>
              <w:spacing w:before="60" w:line="240" w:lineRule="auto"/>
              <w:rPr>
                <w:color w:val="auto"/>
                <w:sz w:val="20"/>
                <w:szCs w:val="20"/>
              </w:rPr>
            </w:pPr>
          </w:p>
        </w:tc>
        <w:tc>
          <w:tcPr>
            <w:tcW w:w="2595" w:type="dxa"/>
          </w:tcPr>
          <w:p w14:paraId="5C7441E9" w14:textId="77777777" w:rsidR="00B31E28" w:rsidRPr="00A9330B" w:rsidRDefault="00B31E28" w:rsidP="000F7BA7">
            <w:pPr>
              <w:spacing w:before="60" w:line="240" w:lineRule="auto"/>
              <w:jc w:val="both"/>
              <w:rPr>
                <w:color w:val="auto"/>
                <w:sz w:val="20"/>
                <w:szCs w:val="20"/>
              </w:rPr>
            </w:pPr>
            <w:r w:rsidRPr="00A9330B">
              <w:rPr>
                <w:color w:val="auto"/>
                <w:sz w:val="20"/>
                <w:szCs w:val="20"/>
              </w:rPr>
              <w:t>2.7.a.3. Epandage de matériaux sur les routes</w:t>
            </w:r>
          </w:p>
        </w:tc>
        <w:tc>
          <w:tcPr>
            <w:tcW w:w="1523" w:type="dxa"/>
            <w:vAlign w:val="center"/>
          </w:tcPr>
          <w:p w14:paraId="7311647A" w14:textId="77777777" w:rsidR="00B31E28" w:rsidRPr="00A9330B" w:rsidRDefault="00B31E28" w:rsidP="00B31E28">
            <w:pPr>
              <w:spacing w:before="60" w:line="240" w:lineRule="auto"/>
              <w:rPr>
                <w:color w:val="auto"/>
                <w:sz w:val="20"/>
                <w:szCs w:val="20"/>
              </w:rPr>
            </w:pPr>
            <w:r w:rsidRPr="00A9330B">
              <w:rPr>
                <w:color w:val="auto"/>
                <w:sz w:val="20"/>
                <w:szCs w:val="20"/>
              </w:rPr>
              <w:t xml:space="preserve">Moyenne </w:t>
            </w:r>
          </w:p>
        </w:tc>
        <w:tc>
          <w:tcPr>
            <w:tcW w:w="2641" w:type="dxa"/>
          </w:tcPr>
          <w:p w14:paraId="7D489E8B" w14:textId="77777777" w:rsidR="00B31E28" w:rsidRPr="00A9330B" w:rsidRDefault="00B31E28" w:rsidP="000F7BA7">
            <w:pPr>
              <w:spacing w:before="60" w:line="240" w:lineRule="auto"/>
              <w:jc w:val="both"/>
              <w:rPr>
                <w:color w:val="auto"/>
                <w:sz w:val="20"/>
                <w:szCs w:val="20"/>
              </w:rPr>
            </w:pPr>
            <w:r w:rsidRPr="00A9330B">
              <w:rPr>
                <w:color w:val="auto"/>
                <w:sz w:val="20"/>
                <w:szCs w:val="20"/>
              </w:rPr>
              <w:t>2.7.a.3.1. Couvrir de bâches les camions qui transportent les matériaux  venant des carrières et des emprunts</w:t>
            </w:r>
          </w:p>
        </w:tc>
        <w:tc>
          <w:tcPr>
            <w:tcW w:w="2194" w:type="dxa"/>
          </w:tcPr>
          <w:p w14:paraId="65F72F02" w14:textId="77777777" w:rsidR="00B31E28" w:rsidRPr="00A9330B" w:rsidRDefault="00B31E28" w:rsidP="00B31E28">
            <w:pPr>
              <w:spacing w:before="60" w:line="240" w:lineRule="auto"/>
              <w:rPr>
                <w:color w:val="auto"/>
                <w:sz w:val="20"/>
                <w:szCs w:val="20"/>
              </w:rPr>
            </w:pPr>
          </w:p>
        </w:tc>
      </w:tr>
      <w:tr w:rsidR="00B31E28" w:rsidRPr="00A9330B" w14:paraId="3E3E2A0D" w14:textId="77777777" w:rsidTr="00350C9E">
        <w:tc>
          <w:tcPr>
            <w:tcW w:w="2425" w:type="dxa"/>
            <w:vMerge w:val="restart"/>
          </w:tcPr>
          <w:p w14:paraId="02EF2359" w14:textId="77777777" w:rsidR="00B31E28" w:rsidRPr="00A9330B" w:rsidRDefault="00B31E28" w:rsidP="00B31E28">
            <w:pPr>
              <w:spacing w:before="60" w:line="240" w:lineRule="auto"/>
              <w:rPr>
                <w:color w:val="auto"/>
                <w:sz w:val="20"/>
                <w:szCs w:val="20"/>
              </w:rPr>
            </w:pPr>
            <w:r w:rsidRPr="00A9330B">
              <w:rPr>
                <w:color w:val="auto"/>
                <w:sz w:val="20"/>
                <w:szCs w:val="20"/>
              </w:rPr>
              <w:t>2.8.</w:t>
            </w:r>
          </w:p>
          <w:p w14:paraId="2B2BC35B" w14:textId="77777777" w:rsidR="00B31E28" w:rsidRPr="00A9330B" w:rsidRDefault="00B31E28" w:rsidP="00B31E28">
            <w:pPr>
              <w:spacing w:before="60" w:line="240" w:lineRule="auto"/>
              <w:rPr>
                <w:color w:val="auto"/>
                <w:sz w:val="20"/>
                <w:szCs w:val="20"/>
              </w:rPr>
            </w:pPr>
            <w:r w:rsidRPr="00A9330B">
              <w:rPr>
                <w:color w:val="auto"/>
                <w:sz w:val="20"/>
                <w:szCs w:val="20"/>
              </w:rPr>
              <w:t xml:space="preserve">Travaux de construction des rues </w:t>
            </w:r>
          </w:p>
          <w:p w14:paraId="48F2527A" w14:textId="77777777" w:rsidR="00B31E28" w:rsidRPr="00A9330B" w:rsidRDefault="00B31E28" w:rsidP="00B31E28">
            <w:pPr>
              <w:spacing w:before="60" w:line="240" w:lineRule="auto"/>
              <w:rPr>
                <w:color w:val="auto"/>
                <w:sz w:val="20"/>
                <w:szCs w:val="20"/>
              </w:rPr>
            </w:pPr>
            <w:r w:rsidRPr="00A9330B">
              <w:rPr>
                <w:color w:val="auto"/>
                <w:sz w:val="20"/>
                <w:szCs w:val="20"/>
              </w:rPr>
              <w:lastRenderedPageBreak/>
              <w:t>Construction des caniveaux  drainage</w:t>
            </w:r>
          </w:p>
        </w:tc>
        <w:tc>
          <w:tcPr>
            <w:tcW w:w="2193" w:type="dxa"/>
            <w:vMerge w:val="restart"/>
          </w:tcPr>
          <w:p w14:paraId="1352E9B1" w14:textId="77777777" w:rsidR="00B31E28" w:rsidRPr="00A9330B" w:rsidRDefault="00B31E28" w:rsidP="00B31E28">
            <w:pPr>
              <w:spacing w:before="60" w:line="240" w:lineRule="auto"/>
              <w:rPr>
                <w:color w:val="auto"/>
                <w:sz w:val="20"/>
                <w:szCs w:val="20"/>
              </w:rPr>
            </w:pPr>
            <w:r w:rsidRPr="00A9330B">
              <w:rPr>
                <w:color w:val="auto"/>
                <w:sz w:val="20"/>
                <w:szCs w:val="20"/>
              </w:rPr>
              <w:lastRenderedPageBreak/>
              <w:t>2.8.b.1.Création d’emploi dû aux travaux</w:t>
            </w:r>
          </w:p>
        </w:tc>
        <w:tc>
          <w:tcPr>
            <w:tcW w:w="2595" w:type="dxa"/>
            <w:vMerge w:val="restart"/>
          </w:tcPr>
          <w:p w14:paraId="6EDBD6D5" w14:textId="77777777" w:rsidR="00B31E28" w:rsidRPr="00A9330B" w:rsidRDefault="00B31E28" w:rsidP="000F7BA7">
            <w:pPr>
              <w:spacing w:before="60" w:line="240" w:lineRule="auto"/>
              <w:jc w:val="both"/>
              <w:rPr>
                <w:color w:val="auto"/>
                <w:sz w:val="20"/>
                <w:szCs w:val="20"/>
              </w:rPr>
            </w:pPr>
            <w:r w:rsidRPr="00A9330B">
              <w:rPr>
                <w:color w:val="auto"/>
                <w:sz w:val="20"/>
                <w:szCs w:val="20"/>
              </w:rPr>
              <w:t xml:space="preserve">2.8.a.1. Consommation/destruction de ressources naturelles (abattage d’arbres, destruction de </w:t>
            </w:r>
            <w:r w:rsidRPr="00A9330B">
              <w:rPr>
                <w:color w:val="auto"/>
                <w:sz w:val="20"/>
                <w:szCs w:val="20"/>
              </w:rPr>
              <w:lastRenderedPageBreak/>
              <w:t>champs de culture ou de partie de plantation, pépinières et jardins)</w:t>
            </w:r>
          </w:p>
        </w:tc>
        <w:tc>
          <w:tcPr>
            <w:tcW w:w="1523" w:type="dxa"/>
            <w:vMerge w:val="restart"/>
            <w:vAlign w:val="center"/>
          </w:tcPr>
          <w:p w14:paraId="02CD97AD" w14:textId="77777777" w:rsidR="00B31E28" w:rsidRPr="00A9330B" w:rsidRDefault="00B31E28" w:rsidP="00B31E28">
            <w:pPr>
              <w:spacing w:before="60" w:line="240" w:lineRule="auto"/>
              <w:rPr>
                <w:color w:val="auto"/>
                <w:sz w:val="20"/>
                <w:szCs w:val="20"/>
              </w:rPr>
            </w:pPr>
            <w:r w:rsidRPr="00A9330B">
              <w:rPr>
                <w:color w:val="auto"/>
                <w:sz w:val="20"/>
                <w:szCs w:val="20"/>
              </w:rPr>
              <w:lastRenderedPageBreak/>
              <w:t xml:space="preserve">Forte </w:t>
            </w:r>
          </w:p>
        </w:tc>
        <w:tc>
          <w:tcPr>
            <w:tcW w:w="2641" w:type="dxa"/>
          </w:tcPr>
          <w:p w14:paraId="244089B6" w14:textId="77777777" w:rsidR="00B31E28" w:rsidRPr="00A9330B" w:rsidRDefault="00B31E28" w:rsidP="000F7BA7">
            <w:pPr>
              <w:spacing w:before="60" w:line="240" w:lineRule="auto"/>
              <w:jc w:val="both"/>
              <w:rPr>
                <w:color w:val="auto"/>
                <w:sz w:val="20"/>
                <w:szCs w:val="20"/>
              </w:rPr>
            </w:pPr>
            <w:r w:rsidRPr="00A9330B">
              <w:rPr>
                <w:color w:val="auto"/>
                <w:sz w:val="20"/>
                <w:szCs w:val="20"/>
              </w:rPr>
              <w:t xml:space="preserve">2.8.a.1.1. Elaborer  et mettre en œuvre un plan de reboisement en compensation sur un site identifié </w:t>
            </w:r>
          </w:p>
        </w:tc>
        <w:tc>
          <w:tcPr>
            <w:tcW w:w="2194" w:type="dxa"/>
            <w:vMerge w:val="restart"/>
          </w:tcPr>
          <w:p w14:paraId="5AEFD7FF" w14:textId="77777777" w:rsidR="00B31E28" w:rsidRPr="00A9330B" w:rsidRDefault="00B31E28" w:rsidP="00B31E28">
            <w:pPr>
              <w:spacing w:before="60" w:line="240" w:lineRule="auto"/>
              <w:rPr>
                <w:color w:val="auto"/>
                <w:sz w:val="20"/>
                <w:szCs w:val="20"/>
              </w:rPr>
            </w:pPr>
            <w:r w:rsidRPr="00A9330B">
              <w:rPr>
                <w:color w:val="auto"/>
                <w:sz w:val="20"/>
                <w:szCs w:val="20"/>
              </w:rPr>
              <w:t>2.8.b.2.1 Donner priorité à la main d’œuvre locale à compétence égale</w:t>
            </w:r>
          </w:p>
        </w:tc>
      </w:tr>
      <w:tr w:rsidR="00B31E28" w:rsidRPr="00A9330B" w14:paraId="43191165" w14:textId="77777777" w:rsidTr="00350C9E">
        <w:tc>
          <w:tcPr>
            <w:tcW w:w="2425" w:type="dxa"/>
            <w:vMerge/>
          </w:tcPr>
          <w:p w14:paraId="71E01B72" w14:textId="77777777" w:rsidR="00B31E28" w:rsidRPr="00A9330B" w:rsidRDefault="00B31E28" w:rsidP="00B31E28">
            <w:pPr>
              <w:spacing w:before="60" w:line="240" w:lineRule="auto"/>
              <w:rPr>
                <w:color w:val="auto"/>
                <w:sz w:val="20"/>
                <w:szCs w:val="20"/>
              </w:rPr>
            </w:pPr>
          </w:p>
        </w:tc>
        <w:tc>
          <w:tcPr>
            <w:tcW w:w="2193" w:type="dxa"/>
            <w:vMerge/>
          </w:tcPr>
          <w:p w14:paraId="3D89E5BE" w14:textId="77777777" w:rsidR="00B31E28" w:rsidRPr="00A9330B" w:rsidRDefault="00B31E28" w:rsidP="00B31E28">
            <w:pPr>
              <w:spacing w:before="60" w:line="240" w:lineRule="auto"/>
              <w:rPr>
                <w:color w:val="auto"/>
                <w:sz w:val="20"/>
                <w:szCs w:val="20"/>
              </w:rPr>
            </w:pPr>
          </w:p>
        </w:tc>
        <w:tc>
          <w:tcPr>
            <w:tcW w:w="2595" w:type="dxa"/>
            <w:vMerge/>
          </w:tcPr>
          <w:p w14:paraId="6E3F7147" w14:textId="77777777" w:rsidR="00B31E28" w:rsidRPr="00A9330B" w:rsidRDefault="00B31E28" w:rsidP="000F7BA7">
            <w:pPr>
              <w:spacing w:before="60" w:line="240" w:lineRule="auto"/>
              <w:jc w:val="both"/>
              <w:rPr>
                <w:color w:val="auto"/>
                <w:sz w:val="20"/>
                <w:szCs w:val="20"/>
              </w:rPr>
            </w:pPr>
          </w:p>
        </w:tc>
        <w:tc>
          <w:tcPr>
            <w:tcW w:w="1523" w:type="dxa"/>
            <w:vMerge/>
            <w:vAlign w:val="center"/>
          </w:tcPr>
          <w:p w14:paraId="12E9A708" w14:textId="77777777" w:rsidR="00B31E28" w:rsidRPr="00A9330B" w:rsidRDefault="00B31E28" w:rsidP="00B31E28">
            <w:pPr>
              <w:spacing w:before="60" w:line="240" w:lineRule="auto"/>
              <w:rPr>
                <w:color w:val="auto"/>
                <w:sz w:val="20"/>
                <w:szCs w:val="20"/>
              </w:rPr>
            </w:pPr>
          </w:p>
        </w:tc>
        <w:tc>
          <w:tcPr>
            <w:tcW w:w="2641" w:type="dxa"/>
          </w:tcPr>
          <w:p w14:paraId="28B9A9A9" w14:textId="77777777" w:rsidR="00B31E28" w:rsidRPr="00A9330B" w:rsidRDefault="00B31E28" w:rsidP="000F7BA7">
            <w:pPr>
              <w:spacing w:before="60" w:line="240" w:lineRule="auto"/>
              <w:jc w:val="both"/>
              <w:rPr>
                <w:color w:val="auto"/>
                <w:sz w:val="20"/>
                <w:szCs w:val="20"/>
              </w:rPr>
            </w:pPr>
            <w:r w:rsidRPr="00A9330B">
              <w:rPr>
                <w:color w:val="auto"/>
                <w:sz w:val="20"/>
                <w:szCs w:val="20"/>
              </w:rPr>
              <w:t xml:space="preserve">2.8.a.1.2. Faire un aménagement paysager les rues </w:t>
            </w:r>
          </w:p>
        </w:tc>
        <w:tc>
          <w:tcPr>
            <w:tcW w:w="2194" w:type="dxa"/>
            <w:vMerge/>
          </w:tcPr>
          <w:p w14:paraId="75AE845E" w14:textId="77777777" w:rsidR="00B31E28" w:rsidRPr="00A9330B" w:rsidRDefault="00B31E28" w:rsidP="00B31E28">
            <w:pPr>
              <w:spacing w:before="60" w:line="240" w:lineRule="auto"/>
              <w:rPr>
                <w:color w:val="auto"/>
                <w:sz w:val="20"/>
                <w:szCs w:val="20"/>
              </w:rPr>
            </w:pPr>
          </w:p>
        </w:tc>
      </w:tr>
      <w:tr w:rsidR="00B31E28" w:rsidRPr="00A9330B" w14:paraId="3A525BEB" w14:textId="77777777" w:rsidTr="00350C9E">
        <w:tc>
          <w:tcPr>
            <w:tcW w:w="2425" w:type="dxa"/>
            <w:vMerge/>
          </w:tcPr>
          <w:p w14:paraId="33BD2449" w14:textId="77777777" w:rsidR="00B31E28" w:rsidRPr="00A9330B" w:rsidRDefault="00B31E28" w:rsidP="00B31E28">
            <w:pPr>
              <w:spacing w:before="60" w:line="240" w:lineRule="auto"/>
              <w:rPr>
                <w:color w:val="auto"/>
                <w:sz w:val="20"/>
                <w:szCs w:val="20"/>
              </w:rPr>
            </w:pPr>
          </w:p>
        </w:tc>
        <w:tc>
          <w:tcPr>
            <w:tcW w:w="2193" w:type="dxa"/>
            <w:vMerge/>
          </w:tcPr>
          <w:p w14:paraId="7A25E121" w14:textId="77777777" w:rsidR="00B31E28" w:rsidRPr="00A9330B" w:rsidRDefault="00B31E28" w:rsidP="00B31E28">
            <w:pPr>
              <w:spacing w:before="60" w:line="240" w:lineRule="auto"/>
              <w:rPr>
                <w:color w:val="auto"/>
                <w:sz w:val="20"/>
                <w:szCs w:val="20"/>
              </w:rPr>
            </w:pPr>
          </w:p>
        </w:tc>
        <w:tc>
          <w:tcPr>
            <w:tcW w:w="2595" w:type="dxa"/>
            <w:vMerge/>
          </w:tcPr>
          <w:p w14:paraId="1A3A9C50" w14:textId="77777777" w:rsidR="00B31E28" w:rsidRPr="00A9330B" w:rsidRDefault="00B31E28" w:rsidP="000F7BA7">
            <w:pPr>
              <w:spacing w:before="60" w:line="240" w:lineRule="auto"/>
              <w:jc w:val="both"/>
              <w:rPr>
                <w:color w:val="auto"/>
                <w:sz w:val="20"/>
                <w:szCs w:val="20"/>
              </w:rPr>
            </w:pPr>
          </w:p>
        </w:tc>
        <w:tc>
          <w:tcPr>
            <w:tcW w:w="1523" w:type="dxa"/>
            <w:vMerge/>
            <w:vAlign w:val="center"/>
          </w:tcPr>
          <w:p w14:paraId="558B5D23" w14:textId="77777777" w:rsidR="00B31E28" w:rsidRPr="00A9330B" w:rsidRDefault="00B31E28" w:rsidP="00B31E28">
            <w:pPr>
              <w:spacing w:before="60" w:line="240" w:lineRule="auto"/>
              <w:rPr>
                <w:color w:val="auto"/>
                <w:sz w:val="20"/>
                <w:szCs w:val="20"/>
              </w:rPr>
            </w:pPr>
          </w:p>
        </w:tc>
        <w:tc>
          <w:tcPr>
            <w:tcW w:w="2641" w:type="dxa"/>
          </w:tcPr>
          <w:p w14:paraId="5E80EAC5" w14:textId="77777777" w:rsidR="00B31E28" w:rsidRPr="00A9330B" w:rsidRDefault="00B31E28" w:rsidP="000F7BA7">
            <w:pPr>
              <w:spacing w:before="60" w:line="240" w:lineRule="auto"/>
              <w:jc w:val="both"/>
              <w:rPr>
                <w:color w:val="auto"/>
                <w:sz w:val="20"/>
                <w:szCs w:val="20"/>
              </w:rPr>
            </w:pPr>
            <w:r w:rsidRPr="00A9330B">
              <w:rPr>
                <w:color w:val="auto"/>
                <w:sz w:val="20"/>
                <w:szCs w:val="20"/>
              </w:rPr>
              <w:t>2.8.a.1.3. Préserver les essences de valeur situées le long des rues à aménager</w:t>
            </w:r>
          </w:p>
        </w:tc>
        <w:tc>
          <w:tcPr>
            <w:tcW w:w="2194" w:type="dxa"/>
            <w:vMerge/>
          </w:tcPr>
          <w:p w14:paraId="12BB665B" w14:textId="77777777" w:rsidR="00B31E28" w:rsidRPr="00A9330B" w:rsidRDefault="00B31E28" w:rsidP="00B31E28">
            <w:pPr>
              <w:spacing w:before="60" w:line="240" w:lineRule="auto"/>
              <w:rPr>
                <w:color w:val="auto"/>
                <w:sz w:val="20"/>
                <w:szCs w:val="20"/>
              </w:rPr>
            </w:pPr>
          </w:p>
        </w:tc>
      </w:tr>
      <w:tr w:rsidR="00B31E28" w:rsidRPr="00A9330B" w14:paraId="0D2E05A4" w14:textId="77777777" w:rsidTr="00350C9E">
        <w:trPr>
          <w:trHeight w:val="456"/>
        </w:trPr>
        <w:tc>
          <w:tcPr>
            <w:tcW w:w="2425" w:type="dxa"/>
            <w:vMerge/>
          </w:tcPr>
          <w:p w14:paraId="049D1C51" w14:textId="77777777" w:rsidR="00B31E28" w:rsidRPr="00A9330B" w:rsidRDefault="00B31E28" w:rsidP="00B31E28">
            <w:pPr>
              <w:spacing w:before="60" w:line="240" w:lineRule="auto"/>
              <w:rPr>
                <w:color w:val="auto"/>
                <w:sz w:val="20"/>
                <w:szCs w:val="20"/>
              </w:rPr>
            </w:pPr>
          </w:p>
        </w:tc>
        <w:tc>
          <w:tcPr>
            <w:tcW w:w="2193" w:type="dxa"/>
            <w:vMerge w:val="restart"/>
          </w:tcPr>
          <w:p w14:paraId="1A541004" w14:textId="77777777" w:rsidR="00B31E28" w:rsidRPr="00A9330B" w:rsidRDefault="00B31E28" w:rsidP="00B31E28">
            <w:pPr>
              <w:spacing w:before="60" w:line="240" w:lineRule="auto"/>
              <w:rPr>
                <w:color w:val="auto"/>
                <w:sz w:val="20"/>
                <w:szCs w:val="20"/>
              </w:rPr>
            </w:pPr>
            <w:r w:rsidRPr="00A9330B">
              <w:rPr>
                <w:color w:val="auto"/>
                <w:sz w:val="20"/>
                <w:szCs w:val="20"/>
              </w:rPr>
              <w:t>2.8.b.2. Création d’opportunités économiques pour les prestataires</w:t>
            </w:r>
          </w:p>
        </w:tc>
        <w:tc>
          <w:tcPr>
            <w:tcW w:w="2595" w:type="dxa"/>
            <w:vMerge w:val="restart"/>
          </w:tcPr>
          <w:p w14:paraId="25F732F6" w14:textId="77777777" w:rsidR="00B31E28" w:rsidRPr="00A9330B" w:rsidRDefault="00B31E28" w:rsidP="000F7BA7">
            <w:pPr>
              <w:spacing w:before="60" w:line="240" w:lineRule="auto"/>
              <w:jc w:val="both"/>
              <w:rPr>
                <w:color w:val="auto"/>
                <w:sz w:val="20"/>
                <w:szCs w:val="20"/>
              </w:rPr>
            </w:pPr>
            <w:r w:rsidRPr="00A9330B">
              <w:rPr>
                <w:color w:val="auto"/>
                <w:sz w:val="20"/>
                <w:szCs w:val="20"/>
              </w:rPr>
              <w:t>2.8.a.2 Pollution des eaux de surface et leur contamination par des substances dangereuses (engins et activités de construction de la route)</w:t>
            </w:r>
          </w:p>
        </w:tc>
        <w:tc>
          <w:tcPr>
            <w:tcW w:w="1523" w:type="dxa"/>
            <w:vMerge w:val="restart"/>
            <w:vAlign w:val="center"/>
          </w:tcPr>
          <w:p w14:paraId="176AC21D" w14:textId="77777777" w:rsidR="00B31E28" w:rsidRPr="00A9330B" w:rsidRDefault="00B31E28" w:rsidP="00B31E28">
            <w:pPr>
              <w:spacing w:before="60" w:line="240" w:lineRule="auto"/>
              <w:rPr>
                <w:color w:val="auto"/>
                <w:sz w:val="20"/>
                <w:szCs w:val="20"/>
              </w:rPr>
            </w:pPr>
            <w:r w:rsidRPr="00A9330B">
              <w:rPr>
                <w:color w:val="auto"/>
                <w:sz w:val="20"/>
                <w:szCs w:val="20"/>
              </w:rPr>
              <w:t xml:space="preserve">Moyenne </w:t>
            </w:r>
          </w:p>
        </w:tc>
        <w:tc>
          <w:tcPr>
            <w:tcW w:w="2641" w:type="dxa"/>
          </w:tcPr>
          <w:p w14:paraId="75A59598" w14:textId="77777777" w:rsidR="00B31E28" w:rsidRPr="00A9330B" w:rsidRDefault="00B31E28" w:rsidP="000F7BA7">
            <w:pPr>
              <w:spacing w:before="60" w:line="240" w:lineRule="auto"/>
              <w:jc w:val="both"/>
              <w:rPr>
                <w:color w:val="auto"/>
                <w:sz w:val="20"/>
                <w:szCs w:val="20"/>
              </w:rPr>
            </w:pPr>
            <w:r w:rsidRPr="00A9330B">
              <w:rPr>
                <w:color w:val="auto"/>
                <w:sz w:val="20"/>
                <w:szCs w:val="20"/>
              </w:rPr>
              <w:t xml:space="preserve">2.8.a.2.1. Aménager des aires étanches pour la manipulation des huiles usagées et des substances dangereuses </w:t>
            </w:r>
          </w:p>
        </w:tc>
        <w:tc>
          <w:tcPr>
            <w:tcW w:w="2194" w:type="dxa"/>
            <w:vMerge w:val="restart"/>
          </w:tcPr>
          <w:p w14:paraId="6C68D7DC" w14:textId="77777777" w:rsidR="00B31E28" w:rsidRPr="00A9330B" w:rsidRDefault="00B31E28" w:rsidP="00B31E28">
            <w:pPr>
              <w:spacing w:before="60" w:line="240" w:lineRule="auto"/>
              <w:rPr>
                <w:color w:val="auto"/>
                <w:sz w:val="20"/>
                <w:szCs w:val="20"/>
              </w:rPr>
            </w:pPr>
            <w:r w:rsidRPr="00A9330B">
              <w:rPr>
                <w:color w:val="auto"/>
                <w:sz w:val="20"/>
                <w:szCs w:val="20"/>
              </w:rPr>
              <w:t>2.8.b.2.2. Faire la promotion des prestataires locaux</w:t>
            </w:r>
          </w:p>
        </w:tc>
      </w:tr>
      <w:tr w:rsidR="00B31E28" w:rsidRPr="00A9330B" w14:paraId="0AADC908" w14:textId="77777777" w:rsidTr="00350C9E">
        <w:trPr>
          <w:trHeight w:val="456"/>
        </w:trPr>
        <w:tc>
          <w:tcPr>
            <w:tcW w:w="2425" w:type="dxa"/>
            <w:vMerge/>
          </w:tcPr>
          <w:p w14:paraId="399B1BA7" w14:textId="77777777" w:rsidR="00B31E28" w:rsidRPr="00A9330B" w:rsidRDefault="00B31E28" w:rsidP="00B31E28">
            <w:pPr>
              <w:spacing w:before="60" w:line="240" w:lineRule="auto"/>
              <w:rPr>
                <w:color w:val="auto"/>
                <w:sz w:val="20"/>
                <w:szCs w:val="20"/>
              </w:rPr>
            </w:pPr>
          </w:p>
        </w:tc>
        <w:tc>
          <w:tcPr>
            <w:tcW w:w="2193" w:type="dxa"/>
            <w:vMerge/>
          </w:tcPr>
          <w:p w14:paraId="0E809C8E" w14:textId="77777777" w:rsidR="00B31E28" w:rsidRPr="00A9330B" w:rsidRDefault="00B31E28" w:rsidP="00B31E28">
            <w:pPr>
              <w:spacing w:before="60" w:line="240" w:lineRule="auto"/>
              <w:rPr>
                <w:color w:val="auto"/>
                <w:sz w:val="20"/>
                <w:szCs w:val="20"/>
              </w:rPr>
            </w:pPr>
          </w:p>
        </w:tc>
        <w:tc>
          <w:tcPr>
            <w:tcW w:w="2595" w:type="dxa"/>
            <w:vMerge/>
          </w:tcPr>
          <w:p w14:paraId="7702A09D" w14:textId="77777777" w:rsidR="00B31E28" w:rsidRPr="00A9330B" w:rsidRDefault="00B31E28" w:rsidP="00B31E28">
            <w:pPr>
              <w:spacing w:before="60" w:line="240" w:lineRule="auto"/>
              <w:rPr>
                <w:color w:val="auto"/>
                <w:sz w:val="20"/>
                <w:szCs w:val="20"/>
              </w:rPr>
            </w:pPr>
          </w:p>
        </w:tc>
        <w:tc>
          <w:tcPr>
            <w:tcW w:w="1523" w:type="dxa"/>
            <w:vMerge/>
            <w:vAlign w:val="center"/>
          </w:tcPr>
          <w:p w14:paraId="3AD8AD9B" w14:textId="77777777" w:rsidR="00B31E28" w:rsidRPr="00A9330B" w:rsidRDefault="00B31E28" w:rsidP="00B31E28">
            <w:pPr>
              <w:spacing w:before="60" w:line="240" w:lineRule="auto"/>
              <w:rPr>
                <w:color w:val="auto"/>
                <w:sz w:val="20"/>
                <w:szCs w:val="20"/>
              </w:rPr>
            </w:pPr>
          </w:p>
        </w:tc>
        <w:tc>
          <w:tcPr>
            <w:tcW w:w="2641" w:type="dxa"/>
          </w:tcPr>
          <w:p w14:paraId="2588F5D7" w14:textId="77777777" w:rsidR="00B31E28" w:rsidRPr="00A9330B" w:rsidRDefault="00B31E28" w:rsidP="000F7BA7">
            <w:pPr>
              <w:spacing w:before="60" w:line="240" w:lineRule="auto"/>
              <w:jc w:val="both"/>
              <w:rPr>
                <w:color w:val="auto"/>
                <w:sz w:val="20"/>
                <w:szCs w:val="20"/>
              </w:rPr>
            </w:pPr>
            <w:r w:rsidRPr="00A9330B">
              <w:rPr>
                <w:color w:val="auto"/>
                <w:sz w:val="20"/>
                <w:szCs w:val="20"/>
              </w:rPr>
              <w:t xml:space="preserve">2.8.a.2.2. Eviter le déversement d’huiles usagées et de déchets dans les  exutoires  </w:t>
            </w:r>
          </w:p>
        </w:tc>
        <w:tc>
          <w:tcPr>
            <w:tcW w:w="2194" w:type="dxa"/>
            <w:vMerge/>
          </w:tcPr>
          <w:p w14:paraId="124C0D7A" w14:textId="77777777" w:rsidR="00B31E28" w:rsidRPr="00A9330B" w:rsidRDefault="00B31E28" w:rsidP="00B31E28">
            <w:pPr>
              <w:spacing w:before="60" w:line="240" w:lineRule="auto"/>
              <w:rPr>
                <w:color w:val="auto"/>
                <w:sz w:val="20"/>
                <w:szCs w:val="20"/>
              </w:rPr>
            </w:pPr>
          </w:p>
        </w:tc>
      </w:tr>
      <w:tr w:rsidR="00B31E28" w:rsidRPr="00A9330B" w14:paraId="11835762" w14:textId="77777777" w:rsidTr="00350C9E">
        <w:trPr>
          <w:trHeight w:val="456"/>
        </w:trPr>
        <w:tc>
          <w:tcPr>
            <w:tcW w:w="2425" w:type="dxa"/>
            <w:vMerge/>
          </w:tcPr>
          <w:p w14:paraId="4805E4DD" w14:textId="77777777" w:rsidR="00B31E28" w:rsidRPr="00A9330B" w:rsidRDefault="00B31E28" w:rsidP="00B31E28">
            <w:pPr>
              <w:spacing w:before="60" w:line="240" w:lineRule="auto"/>
              <w:rPr>
                <w:color w:val="auto"/>
                <w:sz w:val="20"/>
                <w:szCs w:val="20"/>
              </w:rPr>
            </w:pPr>
          </w:p>
        </w:tc>
        <w:tc>
          <w:tcPr>
            <w:tcW w:w="2193" w:type="dxa"/>
            <w:vMerge/>
          </w:tcPr>
          <w:p w14:paraId="2529CB87" w14:textId="77777777" w:rsidR="00B31E28" w:rsidRPr="00A9330B" w:rsidRDefault="00B31E28" w:rsidP="00B31E28">
            <w:pPr>
              <w:spacing w:before="60" w:line="240" w:lineRule="auto"/>
              <w:rPr>
                <w:color w:val="auto"/>
                <w:sz w:val="20"/>
                <w:szCs w:val="20"/>
              </w:rPr>
            </w:pPr>
          </w:p>
        </w:tc>
        <w:tc>
          <w:tcPr>
            <w:tcW w:w="2595" w:type="dxa"/>
            <w:vMerge/>
          </w:tcPr>
          <w:p w14:paraId="4F71BA55" w14:textId="77777777" w:rsidR="00B31E28" w:rsidRPr="00A9330B" w:rsidRDefault="00B31E28" w:rsidP="00B31E28">
            <w:pPr>
              <w:spacing w:before="60" w:line="240" w:lineRule="auto"/>
              <w:rPr>
                <w:color w:val="auto"/>
                <w:sz w:val="20"/>
                <w:szCs w:val="20"/>
              </w:rPr>
            </w:pPr>
          </w:p>
        </w:tc>
        <w:tc>
          <w:tcPr>
            <w:tcW w:w="1523" w:type="dxa"/>
            <w:vMerge/>
            <w:vAlign w:val="center"/>
          </w:tcPr>
          <w:p w14:paraId="590622DF" w14:textId="77777777" w:rsidR="00B31E28" w:rsidRPr="00A9330B" w:rsidRDefault="00B31E28" w:rsidP="00B31E28">
            <w:pPr>
              <w:spacing w:before="60" w:line="240" w:lineRule="auto"/>
              <w:rPr>
                <w:color w:val="auto"/>
                <w:sz w:val="20"/>
                <w:szCs w:val="20"/>
              </w:rPr>
            </w:pPr>
          </w:p>
        </w:tc>
        <w:tc>
          <w:tcPr>
            <w:tcW w:w="2641" w:type="dxa"/>
          </w:tcPr>
          <w:p w14:paraId="5B74B69A" w14:textId="77777777" w:rsidR="00B31E28" w:rsidRPr="00A9330B" w:rsidRDefault="00B31E28" w:rsidP="000F7BA7">
            <w:pPr>
              <w:spacing w:before="60" w:line="240" w:lineRule="auto"/>
              <w:jc w:val="both"/>
              <w:rPr>
                <w:color w:val="auto"/>
                <w:sz w:val="20"/>
                <w:szCs w:val="20"/>
              </w:rPr>
            </w:pPr>
            <w:r w:rsidRPr="00A9330B">
              <w:rPr>
                <w:color w:val="auto"/>
                <w:sz w:val="20"/>
                <w:szCs w:val="20"/>
              </w:rPr>
              <w:t>2.8.a.2.3. Interdire le nettoyage des engins et véhicules de chantiers au bord des plans d’eau</w:t>
            </w:r>
          </w:p>
        </w:tc>
        <w:tc>
          <w:tcPr>
            <w:tcW w:w="2194" w:type="dxa"/>
            <w:vMerge/>
          </w:tcPr>
          <w:p w14:paraId="278E19DF" w14:textId="77777777" w:rsidR="00B31E28" w:rsidRPr="00A9330B" w:rsidRDefault="00B31E28" w:rsidP="00B31E28">
            <w:pPr>
              <w:spacing w:before="60" w:line="240" w:lineRule="auto"/>
              <w:rPr>
                <w:color w:val="auto"/>
                <w:sz w:val="20"/>
                <w:szCs w:val="20"/>
              </w:rPr>
            </w:pPr>
          </w:p>
        </w:tc>
      </w:tr>
      <w:tr w:rsidR="00B31E28" w:rsidRPr="00A9330B" w14:paraId="7C6B9ED3" w14:textId="77777777" w:rsidTr="00350C9E">
        <w:trPr>
          <w:trHeight w:val="456"/>
        </w:trPr>
        <w:tc>
          <w:tcPr>
            <w:tcW w:w="2425" w:type="dxa"/>
            <w:vMerge/>
          </w:tcPr>
          <w:p w14:paraId="76BBF622" w14:textId="77777777" w:rsidR="00B31E28" w:rsidRPr="00A9330B" w:rsidRDefault="00B31E28" w:rsidP="00B31E28">
            <w:pPr>
              <w:spacing w:before="60" w:line="240" w:lineRule="auto"/>
              <w:rPr>
                <w:color w:val="auto"/>
                <w:sz w:val="20"/>
                <w:szCs w:val="20"/>
              </w:rPr>
            </w:pPr>
          </w:p>
        </w:tc>
        <w:tc>
          <w:tcPr>
            <w:tcW w:w="2193" w:type="dxa"/>
            <w:vMerge/>
          </w:tcPr>
          <w:p w14:paraId="23DE64A6" w14:textId="77777777" w:rsidR="00B31E28" w:rsidRPr="00A9330B" w:rsidRDefault="00B31E28" w:rsidP="00B31E28">
            <w:pPr>
              <w:spacing w:before="60" w:line="240" w:lineRule="auto"/>
              <w:rPr>
                <w:color w:val="auto"/>
                <w:sz w:val="20"/>
                <w:szCs w:val="20"/>
              </w:rPr>
            </w:pPr>
          </w:p>
        </w:tc>
        <w:tc>
          <w:tcPr>
            <w:tcW w:w="2595" w:type="dxa"/>
            <w:vMerge/>
          </w:tcPr>
          <w:p w14:paraId="25C7F62B" w14:textId="77777777" w:rsidR="00B31E28" w:rsidRPr="00A9330B" w:rsidRDefault="00B31E28" w:rsidP="00B31E28">
            <w:pPr>
              <w:spacing w:before="60" w:line="240" w:lineRule="auto"/>
              <w:rPr>
                <w:color w:val="auto"/>
                <w:sz w:val="20"/>
                <w:szCs w:val="20"/>
              </w:rPr>
            </w:pPr>
          </w:p>
        </w:tc>
        <w:tc>
          <w:tcPr>
            <w:tcW w:w="1523" w:type="dxa"/>
            <w:vMerge/>
            <w:vAlign w:val="center"/>
          </w:tcPr>
          <w:p w14:paraId="033B9C80" w14:textId="77777777" w:rsidR="00B31E28" w:rsidRPr="00A9330B" w:rsidRDefault="00B31E28" w:rsidP="00B31E28">
            <w:pPr>
              <w:spacing w:before="60" w:line="240" w:lineRule="auto"/>
              <w:rPr>
                <w:color w:val="auto"/>
                <w:sz w:val="20"/>
                <w:szCs w:val="20"/>
              </w:rPr>
            </w:pPr>
          </w:p>
        </w:tc>
        <w:tc>
          <w:tcPr>
            <w:tcW w:w="2641" w:type="dxa"/>
          </w:tcPr>
          <w:p w14:paraId="20EF9BEA" w14:textId="77777777" w:rsidR="00B31E28" w:rsidRPr="00A9330B" w:rsidRDefault="00B31E28" w:rsidP="000F7BA7">
            <w:pPr>
              <w:spacing w:before="60" w:line="240" w:lineRule="auto"/>
              <w:jc w:val="both"/>
              <w:rPr>
                <w:color w:val="auto"/>
                <w:sz w:val="20"/>
                <w:szCs w:val="20"/>
              </w:rPr>
            </w:pPr>
            <w:r w:rsidRPr="00A9330B">
              <w:rPr>
                <w:color w:val="auto"/>
                <w:sz w:val="20"/>
                <w:szCs w:val="20"/>
              </w:rPr>
              <w:t>2.8.a.2.4. Respecter les prescriptions environnementales (installation de chantier, entretien des véhicules et engins, gestion des substances dangereuses…)</w:t>
            </w:r>
          </w:p>
        </w:tc>
        <w:tc>
          <w:tcPr>
            <w:tcW w:w="2194" w:type="dxa"/>
            <w:vMerge/>
          </w:tcPr>
          <w:p w14:paraId="233D2971" w14:textId="77777777" w:rsidR="00B31E28" w:rsidRPr="00A9330B" w:rsidRDefault="00B31E28" w:rsidP="00B31E28">
            <w:pPr>
              <w:spacing w:before="60" w:line="240" w:lineRule="auto"/>
              <w:rPr>
                <w:color w:val="auto"/>
                <w:sz w:val="20"/>
                <w:szCs w:val="20"/>
              </w:rPr>
            </w:pPr>
          </w:p>
        </w:tc>
      </w:tr>
      <w:tr w:rsidR="00B31E28" w:rsidRPr="00A9330B" w14:paraId="18864A79" w14:textId="77777777" w:rsidTr="00350C9E">
        <w:trPr>
          <w:trHeight w:val="456"/>
        </w:trPr>
        <w:tc>
          <w:tcPr>
            <w:tcW w:w="2425" w:type="dxa"/>
            <w:vMerge/>
          </w:tcPr>
          <w:p w14:paraId="47B90F7F" w14:textId="77777777" w:rsidR="00B31E28" w:rsidRPr="00A9330B" w:rsidRDefault="00B31E28" w:rsidP="00B31E28">
            <w:pPr>
              <w:spacing w:before="60" w:line="240" w:lineRule="auto"/>
              <w:rPr>
                <w:color w:val="auto"/>
                <w:sz w:val="20"/>
                <w:szCs w:val="20"/>
              </w:rPr>
            </w:pPr>
          </w:p>
        </w:tc>
        <w:tc>
          <w:tcPr>
            <w:tcW w:w="2193" w:type="dxa"/>
            <w:vMerge/>
          </w:tcPr>
          <w:p w14:paraId="219444F1" w14:textId="77777777" w:rsidR="00B31E28" w:rsidRPr="00A9330B" w:rsidRDefault="00B31E28" w:rsidP="00B31E28">
            <w:pPr>
              <w:spacing w:before="60" w:line="240" w:lineRule="auto"/>
              <w:rPr>
                <w:color w:val="auto"/>
                <w:sz w:val="20"/>
                <w:szCs w:val="20"/>
              </w:rPr>
            </w:pPr>
          </w:p>
        </w:tc>
        <w:tc>
          <w:tcPr>
            <w:tcW w:w="2595" w:type="dxa"/>
            <w:vMerge/>
          </w:tcPr>
          <w:p w14:paraId="5025A82B" w14:textId="77777777" w:rsidR="00B31E28" w:rsidRPr="00A9330B" w:rsidRDefault="00B31E28" w:rsidP="00B31E28">
            <w:pPr>
              <w:spacing w:before="60" w:line="240" w:lineRule="auto"/>
              <w:rPr>
                <w:color w:val="auto"/>
                <w:sz w:val="20"/>
                <w:szCs w:val="20"/>
              </w:rPr>
            </w:pPr>
          </w:p>
        </w:tc>
        <w:tc>
          <w:tcPr>
            <w:tcW w:w="1523" w:type="dxa"/>
            <w:vMerge/>
            <w:vAlign w:val="center"/>
          </w:tcPr>
          <w:p w14:paraId="4FB1528F" w14:textId="77777777" w:rsidR="00B31E28" w:rsidRPr="00A9330B" w:rsidRDefault="00B31E28" w:rsidP="00B31E28">
            <w:pPr>
              <w:spacing w:before="60" w:line="240" w:lineRule="auto"/>
              <w:rPr>
                <w:color w:val="auto"/>
                <w:sz w:val="20"/>
                <w:szCs w:val="20"/>
              </w:rPr>
            </w:pPr>
          </w:p>
        </w:tc>
        <w:tc>
          <w:tcPr>
            <w:tcW w:w="2641" w:type="dxa"/>
          </w:tcPr>
          <w:p w14:paraId="60B92917" w14:textId="77777777" w:rsidR="00B31E28" w:rsidRPr="00A9330B" w:rsidRDefault="00B31E28" w:rsidP="000F7BA7">
            <w:pPr>
              <w:spacing w:before="60" w:line="240" w:lineRule="auto"/>
              <w:jc w:val="both"/>
              <w:rPr>
                <w:color w:val="auto"/>
                <w:sz w:val="20"/>
                <w:szCs w:val="20"/>
              </w:rPr>
            </w:pPr>
            <w:r w:rsidRPr="00A9330B">
              <w:rPr>
                <w:color w:val="auto"/>
                <w:sz w:val="20"/>
                <w:szCs w:val="20"/>
              </w:rPr>
              <w:t>2.8.a.2.5. Veiller à la collecte et à l’enlèvement des huiles usagées et des substances dangereuses par une structure agréée</w:t>
            </w:r>
          </w:p>
        </w:tc>
        <w:tc>
          <w:tcPr>
            <w:tcW w:w="2194" w:type="dxa"/>
            <w:vMerge/>
          </w:tcPr>
          <w:p w14:paraId="3A6A3BD6" w14:textId="77777777" w:rsidR="00B31E28" w:rsidRPr="00A9330B" w:rsidRDefault="00B31E28" w:rsidP="00B31E28">
            <w:pPr>
              <w:spacing w:before="60" w:line="240" w:lineRule="auto"/>
              <w:rPr>
                <w:color w:val="auto"/>
                <w:sz w:val="20"/>
                <w:szCs w:val="20"/>
              </w:rPr>
            </w:pPr>
          </w:p>
        </w:tc>
      </w:tr>
      <w:tr w:rsidR="00B31E28" w:rsidRPr="00A9330B" w14:paraId="7D810AE5" w14:textId="77777777" w:rsidTr="00350C9E">
        <w:tc>
          <w:tcPr>
            <w:tcW w:w="2425" w:type="dxa"/>
            <w:vMerge/>
          </w:tcPr>
          <w:p w14:paraId="72E3D39A" w14:textId="77777777" w:rsidR="00B31E28" w:rsidRPr="00A9330B" w:rsidRDefault="00B31E28" w:rsidP="00B31E28">
            <w:pPr>
              <w:spacing w:before="60" w:line="240" w:lineRule="auto"/>
              <w:rPr>
                <w:color w:val="auto"/>
                <w:sz w:val="20"/>
                <w:szCs w:val="20"/>
              </w:rPr>
            </w:pPr>
          </w:p>
        </w:tc>
        <w:tc>
          <w:tcPr>
            <w:tcW w:w="2193" w:type="dxa"/>
            <w:vMerge w:val="restart"/>
          </w:tcPr>
          <w:p w14:paraId="2939BE5F" w14:textId="77777777" w:rsidR="00B31E28" w:rsidRPr="00A9330B" w:rsidRDefault="00B31E28" w:rsidP="00B31E28">
            <w:pPr>
              <w:spacing w:before="60" w:line="240" w:lineRule="auto"/>
              <w:rPr>
                <w:color w:val="auto"/>
                <w:sz w:val="20"/>
                <w:szCs w:val="20"/>
              </w:rPr>
            </w:pPr>
            <w:r w:rsidRPr="00A9330B">
              <w:rPr>
                <w:color w:val="auto"/>
                <w:sz w:val="20"/>
                <w:szCs w:val="20"/>
              </w:rPr>
              <w:t>2.8.b.3. Amélioration de l’accessibilité</w:t>
            </w:r>
          </w:p>
        </w:tc>
        <w:tc>
          <w:tcPr>
            <w:tcW w:w="2595" w:type="dxa"/>
            <w:vMerge w:val="restart"/>
          </w:tcPr>
          <w:p w14:paraId="27490D11" w14:textId="77777777" w:rsidR="00B31E28" w:rsidRPr="00A9330B" w:rsidRDefault="00B31E28" w:rsidP="000F7BA7">
            <w:pPr>
              <w:spacing w:before="60" w:line="240" w:lineRule="auto"/>
              <w:jc w:val="both"/>
              <w:rPr>
                <w:color w:val="auto"/>
                <w:sz w:val="20"/>
                <w:szCs w:val="20"/>
              </w:rPr>
            </w:pPr>
            <w:r w:rsidRPr="00A9330B">
              <w:rPr>
                <w:color w:val="auto"/>
                <w:sz w:val="20"/>
                <w:szCs w:val="20"/>
              </w:rPr>
              <w:t>2.8.a.3. Fuites ou déversements accidentels de produits (huiles usagées, bitume, autres)</w:t>
            </w:r>
          </w:p>
        </w:tc>
        <w:tc>
          <w:tcPr>
            <w:tcW w:w="1523" w:type="dxa"/>
            <w:vMerge w:val="restart"/>
            <w:vAlign w:val="center"/>
          </w:tcPr>
          <w:p w14:paraId="388714C0" w14:textId="77777777" w:rsidR="00B31E28" w:rsidRPr="00A9330B" w:rsidRDefault="00B31E28" w:rsidP="00B31E28">
            <w:pPr>
              <w:spacing w:before="60" w:line="240" w:lineRule="auto"/>
              <w:rPr>
                <w:color w:val="auto"/>
                <w:sz w:val="20"/>
                <w:szCs w:val="20"/>
              </w:rPr>
            </w:pPr>
            <w:r w:rsidRPr="00A9330B">
              <w:rPr>
                <w:color w:val="auto"/>
                <w:sz w:val="20"/>
                <w:szCs w:val="20"/>
              </w:rPr>
              <w:t>Moyenne</w:t>
            </w:r>
          </w:p>
        </w:tc>
        <w:tc>
          <w:tcPr>
            <w:tcW w:w="2641" w:type="dxa"/>
          </w:tcPr>
          <w:p w14:paraId="3133DFD8" w14:textId="77777777" w:rsidR="00B31E28" w:rsidRPr="00A9330B" w:rsidRDefault="00B31E28" w:rsidP="000F7BA7">
            <w:pPr>
              <w:spacing w:before="60" w:line="240" w:lineRule="auto"/>
              <w:jc w:val="both"/>
              <w:rPr>
                <w:color w:val="auto"/>
                <w:sz w:val="20"/>
                <w:szCs w:val="20"/>
              </w:rPr>
            </w:pPr>
            <w:r w:rsidRPr="00A9330B">
              <w:rPr>
                <w:color w:val="auto"/>
                <w:sz w:val="20"/>
                <w:szCs w:val="20"/>
              </w:rPr>
              <w:t xml:space="preserve">2.8.a.3.1. Aménager des aires étanches pour la manipulation des huiles usagées et des substances dangereuses </w:t>
            </w:r>
          </w:p>
        </w:tc>
        <w:tc>
          <w:tcPr>
            <w:tcW w:w="2194" w:type="dxa"/>
            <w:vMerge w:val="restart"/>
          </w:tcPr>
          <w:p w14:paraId="2E1F2FFF" w14:textId="77777777" w:rsidR="00B31E28" w:rsidRPr="00A9330B" w:rsidRDefault="00B31E28" w:rsidP="00B31E28">
            <w:pPr>
              <w:spacing w:before="60" w:line="240" w:lineRule="auto"/>
              <w:rPr>
                <w:color w:val="auto"/>
                <w:sz w:val="20"/>
                <w:szCs w:val="20"/>
              </w:rPr>
            </w:pPr>
          </w:p>
        </w:tc>
      </w:tr>
      <w:tr w:rsidR="00B31E28" w:rsidRPr="00A9330B" w14:paraId="2B31B373" w14:textId="77777777" w:rsidTr="00350C9E">
        <w:tc>
          <w:tcPr>
            <w:tcW w:w="2425" w:type="dxa"/>
            <w:vMerge/>
          </w:tcPr>
          <w:p w14:paraId="5A8BFB69" w14:textId="77777777" w:rsidR="00B31E28" w:rsidRPr="00A9330B" w:rsidRDefault="00B31E28" w:rsidP="00B31E28">
            <w:pPr>
              <w:spacing w:before="60" w:line="240" w:lineRule="auto"/>
              <w:rPr>
                <w:color w:val="auto"/>
                <w:sz w:val="20"/>
                <w:szCs w:val="20"/>
              </w:rPr>
            </w:pPr>
          </w:p>
        </w:tc>
        <w:tc>
          <w:tcPr>
            <w:tcW w:w="2193" w:type="dxa"/>
            <w:vMerge/>
          </w:tcPr>
          <w:p w14:paraId="4738CDAD" w14:textId="77777777" w:rsidR="00B31E28" w:rsidRPr="00A9330B" w:rsidRDefault="00B31E28" w:rsidP="00B31E28">
            <w:pPr>
              <w:spacing w:before="60" w:line="240" w:lineRule="auto"/>
              <w:rPr>
                <w:color w:val="auto"/>
                <w:sz w:val="20"/>
                <w:szCs w:val="20"/>
              </w:rPr>
            </w:pPr>
          </w:p>
        </w:tc>
        <w:tc>
          <w:tcPr>
            <w:tcW w:w="2595" w:type="dxa"/>
            <w:vMerge/>
          </w:tcPr>
          <w:p w14:paraId="69373A37" w14:textId="77777777" w:rsidR="00B31E28" w:rsidRPr="00A9330B" w:rsidRDefault="00B31E28" w:rsidP="000F7BA7">
            <w:pPr>
              <w:spacing w:before="60" w:line="240" w:lineRule="auto"/>
              <w:jc w:val="both"/>
              <w:rPr>
                <w:color w:val="auto"/>
                <w:sz w:val="20"/>
                <w:szCs w:val="20"/>
              </w:rPr>
            </w:pPr>
          </w:p>
        </w:tc>
        <w:tc>
          <w:tcPr>
            <w:tcW w:w="1523" w:type="dxa"/>
            <w:vMerge/>
            <w:vAlign w:val="center"/>
          </w:tcPr>
          <w:p w14:paraId="06C13E0E" w14:textId="77777777" w:rsidR="00B31E28" w:rsidRPr="00A9330B" w:rsidRDefault="00B31E28" w:rsidP="00B31E28">
            <w:pPr>
              <w:spacing w:before="60" w:line="240" w:lineRule="auto"/>
              <w:rPr>
                <w:color w:val="auto"/>
                <w:sz w:val="20"/>
                <w:szCs w:val="20"/>
              </w:rPr>
            </w:pPr>
          </w:p>
        </w:tc>
        <w:tc>
          <w:tcPr>
            <w:tcW w:w="2641" w:type="dxa"/>
          </w:tcPr>
          <w:p w14:paraId="3E764C0B" w14:textId="77777777" w:rsidR="00B31E28" w:rsidRPr="00A9330B" w:rsidRDefault="00B31E28" w:rsidP="000F7BA7">
            <w:pPr>
              <w:spacing w:before="60" w:line="240" w:lineRule="auto"/>
              <w:jc w:val="both"/>
              <w:rPr>
                <w:color w:val="auto"/>
                <w:sz w:val="20"/>
                <w:szCs w:val="20"/>
              </w:rPr>
            </w:pPr>
            <w:r w:rsidRPr="00A9330B">
              <w:rPr>
                <w:color w:val="auto"/>
                <w:sz w:val="20"/>
                <w:szCs w:val="20"/>
              </w:rPr>
              <w:t>2.8.a.3.2. Prévoir des dispositifs pour confiner et ramasser les produits déversés</w:t>
            </w:r>
          </w:p>
        </w:tc>
        <w:tc>
          <w:tcPr>
            <w:tcW w:w="2194" w:type="dxa"/>
            <w:vMerge/>
          </w:tcPr>
          <w:p w14:paraId="5B501B3C" w14:textId="77777777" w:rsidR="00B31E28" w:rsidRPr="00A9330B" w:rsidRDefault="00B31E28" w:rsidP="00B31E28">
            <w:pPr>
              <w:spacing w:before="60" w:line="240" w:lineRule="auto"/>
              <w:rPr>
                <w:color w:val="auto"/>
                <w:sz w:val="20"/>
                <w:szCs w:val="20"/>
              </w:rPr>
            </w:pPr>
          </w:p>
        </w:tc>
      </w:tr>
      <w:tr w:rsidR="00B31E28" w:rsidRPr="00A9330B" w14:paraId="4767A7A1" w14:textId="77777777" w:rsidTr="00350C9E">
        <w:tc>
          <w:tcPr>
            <w:tcW w:w="2425" w:type="dxa"/>
            <w:vMerge/>
          </w:tcPr>
          <w:p w14:paraId="2CBE16C6" w14:textId="77777777" w:rsidR="00B31E28" w:rsidRPr="00A9330B" w:rsidRDefault="00B31E28" w:rsidP="00B31E28">
            <w:pPr>
              <w:spacing w:before="60" w:line="240" w:lineRule="auto"/>
              <w:rPr>
                <w:color w:val="auto"/>
                <w:sz w:val="20"/>
                <w:szCs w:val="20"/>
              </w:rPr>
            </w:pPr>
          </w:p>
        </w:tc>
        <w:tc>
          <w:tcPr>
            <w:tcW w:w="2193" w:type="dxa"/>
            <w:vMerge/>
          </w:tcPr>
          <w:p w14:paraId="137C7529" w14:textId="77777777" w:rsidR="00B31E28" w:rsidRPr="00A9330B" w:rsidRDefault="00B31E28" w:rsidP="00B31E28">
            <w:pPr>
              <w:spacing w:before="60" w:line="240" w:lineRule="auto"/>
              <w:rPr>
                <w:color w:val="auto"/>
                <w:sz w:val="20"/>
                <w:szCs w:val="20"/>
              </w:rPr>
            </w:pPr>
          </w:p>
        </w:tc>
        <w:tc>
          <w:tcPr>
            <w:tcW w:w="2595" w:type="dxa"/>
            <w:vMerge/>
          </w:tcPr>
          <w:p w14:paraId="28A76775" w14:textId="77777777" w:rsidR="00B31E28" w:rsidRPr="00A9330B" w:rsidRDefault="00B31E28" w:rsidP="000F7BA7">
            <w:pPr>
              <w:spacing w:before="60" w:line="240" w:lineRule="auto"/>
              <w:jc w:val="both"/>
              <w:rPr>
                <w:color w:val="auto"/>
                <w:sz w:val="20"/>
                <w:szCs w:val="20"/>
              </w:rPr>
            </w:pPr>
          </w:p>
        </w:tc>
        <w:tc>
          <w:tcPr>
            <w:tcW w:w="1523" w:type="dxa"/>
            <w:vMerge/>
            <w:vAlign w:val="center"/>
          </w:tcPr>
          <w:p w14:paraId="3938CADF" w14:textId="77777777" w:rsidR="00B31E28" w:rsidRPr="00A9330B" w:rsidRDefault="00B31E28" w:rsidP="00B31E28">
            <w:pPr>
              <w:spacing w:before="60" w:line="240" w:lineRule="auto"/>
              <w:rPr>
                <w:color w:val="auto"/>
                <w:sz w:val="20"/>
                <w:szCs w:val="20"/>
              </w:rPr>
            </w:pPr>
          </w:p>
        </w:tc>
        <w:tc>
          <w:tcPr>
            <w:tcW w:w="2641" w:type="dxa"/>
          </w:tcPr>
          <w:p w14:paraId="52CB9EE8" w14:textId="77777777" w:rsidR="00B31E28" w:rsidRPr="00A9330B" w:rsidRDefault="00B31E28" w:rsidP="000F7BA7">
            <w:pPr>
              <w:spacing w:before="60" w:line="240" w:lineRule="auto"/>
              <w:jc w:val="both"/>
              <w:rPr>
                <w:color w:val="auto"/>
                <w:sz w:val="20"/>
                <w:szCs w:val="20"/>
              </w:rPr>
            </w:pPr>
            <w:r w:rsidRPr="00A9330B">
              <w:rPr>
                <w:color w:val="auto"/>
                <w:sz w:val="20"/>
                <w:szCs w:val="20"/>
              </w:rPr>
              <w:t xml:space="preserve">2.8.a.3.3.  Veiller à la collecte et à l’enlèvement des huiles usagées, et des substances dangereuses  </w:t>
            </w:r>
          </w:p>
        </w:tc>
        <w:tc>
          <w:tcPr>
            <w:tcW w:w="2194" w:type="dxa"/>
            <w:vMerge/>
          </w:tcPr>
          <w:p w14:paraId="689C1893" w14:textId="77777777" w:rsidR="00B31E28" w:rsidRPr="00A9330B" w:rsidRDefault="00B31E28" w:rsidP="00B31E28">
            <w:pPr>
              <w:spacing w:before="60" w:line="240" w:lineRule="auto"/>
              <w:rPr>
                <w:color w:val="auto"/>
                <w:sz w:val="20"/>
                <w:szCs w:val="20"/>
              </w:rPr>
            </w:pPr>
          </w:p>
        </w:tc>
      </w:tr>
      <w:tr w:rsidR="00B31E28" w:rsidRPr="00A9330B" w14:paraId="161F1082" w14:textId="77777777" w:rsidTr="00350C9E">
        <w:tc>
          <w:tcPr>
            <w:tcW w:w="2425" w:type="dxa"/>
            <w:vMerge/>
          </w:tcPr>
          <w:p w14:paraId="6E96985D" w14:textId="77777777" w:rsidR="00B31E28" w:rsidRPr="00A9330B" w:rsidRDefault="00B31E28" w:rsidP="00B31E28">
            <w:pPr>
              <w:spacing w:before="60" w:line="240" w:lineRule="auto"/>
              <w:rPr>
                <w:color w:val="auto"/>
                <w:sz w:val="20"/>
                <w:szCs w:val="20"/>
              </w:rPr>
            </w:pPr>
          </w:p>
        </w:tc>
        <w:tc>
          <w:tcPr>
            <w:tcW w:w="2193" w:type="dxa"/>
            <w:vMerge/>
          </w:tcPr>
          <w:p w14:paraId="22600F90" w14:textId="77777777" w:rsidR="00B31E28" w:rsidRPr="00A9330B" w:rsidRDefault="00B31E28" w:rsidP="00B31E28">
            <w:pPr>
              <w:spacing w:before="60" w:line="240" w:lineRule="auto"/>
              <w:rPr>
                <w:color w:val="auto"/>
                <w:sz w:val="20"/>
                <w:szCs w:val="20"/>
              </w:rPr>
            </w:pPr>
          </w:p>
        </w:tc>
        <w:tc>
          <w:tcPr>
            <w:tcW w:w="2595" w:type="dxa"/>
          </w:tcPr>
          <w:p w14:paraId="5A41D0D1" w14:textId="77777777" w:rsidR="00B31E28" w:rsidRPr="00A9330B" w:rsidRDefault="00B31E28" w:rsidP="000F7BA7">
            <w:pPr>
              <w:spacing w:before="60" w:line="240" w:lineRule="auto"/>
              <w:jc w:val="both"/>
              <w:rPr>
                <w:color w:val="auto"/>
                <w:sz w:val="20"/>
                <w:szCs w:val="20"/>
              </w:rPr>
            </w:pPr>
            <w:r w:rsidRPr="00A9330B">
              <w:rPr>
                <w:color w:val="auto"/>
                <w:sz w:val="20"/>
                <w:szCs w:val="20"/>
              </w:rPr>
              <w:t>2.8.a.4. Production des déchets solides inertes</w:t>
            </w:r>
          </w:p>
          <w:p w14:paraId="29F4C309" w14:textId="2C8053A7" w:rsidR="00B31E28" w:rsidRPr="00A9330B" w:rsidRDefault="005F0465" w:rsidP="000F7BA7">
            <w:pPr>
              <w:spacing w:before="60" w:line="240" w:lineRule="auto"/>
              <w:jc w:val="both"/>
              <w:rPr>
                <w:color w:val="auto"/>
                <w:sz w:val="20"/>
                <w:szCs w:val="20"/>
              </w:rPr>
            </w:pPr>
            <w:r w:rsidRPr="00A9330B">
              <w:rPr>
                <w:color w:val="auto"/>
                <w:sz w:val="20"/>
                <w:szCs w:val="20"/>
              </w:rPr>
              <w:t xml:space="preserve">Existence  </w:t>
            </w:r>
            <w:r w:rsidR="00B31E28" w:rsidRPr="00A9330B">
              <w:rPr>
                <w:color w:val="auto"/>
                <w:sz w:val="20"/>
                <w:szCs w:val="20"/>
              </w:rPr>
              <w:t>des restes de matériaux de chantier  (déblais, remblais etc.)</w:t>
            </w:r>
          </w:p>
        </w:tc>
        <w:tc>
          <w:tcPr>
            <w:tcW w:w="1523" w:type="dxa"/>
            <w:vAlign w:val="center"/>
          </w:tcPr>
          <w:p w14:paraId="2DEAF355" w14:textId="77777777" w:rsidR="00B31E28" w:rsidRPr="00A9330B" w:rsidRDefault="00B31E28" w:rsidP="00B31E28">
            <w:pPr>
              <w:spacing w:before="60" w:line="240" w:lineRule="auto"/>
              <w:rPr>
                <w:color w:val="auto"/>
                <w:sz w:val="20"/>
                <w:szCs w:val="20"/>
              </w:rPr>
            </w:pPr>
            <w:r w:rsidRPr="00A9330B">
              <w:rPr>
                <w:color w:val="auto"/>
                <w:sz w:val="20"/>
                <w:szCs w:val="20"/>
              </w:rPr>
              <w:t xml:space="preserve">Faible </w:t>
            </w:r>
          </w:p>
        </w:tc>
        <w:tc>
          <w:tcPr>
            <w:tcW w:w="2641" w:type="dxa"/>
          </w:tcPr>
          <w:p w14:paraId="2985CD29" w14:textId="77777777" w:rsidR="00B31E28" w:rsidRPr="00A9330B" w:rsidRDefault="00B31E28" w:rsidP="000F7BA7">
            <w:pPr>
              <w:spacing w:before="60" w:line="240" w:lineRule="auto"/>
              <w:jc w:val="both"/>
              <w:rPr>
                <w:color w:val="auto"/>
                <w:sz w:val="20"/>
                <w:szCs w:val="20"/>
              </w:rPr>
            </w:pPr>
            <w:r w:rsidRPr="00A9330B">
              <w:rPr>
                <w:color w:val="auto"/>
                <w:sz w:val="20"/>
                <w:szCs w:val="20"/>
              </w:rPr>
              <w:t>2.8.a.4.1. Veiller à la collecte et à l’enlèvement des déchets solides par des structures agréées</w:t>
            </w:r>
          </w:p>
        </w:tc>
        <w:tc>
          <w:tcPr>
            <w:tcW w:w="2194" w:type="dxa"/>
          </w:tcPr>
          <w:p w14:paraId="0D1C6A1A" w14:textId="77777777" w:rsidR="00B31E28" w:rsidRPr="00A9330B" w:rsidRDefault="00B31E28" w:rsidP="00B31E28">
            <w:pPr>
              <w:spacing w:before="60" w:line="240" w:lineRule="auto"/>
              <w:rPr>
                <w:color w:val="auto"/>
                <w:sz w:val="20"/>
                <w:szCs w:val="20"/>
              </w:rPr>
            </w:pPr>
          </w:p>
        </w:tc>
      </w:tr>
      <w:tr w:rsidR="00B31E28" w:rsidRPr="00A9330B" w14:paraId="4795A2A8" w14:textId="77777777" w:rsidTr="00350C9E">
        <w:tc>
          <w:tcPr>
            <w:tcW w:w="2425" w:type="dxa"/>
            <w:vMerge/>
          </w:tcPr>
          <w:p w14:paraId="40C91362" w14:textId="77777777" w:rsidR="00B31E28" w:rsidRPr="00A9330B" w:rsidRDefault="00B31E28" w:rsidP="00B31E28">
            <w:pPr>
              <w:spacing w:before="60" w:line="240" w:lineRule="auto"/>
              <w:rPr>
                <w:color w:val="auto"/>
                <w:sz w:val="20"/>
                <w:szCs w:val="20"/>
              </w:rPr>
            </w:pPr>
          </w:p>
        </w:tc>
        <w:tc>
          <w:tcPr>
            <w:tcW w:w="2193" w:type="dxa"/>
            <w:vMerge/>
          </w:tcPr>
          <w:p w14:paraId="7CF96D5D" w14:textId="77777777" w:rsidR="00B31E28" w:rsidRPr="00A9330B" w:rsidRDefault="00B31E28" w:rsidP="00B31E28">
            <w:pPr>
              <w:spacing w:before="60" w:line="240" w:lineRule="auto"/>
              <w:rPr>
                <w:color w:val="auto"/>
                <w:sz w:val="20"/>
                <w:szCs w:val="20"/>
              </w:rPr>
            </w:pPr>
          </w:p>
        </w:tc>
        <w:tc>
          <w:tcPr>
            <w:tcW w:w="2595" w:type="dxa"/>
            <w:vMerge w:val="restart"/>
          </w:tcPr>
          <w:p w14:paraId="07E59607" w14:textId="77777777" w:rsidR="00B31E28" w:rsidRPr="00A9330B" w:rsidRDefault="00B31E28" w:rsidP="000F7BA7">
            <w:pPr>
              <w:spacing w:before="60" w:line="240" w:lineRule="auto"/>
              <w:jc w:val="both"/>
              <w:rPr>
                <w:color w:val="auto"/>
                <w:sz w:val="20"/>
                <w:szCs w:val="20"/>
              </w:rPr>
            </w:pPr>
            <w:r w:rsidRPr="00A9330B">
              <w:rPr>
                <w:color w:val="auto"/>
                <w:sz w:val="20"/>
                <w:szCs w:val="20"/>
              </w:rPr>
              <w:t>2.8.a.5. Déplacement éventuel d’activités, de biens et de personnes au fur et à mesure de la réalisation des travaux</w:t>
            </w:r>
          </w:p>
        </w:tc>
        <w:tc>
          <w:tcPr>
            <w:tcW w:w="1523" w:type="dxa"/>
            <w:vMerge w:val="restart"/>
            <w:vAlign w:val="center"/>
          </w:tcPr>
          <w:p w14:paraId="0DB94D28" w14:textId="77777777" w:rsidR="00B31E28" w:rsidRPr="00A9330B" w:rsidRDefault="00B31E28" w:rsidP="00B31E28">
            <w:pPr>
              <w:spacing w:before="60" w:line="240" w:lineRule="auto"/>
              <w:rPr>
                <w:color w:val="auto"/>
                <w:sz w:val="20"/>
                <w:szCs w:val="20"/>
              </w:rPr>
            </w:pPr>
            <w:r w:rsidRPr="00A9330B">
              <w:rPr>
                <w:color w:val="auto"/>
                <w:sz w:val="20"/>
                <w:szCs w:val="20"/>
              </w:rPr>
              <w:t>Faible</w:t>
            </w:r>
          </w:p>
        </w:tc>
        <w:tc>
          <w:tcPr>
            <w:tcW w:w="2641" w:type="dxa"/>
          </w:tcPr>
          <w:p w14:paraId="18D1BD5E" w14:textId="77777777" w:rsidR="00B31E28" w:rsidRPr="00A9330B" w:rsidRDefault="00B31E28" w:rsidP="000F7BA7">
            <w:pPr>
              <w:spacing w:before="60" w:line="240" w:lineRule="auto"/>
              <w:jc w:val="both"/>
              <w:rPr>
                <w:color w:val="auto"/>
                <w:sz w:val="20"/>
                <w:szCs w:val="20"/>
              </w:rPr>
            </w:pPr>
            <w:r w:rsidRPr="00A9330B">
              <w:rPr>
                <w:color w:val="auto"/>
                <w:sz w:val="20"/>
                <w:szCs w:val="20"/>
              </w:rPr>
              <w:t>2.8.a.5.1. Faire une compensation pour les biens et les activités perdus</w:t>
            </w:r>
          </w:p>
        </w:tc>
        <w:tc>
          <w:tcPr>
            <w:tcW w:w="2194" w:type="dxa"/>
            <w:vMerge w:val="restart"/>
          </w:tcPr>
          <w:p w14:paraId="415A7DB7" w14:textId="77777777" w:rsidR="00B31E28" w:rsidRPr="00A9330B" w:rsidRDefault="00B31E28" w:rsidP="00B31E28">
            <w:pPr>
              <w:spacing w:before="60" w:line="240" w:lineRule="auto"/>
              <w:rPr>
                <w:color w:val="auto"/>
                <w:sz w:val="20"/>
                <w:szCs w:val="20"/>
              </w:rPr>
            </w:pPr>
          </w:p>
        </w:tc>
      </w:tr>
      <w:tr w:rsidR="00B31E28" w:rsidRPr="00A9330B" w14:paraId="27F8B521" w14:textId="77777777" w:rsidTr="00350C9E">
        <w:tc>
          <w:tcPr>
            <w:tcW w:w="2425" w:type="dxa"/>
            <w:vMerge/>
          </w:tcPr>
          <w:p w14:paraId="528DE451" w14:textId="77777777" w:rsidR="00B31E28" w:rsidRPr="00A9330B" w:rsidRDefault="00B31E28" w:rsidP="00B31E28">
            <w:pPr>
              <w:spacing w:before="60" w:line="240" w:lineRule="auto"/>
              <w:rPr>
                <w:color w:val="auto"/>
                <w:sz w:val="20"/>
                <w:szCs w:val="20"/>
              </w:rPr>
            </w:pPr>
          </w:p>
        </w:tc>
        <w:tc>
          <w:tcPr>
            <w:tcW w:w="2193" w:type="dxa"/>
            <w:vMerge/>
          </w:tcPr>
          <w:p w14:paraId="287CD6BD" w14:textId="77777777" w:rsidR="00B31E28" w:rsidRPr="00A9330B" w:rsidRDefault="00B31E28" w:rsidP="00B31E28">
            <w:pPr>
              <w:spacing w:before="60" w:line="240" w:lineRule="auto"/>
              <w:rPr>
                <w:color w:val="auto"/>
                <w:sz w:val="20"/>
                <w:szCs w:val="20"/>
              </w:rPr>
            </w:pPr>
          </w:p>
        </w:tc>
        <w:tc>
          <w:tcPr>
            <w:tcW w:w="2595" w:type="dxa"/>
            <w:vMerge/>
          </w:tcPr>
          <w:p w14:paraId="5846C5EF" w14:textId="77777777" w:rsidR="00B31E28" w:rsidRPr="00A9330B" w:rsidRDefault="00B31E28" w:rsidP="00B31E28">
            <w:pPr>
              <w:spacing w:before="60" w:line="240" w:lineRule="auto"/>
              <w:rPr>
                <w:color w:val="auto"/>
                <w:sz w:val="20"/>
                <w:szCs w:val="20"/>
              </w:rPr>
            </w:pPr>
          </w:p>
        </w:tc>
        <w:tc>
          <w:tcPr>
            <w:tcW w:w="1523" w:type="dxa"/>
            <w:vMerge/>
            <w:vAlign w:val="center"/>
          </w:tcPr>
          <w:p w14:paraId="2E244149" w14:textId="77777777" w:rsidR="00B31E28" w:rsidRPr="00A9330B" w:rsidRDefault="00B31E28" w:rsidP="00B31E28">
            <w:pPr>
              <w:spacing w:before="60" w:line="240" w:lineRule="auto"/>
              <w:rPr>
                <w:color w:val="auto"/>
                <w:sz w:val="20"/>
                <w:szCs w:val="20"/>
              </w:rPr>
            </w:pPr>
          </w:p>
        </w:tc>
        <w:tc>
          <w:tcPr>
            <w:tcW w:w="2641" w:type="dxa"/>
          </w:tcPr>
          <w:p w14:paraId="3FE950BB" w14:textId="77777777" w:rsidR="00B31E28" w:rsidRPr="00A9330B" w:rsidRDefault="00B31E28" w:rsidP="000F7BA7">
            <w:pPr>
              <w:spacing w:before="60" w:line="240" w:lineRule="auto"/>
              <w:jc w:val="both"/>
              <w:rPr>
                <w:color w:val="auto"/>
                <w:sz w:val="20"/>
                <w:szCs w:val="20"/>
              </w:rPr>
            </w:pPr>
            <w:r w:rsidRPr="00A9330B">
              <w:rPr>
                <w:color w:val="auto"/>
                <w:sz w:val="20"/>
                <w:szCs w:val="20"/>
              </w:rPr>
              <w:t>2.8.a.5.2. Procéder à un jute et préalable dédommagement des personnes affectées par le projet</w:t>
            </w:r>
          </w:p>
        </w:tc>
        <w:tc>
          <w:tcPr>
            <w:tcW w:w="2194" w:type="dxa"/>
            <w:vMerge/>
          </w:tcPr>
          <w:p w14:paraId="74CAED26" w14:textId="77777777" w:rsidR="00B31E28" w:rsidRPr="00A9330B" w:rsidRDefault="00B31E28" w:rsidP="00B31E28">
            <w:pPr>
              <w:spacing w:before="60" w:line="240" w:lineRule="auto"/>
              <w:rPr>
                <w:color w:val="auto"/>
                <w:sz w:val="20"/>
                <w:szCs w:val="20"/>
              </w:rPr>
            </w:pPr>
          </w:p>
        </w:tc>
      </w:tr>
      <w:tr w:rsidR="00B31E28" w:rsidRPr="00A9330B" w14:paraId="1831F52F" w14:textId="77777777" w:rsidTr="00350C9E">
        <w:tc>
          <w:tcPr>
            <w:tcW w:w="2425" w:type="dxa"/>
            <w:vMerge/>
          </w:tcPr>
          <w:p w14:paraId="0B49833D" w14:textId="77777777" w:rsidR="00B31E28" w:rsidRPr="00A9330B" w:rsidRDefault="00B31E28" w:rsidP="00B31E28">
            <w:pPr>
              <w:spacing w:before="60" w:line="240" w:lineRule="auto"/>
              <w:rPr>
                <w:color w:val="auto"/>
                <w:sz w:val="20"/>
                <w:szCs w:val="20"/>
              </w:rPr>
            </w:pPr>
          </w:p>
        </w:tc>
        <w:tc>
          <w:tcPr>
            <w:tcW w:w="2193" w:type="dxa"/>
            <w:vMerge/>
          </w:tcPr>
          <w:p w14:paraId="1E3C833E" w14:textId="77777777" w:rsidR="00B31E28" w:rsidRPr="00A9330B" w:rsidRDefault="00B31E28" w:rsidP="00B31E28">
            <w:pPr>
              <w:spacing w:before="60" w:line="240" w:lineRule="auto"/>
              <w:rPr>
                <w:color w:val="auto"/>
                <w:sz w:val="20"/>
                <w:szCs w:val="20"/>
              </w:rPr>
            </w:pPr>
          </w:p>
        </w:tc>
        <w:tc>
          <w:tcPr>
            <w:tcW w:w="2595" w:type="dxa"/>
            <w:vMerge/>
          </w:tcPr>
          <w:p w14:paraId="1283B153" w14:textId="77777777" w:rsidR="00B31E28" w:rsidRPr="00A9330B" w:rsidRDefault="00B31E28" w:rsidP="00B31E28">
            <w:pPr>
              <w:spacing w:before="60" w:line="240" w:lineRule="auto"/>
              <w:rPr>
                <w:color w:val="auto"/>
                <w:sz w:val="20"/>
                <w:szCs w:val="20"/>
              </w:rPr>
            </w:pPr>
          </w:p>
        </w:tc>
        <w:tc>
          <w:tcPr>
            <w:tcW w:w="1523" w:type="dxa"/>
            <w:vMerge/>
            <w:vAlign w:val="center"/>
          </w:tcPr>
          <w:p w14:paraId="613681C9" w14:textId="77777777" w:rsidR="00B31E28" w:rsidRPr="00A9330B" w:rsidRDefault="00B31E28" w:rsidP="00B31E28">
            <w:pPr>
              <w:spacing w:before="60" w:line="240" w:lineRule="auto"/>
              <w:rPr>
                <w:color w:val="auto"/>
                <w:sz w:val="20"/>
                <w:szCs w:val="20"/>
              </w:rPr>
            </w:pPr>
          </w:p>
        </w:tc>
        <w:tc>
          <w:tcPr>
            <w:tcW w:w="2641" w:type="dxa"/>
          </w:tcPr>
          <w:p w14:paraId="031DE48C" w14:textId="77777777" w:rsidR="00B31E28" w:rsidRPr="00A9330B" w:rsidRDefault="00B31E28" w:rsidP="000F7BA7">
            <w:pPr>
              <w:spacing w:before="60" w:line="240" w:lineRule="auto"/>
              <w:jc w:val="both"/>
              <w:rPr>
                <w:color w:val="auto"/>
                <w:sz w:val="20"/>
                <w:szCs w:val="20"/>
              </w:rPr>
            </w:pPr>
            <w:r w:rsidRPr="00A9330B">
              <w:rPr>
                <w:color w:val="auto"/>
                <w:sz w:val="20"/>
                <w:szCs w:val="20"/>
              </w:rPr>
              <w:t>2.8.a.5.3. Elaborer et mettre en œuvre un plan de communication et de sensibilisation pour la libération des emprises des rues à aménager</w:t>
            </w:r>
          </w:p>
        </w:tc>
        <w:tc>
          <w:tcPr>
            <w:tcW w:w="2194" w:type="dxa"/>
            <w:vMerge/>
          </w:tcPr>
          <w:p w14:paraId="2CD5913F" w14:textId="77777777" w:rsidR="00B31E28" w:rsidRPr="00A9330B" w:rsidRDefault="00B31E28" w:rsidP="00B31E28">
            <w:pPr>
              <w:spacing w:before="60" w:line="240" w:lineRule="auto"/>
              <w:rPr>
                <w:color w:val="auto"/>
                <w:sz w:val="20"/>
                <w:szCs w:val="20"/>
              </w:rPr>
            </w:pPr>
          </w:p>
        </w:tc>
      </w:tr>
      <w:tr w:rsidR="00B31E28" w:rsidRPr="00A9330B" w14:paraId="0A495DB3" w14:textId="77777777" w:rsidTr="00350C9E">
        <w:tc>
          <w:tcPr>
            <w:tcW w:w="2425" w:type="dxa"/>
            <w:vMerge/>
          </w:tcPr>
          <w:p w14:paraId="4F97C7A4" w14:textId="77777777" w:rsidR="00B31E28" w:rsidRPr="00A9330B" w:rsidRDefault="00B31E28" w:rsidP="00B31E28">
            <w:pPr>
              <w:spacing w:before="60" w:line="240" w:lineRule="auto"/>
              <w:rPr>
                <w:color w:val="auto"/>
                <w:sz w:val="20"/>
                <w:szCs w:val="20"/>
              </w:rPr>
            </w:pPr>
          </w:p>
        </w:tc>
        <w:tc>
          <w:tcPr>
            <w:tcW w:w="2193" w:type="dxa"/>
            <w:vMerge/>
          </w:tcPr>
          <w:p w14:paraId="0CD2C7EE" w14:textId="77777777" w:rsidR="00B31E28" w:rsidRPr="00A9330B" w:rsidRDefault="00B31E28" w:rsidP="00B31E28">
            <w:pPr>
              <w:spacing w:before="60" w:line="240" w:lineRule="auto"/>
              <w:rPr>
                <w:color w:val="auto"/>
                <w:sz w:val="20"/>
                <w:szCs w:val="20"/>
              </w:rPr>
            </w:pPr>
          </w:p>
        </w:tc>
        <w:tc>
          <w:tcPr>
            <w:tcW w:w="2595" w:type="dxa"/>
            <w:vMerge w:val="restart"/>
          </w:tcPr>
          <w:p w14:paraId="0D4CB7C7" w14:textId="77777777" w:rsidR="00B31E28" w:rsidRPr="00A9330B" w:rsidRDefault="00B31E28" w:rsidP="000F7BA7">
            <w:pPr>
              <w:spacing w:before="60" w:line="240" w:lineRule="auto"/>
              <w:jc w:val="both"/>
              <w:rPr>
                <w:color w:val="auto"/>
                <w:sz w:val="20"/>
                <w:szCs w:val="20"/>
              </w:rPr>
            </w:pPr>
            <w:r w:rsidRPr="00A9330B">
              <w:rPr>
                <w:color w:val="auto"/>
                <w:sz w:val="20"/>
                <w:szCs w:val="20"/>
              </w:rPr>
              <w:t xml:space="preserve">2.8.a.6. Perturbation des services de réseaux d’eau, </w:t>
            </w:r>
            <w:r w:rsidRPr="00A9330B">
              <w:rPr>
                <w:color w:val="auto"/>
                <w:sz w:val="20"/>
                <w:szCs w:val="20"/>
              </w:rPr>
              <w:lastRenderedPageBreak/>
              <w:t>d’électricité et de téléphonie</w:t>
            </w:r>
          </w:p>
        </w:tc>
        <w:tc>
          <w:tcPr>
            <w:tcW w:w="1523" w:type="dxa"/>
            <w:vMerge w:val="restart"/>
            <w:vAlign w:val="center"/>
          </w:tcPr>
          <w:p w14:paraId="5332F741" w14:textId="77777777" w:rsidR="00B31E28" w:rsidRPr="00A9330B" w:rsidRDefault="00B31E28" w:rsidP="00B31E28">
            <w:pPr>
              <w:spacing w:before="60" w:line="240" w:lineRule="auto"/>
              <w:rPr>
                <w:color w:val="auto"/>
                <w:sz w:val="20"/>
                <w:szCs w:val="20"/>
              </w:rPr>
            </w:pPr>
            <w:r w:rsidRPr="00A9330B">
              <w:rPr>
                <w:color w:val="auto"/>
                <w:sz w:val="20"/>
                <w:szCs w:val="20"/>
              </w:rPr>
              <w:lastRenderedPageBreak/>
              <w:t>Moyenne</w:t>
            </w:r>
          </w:p>
        </w:tc>
        <w:tc>
          <w:tcPr>
            <w:tcW w:w="2641" w:type="dxa"/>
          </w:tcPr>
          <w:p w14:paraId="654447A9" w14:textId="77777777" w:rsidR="00B31E28" w:rsidRPr="00A9330B" w:rsidRDefault="00B31E28" w:rsidP="000F7BA7">
            <w:pPr>
              <w:spacing w:before="60" w:line="240" w:lineRule="auto"/>
              <w:jc w:val="both"/>
              <w:rPr>
                <w:color w:val="auto"/>
                <w:sz w:val="20"/>
                <w:szCs w:val="20"/>
              </w:rPr>
            </w:pPr>
            <w:r w:rsidRPr="00A9330B">
              <w:rPr>
                <w:color w:val="auto"/>
                <w:sz w:val="20"/>
                <w:szCs w:val="20"/>
              </w:rPr>
              <w:t xml:space="preserve">2.8.a.6.1. Travailler en collaboration avec les </w:t>
            </w:r>
            <w:r w:rsidRPr="00A9330B">
              <w:rPr>
                <w:color w:val="auto"/>
                <w:sz w:val="20"/>
                <w:szCs w:val="20"/>
              </w:rPr>
              <w:lastRenderedPageBreak/>
              <w:t xml:space="preserve">concessionnaires pour réduire les dommages sur les réseaux et bénéficier d’une intervention prompte en cas de dommage </w:t>
            </w:r>
          </w:p>
        </w:tc>
        <w:tc>
          <w:tcPr>
            <w:tcW w:w="2194" w:type="dxa"/>
            <w:vMerge w:val="restart"/>
          </w:tcPr>
          <w:p w14:paraId="077E1070" w14:textId="77777777" w:rsidR="00B31E28" w:rsidRPr="00A9330B" w:rsidRDefault="00B31E28" w:rsidP="00B31E28">
            <w:pPr>
              <w:spacing w:before="60" w:line="240" w:lineRule="auto"/>
              <w:rPr>
                <w:color w:val="auto"/>
                <w:sz w:val="20"/>
                <w:szCs w:val="20"/>
              </w:rPr>
            </w:pPr>
          </w:p>
        </w:tc>
      </w:tr>
      <w:tr w:rsidR="00B31E28" w:rsidRPr="00A9330B" w14:paraId="42611343" w14:textId="77777777" w:rsidTr="00350C9E">
        <w:tc>
          <w:tcPr>
            <w:tcW w:w="2425" w:type="dxa"/>
            <w:vMerge/>
          </w:tcPr>
          <w:p w14:paraId="3B9C5AAB" w14:textId="77777777" w:rsidR="00B31E28" w:rsidRPr="00A9330B" w:rsidRDefault="00B31E28" w:rsidP="00B31E28">
            <w:pPr>
              <w:spacing w:before="60" w:line="240" w:lineRule="auto"/>
              <w:rPr>
                <w:color w:val="auto"/>
                <w:sz w:val="20"/>
                <w:szCs w:val="20"/>
              </w:rPr>
            </w:pPr>
          </w:p>
        </w:tc>
        <w:tc>
          <w:tcPr>
            <w:tcW w:w="2193" w:type="dxa"/>
            <w:vMerge/>
          </w:tcPr>
          <w:p w14:paraId="784F2643" w14:textId="77777777" w:rsidR="00B31E28" w:rsidRPr="00A9330B" w:rsidRDefault="00B31E28" w:rsidP="00B31E28">
            <w:pPr>
              <w:spacing w:before="60" w:line="240" w:lineRule="auto"/>
              <w:rPr>
                <w:color w:val="auto"/>
                <w:sz w:val="20"/>
                <w:szCs w:val="20"/>
              </w:rPr>
            </w:pPr>
          </w:p>
        </w:tc>
        <w:tc>
          <w:tcPr>
            <w:tcW w:w="2595" w:type="dxa"/>
            <w:vMerge/>
          </w:tcPr>
          <w:p w14:paraId="0F7BD7DF" w14:textId="77777777" w:rsidR="00B31E28" w:rsidRPr="00A9330B" w:rsidRDefault="00B31E28" w:rsidP="00B31E28">
            <w:pPr>
              <w:spacing w:before="60" w:line="240" w:lineRule="auto"/>
              <w:rPr>
                <w:color w:val="auto"/>
                <w:sz w:val="20"/>
                <w:szCs w:val="20"/>
              </w:rPr>
            </w:pPr>
          </w:p>
        </w:tc>
        <w:tc>
          <w:tcPr>
            <w:tcW w:w="1523" w:type="dxa"/>
            <w:vMerge/>
            <w:vAlign w:val="center"/>
          </w:tcPr>
          <w:p w14:paraId="1D153F7C" w14:textId="77777777" w:rsidR="00B31E28" w:rsidRPr="00A9330B" w:rsidRDefault="00B31E28" w:rsidP="00B31E28">
            <w:pPr>
              <w:spacing w:before="60" w:line="240" w:lineRule="auto"/>
              <w:rPr>
                <w:color w:val="auto"/>
                <w:sz w:val="20"/>
                <w:szCs w:val="20"/>
              </w:rPr>
            </w:pPr>
          </w:p>
        </w:tc>
        <w:tc>
          <w:tcPr>
            <w:tcW w:w="2641" w:type="dxa"/>
          </w:tcPr>
          <w:p w14:paraId="533137BC" w14:textId="77777777" w:rsidR="00B31E28" w:rsidRPr="00A9330B" w:rsidRDefault="00B31E28" w:rsidP="000F7BA7">
            <w:pPr>
              <w:spacing w:before="60" w:line="240" w:lineRule="auto"/>
              <w:jc w:val="both"/>
              <w:rPr>
                <w:color w:val="auto"/>
                <w:sz w:val="20"/>
                <w:szCs w:val="20"/>
              </w:rPr>
            </w:pPr>
            <w:r w:rsidRPr="00A9330B">
              <w:rPr>
                <w:color w:val="auto"/>
                <w:sz w:val="20"/>
                <w:szCs w:val="20"/>
              </w:rPr>
              <w:t>2.8.a.6.2. Informer les populations riveraines et les usagers des réseaux de toute perturbation envisagée</w:t>
            </w:r>
          </w:p>
        </w:tc>
        <w:tc>
          <w:tcPr>
            <w:tcW w:w="2194" w:type="dxa"/>
            <w:vMerge/>
          </w:tcPr>
          <w:p w14:paraId="22341046" w14:textId="77777777" w:rsidR="00B31E28" w:rsidRPr="00A9330B" w:rsidRDefault="00B31E28" w:rsidP="00B31E28">
            <w:pPr>
              <w:spacing w:before="60" w:line="240" w:lineRule="auto"/>
              <w:rPr>
                <w:color w:val="auto"/>
                <w:sz w:val="20"/>
                <w:szCs w:val="20"/>
              </w:rPr>
            </w:pPr>
          </w:p>
        </w:tc>
      </w:tr>
      <w:tr w:rsidR="00B31E28" w:rsidRPr="00A9330B" w14:paraId="2D2D6D9A" w14:textId="77777777" w:rsidTr="00350C9E">
        <w:tc>
          <w:tcPr>
            <w:tcW w:w="2425" w:type="dxa"/>
            <w:vMerge/>
          </w:tcPr>
          <w:p w14:paraId="212CD645" w14:textId="77777777" w:rsidR="00B31E28" w:rsidRPr="00A9330B" w:rsidRDefault="00B31E28" w:rsidP="00B31E28">
            <w:pPr>
              <w:spacing w:before="60" w:line="240" w:lineRule="auto"/>
              <w:rPr>
                <w:color w:val="auto"/>
                <w:sz w:val="20"/>
                <w:szCs w:val="20"/>
              </w:rPr>
            </w:pPr>
          </w:p>
        </w:tc>
        <w:tc>
          <w:tcPr>
            <w:tcW w:w="2193" w:type="dxa"/>
            <w:vMerge/>
          </w:tcPr>
          <w:p w14:paraId="5024E23E" w14:textId="77777777" w:rsidR="00B31E28" w:rsidRPr="00A9330B" w:rsidRDefault="00B31E28" w:rsidP="00B31E28">
            <w:pPr>
              <w:spacing w:before="60" w:line="240" w:lineRule="auto"/>
              <w:rPr>
                <w:color w:val="auto"/>
                <w:sz w:val="20"/>
                <w:szCs w:val="20"/>
              </w:rPr>
            </w:pPr>
          </w:p>
        </w:tc>
        <w:tc>
          <w:tcPr>
            <w:tcW w:w="2595" w:type="dxa"/>
            <w:vMerge/>
          </w:tcPr>
          <w:p w14:paraId="320841CF" w14:textId="77777777" w:rsidR="00B31E28" w:rsidRPr="00A9330B" w:rsidRDefault="00B31E28" w:rsidP="00B31E28">
            <w:pPr>
              <w:spacing w:before="60" w:line="240" w:lineRule="auto"/>
              <w:rPr>
                <w:color w:val="auto"/>
                <w:sz w:val="20"/>
                <w:szCs w:val="20"/>
              </w:rPr>
            </w:pPr>
          </w:p>
        </w:tc>
        <w:tc>
          <w:tcPr>
            <w:tcW w:w="1523" w:type="dxa"/>
            <w:vMerge/>
            <w:vAlign w:val="center"/>
          </w:tcPr>
          <w:p w14:paraId="01D18183" w14:textId="77777777" w:rsidR="00B31E28" w:rsidRPr="00A9330B" w:rsidRDefault="00B31E28" w:rsidP="00B31E28">
            <w:pPr>
              <w:spacing w:before="60" w:line="240" w:lineRule="auto"/>
              <w:rPr>
                <w:color w:val="auto"/>
                <w:sz w:val="20"/>
                <w:szCs w:val="20"/>
              </w:rPr>
            </w:pPr>
          </w:p>
        </w:tc>
        <w:tc>
          <w:tcPr>
            <w:tcW w:w="2641" w:type="dxa"/>
          </w:tcPr>
          <w:p w14:paraId="5D6233DD" w14:textId="77777777" w:rsidR="00B31E28" w:rsidRPr="00A9330B" w:rsidRDefault="00B31E28" w:rsidP="000F7BA7">
            <w:pPr>
              <w:spacing w:before="60" w:line="240" w:lineRule="auto"/>
              <w:jc w:val="both"/>
              <w:rPr>
                <w:color w:val="auto"/>
                <w:sz w:val="20"/>
                <w:szCs w:val="20"/>
              </w:rPr>
            </w:pPr>
            <w:r w:rsidRPr="00A9330B">
              <w:rPr>
                <w:color w:val="auto"/>
                <w:sz w:val="20"/>
                <w:szCs w:val="20"/>
              </w:rPr>
              <w:t>2.8.a.6.3. Sensibiliser le personnel de chantier sur les accidents d’origine électrique</w:t>
            </w:r>
          </w:p>
        </w:tc>
        <w:tc>
          <w:tcPr>
            <w:tcW w:w="2194" w:type="dxa"/>
            <w:vMerge/>
          </w:tcPr>
          <w:p w14:paraId="1B6C84C0" w14:textId="77777777" w:rsidR="00B31E28" w:rsidRPr="00A9330B" w:rsidRDefault="00B31E28" w:rsidP="00B31E28">
            <w:pPr>
              <w:spacing w:before="60" w:line="240" w:lineRule="auto"/>
              <w:rPr>
                <w:color w:val="auto"/>
                <w:sz w:val="20"/>
                <w:szCs w:val="20"/>
              </w:rPr>
            </w:pPr>
          </w:p>
        </w:tc>
      </w:tr>
      <w:tr w:rsidR="00B31E28" w:rsidRPr="00A9330B" w14:paraId="71AD69ED" w14:textId="77777777" w:rsidTr="00350C9E">
        <w:tc>
          <w:tcPr>
            <w:tcW w:w="2425" w:type="dxa"/>
            <w:vMerge/>
          </w:tcPr>
          <w:p w14:paraId="42D27B18" w14:textId="77777777" w:rsidR="00B31E28" w:rsidRPr="00A9330B" w:rsidRDefault="00B31E28" w:rsidP="00B31E28">
            <w:pPr>
              <w:spacing w:before="60" w:line="240" w:lineRule="auto"/>
              <w:rPr>
                <w:color w:val="auto"/>
                <w:sz w:val="20"/>
                <w:szCs w:val="20"/>
              </w:rPr>
            </w:pPr>
          </w:p>
        </w:tc>
        <w:tc>
          <w:tcPr>
            <w:tcW w:w="2193" w:type="dxa"/>
            <w:vMerge/>
          </w:tcPr>
          <w:p w14:paraId="1FC932DE" w14:textId="77777777" w:rsidR="00B31E28" w:rsidRPr="00A9330B" w:rsidRDefault="00B31E28" w:rsidP="00B31E28">
            <w:pPr>
              <w:spacing w:before="60" w:line="240" w:lineRule="auto"/>
              <w:rPr>
                <w:color w:val="auto"/>
                <w:sz w:val="20"/>
                <w:szCs w:val="20"/>
              </w:rPr>
            </w:pPr>
          </w:p>
        </w:tc>
        <w:tc>
          <w:tcPr>
            <w:tcW w:w="2595" w:type="dxa"/>
            <w:vMerge w:val="restart"/>
          </w:tcPr>
          <w:p w14:paraId="04B13EC0" w14:textId="77777777" w:rsidR="00B31E28" w:rsidRPr="00A9330B" w:rsidRDefault="00B31E28" w:rsidP="000F7BA7">
            <w:pPr>
              <w:spacing w:before="60" w:line="240" w:lineRule="auto"/>
              <w:jc w:val="both"/>
              <w:rPr>
                <w:color w:val="auto"/>
                <w:sz w:val="20"/>
                <w:szCs w:val="20"/>
              </w:rPr>
            </w:pPr>
            <w:r w:rsidRPr="00A9330B">
              <w:rPr>
                <w:color w:val="auto"/>
                <w:sz w:val="20"/>
                <w:szCs w:val="20"/>
              </w:rPr>
              <w:t>2.8.a.7. Accident de circulation dû au trafic des engins et à l’encombrement de la route</w:t>
            </w:r>
          </w:p>
        </w:tc>
        <w:tc>
          <w:tcPr>
            <w:tcW w:w="1523" w:type="dxa"/>
            <w:vMerge w:val="restart"/>
            <w:vAlign w:val="center"/>
          </w:tcPr>
          <w:p w14:paraId="1EC105E6" w14:textId="77777777" w:rsidR="00B31E28" w:rsidRPr="00A9330B" w:rsidRDefault="00B31E28" w:rsidP="00B31E28">
            <w:pPr>
              <w:spacing w:before="60" w:line="240" w:lineRule="auto"/>
              <w:rPr>
                <w:color w:val="auto"/>
                <w:sz w:val="20"/>
                <w:szCs w:val="20"/>
              </w:rPr>
            </w:pPr>
            <w:r w:rsidRPr="00A9330B">
              <w:rPr>
                <w:color w:val="auto"/>
                <w:sz w:val="20"/>
                <w:szCs w:val="20"/>
              </w:rPr>
              <w:t>Moyenne</w:t>
            </w:r>
          </w:p>
        </w:tc>
        <w:tc>
          <w:tcPr>
            <w:tcW w:w="2641" w:type="dxa"/>
          </w:tcPr>
          <w:p w14:paraId="6E0BFA3B" w14:textId="77777777" w:rsidR="00B31E28" w:rsidRPr="00A9330B" w:rsidRDefault="00B31E28" w:rsidP="000F7BA7">
            <w:pPr>
              <w:spacing w:before="60" w:line="240" w:lineRule="auto"/>
              <w:jc w:val="both"/>
              <w:rPr>
                <w:color w:val="auto"/>
                <w:sz w:val="20"/>
                <w:szCs w:val="20"/>
              </w:rPr>
            </w:pPr>
            <w:r w:rsidRPr="00A9330B">
              <w:rPr>
                <w:color w:val="auto"/>
                <w:sz w:val="20"/>
                <w:szCs w:val="20"/>
              </w:rPr>
              <w:t xml:space="preserve">2.8.a.7.1. Sensibiliser les travailleurs sur les risques liés au travail </w:t>
            </w:r>
          </w:p>
        </w:tc>
        <w:tc>
          <w:tcPr>
            <w:tcW w:w="2194" w:type="dxa"/>
            <w:vMerge w:val="restart"/>
          </w:tcPr>
          <w:p w14:paraId="5C8B93AE" w14:textId="77777777" w:rsidR="00B31E28" w:rsidRPr="00A9330B" w:rsidRDefault="00B31E28" w:rsidP="00B31E28">
            <w:pPr>
              <w:spacing w:before="60" w:line="240" w:lineRule="auto"/>
              <w:rPr>
                <w:color w:val="auto"/>
                <w:sz w:val="20"/>
                <w:szCs w:val="20"/>
              </w:rPr>
            </w:pPr>
          </w:p>
        </w:tc>
      </w:tr>
      <w:tr w:rsidR="00B31E28" w:rsidRPr="00A9330B" w14:paraId="7445D8E7" w14:textId="77777777" w:rsidTr="00350C9E">
        <w:tc>
          <w:tcPr>
            <w:tcW w:w="2425" w:type="dxa"/>
            <w:vMerge/>
          </w:tcPr>
          <w:p w14:paraId="24C5A2A2" w14:textId="77777777" w:rsidR="00B31E28" w:rsidRPr="00A9330B" w:rsidRDefault="00B31E28" w:rsidP="00B31E28">
            <w:pPr>
              <w:spacing w:before="60" w:line="240" w:lineRule="auto"/>
              <w:rPr>
                <w:color w:val="auto"/>
                <w:sz w:val="20"/>
                <w:szCs w:val="20"/>
              </w:rPr>
            </w:pPr>
          </w:p>
        </w:tc>
        <w:tc>
          <w:tcPr>
            <w:tcW w:w="2193" w:type="dxa"/>
            <w:vMerge/>
          </w:tcPr>
          <w:p w14:paraId="4CFCEC4E" w14:textId="77777777" w:rsidR="00B31E28" w:rsidRPr="00A9330B" w:rsidRDefault="00B31E28" w:rsidP="00B31E28">
            <w:pPr>
              <w:spacing w:before="60" w:line="240" w:lineRule="auto"/>
              <w:rPr>
                <w:color w:val="auto"/>
                <w:sz w:val="20"/>
                <w:szCs w:val="20"/>
              </w:rPr>
            </w:pPr>
          </w:p>
        </w:tc>
        <w:tc>
          <w:tcPr>
            <w:tcW w:w="2595" w:type="dxa"/>
            <w:vMerge/>
          </w:tcPr>
          <w:p w14:paraId="1E0242CE" w14:textId="77777777" w:rsidR="00B31E28" w:rsidRPr="00A9330B" w:rsidRDefault="00B31E28" w:rsidP="00B31E28">
            <w:pPr>
              <w:spacing w:before="60" w:line="240" w:lineRule="auto"/>
              <w:rPr>
                <w:color w:val="auto"/>
                <w:sz w:val="20"/>
                <w:szCs w:val="20"/>
              </w:rPr>
            </w:pPr>
          </w:p>
        </w:tc>
        <w:tc>
          <w:tcPr>
            <w:tcW w:w="1523" w:type="dxa"/>
            <w:vMerge/>
            <w:vAlign w:val="center"/>
          </w:tcPr>
          <w:p w14:paraId="57C9A3D7" w14:textId="77777777" w:rsidR="00B31E28" w:rsidRPr="00A9330B" w:rsidRDefault="00B31E28" w:rsidP="00B31E28">
            <w:pPr>
              <w:spacing w:before="60" w:line="240" w:lineRule="auto"/>
              <w:rPr>
                <w:color w:val="auto"/>
                <w:sz w:val="20"/>
                <w:szCs w:val="20"/>
              </w:rPr>
            </w:pPr>
          </w:p>
        </w:tc>
        <w:tc>
          <w:tcPr>
            <w:tcW w:w="2641" w:type="dxa"/>
          </w:tcPr>
          <w:p w14:paraId="6D9F4220" w14:textId="77777777" w:rsidR="00B31E28" w:rsidRPr="00A9330B" w:rsidRDefault="00B31E28" w:rsidP="000F7BA7">
            <w:pPr>
              <w:spacing w:before="60" w:line="240" w:lineRule="auto"/>
              <w:jc w:val="both"/>
              <w:rPr>
                <w:color w:val="auto"/>
                <w:sz w:val="20"/>
                <w:szCs w:val="20"/>
              </w:rPr>
            </w:pPr>
            <w:r w:rsidRPr="00A9330B">
              <w:rPr>
                <w:color w:val="auto"/>
                <w:sz w:val="20"/>
                <w:szCs w:val="20"/>
              </w:rPr>
              <w:t>2.8.a.7.2. Mettre en place des panneaux de signalisation dans les zones de travaux</w:t>
            </w:r>
          </w:p>
        </w:tc>
        <w:tc>
          <w:tcPr>
            <w:tcW w:w="2194" w:type="dxa"/>
            <w:vMerge/>
          </w:tcPr>
          <w:p w14:paraId="11B8A95C" w14:textId="77777777" w:rsidR="00B31E28" w:rsidRPr="00A9330B" w:rsidRDefault="00B31E28" w:rsidP="00B31E28">
            <w:pPr>
              <w:spacing w:before="60" w:line="240" w:lineRule="auto"/>
              <w:rPr>
                <w:color w:val="auto"/>
                <w:sz w:val="20"/>
                <w:szCs w:val="20"/>
              </w:rPr>
            </w:pPr>
          </w:p>
        </w:tc>
      </w:tr>
      <w:tr w:rsidR="00B31E28" w:rsidRPr="00A9330B" w14:paraId="1ED52651" w14:textId="77777777" w:rsidTr="00350C9E">
        <w:tc>
          <w:tcPr>
            <w:tcW w:w="2425" w:type="dxa"/>
            <w:vMerge/>
          </w:tcPr>
          <w:p w14:paraId="369F15BF" w14:textId="77777777" w:rsidR="00B31E28" w:rsidRPr="00A9330B" w:rsidRDefault="00B31E28" w:rsidP="00B31E28">
            <w:pPr>
              <w:spacing w:before="60" w:line="240" w:lineRule="auto"/>
              <w:rPr>
                <w:color w:val="auto"/>
                <w:sz w:val="20"/>
                <w:szCs w:val="20"/>
              </w:rPr>
            </w:pPr>
          </w:p>
        </w:tc>
        <w:tc>
          <w:tcPr>
            <w:tcW w:w="2193" w:type="dxa"/>
            <w:vMerge/>
          </w:tcPr>
          <w:p w14:paraId="101215BC" w14:textId="77777777" w:rsidR="00B31E28" w:rsidRPr="00A9330B" w:rsidRDefault="00B31E28" w:rsidP="00B31E28">
            <w:pPr>
              <w:spacing w:before="60" w:line="240" w:lineRule="auto"/>
              <w:rPr>
                <w:color w:val="auto"/>
                <w:sz w:val="20"/>
                <w:szCs w:val="20"/>
              </w:rPr>
            </w:pPr>
          </w:p>
        </w:tc>
        <w:tc>
          <w:tcPr>
            <w:tcW w:w="2595" w:type="dxa"/>
            <w:vMerge/>
          </w:tcPr>
          <w:p w14:paraId="20D87C81" w14:textId="77777777" w:rsidR="00B31E28" w:rsidRPr="00A9330B" w:rsidRDefault="00B31E28" w:rsidP="00B31E28">
            <w:pPr>
              <w:spacing w:before="60" w:line="240" w:lineRule="auto"/>
              <w:rPr>
                <w:color w:val="auto"/>
                <w:sz w:val="20"/>
                <w:szCs w:val="20"/>
              </w:rPr>
            </w:pPr>
          </w:p>
        </w:tc>
        <w:tc>
          <w:tcPr>
            <w:tcW w:w="1523" w:type="dxa"/>
            <w:vMerge/>
            <w:vAlign w:val="center"/>
          </w:tcPr>
          <w:p w14:paraId="2C2D24FA" w14:textId="77777777" w:rsidR="00B31E28" w:rsidRPr="00A9330B" w:rsidRDefault="00B31E28" w:rsidP="00B31E28">
            <w:pPr>
              <w:spacing w:before="60" w:line="240" w:lineRule="auto"/>
              <w:rPr>
                <w:color w:val="auto"/>
                <w:sz w:val="20"/>
                <w:szCs w:val="20"/>
              </w:rPr>
            </w:pPr>
          </w:p>
        </w:tc>
        <w:tc>
          <w:tcPr>
            <w:tcW w:w="2641" w:type="dxa"/>
          </w:tcPr>
          <w:p w14:paraId="5AF04291" w14:textId="77777777" w:rsidR="00B31E28" w:rsidRPr="00A9330B" w:rsidRDefault="00B31E28" w:rsidP="000F7BA7">
            <w:pPr>
              <w:spacing w:before="60" w:line="240" w:lineRule="auto"/>
              <w:jc w:val="both"/>
              <w:rPr>
                <w:color w:val="auto"/>
                <w:sz w:val="20"/>
                <w:szCs w:val="20"/>
              </w:rPr>
            </w:pPr>
            <w:r w:rsidRPr="00A9330B">
              <w:rPr>
                <w:color w:val="auto"/>
                <w:sz w:val="20"/>
                <w:szCs w:val="20"/>
              </w:rPr>
              <w:t>2.8.a.7.3. Mettre en place un dispositif de régulation de la circulation</w:t>
            </w:r>
          </w:p>
        </w:tc>
        <w:tc>
          <w:tcPr>
            <w:tcW w:w="2194" w:type="dxa"/>
            <w:vMerge/>
          </w:tcPr>
          <w:p w14:paraId="4E3693E9" w14:textId="77777777" w:rsidR="00B31E28" w:rsidRPr="00A9330B" w:rsidRDefault="00B31E28" w:rsidP="00B31E28">
            <w:pPr>
              <w:spacing w:before="60" w:line="240" w:lineRule="auto"/>
              <w:rPr>
                <w:color w:val="auto"/>
                <w:sz w:val="20"/>
                <w:szCs w:val="20"/>
              </w:rPr>
            </w:pPr>
          </w:p>
        </w:tc>
      </w:tr>
      <w:tr w:rsidR="00B31E28" w:rsidRPr="00A9330B" w14:paraId="089E66E3" w14:textId="77777777" w:rsidTr="00350C9E">
        <w:tc>
          <w:tcPr>
            <w:tcW w:w="2425" w:type="dxa"/>
            <w:vMerge/>
          </w:tcPr>
          <w:p w14:paraId="722BAEA4" w14:textId="77777777" w:rsidR="00B31E28" w:rsidRPr="00A9330B" w:rsidRDefault="00B31E28" w:rsidP="00B31E28">
            <w:pPr>
              <w:spacing w:before="60" w:line="240" w:lineRule="auto"/>
              <w:rPr>
                <w:color w:val="auto"/>
                <w:sz w:val="20"/>
                <w:szCs w:val="20"/>
              </w:rPr>
            </w:pPr>
          </w:p>
        </w:tc>
        <w:tc>
          <w:tcPr>
            <w:tcW w:w="2193" w:type="dxa"/>
            <w:vMerge/>
          </w:tcPr>
          <w:p w14:paraId="10D7B2C8" w14:textId="77777777" w:rsidR="00B31E28" w:rsidRPr="00A9330B" w:rsidRDefault="00B31E28" w:rsidP="00B31E28">
            <w:pPr>
              <w:spacing w:before="60" w:line="240" w:lineRule="auto"/>
              <w:rPr>
                <w:color w:val="auto"/>
                <w:sz w:val="20"/>
                <w:szCs w:val="20"/>
              </w:rPr>
            </w:pPr>
          </w:p>
        </w:tc>
        <w:tc>
          <w:tcPr>
            <w:tcW w:w="2595" w:type="dxa"/>
            <w:vMerge/>
          </w:tcPr>
          <w:p w14:paraId="3DF25708" w14:textId="77777777" w:rsidR="00B31E28" w:rsidRPr="00A9330B" w:rsidRDefault="00B31E28" w:rsidP="00B31E28">
            <w:pPr>
              <w:spacing w:before="60" w:line="240" w:lineRule="auto"/>
              <w:rPr>
                <w:color w:val="auto"/>
                <w:sz w:val="20"/>
                <w:szCs w:val="20"/>
              </w:rPr>
            </w:pPr>
          </w:p>
        </w:tc>
        <w:tc>
          <w:tcPr>
            <w:tcW w:w="1523" w:type="dxa"/>
            <w:vMerge/>
            <w:vAlign w:val="center"/>
          </w:tcPr>
          <w:p w14:paraId="1501A679" w14:textId="77777777" w:rsidR="00B31E28" w:rsidRPr="00A9330B" w:rsidRDefault="00B31E28" w:rsidP="00B31E28">
            <w:pPr>
              <w:spacing w:before="60" w:line="240" w:lineRule="auto"/>
              <w:rPr>
                <w:color w:val="auto"/>
                <w:sz w:val="20"/>
                <w:szCs w:val="20"/>
              </w:rPr>
            </w:pPr>
          </w:p>
        </w:tc>
        <w:tc>
          <w:tcPr>
            <w:tcW w:w="2641" w:type="dxa"/>
          </w:tcPr>
          <w:p w14:paraId="7B5C3E41" w14:textId="77777777" w:rsidR="00B31E28" w:rsidRPr="00A9330B" w:rsidRDefault="00B31E28" w:rsidP="000F7BA7">
            <w:pPr>
              <w:spacing w:before="60" w:line="240" w:lineRule="auto"/>
              <w:jc w:val="both"/>
              <w:rPr>
                <w:color w:val="auto"/>
                <w:sz w:val="20"/>
                <w:szCs w:val="20"/>
              </w:rPr>
            </w:pPr>
            <w:r w:rsidRPr="00A9330B">
              <w:rPr>
                <w:color w:val="auto"/>
                <w:sz w:val="20"/>
                <w:szCs w:val="20"/>
              </w:rPr>
              <w:t>2.8.a.7.4. Veiller à l’entreposage adéquat des matériaux</w:t>
            </w:r>
          </w:p>
        </w:tc>
        <w:tc>
          <w:tcPr>
            <w:tcW w:w="2194" w:type="dxa"/>
            <w:vMerge/>
          </w:tcPr>
          <w:p w14:paraId="1CCD3CB3" w14:textId="77777777" w:rsidR="00B31E28" w:rsidRPr="00A9330B" w:rsidRDefault="00B31E28" w:rsidP="00B31E28">
            <w:pPr>
              <w:spacing w:before="60" w:line="240" w:lineRule="auto"/>
              <w:rPr>
                <w:color w:val="auto"/>
                <w:sz w:val="20"/>
                <w:szCs w:val="20"/>
              </w:rPr>
            </w:pPr>
          </w:p>
        </w:tc>
      </w:tr>
      <w:tr w:rsidR="00B31E28" w:rsidRPr="00A9330B" w14:paraId="148A7C13" w14:textId="77777777" w:rsidTr="00350C9E">
        <w:tc>
          <w:tcPr>
            <w:tcW w:w="2425" w:type="dxa"/>
            <w:vMerge/>
          </w:tcPr>
          <w:p w14:paraId="3FDDCD5C" w14:textId="77777777" w:rsidR="00B31E28" w:rsidRPr="00A9330B" w:rsidRDefault="00B31E28" w:rsidP="00B31E28">
            <w:pPr>
              <w:spacing w:before="60" w:line="240" w:lineRule="auto"/>
              <w:rPr>
                <w:color w:val="auto"/>
                <w:sz w:val="20"/>
                <w:szCs w:val="20"/>
              </w:rPr>
            </w:pPr>
          </w:p>
        </w:tc>
        <w:tc>
          <w:tcPr>
            <w:tcW w:w="2193" w:type="dxa"/>
            <w:vMerge/>
          </w:tcPr>
          <w:p w14:paraId="3B1C136C" w14:textId="77777777" w:rsidR="00B31E28" w:rsidRPr="00A9330B" w:rsidRDefault="00B31E28" w:rsidP="00B31E28">
            <w:pPr>
              <w:spacing w:before="60" w:line="240" w:lineRule="auto"/>
              <w:rPr>
                <w:color w:val="auto"/>
                <w:sz w:val="20"/>
                <w:szCs w:val="20"/>
              </w:rPr>
            </w:pPr>
          </w:p>
        </w:tc>
        <w:tc>
          <w:tcPr>
            <w:tcW w:w="2595" w:type="dxa"/>
            <w:vMerge/>
          </w:tcPr>
          <w:p w14:paraId="3F21D746" w14:textId="77777777" w:rsidR="00B31E28" w:rsidRPr="00A9330B" w:rsidRDefault="00B31E28" w:rsidP="00B31E28">
            <w:pPr>
              <w:spacing w:before="60" w:line="240" w:lineRule="auto"/>
              <w:rPr>
                <w:color w:val="auto"/>
                <w:sz w:val="20"/>
                <w:szCs w:val="20"/>
              </w:rPr>
            </w:pPr>
          </w:p>
        </w:tc>
        <w:tc>
          <w:tcPr>
            <w:tcW w:w="1523" w:type="dxa"/>
            <w:vMerge/>
            <w:vAlign w:val="center"/>
          </w:tcPr>
          <w:p w14:paraId="104C6562" w14:textId="77777777" w:rsidR="00B31E28" w:rsidRPr="00A9330B" w:rsidRDefault="00B31E28" w:rsidP="00B31E28">
            <w:pPr>
              <w:spacing w:before="60" w:line="240" w:lineRule="auto"/>
              <w:rPr>
                <w:color w:val="auto"/>
                <w:sz w:val="20"/>
                <w:szCs w:val="20"/>
              </w:rPr>
            </w:pPr>
          </w:p>
        </w:tc>
        <w:tc>
          <w:tcPr>
            <w:tcW w:w="2641" w:type="dxa"/>
          </w:tcPr>
          <w:p w14:paraId="5DDA28FB" w14:textId="77777777" w:rsidR="00B31E28" w:rsidRPr="00A9330B" w:rsidRDefault="00B31E28" w:rsidP="000F7BA7">
            <w:pPr>
              <w:spacing w:before="60" w:line="240" w:lineRule="auto"/>
              <w:jc w:val="both"/>
              <w:rPr>
                <w:color w:val="auto"/>
                <w:sz w:val="20"/>
                <w:szCs w:val="20"/>
              </w:rPr>
            </w:pPr>
            <w:r w:rsidRPr="00A9330B">
              <w:rPr>
                <w:color w:val="auto"/>
                <w:sz w:val="20"/>
                <w:szCs w:val="20"/>
              </w:rPr>
              <w:t xml:space="preserve">2.8.a.7.5.  Sensibiliser les conducteurs d’engins et de véhicules de chantier et les riverains par rapport à la limitation de vitesse et l’encombrement de la chaussée </w:t>
            </w:r>
          </w:p>
        </w:tc>
        <w:tc>
          <w:tcPr>
            <w:tcW w:w="2194" w:type="dxa"/>
            <w:vMerge/>
          </w:tcPr>
          <w:p w14:paraId="156310DC" w14:textId="77777777" w:rsidR="00B31E28" w:rsidRPr="00A9330B" w:rsidRDefault="00B31E28" w:rsidP="00B31E28">
            <w:pPr>
              <w:spacing w:before="60" w:line="240" w:lineRule="auto"/>
              <w:rPr>
                <w:color w:val="auto"/>
                <w:sz w:val="20"/>
                <w:szCs w:val="20"/>
              </w:rPr>
            </w:pPr>
          </w:p>
        </w:tc>
      </w:tr>
      <w:tr w:rsidR="00B31E28" w:rsidRPr="00A9330B" w14:paraId="71EDDB14" w14:textId="77777777" w:rsidTr="00350C9E">
        <w:tc>
          <w:tcPr>
            <w:tcW w:w="2425" w:type="dxa"/>
            <w:vMerge/>
          </w:tcPr>
          <w:p w14:paraId="1FC6A891" w14:textId="77777777" w:rsidR="00B31E28" w:rsidRPr="00A9330B" w:rsidRDefault="00B31E28" w:rsidP="00B31E28">
            <w:pPr>
              <w:spacing w:before="60" w:line="240" w:lineRule="auto"/>
              <w:rPr>
                <w:color w:val="auto"/>
                <w:sz w:val="20"/>
                <w:szCs w:val="20"/>
              </w:rPr>
            </w:pPr>
          </w:p>
        </w:tc>
        <w:tc>
          <w:tcPr>
            <w:tcW w:w="2193" w:type="dxa"/>
            <w:vMerge/>
          </w:tcPr>
          <w:p w14:paraId="233D76FA" w14:textId="77777777" w:rsidR="00B31E28" w:rsidRPr="00A9330B" w:rsidRDefault="00B31E28" w:rsidP="00B31E28">
            <w:pPr>
              <w:spacing w:before="60" w:line="240" w:lineRule="auto"/>
              <w:rPr>
                <w:color w:val="auto"/>
                <w:sz w:val="20"/>
                <w:szCs w:val="20"/>
              </w:rPr>
            </w:pPr>
          </w:p>
        </w:tc>
        <w:tc>
          <w:tcPr>
            <w:tcW w:w="2595" w:type="dxa"/>
            <w:vMerge w:val="restart"/>
          </w:tcPr>
          <w:p w14:paraId="080A266C" w14:textId="77777777" w:rsidR="00B31E28" w:rsidRPr="00A9330B" w:rsidRDefault="00B31E28" w:rsidP="00B31E28">
            <w:pPr>
              <w:spacing w:before="60" w:line="240" w:lineRule="auto"/>
              <w:rPr>
                <w:color w:val="auto"/>
                <w:sz w:val="20"/>
                <w:szCs w:val="20"/>
              </w:rPr>
            </w:pPr>
            <w:r w:rsidRPr="00A9330B">
              <w:rPr>
                <w:color w:val="auto"/>
                <w:sz w:val="20"/>
                <w:szCs w:val="20"/>
              </w:rPr>
              <w:t>2.8.a.8. Accident de travail</w:t>
            </w:r>
          </w:p>
        </w:tc>
        <w:tc>
          <w:tcPr>
            <w:tcW w:w="1523" w:type="dxa"/>
            <w:vMerge w:val="restart"/>
            <w:vAlign w:val="center"/>
          </w:tcPr>
          <w:p w14:paraId="0870A94C" w14:textId="77777777" w:rsidR="00B31E28" w:rsidRPr="00A9330B" w:rsidRDefault="00B31E28" w:rsidP="00B31E28">
            <w:pPr>
              <w:spacing w:before="60" w:line="240" w:lineRule="auto"/>
              <w:rPr>
                <w:color w:val="auto"/>
                <w:sz w:val="20"/>
                <w:szCs w:val="20"/>
              </w:rPr>
            </w:pPr>
            <w:r w:rsidRPr="00A9330B">
              <w:rPr>
                <w:color w:val="auto"/>
                <w:sz w:val="20"/>
                <w:szCs w:val="20"/>
              </w:rPr>
              <w:t>Moyenne</w:t>
            </w:r>
          </w:p>
        </w:tc>
        <w:tc>
          <w:tcPr>
            <w:tcW w:w="2641" w:type="dxa"/>
          </w:tcPr>
          <w:p w14:paraId="651B7497" w14:textId="77777777" w:rsidR="00B31E28" w:rsidRPr="00A9330B" w:rsidRDefault="00B31E28" w:rsidP="000F7BA7">
            <w:pPr>
              <w:spacing w:before="60" w:line="240" w:lineRule="auto"/>
              <w:jc w:val="both"/>
              <w:rPr>
                <w:color w:val="auto"/>
                <w:sz w:val="20"/>
                <w:szCs w:val="20"/>
              </w:rPr>
            </w:pPr>
            <w:r w:rsidRPr="00A9330B">
              <w:rPr>
                <w:color w:val="auto"/>
                <w:sz w:val="20"/>
                <w:szCs w:val="20"/>
              </w:rPr>
              <w:t>2.8.a.8.1.  Sensibiliser le personnel de chantier et le former au poste de travail</w:t>
            </w:r>
          </w:p>
        </w:tc>
        <w:tc>
          <w:tcPr>
            <w:tcW w:w="2194" w:type="dxa"/>
            <w:vMerge w:val="restart"/>
          </w:tcPr>
          <w:p w14:paraId="6954B698" w14:textId="77777777" w:rsidR="00B31E28" w:rsidRPr="00A9330B" w:rsidRDefault="00B31E28" w:rsidP="00B31E28">
            <w:pPr>
              <w:spacing w:before="60" w:line="240" w:lineRule="auto"/>
              <w:rPr>
                <w:color w:val="auto"/>
                <w:sz w:val="20"/>
                <w:szCs w:val="20"/>
              </w:rPr>
            </w:pPr>
          </w:p>
        </w:tc>
      </w:tr>
      <w:tr w:rsidR="00B31E28" w:rsidRPr="00A9330B" w14:paraId="27CD1BE1" w14:textId="77777777" w:rsidTr="00350C9E">
        <w:tc>
          <w:tcPr>
            <w:tcW w:w="2425" w:type="dxa"/>
            <w:vMerge/>
          </w:tcPr>
          <w:p w14:paraId="4CFA83C1" w14:textId="77777777" w:rsidR="00B31E28" w:rsidRPr="00A9330B" w:rsidRDefault="00B31E28" w:rsidP="00B31E28">
            <w:pPr>
              <w:spacing w:before="60" w:line="240" w:lineRule="auto"/>
              <w:rPr>
                <w:color w:val="auto"/>
                <w:sz w:val="20"/>
                <w:szCs w:val="20"/>
              </w:rPr>
            </w:pPr>
          </w:p>
        </w:tc>
        <w:tc>
          <w:tcPr>
            <w:tcW w:w="2193" w:type="dxa"/>
            <w:vMerge/>
          </w:tcPr>
          <w:p w14:paraId="419D55C2" w14:textId="77777777" w:rsidR="00B31E28" w:rsidRPr="00A9330B" w:rsidRDefault="00B31E28" w:rsidP="00B31E28">
            <w:pPr>
              <w:spacing w:before="60" w:line="240" w:lineRule="auto"/>
              <w:rPr>
                <w:color w:val="auto"/>
                <w:sz w:val="20"/>
                <w:szCs w:val="20"/>
              </w:rPr>
            </w:pPr>
          </w:p>
        </w:tc>
        <w:tc>
          <w:tcPr>
            <w:tcW w:w="2595" w:type="dxa"/>
            <w:vMerge/>
          </w:tcPr>
          <w:p w14:paraId="4BEFDABA" w14:textId="77777777" w:rsidR="00B31E28" w:rsidRPr="00A9330B" w:rsidRDefault="00B31E28" w:rsidP="00B31E28">
            <w:pPr>
              <w:spacing w:before="60" w:line="240" w:lineRule="auto"/>
              <w:rPr>
                <w:color w:val="auto"/>
                <w:sz w:val="20"/>
                <w:szCs w:val="20"/>
              </w:rPr>
            </w:pPr>
          </w:p>
        </w:tc>
        <w:tc>
          <w:tcPr>
            <w:tcW w:w="1523" w:type="dxa"/>
            <w:vMerge/>
            <w:vAlign w:val="center"/>
          </w:tcPr>
          <w:p w14:paraId="4BA6F6F3" w14:textId="77777777" w:rsidR="00B31E28" w:rsidRPr="00A9330B" w:rsidRDefault="00B31E28" w:rsidP="00B31E28">
            <w:pPr>
              <w:spacing w:before="60" w:line="240" w:lineRule="auto"/>
              <w:rPr>
                <w:color w:val="auto"/>
                <w:sz w:val="20"/>
                <w:szCs w:val="20"/>
              </w:rPr>
            </w:pPr>
          </w:p>
        </w:tc>
        <w:tc>
          <w:tcPr>
            <w:tcW w:w="2641" w:type="dxa"/>
          </w:tcPr>
          <w:p w14:paraId="5F5C98E6" w14:textId="77777777" w:rsidR="00B31E28" w:rsidRPr="00A9330B" w:rsidRDefault="00B31E28" w:rsidP="000F7BA7">
            <w:pPr>
              <w:spacing w:before="60" w:line="240" w:lineRule="auto"/>
              <w:jc w:val="both"/>
              <w:rPr>
                <w:color w:val="auto"/>
                <w:sz w:val="20"/>
                <w:szCs w:val="20"/>
              </w:rPr>
            </w:pPr>
            <w:r w:rsidRPr="00A9330B">
              <w:rPr>
                <w:color w:val="auto"/>
                <w:sz w:val="20"/>
                <w:szCs w:val="20"/>
              </w:rPr>
              <w:t>2.8.a.8.2. Veiller au port des équipements de protection par les travailleurs</w:t>
            </w:r>
          </w:p>
        </w:tc>
        <w:tc>
          <w:tcPr>
            <w:tcW w:w="2194" w:type="dxa"/>
            <w:vMerge/>
          </w:tcPr>
          <w:p w14:paraId="7E629A79" w14:textId="77777777" w:rsidR="00B31E28" w:rsidRPr="00A9330B" w:rsidRDefault="00B31E28" w:rsidP="00B31E28">
            <w:pPr>
              <w:spacing w:before="60" w:line="240" w:lineRule="auto"/>
              <w:rPr>
                <w:color w:val="auto"/>
                <w:sz w:val="20"/>
                <w:szCs w:val="20"/>
              </w:rPr>
            </w:pPr>
          </w:p>
        </w:tc>
      </w:tr>
      <w:tr w:rsidR="00B31E28" w:rsidRPr="00A9330B" w14:paraId="2A77BD69" w14:textId="77777777" w:rsidTr="00350C9E">
        <w:tc>
          <w:tcPr>
            <w:tcW w:w="2425" w:type="dxa"/>
            <w:vMerge/>
          </w:tcPr>
          <w:p w14:paraId="02B34D66" w14:textId="77777777" w:rsidR="00B31E28" w:rsidRPr="00A9330B" w:rsidRDefault="00B31E28" w:rsidP="00B31E28">
            <w:pPr>
              <w:spacing w:before="60" w:line="240" w:lineRule="auto"/>
              <w:rPr>
                <w:color w:val="auto"/>
                <w:sz w:val="20"/>
                <w:szCs w:val="20"/>
              </w:rPr>
            </w:pPr>
          </w:p>
        </w:tc>
        <w:tc>
          <w:tcPr>
            <w:tcW w:w="2193" w:type="dxa"/>
            <w:vMerge/>
          </w:tcPr>
          <w:p w14:paraId="33AD008C" w14:textId="77777777" w:rsidR="00B31E28" w:rsidRPr="00A9330B" w:rsidRDefault="00B31E28" w:rsidP="00B31E28">
            <w:pPr>
              <w:spacing w:before="60" w:line="240" w:lineRule="auto"/>
              <w:rPr>
                <w:color w:val="auto"/>
                <w:sz w:val="20"/>
                <w:szCs w:val="20"/>
              </w:rPr>
            </w:pPr>
          </w:p>
        </w:tc>
        <w:tc>
          <w:tcPr>
            <w:tcW w:w="2595" w:type="dxa"/>
            <w:vMerge/>
          </w:tcPr>
          <w:p w14:paraId="0EFAC113" w14:textId="77777777" w:rsidR="00B31E28" w:rsidRPr="00A9330B" w:rsidRDefault="00B31E28" w:rsidP="00B31E28">
            <w:pPr>
              <w:spacing w:before="60" w:line="240" w:lineRule="auto"/>
              <w:rPr>
                <w:color w:val="auto"/>
                <w:sz w:val="20"/>
                <w:szCs w:val="20"/>
              </w:rPr>
            </w:pPr>
          </w:p>
        </w:tc>
        <w:tc>
          <w:tcPr>
            <w:tcW w:w="1523" w:type="dxa"/>
            <w:vMerge/>
            <w:vAlign w:val="center"/>
          </w:tcPr>
          <w:p w14:paraId="44CDA196" w14:textId="77777777" w:rsidR="00B31E28" w:rsidRPr="00A9330B" w:rsidRDefault="00B31E28" w:rsidP="00B31E28">
            <w:pPr>
              <w:spacing w:before="60" w:line="240" w:lineRule="auto"/>
              <w:rPr>
                <w:color w:val="auto"/>
                <w:sz w:val="20"/>
                <w:szCs w:val="20"/>
              </w:rPr>
            </w:pPr>
          </w:p>
        </w:tc>
        <w:tc>
          <w:tcPr>
            <w:tcW w:w="2641" w:type="dxa"/>
          </w:tcPr>
          <w:p w14:paraId="1FBCCD5D" w14:textId="220F19F1" w:rsidR="00B31E28" w:rsidRPr="00A9330B" w:rsidRDefault="00B31E28" w:rsidP="000F7BA7">
            <w:pPr>
              <w:spacing w:before="60" w:line="240" w:lineRule="auto"/>
              <w:jc w:val="both"/>
              <w:rPr>
                <w:color w:val="auto"/>
                <w:sz w:val="20"/>
                <w:szCs w:val="20"/>
              </w:rPr>
            </w:pPr>
            <w:r w:rsidRPr="00A9330B">
              <w:rPr>
                <w:color w:val="auto"/>
                <w:sz w:val="20"/>
                <w:szCs w:val="20"/>
              </w:rPr>
              <w:t xml:space="preserve">2.8.a.8.3. Doter les sites de chantiers de boîte à pharmacie ou d’une </w:t>
            </w:r>
            <w:r w:rsidR="00350C9E" w:rsidRPr="00A9330B">
              <w:rPr>
                <w:color w:val="auto"/>
                <w:sz w:val="20"/>
                <w:szCs w:val="20"/>
              </w:rPr>
              <w:t>infirmerie</w:t>
            </w:r>
            <w:r w:rsidRPr="00A9330B">
              <w:rPr>
                <w:color w:val="auto"/>
                <w:sz w:val="20"/>
                <w:szCs w:val="20"/>
              </w:rPr>
              <w:t xml:space="preserve"> pour les premiers soins et établir une convention avec un centre de santé proche</w:t>
            </w:r>
          </w:p>
        </w:tc>
        <w:tc>
          <w:tcPr>
            <w:tcW w:w="2194" w:type="dxa"/>
            <w:vMerge/>
          </w:tcPr>
          <w:p w14:paraId="291F2268" w14:textId="77777777" w:rsidR="00B31E28" w:rsidRPr="00A9330B" w:rsidRDefault="00B31E28" w:rsidP="00B31E28">
            <w:pPr>
              <w:spacing w:before="60" w:line="240" w:lineRule="auto"/>
              <w:rPr>
                <w:color w:val="auto"/>
                <w:sz w:val="20"/>
                <w:szCs w:val="20"/>
              </w:rPr>
            </w:pPr>
          </w:p>
        </w:tc>
      </w:tr>
      <w:tr w:rsidR="00B31E28" w:rsidRPr="00A9330B" w14:paraId="3420AA9E" w14:textId="77777777" w:rsidTr="00350C9E">
        <w:tc>
          <w:tcPr>
            <w:tcW w:w="2425" w:type="dxa"/>
            <w:vMerge/>
          </w:tcPr>
          <w:p w14:paraId="4EAA1F83" w14:textId="77777777" w:rsidR="00B31E28" w:rsidRPr="00A9330B" w:rsidRDefault="00B31E28" w:rsidP="00B31E28">
            <w:pPr>
              <w:spacing w:before="60" w:line="240" w:lineRule="auto"/>
              <w:rPr>
                <w:color w:val="auto"/>
                <w:sz w:val="20"/>
                <w:szCs w:val="20"/>
              </w:rPr>
            </w:pPr>
          </w:p>
        </w:tc>
        <w:tc>
          <w:tcPr>
            <w:tcW w:w="2193" w:type="dxa"/>
            <w:vMerge/>
          </w:tcPr>
          <w:p w14:paraId="6F87D188" w14:textId="77777777" w:rsidR="00B31E28" w:rsidRPr="00A9330B" w:rsidRDefault="00B31E28" w:rsidP="00B31E28">
            <w:pPr>
              <w:spacing w:before="60" w:line="240" w:lineRule="auto"/>
              <w:rPr>
                <w:color w:val="auto"/>
                <w:sz w:val="20"/>
                <w:szCs w:val="20"/>
              </w:rPr>
            </w:pPr>
          </w:p>
        </w:tc>
        <w:tc>
          <w:tcPr>
            <w:tcW w:w="2595" w:type="dxa"/>
          </w:tcPr>
          <w:p w14:paraId="487E52A8" w14:textId="77777777" w:rsidR="00B31E28" w:rsidRPr="00A9330B" w:rsidRDefault="00B31E28" w:rsidP="000F7BA7">
            <w:pPr>
              <w:spacing w:before="60" w:line="240" w:lineRule="auto"/>
              <w:jc w:val="both"/>
              <w:rPr>
                <w:color w:val="auto"/>
                <w:sz w:val="20"/>
                <w:szCs w:val="20"/>
              </w:rPr>
            </w:pPr>
            <w:r w:rsidRPr="00A9330B">
              <w:rPr>
                <w:color w:val="auto"/>
                <w:sz w:val="20"/>
                <w:szCs w:val="20"/>
              </w:rPr>
              <w:t>2.8.a.9. Transmission de maladies contagieuses (</w:t>
            </w:r>
            <w:r w:rsidRPr="00A9330B">
              <w:rPr>
                <w:bCs/>
                <w:color w:val="auto"/>
                <w:sz w:val="20"/>
                <w:szCs w:val="20"/>
              </w:rPr>
              <w:t xml:space="preserve">IST VIH SIDA ,COVID -19 et autres pandémies) </w:t>
            </w:r>
            <w:r w:rsidRPr="00A9330B">
              <w:rPr>
                <w:color w:val="auto"/>
                <w:sz w:val="20"/>
                <w:szCs w:val="20"/>
              </w:rPr>
              <w:t>entre ouvriers et populations riveraines</w:t>
            </w:r>
          </w:p>
        </w:tc>
        <w:tc>
          <w:tcPr>
            <w:tcW w:w="1523" w:type="dxa"/>
            <w:vAlign w:val="center"/>
          </w:tcPr>
          <w:p w14:paraId="3135C170" w14:textId="77777777" w:rsidR="00B31E28" w:rsidRPr="00A9330B" w:rsidRDefault="00B31E28" w:rsidP="00B31E28">
            <w:pPr>
              <w:spacing w:before="60" w:line="240" w:lineRule="auto"/>
              <w:rPr>
                <w:color w:val="auto"/>
                <w:sz w:val="20"/>
                <w:szCs w:val="20"/>
              </w:rPr>
            </w:pPr>
            <w:r w:rsidRPr="00A9330B">
              <w:rPr>
                <w:color w:val="auto"/>
                <w:sz w:val="20"/>
                <w:szCs w:val="20"/>
              </w:rPr>
              <w:t>Moyenne</w:t>
            </w:r>
          </w:p>
        </w:tc>
        <w:tc>
          <w:tcPr>
            <w:tcW w:w="2641" w:type="dxa"/>
          </w:tcPr>
          <w:p w14:paraId="764AA752" w14:textId="13C68EB6" w:rsidR="00B31E28" w:rsidRPr="00A9330B" w:rsidRDefault="00B31E28" w:rsidP="000F7BA7">
            <w:pPr>
              <w:spacing w:before="60" w:line="240" w:lineRule="auto"/>
              <w:jc w:val="both"/>
              <w:rPr>
                <w:color w:val="auto"/>
                <w:sz w:val="20"/>
                <w:szCs w:val="20"/>
              </w:rPr>
            </w:pPr>
            <w:r w:rsidRPr="00A9330B">
              <w:rPr>
                <w:color w:val="auto"/>
                <w:sz w:val="20"/>
                <w:szCs w:val="20"/>
              </w:rPr>
              <w:t xml:space="preserve">2.8.a.9.1. Cibler les </w:t>
            </w:r>
            <w:r w:rsidR="00350C9E" w:rsidRPr="00A9330B">
              <w:rPr>
                <w:color w:val="auto"/>
                <w:sz w:val="20"/>
                <w:szCs w:val="20"/>
              </w:rPr>
              <w:t>foyers de</w:t>
            </w:r>
            <w:r w:rsidRPr="00A9330B">
              <w:rPr>
                <w:color w:val="auto"/>
                <w:sz w:val="20"/>
                <w:szCs w:val="20"/>
              </w:rPr>
              <w:t xml:space="preserve"> maladies et faire un suivi médical adéquat pour les travailleurs et les populations</w:t>
            </w:r>
          </w:p>
          <w:p w14:paraId="2901F97D" w14:textId="4A9F3D15" w:rsidR="00B31E28" w:rsidRPr="00A9330B" w:rsidRDefault="00B31E28" w:rsidP="000F7BA7">
            <w:pPr>
              <w:spacing w:before="60" w:line="240" w:lineRule="auto"/>
              <w:jc w:val="both"/>
              <w:rPr>
                <w:color w:val="auto"/>
                <w:sz w:val="20"/>
                <w:szCs w:val="20"/>
              </w:rPr>
            </w:pPr>
            <w:r w:rsidRPr="00A9330B">
              <w:rPr>
                <w:color w:val="auto"/>
                <w:sz w:val="20"/>
                <w:szCs w:val="20"/>
              </w:rPr>
              <w:t>2.8.a.9 2 Sensibiliser les populations et les ouvriers sur le VIH-</w:t>
            </w:r>
            <w:r w:rsidR="00350C9E" w:rsidRPr="00A9330B">
              <w:rPr>
                <w:color w:val="auto"/>
                <w:sz w:val="20"/>
                <w:szCs w:val="20"/>
              </w:rPr>
              <w:t>SIDA, COVID</w:t>
            </w:r>
            <w:r w:rsidRPr="00A9330B">
              <w:rPr>
                <w:color w:val="auto"/>
                <w:sz w:val="20"/>
                <w:szCs w:val="20"/>
              </w:rPr>
              <w:t>-19 et autres pandémies</w:t>
            </w:r>
          </w:p>
          <w:p w14:paraId="4BCCFE43" w14:textId="77777777" w:rsidR="00B31E28" w:rsidRPr="00A9330B" w:rsidRDefault="00B31E28" w:rsidP="000F7BA7">
            <w:pPr>
              <w:spacing w:before="60" w:line="240" w:lineRule="auto"/>
              <w:jc w:val="both"/>
              <w:rPr>
                <w:color w:val="auto"/>
                <w:sz w:val="20"/>
                <w:szCs w:val="20"/>
              </w:rPr>
            </w:pPr>
            <w:r w:rsidRPr="00A9330B">
              <w:rPr>
                <w:color w:val="auto"/>
                <w:sz w:val="20"/>
                <w:szCs w:val="20"/>
              </w:rPr>
              <w:t>2.8.a.9.3 Se protéger et respecter les mesures barrières contre COVID-19</w:t>
            </w:r>
          </w:p>
        </w:tc>
        <w:tc>
          <w:tcPr>
            <w:tcW w:w="2194" w:type="dxa"/>
          </w:tcPr>
          <w:p w14:paraId="12431F9E" w14:textId="77777777" w:rsidR="00B31E28" w:rsidRPr="00A9330B" w:rsidRDefault="00B31E28" w:rsidP="00B31E28">
            <w:pPr>
              <w:spacing w:before="60" w:line="240" w:lineRule="auto"/>
              <w:rPr>
                <w:color w:val="auto"/>
                <w:sz w:val="20"/>
                <w:szCs w:val="20"/>
              </w:rPr>
            </w:pPr>
          </w:p>
        </w:tc>
      </w:tr>
      <w:tr w:rsidR="00B31E28" w:rsidRPr="00A9330B" w14:paraId="66B289DC" w14:textId="77777777" w:rsidTr="00350C9E">
        <w:tc>
          <w:tcPr>
            <w:tcW w:w="2425" w:type="dxa"/>
            <w:vMerge/>
          </w:tcPr>
          <w:p w14:paraId="643E4E68" w14:textId="77777777" w:rsidR="00B31E28" w:rsidRPr="00A9330B" w:rsidRDefault="00B31E28" w:rsidP="00B31E28">
            <w:pPr>
              <w:spacing w:before="60" w:line="240" w:lineRule="auto"/>
              <w:rPr>
                <w:color w:val="auto"/>
                <w:sz w:val="20"/>
                <w:szCs w:val="20"/>
              </w:rPr>
            </w:pPr>
          </w:p>
        </w:tc>
        <w:tc>
          <w:tcPr>
            <w:tcW w:w="2193" w:type="dxa"/>
            <w:vMerge/>
          </w:tcPr>
          <w:p w14:paraId="4552D1E9" w14:textId="77777777" w:rsidR="00B31E28" w:rsidRPr="00A9330B" w:rsidRDefault="00B31E28" w:rsidP="00B31E28">
            <w:pPr>
              <w:spacing w:before="60" w:line="240" w:lineRule="auto"/>
              <w:rPr>
                <w:color w:val="auto"/>
                <w:sz w:val="20"/>
                <w:szCs w:val="20"/>
              </w:rPr>
            </w:pPr>
          </w:p>
        </w:tc>
        <w:tc>
          <w:tcPr>
            <w:tcW w:w="2595" w:type="dxa"/>
            <w:vMerge w:val="restart"/>
          </w:tcPr>
          <w:p w14:paraId="154BA13A" w14:textId="77777777" w:rsidR="00B31E28" w:rsidRPr="00A9330B" w:rsidRDefault="00B31E28" w:rsidP="000F7BA7">
            <w:pPr>
              <w:spacing w:before="60" w:line="240" w:lineRule="auto"/>
              <w:jc w:val="both"/>
              <w:rPr>
                <w:color w:val="auto"/>
                <w:sz w:val="20"/>
                <w:szCs w:val="20"/>
              </w:rPr>
            </w:pPr>
            <w:r w:rsidRPr="00A9330B">
              <w:rPr>
                <w:color w:val="auto"/>
                <w:sz w:val="20"/>
                <w:szCs w:val="20"/>
              </w:rPr>
              <w:t>2.8.a.10. D</w:t>
            </w:r>
            <w:r w:rsidRPr="00A9330B">
              <w:rPr>
                <w:bCs/>
                <w:color w:val="auto"/>
                <w:sz w:val="20"/>
                <w:szCs w:val="20"/>
              </w:rPr>
              <w:t>éviances sociales (prostitution, sexualité occasionnelle, grossesse non désirée, etc)</w:t>
            </w:r>
          </w:p>
        </w:tc>
        <w:tc>
          <w:tcPr>
            <w:tcW w:w="1523" w:type="dxa"/>
            <w:vMerge w:val="restart"/>
            <w:vAlign w:val="center"/>
          </w:tcPr>
          <w:p w14:paraId="1174EFC9" w14:textId="77777777" w:rsidR="00B31E28" w:rsidRPr="00A9330B" w:rsidRDefault="00B31E28" w:rsidP="00B31E28">
            <w:pPr>
              <w:spacing w:before="60" w:line="240" w:lineRule="auto"/>
              <w:rPr>
                <w:color w:val="auto"/>
                <w:sz w:val="20"/>
                <w:szCs w:val="20"/>
              </w:rPr>
            </w:pPr>
            <w:r w:rsidRPr="00A9330B">
              <w:rPr>
                <w:color w:val="auto"/>
                <w:sz w:val="20"/>
                <w:szCs w:val="20"/>
              </w:rPr>
              <w:t>Moyenne</w:t>
            </w:r>
          </w:p>
        </w:tc>
        <w:tc>
          <w:tcPr>
            <w:tcW w:w="2641" w:type="dxa"/>
          </w:tcPr>
          <w:p w14:paraId="4E1FB0F5" w14:textId="77777777" w:rsidR="00B31E28" w:rsidRPr="00A9330B" w:rsidRDefault="00B31E28" w:rsidP="000F7BA7">
            <w:pPr>
              <w:spacing w:before="60" w:line="240" w:lineRule="auto"/>
              <w:jc w:val="both"/>
              <w:rPr>
                <w:color w:val="auto"/>
                <w:sz w:val="20"/>
                <w:szCs w:val="20"/>
              </w:rPr>
            </w:pPr>
            <w:r w:rsidRPr="00A9330B">
              <w:rPr>
                <w:color w:val="auto"/>
                <w:sz w:val="20"/>
                <w:szCs w:val="20"/>
              </w:rPr>
              <w:t>2.8.a.10.1. Sensibiliser les populations sur les bonnes mœurs, le VIH-SIDA et autres pandémies lors des travaux</w:t>
            </w:r>
          </w:p>
        </w:tc>
        <w:tc>
          <w:tcPr>
            <w:tcW w:w="2194" w:type="dxa"/>
            <w:vMerge w:val="restart"/>
          </w:tcPr>
          <w:p w14:paraId="30D49706" w14:textId="77777777" w:rsidR="00B31E28" w:rsidRPr="00A9330B" w:rsidRDefault="00B31E28" w:rsidP="00B31E28">
            <w:pPr>
              <w:spacing w:before="60" w:line="240" w:lineRule="auto"/>
              <w:rPr>
                <w:color w:val="auto"/>
                <w:sz w:val="20"/>
                <w:szCs w:val="20"/>
              </w:rPr>
            </w:pPr>
          </w:p>
        </w:tc>
      </w:tr>
      <w:tr w:rsidR="00B31E28" w:rsidRPr="00A9330B" w14:paraId="007A7AAC" w14:textId="77777777" w:rsidTr="00350C9E">
        <w:tc>
          <w:tcPr>
            <w:tcW w:w="2425" w:type="dxa"/>
            <w:vMerge/>
          </w:tcPr>
          <w:p w14:paraId="6A5F9E1A" w14:textId="77777777" w:rsidR="00B31E28" w:rsidRPr="00A9330B" w:rsidRDefault="00B31E28" w:rsidP="00B31E28">
            <w:pPr>
              <w:spacing w:before="60" w:line="240" w:lineRule="auto"/>
              <w:rPr>
                <w:color w:val="auto"/>
                <w:sz w:val="20"/>
                <w:szCs w:val="20"/>
              </w:rPr>
            </w:pPr>
          </w:p>
        </w:tc>
        <w:tc>
          <w:tcPr>
            <w:tcW w:w="2193" w:type="dxa"/>
            <w:vMerge/>
          </w:tcPr>
          <w:p w14:paraId="71413BD6" w14:textId="77777777" w:rsidR="00B31E28" w:rsidRPr="00A9330B" w:rsidRDefault="00B31E28" w:rsidP="00B31E28">
            <w:pPr>
              <w:spacing w:before="60" w:line="240" w:lineRule="auto"/>
              <w:rPr>
                <w:color w:val="auto"/>
                <w:sz w:val="20"/>
                <w:szCs w:val="20"/>
              </w:rPr>
            </w:pPr>
          </w:p>
        </w:tc>
        <w:tc>
          <w:tcPr>
            <w:tcW w:w="2595" w:type="dxa"/>
            <w:vMerge/>
          </w:tcPr>
          <w:p w14:paraId="6EA16C43" w14:textId="77777777" w:rsidR="00B31E28" w:rsidRPr="00A9330B" w:rsidRDefault="00B31E28" w:rsidP="00B31E28">
            <w:pPr>
              <w:spacing w:before="60" w:line="240" w:lineRule="auto"/>
              <w:rPr>
                <w:color w:val="auto"/>
                <w:sz w:val="20"/>
                <w:szCs w:val="20"/>
              </w:rPr>
            </w:pPr>
          </w:p>
        </w:tc>
        <w:tc>
          <w:tcPr>
            <w:tcW w:w="1523" w:type="dxa"/>
            <w:vMerge/>
            <w:vAlign w:val="center"/>
          </w:tcPr>
          <w:p w14:paraId="41C3395B" w14:textId="77777777" w:rsidR="00B31E28" w:rsidRPr="00A9330B" w:rsidRDefault="00B31E28" w:rsidP="00B31E28">
            <w:pPr>
              <w:spacing w:before="60" w:line="240" w:lineRule="auto"/>
              <w:rPr>
                <w:color w:val="auto"/>
                <w:sz w:val="20"/>
                <w:szCs w:val="20"/>
              </w:rPr>
            </w:pPr>
          </w:p>
        </w:tc>
        <w:tc>
          <w:tcPr>
            <w:tcW w:w="2641" w:type="dxa"/>
          </w:tcPr>
          <w:p w14:paraId="797C2B00" w14:textId="77777777" w:rsidR="00B31E28" w:rsidRPr="00A9330B" w:rsidRDefault="00B31E28" w:rsidP="000F7BA7">
            <w:pPr>
              <w:spacing w:before="60" w:line="240" w:lineRule="auto"/>
              <w:jc w:val="both"/>
              <w:rPr>
                <w:color w:val="auto"/>
                <w:sz w:val="20"/>
                <w:szCs w:val="20"/>
              </w:rPr>
            </w:pPr>
            <w:r w:rsidRPr="00A9330B">
              <w:rPr>
                <w:color w:val="auto"/>
                <w:sz w:val="20"/>
                <w:szCs w:val="20"/>
              </w:rPr>
              <w:t>2.8.a.10.2. Sensibiliser le personnel de chantier sur le VIH SIDA</w:t>
            </w:r>
          </w:p>
        </w:tc>
        <w:tc>
          <w:tcPr>
            <w:tcW w:w="2194" w:type="dxa"/>
            <w:vMerge/>
          </w:tcPr>
          <w:p w14:paraId="2B8AA220" w14:textId="77777777" w:rsidR="00B31E28" w:rsidRPr="00A9330B" w:rsidRDefault="00B31E28" w:rsidP="00B31E28">
            <w:pPr>
              <w:spacing w:before="60" w:line="240" w:lineRule="auto"/>
              <w:rPr>
                <w:color w:val="auto"/>
                <w:sz w:val="20"/>
                <w:szCs w:val="20"/>
              </w:rPr>
            </w:pPr>
          </w:p>
        </w:tc>
      </w:tr>
      <w:tr w:rsidR="00B31E28" w:rsidRPr="00A9330B" w14:paraId="23648F4C" w14:textId="77777777" w:rsidTr="00350C9E">
        <w:tc>
          <w:tcPr>
            <w:tcW w:w="2425" w:type="dxa"/>
            <w:vMerge/>
          </w:tcPr>
          <w:p w14:paraId="75C0D22D" w14:textId="77777777" w:rsidR="00B31E28" w:rsidRPr="00A9330B" w:rsidRDefault="00B31E28" w:rsidP="00B31E28">
            <w:pPr>
              <w:spacing w:before="60" w:line="240" w:lineRule="auto"/>
              <w:rPr>
                <w:color w:val="auto"/>
                <w:sz w:val="20"/>
                <w:szCs w:val="20"/>
              </w:rPr>
            </w:pPr>
          </w:p>
        </w:tc>
        <w:tc>
          <w:tcPr>
            <w:tcW w:w="2193" w:type="dxa"/>
            <w:vMerge/>
          </w:tcPr>
          <w:p w14:paraId="014C034F" w14:textId="77777777" w:rsidR="00B31E28" w:rsidRPr="00A9330B" w:rsidRDefault="00B31E28" w:rsidP="00B31E28">
            <w:pPr>
              <w:spacing w:before="60" w:line="240" w:lineRule="auto"/>
              <w:rPr>
                <w:color w:val="auto"/>
                <w:sz w:val="20"/>
                <w:szCs w:val="20"/>
              </w:rPr>
            </w:pPr>
          </w:p>
        </w:tc>
        <w:tc>
          <w:tcPr>
            <w:tcW w:w="2595" w:type="dxa"/>
            <w:vMerge/>
          </w:tcPr>
          <w:p w14:paraId="5C27AF8F" w14:textId="77777777" w:rsidR="00B31E28" w:rsidRPr="00A9330B" w:rsidRDefault="00B31E28" w:rsidP="00B31E28">
            <w:pPr>
              <w:spacing w:before="60" w:line="240" w:lineRule="auto"/>
              <w:rPr>
                <w:color w:val="auto"/>
                <w:sz w:val="20"/>
                <w:szCs w:val="20"/>
              </w:rPr>
            </w:pPr>
          </w:p>
        </w:tc>
        <w:tc>
          <w:tcPr>
            <w:tcW w:w="1523" w:type="dxa"/>
            <w:vMerge/>
            <w:vAlign w:val="center"/>
          </w:tcPr>
          <w:p w14:paraId="7986F430" w14:textId="77777777" w:rsidR="00B31E28" w:rsidRPr="00A9330B" w:rsidRDefault="00B31E28" w:rsidP="00B31E28">
            <w:pPr>
              <w:spacing w:before="60" w:line="240" w:lineRule="auto"/>
              <w:rPr>
                <w:color w:val="auto"/>
                <w:sz w:val="20"/>
                <w:szCs w:val="20"/>
              </w:rPr>
            </w:pPr>
          </w:p>
        </w:tc>
        <w:tc>
          <w:tcPr>
            <w:tcW w:w="2641" w:type="dxa"/>
          </w:tcPr>
          <w:p w14:paraId="4952C8AD" w14:textId="77777777" w:rsidR="00B31E28" w:rsidRPr="00A9330B" w:rsidRDefault="00B31E28" w:rsidP="000F7BA7">
            <w:pPr>
              <w:spacing w:before="60" w:line="240" w:lineRule="auto"/>
              <w:jc w:val="both"/>
              <w:rPr>
                <w:color w:val="auto"/>
                <w:sz w:val="20"/>
                <w:szCs w:val="20"/>
              </w:rPr>
            </w:pPr>
            <w:r w:rsidRPr="00A9330B">
              <w:rPr>
                <w:color w:val="auto"/>
                <w:sz w:val="20"/>
                <w:szCs w:val="20"/>
              </w:rPr>
              <w:t>2.8.a.10.3. Mettre à disposition de préservatifs</w:t>
            </w:r>
          </w:p>
        </w:tc>
        <w:tc>
          <w:tcPr>
            <w:tcW w:w="2194" w:type="dxa"/>
            <w:vMerge/>
          </w:tcPr>
          <w:p w14:paraId="07E97CC7" w14:textId="77777777" w:rsidR="00B31E28" w:rsidRPr="00A9330B" w:rsidRDefault="00B31E28" w:rsidP="00B31E28">
            <w:pPr>
              <w:spacing w:before="60" w:line="240" w:lineRule="auto"/>
              <w:rPr>
                <w:color w:val="auto"/>
                <w:sz w:val="20"/>
                <w:szCs w:val="20"/>
              </w:rPr>
            </w:pPr>
          </w:p>
        </w:tc>
      </w:tr>
      <w:tr w:rsidR="00B31E28" w:rsidRPr="00A9330B" w14:paraId="0CA6A31B" w14:textId="77777777" w:rsidTr="00350C9E">
        <w:tc>
          <w:tcPr>
            <w:tcW w:w="2425" w:type="dxa"/>
            <w:vMerge/>
          </w:tcPr>
          <w:p w14:paraId="63DA2881" w14:textId="77777777" w:rsidR="00B31E28" w:rsidRPr="00A9330B" w:rsidRDefault="00B31E28" w:rsidP="00B31E28">
            <w:pPr>
              <w:spacing w:before="60" w:line="240" w:lineRule="auto"/>
              <w:rPr>
                <w:color w:val="auto"/>
                <w:sz w:val="20"/>
                <w:szCs w:val="20"/>
              </w:rPr>
            </w:pPr>
          </w:p>
        </w:tc>
        <w:tc>
          <w:tcPr>
            <w:tcW w:w="2193" w:type="dxa"/>
            <w:vMerge/>
          </w:tcPr>
          <w:p w14:paraId="4350CB28" w14:textId="77777777" w:rsidR="00B31E28" w:rsidRPr="00A9330B" w:rsidRDefault="00B31E28" w:rsidP="00B31E28">
            <w:pPr>
              <w:spacing w:before="60" w:line="240" w:lineRule="auto"/>
              <w:rPr>
                <w:color w:val="auto"/>
                <w:sz w:val="20"/>
                <w:szCs w:val="20"/>
              </w:rPr>
            </w:pPr>
          </w:p>
        </w:tc>
        <w:tc>
          <w:tcPr>
            <w:tcW w:w="2595" w:type="dxa"/>
            <w:vMerge/>
          </w:tcPr>
          <w:p w14:paraId="0D8EA5C3" w14:textId="77777777" w:rsidR="00B31E28" w:rsidRPr="00A9330B" w:rsidRDefault="00B31E28" w:rsidP="00B31E28">
            <w:pPr>
              <w:spacing w:before="60" w:line="240" w:lineRule="auto"/>
              <w:rPr>
                <w:color w:val="auto"/>
                <w:sz w:val="20"/>
                <w:szCs w:val="20"/>
              </w:rPr>
            </w:pPr>
          </w:p>
        </w:tc>
        <w:tc>
          <w:tcPr>
            <w:tcW w:w="1523" w:type="dxa"/>
            <w:vMerge/>
            <w:vAlign w:val="center"/>
          </w:tcPr>
          <w:p w14:paraId="3479D05B" w14:textId="77777777" w:rsidR="00B31E28" w:rsidRPr="00A9330B" w:rsidRDefault="00B31E28" w:rsidP="00B31E28">
            <w:pPr>
              <w:spacing w:before="60" w:line="240" w:lineRule="auto"/>
              <w:rPr>
                <w:color w:val="auto"/>
                <w:sz w:val="20"/>
                <w:szCs w:val="20"/>
              </w:rPr>
            </w:pPr>
          </w:p>
        </w:tc>
        <w:tc>
          <w:tcPr>
            <w:tcW w:w="2641" w:type="dxa"/>
          </w:tcPr>
          <w:p w14:paraId="403AF479" w14:textId="77777777" w:rsidR="00B31E28" w:rsidRPr="00A9330B" w:rsidRDefault="00B31E28" w:rsidP="000F7BA7">
            <w:pPr>
              <w:spacing w:before="60" w:line="240" w:lineRule="auto"/>
              <w:jc w:val="both"/>
              <w:rPr>
                <w:color w:val="auto"/>
                <w:sz w:val="20"/>
                <w:szCs w:val="20"/>
              </w:rPr>
            </w:pPr>
            <w:r w:rsidRPr="00A9330B">
              <w:rPr>
                <w:color w:val="auto"/>
                <w:sz w:val="20"/>
                <w:szCs w:val="20"/>
              </w:rPr>
              <w:t>2.8.a.10.4. Elaborer et mettre en œuvre un plan de communication sur les IST et le VIH SIDA lors des travaux</w:t>
            </w:r>
          </w:p>
        </w:tc>
        <w:tc>
          <w:tcPr>
            <w:tcW w:w="2194" w:type="dxa"/>
            <w:vMerge/>
          </w:tcPr>
          <w:p w14:paraId="30C18F63" w14:textId="77777777" w:rsidR="00B31E28" w:rsidRPr="00A9330B" w:rsidRDefault="00B31E28" w:rsidP="00B31E28">
            <w:pPr>
              <w:spacing w:before="60" w:line="240" w:lineRule="auto"/>
              <w:rPr>
                <w:color w:val="auto"/>
                <w:sz w:val="20"/>
                <w:szCs w:val="20"/>
              </w:rPr>
            </w:pPr>
          </w:p>
        </w:tc>
      </w:tr>
      <w:tr w:rsidR="00B31E28" w:rsidRPr="00A9330B" w14:paraId="26F05C8F" w14:textId="77777777" w:rsidTr="00350C9E">
        <w:tc>
          <w:tcPr>
            <w:tcW w:w="2425" w:type="dxa"/>
            <w:vMerge/>
          </w:tcPr>
          <w:p w14:paraId="6FCC09FD" w14:textId="77777777" w:rsidR="00B31E28" w:rsidRPr="00A9330B" w:rsidRDefault="00B31E28" w:rsidP="00B31E28">
            <w:pPr>
              <w:spacing w:before="60" w:line="240" w:lineRule="auto"/>
              <w:rPr>
                <w:color w:val="auto"/>
                <w:sz w:val="20"/>
                <w:szCs w:val="20"/>
              </w:rPr>
            </w:pPr>
          </w:p>
        </w:tc>
        <w:tc>
          <w:tcPr>
            <w:tcW w:w="2193" w:type="dxa"/>
            <w:vMerge/>
          </w:tcPr>
          <w:p w14:paraId="01A81E2F" w14:textId="77777777" w:rsidR="00B31E28" w:rsidRPr="00A9330B" w:rsidRDefault="00B31E28" w:rsidP="00B31E28">
            <w:pPr>
              <w:spacing w:before="60" w:line="240" w:lineRule="auto"/>
              <w:rPr>
                <w:color w:val="auto"/>
                <w:sz w:val="20"/>
                <w:szCs w:val="20"/>
              </w:rPr>
            </w:pPr>
          </w:p>
        </w:tc>
        <w:tc>
          <w:tcPr>
            <w:tcW w:w="2595" w:type="dxa"/>
            <w:vMerge/>
          </w:tcPr>
          <w:p w14:paraId="299A9A83" w14:textId="77777777" w:rsidR="00B31E28" w:rsidRPr="00A9330B" w:rsidRDefault="00B31E28" w:rsidP="00B31E28">
            <w:pPr>
              <w:spacing w:before="60" w:line="240" w:lineRule="auto"/>
              <w:rPr>
                <w:color w:val="auto"/>
                <w:sz w:val="20"/>
                <w:szCs w:val="20"/>
              </w:rPr>
            </w:pPr>
          </w:p>
        </w:tc>
        <w:tc>
          <w:tcPr>
            <w:tcW w:w="1523" w:type="dxa"/>
            <w:vMerge/>
            <w:vAlign w:val="center"/>
          </w:tcPr>
          <w:p w14:paraId="2B26583A" w14:textId="77777777" w:rsidR="00B31E28" w:rsidRPr="00A9330B" w:rsidRDefault="00B31E28" w:rsidP="00B31E28">
            <w:pPr>
              <w:spacing w:before="60" w:line="240" w:lineRule="auto"/>
              <w:rPr>
                <w:color w:val="auto"/>
                <w:sz w:val="20"/>
                <w:szCs w:val="20"/>
              </w:rPr>
            </w:pPr>
          </w:p>
        </w:tc>
        <w:tc>
          <w:tcPr>
            <w:tcW w:w="2641" w:type="dxa"/>
          </w:tcPr>
          <w:p w14:paraId="791376BB" w14:textId="77777777" w:rsidR="00B31E28" w:rsidRPr="00A9330B" w:rsidRDefault="00B31E28" w:rsidP="000F7BA7">
            <w:pPr>
              <w:spacing w:before="60" w:line="240" w:lineRule="auto"/>
              <w:jc w:val="both"/>
              <w:rPr>
                <w:color w:val="auto"/>
                <w:sz w:val="20"/>
                <w:szCs w:val="20"/>
              </w:rPr>
            </w:pPr>
            <w:r w:rsidRPr="00A9330B">
              <w:rPr>
                <w:color w:val="auto"/>
                <w:sz w:val="20"/>
                <w:szCs w:val="20"/>
              </w:rPr>
              <w:t>2.8.a.10.5. Respecter les mesures barrières de la COVID-19</w:t>
            </w:r>
          </w:p>
          <w:p w14:paraId="6BF05936" w14:textId="77777777" w:rsidR="00B31E28" w:rsidRPr="00A9330B" w:rsidRDefault="00B31E28" w:rsidP="000F7BA7">
            <w:pPr>
              <w:spacing w:before="60" w:line="240" w:lineRule="auto"/>
              <w:jc w:val="both"/>
              <w:rPr>
                <w:color w:val="auto"/>
                <w:sz w:val="20"/>
                <w:szCs w:val="20"/>
              </w:rPr>
            </w:pPr>
          </w:p>
        </w:tc>
        <w:tc>
          <w:tcPr>
            <w:tcW w:w="2194" w:type="dxa"/>
            <w:vMerge/>
          </w:tcPr>
          <w:p w14:paraId="7E9B4D45" w14:textId="77777777" w:rsidR="00B31E28" w:rsidRPr="00A9330B" w:rsidRDefault="00B31E28" w:rsidP="00B31E28">
            <w:pPr>
              <w:spacing w:before="60" w:line="240" w:lineRule="auto"/>
              <w:rPr>
                <w:color w:val="auto"/>
                <w:sz w:val="20"/>
                <w:szCs w:val="20"/>
              </w:rPr>
            </w:pPr>
          </w:p>
        </w:tc>
      </w:tr>
      <w:tr w:rsidR="00B31E28" w:rsidRPr="00A9330B" w14:paraId="024D52BD" w14:textId="77777777" w:rsidTr="00350C9E">
        <w:tc>
          <w:tcPr>
            <w:tcW w:w="2425" w:type="dxa"/>
            <w:vMerge/>
          </w:tcPr>
          <w:p w14:paraId="6E1BA39A" w14:textId="77777777" w:rsidR="00B31E28" w:rsidRPr="00A9330B" w:rsidRDefault="00B31E28" w:rsidP="00B31E28">
            <w:pPr>
              <w:spacing w:before="60" w:line="240" w:lineRule="auto"/>
              <w:rPr>
                <w:color w:val="auto"/>
                <w:sz w:val="20"/>
                <w:szCs w:val="20"/>
              </w:rPr>
            </w:pPr>
          </w:p>
        </w:tc>
        <w:tc>
          <w:tcPr>
            <w:tcW w:w="2193" w:type="dxa"/>
            <w:vMerge/>
          </w:tcPr>
          <w:p w14:paraId="356039FD" w14:textId="77777777" w:rsidR="00B31E28" w:rsidRPr="00A9330B" w:rsidRDefault="00B31E28" w:rsidP="00B31E28">
            <w:pPr>
              <w:spacing w:before="60" w:line="240" w:lineRule="auto"/>
              <w:rPr>
                <w:color w:val="auto"/>
                <w:sz w:val="20"/>
                <w:szCs w:val="20"/>
              </w:rPr>
            </w:pPr>
          </w:p>
        </w:tc>
        <w:tc>
          <w:tcPr>
            <w:tcW w:w="2595" w:type="dxa"/>
          </w:tcPr>
          <w:p w14:paraId="479D803E" w14:textId="77777777" w:rsidR="00B31E28" w:rsidRPr="00A9330B" w:rsidRDefault="00B31E28" w:rsidP="000F7BA7">
            <w:pPr>
              <w:spacing w:before="60" w:line="240" w:lineRule="auto"/>
              <w:jc w:val="both"/>
              <w:rPr>
                <w:color w:val="auto"/>
                <w:sz w:val="20"/>
                <w:szCs w:val="20"/>
              </w:rPr>
            </w:pPr>
            <w:r w:rsidRPr="00A9330B">
              <w:rPr>
                <w:color w:val="auto"/>
                <w:sz w:val="20"/>
                <w:szCs w:val="20"/>
              </w:rPr>
              <w:t>2.8.a.11. Augmentation ponctuelle du taux de grossesse non désirée et déscolarisation des filles</w:t>
            </w:r>
          </w:p>
        </w:tc>
        <w:tc>
          <w:tcPr>
            <w:tcW w:w="1523" w:type="dxa"/>
            <w:vAlign w:val="center"/>
          </w:tcPr>
          <w:p w14:paraId="004DA27E" w14:textId="77777777" w:rsidR="00B31E28" w:rsidRPr="00A9330B" w:rsidRDefault="00B31E28" w:rsidP="00B31E28">
            <w:pPr>
              <w:spacing w:before="60" w:line="240" w:lineRule="auto"/>
              <w:rPr>
                <w:color w:val="auto"/>
                <w:sz w:val="20"/>
                <w:szCs w:val="20"/>
              </w:rPr>
            </w:pPr>
            <w:r w:rsidRPr="00A9330B">
              <w:rPr>
                <w:color w:val="auto"/>
                <w:sz w:val="20"/>
                <w:szCs w:val="20"/>
              </w:rPr>
              <w:t xml:space="preserve">Moyenne </w:t>
            </w:r>
          </w:p>
        </w:tc>
        <w:tc>
          <w:tcPr>
            <w:tcW w:w="2641" w:type="dxa"/>
          </w:tcPr>
          <w:p w14:paraId="3D5F78B1" w14:textId="77777777" w:rsidR="00B31E28" w:rsidRPr="00A9330B" w:rsidRDefault="00B31E28" w:rsidP="000F7BA7">
            <w:pPr>
              <w:spacing w:before="60" w:line="240" w:lineRule="auto"/>
              <w:jc w:val="both"/>
              <w:rPr>
                <w:color w:val="auto"/>
                <w:sz w:val="20"/>
                <w:szCs w:val="20"/>
              </w:rPr>
            </w:pPr>
            <w:r w:rsidRPr="00A9330B">
              <w:rPr>
                <w:color w:val="auto"/>
                <w:sz w:val="20"/>
                <w:szCs w:val="20"/>
              </w:rPr>
              <w:t>2.8.a.11.1. Sensibiliser les populations</w:t>
            </w:r>
          </w:p>
        </w:tc>
        <w:tc>
          <w:tcPr>
            <w:tcW w:w="2194" w:type="dxa"/>
          </w:tcPr>
          <w:p w14:paraId="12A5EBA2" w14:textId="77777777" w:rsidR="00B31E28" w:rsidRPr="00A9330B" w:rsidRDefault="00B31E28" w:rsidP="00B31E28">
            <w:pPr>
              <w:spacing w:before="60" w:line="240" w:lineRule="auto"/>
              <w:rPr>
                <w:color w:val="auto"/>
                <w:sz w:val="20"/>
                <w:szCs w:val="20"/>
              </w:rPr>
            </w:pPr>
          </w:p>
        </w:tc>
      </w:tr>
      <w:tr w:rsidR="00B31E28" w:rsidRPr="00A9330B" w14:paraId="2C584259" w14:textId="77777777" w:rsidTr="00350C9E">
        <w:tc>
          <w:tcPr>
            <w:tcW w:w="2425" w:type="dxa"/>
            <w:vMerge/>
          </w:tcPr>
          <w:p w14:paraId="6B6BC891" w14:textId="77777777" w:rsidR="00B31E28" w:rsidRPr="00A9330B" w:rsidRDefault="00B31E28" w:rsidP="00B31E28">
            <w:pPr>
              <w:spacing w:before="60" w:line="240" w:lineRule="auto"/>
              <w:rPr>
                <w:color w:val="auto"/>
                <w:sz w:val="20"/>
                <w:szCs w:val="20"/>
              </w:rPr>
            </w:pPr>
          </w:p>
        </w:tc>
        <w:tc>
          <w:tcPr>
            <w:tcW w:w="2193" w:type="dxa"/>
            <w:vMerge/>
          </w:tcPr>
          <w:p w14:paraId="20FA4D74" w14:textId="77777777" w:rsidR="00B31E28" w:rsidRPr="00A9330B" w:rsidRDefault="00B31E28" w:rsidP="00B31E28">
            <w:pPr>
              <w:spacing w:before="60" w:line="240" w:lineRule="auto"/>
              <w:rPr>
                <w:color w:val="auto"/>
                <w:sz w:val="20"/>
                <w:szCs w:val="20"/>
              </w:rPr>
            </w:pPr>
          </w:p>
        </w:tc>
        <w:tc>
          <w:tcPr>
            <w:tcW w:w="2595" w:type="dxa"/>
          </w:tcPr>
          <w:p w14:paraId="3D7A1F67" w14:textId="77777777" w:rsidR="00B31E28" w:rsidRPr="00A9330B" w:rsidRDefault="00B31E28" w:rsidP="000F7BA7">
            <w:pPr>
              <w:spacing w:before="60" w:line="240" w:lineRule="auto"/>
              <w:jc w:val="both"/>
              <w:rPr>
                <w:color w:val="auto"/>
                <w:sz w:val="20"/>
                <w:szCs w:val="20"/>
              </w:rPr>
            </w:pPr>
            <w:r w:rsidRPr="00A9330B">
              <w:rPr>
                <w:color w:val="auto"/>
                <w:sz w:val="20"/>
                <w:szCs w:val="20"/>
              </w:rPr>
              <w:t>2.8.a.11. Conflits entre ouvriers, manœuvres et populations riveraines  (brassage, influence sur les us et coutumes)</w:t>
            </w:r>
          </w:p>
        </w:tc>
        <w:tc>
          <w:tcPr>
            <w:tcW w:w="1523" w:type="dxa"/>
            <w:vAlign w:val="center"/>
          </w:tcPr>
          <w:p w14:paraId="1113781B" w14:textId="77777777" w:rsidR="00B31E28" w:rsidRPr="00A9330B" w:rsidRDefault="00B31E28" w:rsidP="00B31E28">
            <w:pPr>
              <w:spacing w:before="60" w:line="240" w:lineRule="auto"/>
              <w:rPr>
                <w:color w:val="auto"/>
                <w:sz w:val="20"/>
                <w:szCs w:val="20"/>
              </w:rPr>
            </w:pPr>
            <w:r w:rsidRPr="00A9330B">
              <w:rPr>
                <w:color w:val="auto"/>
                <w:sz w:val="20"/>
                <w:szCs w:val="20"/>
              </w:rPr>
              <w:t>Faible</w:t>
            </w:r>
          </w:p>
        </w:tc>
        <w:tc>
          <w:tcPr>
            <w:tcW w:w="2641" w:type="dxa"/>
          </w:tcPr>
          <w:p w14:paraId="32F35470" w14:textId="77777777" w:rsidR="00B31E28" w:rsidRPr="00A9330B" w:rsidRDefault="00B31E28" w:rsidP="000F7BA7">
            <w:pPr>
              <w:spacing w:before="60" w:line="240" w:lineRule="auto"/>
              <w:jc w:val="both"/>
              <w:rPr>
                <w:color w:val="auto"/>
                <w:sz w:val="20"/>
                <w:szCs w:val="20"/>
              </w:rPr>
            </w:pPr>
            <w:r w:rsidRPr="00A9330B">
              <w:rPr>
                <w:color w:val="auto"/>
                <w:sz w:val="20"/>
                <w:szCs w:val="20"/>
              </w:rPr>
              <w:t>2.8.a.12.1. Sensibiliser les populations et le personnel de chantier sur le respect des mœurs</w:t>
            </w:r>
          </w:p>
        </w:tc>
        <w:tc>
          <w:tcPr>
            <w:tcW w:w="2194" w:type="dxa"/>
          </w:tcPr>
          <w:p w14:paraId="3BFB221B" w14:textId="77777777" w:rsidR="00B31E28" w:rsidRPr="00A9330B" w:rsidRDefault="00B31E28" w:rsidP="00B31E28">
            <w:pPr>
              <w:spacing w:before="60" w:line="240" w:lineRule="auto"/>
              <w:rPr>
                <w:color w:val="auto"/>
                <w:sz w:val="20"/>
                <w:szCs w:val="20"/>
              </w:rPr>
            </w:pPr>
          </w:p>
        </w:tc>
      </w:tr>
      <w:tr w:rsidR="00B31E28" w:rsidRPr="00A9330B" w14:paraId="3005F142" w14:textId="77777777" w:rsidTr="00350C9E">
        <w:tc>
          <w:tcPr>
            <w:tcW w:w="2425" w:type="dxa"/>
            <w:vMerge/>
          </w:tcPr>
          <w:p w14:paraId="50F61052" w14:textId="77777777" w:rsidR="00B31E28" w:rsidRPr="00A9330B" w:rsidRDefault="00B31E28" w:rsidP="00B31E28">
            <w:pPr>
              <w:spacing w:before="60" w:line="240" w:lineRule="auto"/>
              <w:rPr>
                <w:color w:val="auto"/>
                <w:sz w:val="20"/>
                <w:szCs w:val="20"/>
              </w:rPr>
            </w:pPr>
          </w:p>
        </w:tc>
        <w:tc>
          <w:tcPr>
            <w:tcW w:w="2193" w:type="dxa"/>
            <w:vMerge/>
          </w:tcPr>
          <w:p w14:paraId="0ADCF847" w14:textId="77777777" w:rsidR="00B31E28" w:rsidRPr="00A9330B" w:rsidRDefault="00B31E28" w:rsidP="00B31E28">
            <w:pPr>
              <w:spacing w:before="60" w:line="240" w:lineRule="auto"/>
              <w:rPr>
                <w:color w:val="auto"/>
                <w:sz w:val="20"/>
                <w:szCs w:val="20"/>
              </w:rPr>
            </w:pPr>
          </w:p>
        </w:tc>
        <w:tc>
          <w:tcPr>
            <w:tcW w:w="2595" w:type="dxa"/>
            <w:vMerge w:val="restart"/>
          </w:tcPr>
          <w:p w14:paraId="5A2D7124" w14:textId="77777777" w:rsidR="00B31E28" w:rsidRPr="00A9330B" w:rsidRDefault="00B31E28" w:rsidP="000F7BA7">
            <w:pPr>
              <w:spacing w:before="60" w:line="240" w:lineRule="auto"/>
              <w:jc w:val="both"/>
              <w:rPr>
                <w:color w:val="auto"/>
                <w:sz w:val="20"/>
                <w:szCs w:val="20"/>
              </w:rPr>
            </w:pPr>
            <w:r w:rsidRPr="00A9330B">
              <w:rPr>
                <w:color w:val="auto"/>
                <w:sz w:val="20"/>
                <w:szCs w:val="20"/>
              </w:rPr>
              <w:t xml:space="preserve">2.8.a.12. Entrave temporaire à la circulation et aux activités urbaines et périurbaines </w:t>
            </w:r>
          </w:p>
        </w:tc>
        <w:tc>
          <w:tcPr>
            <w:tcW w:w="1523" w:type="dxa"/>
            <w:vMerge w:val="restart"/>
            <w:vAlign w:val="center"/>
          </w:tcPr>
          <w:p w14:paraId="1C5A5882" w14:textId="77777777" w:rsidR="00B31E28" w:rsidRPr="00A9330B" w:rsidRDefault="00B31E28" w:rsidP="00B31E28">
            <w:pPr>
              <w:spacing w:before="60" w:line="240" w:lineRule="auto"/>
              <w:rPr>
                <w:color w:val="auto"/>
                <w:sz w:val="20"/>
                <w:szCs w:val="20"/>
              </w:rPr>
            </w:pPr>
            <w:r w:rsidRPr="00A9330B">
              <w:rPr>
                <w:color w:val="auto"/>
                <w:sz w:val="20"/>
                <w:szCs w:val="20"/>
              </w:rPr>
              <w:t>Faible</w:t>
            </w:r>
          </w:p>
        </w:tc>
        <w:tc>
          <w:tcPr>
            <w:tcW w:w="2641" w:type="dxa"/>
          </w:tcPr>
          <w:p w14:paraId="51023251" w14:textId="77777777" w:rsidR="00B31E28" w:rsidRPr="00A9330B" w:rsidRDefault="00B31E28" w:rsidP="000F7BA7">
            <w:pPr>
              <w:spacing w:before="60" w:line="240" w:lineRule="auto"/>
              <w:jc w:val="both"/>
              <w:rPr>
                <w:color w:val="auto"/>
                <w:sz w:val="20"/>
                <w:szCs w:val="20"/>
              </w:rPr>
            </w:pPr>
            <w:r w:rsidRPr="00A9330B">
              <w:rPr>
                <w:color w:val="auto"/>
                <w:sz w:val="20"/>
                <w:szCs w:val="20"/>
              </w:rPr>
              <w:t>2.8.a.12.1. Respecter  les délais contractuels d’exécution du projet</w:t>
            </w:r>
          </w:p>
        </w:tc>
        <w:tc>
          <w:tcPr>
            <w:tcW w:w="2194" w:type="dxa"/>
            <w:vMerge w:val="restart"/>
          </w:tcPr>
          <w:p w14:paraId="5C512504" w14:textId="77777777" w:rsidR="00B31E28" w:rsidRPr="00A9330B" w:rsidRDefault="00B31E28" w:rsidP="00B31E28">
            <w:pPr>
              <w:spacing w:before="60" w:line="240" w:lineRule="auto"/>
              <w:rPr>
                <w:color w:val="auto"/>
                <w:sz w:val="20"/>
                <w:szCs w:val="20"/>
              </w:rPr>
            </w:pPr>
          </w:p>
        </w:tc>
      </w:tr>
      <w:tr w:rsidR="00B31E28" w:rsidRPr="00A9330B" w14:paraId="0B3896FF" w14:textId="77777777" w:rsidTr="00350C9E">
        <w:tc>
          <w:tcPr>
            <w:tcW w:w="2425" w:type="dxa"/>
            <w:vMerge/>
          </w:tcPr>
          <w:p w14:paraId="6F052C8B" w14:textId="77777777" w:rsidR="00B31E28" w:rsidRPr="00A9330B" w:rsidRDefault="00B31E28" w:rsidP="00B31E28">
            <w:pPr>
              <w:spacing w:before="60" w:line="240" w:lineRule="auto"/>
              <w:rPr>
                <w:color w:val="auto"/>
                <w:sz w:val="20"/>
                <w:szCs w:val="20"/>
              </w:rPr>
            </w:pPr>
          </w:p>
        </w:tc>
        <w:tc>
          <w:tcPr>
            <w:tcW w:w="2193" w:type="dxa"/>
            <w:vMerge/>
          </w:tcPr>
          <w:p w14:paraId="348AB9D9" w14:textId="77777777" w:rsidR="00B31E28" w:rsidRPr="00A9330B" w:rsidRDefault="00B31E28" w:rsidP="00B31E28">
            <w:pPr>
              <w:spacing w:before="60" w:line="240" w:lineRule="auto"/>
              <w:rPr>
                <w:color w:val="auto"/>
                <w:sz w:val="20"/>
                <w:szCs w:val="20"/>
              </w:rPr>
            </w:pPr>
          </w:p>
        </w:tc>
        <w:tc>
          <w:tcPr>
            <w:tcW w:w="2595" w:type="dxa"/>
            <w:vMerge/>
          </w:tcPr>
          <w:p w14:paraId="49087C4B" w14:textId="77777777" w:rsidR="00B31E28" w:rsidRPr="00A9330B" w:rsidRDefault="00B31E28" w:rsidP="00B31E28">
            <w:pPr>
              <w:spacing w:before="60" w:line="240" w:lineRule="auto"/>
              <w:rPr>
                <w:color w:val="auto"/>
                <w:sz w:val="20"/>
                <w:szCs w:val="20"/>
              </w:rPr>
            </w:pPr>
          </w:p>
        </w:tc>
        <w:tc>
          <w:tcPr>
            <w:tcW w:w="1523" w:type="dxa"/>
            <w:vMerge/>
          </w:tcPr>
          <w:p w14:paraId="65952781" w14:textId="77777777" w:rsidR="00B31E28" w:rsidRPr="00A9330B" w:rsidRDefault="00B31E28" w:rsidP="00B31E28">
            <w:pPr>
              <w:spacing w:before="60" w:line="240" w:lineRule="auto"/>
              <w:rPr>
                <w:color w:val="auto"/>
                <w:sz w:val="20"/>
                <w:szCs w:val="20"/>
              </w:rPr>
            </w:pPr>
          </w:p>
        </w:tc>
        <w:tc>
          <w:tcPr>
            <w:tcW w:w="2641" w:type="dxa"/>
          </w:tcPr>
          <w:p w14:paraId="26196D09" w14:textId="77777777" w:rsidR="00B31E28" w:rsidRPr="00A9330B" w:rsidRDefault="00B31E28" w:rsidP="000F7BA7">
            <w:pPr>
              <w:spacing w:before="60" w:line="240" w:lineRule="auto"/>
              <w:jc w:val="both"/>
              <w:rPr>
                <w:color w:val="auto"/>
                <w:sz w:val="20"/>
                <w:szCs w:val="20"/>
              </w:rPr>
            </w:pPr>
            <w:r w:rsidRPr="00A9330B">
              <w:rPr>
                <w:color w:val="auto"/>
                <w:sz w:val="20"/>
                <w:szCs w:val="20"/>
              </w:rPr>
              <w:t>2.8.a.12.2. Mettre en place un dispositif de régulation de la circulation</w:t>
            </w:r>
          </w:p>
        </w:tc>
        <w:tc>
          <w:tcPr>
            <w:tcW w:w="2194" w:type="dxa"/>
            <w:vMerge/>
          </w:tcPr>
          <w:p w14:paraId="3878BEB2" w14:textId="77777777" w:rsidR="00B31E28" w:rsidRPr="00A9330B" w:rsidRDefault="00B31E28" w:rsidP="00B31E28">
            <w:pPr>
              <w:spacing w:before="60" w:line="240" w:lineRule="auto"/>
              <w:rPr>
                <w:color w:val="auto"/>
                <w:sz w:val="20"/>
                <w:szCs w:val="20"/>
              </w:rPr>
            </w:pPr>
          </w:p>
        </w:tc>
      </w:tr>
      <w:tr w:rsidR="00B31E28" w:rsidRPr="00A9330B" w14:paraId="2F021439" w14:textId="77777777" w:rsidTr="00350C9E">
        <w:tc>
          <w:tcPr>
            <w:tcW w:w="2425" w:type="dxa"/>
            <w:vMerge/>
          </w:tcPr>
          <w:p w14:paraId="1505706F" w14:textId="77777777" w:rsidR="00B31E28" w:rsidRPr="00A9330B" w:rsidRDefault="00B31E28" w:rsidP="00B31E28">
            <w:pPr>
              <w:spacing w:before="60" w:line="240" w:lineRule="auto"/>
              <w:rPr>
                <w:color w:val="auto"/>
                <w:sz w:val="20"/>
                <w:szCs w:val="20"/>
              </w:rPr>
            </w:pPr>
          </w:p>
        </w:tc>
        <w:tc>
          <w:tcPr>
            <w:tcW w:w="2193" w:type="dxa"/>
            <w:vMerge/>
          </w:tcPr>
          <w:p w14:paraId="0CB703DB" w14:textId="77777777" w:rsidR="00B31E28" w:rsidRPr="00A9330B" w:rsidRDefault="00B31E28" w:rsidP="00B31E28">
            <w:pPr>
              <w:spacing w:before="60" w:line="240" w:lineRule="auto"/>
              <w:rPr>
                <w:color w:val="auto"/>
                <w:sz w:val="20"/>
                <w:szCs w:val="20"/>
              </w:rPr>
            </w:pPr>
          </w:p>
        </w:tc>
        <w:tc>
          <w:tcPr>
            <w:tcW w:w="2595" w:type="dxa"/>
            <w:vMerge/>
          </w:tcPr>
          <w:p w14:paraId="641B9E81" w14:textId="77777777" w:rsidR="00B31E28" w:rsidRPr="00A9330B" w:rsidRDefault="00B31E28" w:rsidP="00B31E28">
            <w:pPr>
              <w:spacing w:before="60" w:line="240" w:lineRule="auto"/>
              <w:rPr>
                <w:color w:val="auto"/>
                <w:sz w:val="20"/>
                <w:szCs w:val="20"/>
              </w:rPr>
            </w:pPr>
          </w:p>
        </w:tc>
        <w:tc>
          <w:tcPr>
            <w:tcW w:w="1523" w:type="dxa"/>
            <w:vMerge/>
          </w:tcPr>
          <w:p w14:paraId="129CB2AD" w14:textId="77777777" w:rsidR="00B31E28" w:rsidRPr="00A9330B" w:rsidRDefault="00B31E28" w:rsidP="00B31E28">
            <w:pPr>
              <w:spacing w:before="60" w:line="240" w:lineRule="auto"/>
              <w:rPr>
                <w:color w:val="auto"/>
                <w:sz w:val="20"/>
                <w:szCs w:val="20"/>
              </w:rPr>
            </w:pPr>
          </w:p>
        </w:tc>
        <w:tc>
          <w:tcPr>
            <w:tcW w:w="2641" w:type="dxa"/>
          </w:tcPr>
          <w:p w14:paraId="207F5B56" w14:textId="77777777" w:rsidR="00B31E28" w:rsidRPr="00A9330B" w:rsidRDefault="00B31E28" w:rsidP="000F7BA7">
            <w:pPr>
              <w:spacing w:before="60" w:line="240" w:lineRule="auto"/>
              <w:jc w:val="both"/>
              <w:rPr>
                <w:color w:val="auto"/>
                <w:sz w:val="20"/>
                <w:szCs w:val="20"/>
              </w:rPr>
            </w:pPr>
            <w:r w:rsidRPr="00A9330B">
              <w:rPr>
                <w:color w:val="auto"/>
                <w:sz w:val="20"/>
                <w:szCs w:val="20"/>
              </w:rPr>
              <w:t>2.8.a.12.3. Mettre en place des panneaux de signalisation dans les zones de travaux</w:t>
            </w:r>
            <w:r w:rsidRPr="00A9330B" w:rsidDel="00551CFF">
              <w:rPr>
                <w:color w:val="auto"/>
                <w:sz w:val="20"/>
                <w:szCs w:val="20"/>
              </w:rPr>
              <w:t xml:space="preserve"> </w:t>
            </w:r>
          </w:p>
        </w:tc>
        <w:tc>
          <w:tcPr>
            <w:tcW w:w="2194" w:type="dxa"/>
            <w:vMerge/>
          </w:tcPr>
          <w:p w14:paraId="50DFA677" w14:textId="77777777" w:rsidR="00B31E28" w:rsidRPr="00A9330B" w:rsidRDefault="00B31E28" w:rsidP="00B31E28">
            <w:pPr>
              <w:spacing w:before="60" w:line="240" w:lineRule="auto"/>
              <w:rPr>
                <w:color w:val="auto"/>
                <w:sz w:val="20"/>
                <w:szCs w:val="20"/>
              </w:rPr>
            </w:pPr>
          </w:p>
        </w:tc>
      </w:tr>
      <w:tr w:rsidR="00B31E28" w:rsidRPr="00A9330B" w14:paraId="067D2896" w14:textId="77777777" w:rsidTr="00350C9E">
        <w:tc>
          <w:tcPr>
            <w:tcW w:w="2425" w:type="dxa"/>
            <w:vMerge w:val="restart"/>
          </w:tcPr>
          <w:p w14:paraId="7DCEA53F" w14:textId="77777777" w:rsidR="00B31E28" w:rsidRPr="00A9330B" w:rsidRDefault="00B31E28" w:rsidP="00B31E28">
            <w:pPr>
              <w:widowControl w:val="0"/>
              <w:tabs>
                <w:tab w:val="left" w:pos="426"/>
                <w:tab w:val="left" w:pos="851"/>
                <w:tab w:val="left" w:pos="1134"/>
              </w:tabs>
              <w:overflowPunct w:val="0"/>
              <w:autoSpaceDE w:val="0"/>
              <w:autoSpaceDN w:val="0"/>
              <w:adjustRightInd w:val="0"/>
              <w:spacing w:before="60" w:line="240" w:lineRule="auto"/>
              <w:textAlignment w:val="baseline"/>
              <w:rPr>
                <w:color w:val="auto"/>
                <w:sz w:val="20"/>
                <w:szCs w:val="20"/>
              </w:rPr>
            </w:pPr>
            <w:r w:rsidRPr="00A9330B">
              <w:rPr>
                <w:color w:val="auto"/>
                <w:sz w:val="20"/>
                <w:szCs w:val="20"/>
              </w:rPr>
              <w:t xml:space="preserve">2.9. Signalisation et divers </w:t>
            </w:r>
          </w:p>
          <w:p w14:paraId="7BA65A38" w14:textId="77777777" w:rsidR="00B31E28" w:rsidRPr="00A9330B" w:rsidRDefault="00B31E28" w:rsidP="00B31E28">
            <w:pPr>
              <w:spacing w:before="60" w:line="240" w:lineRule="auto"/>
              <w:rPr>
                <w:color w:val="auto"/>
                <w:sz w:val="20"/>
                <w:szCs w:val="20"/>
              </w:rPr>
            </w:pPr>
            <w:r w:rsidRPr="00A9330B">
              <w:rPr>
                <w:color w:val="auto"/>
                <w:sz w:val="20"/>
                <w:szCs w:val="20"/>
              </w:rPr>
              <w:lastRenderedPageBreak/>
              <w:t>Travaux d’éclairage de la chaussée</w:t>
            </w:r>
          </w:p>
        </w:tc>
        <w:tc>
          <w:tcPr>
            <w:tcW w:w="2193" w:type="dxa"/>
            <w:vMerge w:val="restart"/>
          </w:tcPr>
          <w:p w14:paraId="37E00BC2" w14:textId="77777777" w:rsidR="00B31E28" w:rsidRPr="00A9330B" w:rsidRDefault="00B31E28" w:rsidP="000F7BA7">
            <w:pPr>
              <w:spacing w:before="60" w:line="240" w:lineRule="auto"/>
              <w:jc w:val="both"/>
              <w:rPr>
                <w:color w:val="auto"/>
                <w:sz w:val="20"/>
                <w:szCs w:val="20"/>
              </w:rPr>
            </w:pPr>
            <w:r w:rsidRPr="00A9330B">
              <w:rPr>
                <w:color w:val="auto"/>
                <w:sz w:val="20"/>
                <w:szCs w:val="20"/>
              </w:rPr>
              <w:lastRenderedPageBreak/>
              <w:t>2.9.b.1. Facilitation de la circulation</w:t>
            </w:r>
          </w:p>
        </w:tc>
        <w:tc>
          <w:tcPr>
            <w:tcW w:w="2595" w:type="dxa"/>
            <w:vMerge w:val="restart"/>
          </w:tcPr>
          <w:p w14:paraId="292FDD3B" w14:textId="77777777" w:rsidR="00B31E28" w:rsidRPr="00A9330B" w:rsidRDefault="00B31E28" w:rsidP="000F7BA7">
            <w:pPr>
              <w:spacing w:before="60" w:line="240" w:lineRule="auto"/>
              <w:jc w:val="both"/>
              <w:rPr>
                <w:color w:val="auto"/>
                <w:sz w:val="20"/>
                <w:szCs w:val="20"/>
              </w:rPr>
            </w:pPr>
            <w:r w:rsidRPr="00A9330B">
              <w:rPr>
                <w:color w:val="auto"/>
                <w:sz w:val="20"/>
                <w:szCs w:val="20"/>
              </w:rPr>
              <w:t xml:space="preserve">2.9.a.1.1. Entrave temporaire à la circulation </w:t>
            </w:r>
            <w:r w:rsidRPr="00A9330B">
              <w:rPr>
                <w:color w:val="auto"/>
                <w:sz w:val="20"/>
                <w:szCs w:val="20"/>
              </w:rPr>
              <w:lastRenderedPageBreak/>
              <w:t xml:space="preserve">et aux activités urbaines et périurbaines </w:t>
            </w:r>
          </w:p>
          <w:p w14:paraId="2C46EC6A" w14:textId="77777777" w:rsidR="00B31E28" w:rsidRPr="00A9330B" w:rsidRDefault="00B31E28" w:rsidP="000F7BA7">
            <w:pPr>
              <w:widowControl w:val="0"/>
              <w:tabs>
                <w:tab w:val="left" w:pos="426"/>
                <w:tab w:val="left" w:pos="851"/>
                <w:tab w:val="left" w:pos="1134"/>
              </w:tabs>
              <w:overflowPunct w:val="0"/>
              <w:autoSpaceDE w:val="0"/>
              <w:autoSpaceDN w:val="0"/>
              <w:adjustRightInd w:val="0"/>
              <w:spacing w:before="60" w:line="240" w:lineRule="auto"/>
              <w:jc w:val="both"/>
              <w:textAlignment w:val="baseline"/>
              <w:rPr>
                <w:i/>
                <w:color w:val="auto"/>
                <w:sz w:val="20"/>
                <w:szCs w:val="20"/>
              </w:rPr>
            </w:pPr>
          </w:p>
        </w:tc>
        <w:tc>
          <w:tcPr>
            <w:tcW w:w="1523" w:type="dxa"/>
            <w:vMerge w:val="restart"/>
          </w:tcPr>
          <w:p w14:paraId="37E85907" w14:textId="77777777" w:rsidR="00B31E28" w:rsidRPr="00A9330B" w:rsidRDefault="00B31E28" w:rsidP="00B31E28">
            <w:pPr>
              <w:spacing w:before="60" w:line="240" w:lineRule="auto"/>
              <w:rPr>
                <w:color w:val="auto"/>
                <w:sz w:val="20"/>
                <w:szCs w:val="20"/>
              </w:rPr>
            </w:pPr>
            <w:r w:rsidRPr="00A9330B">
              <w:rPr>
                <w:color w:val="auto"/>
                <w:sz w:val="20"/>
                <w:szCs w:val="20"/>
              </w:rPr>
              <w:lastRenderedPageBreak/>
              <w:t xml:space="preserve"> Faible </w:t>
            </w:r>
          </w:p>
        </w:tc>
        <w:tc>
          <w:tcPr>
            <w:tcW w:w="2641" w:type="dxa"/>
            <w:vAlign w:val="center"/>
          </w:tcPr>
          <w:p w14:paraId="67AC360F" w14:textId="77777777" w:rsidR="00B31E28" w:rsidRPr="00A9330B" w:rsidRDefault="00B31E28" w:rsidP="000F7BA7">
            <w:pPr>
              <w:spacing w:before="60" w:line="240" w:lineRule="auto"/>
              <w:jc w:val="both"/>
              <w:rPr>
                <w:color w:val="auto"/>
                <w:sz w:val="20"/>
                <w:szCs w:val="20"/>
              </w:rPr>
            </w:pPr>
            <w:r w:rsidRPr="00A9330B">
              <w:rPr>
                <w:color w:val="auto"/>
                <w:sz w:val="20"/>
                <w:szCs w:val="20"/>
              </w:rPr>
              <w:t xml:space="preserve">2.9.a.1.1. Informer les populations avant le démarrage des travaux </w:t>
            </w:r>
            <w:r w:rsidRPr="00A9330B">
              <w:rPr>
                <w:color w:val="auto"/>
                <w:sz w:val="20"/>
                <w:szCs w:val="20"/>
              </w:rPr>
              <w:lastRenderedPageBreak/>
              <w:t>pour les dispositions utiles à prendre</w:t>
            </w:r>
          </w:p>
        </w:tc>
        <w:tc>
          <w:tcPr>
            <w:tcW w:w="2194" w:type="dxa"/>
            <w:vMerge w:val="restart"/>
          </w:tcPr>
          <w:p w14:paraId="54A2D974" w14:textId="77777777" w:rsidR="00B31E28" w:rsidRPr="00A9330B" w:rsidRDefault="00B31E28" w:rsidP="00B31E28">
            <w:pPr>
              <w:spacing w:before="60" w:line="240" w:lineRule="auto"/>
              <w:rPr>
                <w:color w:val="auto"/>
                <w:sz w:val="20"/>
                <w:szCs w:val="20"/>
              </w:rPr>
            </w:pPr>
          </w:p>
        </w:tc>
      </w:tr>
      <w:tr w:rsidR="00B31E28" w:rsidRPr="00A9330B" w14:paraId="63C6A18D" w14:textId="77777777" w:rsidTr="00350C9E">
        <w:tc>
          <w:tcPr>
            <w:tcW w:w="2425" w:type="dxa"/>
            <w:vMerge/>
          </w:tcPr>
          <w:p w14:paraId="0A8AB61F" w14:textId="77777777" w:rsidR="00B31E28" w:rsidRPr="00A9330B" w:rsidRDefault="00B31E28" w:rsidP="00B31E28">
            <w:pPr>
              <w:spacing w:before="60" w:line="240" w:lineRule="auto"/>
              <w:rPr>
                <w:color w:val="auto"/>
                <w:sz w:val="20"/>
                <w:szCs w:val="20"/>
              </w:rPr>
            </w:pPr>
          </w:p>
        </w:tc>
        <w:tc>
          <w:tcPr>
            <w:tcW w:w="2193" w:type="dxa"/>
            <w:vMerge/>
          </w:tcPr>
          <w:p w14:paraId="06797C83" w14:textId="77777777" w:rsidR="00B31E28" w:rsidRPr="00A9330B" w:rsidRDefault="00B31E28" w:rsidP="000F7BA7">
            <w:pPr>
              <w:spacing w:before="60" w:line="240" w:lineRule="auto"/>
              <w:jc w:val="both"/>
              <w:rPr>
                <w:color w:val="auto"/>
                <w:sz w:val="20"/>
                <w:szCs w:val="20"/>
              </w:rPr>
            </w:pPr>
          </w:p>
        </w:tc>
        <w:tc>
          <w:tcPr>
            <w:tcW w:w="2595" w:type="dxa"/>
            <w:vMerge/>
          </w:tcPr>
          <w:p w14:paraId="7DAA585F" w14:textId="77777777" w:rsidR="00B31E28" w:rsidRPr="00A9330B" w:rsidRDefault="00B31E28" w:rsidP="000F7BA7">
            <w:pPr>
              <w:spacing w:before="60" w:line="240" w:lineRule="auto"/>
              <w:jc w:val="both"/>
              <w:rPr>
                <w:color w:val="auto"/>
                <w:sz w:val="20"/>
                <w:szCs w:val="20"/>
              </w:rPr>
            </w:pPr>
          </w:p>
        </w:tc>
        <w:tc>
          <w:tcPr>
            <w:tcW w:w="1523" w:type="dxa"/>
            <w:vMerge/>
            <w:vAlign w:val="center"/>
          </w:tcPr>
          <w:p w14:paraId="0B0D29DA" w14:textId="77777777" w:rsidR="00B31E28" w:rsidRPr="00A9330B" w:rsidRDefault="00B31E28" w:rsidP="00B31E28">
            <w:pPr>
              <w:spacing w:before="60" w:line="240" w:lineRule="auto"/>
              <w:rPr>
                <w:color w:val="auto"/>
                <w:sz w:val="20"/>
                <w:szCs w:val="20"/>
              </w:rPr>
            </w:pPr>
          </w:p>
        </w:tc>
        <w:tc>
          <w:tcPr>
            <w:tcW w:w="2641" w:type="dxa"/>
          </w:tcPr>
          <w:p w14:paraId="130B550F" w14:textId="77777777" w:rsidR="00B31E28" w:rsidRPr="00A9330B" w:rsidRDefault="00B31E28" w:rsidP="000F7BA7">
            <w:pPr>
              <w:spacing w:before="60" w:line="240" w:lineRule="auto"/>
              <w:jc w:val="both"/>
              <w:rPr>
                <w:color w:val="auto"/>
                <w:sz w:val="20"/>
                <w:szCs w:val="20"/>
              </w:rPr>
            </w:pPr>
            <w:r w:rsidRPr="00A9330B">
              <w:rPr>
                <w:color w:val="auto"/>
                <w:sz w:val="20"/>
                <w:szCs w:val="20"/>
              </w:rPr>
              <w:t>2.9.a.1.2. Mettre en place des panneaux de signalisation dans les zones de travaux</w:t>
            </w:r>
          </w:p>
        </w:tc>
        <w:tc>
          <w:tcPr>
            <w:tcW w:w="2194" w:type="dxa"/>
            <w:vMerge/>
          </w:tcPr>
          <w:p w14:paraId="34CAD127" w14:textId="77777777" w:rsidR="00B31E28" w:rsidRPr="00A9330B" w:rsidRDefault="00B31E28" w:rsidP="00B31E28">
            <w:pPr>
              <w:spacing w:before="60" w:line="240" w:lineRule="auto"/>
              <w:rPr>
                <w:color w:val="auto"/>
                <w:sz w:val="20"/>
                <w:szCs w:val="20"/>
              </w:rPr>
            </w:pPr>
          </w:p>
        </w:tc>
      </w:tr>
      <w:tr w:rsidR="00B31E28" w:rsidRPr="00A9330B" w14:paraId="1F61CDF5" w14:textId="77777777" w:rsidTr="00350C9E">
        <w:tc>
          <w:tcPr>
            <w:tcW w:w="2425" w:type="dxa"/>
            <w:vMerge/>
          </w:tcPr>
          <w:p w14:paraId="56309D00" w14:textId="77777777" w:rsidR="00B31E28" w:rsidRPr="00A9330B" w:rsidRDefault="00B31E28" w:rsidP="00B31E28">
            <w:pPr>
              <w:spacing w:before="60" w:line="240" w:lineRule="auto"/>
              <w:rPr>
                <w:color w:val="auto"/>
                <w:sz w:val="20"/>
                <w:szCs w:val="20"/>
              </w:rPr>
            </w:pPr>
          </w:p>
        </w:tc>
        <w:tc>
          <w:tcPr>
            <w:tcW w:w="2193" w:type="dxa"/>
            <w:vMerge/>
          </w:tcPr>
          <w:p w14:paraId="2203EFBB" w14:textId="77777777" w:rsidR="00B31E28" w:rsidRPr="00A9330B" w:rsidRDefault="00B31E28" w:rsidP="000F7BA7">
            <w:pPr>
              <w:spacing w:before="60" w:line="240" w:lineRule="auto"/>
              <w:jc w:val="both"/>
              <w:rPr>
                <w:color w:val="auto"/>
                <w:sz w:val="20"/>
                <w:szCs w:val="20"/>
              </w:rPr>
            </w:pPr>
          </w:p>
        </w:tc>
        <w:tc>
          <w:tcPr>
            <w:tcW w:w="2595" w:type="dxa"/>
            <w:vMerge/>
          </w:tcPr>
          <w:p w14:paraId="0C108D89" w14:textId="77777777" w:rsidR="00B31E28" w:rsidRPr="00A9330B" w:rsidRDefault="00B31E28" w:rsidP="000F7BA7">
            <w:pPr>
              <w:spacing w:before="60" w:line="240" w:lineRule="auto"/>
              <w:jc w:val="both"/>
              <w:rPr>
                <w:color w:val="auto"/>
                <w:sz w:val="20"/>
                <w:szCs w:val="20"/>
              </w:rPr>
            </w:pPr>
          </w:p>
        </w:tc>
        <w:tc>
          <w:tcPr>
            <w:tcW w:w="1523" w:type="dxa"/>
            <w:vMerge/>
            <w:vAlign w:val="center"/>
          </w:tcPr>
          <w:p w14:paraId="721287E0" w14:textId="77777777" w:rsidR="00B31E28" w:rsidRPr="00A9330B" w:rsidRDefault="00B31E28" w:rsidP="00B31E28">
            <w:pPr>
              <w:spacing w:before="60" w:line="240" w:lineRule="auto"/>
              <w:rPr>
                <w:color w:val="auto"/>
                <w:sz w:val="20"/>
                <w:szCs w:val="20"/>
              </w:rPr>
            </w:pPr>
          </w:p>
        </w:tc>
        <w:tc>
          <w:tcPr>
            <w:tcW w:w="2641" w:type="dxa"/>
          </w:tcPr>
          <w:p w14:paraId="4BF384AD" w14:textId="77777777" w:rsidR="00B31E28" w:rsidRPr="00A9330B" w:rsidRDefault="00B31E28" w:rsidP="000F7BA7">
            <w:pPr>
              <w:spacing w:before="60" w:line="240" w:lineRule="auto"/>
              <w:jc w:val="both"/>
              <w:rPr>
                <w:color w:val="auto"/>
                <w:sz w:val="20"/>
                <w:szCs w:val="20"/>
              </w:rPr>
            </w:pPr>
            <w:r w:rsidRPr="00A9330B">
              <w:rPr>
                <w:color w:val="auto"/>
                <w:sz w:val="20"/>
                <w:szCs w:val="20"/>
              </w:rPr>
              <w:t>2.9.a.1.3.  Mettre en place un dispositif de régulation de la circulation</w:t>
            </w:r>
          </w:p>
        </w:tc>
        <w:tc>
          <w:tcPr>
            <w:tcW w:w="2194" w:type="dxa"/>
            <w:vMerge/>
          </w:tcPr>
          <w:p w14:paraId="5835B4B1" w14:textId="77777777" w:rsidR="00B31E28" w:rsidRPr="00A9330B" w:rsidRDefault="00B31E28" w:rsidP="00B31E28">
            <w:pPr>
              <w:spacing w:before="60" w:line="240" w:lineRule="auto"/>
              <w:rPr>
                <w:color w:val="auto"/>
                <w:sz w:val="20"/>
                <w:szCs w:val="20"/>
              </w:rPr>
            </w:pPr>
          </w:p>
        </w:tc>
      </w:tr>
      <w:tr w:rsidR="00B31E28" w:rsidRPr="00A9330B" w14:paraId="1A598079" w14:textId="77777777" w:rsidTr="00350C9E">
        <w:trPr>
          <w:trHeight w:val="486"/>
        </w:trPr>
        <w:tc>
          <w:tcPr>
            <w:tcW w:w="2425" w:type="dxa"/>
            <w:vMerge w:val="restart"/>
          </w:tcPr>
          <w:p w14:paraId="0626F9D0" w14:textId="77777777" w:rsidR="00B31E28" w:rsidRPr="00A9330B" w:rsidRDefault="00B31E28" w:rsidP="00B31E28">
            <w:pPr>
              <w:spacing w:before="60" w:line="240" w:lineRule="auto"/>
              <w:rPr>
                <w:color w:val="auto"/>
                <w:sz w:val="20"/>
                <w:szCs w:val="20"/>
              </w:rPr>
            </w:pPr>
            <w:r w:rsidRPr="00A9330B">
              <w:rPr>
                <w:color w:val="auto"/>
                <w:sz w:val="20"/>
                <w:szCs w:val="20"/>
              </w:rPr>
              <w:t>2.10. Travaux de construction des collecteurs</w:t>
            </w:r>
          </w:p>
        </w:tc>
        <w:tc>
          <w:tcPr>
            <w:tcW w:w="2193" w:type="dxa"/>
          </w:tcPr>
          <w:p w14:paraId="204A50D2" w14:textId="77777777" w:rsidR="00B31E28" w:rsidRPr="00A9330B" w:rsidRDefault="00B31E28" w:rsidP="000F7BA7">
            <w:pPr>
              <w:spacing w:before="60" w:line="240" w:lineRule="auto"/>
              <w:jc w:val="both"/>
              <w:rPr>
                <w:color w:val="auto"/>
                <w:sz w:val="20"/>
                <w:szCs w:val="20"/>
              </w:rPr>
            </w:pPr>
            <w:r w:rsidRPr="00A9330B">
              <w:rPr>
                <w:color w:val="auto"/>
                <w:sz w:val="20"/>
                <w:szCs w:val="20"/>
              </w:rPr>
              <w:t>2.10.b.1 Augmentation des retombées économiques pour l’Etat</w:t>
            </w:r>
          </w:p>
        </w:tc>
        <w:tc>
          <w:tcPr>
            <w:tcW w:w="2595" w:type="dxa"/>
          </w:tcPr>
          <w:p w14:paraId="5E0B3ADD" w14:textId="77777777" w:rsidR="00B31E28" w:rsidRPr="00A9330B" w:rsidRDefault="00B31E28" w:rsidP="000F7BA7">
            <w:pPr>
              <w:spacing w:before="60" w:line="240" w:lineRule="auto"/>
              <w:jc w:val="both"/>
              <w:rPr>
                <w:color w:val="auto"/>
                <w:sz w:val="20"/>
                <w:szCs w:val="20"/>
              </w:rPr>
            </w:pPr>
            <w:r w:rsidRPr="00A9330B">
              <w:rPr>
                <w:color w:val="auto"/>
                <w:sz w:val="20"/>
                <w:szCs w:val="20"/>
              </w:rPr>
              <w:t xml:space="preserve">2.10.a.1. Pollution atmosphérique de  particules dans l’air </w:t>
            </w:r>
          </w:p>
          <w:p w14:paraId="6FDE216D" w14:textId="77777777" w:rsidR="00B31E28" w:rsidRPr="00A9330B" w:rsidRDefault="00B31E28" w:rsidP="000F7BA7">
            <w:pPr>
              <w:spacing w:before="60" w:line="240" w:lineRule="auto"/>
              <w:jc w:val="both"/>
              <w:rPr>
                <w:color w:val="auto"/>
                <w:sz w:val="20"/>
                <w:szCs w:val="20"/>
              </w:rPr>
            </w:pPr>
          </w:p>
        </w:tc>
        <w:tc>
          <w:tcPr>
            <w:tcW w:w="1523" w:type="dxa"/>
            <w:vAlign w:val="center"/>
          </w:tcPr>
          <w:p w14:paraId="37B53714" w14:textId="77777777" w:rsidR="00B31E28" w:rsidRPr="00A9330B" w:rsidRDefault="00B31E28" w:rsidP="00B31E28">
            <w:pPr>
              <w:spacing w:before="60" w:line="240" w:lineRule="auto"/>
              <w:rPr>
                <w:color w:val="auto"/>
                <w:sz w:val="20"/>
                <w:szCs w:val="20"/>
              </w:rPr>
            </w:pPr>
            <w:r w:rsidRPr="00A9330B">
              <w:rPr>
                <w:color w:val="auto"/>
                <w:sz w:val="20"/>
                <w:szCs w:val="20"/>
              </w:rPr>
              <w:t xml:space="preserve">Moyenne  </w:t>
            </w:r>
          </w:p>
        </w:tc>
        <w:tc>
          <w:tcPr>
            <w:tcW w:w="2641" w:type="dxa"/>
          </w:tcPr>
          <w:p w14:paraId="3E0EC412" w14:textId="77777777" w:rsidR="00B31E28" w:rsidRPr="00A9330B" w:rsidRDefault="00B31E28" w:rsidP="000F7BA7">
            <w:pPr>
              <w:spacing w:before="60" w:line="240" w:lineRule="auto"/>
              <w:jc w:val="both"/>
              <w:rPr>
                <w:color w:val="auto"/>
                <w:sz w:val="20"/>
                <w:szCs w:val="20"/>
              </w:rPr>
            </w:pPr>
            <w:r w:rsidRPr="00A9330B">
              <w:rPr>
                <w:color w:val="auto"/>
                <w:sz w:val="20"/>
                <w:szCs w:val="20"/>
              </w:rPr>
              <w:t>2.10.a.1.1.  Doter le  personnel de chantier des équipements de protection individuels (EPI) et veiller à leur port effectif</w:t>
            </w:r>
          </w:p>
        </w:tc>
        <w:tc>
          <w:tcPr>
            <w:tcW w:w="2194" w:type="dxa"/>
          </w:tcPr>
          <w:p w14:paraId="5784BD28" w14:textId="77777777" w:rsidR="00B31E28" w:rsidRPr="00A9330B" w:rsidRDefault="00B31E28" w:rsidP="00B31E28">
            <w:pPr>
              <w:spacing w:before="60" w:line="240" w:lineRule="auto"/>
              <w:rPr>
                <w:color w:val="auto"/>
                <w:sz w:val="20"/>
                <w:szCs w:val="20"/>
              </w:rPr>
            </w:pPr>
          </w:p>
        </w:tc>
      </w:tr>
      <w:tr w:rsidR="00B31E28" w:rsidRPr="00A9330B" w14:paraId="248FC681" w14:textId="77777777" w:rsidTr="00350C9E">
        <w:tc>
          <w:tcPr>
            <w:tcW w:w="2425" w:type="dxa"/>
            <w:vMerge/>
          </w:tcPr>
          <w:p w14:paraId="76A26CBC" w14:textId="77777777" w:rsidR="00B31E28" w:rsidRPr="00A9330B" w:rsidRDefault="00B31E28" w:rsidP="00B31E28">
            <w:pPr>
              <w:spacing w:before="60" w:line="240" w:lineRule="auto"/>
              <w:rPr>
                <w:color w:val="auto"/>
                <w:sz w:val="20"/>
                <w:szCs w:val="20"/>
              </w:rPr>
            </w:pPr>
          </w:p>
        </w:tc>
        <w:tc>
          <w:tcPr>
            <w:tcW w:w="2193" w:type="dxa"/>
            <w:vMerge w:val="restart"/>
          </w:tcPr>
          <w:p w14:paraId="50324CC6" w14:textId="77777777" w:rsidR="00B31E28" w:rsidRPr="00A9330B" w:rsidRDefault="00B31E28" w:rsidP="000F7BA7">
            <w:pPr>
              <w:spacing w:before="40" w:line="240" w:lineRule="auto"/>
              <w:jc w:val="both"/>
              <w:rPr>
                <w:color w:val="auto"/>
                <w:sz w:val="20"/>
                <w:szCs w:val="20"/>
              </w:rPr>
            </w:pPr>
            <w:r w:rsidRPr="00A9330B">
              <w:rPr>
                <w:color w:val="auto"/>
                <w:sz w:val="20"/>
                <w:szCs w:val="20"/>
              </w:rPr>
              <w:t xml:space="preserve">2.10.b.2. Embellissement des rues et des bordures des ouvrages </w:t>
            </w:r>
          </w:p>
          <w:p w14:paraId="34B83819" w14:textId="77777777" w:rsidR="00B31E28" w:rsidRPr="00A9330B" w:rsidRDefault="00B31E28" w:rsidP="000F7BA7">
            <w:pPr>
              <w:spacing w:before="60" w:line="240" w:lineRule="auto"/>
              <w:jc w:val="both"/>
              <w:rPr>
                <w:color w:val="auto"/>
                <w:sz w:val="20"/>
                <w:szCs w:val="20"/>
              </w:rPr>
            </w:pPr>
          </w:p>
        </w:tc>
        <w:tc>
          <w:tcPr>
            <w:tcW w:w="2595" w:type="dxa"/>
            <w:vMerge w:val="restart"/>
          </w:tcPr>
          <w:p w14:paraId="1A4CEDB4" w14:textId="77777777" w:rsidR="00B31E28" w:rsidRPr="00A9330B" w:rsidRDefault="00B31E28" w:rsidP="000F7BA7">
            <w:pPr>
              <w:spacing w:before="60" w:line="240" w:lineRule="auto"/>
              <w:jc w:val="both"/>
              <w:rPr>
                <w:color w:val="auto"/>
                <w:sz w:val="20"/>
                <w:szCs w:val="20"/>
              </w:rPr>
            </w:pPr>
            <w:r w:rsidRPr="00A9330B">
              <w:rPr>
                <w:color w:val="auto"/>
                <w:sz w:val="20"/>
                <w:szCs w:val="20"/>
              </w:rPr>
              <w:t xml:space="preserve">2.10.a.2. Pertes de végétation  </w:t>
            </w:r>
          </w:p>
        </w:tc>
        <w:tc>
          <w:tcPr>
            <w:tcW w:w="1523" w:type="dxa"/>
            <w:vMerge w:val="restart"/>
            <w:vAlign w:val="center"/>
          </w:tcPr>
          <w:p w14:paraId="1447C4F8" w14:textId="77777777" w:rsidR="00B31E28" w:rsidRPr="00A9330B" w:rsidRDefault="00B31E28" w:rsidP="00B31E28">
            <w:pPr>
              <w:spacing w:before="60" w:line="240" w:lineRule="auto"/>
              <w:rPr>
                <w:color w:val="auto"/>
                <w:sz w:val="20"/>
                <w:szCs w:val="20"/>
              </w:rPr>
            </w:pPr>
            <w:r w:rsidRPr="00A9330B">
              <w:rPr>
                <w:color w:val="auto"/>
                <w:sz w:val="20"/>
                <w:szCs w:val="20"/>
              </w:rPr>
              <w:t>Moyenne</w:t>
            </w:r>
          </w:p>
        </w:tc>
        <w:tc>
          <w:tcPr>
            <w:tcW w:w="2641" w:type="dxa"/>
          </w:tcPr>
          <w:p w14:paraId="205C28E0" w14:textId="77777777" w:rsidR="00B31E28" w:rsidRPr="00A9330B" w:rsidRDefault="00B31E28" w:rsidP="000F7BA7">
            <w:pPr>
              <w:spacing w:before="60" w:line="240" w:lineRule="auto"/>
              <w:jc w:val="both"/>
              <w:rPr>
                <w:color w:val="auto"/>
                <w:sz w:val="20"/>
                <w:szCs w:val="20"/>
              </w:rPr>
            </w:pPr>
            <w:r w:rsidRPr="00A9330B">
              <w:rPr>
                <w:color w:val="auto"/>
                <w:sz w:val="20"/>
                <w:szCs w:val="20"/>
              </w:rPr>
              <w:t>2.10.a.2.1 Prendre l’autorisation de l’inspection forestière avant la coupe des arbres</w:t>
            </w:r>
          </w:p>
        </w:tc>
        <w:tc>
          <w:tcPr>
            <w:tcW w:w="2194" w:type="dxa"/>
          </w:tcPr>
          <w:p w14:paraId="0A98D77F" w14:textId="77777777" w:rsidR="00B31E28" w:rsidRPr="00A9330B" w:rsidRDefault="00B31E28" w:rsidP="00B31E28">
            <w:pPr>
              <w:spacing w:before="60" w:line="240" w:lineRule="auto"/>
              <w:rPr>
                <w:color w:val="auto"/>
                <w:sz w:val="20"/>
                <w:szCs w:val="20"/>
              </w:rPr>
            </w:pPr>
          </w:p>
        </w:tc>
      </w:tr>
      <w:tr w:rsidR="00B31E28" w:rsidRPr="00A9330B" w14:paraId="264D00D2" w14:textId="77777777" w:rsidTr="00350C9E">
        <w:tc>
          <w:tcPr>
            <w:tcW w:w="2425" w:type="dxa"/>
            <w:vMerge/>
          </w:tcPr>
          <w:p w14:paraId="3ABF1283" w14:textId="77777777" w:rsidR="00B31E28" w:rsidRPr="00A9330B" w:rsidRDefault="00B31E28" w:rsidP="00B31E28">
            <w:pPr>
              <w:spacing w:before="60" w:line="240" w:lineRule="auto"/>
              <w:rPr>
                <w:color w:val="auto"/>
                <w:sz w:val="20"/>
                <w:szCs w:val="20"/>
              </w:rPr>
            </w:pPr>
          </w:p>
        </w:tc>
        <w:tc>
          <w:tcPr>
            <w:tcW w:w="2193" w:type="dxa"/>
            <w:vMerge/>
          </w:tcPr>
          <w:p w14:paraId="4F3608A6" w14:textId="77777777" w:rsidR="00B31E28" w:rsidRPr="00A9330B" w:rsidRDefault="00B31E28" w:rsidP="000F7BA7">
            <w:pPr>
              <w:spacing w:before="60" w:line="240" w:lineRule="auto"/>
              <w:jc w:val="both"/>
              <w:rPr>
                <w:color w:val="auto"/>
                <w:sz w:val="20"/>
                <w:szCs w:val="20"/>
              </w:rPr>
            </w:pPr>
          </w:p>
        </w:tc>
        <w:tc>
          <w:tcPr>
            <w:tcW w:w="2595" w:type="dxa"/>
            <w:vMerge/>
          </w:tcPr>
          <w:p w14:paraId="66F6B912" w14:textId="77777777" w:rsidR="00B31E28" w:rsidRPr="00A9330B" w:rsidRDefault="00B31E28" w:rsidP="000F7BA7">
            <w:pPr>
              <w:spacing w:before="60" w:line="240" w:lineRule="auto"/>
              <w:jc w:val="both"/>
              <w:rPr>
                <w:color w:val="auto"/>
                <w:sz w:val="20"/>
                <w:szCs w:val="20"/>
              </w:rPr>
            </w:pPr>
          </w:p>
        </w:tc>
        <w:tc>
          <w:tcPr>
            <w:tcW w:w="1523" w:type="dxa"/>
            <w:vMerge/>
            <w:vAlign w:val="center"/>
          </w:tcPr>
          <w:p w14:paraId="2226CF8B" w14:textId="77777777" w:rsidR="00B31E28" w:rsidRPr="00A9330B" w:rsidRDefault="00B31E28" w:rsidP="00B31E28">
            <w:pPr>
              <w:spacing w:before="60" w:line="240" w:lineRule="auto"/>
              <w:rPr>
                <w:color w:val="auto"/>
                <w:sz w:val="20"/>
                <w:szCs w:val="20"/>
              </w:rPr>
            </w:pPr>
          </w:p>
        </w:tc>
        <w:tc>
          <w:tcPr>
            <w:tcW w:w="2641" w:type="dxa"/>
          </w:tcPr>
          <w:p w14:paraId="45F4BF78" w14:textId="77777777" w:rsidR="00B31E28" w:rsidRPr="00A9330B" w:rsidRDefault="00B31E28" w:rsidP="000F7BA7">
            <w:pPr>
              <w:spacing w:before="60" w:line="240" w:lineRule="auto"/>
              <w:jc w:val="both"/>
              <w:rPr>
                <w:color w:val="auto"/>
                <w:sz w:val="20"/>
                <w:szCs w:val="20"/>
              </w:rPr>
            </w:pPr>
            <w:r w:rsidRPr="00A9330B">
              <w:rPr>
                <w:color w:val="auto"/>
                <w:sz w:val="20"/>
                <w:szCs w:val="20"/>
              </w:rPr>
              <w:t>2.10.a.2.2. Préserver les essences de valeur situées le long des rues et collecteurs à aménager</w:t>
            </w:r>
          </w:p>
        </w:tc>
        <w:tc>
          <w:tcPr>
            <w:tcW w:w="2194" w:type="dxa"/>
          </w:tcPr>
          <w:p w14:paraId="59622C5E" w14:textId="77777777" w:rsidR="00B31E28" w:rsidRPr="00A9330B" w:rsidRDefault="00B31E28" w:rsidP="00B31E28">
            <w:pPr>
              <w:spacing w:before="60" w:line="240" w:lineRule="auto"/>
              <w:rPr>
                <w:color w:val="auto"/>
                <w:sz w:val="20"/>
                <w:szCs w:val="20"/>
              </w:rPr>
            </w:pPr>
          </w:p>
        </w:tc>
      </w:tr>
      <w:tr w:rsidR="00B31E28" w:rsidRPr="00A9330B" w14:paraId="4B858C5B" w14:textId="77777777" w:rsidTr="00350C9E">
        <w:tc>
          <w:tcPr>
            <w:tcW w:w="2425" w:type="dxa"/>
            <w:vMerge/>
          </w:tcPr>
          <w:p w14:paraId="732536A0" w14:textId="77777777" w:rsidR="00B31E28" w:rsidRPr="00A9330B" w:rsidRDefault="00B31E28" w:rsidP="00B31E28">
            <w:pPr>
              <w:spacing w:before="60" w:line="240" w:lineRule="auto"/>
              <w:rPr>
                <w:color w:val="auto"/>
                <w:sz w:val="20"/>
                <w:szCs w:val="20"/>
              </w:rPr>
            </w:pPr>
          </w:p>
        </w:tc>
        <w:tc>
          <w:tcPr>
            <w:tcW w:w="2193" w:type="dxa"/>
            <w:vMerge w:val="restart"/>
          </w:tcPr>
          <w:p w14:paraId="75AD9D1F" w14:textId="77777777" w:rsidR="00B31E28" w:rsidRPr="00A9330B" w:rsidRDefault="00B31E28" w:rsidP="000F7BA7">
            <w:pPr>
              <w:spacing w:before="60" w:line="240" w:lineRule="auto"/>
              <w:jc w:val="both"/>
              <w:rPr>
                <w:color w:val="auto"/>
                <w:sz w:val="20"/>
                <w:szCs w:val="20"/>
              </w:rPr>
            </w:pPr>
            <w:r w:rsidRPr="00A9330B">
              <w:rPr>
                <w:color w:val="auto"/>
                <w:sz w:val="20"/>
                <w:szCs w:val="20"/>
              </w:rPr>
              <w:t>2.10.b.3.  Contribution au développement et à la structuration des  zones concernées</w:t>
            </w:r>
          </w:p>
        </w:tc>
        <w:tc>
          <w:tcPr>
            <w:tcW w:w="2595" w:type="dxa"/>
          </w:tcPr>
          <w:p w14:paraId="207197FD" w14:textId="77777777" w:rsidR="00B31E28" w:rsidRPr="00A9330B" w:rsidRDefault="00B31E28" w:rsidP="000F7BA7">
            <w:pPr>
              <w:spacing w:before="60" w:line="240" w:lineRule="auto"/>
              <w:jc w:val="both"/>
              <w:rPr>
                <w:color w:val="auto"/>
                <w:sz w:val="20"/>
                <w:szCs w:val="20"/>
              </w:rPr>
            </w:pPr>
            <w:r w:rsidRPr="00A9330B">
              <w:rPr>
                <w:color w:val="auto"/>
                <w:sz w:val="20"/>
                <w:szCs w:val="20"/>
              </w:rPr>
              <w:t xml:space="preserve">2.10.a.3. Pollution du sol par les déchets solides </w:t>
            </w:r>
          </w:p>
        </w:tc>
        <w:tc>
          <w:tcPr>
            <w:tcW w:w="1523" w:type="dxa"/>
            <w:vAlign w:val="center"/>
          </w:tcPr>
          <w:p w14:paraId="40E083C6" w14:textId="77777777" w:rsidR="00B31E28" w:rsidRPr="00A9330B" w:rsidRDefault="00B31E28" w:rsidP="00B31E28">
            <w:pPr>
              <w:spacing w:before="60" w:line="240" w:lineRule="auto"/>
              <w:rPr>
                <w:color w:val="auto"/>
                <w:sz w:val="20"/>
                <w:szCs w:val="20"/>
              </w:rPr>
            </w:pPr>
            <w:r w:rsidRPr="00A9330B">
              <w:rPr>
                <w:color w:val="auto"/>
                <w:sz w:val="20"/>
                <w:szCs w:val="20"/>
              </w:rPr>
              <w:t xml:space="preserve">Faible </w:t>
            </w:r>
          </w:p>
        </w:tc>
        <w:tc>
          <w:tcPr>
            <w:tcW w:w="2641" w:type="dxa"/>
          </w:tcPr>
          <w:p w14:paraId="002C2BFC" w14:textId="77777777" w:rsidR="00B31E28" w:rsidRPr="00A9330B" w:rsidRDefault="00B31E28" w:rsidP="000F7BA7">
            <w:pPr>
              <w:spacing w:before="60" w:line="240" w:lineRule="auto"/>
              <w:jc w:val="both"/>
              <w:rPr>
                <w:color w:val="auto"/>
                <w:sz w:val="20"/>
                <w:szCs w:val="20"/>
              </w:rPr>
            </w:pPr>
            <w:r w:rsidRPr="00A9330B">
              <w:rPr>
                <w:color w:val="auto"/>
                <w:sz w:val="20"/>
                <w:szCs w:val="20"/>
              </w:rPr>
              <w:t>2.10.a. 3.1. Veiller à la collecte et à l’enlèvement des déchets solides par des structures agréées</w:t>
            </w:r>
            <w:r w:rsidRPr="00A9330B" w:rsidDel="00551CFF">
              <w:rPr>
                <w:color w:val="auto"/>
                <w:sz w:val="20"/>
                <w:szCs w:val="20"/>
              </w:rPr>
              <w:t xml:space="preserve"> </w:t>
            </w:r>
          </w:p>
        </w:tc>
        <w:tc>
          <w:tcPr>
            <w:tcW w:w="2194" w:type="dxa"/>
          </w:tcPr>
          <w:p w14:paraId="39A008FC" w14:textId="77777777" w:rsidR="00B31E28" w:rsidRPr="00A9330B" w:rsidRDefault="00B31E28" w:rsidP="00B31E28">
            <w:pPr>
              <w:spacing w:before="60" w:line="240" w:lineRule="auto"/>
              <w:rPr>
                <w:color w:val="auto"/>
                <w:sz w:val="20"/>
                <w:szCs w:val="20"/>
              </w:rPr>
            </w:pPr>
          </w:p>
        </w:tc>
      </w:tr>
      <w:tr w:rsidR="00B31E28" w:rsidRPr="00A9330B" w14:paraId="60CF9B08" w14:textId="77777777" w:rsidTr="00350C9E">
        <w:tc>
          <w:tcPr>
            <w:tcW w:w="2425" w:type="dxa"/>
            <w:vMerge/>
          </w:tcPr>
          <w:p w14:paraId="5D665AFE" w14:textId="77777777" w:rsidR="00B31E28" w:rsidRPr="00A9330B" w:rsidRDefault="00B31E28" w:rsidP="00B31E28">
            <w:pPr>
              <w:spacing w:before="60" w:line="240" w:lineRule="auto"/>
              <w:rPr>
                <w:color w:val="auto"/>
                <w:sz w:val="20"/>
                <w:szCs w:val="20"/>
              </w:rPr>
            </w:pPr>
          </w:p>
        </w:tc>
        <w:tc>
          <w:tcPr>
            <w:tcW w:w="2193" w:type="dxa"/>
            <w:vMerge/>
          </w:tcPr>
          <w:p w14:paraId="3ABDBD9B" w14:textId="77777777" w:rsidR="00B31E28" w:rsidRPr="00A9330B" w:rsidRDefault="00B31E28" w:rsidP="00B31E28">
            <w:pPr>
              <w:spacing w:before="60" w:line="240" w:lineRule="auto"/>
              <w:rPr>
                <w:color w:val="auto"/>
                <w:sz w:val="20"/>
                <w:szCs w:val="20"/>
              </w:rPr>
            </w:pPr>
          </w:p>
        </w:tc>
        <w:tc>
          <w:tcPr>
            <w:tcW w:w="2595" w:type="dxa"/>
            <w:vMerge w:val="restart"/>
          </w:tcPr>
          <w:p w14:paraId="1C1FBC67" w14:textId="77777777" w:rsidR="00B31E28" w:rsidRPr="00A9330B" w:rsidRDefault="00B31E28" w:rsidP="000F7BA7">
            <w:pPr>
              <w:spacing w:before="60" w:line="240" w:lineRule="auto"/>
              <w:jc w:val="both"/>
              <w:rPr>
                <w:color w:val="auto"/>
                <w:sz w:val="20"/>
                <w:szCs w:val="20"/>
              </w:rPr>
            </w:pPr>
            <w:r w:rsidRPr="00A9330B">
              <w:rPr>
                <w:color w:val="auto"/>
                <w:sz w:val="20"/>
                <w:szCs w:val="20"/>
              </w:rPr>
              <w:t xml:space="preserve">2.10.a.4. Fuites et déversement des hydrocarbures : huiles usagées, hydrocarbures et autres composés, purges, boues contaminées issus des  travaux et </w:t>
            </w:r>
            <w:r w:rsidRPr="00A9330B">
              <w:rPr>
                <w:color w:val="auto"/>
                <w:sz w:val="20"/>
                <w:szCs w:val="20"/>
              </w:rPr>
              <w:lastRenderedPageBreak/>
              <w:t>éventuellement de métaux lourds</w:t>
            </w:r>
          </w:p>
        </w:tc>
        <w:tc>
          <w:tcPr>
            <w:tcW w:w="1523" w:type="dxa"/>
            <w:vMerge w:val="restart"/>
            <w:vAlign w:val="center"/>
          </w:tcPr>
          <w:p w14:paraId="088B6DC6" w14:textId="77777777" w:rsidR="00B31E28" w:rsidRPr="00A9330B" w:rsidRDefault="00B31E28" w:rsidP="00B31E28">
            <w:pPr>
              <w:spacing w:before="60" w:line="240" w:lineRule="auto"/>
              <w:rPr>
                <w:color w:val="auto"/>
                <w:sz w:val="20"/>
                <w:szCs w:val="20"/>
              </w:rPr>
            </w:pPr>
            <w:r w:rsidRPr="00A9330B">
              <w:rPr>
                <w:color w:val="auto"/>
                <w:sz w:val="20"/>
                <w:szCs w:val="20"/>
              </w:rPr>
              <w:lastRenderedPageBreak/>
              <w:t xml:space="preserve">Faible </w:t>
            </w:r>
          </w:p>
        </w:tc>
        <w:tc>
          <w:tcPr>
            <w:tcW w:w="2641" w:type="dxa"/>
          </w:tcPr>
          <w:p w14:paraId="67FEFACD" w14:textId="77777777" w:rsidR="00B31E28" w:rsidRPr="00A9330B" w:rsidRDefault="00B31E28" w:rsidP="00B31E28">
            <w:pPr>
              <w:spacing w:before="60" w:line="240" w:lineRule="auto"/>
              <w:rPr>
                <w:color w:val="auto"/>
                <w:sz w:val="20"/>
                <w:szCs w:val="20"/>
              </w:rPr>
            </w:pPr>
            <w:r w:rsidRPr="00A9330B">
              <w:rPr>
                <w:color w:val="auto"/>
                <w:sz w:val="20"/>
                <w:szCs w:val="20"/>
              </w:rPr>
              <w:t xml:space="preserve">2.10.a.4.1. Aménager des aires étanches pour la manipulation des huiles usagées et des substances dangereuses </w:t>
            </w:r>
          </w:p>
        </w:tc>
        <w:tc>
          <w:tcPr>
            <w:tcW w:w="2194" w:type="dxa"/>
          </w:tcPr>
          <w:p w14:paraId="3BE87B51" w14:textId="77777777" w:rsidR="00B31E28" w:rsidRPr="00A9330B" w:rsidRDefault="00B31E28" w:rsidP="00B31E28">
            <w:pPr>
              <w:spacing w:before="60" w:line="240" w:lineRule="auto"/>
              <w:rPr>
                <w:color w:val="auto"/>
                <w:sz w:val="20"/>
                <w:szCs w:val="20"/>
              </w:rPr>
            </w:pPr>
          </w:p>
        </w:tc>
      </w:tr>
      <w:tr w:rsidR="00B31E28" w:rsidRPr="00A9330B" w14:paraId="7DA58F13" w14:textId="77777777" w:rsidTr="00350C9E">
        <w:tc>
          <w:tcPr>
            <w:tcW w:w="2425" w:type="dxa"/>
            <w:vMerge/>
          </w:tcPr>
          <w:p w14:paraId="177B5C1F" w14:textId="77777777" w:rsidR="00B31E28" w:rsidRPr="00A9330B" w:rsidRDefault="00B31E28" w:rsidP="00B31E28">
            <w:pPr>
              <w:spacing w:before="60" w:line="240" w:lineRule="auto"/>
              <w:rPr>
                <w:color w:val="auto"/>
                <w:sz w:val="20"/>
                <w:szCs w:val="20"/>
              </w:rPr>
            </w:pPr>
          </w:p>
        </w:tc>
        <w:tc>
          <w:tcPr>
            <w:tcW w:w="2193" w:type="dxa"/>
            <w:vMerge/>
          </w:tcPr>
          <w:p w14:paraId="7289DF69" w14:textId="77777777" w:rsidR="00B31E28" w:rsidRPr="00A9330B" w:rsidRDefault="00B31E28" w:rsidP="00B31E28">
            <w:pPr>
              <w:spacing w:before="60" w:line="240" w:lineRule="auto"/>
              <w:rPr>
                <w:color w:val="auto"/>
                <w:sz w:val="20"/>
                <w:szCs w:val="20"/>
              </w:rPr>
            </w:pPr>
          </w:p>
        </w:tc>
        <w:tc>
          <w:tcPr>
            <w:tcW w:w="2595" w:type="dxa"/>
            <w:vMerge/>
          </w:tcPr>
          <w:p w14:paraId="2E4CAA4B" w14:textId="77777777" w:rsidR="00B31E28" w:rsidRPr="00A9330B" w:rsidRDefault="00B31E28" w:rsidP="000F7BA7">
            <w:pPr>
              <w:spacing w:before="60" w:line="240" w:lineRule="auto"/>
              <w:jc w:val="both"/>
              <w:rPr>
                <w:color w:val="auto"/>
                <w:sz w:val="20"/>
                <w:szCs w:val="20"/>
              </w:rPr>
            </w:pPr>
          </w:p>
        </w:tc>
        <w:tc>
          <w:tcPr>
            <w:tcW w:w="1523" w:type="dxa"/>
            <w:vMerge/>
            <w:vAlign w:val="center"/>
          </w:tcPr>
          <w:p w14:paraId="4E2DCF7E" w14:textId="77777777" w:rsidR="00B31E28" w:rsidRPr="00A9330B" w:rsidRDefault="00B31E28" w:rsidP="00B31E28">
            <w:pPr>
              <w:spacing w:before="60" w:line="240" w:lineRule="auto"/>
              <w:rPr>
                <w:color w:val="auto"/>
                <w:sz w:val="20"/>
                <w:szCs w:val="20"/>
              </w:rPr>
            </w:pPr>
          </w:p>
        </w:tc>
        <w:tc>
          <w:tcPr>
            <w:tcW w:w="2641" w:type="dxa"/>
          </w:tcPr>
          <w:p w14:paraId="4E7E0338" w14:textId="77777777" w:rsidR="00B31E28" w:rsidRPr="00A9330B" w:rsidRDefault="00B31E28" w:rsidP="000F7BA7">
            <w:pPr>
              <w:spacing w:before="60" w:line="240" w:lineRule="auto"/>
              <w:jc w:val="both"/>
              <w:rPr>
                <w:color w:val="auto"/>
                <w:sz w:val="20"/>
                <w:szCs w:val="20"/>
              </w:rPr>
            </w:pPr>
            <w:r w:rsidRPr="00A9330B">
              <w:rPr>
                <w:color w:val="auto"/>
                <w:sz w:val="20"/>
                <w:szCs w:val="20"/>
              </w:rPr>
              <w:t xml:space="preserve">2.10.a.4.2. Prévoir des dispositifs pour confiner et </w:t>
            </w:r>
            <w:r w:rsidRPr="00A9330B">
              <w:rPr>
                <w:color w:val="auto"/>
                <w:sz w:val="20"/>
                <w:szCs w:val="20"/>
              </w:rPr>
              <w:lastRenderedPageBreak/>
              <w:t>ramasser les produits déversés</w:t>
            </w:r>
          </w:p>
        </w:tc>
        <w:tc>
          <w:tcPr>
            <w:tcW w:w="2194" w:type="dxa"/>
          </w:tcPr>
          <w:p w14:paraId="534E4B24" w14:textId="77777777" w:rsidR="00B31E28" w:rsidRPr="00A9330B" w:rsidRDefault="00B31E28" w:rsidP="00B31E28">
            <w:pPr>
              <w:spacing w:before="60" w:line="240" w:lineRule="auto"/>
              <w:rPr>
                <w:color w:val="auto"/>
                <w:sz w:val="20"/>
                <w:szCs w:val="20"/>
              </w:rPr>
            </w:pPr>
          </w:p>
        </w:tc>
      </w:tr>
      <w:tr w:rsidR="00B31E28" w:rsidRPr="00A9330B" w14:paraId="404AF8FB" w14:textId="77777777" w:rsidTr="00350C9E">
        <w:tc>
          <w:tcPr>
            <w:tcW w:w="2425" w:type="dxa"/>
            <w:vMerge/>
          </w:tcPr>
          <w:p w14:paraId="536EB46D" w14:textId="77777777" w:rsidR="00B31E28" w:rsidRPr="00A9330B" w:rsidRDefault="00B31E28" w:rsidP="00B31E28">
            <w:pPr>
              <w:spacing w:before="60" w:line="240" w:lineRule="auto"/>
              <w:rPr>
                <w:color w:val="auto"/>
                <w:sz w:val="20"/>
                <w:szCs w:val="20"/>
              </w:rPr>
            </w:pPr>
          </w:p>
        </w:tc>
        <w:tc>
          <w:tcPr>
            <w:tcW w:w="2193" w:type="dxa"/>
            <w:vMerge/>
          </w:tcPr>
          <w:p w14:paraId="590CA26C" w14:textId="77777777" w:rsidR="00B31E28" w:rsidRPr="00A9330B" w:rsidRDefault="00B31E28" w:rsidP="00B31E28">
            <w:pPr>
              <w:spacing w:before="60" w:line="240" w:lineRule="auto"/>
              <w:rPr>
                <w:color w:val="auto"/>
                <w:sz w:val="20"/>
                <w:szCs w:val="20"/>
              </w:rPr>
            </w:pPr>
          </w:p>
        </w:tc>
        <w:tc>
          <w:tcPr>
            <w:tcW w:w="2595" w:type="dxa"/>
            <w:vMerge/>
          </w:tcPr>
          <w:p w14:paraId="54BFE77E" w14:textId="77777777" w:rsidR="00B31E28" w:rsidRPr="00A9330B" w:rsidRDefault="00B31E28" w:rsidP="000F7BA7">
            <w:pPr>
              <w:spacing w:before="60" w:line="240" w:lineRule="auto"/>
              <w:jc w:val="both"/>
              <w:rPr>
                <w:color w:val="auto"/>
                <w:sz w:val="20"/>
                <w:szCs w:val="20"/>
              </w:rPr>
            </w:pPr>
          </w:p>
        </w:tc>
        <w:tc>
          <w:tcPr>
            <w:tcW w:w="1523" w:type="dxa"/>
            <w:vMerge/>
            <w:vAlign w:val="center"/>
          </w:tcPr>
          <w:p w14:paraId="6120B9F1" w14:textId="77777777" w:rsidR="00B31E28" w:rsidRPr="00A9330B" w:rsidRDefault="00B31E28" w:rsidP="00B31E28">
            <w:pPr>
              <w:spacing w:before="60" w:line="240" w:lineRule="auto"/>
              <w:rPr>
                <w:color w:val="auto"/>
                <w:sz w:val="20"/>
                <w:szCs w:val="20"/>
              </w:rPr>
            </w:pPr>
          </w:p>
        </w:tc>
        <w:tc>
          <w:tcPr>
            <w:tcW w:w="2641" w:type="dxa"/>
          </w:tcPr>
          <w:p w14:paraId="3F8A4557" w14:textId="77777777" w:rsidR="00B31E28" w:rsidRPr="00A9330B" w:rsidRDefault="00B31E28" w:rsidP="000F7BA7">
            <w:pPr>
              <w:spacing w:before="60" w:line="240" w:lineRule="auto"/>
              <w:jc w:val="both"/>
              <w:rPr>
                <w:color w:val="auto"/>
                <w:sz w:val="20"/>
                <w:szCs w:val="20"/>
              </w:rPr>
            </w:pPr>
            <w:r w:rsidRPr="00A9330B">
              <w:rPr>
                <w:color w:val="auto"/>
                <w:sz w:val="20"/>
                <w:szCs w:val="20"/>
              </w:rPr>
              <w:t>2.10.a.4.3. Veiller à la collecte et à l’enlèvement des huiles usagées par les structures agréées</w:t>
            </w:r>
          </w:p>
        </w:tc>
        <w:tc>
          <w:tcPr>
            <w:tcW w:w="2194" w:type="dxa"/>
          </w:tcPr>
          <w:p w14:paraId="3692FEEF" w14:textId="77777777" w:rsidR="00B31E28" w:rsidRPr="00A9330B" w:rsidRDefault="00B31E28" w:rsidP="00B31E28">
            <w:pPr>
              <w:spacing w:before="60" w:line="240" w:lineRule="auto"/>
              <w:rPr>
                <w:color w:val="auto"/>
                <w:sz w:val="20"/>
                <w:szCs w:val="20"/>
              </w:rPr>
            </w:pPr>
          </w:p>
        </w:tc>
      </w:tr>
      <w:tr w:rsidR="00B31E28" w:rsidRPr="00A9330B" w14:paraId="5B293BAF" w14:textId="77777777" w:rsidTr="00350C9E">
        <w:tc>
          <w:tcPr>
            <w:tcW w:w="2425" w:type="dxa"/>
            <w:vMerge/>
          </w:tcPr>
          <w:p w14:paraId="173E8D14" w14:textId="77777777" w:rsidR="00B31E28" w:rsidRPr="00A9330B" w:rsidRDefault="00B31E28" w:rsidP="00B31E28">
            <w:pPr>
              <w:spacing w:before="60" w:line="240" w:lineRule="auto"/>
              <w:rPr>
                <w:color w:val="auto"/>
                <w:sz w:val="20"/>
                <w:szCs w:val="20"/>
              </w:rPr>
            </w:pPr>
          </w:p>
        </w:tc>
        <w:tc>
          <w:tcPr>
            <w:tcW w:w="2193" w:type="dxa"/>
            <w:vMerge/>
          </w:tcPr>
          <w:p w14:paraId="55B6EE37" w14:textId="77777777" w:rsidR="00B31E28" w:rsidRPr="00A9330B" w:rsidRDefault="00B31E28" w:rsidP="00B31E28">
            <w:pPr>
              <w:spacing w:before="60" w:line="240" w:lineRule="auto"/>
              <w:rPr>
                <w:color w:val="auto"/>
                <w:sz w:val="20"/>
                <w:szCs w:val="20"/>
              </w:rPr>
            </w:pPr>
          </w:p>
        </w:tc>
        <w:tc>
          <w:tcPr>
            <w:tcW w:w="2595" w:type="dxa"/>
            <w:vMerge w:val="restart"/>
          </w:tcPr>
          <w:p w14:paraId="65DD856D" w14:textId="77777777" w:rsidR="00B31E28" w:rsidRPr="00A9330B" w:rsidRDefault="00B31E28" w:rsidP="000F7BA7">
            <w:pPr>
              <w:spacing w:before="60" w:line="240" w:lineRule="auto"/>
              <w:jc w:val="both"/>
              <w:rPr>
                <w:color w:val="auto"/>
                <w:sz w:val="20"/>
                <w:szCs w:val="20"/>
              </w:rPr>
            </w:pPr>
            <w:r w:rsidRPr="00A9330B">
              <w:rPr>
                <w:color w:val="auto"/>
                <w:sz w:val="20"/>
                <w:szCs w:val="20"/>
              </w:rPr>
              <w:t xml:space="preserve">2.10.a.5.  Pollution du sol et des nappes par les eaux usées, huiles usagées (graisses, hydrocarbures, lubrifiants) </w:t>
            </w:r>
          </w:p>
        </w:tc>
        <w:tc>
          <w:tcPr>
            <w:tcW w:w="1523" w:type="dxa"/>
            <w:vMerge w:val="restart"/>
            <w:vAlign w:val="center"/>
          </w:tcPr>
          <w:p w14:paraId="7E549171" w14:textId="77777777" w:rsidR="00B31E28" w:rsidRPr="00A9330B" w:rsidRDefault="00B31E28" w:rsidP="00B31E28">
            <w:pPr>
              <w:spacing w:before="60" w:line="240" w:lineRule="auto"/>
              <w:rPr>
                <w:color w:val="auto"/>
                <w:sz w:val="20"/>
                <w:szCs w:val="20"/>
              </w:rPr>
            </w:pPr>
            <w:r w:rsidRPr="00A9330B">
              <w:rPr>
                <w:color w:val="auto"/>
                <w:sz w:val="20"/>
                <w:szCs w:val="20"/>
              </w:rPr>
              <w:t xml:space="preserve">Faible </w:t>
            </w:r>
          </w:p>
        </w:tc>
        <w:tc>
          <w:tcPr>
            <w:tcW w:w="2641" w:type="dxa"/>
          </w:tcPr>
          <w:p w14:paraId="0D5C9D01" w14:textId="77777777" w:rsidR="00B31E28" w:rsidRPr="00A9330B" w:rsidRDefault="00B31E28" w:rsidP="000F7BA7">
            <w:pPr>
              <w:spacing w:before="60" w:line="240" w:lineRule="auto"/>
              <w:jc w:val="both"/>
              <w:rPr>
                <w:color w:val="auto"/>
                <w:sz w:val="20"/>
                <w:szCs w:val="20"/>
              </w:rPr>
            </w:pPr>
            <w:r w:rsidRPr="00A9330B">
              <w:rPr>
                <w:color w:val="auto"/>
                <w:sz w:val="20"/>
                <w:szCs w:val="20"/>
              </w:rPr>
              <w:t xml:space="preserve">2.10.a.5.1. Aménager des aires étanches pour la manipulation des huiles usagées et des substances dangereuses </w:t>
            </w:r>
          </w:p>
        </w:tc>
        <w:tc>
          <w:tcPr>
            <w:tcW w:w="2194" w:type="dxa"/>
          </w:tcPr>
          <w:p w14:paraId="34FFFA11" w14:textId="77777777" w:rsidR="00B31E28" w:rsidRPr="00A9330B" w:rsidRDefault="00B31E28" w:rsidP="00B31E28">
            <w:pPr>
              <w:spacing w:before="60" w:line="240" w:lineRule="auto"/>
              <w:rPr>
                <w:color w:val="auto"/>
                <w:sz w:val="20"/>
                <w:szCs w:val="20"/>
              </w:rPr>
            </w:pPr>
          </w:p>
        </w:tc>
      </w:tr>
      <w:tr w:rsidR="00B31E28" w:rsidRPr="00A9330B" w14:paraId="109B1B1E" w14:textId="77777777" w:rsidTr="00350C9E">
        <w:tc>
          <w:tcPr>
            <w:tcW w:w="2425" w:type="dxa"/>
            <w:vMerge/>
          </w:tcPr>
          <w:p w14:paraId="57E39CC9" w14:textId="77777777" w:rsidR="00B31E28" w:rsidRPr="00A9330B" w:rsidRDefault="00B31E28" w:rsidP="00B31E28">
            <w:pPr>
              <w:spacing w:before="60" w:line="240" w:lineRule="auto"/>
              <w:rPr>
                <w:color w:val="auto"/>
                <w:sz w:val="20"/>
                <w:szCs w:val="20"/>
              </w:rPr>
            </w:pPr>
          </w:p>
        </w:tc>
        <w:tc>
          <w:tcPr>
            <w:tcW w:w="2193" w:type="dxa"/>
            <w:vMerge/>
          </w:tcPr>
          <w:p w14:paraId="5202C0A8" w14:textId="77777777" w:rsidR="00B31E28" w:rsidRPr="00A9330B" w:rsidRDefault="00B31E28" w:rsidP="00B31E28">
            <w:pPr>
              <w:spacing w:before="60" w:line="240" w:lineRule="auto"/>
              <w:rPr>
                <w:color w:val="auto"/>
                <w:sz w:val="20"/>
                <w:szCs w:val="20"/>
              </w:rPr>
            </w:pPr>
          </w:p>
        </w:tc>
        <w:tc>
          <w:tcPr>
            <w:tcW w:w="2595" w:type="dxa"/>
            <w:vMerge/>
          </w:tcPr>
          <w:p w14:paraId="4EA5CD9D" w14:textId="77777777" w:rsidR="00B31E28" w:rsidRPr="00A9330B" w:rsidRDefault="00B31E28" w:rsidP="000F7BA7">
            <w:pPr>
              <w:spacing w:before="60" w:line="240" w:lineRule="auto"/>
              <w:jc w:val="both"/>
              <w:rPr>
                <w:color w:val="auto"/>
                <w:sz w:val="20"/>
                <w:szCs w:val="20"/>
              </w:rPr>
            </w:pPr>
          </w:p>
        </w:tc>
        <w:tc>
          <w:tcPr>
            <w:tcW w:w="1523" w:type="dxa"/>
            <w:vMerge/>
            <w:vAlign w:val="center"/>
          </w:tcPr>
          <w:p w14:paraId="49CDDF0B" w14:textId="77777777" w:rsidR="00B31E28" w:rsidRPr="00A9330B" w:rsidRDefault="00B31E28" w:rsidP="00B31E28">
            <w:pPr>
              <w:spacing w:before="60" w:line="240" w:lineRule="auto"/>
              <w:rPr>
                <w:color w:val="auto"/>
                <w:sz w:val="20"/>
                <w:szCs w:val="20"/>
              </w:rPr>
            </w:pPr>
          </w:p>
        </w:tc>
        <w:tc>
          <w:tcPr>
            <w:tcW w:w="2641" w:type="dxa"/>
          </w:tcPr>
          <w:p w14:paraId="79F28F1F" w14:textId="77777777" w:rsidR="00B31E28" w:rsidRPr="00A9330B" w:rsidRDefault="00B31E28" w:rsidP="000F7BA7">
            <w:pPr>
              <w:spacing w:before="60" w:line="240" w:lineRule="auto"/>
              <w:jc w:val="both"/>
              <w:rPr>
                <w:color w:val="auto"/>
                <w:sz w:val="20"/>
                <w:szCs w:val="20"/>
              </w:rPr>
            </w:pPr>
            <w:r w:rsidRPr="00A9330B">
              <w:rPr>
                <w:color w:val="auto"/>
                <w:sz w:val="20"/>
                <w:szCs w:val="20"/>
              </w:rPr>
              <w:t>2.10.a.5.2. Prévoir des dispositifs pour confiner et ramasser les produits déversés</w:t>
            </w:r>
          </w:p>
        </w:tc>
        <w:tc>
          <w:tcPr>
            <w:tcW w:w="2194" w:type="dxa"/>
          </w:tcPr>
          <w:p w14:paraId="69698834" w14:textId="77777777" w:rsidR="00B31E28" w:rsidRPr="00A9330B" w:rsidRDefault="00B31E28" w:rsidP="00B31E28">
            <w:pPr>
              <w:spacing w:before="60" w:line="240" w:lineRule="auto"/>
              <w:rPr>
                <w:color w:val="auto"/>
                <w:sz w:val="20"/>
                <w:szCs w:val="20"/>
              </w:rPr>
            </w:pPr>
          </w:p>
        </w:tc>
      </w:tr>
      <w:tr w:rsidR="00B31E28" w:rsidRPr="00A9330B" w14:paraId="2BD79EFC" w14:textId="77777777" w:rsidTr="00350C9E">
        <w:tc>
          <w:tcPr>
            <w:tcW w:w="2425" w:type="dxa"/>
            <w:vMerge/>
          </w:tcPr>
          <w:p w14:paraId="296C1AC7" w14:textId="77777777" w:rsidR="00B31E28" w:rsidRPr="00A9330B" w:rsidRDefault="00B31E28" w:rsidP="00B31E28">
            <w:pPr>
              <w:spacing w:before="60" w:line="240" w:lineRule="auto"/>
              <w:rPr>
                <w:color w:val="auto"/>
                <w:sz w:val="20"/>
                <w:szCs w:val="20"/>
              </w:rPr>
            </w:pPr>
          </w:p>
        </w:tc>
        <w:tc>
          <w:tcPr>
            <w:tcW w:w="2193" w:type="dxa"/>
            <w:vMerge/>
          </w:tcPr>
          <w:p w14:paraId="334C05B5" w14:textId="77777777" w:rsidR="00B31E28" w:rsidRPr="00A9330B" w:rsidRDefault="00B31E28" w:rsidP="00B31E28">
            <w:pPr>
              <w:spacing w:before="60" w:line="240" w:lineRule="auto"/>
              <w:rPr>
                <w:color w:val="auto"/>
                <w:sz w:val="20"/>
                <w:szCs w:val="20"/>
              </w:rPr>
            </w:pPr>
          </w:p>
        </w:tc>
        <w:tc>
          <w:tcPr>
            <w:tcW w:w="2595" w:type="dxa"/>
            <w:vMerge/>
          </w:tcPr>
          <w:p w14:paraId="0683BA30" w14:textId="77777777" w:rsidR="00B31E28" w:rsidRPr="00A9330B" w:rsidRDefault="00B31E28" w:rsidP="000F7BA7">
            <w:pPr>
              <w:spacing w:before="60" w:line="240" w:lineRule="auto"/>
              <w:jc w:val="both"/>
              <w:rPr>
                <w:color w:val="auto"/>
                <w:sz w:val="20"/>
                <w:szCs w:val="20"/>
              </w:rPr>
            </w:pPr>
          </w:p>
        </w:tc>
        <w:tc>
          <w:tcPr>
            <w:tcW w:w="1523" w:type="dxa"/>
            <w:vMerge/>
            <w:vAlign w:val="center"/>
          </w:tcPr>
          <w:p w14:paraId="068A7737" w14:textId="77777777" w:rsidR="00B31E28" w:rsidRPr="00A9330B" w:rsidRDefault="00B31E28" w:rsidP="00B31E28">
            <w:pPr>
              <w:spacing w:before="60" w:line="240" w:lineRule="auto"/>
              <w:rPr>
                <w:color w:val="auto"/>
                <w:sz w:val="20"/>
                <w:szCs w:val="20"/>
              </w:rPr>
            </w:pPr>
          </w:p>
        </w:tc>
        <w:tc>
          <w:tcPr>
            <w:tcW w:w="2641" w:type="dxa"/>
          </w:tcPr>
          <w:p w14:paraId="090C402B" w14:textId="77777777" w:rsidR="00B31E28" w:rsidRPr="00A9330B" w:rsidRDefault="00B31E28" w:rsidP="000F7BA7">
            <w:pPr>
              <w:spacing w:before="60" w:line="240" w:lineRule="auto"/>
              <w:jc w:val="both"/>
              <w:rPr>
                <w:color w:val="auto"/>
                <w:sz w:val="20"/>
                <w:szCs w:val="20"/>
              </w:rPr>
            </w:pPr>
            <w:r w:rsidRPr="00A9330B">
              <w:rPr>
                <w:color w:val="auto"/>
                <w:sz w:val="20"/>
                <w:szCs w:val="20"/>
              </w:rPr>
              <w:t>2.10.a.5.3. Veiller à la Collecte et à l’enlèvement  les huiles usagées par les structures agréées</w:t>
            </w:r>
          </w:p>
        </w:tc>
        <w:tc>
          <w:tcPr>
            <w:tcW w:w="2194" w:type="dxa"/>
          </w:tcPr>
          <w:p w14:paraId="3606542A" w14:textId="77777777" w:rsidR="00B31E28" w:rsidRPr="00A9330B" w:rsidRDefault="00B31E28" w:rsidP="00B31E28">
            <w:pPr>
              <w:spacing w:before="60" w:line="240" w:lineRule="auto"/>
              <w:rPr>
                <w:color w:val="auto"/>
                <w:sz w:val="20"/>
                <w:szCs w:val="20"/>
              </w:rPr>
            </w:pPr>
          </w:p>
        </w:tc>
      </w:tr>
      <w:tr w:rsidR="00B31E28" w:rsidRPr="00A9330B" w14:paraId="699E4CEE" w14:textId="77777777" w:rsidTr="00350C9E">
        <w:tc>
          <w:tcPr>
            <w:tcW w:w="2425" w:type="dxa"/>
            <w:vMerge/>
          </w:tcPr>
          <w:p w14:paraId="09FAE737" w14:textId="77777777" w:rsidR="00B31E28" w:rsidRPr="00A9330B" w:rsidRDefault="00B31E28" w:rsidP="00B31E28">
            <w:pPr>
              <w:spacing w:before="60" w:line="240" w:lineRule="auto"/>
              <w:rPr>
                <w:color w:val="auto"/>
                <w:sz w:val="20"/>
                <w:szCs w:val="20"/>
              </w:rPr>
            </w:pPr>
          </w:p>
        </w:tc>
        <w:tc>
          <w:tcPr>
            <w:tcW w:w="2193" w:type="dxa"/>
            <w:vMerge/>
          </w:tcPr>
          <w:p w14:paraId="7984EF43" w14:textId="77777777" w:rsidR="00B31E28" w:rsidRPr="00A9330B" w:rsidRDefault="00B31E28" w:rsidP="00B31E28">
            <w:pPr>
              <w:spacing w:before="60" w:line="240" w:lineRule="auto"/>
              <w:rPr>
                <w:color w:val="auto"/>
                <w:sz w:val="20"/>
                <w:szCs w:val="20"/>
              </w:rPr>
            </w:pPr>
          </w:p>
        </w:tc>
        <w:tc>
          <w:tcPr>
            <w:tcW w:w="2595" w:type="dxa"/>
            <w:vMerge w:val="restart"/>
          </w:tcPr>
          <w:p w14:paraId="7BDBC5B6" w14:textId="77777777" w:rsidR="00B31E28" w:rsidRPr="00A9330B" w:rsidRDefault="00B31E28" w:rsidP="000F7BA7">
            <w:pPr>
              <w:spacing w:before="60" w:line="240" w:lineRule="auto"/>
              <w:jc w:val="both"/>
              <w:rPr>
                <w:color w:val="auto"/>
                <w:sz w:val="20"/>
                <w:szCs w:val="20"/>
              </w:rPr>
            </w:pPr>
            <w:r w:rsidRPr="00A9330B">
              <w:rPr>
                <w:color w:val="auto"/>
                <w:sz w:val="20"/>
                <w:szCs w:val="20"/>
              </w:rPr>
              <w:t xml:space="preserve">2.10.a.6. Fuites et déversements  accidentels des hydrocarbures dus aux manipulations, aux erreurs humaines et à la perte accidentelle de confinement des produits  </w:t>
            </w:r>
          </w:p>
        </w:tc>
        <w:tc>
          <w:tcPr>
            <w:tcW w:w="1523" w:type="dxa"/>
            <w:vMerge w:val="restart"/>
            <w:vAlign w:val="center"/>
          </w:tcPr>
          <w:p w14:paraId="393CD85F" w14:textId="77777777" w:rsidR="00B31E28" w:rsidRPr="00A9330B" w:rsidRDefault="00B31E28" w:rsidP="00B31E28">
            <w:pPr>
              <w:spacing w:before="60" w:line="240" w:lineRule="auto"/>
              <w:rPr>
                <w:color w:val="auto"/>
                <w:sz w:val="20"/>
                <w:szCs w:val="20"/>
              </w:rPr>
            </w:pPr>
            <w:r w:rsidRPr="00A9330B">
              <w:rPr>
                <w:color w:val="auto"/>
                <w:sz w:val="20"/>
                <w:szCs w:val="20"/>
              </w:rPr>
              <w:t xml:space="preserve">Faible </w:t>
            </w:r>
          </w:p>
        </w:tc>
        <w:tc>
          <w:tcPr>
            <w:tcW w:w="2641" w:type="dxa"/>
          </w:tcPr>
          <w:p w14:paraId="6E4574B9" w14:textId="77777777" w:rsidR="00B31E28" w:rsidRPr="00A9330B" w:rsidRDefault="00B31E28" w:rsidP="000F7BA7">
            <w:pPr>
              <w:spacing w:before="60" w:line="240" w:lineRule="auto"/>
              <w:jc w:val="both"/>
              <w:rPr>
                <w:color w:val="auto"/>
                <w:sz w:val="20"/>
                <w:szCs w:val="20"/>
              </w:rPr>
            </w:pPr>
            <w:r w:rsidRPr="00A9330B">
              <w:rPr>
                <w:color w:val="auto"/>
                <w:sz w:val="20"/>
                <w:szCs w:val="20"/>
              </w:rPr>
              <w:t xml:space="preserve">2.10.a.6.1. Aménager des aires étanches pour la manipulation des huiles usagées et des substances dangereuses </w:t>
            </w:r>
          </w:p>
        </w:tc>
        <w:tc>
          <w:tcPr>
            <w:tcW w:w="2194" w:type="dxa"/>
            <w:vMerge w:val="restart"/>
          </w:tcPr>
          <w:p w14:paraId="799BD098" w14:textId="77777777" w:rsidR="00B31E28" w:rsidRPr="00A9330B" w:rsidRDefault="00B31E28" w:rsidP="00B31E28">
            <w:pPr>
              <w:spacing w:before="60" w:line="240" w:lineRule="auto"/>
              <w:rPr>
                <w:color w:val="auto"/>
                <w:sz w:val="20"/>
                <w:szCs w:val="20"/>
              </w:rPr>
            </w:pPr>
          </w:p>
        </w:tc>
      </w:tr>
      <w:tr w:rsidR="00B31E28" w:rsidRPr="00A9330B" w14:paraId="5EAB8AEC" w14:textId="77777777" w:rsidTr="00350C9E">
        <w:tc>
          <w:tcPr>
            <w:tcW w:w="2425" w:type="dxa"/>
            <w:vMerge/>
          </w:tcPr>
          <w:p w14:paraId="78FA2E15" w14:textId="77777777" w:rsidR="00B31E28" w:rsidRPr="00A9330B" w:rsidRDefault="00B31E28" w:rsidP="00B31E28">
            <w:pPr>
              <w:spacing w:before="60" w:line="240" w:lineRule="auto"/>
              <w:rPr>
                <w:color w:val="auto"/>
                <w:sz w:val="20"/>
                <w:szCs w:val="20"/>
              </w:rPr>
            </w:pPr>
          </w:p>
        </w:tc>
        <w:tc>
          <w:tcPr>
            <w:tcW w:w="2193" w:type="dxa"/>
            <w:vMerge/>
          </w:tcPr>
          <w:p w14:paraId="30C6E3DA" w14:textId="77777777" w:rsidR="00B31E28" w:rsidRPr="00A9330B" w:rsidRDefault="00B31E28" w:rsidP="00B31E28">
            <w:pPr>
              <w:spacing w:before="60" w:line="240" w:lineRule="auto"/>
              <w:rPr>
                <w:color w:val="auto"/>
                <w:sz w:val="20"/>
                <w:szCs w:val="20"/>
              </w:rPr>
            </w:pPr>
          </w:p>
        </w:tc>
        <w:tc>
          <w:tcPr>
            <w:tcW w:w="2595" w:type="dxa"/>
            <w:vMerge/>
          </w:tcPr>
          <w:p w14:paraId="591FDE5D" w14:textId="77777777" w:rsidR="00B31E28" w:rsidRPr="00A9330B" w:rsidRDefault="00B31E28" w:rsidP="00B31E28">
            <w:pPr>
              <w:spacing w:before="60" w:line="240" w:lineRule="auto"/>
              <w:rPr>
                <w:color w:val="auto"/>
                <w:sz w:val="20"/>
                <w:szCs w:val="20"/>
              </w:rPr>
            </w:pPr>
          </w:p>
        </w:tc>
        <w:tc>
          <w:tcPr>
            <w:tcW w:w="1523" w:type="dxa"/>
            <w:vMerge/>
            <w:vAlign w:val="center"/>
          </w:tcPr>
          <w:p w14:paraId="36A26A28" w14:textId="77777777" w:rsidR="00B31E28" w:rsidRPr="00A9330B" w:rsidRDefault="00B31E28" w:rsidP="00B31E28">
            <w:pPr>
              <w:spacing w:before="60" w:line="240" w:lineRule="auto"/>
              <w:rPr>
                <w:color w:val="auto"/>
                <w:sz w:val="20"/>
                <w:szCs w:val="20"/>
              </w:rPr>
            </w:pPr>
          </w:p>
        </w:tc>
        <w:tc>
          <w:tcPr>
            <w:tcW w:w="2641" w:type="dxa"/>
          </w:tcPr>
          <w:p w14:paraId="0FCF483E" w14:textId="77777777" w:rsidR="00B31E28" w:rsidRPr="00A9330B" w:rsidRDefault="00B31E28" w:rsidP="000F7BA7">
            <w:pPr>
              <w:spacing w:before="60" w:line="240" w:lineRule="auto"/>
              <w:jc w:val="both"/>
              <w:rPr>
                <w:color w:val="auto"/>
                <w:sz w:val="20"/>
                <w:szCs w:val="20"/>
              </w:rPr>
            </w:pPr>
            <w:r w:rsidRPr="00A9330B">
              <w:rPr>
                <w:color w:val="auto"/>
                <w:sz w:val="20"/>
                <w:szCs w:val="20"/>
              </w:rPr>
              <w:t>2.10.a.6.2. Prévoir des dispositifs pour confiner et ramasser les produits déversés</w:t>
            </w:r>
          </w:p>
        </w:tc>
        <w:tc>
          <w:tcPr>
            <w:tcW w:w="2194" w:type="dxa"/>
            <w:vMerge/>
          </w:tcPr>
          <w:p w14:paraId="1E131F7C" w14:textId="77777777" w:rsidR="00B31E28" w:rsidRPr="00A9330B" w:rsidRDefault="00B31E28" w:rsidP="00B31E28">
            <w:pPr>
              <w:spacing w:before="60" w:line="240" w:lineRule="auto"/>
              <w:rPr>
                <w:color w:val="auto"/>
                <w:sz w:val="20"/>
                <w:szCs w:val="20"/>
              </w:rPr>
            </w:pPr>
          </w:p>
        </w:tc>
      </w:tr>
      <w:tr w:rsidR="00B31E28" w:rsidRPr="00A9330B" w14:paraId="75374941" w14:textId="77777777" w:rsidTr="00350C9E">
        <w:tc>
          <w:tcPr>
            <w:tcW w:w="2425" w:type="dxa"/>
            <w:vMerge/>
          </w:tcPr>
          <w:p w14:paraId="75FD6662" w14:textId="77777777" w:rsidR="00B31E28" w:rsidRPr="00A9330B" w:rsidRDefault="00B31E28" w:rsidP="00B31E28">
            <w:pPr>
              <w:spacing w:before="60" w:line="240" w:lineRule="auto"/>
              <w:rPr>
                <w:color w:val="auto"/>
                <w:sz w:val="20"/>
                <w:szCs w:val="20"/>
              </w:rPr>
            </w:pPr>
          </w:p>
        </w:tc>
        <w:tc>
          <w:tcPr>
            <w:tcW w:w="2193" w:type="dxa"/>
            <w:vMerge/>
          </w:tcPr>
          <w:p w14:paraId="154DB7F6" w14:textId="77777777" w:rsidR="00B31E28" w:rsidRPr="00A9330B" w:rsidRDefault="00B31E28" w:rsidP="00B31E28">
            <w:pPr>
              <w:spacing w:before="60" w:line="240" w:lineRule="auto"/>
              <w:rPr>
                <w:color w:val="auto"/>
                <w:sz w:val="20"/>
                <w:szCs w:val="20"/>
              </w:rPr>
            </w:pPr>
          </w:p>
        </w:tc>
        <w:tc>
          <w:tcPr>
            <w:tcW w:w="2595" w:type="dxa"/>
            <w:vMerge/>
          </w:tcPr>
          <w:p w14:paraId="619723AB" w14:textId="77777777" w:rsidR="00B31E28" w:rsidRPr="00A9330B" w:rsidRDefault="00B31E28" w:rsidP="00B31E28">
            <w:pPr>
              <w:spacing w:before="60" w:line="240" w:lineRule="auto"/>
              <w:rPr>
                <w:color w:val="auto"/>
                <w:sz w:val="20"/>
                <w:szCs w:val="20"/>
              </w:rPr>
            </w:pPr>
          </w:p>
        </w:tc>
        <w:tc>
          <w:tcPr>
            <w:tcW w:w="1523" w:type="dxa"/>
            <w:vMerge/>
            <w:vAlign w:val="center"/>
          </w:tcPr>
          <w:p w14:paraId="7E404603" w14:textId="77777777" w:rsidR="00B31E28" w:rsidRPr="00A9330B" w:rsidRDefault="00B31E28" w:rsidP="00B31E28">
            <w:pPr>
              <w:spacing w:before="60" w:line="240" w:lineRule="auto"/>
              <w:rPr>
                <w:color w:val="auto"/>
                <w:sz w:val="20"/>
                <w:szCs w:val="20"/>
              </w:rPr>
            </w:pPr>
          </w:p>
        </w:tc>
        <w:tc>
          <w:tcPr>
            <w:tcW w:w="2641" w:type="dxa"/>
          </w:tcPr>
          <w:p w14:paraId="02CADAB4" w14:textId="77777777" w:rsidR="00B31E28" w:rsidRPr="00A9330B" w:rsidRDefault="00B31E28" w:rsidP="000F7BA7">
            <w:pPr>
              <w:spacing w:before="60" w:line="240" w:lineRule="auto"/>
              <w:jc w:val="both"/>
              <w:rPr>
                <w:color w:val="auto"/>
                <w:sz w:val="20"/>
                <w:szCs w:val="20"/>
              </w:rPr>
            </w:pPr>
            <w:r w:rsidRPr="00A9330B">
              <w:rPr>
                <w:color w:val="auto"/>
                <w:sz w:val="20"/>
                <w:szCs w:val="20"/>
              </w:rPr>
              <w:t>2.10.a.6.3. Veiller à la Collecte et à l’enlèvement  les huiles usagées par les structures agréées</w:t>
            </w:r>
          </w:p>
        </w:tc>
        <w:tc>
          <w:tcPr>
            <w:tcW w:w="2194" w:type="dxa"/>
            <w:vMerge/>
          </w:tcPr>
          <w:p w14:paraId="3B34D760" w14:textId="77777777" w:rsidR="00B31E28" w:rsidRPr="00A9330B" w:rsidRDefault="00B31E28" w:rsidP="00B31E28">
            <w:pPr>
              <w:spacing w:before="60" w:line="240" w:lineRule="auto"/>
              <w:rPr>
                <w:color w:val="auto"/>
                <w:sz w:val="20"/>
                <w:szCs w:val="20"/>
              </w:rPr>
            </w:pPr>
          </w:p>
        </w:tc>
      </w:tr>
      <w:tr w:rsidR="00B31E28" w:rsidRPr="00A9330B" w14:paraId="2889C721" w14:textId="77777777" w:rsidTr="00350C9E">
        <w:trPr>
          <w:trHeight w:val="332"/>
        </w:trPr>
        <w:tc>
          <w:tcPr>
            <w:tcW w:w="2425" w:type="dxa"/>
            <w:vMerge/>
          </w:tcPr>
          <w:p w14:paraId="6502291D" w14:textId="77777777" w:rsidR="00B31E28" w:rsidRPr="00A9330B" w:rsidRDefault="00B31E28" w:rsidP="00B31E28">
            <w:pPr>
              <w:spacing w:before="60" w:line="240" w:lineRule="auto"/>
              <w:rPr>
                <w:color w:val="auto"/>
                <w:sz w:val="20"/>
                <w:szCs w:val="20"/>
              </w:rPr>
            </w:pPr>
          </w:p>
        </w:tc>
        <w:tc>
          <w:tcPr>
            <w:tcW w:w="2193" w:type="dxa"/>
            <w:vMerge/>
          </w:tcPr>
          <w:p w14:paraId="1EF029F5" w14:textId="77777777" w:rsidR="00B31E28" w:rsidRPr="00A9330B" w:rsidRDefault="00B31E28" w:rsidP="00B31E28">
            <w:pPr>
              <w:spacing w:before="60" w:line="240" w:lineRule="auto"/>
              <w:rPr>
                <w:color w:val="auto"/>
                <w:sz w:val="20"/>
                <w:szCs w:val="20"/>
              </w:rPr>
            </w:pPr>
          </w:p>
        </w:tc>
        <w:tc>
          <w:tcPr>
            <w:tcW w:w="2595" w:type="dxa"/>
            <w:vMerge w:val="restart"/>
          </w:tcPr>
          <w:p w14:paraId="7E866F78" w14:textId="77777777" w:rsidR="00B31E28" w:rsidRPr="00A9330B" w:rsidRDefault="00B31E28" w:rsidP="000F7BA7">
            <w:pPr>
              <w:spacing w:before="60" w:line="240" w:lineRule="auto"/>
              <w:jc w:val="both"/>
              <w:rPr>
                <w:color w:val="auto"/>
                <w:sz w:val="20"/>
                <w:szCs w:val="20"/>
              </w:rPr>
            </w:pPr>
            <w:r w:rsidRPr="00A9330B">
              <w:rPr>
                <w:color w:val="auto"/>
                <w:sz w:val="20"/>
                <w:szCs w:val="20"/>
              </w:rPr>
              <w:t>2.10.a.7. Perturbation de la circulation et des accès aux propriétés</w:t>
            </w:r>
            <w:r w:rsidRPr="00A9330B" w:rsidDel="005A1AF6">
              <w:rPr>
                <w:color w:val="auto"/>
                <w:sz w:val="20"/>
                <w:szCs w:val="20"/>
              </w:rPr>
              <w:t xml:space="preserve"> </w:t>
            </w:r>
          </w:p>
        </w:tc>
        <w:tc>
          <w:tcPr>
            <w:tcW w:w="1523" w:type="dxa"/>
            <w:vMerge w:val="restart"/>
            <w:vAlign w:val="center"/>
          </w:tcPr>
          <w:p w14:paraId="066F5C23" w14:textId="77777777" w:rsidR="00B31E28" w:rsidRPr="00A9330B" w:rsidRDefault="00B31E28" w:rsidP="00B31E28">
            <w:pPr>
              <w:spacing w:before="60" w:line="240" w:lineRule="auto"/>
              <w:rPr>
                <w:color w:val="auto"/>
                <w:sz w:val="20"/>
                <w:szCs w:val="20"/>
              </w:rPr>
            </w:pPr>
            <w:r w:rsidRPr="00A9330B">
              <w:rPr>
                <w:color w:val="auto"/>
                <w:sz w:val="20"/>
                <w:szCs w:val="20"/>
              </w:rPr>
              <w:t xml:space="preserve">Moyenne </w:t>
            </w:r>
          </w:p>
        </w:tc>
        <w:tc>
          <w:tcPr>
            <w:tcW w:w="2641" w:type="dxa"/>
          </w:tcPr>
          <w:p w14:paraId="792E62D5" w14:textId="77777777" w:rsidR="00B31E28" w:rsidRPr="00A9330B" w:rsidRDefault="00B31E28" w:rsidP="000F7BA7">
            <w:pPr>
              <w:spacing w:before="60" w:line="240" w:lineRule="auto"/>
              <w:jc w:val="both"/>
              <w:rPr>
                <w:color w:val="auto"/>
                <w:sz w:val="20"/>
                <w:szCs w:val="20"/>
              </w:rPr>
            </w:pPr>
            <w:r w:rsidRPr="00A9330B">
              <w:rPr>
                <w:color w:val="auto"/>
                <w:sz w:val="20"/>
                <w:szCs w:val="20"/>
              </w:rPr>
              <w:t>2.10.a.7.1. Mettre en place des passerelles et /ou des escabeaux</w:t>
            </w:r>
          </w:p>
          <w:p w14:paraId="03928775" w14:textId="77777777" w:rsidR="00B31E28" w:rsidRPr="00A9330B" w:rsidRDefault="00B31E28" w:rsidP="000F7BA7">
            <w:pPr>
              <w:spacing w:before="60" w:line="240" w:lineRule="auto"/>
              <w:jc w:val="both"/>
              <w:rPr>
                <w:color w:val="auto"/>
                <w:sz w:val="20"/>
                <w:szCs w:val="20"/>
              </w:rPr>
            </w:pPr>
          </w:p>
        </w:tc>
        <w:tc>
          <w:tcPr>
            <w:tcW w:w="2194" w:type="dxa"/>
          </w:tcPr>
          <w:p w14:paraId="27635392" w14:textId="77777777" w:rsidR="00B31E28" w:rsidRPr="00A9330B" w:rsidRDefault="00B31E28" w:rsidP="00B31E28">
            <w:pPr>
              <w:spacing w:before="60" w:line="240" w:lineRule="auto"/>
              <w:rPr>
                <w:color w:val="auto"/>
                <w:sz w:val="20"/>
                <w:szCs w:val="20"/>
              </w:rPr>
            </w:pPr>
          </w:p>
        </w:tc>
      </w:tr>
      <w:tr w:rsidR="00B31E28" w:rsidRPr="00A9330B" w14:paraId="6324D218" w14:textId="77777777" w:rsidTr="00350C9E">
        <w:tc>
          <w:tcPr>
            <w:tcW w:w="2425" w:type="dxa"/>
            <w:vMerge w:val="restart"/>
          </w:tcPr>
          <w:p w14:paraId="48A91494" w14:textId="77777777" w:rsidR="00B31E28" w:rsidRPr="00A9330B" w:rsidRDefault="00B31E28" w:rsidP="00B31E28">
            <w:pPr>
              <w:spacing w:before="60" w:line="240" w:lineRule="auto"/>
              <w:rPr>
                <w:color w:val="auto"/>
                <w:sz w:val="20"/>
                <w:szCs w:val="20"/>
              </w:rPr>
            </w:pPr>
          </w:p>
        </w:tc>
        <w:tc>
          <w:tcPr>
            <w:tcW w:w="2193" w:type="dxa"/>
            <w:vMerge/>
          </w:tcPr>
          <w:p w14:paraId="19875892" w14:textId="77777777" w:rsidR="00B31E28" w:rsidRPr="00A9330B" w:rsidRDefault="00B31E28" w:rsidP="00B31E28">
            <w:pPr>
              <w:spacing w:before="60" w:line="240" w:lineRule="auto"/>
              <w:rPr>
                <w:color w:val="auto"/>
                <w:sz w:val="20"/>
                <w:szCs w:val="20"/>
              </w:rPr>
            </w:pPr>
          </w:p>
        </w:tc>
        <w:tc>
          <w:tcPr>
            <w:tcW w:w="2595" w:type="dxa"/>
            <w:vMerge/>
          </w:tcPr>
          <w:p w14:paraId="785D949B" w14:textId="77777777" w:rsidR="00B31E28" w:rsidRPr="00A9330B" w:rsidRDefault="00B31E28" w:rsidP="000F7BA7">
            <w:pPr>
              <w:spacing w:before="60" w:line="240" w:lineRule="auto"/>
              <w:jc w:val="both"/>
              <w:rPr>
                <w:color w:val="auto"/>
                <w:sz w:val="20"/>
                <w:szCs w:val="20"/>
              </w:rPr>
            </w:pPr>
          </w:p>
        </w:tc>
        <w:tc>
          <w:tcPr>
            <w:tcW w:w="1523" w:type="dxa"/>
            <w:vMerge/>
            <w:vAlign w:val="center"/>
          </w:tcPr>
          <w:p w14:paraId="391AE7A9" w14:textId="77777777" w:rsidR="00B31E28" w:rsidRPr="00A9330B" w:rsidRDefault="00B31E28" w:rsidP="00B31E28">
            <w:pPr>
              <w:spacing w:before="60" w:line="240" w:lineRule="auto"/>
              <w:rPr>
                <w:color w:val="auto"/>
                <w:sz w:val="20"/>
                <w:szCs w:val="20"/>
              </w:rPr>
            </w:pPr>
          </w:p>
        </w:tc>
        <w:tc>
          <w:tcPr>
            <w:tcW w:w="2641" w:type="dxa"/>
          </w:tcPr>
          <w:p w14:paraId="583600DB" w14:textId="77777777" w:rsidR="00B31E28" w:rsidRPr="00A9330B" w:rsidRDefault="00B31E28" w:rsidP="000F7BA7">
            <w:pPr>
              <w:spacing w:before="60" w:line="240" w:lineRule="auto"/>
              <w:jc w:val="both"/>
              <w:rPr>
                <w:color w:val="auto"/>
                <w:sz w:val="20"/>
                <w:szCs w:val="20"/>
              </w:rPr>
            </w:pPr>
            <w:r w:rsidRPr="00A9330B">
              <w:rPr>
                <w:color w:val="auto"/>
                <w:sz w:val="20"/>
                <w:szCs w:val="20"/>
              </w:rPr>
              <w:t xml:space="preserve">2.10.a.7.2. Mettre en place des panneaux de signalisation et des dispositifs de régulation de la circulation </w:t>
            </w:r>
            <w:r w:rsidRPr="00A9330B">
              <w:rPr>
                <w:strike/>
                <w:color w:val="auto"/>
                <w:sz w:val="20"/>
                <w:szCs w:val="20"/>
              </w:rPr>
              <w:t xml:space="preserve"> </w:t>
            </w:r>
          </w:p>
        </w:tc>
        <w:tc>
          <w:tcPr>
            <w:tcW w:w="2194" w:type="dxa"/>
          </w:tcPr>
          <w:p w14:paraId="2ACBAFD2" w14:textId="77777777" w:rsidR="00B31E28" w:rsidRPr="00A9330B" w:rsidRDefault="00B31E28" w:rsidP="00B31E28">
            <w:pPr>
              <w:spacing w:before="60" w:line="240" w:lineRule="auto"/>
              <w:rPr>
                <w:color w:val="auto"/>
                <w:sz w:val="20"/>
                <w:szCs w:val="20"/>
              </w:rPr>
            </w:pPr>
          </w:p>
        </w:tc>
      </w:tr>
      <w:tr w:rsidR="00B31E28" w:rsidRPr="00A9330B" w14:paraId="3E9E95A5" w14:textId="77777777" w:rsidTr="00350C9E">
        <w:tc>
          <w:tcPr>
            <w:tcW w:w="2425" w:type="dxa"/>
            <w:vMerge/>
          </w:tcPr>
          <w:p w14:paraId="169CD583" w14:textId="77777777" w:rsidR="00B31E28" w:rsidRPr="00A9330B" w:rsidRDefault="00B31E28" w:rsidP="00B31E28">
            <w:pPr>
              <w:spacing w:before="60" w:line="240" w:lineRule="auto"/>
              <w:rPr>
                <w:strike/>
                <w:color w:val="auto"/>
                <w:sz w:val="20"/>
                <w:szCs w:val="20"/>
              </w:rPr>
            </w:pPr>
          </w:p>
        </w:tc>
        <w:tc>
          <w:tcPr>
            <w:tcW w:w="2193" w:type="dxa"/>
            <w:vMerge/>
          </w:tcPr>
          <w:p w14:paraId="19B7C08F" w14:textId="77777777" w:rsidR="00B31E28" w:rsidRPr="00A9330B" w:rsidRDefault="00B31E28" w:rsidP="00B31E28">
            <w:pPr>
              <w:spacing w:before="60" w:line="240" w:lineRule="auto"/>
              <w:rPr>
                <w:strike/>
                <w:color w:val="auto"/>
                <w:sz w:val="20"/>
                <w:szCs w:val="20"/>
              </w:rPr>
            </w:pPr>
          </w:p>
        </w:tc>
        <w:tc>
          <w:tcPr>
            <w:tcW w:w="2595" w:type="dxa"/>
            <w:vMerge w:val="restart"/>
          </w:tcPr>
          <w:p w14:paraId="3962E9BE" w14:textId="77777777" w:rsidR="00B31E28" w:rsidRPr="00A9330B" w:rsidRDefault="00B31E28" w:rsidP="000F7BA7">
            <w:pPr>
              <w:spacing w:before="60" w:line="240" w:lineRule="auto"/>
              <w:jc w:val="both"/>
              <w:rPr>
                <w:color w:val="auto"/>
                <w:sz w:val="20"/>
                <w:szCs w:val="20"/>
              </w:rPr>
            </w:pPr>
            <w:r w:rsidRPr="00A9330B">
              <w:rPr>
                <w:color w:val="auto"/>
                <w:sz w:val="20"/>
                <w:szCs w:val="20"/>
              </w:rPr>
              <w:t xml:space="preserve">2.10.a.8. Conflits d’intérêts et nuisances dus à la réalisation de plusieurs projets  dans les mêmes milieux d’accueil  </w:t>
            </w:r>
          </w:p>
        </w:tc>
        <w:tc>
          <w:tcPr>
            <w:tcW w:w="1523" w:type="dxa"/>
            <w:vMerge w:val="restart"/>
          </w:tcPr>
          <w:p w14:paraId="22ADF5EB" w14:textId="77777777" w:rsidR="00B31E28" w:rsidRPr="00A9330B" w:rsidRDefault="00B31E28" w:rsidP="00B31E28">
            <w:pPr>
              <w:spacing w:before="60" w:line="240" w:lineRule="auto"/>
              <w:rPr>
                <w:color w:val="auto"/>
                <w:sz w:val="20"/>
                <w:szCs w:val="20"/>
              </w:rPr>
            </w:pPr>
            <w:r w:rsidRPr="00A9330B">
              <w:rPr>
                <w:color w:val="auto"/>
                <w:sz w:val="20"/>
                <w:szCs w:val="20"/>
              </w:rPr>
              <w:t>Moyenne</w:t>
            </w:r>
          </w:p>
        </w:tc>
        <w:tc>
          <w:tcPr>
            <w:tcW w:w="2641" w:type="dxa"/>
          </w:tcPr>
          <w:p w14:paraId="06BFEE53" w14:textId="77777777" w:rsidR="00B31E28" w:rsidRPr="00A9330B" w:rsidRDefault="00B31E28" w:rsidP="000F7BA7">
            <w:pPr>
              <w:spacing w:before="60" w:line="240" w:lineRule="auto"/>
              <w:jc w:val="both"/>
              <w:rPr>
                <w:color w:val="auto"/>
                <w:sz w:val="20"/>
                <w:szCs w:val="20"/>
              </w:rPr>
            </w:pPr>
            <w:r w:rsidRPr="00A9330B">
              <w:rPr>
                <w:color w:val="auto"/>
                <w:sz w:val="20"/>
                <w:szCs w:val="20"/>
              </w:rPr>
              <w:t>2.10.a.8.1. Identifier clairement les différents projets avant le démarrage des travaux </w:t>
            </w:r>
          </w:p>
        </w:tc>
        <w:tc>
          <w:tcPr>
            <w:tcW w:w="2194" w:type="dxa"/>
          </w:tcPr>
          <w:p w14:paraId="0C26913D" w14:textId="77777777" w:rsidR="00B31E28" w:rsidRPr="00A9330B" w:rsidRDefault="00B31E28" w:rsidP="00B31E28">
            <w:pPr>
              <w:spacing w:before="60" w:line="240" w:lineRule="auto"/>
              <w:rPr>
                <w:color w:val="auto"/>
                <w:sz w:val="20"/>
                <w:szCs w:val="20"/>
              </w:rPr>
            </w:pPr>
          </w:p>
        </w:tc>
      </w:tr>
      <w:tr w:rsidR="00B31E28" w:rsidRPr="00A9330B" w14:paraId="66920199" w14:textId="77777777" w:rsidTr="00350C9E">
        <w:tc>
          <w:tcPr>
            <w:tcW w:w="2425" w:type="dxa"/>
            <w:vMerge/>
          </w:tcPr>
          <w:p w14:paraId="64DFB587" w14:textId="77777777" w:rsidR="00B31E28" w:rsidRPr="00A9330B" w:rsidRDefault="00B31E28" w:rsidP="00B31E28">
            <w:pPr>
              <w:spacing w:before="60" w:line="240" w:lineRule="auto"/>
              <w:rPr>
                <w:strike/>
                <w:color w:val="auto"/>
                <w:sz w:val="20"/>
                <w:szCs w:val="20"/>
              </w:rPr>
            </w:pPr>
          </w:p>
        </w:tc>
        <w:tc>
          <w:tcPr>
            <w:tcW w:w="2193" w:type="dxa"/>
            <w:vMerge/>
          </w:tcPr>
          <w:p w14:paraId="7543ED08" w14:textId="77777777" w:rsidR="00B31E28" w:rsidRPr="00A9330B" w:rsidRDefault="00B31E28" w:rsidP="00B31E28">
            <w:pPr>
              <w:spacing w:before="60" w:line="240" w:lineRule="auto"/>
              <w:rPr>
                <w:strike/>
                <w:color w:val="auto"/>
                <w:sz w:val="20"/>
                <w:szCs w:val="20"/>
              </w:rPr>
            </w:pPr>
          </w:p>
        </w:tc>
        <w:tc>
          <w:tcPr>
            <w:tcW w:w="2595" w:type="dxa"/>
            <w:vMerge/>
          </w:tcPr>
          <w:p w14:paraId="49E948D0" w14:textId="77777777" w:rsidR="00B31E28" w:rsidRPr="00A9330B" w:rsidRDefault="00B31E28" w:rsidP="00B31E28">
            <w:pPr>
              <w:spacing w:before="60" w:line="240" w:lineRule="auto"/>
              <w:rPr>
                <w:color w:val="auto"/>
                <w:sz w:val="20"/>
                <w:szCs w:val="20"/>
              </w:rPr>
            </w:pPr>
          </w:p>
        </w:tc>
        <w:tc>
          <w:tcPr>
            <w:tcW w:w="1523" w:type="dxa"/>
            <w:vMerge/>
          </w:tcPr>
          <w:p w14:paraId="159B259D" w14:textId="77777777" w:rsidR="00B31E28" w:rsidRPr="00A9330B" w:rsidRDefault="00B31E28" w:rsidP="00B31E28">
            <w:pPr>
              <w:spacing w:before="60" w:line="240" w:lineRule="auto"/>
              <w:rPr>
                <w:color w:val="auto"/>
                <w:sz w:val="20"/>
                <w:szCs w:val="20"/>
              </w:rPr>
            </w:pPr>
          </w:p>
        </w:tc>
        <w:tc>
          <w:tcPr>
            <w:tcW w:w="2641" w:type="dxa"/>
          </w:tcPr>
          <w:p w14:paraId="7BFEA789" w14:textId="77777777" w:rsidR="00B31E28" w:rsidRPr="00A9330B" w:rsidRDefault="00B31E28" w:rsidP="000F7BA7">
            <w:pPr>
              <w:spacing w:before="60" w:line="240" w:lineRule="auto"/>
              <w:jc w:val="both"/>
              <w:rPr>
                <w:color w:val="auto"/>
                <w:sz w:val="20"/>
                <w:szCs w:val="20"/>
              </w:rPr>
            </w:pPr>
            <w:r w:rsidRPr="00A9330B">
              <w:rPr>
                <w:color w:val="auto"/>
                <w:sz w:val="20"/>
                <w:szCs w:val="20"/>
              </w:rPr>
              <w:t>2.10.a.8.2. Coordonner les  calendriers d’exécution des travaux des  différents projets</w:t>
            </w:r>
          </w:p>
        </w:tc>
        <w:tc>
          <w:tcPr>
            <w:tcW w:w="2194" w:type="dxa"/>
          </w:tcPr>
          <w:p w14:paraId="736E391D" w14:textId="77777777" w:rsidR="00B31E28" w:rsidRPr="00A9330B" w:rsidRDefault="00B31E28" w:rsidP="00B31E28">
            <w:pPr>
              <w:spacing w:before="60" w:line="240" w:lineRule="auto"/>
              <w:rPr>
                <w:color w:val="auto"/>
                <w:sz w:val="20"/>
                <w:szCs w:val="20"/>
              </w:rPr>
            </w:pPr>
          </w:p>
        </w:tc>
      </w:tr>
      <w:tr w:rsidR="00B31E28" w:rsidRPr="00A9330B" w14:paraId="515EC74D" w14:textId="77777777" w:rsidTr="00350C9E">
        <w:tc>
          <w:tcPr>
            <w:tcW w:w="2425" w:type="dxa"/>
            <w:vMerge/>
          </w:tcPr>
          <w:p w14:paraId="0A54325C" w14:textId="77777777" w:rsidR="00B31E28" w:rsidRPr="00A9330B" w:rsidRDefault="00B31E28" w:rsidP="00B31E28">
            <w:pPr>
              <w:spacing w:before="60" w:line="240" w:lineRule="auto"/>
              <w:rPr>
                <w:strike/>
                <w:color w:val="auto"/>
                <w:sz w:val="20"/>
                <w:szCs w:val="20"/>
              </w:rPr>
            </w:pPr>
          </w:p>
        </w:tc>
        <w:tc>
          <w:tcPr>
            <w:tcW w:w="2193" w:type="dxa"/>
            <w:vMerge/>
          </w:tcPr>
          <w:p w14:paraId="5B1CBCDA" w14:textId="77777777" w:rsidR="00B31E28" w:rsidRPr="00A9330B" w:rsidRDefault="00B31E28" w:rsidP="00B31E28">
            <w:pPr>
              <w:spacing w:before="60" w:line="240" w:lineRule="auto"/>
              <w:rPr>
                <w:strike/>
                <w:color w:val="auto"/>
                <w:sz w:val="20"/>
                <w:szCs w:val="20"/>
              </w:rPr>
            </w:pPr>
          </w:p>
        </w:tc>
        <w:tc>
          <w:tcPr>
            <w:tcW w:w="2595" w:type="dxa"/>
            <w:vMerge/>
          </w:tcPr>
          <w:p w14:paraId="7885D155" w14:textId="77777777" w:rsidR="00B31E28" w:rsidRPr="00A9330B" w:rsidRDefault="00B31E28" w:rsidP="00B31E28">
            <w:pPr>
              <w:spacing w:before="60" w:line="240" w:lineRule="auto"/>
              <w:rPr>
                <w:color w:val="auto"/>
                <w:sz w:val="20"/>
                <w:szCs w:val="20"/>
              </w:rPr>
            </w:pPr>
          </w:p>
        </w:tc>
        <w:tc>
          <w:tcPr>
            <w:tcW w:w="1523" w:type="dxa"/>
            <w:vMerge/>
          </w:tcPr>
          <w:p w14:paraId="40BC976D" w14:textId="77777777" w:rsidR="00B31E28" w:rsidRPr="00A9330B" w:rsidRDefault="00B31E28" w:rsidP="00B31E28">
            <w:pPr>
              <w:spacing w:before="60" w:line="240" w:lineRule="auto"/>
              <w:rPr>
                <w:color w:val="auto"/>
                <w:sz w:val="20"/>
                <w:szCs w:val="20"/>
              </w:rPr>
            </w:pPr>
          </w:p>
        </w:tc>
        <w:tc>
          <w:tcPr>
            <w:tcW w:w="2641" w:type="dxa"/>
          </w:tcPr>
          <w:p w14:paraId="1E09F9A8" w14:textId="77777777" w:rsidR="00B31E28" w:rsidRPr="00A9330B" w:rsidRDefault="00B31E28" w:rsidP="000F7BA7">
            <w:pPr>
              <w:spacing w:before="60" w:line="240" w:lineRule="auto"/>
              <w:jc w:val="both"/>
              <w:rPr>
                <w:color w:val="auto"/>
                <w:sz w:val="20"/>
                <w:szCs w:val="20"/>
              </w:rPr>
            </w:pPr>
            <w:r w:rsidRPr="00A9330B">
              <w:rPr>
                <w:color w:val="auto"/>
                <w:sz w:val="20"/>
                <w:szCs w:val="20"/>
              </w:rPr>
              <w:t>2.10.a.8.3. Faire des réservations dans les voiries pour les autres projets à venir (fourreaux pour les canalisations et les lignes électriques)</w:t>
            </w:r>
          </w:p>
        </w:tc>
        <w:tc>
          <w:tcPr>
            <w:tcW w:w="2194" w:type="dxa"/>
          </w:tcPr>
          <w:p w14:paraId="7FBB5953" w14:textId="77777777" w:rsidR="00B31E28" w:rsidRPr="00A9330B" w:rsidRDefault="00B31E28" w:rsidP="00B31E28">
            <w:pPr>
              <w:spacing w:before="60" w:line="240" w:lineRule="auto"/>
              <w:rPr>
                <w:color w:val="auto"/>
                <w:sz w:val="20"/>
                <w:szCs w:val="20"/>
              </w:rPr>
            </w:pPr>
          </w:p>
        </w:tc>
      </w:tr>
      <w:tr w:rsidR="00B31E28" w:rsidRPr="00A9330B" w14:paraId="6A005159" w14:textId="77777777" w:rsidTr="003C5233">
        <w:tc>
          <w:tcPr>
            <w:tcW w:w="13571" w:type="dxa"/>
            <w:gridSpan w:val="6"/>
            <w:shd w:val="clear" w:color="auto" w:fill="F7CAAC" w:themeFill="accent2" w:themeFillTint="66"/>
          </w:tcPr>
          <w:p w14:paraId="3C10C272" w14:textId="77777777" w:rsidR="00B31E28" w:rsidRPr="00A9330B" w:rsidRDefault="00B31E28" w:rsidP="00B31E28">
            <w:pPr>
              <w:spacing w:before="60" w:line="240" w:lineRule="auto"/>
              <w:rPr>
                <w:i/>
                <w:color w:val="auto"/>
                <w:sz w:val="20"/>
                <w:szCs w:val="20"/>
              </w:rPr>
            </w:pPr>
            <w:r w:rsidRPr="00A9330B">
              <w:rPr>
                <w:i/>
                <w:color w:val="auto"/>
                <w:sz w:val="20"/>
                <w:szCs w:val="20"/>
              </w:rPr>
              <w:t>PHASE D’EXPLOITATION ET D’ENTRETIEN</w:t>
            </w:r>
          </w:p>
        </w:tc>
      </w:tr>
      <w:tr w:rsidR="00B31E28" w:rsidRPr="00A9330B" w14:paraId="2D6E4424" w14:textId="77777777" w:rsidTr="00350C9E">
        <w:trPr>
          <w:trHeight w:val="554"/>
        </w:trPr>
        <w:tc>
          <w:tcPr>
            <w:tcW w:w="2425" w:type="dxa"/>
            <w:vMerge w:val="restart"/>
          </w:tcPr>
          <w:p w14:paraId="293DBD8B" w14:textId="77777777" w:rsidR="00B31E28" w:rsidRPr="00A9330B" w:rsidRDefault="00B31E28" w:rsidP="00B31E28">
            <w:pPr>
              <w:spacing w:before="60" w:line="240" w:lineRule="auto"/>
              <w:rPr>
                <w:color w:val="auto"/>
                <w:sz w:val="20"/>
                <w:szCs w:val="20"/>
              </w:rPr>
            </w:pPr>
            <w:r w:rsidRPr="00A9330B">
              <w:rPr>
                <w:color w:val="auto"/>
                <w:sz w:val="20"/>
                <w:szCs w:val="20"/>
              </w:rPr>
              <w:t>3.1. Mise en exploitation des rues et des ouvrages réalisés</w:t>
            </w:r>
          </w:p>
        </w:tc>
        <w:tc>
          <w:tcPr>
            <w:tcW w:w="2193" w:type="dxa"/>
          </w:tcPr>
          <w:p w14:paraId="409D3ACA" w14:textId="77777777" w:rsidR="00B31E28" w:rsidRPr="00A9330B" w:rsidRDefault="00B31E28" w:rsidP="000F7BA7">
            <w:pPr>
              <w:spacing w:before="60" w:line="240" w:lineRule="auto"/>
              <w:jc w:val="both"/>
              <w:rPr>
                <w:color w:val="auto"/>
                <w:sz w:val="20"/>
                <w:szCs w:val="20"/>
              </w:rPr>
            </w:pPr>
            <w:r w:rsidRPr="00A9330B">
              <w:rPr>
                <w:color w:val="auto"/>
                <w:sz w:val="20"/>
                <w:szCs w:val="20"/>
              </w:rPr>
              <w:t>3.1.b.1. Durabilité et viabilité des rues</w:t>
            </w:r>
          </w:p>
        </w:tc>
        <w:tc>
          <w:tcPr>
            <w:tcW w:w="2595" w:type="dxa"/>
          </w:tcPr>
          <w:p w14:paraId="6AE5212F" w14:textId="77777777" w:rsidR="00B31E28" w:rsidRPr="00A9330B" w:rsidRDefault="00B31E28" w:rsidP="000F7BA7">
            <w:pPr>
              <w:spacing w:before="60" w:line="240" w:lineRule="auto"/>
              <w:jc w:val="both"/>
              <w:rPr>
                <w:snapToGrid w:val="0"/>
                <w:color w:val="auto"/>
                <w:sz w:val="20"/>
                <w:szCs w:val="20"/>
              </w:rPr>
            </w:pPr>
            <w:r w:rsidRPr="00A9330B">
              <w:rPr>
                <w:color w:val="auto"/>
                <w:sz w:val="20"/>
                <w:szCs w:val="20"/>
              </w:rPr>
              <w:t xml:space="preserve">3.1.a.1.. </w:t>
            </w:r>
            <w:r w:rsidRPr="00A9330B">
              <w:rPr>
                <w:snapToGrid w:val="0"/>
                <w:color w:val="auto"/>
                <w:sz w:val="20"/>
                <w:szCs w:val="20"/>
              </w:rPr>
              <w:t xml:space="preserve">Pollution accidentelle du sol et de l’eau par les métaux lourds </w:t>
            </w:r>
          </w:p>
        </w:tc>
        <w:tc>
          <w:tcPr>
            <w:tcW w:w="1523" w:type="dxa"/>
          </w:tcPr>
          <w:p w14:paraId="7337050D" w14:textId="77777777" w:rsidR="00B31E28" w:rsidRPr="00A9330B" w:rsidRDefault="00B31E28" w:rsidP="00B31E28">
            <w:pPr>
              <w:spacing w:before="60" w:line="240" w:lineRule="auto"/>
              <w:rPr>
                <w:color w:val="auto"/>
                <w:sz w:val="20"/>
                <w:szCs w:val="20"/>
              </w:rPr>
            </w:pPr>
            <w:r w:rsidRPr="00A9330B">
              <w:rPr>
                <w:color w:val="auto"/>
                <w:sz w:val="20"/>
                <w:szCs w:val="20"/>
              </w:rPr>
              <w:t xml:space="preserve">Faible </w:t>
            </w:r>
          </w:p>
        </w:tc>
        <w:tc>
          <w:tcPr>
            <w:tcW w:w="2641" w:type="dxa"/>
          </w:tcPr>
          <w:p w14:paraId="20C9C307" w14:textId="77777777" w:rsidR="00B31E28" w:rsidRPr="00A9330B" w:rsidRDefault="00B31E28" w:rsidP="000F7BA7">
            <w:pPr>
              <w:spacing w:before="60" w:line="240" w:lineRule="auto"/>
              <w:jc w:val="both"/>
              <w:rPr>
                <w:color w:val="auto"/>
                <w:sz w:val="20"/>
                <w:szCs w:val="20"/>
              </w:rPr>
            </w:pPr>
            <w:r w:rsidRPr="00A9330B">
              <w:rPr>
                <w:color w:val="auto"/>
                <w:sz w:val="20"/>
                <w:szCs w:val="20"/>
              </w:rPr>
              <w:t xml:space="preserve">3.1.a.1.1. Prendre des précautions pour éviter au maximum les cas de déversements accidentels </w:t>
            </w:r>
          </w:p>
        </w:tc>
        <w:tc>
          <w:tcPr>
            <w:tcW w:w="2194" w:type="dxa"/>
          </w:tcPr>
          <w:p w14:paraId="774BAE65" w14:textId="77777777" w:rsidR="00B31E28" w:rsidRPr="00A9330B" w:rsidRDefault="00B31E28" w:rsidP="00B31E28">
            <w:pPr>
              <w:spacing w:before="60" w:line="240" w:lineRule="auto"/>
              <w:rPr>
                <w:color w:val="auto"/>
                <w:sz w:val="20"/>
                <w:szCs w:val="20"/>
              </w:rPr>
            </w:pPr>
          </w:p>
        </w:tc>
      </w:tr>
      <w:tr w:rsidR="00B31E28" w:rsidRPr="00A9330B" w14:paraId="6BA3C941" w14:textId="77777777" w:rsidTr="00350C9E">
        <w:tc>
          <w:tcPr>
            <w:tcW w:w="2425" w:type="dxa"/>
            <w:vMerge/>
          </w:tcPr>
          <w:p w14:paraId="7A38DED5" w14:textId="77777777" w:rsidR="00B31E28" w:rsidRPr="00A9330B" w:rsidRDefault="00B31E28" w:rsidP="00B31E28">
            <w:pPr>
              <w:spacing w:before="60" w:line="240" w:lineRule="auto"/>
              <w:rPr>
                <w:color w:val="auto"/>
                <w:sz w:val="20"/>
                <w:szCs w:val="20"/>
              </w:rPr>
            </w:pPr>
          </w:p>
        </w:tc>
        <w:tc>
          <w:tcPr>
            <w:tcW w:w="2193" w:type="dxa"/>
            <w:vMerge w:val="restart"/>
          </w:tcPr>
          <w:p w14:paraId="72C995B3" w14:textId="77777777" w:rsidR="00B31E28" w:rsidRPr="00A9330B" w:rsidRDefault="00B31E28" w:rsidP="000F7BA7">
            <w:pPr>
              <w:spacing w:before="60" w:line="240" w:lineRule="auto"/>
              <w:jc w:val="both"/>
              <w:rPr>
                <w:color w:val="auto"/>
                <w:sz w:val="20"/>
                <w:szCs w:val="20"/>
              </w:rPr>
            </w:pPr>
            <w:r w:rsidRPr="00A9330B">
              <w:rPr>
                <w:color w:val="auto"/>
                <w:sz w:val="20"/>
                <w:szCs w:val="20"/>
              </w:rPr>
              <w:t>3.1.b.2. Amélioration de la sécurité routière</w:t>
            </w:r>
          </w:p>
          <w:p w14:paraId="3A80EBD7" w14:textId="77777777" w:rsidR="00B31E28" w:rsidRPr="00A9330B" w:rsidRDefault="00B31E28" w:rsidP="000F7BA7">
            <w:pPr>
              <w:spacing w:before="60" w:line="240" w:lineRule="auto"/>
              <w:jc w:val="both"/>
              <w:rPr>
                <w:color w:val="auto"/>
                <w:sz w:val="20"/>
                <w:szCs w:val="20"/>
              </w:rPr>
            </w:pPr>
          </w:p>
        </w:tc>
        <w:tc>
          <w:tcPr>
            <w:tcW w:w="2595" w:type="dxa"/>
            <w:vMerge w:val="restart"/>
          </w:tcPr>
          <w:p w14:paraId="7EE45BA9" w14:textId="77777777" w:rsidR="00B31E28" w:rsidRPr="00A9330B" w:rsidRDefault="00B31E28" w:rsidP="000F7BA7">
            <w:pPr>
              <w:spacing w:before="60" w:line="240" w:lineRule="auto"/>
              <w:jc w:val="both"/>
              <w:rPr>
                <w:snapToGrid w:val="0"/>
                <w:color w:val="auto"/>
                <w:sz w:val="20"/>
                <w:szCs w:val="20"/>
              </w:rPr>
            </w:pPr>
            <w:r w:rsidRPr="00A9330B">
              <w:rPr>
                <w:color w:val="auto"/>
                <w:sz w:val="20"/>
                <w:szCs w:val="20"/>
              </w:rPr>
              <w:t>3.1.a.2. Augmentation  de la fréquence  des accidents de la circulation liés au trafic</w:t>
            </w:r>
          </w:p>
        </w:tc>
        <w:tc>
          <w:tcPr>
            <w:tcW w:w="1523" w:type="dxa"/>
            <w:vMerge w:val="restart"/>
          </w:tcPr>
          <w:p w14:paraId="199D6A51" w14:textId="77777777" w:rsidR="00B31E28" w:rsidRPr="00A9330B" w:rsidRDefault="00B31E28" w:rsidP="00B31E28">
            <w:pPr>
              <w:spacing w:before="60" w:line="240" w:lineRule="auto"/>
              <w:rPr>
                <w:color w:val="auto"/>
                <w:sz w:val="20"/>
                <w:szCs w:val="20"/>
              </w:rPr>
            </w:pPr>
            <w:r w:rsidRPr="00A9330B">
              <w:rPr>
                <w:color w:val="auto"/>
                <w:sz w:val="20"/>
                <w:szCs w:val="20"/>
              </w:rPr>
              <w:t>Moyenne</w:t>
            </w:r>
          </w:p>
        </w:tc>
        <w:tc>
          <w:tcPr>
            <w:tcW w:w="2641" w:type="dxa"/>
          </w:tcPr>
          <w:p w14:paraId="47046C15" w14:textId="77777777" w:rsidR="00B31E28" w:rsidRPr="00A9330B" w:rsidRDefault="00B31E28" w:rsidP="000F7BA7">
            <w:pPr>
              <w:spacing w:before="60" w:line="240" w:lineRule="auto"/>
              <w:jc w:val="both"/>
              <w:rPr>
                <w:color w:val="auto"/>
                <w:sz w:val="20"/>
                <w:szCs w:val="20"/>
              </w:rPr>
            </w:pPr>
            <w:r w:rsidRPr="00A9330B">
              <w:rPr>
                <w:color w:val="auto"/>
                <w:sz w:val="20"/>
                <w:szCs w:val="20"/>
              </w:rPr>
              <w:t>3.1.a.2.1. Veiller à la signalisation routière</w:t>
            </w:r>
          </w:p>
        </w:tc>
        <w:tc>
          <w:tcPr>
            <w:tcW w:w="2194" w:type="dxa"/>
          </w:tcPr>
          <w:p w14:paraId="0FB3467C" w14:textId="77777777" w:rsidR="00B31E28" w:rsidRPr="00A9330B" w:rsidRDefault="00B31E28" w:rsidP="00B31E28">
            <w:pPr>
              <w:spacing w:before="60" w:line="240" w:lineRule="auto"/>
              <w:rPr>
                <w:color w:val="auto"/>
                <w:sz w:val="20"/>
                <w:szCs w:val="20"/>
              </w:rPr>
            </w:pPr>
          </w:p>
        </w:tc>
      </w:tr>
      <w:tr w:rsidR="00B31E28" w:rsidRPr="00A9330B" w14:paraId="3A005F2D" w14:textId="77777777" w:rsidTr="00350C9E">
        <w:tc>
          <w:tcPr>
            <w:tcW w:w="2425" w:type="dxa"/>
            <w:vMerge/>
          </w:tcPr>
          <w:p w14:paraId="056CA406" w14:textId="77777777" w:rsidR="00B31E28" w:rsidRPr="00A9330B" w:rsidRDefault="00B31E28" w:rsidP="00B31E28">
            <w:pPr>
              <w:spacing w:before="60" w:line="240" w:lineRule="auto"/>
              <w:rPr>
                <w:color w:val="auto"/>
                <w:sz w:val="20"/>
                <w:szCs w:val="20"/>
              </w:rPr>
            </w:pPr>
          </w:p>
        </w:tc>
        <w:tc>
          <w:tcPr>
            <w:tcW w:w="2193" w:type="dxa"/>
            <w:vMerge/>
          </w:tcPr>
          <w:p w14:paraId="33DD32C0" w14:textId="77777777" w:rsidR="00B31E28" w:rsidRPr="00A9330B" w:rsidRDefault="00B31E28" w:rsidP="00B31E28">
            <w:pPr>
              <w:spacing w:before="60" w:line="240" w:lineRule="auto"/>
              <w:rPr>
                <w:color w:val="auto"/>
                <w:sz w:val="20"/>
                <w:szCs w:val="20"/>
              </w:rPr>
            </w:pPr>
          </w:p>
        </w:tc>
        <w:tc>
          <w:tcPr>
            <w:tcW w:w="2595" w:type="dxa"/>
            <w:vMerge/>
          </w:tcPr>
          <w:p w14:paraId="47F0CEE9" w14:textId="77777777" w:rsidR="00B31E28" w:rsidRPr="00A9330B" w:rsidRDefault="00B31E28" w:rsidP="00B31E28">
            <w:pPr>
              <w:spacing w:before="60" w:line="240" w:lineRule="auto"/>
              <w:rPr>
                <w:color w:val="auto"/>
                <w:sz w:val="20"/>
                <w:szCs w:val="20"/>
              </w:rPr>
            </w:pPr>
          </w:p>
        </w:tc>
        <w:tc>
          <w:tcPr>
            <w:tcW w:w="1523" w:type="dxa"/>
            <w:vMerge/>
          </w:tcPr>
          <w:p w14:paraId="7C3E8E58" w14:textId="77777777" w:rsidR="00B31E28" w:rsidRPr="00A9330B" w:rsidRDefault="00B31E28" w:rsidP="00B31E28">
            <w:pPr>
              <w:spacing w:before="60" w:line="240" w:lineRule="auto"/>
              <w:rPr>
                <w:color w:val="auto"/>
                <w:sz w:val="20"/>
                <w:szCs w:val="20"/>
              </w:rPr>
            </w:pPr>
          </w:p>
        </w:tc>
        <w:tc>
          <w:tcPr>
            <w:tcW w:w="2641" w:type="dxa"/>
          </w:tcPr>
          <w:p w14:paraId="06E7ADAC" w14:textId="77777777" w:rsidR="00B31E28" w:rsidRPr="00A9330B" w:rsidRDefault="00B31E28" w:rsidP="000F7BA7">
            <w:pPr>
              <w:spacing w:before="60" w:line="240" w:lineRule="auto"/>
              <w:jc w:val="both"/>
              <w:rPr>
                <w:color w:val="auto"/>
                <w:sz w:val="20"/>
                <w:szCs w:val="20"/>
              </w:rPr>
            </w:pPr>
            <w:r w:rsidRPr="00A9330B">
              <w:rPr>
                <w:color w:val="auto"/>
                <w:sz w:val="20"/>
                <w:szCs w:val="20"/>
              </w:rPr>
              <w:t>3.1.a.2.2. Initier des campagnes d'information sur la sécurité routière (CNSR)</w:t>
            </w:r>
          </w:p>
        </w:tc>
        <w:tc>
          <w:tcPr>
            <w:tcW w:w="2194" w:type="dxa"/>
          </w:tcPr>
          <w:p w14:paraId="00FE61F3" w14:textId="77777777" w:rsidR="00B31E28" w:rsidRPr="00A9330B" w:rsidRDefault="00B31E28" w:rsidP="00B31E28">
            <w:pPr>
              <w:spacing w:before="60" w:line="240" w:lineRule="auto"/>
              <w:rPr>
                <w:color w:val="auto"/>
                <w:sz w:val="20"/>
                <w:szCs w:val="20"/>
              </w:rPr>
            </w:pPr>
          </w:p>
        </w:tc>
      </w:tr>
      <w:tr w:rsidR="009C5C1D" w:rsidRPr="00A9330B" w14:paraId="13340564" w14:textId="77777777" w:rsidTr="009C5C1D">
        <w:tc>
          <w:tcPr>
            <w:tcW w:w="2425" w:type="dxa"/>
            <w:vMerge/>
          </w:tcPr>
          <w:p w14:paraId="3B500828" w14:textId="77777777" w:rsidR="009C5C1D" w:rsidRPr="00A9330B" w:rsidRDefault="009C5C1D" w:rsidP="009C5C1D">
            <w:pPr>
              <w:spacing w:before="60" w:line="240" w:lineRule="auto"/>
              <w:rPr>
                <w:color w:val="auto"/>
                <w:sz w:val="20"/>
                <w:szCs w:val="20"/>
              </w:rPr>
            </w:pPr>
          </w:p>
        </w:tc>
        <w:tc>
          <w:tcPr>
            <w:tcW w:w="2193" w:type="dxa"/>
          </w:tcPr>
          <w:p w14:paraId="0855BE6D" w14:textId="77777777" w:rsidR="009C5C1D" w:rsidRPr="00A9330B" w:rsidRDefault="009C5C1D" w:rsidP="009C5C1D">
            <w:pPr>
              <w:spacing w:before="60" w:line="240" w:lineRule="auto"/>
              <w:jc w:val="both"/>
              <w:rPr>
                <w:color w:val="auto"/>
                <w:sz w:val="20"/>
                <w:szCs w:val="20"/>
              </w:rPr>
            </w:pPr>
            <w:r w:rsidRPr="00A9330B">
              <w:rPr>
                <w:color w:val="auto"/>
                <w:sz w:val="20"/>
                <w:szCs w:val="20"/>
              </w:rPr>
              <w:t>3.1.b.3. Amélioration du confort et du cadre de vie</w:t>
            </w:r>
          </w:p>
        </w:tc>
        <w:tc>
          <w:tcPr>
            <w:tcW w:w="2595" w:type="dxa"/>
          </w:tcPr>
          <w:p w14:paraId="5C77118B" w14:textId="377BDCAC" w:rsidR="009C5C1D" w:rsidRPr="00A9330B" w:rsidRDefault="009C5C1D" w:rsidP="009C5C1D">
            <w:pPr>
              <w:spacing w:before="60" w:line="240" w:lineRule="auto"/>
              <w:jc w:val="left"/>
              <w:rPr>
                <w:color w:val="auto"/>
                <w:sz w:val="20"/>
                <w:szCs w:val="20"/>
              </w:rPr>
            </w:pPr>
            <w:r w:rsidRPr="00A9330B">
              <w:rPr>
                <w:rFonts w:cs="Arial"/>
                <w:sz w:val="20"/>
                <w:szCs w:val="20"/>
              </w:rPr>
              <w:t xml:space="preserve">3.1.a.3. Accumulation des déchets au niveau des exutoires et des plans d’eau  </w:t>
            </w:r>
          </w:p>
        </w:tc>
        <w:tc>
          <w:tcPr>
            <w:tcW w:w="1523" w:type="dxa"/>
          </w:tcPr>
          <w:p w14:paraId="5EE8F94E" w14:textId="25CD7BC4" w:rsidR="009C5C1D" w:rsidRPr="00A9330B" w:rsidRDefault="009C5C1D" w:rsidP="009C5C1D">
            <w:pPr>
              <w:spacing w:before="60" w:line="240" w:lineRule="auto"/>
              <w:rPr>
                <w:color w:val="auto"/>
                <w:sz w:val="20"/>
                <w:szCs w:val="20"/>
              </w:rPr>
            </w:pPr>
            <w:r w:rsidRPr="00A9330B">
              <w:rPr>
                <w:rFonts w:cs="Arial"/>
                <w:sz w:val="20"/>
                <w:szCs w:val="20"/>
                <w:lang w:eastAsia="fr-FR"/>
              </w:rPr>
              <w:t xml:space="preserve">Moyenne </w:t>
            </w:r>
          </w:p>
        </w:tc>
        <w:tc>
          <w:tcPr>
            <w:tcW w:w="2641" w:type="dxa"/>
          </w:tcPr>
          <w:p w14:paraId="2AB1102F" w14:textId="5711DA67" w:rsidR="009C5C1D" w:rsidRPr="00A9330B" w:rsidRDefault="009C5C1D" w:rsidP="009C5C1D">
            <w:pPr>
              <w:spacing w:before="60" w:line="240" w:lineRule="auto"/>
              <w:jc w:val="left"/>
              <w:rPr>
                <w:color w:val="auto"/>
                <w:sz w:val="20"/>
                <w:szCs w:val="20"/>
              </w:rPr>
            </w:pPr>
            <w:r w:rsidRPr="00A9330B">
              <w:rPr>
                <w:rFonts w:cs="Arial"/>
                <w:sz w:val="20"/>
                <w:szCs w:val="20"/>
              </w:rPr>
              <w:t xml:space="preserve">3.1.a.3.1 Prévoir un dispositif de piégeage des déchets solides à l’exutoire (bac d’accumulation ) </w:t>
            </w:r>
          </w:p>
        </w:tc>
        <w:tc>
          <w:tcPr>
            <w:tcW w:w="2194" w:type="dxa"/>
          </w:tcPr>
          <w:p w14:paraId="65C6B5A9" w14:textId="77777777" w:rsidR="009C5C1D" w:rsidRPr="00A9330B" w:rsidRDefault="009C5C1D" w:rsidP="009C5C1D">
            <w:pPr>
              <w:spacing w:before="60" w:line="240" w:lineRule="auto"/>
              <w:rPr>
                <w:color w:val="auto"/>
                <w:sz w:val="20"/>
                <w:szCs w:val="20"/>
              </w:rPr>
            </w:pPr>
          </w:p>
        </w:tc>
      </w:tr>
      <w:tr w:rsidR="009C5C1D" w:rsidRPr="00A9330B" w14:paraId="47A2F591" w14:textId="77777777" w:rsidTr="009C5C1D">
        <w:tc>
          <w:tcPr>
            <w:tcW w:w="2425" w:type="dxa"/>
            <w:vMerge/>
          </w:tcPr>
          <w:p w14:paraId="4DBF7D82" w14:textId="77777777" w:rsidR="009C5C1D" w:rsidRPr="00A9330B" w:rsidRDefault="009C5C1D" w:rsidP="009C5C1D">
            <w:pPr>
              <w:spacing w:before="60" w:line="240" w:lineRule="auto"/>
              <w:rPr>
                <w:color w:val="auto"/>
                <w:sz w:val="20"/>
                <w:szCs w:val="20"/>
              </w:rPr>
            </w:pPr>
          </w:p>
        </w:tc>
        <w:tc>
          <w:tcPr>
            <w:tcW w:w="2193" w:type="dxa"/>
          </w:tcPr>
          <w:p w14:paraId="463EB633" w14:textId="77777777" w:rsidR="009C5C1D" w:rsidRPr="00A9330B" w:rsidRDefault="009C5C1D" w:rsidP="009C5C1D">
            <w:pPr>
              <w:spacing w:before="60" w:line="240" w:lineRule="auto"/>
              <w:jc w:val="both"/>
              <w:rPr>
                <w:color w:val="auto"/>
                <w:sz w:val="20"/>
                <w:szCs w:val="20"/>
              </w:rPr>
            </w:pPr>
            <w:r w:rsidRPr="00A9330B">
              <w:rPr>
                <w:color w:val="auto"/>
                <w:sz w:val="20"/>
                <w:szCs w:val="20"/>
              </w:rPr>
              <w:t>3.1.b.4. Gain de temps, gain de carburant</w:t>
            </w:r>
          </w:p>
        </w:tc>
        <w:tc>
          <w:tcPr>
            <w:tcW w:w="2595" w:type="dxa"/>
            <w:vMerge w:val="restart"/>
          </w:tcPr>
          <w:p w14:paraId="6EE0916D" w14:textId="62F49734" w:rsidR="009C5C1D" w:rsidRPr="00A9330B" w:rsidRDefault="009C5C1D" w:rsidP="009C5C1D">
            <w:pPr>
              <w:spacing w:before="60" w:line="240" w:lineRule="auto"/>
              <w:jc w:val="left"/>
              <w:rPr>
                <w:color w:val="auto"/>
                <w:sz w:val="20"/>
                <w:szCs w:val="20"/>
              </w:rPr>
            </w:pPr>
            <w:r w:rsidRPr="00A9330B">
              <w:rPr>
                <w:rFonts w:cs="Arial"/>
                <w:sz w:val="20"/>
                <w:szCs w:val="20"/>
              </w:rPr>
              <w:t xml:space="preserve">3.1.a.4. Comblement des des exutoires par les sédiments </w:t>
            </w:r>
          </w:p>
        </w:tc>
        <w:tc>
          <w:tcPr>
            <w:tcW w:w="1523" w:type="dxa"/>
          </w:tcPr>
          <w:p w14:paraId="3837E6B4" w14:textId="5C599469" w:rsidR="009C5C1D" w:rsidRPr="00A9330B" w:rsidRDefault="009C5C1D" w:rsidP="009C5C1D">
            <w:pPr>
              <w:spacing w:before="60" w:line="240" w:lineRule="auto"/>
              <w:rPr>
                <w:color w:val="auto"/>
                <w:sz w:val="20"/>
                <w:szCs w:val="20"/>
              </w:rPr>
            </w:pPr>
            <w:r w:rsidRPr="00A9330B">
              <w:rPr>
                <w:rFonts w:cs="Arial"/>
                <w:sz w:val="20"/>
                <w:szCs w:val="20"/>
                <w:lang w:eastAsia="fr-FR"/>
              </w:rPr>
              <w:t xml:space="preserve">Moyenne </w:t>
            </w:r>
          </w:p>
        </w:tc>
        <w:tc>
          <w:tcPr>
            <w:tcW w:w="2641" w:type="dxa"/>
          </w:tcPr>
          <w:p w14:paraId="539A54A4" w14:textId="739F56E9" w:rsidR="009C5C1D" w:rsidRPr="00A9330B" w:rsidRDefault="009C5C1D" w:rsidP="009C5C1D">
            <w:pPr>
              <w:spacing w:before="60" w:line="240" w:lineRule="auto"/>
              <w:jc w:val="left"/>
              <w:rPr>
                <w:color w:val="auto"/>
                <w:sz w:val="20"/>
                <w:szCs w:val="20"/>
              </w:rPr>
            </w:pPr>
            <w:r w:rsidRPr="00A9330B">
              <w:rPr>
                <w:rFonts w:cs="Arial"/>
                <w:sz w:val="20"/>
                <w:szCs w:val="20"/>
              </w:rPr>
              <w:t xml:space="preserve">3.1.a.4.1 Aménager un piège à sédiment au niveau des exutoires </w:t>
            </w:r>
          </w:p>
        </w:tc>
        <w:tc>
          <w:tcPr>
            <w:tcW w:w="2194" w:type="dxa"/>
          </w:tcPr>
          <w:p w14:paraId="62ADFBD5" w14:textId="77777777" w:rsidR="009C5C1D" w:rsidRPr="00A9330B" w:rsidRDefault="009C5C1D" w:rsidP="009C5C1D">
            <w:pPr>
              <w:spacing w:before="60" w:line="240" w:lineRule="auto"/>
              <w:rPr>
                <w:color w:val="auto"/>
                <w:sz w:val="20"/>
                <w:szCs w:val="20"/>
              </w:rPr>
            </w:pPr>
          </w:p>
        </w:tc>
      </w:tr>
      <w:tr w:rsidR="009C5C1D" w:rsidRPr="00A9330B" w14:paraId="655E4705" w14:textId="77777777" w:rsidTr="009C5C1D">
        <w:tc>
          <w:tcPr>
            <w:tcW w:w="2425" w:type="dxa"/>
            <w:vMerge/>
          </w:tcPr>
          <w:p w14:paraId="51B397B0" w14:textId="77777777" w:rsidR="009C5C1D" w:rsidRPr="00A9330B" w:rsidRDefault="009C5C1D" w:rsidP="009C5C1D">
            <w:pPr>
              <w:spacing w:before="60" w:line="240" w:lineRule="auto"/>
              <w:rPr>
                <w:color w:val="auto"/>
                <w:sz w:val="20"/>
                <w:szCs w:val="20"/>
              </w:rPr>
            </w:pPr>
          </w:p>
        </w:tc>
        <w:tc>
          <w:tcPr>
            <w:tcW w:w="2193" w:type="dxa"/>
          </w:tcPr>
          <w:p w14:paraId="71CF16DF" w14:textId="77777777" w:rsidR="009C5C1D" w:rsidRPr="00A9330B" w:rsidRDefault="009C5C1D" w:rsidP="009C5C1D">
            <w:pPr>
              <w:spacing w:before="60" w:line="240" w:lineRule="auto"/>
              <w:jc w:val="both"/>
              <w:rPr>
                <w:color w:val="auto"/>
                <w:sz w:val="20"/>
                <w:szCs w:val="20"/>
              </w:rPr>
            </w:pPr>
            <w:r w:rsidRPr="00A9330B">
              <w:rPr>
                <w:color w:val="auto"/>
                <w:sz w:val="20"/>
                <w:szCs w:val="20"/>
              </w:rPr>
              <w:t>3.1.b.5. Réduction des gaz à effet de serre</w:t>
            </w:r>
          </w:p>
        </w:tc>
        <w:tc>
          <w:tcPr>
            <w:tcW w:w="2595" w:type="dxa"/>
            <w:vMerge/>
          </w:tcPr>
          <w:p w14:paraId="30AD6458" w14:textId="77777777" w:rsidR="009C5C1D" w:rsidRPr="00A9330B" w:rsidRDefault="009C5C1D" w:rsidP="009C5C1D">
            <w:pPr>
              <w:spacing w:before="60" w:line="240" w:lineRule="auto"/>
              <w:rPr>
                <w:color w:val="auto"/>
                <w:sz w:val="20"/>
                <w:szCs w:val="20"/>
              </w:rPr>
            </w:pPr>
          </w:p>
        </w:tc>
        <w:tc>
          <w:tcPr>
            <w:tcW w:w="1523" w:type="dxa"/>
          </w:tcPr>
          <w:p w14:paraId="06EF5D36" w14:textId="77777777" w:rsidR="009C5C1D" w:rsidRPr="00A9330B" w:rsidRDefault="009C5C1D" w:rsidP="009C5C1D">
            <w:pPr>
              <w:spacing w:before="60" w:line="240" w:lineRule="auto"/>
              <w:rPr>
                <w:color w:val="auto"/>
                <w:sz w:val="20"/>
                <w:szCs w:val="20"/>
              </w:rPr>
            </w:pPr>
          </w:p>
        </w:tc>
        <w:tc>
          <w:tcPr>
            <w:tcW w:w="2641" w:type="dxa"/>
          </w:tcPr>
          <w:p w14:paraId="27D7A0E8" w14:textId="42D60F85" w:rsidR="009C5C1D" w:rsidRPr="00A9330B" w:rsidRDefault="009C5C1D" w:rsidP="009C5C1D">
            <w:pPr>
              <w:spacing w:before="60" w:line="240" w:lineRule="auto"/>
              <w:jc w:val="left"/>
              <w:rPr>
                <w:color w:val="auto"/>
                <w:sz w:val="20"/>
                <w:szCs w:val="20"/>
              </w:rPr>
            </w:pPr>
            <w:r w:rsidRPr="00A9330B">
              <w:rPr>
                <w:rFonts w:cs="Arial"/>
                <w:sz w:val="20"/>
                <w:szCs w:val="20"/>
              </w:rPr>
              <w:t xml:space="preserve">3.1.a.4.2 Procéder au curage régulier du dispositif de rétention / d’accumulation </w:t>
            </w:r>
          </w:p>
        </w:tc>
        <w:tc>
          <w:tcPr>
            <w:tcW w:w="2194" w:type="dxa"/>
          </w:tcPr>
          <w:p w14:paraId="1644B847" w14:textId="77777777" w:rsidR="009C5C1D" w:rsidRPr="00A9330B" w:rsidRDefault="009C5C1D" w:rsidP="009C5C1D">
            <w:pPr>
              <w:spacing w:before="60" w:line="240" w:lineRule="auto"/>
              <w:rPr>
                <w:color w:val="auto"/>
                <w:sz w:val="20"/>
                <w:szCs w:val="20"/>
              </w:rPr>
            </w:pPr>
          </w:p>
        </w:tc>
      </w:tr>
      <w:tr w:rsidR="009C5C1D" w:rsidRPr="00A9330B" w14:paraId="6270954C" w14:textId="77777777" w:rsidTr="00350C9E">
        <w:tc>
          <w:tcPr>
            <w:tcW w:w="2425" w:type="dxa"/>
            <w:vMerge w:val="restart"/>
          </w:tcPr>
          <w:p w14:paraId="6CD772BD" w14:textId="77777777" w:rsidR="009C5C1D" w:rsidRPr="00A9330B" w:rsidRDefault="009C5C1D" w:rsidP="009C5C1D">
            <w:pPr>
              <w:spacing w:before="60" w:line="240" w:lineRule="auto"/>
              <w:jc w:val="both"/>
              <w:rPr>
                <w:color w:val="auto"/>
                <w:sz w:val="20"/>
                <w:szCs w:val="20"/>
              </w:rPr>
            </w:pPr>
            <w:r w:rsidRPr="00A9330B">
              <w:rPr>
                <w:color w:val="auto"/>
                <w:sz w:val="20"/>
                <w:szCs w:val="20"/>
              </w:rPr>
              <w:t xml:space="preserve">3.2. Entretien périodique Réparation des dommages </w:t>
            </w:r>
          </w:p>
          <w:p w14:paraId="2059BA64" w14:textId="77777777" w:rsidR="009C5C1D" w:rsidRPr="00A9330B" w:rsidRDefault="009C5C1D" w:rsidP="009C5C1D">
            <w:pPr>
              <w:spacing w:before="60" w:line="240" w:lineRule="auto"/>
              <w:jc w:val="both"/>
              <w:rPr>
                <w:color w:val="auto"/>
                <w:sz w:val="20"/>
                <w:szCs w:val="20"/>
              </w:rPr>
            </w:pPr>
            <w:r w:rsidRPr="00A9330B">
              <w:rPr>
                <w:color w:val="auto"/>
                <w:sz w:val="20"/>
                <w:szCs w:val="20"/>
              </w:rPr>
              <w:t xml:space="preserve">Désherbage des bordures </w:t>
            </w:r>
          </w:p>
          <w:p w14:paraId="2D506060" w14:textId="77777777" w:rsidR="009C5C1D" w:rsidRPr="00A9330B" w:rsidRDefault="009C5C1D" w:rsidP="009C5C1D">
            <w:pPr>
              <w:spacing w:before="60" w:line="240" w:lineRule="auto"/>
              <w:jc w:val="both"/>
              <w:rPr>
                <w:color w:val="auto"/>
                <w:sz w:val="20"/>
                <w:szCs w:val="20"/>
              </w:rPr>
            </w:pPr>
            <w:r w:rsidRPr="00A9330B">
              <w:rPr>
                <w:color w:val="auto"/>
                <w:sz w:val="20"/>
                <w:szCs w:val="20"/>
              </w:rPr>
              <w:t>Stockage de matériaux et matériels</w:t>
            </w:r>
          </w:p>
          <w:p w14:paraId="7F8E18BD" w14:textId="77777777" w:rsidR="009C5C1D" w:rsidRPr="00A9330B" w:rsidRDefault="009C5C1D" w:rsidP="009C5C1D">
            <w:pPr>
              <w:spacing w:before="60" w:line="240" w:lineRule="auto"/>
              <w:rPr>
                <w:color w:val="auto"/>
                <w:sz w:val="20"/>
                <w:szCs w:val="20"/>
              </w:rPr>
            </w:pPr>
          </w:p>
        </w:tc>
        <w:tc>
          <w:tcPr>
            <w:tcW w:w="2193" w:type="dxa"/>
            <w:vMerge w:val="restart"/>
          </w:tcPr>
          <w:p w14:paraId="09581103" w14:textId="77777777" w:rsidR="009C5C1D" w:rsidRPr="00A9330B" w:rsidRDefault="009C5C1D" w:rsidP="009C5C1D">
            <w:pPr>
              <w:spacing w:before="60" w:line="240" w:lineRule="auto"/>
              <w:jc w:val="both"/>
              <w:rPr>
                <w:color w:val="auto"/>
                <w:sz w:val="20"/>
                <w:szCs w:val="20"/>
              </w:rPr>
            </w:pPr>
            <w:r w:rsidRPr="00A9330B">
              <w:rPr>
                <w:color w:val="auto"/>
                <w:sz w:val="20"/>
                <w:szCs w:val="20"/>
              </w:rPr>
              <w:t>3.2.b.1. Création de nouvelles potentialités économiques et d’emplois</w:t>
            </w:r>
          </w:p>
        </w:tc>
        <w:tc>
          <w:tcPr>
            <w:tcW w:w="2595" w:type="dxa"/>
            <w:vMerge w:val="restart"/>
          </w:tcPr>
          <w:p w14:paraId="1291476E" w14:textId="77777777" w:rsidR="009C5C1D" w:rsidRPr="00A9330B" w:rsidRDefault="009C5C1D" w:rsidP="009C5C1D">
            <w:pPr>
              <w:spacing w:before="60" w:line="240" w:lineRule="auto"/>
              <w:jc w:val="both"/>
              <w:rPr>
                <w:color w:val="auto"/>
                <w:sz w:val="20"/>
                <w:szCs w:val="20"/>
              </w:rPr>
            </w:pPr>
            <w:r w:rsidRPr="00A9330B">
              <w:rPr>
                <w:color w:val="auto"/>
                <w:sz w:val="20"/>
                <w:szCs w:val="20"/>
              </w:rPr>
              <w:t xml:space="preserve">3.2.a.1. . Insécurité et nuisances liées à la présence du chantier sur la chaussée ou ses abords </w:t>
            </w:r>
          </w:p>
        </w:tc>
        <w:tc>
          <w:tcPr>
            <w:tcW w:w="1523" w:type="dxa"/>
            <w:vMerge w:val="restart"/>
            <w:vAlign w:val="center"/>
          </w:tcPr>
          <w:p w14:paraId="6A6E084C" w14:textId="77777777" w:rsidR="009C5C1D" w:rsidRPr="00A9330B" w:rsidRDefault="009C5C1D" w:rsidP="009C5C1D">
            <w:pPr>
              <w:spacing w:before="60" w:line="240" w:lineRule="auto"/>
              <w:rPr>
                <w:color w:val="auto"/>
                <w:sz w:val="20"/>
                <w:szCs w:val="20"/>
              </w:rPr>
            </w:pPr>
            <w:r w:rsidRPr="00A9330B">
              <w:rPr>
                <w:color w:val="auto"/>
                <w:sz w:val="20"/>
                <w:szCs w:val="20"/>
              </w:rPr>
              <w:t xml:space="preserve">Faible </w:t>
            </w:r>
          </w:p>
        </w:tc>
        <w:tc>
          <w:tcPr>
            <w:tcW w:w="2641" w:type="dxa"/>
          </w:tcPr>
          <w:p w14:paraId="1A413470" w14:textId="77777777" w:rsidR="009C5C1D" w:rsidRPr="00A9330B" w:rsidRDefault="009C5C1D" w:rsidP="009C5C1D">
            <w:pPr>
              <w:spacing w:before="60" w:line="240" w:lineRule="auto"/>
              <w:jc w:val="both"/>
              <w:rPr>
                <w:color w:val="auto"/>
                <w:sz w:val="20"/>
                <w:szCs w:val="20"/>
              </w:rPr>
            </w:pPr>
            <w:r w:rsidRPr="00A9330B">
              <w:rPr>
                <w:color w:val="auto"/>
                <w:sz w:val="20"/>
                <w:szCs w:val="20"/>
              </w:rPr>
              <w:t>3.2.a.1.1. Sensibiliser les travailleurs sur les accidents du travail</w:t>
            </w:r>
          </w:p>
        </w:tc>
        <w:tc>
          <w:tcPr>
            <w:tcW w:w="2194" w:type="dxa"/>
            <w:vMerge w:val="restart"/>
          </w:tcPr>
          <w:p w14:paraId="52856495" w14:textId="77777777" w:rsidR="009C5C1D" w:rsidRPr="00A9330B" w:rsidRDefault="009C5C1D" w:rsidP="009C5C1D">
            <w:pPr>
              <w:spacing w:before="60" w:line="240" w:lineRule="auto"/>
              <w:jc w:val="both"/>
              <w:rPr>
                <w:color w:val="auto"/>
                <w:sz w:val="20"/>
                <w:szCs w:val="20"/>
              </w:rPr>
            </w:pPr>
            <w:r w:rsidRPr="00A9330B">
              <w:rPr>
                <w:color w:val="auto"/>
                <w:sz w:val="20"/>
                <w:szCs w:val="20"/>
              </w:rPr>
              <w:t>3.2.b.1.1. Faire la promotion des prestataires locaux</w:t>
            </w:r>
          </w:p>
        </w:tc>
      </w:tr>
      <w:tr w:rsidR="009C5C1D" w:rsidRPr="00A9330B" w14:paraId="7F12A4E8" w14:textId="77777777" w:rsidTr="00350C9E">
        <w:tc>
          <w:tcPr>
            <w:tcW w:w="2425" w:type="dxa"/>
            <w:vMerge/>
          </w:tcPr>
          <w:p w14:paraId="141C7767" w14:textId="77777777" w:rsidR="009C5C1D" w:rsidRPr="00A9330B" w:rsidRDefault="009C5C1D" w:rsidP="009C5C1D">
            <w:pPr>
              <w:spacing w:before="60" w:line="240" w:lineRule="auto"/>
              <w:rPr>
                <w:color w:val="auto"/>
                <w:sz w:val="20"/>
                <w:szCs w:val="20"/>
              </w:rPr>
            </w:pPr>
          </w:p>
        </w:tc>
        <w:tc>
          <w:tcPr>
            <w:tcW w:w="2193" w:type="dxa"/>
            <w:vMerge/>
          </w:tcPr>
          <w:p w14:paraId="231D6863" w14:textId="77777777" w:rsidR="009C5C1D" w:rsidRPr="00A9330B" w:rsidRDefault="009C5C1D" w:rsidP="009C5C1D">
            <w:pPr>
              <w:spacing w:before="60" w:line="240" w:lineRule="auto"/>
              <w:jc w:val="both"/>
              <w:rPr>
                <w:color w:val="auto"/>
                <w:sz w:val="20"/>
                <w:szCs w:val="20"/>
              </w:rPr>
            </w:pPr>
          </w:p>
        </w:tc>
        <w:tc>
          <w:tcPr>
            <w:tcW w:w="2595" w:type="dxa"/>
            <w:vMerge/>
          </w:tcPr>
          <w:p w14:paraId="3A3A59C2" w14:textId="77777777" w:rsidR="009C5C1D" w:rsidRPr="00A9330B" w:rsidRDefault="009C5C1D" w:rsidP="009C5C1D">
            <w:pPr>
              <w:spacing w:before="60" w:line="240" w:lineRule="auto"/>
              <w:jc w:val="both"/>
              <w:rPr>
                <w:color w:val="auto"/>
                <w:sz w:val="20"/>
                <w:szCs w:val="20"/>
              </w:rPr>
            </w:pPr>
          </w:p>
        </w:tc>
        <w:tc>
          <w:tcPr>
            <w:tcW w:w="1523" w:type="dxa"/>
            <w:vMerge/>
            <w:vAlign w:val="center"/>
          </w:tcPr>
          <w:p w14:paraId="6B923F5D" w14:textId="77777777" w:rsidR="009C5C1D" w:rsidRPr="00A9330B" w:rsidRDefault="009C5C1D" w:rsidP="009C5C1D">
            <w:pPr>
              <w:spacing w:before="60" w:line="240" w:lineRule="auto"/>
              <w:rPr>
                <w:color w:val="auto"/>
                <w:sz w:val="20"/>
                <w:szCs w:val="20"/>
              </w:rPr>
            </w:pPr>
          </w:p>
        </w:tc>
        <w:tc>
          <w:tcPr>
            <w:tcW w:w="2641" w:type="dxa"/>
          </w:tcPr>
          <w:p w14:paraId="6495D575" w14:textId="77777777" w:rsidR="009C5C1D" w:rsidRPr="00A9330B" w:rsidRDefault="009C5C1D" w:rsidP="009C5C1D">
            <w:pPr>
              <w:spacing w:before="60" w:line="240" w:lineRule="auto"/>
              <w:jc w:val="both"/>
              <w:rPr>
                <w:color w:val="auto"/>
                <w:sz w:val="20"/>
                <w:szCs w:val="20"/>
              </w:rPr>
            </w:pPr>
            <w:r w:rsidRPr="00A9330B">
              <w:rPr>
                <w:color w:val="auto"/>
                <w:sz w:val="20"/>
                <w:szCs w:val="20"/>
              </w:rPr>
              <w:t>3.2.a.1.2. Mettre en place un dispositif de régulation de la circulation</w:t>
            </w:r>
          </w:p>
        </w:tc>
        <w:tc>
          <w:tcPr>
            <w:tcW w:w="2194" w:type="dxa"/>
            <w:vMerge/>
          </w:tcPr>
          <w:p w14:paraId="632AE150" w14:textId="77777777" w:rsidR="009C5C1D" w:rsidRPr="00A9330B" w:rsidRDefault="009C5C1D" w:rsidP="009C5C1D">
            <w:pPr>
              <w:spacing w:before="60" w:line="240" w:lineRule="auto"/>
              <w:jc w:val="both"/>
              <w:rPr>
                <w:color w:val="auto"/>
                <w:sz w:val="20"/>
                <w:szCs w:val="20"/>
              </w:rPr>
            </w:pPr>
          </w:p>
        </w:tc>
      </w:tr>
      <w:tr w:rsidR="009C5C1D" w:rsidRPr="00A9330B" w14:paraId="33194EAF" w14:textId="77777777" w:rsidTr="00350C9E">
        <w:trPr>
          <w:trHeight w:val="449"/>
        </w:trPr>
        <w:tc>
          <w:tcPr>
            <w:tcW w:w="2425" w:type="dxa"/>
            <w:vMerge/>
          </w:tcPr>
          <w:p w14:paraId="094D593D" w14:textId="77777777" w:rsidR="009C5C1D" w:rsidRPr="00A9330B" w:rsidRDefault="009C5C1D" w:rsidP="009C5C1D">
            <w:pPr>
              <w:spacing w:before="60" w:line="240" w:lineRule="auto"/>
              <w:rPr>
                <w:color w:val="auto"/>
                <w:sz w:val="20"/>
                <w:szCs w:val="20"/>
              </w:rPr>
            </w:pPr>
          </w:p>
        </w:tc>
        <w:tc>
          <w:tcPr>
            <w:tcW w:w="2193" w:type="dxa"/>
          </w:tcPr>
          <w:p w14:paraId="77651D7F" w14:textId="52160B07" w:rsidR="009C5C1D" w:rsidRPr="00A9330B" w:rsidRDefault="009C5C1D" w:rsidP="009C5C1D">
            <w:pPr>
              <w:spacing w:before="60" w:line="240" w:lineRule="auto"/>
              <w:jc w:val="both"/>
              <w:rPr>
                <w:color w:val="auto"/>
                <w:sz w:val="20"/>
                <w:szCs w:val="20"/>
              </w:rPr>
            </w:pPr>
            <w:r w:rsidRPr="00A9330B">
              <w:rPr>
                <w:color w:val="auto"/>
                <w:sz w:val="20"/>
                <w:szCs w:val="20"/>
              </w:rPr>
              <w:t>3.2.b.2. Modification positive des conditions de vie</w:t>
            </w:r>
          </w:p>
          <w:p w14:paraId="7D299502" w14:textId="77777777" w:rsidR="009C5C1D" w:rsidRPr="00A9330B" w:rsidRDefault="009C5C1D" w:rsidP="009C5C1D">
            <w:pPr>
              <w:spacing w:before="60" w:line="240" w:lineRule="auto"/>
              <w:jc w:val="both"/>
              <w:rPr>
                <w:color w:val="auto"/>
                <w:sz w:val="20"/>
                <w:szCs w:val="20"/>
              </w:rPr>
            </w:pPr>
          </w:p>
          <w:p w14:paraId="3F4661F1" w14:textId="77777777" w:rsidR="009C5C1D" w:rsidRPr="00A9330B" w:rsidRDefault="009C5C1D" w:rsidP="009C5C1D">
            <w:pPr>
              <w:spacing w:before="60" w:line="240" w:lineRule="auto"/>
              <w:jc w:val="both"/>
              <w:rPr>
                <w:color w:val="auto"/>
                <w:sz w:val="20"/>
                <w:szCs w:val="20"/>
              </w:rPr>
            </w:pPr>
          </w:p>
        </w:tc>
        <w:tc>
          <w:tcPr>
            <w:tcW w:w="2595" w:type="dxa"/>
          </w:tcPr>
          <w:p w14:paraId="0A2829E7" w14:textId="77777777" w:rsidR="009C5C1D" w:rsidRPr="00A9330B" w:rsidRDefault="009C5C1D" w:rsidP="009C5C1D">
            <w:pPr>
              <w:spacing w:before="60" w:line="240" w:lineRule="auto"/>
              <w:jc w:val="both"/>
              <w:rPr>
                <w:color w:val="auto"/>
                <w:sz w:val="20"/>
                <w:szCs w:val="20"/>
              </w:rPr>
            </w:pPr>
            <w:r w:rsidRPr="00A9330B">
              <w:rPr>
                <w:color w:val="auto"/>
                <w:sz w:val="20"/>
                <w:szCs w:val="20"/>
              </w:rPr>
              <w:t>3.2.a.2 Stockage et abandon des matériels hors d’usage, des matériaux d’entretien et des résidus de démolition.</w:t>
            </w:r>
          </w:p>
        </w:tc>
        <w:tc>
          <w:tcPr>
            <w:tcW w:w="1523" w:type="dxa"/>
            <w:vAlign w:val="center"/>
          </w:tcPr>
          <w:p w14:paraId="41DC441B" w14:textId="77777777" w:rsidR="009C5C1D" w:rsidRPr="00A9330B" w:rsidRDefault="009C5C1D" w:rsidP="009C5C1D">
            <w:pPr>
              <w:spacing w:before="60" w:line="240" w:lineRule="auto"/>
              <w:rPr>
                <w:color w:val="auto"/>
                <w:sz w:val="20"/>
                <w:szCs w:val="20"/>
              </w:rPr>
            </w:pPr>
            <w:r w:rsidRPr="00A9330B">
              <w:rPr>
                <w:color w:val="auto"/>
                <w:sz w:val="20"/>
                <w:szCs w:val="20"/>
              </w:rPr>
              <w:t xml:space="preserve">Faible </w:t>
            </w:r>
          </w:p>
        </w:tc>
        <w:tc>
          <w:tcPr>
            <w:tcW w:w="2641" w:type="dxa"/>
          </w:tcPr>
          <w:p w14:paraId="3A2D9AB3" w14:textId="77777777" w:rsidR="009C5C1D" w:rsidRPr="00A9330B" w:rsidRDefault="009C5C1D" w:rsidP="009C5C1D">
            <w:pPr>
              <w:spacing w:before="60" w:line="240" w:lineRule="auto"/>
              <w:jc w:val="both"/>
              <w:rPr>
                <w:color w:val="auto"/>
                <w:sz w:val="20"/>
                <w:szCs w:val="20"/>
              </w:rPr>
            </w:pPr>
            <w:r w:rsidRPr="00A9330B">
              <w:rPr>
                <w:color w:val="auto"/>
                <w:sz w:val="20"/>
                <w:szCs w:val="20"/>
              </w:rPr>
              <w:t xml:space="preserve">3.2.a.2.1. Veiller à replier et ranger le matériel et les matériaux utilisés pour les travaux d’entretien  </w:t>
            </w:r>
          </w:p>
          <w:p w14:paraId="0294852C" w14:textId="77777777" w:rsidR="009C5C1D" w:rsidRPr="00A9330B" w:rsidRDefault="009C5C1D" w:rsidP="009C5C1D">
            <w:pPr>
              <w:spacing w:before="60" w:line="240" w:lineRule="auto"/>
              <w:jc w:val="both"/>
              <w:rPr>
                <w:strike/>
                <w:color w:val="auto"/>
                <w:sz w:val="20"/>
                <w:szCs w:val="20"/>
              </w:rPr>
            </w:pPr>
          </w:p>
        </w:tc>
        <w:tc>
          <w:tcPr>
            <w:tcW w:w="2194" w:type="dxa"/>
          </w:tcPr>
          <w:p w14:paraId="16C588AF" w14:textId="77777777" w:rsidR="009C5C1D" w:rsidRPr="00A9330B" w:rsidRDefault="009C5C1D" w:rsidP="009C5C1D">
            <w:pPr>
              <w:spacing w:before="60" w:line="240" w:lineRule="auto"/>
              <w:jc w:val="both"/>
              <w:rPr>
                <w:color w:val="auto"/>
                <w:sz w:val="20"/>
                <w:szCs w:val="20"/>
              </w:rPr>
            </w:pPr>
          </w:p>
        </w:tc>
      </w:tr>
      <w:tr w:rsidR="009C5C1D" w:rsidRPr="00A9330B" w14:paraId="089EDA95" w14:textId="77777777" w:rsidTr="00350C9E">
        <w:tc>
          <w:tcPr>
            <w:tcW w:w="2425" w:type="dxa"/>
            <w:vMerge/>
          </w:tcPr>
          <w:p w14:paraId="6CEC6763" w14:textId="77777777" w:rsidR="009C5C1D" w:rsidRPr="00A9330B" w:rsidRDefault="009C5C1D" w:rsidP="009C5C1D">
            <w:pPr>
              <w:spacing w:before="60" w:line="240" w:lineRule="auto"/>
              <w:rPr>
                <w:color w:val="auto"/>
                <w:sz w:val="20"/>
                <w:szCs w:val="20"/>
              </w:rPr>
            </w:pPr>
          </w:p>
        </w:tc>
        <w:tc>
          <w:tcPr>
            <w:tcW w:w="2193" w:type="dxa"/>
          </w:tcPr>
          <w:p w14:paraId="44473CAC" w14:textId="77777777" w:rsidR="009C5C1D" w:rsidRPr="00A9330B" w:rsidRDefault="009C5C1D" w:rsidP="009C5C1D">
            <w:pPr>
              <w:spacing w:before="60" w:line="240" w:lineRule="auto"/>
              <w:jc w:val="both"/>
              <w:rPr>
                <w:color w:val="auto"/>
                <w:sz w:val="20"/>
                <w:szCs w:val="20"/>
              </w:rPr>
            </w:pPr>
            <w:r w:rsidRPr="00A9330B">
              <w:rPr>
                <w:color w:val="auto"/>
                <w:sz w:val="20"/>
                <w:szCs w:val="20"/>
              </w:rPr>
              <w:t>3.2.b.3. Revalorisation du foncier </w:t>
            </w:r>
            <w:r w:rsidRPr="00A9330B" w:rsidDel="00440E81">
              <w:rPr>
                <w:color w:val="auto"/>
                <w:sz w:val="20"/>
                <w:szCs w:val="20"/>
              </w:rPr>
              <w:t xml:space="preserve"> </w:t>
            </w:r>
          </w:p>
        </w:tc>
        <w:tc>
          <w:tcPr>
            <w:tcW w:w="2595" w:type="dxa"/>
          </w:tcPr>
          <w:p w14:paraId="7BEF6820" w14:textId="77777777" w:rsidR="009C5C1D" w:rsidRPr="00A9330B" w:rsidRDefault="009C5C1D" w:rsidP="009C5C1D">
            <w:pPr>
              <w:spacing w:before="60" w:line="240" w:lineRule="auto"/>
              <w:rPr>
                <w:color w:val="auto"/>
                <w:sz w:val="20"/>
                <w:szCs w:val="20"/>
              </w:rPr>
            </w:pPr>
          </w:p>
        </w:tc>
        <w:tc>
          <w:tcPr>
            <w:tcW w:w="1523" w:type="dxa"/>
            <w:vAlign w:val="center"/>
          </w:tcPr>
          <w:p w14:paraId="2A7A8511" w14:textId="77777777" w:rsidR="009C5C1D" w:rsidRPr="00A9330B" w:rsidRDefault="009C5C1D" w:rsidP="009C5C1D">
            <w:pPr>
              <w:spacing w:before="60" w:line="240" w:lineRule="auto"/>
              <w:rPr>
                <w:color w:val="auto"/>
                <w:sz w:val="20"/>
                <w:szCs w:val="20"/>
              </w:rPr>
            </w:pPr>
          </w:p>
        </w:tc>
        <w:tc>
          <w:tcPr>
            <w:tcW w:w="2641" w:type="dxa"/>
          </w:tcPr>
          <w:p w14:paraId="394FB751" w14:textId="77777777" w:rsidR="009C5C1D" w:rsidRPr="00A9330B" w:rsidRDefault="009C5C1D" w:rsidP="009C5C1D">
            <w:pPr>
              <w:spacing w:before="60" w:line="240" w:lineRule="auto"/>
              <w:rPr>
                <w:strike/>
                <w:color w:val="auto"/>
                <w:sz w:val="20"/>
                <w:szCs w:val="20"/>
              </w:rPr>
            </w:pPr>
          </w:p>
        </w:tc>
        <w:tc>
          <w:tcPr>
            <w:tcW w:w="2194" w:type="dxa"/>
          </w:tcPr>
          <w:p w14:paraId="4238659C" w14:textId="77777777" w:rsidR="009C5C1D" w:rsidRPr="00A9330B" w:rsidRDefault="009C5C1D" w:rsidP="009C5C1D">
            <w:pPr>
              <w:spacing w:before="60" w:line="240" w:lineRule="auto"/>
              <w:rPr>
                <w:color w:val="auto"/>
                <w:sz w:val="20"/>
                <w:szCs w:val="20"/>
              </w:rPr>
            </w:pPr>
          </w:p>
        </w:tc>
      </w:tr>
      <w:tr w:rsidR="009C5C1D" w:rsidRPr="00A9330B" w14:paraId="14080FBF" w14:textId="77777777" w:rsidTr="00350C9E">
        <w:tc>
          <w:tcPr>
            <w:tcW w:w="2425" w:type="dxa"/>
            <w:vMerge/>
          </w:tcPr>
          <w:p w14:paraId="51342F7D" w14:textId="77777777" w:rsidR="009C5C1D" w:rsidRPr="00A9330B" w:rsidRDefault="009C5C1D" w:rsidP="009C5C1D">
            <w:pPr>
              <w:spacing w:before="60" w:line="240" w:lineRule="auto"/>
              <w:rPr>
                <w:color w:val="auto"/>
                <w:sz w:val="20"/>
                <w:szCs w:val="20"/>
              </w:rPr>
            </w:pPr>
          </w:p>
        </w:tc>
        <w:tc>
          <w:tcPr>
            <w:tcW w:w="2193" w:type="dxa"/>
          </w:tcPr>
          <w:p w14:paraId="5A0EB270" w14:textId="77777777" w:rsidR="009C5C1D" w:rsidRPr="00A9330B" w:rsidRDefault="009C5C1D" w:rsidP="009C5C1D">
            <w:pPr>
              <w:spacing w:before="60" w:line="240" w:lineRule="auto"/>
              <w:jc w:val="both"/>
              <w:rPr>
                <w:strike/>
                <w:color w:val="auto"/>
                <w:sz w:val="20"/>
                <w:szCs w:val="20"/>
              </w:rPr>
            </w:pPr>
            <w:r w:rsidRPr="00A9330B">
              <w:rPr>
                <w:color w:val="auto"/>
                <w:sz w:val="20"/>
                <w:szCs w:val="20"/>
              </w:rPr>
              <w:t>3.2.b.4. Diminution du coût d’entretien des véhicules et des routes</w:t>
            </w:r>
          </w:p>
        </w:tc>
        <w:tc>
          <w:tcPr>
            <w:tcW w:w="2595" w:type="dxa"/>
          </w:tcPr>
          <w:p w14:paraId="00E05F56" w14:textId="77777777" w:rsidR="009C5C1D" w:rsidRPr="00A9330B" w:rsidRDefault="009C5C1D" w:rsidP="009C5C1D">
            <w:pPr>
              <w:spacing w:before="60" w:line="240" w:lineRule="auto"/>
              <w:rPr>
                <w:strike/>
                <w:color w:val="auto"/>
                <w:sz w:val="20"/>
                <w:szCs w:val="20"/>
              </w:rPr>
            </w:pPr>
          </w:p>
        </w:tc>
        <w:tc>
          <w:tcPr>
            <w:tcW w:w="1523" w:type="dxa"/>
            <w:vAlign w:val="center"/>
          </w:tcPr>
          <w:p w14:paraId="3AB62841" w14:textId="77777777" w:rsidR="009C5C1D" w:rsidRPr="00A9330B" w:rsidRDefault="009C5C1D" w:rsidP="009C5C1D">
            <w:pPr>
              <w:spacing w:before="60" w:line="240" w:lineRule="auto"/>
              <w:rPr>
                <w:strike/>
                <w:color w:val="auto"/>
                <w:sz w:val="20"/>
                <w:szCs w:val="20"/>
              </w:rPr>
            </w:pPr>
          </w:p>
        </w:tc>
        <w:tc>
          <w:tcPr>
            <w:tcW w:w="2641" w:type="dxa"/>
          </w:tcPr>
          <w:p w14:paraId="7933206D" w14:textId="77777777" w:rsidR="009C5C1D" w:rsidRPr="00A9330B" w:rsidRDefault="009C5C1D" w:rsidP="009C5C1D">
            <w:pPr>
              <w:spacing w:before="60" w:line="240" w:lineRule="auto"/>
              <w:rPr>
                <w:strike/>
                <w:color w:val="auto"/>
                <w:sz w:val="20"/>
                <w:szCs w:val="20"/>
              </w:rPr>
            </w:pPr>
          </w:p>
        </w:tc>
        <w:tc>
          <w:tcPr>
            <w:tcW w:w="2194" w:type="dxa"/>
          </w:tcPr>
          <w:p w14:paraId="396FE099" w14:textId="77777777" w:rsidR="009C5C1D" w:rsidRPr="00A9330B" w:rsidRDefault="009C5C1D" w:rsidP="009C5C1D">
            <w:pPr>
              <w:spacing w:before="60" w:line="240" w:lineRule="auto"/>
              <w:rPr>
                <w:color w:val="auto"/>
                <w:sz w:val="20"/>
                <w:szCs w:val="20"/>
              </w:rPr>
            </w:pPr>
          </w:p>
        </w:tc>
      </w:tr>
    </w:tbl>
    <w:p w14:paraId="74699174" w14:textId="77777777" w:rsidR="00401546" w:rsidRPr="00A9330B" w:rsidRDefault="00401546" w:rsidP="00401546">
      <w:pPr>
        <w:rPr>
          <w:lang w:eastAsia="fr-FR"/>
        </w:rPr>
      </w:pPr>
    </w:p>
    <w:p w14:paraId="7BDC2917" w14:textId="77777777" w:rsidR="00401546" w:rsidRPr="00A9330B" w:rsidRDefault="00401546" w:rsidP="00401546">
      <w:pPr>
        <w:keepNext/>
        <w:spacing w:after="120" w:line="240" w:lineRule="auto"/>
        <w:jc w:val="center"/>
        <w:rPr>
          <w:rFonts w:eastAsia="Times New Roman" w:cs="Arial"/>
          <w:b/>
          <w:color w:val="000000"/>
          <w:sz w:val="20"/>
          <w:szCs w:val="20"/>
          <w:lang w:eastAsia="fr-FR"/>
        </w:rPr>
      </w:pPr>
      <w:r w:rsidRPr="00A9330B">
        <w:rPr>
          <w:rFonts w:eastAsia="Times New Roman" w:cs="Arial"/>
          <w:b/>
          <w:color w:val="000000"/>
          <w:sz w:val="20"/>
          <w:szCs w:val="20"/>
          <w:lang w:eastAsia="fr-FR"/>
        </w:rPr>
        <w:t xml:space="preserve"> </w:t>
      </w:r>
    </w:p>
    <w:p w14:paraId="48215FE0" w14:textId="77777777" w:rsidR="00401546" w:rsidRPr="00A9330B" w:rsidRDefault="00401546" w:rsidP="00401546">
      <w:pPr>
        <w:rPr>
          <w:lang w:eastAsia="fr-FR"/>
        </w:rPr>
      </w:pPr>
    </w:p>
    <w:p w14:paraId="4367EC6A" w14:textId="77777777" w:rsidR="00401546" w:rsidRPr="00A9330B" w:rsidRDefault="00401546" w:rsidP="00401546">
      <w:pPr>
        <w:rPr>
          <w:lang w:eastAsia="fr-FR"/>
        </w:rPr>
        <w:sectPr w:rsidR="00401546" w:rsidRPr="00A9330B" w:rsidSect="00401546">
          <w:pgSz w:w="16838" w:h="11906" w:orient="landscape" w:code="9"/>
          <w:pgMar w:top="1418" w:right="1276" w:bottom="1418" w:left="1276" w:header="851" w:footer="510" w:gutter="0"/>
          <w:cols w:space="708"/>
          <w:vAlign w:val="both"/>
          <w:docGrid w:linePitch="360"/>
        </w:sectPr>
      </w:pPr>
    </w:p>
    <w:p w14:paraId="04E588C3" w14:textId="252F3802" w:rsidR="00401546" w:rsidRPr="00A9330B" w:rsidRDefault="00401546" w:rsidP="00401546">
      <w:pPr>
        <w:keepNext/>
        <w:keepLines/>
        <w:spacing w:line="240" w:lineRule="auto"/>
        <w:outlineLvl w:val="0"/>
        <w:rPr>
          <w:rFonts w:eastAsiaTheme="majorEastAsia" w:cstheme="majorBidi"/>
          <w:b/>
          <w:caps/>
          <w:color w:val="00B050"/>
          <w:sz w:val="30"/>
          <w:szCs w:val="30"/>
        </w:rPr>
      </w:pPr>
      <w:bookmarkStart w:id="1681" w:name="_Toc43697691"/>
      <w:bookmarkStart w:id="1682" w:name="_Toc52869695"/>
      <w:bookmarkStart w:id="1683" w:name="_Toc52869855"/>
      <w:r w:rsidRPr="00A9330B">
        <w:rPr>
          <w:rFonts w:eastAsiaTheme="majorEastAsia" w:cstheme="majorBidi"/>
          <w:b/>
          <w:caps/>
          <w:color w:val="00B050"/>
          <w:sz w:val="30"/>
          <w:szCs w:val="30"/>
        </w:rPr>
        <w:lastRenderedPageBreak/>
        <w:t>9. Gestion des risques et accidents</w:t>
      </w:r>
      <w:bookmarkEnd w:id="965"/>
      <w:bookmarkEnd w:id="1681"/>
      <w:bookmarkEnd w:id="1682"/>
      <w:bookmarkEnd w:id="1683"/>
    </w:p>
    <w:p w14:paraId="74BC43AE" w14:textId="77777777" w:rsidR="00401546" w:rsidRPr="00A9330B" w:rsidRDefault="00401546" w:rsidP="000F7BA7">
      <w:pPr>
        <w:pStyle w:val="Titre20"/>
      </w:pPr>
      <w:bookmarkStart w:id="1684" w:name="_Toc453943050"/>
      <w:bookmarkStart w:id="1685" w:name="_Toc463898219"/>
      <w:bookmarkStart w:id="1686" w:name="_Toc472330333"/>
      <w:bookmarkStart w:id="1687" w:name="_Toc523415142"/>
      <w:bookmarkStart w:id="1688" w:name="_Toc523417513"/>
      <w:bookmarkStart w:id="1689" w:name="_Toc523850146"/>
      <w:bookmarkStart w:id="1690" w:name="_Toc523857299"/>
      <w:bookmarkStart w:id="1691" w:name="_Toc524462536"/>
      <w:bookmarkStart w:id="1692" w:name="_Toc531434230"/>
      <w:bookmarkStart w:id="1693" w:name="_Toc535244608"/>
      <w:bookmarkStart w:id="1694" w:name="_Toc43697692"/>
      <w:bookmarkStart w:id="1695" w:name="_Toc52869696"/>
      <w:bookmarkStart w:id="1696" w:name="_Toc52869856"/>
      <w:r w:rsidRPr="00A9330B">
        <w:t>9.1. Rappel de la définition du RISQUE</w:t>
      </w:r>
      <w:bookmarkEnd w:id="1684"/>
      <w:bookmarkEnd w:id="1685"/>
      <w:bookmarkEnd w:id="1686"/>
      <w:bookmarkEnd w:id="1687"/>
      <w:bookmarkEnd w:id="1688"/>
      <w:bookmarkEnd w:id="1689"/>
      <w:bookmarkEnd w:id="1690"/>
      <w:bookmarkEnd w:id="1691"/>
      <w:bookmarkEnd w:id="1692"/>
      <w:bookmarkEnd w:id="1693"/>
      <w:bookmarkEnd w:id="1694"/>
      <w:bookmarkEnd w:id="1695"/>
      <w:bookmarkEnd w:id="1696"/>
    </w:p>
    <w:p w14:paraId="757D55CE" w14:textId="039548D7" w:rsidR="00401546" w:rsidRPr="00A9330B" w:rsidRDefault="00401546" w:rsidP="00401546">
      <w:pPr>
        <w:jc w:val="both"/>
      </w:pPr>
      <w:r w:rsidRPr="00A9330B">
        <w:t>L’analyse des risques consiste ici à 1) pointer les principales situations de danger liées</w:t>
      </w:r>
      <w:r w:rsidR="00F13F2B" w:rsidRPr="00A9330B">
        <w:t xml:space="preserve"> à la mise en œuvre du projet</w:t>
      </w:r>
      <w:r w:rsidRPr="00A9330B">
        <w:t>, 2) décrire les évènements non souhaités</w:t>
      </w:r>
      <w:r w:rsidR="00F13F2B" w:rsidRPr="00A9330B">
        <w:t>(ENS)</w:t>
      </w:r>
      <w:r w:rsidRPr="00A9330B">
        <w:t xml:space="preserve"> qui peuvent survenir ayant des conséquences sur la santé des individus et sur les populations concernées, 3) estimer la probabilité que l’ENS survienne et 4) son acceptabilité. </w:t>
      </w:r>
    </w:p>
    <w:p w14:paraId="6451B9BE" w14:textId="77777777" w:rsidR="00401546" w:rsidRPr="00A9330B" w:rsidRDefault="00401546" w:rsidP="00401546">
      <w:pPr>
        <w:jc w:val="both"/>
      </w:pPr>
      <w:r w:rsidRPr="00A9330B">
        <w:t>Cette analyse précède la proposition de mesures de prévention et de protection adaptées à chaque risque permettant d’atteindre un niveau de risque résiduel acceptable.</w:t>
      </w:r>
    </w:p>
    <w:p w14:paraId="2E4F9C3F" w14:textId="6DBA8C64" w:rsidR="00401546" w:rsidRPr="00A9330B" w:rsidRDefault="00401546" w:rsidP="00401546">
      <w:pPr>
        <w:jc w:val="both"/>
      </w:pPr>
      <w:r w:rsidRPr="00A9330B">
        <w:t>Les niveaux de probabilité sont choisis de « très improbable » à très probable » et les niveaux de gravité de « faible</w:t>
      </w:r>
      <w:r w:rsidR="005F67A3" w:rsidRPr="00A9330B">
        <w:t> »</w:t>
      </w:r>
      <w:r w:rsidRPr="00A9330B">
        <w:t xml:space="preserve"> à</w:t>
      </w:r>
      <w:r w:rsidR="005F67A3" w:rsidRPr="00A9330B">
        <w:t> « </w:t>
      </w:r>
      <w:r w:rsidRPr="00A9330B">
        <w:t xml:space="preserve">très grave », comme détaillé dans le tableau suivant. </w:t>
      </w:r>
    </w:p>
    <w:p w14:paraId="3F29D7C8" w14:textId="24070316" w:rsidR="00401546" w:rsidRPr="00A9330B" w:rsidRDefault="00401546" w:rsidP="00401546">
      <w:pPr>
        <w:keepNext/>
        <w:spacing w:after="120" w:line="240" w:lineRule="auto"/>
        <w:jc w:val="center"/>
        <w:rPr>
          <w:rFonts w:eastAsia="Times New Roman" w:cs="Arial"/>
          <w:b/>
          <w:color w:val="000000"/>
          <w:sz w:val="20"/>
          <w:szCs w:val="20"/>
          <w:lang w:eastAsia="fr-FR"/>
        </w:rPr>
      </w:pPr>
      <w:bookmarkStart w:id="1697" w:name="_Toc43696253"/>
      <w:bookmarkStart w:id="1698" w:name="_Toc52873766"/>
      <w:r w:rsidRPr="00A9330B">
        <w:rPr>
          <w:rFonts w:eastAsia="Times New Roman" w:cs="Arial"/>
          <w:b/>
          <w:color w:val="000000"/>
          <w:sz w:val="20"/>
          <w:szCs w:val="20"/>
          <w:lang w:eastAsia="fr-FR"/>
        </w:rPr>
        <w:t xml:space="preserve">Tableau </w:t>
      </w:r>
      <w:r w:rsidRPr="00A9330B">
        <w:rPr>
          <w:rFonts w:eastAsia="Times New Roman" w:cs="Arial"/>
          <w:b/>
          <w:color w:val="000000"/>
          <w:sz w:val="20"/>
          <w:szCs w:val="20"/>
          <w:lang w:eastAsia="fr-FR"/>
        </w:rPr>
        <w:fldChar w:fldCharType="begin"/>
      </w:r>
      <w:r w:rsidRPr="00A9330B">
        <w:rPr>
          <w:rFonts w:eastAsia="Times New Roman" w:cs="Arial"/>
          <w:b/>
          <w:color w:val="000000"/>
          <w:sz w:val="20"/>
          <w:szCs w:val="20"/>
          <w:lang w:eastAsia="fr-FR"/>
        </w:rPr>
        <w:instrText xml:space="preserve"> SEQ Tableau \* ARABIC </w:instrText>
      </w:r>
      <w:r w:rsidRPr="00A9330B">
        <w:rPr>
          <w:rFonts w:eastAsia="Times New Roman" w:cs="Arial"/>
          <w:b/>
          <w:color w:val="000000"/>
          <w:sz w:val="20"/>
          <w:szCs w:val="20"/>
          <w:lang w:eastAsia="fr-FR"/>
        </w:rPr>
        <w:fldChar w:fldCharType="separate"/>
      </w:r>
      <w:r w:rsidR="009C5C1D" w:rsidRPr="00A9330B">
        <w:rPr>
          <w:rFonts w:eastAsia="Times New Roman" w:cs="Arial"/>
          <w:b/>
          <w:noProof/>
          <w:color w:val="000000"/>
          <w:sz w:val="20"/>
          <w:szCs w:val="20"/>
          <w:lang w:eastAsia="fr-FR"/>
        </w:rPr>
        <w:t>42</w:t>
      </w:r>
      <w:r w:rsidRPr="00A9330B">
        <w:rPr>
          <w:rFonts w:eastAsia="Times New Roman" w:cs="Arial"/>
          <w:b/>
          <w:color w:val="000000"/>
          <w:sz w:val="20"/>
          <w:szCs w:val="20"/>
          <w:lang w:eastAsia="fr-FR"/>
        </w:rPr>
        <w:fldChar w:fldCharType="end"/>
      </w:r>
      <w:r w:rsidRPr="00A9330B">
        <w:rPr>
          <w:rFonts w:eastAsia="Times New Roman" w:cs="Arial"/>
          <w:b/>
          <w:color w:val="auto"/>
          <w:sz w:val="20"/>
          <w:szCs w:val="20"/>
          <w:lang w:eastAsia="fr-FR"/>
        </w:rPr>
        <w:t xml:space="preserve"> : </w:t>
      </w:r>
      <w:r w:rsidRPr="00A9330B">
        <w:rPr>
          <w:rFonts w:eastAsia="Times New Roman" w:cs="Arial"/>
          <w:b/>
          <w:color w:val="000000"/>
          <w:sz w:val="20"/>
          <w:szCs w:val="20"/>
          <w:lang w:eastAsia="fr-FR"/>
        </w:rPr>
        <w:t>Grille d’évaluation des risques</w:t>
      </w:r>
      <w:bookmarkEnd w:id="1697"/>
      <w:bookmarkEnd w:id="1698"/>
    </w:p>
    <w:p w14:paraId="4347E4A7" w14:textId="77777777" w:rsidR="00401546" w:rsidRPr="00A9330B" w:rsidRDefault="00401546" w:rsidP="00401546">
      <w:pPr>
        <w:jc w:val="both"/>
        <w:rPr>
          <w:rFonts w:eastAsia="Calibri" w:cs="Arial"/>
          <w:color w:val="auto"/>
          <w:sz w:val="24"/>
          <w:szCs w:val="24"/>
        </w:rPr>
      </w:pPr>
      <w:r w:rsidRPr="00A9330B">
        <w:rPr>
          <w:noProof/>
          <w:highlight w:val="yellow"/>
          <w:lang w:eastAsia="fr-FR"/>
        </w:rPr>
        <w:drawing>
          <wp:inline distT="0" distB="0" distL="0" distR="0" wp14:anchorId="6CAAE805" wp14:editId="7393FC07">
            <wp:extent cx="5380559" cy="1123950"/>
            <wp:effectExtent l="0" t="0" r="0" b="0"/>
            <wp:docPr id="90" name="Imag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2" cstate="email">
                      <a:extLst>
                        <a:ext uri="{28A0092B-C50C-407E-A947-70E740481C1C}">
                          <a14:useLocalDpi xmlns:a14="http://schemas.microsoft.com/office/drawing/2010/main"/>
                        </a:ext>
                      </a:extLst>
                    </a:blip>
                    <a:srcRect/>
                    <a:stretch>
                      <a:fillRect/>
                    </a:stretch>
                  </pic:blipFill>
                  <pic:spPr bwMode="auto">
                    <a:xfrm>
                      <a:off x="0" y="0"/>
                      <a:ext cx="5402482" cy="1128529"/>
                    </a:xfrm>
                    <a:prstGeom prst="rect">
                      <a:avLst/>
                    </a:prstGeom>
                    <a:noFill/>
                    <a:ln>
                      <a:noFill/>
                    </a:ln>
                  </pic:spPr>
                </pic:pic>
              </a:graphicData>
            </a:graphic>
          </wp:inline>
        </w:drawing>
      </w:r>
    </w:p>
    <w:p w14:paraId="381BC212" w14:textId="77777777" w:rsidR="00401546" w:rsidRPr="00A9330B" w:rsidRDefault="00401546" w:rsidP="00401546">
      <w:pPr>
        <w:rPr>
          <w:rFonts w:cs="Arial"/>
        </w:rPr>
      </w:pPr>
      <w:r w:rsidRPr="00A9330B">
        <w:rPr>
          <w:rFonts w:cs="Arial"/>
        </w:rPr>
        <w:t>Le croisement de la probabilité et de la gravité illustrée par la matrice suivante donne le niveau d’acceptabilité du risque et par conséquent le niveau de priorité pour la mise en place de mesures pour réduire la mise en danger à un niveau acceptable. Les risques de priorité 1 et 2 sont pris en compte.</w:t>
      </w:r>
    </w:p>
    <w:p w14:paraId="1BF0F97E" w14:textId="5AA06A5B" w:rsidR="00401546" w:rsidRPr="00A9330B" w:rsidRDefault="00401546" w:rsidP="007025F6">
      <w:pPr>
        <w:spacing w:line="240" w:lineRule="auto"/>
        <w:rPr>
          <w:rFonts w:eastAsia="Calibri" w:cs="Arial"/>
          <w:b/>
          <w:sz w:val="20"/>
          <w:szCs w:val="20"/>
          <w:lang w:eastAsia="de-DE"/>
        </w:rPr>
      </w:pPr>
      <w:bookmarkStart w:id="1699" w:name="_Toc533058611"/>
      <w:bookmarkStart w:id="1700" w:name="_Toc535237424"/>
      <w:bookmarkStart w:id="1701" w:name="_Toc43696254"/>
      <w:bookmarkStart w:id="1702" w:name="_Toc52873767"/>
      <w:r w:rsidRPr="00A9330B">
        <w:rPr>
          <w:b/>
          <w:sz w:val="20"/>
          <w:szCs w:val="20"/>
        </w:rPr>
        <w:t xml:space="preserve">Tableau </w:t>
      </w:r>
      <w:r w:rsidRPr="00A9330B">
        <w:rPr>
          <w:b/>
          <w:sz w:val="20"/>
          <w:szCs w:val="20"/>
        </w:rPr>
        <w:fldChar w:fldCharType="begin"/>
      </w:r>
      <w:r w:rsidRPr="00A9330B">
        <w:rPr>
          <w:b/>
          <w:sz w:val="20"/>
          <w:szCs w:val="20"/>
        </w:rPr>
        <w:instrText xml:space="preserve"> SEQ Tableau \* ARABIC </w:instrText>
      </w:r>
      <w:r w:rsidRPr="00A9330B">
        <w:rPr>
          <w:b/>
          <w:sz w:val="20"/>
          <w:szCs w:val="20"/>
        </w:rPr>
        <w:fldChar w:fldCharType="separate"/>
      </w:r>
      <w:r w:rsidR="00417D31" w:rsidRPr="00A9330B">
        <w:rPr>
          <w:b/>
          <w:noProof/>
          <w:sz w:val="20"/>
          <w:szCs w:val="20"/>
        </w:rPr>
        <w:t>43</w:t>
      </w:r>
      <w:r w:rsidRPr="00A9330B">
        <w:rPr>
          <w:b/>
          <w:sz w:val="20"/>
          <w:szCs w:val="20"/>
        </w:rPr>
        <w:fldChar w:fldCharType="end"/>
      </w:r>
      <w:r w:rsidRPr="00A9330B">
        <w:rPr>
          <w:rFonts w:eastAsia="Calibri" w:cs="Arial"/>
          <w:b/>
          <w:sz w:val="20"/>
          <w:szCs w:val="20"/>
          <w:lang w:eastAsia="de-DE"/>
        </w:rPr>
        <w:t xml:space="preserve"> : Matrice d’évaluation des risques</w:t>
      </w:r>
      <w:bookmarkEnd w:id="1699"/>
      <w:bookmarkEnd w:id="1700"/>
      <w:bookmarkEnd w:id="1701"/>
      <w:bookmarkEnd w:id="1702"/>
    </w:p>
    <w:p w14:paraId="06A01F28" w14:textId="77777777" w:rsidR="00401546" w:rsidRPr="00A9330B" w:rsidRDefault="00401546" w:rsidP="007025F6">
      <w:pPr>
        <w:spacing w:line="240" w:lineRule="auto"/>
        <w:rPr>
          <w:rFonts w:asciiTheme="minorHAnsi" w:hAnsiTheme="minorHAnsi"/>
          <w:color w:val="auto"/>
          <w:sz w:val="20"/>
          <w:szCs w:val="20"/>
        </w:rPr>
      </w:pPr>
      <w:r w:rsidRPr="00A9330B">
        <w:rPr>
          <w:rFonts w:asciiTheme="minorHAnsi" w:hAnsiTheme="minorHAnsi" w:cs="Arial"/>
          <w:noProof/>
          <w:color w:val="auto"/>
          <w:sz w:val="20"/>
          <w:szCs w:val="20"/>
          <w:highlight w:val="yellow"/>
          <w:lang w:eastAsia="fr-FR"/>
        </w:rPr>
        <w:drawing>
          <wp:inline distT="0" distB="0" distL="0" distR="0" wp14:anchorId="0F388E42" wp14:editId="07B63B3E">
            <wp:extent cx="3209925" cy="1228725"/>
            <wp:effectExtent l="0" t="0" r="9525" b="9525"/>
            <wp:docPr id="113" name="Imag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3" cstate="email">
                      <a:extLst>
                        <a:ext uri="{28A0092B-C50C-407E-A947-70E740481C1C}">
                          <a14:useLocalDpi xmlns:a14="http://schemas.microsoft.com/office/drawing/2010/main"/>
                        </a:ext>
                      </a:extLst>
                    </a:blip>
                    <a:srcRect/>
                    <a:stretch>
                      <a:fillRect/>
                    </a:stretch>
                  </pic:blipFill>
                  <pic:spPr bwMode="auto">
                    <a:xfrm>
                      <a:off x="0" y="0"/>
                      <a:ext cx="3209925" cy="1228725"/>
                    </a:xfrm>
                    <a:prstGeom prst="rect">
                      <a:avLst/>
                    </a:prstGeom>
                    <a:noFill/>
                    <a:ln>
                      <a:noFill/>
                    </a:ln>
                  </pic:spPr>
                </pic:pic>
              </a:graphicData>
            </a:graphic>
          </wp:inline>
        </w:drawing>
      </w:r>
    </w:p>
    <w:p w14:paraId="47D806D7" w14:textId="1500A61D" w:rsidR="00401546" w:rsidRPr="00A9330B" w:rsidRDefault="00401546" w:rsidP="007025F6">
      <w:pPr>
        <w:rPr>
          <w:rFonts w:cs="Arial"/>
          <w:b/>
          <w:sz w:val="20"/>
          <w:szCs w:val="20"/>
        </w:rPr>
      </w:pPr>
      <w:bookmarkStart w:id="1703" w:name="_Toc529249273"/>
      <w:bookmarkStart w:id="1704" w:name="_Toc533058612"/>
      <w:bookmarkStart w:id="1705" w:name="_Toc535237425"/>
      <w:bookmarkStart w:id="1706" w:name="_Toc43696255"/>
      <w:bookmarkStart w:id="1707" w:name="_Toc52873768"/>
      <w:r w:rsidRPr="00A9330B">
        <w:rPr>
          <w:b/>
          <w:sz w:val="20"/>
          <w:szCs w:val="20"/>
        </w:rPr>
        <w:t xml:space="preserve">Tableau </w:t>
      </w:r>
      <w:r w:rsidRPr="00A9330B">
        <w:rPr>
          <w:b/>
          <w:sz w:val="20"/>
          <w:szCs w:val="20"/>
        </w:rPr>
        <w:fldChar w:fldCharType="begin"/>
      </w:r>
      <w:r w:rsidRPr="00A9330B">
        <w:rPr>
          <w:b/>
          <w:sz w:val="20"/>
          <w:szCs w:val="20"/>
        </w:rPr>
        <w:instrText xml:space="preserve"> SEQ Tableau \* ARABIC </w:instrText>
      </w:r>
      <w:r w:rsidRPr="00A9330B">
        <w:rPr>
          <w:b/>
          <w:sz w:val="20"/>
          <w:szCs w:val="20"/>
        </w:rPr>
        <w:fldChar w:fldCharType="separate"/>
      </w:r>
      <w:r w:rsidR="00417D31" w:rsidRPr="00A9330B">
        <w:rPr>
          <w:b/>
          <w:noProof/>
          <w:sz w:val="20"/>
          <w:szCs w:val="20"/>
        </w:rPr>
        <w:t>44</w:t>
      </w:r>
      <w:r w:rsidRPr="00A9330B">
        <w:rPr>
          <w:b/>
          <w:sz w:val="20"/>
          <w:szCs w:val="20"/>
        </w:rPr>
        <w:fldChar w:fldCharType="end"/>
      </w:r>
      <w:r w:rsidRPr="00A9330B">
        <w:rPr>
          <w:b/>
          <w:sz w:val="20"/>
          <w:szCs w:val="20"/>
        </w:rPr>
        <w:t xml:space="preserve"> </w:t>
      </w:r>
      <w:r w:rsidRPr="00A9330B">
        <w:rPr>
          <w:rFonts w:cs="Arial"/>
          <w:b/>
          <w:sz w:val="20"/>
          <w:szCs w:val="20"/>
        </w:rPr>
        <w:t xml:space="preserve">: Grille d’évaluation </w:t>
      </w:r>
      <w:bookmarkEnd w:id="1703"/>
      <w:bookmarkEnd w:id="1704"/>
      <w:bookmarkEnd w:id="1705"/>
      <w:bookmarkEnd w:id="1706"/>
      <w:r w:rsidR="00350C9E" w:rsidRPr="00A9330B">
        <w:rPr>
          <w:rFonts w:cs="Arial"/>
          <w:b/>
          <w:sz w:val="20"/>
          <w:szCs w:val="20"/>
        </w:rPr>
        <w:t>des priorités</w:t>
      </w:r>
      <w:bookmarkEnd w:id="1707"/>
    </w:p>
    <w:p w14:paraId="458B409E" w14:textId="77777777" w:rsidR="00401546" w:rsidRPr="00A9330B" w:rsidRDefault="00401546" w:rsidP="00401546">
      <w:pPr>
        <w:rPr>
          <w:rFonts w:cs="Arial"/>
          <w:highlight w:val="yellow"/>
        </w:rPr>
      </w:pPr>
      <w:r w:rsidRPr="00A9330B">
        <w:rPr>
          <w:noProof/>
          <w:highlight w:val="yellow"/>
          <w:lang w:eastAsia="fr-FR"/>
        </w:rPr>
        <w:drawing>
          <wp:inline distT="0" distB="0" distL="0" distR="0" wp14:anchorId="750B7503" wp14:editId="5394FCD5">
            <wp:extent cx="2257425" cy="1266825"/>
            <wp:effectExtent l="0" t="0" r="9525" b="9525"/>
            <wp:docPr id="114" name="Imag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4" cstate="email">
                      <a:extLst>
                        <a:ext uri="{28A0092B-C50C-407E-A947-70E740481C1C}">
                          <a14:useLocalDpi xmlns:a14="http://schemas.microsoft.com/office/drawing/2010/main"/>
                        </a:ext>
                      </a:extLst>
                    </a:blip>
                    <a:srcRect/>
                    <a:stretch>
                      <a:fillRect/>
                    </a:stretch>
                  </pic:blipFill>
                  <pic:spPr bwMode="auto">
                    <a:xfrm>
                      <a:off x="0" y="0"/>
                      <a:ext cx="2257425" cy="1266825"/>
                    </a:xfrm>
                    <a:prstGeom prst="rect">
                      <a:avLst/>
                    </a:prstGeom>
                    <a:noFill/>
                    <a:ln>
                      <a:noFill/>
                    </a:ln>
                  </pic:spPr>
                </pic:pic>
              </a:graphicData>
            </a:graphic>
          </wp:inline>
        </w:drawing>
      </w:r>
    </w:p>
    <w:p w14:paraId="0A3AD76D" w14:textId="77777777" w:rsidR="00401546" w:rsidRPr="00A9330B" w:rsidRDefault="00401546" w:rsidP="000F7BA7">
      <w:pPr>
        <w:pStyle w:val="Titre20"/>
      </w:pPr>
      <w:bookmarkStart w:id="1708" w:name="_Toc531434231"/>
      <w:bookmarkStart w:id="1709" w:name="_Toc535244609"/>
      <w:bookmarkStart w:id="1710" w:name="_Toc43697693"/>
      <w:bookmarkStart w:id="1711" w:name="_Toc453943051"/>
      <w:bookmarkStart w:id="1712" w:name="_Toc463898220"/>
      <w:bookmarkStart w:id="1713" w:name="_Toc472330334"/>
      <w:bookmarkStart w:id="1714" w:name="_Toc523415143"/>
      <w:bookmarkStart w:id="1715" w:name="_Toc523417514"/>
      <w:bookmarkStart w:id="1716" w:name="_Toc523850147"/>
      <w:bookmarkStart w:id="1717" w:name="_Toc523857300"/>
      <w:bookmarkStart w:id="1718" w:name="_Toc524462537"/>
      <w:bookmarkStart w:id="1719" w:name="_Toc52869697"/>
      <w:bookmarkStart w:id="1720" w:name="_Toc52869857"/>
      <w:r w:rsidRPr="00A9330B">
        <w:t>9.2. Risques vis-à-vis des personnes pour chaque type d’activités</w:t>
      </w:r>
      <w:bookmarkEnd w:id="1708"/>
      <w:bookmarkEnd w:id="1709"/>
      <w:bookmarkEnd w:id="1710"/>
      <w:bookmarkEnd w:id="1719"/>
      <w:bookmarkEnd w:id="1720"/>
      <w:r w:rsidRPr="00A9330B">
        <w:t xml:space="preserve"> </w:t>
      </w:r>
      <w:bookmarkEnd w:id="1711"/>
      <w:bookmarkEnd w:id="1712"/>
      <w:bookmarkEnd w:id="1713"/>
      <w:bookmarkEnd w:id="1714"/>
      <w:bookmarkEnd w:id="1715"/>
      <w:bookmarkEnd w:id="1716"/>
      <w:bookmarkEnd w:id="1717"/>
      <w:bookmarkEnd w:id="1718"/>
      <w:r w:rsidRPr="00A9330B">
        <w:t xml:space="preserve"> </w:t>
      </w:r>
    </w:p>
    <w:p w14:paraId="0E6724E7" w14:textId="61E8217E" w:rsidR="00401546" w:rsidRPr="00A9330B" w:rsidRDefault="00401546" w:rsidP="00401546">
      <w:pPr>
        <w:jc w:val="both"/>
        <w:rPr>
          <w:rFonts w:cs="Arial"/>
        </w:rPr>
      </w:pPr>
      <w:r w:rsidRPr="00A9330B">
        <w:rPr>
          <w:rFonts w:cs="Arial"/>
        </w:rPr>
        <w:t>Les activités concernées par le présent projet sont : la construction des collecteurs pour le  drainage</w:t>
      </w:r>
      <w:r w:rsidR="00F13F2B" w:rsidRPr="00A9330B">
        <w:rPr>
          <w:rFonts w:cs="Arial"/>
        </w:rPr>
        <w:t xml:space="preserve"> des </w:t>
      </w:r>
      <w:r w:rsidRPr="00A9330B">
        <w:rPr>
          <w:rFonts w:cs="Arial"/>
        </w:rPr>
        <w:t xml:space="preserve"> bassins de rétention d’eau, l’aménagement des rues de services adjacentes et celles dont l’aménagement contribuera à l’amélioration</w:t>
      </w:r>
      <w:r w:rsidR="00F13F2B" w:rsidRPr="00A9330B">
        <w:rPr>
          <w:rFonts w:cs="Arial"/>
        </w:rPr>
        <w:t xml:space="preserve"> du cadre</w:t>
      </w:r>
      <w:r w:rsidRPr="00A9330B">
        <w:rPr>
          <w:rFonts w:cs="Arial"/>
        </w:rPr>
        <w:t xml:space="preserve"> de la ville. Il sera considéré les activités clés des phases de construction et d’exploitation.</w:t>
      </w:r>
    </w:p>
    <w:p w14:paraId="25FF5D27" w14:textId="4783757A" w:rsidR="00401546" w:rsidRPr="00A9330B" w:rsidRDefault="00C07BE5" w:rsidP="00401546">
      <w:pPr>
        <w:rPr>
          <w:rFonts w:eastAsiaTheme="majorEastAsia" w:cs="Arial"/>
          <w:i/>
          <w:iCs/>
          <w:u w:val="single"/>
        </w:rPr>
      </w:pPr>
      <w:r w:rsidRPr="00A9330B">
        <w:rPr>
          <w:rFonts w:eastAsiaTheme="majorEastAsia" w:cs="Arial"/>
          <w:i/>
          <w:iCs/>
          <w:u w:val="single"/>
        </w:rPr>
        <w:lastRenderedPageBreak/>
        <w:t>Phase de construction</w:t>
      </w:r>
    </w:p>
    <w:p w14:paraId="50A57397" w14:textId="77777777" w:rsidR="00401546" w:rsidRPr="00A9330B" w:rsidRDefault="00401546" w:rsidP="00401546">
      <w:pPr>
        <w:rPr>
          <w:rFonts w:eastAsia="Times New Roman" w:cs="Arial"/>
          <w:lang w:eastAsia="de-DE"/>
        </w:rPr>
      </w:pPr>
      <w:r w:rsidRPr="00A9330B">
        <w:rPr>
          <w:rFonts w:eastAsia="Times New Roman" w:cs="Arial"/>
          <w:lang w:eastAsia="de-DE"/>
        </w:rPr>
        <w:t>Les activités clés prévues sont :</w:t>
      </w:r>
    </w:p>
    <w:p w14:paraId="76503A33" w14:textId="77777777" w:rsidR="00401546" w:rsidRPr="00A9330B" w:rsidRDefault="00401546" w:rsidP="00BD2F72">
      <w:pPr>
        <w:numPr>
          <w:ilvl w:val="0"/>
          <w:numId w:val="61"/>
        </w:numPr>
        <w:overflowPunct w:val="0"/>
        <w:autoSpaceDE w:val="0"/>
        <w:autoSpaceDN w:val="0"/>
        <w:adjustRightInd w:val="0"/>
        <w:spacing w:line="288" w:lineRule="auto"/>
        <w:contextualSpacing/>
        <w:rPr>
          <w:rFonts w:eastAsia="Times New Roman" w:cs="Arial"/>
          <w:szCs w:val="20"/>
          <w:lang w:eastAsia="de-DE"/>
        </w:rPr>
      </w:pPr>
      <w:r w:rsidRPr="00A9330B">
        <w:rPr>
          <w:rFonts w:eastAsia="Times New Roman" w:cs="Arial"/>
          <w:szCs w:val="20"/>
          <w:lang w:eastAsia="de-DE"/>
        </w:rPr>
        <w:t>terrassement, décapage,  travaux de fouilles et mis en dépôt ;</w:t>
      </w:r>
    </w:p>
    <w:p w14:paraId="7ED5A844" w14:textId="77777777" w:rsidR="00401546" w:rsidRPr="00A9330B" w:rsidRDefault="00401546" w:rsidP="00BD2F72">
      <w:pPr>
        <w:numPr>
          <w:ilvl w:val="0"/>
          <w:numId w:val="61"/>
        </w:numPr>
        <w:overflowPunct w:val="0"/>
        <w:autoSpaceDE w:val="0"/>
        <w:autoSpaceDN w:val="0"/>
        <w:adjustRightInd w:val="0"/>
        <w:spacing w:line="288" w:lineRule="auto"/>
        <w:contextualSpacing/>
        <w:rPr>
          <w:rFonts w:eastAsia="Times New Roman" w:cs="Arial"/>
          <w:szCs w:val="20"/>
          <w:lang w:eastAsia="de-DE"/>
        </w:rPr>
      </w:pPr>
      <w:r w:rsidRPr="00A9330B">
        <w:rPr>
          <w:rFonts w:eastAsia="Times New Roman" w:cs="Arial"/>
          <w:szCs w:val="20"/>
          <w:lang w:eastAsia="de-DE"/>
        </w:rPr>
        <w:t>purge importante et mise en dépôt des produits, transport et mise en remblai des terres ;</w:t>
      </w:r>
    </w:p>
    <w:p w14:paraId="65A52EB7" w14:textId="77777777" w:rsidR="00401546" w:rsidRPr="00A9330B" w:rsidRDefault="00401546" w:rsidP="00BD2F72">
      <w:pPr>
        <w:numPr>
          <w:ilvl w:val="0"/>
          <w:numId w:val="61"/>
        </w:numPr>
        <w:overflowPunct w:val="0"/>
        <w:autoSpaceDE w:val="0"/>
        <w:autoSpaceDN w:val="0"/>
        <w:adjustRightInd w:val="0"/>
        <w:spacing w:line="288" w:lineRule="auto"/>
        <w:contextualSpacing/>
        <w:rPr>
          <w:rFonts w:eastAsia="Times New Roman" w:cs="Arial"/>
          <w:szCs w:val="20"/>
          <w:lang w:eastAsia="de-DE"/>
        </w:rPr>
      </w:pPr>
      <w:r w:rsidRPr="00A9330B">
        <w:rPr>
          <w:rFonts w:eastAsia="Times New Roman" w:cs="Arial"/>
          <w:szCs w:val="20"/>
          <w:lang w:eastAsia="de-DE"/>
        </w:rPr>
        <w:t>dépose de pavé, démolition d’ouvrage d’assainissement existant ;</w:t>
      </w:r>
    </w:p>
    <w:p w14:paraId="0CFDFF9F" w14:textId="77777777" w:rsidR="00401546" w:rsidRPr="00A9330B" w:rsidRDefault="00401546" w:rsidP="00BD2F72">
      <w:pPr>
        <w:numPr>
          <w:ilvl w:val="0"/>
          <w:numId w:val="61"/>
        </w:numPr>
        <w:overflowPunct w:val="0"/>
        <w:autoSpaceDE w:val="0"/>
        <w:autoSpaceDN w:val="0"/>
        <w:adjustRightInd w:val="0"/>
        <w:spacing w:line="288" w:lineRule="auto"/>
        <w:contextualSpacing/>
        <w:rPr>
          <w:rFonts w:eastAsia="Times New Roman" w:cs="Arial"/>
          <w:szCs w:val="20"/>
          <w:lang w:eastAsia="de-DE"/>
        </w:rPr>
      </w:pPr>
      <w:r w:rsidRPr="00A9330B">
        <w:rPr>
          <w:rFonts w:eastAsia="Times New Roman" w:cs="Arial"/>
          <w:szCs w:val="20"/>
          <w:lang w:eastAsia="de-DE"/>
        </w:rPr>
        <w:t>construction des ouvrages d’assainissement (gros œuvre et mise en place de remblai compacté) ;</w:t>
      </w:r>
    </w:p>
    <w:p w14:paraId="074421C6" w14:textId="37E31D02" w:rsidR="00401546" w:rsidRPr="00A9330B" w:rsidRDefault="00401546" w:rsidP="00BD2F72">
      <w:pPr>
        <w:numPr>
          <w:ilvl w:val="0"/>
          <w:numId w:val="61"/>
        </w:numPr>
        <w:overflowPunct w:val="0"/>
        <w:autoSpaceDE w:val="0"/>
        <w:autoSpaceDN w:val="0"/>
        <w:adjustRightInd w:val="0"/>
        <w:spacing w:line="288" w:lineRule="auto"/>
        <w:contextualSpacing/>
        <w:rPr>
          <w:rFonts w:eastAsia="Times New Roman" w:cs="Arial"/>
          <w:szCs w:val="20"/>
          <w:lang w:eastAsia="de-DE"/>
        </w:rPr>
      </w:pPr>
      <w:r w:rsidRPr="00A9330B">
        <w:rPr>
          <w:rFonts w:eastAsia="Times New Roman" w:cs="Arial"/>
          <w:szCs w:val="20"/>
          <w:lang w:eastAsia="de-DE"/>
        </w:rPr>
        <w:t xml:space="preserve">protection des berges avec </w:t>
      </w:r>
      <w:r w:rsidR="000A5D58" w:rsidRPr="00A9330B">
        <w:rPr>
          <w:rFonts w:eastAsia="Times New Roman" w:cs="Arial"/>
          <w:szCs w:val="20"/>
          <w:lang w:eastAsia="de-DE"/>
        </w:rPr>
        <w:t>perrés maçonnés</w:t>
      </w:r>
      <w:r w:rsidRPr="00A9330B">
        <w:rPr>
          <w:rFonts w:eastAsia="Times New Roman" w:cs="Arial"/>
          <w:szCs w:val="20"/>
          <w:lang w:eastAsia="de-DE"/>
        </w:rPr>
        <w:t>;</w:t>
      </w:r>
    </w:p>
    <w:p w14:paraId="24B861C6" w14:textId="77777777" w:rsidR="00C50418" w:rsidRPr="00A9330B" w:rsidRDefault="00401546" w:rsidP="00BD2F72">
      <w:pPr>
        <w:numPr>
          <w:ilvl w:val="0"/>
          <w:numId w:val="61"/>
        </w:numPr>
        <w:overflowPunct w:val="0"/>
        <w:autoSpaceDE w:val="0"/>
        <w:autoSpaceDN w:val="0"/>
        <w:adjustRightInd w:val="0"/>
        <w:spacing w:line="288" w:lineRule="auto"/>
        <w:contextualSpacing/>
        <w:rPr>
          <w:rFonts w:eastAsia="Times New Roman" w:cs="Arial"/>
          <w:szCs w:val="20"/>
          <w:lang w:eastAsia="de-DE"/>
        </w:rPr>
      </w:pPr>
      <w:r w:rsidRPr="00A9330B">
        <w:rPr>
          <w:rFonts w:eastAsia="Times New Roman" w:cs="Arial"/>
          <w:szCs w:val="20"/>
          <w:lang w:eastAsia="de-DE"/>
        </w:rPr>
        <w:t>terrassement pour l’aménagement de la voirie  (pose des pavés et aménagement jusqu’aux riverains)</w:t>
      </w:r>
      <w:r w:rsidR="00C50418" w:rsidRPr="00A9330B">
        <w:rPr>
          <w:rFonts w:eastAsia="Times New Roman" w:cs="Arial"/>
          <w:szCs w:val="20"/>
          <w:lang w:eastAsia="de-DE"/>
        </w:rPr>
        <w:t> ;</w:t>
      </w:r>
    </w:p>
    <w:p w14:paraId="5BD06672" w14:textId="2727AFB2" w:rsidR="00401546" w:rsidRPr="00A9330B" w:rsidRDefault="00C50418" w:rsidP="00BD2F72">
      <w:pPr>
        <w:numPr>
          <w:ilvl w:val="0"/>
          <w:numId w:val="61"/>
        </w:numPr>
        <w:overflowPunct w:val="0"/>
        <w:autoSpaceDE w:val="0"/>
        <w:autoSpaceDN w:val="0"/>
        <w:adjustRightInd w:val="0"/>
        <w:spacing w:line="288" w:lineRule="auto"/>
        <w:contextualSpacing/>
        <w:rPr>
          <w:rFonts w:eastAsia="Times New Roman" w:cs="Arial"/>
          <w:szCs w:val="20"/>
          <w:lang w:eastAsia="de-DE"/>
        </w:rPr>
      </w:pPr>
      <w:r w:rsidRPr="00A9330B">
        <w:rPr>
          <w:rFonts w:eastAsia="Times New Roman" w:cs="Arial"/>
          <w:szCs w:val="20"/>
          <w:lang w:eastAsia="de-DE"/>
        </w:rPr>
        <w:t>revêtement (pose des pavés et aménagement jusqu’aux riverains</w:t>
      </w:r>
      <w:r w:rsidR="00401546" w:rsidRPr="00A9330B">
        <w:rPr>
          <w:rFonts w:eastAsia="Times New Roman" w:cs="Arial"/>
          <w:szCs w:val="20"/>
          <w:lang w:eastAsia="de-DE"/>
        </w:rPr>
        <w:t>.</w:t>
      </w:r>
    </w:p>
    <w:p w14:paraId="64F7021F" w14:textId="77777777" w:rsidR="00401546" w:rsidRPr="00A9330B" w:rsidRDefault="00401546" w:rsidP="00401546">
      <w:r w:rsidRPr="00A9330B">
        <w:t xml:space="preserve">Phase d’exploitation  </w:t>
      </w:r>
    </w:p>
    <w:p w14:paraId="73194FE0" w14:textId="77777777" w:rsidR="00401546" w:rsidRPr="00A9330B" w:rsidRDefault="00401546" w:rsidP="000F7BA7">
      <w:pPr>
        <w:jc w:val="both"/>
      </w:pPr>
      <w:r w:rsidRPr="00A9330B">
        <w:t>Deux activités importantes sont à considérer dans cette phase : la mise en service et l’entretien. Les dangers et ENS sont présentés pour chaque séquence et type d’activité dans des tableaux récapitulatifs dans l’ordre de probabilité et de gravité décroissantes.</w:t>
      </w:r>
    </w:p>
    <w:p w14:paraId="2D1A44CE" w14:textId="77777777" w:rsidR="00401546" w:rsidRPr="00A9330B" w:rsidRDefault="00401546" w:rsidP="000F7BA7">
      <w:pPr>
        <w:pStyle w:val="Titre20"/>
      </w:pPr>
      <w:bookmarkStart w:id="1721" w:name="_Toc535244610"/>
      <w:bookmarkStart w:id="1722" w:name="_Toc43697694"/>
      <w:bookmarkStart w:id="1723" w:name="_Toc52869698"/>
      <w:bookmarkStart w:id="1724" w:name="_Toc52869858"/>
      <w:r w:rsidRPr="00A9330B">
        <w:t>9.3. Travaux de déplacement des réseaux divers (eau, électricité, ligne téléphonique, etc</w:t>
      </w:r>
      <w:bookmarkEnd w:id="1721"/>
      <w:bookmarkEnd w:id="1722"/>
      <w:bookmarkEnd w:id="1723"/>
      <w:bookmarkEnd w:id="1724"/>
    </w:p>
    <w:p w14:paraId="63CE5333" w14:textId="77777777" w:rsidR="00401546" w:rsidRPr="00A9330B" w:rsidRDefault="00401546" w:rsidP="000F7BA7">
      <w:pPr>
        <w:spacing w:after="120"/>
        <w:jc w:val="both"/>
        <w:rPr>
          <w:rFonts w:cs="Arial"/>
        </w:rPr>
      </w:pPr>
      <w:r w:rsidRPr="00A9330B">
        <w:rPr>
          <w:rFonts w:cs="Arial"/>
        </w:rPr>
        <w:t>Les principales situations de danger pour les travaux de déplacement de réseaux divers et d’aménagement des déviations dans le cadre du projet d’assainissement pluvial, sont présentées dans le tableau suivant.</w:t>
      </w:r>
    </w:p>
    <w:p w14:paraId="7D5AA67D" w14:textId="64D06D32" w:rsidR="00401546" w:rsidRPr="00A9330B" w:rsidRDefault="00401546" w:rsidP="00401546">
      <w:pPr>
        <w:keepNext/>
        <w:spacing w:after="120" w:line="240" w:lineRule="auto"/>
        <w:jc w:val="center"/>
        <w:rPr>
          <w:rFonts w:eastAsia="Times New Roman" w:cs="Arial"/>
          <w:b/>
          <w:color w:val="000000"/>
          <w:sz w:val="20"/>
          <w:szCs w:val="20"/>
          <w:lang w:eastAsia="fr-FR"/>
        </w:rPr>
      </w:pPr>
      <w:bookmarkStart w:id="1725" w:name="_Toc529219538"/>
      <w:bookmarkStart w:id="1726" w:name="_Toc529249274"/>
      <w:bookmarkStart w:id="1727" w:name="_Toc531434233"/>
      <w:bookmarkStart w:id="1728" w:name="_Toc533058613"/>
      <w:bookmarkStart w:id="1729" w:name="_Toc535237426"/>
      <w:bookmarkStart w:id="1730" w:name="_Toc43696256"/>
      <w:bookmarkStart w:id="1731" w:name="_Toc52873769"/>
      <w:r w:rsidRPr="00A9330B">
        <w:rPr>
          <w:rFonts w:eastAsia="Times New Roman" w:cs="Arial"/>
          <w:b/>
          <w:color w:val="000000"/>
          <w:sz w:val="20"/>
          <w:szCs w:val="20"/>
          <w:lang w:eastAsia="fr-FR"/>
        </w:rPr>
        <w:t xml:space="preserve">Tableau </w:t>
      </w:r>
      <w:r w:rsidRPr="00A9330B">
        <w:rPr>
          <w:rFonts w:eastAsia="Times New Roman" w:cs="Arial"/>
          <w:b/>
          <w:color w:val="000000"/>
          <w:sz w:val="20"/>
          <w:szCs w:val="20"/>
          <w:lang w:eastAsia="fr-FR"/>
        </w:rPr>
        <w:fldChar w:fldCharType="begin"/>
      </w:r>
      <w:r w:rsidRPr="00A9330B">
        <w:rPr>
          <w:rFonts w:eastAsia="Times New Roman" w:cs="Arial"/>
          <w:b/>
          <w:color w:val="000000"/>
          <w:sz w:val="20"/>
          <w:szCs w:val="20"/>
          <w:lang w:eastAsia="fr-FR"/>
        </w:rPr>
        <w:instrText xml:space="preserve"> SEQ Tableau \* ARABIC </w:instrText>
      </w:r>
      <w:r w:rsidRPr="00A9330B">
        <w:rPr>
          <w:rFonts w:eastAsia="Times New Roman" w:cs="Arial"/>
          <w:b/>
          <w:color w:val="000000"/>
          <w:sz w:val="20"/>
          <w:szCs w:val="20"/>
          <w:lang w:eastAsia="fr-FR"/>
        </w:rPr>
        <w:fldChar w:fldCharType="separate"/>
      </w:r>
      <w:r w:rsidR="00417D31" w:rsidRPr="00A9330B">
        <w:rPr>
          <w:rFonts w:eastAsia="Times New Roman" w:cs="Arial"/>
          <w:b/>
          <w:noProof/>
          <w:color w:val="000000"/>
          <w:sz w:val="20"/>
          <w:szCs w:val="20"/>
          <w:lang w:eastAsia="fr-FR"/>
        </w:rPr>
        <w:t>45</w:t>
      </w:r>
      <w:r w:rsidRPr="00A9330B">
        <w:rPr>
          <w:rFonts w:eastAsia="Times New Roman" w:cs="Arial"/>
          <w:b/>
          <w:color w:val="000000"/>
          <w:sz w:val="20"/>
          <w:szCs w:val="20"/>
          <w:lang w:eastAsia="fr-FR"/>
        </w:rPr>
        <w:fldChar w:fldCharType="end"/>
      </w:r>
      <w:r w:rsidRPr="00A9330B">
        <w:rPr>
          <w:rFonts w:eastAsia="Times New Roman" w:cs="Arial"/>
          <w:b/>
          <w:color w:val="000000"/>
          <w:sz w:val="20"/>
          <w:szCs w:val="20"/>
          <w:lang w:eastAsia="fr-FR"/>
        </w:rPr>
        <w:t xml:space="preserve"> : Analyse des risques pour les travaux de déplacement de réseaux divers</w:t>
      </w:r>
      <w:bookmarkEnd w:id="1725"/>
      <w:bookmarkEnd w:id="1726"/>
      <w:bookmarkEnd w:id="1727"/>
      <w:bookmarkEnd w:id="1728"/>
      <w:bookmarkEnd w:id="1729"/>
      <w:bookmarkEnd w:id="1730"/>
      <w:bookmarkEnd w:id="1731"/>
      <w:r w:rsidRPr="00A9330B">
        <w:rPr>
          <w:rFonts w:eastAsia="Times New Roman" w:cs="Arial"/>
          <w:b/>
          <w:color w:val="000000"/>
          <w:sz w:val="20"/>
          <w:szCs w:val="20"/>
          <w:lang w:eastAsia="fr-FR"/>
        </w:rPr>
        <w:t xml:space="preserve"> </w:t>
      </w:r>
    </w:p>
    <w:tbl>
      <w:tblPr>
        <w:tblW w:w="920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86"/>
        <w:gridCol w:w="2770"/>
        <w:gridCol w:w="3118"/>
        <w:gridCol w:w="1134"/>
        <w:gridCol w:w="851"/>
        <w:gridCol w:w="850"/>
      </w:tblGrid>
      <w:tr w:rsidR="00401546" w:rsidRPr="00A9330B" w14:paraId="00E650D5" w14:textId="77777777" w:rsidTr="00401546">
        <w:trPr>
          <w:jc w:val="center"/>
        </w:trPr>
        <w:tc>
          <w:tcPr>
            <w:tcW w:w="486" w:type="dxa"/>
            <w:vMerge w:val="restart"/>
            <w:shd w:val="clear" w:color="auto" w:fill="FFFFFF" w:themeFill="background1"/>
          </w:tcPr>
          <w:p w14:paraId="19B1F6E2" w14:textId="77777777" w:rsidR="00401546" w:rsidRPr="00A9330B" w:rsidRDefault="00401546" w:rsidP="00401546">
            <w:pPr>
              <w:spacing w:after="120" w:line="276" w:lineRule="auto"/>
              <w:jc w:val="center"/>
              <w:rPr>
                <w:rFonts w:cs="Arial"/>
                <w:b/>
                <w:color w:val="auto"/>
                <w:sz w:val="18"/>
                <w:szCs w:val="18"/>
              </w:rPr>
            </w:pPr>
            <w:r w:rsidRPr="00A9330B">
              <w:rPr>
                <w:rFonts w:cs="Arial"/>
                <w:b/>
                <w:color w:val="auto"/>
                <w:sz w:val="18"/>
                <w:szCs w:val="18"/>
              </w:rPr>
              <w:t>N°</w:t>
            </w:r>
          </w:p>
        </w:tc>
        <w:tc>
          <w:tcPr>
            <w:tcW w:w="2770" w:type="dxa"/>
            <w:vMerge w:val="restart"/>
            <w:shd w:val="clear" w:color="auto" w:fill="FFFFFF" w:themeFill="background1"/>
          </w:tcPr>
          <w:p w14:paraId="5B58FE1D" w14:textId="77777777" w:rsidR="00401546" w:rsidRPr="00A9330B" w:rsidRDefault="00401546" w:rsidP="00401546">
            <w:pPr>
              <w:spacing w:after="120" w:line="276" w:lineRule="auto"/>
              <w:jc w:val="center"/>
              <w:rPr>
                <w:rFonts w:cs="Arial"/>
                <w:b/>
                <w:color w:val="auto"/>
                <w:sz w:val="18"/>
                <w:szCs w:val="18"/>
              </w:rPr>
            </w:pPr>
            <w:r w:rsidRPr="00A9330B">
              <w:rPr>
                <w:rFonts w:cs="Arial"/>
                <w:b/>
                <w:color w:val="auto"/>
                <w:sz w:val="18"/>
                <w:szCs w:val="18"/>
              </w:rPr>
              <w:t xml:space="preserve">Principales situations de danger </w:t>
            </w:r>
          </w:p>
        </w:tc>
        <w:tc>
          <w:tcPr>
            <w:tcW w:w="3118" w:type="dxa"/>
            <w:vMerge w:val="restart"/>
            <w:shd w:val="clear" w:color="auto" w:fill="FFFFFF" w:themeFill="background1"/>
          </w:tcPr>
          <w:p w14:paraId="0019795A" w14:textId="77777777" w:rsidR="00401546" w:rsidRPr="00A9330B" w:rsidRDefault="00401546" w:rsidP="00401546">
            <w:pPr>
              <w:spacing w:after="120" w:line="276" w:lineRule="auto"/>
              <w:jc w:val="center"/>
              <w:rPr>
                <w:rFonts w:cs="Arial"/>
                <w:b/>
                <w:color w:val="auto"/>
                <w:sz w:val="18"/>
                <w:szCs w:val="18"/>
              </w:rPr>
            </w:pPr>
            <w:r w:rsidRPr="00A9330B">
              <w:rPr>
                <w:rFonts w:cs="Arial"/>
                <w:b/>
                <w:color w:val="auto"/>
                <w:sz w:val="18"/>
                <w:szCs w:val="18"/>
              </w:rPr>
              <w:t xml:space="preserve">Evènements non souhaitables (ENS) </w:t>
            </w:r>
          </w:p>
        </w:tc>
        <w:tc>
          <w:tcPr>
            <w:tcW w:w="2835" w:type="dxa"/>
            <w:gridSpan w:val="3"/>
            <w:shd w:val="clear" w:color="auto" w:fill="FFFFFF" w:themeFill="background1"/>
          </w:tcPr>
          <w:p w14:paraId="6C512ADD" w14:textId="77777777" w:rsidR="00401546" w:rsidRPr="00A9330B" w:rsidRDefault="00401546" w:rsidP="00401546">
            <w:pPr>
              <w:spacing w:after="120" w:line="276" w:lineRule="auto"/>
              <w:jc w:val="center"/>
              <w:rPr>
                <w:rFonts w:cs="Arial"/>
                <w:b/>
                <w:color w:val="auto"/>
                <w:sz w:val="18"/>
                <w:szCs w:val="18"/>
              </w:rPr>
            </w:pPr>
            <w:r w:rsidRPr="00A9330B">
              <w:rPr>
                <w:rFonts w:cs="Arial"/>
                <w:b/>
                <w:color w:val="auto"/>
                <w:sz w:val="18"/>
                <w:szCs w:val="18"/>
              </w:rPr>
              <w:t xml:space="preserve">Evaluation du risque </w:t>
            </w:r>
          </w:p>
        </w:tc>
      </w:tr>
      <w:tr w:rsidR="00401546" w:rsidRPr="00A9330B" w14:paraId="3988886C" w14:textId="77777777" w:rsidTr="00401546">
        <w:trPr>
          <w:jc w:val="center"/>
        </w:trPr>
        <w:tc>
          <w:tcPr>
            <w:tcW w:w="486" w:type="dxa"/>
            <w:vMerge/>
            <w:shd w:val="clear" w:color="auto" w:fill="F4B083" w:themeFill="accent2" w:themeFillTint="99"/>
          </w:tcPr>
          <w:p w14:paraId="1EB7B5E6" w14:textId="77777777" w:rsidR="00401546" w:rsidRPr="00A9330B" w:rsidRDefault="00401546" w:rsidP="00401546">
            <w:pPr>
              <w:spacing w:line="276" w:lineRule="auto"/>
              <w:rPr>
                <w:rFonts w:cs="Arial"/>
                <w:sz w:val="18"/>
                <w:szCs w:val="18"/>
              </w:rPr>
            </w:pPr>
          </w:p>
        </w:tc>
        <w:tc>
          <w:tcPr>
            <w:tcW w:w="2770" w:type="dxa"/>
            <w:vMerge/>
            <w:shd w:val="clear" w:color="auto" w:fill="FF6600"/>
          </w:tcPr>
          <w:p w14:paraId="08CA0D14" w14:textId="77777777" w:rsidR="00401546" w:rsidRPr="00A9330B" w:rsidRDefault="00401546" w:rsidP="00401546">
            <w:pPr>
              <w:spacing w:line="276" w:lineRule="auto"/>
              <w:rPr>
                <w:rFonts w:cs="Arial"/>
                <w:sz w:val="18"/>
                <w:szCs w:val="18"/>
              </w:rPr>
            </w:pPr>
          </w:p>
        </w:tc>
        <w:tc>
          <w:tcPr>
            <w:tcW w:w="3118" w:type="dxa"/>
            <w:vMerge/>
            <w:shd w:val="clear" w:color="auto" w:fill="FF6600"/>
          </w:tcPr>
          <w:p w14:paraId="4A64730C" w14:textId="77777777" w:rsidR="00401546" w:rsidRPr="00A9330B" w:rsidRDefault="00401546" w:rsidP="00401546">
            <w:pPr>
              <w:spacing w:line="276" w:lineRule="auto"/>
              <w:rPr>
                <w:rFonts w:cs="Arial"/>
                <w:sz w:val="18"/>
                <w:szCs w:val="18"/>
              </w:rPr>
            </w:pPr>
          </w:p>
        </w:tc>
        <w:tc>
          <w:tcPr>
            <w:tcW w:w="1134" w:type="dxa"/>
            <w:shd w:val="clear" w:color="auto" w:fill="FF6600"/>
          </w:tcPr>
          <w:p w14:paraId="0A9E6D17" w14:textId="77777777" w:rsidR="00401546" w:rsidRPr="00A9330B" w:rsidRDefault="00401546" w:rsidP="00401546">
            <w:pPr>
              <w:spacing w:line="276" w:lineRule="auto"/>
              <w:jc w:val="center"/>
              <w:rPr>
                <w:rFonts w:cs="Arial"/>
                <w:sz w:val="18"/>
                <w:szCs w:val="18"/>
              </w:rPr>
            </w:pPr>
            <w:r w:rsidRPr="00A9330B">
              <w:rPr>
                <w:rFonts w:cs="Arial"/>
                <w:sz w:val="18"/>
                <w:szCs w:val="18"/>
              </w:rPr>
              <w:t xml:space="preserve">Probabilité </w:t>
            </w:r>
          </w:p>
        </w:tc>
        <w:tc>
          <w:tcPr>
            <w:tcW w:w="851" w:type="dxa"/>
            <w:shd w:val="clear" w:color="auto" w:fill="FF6600"/>
          </w:tcPr>
          <w:p w14:paraId="7ACBBF5A" w14:textId="77777777" w:rsidR="00401546" w:rsidRPr="00A9330B" w:rsidRDefault="00401546" w:rsidP="00401546">
            <w:pPr>
              <w:spacing w:line="276" w:lineRule="auto"/>
              <w:jc w:val="center"/>
              <w:rPr>
                <w:rFonts w:cs="Arial"/>
                <w:sz w:val="18"/>
                <w:szCs w:val="18"/>
              </w:rPr>
            </w:pPr>
            <w:r w:rsidRPr="00A9330B">
              <w:rPr>
                <w:rFonts w:cs="Arial"/>
                <w:sz w:val="18"/>
                <w:szCs w:val="18"/>
              </w:rPr>
              <w:t xml:space="preserve">Gravité </w:t>
            </w:r>
          </w:p>
        </w:tc>
        <w:tc>
          <w:tcPr>
            <w:tcW w:w="850" w:type="dxa"/>
            <w:shd w:val="clear" w:color="auto" w:fill="FF6600"/>
          </w:tcPr>
          <w:p w14:paraId="7578E224" w14:textId="77777777" w:rsidR="00401546" w:rsidRPr="00A9330B" w:rsidRDefault="00401546" w:rsidP="00401546">
            <w:pPr>
              <w:spacing w:line="276" w:lineRule="auto"/>
              <w:jc w:val="center"/>
              <w:rPr>
                <w:rFonts w:cs="Arial"/>
                <w:sz w:val="18"/>
                <w:szCs w:val="18"/>
              </w:rPr>
            </w:pPr>
            <w:r w:rsidRPr="00A9330B">
              <w:rPr>
                <w:rFonts w:cs="Arial"/>
                <w:sz w:val="18"/>
                <w:szCs w:val="18"/>
              </w:rPr>
              <w:t xml:space="preserve">Accep-tabilité </w:t>
            </w:r>
          </w:p>
        </w:tc>
      </w:tr>
      <w:tr w:rsidR="00401546" w:rsidRPr="00A9330B" w14:paraId="1DF9DEF5" w14:textId="77777777" w:rsidTr="00401546">
        <w:trPr>
          <w:jc w:val="center"/>
        </w:trPr>
        <w:tc>
          <w:tcPr>
            <w:tcW w:w="486" w:type="dxa"/>
          </w:tcPr>
          <w:p w14:paraId="45E66F20" w14:textId="77777777" w:rsidR="00401546" w:rsidRPr="00A9330B" w:rsidRDefault="00401546" w:rsidP="00401546">
            <w:pPr>
              <w:spacing w:line="276" w:lineRule="auto"/>
              <w:jc w:val="center"/>
              <w:rPr>
                <w:rFonts w:cs="Arial"/>
                <w:sz w:val="18"/>
                <w:szCs w:val="18"/>
              </w:rPr>
            </w:pPr>
            <w:r w:rsidRPr="00A9330B">
              <w:rPr>
                <w:rFonts w:cs="Arial"/>
                <w:sz w:val="18"/>
                <w:szCs w:val="18"/>
              </w:rPr>
              <w:t>1</w:t>
            </w:r>
          </w:p>
        </w:tc>
        <w:tc>
          <w:tcPr>
            <w:tcW w:w="2770" w:type="dxa"/>
          </w:tcPr>
          <w:p w14:paraId="3441FAF0" w14:textId="77777777" w:rsidR="00401546" w:rsidRPr="00A9330B" w:rsidRDefault="00401546" w:rsidP="000F7BA7">
            <w:pPr>
              <w:spacing w:line="276" w:lineRule="auto"/>
              <w:jc w:val="both"/>
              <w:rPr>
                <w:rFonts w:cs="Arial"/>
                <w:sz w:val="18"/>
                <w:szCs w:val="18"/>
              </w:rPr>
            </w:pPr>
            <w:r w:rsidRPr="00A9330B">
              <w:rPr>
                <w:rFonts w:cs="Arial"/>
                <w:sz w:val="18"/>
                <w:szCs w:val="18"/>
              </w:rPr>
              <w:t xml:space="preserve">Absence ou inefficacité des protections collectives et individuelles </w:t>
            </w:r>
          </w:p>
        </w:tc>
        <w:tc>
          <w:tcPr>
            <w:tcW w:w="3118" w:type="dxa"/>
          </w:tcPr>
          <w:p w14:paraId="62449AA2" w14:textId="0887BFFD" w:rsidR="00401546" w:rsidRPr="00A9330B" w:rsidRDefault="00401546" w:rsidP="000F7BA7">
            <w:pPr>
              <w:spacing w:line="276" w:lineRule="auto"/>
              <w:jc w:val="both"/>
              <w:rPr>
                <w:rFonts w:cs="Arial"/>
                <w:sz w:val="18"/>
                <w:szCs w:val="18"/>
              </w:rPr>
            </w:pPr>
            <w:r w:rsidRPr="00A9330B">
              <w:rPr>
                <w:rFonts w:cs="Arial"/>
                <w:sz w:val="18"/>
                <w:szCs w:val="18"/>
              </w:rPr>
              <w:t>Vulnérabilité des ouvriers pouvant entrainer la mort, des blessures, fractures, lésions, pertes sensorielles temporaires ou permanente</w:t>
            </w:r>
            <w:r w:rsidR="00C50418" w:rsidRPr="00A9330B">
              <w:rPr>
                <w:rFonts w:cs="Arial"/>
                <w:sz w:val="18"/>
                <w:szCs w:val="18"/>
              </w:rPr>
              <w:t xml:space="preserve">, électrocution </w:t>
            </w:r>
            <w:r w:rsidRPr="00A9330B">
              <w:rPr>
                <w:rFonts w:cs="Arial"/>
                <w:sz w:val="18"/>
                <w:szCs w:val="18"/>
              </w:rPr>
              <w:t xml:space="preserve"> </w:t>
            </w:r>
          </w:p>
        </w:tc>
        <w:tc>
          <w:tcPr>
            <w:tcW w:w="1134" w:type="dxa"/>
          </w:tcPr>
          <w:p w14:paraId="7CED23B2" w14:textId="77777777" w:rsidR="00401546" w:rsidRPr="00A9330B" w:rsidRDefault="00401546" w:rsidP="00401546">
            <w:pPr>
              <w:spacing w:line="276" w:lineRule="auto"/>
              <w:jc w:val="center"/>
              <w:rPr>
                <w:rFonts w:cs="Arial"/>
                <w:sz w:val="18"/>
                <w:szCs w:val="18"/>
              </w:rPr>
            </w:pPr>
            <w:r w:rsidRPr="00A9330B">
              <w:rPr>
                <w:rFonts w:cs="Arial"/>
                <w:sz w:val="18"/>
                <w:szCs w:val="18"/>
              </w:rPr>
              <w:t>3</w:t>
            </w:r>
          </w:p>
        </w:tc>
        <w:tc>
          <w:tcPr>
            <w:tcW w:w="851" w:type="dxa"/>
          </w:tcPr>
          <w:p w14:paraId="307F649E" w14:textId="77777777" w:rsidR="00401546" w:rsidRPr="00A9330B" w:rsidRDefault="00401546" w:rsidP="00401546">
            <w:pPr>
              <w:spacing w:line="276" w:lineRule="auto"/>
              <w:jc w:val="center"/>
              <w:rPr>
                <w:rFonts w:cs="Arial"/>
                <w:sz w:val="18"/>
                <w:szCs w:val="18"/>
              </w:rPr>
            </w:pPr>
            <w:r w:rsidRPr="00A9330B">
              <w:rPr>
                <w:rFonts w:cs="Arial"/>
                <w:sz w:val="18"/>
                <w:szCs w:val="18"/>
              </w:rPr>
              <w:t>3</w:t>
            </w:r>
          </w:p>
        </w:tc>
        <w:tc>
          <w:tcPr>
            <w:tcW w:w="850" w:type="dxa"/>
            <w:shd w:val="clear" w:color="auto" w:fill="FF0000"/>
          </w:tcPr>
          <w:p w14:paraId="2243CC1B" w14:textId="77777777" w:rsidR="00401546" w:rsidRPr="00A9330B" w:rsidRDefault="00401546" w:rsidP="00401546">
            <w:pPr>
              <w:spacing w:line="276" w:lineRule="auto"/>
              <w:jc w:val="center"/>
              <w:rPr>
                <w:rFonts w:cs="Arial"/>
                <w:sz w:val="18"/>
                <w:szCs w:val="18"/>
              </w:rPr>
            </w:pPr>
          </w:p>
        </w:tc>
      </w:tr>
      <w:tr w:rsidR="00401546" w:rsidRPr="00A9330B" w14:paraId="20E71AD5" w14:textId="77777777" w:rsidTr="00401546">
        <w:trPr>
          <w:jc w:val="center"/>
        </w:trPr>
        <w:tc>
          <w:tcPr>
            <w:tcW w:w="486" w:type="dxa"/>
          </w:tcPr>
          <w:p w14:paraId="15EB2ADB" w14:textId="77777777" w:rsidR="00401546" w:rsidRPr="00A9330B" w:rsidRDefault="00401546" w:rsidP="00401546">
            <w:pPr>
              <w:spacing w:line="276" w:lineRule="auto"/>
              <w:jc w:val="center"/>
              <w:rPr>
                <w:rFonts w:cs="Arial"/>
                <w:sz w:val="18"/>
                <w:szCs w:val="18"/>
              </w:rPr>
            </w:pPr>
            <w:r w:rsidRPr="00A9330B">
              <w:rPr>
                <w:rFonts w:cs="Arial"/>
                <w:sz w:val="18"/>
                <w:szCs w:val="18"/>
              </w:rPr>
              <w:t>2</w:t>
            </w:r>
          </w:p>
        </w:tc>
        <w:tc>
          <w:tcPr>
            <w:tcW w:w="2770" w:type="dxa"/>
          </w:tcPr>
          <w:p w14:paraId="79D7E2D4" w14:textId="77777777" w:rsidR="00401546" w:rsidRPr="00A9330B" w:rsidRDefault="00401546" w:rsidP="000F7BA7">
            <w:pPr>
              <w:spacing w:line="276" w:lineRule="auto"/>
              <w:jc w:val="both"/>
              <w:rPr>
                <w:rFonts w:cs="Arial"/>
                <w:sz w:val="18"/>
                <w:szCs w:val="18"/>
              </w:rPr>
            </w:pPr>
            <w:r w:rsidRPr="00A9330B">
              <w:rPr>
                <w:rFonts w:cs="Arial"/>
                <w:sz w:val="18"/>
                <w:szCs w:val="18"/>
              </w:rPr>
              <w:t xml:space="preserve">Déplacement mal contrôlé de véhicules et engins de chantier ou de leurs organes mobiles (excavatrices, pelles mécaniques, Manitou, outils de forage, flexible de compresseur, …) </w:t>
            </w:r>
          </w:p>
        </w:tc>
        <w:tc>
          <w:tcPr>
            <w:tcW w:w="3118" w:type="dxa"/>
          </w:tcPr>
          <w:p w14:paraId="6A25E5F6" w14:textId="77777777" w:rsidR="00401546" w:rsidRPr="00A9330B" w:rsidRDefault="00401546" w:rsidP="000F7BA7">
            <w:pPr>
              <w:spacing w:line="276" w:lineRule="auto"/>
              <w:jc w:val="both"/>
              <w:rPr>
                <w:rFonts w:cs="Arial"/>
                <w:sz w:val="18"/>
                <w:szCs w:val="18"/>
              </w:rPr>
            </w:pPr>
            <w:r w:rsidRPr="00A9330B">
              <w:rPr>
                <w:rFonts w:cs="Arial"/>
                <w:sz w:val="18"/>
                <w:szCs w:val="18"/>
              </w:rPr>
              <w:t xml:space="preserve">Renversement, basculement, heurt ou entrainement d’un ouvrier pouvant occasionner la mort, des blessures, fractures, lésions, pertes sensorielles temporaires ou permanentes </w:t>
            </w:r>
          </w:p>
        </w:tc>
        <w:tc>
          <w:tcPr>
            <w:tcW w:w="1134" w:type="dxa"/>
          </w:tcPr>
          <w:p w14:paraId="4AF3ED73" w14:textId="77777777" w:rsidR="00401546" w:rsidRPr="00A9330B" w:rsidRDefault="00401546" w:rsidP="00401546">
            <w:pPr>
              <w:spacing w:line="276" w:lineRule="auto"/>
              <w:jc w:val="center"/>
              <w:rPr>
                <w:rFonts w:cs="Arial"/>
                <w:sz w:val="18"/>
                <w:szCs w:val="18"/>
              </w:rPr>
            </w:pPr>
            <w:r w:rsidRPr="00A9330B">
              <w:rPr>
                <w:rFonts w:cs="Arial"/>
                <w:sz w:val="18"/>
                <w:szCs w:val="18"/>
              </w:rPr>
              <w:t>3</w:t>
            </w:r>
          </w:p>
        </w:tc>
        <w:tc>
          <w:tcPr>
            <w:tcW w:w="851" w:type="dxa"/>
          </w:tcPr>
          <w:p w14:paraId="0AE941E0" w14:textId="77777777" w:rsidR="00401546" w:rsidRPr="00A9330B" w:rsidRDefault="00401546" w:rsidP="00401546">
            <w:pPr>
              <w:spacing w:line="276" w:lineRule="auto"/>
              <w:jc w:val="center"/>
              <w:rPr>
                <w:rFonts w:cs="Arial"/>
                <w:sz w:val="18"/>
                <w:szCs w:val="18"/>
              </w:rPr>
            </w:pPr>
            <w:r w:rsidRPr="00A9330B">
              <w:rPr>
                <w:rFonts w:cs="Arial"/>
                <w:sz w:val="18"/>
                <w:szCs w:val="18"/>
              </w:rPr>
              <w:t>3</w:t>
            </w:r>
          </w:p>
        </w:tc>
        <w:tc>
          <w:tcPr>
            <w:tcW w:w="850" w:type="dxa"/>
            <w:shd w:val="clear" w:color="auto" w:fill="FF0000"/>
          </w:tcPr>
          <w:p w14:paraId="3190F3D6" w14:textId="77777777" w:rsidR="00401546" w:rsidRPr="00A9330B" w:rsidRDefault="00401546" w:rsidP="00401546">
            <w:pPr>
              <w:spacing w:line="276" w:lineRule="auto"/>
              <w:jc w:val="center"/>
              <w:rPr>
                <w:rFonts w:cs="Arial"/>
                <w:sz w:val="18"/>
                <w:szCs w:val="18"/>
              </w:rPr>
            </w:pPr>
          </w:p>
        </w:tc>
      </w:tr>
      <w:tr w:rsidR="00401546" w:rsidRPr="00A9330B" w14:paraId="1DE67E36" w14:textId="77777777" w:rsidTr="00401546">
        <w:trPr>
          <w:jc w:val="center"/>
        </w:trPr>
        <w:tc>
          <w:tcPr>
            <w:tcW w:w="486" w:type="dxa"/>
          </w:tcPr>
          <w:p w14:paraId="5CFD18CC" w14:textId="77777777" w:rsidR="00401546" w:rsidRPr="00A9330B" w:rsidRDefault="00401546" w:rsidP="00401546">
            <w:pPr>
              <w:spacing w:line="276" w:lineRule="auto"/>
              <w:jc w:val="center"/>
              <w:rPr>
                <w:rFonts w:cs="Arial"/>
                <w:sz w:val="18"/>
                <w:szCs w:val="18"/>
              </w:rPr>
            </w:pPr>
            <w:r w:rsidRPr="00A9330B">
              <w:rPr>
                <w:rFonts w:cs="Arial"/>
                <w:sz w:val="18"/>
                <w:szCs w:val="18"/>
              </w:rPr>
              <w:t>3</w:t>
            </w:r>
          </w:p>
        </w:tc>
        <w:tc>
          <w:tcPr>
            <w:tcW w:w="2770" w:type="dxa"/>
          </w:tcPr>
          <w:p w14:paraId="74AD2585" w14:textId="77777777" w:rsidR="00401546" w:rsidRPr="00A9330B" w:rsidRDefault="00401546" w:rsidP="000F7BA7">
            <w:pPr>
              <w:spacing w:line="276" w:lineRule="auto"/>
              <w:jc w:val="both"/>
              <w:rPr>
                <w:rFonts w:cs="Arial"/>
                <w:sz w:val="18"/>
                <w:szCs w:val="18"/>
              </w:rPr>
            </w:pPr>
            <w:r w:rsidRPr="00A9330B">
              <w:rPr>
                <w:rFonts w:cs="Arial"/>
                <w:sz w:val="18"/>
                <w:szCs w:val="18"/>
              </w:rPr>
              <w:t xml:space="preserve">Stockage, manipulation, manutention ou transport inadaptés de charges (tuyauterie, poteaux ou autres matériels par Ex.) </w:t>
            </w:r>
          </w:p>
        </w:tc>
        <w:tc>
          <w:tcPr>
            <w:tcW w:w="3118" w:type="dxa"/>
          </w:tcPr>
          <w:p w14:paraId="3185503C" w14:textId="77777777" w:rsidR="00401546" w:rsidRPr="00A9330B" w:rsidRDefault="00401546" w:rsidP="000F7BA7">
            <w:pPr>
              <w:spacing w:line="276" w:lineRule="auto"/>
              <w:jc w:val="both"/>
              <w:rPr>
                <w:rFonts w:cs="Arial"/>
                <w:sz w:val="18"/>
                <w:szCs w:val="18"/>
              </w:rPr>
            </w:pPr>
            <w:r w:rsidRPr="00A9330B">
              <w:rPr>
                <w:rFonts w:cs="Arial"/>
                <w:sz w:val="18"/>
                <w:szCs w:val="18"/>
              </w:rPr>
              <w:t xml:space="preserve">Chute des matériels et matériaux pouvant entrainer la mort, blessure, fractures,  lésions, blessures, fractures, traumatismes </w:t>
            </w:r>
          </w:p>
        </w:tc>
        <w:tc>
          <w:tcPr>
            <w:tcW w:w="1134" w:type="dxa"/>
          </w:tcPr>
          <w:p w14:paraId="6263DD72" w14:textId="77777777" w:rsidR="00401546" w:rsidRPr="00A9330B" w:rsidRDefault="00401546" w:rsidP="00401546">
            <w:pPr>
              <w:spacing w:line="276" w:lineRule="auto"/>
              <w:jc w:val="center"/>
              <w:rPr>
                <w:rFonts w:cs="Arial"/>
                <w:sz w:val="18"/>
                <w:szCs w:val="18"/>
              </w:rPr>
            </w:pPr>
            <w:r w:rsidRPr="00A9330B">
              <w:rPr>
                <w:rFonts w:cs="Arial"/>
                <w:sz w:val="18"/>
                <w:szCs w:val="18"/>
              </w:rPr>
              <w:t>3</w:t>
            </w:r>
          </w:p>
        </w:tc>
        <w:tc>
          <w:tcPr>
            <w:tcW w:w="851" w:type="dxa"/>
          </w:tcPr>
          <w:p w14:paraId="2C333B7A" w14:textId="77777777" w:rsidR="00401546" w:rsidRPr="00A9330B" w:rsidRDefault="00401546" w:rsidP="00401546">
            <w:pPr>
              <w:spacing w:line="276" w:lineRule="auto"/>
              <w:jc w:val="center"/>
              <w:rPr>
                <w:rFonts w:cs="Arial"/>
                <w:sz w:val="18"/>
                <w:szCs w:val="18"/>
              </w:rPr>
            </w:pPr>
            <w:r w:rsidRPr="00A9330B">
              <w:rPr>
                <w:rFonts w:cs="Arial"/>
                <w:sz w:val="18"/>
                <w:szCs w:val="18"/>
              </w:rPr>
              <w:t>3</w:t>
            </w:r>
          </w:p>
        </w:tc>
        <w:tc>
          <w:tcPr>
            <w:tcW w:w="850" w:type="dxa"/>
            <w:shd w:val="clear" w:color="auto" w:fill="FF0000"/>
          </w:tcPr>
          <w:p w14:paraId="447D81B9" w14:textId="77777777" w:rsidR="00401546" w:rsidRPr="00A9330B" w:rsidRDefault="00401546" w:rsidP="00401546">
            <w:pPr>
              <w:spacing w:line="276" w:lineRule="auto"/>
              <w:jc w:val="center"/>
              <w:rPr>
                <w:rFonts w:cs="Arial"/>
                <w:sz w:val="18"/>
                <w:szCs w:val="18"/>
              </w:rPr>
            </w:pPr>
          </w:p>
        </w:tc>
      </w:tr>
      <w:tr w:rsidR="00401546" w:rsidRPr="00A9330B" w14:paraId="46FDBD02" w14:textId="77777777" w:rsidTr="00401546">
        <w:trPr>
          <w:jc w:val="center"/>
        </w:trPr>
        <w:tc>
          <w:tcPr>
            <w:tcW w:w="486" w:type="dxa"/>
          </w:tcPr>
          <w:p w14:paraId="2E849597" w14:textId="77777777" w:rsidR="00401546" w:rsidRPr="00A9330B" w:rsidRDefault="00401546" w:rsidP="00401546">
            <w:pPr>
              <w:spacing w:line="276" w:lineRule="auto"/>
              <w:jc w:val="center"/>
              <w:rPr>
                <w:rFonts w:cs="Arial"/>
                <w:sz w:val="18"/>
                <w:szCs w:val="18"/>
              </w:rPr>
            </w:pPr>
            <w:r w:rsidRPr="00A9330B">
              <w:rPr>
                <w:rFonts w:cs="Arial"/>
                <w:sz w:val="18"/>
                <w:szCs w:val="18"/>
              </w:rPr>
              <w:t>4</w:t>
            </w:r>
          </w:p>
        </w:tc>
        <w:tc>
          <w:tcPr>
            <w:tcW w:w="2770" w:type="dxa"/>
          </w:tcPr>
          <w:p w14:paraId="2F6B8FA2" w14:textId="77777777" w:rsidR="00401546" w:rsidRPr="00A9330B" w:rsidRDefault="00401546" w:rsidP="000F7BA7">
            <w:pPr>
              <w:spacing w:line="276" w:lineRule="auto"/>
              <w:jc w:val="both"/>
              <w:rPr>
                <w:rFonts w:cs="Arial"/>
                <w:sz w:val="18"/>
                <w:szCs w:val="18"/>
              </w:rPr>
            </w:pPr>
            <w:r w:rsidRPr="00A9330B">
              <w:rPr>
                <w:rFonts w:cs="Arial"/>
                <w:sz w:val="18"/>
                <w:szCs w:val="18"/>
              </w:rPr>
              <w:t xml:space="preserve">Personnel trop proche des fouilles ou des excavations  </w:t>
            </w:r>
          </w:p>
        </w:tc>
        <w:tc>
          <w:tcPr>
            <w:tcW w:w="3118" w:type="dxa"/>
          </w:tcPr>
          <w:p w14:paraId="4C720228" w14:textId="77777777" w:rsidR="00401546" w:rsidRPr="00A9330B" w:rsidRDefault="00401546" w:rsidP="000F7BA7">
            <w:pPr>
              <w:spacing w:line="276" w:lineRule="auto"/>
              <w:jc w:val="both"/>
              <w:rPr>
                <w:rFonts w:cs="Arial"/>
                <w:sz w:val="18"/>
                <w:szCs w:val="18"/>
              </w:rPr>
            </w:pPr>
            <w:r w:rsidRPr="00A9330B">
              <w:rPr>
                <w:rFonts w:cs="Arial"/>
                <w:sz w:val="18"/>
                <w:szCs w:val="18"/>
              </w:rPr>
              <w:t xml:space="preserve">Projection de particules (boues) ou sables pouvant entrainer des lésions oculaires ou cutanées </w:t>
            </w:r>
          </w:p>
        </w:tc>
        <w:tc>
          <w:tcPr>
            <w:tcW w:w="1134" w:type="dxa"/>
          </w:tcPr>
          <w:p w14:paraId="4CC99D3C" w14:textId="77777777" w:rsidR="00401546" w:rsidRPr="00A9330B" w:rsidRDefault="00401546" w:rsidP="00401546">
            <w:pPr>
              <w:spacing w:line="276" w:lineRule="auto"/>
              <w:jc w:val="center"/>
              <w:rPr>
                <w:rFonts w:cs="Arial"/>
                <w:sz w:val="18"/>
                <w:szCs w:val="18"/>
              </w:rPr>
            </w:pPr>
            <w:r w:rsidRPr="00A9330B">
              <w:rPr>
                <w:rFonts w:cs="Arial"/>
                <w:sz w:val="18"/>
                <w:szCs w:val="18"/>
              </w:rPr>
              <w:t>3</w:t>
            </w:r>
          </w:p>
        </w:tc>
        <w:tc>
          <w:tcPr>
            <w:tcW w:w="851" w:type="dxa"/>
          </w:tcPr>
          <w:p w14:paraId="6DA1E56E" w14:textId="77777777" w:rsidR="00401546" w:rsidRPr="00A9330B" w:rsidRDefault="00401546" w:rsidP="00401546">
            <w:pPr>
              <w:spacing w:line="276" w:lineRule="auto"/>
              <w:jc w:val="center"/>
              <w:rPr>
                <w:rFonts w:cs="Arial"/>
                <w:sz w:val="18"/>
                <w:szCs w:val="18"/>
              </w:rPr>
            </w:pPr>
            <w:r w:rsidRPr="00A9330B">
              <w:rPr>
                <w:rFonts w:cs="Arial"/>
                <w:sz w:val="18"/>
                <w:szCs w:val="18"/>
              </w:rPr>
              <w:t>2</w:t>
            </w:r>
          </w:p>
        </w:tc>
        <w:tc>
          <w:tcPr>
            <w:tcW w:w="850" w:type="dxa"/>
            <w:shd w:val="clear" w:color="auto" w:fill="FFFF00"/>
          </w:tcPr>
          <w:p w14:paraId="76EB969B" w14:textId="77777777" w:rsidR="00401546" w:rsidRPr="00A9330B" w:rsidRDefault="00401546" w:rsidP="00401546">
            <w:pPr>
              <w:spacing w:line="276" w:lineRule="auto"/>
              <w:jc w:val="center"/>
              <w:rPr>
                <w:rFonts w:cs="Arial"/>
                <w:sz w:val="18"/>
                <w:szCs w:val="18"/>
              </w:rPr>
            </w:pPr>
          </w:p>
        </w:tc>
      </w:tr>
      <w:tr w:rsidR="00401546" w:rsidRPr="00A9330B" w14:paraId="4B3E54E5" w14:textId="77777777" w:rsidTr="00401546">
        <w:trPr>
          <w:jc w:val="center"/>
        </w:trPr>
        <w:tc>
          <w:tcPr>
            <w:tcW w:w="486" w:type="dxa"/>
          </w:tcPr>
          <w:p w14:paraId="0F48C395" w14:textId="77777777" w:rsidR="00401546" w:rsidRPr="00A9330B" w:rsidRDefault="00401546" w:rsidP="00401546">
            <w:pPr>
              <w:spacing w:line="276" w:lineRule="auto"/>
              <w:jc w:val="center"/>
              <w:rPr>
                <w:rFonts w:cs="Arial"/>
                <w:sz w:val="18"/>
                <w:szCs w:val="18"/>
              </w:rPr>
            </w:pPr>
            <w:r w:rsidRPr="00A9330B">
              <w:rPr>
                <w:rFonts w:cs="Arial"/>
                <w:sz w:val="18"/>
                <w:szCs w:val="18"/>
              </w:rPr>
              <w:lastRenderedPageBreak/>
              <w:t>5</w:t>
            </w:r>
          </w:p>
        </w:tc>
        <w:tc>
          <w:tcPr>
            <w:tcW w:w="2770" w:type="dxa"/>
          </w:tcPr>
          <w:p w14:paraId="7583D409" w14:textId="0A682BA6" w:rsidR="00401546" w:rsidRPr="00A9330B" w:rsidRDefault="00401546" w:rsidP="000F7BA7">
            <w:pPr>
              <w:spacing w:line="276" w:lineRule="auto"/>
              <w:jc w:val="both"/>
              <w:rPr>
                <w:rFonts w:cs="Arial"/>
                <w:sz w:val="18"/>
                <w:szCs w:val="18"/>
              </w:rPr>
            </w:pPr>
            <w:r w:rsidRPr="00A9330B">
              <w:rPr>
                <w:rFonts w:cs="Arial"/>
                <w:sz w:val="18"/>
                <w:szCs w:val="18"/>
              </w:rPr>
              <w:t>Bruits potentiellement lésionnels bul</w:t>
            </w:r>
            <w:r w:rsidR="005F67A3" w:rsidRPr="00A9330B">
              <w:rPr>
                <w:rFonts w:cs="Arial"/>
                <w:sz w:val="18"/>
                <w:szCs w:val="18"/>
              </w:rPr>
              <w:t>l</w:t>
            </w:r>
            <w:r w:rsidRPr="00A9330B">
              <w:rPr>
                <w:rFonts w:cs="Arial"/>
                <w:sz w:val="18"/>
                <w:szCs w:val="18"/>
              </w:rPr>
              <w:t xml:space="preserve">dozer, pelles, chargeuse, Manitou, compresseur) </w:t>
            </w:r>
          </w:p>
        </w:tc>
        <w:tc>
          <w:tcPr>
            <w:tcW w:w="3118" w:type="dxa"/>
          </w:tcPr>
          <w:p w14:paraId="5D6A6437" w14:textId="77777777" w:rsidR="00401546" w:rsidRPr="00A9330B" w:rsidRDefault="00401546" w:rsidP="000F7BA7">
            <w:pPr>
              <w:spacing w:line="276" w:lineRule="auto"/>
              <w:jc w:val="both"/>
              <w:rPr>
                <w:rFonts w:cs="Arial"/>
                <w:sz w:val="18"/>
                <w:szCs w:val="18"/>
              </w:rPr>
            </w:pPr>
            <w:r w:rsidRPr="00A9330B">
              <w:rPr>
                <w:rFonts w:cs="Arial"/>
                <w:sz w:val="18"/>
                <w:szCs w:val="18"/>
              </w:rPr>
              <w:t xml:space="preserve">Exposition prolongée au bruit pouvant entrainer une surdité professionnelle </w:t>
            </w:r>
          </w:p>
        </w:tc>
        <w:tc>
          <w:tcPr>
            <w:tcW w:w="1134" w:type="dxa"/>
          </w:tcPr>
          <w:p w14:paraId="55937110" w14:textId="77777777" w:rsidR="00401546" w:rsidRPr="00A9330B" w:rsidRDefault="00401546" w:rsidP="00401546">
            <w:pPr>
              <w:spacing w:line="276" w:lineRule="auto"/>
              <w:jc w:val="center"/>
              <w:rPr>
                <w:rFonts w:cs="Arial"/>
                <w:sz w:val="18"/>
                <w:szCs w:val="18"/>
              </w:rPr>
            </w:pPr>
            <w:r w:rsidRPr="00A9330B">
              <w:rPr>
                <w:rFonts w:cs="Arial"/>
                <w:sz w:val="18"/>
                <w:szCs w:val="18"/>
              </w:rPr>
              <w:t>2</w:t>
            </w:r>
          </w:p>
        </w:tc>
        <w:tc>
          <w:tcPr>
            <w:tcW w:w="851" w:type="dxa"/>
          </w:tcPr>
          <w:p w14:paraId="14655FE9" w14:textId="77777777" w:rsidR="00401546" w:rsidRPr="00A9330B" w:rsidRDefault="00401546" w:rsidP="00401546">
            <w:pPr>
              <w:spacing w:line="276" w:lineRule="auto"/>
              <w:jc w:val="center"/>
              <w:rPr>
                <w:rFonts w:cs="Arial"/>
                <w:sz w:val="18"/>
                <w:szCs w:val="18"/>
              </w:rPr>
            </w:pPr>
            <w:r w:rsidRPr="00A9330B">
              <w:rPr>
                <w:rFonts w:cs="Arial"/>
                <w:sz w:val="18"/>
                <w:szCs w:val="18"/>
              </w:rPr>
              <w:t>2</w:t>
            </w:r>
          </w:p>
        </w:tc>
        <w:tc>
          <w:tcPr>
            <w:tcW w:w="850" w:type="dxa"/>
            <w:shd w:val="clear" w:color="auto" w:fill="FFFF00"/>
          </w:tcPr>
          <w:p w14:paraId="101D331B" w14:textId="77777777" w:rsidR="00401546" w:rsidRPr="00A9330B" w:rsidRDefault="00401546" w:rsidP="00401546">
            <w:pPr>
              <w:spacing w:line="276" w:lineRule="auto"/>
              <w:jc w:val="center"/>
              <w:rPr>
                <w:rFonts w:cs="Arial"/>
                <w:sz w:val="18"/>
                <w:szCs w:val="18"/>
              </w:rPr>
            </w:pPr>
          </w:p>
        </w:tc>
      </w:tr>
      <w:tr w:rsidR="00401546" w:rsidRPr="00A9330B" w14:paraId="40301045" w14:textId="77777777" w:rsidTr="00401546">
        <w:trPr>
          <w:jc w:val="center"/>
        </w:trPr>
        <w:tc>
          <w:tcPr>
            <w:tcW w:w="486" w:type="dxa"/>
          </w:tcPr>
          <w:p w14:paraId="314BB6F9" w14:textId="77777777" w:rsidR="00401546" w:rsidRPr="00A9330B" w:rsidRDefault="00401546" w:rsidP="00401546">
            <w:pPr>
              <w:spacing w:line="276" w:lineRule="auto"/>
              <w:jc w:val="center"/>
              <w:rPr>
                <w:rFonts w:cs="Arial"/>
                <w:sz w:val="18"/>
                <w:szCs w:val="18"/>
              </w:rPr>
            </w:pPr>
            <w:r w:rsidRPr="00A9330B">
              <w:rPr>
                <w:rFonts w:cs="Arial"/>
                <w:sz w:val="18"/>
                <w:szCs w:val="18"/>
              </w:rPr>
              <w:t>6</w:t>
            </w:r>
          </w:p>
        </w:tc>
        <w:tc>
          <w:tcPr>
            <w:tcW w:w="2770" w:type="dxa"/>
          </w:tcPr>
          <w:p w14:paraId="40B749DF" w14:textId="71BD0D1B" w:rsidR="00401546" w:rsidRPr="00A9330B" w:rsidRDefault="00401546" w:rsidP="000F7BA7">
            <w:pPr>
              <w:spacing w:line="276" w:lineRule="auto"/>
              <w:jc w:val="both"/>
              <w:rPr>
                <w:rFonts w:cs="Arial"/>
                <w:sz w:val="18"/>
                <w:szCs w:val="18"/>
              </w:rPr>
            </w:pPr>
            <w:r w:rsidRPr="00A9330B">
              <w:rPr>
                <w:rFonts w:cs="Arial"/>
                <w:sz w:val="18"/>
                <w:szCs w:val="18"/>
              </w:rPr>
              <w:t>Durée du travail excessive et accès</w:t>
            </w:r>
            <w:r w:rsidR="005F67A3" w:rsidRPr="00A9330B">
              <w:rPr>
                <w:rFonts w:cs="Arial"/>
                <w:sz w:val="18"/>
                <w:szCs w:val="18"/>
              </w:rPr>
              <w:t xml:space="preserve"> nadapté</w:t>
            </w:r>
            <w:r w:rsidRPr="00A9330B">
              <w:rPr>
                <w:rFonts w:cs="Arial"/>
                <w:sz w:val="18"/>
                <w:szCs w:val="18"/>
              </w:rPr>
              <w:t xml:space="preserve"> à l’eau et</w:t>
            </w:r>
            <w:r w:rsidR="005F67A3" w:rsidRPr="00A9330B">
              <w:rPr>
                <w:rFonts w:cs="Arial"/>
                <w:sz w:val="18"/>
                <w:szCs w:val="18"/>
              </w:rPr>
              <w:t xml:space="preserve"> à</w:t>
            </w:r>
            <w:r w:rsidRPr="00A9330B">
              <w:rPr>
                <w:rFonts w:cs="Arial"/>
                <w:sz w:val="18"/>
                <w:szCs w:val="18"/>
              </w:rPr>
              <w:t xml:space="preserve"> l’hygiène i </w:t>
            </w:r>
          </w:p>
        </w:tc>
        <w:tc>
          <w:tcPr>
            <w:tcW w:w="3118" w:type="dxa"/>
          </w:tcPr>
          <w:p w14:paraId="5299BA91" w14:textId="77777777" w:rsidR="00401546" w:rsidRPr="00A9330B" w:rsidRDefault="00401546" w:rsidP="000F7BA7">
            <w:pPr>
              <w:spacing w:line="276" w:lineRule="auto"/>
              <w:jc w:val="both"/>
              <w:rPr>
                <w:rFonts w:cs="Arial"/>
                <w:sz w:val="18"/>
                <w:szCs w:val="18"/>
              </w:rPr>
            </w:pPr>
            <w:r w:rsidRPr="00A9330B">
              <w:rPr>
                <w:rFonts w:cs="Arial"/>
                <w:sz w:val="18"/>
                <w:szCs w:val="18"/>
              </w:rPr>
              <w:t xml:space="preserve">Exposition à la chaleur ou au soleil et fatigue excessive à l’origine d’insolation, déshydratation, désordre métaboliques, trouble de l’attention </w:t>
            </w:r>
          </w:p>
        </w:tc>
        <w:tc>
          <w:tcPr>
            <w:tcW w:w="1134" w:type="dxa"/>
          </w:tcPr>
          <w:p w14:paraId="6E971C3F" w14:textId="77777777" w:rsidR="00401546" w:rsidRPr="00A9330B" w:rsidRDefault="00401546" w:rsidP="00401546">
            <w:pPr>
              <w:spacing w:line="276" w:lineRule="auto"/>
              <w:jc w:val="center"/>
              <w:rPr>
                <w:rFonts w:cs="Arial"/>
                <w:sz w:val="18"/>
                <w:szCs w:val="18"/>
              </w:rPr>
            </w:pPr>
            <w:r w:rsidRPr="00A9330B">
              <w:rPr>
                <w:rFonts w:cs="Arial"/>
                <w:sz w:val="18"/>
                <w:szCs w:val="18"/>
              </w:rPr>
              <w:t>2</w:t>
            </w:r>
          </w:p>
        </w:tc>
        <w:tc>
          <w:tcPr>
            <w:tcW w:w="851" w:type="dxa"/>
          </w:tcPr>
          <w:p w14:paraId="36239958" w14:textId="77777777" w:rsidR="00401546" w:rsidRPr="00A9330B" w:rsidRDefault="00401546" w:rsidP="00401546">
            <w:pPr>
              <w:spacing w:line="276" w:lineRule="auto"/>
              <w:jc w:val="center"/>
              <w:rPr>
                <w:rFonts w:cs="Arial"/>
                <w:sz w:val="18"/>
                <w:szCs w:val="18"/>
              </w:rPr>
            </w:pPr>
            <w:r w:rsidRPr="00A9330B">
              <w:rPr>
                <w:rFonts w:cs="Arial"/>
                <w:sz w:val="18"/>
                <w:szCs w:val="18"/>
              </w:rPr>
              <w:t>2</w:t>
            </w:r>
          </w:p>
        </w:tc>
        <w:tc>
          <w:tcPr>
            <w:tcW w:w="850" w:type="dxa"/>
            <w:shd w:val="clear" w:color="auto" w:fill="FFFF00"/>
          </w:tcPr>
          <w:p w14:paraId="0EBE9392" w14:textId="77777777" w:rsidR="00401546" w:rsidRPr="00A9330B" w:rsidRDefault="00401546" w:rsidP="00401546">
            <w:pPr>
              <w:spacing w:line="276" w:lineRule="auto"/>
              <w:jc w:val="center"/>
              <w:rPr>
                <w:rFonts w:cs="Arial"/>
                <w:sz w:val="18"/>
                <w:szCs w:val="18"/>
              </w:rPr>
            </w:pPr>
          </w:p>
        </w:tc>
      </w:tr>
      <w:tr w:rsidR="00401546" w:rsidRPr="00A9330B" w14:paraId="0A73A6F0" w14:textId="77777777" w:rsidTr="00401546">
        <w:trPr>
          <w:jc w:val="center"/>
        </w:trPr>
        <w:tc>
          <w:tcPr>
            <w:tcW w:w="486" w:type="dxa"/>
          </w:tcPr>
          <w:p w14:paraId="0EED04CE" w14:textId="77777777" w:rsidR="00401546" w:rsidRPr="00A9330B" w:rsidRDefault="00401546" w:rsidP="00401546">
            <w:pPr>
              <w:spacing w:line="276" w:lineRule="auto"/>
              <w:jc w:val="center"/>
              <w:rPr>
                <w:rFonts w:cs="Arial"/>
                <w:sz w:val="18"/>
                <w:szCs w:val="18"/>
              </w:rPr>
            </w:pPr>
            <w:r w:rsidRPr="00A9330B">
              <w:rPr>
                <w:rFonts w:cs="Arial"/>
                <w:sz w:val="18"/>
                <w:szCs w:val="18"/>
              </w:rPr>
              <w:t>7</w:t>
            </w:r>
          </w:p>
        </w:tc>
        <w:tc>
          <w:tcPr>
            <w:tcW w:w="2770" w:type="dxa"/>
          </w:tcPr>
          <w:p w14:paraId="35DE0F3B" w14:textId="77777777" w:rsidR="00401546" w:rsidRPr="00A9330B" w:rsidRDefault="00401546" w:rsidP="000F7BA7">
            <w:pPr>
              <w:spacing w:line="276" w:lineRule="auto"/>
              <w:jc w:val="both"/>
              <w:rPr>
                <w:rFonts w:cs="Arial"/>
                <w:sz w:val="18"/>
                <w:szCs w:val="18"/>
              </w:rPr>
            </w:pPr>
            <w:r w:rsidRPr="00A9330B">
              <w:rPr>
                <w:rFonts w:cs="Arial"/>
                <w:sz w:val="18"/>
                <w:szCs w:val="18"/>
              </w:rPr>
              <w:t xml:space="preserve">Conduite inappropriée des véhicules et engins de chantier </w:t>
            </w:r>
          </w:p>
        </w:tc>
        <w:tc>
          <w:tcPr>
            <w:tcW w:w="3118" w:type="dxa"/>
          </w:tcPr>
          <w:p w14:paraId="22FB0D59" w14:textId="77777777" w:rsidR="00401546" w:rsidRPr="00A9330B" w:rsidRDefault="00401546" w:rsidP="000F7BA7">
            <w:pPr>
              <w:spacing w:line="276" w:lineRule="auto"/>
              <w:jc w:val="both"/>
              <w:rPr>
                <w:rFonts w:cs="Arial"/>
                <w:sz w:val="18"/>
                <w:szCs w:val="18"/>
              </w:rPr>
            </w:pPr>
            <w:r w:rsidRPr="00A9330B">
              <w:rPr>
                <w:rFonts w:cs="Arial"/>
                <w:sz w:val="18"/>
                <w:szCs w:val="18"/>
              </w:rPr>
              <w:t xml:space="preserve">Exposition des chauffeurs, passagers et tiers à des blessures, fractures, traumatismes et le cas échéant dégradation ou destruction de biens </w:t>
            </w:r>
          </w:p>
        </w:tc>
        <w:tc>
          <w:tcPr>
            <w:tcW w:w="1134" w:type="dxa"/>
          </w:tcPr>
          <w:p w14:paraId="143BCAAE" w14:textId="77777777" w:rsidR="00401546" w:rsidRPr="00A9330B" w:rsidRDefault="00401546" w:rsidP="00401546">
            <w:pPr>
              <w:spacing w:line="276" w:lineRule="auto"/>
              <w:jc w:val="center"/>
              <w:rPr>
                <w:rFonts w:cs="Arial"/>
                <w:sz w:val="18"/>
                <w:szCs w:val="18"/>
              </w:rPr>
            </w:pPr>
            <w:r w:rsidRPr="00A9330B">
              <w:rPr>
                <w:rFonts w:cs="Arial"/>
                <w:sz w:val="18"/>
                <w:szCs w:val="18"/>
              </w:rPr>
              <w:t>3</w:t>
            </w:r>
          </w:p>
        </w:tc>
        <w:tc>
          <w:tcPr>
            <w:tcW w:w="851" w:type="dxa"/>
          </w:tcPr>
          <w:p w14:paraId="54DB234A" w14:textId="77777777" w:rsidR="00401546" w:rsidRPr="00A9330B" w:rsidRDefault="00401546" w:rsidP="00401546">
            <w:pPr>
              <w:spacing w:line="276" w:lineRule="auto"/>
              <w:jc w:val="center"/>
              <w:rPr>
                <w:rFonts w:cs="Arial"/>
                <w:sz w:val="18"/>
                <w:szCs w:val="18"/>
              </w:rPr>
            </w:pPr>
            <w:r w:rsidRPr="00A9330B">
              <w:rPr>
                <w:rFonts w:cs="Arial"/>
                <w:sz w:val="18"/>
                <w:szCs w:val="18"/>
              </w:rPr>
              <w:t>3</w:t>
            </w:r>
          </w:p>
        </w:tc>
        <w:tc>
          <w:tcPr>
            <w:tcW w:w="850" w:type="dxa"/>
            <w:shd w:val="clear" w:color="auto" w:fill="FF0000"/>
          </w:tcPr>
          <w:p w14:paraId="75E5C2EB" w14:textId="77777777" w:rsidR="00401546" w:rsidRPr="00A9330B" w:rsidRDefault="00401546" w:rsidP="00401546">
            <w:pPr>
              <w:spacing w:line="276" w:lineRule="auto"/>
              <w:jc w:val="center"/>
              <w:rPr>
                <w:rFonts w:cs="Arial"/>
                <w:sz w:val="18"/>
                <w:szCs w:val="18"/>
              </w:rPr>
            </w:pPr>
          </w:p>
        </w:tc>
      </w:tr>
      <w:tr w:rsidR="00401546" w:rsidRPr="00A9330B" w14:paraId="161CF08B" w14:textId="77777777" w:rsidTr="00401546">
        <w:trPr>
          <w:jc w:val="center"/>
        </w:trPr>
        <w:tc>
          <w:tcPr>
            <w:tcW w:w="486" w:type="dxa"/>
          </w:tcPr>
          <w:p w14:paraId="11D7F884" w14:textId="77777777" w:rsidR="00401546" w:rsidRPr="00A9330B" w:rsidRDefault="00401546" w:rsidP="00401546">
            <w:pPr>
              <w:spacing w:line="276" w:lineRule="auto"/>
              <w:jc w:val="center"/>
              <w:rPr>
                <w:rFonts w:cs="Arial"/>
                <w:sz w:val="18"/>
                <w:szCs w:val="18"/>
              </w:rPr>
            </w:pPr>
            <w:r w:rsidRPr="00A9330B">
              <w:rPr>
                <w:rFonts w:cs="Arial"/>
                <w:sz w:val="18"/>
                <w:szCs w:val="18"/>
              </w:rPr>
              <w:t>8</w:t>
            </w:r>
          </w:p>
        </w:tc>
        <w:tc>
          <w:tcPr>
            <w:tcW w:w="2770" w:type="dxa"/>
          </w:tcPr>
          <w:p w14:paraId="2565A3B1" w14:textId="77777777" w:rsidR="00401546" w:rsidRPr="00A9330B" w:rsidRDefault="00401546" w:rsidP="000F7BA7">
            <w:pPr>
              <w:spacing w:line="276" w:lineRule="auto"/>
              <w:jc w:val="both"/>
              <w:rPr>
                <w:rFonts w:cs="Arial"/>
                <w:sz w:val="18"/>
                <w:szCs w:val="18"/>
              </w:rPr>
            </w:pPr>
            <w:r w:rsidRPr="00A9330B">
              <w:rPr>
                <w:rFonts w:cs="Arial"/>
                <w:sz w:val="18"/>
                <w:szCs w:val="18"/>
              </w:rPr>
              <w:t xml:space="preserve">Installation d’engins sous des lignes électriques aérienne sous tension </w:t>
            </w:r>
          </w:p>
        </w:tc>
        <w:tc>
          <w:tcPr>
            <w:tcW w:w="3118" w:type="dxa"/>
          </w:tcPr>
          <w:p w14:paraId="47457892" w14:textId="77777777" w:rsidR="00401546" w:rsidRPr="00A9330B" w:rsidRDefault="00401546" w:rsidP="000F7BA7">
            <w:pPr>
              <w:spacing w:line="276" w:lineRule="auto"/>
              <w:jc w:val="both"/>
              <w:rPr>
                <w:rFonts w:cs="Arial"/>
                <w:sz w:val="18"/>
                <w:szCs w:val="18"/>
              </w:rPr>
            </w:pPr>
            <w:r w:rsidRPr="00A9330B">
              <w:rPr>
                <w:rFonts w:cs="Arial"/>
                <w:sz w:val="18"/>
                <w:szCs w:val="18"/>
              </w:rPr>
              <w:t xml:space="preserve">Contact accidentel pouvant provoquer une électrisation à l’origine de troubles neurologiques et coupure d’électricité dans le secteur </w:t>
            </w:r>
          </w:p>
        </w:tc>
        <w:tc>
          <w:tcPr>
            <w:tcW w:w="1134" w:type="dxa"/>
          </w:tcPr>
          <w:p w14:paraId="4F2F4684" w14:textId="77777777" w:rsidR="00401546" w:rsidRPr="00A9330B" w:rsidRDefault="00401546" w:rsidP="00401546">
            <w:pPr>
              <w:spacing w:line="276" w:lineRule="auto"/>
              <w:jc w:val="center"/>
              <w:rPr>
                <w:rFonts w:cs="Arial"/>
                <w:sz w:val="18"/>
                <w:szCs w:val="18"/>
              </w:rPr>
            </w:pPr>
            <w:r w:rsidRPr="00A9330B">
              <w:rPr>
                <w:rFonts w:cs="Arial"/>
                <w:sz w:val="18"/>
                <w:szCs w:val="18"/>
              </w:rPr>
              <w:t>2</w:t>
            </w:r>
          </w:p>
        </w:tc>
        <w:tc>
          <w:tcPr>
            <w:tcW w:w="851" w:type="dxa"/>
          </w:tcPr>
          <w:p w14:paraId="63B108BF" w14:textId="77777777" w:rsidR="00401546" w:rsidRPr="00A9330B" w:rsidRDefault="00401546" w:rsidP="00401546">
            <w:pPr>
              <w:spacing w:line="276" w:lineRule="auto"/>
              <w:jc w:val="center"/>
              <w:rPr>
                <w:rFonts w:cs="Arial"/>
                <w:sz w:val="18"/>
                <w:szCs w:val="18"/>
              </w:rPr>
            </w:pPr>
            <w:r w:rsidRPr="00A9330B">
              <w:rPr>
                <w:rFonts w:cs="Arial"/>
                <w:sz w:val="18"/>
                <w:szCs w:val="18"/>
              </w:rPr>
              <w:t>4</w:t>
            </w:r>
          </w:p>
        </w:tc>
        <w:tc>
          <w:tcPr>
            <w:tcW w:w="850" w:type="dxa"/>
            <w:shd w:val="clear" w:color="auto" w:fill="FFFF00"/>
          </w:tcPr>
          <w:p w14:paraId="19A97C94" w14:textId="77777777" w:rsidR="00401546" w:rsidRPr="00A9330B" w:rsidRDefault="00401546" w:rsidP="00401546">
            <w:pPr>
              <w:spacing w:line="276" w:lineRule="auto"/>
              <w:jc w:val="center"/>
              <w:rPr>
                <w:rFonts w:cs="Arial"/>
                <w:sz w:val="18"/>
                <w:szCs w:val="18"/>
              </w:rPr>
            </w:pPr>
          </w:p>
        </w:tc>
      </w:tr>
      <w:tr w:rsidR="00401546" w:rsidRPr="00A9330B" w14:paraId="11D855A1" w14:textId="77777777" w:rsidTr="00401546">
        <w:trPr>
          <w:jc w:val="center"/>
        </w:trPr>
        <w:tc>
          <w:tcPr>
            <w:tcW w:w="486" w:type="dxa"/>
          </w:tcPr>
          <w:p w14:paraId="6F44AF81" w14:textId="77777777" w:rsidR="00401546" w:rsidRPr="00A9330B" w:rsidRDefault="00401546" w:rsidP="00401546">
            <w:pPr>
              <w:spacing w:line="276" w:lineRule="auto"/>
              <w:jc w:val="center"/>
              <w:rPr>
                <w:rFonts w:cs="Arial"/>
                <w:sz w:val="18"/>
                <w:szCs w:val="18"/>
              </w:rPr>
            </w:pPr>
            <w:r w:rsidRPr="00A9330B">
              <w:rPr>
                <w:rFonts w:cs="Arial"/>
                <w:sz w:val="18"/>
                <w:szCs w:val="18"/>
              </w:rPr>
              <w:t>9</w:t>
            </w:r>
          </w:p>
        </w:tc>
        <w:tc>
          <w:tcPr>
            <w:tcW w:w="2770" w:type="dxa"/>
          </w:tcPr>
          <w:p w14:paraId="390DCBBE" w14:textId="77777777" w:rsidR="00401546" w:rsidRPr="00A9330B" w:rsidRDefault="00401546" w:rsidP="000F7BA7">
            <w:pPr>
              <w:spacing w:line="276" w:lineRule="auto"/>
              <w:jc w:val="both"/>
              <w:rPr>
                <w:rFonts w:cs="Arial"/>
                <w:sz w:val="18"/>
                <w:szCs w:val="18"/>
              </w:rPr>
            </w:pPr>
            <w:r w:rsidRPr="00A9330B">
              <w:rPr>
                <w:rFonts w:cs="Arial"/>
                <w:sz w:val="18"/>
                <w:szCs w:val="18"/>
              </w:rPr>
              <w:t xml:space="preserve">Emploi inadapté de postes de soudure (PEHD), d’appareils électriques ou de produits chimiques divers dont liants hydrocarbonés chauds, colles et décapants. </w:t>
            </w:r>
          </w:p>
        </w:tc>
        <w:tc>
          <w:tcPr>
            <w:tcW w:w="3118" w:type="dxa"/>
          </w:tcPr>
          <w:p w14:paraId="614E16CE" w14:textId="77777777" w:rsidR="00401546" w:rsidRPr="00A9330B" w:rsidRDefault="00401546" w:rsidP="000F7BA7">
            <w:pPr>
              <w:spacing w:line="276" w:lineRule="auto"/>
              <w:jc w:val="both"/>
              <w:rPr>
                <w:rFonts w:cs="Arial"/>
                <w:sz w:val="18"/>
                <w:szCs w:val="18"/>
              </w:rPr>
            </w:pPr>
            <w:r w:rsidRPr="00A9330B">
              <w:rPr>
                <w:rFonts w:cs="Arial"/>
                <w:sz w:val="18"/>
                <w:szCs w:val="18"/>
              </w:rPr>
              <w:t>Vulnérabilité des ouvriers aux brûlures, électrisation, intoxication ou affection des voies respiratoires</w:t>
            </w:r>
          </w:p>
        </w:tc>
        <w:tc>
          <w:tcPr>
            <w:tcW w:w="1134" w:type="dxa"/>
          </w:tcPr>
          <w:p w14:paraId="0BCDD46D" w14:textId="77777777" w:rsidR="00401546" w:rsidRPr="00A9330B" w:rsidRDefault="00401546" w:rsidP="00401546">
            <w:pPr>
              <w:spacing w:line="276" w:lineRule="auto"/>
              <w:jc w:val="center"/>
              <w:rPr>
                <w:rFonts w:cs="Arial"/>
                <w:sz w:val="18"/>
                <w:szCs w:val="18"/>
              </w:rPr>
            </w:pPr>
            <w:r w:rsidRPr="00A9330B">
              <w:rPr>
                <w:rFonts w:cs="Arial"/>
                <w:sz w:val="18"/>
                <w:szCs w:val="18"/>
              </w:rPr>
              <w:t>2</w:t>
            </w:r>
          </w:p>
        </w:tc>
        <w:tc>
          <w:tcPr>
            <w:tcW w:w="851" w:type="dxa"/>
          </w:tcPr>
          <w:p w14:paraId="725B092D" w14:textId="77777777" w:rsidR="00401546" w:rsidRPr="00A9330B" w:rsidRDefault="00401546" w:rsidP="00401546">
            <w:pPr>
              <w:spacing w:line="276" w:lineRule="auto"/>
              <w:jc w:val="center"/>
              <w:rPr>
                <w:rFonts w:cs="Arial"/>
                <w:sz w:val="18"/>
                <w:szCs w:val="18"/>
              </w:rPr>
            </w:pPr>
            <w:r w:rsidRPr="00A9330B">
              <w:rPr>
                <w:rFonts w:cs="Arial"/>
                <w:sz w:val="18"/>
                <w:szCs w:val="18"/>
              </w:rPr>
              <w:t>2</w:t>
            </w:r>
          </w:p>
        </w:tc>
        <w:tc>
          <w:tcPr>
            <w:tcW w:w="850" w:type="dxa"/>
            <w:shd w:val="clear" w:color="auto" w:fill="FFFF00"/>
          </w:tcPr>
          <w:p w14:paraId="297BEA4D" w14:textId="77777777" w:rsidR="00401546" w:rsidRPr="00A9330B" w:rsidRDefault="00401546" w:rsidP="00401546">
            <w:pPr>
              <w:spacing w:line="276" w:lineRule="auto"/>
              <w:jc w:val="center"/>
              <w:rPr>
                <w:rFonts w:cs="Arial"/>
                <w:sz w:val="18"/>
                <w:szCs w:val="18"/>
              </w:rPr>
            </w:pPr>
          </w:p>
        </w:tc>
      </w:tr>
    </w:tbl>
    <w:p w14:paraId="3359CA2B" w14:textId="77777777" w:rsidR="00401546" w:rsidRPr="00A9330B" w:rsidRDefault="00401546" w:rsidP="00401546"/>
    <w:p w14:paraId="16ADB4CE" w14:textId="0873D170" w:rsidR="00401546" w:rsidRPr="00A9330B" w:rsidRDefault="00401546" w:rsidP="00401546">
      <w:pPr>
        <w:jc w:val="both"/>
        <w:rPr>
          <w:rFonts w:cs="Arial"/>
        </w:rPr>
      </w:pPr>
      <w:r w:rsidRPr="00A9330B">
        <w:rPr>
          <w:rFonts w:cs="Arial"/>
        </w:rPr>
        <w:t xml:space="preserve">Il faut noter que d’une manière générale, les risques proviennent de la dangerosité des opérations dans un espace réduit, bruyant, et le plus souvent instable (boue, sable), nécessitant la manipulation de charges lourdes (outils et </w:t>
      </w:r>
      <w:r w:rsidR="00350C9E" w:rsidRPr="00A9330B">
        <w:rPr>
          <w:rFonts w:cs="Arial"/>
        </w:rPr>
        <w:t>équipements divers</w:t>
      </w:r>
      <w:r w:rsidRPr="00A9330B">
        <w:rPr>
          <w:rFonts w:cs="Arial"/>
        </w:rPr>
        <w:t xml:space="preserve">, poteaux, câbles, </w:t>
      </w:r>
      <w:r w:rsidRPr="00A9330B">
        <w:rPr>
          <w:rFonts w:cs="Arial"/>
          <w:i/>
        </w:rPr>
        <w:t>etc</w:t>
      </w:r>
      <w:r w:rsidRPr="00A9330B">
        <w:rPr>
          <w:rFonts w:cs="Arial"/>
        </w:rPr>
        <w:t>.) et en mouvement.</w:t>
      </w:r>
    </w:p>
    <w:p w14:paraId="20FE0CDE" w14:textId="77777777" w:rsidR="00401546" w:rsidRPr="00A9330B" w:rsidRDefault="00401546" w:rsidP="000F7BA7">
      <w:pPr>
        <w:pStyle w:val="Titre20"/>
      </w:pPr>
      <w:bookmarkStart w:id="1732" w:name="_Toc535244611"/>
      <w:bookmarkStart w:id="1733" w:name="_Toc43697695"/>
      <w:bookmarkStart w:id="1734" w:name="_Toc52869699"/>
      <w:bookmarkStart w:id="1735" w:name="_Toc52869859"/>
      <w:r w:rsidRPr="00A9330B">
        <w:t>9.4. Aménagement des déviations</w:t>
      </w:r>
      <w:bookmarkEnd w:id="1732"/>
      <w:bookmarkEnd w:id="1733"/>
      <w:bookmarkEnd w:id="1734"/>
      <w:bookmarkEnd w:id="1735"/>
      <w:r w:rsidRPr="00A9330B">
        <w:t xml:space="preserve"> </w:t>
      </w:r>
    </w:p>
    <w:p w14:paraId="4D4065CF" w14:textId="77777777" w:rsidR="00401546" w:rsidRPr="00A9330B" w:rsidRDefault="00401546" w:rsidP="00401546">
      <w:pPr>
        <w:spacing w:after="120"/>
        <w:jc w:val="both"/>
        <w:rPr>
          <w:rFonts w:cs="Arial"/>
        </w:rPr>
      </w:pPr>
      <w:r w:rsidRPr="00A9330B">
        <w:rPr>
          <w:rFonts w:cs="Arial"/>
        </w:rPr>
        <w:t>Les risques les plus élevés sont liés aux déplacements des engins de chantier, potentiellement létaux s’ils heurtent un ouvrier. Les principaux risques spécifiques et notamment cumulatifs concernent la circulation des engins dans un même espace que les tiers (populations riveraines, usagers de la route) en fonction de leur profondeur et hauteur.</w:t>
      </w:r>
    </w:p>
    <w:p w14:paraId="3A8E82C7" w14:textId="794084DB" w:rsidR="00401546" w:rsidRPr="00A9330B" w:rsidRDefault="00401546" w:rsidP="00401546">
      <w:pPr>
        <w:spacing w:after="120"/>
        <w:rPr>
          <w:rFonts w:cs="Arial"/>
          <w:b/>
        </w:rPr>
      </w:pPr>
      <w:bookmarkStart w:id="1736" w:name="_Toc523424603"/>
      <w:bookmarkStart w:id="1737" w:name="_Toc523582288"/>
      <w:bookmarkStart w:id="1738" w:name="_Toc524462732"/>
      <w:bookmarkStart w:id="1739" w:name="_Toc529249275"/>
      <w:bookmarkStart w:id="1740" w:name="_Toc533058614"/>
      <w:bookmarkStart w:id="1741" w:name="_Toc535237427"/>
      <w:bookmarkStart w:id="1742" w:name="_Toc43696257"/>
      <w:bookmarkStart w:id="1743" w:name="_Toc52873770"/>
      <w:r w:rsidRPr="00A9330B">
        <w:rPr>
          <w:b/>
        </w:rPr>
        <w:t xml:space="preserve">Tableau </w:t>
      </w:r>
      <w:r w:rsidRPr="00A9330B">
        <w:rPr>
          <w:b/>
        </w:rPr>
        <w:fldChar w:fldCharType="begin"/>
      </w:r>
      <w:r w:rsidRPr="00A9330B">
        <w:rPr>
          <w:b/>
        </w:rPr>
        <w:instrText xml:space="preserve"> SEQ Tableau \* ARABIC </w:instrText>
      </w:r>
      <w:r w:rsidRPr="00A9330B">
        <w:rPr>
          <w:b/>
        </w:rPr>
        <w:fldChar w:fldCharType="separate"/>
      </w:r>
      <w:r w:rsidR="00417D31" w:rsidRPr="00A9330B">
        <w:rPr>
          <w:b/>
          <w:noProof/>
        </w:rPr>
        <w:t>46</w:t>
      </w:r>
      <w:r w:rsidRPr="00A9330B">
        <w:rPr>
          <w:b/>
        </w:rPr>
        <w:fldChar w:fldCharType="end"/>
      </w:r>
      <w:r w:rsidRPr="00A9330B">
        <w:rPr>
          <w:rFonts w:cs="Arial"/>
          <w:b/>
          <w:noProof/>
        </w:rPr>
        <w:t xml:space="preserve"> </w:t>
      </w:r>
      <w:r w:rsidRPr="00A9330B">
        <w:rPr>
          <w:rFonts w:cs="Arial"/>
          <w:b/>
          <w:color w:val="auto"/>
        </w:rPr>
        <w:t xml:space="preserve">: </w:t>
      </w:r>
      <w:r w:rsidRPr="00A9330B">
        <w:rPr>
          <w:rFonts w:cs="Arial"/>
          <w:b/>
        </w:rPr>
        <w:t>Analyse des risques pour les travaux d’aménagement des déviations</w:t>
      </w:r>
      <w:bookmarkEnd w:id="1736"/>
      <w:bookmarkEnd w:id="1737"/>
      <w:bookmarkEnd w:id="1738"/>
      <w:bookmarkEnd w:id="1739"/>
      <w:bookmarkEnd w:id="1740"/>
      <w:bookmarkEnd w:id="1741"/>
      <w:bookmarkEnd w:id="1742"/>
      <w:bookmarkEnd w:id="1743"/>
    </w:p>
    <w:tbl>
      <w:tblPr>
        <w:tblStyle w:val="TableauGrille1Clair1"/>
        <w:tblW w:w="9209" w:type="dxa"/>
        <w:jc w:val="center"/>
        <w:tblLayout w:type="fixed"/>
        <w:tblLook w:val="04A0" w:firstRow="1" w:lastRow="0" w:firstColumn="1" w:lastColumn="0" w:noHBand="0" w:noVBand="1"/>
      </w:tblPr>
      <w:tblGrid>
        <w:gridCol w:w="486"/>
        <w:gridCol w:w="2628"/>
        <w:gridCol w:w="2835"/>
        <w:gridCol w:w="1276"/>
        <w:gridCol w:w="992"/>
        <w:gridCol w:w="992"/>
      </w:tblGrid>
      <w:tr w:rsidR="00401546" w:rsidRPr="00A9330B" w14:paraId="273943B2" w14:textId="77777777" w:rsidTr="00401546">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86" w:type="dxa"/>
            <w:vMerge w:val="restart"/>
            <w:shd w:val="clear" w:color="auto" w:fill="FFFFFF" w:themeFill="background1"/>
          </w:tcPr>
          <w:p w14:paraId="083BD833" w14:textId="77777777" w:rsidR="00401546" w:rsidRPr="00A9330B" w:rsidRDefault="00401546" w:rsidP="00401546">
            <w:pPr>
              <w:spacing w:before="60" w:line="240" w:lineRule="auto"/>
              <w:jc w:val="center"/>
              <w:rPr>
                <w:rFonts w:cs="Arial"/>
                <w:color w:val="auto"/>
                <w:sz w:val="20"/>
                <w:szCs w:val="20"/>
              </w:rPr>
            </w:pPr>
            <w:r w:rsidRPr="00A9330B">
              <w:rPr>
                <w:rFonts w:cs="Arial"/>
                <w:color w:val="auto"/>
                <w:sz w:val="20"/>
                <w:szCs w:val="20"/>
              </w:rPr>
              <w:br w:type="page"/>
              <w:t>N°</w:t>
            </w:r>
          </w:p>
        </w:tc>
        <w:tc>
          <w:tcPr>
            <w:tcW w:w="2628" w:type="dxa"/>
            <w:vMerge w:val="restart"/>
            <w:shd w:val="clear" w:color="auto" w:fill="FFFFFF" w:themeFill="background1"/>
          </w:tcPr>
          <w:p w14:paraId="7AE1D013" w14:textId="77777777" w:rsidR="00401546" w:rsidRPr="00A9330B" w:rsidRDefault="00401546" w:rsidP="00401546">
            <w:pPr>
              <w:spacing w:before="60" w:line="240" w:lineRule="auto"/>
              <w:jc w:val="center"/>
              <w:cnfStyle w:val="100000000000" w:firstRow="1" w:lastRow="0" w:firstColumn="0" w:lastColumn="0" w:oddVBand="0" w:evenVBand="0" w:oddHBand="0" w:evenHBand="0" w:firstRowFirstColumn="0" w:firstRowLastColumn="0" w:lastRowFirstColumn="0" w:lastRowLastColumn="0"/>
              <w:rPr>
                <w:rFonts w:cs="Arial"/>
                <w:color w:val="auto"/>
                <w:sz w:val="20"/>
                <w:szCs w:val="20"/>
              </w:rPr>
            </w:pPr>
            <w:r w:rsidRPr="00A9330B">
              <w:rPr>
                <w:rFonts w:cs="Arial"/>
                <w:color w:val="auto"/>
                <w:sz w:val="20"/>
                <w:szCs w:val="20"/>
              </w:rPr>
              <w:t xml:space="preserve">Principales situations de danger </w:t>
            </w:r>
          </w:p>
        </w:tc>
        <w:tc>
          <w:tcPr>
            <w:tcW w:w="2835" w:type="dxa"/>
            <w:vMerge w:val="restart"/>
            <w:shd w:val="clear" w:color="auto" w:fill="FFFFFF" w:themeFill="background1"/>
          </w:tcPr>
          <w:p w14:paraId="43F867E8" w14:textId="77777777" w:rsidR="00401546" w:rsidRPr="00A9330B" w:rsidRDefault="00401546" w:rsidP="00401546">
            <w:pPr>
              <w:spacing w:before="60" w:line="240" w:lineRule="auto"/>
              <w:jc w:val="center"/>
              <w:cnfStyle w:val="100000000000" w:firstRow="1" w:lastRow="0" w:firstColumn="0" w:lastColumn="0" w:oddVBand="0" w:evenVBand="0" w:oddHBand="0" w:evenHBand="0" w:firstRowFirstColumn="0" w:firstRowLastColumn="0" w:lastRowFirstColumn="0" w:lastRowLastColumn="0"/>
              <w:rPr>
                <w:rFonts w:cs="Arial"/>
                <w:color w:val="auto"/>
                <w:sz w:val="20"/>
                <w:szCs w:val="20"/>
              </w:rPr>
            </w:pPr>
            <w:r w:rsidRPr="00A9330B">
              <w:rPr>
                <w:rFonts w:cs="Arial"/>
                <w:color w:val="auto"/>
                <w:sz w:val="20"/>
                <w:szCs w:val="20"/>
              </w:rPr>
              <w:t xml:space="preserve">Evènements non souhaitable (ENS)/Impact  </w:t>
            </w:r>
          </w:p>
        </w:tc>
        <w:tc>
          <w:tcPr>
            <w:tcW w:w="3260" w:type="dxa"/>
            <w:gridSpan w:val="3"/>
            <w:shd w:val="clear" w:color="auto" w:fill="FFFFFF" w:themeFill="background1"/>
          </w:tcPr>
          <w:p w14:paraId="2BB704A0" w14:textId="77777777" w:rsidR="00401546" w:rsidRPr="00A9330B" w:rsidRDefault="00401546" w:rsidP="00401546">
            <w:pPr>
              <w:spacing w:before="60" w:line="240" w:lineRule="auto"/>
              <w:jc w:val="center"/>
              <w:cnfStyle w:val="100000000000" w:firstRow="1" w:lastRow="0" w:firstColumn="0" w:lastColumn="0" w:oddVBand="0" w:evenVBand="0" w:oddHBand="0" w:evenHBand="0" w:firstRowFirstColumn="0" w:firstRowLastColumn="0" w:lastRowFirstColumn="0" w:lastRowLastColumn="0"/>
              <w:rPr>
                <w:rFonts w:cs="Arial"/>
                <w:color w:val="auto"/>
                <w:sz w:val="20"/>
                <w:szCs w:val="20"/>
              </w:rPr>
            </w:pPr>
            <w:r w:rsidRPr="00A9330B">
              <w:rPr>
                <w:rFonts w:cs="Arial"/>
                <w:color w:val="auto"/>
                <w:sz w:val="20"/>
                <w:szCs w:val="20"/>
              </w:rPr>
              <w:t xml:space="preserve">Evaluation du risque </w:t>
            </w:r>
          </w:p>
        </w:tc>
      </w:tr>
      <w:tr w:rsidR="00401546" w:rsidRPr="00A9330B" w14:paraId="164D455A" w14:textId="77777777" w:rsidTr="009C5C1D">
        <w:trPr>
          <w:jc w:val="center"/>
        </w:trPr>
        <w:tc>
          <w:tcPr>
            <w:cnfStyle w:val="001000000000" w:firstRow="0" w:lastRow="0" w:firstColumn="1" w:lastColumn="0" w:oddVBand="0" w:evenVBand="0" w:oddHBand="0" w:evenHBand="0" w:firstRowFirstColumn="0" w:firstRowLastColumn="0" w:lastRowFirstColumn="0" w:lastRowLastColumn="0"/>
            <w:tcW w:w="486" w:type="dxa"/>
            <w:vMerge/>
            <w:shd w:val="clear" w:color="auto" w:fill="FF6600"/>
          </w:tcPr>
          <w:p w14:paraId="5AE6C7C6" w14:textId="77777777" w:rsidR="00401546" w:rsidRPr="00A9330B" w:rsidRDefault="00401546" w:rsidP="00401546">
            <w:pPr>
              <w:spacing w:before="60" w:line="240" w:lineRule="auto"/>
              <w:rPr>
                <w:rFonts w:cs="Arial"/>
                <w:sz w:val="20"/>
                <w:szCs w:val="20"/>
              </w:rPr>
            </w:pPr>
          </w:p>
        </w:tc>
        <w:tc>
          <w:tcPr>
            <w:tcW w:w="2628" w:type="dxa"/>
            <w:vMerge/>
            <w:shd w:val="clear" w:color="auto" w:fill="FF6600"/>
          </w:tcPr>
          <w:p w14:paraId="628AD50A" w14:textId="77777777" w:rsidR="00401546" w:rsidRPr="00A9330B" w:rsidRDefault="00401546" w:rsidP="00401546">
            <w:pPr>
              <w:spacing w:before="60" w:line="240" w:lineRule="auto"/>
              <w:cnfStyle w:val="000000000000" w:firstRow="0" w:lastRow="0" w:firstColumn="0" w:lastColumn="0" w:oddVBand="0" w:evenVBand="0" w:oddHBand="0" w:evenHBand="0" w:firstRowFirstColumn="0" w:firstRowLastColumn="0" w:lastRowFirstColumn="0" w:lastRowLastColumn="0"/>
              <w:rPr>
                <w:rFonts w:cs="Arial"/>
                <w:sz w:val="20"/>
                <w:szCs w:val="20"/>
              </w:rPr>
            </w:pPr>
          </w:p>
        </w:tc>
        <w:tc>
          <w:tcPr>
            <w:tcW w:w="2835" w:type="dxa"/>
            <w:vMerge/>
            <w:shd w:val="clear" w:color="auto" w:fill="FF6600"/>
          </w:tcPr>
          <w:p w14:paraId="031BBFDF" w14:textId="77777777" w:rsidR="00401546" w:rsidRPr="00A9330B" w:rsidRDefault="00401546" w:rsidP="00401546">
            <w:pPr>
              <w:spacing w:before="60" w:line="240" w:lineRule="auto"/>
              <w:cnfStyle w:val="000000000000" w:firstRow="0" w:lastRow="0" w:firstColumn="0" w:lastColumn="0" w:oddVBand="0" w:evenVBand="0" w:oddHBand="0" w:evenHBand="0" w:firstRowFirstColumn="0" w:firstRowLastColumn="0" w:lastRowFirstColumn="0" w:lastRowLastColumn="0"/>
              <w:rPr>
                <w:rFonts w:cs="Arial"/>
                <w:sz w:val="20"/>
                <w:szCs w:val="20"/>
              </w:rPr>
            </w:pPr>
          </w:p>
        </w:tc>
        <w:tc>
          <w:tcPr>
            <w:tcW w:w="1276" w:type="dxa"/>
            <w:shd w:val="clear" w:color="auto" w:fill="ED7D31" w:themeFill="accent2"/>
          </w:tcPr>
          <w:p w14:paraId="5A9C7C51" w14:textId="77777777" w:rsidR="00401546" w:rsidRPr="00A9330B" w:rsidRDefault="00401546" w:rsidP="00401546">
            <w:pPr>
              <w:spacing w:before="60" w:line="240" w:lineRule="auto"/>
              <w:jc w:val="center"/>
              <w:cnfStyle w:val="000000000000" w:firstRow="0" w:lastRow="0" w:firstColumn="0" w:lastColumn="0" w:oddVBand="0" w:evenVBand="0" w:oddHBand="0" w:evenHBand="0" w:firstRowFirstColumn="0" w:firstRowLastColumn="0" w:lastRowFirstColumn="0" w:lastRowLastColumn="0"/>
              <w:rPr>
                <w:rFonts w:cs="Arial"/>
                <w:b/>
                <w:sz w:val="20"/>
                <w:szCs w:val="20"/>
              </w:rPr>
            </w:pPr>
            <w:r w:rsidRPr="00A9330B">
              <w:rPr>
                <w:rFonts w:cs="Arial"/>
                <w:b/>
                <w:sz w:val="20"/>
                <w:szCs w:val="20"/>
              </w:rPr>
              <w:t xml:space="preserve">Probabilité </w:t>
            </w:r>
          </w:p>
        </w:tc>
        <w:tc>
          <w:tcPr>
            <w:tcW w:w="992" w:type="dxa"/>
            <w:shd w:val="clear" w:color="auto" w:fill="ED7D31" w:themeFill="accent2"/>
          </w:tcPr>
          <w:p w14:paraId="405A1302" w14:textId="77777777" w:rsidR="00401546" w:rsidRPr="00A9330B" w:rsidRDefault="00401546" w:rsidP="00401546">
            <w:pPr>
              <w:spacing w:before="60" w:line="240" w:lineRule="auto"/>
              <w:jc w:val="center"/>
              <w:cnfStyle w:val="000000000000" w:firstRow="0" w:lastRow="0" w:firstColumn="0" w:lastColumn="0" w:oddVBand="0" w:evenVBand="0" w:oddHBand="0" w:evenHBand="0" w:firstRowFirstColumn="0" w:firstRowLastColumn="0" w:lastRowFirstColumn="0" w:lastRowLastColumn="0"/>
              <w:rPr>
                <w:rFonts w:cs="Arial"/>
                <w:b/>
                <w:sz w:val="20"/>
                <w:szCs w:val="20"/>
              </w:rPr>
            </w:pPr>
            <w:r w:rsidRPr="00A9330B">
              <w:rPr>
                <w:rFonts w:cs="Arial"/>
                <w:b/>
                <w:sz w:val="20"/>
                <w:szCs w:val="20"/>
              </w:rPr>
              <w:t xml:space="preserve">Gravité </w:t>
            </w:r>
          </w:p>
        </w:tc>
        <w:tc>
          <w:tcPr>
            <w:tcW w:w="992" w:type="dxa"/>
            <w:shd w:val="clear" w:color="auto" w:fill="ED7D31" w:themeFill="accent2"/>
          </w:tcPr>
          <w:p w14:paraId="5A980D90" w14:textId="77777777" w:rsidR="00401546" w:rsidRPr="00A9330B" w:rsidRDefault="00401546" w:rsidP="00401546">
            <w:pPr>
              <w:spacing w:before="60" w:line="240" w:lineRule="auto"/>
              <w:jc w:val="center"/>
              <w:cnfStyle w:val="000000000000" w:firstRow="0" w:lastRow="0" w:firstColumn="0" w:lastColumn="0" w:oddVBand="0" w:evenVBand="0" w:oddHBand="0" w:evenHBand="0" w:firstRowFirstColumn="0" w:firstRowLastColumn="0" w:lastRowFirstColumn="0" w:lastRowLastColumn="0"/>
              <w:rPr>
                <w:rFonts w:cs="Arial"/>
                <w:b/>
                <w:sz w:val="20"/>
                <w:szCs w:val="20"/>
              </w:rPr>
            </w:pPr>
            <w:r w:rsidRPr="00A9330B">
              <w:rPr>
                <w:rFonts w:cs="Arial"/>
                <w:b/>
                <w:sz w:val="20"/>
                <w:szCs w:val="20"/>
              </w:rPr>
              <w:t xml:space="preserve">Acceptabilité </w:t>
            </w:r>
          </w:p>
        </w:tc>
      </w:tr>
      <w:tr w:rsidR="00401546" w:rsidRPr="00A9330B" w14:paraId="7989847C" w14:textId="77777777" w:rsidTr="00401546">
        <w:trPr>
          <w:jc w:val="center"/>
        </w:trPr>
        <w:tc>
          <w:tcPr>
            <w:cnfStyle w:val="001000000000" w:firstRow="0" w:lastRow="0" w:firstColumn="1" w:lastColumn="0" w:oddVBand="0" w:evenVBand="0" w:oddHBand="0" w:evenHBand="0" w:firstRowFirstColumn="0" w:firstRowLastColumn="0" w:lastRowFirstColumn="0" w:lastRowLastColumn="0"/>
            <w:tcW w:w="486" w:type="dxa"/>
          </w:tcPr>
          <w:p w14:paraId="2D6A40B9" w14:textId="77777777" w:rsidR="00401546" w:rsidRPr="00A9330B" w:rsidRDefault="00401546" w:rsidP="00401546">
            <w:pPr>
              <w:spacing w:before="60" w:line="240" w:lineRule="auto"/>
              <w:jc w:val="center"/>
              <w:rPr>
                <w:rFonts w:cs="Arial"/>
                <w:sz w:val="20"/>
                <w:szCs w:val="20"/>
              </w:rPr>
            </w:pPr>
            <w:r w:rsidRPr="00A9330B">
              <w:rPr>
                <w:rFonts w:cs="Arial"/>
                <w:sz w:val="20"/>
                <w:szCs w:val="20"/>
              </w:rPr>
              <w:t>1</w:t>
            </w:r>
          </w:p>
        </w:tc>
        <w:tc>
          <w:tcPr>
            <w:tcW w:w="2628" w:type="dxa"/>
          </w:tcPr>
          <w:p w14:paraId="6041C76E" w14:textId="77777777" w:rsidR="00401546" w:rsidRPr="00A9330B" w:rsidRDefault="00401546" w:rsidP="00401546">
            <w:pPr>
              <w:spacing w:before="60" w:line="240" w:lineRule="auto"/>
              <w:cnfStyle w:val="000000000000" w:firstRow="0" w:lastRow="0" w:firstColumn="0" w:lastColumn="0" w:oddVBand="0" w:evenVBand="0" w:oddHBand="0" w:evenHBand="0" w:firstRowFirstColumn="0" w:firstRowLastColumn="0" w:lastRowFirstColumn="0" w:lastRowLastColumn="0"/>
              <w:rPr>
                <w:rFonts w:cs="Arial"/>
                <w:sz w:val="20"/>
                <w:szCs w:val="20"/>
              </w:rPr>
            </w:pPr>
            <w:r w:rsidRPr="00A9330B">
              <w:rPr>
                <w:rFonts w:cs="Arial"/>
                <w:sz w:val="20"/>
                <w:szCs w:val="20"/>
              </w:rPr>
              <w:t xml:space="preserve">Déplacement mal contrôlé de véhicules et engins de chantier ou de leurs organes mobiles (pelle mécanique, tracteur, compacteur, chargeuse, par exemple) </w:t>
            </w:r>
          </w:p>
        </w:tc>
        <w:tc>
          <w:tcPr>
            <w:tcW w:w="2835" w:type="dxa"/>
          </w:tcPr>
          <w:p w14:paraId="568CB913" w14:textId="77777777" w:rsidR="00401546" w:rsidRPr="00A9330B" w:rsidRDefault="00401546" w:rsidP="000A5D58">
            <w:pPr>
              <w:spacing w:before="60" w:line="240" w:lineRule="auto"/>
              <w:jc w:val="both"/>
              <w:cnfStyle w:val="000000000000" w:firstRow="0" w:lastRow="0" w:firstColumn="0" w:lastColumn="0" w:oddVBand="0" w:evenVBand="0" w:oddHBand="0" w:evenHBand="0" w:firstRowFirstColumn="0" w:firstRowLastColumn="0" w:lastRowFirstColumn="0" w:lastRowLastColumn="0"/>
              <w:rPr>
                <w:rFonts w:cs="Arial"/>
                <w:sz w:val="20"/>
                <w:szCs w:val="20"/>
              </w:rPr>
            </w:pPr>
            <w:r w:rsidRPr="00A9330B">
              <w:rPr>
                <w:rFonts w:cs="Arial"/>
                <w:sz w:val="20"/>
                <w:szCs w:val="20"/>
              </w:rPr>
              <w:t xml:space="preserve">Renversement, basculement, heurt d’un ouvrier ou d’un usager de la route pouvant occasionner la mort, des blessures, fractures, lésions pertes sensorielles temporaires ou permanentes </w:t>
            </w:r>
          </w:p>
        </w:tc>
        <w:tc>
          <w:tcPr>
            <w:tcW w:w="1276" w:type="dxa"/>
          </w:tcPr>
          <w:p w14:paraId="6FA5003E" w14:textId="77777777" w:rsidR="00401546" w:rsidRPr="00A9330B" w:rsidRDefault="00401546" w:rsidP="00401546">
            <w:pPr>
              <w:spacing w:before="60" w:line="240" w:lineRule="auto"/>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A9330B">
              <w:rPr>
                <w:rFonts w:cs="Arial"/>
                <w:sz w:val="20"/>
                <w:szCs w:val="20"/>
              </w:rPr>
              <w:t>3</w:t>
            </w:r>
          </w:p>
        </w:tc>
        <w:tc>
          <w:tcPr>
            <w:tcW w:w="992" w:type="dxa"/>
          </w:tcPr>
          <w:p w14:paraId="28072B68" w14:textId="77777777" w:rsidR="00401546" w:rsidRPr="00A9330B" w:rsidRDefault="00401546" w:rsidP="00401546">
            <w:pPr>
              <w:spacing w:before="60" w:line="240" w:lineRule="auto"/>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A9330B">
              <w:rPr>
                <w:rFonts w:cs="Arial"/>
                <w:sz w:val="20"/>
                <w:szCs w:val="20"/>
              </w:rPr>
              <w:t>3</w:t>
            </w:r>
          </w:p>
        </w:tc>
        <w:tc>
          <w:tcPr>
            <w:tcW w:w="992" w:type="dxa"/>
            <w:shd w:val="clear" w:color="auto" w:fill="FF0000"/>
          </w:tcPr>
          <w:p w14:paraId="36190960" w14:textId="77777777" w:rsidR="00401546" w:rsidRPr="00A9330B" w:rsidRDefault="00401546" w:rsidP="00401546">
            <w:pPr>
              <w:spacing w:before="60" w:line="240" w:lineRule="auto"/>
              <w:jc w:val="center"/>
              <w:cnfStyle w:val="000000000000" w:firstRow="0" w:lastRow="0" w:firstColumn="0" w:lastColumn="0" w:oddVBand="0" w:evenVBand="0" w:oddHBand="0" w:evenHBand="0" w:firstRowFirstColumn="0" w:firstRowLastColumn="0" w:lastRowFirstColumn="0" w:lastRowLastColumn="0"/>
              <w:rPr>
                <w:rFonts w:cs="Arial"/>
                <w:sz w:val="20"/>
                <w:szCs w:val="20"/>
              </w:rPr>
            </w:pPr>
          </w:p>
        </w:tc>
      </w:tr>
      <w:tr w:rsidR="00401546" w:rsidRPr="00A9330B" w14:paraId="2E7EF770" w14:textId="77777777" w:rsidTr="00401546">
        <w:trPr>
          <w:jc w:val="center"/>
        </w:trPr>
        <w:tc>
          <w:tcPr>
            <w:cnfStyle w:val="001000000000" w:firstRow="0" w:lastRow="0" w:firstColumn="1" w:lastColumn="0" w:oddVBand="0" w:evenVBand="0" w:oddHBand="0" w:evenHBand="0" w:firstRowFirstColumn="0" w:firstRowLastColumn="0" w:lastRowFirstColumn="0" w:lastRowLastColumn="0"/>
            <w:tcW w:w="486" w:type="dxa"/>
          </w:tcPr>
          <w:p w14:paraId="2BAC765E" w14:textId="77777777" w:rsidR="00401546" w:rsidRPr="00A9330B" w:rsidRDefault="00401546" w:rsidP="00401546">
            <w:pPr>
              <w:spacing w:before="60" w:line="240" w:lineRule="auto"/>
              <w:jc w:val="center"/>
              <w:rPr>
                <w:rFonts w:cs="Arial"/>
                <w:sz w:val="20"/>
                <w:szCs w:val="20"/>
              </w:rPr>
            </w:pPr>
            <w:r w:rsidRPr="00A9330B">
              <w:rPr>
                <w:rFonts w:cs="Arial"/>
                <w:sz w:val="20"/>
                <w:szCs w:val="20"/>
              </w:rPr>
              <w:t>2</w:t>
            </w:r>
          </w:p>
        </w:tc>
        <w:tc>
          <w:tcPr>
            <w:tcW w:w="2628" w:type="dxa"/>
          </w:tcPr>
          <w:p w14:paraId="1245CE97" w14:textId="77777777" w:rsidR="00401546" w:rsidRPr="00A9330B" w:rsidRDefault="00401546" w:rsidP="00401546">
            <w:pPr>
              <w:spacing w:before="60" w:line="240" w:lineRule="auto"/>
              <w:cnfStyle w:val="000000000000" w:firstRow="0" w:lastRow="0" w:firstColumn="0" w:lastColumn="0" w:oddVBand="0" w:evenVBand="0" w:oddHBand="0" w:evenHBand="0" w:firstRowFirstColumn="0" w:firstRowLastColumn="0" w:lastRowFirstColumn="0" w:lastRowLastColumn="0"/>
              <w:rPr>
                <w:rFonts w:cs="Arial"/>
                <w:sz w:val="20"/>
                <w:szCs w:val="20"/>
              </w:rPr>
            </w:pPr>
            <w:r w:rsidRPr="00A9330B">
              <w:rPr>
                <w:rFonts w:cs="Arial"/>
                <w:sz w:val="20"/>
                <w:szCs w:val="20"/>
              </w:rPr>
              <w:t xml:space="preserve">Stockage, manutention, manipulation ou transport inadapté de matériels et </w:t>
            </w:r>
            <w:r w:rsidRPr="00A9330B">
              <w:rPr>
                <w:rFonts w:cs="Arial"/>
                <w:sz w:val="20"/>
                <w:szCs w:val="20"/>
              </w:rPr>
              <w:lastRenderedPageBreak/>
              <w:t xml:space="preserve">matériaux (par ex : déblais ou remblais) </w:t>
            </w:r>
          </w:p>
        </w:tc>
        <w:tc>
          <w:tcPr>
            <w:tcW w:w="2835" w:type="dxa"/>
          </w:tcPr>
          <w:p w14:paraId="1B13338D" w14:textId="77777777" w:rsidR="00401546" w:rsidRPr="00A9330B" w:rsidRDefault="00401546" w:rsidP="000A5D58">
            <w:pPr>
              <w:spacing w:before="60" w:line="240" w:lineRule="auto"/>
              <w:jc w:val="both"/>
              <w:cnfStyle w:val="000000000000" w:firstRow="0" w:lastRow="0" w:firstColumn="0" w:lastColumn="0" w:oddVBand="0" w:evenVBand="0" w:oddHBand="0" w:evenHBand="0" w:firstRowFirstColumn="0" w:firstRowLastColumn="0" w:lastRowFirstColumn="0" w:lastRowLastColumn="0"/>
              <w:rPr>
                <w:rFonts w:cs="Arial"/>
                <w:sz w:val="20"/>
                <w:szCs w:val="20"/>
              </w:rPr>
            </w:pPr>
            <w:r w:rsidRPr="00A9330B">
              <w:rPr>
                <w:rFonts w:cs="Arial"/>
                <w:sz w:val="20"/>
                <w:szCs w:val="20"/>
              </w:rPr>
              <w:lastRenderedPageBreak/>
              <w:t xml:space="preserve">Matériel ou matériaux accidentellement déversés sur les ouvriers ou des tiers pouvant entrainer des </w:t>
            </w:r>
            <w:r w:rsidRPr="00A9330B">
              <w:rPr>
                <w:rFonts w:cs="Arial"/>
                <w:sz w:val="20"/>
                <w:szCs w:val="20"/>
              </w:rPr>
              <w:lastRenderedPageBreak/>
              <w:t xml:space="preserve">blessures, fractures, traumatismes </w:t>
            </w:r>
          </w:p>
        </w:tc>
        <w:tc>
          <w:tcPr>
            <w:tcW w:w="1276" w:type="dxa"/>
          </w:tcPr>
          <w:p w14:paraId="4AAD60A5" w14:textId="77777777" w:rsidR="00401546" w:rsidRPr="00A9330B" w:rsidRDefault="00401546" w:rsidP="00401546">
            <w:pPr>
              <w:spacing w:before="60" w:line="240" w:lineRule="auto"/>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A9330B">
              <w:rPr>
                <w:rFonts w:cs="Arial"/>
                <w:sz w:val="20"/>
                <w:szCs w:val="20"/>
              </w:rPr>
              <w:lastRenderedPageBreak/>
              <w:t>1</w:t>
            </w:r>
          </w:p>
        </w:tc>
        <w:tc>
          <w:tcPr>
            <w:tcW w:w="992" w:type="dxa"/>
          </w:tcPr>
          <w:p w14:paraId="78616B29" w14:textId="77777777" w:rsidR="00401546" w:rsidRPr="00A9330B" w:rsidRDefault="00401546" w:rsidP="00401546">
            <w:pPr>
              <w:spacing w:before="60" w:line="240" w:lineRule="auto"/>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A9330B">
              <w:rPr>
                <w:rFonts w:cs="Arial"/>
                <w:sz w:val="20"/>
                <w:szCs w:val="20"/>
              </w:rPr>
              <w:t>2</w:t>
            </w:r>
          </w:p>
        </w:tc>
        <w:tc>
          <w:tcPr>
            <w:tcW w:w="992" w:type="dxa"/>
            <w:shd w:val="clear" w:color="auto" w:fill="99FF33"/>
          </w:tcPr>
          <w:p w14:paraId="4C590033" w14:textId="77777777" w:rsidR="00401546" w:rsidRPr="00A9330B" w:rsidRDefault="00401546" w:rsidP="00401546">
            <w:pPr>
              <w:spacing w:before="60" w:line="240" w:lineRule="auto"/>
              <w:jc w:val="center"/>
              <w:cnfStyle w:val="000000000000" w:firstRow="0" w:lastRow="0" w:firstColumn="0" w:lastColumn="0" w:oddVBand="0" w:evenVBand="0" w:oddHBand="0" w:evenHBand="0" w:firstRowFirstColumn="0" w:firstRowLastColumn="0" w:lastRowFirstColumn="0" w:lastRowLastColumn="0"/>
              <w:rPr>
                <w:rFonts w:cs="Arial"/>
                <w:sz w:val="20"/>
                <w:szCs w:val="20"/>
              </w:rPr>
            </w:pPr>
          </w:p>
          <w:p w14:paraId="0D698B8F" w14:textId="77777777" w:rsidR="00401546" w:rsidRPr="00A9330B" w:rsidRDefault="00401546" w:rsidP="00401546">
            <w:pPr>
              <w:spacing w:before="60" w:line="240" w:lineRule="auto"/>
              <w:cnfStyle w:val="000000000000" w:firstRow="0" w:lastRow="0" w:firstColumn="0" w:lastColumn="0" w:oddVBand="0" w:evenVBand="0" w:oddHBand="0" w:evenHBand="0" w:firstRowFirstColumn="0" w:firstRowLastColumn="0" w:lastRowFirstColumn="0" w:lastRowLastColumn="0"/>
              <w:rPr>
                <w:rFonts w:cs="Arial"/>
                <w:sz w:val="20"/>
                <w:szCs w:val="20"/>
              </w:rPr>
            </w:pPr>
          </w:p>
          <w:p w14:paraId="251B9710" w14:textId="77777777" w:rsidR="00401546" w:rsidRPr="00A9330B" w:rsidRDefault="00401546" w:rsidP="00401546">
            <w:pPr>
              <w:spacing w:before="60" w:line="240" w:lineRule="auto"/>
              <w:cnfStyle w:val="000000000000" w:firstRow="0" w:lastRow="0" w:firstColumn="0" w:lastColumn="0" w:oddVBand="0" w:evenVBand="0" w:oddHBand="0" w:evenHBand="0" w:firstRowFirstColumn="0" w:firstRowLastColumn="0" w:lastRowFirstColumn="0" w:lastRowLastColumn="0"/>
              <w:rPr>
                <w:rFonts w:cs="Arial"/>
                <w:sz w:val="20"/>
                <w:szCs w:val="20"/>
              </w:rPr>
            </w:pPr>
          </w:p>
        </w:tc>
      </w:tr>
      <w:tr w:rsidR="00401546" w:rsidRPr="00A9330B" w14:paraId="274F6C40" w14:textId="77777777" w:rsidTr="00401546">
        <w:trPr>
          <w:jc w:val="center"/>
        </w:trPr>
        <w:tc>
          <w:tcPr>
            <w:cnfStyle w:val="001000000000" w:firstRow="0" w:lastRow="0" w:firstColumn="1" w:lastColumn="0" w:oddVBand="0" w:evenVBand="0" w:oddHBand="0" w:evenHBand="0" w:firstRowFirstColumn="0" w:firstRowLastColumn="0" w:lastRowFirstColumn="0" w:lastRowLastColumn="0"/>
            <w:tcW w:w="486" w:type="dxa"/>
          </w:tcPr>
          <w:p w14:paraId="57E7471F" w14:textId="77777777" w:rsidR="00401546" w:rsidRPr="00A9330B" w:rsidRDefault="00401546" w:rsidP="000A5D58">
            <w:pPr>
              <w:spacing w:before="60" w:line="240" w:lineRule="auto"/>
              <w:jc w:val="both"/>
              <w:rPr>
                <w:rFonts w:cs="Arial"/>
                <w:sz w:val="20"/>
                <w:szCs w:val="20"/>
              </w:rPr>
            </w:pPr>
            <w:r w:rsidRPr="00A9330B">
              <w:rPr>
                <w:rFonts w:cs="Arial"/>
                <w:sz w:val="20"/>
                <w:szCs w:val="20"/>
              </w:rPr>
              <w:lastRenderedPageBreak/>
              <w:t>3</w:t>
            </w:r>
          </w:p>
        </w:tc>
        <w:tc>
          <w:tcPr>
            <w:tcW w:w="2628" w:type="dxa"/>
          </w:tcPr>
          <w:p w14:paraId="5EA05C62" w14:textId="77777777" w:rsidR="00401546" w:rsidRPr="00A9330B" w:rsidRDefault="00401546" w:rsidP="000A5D58">
            <w:pPr>
              <w:spacing w:before="60" w:line="240" w:lineRule="auto"/>
              <w:jc w:val="both"/>
              <w:cnfStyle w:val="000000000000" w:firstRow="0" w:lastRow="0" w:firstColumn="0" w:lastColumn="0" w:oddVBand="0" w:evenVBand="0" w:oddHBand="0" w:evenHBand="0" w:firstRowFirstColumn="0" w:firstRowLastColumn="0" w:lastRowFirstColumn="0" w:lastRowLastColumn="0"/>
              <w:rPr>
                <w:rFonts w:cs="Arial"/>
                <w:sz w:val="20"/>
                <w:szCs w:val="20"/>
              </w:rPr>
            </w:pPr>
            <w:r w:rsidRPr="00A9330B">
              <w:rPr>
                <w:rFonts w:cs="Arial"/>
                <w:sz w:val="20"/>
                <w:szCs w:val="20"/>
              </w:rPr>
              <w:t xml:space="preserve">Absence ou inefficacité des protections collectives et individuelles </w:t>
            </w:r>
          </w:p>
        </w:tc>
        <w:tc>
          <w:tcPr>
            <w:tcW w:w="2835" w:type="dxa"/>
          </w:tcPr>
          <w:p w14:paraId="4904F990" w14:textId="77777777" w:rsidR="00401546" w:rsidRPr="00A9330B" w:rsidRDefault="00401546" w:rsidP="000A5D58">
            <w:pPr>
              <w:spacing w:before="60" w:line="240" w:lineRule="auto"/>
              <w:jc w:val="both"/>
              <w:cnfStyle w:val="000000000000" w:firstRow="0" w:lastRow="0" w:firstColumn="0" w:lastColumn="0" w:oddVBand="0" w:evenVBand="0" w:oddHBand="0" w:evenHBand="0" w:firstRowFirstColumn="0" w:firstRowLastColumn="0" w:lastRowFirstColumn="0" w:lastRowLastColumn="0"/>
              <w:rPr>
                <w:rFonts w:cs="Arial"/>
                <w:sz w:val="20"/>
                <w:szCs w:val="20"/>
              </w:rPr>
            </w:pPr>
            <w:r w:rsidRPr="00A9330B">
              <w:rPr>
                <w:rFonts w:cs="Arial"/>
                <w:sz w:val="20"/>
                <w:szCs w:val="20"/>
              </w:rPr>
              <w:t xml:space="preserve">Vulnérabilité des ouvriers pouvant entrainer des blessures, fractures, lésions, pertes sensorielles temporaires ou permanente </w:t>
            </w:r>
          </w:p>
        </w:tc>
        <w:tc>
          <w:tcPr>
            <w:tcW w:w="1276" w:type="dxa"/>
          </w:tcPr>
          <w:p w14:paraId="5EE6DA9C" w14:textId="77777777" w:rsidR="00401546" w:rsidRPr="00A9330B" w:rsidRDefault="00401546" w:rsidP="000A5D58">
            <w:pPr>
              <w:spacing w:before="60" w:line="240" w:lineRule="auto"/>
              <w:jc w:val="both"/>
              <w:cnfStyle w:val="000000000000" w:firstRow="0" w:lastRow="0" w:firstColumn="0" w:lastColumn="0" w:oddVBand="0" w:evenVBand="0" w:oddHBand="0" w:evenHBand="0" w:firstRowFirstColumn="0" w:firstRowLastColumn="0" w:lastRowFirstColumn="0" w:lastRowLastColumn="0"/>
              <w:rPr>
                <w:rFonts w:cs="Arial"/>
                <w:sz w:val="20"/>
                <w:szCs w:val="20"/>
              </w:rPr>
            </w:pPr>
            <w:r w:rsidRPr="00A9330B">
              <w:rPr>
                <w:rFonts w:cs="Arial"/>
                <w:sz w:val="20"/>
                <w:szCs w:val="20"/>
              </w:rPr>
              <w:t>2</w:t>
            </w:r>
          </w:p>
        </w:tc>
        <w:tc>
          <w:tcPr>
            <w:tcW w:w="992" w:type="dxa"/>
          </w:tcPr>
          <w:p w14:paraId="595D6F95" w14:textId="77777777" w:rsidR="00401546" w:rsidRPr="00A9330B" w:rsidRDefault="00401546" w:rsidP="000A5D58">
            <w:pPr>
              <w:spacing w:before="60" w:line="240" w:lineRule="auto"/>
              <w:jc w:val="both"/>
              <w:cnfStyle w:val="000000000000" w:firstRow="0" w:lastRow="0" w:firstColumn="0" w:lastColumn="0" w:oddVBand="0" w:evenVBand="0" w:oddHBand="0" w:evenHBand="0" w:firstRowFirstColumn="0" w:firstRowLastColumn="0" w:lastRowFirstColumn="0" w:lastRowLastColumn="0"/>
              <w:rPr>
                <w:rFonts w:cs="Arial"/>
                <w:sz w:val="20"/>
                <w:szCs w:val="20"/>
              </w:rPr>
            </w:pPr>
            <w:r w:rsidRPr="00A9330B">
              <w:rPr>
                <w:rFonts w:cs="Arial"/>
                <w:sz w:val="20"/>
                <w:szCs w:val="20"/>
              </w:rPr>
              <w:t>2</w:t>
            </w:r>
          </w:p>
        </w:tc>
        <w:tc>
          <w:tcPr>
            <w:tcW w:w="992" w:type="dxa"/>
            <w:shd w:val="clear" w:color="auto" w:fill="FFFF00"/>
          </w:tcPr>
          <w:p w14:paraId="708E89F5" w14:textId="77777777" w:rsidR="00401546" w:rsidRPr="00A9330B" w:rsidRDefault="00401546" w:rsidP="000A5D58">
            <w:pPr>
              <w:spacing w:before="60" w:line="240" w:lineRule="auto"/>
              <w:jc w:val="both"/>
              <w:cnfStyle w:val="000000000000" w:firstRow="0" w:lastRow="0" w:firstColumn="0" w:lastColumn="0" w:oddVBand="0" w:evenVBand="0" w:oddHBand="0" w:evenHBand="0" w:firstRowFirstColumn="0" w:firstRowLastColumn="0" w:lastRowFirstColumn="0" w:lastRowLastColumn="0"/>
              <w:rPr>
                <w:rFonts w:cs="Arial"/>
                <w:sz w:val="20"/>
                <w:szCs w:val="20"/>
              </w:rPr>
            </w:pPr>
          </w:p>
        </w:tc>
      </w:tr>
      <w:tr w:rsidR="00401546" w:rsidRPr="00A9330B" w14:paraId="34685871" w14:textId="77777777" w:rsidTr="00401546">
        <w:trPr>
          <w:jc w:val="center"/>
        </w:trPr>
        <w:tc>
          <w:tcPr>
            <w:cnfStyle w:val="001000000000" w:firstRow="0" w:lastRow="0" w:firstColumn="1" w:lastColumn="0" w:oddVBand="0" w:evenVBand="0" w:oddHBand="0" w:evenHBand="0" w:firstRowFirstColumn="0" w:firstRowLastColumn="0" w:lastRowFirstColumn="0" w:lastRowLastColumn="0"/>
            <w:tcW w:w="486" w:type="dxa"/>
          </w:tcPr>
          <w:p w14:paraId="2CF88AA0" w14:textId="77777777" w:rsidR="00401546" w:rsidRPr="00A9330B" w:rsidRDefault="00401546" w:rsidP="000A5D58">
            <w:pPr>
              <w:spacing w:before="60" w:line="240" w:lineRule="auto"/>
              <w:jc w:val="both"/>
              <w:rPr>
                <w:rFonts w:cs="Arial"/>
                <w:sz w:val="20"/>
                <w:szCs w:val="20"/>
              </w:rPr>
            </w:pPr>
            <w:r w:rsidRPr="00A9330B">
              <w:rPr>
                <w:rFonts w:cs="Arial"/>
                <w:sz w:val="20"/>
                <w:szCs w:val="20"/>
              </w:rPr>
              <w:t>4</w:t>
            </w:r>
          </w:p>
        </w:tc>
        <w:tc>
          <w:tcPr>
            <w:tcW w:w="2628" w:type="dxa"/>
          </w:tcPr>
          <w:p w14:paraId="55EAD884" w14:textId="77777777" w:rsidR="00401546" w:rsidRPr="00A9330B" w:rsidRDefault="00401546" w:rsidP="000A5D58">
            <w:pPr>
              <w:spacing w:before="60" w:line="240" w:lineRule="auto"/>
              <w:jc w:val="both"/>
              <w:cnfStyle w:val="000000000000" w:firstRow="0" w:lastRow="0" w:firstColumn="0" w:lastColumn="0" w:oddVBand="0" w:evenVBand="0" w:oddHBand="0" w:evenHBand="0" w:firstRowFirstColumn="0" w:firstRowLastColumn="0" w:lastRowFirstColumn="0" w:lastRowLastColumn="0"/>
              <w:rPr>
                <w:rFonts w:cs="Arial"/>
                <w:sz w:val="20"/>
                <w:szCs w:val="20"/>
              </w:rPr>
            </w:pPr>
            <w:r w:rsidRPr="00A9330B">
              <w:rPr>
                <w:rFonts w:cs="Arial"/>
                <w:sz w:val="20"/>
                <w:szCs w:val="20"/>
              </w:rPr>
              <w:t>Conduite inappropriée des véhicules et engins de chantier</w:t>
            </w:r>
          </w:p>
        </w:tc>
        <w:tc>
          <w:tcPr>
            <w:tcW w:w="2835" w:type="dxa"/>
          </w:tcPr>
          <w:p w14:paraId="2D81293B" w14:textId="77777777" w:rsidR="00401546" w:rsidRPr="00A9330B" w:rsidRDefault="00401546" w:rsidP="000A5D58">
            <w:pPr>
              <w:spacing w:before="60" w:line="240" w:lineRule="auto"/>
              <w:jc w:val="both"/>
              <w:cnfStyle w:val="000000000000" w:firstRow="0" w:lastRow="0" w:firstColumn="0" w:lastColumn="0" w:oddVBand="0" w:evenVBand="0" w:oddHBand="0" w:evenHBand="0" w:firstRowFirstColumn="0" w:firstRowLastColumn="0" w:lastRowFirstColumn="0" w:lastRowLastColumn="0"/>
              <w:rPr>
                <w:rFonts w:cs="Arial"/>
                <w:sz w:val="20"/>
                <w:szCs w:val="20"/>
              </w:rPr>
            </w:pPr>
            <w:r w:rsidRPr="00A9330B">
              <w:rPr>
                <w:rFonts w:cs="Arial"/>
                <w:sz w:val="20"/>
                <w:szCs w:val="20"/>
              </w:rPr>
              <w:t xml:space="preserve">Exposition des chauffeurs, passagers et tiers à des blessures, fractures, traumatismes et le cas échéant dégradation ou destruction des biens  </w:t>
            </w:r>
          </w:p>
        </w:tc>
        <w:tc>
          <w:tcPr>
            <w:tcW w:w="1276" w:type="dxa"/>
          </w:tcPr>
          <w:p w14:paraId="4F1777C7" w14:textId="77777777" w:rsidR="00401546" w:rsidRPr="00A9330B" w:rsidRDefault="00401546" w:rsidP="000A5D58">
            <w:pPr>
              <w:spacing w:before="60" w:line="240" w:lineRule="auto"/>
              <w:jc w:val="both"/>
              <w:cnfStyle w:val="000000000000" w:firstRow="0" w:lastRow="0" w:firstColumn="0" w:lastColumn="0" w:oddVBand="0" w:evenVBand="0" w:oddHBand="0" w:evenHBand="0" w:firstRowFirstColumn="0" w:firstRowLastColumn="0" w:lastRowFirstColumn="0" w:lastRowLastColumn="0"/>
              <w:rPr>
                <w:rFonts w:cs="Arial"/>
                <w:sz w:val="20"/>
                <w:szCs w:val="20"/>
              </w:rPr>
            </w:pPr>
            <w:r w:rsidRPr="00A9330B">
              <w:rPr>
                <w:rFonts w:cs="Arial"/>
                <w:sz w:val="20"/>
                <w:szCs w:val="20"/>
              </w:rPr>
              <w:t>2</w:t>
            </w:r>
          </w:p>
        </w:tc>
        <w:tc>
          <w:tcPr>
            <w:tcW w:w="992" w:type="dxa"/>
          </w:tcPr>
          <w:p w14:paraId="525AE1BD" w14:textId="77777777" w:rsidR="00401546" w:rsidRPr="00A9330B" w:rsidRDefault="00401546" w:rsidP="000A5D58">
            <w:pPr>
              <w:spacing w:before="60" w:line="240" w:lineRule="auto"/>
              <w:jc w:val="both"/>
              <w:cnfStyle w:val="000000000000" w:firstRow="0" w:lastRow="0" w:firstColumn="0" w:lastColumn="0" w:oddVBand="0" w:evenVBand="0" w:oddHBand="0" w:evenHBand="0" w:firstRowFirstColumn="0" w:firstRowLastColumn="0" w:lastRowFirstColumn="0" w:lastRowLastColumn="0"/>
              <w:rPr>
                <w:rFonts w:cs="Arial"/>
                <w:sz w:val="20"/>
                <w:szCs w:val="20"/>
              </w:rPr>
            </w:pPr>
            <w:r w:rsidRPr="00A9330B">
              <w:rPr>
                <w:rFonts w:cs="Arial"/>
                <w:sz w:val="20"/>
                <w:szCs w:val="20"/>
              </w:rPr>
              <w:t>3</w:t>
            </w:r>
          </w:p>
        </w:tc>
        <w:tc>
          <w:tcPr>
            <w:tcW w:w="992" w:type="dxa"/>
            <w:shd w:val="clear" w:color="auto" w:fill="FFFF00"/>
          </w:tcPr>
          <w:p w14:paraId="0392DE57" w14:textId="77777777" w:rsidR="00401546" w:rsidRPr="00A9330B" w:rsidRDefault="00401546" w:rsidP="000A5D58">
            <w:pPr>
              <w:spacing w:before="60" w:line="240" w:lineRule="auto"/>
              <w:jc w:val="both"/>
              <w:cnfStyle w:val="000000000000" w:firstRow="0" w:lastRow="0" w:firstColumn="0" w:lastColumn="0" w:oddVBand="0" w:evenVBand="0" w:oddHBand="0" w:evenHBand="0" w:firstRowFirstColumn="0" w:firstRowLastColumn="0" w:lastRowFirstColumn="0" w:lastRowLastColumn="0"/>
              <w:rPr>
                <w:rFonts w:cs="Arial"/>
                <w:sz w:val="20"/>
                <w:szCs w:val="20"/>
              </w:rPr>
            </w:pPr>
          </w:p>
        </w:tc>
      </w:tr>
      <w:tr w:rsidR="00401546" w:rsidRPr="00A9330B" w14:paraId="21E1DE0D" w14:textId="77777777" w:rsidTr="00401546">
        <w:trPr>
          <w:jc w:val="center"/>
        </w:trPr>
        <w:tc>
          <w:tcPr>
            <w:cnfStyle w:val="001000000000" w:firstRow="0" w:lastRow="0" w:firstColumn="1" w:lastColumn="0" w:oddVBand="0" w:evenVBand="0" w:oddHBand="0" w:evenHBand="0" w:firstRowFirstColumn="0" w:firstRowLastColumn="0" w:lastRowFirstColumn="0" w:lastRowLastColumn="0"/>
            <w:tcW w:w="486" w:type="dxa"/>
          </w:tcPr>
          <w:p w14:paraId="2215C0AB" w14:textId="77777777" w:rsidR="00401546" w:rsidRPr="00A9330B" w:rsidRDefault="00401546" w:rsidP="000A5D58">
            <w:pPr>
              <w:spacing w:before="60" w:line="240" w:lineRule="auto"/>
              <w:jc w:val="both"/>
              <w:rPr>
                <w:rFonts w:cs="Arial"/>
                <w:sz w:val="20"/>
                <w:szCs w:val="20"/>
              </w:rPr>
            </w:pPr>
            <w:r w:rsidRPr="00A9330B">
              <w:rPr>
                <w:rFonts w:cs="Arial"/>
                <w:sz w:val="20"/>
                <w:szCs w:val="20"/>
              </w:rPr>
              <w:t>5</w:t>
            </w:r>
          </w:p>
        </w:tc>
        <w:tc>
          <w:tcPr>
            <w:tcW w:w="2628" w:type="dxa"/>
          </w:tcPr>
          <w:p w14:paraId="378D1CE4" w14:textId="77777777" w:rsidR="00401546" w:rsidRPr="00A9330B" w:rsidRDefault="00401546" w:rsidP="000A5D58">
            <w:pPr>
              <w:spacing w:before="60" w:line="240" w:lineRule="auto"/>
              <w:jc w:val="both"/>
              <w:cnfStyle w:val="000000000000" w:firstRow="0" w:lastRow="0" w:firstColumn="0" w:lastColumn="0" w:oddVBand="0" w:evenVBand="0" w:oddHBand="0" w:evenHBand="0" w:firstRowFirstColumn="0" w:firstRowLastColumn="0" w:lastRowFirstColumn="0" w:lastRowLastColumn="0"/>
              <w:rPr>
                <w:rFonts w:cs="Arial"/>
                <w:sz w:val="20"/>
                <w:szCs w:val="20"/>
              </w:rPr>
            </w:pPr>
            <w:r w:rsidRPr="00A9330B">
              <w:rPr>
                <w:rFonts w:cs="Arial"/>
                <w:sz w:val="20"/>
                <w:szCs w:val="20"/>
              </w:rPr>
              <w:t xml:space="preserve">Canalisations existantes en service non identifiée </w:t>
            </w:r>
          </w:p>
        </w:tc>
        <w:tc>
          <w:tcPr>
            <w:tcW w:w="2835" w:type="dxa"/>
          </w:tcPr>
          <w:p w14:paraId="3B9A1638" w14:textId="77777777" w:rsidR="00401546" w:rsidRPr="00A9330B" w:rsidRDefault="00401546" w:rsidP="000A5D58">
            <w:pPr>
              <w:spacing w:before="60" w:line="240" w:lineRule="auto"/>
              <w:jc w:val="both"/>
              <w:cnfStyle w:val="000000000000" w:firstRow="0" w:lastRow="0" w:firstColumn="0" w:lastColumn="0" w:oddVBand="0" w:evenVBand="0" w:oddHBand="0" w:evenHBand="0" w:firstRowFirstColumn="0" w:firstRowLastColumn="0" w:lastRowFirstColumn="0" w:lastRowLastColumn="0"/>
              <w:rPr>
                <w:rFonts w:cs="Arial"/>
                <w:sz w:val="20"/>
                <w:szCs w:val="20"/>
              </w:rPr>
            </w:pPr>
            <w:r w:rsidRPr="00A9330B">
              <w:rPr>
                <w:rFonts w:cs="Arial"/>
                <w:sz w:val="20"/>
                <w:szCs w:val="20"/>
              </w:rPr>
              <w:t xml:space="preserve">Rupture de canalisation entrainant des blessures ou des lésions </w:t>
            </w:r>
          </w:p>
        </w:tc>
        <w:tc>
          <w:tcPr>
            <w:tcW w:w="1276" w:type="dxa"/>
          </w:tcPr>
          <w:p w14:paraId="21532F72" w14:textId="77777777" w:rsidR="00401546" w:rsidRPr="00A9330B" w:rsidRDefault="00401546" w:rsidP="000A5D58">
            <w:pPr>
              <w:spacing w:before="60" w:line="240" w:lineRule="auto"/>
              <w:jc w:val="both"/>
              <w:cnfStyle w:val="000000000000" w:firstRow="0" w:lastRow="0" w:firstColumn="0" w:lastColumn="0" w:oddVBand="0" w:evenVBand="0" w:oddHBand="0" w:evenHBand="0" w:firstRowFirstColumn="0" w:firstRowLastColumn="0" w:lastRowFirstColumn="0" w:lastRowLastColumn="0"/>
              <w:rPr>
                <w:rFonts w:cs="Arial"/>
                <w:sz w:val="20"/>
                <w:szCs w:val="20"/>
              </w:rPr>
            </w:pPr>
            <w:r w:rsidRPr="00A9330B">
              <w:rPr>
                <w:rFonts w:cs="Arial"/>
                <w:sz w:val="20"/>
                <w:szCs w:val="20"/>
              </w:rPr>
              <w:t>1</w:t>
            </w:r>
          </w:p>
        </w:tc>
        <w:tc>
          <w:tcPr>
            <w:tcW w:w="992" w:type="dxa"/>
          </w:tcPr>
          <w:p w14:paraId="0F4FFEBC" w14:textId="77777777" w:rsidR="00401546" w:rsidRPr="00A9330B" w:rsidRDefault="00401546" w:rsidP="000A5D58">
            <w:pPr>
              <w:spacing w:before="60" w:line="240" w:lineRule="auto"/>
              <w:jc w:val="both"/>
              <w:cnfStyle w:val="000000000000" w:firstRow="0" w:lastRow="0" w:firstColumn="0" w:lastColumn="0" w:oddVBand="0" w:evenVBand="0" w:oddHBand="0" w:evenHBand="0" w:firstRowFirstColumn="0" w:firstRowLastColumn="0" w:lastRowFirstColumn="0" w:lastRowLastColumn="0"/>
              <w:rPr>
                <w:rFonts w:cs="Arial"/>
                <w:sz w:val="20"/>
                <w:szCs w:val="20"/>
              </w:rPr>
            </w:pPr>
            <w:r w:rsidRPr="00A9330B">
              <w:rPr>
                <w:rFonts w:cs="Arial"/>
                <w:sz w:val="20"/>
                <w:szCs w:val="20"/>
              </w:rPr>
              <w:t>2</w:t>
            </w:r>
          </w:p>
        </w:tc>
        <w:tc>
          <w:tcPr>
            <w:tcW w:w="992" w:type="dxa"/>
            <w:shd w:val="clear" w:color="auto" w:fill="FFFF00"/>
          </w:tcPr>
          <w:p w14:paraId="0AEC2F5E" w14:textId="77777777" w:rsidR="00401546" w:rsidRPr="00A9330B" w:rsidRDefault="00401546" w:rsidP="000A5D58">
            <w:pPr>
              <w:spacing w:before="60" w:line="240" w:lineRule="auto"/>
              <w:jc w:val="both"/>
              <w:cnfStyle w:val="000000000000" w:firstRow="0" w:lastRow="0" w:firstColumn="0" w:lastColumn="0" w:oddVBand="0" w:evenVBand="0" w:oddHBand="0" w:evenHBand="0" w:firstRowFirstColumn="0" w:firstRowLastColumn="0" w:lastRowFirstColumn="0" w:lastRowLastColumn="0"/>
              <w:rPr>
                <w:rFonts w:cs="Arial"/>
                <w:sz w:val="20"/>
                <w:szCs w:val="20"/>
              </w:rPr>
            </w:pPr>
          </w:p>
        </w:tc>
      </w:tr>
      <w:tr w:rsidR="00401546" w:rsidRPr="00A9330B" w14:paraId="56B67C12" w14:textId="77777777" w:rsidTr="00401546">
        <w:trPr>
          <w:trHeight w:val="777"/>
          <w:jc w:val="center"/>
        </w:trPr>
        <w:tc>
          <w:tcPr>
            <w:cnfStyle w:val="001000000000" w:firstRow="0" w:lastRow="0" w:firstColumn="1" w:lastColumn="0" w:oddVBand="0" w:evenVBand="0" w:oddHBand="0" w:evenHBand="0" w:firstRowFirstColumn="0" w:firstRowLastColumn="0" w:lastRowFirstColumn="0" w:lastRowLastColumn="0"/>
            <w:tcW w:w="486" w:type="dxa"/>
          </w:tcPr>
          <w:p w14:paraId="71105556" w14:textId="77777777" w:rsidR="00401546" w:rsidRPr="00A9330B" w:rsidRDefault="00401546" w:rsidP="000A5D58">
            <w:pPr>
              <w:spacing w:before="60" w:line="240" w:lineRule="auto"/>
              <w:jc w:val="both"/>
              <w:rPr>
                <w:rFonts w:cs="Arial"/>
                <w:sz w:val="20"/>
                <w:szCs w:val="20"/>
              </w:rPr>
            </w:pPr>
            <w:r w:rsidRPr="00A9330B">
              <w:rPr>
                <w:rFonts w:cs="Arial"/>
                <w:sz w:val="20"/>
                <w:szCs w:val="20"/>
              </w:rPr>
              <w:t>6</w:t>
            </w:r>
          </w:p>
        </w:tc>
        <w:tc>
          <w:tcPr>
            <w:tcW w:w="2628" w:type="dxa"/>
          </w:tcPr>
          <w:p w14:paraId="1AA6C26D" w14:textId="77777777" w:rsidR="00401546" w:rsidRPr="00A9330B" w:rsidRDefault="00401546" w:rsidP="000A5D58">
            <w:pPr>
              <w:spacing w:before="60" w:line="240" w:lineRule="auto"/>
              <w:jc w:val="both"/>
              <w:cnfStyle w:val="000000000000" w:firstRow="0" w:lastRow="0" w:firstColumn="0" w:lastColumn="0" w:oddVBand="0" w:evenVBand="0" w:oddHBand="0" w:evenHBand="0" w:firstRowFirstColumn="0" w:firstRowLastColumn="0" w:lastRowFirstColumn="0" w:lastRowLastColumn="0"/>
              <w:rPr>
                <w:rFonts w:cs="Arial"/>
                <w:sz w:val="20"/>
                <w:szCs w:val="20"/>
              </w:rPr>
            </w:pPr>
            <w:r w:rsidRPr="00A9330B">
              <w:rPr>
                <w:rFonts w:cs="Arial"/>
                <w:sz w:val="20"/>
                <w:szCs w:val="20"/>
              </w:rPr>
              <w:t xml:space="preserve">Lignes électriques souterraines existantes sous tension </w:t>
            </w:r>
          </w:p>
        </w:tc>
        <w:tc>
          <w:tcPr>
            <w:tcW w:w="2835" w:type="dxa"/>
          </w:tcPr>
          <w:p w14:paraId="0A7D7E95" w14:textId="77777777" w:rsidR="00401546" w:rsidRPr="00A9330B" w:rsidRDefault="00401546" w:rsidP="000A5D58">
            <w:pPr>
              <w:spacing w:before="60" w:line="240" w:lineRule="auto"/>
              <w:jc w:val="both"/>
              <w:cnfStyle w:val="000000000000" w:firstRow="0" w:lastRow="0" w:firstColumn="0" w:lastColumn="0" w:oddVBand="0" w:evenVBand="0" w:oddHBand="0" w:evenHBand="0" w:firstRowFirstColumn="0" w:firstRowLastColumn="0" w:lastRowFirstColumn="0" w:lastRowLastColumn="0"/>
              <w:rPr>
                <w:rFonts w:cs="Arial"/>
                <w:sz w:val="20"/>
                <w:szCs w:val="20"/>
              </w:rPr>
            </w:pPr>
            <w:r w:rsidRPr="00A9330B">
              <w:rPr>
                <w:rFonts w:cs="Arial"/>
                <w:sz w:val="20"/>
                <w:szCs w:val="20"/>
              </w:rPr>
              <w:t xml:space="preserve">Contact accidentel pouvant provoquer une électrisation à l’origine de troubles neurologiques et coupure d’électricité dans le secteur </w:t>
            </w:r>
          </w:p>
        </w:tc>
        <w:tc>
          <w:tcPr>
            <w:tcW w:w="1276" w:type="dxa"/>
          </w:tcPr>
          <w:p w14:paraId="0B6DC956" w14:textId="77777777" w:rsidR="00401546" w:rsidRPr="00A9330B" w:rsidRDefault="00401546" w:rsidP="000A5D58">
            <w:pPr>
              <w:spacing w:before="60" w:line="240" w:lineRule="auto"/>
              <w:jc w:val="both"/>
              <w:cnfStyle w:val="000000000000" w:firstRow="0" w:lastRow="0" w:firstColumn="0" w:lastColumn="0" w:oddVBand="0" w:evenVBand="0" w:oddHBand="0" w:evenHBand="0" w:firstRowFirstColumn="0" w:firstRowLastColumn="0" w:lastRowFirstColumn="0" w:lastRowLastColumn="0"/>
              <w:rPr>
                <w:rFonts w:cs="Arial"/>
                <w:sz w:val="20"/>
                <w:szCs w:val="20"/>
              </w:rPr>
            </w:pPr>
            <w:r w:rsidRPr="00A9330B">
              <w:rPr>
                <w:rFonts w:cs="Arial"/>
                <w:sz w:val="20"/>
                <w:szCs w:val="20"/>
              </w:rPr>
              <w:t>1</w:t>
            </w:r>
          </w:p>
        </w:tc>
        <w:tc>
          <w:tcPr>
            <w:tcW w:w="992" w:type="dxa"/>
          </w:tcPr>
          <w:p w14:paraId="0DD1AC5B" w14:textId="77777777" w:rsidR="00401546" w:rsidRPr="00A9330B" w:rsidRDefault="00401546" w:rsidP="000A5D58">
            <w:pPr>
              <w:spacing w:before="60" w:line="240" w:lineRule="auto"/>
              <w:jc w:val="both"/>
              <w:cnfStyle w:val="000000000000" w:firstRow="0" w:lastRow="0" w:firstColumn="0" w:lastColumn="0" w:oddVBand="0" w:evenVBand="0" w:oddHBand="0" w:evenHBand="0" w:firstRowFirstColumn="0" w:firstRowLastColumn="0" w:lastRowFirstColumn="0" w:lastRowLastColumn="0"/>
              <w:rPr>
                <w:rFonts w:cs="Arial"/>
                <w:sz w:val="20"/>
                <w:szCs w:val="20"/>
              </w:rPr>
            </w:pPr>
            <w:r w:rsidRPr="00A9330B">
              <w:rPr>
                <w:rFonts w:cs="Arial"/>
                <w:sz w:val="20"/>
                <w:szCs w:val="20"/>
              </w:rPr>
              <w:t>4</w:t>
            </w:r>
          </w:p>
        </w:tc>
        <w:tc>
          <w:tcPr>
            <w:tcW w:w="992" w:type="dxa"/>
            <w:shd w:val="clear" w:color="auto" w:fill="FFFF00"/>
          </w:tcPr>
          <w:p w14:paraId="3FCDD6CE" w14:textId="77777777" w:rsidR="00401546" w:rsidRPr="00A9330B" w:rsidRDefault="00401546" w:rsidP="000A5D58">
            <w:pPr>
              <w:spacing w:before="60" w:line="240" w:lineRule="auto"/>
              <w:jc w:val="both"/>
              <w:cnfStyle w:val="000000000000" w:firstRow="0" w:lastRow="0" w:firstColumn="0" w:lastColumn="0" w:oddVBand="0" w:evenVBand="0" w:oddHBand="0" w:evenHBand="0" w:firstRowFirstColumn="0" w:firstRowLastColumn="0" w:lastRowFirstColumn="0" w:lastRowLastColumn="0"/>
              <w:rPr>
                <w:rFonts w:cs="Arial"/>
                <w:sz w:val="20"/>
                <w:szCs w:val="20"/>
              </w:rPr>
            </w:pPr>
          </w:p>
        </w:tc>
      </w:tr>
    </w:tbl>
    <w:p w14:paraId="31C29336" w14:textId="77777777" w:rsidR="00401546" w:rsidRPr="00A9330B" w:rsidRDefault="00401546" w:rsidP="000A5D58">
      <w:pPr>
        <w:jc w:val="both"/>
      </w:pPr>
    </w:p>
    <w:p w14:paraId="10963BD6" w14:textId="77777777" w:rsidR="00401546" w:rsidRPr="00A9330B" w:rsidRDefault="00401546" w:rsidP="000F7BA7">
      <w:pPr>
        <w:pStyle w:val="Titre20"/>
      </w:pPr>
      <w:bookmarkStart w:id="1744" w:name="_Toc535244612"/>
      <w:bookmarkStart w:id="1745" w:name="_Toc43697696"/>
      <w:bookmarkStart w:id="1746" w:name="_Toc52869700"/>
      <w:bookmarkStart w:id="1747" w:name="_Toc52869860"/>
      <w:r w:rsidRPr="00A9330B">
        <w:t>9.5. Terrassement, décapage, travaux de fouilles et mis en dépôt</w:t>
      </w:r>
      <w:bookmarkEnd w:id="1744"/>
      <w:bookmarkEnd w:id="1745"/>
      <w:bookmarkEnd w:id="1746"/>
      <w:bookmarkEnd w:id="1747"/>
      <w:r w:rsidRPr="00A9330B">
        <w:t xml:space="preserve">  </w:t>
      </w:r>
    </w:p>
    <w:p w14:paraId="6E824393" w14:textId="6B5BA96F" w:rsidR="00401546" w:rsidRPr="00A9330B" w:rsidRDefault="00401546" w:rsidP="00401546">
      <w:pPr>
        <w:jc w:val="both"/>
        <w:rPr>
          <w:rFonts w:eastAsia="Calibri" w:cs="Times New Roman"/>
          <w:color w:val="auto"/>
          <w:szCs w:val="24"/>
          <w:lang w:eastAsia="fr-FR"/>
        </w:rPr>
      </w:pPr>
      <w:r w:rsidRPr="00A9330B">
        <w:rPr>
          <w:rFonts w:eastAsia="Calibri" w:cs="Times New Roman"/>
          <w:color w:val="auto"/>
          <w:szCs w:val="24"/>
          <w:lang w:eastAsia="fr-FR"/>
        </w:rPr>
        <w:t xml:space="preserve">Les risques les plus élevés sont liés aux déplacements des engins de chantier, potentiellement létaux s’ils heurtent un ouvrier ou un tiers. Les principaux risques spécifiques et notamment cumulatif concernent la stabilité des fouilles </w:t>
      </w:r>
      <w:r w:rsidR="006721DD" w:rsidRPr="00A9330B">
        <w:rPr>
          <w:rFonts w:eastAsia="Calibri" w:cs="Times New Roman"/>
          <w:color w:val="auto"/>
          <w:szCs w:val="24"/>
          <w:lang w:eastAsia="fr-FR"/>
        </w:rPr>
        <w:t>et dépôts</w:t>
      </w:r>
      <w:r w:rsidRPr="00A9330B">
        <w:rPr>
          <w:rFonts w:eastAsia="Calibri" w:cs="Times New Roman"/>
          <w:color w:val="auto"/>
          <w:szCs w:val="24"/>
          <w:lang w:eastAsia="fr-FR"/>
        </w:rPr>
        <w:t xml:space="preserve"> en gerbage, en fonction de leur profondeur et hauteur.</w:t>
      </w:r>
    </w:p>
    <w:p w14:paraId="16675F82" w14:textId="589CA677" w:rsidR="00401546" w:rsidRPr="00A9330B" w:rsidRDefault="00401546" w:rsidP="00401546">
      <w:pPr>
        <w:keepNext/>
        <w:spacing w:after="120" w:line="240" w:lineRule="auto"/>
        <w:jc w:val="center"/>
        <w:rPr>
          <w:rFonts w:eastAsia="Calibri" w:cs="Arial"/>
          <w:b/>
          <w:color w:val="000000"/>
          <w:sz w:val="20"/>
          <w:szCs w:val="20"/>
          <w:lang w:eastAsia="fr-FR"/>
        </w:rPr>
      </w:pPr>
      <w:bookmarkStart w:id="1748" w:name="_Toc529249276"/>
      <w:bookmarkStart w:id="1749" w:name="_Toc533058615"/>
      <w:bookmarkStart w:id="1750" w:name="_Toc535237428"/>
      <w:bookmarkStart w:id="1751" w:name="_Toc43696258"/>
      <w:bookmarkStart w:id="1752" w:name="_Toc52873771"/>
      <w:r w:rsidRPr="00A9330B">
        <w:rPr>
          <w:rFonts w:eastAsia="Times New Roman" w:cs="Arial"/>
          <w:b/>
          <w:color w:val="000000"/>
          <w:sz w:val="20"/>
          <w:szCs w:val="20"/>
          <w:lang w:eastAsia="fr-FR"/>
        </w:rPr>
        <w:t xml:space="preserve">Tableau </w:t>
      </w:r>
      <w:r w:rsidRPr="00A9330B">
        <w:rPr>
          <w:rFonts w:eastAsia="Times New Roman" w:cs="Arial"/>
          <w:b/>
          <w:color w:val="000000"/>
          <w:sz w:val="20"/>
          <w:szCs w:val="20"/>
          <w:lang w:eastAsia="fr-FR"/>
        </w:rPr>
        <w:fldChar w:fldCharType="begin"/>
      </w:r>
      <w:r w:rsidRPr="00A9330B">
        <w:rPr>
          <w:rFonts w:eastAsia="Times New Roman" w:cs="Arial"/>
          <w:b/>
          <w:color w:val="000000"/>
          <w:sz w:val="20"/>
          <w:szCs w:val="20"/>
          <w:lang w:eastAsia="fr-FR"/>
        </w:rPr>
        <w:instrText xml:space="preserve"> SEQ Tableau \* ARABIC </w:instrText>
      </w:r>
      <w:r w:rsidRPr="00A9330B">
        <w:rPr>
          <w:rFonts w:eastAsia="Times New Roman" w:cs="Arial"/>
          <w:b/>
          <w:color w:val="000000"/>
          <w:sz w:val="20"/>
          <w:szCs w:val="20"/>
          <w:lang w:eastAsia="fr-FR"/>
        </w:rPr>
        <w:fldChar w:fldCharType="separate"/>
      </w:r>
      <w:r w:rsidR="00417D31" w:rsidRPr="00A9330B">
        <w:rPr>
          <w:rFonts w:eastAsia="Times New Roman" w:cs="Arial"/>
          <w:b/>
          <w:noProof/>
          <w:color w:val="000000"/>
          <w:sz w:val="20"/>
          <w:szCs w:val="20"/>
          <w:lang w:eastAsia="fr-FR"/>
        </w:rPr>
        <w:t>47</w:t>
      </w:r>
      <w:r w:rsidRPr="00A9330B">
        <w:rPr>
          <w:rFonts w:eastAsia="Times New Roman" w:cs="Arial"/>
          <w:b/>
          <w:color w:val="000000"/>
          <w:sz w:val="20"/>
          <w:szCs w:val="20"/>
          <w:lang w:eastAsia="fr-FR"/>
        </w:rPr>
        <w:fldChar w:fldCharType="end"/>
      </w:r>
      <w:r w:rsidRPr="00A9330B">
        <w:rPr>
          <w:rFonts w:eastAsia="Calibri" w:cs="Arial"/>
          <w:b/>
          <w:color w:val="auto"/>
          <w:sz w:val="20"/>
          <w:szCs w:val="20"/>
          <w:lang w:eastAsia="fr-FR"/>
        </w:rPr>
        <w:t xml:space="preserve"> : </w:t>
      </w:r>
      <w:r w:rsidRPr="00A9330B">
        <w:rPr>
          <w:rFonts w:eastAsia="Calibri" w:cs="Arial"/>
          <w:b/>
          <w:color w:val="000000"/>
          <w:sz w:val="20"/>
          <w:szCs w:val="20"/>
          <w:lang w:eastAsia="fr-FR"/>
        </w:rPr>
        <w:t>Analyse des risques pour les terrassements, travaux de fouilles  et mise en dépôts des terres</w:t>
      </w:r>
      <w:bookmarkEnd w:id="1748"/>
      <w:bookmarkEnd w:id="1749"/>
      <w:bookmarkEnd w:id="1750"/>
      <w:bookmarkEnd w:id="1751"/>
      <w:bookmarkEnd w:id="1752"/>
    </w:p>
    <w:tbl>
      <w:tblPr>
        <w:tblW w:w="920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86"/>
        <w:gridCol w:w="2486"/>
        <w:gridCol w:w="3260"/>
        <w:gridCol w:w="1134"/>
        <w:gridCol w:w="993"/>
        <w:gridCol w:w="850"/>
      </w:tblGrid>
      <w:tr w:rsidR="00401546" w:rsidRPr="00A9330B" w14:paraId="184E58C0" w14:textId="77777777" w:rsidTr="00401546">
        <w:trPr>
          <w:jc w:val="center"/>
        </w:trPr>
        <w:tc>
          <w:tcPr>
            <w:tcW w:w="486" w:type="dxa"/>
            <w:vMerge w:val="restart"/>
            <w:shd w:val="clear" w:color="auto" w:fill="FFFFFF" w:themeFill="background1"/>
          </w:tcPr>
          <w:p w14:paraId="16C7B082" w14:textId="77777777" w:rsidR="00401546" w:rsidRPr="00A9330B" w:rsidRDefault="00401546" w:rsidP="00401546">
            <w:pPr>
              <w:spacing w:line="276" w:lineRule="auto"/>
              <w:jc w:val="center"/>
              <w:rPr>
                <w:rFonts w:cs="Arial"/>
                <w:color w:val="auto"/>
                <w:sz w:val="18"/>
                <w:szCs w:val="18"/>
              </w:rPr>
            </w:pPr>
            <w:r w:rsidRPr="00A9330B">
              <w:rPr>
                <w:rFonts w:cs="Arial"/>
                <w:color w:val="auto"/>
                <w:sz w:val="18"/>
                <w:szCs w:val="18"/>
              </w:rPr>
              <w:t>N°</w:t>
            </w:r>
          </w:p>
        </w:tc>
        <w:tc>
          <w:tcPr>
            <w:tcW w:w="2486" w:type="dxa"/>
            <w:vMerge w:val="restart"/>
            <w:shd w:val="clear" w:color="auto" w:fill="FFFFFF" w:themeFill="background1"/>
          </w:tcPr>
          <w:p w14:paraId="05CB1A23" w14:textId="77777777" w:rsidR="00401546" w:rsidRPr="00A9330B" w:rsidRDefault="00401546" w:rsidP="00401546">
            <w:pPr>
              <w:spacing w:line="276" w:lineRule="auto"/>
              <w:jc w:val="center"/>
              <w:rPr>
                <w:rFonts w:cs="Arial"/>
                <w:color w:val="auto"/>
                <w:sz w:val="18"/>
                <w:szCs w:val="18"/>
              </w:rPr>
            </w:pPr>
            <w:r w:rsidRPr="00A9330B">
              <w:rPr>
                <w:rFonts w:cs="Arial"/>
                <w:color w:val="auto"/>
                <w:sz w:val="18"/>
                <w:szCs w:val="18"/>
              </w:rPr>
              <w:t xml:space="preserve">Principales situations de danger </w:t>
            </w:r>
          </w:p>
        </w:tc>
        <w:tc>
          <w:tcPr>
            <w:tcW w:w="3260" w:type="dxa"/>
            <w:vMerge w:val="restart"/>
            <w:shd w:val="clear" w:color="auto" w:fill="FFFFFF" w:themeFill="background1"/>
          </w:tcPr>
          <w:p w14:paraId="5BB658F3" w14:textId="77777777" w:rsidR="00401546" w:rsidRPr="00A9330B" w:rsidRDefault="00401546" w:rsidP="00401546">
            <w:pPr>
              <w:spacing w:line="276" w:lineRule="auto"/>
              <w:jc w:val="center"/>
              <w:rPr>
                <w:rFonts w:cs="Arial"/>
                <w:color w:val="auto"/>
                <w:sz w:val="18"/>
                <w:szCs w:val="18"/>
              </w:rPr>
            </w:pPr>
            <w:r w:rsidRPr="00A9330B">
              <w:rPr>
                <w:rFonts w:cs="Arial"/>
                <w:color w:val="auto"/>
                <w:sz w:val="18"/>
                <w:szCs w:val="18"/>
              </w:rPr>
              <w:t xml:space="preserve">Evènements non souhaitable (ENS)/Impact  </w:t>
            </w:r>
          </w:p>
        </w:tc>
        <w:tc>
          <w:tcPr>
            <w:tcW w:w="2977" w:type="dxa"/>
            <w:gridSpan w:val="3"/>
            <w:shd w:val="clear" w:color="auto" w:fill="FFFFFF" w:themeFill="background1"/>
          </w:tcPr>
          <w:p w14:paraId="7D7F50DE" w14:textId="77777777" w:rsidR="00401546" w:rsidRPr="00A9330B" w:rsidRDefault="00401546" w:rsidP="00401546">
            <w:pPr>
              <w:spacing w:line="276" w:lineRule="auto"/>
              <w:jc w:val="center"/>
              <w:rPr>
                <w:rFonts w:cs="Arial"/>
                <w:color w:val="auto"/>
                <w:sz w:val="18"/>
                <w:szCs w:val="18"/>
              </w:rPr>
            </w:pPr>
            <w:r w:rsidRPr="00A9330B">
              <w:rPr>
                <w:rFonts w:cs="Arial"/>
                <w:color w:val="auto"/>
                <w:sz w:val="18"/>
                <w:szCs w:val="18"/>
              </w:rPr>
              <w:t xml:space="preserve">Evaluation du risque </w:t>
            </w:r>
          </w:p>
        </w:tc>
      </w:tr>
      <w:tr w:rsidR="00401546" w:rsidRPr="00A9330B" w14:paraId="15D04973" w14:textId="77777777" w:rsidTr="009C5C1D">
        <w:trPr>
          <w:jc w:val="center"/>
        </w:trPr>
        <w:tc>
          <w:tcPr>
            <w:tcW w:w="486" w:type="dxa"/>
            <w:vMerge/>
            <w:shd w:val="clear" w:color="auto" w:fill="F4B083" w:themeFill="accent2" w:themeFillTint="99"/>
          </w:tcPr>
          <w:p w14:paraId="10AF7A38" w14:textId="77777777" w:rsidR="00401546" w:rsidRPr="00A9330B" w:rsidRDefault="00401546" w:rsidP="00401546">
            <w:pPr>
              <w:spacing w:line="276" w:lineRule="auto"/>
              <w:rPr>
                <w:rFonts w:cs="Arial"/>
                <w:sz w:val="18"/>
                <w:szCs w:val="18"/>
              </w:rPr>
            </w:pPr>
          </w:p>
        </w:tc>
        <w:tc>
          <w:tcPr>
            <w:tcW w:w="2486" w:type="dxa"/>
            <w:vMerge/>
            <w:shd w:val="clear" w:color="auto" w:fill="F4B083" w:themeFill="accent2" w:themeFillTint="99"/>
          </w:tcPr>
          <w:p w14:paraId="36F08039" w14:textId="77777777" w:rsidR="00401546" w:rsidRPr="00A9330B" w:rsidRDefault="00401546" w:rsidP="00401546">
            <w:pPr>
              <w:spacing w:line="276" w:lineRule="auto"/>
              <w:rPr>
                <w:rFonts w:cs="Arial"/>
                <w:sz w:val="18"/>
                <w:szCs w:val="18"/>
              </w:rPr>
            </w:pPr>
          </w:p>
        </w:tc>
        <w:tc>
          <w:tcPr>
            <w:tcW w:w="3260" w:type="dxa"/>
            <w:vMerge/>
            <w:shd w:val="clear" w:color="auto" w:fill="F4B083" w:themeFill="accent2" w:themeFillTint="99"/>
          </w:tcPr>
          <w:p w14:paraId="4373E84B" w14:textId="77777777" w:rsidR="00401546" w:rsidRPr="00A9330B" w:rsidRDefault="00401546" w:rsidP="00401546">
            <w:pPr>
              <w:spacing w:line="276" w:lineRule="auto"/>
              <w:rPr>
                <w:rFonts w:cs="Arial"/>
                <w:sz w:val="18"/>
                <w:szCs w:val="18"/>
              </w:rPr>
            </w:pPr>
          </w:p>
        </w:tc>
        <w:tc>
          <w:tcPr>
            <w:tcW w:w="1134" w:type="dxa"/>
            <w:shd w:val="clear" w:color="auto" w:fill="ED7D31" w:themeFill="accent2"/>
          </w:tcPr>
          <w:p w14:paraId="50A35A10" w14:textId="77777777" w:rsidR="00401546" w:rsidRPr="00A9330B" w:rsidRDefault="00401546" w:rsidP="00401546">
            <w:pPr>
              <w:spacing w:line="276" w:lineRule="auto"/>
              <w:jc w:val="center"/>
              <w:rPr>
                <w:rFonts w:cs="Arial"/>
                <w:sz w:val="18"/>
                <w:szCs w:val="18"/>
              </w:rPr>
            </w:pPr>
            <w:r w:rsidRPr="00A9330B">
              <w:rPr>
                <w:rFonts w:cs="Arial"/>
                <w:sz w:val="18"/>
                <w:szCs w:val="18"/>
              </w:rPr>
              <w:t xml:space="preserve">Probabilité </w:t>
            </w:r>
          </w:p>
        </w:tc>
        <w:tc>
          <w:tcPr>
            <w:tcW w:w="993" w:type="dxa"/>
            <w:shd w:val="clear" w:color="auto" w:fill="ED7D31" w:themeFill="accent2"/>
          </w:tcPr>
          <w:p w14:paraId="25C30955" w14:textId="77777777" w:rsidR="00401546" w:rsidRPr="00A9330B" w:rsidRDefault="00401546" w:rsidP="00401546">
            <w:pPr>
              <w:spacing w:line="276" w:lineRule="auto"/>
              <w:jc w:val="center"/>
              <w:rPr>
                <w:rFonts w:cs="Arial"/>
                <w:sz w:val="18"/>
                <w:szCs w:val="18"/>
              </w:rPr>
            </w:pPr>
            <w:r w:rsidRPr="00A9330B">
              <w:rPr>
                <w:rFonts w:cs="Arial"/>
                <w:sz w:val="18"/>
                <w:szCs w:val="18"/>
              </w:rPr>
              <w:t xml:space="preserve">Gravité </w:t>
            </w:r>
          </w:p>
        </w:tc>
        <w:tc>
          <w:tcPr>
            <w:tcW w:w="850" w:type="dxa"/>
            <w:shd w:val="clear" w:color="auto" w:fill="ED7D31" w:themeFill="accent2"/>
          </w:tcPr>
          <w:p w14:paraId="4649BC79" w14:textId="77777777" w:rsidR="00401546" w:rsidRPr="00A9330B" w:rsidRDefault="00401546" w:rsidP="00401546">
            <w:pPr>
              <w:spacing w:line="276" w:lineRule="auto"/>
              <w:jc w:val="center"/>
              <w:rPr>
                <w:rFonts w:cs="Arial"/>
                <w:sz w:val="18"/>
                <w:szCs w:val="18"/>
              </w:rPr>
            </w:pPr>
            <w:r w:rsidRPr="00A9330B">
              <w:rPr>
                <w:rFonts w:cs="Arial"/>
                <w:sz w:val="18"/>
                <w:szCs w:val="18"/>
              </w:rPr>
              <w:t xml:space="preserve">Acceptabilité </w:t>
            </w:r>
          </w:p>
        </w:tc>
      </w:tr>
      <w:tr w:rsidR="00401546" w:rsidRPr="00A9330B" w14:paraId="62CAC4FF" w14:textId="77777777" w:rsidTr="00401546">
        <w:trPr>
          <w:jc w:val="center"/>
        </w:trPr>
        <w:tc>
          <w:tcPr>
            <w:tcW w:w="486" w:type="dxa"/>
          </w:tcPr>
          <w:p w14:paraId="729E6BEF" w14:textId="77777777" w:rsidR="00401546" w:rsidRPr="00A9330B" w:rsidRDefault="00401546" w:rsidP="00401546">
            <w:pPr>
              <w:spacing w:line="276" w:lineRule="auto"/>
              <w:jc w:val="center"/>
              <w:rPr>
                <w:rFonts w:cs="Arial"/>
                <w:sz w:val="18"/>
                <w:szCs w:val="18"/>
              </w:rPr>
            </w:pPr>
            <w:r w:rsidRPr="00A9330B">
              <w:rPr>
                <w:rFonts w:cs="Arial"/>
                <w:sz w:val="18"/>
                <w:szCs w:val="18"/>
              </w:rPr>
              <w:t>1</w:t>
            </w:r>
          </w:p>
        </w:tc>
        <w:tc>
          <w:tcPr>
            <w:tcW w:w="2486" w:type="dxa"/>
          </w:tcPr>
          <w:p w14:paraId="429FA1A4" w14:textId="77777777" w:rsidR="00401546" w:rsidRPr="00A9330B" w:rsidRDefault="00401546" w:rsidP="000F7BA7">
            <w:pPr>
              <w:spacing w:line="276" w:lineRule="auto"/>
              <w:jc w:val="both"/>
              <w:rPr>
                <w:rFonts w:cs="Arial"/>
                <w:sz w:val="18"/>
                <w:szCs w:val="18"/>
              </w:rPr>
            </w:pPr>
            <w:r w:rsidRPr="00A9330B">
              <w:rPr>
                <w:rFonts w:cs="Arial"/>
                <w:sz w:val="18"/>
                <w:szCs w:val="18"/>
              </w:rPr>
              <w:t xml:space="preserve">Déplacement mal contrôlé de véhicules et engins de chantier ou de leurs organes mobiles (pelle mécanique, chargeuse, camions, par exemple.) </w:t>
            </w:r>
          </w:p>
        </w:tc>
        <w:tc>
          <w:tcPr>
            <w:tcW w:w="3260" w:type="dxa"/>
          </w:tcPr>
          <w:p w14:paraId="0108E720" w14:textId="77777777" w:rsidR="00401546" w:rsidRPr="00A9330B" w:rsidRDefault="00401546" w:rsidP="000F7BA7">
            <w:pPr>
              <w:spacing w:line="276" w:lineRule="auto"/>
              <w:jc w:val="both"/>
              <w:rPr>
                <w:rFonts w:cs="Arial"/>
                <w:sz w:val="18"/>
                <w:szCs w:val="18"/>
              </w:rPr>
            </w:pPr>
            <w:r w:rsidRPr="00A9330B">
              <w:rPr>
                <w:rFonts w:cs="Arial"/>
                <w:sz w:val="18"/>
                <w:szCs w:val="18"/>
              </w:rPr>
              <w:t xml:space="preserve">Renversement, basculement, heurt ou entrainement d’un ouvrier pouvant occasionner la mort, des blessures, fractures, lésions pertes sensorielles temporaires ou permanentes </w:t>
            </w:r>
          </w:p>
        </w:tc>
        <w:tc>
          <w:tcPr>
            <w:tcW w:w="1134" w:type="dxa"/>
          </w:tcPr>
          <w:p w14:paraId="4D97623C" w14:textId="77777777" w:rsidR="00401546" w:rsidRPr="00A9330B" w:rsidRDefault="00401546" w:rsidP="00401546">
            <w:pPr>
              <w:spacing w:line="276" w:lineRule="auto"/>
              <w:jc w:val="center"/>
              <w:rPr>
                <w:rFonts w:cs="Arial"/>
                <w:sz w:val="18"/>
                <w:szCs w:val="18"/>
              </w:rPr>
            </w:pPr>
          </w:p>
          <w:p w14:paraId="43A066B3" w14:textId="77777777" w:rsidR="00401546" w:rsidRPr="00A9330B" w:rsidRDefault="00401546" w:rsidP="00401546">
            <w:pPr>
              <w:spacing w:line="276" w:lineRule="auto"/>
              <w:jc w:val="center"/>
              <w:rPr>
                <w:rFonts w:cs="Arial"/>
                <w:sz w:val="18"/>
                <w:szCs w:val="18"/>
              </w:rPr>
            </w:pPr>
            <w:r w:rsidRPr="00A9330B">
              <w:rPr>
                <w:rFonts w:cs="Arial"/>
                <w:sz w:val="18"/>
                <w:szCs w:val="18"/>
              </w:rPr>
              <w:t>3</w:t>
            </w:r>
          </w:p>
        </w:tc>
        <w:tc>
          <w:tcPr>
            <w:tcW w:w="993" w:type="dxa"/>
          </w:tcPr>
          <w:p w14:paraId="7B90AA3B" w14:textId="77777777" w:rsidR="00401546" w:rsidRPr="00A9330B" w:rsidRDefault="00401546" w:rsidP="00401546">
            <w:pPr>
              <w:spacing w:line="276" w:lineRule="auto"/>
              <w:jc w:val="center"/>
              <w:rPr>
                <w:rFonts w:cs="Arial"/>
                <w:sz w:val="18"/>
                <w:szCs w:val="18"/>
              </w:rPr>
            </w:pPr>
          </w:p>
          <w:p w14:paraId="77DF8507" w14:textId="77777777" w:rsidR="00401546" w:rsidRPr="00A9330B" w:rsidRDefault="00401546" w:rsidP="00401546">
            <w:pPr>
              <w:spacing w:line="276" w:lineRule="auto"/>
              <w:jc w:val="center"/>
              <w:rPr>
                <w:rFonts w:cs="Arial"/>
                <w:sz w:val="18"/>
                <w:szCs w:val="18"/>
              </w:rPr>
            </w:pPr>
            <w:r w:rsidRPr="00A9330B">
              <w:rPr>
                <w:rFonts w:cs="Arial"/>
                <w:sz w:val="18"/>
                <w:szCs w:val="18"/>
              </w:rPr>
              <w:t>3</w:t>
            </w:r>
          </w:p>
        </w:tc>
        <w:tc>
          <w:tcPr>
            <w:tcW w:w="850" w:type="dxa"/>
            <w:shd w:val="clear" w:color="auto" w:fill="FF0000"/>
          </w:tcPr>
          <w:p w14:paraId="54FF5773" w14:textId="77777777" w:rsidR="00401546" w:rsidRPr="00A9330B" w:rsidRDefault="00401546" w:rsidP="00401546">
            <w:pPr>
              <w:spacing w:line="276" w:lineRule="auto"/>
              <w:jc w:val="center"/>
              <w:rPr>
                <w:rFonts w:cs="Arial"/>
                <w:sz w:val="18"/>
                <w:szCs w:val="18"/>
              </w:rPr>
            </w:pPr>
          </w:p>
        </w:tc>
      </w:tr>
      <w:tr w:rsidR="00401546" w:rsidRPr="00A9330B" w14:paraId="18C7A323" w14:textId="77777777" w:rsidTr="00401546">
        <w:trPr>
          <w:jc w:val="center"/>
        </w:trPr>
        <w:tc>
          <w:tcPr>
            <w:tcW w:w="486" w:type="dxa"/>
          </w:tcPr>
          <w:p w14:paraId="17F44BE5" w14:textId="77777777" w:rsidR="00401546" w:rsidRPr="00A9330B" w:rsidRDefault="00401546" w:rsidP="00401546">
            <w:pPr>
              <w:spacing w:line="276" w:lineRule="auto"/>
              <w:jc w:val="center"/>
              <w:rPr>
                <w:rFonts w:cs="Arial"/>
                <w:sz w:val="18"/>
                <w:szCs w:val="18"/>
              </w:rPr>
            </w:pPr>
            <w:r w:rsidRPr="00A9330B">
              <w:rPr>
                <w:rFonts w:cs="Arial"/>
                <w:sz w:val="18"/>
                <w:szCs w:val="18"/>
              </w:rPr>
              <w:t>2</w:t>
            </w:r>
          </w:p>
        </w:tc>
        <w:tc>
          <w:tcPr>
            <w:tcW w:w="2486" w:type="dxa"/>
          </w:tcPr>
          <w:p w14:paraId="12106131" w14:textId="77777777" w:rsidR="00401546" w:rsidRPr="00A9330B" w:rsidRDefault="00401546" w:rsidP="000F7BA7">
            <w:pPr>
              <w:spacing w:line="276" w:lineRule="auto"/>
              <w:jc w:val="both"/>
              <w:rPr>
                <w:rFonts w:cs="Arial"/>
                <w:sz w:val="18"/>
                <w:szCs w:val="18"/>
              </w:rPr>
            </w:pPr>
            <w:r w:rsidRPr="00A9330B">
              <w:rPr>
                <w:rFonts w:cs="Arial"/>
                <w:sz w:val="18"/>
                <w:szCs w:val="18"/>
              </w:rPr>
              <w:t xml:space="preserve">Stockage, manutention, manipulation ou transport inadapté de matériels et matériaux (par exemple : déblais ou remblais) </w:t>
            </w:r>
          </w:p>
        </w:tc>
        <w:tc>
          <w:tcPr>
            <w:tcW w:w="3260" w:type="dxa"/>
          </w:tcPr>
          <w:p w14:paraId="196D55D7" w14:textId="77777777" w:rsidR="00401546" w:rsidRPr="00A9330B" w:rsidRDefault="00401546" w:rsidP="000F7BA7">
            <w:pPr>
              <w:spacing w:line="276" w:lineRule="auto"/>
              <w:jc w:val="both"/>
              <w:rPr>
                <w:rFonts w:cs="Arial"/>
                <w:sz w:val="18"/>
                <w:szCs w:val="18"/>
              </w:rPr>
            </w:pPr>
            <w:r w:rsidRPr="00A9330B">
              <w:rPr>
                <w:rFonts w:cs="Arial"/>
                <w:sz w:val="18"/>
                <w:szCs w:val="18"/>
              </w:rPr>
              <w:t xml:space="preserve">Matériel ou matériaux accidentellement déversés sur les ouvriers ou les tiers pouvant entrainer l’étouffement, des blessures, fractures, traumatismes </w:t>
            </w:r>
          </w:p>
        </w:tc>
        <w:tc>
          <w:tcPr>
            <w:tcW w:w="1134" w:type="dxa"/>
          </w:tcPr>
          <w:p w14:paraId="1282E60F" w14:textId="77777777" w:rsidR="00401546" w:rsidRPr="00A9330B" w:rsidRDefault="00401546" w:rsidP="00401546">
            <w:pPr>
              <w:spacing w:line="276" w:lineRule="auto"/>
              <w:jc w:val="center"/>
              <w:rPr>
                <w:rFonts w:cs="Arial"/>
                <w:sz w:val="18"/>
                <w:szCs w:val="18"/>
              </w:rPr>
            </w:pPr>
          </w:p>
          <w:p w14:paraId="42C095D5" w14:textId="77777777" w:rsidR="00401546" w:rsidRPr="00A9330B" w:rsidRDefault="00401546" w:rsidP="00401546">
            <w:pPr>
              <w:spacing w:line="276" w:lineRule="auto"/>
              <w:jc w:val="center"/>
              <w:rPr>
                <w:rFonts w:cs="Arial"/>
                <w:sz w:val="18"/>
                <w:szCs w:val="18"/>
              </w:rPr>
            </w:pPr>
            <w:r w:rsidRPr="00A9330B">
              <w:rPr>
                <w:rFonts w:cs="Arial"/>
                <w:sz w:val="18"/>
                <w:szCs w:val="18"/>
              </w:rPr>
              <w:t>3</w:t>
            </w:r>
          </w:p>
        </w:tc>
        <w:tc>
          <w:tcPr>
            <w:tcW w:w="993" w:type="dxa"/>
          </w:tcPr>
          <w:p w14:paraId="7140D1AF" w14:textId="77777777" w:rsidR="00401546" w:rsidRPr="00A9330B" w:rsidRDefault="00401546" w:rsidP="00401546">
            <w:pPr>
              <w:spacing w:line="276" w:lineRule="auto"/>
              <w:jc w:val="center"/>
              <w:rPr>
                <w:rFonts w:cs="Arial"/>
                <w:sz w:val="18"/>
                <w:szCs w:val="18"/>
              </w:rPr>
            </w:pPr>
          </w:p>
          <w:p w14:paraId="5EB92773" w14:textId="77777777" w:rsidR="00401546" w:rsidRPr="00A9330B" w:rsidRDefault="00401546" w:rsidP="00401546">
            <w:pPr>
              <w:spacing w:line="276" w:lineRule="auto"/>
              <w:jc w:val="center"/>
              <w:rPr>
                <w:rFonts w:cs="Arial"/>
                <w:sz w:val="18"/>
                <w:szCs w:val="18"/>
              </w:rPr>
            </w:pPr>
            <w:r w:rsidRPr="00A9330B">
              <w:rPr>
                <w:rFonts w:cs="Arial"/>
                <w:sz w:val="18"/>
                <w:szCs w:val="18"/>
              </w:rPr>
              <w:t>2</w:t>
            </w:r>
          </w:p>
        </w:tc>
        <w:tc>
          <w:tcPr>
            <w:tcW w:w="850" w:type="dxa"/>
            <w:shd w:val="clear" w:color="auto" w:fill="FFFF00"/>
          </w:tcPr>
          <w:p w14:paraId="002B50CE" w14:textId="77777777" w:rsidR="00401546" w:rsidRPr="00A9330B" w:rsidRDefault="00401546" w:rsidP="00401546">
            <w:pPr>
              <w:spacing w:line="276" w:lineRule="auto"/>
              <w:jc w:val="center"/>
              <w:rPr>
                <w:rFonts w:cs="Arial"/>
                <w:sz w:val="18"/>
                <w:szCs w:val="18"/>
              </w:rPr>
            </w:pPr>
          </w:p>
        </w:tc>
      </w:tr>
      <w:tr w:rsidR="00401546" w:rsidRPr="00A9330B" w14:paraId="1CAEB448" w14:textId="77777777" w:rsidTr="00401546">
        <w:trPr>
          <w:jc w:val="center"/>
        </w:trPr>
        <w:tc>
          <w:tcPr>
            <w:tcW w:w="486" w:type="dxa"/>
          </w:tcPr>
          <w:p w14:paraId="3DCA4750" w14:textId="77777777" w:rsidR="00401546" w:rsidRPr="00A9330B" w:rsidRDefault="00401546" w:rsidP="00401546">
            <w:pPr>
              <w:spacing w:line="276" w:lineRule="auto"/>
              <w:jc w:val="center"/>
              <w:rPr>
                <w:rFonts w:cs="Arial"/>
                <w:sz w:val="18"/>
                <w:szCs w:val="18"/>
              </w:rPr>
            </w:pPr>
            <w:r w:rsidRPr="00A9330B">
              <w:rPr>
                <w:rFonts w:cs="Arial"/>
                <w:sz w:val="18"/>
                <w:szCs w:val="18"/>
              </w:rPr>
              <w:t>3</w:t>
            </w:r>
          </w:p>
        </w:tc>
        <w:tc>
          <w:tcPr>
            <w:tcW w:w="2486" w:type="dxa"/>
          </w:tcPr>
          <w:p w14:paraId="141EA8DB" w14:textId="77777777" w:rsidR="00401546" w:rsidRPr="00A9330B" w:rsidRDefault="00401546" w:rsidP="000F7BA7">
            <w:pPr>
              <w:spacing w:line="276" w:lineRule="auto"/>
              <w:jc w:val="both"/>
              <w:rPr>
                <w:rFonts w:cs="Arial"/>
                <w:sz w:val="18"/>
                <w:szCs w:val="18"/>
              </w:rPr>
            </w:pPr>
            <w:r w:rsidRPr="00A9330B">
              <w:rPr>
                <w:rFonts w:cs="Arial"/>
                <w:sz w:val="18"/>
                <w:szCs w:val="18"/>
              </w:rPr>
              <w:t xml:space="preserve">Absence ou inefficacité des protections collectives et individuelles </w:t>
            </w:r>
          </w:p>
        </w:tc>
        <w:tc>
          <w:tcPr>
            <w:tcW w:w="3260" w:type="dxa"/>
          </w:tcPr>
          <w:p w14:paraId="7740889C" w14:textId="77777777" w:rsidR="00401546" w:rsidRPr="00A9330B" w:rsidRDefault="00401546" w:rsidP="000F7BA7">
            <w:pPr>
              <w:spacing w:line="276" w:lineRule="auto"/>
              <w:jc w:val="both"/>
              <w:rPr>
                <w:rFonts w:cs="Arial"/>
                <w:sz w:val="18"/>
                <w:szCs w:val="18"/>
              </w:rPr>
            </w:pPr>
            <w:r w:rsidRPr="00A9330B">
              <w:rPr>
                <w:rFonts w:cs="Arial"/>
                <w:sz w:val="18"/>
                <w:szCs w:val="18"/>
              </w:rPr>
              <w:t xml:space="preserve">Vulnérabilité des ouvriers pouvant entrainer la mort, des blessures, fractures, lésions, pertes sensorielles temporaires ou permanente </w:t>
            </w:r>
          </w:p>
        </w:tc>
        <w:tc>
          <w:tcPr>
            <w:tcW w:w="1134" w:type="dxa"/>
          </w:tcPr>
          <w:p w14:paraId="01C5CB93" w14:textId="77777777" w:rsidR="00401546" w:rsidRPr="00A9330B" w:rsidRDefault="00401546" w:rsidP="00401546">
            <w:pPr>
              <w:spacing w:line="276" w:lineRule="auto"/>
              <w:jc w:val="center"/>
              <w:rPr>
                <w:rFonts w:cs="Arial"/>
                <w:sz w:val="18"/>
                <w:szCs w:val="18"/>
              </w:rPr>
            </w:pPr>
          </w:p>
          <w:p w14:paraId="1C1F8678" w14:textId="77777777" w:rsidR="00401546" w:rsidRPr="00A9330B" w:rsidRDefault="00401546" w:rsidP="00401546">
            <w:pPr>
              <w:spacing w:line="276" w:lineRule="auto"/>
              <w:jc w:val="center"/>
              <w:rPr>
                <w:rFonts w:cs="Arial"/>
                <w:sz w:val="18"/>
                <w:szCs w:val="18"/>
              </w:rPr>
            </w:pPr>
            <w:r w:rsidRPr="00A9330B">
              <w:rPr>
                <w:rFonts w:cs="Arial"/>
                <w:sz w:val="18"/>
                <w:szCs w:val="18"/>
              </w:rPr>
              <w:t>3</w:t>
            </w:r>
          </w:p>
        </w:tc>
        <w:tc>
          <w:tcPr>
            <w:tcW w:w="993" w:type="dxa"/>
          </w:tcPr>
          <w:p w14:paraId="007668B1" w14:textId="77777777" w:rsidR="00401546" w:rsidRPr="00A9330B" w:rsidRDefault="00401546" w:rsidP="00401546">
            <w:pPr>
              <w:spacing w:line="276" w:lineRule="auto"/>
              <w:jc w:val="center"/>
              <w:rPr>
                <w:rFonts w:cs="Arial"/>
                <w:sz w:val="18"/>
                <w:szCs w:val="18"/>
              </w:rPr>
            </w:pPr>
          </w:p>
          <w:p w14:paraId="599AF02B" w14:textId="77777777" w:rsidR="00401546" w:rsidRPr="00A9330B" w:rsidRDefault="00401546" w:rsidP="00401546">
            <w:pPr>
              <w:spacing w:line="276" w:lineRule="auto"/>
              <w:jc w:val="center"/>
              <w:rPr>
                <w:rFonts w:cs="Arial"/>
                <w:sz w:val="18"/>
                <w:szCs w:val="18"/>
              </w:rPr>
            </w:pPr>
            <w:r w:rsidRPr="00A9330B">
              <w:rPr>
                <w:rFonts w:cs="Arial"/>
                <w:sz w:val="18"/>
                <w:szCs w:val="18"/>
              </w:rPr>
              <w:t>2</w:t>
            </w:r>
          </w:p>
        </w:tc>
        <w:tc>
          <w:tcPr>
            <w:tcW w:w="850" w:type="dxa"/>
            <w:shd w:val="clear" w:color="auto" w:fill="FFFF00"/>
          </w:tcPr>
          <w:p w14:paraId="27FC7F5C" w14:textId="77777777" w:rsidR="00401546" w:rsidRPr="00A9330B" w:rsidRDefault="00401546" w:rsidP="00401546">
            <w:pPr>
              <w:spacing w:line="276" w:lineRule="auto"/>
              <w:jc w:val="center"/>
              <w:rPr>
                <w:rFonts w:cs="Arial"/>
                <w:sz w:val="18"/>
                <w:szCs w:val="18"/>
              </w:rPr>
            </w:pPr>
          </w:p>
        </w:tc>
      </w:tr>
      <w:tr w:rsidR="00401546" w:rsidRPr="00A9330B" w14:paraId="7455D950" w14:textId="77777777" w:rsidTr="00401546">
        <w:trPr>
          <w:jc w:val="center"/>
        </w:trPr>
        <w:tc>
          <w:tcPr>
            <w:tcW w:w="486" w:type="dxa"/>
          </w:tcPr>
          <w:p w14:paraId="7546E90C" w14:textId="77777777" w:rsidR="00401546" w:rsidRPr="00A9330B" w:rsidRDefault="00401546" w:rsidP="00401546">
            <w:pPr>
              <w:spacing w:line="276" w:lineRule="auto"/>
              <w:jc w:val="center"/>
              <w:rPr>
                <w:rFonts w:cs="Arial"/>
                <w:sz w:val="18"/>
                <w:szCs w:val="18"/>
              </w:rPr>
            </w:pPr>
            <w:r w:rsidRPr="00A9330B">
              <w:rPr>
                <w:rFonts w:cs="Arial"/>
                <w:sz w:val="18"/>
                <w:szCs w:val="18"/>
              </w:rPr>
              <w:t>4</w:t>
            </w:r>
          </w:p>
        </w:tc>
        <w:tc>
          <w:tcPr>
            <w:tcW w:w="2486" w:type="dxa"/>
          </w:tcPr>
          <w:p w14:paraId="3C6768B8" w14:textId="77777777" w:rsidR="00401546" w:rsidRPr="00A9330B" w:rsidRDefault="00401546" w:rsidP="000F7BA7">
            <w:pPr>
              <w:spacing w:line="276" w:lineRule="auto"/>
              <w:jc w:val="both"/>
              <w:rPr>
                <w:rFonts w:cs="Arial"/>
                <w:sz w:val="18"/>
                <w:szCs w:val="18"/>
              </w:rPr>
            </w:pPr>
            <w:r w:rsidRPr="00A9330B">
              <w:rPr>
                <w:rFonts w:cs="Arial"/>
                <w:sz w:val="18"/>
                <w:szCs w:val="18"/>
              </w:rPr>
              <w:t xml:space="preserve">Durée du travail excessive et accès à l’eau et l’hygiène inadapté </w:t>
            </w:r>
          </w:p>
        </w:tc>
        <w:tc>
          <w:tcPr>
            <w:tcW w:w="3260" w:type="dxa"/>
          </w:tcPr>
          <w:p w14:paraId="66294251" w14:textId="77777777" w:rsidR="00401546" w:rsidRPr="00A9330B" w:rsidRDefault="00401546" w:rsidP="000F7BA7">
            <w:pPr>
              <w:spacing w:line="276" w:lineRule="auto"/>
              <w:jc w:val="both"/>
              <w:rPr>
                <w:rFonts w:cs="Arial"/>
                <w:sz w:val="18"/>
                <w:szCs w:val="18"/>
              </w:rPr>
            </w:pPr>
            <w:r w:rsidRPr="00A9330B">
              <w:rPr>
                <w:rFonts w:cs="Arial"/>
                <w:sz w:val="18"/>
                <w:szCs w:val="18"/>
              </w:rPr>
              <w:t xml:space="preserve">Exposition à la chaleur ou au soleil et fatigue excessive à l’origine d’insolation, de déshydratation, de </w:t>
            </w:r>
            <w:r w:rsidRPr="00A9330B">
              <w:rPr>
                <w:rFonts w:cs="Arial"/>
                <w:sz w:val="18"/>
                <w:szCs w:val="18"/>
              </w:rPr>
              <w:lastRenderedPageBreak/>
              <w:t>désordre métabolique et de trouble de l’attention</w:t>
            </w:r>
          </w:p>
        </w:tc>
        <w:tc>
          <w:tcPr>
            <w:tcW w:w="1134" w:type="dxa"/>
          </w:tcPr>
          <w:p w14:paraId="57E217B5" w14:textId="77777777" w:rsidR="00401546" w:rsidRPr="00A9330B" w:rsidRDefault="00401546" w:rsidP="00401546">
            <w:pPr>
              <w:spacing w:line="276" w:lineRule="auto"/>
              <w:jc w:val="center"/>
              <w:rPr>
                <w:rFonts w:cs="Arial"/>
                <w:sz w:val="18"/>
                <w:szCs w:val="18"/>
              </w:rPr>
            </w:pPr>
          </w:p>
          <w:p w14:paraId="17B46561" w14:textId="77777777" w:rsidR="00401546" w:rsidRPr="00A9330B" w:rsidRDefault="00401546" w:rsidP="00401546">
            <w:pPr>
              <w:spacing w:line="276" w:lineRule="auto"/>
              <w:jc w:val="center"/>
              <w:rPr>
                <w:rFonts w:cs="Arial"/>
                <w:sz w:val="18"/>
                <w:szCs w:val="18"/>
              </w:rPr>
            </w:pPr>
            <w:r w:rsidRPr="00A9330B">
              <w:rPr>
                <w:rFonts w:cs="Arial"/>
                <w:sz w:val="18"/>
                <w:szCs w:val="18"/>
              </w:rPr>
              <w:t>3</w:t>
            </w:r>
          </w:p>
        </w:tc>
        <w:tc>
          <w:tcPr>
            <w:tcW w:w="993" w:type="dxa"/>
          </w:tcPr>
          <w:p w14:paraId="7EA1FFEB" w14:textId="77777777" w:rsidR="00401546" w:rsidRPr="00A9330B" w:rsidRDefault="00401546" w:rsidP="00401546">
            <w:pPr>
              <w:spacing w:line="276" w:lineRule="auto"/>
              <w:jc w:val="center"/>
              <w:rPr>
                <w:rFonts w:cs="Arial"/>
                <w:sz w:val="18"/>
                <w:szCs w:val="18"/>
              </w:rPr>
            </w:pPr>
          </w:p>
          <w:p w14:paraId="27E3D7BA" w14:textId="77777777" w:rsidR="00401546" w:rsidRPr="00A9330B" w:rsidRDefault="00401546" w:rsidP="00401546">
            <w:pPr>
              <w:spacing w:line="276" w:lineRule="auto"/>
              <w:jc w:val="center"/>
              <w:rPr>
                <w:rFonts w:cs="Arial"/>
                <w:sz w:val="18"/>
                <w:szCs w:val="18"/>
              </w:rPr>
            </w:pPr>
            <w:r w:rsidRPr="00A9330B">
              <w:rPr>
                <w:rFonts w:cs="Arial"/>
                <w:sz w:val="18"/>
                <w:szCs w:val="18"/>
              </w:rPr>
              <w:t>2</w:t>
            </w:r>
          </w:p>
        </w:tc>
        <w:tc>
          <w:tcPr>
            <w:tcW w:w="850" w:type="dxa"/>
            <w:shd w:val="clear" w:color="auto" w:fill="FFFF00"/>
          </w:tcPr>
          <w:p w14:paraId="6AD7D010" w14:textId="77777777" w:rsidR="00401546" w:rsidRPr="00A9330B" w:rsidRDefault="00401546" w:rsidP="00401546">
            <w:pPr>
              <w:spacing w:line="276" w:lineRule="auto"/>
              <w:jc w:val="center"/>
              <w:rPr>
                <w:rFonts w:cs="Arial"/>
                <w:sz w:val="18"/>
                <w:szCs w:val="18"/>
              </w:rPr>
            </w:pPr>
          </w:p>
        </w:tc>
      </w:tr>
      <w:tr w:rsidR="00401546" w:rsidRPr="00A9330B" w14:paraId="248E9779" w14:textId="77777777" w:rsidTr="00401546">
        <w:trPr>
          <w:jc w:val="center"/>
        </w:trPr>
        <w:tc>
          <w:tcPr>
            <w:tcW w:w="486" w:type="dxa"/>
          </w:tcPr>
          <w:p w14:paraId="1C7EDAA9" w14:textId="77777777" w:rsidR="00401546" w:rsidRPr="00A9330B" w:rsidRDefault="00401546" w:rsidP="00401546">
            <w:pPr>
              <w:spacing w:line="276" w:lineRule="auto"/>
              <w:jc w:val="center"/>
              <w:rPr>
                <w:rFonts w:cs="Arial"/>
                <w:sz w:val="18"/>
                <w:szCs w:val="18"/>
              </w:rPr>
            </w:pPr>
            <w:r w:rsidRPr="00A9330B">
              <w:rPr>
                <w:rFonts w:cs="Arial"/>
                <w:sz w:val="18"/>
                <w:szCs w:val="18"/>
              </w:rPr>
              <w:lastRenderedPageBreak/>
              <w:t>5</w:t>
            </w:r>
          </w:p>
        </w:tc>
        <w:tc>
          <w:tcPr>
            <w:tcW w:w="2486" w:type="dxa"/>
          </w:tcPr>
          <w:p w14:paraId="49973DF7" w14:textId="77777777" w:rsidR="00401546" w:rsidRPr="00A9330B" w:rsidRDefault="00401546" w:rsidP="000F7BA7">
            <w:pPr>
              <w:spacing w:line="276" w:lineRule="auto"/>
              <w:jc w:val="both"/>
              <w:rPr>
                <w:rFonts w:cs="Arial"/>
                <w:sz w:val="18"/>
                <w:szCs w:val="18"/>
              </w:rPr>
            </w:pPr>
            <w:r w:rsidRPr="00A9330B">
              <w:rPr>
                <w:rFonts w:cs="Arial"/>
                <w:sz w:val="18"/>
                <w:szCs w:val="18"/>
              </w:rPr>
              <w:t xml:space="preserve">Instabilité des fouilles et déblais </w:t>
            </w:r>
          </w:p>
        </w:tc>
        <w:tc>
          <w:tcPr>
            <w:tcW w:w="3260" w:type="dxa"/>
          </w:tcPr>
          <w:p w14:paraId="4A310BE4" w14:textId="77777777" w:rsidR="00401546" w:rsidRPr="00A9330B" w:rsidRDefault="00401546" w:rsidP="000F7BA7">
            <w:pPr>
              <w:spacing w:line="276" w:lineRule="auto"/>
              <w:jc w:val="both"/>
              <w:rPr>
                <w:rFonts w:cs="Arial"/>
                <w:sz w:val="18"/>
                <w:szCs w:val="18"/>
              </w:rPr>
            </w:pPr>
            <w:r w:rsidRPr="00A9330B">
              <w:rPr>
                <w:rFonts w:cs="Arial"/>
                <w:sz w:val="18"/>
                <w:szCs w:val="18"/>
              </w:rPr>
              <w:t xml:space="preserve">Eboulements de fouilles pouvant entrainer l’étouffement, des blessures, fractures, traumatismes </w:t>
            </w:r>
          </w:p>
        </w:tc>
        <w:tc>
          <w:tcPr>
            <w:tcW w:w="1134" w:type="dxa"/>
          </w:tcPr>
          <w:p w14:paraId="56A1F787" w14:textId="77777777" w:rsidR="00401546" w:rsidRPr="00A9330B" w:rsidRDefault="00401546" w:rsidP="00401546">
            <w:pPr>
              <w:spacing w:line="276" w:lineRule="auto"/>
              <w:jc w:val="center"/>
              <w:rPr>
                <w:rFonts w:cs="Arial"/>
                <w:sz w:val="18"/>
                <w:szCs w:val="18"/>
              </w:rPr>
            </w:pPr>
          </w:p>
          <w:p w14:paraId="1EA1DDBF" w14:textId="77777777" w:rsidR="00401546" w:rsidRPr="00A9330B" w:rsidRDefault="00401546" w:rsidP="00401546">
            <w:pPr>
              <w:spacing w:line="276" w:lineRule="auto"/>
              <w:jc w:val="center"/>
              <w:rPr>
                <w:rFonts w:cs="Arial"/>
                <w:sz w:val="18"/>
                <w:szCs w:val="18"/>
              </w:rPr>
            </w:pPr>
            <w:r w:rsidRPr="00A9330B">
              <w:rPr>
                <w:rFonts w:cs="Arial"/>
                <w:sz w:val="18"/>
                <w:szCs w:val="18"/>
              </w:rPr>
              <w:t>2</w:t>
            </w:r>
          </w:p>
        </w:tc>
        <w:tc>
          <w:tcPr>
            <w:tcW w:w="993" w:type="dxa"/>
          </w:tcPr>
          <w:p w14:paraId="42C4AAD9" w14:textId="77777777" w:rsidR="00401546" w:rsidRPr="00A9330B" w:rsidRDefault="00401546" w:rsidP="00401546">
            <w:pPr>
              <w:spacing w:line="276" w:lineRule="auto"/>
              <w:jc w:val="center"/>
              <w:rPr>
                <w:rFonts w:cs="Arial"/>
                <w:sz w:val="18"/>
                <w:szCs w:val="18"/>
              </w:rPr>
            </w:pPr>
          </w:p>
          <w:p w14:paraId="0DDB2518" w14:textId="77777777" w:rsidR="00401546" w:rsidRPr="00A9330B" w:rsidRDefault="00401546" w:rsidP="00401546">
            <w:pPr>
              <w:spacing w:line="276" w:lineRule="auto"/>
              <w:jc w:val="center"/>
              <w:rPr>
                <w:rFonts w:cs="Arial"/>
                <w:sz w:val="18"/>
                <w:szCs w:val="18"/>
              </w:rPr>
            </w:pPr>
            <w:r w:rsidRPr="00A9330B">
              <w:rPr>
                <w:rFonts w:cs="Arial"/>
                <w:sz w:val="18"/>
                <w:szCs w:val="18"/>
              </w:rPr>
              <w:t>3</w:t>
            </w:r>
          </w:p>
        </w:tc>
        <w:tc>
          <w:tcPr>
            <w:tcW w:w="850" w:type="dxa"/>
            <w:shd w:val="clear" w:color="auto" w:fill="FFFF00"/>
          </w:tcPr>
          <w:p w14:paraId="2B2AD087" w14:textId="77777777" w:rsidR="00401546" w:rsidRPr="00A9330B" w:rsidRDefault="00401546" w:rsidP="00401546">
            <w:pPr>
              <w:spacing w:line="276" w:lineRule="auto"/>
              <w:jc w:val="center"/>
              <w:rPr>
                <w:rFonts w:cs="Arial"/>
                <w:sz w:val="18"/>
                <w:szCs w:val="18"/>
              </w:rPr>
            </w:pPr>
          </w:p>
        </w:tc>
      </w:tr>
      <w:tr w:rsidR="00401546" w:rsidRPr="00A9330B" w14:paraId="3B7D5E22" w14:textId="77777777" w:rsidTr="00401546">
        <w:trPr>
          <w:jc w:val="center"/>
        </w:trPr>
        <w:tc>
          <w:tcPr>
            <w:tcW w:w="486" w:type="dxa"/>
          </w:tcPr>
          <w:p w14:paraId="0D55BAED" w14:textId="77777777" w:rsidR="00401546" w:rsidRPr="00A9330B" w:rsidRDefault="00401546" w:rsidP="00401546">
            <w:pPr>
              <w:spacing w:line="276" w:lineRule="auto"/>
              <w:jc w:val="center"/>
              <w:rPr>
                <w:rFonts w:cs="Arial"/>
                <w:sz w:val="18"/>
                <w:szCs w:val="18"/>
              </w:rPr>
            </w:pPr>
            <w:r w:rsidRPr="00A9330B">
              <w:rPr>
                <w:rFonts w:cs="Arial"/>
                <w:sz w:val="18"/>
                <w:szCs w:val="18"/>
              </w:rPr>
              <w:t>6</w:t>
            </w:r>
          </w:p>
        </w:tc>
        <w:tc>
          <w:tcPr>
            <w:tcW w:w="2486" w:type="dxa"/>
          </w:tcPr>
          <w:p w14:paraId="2CF0D1E4" w14:textId="77777777" w:rsidR="00401546" w:rsidRPr="00A9330B" w:rsidRDefault="00401546" w:rsidP="000F7BA7">
            <w:pPr>
              <w:spacing w:line="276" w:lineRule="auto"/>
              <w:jc w:val="both"/>
              <w:rPr>
                <w:rFonts w:cs="Arial"/>
                <w:sz w:val="18"/>
                <w:szCs w:val="18"/>
              </w:rPr>
            </w:pPr>
            <w:r w:rsidRPr="00A9330B">
              <w:rPr>
                <w:rFonts w:cs="Arial"/>
                <w:sz w:val="18"/>
                <w:szCs w:val="18"/>
              </w:rPr>
              <w:t>Conduite inappropriée des véhicules et engins de chantier</w:t>
            </w:r>
          </w:p>
        </w:tc>
        <w:tc>
          <w:tcPr>
            <w:tcW w:w="3260" w:type="dxa"/>
          </w:tcPr>
          <w:p w14:paraId="2DB0EFB8" w14:textId="77777777" w:rsidR="00401546" w:rsidRPr="00A9330B" w:rsidRDefault="00401546" w:rsidP="000F7BA7">
            <w:pPr>
              <w:spacing w:line="276" w:lineRule="auto"/>
              <w:jc w:val="both"/>
              <w:rPr>
                <w:rFonts w:cs="Arial"/>
                <w:sz w:val="18"/>
                <w:szCs w:val="18"/>
              </w:rPr>
            </w:pPr>
            <w:r w:rsidRPr="00A9330B">
              <w:rPr>
                <w:rFonts w:cs="Arial"/>
                <w:sz w:val="18"/>
                <w:szCs w:val="18"/>
              </w:rPr>
              <w:t xml:space="preserve">Exposition des chauffeurs, passagers et tiers à des blessures, fractures, traumatismes et le cas échéant dégradation ou destruction des biens  </w:t>
            </w:r>
          </w:p>
        </w:tc>
        <w:tc>
          <w:tcPr>
            <w:tcW w:w="1134" w:type="dxa"/>
          </w:tcPr>
          <w:p w14:paraId="77E94227" w14:textId="77777777" w:rsidR="00401546" w:rsidRPr="00A9330B" w:rsidRDefault="00401546" w:rsidP="00401546">
            <w:pPr>
              <w:spacing w:line="276" w:lineRule="auto"/>
              <w:jc w:val="center"/>
              <w:rPr>
                <w:rFonts w:cs="Arial"/>
                <w:sz w:val="18"/>
                <w:szCs w:val="18"/>
              </w:rPr>
            </w:pPr>
          </w:p>
          <w:p w14:paraId="4A9BC9FA" w14:textId="77777777" w:rsidR="00401546" w:rsidRPr="00A9330B" w:rsidRDefault="00401546" w:rsidP="00401546">
            <w:pPr>
              <w:spacing w:line="276" w:lineRule="auto"/>
              <w:jc w:val="center"/>
              <w:rPr>
                <w:rFonts w:cs="Arial"/>
                <w:sz w:val="18"/>
                <w:szCs w:val="18"/>
              </w:rPr>
            </w:pPr>
            <w:r w:rsidRPr="00A9330B">
              <w:rPr>
                <w:rFonts w:cs="Arial"/>
                <w:sz w:val="18"/>
                <w:szCs w:val="18"/>
              </w:rPr>
              <w:t>2</w:t>
            </w:r>
          </w:p>
        </w:tc>
        <w:tc>
          <w:tcPr>
            <w:tcW w:w="993" w:type="dxa"/>
          </w:tcPr>
          <w:p w14:paraId="55A066BE" w14:textId="77777777" w:rsidR="00401546" w:rsidRPr="00A9330B" w:rsidRDefault="00401546" w:rsidP="00401546">
            <w:pPr>
              <w:spacing w:line="276" w:lineRule="auto"/>
              <w:jc w:val="center"/>
              <w:rPr>
                <w:rFonts w:cs="Arial"/>
                <w:sz w:val="18"/>
                <w:szCs w:val="18"/>
              </w:rPr>
            </w:pPr>
          </w:p>
          <w:p w14:paraId="05926895" w14:textId="77777777" w:rsidR="00401546" w:rsidRPr="00A9330B" w:rsidRDefault="00401546" w:rsidP="00401546">
            <w:pPr>
              <w:spacing w:line="276" w:lineRule="auto"/>
              <w:jc w:val="center"/>
              <w:rPr>
                <w:rFonts w:cs="Arial"/>
                <w:sz w:val="18"/>
                <w:szCs w:val="18"/>
              </w:rPr>
            </w:pPr>
            <w:r w:rsidRPr="00A9330B">
              <w:rPr>
                <w:rFonts w:cs="Arial"/>
                <w:sz w:val="18"/>
                <w:szCs w:val="18"/>
              </w:rPr>
              <w:t>3</w:t>
            </w:r>
          </w:p>
        </w:tc>
        <w:tc>
          <w:tcPr>
            <w:tcW w:w="850" w:type="dxa"/>
            <w:shd w:val="clear" w:color="auto" w:fill="FFFF00"/>
          </w:tcPr>
          <w:p w14:paraId="5CC2E2A3" w14:textId="77777777" w:rsidR="00401546" w:rsidRPr="00A9330B" w:rsidRDefault="00401546" w:rsidP="00401546">
            <w:pPr>
              <w:spacing w:line="276" w:lineRule="auto"/>
              <w:jc w:val="center"/>
              <w:rPr>
                <w:rFonts w:cs="Arial"/>
                <w:sz w:val="18"/>
                <w:szCs w:val="18"/>
              </w:rPr>
            </w:pPr>
          </w:p>
        </w:tc>
      </w:tr>
      <w:tr w:rsidR="00401546" w:rsidRPr="00A9330B" w14:paraId="45156DC2" w14:textId="77777777" w:rsidTr="00401546">
        <w:trPr>
          <w:jc w:val="center"/>
        </w:trPr>
        <w:tc>
          <w:tcPr>
            <w:tcW w:w="486" w:type="dxa"/>
          </w:tcPr>
          <w:p w14:paraId="53910CCD" w14:textId="77777777" w:rsidR="00401546" w:rsidRPr="00A9330B" w:rsidRDefault="00401546" w:rsidP="00401546">
            <w:pPr>
              <w:spacing w:line="276" w:lineRule="auto"/>
              <w:jc w:val="center"/>
              <w:rPr>
                <w:rFonts w:cs="Arial"/>
                <w:sz w:val="18"/>
                <w:szCs w:val="18"/>
              </w:rPr>
            </w:pPr>
            <w:r w:rsidRPr="00A9330B">
              <w:rPr>
                <w:rFonts w:cs="Arial"/>
                <w:sz w:val="18"/>
                <w:szCs w:val="18"/>
              </w:rPr>
              <w:t>7</w:t>
            </w:r>
          </w:p>
        </w:tc>
        <w:tc>
          <w:tcPr>
            <w:tcW w:w="2486" w:type="dxa"/>
          </w:tcPr>
          <w:p w14:paraId="7EA4F520" w14:textId="77777777" w:rsidR="00401546" w:rsidRPr="00A9330B" w:rsidRDefault="00401546" w:rsidP="000F7BA7">
            <w:pPr>
              <w:spacing w:line="276" w:lineRule="auto"/>
              <w:jc w:val="both"/>
              <w:rPr>
                <w:rFonts w:cs="Arial"/>
                <w:sz w:val="18"/>
                <w:szCs w:val="18"/>
              </w:rPr>
            </w:pPr>
            <w:r w:rsidRPr="00A9330B">
              <w:rPr>
                <w:rFonts w:cs="Arial"/>
                <w:sz w:val="18"/>
                <w:szCs w:val="18"/>
              </w:rPr>
              <w:t xml:space="preserve">Canalisations existantes en service non identifiée </w:t>
            </w:r>
          </w:p>
        </w:tc>
        <w:tc>
          <w:tcPr>
            <w:tcW w:w="3260" w:type="dxa"/>
          </w:tcPr>
          <w:p w14:paraId="195CD8F8" w14:textId="77777777" w:rsidR="00401546" w:rsidRPr="00A9330B" w:rsidRDefault="00401546" w:rsidP="000F7BA7">
            <w:pPr>
              <w:spacing w:line="276" w:lineRule="auto"/>
              <w:jc w:val="both"/>
              <w:rPr>
                <w:rFonts w:cs="Arial"/>
                <w:sz w:val="18"/>
                <w:szCs w:val="18"/>
              </w:rPr>
            </w:pPr>
            <w:r w:rsidRPr="00A9330B">
              <w:rPr>
                <w:rFonts w:cs="Arial"/>
                <w:sz w:val="18"/>
                <w:szCs w:val="18"/>
              </w:rPr>
              <w:t xml:space="preserve">Rupture de canalisation entrainant des blessures ou des lésions </w:t>
            </w:r>
          </w:p>
        </w:tc>
        <w:tc>
          <w:tcPr>
            <w:tcW w:w="1134" w:type="dxa"/>
          </w:tcPr>
          <w:p w14:paraId="19FC5DD0" w14:textId="77777777" w:rsidR="00401546" w:rsidRPr="00A9330B" w:rsidRDefault="00401546" w:rsidP="00401546">
            <w:pPr>
              <w:spacing w:line="276" w:lineRule="auto"/>
              <w:jc w:val="center"/>
              <w:rPr>
                <w:rFonts w:cs="Arial"/>
                <w:sz w:val="18"/>
                <w:szCs w:val="18"/>
              </w:rPr>
            </w:pPr>
            <w:r w:rsidRPr="00A9330B">
              <w:rPr>
                <w:rFonts w:cs="Arial"/>
                <w:sz w:val="18"/>
                <w:szCs w:val="18"/>
              </w:rPr>
              <w:t>2</w:t>
            </w:r>
          </w:p>
        </w:tc>
        <w:tc>
          <w:tcPr>
            <w:tcW w:w="993" w:type="dxa"/>
          </w:tcPr>
          <w:p w14:paraId="01A7C57D" w14:textId="77777777" w:rsidR="00401546" w:rsidRPr="00A9330B" w:rsidRDefault="00401546" w:rsidP="00401546">
            <w:pPr>
              <w:spacing w:line="276" w:lineRule="auto"/>
              <w:jc w:val="center"/>
              <w:rPr>
                <w:rFonts w:cs="Arial"/>
                <w:sz w:val="18"/>
                <w:szCs w:val="18"/>
              </w:rPr>
            </w:pPr>
            <w:r w:rsidRPr="00A9330B">
              <w:rPr>
                <w:rFonts w:cs="Arial"/>
                <w:sz w:val="18"/>
                <w:szCs w:val="18"/>
              </w:rPr>
              <w:t>2</w:t>
            </w:r>
          </w:p>
        </w:tc>
        <w:tc>
          <w:tcPr>
            <w:tcW w:w="850" w:type="dxa"/>
            <w:shd w:val="clear" w:color="auto" w:fill="FFFF00"/>
          </w:tcPr>
          <w:p w14:paraId="1C50067B" w14:textId="77777777" w:rsidR="00401546" w:rsidRPr="00A9330B" w:rsidRDefault="00401546" w:rsidP="00401546">
            <w:pPr>
              <w:spacing w:line="276" w:lineRule="auto"/>
              <w:jc w:val="center"/>
              <w:rPr>
                <w:rFonts w:cs="Arial"/>
                <w:sz w:val="18"/>
                <w:szCs w:val="18"/>
              </w:rPr>
            </w:pPr>
          </w:p>
        </w:tc>
      </w:tr>
      <w:tr w:rsidR="00401546" w:rsidRPr="00A9330B" w14:paraId="1801F0EA" w14:textId="77777777" w:rsidTr="00401546">
        <w:trPr>
          <w:jc w:val="center"/>
        </w:trPr>
        <w:tc>
          <w:tcPr>
            <w:tcW w:w="486" w:type="dxa"/>
          </w:tcPr>
          <w:p w14:paraId="62207EFB" w14:textId="77777777" w:rsidR="00401546" w:rsidRPr="00A9330B" w:rsidRDefault="00401546" w:rsidP="00401546">
            <w:pPr>
              <w:spacing w:line="276" w:lineRule="auto"/>
              <w:jc w:val="center"/>
              <w:rPr>
                <w:rFonts w:cs="Arial"/>
                <w:sz w:val="18"/>
                <w:szCs w:val="18"/>
              </w:rPr>
            </w:pPr>
            <w:r w:rsidRPr="00A9330B">
              <w:rPr>
                <w:rFonts w:cs="Arial"/>
                <w:sz w:val="18"/>
                <w:szCs w:val="18"/>
              </w:rPr>
              <w:t>8</w:t>
            </w:r>
          </w:p>
        </w:tc>
        <w:tc>
          <w:tcPr>
            <w:tcW w:w="2486" w:type="dxa"/>
          </w:tcPr>
          <w:p w14:paraId="13B46111" w14:textId="77777777" w:rsidR="00401546" w:rsidRPr="00A9330B" w:rsidRDefault="00401546" w:rsidP="000F7BA7">
            <w:pPr>
              <w:spacing w:line="276" w:lineRule="auto"/>
              <w:jc w:val="both"/>
              <w:rPr>
                <w:rFonts w:cs="Arial"/>
                <w:sz w:val="18"/>
                <w:szCs w:val="18"/>
              </w:rPr>
            </w:pPr>
            <w:r w:rsidRPr="00A9330B">
              <w:rPr>
                <w:rFonts w:cs="Arial"/>
                <w:sz w:val="18"/>
                <w:szCs w:val="18"/>
              </w:rPr>
              <w:t xml:space="preserve">Installation d’engins sous des lignes électriques aérienne sous tension </w:t>
            </w:r>
          </w:p>
        </w:tc>
        <w:tc>
          <w:tcPr>
            <w:tcW w:w="3260" w:type="dxa"/>
          </w:tcPr>
          <w:p w14:paraId="09FC82A6" w14:textId="77777777" w:rsidR="00401546" w:rsidRPr="00A9330B" w:rsidRDefault="00401546" w:rsidP="000F7BA7">
            <w:pPr>
              <w:spacing w:line="276" w:lineRule="auto"/>
              <w:jc w:val="both"/>
              <w:rPr>
                <w:rFonts w:cs="Arial"/>
                <w:sz w:val="18"/>
                <w:szCs w:val="18"/>
              </w:rPr>
            </w:pPr>
            <w:r w:rsidRPr="00A9330B">
              <w:rPr>
                <w:rFonts w:cs="Arial"/>
                <w:sz w:val="18"/>
                <w:szCs w:val="18"/>
              </w:rPr>
              <w:t xml:space="preserve">Contact accidentel pouvant provoquer une électrisation à l’origine de troubles neurologiques et coupure d’électricité dans le secteur </w:t>
            </w:r>
          </w:p>
        </w:tc>
        <w:tc>
          <w:tcPr>
            <w:tcW w:w="1134" w:type="dxa"/>
          </w:tcPr>
          <w:p w14:paraId="372CD9FF" w14:textId="77777777" w:rsidR="00401546" w:rsidRPr="00A9330B" w:rsidRDefault="00401546" w:rsidP="00401546">
            <w:pPr>
              <w:spacing w:line="276" w:lineRule="auto"/>
              <w:jc w:val="center"/>
              <w:rPr>
                <w:rFonts w:cs="Arial"/>
                <w:sz w:val="18"/>
                <w:szCs w:val="18"/>
              </w:rPr>
            </w:pPr>
          </w:p>
          <w:p w14:paraId="4EB3CE3F" w14:textId="77777777" w:rsidR="00401546" w:rsidRPr="00A9330B" w:rsidRDefault="00401546" w:rsidP="00401546">
            <w:pPr>
              <w:spacing w:line="276" w:lineRule="auto"/>
              <w:jc w:val="center"/>
              <w:rPr>
                <w:rFonts w:cs="Arial"/>
                <w:sz w:val="18"/>
                <w:szCs w:val="18"/>
              </w:rPr>
            </w:pPr>
            <w:r w:rsidRPr="00A9330B">
              <w:rPr>
                <w:rFonts w:cs="Arial"/>
                <w:sz w:val="18"/>
                <w:szCs w:val="18"/>
              </w:rPr>
              <w:t>1</w:t>
            </w:r>
          </w:p>
        </w:tc>
        <w:tc>
          <w:tcPr>
            <w:tcW w:w="993" w:type="dxa"/>
          </w:tcPr>
          <w:p w14:paraId="62FC3315" w14:textId="77777777" w:rsidR="00401546" w:rsidRPr="00A9330B" w:rsidRDefault="00401546" w:rsidP="00401546">
            <w:pPr>
              <w:spacing w:line="276" w:lineRule="auto"/>
              <w:jc w:val="center"/>
              <w:rPr>
                <w:rFonts w:cs="Arial"/>
                <w:sz w:val="18"/>
                <w:szCs w:val="18"/>
              </w:rPr>
            </w:pPr>
          </w:p>
          <w:p w14:paraId="00409190" w14:textId="77777777" w:rsidR="00401546" w:rsidRPr="00A9330B" w:rsidRDefault="00401546" w:rsidP="00401546">
            <w:pPr>
              <w:spacing w:line="276" w:lineRule="auto"/>
              <w:jc w:val="center"/>
              <w:rPr>
                <w:rFonts w:cs="Arial"/>
                <w:sz w:val="18"/>
                <w:szCs w:val="18"/>
              </w:rPr>
            </w:pPr>
            <w:r w:rsidRPr="00A9330B">
              <w:rPr>
                <w:rFonts w:cs="Arial"/>
                <w:sz w:val="18"/>
                <w:szCs w:val="18"/>
              </w:rPr>
              <w:t>4</w:t>
            </w:r>
          </w:p>
        </w:tc>
        <w:tc>
          <w:tcPr>
            <w:tcW w:w="850" w:type="dxa"/>
            <w:shd w:val="clear" w:color="auto" w:fill="FFFF00"/>
          </w:tcPr>
          <w:p w14:paraId="481CE820" w14:textId="77777777" w:rsidR="00401546" w:rsidRPr="00A9330B" w:rsidRDefault="00401546" w:rsidP="00401546">
            <w:pPr>
              <w:spacing w:line="276" w:lineRule="auto"/>
              <w:jc w:val="center"/>
              <w:rPr>
                <w:rFonts w:cs="Arial"/>
                <w:sz w:val="18"/>
                <w:szCs w:val="18"/>
              </w:rPr>
            </w:pPr>
          </w:p>
        </w:tc>
      </w:tr>
      <w:tr w:rsidR="00401546" w:rsidRPr="00A9330B" w14:paraId="07DA31B2" w14:textId="77777777" w:rsidTr="00401546">
        <w:trPr>
          <w:jc w:val="center"/>
        </w:trPr>
        <w:tc>
          <w:tcPr>
            <w:tcW w:w="486" w:type="dxa"/>
          </w:tcPr>
          <w:p w14:paraId="1D840858" w14:textId="77777777" w:rsidR="00401546" w:rsidRPr="00A9330B" w:rsidRDefault="00401546" w:rsidP="00401546">
            <w:pPr>
              <w:spacing w:line="276" w:lineRule="auto"/>
              <w:jc w:val="center"/>
              <w:rPr>
                <w:rFonts w:cs="Arial"/>
                <w:sz w:val="18"/>
                <w:szCs w:val="18"/>
              </w:rPr>
            </w:pPr>
            <w:r w:rsidRPr="00A9330B">
              <w:rPr>
                <w:rFonts w:cs="Arial"/>
                <w:sz w:val="18"/>
                <w:szCs w:val="18"/>
              </w:rPr>
              <w:t>9</w:t>
            </w:r>
          </w:p>
        </w:tc>
        <w:tc>
          <w:tcPr>
            <w:tcW w:w="2486" w:type="dxa"/>
          </w:tcPr>
          <w:p w14:paraId="6D40C872" w14:textId="77777777" w:rsidR="00401546" w:rsidRPr="00A9330B" w:rsidRDefault="00401546" w:rsidP="000F7BA7">
            <w:pPr>
              <w:spacing w:line="276" w:lineRule="auto"/>
              <w:jc w:val="both"/>
              <w:rPr>
                <w:rFonts w:cs="Arial"/>
                <w:sz w:val="18"/>
                <w:szCs w:val="18"/>
              </w:rPr>
            </w:pPr>
            <w:r w:rsidRPr="00A9330B">
              <w:rPr>
                <w:rFonts w:cs="Arial"/>
                <w:sz w:val="18"/>
                <w:szCs w:val="18"/>
              </w:rPr>
              <w:t xml:space="preserve">Lignes électriques souterraines existantes sous tension </w:t>
            </w:r>
          </w:p>
        </w:tc>
        <w:tc>
          <w:tcPr>
            <w:tcW w:w="3260" w:type="dxa"/>
          </w:tcPr>
          <w:p w14:paraId="6956AB42" w14:textId="77777777" w:rsidR="00401546" w:rsidRPr="00A9330B" w:rsidRDefault="00401546" w:rsidP="000F7BA7">
            <w:pPr>
              <w:spacing w:line="276" w:lineRule="auto"/>
              <w:jc w:val="both"/>
              <w:rPr>
                <w:rFonts w:cs="Arial"/>
                <w:sz w:val="18"/>
                <w:szCs w:val="18"/>
              </w:rPr>
            </w:pPr>
            <w:r w:rsidRPr="00A9330B">
              <w:rPr>
                <w:rFonts w:cs="Arial"/>
                <w:sz w:val="18"/>
                <w:szCs w:val="18"/>
              </w:rPr>
              <w:t xml:space="preserve">Contact accidentel pouvant provoquer une électrisation à l’origine de troubles neurologiques, décès et coupure d’électricité dans le secteur </w:t>
            </w:r>
          </w:p>
        </w:tc>
        <w:tc>
          <w:tcPr>
            <w:tcW w:w="1134" w:type="dxa"/>
          </w:tcPr>
          <w:p w14:paraId="3CF4E7E8" w14:textId="77777777" w:rsidR="00401546" w:rsidRPr="00A9330B" w:rsidRDefault="00401546" w:rsidP="00401546">
            <w:pPr>
              <w:spacing w:line="276" w:lineRule="auto"/>
              <w:jc w:val="center"/>
              <w:rPr>
                <w:rFonts w:cs="Arial"/>
                <w:sz w:val="18"/>
                <w:szCs w:val="18"/>
              </w:rPr>
            </w:pPr>
            <w:r w:rsidRPr="00A9330B">
              <w:rPr>
                <w:rFonts w:cs="Arial"/>
                <w:sz w:val="18"/>
                <w:szCs w:val="18"/>
              </w:rPr>
              <w:t>2</w:t>
            </w:r>
          </w:p>
        </w:tc>
        <w:tc>
          <w:tcPr>
            <w:tcW w:w="993" w:type="dxa"/>
          </w:tcPr>
          <w:p w14:paraId="1A717C76" w14:textId="77777777" w:rsidR="00401546" w:rsidRPr="00A9330B" w:rsidRDefault="00401546" w:rsidP="00401546">
            <w:pPr>
              <w:spacing w:line="276" w:lineRule="auto"/>
              <w:jc w:val="center"/>
              <w:rPr>
                <w:rFonts w:cs="Arial"/>
                <w:sz w:val="18"/>
                <w:szCs w:val="18"/>
              </w:rPr>
            </w:pPr>
            <w:r w:rsidRPr="00A9330B">
              <w:rPr>
                <w:rFonts w:cs="Arial"/>
                <w:sz w:val="18"/>
                <w:szCs w:val="18"/>
              </w:rPr>
              <w:t>4</w:t>
            </w:r>
          </w:p>
        </w:tc>
        <w:tc>
          <w:tcPr>
            <w:tcW w:w="850" w:type="dxa"/>
            <w:shd w:val="clear" w:color="auto" w:fill="FFFF00"/>
          </w:tcPr>
          <w:p w14:paraId="0EC071CB" w14:textId="77777777" w:rsidR="00401546" w:rsidRPr="00A9330B" w:rsidRDefault="00401546" w:rsidP="00401546">
            <w:pPr>
              <w:spacing w:line="276" w:lineRule="auto"/>
              <w:jc w:val="center"/>
              <w:rPr>
                <w:rFonts w:cs="Arial"/>
                <w:sz w:val="18"/>
                <w:szCs w:val="18"/>
              </w:rPr>
            </w:pPr>
          </w:p>
        </w:tc>
      </w:tr>
    </w:tbl>
    <w:p w14:paraId="58B12EF0" w14:textId="77777777" w:rsidR="00401546" w:rsidRPr="00A9330B" w:rsidRDefault="00401546" w:rsidP="00401546">
      <w:pPr>
        <w:spacing w:before="0"/>
      </w:pPr>
    </w:p>
    <w:p w14:paraId="20628CA6" w14:textId="77777777" w:rsidR="00401546" w:rsidRPr="00A9330B" w:rsidRDefault="00401546" w:rsidP="000F7BA7">
      <w:pPr>
        <w:pStyle w:val="Titre20"/>
      </w:pPr>
      <w:bookmarkStart w:id="1753" w:name="_Toc535244613"/>
      <w:bookmarkStart w:id="1754" w:name="_Toc43697697"/>
      <w:bookmarkStart w:id="1755" w:name="_Toc52869701"/>
      <w:bookmarkStart w:id="1756" w:name="_Toc52869861"/>
      <w:r w:rsidRPr="00A9330B">
        <w:t>9.7. Purge importante et mise en dépôt des produits, transport et mise en remblai des terres</w:t>
      </w:r>
      <w:bookmarkEnd w:id="1753"/>
      <w:bookmarkEnd w:id="1754"/>
      <w:bookmarkEnd w:id="1755"/>
      <w:bookmarkEnd w:id="1756"/>
      <w:r w:rsidRPr="00A9330B">
        <w:t xml:space="preserve">  </w:t>
      </w:r>
    </w:p>
    <w:p w14:paraId="7FBA7F83" w14:textId="77777777" w:rsidR="00401546" w:rsidRPr="00A9330B" w:rsidRDefault="00401546" w:rsidP="00401546">
      <w:pPr>
        <w:jc w:val="both"/>
      </w:pPr>
      <w:r w:rsidRPr="00A9330B">
        <w:t xml:space="preserve">Ici, les risques les plus élevés sont liés à la toxicité ou non des purges et aux déplacements des engins de chantier. </w:t>
      </w:r>
    </w:p>
    <w:p w14:paraId="30BAC22C" w14:textId="4AF5DAA1" w:rsidR="00401546" w:rsidRPr="00A9330B" w:rsidRDefault="00401546" w:rsidP="00401546">
      <w:pPr>
        <w:jc w:val="both"/>
      </w:pPr>
      <w:r w:rsidRPr="00A9330B">
        <w:t xml:space="preserve">Les risques spécifiques concernent le travail de fouilles, la stabilité des fouilles </w:t>
      </w:r>
      <w:r w:rsidR="0057538E" w:rsidRPr="00A9330B">
        <w:t>et les</w:t>
      </w:r>
      <w:r w:rsidRPr="00A9330B">
        <w:t xml:space="preserve"> dépôts en gerbage.  </w:t>
      </w:r>
    </w:p>
    <w:p w14:paraId="07B7D5F3" w14:textId="77777777" w:rsidR="00401546" w:rsidRPr="00A9330B" w:rsidRDefault="00401546" w:rsidP="00401546">
      <w:pPr>
        <w:jc w:val="both"/>
      </w:pPr>
      <w:r w:rsidRPr="00A9330B">
        <w:t>Le transport et le remblaiement des terres nécessitent également des mesures de minimisation des risques.</w:t>
      </w:r>
    </w:p>
    <w:p w14:paraId="32977517" w14:textId="7CA1DAF0" w:rsidR="00401546" w:rsidRPr="00A9330B" w:rsidRDefault="00401546" w:rsidP="00401546">
      <w:pPr>
        <w:spacing w:after="120" w:line="240" w:lineRule="auto"/>
        <w:jc w:val="center"/>
        <w:rPr>
          <w:rFonts w:eastAsia="Calibri" w:cs="Arial"/>
          <w:b/>
          <w:sz w:val="20"/>
          <w:szCs w:val="20"/>
          <w:lang w:eastAsia="de-DE"/>
        </w:rPr>
      </w:pPr>
      <w:bookmarkStart w:id="1757" w:name="_Toc529249277"/>
      <w:bookmarkStart w:id="1758" w:name="_Toc533058616"/>
      <w:bookmarkStart w:id="1759" w:name="_Toc535237429"/>
      <w:bookmarkStart w:id="1760" w:name="_Toc43696259"/>
      <w:bookmarkStart w:id="1761" w:name="_Toc52873772"/>
      <w:r w:rsidRPr="00A9330B">
        <w:rPr>
          <w:b/>
          <w:sz w:val="20"/>
          <w:szCs w:val="20"/>
        </w:rPr>
        <w:t xml:space="preserve">Tableau </w:t>
      </w:r>
      <w:r w:rsidRPr="00A9330B">
        <w:rPr>
          <w:b/>
          <w:sz w:val="20"/>
          <w:szCs w:val="20"/>
        </w:rPr>
        <w:fldChar w:fldCharType="begin"/>
      </w:r>
      <w:r w:rsidRPr="00A9330B">
        <w:rPr>
          <w:b/>
          <w:sz w:val="20"/>
          <w:szCs w:val="20"/>
        </w:rPr>
        <w:instrText xml:space="preserve"> SEQ Tableau \* ARABIC </w:instrText>
      </w:r>
      <w:r w:rsidRPr="00A9330B">
        <w:rPr>
          <w:b/>
          <w:sz w:val="20"/>
          <w:szCs w:val="20"/>
        </w:rPr>
        <w:fldChar w:fldCharType="separate"/>
      </w:r>
      <w:r w:rsidR="00417D31" w:rsidRPr="00A9330B">
        <w:rPr>
          <w:b/>
          <w:noProof/>
          <w:sz w:val="20"/>
          <w:szCs w:val="20"/>
        </w:rPr>
        <w:t>48</w:t>
      </w:r>
      <w:r w:rsidRPr="00A9330B">
        <w:rPr>
          <w:b/>
          <w:sz w:val="20"/>
          <w:szCs w:val="20"/>
        </w:rPr>
        <w:fldChar w:fldCharType="end"/>
      </w:r>
      <w:r w:rsidRPr="00A9330B">
        <w:rPr>
          <w:rFonts w:eastAsia="Calibri" w:cs="Arial"/>
          <w:b/>
          <w:color w:val="auto"/>
          <w:sz w:val="20"/>
          <w:szCs w:val="20"/>
          <w:lang w:eastAsia="de-DE"/>
        </w:rPr>
        <w:t xml:space="preserve"> : </w:t>
      </w:r>
      <w:r w:rsidRPr="00A9330B">
        <w:rPr>
          <w:rFonts w:eastAsia="Calibri" w:cs="Arial"/>
          <w:b/>
          <w:sz w:val="20"/>
          <w:szCs w:val="20"/>
          <w:lang w:eastAsia="de-DE"/>
        </w:rPr>
        <w:t>Analyse des risques pour les travaux de purge importante et mise en dépôt des produits, transport et mise en remblai des terres</w:t>
      </w:r>
      <w:bookmarkEnd w:id="1757"/>
      <w:bookmarkEnd w:id="1758"/>
      <w:bookmarkEnd w:id="1759"/>
      <w:bookmarkEnd w:id="1760"/>
      <w:bookmarkEnd w:id="1761"/>
    </w:p>
    <w:tbl>
      <w:tblPr>
        <w:tblW w:w="920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86"/>
        <w:gridCol w:w="2486"/>
        <w:gridCol w:w="3119"/>
        <w:gridCol w:w="1275"/>
        <w:gridCol w:w="993"/>
        <w:gridCol w:w="850"/>
      </w:tblGrid>
      <w:tr w:rsidR="00401546" w:rsidRPr="00A9330B" w14:paraId="215852C0" w14:textId="77777777" w:rsidTr="00401546">
        <w:trPr>
          <w:jc w:val="center"/>
        </w:trPr>
        <w:tc>
          <w:tcPr>
            <w:tcW w:w="486" w:type="dxa"/>
            <w:vMerge w:val="restart"/>
            <w:shd w:val="clear" w:color="auto" w:fill="FFFFFF" w:themeFill="background1"/>
          </w:tcPr>
          <w:p w14:paraId="7773B477" w14:textId="77777777" w:rsidR="00401546" w:rsidRPr="00A9330B" w:rsidRDefault="00401546" w:rsidP="00401546">
            <w:pPr>
              <w:spacing w:line="240" w:lineRule="auto"/>
              <w:jc w:val="center"/>
              <w:rPr>
                <w:rFonts w:cs="Arial"/>
                <w:b/>
                <w:color w:val="auto"/>
                <w:sz w:val="20"/>
                <w:szCs w:val="20"/>
              </w:rPr>
            </w:pPr>
            <w:r w:rsidRPr="00A9330B">
              <w:rPr>
                <w:rFonts w:cs="Arial"/>
                <w:b/>
                <w:color w:val="auto"/>
                <w:sz w:val="20"/>
                <w:szCs w:val="20"/>
              </w:rPr>
              <w:t>N°</w:t>
            </w:r>
          </w:p>
        </w:tc>
        <w:tc>
          <w:tcPr>
            <w:tcW w:w="2486" w:type="dxa"/>
            <w:vMerge w:val="restart"/>
            <w:shd w:val="clear" w:color="auto" w:fill="FFFFFF" w:themeFill="background1"/>
          </w:tcPr>
          <w:p w14:paraId="2CDF3384" w14:textId="77777777" w:rsidR="00401546" w:rsidRPr="00A9330B" w:rsidRDefault="00401546" w:rsidP="00401546">
            <w:pPr>
              <w:spacing w:line="240" w:lineRule="auto"/>
              <w:jc w:val="center"/>
              <w:rPr>
                <w:rFonts w:cs="Arial"/>
                <w:b/>
                <w:color w:val="auto"/>
                <w:sz w:val="20"/>
                <w:szCs w:val="20"/>
              </w:rPr>
            </w:pPr>
            <w:r w:rsidRPr="00A9330B">
              <w:rPr>
                <w:rFonts w:cs="Arial"/>
                <w:b/>
                <w:color w:val="auto"/>
                <w:sz w:val="20"/>
                <w:szCs w:val="20"/>
              </w:rPr>
              <w:t xml:space="preserve">Principales situations de danger </w:t>
            </w:r>
          </w:p>
        </w:tc>
        <w:tc>
          <w:tcPr>
            <w:tcW w:w="3119" w:type="dxa"/>
            <w:vMerge w:val="restart"/>
            <w:shd w:val="clear" w:color="auto" w:fill="FFFFFF" w:themeFill="background1"/>
          </w:tcPr>
          <w:p w14:paraId="09C81337" w14:textId="77777777" w:rsidR="00401546" w:rsidRPr="00A9330B" w:rsidRDefault="00401546" w:rsidP="00401546">
            <w:pPr>
              <w:spacing w:line="240" w:lineRule="auto"/>
              <w:jc w:val="center"/>
              <w:rPr>
                <w:rFonts w:cs="Arial"/>
                <w:b/>
                <w:color w:val="auto"/>
                <w:sz w:val="20"/>
                <w:szCs w:val="20"/>
              </w:rPr>
            </w:pPr>
            <w:r w:rsidRPr="00A9330B">
              <w:rPr>
                <w:rFonts w:cs="Arial"/>
                <w:b/>
                <w:color w:val="auto"/>
                <w:sz w:val="20"/>
                <w:szCs w:val="20"/>
              </w:rPr>
              <w:t xml:space="preserve">Evènements non souhaitable (ENS)/Impact  </w:t>
            </w:r>
          </w:p>
        </w:tc>
        <w:tc>
          <w:tcPr>
            <w:tcW w:w="3118" w:type="dxa"/>
            <w:gridSpan w:val="3"/>
            <w:shd w:val="clear" w:color="auto" w:fill="FFFFFF" w:themeFill="background1"/>
          </w:tcPr>
          <w:p w14:paraId="5B95EAAA" w14:textId="77777777" w:rsidR="00401546" w:rsidRPr="00A9330B" w:rsidRDefault="00401546" w:rsidP="00401546">
            <w:pPr>
              <w:spacing w:line="240" w:lineRule="auto"/>
              <w:jc w:val="center"/>
              <w:rPr>
                <w:rFonts w:cs="Arial"/>
                <w:b/>
                <w:color w:val="auto"/>
                <w:sz w:val="20"/>
                <w:szCs w:val="20"/>
              </w:rPr>
            </w:pPr>
            <w:r w:rsidRPr="00A9330B">
              <w:rPr>
                <w:rFonts w:cs="Arial"/>
                <w:b/>
                <w:color w:val="auto"/>
                <w:sz w:val="20"/>
                <w:szCs w:val="20"/>
              </w:rPr>
              <w:t xml:space="preserve">Evaluation du risque </w:t>
            </w:r>
          </w:p>
        </w:tc>
      </w:tr>
      <w:tr w:rsidR="00401546" w:rsidRPr="00A9330B" w14:paraId="01C5BEE2" w14:textId="77777777" w:rsidTr="009C5C1D">
        <w:trPr>
          <w:jc w:val="center"/>
        </w:trPr>
        <w:tc>
          <w:tcPr>
            <w:tcW w:w="486" w:type="dxa"/>
            <w:vMerge/>
            <w:shd w:val="clear" w:color="auto" w:fill="F4B083" w:themeFill="accent2" w:themeFillTint="99"/>
          </w:tcPr>
          <w:p w14:paraId="546B652B" w14:textId="77777777" w:rsidR="00401546" w:rsidRPr="00A9330B" w:rsidRDefault="00401546" w:rsidP="00401546">
            <w:pPr>
              <w:spacing w:line="240" w:lineRule="auto"/>
              <w:rPr>
                <w:rFonts w:cs="Arial"/>
                <w:sz w:val="20"/>
                <w:szCs w:val="20"/>
              </w:rPr>
            </w:pPr>
          </w:p>
        </w:tc>
        <w:tc>
          <w:tcPr>
            <w:tcW w:w="2486" w:type="dxa"/>
            <w:vMerge/>
            <w:shd w:val="clear" w:color="auto" w:fill="F4B083" w:themeFill="accent2" w:themeFillTint="99"/>
          </w:tcPr>
          <w:p w14:paraId="3714FF29" w14:textId="77777777" w:rsidR="00401546" w:rsidRPr="00A9330B" w:rsidRDefault="00401546" w:rsidP="00401546">
            <w:pPr>
              <w:spacing w:line="240" w:lineRule="auto"/>
              <w:rPr>
                <w:rFonts w:cs="Arial"/>
                <w:sz w:val="20"/>
                <w:szCs w:val="20"/>
              </w:rPr>
            </w:pPr>
          </w:p>
        </w:tc>
        <w:tc>
          <w:tcPr>
            <w:tcW w:w="3119" w:type="dxa"/>
            <w:vMerge/>
            <w:shd w:val="clear" w:color="auto" w:fill="F4B083" w:themeFill="accent2" w:themeFillTint="99"/>
          </w:tcPr>
          <w:p w14:paraId="3B8D87E2" w14:textId="77777777" w:rsidR="00401546" w:rsidRPr="00A9330B" w:rsidRDefault="00401546" w:rsidP="00401546">
            <w:pPr>
              <w:spacing w:line="240" w:lineRule="auto"/>
              <w:rPr>
                <w:rFonts w:cs="Arial"/>
                <w:sz w:val="20"/>
                <w:szCs w:val="20"/>
              </w:rPr>
            </w:pPr>
          </w:p>
        </w:tc>
        <w:tc>
          <w:tcPr>
            <w:tcW w:w="1275" w:type="dxa"/>
            <w:shd w:val="clear" w:color="auto" w:fill="ED7D31" w:themeFill="accent2"/>
          </w:tcPr>
          <w:p w14:paraId="3FA2C796" w14:textId="77777777" w:rsidR="00401546" w:rsidRPr="00A9330B" w:rsidRDefault="00401546" w:rsidP="00401546">
            <w:pPr>
              <w:spacing w:line="240" w:lineRule="auto"/>
              <w:rPr>
                <w:rFonts w:cs="Arial"/>
                <w:sz w:val="20"/>
                <w:szCs w:val="20"/>
              </w:rPr>
            </w:pPr>
            <w:r w:rsidRPr="00A9330B">
              <w:rPr>
                <w:rFonts w:cs="Arial"/>
                <w:sz w:val="20"/>
                <w:szCs w:val="20"/>
              </w:rPr>
              <w:t xml:space="preserve">Probabilité </w:t>
            </w:r>
          </w:p>
        </w:tc>
        <w:tc>
          <w:tcPr>
            <w:tcW w:w="993" w:type="dxa"/>
            <w:shd w:val="clear" w:color="auto" w:fill="ED7D31" w:themeFill="accent2"/>
          </w:tcPr>
          <w:p w14:paraId="62CFA134" w14:textId="77777777" w:rsidR="00401546" w:rsidRPr="00A9330B" w:rsidRDefault="00401546" w:rsidP="00401546">
            <w:pPr>
              <w:spacing w:line="240" w:lineRule="auto"/>
              <w:jc w:val="center"/>
              <w:rPr>
                <w:rFonts w:cs="Arial"/>
                <w:sz w:val="20"/>
                <w:szCs w:val="20"/>
              </w:rPr>
            </w:pPr>
            <w:r w:rsidRPr="00A9330B">
              <w:rPr>
                <w:rFonts w:cs="Arial"/>
                <w:sz w:val="20"/>
                <w:szCs w:val="20"/>
              </w:rPr>
              <w:t xml:space="preserve">Gravité </w:t>
            </w:r>
          </w:p>
        </w:tc>
        <w:tc>
          <w:tcPr>
            <w:tcW w:w="850" w:type="dxa"/>
            <w:shd w:val="clear" w:color="auto" w:fill="ED7D31" w:themeFill="accent2"/>
          </w:tcPr>
          <w:p w14:paraId="52682E51" w14:textId="77777777" w:rsidR="00401546" w:rsidRPr="00A9330B" w:rsidRDefault="00401546" w:rsidP="00401546">
            <w:pPr>
              <w:spacing w:line="240" w:lineRule="auto"/>
              <w:jc w:val="center"/>
              <w:rPr>
                <w:rFonts w:cs="Arial"/>
                <w:sz w:val="20"/>
                <w:szCs w:val="20"/>
              </w:rPr>
            </w:pPr>
            <w:r w:rsidRPr="00A9330B">
              <w:rPr>
                <w:rFonts w:cs="Arial"/>
                <w:sz w:val="20"/>
                <w:szCs w:val="20"/>
              </w:rPr>
              <w:t xml:space="preserve">Acceptabilité </w:t>
            </w:r>
          </w:p>
        </w:tc>
      </w:tr>
      <w:tr w:rsidR="00401546" w:rsidRPr="00A9330B" w14:paraId="6CD9D758" w14:textId="77777777" w:rsidTr="00401546">
        <w:trPr>
          <w:jc w:val="center"/>
        </w:trPr>
        <w:tc>
          <w:tcPr>
            <w:tcW w:w="486" w:type="dxa"/>
          </w:tcPr>
          <w:p w14:paraId="1A389555" w14:textId="77777777" w:rsidR="00401546" w:rsidRPr="00A9330B" w:rsidRDefault="00401546" w:rsidP="00401546">
            <w:pPr>
              <w:spacing w:line="240" w:lineRule="auto"/>
              <w:jc w:val="center"/>
              <w:rPr>
                <w:rFonts w:cs="Arial"/>
                <w:sz w:val="20"/>
                <w:szCs w:val="20"/>
              </w:rPr>
            </w:pPr>
            <w:r w:rsidRPr="00A9330B">
              <w:rPr>
                <w:rFonts w:cs="Arial"/>
                <w:sz w:val="20"/>
                <w:szCs w:val="20"/>
              </w:rPr>
              <w:t>1</w:t>
            </w:r>
          </w:p>
        </w:tc>
        <w:tc>
          <w:tcPr>
            <w:tcW w:w="2486" w:type="dxa"/>
          </w:tcPr>
          <w:p w14:paraId="07C59E53" w14:textId="77777777" w:rsidR="00401546" w:rsidRPr="00A9330B" w:rsidRDefault="00401546" w:rsidP="000F7BA7">
            <w:pPr>
              <w:spacing w:line="240" w:lineRule="auto"/>
              <w:jc w:val="both"/>
              <w:rPr>
                <w:rFonts w:cs="Arial"/>
                <w:sz w:val="20"/>
                <w:szCs w:val="20"/>
              </w:rPr>
            </w:pPr>
            <w:r w:rsidRPr="00A9330B">
              <w:rPr>
                <w:rFonts w:cs="Arial"/>
                <w:sz w:val="20"/>
                <w:szCs w:val="20"/>
              </w:rPr>
              <w:t xml:space="preserve">Déplacement ou utilisation mal contrôlé de véhicules et engins de chantier ou de leurs organes mobiles (pelle mécanique, chargeuse, camions, par ex..) </w:t>
            </w:r>
          </w:p>
        </w:tc>
        <w:tc>
          <w:tcPr>
            <w:tcW w:w="3119" w:type="dxa"/>
          </w:tcPr>
          <w:p w14:paraId="4357825C" w14:textId="77777777" w:rsidR="00401546" w:rsidRPr="00A9330B" w:rsidRDefault="00401546" w:rsidP="000F7BA7">
            <w:pPr>
              <w:spacing w:line="240" w:lineRule="auto"/>
              <w:jc w:val="both"/>
              <w:rPr>
                <w:rFonts w:cs="Arial"/>
                <w:sz w:val="20"/>
                <w:szCs w:val="20"/>
              </w:rPr>
            </w:pPr>
            <w:r w:rsidRPr="00A9330B">
              <w:rPr>
                <w:rFonts w:cs="Arial"/>
                <w:sz w:val="20"/>
                <w:szCs w:val="20"/>
              </w:rPr>
              <w:t xml:space="preserve">Renversement, basculement, heurt d’un ouvrier pouvant occasionner la mort, des blessures, fractures, lésions pertes sensorielles temporaires ou permanentes </w:t>
            </w:r>
          </w:p>
        </w:tc>
        <w:tc>
          <w:tcPr>
            <w:tcW w:w="1275" w:type="dxa"/>
          </w:tcPr>
          <w:p w14:paraId="0F30E3B5" w14:textId="77777777" w:rsidR="00401546" w:rsidRPr="00A9330B" w:rsidRDefault="00401546" w:rsidP="00401546">
            <w:pPr>
              <w:spacing w:line="240" w:lineRule="auto"/>
              <w:jc w:val="center"/>
              <w:rPr>
                <w:rFonts w:cs="Arial"/>
                <w:sz w:val="20"/>
                <w:szCs w:val="20"/>
              </w:rPr>
            </w:pPr>
            <w:r w:rsidRPr="00A9330B">
              <w:rPr>
                <w:rFonts w:cs="Arial"/>
                <w:sz w:val="20"/>
                <w:szCs w:val="20"/>
              </w:rPr>
              <w:t>3</w:t>
            </w:r>
          </w:p>
        </w:tc>
        <w:tc>
          <w:tcPr>
            <w:tcW w:w="993" w:type="dxa"/>
          </w:tcPr>
          <w:p w14:paraId="619C59E3" w14:textId="77777777" w:rsidR="00401546" w:rsidRPr="00A9330B" w:rsidRDefault="00401546" w:rsidP="00401546">
            <w:pPr>
              <w:spacing w:line="240" w:lineRule="auto"/>
              <w:jc w:val="center"/>
              <w:rPr>
                <w:rFonts w:cs="Arial"/>
                <w:sz w:val="20"/>
                <w:szCs w:val="20"/>
              </w:rPr>
            </w:pPr>
            <w:r w:rsidRPr="00A9330B">
              <w:rPr>
                <w:rFonts w:cs="Arial"/>
                <w:sz w:val="20"/>
                <w:szCs w:val="20"/>
              </w:rPr>
              <w:t>3</w:t>
            </w:r>
          </w:p>
        </w:tc>
        <w:tc>
          <w:tcPr>
            <w:tcW w:w="850" w:type="dxa"/>
            <w:shd w:val="clear" w:color="auto" w:fill="FF0000"/>
          </w:tcPr>
          <w:p w14:paraId="46315014" w14:textId="77777777" w:rsidR="00401546" w:rsidRPr="00A9330B" w:rsidRDefault="00401546" w:rsidP="00401546">
            <w:pPr>
              <w:spacing w:line="240" w:lineRule="auto"/>
              <w:jc w:val="center"/>
              <w:rPr>
                <w:rFonts w:cs="Arial"/>
                <w:sz w:val="20"/>
                <w:szCs w:val="20"/>
              </w:rPr>
            </w:pPr>
          </w:p>
        </w:tc>
      </w:tr>
      <w:tr w:rsidR="00401546" w:rsidRPr="00A9330B" w14:paraId="38C3A51F" w14:textId="77777777" w:rsidTr="00401546">
        <w:trPr>
          <w:jc w:val="center"/>
        </w:trPr>
        <w:tc>
          <w:tcPr>
            <w:tcW w:w="486" w:type="dxa"/>
          </w:tcPr>
          <w:p w14:paraId="7C274121" w14:textId="77777777" w:rsidR="00401546" w:rsidRPr="00A9330B" w:rsidRDefault="00401546" w:rsidP="00401546">
            <w:pPr>
              <w:spacing w:line="240" w:lineRule="auto"/>
              <w:jc w:val="center"/>
              <w:rPr>
                <w:rFonts w:cs="Arial"/>
                <w:sz w:val="20"/>
                <w:szCs w:val="20"/>
              </w:rPr>
            </w:pPr>
            <w:r w:rsidRPr="00A9330B">
              <w:rPr>
                <w:rFonts w:cs="Arial"/>
                <w:sz w:val="20"/>
                <w:szCs w:val="20"/>
              </w:rPr>
              <w:t>2</w:t>
            </w:r>
          </w:p>
        </w:tc>
        <w:tc>
          <w:tcPr>
            <w:tcW w:w="2486" w:type="dxa"/>
          </w:tcPr>
          <w:p w14:paraId="08FA7A11" w14:textId="77777777" w:rsidR="00401546" w:rsidRPr="00A9330B" w:rsidRDefault="00401546" w:rsidP="000F7BA7">
            <w:pPr>
              <w:spacing w:line="240" w:lineRule="auto"/>
              <w:jc w:val="both"/>
              <w:rPr>
                <w:rFonts w:cs="Arial"/>
                <w:sz w:val="20"/>
                <w:szCs w:val="20"/>
              </w:rPr>
            </w:pPr>
            <w:r w:rsidRPr="00A9330B">
              <w:rPr>
                <w:rFonts w:cs="Arial"/>
                <w:sz w:val="20"/>
                <w:szCs w:val="20"/>
              </w:rPr>
              <w:t xml:space="preserve">Stockage, manutention, manipulation ou transport inadapté de matériels et matériaux (par ex : déblais ou remblais) </w:t>
            </w:r>
          </w:p>
        </w:tc>
        <w:tc>
          <w:tcPr>
            <w:tcW w:w="3119" w:type="dxa"/>
          </w:tcPr>
          <w:p w14:paraId="0C298105" w14:textId="77777777" w:rsidR="00401546" w:rsidRPr="00A9330B" w:rsidRDefault="00401546" w:rsidP="000F7BA7">
            <w:pPr>
              <w:spacing w:line="240" w:lineRule="auto"/>
              <w:jc w:val="both"/>
              <w:rPr>
                <w:rFonts w:cs="Arial"/>
                <w:sz w:val="20"/>
                <w:szCs w:val="20"/>
              </w:rPr>
            </w:pPr>
            <w:r w:rsidRPr="00A9330B">
              <w:rPr>
                <w:rFonts w:cs="Arial"/>
                <w:sz w:val="20"/>
                <w:szCs w:val="20"/>
              </w:rPr>
              <w:t xml:space="preserve">Matériel ou matériaux accidentellement déversés sur les ouvriers ou un tiers pouvant entrainer l’étouffement, des blessures, fractures, traumatismes </w:t>
            </w:r>
          </w:p>
        </w:tc>
        <w:tc>
          <w:tcPr>
            <w:tcW w:w="1275" w:type="dxa"/>
          </w:tcPr>
          <w:p w14:paraId="2F47620D" w14:textId="77777777" w:rsidR="00401546" w:rsidRPr="00A9330B" w:rsidRDefault="00401546" w:rsidP="00401546">
            <w:pPr>
              <w:spacing w:line="240" w:lineRule="auto"/>
              <w:jc w:val="center"/>
              <w:rPr>
                <w:rFonts w:cs="Arial"/>
                <w:sz w:val="20"/>
                <w:szCs w:val="20"/>
              </w:rPr>
            </w:pPr>
            <w:r w:rsidRPr="00A9330B">
              <w:rPr>
                <w:rFonts w:cs="Arial"/>
                <w:sz w:val="20"/>
                <w:szCs w:val="20"/>
              </w:rPr>
              <w:t>3</w:t>
            </w:r>
          </w:p>
        </w:tc>
        <w:tc>
          <w:tcPr>
            <w:tcW w:w="993" w:type="dxa"/>
          </w:tcPr>
          <w:p w14:paraId="60896044" w14:textId="77777777" w:rsidR="00401546" w:rsidRPr="00A9330B" w:rsidRDefault="00401546" w:rsidP="00401546">
            <w:pPr>
              <w:spacing w:line="240" w:lineRule="auto"/>
              <w:jc w:val="center"/>
              <w:rPr>
                <w:rFonts w:cs="Arial"/>
                <w:sz w:val="20"/>
                <w:szCs w:val="20"/>
              </w:rPr>
            </w:pPr>
            <w:r w:rsidRPr="00A9330B">
              <w:rPr>
                <w:rFonts w:cs="Arial"/>
                <w:sz w:val="20"/>
                <w:szCs w:val="20"/>
              </w:rPr>
              <w:t>2</w:t>
            </w:r>
          </w:p>
        </w:tc>
        <w:tc>
          <w:tcPr>
            <w:tcW w:w="850" w:type="dxa"/>
            <w:shd w:val="clear" w:color="auto" w:fill="FFFF00"/>
          </w:tcPr>
          <w:p w14:paraId="113EFEDA" w14:textId="77777777" w:rsidR="00401546" w:rsidRPr="00A9330B" w:rsidRDefault="00401546" w:rsidP="00401546">
            <w:pPr>
              <w:spacing w:line="240" w:lineRule="auto"/>
              <w:jc w:val="center"/>
              <w:rPr>
                <w:rFonts w:cs="Arial"/>
                <w:sz w:val="20"/>
                <w:szCs w:val="20"/>
              </w:rPr>
            </w:pPr>
          </w:p>
        </w:tc>
      </w:tr>
      <w:tr w:rsidR="00401546" w:rsidRPr="00A9330B" w14:paraId="062BD10F" w14:textId="77777777" w:rsidTr="00401546">
        <w:trPr>
          <w:jc w:val="center"/>
        </w:trPr>
        <w:tc>
          <w:tcPr>
            <w:tcW w:w="486" w:type="dxa"/>
          </w:tcPr>
          <w:p w14:paraId="44A26B61" w14:textId="77777777" w:rsidR="00401546" w:rsidRPr="00A9330B" w:rsidRDefault="00401546" w:rsidP="00401546">
            <w:pPr>
              <w:spacing w:line="240" w:lineRule="auto"/>
              <w:jc w:val="center"/>
              <w:rPr>
                <w:rFonts w:cs="Arial"/>
                <w:sz w:val="20"/>
                <w:szCs w:val="20"/>
              </w:rPr>
            </w:pPr>
            <w:r w:rsidRPr="00A9330B">
              <w:rPr>
                <w:rFonts w:cs="Arial"/>
                <w:sz w:val="20"/>
                <w:szCs w:val="20"/>
              </w:rPr>
              <w:t>3</w:t>
            </w:r>
          </w:p>
        </w:tc>
        <w:tc>
          <w:tcPr>
            <w:tcW w:w="2486" w:type="dxa"/>
          </w:tcPr>
          <w:p w14:paraId="25FE4F44" w14:textId="77777777" w:rsidR="00401546" w:rsidRPr="00A9330B" w:rsidRDefault="00401546" w:rsidP="000F7BA7">
            <w:pPr>
              <w:spacing w:line="240" w:lineRule="auto"/>
              <w:jc w:val="both"/>
              <w:rPr>
                <w:rFonts w:cs="Arial"/>
                <w:sz w:val="20"/>
                <w:szCs w:val="20"/>
              </w:rPr>
            </w:pPr>
            <w:r w:rsidRPr="00A9330B">
              <w:rPr>
                <w:rFonts w:cs="Arial"/>
                <w:sz w:val="20"/>
                <w:szCs w:val="20"/>
              </w:rPr>
              <w:t xml:space="preserve">Instabilité des fouilles </w:t>
            </w:r>
          </w:p>
        </w:tc>
        <w:tc>
          <w:tcPr>
            <w:tcW w:w="3119" w:type="dxa"/>
          </w:tcPr>
          <w:p w14:paraId="2833B42E" w14:textId="77777777" w:rsidR="00401546" w:rsidRPr="00A9330B" w:rsidRDefault="00401546" w:rsidP="000F7BA7">
            <w:pPr>
              <w:spacing w:line="240" w:lineRule="auto"/>
              <w:jc w:val="both"/>
              <w:rPr>
                <w:rFonts w:cs="Arial"/>
                <w:sz w:val="20"/>
                <w:szCs w:val="20"/>
              </w:rPr>
            </w:pPr>
            <w:r w:rsidRPr="00A9330B">
              <w:rPr>
                <w:rFonts w:cs="Arial"/>
                <w:sz w:val="20"/>
                <w:szCs w:val="20"/>
              </w:rPr>
              <w:t xml:space="preserve">Eboulements de fouilles pouvant entrainer l’étouffement, des </w:t>
            </w:r>
            <w:r w:rsidRPr="00A9330B">
              <w:rPr>
                <w:rFonts w:cs="Arial"/>
                <w:sz w:val="20"/>
                <w:szCs w:val="20"/>
              </w:rPr>
              <w:lastRenderedPageBreak/>
              <w:t xml:space="preserve">blessures, fractures, traumatisme  </w:t>
            </w:r>
          </w:p>
        </w:tc>
        <w:tc>
          <w:tcPr>
            <w:tcW w:w="1275" w:type="dxa"/>
          </w:tcPr>
          <w:p w14:paraId="6293FF55" w14:textId="77777777" w:rsidR="00401546" w:rsidRPr="00A9330B" w:rsidRDefault="00401546" w:rsidP="00401546">
            <w:pPr>
              <w:spacing w:line="240" w:lineRule="auto"/>
              <w:jc w:val="center"/>
              <w:rPr>
                <w:rFonts w:cs="Arial"/>
                <w:sz w:val="20"/>
                <w:szCs w:val="20"/>
              </w:rPr>
            </w:pPr>
            <w:r w:rsidRPr="00A9330B">
              <w:rPr>
                <w:rFonts w:cs="Arial"/>
                <w:sz w:val="20"/>
                <w:szCs w:val="20"/>
              </w:rPr>
              <w:lastRenderedPageBreak/>
              <w:t>3</w:t>
            </w:r>
          </w:p>
        </w:tc>
        <w:tc>
          <w:tcPr>
            <w:tcW w:w="993" w:type="dxa"/>
          </w:tcPr>
          <w:p w14:paraId="62B749AD" w14:textId="77777777" w:rsidR="00401546" w:rsidRPr="00A9330B" w:rsidRDefault="00401546" w:rsidP="00401546">
            <w:pPr>
              <w:spacing w:line="240" w:lineRule="auto"/>
              <w:jc w:val="center"/>
              <w:rPr>
                <w:rFonts w:cs="Arial"/>
                <w:sz w:val="20"/>
                <w:szCs w:val="20"/>
              </w:rPr>
            </w:pPr>
            <w:r w:rsidRPr="00A9330B">
              <w:rPr>
                <w:rFonts w:cs="Arial"/>
                <w:sz w:val="20"/>
                <w:szCs w:val="20"/>
              </w:rPr>
              <w:t>3</w:t>
            </w:r>
          </w:p>
        </w:tc>
        <w:tc>
          <w:tcPr>
            <w:tcW w:w="850" w:type="dxa"/>
            <w:shd w:val="clear" w:color="auto" w:fill="FF0000"/>
          </w:tcPr>
          <w:p w14:paraId="2C925DF8" w14:textId="77777777" w:rsidR="00401546" w:rsidRPr="00A9330B" w:rsidRDefault="00401546" w:rsidP="00401546">
            <w:pPr>
              <w:spacing w:line="240" w:lineRule="auto"/>
              <w:jc w:val="center"/>
              <w:rPr>
                <w:rFonts w:cs="Arial"/>
                <w:sz w:val="20"/>
                <w:szCs w:val="20"/>
              </w:rPr>
            </w:pPr>
          </w:p>
        </w:tc>
      </w:tr>
      <w:tr w:rsidR="00401546" w:rsidRPr="00A9330B" w14:paraId="1B30B891" w14:textId="77777777" w:rsidTr="00401546">
        <w:trPr>
          <w:jc w:val="center"/>
        </w:trPr>
        <w:tc>
          <w:tcPr>
            <w:tcW w:w="486" w:type="dxa"/>
          </w:tcPr>
          <w:p w14:paraId="59FFD762" w14:textId="77777777" w:rsidR="00401546" w:rsidRPr="00A9330B" w:rsidRDefault="00401546" w:rsidP="00401546">
            <w:pPr>
              <w:spacing w:line="240" w:lineRule="auto"/>
              <w:jc w:val="center"/>
              <w:rPr>
                <w:rFonts w:cs="Arial"/>
                <w:sz w:val="20"/>
                <w:szCs w:val="20"/>
              </w:rPr>
            </w:pPr>
            <w:r w:rsidRPr="00A9330B">
              <w:rPr>
                <w:rFonts w:cs="Arial"/>
                <w:sz w:val="20"/>
                <w:szCs w:val="20"/>
              </w:rPr>
              <w:lastRenderedPageBreak/>
              <w:t>4</w:t>
            </w:r>
          </w:p>
        </w:tc>
        <w:tc>
          <w:tcPr>
            <w:tcW w:w="2486" w:type="dxa"/>
          </w:tcPr>
          <w:p w14:paraId="46F6A783" w14:textId="77777777" w:rsidR="00401546" w:rsidRPr="00A9330B" w:rsidRDefault="00401546" w:rsidP="000F7BA7">
            <w:pPr>
              <w:spacing w:line="240" w:lineRule="auto"/>
              <w:jc w:val="both"/>
              <w:rPr>
                <w:rFonts w:cs="Arial"/>
                <w:sz w:val="20"/>
                <w:szCs w:val="20"/>
              </w:rPr>
            </w:pPr>
            <w:r w:rsidRPr="00A9330B">
              <w:rPr>
                <w:rFonts w:cs="Arial"/>
                <w:sz w:val="20"/>
                <w:szCs w:val="20"/>
              </w:rPr>
              <w:t xml:space="preserve">Absence ou inefficacité des protections collectives et individuelles </w:t>
            </w:r>
          </w:p>
        </w:tc>
        <w:tc>
          <w:tcPr>
            <w:tcW w:w="3119" w:type="dxa"/>
          </w:tcPr>
          <w:p w14:paraId="7F852F6B" w14:textId="77777777" w:rsidR="00401546" w:rsidRPr="00A9330B" w:rsidRDefault="00401546" w:rsidP="000F7BA7">
            <w:pPr>
              <w:spacing w:line="240" w:lineRule="auto"/>
              <w:jc w:val="both"/>
              <w:rPr>
                <w:rFonts w:cs="Arial"/>
                <w:sz w:val="20"/>
                <w:szCs w:val="20"/>
              </w:rPr>
            </w:pPr>
            <w:r w:rsidRPr="00A9330B">
              <w:rPr>
                <w:rFonts w:cs="Arial"/>
                <w:sz w:val="20"/>
                <w:szCs w:val="20"/>
              </w:rPr>
              <w:t xml:space="preserve">Vulnérabilité des ouvriers vis-à-vis de blessures, fractures, traumatismes </w:t>
            </w:r>
          </w:p>
        </w:tc>
        <w:tc>
          <w:tcPr>
            <w:tcW w:w="1275" w:type="dxa"/>
          </w:tcPr>
          <w:p w14:paraId="33790C1D" w14:textId="77777777" w:rsidR="00401546" w:rsidRPr="00A9330B" w:rsidRDefault="00401546" w:rsidP="00401546">
            <w:pPr>
              <w:spacing w:line="240" w:lineRule="auto"/>
              <w:jc w:val="center"/>
              <w:rPr>
                <w:rFonts w:cs="Arial"/>
                <w:sz w:val="20"/>
                <w:szCs w:val="20"/>
              </w:rPr>
            </w:pPr>
            <w:r w:rsidRPr="00A9330B">
              <w:rPr>
                <w:rFonts w:cs="Arial"/>
                <w:sz w:val="20"/>
                <w:szCs w:val="20"/>
              </w:rPr>
              <w:t>3</w:t>
            </w:r>
          </w:p>
        </w:tc>
        <w:tc>
          <w:tcPr>
            <w:tcW w:w="993" w:type="dxa"/>
          </w:tcPr>
          <w:p w14:paraId="45D29245" w14:textId="77777777" w:rsidR="00401546" w:rsidRPr="00A9330B" w:rsidRDefault="00401546" w:rsidP="00401546">
            <w:pPr>
              <w:spacing w:line="240" w:lineRule="auto"/>
              <w:jc w:val="center"/>
              <w:rPr>
                <w:rFonts w:cs="Arial"/>
                <w:sz w:val="20"/>
                <w:szCs w:val="20"/>
              </w:rPr>
            </w:pPr>
            <w:r w:rsidRPr="00A9330B">
              <w:rPr>
                <w:rFonts w:cs="Arial"/>
                <w:sz w:val="20"/>
                <w:szCs w:val="20"/>
              </w:rPr>
              <w:t>3</w:t>
            </w:r>
          </w:p>
        </w:tc>
        <w:tc>
          <w:tcPr>
            <w:tcW w:w="850" w:type="dxa"/>
            <w:shd w:val="clear" w:color="auto" w:fill="FF0000"/>
          </w:tcPr>
          <w:p w14:paraId="3A4243D3" w14:textId="77777777" w:rsidR="00401546" w:rsidRPr="00A9330B" w:rsidRDefault="00401546" w:rsidP="00401546">
            <w:pPr>
              <w:spacing w:line="240" w:lineRule="auto"/>
              <w:jc w:val="center"/>
              <w:rPr>
                <w:rFonts w:cs="Arial"/>
                <w:sz w:val="20"/>
                <w:szCs w:val="20"/>
              </w:rPr>
            </w:pPr>
          </w:p>
        </w:tc>
      </w:tr>
      <w:tr w:rsidR="00401546" w:rsidRPr="00A9330B" w14:paraId="4782CC2A" w14:textId="77777777" w:rsidTr="00401546">
        <w:trPr>
          <w:jc w:val="center"/>
        </w:trPr>
        <w:tc>
          <w:tcPr>
            <w:tcW w:w="486" w:type="dxa"/>
          </w:tcPr>
          <w:p w14:paraId="37254E05" w14:textId="77777777" w:rsidR="00401546" w:rsidRPr="00A9330B" w:rsidRDefault="00401546" w:rsidP="00401546">
            <w:pPr>
              <w:spacing w:line="240" w:lineRule="auto"/>
              <w:jc w:val="center"/>
              <w:rPr>
                <w:rFonts w:cs="Arial"/>
                <w:sz w:val="20"/>
                <w:szCs w:val="20"/>
              </w:rPr>
            </w:pPr>
            <w:r w:rsidRPr="00A9330B">
              <w:rPr>
                <w:rFonts w:cs="Arial"/>
                <w:sz w:val="20"/>
                <w:szCs w:val="20"/>
              </w:rPr>
              <w:t>5</w:t>
            </w:r>
          </w:p>
        </w:tc>
        <w:tc>
          <w:tcPr>
            <w:tcW w:w="2486" w:type="dxa"/>
          </w:tcPr>
          <w:p w14:paraId="2D2EEA43" w14:textId="7CACBE90" w:rsidR="00401546" w:rsidRPr="00A9330B" w:rsidRDefault="00401546" w:rsidP="000F7BA7">
            <w:pPr>
              <w:spacing w:line="240" w:lineRule="auto"/>
              <w:jc w:val="both"/>
              <w:rPr>
                <w:rFonts w:cs="Arial"/>
                <w:sz w:val="20"/>
                <w:szCs w:val="20"/>
              </w:rPr>
            </w:pPr>
            <w:r w:rsidRPr="00A9330B">
              <w:rPr>
                <w:rFonts w:cs="Arial"/>
                <w:sz w:val="20"/>
                <w:szCs w:val="20"/>
              </w:rPr>
              <w:t>Durée du travail excessive et accès</w:t>
            </w:r>
            <w:r w:rsidR="00725149" w:rsidRPr="00A9330B">
              <w:rPr>
                <w:rFonts w:cs="Arial"/>
                <w:sz w:val="20"/>
                <w:szCs w:val="20"/>
              </w:rPr>
              <w:t xml:space="preserve"> inadapté</w:t>
            </w:r>
            <w:r w:rsidRPr="00A9330B">
              <w:rPr>
                <w:rFonts w:cs="Arial"/>
                <w:sz w:val="20"/>
                <w:szCs w:val="20"/>
              </w:rPr>
              <w:t xml:space="preserve"> à l’eau et </w:t>
            </w:r>
            <w:r w:rsidR="00725149" w:rsidRPr="00A9330B">
              <w:rPr>
                <w:rFonts w:cs="Arial"/>
                <w:sz w:val="20"/>
                <w:szCs w:val="20"/>
              </w:rPr>
              <w:t xml:space="preserve">à </w:t>
            </w:r>
            <w:r w:rsidRPr="00A9330B">
              <w:rPr>
                <w:rFonts w:cs="Arial"/>
                <w:sz w:val="20"/>
                <w:szCs w:val="20"/>
              </w:rPr>
              <w:t xml:space="preserve">l’hygiène </w:t>
            </w:r>
          </w:p>
        </w:tc>
        <w:tc>
          <w:tcPr>
            <w:tcW w:w="3119" w:type="dxa"/>
          </w:tcPr>
          <w:p w14:paraId="7BDDDB03" w14:textId="0A17A0F6" w:rsidR="00401546" w:rsidRPr="00A9330B" w:rsidRDefault="00401546" w:rsidP="000F7BA7">
            <w:pPr>
              <w:spacing w:line="240" w:lineRule="auto"/>
              <w:jc w:val="both"/>
              <w:rPr>
                <w:rFonts w:cs="Arial"/>
                <w:sz w:val="20"/>
                <w:szCs w:val="20"/>
              </w:rPr>
            </w:pPr>
            <w:r w:rsidRPr="00A9330B">
              <w:rPr>
                <w:rFonts w:cs="Arial"/>
                <w:sz w:val="20"/>
                <w:szCs w:val="20"/>
              </w:rPr>
              <w:t xml:space="preserve">Exposition à la chaleur ou au soleil et fatigue excessive à l’origine d’insolation, déshydratation, désordres métaboliques, trouble de l’attention  </w:t>
            </w:r>
          </w:p>
        </w:tc>
        <w:tc>
          <w:tcPr>
            <w:tcW w:w="1275" w:type="dxa"/>
          </w:tcPr>
          <w:p w14:paraId="0927F7A8" w14:textId="77777777" w:rsidR="00401546" w:rsidRPr="00A9330B" w:rsidRDefault="00401546" w:rsidP="00401546">
            <w:pPr>
              <w:spacing w:line="240" w:lineRule="auto"/>
              <w:jc w:val="center"/>
              <w:rPr>
                <w:rFonts w:cs="Arial"/>
                <w:sz w:val="20"/>
                <w:szCs w:val="20"/>
              </w:rPr>
            </w:pPr>
            <w:r w:rsidRPr="00A9330B">
              <w:rPr>
                <w:rFonts w:cs="Arial"/>
                <w:sz w:val="20"/>
                <w:szCs w:val="20"/>
              </w:rPr>
              <w:t>2</w:t>
            </w:r>
          </w:p>
        </w:tc>
        <w:tc>
          <w:tcPr>
            <w:tcW w:w="993" w:type="dxa"/>
          </w:tcPr>
          <w:p w14:paraId="5D549B5B" w14:textId="77777777" w:rsidR="00401546" w:rsidRPr="00A9330B" w:rsidRDefault="00401546" w:rsidP="00401546">
            <w:pPr>
              <w:spacing w:line="240" w:lineRule="auto"/>
              <w:jc w:val="center"/>
              <w:rPr>
                <w:rFonts w:cs="Arial"/>
                <w:sz w:val="20"/>
                <w:szCs w:val="20"/>
              </w:rPr>
            </w:pPr>
            <w:r w:rsidRPr="00A9330B">
              <w:rPr>
                <w:rFonts w:cs="Arial"/>
                <w:sz w:val="20"/>
                <w:szCs w:val="20"/>
              </w:rPr>
              <w:t>2</w:t>
            </w:r>
          </w:p>
        </w:tc>
        <w:tc>
          <w:tcPr>
            <w:tcW w:w="850" w:type="dxa"/>
            <w:shd w:val="clear" w:color="auto" w:fill="FFFF00"/>
          </w:tcPr>
          <w:p w14:paraId="11D8DC29" w14:textId="77777777" w:rsidR="00401546" w:rsidRPr="00A9330B" w:rsidRDefault="00401546" w:rsidP="00401546">
            <w:pPr>
              <w:spacing w:line="240" w:lineRule="auto"/>
              <w:jc w:val="center"/>
              <w:rPr>
                <w:rFonts w:cs="Arial"/>
                <w:sz w:val="20"/>
                <w:szCs w:val="20"/>
              </w:rPr>
            </w:pPr>
          </w:p>
        </w:tc>
      </w:tr>
      <w:tr w:rsidR="00401546" w:rsidRPr="00A9330B" w14:paraId="7DC59170" w14:textId="77777777" w:rsidTr="00401546">
        <w:trPr>
          <w:jc w:val="center"/>
        </w:trPr>
        <w:tc>
          <w:tcPr>
            <w:tcW w:w="486" w:type="dxa"/>
          </w:tcPr>
          <w:p w14:paraId="7FDF34BB" w14:textId="77777777" w:rsidR="00401546" w:rsidRPr="00A9330B" w:rsidRDefault="00401546" w:rsidP="00401546">
            <w:pPr>
              <w:spacing w:line="240" w:lineRule="auto"/>
              <w:jc w:val="center"/>
              <w:rPr>
                <w:rFonts w:cs="Arial"/>
                <w:sz w:val="20"/>
                <w:szCs w:val="20"/>
              </w:rPr>
            </w:pPr>
            <w:r w:rsidRPr="00A9330B">
              <w:rPr>
                <w:rFonts w:cs="Arial"/>
                <w:sz w:val="20"/>
                <w:szCs w:val="20"/>
              </w:rPr>
              <w:t>6</w:t>
            </w:r>
          </w:p>
        </w:tc>
        <w:tc>
          <w:tcPr>
            <w:tcW w:w="2486" w:type="dxa"/>
          </w:tcPr>
          <w:p w14:paraId="30F6E318" w14:textId="77777777" w:rsidR="00401546" w:rsidRPr="00A9330B" w:rsidRDefault="00401546" w:rsidP="000F7BA7">
            <w:pPr>
              <w:spacing w:line="240" w:lineRule="auto"/>
              <w:jc w:val="both"/>
              <w:rPr>
                <w:rFonts w:cs="Arial"/>
                <w:sz w:val="20"/>
                <w:szCs w:val="20"/>
              </w:rPr>
            </w:pPr>
            <w:r w:rsidRPr="00A9330B">
              <w:rPr>
                <w:rFonts w:cs="Arial"/>
                <w:sz w:val="20"/>
                <w:szCs w:val="20"/>
              </w:rPr>
              <w:t xml:space="preserve">Canalisations ou câbles électriques enterrés identifiés ou non </w:t>
            </w:r>
          </w:p>
        </w:tc>
        <w:tc>
          <w:tcPr>
            <w:tcW w:w="3119" w:type="dxa"/>
          </w:tcPr>
          <w:p w14:paraId="0A72DE9F" w14:textId="77777777" w:rsidR="00401546" w:rsidRPr="00A9330B" w:rsidRDefault="00401546" w:rsidP="000F7BA7">
            <w:pPr>
              <w:spacing w:line="240" w:lineRule="auto"/>
              <w:jc w:val="both"/>
              <w:rPr>
                <w:rFonts w:cs="Arial"/>
                <w:sz w:val="20"/>
                <w:szCs w:val="20"/>
              </w:rPr>
            </w:pPr>
            <w:r w:rsidRPr="00A9330B">
              <w:rPr>
                <w:rFonts w:cs="Arial"/>
                <w:sz w:val="20"/>
                <w:szCs w:val="20"/>
              </w:rPr>
              <w:t xml:space="preserve">Rupture de canalisations ou de câbles pouvant entrainer une électrisation, des blessures ou des lésions </w:t>
            </w:r>
          </w:p>
        </w:tc>
        <w:tc>
          <w:tcPr>
            <w:tcW w:w="1275" w:type="dxa"/>
          </w:tcPr>
          <w:p w14:paraId="73D33780" w14:textId="77777777" w:rsidR="00401546" w:rsidRPr="00A9330B" w:rsidRDefault="00401546" w:rsidP="00401546">
            <w:pPr>
              <w:spacing w:line="240" w:lineRule="auto"/>
              <w:jc w:val="center"/>
              <w:rPr>
                <w:rFonts w:cs="Arial"/>
                <w:sz w:val="20"/>
                <w:szCs w:val="20"/>
              </w:rPr>
            </w:pPr>
            <w:r w:rsidRPr="00A9330B">
              <w:rPr>
                <w:rFonts w:cs="Arial"/>
                <w:sz w:val="20"/>
                <w:szCs w:val="20"/>
              </w:rPr>
              <w:t>3</w:t>
            </w:r>
          </w:p>
        </w:tc>
        <w:tc>
          <w:tcPr>
            <w:tcW w:w="993" w:type="dxa"/>
          </w:tcPr>
          <w:p w14:paraId="09051D1E" w14:textId="77777777" w:rsidR="00401546" w:rsidRPr="00A9330B" w:rsidRDefault="00401546" w:rsidP="00401546">
            <w:pPr>
              <w:spacing w:line="240" w:lineRule="auto"/>
              <w:jc w:val="center"/>
              <w:rPr>
                <w:rFonts w:cs="Arial"/>
                <w:sz w:val="20"/>
                <w:szCs w:val="20"/>
              </w:rPr>
            </w:pPr>
            <w:r w:rsidRPr="00A9330B">
              <w:rPr>
                <w:rFonts w:cs="Arial"/>
                <w:sz w:val="20"/>
                <w:szCs w:val="20"/>
              </w:rPr>
              <w:t>3</w:t>
            </w:r>
          </w:p>
        </w:tc>
        <w:tc>
          <w:tcPr>
            <w:tcW w:w="850" w:type="dxa"/>
            <w:shd w:val="clear" w:color="auto" w:fill="FF0000"/>
          </w:tcPr>
          <w:p w14:paraId="243AC5DE" w14:textId="77777777" w:rsidR="00401546" w:rsidRPr="00A9330B" w:rsidRDefault="00401546" w:rsidP="00401546">
            <w:pPr>
              <w:spacing w:line="240" w:lineRule="auto"/>
              <w:jc w:val="center"/>
              <w:rPr>
                <w:rFonts w:cs="Arial"/>
                <w:color w:val="FF0000"/>
                <w:sz w:val="20"/>
                <w:szCs w:val="20"/>
              </w:rPr>
            </w:pPr>
          </w:p>
        </w:tc>
      </w:tr>
      <w:tr w:rsidR="00401546" w:rsidRPr="00A9330B" w14:paraId="24A78A67" w14:textId="77777777" w:rsidTr="00401546">
        <w:trPr>
          <w:jc w:val="center"/>
        </w:trPr>
        <w:tc>
          <w:tcPr>
            <w:tcW w:w="486" w:type="dxa"/>
          </w:tcPr>
          <w:p w14:paraId="1F6973F2" w14:textId="77777777" w:rsidR="00401546" w:rsidRPr="00A9330B" w:rsidRDefault="00401546" w:rsidP="00401546">
            <w:pPr>
              <w:spacing w:line="240" w:lineRule="auto"/>
              <w:jc w:val="center"/>
              <w:rPr>
                <w:rFonts w:cs="Arial"/>
                <w:sz w:val="20"/>
                <w:szCs w:val="20"/>
              </w:rPr>
            </w:pPr>
            <w:r w:rsidRPr="00A9330B">
              <w:rPr>
                <w:rFonts w:cs="Arial"/>
                <w:sz w:val="20"/>
                <w:szCs w:val="20"/>
              </w:rPr>
              <w:t>7</w:t>
            </w:r>
          </w:p>
        </w:tc>
        <w:tc>
          <w:tcPr>
            <w:tcW w:w="2486" w:type="dxa"/>
          </w:tcPr>
          <w:p w14:paraId="2B91C0F0" w14:textId="77777777" w:rsidR="00401546" w:rsidRPr="00A9330B" w:rsidRDefault="00401546" w:rsidP="000F7BA7">
            <w:pPr>
              <w:spacing w:line="240" w:lineRule="auto"/>
              <w:jc w:val="both"/>
              <w:rPr>
                <w:rFonts w:cs="Arial"/>
                <w:sz w:val="20"/>
                <w:szCs w:val="20"/>
              </w:rPr>
            </w:pPr>
            <w:r w:rsidRPr="00A9330B">
              <w:rPr>
                <w:rFonts w:cs="Arial"/>
                <w:sz w:val="20"/>
                <w:szCs w:val="20"/>
              </w:rPr>
              <w:t xml:space="preserve">Manutention et pelletage manuels, gestes répétitifs ou utilisation excessive de machines vibrantes </w:t>
            </w:r>
          </w:p>
        </w:tc>
        <w:tc>
          <w:tcPr>
            <w:tcW w:w="3119" w:type="dxa"/>
          </w:tcPr>
          <w:p w14:paraId="11A38F9B" w14:textId="77777777" w:rsidR="00401546" w:rsidRPr="00A9330B" w:rsidRDefault="00401546" w:rsidP="000F7BA7">
            <w:pPr>
              <w:spacing w:line="240" w:lineRule="auto"/>
              <w:jc w:val="both"/>
              <w:rPr>
                <w:rFonts w:cs="Arial"/>
                <w:sz w:val="20"/>
                <w:szCs w:val="20"/>
              </w:rPr>
            </w:pPr>
            <w:r w:rsidRPr="00A9330B">
              <w:rPr>
                <w:rFonts w:cs="Arial"/>
                <w:sz w:val="20"/>
                <w:szCs w:val="20"/>
              </w:rPr>
              <w:t xml:space="preserve">Apparition de troubles musculo-squelettiques  </w:t>
            </w:r>
          </w:p>
        </w:tc>
        <w:tc>
          <w:tcPr>
            <w:tcW w:w="1275" w:type="dxa"/>
          </w:tcPr>
          <w:p w14:paraId="4AC8EDAC" w14:textId="77777777" w:rsidR="00401546" w:rsidRPr="00A9330B" w:rsidRDefault="00401546" w:rsidP="00401546">
            <w:pPr>
              <w:spacing w:line="240" w:lineRule="auto"/>
              <w:jc w:val="center"/>
              <w:rPr>
                <w:rFonts w:cs="Arial"/>
                <w:sz w:val="20"/>
                <w:szCs w:val="20"/>
              </w:rPr>
            </w:pPr>
            <w:r w:rsidRPr="00A9330B">
              <w:rPr>
                <w:rFonts w:cs="Arial"/>
                <w:sz w:val="20"/>
                <w:szCs w:val="20"/>
              </w:rPr>
              <w:t>3</w:t>
            </w:r>
          </w:p>
        </w:tc>
        <w:tc>
          <w:tcPr>
            <w:tcW w:w="993" w:type="dxa"/>
          </w:tcPr>
          <w:p w14:paraId="1952BA73" w14:textId="77777777" w:rsidR="00401546" w:rsidRPr="00A9330B" w:rsidRDefault="00401546" w:rsidP="00401546">
            <w:pPr>
              <w:spacing w:line="240" w:lineRule="auto"/>
              <w:jc w:val="center"/>
              <w:rPr>
                <w:rFonts w:cs="Arial"/>
                <w:sz w:val="20"/>
                <w:szCs w:val="20"/>
              </w:rPr>
            </w:pPr>
            <w:r w:rsidRPr="00A9330B">
              <w:rPr>
                <w:rFonts w:cs="Arial"/>
                <w:sz w:val="20"/>
                <w:szCs w:val="20"/>
              </w:rPr>
              <w:t>2</w:t>
            </w:r>
          </w:p>
        </w:tc>
        <w:tc>
          <w:tcPr>
            <w:tcW w:w="850" w:type="dxa"/>
            <w:shd w:val="clear" w:color="auto" w:fill="FFFF00"/>
          </w:tcPr>
          <w:p w14:paraId="15C794E3" w14:textId="77777777" w:rsidR="00401546" w:rsidRPr="00A9330B" w:rsidRDefault="00401546" w:rsidP="00401546">
            <w:pPr>
              <w:spacing w:line="240" w:lineRule="auto"/>
              <w:jc w:val="center"/>
              <w:rPr>
                <w:rFonts w:cs="Arial"/>
                <w:sz w:val="20"/>
                <w:szCs w:val="20"/>
              </w:rPr>
            </w:pPr>
          </w:p>
        </w:tc>
      </w:tr>
      <w:tr w:rsidR="00401546" w:rsidRPr="00A9330B" w14:paraId="3340F535" w14:textId="77777777" w:rsidTr="00401546">
        <w:trPr>
          <w:jc w:val="center"/>
        </w:trPr>
        <w:tc>
          <w:tcPr>
            <w:tcW w:w="486" w:type="dxa"/>
          </w:tcPr>
          <w:p w14:paraId="4A756543" w14:textId="77777777" w:rsidR="00401546" w:rsidRPr="00A9330B" w:rsidRDefault="00401546" w:rsidP="00401546">
            <w:pPr>
              <w:spacing w:line="240" w:lineRule="auto"/>
              <w:jc w:val="center"/>
              <w:rPr>
                <w:rFonts w:cs="Arial"/>
                <w:sz w:val="20"/>
                <w:szCs w:val="20"/>
              </w:rPr>
            </w:pPr>
            <w:r w:rsidRPr="00A9330B">
              <w:rPr>
                <w:rFonts w:cs="Arial"/>
                <w:sz w:val="20"/>
                <w:szCs w:val="20"/>
              </w:rPr>
              <w:t>8</w:t>
            </w:r>
          </w:p>
        </w:tc>
        <w:tc>
          <w:tcPr>
            <w:tcW w:w="2486" w:type="dxa"/>
          </w:tcPr>
          <w:p w14:paraId="14BA9EFF" w14:textId="77777777" w:rsidR="00401546" w:rsidRPr="00A9330B" w:rsidRDefault="00401546" w:rsidP="000F7BA7">
            <w:pPr>
              <w:spacing w:line="240" w:lineRule="auto"/>
              <w:jc w:val="both"/>
              <w:rPr>
                <w:rFonts w:cs="Arial"/>
                <w:sz w:val="20"/>
                <w:szCs w:val="20"/>
              </w:rPr>
            </w:pPr>
            <w:r w:rsidRPr="00A9330B">
              <w:rPr>
                <w:rFonts w:cs="Arial"/>
                <w:sz w:val="20"/>
                <w:szCs w:val="20"/>
              </w:rPr>
              <w:t xml:space="preserve">Conduite inappropriée des véhicules engins de chantier </w:t>
            </w:r>
          </w:p>
        </w:tc>
        <w:tc>
          <w:tcPr>
            <w:tcW w:w="3119" w:type="dxa"/>
          </w:tcPr>
          <w:p w14:paraId="56726671" w14:textId="77777777" w:rsidR="00401546" w:rsidRPr="00A9330B" w:rsidRDefault="00401546" w:rsidP="000F7BA7">
            <w:pPr>
              <w:spacing w:line="240" w:lineRule="auto"/>
              <w:jc w:val="both"/>
              <w:rPr>
                <w:rFonts w:cs="Arial"/>
                <w:sz w:val="20"/>
                <w:szCs w:val="20"/>
              </w:rPr>
            </w:pPr>
            <w:r w:rsidRPr="00A9330B">
              <w:rPr>
                <w:rFonts w:cs="Arial"/>
                <w:sz w:val="20"/>
                <w:szCs w:val="20"/>
              </w:rPr>
              <w:t xml:space="preserve">Exposition des chauffeurs, passagers et tiers à des blessures, fractures, traumatismes et le cas échéant dégradation ou destruction de biens </w:t>
            </w:r>
          </w:p>
        </w:tc>
        <w:tc>
          <w:tcPr>
            <w:tcW w:w="1275" w:type="dxa"/>
          </w:tcPr>
          <w:p w14:paraId="7DD0D3AA" w14:textId="77777777" w:rsidR="00401546" w:rsidRPr="00A9330B" w:rsidRDefault="00401546" w:rsidP="00401546">
            <w:pPr>
              <w:spacing w:line="240" w:lineRule="auto"/>
              <w:jc w:val="center"/>
              <w:rPr>
                <w:rFonts w:cs="Arial"/>
                <w:sz w:val="20"/>
                <w:szCs w:val="20"/>
              </w:rPr>
            </w:pPr>
            <w:r w:rsidRPr="00A9330B">
              <w:rPr>
                <w:rFonts w:cs="Arial"/>
                <w:sz w:val="20"/>
                <w:szCs w:val="20"/>
              </w:rPr>
              <w:t>2</w:t>
            </w:r>
          </w:p>
        </w:tc>
        <w:tc>
          <w:tcPr>
            <w:tcW w:w="993" w:type="dxa"/>
          </w:tcPr>
          <w:p w14:paraId="4F55200F" w14:textId="77777777" w:rsidR="00401546" w:rsidRPr="00A9330B" w:rsidRDefault="00401546" w:rsidP="00401546">
            <w:pPr>
              <w:spacing w:line="240" w:lineRule="auto"/>
              <w:jc w:val="center"/>
              <w:rPr>
                <w:rFonts w:cs="Arial"/>
                <w:sz w:val="20"/>
                <w:szCs w:val="20"/>
              </w:rPr>
            </w:pPr>
            <w:r w:rsidRPr="00A9330B">
              <w:rPr>
                <w:rFonts w:cs="Arial"/>
                <w:sz w:val="20"/>
                <w:szCs w:val="20"/>
              </w:rPr>
              <w:t>3</w:t>
            </w:r>
          </w:p>
        </w:tc>
        <w:tc>
          <w:tcPr>
            <w:tcW w:w="850" w:type="dxa"/>
            <w:shd w:val="clear" w:color="auto" w:fill="FFFF00"/>
          </w:tcPr>
          <w:p w14:paraId="0FBBD0AB" w14:textId="77777777" w:rsidR="00401546" w:rsidRPr="00A9330B" w:rsidRDefault="00401546" w:rsidP="00401546">
            <w:pPr>
              <w:spacing w:line="240" w:lineRule="auto"/>
              <w:jc w:val="center"/>
              <w:rPr>
                <w:rFonts w:cs="Arial"/>
                <w:sz w:val="20"/>
                <w:szCs w:val="20"/>
              </w:rPr>
            </w:pPr>
          </w:p>
        </w:tc>
      </w:tr>
      <w:tr w:rsidR="00401546" w:rsidRPr="00A9330B" w14:paraId="07D3C966" w14:textId="77777777" w:rsidTr="00401546">
        <w:trPr>
          <w:jc w:val="center"/>
        </w:trPr>
        <w:tc>
          <w:tcPr>
            <w:tcW w:w="486" w:type="dxa"/>
          </w:tcPr>
          <w:p w14:paraId="5E0BB7DC" w14:textId="77777777" w:rsidR="00401546" w:rsidRPr="00A9330B" w:rsidRDefault="00401546" w:rsidP="00401546">
            <w:pPr>
              <w:spacing w:line="240" w:lineRule="auto"/>
              <w:jc w:val="center"/>
              <w:rPr>
                <w:rFonts w:cs="Arial"/>
                <w:sz w:val="20"/>
                <w:szCs w:val="20"/>
              </w:rPr>
            </w:pPr>
            <w:r w:rsidRPr="00A9330B">
              <w:rPr>
                <w:rFonts w:cs="Arial"/>
                <w:sz w:val="20"/>
                <w:szCs w:val="20"/>
              </w:rPr>
              <w:t>9</w:t>
            </w:r>
          </w:p>
        </w:tc>
        <w:tc>
          <w:tcPr>
            <w:tcW w:w="2486" w:type="dxa"/>
          </w:tcPr>
          <w:p w14:paraId="02996950" w14:textId="77777777" w:rsidR="00401546" w:rsidRPr="00A9330B" w:rsidRDefault="00401546" w:rsidP="000F7BA7">
            <w:pPr>
              <w:spacing w:line="240" w:lineRule="auto"/>
              <w:jc w:val="both"/>
              <w:rPr>
                <w:rFonts w:cs="Arial"/>
                <w:sz w:val="20"/>
                <w:szCs w:val="20"/>
              </w:rPr>
            </w:pPr>
            <w:r w:rsidRPr="00A9330B">
              <w:rPr>
                <w:rFonts w:cs="Arial"/>
                <w:sz w:val="20"/>
                <w:szCs w:val="20"/>
              </w:rPr>
              <w:t xml:space="preserve">Installations de chantier au sol, accès aux planchers de travail inadaptés </w:t>
            </w:r>
          </w:p>
        </w:tc>
        <w:tc>
          <w:tcPr>
            <w:tcW w:w="3119" w:type="dxa"/>
          </w:tcPr>
          <w:p w14:paraId="5269D53D" w14:textId="77777777" w:rsidR="00401546" w:rsidRPr="00A9330B" w:rsidRDefault="00401546" w:rsidP="000F7BA7">
            <w:pPr>
              <w:spacing w:line="240" w:lineRule="auto"/>
              <w:jc w:val="both"/>
              <w:rPr>
                <w:rFonts w:cs="Arial"/>
                <w:sz w:val="20"/>
                <w:szCs w:val="20"/>
              </w:rPr>
            </w:pPr>
            <w:r w:rsidRPr="00A9330B">
              <w:rPr>
                <w:rFonts w:cs="Arial"/>
                <w:sz w:val="20"/>
                <w:szCs w:val="20"/>
              </w:rPr>
              <w:t xml:space="preserve">Vulnérabilité des ouvriers vis-à-vis de blessures, fractures, traumatismes par chute de plain-pied </w:t>
            </w:r>
          </w:p>
        </w:tc>
        <w:tc>
          <w:tcPr>
            <w:tcW w:w="1275" w:type="dxa"/>
          </w:tcPr>
          <w:p w14:paraId="41266153" w14:textId="77777777" w:rsidR="00401546" w:rsidRPr="00A9330B" w:rsidRDefault="00401546" w:rsidP="00401546">
            <w:pPr>
              <w:spacing w:line="240" w:lineRule="auto"/>
              <w:jc w:val="center"/>
              <w:rPr>
                <w:rFonts w:cs="Arial"/>
                <w:sz w:val="20"/>
                <w:szCs w:val="20"/>
              </w:rPr>
            </w:pPr>
            <w:r w:rsidRPr="00A9330B">
              <w:rPr>
                <w:rFonts w:cs="Arial"/>
                <w:sz w:val="20"/>
                <w:szCs w:val="20"/>
              </w:rPr>
              <w:t>2</w:t>
            </w:r>
          </w:p>
        </w:tc>
        <w:tc>
          <w:tcPr>
            <w:tcW w:w="993" w:type="dxa"/>
          </w:tcPr>
          <w:p w14:paraId="787087AA" w14:textId="77777777" w:rsidR="00401546" w:rsidRPr="00A9330B" w:rsidRDefault="00401546" w:rsidP="00401546">
            <w:pPr>
              <w:spacing w:line="240" w:lineRule="auto"/>
              <w:jc w:val="center"/>
              <w:rPr>
                <w:rFonts w:cs="Arial"/>
                <w:sz w:val="20"/>
                <w:szCs w:val="20"/>
              </w:rPr>
            </w:pPr>
            <w:r w:rsidRPr="00A9330B">
              <w:rPr>
                <w:rFonts w:cs="Arial"/>
                <w:sz w:val="20"/>
                <w:szCs w:val="20"/>
              </w:rPr>
              <w:t>3</w:t>
            </w:r>
          </w:p>
        </w:tc>
        <w:tc>
          <w:tcPr>
            <w:tcW w:w="850" w:type="dxa"/>
            <w:shd w:val="clear" w:color="auto" w:fill="FFFF00"/>
          </w:tcPr>
          <w:p w14:paraId="10116EC9" w14:textId="77777777" w:rsidR="00401546" w:rsidRPr="00A9330B" w:rsidRDefault="00401546" w:rsidP="00401546">
            <w:pPr>
              <w:spacing w:line="240" w:lineRule="auto"/>
              <w:jc w:val="center"/>
              <w:rPr>
                <w:rFonts w:cs="Arial"/>
                <w:sz w:val="20"/>
                <w:szCs w:val="20"/>
              </w:rPr>
            </w:pPr>
          </w:p>
        </w:tc>
      </w:tr>
    </w:tbl>
    <w:p w14:paraId="62E20041" w14:textId="77777777" w:rsidR="00401546" w:rsidRPr="00A9330B" w:rsidRDefault="00401546" w:rsidP="00401546"/>
    <w:p w14:paraId="1330B248" w14:textId="4786C094" w:rsidR="00401546" w:rsidRPr="00A9330B" w:rsidRDefault="00401546" w:rsidP="000F7BA7">
      <w:pPr>
        <w:pStyle w:val="Titre20"/>
      </w:pPr>
      <w:bookmarkStart w:id="1762" w:name="_Toc535244614"/>
      <w:bookmarkStart w:id="1763" w:name="_Toc43697698"/>
      <w:bookmarkStart w:id="1764" w:name="_Toc52869702"/>
      <w:bookmarkStart w:id="1765" w:name="_Toc52869862"/>
      <w:r w:rsidRPr="00A9330B">
        <w:t>9.7. Dépose de pavés, démolition d’ouvrage d’assainissement existant enterrés et aériens-remblaiement e</w:t>
      </w:r>
      <w:r w:rsidR="00BE2B0F" w:rsidRPr="00A9330B">
        <w:t>t</w:t>
      </w:r>
      <w:r w:rsidRPr="00A9330B">
        <w:t xml:space="preserve"> réfection de voirie</w:t>
      </w:r>
      <w:bookmarkEnd w:id="1762"/>
      <w:bookmarkEnd w:id="1763"/>
      <w:bookmarkEnd w:id="1764"/>
      <w:bookmarkEnd w:id="1765"/>
      <w:r w:rsidRPr="00A9330B">
        <w:t xml:space="preserve"> </w:t>
      </w:r>
    </w:p>
    <w:p w14:paraId="4E342083" w14:textId="40E2355E" w:rsidR="00401546" w:rsidRPr="00A9330B" w:rsidRDefault="00401546" w:rsidP="00401546">
      <w:pPr>
        <w:spacing w:after="120"/>
        <w:jc w:val="both"/>
      </w:pPr>
      <w:r w:rsidRPr="00A9330B">
        <w:rPr>
          <w:rFonts w:cs="Arial"/>
        </w:rPr>
        <w:t xml:space="preserve">Les risques les plus élevés sont liés aux déplacements des engins de chantier. Les risques spécifiques concernent le travail en fouille, le déplacement et les opérations des engins utilisés pour la démolition : les projections de particules (sable, boues) et les éclats (gravats) ; le remblaiement et les travaux de réfection de chaussée, nécessitent également des mesures de minimisation des risques. </w:t>
      </w:r>
      <w:r w:rsidRPr="00A9330B">
        <w:t>Pour la manutention du matériau (pavé), les mauvaises techniques de manutention manuelle peuvent être désastreuses pour le dos. Les risques ici sont les traumatismes,</w:t>
      </w:r>
      <w:r w:rsidR="00BE2B0F" w:rsidRPr="00A9330B">
        <w:t xml:space="preserve"> les </w:t>
      </w:r>
      <w:r w:rsidRPr="00A9330B">
        <w:t xml:space="preserve"> blessures dues aux chutes de matériaux, etc.</w:t>
      </w:r>
    </w:p>
    <w:p w14:paraId="20F762F9" w14:textId="77777777" w:rsidR="006721DD" w:rsidRPr="00A9330B" w:rsidRDefault="006721DD">
      <w:pPr>
        <w:spacing w:before="0" w:after="160" w:line="259" w:lineRule="auto"/>
        <w:rPr>
          <w:b/>
          <w:sz w:val="20"/>
          <w:szCs w:val="20"/>
        </w:rPr>
      </w:pPr>
      <w:bookmarkStart w:id="1766" w:name="_Toc533058617"/>
      <w:bookmarkStart w:id="1767" w:name="_Toc535237430"/>
      <w:bookmarkStart w:id="1768" w:name="_Toc43696260"/>
      <w:r w:rsidRPr="00A9330B">
        <w:rPr>
          <w:b/>
          <w:sz w:val="20"/>
          <w:szCs w:val="20"/>
        </w:rPr>
        <w:br w:type="page"/>
      </w:r>
    </w:p>
    <w:p w14:paraId="40D02FCF" w14:textId="4E491993" w:rsidR="00401546" w:rsidRPr="00A9330B" w:rsidRDefault="00401546" w:rsidP="00401546">
      <w:pPr>
        <w:spacing w:after="120" w:line="240" w:lineRule="auto"/>
        <w:jc w:val="center"/>
        <w:rPr>
          <w:rFonts w:eastAsia="Calibri" w:cs="Arial"/>
          <w:b/>
          <w:sz w:val="20"/>
          <w:szCs w:val="20"/>
          <w:lang w:eastAsia="de-DE"/>
        </w:rPr>
      </w:pPr>
      <w:bookmarkStart w:id="1769" w:name="_Toc52873773"/>
      <w:r w:rsidRPr="00A9330B">
        <w:rPr>
          <w:b/>
          <w:sz w:val="20"/>
          <w:szCs w:val="20"/>
        </w:rPr>
        <w:lastRenderedPageBreak/>
        <w:t xml:space="preserve">Tableau </w:t>
      </w:r>
      <w:r w:rsidRPr="00A9330B">
        <w:rPr>
          <w:b/>
          <w:sz w:val="20"/>
          <w:szCs w:val="20"/>
        </w:rPr>
        <w:fldChar w:fldCharType="begin"/>
      </w:r>
      <w:r w:rsidRPr="00A9330B">
        <w:rPr>
          <w:b/>
          <w:sz w:val="20"/>
          <w:szCs w:val="20"/>
        </w:rPr>
        <w:instrText xml:space="preserve"> SEQ Tableau \* ARABIC </w:instrText>
      </w:r>
      <w:r w:rsidRPr="00A9330B">
        <w:rPr>
          <w:b/>
          <w:sz w:val="20"/>
          <w:szCs w:val="20"/>
        </w:rPr>
        <w:fldChar w:fldCharType="separate"/>
      </w:r>
      <w:r w:rsidR="00417D31" w:rsidRPr="00A9330B">
        <w:rPr>
          <w:b/>
          <w:noProof/>
          <w:sz w:val="20"/>
          <w:szCs w:val="20"/>
        </w:rPr>
        <w:t>49</w:t>
      </w:r>
      <w:r w:rsidRPr="00A9330B">
        <w:rPr>
          <w:b/>
          <w:sz w:val="20"/>
          <w:szCs w:val="20"/>
        </w:rPr>
        <w:fldChar w:fldCharType="end"/>
      </w:r>
      <w:r w:rsidRPr="00A9330B">
        <w:t xml:space="preserve"> </w:t>
      </w:r>
      <w:r w:rsidRPr="00A9330B">
        <w:rPr>
          <w:rFonts w:eastAsia="Calibri" w:cs="Arial"/>
          <w:b/>
          <w:sz w:val="20"/>
          <w:szCs w:val="20"/>
          <w:lang w:eastAsia="de-DE"/>
        </w:rPr>
        <w:t>: Analyse des risques pour la dépose de pavé, démolition d’ouvrage d’assainissement existant enterrés et aériens; le remblaiement et la réfection de chaussées</w:t>
      </w:r>
      <w:bookmarkEnd w:id="1766"/>
      <w:bookmarkEnd w:id="1767"/>
      <w:bookmarkEnd w:id="1768"/>
      <w:bookmarkEnd w:id="1769"/>
    </w:p>
    <w:tbl>
      <w:tblPr>
        <w:tblStyle w:val="Grilledutableau2"/>
        <w:tblW w:w="9209" w:type="dxa"/>
        <w:jc w:val="center"/>
        <w:tblLayout w:type="fixed"/>
        <w:tblLook w:val="04A0" w:firstRow="1" w:lastRow="0" w:firstColumn="1" w:lastColumn="0" w:noHBand="0" w:noVBand="1"/>
      </w:tblPr>
      <w:tblGrid>
        <w:gridCol w:w="486"/>
        <w:gridCol w:w="2486"/>
        <w:gridCol w:w="3260"/>
        <w:gridCol w:w="1276"/>
        <w:gridCol w:w="851"/>
        <w:gridCol w:w="850"/>
      </w:tblGrid>
      <w:tr w:rsidR="00401546" w:rsidRPr="00A9330B" w14:paraId="31953878" w14:textId="77777777" w:rsidTr="00401546">
        <w:trPr>
          <w:jc w:val="center"/>
        </w:trPr>
        <w:tc>
          <w:tcPr>
            <w:tcW w:w="486" w:type="dxa"/>
            <w:vMerge w:val="restart"/>
            <w:shd w:val="clear" w:color="auto" w:fill="FFFFFF" w:themeFill="background1"/>
          </w:tcPr>
          <w:p w14:paraId="0DC6F976" w14:textId="77777777" w:rsidR="00401546" w:rsidRPr="00A9330B" w:rsidRDefault="00401546" w:rsidP="00401546">
            <w:pPr>
              <w:spacing w:line="240" w:lineRule="auto"/>
              <w:rPr>
                <w:rFonts w:cs="Arial"/>
                <w:color w:val="auto"/>
                <w:sz w:val="18"/>
                <w:szCs w:val="18"/>
              </w:rPr>
            </w:pPr>
            <w:r w:rsidRPr="00A9330B">
              <w:rPr>
                <w:rFonts w:cs="Arial"/>
                <w:color w:val="auto"/>
                <w:sz w:val="18"/>
                <w:szCs w:val="18"/>
              </w:rPr>
              <w:t>N°</w:t>
            </w:r>
          </w:p>
        </w:tc>
        <w:tc>
          <w:tcPr>
            <w:tcW w:w="2486" w:type="dxa"/>
            <w:vMerge w:val="restart"/>
            <w:shd w:val="clear" w:color="auto" w:fill="FFFFFF" w:themeFill="background1"/>
          </w:tcPr>
          <w:p w14:paraId="255CCE81" w14:textId="77777777" w:rsidR="00401546" w:rsidRPr="00A9330B" w:rsidRDefault="00401546" w:rsidP="00401546">
            <w:pPr>
              <w:spacing w:line="240" w:lineRule="auto"/>
              <w:rPr>
                <w:rFonts w:cs="Arial"/>
                <w:color w:val="auto"/>
                <w:sz w:val="18"/>
                <w:szCs w:val="18"/>
              </w:rPr>
            </w:pPr>
            <w:r w:rsidRPr="00A9330B">
              <w:rPr>
                <w:rFonts w:cs="Arial"/>
                <w:color w:val="auto"/>
                <w:sz w:val="18"/>
                <w:szCs w:val="18"/>
              </w:rPr>
              <w:t xml:space="preserve">Principales situations de danger </w:t>
            </w:r>
          </w:p>
        </w:tc>
        <w:tc>
          <w:tcPr>
            <w:tcW w:w="3260" w:type="dxa"/>
            <w:vMerge w:val="restart"/>
            <w:shd w:val="clear" w:color="auto" w:fill="FFFFFF" w:themeFill="background1"/>
          </w:tcPr>
          <w:p w14:paraId="746AEBE6" w14:textId="77777777" w:rsidR="00401546" w:rsidRPr="00A9330B" w:rsidRDefault="00401546" w:rsidP="00401546">
            <w:pPr>
              <w:spacing w:line="240" w:lineRule="auto"/>
              <w:rPr>
                <w:rFonts w:cs="Arial"/>
                <w:color w:val="auto"/>
                <w:sz w:val="18"/>
                <w:szCs w:val="18"/>
              </w:rPr>
            </w:pPr>
            <w:r w:rsidRPr="00A9330B">
              <w:rPr>
                <w:rFonts w:cs="Arial"/>
                <w:color w:val="auto"/>
                <w:sz w:val="18"/>
                <w:szCs w:val="18"/>
              </w:rPr>
              <w:t xml:space="preserve">Evènements non souhaitable (ENS)/Impact  </w:t>
            </w:r>
          </w:p>
        </w:tc>
        <w:tc>
          <w:tcPr>
            <w:tcW w:w="2977" w:type="dxa"/>
            <w:gridSpan w:val="3"/>
            <w:shd w:val="clear" w:color="auto" w:fill="FFFFFF" w:themeFill="background1"/>
          </w:tcPr>
          <w:p w14:paraId="44E8C9DF" w14:textId="77777777" w:rsidR="00401546" w:rsidRPr="00A9330B" w:rsidRDefault="00401546" w:rsidP="00401546">
            <w:pPr>
              <w:spacing w:line="240" w:lineRule="auto"/>
              <w:rPr>
                <w:rFonts w:cs="Arial"/>
                <w:color w:val="auto"/>
                <w:sz w:val="18"/>
                <w:szCs w:val="18"/>
              </w:rPr>
            </w:pPr>
            <w:r w:rsidRPr="00A9330B">
              <w:rPr>
                <w:rFonts w:cs="Arial"/>
                <w:color w:val="auto"/>
                <w:sz w:val="18"/>
                <w:szCs w:val="18"/>
              </w:rPr>
              <w:t xml:space="preserve">Evaluation du risque </w:t>
            </w:r>
          </w:p>
        </w:tc>
      </w:tr>
      <w:tr w:rsidR="00401546" w:rsidRPr="00A9330B" w14:paraId="4DC4CC21" w14:textId="77777777" w:rsidTr="009C5C1D">
        <w:trPr>
          <w:jc w:val="center"/>
        </w:trPr>
        <w:tc>
          <w:tcPr>
            <w:tcW w:w="486" w:type="dxa"/>
            <w:vMerge/>
            <w:shd w:val="clear" w:color="auto" w:fill="F4B083" w:themeFill="accent2" w:themeFillTint="99"/>
          </w:tcPr>
          <w:p w14:paraId="44A41FDF" w14:textId="77777777" w:rsidR="00401546" w:rsidRPr="00A9330B" w:rsidRDefault="00401546" w:rsidP="00401546">
            <w:pPr>
              <w:spacing w:line="240" w:lineRule="auto"/>
              <w:rPr>
                <w:rFonts w:cs="Arial"/>
                <w:sz w:val="18"/>
                <w:szCs w:val="18"/>
              </w:rPr>
            </w:pPr>
          </w:p>
        </w:tc>
        <w:tc>
          <w:tcPr>
            <w:tcW w:w="2486" w:type="dxa"/>
            <w:vMerge/>
            <w:shd w:val="clear" w:color="auto" w:fill="F4B083" w:themeFill="accent2" w:themeFillTint="99"/>
          </w:tcPr>
          <w:p w14:paraId="67678467" w14:textId="77777777" w:rsidR="00401546" w:rsidRPr="00A9330B" w:rsidRDefault="00401546" w:rsidP="00401546">
            <w:pPr>
              <w:spacing w:line="240" w:lineRule="auto"/>
              <w:rPr>
                <w:rFonts w:cs="Arial"/>
                <w:sz w:val="18"/>
                <w:szCs w:val="18"/>
              </w:rPr>
            </w:pPr>
          </w:p>
        </w:tc>
        <w:tc>
          <w:tcPr>
            <w:tcW w:w="3260" w:type="dxa"/>
            <w:vMerge/>
            <w:shd w:val="clear" w:color="auto" w:fill="F4B083" w:themeFill="accent2" w:themeFillTint="99"/>
          </w:tcPr>
          <w:p w14:paraId="094F4DD2" w14:textId="77777777" w:rsidR="00401546" w:rsidRPr="00A9330B" w:rsidRDefault="00401546" w:rsidP="00401546">
            <w:pPr>
              <w:spacing w:line="240" w:lineRule="auto"/>
              <w:rPr>
                <w:rFonts w:cs="Arial"/>
                <w:sz w:val="18"/>
                <w:szCs w:val="18"/>
              </w:rPr>
            </w:pPr>
          </w:p>
        </w:tc>
        <w:tc>
          <w:tcPr>
            <w:tcW w:w="1276" w:type="dxa"/>
            <w:shd w:val="clear" w:color="auto" w:fill="ED7D31" w:themeFill="accent2"/>
          </w:tcPr>
          <w:p w14:paraId="42692211" w14:textId="77777777" w:rsidR="00401546" w:rsidRPr="00A9330B" w:rsidRDefault="00401546" w:rsidP="00401546">
            <w:pPr>
              <w:spacing w:line="240" w:lineRule="auto"/>
              <w:rPr>
                <w:rFonts w:cs="Arial"/>
                <w:sz w:val="18"/>
                <w:szCs w:val="18"/>
              </w:rPr>
            </w:pPr>
            <w:r w:rsidRPr="00A9330B">
              <w:rPr>
                <w:rFonts w:cs="Arial"/>
                <w:sz w:val="18"/>
                <w:szCs w:val="18"/>
              </w:rPr>
              <w:t xml:space="preserve">Probabilité </w:t>
            </w:r>
          </w:p>
        </w:tc>
        <w:tc>
          <w:tcPr>
            <w:tcW w:w="851" w:type="dxa"/>
            <w:shd w:val="clear" w:color="auto" w:fill="ED7D31" w:themeFill="accent2"/>
          </w:tcPr>
          <w:p w14:paraId="564CC988" w14:textId="77777777" w:rsidR="00401546" w:rsidRPr="00A9330B" w:rsidRDefault="00401546" w:rsidP="00401546">
            <w:pPr>
              <w:spacing w:line="240" w:lineRule="auto"/>
              <w:rPr>
                <w:rFonts w:cs="Arial"/>
                <w:sz w:val="18"/>
                <w:szCs w:val="18"/>
              </w:rPr>
            </w:pPr>
            <w:r w:rsidRPr="00A9330B">
              <w:rPr>
                <w:rFonts w:cs="Arial"/>
                <w:sz w:val="18"/>
                <w:szCs w:val="18"/>
              </w:rPr>
              <w:t xml:space="preserve">Gravité </w:t>
            </w:r>
          </w:p>
        </w:tc>
        <w:tc>
          <w:tcPr>
            <w:tcW w:w="850" w:type="dxa"/>
            <w:shd w:val="clear" w:color="auto" w:fill="ED7D31" w:themeFill="accent2"/>
          </w:tcPr>
          <w:p w14:paraId="5ADC3AB3" w14:textId="77777777" w:rsidR="00401546" w:rsidRPr="00A9330B" w:rsidRDefault="00401546" w:rsidP="00401546">
            <w:pPr>
              <w:spacing w:line="240" w:lineRule="auto"/>
              <w:rPr>
                <w:rFonts w:cs="Arial"/>
                <w:sz w:val="18"/>
                <w:szCs w:val="18"/>
              </w:rPr>
            </w:pPr>
            <w:r w:rsidRPr="00A9330B">
              <w:rPr>
                <w:rFonts w:cs="Arial"/>
                <w:sz w:val="18"/>
                <w:szCs w:val="18"/>
              </w:rPr>
              <w:t xml:space="preserve">Acceptabilité </w:t>
            </w:r>
          </w:p>
        </w:tc>
      </w:tr>
      <w:tr w:rsidR="00401546" w:rsidRPr="00A9330B" w14:paraId="54D3C6E1" w14:textId="77777777" w:rsidTr="00401546">
        <w:trPr>
          <w:jc w:val="center"/>
        </w:trPr>
        <w:tc>
          <w:tcPr>
            <w:tcW w:w="486" w:type="dxa"/>
          </w:tcPr>
          <w:p w14:paraId="11D7E56F" w14:textId="77777777" w:rsidR="00401546" w:rsidRPr="00A9330B" w:rsidRDefault="00401546" w:rsidP="00401546">
            <w:pPr>
              <w:spacing w:line="240" w:lineRule="auto"/>
              <w:rPr>
                <w:rFonts w:cs="Arial"/>
                <w:sz w:val="18"/>
                <w:szCs w:val="18"/>
              </w:rPr>
            </w:pPr>
            <w:r w:rsidRPr="00A9330B">
              <w:rPr>
                <w:rFonts w:cs="Arial"/>
                <w:sz w:val="18"/>
                <w:szCs w:val="18"/>
              </w:rPr>
              <w:t>1</w:t>
            </w:r>
          </w:p>
        </w:tc>
        <w:tc>
          <w:tcPr>
            <w:tcW w:w="2486" w:type="dxa"/>
          </w:tcPr>
          <w:p w14:paraId="228985D4" w14:textId="73CA8B06" w:rsidR="00401546" w:rsidRPr="00A9330B" w:rsidRDefault="00401546" w:rsidP="000F7BA7">
            <w:pPr>
              <w:spacing w:line="240" w:lineRule="auto"/>
              <w:jc w:val="both"/>
              <w:rPr>
                <w:rFonts w:cs="Arial"/>
                <w:sz w:val="18"/>
                <w:szCs w:val="18"/>
              </w:rPr>
            </w:pPr>
            <w:r w:rsidRPr="00A9330B">
              <w:rPr>
                <w:rFonts w:cs="Arial"/>
                <w:sz w:val="18"/>
                <w:szCs w:val="18"/>
              </w:rPr>
              <w:t>Déplacement ou utilisation mal contrôlé</w:t>
            </w:r>
            <w:r w:rsidR="00BE2B0F" w:rsidRPr="00A9330B">
              <w:rPr>
                <w:rFonts w:cs="Arial"/>
                <w:sz w:val="18"/>
                <w:szCs w:val="18"/>
              </w:rPr>
              <w:t>e</w:t>
            </w:r>
            <w:r w:rsidRPr="00A9330B">
              <w:rPr>
                <w:rFonts w:cs="Arial"/>
                <w:sz w:val="18"/>
                <w:szCs w:val="18"/>
              </w:rPr>
              <w:t xml:space="preserve"> de véhicules et engins de chantier ou de leurs organes mobiles (pelle mécanique, chargeuse, camions, par ex..) </w:t>
            </w:r>
          </w:p>
        </w:tc>
        <w:tc>
          <w:tcPr>
            <w:tcW w:w="3260" w:type="dxa"/>
          </w:tcPr>
          <w:p w14:paraId="10DFD9D4" w14:textId="77777777" w:rsidR="00401546" w:rsidRPr="00A9330B" w:rsidRDefault="00401546" w:rsidP="000F7BA7">
            <w:pPr>
              <w:spacing w:line="240" w:lineRule="auto"/>
              <w:jc w:val="both"/>
              <w:rPr>
                <w:rFonts w:cs="Arial"/>
                <w:sz w:val="18"/>
                <w:szCs w:val="18"/>
              </w:rPr>
            </w:pPr>
            <w:r w:rsidRPr="00A9330B">
              <w:rPr>
                <w:rFonts w:cs="Arial"/>
                <w:sz w:val="18"/>
                <w:szCs w:val="18"/>
              </w:rPr>
              <w:t xml:space="preserve">Renversement, basculement, heurt d’un ouvrier ou de tiers pouvant occasionner la mort, des blessures, fractures, lésions pertes sensorielles temporaires ou permanentes </w:t>
            </w:r>
          </w:p>
        </w:tc>
        <w:tc>
          <w:tcPr>
            <w:tcW w:w="1276" w:type="dxa"/>
          </w:tcPr>
          <w:p w14:paraId="76B45C40" w14:textId="77777777" w:rsidR="00401546" w:rsidRPr="00A9330B" w:rsidRDefault="00401546" w:rsidP="00401546">
            <w:pPr>
              <w:spacing w:line="240" w:lineRule="auto"/>
              <w:rPr>
                <w:rFonts w:cs="Arial"/>
                <w:sz w:val="18"/>
                <w:szCs w:val="18"/>
              </w:rPr>
            </w:pPr>
            <w:r w:rsidRPr="00A9330B">
              <w:rPr>
                <w:rFonts w:cs="Arial"/>
                <w:sz w:val="18"/>
                <w:szCs w:val="18"/>
              </w:rPr>
              <w:t>3</w:t>
            </w:r>
          </w:p>
        </w:tc>
        <w:tc>
          <w:tcPr>
            <w:tcW w:w="851" w:type="dxa"/>
          </w:tcPr>
          <w:p w14:paraId="0043F2F9" w14:textId="77777777" w:rsidR="00401546" w:rsidRPr="00A9330B" w:rsidRDefault="00401546" w:rsidP="00401546">
            <w:pPr>
              <w:spacing w:line="240" w:lineRule="auto"/>
              <w:rPr>
                <w:rFonts w:cs="Arial"/>
                <w:sz w:val="18"/>
                <w:szCs w:val="18"/>
              </w:rPr>
            </w:pPr>
            <w:r w:rsidRPr="00A9330B">
              <w:rPr>
                <w:rFonts w:cs="Arial"/>
                <w:sz w:val="18"/>
                <w:szCs w:val="18"/>
              </w:rPr>
              <w:t>3</w:t>
            </w:r>
          </w:p>
        </w:tc>
        <w:tc>
          <w:tcPr>
            <w:tcW w:w="850" w:type="dxa"/>
            <w:shd w:val="clear" w:color="auto" w:fill="FF0000"/>
          </w:tcPr>
          <w:p w14:paraId="49CCE757" w14:textId="77777777" w:rsidR="00401546" w:rsidRPr="00A9330B" w:rsidRDefault="00401546" w:rsidP="00401546">
            <w:pPr>
              <w:spacing w:line="240" w:lineRule="auto"/>
              <w:rPr>
                <w:rFonts w:cs="Arial"/>
                <w:sz w:val="18"/>
                <w:szCs w:val="18"/>
              </w:rPr>
            </w:pPr>
          </w:p>
        </w:tc>
      </w:tr>
      <w:tr w:rsidR="00401546" w:rsidRPr="00A9330B" w14:paraId="59662F2E" w14:textId="77777777" w:rsidTr="00401546">
        <w:trPr>
          <w:jc w:val="center"/>
        </w:trPr>
        <w:tc>
          <w:tcPr>
            <w:tcW w:w="486" w:type="dxa"/>
          </w:tcPr>
          <w:p w14:paraId="5B817888" w14:textId="77777777" w:rsidR="00401546" w:rsidRPr="00A9330B" w:rsidRDefault="00401546" w:rsidP="00401546">
            <w:pPr>
              <w:spacing w:line="240" w:lineRule="auto"/>
              <w:rPr>
                <w:rFonts w:cs="Arial"/>
                <w:sz w:val="18"/>
                <w:szCs w:val="18"/>
              </w:rPr>
            </w:pPr>
            <w:r w:rsidRPr="00A9330B">
              <w:rPr>
                <w:rFonts w:cs="Arial"/>
                <w:sz w:val="18"/>
                <w:szCs w:val="18"/>
              </w:rPr>
              <w:t>2</w:t>
            </w:r>
          </w:p>
        </w:tc>
        <w:tc>
          <w:tcPr>
            <w:tcW w:w="2486" w:type="dxa"/>
          </w:tcPr>
          <w:p w14:paraId="10F9EE99" w14:textId="77777777" w:rsidR="00401546" w:rsidRPr="00A9330B" w:rsidRDefault="00401546" w:rsidP="000F7BA7">
            <w:pPr>
              <w:spacing w:line="240" w:lineRule="auto"/>
              <w:jc w:val="both"/>
              <w:rPr>
                <w:rFonts w:cs="Arial"/>
                <w:sz w:val="18"/>
                <w:szCs w:val="18"/>
              </w:rPr>
            </w:pPr>
            <w:r w:rsidRPr="00A9330B">
              <w:rPr>
                <w:rFonts w:cs="Arial"/>
                <w:sz w:val="18"/>
                <w:szCs w:val="18"/>
              </w:rPr>
              <w:t xml:space="preserve">Stockage, manutention, manipulation ou transport inadapté de matériels et matériaux (par ex : déblais ou remblais) </w:t>
            </w:r>
          </w:p>
        </w:tc>
        <w:tc>
          <w:tcPr>
            <w:tcW w:w="3260" w:type="dxa"/>
          </w:tcPr>
          <w:p w14:paraId="5F431A5A" w14:textId="77777777" w:rsidR="00401546" w:rsidRPr="00A9330B" w:rsidRDefault="00401546" w:rsidP="000F7BA7">
            <w:pPr>
              <w:spacing w:line="240" w:lineRule="auto"/>
              <w:jc w:val="both"/>
              <w:rPr>
                <w:rFonts w:cs="Arial"/>
                <w:sz w:val="18"/>
                <w:szCs w:val="18"/>
              </w:rPr>
            </w:pPr>
            <w:r w:rsidRPr="00A9330B">
              <w:rPr>
                <w:rFonts w:cs="Arial"/>
                <w:sz w:val="18"/>
                <w:szCs w:val="18"/>
              </w:rPr>
              <w:t xml:space="preserve">Matériel ou matériaux accidentellement déversés sur les ouvriers ou un tiers pouvant entrainer l’étouffement, des blessures, fractures, traumatismes </w:t>
            </w:r>
          </w:p>
        </w:tc>
        <w:tc>
          <w:tcPr>
            <w:tcW w:w="1276" w:type="dxa"/>
          </w:tcPr>
          <w:p w14:paraId="2C56E66F" w14:textId="77777777" w:rsidR="00401546" w:rsidRPr="00A9330B" w:rsidRDefault="00401546" w:rsidP="00401546">
            <w:pPr>
              <w:spacing w:line="240" w:lineRule="auto"/>
              <w:rPr>
                <w:rFonts w:cs="Arial"/>
                <w:sz w:val="18"/>
                <w:szCs w:val="18"/>
              </w:rPr>
            </w:pPr>
            <w:r w:rsidRPr="00A9330B">
              <w:rPr>
                <w:rFonts w:cs="Arial"/>
                <w:sz w:val="18"/>
                <w:szCs w:val="18"/>
              </w:rPr>
              <w:t>3</w:t>
            </w:r>
          </w:p>
        </w:tc>
        <w:tc>
          <w:tcPr>
            <w:tcW w:w="851" w:type="dxa"/>
          </w:tcPr>
          <w:p w14:paraId="1CD2EDD8" w14:textId="77777777" w:rsidR="00401546" w:rsidRPr="00A9330B" w:rsidRDefault="00401546" w:rsidP="00401546">
            <w:pPr>
              <w:spacing w:line="240" w:lineRule="auto"/>
              <w:rPr>
                <w:rFonts w:cs="Arial"/>
                <w:sz w:val="18"/>
                <w:szCs w:val="18"/>
              </w:rPr>
            </w:pPr>
            <w:r w:rsidRPr="00A9330B">
              <w:rPr>
                <w:rFonts w:cs="Arial"/>
                <w:sz w:val="18"/>
                <w:szCs w:val="18"/>
              </w:rPr>
              <w:t>2</w:t>
            </w:r>
          </w:p>
        </w:tc>
        <w:tc>
          <w:tcPr>
            <w:tcW w:w="850" w:type="dxa"/>
            <w:shd w:val="clear" w:color="auto" w:fill="FFFF00"/>
          </w:tcPr>
          <w:p w14:paraId="62FB2FD0" w14:textId="77777777" w:rsidR="00401546" w:rsidRPr="00A9330B" w:rsidRDefault="00401546" w:rsidP="00401546">
            <w:pPr>
              <w:spacing w:line="240" w:lineRule="auto"/>
              <w:rPr>
                <w:rFonts w:cs="Arial"/>
                <w:sz w:val="18"/>
                <w:szCs w:val="18"/>
              </w:rPr>
            </w:pPr>
          </w:p>
        </w:tc>
      </w:tr>
      <w:tr w:rsidR="00401546" w:rsidRPr="00A9330B" w14:paraId="05FB0F39" w14:textId="77777777" w:rsidTr="00401546">
        <w:trPr>
          <w:jc w:val="center"/>
        </w:trPr>
        <w:tc>
          <w:tcPr>
            <w:tcW w:w="486" w:type="dxa"/>
          </w:tcPr>
          <w:p w14:paraId="402CD1C6" w14:textId="77777777" w:rsidR="00401546" w:rsidRPr="00A9330B" w:rsidRDefault="00401546" w:rsidP="00401546">
            <w:pPr>
              <w:spacing w:line="240" w:lineRule="auto"/>
              <w:rPr>
                <w:rFonts w:cs="Arial"/>
                <w:sz w:val="18"/>
                <w:szCs w:val="18"/>
              </w:rPr>
            </w:pPr>
            <w:r w:rsidRPr="00A9330B">
              <w:rPr>
                <w:rFonts w:cs="Arial"/>
                <w:sz w:val="18"/>
                <w:szCs w:val="18"/>
              </w:rPr>
              <w:t>3</w:t>
            </w:r>
          </w:p>
        </w:tc>
        <w:tc>
          <w:tcPr>
            <w:tcW w:w="2486" w:type="dxa"/>
          </w:tcPr>
          <w:p w14:paraId="12787F82" w14:textId="77777777" w:rsidR="00401546" w:rsidRPr="00A9330B" w:rsidRDefault="00401546" w:rsidP="000F7BA7">
            <w:pPr>
              <w:spacing w:line="240" w:lineRule="auto"/>
              <w:jc w:val="both"/>
              <w:rPr>
                <w:rFonts w:cs="Arial"/>
                <w:sz w:val="18"/>
                <w:szCs w:val="18"/>
              </w:rPr>
            </w:pPr>
            <w:r w:rsidRPr="00A9330B">
              <w:rPr>
                <w:rFonts w:cs="Arial"/>
                <w:sz w:val="18"/>
                <w:szCs w:val="18"/>
              </w:rPr>
              <w:t xml:space="preserve">Instabilité des fouilles </w:t>
            </w:r>
          </w:p>
        </w:tc>
        <w:tc>
          <w:tcPr>
            <w:tcW w:w="3260" w:type="dxa"/>
          </w:tcPr>
          <w:p w14:paraId="33C06B41" w14:textId="7F99B4BD" w:rsidR="00401546" w:rsidRPr="00A9330B" w:rsidRDefault="00401546" w:rsidP="000F7BA7">
            <w:pPr>
              <w:spacing w:line="240" w:lineRule="auto"/>
              <w:jc w:val="both"/>
              <w:rPr>
                <w:rFonts w:cs="Arial"/>
                <w:sz w:val="18"/>
                <w:szCs w:val="18"/>
              </w:rPr>
            </w:pPr>
            <w:r w:rsidRPr="00A9330B">
              <w:rPr>
                <w:rFonts w:cs="Arial"/>
                <w:sz w:val="18"/>
                <w:szCs w:val="18"/>
              </w:rPr>
              <w:t>Eboulements de fouilles pouvant entrainer l’étouffement, des blessures,</w:t>
            </w:r>
            <w:r w:rsidR="00BE2B0F" w:rsidRPr="00A9330B">
              <w:rPr>
                <w:rFonts w:cs="Arial"/>
                <w:sz w:val="18"/>
                <w:szCs w:val="18"/>
              </w:rPr>
              <w:t xml:space="preserve"> des </w:t>
            </w:r>
            <w:r w:rsidRPr="00A9330B">
              <w:rPr>
                <w:rFonts w:cs="Arial"/>
                <w:sz w:val="18"/>
                <w:szCs w:val="18"/>
              </w:rPr>
              <w:t xml:space="preserve"> fractures, </w:t>
            </w:r>
            <w:r w:rsidR="00BE2B0F" w:rsidRPr="00A9330B">
              <w:rPr>
                <w:rFonts w:cs="Arial"/>
                <w:sz w:val="18"/>
                <w:szCs w:val="18"/>
              </w:rPr>
              <w:t xml:space="preserve">un </w:t>
            </w:r>
            <w:r w:rsidRPr="00A9330B">
              <w:rPr>
                <w:rFonts w:cs="Arial"/>
                <w:sz w:val="18"/>
                <w:szCs w:val="18"/>
              </w:rPr>
              <w:t xml:space="preserve">traumatisme  </w:t>
            </w:r>
          </w:p>
        </w:tc>
        <w:tc>
          <w:tcPr>
            <w:tcW w:w="1276" w:type="dxa"/>
          </w:tcPr>
          <w:p w14:paraId="77DF6BF6" w14:textId="77777777" w:rsidR="00401546" w:rsidRPr="00A9330B" w:rsidRDefault="00401546" w:rsidP="00401546">
            <w:pPr>
              <w:spacing w:line="240" w:lineRule="auto"/>
              <w:rPr>
                <w:rFonts w:cs="Arial"/>
                <w:sz w:val="18"/>
                <w:szCs w:val="18"/>
              </w:rPr>
            </w:pPr>
            <w:r w:rsidRPr="00A9330B">
              <w:rPr>
                <w:rFonts w:cs="Arial"/>
                <w:sz w:val="18"/>
                <w:szCs w:val="18"/>
              </w:rPr>
              <w:t>3</w:t>
            </w:r>
          </w:p>
        </w:tc>
        <w:tc>
          <w:tcPr>
            <w:tcW w:w="851" w:type="dxa"/>
          </w:tcPr>
          <w:p w14:paraId="513DA3EB" w14:textId="77777777" w:rsidR="00401546" w:rsidRPr="00A9330B" w:rsidRDefault="00401546" w:rsidP="00401546">
            <w:pPr>
              <w:spacing w:line="240" w:lineRule="auto"/>
              <w:rPr>
                <w:rFonts w:cs="Arial"/>
                <w:sz w:val="18"/>
                <w:szCs w:val="18"/>
              </w:rPr>
            </w:pPr>
            <w:r w:rsidRPr="00A9330B">
              <w:rPr>
                <w:rFonts w:cs="Arial"/>
                <w:sz w:val="18"/>
                <w:szCs w:val="18"/>
              </w:rPr>
              <w:t>3</w:t>
            </w:r>
          </w:p>
        </w:tc>
        <w:tc>
          <w:tcPr>
            <w:tcW w:w="850" w:type="dxa"/>
            <w:shd w:val="clear" w:color="auto" w:fill="FF0000"/>
          </w:tcPr>
          <w:p w14:paraId="44C64969" w14:textId="77777777" w:rsidR="00401546" w:rsidRPr="00A9330B" w:rsidRDefault="00401546" w:rsidP="00401546">
            <w:pPr>
              <w:spacing w:line="240" w:lineRule="auto"/>
              <w:rPr>
                <w:rFonts w:cs="Arial"/>
                <w:sz w:val="18"/>
                <w:szCs w:val="18"/>
              </w:rPr>
            </w:pPr>
          </w:p>
        </w:tc>
      </w:tr>
      <w:tr w:rsidR="00401546" w:rsidRPr="00A9330B" w14:paraId="2642FB06" w14:textId="77777777" w:rsidTr="00401546">
        <w:trPr>
          <w:jc w:val="center"/>
        </w:trPr>
        <w:tc>
          <w:tcPr>
            <w:tcW w:w="486" w:type="dxa"/>
          </w:tcPr>
          <w:p w14:paraId="0B83BB87" w14:textId="77777777" w:rsidR="00401546" w:rsidRPr="00A9330B" w:rsidRDefault="00401546" w:rsidP="00401546">
            <w:pPr>
              <w:spacing w:line="240" w:lineRule="auto"/>
              <w:rPr>
                <w:rFonts w:cs="Arial"/>
                <w:sz w:val="18"/>
                <w:szCs w:val="18"/>
              </w:rPr>
            </w:pPr>
            <w:r w:rsidRPr="00A9330B">
              <w:rPr>
                <w:rFonts w:cs="Arial"/>
                <w:sz w:val="18"/>
                <w:szCs w:val="18"/>
              </w:rPr>
              <w:t>4</w:t>
            </w:r>
          </w:p>
        </w:tc>
        <w:tc>
          <w:tcPr>
            <w:tcW w:w="2486" w:type="dxa"/>
          </w:tcPr>
          <w:p w14:paraId="57BDD7E6" w14:textId="77777777" w:rsidR="00401546" w:rsidRPr="00A9330B" w:rsidRDefault="00401546" w:rsidP="000F7BA7">
            <w:pPr>
              <w:spacing w:line="240" w:lineRule="auto"/>
              <w:jc w:val="both"/>
              <w:rPr>
                <w:rFonts w:cs="Arial"/>
                <w:sz w:val="18"/>
                <w:szCs w:val="18"/>
              </w:rPr>
            </w:pPr>
            <w:r w:rsidRPr="00A9330B">
              <w:rPr>
                <w:rFonts w:cs="Arial"/>
                <w:sz w:val="18"/>
                <w:szCs w:val="18"/>
              </w:rPr>
              <w:t xml:space="preserve">Absence ou inefficacité des protections collectives et individuelles </w:t>
            </w:r>
          </w:p>
        </w:tc>
        <w:tc>
          <w:tcPr>
            <w:tcW w:w="3260" w:type="dxa"/>
          </w:tcPr>
          <w:p w14:paraId="291072B0" w14:textId="77777777" w:rsidR="00401546" w:rsidRPr="00A9330B" w:rsidRDefault="00401546" w:rsidP="000F7BA7">
            <w:pPr>
              <w:spacing w:line="240" w:lineRule="auto"/>
              <w:jc w:val="both"/>
              <w:rPr>
                <w:rFonts w:cs="Arial"/>
                <w:sz w:val="18"/>
                <w:szCs w:val="18"/>
              </w:rPr>
            </w:pPr>
            <w:r w:rsidRPr="00A9330B">
              <w:rPr>
                <w:rFonts w:cs="Arial"/>
                <w:sz w:val="18"/>
                <w:szCs w:val="18"/>
              </w:rPr>
              <w:t xml:space="preserve">Vulnérabilité des ouvriers vis-à-vis de blessures, fractures, traumatismes </w:t>
            </w:r>
          </w:p>
        </w:tc>
        <w:tc>
          <w:tcPr>
            <w:tcW w:w="1276" w:type="dxa"/>
          </w:tcPr>
          <w:p w14:paraId="770CA57F" w14:textId="77777777" w:rsidR="00401546" w:rsidRPr="00A9330B" w:rsidRDefault="00401546" w:rsidP="00401546">
            <w:pPr>
              <w:spacing w:line="240" w:lineRule="auto"/>
              <w:rPr>
                <w:rFonts w:cs="Arial"/>
                <w:sz w:val="18"/>
                <w:szCs w:val="18"/>
              </w:rPr>
            </w:pPr>
            <w:r w:rsidRPr="00A9330B">
              <w:rPr>
                <w:rFonts w:cs="Arial"/>
                <w:sz w:val="18"/>
                <w:szCs w:val="18"/>
              </w:rPr>
              <w:t>3</w:t>
            </w:r>
          </w:p>
        </w:tc>
        <w:tc>
          <w:tcPr>
            <w:tcW w:w="851" w:type="dxa"/>
          </w:tcPr>
          <w:p w14:paraId="3B35F7FE" w14:textId="77777777" w:rsidR="00401546" w:rsidRPr="00A9330B" w:rsidRDefault="00401546" w:rsidP="00401546">
            <w:pPr>
              <w:spacing w:line="240" w:lineRule="auto"/>
              <w:rPr>
                <w:rFonts w:cs="Arial"/>
                <w:sz w:val="18"/>
                <w:szCs w:val="18"/>
              </w:rPr>
            </w:pPr>
            <w:r w:rsidRPr="00A9330B">
              <w:rPr>
                <w:rFonts w:cs="Arial"/>
                <w:sz w:val="18"/>
                <w:szCs w:val="18"/>
              </w:rPr>
              <w:t>3</w:t>
            </w:r>
          </w:p>
        </w:tc>
        <w:tc>
          <w:tcPr>
            <w:tcW w:w="850" w:type="dxa"/>
            <w:shd w:val="clear" w:color="auto" w:fill="FF0000"/>
          </w:tcPr>
          <w:p w14:paraId="207792AF" w14:textId="77777777" w:rsidR="00401546" w:rsidRPr="00A9330B" w:rsidRDefault="00401546" w:rsidP="00401546">
            <w:pPr>
              <w:spacing w:line="240" w:lineRule="auto"/>
              <w:rPr>
                <w:rFonts w:cs="Arial"/>
                <w:sz w:val="18"/>
                <w:szCs w:val="18"/>
              </w:rPr>
            </w:pPr>
          </w:p>
        </w:tc>
      </w:tr>
      <w:tr w:rsidR="00401546" w:rsidRPr="00A9330B" w14:paraId="5AABF022" w14:textId="77777777" w:rsidTr="00401546">
        <w:trPr>
          <w:jc w:val="center"/>
        </w:trPr>
        <w:tc>
          <w:tcPr>
            <w:tcW w:w="486" w:type="dxa"/>
          </w:tcPr>
          <w:p w14:paraId="72A4D88A" w14:textId="77777777" w:rsidR="00401546" w:rsidRPr="00A9330B" w:rsidRDefault="00401546" w:rsidP="00401546">
            <w:pPr>
              <w:spacing w:line="240" w:lineRule="auto"/>
              <w:rPr>
                <w:rFonts w:cs="Arial"/>
                <w:sz w:val="18"/>
                <w:szCs w:val="18"/>
              </w:rPr>
            </w:pPr>
            <w:r w:rsidRPr="00A9330B">
              <w:rPr>
                <w:rFonts w:cs="Arial"/>
                <w:sz w:val="18"/>
                <w:szCs w:val="18"/>
              </w:rPr>
              <w:t>5</w:t>
            </w:r>
          </w:p>
        </w:tc>
        <w:tc>
          <w:tcPr>
            <w:tcW w:w="2486" w:type="dxa"/>
          </w:tcPr>
          <w:p w14:paraId="39140B49" w14:textId="1796C4FC" w:rsidR="00401546" w:rsidRPr="00A9330B" w:rsidRDefault="00401546" w:rsidP="000F7BA7">
            <w:pPr>
              <w:spacing w:line="240" w:lineRule="auto"/>
              <w:jc w:val="both"/>
              <w:rPr>
                <w:rFonts w:cs="Arial"/>
                <w:sz w:val="18"/>
                <w:szCs w:val="18"/>
              </w:rPr>
            </w:pPr>
            <w:r w:rsidRPr="00A9330B">
              <w:rPr>
                <w:rFonts w:cs="Arial"/>
                <w:sz w:val="18"/>
                <w:szCs w:val="18"/>
              </w:rPr>
              <w:t>Durée du travail excessive et accès</w:t>
            </w:r>
            <w:r w:rsidR="00BE2B0F" w:rsidRPr="00A9330B">
              <w:rPr>
                <w:rFonts w:cs="Arial"/>
                <w:sz w:val="18"/>
                <w:szCs w:val="18"/>
              </w:rPr>
              <w:t xml:space="preserve"> inadapté</w:t>
            </w:r>
            <w:r w:rsidRPr="00A9330B">
              <w:rPr>
                <w:rFonts w:cs="Arial"/>
                <w:sz w:val="18"/>
                <w:szCs w:val="18"/>
              </w:rPr>
              <w:t xml:space="preserve"> à l’eau et l’hygiène  </w:t>
            </w:r>
          </w:p>
        </w:tc>
        <w:tc>
          <w:tcPr>
            <w:tcW w:w="3260" w:type="dxa"/>
          </w:tcPr>
          <w:p w14:paraId="5101D1C0" w14:textId="0C993A67" w:rsidR="00401546" w:rsidRPr="00A9330B" w:rsidRDefault="00401546" w:rsidP="000F7BA7">
            <w:pPr>
              <w:spacing w:line="240" w:lineRule="auto"/>
              <w:jc w:val="both"/>
              <w:rPr>
                <w:rFonts w:cs="Arial"/>
                <w:sz w:val="18"/>
                <w:szCs w:val="18"/>
              </w:rPr>
            </w:pPr>
            <w:r w:rsidRPr="00A9330B">
              <w:rPr>
                <w:rFonts w:cs="Arial"/>
                <w:sz w:val="18"/>
                <w:szCs w:val="18"/>
              </w:rPr>
              <w:t>Exposition à la chaleur ou au soleil et fatigue excessive à l’origine d’insolation,</w:t>
            </w:r>
            <w:r w:rsidR="00BE2B0F" w:rsidRPr="00A9330B">
              <w:rPr>
                <w:rFonts w:cs="Arial"/>
                <w:sz w:val="18"/>
                <w:szCs w:val="18"/>
              </w:rPr>
              <w:t xml:space="preserve"> </w:t>
            </w:r>
            <w:r w:rsidRPr="00A9330B">
              <w:rPr>
                <w:rFonts w:cs="Arial"/>
                <w:sz w:val="18"/>
                <w:szCs w:val="18"/>
              </w:rPr>
              <w:t xml:space="preserve">déshydratation, désordres métaboliques, trouble de l’attention  </w:t>
            </w:r>
          </w:p>
        </w:tc>
        <w:tc>
          <w:tcPr>
            <w:tcW w:w="1276" w:type="dxa"/>
          </w:tcPr>
          <w:p w14:paraId="4DD8919C" w14:textId="77777777" w:rsidR="00401546" w:rsidRPr="00A9330B" w:rsidRDefault="00401546" w:rsidP="00401546">
            <w:pPr>
              <w:spacing w:line="240" w:lineRule="auto"/>
              <w:rPr>
                <w:rFonts w:cs="Arial"/>
                <w:sz w:val="18"/>
                <w:szCs w:val="18"/>
              </w:rPr>
            </w:pPr>
            <w:r w:rsidRPr="00A9330B">
              <w:rPr>
                <w:rFonts w:cs="Arial"/>
                <w:sz w:val="18"/>
                <w:szCs w:val="18"/>
              </w:rPr>
              <w:t>2</w:t>
            </w:r>
          </w:p>
        </w:tc>
        <w:tc>
          <w:tcPr>
            <w:tcW w:w="851" w:type="dxa"/>
          </w:tcPr>
          <w:p w14:paraId="0856E5DE" w14:textId="77777777" w:rsidR="00401546" w:rsidRPr="00A9330B" w:rsidRDefault="00401546" w:rsidP="00401546">
            <w:pPr>
              <w:spacing w:line="240" w:lineRule="auto"/>
              <w:rPr>
                <w:rFonts w:cs="Arial"/>
                <w:sz w:val="18"/>
                <w:szCs w:val="18"/>
              </w:rPr>
            </w:pPr>
            <w:r w:rsidRPr="00A9330B">
              <w:rPr>
                <w:rFonts w:cs="Arial"/>
                <w:sz w:val="18"/>
                <w:szCs w:val="18"/>
              </w:rPr>
              <w:t>2</w:t>
            </w:r>
          </w:p>
        </w:tc>
        <w:tc>
          <w:tcPr>
            <w:tcW w:w="850" w:type="dxa"/>
            <w:shd w:val="clear" w:color="auto" w:fill="FFFF00"/>
          </w:tcPr>
          <w:p w14:paraId="08BD211C" w14:textId="77777777" w:rsidR="00401546" w:rsidRPr="00A9330B" w:rsidRDefault="00401546" w:rsidP="00401546">
            <w:pPr>
              <w:spacing w:line="240" w:lineRule="auto"/>
              <w:rPr>
                <w:rFonts w:cs="Arial"/>
                <w:sz w:val="18"/>
                <w:szCs w:val="18"/>
              </w:rPr>
            </w:pPr>
          </w:p>
        </w:tc>
      </w:tr>
      <w:tr w:rsidR="00401546" w:rsidRPr="00A9330B" w14:paraId="0500952F" w14:textId="77777777" w:rsidTr="00401546">
        <w:trPr>
          <w:jc w:val="center"/>
        </w:trPr>
        <w:tc>
          <w:tcPr>
            <w:tcW w:w="486" w:type="dxa"/>
          </w:tcPr>
          <w:p w14:paraId="112834B3" w14:textId="77777777" w:rsidR="00401546" w:rsidRPr="00A9330B" w:rsidRDefault="00401546" w:rsidP="00401546">
            <w:pPr>
              <w:spacing w:line="240" w:lineRule="auto"/>
              <w:rPr>
                <w:rFonts w:cs="Arial"/>
                <w:sz w:val="18"/>
                <w:szCs w:val="18"/>
              </w:rPr>
            </w:pPr>
            <w:r w:rsidRPr="00A9330B">
              <w:rPr>
                <w:rFonts w:cs="Arial"/>
                <w:sz w:val="18"/>
                <w:szCs w:val="18"/>
              </w:rPr>
              <w:t>6</w:t>
            </w:r>
          </w:p>
        </w:tc>
        <w:tc>
          <w:tcPr>
            <w:tcW w:w="2486" w:type="dxa"/>
          </w:tcPr>
          <w:p w14:paraId="4E7A8387" w14:textId="6D624287" w:rsidR="00401546" w:rsidRPr="00A9330B" w:rsidRDefault="00401546" w:rsidP="000F7BA7">
            <w:pPr>
              <w:spacing w:line="240" w:lineRule="auto"/>
              <w:jc w:val="both"/>
              <w:rPr>
                <w:rFonts w:cs="Arial"/>
                <w:sz w:val="18"/>
                <w:szCs w:val="18"/>
              </w:rPr>
            </w:pPr>
            <w:r w:rsidRPr="00A9330B">
              <w:rPr>
                <w:rFonts w:cs="Arial"/>
                <w:sz w:val="18"/>
                <w:szCs w:val="18"/>
              </w:rPr>
              <w:t>Manutention manuelle de pavé et levage  de matériau et de matériel</w:t>
            </w:r>
          </w:p>
        </w:tc>
        <w:tc>
          <w:tcPr>
            <w:tcW w:w="3260" w:type="dxa"/>
          </w:tcPr>
          <w:p w14:paraId="4D14BD57" w14:textId="77777777" w:rsidR="00401546" w:rsidRPr="00A9330B" w:rsidRDefault="00401546" w:rsidP="000F7BA7">
            <w:pPr>
              <w:spacing w:line="240" w:lineRule="auto"/>
              <w:jc w:val="both"/>
              <w:rPr>
                <w:rFonts w:cs="Arial"/>
                <w:sz w:val="18"/>
                <w:szCs w:val="18"/>
              </w:rPr>
            </w:pPr>
            <w:r w:rsidRPr="00A9330B">
              <w:rPr>
                <w:rFonts w:cs="Arial"/>
                <w:sz w:val="18"/>
                <w:szCs w:val="18"/>
              </w:rPr>
              <w:t>Traumatismes  lombaires, projections, blessures, lésions, accidents, etc.</w:t>
            </w:r>
          </w:p>
        </w:tc>
        <w:tc>
          <w:tcPr>
            <w:tcW w:w="1276" w:type="dxa"/>
          </w:tcPr>
          <w:p w14:paraId="2FB090A4" w14:textId="77777777" w:rsidR="00401546" w:rsidRPr="00A9330B" w:rsidRDefault="00401546" w:rsidP="00401546">
            <w:pPr>
              <w:spacing w:line="240" w:lineRule="auto"/>
              <w:rPr>
                <w:rFonts w:cs="Arial"/>
                <w:sz w:val="18"/>
                <w:szCs w:val="18"/>
              </w:rPr>
            </w:pPr>
            <w:r w:rsidRPr="00A9330B">
              <w:rPr>
                <w:rFonts w:cs="Arial"/>
                <w:sz w:val="18"/>
                <w:szCs w:val="18"/>
              </w:rPr>
              <w:t>2</w:t>
            </w:r>
          </w:p>
        </w:tc>
        <w:tc>
          <w:tcPr>
            <w:tcW w:w="851" w:type="dxa"/>
          </w:tcPr>
          <w:p w14:paraId="23A9BBD9" w14:textId="77777777" w:rsidR="00401546" w:rsidRPr="00A9330B" w:rsidRDefault="00401546" w:rsidP="00401546">
            <w:pPr>
              <w:spacing w:line="240" w:lineRule="auto"/>
              <w:rPr>
                <w:rFonts w:cs="Arial"/>
                <w:sz w:val="18"/>
                <w:szCs w:val="18"/>
              </w:rPr>
            </w:pPr>
            <w:r w:rsidRPr="00A9330B">
              <w:rPr>
                <w:rFonts w:cs="Arial"/>
                <w:sz w:val="18"/>
                <w:szCs w:val="18"/>
              </w:rPr>
              <w:t>3</w:t>
            </w:r>
          </w:p>
        </w:tc>
        <w:tc>
          <w:tcPr>
            <w:tcW w:w="850" w:type="dxa"/>
            <w:shd w:val="clear" w:color="auto" w:fill="FFFF00"/>
          </w:tcPr>
          <w:p w14:paraId="41982642" w14:textId="77777777" w:rsidR="00401546" w:rsidRPr="00A9330B" w:rsidRDefault="00401546" w:rsidP="00401546">
            <w:pPr>
              <w:spacing w:line="240" w:lineRule="auto"/>
              <w:rPr>
                <w:rFonts w:cs="Arial"/>
                <w:sz w:val="18"/>
                <w:szCs w:val="18"/>
              </w:rPr>
            </w:pPr>
          </w:p>
        </w:tc>
      </w:tr>
      <w:tr w:rsidR="00401546" w:rsidRPr="00A9330B" w14:paraId="6E3F3A7B" w14:textId="77777777" w:rsidTr="00401546">
        <w:trPr>
          <w:jc w:val="center"/>
        </w:trPr>
        <w:tc>
          <w:tcPr>
            <w:tcW w:w="486" w:type="dxa"/>
          </w:tcPr>
          <w:p w14:paraId="0267F270" w14:textId="77777777" w:rsidR="00401546" w:rsidRPr="00A9330B" w:rsidRDefault="00401546" w:rsidP="00401546">
            <w:pPr>
              <w:spacing w:line="240" w:lineRule="auto"/>
              <w:rPr>
                <w:rFonts w:cs="Arial"/>
                <w:sz w:val="18"/>
                <w:szCs w:val="18"/>
              </w:rPr>
            </w:pPr>
            <w:r w:rsidRPr="00A9330B">
              <w:rPr>
                <w:rFonts w:cs="Arial"/>
                <w:sz w:val="18"/>
                <w:szCs w:val="18"/>
              </w:rPr>
              <w:t>7</w:t>
            </w:r>
          </w:p>
        </w:tc>
        <w:tc>
          <w:tcPr>
            <w:tcW w:w="2486" w:type="dxa"/>
          </w:tcPr>
          <w:p w14:paraId="68CC554D" w14:textId="77777777" w:rsidR="00401546" w:rsidRPr="00A9330B" w:rsidRDefault="00401546" w:rsidP="000F7BA7">
            <w:pPr>
              <w:spacing w:line="240" w:lineRule="auto"/>
              <w:jc w:val="both"/>
              <w:rPr>
                <w:rFonts w:cs="Arial"/>
                <w:sz w:val="18"/>
                <w:szCs w:val="18"/>
              </w:rPr>
            </w:pPr>
            <w:r w:rsidRPr="00A9330B">
              <w:rPr>
                <w:rFonts w:cs="Arial"/>
                <w:sz w:val="18"/>
                <w:szCs w:val="18"/>
              </w:rPr>
              <w:t>Canalisations ou câbles électriques enterrés identifiés ou non (mauvais fourreautage, traversée de canalisations, etc.)</w:t>
            </w:r>
          </w:p>
        </w:tc>
        <w:tc>
          <w:tcPr>
            <w:tcW w:w="3260" w:type="dxa"/>
          </w:tcPr>
          <w:p w14:paraId="01F16809" w14:textId="460BCA03" w:rsidR="00401546" w:rsidRPr="00A9330B" w:rsidRDefault="00401546" w:rsidP="000F7BA7">
            <w:pPr>
              <w:spacing w:line="240" w:lineRule="auto"/>
              <w:jc w:val="both"/>
              <w:rPr>
                <w:rFonts w:cs="Arial"/>
                <w:sz w:val="18"/>
                <w:szCs w:val="18"/>
              </w:rPr>
            </w:pPr>
            <w:r w:rsidRPr="00A9330B">
              <w:rPr>
                <w:rFonts w:cs="Arial"/>
                <w:sz w:val="18"/>
                <w:szCs w:val="18"/>
              </w:rPr>
              <w:t>Rupture de canalisations ou de câbles pouvant entrainer une électrisation,</w:t>
            </w:r>
            <w:r w:rsidR="00BE2B0F" w:rsidRPr="00A9330B">
              <w:rPr>
                <w:rFonts w:cs="Arial"/>
                <w:sz w:val="18"/>
                <w:szCs w:val="18"/>
              </w:rPr>
              <w:t xml:space="preserve"> des </w:t>
            </w:r>
            <w:r w:rsidRPr="00A9330B">
              <w:rPr>
                <w:rFonts w:cs="Arial"/>
                <w:sz w:val="18"/>
                <w:szCs w:val="18"/>
              </w:rPr>
              <w:t xml:space="preserve"> projections, des blessures ou des lésions </w:t>
            </w:r>
          </w:p>
        </w:tc>
        <w:tc>
          <w:tcPr>
            <w:tcW w:w="1276" w:type="dxa"/>
          </w:tcPr>
          <w:p w14:paraId="2530CB75" w14:textId="77777777" w:rsidR="00401546" w:rsidRPr="00A9330B" w:rsidRDefault="00401546" w:rsidP="00401546">
            <w:pPr>
              <w:spacing w:line="240" w:lineRule="auto"/>
              <w:rPr>
                <w:rFonts w:cs="Arial"/>
                <w:sz w:val="18"/>
                <w:szCs w:val="18"/>
              </w:rPr>
            </w:pPr>
            <w:r w:rsidRPr="00A9330B">
              <w:rPr>
                <w:rFonts w:cs="Arial"/>
                <w:sz w:val="18"/>
                <w:szCs w:val="18"/>
              </w:rPr>
              <w:t>3</w:t>
            </w:r>
          </w:p>
        </w:tc>
        <w:tc>
          <w:tcPr>
            <w:tcW w:w="851" w:type="dxa"/>
          </w:tcPr>
          <w:p w14:paraId="5BFA0519" w14:textId="77777777" w:rsidR="00401546" w:rsidRPr="00A9330B" w:rsidRDefault="00401546" w:rsidP="00401546">
            <w:pPr>
              <w:spacing w:line="240" w:lineRule="auto"/>
              <w:rPr>
                <w:rFonts w:cs="Arial"/>
                <w:sz w:val="18"/>
                <w:szCs w:val="18"/>
              </w:rPr>
            </w:pPr>
            <w:r w:rsidRPr="00A9330B">
              <w:rPr>
                <w:rFonts w:cs="Arial"/>
                <w:sz w:val="18"/>
                <w:szCs w:val="18"/>
              </w:rPr>
              <w:t>3</w:t>
            </w:r>
          </w:p>
        </w:tc>
        <w:tc>
          <w:tcPr>
            <w:tcW w:w="850" w:type="dxa"/>
            <w:shd w:val="clear" w:color="auto" w:fill="FF0000"/>
          </w:tcPr>
          <w:p w14:paraId="21A26667" w14:textId="77777777" w:rsidR="00401546" w:rsidRPr="00A9330B" w:rsidRDefault="00401546" w:rsidP="00401546">
            <w:pPr>
              <w:spacing w:line="240" w:lineRule="auto"/>
              <w:rPr>
                <w:rFonts w:cs="Arial"/>
                <w:color w:val="FF0000"/>
                <w:sz w:val="18"/>
                <w:szCs w:val="18"/>
              </w:rPr>
            </w:pPr>
          </w:p>
        </w:tc>
      </w:tr>
      <w:tr w:rsidR="00401546" w:rsidRPr="00A9330B" w14:paraId="1D58D73D" w14:textId="77777777" w:rsidTr="00401546">
        <w:trPr>
          <w:jc w:val="center"/>
        </w:trPr>
        <w:tc>
          <w:tcPr>
            <w:tcW w:w="486" w:type="dxa"/>
          </w:tcPr>
          <w:p w14:paraId="0AB38250" w14:textId="77777777" w:rsidR="00401546" w:rsidRPr="00A9330B" w:rsidRDefault="00401546" w:rsidP="00401546">
            <w:pPr>
              <w:spacing w:line="240" w:lineRule="auto"/>
              <w:rPr>
                <w:rFonts w:cs="Arial"/>
                <w:sz w:val="18"/>
                <w:szCs w:val="18"/>
              </w:rPr>
            </w:pPr>
            <w:r w:rsidRPr="00A9330B">
              <w:rPr>
                <w:rFonts w:cs="Arial"/>
                <w:sz w:val="18"/>
                <w:szCs w:val="18"/>
              </w:rPr>
              <w:t>8</w:t>
            </w:r>
          </w:p>
        </w:tc>
        <w:tc>
          <w:tcPr>
            <w:tcW w:w="2486" w:type="dxa"/>
          </w:tcPr>
          <w:p w14:paraId="239AF3D5" w14:textId="77777777" w:rsidR="00401546" w:rsidRPr="00A9330B" w:rsidRDefault="00401546" w:rsidP="000F7BA7">
            <w:pPr>
              <w:spacing w:line="240" w:lineRule="auto"/>
              <w:jc w:val="both"/>
              <w:rPr>
                <w:rFonts w:cs="Arial"/>
                <w:sz w:val="18"/>
                <w:szCs w:val="18"/>
              </w:rPr>
            </w:pPr>
            <w:r w:rsidRPr="00A9330B">
              <w:rPr>
                <w:rFonts w:cs="Arial"/>
                <w:sz w:val="18"/>
                <w:szCs w:val="18"/>
              </w:rPr>
              <w:t xml:space="preserve">Manutention et pelletage manuels, gestes répétitifs ou utilisation excessive de machines vibrantes </w:t>
            </w:r>
          </w:p>
        </w:tc>
        <w:tc>
          <w:tcPr>
            <w:tcW w:w="3260" w:type="dxa"/>
          </w:tcPr>
          <w:p w14:paraId="0A88F1C6" w14:textId="77777777" w:rsidR="00401546" w:rsidRPr="00A9330B" w:rsidRDefault="00401546" w:rsidP="000F7BA7">
            <w:pPr>
              <w:spacing w:line="240" w:lineRule="auto"/>
              <w:jc w:val="both"/>
              <w:rPr>
                <w:rFonts w:cs="Arial"/>
                <w:sz w:val="18"/>
                <w:szCs w:val="18"/>
              </w:rPr>
            </w:pPr>
            <w:r w:rsidRPr="00A9330B">
              <w:rPr>
                <w:rFonts w:cs="Arial"/>
                <w:sz w:val="18"/>
                <w:szCs w:val="18"/>
              </w:rPr>
              <w:t xml:space="preserve">Apparition de troubles musculo-squelettiques  </w:t>
            </w:r>
          </w:p>
        </w:tc>
        <w:tc>
          <w:tcPr>
            <w:tcW w:w="1276" w:type="dxa"/>
          </w:tcPr>
          <w:p w14:paraId="42AFDFAB" w14:textId="77777777" w:rsidR="00401546" w:rsidRPr="00A9330B" w:rsidRDefault="00401546" w:rsidP="00401546">
            <w:pPr>
              <w:spacing w:line="240" w:lineRule="auto"/>
              <w:rPr>
                <w:rFonts w:cs="Arial"/>
                <w:sz w:val="18"/>
                <w:szCs w:val="18"/>
              </w:rPr>
            </w:pPr>
            <w:r w:rsidRPr="00A9330B">
              <w:rPr>
                <w:rFonts w:cs="Arial"/>
                <w:sz w:val="18"/>
                <w:szCs w:val="18"/>
              </w:rPr>
              <w:t>3</w:t>
            </w:r>
          </w:p>
        </w:tc>
        <w:tc>
          <w:tcPr>
            <w:tcW w:w="851" w:type="dxa"/>
          </w:tcPr>
          <w:p w14:paraId="70247970" w14:textId="77777777" w:rsidR="00401546" w:rsidRPr="00A9330B" w:rsidRDefault="00401546" w:rsidP="00401546">
            <w:pPr>
              <w:spacing w:line="240" w:lineRule="auto"/>
              <w:rPr>
                <w:rFonts w:cs="Arial"/>
                <w:sz w:val="18"/>
                <w:szCs w:val="18"/>
              </w:rPr>
            </w:pPr>
            <w:r w:rsidRPr="00A9330B">
              <w:rPr>
                <w:rFonts w:cs="Arial"/>
                <w:sz w:val="18"/>
                <w:szCs w:val="18"/>
              </w:rPr>
              <w:t>2</w:t>
            </w:r>
          </w:p>
        </w:tc>
        <w:tc>
          <w:tcPr>
            <w:tcW w:w="850" w:type="dxa"/>
            <w:shd w:val="clear" w:color="auto" w:fill="FFFF00"/>
          </w:tcPr>
          <w:p w14:paraId="4253A11E" w14:textId="77777777" w:rsidR="00401546" w:rsidRPr="00A9330B" w:rsidRDefault="00401546" w:rsidP="00401546">
            <w:pPr>
              <w:spacing w:line="240" w:lineRule="auto"/>
              <w:rPr>
                <w:rFonts w:cs="Arial"/>
                <w:sz w:val="18"/>
                <w:szCs w:val="18"/>
              </w:rPr>
            </w:pPr>
          </w:p>
        </w:tc>
      </w:tr>
      <w:tr w:rsidR="00401546" w:rsidRPr="00A9330B" w14:paraId="338962BE" w14:textId="77777777" w:rsidTr="00401546">
        <w:trPr>
          <w:jc w:val="center"/>
        </w:trPr>
        <w:tc>
          <w:tcPr>
            <w:tcW w:w="486" w:type="dxa"/>
          </w:tcPr>
          <w:p w14:paraId="744602BE" w14:textId="77777777" w:rsidR="00401546" w:rsidRPr="00A9330B" w:rsidRDefault="00401546" w:rsidP="00401546">
            <w:pPr>
              <w:spacing w:line="240" w:lineRule="auto"/>
              <w:rPr>
                <w:rFonts w:cs="Arial"/>
                <w:sz w:val="18"/>
                <w:szCs w:val="18"/>
              </w:rPr>
            </w:pPr>
            <w:r w:rsidRPr="00A9330B">
              <w:rPr>
                <w:rFonts w:cs="Arial"/>
                <w:sz w:val="18"/>
                <w:szCs w:val="18"/>
              </w:rPr>
              <w:t>9</w:t>
            </w:r>
          </w:p>
        </w:tc>
        <w:tc>
          <w:tcPr>
            <w:tcW w:w="2486" w:type="dxa"/>
          </w:tcPr>
          <w:p w14:paraId="3CE42D15" w14:textId="77777777" w:rsidR="00401546" w:rsidRPr="00A9330B" w:rsidRDefault="00401546" w:rsidP="000F7BA7">
            <w:pPr>
              <w:spacing w:line="240" w:lineRule="auto"/>
              <w:jc w:val="both"/>
              <w:rPr>
                <w:rFonts w:cs="Arial"/>
                <w:sz w:val="18"/>
                <w:szCs w:val="18"/>
              </w:rPr>
            </w:pPr>
            <w:r w:rsidRPr="00A9330B">
              <w:rPr>
                <w:rFonts w:cs="Arial"/>
                <w:sz w:val="18"/>
                <w:szCs w:val="18"/>
              </w:rPr>
              <w:t xml:space="preserve">Conduite inappropriée des véhicules engins de chantier </w:t>
            </w:r>
          </w:p>
        </w:tc>
        <w:tc>
          <w:tcPr>
            <w:tcW w:w="3260" w:type="dxa"/>
          </w:tcPr>
          <w:p w14:paraId="18A2546D" w14:textId="77777777" w:rsidR="00401546" w:rsidRPr="00A9330B" w:rsidRDefault="00401546" w:rsidP="000F7BA7">
            <w:pPr>
              <w:spacing w:line="240" w:lineRule="auto"/>
              <w:jc w:val="both"/>
              <w:rPr>
                <w:rFonts w:cs="Arial"/>
                <w:sz w:val="18"/>
                <w:szCs w:val="18"/>
              </w:rPr>
            </w:pPr>
            <w:r w:rsidRPr="00A9330B">
              <w:rPr>
                <w:rFonts w:cs="Arial"/>
                <w:sz w:val="18"/>
                <w:szCs w:val="18"/>
              </w:rPr>
              <w:t xml:space="preserve">Exposition des chauffeurs, passagers et tiers à des blessures, fractures, traumatismes et le cas échéant dégradation ou destruction de biens </w:t>
            </w:r>
          </w:p>
        </w:tc>
        <w:tc>
          <w:tcPr>
            <w:tcW w:w="1276" w:type="dxa"/>
          </w:tcPr>
          <w:p w14:paraId="268D8C40" w14:textId="77777777" w:rsidR="00401546" w:rsidRPr="00A9330B" w:rsidRDefault="00401546" w:rsidP="00401546">
            <w:pPr>
              <w:spacing w:line="240" w:lineRule="auto"/>
              <w:rPr>
                <w:rFonts w:cs="Arial"/>
                <w:sz w:val="18"/>
                <w:szCs w:val="18"/>
              </w:rPr>
            </w:pPr>
            <w:r w:rsidRPr="00A9330B">
              <w:rPr>
                <w:rFonts w:cs="Arial"/>
                <w:sz w:val="18"/>
                <w:szCs w:val="18"/>
              </w:rPr>
              <w:t>2</w:t>
            </w:r>
          </w:p>
        </w:tc>
        <w:tc>
          <w:tcPr>
            <w:tcW w:w="851" w:type="dxa"/>
          </w:tcPr>
          <w:p w14:paraId="1F4A4500" w14:textId="77777777" w:rsidR="00401546" w:rsidRPr="00A9330B" w:rsidRDefault="00401546" w:rsidP="00401546">
            <w:pPr>
              <w:spacing w:line="240" w:lineRule="auto"/>
              <w:rPr>
                <w:rFonts w:cs="Arial"/>
                <w:sz w:val="18"/>
                <w:szCs w:val="18"/>
              </w:rPr>
            </w:pPr>
            <w:r w:rsidRPr="00A9330B">
              <w:rPr>
                <w:rFonts w:cs="Arial"/>
                <w:sz w:val="18"/>
                <w:szCs w:val="18"/>
              </w:rPr>
              <w:t>3</w:t>
            </w:r>
          </w:p>
        </w:tc>
        <w:tc>
          <w:tcPr>
            <w:tcW w:w="850" w:type="dxa"/>
            <w:shd w:val="clear" w:color="auto" w:fill="FFFF00"/>
          </w:tcPr>
          <w:p w14:paraId="7F45CAFE" w14:textId="77777777" w:rsidR="00401546" w:rsidRPr="00A9330B" w:rsidRDefault="00401546" w:rsidP="00401546">
            <w:pPr>
              <w:spacing w:line="240" w:lineRule="auto"/>
              <w:rPr>
                <w:rFonts w:cs="Arial"/>
                <w:sz w:val="18"/>
                <w:szCs w:val="18"/>
              </w:rPr>
            </w:pPr>
          </w:p>
        </w:tc>
      </w:tr>
      <w:tr w:rsidR="00401546" w:rsidRPr="00A9330B" w14:paraId="2DC31DB8" w14:textId="77777777" w:rsidTr="00401546">
        <w:trPr>
          <w:jc w:val="center"/>
        </w:trPr>
        <w:tc>
          <w:tcPr>
            <w:tcW w:w="486" w:type="dxa"/>
          </w:tcPr>
          <w:p w14:paraId="389DDF3A" w14:textId="77777777" w:rsidR="00401546" w:rsidRPr="00A9330B" w:rsidRDefault="00401546" w:rsidP="00401546">
            <w:pPr>
              <w:spacing w:line="240" w:lineRule="auto"/>
              <w:rPr>
                <w:rFonts w:cs="Arial"/>
                <w:sz w:val="18"/>
                <w:szCs w:val="18"/>
              </w:rPr>
            </w:pPr>
            <w:r w:rsidRPr="00A9330B">
              <w:rPr>
                <w:rFonts w:cs="Arial"/>
                <w:sz w:val="18"/>
                <w:szCs w:val="18"/>
              </w:rPr>
              <w:t>10</w:t>
            </w:r>
          </w:p>
        </w:tc>
        <w:tc>
          <w:tcPr>
            <w:tcW w:w="2486" w:type="dxa"/>
          </w:tcPr>
          <w:p w14:paraId="1B89837F" w14:textId="77777777" w:rsidR="00401546" w:rsidRPr="00A9330B" w:rsidRDefault="00401546" w:rsidP="000F7BA7">
            <w:pPr>
              <w:spacing w:line="240" w:lineRule="auto"/>
              <w:jc w:val="both"/>
              <w:rPr>
                <w:rFonts w:cs="Arial"/>
                <w:sz w:val="18"/>
                <w:szCs w:val="18"/>
              </w:rPr>
            </w:pPr>
            <w:r w:rsidRPr="00A9330B">
              <w:rPr>
                <w:rFonts w:cs="Arial"/>
                <w:sz w:val="18"/>
                <w:szCs w:val="18"/>
              </w:rPr>
              <w:t xml:space="preserve">Installations de chantier au sol, accès aux planchers de travail inadaptés </w:t>
            </w:r>
          </w:p>
        </w:tc>
        <w:tc>
          <w:tcPr>
            <w:tcW w:w="3260" w:type="dxa"/>
          </w:tcPr>
          <w:p w14:paraId="0586674C" w14:textId="77777777" w:rsidR="00401546" w:rsidRPr="00A9330B" w:rsidRDefault="00401546" w:rsidP="000F7BA7">
            <w:pPr>
              <w:spacing w:line="240" w:lineRule="auto"/>
              <w:jc w:val="both"/>
              <w:rPr>
                <w:rFonts w:cs="Arial"/>
                <w:sz w:val="18"/>
                <w:szCs w:val="18"/>
              </w:rPr>
            </w:pPr>
            <w:r w:rsidRPr="00A9330B">
              <w:rPr>
                <w:rFonts w:cs="Arial"/>
                <w:sz w:val="18"/>
                <w:szCs w:val="18"/>
              </w:rPr>
              <w:t xml:space="preserve">Vulnérabilité des ouvriers vis-à-vis de blessures, fractures, traumatismes par chute de plain-pied </w:t>
            </w:r>
          </w:p>
        </w:tc>
        <w:tc>
          <w:tcPr>
            <w:tcW w:w="1276" w:type="dxa"/>
          </w:tcPr>
          <w:p w14:paraId="10357F04" w14:textId="77777777" w:rsidR="00401546" w:rsidRPr="00A9330B" w:rsidRDefault="00401546" w:rsidP="00401546">
            <w:pPr>
              <w:spacing w:line="240" w:lineRule="auto"/>
              <w:rPr>
                <w:rFonts w:cs="Arial"/>
                <w:sz w:val="18"/>
                <w:szCs w:val="18"/>
              </w:rPr>
            </w:pPr>
            <w:r w:rsidRPr="00A9330B">
              <w:rPr>
                <w:rFonts w:cs="Arial"/>
                <w:sz w:val="18"/>
                <w:szCs w:val="18"/>
              </w:rPr>
              <w:t>2</w:t>
            </w:r>
          </w:p>
        </w:tc>
        <w:tc>
          <w:tcPr>
            <w:tcW w:w="851" w:type="dxa"/>
          </w:tcPr>
          <w:p w14:paraId="6F567CF7" w14:textId="77777777" w:rsidR="00401546" w:rsidRPr="00A9330B" w:rsidRDefault="00401546" w:rsidP="00401546">
            <w:pPr>
              <w:spacing w:line="240" w:lineRule="auto"/>
              <w:rPr>
                <w:rFonts w:cs="Arial"/>
                <w:sz w:val="18"/>
                <w:szCs w:val="18"/>
              </w:rPr>
            </w:pPr>
            <w:r w:rsidRPr="00A9330B">
              <w:rPr>
                <w:rFonts w:cs="Arial"/>
                <w:sz w:val="18"/>
                <w:szCs w:val="18"/>
              </w:rPr>
              <w:t>3</w:t>
            </w:r>
          </w:p>
        </w:tc>
        <w:tc>
          <w:tcPr>
            <w:tcW w:w="850" w:type="dxa"/>
            <w:shd w:val="clear" w:color="auto" w:fill="FFFF00"/>
          </w:tcPr>
          <w:p w14:paraId="6404F8A1" w14:textId="77777777" w:rsidR="00401546" w:rsidRPr="00A9330B" w:rsidRDefault="00401546" w:rsidP="00401546">
            <w:pPr>
              <w:spacing w:line="240" w:lineRule="auto"/>
              <w:rPr>
                <w:rFonts w:cs="Arial"/>
                <w:sz w:val="18"/>
                <w:szCs w:val="18"/>
              </w:rPr>
            </w:pPr>
          </w:p>
        </w:tc>
      </w:tr>
      <w:tr w:rsidR="00401546" w:rsidRPr="00A9330B" w14:paraId="7CE7469B" w14:textId="77777777" w:rsidTr="00401546">
        <w:trPr>
          <w:jc w:val="center"/>
        </w:trPr>
        <w:tc>
          <w:tcPr>
            <w:tcW w:w="486" w:type="dxa"/>
          </w:tcPr>
          <w:p w14:paraId="3157DE88" w14:textId="77777777" w:rsidR="00401546" w:rsidRPr="00A9330B" w:rsidRDefault="00401546" w:rsidP="00401546">
            <w:pPr>
              <w:spacing w:line="240" w:lineRule="auto"/>
              <w:rPr>
                <w:rFonts w:cs="Arial"/>
                <w:sz w:val="18"/>
                <w:szCs w:val="18"/>
              </w:rPr>
            </w:pPr>
            <w:r w:rsidRPr="00A9330B">
              <w:rPr>
                <w:rFonts w:cs="Arial"/>
                <w:sz w:val="18"/>
                <w:szCs w:val="18"/>
              </w:rPr>
              <w:t>11</w:t>
            </w:r>
          </w:p>
        </w:tc>
        <w:tc>
          <w:tcPr>
            <w:tcW w:w="2486" w:type="dxa"/>
          </w:tcPr>
          <w:p w14:paraId="1300D436" w14:textId="644D7866" w:rsidR="00401546" w:rsidRPr="00A9330B" w:rsidRDefault="00401546" w:rsidP="000F7BA7">
            <w:pPr>
              <w:spacing w:line="240" w:lineRule="auto"/>
              <w:jc w:val="both"/>
              <w:rPr>
                <w:rFonts w:cs="Arial"/>
                <w:sz w:val="18"/>
                <w:szCs w:val="18"/>
              </w:rPr>
            </w:pPr>
            <w:r w:rsidRPr="00A9330B">
              <w:rPr>
                <w:rFonts w:cs="Arial"/>
                <w:sz w:val="18"/>
                <w:szCs w:val="18"/>
              </w:rPr>
              <w:t>Installation d’engins sous des lignes électriques aérienne</w:t>
            </w:r>
            <w:r w:rsidR="00BE2B0F" w:rsidRPr="00A9330B">
              <w:rPr>
                <w:rFonts w:cs="Arial"/>
                <w:sz w:val="18"/>
                <w:szCs w:val="18"/>
              </w:rPr>
              <w:t>s</w:t>
            </w:r>
            <w:r w:rsidRPr="00A9330B">
              <w:rPr>
                <w:rFonts w:cs="Arial"/>
                <w:sz w:val="18"/>
                <w:szCs w:val="18"/>
              </w:rPr>
              <w:t xml:space="preserve"> sous tension </w:t>
            </w:r>
          </w:p>
        </w:tc>
        <w:tc>
          <w:tcPr>
            <w:tcW w:w="3260" w:type="dxa"/>
          </w:tcPr>
          <w:p w14:paraId="21D9D610" w14:textId="77777777" w:rsidR="00401546" w:rsidRPr="00A9330B" w:rsidRDefault="00401546" w:rsidP="000F7BA7">
            <w:pPr>
              <w:spacing w:line="240" w:lineRule="auto"/>
              <w:jc w:val="both"/>
              <w:rPr>
                <w:rFonts w:cs="Arial"/>
                <w:sz w:val="18"/>
                <w:szCs w:val="18"/>
              </w:rPr>
            </w:pPr>
            <w:r w:rsidRPr="00A9330B">
              <w:rPr>
                <w:rFonts w:cs="Arial"/>
                <w:sz w:val="18"/>
                <w:szCs w:val="18"/>
              </w:rPr>
              <w:t xml:space="preserve">Contact accidentel pouvant provoquer une électrisation à l’origine de troubles neurologiques et coupure d’électricité dans le secteur </w:t>
            </w:r>
          </w:p>
        </w:tc>
        <w:tc>
          <w:tcPr>
            <w:tcW w:w="1276" w:type="dxa"/>
          </w:tcPr>
          <w:p w14:paraId="3CF5F15D" w14:textId="77777777" w:rsidR="00401546" w:rsidRPr="00A9330B" w:rsidRDefault="00401546" w:rsidP="00401546">
            <w:pPr>
              <w:spacing w:line="240" w:lineRule="auto"/>
              <w:rPr>
                <w:rFonts w:cs="Arial"/>
                <w:sz w:val="18"/>
                <w:szCs w:val="18"/>
              </w:rPr>
            </w:pPr>
            <w:r w:rsidRPr="00A9330B">
              <w:rPr>
                <w:rFonts w:cs="Arial"/>
                <w:sz w:val="18"/>
                <w:szCs w:val="18"/>
              </w:rPr>
              <w:t>1</w:t>
            </w:r>
          </w:p>
        </w:tc>
        <w:tc>
          <w:tcPr>
            <w:tcW w:w="851" w:type="dxa"/>
          </w:tcPr>
          <w:p w14:paraId="4239568D" w14:textId="77777777" w:rsidR="00401546" w:rsidRPr="00A9330B" w:rsidRDefault="00401546" w:rsidP="00401546">
            <w:pPr>
              <w:spacing w:line="240" w:lineRule="auto"/>
              <w:rPr>
                <w:rFonts w:cs="Arial"/>
                <w:sz w:val="18"/>
                <w:szCs w:val="18"/>
              </w:rPr>
            </w:pPr>
            <w:r w:rsidRPr="00A9330B">
              <w:rPr>
                <w:rFonts w:cs="Arial"/>
                <w:sz w:val="18"/>
                <w:szCs w:val="18"/>
              </w:rPr>
              <w:t>4</w:t>
            </w:r>
          </w:p>
        </w:tc>
        <w:tc>
          <w:tcPr>
            <w:tcW w:w="850" w:type="dxa"/>
            <w:shd w:val="clear" w:color="auto" w:fill="FFFF00"/>
          </w:tcPr>
          <w:p w14:paraId="2CBA29ED" w14:textId="77777777" w:rsidR="00401546" w:rsidRPr="00A9330B" w:rsidRDefault="00401546" w:rsidP="00401546">
            <w:pPr>
              <w:spacing w:line="240" w:lineRule="auto"/>
              <w:rPr>
                <w:rFonts w:cs="Arial"/>
                <w:sz w:val="18"/>
                <w:szCs w:val="18"/>
              </w:rPr>
            </w:pPr>
          </w:p>
        </w:tc>
      </w:tr>
      <w:tr w:rsidR="00401546" w:rsidRPr="00A9330B" w14:paraId="06B05362" w14:textId="77777777" w:rsidTr="00401546">
        <w:trPr>
          <w:jc w:val="center"/>
        </w:trPr>
        <w:tc>
          <w:tcPr>
            <w:tcW w:w="486" w:type="dxa"/>
          </w:tcPr>
          <w:p w14:paraId="4F8C9C86" w14:textId="77777777" w:rsidR="00401546" w:rsidRPr="00A9330B" w:rsidRDefault="00401546" w:rsidP="00401546">
            <w:pPr>
              <w:spacing w:line="240" w:lineRule="auto"/>
              <w:rPr>
                <w:rFonts w:cs="Arial"/>
                <w:sz w:val="18"/>
                <w:szCs w:val="18"/>
              </w:rPr>
            </w:pPr>
            <w:r w:rsidRPr="00A9330B">
              <w:rPr>
                <w:rFonts w:cs="Arial"/>
                <w:sz w:val="18"/>
                <w:szCs w:val="18"/>
              </w:rPr>
              <w:t>12</w:t>
            </w:r>
          </w:p>
        </w:tc>
        <w:tc>
          <w:tcPr>
            <w:tcW w:w="2486" w:type="dxa"/>
          </w:tcPr>
          <w:p w14:paraId="605D9007" w14:textId="77777777" w:rsidR="00401546" w:rsidRPr="00A9330B" w:rsidRDefault="00401546" w:rsidP="000F7BA7">
            <w:pPr>
              <w:spacing w:line="240" w:lineRule="auto"/>
              <w:jc w:val="both"/>
              <w:rPr>
                <w:rFonts w:cs="Arial"/>
                <w:sz w:val="18"/>
                <w:szCs w:val="18"/>
              </w:rPr>
            </w:pPr>
            <w:r w:rsidRPr="00A9330B">
              <w:rPr>
                <w:rFonts w:cs="Arial"/>
                <w:sz w:val="18"/>
                <w:szCs w:val="18"/>
              </w:rPr>
              <w:t xml:space="preserve">Manutention et pelletage manuels, geste répétitifs ou utilisation longues de machines vibrantes (pointes vibrantes par Ex) </w:t>
            </w:r>
          </w:p>
        </w:tc>
        <w:tc>
          <w:tcPr>
            <w:tcW w:w="3260" w:type="dxa"/>
          </w:tcPr>
          <w:p w14:paraId="006B4419" w14:textId="77777777" w:rsidR="00401546" w:rsidRPr="00A9330B" w:rsidRDefault="00401546" w:rsidP="000F7BA7">
            <w:pPr>
              <w:spacing w:line="240" w:lineRule="auto"/>
              <w:jc w:val="both"/>
              <w:rPr>
                <w:rFonts w:cs="Arial"/>
                <w:sz w:val="18"/>
                <w:szCs w:val="18"/>
              </w:rPr>
            </w:pPr>
            <w:r w:rsidRPr="00A9330B">
              <w:rPr>
                <w:rFonts w:cs="Arial"/>
                <w:sz w:val="18"/>
                <w:szCs w:val="18"/>
              </w:rPr>
              <w:t xml:space="preserve">Apparition de troubles musculo-squelettiques </w:t>
            </w:r>
          </w:p>
        </w:tc>
        <w:tc>
          <w:tcPr>
            <w:tcW w:w="1276" w:type="dxa"/>
          </w:tcPr>
          <w:p w14:paraId="2E20279C" w14:textId="77777777" w:rsidR="00401546" w:rsidRPr="00A9330B" w:rsidRDefault="00401546" w:rsidP="00401546">
            <w:pPr>
              <w:spacing w:line="240" w:lineRule="auto"/>
              <w:rPr>
                <w:rFonts w:cs="Arial"/>
                <w:sz w:val="18"/>
                <w:szCs w:val="18"/>
              </w:rPr>
            </w:pPr>
            <w:r w:rsidRPr="00A9330B">
              <w:rPr>
                <w:rFonts w:cs="Arial"/>
                <w:sz w:val="18"/>
                <w:szCs w:val="18"/>
              </w:rPr>
              <w:t>3</w:t>
            </w:r>
          </w:p>
        </w:tc>
        <w:tc>
          <w:tcPr>
            <w:tcW w:w="851" w:type="dxa"/>
          </w:tcPr>
          <w:p w14:paraId="229C4BD0" w14:textId="77777777" w:rsidR="00401546" w:rsidRPr="00A9330B" w:rsidRDefault="00401546" w:rsidP="00401546">
            <w:pPr>
              <w:spacing w:line="240" w:lineRule="auto"/>
              <w:rPr>
                <w:rFonts w:cs="Arial"/>
                <w:sz w:val="18"/>
                <w:szCs w:val="18"/>
              </w:rPr>
            </w:pPr>
            <w:r w:rsidRPr="00A9330B">
              <w:rPr>
                <w:rFonts w:cs="Arial"/>
                <w:sz w:val="18"/>
                <w:szCs w:val="18"/>
              </w:rPr>
              <w:t>2</w:t>
            </w:r>
          </w:p>
        </w:tc>
        <w:tc>
          <w:tcPr>
            <w:tcW w:w="850" w:type="dxa"/>
            <w:shd w:val="clear" w:color="auto" w:fill="FFFF00"/>
          </w:tcPr>
          <w:p w14:paraId="61153C1F" w14:textId="77777777" w:rsidR="00401546" w:rsidRPr="00A9330B" w:rsidRDefault="00401546" w:rsidP="00401546">
            <w:pPr>
              <w:spacing w:line="240" w:lineRule="auto"/>
              <w:rPr>
                <w:rFonts w:cs="Arial"/>
                <w:sz w:val="18"/>
                <w:szCs w:val="18"/>
              </w:rPr>
            </w:pPr>
          </w:p>
        </w:tc>
      </w:tr>
    </w:tbl>
    <w:p w14:paraId="357B97CA" w14:textId="77777777" w:rsidR="00401546" w:rsidRPr="00A9330B" w:rsidRDefault="00401546" w:rsidP="00401546"/>
    <w:p w14:paraId="617AFB45" w14:textId="77777777" w:rsidR="00401546" w:rsidRPr="00A9330B" w:rsidRDefault="00401546" w:rsidP="000F7BA7">
      <w:pPr>
        <w:pStyle w:val="Titre20"/>
      </w:pPr>
      <w:bookmarkStart w:id="1770" w:name="_Toc535244615"/>
      <w:bookmarkStart w:id="1771" w:name="_Toc43697699"/>
      <w:bookmarkStart w:id="1772" w:name="_Toc52869703"/>
      <w:bookmarkStart w:id="1773" w:name="_Toc52869863"/>
      <w:r w:rsidRPr="00A9330B">
        <w:lastRenderedPageBreak/>
        <w:t>9.8. Travaux de construction des ouvrages d’assainissement (gros œuvre et mise en place de remblai compacté)</w:t>
      </w:r>
      <w:bookmarkEnd w:id="1770"/>
      <w:bookmarkEnd w:id="1771"/>
      <w:bookmarkEnd w:id="1772"/>
      <w:bookmarkEnd w:id="1773"/>
    </w:p>
    <w:p w14:paraId="46066C91" w14:textId="5440E0E8" w:rsidR="00401546" w:rsidRPr="00A9330B" w:rsidRDefault="00401546" w:rsidP="00401546">
      <w:pPr>
        <w:spacing w:after="120"/>
        <w:jc w:val="both"/>
        <w:rPr>
          <w:rFonts w:cs="Arial"/>
        </w:rPr>
      </w:pPr>
      <w:r w:rsidRPr="00A9330B">
        <w:rPr>
          <w:rFonts w:cs="Arial"/>
        </w:rPr>
        <w:t xml:space="preserve">Les risques les plus élevés sont liés aux déplacements des engins de chantier. Les risques spécifiques concernent le travail en fouille, le déplacement et les opérations des engins </w:t>
      </w:r>
      <w:r w:rsidR="0057538E" w:rsidRPr="00A9330B">
        <w:rPr>
          <w:rFonts w:cs="Arial"/>
        </w:rPr>
        <w:t>utilisés:</w:t>
      </w:r>
      <w:r w:rsidRPr="00A9330B">
        <w:rPr>
          <w:rFonts w:cs="Arial"/>
        </w:rPr>
        <w:t xml:space="preserve"> les projections de particules (sable, boues) et les éclats (gravats) ; le </w:t>
      </w:r>
      <w:r w:rsidR="0057538E" w:rsidRPr="00A9330B">
        <w:rPr>
          <w:rFonts w:cs="Arial"/>
        </w:rPr>
        <w:t>remblaiement, la</w:t>
      </w:r>
      <w:r w:rsidRPr="00A9330B">
        <w:rPr>
          <w:rFonts w:cs="Arial"/>
        </w:rPr>
        <w:t xml:space="preserve"> chute de matériel ou matériaux depuis les zones de travail, la chute des personnes qui nécessitent également des mesures de minimisation des risques.</w:t>
      </w:r>
    </w:p>
    <w:p w14:paraId="7F7FE318" w14:textId="5919335B" w:rsidR="00401546" w:rsidRPr="00A9330B" w:rsidRDefault="00401546" w:rsidP="00401546">
      <w:pPr>
        <w:jc w:val="both"/>
        <w:rPr>
          <w:rFonts w:cs="Arial"/>
        </w:rPr>
      </w:pPr>
      <w:r w:rsidRPr="00A9330B">
        <w:rPr>
          <w:rFonts w:cs="Arial"/>
        </w:rPr>
        <w:t xml:space="preserve">L’accent est également mis sur les protections collectives et individuelles absolument nécessaires, et sur les risques de chute d’éléments préfabriqués, de coincement et d’écrasement et </w:t>
      </w:r>
      <w:r w:rsidR="006721DD" w:rsidRPr="00A9330B">
        <w:rPr>
          <w:rFonts w:cs="Arial"/>
        </w:rPr>
        <w:t>accident généralement</w:t>
      </w:r>
      <w:r w:rsidRPr="00A9330B">
        <w:rPr>
          <w:rFonts w:cs="Arial"/>
        </w:rPr>
        <w:t xml:space="preserve"> liés aux opérations de manutention et de pose d’éléments, de coffrage, de bétonnage.</w:t>
      </w:r>
    </w:p>
    <w:p w14:paraId="6838098D" w14:textId="7F64C7D7" w:rsidR="00401546" w:rsidRPr="00A9330B" w:rsidRDefault="00401546" w:rsidP="00401546">
      <w:pPr>
        <w:spacing w:after="120"/>
        <w:jc w:val="center"/>
        <w:rPr>
          <w:rFonts w:cs="Arial"/>
          <w:b/>
          <w:sz w:val="20"/>
          <w:szCs w:val="20"/>
        </w:rPr>
      </w:pPr>
      <w:bookmarkStart w:id="1774" w:name="_Toc529249279"/>
      <w:bookmarkStart w:id="1775" w:name="_Toc533058618"/>
      <w:bookmarkStart w:id="1776" w:name="_Toc535237431"/>
      <w:bookmarkStart w:id="1777" w:name="_Toc43696261"/>
      <w:bookmarkStart w:id="1778" w:name="_Toc52873774"/>
      <w:r w:rsidRPr="00A9330B">
        <w:rPr>
          <w:b/>
          <w:sz w:val="20"/>
          <w:szCs w:val="20"/>
        </w:rPr>
        <w:t xml:space="preserve">Tableau </w:t>
      </w:r>
      <w:r w:rsidRPr="00A9330B">
        <w:rPr>
          <w:b/>
          <w:sz w:val="20"/>
          <w:szCs w:val="20"/>
        </w:rPr>
        <w:fldChar w:fldCharType="begin"/>
      </w:r>
      <w:r w:rsidRPr="00A9330B">
        <w:rPr>
          <w:b/>
          <w:sz w:val="20"/>
          <w:szCs w:val="20"/>
        </w:rPr>
        <w:instrText xml:space="preserve"> SEQ Tableau \* ARABIC </w:instrText>
      </w:r>
      <w:r w:rsidRPr="00A9330B">
        <w:rPr>
          <w:b/>
          <w:sz w:val="20"/>
          <w:szCs w:val="20"/>
        </w:rPr>
        <w:fldChar w:fldCharType="separate"/>
      </w:r>
      <w:r w:rsidR="00417D31" w:rsidRPr="00A9330B">
        <w:rPr>
          <w:b/>
          <w:noProof/>
          <w:sz w:val="20"/>
          <w:szCs w:val="20"/>
        </w:rPr>
        <w:t>50</w:t>
      </w:r>
      <w:r w:rsidRPr="00A9330B">
        <w:rPr>
          <w:b/>
          <w:sz w:val="20"/>
          <w:szCs w:val="20"/>
        </w:rPr>
        <w:fldChar w:fldCharType="end"/>
      </w:r>
      <w:r w:rsidRPr="00A9330B">
        <w:rPr>
          <w:rFonts w:cs="Arial"/>
          <w:b/>
          <w:color w:val="auto"/>
          <w:sz w:val="20"/>
          <w:szCs w:val="20"/>
        </w:rPr>
        <w:t xml:space="preserve"> : </w:t>
      </w:r>
      <w:r w:rsidRPr="00A9330B">
        <w:rPr>
          <w:rFonts w:cs="Arial"/>
          <w:b/>
          <w:sz w:val="20"/>
          <w:szCs w:val="20"/>
        </w:rPr>
        <w:t>Analyse des risques pour le gros œuvre</w:t>
      </w:r>
      <w:bookmarkEnd w:id="1774"/>
      <w:bookmarkEnd w:id="1775"/>
      <w:bookmarkEnd w:id="1776"/>
      <w:bookmarkEnd w:id="1777"/>
      <w:bookmarkEnd w:id="1778"/>
    </w:p>
    <w:tbl>
      <w:tblPr>
        <w:tblStyle w:val="Grilledutableau3"/>
        <w:tblW w:w="9218" w:type="dxa"/>
        <w:jc w:val="center"/>
        <w:tblLayout w:type="fixed"/>
        <w:tblLook w:val="04A0" w:firstRow="1" w:lastRow="0" w:firstColumn="1" w:lastColumn="0" w:noHBand="0" w:noVBand="1"/>
      </w:tblPr>
      <w:tblGrid>
        <w:gridCol w:w="709"/>
        <w:gridCol w:w="2830"/>
        <w:gridCol w:w="3119"/>
        <w:gridCol w:w="992"/>
        <w:gridCol w:w="859"/>
        <w:gridCol w:w="709"/>
      </w:tblGrid>
      <w:tr w:rsidR="00401546" w:rsidRPr="00A9330B" w14:paraId="46AC5A0D" w14:textId="77777777" w:rsidTr="009C5C1D">
        <w:trPr>
          <w:jc w:val="center"/>
        </w:trPr>
        <w:tc>
          <w:tcPr>
            <w:tcW w:w="709" w:type="dxa"/>
            <w:vMerge w:val="restart"/>
            <w:shd w:val="clear" w:color="auto" w:fill="FFFFFF" w:themeFill="background1"/>
          </w:tcPr>
          <w:p w14:paraId="48D34D8C" w14:textId="77777777" w:rsidR="00401546" w:rsidRPr="00A9330B" w:rsidRDefault="00401546" w:rsidP="00401546">
            <w:pPr>
              <w:spacing w:line="240" w:lineRule="auto"/>
              <w:jc w:val="center"/>
              <w:rPr>
                <w:rFonts w:cs="Arial"/>
                <w:b/>
                <w:color w:val="auto"/>
                <w:sz w:val="18"/>
                <w:szCs w:val="18"/>
              </w:rPr>
            </w:pPr>
            <w:r w:rsidRPr="00A9330B">
              <w:rPr>
                <w:rFonts w:cs="Arial"/>
                <w:b/>
                <w:color w:val="auto"/>
                <w:sz w:val="18"/>
                <w:szCs w:val="18"/>
              </w:rPr>
              <w:t>N°</w:t>
            </w:r>
          </w:p>
        </w:tc>
        <w:tc>
          <w:tcPr>
            <w:tcW w:w="2830" w:type="dxa"/>
            <w:vMerge w:val="restart"/>
            <w:shd w:val="clear" w:color="auto" w:fill="FFFFFF" w:themeFill="background1"/>
          </w:tcPr>
          <w:p w14:paraId="6D52E034" w14:textId="77777777" w:rsidR="00401546" w:rsidRPr="00A9330B" w:rsidRDefault="00401546" w:rsidP="00401546">
            <w:pPr>
              <w:spacing w:line="240" w:lineRule="auto"/>
              <w:jc w:val="center"/>
              <w:rPr>
                <w:rFonts w:cs="Arial"/>
                <w:b/>
                <w:color w:val="auto"/>
                <w:sz w:val="18"/>
                <w:szCs w:val="18"/>
              </w:rPr>
            </w:pPr>
            <w:r w:rsidRPr="00A9330B">
              <w:rPr>
                <w:rFonts w:cs="Arial"/>
                <w:b/>
                <w:color w:val="auto"/>
                <w:sz w:val="18"/>
                <w:szCs w:val="18"/>
              </w:rPr>
              <w:t xml:space="preserve">Principales situations de danger </w:t>
            </w:r>
          </w:p>
        </w:tc>
        <w:tc>
          <w:tcPr>
            <w:tcW w:w="3119" w:type="dxa"/>
            <w:vMerge w:val="restart"/>
            <w:shd w:val="clear" w:color="auto" w:fill="FFFFFF" w:themeFill="background1"/>
          </w:tcPr>
          <w:p w14:paraId="1F701DC2" w14:textId="308499A7" w:rsidR="00401546" w:rsidRPr="00A9330B" w:rsidRDefault="00401546" w:rsidP="00401546">
            <w:pPr>
              <w:spacing w:line="240" w:lineRule="auto"/>
              <w:jc w:val="center"/>
              <w:rPr>
                <w:rFonts w:cs="Arial"/>
                <w:b/>
                <w:color w:val="auto"/>
                <w:sz w:val="18"/>
                <w:szCs w:val="18"/>
              </w:rPr>
            </w:pPr>
            <w:r w:rsidRPr="00A9330B">
              <w:rPr>
                <w:rFonts w:cs="Arial"/>
                <w:b/>
                <w:color w:val="auto"/>
                <w:sz w:val="18"/>
                <w:szCs w:val="18"/>
              </w:rPr>
              <w:t>Evènements non souhaitable</w:t>
            </w:r>
            <w:r w:rsidR="00BE2B0F" w:rsidRPr="00A9330B">
              <w:rPr>
                <w:rFonts w:cs="Arial"/>
                <w:b/>
                <w:color w:val="auto"/>
                <w:sz w:val="18"/>
                <w:szCs w:val="18"/>
              </w:rPr>
              <w:t>s</w:t>
            </w:r>
            <w:r w:rsidRPr="00A9330B">
              <w:rPr>
                <w:rFonts w:cs="Arial"/>
                <w:b/>
                <w:color w:val="auto"/>
                <w:sz w:val="18"/>
                <w:szCs w:val="18"/>
              </w:rPr>
              <w:t xml:space="preserve"> (ENS)/Impact  </w:t>
            </w:r>
          </w:p>
        </w:tc>
        <w:tc>
          <w:tcPr>
            <w:tcW w:w="2560" w:type="dxa"/>
            <w:gridSpan w:val="3"/>
            <w:shd w:val="clear" w:color="auto" w:fill="FFFFFF" w:themeFill="background1"/>
          </w:tcPr>
          <w:p w14:paraId="2B32607D" w14:textId="77777777" w:rsidR="00401546" w:rsidRPr="00A9330B" w:rsidRDefault="00401546" w:rsidP="00401546">
            <w:pPr>
              <w:spacing w:line="240" w:lineRule="auto"/>
              <w:jc w:val="center"/>
              <w:rPr>
                <w:rFonts w:cs="Arial"/>
                <w:b/>
                <w:color w:val="auto"/>
                <w:sz w:val="18"/>
                <w:szCs w:val="18"/>
              </w:rPr>
            </w:pPr>
            <w:r w:rsidRPr="00A9330B">
              <w:rPr>
                <w:rFonts w:cs="Arial"/>
                <w:b/>
                <w:color w:val="auto"/>
                <w:sz w:val="18"/>
                <w:szCs w:val="18"/>
              </w:rPr>
              <w:t xml:space="preserve">Evaluation du risque </w:t>
            </w:r>
          </w:p>
        </w:tc>
      </w:tr>
      <w:tr w:rsidR="00401546" w:rsidRPr="00A9330B" w14:paraId="0D7B5502" w14:textId="77777777" w:rsidTr="009C5C1D">
        <w:trPr>
          <w:jc w:val="center"/>
        </w:trPr>
        <w:tc>
          <w:tcPr>
            <w:tcW w:w="709" w:type="dxa"/>
            <w:vMerge/>
            <w:shd w:val="clear" w:color="auto" w:fill="FFFFFF" w:themeFill="background1"/>
          </w:tcPr>
          <w:p w14:paraId="5D0778DE" w14:textId="77777777" w:rsidR="00401546" w:rsidRPr="00A9330B" w:rsidRDefault="00401546" w:rsidP="00401546">
            <w:pPr>
              <w:spacing w:line="240" w:lineRule="auto"/>
              <w:rPr>
                <w:rFonts w:cs="Arial"/>
                <w:color w:val="auto"/>
                <w:sz w:val="18"/>
                <w:szCs w:val="18"/>
              </w:rPr>
            </w:pPr>
          </w:p>
        </w:tc>
        <w:tc>
          <w:tcPr>
            <w:tcW w:w="2830" w:type="dxa"/>
            <w:vMerge/>
            <w:shd w:val="clear" w:color="auto" w:fill="FFFFFF" w:themeFill="background1"/>
          </w:tcPr>
          <w:p w14:paraId="02B4B5D1" w14:textId="77777777" w:rsidR="00401546" w:rsidRPr="00A9330B" w:rsidRDefault="00401546" w:rsidP="00401546">
            <w:pPr>
              <w:spacing w:line="240" w:lineRule="auto"/>
              <w:rPr>
                <w:rFonts w:cs="Arial"/>
                <w:color w:val="auto"/>
                <w:sz w:val="18"/>
                <w:szCs w:val="18"/>
              </w:rPr>
            </w:pPr>
          </w:p>
        </w:tc>
        <w:tc>
          <w:tcPr>
            <w:tcW w:w="3119" w:type="dxa"/>
            <w:vMerge/>
            <w:shd w:val="clear" w:color="auto" w:fill="FFFFFF" w:themeFill="background1"/>
          </w:tcPr>
          <w:p w14:paraId="69AFCC3E" w14:textId="77777777" w:rsidR="00401546" w:rsidRPr="00A9330B" w:rsidRDefault="00401546" w:rsidP="00401546">
            <w:pPr>
              <w:spacing w:line="240" w:lineRule="auto"/>
              <w:rPr>
                <w:rFonts w:cs="Arial"/>
                <w:color w:val="auto"/>
                <w:sz w:val="18"/>
                <w:szCs w:val="18"/>
              </w:rPr>
            </w:pPr>
          </w:p>
        </w:tc>
        <w:tc>
          <w:tcPr>
            <w:tcW w:w="992" w:type="dxa"/>
            <w:shd w:val="clear" w:color="auto" w:fill="ED7D31" w:themeFill="accent2"/>
          </w:tcPr>
          <w:p w14:paraId="183B6502" w14:textId="77777777" w:rsidR="00401546" w:rsidRPr="00A9330B" w:rsidRDefault="00401546" w:rsidP="00401546">
            <w:pPr>
              <w:spacing w:line="240" w:lineRule="auto"/>
              <w:jc w:val="center"/>
              <w:rPr>
                <w:rFonts w:cs="Arial"/>
                <w:color w:val="auto"/>
                <w:sz w:val="16"/>
                <w:szCs w:val="16"/>
              </w:rPr>
            </w:pPr>
            <w:r w:rsidRPr="00A9330B">
              <w:rPr>
                <w:rFonts w:cs="Arial"/>
                <w:color w:val="auto"/>
                <w:sz w:val="16"/>
                <w:szCs w:val="16"/>
              </w:rPr>
              <w:t xml:space="preserve">Probabilité </w:t>
            </w:r>
          </w:p>
        </w:tc>
        <w:tc>
          <w:tcPr>
            <w:tcW w:w="859" w:type="dxa"/>
            <w:shd w:val="clear" w:color="auto" w:fill="ED7D31" w:themeFill="accent2"/>
          </w:tcPr>
          <w:p w14:paraId="399EB938" w14:textId="77777777" w:rsidR="00401546" w:rsidRPr="00A9330B" w:rsidRDefault="00401546" w:rsidP="00401546">
            <w:pPr>
              <w:spacing w:line="240" w:lineRule="auto"/>
              <w:jc w:val="center"/>
              <w:rPr>
                <w:rFonts w:cs="Arial"/>
                <w:color w:val="auto"/>
                <w:sz w:val="16"/>
                <w:szCs w:val="16"/>
              </w:rPr>
            </w:pPr>
            <w:r w:rsidRPr="00A9330B">
              <w:rPr>
                <w:rFonts w:cs="Arial"/>
                <w:color w:val="auto"/>
                <w:sz w:val="16"/>
                <w:szCs w:val="16"/>
              </w:rPr>
              <w:t xml:space="preserve">Gravité </w:t>
            </w:r>
          </w:p>
        </w:tc>
        <w:tc>
          <w:tcPr>
            <w:tcW w:w="709" w:type="dxa"/>
            <w:shd w:val="clear" w:color="auto" w:fill="ED7D31" w:themeFill="accent2"/>
          </w:tcPr>
          <w:p w14:paraId="19347BBA" w14:textId="77777777" w:rsidR="00401546" w:rsidRPr="00A9330B" w:rsidRDefault="00401546" w:rsidP="00401546">
            <w:pPr>
              <w:spacing w:line="240" w:lineRule="auto"/>
              <w:jc w:val="center"/>
              <w:rPr>
                <w:rFonts w:cs="Arial"/>
                <w:color w:val="auto"/>
                <w:sz w:val="16"/>
                <w:szCs w:val="16"/>
              </w:rPr>
            </w:pPr>
            <w:r w:rsidRPr="00A9330B">
              <w:rPr>
                <w:rFonts w:cs="Arial"/>
                <w:color w:val="auto"/>
                <w:sz w:val="16"/>
                <w:szCs w:val="16"/>
              </w:rPr>
              <w:t xml:space="preserve">Acceptabilité </w:t>
            </w:r>
          </w:p>
        </w:tc>
      </w:tr>
      <w:tr w:rsidR="00401546" w:rsidRPr="00A9330B" w14:paraId="1EEC31F0" w14:textId="77777777" w:rsidTr="009C5C1D">
        <w:trPr>
          <w:jc w:val="center"/>
        </w:trPr>
        <w:tc>
          <w:tcPr>
            <w:tcW w:w="709" w:type="dxa"/>
          </w:tcPr>
          <w:p w14:paraId="4F78D750" w14:textId="77777777" w:rsidR="00401546" w:rsidRPr="00A9330B" w:rsidRDefault="00401546" w:rsidP="00401546">
            <w:pPr>
              <w:spacing w:line="240" w:lineRule="auto"/>
              <w:jc w:val="center"/>
              <w:rPr>
                <w:rFonts w:cs="Arial"/>
                <w:sz w:val="18"/>
                <w:szCs w:val="18"/>
              </w:rPr>
            </w:pPr>
            <w:r w:rsidRPr="00A9330B">
              <w:rPr>
                <w:rFonts w:cs="Arial"/>
                <w:sz w:val="18"/>
                <w:szCs w:val="18"/>
              </w:rPr>
              <w:t>1</w:t>
            </w:r>
          </w:p>
        </w:tc>
        <w:tc>
          <w:tcPr>
            <w:tcW w:w="2830" w:type="dxa"/>
          </w:tcPr>
          <w:p w14:paraId="69E8EAA2" w14:textId="77777777" w:rsidR="00401546" w:rsidRPr="00A9330B" w:rsidRDefault="00401546" w:rsidP="000F7BA7">
            <w:pPr>
              <w:spacing w:line="240" w:lineRule="auto"/>
              <w:jc w:val="both"/>
              <w:rPr>
                <w:rFonts w:cs="Arial"/>
                <w:sz w:val="18"/>
                <w:szCs w:val="18"/>
              </w:rPr>
            </w:pPr>
            <w:r w:rsidRPr="00A9330B">
              <w:rPr>
                <w:rFonts w:cs="Arial"/>
                <w:sz w:val="18"/>
                <w:szCs w:val="18"/>
              </w:rPr>
              <w:t xml:space="preserve">Travaux aériens sur passerelles, plateformes de coffrage, échelles, échafaudages non ou mal sécurisés  </w:t>
            </w:r>
          </w:p>
        </w:tc>
        <w:tc>
          <w:tcPr>
            <w:tcW w:w="3119" w:type="dxa"/>
          </w:tcPr>
          <w:p w14:paraId="277E2923" w14:textId="77777777" w:rsidR="00401546" w:rsidRPr="00A9330B" w:rsidRDefault="00401546" w:rsidP="000F7BA7">
            <w:pPr>
              <w:spacing w:line="240" w:lineRule="auto"/>
              <w:jc w:val="both"/>
              <w:rPr>
                <w:rFonts w:cs="Arial"/>
                <w:sz w:val="18"/>
                <w:szCs w:val="18"/>
              </w:rPr>
            </w:pPr>
            <w:r w:rsidRPr="00A9330B">
              <w:rPr>
                <w:rFonts w:cs="Arial"/>
                <w:sz w:val="18"/>
                <w:szCs w:val="18"/>
              </w:rPr>
              <w:t xml:space="preserve">Chute dans le vide pouvant occasionner, des blessures, fractures, lésions, pertes sensorielles temporaires ou permanentes </w:t>
            </w:r>
          </w:p>
        </w:tc>
        <w:tc>
          <w:tcPr>
            <w:tcW w:w="992" w:type="dxa"/>
          </w:tcPr>
          <w:p w14:paraId="2DFCE6DA" w14:textId="77777777" w:rsidR="00401546" w:rsidRPr="00A9330B" w:rsidRDefault="00401546" w:rsidP="00401546">
            <w:pPr>
              <w:spacing w:line="240" w:lineRule="auto"/>
              <w:jc w:val="center"/>
              <w:rPr>
                <w:rFonts w:cs="Arial"/>
                <w:sz w:val="18"/>
                <w:szCs w:val="18"/>
              </w:rPr>
            </w:pPr>
            <w:r w:rsidRPr="00A9330B">
              <w:rPr>
                <w:rFonts w:cs="Arial"/>
                <w:sz w:val="18"/>
                <w:szCs w:val="18"/>
              </w:rPr>
              <w:t>3</w:t>
            </w:r>
          </w:p>
        </w:tc>
        <w:tc>
          <w:tcPr>
            <w:tcW w:w="859" w:type="dxa"/>
          </w:tcPr>
          <w:p w14:paraId="5A310971" w14:textId="77777777" w:rsidR="00401546" w:rsidRPr="00A9330B" w:rsidRDefault="00401546" w:rsidP="00401546">
            <w:pPr>
              <w:spacing w:line="240" w:lineRule="auto"/>
              <w:jc w:val="center"/>
              <w:rPr>
                <w:rFonts w:cs="Arial"/>
                <w:sz w:val="18"/>
                <w:szCs w:val="18"/>
              </w:rPr>
            </w:pPr>
            <w:r w:rsidRPr="00A9330B">
              <w:rPr>
                <w:rFonts w:cs="Arial"/>
                <w:sz w:val="18"/>
                <w:szCs w:val="18"/>
              </w:rPr>
              <w:t>3</w:t>
            </w:r>
          </w:p>
        </w:tc>
        <w:tc>
          <w:tcPr>
            <w:tcW w:w="709" w:type="dxa"/>
            <w:shd w:val="clear" w:color="auto" w:fill="FF0000"/>
          </w:tcPr>
          <w:p w14:paraId="2644227F" w14:textId="77777777" w:rsidR="00401546" w:rsidRPr="00A9330B" w:rsidRDefault="00401546" w:rsidP="00401546">
            <w:pPr>
              <w:spacing w:line="240" w:lineRule="auto"/>
              <w:jc w:val="center"/>
              <w:rPr>
                <w:rFonts w:cs="Arial"/>
                <w:sz w:val="18"/>
                <w:szCs w:val="18"/>
              </w:rPr>
            </w:pPr>
          </w:p>
        </w:tc>
      </w:tr>
      <w:tr w:rsidR="00401546" w:rsidRPr="00A9330B" w14:paraId="7B7DC583" w14:textId="77777777" w:rsidTr="009C5C1D">
        <w:trPr>
          <w:jc w:val="center"/>
        </w:trPr>
        <w:tc>
          <w:tcPr>
            <w:tcW w:w="709" w:type="dxa"/>
          </w:tcPr>
          <w:p w14:paraId="664488D2" w14:textId="77777777" w:rsidR="00401546" w:rsidRPr="00A9330B" w:rsidRDefault="00401546" w:rsidP="00401546">
            <w:pPr>
              <w:spacing w:line="240" w:lineRule="auto"/>
              <w:jc w:val="center"/>
              <w:rPr>
                <w:rFonts w:cs="Arial"/>
                <w:sz w:val="18"/>
                <w:szCs w:val="18"/>
              </w:rPr>
            </w:pPr>
            <w:r w:rsidRPr="00A9330B">
              <w:rPr>
                <w:rFonts w:cs="Arial"/>
                <w:sz w:val="18"/>
                <w:szCs w:val="18"/>
              </w:rPr>
              <w:t>2</w:t>
            </w:r>
          </w:p>
        </w:tc>
        <w:tc>
          <w:tcPr>
            <w:tcW w:w="2830" w:type="dxa"/>
          </w:tcPr>
          <w:p w14:paraId="6E41C8D0" w14:textId="77777777" w:rsidR="00401546" w:rsidRPr="00A9330B" w:rsidRDefault="00401546" w:rsidP="000F7BA7">
            <w:pPr>
              <w:spacing w:line="240" w:lineRule="auto"/>
              <w:jc w:val="both"/>
              <w:rPr>
                <w:rFonts w:cs="Arial"/>
                <w:sz w:val="18"/>
                <w:szCs w:val="18"/>
              </w:rPr>
            </w:pPr>
            <w:r w:rsidRPr="00A9330B">
              <w:rPr>
                <w:rFonts w:cs="Arial"/>
                <w:sz w:val="18"/>
                <w:szCs w:val="18"/>
              </w:rPr>
              <w:t xml:space="preserve">Matériels ou matériaux non stabilisés en élévation (outils, ciment, éléments préfabriqués, …) </w:t>
            </w:r>
          </w:p>
        </w:tc>
        <w:tc>
          <w:tcPr>
            <w:tcW w:w="3119" w:type="dxa"/>
          </w:tcPr>
          <w:p w14:paraId="6CC1BC4F" w14:textId="6D9F2F53" w:rsidR="00401546" w:rsidRPr="00A9330B" w:rsidRDefault="00401546" w:rsidP="000F7BA7">
            <w:pPr>
              <w:spacing w:line="240" w:lineRule="auto"/>
              <w:jc w:val="both"/>
              <w:rPr>
                <w:rFonts w:cs="Arial"/>
                <w:sz w:val="18"/>
                <w:szCs w:val="18"/>
              </w:rPr>
            </w:pPr>
            <w:r w:rsidRPr="00A9330B">
              <w:rPr>
                <w:rFonts w:cs="Arial"/>
                <w:sz w:val="18"/>
                <w:szCs w:val="18"/>
              </w:rPr>
              <w:t>Chute d’objet ou de matériaux à l’origine d’un renversement, basculement, heurt ou entrainement d’un ouvrier pouvant provoquer la mort, des blessures,</w:t>
            </w:r>
            <w:r w:rsidR="00BE2B0F" w:rsidRPr="00A9330B">
              <w:rPr>
                <w:rFonts w:cs="Arial"/>
                <w:sz w:val="18"/>
                <w:szCs w:val="18"/>
              </w:rPr>
              <w:t xml:space="preserve"> des </w:t>
            </w:r>
            <w:r w:rsidRPr="00A9330B">
              <w:rPr>
                <w:rFonts w:cs="Arial"/>
                <w:sz w:val="18"/>
                <w:szCs w:val="18"/>
              </w:rPr>
              <w:t xml:space="preserve"> fractures</w:t>
            </w:r>
            <w:r w:rsidR="00BE2B0F" w:rsidRPr="00A9330B">
              <w:rPr>
                <w:rFonts w:cs="Arial"/>
                <w:sz w:val="18"/>
                <w:szCs w:val="18"/>
              </w:rPr>
              <w:t xml:space="preserve">, des </w:t>
            </w:r>
            <w:r w:rsidRPr="00A9330B">
              <w:rPr>
                <w:rFonts w:cs="Arial"/>
                <w:sz w:val="18"/>
                <w:szCs w:val="18"/>
              </w:rPr>
              <w:t>lésions</w:t>
            </w:r>
            <w:r w:rsidR="00BE2B0F" w:rsidRPr="00A9330B">
              <w:rPr>
                <w:rFonts w:cs="Arial"/>
                <w:sz w:val="18"/>
                <w:szCs w:val="18"/>
              </w:rPr>
              <w:t>, des</w:t>
            </w:r>
            <w:r w:rsidRPr="00A9330B">
              <w:rPr>
                <w:rFonts w:cs="Arial"/>
                <w:sz w:val="18"/>
                <w:szCs w:val="18"/>
              </w:rPr>
              <w:t xml:space="preserve"> pertes sensorielles temporaires ou permanentes  </w:t>
            </w:r>
          </w:p>
        </w:tc>
        <w:tc>
          <w:tcPr>
            <w:tcW w:w="992" w:type="dxa"/>
          </w:tcPr>
          <w:p w14:paraId="5F622081" w14:textId="77777777" w:rsidR="00401546" w:rsidRPr="00A9330B" w:rsidRDefault="00401546" w:rsidP="00401546">
            <w:pPr>
              <w:spacing w:line="240" w:lineRule="auto"/>
              <w:jc w:val="center"/>
              <w:rPr>
                <w:rFonts w:cs="Arial"/>
                <w:sz w:val="18"/>
                <w:szCs w:val="18"/>
              </w:rPr>
            </w:pPr>
            <w:r w:rsidRPr="00A9330B">
              <w:rPr>
                <w:rFonts w:cs="Arial"/>
                <w:sz w:val="18"/>
                <w:szCs w:val="18"/>
              </w:rPr>
              <w:t>3</w:t>
            </w:r>
          </w:p>
        </w:tc>
        <w:tc>
          <w:tcPr>
            <w:tcW w:w="859" w:type="dxa"/>
          </w:tcPr>
          <w:p w14:paraId="5285CDCD" w14:textId="77777777" w:rsidR="00401546" w:rsidRPr="00A9330B" w:rsidRDefault="00401546" w:rsidP="00401546">
            <w:pPr>
              <w:spacing w:line="240" w:lineRule="auto"/>
              <w:jc w:val="center"/>
              <w:rPr>
                <w:rFonts w:cs="Arial"/>
                <w:sz w:val="18"/>
                <w:szCs w:val="18"/>
              </w:rPr>
            </w:pPr>
            <w:r w:rsidRPr="00A9330B">
              <w:rPr>
                <w:rFonts w:cs="Arial"/>
                <w:sz w:val="18"/>
                <w:szCs w:val="18"/>
              </w:rPr>
              <w:t>4</w:t>
            </w:r>
          </w:p>
        </w:tc>
        <w:tc>
          <w:tcPr>
            <w:tcW w:w="709" w:type="dxa"/>
            <w:shd w:val="clear" w:color="auto" w:fill="FF0000"/>
          </w:tcPr>
          <w:p w14:paraId="7235229D" w14:textId="77777777" w:rsidR="00401546" w:rsidRPr="00A9330B" w:rsidRDefault="00401546" w:rsidP="00401546">
            <w:pPr>
              <w:spacing w:line="240" w:lineRule="auto"/>
              <w:jc w:val="center"/>
              <w:rPr>
                <w:rFonts w:cs="Arial"/>
                <w:sz w:val="18"/>
                <w:szCs w:val="18"/>
              </w:rPr>
            </w:pPr>
          </w:p>
        </w:tc>
      </w:tr>
      <w:tr w:rsidR="00401546" w:rsidRPr="00A9330B" w14:paraId="7E1E4FA9" w14:textId="77777777" w:rsidTr="009C5C1D">
        <w:trPr>
          <w:jc w:val="center"/>
        </w:trPr>
        <w:tc>
          <w:tcPr>
            <w:tcW w:w="709" w:type="dxa"/>
          </w:tcPr>
          <w:p w14:paraId="230F22C2" w14:textId="77777777" w:rsidR="00401546" w:rsidRPr="00A9330B" w:rsidRDefault="00401546" w:rsidP="00401546">
            <w:pPr>
              <w:spacing w:line="240" w:lineRule="auto"/>
              <w:jc w:val="center"/>
              <w:rPr>
                <w:rFonts w:cs="Arial"/>
                <w:sz w:val="18"/>
                <w:szCs w:val="18"/>
              </w:rPr>
            </w:pPr>
            <w:r w:rsidRPr="00A9330B">
              <w:rPr>
                <w:rFonts w:cs="Arial"/>
                <w:sz w:val="18"/>
                <w:szCs w:val="18"/>
              </w:rPr>
              <w:t>3</w:t>
            </w:r>
          </w:p>
        </w:tc>
        <w:tc>
          <w:tcPr>
            <w:tcW w:w="2830" w:type="dxa"/>
          </w:tcPr>
          <w:p w14:paraId="16B5432C" w14:textId="77777777" w:rsidR="00401546" w:rsidRPr="00A9330B" w:rsidRDefault="00401546" w:rsidP="000F7BA7">
            <w:pPr>
              <w:spacing w:line="240" w:lineRule="auto"/>
              <w:jc w:val="both"/>
              <w:rPr>
                <w:rFonts w:cs="Arial"/>
                <w:sz w:val="18"/>
                <w:szCs w:val="18"/>
              </w:rPr>
            </w:pPr>
            <w:r w:rsidRPr="00A9330B">
              <w:rPr>
                <w:rFonts w:cs="Arial"/>
                <w:sz w:val="18"/>
                <w:szCs w:val="18"/>
              </w:rPr>
              <w:t xml:space="preserve">Absence ou inefficacité des protections collectives et individuelles </w:t>
            </w:r>
          </w:p>
        </w:tc>
        <w:tc>
          <w:tcPr>
            <w:tcW w:w="3119" w:type="dxa"/>
          </w:tcPr>
          <w:p w14:paraId="42DEA888" w14:textId="77777777" w:rsidR="00401546" w:rsidRPr="00A9330B" w:rsidRDefault="00401546" w:rsidP="000F7BA7">
            <w:pPr>
              <w:spacing w:line="240" w:lineRule="auto"/>
              <w:jc w:val="both"/>
              <w:rPr>
                <w:rFonts w:cs="Arial"/>
                <w:sz w:val="18"/>
                <w:szCs w:val="18"/>
              </w:rPr>
            </w:pPr>
            <w:r w:rsidRPr="00A9330B">
              <w:rPr>
                <w:rFonts w:cs="Arial"/>
                <w:sz w:val="18"/>
                <w:szCs w:val="18"/>
              </w:rPr>
              <w:t xml:space="preserve">Vulnérabilité des ouvriers vis-à-vis de blessures, fractures, traumatismes </w:t>
            </w:r>
          </w:p>
        </w:tc>
        <w:tc>
          <w:tcPr>
            <w:tcW w:w="992" w:type="dxa"/>
          </w:tcPr>
          <w:p w14:paraId="72F43010" w14:textId="77777777" w:rsidR="00401546" w:rsidRPr="00A9330B" w:rsidRDefault="00401546" w:rsidP="00401546">
            <w:pPr>
              <w:spacing w:line="240" w:lineRule="auto"/>
              <w:jc w:val="center"/>
              <w:rPr>
                <w:rFonts w:cs="Arial"/>
                <w:sz w:val="18"/>
                <w:szCs w:val="18"/>
              </w:rPr>
            </w:pPr>
            <w:r w:rsidRPr="00A9330B">
              <w:rPr>
                <w:rFonts w:cs="Arial"/>
                <w:sz w:val="18"/>
                <w:szCs w:val="18"/>
              </w:rPr>
              <w:t>3</w:t>
            </w:r>
          </w:p>
        </w:tc>
        <w:tc>
          <w:tcPr>
            <w:tcW w:w="859" w:type="dxa"/>
          </w:tcPr>
          <w:p w14:paraId="1CE4BAAB" w14:textId="77777777" w:rsidR="00401546" w:rsidRPr="00A9330B" w:rsidRDefault="00401546" w:rsidP="00401546">
            <w:pPr>
              <w:spacing w:line="240" w:lineRule="auto"/>
              <w:jc w:val="center"/>
              <w:rPr>
                <w:rFonts w:cs="Arial"/>
                <w:sz w:val="18"/>
                <w:szCs w:val="18"/>
              </w:rPr>
            </w:pPr>
            <w:r w:rsidRPr="00A9330B">
              <w:rPr>
                <w:rFonts w:cs="Arial"/>
                <w:sz w:val="18"/>
                <w:szCs w:val="18"/>
              </w:rPr>
              <w:t>3</w:t>
            </w:r>
          </w:p>
        </w:tc>
        <w:tc>
          <w:tcPr>
            <w:tcW w:w="709" w:type="dxa"/>
            <w:shd w:val="clear" w:color="auto" w:fill="FF0000"/>
          </w:tcPr>
          <w:p w14:paraId="0DD9F87B" w14:textId="77777777" w:rsidR="00401546" w:rsidRPr="00A9330B" w:rsidRDefault="00401546" w:rsidP="00401546">
            <w:pPr>
              <w:spacing w:line="240" w:lineRule="auto"/>
              <w:jc w:val="center"/>
              <w:rPr>
                <w:rFonts w:cs="Arial"/>
                <w:sz w:val="18"/>
                <w:szCs w:val="18"/>
              </w:rPr>
            </w:pPr>
          </w:p>
        </w:tc>
      </w:tr>
      <w:tr w:rsidR="00401546" w:rsidRPr="00A9330B" w14:paraId="130A4B12" w14:textId="77777777" w:rsidTr="009C5C1D">
        <w:trPr>
          <w:jc w:val="center"/>
        </w:trPr>
        <w:tc>
          <w:tcPr>
            <w:tcW w:w="709" w:type="dxa"/>
          </w:tcPr>
          <w:p w14:paraId="6BE30373" w14:textId="77777777" w:rsidR="00401546" w:rsidRPr="00A9330B" w:rsidRDefault="00401546" w:rsidP="00401546">
            <w:pPr>
              <w:spacing w:line="240" w:lineRule="auto"/>
              <w:jc w:val="center"/>
              <w:rPr>
                <w:rFonts w:cs="Arial"/>
                <w:sz w:val="18"/>
                <w:szCs w:val="18"/>
              </w:rPr>
            </w:pPr>
            <w:r w:rsidRPr="00A9330B">
              <w:rPr>
                <w:rFonts w:cs="Arial"/>
                <w:sz w:val="18"/>
                <w:szCs w:val="18"/>
              </w:rPr>
              <w:t>4</w:t>
            </w:r>
          </w:p>
        </w:tc>
        <w:tc>
          <w:tcPr>
            <w:tcW w:w="2830" w:type="dxa"/>
          </w:tcPr>
          <w:p w14:paraId="7F0832C2" w14:textId="77777777" w:rsidR="00401546" w:rsidRPr="00A9330B" w:rsidRDefault="00401546" w:rsidP="000F7BA7">
            <w:pPr>
              <w:spacing w:line="240" w:lineRule="auto"/>
              <w:jc w:val="both"/>
              <w:rPr>
                <w:rFonts w:cs="Arial"/>
                <w:sz w:val="18"/>
                <w:szCs w:val="18"/>
              </w:rPr>
            </w:pPr>
            <w:r w:rsidRPr="00A9330B">
              <w:rPr>
                <w:rFonts w:cs="Arial"/>
                <w:sz w:val="18"/>
                <w:szCs w:val="18"/>
              </w:rPr>
              <w:t>Manipulation, transport ou manutention inadaptés de vérins, coffrages, étais matériaux…</w:t>
            </w:r>
          </w:p>
        </w:tc>
        <w:tc>
          <w:tcPr>
            <w:tcW w:w="3119" w:type="dxa"/>
          </w:tcPr>
          <w:p w14:paraId="7890308A" w14:textId="77777777" w:rsidR="00401546" w:rsidRPr="00A9330B" w:rsidRDefault="00401546" w:rsidP="000F7BA7">
            <w:pPr>
              <w:spacing w:line="240" w:lineRule="auto"/>
              <w:jc w:val="both"/>
              <w:rPr>
                <w:rFonts w:cs="Arial"/>
                <w:sz w:val="18"/>
                <w:szCs w:val="18"/>
              </w:rPr>
            </w:pPr>
            <w:r w:rsidRPr="00A9330B">
              <w:rPr>
                <w:rFonts w:cs="Arial"/>
                <w:sz w:val="18"/>
                <w:szCs w:val="18"/>
              </w:rPr>
              <w:t xml:space="preserve">Coincement, écrasement à l’origine de blessures et traumatismes divers </w:t>
            </w:r>
          </w:p>
        </w:tc>
        <w:tc>
          <w:tcPr>
            <w:tcW w:w="992" w:type="dxa"/>
          </w:tcPr>
          <w:p w14:paraId="4EA305E8" w14:textId="77777777" w:rsidR="00401546" w:rsidRPr="00A9330B" w:rsidRDefault="00401546" w:rsidP="00401546">
            <w:pPr>
              <w:spacing w:line="240" w:lineRule="auto"/>
              <w:jc w:val="center"/>
              <w:rPr>
                <w:rFonts w:cs="Arial"/>
                <w:sz w:val="18"/>
                <w:szCs w:val="18"/>
              </w:rPr>
            </w:pPr>
            <w:r w:rsidRPr="00A9330B">
              <w:rPr>
                <w:rFonts w:cs="Arial"/>
                <w:sz w:val="18"/>
                <w:szCs w:val="18"/>
              </w:rPr>
              <w:t>3</w:t>
            </w:r>
          </w:p>
        </w:tc>
        <w:tc>
          <w:tcPr>
            <w:tcW w:w="859" w:type="dxa"/>
          </w:tcPr>
          <w:p w14:paraId="5F268526" w14:textId="77777777" w:rsidR="00401546" w:rsidRPr="00A9330B" w:rsidRDefault="00401546" w:rsidP="00401546">
            <w:pPr>
              <w:spacing w:line="240" w:lineRule="auto"/>
              <w:jc w:val="center"/>
              <w:rPr>
                <w:rFonts w:cs="Arial"/>
                <w:sz w:val="18"/>
                <w:szCs w:val="18"/>
              </w:rPr>
            </w:pPr>
            <w:r w:rsidRPr="00A9330B">
              <w:rPr>
                <w:rFonts w:cs="Arial"/>
                <w:sz w:val="18"/>
                <w:szCs w:val="18"/>
              </w:rPr>
              <w:t>3</w:t>
            </w:r>
          </w:p>
        </w:tc>
        <w:tc>
          <w:tcPr>
            <w:tcW w:w="709" w:type="dxa"/>
            <w:shd w:val="clear" w:color="auto" w:fill="FF0000"/>
          </w:tcPr>
          <w:p w14:paraId="63CEE3E9" w14:textId="77777777" w:rsidR="00401546" w:rsidRPr="00A9330B" w:rsidRDefault="00401546" w:rsidP="00401546">
            <w:pPr>
              <w:spacing w:line="240" w:lineRule="auto"/>
              <w:jc w:val="center"/>
              <w:rPr>
                <w:rFonts w:cs="Arial"/>
                <w:sz w:val="18"/>
                <w:szCs w:val="18"/>
              </w:rPr>
            </w:pPr>
          </w:p>
        </w:tc>
      </w:tr>
      <w:tr w:rsidR="00401546" w:rsidRPr="00A9330B" w14:paraId="28E49254" w14:textId="77777777" w:rsidTr="009C5C1D">
        <w:trPr>
          <w:jc w:val="center"/>
        </w:trPr>
        <w:tc>
          <w:tcPr>
            <w:tcW w:w="709" w:type="dxa"/>
          </w:tcPr>
          <w:p w14:paraId="0CEEBAD3" w14:textId="77777777" w:rsidR="00401546" w:rsidRPr="00A9330B" w:rsidRDefault="00401546" w:rsidP="00401546">
            <w:pPr>
              <w:spacing w:line="240" w:lineRule="auto"/>
              <w:jc w:val="center"/>
              <w:rPr>
                <w:rFonts w:cs="Arial"/>
                <w:sz w:val="18"/>
                <w:szCs w:val="18"/>
              </w:rPr>
            </w:pPr>
            <w:r w:rsidRPr="00A9330B">
              <w:rPr>
                <w:rFonts w:cs="Arial"/>
                <w:sz w:val="18"/>
                <w:szCs w:val="18"/>
              </w:rPr>
              <w:t>5</w:t>
            </w:r>
          </w:p>
        </w:tc>
        <w:tc>
          <w:tcPr>
            <w:tcW w:w="2830" w:type="dxa"/>
          </w:tcPr>
          <w:p w14:paraId="3D81D67E" w14:textId="77777777" w:rsidR="00401546" w:rsidRPr="00A9330B" w:rsidRDefault="00401546" w:rsidP="000F7BA7">
            <w:pPr>
              <w:spacing w:line="240" w:lineRule="auto"/>
              <w:jc w:val="both"/>
              <w:rPr>
                <w:rFonts w:cs="Arial"/>
                <w:sz w:val="18"/>
                <w:szCs w:val="18"/>
              </w:rPr>
            </w:pPr>
            <w:r w:rsidRPr="00A9330B">
              <w:rPr>
                <w:rFonts w:cs="Arial"/>
                <w:sz w:val="18"/>
                <w:szCs w:val="18"/>
              </w:rPr>
              <w:t xml:space="preserve">Installations et pelletage manuelles, gestes répétitifs ou utilisation longue de machines vibrantes (pointes vibrantes par Ex.) </w:t>
            </w:r>
          </w:p>
        </w:tc>
        <w:tc>
          <w:tcPr>
            <w:tcW w:w="3119" w:type="dxa"/>
          </w:tcPr>
          <w:p w14:paraId="390E6F33" w14:textId="77777777" w:rsidR="00401546" w:rsidRPr="00A9330B" w:rsidRDefault="00401546" w:rsidP="000F7BA7">
            <w:pPr>
              <w:spacing w:line="240" w:lineRule="auto"/>
              <w:jc w:val="both"/>
              <w:rPr>
                <w:rFonts w:cs="Arial"/>
                <w:sz w:val="18"/>
                <w:szCs w:val="18"/>
              </w:rPr>
            </w:pPr>
            <w:r w:rsidRPr="00A9330B">
              <w:rPr>
                <w:rFonts w:cs="Arial"/>
                <w:sz w:val="18"/>
                <w:szCs w:val="18"/>
              </w:rPr>
              <w:t xml:space="preserve">Vulnérabilité des ouvriers vis-à-vis de blessures, fractures, traumatismes par chute de plain-pied  </w:t>
            </w:r>
          </w:p>
        </w:tc>
        <w:tc>
          <w:tcPr>
            <w:tcW w:w="992" w:type="dxa"/>
          </w:tcPr>
          <w:p w14:paraId="79CCBFAE" w14:textId="77777777" w:rsidR="00401546" w:rsidRPr="00A9330B" w:rsidRDefault="00401546" w:rsidP="00401546">
            <w:pPr>
              <w:spacing w:line="240" w:lineRule="auto"/>
              <w:jc w:val="center"/>
              <w:rPr>
                <w:rFonts w:cs="Arial"/>
                <w:sz w:val="18"/>
                <w:szCs w:val="18"/>
              </w:rPr>
            </w:pPr>
            <w:r w:rsidRPr="00A9330B">
              <w:rPr>
                <w:rFonts w:cs="Arial"/>
                <w:sz w:val="18"/>
                <w:szCs w:val="18"/>
              </w:rPr>
              <w:t>3</w:t>
            </w:r>
          </w:p>
        </w:tc>
        <w:tc>
          <w:tcPr>
            <w:tcW w:w="859" w:type="dxa"/>
          </w:tcPr>
          <w:p w14:paraId="3EE27357" w14:textId="77777777" w:rsidR="00401546" w:rsidRPr="00A9330B" w:rsidRDefault="00401546" w:rsidP="00401546">
            <w:pPr>
              <w:spacing w:line="240" w:lineRule="auto"/>
              <w:jc w:val="center"/>
              <w:rPr>
                <w:rFonts w:cs="Arial"/>
                <w:sz w:val="18"/>
                <w:szCs w:val="18"/>
              </w:rPr>
            </w:pPr>
            <w:r w:rsidRPr="00A9330B">
              <w:rPr>
                <w:rFonts w:cs="Arial"/>
                <w:sz w:val="18"/>
                <w:szCs w:val="18"/>
              </w:rPr>
              <w:t>2</w:t>
            </w:r>
          </w:p>
        </w:tc>
        <w:tc>
          <w:tcPr>
            <w:tcW w:w="709" w:type="dxa"/>
            <w:shd w:val="clear" w:color="auto" w:fill="FFFF00"/>
          </w:tcPr>
          <w:p w14:paraId="106FB7A3" w14:textId="77777777" w:rsidR="00401546" w:rsidRPr="00A9330B" w:rsidRDefault="00401546" w:rsidP="00401546">
            <w:pPr>
              <w:spacing w:line="240" w:lineRule="auto"/>
              <w:jc w:val="center"/>
              <w:rPr>
                <w:rFonts w:cs="Arial"/>
                <w:sz w:val="18"/>
                <w:szCs w:val="18"/>
              </w:rPr>
            </w:pPr>
          </w:p>
        </w:tc>
      </w:tr>
      <w:tr w:rsidR="00401546" w:rsidRPr="00A9330B" w14:paraId="4EE172BD" w14:textId="77777777" w:rsidTr="009C5C1D">
        <w:trPr>
          <w:jc w:val="center"/>
        </w:trPr>
        <w:tc>
          <w:tcPr>
            <w:tcW w:w="709" w:type="dxa"/>
          </w:tcPr>
          <w:p w14:paraId="63CE5723" w14:textId="77777777" w:rsidR="00401546" w:rsidRPr="00A9330B" w:rsidRDefault="00401546" w:rsidP="00401546">
            <w:pPr>
              <w:spacing w:line="240" w:lineRule="auto"/>
              <w:jc w:val="center"/>
              <w:rPr>
                <w:rFonts w:cs="Arial"/>
                <w:sz w:val="18"/>
                <w:szCs w:val="18"/>
              </w:rPr>
            </w:pPr>
            <w:r w:rsidRPr="00A9330B">
              <w:rPr>
                <w:rFonts w:cs="Arial"/>
                <w:sz w:val="18"/>
                <w:szCs w:val="18"/>
              </w:rPr>
              <w:t>6</w:t>
            </w:r>
          </w:p>
        </w:tc>
        <w:tc>
          <w:tcPr>
            <w:tcW w:w="2830" w:type="dxa"/>
          </w:tcPr>
          <w:p w14:paraId="7DF1C383" w14:textId="0EE76DC7" w:rsidR="00401546" w:rsidRPr="00A9330B" w:rsidRDefault="00401546" w:rsidP="00401546">
            <w:pPr>
              <w:spacing w:line="240" w:lineRule="auto"/>
              <w:rPr>
                <w:rFonts w:cs="Arial"/>
                <w:sz w:val="18"/>
                <w:szCs w:val="18"/>
              </w:rPr>
            </w:pPr>
            <w:r w:rsidRPr="00A9330B">
              <w:rPr>
                <w:rFonts w:cs="Arial"/>
                <w:sz w:val="18"/>
                <w:szCs w:val="18"/>
              </w:rPr>
              <w:t>Manutention et pelletage manuels, geste</w:t>
            </w:r>
            <w:r w:rsidR="00BE2B0F" w:rsidRPr="00A9330B">
              <w:rPr>
                <w:rFonts w:cs="Arial"/>
                <w:sz w:val="18"/>
                <w:szCs w:val="18"/>
              </w:rPr>
              <w:t>s</w:t>
            </w:r>
            <w:r w:rsidRPr="00A9330B">
              <w:rPr>
                <w:rFonts w:cs="Arial"/>
                <w:sz w:val="18"/>
                <w:szCs w:val="18"/>
              </w:rPr>
              <w:t xml:space="preserve"> répétitifs ou utilisation longue de machines vibrantes (pointes vibrantes par Ex) </w:t>
            </w:r>
          </w:p>
        </w:tc>
        <w:tc>
          <w:tcPr>
            <w:tcW w:w="3119" w:type="dxa"/>
          </w:tcPr>
          <w:p w14:paraId="3EE664B6" w14:textId="77777777" w:rsidR="00401546" w:rsidRPr="00A9330B" w:rsidRDefault="00401546" w:rsidP="000F7BA7">
            <w:pPr>
              <w:spacing w:line="240" w:lineRule="auto"/>
              <w:jc w:val="both"/>
              <w:rPr>
                <w:rFonts w:cs="Arial"/>
                <w:sz w:val="18"/>
                <w:szCs w:val="18"/>
              </w:rPr>
            </w:pPr>
            <w:r w:rsidRPr="00A9330B">
              <w:rPr>
                <w:rFonts w:cs="Arial"/>
                <w:sz w:val="18"/>
                <w:szCs w:val="18"/>
              </w:rPr>
              <w:t xml:space="preserve">Apparition de troubles musculo-squelettiques </w:t>
            </w:r>
          </w:p>
        </w:tc>
        <w:tc>
          <w:tcPr>
            <w:tcW w:w="992" w:type="dxa"/>
          </w:tcPr>
          <w:p w14:paraId="27B27827" w14:textId="77777777" w:rsidR="00401546" w:rsidRPr="00A9330B" w:rsidRDefault="00401546" w:rsidP="00401546">
            <w:pPr>
              <w:spacing w:line="240" w:lineRule="auto"/>
              <w:jc w:val="center"/>
              <w:rPr>
                <w:rFonts w:cs="Arial"/>
                <w:sz w:val="18"/>
                <w:szCs w:val="18"/>
              </w:rPr>
            </w:pPr>
            <w:r w:rsidRPr="00A9330B">
              <w:rPr>
                <w:rFonts w:cs="Arial"/>
                <w:sz w:val="18"/>
                <w:szCs w:val="18"/>
              </w:rPr>
              <w:t>3</w:t>
            </w:r>
          </w:p>
        </w:tc>
        <w:tc>
          <w:tcPr>
            <w:tcW w:w="859" w:type="dxa"/>
          </w:tcPr>
          <w:p w14:paraId="04B84870" w14:textId="77777777" w:rsidR="00401546" w:rsidRPr="00A9330B" w:rsidRDefault="00401546" w:rsidP="00401546">
            <w:pPr>
              <w:spacing w:line="240" w:lineRule="auto"/>
              <w:jc w:val="center"/>
              <w:rPr>
                <w:rFonts w:cs="Arial"/>
                <w:sz w:val="18"/>
                <w:szCs w:val="18"/>
              </w:rPr>
            </w:pPr>
            <w:r w:rsidRPr="00A9330B">
              <w:rPr>
                <w:rFonts w:cs="Arial"/>
                <w:sz w:val="18"/>
                <w:szCs w:val="18"/>
              </w:rPr>
              <w:t>2</w:t>
            </w:r>
          </w:p>
        </w:tc>
        <w:tc>
          <w:tcPr>
            <w:tcW w:w="709" w:type="dxa"/>
            <w:shd w:val="clear" w:color="auto" w:fill="FFFF00"/>
          </w:tcPr>
          <w:p w14:paraId="2CBFA31E" w14:textId="77777777" w:rsidR="00401546" w:rsidRPr="00A9330B" w:rsidRDefault="00401546" w:rsidP="00401546">
            <w:pPr>
              <w:spacing w:line="240" w:lineRule="auto"/>
              <w:jc w:val="center"/>
              <w:rPr>
                <w:rFonts w:cs="Arial"/>
                <w:sz w:val="18"/>
                <w:szCs w:val="18"/>
              </w:rPr>
            </w:pPr>
          </w:p>
        </w:tc>
      </w:tr>
      <w:tr w:rsidR="00401546" w:rsidRPr="00A9330B" w14:paraId="1899E1AC" w14:textId="77777777" w:rsidTr="009C5C1D">
        <w:trPr>
          <w:jc w:val="center"/>
        </w:trPr>
        <w:tc>
          <w:tcPr>
            <w:tcW w:w="709" w:type="dxa"/>
          </w:tcPr>
          <w:p w14:paraId="39FBA962" w14:textId="77777777" w:rsidR="00401546" w:rsidRPr="00A9330B" w:rsidRDefault="00401546" w:rsidP="00401546">
            <w:pPr>
              <w:spacing w:line="240" w:lineRule="auto"/>
              <w:jc w:val="center"/>
              <w:rPr>
                <w:rFonts w:cs="Arial"/>
                <w:sz w:val="18"/>
                <w:szCs w:val="18"/>
              </w:rPr>
            </w:pPr>
            <w:r w:rsidRPr="00A9330B">
              <w:rPr>
                <w:rFonts w:cs="Arial"/>
                <w:sz w:val="18"/>
                <w:szCs w:val="18"/>
              </w:rPr>
              <w:t>7</w:t>
            </w:r>
          </w:p>
        </w:tc>
        <w:tc>
          <w:tcPr>
            <w:tcW w:w="2830" w:type="dxa"/>
          </w:tcPr>
          <w:p w14:paraId="069DDD96" w14:textId="5F6B310D" w:rsidR="00401546" w:rsidRPr="00A9330B" w:rsidRDefault="00401546" w:rsidP="000F7BA7">
            <w:pPr>
              <w:spacing w:line="240" w:lineRule="auto"/>
              <w:jc w:val="both"/>
              <w:rPr>
                <w:rFonts w:cs="Arial"/>
                <w:sz w:val="18"/>
                <w:szCs w:val="18"/>
              </w:rPr>
            </w:pPr>
            <w:r w:rsidRPr="00A9330B">
              <w:rPr>
                <w:rFonts w:cs="Arial"/>
                <w:sz w:val="18"/>
                <w:szCs w:val="18"/>
              </w:rPr>
              <w:t xml:space="preserve">Durée du travail excessive et accès </w:t>
            </w:r>
            <w:r w:rsidR="00BE2B0F" w:rsidRPr="00A9330B">
              <w:rPr>
                <w:rFonts w:cs="Arial"/>
                <w:sz w:val="18"/>
                <w:szCs w:val="18"/>
              </w:rPr>
              <w:t xml:space="preserve">inadapté </w:t>
            </w:r>
            <w:r w:rsidRPr="00A9330B">
              <w:rPr>
                <w:rFonts w:cs="Arial"/>
                <w:sz w:val="18"/>
                <w:szCs w:val="18"/>
              </w:rPr>
              <w:t xml:space="preserve">à l’eau et </w:t>
            </w:r>
            <w:r w:rsidR="00BE2B0F" w:rsidRPr="00A9330B">
              <w:rPr>
                <w:rFonts w:cs="Arial"/>
                <w:sz w:val="18"/>
                <w:szCs w:val="18"/>
              </w:rPr>
              <w:t xml:space="preserve">à </w:t>
            </w:r>
            <w:r w:rsidRPr="00A9330B">
              <w:rPr>
                <w:rFonts w:cs="Arial"/>
                <w:sz w:val="18"/>
                <w:szCs w:val="18"/>
              </w:rPr>
              <w:t xml:space="preserve">l’hygiène </w:t>
            </w:r>
          </w:p>
        </w:tc>
        <w:tc>
          <w:tcPr>
            <w:tcW w:w="3119" w:type="dxa"/>
          </w:tcPr>
          <w:p w14:paraId="714A73D1" w14:textId="2E459DAF" w:rsidR="00401546" w:rsidRPr="00A9330B" w:rsidRDefault="00401546" w:rsidP="000F7BA7">
            <w:pPr>
              <w:spacing w:line="240" w:lineRule="auto"/>
              <w:jc w:val="both"/>
              <w:rPr>
                <w:rFonts w:cs="Arial"/>
                <w:sz w:val="18"/>
                <w:szCs w:val="18"/>
              </w:rPr>
            </w:pPr>
            <w:r w:rsidRPr="00A9330B">
              <w:rPr>
                <w:rFonts w:cs="Arial"/>
                <w:sz w:val="18"/>
                <w:szCs w:val="18"/>
              </w:rPr>
              <w:t xml:space="preserve">Exposition à la chaleur ou au soleil et fatigue excessive à l’origine d’insolation, déshydratation, désordres métaboliques, trouble de l’attention  </w:t>
            </w:r>
          </w:p>
        </w:tc>
        <w:tc>
          <w:tcPr>
            <w:tcW w:w="992" w:type="dxa"/>
          </w:tcPr>
          <w:p w14:paraId="504A1F32" w14:textId="77777777" w:rsidR="00401546" w:rsidRPr="00A9330B" w:rsidRDefault="00401546" w:rsidP="00401546">
            <w:pPr>
              <w:spacing w:line="240" w:lineRule="auto"/>
              <w:jc w:val="center"/>
              <w:rPr>
                <w:rFonts w:cs="Arial"/>
                <w:sz w:val="18"/>
                <w:szCs w:val="18"/>
              </w:rPr>
            </w:pPr>
            <w:r w:rsidRPr="00A9330B">
              <w:rPr>
                <w:rFonts w:cs="Arial"/>
                <w:sz w:val="18"/>
                <w:szCs w:val="18"/>
              </w:rPr>
              <w:t>3</w:t>
            </w:r>
          </w:p>
        </w:tc>
        <w:tc>
          <w:tcPr>
            <w:tcW w:w="859" w:type="dxa"/>
          </w:tcPr>
          <w:p w14:paraId="469BAE2F" w14:textId="77777777" w:rsidR="00401546" w:rsidRPr="00A9330B" w:rsidRDefault="00401546" w:rsidP="00401546">
            <w:pPr>
              <w:spacing w:line="240" w:lineRule="auto"/>
              <w:jc w:val="center"/>
              <w:rPr>
                <w:rFonts w:cs="Arial"/>
                <w:sz w:val="18"/>
                <w:szCs w:val="18"/>
              </w:rPr>
            </w:pPr>
            <w:r w:rsidRPr="00A9330B">
              <w:rPr>
                <w:rFonts w:cs="Arial"/>
                <w:sz w:val="18"/>
                <w:szCs w:val="18"/>
              </w:rPr>
              <w:t>2</w:t>
            </w:r>
          </w:p>
        </w:tc>
        <w:tc>
          <w:tcPr>
            <w:tcW w:w="709" w:type="dxa"/>
            <w:shd w:val="clear" w:color="auto" w:fill="FFFF00"/>
          </w:tcPr>
          <w:p w14:paraId="5D7625ED" w14:textId="77777777" w:rsidR="00401546" w:rsidRPr="00A9330B" w:rsidRDefault="00401546" w:rsidP="00401546">
            <w:pPr>
              <w:spacing w:line="240" w:lineRule="auto"/>
              <w:jc w:val="center"/>
              <w:rPr>
                <w:rFonts w:cs="Arial"/>
                <w:sz w:val="18"/>
                <w:szCs w:val="18"/>
              </w:rPr>
            </w:pPr>
          </w:p>
        </w:tc>
      </w:tr>
      <w:tr w:rsidR="00401546" w:rsidRPr="00A9330B" w14:paraId="14C42E93" w14:textId="77777777" w:rsidTr="009C5C1D">
        <w:trPr>
          <w:jc w:val="center"/>
        </w:trPr>
        <w:tc>
          <w:tcPr>
            <w:tcW w:w="709" w:type="dxa"/>
          </w:tcPr>
          <w:p w14:paraId="62733E87" w14:textId="77777777" w:rsidR="00401546" w:rsidRPr="00A9330B" w:rsidRDefault="00401546" w:rsidP="00401546">
            <w:pPr>
              <w:spacing w:line="240" w:lineRule="auto"/>
              <w:jc w:val="center"/>
              <w:rPr>
                <w:rFonts w:cs="Arial"/>
                <w:sz w:val="18"/>
                <w:szCs w:val="18"/>
              </w:rPr>
            </w:pPr>
            <w:r w:rsidRPr="00A9330B">
              <w:rPr>
                <w:rFonts w:cs="Arial"/>
                <w:sz w:val="18"/>
                <w:szCs w:val="18"/>
              </w:rPr>
              <w:t>8</w:t>
            </w:r>
          </w:p>
        </w:tc>
        <w:tc>
          <w:tcPr>
            <w:tcW w:w="2830" w:type="dxa"/>
          </w:tcPr>
          <w:p w14:paraId="7A329FF9" w14:textId="77777777" w:rsidR="00401546" w:rsidRPr="00A9330B" w:rsidRDefault="00401546" w:rsidP="000F7BA7">
            <w:pPr>
              <w:spacing w:line="240" w:lineRule="auto"/>
              <w:jc w:val="both"/>
              <w:rPr>
                <w:rFonts w:cs="Arial"/>
                <w:sz w:val="18"/>
                <w:szCs w:val="18"/>
              </w:rPr>
            </w:pPr>
            <w:r w:rsidRPr="00A9330B">
              <w:rPr>
                <w:rFonts w:cs="Arial"/>
                <w:sz w:val="18"/>
                <w:szCs w:val="18"/>
              </w:rPr>
              <w:t>Conduite inappropriée des véhicules et engins de chantier</w:t>
            </w:r>
          </w:p>
        </w:tc>
        <w:tc>
          <w:tcPr>
            <w:tcW w:w="3119" w:type="dxa"/>
          </w:tcPr>
          <w:p w14:paraId="033018FC" w14:textId="77777777" w:rsidR="00401546" w:rsidRPr="00A9330B" w:rsidRDefault="00401546" w:rsidP="000F7BA7">
            <w:pPr>
              <w:spacing w:line="240" w:lineRule="auto"/>
              <w:jc w:val="both"/>
              <w:rPr>
                <w:rFonts w:cs="Arial"/>
                <w:sz w:val="18"/>
                <w:szCs w:val="18"/>
              </w:rPr>
            </w:pPr>
            <w:r w:rsidRPr="00A9330B">
              <w:rPr>
                <w:rFonts w:cs="Arial"/>
                <w:sz w:val="18"/>
                <w:szCs w:val="18"/>
              </w:rPr>
              <w:t xml:space="preserve">Exposition des chauffeurs, passagers et tiers à des blessures, fractures, traumatismes et le cas échéant dégradation ou destruction des biens  </w:t>
            </w:r>
          </w:p>
        </w:tc>
        <w:tc>
          <w:tcPr>
            <w:tcW w:w="992" w:type="dxa"/>
          </w:tcPr>
          <w:p w14:paraId="673B2308" w14:textId="77777777" w:rsidR="00401546" w:rsidRPr="00A9330B" w:rsidRDefault="00401546" w:rsidP="00401546">
            <w:pPr>
              <w:spacing w:line="240" w:lineRule="auto"/>
              <w:jc w:val="center"/>
              <w:rPr>
                <w:rFonts w:cs="Arial"/>
                <w:sz w:val="18"/>
                <w:szCs w:val="18"/>
              </w:rPr>
            </w:pPr>
            <w:r w:rsidRPr="00A9330B">
              <w:rPr>
                <w:rFonts w:cs="Arial"/>
                <w:sz w:val="18"/>
                <w:szCs w:val="18"/>
              </w:rPr>
              <w:t>2</w:t>
            </w:r>
          </w:p>
        </w:tc>
        <w:tc>
          <w:tcPr>
            <w:tcW w:w="859" w:type="dxa"/>
          </w:tcPr>
          <w:p w14:paraId="62BBDF8B" w14:textId="77777777" w:rsidR="00401546" w:rsidRPr="00A9330B" w:rsidRDefault="00401546" w:rsidP="00401546">
            <w:pPr>
              <w:spacing w:line="240" w:lineRule="auto"/>
              <w:jc w:val="center"/>
              <w:rPr>
                <w:rFonts w:cs="Arial"/>
                <w:sz w:val="18"/>
                <w:szCs w:val="18"/>
              </w:rPr>
            </w:pPr>
            <w:r w:rsidRPr="00A9330B">
              <w:rPr>
                <w:rFonts w:cs="Arial"/>
                <w:sz w:val="18"/>
                <w:szCs w:val="18"/>
              </w:rPr>
              <w:t>3</w:t>
            </w:r>
          </w:p>
        </w:tc>
        <w:tc>
          <w:tcPr>
            <w:tcW w:w="709" w:type="dxa"/>
            <w:shd w:val="clear" w:color="auto" w:fill="FFFF00"/>
          </w:tcPr>
          <w:p w14:paraId="5C7BCF15" w14:textId="77777777" w:rsidR="00401546" w:rsidRPr="00A9330B" w:rsidRDefault="00401546" w:rsidP="00401546">
            <w:pPr>
              <w:spacing w:line="240" w:lineRule="auto"/>
              <w:jc w:val="center"/>
              <w:rPr>
                <w:rFonts w:cs="Arial"/>
                <w:sz w:val="18"/>
                <w:szCs w:val="18"/>
              </w:rPr>
            </w:pPr>
          </w:p>
        </w:tc>
      </w:tr>
      <w:tr w:rsidR="00401546" w:rsidRPr="00A9330B" w14:paraId="4E71F8FD" w14:textId="77777777" w:rsidTr="009C5C1D">
        <w:trPr>
          <w:jc w:val="center"/>
        </w:trPr>
        <w:tc>
          <w:tcPr>
            <w:tcW w:w="709" w:type="dxa"/>
          </w:tcPr>
          <w:p w14:paraId="453B7DFE" w14:textId="77777777" w:rsidR="00401546" w:rsidRPr="00A9330B" w:rsidRDefault="00401546" w:rsidP="00401546">
            <w:pPr>
              <w:spacing w:line="240" w:lineRule="auto"/>
              <w:jc w:val="center"/>
              <w:rPr>
                <w:rFonts w:cs="Arial"/>
                <w:sz w:val="18"/>
                <w:szCs w:val="18"/>
              </w:rPr>
            </w:pPr>
            <w:r w:rsidRPr="00A9330B">
              <w:rPr>
                <w:rFonts w:cs="Arial"/>
                <w:sz w:val="18"/>
                <w:szCs w:val="18"/>
              </w:rPr>
              <w:lastRenderedPageBreak/>
              <w:t>9</w:t>
            </w:r>
          </w:p>
        </w:tc>
        <w:tc>
          <w:tcPr>
            <w:tcW w:w="2830" w:type="dxa"/>
          </w:tcPr>
          <w:p w14:paraId="165D42C8" w14:textId="652CAAD9" w:rsidR="00401546" w:rsidRPr="00A9330B" w:rsidRDefault="00401546" w:rsidP="000F7BA7">
            <w:pPr>
              <w:spacing w:line="240" w:lineRule="auto"/>
              <w:jc w:val="both"/>
              <w:rPr>
                <w:rFonts w:cs="Arial"/>
                <w:sz w:val="18"/>
                <w:szCs w:val="18"/>
              </w:rPr>
            </w:pPr>
            <w:r w:rsidRPr="00A9330B">
              <w:rPr>
                <w:rFonts w:cs="Arial"/>
                <w:sz w:val="18"/>
                <w:szCs w:val="18"/>
              </w:rPr>
              <w:t xml:space="preserve">Déplacement ou utilisation non </w:t>
            </w:r>
            <w:r w:rsidR="00904FDE" w:rsidRPr="00A9330B">
              <w:rPr>
                <w:rFonts w:cs="Arial"/>
                <w:sz w:val="18"/>
                <w:szCs w:val="18"/>
              </w:rPr>
              <w:t xml:space="preserve">ou </w:t>
            </w:r>
            <w:r w:rsidRPr="00A9330B">
              <w:rPr>
                <w:rFonts w:cs="Arial"/>
                <w:sz w:val="18"/>
                <w:szCs w:val="18"/>
              </w:rPr>
              <w:t>mal contrôlé</w:t>
            </w:r>
            <w:r w:rsidR="00904FDE" w:rsidRPr="00A9330B">
              <w:rPr>
                <w:rFonts w:cs="Arial"/>
                <w:sz w:val="18"/>
                <w:szCs w:val="18"/>
              </w:rPr>
              <w:t>e</w:t>
            </w:r>
            <w:r w:rsidRPr="00A9330B">
              <w:rPr>
                <w:rFonts w:cs="Arial"/>
                <w:sz w:val="18"/>
                <w:szCs w:val="18"/>
              </w:rPr>
              <w:t xml:space="preserve"> de véhicules et engins de chantier ou de leurs organes mobiles (bétonnière par ex.) </w:t>
            </w:r>
          </w:p>
        </w:tc>
        <w:tc>
          <w:tcPr>
            <w:tcW w:w="3119" w:type="dxa"/>
          </w:tcPr>
          <w:p w14:paraId="12D7AD67" w14:textId="23169826" w:rsidR="00401546" w:rsidRPr="00A9330B" w:rsidRDefault="00401546" w:rsidP="000F7BA7">
            <w:pPr>
              <w:spacing w:line="240" w:lineRule="auto"/>
              <w:jc w:val="both"/>
              <w:rPr>
                <w:rFonts w:cs="Arial"/>
                <w:sz w:val="18"/>
                <w:szCs w:val="18"/>
              </w:rPr>
            </w:pPr>
            <w:r w:rsidRPr="00A9330B">
              <w:rPr>
                <w:rFonts w:cs="Arial"/>
                <w:sz w:val="18"/>
                <w:szCs w:val="18"/>
              </w:rPr>
              <w:t xml:space="preserve">Renversement, basculement, heurt ou happement d’un ouvrier pouvant occasionner la mort, des blessures, </w:t>
            </w:r>
            <w:r w:rsidR="00BE2B0F" w:rsidRPr="00A9330B">
              <w:rPr>
                <w:rFonts w:cs="Arial"/>
                <w:sz w:val="18"/>
                <w:szCs w:val="18"/>
              </w:rPr>
              <w:t xml:space="preserve">des </w:t>
            </w:r>
            <w:r w:rsidRPr="00A9330B">
              <w:rPr>
                <w:rFonts w:cs="Arial"/>
                <w:sz w:val="18"/>
                <w:szCs w:val="18"/>
              </w:rPr>
              <w:t xml:space="preserve">fractures, </w:t>
            </w:r>
            <w:r w:rsidR="00BE2B0F" w:rsidRPr="00A9330B">
              <w:rPr>
                <w:rFonts w:cs="Arial"/>
                <w:sz w:val="18"/>
                <w:szCs w:val="18"/>
              </w:rPr>
              <w:t xml:space="preserve">des </w:t>
            </w:r>
            <w:r w:rsidRPr="00A9330B">
              <w:rPr>
                <w:rFonts w:cs="Arial"/>
                <w:sz w:val="18"/>
                <w:szCs w:val="18"/>
              </w:rPr>
              <w:t>lésions</w:t>
            </w:r>
            <w:r w:rsidR="00BE2B0F" w:rsidRPr="00A9330B">
              <w:rPr>
                <w:rFonts w:cs="Arial"/>
                <w:sz w:val="18"/>
                <w:szCs w:val="18"/>
              </w:rPr>
              <w:t>, des</w:t>
            </w:r>
            <w:r w:rsidRPr="00A9330B">
              <w:rPr>
                <w:rFonts w:cs="Arial"/>
                <w:sz w:val="18"/>
                <w:szCs w:val="18"/>
              </w:rPr>
              <w:t xml:space="preserve"> pertes sensorielles temporaires ou permanentes </w:t>
            </w:r>
          </w:p>
        </w:tc>
        <w:tc>
          <w:tcPr>
            <w:tcW w:w="992" w:type="dxa"/>
          </w:tcPr>
          <w:p w14:paraId="77240B7A" w14:textId="77777777" w:rsidR="00401546" w:rsidRPr="00A9330B" w:rsidRDefault="00401546" w:rsidP="00401546">
            <w:pPr>
              <w:spacing w:line="240" w:lineRule="auto"/>
              <w:jc w:val="center"/>
              <w:rPr>
                <w:rFonts w:cs="Arial"/>
                <w:sz w:val="18"/>
                <w:szCs w:val="18"/>
              </w:rPr>
            </w:pPr>
            <w:r w:rsidRPr="00A9330B">
              <w:rPr>
                <w:rFonts w:cs="Arial"/>
                <w:sz w:val="18"/>
                <w:szCs w:val="18"/>
              </w:rPr>
              <w:t>2</w:t>
            </w:r>
          </w:p>
        </w:tc>
        <w:tc>
          <w:tcPr>
            <w:tcW w:w="859" w:type="dxa"/>
          </w:tcPr>
          <w:p w14:paraId="3CD936F7" w14:textId="77777777" w:rsidR="00401546" w:rsidRPr="00A9330B" w:rsidRDefault="00401546" w:rsidP="00401546">
            <w:pPr>
              <w:spacing w:line="240" w:lineRule="auto"/>
              <w:jc w:val="center"/>
              <w:rPr>
                <w:rFonts w:cs="Arial"/>
                <w:sz w:val="18"/>
                <w:szCs w:val="18"/>
              </w:rPr>
            </w:pPr>
            <w:r w:rsidRPr="00A9330B">
              <w:rPr>
                <w:rFonts w:cs="Arial"/>
                <w:sz w:val="18"/>
                <w:szCs w:val="18"/>
              </w:rPr>
              <w:t>3</w:t>
            </w:r>
          </w:p>
        </w:tc>
        <w:tc>
          <w:tcPr>
            <w:tcW w:w="709" w:type="dxa"/>
            <w:shd w:val="clear" w:color="auto" w:fill="FFFF00"/>
          </w:tcPr>
          <w:p w14:paraId="741E6E14" w14:textId="77777777" w:rsidR="00401546" w:rsidRPr="00A9330B" w:rsidRDefault="00401546" w:rsidP="00401546">
            <w:pPr>
              <w:spacing w:line="240" w:lineRule="auto"/>
              <w:jc w:val="center"/>
              <w:rPr>
                <w:rFonts w:cs="Arial"/>
                <w:sz w:val="18"/>
                <w:szCs w:val="18"/>
              </w:rPr>
            </w:pPr>
          </w:p>
        </w:tc>
      </w:tr>
      <w:tr w:rsidR="00401546" w:rsidRPr="00A9330B" w14:paraId="3D67A8AA" w14:textId="77777777" w:rsidTr="009C5C1D">
        <w:trPr>
          <w:jc w:val="center"/>
        </w:trPr>
        <w:tc>
          <w:tcPr>
            <w:tcW w:w="709" w:type="dxa"/>
          </w:tcPr>
          <w:p w14:paraId="0569E857" w14:textId="77777777" w:rsidR="00401546" w:rsidRPr="00A9330B" w:rsidRDefault="00401546" w:rsidP="00401546">
            <w:pPr>
              <w:spacing w:line="240" w:lineRule="auto"/>
              <w:jc w:val="center"/>
              <w:rPr>
                <w:rFonts w:cs="Arial"/>
                <w:sz w:val="18"/>
                <w:szCs w:val="18"/>
              </w:rPr>
            </w:pPr>
            <w:r w:rsidRPr="00A9330B">
              <w:rPr>
                <w:rFonts w:cs="Arial"/>
                <w:sz w:val="18"/>
                <w:szCs w:val="18"/>
              </w:rPr>
              <w:t>10</w:t>
            </w:r>
          </w:p>
        </w:tc>
        <w:tc>
          <w:tcPr>
            <w:tcW w:w="2830" w:type="dxa"/>
          </w:tcPr>
          <w:p w14:paraId="4B0310B2" w14:textId="77777777" w:rsidR="00401546" w:rsidRPr="00A9330B" w:rsidRDefault="00401546" w:rsidP="000F7BA7">
            <w:pPr>
              <w:spacing w:line="240" w:lineRule="auto"/>
              <w:jc w:val="both"/>
              <w:rPr>
                <w:rFonts w:cs="Arial"/>
                <w:sz w:val="18"/>
                <w:szCs w:val="18"/>
              </w:rPr>
            </w:pPr>
            <w:r w:rsidRPr="00A9330B">
              <w:rPr>
                <w:rFonts w:cs="Arial"/>
                <w:sz w:val="18"/>
                <w:szCs w:val="18"/>
              </w:rPr>
              <w:t>Projections de particules, chute de matériel ou matériaux depuis les zones de travail, la chute des personnes</w:t>
            </w:r>
          </w:p>
        </w:tc>
        <w:tc>
          <w:tcPr>
            <w:tcW w:w="3119" w:type="dxa"/>
          </w:tcPr>
          <w:p w14:paraId="4FA45441" w14:textId="77777777" w:rsidR="00401546" w:rsidRPr="00A9330B" w:rsidRDefault="00401546" w:rsidP="000F7BA7">
            <w:pPr>
              <w:spacing w:line="240" w:lineRule="auto"/>
              <w:jc w:val="both"/>
              <w:rPr>
                <w:rFonts w:cs="Arial"/>
                <w:sz w:val="18"/>
                <w:szCs w:val="18"/>
              </w:rPr>
            </w:pPr>
            <w:r w:rsidRPr="00A9330B">
              <w:rPr>
                <w:rFonts w:cs="Arial"/>
                <w:sz w:val="18"/>
                <w:szCs w:val="18"/>
              </w:rPr>
              <w:t>Projections de particules (sable, boues),</w:t>
            </w:r>
          </w:p>
          <w:p w14:paraId="6E41286A" w14:textId="77777777" w:rsidR="00401546" w:rsidRPr="00A9330B" w:rsidRDefault="00401546" w:rsidP="000F7BA7">
            <w:pPr>
              <w:spacing w:line="240" w:lineRule="auto"/>
              <w:jc w:val="both"/>
              <w:rPr>
                <w:rFonts w:cs="Arial"/>
                <w:sz w:val="18"/>
                <w:szCs w:val="18"/>
              </w:rPr>
            </w:pPr>
            <w:r w:rsidRPr="00A9330B">
              <w:rPr>
                <w:rFonts w:cs="Arial"/>
                <w:sz w:val="18"/>
                <w:szCs w:val="18"/>
              </w:rPr>
              <w:t>Eclats de gravats,</w:t>
            </w:r>
          </w:p>
          <w:p w14:paraId="54B84C70" w14:textId="77777777" w:rsidR="00401546" w:rsidRPr="00A9330B" w:rsidRDefault="00401546" w:rsidP="000F7BA7">
            <w:pPr>
              <w:spacing w:line="240" w:lineRule="auto"/>
              <w:jc w:val="both"/>
              <w:rPr>
                <w:rFonts w:cs="Arial"/>
                <w:sz w:val="18"/>
                <w:szCs w:val="18"/>
              </w:rPr>
            </w:pPr>
            <w:r w:rsidRPr="00A9330B">
              <w:rPr>
                <w:rFonts w:cs="Arial"/>
                <w:sz w:val="18"/>
                <w:szCs w:val="18"/>
              </w:rPr>
              <w:t>Chute de matériel ou matériaux (éléments préfabriqués), depuis les zones de travail,</w:t>
            </w:r>
          </w:p>
          <w:p w14:paraId="3D594E1D" w14:textId="77777777" w:rsidR="00401546" w:rsidRPr="00A9330B" w:rsidRDefault="00401546" w:rsidP="000F7BA7">
            <w:pPr>
              <w:spacing w:line="240" w:lineRule="auto"/>
              <w:jc w:val="both"/>
              <w:rPr>
                <w:rFonts w:cs="Arial"/>
                <w:sz w:val="18"/>
                <w:szCs w:val="18"/>
              </w:rPr>
            </w:pPr>
            <w:r w:rsidRPr="00A9330B">
              <w:rPr>
                <w:rFonts w:cs="Arial"/>
                <w:sz w:val="18"/>
                <w:szCs w:val="18"/>
              </w:rPr>
              <w:t>Chute des personnes</w:t>
            </w:r>
          </w:p>
        </w:tc>
        <w:tc>
          <w:tcPr>
            <w:tcW w:w="992" w:type="dxa"/>
          </w:tcPr>
          <w:p w14:paraId="261677D1" w14:textId="77777777" w:rsidR="00401546" w:rsidRPr="00A9330B" w:rsidRDefault="00401546" w:rsidP="00401546">
            <w:pPr>
              <w:spacing w:line="240" w:lineRule="auto"/>
              <w:jc w:val="center"/>
              <w:rPr>
                <w:rFonts w:cs="Arial"/>
                <w:sz w:val="18"/>
                <w:szCs w:val="18"/>
              </w:rPr>
            </w:pPr>
            <w:r w:rsidRPr="00A9330B">
              <w:rPr>
                <w:rFonts w:cs="Arial"/>
                <w:sz w:val="18"/>
                <w:szCs w:val="18"/>
              </w:rPr>
              <w:t>2</w:t>
            </w:r>
          </w:p>
        </w:tc>
        <w:tc>
          <w:tcPr>
            <w:tcW w:w="859" w:type="dxa"/>
          </w:tcPr>
          <w:p w14:paraId="46FF5921" w14:textId="77777777" w:rsidR="00401546" w:rsidRPr="00A9330B" w:rsidRDefault="00401546" w:rsidP="00401546">
            <w:pPr>
              <w:spacing w:line="240" w:lineRule="auto"/>
              <w:jc w:val="center"/>
              <w:rPr>
                <w:rFonts w:cs="Arial"/>
                <w:sz w:val="18"/>
                <w:szCs w:val="18"/>
              </w:rPr>
            </w:pPr>
            <w:r w:rsidRPr="00A9330B">
              <w:rPr>
                <w:rFonts w:cs="Arial"/>
                <w:sz w:val="18"/>
                <w:szCs w:val="18"/>
              </w:rPr>
              <w:t>3</w:t>
            </w:r>
          </w:p>
        </w:tc>
        <w:tc>
          <w:tcPr>
            <w:tcW w:w="709" w:type="dxa"/>
            <w:shd w:val="clear" w:color="auto" w:fill="FFFF00"/>
          </w:tcPr>
          <w:p w14:paraId="4D0B1669" w14:textId="77777777" w:rsidR="00401546" w:rsidRPr="00A9330B" w:rsidRDefault="00401546" w:rsidP="00401546">
            <w:pPr>
              <w:spacing w:line="240" w:lineRule="auto"/>
              <w:jc w:val="center"/>
              <w:rPr>
                <w:rFonts w:cs="Arial"/>
                <w:sz w:val="18"/>
                <w:szCs w:val="18"/>
              </w:rPr>
            </w:pPr>
          </w:p>
        </w:tc>
      </w:tr>
      <w:tr w:rsidR="00401546" w:rsidRPr="00A9330B" w14:paraId="210083DB" w14:textId="77777777" w:rsidTr="009C5C1D">
        <w:trPr>
          <w:jc w:val="center"/>
        </w:trPr>
        <w:tc>
          <w:tcPr>
            <w:tcW w:w="709" w:type="dxa"/>
          </w:tcPr>
          <w:p w14:paraId="4CBE5886" w14:textId="77777777" w:rsidR="00401546" w:rsidRPr="00A9330B" w:rsidRDefault="00401546" w:rsidP="00401546">
            <w:pPr>
              <w:spacing w:line="240" w:lineRule="auto"/>
              <w:jc w:val="center"/>
              <w:rPr>
                <w:rFonts w:cs="Arial"/>
                <w:sz w:val="18"/>
                <w:szCs w:val="18"/>
              </w:rPr>
            </w:pPr>
            <w:r w:rsidRPr="00A9330B">
              <w:rPr>
                <w:rFonts w:cs="Arial"/>
                <w:sz w:val="18"/>
                <w:szCs w:val="18"/>
              </w:rPr>
              <w:t>10</w:t>
            </w:r>
          </w:p>
        </w:tc>
        <w:tc>
          <w:tcPr>
            <w:tcW w:w="2830" w:type="dxa"/>
          </w:tcPr>
          <w:p w14:paraId="3D56F38F" w14:textId="77777777" w:rsidR="00401546" w:rsidRPr="00A9330B" w:rsidRDefault="00401546" w:rsidP="000F7BA7">
            <w:pPr>
              <w:spacing w:line="240" w:lineRule="auto"/>
              <w:jc w:val="both"/>
              <w:rPr>
                <w:rFonts w:cs="Arial"/>
                <w:sz w:val="18"/>
                <w:szCs w:val="18"/>
              </w:rPr>
            </w:pPr>
            <w:r w:rsidRPr="00A9330B">
              <w:rPr>
                <w:rFonts w:cs="Arial"/>
                <w:sz w:val="18"/>
                <w:szCs w:val="18"/>
              </w:rPr>
              <w:t xml:space="preserve">Stockage, manutention, manipulation ou transport inadapté de matériels et matériaux </w:t>
            </w:r>
          </w:p>
        </w:tc>
        <w:tc>
          <w:tcPr>
            <w:tcW w:w="3119" w:type="dxa"/>
          </w:tcPr>
          <w:p w14:paraId="4BCA777C" w14:textId="77777777" w:rsidR="00401546" w:rsidRPr="00A9330B" w:rsidRDefault="00401546" w:rsidP="000F7BA7">
            <w:pPr>
              <w:spacing w:line="240" w:lineRule="auto"/>
              <w:jc w:val="both"/>
              <w:rPr>
                <w:rFonts w:cs="Arial"/>
                <w:sz w:val="18"/>
                <w:szCs w:val="18"/>
              </w:rPr>
            </w:pPr>
            <w:r w:rsidRPr="00A9330B">
              <w:rPr>
                <w:rFonts w:cs="Arial"/>
                <w:sz w:val="18"/>
                <w:szCs w:val="18"/>
              </w:rPr>
              <w:t xml:space="preserve">Matériel ou matériaux accidentellement déversés sur les ouvriers pouvant entrainer l’étouffement, des blessures, fractures, traumatismes </w:t>
            </w:r>
          </w:p>
        </w:tc>
        <w:tc>
          <w:tcPr>
            <w:tcW w:w="992" w:type="dxa"/>
          </w:tcPr>
          <w:p w14:paraId="3156B547" w14:textId="77777777" w:rsidR="00401546" w:rsidRPr="00A9330B" w:rsidRDefault="00401546" w:rsidP="00401546">
            <w:pPr>
              <w:spacing w:line="240" w:lineRule="auto"/>
              <w:jc w:val="center"/>
              <w:rPr>
                <w:rFonts w:cs="Arial"/>
                <w:sz w:val="18"/>
                <w:szCs w:val="18"/>
              </w:rPr>
            </w:pPr>
            <w:r w:rsidRPr="00A9330B">
              <w:rPr>
                <w:rFonts w:cs="Arial"/>
                <w:sz w:val="18"/>
                <w:szCs w:val="18"/>
              </w:rPr>
              <w:t>2</w:t>
            </w:r>
          </w:p>
        </w:tc>
        <w:tc>
          <w:tcPr>
            <w:tcW w:w="859" w:type="dxa"/>
          </w:tcPr>
          <w:p w14:paraId="6675277A" w14:textId="77777777" w:rsidR="00401546" w:rsidRPr="00A9330B" w:rsidRDefault="00401546" w:rsidP="00401546">
            <w:pPr>
              <w:spacing w:line="240" w:lineRule="auto"/>
              <w:jc w:val="center"/>
              <w:rPr>
                <w:rFonts w:cs="Arial"/>
                <w:sz w:val="18"/>
                <w:szCs w:val="18"/>
              </w:rPr>
            </w:pPr>
            <w:r w:rsidRPr="00A9330B">
              <w:rPr>
                <w:rFonts w:cs="Arial"/>
                <w:sz w:val="18"/>
                <w:szCs w:val="18"/>
              </w:rPr>
              <w:t>2</w:t>
            </w:r>
          </w:p>
        </w:tc>
        <w:tc>
          <w:tcPr>
            <w:tcW w:w="709" w:type="dxa"/>
            <w:shd w:val="clear" w:color="auto" w:fill="FFFF00"/>
          </w:tcPr>
          <w:p w14:paraId="3778667C" w14:textId="77777777" w:rsidR="00401546" w:rsidRPr="00A9330B" w:rsidRDefault="00401546" w:rsidP="00401546">
            <w:pPr>
              <w:spacing w:line="240" w:lineRule="auto"/>
              <w:jc w:val="center"/>
              <w:rPr>
                <w:rFonts w:cs="Arial"/>
                <w:sz w:val="18"/>
                <w:szCs w:val="18"/>
              </w:rPr>
            </w:pPr>
          </w:p>
        </w:tc>
      </w:tr>
      <w:tr w:rsidR="00401546" w:rsidRPr="00A9330B" w14:paraId="46B661E1" w14:textId="77777777" w:rsidTr="009C5C1D">
        <w:trPr>
          <w:jc w:val="center"/>
        </w:trPr>
        <w:tc>
          <w:tcPr>
            <w:tcW w:w="709" w:type="dxa"/>
          </w:tcPr>
          <w:p w14:paraId="2BCF361C" w14:textId="77777777" w:rsidR="00401546" w:rsidRPr="00A9330B" w:rsidRDefault="00401546" w:rsidP="00401546">
            <w:pPr>
              <w:spacing w:line="240" w:lineRule="auto"/>
              <w:jc w:val="center"/>
              <w:rPr>
                <w:rFonts w:cs="Arial"/>
                <w:sz w:val="18"/>
                <w:szCs w:val="18"/>
              </w:rPr>
            </w:pPr>
            <w:r w:rsidRPr="00A9330B">
              <w:rPr>
                <w:rFonts w:cs="Arial"/>
                <w:sz w:val="18"/>
                <w:szCs w:val="18"/>
              </w:rPr>
              <w:t>11</w:t>
            </w:r>
          </w:p>
        </w:tc>
        <w:tc>
          <w:tcPr>
            <w:tcW w:w="2830" w:type="dxa"/>
          </w:tcPr>
          <w:p w14:paraId="475BA9F0" w14:textId="77777777" w:rsidR="00401546" w:rsidRPr="00A9330B" w:rsidRDefault="00401546" w:rsidP="000F7BA7">
            <w:pPr>
              <w:spacing w:line="240" w:lineRule="auto"/>
              <w:jc w:val="both"/>
              <w:rPr>
                <w:rFonts w:cs="Arial"/>
                <w:sz w:val="18"/>
                <w:szCs w:val="18"/>
              </w:rPr>
            </w:pPr>
            <w:r w:rsidRPr="00A9330B">
              <w:rPr>
                <w:rFonts w:cs="Arial"/>
                <w:sz w:val="18"/>
                <w:szCs w:val="18"/>
              </w:rPr>
              <w:t xml:space="preserve">Emploi inadapté d’appareils électriques, des huiles de décoffrages, des adjuvants… ou contact prolongé avec le ciment </w:t>
            </w:r>
          </w:p>
        </w:tc>
        <w:tc>
          <w:tcPr>
            <w:tcW w:w="3119" w:type="dxa"/>
          </w:tcPr>
          <w:p w14:paraId="229326E5" w14:textId="3FBF13DF" w:rsidR="00401546" w:rsidRPr="00A9330B" w:rsidRDefault="00401546" w:rsidP="000F7BA7">
            <w:pPr>
              <w:spacing w:line="240" w:lineRule="auto"/>
              <w:jc w:val="both"/>
              <w:rPr>
                <w:rFonts w:cs="Arial"/>
                <w:sz w:val="18"/>
                <w:szCs w:val="18"/>
              </w:rPr>
            </w:pPr>
            <w:r w:rsidRPr="00A9330B">
              <w:rPr>
                <w:rFonts w:cs="Arial"/>
                <w:sz w:val="18"/>
                <w:szCs w:val="18"/>
              </w:rPr>
              <w:t>Brûlures (gale du ciment, électrisation à l’origine de troubles neurologique, intoxication ou affection des voies respirat</w:t>
            </w:r>
            <w:r w:rsidR="00904FDE" w:rsidRPr="00A9330B">
              <w:rPr>
                <w:rFonts w:cs="Arial"/>
                <w:sz w:val="18"/>
                <w:szCs w:val="18"/>
              </w:rPr>
              <w:t xml:space="preserve">oires </w:t>
            </w:r>
            <w:r w:rsidRPr="00A9330B">
              <w:rPr>
                <w:rFonts w:cs="Arial"/>
                <w:sz w:val="18"/>
                <w:szCs w:val="18"/>
              </w:rPr>
              <w:t xml:space="preserve"> </w:t>
            </w:r>
          </w:p>
        </w:tc>
        <w:tc>
          <w:tcPr>
            <w:tcW w:w="992" w:type="dxa"/>
          </w:tcPr>
          <w:p w14:paraId="0247D658" w14:textId="77777777" w:rsidR="00401546" w:rsidRPr="00A9330B" w:rsidRDefault="00401546" w:rsidP="00401546">
            <w:pPr>
              <w:spacing w:line="240" w:lineRule="auto"/>
              <w:jc w:val="center"/>
              <w:rPr>
                <w:rFonts w:cs="Arial"/>
                <w:sz w:val="18"/>
                <w:szCs w:val="18"/>
              </w:rPr>
            </w:pPr>
            <w:r w:rsidRPr="00A9330B">
              <w:rPr>
                <w:rFonts w:cs="Arial"/>
                <w:sz w:val="18"/>
                <w:szCs w:val="18"/>
              </w:rPr>
              <w:t>2</w:t>
            </w:r>
          </w:p>
        </w:tc>
        <w:tc>
          <w:tcPr>
            <w:tcW w:w="859" w:type="dxa"/>
          </w:tcPr>
          <w:p w14:paraId="18F69575" w14:textId="77777777" w:rsidR="00401546" w:rsidRPr="00A9330B" w:rsidRDefault="00401546" w:rsidP="00401546">
            <w:pPr>
              <w:spacing w:line="240" w:lineRule="auto"/>
              <w:jc w:val="center"/>
              <w:rPr>
                <w:rFonts w:cs="Arial"/>
                <w:sz w:val="18"/>
                <w:szCs w:val="18"/>
              </w:rPr>
            </w:pPr>
            <w:r w:rsidRPr="00A9330B">
              <w:rPr>
                <w:rFonts w:cs="Arial"/>
                <w:sz w:val="18"/>
                <w:szCs w:val="18"/>
              </w:rPr>
              <w:t>2</w:t>
            </w:r>
          </w:p>
        </w:tc>
        <w:tc>
          <w:tcPr>
            <w:tcW w:w="709" w:type="dxa"/>
            <w:shd w:val="clear" w:color="auto" w:fill="FFFF00"/>
          </w:tcPr>
          <w:p w14:paraId="46D078C8" w14:textId="77777777" w:rsidR="00401546" w:rsidRPr="00A9330B" w:rsidRDefault="00401546" w:rsidP="00401546">
            <w:pPr>
              <w:spacing w:line="240" w:lineRule="auto"/>
              <w:jc w:val="center"/>
              <w:rPr>
                <w:rFonts w:cs="Arial"/>
                <w:sz w:val="18"/>
                <w:szCs w:val="18"/>
              </w:rPr>
            </w:pPr>
          </w:p>
        </w:tc>
      </w:tr>
      <w:tr w:rsidR="00401546" w:rsidRPr="00A9330B" w14:paraId="41CC26C3" w14:textId="77777777" w:rsidTr="009C5C1D">
        <w:trPr>
          <w:jc w:val="center"/>
        </w:trPr>
        <w:tc>
          <w:tcPr>
            <w:tcW w:w="709" w:type="dxa"/>
          </w:tcPr>
          <w:p w14:paraId="5DD5CAAE" w14:textId="77777777" w:rsidR="00401546" w:rsidRPr="00A9330B" w:rsidRDefault="00401546" w:rsidP="00401546">
            <w:pPr>
              <w:spacing w:line="240" w:lineRule="auto"/>
              <w:jc w:val="center"/>
              <w:rPr>
                <w:rFonts w:cs="Arial"/>
                <w:sz w:val="18"/>
                <w:szCs w:val="18"/>
              </w:rPr>
            </w:pPr>
            <w:r w:rsidRPr="00A9330B">
              <w:rPr>
                <w:rFonts w:cs="Arial"/>
                <w:sz w:val="18"/>
                <w:szCs w:val="18"/>
              </w:rPr>
              <w:t>12</w:t>
            </w:r>
          </w:p>
        </w:tc>
        <w:tc>
          <w:tcPr>
            <w:tcW w:w="2830" w:type="dxa"/>
          </w:tcPr>
          <w:p w14:paraId="6DCD5C29" w14:textId="77777777" w:rsidR="00401546" w:rsidRPr="00A9330B" w:rsidRDefault="00401546" w:rsidP="00401546">
            <w:pPr>
              <w:spacing w:line="240" w:lineRule="auto"/>
              <w:rPr>
                <w:rFonts w:cs="Arial"/>
                <w:sz w:val="18"/>
                <w:szCs w:val="18"/>
              </w:rPr>
            </w:pPr>
            <w:r w:rsidRPr="00A9330B">
              <w:rPr>
                <w:rFonts w:cs="Arial"/>
                <w:sz w:val="18"/>
                <w:szCs w:val="18"/>
              </w:rPr>
              <w:t xml:space="preserve">Instabilité de l’ouvrage </w:t>
            </w:r>
          </w:p>
        </w:tc>
        <w:tc>
          <w:tcPr>
            <w:tcW w:w="3119" w:type="dxa"/>
          </w:tcPr>
          <w:p w14:paraId="7A5580C2" w14:textId="71D42DB6" w:rsidR="00401546" w:rsidRPr="00A9330B" w:rsidRDefault="00401546" w:rsidP="000F7BA7">
            <w:pPr>
              <w:spacing w:line="240" w:lineRule="auto"/>
              <w:jc w:val="both"/>
              <w:rPr>
                <w:rFonts w:cs="Arial"/>
                <w:sz w:val="18"/>
                <w:szCs w:val="18"/>
              </w:rPr>
            </w:pPr>
            <w:r w:rsidRPr="00A9330B">
              <w:rPr>
                <w:rFonts w:cs="Arial"/>
                <w:sz w:val="18"/>
                <w:szCs w:val="18"/>
              </w:rPr>
              <w:t xml:space="preserve">Effondrement de l’ensemble ou d’une partie de l’ouvrage pouvant entrainer la mort, des blessures, </w:t>
            </w:r>
            <w:r w:rsidR="00904FDE" w:rsidRPr="00A9330B">
              <w:rPr>
                <w:rFonts w:cs="Arial"/>
                <w:sz w:val="18"/>
                <w:szCs w:val="18"/>
              </w:rPr>
              <w:t xml:space="preserve">des </w:t>
            </w:r>
            <w:r w:rsidRPr="00A9330B">
              <w:rPr>
                <w:rFonts w:cs="Arial"/>
                <w:sz w:val="18"/>
                <w:szCs w:val="18"/>
              </w:rPr>
              <w:t xml:space="preserve">fractures, </w:t>
            </w:r>
            <w:r w:rsidR="00904FDE" w:rsidRPr="00A9330B">
              <w:rPr>
                <w:rFonts w:cs="Arial"/>
                <w:sz w:val="18"/>
                <w:szCs w:val="18"/>
              </w:rPr>
              <w:t xml:space="preserve">des </w:t>
            </w:r>
            <w:r w:rsidRPr="00A9330B">
              <w:rPr>
                <w:rFonts w:cs="Arial"/>
                <w:sz w:val="18"/>
                <w:szCs w:val="18"/>
              </w:rPr>
              <w:t xml:space="preserve">lésions, </w:t>
            </w:r>
            <w:r w:rsidR="00904FDE" w:rsidRPr="00A9330B">
              <w:rPr>
                <w:rFonts w:cs="Arial"/>
                <w:sz w:val="18"/>
                <w:szCs w:val="18"/>
              </w:rPr>
              <w:t xml:space="preserve">des </w:t>
            </w:r>
            <w:r w:rsidRPr="00A9330B">
              <w:rPr>
                <w:rFonts w:cs="Arial"/>
                <w:sz w:val="18"/>
                <w:szCs w:val="18"/>
              </w:rPr>
              <w:t xml:space="preserve">pertes sensorielles temporaires ou permanentes par chute dans le vide </w:t>
            </w:r>
          </w:p>
        </w:tc>
        <w:tc>
          <w:tcPr>
            <w:tcW w:w="992" w:type="dxa"/>
          </w:tcPr>
          <w:p w14:paraId="3D399A06" w14:textId="77777777" w:rsidR="00401546" w:rsidRPr="00A9330B" w:rsidRDefault="00401546" w:rsidP="00401546">
            <w:pPr>
              <w:spacing w:line="240" w:lineRule="auto"/>
              <w:jc w:val="center"/>
              <w:rPr>
                <w:rFonts w:cs="Arial"/>
                <w:sz w:val="18"/>
                <w:szCs w:val="18"/>
              </w:rPr>
            </w:pPr>
            <w:r w:rsidRPr="00A9330B">
              <w:rPr>
                <w:rFonts w:cs="Arial"/>
                <w:sz w:val="18"/>
                <w:szCs w:val="18"/>
              </w:rPr>
              <w:t>1</w:t>
            </w:r>
          </w:p>
        </w:tc>
        <w:tc>
          <w:tcPr>
            <w:tcW w:w="859" w:type="dxa"/>
          </w:tcPr>
          <w:p w14:paraId="65D6A248" w14:textId="77777777" w:rsidR="00401546" w:rsidRPr="00A9330B" w:rsidRDefault="00401546" w:rsidP="00401546">
            <w:pPr>
              <w:spacing w:line="240" w:lineRule="auto"/>
              <w:jc w:val="center"/>
              <w:rPr>
                <w:rFonts w:cs="Arial"/>
                <w:sz w:val="18"/>
                <w:szCs w:val="18"/>
              </w:rPr>
            </w:pPr>
            <w:r w:rsidRPr="00A9330B">
              <w:rPr>
                <w:rFonts w:cs="Arial"/>
                <w:sz w:val="18"/>
                <w:szCs w:val="18"/>
              </w:rPr>
              <w:t>4</w:t>
            </w:r>
          </w:p>
        </w:tc>
        <w:tc>
          <w:tcPr>
            <w:tcW w:w="709" w:type="dxa"/>
            <w:shd w:val="clear" w:color="auto" w:fill="FFFF00"/>
          </w:tcPr>
          <w:p w14:paraId="761C96A5" w14:textId="77777777" w:rsidR="00401546" w:rsidRPr="00A9330B" w:rsidRDefault="00401546" w:rsidP="00401546">
            <w:pPr>
              <w:spacing w:line="240" w:lineRule="auto"/>
              <w:jc w:val="center"/>
              <w:rPr>
                <w:rFonts w:cs="Arial"/>
                <w:sz w:val="18"/>
                <w:szCs w:val="18"/>
              </w:rPr>
            </w:pPr>
          </w:p>
        </w:tc>
      </w:tr>
    </w:tbl>
    <w:p w14:paraId="4FF7D331" w14:textId="77777777" w:rsidR="00401546" w:rsidRPr="00A9330B" w:rsidRDefault="00401546" w:rsidP="00401546"/>
    <w:p w14:paraId="716DDC29" w14:textId="77777777" w:rsidR="00401546" w:rsidRPr="00A9330B" w:rsidRDefault="00401546" w:rsidP="000F7BA7">
      <w:pPr>
        <w:pStyle w:val="Titre20"/>
        <w:rPr>
          <w:color w:val="F4B083" w:themeColor="accent2" w:themeTint="99"/>
          <w:sz w:val="28"/>
          <w:szCs w:val="26"/>
        </w:rPr>
      </w:pPr>
      <w:bookmarkStart w:id="1779" w:name="_Toc535244616"/>
      <w:bookmarkStart w:id="1780" w:name="_Toc43697700"/>
      <w:bookmarkStart w:id="1781" w:name="_Toc52869704"/>
      <w:bookmarkStart w:id="1782" w:name="_Toc52869864"/>
      <w:r w:rsidRPr="00A9330B">
        <w:t>9.9</w:t>
      </w:r>
      <w:bookmarkEnd w:id="1779"/>
      <w:r w:rsidRPr="00A9330B">
        <w:t xml:space="preserve">. </w:t>
      </w:r>
      <w:bookmarkStart w:id="1783" w:name="_Toc535244618"/>
      <w:r w:rsidRPr="00A9330B">
        <w:t>Terrassement pour l’aménagement de la voirie (pose des pavés et aménagement jusqu’aux riverains)</w:t>
      </w:r>
      <w:bookmarkEnd w:id="1780"/>
      <w:bookmarkEnd w:id="1781"/>
      <w:bookmarkEnd w:id="1782"/>
      <w:bookmarkEnd w:id="1783"/>
      <w:r w:rsidRPr="00A9330B">
        <w:rPr>
          <w:color w:val="F4B083" w:themeColor="accent2" w:themeTint="99"/>
          <w:sz w:val="28"/>
          <w:szCs w:val="26"/>
        </w:rPr>
        <w:t xml:space="preserve"> </w:t>
      </w:r>
    </w:p>
    <w:p w14:paraId="1EA3F72D" w14:textId="550F7E16" w:rsidR="00401546" w:rsidRPr="00A9330B" w:rsidRDefault="00401546" w:rsidP="00401546">
      <w:pPr>
        <w:jc w:val="both"/>
      </w:pPr>
      <w:r w:rsidRPr="00A9330B">
        <w:t xml:space="preserve">Les risques les plus élevés sont liés aux déplacements des engins de chantier. Les risques spécifiques concernent le travail en fouille, le déplacement et les opérations des engins utilisés : les projections de particules (sable, boues) et les éclats (gravats) ; le </w:t>
      </w:r>
      <w:r w:rsidR="006721DD" w:rsidRPr="00A9330B">
        <w:t>remblaiement, la</w:t>
      </w:r>
      <w:r w:rsidRPr="00A9330B">
        <w:t xml:space="preserve"> chute de matériel ou matériaux depuis les zones de travail, la chute des personnes qui nécessitent également des mesures de minimisation des risques.</w:t>
      </w:r>
    </w:p>
    <w:p w14:paraId="134E2A94" w14:textId="17C6A64D" w:rsidR="00401546" w:rsidRPr="00A9330B" w:rsidRDefault="00401546" w:rsidP="00401546">
      <w:pPr>
        <w:jc w:val="both"/>
        <w:rPr>
          <w:rFonts w:cs="Arial"/>
        </w:rPr>
      </w:pPr>
      <w:r w:rsidRPr="00A9330B">
        <w:rPr>
          <w:rFonts w:cs="Arial"/>
        </w:rPr>
        <w:t xml:space="preserve">L’accent est également mis sur les protections collectives et individuelles absolument nécessaires, et sur les risques de chute d’éléments préfabriqués, de coincement et d’écrasement et </w:t>
      </w:r>
      <w:r w:rsidR="006721DD" w:rsidRPr="00A9330B">
        <w:rPr>
          <w:rFonts w:cs="Arial"/>
        </w:rPr>
        <w:t>accident généralement</w:t>
      </w:r>
      <w:r w:rsidRPr="00A9330B">
        <w:rPr>
          <w:rFonts w:cs="Arial"/>
        </w:rPr>
        <w:t xml:space="preserve"> liés aux opérations de manutention et de pose d’éléments, de coffrage, de bétonnage.</w:t>
      </w:r>
    </w:p>
    <w:p w14:paraId="38C43034" w14:textId="102A6D6D" w:rsidR="00401546" w:rsidRPr="00A9330B" w:rsidRDefault="00401546" w:rsidP="00401546">
      <w:pPr>
        <w:spacing w:line="240" w:lineRule="auto"/>
        <w:jc w:val="center"/>
        <w:rPr>
          <w:rFonts w:ascii="Arial Narrow" w:eastAsia="Calibri" w:hAnsi="Arial Narrow" w:cs="Times New Roman"/>
          <w:b/>
          <w:sz w:val="20"/>
          <w:szCs w:val="20"/>
          <w:lang w:eastAsia="de-DE"/>
        </w:rPr>
      </w:pPr>
      <w:bookmarkStart w:id="1784" w:name="_Toc529249282"/>
      <w:bookmarkStart w:id="1785" w:name="_Toc533058621"/>
      <w:bookmarkStart w:id="1786" w:name="_Toc535237434"/>
      <w:bookmarkStart w:id="1787" w:name="_Toc43696262"/>
      <w:bookmarkStart w:id="1788" w:name="_Toc52873775"/>
      <w:r w:rsidRPr="00A9330B">
        <w:rPr>
          <w:b/>
        </w:rPr>
        <w:t xml:space="preserve">Tableau </w:t>
      </w:r>
      <w:r w:rsidRPr="00A9330B">
        <w:rPr>
          <w:b/>
        </w:rPr>
        <w:fldChar w:fldCharType="begin"/>
      </w:r>
      <w:r w:rsidRPr="00A9330B">
        <w:rPr>
          <w:b/>
        </w:rPr>
        <w:instrText xml:space="preserve"> SEQ Tableau \* ARABIC </w:instrText>
      </w:r>
      <w:r w:rsidRPr="00A9330B">
        <w:rPr>
          <w:b/>
        </w:rPr>
        <w:fldChar w:fldCharType="separate"/>
      </w:r>
      <w:r w:rsidR="0057538E" w:rsidRPr="00A9330B">
        <w:rPr>
          <w:b/>
          <w:noProof/>
        </w:rPr>
        <w:t>51</w:t>
      </w:r>
      <w:r w:rsidRPr="00A9330B">
        <w:rPr>
          <w:b/>
        </w:rPr>
        <w:fldChar w:fldCharType="end"/>
      </w:r>
      <w:r w:rsidRPr="00A9330B">
        <w:rPr>
          <w:rFonts w:ascii="Arial Narrow" w:eastAsia="Calibri" w:hAnsi="Arial Narrow" w:cs="Times New Roman"/>
          <w:b/>
          <w:color w:val="auto"/>
          <w:sz w:val="20"/>
          <w:szCs w:val="20"/>
          <w:lang w:eastAsia="de-DE"/>
        </w:rPr>
        <w:t xml:space="preserve"> : </w:t>
      </w:r>
      <w:r w:rsidRPr="00A9330B">
        <w:rPr>
          <w:rFonts w:ascii="Arial Narrow" w:eastAsia="Calibri" w:hAnsi="Arial Narrow" w:cs="Times New Roman"/>
          <w:b/>
          <w:sz w:val="20"/>
          <w:szCs w:val="20"/>
          <w:lang w:eastAsia="de-DE"/>
        </w:rPr>
        <w:t>Analyse des risques pour l’aménagement de la voirie (pose des pavés et aménagement jusqu’aux riverains)</w:t>
      </w:r>
      <w:bookmarkEnd w:id="1784"/>
      <w:bookmarkEnd w:id="1785"/>
      <w:bookmarkEnd w:id="1786"/>
      <w:bookmarkEnd w:id="1787"/>
      <w:bookmarkEnd w:id="1788"/>
    </w:p>
    <w:tbl>
      <w:tblPr>
        <w:tblStyle w:val="Grilledutableau5"/>
        <w:tblW w:w="9493" w:type="dxa"/>
        <w:jc w:val="center"/>
        <w:tblLayout w:type="fixed"/>
        <w:tblLook w:val="04A0" w:firstRow="1" w:lastRow="0" w:firstColumn="1" w:lastColumn="0" w:noHBand="0" w:noVBand="1"/>
      </w:tblPr>
      <w:tblGrid>
        <w:gridCol w:w="486"/>
        <w:gridCol w:w="2911"/>
        <w:gridCol w:w="3402"/>
        <w:gridCol w:w="993"/>
        <w:gridCol w:w="850"/>
        <w:gridCol w:w="851"/>
      </w:tblGrid>
      <w:tr w:rsidR="00401546" w:rsidRPr="00A9330B" w14:paraId="14115438" w14:textId="77777777" w:rsidTr="009C5C1D">
        <w:trPr>
          <w:jc w:val="center"/>
        </w:trPr>
        <w:tc>
          <w:tcPr>
            <w:tcW w:w="486" w:type="dxa"/>
            <w:vMerge w:val="restart"/>
            <w:shd w:val="clear" w:color="auto" w:fill="FFFFFF" w:themeFill="background1"/>
          </w:tcPr>
          <w:p w14:paraId="597A1CD2" w14:textId="77777777" w:rsidR="00401546" w:rsidRPr="00A9330B" w:rsidRDefault="00401546" w:rsidP="00401546">
            <w:pPr>
              <w:spacing w:line="240" w:lineRule="auto"/>
              <w:jc w:val="center"/>
              <w:rPr>
                <w:rFonts w:cs="Arial"/>
                <w:b/>
                <w:color w:val="auto"/>
                <w:sz w:val="18"/>
                <w:szCs w:val="18"/>
              </w:rPr>
            </w:pPr>
            <w:r w:rsidRPr="00A9330B">
              <w:rPr>
                <w:rFonts w:cs="Arial"/>
                <w:b/>
                <w:color w:val="auto"/>
                <w:sz w:val="18"/>
                <w:szCs w:val="18"/>
              </w:rPr>
              <w:t>N°</w:t>
            </w:r>
          </w:p>
        </w:tc>
        <w:tc>
          <w:tcPr>
            <w:tcW w:w="2911" w:type="dxa"/>
            <w:vMerge w:val="restart"/>
            <w:shd w:val="clear" w:color="auto" w:fill="FFFFFF" w:themeFill="background1"/>
          </w:tcPr>
          <w:p w14:paraId="3CB08DA4" w14:textId="77777777" w:rsidR="00401546" w:rsidRPr="00A9330B" w:rsidRDefault="00401546" w:rsidP="00401546">
            <w:pPr>
              <w:spacing w:line="240" w:lineRule="auto"/>
              <w:jc w:val="center"/>
              <w:rPr>
                <w:rFonts w:cs="Arial"/>
                <w:b/>
                <w:color w:val="auto"/>
                <w:sz w:val="18"/>
                <w:szCs w:val="18"/>
              </w:rPr>
            </w:pPr>
            <w:r w:rsidRPr="00A9330B">
              <w:rPr>
                <w:rFonts w:cs="Arial"/>
                <w:b/>
                <w:color w:val="auto"/>
                <w:sz w:val="18"/>
                <w:szCs w:val="18"/>
              </w:rPr>
              <w:t xml:space="preserve">Principales situations de danger </w:t>
            </w:r>
          </w:p>
        </w:tc>
        <w:tc>
          <w:tcPr>
            <w:tcW w:w="3402" w:type="dxa"/>
            <w:vMerge w:val="restart"/>
            <w:shd w:val="clear" w:color="auto" w:fill="FFFFFF" w:themeFill="background1"/>
          </w:tcPr>
          <w:p w14:paraId="5C368EE3" w14:textId="77777777" w:rsidR="00401546" w:rsidRPr="00A9330B" w:rsidRDefault="00401546" w:rsidP="00401546">
            <w:pPr>
              <w:spacing w:line="240" w:lineRule="auto"/>
              <w:jc w:val="center"/>
              <w:rPr>
                <w:rFonts w:cs="Arial"/>
                <w:b/>
                <w:color w:val="auto"/>
                <w:sz w:val="18"/>
                <w:szCs w:val="18"/>
              </w:rPr>
            </w:pPr>
            <w:r w:rsidRPr="00A9330B">
              <w:rPr>
                <w:rFonts w:cs="Arial"/>
                <w:b/>
                <w:color w:val="auto"/>
                <w:sz w:val="18"/>
                <w:szCs w:val="18"/>
              </w:rPr>
              <w:t xml:space="preserve">Evènements non souhaitable (ENS)/Impact  </w:t>
            </w:r>
          </w:p>
        </w:tc>
        <w:tc>
          <w:tcPr>
            <w:tcW w:w="2694" w:type="dxa"/>
            <w:gridSpan w:val="3"/>
            <w:shd w:val="clear" w:color="auto" w:fill="FFFFFF" w:themeFill="background1"/>
          </w:tcPr>
          <w:p w14:paraId="34149127" w14:textId="77777777" w:rsidR="00401546" w:rsidRPr="00A9330B" w:rsidRDefault="00401546" w:rsidP="00401546">
            <w:pPr>
              <w:spacing w:line="240" w:lineRule="auto"/>
              <w:jc w:val="center"/>
              <w:rPr>
                <w:rFonts w:cs="Arial"/>
                <w:b/>
                <w:color w:val="auto"/>
                <w:sz w:val="18"/>
                <w:szCs w:val="18"/>
              </w:rPr>
            </w:pPr>
            <w:r w:rsidRPr="00A9330B">
              <w:rPr>
                <w:rFonts w:cs="Arial"/>
                <w:b/>
                <w:color w:val="auto"/>
                <w:sz w:val="18"/>
                <w:szCs w:val="18"/>
              </w:rPr>
              <w:t xml:space="preserve">Evaluation du risque </w:t>
            </w:r>
          </w:p>
        </w:tc>
      </w:tr>
      <w:tr w:rsidR="00401546" w:rsidRPr="00A9330B" w14:paraId="7C7E2929" w14:textId="77777777" w:rsidTr="009C5C1D">
        <w:trPr>
          <w:jc w:val="center"/>
        </w:trPr>
        <w:tc>
          <w:tcPr>
            <w:tcW w:w="486" w:type="dxa"/>
            <w:vMerge/>
            <w:shd w:val="clear" w:color="auto" w:fill="FFFFFF" w:themeFill="background1"/>
          </w:tcPr>
          <w:p w14:paraId="77D8B405" w14:textId="77777777" w:rsidR="00401546" w:rsidRPr="00A9330B" w:rsidRDefault="00401546" w:rsidP="00401546">
            <w:pPr>
              <w:spacing w:line="240" w:lineRule="auto"/>
              <w:rPr>
                <w:rFonts w:cs="Arial"/>
                <w:color w:val="auto"/>
                <w:sz w:val="18"/>
                <w:szCs w:val="18"/>
              </w:rPr>
            </w:pPr>
          </w:p>
        </w:tc>
        <w:tc>
          <w:tcPr>
            <w:tcW w:w="2911" w:type="dxa"/>
            <w:vMerge/>
            <w:shd w:val="clear" w:color="auto" w:fill="FFFFFF" w:themeFill="background1"/>
          </w:tcPr>
          <w:p w14:paraId="4F7F0F30" w14:textId="77777777" w:rsidR="00401546" w:rsidRPr="00A9330B" w:rsidRDefault="00401546" w:rsidP="00401546">
            <w:pPr>
              <w:spacing w:line="240" w:lineRule="auto"/>
              <w:rPr>
                <w:rFonts w:cs="Arial"/>
                <w:color w:val="auto"/>
                <w:sz w:val="18"/>
                <w:szCs w:val="18"/>
              </w:rPr>
            </w:pPr>
          </w:p>
        </w:tc>
        <w:tc>
          <w:tcPr>
            <w:tcW w:w="3402" w:type="dxa"/>
            <w:vMerge/>
            <w:shd w:val="clear" w:color="auto" w:fill="FFFFFF" w:themeFill="background1"/>
          </w:tcPr>
          <w:p w14:paraId="58768984" w14:textId="77777777" w:rsidR="00401546" w:rsidRPr="00A9330B" w:rsidRDefault="00401546" w:rsidP="00401546">
            <w:pPr>
              <w:spacing w:line="240" w:lineRule="auto"/>
              <w:rPr>
                <w:rFonts w:cs="Arial"/>
                <w:color w:val="auto"/>
                <w:sz w:val="18"/>
                <w:szCs w:val="18"/>
              </w:rPr>
            </w:pPr>
          </w:p>
        </w:tc>
        <w:tc>
          <w:tcPr>
            <w:tcW w:w="993" w:type="dxa"/>
            <w:shd w:val="clear" w:color="auto" w:fill="ED7D31" w:themeFill="accent2"/>
          </w:tcPr>
          <w:p w14:paraId="56866811" w14:textId="77777777" w:rsidR="00401546" w:rsidRPr="00A9330B" w:rsidRDefault="00401546" w:rsidP="00401546">
            <w:pPr>
              <w:spacing w:line="240" w:lineRule="auto"/>
              <w:jc w:val="center"/>
              <w:rPr>
                <w:rFonts w:cs="Arial"/>
                <w:color w:val="auto"/>
                <w:sz w:val="16"/>
                <w:szCs w:val="16"/>
              </w:rPr>
            </w:pPr>
            <w:r w:rsidRPr="00A9330B">
              <w:rPr>
                <w:rFonts w:cs="Arial"/>
                <w:color w:val="auto"/>
                <w:sz w:val="16"/>
                <w:szCs w:val="16"/>
              </w:rPr>
              <w:t xml:space="preserve">Probabilité </w:t>
            </w:r>
          </w:p>
        </w:tc>
        <w:tc>
          <w:tcPr>
            <w:tcW w:w="850" w:type="dxa"/>
            <w:shd w:val="clear" w:color="auto" w:fill="ED7D31" w:themeFill="accent2"/>
          </w:tcPr>
          <w:p w14:paraId="7D532937" w14:textId="77777777" w:rsidR="00401546" w:rsidRPr="00A9330B" w:rsidRDefault="00401546" w:rsidP="00401546">
            <w:pPr>
              <w:spacing w:line="240" w:lineRule="auto"/>
              <w:jc w:val="center"/>
              <w:rPr>
                <w:rFonts w:cs="Arial"/>
                <w:color w:val="auto"/>
                <w:sz w:val="16"/>
                <w:szCs w:val="16"/>
              </w:rPr>
            </w:pPr>
            <w:r w:rsidRPr="00A9330B">
              <w:rPr>
                <w:rFonts w:cs="Arial"/>
                <w:color w:val="auto"/>
                <w:sz w:val="16"/>
                <w:szCs w:val="16"/>
              </w:rPr>
              <w:t xml:space="preserve">Gravité </w:t>
            </w:r>
          </w:p>
        </w:tc>
        <w:tc>
          <w:tcPr>
            <w:tcW w:w="851" w:type="dxa"/>
            <w:shd w:val="clear" w:color="auto" w:fill="ED7D31" w:themeFill="accent2"/>
          </w:tcPr>
          <w:p w14:paraId="7A612966" w14:textId="77777777" w:rsidR="00401546" w:rsidRPr="00A9330B" w:rsidRDefault="00401546" w:rsidP="00401546">
            <w:pPr>
              <w:spacing w:line="240" w:lineRule="auto"/>
              <w:jc w:val="center"/>
              <w:rPr>
                <w:rFonts w:cs="Arial"/>
                <w:color w:val="auto"/>
                <w:sz w:val="16"/>
                <w:szCs w:val="16"/>
              </w:rPr>
            </w:pPr>
            <w:r w:rsidRPr="00A9330B">
              <w:rPr>
                <w:rFonts w:cs="Arial"/>
                <w:color w:val="auto"/>
                <w:sz w:val="16"/>
                <w:szCs w:val="16"/>
              </w:rPr>
              <w:t xml:space="preserve">Acceptabilité </w:t>
            </w:r>
          </w:p>
        </w:tc>
      </w:tr>
      <w:tr w:rsidR="00401546" w:rsidRPr="00A9330B" w14:paraId="06E16B1D" w14:textId="77777777" w:rsidTr="009C5C1D">
        <w:trPr>
          <w:jc w:val="center"/>
        </w:trPr>
        <w:tc>
          <w:tcPr>
            <w:tcW w:w="486" w:type="dxa"/>
          </w:tcPr>
          <w:p w14:paraId="0EFDF485" w14:textId="77777777" w:rsidR="00401546" w:rsidRPr="00A9330B" w:rsidRDefault="00401546" w:rsidP="00401546">
            <w:pPr>
              <w:spacing w:line="240" w:lineRule="auto"/>
              <w:jc w:val="center"/>
              <w:rPr>
                <w:rFonts w:cs="Arial"/>
                <w:sz w:val="18"/>
                <w:szCs w:val="18"/>
              </w:rPr>
            </w:pPr>
            <w:r w:rsidRPr="00A9330B">
              <w:rPr>
                <w:rFonts w:cs="Arial"/>
                <w:sz w:val="18"/>
                <w:szCs w:val="18"/>
              </w:rPr>
              <w:t>1</w:t>
            </w:r>
          </w:p>
        </w:tc>
        <w:tc>
          <w:tcPr>
            <w:tcW w:w="2911" w:type="dxa"/>
          </w:tcPr>
          <w:p w14:paraId="3F9A5813" w14:textId="77777777" w:rsidR="00401546" w:rsidRPr="00A9330B" w:rsidRDefault="00401546" w:rsidP="000F7BA7">
            <w:pPr>
              <w:spacing w:line="240" w:lineRule="auto"/>
              <w:jc w:val="both"/>
              <w:rPr>
                <w:rFonts w:cs="Arial"/>
                <w:sz w:val="18"/>
                <w:szCs w:val="18"/>
              </w:rPr>
            </w:pPr>
            <w:r w:rsidRPr="00A9330B">
              <w:rPr>
                <w:rFonts w:cs="Arial"/>
                <w:sz w:val="18"/>
                <w:szCs w:val="18"/>
              </w:rPr>
              <w:t xml:space="preserve">Matériels ou matériaux non stabilisés en élévation (outils, ciment, éléments préfabriqués, etc.) </w:t>
            </w:r>
          </w:p>
        </w:tc>
        <w:tc>
          <w:tcPr>
            <w:tcW w:w="3402" w:type="dxa"/>
          </w:tcPr>
          <w:p w14:paraId="1F31AEDD" w14:textId="206A2EED" w:rsidR="00401546" w:rsidRPr="00A9330B" w:rsidRDefault="00401546" w:rsidP="000F7BA7">
            <w:pPr>
              <w:spacing w:line="240" w:lineRule="auto"/>
              <w:jc w:val="both"/>
              <w:rPr>
                <w:rFonts w:cs="Arial"/>
                <w:sz w:val="18"/>
                <w:szCs w:val="18"/>
              </w:rPr>
            </w:pPr>
            <w:r w:rsidRPr="00A9330B">
              <w:rPr>
                <w:rFonts w:cs="Arial"/>
                <w:sz w:val="18"/>
                <w:szCs w:val="18"/>
              </w:rPr>
              <w:t xml:space="preserve">Chute d’objet ou de matériaux à l’origine d’un renversement, basculement, heurt ou entrainement d’un ouvrier pouvant provoquer la mort, des blessures, </w:t>
            </w:r>
            <w:r w:rsidR="00FB5161" w:rsidRPr="00A9330B">
              <w:rPr>
                <w:rFonts w:cs="Arial"/>
                <w:sz w:val="18"/>
                <w:szCs w:val="18"/>
              </w:rPr>
              <w:t xml:space="preserve">des </w:t>
            </w:r>
            <w:r w:rsidRPr="00A9330B">
              <w:rPr>
                <w:rFonts w:cs="Arial"/>
                <w:sz w:val="18"/>
                <w:szCs w:val="18"/>
              </w:rPr>
              <w:t>fractures</w:t>
            </w:r>
            <w:r w:rsidR="00FB5161" w:rsidRPr="00A9330B">
              <w:rPr>
                <w:rFonts w:cs="Arial"/>
                <w:sz w:val="18"/>
                <w:szCs w:val="18"/>
              </w:rPr>
              <w:t>, des</w:t>
            </w:r>
            <w:r w:rsidRPr="00A9330B">
              <w:rPr>
                <w:rFonts w:cs="Arial"/>
                <w:sz w:val="18"/>
                <w:szCs w:val="18"/>
              </w:rPr>
              <w:t>lésions</w:t>
            </w:r>
            <w:r w:rsidR="00FB5161" w:rsidRPr="00A9330B">
              <w:rPr>
                <w:rFonts w:cs="Arial"/>
                <w:sz w:val="18"/>
                <w:szCs w:val="18"/>
              </w:rPr>
              <w:t>, des</w:t>
            </w:r>
            <w:r w:rsidRPr="00A9330B">
              <w:rPr>
                <w:rFonts w:cs="Arial"/>
                <w:sz w:val="18"/>
                <w:szCs w:val="18"/>
              </w:rPr>
              <w:t xml:space="preserve"> pertes sensorielles temporaires ou permanentes  </w:t>
            </w:r>
          </w:p>
        </w:tc>
        <w:tc>
          <w:tcPr>
            <w:tcW w:w="993" w:type="dxa"/>
          </w:tcPr>
          <w:p w14:paraId="500E2595" w14:textId="77777777" w:rsidR="00401546" w:rsidRPr="00A9330B" w:rsidRDefault="00401546" w:rsidP="00401546">
            <w:pPr>
              <w:spacing w:line="240" w:lineRule="auto"/>
              <w:jc w:val="center"/>
              <w:rPr>
                <w:rFonts w:cs="Arial"/>
                <w:sz w:val="18"/>
                <w:szCs w:val="18"/>
              </w:rPr>
            </w:pPr>
            <w:r w:rsidRPr="00A9330B">
              <w:rPr>
                <w:rFonts w:cs="Arial"/>
                <w:sz w:val="18"/>
                <w:szCs w:val="18"/>
              </w:rPr>
              <w:t>3</w:t>
            </w:r>
          </w:p>
        </w:tc>
        <w:tc>
          <w:tcPr>
            <w:tcW w:w="850" w:type="dxa"/>
          </w:tcPr>
          <w:p w14:paraId="49C4A20A" w14:textId="77777777" w:rsidR="00401546" w:rsidRPr="00A9330B" w:rsidRDefault="00401546" w:rsidP="00401546">
            <w:pPr>
              <w:spacing w:line="240" w:lineRule="auto"/>
              <w:jc w:val="center"/>
              <w:rPr>
                <w:rFonts w:cs="Arial"/>
                <w:sz w:val="18"/>
                <w:szCs w:val="18"/>
              </w:rPr>
            </w:pPr>
            <w:r w:rsidRPr="00A9330B">
              <w:rPr>
                <w:rFonts w:cs="Arial"/>
                <w:sz w:val="18"/>
                <w:szCs w:val="18"/>
              </w:rPr>
              <w:t>4</w:t>
            </w:r>
          </w:p>
        </w:tc>
        <w:tc>
          <w:tcPr>
            <w:tcW w:w="851" w:type="dxa"/>
            <w:shd w:val="clear" w:color="auto" w:fill="FF0000"/>
          </w:tcPr>
          <w:p w14:paraId="17893C77" w14:textId="77777777" w:rsidR="00401546" w:rsidRPr="00A9330B" w:rsidRDefault="00401546" w:rsidP="00401546">
            <w:pPr>
              <w:spacing w:line="240" w:lineRule="auto"/>
              <w:jc w:val="center"/>
              <w:rPr>
                <w:rFonts w:cs="Arial"/>
                <w:sz w:val="18"/>
                <w:szCs w:val="18"/>
              </w:rPr>
            </w:pPr>
          </w:p>
        </w:tc>
      </w:tr>
      <w:tr w:rsidR="00401546" w:rsidRPr="00A9330B" w14:paraId="765EF342" w14:textId="77777777" w:rsidTr="009C5C1D">
        <w:trPr>
          <w:jc w:val="center"/>
        </w:trPr>
        <w:tc>
          <w:tcPr>
            <w:tcW w:w="486" w:type="dxa"/>
          </w:tcPr>
          <w:p w14:paraId="10D6EEC3" w14:textId="77777777" w:rsidR="00401546" w:rsidRPr="00A9330B" w:rsidRDefault="00401546" w:rsidP="00401546">
            <w:pPr>
              <w:spacing w:line="240" w:lineRule="auto"/>
              <w:jc w:val="center"/>
              <w:rPr>
                <w:rFonts w:cs="Arial"/>
                <w:sz w:val="18"/>
                <w:szCs w:val="18"/>
              </w:rPr>
            </w:pPr>
            <w:r w:rsidRPr="00A9330B">
              <w:rPr>
                <w:rFonts w:cs="Arial"/>
                <w:sz w:val="18"/>
                <w:szCs w:val="18"/>
              </w:rPr>
              <w:lastRenderedPageBreak/>
              <w:t>2</w:t>
            </w:r>
          </w:p>
        </w:tc>
        <w:tc>
          <w:tcPr>
            <w:tcW w:w="2911" w:type="dxa"/>
          </w:tcPr>
          <w:p w14:paraId="20925D4C" w14:textId="77777777" w:rsidR="00401546" w:rsidRPr="00A9330B" w:rsidRDefault="00401546" w:rsidP="000F7BA7">
            <w:pPr>
              <w:spacing w:line="240" w:lineRule="auto"/>
              <w:jc w:val="both"/>
              <w:rPr>
                <w:rFonts w:cs="Arial"/>
                <w:sz w:val="18"/>
                <w:szCs w:val="18"/>
              </w:rPr>
            </w:pPr>
            <w:r w:rsidRPr="00A9330B">
              <w:rPr>
                <w:rFonts w:cs="Arial"/>
                <w:sz w:val="18"/>
                <w:szCs w:val="18"/>
              </w:rPr>
              <w:t xml:space="preserve">Absence ou inefficacité des protections collectives et individuelles </w:t>
            </w:r>
          </w:p>
        </w:tc>
        <w:tc>
          <w:tcPr>
            <w:tcW w:w="3402" w:type="dxa"/>
          </w:tcPr>
          <w:p w14:paraId="2A11F7C4" w14:textId="256A07F1" w:rsidR="00401546" w:rsidRPr="00A9330B" w:rsidRDefault="00401546" w:rsidP="000F7BA7">
            <w:pPr>
              <w:spacing w:line="240" w:lineRule="auto"/>
              <w:jc w:val="both"/>
              <w:rPr>
                <w:rFonts w:cs="Arial"/>
                <w:sz w:val="18"/>
                <w:szCs w:val="18"/>
              </w:rPr>
            </w:pPr>
            <w:r w:rsidRPr="00A9330B">
              <w:rPr>
                <w:rFonts w:cs="Arial"/>
                <w:sz w:val="18"/>
                <w:szCs w:val="18"/>
              </w:rPr>
              <w:t xml:space="preserve">Vulnérabilité des ouvriers vis-à-vis de blessures, </w:t>
            </w:r>
            <w:r w:rsidR="00EC6099" w:rsidRPr="00A9330B">
              <w:rPr>
                <w:rFonts w:cs="Arial"/>
                <w:sz w:val="18"/>
                <w:szCs w:val="18"/>
              </w:rPr>
              <w:t xml:space="preserve">de </w:t>
            </w:r>
            <w:r w:rsidRPr="00A9330B">
              <w:rPr>
                <w:rFonts w:cs="Arial"/>
                <w:sz w:val="18"/>
                <w:szCs w:val="18"/>
              </w:rPr>
              <w:t>fractures,</w:t>
            </w:r>
            <w:r w:rsidR="00EC6099" w:rsidRPr="00A9330B">
              <w:rPr>
                <w:rFonts w:cs="Arial"/>
                <w:sz w:val="18"/>
                <w:szCs w:val="18"/>
              </w:rPr>
              <w:t xml:space="preserve"> de </w:t>
            </w:r>
            <w:r w:rsidRPr="00A9330B">
              <w:rPr>
                <w:rFonts w:cs="Arial"/>
                <w:sz w:val="18"/>
                <w:szCs w:val="18"/>
              </w:rPr>
              <w:t xml:space="preserve"> traumatismes </w:t>
            </w:r>
          </w:p>
        </w:tc>
        <w:tc>
          <w:tcPr>
            <w:tcW w:w="993" w:type="dxa"/>
          </w:tcPr>
          <w:p w14:paraId="0E5AD4CD" w14:textId="77777777" w:rsidR="00401546" w:rsidRPr="00A9330B" w:rsidRDefault="00401546" w:rsidP="00401546">
            <w:pPr>
              <w:spacing w:line="240" w:lineRule="auto"/>
              <w:jc w:val="center"/>
              <w:rPr>
                <w:rFonts w:cs="Arial"/>
                <w:sz w:val="18"/>
                <w:szCs w:val="18"/>
              </w:rPr>
            </w:pPr>
            <w:r w:rsidRPr="00A9330B">
              <w:rPr>
                <w:rFonts w:cs="Arial"/>
                <w:sz w:val="18"/>
                <w:szCs w:val="18"/>
              </w:rPr>
              <w:t>3</w:t>
            </w:r>
          </w:p>
        </w:tc>
        <w:tc>
          <w:tcPr>
            <w:tcW w:w="850" w:type="dxa"/>
          </w:tcPr>
          <w:p w14:paraId="4DA27199" w14:textId="77777777" w:rsidR="00401546" w:rsidRPr="00A9330B" w:rsidRDefault="00401546" w:rsidP="00401546">
            <w:pPr>
              <w:spacing w:line="240" w:lineRule="auto"/>
              <w:jc w:val="center"/>
              <w:rPr>
                <w:rFonts w:cs="Arial"/>
                <w:sz w:val="18"/>
                <w:szCs w:val="18"/>
              </w:rPr>
            </w:pPr>
            <w:r w:rsidRPr="00A9330B">
              <w:rPr>
                <w:rFonts w:cs="Arial"/>
                <w:sz w:val="18"/>
                <w:szCs w:val="18"/>
              </w:rPr>
              <w:t>3</w:t>
            </w:r>
          </w:p>
        </w:tc>
        <w:tc>
          <w:tcPr>
            <w:tcW w:w="851" w:type="dxa"/>
            <w:shd w:val="clear" w:color="auto" w:fill="FF0000"/>
          </w:tcPr>
          <w:p w14:paraId="6BECCC1A" w14:textId="77777777" w:rsidR="00401546" w:rsidRPr="00A9330B" w:rsidRDefault="00401546" w:rsidP="00401546">
            <w:pPr>
              <w:spacing w:line="240" w:lineRule="auto"/>
              <w:jc w:val="center"/>
              <w:rPr>
                <w:rFonts w:cs="Arial"/>
                <w:sz w:val="18"/>
                <w:szCs w:val="18"/>
              </w:rPr>
            </w:pPr>
          </w:p>
        </w:tc>
      </w:tr>
      <w:tr w:rsidR="00401546" w:rsidRPr="00A9330B" w14:paraId="303D45BD" w14:textId="77777777" w:rsidTr="009C5C1D">
        <w:trPr>
          <w:jc w:val="center"/>
        </w:trPr>
        <w:tc>
          <w:tcPr>
            <w:tcW w:w="486" w:type="dxa"/>
          </w:tcPr>
          <w:p w14:paraId="33A727E2" w14:textId="77777777" w:rsidR="00401546" w:rsidRPr="00A9330B" w:rsidRDefault="00401546" w:rsidP="00401546">
            <w:pPr>
              <w:spacing w:line="240" w:lineRule="auto"/>
              <w:jc w:val="center"/>
              <w:rPr>
                <w:rFonts w:cs="Arial"/>
                <w:sz w:val="18"/>
                <w:szCs w:val="18"/>
              </w:rPr>
            </w:pPr>
            <w:r w:rsidRPr="00A9330B">
              <w:rPr>
                <w:rFonts w:cs="Arial"/>
                <w:sz w:val="18"/>
                <w:szCs w:val="18"/>
              </w:rPr>
              <w:t>3</w:t>
            </w:r>
          </w:p>
        </w:tc>
        <w:tc>
          <w:tcPr>
            <w:tcW w:w="2911" w:type="dxa"/>
          </w:tcPr>
          <w:p w14:paraId="2EB1DB26" w14:textId="77777777" w:rsidR="00401546" w:rsidRPr="00A9330B" w:rsidRDefault="00401546" w:rsidP="000F7BA7">
            <w:pPr>
              <w:spacing w:line="240" w:lineRule="auto"/>
              <w:jc w:val="both"/>
              <w:rPr>
                <w:rFonts w:cs="Arial"/>
                <w:sz w:val="18"/>
                <w:szCs w:val="18"/>
              </w:rPr>
            </w:pPr>
            <w:r w:rsidRPr="00A9330B">
              <w:rPr>
                <w:rFonts w:cs="Arial"/>
                <w:sz w:val="18"/>
                <w:szCs w:val="18"/>
              </w:rPr>
              <w:t>Manipulation, transport ou manutention inadaptés de vérins, coffrages, étais matériaux, etc.</w:t>
            </w:r>
          </w:p>
        </w:tc>
        <w:tc>
          <w:tcPr>
            <w:tcW w:w="3402" w:type="dxa"/>
          </w:tcPr>
          <w:p w14:paraId="783116AB" w14:textId="77777777" w:rsidR="00401546" w:rsidRPr="00A9330B" w:rsidRDefault="00401546" w:rsidP="000F7BA7">
            <w:pPr>
              <w:spacing w:line="240" w:lineRule="auto"/>
              <w:jc w:val="both"/>
              <w:rPr>
                <w:rFonts w:cs="Arial"/>
                <w:sz w:val="18"/>
                <w:szCs w:val="18"/>
              </w:rPr>
            </w:pPr>
            <w:r w:rsidRPr="00A9330B">
              <w:rPr>
                <w:rFonts w:cs="Arial"/>
                <w:sz w:val="18"/>
                <w:szCs w:val="18"/>
              </w:rPr>
              <w:t xml:space="preserve">Coincement, écrasement à l’origine de blessures et traumatismes divers </w:t>
            </w:r>
          </w:p>
        </w:tc>
        <w:tc>
          <w:tcPr>
            <w:tcW w:w="993" w:type="dxa"/>
          </w:tcPr>
          <w:p w14:paraId="0E3FA479" w14:textId="77777777" w:rsidR="00401546" w:rsidRPr="00A9330B" w:rsidRDefault="00401546" w:rsidP="00401546">
            <w:pPr>
              <w:spacing w:line="240" w:lineRule="auto"/>
              <w:jc w:val="center"/>
              <w:rPr>
                <w:rFonts w:cs="Arial"/>
                <w:sz w:val="18"/>
                <w:szCs w:val="18"/>
              </w:rPr>
            </w:pPr>
            <w:r w:rsidRPr="00A9330B">
              <w:rPr>
                <w:rFonts w:cs="Arial"/>
                <w:sz w:val="18"/>
                <w:szCs w:val="18"/>
              </w:rPr>
              <w:t>3</w:t>
            </w:r>
          </w:p>
        </w:tc>
        <w:tc>
          <w:tcPr>
            <w:tcW w:w="850" w:type="dxa"/>
          </w:tcPr>
          <w:p w14:paraId="3A955D4C" w14:textId="77777777" w:rsidR="00401546" w:rsidRPr="00A9330B" w:rsidRDefault="00401546" w:rsidP="00401546">
            <w:pPr>
              <w:spacing w:line="240" w:lineRule="auto"/>
              <w:jc w:val="center"/>
              <w:rPr>
                <w:rFonts w:cs="Arial"/>
                <w:sz w:val="18"/>
                <w:szCs w:val="18"/>
              </w:rPr>
            </w:pPr>
            <w:r w:rsidRPr="00A9330B">
              <w:rPr>
                <w:rFonts w:cs="Arial"/>
                <w:sz w:val="18"/>
                <w:szCs w:val="18"/>
              </w:rPr>
              <w:t>3</w:t>
            </w:r>
          </w:p>
        </w:tc>
        <w:tc>
          <w:tcPr>
            <w:tcW w:w="851" w:type="dxa"/>
            <w:shd w:val="clear" w:color="auto" w:fill="FF0000"/>
          </w:tcPr>
          <w:p w14:paraId="0F28EDF3" w14:textId="77777777" w:rsidR="00401546" w:rsidRPr="00A9330B" w:rsidRDefault="00401546" w:rsidP="00401546">
            <w:pPr>
              <w:spacing w:line="240" w:lineRule="auto"/>
              <w:jc w:val="center"/>
              <w:rPr>
                <w:rFonts w:cs="Arial"/>
                <w:sz w:val="18"/>
                <w:szCs w:val="18"/>
              </w:rPr>
            </w:pPr>
          </w:p>
        </w:tc>
      </w:tr>
      <w:tr w:rsidR="00401546" w:rsidRPr="00A9330B" w14:paraId="209A52DC" w14:textId="77777777" w:rsidTr="009C5C1D">
        <w:trPr>
          <w:jc w:val="center"/>
        </w:trPr>
        <w:tc>
          <w:tcPr>
            <w:tcW w:w="486" w:type="dxa"/>
          </w:tcPr>
          <w:p w14:paraId="39A941EC" w14:textId="77777777" w:rsidR="00401546" w:rsidRPr="00A9330B" w:rsidRDefault="00401546" w:rsidP="00401546">
            <w:pPr>
              <w:spacing w:line="240" w:lineRule="auto"/>
              <w:jc w:val="center"/>
              <w:rPr>
                <w:rFonts w:cs="Arial"/>
                <w:sz w:val="18"/>
                <w:szCs w:val="18"/>
              </w:rPr>
            </w:pPr>
            <w:r w:rsidRPr="00A9330B">
              <w:rPr>
                <w:rFonts w:cs="Arial"/>
                <w:sz w:val="18"/>
                <w:szCs w:val="18"/>
              </w:rPr>
              <w:t>4</w:t>
            </w:r>
          </w:p>
        </w:tc>
        <w:tc>
          <w:tcPr>
            <w:tcW w:w="2911" w:type="dxa"/>
          </w:tcPr>
          <w:p w14:paraId="2D52C18B" w14:textId="77777777" w:rsidR="00401546" w:rsidRPr="00A9330B" w:rsidRDefault="00401546" w:rsidP="00401546">
            <w:pPr>
              <w:spacing w:line="240" w:lineRule="auto"/>
              <w:rPr>
                <w:rFonts w:cs="Arial"/>
                <w:sz w:val="18"/>
                <w:szCs w:val="18"/>
              </w:rPr>
            </w:pPr>
            <w:r w:rsidRPr="00A9330B">
              <w:rPr>
                <w:rFonts w:cs="Arial"/>
                <w:sz w:val="18"/>
                <w:szCs w:val="18"/>
              </w:rPr>
              <w:t xml:space="preserve">Manutention et pelletage manuels, geste répétitifs ou utilisation longues de machines vibrantes (pointes vibrantes par exemple) </w:t>
            </w:r>
          </w:p>
        </w:tc>
        <w:tc>
          <w:tcPr>
            <w:tcW w:w="3402" w:type="dxa"/>
          </w:tcPr>
          <w:p w14:paraId="5AD7BDEC" w14:textId="77777777" w:rsidR="00401546" w:rsidRPr="00A9330B" w:rsidRDefault="00401546" w:rsidP="000F7BA7">
            <w:pPr>
              <w:spacing w:line="240" w:lineRule="auto"/>
              <w:jc w:val="both"/>
              <w:rPr>
                <w:rFonts w:cs="Arial"/>
                <w:sz w:val="18"/>
                <w:szCs w:val="18"/>
              </w:rPr>
            </w:pPr>
            <w:r w:rsidRPr="00A9330B">
              <w:rPr>
                <w:rFonts w:cs="Arial"/>
                <w:sz w:val="18"/>
                <w:szCs w:val="18"/>
              </w:rPr>
              <w:t xml:space="preserve">Apparition de troubles musculo-squelettiques </w:t>
            </w:r>
          </w:p>
        </w:tc>
        <w:tc>
          <w:tcPr>
            <w:tcW w:w="993" w:type="dxa"/>
          </w:tcPr>
          <w:p w14:paraId="219DEB11" w14:textId="77777777" w:rsidR="00401546" w:rsidRPr="00A9330B" w:rsidRDefault="00401546" w:rsidP="00401546">
            <w:pPr>
              <w:spacing w:line="240" w:lineRule="auto"/>
              <w:jc w:val="center"/>
              <w:rPr>
                <w:rFonts w:cs="Arial"/>
                <w:sz w:val="18"/>
                <w:szCs w:val="18"/>
              </w:rPr>
            </w:pPr>
            <w:r w:rsidRPr="00A9330B">
              <w:rPr>
                <w:rFonts w:cs="Arial"/>
                <w:sz w:val="18"/>
                <w:szCs w:val="18"/>
              </w:rPr>
              <w:t>3</w:t>
            </w:r>
          </w:p>
        </w:tc>
        <w:tc>
          <w:tcPr>
            <w:tcW w:w="850" w:type="dxa"/>
          </w:tcPr>
          <w:p w14:paraId="424FA6F8" w14:textId="77777777" w:rsidR="00401546" w:rsidRPr="00A9330B" w:rsidRDefault="00401546" w:rsidP="00401546">
            <w:pPr>
              <w:spacing w:line="240" w:lineRule="auto"/>
              <w:jc w:val="center"/>
              <w:rPr>
                <w:rFonts w:cs="Arial"/>
                <w:sz w:val="18"/>
                <w:szCs w:val="18"/>
              </w:rPr>
            </w:pPr>
            <w:r w:rsidRPr="00A9330B">
              <w:rPr>
                <w:rFonts w:cs="Arial"/>
                <w:sz w:val="18"/>
                <w:szCs w:val="18"/>
              </w:rPr>
              <w:t>2</w:t>
            </w:r>
          </w:p>
        </w:tc>
        <w:tc>
          <w:tcPr>
            <w:tcW w:w="851" w:type="dxa"/>
            <w:shd w:val="clear" w:color="auto" w:fill="FFFF00"/>
          </w:tcPr>
          <w:p w14:paraId="04C54FFD" w14:textId="77777777" w:rsidR="00401546" w:rsidRPr="00A9330B" w:rsidRDefault="00401546" w:rsidP="00401546">
            <w:pPr>
              <w:spacing w:line="240" w:lineRule="auto"/>
              <w:jc w:val="center"/>
              <w:rPr>
                <w:rFonts w:cs="Arial"/>
                <w:sz w:val="18"/>
                <w:szCs w:val="18"/>
              </w:rPr>
            </w:pPr>
          </w:p>
        </w:tc>
      </w:tr>
      <w:tr w:rsidR="00401546" w:rsidRPr="00A9330B" w14:paraId="6238ED44" w14:textId="77777777" w:rsidTr="009C5C1D">
        <w:trPr>
          <w:jc w:val="center"/>
        </w:trPr>
        <w:tc>
          <w:tcPr>
            <w:tcW w:w="486" w:type="dxa"/>
          </w:tcPr>
          <w:p w14:paraId="5B69935E" w14:textId="77777777" w:rsidR="00401546" w:rsidRPr="00A9330B" w:rsidRDefault="00401546" w:rsidP="00401546">
            <w:pPr>
              <w:spacing w:line="240" w:lineRule="auto"/>
              <w:jc w:val="center"/>
              <w:rPr>
                <w:rFonts w:cs="Arial"/>
                <w:sz w:val="18"/>
                <w:szCs w:val="18"/>
              </w:rPr>
            </w:pPr>
            <w:r w:rsidRPr="00A9330B">
              <w:rPr>
                <w:rFonts w:cs="Arial"/>
                <w:sz w:val="18"/>
                <w:szCs w:val="18"/>
              </w:rPr>
              <w:t>5</w:t>
            </w:r>
          </w:p>
        </w:tc>
        <w:tc>
          <w:tcPr>
            <w:tcW w:w="2911" w:type="dxa"/>
          </w:tcPr>
          <w:p w14:paraId="7C4767FE" w14:textId="2496F691" w:rsidR="00401546" w:rsidRPr="00A9330B" w:rsidRDefault="00401546" w:rsidP="000F7BA7">
            <w:pPr>
              <w:spacing w:line="240" w:lineRule="auto"/>
              <w:jc w:val="both"/>
              <w:rPr>
                <w:rFonts w:cs="Arial"/>
                <w:sz w:val="18"/>
                <w:szCs w:val="18"/>
              </w:rPr>
            </w:pPr>
            <w:r w:rsidRPr="00A9330B">
              <w:rPr>
                <w:rFonts w:cs="Arial"/>
                <w:sz w:val="18"/>
                <w:szCs w:val="18"/>
              </w:rPr>
              <w:t>Durée du travail excessive et accès</w:t>
            </w:r>
            <w:r w:rsidR="00EC6099" w:rsidRPr="00A9330B">
              <w:rPr>
                <w:rFonts w:cs="Arial"/>
                <w:sz w:val="18"/>
                <w:szCs w:val="18"/>
              </w:rPr>
              <w:t xml:space="preserve"> inadapté</w:t>
            </w:r>
            <w:r w:rsidRPr="00A9330B">
              <w:rPr>
                <w:rFonts w:cs="Arial"/>
                <w:sz w:val="18"/>
                <w:szCs w:val="18"/>
              </w:rPr>
              <w:t xml:space="preserve"> à l’eau et </w:t>
            </w:r>
            <w:r w:rsidR="00EC6099" w:rsidRPr="00A9330B">
              <w:rPr>
                <w:rFonts w:cs="Arial"/>
                <w:sz w:val="18"/>
                <w:szCs w:val="18"/>
              </w:rPr>
              <w:t xml:space="preserve">à </w:t>
            </w:r>
            <w:r w:rsidRPr="00A9330B">
              <w:rPr>
                <w:rFonts w:cs="Arial"/>
                <w:sz w:val="18"/>
                <w:szCs w:val="18"/>
              </w:rPr>
              <w:t xml:space="preserve">l’hygiène </w:t>
            </w:r>
          </w:p>
        </w:tc>
        <w:tc>
          <w:tcPr>
            <w:tcW w:w="3402" w:type="dxa"/>
          </w:tcPr>
          <w:p w14:paraId="5A6D7C39" w14:textId="4E7DE28E" w:rsidR="00401546" w:rsidRPr="00A9330B" w:rsidRDefault="00401546" w:rsidP="000F7BA7">
            <w:pPr>
              <w:spacing w:line="240" w:lineRule="auto"/>
              <w:jc w:val="both"/>
              <w:rPr>
                <w:rFonts w:cs="Arial"/>
                <w:sz w:val="18"/>
                <w:szCs w:val="18"/>
              </w:rPr>
            </w:pPr>
            <w:r w:rsidRPr="00A9330B">
              <w:rPr>
                <w:rFonts w:cs="Arial"/>
                <w:sz w:val="18"/>
                <w:szCs w:val="18"/>
              </w:rPr>
              <w:t xml:space="preserve">Exposition à la chaleur ou au soleil et fatigue excessive à l’origine d’insolation,’déshydratation, désordres métaboliques, trouble de l’attention  </w:t>
            </w:r>
          </w:p>
        </w:tc>
        <w:tc>
          <w:tcPr>
            <w:tcW w:w="993" w:type="dxa"/>
          </w:tcPr>
          <w:p w14:paraId="354387C6" w14:textId="77777777" w:rsidR="00401546" w:rsidRPr="00A9330B" w:rsidRDefault="00401546" w:rsidP="00401546">
            <w:pPr>
              <w:spacing w:line="240" w:lineRule="auto"/>
              <w:jc w:val="center"/>
              <w:rPr>
                <w:rFonts w:cs="Arial"/>
                <w:sz w:val="18"/>
                <w:szCs w:val="18"/>
              </w:rPr>
            </w:pPr>
            <w:r w:rsidRPr="00A9330B">
              <w:rPr>
                <w:rFonts w:cs="Arial"/>
                <w:sz w:val="18"/>
                <w:szCs w:val="18"/>
              </w:rPr>
              <w:t>3</w:t>
            </w:r>
          </w:p>
        </w:tc>
        <w:tc>
          <w:tcPr>
            <w:tcW w:w="850" w:type="dxa"/>
          </w:tcPr>
          <w:p w14:paraId="7ABC9470" w14:textId="77777777" w:rsidR="00401546" w:rsidRPr="00A9330B" w:rsidRDefault="00401546" w:rsidP="00401546">
            <w:pPr>
              <w:spacing w:line="240" w:lineRule="auto"/>
              <w:jc w:val="center"/>
              <w:rPr>
                <w:rFonts w:cs="Arial"/>
                <w:sz w:val="18"/>
                <w:szCs w:val="18"/>
              </w:rPr>
            </w:pPr>
            <w:r w:rsidRPr="00A9330B">
              <w:rPr>
                <w:rFonts w:cs="Arial"/>
                <w:sz w:val="18"/>
                <w:szCs w:val="18"/>
              </w:rPr>
              <w:t>2</w:t>
            </w:r>
          </w:p>
        </w:tc>
        <w:tc>
          <w:tcPr>
            <w:tcW w:w="851" w:type="dxa"/>
            <w:shd w:val="clear" w:color="auto" w:fill="FFFF00"/>
          </w:tcPr>
          <w:p w14:paraId="2F9780E7" w14:textId="77777777" w:rsidR="00401546" w:rsidRPr="00A9330B" w:rsidRDefault="00401546" w:rsidP="00401546">
            <w:pPr>
              <w:spacing w:line="240" w:lineRule="auto"/>
              <w:jc w:val="center"/>
              <w:rPr>
                <w:rFonts w:cs="Arial"/>
                <w:sz w:val="18"/>
                <w:szCs w:val="18"/>
              </w:rPr>
            </w:pPr>
          </w:p>
        </w:tc>
      </w:tr>
      <w:tr w:rsidR="00401546" w:rsidRPr="00A9330B" w14:paraId="637ECD15" w14:textId="77777777" w:rsidTr="009C5C1D">
        <w:trPr>
          <w:jc w:val="center"/>
        </w:trPr>
        <w:tc>
          <w:tcPr>
            <w:tcW w:w="486" w:type="dxa"/>
          </w:tcPr>
          <w:p w14:paraId="3CF33141" w14:textId="77777777" w:rsidR="00401546" w:rsidRPr="00A9330B" w:rsidRDefault="00401546" w:rsidP="00401546">
            <w:pPr>
              <w:spacing w:line="240" w:lineRule="auto"/>
              <w:jc w:val="center"/>
              <w:rPr>
                <w:rFonts w:cs="Arial"/>
                <w:sz w:val="18"/>
                <w:szCs w:val="18"/>
              </w:rPr>
            </w:pPr>
            <w:r w:rsidRPr="00A9330B">
              <w:rPr>
                <w:rFonts w:cs="Arial"/>
                <w:sz w:val="18"/>
                <w:szCs w:val="18"/>
              </w:rPr>
              <w:t>6</w:t>
            </w:r>
          </w:p>
        </w:tc>
        <w:tc>
          <w:tcPr>
            <w:tcW w:w="2911" w:type="dxa"/>
          </w:tcPr>
          <w:p w14:paraId="58B56580" w14:textId="77777777" w:rsidR="00401546" w:rsidRPr="00A9330B" w:rsidRDefault="00401546" w:rsidP="000F7BA7">
            <w:pPr>
              <w:spacing w:line="240" w:lineRule="auto"/>
              <w:jc w:val="both"/>
              <w:rPr>
                <w:rFonts w:cs="Arial"/>
                <w:sz w:val="18"/>
                <w:szCs w:val="18"/>
              </w:rPr>
            </w:pPr>
            <w:r w:rsidRPr="00A9330B">
              <w:rPr>
                <w:rFonts w:cs="Arial"/>
                <w:sz w:val="18"/>
                <w:szCs w:val="18"/>
              </w:rPr>
              <w:t>Conduite inappropriée des véhicules et engins de chantier</w:t>
            </w:r>
          </w:p>
        </w:tc>
        <w:tc>
          <w:tcPr>
            <w:tcW w:w="3402" w:type="dxa"/>
          </w:tcPr>
          <w:p w14:paraId="4203C601" w14:textId="77777777" w:rsidR="00401546" w:rsidRPr="00A9330B" w:rsidRDefault="00401546" w:rsidP="000F7BA7">
            <w:pPr>
              <w:spacing w:line="240" w:lineRule="auto"/>
              <w:jc w:val="both"/>
              <w:rPr>
                <w:rFonts w:cs="Arial"/>
                <w:sz w:val="18"/>
                <w:szCs w:val="18"/>
              </w:rPr>
            </w:pPr>
            <w:r w:rsidRPr="00A9330B">
              <w:rPr>
                <w:rFonts w:cs="Arial"/>
                <w:sz w:val="18"/>
                <w:szCs w:val="18"/>
              </w:rPr>
              <w:t xml:space="preserve">Exposition des chauffeurs, passagers et tiers à des blessures, fractures, traumatismes et le cas échéant dégradation ou destruction des biens  </w:t>
            </w:r>
          </w:p>
        </w:tc>
        <w:tc>
          <w:tcPr>
            <w:tcW w:w="993" w:type="dxa"/>
          </w:tcPr>
          <w:p w14:paraId="25CFDA6C" w14:textId="77777777" w:rsidR="00401546" w:rsidRPr="00A9330B" w:rsidRDefault="00401546" w:rsidP="00401546">
            <w:pPr>
              <w:spacing w:line="240" w:lineRule="auto"/>
              <w:jc w:val="center"/>
              <w:rPr>
                <w:rFonts w:cs="Arial"/>
                <w:sz w:val="18"/>
                <w:szCs w:val="18"/>
              </w:rPr>
            </w:pPr>
            <w:r w:rsidRPr="00A9330B">
              <w:rPr>
                <w:rFonts w:cs="Arial"/>
                <w:sz w:val="18"/>
                <w:szCs w:val="18"/>
              </w:rPr>
              <w:t>2</w:t>
            </w:r>
          </w:p>
        </w:tc>
        <w:tc>
          <w:tcPr>
            <w:tcW w:w="850" w:type="dxa"/>
          </w:tcPr>
          <w:p w14:paraId="31FB34B5" w14:textId="77777777" w:rsidR="00401546" w:rsidRPr="00A9330B" w:rsidRDefault="00401546" w:rsidP="00401546">
            <w:pPr>
              <w:spacing w:line="240" w:lineRule="auto"/>
              <w:jc w:val="center"/>
              <w:rPr>
                <w:rFonts w:cs="Arial"/>
                <w:sz w:val="18"/>
                <w:szCs w:val="18"/>
              </w:rPr>
            </w:pPr>
            <w:r w:rsidRPr="00A9330B">
              <w:rPr>
                <w:rFonts w:cs="Arial"/>
                <w:sz w:val="18"/>
                <w:szCs w:val="18"/>
              </w:rPr>
              <w:t>3</w:t>
            </w:r>
          </w:p>
        </w:tc>
        <w:tc>
          <w:tcPr>
            <w:tcW w:w="851" w:type="dxa"/>
            <w:shd w:val="clear" w:color="auto" w:fill="FFFF00"/>
          </w:tcPr>
          <w:p w14:paraId="0D21C492" w14:textId="77777777" w:rsidR="00401546" w:rsidRPr="00A9330B" w:rsidRDefault="00401546" w:rsidP="00401546">
            <w:pPr>
              <w:spacing w:line="240" w:lineRule="auto"/>
              <w:jc w:val="center"/>
              <w:rPr>
                <w:rFonts w:cs="Arial"/>
                <w:sz w:val="18"/>
                <w:szCs w:val="18"/>
              </w:rPr>
            </w:pPr>
          </w:p>
        </w:tc>
      </w:tr>
      <w:tr w:rsidR="00401546" w:rsidRPr="00A9330B" w14:paraId="6BF3908A" w14:textId="77777777" w:rsidTr="009C5C1D">
        <w:trPr>
          <w:jc w:val="center"/>
        </w:trPr>
        <w:tc>
          <w:tcPr>
            <w:tcW w:w="486" w:type="dxa"/>
          </w:tcPr>
          <w:p w14:paraId="128E99BD" w14:textId="77777777" w:rsidR="00401546" w:rsidRPr="00A9330B" w:rsidRDefault="00401546" w:rsidP="00401546">
            <w:pPr>
              <w:spacing w:line="240" w:lineRule="auto"/>
              <w:jc w:val="center"/>
              <w:rPr>
                <w:rFonts w:cs="Arial"/>
                <w:sz w:val="18"/>
                <w:szCs w:val="18"/>
              </w:rPr>
            </w:pPr>
            <w:r w:rsidRPr="00A9330B">
              <w:rPr>
                <w:rFonts w:cs="Arial"/>
                <w:sz w:val="18"/>
                <w:szCs w:val="18"/>
              </w:rPr>
              <w:t>7</w:t>
            </w:r>
          </w:p>
        </w:tc>
        <w:tc>
          <w:tcPr>
            <w:tcW w:w="2911" w:type="dxa"/>
          </w:tcPr>
          <w:p w14:paraId="03ACABD9" w14:textId="77777777" w:rsidR="00401546" w:rsidRPr="00A9330B" w:rsidRDefault="00401546" w:rsidP="000F7BA7">
            <w:pPr>
              <w:spacing w:line="240" w:lineRule="auto"/>
              <w:jc w:val="both"/>
              <w:rPr>
                <w:rFonts w:cs="Arial"/>
                <w:sz w:val="18"/>
                <w:szCs w:val="18"/>
              </w:rPr>
            </w:pPr>
            <w:r w:rsidRPr="00A9330B">
              <w:rPr>
                <w:rFonts w:cs="Arial"/>
                <w:sz w:val="18"/>
                <w:szCs w:val="18"/>
              </w:rPr>
              <w:t xml:space="preserve">Déplacement ou utilisation mal contrôlé de véhicules et engins de chantier ou de leurs organes mobiles (bétonnière par ex.) </w:t>
            </w:r>
          </w:p>
        </w:tc>
        <w:tc>
          <w:tcPr>
            <w:tcW w:w="3402" w:type="dxa"/>
          </w:tcPr>
          <w:p w14:paraId="1249628D" w14:textId="7CAACD3F" w:rsidR="00401546" w:rsidRPr="00A9330B" w:rsidRDefault="00401546" w:rsidP="000F7BA7">
            <w:pPr>
              <w:spacing w:line="240" w:lineRule="auto"/>
              <w:jc w:val="both"/>
              <w:rPr>
                <w:rFonts w:cs="Arial"/>
                <w:sz w:val="18"/>
                <w:szCs w:val="18"/>
              </w:rPr>
            </w:pPr>
            <w:r w:rsidRPr="00A9330B">
              <w:rPr>
                <w:rFonts w:cs="Arial"/>
                <w:sz w:val="18"/>
                <w:szCs w:val="18"/>
              </w:rPr>
              <w:t>Renversement, basculement, heurt ou happement d’un ouvrier pouvant occasionner la mort, des blessures,</w:t>
            </w:r>
            <w:r w:rsidR="00EC6099" w:rsidRPr="00A9330B">
              <w:rPr>
                <w:rFonts w:cs="Arial"/>
                <w:sz w:val="18"/>
                <w:szCs w:val="18"/>
              </w:rPr>
              <w:t xml:space="preserve"> des </w:t>
            </w:r>
            <w:r w:rsidRPr="00A9330B">
              <w:rPr>
                <w:rFonts w:cs="Arial"/>
                <w:sz w:val="18"/>
                <w:szCs w:val="18"/>
              </w:rPr>
              <w:t xml:space="preserve"> fractures, </w:t>
            </w:r>
            <w:r w:rsidR="00EC6099" w:rsidRPr="00A9330B">
              <w:rPr>
                <w:rFonts w:cs="Arial"/>
                <w:sz w:val="18"/>
                <w:szCs w:val="18"/>
              </w:rPr>
              <w:t xml:space="preserve">des </w:t>
            </w:r>
            <w:r w:rsidRPr="00A9330B">
              <w:rPr>
                <w:rFonts w:cs="Arial"/>
                <w:sz w:val="18"/>
                <w:szCs w:val="18"/>
              </w:rPr>
              <w:t>lésions</w:t>
            </w:r>
            <w:r w:rsidR="00EC6099" w:rsidRPr="00A9330B">
              <w:rPr>
                <w:rFonts w:cs="Arial"/>
                <w:sz w:val="18"/>
                <w:szCs w:val="18"/>
              </w:rPr>
              <w:t xml:space="preserve">, des </w:t>
            </w:r>
            <w:r w:rsidRPr="00A9330B">
              <w:rPr>
                <w:rFonts w:cs="Arial"/>
                <w:sz w:val="18"/>
                <w:szCs w:val="18"/>
              </w:rPr>
              <w:t xml:space="preserve"> pertes sensorielles temporaires ou permanentes </w:t>
            </w:r>
          </w:p>
        </w:tc>
        <w:tc>
          <w:tcPr>
            <w:tcW w:w="993" w:type="dxa"/>
          </w:tcPr>
          <w:p w14:paraId="24566FF9" w14:textId="77777777" w:rsidR="00401546" w:rsidRPr="00A9330B" w:rsidRDefault="00401546" w:rsidP="00401546">
            <w:pPr>
              <w:spacing w:line="240" w:lineRule="auto"/>
              <w:jc w:val="center"/>
              <w:rPr>
                <w:rFonts w:cs="Arial"/>
                <w:sz w:val="18"/>
                <w:szCs w:val="18"/>
              </w:rPr>
            </w:pPr>
            <w:r w:rsidRPr="00A9330B">
              <w:rPr>
                <w:rFonts w:cs="Arial"/>
                <w:sz w:val="18"/>
                <w:szCs w:val="18"/>
              </w:rPr>
              <w:t>2</w:t>
            </w:r>
          </w:p>
        </w:tc>
        <w:tc>
          <w:tcPr>
            <w:tcW w:w="850" w:type="dxa"/>
          </w:tcPr>
          <w:p w14:paraId="23127881" w14:textId="77777777" w:rsidR="00401546" w:rsidRPr="00A9330B" w:rsidRDefault="00401546" w:rsidP="00401546">
            <w:pPr>
              <w:spacing w:line="240" w:lineRule="auto"/>
              <w:jc w:val="center"/>
              <w:rPr>
                <w:rFonts w:cs="Arial"/>
                <w:sz w:val="18"/>
                <w:szCs w:val="18"/>
              </w:rPr>
            </w:pPr>
            <w:r w:rsidRPr="00A9330B">
              <w:rPr>
                <w:rFonts w:cs="Arial"/>
                <w:sz w:val="18"/>
                <w:szCs w:val="18"/>
              </w:rPr>
              <w:t>3</w:t>
            </w:r>
          </w:p>
        </w:tc>
        <w:tc>
          <w:tcPr>
            <w:tcW w:w="851" w:type="dxa"/>
            <w:shd w:val="clear" w:color="auto" w:fill="FFFF00"/>
          </w:tcPr>
          <w:p w14:paraId="16A5A690" w14:textId="77777777" w:rsidR="00401546" w:rsidRPr="00A9330B" w:rsidRDefault="00401546" w:rsidP="00401546">
            <w:pPr>
              <w:spacing w:line="240" w:lineRule="auto"/>
              <w:jc w:val="center"/>
              <w:rPr>
                <w:rFonts w:cs="Arial"/>
                <w:sz w:val="18"/>
                <w:szCs w:val="18"/>
              </w:rPr>
            </w:pPr>
          </w:p>
        </w:tc>
      </w:tr>
      <w:tr w:rsidR="00401546" w:rsidRPr="00A9330B" w14:paraId="79FE7E85" w14:textId="77777777" w:rsidTr="009C5C1D">
        <w:trPr>
          <w:jc w:val="center"/>
        </w:trPr>
        <w:tc>
          <w:tcPr>
            <w:tcW w:w="486" w:type="dxa"/>
          </w:tcPr>
          <w:p w14:paraId="79FD011B" w14:textId="77777777" w:rsidR="00401546" w:rsidRPr="00A9330B" w:rsidRDefault="00401546" w:rsidP="00401546">
            <w:pPr>
              <w:spacing w:line="240" w:lineRule="auto"/>
              <w:jc w:val="center"/>
              <w:rPr>
                <w:rFonts w:cs="Arial"/>
                <w:sz w:val="18"/>
                <w:szCs w:val="18"/>
              </w:rPr>
            </w:pPr>
            <w:r w:rsidRPr="00A9330B">
              <w:rPr>
                <w:rFonts w:cs="Arial"/>
                <w:sz w:val="18"/>
                <w:szCs w:val="18"/>
              </w:rPr>
              <w:t>8</w:t>
            </w:r>
          </w:p>
        </w:tc>
        <w:tc>
          <w:tcPr>
            <w:tcW w:w="2911" w:type="dxa"/>
          </w:tcPr>
          <w:p w14:paraId="7A205620" w14:textId="77777777" w:rsidR="00401546" w:rsidRPr="00A9330B" w:rsidRDefault="00401546" w:rsidP="00401546">
            <w:pPr>
              <w:spacing w:line="240" w:lineRule="auto"/>
              <w:rPr>
                <w:rFonts w:cs="Arial"/>
                <w:sz w:val="18"/>
                <w:szCs w:val="18"/>
              </w:rPr>
            </w:pPr>
            <w:r w:rsidRPr="00A9330B">
              <w:rPr>
                <w:rFonts w:cs="Arial"/>
                <w:sz w:val="18"/>
                <w:szCs w:val="18"/>
              </w:rPr>
              <w:t>Projections de particules, chute de matériel ou matériaux depuis les zones de travail, la chute des personnes</w:t>
            </w:r>
          </w:p>
        </w:tc>
        <w:tc>
          <w:tcPr>
            <w:tcW w:w="3402" w:type="dxa"/>
          </w:tcPr>
          <w:p w14:paraId="45950A6D" w14:textId="77777777" w:rsidR="00401546" w:rsidRPr="00A9330B" w:rsidRDefault="00401546" w:rsidP="00401546">
            <w:pPr>
              <w:spacing w:line="240" w:lineRule="auto"/>
              <w:rPr>
                <w:rFonts w:cs="Arial"/>
                <w:sz w:val="18"/>
                <w:szCs w:val="18"/>
              </w:rPr>
            </w:pPr>
            <w:r w:rsidRPr="00A9330B">
              <w:rPr>
                <w:rFonts w:cs="Arial"/>
                <w:sz w:val="18"/>
                <w:szCs w:val="18"/>
              </w:rPr>
              <w:t>Projections de particules (sable, ciment)</w:t>
            </w:r>
          </w:p>
          <w:p w14:paraId="01BDDABB" w14:textId="77777777" w:rsidR="00401546" w:rsidRPr="00A9330B" w:rsidRDefault="00401546" w:rsidP="00401546">
            <w:pPr>
              <w:spacing w:line="240" w:lineRule="auto"/>
              <w:rPr>
                <w:rFonts w:cs="Arial"/>
                <w:sz w:val="18"/>
                <w:szCs w:val="18"/>
              </w:rPr>
            </w:pPr>
            <w:r w:rsidRPr="00A9330B">
              <w:rPr>
                <w:rFonts w:cs="Arial"/>
                <w:sz w:val="18"/>
                <w:szCs w:val="18"/>
              </w:rPr>
              <w:t>Chute de matériel ou matériaux (éléments préfabriqués), depuis les zones de travail,</w:t>
            </w:r>
          </w:p>
          <w:p w14:paraId="6B7CF752" w14:textId="77777777" w:rsidR="00401546" w:rsidRPr="00A9330B" w:rsidRDefault="00401546" w:rsidP="00401546">
            <w:pPr>
              <w:spacing w:line="240" w:lineRule="auto"/>
              <w:rPr>
                <w:rFonts w:cs="Arial"/>
                <w:sz w:val="18"/>
                <w:szCs w:val="18"/>
              </w:rPr>
            </w:pPr>
            <w:r w:rsidRPr="00A9330B">
              <w:rPr>
                <w:rFonts w:cs="Arial"/>
                <w:sz w:val="18"/>
                <w:szCs w:val="18"/>
              </w:rPr>
              <w:t>Chute des personnes</w:t>
            </w:r>
          </w:p>
        </w:tc>
        <w:tc>
          <w:tcPr>
            <w:tcW w:w="993" w:type="dxa"/>
          </w:tcPr>
          <w:p w14:paraId="3428F842" w14:textId="77777777" w:rsidR="00401546" w:rsidRPr="00A9330B" w:rsidRDefault="00401546" w:rsidP="00401546">
            <w:pPr>
              <w:spacing w:line="240" w:lineRule="auto"/>
              <w:jc w:val="center"/>
              <w:rPr>
                <w:rFonts w:cs="Arial"/>
                <w:sz w:val="18"/>
                <w:szCs w:val="18"/>
              </w:rPr>
            </w:pPr>
            <w:r w:rsidRPr="00A9330B">
              <w:rPr>
                <w:rFonts w:cs="Arial"/>
                <w:sz w:val="18"/>
                <w:szCs w:val="18"/>
              </w:rPr>
              <w:t>2</w:t>
            </w:r>
          </w:p>
        </w:tc>
        <w:tc>
          <w:tcPr>
            <w:tcW w:w="850" w:type="dxa"/>
          </w:tcPr>
          <w:p w14:paraId="22C8C2F0" w14:textId="77777777" w:rsidR="00401546" w:rsidRPr="00A9330B" w:rsidRDefault="00401546" w:rsidP="00401546">
            <w:pPr>
              <w:spacing w:line="240" w:lineRule="auto"/>
              <w:jc w:val="center"/>
              <w:rPr>
                <w:rFonts w:cs="Arial"/>
                <w:sz w:val="18"/>
                <w:szCs w:val="18"/>
              </w:rPr>
            </w:pPr>
            <w:r w:rsidRPr="00A9330B">
              <w:rPr>
                <w:rFonts w:cs="Arial"/>
                <w:sz w:val="18"/>
                <w:szCs w:val="18"/>
              </w:rPr>
              <w:t>3</w:t>
            </w:r>
          </w:p>
        </w:tc>
        <w:tc>
          <w:tcPr>
            <w:tcW w:w="851" w:type="dxa"/>
            <w:shd w:val="clear" w:color="auto" w:fill="FFFF00"/>
          </w:tcPr>
          <w:p w14:paraId="0AEB2531" w14:textId="77777777" w:rsidR="00401546" w:rsidRPr="00A9330B" w:rsidRDefault="00401546" w:rsidP="00401546">
            <w:pPr>
              <w:spacing w:line="240" w:lineRule="auto"/>
              <w:jc w:val="center"/>
              <w:rPr>
                <w:rFonts w:cs="Arial"/>
                <w:sz w:val="18"/>
                <w:szCs w:val="18"/>
              </w:rPr>
            </w:pPr>
          </w:p>
        </w:tc>
      </w:tr>
      <w:tr w:rsidR="00401546" w:rsidRPr="00A9330B" w14:paraId="32808BED" w14:textId="77777777" w:rsidTr="009C5C1D">
        <w:trPr>
          <w:jc w:val="center"/>
        </w:trPr>
        <w:tc>
          <w:tcPr>
            <w:tcW w:w="486" w:type="dxa"/>
          </w:tcPr>
          <w:p w14:paraId="3348BD96" w14:textId="77777777" w:rsidR="00401546" w:rsidRPr="00A9330B" w:rsidRDefault="00401546" w:rsidP="00401546">
            <w:pPr>
              <w:spacing w:line="240" w:lineRule="auto"/>
              <w:jc w:val="center"/>
              <w:rPr>
                <w:rFonts w:cs="Arial"/>
                <w:sz w:val="18"/>
                <w:szCs w:val="18"/>
              </w:rPr>
            </w:pPr>
            <w:r w:rsidRPr="00A9330B">
              <w:rPr>
                <w:rFonts w:cs="Arial"/>
                <w:sz w:val="18"/>
                <w:szCs w:val="18"/>
              </w:rPr>
              <w:t>9</w:t>
            </w:r>
          </w:p>
        </w:tc>
        <w:tc>
          <w:tcPr>
            <w:tcW w:w="2911" w:type="dxa"/>
          </w:tcPr>
          <w:p w14:paraId="089DF458" w14:textId="77777777" w:rsidR="00401546" w:rsidRPr="00A9330B" w:rsidRDefault="00401546" w:rsidP="00401546">
            <w:pPr>
              <w:spacing w:line="240" w:lineRule="auto"/>
              <w:rPr>
                <w:rFonts w:cs="Arial"/>
                <w:sz w:val="18"/>
                <w:szCs w:val="18"/>
              </w:rPr>
            </w:pPr>
            <w:r w:rsidRPr="00A9330B">
              <w:rPr>
                <w:rFonts w:cs="Arial"/>
                <w:sz w:val="18"/>
                <w:szCs w:val="18"/>
              </w:rPr>
              <w:t xml:space="preserve">Stockage, manutention, manipulation ou transport inadapté de matériels et matériaux </w:t>
            </w:r>
          </w:p>
        </w:tc>
        <w:tc>
          <w:tcPr>
            <w:tcW w:w="3402" w:type="dxa"/>
          </w:tcPr>
          <w:p w14:paraId="2EB38712" w14:textId="77777777" w:rsidR="00401546" w:rsidRPr="00A9330B" w:rsidRDefault="00401546" w:rsidP="000F7BA7">
            <w:pPr>
              <w:spacing w:line="240" w:lineRule="auto"/>
              <w:jc w:val="both"/>
              <w:rPr>
                <w:rFonts w:cs="Arial"/>
                <w:sz w:val="18"/>
                <w:szCs w:val="18"/>
              </w:rPr>
            </w:pPr>
            <w:r w:rsidRPr="00A9330B">
              <w:rPr>
                <w:rFonts w:cs="Arial"/>
                <w:sz w:val="18"/>
                <w:szCs w:val="18"/>
              </w:rPr>
              <w:t xml:space="preserve">Matériel ou matériaux  (pavés) accidentellement déversés sur les ouvriers pouvant entrainer des blessures, fractures, traumatismes </w:t>
            </w:r>
          </w:p>
        </w:tc>
        <w:tc>
          <w:tcPr>
            <w:tcW w:w="993" w:type="dxa"/>
          </w:tcPr>
          <w:p w14:paraId="385192BC" w14:textId="77777777" w:rsidR="00401546" w:rsidRPr="00A9330B" w:rsidRDefault="00401546" w:rsidP="00401546">
            <w:pPr>
              <w:spacing w:line="240" w:lineRule="auto"/>
              <w:jc w:val="center"/>
              <w:rPr>
                <w:rFonts w:cs="Arial"/>
                <w:sz w:val="18"/>
                <w:szCs w:val="18"/>
              </w:rPr>
            </w:pPr>
            <w:r w:rsidRPr="00A9330B">
              <w:rPr>
                <w:rFonts w:cs="Arial"/>
                <w:sz w:val="18"/>
                <w:szCs w:val="18"/>
              </w:rPr>
              <w:t>2</w:t>
            </w:r>
          </w:p>
        </w:tc>
        <w:tc>
          <w:tcPr>
            <w:tcW w:w="850" w:type="dxa"/>
          </w:tcPr>
          <w:p w14:paraId="2C76FDEE" w14:textId="77777777" w:rsidR="00401546" w:rsidRPr="00A9330B" w:rsidRDefault="00401546" w:rsidP="00401546">
            <w:pPr>
              <w:spacing w:line="240" w:lineRule="auto"/>
              <w:jc w:val="center"/>
              <w:rPr>
                <w:rFonts w:cs="Arial"/>
                <w:sz w:val="18"/>
                <w:szCs w:val="18"/>
              </w:rPr>
            </w:pPr>
            <w:r w:rsidRPr="00A9330B">
              <w:rPr>
                <w:rFonts w:cs="Arial"/>
                <w:sz w:val="18"/>
                <w:szCs w:val="18"/>
              </w:rPr>
              <w:t>2</w:t>
            </w:r>
          </w:p>
        </w:tc>
        <w:tc>
          <w:tcPr>
            <w:tcW w:w="851" w:type="dxa"/>
            <w:shd w:val="clear" w:color="auto" w:fill="FFFF00"/>
          </w:tcPr>
          <w:p w14:paraId="6BF85FCF" w14:textId="77777777" w:rsidR="00401546" w:rsidRPr="00A9330B" w:rsidRDefault="00401546" w:rsidP="00401546">
            <w:pPr>
              <w:spacing w:line="240" w:lineRule="auto"/>
              <w:jc w:val="center"/>
              <w:rPr>
                <w:rFonts w:cs="Arial"/>
                <w:sz w:val="18"/>
                <w:szCs w:val="18"/>
              </w:rPr>
            </w:pPr>
          </w:p>
        </w:tc>
      </w:tr>
      <w:tr w:rsidR="00401546" w:rsidRPr="00A9330B" w14:paraId="191D668D" w14:textId="77777777" w:rsidTr="009C5C1D">
        <w:trPr>
          <w:jc w:val="center"/>
        </w:trPr>
        <w:tc>
          <w:tcPr>
            <w:tcW w:w="486" w:type="dxa"/>
          </w:tcPr>
          <w:p w14:paraId="0884C32A" w14:textId="77777777" w:rsidR="00401546" w:rsidRPr="00A9330B" w:rsidRDefault="00401546" w:rsidP="00401546">
            <w:pPr>
              <w:spacing w:line="240" w:lineRule="auto"/>
              <w:jc w:val="center"/>
              <w:rPr>
                <w:rFonts w:cs="Arial"/>
                <w:sz w:val="18"/>
                <w:szCs w:val="18"/>
              </w:rPr>
            </w:pPr>
            <w:r w:rsidRPr="00A9330B">
              <w:rPr>
                <w:rFonts w:cs="Arial"/>
                <w:sz w:val="18"/>
                <w:szCs w:val="18"/>
              </w:rPr>
              <w:t>10</w:t>
            </w:r>
          </w:p>
        </w:tc>
        <w:tc>
          <w:tcPr>
            <w:tcW w:w="2911" w:type="dxa"/>
          </w:tcPr>
          <w:p w14:paraId="683FE158" w14:textId="77777777" w:rsidR="00401546" w:rsidRPr="00A9330B" w:rsidRDefault="00401546" w:rsidP="00401546">
            <w:pPr>
              <w:spacing w:line="240" w:lineRule="auto"/>
              <w:rPr>
                <w:rFonts w:cs="Arial"/>
                <w:sz w:val="18"/>
                <w:szCs w:val="18"/>
              </w:rPr>
            </w:pPr>
            <w:r w:rsidRPr="00A9330B">
              <w:rPr>
                <w:rFonts w:cs="Arial"/>
                <w:sz w:val="18"/>
                <w:szCs w:val="18"/>
              </w:rPr>
              <w:t xml:space="preserve">Emploi inadapté d’appareils électriques, des huiles de décoffrages, des adjuvants… ou contact prolongé avec le ciment </w:t>
            </w:r>
          </w:p>
        </w:tc>
        <w:tc>
          <w:tcPr>
            <w:tcW w:w="3402" w:type="dxa"/>
          </w:tcPr>
          <w:p w14:paraId="75B4EAEC" w14:textId="4E693F2C" w:rsidR="00401546" w:rsidRPr="00A9330B" w:rsidRDefault="00401546" w:rsidP="000F7BA7">
            <w:pPr>
              <w:spacing w:line="240" w:lineRule="auto"/>
              <w:jc w:val="both"/>
              <w:rPr>
                <w:rFonts w:cs="Arial"/>
                <w:sz w:val="18"/>
                <w:szCs w:val="18"/>
              </w:rPr>
            </w:pPr>
            <w:r w:rsidRPr="00A9330B">
              <w:rPr>
                <w:rFonts w:cs="Arial"/>
                <w:sz w:val="18"/>
                <w:szCs w:val="18"/>
              </w:rPr>
              <w:t>Brûlures (gale du ciment, électrisation à l’origine de troubles neurologique, intoxication ou affection des voies respirat</w:t>
            </w:r>
            <w:r w:rsidR="00EC6099" w:rsidRPr="00A9330B">
              <w:rPr>
                <w:rFonts w:cs="Arial"/>
                <w:sz w:val="18"/>
                <w:szCs w:val="18"/>
              </w:rPr>
              <w:t xml:space="preserve">oires </w:t>
            </w:r>
            <w:r w:rsidRPr="00A9330B">
              <w:rPr>
                <w:rFonts w:cs="Arial"/>
                <w:sz w:val="18"/>
                <w:szCs w:val="18"/>
              </w:rPr>
              <w:t xml:space="preserve"> </w:t>
            </w:r>
          </w:p>
        </w:tc>
        <w:tc>
          <w:tcPr>
            <w:tcW w:w="993" w:type="dxa"/>
          </w:tcPr>
          <w:p w14:paraId="38A54689" w14:textId="77777777" w:rsidR="00401546" w:rsidRPr="00A9330B" w:rsidRDefault="00401546" w:rsidP="00401546">
            <w:pPr>
              <w:spacing w:line="240" w:lineRule="auto"/>
              <w:jc w:val="center"/>
              <w:rPr>
                <w:rFonts w:cs="Arial"/>
                <w:sz w:val="18"/>
                <w:szCs w:val="18"/>
              </w:rPr>
            </w:pPr>
            <w:r w:rsidRPr="00A9330B">
              <w:rPr>
                <w:rFonts w:cs="Arial"/>
                <w:sz w:val="18"/>
                <w:szCs w:val="18"/>
              </w:rPr>
              <w:t>2</w:t>
            </w:r>
          </w:p>
        </w:tc>
        <w:tc>
          <w:tcPr>
            <w:tcW w:w="850" w:type="dxa"/>
          </w:tcPr>
          <w:p w14:paraId="378FD7B4" w14:textId="77777777" w:rsidR="00401546" w:rsidRPr="00A9330B" w:rsidRDefault="00401546" w:rsidP="00401546">
            <w:pPr>
              <w:spacing w:line="240" w:lineRule="auto"/>
              <w:jc w:val="center"/>
              <w:rPr>
                <w:rFonts w:cs="Arial"/>
                <w:sz w:val="18"/>
                <w:szCs w:val="18"/>
              </w:rPr>
            </w:pPr>
            <w:r w:rsidRPr="00A9330B">
              <w:rPr>
                <w:rFonts w:cs="Arial"/>
                <w:sz w:val="18"/>
                <w:szCs w:val="18"/>
              </w:rPr>
              <w:t>2</w:t>
            </w:r>
          </w:p>
        </w:tc>
        <w:tc>
          <w:tcPr>
            <w:tcW w:w="851" w:type="dxa"/>
            <w:shd w:val="clear" w:color="auto" w:fill="FFFF00"/>
          </w:tcPr>
          <w:p w14:paraId="2452D761" w14:textId="77777777" w:rsidR="00401546" w:rsidRPr="00A9330B" w:rsidRDefault="00401546" w:rsidP="00401546">
            <w:pPr>
              <w:spacing w:line="240" w:lineRule="auto"/>
              <w:jc w:val="center"/>
              <w:rPr>
                <w:rFonts w:cs="Arial"/>
                <w:sz w:val="18"/>
                <w:szCs w:val="18"/>
              </w:rPr>
            </w:pPr>
          </w:p>
        </w:tc>
      </w:tr>
      <w:tr w:rsidR="00401546" w:rsidRPr="00A9330B" w14:paraId="30099731" w14:textId="77777777" w:rsidTr="009C5C1D">
        <w:trPr>
          <w:jc w:val="center"/>
        </w:trPr>
        <w:tc>
          <w:tcPr>
            <w:tcW w:w="486" w:type="dxa"/>
          </w:tcPr>
          <w:p w14:paraId="17F3FF8C" w14:textId="77777777" w:rsidR="00401546" w:rsidRPr="00A9330B" w:rsidRDefault="00401546" w:rsidP="00401546">
            <w:pPr>
              <w:spacing w:line="240" w:lineRule="auto"/>
              <w:jc w:val="center"/>
              <w:rPr>
                <w:rFonts w:cs="Arial"/>
                <w:sz w:val="18"/>
                <w:szCs w:val="18"/>
              </w:rPr>
            </w:pPr>
            <w:r w:rsidRPr="00A9330B">
              <w:rPr>
                <w:rFonts w:cs="Arial"/>
                <w:sz w:val="18"/>
                <w:szCs w:val="18"/>
              </w:rPr>
              <w:t>11</w:t>
            </w:r>
          </w:p>
        </w:tc>
        <w:tc>
          <w:tcPr>
            <w:tcW w:w="2911" w:type="dxa"/>
          </w:tcPr>
          <w:p w14:paraId="069F6CEA" w14:textId="77777777" w:rsidR="00401546" w:rsidRPr="00A9330B" w:rsidRDefault="00401546" w:rsidP="00401546">
            <w:pPr>
              <w:spacing w:line="240" w:lineRule="auto"/>
              <w:rPr>
                <w:rFonts w:cs="Arial"/>
                <w:sz w:val="18"/>
                <w:szCs w:val="18"/>
              </w:rPr>
            </w:pPr>
            <w:r w:rsidRPr="00A9330B">
              <w:rPr>
                <w:rFonts w:cs="Arial"/>
                <w:sz w:val="18"/>
                <w:szCs w:val="18"/>
              </w:rPr>
              <w:t xml:space="preserve">Instabilité de l’ouvrage </w:t>
            </w:r>
          </w:p>
        </w:tc>
        <w:tc>
          <w:tcPr>
            <w:tcW w:w="3402" w:type="dxa"/>
          </w:tcPr>
          <w:p w14:paraId="2D21F253" w14:textId="655068D2" w:rsidR="00401546" w:rsidRPr="00A9330B" w:rsidRDefault="00401546" w:rsidP="000F7BA7">
            <w:pPr>
              <w:spacing w:line="240" w:lineRule="auto"/>
              <w:jc w:val="both"/>
              <w:rPr>
                <w:rFonts w:cs="Arial"/>
                <w:sz w:val="18"/>
                <w:szCs w:val="18"/>
              </w:rPr>
            </w:pPr>
            <w:r w:rsidRPr="00A9330B">
              <w:rPr>
                <w:rFonts w:cs="Arial"/>
                <w:sz w:val="18"/>
                <w:szCs w:val="18"/>
              </w:rPr>
              <w:t xml:space="preserve">Effondrement de l’ensemble ou d’une partie de l’ouvrage pouvant entrainer la mort, des blessures, </w:t>
            </w:r>
            <w:r w:rsidR="00EC6099" w:rsidRPr="00A9330B">
              <w:rPr>
                <w:rFonts w:cs="Arial"/>
                <w:sz w:val="18"/>
                <w:szCs w:val="18"/>
              </w:rPr>
              <w:t xml:space="preserve">des </w:t>
            </w:r>
            <w:r w:rsidRPr="00A9330B">
              <w:rPr>
                <w:rFonts w:cs="Arial"/>
                <w:sz w:val="18"/>
                <w:szCs w:val="18"/>
              </w:rPr>
              <w:t>fractures,</w:t>
            </w:r>
            <w:r w:rsidR="00EC6099" w:rsidRPr="00A9330B">
              <w:rPr>
                <w:rFonts w:cs="Arial"/>
                <w:sz w:val="18"/>
                <w:szCs w:val="18"/>
              </w:rPr>
              <w:t xml:space="preserve"> des </w:t>
            </w:r>
            <w:r w:rsidRPr="00A9330B">
              <w:rPr>
                <w:rFonts w:cs="Arial"/>
                <w:sz w:val="18"/>
                <w:szCs w:val="18"/>
              </w:rPr>
              <w:t xml:space="preserve"> lésions, </w:t>
            </w:r>
            <w:r w:rsidR="00EC6099" w:rsidRPr="00A9330B">
              <w:rPr>
                <w:rFonts w:cs="Arial"/>
                <w:sz w:val="18"/>
                <w:szCs w:val="18"/>
              </w:rPr>
              <w:t xml:space="preserve">des </w:t>
            </w:r>
            <w:r w:rsidRPr="00A9330B">
              <w:rPr>
                <w:rFonts w:cs="Arial"/>
                <w:sz w:val="18"/>
                <w:szCs w:val="18"/>
              </w:rPr>
              <w:t xml:space="preserve">pertes sensorielles temporaires ou permanentes par chute dans le vide </w:t>
            </w:r>
          </w:p>
        </w:tc>
        <w:tc>
          <w:tcPr>
            <w:tcW w:w="993" w:type="dxa"/>
          </w:tcPr>
          <w:p w14:paraId="0A5A1F2A" w14:textId="77777777" w:rsidR="00401546" w:rsidRPr="00A9330B" w:rsidRDefault="00401546" w:rsidP="00401546">
            <w:pPr>
              <w:spacing w:line="240" w:lineRule="auto"/>
              <w:jc w:val="center"/>
              <w:rPr>
                <w:rFonts w:cs="Arial"/>
                <w:sz w:val="18"/>
                <w:szCs w:val="18"/>
              </w:rPr>
            </w:pPr>
            <w:r w:rsidRPr="00A9330B">
              <w:rPr>
                <w:rFonts w:cs="Arial"/>
                <w:sz w:val="18"/>
                <w:szCs w:val="18"/>
              </w:rPr>
              <w:t>1</w:t>
            </w:r>
          </w:p>
        </w:tc>
        <w:tc>
          <w:tcPr>
            <w:tcW w:w="850" w:type="dxa"/>
          </w:tcPr>
          <w:p w14:paraId="3E6A4CE6" w14:textId="77777777" w:rsidR="00401546" w:rsidRPr="00A9330B" w:rsidRDefault="00401546" w:rsidP="00401546">
            <w:pPr>
              <w:spacing w:line="240" w:lineRule="auto"/>
              <w:jc w:val="center"/>
              <w:rPr>
                <w:rFonts w:cs="Arial"/>
                <w:sz w:val="18"/>
                <w:szCs w:val="18"/>
              </w:rPr>
            </w:pPr>
            <w:r w:rsidRPr="00A9330B">
              <w:rPr>
                <w:rFonts w:cs="Arial"/>
                <w:sz w:val="18"/>
                <w:szCs w:val="18"/>
              </w:rPr>
              <w:t>4</w:t>
            </w:r>
          </w:p>
        </w:tc>
        <w:tc>
          <w:tcPr>
            <w:tcW w:w="851" w:type="dxa"/>
            <w:shd w:val="clear" w:color="auto" w:fill="FFFF00"/>
          </w:tcPr>
          <w:p w14:paraId="0F14E7B4" w14:textId="77777777" w:rsidR="00401546" w:rsidRPr="00A9330B" w:rsidRDefault="00401546" w:rsidP="00401546">
            <w:pPr>
              <w:spacing w:line="240" w:lineRule="auto"/>
              <w:jc w:val="center"/>
              <w:rPr>
                <w:rFonts w:cs="Arial"/>
                <w:sz w:val="18"/>
                <w:szCs w:val="18"/>
              </w:rPr>
            </w:pPr>
          </w:p>
        </w:tc>
      </w:tr>
    </w:tbl>
    <w:p w14:paraId="66A3F729" w14:textId="77777777" w:rsidR="00401546" w:rsidRPr="00A9330B" w:rsidRDefault="00401546" w:rsidP="000F7BA7">
      <w:pPr>
        <w:pStyle w:val="Titre20"/>
      </w:pPr>
      <w:bookmarkStart w:id="1789" w:name="_Toc535244619"/>
      <w:bookmarkStart w:id="1790" w:name="_Toc43697701"/>
      <w:bookmarkStart w:id="1791" w:name="_Toc52869705"/>
      <w:bookmarkStart w:id="1792" w:name="_Toc52869865"/>
      <w:r w:rsidRPr="00A9330B">
        <w:t>9.10. Mise en service des ouvrages et entretien pendant la période de garantie</w:t>
      </w:r>
      <w:bookmarkEnd w:id="1789"/>
      <w:bookmarkEnd w:id="1790"/>
      <w:bookmarkEnd w:id="1791"/>
      <w:bookmarkEnd w:id="1792"/>
      <w:r w:rsidRPr="00A9330B">
        <w:t xml:space="preserve">  </w:t>
      </w:r>
    </w:p>
    <w:p w14:paraId="3B4DD11D" w14:textId="77777777" w:rsidR="00401546" w:rsidRPr="00A9330B" w:rsidRDefault="00401546" w:rsidP="00401546">
      <w:pPr>
        <w:jc w:val="both"/>
        <w:rPr>
          <w:rFonts w:cs="Arial"/>
        </w:rPr>
      </w:pPr>
      <w:r w:rsidRPr="00A9330B">
        <w:rPr>
          <w:rFonts w:cs="Arial"/>
        </w:rPr>
        <w:t>Les risques les plus élevés sont liés aux déplacements des engins de chantier, potentiellement létaux s’ils heurtent un ouvrier. Les principaux risques spécifiques et notamment cumulatif concernent la circulation des engins dans un même espace que les tiers (populations riveraines, usagers de la route) et les manutentions des éléments préfabriqués (dallettes ou regards) éventuellement dégradés, et les travaux d’entretien des ouvrages (bétonnage, coffrages, etc.).</w:t>
      </w:r>
    </w:p>
    <w:p w14:paraId="335C0A9F" w14:textId="2D5A81A2" w:rsidR="00401546" w:rsidRPr="00A9330B" w:rsidRDefault="00B77A5F" w:rsidP="00A9330B">
      <w:pPr>
        <w:pStyle w:val="Lgende"/>
        <w:rPr>
          <w:rFonts w:eastAsia="Calibri"/>
        </w:rPr>
      </w:pPr>
      <w:bookmarkStart w:id="1793" w:name="_Toc529219549"/>
      <w:bookmarkStart w:id="1794" w:name="_Toc529249283"/>
      <w:bookmarkStart w:id="1795" w:name="_Toc531434244"/>
      <w:bookmarkStart w:id="1796" w:name="_Toc533058622"/>
      <w:bookmarkStart w:id="1797" w:name="_Toc535237435"/>
      <w:bookmarkStart w:id="1798" w:name="_Toc43696263"/>
      <w:bookmarkStart w:id="1799" w:name="_Toc52873776"/>
      <w:r w:rsidRPr="00A9330B">
        <w:lastRenderedPageBreak/>
        <w:t xml:space="preserve">Tableau </w:t>
      </w:r>
      <w:r w:rsidR="00C24C74" w:rsidRPr="00A9330B">
        <w:rPr>
          <w:noProof/>
        </w:rPr>
        <w:fldChar w:fldCharType="begin"/>
      </w:r>
      <w:r w:rsidR="00C24C74" w:rsidRPr="00A9330B">
        <w:rPr>
          <w:noProof/>
        </w:rPr>
        <w:instrText xml:space="preserve"> SEQ Tableau \* ARABIC </w:instrText>
      </w:r>
      <w:r w:rsidR="00C24C74" w:rsidRPr="00A9330B">
        <w:rPr>
          <w:noProof/>
        </w:rPr>
        <w:fldChar w:fldCharType="separate"/>
      </w:r>
      <w:r w:rsidR="0057538E" w:rsidRPr="00A9330B">
        <w:rPr>
          <w:noProof/>
        </w:rPr>
        <w:t>52</w:t>
      </w:r>
      <w:r w:rsidR="00C24C74" w:rsidRPr="00A9330B">
        <w:rPr>
          <w:noProof/>
        </w:rPr>
        <w:fldChar w:fldCharType="end"/>
      </w:r>
      <w:r w:rsidR="00401546" w:rsidRPr="00A9330B">
        <w:rPr>
          <w:rFonts w:eastAsia="Calibri"/>
        </w:rPr>
        <w:t> : Analyse des risques liés à la phase d’exploitation</w:t>
      </w:r>
      <w:bookmarkEnd w:id="1793"/>
      <w:bookmarkEnd w:id="1794"/>
      <w:bookmarkEnd w:id="1795"/>
      <w:bookmarkEnd w:id="1796"/>
      <w:bookmarkEnd w:id="1797"/>
      <w:bookmarkEnd w:id="1798"/>
      <w:bookmarkEnd w:id="1799"/>
      <w:r w:rsidR="00401546" w:rsidRPr="00A9330B">
        <w:rPr>
          <w:rFonts w:eastAsia="Calibri"/>
        </w:rPr>
        <w:t xml:space="preserve"> </w:t>
      </w:r>
    </w:p>
    <w:tbl>
      <w:tblPr>
        <w:tblStyle w:val="TableauGrille1Clair1"/>
        <w:tblW w:w="10060" w:type="dxa"/>
        <w:jc w:val="center"/>
        <w:tblLayout w:type="fixed"/>
        <w:tblLook w:val="04A0" w:firstRow="1" w:lastRow="0" w:firstColumn="1" w:lastColumn="0" w:noHBand="0" w:noVBand="1"/>
      </w:tblPr>
      <w:tblGrid>
        <w:gridCol w:w="486"/>
        <w:gridCol w:w="3337"/>
        <w:gridCol w:w="3827"/>
        <w:gridCol w:w="709"/>
        <w:gridCol w:w="850"/>
        <w:gridCol w:w="851"/>
      </w:tblGrid>
      <w:tr w:rsidR="00401546" w:rsidRPr="00A9330B" w14:paraId="6D491BCB" w14:textId="77777777" w:rsidTr="00401546">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86" w:type="dxa"/>
            <w:vMerge w:val="restart"/>
            <w:shd w:val="clear" w:color="auto" w:fill="FFFFFF" w:themeFill="background1"/>
          </w:tcPr>
          <w:p w14:paraId="6D103B5E" w14:textId="77777777" w:rsidR="00401546" w:rsidRPr="00A9330B" w:rsidRDefault="00401546" w:rsidP="00401546">
            <w:pPr>
              <w:spacing w:line="240" w:lineRule="auto"/>
              <w:jc w:val="center"/>
              <w:rPr>
                <w:rFonts w:cs="Arial"/>
                <w:color w:val="auto"/>
                <w:sz w:val="18"/>
                <w:szCs w:val="18"/>
              </w:rPr>
            </w:pPr>
            <w:r w:rsidRPr="00A9330B">
              <w:rPr>
                <w:rFonts w:cs="Arial"/>
                <w:color w:val="auto"/>
                <w:sz w:val="18"/>
                <w:szCs w:val="18"/>
              </w:rPr>
              <w:t>N°</w:t>
            </w:r>
          </w:p>
        </w:tc>
        <w:tc>
          <w:tcPr>
            <w:tcW w:w="3337" w:type="dxa"/>
            <w:vMerge w:val="restart"/>
            <w:shd w:val="clear" w:color="auto" w:fill="FFFFFF" w:themeFill="background1"/>
          </w:tcPr>
          <w:p w14:paraId="22C27B8A" w14:textId="77777777" w:rsidR="00401546" w:rsidRPr="00A9330B" w:rsidRDefault="00401546" w:rsidP="00401546">
            <w:pPr>
              <w:spacing w:line="240" w:lineRule="auto"/>
              <w:jc w:val="center"/>
              <w:cnfStyle w:val="100000000000" w:firstRow="1" w:lastRow="0" w:firstColumn="0" w:lastColumn="0" w:oddVBand="0" w:evenVBand="0" w:oddHBand="0" w:evenHBand="0" w:firstRowFirstColumn="0" w:firstRowLastColumn="0" w:lastRowFirstColumn="0" w:lastRowLastColumn="0"/>
              <w:rPr>
                <w:rFonts w:cs="Arial"/>
                <w:color w:val="auto"/>
                <w:sz w:val="18"/>
                <w:szCs w:val="18"/>
              </w:rPr>
            </w:pPr>
            <w:r w:rsidRPr="00A9330B">
              <w:rPr>
                <w:rFonts w:cs="Arial"/>
                <w:color w:val="auto"/>
                <w:sz w:val="18"/>
                <w:szCs w:val="18"/>
              </w:rPr>
              <w:t xml:space="preserve">Principales situations de danger </w:t>
            </w:r>
          </w:p>
        </w:tc>
        <w:tc>
          <w:tcPr>
            <w:tcW w:w="3827" w:type="dxa"/>
            <w:vMerge w:val="restart"/>
            <w:shd w:val="clear" w:color="auto" w:fill="FFFFFF" w:themeFill="background1"/>
          </w:tcPr>
          <w:p w14:paraId="1A0A1050" w14:textId="77777777" w:rsidR="00401546" w:rsidRPr="00A9330B" w:rsidRDefault="00401546" w:rsidP="00401546">
            <w:pPr>
              <w:spacing w:line="240" w:lineRule="auto"/>
              <w:jc w:val="center"/>
              <w:cnfStyle w:val="100000000000" w:firstRow="1" w:lastRow="0" w:firstColumn="0" w:lastColumn="0" w:oddVBand="0" w:evenVBand="0" w:oddHBand="0" w:evenHBand="0" w:firstRowFirstColumn="0" w:firstRowLastColumn="0" w:lastRowFirstColumn="0" w:lastRowLastColumn="0"/>
              <w:rPr>
                <w:rFonts w:cs="Arial"/>
                <w:color w:val="auto"/>
                <w:sz w:val="18"/>
                <w:szCs w:val="18"/>
              </w:rPr>
            </w:pPr>
            <w:r w:rsidRPr="00A9330B">
              <w:rPr>
                <w:rFonts w:cs="Arial"/>
                <w:color w:val="auto"/>
                <w:sz w:val="18"/>
                <w:szCs w:val="18"/>
              </w:rPr>
              <w:t xml:space="preserve">Evènements non souhaitable (ENS)/Impact  </w:t>
            </w:r>
          </w:p>
        </w:tc>
        <w:tc>
          <w:tcPr>
            <w:tcW w:w="2410" w:type="dxa"/>
            <w:gridSpan w:val="3"/>
            <w:shd w:val="clear" w:color="auto" w:fill="FFFFFF" w:themeFill="background1"/>
          </w:tcPr>
          <w:p w14:paraId="0F2082DD" w14:textId="77777777" w:rsidR="00401546" w:rsidRPr="00A9330B" w:rsidRDefault="00401546" w:rsidP="00401546">
            <w:pPr>
              <w:spacing w:line="240" w:lineRule="auto"/>
              <w:jc w:val="center"/>
              <w:cnfStyle w:val="100000000000" w:firstRow="1" w:lastRow="0" w:firstColumn="0" w:lastColumn="0" w:oddVBand="0" w:evenVBand="0" w:oddHBand="0" w:evenHBand="0" w:firstRowFirstColumn="0" w:firstRowLastColumn="0" w:lastRowFirstColumn="0" w:lastRowLastColumn="0"/>
              <w:rPr>
                <w:rFonts w:cs="Arial"/>
                <w:color w:val="auto"/>
                <w:sz w:val="18"/>
                <w:szCs w:val="18"/>
              </w:rPr>
            </w:pPr>
            <w:r w:rsidRPr="00A9330B">
              <w:rPr>
                <w:rFonts w:cs="Arial"/>
                <w:color w:val="auto"/>
                <w:sz w:val="18"/>
                <w:szCs w:val="18"/>
              </w:rPr>
              <w:t xml:space="preserve">Evaluation du risque </w:t>
            </w:r>
          </w:p>
        </w:tc>
      </w:tr>
      <w:tr w:rsidR="00401546" w:rsidRPr="00A9330B" w14:paraId="3729DEF2" w14:textId="77777777" w:rsidTr="009C5C1D">
        <w:trPr>
          <w:jc w:val="center"/>
        </w:trPr>
        <w:tc>
          <w:tcPr>
            <w:cnfStyle w:val="001000000000" w:firstRow="0" w:lastRow="0" w:firstColumn="1" w:lastColumn="0" w:oddVBand="0" w:evenVBand="0" w:oddHBand="0" w:evenHBand="0" w:firstRowFirstColumn="0" w:firstRowLastColumn="0" w:lastRowFirstColumn="0" w:lastRowLastColumn="0"/>
            <w:tcW w:w="486" w:type="dxa"/>
            <w:vMerge/>
            <w:shd w:val="clear" w:color="auto" w:fill="FFFFFF" w:themeFill="background1"/>
          </w:tcPr>
          <w:p w14:paraId="28BC2DD6" w14:textId="77777777" w:rsidR="00401546" w:rsidRPr="00A9330B" w:rsidRDefault="00401546" w:rsidP="00401546">
            <w:pPr>
              <w:spacing w:line="240" w:lineRule="auto"/>
              <w:rPr>
                <w:rFonts w:cs="Arial"/>
                <w:color w:val="auto"/>
                <w:sz w:val="18"/>
                <w:szCs w:val="18"/>
              </w:rPr>
            </w:pPr>
          </w:p>
        </w:tc>
        <w:tc>
          <w:tcPr>
            <w:tcW w:w="3337" w:type="dxa"/>
            <w:vMerge/>
            <w:shd w:val="clear" w:color="auto" w:fill="FFFFFF" w:themeFill="background1"/>
          </w:tcPr>
          <w:p w14:paraId="56374495" w14:textId="77777777" w:rsidR="00401546" w:rsidRPr="00A9330B" w:rsidRDefault="00401546" w:rsidP="00401546">
            <w:pPr>
              <w:spacing w:line="240" w:lineRule="auto"/>
              <w:cnfStyle w:val="000000000000" w:firstRow="0" w:lastRow="0" w:firstColumn="0" w:lastColumn="0" w:oddVBand="0" w:evenVBand="0" w:oddHBand="0" w:evenHBand="0" w:firstRowFirstColumn="0" w:firstRowLastColumn="0" w:lastRowFirstColumn="0" w:lastRowLastColumn="0"/>
              <w:rPr>
                <w:rFonts w:cs="Arial"/>
                <w:color w:val="auto"/>
                <w:sz w:val="18"/>
                <w:szCs w:val="18"/>
              </w:rPr>
            </w:pPr>
          </w:p>
        </w:tc>
        <w:tc>
          <w:tcPr>
            <w:tcW w:w="3827" w:type="dxa"/>
            <w:vMerge/>
            <w:shd w:val="clear" w:color="auto" w:fill="FFFFFF" w:themeFill="background1"/>
          </w:tcPr>
          <w:p w14:paraId="214ED9CE" w14:textId="77777777" w:rsidR="00401546" w:rsidRPr="00A9330B" w:rsidRDefault="00401546" w:rsidP="00401546">
            <w:pPr>
              <w:spacing w:line="240" w:lineRule="auto"/>
              <w:cnfStyle w:val="000000000000" w:firstRow="0" w:lastRow="0" w:firstColumn="0" w:lastColumn="0" w:oddVBand="0" w:evenVBand="0" w:oddHBand="0" w:evenHBand="0" w:firstRowFirstColumn="0" w:firstRowLastColumn="0" w:lastRowFirstColumn="0" w:lastRowLastColumn="0"/>
              <w:rPr>
                <w:rFonts w:cs="Arial"/>
                <w:color w:val="auto"/>
                <w:sz w:val="18"/>
                <w:szCs w:val="18"/>
              </w:rPr>
            </w:pPr>
          </w:p>
        </w:tc>
        <w:tc>
          <w:tcPr>
            <w:tcW w:w="709" w:type="dxa"/>
            <w:shd w:val="clear" w:color="auto" w:fill="ED7D31" w:themeFill="accent2"/>
          </w:tcPr>
          <w:p w14:paraId="690666DC" w14:textId="77777777" w:rsidR="00401546" w:rsidRPr="00A9330B" w:rsidRDefault="00401546" w:rsidP="00401546">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auto"/>
                <w:sz w:val="18"/>
                <w:szCs w:val="18"/>
              </w:rPr>
            </w:pPr>
            <w:r w:rsidRPr="00A9330B">
              <w:rPr>
                <w:rFonts w:cs="Arial"/>
                <w:color w:val="auto"/>
                <w:sz w:val="18"/>
                <w:szCs w:val="18"/>
              </w:rPr>
              <w:t xml:space="preserve">Probabilité </w:t>
            </w:r>
          </w:p>
        </w:tc>
        <w:tc>
          <w:tcPr>
            <w:tcW w:w="850" w:type="dxa"/>
            <w:shd w:val="clear" w:color="auto" w:fill="ED7D31" w:themeFill="accent2"/>
          </w:tcPr>
          <w:p w14:paraId="35A4FA83" w14:textId="77777777" w:rsidR="00401546" w:rsidRPr="00A9330B" w:rsidRDefault="00401546" w:rsidP="00401546">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auto"/>
                <w:sz w:val="18"/>
                <w:szCs w:val="18"/>
              </w:rPr>
            </w:pPr>
            <w:r w:rsidRPr="00A9330B">
              <w:rPr>
                <w:rFonts w:cs="Arial"/>
                <w:color w:val="auto"/>
                <w:sz w:val="18"/>
                <w:szCs w:val="18"/>
              </w:rPr>
              <w:t xml:space="preserve">Gravité </w:t>
            </w:r>
          </w:p>
        </w:tc>
        <w:tc>
          <w:tcPr>
            <w:tcW w:w="851" w:type="dxa"/>
            <w:shd w:val="clear" w:color="auto" w:fill="ED7D31" w:themeFill="accent2"/>
          </w:tcPr>
          <w:p w14:paraId="152B3F58" w14:textId="77777777" w:rsidR="00401546" w:rsidRPr="00A9330B" w:rsidRDefault="00401546" w:rsidP="00401546">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auto"/>
                <w:sz w:val="18"/>
                <w:szCs w:val="18"/>
              </w:rPr>
            </w:pPr>
            <w:r w:rsidRPr="00A9330B">
              <w:rPr>
                <w:rFonts w:cs="Arial"/>
                <w:color w:val="auto"/>
                <w:sz w:val="18"/>
                <w:szCs w:val="18"/>
              </w:rPr>
              <w:t xml:space="preserve">Acceptabilité </w:t>
            </w:r>
          </w:p>
        </w:tc>
      </w:tr>
      <w:tr w:rsidR="00401546" w:rsidRPr="00A9330B" w14:paraId="20A0849D" w14:textId="77777777" w:rsidTr="00401546">
        <w:trPr>
          <w:jc w:val="center"/>
        </w:trPr>
        <w:tc>
          <w:tcPr>
            <w:cnfStyle w:val="001000000000" w:firstRow="0" w:lastRow="0" w:firstColumn="1" w:lastColumn="0" w:oddVBand="0" w:evenVBand="0" w:oddHBand="0" w:evenHBand="0" w:firstRowFirstColumn="0" w:firstRowLastColumn="0" w:lastRowFirstColumn="0" w:lastRowLastColumn="0"/>
            <w:tcW w:w="486" w:type="dxa"/>
          </w:tcPr>
          <w:p w14:paraId="5C5ACACC" w14:textId="77777777" w:rsidR="00401546" w:rsidRPr="00A9330B" w:rsidRDefault="00401546" w:rsidP="00401546">
            <w:pPr>
              <w:spacing w:line="240" w:lineRule="auto"/>
              <w:jc w:val="center"/>
              <w:rPr>
                <w:rFonts w:cs="Arial"/>
                <w:sz w:val="18"/>
                <w:szCs w:val="18"/>
              </w:rPr>
            </w:pPr>
            <w:r w:rsidRPr="00A9330B">
              <w:rPr>
                <w:rFonts w:cs="Arial"/>
                <w:sz w:val="18"/>
                <w:szCs w:val="18"/>
              </w:rPr>
              <w:t>1</w:t>
            </w:r>
          </w:p>
        </w:tc>
        <w:tc>
          <w:tcPr>
            <w:tcW w:w="3337" w:type="dxa"/>
          </w:tcPr>
          <w:p w14:paraId="2222C8A1" w14:textId="30305294" w:rsidR="00401546" w:rsidRPr="00A9330B" w:rsidRDefault="00401546" w:rsidP="000F7BA7">
            <w:pPr>
              <w:spacing w:line="240" w:lineRule="auto"/>
              <w:jc w:val="both"/>
              <w:cnfStyle w:val="000000000000" w:firstRow="0" w:lastRow="0" w:firstColumn="0" w:lastColumn="0" w:oddVBand="0" w:evenVBand="0" w:oddHBand="0" w:evenHBand="0" w:firstRowFirstColumn="0" w:firstRowLastColumn="0" w:lastRowFirstColumn="0" w:lastRowLastColumn="0"/>
              <w:rPr>
                <w:rFonts w:cs="Arial"/>
                <w:sz w:val="18"/>
                <w:szCs w:val="18"/>
              </w:rPr>
            </w:pPr>
            <w:r w:rsidRPr="00A9330B">
              <w:rPr>
                <w:rFonts w:cs="Arial"/>
                <w:sz w:val="18"/>
                <w:szCs w:val="18"/>
              </w:rPr>
              <w:t xml:space="preserve">Déplacement non </w:t>
            </w:r>
            <w:r w:rsidR="00EC6099" w:rsidRPr="00A9330B">
              <w:rPr>
                <w:rFonts w:cs="Arial"/>
                <w:sz w:val="18"/>
                <w:szCs w:val="18"/>
              </w:rPr>
              <w:t xml:space="preserve">ou </w:t>
            </w:r>
            <w:r w:rsidRPr="00A9330B">
              <w:rPr>
                <w:rFonts w:cs="Arial"/>
                <w:sz w:val="18"/>
                <w:szCs w:val="18"/>
              </w:rPr>
              <w:t xml:space="preserve">mal contrôlé de véhicules et engins de chantier ou de leurs organes mobiles (pelle mécanique, tracteur, compacteur, chargeuse,  par exemple) </w:t>
            </w:r>
          </w:p>
        </w:tc>
        <w:tc>
          <w:tcPr>
            <w:tcW w:w="3827" w:type="dxa"/>
          </w:tcPr>
          <w:p w14:paraId="2B779E22" w14:textId="36A94FCE" w:rsidR="00401546" w:rsidRPr="00A9330B" w:rsidRDefault="00401546" w:rsidP="000F7BA7">
            <w:pPr>
              <w:spacing w:line="240" w:lineRule="auto"/>
              <w:jc w:val="both"/>
              <w:cnfStyle w:val="000000000000" w:firstRow="0" w:lastRow="0" w:firstColumn="0" w:lastColumn="0" w:oddVBand="0" w:evenVBand="0" w:oddHBand="0" w:evenHBand="0" w:firstRowFirstColumn="0" w:firstRowLastColumn="0" w:lastRowFirstColumn="0" w:lastRowLastColumn="0"/>
              <w:rPr>
                <w:rFonts w:cs="Arial"/>
                <w:sz w:val="18"/>
                <w:szCs w:val="18"/>
              </w:rPr>
            </w:pPr>
            <w:r w:rsidRPr="00A9330B">
              <w:rPr>
                <w:rFonts w:cs="Arial"/>
                <w:sz w:val="18"/>
                <w:szCs w:val="18"/>
              </w:rPr>
              <w:t>Renversement, basculement, heurt d’un ouvrier ou d’un usager de la route pouvant occasionner la mort, des blessures,</w:t>
            </w:r>
            <w:r w:rsidR="00EC6099" w:rsidRPr="00A9330B">
              <w:rPr>
                <w:rFonts w:cs="Arial"/>
                <w:sz w:val="18"/>
                <w:szCs w:val="18"/>
              </w:rPr>
              <w:t xml:space="preserve"> des </w:t>
            </w:r>
            <w:r w:rsidRPr="00A9330B">
              <w:rPr>
                <w:rFonts w:cs="Arial"/>
                <w:sz w:val="18"/>
                <w:szCs w:val="18"/>
              </w:rPr>
              <w:t xml:space="preserve"> fractures,</w:t>
            </w:r>
            <w:r w:rsidR="00EC6099" w:rsidRPr="00A9330B">
              <w:rPr>
                <w:rFonts w:cs="Arial"/>
                <w:sz w:val="18"/>
                <w:szCs w:val="18"/>
              </w:rPr>
              <w:t xml:space="preserve"> des </w:t>
            </w:r>
            <w:r w:rsidRPr="00A9330B">
              <w:rPr>
                <w:rFonts w:cs="Arial"/>
                <w:sz w:val="18"/>
                <w:szCs w:val="18"/>
              </w:rPr>
              <w:t>lésions</w:t>
            </w:r>
            <w:r w:rsidR="00EC6099" w:rsidRPr="00A9330B">
              <w:rPr>
                <w:rFonts w:cs="Arial"/>
                <w:sz w:val="18"/>
                <w:szCs w:val="18"/>
              </w:rPr>
              <w:t>, des</w:t>
            </w:r>
            <w:r w:rsidRPr="00A9330B">
              <w:rPr>
                <w:rFonts w:cs="Arial"/>
                <w:sz w:val="18"/>
                <w:szCs w:val="18"/>
              </w:rPr>
              <w:t xml:space="preserve"> pertes sensorielles temporaires ou permanentes </w:t>
            </w:r>
          </w:p>
        </w:tc>
        <w:tc>
          <w:tcPr>
            <w:tcW w:w="709" w:type="dxa"/>
          </w:tcPr>
          <w:p w14:paraId="26FA496E" w14:textId="77777777" w:rsidR="00401546" w:rsidRPr="00A9330B" w:rsidRDefault="00401546" w:rsidP="00401546">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A9330B">
              <w:rPr>
                <w:rFonts w:cs="Arial"/>
                <w:sz w:val="18"/>
                <w:szCs w:val="18"/>
              </w:rPr>
              <w:t>3</w:t>
            </w:r>
          </w:p>
        </w:tc>
        <w:tc>
          <w:tcPr>
            <w:tcW w:w="850" w:type="dxa"/>
          </w:tcPr>
          <w:p w14:paraId="6ADFDAF3" w14:textId="77777777" w:rsidR="00401546" w:rsidRPr="00A9330B" w:rsidRDefault="00401546" w:rsidP="00401546">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A9330B">
              <w:rPr>
                <w:rFonts w:cs="Arial"/>
                <w:sz w:val="18"/>
                <w:szCs w:val="18"/>
              </w:rPr>
              <w:t>3</w:t>
            </w:r>
          </w:p>
        </w:tc>
        <w:tc>
          <w:tcPr>
            <w:tcW w:w="851" w:type="dxa"/>
            <w:shd w:val="clear" w:color="auto" w:fill="FF0000"/>
          </w:tcPr>
          <w:p w14:paraId="28DF7BE3" w14:textId="77777777" w:rsidR="00401546" w:rsidRPr="00A9330B" w:rsidRDefault="00401546" w:rsidP="00401546">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sz w:val="18"/>
                <w:szCs w:val="18"/>
              </w:rPr>
            </w:pPr>
          </w:p>
        </w:tc>
      </w:tr>
      <w:tr w:rsidR="00401546" w:rsidRPr="00A9330B" w14:paraId="34A23B77" w14:textId="77777777" w:rsidTr="00401546">
        <w:trPr>
          <w:jc w:val="center"/>
        </w:trPr>
        <w:tc>
          <w:tcPr>
            <w:cnfStyle w:val="001000000000" w:firstRow="0" w:lastRow="0" w:firstColumn="1" w:lastColumn="0" w:oddVBand="0" w:evenVBand="0" w:oddHBand="0" w:evenHBand="0" w:firstRowFirstColumn="0" w:firstRowLastColumn="0" w:lastRowFirstColumn="0" w:lastRowLastColumn="0"/>
            <w:tcW w:w="486" w:type="dxa"/>
          </w:tcPr>
          <w:p w14:paraId="490C4A02" w14:textId="77777777" w:rsidR="00401546" w:rsidRPr="00A9330B" w:rsidRDefault="00401546" w:rsidP="00401546">
            <w:pPr>
              <w:spacing w:line="240" w:lineRule="auto"/>
              <w:jc w:val="center"/>
              <w:rPr>
                <w:rFonts w:cs="Arial"/>
                <w:sz w:val="18"/>
                <w:szCs w:val="18"/>
              </w:rPr>
            </w:pPr>
            <w:r w:rsidRPr="00A9330B">
              <w:rPr>
                <w:rFonts w:cs="Arial"/>
                <w:sz w:val="18"/>
                <w:szCs w:val="18"/>
              </w:rPr>
              <w:t>2</w:t>
            </w:r>
          </w:p>
        </w:tc>
        <w:tc>
          <w:tcPr>
            <w:tcW w:w="3337" w:type="dxa"/>
          </w:tcPr>
          <w:p w14:paraId="778019CC" w14:textId="77777777" w:rsidR="00401546" w:rsidRPr="00A9330B" w:rsidRDefault="00401546" w:rsidP="000F7BA7">
            <w:pPr>
              <w:spacing w:line="240" w:lineRule="auto"/>
              <w:jc w:val="both"/>
              <w:cnfStyle w:val="000000000000" w:firstRow="0" w:lastRow="0" w:firstColumn="0" w:lastColumn="0" w:oddVBand="0" w:evenVBand="0" w:oddHBand="0" w:evenHBand="0" w:firstRowFirstColumn="0" w:firstRowLastColumn="0" w:lastRowFirstColumn="0" w:lastRowLastColumn="0"/>
              <w:rPr>
                <w:rFonts w:cs="Arial"/>
                <w:sz w:val="18"/>
                <w:szCs w:val="18"/>
              </w:rPr>
            </w:pPr>
            <w:r w:rsidRPr="00A9330B">
              <w:rPr>
                <w:rFonts w:cs="Arial"/>
                <w:sz w:val="18"/>
                <w:szCs w:val="18"/>
              </w:rPr>
              <w:t xml:space="preserve">Stockage, manutention, manipulation ou transport inadapté de matériels et matériaux (par exemple : éléments préfabriqués) </w:t>
            </w:r>
          </w:p>
        </w:tc>
        <w:tc>
          <w:tcPr>
            <w:tcW w:w="3827" w:type="dxa"/>
          </w:tcPr>
          <w:p w14:paraId="086A969B" w14:textId="61C774DB" w:rsidR="00401546" w:rsidRPr="00A9330B" w:rsidRDefault="00401546" w:rsidP="000F7BA7">
            <w:pPr>
              <w:spacing w:line="240" w:lineRule="auto"/>
              <w:jc w:val="both"/>
              <w:cnfStyle w:val="000000000000" w:firstRow="0" w:lastRow="0" w:firstColumn="0" w:lastColumn="0" w:oddVBand="0" w:evenVBand="0" w:oddHBand="0" w:evenHBand="0" w:firstRowFirstColumn="0" w:firstRowLastColumn="0" w:lastRowFirstColumn="0" w:lastRowLastColumn="0"/>
              <w:rPr>
                <w:rFonts w:cs="Arial"/>
                <w:sz w:val="18"/>
                <w:szCs w:val="18"/>
              </w:rPr>
            </w:pPr>
            <w:r w:rsidRPr="00A9330B">
              <w:rPr>
                <w:rFonts w:cs="Arial"/>
                <w:sz w:val="18"/>
                <w:szCs w:val="18"/>
              </w:rPr>
              <w:t>chute accidentel</w:t>
            </w:r>
            <w:r w:rsidR="00EC6099" w:rsidRPr="00A9330B">
              <w:rPr>
                <w:rFonts w:cs="Arial"/>
                <w:sz w:val="18"/>
                <w:szCs w:val="18"/>
              </w:rPr>
              <w:t>le</w:t>
            </w:r>
            <w:r w:rsidRPr="00A9330B">
              <w:rPr>
                <w:rFonts w:cs="Arial"/>
                <w:sz w:val="18"/>
                <w:szCs w:val="18"/>
              </w:rPr>
              <w:t xml:space="preserve"> de matériel  sur les ouvriers ou des tiers pouvant entrainer des blessures, </w:t>
            </w:r>
            <w:r w:rsidR="00EC6099" w:rsidRPr="00A9330B">
              <w:rPr>
                <w:rFonts w:cs="Arial"/>
                <w:sz w:val="18"/>
                <w:szCs w:val="18"/>
              </w:rPr>
              <w:t xml:space="preserve">des </w:t>
            </w:r>
            <w:r w:rsidRPr="00A9330B">
              <w:rPr>
                <w:rFonts w:cs="Arial"/>
                <w:sz w:val="18"/>
                <w:szCs w:val="18"/>
              </w:rPr>
              <w:t xml:space="preserve">fractures, </w:t>
            </w:r>
            <w:r w:rsidR="00EC6099" w:rsidRPr="00A9330B">
              <w:rPr>
                <w:rFonts w:cs="Arial"/>
                <w:sz w:val="18"/>
                <w:szCs w:val="18"/>
              </w:rPr>
              <w:t xml:space="preserve">des </w:t>
            </w:r>
            <w:r w:rsidRPr="00A9330B">
              <w:rPr>
                <w:rFonts w:cs="Arial"/>
                <w:sz w:val="18"/>
                <w:szCs w:val="18"/>
              </w:rPr>
              <w:t xml:space="preserve">traumatismes </w:t>
            </w:r>
          </w:p>
        </w:tc>
        <w:tc>
          <w:tcPr>
            <w:tcW w:w="709" w:type="dxa"/>
          </w:tcPr>
          <w:p w14:paraId="7C207692" w14:textId="77777777" w:rsidR="00401546" w:rsidRPr="00A9330B" w:rsidRDefault="00401546" w:rsidP="00401546">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A9330B">
              <w:rPr>
                <w:rFonts w:cs="Arial"/>
                <w:sz w:val="18"/>
                <w:szCs w:val="18"/>
              </w:rPr>
              <w:t>1</w:t>
            </w:r>
          </w:p>
        </w:tc>
        <w:tc>
          <w:tcPr>
            <w:tcW w:w="850" w:type="dxa"/>
          </w:tcPr>
          <w:p w14:paraId="0471BD13" w14:textId="77777777" w:rsidR="00401546" w:rsidRPr="00A9330B" w:rsidRDefault="00401546" w:rsidP="00401546">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A9330B">
              <w:rPr>
                <w:rFonts w:cs="Arial"/>
                <w:sz w:val="18"/>
                <w:szCs w:val="18"/>
              </w:rPr>
              <w:t>2</w:t>
            </w:r>
          </w:p>
        </w:tc>
        <w:tc>
          <w:tcPr>
            <w:tcW w:w="851" w:type="dxa"/>
            <w:shd w:val="clear" w:color="auto" w:fill="99FF33"/>
          </w:tcPr>
          <w:p w14:paraId="1A6F2319" w14:textId="77777777" w:rsidR="00401546" w:rsidRPr="00A9330B" w:rsidRDefault="00401546" w:rsidP="00401546">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sz w:val="18"/>
                <w:szCs w:val="18"/>
              </w:rPr>
            </w:pPr>
          </w:p>
        </w:tc>
      </w:tr>
      <w:tr w:rsidR="00401546" w:rsidRPr="00A9330B" w14:paraId="783327C1" w14:textId="77777777" w:rsidTr="00401546">
        <w:trPr>
          <w:jc w:val="center"/>
        </w:trPr>
        <w:tc>
          <w:tcPr>
            <w:cnfStyle w:val="001000000000" w:firstRow="0" w:lastRow="0" w:firstColumn="1" w:lastColumn="0" w:oddVBand="0" w:evenVBand="0" w:oddHBand="0" w:evenHBand="0" w:firstRowFirstColumn="0" w:firstRowLastColumn="0" w:lastRowFirstColumn="0" w:lastRowLastColumn="0"/>
            <w:tcW w:w="486" w:type="dxa"/>
          </w:tcPr>
          <w:p w14:paraId="4ED025B6" w14:textId="77777777" w:rsidR="00401546" w:rsidRPr="00A9330B" w:rsidRDefault="00401546" w:rsidP="00401546">
            <w:pPr>
              <w:spacing w:line="240" w:lineRule="auto"/>
              <w:jc w:val="center"/>
              <w:rPr>
                <w:rFonts w:cs="Arial"/>
                <w:sz w:val="18"/>
                <w:szCs w:val="18"/>
              </w:rPr>
            </w:pPr>
            <w:r w:rsidRPr="00A9330B">
              <w:rPr>
                <w:rFonts w:cs="Arial"/>
                <w:sz w:val="18"/>
                <w:szCs w:val="18"/>
              </w:rPr>
              <w:t>3</w:t>
            </w:r>
          </w:p>
        </w:tc>
        <w:tc>
          <w:tcPr>
            <w:tcW w:w="3337" w:type="dxa"/>
          </w:tcPr>
          <w:p w14:paraId="22439D06" w14:textId="77777777" w:rsidR="00401546" w:rsidRPr="00A9330B" w:rsidRDefault="00401546" w:rsidP="000F7BA7">
            <w:pPr>
              <w:spacing w:line="240" w:lineRule="auto"/>
              <w:jc w:val="both"/>
              <w:cnfStyle w:val="000000000000" w:firstRow="0" w:lastRow="0" w:firstColumn="0" w:lastColumn="0" w:oddVBand="0" w:evenVBand="0" w:oddHBand="0" w:evenHBand="0" w:firstRowFirstColumn="0" w:firstRowLastColumn="0" w:lastRowFirstColumn="0" w:lastRowLastColumn="0"/>
              <w:rPr>
                <w:rFonts w:cs="Arial"/>
                <w:sz w:val="18"/>
                <w:szCs w:val="18"/>
              </w:rPr>
            </w:pPr>
            <w:r w:rsidRPr="00A9330B">
              <w:rPr>
                <w:rFonts w:cs="Arial"/>
                <w:sz w:val="18"/>
                <w:szCs w:val="18"/>
              </w:rPr>
              <w:t xml:space="preserve">Absence ou inefficacité des protections collectives et individuelles </w:t>
            </w:r>
          </w:p>
        </w:tc>
        <w:tc>
          <w:tcPr>
            <w:tcW w:w="3827" w:type="dxa"/>
          </w:tcPr>
          <w:p w14:paraId="16EBA3DB" w14:textId="7A4CF7F3" w:rsidR="00401546" w:rsidRPr="00A9330B" w:rsidRDefault="00401546" w:rsidP="000F7BA7">
            <w:pPr>
              <w:spacing w:line="240" w:lineRule="auto"/>
              <w:jc w:val="both"/>
              <w:cnfStyle w:val="000000000000" w:firstRow="0" w:lastRow="0" w:firstColumn="0" w:lastColumn="0" w:oddVBand="0" w:evenVBand="0" w:oddHBand="0" w:evenHBand="0" w:firstRowFirstColumn="0" w:firstRowLastColumn="0" w:lastRowFirstColumn="0" w:lastRowLastColumn="0"/>
              <w:rPr>
                <w:rFonts w:cs="Arial"/>
                <w:sz w:val="18"/>
                <w:szCs w:val="18"/>
              </w:rPr>
            </w:pPr>
            <w:r w:rsidRPr="00A9330B">
              <w:rPr>
                <w:rFonts w:cs="Arial"/>
                <w:sz w:val="18"/>
                <w:szCs w:val="18"/>
              </w:rPr>
              <w:t>Vulnérabilité des ouvriers pouvant entrainer des blessures,</w:t>
            </w:r>
            <w:r w:rsidR="00EC6099" w:rsidRPr="00A9330B">
              <w:rPr>
                <w:rFonts w:cs="Arial"/>
                <w:sz w:val="18"/>
                <w:szCs w:val="18"/>
              </w:rPr>
              <w:t xml:space="preserve"> des</w:t>
            </w:r>
            <w:r w:rsidRPr="00A9330B">
              <w:rPr>
                <w:rFonts w:cs="Arial"/>
                <w:sz w:val="18"/>
                <w:szCs w:val="18"/>
              </w:rPr>
              <w:t xml:space="preserve"> fractures, </w:t>
            </w:r>
            <w:r w:rsidR="00EC6099" w:rsidRPr="00A9330B">
              <w:rPr>
                <w:rFonts w:cs="Arial"/>
                <w:sz w:val="18"/>
                <w:szCs w:val="18"/>
              </w:rPr>
              <w:t xml:space="preserve">des </w:t>
            </w:r>
            <w:r w:rsidRPr="00A9330B">
              <w:rPr>
                <w:rFonts w:cs="Arial"/>
                <w:sz w:val="18"/>
                <w:szCs w:val="18"/>
              </w:rPr>
              <w:t xml:space="preserve">lésions, </w:t>
            </w:r>
            <w:r w:rsidR="00EC6099" w:rsidRPr="00A9330B">
              <w:rPr>
                <w:rFonts w:cs="Arial"/>
                <w:sz w:val="18"/>
                <w:szCs w:val="18"/>
              </w:rPr>
              <w:t xml:space="preserve">des </w:t>
            </w:r>
            <w:r w:rsidRPr="00A9330B">
              <w:rPr>
                <w:rFonts w:cs="Arial"/>
                <w:sz w:val="18"/>
                <w:szCs w:val="18"/>
              </w:rPr>
              <w:t>pertes sensorielles temporaires ou permanente</w:t>
            </w:r>
            <w:r w:rsidR="00EC6099" w:rsidRPr="00A9330B">
              <w:rPr>
                <w:rFonts w:cs="Arial"/>
                <w:sz w:val="18"/>
                <w:szCs w:val="18"/>
              </w:rPr>
              <w:t>s</w:t>
            </w:r>
            <w:r w:rsidRPr="00A9330B">
              <w:rPr>
                <w:rFonts w:cs="Arial"/>
                <w:sz w:val="18"/>
                <w:szCs w:val="18"/>
              </w:rPr>
              <w:t xml:space="preserve"> </w:t>
            </w:r>
          </w:p>
        </w:tc>
        <w:tc>
          <w:tcPr>
            <w:tcW w:w="709" w:type="dxa"/>
          </w:tcPr>
          <w:p w14:paraId="68F9D6A2" w14:textId="77777777" w:rsidR="00401546" w:rsidRPr="00A9330B" w:rsidRDefault="00401546" w:rsidP="00401546">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A9330B">
              <w:rPr>
                <w:rFonts w:cs="Arial"/>
                <w:sz w:val="18"/>
                <w:szCs w:val="18"/>
              </w:rPr>
              <w:t>2</w:t>
            </w:r>
          </w:p>
        </w:tc>
        <w:tc>
          <w:tcPr>
            <w:tcW w:w="850" w:type="dxa"/>
          </w:tcPr>
          <w:p w14:paraId="53ABE908" w14:textId="77777777" w:rsidR="00401546" w:rsidRPr="00A9330B" w:rsidRDefault="00401546" w:rsidP="00401546">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A9330B">
              <w:rPr>
                <w:rFonts w:cs="Arial"/>
                <w:sz w:val="18"/>
                <w:szCs w:val="18"/>
              </w:rPr>
              <w:t>2</w:t>
            </w:r>
          </w:p>
        </w:tc>
        <w:tc>
          <w:tcPr>
            <w:tcW w:w="851" w:type="dxa"/>
            <w:shd w:val="clear" w:color="auto" w:fill="FFFF00"/>
          </w:tcPr>
          <w:p w14:paraId="0517AC21" w14:textId="77777777" w:rsidR="00401546" w:rsidRPr="00A9330B" w:rsidRDefault="00401546" w:rsidP="00401546">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sz w:val="18"/>
                <w:szCs w:val="18"/>
              </w:rPr>
            </w:pPr>
          </w:p>
        </w:tc>
      </w:tr>
      <w:tr w:rsidR="00401546" w:rsidRPr="00A9330B" w14:paraId="008548BF" w14:textId="77777777" w:rsidTr="00401546">
        <w:trPr>
          <w:jc w:val="center"/>
        </w:trPr>
        <w:tc>
          <w:tcPr>
            <w:cnfStyle w:val="001000000000" w:firstRow="0" w:lastRow="0" w:firstColumn="1" w:lastColumn="0" w:oddVBand="0" w:evenVBand="0" w:oddHBand="0" w:evenHBand="0" w:firstRowFirstColumn="0" w:firstRowLastColumn="0" w:lastRowFirstColumn="0" w:lastRowLastColumn="0"/>
            <w:tcW w:w="486" w:type="dxa"/>
          </w:tcPr>
          <w:p w14:paraId="5D89190A" w14:textId="77777777" w:rsidR="00401546" w:rsidRPr="00A9330B" w:rsidRDefault="00401546" w:rsidP="00401546">
            <w:pPr>
              <w:spacing w:line="240" w:lineRule="auto"/>
              <w:jc w:val="center"/>
              <w:rPr>
                <w:rFonts w:cs="Arial"/>
                <w:sz w:val="18"/>
                <w:szCs w:val="18"/>
              </w:rPr>
            </w:pPr>
            <w:r w:rsidRPr="00A9330B">
              <w:rPr>
                <w:rFonts w:cs="Arial"/>
                <w:sz w:val="18"/>
                <w:szCs w:val="18"/>
              </w:rPr>
              <w:t>4</w:t>
            </w:r>
          </w:p>
        </w:tc>
        <w:tc>
          <w:tcPr>
            <w:tcW w:w="3337" w:type="dxa"/>
          </w:tcPr>
          <w:p w14:paraId="6F926D45" w14:textId="77777777" w:rsidR="00401546" w:rsidRPr="00A9330B" w:rsidRDefault="00401546" w:rsidP="000F7BA7">
            <w:pPr>
              <w:spacing w:line="240" w:lineRule="auto"/>
              <w:jc w:val="both"/>
              <w:cnfStyle w:val="000000000000" w:firstRow="0" w:lastRow="0" w:firstColumn="0" w:lastColumn="0" w:oddVBand="0" w:evenVBand="0" w:oddHBand="0" w:evenHBand="0" w:firstRowFirstColumn="0" w:firstRowLastColumn="0" w:lastRowFirstColumn="0" w:lastRowLastColumn="0"/>
              <w:rPr>
                <w:rFonts w:cs="Arial"/>
                <w:sz w:val="18"/>
                <w:szCs w:val="18"/>
              </w:rPr>
            </w:pPr>
            <w:r w:rsidRPr="00A9330B">
              <w:rPr>
                <w:rFonts w:cs="Arial"/>
                <w:sz w:val="18"/>
                <w:szCs w:val="18"/>
              </w:rPr>
              <w:t>Conduite inappropriée des véhicules et engins de chantier</w:t>
            </w:r>
          </w:p>
        </w:tc>
        <w:tc>
          <w:tcPr>
            <w:tcW w:w="3827" w:type="dxa"/>
          </w:tcPr>
          <w:p w14:paraId="5F76EBB2" w14:textId="77777777" w:rsidR="00401546" w:rsidRPr="00A9330B" w:rsidRDefault="00401546" w:rsidP="000F7BA7">
            <w:pPr>
              <w:spacing w:line="240" w:lineRule="auto"/>
              <w:jc w:val="both"/>
              <w:cnfStyle w:val="000000000000" w:firstRow="0" w:lastRow="0" w:firstColumn="0" w:lastColumn="0" w:oddVBand="0" w:evenVBand="0" w:oddHBand="0" w:evenHBand="0" w:firstRowFirstColumn="0" w:firstRowLastColumn="0" w:lastRowFirstColumn="0" w:lastRowLastColumn="0"/>
              <w:rPr>
                <w:rFonts w:cs="Arial"/>
                <w:sz w:val="18"/>
                <w:szCs w:val="18"/>
              </w:rPr>
            </w:pPr>
            <w:r w:rsidRPr="00A9330B">
              <w:rPr>
                <w:rFonts w:cs="Arial"/>
                <w:sz w:val="18"/>
                <w:szCs w:val="18"/>
              </w:rPr>
              <w:t xml:space="preserve">Exposition des chauffeurs, passagers et tiers à des blessures, fractures, traumatismes et le cas échéant dégradation ou destruction des biens  </w:t>
            </w:r>
          </w:p>
        </w:tc>
        <w:tc>
          <w:tcPr>
            <w:tcW w:w="709" w:type="dxa"/>
          </w:tcPr>
          <w:p w14:paraId="703D00C6" w14:textId="77777777" w:rsidR="00401546" w:rsidRPr="00A9330B" w:rsidRDefault="00401546" w:rsidP="00401546">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A9330B">
              <w:rPr>
                <w:rFonts w:cs="Arial"/>
                <w:sz w:val="18"/>
                <w:szCs w:val="18"/>
              </w:rPr>
              <w:t>2</w:t>
            </w:r>
          </w:p>
        </w:tc>
        <w:tc>
          <w:tcPr>
            <w:tcW w:w="850" w:type="dxa"/>
          </w:tcPr>
          <w:p w14:paraId="6F53A875" w14:textId="77777777" w:rsidR="00401546" w:rsidRPr="00A9330B" w:rsidRDefault="00401546" w:rsidP="00401546">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A9330B">
              <w:rPr>
                <w:rFonts w:cs="Arial"/>
                <w:sz w:val="18"/>
                <w:szCs w:val="18"/>
              </w:rPr>
              <w:t>3</w:t>
            </w:r>
          </w:p>
        </w:tc>
        <w:tc>
          <w:tcPr>
            <w:tcW w:w="851" w:type="dxa"/>
            <w:shd w:val="clear" w:color="auto" w:fill="FFFF00"/>
          </w:tcPr>
          <w:p w14:paraId="77728C82" w14:textId="77777777" w:rsidR="00401546" w:rsidRPr="00A9330B" w:rsidRDefault="00401546" w:rsidP="00401546">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sz w:val="18"/>
                <w:szCs w:val="18"/>
              </w:rPr>
            </w:pPr>
          </w:p>
        </w:tc>
      </w:tr>
    </w:tbl>
    <w:p w14:paraId="233E358C" w14:textId="7EB142CD" w:rsidR="00401546" w:rsidRPr="00A9330B" w:rsidRDefault="00401546" w:rsidP="000F7BA7">
      <w:pPr>
        <w:pStyle w:val="Titre20"/>
      </w:pPr>
      <w:bookmarkStart w:id="1800" w:name="_Toc535244620"/>
      <w:bookmarkStart w:id="1801" w:name="_Toc43697702"/>
      <w:bookmarkStart w:id="1802" w:name="_Toc52869706"/>
      <w:bookmarkStart w:id="1803" w:name="_Toc52869866"/>
      <w:r w:rsidRPr="00A9330B">
        <w:t xml:space="preserve">9.11. Risques vis-à-vis des biens et du milieu naturel pour </w:t>
      </w:r>
      <w:r w:rsidR="00C07BE5" w:rsidRPr="00A9330B">
        <w:t xml:space="preserve">chaque type </w:t>
      </w:r>
      <w:r w:rsidRPr="00A9330B">
        <w:t>d’activités</w:t>
      </w:r>
      <w:bookmarkEnd w:id="1800"/>
      <w:bookmarkEnd w:id="1801"/>
      <w:bookmarkEnd w:id="1802"/>
      <w:bookmarkEnd w:id="1803"/>
      <w:r w:rsidRPr="00A9330B">
        <w:t xml:space="preserve">  </w:t>
      </w:r>
    </w:p>
    <w:p w14:paraId="2498EE67" w14:textId="77777777" w:rsidR="00401546" w:rsidRPr="00A9330B" w:rsidRDefault="00401546" w:rsidP="00401546">
      <w:pPr>
        <w:jc w:val="both"/>
      </w:pPr>
      <w:r w:rsidRPr="00A9330B">
        <w:t>Les risques vis-à-vis des biens et du milieu naturel sont principalement liés :</w:t>
      </w:r>
    </w:p>
    <w:p w14:paraId="19FE9989" w14:textId="77777777" w:rsidR="00401546" w:rsidRPr="00A9330B" w:rsidRDefault="00401546" w:rsidP="00BD2F72">
      <w:pPr>
        <w:numPr>
          <w:ilvl w:val="0"/>
          <w:numId w:val="48"/>
        </w:numPr>
        <w:tabs>
          <w:tab w:val="num" w:pos="1418"/>
        </w:tabs>
        <w:ind w:left="1134"/>
        <w:jc w:val="both"/>
        <w:rPr>
          <w:rFonts w:cs="Arial"/>
          <w:szCs w:val="20"/>
        </w:rPr>
      </w:pPr>
      <w:r w:rsidRPr="00A9330B">
        <w:rPr>
          <w:rFonts w:cs="Arial"/>
          <w:szCs w:val="20"/>
        </w:rPr>
        <w:t>au non-respect des consignes d’équipement et de développement des forages, qui peuvent entraîner le pompage d’une eau chargée provoquant l'usure anticipée des pompes et une consommation excessive de produits de traitement ;</w:t>
      </w:r>
    </w:p>
    <w:p w14:paraId="5754C9C3" w14:textId="77777777" w:rsidR="00401546" w:rsidRPr="00A9330B" w:rsidRDefault="00401546" w:rsidP="00BD2F72">
      <w:pPr>
        <w:numPr>
          <w:ilvl w:val="0"/>
          <w:numId w:val="48"/>
        </w:numPr>
        <w:tabs>
          <w:tab w:val="num" w:pos="1418"/>
        </w:tabs>
        <w:ind w:left="1134"/>
        <w:jc w:val="both"/>
        <w:rPr>
          <w:rFonts w:cs="Arial"/>
          <w:szCs w:val="20"/>
        </w:rPr>
      </w:pPr>
      <w:r w:rsidRPr="00A9330B">
        <w:rPr>
          <w:rFonts w:cs="Arial"/>
          <w:szCs w:val="20"/>
        </w:rPr>
        <w:t>aux déplacements non ou mal contrôlés des véhicules et engins de chantier sur les routes d’accès aux chantiers et sur les sites de travaux ;</w:t>
      </w:r>
    </w:p>
    <w:p w14:paraId="6ACD2DBE" w14:textId="2B667B61" w:rsidR="00401546" w:rsidRPr="00A9330B" w:rsidRDefault="00401546" w:rsidP="00BD2F72">
      <w:pPr>
        <w:numPr>
          <w:ilvl w:val="0"/>
          <w:numId w:val="48"/>
        </w:numPr>
        <w:tabs>
          <w:tab w:val="num" w:pos="1418"/>
        </w:tabs>
        <w:ind w:left="1134"/>
        <w:jc w:val="both"/>
        <w:rPr>
          <w:rFonts w:cs="Arial"/>
          <w:szCs w:val="20"/>
        </w:rPr>
      </w:pPr>
      <w:r w:rsidRPr="00A9330B">
        <w:rPr>
          <w:rFonts w:cs="Arial"/>
          <w:szCs w:val="20"/>
        </w:rPr>
        <w:t>aux mauvaises conditions de stockage, manutention, manipulation et transport de matériaux (stockage de déblais, mauvais arrimage, zone de stockage non stabilisée…), qui peuvent être à l’origine de la dégradation directe de biens privés ou publics par chocs, ou indirectement d’une dégradation de l’environnement par déversement de produits potentiellement polluant</w:t>
      </w:r>
      <w:r w:rsidR="00EC6099" w:rsidRPr="00A9330B">
        <w:rPr>
          <w:rFonts w:cs="Arial"/>
          <w:szCs w:val="20"/>
        </w:rPr>
        <w:t>s</w:t>
      </w:r>
      <w:r w:rsidRPr="00A9330B">
        <w:rPr>
          <w:rFonts w:cs="Arial"/>
          <w:szCs w:val="20"/>
        </w:rPr>
        <w:t xml:space="preserve"> ou nuisibles pour l’environnement ;</w:t>
      </w:r>
    </w:p>
    <w:p w14:paraId="5C60C9C2" w14:textId="77777777" w:rsidR="00401546" w:rsidRPr="00A9330B" w:rsidRDefault="00401546" w:rsidP="00BD2F72">
      <w:pPr>
        <w:numPr>
          <w:ilvl w:val="0"/>
          <w:numId w:val="48"/>
        </w:numPr>
        <w:tabs>
          <w:tab w:val="num" w:pos="1418"/>
        </w:tabs>
        <w:ind w:left="1134"/>
        <w:jc w:val="both"/>
        <w:rPr>
          <w:rFonts w:cs="Arial"/>
          <w:szCs w:val="20"/>
        </w:rPr>
      </w:pPr>
      <w:r w:rsidRPr="00A9330B">
        <w:rPr>
          <w:rFonts w:cs="Arial"/>
          <w:szCs w:val="20"/>
        </w:rPr>
        <w:t>à l’utilisation de matériels électriques et de produits inflammables ou potentiellement polluants ;</w:t>
      </w:r>
    </w:p>
    <w:p w14:paraId="0828FB82" w14:textId="2B9DF2D2" w:rsidR="00401546" w:rsidRPr="00A9330B" w:rsidRDefault="00401546" w:rsidP="00BD2F72">
      <w:pPr>
        <w:numPr>
          <w:ilvl w:val="0"/>
          <w:numId w:val="48"/>
        </w:numPr>
        <w:tabs>
          <w:tab w:val="num" w:pos="1418"/>
        </w:tabs>
        <w:ind w:left="1134"/>
        <w:jc w:val="both"/>
        <w:rPr>
          <w:rFonts w:cs="Arial"/>
          <w:szCs w:val="20"/>
        </w:rPr>
      </w:pPr>
      <w:r w:rsidRPr="00A9330B">
        <w:rPr>
          <w:rFonts w:cs="Arial"/>
          <w:szCs w:val="20"/>
        </w:rPr>
        <w:t>à la réalisation de travaux proches de sources d’électricité ou de canalisations d’eau existantes non ou mal identifiées, qui peuvent être à l’origine d’incendies ou d’inondations à l’origine de la dégradation directe de biens privés ou publics, ou d’une dégradation directe de l’environnement par déversement de produits potentiellement polluant</w:t>
      </w:r>
      <w:r w:rsidR="002D6CDB" w:rsidRPr="00A9330B">
        <w:rPr>
          <w:rFonts w:cs="Arial"/>
          <w:szCs w:val="20"/>
        </w:rPr>
        <w:t>s</w:t>
      </w:r>
      <w:r w:rsidRPr="00A9330B">
        <w:rPr>
          <w:rFonts w:cs="Arial"/>
          <w:szCs w:val="20"/>
        </w:rPr>
        <w:t xml:space="preserve"> ou nuisibles pour l’environnement.   </w:t>
      </w:r>
    </w:p>
    <w:p w14:paraId="27457083" w14:textId="4662E9FF" w:rsidR="00401546" w:rsidRPr="00A9330B" w:rsidRDefault="00401546" w:rsidP="00401546">
      <w:pPr>
        <w:jc w:val="both"/>
      </w:pPr>
      <w:r w:rsidRPr="00A9330B">
        <w:t>Les principales situations de danger, les ENS pouvant en résulter et les dommages associés pour les biens et l’environnement sont résumés dans le tableau suivant pour chaque catégorie d’activités. D’une manière générale, la probabilité d’occurrence est plus faible pour les biens et l’environnement que pour les personnes, qui sont directement impliqué</w:t>
      </w:r>
      <w:r w:rsidR="002D6CDB" w:rsidRPr="00A9330B">
        <w:t>e</w:t>
      </w:r>
      <w:r w:rsidRPr="00A9330B">
        <w:t>s dans la mise en danger. Cependant, les mesures de prévention et de minimisation applicables aux personnes s’appliquent également aux biens et à l’environnement.</w:t>
      </w:r>
    </w:p>
    <w:p w14:paraId="2DFA139A" w14:textId="093776A7" w:rsidR="00401546" w:rsidRPr="00A9330B" w:rsidRDefault="00401546" w:rsidP="00401546">
      <w:pPr>
        <w:keepNext/>
        <w:spacing w:after="120" w:line="240" w:lineRule="auto"/>
        <w:jc w:val="center"/>
        <w:rPr>
          <w:rFonts w:eastAsia="Calibri" w:cs="Arial"/>
          <w:b/>
          <w:color w:val="000000"/>
          <w:sz w:val="20"/>
          <w:szCs w:val="20"/>
          <w:lang w:eastAsia="fr-FR"/>
        </w:rPr>
      </w:pPr>
      <w:bookmarkStart w:id="1804" w:name="_Toc529219551"/>
      <w:bookmarkStart w:id="1805" w:name="_Toc529249284"/>
      <w:bookmarkStart w:id="1806" w:name="_Toc531434246"/>
      <w:bookmarkStart w:id="1807" w:name="_Toc533058623"/>
      <w:bookmarkStart w:id="1808" w:name="_Toc535237436"/>
      <w:bookmarkStart w:id="1809" w:name="_Toc43696264"/>
      <w:bookmarkStart w:id="1810" w:name="_Toc52873777"/>
      <w:r w:rsidRPr="00A9330B">
        <w:rPr>
          <w:rFonts w:eastAsia="Times New Roman" w:cs="Arial"/>
          <w:b/>
          <w:color w:val="000000"/>
          <w:sz w:val="20"/>
          <w:szCs w:val="20"/>
          <w:lang w:eastAsia="fr-FR"/>
        </w:rPr>
        <w:lastRenderedPageBreak/>
        <w:t xml:space="preserve">Tableau </w:t>
      </w:r>
      <w:r w:rsidRPr="00A9330B">
        <w:rPr>
          <w:rFonts w:eastAsia="Times New Roman" w:cs="Arial"/>
          <w:b/>
          <w:color w:val="000000"/>
          <w:sz w:val="20"/>
          <w:szCs w:val="20"/>
          <w:lang w:eastAsia="fr-FR"/>
        </w:rPr>
        <w:fldChar w:fldCharType="begin"/>
      </w:r>
      <w:r w:rsidRPr="00A9330B">
        <w:rPr>
          <w:rFonts w:eastAsia="Times New Roman" w:cs="Arial"/>
          <w:b/>
          <w:color w:val="000000"/>
          <w:sz w:val="20"/>
          <w:szCs w:val="20"/>
          <w:lang w:eastAsia="fr-FR"/>
        </w:rPr>
        <w:instrText xml:space="preserve"> SEQ Tableau \* ARABIC </w:instrText>
      </w:r>
      <w:r w:rsidRPr="00A9330B">
        <w:rPr>
          <w:rFonts w:eastAsia="Times New Roman" w:cs="Arial"/>
          <w:b/>
          <w:color w:val="000000"/>
          <w:sz w:val="20"/>
          <w:szCs w:val="20"/>
          <w:lang w:eastAsia="fr-FR"/>
        </w:rPr>
        <w:fldChar w:fldCharType="separate"/>
      </w:r>
      <w:r w:rsidR="00417D31" w:rsidRPr="00A9330B">
        <w:rPr>
          <w:rFonts w:eastAsia="Times New Roman" w:cs="Arial"/>
          <w:b/>
          <w:noProof/>
          <w:color w:val="000000"/>
          <w:sz w:val="20"/>
          <w:szCs w:val="20"/>
          <w:lang w:eastAsia="fr-FR"/>
        </w:rPr>
        <w:t>53</w:t>
      </w:r>
      <w:r w:rsidRPr="00A9330B">
        <w:rPr>
          <w:rFonts w:eastAsia="Times New Roman" w:cs="Arial"/>
          <w:b/>
          <w:color w:val="000000"/>
          <w:sz w:val="20"/>
          <w:szCs w:val="20"/>
          <w:lang w:eastAsia="fr-FR"/>
        </w:rPr>
        <w:fldChar w:fldCharType="end"/>
      </w:r>
      <w:r w:rsidRPr="00A9330B">
        <w:rPr>
          <w:rFonts w:eastAsia="Calibri" w:cs="Arial"/>
          <w:b/>
          <w:color w:val="000000"/>
          <w:sz w:val="20"/>
          <w:szCs w:val="20"/>
          <w:lang w:eastAsia="fr-FR"/>
        </w:rPr>
        <w:t> : Analyse des risques liés</w:t>
      </w:r>
      <w:r w:rsidR="00F23BBF" w:rsidRPr="00A9330B">
        <w:rPr>
          <w:rFonts w:eastAsia="Calibri" w:cs="Arial"/>
          <w:b/>
          <w:color w:val="000000"/>
          <w:sz w:val="20"/>
          <w:szCs w:val="20"/>
          <w:lang w:eastAsia="fr-FR"/>
        </w:rPr>
        <w:t xml:space="preserve"> à</w:t>
      </w:r>
      <w:r w:rsidRPr="00A9330B">
        <w:rPr>
          <w:rFonts w:eastAsia="Calibri" w:cs="Arial"/>
          <w:b/>
          <w:color w:val="000000"/>
          <w:sz w:val="20"/>
          <w:szCs w:val="20"/>
          <w:lang w:eastAsia="fr-FR"/>
        </w:rPr>
        <w:t xml:space="preserve"> la perte ou </w:t>
      </w:r>
      <w:r w:rsidR="002D6CDB" w:rsidRPr="00A9330B">
        <w:rPr>
          <w:rFonts w:eastAsia="Calibri" w:cs="Arial"/>
          <w:b/>
          <w:color w:val="000000"/>
          <w:sz w:val="20"/>
          <w:szCs w:val="20"/>
          <w:lang w:eastAsia="fr-FR"/>
        </w:rPr>
        <w:t xml:space="preserve">la </w:t>
      </w:r>
      <w:r w:rsidRPr="00A9330B">
        <w:rPr>
          <w:rFonts w:eastAsia="Calibri" w:cs="Arial"/>
          <w:b/>
          <w:color w:val="000000"/>
          <w:sz w:val="20"/>
          <w:szCs w:val="20"/>
          <w:lang w:eastAsia="fr-FR"/>
        </w:rPr>
        <w:t>dégradation des biens et du milieu naturel</w:t>
      </w:r>
      <w:bookmarkEnd w:id="1804"/>
      <w:bookmarkEnd w:id="1805"/>
      <w:bookmarkEnd w:id="1806"/>
      <w:bookmarkEnd w:id="1807"/>
      <w:bookmarkEnd w:id="1808"/>
      <w:bookmarkEnd w:id="1809"/>
      <w:bookmarkEnd w:id="1810"/>
    </w:p>
    <w:tbl>
      <w:tblPr>
        <w:tblStyle w:val="Grilledutableau6"/>
        <w:tblW w:w="9209" w:type="dxa"/>
        <w:jc w:val="center"/>
        <w:tblLayout w:type="fixed"/>
        <w:tblLook w:val="04A0" w:firstRow="1" w:lastRow="0" w:firstColumn="1" w:lastColumn="0" w:noHBand="0" w:noVBand="1"/>
      </w:tblPr>
      <w:tblGrid>
        <w:gridCol w:w="1838"/>
        <w:gridCol w:w="2410"/>
        <w:gridCol w:w="2693"/>
        <w:gridCol w:w="851"/>
        <w:gridCol w:w="567"/>
        <w:gridCol w:w="850"/>
      </w:tblGrid>
      <w:tr w:rsidR="00401546" w:rsidRPr="00A9330B" w14:paraId="17DE3F7C" w14:textId="77777777" w:rsidTr="00401546">
        <w:trPr>
          <w:jc w:val="center"/>
        </w:trPr>
        <w:tc>
          <w:tcPr>
            <w:tcW w:w="1838" w:type="dxa"/>
            <w:vMerge w:val="restart"/>
            <w:shd w:val="clear" w:color="auto" w:fill="FFFFFF" w:themeFill="background1"/>
          </w:tcPr>
          <w:p w14:paraId="6DCED5C2" w14:textId="77777777" w:rsidR="00401546" w:rsidRPr="00A9330B" w:rsidRDefault="00401546" w:rsidP="00401546">
            <w:pPr>
              <w:spacing w:line="240" w:lineRule="auto"/>
              <w:jc w:val="center"/>
              <w:rPr>
                <w:rFonts w:cs="Arial"/>
                <w:b/>
                <w:color w:val="auto"/>
                <w:sz w:val="18"/>
                <w:szCs w:val="18"/>
              </w:rPr>
            </w:pPr>
            <w:r w:rsidRPr="00A9330B">
              <w:rPr>
                <w:rFonts w:cs="Arial"/>
                <w:b/>
                <w:color w:val="auto"/>
                <w:sz w:val="18"/>
                <w:szCs w:val="18"/>
              </w:rPr>
              <w:t xml:space="preserve">Activités </w:t>
            </w:r>
          </w:p>
        </w:tc>
        <w:tc>
          <w:tcPr>
            <w:tcW w:w="2410" w:type="dxa"/>
            <w:vMerge w:val="restart"/>
            <w:shd w:val="clear" w:color="auto" w:fill="FFFFFF" w:themeFill="background1"/>
          </w:tcPr>
          <w:p w14:paraId="32EB5303" w14:textId="77777777" w:rsidR="00401546" w:rsidRPr="00A9330B" w:rsidRDefault="00401546" w:rsidP="00401546">
            <w:pPr>
              <w:spacing w:line="240" w:lineRule="auto"/>
              <w:jc w:val="center"/>
              <w:rPr>
                <w:rFonts w:cs="Arial"/>
                <w:b/>
                <w:color w:val="auto"/>
                <w:sz w:val="18"/>
                <w:szCs w:val="18"/>
              </w:rPr>
            </w:pPr>
            <w:r w:rsidRPr="00A9330B">
              <w:rPr>
                <w:rFonts w:cs="Arial"/>
                <w:b/>
                <w:color w:val="auto"/>
                <w:sz w:val="18"/>
                <w:szCs w:val="18"/>
              </w:rPr>
              <w:t xml:space="preserve">Principales situations de danger </w:t>
            </w:r>
          </w:p>
        </w:tc>
        <w:tc>
          <w:tcPr>
            <w:tcW w:w="2693" w:type="dxa"/>
            <w:vMerge w:val="restart"/>
            <w:shd w:val="clear" w:color="auto" w:fill="FFFFFF" w:themeFill="background1"/>
          </w:tcPr>
          <w:p w14:paraId="08DC6459" w14:textId="77777777" w:rsidR="00401546" w:rsidRPr="00A9330B" w:rsidRDefault="00401546" w:rsidP="00401546">
            <w:pPr>
              <w:spacing w:line="240" w:lineRule="auto"/>
              <w:jc w:val="center"/>
              <w:rPr>
                <w:rFonts w:cs="Arial"/>
                <w:b/>
                <w:color w:val="auto"/>
                <w:sz w:val="18"/>
                <w:szCs w:val="18"/>
              </w:rPr>
            </w:pPr>
            <w:r w:rsidRPr="00A9330B">
              <w:rPr>
                <w:rFonts w:cs="Arial"/>
                <w:b/>
                <w:color w:val="auto"/>
                <w:sz w:val="18"/>
                <w:szCs w:val="18"/>
              </w:rPr>
              <w:t xml:space="preserve">Evènements non souhaitable (ENS)/Impact sur les biens ou l’environnement  </w:t>
            </w:r>
          </w:p>
        </w:tc>
        <w:tc>
          <w:tcPr>
            <w:tcW w:w="2268" w:type="dxa"/>
            <w:gridSpan w:val="3"/>
            <w:shd w:val="clear" w:color="auto" w:fill="FFFFFF" w:themeFill="background1"/>
          </w:tcPr>
          <w:p w14:paraId="0A025E09" w14:textId="77777777" w:rsidR="00401546" w:rsidRPr="00A9330B" w:rsidRDefault="00401546" w:rsidP="00401546">
            <w:pPr>
              <w:spacing w:line="240" w:lineRule="auto"/>
              <w:jc w:val="center"/>
              <w:rPr>
                <w:rFonts w:cs="Arial"/>
                <w:b/>
                <w:color w:val="auto"/>
                <w:sz w:val="18"/>
                <w:szCs w:val="18"/>
              </w:rPr>
            </w:pPr>
            <w:r w:rsidRPr="00A9330B">
              <w:rPr>
                <w:rFonts w:cs="Arial"/>
                <w:b/>
                <w:color w:val="auto"/>
                <w:sz w:val="18"/>
                <w:szCs w:val="18"/>
              </w:rPr>
              <w:t xml:space="preserve">Evaluation du risque </w:t>
            </w:r>
          </w:p>
        </w:tc>
      </w:tr>
      <w:tr w:rsidR="00401546" w:rsidRPr="00A9330B" w14:paraId="3654BD68" w14:textId="77777777" w:rsidTr="009C5C1D">
        <w:trPr>
          <w:jc w:val="center"/>
        </w:trPr>
        <w:tc>
          <w:tcPr>
            <w:tcW w:w="1838" w:type="dxa"/>
            <w:vMerge/>
            <w:shd w:val="clear" w:color="auto" w:fill="FFFFFF" w:themeFill="background1"/>
          </w:tcPr>
          <w:p w14:paraId="44364513" w14:textId="77777777" w:rsidR="00401546" w:rsidRPr="00A9330B" w:rsidRDefault="00401546" w:rsidP="00401546">
            <w:pPr>
              <w:spacing w:line="240" w:lineRule="auto"/>
              <w:rPr>
                <w:rFonts w:cs="Arial"/>
                <w:b/>
                <w:color w:val="auto"/>
                <w:sz w:val="18"/>
                <w:szCs w:val="18"/>
              </w:rPr>
            </w:pPr>
          </w:p>
        </w:tc>
        <w:tc>
          <w:tcPr>
            <w:tcW w:w="2410" w:type="dxa"/>
            <w:vMerge/>
            <w:shd w:val="clear" w:color="auto" w:fill="FFFFFF" w:themeFill="background1"/>
          </w:tcPr>
          <w:p w14:paraId="7104B940" w14:textId="77777777" w:rsidR="00401546" w:rsidRPr="00A9330B" w:rsidRDefault="00401546" w:rsidP="00401546">
            <w:pPr>
              <w:spacing w:line="240" w:lineRule="auto"/>
              <w:rPr>
                <w:rFonts w:cs="Arial"/>
                <w:color w:val="auto"/>
                <w:sz w:val="18"/>
                <w:szCs w:val="18"/>
              </w:rPr>
            </w:pPr>
          </w:p>
        </w:tc>
        <w:tc>
          <w:tcPr>
            <w:tcW w:w="2693" w:type="dxa"/>
            <w:vMerge/>
            <w:shd w:val="clear" w:color="auto" w:fill="FFFFFF" w:themeFill="background1"/>
          </w:tcPr>
          <w:p w14:paraId="5D43B3CD" w14:textId="77777777" w:rsidR="00401546" w:rsidRPr="00A9330B" w:rsidRDefault="00401546" w:rsidP="00401546">
            <w:pPr>
              <w:spacing w:line="240" w:lineRule="auto"/>
              <w:rPr>
                <w:rFonts w:cs="Arial"/>
                <w:color w:val="auto"/>
                <w:sz w:val="18"/>
                <w:szCs w:val="18"/>
              </w:rPr>
            </w:pPr>
          </w:p>
        </w:tc>
        <w:tc>
          <w:tcPr>
            <w:tcW w:w="851" w:type="dxa"/>
            <w:shd w:val="clear" w:color="auto" w:fill="ED7D31" w:themeFill="accent2"/>
          </w:tcPr>
          <w:p w14:paraId="09559A84" w14:textId="77777777" w:rsidR="00401546" w:rsidRPr="00A9330B" w:rsidRDefault="00401546" w:rsidP="00401546">
            <w:pPr>
              <w:spacing w:line="240" w:lineRule="auto"/>
              <w:jc w:val="center"/>
              <w:rPr>
                <w:rFonts w:cs="Arial"/>
                <w:color w:val="auto"/>
                <w:sz w:val="18"/>
                <w:szCs w:val="18"/>
              </w:rPr>
            </w:pPr>
            <w:r w:rsidRPr="00A9330B">
              <w:rPr>
                <w:rFonts w:cs="Arial"/>
                <w:color w:val="auto"/>
                <w:sz w:val="18"/>
                <w:szCs w:val="18"/>
              </w:rPr>
              <w:t xml:space="preserve">Probabilité </w:t>
            </w:r>
          </w:p>
        </w:tc>
        <w:tc>
          <w:tcPr>
            <w:tcW w:w="567" w:type="dxa"/>
            <w:shd w:val="clear" w:color="auto" w:fill="ED7D31" w:themeFill="accent2"/>
          </w:tcPr>
          <w:p w14:paraId="341561AB" w14:textId="77777777" w:rsidR="00401546" w:rsidRPr="00A9330B" w:rsidRDefault="00401546" w:rsidP="00401546">
            <w:pPr>
              <w:spacing w:line="240" w:lineRule="auto"/>
              <w:jc w:val="center"/>
              <w:rPr>
                <w:rFonts w:cs="Arial"/>
                <w:color w:val="auto"/>
                <w:sz w:val="18"/>
                <w:szCs w:val="18"/>
              </w:rPr>
            </w:pPr>
            <w:r w:rsidRPr="00A9330B">
              <w:rPr>
                <w:rFonts w:cs="Arial"/>
                <w:color w:val="auto"/>
                <w:sz w:val="18"/>
                <w:szCs w:val="18"/>
              </w:rPr>
              <w:t xml:space="preserve">Gravité </w:t>
            </w:r>
          </w:p>
        </w:tc>
        <w:tc>
          <w:tcPr>
            <w:tcW w:w="850" w:type="dxa"/>
            <w:shd w:val="clear" w:color="auto" w:fill="ED7D31" w:themeFill="accent2"/>
          </w:tcPr>
          <w:p w14:paraId="33509AF0" w14:textId="77777777" w:rsidR="00401546" w:rsidRPr="00A9330B" w:rsidRDefault="00401546" w:rsidP="00401546">
            <w:pPr>
              <w:spacing w:line="240" w:lineRule="auto"/>
              <w:jc w:val="center"/>
              <w:rPr>
                <w:rFonts w:cs="Arial"/>
                <w:color w:val="auto"/>
                <w:sz w:val="18"/>
                <w:szCs w:val="18"/>
              </w:rPr>
            </w:pPr>
            <w:r w:rsidRPr="00A9330B">
              <w:rPr>
                <w:rFonts w:cs="Arial"/>
                <w:color w:val="auto"/>
                <w:sz w:val="18"/>
                <w:szCs w:val="18"/>
              </w:rPr>
              <w:t xml:space="preserve">Acceptabilité </w:t>
            </w:r>
          </w:p>
        </w:tc>
      </w:tr>
      <w:tr w:rsidR="00401546" w:rsidRPr="00A9330B" w14:paraId="293D5B7D" w14:textId="77777777" w:rsidTr="00401546">
        <w:trPr>
          <w:jc w:val="center"/>
        </w:trPr>
        <w:tc>
          <w:tcPr>
            <w:tcW w:w="1838" w:type="dxa"/>
            <w:vMerge w:val="restart"/>
          </w:tcPr>
          <w:p w14:paraId="6BF31EE9" w14:textId="77777777" w:rsidR="00401546" w:rsidRPr="00A9330B" w:rsidRDefault="00401546" w:rsidP="00BD2F72">
            <w:pPr>
              <w:numPr>
                <w:ilvl w:val="0"/>
                <w:numId w:val="49"/>
              </w:numPr>
              <w:spacing w:line="240" w:lineRule="auto"/>
              <w:ind w:left="0"/>
              <w:contextualSpacing/>
              <w:jc w:val="both"/>
              <w:rPr>
                <w:rFonts w:cs="Arial"/>
                <w:b/>
                <w:sz w:val="18"/>
                <w:szCs w:val="18"/>
              </w:rPr>
            </w:pPr>
            <w:r w:rsidRPr="00A9330B">
              <w:rPr>
                <w:rFonts w:cs="Arial"/>
                <w:b/>
                <w:sz w:val="18"/>
                <w:szCs w:val="18"/>
              </w:rPr>
              <w:t>Déplacement des réseaux divers (eau, électricité et téléphonique) </w:t>
            </w:r>
          </w:p>
        </w:tc>
        <w:tc>
          <w:tcPr>
            <w:tcW w:w="2410" w:type="dxa"/>
          </w:tcPr>
          <w:p w14:paraId="68F5D291" w14:textId="77777777" w:rsidR="00401546" w:rsidRPr="00A9330B" w:rsidRDefault="00401546" w:rsidP="000F7BA7">
            <w:pPr>
              <w:spacing w:line="240" w:lineRule="auto"/>
              <w:jc w:val="both"/>
              <w:rPr>
                <w:rFonts w:cs="Arial"/>
                <w:sz w:val="18"/>
                <w:szCs w:val="18"/>
              </w:rPr>
            </w:pPr>
            <w:r w:rsidRPr="00A9330B">
              <w:rPr>
                <w:rFonts w:cs="Arial"/>
                <w:sz w:val="18"/>
                <w:szCs w:val="18"/>
              </w:rPr>
              <w:t xml:space="preserve">Déplacement non ou mal contrôlé de véhicules et engins de chantier </w:t>
            </w:r>
          </w:p>
        </w:tc>
        <w:tc>
          <w:tcPr>
            <w:tcW w:w="2693" w:type="dxa"/>
          </w:tcPr>
          <w:p w14:paraId="399C03AE" w14:textId="4A66F384" w:rsidR="00401546" w:rsidRPr="00A9330B" w:rsidRDefault="00401546" w:rsidP="000F7BA7">
            <w:pPr>
              <w:spacing w:line="240" w:lineRule="auto"/>
              <w:jc w:val="both"/>
              <w:rPr>
                <w:rFonts w:cs="Arial"/>
                <w:sz w:val="18"/>
                <w:szCs w:val="18"/>
              </w:rPr>
            </w:pPr>
            <w:r w:rsidRPr="00A9330B">
              <w:rPr>
                <w:rFonts w:cs="Arial"/>
                <w:sz w:val="18"/>
                <w:szCs w:val="18"/>
              </w:rPr>
              <w:t xml:space="preserve">Destruction  de biens privés ou de ressources naturelles autour de la zone de travaux entrainant des conflits, </w:t>
            </w:r>
            <w:r w:rsidR="002D6CDB" w:rsidRPr="00A9330B">
              <w:rPr>
                <w:rFonts w:cs="Arial"/>
                <w:sz w:val="18"/>
                <w:szCs w:val="18"/>
              </w:rPr>
              <w:t xml:space="preserve">une </w:t>
            </w:r>
            <w:r w:rsidRPr="00A9330B">
              <w:rPr>
                <w:rFonts w:cs="Arial"/>
                <w:sz w:val="18"/>
                <w:szCs w:val="18"/>
              </w:rPr>
              <w:t xml:space="preserve">indemnisation ou une compensation </w:t>
            </w:r>
          </w:p>
        </w:tc>
        <w:tc>
          <w:tcPr>
            <w:tcW w:w="851" w:type="dxa"/>
          </w:tcPr>
          <w:p w14:paraId="3145FF7B" w14:textId="77777777" w:rsidR="00401546" w:rsidRPr="00A9330B" w:rsidRDefault="00401546" w:rsidP="00401546">
            <w:pPr>
              <w:spacing w:line="240" w:lineRule="auto"/>
              <w:jc w:val="center"/>
              <w:rPr>
                <w:rFonts w:cs="Arial"/>
                <w:sz w:val="18"/>
                <w:szCs w:val="18"/>
              </w:rPr>
            </w:pPr>
            <w:r w:rsidRPr="00A9330B">
              <w:rPr>
                <w:rFonts w:cs="Arial"/>
                <w:sz w:val="18"/>
                <w:szCs w:val="18"/>
              </w:rPr>
              <w:t>3</w:t>
            </w:r>
          </w:p>
        </w:tc>
        <w:tc>
          <w:tcPr>
            <w:tcW w:w="567" w:type="dxa"/>
          </w:tcPr>
          <w:p w14:paraId="6566E048" w14:textId="77777777" w:rsidR="00401546" w:rsidRPr="00A9330B" w:rsidRDefault="00401546" w:rsidP="00401546">
            <w:pPr>
              <w:spacing w:line="240" w:lineRule="auto"/>
              <w:jc w:val="center"/>
              <w:rPr>
                <w:rFonts w:cs="Arial"/>
                <w:sz w:val="18"/>
                <w:szCs w:val="18"/>
              </w:rPr>
            </w:pPr>
            <w:r w:rsidRPr="00A9330B">
              <w:rPr>
                <w:rFonts w:cs="Arial"/>
                <w:sz w:val="18"/>
                <w:szCs w:val="18"/>
              </w:rPr>
              <w:t>3</w:t>
            </w:r>
          </w:p>
        </w:tc>
        <w:tc>
          <w:tcPr>
            <w:tcW w:w="850" w:type="dxa"/>
            <w:shd w:val="clear" w:color="auto" w:fill="FF0000"/>
          </w:tcPr>
          <w:p w14:paraId="36B718C0" w14:textId="77777777" w:rsidR="00401546" w:rsidRPr="00A9330B" w:rsidRDefault="00401546" w:rsidP="00401546">
            <w:pPr>
              <w:spacing w:line="240" w:lineRule="auto"/>
              <w:jc w:val="center"/>
              <w:rPr>
                <w:rFonts w:cs="Arial"/>
                <w:sz w:val="18"/>
                <w:szCs w:val="18"/>
              </w:rPr>
            </w:pPr>
          </w:p>
        </w:tc>
      </w:tr>
      <w:tr w:rsidR="00401546" w:rsidRPr="00A9330B" w14:paraId="67218E17" w14:textId="77777777" w:rsidTr="00401546">
        <w:trPr>
          <w:jc w:val="center"/>
        </w:trPr>
        <w:tc>
          <w:tcPr>
            <w:tcW w:w="1838" w:type="dxa"/>
            <w:vMerge/>
          </w:tcPr>
          <w:p w14:paraId="31EB86CE" w14:textId="77777777" w:rsidR="00401546" w:rsidRPr="00A9330B" w:rsidRDefault="00401546" w:rsidP="00401546">
            <w:pPr>
              <w:spacing w:line="240" w:lineRule="auto"/>
              <w:jc w:val="center"/>
              <w:rPr>
                <w:rFonts w:cs="Arial"/>
                <w:b/>
                <w:sz w:val="18"/>
                <w:szCs w:val="18"/>
              </w:rPr>
            </w:pPr>
          </w:p>
        </w:tc>
        <w:tc>
          <w:tcPr>
            <w:tcW w:w="2410" w:type="dxa"/>
          </w:tcPr>
          <w:p w14:paraId="339F4FBF" w14:textId="77777777" w:rsidR="00401546" w:rsidRPr="00A9330B" w:rsidRDefault="00401546" w:rsidP="000F7BA7">
            <w:pPr>
              <w:spacing w:line="240" w:lineRule="auto"/>
              <w:jc w:val="both"/>
              <w:rPr>
                <w:rFonts w:cs="Arial"/>
                <w:sz w:val="18"/>
                <w:szCs w:val="18"/>
              </w:rPr>
            </w:pPr>
            <w:r w:rsidRPr="00A9330B">
              <w:rPr>
                <w:rFonts w:cs="Arial"/>
                <w:sz w:val="18"/>
                <w:szCs w:val="18"/>
              </w:rPr>
              <w:t xml:space="preserve">Utilisation ou maintenance inadaptées des équipements de  travail </w:t>
            </w:r>
          </w:p>
        </w:tc>
        <w:tc>
          <w:tcPr>
            <w:tcW w:w="2693" w:type="dxa"/>
          </w:tcPr>
          <w:p w14:paraId="01C33419" w14:textId="77777777" w:rsidR="00401546" w:rsidRPr="00A9330B" w:rsidRDefault="00401546" w:rsidP="000F7BA7">
            <w:pPr>
              <w:spacing w:line="240" w:lineRule="auto"/>
              <w:jc w:val="both"/>
              <w:rPr>
                <w:rFonts w:cs="Arial"/>
                <w:sz w:val="18"/>
                <w:szCs w:val="18"/>
              </w:rPr>
            </w:pPr>
            <w:r w:rsidRPr="00A9330B">
              <w:rPr>
                <w:rFonts w:cs="Arial"/>
                <w:sz w:val="18"/>
                <w:szCs w:val="18"/>
              </w:rPr>
              <w:t xml:space="preserve">Rupture de câbles, flexibles, outils, rupture de charges, … pouvant occasionner le rejet de produits polluants dans la nature </w:t>
            </w:r>
          </w:p>
        </w:tc>
        <w:tc>
          <w:tcPr>
            <w:tcW w:w="851" w:type="dxa"/>
          </w:tcPr>
          <w:p w14:paraId="38B2512A" w14:textId="77777777" w:rsidR="00401546" w:rsidRPr="00A9330B" w:rsidRDefault="00401546" w:rsidP="00401546">
            <w:pPr>
              <w:spacing w:line="240" w:lineRule="auto"/>
              <w:jc w:val="center"/>
              <w:rPr>
                <w:rFonts w:cs="Arial"/>
                <w:sz w:val="18"/>
                <w:szCs w:val="18"/>
              </w:rPr>
            </w:pPr>
            <w:r w:rsidRPr="00A9330B">
              <w:rPr>
                <w:rFonts w:cs="Arial"/>
                <w:sz w:val="18"/>
                <w:szCs w:val="18"/>
              </w:rPr>
              <w:t>3</w:t>
            </w:r>
          </w:p>
        </w:tc>
        <w:tc>
          <w:tcPr>
            <w:tcW w:w="567" w:type="dxa"/>
          </w:tcPr>
          <w:p w14:paraId="2BE086F0" w14:textId="77777777" w:rsidR="00401546" w:rsidRPr="00A9330B" w:rsidRDefault="00401546" w:rsidP="00401546">
            <w:pPr>
              <w:spacing w:line="240" w:lineRule="auto"/>
              <w:jc w:val="center"/>
              <w:rPr>
                <w:rFonts w:cs="Arial"/>
                <w:sz w:val="18"/>
                <w:szCs w:val="18"/>
              </w:rPr>
            </w:pPr>
            <w:r w:rsidRPr="00A9330B">
              <w:rPr>
                <w:rFonts w:cs="Arial"/>
                <w:sz w:val="18"/>
                <w:szCs w:val="18"/>
              </w:rPr>
              <w:t>2</w:t>
            </w:r>
          </w:p>
        </w:tc>
        <w:tc>
          <w:tcPr>
            <w:tcW w:w="850" w:type="dxa"/>
            <w:shd w:val="clear" w:color="auto" w:fill="FFFF00"/>
          </w:tcPr>
          <w:p w14:paraId="5FA56506" w14:textId="77777777" w:rsidR="00401546" w:rsidRPr="00A9330B" w:rsidRDefault="00401546" w:rsidP="00401546">
            <w:pPr>
              <w:spacing w:line="240" w:lineRule="auto"/>
              <w:jc w:val="center"/>
              <w:rPr>
                <w:rFonts w:cs="Arial"/>
                <w:sz w:val="18"/>
                <w:szCs w:val="18"/>
              </w:rPr>
            </w:pPr>
          </w:p>
        </w:tc>
      </w:tr>
      <w:tr w:rsidR="00401546" w:rsidRPr="00A9330B" w14:paraId="34D6D3B9" w14:textId="77777777" w:rsidTr="00401546">
        <w:trPr>
          <w:jc w:val="center"/>
        </w:trPr>
        <w:tc>
          <w:tcPr>
            <w:tcW w:w="1838" w:type="dxa"/>
            <w:vMerge/>
          </w:tcPr>
          <w:p w14:paraId="0D54EC50" w14:textId="77777777" w:rsidR="00401546" w:rsidRPr="00A9330B" w:rsidRDefault="00401546" w:rsidP="00401546">
            <w:pPr>
              <w:spacing w:line="240" w:lineRule="auto"/>
              <w:jc w:val="center"/>
              <w:rPr>
                <w:rFonts w:cs="Arial"/>
                <w:b/>
                <w:sz w:val="18"/>
                <w:szCs w:val="18"/>
              </w:rPr>
            </w:pPr>
          </w:p>
        </w:tc>
        <w:tc>
          <w:tcPr>
            <w:tcW w:w="2410" w:type="dxa"/>
          </w:tcPr>
          <w:p w14:paraId="0DFA7861" w14:textId="77777777" w:rsidR="00401546" w:rsidRPr="00A9330B" w:rsidRDefault="00401546" w:rsidP="000F7BA7">
            <w:pPr>
              <w:spacing w:line="240" w:lineRule="auto"/>
              <w:jc w:val="both"/>
              <w:rPr>
                <w:rFonts w:cs="Arial"/>
                <w:sz w:val="18"/>
                <w:szCs w:val="18"/>
              </w:rPr>
            </w:pPr>
            <w:r w:rsidRPr="00A9330B">
              <w:rPr>
                <w:rFonts w:cs="Arial"/>
                <w:sz w:val="18"/>
                <w:szCs w:val="18"/>
              </w:rPr>
              <w:t xml:space="preserve">Installations d’engins sous des lignes électriques aériennes sous tension </w:t>
            </w:r>
          </w:p>
        </w:tc>
        <w:tc>
          <w:tcPr>
            <w:tcW w:w="2693" w:type="dxa"/>
          </w:tcPr>
          <w:p w14:paraId="5CE8E75F" w14:textId="4C445526" w:rsidR="00401546" w:rsidRPr="00A9330B" w:rsidRDefault="00401546" w:rsidP="000F7BA7">
            <w:pPr>
              <w:spacing w:line="240" w:lineRule="auto"/>
              <w:jc w:val="both"/>
              <w:rPr>
                <w:rFonts w:cs="Arial"/>
                <w:sz w:val="18"/>
                <w:szCs w:val="18"/>
              </w:rPr>
            </w:pPr>
            <w:r w:rsidRPr="00A9330B">
              <w:rPr>
                <w:rFonts w:cs="Arial"/>
                <w:sz w:val="18"/>
                <w:szCs w:val="18"/>
              </w:rPr>
              <w:t>Destruction par incendie de biens privés ou de ressources naturelles autour de la zone de travaux entrainant des conflits,</w:t>
            </w:r>
            <w:r w:rsidR="002D6CDB" w:rsidRPr="00A9330B">
              <w:rPr>
                <w:rFonts w:cs="Arial"/>
                <w:sz w:val="18"/>
                <w:szCs w:val="18"/>
              </w:rPr>
              <w:t xml:space="preserve"> des</w:t>
            </w:r>
            <w:r w:rsidRPr="00A9330B">
              <w:rPr>
                <w:rFonts w:cs="Arial"/>
                <w:sz w:val="18"/>
                <w:szCs w:val="18"/>
              </w:rPr>
              <w:t xml:space="preserve"> indemnisations ou une dégradation de l’environnement  </w:t>
            </w:r>
          </w:p>
        </w:tc>
        <w:tc>
          <w:tcPr>
            <w:tcW w:w="851" w:type="dxa"/>
          </w:tcPr>
          <w:p w14:paraId="6E0101F3" w14:textId="77777777" w:rsidR="00401546" w:rsidRPr="00A9330B" w:rsidRDefault="00401546" w:rsidP="00401546">
            <w:pPr>
              <w:spacing w:line="240" w:lineRule="auto"/>
              <w:jc w:val="center"/>
              <w:rPr>
                <w:rFonts w:cs="Arial"/>
                <w:sz w:val="18"/>
                <w:szCs w:val="18"/>
              </w:rPr>
            </w:pPr>
            <w:r w:rsidRPr="00A9330B">
              <w:rPr>
                <w:rFonts w:cs="Arial"/>
                <w:sz w:val="18"/>
                <w:szCs w:val="18"/>
              </w:rPr>
              <w:t>1</w:t>
            </w:r>
          </w:p>
        </w:tc>
        <w:tc>
          <w:tcPr>
            <w:tcW w:w="567" w:type="dxa"/>
          </w:tcPr>
          <w:p w14:paraId="37B4AA55" w14:textId="77777777" w:rsidR="00401546" w:rsidRPr="00A9330B" w:rsidRDefault="00401546" w:rsidP="00401546">
            <w:pPr>
              <w:spacing w:line="240" w:lineRule="auto"/>
              <w:jc w:val="center"/>
              <w:rPr>
                <w:rFonts w:cs="Arial"/>
                <w:sz w:val="18"/>
                <w:szCs w:val="18"/>
              </w:rPr>
            </w:pPr>
            <w:r w:rsidRPr="00A9330B">
              <w:rPr>
                <w:rFonts w:cs="Arial"/>
                <w:sz w:val="18"/>
                <w:szCs w:val="18"/>
              </w:rPr>
              <w:t>4</w:t>
            </w:r>
          </w:p>
        </w:tc>
        <w:tc>
          <w:tcPr>
            <w:tcW w:w="850" w:type="dxa"/>
            <w:shd w:val="clear" w:color="auto" w:fill="FFFF00"/>
          </w:tcPr>
          <w:p w14:paraId="28F75DD1" w14:textId="77777777" w:rsidR="00401546" w:rsidRPr="00A9330B" w:rsidRDefault="00401546" w:rsidP="00401546">
            <w:pPr>
              <w:spacing w:line="240" w:lineRule="auto"/>
              <w:jc w:val="center"/>
              <w:rPr>
                <w:rFonts w:cs="Arial"/>
                <w:sz w:val="18"/>
                <w:szCs w:val="18"/>
              </w:rPr>
            </w:pPr>
          </w:p>
        </w:tc>
      </w:tr>
      <w:tr w:rsidR="00401546" w:rsidRPr="00A9330B" w14:paraId="2420D427" w14:textId="77777777" w:rsidTr="00401546">
        <w:trPr>
          <w:jc w:val="center"/>
        </w:trPr>
        <w:tc>
          <w:tcPr>
            <w:tcW w:w="1838" w:type="dxa"/>
            <w:vMerge/>
          </w:tcPr>
          <w:p w14:paraId="30852DE9" w14:textId="77777777" w:rsidR="00401546" w:rsidRPr="00A9330B" w:rsidRDefault="00401546" w:rsidP="00401546">
            <w:pPr>
              <w:spacing w:line="240" w:lineRule="auto"/>
              <w:jc w:val="center"/>
              <w:rPr>
                <w:rFonts w:cs="Arial"/>
                <w:b/>
                <w:sz w:val="18"/>
                <w:szCs w:val="18"/>
              </w:rPr>
            </w:pPr>
          </w:p>
        </w:tc>
        <w:tc>
          <w:tcPr>
            <w:tcW w:w="2410" w:type="dxa"/>
            <w:shd w:val="clear" w:color="auto" w:fill="auto"/>
          </w:tcPr>
          <w:p w14:paraId="003F04FC" w14:textId="77777777" w:rsidR="00401546" w:rsidRPr="00A9330B" w:rsidRDefault="00401546" w:rsidP="000F7BA7">
            <w:pPr>
              <w:spacing w:line="240" w:lineRule="auto"/>
              <w:jc w:val="both"/>
              <w:rPr>
                <w:rFonts w:cs="Arial"/>
                <w:sz w:val="18"/>
                <w:szCs w:val="18"/>
              </w:rPr>
            </w:pPr>
            <w:r w:rsidRPr="00A9330B">
              <w:rPr>
                <w:rFonts w:cs="Arial"/>
                <w:sz w:val="18"/>
                <w:szCs w:val="18"/>
              </w:rPr>
              <w:t xml:space="preserve">Lignes électriques souterraines existantes sous tension </w:t>
            </w:r>
          </w:p>
        </w:tc>
        <w:tc>
          <w:tcPr>
            <w:tcW w:w="2693" w:type="dxa"/>
            <w:shd w:val="clear" w:color="auto" w:fill="auto"/>
          </w:tcPr>
          <w:p w14:paraId="0CAEFA03" w14:textId="77777777" w:rsidR="00401546" w:rsidRPr="00A9330B" w:rsidRDefault="00401546" w:rsidP="000F7BA7">
            <w:pPr>
              <w:spacing w:line="240" w:lineRule="auto"/>
              <w:jc w:val="both"/>
              <w:rPr>
                <w:rFonts w:cs="Arial"/>
                <w:sz w:val="18"/>
                <w:szCs w:val="18"/>
              </w:rPr>
            </w:pPr>
            <w:r w:rsidRPr="00A9330B">
              <w:rPr>
                <w:rFonts w:cs="Arial"/>
                <w:sz w:val="18"/>
                <w:szCs w:val="18"/>
              </w:rPr>
              <w:t xml:space="preserve">Contact accidentel pouvant provoquer une électrisation à l’origine de troubles neurologiques, décès et coupure d’électricité dans le secteur </w:t>
            </w:r>
          </w:p>
        </w:tc>
        <w:tc>
          <w:tcPr>
            <w:tcW w:w="851" w:type="dxa"/>
            <w:shd w:val="clear" w:color="auto" w:fill="auto"/>
          </w:tcPr>
          <w:p w14:paraId="2FB9FCFD" w14:textId="77777777" w:rsidR="00401546" w:rsidRPr="00A9330B" w:rsidRDefault="00401546" w:rsidP="00401546">
            <w:pPr>
              <w:spacing w:line="240" w:lineRule="auto"/>
              <w:jc w:val="center"/>
              <w:rPr>
                <w:rFonts w:cs="Arial"/>
                <w:sz w:val="18"/>
                <w:szCs w:val="18"/>
              </w:rPr>
            </w:pPr>
            <w:r w:rsidRPr="00A9330B">
              <w:rPr>
                <w:rFonts w:cs="Arial"/>
                <w:sz w:val="18"/>
                <w:szCs w:val="18"/>
              </w:rPr>
              <w:t>2</w:t>
            </w:r>
          </w:p>
        </w:tc>
        <w:tc>
          <w:tcPr>
            <w:tcW w:w="567" w:type="dxa"/>
            <w:shd w:val="clear" w:color="auto" w:fill="auto"/>
          </w:tcPr>
          <w:p w14:paraId="0D2B4B19" w14:textId="77777777" w:rsidR="00401546" w:rsidRPr="00A9330B" w:rsidRDefault="00401546" w:rsidP="00401546">
            <w:pPr>
              <w:spacing w:line="240" w:lineRule="auto"/>
              <w:jc w:val="center"/>
              <w:rPr>
                <w:rFonts w:cs="Arial"/>
                <w:sz w:val="18"/>
                <w:szCs w:val="18"/>
              </w:rPr>
            </w:pPr>
            <w:r w:rsidRPr="00A9330B">
              <w:rPr>
                <w:rFonts w:cs="Arial"/>
                <w:sz w:val="18"/>
                <w:szCs w:val="18"/>
              </w:rPr>
              <w:t>4</w:t>
            </w:r>
          </w:p>
        </w:tc>
        <w:tc>
          <w:tcPr>
            <w:tcW w:w="850" w:type="dxa"/>
            <w:shd w:val="clear" w:color="auto" w:fill="FFFF00"/>
          </w:tcPr>
          <w:p w14:paraId="50ECB677" w14:textId="77777777" w:rsidR="00401546" w:rsidRPr="00A9330B" w:rsidRDefault="00401546" w:rsidP="00401546">
            <w:pPr>
              <w:spacing w:line="240" w:lineRule="auto"/>
              <w:jc w:val="center"/>
              <w:rPr>
                <w:rFonts w:cs="Arial"/>
                <w:sz w:val="18"/>
                <w:szCs w:val="18"/>
              </w:rPr>
            </w:pPr>
          </w:p>
        </w:tc>
      </w:tr>
      <w:tr w:rsidR="00401546" w:rsidRPr="00A9330B" w14:paraId="12A8830B" w14:textId="77777777" w:rsidTr="00401546">
        <w:trPr>
          <w:jc w:val="center"/>
        </w:trPr>
        <w:tc>
          <w:tcPr>
            <w:tcW w:w="1838" w:type="dxa"/>
            <w:vMerge w:val="restart"/>
          </w:tcPr>
          <w:p w14:paraId="1A77A0F4" w14:textId="77777777" w:rsidR="00401546" w:rsidRPr="00A9330B" w:rsidRDefault="00401546" w:rsidP="00BD2F72">
            <w:pPr>
              <w:numPr>
                <w:ilvl w:val="0"/>
                <w:numId w:val="49"/>
              </w:numPr>
              <w:spacing w:line="240" w:lineRule="auto"/>
              <w:ind w:left="0"/>
              <w:contextualSpacing/>
              <w:jc w:val="center"/>
              <w:rPr>
                <w:rFonts w:cs="Arial"/>
                <w:b/>
                <w:sz w:val="18"/>
                <w:szCs w:val="18"/>
              </w:rPr>
            </w:pPr>
            <w:r w:rsidRPr="00A9330B">
              <w:rPr>
                <w:rFonts w:cs="Arial"/>
                <w:b/>
                <w:sz w:val="18"/>
                <w:szCs w:val="18"/>
                <w:lang w:eastAsia="de-DE"/>
              </w:rPr>
              <w:t>Aménagement des deviations</w:t>
            </w:r>
          </w:p>
        </w:tc>
        <w:tc>
          <w:tcPr>
            <w:tcW w:w="2410" w:type="dxa"/>
            <w:shd w:val="clear" w:color="auto" w:fill="auto"/>
          </w:tcPr>
          <w:p w14:paraId="7A6680BC" w14:textId="6D3F13F8" w:rsidR="00401546" w:rsidRPr="00A9330B" w:rsidRDefault="00401546" w:rsidP="000F7BA7">
            <w:pPr>
              <w:spacing w:line="240" w:lineRule="auto"/>
              <w:jc w:val="both"/>
              <w:rPr>
                <w:rFonts w:cs="Arial"/>
                <w:sz w:val="18"/>
                <w:szCs w:val="18"/>
              </w:rPr>
            </w:pPr>
            <w:r w:rsidRPr="00A9330B">
              <w:rPr>
                <w:rFonts w:cs="Arial"/>
                <w:sz w:val="18"/>
                <w:szCs w:val="18"/>
              </w:rPr>
              <w:t xml:space="preserve">Déplacement non </w:t>
            </w:r>
            <w:r w:rsidR="002D6CDB" w:rsidRPr="00A9330B">
              <w:rPr>
                <w:rFonts w:cs="Arial"/>
                <w:sz w:val="18"/>
                <w:szCs w:val="18"/>
              </w:rPr>
              <w:t xml:space="preserve">ou </w:t>
            </w:r>
            <w:r w:rsidRPr="00A9330B">
              <w:rPr>
                <w:rFonts w:cs="Arial"/>
                <w:sz w:val="18"/>
                <w:szCs w:val="18"/>
              </w:rPr>
              <w:t xml:space="preserve">mal contrôlé de véhicules et engins de chantier ou de leurs organes mobiles (pelle mécanique, tracteur, compacteur, chargeuse,  par exemple) </w:t>
            </w:r>
          </w:p>
        </w:tc>
        <w:tc>
          <w:tcPr>
            <w:tcW w:w="2693" w:type="dxa"/>
            <w:shd w:val="clear" w:color="auto" w:fill="auto"/>
          </w:tcPr>
          <w:p w14:paraId="4965B32B" w14:textId="29BB6A75" w:rsidR="00401546" w:rsidRPr="00A9330B" w:rsidRDefault="00401546" w:rsidP="000F7BA7">
            <w:pPr>
              <w:spacing w:line="240" w:lineRule="auto"/>
              <w:jc w:val="both"/>
              <w:rPr>
                <w:rFonts w:cs="Arial"/>
                <w:sz w:val="18"/>
                <w:szCs w:val="18"/>
              </w:rPr>
            </w:pPr>
            <w:r w:rsidRPr="00A9330B">
              <w:rPr>
                <w:rFonts w:cs="Arial"/>
                <w:sz w:val="18"/>
                <w:szCs w:val="18"/>
              </w:rPr>
              <w:t>Destruction  de biens privés ou de ressources naturelles autour de la zone de travaux entrainant des conflits,</w:t>
            </w:r>
            <w:r w:rsidR="002D6CDB" w:rsidRPr="00A9330B">
              <w:rPr>
                <w:rFonts w:cs="Arial"/>
                <w:sz w:val="18"/>
                <w:szCs w:val="18"/>
              </w:rPr>
              <w:t xml:space="preserve"> une</w:t>
            </w:r>
            <w:r w:rsidRPr="00A9330B">
              <w:rPr>
                <w:rFonts w:cs="Arial"/>
                <w:sz w:val="18"/>
                <w:szCs w:val="18"/>
              </w:rPr>
              <w:t xml:space="preserve"> indemnisation ou une dégradation de l’environnement </w:t>
            </w:r>
          </w:p>
        </w:tc>
        <w:tc>
          <w:tcPr>
            <w:tcW w:w="851" w:type="dxa"/>
            <w:shd w:val="clear" w:color="auto" w:fill="auto"/>
          </w:tcPr>
          <w:p w14:paraId="5D9750A9" w14:textId="77777777" w:rsidR="00401546" w:rsidRPr="00A9330B" w:rsidRDefault="00401546" w:rsidP="00401546">
            <w:pPr>
              <w:spacing w:line="240" w:lineRule="auto"/>
              <w:jc w:val="center"/>
              <w:rPr>
                <w:rFonts w:cs="Arial"/>
                <w:sz w:val="18"/>
                <w:szCs w:val="18"/>
              </w:rPr>
            </w:pPr>
            <w:r w:rsidRPr="00A9330B">
              <w:rPr>
                <w:rFonts w:cs="Arial"/>
                <w:sz w:val="18"/>
                <w:szCs w:val="18"/>
              </w:rPr>
              <w:t>3</w:t>
            </w:r>
          </w:p>
        </w:tc>
        <w:tc>
          <w:tcPr>
            <w:tcW w:w="567" w:type="dxa"/>
            <w:shd w:val="clear" w:color="auto" w:fill="auto"/>
          </w:tcPr>
          <w:p w14:paraId="10FE4DA5" w14:textId="77777777" w:rsidR="00401546" w:rsidRPr="00A9330B" w:rsidRDefault="00401546" w:rsidP="00401546">
            <w:pPr>
              <w:spacing w:line="240" w:lineRule="auto"/>
              <w:jc w:val="center"/>
              <w:rPr>
                <w:rFonts w:cs="Arial"/>
                <w:sz w:val="18"/>
                <w:szCs w:val="18"/>
              </w:rPr>
            </w:pPr>
            <w:r w:rsidRPr="00A9330B">
              <w:rPr>
                <w:rFonts w:cs="Arial"/>
                <w:sz w:val="18"/>
                <w:szCs w:val="18"/>
              </w:rPr>
              <w:t>3</w:t>
            </w:r>
          </w:p>
        </w:tc>
        <w:tc>
          <w:tcPr>
            <w:tcW w:w="850" w:type="dxa"/>
            <w:shd w:val="clear" w:color="auto" w:fill="FF0000"/>
          </w:tcPr>
          <w:p w14:paraId="06F57C26" w14:textId="77777777" w:rsidR="00401546" w:rsidRPr="00A9330B" w:rsidRDefault="00401546" w:rsidP="00401546">
            <w:pPr>
              <w:spacing w:line="240" w:lineRule="auto"/>
              <w:jc w:val="center"/>
              <w:rPr>
                <w:rFonts w:cs="Arial"/>
                <w:sz w:val="18"/>
                <w:szCs w:val="18"/>
              </w:rPr>
            </w:pPr>
          </w:p>
        </w:tc>
      </w:tr>
      <w:tr w:rsidR="00401546" w:rsidRPr="00A9330B" w14:paraId="719780CA" w14:textId="77777777" w:rsidTr="00401546">
        <w:trPr>
          <w:jc w:val="center"/>
        </w:trPr>
        <w:tc>
          <w:tcPr>
            <w:tcW w:w="1838" w:type="dxa"/>
            <w:vMerge/>
          </w:tcPr>
          <w:p w14:paraId="65B7EA2D" w14:textId="77777777" w:rsidR="00401546" w:rsidRPr="00A9330B" w:rsidRDefault="00401546" w:rsidP="00401546">
            <w:pPr>
              <w:spacing w:line="240" w:lineRule="auto"/>
              <w:jc w:val="center"/>
              <w:rPr>
                <w:rFonts w:cs="Arial"/>
                <w:b/>
                <w:sz w:val="18"/>
                <w:szCs w:val="18"/>
              </w:rPr>
            </w:pPr>
          </w:p>
        </w:tc>
        <w:tc>
          <w:tcPr>
            <w:tcW w:w="2410" w:type="dxa"/>
            <w:shd w:val="clear" w:color="auto" w:fill="auto"/>
          </w:tcPr>
          <w:p w14:paraId="5B9FAE7E" w14:textId="77777777" w:rsidR="00401546" w:rsidRPr="00A9330B" w:rsidRDefault="00401546" w:rsidP="000F7BA7">
            <w:pPr>
              <w:spacing w:line="240" w:lineRule="auto"/>
              <w:jc w:val="both"/>
              <w:rPr>
                <w:rFonts w:cs="Arial"/>
                <w:sz w:val="18"/>
                <w:szCs w:val="18"/>
              </w:rPr>
            </w:pPr>
            <w:r w:rsidRPr="00A9330B">
              <w:rPr>
                <w:rFonts w:cs="Arial"/>
                <w:sz w:val="18"/>
                <w:szCs w:val="18"/>
              </w:rPr>
              <w:t xml:space="preserve">Utilisation ou maintenance inadaptées des équipements de  travail </w:t>
            </w:r>
          </w:p>
        </w:tc>
        <w:tc>
          <w:tcPr>
            <w:tcW w:w="2693" w:type="dxa"/>
            <w:shd w:val="clear" w:color="auto" w:fill="auto"/>
          </w:tcPr>
          <w:p w14:paraId="17F5F211" w14:textId="77777777" w:rsidR="00401546" w:rsidRPr="00A9330B" w:rsidRDefault="00401546" w:rsidP="000F7BA7">
            <w:pPr>
              <w:spacing w:line="240" w:lineRule="auto"/>
              <w:jc w:val="both"/>
              <w:rPr>
                <w:rFonts w:cs="Arial"/>
                <w:sz w:val="18"/>
                <w:szCs w:val="18"/>
              </w:rPr>
            </w:pPr>
            <w:r w:rsidRPr="00A9330B">
              <w:rPr>
                <w:rFonts w:cs="Arial"/>
                <w:sz w:val="18"/>
                <w:szCs w:val="18"/>
              </w:rPr>
              <w:t xml:space="preserve">Rupture de câbles, outils, rupture de charges, … pouvant occasionner le rejet de produits polluants dans la nature </w:t>
            </w:r>
          </w:p>
        </w:tc>
        <w:tc>
          <w:tcPr>
            <w:tcW w:w="851" w:type="dxa"/>
            <w:shd w:val="clear" w:color="auto" w:fill="auto"/>
          </w:tcPr>
          <w:p w14:paraId="515424EE" w14:textId="77777777" w:rsidR="00401546" w:rsidRPr="00A9330B" w:rsidRDefault="00401546" w:rsidP="00401546">
            <w:pPr>
              <w:spacing w:line="240" w:lineRule="auto"/>
              <w:jc w:val="center"/>
              <w:rPr>
                <w:rFonts w:cs="Arial"/>
                <w:sz w:val="18"/>
                <w:szCs w:val="18"/>
              </w:rPr>
            </w:pPr>
            <w:r w:rsidRPr="00A9330B">
              <w:rPr>
                <w:rFonts w:cs="Arial"/>
                <w:sz w:val="18"/>
                <w:szCs w:val="18"/>
              </w:rPr>
              <w:t>1</w:t>
            </w:r>
          </w:p>
        </w:tc>
        <w:tc>
          <w:tcPr>
            <w:tcW w:w="567" w:type="dxa"/>
            <w:shd w:val="clear" w:color="auto" w:fill="auto"/>
          </w:tcPr>
          <w:p w14:paraId="2419A57D" w14:textId="77777777" w:rsidR="00401546" w:rsidRPr="00A9330B" w:rsidRDefault="00401546" w:rsidP="00401546">
            <w:pPr>
              <w:spacing w:line="240" w:lineRule="auto"/>
              <w:jc w:val="center"/>
              <w:rPr>
                <w:rFonts w:cs="Arial"/>
                <w:sz w:val="18"/>
                <w:szCs w:val="18"/>
              </w:rPr>
            </w:pPr>
            <w:r w:rsidRPr="00A9330B">
              <w:rPr>
                <w:rFonts w:cs="Arial"/>
                <w:sz w:val="18"/>
                <w:szCs w:val="18"/>
              </w:rPr>
              <w:t>2</w:t>
            </w:r>
          </w:p>
        </w:tc>
        <w:tc>
          <w:tcPr>
            <w:tcW w:w="850" w:type="dxa"/>
            <w:shd w:val="clear" w:color="auto" w:fill="99FF33"/>
          </w:tcPr>
          <w:p w14:paraId="06EE7CE3" w14:textId="77777777" w:rsidR="00401546" w:rsidRPr="00A9330B" w:rsidRDefault="00401546" w:rsidP="00401546">
            <w:pPr>
              <w:spacing w:line="240" w:lineRule="auto"/>
              <w:jc w:val="center"/>
              <w:rPr>
                <w:rFonts w:cs="Arial"/>
                <w:sz w:val="18"/>
                <w:szCs w:val="18"/>
              </w:rPr>
            </w:pPr>
          </w:p>
          <w:p w14:paraId="0639C717" w14:textId="77777777" w:rsidR="00401546" w:rsidRPr="00A9330B" w:rsidRDefault="00401546" w:rsidP="00401546">
            <w:pPr>
              <w:spacing w:line="240" w:lineRule="auto"/>
              <w:rPr>
                <w:rFonts w:cs="Arial"/>
                <w:sz w:val="18"/>
                <w:szCs w:val="18"/>
              </w:rPr>
            </w:pPr>
          </w:p>
        </w:tc>
      </w:tr>
      <w:tr w:rsidR="00401546" w:rsidRPr="00A9330B" w14:paraId="31B7EDD0" w14:textId="77777777" w:rsidTr="00401546">
        <w:trPr>
          <w:jc w:val="center"/>
        </w:trPr>
        <w:tc>
          <w:tcPr>
            <w:tcW w:w="1838" w:type="dxa"/>
            <w:vMerge/>
          </w:tcPr>
          <w:p w14:paraId="5C34B181" w14:textId="77777777" w:rsidR="00401546" w:rsidRPr="00A9330B" w:rsidRDefault="00401546" w:rsidP="00401546">
            <w:pPr>
              <w:spacing w:line="240" w:lineRule="auto"/>
              <w:jc w:val="center"/>
              <w:rPr>
                <w:rFonts w:cs="Arial"/>
                <w:b/>
                <w:sz w:val="18"/>
                <w:szCs w:val="18"/>
              </w:rPr>
            </w:pPr>
          </w:p>
        </w:tc>
        <w:tc>
          <w:tcPr>
            <w:tcW w:w="2410" w:type="dxa"/>
            <w:shd w:val="clear" w:color="auto" w:fill="auto"/>
          </w:tcPr>
          <w:p w14:paraId="6C8A7FE5" w14:textId="77777777" w:rsidR="00401546" w:rsidRPr="00A9330B" w:rsidRDefault="00401546" w:rsidP="000F7BA7">
            <w:pPr>
              <w:spacing w:line="240" w:lineRule="auto"/>
              <w:jc w:val="both"/>
              <w:rPr>
                <w:rFonts w:cs="Arial"/>
                <w:sz w:val="18"/>
                <w:szCs w:val="18"/>
              </w:rPr>
            </w:pPr>
            <w:r w:rsidRPr="00A9330B">
              <w:rPr>
                <w:rFonts w:cs="Arial"/>
                <w:sz w:val="18"/>
                <w:szCs w:val="18"/>
              </w:rPr>
              <w:t>Conduite inappropriée des véhicules et engins de chantier</w:t>
            </w:r>
          </w:p>
        </w:tc>
        <w:tc>
          <w:tcPr>
            <w:tcW w:w="2693" w:type="dxa"/>
            <w:shd w:val="clear" w:color="auto" w:fill="auto"/>
          </w:tcPr>
          <w:p w14:paraId="185972D3" w14:textId="77777777" w:rsidR="00401546" w:rsidRPr="00A9330B" w:rsidRDefault="00401546" w:rsidP="000F7BA7">
            <w:pPr>
              <w:spacing w:line="240" w:lineRule="auto"/>
              <w:jc w:val="both"/>
              <w:rPr>
                <w:rFonts w:cs="Arial"/>
                <w:sz w:val="18"/>
                <w:szCs w:val="18"/>
              </w:rPr>
            </w:pPr>
            <w:r w:rsidRPr="00A9330B">
              <w:rPr>
                <w:rFonts w:cs="Arial"/>
                <w:sz w:val="18"/>
                <w:szCs w:val="18"/>
              </w:rPr>
              <w:t xml:space="preserve">Contact accidentel pouvant provoquer une électrisation à l’origine de troubles neurologiques, décès et coupure d’électricité dans le secteur </w:t>
            </w:r>
          </w:p>
        </w:tc>
        <w:tc>
          <w:tcPr>
            <w:tcW w:w="851" w:type="dxa"/>
            <w:shd w:val="clear" w:color="auto" w:fill="auto"/>
          </w:tcPr>
          <w:p w14:paraId="3A96BB3B" w14:textId="77777777" w:rsidR="00401546" w:rsidRPr="00A9330B" w:rsidRDefault="00401546" w:rsidP="00401546">
            <w:pPr>
              <w:spacing w:line="240" w:lineRule="auto"/>
              <w:jc w:val="center"/>
              <w:rPr>
                <w:rFonts w:cs="Arial"/>
                <w:sz w:val="18"/>
                <w:szCs w:val="18"/>
              </w:rPr>
            </w:pPr>
            <w:r w:rsidRPr="00A9330B">
              <w:rPr>
                <w:rFonts w:cs="Arial"/>
                <w:sz w:val="18"/>
                <w:szCs w:val="18"/>
              </w:rPr>
              <w:t>2</w:t>
            </w:r>
          </w:p>
        </w:tc>
        <w:tc>
          <w:tcPr>
            <w:tcW w:w="567" w:type="dxa"/>
            <w:shd w:val="clear" w:color="auto" w:fill="auto"/>
          </w:tcPr>
          <w:p w14:paraId="43999136" w14:textId="77777777" w:rsidR="00401546" w:rsidRPr="00A9330B" w:rsidRDefault="00401546" w:rsidP="00401546">
            <w:pPr>
              <w:spacing w:line="240" w:lineRule="auto"/>
              <w:jc w:val="center"/>
              <w:rPr>
                <w:rFonts w:cs="Arial"/>
                <w:sz w:val="18"/>
                <w:szCs w:val="18"/>
              </w:rPr>
            </w:pPr>
            <w:r w:rsidRPr="00A9330B">
              <w:rPr>
                <w:rFonts w:cs="Arial"/>
                <w:sz w:val="18"/>
                <w:szCs w:val="18"/>
              </w:rPr>
              <w:t>3</w:t>
            </w:r>
          </w:p>
        </w:tc>
        <w:tc>
          <w:tcPr>
            <w:tcW w:w="850" w:type="dxa"/>
            <w:shd w:val="clear" w:color="auto" w:fill="FFFF00"/>
          </w:tcPr>
          <w:p w14:paraId="7564A918" w14:textId="77777777" w:rsidR="00401546" w:rsidRPr="00A9330B" w:rsidRDefault="00401546" w:rsidP="00401546">
            <w:pPr>
              <w:spacing w:line="240" w:lineRule="auto"/>
              <w:jc w:val="center"/>
              <w:rPr>
                <w:rFonts w:cs="Arial"/>
                <w:sz w:val="18"/>
                <w:szCs w:val="18"/>
              </w:rPr>
            </w:pPr>
          </w:p>
        </w:tc>
      </w:tr>
      <w:tr w:rsidR="00401546" w:rsidRPr="00A9330B" w14:paraId="7A7B5589" w14:textId="77777777" w:rsidTr="00401546">
        <w:trPr>
          <w:jc w:val="center"/>
        </w:trPr>
        <w:tc>
          <w:tcPr>
            <w:tcW w:w="1838" w:type="dxa"/>
            <w:vMerge/>
          </w:tcPr>
          <w:p w14:paraId="782B1435" w14:textId="77777777" w:rsidR="00401546" w:rsidRPr="00A9330B" w:rsidRDefault="00401546" w:rsidP="00401546">
            <w:pPr>
              <w:spacing w:line="240" w:lineRule="auto"/>
              <w:jc w:val="center"/>
              <w:rPr>
                <w:rFonts w:cs="Arial"/>
                <w:b/>
                <w:sz w:val="18"/>
                <w:szCs w:val="18"/>
              </w:rPr>
            </w:pPr>
          </w:p>
        </w:tc>
        <w:tc>
          <w:tcPr>
            <w:tcW w:w="2410" w:type="dxa"/>
            <w:shd w:val="clear" w:color="auto" w:fill="auto"/>
          </w:tcPr>
          <w:p w14:paraId="27B338AE" w14:textId="77777777" w:rsidR="00401546" w:rsidRPr="00A9330B" w:rsidRDefault="00401546" w:rsidP="000F7BA7">
            <w:pPr>
              <w:spacing w:line="240" w:lineRule="auto"/>
              <w:jc w:val="both"/>
              <w:rPr>
                <w:rFonts w:cs="Arial"/>
                <w:sz w:val="18"/>
                <w:szCs w:val="18"/>
              </w:rPr>
            </w:pPr>
            <w:r w:rsidRPr="00A9330B">
              <w:rPr>
                <w:rFonts w:cs="Arial"/>
                <w:sz w:val="18"/>
                <w:szCs w:val="18"/>
              </w:rPr>
              <w:t xml:space="preserve">Lignes électriques souterraines existantes sous tension </w:t>
            </w:r>
          </w:p>
        </w:tc>
        <w:tc>
          <w:tcPr>
            <w:tcW w:w="2693" w:type="dxa"/>
            <w:shd w:val="clear" w:color="auto" w:fill="auto"/>
          </w:tcPr>
          <w:p w14:paraId="219235C4" w14:textId="77777777" w:rsidR="00401546" w:rsidRPr="00A9330B" w:rsidRDefault="00401546" w:rsidP="000F7BA7">
            <w:pPr>
              <w:spacing w:line="240" w:lineRule="auto"/>
              <w:jc w:val="both"/>
              <w:rPr>
                <w:rFonts w:cs="Arial"/>
                <w:sz w:val="18"/>
                <w:szCs w:val="18"/>
              </w:rPr>
            </w:pPr>
          </w:p>
        </w:tc>
        <w:tc>
          <w:tcPr>
            <w:tcW w:w="851" w:type="dxa"/>
            <w:shd w:val="clear" w:color="auto" w:fill="auto"/>
          </w:tcPr>
          <w:p w14:paraId="01256FC8" w14:textId="77777777" w:rsidR="00401546" w:rsidRPr="00A9330B" w:rsidRDefault="00401546" w:rsidP="00401546">
            <w:pPr>
              <w:spacing w:line="240" w:lineRule="auto"/>
              <w:jc w:val="center"/>
              <w:rPr>
                <w:rFonts w:cs="Arial"/>
                <w:sz w:val="18"/>
                <w:szCs w:val="18"/>
              </w:rPr>
            </w:pPr>
          </w:p>
        </w:tc>
        <w:tc>
          <w:tcPr>
            <w:tcW w:w="567" w:type="dxa"/>
            <w:shd w:val="clear" w:color="auto" w:fill="auto"/>
          </w:tcPr>
          <w:p w14:paraId="143DFB63" w14:textId="77777777" w:rsidR="00401546" w:rsidRPr="00A9330B" w:rsidRDefault="00401546" w:rsidP="00401546">
            <w:pPr>
              <w:spacing w:line="240" w:lineRule="auto"/>
              <w:jc w:val="center"/>
              <w:rPr>
                <w:rFonts w:cs="Arial"/>
                <w:sz w:val="18"/>
                <w:szCs w:val="18"/>
              </w:rPr>
            </w:pPr>
          </w:p>
        </w:tc>
        <w:tc>
          <w:tcPr>
            <w:tcW w:w="850" w:type="dxa"/>
            <w:shd w:val="clear" w:color="auto" w:fill="FFFF00"/>
          </w:tcPr>
          <w:p w14:paraId="28E1D37E" w14:textId="77777777" w:rsidR="00401546" w:rsidRPr="00A9330B" w:rsidRDefault="00401546" w:rsidP="00401546">
            <w:pPr>
              <w:spacing w:line="240" w:lineRule="auto"/>
              <w:jc w:val="center"/>
              <w:rPr>
                <w:rFonts w:cs="Arial"/>
                <w:sz w:val="18"/>
                <w:szCs w:val="18"/>
              </w:rPr>
            </w:pPr>
          </w:p>
        </w:tc>
      </w:tr>
      <w:tr w:rsidR="00401546" w:rsidRPr="00A9330B" w14:paraId="270179A9" w14:textId="77777777" w:rsidTr="00401546">
        <w:trPr>
          <w:jc w:val="center"/>
        </w:trPr>
        <w:tc>
          <w:tcPr>
            <w:tcW w:w="1838" w:type="dxa"/>
            <w:vMerge w:val="restart"/>
          </w:tcPr>
          <w:p w14:paraId="688D5946" w14:textId="77777777" w:rsidR="00401546" w:rsidRPr="00A9330B" w:rsidRDefault="00401546" w:rsidP="00BD2F72">
            <w:pPr>
              <w:numPr>
                <w:ilvl w:val="0"/>
                <w:numId w:val="49"/>
              </w:numPr>
              <w:spacing w:line="240" w:lineRule="auto"/>
              <w:ind w:left="0"/>
              <w:contextualSpacing/>
              <w:jc w:val="center"/>
              <w:rPr>
                <w:rFonts w:cs="Arial"/>
                <w:b/>
                <w:sz w:val="18"/>
                <w:szCs w:val="18"/>
              </w:rPr>
            </w:pPr>
            <w:r w:rsidRPr="00A9330B">
              <w:rPr>
                <w:rFonts w:cs="Arial"/>
                <w:b/>
                <w:sz w:val="18"/>
                <w:szCs w:val="18"/>
              </w:rPr>
              <w:t>Terrassement, Décapage,  travaux de fouilles et mis en dépôt </w:t>
            </w:r>
          </w:p>
        </w:tc>
        <w:tc>
          <w:tcPr>
            <w:tcW w:w="2410" w:type="dxa"/>
          </w:tcPr>
          <w:p w14:paraId="11A6B543" w14:textId="53D28E58" w:rsidR="00401546" w:rsidRPr="00A9330B" w:rsidRDefault="00401546" w:rsidP="000F7BA7">
            <w:pPr>
              <w:spacing w:line="240" w:lineRule="auto"/>
              <w:jc w:val="both"/>
              <w:rPr>
                <w:rFonts w:cs="Arial"/>
                <w:sz w:val="18"/>
                <w:szCs w:val="18"/>
              </w:rPr>
            </w:pPr>
            <w:r w:rsidRPr="00A9330B">
              <w:rPr>
                <w:rFonts w:cs="Arial"/>
                <w:sz w:val="18"/>
                <w:szCs w:val="18"/>
              </w:rPr>
              <w:t xml:space="preserve">Conduite inappropriée des véhicules et engins de chantier </w:t>
            </w:r>
          </w:p>
        </w:tc>
        <w:tc>
          <w:tcPr>
            <w:tcW w:w="2693" w:type="dxa"/>
            <w:vMerge w:val="restart"/>
          </w:tcPr>
          <w:p w14:paraId="43849538" w14:textId="77777777" w:rsidR="00401546" w:rsidRPr="00A9330B" w:rsidRDefault="00401546" w:rsidP="000F7BA7">
            <w:pPr>
              <w:spacing w:line="240" w:lineRule="auto"/>
              <w:jc w:val="both"/>
              <w:rPr>
                <w:rFonts w:cs="Arial"/>
                <w:sz w:val="18"/>
                <w:szCs w:val="18"/>
              </w:rPr>
            </w:pPr>
            <w:r w:rsidRPr="00A9330B">
              <w:rPr>
                <w:rFonts w:cs="Arial"/>
                <w:sz w:val="18"/>
                <w:szCs w:val="18"/>
              </w:rPr>
              <w:t xml:space="preserve">Destruction de biens privés ou de ressources naturelles autour de la zone de travaux entrainant des conflits, indemnisation ou une dégradation de l’environnement </w:t>
            </w:r>
          </w:p>
        </w:tc>
        <w:tc>
          <w:tcPr>
            <w:tcW w:w="851" w:type="dxa"/>
          </w:tcPr>
          <w:p w14:paraId="505D62EE" w14:textId="77777777" w:rsidR="00401546" w:rsidRPr="00A9330B" w:rsidRDefault="00401546" w:rsidP="00401546">
            <w:pPr>
              <w:spacing w:line="240" w:lineRule="auto"/>
              <w:jc w:val="center"/>
              <w:rPr>
                <w:rFonts w:cs="Arial"/>
                <w:sz w:val="18"/>
                <w:szCs w:val="18"/>
              </w:rPr>
            </w:pPr>
            <w:r w:rsidRPr="00A9330B">
              <w:rPr>
                <w:rFonts w:cs="Arial"/>
                <w:sz w:val="18"/>
                <w:szCs w:val="18"/>
              </w:rPr>
              <w:t>2</w:t>
            </w:r>
          </w:p>
        </w:tc>
        <w:tc>
          <w:tcPr>
            <w:tcW w:w="567" w:type="dxa"/>
          </w:tcPr>
          <w:p w14:paraId="29A91948" w14:textId="77777777" w:rsidR="00401546" w:rsidRPr="00A9330B" w:rsidRDefault="00401546" w:rsidP="00401546">
            <w:pPr>
              <w:spacing w:line="240" w:lineRule="auto"/>
              <w:jc w:val="center"/>
              <w:rPr>
                <w:rFonts w:cs="Arial"/>
                <w:sz w:val="18"/>
                <w:szCs w:val="18"/>
              </w:rPr>
            </w:pPr>
            <w:r w:rsidRPr="00A9330B">
              <w:rPr>
                <w:rFonts w:cs="Arial"/>
                <w:sz w:val="18"/>
                <w:szCs w:val="18"/>
              </w:rPr>
              <w:t>3</w:t>
            </w:r>
          </w:p>
        </w:tc>
        <w:tc>
          <w:tcPr>
            <w:tcW w:w="850" w:type="dxa"/>
            <w:shd w:val="clear" w:color="auto" w:fill="FFFF00"/>
          </w:tcPr>
          <w:p w14:paraId="573BAA4F" w14:textId="77777777" w:rsidR="00401546" w:rsidRPr="00A9330B" w:rsidRDefault="00401546" w:rsidP="00401546">
            <w:pPr>
              <w:spacing w:line="240" w:lineRule="auto"/>
              <w:jc w:val="center"/>
              <w:rPr>
                <w:rFonts w:cs="Arial"/>
                <w:sz w:val="18"/>
                <w:szCs w:val="18"/>
              </w:rPr>
            </w:pPr>
          </w:p>
        </w:tc>
      </w:tr>
      <w:tr w:rsidR="00401546" w:rsidRPr="00A9330B" w14:paraId="3938546C" w14:textId="77777777" w:rsidTr="00401546">
        <w:trPr>
          <w:jc w:val="center"/>
        </w:trPr>
        <w:tc>
          <w:tcPr>
            <w:tcW w:w="1838" w:type="dxa"/>
            <w:vMerge/>
          </w:tcPr>
          <w:p w14:paraId="7EA4FD84" w14:textId="77777777" w:rsidR="00401546" w:rsidRPr="00A9330B" w:rsidRDefault="00401546" w:rsidP="00401546">
            <w:pPr>
              <w:spacing w:line="240" w:lineRule="auto"/>
              <w:jc w:val="center"/>
              <w:rPr>
                <w:rFonts w:cs="Arial"/>
                <w:b/>
                <w:sz w:val="18"/>
                <w:szCs w:val="18"/>
              </w:rPr>
            </w:pPr>
          </w:p>
        </w:tc>
        <w:tc>
          <w:tcPr>
            <w:tcW w:w="2410" w:type="dxa"/>
          </w:tcPr>
          <w:p w14:paraId="1A9EA8D7" w14:textId="77777777" w:rsidR="00401546" w:rsidRPr="00A9330B" w:rsidRDefault="00401546" w:rsidP="000F7BA7">
            <w:pPr>
              <w:spacing w:line="240" w:lineRule="auto"/>
              <w:jc w:val="both"/>
              <w:rPr>
                <w:rFonts w:cs="Arial"/>
                <w:sz w:val="18"/>
                <w:szCs w:val="18"/>
              </w:rPr>
            </w:pPr>
            <w:r w:rsidRPr="00A9330B">
              <w:rPr>
                <w:rFonts w:cs="Arial"/>
                <w:sz w:val="18"/>
                <w:szCs w:val="18"/>
              </w:rPr>
              <w:t xml:space="preserve">Déplacement non ou mal contrôlé de véhicules et engins de chantiers ou de leurs organes mobiles (pelle mécanique par Ex..) </w:t>
            </w:r>
          </w:p>
        </w:tc>
        <w:tc>
          <w:tcPr>
            <w:tcW w:w="2693" w:type="dxa"/>
            <w:vMerge/>
          </w:tcPr>
          <w:p w14:paraId="53C00B8F" w14:textId="77777777" w:rsidR="00401546" w:rsidRPr="00A9330B" w:rsidRDefault="00401546" w:rsidP="000F7BA7">
            <w:pPr>
              <w:spacing w:line="240" w:lineRule="auto"/>
              <w:jc w:val="both"/>
              <w:rPr>
                <w:rFonts w:cs="Arial"/>
                <w:sz w:val="18"/>
                <w:szCs w:val="18"/>
              </w:rPr>
            </w:pPr>
          </w:p>
        </w:tc>
        <w:tc>
          <w:tcPr>
            <w:tcW w:w="851" w:type="dxa"/>
          </w:tcPr>
          <w:p w14:paraId="0988436C" w14:textId="77777777" w:rsidR="00401546" w:rsidRPr="00A9330B" w:rsidRDefault="00401546" w:rsidP="00401546">
            <w:pPr>
              <w:spacing w:line="240" w:lineRule="auto"/>
              <w:jc w:val="center"/>
              <w:rPr>
                <w:rFonts w:cs="Arial"/>
                <w:sz w:val="18"/>
                <w:szCs w:val="18"/>
              </w:rPr>
            </w:pPr>
            <w:r w:rsidRPr="00A9330B">
              <w:rPr>
                <w:rFonts w:cs="Arial"/>
                <w:sz w:val="18"/>
                <w:szCs w:val="18"/>
              </w:rPr>
              <w:t>3</w:t>
            </w:r>
          </w:p>
        </w:tc>
        <w:tc>
          <w:tcPr>
            <w:tcW w:w="567" w:type="dxa"/>
          </w:tcPr>
          <w:p w14:paraId="4B8F2AE0" w14:textId="77777777" w:rsidR="00401546" w:rsidRPr="00A9330B" w:rsidRDefault="00401546" w:rsidP="00401546">
            <w:pPr>
              <w:spacing w:line="240" w:lineRule="auto"/>
              <w:jc w:val="center"/>
              <w:rPr>
                <w:rFonts w:cs="Arial"/>
                <w:sz w:val="18"/>
                <w:szCs w:val="18"/>
              </w:rPr>
            </w:pPr>
            <w:r w:rsidRPr="00A9330B">
              <w:rPr>
                <w:rFonts w:cs="Arial"/>
                <w:sz w:val="18"/>
                <w:szCs w:val="18"/>
              </w:rPr>
              <w:t>3</w:t>
            </w:r>
          </w:p>
        </w:tc>
        <w:tc>
          <w:tcPr>
            <w:tcW w:w="850" w:type="dxa"/>
            <w:shd w:val="clear" w:color="auto" w:fill="FF0000"/>
          </w:tcPr>
          <w:p w14:paraId="4E6CA665" w14:textId="77777777" w:rsidR="00401546" w:rsidRPr="00A9330B" w:rsidRDefault="00401546" w:rsidP="00401546">
            <w:pPr>
              <w:spacing w:line="240" w:lineRule="auto"/>
              <w:jc w:val="center"/>
              <w:rPr>
                <w:rFonts w:cs="Arial"/>
                <w:sz w:val="18"/>
                <w:szCs w:val="18"/>
              </w:rPr>
            </w:pPr>
          </w:p>
        </w:tc>
      </w:tr>
      <w:tr w:rsidR="00401546" w:rsidRPr="00A9330B" w14:paraId="18E9D64E" w14:textId="77777777" w:rsidTr="00401546">
        <w:trPr>
          <w:jc w:val="center"/>
        </w:trPr>
        <w:tc>
          <w:tcPr>
            <w:tcW w:w="1838" w:type="dxa"/>
            <w:vMerge/>
          </w:tcPr>
          <w:p w14:paraId="410B8402" w14:textId="77777777" w:rsidR="00401546" w:rsidRPr="00A9330B" w:rsidRDefault="00401546" w:rsidP="00401546">
            <w:pPr>
              <w:spacing w:line="240" w:lineRule="auto"/>
              <w:jc w:val="center"/>
              <w:rPr>
                <w:rFonts w:cs="Arial"/>
                <w:b/>
                <w:sz w:val="18"/>
                <w:szCs w:val="18"/>
              </w:rPr>
            </w:pPr>
          </w:p>
        </w:tc>
        <w:tc>
          <w:tcPr>
            <w:tcW w:w="2410" w:type="dxa"/>
          </w:tcPr>
          <w:p w14:paraId="71D41338" w14:textId="77777777" w:rsidR="00401546" w:rsidRPr="00A9330B" w:rsidRDefault="00401546" w:rsidP="000F7BA7">
            <w:pPr>
              <w:spacing w:line="240" w:lineRule="auto"/>
              <w:jc w:val="both"/>
              <w:rPr>
                <w:rFonts w:cs="Arial"/>
                <w:sz w:val="18"/>
                <w:szCs w:val="18"/>
              </w:rPr>
            </w:pPr>
            <w:r w:rsidRPr="00A9330B">
              <w:rPr>
                <w:rFonts w:cs="Arial"/>
                <w:sz w:val="18"/>
                <w:szCs w:val="18"/>
              </w:rPr>
              <w:t xml:space="preserve">Stockage, manutention, manipulation ou transport </w:t>
            </w:r>
            <w:r w:rsidRPr="00A9330B">
              <w:rPr>
                <w:rFonts w:cs="Arial"/>
                <w:sz w:val="18"/>
                <w:szCs w:val="18"/>
              </w:rPr>
              <w:lastRenderedPageBreak/>
              <w:t xml:space="preserve">inadapté de matériels et matériaux (par Ex : déblais ou remblais) </w:t>
            </w:r>
          </w:p>
        </w:tc>
        <w:tc>
          <w:tcPr>
            <w:tcW w:w="2693" w:type="dxa"/>
            <w:vMerge/>
          </w:tcPr>
          <w:p w14:paraId="6FF24B05" w14:textId="77777777" w:rsidR="00401546" w:rsidRPr="00A9330B" w:rsidRDefault="00401546" w:rsidP="000F7BA7">
            <w:pPr>
              <w:spacing w:line="240" w:lineRule="auto"/>
              <w:jc w:val="both"/>
              <w:rPr>
                <w:rFonts w:cs="Arial"/>
                <w:sz w:val="18"/>
                <w:szCs w:val="18"/>
              </w:rPr>
            </w:pPr>
          </w:p>
        </w:tc>
        <w:tc>
          <w:tcPr>
            <w:tcW w:w="851" w:type="dxa"/>
          </w:tcPr>
          <w:p w14:paraId="3D34EC70" w14:textId="77777777" w:rsidR="00401546" w:rsidRPr="00A9330B" w:rsidRDefault="00401546" w:rsidP="00401546">
            <w:pPr>
              <w:spacing w:line="240" w:lineRule="auto"/>
              <w:jc w:val="center"/>
              <w:rPr>
                <w:rFonts w:cs="Arial"/>
                <w:sz w:val="18"/>
                <w:szCs w:val="18"/>
              </w:rPr>
            </w:pPr>
            <w:r w:rsidRPr="00A9330B">
              <w:rPr>
                <w:rFonts w:cs="Arial"/>
                <w:sz w:val="18"/>
                <w:szCs w:val="18"/>
              </w:rPr>
              <w:t>3</w:t>
            </w:r>
          </w:p>
        </w:tc>
        <w:tc>
          <w:tcPr>
            <w:tcW w:w="567" w:type="dxa"/>
          </w:tcPr>
          <w:p w14:paraId="325F54A3" w14:textId="77777777" w:rsidR="00401546" w:rsidRPr="00A9330B" w:rsidRDefault="00401546" w:rsidP="00401546">
            <w:pPr>
              <w:spacing w:line="240" w:lineRule="auto"/>
              <w:jc w:val="center"/>
              <w:rPr>
                <w:rFonts w:cs="Arial"/>
                <w:sz w:val="18"/>
                <w:szCs w:val="18"/>
              </w:rPr>
            </w:pPr>
            <w:r w:rsidRPr="00A9330B">
              <w:rPr>
                <w:rFonts w:cs="Arial"/>
                <w:sz w:val="18"/>
                <w:szCs w:val="18"/>
              </w:rPr>
              <w:t>2</w:t>
            </w:r>
          </w:p>
        </w:tc>
        <w:tc>
          <w:tcPr>
            <w:tcW w:w="850" w:type="dxa"/>
            <w:shd w:val="clear" w:color="auto" w:fill="FFFF00"/>
          </w:tcPr>
          <w:p w14:paraId="0E3EC3CA" w14:textId="77777777" w:rsidR="00401546" w:rsidRPr="00A9330B" w:rsidRDefault="00401546" w:rsidP="00401546">
            <w:pPr>
              <w:spacing w:line="240" w:lineRule="auto"/>
              <w:jc w:val="center"/>
              <w:rPr>
                <w:rFonts w:cs="Arial"/>
                <w:sz w:val="18"/>
                <w:szCs w:val="18"/>
              </w:rPr>
            </w:pPr>
          </w:p>
        </w:tc>
      </w:tr>
      <w:tr w:rsidR="00401546" w:rsidRPr="00A9330B" w14:paraId="741FD63E" w14:textId="77777777" w:rsidTr="00401546">
        <w:trPr>
          <w:jc w:val="center"/>
        </w:trPr>
        <w:tc>
          <w:tcPr>
            <w:tcW w:w="1838" w:type="dxa"/>
            <w:vMerge/>
          </w:tcPr>
          <w:p w14:paraId="5DCF3178" w14:textId="77777777" w:rsidR="00401546" w:rsidRPr="00A9330B" w:rsidRDefault="00401546" w:rsidP="00401546">
            <w:pPr>
              <w:spacing w:line="240" w:lineRule="auto"/>
              <w:jc w:val="center"/>
              <w:rPr>
                <w:rFonts w:cs="Arial"/>
                <w:b/>
                <w:sz w:val="18"/>
                <w:szCs w:val="18"/>
              </w:rPr>
            </w:pPr>
          </w:p>
        </w:tc>
        <w:tc>
          <w:tcPr>
            <w:tcW w:w="2410" w:type="dxa"/>
          </w:tcPr>
          <w:p w14:paraId="70A9BF34" w14:textId="77777777" w:rsidR="00401546" w:rsidRPr="00A9330B" w:rsidRDefault="00401546" w:rsidP="000F7BA7">
            <w:pPr>
              <w:spacing w:line="240" w:lineRule="auto"/>
              <w:jc w:val="both"/>
              <w:rPr>
                <w:rFonts w:cs="Arial"/>
                <w:sz w:val="18"/>
                <w:szCs w:val="18"/>
              </w:rPr>
            </w:pPr>
            <w:r w:rsidRPr="00A9330B">
              <w:rPr>
                <w:rFonts w:cs="Arial"/>
                <w:sz w:val="18"/>
                <w:szCs w:val="18"/>
              </w:rPr>
              <w:t xml:space="preserve">Canalisations ou câbles électriques en services non identifiés </w:t>
            </w:r>
          </w:p>
        </w:tc>
        <w:tc>
          <w:tcPr>
            <w:tcW w:w="2693" w:type="dxa"/>
            <w:vMerge w:val="restart"/>
          </w:tcPr>
          <w:p w14:paraId="3B191C56" w14:textId="77777777" w:rsidR="00401546" w:rsidRPr="00A9330B" w:rsidRDefault="00401546" w:rsidP="000F7BA7">
            <w:pPr>
              <w:spacing w:line="240" w:lineRule="auto"/>
              <w:jc w:val="both"/>
              <w:rPr>
                <w:rFonts w:cs="Arial"/>
                <w:sz w:val="18"/>
                <w:szCs w:val="18"/>
              </w:rPr>
            </w:pPr>
            <w:r w:rsidRPr="00A9330B">
              <w:rPr>
                <w:rFonts w:cs="Arial"/>
                <w:sz w:val="18"/>
                <w:szCs w:val="18"/>
              </w:rPr>
              <w:t xml:space="preserve">Destruction par inondation ou incendie de biens privés ou de ressources naturelles autour de la zone de travaux entrainant des conflits, indemnisations ou dégradation de l’environnement </w:t>
            </w:r>
          </w:p>
        </w:tc>
        <w:tc>
          <w:tcPr>
            <w:tcW w:w="851" w:type="dxa"/>
          </w:tcPr>
          <w:p w14:paraId="4D60DF31" w14:textId="77777777" w:rsidR="00401546" w:rsidRPr="00A9330B" w:rsidRDefault="00401546" w:rsidP="00401546">
            <w:pPr>
              <w:spacing w:line="240" w:lineRule="auto"/>
              <w:jc w:val="center"/>
              <w:rPr>
                <w:rFonts w:cs="Arial"/>
                <w:sz w:val="18"/>
                <w:szCs w:val="18"/>
              </w:rPr>
            </w:pPr>
            <w:r w:rsidRPr="00A9330B">
              <w:rPr>
                <w:rFonts w:cs="Arial"/>
                <w:sz w:val="18"/>
                <w:szCs w:val="18"/>
              </w:rPr>
              <w:t>2</w:t>
            </w:r>
          </w:p>
        </w:tc>
        <w:tc>
          <w:tcPr>
            <w:tcW w:w="567" w:type="dxa"/>
          </w:tcPr>
          <w:p w14:paraId="185F2D60" w14:textId="77777777" w:rsidR="00401546" w:rsidRPr="00A9330B" w:rsidRDefault="00401546" w:rsidP="00401546">
            <w:pPr>
              <w:spacing w:line="240" w:lineRule="auto"/>
              <w:jc w:val="center"/>
              <w:rPr>
                <w:rFonts w:cs="Arial"/>
                <w:sz w:val="18"/>
                <w:szCs w:val="18"/>
              </w:rPr>
            </w:pPr>
            <w:r w:rsidRPr="00A9330B">
              <w:rPr>
                <w:rFonts w:cs="Arial"/>
                <w:sz w:val="18"/>
                <w:szCs w:val="18"/>
              </w:rPr>
              <w:t>2</w:t>
            </w:r>
          </w:p>
        </w:tc>
        <w:tc>
          <w:tcPr>
            <w:tcW w:w="850" w:type="dxa"/>
            <w:shd w:val="clear" w:color="auto" w:fill="FFFF00"/>
          </w:tcPr>
          <w:p w14:paraId="165C75CC" w14:textId="77777777" w:rsidR="00401546" w:rsidRPr="00A9330B" w:rsidRDefault="00401546" w:rsidP="00401546">
            <w:pPr>
              <w:spacing w:line="240" w:lineRule="auto"/>
              <w:jc w:val="center"/>
              <w:rPr>
                <w:rFonts w:cs="Arial"/>
                <w:sz w:val="18"/>
                <w:szCs w:val="18"/>
              </w:rPr>
            </w:pPr>
          </w:p>
        </w:tc>
      </w:tr>
      <w:tr w:rsidR="00401546" w:rsidRPr="00A9330B" w14:paraId="1006318C" w14:textId="77777777" w:rsidTr="00401546">
        <w:trPr>
          <w:jc w:val="center"/>
        </w:trPr>
        <w:tc>
          <w:tcPr>
            <w:tcW w:w="1838" w:type="dxa"/>
            <w:vMerge/>
          </w:tcPr>
          <w:p w14:paraId="046AFF24" w14:textId="77777777" w:rsidR="00401546" w:rsidRPr="00A9330B" w:rsidRDefault="00401546" w:rsidP="00401546">
            <w:pPr>
              <w:spacing w:line="240" w:lineRule="auto"/>
              <w:jc w:val="center"/>
              <w:rPr>
                <w:rFonts w:cs="Arial"/>
                <w:b/>
                <w:sz w:val="18"/>
                <w:szCs w:val="18"/>
              </w:rPr>
            </w:pPr>
          </w:p>
        </w:tc>
        <w:tc>
          <w:tcPr>
            <w:tcW w:w="2410" w:type="dxa"/>
          </w:tcPr>
          <w:p w14:paraId="17CAA9E0" w14:textId="77777777" w:rsidR="00401546" w:rsidRPr="00A9330B" w:rsidRDefault="00401546" w:rsidP="00401546">
            <w:pPr>
              <w:spacing w:line="240" w:lineRule="auto"/>
              <w:rPr>
                <w:rFonts w:cs="Arial"/>
                <w:sz w:val="18"/>
                <w:szCs w:val="18"/>
              </w:rPr>
            </w:pPr>
            <w:r w:rsidRPr="00A9330B">
              <w:rPr>
                <w:rFonts w:cs="Arial"/>
                <w:sz w:val="18"/>
                <w:szCs w:val="18"/>
              </w:rPr>
              <w:t xml:space="preserve">Installations d’engins sous des lignes électriques aériennes sous tension </w:t>
            </w:r>
          </w:p>
        </w:tc>
        <w:tc>
          <w:tcPr>
            <w:tcW w:w="2693" w:type="dxa"/>
            <w:vMerge/>
          </w:tcPr>
          <w:p w14:paraId="54E3A6C7" w14:textId="77777777" w:rsidR="00401546" w:rsidRPr="00A9330B" w:rsidRDefault="00401546" w:rsidP="00401546">
            <w:pPr>
              <w:spacing w:line="240" w:lineRule="auto"/>
              <w:rPr>
                <w:rFonts w:cs="Arial"/>
                <w:sz w:val="18"/>
                <w:szCs w:val="18"/>
              </w:rPr>
            </w:pPr>
          </w:p>
        </w:tc>
        <w:tc>
          <w:tcPr>
            <w:tcW w:w="851" w:type="dxa"/>
          </w:tcPr>
          <w:p w14:paraId="3C82072C" w14:textId="77777777" w:rsidR="00401546" w:rsidRPr="00A9330B" w:rsidRDefault="00401546" w:rsidP="00401546">
            <w:pPr>
              <w:spacing w:line="240" w:lineRule="auto"/>
              <w:jc w:val="center"/>
              <w:rPr>
                <w:rFonts w:cs="Arial"/>
                <w:sz w:val="18"/>
                <w:szCs w:val="18"/>
              </w:rPr>
            </w:pPr>
            <w:r w:rsidRPr="00A9330B">
              <w:rPr>
                <w:rFonts w:cs="Arial"/>
                <w:sz w:val="18"/>
                <w:szCs w:val="18"/>
              </w:rPr>
              <w:t>1</w:t>
            </w:r>
          </w:p>
        </w:tc>
        <w:tc>
          <w:tcPr>
            <w:tcW w:w="567" w:type="dxa"/>
          </w:tcPr>
          <w:p w14:paraId="6359E585" w14:textId="77777777" w:rsidR="00401546" w:rsidRPr="00A9330B" w:rsidRDefault="00401546" w:rsidP="00401546">
            <w:pPr>
              <w:spacing w:line="240" w:lineRule="auto"/>
              <w:jc w:val="center"/>
              <w:rPr>
                <w:rFonts w:cs="Arial"/>
                <w:sz w:val="18"/>
                <w:szCs w:val="18"/>
              </w:rPr>
            </w:pPr>
            <w:r w:rsidRPr="00A9330B">
              <w:rPr>
                <w:rFonts w:cs="Arial"/>
                <w:sz w:val="18"/>
                <w:szCs w:val="18"/>
              </w:rPr>
              <w:t>4</w:t>
            </w:r>
          </w:p>
        </w:tc>
        <w:tc>
          <w:tcPr>
            <w:tcW w:w="850" w:type="dxa"/>
            <w:shd w:val="clear" w:color="auto" w:fill="FFFF00"/>
          </w:tcPr>
          <w:p w14:paraId="0AC7048C" w14:textId="77777777" w:rsidR="00401546" w:rsidRPr="00A9330B" w:rsidRDefault="00401546" w:rsidP="00401546">
            <w:pPr>
              <w:spacing w:line="240" w:lineRule="auto"/>
              <w:jc w:val="center"/>
              <w:rPr>
                <w:rFonts w:cs="Arial"/>
                <w:sz w:val="18"/>
                <w:szCs w:val="18"/>
              </w:rPr>
            </w:pPr>
          </w:p>
        </w:tc>
      </w:tr>
      <w:tr w:rsidR="00401546" w:rsidRPr="00A9330B" w14:paraId="057A87BA" w14:textId="77777777" w:rsidTr="00401546">
        <w:trPr>
          <w:jc w:val="center"/>
        </w:trPr>
        <w:tc>
          <w:tcPr>
            <w:tcW w:w="1838" w:type="dxa"/>
            <w:vMerge/>
          </w:tcPr>
          <w:p w14:paraId="58A794A9" w14:textId="77777777" w:rsidR="00401546" w:rsidRPr="00A9330B" w:rsidRDefault="00401546" w:rsidP="00401546">
            <w:pPr>
              <w:spacing w:line="240" w:lineRule="auto"/>
              <w:jc w:val="center"/>
              <w:rPr>
                <w:rFonts w:cs="Arial"/>
                <w:b/>
                <w:sz w:val="18"/>
                <w:szCs w:val="18"/>
              </w:rPr>
            </w:pPr>
          </w:p>
        </w:tc>
        <w:tc>
          <w:tcPr>
            <w:tcW w:w="2410" w:type="dxa"/>
          </w:tcPr>
          <w:p w14:paraId="2FFEF834" w14:textId="77777777" w:rsidR="00401546" w:rsidRPr="00A9330B" w:rsidRDefault="00401546" w:rsidP="000F7BA7">
            <w:pPr>
              <w:spacing w:line="240" w:lineRule="auto"/>
              <w:jc w:val="both"/>
              <w:rPr>
                <w:rFonts w:cs="Arial"/>
                <w:sz w:val="18"/>
                <w:szCs w:val="18"/>
              </w:rPr>
            </w:pPr>
            <w:r w:rsidRPr="00A9330B">
              <w:rPr>
                <w:rFonts w:cs="Arial"/>
                <w:sz w:val="18"/>
                <w:szCs w:val="18"/>
              </w:rPr>
              <w:t xml:space="preserve">Dépôt de déblais dans des zones non autorisées sensibles pour l’environnement </w:t>
            </w:r>
          </w:p>
        </w:tc>
        <w:tc>
          <w:tcPr>
            <w:tcW w:w="2693" w:type="dxa"/>
          </w:tcPr>
          <w:p w14:paraId="6384B071" w14:textId="77777777" w:rsidR="00401546" w:rsidRPr="00A9330B" w:rsidRDefault="00401546" w:rsidP="000F7BA7">
            <w:pPr>
              <w:spacing w:line="240" w:lineRule="auto"/>
              <w:jc w:val="both"/>
              <w:rPr>
                <w:rFonts w:cs="Arial"/>
                <w:sz w:val="18"/>
                <w:szCs w:val="18"/>
              </w:rPr>
            </w:pPr>
            <w:r w:rsidRPr="00A9330B">
              <w:rPr>
                <w:rFonts w:cs="Arial"/>
                <w:sz w:val="18"/>
                <w:szCs w:val="18"/>
              </w:rPr>
              <w:t xml:space="preserve">Destruction ou perturbation des ressources naturelles (faune, flore, eaux de surface) </w:t>
            </w:r>
          </w:p>
        </w:tc>
        <w:tc>
          <w:tcPr>
            <w:tcW w:w="851" w:type="dxa"/>
          </w:tcPr>
          <w:p w14:paraId="7471B8D0" w14:textId="77777777" w:rsidR="00401546" w:rsidRPr="00A9330B" w:rsidRDefault="00401546" w:rsidP="00401546">
            <w:pPr>
              <w:spacing w:line="240" w:lineRule="auto"/>
              <w:jc w:val="center"/>
              <w:rPr>
                <w:rFonts w:cs="Arial"/>
                <w:sz w:val="18"/>
                <w:szCs w:val="18"/>
              </w:rPr>
            </w:pPr>
            <w:r w:rsidRPr="00A9330B">
              <w:rPr>
                <w:rFonts w:cs="Arial"/>
                <w:sz w:val="18"/>
                <w:szCs w:val="18"/>
              </w:rPr>
              <w:t>1</w:t>
            </w:r>
          </w:p>
        </w:tc>
        <w:tc>
          <w:tcPr>
            <w:tcW w:w="567" w:type="dxa"/>
          </w:tcPr>
          <w:p w14:paraId="49CBF4A1" w14:textId="77777777" w:rsidR="00401546" w:rsidRPr="00A9330B" w:rsidRDefault="00401546" w:rsidP="00401546">
            <w:pPr>
              <w:spacing w:line="240" w:lineRule="auto"/>
              <w:jc w:val="center"/>
              <w:rPr>
                <w:rFonts w:cs="Arial"/>
                <w:sz w:val="18"/>
                <w:szCs w:val="18"/>
              </w:rPr>
            </w:pPr>
            <w:r w:rsidRPr="00A9330B">
              <w:rPr>
                <w:rFonts w:cs="Arial"/>
                <w:sz w:val="18"/>
                <w:szCs w:val="18"/>
              </w:rPr>
              <w:t>4</w:t>
            </w:r>
          </w:p>
        </w:tc>
        <w:tc>
          <w:tcPr>
            <w:tcW w:w="850" w:type="dxa"/>
            <w:shd w:val="clear" w:color="auto" w:fill="FFFF00"/>
          </w:tcPr>
          <w:p w14:paraId="3074A213" w14:textId="77777777" w:rsidR="00401546" w:rsidRPr="00A9330B" w:rsidRDefault="00401546" w:rsidP="00401546">
            <w:pPr>
              <w:spacing w:line="240" w:lineRule="auto"/>
              <w:jc w:val="center"/>
              <w:rPr>
                <w:rFonts w:cs="Arial"/>
                <w:sz w:val="18"/>
                <w:szCs w:val="18"/>
              </w:rPr>
            </w:pPr>
          </w:p>
        </w:tc>
      </w:tr>
      <w:tr w:rsidR="00401546" w:rsidRPr="00A9330B" w14:paraId="499E6959" w14:textId="77777777" w:rsidTr="00401546">
        <w:trPr>
          <w:jc w:val="center"/>
        </w:trPr>
        <w:tc>
          <w:tcPr>
            <w:tcW w:w="1838" w:type="dxa"/>
            <w:vMerge w:val="restart"/>
          </w:tcPr>
          <w:p w14:paraId="48B58F5C" w14:textId="469FB13C" w:rsidR="00401546" w:rsidRPr="00A9330B" w:rsidRDefault="00401546" w:rsidP="00BD2F72">
            <w:pPr>
              <w:numPr>
                <w:ilvl w:val="0"/>
                <w:numId w:val="49"/>
              </w:numPr>
              <w:spacing w:line="240" w:lineRule="auto"/>
              <w:ind w:left="0"/>
              <w:contextualSpacing/>
              <w:jc w:val="center"/>
              <w:rPr>
                <w:rFonts w:cs="Arial"/>
                <w:b/>
                <w:sz w:val="18"/>
                <w:szCs w:val="18"/>
              </w:rPr>
            </w:pPr>
            <w:r w:rsidRPr="00A9330B">
              <w:rPr>
                <w:rFonts w:cs="Arial"/>
                <w:b/>
                <w:sz w:val="18"/>
                <w:szCs w:val="18"/>
                <w:lang w:eastAsia="de-DE"/>
              </w:rPr>
              <w:t>Purge importante et mise</w:t>
            </w:r>
            <w:r w:rsidR="005F2A2E" w:rsidRPr="00A9330B">
              <w:rPr>
                <w:rFonts w:cs="Arial"/>
                <w:b/>
                <w:sz w:val="18"/>
                <w:szCs w:val="18"/>
                <w:lang w:eastAsia="de-DE"/>
              </w:rPr>
              <w:t xml:space="preserve"> en</w:t>
            </w:r>
            <w:r w:rsidRPr="00A9330B">
              <w:rPr>
                <w:rFonts w:cs="Arial"/>
                <w:b/>
                <w:sz w:val="18"/>
                <w:szCs w:val="18"/>
                <w:lang w:eastAsia="de-DE"/>
              </w:rPr>
              <w:t xml:space="preserve"> dépôt des produits, transport et mise en remblai des terres </w:t>
            </w:r>
          </w:p>
        </w:tc>
        <w:tc>
          <w:tcPr>
            <w:tcW w:w="2410" w:type="dxa"/>
          </w:tcPr>
          <w:p w14:paraId="78499D60" w14:textId="4FAB98EA" w:rsidR="00401546" w:rsidRPr="00A9330B" w:rsidRDefault="00401546" w:rsidP="000F7BA7">
            <w:pPr>
              <w:spacing w:line="240" w:lineRule="auto"/>
              <w:jc w:val="both"/>
              <w:rPr>
                <w:rFonts w:cs="Arial"/>
                <w:sz w:val="18"/>
                <w:szCs w:val="18"/>
              </w:rPr>
            </w:pPr>
            <w:r w:rsidRPr="00A9330B">
              <w:rPr>
                <w:rFonts w:cs="Arial"/>
                <w:sz w:val="18"/>
                <w:szCs w:val="18"/>
              </w:rPr>
              <w:t xml:space="preserve">Conduite inappropriée des véhicules et engins de chantier </w:t>
            </w:r>
          </w:p>
        </w:tc>
        <w:tc>
          <w:tcPr>
            <w:tcW w:w="2693" w:type="dxa"/>
            <w:vMerge w:val="restart"/>
          </w:tcPr>
          <w:p w14:paraId="3B276DBA" w14:textId="77777777" w:rsidR="00401546" w:rsidRPr="00A9330B" w:rsidRDefault="00401546" w:rsidP="000F7BA7">
            <w:pPr>
              <w:spacing w:line="240" w:lineRule="auto"/>
              <w:jc w:val="both"/>
              <w:rPr>
                <w:rFonts w:cs="Arial"/>
                <w:sz w:val="18"/>
                <w:szCs w:val="18"/>
              </w:rPr>
            </w:pPr>
            <w:r w:rsidRPr="00A9330B">
              <w:rPr>
                <w:rFonts w:cs="Arial"/>
                <w:sz w:val="18"/>
                <w:szCs w:val="18"/>
              </w:rPr>
              <w:t xml:space="preserve">Destruction de biens privés ou de ressources naturelles autour de la zone de travaux entrainant des conflits, indemnisation ou une dégradation de l’environnement </w:t>
            </w:r>
          </w:p>
        </w:tc>
        <w:tc>
          <w:tcPr>
            <w:tcW w:w="851" w:type="dxa"/>
          </w:tcPr>
          <w:p w14:paraId="72A94A2A" w14:textId="77777777" w:rsidR="00401546" w:rsidRPr="00A9330B" w:rsidRDefault="00401546" w:rsidP="00401546">
            <w:pPr>
              <w:spacing w:line="240" w:lineRule="auto"/>
              <w:jc w:val="center"/>
              <w:rPr>
                <w:rFonts w:cs="Arial"/>
                <w:sz w:val="18"/>
                <w:szCs w:val="18"/>
              </w:rPr>
            </w:pPr>
            <w:r w:rsidRPr="00A9330B">
              <w:rPr>
                <w:rFonts w:cs="Arial"/>
                <w:sz w:val="18"/>
                <w:szCs w:val="18"/>
              </w:rPr>
              <w:t>2</w:t>
            </w:r>
          </w:p>
        </w:tc>
        <w:tc>
          <w:tcPr>
            <w:tcW w:w="567" w:type="dxa"/>
          </w:tcPr>
          <w:p w14:paraId="638F260A" w14:textId="77777777" w:rsidR="00401546" w:rsidRPr="00A9330B" w:rsidRDefault="00401546" w:rsidP="00401546">
            <w:pPr>
              <w:spacing w:line="240" w:lineRule="auto"/>
              <w:jc w:val="center"/>
              <w:rPr>
                <w:rFonts w:cs="Arial"/>
                <w:sz w:val="18"/>
                <w:szCs w:val="18"/>
              </w:rPr>
            </w:pPr>
            <w:r w:rsidRPr="00A9330B">
              <w:rPr>
                <w:rFonts w:cs="Arial"/>
                <w:sz w:val="18"/>
                <w:szCs w:val="18"/>
              </w:rPr>
              <w:t>3</w:t>
            </w:r>
          </w:p>
        </w:tc>
        <w:tc>
          <w:tcPr>
            <w:tcW w:w="850" w:type="dxa"/>
            <w:shd w:val="clear" w:color="auto" w:fill="FFFF00"/>
          </w:tcPr>
          <w:p w14:paraId="05B34659" w14:textId="77777777" w:rsidR="00401546" w:rsidRPr="00A9330B" w:rsidRDefault="00401546" w:rsidP="00401546">
            <w:pPr>
              <w:spacing w:line="240" w:lineRule="auto"/>
              <w:jc w:val="center"/>
              <w:rPr>
                <w:rFonts w:cs="Arial"/>
                <w:sz w:val="18"/>
                <w:szCs w:val="18"/>
              </w:rPr>
            </w:pPr>
          </w:p>
        </w:tc>
      </w:tr>
      <w:tr w:rsidR="00401546" w:rsidRPr="00A9330B" w14:paraId="45E3D46E" w14:textId="77777777" w:rsidTr="00401546">
        <w:trPr>
          <w:jc w:val="center"/>
        </w:trPr>
        <w:tc>
          <w:tcPr>
            <w:tcW w:w="1838" w:type="dxa"/>
            <w:vMerge/>
          </w:tcPr>
          <w:p w14:paraId="5D3C4AD4" w14:textId="77777777" w:rsidR="00401546" w:rsidRPr="00A9330B" w:rsidRDefault="00401546" w:rsidP="00401546">
            <w:pPr>
              <w:spacing w:line="240" w:lineRule="auto"/>
              <w:jc w:val="center"/>
              <w:rPr>
                <w:rFonts w:cs="Arial"/>
                <w:b/>
                <w:sz w:val="18"/>
                <w:szCs w:val="18"/>
              </w:rPr>
            </w:pPr>
          </w:p>
        </w:tc>
        <w:tc>
          <w:tcPr>
            <w:tcW w:w="2410" w:type="dxa"/>
          </w:tcPr>
          <w:p w14:paraId="6D0F9C80" w14:textId="77777777" w:rsidR="00401546" w:rsidRPr="00A9330B" w:rsidRDefault="00401546" w:rsidP="000F7BA7">
            <w:pPr>
              <w:spacing w:line="240" w:lineRule="auto"/>
              <w:jc w:val="both"/>
              <w:rPr>
                <w:rFonts w:cs="Arial"/>
                <w:sz w:val="18"/>
                <w:szCs w:val="18"/>
              </w:rPr>
            </w:pPr>
            <w:r w:rsidRPr="00A9330B">
              <w:rPr>
                <w:rFonts w:cs="Arial"/>
                <w:sz w:val="18"/>
                <w:szCs w:val="18"/>
              </w:rPr>
              <w:t xml:space="preserve">Déplacement non ou mal contrôlé de véhicules et engins de chantiers ou de leurs organes mobiles (pelle mécanique par exemple) </w:t>
            </w:r>
          </w:p>
        </w:tc>
        <w:tc>
          <w:tcPr>
            <w:tcW w:w="2693" w:type="dxa"/>
            <w:vMerge/>
          </w:tcPr>
          <w:p w14:paraId="0AF3D383" w14:textId="77777777" w:rsidR="00401546" w:rsidRPr="00A9330B" w:rsidRDefault="00401546" w:rsidP="000F7BA7">
            <w:pPr>
              <w:spacing w:line="240" w:lineRule="auto"/>
              <w:jc w:val="both"/>
              <w:rPr>
                <w:rFonts w:cs="Arial"/>
                <w:sz w:val="18"/>
                <w:szCs w:val="18"/>
              </w:rPr>
            </w:pPr>
          </w:p>
        </w:tc>
        <w:tc>
          <w:tcPr>
            <w:tcW w:w="851" w:type="dxa"/>
          </w:tcPr>
          <w:p w14:paraId="4706098D" w14:textId="77777777" w:rsidR="00401546" w:rsidRPr="00A9330B" w:rsidRDefault="00401546" w:rsidP="00401546">
            <w:pPr>
              <w:spacing w:line="240" w:lineRule="auto"/>
              <w:jc w:val="center"/>
              <w:rPr>
                <w:rFonts w:cs="Arial"/>
                <w:sz w:val="18"/>
                <w:szCs w:val="18"/>
              </w:rPr>
            </w:pPr>
            <w:r w:rsidRPr="00A9330B">
              <w:rPr>
                <w:rFonts w:cs="Arial"/>
                <w:sz w:val="18"/>
                <w:szCs w:val="18"/>
              </w:rPr>
              <w:t>3</w:t>
            </w:r>
          </w:p>
        </w:tc>
        <w:tc>
          <w:tcPr>
            <w:tcW w:w="567" w:type="dxa"/>
          </w:tcPr>
          <w:p w14:paraId="4DA95292" w14:textId="77777777" w:rsidR="00401546" w:rsidRPr="00A9330B" w:rsidRDefault="00401546" w:rsidP="00401546">
            <w:pPr>
              <w:spacing w:line="240" w:lineRule="auto"/>
              <w:jc w:val="center"/>
              <w:rPr>
                <w:rFonts w:cs="Arial"/>
                <w:sz w:val="18"/>
                <w:szCs w:val="18"/>
              </w:rPr>
            </w:pPr>
            <w:r w:rsidRPr="00A9330B">
              <w:rPr>
                <w:rFonts w:cs="Arial"/>
                <w:sz w:val="18"/>
                <w:szCs w:val="18"/>
              </w:rPr>
              <w:t>3</w:t>
            </w:r>
          </w:p>
        </w:tc>
        <w:tc>
          <w:tcPr>
            <w:tcW w:w="850" w:type="dxa"/>
            <w:shd w:val="clear" w:color="auto" w:fill="FF0000"/>
          </w:tcPr>
          <w:p w14:paraId="73D1778A" w14:textId="77777777" w:rsidR="00401546" w:rsidRPr="00A9330B" w:rsidRDefault="00401546" w:rsidP="00401546">
            <w:pPr>
              <w:spacing w:line="240" w:lineRule="auto"/>
              <w:jc w:val="center"/>
              <w:rPr>
                <w:rFonts w:cs="Arial"/>
                <w:sz w:val="18"/>
                <w:szCs w:val="18"/>
              </w:rPr>
            </w:pPr>
          </w:p>
        </w:tc>
      </w:tr>
      <w:tr w:rsidR="00401546" w:rsidRPr="00A9330B" w14:paraId="0D8E6611" w14:textId="77777777" w:rsidTr="00401546">
        <w:trPr>
          <w:jc w:val="center"/>
        </w:trPr>
        <w:tc>
          <w:tcPr>
            <w:tcW w:w="1838" w:type="dxa"/>
            <w:vMerge/>
          </w:tcPr>
          <w:p w14:paraId="50595DFF" w14:textId="77777777" w:rsidR="00401546" w:rsidRPr="00A9330B" w:rsidRDefault="00401546" w:rsidP="00401546">
            <w:pPr>
              <w:spacing w:line="240" w:lineRule="auto"/>
              <w:jc w:val="center"/>
              <w:rPr>
                <w:rFonts w:cs="Arial"/>
                <w:b/>
                <w:sz w:val="18"/>
                <w:szCs w:val="18"/>
              </w:rPr>
            </w:pPr>
          </w:p>
        </w:tc>
        <w:tc>
          <w:tcPr>
            <w:tcW w:w="2410" w:type="dxa"/>
          </w:tcPr>
          <w:p w14:paraId="0F77D7E8" w14:textId="77777777" w:rsidR="00401546" w:rsidRPr="00A9330B" w:rsidRDefault="00401546" w:rsidP="000F7BA7">
            <w:pPr>
              <w:spacing w:line="240" w:lineRule="auto"/>
              <w:jc w:val="both"/>
              <w:rPr>
                <w:rFonts w:cs="Arial"/>
                <w:sz w:val="18"/>
                <w:szCs w:val="18"/>
              </w:rPr>
            </w:pPr>
            <w:r w:rsidRPr="00A9330B">
              <w:rPr>
                <w:rFonts w:cs="Arial"/>
                <w:sz w:val="18"/>
                <w:szCs w:val="18"/>
              </w:rPr>
              <w:t xml:space="preserve">Stockage, manutention, manipulation ou transport inadapté de matériels et matériaux (par exemple : déblais ou remblais) </w:t>
            </w:r>
          </w:p>
        </w:tc>
        <w:tc>
          <w:tcPr>
            <w:tcW w:w="2693" w:type="dxa"/>
            <w:vMerge/>
          </w:tcPr>
          <w:p w14:paraId="03A291B6" w14:textId="77777777" w:rsidR="00401546" w:rsidRPr="00A9330B" w:rsidRDefault="00401546" w:rsidP="000F7BA7">
            <w:pPr>
              <w:spacing w:line="240" w:lineRule="auto"/>
              <w:jc w:val="both"/>
              <w:rPr>
                <w:rFonts w:cs="Arial"/>
                <w:sz w:val="18"/>
                <w:szCs w:val="18"/>
              </w:rPr>
            </w:pPr>
          </w:p>
        </w:tc>
        <w:tc>
          <w:tcPr>
            <w:tcW w:w="851" w:type="dxa"/>
          </w:tcPr>
          <w:p w14:paraId="0EBCAFF6" w14:textId="77777777" w:rsidR="00401546" w:rsidRPr="00A9330B" w:rsidRDefault="00401546" w:rsidP="00401546">
            <w:pPr>
              <w:spacing w:line="240" w:lineRule="auto"/>
              <w:jc w:val="center"/>
              <w:rPr>
                <w:rFonts w:cs="Arial"/>
                <w:sz w:val="18"/>
                <w:szCs w:val="18"/>
              </w:rPr>
            </w:pPr>
            <w:r w:rsidRPr="00A9330B">
              <w:rPr>
                <w:rFonts w:cs="Arial"/>
                <w:sz w:val="18"/>
                <w:szCs w:val="18"/>
              </w:rPr>
              <w:t>3</w:t>
            </w:r>
          </w:p>
        </w:tc>
        <w:tc>
          <w:tcPr>
            <w:tcW w:w="567" w:type="dxa"/>
          </w:tcPr>
          <w:p w14:paraId="77B736B9" w14:textId="77777777" w:rsidR="00401546" w:rsidRPr="00A9330B" w:rsidRDefault="00401546" w:rsidP="00401546">
            <w:pPr>
              <w:spacing w:line="240" w:lineRule="auto"/>
              <w:jc w:val="center"/>
              <w:rPr>
                <w:rFonts w:cs="Arial"/>
                <w:sz w:val="18"/>
                <w:szCs w:val="18"/>
              </w:rPr>
            </w:pPr>
            <w:r w:rsidRPr="00A9330B">
              <w:rPr>
                <w:rFonts w:cs="Arial"/>
                <w:sz w:val="18"/>
                <w:szCs w:val="18"/>
              </w:rPr>
              <w:t>2</w:t>
            </w:r>
          </w:p>
        </w:tc>
        <w:tc>
          <w:tcPr>
            <w:tcW w:w="850" w:type="dxa"/>
            <w:shd w:val="clear" w:color="auto" w:fill="FFFF00"/>
          </w:tcPr>
          <w:p w14:paraId="4ABB468D" w14:textId="77777777" w:rsidR="00401546" w:rsidRPr="00A9330B" w:rsidRDefault="00401546" w:rsidP="00401546">
            <w:pPr>
              <w:spacing w:line="240" w:lineRule="auto"/>
              <w:jc w:val="center"/>
              <w:rPr>
                <w:rFonts w:cs="Arial"/>
                <w:sz w:val="18"/>
                <w:szCs w:val="18"/>
              </w:rPr>
            </w:pPr>
          </w:p>
        </w:tc>
      </w:tr>
      <w:tr w:rsidR="00401546" w:rsidRPr="00A9330B" w14:paraId="4697B6CB" w14:textId="77777777" w:rsidTr="00401546">
        <w:trPr>
          <w:jc w:val="center"/>
        </w:trPr>
        <w:tc>
          <w:tcPr>
            <w:tcW w:w="1838" w:type="dxa"/>
            <w:vMerge/>
          </w:tcPr>
          <w:p w14:paraId="2AEE61A9" w14:textId="77777777" w:rsidR="00401546" w:rsidRPr="00A9330B" w:rsidRDefault="00401546" w:rsidP="00401546">
            <w:pPr>
              <w:spacing w:line="240" w:lineRule="auto"/>
              <w:jc w:val="center"/>
              <w:rPr>
                <w:rFonts w:cs="Arial"/>
                <w:b/>
                <w:sz w:val="18"/>
                <w:szCs w:val="18"/>
              </w:rPr>
            </w:pPr>
          </w:p>
        </w:tc>
        <w:tc>
          <w:tcPr>
            <w:tcW w:w="2410" w:type="dxa"/>
          </w:tcPr>
          <w:p w14:paraId="16254ED0" w14:textId="051625C6" w:rsidR="00401546" w:rsidRPr="00A9330B" w:rsidRDefault="00401546" w:rsidP="000F7BA7">
            <w:pPr>
              <w:spacing w:line="240" w:lineRule="auto"/>
              <w:jc w:val="both"/>
              <w:rPr>
                <w:rFonts w:cs="Arial"/>
                <w:sz w:val="18"/>
                <w:szCs w:val="18"/>
              </w:rPr>
            </w:pPr>
            <w:r w:rsidRPr="00A9330B">
              <w:rPr>
                <w:rFonts w:cs="Arial"/>
                <w:sz w:val="18"/>
                <w:szCs w:val="18"/>
              </w:rPr>
              <w:t xml:space="preserve">Canalisations ou câbles électriques en service non identifiés </w:t>
            </w:r>
          </w:p>
        </w:tc>
        <w:tc>
          <w:tcPr>
            <w:tcW w:w="2693" w:type="dxa"/>
            <w:vMerge w:val="restart"/>
          </w:tcPr>
          <w:p w14:paraId="304D40CE" w14:textId="4EF4A502" w:rsidR="00401546" w:rsidRPr="00A9330B" w:rsidRDefault="00401546" w:rsidP="000F7BA7">
            <w:pPr>
              <w:spacing w:line="240" w:lineRule="auto"/>
              <w:jc w:val="both"/>
              <w:rPr>
                <w:rFonts w:cs="Arial"/>
                <w:sz w:val="18"/>
                <w:szCs w:val="18"/>
              </w:rPr>
            </w:pPr>
            <w:r w:rsidRPr="00A9330B">
              <w:rPr>
                <w:rFonts w:cs="Arial"/>
                <w:sz w:val="18"/>
                <w:szCs w:val="18"/>
              </w:rPr>
              <w:t>Destruction par inondation ou incendie de biens privés ou de ressources naturelles autour de la zone de travaux entrainant des conflits,</w:t>
            </w:r>
            <w:r w:rsidR="005F2A2E" w:rsidRPr="00A9330B">
              <w:rPr>
                <w:rFonts w:cs="Arial"/>
                <w:sz w:val="18"/>
                <w:szCs w:val="18"/>
              </w:rPr>
              <w:t xml:space="preserve"> des </w:t>
            </w:r>
            <w:r w:rsidRPr="00A9330B">
              <w:rPr>
                <w:rFonts w:cs="Arial"/>
                <w:sz w:val="18"/>
                <w:szCs w:val="18"/>
              </w:rPr>
              <w:t xml:space="preserve"> indemnisations ou </w:t>
            </w:r>
            <w:r w:rsidR="005F2A2E" w:rsidRPr="00A9330B">
              <w:rPr>
                <w:rFonts w:cs="Arial"/>
                <w:sz w:val="18"/>
                <w:szCs w:val="18"/>
              </w:rPr>
              <w:t xml:space="preserve">une </w:t>
            </w:r>
            <w:r w:rsidRPr="00A9330B">
              <w:rPr>
                <w:rFonts w:cs="Arial"/>
                <w:sz w:val="18"/>
                <w:szCs w:val="18"/>
              </w:rPr>
              <w:t xml:space="preserve">dégradation de l’environnement </w:t>
            </w:r>
          </w:p>
        </w:tc>
        <w:tc>
          <w:tcPr>
            <w:tcW w:w="851" w:type="dxa"/>
          </w:tcPr>
          <w:p w14:paraId="1EBBDE01" w14:textId="77777777" w:rsidR="00401546" w:rsidRPr="00A9330B" w:rsidRDefault="00401546" w:rsidP="00401546">
            <w:pPr>
              <w:spacing w:line="240" w:lineRule="auto"/>
              <w:jc w:val="center"/>
              <w:rPr>
                <w:rFonts w:cs="Arial"/>
                <w:sz w:val="18"/>
                <w:szCs w:val="18"/>
              </w:rPr>
            </w:pPr>
            <w:r w:rsidRPr="00A9330B">
              <w:rPr>
                <w:rFonts w:cs="Arial"/>
                <w:sz w:val="18"/>
                <w:szCs w:val="18"/>
              </w:rPr>
              <w:t>2</w:t>
            </w:r>
          </w:p>
        </w:tc>
        <w:tc>
          <w:tcPr>
            <w:tcW w:w="567" w:type="dxa"/>
          </w:tcPr>
          <w:p w14:paraId="28408490" w14:textId="77777777" w:rsidR="00401546" w:rsidRPr="00A9330B" w:rsidRDefault="00401546" w:rsidP="00401546">
            <w:pPr>
              <w:spacing w:line="240" w:lineRule="auto"/>
              <w:jc w:val="center"/>
              <w:rPr>
                <w:rFonts w:cs="Arial"/>
                <w:sz w:val="18"/>
                <w:szCs w:val="18"/>
              </w:rPr>
            </w:pPr>
            <w:r w:rsidRPr="00A9330B">
              <w:rPr>
                <w:rFonts w:cs="Arial"/>
                <w:sz w:val="18"/>
                <w:szCs w:val="18"/>
              </w:rPr>
              <w:t>2</w:t>
            </w:r>
          </w:p>
        </w:tc>
        <w:tc>
          <w:tcPr>
            <w:tcW w:w="850" w:type="dxa"/>
            <w:shd w:val="clear" w:color="auto" w:fill="FFFF00"/>
          </w:tcPr>
          <w:p w14:paraId="4E2A44A1" w14:textId="77777777" w:rsidR="00401546" w:rsidRPr="00A9330B" w:rsidRDefault="00401546" w:rsidP="00401546">
            <w:pPr>
              <w:spacing w:line="240" w:lineRule="auto"/>
              <w:jc w:val="center"/>
              <w:rPr>
                <w:rFonts w:cs="Arial"/>
                <w:sz w:val="18"/>
                <w:szCs w:val="18"/>
              </w:rPr>
            </w:pPr>
          </w:p>
        </w:tc>
      </w:tr>
      <w:tr w:rsidR="00401546" w:rsidRPr="00A9330B" w14:paraId="3318BA9C" w14:textId="77777777" w:rsidTr="00401546">
        <w:trPr>
          <w:jc w:val="center"/>
        </w:trPr>
        <w:tc>
          <w:tcPr>
            <w:tcW w:w="1838" w:type="dxa"/>
            <w:vMerge/>
          </w:tcPr>
          <w:p w14:paraId="454C6F93" w14:textId="77777777" w:rsidR="00401546" w:rsidRPr="00A9330B" w:rsidRDefault="00401546" w:rsidP="00401546">
            <w:pPr>
              <w:spacing w:line="240" w:lineRule="auto"/>
              <w:jc w:val="center"/>
              <w:rPr>
                <w:rFonts w:cs="Arial"/>
                <w:b/>
                <w:sz w:val="18"/>
                <w:szCs w:val="18"/>
              </w:rPr>
            </w:pPr>
          </w:p>
        </w:tc>
        <w:tc>
          <w:tcPr>
            <w:tcW w:w="2410" w:type="dxa"/>
          </w:tcPr>
          <w:p w14:paraId="20612E79" w14:textId="77777777" w:rsidR="00401546" w:rsidRPr="00A9330B" w:rsidRDefault="00401546" w:rsidP="000F7BA7">
            <w:pPr>
              <w:spacing w:line="240" w:lineRule="auto"/>
              <w:jc w:val="both"/>
              <w:rPr>
                <w:rFonts w:cs="Arial"/>
                <w:sz w:val="18"/>
                <w:szCs w:val="18"/>
              </w:rPr>
            </w:pPr>
            <w:r w:rsidRPr="00A9330B">
              <w:rPr>
                <w:rFonts w:cs="Arial"/>
                <w:sz w:val="18"/>
                <w:szCs w:val="18"/>
              </w:rPr>
              <w:t xml:space="preserve">Installations d’engins sous des lignes électriques aériennes sous tension </w:t>
            </w:r>
          </w:p>
        </w:tc>
        <w:tc>
          <w:tcPr>
            <w:tcW w:w="2693" w:type="dxa"/>
            <w:vMerge/>
          </w:tcPr>
          <w:p w14:paraId="4B40AA27" w14:textId="77777777" w:rsidR="00401546" w:rsidRPr="00A9330B" w:rsidRDefault="00401546" w:rsidP="000F7BA7">
            <w:pPr>
              <w:spacing w:line="240" w:lineRule="auto"/>
              <w:jc w:val="both"/>
              <w:rPr>
                <w:rFonts w:cs="Arial"/>
                <w:sz w:val="18"/>
                <w:szCs w:val="18"/>
              </w:rPr>
            </w:pPr>
          </w:p>
        </w:tc>
        <w:tc>
          <w:tcPr>
            <w:tcW w:w="851" w:type="dxa"/>
          </w:tcPr>
          <w:p w14:paraId="0ACC7DFA" w14:textId="77777777" w:rsidR="00401546" w:rsidRPr="00A9330B" w:rsidRDefault="00401546" w:rsidP="00401546">
            <w:pPr>
              <w:spacing w:line="240" w:lineRule="auto"/>
              <w:jc w:val="center"/>
              <w:rPr>
                <w:rFonts w:cs="Arial"/>
                <w:sz w:val="18"/>
                <w:szCs w:val="18"/>
              </w:rPr>
            </w:pPr>
            <w:r w:rsidRPr="00A9330B">
              <w:rPr>
                <w:rFonts w:cs="Arial"/>
                <w:sz w:val="18"/>
                <w:szCs w:val="18"/>
              </w:rPr>
              <w:t>1</w:t>
            </w:r>
          </w:p>
        </w:tc>
        <w:tc>
          <w:tcPr>
            <w:tcW w:w="567" w:type="dxa"/>
          </w:tcPr>
          <w:p w14:paraId="62099132" w14:textId="77777777" w:rsidR="00401546" w:rsidRPr="00A9330B" w:rsidRDefault="00401546" w:rsidP="00401546">
            <w:pPr>
              <w:spacing w:line="240" w:lineRule="auto"/>
              <w:jc w:val="center"/>
              <w:rPr>
                <w:rFonts w:cs="Arial"/>
                <w:sz w:val="18"/>
                <w:szCs w:val="18"/>
              </w:rPr>
            </w:pPr>
            <w:r w:rsidRPr="00A9330B">
              <w:rPr>
                <w:rFonts w:cs="Arial"/>
                <w:sz w:val="18"/>
                <w:szCs w:val="18"/>
              </w:rPr>
              <w:t>4</w:t>
            </w:r>
          </w:p>
        </w:tc>
        <w:tc>
          <w:tcPr>
            <w:tcW w:w="850" w:type="dxa"/>
            <w:shd w:val="clear" w:color="auto" w:fill="FFFF00"/>
          </w:tcPr>
          <w:p w14:paraId="24141FE8" w14:textId="77777777" w:rsidR="00401546" w:rsidRPr="00A9330B" w:rsidRDefault="00401546" w:rsidP="00401546">
            <w:pPr>
              <w:spacing w:line="240" w:lineRule="auto"/>
              <w:jc w:val="center"/>
              <w:rPr>
                <w:rFonts w:cs="Arial"/>
                <w:sz w:val="18"/>
                <w:szCs w:val="18"/>
              </w:rPr>
            </w:pPr>
          </w:p>
        </w:tc>
      </w:tr>
      <w:tr w:rsidR="00401546" w:rsidRPr="00A9330B" w14:paraId="1012A3F5" w14:textId="77777777" w:rsidTr="00401546">
        <w:trPr>
          <w:jc w:val="center"/>
        </w:trPr>
        <w:tc>
          <w:tcPr>
            <w:tcW w:w="1838" w:type="dxa"/>
            <w:vMerge/>
          </w:tcPr>
          <w:p w14:paraId="56BBB668" w14:textId="77777777" w:rsidR="00401546" w:rsidRPr="00A9330B" w:rsidRDefault="00401546" w:rsidP="00401546">
            <w:pPr>
              <w:spacing w:line="240" w:lineRule="auto"/>
              <w:jc w:val="center"/>
              <w:rPr>
                <w:rFonts w:cs="Arial"/>
                <w:b/>
                <w:sz w:val="18"/>
                <w:szCs w:val="18"/>
              </w:rPr>
            </w:pPr>
          </w:p>
        </w:tc>
        <w:tc>
          <w:tcPr>
            <w:tcW w:w="2410" w:type="dxa"/>
          </w:tcPr>
          <w:p w14:paraId="7A519569" w14:textId="77777777" w:rsidR="00401546" w:rsidRPr="00A9330B" w:rsidRDefault="00401546" w:rsidP="000F7BA7">
            <w:pPr>
              <w:spacing w:line="240" w:lineRule="auto"/>
              <w:jc w:val="both"/>
              <w:rPr>
                <w:rFonts w:cs="Arial"/>
                <w:sz w:val="18"/>
                <w:szCs w:val="18"/>
              </w:rPr>
            </w:pPr>
            <w:r w:rsidRPr="00A9330B">
              <w:rPr>
                <w:rFonts w:cs="Arial"/>
                <w:sz w:val="18"/>
                <w:szCs w:val="18"/>
              </w:rPr>
              <w:t xml:space="preserve">Dépôt de déblais dans des zones non autorisées sensibles pour l’environnement </w:t>
            </w:r>
          </w:p>
        </w:tc>
        <w:tc>
          <w:tcPr>
            <w:tcW w:w="2693" w:type="dxa"/>
          </w:tcPr>
          <w:p w14:paraId="26DDD0FC" w14:textId="77777777" w:rsidR="00401546" w:rsidRPr="00A9330B" w:rsidRDefault="00401546" w:rsidP="000F7BA7">
            <w:pPr>
              <w:spacing w:line="240" w:lineRule="auto"/>
              <w:jc w:val="both"/>
              <w:rPr>
                <w:rFonts w:cs="Arial"/>
                <w:sz w:val="18"/>
                <w:szCs w:val="18"/>
              </w:rPr>
            </w:pPr>
            <w:r w:rsidRPr="00A9330B">
              <w:rPr>
                <w:rFonts w:cs="Arial"/>
                <w:sz w:val="18"/>
                <w:szCs w:val="18"/>
              </w:rPr>
              <w:t xml:space="preserve">Destruction ou perturbation des ressources naturelles (faune, flore, eaux de surface) </w:t>
            </w:r>
          </w:p>
        </w:tc>
        <w:tc>
          <w:tcPr>
            <w:tcW w:w="851" w:type="dxa"/>
          </w:tcPr>
          <w:p w14:paraId="26A7267F" w14:textId="77777777" w:rsidR="00401546" w:rsidRPr="00A9330B" w:rsidRDefault="00401546" w:rsidP="00401546">
            <w:pPr>
              <w:spacing w:line="240" w:lineRule="auto"/>
              <w:jc w:val="center"/>
              <w:rPr>
                <w:rFonts w:cs="Arial"/>
                <w:sz w:val="18"/>
                <w:szCs w:val="18"/>
              </w:rPr>
            </w:pPr>
            <w:r w:rsidRPr="00A9330B">
              <w:rPr>
                <w:rFonts w:cs="Arial"/>
                <w:sz w:val="18"/>
                <w:szCs w:val="18"/>
              </w:rPr>
              <w:t>1</w:t>
            </w:r>
          </w:p>
        </w:tc>
        <w:tc>
          <w:tcPr>
            <w:tcW w:w="567" w:type="dxa"/>
          </w:tcPr>
          <w:p w14:paraId="757C8C88" w14:textId="77777777" w:rsidR="00401546" w:rsidRPr="00A9330B" w:rsidRDefault="00401546" w:rsidP="00401546">
            <w:pPr>
              <w:spacing w:line="240" w:lineRule="auto"/>
              <w:jc w:val="center"/>
              <w:rPr>
                <w:rFonts w:cs="Arial"/>
                <w:sz w:val="18"/>
                <w:szCs w:val="18"/>
              </w:rPr>
            </w:pPr>
            <w:r w:rsidRPr="00A9330B">
              <w:rPr>
                <w:rFonts w:cs="Arial"/>
                <w:sz w:val="18"/>
                <w:szCs w:val="18"/>
              </w:rPr>
              <w:t>4</w:t>
            </w:r>
          </w:p>
        </w:tc>
        <w:tc>
          <w:tcPr>
            <w:tcW w:w="850" w:type="dxa"/>
            <w:shd w:val="clear" w:color="auto" w:fill="FFFF00"/>
          </w:tcPr>
          <w:p w14:paraId="462838AA" w14:textId="77777777" w:rsidR="00401546" w:rsidRPr="00A9330B" w:rsidRDefault="00401546" w:rsidP="00401546">
            <w:pPr>
              <w:spacing w:line="240" w:lineRule="auto"/>
              <w:jc w:val="center"/>
              <w:rPr>
                <w:rFonts w:cs="Arial"/>
                <w:sz w:val="18"/>
                <w:szCs w:val="18"/>
              </w:rPr>
            </w:pPr>
          </w:p>
        </w:tc>
      </w:tr>
      <w:tr w:rsidR="00401546" w:rsidRPr="00A9330B" w14:paraId="53AD91CD" w14:textId="77777777" w:rsidTr="00401546">
        <w:trPr>
          <w:jc w:val="center"/>
        </w:trPr>
        <w:tc>
          <w:tcPr>
            <w:tcW w:w="1838" w:type="dxa"/>
            <w:vMerge w:val="restart"/>
          </w:tcPr>
          <w:p w14:paraId="3628AB72" w14:textId="0ED3A7D6" w:rsidR="00401546" w:rsidRPr="00A9330B" w:rsidRDefault="00401546" w:rsidP="00BD2F72">
            <w:pPr>
              <w:numPr>
                <w:ilvl w:val="0"/>
                <w:numId w:val="49"/>
              </w:numPr>
              <w:spacing w:line="240" w:lineRule="auto"/>
              <w:ind w:left="0"/>
              <w:contextualSpacing/>
              <w:jc w:val="center"/>
              <w:rPr>
                <w:rFonts w:cs="Arial"/>
                <w:b/>
                <w:sz w:val="18"/>
                <w:szCs w:val="18"/>
              </w:rPr>
            </w:pPr>
            <w:r w:rsidRPr="00A9330B">
              <w:rPr>
                <w:rFonts w:cs="Arial"/>
                <w:b/>
                <w:sz w:val="18"/>
                <w:szCs w:val="18"/>
                <w:lang w:eastAsia="de-DE"/>
              </w:rPr>
              <w:t>Dépose de pavé</w:t>
            </w:r>
            <w:r w:rsidR="005F2A2E" w:rsidRPr="00A9330B">
              <w:rPr>
                <w:rFonts w:cs="Arial"/>
                <w:b/>
                <w:sz w:val="18"/>
                <w:szCs w:val="18"/>
                <w:lang w:eastAsia="de-DE"/>
              </w:rPr>
              <w:t>s</w:t>
            </w:r>
            <w:r w:rsidRPr="00A9330B">
              <w:rPr>
                <w:rFonts w:cs="Arial"/>
                <w:b/>
                <w:sz w:val="18"/>
                <w:szCs w:val="18"/>
                <w:lang w:eastAsia="de-DE"/>
              </w:rPr>
              <w:t>, démolition d’ouvrage d’assainissement existant</w:t>
            </w:r>
          </w:p>
        </w:tc>
        <w:tc>
          <w:tcPr>
            <w:tcW w:w="2410" w:type="dxa"/>
          </w:tcPr>
          <w:p w14:paraId="51460C28" w14:textId="3DB3CB76" w:rsidR="00401546" w:rsidRPr="00A9330B" w:rsidRDefault="00401546" w:rsidP="000F7BA7">
            <w:pPr>
              <w:spacing w:line="240" w:lineRule="auto"/>
              <w:jc w:val="both"/>
              <w:rPr>
                <w:rFonts w:cs="Arial"/>
                <w:sz w:val="18"/>
                <w:szCs w:val="18"/>
              </w:rPr>
            </w:pPr>
            <w:r w:rsidRPr="00A9330B">
              <w:rPr>
                <w:rFonts w:cs="Arial"/>
                <w:sz w:val="18"/>
                <w:szCs w:val="18"/>
              </w:rPr>
              <w:t xml:space="preserve">Conduite inappropriée des véhicules et engins de chantier </w:t>
            </w:r>
          </w:p>
        </w:tc>
        <w:tc>
          <w:tcPr>
            <w:tcW w:w="2693" w:type="dxa"/>
            <w:vMerge w:val="restart"/>
          </w:tcPr>
          <w:p w14:paraId="074D28E9" w14:textId="6061473F" w:rsidR="00401546" w:rsidRPr="00A9330B" w:rsidRDefault="00401546" w:rsidP="000F7BA7">
            <w:pPr>
              <w:spacing w:line="240" w:lineRule="auto"/>
              <w:jc w:val="both"/>
              <w:rPr>
                <w:rFonts w:cs="Arial"/>
                <w:sz w:val="18"/>
                <w:szCs w:val="18"/>
              </w:rPr>
            </w:pPr>
            <w:r w:rsidRPr="00A9330B">
              <w:rPr>
                <w:rFonts w:cs="Arial"/>
                <w:sz w:val="18"/>
                <w:szCs w:val="18"/>
              </w:rPr>
              <w:t xml:space="preserve">Destruction de biens privés ou de ressources naturelles autour de la zone de travaux entrainant des conflits, </w:t>
            </w:r>
            <w:r w:rsidR="005F2A2E" w:rsidRPr="00A9330B">
              <w:rPr>
                <w:rFonts w:cs="Arial"/>
                <w:sz w:val="18"/>
                <w:szCs w:val="18"/>
              </w:rPr>
              <w:t xml:space="preserve">une </w:t>
            </w:r>
            <w:r w:rsidRPr="00A9330B">
              <w:rPr>
                <w:rFonts w:cs="Arial"/>
                <w:sz w:val="18"/>
                <w:szCs w:val="18"/>
              </w:rPr>
              <w:t xml:space="preserve">indemnisation ou une dégradation de l’environnement </w:t>
            </w:r>
          </w:p>
        </w:tc>
        <w:tc>
          <w:tcPr>
            <w:tcW w:w="851" w:type="dxa"/>
          </w:tcPr>
          <w:p w14:paraId="362725F9" w14:textId="77777777" w:rsidR="00401546" w:rsidRPr="00A9330B" w:rsidRDefault="00401546" w:rsidP="00401546">
            <w:pPr>
              <w:spacing w:line="240" w:lineRule="auto"/>
              <w:jc w:val="center"/>
              <w:rPr>
                <w:rFonts w:cs="Arial"/>
                <w:sz w:val="18"/>
                <w:szCs w:val="18"/>
              </w:rPr>
            </w:pPr>
            <w:r w:rsidRPr="00A9330B">
              <w:rPr>
                <w:rFonts w:cs="Arial"/>
                <w:sz w:val="18"/>
                <w:szCs w:val="18"/>
              </w:rPr>
              <w:t>2</w:t>
            </w:r>
          </w:p>
        </w:tc>
        <w:tc>
          <w:tcPr>
            <w:tcW w:w="567" w:type="dxa"/>
          </w:tcPr>
          <w:p w14:paraId="16E88532" w14:textId="77777777" w:rsidR="00401546" w:rsidRPr="00A9330B" w:rsidRDefault="00401546" w:rsidP="00401546">
            <w:pPr>
              <w:spacing w:line="240" w:lineRule="auto"/>
              <w:jc w:val="center"/>
              <w:rPr>
                <w:rFonts w:cs="Arial"/>
                <w:sz w:val="18"/>
                <w:szCs w:val="18"/>
              </w:rPr>
            </w:pPr>
            <w:r w:rsidRPr="00A9330B">
              <w:rPr>
                <w:rFonts w:cs="Arial"/>
                <w:sz w:val="18"/>
                <w:szCs w:val="18"/>
              </w:rPr>
              <w:t>3</w:t>
            </w:r>
          </w:p>
        </w:tc>
        <w:tc>
          <w:tcPr>
            <w:tcW w:w="850" w:type="dxa"/>
            <w:shd w:val="clear" w:color="auto" w:fill="FFFF00"/>
          </w:tcPr>
          <w:p w14:paraId="714A8A6E" w14:textId="77777777" w:rsidR="00401546" w:rsidRPr="00A9330B" w:rsidRDefault="00401546" w:rsidP="00401546">
            <w:pPr>
              <w:spacing w:line="240" w:lineRule="auto"/>
              <w:jc w:val="center"/>
              <w:rPr>
                <w:rFonts w:cs="Arial"/>
                <w:sz w:val="18"/>
                <w:szCs w:val="18"/>
              </w:rPr>
            </w:pPr>
          </w:p>
        </w:tc>
      </w:tr>
      <w:tr w:rsidR="00401546" w:rsidRPr="00A9330B" w14:paraId="3258790D" w14:textId="77777777" w:rsidTr="00401546">
        <w:trPr>
          <w:jc w:val="center"/>
        </w:trPr>
        <w:tc>
          <w:tcPr>
            <w:tcW w:w="1838" w:type="dxa"/>
            <w:vMerge/>
          </w:tcPr>
          <w:p w14:paraId="44BF386B" w14:textId="77777777" w:rsidR="00401546" w:rsidRPr="00A9330B" w:rsidRDefault="00401546" w:rsidP="00BD2F72">
            <w:pPr>
              <w:numPr>
                <w:ilvl w:val="0"/>
                <w:numId w:val="49"/>
              </w:numPr>
              <w:spacing w:line="240" w:lineRule="auto"/>
              <w:ind w:left="0"/>
              <w:contextualSpacing/>
              <w:jc w:val="center"/>
              <w:rPr>
                <w:rFonts w:cs="Arial"/>
                <w:b/>
                <w:sz w:val="18"/>
                <w:szCs w:val="18"/>
                <w:lang w:eastAsia="de-DE"/>
              </w:rPr>
            </w:pPr>
          </w:p>
        </w:tc>
        <w:tc>
          <w:tcPr>
            <w:tcW w:w="2410" w:type="dxa"/>
          </w:tcPr>
          <w:p w14:paraId="76E43DA1" w14:textId="77777777" w:rsidR="00401546" w:rsidRPr="00A9330B" w:rsidRDefault="00401546" w:rsidP="000F7BA7">
            <w:pPr>
              <w:spacing w:line="240" w:lineRule="auto"/>
              <w:jc w:val="both"/>
              <w:rPr>
                <w:rFonts w:cs="Arial"/>
                <w:sz w:val="18"/>
                <w:szCs w:val="18"/>
              </w:rPr>
            </w:pPr>
          </w:p>
        </w:tc>
        <w:tc>
          <w:tcPr>
            <w:tcW w:w="2693" w:type="dxa"/>
            <w:vMerge/>
          </w:tcPr>
          <w:p w14:paraId="2D1D44BF" w14:textId="77777777" w:rsidR="00401546" w:rsidRPr="00A9330B" w:rsidRDefault="00401546" w:rsidP="000F7BA7">
            <w:pPr>
              <w:spacing w:line="240" w:lineRule="auto"/>
              <w:jc w:val="both"/>
              <w:rPr>
                <w:rFonts w:cs="Arial"/>
                <w:sz w:val="18"/>
                <w:szCs w:val="18"/>
              </w:rPr>
            </w:pPr>
          </w:p>
        </w:tc>
        <w:tc>
          <w:tcPr>
            <w:tcW w:w="851" w:type="dxa"/>
          </w:tcPr>
          <w:p w14:paraId="56E32595" w14:textId="77777777" w:rsidR="00401546" w:rsidRPr="00A9330B" w:rsidRDefault="00401546" w:rsidP="00401546">
            <w:pPr>
              <w:spacing w:line="240" w:lineRule="auto"/>
              <w:jc w:val="center"/>
              <w:rPr>
                <w:rFonts w:cs="Arial"/>
                <w:sz w:val="18"/>
                <w:szCs w:val="18"/>
              </w:rPr>
            </w:pPr>
          </w:p>
        </w:tc>
        <w:tc>
          <w:tcPr>
            <w:tcW w:w="567" w:type="dxa"/>
          </w:tcPr>
          <w:p w14:paraId="6325A8EE" w14:textId="77777777" w:rsidR="00401546" w:rsidRPr="00A9330B" w:rsidRDefault="00401546" w:rsidP="00401546">
            <w:pPr>
              <w:spacing w:line="240" w:lineRule="auto"/>
              <w:jc w:val="center"/>
              <w:rPr>
                <w:rFonts w:cs="Arial"/>
                <w:sz w:val="18"/>
                <w:szCs w:val="18"/>
              </w:rPr>
            </w:pPr>
          </w:p>
        </w:tc>
        <w:tc>
          <w:tcPr>
            <w:tcW w:w="850" w:type="dxa"/>
            <w:shd w:val="clear" w:color="auto" w:fill="FFFF00"/>
          </w:tcPr>
          <w:p w14:paraId="36CEB091" w14:textId="77777777" w:rsidR="00401546" w:rsidRPr="00A9330B" w:rsidRDefault="00401546" w:rsidP="00401546">
            <w:pPr>
              <w:spacing w:line="240" w:lineRule="auto"/>
              <w:jc w:val="center"/>
              <w:rPr>
                <w:rFonts w:cs="Arial"/>
                <w:sz w:val="18"/>
                <w:szCs w:val="18"/>
              </w:rPr>
            </w:pPr>
          </w:p>
        </w:tc>
      </w:tr>
      <w:tr w:rsidR="00401546" w:rsidRPr="00A9330B" w14:paraId="55B96F00" w14:textId="77777777" w:rsidTr="00401546">
        <w:trPr>
          <w:jc w:val="center"/>
        </w:trPr>
        <w:tc>
          <w:tcPr>
            <w:tcW w:w="1838" w:type="dxa"/>
            <w:vMerge/>
          </w:tcPr>
          <w:p w14:paraId="0728C16A" w14:textId="77777777" w:rsidR="00401546" w:rsidRPr="00A9330B" w:rsidRDefault="00401546" w:rsidP="00401546">
            <w:pPr>
              <w:spacing w:line="240" w:lineRule="auto"/>
              <w:jc w:val="center"/>
              <w:rPr>
                <w:rFonts w:cs="Arial"/>
                <w:b/>
                <w:sz w:val="18"/>
                <w:szCs w:val="18"/>
              </w:rPr>
            </w:pPr>
          </w:p>
        </w:tc>
        <w:tc>
          <w:tcPr>
            <w:tcW w:w="2410" w:type="dxa"/>
          </w:tcPr>
          <w:p w14:paraId="4190C33E" w14:textId="77777777" w:rsidR="00401546" w:rsidRPr="00A9330B" w:rsidRDefault="00401546" w:rsidP="000F7BA7">
            <w:pPr>
              <w:spacing w:line="240" w:lineRule="auto"/>
              <w:jc w:val="both"/>
              <w:rPr>
                <w:rFonts w:cs="Arial"/>
                <w:sz w:val="18"/>
                <w:szCs w:val="18"/>
              </w:rPr>
            </w:pPr>
            <w:r w:rsidRPr="00A9330B">
              <w:rPr>
                <w:rFonts w:cs="Arial"/>
                <w:sz w:val="18"/>
                <w:szCs w:val="18"/>
              </w:rPr>
              <w:t xml:space="preserve">Déplacement non ou mal contrôlé de véhicules et engins de chantiers ou de leurs organes mobiles (pelle mécanique par exemple) </w:t>
            </w:r>
          </w:p>
        </w:tc>
        <w:tc>
          <w:tcPr>
            <w:tcW w:w="2693" w:type="dxa"/>
            <w:vMerge/>
          </w:tcPr>
          <w:p w14:paraId="699F0327" w14:textId="77777777" w:rsidR="00401546" w:rsidRPr="00A9330B" w:rsidRDefault="00401546" w:rsidP="000F7BA7">
            <w:pPr>
              <w:spacing w:line="240" w:lineRule="auto"/>
              <w:jc w:val="both"/>
              <w:rPr>
                <w:rFonts w:cs="Arial"/>
                <w:sz w:val="18"/>
                <w:szCs w:val="18"/>
              </w:rPr>
            </w:pPr>
          </w:p>
        </w:tc>
        <w:tc>
          <w:tcPr>
            <w:tcW w:w="851" w:type="dxa"/>
          </w:tcPr>
          <w:p w14:paraId="1448E303" w14:textId="77777777" w:rsidR="00401546" w:rsidRPr="00A9330B" w:rsidRDefault="00401546" w:rsidP="00401546">
            <w:pPr>
              <w:spacing w:line="240" w:lineRule="auto"/>
              <w:jc w:val="center"/>
              <w:rPr>
                <w:rFonts w:cs="Arial"/>
                <w:sz w:val="18"/>
                <w:szCs w:val="18"/>
              </w:rPr>
            </w:pPr>
            <w:r w:rsidRPr="00A9330B">
              <w:rPr>
                <w:rFonts w:cs="Arial"/>
                <w:sz w:val="18"/>
                <w:szCs w:val="18"/>
              </w:rPr>
              <w:t>3</w:t>
            </w:r>
          </w:p>
        </w:tc>
        <w:tc>
          <w:tcPr>
            <w:tcW w:w="567" w:type="dxa"/>
          </w:tcPr>
          <w:p w14:paraId="4B399686" w14:textId="77777777" w:rsidR="00401546" w:rsidRPr="00A9330B" w:rsidRDefault="00401546" w:rsidP="00401546">
            <w:pPr>
              <w:spacing w:line="240" w:lineRule="auto"/>
              <w:jc w:val="center"/>
              <w:rPr>
                <w:rFonts w:cs="Arial"/>
                <w:sz w:val="18"/>
                <w:szCs w:val="18"/>
              </w:rPr>
            </w:pPr>
            <w:r w:rsidRPr="00A9330B">
              <w:rPr>
                <w:rFonts w:cs="Arial"/>
                <w:sz w:val="18"/>
                <w:szCs w:val="18"/>
              </w:rPr>
              <w:t>3</w:t>
            </w:r>
          </w:p>
        </w:tc>
        <w:tc>
          <w:tcPr>
            <w:tcW w:w="850" w:type="dxa"/>
            <w:shd w:val="clear" w:color="auto" w:fill="FF0000"/>
          </w:tcPr>
          <w:p w14:paraId="7B506180" w14:textId="77777777" w:rsidR="00401546" w:rsidRPr="00A9330B" w:rsidRDefault="00401546" w:rsidP="00401546">
            <w:pPr>
              <w:spacing w:line="240" w:lineRule="auto"/>
              <w:jc w:val="center"/>
              <w:rPr>
                <w:rFonts w:cs="Arial"/>
                <w:sz w:val="18"/>
                <w:szCs w:val="18"/>
              </w:rPr>
            </w:pPr>
          </w:p>
        </w:tc>
      </w:tr>
      <w:tr w:rsidR="00401546" w:rsidRPr="00A9330B" w14:paraId="2A2907F2" w14:textId="77777777" w:rsidTr="00401546">
        <w:trPr>
          <w:jc w:val="center"/>
        </w:trPr>
        <w:tc>
          <w:tcPr>
            <w:tcW w:w="1838" w:type="dxa"/>
            <w:vMerge/>
          </w:tcPr>
          <w:p w14:paraId="45E42472" w14:textId="77777777" w:rsidR="00401546" w:rsidRPr="00A9330B" w:rsidRDefault="00401546" w:rsidP="00401546">
            <w:pPr>
              <w:spacing w:line="240" w:lineRule="auto"/>
              <w:jc w:val="center"/>
              <w:rPr>
                <w:rFonts w:cs="Arial"/>
                <w:b/>
                <w:sz w:val="18"/>
                <w:szCs w:val="18"/>
              </w:rPr>
            </w:pPr>
          </w:p>
        </w:tc>
        <w:tc>
          <w:tcPr>
            <w:tcW w:w="2410" w:type="dxa"/>
          </w:tcPr>
          <w:p w14:paraId="5C571443" w14:textId="77777777" w:rsidR="00401546" w:rsidRPr="00A9330B" w:rsidRDefault="00401546" w:rsidP="000F7BA7">
            <w:pPr>
              <w:spacing w:line="240" w:lineRule="auto"/>
              <w:jc w:val="both"/>
              <w:rPr>
                <w:rFonts w:cs="Arial"/>
                <w:sz w:val="18"/>
                <w:szCs w:val="18"/>
              </w:rPr>
            </w:pPr>
            <w:r w:rsidRPr="00A9330B">
              <w:rPr>
                <w:rFonts w:cs="Arial"/>
                <w:sz w:val="18"/>
                <w:szCs w:val="18"/>
              </w:rPr>
              <w:t xml:space="preserve">Stockage, manutention, manipulation ou transport inadapté de matériels et matériaux (par exemple déblais ou remblais) </w:t>
            </w:r>
          </w:p>
        </w:tc>
        <w:tc>
          <w:tcPr>
            <w:tcW w:w="2693" w:type="dxa"/>
            <w:vMerge/>
          </w:tcPr>
          <w:p w14:paraId="13B128EE" w14:textId="77777777" w:rsidR="00401546" w:rsidRPr="00A9330B" w:rsidRDefault="00401546" w:rsidP="000F7BA7">
            <w:pPr>
              <w:spacing w:line="240" w:lineRule="auto"/>
              <w:jc w:val="both"/>
              <w:rPr>
                <w:rFonts w:cs="Arial"/>
                <w:sz w:val="18"/>
                <w:szCs w:val="18"/>
              </w:rPr>
            </w:pPr>
          </w:p>
        </w:tc>
        <w:tc>
          <w:tcPr>
            <w:tcW w:w="851" w:type="dxa"/>
          </w:tcPr>
          <w:p w14:paraId="0E7BFD18" w14:textId="77777777" w:rsidR="00401546" w:rsidRPr="00A9330B" w:rsidRDefault="00401546" w:rsidP="00401546">
            <w:pPr>
              <w:spacing w:line="240" w:lineRule="auto"/>
              <w:jc w:val="center"/>
              <w:rPr>
                <w:rFonts w:cs="Arial"/>
                <w:sz w:val="18"/>
                <w:szCs w:val="18"/>
              </w:rPr>
            </w:pPr>
            <w:r w:rsidRPr="00A9330B">
              <w:rPr>
                <w:rFonts w:cs="Arial"/>
                <w:sz w:val="18"/>
                <w:szCs w:val="18"/>
              </w:rPr>
              <w:t>3</w:t>
            </w:r>
          </w:p>
        </w:tc>
        <w:tc>
          <w:tcPr>
            <w:tcW w:w="567" w:type="dxa"/>
          </w:tcPr>
          <w:p w14:paraId="45A931E6" w14:textId="77777777" w:rsidR="00401546" w:rsidRPr="00A9330B" w:rsidRDefault="00401546" w:rsidP="00401546">
            <w:pPr>
              <w:spacing w:line="240" w:lineRule="auto"/>
              <w:jc w:val="center"/>
              <w:rPr>
                <w:rFonts w:cs="Arial"/>
                <w:sz w:val="18"/>
                <w:szCs w:val="18"/>
              </w:rPr>
            </w:pPr>
            <w:r w:rsidRPr="00A9330B">
              <w:rPr>
                <w:rFonts w:cs="Arial"/>
                <w:sz w:val="18"/>
                <w:szCs w:val="18"/>
              </w:rPr>
              <w:t>2</w:t>
            </w:r>
          </w:p>
        </w:tc>
        <w:tc>
          <w:tcPr>
            <w:tcW w:w="850" w:type="dxa"/>
            <w:shd w:val="clear" w:color="auto" w:fill="FFFF00"/>
          </w:tcPr>
          <w:p w14:paraId="06EC1688" w14:textId="77777777" w:rsidR="00401546" w:rsidRPr="00A9330B" w:rsidRDefault="00401546" w:rsidP="00401546">
            <w:pPr>
              <w:spacing w:line="240" w:lineRule="auto"/>
              <w:jc w:val="center"/>
              <w:rPr>
                <w:rFonts w:cs="Arial"/>
                <w:sz w:val="18"/>
                <w:szCs w:val="18"/>
              </w:rPr>
            </w:pPr>
          </w:p>
        </w:tc>
      </w:tr>
      <w:tr w:rsidR="00401546" w:rsidRPr="00A9330B" w14:paraId="44B60792" w14:textId="77777777" w:rsidTr="00401546">
        <w:trPr>
          <w:jc w:val="center"/>
        </w:trPr>
        <w:tc>
          <w:tcPr>
            <w:tcW w:w="1838" w:type="dxa"/>
            <w:vMerge/>
          </w:tcPr>
          <w:p w14:paraId="03228CA9" w14:textId="77777777" w:rsidR="00401546" w:rsidRPr="00A9330B" w:rsidRDefault="00401546" w:rsidP="00401546">
            <w:pPr>
              <w:spacing w:line="240" w:lineRule="auto"/>
              <w:jc w:val="center"/>
              <w:rPr>
                <w:rFonts w:cs="Arial"/>
                <w:b/>
                <w:sz w:val="18"/>
                <w:szCs w:val="18"/>
              </w:rPr>
            </w:pPr>
          </w:p>
        </w:tc>
        <w:tc>
          <w:tcPr>
            <w:tcW w:w="2410" w:type="dxa"/>
          </w:tcPr>
          <w:p w14:paraId="5F7AD648" w14:textId="77777777" w:rsidR="00401546" w:rsidRPr="00A9330B" w:rsidRDefault="00401546" w:rsidP="000F7BA7">
            <w:pPr>
              <w:spacing w:line="240" w:lineRule="auto"/>
              <w:jc w:val="both"/>
              <w:rPr>
                <w:rFonts w:cs="Arial"/>
                <w:sz w:val="18"/>
                <w:szCs w:val="18"/>
              </w:rPr>
            </w:pPr>
            <w:r w:rsidRPr="00A9330B">
              <w:rPr>
                <w:rFonts w:cs="Arial"/>
                <w:sz w:val="18"/>
                <w:szCs w:val="18"/>
              </w:rPr>
              <w:t xml:space="preserve">Instabilité des fouilles </w:t>
            </w:r>
          </w:p>
        </w:tc>
        <w:tc>
          <w:tcPr>
            <w:tcW w:w="2693" w:type="dxa"/>
          </w:tcPr>
          <w:p w14:paraId="067B6C6B" w14:textId="77777777" w:rsidR="00401546" w:rsidRPr="00A9330B" w:rsidRDefault="00401546" w:rsidP="000F7BA7">
            <w:pPr>
              <w:spacing w:line="240" w:lineRule="auto"/>
              <w:jc w:val="both"/>
              <w:rPr>
                <w:rFonts w:cs="Arial"/>
                <w:sz w:val="18"/>
                <w:szCs w:val="18"/>
              </w:rPr>
            </w:pPr>
            <w:r w:rsidRPr="00A9330B">
              <w:rPr>
                <w:rFonts w:cs="Arial"/>
                <w:sz w:val="18"/>
                <w:szCs w:val="18"/>
              </w:rPr>
              <w:t xml:space="preserve">Destruction de biens privés ou de ressources naturelles autour de la zone de travaux (effondrement de clôture, de </w:t>
            </w:r>
            <w:r w:rsidRPr="00A9330B">
              <w:rPr>
                <w:rFonts w:cs="Arial"/>
                <w:sz w:val="18"/>
                <w:szCs w:val="18"/>
              </w:rPr>
              <w:lastRenderedPageBreak/>
              <w:t>mur, rampe, chute d’arbres) entrainant des conflits, indemnisation ou une dégradation de l’environnement</w:t>
            </w:r>
          </w:p>
        </w:tc>
        <w:tc>
          <w:tcPr>
            <w:tcW w:w="851" w:type="dxa"/>
          </w:tcPr>
          <w:p w14:paraId="47FAEA56" w14:textId="77777777" w:rsidR="00401546" w:rsidRPr="00A9330B" w:rsidRDefault="00401546" w:rsidP="00401546">
            <w:pPr>
              <w:spacing w:line="240" w:lineRule="auto"/>
              <w:jc w:val="center"/>
              <w:rPr>
                <w:rFonts w:cs="Arial"/>
                <w:sz w:val="18"/>
                <w:szCs w:val="18"/>
              </w:rPr>
            </w:pPr>
            <w:r w:rsidRPr="00A9330B">
              <w:rPr>
                <w:rFonts w:cs="Arial"/>
                <w:sz w:val="18"/>
                <w:szCs w:val="18"/>
              </w:rPr>
              <w:lastRenderedPageBreak/>
              <w:t>3</w:t>
            </w:r>
          </w:p>
        </w:tc>
        <w:tc>
          <w:tcPr>
            <w:tcW w:w="567" w:type="dxa"/>
          </w:tcPr>
          <w:p w14:paraId="7FFCB82F" w14:textId="77777777" w:rsidR="00401546" w:rsidRPr="00A9330B" w:rsidRDefault="00401546" w:rsidP="00401546">
            <w:pPr>
              <w:spacing w:line="240" w:lineRule="auto"/>
              <w:jc w:val="center"/>
              <w:rPr>
                <w:rFonts w:cs="Arial"/>
                <w:sz w:val="18"/>
                <w:szCs w:val="18"/>
              </w:rPr>
            </w:pPr>
            <w:r w:rsidRPr="00A9330B">
              <w:rPr>
                <w:rFonts w:cs="Arial"/>
                <w:sz w:val="18"/>
                <w:szCs w:val="18"/>
              </w:rPr>
              <w:t>2</w:t>
            </w:r>
          </w:p>
        </w:tc>
        <w:tc>
          <w:tcPr>
            <w:tcW w:w="850" w:type="dxa"/>
            <w:shd w:val="clear" w:color="auto" w:fill="FFFF00"/>
          </w:tcPr>
          <w:p w14:paraId="1D32E634" w14:textId="77777777" w:rsidR="00401546" w:rsidRPr="00A9330B" w:rsidRDefault="00401546" w:rsidP="00401546">
            <w:pPr>
              <w:spacing w:line="240" w:lineRule="auto"/>
              <w:jc w:val="center"/>
              <w:rPr>
                <w:rFonts w:cs="Arial"/>
                <w:sz w:val="18"/>
                <w:szCs w:val="18"/>
              </w:rPr>
            </w:pPr>
          </w:p>
        </w:tc>
      </w:tr>
      <w:tr w:rsidR="00401546" w:rsidRPr="00A9330B" w14:paraId="23C4F80A" w14:textId="77777777" w:rsidTr="00401546">
        <w:trPr>
          <w:jc w:val="center"/>
        </w:trPr>
        <w:tc>
          <w:tcPr>
            <w:tcW w:w="1838" w:type="dxa"/>
            <w:vMerge/>
          </w:tcPr>
          <w:p w14:paraId="164D4C1A" w14:textId="77777777" w:rsidR="00401546" w:rsidRPr="00A9330B" w:rsidRDefault="00401546" w:rsidP="00401546">
            <w:pPr>
              <w:spacing w:line="240" w:lineRule="auto"/>
              <w:jc w:val="center"/>
              <w:rPr>
                <w:rFonts w:cs="Arial"/>
                <w:b/>
                <w:sz w:val="18"/>
                <w:szCs w:val="18"/>
              </w:rPr>
            </w:pPr>
          </w:p>
        </w:tc>
        <w:tc>
          <w:tcPr>
            <w:tcW w:w="2410" w:type="dxa"/>
          </w:tcPr>
          <w:p w14:paraId="2E6D2FAD" w14:textId="77777777" w:rsidR="00401546" w:rsidRPr="00A9330B" w:rsidRDefault="00401546" w:rsidP="000F7BA7">
            <w:pPr>
              <w:spacing w:line="240" w:lineRule="auto"/>
              <w:jc w:val="both"/>
              <w:rPr>
                <w:rFonts w:cs="Arial"/>
                <w:sz w:val="18"/>
                <w:szCs w:val="18"/>
              </w:rPr>
            </w:pPr>
            <w:r w:rsidRPr="00A9330B">
              <w:rPr>
                <w:rFonts w:cs="Arial"/>
                <w:sz w:val="18"/>
                <w:szCs w:val="18"/>
              </w:rPr>
              <w:t xml:space="preserve">Canalisations ou câbles électriques enterrés identifiés ou non </w:t>
            </w:r>
          </w:p>
        </w:tc>
        <w:tc>
          <w:tcPr>
            <w:tcW w:w="2693" w:type="dxa"/>
            <w:vMerge w:val="restart"/>
          </w:tcPr>
          <w:p w14:paraId="2DCADC76" w14:textId="18914D93" w:rsidR="00401546" w:rsidRPr="00A9330B" w:rsidRDefault="00401546" w:rsidP="000F7BA7">
            <w:pPr>
              <w:spacing w:line="240" w:lineRule="auto"/>
              <w:jc w:val="both"/>
              <w:rPr>
                <w:rFonts w:cs="Arial"/>
                <w:sz w:val="18"/>
                <w:szCs w:val="18"/>
              </w:rPr>
            </w:pPr>
            <w:r w:rsidRPr="00A9330B">
              <w:rPr>
                <w:rFonts w:cs="Arial"/>
                <w:sz w:val="18"/>
                <w:szCs w:val="18"/>
              </w:rPr>
              <w:t>Destruction par inondation ou incendie de biens privés ou de ressources naturelles autour de la zone de travaux entrainant des conflits,</w:t>
            </w:r>
            <w:r w:rsidR="005F2A2E" w:rsidRPr="00A9330B">
              <w:rPr>
                <w:rFonts w:cs="Arial"/>
                <w:sz w:val="18"/>
                <w:szCs w:val="18"/>
              </w:rPr>
              <w:t xml:space="preserve"> des</w:t>
            </w:r>
            <w:r w:rsidRPr="00A9330B">
              <w:rPr>
                <w:rFonts w:cs="Arial"/>
                <w:sz w:val="18"/>
                <w:szCs w:val="18"/>
              </w:rPr>
              <w:t xml:space="preserve"> indemnisations ou </w:t>
            </w:r>
            <w:r w:rsidR="005F2A2E" w:rsidRPr="00A9330B">
              <w:rPr>
                <w:rFonts w:cs="Arial"/>
                <w:sz w:val="18"/>
                <w:szCs w:val="18"/>
              </w:rPr>
              <w:t xml:space="preserve">une </w:t>
            </w:r>
            <w:r w:rsidRPr="00A9330B">
              <w:rPr>
                <w:rFonts w:cs="Arial"/>
                <w:sz w:val="18"/>
                <w:szCs w:val="18"/>
              </w:rPr>
              <w:t xml:space="preserve">dégradation de l’environnement </w:t>
            </w:r>
          </w:p>
        </w:tc>
        <w:tc>
          <w:tcPr>
            <w:tcW w:w="851" w:type="dxa"/>
          </w:tcPr>
          <w:p w14:paraId="5A7861D3" w14:textId="77777777" w:rsidR="00401546" w:rsidRPr="00A9330B" w:rsidRDefault="00401546" w:rsidP="00401546">
            <w:pPr>
              <w:spacing w:line="240" w:lineRule="auto"/>
              <w:jc w:val="center"/>
              <w:rPr>
                <w:rFonts w:cs="Arial"/>
                <w:sz w:val="18"/>
                <w:szCs w:val="18"/>
              </w:rPr>
            </w:pPr>
            <w:r w:rsidRPr="00A9330B">
              <w:rPr>
                <w:rFonts w:cs="Arial"/>
                <w:sz w:val="18"/>
                <w:szCs w:val="18"/>
              </w:rPr>
              <w:t>2</w:t>
            </w:r>
          </w:p>
        </w:tc>
        <w:tc>
          <w:tcPr>
            <w:tcW w:w="567" w:type="dxa"/>
          </w:tcPr>
          <w:p w14:paraId="574DB604" w14:textId="77777777" w:rsidR="00401546" w:rsidRPr="00A9330B" w:rsidRDefault="00401546" w:rsidP="00401546">
            <w:pPr>
              <w:spacing w:line="240" w:lineRule="auto"/>
              <w:jc w:val="center"/>
              <w:rPr>
                <w:rFonts w:cs="Arial"/>
                <w:sz w:val="18"/>
                <w:szCs w:val="18"/>
              </w:rPr>
            </w:pPr>
            <w:r w:rsidRPr="00A9330B">
              <w:rPr>
                <w:rFonts w:cs="Arial"/>
                <w:sz w:val="18"/>
                <w:szCs w:val="18"/>
              </w:rPr>
              <w:t>2</w:t>
            </w:r>
          </w:p>
        </w:tc>
        <w:tc>
          <w:tcPr>
            <w:tcW w:w="850" w:type="dxa"/>
            <w:shd w:val="clear" w:color="auto" w:fill="FFFF00"/>
          </w:tcPr>
          <w:p w14:paraId="5B4C938A" w14:textId="77777777" w:rsidR="00401546" w:rsidRPr="00A9330B" w:rsidRDefault="00401546" w:rsidP="00401546">
            <w:pPr>
              <w:spacing w:line="240" w:lineRule="auto"/>
              <w:jc w:val="center"/>
              <w:rPr>
                <w:rFonts w:cs="Arial"/>
                <w:sz w:val="18"/>
                <w:szCs w:val="18"/>
              </w:rPr>
            </w:pPr>
          </w:p>
        </w:tc>
      </w:tr>
      <w:tr w:rsidR="00401546" w:rsidRPr="00A9330B" w14:paraId="66BF5AAD" w14:textId="77777777" w:rsidTr="00401546">
        <w:trPr>
          <w:jc w:val="center"/>
        </w:trPr>
        <w:tc>
          <w:tcPr>
            <w:tcW w:w="1838" w:type="dxa"/>
            <w:vMerge/>
          </w:tcPr>
          <w:p w14:paraId="566C687B" w14:textId="77777777" w:rsidR="00401546" w:rsidRPr="00A9330B" w:rsidRDefault="00401546" w:rsidP="00401546">
            <w:pPr>
              <w:spacing w:line="240" w:lineRule="auto"/>
              <w:jc w:val="center"/>
              <w:rPr>
                <w:rFonts w:cs="Arial"/>
                <w:b/>
                <w:sz w:val="18"/>
                <w:szCs w:val="18"/>
              </w:rPr>
            </w:pPr>
          </w:p>
        </w:tc>
        <w:tc>
          <w:tcPr>
            <w:tcW w:w="2410" w:type="dxa"/>
          </w:tcPr>
          <w:p w14:paraId="17F11027" w14:textId="77777777" w:rsidR="00401546" w:rsidRPr="00A9330B" w:rsidRDefault="00401546" w:rsidP="00401546">
            <w:pPr>
              <w:spacing w:line="240" w:lineRule="auto"/>
              <w:rPr>
                <w:rFonts w:cs="Arial"/>
                <w:sz w:val="18"/>
                <w:szCs w:val="18"/>
              </w:rPr>
            </w:pPr>
            <w:r w:rsidRPr="00A9330B">
              <w:rPr>
                <w:rFonts w:cs="Arial"/>
                <w:sz w:val="18"/>
                <w:szCs w:val="18"/>
              </w:rPr>
              <w:t xml:space="preserve">Installation d’engins sous des lignes électriques aérienne sous tension </w:t>
            </w:r>
          </w:p>
        </w:tc>
        <w:tc>
          <w:tcPr>
            <w:tcW w:w="2693" w:type="dxa"/>
            <w:vMerge/>
          </w:tcPr>
          <w:p w14:paraId="16055700" w14:textId="77777777" w:rsidR="00401546" w:rsidRPr="00A9330B" w:rsidRDefault="00401546" w:rsidP="00401546">
            <w:pPr>
              <w:spacing w:line="240" w:lineRule="auto"/>
              <w:rPr>
                <w:rFonts w:cs="Arial"/>
                <w:sz w:val="18"/>
                <w:szCs w:val="18"/>
              </w:rPr>
            </w:pPr>
          </w:p>
        </w:tc>
        <w:tc>
          <w:tcPr>
            <w:tcW w:w="851" w:type="dxa"/>
          </w:tcPr>
          <w:p w14:paraId="65E762A1" w14:textId="77777777" w:rsidR="00401546" w:rsidRPr="00A9330B" w:rsidRDefault="00401546" w:rsidP="00401546">
            <w:pPr>
              <w:spacing w:line="240" w:lineRule="auto"/>
              <w:jc w:val="center"/>
              <w:rPr>
                <w:rFonts w:cs="Arial"/>
                <w:sz w:val="18"/>
                <w:szCs w:val="18"/>
              </w:rPr>
            </w:pPr>
            <w:r w:rsidRPr="00A9330B">
              <w:rPr>
                <w:rFonts w:cs="Arial"/>
                <w:sz w:val="18"/>
                <w:szCs w:val="18"/>
              </w:rPr>
              <w:t>1</w:t>
            </w:r>
          </w:p>
        </w:tc>
        <w:tc>
          <w:tcPr>
            <w:tcW w:w="567" w:type="dxa"/>
          </w:tcPr>
          <w:p w14:paraId="78BFAD33" w14:textId="77777777" w:rsidR="00401546" w:rsidRPr="00A9330B" w:rsidRDefault="00401546" w:rsidP="00401546">
            <w:pPr>
              <w:spacing w:line="240" w:lineRule="auto"/>
              <w:jc w:val="center"/>
              <w:rPr>
                <w:rFonts w:cs="Arial"/>
                <w:sz w:val="18"/>
                <w:szCs w:val="18"/>
              </w:rPr>
            </w:pPr>
            <w:r w:rsidRPr="00A9330B">
              <w:rPr>
                <w:rFonts w:cs="Arial"/>
                <w:sz w:val="18"/>
                <w:szCs w:val="18"/>
              </w:rPr>
              <w:t>4</w:t>
            </w:r>
          </w:p>
        </w:tc>
        <w:tc>
          <w:tcPr>
            <w:tcW w:w="850" w:type="dxa"/>
            <w:shd w:val="clear" w:color="auto" w:fill="FFFF00"/>
          </w:tcPr>
          <w:p w14:paraId="6C648140" w14:textId="77777777" w:rsidR="00401546" w:rsidRPr="00A9330B" w:rsidRDefault="00401546" w:rsidP="00401546">
            <w:pPr>
              <w:spacing w:line="240" w:lineRule="auto"/>
              <w:jc w:val="center"/>
              <w:rPr>
                <w:rFonts w:cs="Arial"/>
                <w:sz w:val="18"/>
                <w:szCs w:val="18"/>
              </w:rPr>
            </w:pPr>
          </w:p>
        </w:tc>
      </w:tr>
      <w:tr w:rsidR="00401546" w:rsidRPr="00A9330B" w14:paraId="4898E9AE" w14:textId="77777777" w:rsidTr="00401546">
        <w:trPr>
          <w:jc w:val="center"/>
        </w:trPr>
        <w:tc>
          <w:tcPr>
            <w:tcW w:w="1838" w:type="dxa"/>
            <w:vMerge w:val="restart"/>
          </w:tcPr>
          <w:p w14:paraId="56068460" w14:textId="77777777" w:rsidR="00401546" w:rsidRPr="00A9330B" w:rsidRDefault="00401546" w:rsidP="00BD2F72">
            <w:pPr>
              <w:numPr>
                <w:ilvl w:val="0"/>
                <w:numId w:val="49"/>
              </w:numPr>
              <w:spacing w:line="240" w:lineRule="auto"/>
              <w:ind w:left="0"/>
              <w:contextualSpacing/>
              <w:jc w:val="center"/>
              <w:rPr>
                <w:rFonts w:cs="Arial"/>
                <w:b/>
                <w:sz w:val="18"/>
                <w:szCs w:val="18"/>
              </w:rPr>
            </w:pPr>
            <w:r w:rsidRPr="00A9330B">
              <w:rPr>
                <w:rFonts w:cs="Arial"/>
                <w:b/>
                <w:sz w:val="18"/>
                <w:szCs w:val="18"/>
              </w:rPr>
              <w:t>Travaux de gros œuvre : construction des ouvrages d’assainissement</w:t>
            </w:r>
          </w:p>
        </w:tc>
        <w:tc>
          <w:tcPr>
            <w:tcW w:w="2410" w:type="dxa"/>
          </w:tcPr>
          <w:p w14:paraId="5311356F" w14:textId="77777777" w:rsidR="00401546" w:rsidRPr="00A9330B" w:rsidRDefault="00401546" w:rsidP="00401546">
            <w:pPr>
              <w:spacing w:line="240" w:lineRule="auto"/>
              <w:rPr>
                <w:rFonts w:cs="Arial"/>
                <w:sz w:val="18"/>
                <w:szCs w:val="18"/>
              </w:rPr>
            </w:pPr>
            <w:r w:rsidRPr="00A9330B">
              <w:rPr>
                <w:rFonts w:cs="Arial"/>
                <w:sz w:val="18"/>
                <w:szCs w:val="18"/>
              </w:rPr>
              <w:t xml:space="preserve">Conduite inappropriée des véhicules et engins de chantier </w:t>
            </w:r>
          </w:p>
        </w:tc>
        <w:tc>
          <w:tcPr>
            <w:tcW w:w="2693" w:type="dxa"/>
            <w:vMerge w:val="restart"/>
          </w:tcPr>
          <w:p w14:paraId="563BC601" w14:textId="1FE0DD74" w:rsidR="00401546" w:rsidRPr="00A9330B" w:rsidRDefault="00401546" w:rsidP="000F7BA7">
            <w:pPr>
              <w:spacing w:line="240" w:lineRule="auto"/>
              <w:jc w:val="both"/>
              <w:rPr>
                <w:rFonts w:cs="Arial"/>
                <w:sz w:val="18"/>
                <w:szCs w:val="18"/>
              </w:rPr>
            </w:pPr>
            <w:r w:rsidRPr="00A9330B">
              <w:rPr>
                <w:rFonts w:cs="Arial"/>
                <w:sz w:val="18"/>
                <w:szCs w:val="18"/>
              </w:rPr>
              <w:t>Destruction de biens privés ou de ressources naturelles autours de la zoner de travaux entrainant des conflits,</w:t>
            </w:r>
            <w:r w:rsidR="005F2A2E" w:rsidRPr="00A9330B">
              <w:rPr>
                <w:rFonts w:cs="Arial"/>
                <w:sz w:val="18"/>
                <w:szCs w:val="18"/>
              </w:rPr>
              <w:t xml:space="preserve"> des</w:t>
            </w:r>
            <w:r w:rsidRPr="00A9330B">
              <w:rPr>
                <w:rFonts w:cs="Arial"/>
                <w:sz w:val="18"/>
                <w:szCs w:val="18"/>
              </w:rPr>
              <w:t xml:space="preserve"> indemnisations ou une dégradation de l’environnement </w:t>
            </w:r>
          </w:p>
        </w:tc>
        <w:tc>
          <w:tcPr>
            <w:tcW w:w="851" w:type="dxa"/>
          </w:tcPr>
          <w:p w14:paraId="4E27F6AB" w14:textId="77777777" w:rsidR="00401546" w:rsidRPr="00A9330B" w:rsidRDefault="00401546" w:rsidP="00401546">
            <w:pPr>
              <w:spacing w:line="240" w:lineRule="auto"/>
              <w:jc w:val="center"/>
              <w:rPr>
                <w:rFonts w:cs="Arial"/>
                <w:sz w:val="18"/>
                <w:szCs w:val="18"/>
              </w:rPr>
            </w:pPr>
            <w:r w:rsidRPr="00A9330B">
              <w:rPr>
                <w:rFonts w:cs="Arial"/>
                <w:sz w:val="18"/>
                <w:szCs w:val="18"/>
              </w:rPr>
              <w:t>2</w:t>
            </w:r>
          </w:p>
        </w:tc>
        <w:tc>
          <w:tcPr>
            <w:tcW w:w="567" w:type="dxa"/>
          </w:tcPr>
          <w:p w14:paraId="6E2EE3F2" w14:textId="77777777" w:rsidR="00401546" w:rsidRPr="00A9330B" w:rsidRDefault="00401546" w:rsidP="00401546">
            <w:pPr>
              <w:spacing w:line="240" w:lineRule="auto"/>
              <w:jc w:val="center"/>
              <w:rPr>
                <w:rFonts w:cs="Arial"/>
                <w:sz w:val="18"/>
                <w:szCs w:val="18"/>
              </w:rPr>
            </w:pPr>
            <w:r w:rsidRPr="00A9330B">
              <w:rPr>
                <w:rFonts w:cs="Arial"/>
                <w:sz w:val="18"/>
                <w:szCs w:val="18"/>
              </w:rPr>
              <w:t>3</w:t>
            </w:r>
          </w:p>
        </w:tc>
        <w:tc>
          <w:tcPr>
            <w:tcW w:w="850" w:type="dxa"/>
            <w:shd w:val="clear" w:color="auto" w:fill="FFFF00"/>
          </w:tcPr>
          <w:p w14:paraId="17EBB55A" w14:textId="77777777" w:rsidR="00401546" w:rsidRPr="00A9330B" w:rsidRDefault="00401546" w:rsidP="00401546">
            <w:pPr>
              <w:spacing w:line="240" w:lineRule="auto"/>
              <w:jc w:val="center"/>
              <w:rPr>
                <w:rFonts w:cs="Arial"/>
                <w:sz w:val="18"/>
                <w:szCs w:val="18"/>
              </w:rPr>
            </w:pPr>
          </w:p>
        </w:tc>
      </w:tr>
      <w:tr w:rsidR="00401546" w:rsidRPr="00A9330B" w14:paraId="50C8FDB4" w14:textId="77777777" w:rsidTr="00401546">
        <w:trPr>
          <w:jc w:val="center"/>
        </w:trPr>
        <w:tc>
          <w:tcPr>
            <w:tcW w:w="1838" w:type="dxa"/>
            <w:vMerge/>
          </w:tcPr>
          <w:p w14:paraId="2D498397" w14:textId="77777777" w:rsidR="00401546" w:rsidRPr="00A9330B" w:rsidRDefault="00401546" w:rsidP="00401546">
            <w:pPr>
              <w:spacing w:line="240" w:lineRule="auto"/>
              <w:jc w:val="center"/>
              <w:rPr>
                <w:rFonts w:cs="Arial"/>
                <w:b/>
                <w:sz w:val="18"/>
                <w:szCs w:val="18"/>
              </w:rPr>
            </w:pPr>
          </w:p>
        </w:tc>
        <w:tc>
          <w:tcPr>
            <w:tcW w:w="2410" w:type="dxa"/>
          </w:tcPr>
          <w:p w14:paraId="784A075A" w14:textId="77777777" w:rsidR="00401546" w:rsidRPr="00A9330B" w:rsidRDefault="00401546" w:rsidP="00401546">
            <w:pPr>
              <w:spacing w:line="240" w:lineRule="auto"/>
              <w:rPr>
                <w:rFonts w:cs="Arial"/>
                <w:sz w:val="18"/>
                <w:szCs w:val="18"/>
              </w:rPr>
            </w:pPr>
            <w:r w:rsidRPr="00A9330B">
              <w:rPr>
                <w:rFonts w:cs="Arial"/>
                <w:sz w:val="18"/>
                <w:szCs w:val="18"/>
              </w:rPr>
              <w:t xml:space="preserve">Déplacement ou utilisation non ou mal contrôlés de véhicules et engins de chantiers ou de leurs organes mobiles </w:t>
            </w:r>
          </w:p>
        </w:tc>
        <w:tc>
          <w:tcPr>
            <w:tcW w:w="2693" w:type="dxa"/>
            <w:vMerge/>
          </w:tcPr>
          <w:p w14:paraId="4B08FD2F" w14:textId="77777777" w:rsidR="00401546" w:rsidRPr="00A9330B" w:rsidRDefault="00401546" w:rsidP="00401546">
            <w:pPr>
              <w:spacing w:line="240" w:lineRule="auto"/>
              <w:rPr>
                <w:rFonts w:cs="Arial"/>
                <w:sz w:val="18"/>
                <w:szCs w:val="18"/>
              </w:rPr>
            </w:pPr>
          </w:p>
        </w:tc>
        <w:tc>
          <w:tcPr>
            <w:tcW w:w="851" w:type="dxa"/>
          </w:tcPr>
          <w:p w14:paraId="32E5C6B9" w14:textId="77777777" w:rsidR="00401546" w:rsidRPr="00A9330B" w:rsidRDefault="00401546" w:rsidP="00401546">
            <w:pPr>
              <w:spacing w:line="240" w:lineRule="auto"/>
              <w:jc w:val="center"/>
              <w:rPr>
                <w:rFonts w:cs="Arial"/>
                <w:sz w:val="18"/>
                <w:szCs w:val="18"/>
              </w:rPr>
            </w:pPr>
            <w:r w:rsidRPr="00A9330B">
              <w:rPr>
                <w:rFonts w:cs="Arial"/>
                <w:sz w:val="18"/>
                <w:szCs w:val="18"/>
              </w:rPr>
              <w:t>2</w:t>
            </w:r>
          </w:p>
        </w:tc>
        <w:tc>
          <w:tcPr>
            <w:tcW w:w="567" w:type="dxa"/>
          </w:tcPr>
          <w:p w14:paraId="34056819" w14:textId="77777777" w:rsidR="00401546" w:rsidRPr="00A9330B" w:rsidRDefault="00401546" w:rsidP="00401546">
            <w:pPr>
              <w:spacing w:line="240" w:lineRule="auto"/>
              <w:jc w:val="center"/>
              <w:rPr>
                <w:rFonts w:cs="Arial"/>
                <w:sz w:val="18"/>
                <w:szCs w:val="18"/>
              </w:rPr>
            </w:pPr>
            <w:r w:rsidRPr="00A9330B">
              <w:rPr>
                <w:rFonts w:cs="Arial"/>
                <w:sz w:val="18"/>
                <w:szCs w:val="18"/>
              </w:rPr>
              <w:t>3</w:t>
            </w:r>
          </w:p>
        </w:tc>
        <w:tc>
          <w:tcPr>
            <w:tcW w:w="850" w:type="dxa"/>
            <w:shd w:val="clear" w:color="auto" w:fill="FFFF00"/>
          </w:tcPr>
          <w:p w14:paraId="4E774619" w14:textId="77777777" w:rsidR="00401546" w:rsidRPr="00A9330B" w:rsidRDefault="00401546" w:rsidP="00401546">
            <w:pPr>
              <w:spacing w:line="240" w:lineRule="auto"/>
              <w:jc w:val="center"/>
              <w:rPr>
                <w:rFonts w:cs="Arial"/>
                <w:sz w:val="18"/>
                <w:szCs w:val="18"/>
              </w:rPr>
            </w:pPr>
          </w:p>
        </w:tc>
      </w:tr>
      <w:tr w:rsidR="00401546" w:rsidRPr="00A9330B" w14:paraId="3854CD6D" w14:textId="77777777" w:rsidTr="00401546">
        <w:trPr>
          <w:jc w:val="center"/>
        </w:trPr>
        <w:tc>
          <w:tcPr>
            <w:tcW w:w="1838" w:type="dxa"/>
            <w:vMerge/>
          </w:tcPr>
          <w:p w14:paraId="49B9CD50" w14:textId="77777777" w:rsidR="00401546" w:rsidRPr="00A9330B" w:rsidRDefault="00401546" w:rsidP="00401546">
            <w:pPr>
              <w:spacing w:line="240" w:lineRule="auto"/>
              <w:jc w:val="center"/>
              <w:rPr>
                <w:rFonts w:cs="Arial"/>
                <w:b/>
                <w:sz w:val="18"/>
                <w:szCs w:val="18"/>
              </w:rPr>
            </w:pPr>
          </w:p>
        </w:tc>
        <w:tc>
          <w:tcPr>
            <w:tcW w:w="2410" w:type="dxa"/>
          </w:tcPr>
          <w:p w14:paraId="7806579E" w14:textId="77777777" w:rsidR="00401546" w:rsidRPr="00A9330B" w:rsidRDefault="00401546" w:rsidP="000F7BA7">
            <w:pPr>
              <w:spacing w:line="240" w:lineRule="auto"/>
              <w:jc w:val="both"/>
              <w:rPr>
                <w:rFonts w:cs="Arial"/>
                <w:sz w:val="18"/>
                <w:szCs w:val="18"/>
              </w:rPr>
            </w:pPr>
            <w:r w:rsidRPr="00A9330B">
              <w:rPr>
                <w:rFonts w:cs="Arial"/>
                <w:sz w:val="18"/>
                <w:szCs w:val="18"/>
              </w:rPr>
              <w:t xml:space="preserve">Stockage, manutention, manipulation ou transport inadapté de matériels et matériaux </w:t>
            </w:r>
          </w:p>
        </w:tc>
        <w:tc>
          <w:tcPr>
            <w:tcW w:w="2693" w:type="dxa"/>
            <w:vMerge/>
          </w:tcPr>
          <w:p w14:paraId="265C3545" w14:textId="77777777" w:rsidR="00401546" w:rsidRPr="00A9330B" w:rsidRDefault="00401546" w:rsidP="000F7BA7">
            <w:pPr>
              <w:spacing w:line="240" w:lineRule="auto"/>
              <w:jc w:val="both"/>
              <w:rPr>
                <w:rFonts w:cs="Arial"/>
                <w:sz w:val="18"/>
                <w:szCs w:val="18"/>
              </w:rPr>
            </w:pPr>
          </w:p>
        </w:tc>
        <w:tc>
          <w:tcPr>
            <w:tcW w:w="851" w:type="dxa"/>
          </w:tcPr>
          <w:p w14:paraId="3A746F0F" w14:textId="77777777" w:rsidR="00401546" w:rsidRPr="00A9330B" w:rsidRDefault="00401546" w:rsidP="00401546">
            <w:pPr>
              <w:spacing w:line="240" w:lineRule="auto"/>
              <w:jc w:val="center"/>
              <w:rPr>
                <w:rFonts w:cs="Arial"/>
                <w:sz w:val="18"/>
                <w:szCs w:val="18"/>
              </w:rPr>
            </w:pPr>
            <w:r w:rsidRPr="00A9330B">
              <w:rPr>
                <w:rFonts w:cs="Arial"/>
                <w:sz w:val="18"/>
                <w:szCs w:val="18"/>
              </w:rPr>
              <w:t>2</w:t>
            </w:r>
          </w:p>
        </w:tc>
        <w:tc>
          <w:tcPr>
            <w:tcW w:w="567" w:type="dxa"/>
          </w:tcPr>
          <w:p w14:paraId="1FD567DF" w14:textId="77777777" w:rsidR="00401546" w:rsidRPr="00A9330B" w:rsidRDefault="00401546" w:rsidP="00401546">
            <w:pPr>
              <w:spacing w:line="240" w:lineRule="auto"/>
              <w:jc w:val="center"/>
              <w:rPr>
                <w:rFonts w:cs="Arial"/>
                <w:sz w:val="18"/>
                <w:szCs w:val="18"/>
              </w:rPr>
            </w:pPr>
            <w:r w:rsidRPr="00A9330B">
              <w:rPr>
                <w:rFonts w:cs="Arial"/>
                <w:sz w:val="18"/>
                <w:szCs w:val="18"/>
              </w:rPr>
              <w:t>2</w:t>
            </w:r>
          </w:p>
        </w:tc>
        <w:tc>
          <w:tcPr>
            <w:tcW w:w="850" w:type="dxa"/>
            <w:shd w:val="clear" w:color="auto" w:fill="FFFF00"/>
          </w:tcPr>
          <w:p w14:paraId="58FE8C2F" w14:textId="77777777" w:rsidR="00401546" w:rsidRPr="00A9330B" w:rsidRDefault="00401546" w:rsidP="00401546">
            <w:pPr>
              <w:spacing w:line="240" w:lineRule="auto"/>
              <w:jc w:val="center"/>
              <w:rPr>
                <w:rFonts w:cs="Arial"/>
                <w:sz w:val="18"/>
                <w:szCs w:val="18"/>
              </w:rPr>
            </w:pPr>
          </w:p>
        </w:tc>
      </w:tr>
      <w:tr w:rsidR="00401546" w:rsidRPr="00A9330B" w14:paraId="06A604C3" w14:textId="77777777" w:rsidTr="00401546">
        <w:trPr>
          <w:jc w:val="center"/>
        </w:trPr>
        <w:tc>
          <w:tcPr>
            <w:tcW w:w="1838" w:type="dxa"/>
            <w:vMerge/>
          </w:tcPr>
          <w:p w14:paraId="2859AD16" w14:textId="77777777" w:rsidR="00401546" w:rsidRPr="00A9330B" w:rsidRDefault="00401546" w:rsidP="00401546">
            <w:pPr>
              <w:spacing w:line="240" w:lineRule="auto"/>
              <w:jc w:val="center"/>
              <w:rPr>
                <w:rFonts w:cs="Arial"/>
                <w:b/>
                <w:sz w:val="18"/>
                <w:szCs w:val="18"/>
              </w:rPr>
            </w:pPr>
          </w:p>
        </w:tc>
        <w:tc>
          <w:tcPr>
            <w:tcW w:w="2410" w:type="dxa"/>
          </w:tcPr>
          <w:p w14:paraId="1351DA58" w14:textId="77777777" w:rsidR="00401546" w:rsidRPr="00A9330B" w:rsidRDefault="00401546" w:rsidP="000F7BA7">
            <w:pPr>
              <w:spacing w:line="240" w:lineRule="auto"/>
              <w:jc w:val="both"/>
              <w:rPr>
                <w:rFonts w:cs="Arial"/>
                <w:sz w:val="18"/>
                <w:szCs w:val="18"/>
              </w:rPr>
            </w:pPr>
            <w:r w:rsidRPr="00A9330B">
              <w:rPr>
                <w:rFonts w:cs="Arial"/>
                <w:sz w:val="18"/>
                <w:szCs w:val="18"/>
              </w:rPr>
              <w:t xml:space="preserve">Instabilité des fouilles </w:t>
            </w:r>
          </w:p>
        </w:tc>
        <w:tc>
          <w:tcPr>
            <w:tcW w:w="2693" w:type="dxa"/>
          </w:tcPr>
          <w:p w14:paraId="46322208" w14:textId="20B5BBD5" w:rsidR="00401546" w:rsidRPr="00A9330B" w:rsidRDefault="00401546" w:rsidP="000F7BA7">
            <w:pPr>
              <w:spacing w:line="240" w:lineRule="auto"/>
              <w:jc w:val="both"/>
              <w:rPr>
                <w:rFonts w:cs="Arial"/>
                <w:sz w:val="18"/>
                <w:szCs w:val="18"/>
              </w:rPr>
            </w:pPr>
            <w:r w:rsidRPr="00A9330B">
              <w:rPr>
                <w:rFonts w:cs="Arial"/>
                <w:sz w:val="18"/>
                <w:szCs w:val="18"/>
              </w:rPr>
              <w:t>Destruction de biens privés ou de ressources naturelles autour de la zone de travaux (effondrement de clôture, de mur, rampe, chute d’arbres) entrainant des conflits,</w:t>
            </w:r>
            <w:r w:rsidR="005F2A2E" w:rsidRPr="00A9330B">
              <w:rPr>
                <w:rFonts w:cs="Arial"/>
                <w:sz w:val="18"/>
                <w:szCs w:val="18"/>
              </w:rPr>
              <w:t xml:space="preserve"> une</w:t>
            </w:r>
            <w:r w:rsidRPr="00A9330B">
              <w:rPr>
                <w:rFonts w:cs="Arial"/>
                <w:sz w:val="18"/>
                <w:szCs w:val="18"/>
              </w:rPr>
              <w:t xml:space="preserve"> indemnisation ou une dégradation de l’environnement</w:t>
            </w:r>
          </w:p>
        </w:tc>
        <w:tc>
          <w:tcPr>
            <w:tcW w:w="851" w:type="dxa"/>
          </w:tcPr>
          <w:p w14:paraId="0C50725D" w14:textId="77777777" w:rsidR="00401546" w:rsidRPr="00A9330B" w:rsidRDefault="00401546" w:rsidP="00401546">
            <w:pPr>
              <w:spacing w:line="240" w:lineRule="auto"/>
              <w:jc w:val="center"/>
              <w:rPr>
                <w:rFonts w:cs="Arial"/>
                <w:sz w:val="18"/>
                <w:szCs w:val="18"/>
              </w:rPr>
            </w:pPr>
            <w:r w:rsidRPr="00A9330B">
              <w:rPr>
                <w:rFonts w:cs="Arial"/>
                <w:sz w:val="18"/>
                <w:szCs w:val="18"/>
              </w:rPr>
              <w:t>3</w:t>
            </w:r>
          </w:p>
        </w:tc>
        <w:tc>
          <w:tcPr>
            <w:tcW w:w="567" w:type="dxa"/>
          </w:tcPr>
          <w:p w14:paraId="05400B04" w14:textId="77777777" w:rsidR="00401546" w:rsidRPr="00A9330B" w:rsidRDefault="00401546" w:rsidP="00401546">
            <w:pPr>
              <w:spacing w:line="240" w:lineRule="auto"/>
              <w:jc w:val="center"/>
              <w:rPr>
                <w:rFonts w:cs="Arial"/>
                <w:sz w:val="18"/>
                <w:szCs w:val="18"/>
              </w:rPr>
            </w:pPr>
            <w:r w:rsidRPr="00A9330B">
              <w:rPr>
                <w:rFonts w:cs="Arial"/>
                <w:sz w:val="18"/>
                <w:szCs w:val="18"/>
              </w:rPr>
              <w:t>3</w:t>
            </w:r>
          </w:p>
        </w:tc>
        <w:tc>
          <w:tcPr>
            <w:tcW w:w="850" w:type="dxa"/>
            <w:shd w:val="clear" w:color="auto" w:fill="FF0000"/>
          </w:tcPr>
          <w:p w14:paraId="04F358E5" w14:textId="77777777" w:rsidR="00401546" w:rsidRPr="00A9330B" w:rsidRDefault="00401546" w:rsidP="00401546">
            <w:pPr>
              <w:spacing w:line="240" w:lineRule="auto"/>
              <w:jc w:val="center"/>
              <w:rPr>
                <w:rFonts w:cs="Arial"/>
                <w:sz w:val="18"/>
                <w:szCs w:val="18"/>
              </w:rPr>
            </w:pPr>
          </w:p>
        </w:tc>
      </w:tr>
      <w:tr w:rsidR="00401546" w:rsidRPr="00A9330B" w14:paraId="01A3A022" w14:textId="77777777" w:rsidTr="00401546">
        <w:trPr>
          <w:jc w:val="center"/>
        </w:trPr>
        <w:tc>
          <w:tcPr>
            <w:tcW w:w="1838" w:type="dxa"/>
            <w:vMerge/>
          </w:tcPr>
          <w:p w14:paraId="2A116FD4" w14:textId="77777777" w:rsidR="00401546" w:rsidRPr="00A9330B" w:rsidRDefault="00401546" w:rsidP="00401546">
            <w:pPr>
              <w:spacing w:line="240" w:lineRule="auto"/>
              <w:jc w:val="center"/>
              <w:rPr>
                <w:rFonts w:cs="Arial"/>
                <w:b/>
                <w:sz w:val="18"/>
                <w:szCs w:val="18"/>
              </w:rPr>
            </w:pPr>
          </w:p>
        </w:tc>
        <w:tc>
          <w:tcPr>
            <w:tcW w:w="2410" w:type="dxa"/>
          </w:tcPr>
          <w:p w14:paraId="79FBDA53" w14:textId="77777777" w:rsidR="00401546" w:rsidRPr="00A9330B" w:rsidRDefault="00401546" w:rsidP="000F7BA7">
            <w:pPr>
              <w:spacing w:line="240" w:lineRule="auto"/>
              <w:jc w:val="both"/>
              <w:rPr>
                <w:rFonts w:cs="Arial"/>
                <w:sz w:val="18"/>
                <w:szCs w:val="18"/>
              </w:rPr>
            </w:pPr>
            <w:r w:rsidRPr="00A9330B">
              <w:rPr>
                <w:rFonts w:cs="Arial"/>
                <w:sz w:val="18"/>
                <w:szCs w:val="18"/>
              </w:rPr>
              <w:t xml:space="preserve">Emploi inadapté d’appareil électrique, des huiles de décoffrage, des adjuvants,… </w:t>
            </w:r>
          </w:p>
        </w:tc>
        <w:tc>
          <w:tcPr>
            <w:tcW w:w="2693" w:type="dxa"/>
          </w:tcPr>
          <w:p w14:paraId="4DF398D7" w14:textId="4BA247F3" w:rsidR="00401546" w:rsidRPr="00A9330B" w:rsidRDefault="00401546" w:rsidP="000F7BA7">
            <w:pPr>
              <w:spacing w:line="240" w:lineRule="auto"/>
              <w:jc w:val="both"/>
              <w:rPr>
                <w:rFonts w:cs="Arial"/>
                <w:sz w:val="18"/>
                <w:szCs w:val="18"/>
              </w:rPr>
            </w:pPr>
            <w:r w:rsidRPr="00A9330B">
              <w:rPr>
                <w:rFonts w:cs="Arial"/>
                <w:sz w:val="18"/>
                <w:szCs w:val="18"/>
              </w:rPr>
              <w:t>Destruction par incendie de biens privés ou de ressources naturelles autour de la zone de travaux entrainant des conflits,</w:t>
            </w:r>
            <w:r w:rsidR="005F2A2E" w:rsidRPr="00A9330B">
              <w:rPr>
                <w:rFonts w:cs="Arial"/>
                <w:sz w:val="18"/>
                <w:szCs w:val="18"/>
              </w:rPr>
              <w:t xml:space="preserve"> des</w:t>
            </w:r>
            <w:r w:rsidRPr="00A9330B">
              <w:rPr>
                <w:rFonts w:cs="Arial"/>
                <w:sz w:val="18"/>
                <w:szCs w:val="18"/>
              </w:rPr>
              <w:t xml:space="preserve"> indemnisations ou une dégradation de l’environnement </w:t>
            </w:r>
          </w:p>
        </w:tc>
        <w:tc>
          <w:tcPr>
            <w:tcW w:w="851" w:type="dxa"/>
          </w:tcPr>
          <w:p w14:paraId="153B3F28" w14:textId="77777777" w:rsidR="00401546" w:rsidRPr="00A9330B" w:rsidRDefault="00401546" w:rsidP="00401546">
            <w:pPr>
              <w:spacing w:line="240" w:lineRule="auto"/>
              <w:jc w:val="center"/>
              <w:rPr>
                <w:rFonts w:cs="Arial"/>
                <w:sz w:val="18"/>
                <w:szCs w:val="18"/>
              </w:rPr>
            </w:pPr>
            <w:r w:rsidRPr="00A9330B">
              <w:rPr>
                <w:rFonts w:cs="Arial"/>
                <w:sz w:val="18"/>
                <w:szCs w:val="18"/>
              </w:rPr>
              <w:t>2</w:t>
            </w:r>
          </w:p>
        </w:tc>
        <w:tc>
          <w:tcPr>
            <w:tcW w:w="567" w:type="dxa"/>
          </w:tcPr>
          <w:p w14:paraId="1CF2AD36" w14:textId="77777777" w:rsidR="00401546" w:rsidRPr="00A9330B" w:rsidRDefault="00401546" w:rsidP="00401546">
            <w:pPr>
              <w:spacing w:line="240" w:lineRule="auto"/>
              <w:jc w:val="center"/>
              <w:rPr>
                <w:rFonts w:cs="Arial"/>
                <w:sz w:val="18"/>
                <w:szCs w:val="18"/>
              </w:rPr>
            </w:pPr>
            <w:r w:rsidRPr="00A9330B">
              <w:rPr>
                <w:rFonts w:cs="Arial"/>
                <w:sz w:val="18"/>
                <w:szCs w:val="18"/>
              </w:rPr>
              <w:t>2</w:t>
            </w:r>
          </w:p>
        </w:tc>
        <w:tc>
          <w:tcPr>
            <w:tcW w:w="850" w:type="dxa"/>
            <w:shd w:val="clear" w:color="auto" w:fill="FFFF00"/>
          </w:tcPr>
          <w:p w14:paraId="24EBB5A1" w14:textId="77777777" w:rsidR="00401546" w:rsidRPr="00A9330B" w:rsidRDefault="00401546" w:rsidP="00401546">
            <w:pPr>
              <w:spacing w:line="240" w:lineRule="auto"/>
              <w:jc w:val="center"/>
              <w:rPr>
                <w:rFonts w:cs="Arial"/>
                <w:sz w:val="18"/>
                <w:szCs w:val="18"/>
              </w:rPr>
            </w:pPr>
          </w:p>
        </w:tc>
      </w:tr>
      <w:tr w:rsidR="00401546" w:rsidRPr="00A9330B" w14:paraId="0B41A6F8" w14:textId="77777777" w:rsidTr="00401546">
        <w:trPr>
          <w:jc w:val="center"/>
        </w:trPr>
        <w:tc>
          <w:tcPr>
            <w:tcW w:w="1838" w:type="dxa"/>
            <w:vMerge/>
          </w:tcPr>
          <w:p w14:paraId="7D42E621" w14:textId="77777777" w:rsidR="00401546" w:rsidRPr="00A9330B" w:rsidRDefault="00401546" w:rsidP="00401546">
            <w:pPr>
              <w:spacing w:line="240" w:lineRule="auto"/>
              <w:jc w:val="center"/>
              <w:rPr>
                <w:rFonts w:cs="Arial"/>
                <w:b/>
                <w:sz w:val="18"/>
                <w:szCs w:val="18"/>
              </w:rPr>
            </w:pPr>
          </w:p>
        </w:tc>
        <w:tc>
          <w:tcPr>
            <w:tcW w:w="2410" w:type="dxa"/>
          </w:tcPr>
          <w:p w14:paraId="0A837F85" w14:textId="77777777" w:rsidR="00401546" w:rsidRPr="00A9330B" w:rsidRDefault="00401546" w:rsidP="000F7BA7">
            <w:pPr>
              <w:spacing w:line="240" w:lineRule="auto"/>
              <w:jc w:val="both"/>
              <w:rPr>
                <w:rFonts w:cs="Arial"/>
                <w:sz w:val="18"/>
                <w:szCs w:val="18"/>
              </w:rPr>
            </w:pPr>
            <w:r w:rsidRPr="00A9330B">
              <w:rPr>
                <w:rFonts w:cs="Arial"/>
                <w:sz w:val="18"/>
                <w:szCs w:val="18"/>
              </w:rPr>
              <w:t xml:space="preserve">Canalisations ou câbles électriques enterrés identifiés ou non </w:t>
            </w:r>
          </w:p>
        </w:tc>
        <w:tc>
          <w:tcPr>
            <w:tcW w:w="2693" w:type="dxa"/>
            <w:vMerge w:val="restart"/>
          </w:tcPr>
          <w:p w14:paraId="71BFD62C" w14:textId="30D78793" w:rsidR="00401546" w:rsidRPr="00A9330B" w:rsidRDefault="00401546" w:rsidP="000F7BA7">
            <w:pPr>
              <w:spacing w:line="240" w:lineRule="auto"/>
              <w:jc w:val="both"/>
              <w:rPr>
                <w:rFonts w:cs="Arial"/>
                <w:sz w:val="18"/>
                <w:szCs w:val="18"/>
              </w:rPr>
            </w:pPr>
            <w:r w:rsidRPr="00A9330B">
              <w:rPr>
                <w:rFonts w:cs="Arial"/>
                <w:sz w:val="18"/>
                <w:szCs w:val="18"/>
              </w:rPr>
              <w:t>Destruction par inondation ou incendie de biens privés ou de ressources naturelles autour de la zone de travaux entrainant des conflits,</w:t>
            </w:r>
            <w:r w:rsidR="005F2A2E" w:rsidRPr="00A9330B">
              <w:rPr>
                <w:rFonts w:cs="Arial"/>
                <w:sz w:val="18"/>
                <w:szCs w:val="18"/>
              </w:rPr>
              <w:t xml:space="preserve"> une </w:t>
            </w:r>
            <w:r w:rsidRPr="00A9330B">
              <w:rPr>
                <w:rFonts w:cs="Arial"/>
                <w:sz w:val="18"/>
                <w:szCs w:val="18"/>
              </w:rPr>
              <w:t xml:space="preserve"> indemnisations ou dégradation de l’environnement </w:t>
            </w:r>
          </w:p>
        </w:tc>
        <w:tc>
          <w:tcPr>
            <w:tcW w:w="851" w:type="dxa"/>
          </w:tcPr>
          <w:p w14:paraId="6788536A" w14:textId="77777777" w:rsidR="00401546" w:rsidRPr="00A9330B" w:rsidRDefault="00401546" w:rsidP="00401546">
            <w:pPr>
              <w:spacing w:line="240" w:lineRule="auto"/>
              <w:jc w:val="center"/>
              <w:rPr>
                <w:rFonts w:cs="Arial"/>
                <w:sz w:val="18"/>
                <w:szCs w:val="18"/>
              </w:rPr>
            </w:pPr>
            <w:r w:rsidRPr="00A9330B">
              <w:rPr>
                <w:rFonts w:cs="Arial"/>
                <w:sz w:val="18"/>
                <w:szCs w:val="18"/>
              </w:rPr>
              <w:t>2</w:t>
            </w:r>
          </w:p>
        </w:tc>
        <w:tc>
          <w:tcPr>
            <w:tcW w:w="567" w:type="dxa"/>
          </w:tcPr>
          <w:p w14:paraId="73F4E60B" w14:textId="77777777" w:rsidR="00401546" w:rsidRPr="00A9330B" w:rsidRDefault="00401546" w:rsidP="00401546">
            <w:pPr>
              <w:spacing w:line="240" w:lineRule="auto"/>
              <w:jc w:val="center"/>
              <w:rPr>
                <w:rFonts w:cs="Arial"/>
                <w:sz w:val="18"/>
                <w:szCs w:val="18"/>
              </w:rPr>
            </w:pPr>
            <w:r w:rsidRPr="00A9330B">
              <w:rPr>
                <w:rFonts w:cs="Arial"/>
                <w:sz w:val="18"/>
                <w:szCs w:val="18"/>
              </w:rPr>
              <w:t>2</w:t>
            </w:r>
          </w:p>
        </w:tc>
        <w:tc>
          <w:tcPr>
            <w:tcW w:w="850" w:type="dxa"/>
            <w:shd w:val="clear" w:color="auto" w:fill="FFFF00"/>
          </w:tcPr>
          <w:p w14:paraId="152A1A5A" w14:textId="77777777" w:rsidR="00401546" w:rsidRPr="00A9330B" w:rsidRDefault="00401546" w:rsidP="00401546">
            <w:pPr>
              <w:spacing w:line="240" w:lineRule="auto"/>
              <w:jc w:val="center"/>
              <w:rPr>
                <w:rFonts w:cs="Arial"/>
                <w:sz w:val="18"/>
                <w:szCs w:val="18"/>
              </w:rPr>
            </w:pPr>
          </w:p>
        </w:tc>
      </w:tr>
      <w:tr w:rsidR="00401546" w:rsidRPr="00A9330B" w14:paraId="73EA2176" w14:textId="77777777" w:rsidTr="00401546">
        <w:trPr>
          <w:jc w:val="center"/>
        </w:trPr>
        <w:tc>
          <w:tcPr>
            <w:tcW w:w="1838" w:type="dxa"/>
            <w:vMerge/>
          </w:tcPr>
          <w:p w14:paraId="70AF3B60" w14:textId="77777777" w:rsidR="00401546" w:rsidRPr="00A9330B" w:rsidRDefault="00401546" w:rsidP="00401546">
            <w:pPr>
              <w:spacing w:line="240" w:lineRule="auto"/>
              <w:jc w:val="center"/>
              <w:rPr>
                <w:rFonts w:cs="Arial"/>
                <w:b/>
                <w:sz w:val="18"/>
                <w:szCs w:val="18"/>
              </w:rPr>
            </w:pPr>
          </w:p>
        </w:tc>
        <w:tc>
          <w:tcPr>
            <w:tcW w:w="2410" w:type="dxa"/>
          </w:tcPr>
          <w:p w14:paraId="0D85D66D" w14:textId="58429D71" w:rsidR="00401546" w:rsidRPr="00A9330B" w:rsidRDefault="00401546" w:rsidP="000F7BA7">
            <w:pPr>
              <w:spacing w:line="240" w:lineRule="auto"/>
              <w:jc w:val="both"/>
              <w:rPr>
                <w:rFonts w:cs="Arial"/>
                <w:sz w:val="18"/>
                <w:szCs w:val="18"/>
              </w:rPr>
            </w:pPr>
            <w:r w:rsidRPr="00A9330B">
              <w:rPr>
                <w:rFonts w:cs="Arial"/>
                <w:sz w:val="18"/>
                <w:szCs w:val="18"/>
              </w:rPr>
              <w:t>Installation d’engins sous des lignes électriques aérienne</w:t>
            </w:r>
            <w:r w:rsidR="005F2A2E" w:rsidRPr="00A9330B">
              <w:rPr>
                <w:rFonts w:cs="Arial"/>
                <w:sz w:val="18"/>
                <w:szCs w:val="18"/>
              </w:rPr>
              <w:t>s</w:t>
            </w:r>
            <w:r w:rsidRPr="00A9330B">
              <w:rPr>
                <w:rFonts w:cs="Arial"/>
                <w:sz w:val="18"/>
                <w:szCs w:val="18"/>
              </w:rPr>
              <w:t xml:space="preserve"> sous tension </w:t>
            </w:r>
          </w:p>
        </w:tc>
        <w:tc>
          <w:tcPr>
            <w:tcW w:w="2693" w:type="dxa"/>
            <w:vMerge/>
          </w:tcPr>
          <w:p w14:paraId="627FD382" w14:textId="77777777" w:rsidR="00401546" w:rsidRPr="00A9330B" w:rsidRDefault="00401546" w:rsidP="000F7BA7">
            <w:pPr>
              <w:spacing w:line="240" w:lineRule="auto"/>
              <w:jc w:val="both"/>
              <w:rPr>
                <w:rFonts w:cs="Arial"/>
                <w:sz w:val="18"/>
                <w:szCs w:val="18"/>
              </w:rPr>
            </w:pPr>
          </w:p>
        </w:tc>
        <w:tc>
          <w:tcPr>
            <w:tcW w:w="851" w:type="dxa"/>
          </w:tcPr>
          <w:p w14:paraId="5CE2201B" w14:textId="77777777" w:rsidR="00401546" w:rsidRPr="00A9330B" w:rsidRDefault="00401546" w:rsidP="00401546">
            <w:pPr>
              <w:spacing w:line="240" w:lineRule="auto"/>
              <w:jc w:val="center"/>
              <w:rPr>
                <w:rFonts w:cs="Arial"/>
                <w:sz w:val="18"/>
                <w:szCs w:val="18"/>
              </w:rPr>
            </w:pPr>
            <w:r w:rsidRPr="00A9330B">
              <w:rPr>
                <w:rFonts w:cs="Arial"/>
                <w:sz w:val="18"/>
                <w:szCs w:val="18"/>
              </w:rPr>
              <w:t>1</w:t>
            </w:r>
          </w:p>
        </w:tc>
        <w:tc>
          <w:tcPr>
            <w:tcW w:w="567" w:type="dxa"/>
          </w:tcPr>
          <w:p w14:paraId="69F68BA4" w14:textId="77777777" w:rsidR="00401546" w:rsidRPr="00A9330B" w:rsidRDefault="00401546" w:rsidP="00401546">
            <w:pPr>
              <w:spacing w:line="240" w:lineRule="auto"/>
              <w:jc w:val="center"/>
              <w:rPr>
                <w:rFonts w:cs="Arial"/>
                <w:sz w:val="18"/>
                <w:szCs w:val="18"/>
              </w:rPr>
            </w:pPr>
            <w:r w:rsidRPr="00A9330B">
              <w:rPr>
                <w:rFonts w:cs="Arial"/>
                <w:sz w:val="18"/>
                <w:szCs w:val="18"/>
              </w:rPr>
              <w:t>4</w:t>
            </w:r>
          </w:p>
        </w:tc>
        <w:tc>
          <w:tcPr>
            <w:tcW w:w="850" w:type="dxa"/>
            <w:shd w:val="clear" w:color="auto" w:fill="FFFF00"/>
          </w:tcPr>
          <w:p w14:paraId="3257F8A2" w14:textId="77777777" w:rsidR="00401546" w:rsidRPr="00A9330B" w:rsidRDefault="00401546" w:rsidP="00401546">
            <w:pPr>
              <w:spacing w:line="240" w:lineRule="auto"/>
              <w:jc w:val="center"/>
              <w:rPr>
                <w:rFonts w:cs="Arial"/>
                <w:sz w:val="18"/>
                <w:szCs w:val="18"/>
              </w:rPr>
            </w:pPr>
          </w:p>
        </w:tc>
      </w:tr>
      <w:tr w:rsidR="00401546" w:rsidRPr="00A9330B" w14:paraId="7A1CF413" w14:textId="77777777" w:rsidTr="00401546">
        <w:trPr>
          <w:jc w:val="center"/>
        </w:trPr>
        <w:tc>
          <w:tcPr>
            <w:tcW w:w="1838" w:type="dxa"/>
            <w:vMerge w:val="restart"/>
          </w:tcPr>
          <w:p w14:paraId="7812980F" w14:textId="7D2D8ED1" w:rsidR="00401546" w:rsidRPr="00A9330B" w:rsidRDefault="00401546" w:rsidP="00B77A5F">
            <w:pPr>
              <w:spacing w:line="240" w:lineRule="auto"/>
              <w:contextualSpacing/>
              <w:rPr>
                <w:rFonts w:cs="Arial"/>
                <w:b/>
                <w:sz w:val="18"/>
                <w:szCs w:val="18"/>
              </w:rPr>
            </w:pPr>
            <w:r w:rsidRPr="00A9330B">
              <w:rPr>
                <w:rFonts w:cs="Arial"/>
                <w:b/>
                <w:sz w:val="18"/>
                <w:szCs w:val="18"/>
              </w:rPr>
              <w:t xml:space="preserve">Protection des berges avec </w:t>
            </w:r>
            <w:r w:rsidR="00BD32CF" w:rsidRPr="00A9330B">
              <w:rPr>
                <w:rFonts w:cs="Arial"/>
                <w:b/>
                <w:sz w:val="18"/>
                <w:szCs w:val="18"/>
              </w:rPr>
              <w:t>perrés maçonnés</w:t>
            </w:r>
          </w:p>
        </w:tc>
        <w:tc>
          <w:tcPr>
            <w:tcW w:w="2410" w:type="dxa"/>
          </w:tcPr>
          <w:p w14:paraId="7C6082BD" w14:textId="77777777" w:rsidR="00401546" w:rsidRPr="00A9330B" w:rsidRDefault="00401546" w:rsidP="000F7BA7">
            <w:pPr>
              <w:spacing w:line="240" w:lineRule="auto"/>
              <w:jc w:val="both"/>
              <w:rPr>
                <w:rFonts w:cs="Arial"/>
                <w:sz w:val="18"/>
                <w:szCs w:val="18"/>
              </w:rPr>
            </w:pPr>
            <w:r w:rsidRPr="00A9330B">
              <w:rPr>
                <w:rFonts w:cs="Arial"/>
                <w:sz w:val="18"/>
                <w:szCs w:val="18"/>
              </w:rPr>
              <w:t>Conduite inappropriée des véhicules et engins de chantier</w:t>
            </w:r>
          </w:p>
        </w:tc>
        <w:tc>
          <w:tcPr>
            <w:tcW w:w="2693" w:type="dxa"/>
            <w:vMerge w:val="restart"/>
          </w:tcPr>
          <w:p w14:paraId="1D848047" w14:textId="77777777" w:rsidR="00401546" w:rsidRPr="00A9330B" w:rsidRDefault="00401546" w:rsidP="000F7BA7">
            <w:pPr>
              <w:spacing w:line="240" w:lineRule="auto"/>
              <w:jc w:val="both"/>
              <w:rPr>
                <w:rFonts w:cs="Arial"/>
                <w:sz w:val="18"/>
                <w:szCs w:val="18"/>
              </w:rPr>
            </w:pPr>
            <w:r w:rsidRPr="00A9330B">
              <w:rPr>
                <w:rFonts w:cs="Arial"/>
                <w:sz w:val="18"/>
                <w:szCs w:val="18"/>
              </w:rPr>
              <w:t xml:space="preserve">Destruction par incendie de biens privés ou de ressources naturelles autour de la zone de travaux entrainant des conflits, indemnisations ou une dégradation de l’environnement </w:t>
            </w:r>
          </w:p>
        </w:tc>
        <w:tc>
          <w:tcPr>
            <w:tcW w:w="851" w:type="dxa"/>
          </w:tcPr>
          <w:p w14:paraId="7F39E1C1" w14:textId="77777777" w:rsidR="00401546" w:rsidRPr="00A9330B" w:rsidRDefault="00401546" w:rsidP="00401546">
            <w:pPr>
              <w:spacing w:line="240" w:lineRule="auto"/>
              <w:jc w:val="center"/>
              <w:rPr>
                <w:rFonts w:cs="Arial"/>
                <w:sz w:val="18"/>
                <w:szCs w:val="18"/>
              </w:rPr>
            </w:pPr>
            <w:r w:rsidRPr="00A9330B">
              <w:rPr>
                <w:rFonts w:cs="Arial"/>
                <w:sz w:val="18"/>
                <w:szCs w:val="18"/>
              </w:rPr>
              <w:t>3</w:t>
            </w:r>
          </w:p>
        </w:tc>
        <w:tc>
          <w:tcPr>
            <w:tcW w:w="567" w:type="dxa"/>
          </w:tcPr>
          <w:p w14:paraId="6A96B1A1" w14:textId="77777777" w:rsidR="00401546" w:rsidRPr="00A9330B" w:rsidRDefault="00401546" w:rsidP="00401546">
            <w:pPr>
              <w:spacing w:line="240" w:lineRule="auto"/>
              <w:jc w:val="center"/>
              <w:rPr>
                <w:rFonts w:cs="Arial"/>
                <w:sz w:val="18"/>
                <w:szCs w:val="18"/>
              </w:rPr>
            </w:pPr>
            <w:r w:rsidRPr="00A9330B">
              <w:rPr>
                <w:rFonts w:cs="Arial"/>
                <w:sz w:val="18"/>
                <w:szCs w:val="18"/>
              </w:rPr>
              <w:t>2</w:t>
            </w:r>
          </w:p>
        </w:tc>
        <w:tc>
          <w:tcPr>
            <w:tcW w:w="850" w:type="dxa"/>
            <w:shd w:val="clear" w:color="auto" w:fill="FFFF00"/>
          </w:tcPr>
          <w:p w14:paraId="32296BE5" w14:textId="77777777" w:rsidR="00401546" w:rsidRPr="00A9330B" w:rsidRDefault="00401546" w:rsidP="00401546">
            <w:pPr>
              <w:spacing w:line="240" w:lineRule="auto"/>
              <w:jc w:val="center"/>
              <w:rPr>
                <w:rFonts w:cs="Arial"/>
                <w:sz w:val="18"/>
                <w:szCs w:val="18"/>
              </w:rPr>
            </w:pPr>
          </w:p>
        </w:tc>
      </w:tr>
      <w:tr w:rsidR="00401546" w:rsidRPr="00A9330B" w14:paraId="7FDFD07F" w14:textId="77777777" w:rsidTr="00401546">
        <w:trPr>
          <w:jc w:val="center"/>
        </w:trPr>
        <w:tc>
          <w:tcPr>
            <w:tcW w:w="1838" w:type="dxa"/>
            <w:vMerge/>
          </w:tcPr>
          <w:p w14:paraId="43CC6C78" w14:textId="77777777" w:rsidR="00401546" w:rsidRPr="00A9330B" w:rsidRDefault="00401546" w:rsidP="00BD2F72">
            <w:pPr>
              <w:numPr>
                <w:ilvl w:val="0"/>
                <w:numId w:val="49"/>
              </w:numPr>
              <w:spacing w:line="240" w:lineRule="auto"/>
              <w:ind w:left="0"/>
              <w:contextualSpacing/>
              <w:rPr>
                <w:rFonts w:cs="Arial"/>
                <w:b/>
                <w:sz w:val="18"/>
                <w:szCs w:val="18"/>
              </w:rPr>
            </w:pPr>
          </w:p>
        </w:tc>
        <w:tc>
          <w:tcPr>
            <w:tcW w:w="2410" w:type="dxa"/>
          </w:tcPr>
          <w:p w14:paraId="146A2345" w14:textId="31044D3F" w:rsidR="00401546" w:rsidRPr="00A9330B" w:rsidRDefault="00401546" w:rsidP="00401546">
            <w:pPr>
              <w:spacing w:line="240" w:lineRule="auto"/>
              <w:rPr>
                <w:rFonts w:cs="Arial"/>
                <w:sz w:val="18"/>
                <w:szCs w:val="18"/>
              </w:rPr>
            </w:pPr>
            <w:r w:rsidRPr="00A9330B">
              <w:rPr>
                <w:rFonts w:cs="Arial"/>
                <w:sz w:val="18"/>
                <w:szCs w:val="18"/>
              </w:rPr>
              <w:t xml:space="preserve">Déplacement ou utilisation non </w:t>
            </w:r>
            <w:r w:rsidR="005F2A2E" w:rsidRPr="00A9330B">
              <w:rPr>
                <w:rFonts w:cs="Arial"/>
                <w:sz w:val="18"/>
                <w:szCs w:val="18"/>
              </w:rPr>
              <w:t xml:space="preserve">ou </w:t>
            </w:r>
            <w:r w:rsidRPr="00A9330B">
              <w:rPr>
                <w:rFonts w:cs="Arial"/>
                <w:sz w:val="18"/>
                <w:szCs w:val="18"/>
              </w:rPr>
              <w:t>mal contrôlé</w:t>
            </w:r>
            <w:r w:rsidR="005F2A2E" w:rsidRPr="00A9330B">
              <w:rPr>
                <w:rFonts w:cs="Arial"/>
                <w:sz w:val="18"/>
                <w:szCs w:val="18"/>
              </w:rPr>
              <w:t>e</w:t>
            </w:r>
            <w:r w:rsidRPr="00A9330B">
              <w:rPr>
                <w:rFonts w:cs="Arial"/>
                <w:sz w:val="18"/>
                <w:szCs w:val="18"/>
              </w:rPr>
              <w:t xml:space="preserve"> de véhicules et engins de chantier ou de leurs organes mobiles (camions, pelles,  par ex.) </w:t>
            </w:r>
          </w:p>
        </w:tc>
        <w:tc>
          <w:tcPr>
            <w:tcW w:w="2693" w:type="dxa"/>
            <w:vMerge/>
          </w:tcPr>
          <w:p w14:paraId="46D7C237" w14:textId="77777777" w:rsidR="00401546" w:rsidRPr="00A9330B" w:rsidRDefault="00401546" w:rsidP="00401546">
            <w:pPr>
              <w:spacing w:line="240" w:lineRule="auto"/>
              <w:rPr>
                <w:rFonts w:cs="Arial"/>
                <w:sz w:val="18"/>
                <w:szCs w:val="18"/>
              </w:rPr>
            </w:pPr>
          </w:p>
        </w:tc>
        <w:tc>
          <w:tcPr>
            <w:tcW w:w="851" w:type="dxa"/>
          </w:tcPr>
          <w:p w14:paraId="5E42A201" w14:textId="77777777" w:rsidR="00401546" w:rsidRPr="00A9330B" w:rsidRDefault="00401546" w:rsidP="00401546">
            <w:pPr>
              <w:spacing w:line="240" w:lineRule="auto"/>
              <w:jc w:val="center"/>
              <w:rPr>
                <w:rFonts w:cs="Arial"/>
                <w:sz w:val="18"/>
                <w:szCs w:val="18"/>
              </w:rPr>
            </w:pPr>
            <w:r w:rsidRPr="00A9330B">
              <w:rPr>
                <w:rFonts w:cs="Arial"/>
                <w:sz w:val="18"/>
                <w:szCs w:val="18"/>
              </w:rPr>
              <w:t>2</w:t>
            </w:r>
          </w:p>
        </w:tc>
        <w:tc>
          <w:tcPr>
            <w:tcW w:w="567" w:type="dxa"/>
          </w:tcPr>
          <w:p w14:paraId="3D4DDB07" w14:textId="77777777" w:rsidR="00401546" w:rsidRPr="00A9330B" w:rsidRDefault="00401546" w:rsidP="00401546">
            <w:pPr>
              <w:spacing w:line="240" w:lineRule="auto"/>
              <w:jc w:val="center"/>
              <w:rPr>
                <w:rFonts w:cs="Arial"/>
                <w:sz w:val="18"/>
                <w:szCs w:val="18"/>
              </w:rPr>
            </w:pPr>
            <w:r w:rsidRPr="00A9330B">
              <w:rPr>
                <w:rFonts w:cs="Arial"/>
                <w:sz w:val="18"/>
                <w:szCs w:val="18"/>
              </w:rPr>
              <w:t>3</w:t>
            </w:r>
          </w:p>
        </w:tc>
        <w:tc>
          <w:tcPr>
            <w:tcW w:w="850" w:type="dxa"/>
            <w:shd w:val="clear" w:color="auto" w:fill="FFFF00"/>
          </w:tcPr>
          <w:p w14:paraId="6ED86D23" w14:textId="77777777" w:rsidR="00401546" w:rsidRPr="00A9330B" w:rsidRDefault="00401546" w:rsidP="00401546">
            <w:pPr>
              <w:spacing w:line="240" w:lineRule="auto"/>
              <w:jc w:val="center"/>
              <w:rPr>
                <w:rFonts w:cs="Arial"/>
                <w:sz w:val="18"/>
                <w:szCs w:val="18"/>
              </w:rPr>
            </w:pPr>
          </w:p>
        </w:tc>
      </w:tr>
      <w:tr w:rsidR="00401546" w:rsidRPr="00A9330B" w14:paraId="44C4CC34" w14:textId="77777777" w:rsidTr="00401546">
        <w:trPr>
          <w:jc w:val="center"/>
        </w:trPr>
        <w:tc>
          <w:tcPr>
            <w:tcW w:w="1838" w:type="dxa"/>
            <w:vMerge/>
          </w:tcPr>
          <w:p w14:paraId="484E90D9" w14:textId="77777777" w:rsidR="00401546" w:rsidRPr="00A9330B" w:rsidRDefault="00401546" w:rsidP="00BD2F72">
            <w:pPr>
              <w:numPr>
                <w:ilvl w:val="0"/>
                <w:numId w:val="49"/>
              </w:numPr>
              <w:spacing w:line="240" w:lineRule="auto"/>
              <w:ind w:left="0"/>
              <w:contextualSpacing/>
              <w:rPr>
                <w:rFonts w:cs="Arial"/>
                <w:b/>
                <w:sz w:val="18"/>
                <w:szCs w:val="18"/>
              </w:rPr>
            </w:pPr>
          </w:p>
        </w:tc>
        <w:tc>
          <w:tcPr>
            <w:tcW w:w="2410" w:type="dxa"/>
          </w:tcPr>
          <w:p w14:paraId="0917A04A" w14:textId="77777777" w:rsidR="00401546" w:rsidRPr="00A9330B" w:rsidRDefault="00401546" w:rsidP="00401546">
            <w:pPr>
              <w:spacing w:line="240" w:lineRule="auto"/>
              <w:rPr>
                <w:rFonts w:cs="Arial"/>
                <w:sz w:val="18"/>
                <w:szCs w:val="18"/>
              </w:rPr>
            </w:pPr>
            <w:r w:rsidRPr="00A9330B">
              <w:rPr>
                <w:rFonts w:cs="Arial"/>
                <w:sz w:val="18"/>
                <w:szCs w:val="18"/>
              </w:rPr>
              <w:t xml:space="preserve">Stockage, manutention, manipulation ou transport </w:t>
            </w:r>
            <w:r w:rsidRPr="00A9330B">
              <w:rPr>
                <w:rFonts w:cs="Arial"/>
                <w:sz w:val="18"/>
                <w:szCs w:val="18"/>
              </w:rPr>
              <w:lastRenderedPageBreak/>
              <w:t xml:space="preserve">inadapté de matériels et matériaux </w:t>
            </w:r>
          </w:p>
        </w:tc>
        <w:tc>
          <w:tcPr>
            <w:tcW w:w="2693" w:type="dxa"/>
            <w:vMerge/>
          </w:tcPr>
          <w:p w14:paraId="6A6CE6FC" w14:textId="77777777" w:rsidR="00401546" w:rsidRPr="00A9330B" w:rsidRDefault="00401546" w:rsidP="00401546">
            <w:pPr>
              <w:spacing w:line="240" w:lineRule="auto"/>
              <w:rPr>
                <w:rFonts w:cs="Arial"/>
                <w:sz w:val="18"/>
                <w:szCs w:val="18"/>
              </w:rPr>
            </w:pPr>
          </w:p>
        </w:tc>
        <w:tc>
          <w:tcPr>
            <w:tcW w:w="851" w:type="dxa"/>
          </w:tcPr>
          <w:p w14:paraId="6EE642E9" w14:textId="77777777" w:rsidR="00401546" w:rsidRPr="00A9330B" w:rsidRDefault="00401546" w:rsidP="00401546">
            <w:pPr>
              <w:spacing w:line="240" w:lineRule="auto"/>
              <w:jc w:val="center"/>
              <w:rPr>
                <w:rFonts w:cs="Arial"/>
                <w:sz w:val="18"/>
                <w:szCs w:val="18"/>
              </w:rPr>
            </w:pPr>
            <w:r w:rsidRPr="00A9330B">
              <w:rPr>
                <w:rFonts w:cs="Arial"/>
                <w:sz w:val="18"/>
                <w:szCs w:val="18"/>
              </w:rPr>
              <w:t>2</w:t>
            </w:r>
          </w:p>
        </w:tc>
        <w:tc>
          <w:tcPr>
            <w:tcW w:w="567" w:type="dxa"/>
          </w:tcPr>
          <w:p w14:paraId="12A1DE08" w14:textId="77777777" w:rsidR="00401546" w:rsidRPr="00A9330B" w:rsidRDefault="00401546" w:rsidP="00401546">
            <w:pPr>
              <w:spacing w:line="240" w:lineRule="auto"/>
              <w:jc w:val="center"/>
              <w:rPr>
                <w:rFonts w:cs="Arial"/>
                <w:sz w:val="18"/>
                <w:szCs w:val="18"/>
              </w:rPr>
            </w:pPr>
            <w:r w:rsidRPr="00A9330B">
              <w:rPr>
                <w:rFonts w:cs="Arial"/>
                <w:sz w:val="18"/>
                <w:szCs w:val="18"/>
              </w:rPr>
              <w:t>2</w:t>
            </w:r>
          </w:p>
        </w:tc>
        <w:tc>
          <w:tcPr>
            <w:tcW w:w="850" w:type="dxa"/>
            <w:shd w:val="clear" w:color="auto" w:fill="FFFF00"/>
          </w:tcPr>
          <w:p w14:paraId="66CF9645" w14:textId="77777777" w:rsidR="00401546" w:rsidRPr="00A9330B" w:rsidRDefault="00401546" w:rsidP="00401546">
            <w:pPr>
              <w:spacing w:line="240" w:lineRule="auto"/>
              <w:jc w:val="center"/>
              <w:rPr>
                <w:rFonts w:cs="Arial"/>
                <w:sz w:val="18"/>
                <w:szCs w:val="18"/>
              </w:rPr>
            </w:pPr>
          </w:p>
        </w:tc>
      </w:tr>
      <w:tr w:rsidR="00401546" w:rsidRPr="00A9330B" w14:paraId="74498B92" w14:textId="77777777" w:rsidTr="00401546">
        <w:trPr>
          <w:jc w:val="center"/>
        </w:trPr>
        <w:tc>
          <w:tcPr>
            <w:tcW w:w="1838" w:type="dxa"/>
            <w:vMerge/>
          </w:tcPr>
          <w:p w14:paraId="4CDAB963" w14:textId="77777777" w:rsidR="00401546" w:rsidRPr="00A9330B" w:rsidRDefault="00401546" w:rsidP="00BD2F72">
            <w:pPr>
              <w:numPr>
                <w:ilvl w:val="0"/>
                <w:numId w:val="49"/>
              </w:numPr>
              <w:spacing w:line="240" w:lineRule="auto"/>
              <w:ind w:left="0"/>
              <w:contextualSpacing/>
              <w:rPr>
                <w:rFonts w:cs="Arial"/>
                <w:b/>
                <w:sz w:val="18"/>
                <w:szCs w:val="18"/>
              </w:rPr>
            </w:pPr>
          </w:p>
        </w:tc>
        <w:tc>
          <w:tcPr>
            <w:tcW w:w="2410" w:type="dxa"/>
          </w:tcPr>
          <w:p w14:paraId="7E06E447" w14:textId="77777777" w:rsidR="00401546" w:rsidRPr="00A9330B" w:rsidRDefault="00401546" w:rsidP="00401546">
            <w:pPr>
              <w:spacing w:line="240" w:lineRule="auto"/>
              <w:rPr>
                <w:rFonts w:cs="Arial"/>
                <w:sz w:val="18"/>
                <w:szCs w:val="18"/>
              </w:rPr>
            </w:pPr>
            <w:r w:rsidRPr="00A9330B">
              <w:rPr>
                <w:rFonts w:cs="Arial"/>
                <w:sz w:val="18"/>
                <w:szCs w:val="18"/>
              </w:rPr>
              <w:t xml:space="preserve">Instabilité de l’ouvrage </w:t>
            </w:r>
          </w:p>
        </w:tc>
        <w:tc>
          <w:tcPr>
            <w:tcW w:w="2693" w:type="dxa"/>
            <w:vMerge/>
          </w:tcPr>
          <w:p w14:paraId="69706569" w14:textId="77777777" w:rsidR="00401546" w:rsidRPr="00A9330B" w:rsidRDefault="00401546" w:rsidP="00401546">
            <w:pPr>
              <w:spacing w:line="240" w:lineRule="auto"/>
              <w:rPr>
                <w:rFonts w:cs="Arial"/>
                <w:sz w:val="18"/>
                <w:szCs w:val="18"/>
              </w:rPr>
            </w:pPr>
          </w:p>
        </w:tc>
        <w:tc>
          <w:tcPr>
            <w:tcW w:w="851" w:type="dxa"/>
          </w:tcPr>
          <w:p w14:paraId="17EF6376" w14:textId="77777777" w:rsidR="00401546" w:rsidRPr="00A9330B" w:rsidRDefault="00401546" w:rsidP="00401546">
            <w:pPr>
              <w:spacing w:line="240" w:lineRule="auto"/>
              <w:jc w:val="center"/>
              <w:rPr>
                <w:rFonts w:cs="Arial"/>
                <w:sz w:val="18"/>
                <w:szCs w:val="18"/>
              </w:rPr>
            </w:pPr>
            <w:r w:rsidRPr="00A9330B">
              <w:rPr>
                <w:rFonts w:cs="Arial"/>
                <w:sz w:val="18"/>
                <w:szCs w:val="18"/>
              </w:rPr>
              <w:t>3</w:t>
            </w:r>
          </w:p>
        </w:tc>
        <w:tc>
          <w:tcPr>
            <w:tcW w:w="567" w:type="dxa"/>
          </w:tcPr>
          <w:p w14:paraId="55C75213" w14:textId="77777777" w:rsidR="00401546" w:rsidRPr="00A9330B" w:rsidRDefault="00401546" w:rsidP="00401546">
            <w:pPr>
              <w:spacing w:line="240" w:lineRule="auto"/>
              <w:jc w:val="center"/>
              <w:rPr>
                <w:rFonts w:cs="Arial"/>
                <w:sz w:val="18"/>
                <w:szCs w:val="18"/>
              </w:rPr>
            </w:pPr>
            <w:r w:rsidRPr="00A9330B">
              <w:rPr>
                <w:rFonts w:cs="Arial"/>
                <w:sz w:val="18"/>
                <w:szCs w:val="18"/>
              </w:rPr>
              <w:t>3</w:t>
            </w:r>
          </w:p>
        </w:tc>
        <w:tc>
          <w:tcPr>
            <w:tcW w:w="850" w:type="dxa"/>
            <w:shd w:val="clear" w:color="auto" w:fill="FF0000"/>
          </w:tcPr>
          <w:p w14:paraId="5AA4832F" w14:textId="77777777" w:rsidR="00401546" w:rsidRPr="00A9330B" w:rsidRDefault="00401546" w:rsidP="00401546">
            <w:pPr>
              <w:spacing w:line="240" w:lineRule="auto"/>
              <w:jc w:val="center"/>
              <w:rPr>
                <w:rFonts w:cs="Arial"/>
                <w:sz w:val="18"/>
                <w:szCs w:val="18"/>
              </w:rPr>
            </w:pPr>
          </w:p>
        </w:tc>
      </w:tr>
      <w:tr w:rsidR="00401546" w:rsidRPr="00A9330B" w14:paraId="16FF9DD8" w14:textId="77777777" w:rsidTr="00401546">
        <w:trPr>
          <w:jc w:val="center"/>
        </w:trPr>
        <w:tc>
          <w:tcPr>
            <w:tcW w:w="1838" w:type="dxa"/>
            <w:vMerge w:val="restart"/>
          </w:tcPr>
          <w:p w14:paraId="447C56A7" w14:textId="77777777" w:rsidR="00401546" w:rsidRPr="00A9330B" w:rsidRDefault="00401546" w:rsidP="00B77A5F">
            <w:pPr>
              <w:spacing w:line="240" w:lineRule="auto"/>
              <w:contextualSpacing/>
              <w:rPr>
                <w:rFonts w:cs="Arial"/>
                <w:b/>
                <w:sz w:val="18"/>
                <w:szCs w:val="18"/>
              </w:rPr>
            </w:pPr>
            <w:r w:rsidRPr="00A9330B">
              <w:rPr>
                <w:rFonts w:cs="Arial"/>
                <w:b/>
                <w:sz w:val="18"/>
                <w:szCs w:val="18"/>
              </w:rPr>
              <w:t>Réparation des regards endommagés et pose de nouveaux couvercles de regards sur le collecteur existant </w:t>
            </w:r>
          </w:p>
        </w:tc>
        <w:tc>
          <w:tcPr>
            <w:tcW w:w="2410" w:type="dxa"/>
          </w:tcPr>
          <w:p w14:paraId="71150CD2" w14:textId="77777777" w:rsidR="00401546" w:rsidRPr="00A9330B" w:rsidRDefault="00401546" w:rsidP="000F7BA7">
            <w:pPr>
              <w:spacing w:line="240" w:lineRule="auto"/>
              <w:jc w:val="both"/>
              <w:rPr>
                <w:rFonts w:cs="Arial"/>
                <w:sz w:val="18"/>
                <w:szCs w:val="18"/>
              </w:rPr>
            </w:pPr>
            <w:r w:rsidRPr="00A9330B">
              <w:rPr>
                <w:rFonts w:cs="Arial"/>
                <w:sz w:val="18"/>
                <w:szCs w:val="18"/>
              </w:rPr>
              <w:t>Conduite inappropriée des véhicules et engins de chantier</w:t>
            </w:r>
          </w:p>
        </w:tc>
        <w:tc>
          <w:tcPr>
            <w:tcW w:w="2693" w:type="dxa"/>
            <w:vMerge w:val="restart"/>
          </w:tcPr>
          <w:p w14:paraId="4F99D16B" w14:textId="77777777" w:rsidR="00401546" w:rsidRPr="00A9330B" w:rsidRDefault="00401546" w:rsidP="000F7BA7">
            <w:pPr>
              <w:spacing w:line="240" w:lineRule="auto"/>
              <w:jc w:val="both"/>
              <w:rPr>
                <w:rFonts w:cs="Arial"/>
                <w:sz w:val="18"/>
                <w:szCs w:val="18"/>
              </w:rPr>
            </w:pPr>
            <w:r w:rsidRPr="00A9330B">
              <w:rPr>
                <w:rFonts w:cs="Arial"/>
                <w:sz w:val="18"/>
                <w:szCs w:val="18"/>
              </w:rPr>
              <w:t xml:space="preserve">Destruction par incendie de biens privés ou de ressources naturelles autour de la zone de travaux entrainant des conflits, indemnisations ou une dégradation de l’environnement </w:t>
            </w:r>
          </w:p>
        </w:tc>
        <w:tc>
          <w:tcPr>
            <w:tcW w:w="851" w:type="dxa"/>
          </w:tcPr>
          <w:p w14:paraId="5B03DCE5" w14:textId="77777777" w:rsidR="00401546" w:rsidRPr="00A9330B" w:rsidRDefault="00401546" w:rsidP="00401546">
            <w:pPr>
              <w:spacing w:line="240" w:lineRule="auto"/>
              <w:jc w:val="center"/>
              <w:rPr>
                <w:rFonts w:cs="Arial"/>
                <w:sz w:val="18"/>
                <w:szCs w:val="18"/>
              </w:rPr>
            </w:pPr>
            <w:r w:rsidRPr="00A9330B">
              <w:rPr>
                <w:rFonts w:cs="Arial"/>
                <w:sz w:val="18"/>
                <w:szCs w:val="18"/>
              </w:rPr>
              <w:t>3</w:t>
            </w:r>
          </w:p>
        </w:tc>
        <w:tc>
          <w:tcPr>
            <w:tcW w:w="567" w:type="dxa"/>
          </w:tcPr>
          <w:p w14:paraId="3E3E3407" w14:textId="77777777" w:rsidR="00401546" w:rsidRPr="00A9330B" w:rsidRDefault="00401546" w:rsidP="00401546">
            <w:pPr>
              <w:spacing w:line="240" w:lineRule="auto"/>
              <w:jc w:val="center"/>
              <w:rPr>
                <w:rFonts w:cs="Arial"/>
                <w:sz w:val="18"/>
                <w:szCs w:val="18"/>
              </w:rPr>
            </w:pPr>
            <w:r w:rsidRPr="00A9330B">
              <w:rPr>
                <w:rFonts w:cs="Arial"/>
                <w:sz w:val="18"/>
                <w:szCs w:val="18"/>
              </w:rPr>
              <w:t>2</w:t>
            </w:r>
          </w:p>
        </w:tc>
        <w:tc>
          <w:tcPr>
            <w:tcW w:w="850" w:type="dxa"/>
            <w:shd w:val="clear" w:color="auto" w:fill="FFFF00"/>
          </w:tcPr>
          <w:p w14:paraId="735ECD87" w14:textId="77777777" w:rsidR="00401546" w:rsidRPr="00A9330B" w:rsidRDefault="00401546" w:rsidP="00401546">
            <w:pPr>
              <w:spacing w:line="240" w:lineRule="auto"/>
              <w:jc w:val="center"/>
              <w:rPr>
                <w:rFonts w:cs="Arial"/>
                <w:sz w:val="18"/>
                <w:szCs w:val="18"/>
              </w:rPr>
            </w:pPr>
          </w:p>
        </w:tc>
      </w:tr>
      <w:tr w:rsidR="00401546" w:rsidRPr="00A9330B" w14:paraId="30BA6F91" w14:textId="77777777" w:rsidTr="00401546">
        <w:trPr>
          <w:jc w:val="center"/>
        </w:trPr>
        <w:tc>
          <w:tcPr>
            <w:tcW w:w="1838" w:type="dxa"/>
            <w:vMerge/>
          </w:tcPr>
          <w:p w14:paraId="67572D3A" w14:textId="77777777" w:rsidR="00401546" w:rsidRPr="00A9330B" w:rsidRDefault="00401546" w:rsidP="00401546">
            <w:pPr>
              <w:spacing w:line="240" w:lineRule="auto"/>
              <w:rPr>
                <w:rFonts w:cs="Arial"/>
                <w:b/>
                <w:sz w:val="18"/>
                <w:szCs w:val="18"/>
              </w:rPr>
            </w:pPr>
          </w:p>
        </w:tc>
        <w:tc>
          <w:tcPr>
            <w:tcW w:w="2410" w:type="dxa"/>
          </w:tcPr>
          <w:p w14:paraId="166EE809" w14:textId="3C05A52C" w:rsidR="00401546" w:rsidRPr="00A9330B" w:rsidRDefault="00401546" w:rsidP="000F7BA7">
            <w:pPr>
              <w:spacing w:line="240" w:lineRule="auto"/>
              <w:jc w:val="both"/>
              <w:rPr>
                <w:rFonts w:cs="Arial"/>
                <w:sz w:val="18"/>
                <w:szCs w:val="18"/>
              </w:rPr>
            </w:pPr>
            <w:r w:rsidRPr="00A9330B">
              <w:rPr>
                <w:rFonts w:cs="Arial"/>
                <w:sz w:val="18"/>
                <w:szCs w:val="18"/>
              </w:rPr>
              <w:t>Déplacement ou utilisation non</w:t>
            </w:r>
            <w:r w:rsidR="005F2A2E" w:rsidRPr="00A9330B">
              <w:rPr>
                <w:rFonts w:cs="Arial"/>
                <w:sz w:val="18"/>
                <w:szCs w:val="18"/>
              </w:rPr>
              <w:t xml:space="preserve"> ou </w:t>
            </w:r>
            <w:r w:rsidRPr="00A9330B">
              <w:rPr>
                <w:rFonts w:cs="Arial"/>
                <w:sz w:val="18"/>
                <w:szCs w:val="18"/>
              </w:rPr>
              <w:t xml:space="preserve"> mal contrôlé</w:t>
            </w:r>
            <w:r w:rsidR="005F2A2E" w:rsidRPr="00A9330B">
              <w:rPr>
                <w:rFonts w:cs="Arial"/>
                <w:sz w:val="18"/>
                <w:szCs w:val="18"/>
              </w:rPr>
              <w:t>s</w:t>
            </w:r>
            <w:r w:rsidRPr="00A9330B">
              <w:rPr>
                <w:rFonts w:cs="Arial"/>
                <w:sz w:val="18"/>
                <w:szCs w:val="18"/>
              </w:rPr>
              <w:t xml:space="preserve"> de véhicules et engins de chantier ou de leurs organes mobiles (camions, pelles,  par exemple) </w:t>
            </w:r>
          </w:p>
        </w:tc>
        <w:tc>
          <w:tcPr>
            <w:tcW w:w="2693" w:type="dxa"/>
            <w:vMerge/>
          </w:tcPr>
          <w:p w14:paraId="37C84C34" w14:textId="77777777" w:rsidR="00401546" w:rsidRPr="00A9330B" w:rsidRDefault="00401546" w:rsidP="000F7BA7">
            <w:pPr>
              <w:spacing w:line="240" w:lineRule="auto"/>
              <w:jc w:val="both"/>
              <w:rPr>
                <w:rFonts w:cs="Arial"/>
                <w:sz w:val="18"/>
                <w:szCs w:val="18"/>
              </w:rPr>
            </w:pPr>
          </w:p>
        </w:tc>
        <w:tc>
          <w:tcPr>
            <w:tcW w:w="851" w:type="dxa"/>
          </w:tcPr>
          <w:p w14:paraId="1A2043CE" w14:textId="77777777" w:rsidR="00401546" w:rsidRPr="00A9330B" w:rsidRDefault="00401546" w:rsidP="00401546">
            <w:pPr>
              <w:spacing w:line="240" w:lineRule="auto"/>
              <w:jc w:val="center"/>
              <w:rPr>
                <w:rFonts w:cs="Arial"/>
                <w:sz w:val="18"/>
                <w:szCs w:val="18"/>
              </w:rPr>
            </w:pPr>
            <w:r w:rsidRPr="00A9330B">
              <w:rPr>
                <w:rFonts w:cs="Arial"/>
                <w:sz w:val="18"/>
                <w:szCs w:val="18"/>
              </w:rPr>
              <w:t>2</w:t>
            </w:r>
          </w:p>
        </w:tc>
        <w:tc>
          <w:tcPr>
            <w:tcW w:w="567" w:type="dxa"/>
          </w:tcPr>
          <w:p w14:paraId="62D5F24D" w14:textId="77777777" w:rsidR="00401546" w:rsidRPr="00A9330B" w:rsidRDefault="00401546" w:rsidP="00401546">
            <w:pPr>
              <w:spacing w:line="240" w:lineRule="auto"/>
              <w:jc w:val="center"/>
              <w:rPr>
                <w:rFonts w:cs="Arial"/>
                <w:sz w:val="18"/>
                <w:szCs w:val="18"/>
              </w:rPr>
            </w:pPr>
            <w:r w:rsidRPr="00A9330B">
              <w:rPr>
                <w:rFonts w:cs="Arial"/>
                <w:sz w:val="18"/>
                <w:szCs w:val="18"/>
              </w:rPr>
              <w:t>3</w:t>
            </w:r>
          </w:p>
        </w:tc>
        <w:tc>
          <w:tcPr>
            <w:tcW w:w="850" w:type="dxa"/>
            <w:shd w:val="clear" w:color="auto" w:fill="FFFF00"/>
          </w:tcPr>
          <w:p w14:paraId="44BD6437" w14:textId="77777777" w:rsidR="00401546" w:rsidRPr="00A9330B" w:rsidRDefault="00401546" w:rsidP="00401546">
            <w:pPr>
              <w:spacing w:line="240" w:lineRule="auto"/>
              <w:jc w:val="center"/>
              <w:rPr>
                <w:rFonts w:cs="Arial"/>
                <w:sz w:val="18"/>
                <w:szCs w:val="18"/>
              </w:rPr>
            </w:pPr>
          </w:p>
        </w:tc>
      </w:tr>
      <w:tr w:rsidR="00401546" w:rsidRPr="00A9330B" w14:paraId="1B317129" w14:textId="77777777" w:rsidTr="00401546">
        <w:trPr>
          <w:jc w:val="center"/>
        </w:trPr>
        <w:tc>
          <w:tcPr>
            <w:tcW w:w="1838" w:type="dxa"/>
            <w:vMerge w:val="restart"/>
          </w:tcPr>
          <w:p w14:paraId="7B56E27E" w14:textId="2B9FC69F" w:rsidR="00401546" w:rsidRPr="00A9330B" w:rsidRDefault="00401546" w:rsidP="00BD2F72">
            <w:pPr>
              <w:numPr>
                <w:ilvl w:val="0"/>
                <w:numId w:val="49"/>
              </w:numPr>
              <w:spacing w:line="240" w:lineRule="auto"/>
              <w:ind w:left="0"/>
              <w:contextualSpacing/>
              <w:jc w:val="both"/>
              <w:rPr>
                <w:rFonts w:cs="Arial"/>
                <w:b/>
                <w:sz w:val="18"/>
                <w:szCs w:val="18"/>
              </w:rPr>
            </w:pPr>
            <w:r w:rsidRPr="00A9330B">
              <w:rPr>
                <w:rFonts w:cs="Arial"/>
                <w:b/>
                <w:sz w:val="18"/>
                <w:szCs w:val="18"/>
                <w:lang w:eastAsia="de-DE"/>
              </w:rPr>
              <w:t>Terrassement pour l’aménagement de la voirie  (pose des pavés</w:t>
            </w:r>
            <w:r w:rsidR="00BD32CF" w:rsidRPr="00A9330B">
              <w:rPr>
                <w:rFonts w:cs="Arial"/>
                <w:b/>
                <w:sz w:val="18"/>
                <w:szCs w:val="18"/>
                <w:lang w:eastAsia="de-DE"/>
              </w:rPr>
              <w:t>, bitumage</w:t>
            </w:r>
            <w:r w:rsidRPr="00A9330B">
              <w:rPr>
                <w:rFonts w:cs="Arial"/>
                <w:b/>
                <w:sz w:val="18"/>
                <w:szCs w:val="18"/>
                <w:lang w:eastAsia="de-DE"/>
              </w:rPr>
              <w:t xml:space="preserve"> et aménagement jusqu’aux riverains)</w:t>
            </w:r>
          </w:p>
        </w:tc>
        <w:tc>
          <w:tcPr>
            <w:tcW w:w="2410" w:type="dxa"/>
          </w:tcPr>
          <w:p w14:paraId="4F3BED4A" w14:textId="77777777" w:rsidR="00401546" w:rsidRPr="00A9330B" w:rsidRDefault="00401546" w:rsidP="005F2A2E">
            <w:pPr>
              <w:spacing w:line="240" w:lineRule="auto"/>
              <w:jc w:val="both"/>
              <w:rPr>
                <w:rFonts w:cs="Arial"/>
                <w:sz w:val="18"/>
                <w:szCs w:val="18"/>
              </w:rPr>
            </w:pPr>
            <w:r w:rsidRPr="00A9330B">
              <w:rPr>
                <w:rFonts w:cs="Arial"/>
                <w:sz w:val="18"/>
                <w:szCs w:val="18"/>
              </w:rPr>
              <w:t xml:space="preserve">Conduite inappropriée des véhicules et engins de chantier </w:t>
            </w:r>
          </w:p>
        </w:tc>
        <w:tc>
          <w:tcPr>
            <w:tcW w:w="2693" w:type="dxa"/>
            <w:vMerge w:val="restart"/>
          </w:tcPr>
          <w:p w14:paraId="490B10EA" w14:textId="35913FFD" w:rsidR="00401546" w:rsidRPr="00A9330B" w:rsidRDefault="00401546" w:rsidP="005F2A2E">
            <w:pPr>
              <w:spacing w:line="240" w:lineRule="auto"/>
              <w:jc w:val="both"/>
              <w:rPr>
                <w:rFonts w:cs="Arial"/>
                <w:sz w:val="18"/>
                <w:szCs w:val="18"/>
              </w:rPr>
            </w:pPr>
            <w:r w:rsidRPr="00A9330B">
              <w:rPr>
                <w:rFonts w:cs="Arial"/>
                <w:sz w:val="18"/>
                <w:szCs w:val="18"/>
              </w:rPr>
              <w:t xml:space="preserve">Destruction de biens privés ou de ressources naturelles autours de la zone de travaux entrainant des conflits, </w:t>
            </w:r>
            <w:r w:rsidR="005F2A2E" w:rsidRPr="00A9330B">
              <w:rPr>
                <w:rFonts w:cs="Arial"/>
                <w:sz w:val="18"/>
                <w:szCs w:val="18"/>
              </w:rPr>
              <w:t xml:space="preserve">des </w:t>
            </w:r>
            <w:r w:rsidRPr="00A9330B">
              <w:rPr>
                <w:rFonts w:cs="Arial"/>
                <w:sz w:val="18"/>
                <w:szCs w:val="18"/>
              </w:rPr>
              <w:t xml:space="preserve">indemnisations ou une dégradation de l’environnement </w:t>
            </w:r>
          </w:p>
        </w:tc>
        <w:tc>
          <w:tcPr>
            <w:tcW w:w="851" w:type="dxa"/>
          </w:tcPr>
          <w:p w14:paraId="4894C377" w14:textId="77777777" w:rsidR="00401546" w:rsidRPr="00A9330B" w:rsidRDefault="00401546" w:rsidP="00401546">
            <w:pPr>
              <w:spacing w:line="240" w:lineRule="auto"/>
              <w:jc w:val="center"/>
              <w:rPr>
                <w:rFonts w:cs="Arial"/>
                <w:sz w:val="18"/>
                <w:szCs w:val="18"/>
              </w:rPr>
            </w:pPr>
            <w:r w:rsidRPr="00A9330B">
              <w:rPr>
                <w:rFonts w:cs="Arial"/>
                <w:sz w:val="18"/>
                <w:szCs w:val="18"/>
              </w:rPr>
              <w:t>2</w:t>
            </w:r>
          </w:p>
        </w:tc>
        <w:tc>
          <w:tcPr>
            <w:tcW w:w="567" w:type="dxa"/>
          </w:tcPr>
          <w:p w14:paraId="0E1B79A3" w14:textId="77777777" w:rsidR="00401546" w:rsidRPr="00A9330B" w:rsidRDefault="00401546" w:rsidP="00401546">
            <w:pPr>
              <w:spacing w:line="240" w:lineRule="auto"/>
              <w:jc w:val="center"/>
              <w:rPr>
                <w:rFonts w:cs="Arial"/>
                <w:sz w:val="18"/>
                <w:szCs w:val="18"/>
              </w:rPr>
            </w:pPr>
            <w:r w:rsidRPr="00A9330B">
              <w:rPr>
                <w:rFonts w:cs="Arial"/>
                <w:sz w:val="18"/>
                <w:szCs w:val="18"/>
              </w:rPr>
              <w:t>3</w:t>
            </w:r>
          </w:p>
        </w:tc>
        <w:tc>
          <w:tcPr>
            <w:tcW w:w="850" w:type="dxa"/>
            <w:shd w:val="clear" w:color="auto" w:fill="FFFF00"/>
          </w:tcPr>
          <w:p w14:paraId="4F1607AE" w14:textId="77777777" w:rsidR="00401546" w:rsidRPr="00A9330B" w:rsidRDefault="00401546" w:rsidP="00401546">
            <w:pPr>
              <w:spacing w:line="240" w:lineRule="auto"/>
              <w:jc w:val="center"/>
              <w:rPr>
                <w:rFonts w:cs="Arial"/>
                <w:sz w:val="18"/>
                <w:szCs w:val="18"/>
              </w:rPr>
            </w:pPr>
          </w:p>
        </w:tc>
      </w:tr>
      <w:tr w:rsidR="00401546" w:rsidRPr="00A9330B" w14:paraId="7AE8E48B" w14:textId="77777777" w:rsidTr="00401546">
        <w:trPr>
          <w:jc w:val="center"/>
        </w:trPr>
        <w:tc>
          <w:tcPr>
            <w:tcW w:w="1838" w:type="dxa"/>
            <w:vMerge/>
          </w:tcPr>
          <w:p w14:paraId="52CEE84B" w14:textId="77777777" w:rsidR="00401546" w:rsidRPr="00A9330B" w:rsidRDefault="00401546" w:rsidP="00401546">
            <w:pPr>
              <w:spacing w:line="240" w:lineRule="auto"/>
              <w:jc w:val="center"/>
              <w:rPr>
                <w:rFonts w:cs="Arial"/>
                <w:b/>
                <w:sz w:val="18"/>
                <w:szCs w:val="18"/>
              </w:rPr>
            </w:pPr>
          </w:p>
        </w:tc>
        <w:tc>
          <w:tcPr>
            <w:tcW w:w="2410" w:type="dxa"/>
          </w:tcPr>
          <w:p w14:paraId="66B25A23" w14:textId="77777777" w:rsidR="00401546" w:rsidRPr="00A9330B" w:rsidRDefault="00401546" w:rsidP="005F2A2E">
            <w:pPr>
              <w:spacing w:line="240" w:lineRule="auto"/>
              <w:jc w:val="both"/>
              <w:rPr>
                <w:rFonts w:cs="Arial"/>
                <w:sz w:val="18"/>
                <w:szCs w:val="18"/>
              </w:rPr>
            </w:pPr>
            <w:r w:rsidRPr="00A9330B">
              <w:rPr>
                <w:rFonts w:cs="Arial"/>
                <w:sz w:val="18"/>
                <w:szCs w:val="18"/>
              </w:rPr>
              <w:t xml:space="preserve">Déplacement ou utilisation non ou mal contrôlés de véhicules et engins de chantiers ou de leurs organes mobiles </w:t>
            </w:r>
          </w:p>
        </w:tc>
        <w:tc>
          <w:tcPr>
            <w:tcW w:w="2693" w:type="dxa"/>
            <w:vMerge/>
          </w:tcPr>
          <w:p w14:paraId="6338E933" w14:textId="77777777" w:rsidR="00401546" w:rsidRPr="00A9330B" w:rsidRDefault="00401546" w:rsidP="000F7BA7">
            <w:pPr>
              <w:spacing w:line="240" w:lineRule="auto"/>
              <w:jc w:val="both"/>
              <w:rPr>
                <w:rFonts w:cs="Arial"/>
                <w:sz w:val="18"/>
                <w:szCs w:val="18"/>
              </w:rPr>
            </w:pPr>
          </w:p>
        </w:tc>
        <w:tc>
          <w:tcPr>
            <w:tcW w:w="851" w:type="dxa"/>
          </w:tcPr>
          <w:p w14:paraId="1957265E" w14:textId="77777777" w:rsidR="00401546" w:rsidRPr="00A9330B" w:rsidRDefault="00401546" w:rsidP="00401546">
            <w:pPr>
              <w:spacing w:line="240" w:lineRule="auto"/>
              <w:jc w:val="center"/>
              <w:rPr>
                <w:rFonts w:cs="Arial"/>
                <w:sz w:val="18"/>
                <w:szCs w:val="18"/>
              </w:rPr>
            </w:pPr>
            <w:r w:rsidRPr="00A9330B">
              <w:rPr>
                <w:rFonts w:cs="Arial"/>
                <w:sz w:val="18"/>
                <w:szCs w:val="18"/>
              </w:rPr>
              <w:t>2</w:t>
            </w:r>
          </w:p>
        </w:tc>
        <w:tc>
          <w:tcPr>
            <w:tcW w:w="567" w:type="dxa"/>
          </w:tcPr>
          <w:p w14:paraId="3F6799A6" w14:textId="77777777" w:rsidR="00401546" w:rsidRPr="00A9330B" w:rsidRDefault="00401546" w:rsidP="00401546">
            <w:pPr>
              <w:spacing w:line="240" w:lineRule="auto"/>
              <w:jc w:val="center"/>
              <w:rPr>
                <w:rFonts w:cs="Arial"/>
                <w:sz w:val="18"/>
                <w:szCs w:val="18"/>
              </w:rPr>
            </w:pPr>
            <w:r w:rsidRPr="00A9330B">
              <w:rPr>
                <w:rFonts w:cs="Arial"/>
                <w:sz w:val="18"/>
                <w:szCs w:val="18"/>
              </w:rPr>
              <w:t>3</w:t>
            </w:r>
          </w:p>
        </w:tc>
        <w:tc>
          <w:tcPr>
            <w:tcW w:w="850" w:type="dxa"/>
            <w:shd w:val="clear" w:color="auto" w:fill="FFFF00"/>
          </w:tcPr>
          <w:p w14:paraId="047E434F" w14:textId="77777777" w:rsidR="00401546" w:rsidRPr="00A9330B" w:rsidRDefault="00401546" w:rsidP="00401546">
            <w:pPr>
              <w:spacing w:line="240" w:lineRule="auto"/>
              <w:jc w:val="center"/>
              <w:rPr>
                <w:rFonts w:cs="Arial"/>
                <w:sz w:val="18"/>
                <w:szCs w:val="18"/>
              </w:rPr>
            </w:pPr>
          </w:p>
        </w:tc>
      </w:tr>
      <w:tr w:rsidR="00401546" w:rsidRPr="00A9330B" w14:paraId="00759B70" w14:textId="77777777" w:rsidTr="00401546">
        <w:trPr>
          <w:jc w:val="center"/>
        </w:trPr>
        <w:tc>
          <w:tcPr>
            <w:tcW w:w="1838" w:type="dxa"/>
            <w:vMerge/>
          </w:tcPr>
          <w:p w14:paraId="5394A733" w14:textId="77777777" w:rsidR="00401546" w:rsidRPr="00A9330B" w:rsidRDefault="00401546" w:rsidP="00401546">
            <w:pPr>
              <w:spacing w:line="240" w:lineRule="auto"/>
              <w:jc w:val="center"/>
              <w:rPr>
                <w:rFonts w:cs="Arial"/>
                <w:b/>
                <w:sz w:val="18"/>
                <w:szCs w:val="18"/>
              </w:rPr>
            </w:pPr>
          </w:p>
        </w:tc>
        <w:tc>
          <w:tcPr>
            <w:tcW w:w="2410" w:type="dxa"/>
          </w:tcPr>
          <w:p w14:paraId="08DF2F5D" w14:textId="77777777" w:rsidR="00401546" w:rsidRPr="00A9330B" w:rsidRDefault="00401546" w:rsidP="005F2A2E">
            <w:pPr>
              <w:spacing w:line="240" w:lineRule="auto"/>
              <w:jc w:val="both"/>
              <w:rPr>
                <w:rFonts w:cs="Arial"/>
                <w:sz w:val="18"/>
                <w:szCs w:val="18"/>
              </w:rPr>
            </w:pPr>
            <w:r w:rsidRPr="00A9330B">
              <w:rPr>
                <w:rFonts w:cs="Arial"/>
                <w:sz w:val="18"/>
                <w:szCs w:val="18"/>
              </w:rPr>
              <w:t xml:space="preserve">Stockage, manutention, manipulation ou transport inadapté de matériels et matériaux </w:t>
            </w:r>
          </w:p>
        </w:tc>
        <w:tc>
          <w:tcPr>
            <w:tcW w:w="2693" w:type="dxa"/>
            <w:vMerge/>
          </w:tcPr>
          <w:p w14:paraId="7528C279" w14:textId="77777777" w:rsidR="00401546" w:rsidRPr="00A9330B" w:rsidRDefault="00401546" w:rsidP="000F7BA7">
            <w:pPr>
              <w:spacing w:line="240" w:lineRule="auto"/>
              <w:jc w:val="both"/>
              <w:rPr>
                <w:rFonts w:cs="Arial"/>
                <w:sz w:val="18"/>
                <w:szCs w:val="18"/>
              </w:rPr>
            </w:pPr>
          </w:p>
        </w:tc>
        <w:tc>
          <w:tcPr>
            <w:tcW w:w="851" w:type="dxa"/>
          </w:tcPr>
          <w:p w14:paraId="37B984EF" w14:textId="77777777" w:rsidR="00401546" w:rsidRPr="00A9330B" w:rsidRDefault="00401546" w:rsidP="00401546">
            <w:pPr>
              <w:spacing w:line="240" w:lineRule="auto"/>
              <w:jc w:val="center"/>
              <w:rPr>
                <w:rFonts w:cs="Arial"/>
                <w:sz w:val="18"/>
                <w:szCs w:val="18"/>
              </w:rPr>
            </w:pPr>
            <w:r w:rsidRPr="00A9330B">
              <w:rPr>
                <w:rFonts w:cs="Arial"/>
                <w:sz w:val="18"/>
                <w:szCs w:val="18"/>
              </w:rPr>
              <w:t>2</w:t>
            </w:r>
          </w:p>
        </w:tc>
        <w:tc>
          <w:tcPr>
            <w:tcW w:w="567" w:type="dxa"/>
          </w:tcPr>
          <w:p w14:paraId="632D8ABB" w14:textId="77777777" w:rsidR="00401546" w:rsidRPr="00A9330B" w:rsidRDefault="00401546" w:rsidP="00401546">
            <w:pPr>
              <w:spacing w:line="240" w:lineRule="auto"/>
              <w:jc w:val="center"/>
              <w:rPr>
                <w:rFonts w:cs="Arial"/>
                <w:sz w:val="18"/>
                <w:szCs w:val="18"/>
              </w:rPr>
            </w:pPr>
            <w:r w:rsidRPr="00A9330B">
              <w:rPr>
                <w:rFonts w:cs="Arial"/>
                <w:sz w:val="18"/>
                <w:szCs w:val="18"/>
              </w:rPr>
              <w:t>2</w:t>
            </w:r>
          </w:p>
        </w:tc>
        <w:tc>
          <w:tcPr>
            <w:tcW w:w="850" w:type="dxa"/>
            <w:shd w:val="clear" w:color="auto" w:fill="FFFF00"/>
          </w:tcPr>
          <w:p w14:paraId="653013D4" w14:textId="77777777" w:rsidR="00401546" w:rsidRPr="00A9330B" w:rsidRDefault="00401546" w:rsidP="00401546">
            <w:pPr>
              <w:spacing w:line="240" w:lineRule="auto"/>
              <w:jc w:val="center"/>
              <w:rPr>
                <w:rFonts w:cs="Arial"/>
                <w:sz w:val="18"/>
                <w:szCs w:val="18"/>
              </w:rPr>
            </w:pPr>
          </w:p>
        </w:tc>
      </w:tr>
      <w:tr w:rsidR="00401546" w:rsidRPr="00A9330B" w14:paraId="1028DE8E" w14:textId="77777777" w:rsidTr="00401546">
        <w:trPr>
          <w:jc w:val="center"/>
        </w:trPr>
        <w:tc>
          <w:tcPr>
            <w:tcW w:w="1838" w:type="dxa"/>
            <w:vMerge/>
          </w:tcPr>
          <w:p w14:paraId="3AD8CEFC" w14:textId="77777777" w:rsidR="00401546" w:rsidRPr="00A9330B" w:rsidRDefault="00401546" w:rsidP="00401546">
            <w:pPr>
              <w:spacing w:line="240" w:lineRule="auto"/>
              <w:jc w:val="center"/>
              <w:rPr>
                <w:rFonts w:cs="Arial"/>
                <w:b/>
                <w:sz w:val="18"/>
                <w:szCs w:val="18"/>
              </w:rPr>
            </w:pPr>
          </w:p>
        </w:tc>
        <w:tc>
          <w:tcPr>
            <w:tcW w:w="2410" w:type="dxa"/>
          </w:tcPr>
          <w:p w14:paraId="2A897556" w14:textId="77777777" w:rsidR="00401546" w:rsidRPr="00A9330B" w:rsidRDefault="00401546" w:rsidP="000F7BA7">
            <w:pPr>
              <w:spacing w:line="240" w:lineRule="auto"/>
              <w:jc w:val="both"/>
              <w:rPr>
                <w:rFonts w:cs="Arial"/>
                <w:sz w:val="18"/>
                <w:szCs w:val="18"/>
              </w:rPr>
            </w:pPr>
            <w:r w:rsidRPr="00A9330B">
              <w:rPr>
                <w:rFonts w:cs="Arial"/>
                <w:sz w:val="18"/>
                <w:szCs w:val="18"/>
              </w:rPr>
              <w:t xml:space="preserve">Instabilité des fouilles </w:t>
            </w:r>
          </w:p>
        </w:tc>
        <w:tc>
          <w:tcPr>
            <w:tcW w:w="2693" w:type="dxa"/>
          </w:tcPr>
          <w:p w14:paraId="766736BC" w14:textId="01E7EBC6" w:rsidR="00401546" w:rsidRPr="00A9330B" w:rsidRDefault="00401546" w:rsidP="005F2A2E">
            <w:pPr>
              <w:spacing w:line="240" w:lineRule="auto"/>
              <w:jc w:val="both"/>
              <w:rPr>
                <w:rFonts w:cs="Arial"/>
                <w:sz w:val="18"/>
                <w:szCs w:val="18"/>
              </w:rPr>
            </w:pPr>
            <w:r w:rsidRPr="00A9330B">
              <w:rPr>
                <w:rFonts w:cs="Arial"/>
                <w:sz w:val="18"/>
                <w:szCs w:val="18"/>
              </w:rPr>
              <w:t>Destruction de biens privés ou de ressources naturelles autour de la zone de travaux (effondrement de clôture, de mur, rampe, chute d’arbres) entrainant des conflits,</w:t>
            </w:r>
            <w:r w:rsidR="005F2A2E" w:rsidRPr="00A9330B">
              <w:rPr>
                <w:rFonts w:cs="Arial"/>
                <w:sz w:val="18"/>
                <w:szCs w:val="18"/>
              </w:rPr>
              <w:t xml:space="preserve"> une </w:t>
            </w:r>
            <w:r w:rsidRPr="00A9330B">
              <w:rPr>
                <w:rFonts w:cs="Arial"/>
                <w:sz w:val="18"/>
                <w:szCs w:val="18"/>
              </w:rPr>
              <w:t xml:space="preserve"> indemnisation ou une dégradation de l’environnement</w:t>
            </w:r>
          </w:p>
        </w:tc>
        <w:tc>
          <w:tcPr>
            <w:tcW w:w="851" w:type="dxa"/>
          </w:tcPr>
          <w:p w14:paraId="70ABC9F9" w14:textId="77777777" w:rsidR="00401546" w:rsidRPr="00A9330B" w:rsidRDefault="00401546" w:rsidP="00401546">
            <w:pPr>
              <w:spacing w:line="240" w:lineRule="auto"/>
              <w:jc w:val="center"/>
              <w:rPr>
                <w:rFonts w:cs="Arial"/>
                <w:sz w:val="18"/>
                <w:szCs w:val="18"/>
              </w:rPr>
            </w:pPr>
            <w:r w:rsidRPr="00A9330B">
              <w:rPr>
                <w:rFonts w:cs="Arial"/>
                <w:sz w:val="18"/>
                <w:szCs w:val="18"/>
              </w:rPr>
              <w:t>3</w:t>
            </w:r>
          </w:p>
        </w:tc>
        <w:tc>
          <w:tcPr>
            <w:tcW w:w="567" w:type="dxa"/>
          </w:tcPr>
          <w:p w14:paraId="09704315" w14:textId="77777777" w:rsidR="00401546" w:rsidRPr="00A9330B" w:rsidRDefault="00401546" w:rsidP="00401546">
            <w:pPr>
              <w:spacing w:line="240" w:lineRule="auto"/>
              <w:jc w:val="center"/>
              <w:rPr>
                <w:rFonts w:cs="Arial"/>
                <w:sz w:val="18"/>
                <w:szCs w:val="18"/>
              </w:rPr>
            </w:pPr>
            <w:r w:rsidRPr="00A9330B">
              <w:rPr>
                <w:rFonts w:cs="Arial"/>
                <w:sz w:val="18"/>
                <w:szCs w:val="18"/>
              </w:rPr>
              <w:t>3</w:t>
            </w:r>
          </w:p>
        </w:tc>
        <w:tc>
          <w:tcPr>
            <w:tcW w:w="850" w:type="dxa"/>
            <w:shd w:val="clear" w:color="auto" w:fill="FF0000"/>
          </w:tcPr>
          <w:p w14:paraId="32CA2637" w14:textId="77777777" w:rsidR="00401546" w:rsidRPr="00A9330B" w:rsidRDefault="00401546" w:rsidP="00401546">
            <w:pPr>
              <w:spacing w:line="240" w:lineRule="auto"/>
              <w:jc w:val="center"/>
              <w:rPr>
                <w:rFonts w:cs="Arial"/>
                <w:sz w:val="18"/>
                <w:szCs w:val="18"/>
              </w:rPr>
            </w:pPr>
          </w:p>
        </w:tc>
      </w:tr>
      <w:tr w:rsidR="00401546" w:rsidRPr="00A9330B" w14:paraId="057ECE59" w14:textId="77777777" w:rsidTr="00401546">
        <w:trPr>
          <w:jc w:val="center"/>
        </w:trPr>
        <w:tc>
          <w:tcPr>
            <w:tcW w:w="1838" w:type="dxa"/>
            <w:vMerge/>
          </w:tcPr>
          <w:p w14:paraId="0AEEA782" w14:textId="77777777" w:rsidR="00401546" w:rsidRPr="00A9330B" w:rsidRDefault="00401546" w:rsidP="00401546">
            <w:pPr>
              <w:spacing w:line="240" w:lineRule="auto"/>
              <w:jc w:val="center"/>
              <w:rPr>
                <w:rFonts w:cs="Arial"/>
                <w:b/>
                <w:sz w:val="18"/>
                <w:szCs w:val="18"/>
              </w:rPr>
            </w:pPr>
          </w:p>
        </w:tc>
        <w:tc>
          <w:tcPr>
            <w:tcW w:w="2410" w:type="dxa"/>
          </w:tcPr>
          <w:p w14:paraId="009CE95E" w14:textId="77777777" w:rsidR="00401546" w:rsidRPr="00A9330B" w:rsidRDefault="00401546" w:rsidP="00BD32CF">
            <w:pPr>
              <w:spacing w:line="240" w:lineRule="auto"/>
              <w:jc w:val="both"/>
              <w:rPr>
                <w:rFonts w:cs="Arial"/>
                <w:sz w:val="18"/>
                <w:szCs w:val="18"/>
              </w:rPr>
            </w:pPr>
            <w:r w:rsidRPr="00A9330B">
              <w:rPr>
                <w:rFonts w:cs="Arial"/>
                <w:sz w:val="18"/>
                <w:szCs w:val="18"/>
              </w:rPr>
              <w:t xml:space="preserve">Emploi inadapté d’appareil électrique, des huiles de décoffrage, des adjuvants,… </w:t>
            </w:r>
          </w:p>
        </w:tc>
        <w:tc>
          <w:tcPr>
            <w:tcW w:w="2693" w:type="dxa"/>
          </w:tcPr>
          <w:p w14:paraId="1EB16509" w14:textId="57686D55" w:rsidR="00401546" w:rsidRPr="00A9330B" w:rsidRDefault="00401546" w:rsidP="00BD32CF">
            <w:pPr>
              <w:spacing w:line="240" w:lineRule="auto"/>
              <w:jc w:val="both"/>
              <w:rPr>
                <w:rFonts w:cs="Arial"/>
                <w:sz w:val="18"/>
                <w:szCs w:val="18"/>
              </w:rPr>
            </w:pPr>
            <w:r w:rsidRPr="00A9330B">
              <w:rPr>
                <w:rFonts w:cs="Arial"/>
                <w:sz w:val="18"/>
                <w:szCs w:val="18"/>
              </w:rPr>
              <w:t>Destruction par incendie de biens privés ou de ressources naturelles autour de la zone de travaux entrainant des conflits,</w:t>
            </w:r>
            <w:r w:rsidR="005F2A2E" w:rsidRPr="00A9330B">
              <w:rPr>
                <w:rFonts w:cs="Arial"/>
                <w:sz w:val="18"/>
                <w:szCs w:val="18"/>
              </w:rPr>
              <w:t xml:space="preserve"> une</w:t>
            </w:r>
            <w:r w:rsidRPr="00A9330B">
              <w:rPr>
                <w:rFonts w:cs="Arial"/>
                <w:sz w:val="18"/>
                <w:szCs w:val="18"/>
              </w:rPr>
              <w:t xml:space="preserve"> indemnisations ou une dégradation de l’environnement </w:t>
            </w:r>
          </w:p>
        </w:tc>
        <w:tc>
          <w:tcPr>
            <w:tcW w:w="851" w:type="dxa"/>
          </w:tcPr>
          <w:p w14:paraId="167DD25B" w14:textId="77777777" w:rsidR="00401546" w:rsidRPr="00A9330B" w:rsidRDefault="00401546" w:rsidP="00401546">
            <w:pPr>
              <w:spacing w:line="240" w:lineRule="auto"/>
              <w:jc w:val="center"/>
              <w:rPr>
                <w:rFonts w:cs="Arial"/>
                <w:sz w:val="18"/>
                <w:szCs w:val="18"/>
              </w:rPr>
            </w:pPr>
            <w:r w:rsidRPr="00A9330B">
              <w:rPr>
                <w:rFonts w:cs="Arial"/>
                <w:sz w:val="18"/>
                <w:szCs w:val="18"/>
              </w:rPr>
              <w:t>2</w:t>
            </w:r>
          </w:p>
        </w:tc>
        <w:tc>
          <w:tcPr>
            <w:tcW w:w="567" w:type="dxa"/>
          </w:tcPr>
          <w:p w14:paraId="73FBA1FE" w14:textId="77777777" w:rsidR="00401546" w:rsidRPr="00A9330B" w:rsidRDefault="00401546" w:rsidP="00401546">
            <w:pPr>
              <w:spacing w:line="240" w:lineRule="auto"/>
              <w:jc w:val="center"/>
              <w:rPr>
                <w:rFonts w:cs="Arial"/>
                <w:sz w:val="18"/>
                <w:szCs w:val="18"/>
              </w:rPr>
            </w:pPr>
            <w:r w:rsidRPr="00A9330B">
              <w:rPr>
                <w:rFonts w:cs="Arial"/>
                <w:sz w:val="18"/>
                <w:szCs w:val="18"/>
              </w:rPr>
              <w:t>2</w:t>
            </w:r>
          </w:p>
        </w:tc>
        <w:tc>
          <w:tcPr>
            <w:tcW w:w="850" w:type="dxa"/>
            <w:shd w:val="clear" w:color="auto" w:fill="FFFF00"/>
          </w:tcPr>
          <w:p w14:paraId="178286EC" w14:textId="77777777" w:rsidR="00401546" w:rsidRPr="00A9330B" w:rsidRDefault="00401546" w:rsidP="00401546">
            <w:pPr>
              <w:spacing w:line="240" w:lineRule="auto"/>
              <w:jc w:val="center"/>
              <w:rPr>
                <w:rFonts w:cs="Arial"/>
                <w:sz w:val="18"/>
                <w:szCs w:val="18"/>
              </w:rPr>
            </w:pPr>
          </w:p>
        </w:tc>
      </w:tr>
      <w:tr w:rsidR="00401546" w:rsidRPr="00A9330B" w14:paraId="6FA320DF" w14:textId="77777777" w:rsidTr="00401546">
        <w:trPr>
          <w:jc w:val="center"/>
        </w:trPr>
        <w:tc>
          <w:tcPr>
            <w:tcW w:w="1838" w:type="dxa"/>
            <w:vMerge/>
          </w:tcPr>
          <w:p w14:paraId="6CBEF22A" w14:textId="77777777" w:rsidR="00401546" w:rsidRPr="00A9330B" w:rsidRDefault="00401546" w:rsidP="00BD2F72">
            <w:pPr>
              <w:numPr>
                <w:ilvl w:val="0"/>
                <w:numId w:val="49"/>
              </w:numPr>
              <w:spacing w:line="240" w:lineRule="auto"/>
              <w:ind w:left="0"/>
              <w:contextualSpacing/>
              <w:jc w:val="center"/>
              <w:rPr>
                <w:rFonts w:cs="Arial"/>
                <w:b/>
                <w:sz w:val="18"/>
                <w:szCs w:val="18"/>
                <w:lang w:eastAsia="de-DE"/>
              </w:rPr>
            </w:pPr>
          </w:p>
        </w:tc>
        <w:tc>
          <w:tcPr>
            <w:tcW w:w="2410" w:type="dxa"/>
          </w:tcPr>
          <w:p w14:paraId="745D1A2F" w14:textId="77777777" w:rsidR="00401546" w:rsidRPr="00A9330B" w:rsidRDefault="00401546" w:rsidP="00BD32CF">
            <w:pPr>
              <w:spacing w:line="240" w:lineRule="auto"/>
              <w:jc w:val="both"/>
              <w:rPr>
                <w:rFonts w:cs="Arial"/>
                <w:sz w:val="18"/>
                <w:szCs w:val="18"/>
              </w:rPr>
            </w:pPr>
            <w:r w:rsidRPr="00A9330B">
              <w:rPr>
                <w:rFonts w:cs="Arial"/>
                <w:sz w:val="18"/>
                <w:szCs w:val="18"/>
              </w:rPr>
              <w:t xml:space="preserve">Canalisations ou câbles électriques enterrés identifiés ou non </w:t>
            </w:r>
          </w:p>
        </w:tc>
        <w:tc>
          <w:tcPr>
            <w:tcW w:w="2693" w:type="dxa"/>
            <w:vMerge w:val="restart"/>
          </w:tcPr>
          <w:p w14:paraId="32C270B1" w14:textId="65F5C582" w:rsidR="00401546" w:rsidRPr="00A9330B" w:rsidRDefault="00401546" w:rsidP="00BD32CF">
            <w:pPr>
              <w:spacing w:line="240" w:lineRule="auto"/>
              <w:jc w:val="both"/>
              <w:rPr>
                <w:rFonts w:cs="Arial"/>
                <w:sz w:val="18"/>
                <w:szCs w:val="18"/>
              </w:rPr>
            </w:pPr>
            <w:r w:rsidRPr="00A9330B">
              <w:rPr>
                <w:rFonts w:cs="Arial"/>
                <w:sz w:val="18"/>
                <w:szCs w:val="18"/>
              </w:rPr>
              <w:t>Destruction par inondation ou incendie de biens privés ou de ressources naturelles autour de la zone de travaux entrainant des conflits,</w:t>
            </w:r>
            <w:r w:rsidR="002B2F2F" w:rsidRPr="00A9330B">
              <w:rPr>
                <w:rFonts w:cs="Arial"/>
                <w:sz w:val="18"/>
                <w:szCs w:val="18"/>
              </w:rPr>
              <w:t xml:space="preserve"> une </w:t>
            </w:r>
            <w:r w:rsidRPr="00A9330B">
              <w:rPr>
                <w:rFonts w:cs="Arial"/>
                <w:sz w:val="18"/>
                <w:szCs w:val="18"/>
              </w:rPr>
              <w:t xml:space="preserve"> indemnisations ou </w:t>
            </w:r>
            <w:r w:rsidR="002B2F2F" w:rsidRPr="00A9330B">
              <w:rPr>
                <w:rFonts w:cs="Arial"/>
                <w:sz w:val="18"/>
                <w:szCs w:val="18"/>
              </w:rPr>
              <w:t xml:space="preserve">une </w:t>
            </w:r>
            <w:r w:rsidRPr="00A9330B">
              <w:rPr>
                <w:rFonts w:cs="Arial"/>
                <w:sz w:val="18"/>
                <w:szCs w:val="18"/>
              </w:rPr>
              <w:t xml:space="preserve">dégradation de l’environnement </w:t>
            </w:r>
          </w:p>
        </w:tc>
        <w:tc>
          <w:tcPr>
            <w:tcW w:w="851" w:type="dxa"/>
          </w:tcPr>
          <w:p w14:paraId="6869F444" w14:textId="77777777" w:rsidR="00401546" w:rsidRPr="00A9330B" w:rsidRDefault="00401546" w:rsidP="00401546">
            <w:pPr>
              <w:spacing w:line="240" w:lineRule="auto"/>
              <w:jc w:val="center"/>
              <w:rPr>
                <w:rFonts w:cs="Arial"/>
                <w:sz w:val="18"/>
                <w:szCs w:val="18"/>
              </w:rPr>
            </w:pPr>
            <w:r w:rsidRPr="00A9330B">
              <w:rPr>
                <w:rFonts w:cs="Arial"/>
                <w:sz w:val="18"/>
                <w:szCs w:val="18"/>
              </w:rPr>
              <w:t>2</w:t>
            </w:r>
          </w:p>
        </w:tc>
        <w:tc>
          <w:tcPr>
            <w:tcW w:w="567" w:type="dxa"/>
          </w:tcPr>
          <w:p w14:paraId="43CCB6DC" w14:textId="77777777" w:rsidR="00401546" w:rsidRPr="00A9330B" w:rsidRDefault="00401546" w:rsidP="00401546">
            <w:pPr>
              <w:spacing w:line="240" w:lineRule="auto"/>
              <w:jc w:val="center"/>
              <w:rPr>
                <w:rFonts w:cs="Arial"/>
                <w:sz w:val="18"/>
                <w:szCs w:val="18"/>
              </w:rPr>
            </w:pPr>
            <w:r w:rsidRPr="00A9330B">
              <w:rPr>
                <w:rFonts w:cs="Arial"/>
                <w:sz w:val="18"/>
                <w:szCs w:val="18"/>
              </w:rPr>
              <w:t>2</w:t>
            </w:r>
          </w:p>
        </w:tc>
        <w:tc>
          <w:tcPr>
            <w:tcW w:w="850" w:type="dxa"/>
            <w:shd w:val="clear" w:color="auto" w:fill="FFFF00"/>
          </w:tcPr>
          <w:p w14:paraId="1F8FEDD1" w14:textId="77777777" w:rsidR="00401546" w:rsidRPr="00A9330B" w:rsidRDefault="00401546" w:rsidP="00401546">
            <w:pPr>
              <w:spacing w:line="240" w:lineRule="auto"/>
              <w:jc w:val="center"/>
              <w:rPr>
                <w:rFonts w:cs="Arial"/>
                <w:sz w:val="18"/>
                <w:szCs w:val="18"/>
              </w:rPr>
            </w:pPr>
          </w:p>
        </w:tc>
      </w:tr>
      <w:tr w:rsidR="00401546" w:rsidRPr="00A9330B" w14:paraId="009F023A" w14:textId="77777777" w:rsidTr="00401546">
        <w:trPr>
          <w:jc w:val="center"/>
        </w:trPr>
        <w:tc>
          <w:tcPr>
            <w:tcW w:w="1838" w:type="dxa"/>
            <w:vMerge/>
          </w:tcPr>
          <w:p w14:paraId="603102D2" w14:textId="77777777" w:rsidR="00401546" w:rsidRPr="00A9330B" w:rsidRDefault="00401546" w:rsidP="00BD2F72">
            <w:pPr>
              <w:numPr>
                <w:ilvl w:val="0"/>
                <w:numId w:val="49"/>
              </w:numPr>
              <w:spacing w:line="240" w:lineRule="auto"/>
              <w:ind w:left="0"/>
              <w:contextualSpacing/>
              <w:jc w:val="center"/>
              <w:rPr>
                <w:rFonts w:cs="Arial"/>
                <w:b/>
                <w:sz w:val="18"/>
                <w:szCs w:val="18"/>
                <w:lang w:eastAsia="de-DE"/>
              </w:rPr>
            </w:pPr>
          </w:p>
        </w:tc>
        <w:tc>
          <w:tcPr>
            <w:tcW w:w="2410" w:type="dxa"/>
          </w:tcPr>
          <w:p w14:paraId="53461D36" w14:textId="237AE2F9" w:rsidR="00401546" w:rsidRPr="00A9330B" w:rsidRDefault="00401546" w:rsidP="00BD32CF">
            <w:pPr>
              <w:spacing w:line="240" w:lineRule="auto"/>
              <w:jc w:val="both"/>
              <w:rPr>
                <w:rFonts w:cs="Arial"/>
                <w:sz w:val="18"/>
                <w:szCs w:val="18"/>
              </w:rPr>
            </w:pPr>
            <w:r w:rsidRPr="00A9330B">
              <w:rPr>
                <w:rFonts w:cs="Arial"/>
                <w:sz w:val="18"/>
                <w:szCs w:val="18"/>
              </w:rPr>
              <w:t>Installation d’engins sous des lignes électriques aérienne</w:t>
            </w:r>
            <w:r w:rsidR="002B2F2F" w:rsidRPr="00A9330B">
              <w:rPr>
                <w:rFonts w:cs="Arial"/>
                <w:sz w:val="18"/>
                <w:szCs w:val="18"/>
              </w:rPr>
              <w:t>s</w:t>
            </w:r>
            <w:r w:rsidRPr="00A9330B">
              <w:rPr>
                <w:rFonts w:cs="Arial"/>
                <w:sz w:val="18"/>
                <w:szCs w:val="18"/>
              </w:rPr>
              <w:t xml:space="preserve"> sous tension </w:t>
            </w:r>
          </w:p>
        </w:tc>
        <w:tc>
          <w:tcPr>
            <w:tcW w:w="2693" w:type="dxa"/>
            <w:vMerge/>
          </w:tcPr>
          <w:p w14:paraId="43DB822D" w14:textId="77777777" w:rsidR="00401546" w:rsidRPr="00A9330B" w:rsidRDefault="00401546" w:rsidP="00401546">
            <w:pPr>
              <w:spacing w:line="240" w:lineRule="auto"/>
              <w:rPr>
                <w:rFonts w:cs="Arial"/>
                <w:sz w:val="18"/>
                <w:szCs w:val="18"/>
              </w:rPr>
            </w:pPr>
          </w:p>
        </w:tc>
        <w:tc>
          <w:tcPr>
            <w:tcW w:w="851" w:type="dxa"/>
          </w:tcPr>
          <w:p w14:paraId="571DBEDB" w14:textId="77777777" w:rsidR="00401546" w:rsidRPr="00A9330B" w:rsidRDefault="00401546" w:rsidP="00401546">
            <w:pPr>
              <w:spacing w:line="240" w:lineRule="auto"/>
              <w:jc w:val="center"/>
              <w:rPr>
                <w:rFonts w:cs="Arial"/>
                <w:sz w:val="18"/>
                <w:szCs w:val="18"/>
              </w:rPr>
            </w:pPr>
            <w:r w:rsidRPr="00A9330B">
              <w:rPr>
                <w:rFonts w:cs="Arial"/>
                <w:sz w:val="18"/>
                <w:szCs w:val="18"/>
              </w:rPr>
              <w:t>1</w:t>
            </w:r>
          </w:p>
        </w:tc>
        <w:tc>
          <w:tcPr>
            <w:tcW w:w="567" w:type="dxa"/>
          </w:tcPr>
          <w:p w14:paraId="2B2FAE7A" w14:textId="77777777" w:rsidR="00401546" w:rsidRPr="00A9330B" w:rsidRDefault="00401546" w:rsidP="00401546">
            <w:pPr>
              <w:spacing w:line="240" w:lineRule="auto"/>
              <w:jc w:val="center"/>
              <w:rPr>
                <w:rFonts w:cs="Arial"/>
                <w:sz w:val="18"/>
                <w:szCs w:val="18"/>
              </w:rPr>
            </w:pPr>
            <w:r w:rsidRPr="00A9330B">
              <w:rPr>
                <w:rFonts w:cs="Arial"/>
                <w:sz w:val="18"/>
                <w:szCs w:val="18"/>
              </w:rPr>
              <w:t>4</w:t>
            </w:r>
          </w:p>
        </w:tc>
        <w:tc>
          <w:tcPr>
            <w:tcW w:w="850" w:type="dxa"/>
            <w:shd w:val="clear" w:color="auto" w:fill="FFFF00"/>
          </w:tcPr>
          <w:p w14:paraId="5F454CC5" w14:textId="77777777" w:rsidR="00401546" w:rsidRPr="00A9330B" w:rsidRDefault="00401546" w:rsidP="00401546">
            <w:pPr>
              <w:spacing w:line="240" w:lineRule="auto"/>
              <w:jc w:val="center"/>
              <w:rPr>
                <w:rFonts w:cs="Arial"/>
                <w:sz w:val="18"/>
                <w:szCs w:val="18"/>
              </w:rPr>
            </w:pPr>
          </w:p>
        </w:tc>
      </w:tr>
      <w:tr w:rsidR="00401546" w:rsidRPr="00A9330B" w14:paraId="01303BF9" w14:textId="77777777" w:rsidTr="00401546">
        <w:trPr>
          <w:jc w:val="center"/>
        </w:trPr>
        <w:tc>
          <w:tcPr>
            <w:tcW w:w="1838" w:type="dxa"/>
            <w:vMerge w:val="restart"/>
          </w:tcPr>
          <w:p w14:paraId="6F252AAF" w14:textId="77777777" w:rsidR="00401546" w:rsidRPr="00A9330B" w:rsidRDefault="00401546" w:rsidP="00B77A5F">
            <w:pPr>
              <w:spacing w:line="276" w:lineRule="auto"/>
              <w:contextualSpacing/>
              <w:rPr>
                <w:rFonts w:cs="Arial"/>
                <w:b/>
                <w:sz w:val="18"/>
                <w:szCs w:val="18"/>
                <w:lang w:eastAsia="de-DE"/>
              </w:rPr>
            </w:pPr>
            <w:r w:rsidRPr="00A9330B">
              <w:rPr>
                <w:rFonts w:cs="Arial"/>
                <w:b/>
                <w:sz w:val="18"/>
                <w:szCs w:val="18"/>
                <w:lang w:eastAsia="de-DE"/>
              </w:rPr>
              <w:t xml:space="preserve">Mise en services des ouvrages et entretien des ouvrages pendant la période de garantie </w:t>
            </w:r>
          </w:p>
        </w:tc>
        <w:tc>
          <w:tcPr>
            <w:tcW w:w="2410" w:type="dxa"/>
          </w:tcPr>
          <w:p w14:paraId="7FE35D94" w14:textId="77777777" w:rsidR="00401546" w:rsidRPr="00A9330B" w:rsidRDefault="00401546" w:rsidP="00401546">
            <w:pPr>
              <w:spacing w:line="240" w:lineRule="auto"/>
              <w:rPr>
                <w:rFonts w:cs="Arial"/>
                <w:sz w:val="18"/>
                <w:szCs w:val="18"/>
              </w:rPr>
            </w:pPr>
            <w:r w:rsidRPr="00A9330B">
              <w:rPr>
                <w:rFonts w:cs="Arial"/>
                <w:sz w:val="18"/>
                <w:szCs w:val="18"/>
              </w:rPr>
              <w:t>Conduite inappropriée des véhicules et engins de chantier</w:t>
            </w:r>
          </w:p>
        </w:tc>
        <w:tc>
          <w:tcPr>
            <w:tcW w:w="2693" w:type="dxa"/>
            <w:vMerge w:val="restart"/>
          </w:tcPr>
          <w:p w14:paraId="5089F29F" w14:textId="228F5101" w:rsidR="00401546" w:rsidRPr="00A9330B" w:rsidRDefault="00401546" w:rsidP="00BD32CF">
            <w:pPr>
              <w:spacing w:line="240" w:lineRule="auto"/>
              <w:jc w:val="both"/>
              <w:rPr>
                <w:rFonts w:cs="Arial"/>
                <w:sz w:val="18"/>
                <w:szCs w:val="18"/>
              </w:rPr>
            </w:pPr>
            <w:r w:rsidRPr="00A9330B">
              <w:rPr>
                <w:rFonts w:cs="Arial"/>
                <w:sz w:val="18"/>
                <w:szCs w:val="18"/>
              </w:rPr>
              <w:t xml:space="preserve">Destruction par incendie de biens privés ou de ressources naturelles autour de la zone de travaux entrainant des conflits, </w:t>
            </w:r>
            <w:r w:rsidR="002B2F2F" w:rsidRPr="00A9330B">
              <w:rPr>
                <w:rFonts w:cs="Arial"/>
                <w:sz w:val="18"/>
                <w:szCs w:val="18"/>
              </w:rPr>
              <w:t xml:space="preserve">des </w:t>
            </w:r>
            <w:r w:rsidRPr="00A9330B">
              <w:rPr>
                <w:rFonts w:cs="Arial"/>
                <w:sz w:val="18"/>
                <w:szCs w:val="18"/>
              </w:rPr>
              <w:t xml:space="preserve">indemnisations ou une dégradation de l’environnement </w:t>
            </w:r>
          </w:p>
        </w:tc>
        <w:tc>
          <w:tcPr>
            <w:tcW w:w="851" w:type="dxa"/>
          </w:tcPr>
          <w:p w14:paraId="572DA157" w14:textId="77777777" w:rsidR="00401546" w:rsidRPr="00A9330B" w:rsidRDefault="00401546" w:rsidP="00401546">
            <w:pPr>
              <w:spacing w:line="240" w:lineRule="auto"/>
              <w:jc w:val="center"/>
              <w:rPr>
                <w:rFonts w:cs="Arial"/>
                <w:sz w:val="18"/>
                <w:szCs w:val="18"/>
              </w:rPr>
            </w:pPr>
            <w:r w:rsidRPr="00A9330B">
              <w:rPr>
                <w:rFonts w:cs="Arial"/>
                <w:sz w:val="18"/>
                <w:szCs w:val="18"/>
              </w:rPr>
              <w:t>3</w:t>
            </w:r>
          </w:p>
        </w:tc>
        <w:tc>
          <w:tcPr>
            <w:tcW w:w="567" w:type="dxa"/>
          </w:tcPr>
          <w:p w14:paraId="0C936FCF" w14:textId="77777777" w:rsidR="00401546" w:rsidRPr="00A9330B" w:rsidRDefault="00401546" w:rsidP="00401546">
            <w:pPr>
              <w:spacing w:line="240" w:lineRule="auto"/>
              <w:jc w:val="center"/>
              <w:rPr>
                <w:rFonts w:cs="Arial"/>
                <w:sz w:val="18"/>
                <w:szCs w:val="18"/>
              </w:rPr>
            </w:pPr>
            <w:r w:rsidRPr="00A9330B">
              <w:rPr>
                <w:rFonts w:cs="Arial"/>
                <w:sz w:val="18"/>
                <w:szCs w:val="18"/>
              </w:rPr>
              <w:t>2</w:t>
            </w:r>
          </w:p>
        </w:tc>
        <w:tc>
          <w:tcPr>
            <w:tcW w:w="850" w:type="dxa"/>
            <w:shd w:val="clear" w:color="auto" w:fill="FFFF00"/>
          </w:tcPr>
          <w:p w14:paraId="0F350C94" w14:textId="77777777" w:rsidR="00401546" w:rsidRPr="00A9330B" w:rsidRDefault="00401546" w:rsidP="00401546">
            <w:pPr>
              <w:spacing w:line="240" w:lineRule="auto"/>
              <w:jc w:val="center"/>
              <w:rPr>
                <w:rFonts w:cs="Arial"/>
                <w:sz w:val="18"/>
                <w:szCs w:val="18"/>
              </w:rPr>
            </w:pPr>
          </w:p>
        </w:tc>
      </w:tr>
      <w:tr w:rsidR="00401546" w:rsidRPr="00A9330B" w14:paraId="2524753F" w14:textId="77777777" w:rsidTr="00401546">
        <w:trPr>
          <w:jc w:val="center"/>
        </w:trPr>
        <w:tc>
          <w:tcPr>
            <w:tcW w:w="1838" w:type="dxa"/>
            <w:vMerge/>
          </w:tcPr>
          <w:p w14:paraId="32796765" w14:textId="77777777" w:rsidR="00401546" w:rsidRPr="00A9330B" w:rsidRDefault="00401546" w:rsidP="00401546">
            <w:pPr>
              <w:spacing w:line="240" w:lineRule="auto"/>
              <w:jc w:val="center"/>
              <w:rPr>
                <w:rFonts w:cs="Arial"/>
                <w:b/>
                <w:sz w:val="18"/>
                <w:szCs w:val="18"/>
              </w:rPr>
            </w:pPr>
          </w:p>
        </w:tc>
        <w:tc>
          <w:tcPr>
            <w:tcW w:w="2410" w:type="dxa"/>
          </w:tcPr>
          <w:p w14:paraId="76806069" w14:textId="17455B19" w:rsidR="00401546" w:rsidRPr="00A9330B" w:rsidRDefault="00401546" w:rsidP="000F7BA7">
            <w:pPr>
              <w:spacing w:line="240" w:lineRule="auto"/>
              <w:jc w:val="both"/>
              <w:rPr>
                <w:rFonts w:cs="Arial"/>
                <w:sz w:val="18"/>
                <w:szCs w:val="18"/>
              </w:rPr>
            </w:pPr>
            <w:r w:rsidRPr="00A9330B">
              <w:rPr>
                <w:rFonts w:cs="Arial"/>
                <w:sz w:val="18"/>
                <w:szCs w:val="18"/>
              </w:rPr>
              <w:t xml:space="preserve">Déplacement ou utilisation non </w:t>
            </w:r>
            <w:r w:rsidR="002B2F2F" w:rsidRPr="00A9330B">
              <w:rPr>
                <w:rFonts w:cs="Arial"/>
                <w:sz w:val="18"/>
                <w:szCs w:val="18"/>
              </w:rPr>
              <w:t xml:space="preserve">ou </w:t>
            </w:r>
            <w:r w:rsidRPr="00A9330B">
              <w:rPr>
                <w:rFonts w:cs="Arial"/>
                <w:sz w:val="18"/>
                <w:szCs w:val="18"/>
              </w:rPr>
              <w:t>mal contrôlé</w:t>
            </w:r>
            <w:r w:rsidR="002B2F2F" w:rsidRPr="00A9330B">
              <w:rPr>
                <w:rFonts w:cs="Arial"/>
                <w:sz w:val="18"/>
                <w:szCs w:val="18"/>
              </w:rPr>
              <w:t>e</w:t>
            </w:r>
            <w:r w:rsidRPr="00A9330B">
              <w:rPr>
                <w:rFonts w:cs="Arial"/>
                <w:sz w:val="18"/>
                <w:szCs w:val="18"/>
              </w:rPr>
              <w:t xml:space="preserve"> de véhicules et engins de chantier ou de leurs organes mobiles (camions, pelles,  par ex.) </w:t>
            </w:r>
          </w:p>
        </w:tc>
        <w:tc>
          <w:tcPr>
            <w:tcW w:w="2693" w:type="dxa"/>
            <w:vMerge/>
          </w:tcPr>
          <w:p w14:paraId="35FF95DE" w14:textId="77777777" w:rsidR="00401546" w:rsidRPr="00A9330B" w:rsidRDefault="00401546" w:rsidP="00401546">
            <w:pPr>
              <w:spacing w:line="240" w:lineRule="auto"/>
              <w:rPr>
                <w:rFonts w:cs="Arial"/>
                <w:sz w:val="18"/>
                <w:szCs w:val="18"/>
              </w:rPr>
            </w:pPr>
          </w:p>
        </w:tc>
        <w:tc>
          <w:tcPr>
            <w:tcW w:w="851" w:type="dxa"/>
          </w:tcPr>
          <w:p w14:paraId="29252F4E" w14:textId="77777777" w:rsidR="00401546" w:rsidRPr="00A9330B" w:rsidRDefault="00401546" w:rsidP="00401546">
            <w:pPr>
              <w:spacing w:line="240" w:lineRule="auto"/>
              <w:jc w:val="center"/>
              <w:rPr>
                <w:rFonts w:cs="Arial"/>
                <w:sz w:val="18"/>
                <w:szCs w:val="18"/>
              </w:rPr>
            </w:pPr>
            <w:r w:rsidRPr="00A9330B">
              <w:rPr>
                <w:rFonts w:cs="Arial"/>
                <w:sz w:val="18"/>
                <w:szCs w:val="18"/>
              </w:rPr>
              <w:t>2</w:t>
            </w:r>
          </w:p>
        </w:tc>
        <w:tc>
          <w:tcPr>
            <w:tcW w:w="567" w:type="dxa"/>
          </w:tcPr>
          <w:p w14:paraId="12948C05" w14:textId="77777777" w:rsidR="00401546" w:rsidRPr="00A9330B" w:rsidRDefault="00401546" w:rsidP="00401546">
            <w:pPr>
              <w:spacing w:line="240" w:lineRule="auto"/>
              <w:jc w:val="center"/>
              <w:rPr>
                <w:rFonts w:cs="Arial"/>
                <w:sz w:val="18"/>
                <w:szCs w:val="18"/>
              </w:rPr>
            </w:pPr>
            <w:r w:rsidRPr="00A9330B">
              <w:rPr>
                <w:rFonts w:cs="Arial"/>
                <w:sz w:val="18"/>
                <w:szCs w:val="18"/>
              </w:rPr>
              <w:t>3</w:t>
            </w:r>
          </w:p>
        </w:tc>
        <w:tc>
          <w:tcPr>
            <w:tcW w:w="850" w:type="dxa"/>
            <w:shd w:val="clear" w:color="auto" w:fill="FFFF00"/>
          </w:tcPr>
          <w:p w14:paraId="67CC56A2" w14:textId="77777777" w:rsidR="00401546" w:rsidRPr="00A9330B" w:rsidRDefault="00401546" w:rsidP="00401546">
            <w:pPr>
              <w:spacing w:line="240" w:lineRule="auto"/>
              <w:jc w:val="center"/>
              <w:rPr>
                <w:rFonts w:cs="Arial"/>
                <w:sz w:val="18"/>
                <w:szCs w:val="18"/>
              </w:rPr>
            </w:pPr>
          </w:p>
        </w:tc>
      </w:tr>
    </w:tbl>
    <w:p w14:paraId="1D2513F0" w14:textId="77777777" w:rsidR="00401546" w:rsidRPr="00A9330B" w:rsidRDefault="00401546" w:rsidP="000F7BA7">
      <w:pPr>
        <w:pStyle w:val="Titre20"/>
      </w:pPr>
      <w:bookmarkStart w:id="1811" w:name="_Toc531434247"/>
      <w:bookmarkStart w:id="1812" w:name="_Toc535244621"/>
      <w:bookmarkStart w:id="1813" w:name="_Toc43697703"/>
      <w:bookmarkStart w:id="1814" w:name="_Toc52869707"/>
      <w:bookmarkStart w:id="1815" w:name="_Toc52869867"/>
      <w:r w:rsidRPr="00A9330B">
        <w:lastRenderedPageBreak/>
        <w:t>9.12. Mesures générales de prévention et minimisation des risques pendant les travaux</w:t>
      </w:r>
      <w:bookmarkEnd w:id="1811"/>
      <w:bookmarkEnd w:id="1812"/>
      <w:bookmarkEnd w:id="1813"/>
      <w:bookmarkEnd w:id="1814"/>
      <w:bookmarkEnd w:id="1815"/>
      <w:r w:rsidRPr="00A9330B">
        <w:t xml:space="preserve">  </w:t>
      </w:r>
    </w:p>
    <w:p w14:paraId="327AAA18" w14:textId="77777777" w:rsidR="00401546" w:rsidRPr="00A9330B" w:rsidRDefault="00401546" w:rsidP="00401546">
      <w:pPr>
        <w:suppressAutoHyphens/>
        <w:spacing w:line="240" w:lineRule="auto"/>
        <w:ind w:left="720"/>
        <w:outlineLvl w:val="2"/>
        <w:rPr>
          <w:rFonts w:eastAsiaTheme="majorEastAsia" w:cstheme="majorBidi"/>
          <w:i/>
          <w:color w:val="auto"/>
          <w:sz w:val="26"/>
          <w:szCs w:val="24"/>
        </w:rPr>
      </w:pPr>
      <w:bookmarkStart w:id="1816" w:name="_Toc453943061"/>
      <w:bookmarkStart w:id="1817" w:name="_Toc463898229"/>
      <w:bookmarkStart w:id="1818" w:name="_Toc472330343"/>
      <w:bookmarkStart w:id="1819" w:name="_Toc523415156"/>
      <w:bookmarkStart w:id="1820" w:name="_Toc523417527"/>
      <w:bookmarkStart w:id="1821" w:name="_Toc523850160"/>
      <w:bookmarkStart w:id="1822" w:name="_Toc523857316"/>
      <w:bookmarkStart w:id="1823" w:name="_Toc524462553"/>
      <w:bookmarkStart w:id="1824" w:name="_Toc531434248"/>
      <w:bookmarkStart w:id="1825" w:name="_Toc535244622"/>
      <w:bookmarkStart w:id="1826" w:name="_Toc43697704"/>
      <w:bookmarkStart w:id="1827" w:name="_Toc45520908"/>
      <w:bookmarkStart w:id="1828" w:name="_Toc52869708"/>
      <w:r w:rsidRPr="00A9330B">
        <w:rPr>
          <w:rFonts w:eastAsiaTheme="majorEastAsia" w:cstheme="majorBidi"/>
          <w:i/>
          <w:color w:val="auto"/>
          <w:sz w:val="26"/>
          <w:szCs w:val="24"/>
        </w:rPr>
        <w:t>9.12.1. Protection du personnel sur site</w:t>
      </w:r>
      <w:bookmarkEnd w:id="1816"/>
      <w:bookmarkEnd w:id="1817"/>
      <w:bookmarkEnd w:id="1818"/>
      <w:bookmarkEnd w:id="1819"/>
      <w:bookmarkEnd w:id="1820"/>
      <w:bookmarkEnd w:id="1821"/>
      <w:bookmarkEnd w:id="1822"/>
      <w:bookmarkEnd w:id="1823"/>
      <w:bookmarkEnd w:id="1824"/>
      <w:bookmarkEnd w:id="1825"/>
      <w:bookmarkEnd w:id="1826"/>
      <w:bookmarkEnd w:id="1827"/>
      <w:bookmarkEnd w:id="1828"/>
    </w:p>
    <w:p w14:paraId="26DC2546" w14:textId="77777777" w:rsidR="00401546" w:rsidRPr="00A9330B" w:rsidRDefault="00401546" w:rsidP="00401546">
      <w:pPr>
        <w:jc w:val="both"/>
        <w:rPr>
          <w:b/>
        </w:rPr>
      </w:pPr>
      <w:r w:rsidRPr="00A9330B">
        <w:rPr>
          <w:b/>
        </w:rPr>
        <w:t>Equipements de protection individuelle (EPI).</w:t>
      </w:r>
    </w:p>
    <w:p w14:paraId="668EBE00" w14:textId="77777777" w:rsidR="00401546" w:rsidRPr="00A9330B" w:rsidRDefault="00401546" w:rsidP="00401546">
      <w:pPr>
        <w:jc w:val="both"/>
      </w:pPr>
      <w:r w:rsidRPr="00A9330B">
        <w:t>L’entreprise doit fournir à son personnel les EPI nécessaires à sa protection et notamment :</w:t>
      </w:r>
    </w:p>
    <w:p w14:paraId="0D1C0276" w14:textId="77777777" w:rsidR="00401546" w:rsidRPr="00A9330B" w:rsidRDefault="00401546" w:rsidP="00BD2F72">
      <w:pPr>
        <w:numPr>
          <w:ilvl w:val="0"/>
          <w:numId w:val="67"/>
        </w:numPr>
        <w:overflowPunct w:val="0"/>
        <w:autoSpaceDE w:val="0"/>
        <w:autoSpaceDN w:val="0"/>
        <w:adjustRightInd w:val="0"/>
        <w:spacing w:line="288" w:lineRule="auto"/>
        <w:contextualSpacing/>
        <w:jc w:val="both"/>
        <w:rPr>
          <w:rFonts w:eastAsia="Times New Roman" w:cs="Arial"/>
          <w:color w:val="auto"/>
          <w:szCs w:val="20"/>
          <w:lang w:eastAsia="de-DE"/>
        </w:rPr>
      </w:pPr>
      <w:r w:rsidRPr="00A9330B">
        <w:rPr>
          <w:rFonts w:eastAsia="Times New Roman" w:cs="Arial"/>
          <w:color w:val="auto"/>
          <w:szCs w:val="20"/>
          <w:lang w:eastAsia="de-DE"/>
        </w:rPr>
        <w:t>le casque et les chaussures de sécurité dont le port est obligatoire partout sur le chantier ;</w:t>
      </w:r>
    </w:p>
    <w:p w14:paraId="06971108" w14:textId="77777777" w:rsidR="00401546" w:rsidRPr="00A9330B" w:rsidRDefault="00401546" w:rsidP="00BD2F72">
      <w:pPr>
        <w:numPr>
          <w:ilvl w:val="0"/>
          <w:numId w:val="67"/>
        </w:numPr>
        <w:overflowPunct w:val="0"/>
        <w:autoSpaceDE w:val="0"/>
        <w:autoSpaceDN w:val="0"/>
        <w:adjustRightInd w:val="0"/>
        <w:spacing w:line="288" w:lineRule="auto"/>
        <w:contextualSpacing/>
        <w:jc w:val="both"/>
        <w:rPr>
          <w:rFonts w:eastAsia="Times New Roman" w:cs="Arial"/>
          <w:color w:val="auto"/>
          <w:szCs w:val="20"/>
          <w:lang w:eastAsia="de-DE"/>
        </w:rPr>
      </w:pPr>
      <w:r w:rsidRPr="00A9330B">
        <w:rPr>
          <w:rFonts w:eastAsia="Times New Roman" w:cs="Arial"/>
          <w:color w:val="auto"/>
          <w:szCs w:val="20"/>
          <w:lang w:eastAsia="de-DE"/>
        </w:rPr>
        <w:t>les gants obligatoires pour les travaux de démolition manuelle, les travaux au marteau de piquage, le creusement de fouilles à la pelle, etc. ;</w:t>
      </w:r>
    </w:p>
    <w:p w14:paraId="6C75212B" w14:textId="77777777" w:rsidR="00401546" w:rsidRPr="00A9330B" w:rsidRDefault="00401546" w:rsidP="00BD2F72">
      <w:pPr>
        <w:numPr>
          <w:ilvl w:val="0"/>
          <w:numId w:val="67"/>
        </w:numPr>
        <w:overflowPunct w:val="0"/>
        <w:autoSpaceDE w:val="0"/>
        <w:autoSpaceDN w:val="0"/>
        <w:adjustRightInd w:val="0"/>
        <w:contextualSpacing/>
        <w:jc w:val="both"/>
        <w:rPr>
          <w:rFonts w:eastAsia="Times New Roman" w:cs="Arial"/>
          <w:color w:val="auto"/>
          <w:szCs w:val="20"/>
          <w:lang w:eastAsia="de-DE"/>
        </w:rPr>
      </w:pPr>
      <w:r w:rsidRPr="00A9330B">
        <w:rPr>
          <w:rFonts w:eastAsia="Times New Roman" w:cs="Arial"/>
          <w:color w:val="auto"/>
          <w:szCs w:val="20"/>
          <w:lang w:eastAsia="de-DE"/>
        </w:rPr>
        <w:t>les protections anti-bruit pour les travaux exposés au bruit (utilisation de compresseur, fonçage de chaussée, démolition au marteau piqueur, explosion, … ;</w:t>
      </w:r>
    </w:p>
    <w:p w14:paraId="6486507A" w14:textId="77777777" w:rsidR="00401546" w:rsidRPr="00A9330B" w:rsidRDefault="00401546" w:rsidP="00BD2F72">
      <w:pPr>
        <w:numPr>
          <w:ilvl w:val="0"/>
          <w:numId w:val="67"/>
        </w:numPr>
        <w:overflowPunct w:val="0"/>
        <w:autoSpaceDE w:val="0"/>
        <w:autoSpaceDN w:val="0"/>
        <w:adjustRightInd w:val="0"/>
        <w:contextualSpacing/>
        <w:jc w:val="both"/>
        <w:rPr>
          <w:rFonts w:eastAsia="Times New Roman" w:cs="Arial"/>
          <w:color w:val="auto"/>
          <w:szCs w:val="20"/>
          <w:lang w:eastAsia="de-DE"/>
        </w:rPr>
      </w:pPr>
      <w:r w:rsidRPr="00A9330B">
        <w:rPr>
          <w:rFonts w:eastAsia="Times New Roman" w:cs="Arial"/>
          <w:color w:val="auto"/>
          <w:szCs w:val="20"/>
          <w:lang w:eastAsia="de-DE"/>
        </w:rPr>
        <w:t>les masques de protection oculaire (ou visières) et respiratoire contre les poussières, les gaz, les projections (solides ou liquides), contre les rayonnements (lunettes de soudeurs, etc.) ;</w:t>
      </w:r>
    </w:p>
    <w:p w14:paraId="0FCA3ADB" w14:textId="77777777" w:rsidR="00401546" w:rsidRPr="00A9330B" w:rsidRDefault="00401546" w:rsidP="00BD2F72">
      <w:pPr>
        <w:numPr>
          <w:ilvl w:val="0"/>
          <w:numId w:val="67"/>
        </w:numPr>
        <w:overflowPunct w:val="0"/>
        <w:autoSpaceDE w:val="0"/>
        <w:autoSpaceDN w:val="0"/>
        <w:adjustRightInd w:val="0"/>
        <w:contextualSpacing/>
        <w:jc w:val="both"/>
        <w:rPr>
          <w:rFonts w:eastAsia="Times New Roman" w:cs="Arial"/>
          <w:color w:val="auto"/>
          <w:szCs w:val="20"/>
          <w:lang w:eastAsia="de-DE"/>
        </w:rPr>
      </w:pPr>
      <w:r w:rsidRPr="00A9330B">
        <w:rPr>
          <w:rFonts w:eastAsia="Times New Roman" w:cs="Arial"/>
          <w:color w:val="auto"/>
          <w:szCs w:val="20"/>
          <w:lang w:eastAsia="de-DE"/>
        </w:rPr>
        <w:t xml:space="preserve">les gilets fluorescents </w:t>
      </w:r>
      <w:hyperlink r:id="rId95" w:tooltip="Gilet haute visibilité" w:history="1">
        <w:r w:rsidRPr="00A9330B">
          <w:rPr>
            <w:rFonts w:eastAsia="Times New Roman" w:cs="Arial"/>
            <w:color w:val="auto"/>
            <w:szCs w:val="20"/>
            <w:lang w:eastAsia="de-DE"/>
          </w:rPr>
          <w:t>à haute visibilité</w:t>
        </w:r>
      </w:hyperlink>
      <w:r w:rsidRPr="00A9330B">
        <w:rPr>
          <w:rFonts w:eastAsia="Times New Roman" w:cs="Arial"/>
          <w:color w:val="auto"/>
          <w:szCs w:val="20"/>
          <w:lang w:eastAsia="de-DE"/>
        </w:rPr>
        <w:t xml:space="preserve"> pour éviter de se faire renverser par un véhicule ou un engin de manutention, etc.</w:t>
      </w:r>
    </w:p>
    <w:p w14:paraId="5C409190" w14:textId="77777777" w:rsidR="00401546" w:rsidRPr="00A9330B" w:rsidRDefault="00401546" w:rsidP="00B77A5F">
      <w:pPr>
        <w:jc w:val="both"/>
        <w:rPr>
          <w:rFonts w:cs="Arial"/>
          <w:color w:val="auto"/>
        </w:rPr>
      </w:pPr>
      <w:r w:rsidRPr="00A9330B">
        <w:rPr>
          <w:rFonts w:cs="Arial"/>
          <w:color w:val="auto"/>
        </w:rPr>
        <w:t>Dans la même dynamique, il devrait y avoir :</w:t>
      </w:r>
    </w:p>
    <w:p w14:paraId="341D2F62" w14:textId="77777777" w:rsidR="00401546" w:rsidRPr="00A9330B" w:rsidRDefault="00401546" w:rsidP="00BD2F72">
      <w:pPr>
        <w:numPr>
          <w:ilvl w:val="0"/>
          <w:numId w:val="68"/>
        </w:numPr>
        <w:overflowPunct w:val="0"/>
        <w:autoSpaceDE w:val="0"/>
        <w:autoSpaceDN w:val="0"/>
        <w:adjustRightInd w:val="0"/>
        <w:contextualSpacing/>
        <w:jc w:val="both"/>
        <w:rPr>
          <w:rFonts w:eastAsia="Times New Roman" w:cs="Arial"/>
          <w:color w:val="auto"/>
          <w:szCs w:val="20"/>
          <w:lang w:eastAsia="de-DE"/>
        </w:rPr>
      </w:pPr>
      <w:bookmarkStart w:id="1829" w:name="74"/>
      <w:bookmarkEnd w:id="1829"/>
      <w:r w:rsidRPr="00A9330B">
        <w:rPr>
          <w:rFonts w:eastAsia="Times New Roman" w:cs="Arial"/>
          <w:color w:val="auto"/>
          <w:szCs w:val="20"/>
          <w:lang w:eastAsia="de-DE"/>
        </w:rPr>
        <w:t>des protections contre les risques d'électrisation, d'électrocution ou l'électricité statique : gants d'électriciens, dispositifs de mise à la terre (bracelets, perches), etc. ;</w:t>
      </w:r>
    </w:p>
    <w:p w14:paraId="5EAF95EC" w14:textId="77777777" w:rsidR="00401546" w:rsidRPr="00A9330B" w:rsidRDefault="00401546" w:rsidP="00BD2F72">
      <w:pPr>
        <w:numPr>
          <w:ilvl w:val="0"/>
          <w:numId w:val="68"/>
        </w:numPr>
        <w:overflowPunct w:val="0"/>
        <w:autoSpaceDE w:val="0"/>
        <w:autoSpaceDN w:val="0"/>
        <w:adjustRightInd w:val="0"/>
        <w:contextualSpacing/>
        <w:jc w:val="both"/>
        <w:rPr>
          <w:rFonts w:eastAsia="Times New Roman" w:cs="Arial"/>
          <w:color w:val="auto"/>
          <w:szCs w:val="20"/>
          <w:lang w:eastAsia="de-DE"/>
        </w:rPr>
      </w:pPr>
      <w:r w:rsidRPr="00A9330B">
        <w:rPr>
          <w:rFonts w:eastAsia="Times New Roman" w:cs="Arial"/>
          <w:color w:val="auto"/>
          <w:szCs w:val="20"/>
          <w:lang w:eastAsia="de-DE"/>
        </w:rPr>
        <w:t xml:space="preserve">des </w:t>
      </w:r>
      <w:hyperlink r:id="rId96" w:tooltip="Gant" w:history="1">
        <w:r w:rsidRPr="00A9330B">
          <w:rPr>
            <w:rFonts w:eastAsia="Times New Roman" w:cs="Arial"/>
            <w:color w:val="auto"/>
            <w:szCs w:val="20"/>
            <w:lang w:eastAsia="de-DE"/>
          </w:rPr>
          <w:t>gants</w:t>
        </w:r>
      </w:hyperlink>
      <w:r w:rsidRPr="00A9330B">
        <w:rPr>
          <w:rFonts w:eastAsia="Times New Roman" w:cs="Arial"/>
          <w:color w:val="auto"/>
          <w:szCs w:val="20"/>
          <w:lang w:eastAsia="de-DE"/>
        </w:rPr>
        <w:t xml:space="preserve">, </w:t>
      </w:r>
      <w:hyperlink r:id="rId97" w:tooltip="Lunettes" w:history="1">
        <w:r w:rsidRPr="00A9330B">
          <w:rPr>
            <w:rFonts w:eastAsia="Times New Roman" w:cs="Arial"/>
            <w:color w:val="auto"/>
            <w:szCs w:val="20"/>
            <w:lang w:eastAsia="de-DE"/>
          </w:rPr>
          <w:t>lunettes</w:t>
        </w:r>
      </w:hyperlink>
      <w:r w:rsidRPr="00A9330B">
        <w:rPr>
          <w:rFonts w:eastAsia="Times New Roman" w:cs="Arial"/>
          <w:color w:val="auto"/>
          <w:szCs w:val="20"/>
          <w:lang w:eastAsia="de-DE"/>
        </w:rPr>
        <w:t xml:space="preserve"> et </w:t>
      </w:r>
      <w:hyperlink r:id="rId98" w:tooltip="Masque" w:history="1">
        <w:r w:rsidRPr="00A9330B">
          <w:rPr>
            <w:rFonts w:eastAsia="Times New Roman" w:cs="Arial"/>
            <w:color w:val="auto"/>
            <w:szCs w:val="20"/>
            <w:lang w:eastAsia="de-DE"/>
          </w:rPr>
          <w:t>masque</w:t>
        </w:r>
      </w:hyperlink>
      <w:r w:rsidRPr="00A9330B">
        <w:rPr>
          <w:rFonts w:eastAsia="Times New Roman" w:cs="Arial"/>
          <w:color w:val="auto"/>
          <w:szCs w:val="20"/>
          <w:lang w:eastAsia="de-DE"/>
        </w:rPr>
        <w:t xml:space="preserve">s nécessaires contre 1) les projections de produits chimiques ou biologiques 2) les sources intenses de </w:t>
      </w:r>
      <w:hyperlink r:id="rId99" w:tooltip="Transfert thermique" w:history="1">
        <w:r w:rsidRPr="00A9330B">
          <w:rPr>
            <w:rFonts w:eastAsia="Times New Roman" w:cs="Arial"/>
            <w:color w:val="auto"/>
            <w:szCs w:val="20"/>
            <w:lang w:eastAsia="de-DE"/>
          </w:rPr>
          <w:t>chaleur</w:t>
        </w:r>
      </w:hyperlink>
      <w:r w:rsidRPr="00A9330B">
        <w:rPr>
          <w:rFonts w:eastAsia="Times New Roman" w:cs="Arial"/>
          <w:color w:val="auto"/>
          <w:szCs w:val="20"/>
          <w:lang w:eastAsia="de-DE"/>
        </w:rPr>
        <w:t xml:space="preserve"> et le risque de </w:t>
      </w:r>
      <w:hyperlink r:id="rId100" w:tooltip="Feu" w:history="1">
        <w:r w:rsidRPr="00A9330B">
          <w:rPr>
            <w:rFonts w:eastAsia="Times New Roman" w:cs="Arial"/>
            <w:color w:val="auto"/>
            <w:szCs w:val="20"/>
            <w:lang w:eastAsia="de-DE"/>
          </w:rPr>
          <w:t>feu</w:t>
        </w:r>
      </w:hyperlink>
      <w:r w:rsidRPr="00A9330B">
        <w:rPr>
          <w:rFonts w:eastAsia="Times New Roman" w:cs="Arial"/>
          <w:color w:val="auto"/>
          <w:szCs w:val="20"/>
          <w:lang w:eastAsia="de-DE"/>
        </w:rPr>
        <w:t xml:space="preserve"> et 3) les risques de </w:t>
      </w:r>
      <w:hyperlink r:id="rId101" w:tooltip="Plaie" w:history="1">
        <w:r w:rsidRPr="00A9330B">
          <w:rPr>
            <w:rFonts w:eastAsia="Times New Roman" w:cs="Arial"/>
            <w:color w:val="auto"/>
            <w:szCs w:val="20"/>
            <w:lang w:eastAsia="de-DE"/>
          </w:rPr>
          <w:t>plaie</w:t>
        </w:r>
      </w:hyperlink>
      <w:r w:rsidRPr="00A9330B">
        <w:rPr>
          <w:rFonts w:eastAsia="Times New Roman" w:cs="Arial"/>
          <w:color w:val="auto"/>
          <w:szCs w:val="20"/>
          <w:lang w:eastAsia="de-DE"/>
        </w:rPr>
        <w:t xml:space="preserve"> (coupure, abrasion, etc.) ;</w:t>
      </w:r>
    </w:p>
    <w:p w14:paraId="111757FA" w14:textId="77777777" w:rsidR="00401546" w:rsidRPr="00A9330B" w:rsidRDefault="00401546" w:rsidP="00BD2F72">
      <w:pPr>
        <w:numPr>
          <w:ilvl w:val="0"/>
          <w:numId w:val="68"/>
        </w:numPr>
        <w:overflowPunct w:val="0"/>
        <w:autoSpaceDE w:val="0"/>
        <w:autoSpaceDN w:val="0"/>
        <w:adjustRightInd w:val="0"/>
        <w:contextualSpacing/>
        <w:jc w:val="both"/>
        <w:rPr>
          <w:rFonts w:eastAsia="Times New Roman" w:cs="Arial"/>
          <w:color w:val="auto"/>
          <w:szCs w:val="20"/>
          <w:lang w:eastAsia="de-DE"/>
        </w:rPr>
      </w:pPr>
      <w:r w:rsidRPr="00A9330B">
        <w:rPr>
          <w:rFonts w:eastAsia="Times New Roman" w:cs="Arial"/>
          <w:color w:val="auto"/>
          <w:szCs w:val="20"/>
          <w:lang w:eastAsia="de-DE"/>
        </w:rPr>
        <w:t>des gilets de sauvetage contre les risques de noyade.</w:t>
      </w:r>
    </w:p>
    <w:p w14:paraId="4796D21C" w14:textId="5DBCBD71" w:rsidR="00401546" w:rsidRPr="00A9330B" w:rsidRDefault="00401546" w:rsidP="00B77A5F">
      <w:pPr>
        <w:jc w:val="both"/>
      </w:pPr>
      <w:r w:rsidRPr="00A9330B">
        <w:t xml:space="preserve">Les matériels et les équipements de sécurité doivent être en parfait état et portés, ce qui justifie une formation au port des EPI et aux risques contre lesquels ils protègent. </w:t>
      </w:r>
    </w:p>
    <w:p w14:paraId="0007502C" w14:textId="77777777" w:rsidR="00401546" w:rsidRPr="00A9330B" w:rsidRDefault="00401546" w:rsidP="00B77A5F">
      <w:pPr>
        <w:jc w:val="both"/>
      </w:pPr>
      <w:r w:rsidRPr="00A9330B">
        <w:t>Equipements de protection collective</w:t>
      </w:r>
    </w:p>
    <w:p w14:paraId="339B4CDA" w14:textId="77777777" w:rsidR="00401546" w:rsidRPr="00A9330B" w:rsidRDefault="00401546" w:rsidP="00B77A5F">
      <w:pPr>
        <w:jc w:val="both"/>
      </w:pPr>
      <w:r w:rsidRPr="00A9330B">
        <w:t>Les équipements de protection collective visent à réduire à un niveau acceptable les risques auxquels les travailleurs et les personnes extérieures au chantier peuvent être exposés. Dans le cas du projet, il s’agira en particulier :</w:t>
      </w:r>
    </w:p>
    <w:p w14:paraId="67E008C2" w14:textId="77777777" w:rsidR="00401546" w:rsidRPr="00A9330B" w:rsidRDefault="00401546" w:rsidP="00BD2F72">
      <w:pPr>
        <w:numPr>
          <w:ilvl w:val="0"/>
          <w:numId w:val="69"/>
        </w:numPr>
        <w:overflowPunct w:val="0"/>
        <w:autoSpaceDE w:val="0"/>
        <w:autoSpaceDN w:val="0"/>
        <w:adjustRightInd w:val="0"/>
        <w:contextualSpacing/>
        <w:jc w:val="both"/>
        <w:rPr>
          <w:rFonts w:eastAsia="Times New Roman" w:cs="Arial"/>
          <w:szCs w:val="20"/>
          <w:lang w:eastAsia="de-DE"/>
        </w:rPr>
      </w:pPr>
      <w:r w:rsidRPr="00A9330B">
        <w:rPr>
          <w:rFonts w:eastAsia="Times New Roman" w:cs="Arial"/>
          <w:szCs w:val="20"/>
          <w:lang w:eastAsia="de-DE"/>
        </w:rPr>
        <w:t>d’éviter l’exposition au danger ou l’accès à une zone de danger : veiller à ce que les personnes ou des parties du corps ne puissent se trouver à un endroit dangereux en respectant les distances de sécurité nécessaires ;</w:t>
      </w:r>
    </w:p>
    <w:p w14:paraId="18BCDF7C" w14:textId="77777777" w:rsidR="00401546" w:rsidRPr="00A9330B" w:rsidRDefault="00401546" w:rsidP="00BD2F72">
      <w:pPr>
        <w:numPr>
          <w:ilvl w:val="0"/>
          <w:numId w:val="69"/>
        </w:numPr>
        <w:overflowPunct w:val="0"/>
        <w:autoSpaceDE w:val="0"/>
        <w:autoSpaceDN w:val="0"/>
        <w:adjustRightInd w:val="0"/>
        <w:contextualSpacing/>
        <w:jc w:val="both"/>
        <w:rPr>
          <w:rFonts w:eastAsia="Times New Roman" w:cs="Arial"/>
          <w:szCs w:val="20"/>
          <w:lang w:eastAsia="de-DE"/>
        </w:rPr>
      </w:pPr>
      <w:r w:rsidRPr="00A9330B">
        <w:rPr>
          <w:rFonts w:eastAsia="Times New Roman" w:cs="Arial"/>
          <w:szCs w:val="20"/>
          <w:lang w:eastAsia="de-DE"/>
        </w:rPr>
        <w:t>d’éviter les projections et de recueillir les matériaux, éléments projetés et liquides déversés ;</w:t>
      </w:r>
    </w:p>
    <w:p w14:paraId="20D645D5" w14:textId="77777777" w:rsidR="00401546" w:rsidRPr="00A9330B" w:rsidRDefault="00401546" w:rsidP="00B77A5F">
      <w:pPr>
        <w:jc w:val="both"/>
      </w:pPr>
      <w:r w:rsidRPr="00A9330B">
        <w:t>Tout risque mis en évidence lors des travaux doit être éliminé ou faire l’objet de mesures préventives appropriées (garde-corps ou ruban fluorescent au bord d’une ouverture, d’une fouille, des échafaudages pour les travaux en hauteur, etc.) ;</w:t>
      </w:r>
    </w:p>
    <w:p w14:paraId="5741AF2E" w14:textId="2D12D795" w:rsidR="00401546" w:rsidRPr="00A9330B" w:rsidRDefault="00401546" w:rsidP="00B77A5F">
      <w:pPr>
        <w:jc w:val="both"/>
      </w:pPr>
      <w:r w:rsidRPr="00A9330B">
        <w:t xml:space="preserve">Les zones présentant des risques doivent être signalées de manière non équivoque (panneau, cordon de sécurité, </w:t>
      </w:r>
      <w:r w:rsidR="0057538E" w:rsidRPr="00A9330B">
        <w:t>barrière) et</w:t>
      </w:r>
      <w:r w:rsidRPr="00A9330B">
        <w:t>/ou restriction de l’accès en cas de nécessité ;</w:t>
      </w:r>
    </w:p>
    <w:p w14:paraId="0DEA5766" w14:textId="6953C92F" w:rsidR="00401546" w:rsidRPr="00A9330B" w:rsidRDefault="00401546" w:rsidP="00B77A5F">
      <w:pPr>
        <w:jc w:val="both"/>
      </w:pPr>
      <w:r w:rsidRPr="00A9330B">
        <w:t>Tout obstacle dangereux doit être systématiquement signalé et balisé par un ruban de couleur blanc/rouge ou jaune/</w:t>
      </w:r>
      <w:r w:rsidR="0057538E" w:rsidRPr="00A9330B">
        <w:t>noir ;</w:t>
      </w:r>
      <w:r w:rsidRPr="00A9330B">
        <w:t xml:space="preserve"> ou un marquage au sol ;</w:t>
      </w:r>
    </w:p>
    <w:p w14:paraId="722795CE" w14:textId="77777777" w:rsidR="00401546" w:rsidRPr="00A9330B" w:rsidRDefault="00401546" w:rsidP="00B77A5F">
      <w:pPr>
        <w:jc w:val="both"/>
      </w:pPr>
      <w:r w:rsidRPr="00A9330B">
        <w:t>Les planchers surélevés, échafaudages, passerelles, … doivent être munis de garde-corps empêchant la chute des personnes et le cas échéant de filets pour éviter la chute de matériels et matériaux.</w:t>
      </w:r>
    </w:p>
    <w:p w14:paraId="73AAF10D" w14:textId="77777777" w:rsidR="00401546" w:rsidRPr="00A9330B" w:rsidRDefault="00401546" w:rsidP="00B77A5F">
      <w:pPr>
        <w:jc w:val="both"/>
      </w:pPr>
      <w:r w:rsidRPr="00A9330B">
        <w:lastRenderedPageBreak/>
        <w:t>Par ailleurs, les engins et matériels de chantier doivent disposer de leurs équipements de protection spécifiques (capots de protection, écrans fixes ou mobiles, encoffrement des machines, etc.).</w:t>
      </w:r>
    </w:p>
    <w:p w14:paraId="78951C89" w14:textId="77777777" w:rsidR="00401546" w:rsidRPr="00A9330B" w:rsidRDefault="00401546" w:rsidP="00401546">
      <w:pPr>
        <w:suppressAutoHyphens/>
        <w:spacing w:line="240" w:lineRule="auto"/>
        <w:ind w:left="720"/>
        <w:outlineLvl w:val="2"/>
        <w:rPr>
          <w:rFonts w:eastAsiaTheme="majorEastAsia" w:cstheme="majorBidi"/>
          <w:i/>
          <w:color w:val="auto"/>
          <w:sz w:val="26"/>
          <w:szCs w:val="24"/>
        </w:rPr>
      </w:pPr>
      <w:bookmarkStart w:id="1830" w:name="_Toc453943062"/>
      <w:bookmarkStart w:id="1831" w:name="_Toc463898230"/>
      <w:bookmarkStart w:id="1832" w:name="_Toc472330344"/>
      <w:bookmarkStart w:id="1833" w:name="_Toc523415157"/>
      <w:bookmarkStart w:id="1834" w:name="_Toc523417528"/>
      <w:bookmarkStart w:id="1835" w:name="_Toc523850161"/>
      <w:bookmarkStart w:id="1836" w:name="_Toc523857317"/>
      <w:bookmarkStart w:id="1837" w:name="_Toc524462554"/>
      <w:bookmarkStart w:id="1838" w:name="_Toc531434249"/>
      <w:bookmarkStart w:id="1839" w:name="_Toc535244623"/>
      <w:bookmarkStart w:id="1840" w:name="_Toc43697705"/>
      <w:bookmarkStart w:id="1841" w:name="_Toc45520909"/>
      <w:bookmarkStart w:id="1842" w:name="_Toc52869709"/>
      <w:r w:rsidRPr="00A9330B">
        <w:rPr>
          <w:rFonts w:eastAsiaTheme="majorEastAsia" w:cstheme="majorBidi"/>
          <w:i/>
          <w:color w:val="auto"/>
          <w:sz w:val="26"/>
          <w:szCs w:val="24"/>
        </w:rPr>
        <w:t>9.12.2. Etablissement d’un Plan Hygiène Santé et Sécurité</w:t>
      </w:r>
      <w:bookmarkEnd w:id="1830"/>
      <w:bookmarkEnd w:id="1831"/>
      <w:bookmarkEnd w:id="1832"/>
      <w:bookmarkEnd w:id="1833"/>
      <w:bookmarkEnd w:id="1834"/>
      <w:bookmarkEnd w:id="1835"/>
      <w:bookmarkEnd w:id="1836"/>
      <w:bookmarkEnd w:id="1837"/>
      <w:bookmarkEnd w:id="1838"/>
      <w:bookmarkEnd w:id="1839"/>
      <w:bookmarkEnd w:id="1840"/>
      <w:bookmarkEnd w:id="1841"/>
      <w:bookmarkEnd w:id="1842"/>
    </w:p>
    <w:p w14:paraId="0B74AD15" w14:textId="77777777" w:rsidR="00401546" w:rsidRPr="00A9330B" w:rsidRDefault="00401546" w:rsidP="00B77A5F">
      <w:pPr>
        <w:suppressAutoHyphens/>
        <w:jc w:val="both"/>
        <w:rPr>
          <w:rFonts w:eastAsia="Calibri" w:cs="Arial"/>
          <w:bCs/>
          <w:noProof/>
          <w:szCs w:val="20"/>
          <w:lang w:eastAsia="de-DE"/>
        </w:rPr>
      </w:pPr>
      <w:r w:rsidRPr="00A9330B">
        <w:rPr>
          <w:rFonts w:eastAsia="Calibri" w:cs="Arial"/>
          <w:bCs/>
          <w:noProof/>
          <w:szCs w:val="20"/>
          <w:lang w:eastAsia="de-DE"/>
        </w:rPr>
        <w:t>Les travaux verront intervenir plusieurs entreprises et corps de métiers nécessitant une coordination soutenue pour la sécurité et la protection de la santé des différents intervenants. Un Plan Hygiène Santé et Sécurité (PHSS) est élaboré en annexe et établit les modes opératoires envisagés dans le domaine, renseigne sur les différentes dispositions applicables à l’opération : intervention sur chantier, hygiène des conditions de travail, secours et évacuation ; indique les mesures spécifiques à prendre en compte pour prévenir les risques de l’opération dus à la co-activité, ainsi que les risques propres de(s) l’entreprise(s) encourus par ses salariés.</w:t>
      </w:r>
    </w:p>
    <w:p w14:paraId="1620B51B" w14:textId="77777777" w:rsidR="00401546" w:rsidRPr="00A9330B" w:rsidRDefault="00401546" w:rsidP="00B77A5F">
      <w:pPr>
        <w:suppressAutoHyphens/>
        <w:jc w:val="both"/>
        <w:rPr>
          <w:rFonts w:eastAsia="Calibri" w:cs="Arial"/>
          <w:bCs/>
          <w:noProof/>
          <w:szCs w:val="20"/>
          <w:lang w:eastAsia="de-DE"/>
        </w:rPr>
      </w:pPr>
      <w:r w:rsidRPr="00A9330B">
        <w:rPr>
          <w:rFonts w:eastAsia="Calibri" w:cs="Arial"/>
          <w:bCs/>
          <w:noProof/>
          <w:szCs w:val="20"/>
          <w:lang w:eastAsia="de-DE"/>
        </w:rPr>
        <w:t>Les entreprises mandataires doivent fournir et faire valider leur PHSS au démarrage des travaux dans un délai spécifié dans les documents contractuels à compter de la réception du contrat signé par le maître d’ouvrage.</w:t>
      </w:r>
    </w:p>
    <w:p w14:paraId="7FD0824E" w14:textId="77777777" w:rsidR="00401546" w:rsidRPr="00A9330B" w:rsidRDefault="00401546" w:rsidP="00B77A5F">
      <w:pPr>
        <w:jc w:val="both"/>
      </w:pPr>
      <w:r w:rsidRPr="00A9330B">
        <w:t>Le PHSS est un outil de travail du chantier. Il concerne directement les différents opérateurs du chantier pour une bonne exécution de leurs tâches respectives. Le responsable de l’exécution des travaux dans l’entreprise utilise le document à titre de référence permanente pendant les travaux. Les cadres ou les personnels de maîtrise chargés de la réalisation des travaux l’utilisent comme un guide décrivant l’ensemble des moyens à mettre en œuvre pour chaque phase du chantier. Le personnel de chantier trouve dans le document une aide à l’accomplissement de ses tâches. Il constitue également le support opérationnel pour la formation du personnel.</w:t>
      </w:r>
    </w:p>
    <w:p w14:paraId="7D23DEB2" w14:textId="77777777" w:rsidR="00401546" w:rsidRPr="00A9330B" w:rsidRDefault="00401546" w:rsidP="00B77A5F">
      <w:pPr>
        <w:jc w:val="both"/>
      </w:pPr>
      <w:r w:rsidRPr="00A9330B">
        <w:t>Le PHSS est adressé i) au coordonnateur responsable du volet Sécurité et Santé à chacune des entreprises, ii) au maître d’ouvrage et le cas échéant iii) aux autorités compétentes en matière d’hygiène et de sécurité et d’inspection du travail.</w:t>
      </w:r>
    </w:p>
    <w:p w14:paraId="64235650" w14:textId="77777777" w:rsidR="00401546" w:rsidRPr="00A9330B" w:rsidRDefault="00401546" w:rsidP="00B77A5F">
      <w:pPr>
        <w:jc w:val="both"/>
      </w:pPr>
      <w:r w:rsidRPr="00A9330B">
        <w:t>Dans tous les cas, au moins un exemplaire du PHSS est tenu en permanence à jour sur le chantier par chacune des entreprises.</w:t>
      </w:r>
    </w:p>
    <w:p w14:paraId="3AB31A72" w14:textId="77777777" w:rsidR="00401546" w:rsidRPr="00A9330B" w:rsidRDefault="00401546" w:rsidP="00B77A5F">
      <w:pPr>
        <w:jc w:val="both"/>
      </w:pPr>
      <w:r w:rsidRPr="00A9330B">
        <w:t>Au démarrage des travaux, le représentant du maître d’ouvrage procède avec chaque entreprise, y compris sous-traitante, à une visite détaillée du site au cours de laquelle sont en particulier précisées, en fonction des travaux que cette entreprise s’apprête à exécuter, les consignes et observations particulières de sécurité et de santé à observer et transmettre pour l’ensemble de l’opération.</w:t>
      </w:r>
    </w:p>
    <w:p w14:paraId="1E921D28" w14:textId="77777777" w:rsidR="00401546" w:rsidRPr="00A9330B" w:rsidRDefault="00401546" w:rsidP="00B77A5F">
      <w:pPr>
        <w:suppressAutoHyphens/>
        <w:ind w:left="720"/>
        <w:jc w:val="both"/>
        <w:outlineLvl w:val="2"/>
        <w:rPr>
          <w:rFonts w:eastAsiaTheme="majorEastAsia" w:cstheme="majorBidi"/>
          <w:i/>
          <w:color w:val="auto"/>
          <w:sz w:val="26"/>
          <w:szCs w:val="24"/>
        </w:rPr>
      </w:pPr>
      <w:bookmarkStart w:id="1843" w:name="_Toc453943063"/>
      <w:bookmarkStart w:id="1844" w:name="_Toc463898231"/>
      <w:bookmarkStart w:id="1845" w:name="_Toc472330345"/>
      <w:bookmarkStart w:id="1846" w:name="_Toc523415158"/>
      <w:bookmarkStart w:id="1847" w:name="_Toc523417529"/>
      <w:bookmarkStart w:id="1848" w:name="_Toc523850162"/>
      <w:bookmarkStart w:id="1849" w:name="_Toc523857318"/>
      <w:bookmarkStart w:id="1850" w:name="_Toc524462555"/>
      <w:bookmarkStart w:id="1851" w:name="_Toc531434250"/>
      <w:bookmarkStart w:id="1852" w:name="_Toc535244624"/>
      <w:bookmarkStart w:id="1853" w:name="_Toc43697706"/>
      <w:bookmarkStart w:id="1854" w:name="_Toc45520910"/>
      <w:bookmarkStart w:id="1855" w:name="_Toc52869710"/>
      <w:r w:rsidRPr="00A9330B">
        <w:rPr>
          <w:rFonts w:eastAsiaTheme="majorEastAsia" w:cstheme="majorBidi"/>
          <w:i/>
          <w:color w:val="auto"/>
          <w:sz w:val="26"/>
          <w:szCs w:val="24"/>
        </w:rPr>
        <w:t>9.12.3. Prévention en terme de santé et d’hygiène du personnel</w:t>
      </w:r>
      <w:bookmarkEnd w:id="1843"/>
      <w:bookmarkEnd w:id="1844"/>
      <w:bookmarkEnd w:id="1845"/>
      <w:bookmarkEnd w:id="1846"/>
      <w:bookmarkEnd w:id="1847"/>
      <w:bookmarkEnd w:id="1848"/>
      <w:bookmarkEnd w:id="1849"/>
      <w:bookmarkEnd w:id="1850"/>
      <w:bookmarkEnd w:id="1851"/>
      <w:bookmarkEnd w:id="1852"/>
      <w:bookmarkEnd w:id="1853"/>
      <w:bookmarkEnd w:id="1854"/>
      <w:bookmarkEnd w:id="1855"/>
    </w:p>
    <w:p w14:paraId="66754B1D" w14:textId="575A815D" w:rsidR="00401546" w:rsidRPr="00A9330B" w:rsidRDefault="00401546" w:rsidP="00B77A5F">
      <w:pPr>
        <w:jc w:val="both"/>
      </w:pPr>
      <w:r w:rsidRPr="00A9330B">
        <w:t xml:space="preserve">Les entreprises doivent mettre en place le cadre d’intervention pour préserver la santé de leur personnel et assurer sa prise en charge en cas de problème de santé lié aux activités du chantier (infirmerie de chantier, boite à pharmacie), disposer d’un secouriste, identifier les établissements et le personnel de santé adaptés pour </w:t>
      </w:r>
      <w:r w:rsidR="006721DD" w:rsidRPr="00A9330B">
        <w:t>les différents types</w:t>
      </w:r>
      <w:r w:rsidRPr="00A9330B">
        <w:t xml:space="preserve"> de pathologie ou accident. Le personnel intervenant sur le chantier devra avoir été déclaré apte aux tâches qui lui sont confiées par le personnel médical compétent lors d’une visite médicale.</w:t>
      </w:r>
    </w:p>
    <w:p w14:paraId="3CCF9198" w14:textId="2CBC7D95" w:rsidR="00401546" w:rsidRPr="00A9330B" w:rsidRDefault="00401546" w:rsidP="00B77A5F">
      <w:pPr>
        <w:jc w:val="both"/>
      </w:pPr>
      <w:r w:rsidRPr="00A9330B">
        <w:t>Par ailleurs, les employés devront recevoir une sensibilisation spécifique relative à la consommation d’alcool, de drogue, à l’hygiène corporelle et aux risques liés aux IST/VIH/SIDA</w:t>
      </w:r>
      <w:r w:rsidR="002B2F2F" w:rsidRPr="00A9330B">
        <w:t>/COVID 19.</w:t>
      </w:r>
    </w:p>
    <w:p w14:paraId="021149F1" w14:textId="58EB25B2" w:rsidR="00401546" w:rsidRPr="00A9330B" w:rsidRDefault="00401546" w:rsidP="00B77A5F">
      <w:pPr>
        <w:jc w:val="both"/>
      </w:pPr>
      <w:r w:rsidRPr="00A9330B">
        <w:lastRenderedPageBreak/>
        <w:t>Les différentes zones de chantier non mobiles disposeront de lieux d’aisance. Des agents d’entretien sont également désignés pour assurer la propreté de toutes les installations et une gestion adaptée des déchets de chantier.</w:t>
      </w:r>
    </w:p>
    <w:p w14:paraId="131C29AC" w14:textId="77777777" w:rsidR="00401546" w:rsidRPr="00A9330B" w:rsidRDefault="00401546" w:rsidP="00B77A5F">
      <w:pPr>
        <w:suppressAutoHyphens/>
        <w:ind w:left="720"/>
        <w:jc w:val="both"/>
        <w:outlineLvl w:val="2"/>
        <w:rPr>
          <w:rFonts w:eastAsiaTheme="majorEastAsia" w:cstheme="majorBidi"/>
          <w:i/>
          <w:color w:val="auto"/>
          <w:sz w:val="26"/>
          <w:szCs w:val="24"/>
        </w:rPr>
      </w:pPr>
      <w:bookmarkStart w:id="1856" w:name="_Toc453943064"/>
      <w:bookmarkStart w:id="1857" w:name="_Toc463898232"/>
      <w:bookmarkStart w:id="1858" w:name="_Toc472330346"/>
      <w:bookmarkStart w:id="1859" w:name="_Toc523415159"/>
      <w:bookmarkStart w:id="1860" w:name="_Toc523417530"/>
      <w:bookmarkStart w:id="1861" w:name="_Toc523850163"/>
      <w:bookmarkStart w:id="1862" w:name="_Toc523857319"/>
      <w:bookmarkStart w:id="1863" w:name="_Toc524462556"/>
      <w:bookmarkStart w:id="1864" w:name="_Toc531434251"/>
      <w:bookmarkStart w:id="1865" w:name="_Toc535244625"/>
      <w:bookmarkStart w:id="1866" w:name="_Toc43697707"/>
      <w:bookmarkStart w:id="1867" w:name="_Toc45520911"/>
      <w:bookmarkStart w:id="1868" w:name="_Toc52869711"/>
      <w:r w:rsidRPr="00A9330B">
        <w:rPr>
          <w:rFonts w:eastAsiaTheme="majorEastAsia" w:cstheme="majorBidi"/>
          <w:i/>
          <w:color w:val="auto"/>
          <w:sz w:val="26"/>
          <w:szCs w:val="24"/>
        </w:rPr>
        <w:t>9.12.4. Communication, formation et évaluation</w:t>
      </w:r>
      <w:bookmarkEnd w:id="1856"/>
      <w:bookmarkEnd w:id="1857"/>
      <w:bookmarkEnd w:id="1858"/>
      <w:bookmarkEnd w:id="1859"/>
      <w:bookmarkEnd w:id="1860"/>
      <w:bookmarkEnd w:id="1861"/>
      <w:bookmarkEnd w:id="1862"/>
      <w:bookmarkEnd w:id="1863"/>
      <w:bookmarkEnd w:id="1864"/>
      <w:bookmarkEnd w:id="1865"/>
      <w:bookmarkEnd w:id="1866"/>
      <w:bookmarkEnd w:id="1867"/>
      <w:bookmarkEnd w:id="1868"/>
    </w:p>
    <w:p w14:paraId="3A7755D2" w14:textId="77777777" w:rsidR="00401546" w:rsidRPr="00A9330B" w:rsidRDefault="00401546" w:rsidP="00B77A5F">
      <w:pPr>
        <w:suppressAutoHyphens/>
        <w:jc w:val="both"/>
        <w:rPr>
          <w:rFonts w:eastAsia="Calibri" w:cs="Arial"/>
          <w:b/>
          <w:bCs/>
          <w:i/>
          <w:noProof/>
          <w:szCs w:val="20"/>
          <w:lang w:eastAsia="de-DE"/>
        </w:rPr>
      </w:pPr>
      <w:r w:rsidRPr="00A9330B">
        <w:rPr>
          <w:rFonts w:eastAsia="Calibri" w:cs="Arial"/>
          <w:b/>
          <w:bCs/>
          <w:i/>
          <w:noProof/>
          <w:szCs w:val="20"/>
          <w:lang w:eastAsia="de-DE"/>
        </w:rPr>
        <w:t xml:space="preserve">Communication </w:t>
      </w:r>
    </w:p>
    <w:p w14:paraId="0F2424D2" w14:textId="77777777" w:rsidR="00401546" w:rsidRPr="00A9330B" w:rsidRDefault="00401546" w:rsidP="00B77A5F">
      <w:pPr>
        <w:jc w:val="both"/>
      </w:pPr>
      <w:r w:rsidRPr="00A9330B">
        <w:t>Un plan de communication est conçu pour accompagner la mise en œuvre du projet.</w:t>
      </w:r>
    </w:p>
    <w:p w14:paraId="78A5435C" w14:textId="77777777" w:rsidR="00401546" w:rsidRPr="00A9330B" w:rsidRDefault="00401546" w:rsidP="002B2F2F">
      <w:pPr>
        <w:jc w:val="both"/>
      </w:pPr>
      <w:r w:rsidRPr="00A9330B">
        <w:t>Le personnel d’encadrement doit être doté de véhicules de liaison et de téléphones portables. Par ailleurs, la liste des contacts en cas d’urgence ou d’accident doit être affichée pour être accessible à tous les employés.</w:t>
      </w:r>
    </w:p>
    <w:p w14:paraId="77160DAA" w14:textId="77777777" w:rsidR="00401546" w:rsidRPr="00A9330B" w:rsidRDefault="00401546" w:rsidP="00B77A5F">
      <w:pPr>
        <w:suppressAutoHyphens/>
        <w:jc w:val="both"/>
        <w:rPr>
          <w:rFonts w:eastAsia="Calibri" w:cs="Arial"/>
          <w:b/>
          <w:bCs/>
          <w:i/>
          <w:noProof/>
          <w:szCs w:val="20"/>
          <w:lang w:eastAsia="de-DE"/>
        </w:rPr>
      </w:pPr>
      <w:r w:rsidRPr="00A9330B">
        <w:rPr>
          <w:rFonts w:eastAsia="Calibri" w:cs="Arial"/>
          <w:b/>
          <w:bCs/>
          <w:i/>
          <w:noProof/>
          <w:szCs w:val="20"/>
          <w:lang w:eastAsia="de-DE"/>
        </w:rPr>
        <w:t xml:space="preserve">Information et formation </w:t>
      </w:r>
    </w:p>
    <w:p w14:paraId="24172CAB" w14:textId="77777777" w:rsidR="00401546" w:rsidRPr="00A9330B" w:rsidRDefault="00401546" w:rsidP="00B77A5F">
      <w:pPr>
        <w:jc w:val="both"/>
      </w:pPr>
      <w:r w:rsidRPr="00A9330B">
        <w:t xml:space="preserve">Chaque employé doit être informé sur les enjeux des travaux, les risques liés aux travaux, les EPI à sa disposition, les procédures à suivre en cas d’incident/accident, des équipements et installations médicales mis en place. Des formations spécifiques à chaque type de travaux et activités et des réunions sécurité en général au moins une fois par semaine seront assurées par le responsable sécurité du chantier. </w:t>
      </w:r>
    </w:p>
    <w:p w14:paraId="281963FB" w14:textId="77777777" w:rsidR="00401546" w:rsidRPr="00A9330B" w:rsidRDefault="00401546" w:rsidP="00B77A5F">
      <w:pPr>
        <w:suppressAutoHyphens/>
        <w:jc w:val="both"/>
        <w:rPr>
          <w:rFonts w:eastAsia="Calibri" w:cs="Arial"/>
          <w:b/>
          <w:bCs/>
          <w:i/>
          <w:noProof/>
          <w:szCs w:val="20"/>
          <w:lang w:eastAsia="de-DE"/>
        </w:rPr>
      </w:pPr>
      <w:r w:rsidRPr="00A9330B">
        <w:rPr>
          <w:rFonts w:eastAsia="Calibri" w:cs="Arial"/>
          <w:b/>
          <w:bCs/>
          <w:i/>
          <w:noProof/>
          <w:szCs w:val="20"/>
          <w:lang w:eastAsia="de-DE"/>
        </w:rPr>
        <w:t>Rapports</w:t>
      </w:r>
    </w:p>
    <w:p w14:paraId="711D4F13" w14:textId="77777777" w:rsidR="00401546" w:rsidRPr="00A9330B" w:rsidRDefault="00401546" w:rsidP="00401546">
      <w:r w:rsidRPr="00A9330B">
        <w:t xml:space="preserve">Des rapports d’évaluation du niveau de sécurité doivent être établis en général mensuellement permettant de suivre les critères d’évaluation comme : </w:t>
      </w:r>
    </w:p>
    <w:p w14:paraId="0C6F8344" w14:textId="77777777" w:rsidR="00401546" w:rsidRPr="00A9330B" w:rsidRDefault="00401546" w:rsidP="00BD2F72">
      <w:pPr>
        <w:numPr>
          <w:ilvl w:val="1"/>
          <w:numId w:val="50"/>
        </w:numPr>
        <w:spacing w:line="276" w:lineRule="auto"/>
        <w:contextualSpacing/>
        <w:rPr>
          <w:rFonts w:eastAsia="Times New Roman" w:cs="Arial"/>
          <w:color w:val="auto"/>
          <w:szCs w:val="24"/>
          <w:lang w:eastAsia="fr-FR"/>
        </w:rPr>
      </w:pPr>
      <w:r w:rsidRPr="00A9330B">
        <w:rPr>
          <w:rFonts w:eastAsia="Times New Roman" w:cs="Arial"/>
          <w:color w:val="auto"/>
          <w:szCs w:val="24"/>
          <w:lang w:eastAsia="fr-FR"/>
        </w:rPr>
        <w:t>le nombre d’heures  de travail dans le mois ;</w:t>
      </w:r>
    </w:p>
    <w:p w14:paraId="2D0B88D1" w14:textId="77777777" w:rsidR="00401546" w:rsidRPr="00A9330B" w:rsidRDefault="00401546" w:rsidP="00BD2F72">
      <w:pPr>
        <w:numPr>
          <w:ilvl w:val="1"/>
          <w:numId w:val="50"/>
        </w:numPr>
        <w:spacing w:line="276" w:lineRule="auto"/>
        <w:contextualSpacing/>
        <w:rPr>
          <w:rFonts w:eastAsia="Times New Roman" w:cs="Arial"/>
          <w:color w:val="auto"/>
          <w:szCs w:val="24"/>
          <w:lang w:eastAsia="fr-FR"/>
        </w:rPr>
      </w:pPr>
      <w:r w:rsidRPr="00A9330B">
        <w:rPr>
          <w:rFonts w:eastAsia="Times New Roman" w:cs="Arial"/>
          <w:color w:val="auto"/>
          <w:szCs w:val="24"/>
          <w:lang w:eastAsia="fr-FR"/>
        </w:rPr>
        <w:t>le résumé des activités de formation ou d’information liées à la sécurité ;</w:t>
      </w:r>
    </w:p>
    <w:p w14:paraId="2E8C8DD9" w14:textId="77777777" w:rsidR="00401546" w:rsidRPr="00A9330B" w:rsidRDefault="00401546" w:rsidP="00BD2F72">
      <w:pPr>
        <w:numPr>
          <w:ilvl w:val="1"/>
          <w:numId w:val="50"/>
        </w:numPr>
        <w:spacing w:line="276" w:lineRule="auto"/>
        <w:contextualSpacing/>
        <w:rPr>
          <w:rFonts w:eastAsia="Times New Roman" w:cs="Arial"/>
          <w:color w:val="auto"/>
          <w:szCs w:val="24"/>
          <w:lang w:eastAsia="fr-FR"/>
        </w:rPr>
      </w:pPr>
      <w:r w:rsidRPr="00A9330B">
        <w:rPr>
          <w:rFonts w:eastAsia="Times New Roman" w:cs="Arial"/>
          <w:color w:val="auto"/>
          <w:szCs w:val="24"/>
          <w:lang w:eastAsia="fr-FR"/>
        </w:rPr>
        <w:t>le nombre d’incidents/accidents ou de maladies professionnelles avec arrêt de travail ;</w:t>
      </w:r>
    </w:p>
    <w:p w14:paraId="612A8217" w14:textId="77777777" w:rsidR="00401546" w:rsidRPr="00A9330B" w:rsidRDefault="00401546" w:rsidP="00BD2F72">
      <w:pPr>
        <w:numPr>
          <w:ilvl w:val="1"/>
          <w:numId w:val="50"/>
        </w:numPr>
        <w:spacing w:line="276" w:lineRule="auto"/>
        <w:contextualSpacing/>
        <w:rPr>
          <w:rFonts w:eastAsia="Times New Roman" w:cs="Arial"/>
          <w:color w:val="auto"/>
          <w:szCs w:val="24"/>
          <w:lang w:eastAsia="fr-FR"/>
        </w:rPr>
      </w:pPr>
      <w:r w:rsidRPr="00A9330B">
        <w:rPr>
          <w:rFonts w:eastAsia="Times New Roman" w:cs="Arial"/>
          <w:color w:val="auto"/>
          <w:szCs w:val="24"/>
          <w:lang w:eastAsia="fr-FR"/>
        </w:rPr>
        <w:t>le nombre d’infractions aux consignes de sécurité constatées.</w:t>
      </w:r>
    </w:p>
    <w:p w14:paraId="36CD9867" w14:textId="77777777" w:rsidR="00401546" w:rsidRPr="00A9330B" w:rsidRDefault="00401546" w:rsidP="0057538E">
      <w:pPr>
        <w:jc w:val="both"/>
      </w:pPr>
      <w:r w:rsidRPr="00A9330B">
        <w:t>Par ailleurs, tout incident ou accident doit faire l’objet d’un rapport détaillé afin de conserver une trace formelle des évènements ayant affecté le chantier et d’analyser l’évènement afin d’adapter les mesures de prévention et d’intervention.</w:t>
      </w:r>
    </w:p>
    <w:p w14:paraId="5F6A5790" w14:textId="7D9B8AFC" w:rsidR="00401546" w:rsidRPr="00A9330B" w:rsidRDefault="006721DD" w:rsidP="0057538E">
      <w:pPr>
        <w:tabs>
          <w:tab w:val="left" w:pos="930"/>
        </w:tabs>
        <w:rPr>
          <w:rFonts w:eastAsiaTheme="majorEastAsia" w:cstheme="majorBidi"/>
          <w:i/>
          <w:color w:val="auto"/>
          <w:sz w:val="26"/>
          <w:szCs w:val="24"/>
        </w:rPr>
      </w:pPr>
      <w:r w:rsidRPr="00A9330B">
        <w:tab/>
      </w:r>
      <w:bookmarkStart w:id="1869" w:name="_Toc453943065"/>
      <w:bookmarkStart w:id="1870" w:name="_Toc463898233"/>
      <w:bookmarkStart w:id="1871" w:name="_Toc472330347"/>
      <w:bookmarkStart w:id="1872" w:name="_Toc523415160"/>
      <w:bookmarkStart w:id="1873" w:name="_Toc523417531"/>
      <w:bookmarkStart w:id="1874" w:name="_Toc523850164"/>
      <w:bookmarkStart w:id="1875" w:name="_Toc523857320"/>
      <w:bookmarkStart w:id="1876" w:name="_Toc524462557"/>
      <w:bookmarkStart w:id="1877" w:name="_Toc531434252"/>
      <w:bookmarkStart w:id="1878" w:name="_Toc535244626"/>
      <w:bookmarkStart w:id="1879" w:name="_Toc43697708"/>
      <w:r w:rsidR="00401546" w:rsidRPr="00A9330B">
        <w:rPr>
          <w:rFonts w:eastAsiaTheme="majorEastAsia" w:cstheme="majorBidi"/>
          <w:i/>
          <w:color w:val="auto"/>
          <w:sz w:val="26"/>
          <w:szCs w:val="24"/>
        </w:rPr>
        <w:t>9.12.5. Organisation des secours</w:t>
      </w:r>
      <w:bookmarkEnd w:id="1869"/>
      <w:bookmarkEnd w:id="1870"/>
      <w:bookmarkEnd w:id="1871"/>
      <w:bookmarkEnd w:id="1872"/>
      <w:bookmarkEnd w:id="1873"/>
      <w:bookmarkEnd w:id="1874"/>
      <w:bookmarkEnd w:id="1875"/>
      <w:bookmarkEnd w:id="1876"/>
      <w:bookmarkEnd w:id="1877"/>
      <w:bookmarkEnd w:id="1878"/>
      <w:bookmarkEnd w:id="1879"/>
    </w:p>
    <w:p w14:paraId="0DAE0BDA" w14:textId="562A7553" w:rsidR="00401546" w:rsidRPr="00A9330B" w:rsidRDefault="00401546" w:rsidP="00401546">
      <w:r w:rsidRPr="00A9330B">
        <w:t xml:space="preserve">Les </w:t>
      </w:r>
      <w:r w:rsidR="002B2F2F" w:rsidRPr="00A9330B">
        <w:t>e</w:t>
      </w:r>
      <w:r w:rsidRPr="00A9330B">
        <w:t xml:space="preserve">ntreprises doivent établir et diffuser les consignes en cas d’incident ou d’accident. D’une manière générale, un plan d’opération interne sera conçu et mis en œuvre dans le cadre du projet ; la démarche est la suivante : </w:t>
      </w:r>
    </w:p>
    <w:p w14:paraId="69096A2F" w14:textId="77777777" w:rsidR="00401546" w:rsidRPr="00A9330B" w:rsidRDefault="00401546" w:rsidP="00BD2F72">
      <w:pPr>
        <w:pStyle w:val="Paragraphedeliste"/>
        <w:numPr>
          <w:ilvl w:val="0"/>
          <w:numId w:val="129"/>
        </w:numPr>
        <w:spacing w:line="276" w:lineRule="auto"/>
        <w:ind w:left="714" w:hanging="357"/>
        <w:contextualSpacing w:val="0"/>
        <w:rPr>
          <w:rFonts w:cs="Arial"/>
          <w:color w:val="auto"/>
          <w:szCs w:val="24"/>
          <w:lang w:val="fr-FR" w:eastAsia="fr-FR"/>
        </w:rPr>
      </w:pPr>
      <w:r w:rsidRPr="00A9330B">
        <w:rPr>
          <w:rFonts w:cs="Arial"/>
          <w:color w:val="auto"/>
          <w:szCs w:val="24"/>
          <w:lang w:val="fr-FR" w:eastAsia="fr-FR"/>
        </w:rPr>
        <w:t>alerter au plus vite un responsable en précisant le lieu, la nature de l’incident/accident et l’état du ou des blessés ;</w:t>
      </w:r>
    </w:p>
    <w:p w14:paraId="293B6B8F" w14:textId="77777777" w:rsidR="00401546" w:rsidRPr="00A9330B" w:rsidRDefault="00401546" w:rsidP="00BD2F72">
      <w:pPr>
        <w:pStyle w:val="Paragraphedeliste"/>
        <w:numPr>
          <w:ilvl w:val="0"/>
          <w:numId w:val="129"/>
        </w:numPr>
        <w:spacing w:line="276" w:lineRule="auto"/>
        <w:ind w:left="714" w:hanging="357"/>
        <w:contextualSpacing w:val="0"/>
        <w:rPr>
          <w:rFonts w:cs="Arial"/>
          <w:color w:val="auto"/>
          <w:szCs w:val="24"/>
          <w:lang w:val="fr-FR" w:eastAsia="fr-FR"/>
        </w:rPr>
      </w:pPr>
      <w:r w:rsidRPr="00A9330B">
        <w:rPr>
          <w:rFonts w:cs="Arial"/>
          <w:color w:val="auto"/>
          <w:szCs w:val="24"/>
          <w:lang w:val="fr-FR" w:eastAsia="fr-FR"/>
        </w:rPr>
        <w:t>baliser le lieu de l’accident et s’assurer de l’absence de risques pour les personnes et les biens (notamment en termes de circulation) ;</w:t>
      </w:r>
    </w:p>
    <w:p w14:paraId="679A28A9" w14:textId="77777777" w:rsidR="00401546" w:rsidRPr="00A9330B" w:rsidRDefault="00401546" w:rsidP="00BD2F72">
      <w:pPr>
        <w:pStyle w:val="Paragraphedeliste"/>
        <w:numPr>
          <w:ilvl w:val="0"/>
          <w:numId w:val="129"/>
        </w:numPr>
        <w:spacing w:line="276" w:lineRule="auto"/>
        <w:ind w:left="714" w:hanging="357"/>
        <w:contextualSpacing w:val="0"/>
        <w:rPr>
          <w:rFonts w:cs="Arial"/>
          <w:color w:val="auto"/>
          <w:szCs w:val="24"/>
          <w:lang w:val="fr-FR" w:eastAsia="fr-FR"/>
        </w:rPr>
      </w:pPr>
      <w:r w:rsidRPr="00A9330B">
        <w:rPr>
          <w:rFonts w:cs="Arial"/>
          <w:color w:val="auto"/>
          <w:szCs w:val="24"/>
          <w:lang w:val="fr-FR" w:eastAsia="fr-FR"/>
        </w:rPr>
        <w:t>informer les secours par la personne responsable ;</w:t>
      </w:r>
    </w:p>
    <w:p w14:paraId="2016C1D3" w14:textId="77777777" w:rsidR="00401546" w:rsidRPr="00A9330B" w:rsidRDefault="00401546" w:rsidP="00BD2F72">
      <w:pPr>
        <w:pStyle w:val="Paragraphedeliste"/>
        <w:numPr>
          <w:ilvl w:val="0"/>
          <w:numId w:val="129"/>
        </w:numPr>
        <w:spacing w:line="276" w:lineRule="auto"/>
        <w:ind w:left="714" w:hanging="357"/>
        <w:contextualSpacing w:val="0"/>
        <w:rPr>
          <w:rFonts w:cs="Arial"/>
          <w:color w:val="auto"/>
          <w:szCs w:val="24"/>
          <w:lang w:val="fr-FR" w:eastAsia="fr-FR"/>
        </w:rPr>
      </w:pPr>
      <w:r w:rsidRPr="00A9330B">
        <w:rPr>
          <w:rFonts w:cs="Arial"/>
          <w:color w:val="auto"/>
          <w:szCs w:val="24"/>
          <w:lang w:val="fr-FR" w:eastAsia="fr-FR"/>
        </w:rPr>
        <w:t>informer le Maître d’ouvrage et la famille de la situation.</w:t>
      </w:r>
    </w:p>
    <w:p w14:paraId="0D6FA29E" w14:textId="77777777" w:rsidR="00401546" w:rsidRPr="00A9330B" w:rsidRDefault="00401546" w:rsidP="00401546">
      <w:pPr>
        <w:suppressAutoHyphens/>
        <w:spacing w:line="240" w:lineRule="auto"/>
        <w:ind w:left="720"/>
        <w:outlineLvl w:val="2"/>
        <w:rPr>
          <w:rFonts w:eastAsiaTheme="majorEastAsia" w:cstheme="majorBidi"/>
          <w:i/>
          <w:color w:val="auto"/>
          <w:sz w:val="26"/>
          <w:szCs w:val="24"/>
        </w:rPr>
      </w:pPr>
      <w:bookmarkStart w:id="1880" w:name="_Toc453943066"/>
      <w:bookmarkStart w:id="1881" w:name="_Toc463898234"/>
      <w:bookmarkStart w:id="1882" w:name="_Toc472330348"/>
      <w:bookmarkStart w:id="1883" w:name="_Toc523415161"/>
      <w:bookmarkStart w:id="1884" w:name="_Toc523417532"/>
      <w:bookmarkStart w:id="1885" w:name="_Toc523850165"/>
      <w:bookmarkStart w:id="1886" w:name="_Toc523857321"/>
      <w:bookmarkStart w:id="1887" w:name="_Toc524462558"/>
      <w:bookmarkStart w:id="1888" w:name="_Toc531434253"/>
      <w:bookmarkStart w:id="1889" w:name="_Toc535244627"/>
      <w:bookmarkStart w:id="1890" w:name="_Toc43697709"/>
      <w:bookmarkStart w:id="1891" w:name="_Toc45520912"/>
      <w:bookmarkStart w:id="1892" w:name="_Toc52869712"/>
      <w:r w:rsidRPr="00A9330B">
        <w:rPr>
          <w:rFonts w:eastAsiaTheme="majorEastAsia" w:cstheme="majorBidi"/>
          <w:i/>
          <w:color w:val="auto"/>
          <w:sz w:val="26"/>
          <w:szCs w:val="24"/>
        </w:rPr>
        <w:t>9.12.6. Sécurité incendie</w:t>
      </w:r>
      <w:bookmarkEnd w:id="1880"/>
      <w:bookmarkEnd w:id="1881"/>
      <w:bookmarkEnd w:id="1882"/>
      <w:bookmarkEnd w:id="1883"/>
      <w:bookmarkEnd w:id="1884"/>
      <w:bookmarkEnd w:id="1885"/>
      <w:bookmarkEnd w:id="1886"/>
      <w:bookmarkEnd w:id="1887"/>
      <w:bookmarkEnd w:id="1888"/>
      <w:bookmarkEnd w:id="1889"/>
      <w:bookmarkEnd w:id="1890"/>
      <w:bookmarkEnd w:id="1891"/>
      <w:bookmarkEnd w:id="1892"/>
    </w:p>
    <w:p w14:paraId="0EBE47D7" w14:textId="77777777" w:rsidR="00401546" w:rsidRPr="00A9330B" w:rsidRDefault="00401546" w:rsidP="00401546">
      <w:r w:rsidRPr="00A9330B">
        <w:t>La sécurité incendie est assurée par l’installation d’équipements et par des consignes spécifiques connues et suivies par le personnel.</w:t>
      </w:r>
    </w:p>
    <w:p w14:paraId="34D6BEAD" w14:textId="77777777" w:rsidR="00401546" w:rsidRPr="00A9330B" w:rsidRDefault="00401546" w:rsidP="00401546">
      <w:pPr>
        <w:rPr>
          <w:noProof/>
          <w:lang w:eastAsia="de-DE"/>
        </w:rPr>
      </w:pPr>
      <w:r w:rsidRPr="00A9330B">
        <w:rPr>
          <w:noProof/>
          <w:lang w:eastAsia="de-DE"/>
        </w:rPr>
        <w:t xml:space="preserve">Les </w:t>
      </w:r>
      <w:r w:rsidRPr="00A9330B">
        <w:rPr>
          <w:noProof/>
          <w:u w:val="single"/>
          <w:lang w:eastAsia="de-DE"/>
        </w:rPr>
        <w:t xml:space="preserve">équipements </w:t>
      </w:r>
      <w:r w:rsidRPr="00A9330B">
        <w:rPr>
          <w:noProof/>
          <w:lang w:eastAsia="de-DE"/>
        </w:rPr>
        <w:t>de prévention et de lutte contre l’incendie concernent :</w:t>
      </w:r>
    </w:p>
    <w:p w14:paraId="2D5DB5D6" w14:textId="77777777" w:rsidR="00401546" w:rsidRPr="00A9330B" w:rsidRDefault="00401546" w:rsidP="00BD2F72">
      <w:pPr>
        <w:pStyle w:val="Paragraphedeliste"/>
        <w:numPr>
          <w:ilvl w:val="0"/>
          <w:numId w:val="81"/>
        </w:numPr>
        <w:rPr>
          <w:noProof/>
          <w:lang w:val="fr-FR"/>
        </w:rPr>
      </w:pPr>
      <w:r w:rsidRPr="00A9330B">
        <w:rPr>
          <w:noProof/>
          <w:lang w:val="fr-FR"/>
        </w:rPr>
        <w:lastRenderedPageBreak/>
        <w:t>la pose d’extincteurs en parfait état et en cours de validité dans tous les véhicules de chantier ;</w:t>
      </w:r>
    </w:p>
    <w:p w14:paraId="7F15950D" w14:textId="77777777" w:rsidR="00401546" w:rsidRPr="00A9330B" w:rsidRDefault="00401546" w:rsidP="00BD2F72">
      <w:pPr>
        <w:pStyle w:val="Paragraphedeliste"/>
        <w:numPr>
          <w:ilvl w:val="0"/>
          <w:numId w:val="81"/>
        </w:numPr>
        <w:rPr>
          <w:noProof/>
          <w:lang w:val="fr-FR"/>
        </w:rPr>
      </w:pPr>
      <w:r w:rsidRPr="00A9330B">
        <w:rPr>
          <w:noProof/>
          <w:lang w:val="fr-FR"/>
        </w:rPr>
        <w:t>le conditionnement des produits inflammables ou explosifs dans des récipients adaptés ;</w:t>
      </w:r>
    </w:p>
    <w:p w14:paraId="7A040A68" w14:textId="77777777" w:rsidR="00401546" w:rsidRPr="00A9330B" w:rsidRDefault="00401546" w:rsidP="00BD2F72">
      <w:pPr>
        <w:pStyle w:val="Paragraphedeliste"/>
        <w:numPr>
          <w:ilvl w:val="0"/>
          <w:numId w:val="81"/>
        </w:numPr>
        <w:rPr>
          <w:noProof/>
          <w:lang w:val="fr-FR"/>
        </w:rPr>
      </w:pPr>
      <w:r w:rsidRPr="00A9330B">
        <w:rPr>
          <w:noProof/>
          <w:lang w:val="fr-FR"/>
        </w:rPr>
        <w:t>la mise en place de détecteurs d’incendie dans les locaux à risque.</w:t>
      </w:r>
    </w:p>
    <w:p w14:paraId="08102D33" w14:textId="77777777" w:rsidR="00401546" w:rsidRPr="00A9330B" w:rsidRDefault="00401546" w:rsidP="00401546">
      <w:pPr>
        <w:rPr>
          <w:noProof/>
          <w:lang w:eastAsia="de-DE"/>
        </w:rPr>
      </w:pPr>
      <w:r w:rsidRPr="00A9330B">
        <w:rPr>
          <w:noProof/>
          <w:lang w:eastAsia="de-DE"/>
        </w:rPr>
        <w:t xml:space="preserve">Les </w:t>
      </w:r>
      <w:r w:rsidRPr="00A9330B">
        <w:rPr>
          <w:noProof/>
          <w:u w:val="single"/>
          <w:lang w:eastAsia="de-DE"/>
        </w:rPr>
        <w:t>consignes de prévention</w:t>
      </w:r>
      <w:r w:rsidRPr="00A9330B">
        <w:rPr>
          <w:noProof/>
          <w:lang w:eastAsia="de-DE"/>
        </w:rPr>
        <w:t xml:space="preserve"> contre l’incendie concernent : </w:t>
      </w:r>
    </w:p>
    <w:p w14:paraId="6FA2A2EA" w14:textId="77777777" w:rsidR="00401546" w:rsidRPr="00A9330B" w:rsidRDefault="00401546" w:rsidP="00BD2F72">
      <w:pPr>
        <w:numPr>
          <w:ilvl w:val="0"/>
          <w:numId w:val="70"/>
        </w:numPr>
        <w:overflowPunct w:val="0"/>
        <w:autoSpaceDE w:val="0"/>
        <w:autoSpaceDN w:val="0"/>
        <w:adjustRightInd w:val="0"/>
        <w:spacing w:line="288" w:lineRule="auto"/>
        <w:contextualSpacing/>
        <w:rPr>
          <w:rFonts w:eastAsia="Times New Roman" w:cs="Times New Roman"/>
          <w:color w:val="auto"/>
          <w:szCs w:val="24"/>
          <w:lang w:eastAsia="fr-FR"/>
        </w:rPr>
      </w:pPr>
      <w:r w:rsidRPr="00A9330B">
        <w:rPr>
          <w:rFonts w:eastAsia="Times New Roman" w:cs="Times New Roman"/>
          <w:color w:val="auto"/>
          <w:szCs w:val="24"/>
          <w:lang w:eastAsia="fr-FR"/>
        </w:rPr>
        <w:t>l’arrêt des moteurs pendant le ravitaillement en gasoil ;</w:t>
      </w:r>
    </w:p>
    <w:p w14:paraId="4D50DD59" w14:textId="2A6F99DE" w:rsidR="00401546" w:rsidRPr="00A9330B" w:rsidRDefault="00401546" w:rsidP="00BD2F72">
      <w:pPr>
        <w:numPr>
          <w:ilvl w:val="0"/>
          <w:numId w:val="70"/>
        </w:numPr>
        <w:overflowPunct w:val="0"/>
        <w:autoSpaceDE w:val="0"/>
        <w:autoSpaceDN w:val="0"/>
        <w:adjustRightInd w:val="0"/>
        <w:spacing w:line="288" w:lineRule="auto"/>
        <w:contextualSpacing/>
        <w:rPr>
          <w:rFonts w:eastAsia="Times New Roman" w:cs="Times New Roman"/>
          <w:color w:val="auto"/>
          <w:szCs w:val="24"/>
          <w:lang w:eastAsia="fr-FR"/>
        </w:rPr>
      </w:pPr>
      <w:r w:rsidRPr="00A9330B">
        <w:rPr>
          <w:rFonts w:eastAsia="Times New Roman" w:cs="Times New Roman"/>
          <w:color w:val="auto"/>
          <w:szCs w:val="24"/>
          <w:lang w:eastAsia="fr-FR"/>
        </w:rPr>
        <w:t xml:space="preserve">l’élimination ou </w:t>
      </w:r>
      <w:r w:rsidR="002B2F2F" w:rsidRPr="00A9330B">
        <w:rPr>
          <w:rFonts w:eastAsia="Times New Roman" w:cs="Times New Roman"/>
          <w:color w:val="auto"/>
          <w:szCs w:val="24"/>
          <w:lang w:eastAsia="fr-FR"/>
        </w:rPr>
        <w:t xml:space="preserve">la </w:t>
      </w:r>
      <w:r w:rsidRPr="00A9330B">
        <w:rPr>
          <w:rFonts w:eastAsia="Times New Roman" w:cs="Times New Roman"/>
          <w:color w:val="auto"/>
          <w:szCs w:val="24"/>
          <w:lang w:eastAsia="fr-FR"/>
        </w:rPr>
        <w:t>couverture avec du sable ou de la terre de toutes traces de carburant, huiles ou autres produits inflammables ;</w:t>
      </w:r>
    </w:p>
    <w:p w14:paraId="3248805E" w14:textId="77777777" w:rsidR="00401546" w:rsidRPr="00A9330B" w:rsidRDefault="00401546" w:rsidP="00BD2F72">
      <w:pPr>
        <w:numPr>
          <w:ilvl w:val="0"/>
          <w:numId w:val="70"/>
        </w:numPr>
        <w:overflowPunct w:val="0"/>
        <w:autoSpaceDE w:val="0"/>
        <w:autoSpaceDN w:val="0"/>
        <w:adjustRightInd w:val="0"/>
        <w:spacing w:line="288" w:lineRule="auto"/>
        <w:contextualSpacing/>
        <w:rPr>
          <w:rFonts w:eastAsia="Times New Roman" w:cs="Times New Roman"/>
          <w:color w:val="auto"/>
          <w:szCs w:val="24"/>
          <w:lang w:eastAsia="fr-FR"/>
        </w:rPr>
      </w:pPr>
      <w:r w:rsidRPr="00A9330B">
        <w:rPr>
          <w:rFonts w:eastAsia="Times New Roman" w:cs="Times New Roman"/>
          <w:color w:val="auto"/>
          <w:szCs w:val="24"/>
          <w:lang w:eastAsia="fr-FR"/>
        </w:rPr>
        <w:t>l’interdiction de fumer partout où sont présents des produits inflammables ou explosifs ;</w:t>
      </w:r>
    </w:p>
    <w:p w14:paraId="2271523E" w14:textId="77777777" w:rsidR="00401546" w:rsidRPr="00A9330B" w:rsidRDefault="00401546" w:rsidP="00BD2F72">
      <w:pPr>
        <w:numPr>
          <w:ilvl w:val="0"/>
          <w:numId w:val="70"/>
        </w:numPr>
        <w:overflowPunct w:val="0"/>
        <w:autoSpaceDE w:val="0"/>
        <w:autoSpaceDN w:val="0"/>
        <w:adjustRightInd w:val="0"/>
        <w:spacing w:line="288" w:lineRule="auto"/>
        <w:contextualSpacing/>
        <w:rPr>
          <w:rFonts w:eastAsia="Times New Roman" w:cs="Times New Roman"/>
          <w:color w:val="auto"/>
          <w:szCs w:val="24"/>
          <w:lang w:eastAsia="fr-FR"/>
        </w:rPr>
      </w:pPr>
      <w:r w:rsidRPr="00A9330B">
        <w:rPr>
          <w:rFonts w:eastAsia="Times New Roman" w:cs="Times New Roman"/>
          <w:color w:val="auto"/>
          <w:szCs w:val="24"/>
          <w:lang w:eastAsia="fr-FR"/>
        </w:rPr>
        <w:t>les opérations de soudure réalisées en dehors de zones de végétation ;</w:t>
      </w:r>
    </w:p>
    <w:p w14:paraId="706CE1EC" w14:textId="77777777" w:rsidR="00401546" w:rsidRPr="00A9330B" w:rsidRDefault="00401546" w:rsidP="00BD2F72">
      <w:pPr>
        <w:numPr>
          <w:ilvl w:val="0"/>
          <w:numId w:val="70"/>
        </w:numPr>
        <w:overflowPunct w:val="0"/>
        <w:autoSpaceDE w:val="0"/>
        <w:autoSpaceDN w:val="0"/>
        <w:adjustRightInd w:val="0"/>
        <w:spacing w:line="288" w:lineRule="auto"/>
        <w:contextualSpacing/>
        <w:rPr>
          <w:rFonts w:eastAsia="Times New Roman" w:cs="Times New Roman"/>
          <w:color w:val="auto"/>
          <w:szCs w:val="24"/>
          <w:lang w:eastAsia="fr-FR"/>
        </w:rPr>
      </w:pPr>
      <w:r w:rsidRPr="00A9330B">
        <w:rPr>
          <w:rFonts w:eastAsia="Times New Roman" w:cs="Times New Roman"/>
          <w:color w:val="auto"/>
          <w:szCs w:val="24"/>
          <w:lang w:eastAsia="fr-FR"/>
        </w:rPr>
        <w:t>le débranchement et rangement des outils électriques en fin de journée.</w:t>
      </w:r>
    </w:p>
    <w:p w14:paraId="1C240CED" w14:textId="77777777" w:rsidR="00401546" w:rsidRPr="00A9330B" w:rsidRDefault="00401546" w:rsidP="0057538E">
      <w:pPr>
        <w:jc w:val="both"/>
      </w:pPr>
      <w:r w:rsidRPr="00A9330B">
        <w:t xml:space="preserve">Les </w:t>
      </w:r>
      <w:r w:rsidRPr="00A9330B">
        <w:rPr>
          <w:u w:val="single"/>
        </w:rPr>
        <w:t xml:space="preserve">consignes de lutte </w:t>
      </w:r>
      <w:r w:rsidRPr="00A9330B">
        <w:t>contre l’incendie comprennent en cas de démarrage d’incendie, l’alerte des pompiers, la réalisation d’une bande coupe-feu avec les moyens adaptés et l’envoi d’un camion de citerne à eau sur les lieux. Les employés sont formés aux mesures de prévention et de lutte contre le risque incendie.</w:t>
      </w:r>
    </w:p>
    <w:p w14:paraId="2E10B30B" w14:textId="17D59AF0" w:rsidR="00401546" w:rsidRPr="00A9330B" w:rsidRDefault="006721DD" w:rsidP="000F7BA7">
      <w:pPr>
        <w:pStyle w:val="Titre20"/>
      </w:pPr>
      <w:bookmarkStart w:id="1893" w:name="_Toc453943067"/>
      <w:bookmarkStart w:id="1894" w:name="_Toc463898235"/>
      <w:bookmarkStart w:id="1895" w:name="_Toc472330349"/>
      <w:bookmarkStart w:id="1896" w:name="_Toc523415162"/>
      <w:bookmarkStart w:id="1897" w:name="_Toc523417533"/>
      <w:bookmarkStart w:id="1898" w:name="_Toc523850166"/>
      <w:bookmarkStart w:id="1899" w:name="_Toc523857322"/>
      <w:bookmarkStart w:id="1900" w:name="_Toc524462559"/>
      <w:bookmarkStart w:id="1901" w:name="_Toc531434254"/>
      <w:bookmarkStart w:id="1902" w:name="_Toc535244628"/>
      <w:bookmarkStart w:id="1903" w:name="_Toc43697710"/>
      <w:bookmarkStart w:id="1904" w:name="_Toc45520913"/>
      <w:bookmarkStart w:id="1905" w:name="_Toc52869713"/>
      <w:bookmarkStart w:id="1906" w:name="_Toc52869868"/>
      <w:r w:rsidRPr="00A9330B">
        <w:t>9.13. Mesures spécifiques a chaque type d’</w:t>
      </w:r>
      <w:bookmarkEnd w:id="1893"/>
      <w:bookmarkEnd w:id="1894"/>
      <w:bookmarkEnd w:id="1895"/>
      <w:bookmarkEnd w:id="1896"/>
      <w:bookmarkEnd w:id="1897"/>
      <w:bookmarkEnd w:id="1898"/>
      <w:bookmarkEnd w:id="1899"/>
      <w:bookmarkEnd w:id="1900"/>
      <w:bookmarkEnd w:id="1901"/>
      <w:bookmarkEnd w:id="1902"/>
      <w:bookmarkEnd w:id="1903"/>
      <w:r w:rsidRPr="00A9330B">
        <w:t>activités</w:t>
      </w:r>
      <w:bookmarkEnd w:id="1904"/>
      <w:bookmarkEnd w:id="1905"/>
      <w:bookmarkEnd w:id="1906"/>
    </w:p>
    <w:p w14:paraId="51B189C2" w14:textId="77777777" w:rsidR="00401546" w:rsidRPr="00A9330B" w:rsidRDefault="00401546" w:rsidP="00401546">
      <w:r w:rsidRPr="00A9330B">
        <w:t xml:space="preserve">Les objectifs et les mesures préconisées pour prévenir et minimiser les risques importants et élevés pour chaque type d’activités mis en œuvre pendant le projet sont détaillés ci-après. </w:t>
      </w:r>
    </w:p>
    <w:p w14:paraId="22FEAC5F" w14:textId="77777777" w:rsidR="00401546" w:rsidRPr="00A9330B" w:rsidRDefault="00401546" w:rsidP="00401546">
      <w:pPr>
        <w:suppressAutoHyphens/>
        <w:spacing w:line="240" w:lineRule="auto"/>
        <w:ind w:left="720"/>
        <w:outlineLvl w:val="2"/>
        <w:rPr>
          <w:rFonts w:eastAsiaTheme="majorEastAsia" w:cstheme="majorBidi"/>
          <w:i/>
          <w:color w:val="auto"/>
          <w:sz w:val="26"/>
          <w:szCs w:val="24"/>
        </w:rPr>
      </w:pPr>
      <w:bookmarkStart w:id="1907" w:name="_Toc453943068"/>
      <w:bookmarkStart w:id="1908" w:name="_Toc463898236"/>
      <w:bookmarkStart w:id="1909" w:name="_Toc472330350"/>
      <w:bookmarkStart w:id="1910" w:name="_Toc523415163"/>
      <w:bookmarkStart w:id="1911" w:name="_Toc523417534"/>
      <w:bookmarkStart w:id="1912" w:name="_Toc523850167"/>
      <w:bookmarkStart w:id="1913" w:name="_Toc523857323"/>
      <w:bookmarkStart w:id="1914" w:name="_Toc524462560"/>
      <w:bookmarkStart w:id="1915" w:name="_Toc531434255"/>
      <w:bookmarkStart w:id="1916" w:name="_Toc535244629"/>
      <w:bookmarkStart w:id="1917" w:name="_Toc43697711"/>
      <w:bookmarkStart w:id="1918" w:name="_Toc45520914"/>
      <w:bookmarkStart w:id="1919" w:name="_Toc52869714"/>
      <w:r w:rsidRPr="00A9330B">
        <w:rPr>
          <w:rFonts w:eastAsiaTheme="majorEastAsia" w:cstheme="majorBidi"/>
          <w:i/>
          <w:color w:val="auto"/>
          <w:sz w:val="26"/>
          <w:szCs w:val="24"/>
        </w:rPr>
        <w:t>9.13.1. Travaux de déplacement des réseaux divers (eau, électricité et téléphonique)</w:t>
      </w:r>
      <w:bookmarkEnd w:id="1907"/>
      <w:bookmarkEnd w:id="1908"/>
      <w:bookmarkEnd w:id="1909"/>
      <w:bookmarkEnd w:id="1910"/>
      <w:bookmarkEnd w:id="1911"/>
      <w:bookmarkEnd w:id="1912"/>
      <w:bookmarkEnd w:id="1913"/>
      <w:bookmarkEnd w:id="1914"/>
      <w:bookmarkEnd w:id="1915"/>
      <w:bookmarkEnd w:id="1916"/>
      <w:bookmarkEnd w:id="1917"/>
      <w:bookmarkEnd w:id="1918"/>
      <w:bookmarkEnd w:id="1919"/>
    </w:p>
    <w:p w14:paraId="1F278AA3" w14:textId="77777777" w:rsidR="00401546" w:rsidRPr="00A9330B" w:rsidRDefault="00401546" w:rsidP="00401546">
      <w:pPr>
        <w:jc w:val="both"/>
      </w:pPr>
      <w:r w:rsidRPr="00A9330B">
        <w:t>Les mesures de prévention et de maîtrise des risques pour les travaux de forages et de pompage d’essai concernent i) la signalisation des chantiers ; ii) l’aménagement des zones de circulation et de travail ; iii) l’amenée, le montage, le stockage et le repliement du matériel ; iv) l’utilisation des matériels, engins et véhicules de chantier et v) l’aménagement des postes de travail.</w:t>
      </w:r>
      <w:bookmarkStart w:id="1920" w:name="_Toc472330401"/>
      <w:bookmarkStart w:id="1921" w:name="_Toc523424631"/>
      <w:bookmarkStart w:id="1922" w:name="_Toc523582316"/>
      <w:bookmarkStart w:id="1923" w:name="_Toc524462742"/>
    </w:p>
    <w:p w14:paraId="4AFE45B0" w14:textId="219979B0" w:rsidR="00401546" w:rsidRPr="00A9330B" w:rsidRDefault="00401546" w:rsidP="00401546">
      <w:pPr>
        <w:keepNext/>
        <w:spacing w:after="120" w:line="240" w:lineRule="auto"/>
        <w:jc w:val="center"/>
        <w:rPr>
          <w:rFonts w:eastAsia="Calibri" w:cs="Arial"/>
          <w:b/>
          <w:bCs/>
          <w:color w:val="000000"/>
          <w:sz w:val="20"/>
          <w:szCs w:val="20"/>
          <w:lang w:eastAsia="fr-FR"/>
        </w:rPr>
      </w:pPr>
      <w:bookmarkStart w:id="1924" w:name="_Toc529249285"/>
      <w:bookmarkStart w:id="1925" w:name="_Toc533058624"/>
      <w:bookmarkStart w:id="1926" w:name="_Toc535237437"/>
      <w:bookmarkStart w:id="1927" w:name="_Toc43696265"/>
      <w:bookmarkStart w:id="1928" w:name="_Toc52873778"/>
      <w:r w:rsidRPr="00A9330B">
        <w:rPr>
          <w:rFonts w:eastAsia="Times New Roman" w:cs="Arial"/>
          <w:b/>
          <w:color w:val="000000"/>
          <w:sz w:val="20"/>
          <w:szCs w:val="20"/>
          <w:lang w:eastAsia="fr-FR"/>
        </w:rPr>
        <w:t xml:space="preserve">Tableau </w:t>
      </w:r>
      <w:r w:rsidRPr="00A9330B">
        <w:rPr>
          <w:rFonts w:eastAsia="Times New Roman" w:cs="Arial"/>
          <w:b/>
          <w:color w:val="000000"/>
          <w:sz w:val="20"/>
          <w:szCs w:val="20"/>
          <w:lang w:eastAsia="fr-FR"/>
        </w:rPr>
        <w:fldChar w:fldCharType="begin"/>
      </w:r>
      <w:r w:rsidRPr="00A9330B">
        <w:rPr>
          <w:rFonts w:eastAsia="Times New Roman" w:cs="Arial"/>
          <w:b/>
          <w:color w:val="000000"/>
          <w:sz w:val="20"/>
          <w:szCs w:val="20"/>
          <w:lang w:eastAsia="fr-FR"/>
        </w:rPr>
        <w:instrText xml:space="preserve"> SEQ Tableau \* ARABIC </w:instrText>
      </w:r>
      <w:r w:rsidRPr="00A9330B">
        <w:rPr>
          <w:rFonts w:eastAsia="Times New Roman" w:cs="Arial"/>
          <w:b/>
          <w:color w:val="000000"/>
          <w:sz w:val="20"/>
          <w:szCs w:val="20"/>
          <w:lang w:eastAsia="fr-FR"/>
        </w:rPr>
        <w:fldChar w:fldCharType="separate"/>
      </w:r>
      <w:r w:rsidR="0057538E" w:rsidRPr="00A9330B">
        <w:rPr>
          <w:rFonts w:eastAsia="Times New Roman" w:cs="Arial"/>
          <w:b/>
          <w:noProof/>
          <w:color w:val="000000"/>
          <w:sz w:val="20"/>
          <w:szCs w:val="20"/>
          <w:lang w:eastAsia="fr-FR"/>
        </w:rPr>
        <w:t>54</w:t>
      </w:r>
      <w:r w:rsidRPr="00A9330B">
        <w:rPr>
          <w:rFonts w:eastAsia="Times New Roman" w:cs="Arial"/>
          <w:b/>
          <w:color w:val="000000"/>
          <w:sz w:val="20"/>
          <w:szCs w:val="20"/>
          <w:lang w:eastAsia="fr-FR"/>
        </w:rPr>
        <w:fldChar w:fldCharType="end"/>
      </w:r>
      <w:r w:rsidRPr="00A9330B">
        <w:rPr>
          <w:rFonts w:eastAsia="Times New Roman" w:cs="Arial"/>
          <w:b/>
          <w:color w:val="000000"/>
          <w:sz w:val="20"/>
          <w:szCs w:val="20"/>
          <w:lang w:eastAsia="fr-FR"/>
        </w:rPr>
        <w:t xml:space="preserve"> </w:t>
      </w:r>
      <w:r w:rsidRPr="00A9330B">
        <w:rPr>
          <w:rFonts w:eastAsia="Calibri" w:cs="Arial"/>
          <w:b/>
          <w:color w:val="auto"/>
          <w:sz w:val="20"/>
          <w:szCs w:val="20"/>
          <w:lang w:eastAsia="fr-FR"/>
        </w:rPr>
        <w:t xml:space="preserve">: </w:t>
      </w:r>
      <w:r w:rsidRPr="00A9330B">
        <w:rPr>
          <w:rFonts w:eastAsia="Calibri" w:cs="Arial"/>
          <w:b/>
          <w:color w:val="000000"/>
          <w:sz w:val="20"/>
          <w:szCs w:val="20"/>
          <w:lang w:eastAsia="fr-FR"/>
        </w:rPr>
        <w:t xml:space="preserve">Objectifs et mesures de prévention des risques pour les travaux de </w:t>
      </w:r>
      <w:bookmarkEnd w:id="1920"/>
      <w:r w:rsidRPr="00A9330B">
        <w:rPr>
          <w:rFonts w:eastAsia="Calibri" w:cs="Arial"/>
          <w:b/>
          <w:color w:val="000000"/>
          <w:sz w:val="20"/>
          <w:szCs w:val="20"/>
          <w:lang w:eastAsia="fr-FR"/>
        </w:rPr>
        <w:t>déplacement de réseaux</w:t>
      </w:r>
      <w:bookmarkEnd w:id="1921"/>
      <w:bookmarkEnd w:id="1922"/>
      <w:bookmarkEnd w:id="1923"/>
      <w:bookmarkEnd w:id="1924"/>
      <w:bookmarkEnd w:id="1925"/>
      <w:bookmarkEnd w:id="1926"/>
      <w:bookmarkEnd w:id="1927"/>
      <w:bookmarkEnd w:id="1928"/>
    </w:p>
    <w:tbl>
      <w:tblPr>
        <w:tblStyle w:val="Grilledutableau9"/>
        <w:tblW w:w="0" w:type="auto"/>
        <w:jc w:val="center"/>
        <w:tblLook w:val="04A0" w:firstRow="1" w:lastRow="0" w:firstColumn="1" w:lastColumn="0" w:noHBand="0" w:noVBand="1"/>
      </w:tblPr>
      <w:tblGrid>
        <w:gridCol w:w="1912"/>
        <w:gridCol w:w="2449"/>
        <w:gridCol w:w="3576"/>
        <w:gridCol w:w="1123"/>
      </w:tblGrid>
      <w:tr w:rsidR="00401546" w:rsidRPr="00A9330B" w14:paraId="19022321" w14:textId="77777777" w:rsidTr="00401546">
        <w:trPr>
          <w:jc w:val="center"/>
        </w:trPr>
        <w:tc>
          <w:tcPr>
            <w:tcW w:w="1940" w:type="dxa"/>
            <w:shd w:val="clear" w:color="auto" w:fill="FF6600"/>
          </w:tcPr>
          <w:p w14:paraId="17C44CCD" w14:textId="77777777" w:rsidR="00401546" w:rsidRPr="00A9330B" w:rsidRDefault="00401546" w:rsidP="00401546">
            <w:pPr>
              <w:spacing w:line="240" w:lineRule="auto"/>
              <w:jc w:val="center"/>
              <w:rPr>
                <w:rFonts w:cs="Arial"/>
                <w:b/>
                <w:color w:val="FFFFFF" w:themeColor="background1"/>
              </w:rPr>
            </w:pPr>
            <w:r w:rsidRPr="00A9330B">
              <w:rPr>
                <w:rFonts w:cs="Arial"/>
                <w:b/>
                <w:color w:val="FFFFFF" w:themeColor="background1"/>
              </w:rPr>
              <w:t xml:space="preserve">Risque </w:t>
            </w:r>
          </w:p>
        </w:tc>
        <w:tc>
          <w:tcPr>
            <w:tcW w:w="2508" w:type="dxa"/>
            <w:shd w:val="clear" w:color="auto" w:fill="FF6600"/>
          </w:tcPr>
          <w:p w14:paraId="60C32279" w14:textId="77777777" w:rsidR="00401546" w:rsidRPr="00A9330B" w:rsidRDefault="00401546" w:rsidP="00401546">
            <w:pPr>
              <w:spacing w:line="240" w:lineRule="auto"/>
              <w:jc w:val="center"/>
              <w:rPr>
                <w:rFonts w:cs="Arial"/>
                <w:b/>
                <w:color w:val="FFFFFF" w:themeColor="background1"/>
              </w:rPr>
            </w:pPr>
            <w:r w:rsidRPr="00A9330B">
              <w:rPr>
                <w:rFonts w:cs="Arial"/>
                <w:b/>
                <w:color w:val="FFFFFF" w:themeColor="background1"/>
              </w:rPr>
              <w:t xml:space="preserve">Objectifs pour prévenir et minimiser les risques </w:t>
            </w:r>
          </w:p>
        </w:tc>
        <w:tc>
          <w:tcPr>
            <w:tcW w:w="3700" w:type="dxa"/>
            <w:shd w:val="clear" w:color="auto" w:fill="FF6600"/>
          </w:tcPr>
          <w:p w14:paraId="390E592B" w14:textId="77777777" w:rsidR="00401546" w:rsidRPr="00A9330B" w:rsidRDefault="00401546" w:rsidP="00401546">
            <w:pPr>
              <w:spacing w:line="240" w:lineRule="auto"/>
              <w:jc w:val="center"/>
              <w:rPr>
                <w:rFonts w:cs="Arial"/>
                <w:b/>
                <w:color w:val="FFFFFF" w:themeColor="background1"/>
              </w:rPr>
            </w:pPr>
            <w:r w:rsidRPr="00A9330B">
              <w:rPr>
                <w:rFonts w:cs="Arial"/>
                <w:b/>
                <w:color w:val="FFFFFF" w:themeColor="background1"/>
              </w:rPr>
              <w:t>Mesures à prendre pour prévenir, minimiser et gérer le risque</w:t>
            </w:r>
          </w:p>
        </w:tc>
        <w:tc>
          <w:tcPr>
            <w:tcW w:w="1138" w:type="dxa"/>
            <w:shd w:val="clear" w:color="auto" w:fill="FF6600"/>
          </w:tcPr>
          <w:p w14:paraId="767F9EF5" w14:textId="77777777" w:rsidR="00401546" w:rsidRPr="00A9330B" w:rsidRDefault="00401546" w:rsidP="00401546">
            <w:pPr>
              <w:spacing w:line="240" w:lineRule="auto"/>
              <w:jc w:val="center"/>
              <w:rPr>
                <w:rFonts w:cs="Arial"/>
                <w:b/>
                <w:color w:val="FFFFFF" w:themeColor="background1"/>
              </w:rPr>
            </w:pPr>
            <w:r w:rsidRPr="00A9330B">
              <w:rPr>
                <w:rFonts w:cs="Arial"/>
                <w:b/>
                <w:color w:val="FFFFFF" w:themeColor="background1"/>
              </w:rPr>
              <w:t xml:space="preserve">Danger pris en compte </w:t>
            </w:r>
          </w:p>
        </w:tc>
      </w:tr>
      <w:tr w:rsidR="00401546" w:rsidRPr="00A9330B" w14:paraId="69D1C96F" w14:textId="77777777" w:rsidTr="00401546">
        <w:trPr>
          <w:jc w:val="center"/>
        </w:trPr>
        <w:tc>
          <w:tcPr>
            <w:tcW w:w="1940" w:type="dxa"/>
            <w:shd w:val="clear" w:color="auto" w:fill="D9D9D9" w:themeFill="background1" w:themeFillShade="D9"/>
          </w:tcPr>
          <w:p w14:paraId="020A61DD" w14:textId="77777777" w:rsidR="00401546" w:rsidRPr="00A9330B" w:rsidRDefault="00401546" w:rsidP="00401546">
            <w:pPr>
              <w:spacing w:line="240" w:lineRule="auto"/>
              <w:rPr>
                <w:rFonts w:cs="Arial"/>
                <w:b/>
              </w:rPr>
            </w:pPr>
          </w:p>
        </w:tc>
        <w:tc>
          <w:tcPr>
            <w:tcW w:w="7346" w:type="dxa"/>
            <w:gridSpan w:val="3"/>
            <w:shd w:val="clear" w:color="auto" w:fill="D9D9D9" w:themeFill="background1" w:themeFillShade="D9"/>
          </w:tcPr>
          <w:p w14:paraId="63590997" w14:textId="77777777" w:rsidR="00401546" w:rsidRPr="00A9330B" w:rsidRDefault="00401546" w:rsidP="00401546">
            <w:pPr>
              <w:spacing w:line="240" w:lineRule="auto"/>
              <w:rPr>
                <w:rFonts w:cs="Arial"/>
                <w:b/>
              </w:rPr>
            </w:pPr>
            <w:r w:rsidRPr="00A9330B">
              <w:rPr>
                <w:rFonts w:cs="Arial"/>
                <w:b/>
              </w:rPr>
              <w:t>Signalisation du chantier – Reconnaissance des abords</w:t>
            </w:r>
          </w:p>
        </w:tc>
      </w:tr>
      <w:tr w:rsidR="00401546" w:rsidRPr="00A9330B" w14:paraId="2FB530FD" w14:textId="77777777" w:rsidTr="00401546">
        <w:trPr>
          <w:jc w:val="center"/>
        </w:trPr>
        <w:tc>
          <w:tcPr>
            <w:tcW w:w="1940" w:type="dxa"/>
            <w:vMerge w:val="restart"/>
          </w:tcPr>
          <w:p w14:paraId="3029A787" w14:textId="77777777" w:rsidR="00401546" w:rsidRPr="00A9330B" w:rsidRDefault="00401546" w:rsidP="000F7BA7">
            <w:pPr>
              <w:spacing w:line="240" w:lineRule="auto"/>
              <w:jc w:val="both"/>
              <w:rPr>
                <w:rFonts w:cs="Arial"/>
              </w:rPr>
            </w:pPr>
            <w:r w:rsidRPr="00A9330B">
              <w:rPr>
                <w:rFonts w:cs="Arial"/>
                <w:sz w:val="18"/>
                <w:szCs w:val="18"/>
              </w:rPr>
              <w:t>Vulnérabilité des ouvriers pouvant entrainer la mort, des blessures, fractures, lésions, pertes sensorielles temporaires ou permanente</w:t>
            </w:r>
          </w:p>
        </w:tc>
        <w:tc>
          <w:tcPr>
            <w:tcW w:w="2508" w:type="dxa"/>
            <w:vMerge w:val="restart"/>
          </w:tcPr>
          <w:p w14:paraId="490CB7B7" w14:textId="77777777" w:rsidR="00401546" w:rsidRPr="00A9330B" w:rsidRDefault="00401546" w:rsidP="000F7BA7">
            <w:pPr>
              <w:spacing w:line="240" w:lineRule="auto"/>
              <w:jc w:val="both"/>
              <w:rPr>
                <w:rFonts w:cs="Arial"/>
              </w:rPr>
            </w:pPr>
            <w:r w:rsidRPr="00A9330B">
              <w:rPr>
                <w:rFonts w:cs="Arial"/>
              </w:rPr>
              <w:t xml:space="preserve">Assurer la sécurité des personnes et des biens aux abords du chantier </w:t>
            </w:r>
          </w:p>
        </w:tc>
        <w:tc>
          <w:tcPr>
            <w:tcW w:w="3700" w:type="dxa"/>
          </w:tcPr>
          <w:p w14:paraId="07F0C0E0" w14:textId="77777777" w:rsidR="00401546" w:rsidRPr="00A9330B" w:rsidRDefault="00401546" w:rsidP="00401546">
            <w:pPr>
              <w:spacing w:line="240" w:lineRule="auto"/>
              <w:rPr>
                <w:rFonts w:cs="Arial"/>
              </w:rPr>
            </w:pPr>
            <w:r w:rsidRPr="00A9330B">
              <w:rPr>
                <w:rFonts w:cs="Arial"/>
              </w:rPr>
              <w:t xml:space="preserve">Information et autorisation auprès des autorités et services de l’état concernés </w:t>
            </w:r>
          </w:p>
          <w:p w14:paraId="3A23F93D" w14:textId="77777777" w:rsidR="00401546" w:rsidRPr="00A9330B" w:rsidRDefault="00401546" w:rsidP="00401546">
            <w:pPr>
              <w:spacing w:line="240" w:lineRule="auto"/>
              <w:rPr>
                <w:rFonts w:cs="Arial"/>
              </w:rPr>
            </w:pPr>
            <w:r w:rsidRPr="00A9330B">
              <w:rPr>
                <w:rFonts w:cs="Arial"/>
              </w:rPr>
              <w:t xml:space="preserve">Information des riverains </w:t>
            </w:r>
          </w:p>
        </w:tc>
        <w:tc>
          <w:tcPr>
            <w:tcW w:w="1138" w:type="dxa"/>
          </w:tcPr>
          <w:p w14:paraId="111D64EA" w14:textId="77777777" w:rsidR="00401546" w:rsidRPr="00A9330B" w:rsidRDefault="00401546" w:rsidP="00401546">
            <w:pPr>
              <w:spacing w:line="240" w:lineRule="auto"/>
              <w:jc w:val="center"/>
              <w:rPr>
                <w:rFonts w:cs="Arial"/>
              </w:rPr>
            </w:pPr>
            <w:r w:rsidRPr="00A9330B">
              <w:rPr>
                <w:rFonts w:cs="Arial"/>
              </w:rPr>
              <w:t xml:space="preserve">2 à 5 et 8 </w:t>
            </w:r>
          </w:p>
        </w:tc>
      </w:tr>
      <w:tr w:rsidR="00401546" w:rsidRPr="00A9330B" w14:paraId="20E6265C" w14:textId="77777777" w:rsidTr="00401546">
        <w:trPr>
          <w:jc w:val="center"/>
        </w:trPr>
        <w:tc>
          <w:tcPr>
            <w:tcW w:w="1940" w:type="dxa"/>
            <w:vMerge/>
          </w:tcPr>
          <w:p w14:paraId="5525146E" w14:textId="77777777" w:rsidR="00401546" w:rsidRPr="00A9330B" w:rsidRDefault="00401546" w:rsidP="00401546">
            <w:pPr>
              <w:spacing w:line="240" w:lineRule="auto"/>
              <w:rPr>
                <w:rFonts w:cs="Arial"/>
              </w:rPr>
            </w:pPr>
          </w:p>
        </w:tc>
        <w:tc>
          <w:tcPr>
            <w:tcW w:w="2508" w:type="dxa"/>
            <w:vMerge/>
          </w:tcPr>
          <w:p w14:paraId="0A8D947C" w14:textId="77777777" w:rsidR="00401546" w:rsidRPr="00A9330B" w:rsidRDefault="00401546" w:rsidP="00401546">
            <w:pPr>
              <w:spacing w:line="240" w:lineRule="auto"/>
              <w:rPr>
                <w:rFonts w:cs="Arial"/>
              </w:rPr>
            </w:pPr>
          </w:p>
        </w:tc>
        <w:tc>
          <w:tcPr>
            <w:tcW w:w="3700" w:type="dxa"/>
          </w:tcPr>
          <w:p w14:paraId="74860853" w14:textId="77777777" w:rsidR="00401546" w:rsidRPr="00A9330B" w:rsidRDefault="00401546" w:rsidP="00401546">
            <w:pPr>
              <w:spacing w:line="240" w:lineRule="auto"/>
              <w:rPr>
                <w:rFonts w:cs="Arial"/>
              </w:rPr>
            </w:pPr>
            <w:r w:rsidRPr="00A9330B">
              <w:rPr>
                <w:rFonts w:cs="Arial"/>
              </w:rPr>
              <w:t xml:space="preserve">Etat des lieux préalable et mise en évidence des zones à risque  </w:t>
            </w:r>
          </w:p>
        </w:tc>
        <w:tc>
          <w:tcPr>
            <w:tcW w:w="1138" w:type="dxa"/>
          </w:tcPr>
          <w:p w14:paraId="54FA4998" w14:textId="77777777" w:rsidR="00401546" w:rsidRPr="00A9330B" w:rsidRDefault="00401546" w:rsidP="00401546">
            <w:pPr>
              <w:spacing w:line="240" w:lineRule="auto"/>
              <w:jc w:val="center"/>
              <w:rPr>
                <w:rFonts w:cs="Arial"/>
              </w:rPr>
            </w:pPr>
            <w:r w:rsidRPr="00A9330B">
              <w:rPr>
                <w:rFonts w:cs="Arial"/>
              </w:rPr>
              <w:t xml:space="preserve">7 et 8 </w:t>
            </w:r>
          </w:p>
        </w:tc>
      </w:tr>
      <w:tr w:rsidR="00401546" w:rsidRPr="00A9330B" w14:paraId="252B4085" w14:textId="77777777" w:rsidTr="00401546">
        <w:trPr>
          <w:jc w:val="center"/>
        </w:trPr>
        <w:tc>
          <w:tcPr>
            <w:tcW w:w="1940" w:type="dxa"/>
            <w:vMerge/>
          </w:tcPr>
          <w:p w14:paraId="385A5E9B" w14:textId="77777777" w:rsidR="00401546" w:rsidRPr="00A9330B" w:rsidRDefault="00401546" w:rsidP="00401546">
            <w:pPr>
              <w:spacing w:line="240" w:lineRule="auto"/>
              <w:rPr>
                <w:rFonts w:cs="Arial"/>
              </w:rPr>
            </w:pPr>
          </w:p>
        </w:tc>
        <w:tc>
          <w:tcPr>
            <w:tcW w:w="2508" w:type="dxa"/>
            <w:vMerge/>
          </w:tcPr>
          <w:p w14:paraId="7DEC2936" w14:textId="77777777" w:rsidR="00401546" w:rsidRPr="00A9330B" w:rsidRDefault="00401546" w:rsidP="00401546">
            <w:pPr>
              <w:spacing w:line="240" w:lineRule="auto"/>
              <w:rPr>
                <w:rFonts w:cs="Arial"/>
              </w:rPr>
            </w:pPr>
          </w:p>
        </w:tc>
        <w:tc>
          <w:tcPr>
            <w:tcW w:w="3700" w:type="dxa"/>
          </w:tcPr>
          <w:p w14:paraId="67F5F2B4" w14:textId="77777777" w:rsidR="00401546" w:rsidRPr="00A9330B" w:rsidRDefault="00401546" w:rsidP="00401546">
            <w:pPr>
              <w:spacing w:line="240" w:lineRule="auto"/>
              <w:rPr>
                <w:rFonts w:cs="Arial"/>
              </w:rPr>
            </w:pPr>
            <w:r w:rsidRPr="00A9330B">
              <w:rPr>
                <w:rFonts w:cs="Arial"/>
              </w:rPr>
              <w:t xml:space="preserve">Signalisation et balisage éventuelle de jour comme de nuit </w:t>
            </w:r>
          </w:p>
        </w:tc>
        <w:tc>
          <w:tcPr>
            <w:tcW w:w="1138" w:type="dxa"/>
          </w:tcPr>
          <w:p w14:paraId="616CC76B" w14:textId="77777777" w:rsidR="00401546" w:rsidRPr="00A9330B" w:rsidRDefault="00401546" w:rsidP="00401546">
            <w:pPr>
              <w:spacing w:line="240" w:lineRule="auto"/>
              <w:jc w:val="center"/>
              <w:rPr>
                <w:rFonts w:cs="Arial"/>
              </w:rPr>
            </w:pPr>
            <w:r w:rsidRPr="00A9330B">
              <w:rPr>
                <w:rFonts w:cs="Arial"/>
              </w:rPr>
              <w:t xml:space="preserve">2 à 5 </w:t>
            </w:r>
          </w:p>
        </w:tc>
      </w:tr>
      <w:tr w:rsidR="00401546" w:rsidRPr="00A9330B" w14:paraId="3C8FF30D" w14:textId="77777777" w:rsidTr="00401546">
        <w:trPr>
          <w:jc w:val="center"/>
        </w:trPr>
        <w:tc>
          <w:tcPr>
            <w:tcW w:w="1940" w:type="dxa"/>
            <w:shd w:val="clear" w:color="auto" w:fill="D9D9D9" w:themeFill="background1" w:themeFillShade="D9"/>
          </w:tcPr>
          <w:p w14:paraId="0756F055" w14:textId="77777777" w:rsidR="00401546" w:rsidRPr="00A9330B" w:rsidRDefault="00401546" w:rsidP="00401546">
            <w:pPr>
              <w:spacing w:line="240" w:lineRule="auto"/>
              <w:rPr>
                <w:rFonts w:cs="Arial"/>
                <w:b/>
              </w:rPr>
            </w:pPr>
          </w:p>
        </w:tc>
        <w:tc>
          <w:tcPr>
            <w:tcW w:w="7346" w:type="dxa"/>
            <w:gridSpan w:val="3"/>
            <w:shd w:val="clear" w:color="auto" w:fill="D9D9D9" w:themeFill="background1" w:themeFillShade="D9"/>
          </w:tcPr>
          <w:p w14:paraId="2D4EA155" w14:textId="77777777" w:rsidR="00401546" w:rsidRPr="00A9330B" w:rsidRDefault="00401546" w:rsidP="00401546">
            <w:pPr>
              <w:spacing w:line="240" w:lineRule="auto"/>
              <w:rPr>
                <w:rFonts w:cs="Arial"/>
                <w:b/>
              </w:rPr>
            </w:pPr>
            <w:r w:rsidRPr="00A9330B">
              <w:rPr>
                <w:rFonts w:cs="Arial"/>
                <w:b/>
              </w:rPr>
              <w:t>Aménagement des zones de circulation et de travail</w:t>
            </w:r>
          </w:p>
        </w:tc>
      </w:tr>
      <w:tr w:rsidR="00401546" w:rsidRPr="00A9330B" w14:paraId="7C65CD07" w14:textId="77777777" w:rsidTr="00401546">
        <w:trPr>
          <w:jc w:val="center"/>
        </w:trPr>
        <w:tc>
          <w:tcPr>
            <w:tcW w:w="1940" w:type="dxa"/>
            <w:vMerge w:val="restart"/>
          </w:tcPr>
          <w:p w14:paraId="796C03E6" w14:textId="77777777" w:rsidR="00401546" w:rsidRPr="00A9330B" w:rsidRDefault="00401546" w:rsidP="000F7BA7">
            <w:pPr>
              <w:spacing w:line="240" w:lineRule="auto"/>
              <w:jc w:val="both"/>
              <w:rPr>
                <w:rFonts w:cs="Arial"/>
              </w:rPr>
            </w:pPr>
            <w:r w:rsidRPr="00A9330B">
              <w:rPr>
                <w:rFonts w:cs="Arial"/>
                <w:sz w:val="18"/>
                <w:szCs w:val="18"/>
              </w:rPr>
              <w:t xml:space="preserve">Renversement, basculement, heurt </w:t>
            </w:r>
            <w:r w:rsidRPr="00A9330B">
              <w:rPr>
                <w:rFonts w:cs="Arial"/>
                <w:sz w:val="18"/>
                <w:szCs w:val="18"/>
              </w:rPr>
              <w:lastRenderedPageBreak/>
              <w:t>ou entrainement d’un ouvrier pouvant occasionner la mort, des blessures, fractures, lésions pertes sensorielles temporaires ou permanentes</w:t>
            </w:r>
          </w:p>
        </w:tc>
        <w:tc>
          <w:tcPr>
            <w:tcW w:w="2508" w:type="dxa"/>
            <w:vMerge w:val="restart"/>
          </w:tcPr>
          <w:p w14:paraId="3FDE8804" w14:textId="77777777" w:rsidR="00401546" w:rsidRPr="00A9330B" w:rsidRDefault="00401546" w:rsidP="000F7BA7">
            <w:pPr>
              <w:spacing w:line="240" w:lineRule="auto"/>
              <w:jc w:val="both"/>
              <w:rPr>
                <w:rFonts w:cs="Arial"/>
              </w:rPr>
            </w:pPr>
            <w:r w:rsidRPr="00A9330B">
              <w:rPr>
                <w:rFonts w:cs="Arial"/>
              </w:rPr>
              <w:lastRenderedPageBreak/>
              <w:t xml:space="preserve">Permettre au personnel, engins, et véhicules </w:t>
            </w:r>
            <w:r w:rsidRPr="00A9330B">
              <w:rPr>
                <w:rFonts w:cs="Arial"/>
              </w:rPr>
              <w:lastRenderedPageBreak/>
              <w:t xml:space="preserve">d’accéder au poste de travail dans des conditions satisfaisantes </w:t>
            </w:r>
          </w:p>
        </w:tc>
        <w:tc>
          <w:tcPr>
            <w:tcW w:w="3700" w:type="dxa"/>
          </w:tcPr>
          <w:p w14:paraId="5714C5DD" w14:textId="77777777" w:rsidR="00401546" w:rsidRPr="00A9330B" w:rsidRDefault="00401546" w:rsidP="000F7BA7">
            <w:pPr>
              <w:spacing w:line="240" w:lineRule="auto"/>
              <w:jc w:val="both"/>
              <w:rPr>
                <w:rFonts w:cs="Arial"/>
              </w:rPr>
            </w:pPr>
            <w:r w:rsidRPr="00A9330B">
              <w:rPr>
                <w:rFonts w:cs="Arial"/>
              </w:rPr>
              <w:lastRenderedPageBreak/>
              <w:t xml:space="preserve">Définition et signalisation des accès au chantier ; de la signalisation </w:t>
            </w:r>
            <w:r w:rsidRPr="00A9330B">
              <w:rPr>
                <w:rFonts w:cs="Arial"/>
              </w:rPr>
              <w:lastRenderedPageBreak/>
              <w:t xml:space="preserve">interne ; de la constitution des pistes et de leur maintenance ; des emplacements de travail. </w:t>
            </w:r>
          </w:p>
        </w:tc>
        <w:tc>
          <w:tcPr>
            <w:tcW w:w="1138" w:type="dxa"/>
          </w:tcPr>
          <w:p w14:paraId="52F782E8" w14:textId="77777777" w:rsidR="00401546" w:rsidRPr="00A9330B" w:rsidRDefault="00401546" w:rsidP="00401546">
            <w:pPr>
              <w:spacing w:line="240" w:lineRule="auto"/>
              <w:jc w:val="center"/>
              <w:rPr>
                <w:rFonts w:cs="Arial"/>
              </w:rPr>
            </w:pPr>
            <w:r w:rsidRPr="00A9330B">
              <w:rPr>
                <w:rFonts w:cs="Arial"/>
              </w:rPr>
              <w:lastRenderedPageBreak/>
              <w:t xml:space="preserve">2 à 5  </w:t>
            </w:r>
          </w:p>
        </w:tc>
      </w:tr>
      <w:tr w:rsidR="00401546" w:rsidRPr="00A9330B" w14:paraId="41E7BFF5" w14:textId="77777777" w:rsidTr="00401546">
        <w:trPr>
          <w:jc w:val="center"/>
        </w:trPr>
        <w:tc>
          <w:tcPr>
            <w:tcW w:w="1940" w:type="dxa"/>
            <w:vMerge/>
          </w:tcPr>
          <w:p w14:paraId="68778212" w14:textId="77777777" w:rsidR="00401546" w:rsidRPr="00A9330B" w:rsidRDefault="00401546" w:rsidP="000F7BA7">
            <w:pPr>
              <w:spacing w:line="240" w:lineRule="auto"/>
              <w:jc w:val="both"/>
              <w:rPr>
                <w:rFonts w:cs="Arial"/>
              </w:rPr>
            </w:pPr>
          </w:p>
        </w:tc>
        <w:tc>
          <w:tcPr>
            <w:tcW w:w="2508" w:type="dxa"/>
            <w:vMerge/>
          </w:tcPr>
          <w:p w14:paraId="4BC5E88C" w14:textId="77777777" w:rsidR="00401546" w:rsidRPr="00A9330B" w:rsidRDefault="00401546" w:rsidP="000F7BA7">
            <w:pPr>
              <w:spacing w:line="240" w:lineRule="auto"/>
              <w:jc w:val="both"/>
              <w:rPr>
                <w:rFonts w:cs="Arial"/>
              </w:rPr>
            </w:pPr>
          </w:p>
        </w:tc>
        <w:tc>
          <w:tcPr>
            <w:tcW w:w="3700" w:type="dxa"/>
          </w:tcPr>
          <w:p w14:paraId="02770DF1" w14:textId="39C3F63B" w:rsidR="00401546" w:rsidRPr="00A9330B" w:rsidRDefault="00401546" w:rsidP="000F7BA7">
            <w:pPr>
              <w:spacing w:line="240" w:lineRule="auto"/>
              <w:jc w:val="both"/>
              <w:rPr>
                <w:rFonts w:cs="Arial"/>
              </w:rPr>
            </w:pPr>
            <w:r w:rsidRPr="00A9330B">
              <w:rPr>
                <w:rFonts w:cs="Arial"/>
              </w:rPr>
              <w:t xml:space="preserve">Disposition pour isoler le chantier de l’extérieur (clôtures provisoires, balisage, mise en place de plots ou de garde-corps ou définitives, panneaux </w:t>
            </w:r>
            <w:r w:rsidR="0057538E" w:rsidRPr="00A9330B">
              <w:rPr>
                <w:rFonts w:cs="Arial"/>
              </w:rPr>
              <w:t>d’interdiction.</w:t>
            </w:r>
            <w:r w:rsidRPr="00A9330B">
              <w:rPr>
                <w:rFonts w:cs="Arial"/>
              </w:rPr>
              <w:t xml:space="preserve">) </w:t>
            </w:r>
          </w:p>
        </w:tc>
        <w:tc>
          <w:tcPr>
            <w:tcW w:w="1138" w:type="dxa"/>
          </w:tcPr>
          <w:p w14:paraId="2C5E8A2E" w14:textId="77777777" w:rsidR="00401546" w:rsidRPr="00A9330B" w:rsidRDefault="00401546" w:rsidP="00401546">
            <w:pPr>
              <w:spacing w:line="240" w:lineRule="auto"/>
              <w:jc w:val="center"/>
              <w:rPr>
                <w:rFonts w:cs="Arial"/>
              </w:rPr>
            </w:pPr>
            <w:r w:rsidRPr="00A9330B">
              <w:rPr>
                <w:rFonts w:cs="Arial"/>
              </w:rPr>
              <w:t xml:space="preserve">2 à 5 </w:t>
            </w:r>
          </w:p>
        </w:tc>
      </w:tr>
      <w:tr w:rsidR="00401546" w:rsidRPr="00A9330B" w14:paraId="38D78F62" w14:textId="77777777" w:rsidTr="00401546">
        <w:trPr>
          <w:jc w:val="center"/>
        </w:trPr>
        <w:tc>
          <w:tcPr>
            <w:tcW w:w="1940" w:type="dxa"/>
            <w:vMerge w:val="restart"/>
          </w:tcPr>
          <w:p w14:paraId="72BC0227" w14:textId="77777777" w:rsidR="00401546" w:rsidRPr="00A9330B" w:rsidRDefault="00401546" w:rsidP="000F7BA7">
            <w:pPr>
              <w:spacing w:line="240" w:lineRule="auto"/>
              <w:jc w:val="both"/>
              <w:rPr>
                <w:rFonts w:cs="Arial"/>
              </w:rPr>
            </w:pPr>
            <w:r w:rsidRPr="00A9330B">
              <w:rPr>
                <w:rFonts w:cs="Arial"/>
              </w:rPr>
              <w:t>Contact accidentel pouvant provoquer une électrisation à l’origine de troubles neurologiques et coupure d’électricité dans le secteur</w:t>
            </w:r>
          </w:p>
        </w:tc>
        <w:tc>
          <w:tcPr>
            <w:tcW w:w="2508" w:type="dxa"/>
            <w:vMerge w:val="restart"/>
          </w:tcPr>
          <w:p w14:paraId="31AB7E71" w14:textId="77777777" w:rsidR="00401546" w:rsidRPr="00A9330B" w:rsidRDefault="00401546" w:rsidP="000F7BA7">
            <w:pPr>
              <w:spacing w:line="240" w:lineRule="auto"/>
              <w:jc w:val="both"/>
              <w:rPr>
                <w:rFonts w:cs="Arial"/>
              </w:rPr>
            </w:pPr>
            <w:r w:rsidRPr="00A9330B">
              <w:rPr>
                <w:rFonts w:cs="Arial"/>
              </w:rPr>
              <w:t xml:space="preserve">Limiter les risques d’accidents dus à l’existence connue ou non de câbles et canalisations enterrés et de lignes électriques aériennes ou souterraines </w:t>
            </w:r>
          </w:p>
        </w:tc>
        <w:tc>
          <w:tcPr>
            <w:tcW w:w="3700" w:type="dxa"/>
          </w:tcPr>
          <w:p w14:paraId="1B1E7AA9" w14:textId="77777777" w:rsidR="00401546" w:rsidRPr="00A9330B" w:rsidRDefault="00401546" w:rsidP="000F7BA7">
            <w:pPr>
              <w:spacing w:line="240" w:lineRule="auto"/>
              <w:jc w:val="both"/>
              <w:rPr>
                <w:rFonts w:cs="Arial"/>
              </w:rPr>
            </w:pPr>
            <w:r w:rsidRPr="00A9330B">
              <w:rPr>
                <w:rFonts w:cs="Arial"/>
              </w:rPr>
              <w:t xml:space="preserve">Consultation des services compétents et riverains avant travaux </w:t>
            </w:r>
          </w:p>
          <w:p w14:paraId="7B54756A" w14:textId="77777777" w:rsidR="00401546" w:rsidRPr="00A9330B" w:rsidRDefault="00401546" w:rsidP="000F7BA7">
            <w:pPr>
              <w:spacing w:line="240" w:lineRule="auto"/>
              <w:jc w:val="both"/>
              <w:rPr>
                <w:rFonts w:cs="Arial"/>
              </w:rPr>
            </w:pPr>
            <w:r w:rsidRPr="00A9330B">
              <w:rPr>
                <w:rFonts w:cs="Arial"/>
              </w:rPr>
              <w:t xml:space="preserve">Définition de la conduite à tenir en cas d’incident </w:t>
            </w:r>
          </w:p>
        </w:tc>
        <w:tc>
          <w:tcPr>
            <w:tcW w:w="1138" w:type="dxa"/>
          </w:tcPr>
          <w:p w14:paraId="72296368" w14:textId="77777777" w:rsidR="00401546" w:rsidRPr="00A9330B" w:rsidRDefault="00401546" w:rsidP="00401546">
            <w:pPr>
              <w:spacing w:line="240" w:lineRule="auto"/>
              <w:jc w:val="center"/>
              <w:rPr>
                <w:rFonts w:cs="Arial"/>
              </w:rPr>
            </w:pPr>
            <w:r w:rsidRPr="00A9330B">
              <w:rPr>
                <w:rFonts w:cs="Arial"/>
              </w:rPr>
              <w:t>7 et 8</w:t>
            </w:r>
          </w:p>
        </w:tc>
      </w:tr>
      <w:tr w:rsidR="00401546" w:rsidRPr="00A9330B" w14:paraId="2B269E8D" w14:textId="77777777" w:rsidTr="00401546">
        <w:trPr>
          <w:jc w:val="center"/>
        </w:trPr>
        <w:tc>
          <w:tcPr>
            <w:tcW w:w="1940" w:type="dxa"/>
            <w:vMerge/>
          </w:tcPr>
          <w:p w14:paraId="40A46D28" w14:textId="77777777" w:rsidR="00401546" w:rsidRPr="00A9330B" w:rsidRDefault="00401546" w:rsidP="00401546">
            <w:pPr>
              <w:spacing w:line="240" w:lineRule="auto"/>
              <w:rPr>
                <w:rFonts w:cs="Arial"/>
              </w:rPr>
            </w:pPr>
          </w:p>
        </w:tc>
        <w:tc>
          <w:tcPr>
            <w:tcW w:w="2508" w:type="dxa"/>
            <w:vMerge/>
          </w:tcPr>
          <w:p w14:paraId="7EFC671A" w14:textId="77777777" w:rsidR="00401546" w:rsidRPr="00A9330B" w:rsidRDefault="00401546" w:rsidP="00401546">
            <w:pPr>
              <w:spacing w:line="240" w:lineRule="auto"/>
              <w:rPr>
                <w:rFonts w:cs="Arial"/>
              </w:rPr>
            </w:pPr>
          </w:p>
        </w:tc>
        <w:tc>
          <w:tcPr>
            <w:tcW w:w="3700" w:type="dxa"/>
          </w:tcPr>
          <w:p w14:paraId="340C4CE7" w14:textId="77777777" w:rsidR="00401546" w:rsidRPr="00A9330B" w:rsidRDefault="00401546" w:rsidP="00401546">
            <w:pPr>
              <w:spacing w:line="240" w:lineRule="auto"/>
              <w:rPr>
                <w:rFonts w:cs="Arial"/>
              </w:rPr>
            </w:pPr>
            <w:r w:rsidRPr="00A9330B">
              <w:rPr>
                <w:rFonts w:cs="Arial"/>
              </w:rPr>
              <w:t xml:space="preserve">Repérage des lignes électriques lignes aériennes ou souterraines, canalisations, et autres câbles de réseaux existants. Protections éventuelles à réaliser </w:t>
            </w:r>
          </w:p>
        </w:tc>
        <w:tc>
          <w:tcPr>
            <w:tcW w:w="1138" w:type="dxa"/>
          </w:tcPr>
          <w:p w14:paraId="56EF0884" w14:textId="77777777" w:rsidR="00401546" w:rsidRPr="00A9330B" w:rsidRDefault="00401546" w:rsidP="00401546">
            <w:pPr>
              <w:spacing w:line="240" w:lineRule="auto"/>
              <w:jc w:val="center"/>
              <w:rPr>
                <w:rFonts w:cs="Arial"/>
              </w:rPr>
            </w:pPr>
            <w:r w:rsidRPr="00A9330B">
              <w:rPr>
                <w:rFonts w:cs="Arial"/>
              </w:rPr>
              <w:t>7 et 8</w:t>
            </w:r>
          </w:p>
        </w:tc>
      </w:tr>
      <w:tr w:rsidR="00401546" w:rsidRPr="00A9330B" w14:paraId="26DAFF06" w14:textId="77777777" w:rsidTr="00401546">
        <w:trPr>
          <w:jc w:val="center"/>
        </w:trPr>
        <w:tc>
          <w:tcPr>
            <w:tcW w:w="1940" w:type="dxa"/>
            <w:vMerge w:val="restart"/>
          </w:tcPr>
          <w:p w14:paraId="039D3E99" w14:textId="77777777" w:rsidR="00401546" w:rsidRPr="00A9330B" w:rsidRDefault="00401546" w:rsidP="000F7BA7">
            <w:pPr>
              <w:spacing w:line="240" w:lineRule="auto"/>
              <w:jc w:val="both"/>
              <w:rPr>
                <w:rFonts w:cs="Arial"/>
              </w:rPr>
            </w:pPr>
            <w:r w:rsidRPr="00A9330B">
              <w:rPr>
                <w:rFonts w:cs="Arial"/>
                <w:sz w:val="18"/>
                <w:szCs w:val="18"/>
              </w:rPr>
              <w:t>Exposition à la chaleur ou au soleil et fatigue excessive à l’origine d’insolation, de déshydratation, de désordre métabolique et de trouble de l’attention</w:t>
            </w:r>
          </w:p>
        </w:tc>
        <w:tc>
          <w:tcPr>
            <w:tcW w:w="2508" w:type="dxa"/>
            <w:vMerge w:val="restart"/>
          </w:tcPr>
          <w:p w14:paraId="42772FF9" w14:textId="77777777" w:rsidR="00401546" w:rsidRPr="00A9330B" w:rsidRDefault="00401546" w:rsidP="000F7BA7">
            <w:pPr>
              <w:spacing w:line="240" w:lineRule="auto"/>
              <w:jc w:val="both"/>
              <w:rPr>
                <w:rFonts w:cs="Arial"/>
              </w:rPr>
            </w:pPr>
            <w:r w:rsidRPr="00A9330B">
              <w:rPr>
                <w:rFonts w:cs="Arial"/>
              </w:rPr>
              <w:t xml:space="preserve">Respecter les règles d’hygiène et la protection aux aléas météorologiques </w:t>
            </w:r>
          </w:p>
        </w:tc>
        <w:tc>
          <w:tcPr>
            <w:tcW w:w="3700" w:type="dxa"/>
          </w:tcPr>
          <w:p w14:paraId="71784CBB" w14:textId="77777777" w:rsidR="00401546" w:rsidRPr="00A9330B" w:rsidRDefault="00401546" w:rsidP="000F7BA7">
            <w:pPr>
              <w:spacing w:line="240" w:lineRule="auto"/>
              <w:jc w:val="both"/>
              <w:rPr>
                <w:rFonts w:cs="Arial"/>
              </w:rPr>
            </w:pPr>
            <w:r w:rsidRPr="00A9330B">
              <w:rPr>
                <w:rFonts w:cs="Arial"/>
              </w:rPr>
              <w:t xml:space="preserve">Fourniture d’un accès pour le personnel à des toilettes et un point d’eau, y compris l’eau de boisson </w:t>
            </w:r>
          </w:p>
        </w:tc>
        <w:tc>
          <w:tcPr>
            <w:tcW w:w="1138" w:type="dxa"/>
            <w:vMerge w:val="restart"/>
          </w:tcPr>
          <w:p w14:paraId="2F2483A4" w14:textId="77777777" w:rsidR="00401546" w:rsidRPr="00A9330B" w:rsidRDefault="00401546" w:rsidP="00401546">
            <w:pPr>
              <w:spacing w:line="240" w:lineRule="auto"/>
              <w:jc w:val="center"/>
              <w:rPr>
                <w:rFonts w:cs="Arial"/>
              </w:rPr>
            </w:pPr>
            <w:r w:rsidRPr="00A9330B">
              <w:rPr>
                <w:rFonts w:cs="Arial"/>
              </w:rPr>
              <w:t>6</w:t>
            </w:r>
          </w:p>
        </w:tc>
      </w:tr>
      <w:tr w:rsidR="00401546" w:rsidRPr="00A9330B" w14:paraId="7C54CEDF" w14:textId="77777777" w:rsidTr="00401546">
        <w:trPr>
          <w:jc w:val="center"/>
        </w:trPr>
        <w:tc>
          <w:tcPr>
            <w:tcW w:w="1940" w:type="dxa"/>
            <w:vMerge/>
          </w:tcPr>
          <w:p w14:paraId="3A7657DB" w14:textId="77777777" w:rsidR="00401546" w:rsidRPr="00A9330B" w:rsidRDefault="00401546" w:rsidP="000F7BA7">
            <w:pPr>
              <w:spacing w:line="240" w:lineRule="auto"/>
              <w:jc w:val="both"/>
              <w:rPr>
                <w:rFonts w:cs="Arial"/>
              </w:rPr>
            </w:pPr>
          </w:p>
        </w:tc>
        <w:tc>
          <w:tcPr>
            <w:tcW w:w="2508" w:type="dxa"/>
            <w:vMerge/>
          </w:tcPr>
          <w:p w14:paraId="69153BC1" w14:textId="77777777" w:rsidR="00401546" w:rsidRPr="00A9330B" w:rsidRDefault="00401546" w:rsidP="000F7BA7">
            <w:pPr>
              <w:spacing w:line="240" w:lineRule="auto"/>
              <w:jc w:val="both"/>
              <w:rPr>
                <w:rFonts w:cs="Arial"/>
              </w:rPr>
            </w:pPr>
          </w:p>
        </w:tc>
        <w:tc>
          <w:tcPr>
            <w:tcW w:w="3700" w:type="dxa"/>
          </w:tcPr>
          <w:p w14:paraId="6EA25B17" w14:textId="77777777" w:rsidR="00401546" w:rsidRPr="00A9330B" w:rsidRDefault="00401546" w:rsidP="000F7BA7">
            <w:pPr>
              <w:spacing w:line="240" w:lineRule="auto"/>
              <w:jc w:val="both"/>
              <w:rPr>
                <w:rFonts w:cs="Arial"/>
              </w:rPr>
            </w:pPr>
            <w:r w:rsidRPr="00A9330B">
              <w:rPr>
                <w:rFonts w:cs="Arial"/>
              </w:rPr>
              <w:t xml:space="preserve">Diffusion des consignes d’hygiène et respect des temps de travail </w:t>
            </w:r>
          </w:p>
        </w:tc>
        <w:tc>
          <w:tcPr>
            <w:tcW w:w="1138" w:type="dxa"/>
            <w:vMerge/>
          </w:tcPr>
          <w:p w14:paraId="658D647C" w14:textId="77777777" w:rsidR="00401546" w:rsidRPr="00A9330B" w:rsidRDefault="00401546" w:rsidP="00401546">
            <w:pPr>
              <w:spacing w:line="240" w:lineRule="auto"/>
              <w:jc w:val="center"/>
              <w:rPr>
                <w:rFonts w:cs="Arial"/>
              </w:rPr>
            </w:pPr>
          </w:p>
        </w:tc>
      </w:tr>
      <w:tr w:rsidR="00401546" w:rsidRPr="00A9330B" w14:paraId="50E74238" w14:textId="77777777" w:rsidTr="00401546">
        <w:trPr>
          <w:jc w:val="center"/>
        </w:trPr>
        <w:tc>
          <w:tcPr>
            <w:tcW w:w="1940" w:type="dxa"/>
            <w:shd w:val="clear" w:color="auto" w:fill="D9D9D9" w:themeFill="background1" w:themeFillShade="D9"/>
          </w:tcPr>
          <w:p w14:paraId="5C913B71" w14:textId="77777777" w:rsidR="00401546" w:rsidRPr="00A9330B" w:rsidRDefault="00401546" w:rsidP="00401546">
            <w:pPr>
              <w:spacing w:line="240" w:lineRule="auto"/>
              <w:rPr>
                <w:rFonts w:cs="Arial"/>
                <w:b/>
              </w:rPr>
            </w:pPr>
          </w:p>
        </w:tc>
        <w:tc>
          <w:tcPr>
            <w:tcW w:w="7346" w:type="dxa"/>
            <w:gridSpan w:val="3"/>
            <w:shd w:val="clear" w:color="auto" w:fill="D9D9D9" w:themeFill="background1" w:themeFillShade="D9"/>
          </w:tcPr>
          <w:p w14:paraId="4AA256C3" w14:textId="77777777" w:rsidR="00401546" w:rsidRPr="00A9330B" w:rsidRDefault="00401546" w:rsidP="00401546">
            <w:pPr>
              <w:spacing w:line="240" w:lineRule="auto"/>
              <w:rPr>
                <w:rFonts w:cs="Arial"/>
                <w:b/>
              </w:rPr>
            </w:pPr>
            <w:r w:rsidRPr="00A9330B">
              <w:rPr>
                <w:rFonts w:cs="Arial"/>
                <w:b/>
              </w:rPr>
              <w:t>Amenée, montage, stockage et repliement du matériel</w:t>
            </w:r>
          </w:p>
        </w:tc>
      </w:tr>
      <w:tr w:rsidR="00401546" w:rsidRPr="00A9330B" w14:paraId="7D00FF63" w14:textId="77777777" w:rsidTr="00401546">
        <w:trPr>
          <w:jc w:val="center"/>
        </w:trPr>
        <w:tc>
          <w:tcPr>
            <w:tcW w:w="1940" w:type="dxa"/>
            <w:vMerge w:val="restart"/>
          </w:tcPr>
          <w:p w14:paraId="52E42DD8" w14:textId="77777777" w:rsidR="00401546" w:rsidRPr="00A9330B" w:rsidRDefault="00401546" w:rsidP="000F7BA7">
            <w:pPr>
              <w:spacing w:line="240" w:lineRule="auto"/>
              <w:jc w:val="both"/>
              <w:rPr>
                <w:rFonts w:cs="Arial"/>
              </w:rPr>
            </w:pPr>
            <w:r w:rsidRPr="00A9330B">
              <w:rPr>
                <w:rFonts w:cs="Arial"/>
                <w:sz w:val="18"/>
                <w:szCs w:val="18"/>
              </w:rPr>
              <w:t>Chute des matériels et matériaux pouvant entrainer la mort, blessure, fractures,  lésions, blessures, fractures, traumatismes</w:t>
            </w:r>
          </w:p>
        </w:tc>
        <w:tc>
          <w:tcPr>
            <w:tcW w:w="2508" w:type="dxa"/>
            <w:vMerge w:val="restart"/>
          </w:tcPr>
          <w:p w14:paraId="16BF8699" w14:textId="77777777" w:rsidR="00401546" w:rsidRPr="00A9330B" w:rsidRDefault="00401546" w:rsidP="000F7BA7">
            <w:pPr>
              <w:spacing w:line="240" w:lineRule="auto"/>
              <w:jc w:val="both"/>
              <w:rPr>
                <w:rFonts w:cs="Arial"/>
              </w:rPr>
            </w:pPr>
            <w:r w:rsidRPr="00A9330B">
              <w:rPr>
                <w:rFonts w:cs="Arial"/>
                <w:sz w:val="18"/>
                <w:szCs w:val="18"/>
              </w:rPr>
              <w:t>Stockage, manipulation, manutention ou transport inadaptés de charges (tuyauterie, poteaux ou autres matériels par Ex.)</w:t>
            </w:r>
          </w:p>
        </w:tc>
        <w:tc>
          <w:tcPr>
            <w:tcW w:w="3700" w:type="dxa"/>
          </w:tcPr>
          <w:p w14:paraId="4C9B47DD" w14:textId="77777777" w:rsidR="00401546" w:rsidRPr="00A9330B" w:rsidRDefault="00401546" w:rsidP="000F7BA7">
            <w:pPr>
              <w:spacing w:line="240" w:lineRule="auto"/>
              <w:jc w:val="both"/>
              <w:rPr>
                <w:rFonts w:cs="Arial"/>
              </w:rPr>
            </w:pPr>
            <w:r w:rsidRPr="00A9330B">
              <w:rPr>
                <w:rFonts w:cs="Arial"/>
              </w:rPr>
              <w:t xml:space="preserve">Signalisation des routes et voies d’accès (fléchage, panneau) </w:t>
            </w:r>
          </w:p>
          <w:p w14:paraId="7C20D088" w14:textId="77777777" w:rsidR="00401546" w:rsidRPr="00A9330B" w:rsidRDefault="00401546" w:rsidP="000F7BA7">
            <w:pPr>
              <w:spacing w:line="240" w:lineRule="auto"/>
              <w:jc w:val="both"/>
              <w:rPr>
                <w:rFonts w:cs="Arial"/>
              </w:rPr>
            </w:pPr>
            <w:r w:rsidRPr="00A9330B">
              <w:rPr>
                <w:rFonts w:cs="Arial"/>
              </w:rPr>
              <w:t xml:space="preserve">Disposition à prendre en cas de transport exceptionnels </w:t>
            </w:r>
          </w:p>
          <w:p w14:paraId="11ECFD27" w14:textId="77777777" w:rsidR="00401546" w:rsidRPr="00A9330B" w:rsidRDefault="00401546" w:rsidP="000F7BA7">
            <w:pPr>
              <w:spacing w:line="240" w:lineRule="auto"/>
              <w:jc w:val="both"/>
              <w:rPr>
                <w:rFonts w:cs="Arial"/>
              </w:rPr>
            </w:pPr>
            <w:r w:rsidRPr="00A9330B">
              <w:rPr>
                <w:rFonts w:cs="Arial"/>
              </w:rPr>
              <w:t xml:space="preserve">Adaptation des zones de moyens de chargement et déchargement </w:t>
            </w:r>
          </w:p>
        </w:tc>
        <w:tc>
          <w:tcPr>
            <w:tcW w:w="1138" w:type="dxa"/>
          </w:tcPr>
          <w:p w14:paraId="4BB86B81" w14:textId="77777777" w:rsidR="00401546" w:rsidRPr="00A9330B" w:rsidRDefault="00401546" w:rsidP="00401546">
            <w:pPr>
              <w:spacing w:line="240" w:lineRule="auto"/>
              <w:jc w:val="center"/>
              <w:rPr>
                <w:rFonts w:cs="Arial"/>
              </w:rPr>
            </w:pPr>
            <w:r w:rsidRPr="00A9330B">
              <w:rPr>
                <w:rFonts w:cs="Arial"/>
              </w:rPr>
              <w:t xml:space="preserve">7 et 8 </w:t>
            </w:r>
          </w:p>
        </w:tc>
      </w:tr>
      <w:tr w:rsidR="00401546" w:rsidRPr="00A9330B" w14:paraId="63F517C3" w14:textId="77777777" w:rsidTr="00401546">
        <w:trPr>
          <w:jc w:val="center"/>
        </w:trPr>
        <w:tc>
          <w:tcPr>
            <w:tcW w:w="1940" w:type="dxa"/>
            <w:vMerge/>
          </w:tcPr>
          <w:p w14:paraId="2A527CC4" w14:textId="77777777" w:rsidR="00401546" w:rsidRPr="00A9330B" w:rsidRDefault="00401546" w:rsidP="000F7BA7">
            <w:pPr>
              <w:spacing w:line="240" w:lineRule="auto"/>
              <w:jc w:val="both"/>
              <w:rPr>
                <w:rFonts w:cs="Arial"/>
              </w:rPr>
            </w:pPr>
          </w:p>
        </w:tc>
        <w:tc>
          <w:tcPr>
            <w:tcW w:w="2508" w:type="dxa"/>
            <w:vMerge/>
          </w:tcPr>
          <w:p w14:paraId="39893229" w14:textId="77777777" w:rsidR="00401546" w:rsidRPr="00A9330B" w:rsidRDefault="00401546" w:rsidP="000F7BA7">
            <w:pPr>
              <w:spacing w:line="240" w:lineRule="auto"/>
              <w:jc w:val="both"/>
              <w:rPr>
                <w:rFonts w:cs="Arial"/>
              </w:rPr>
            </w:pPr>
          </w:p>
        </w:tc>
        <w:tc>
          <w:tcPr>
            <w:tcW w:w="3700" w:type="dxa"/>
          </w:tcPr>
          <w:p w14:paraId="5F562942" w14:textId="77777777" w:rsidR="00401546" w:rsidRPr="00A9330B" w:rsidRDefault="00401546" w:rsidP="000F7BA7">
            <w:pPr>
              <w:spacing w:line="240" w:lineRule="auto"/>
              <w:jc w:val="both"/>
              <w:rPr>
                <w:rFonts w:cs="Arial"/>
              </w:rPr>
            </w:pPr>
            <w:r w:rsidRPr="00A9330B">
              <w:rPr>
                <w:rFonts w:cs="Arial"/>
              </w:rPr>
              <w:t xml:space="preserve">Connaissance par le personnel des modes opératoires des engins et équipements de chantier </w:t>
            </w:r>
          </w:p>
          <w:p w14:paraId="0779A511" w14:textId="77777777" w:rsidR="00401546" w:rsidRPr="00A9330B" w:rsidRDefault="00401546" w:rsidP="000F7BA7">
            <w:pPr>
              <w:spacing w:line="240" w:lineRule="auto"/>
              <w:jc w:val="both"/>
              <w:rPr>
                <w:rFonts w:cs="Arial"/>
              </w:rPr>
            </w:pPr>
            <w:r w:rsidRPr="00A9330B">
              <w:rPr>
                <w:rFonts w:cs="Arial"/>
              </w:rPr>
              <w:t xml:space="preserve">Stabilisation des installations dans toutes les phases du montage. </w:t>
            </w:r>
          </w:p>
          <w:p w14:paraId="60BE39B7" w14:textId="77777777" w:rsidR="00401546" w:rsidRPr="00A9330B" w:rsidRDefault="00401546" w:rsidP="000F7BA7">
            <w:pPr>
              <w:spacing w:line="240" w:lineRule="auto"/>
              <w:jc w:val="both"/>
              <w:rPr>
                <w:rFonts w:cs="Arial"/>
              </w:rPr>
            </w:pPr>
            <w:r w:rsidRPr="00A9330B">
              <w:rPr>
                <w:rFonts w:cs="Arial"/>
              </w:rPr>
              <w:t xml:space="preserve">Vérification des matériels et dispositifs de sécurité des équipements électriques et hydrauliques </w:t>
            </w:r>
          </w:p>
        </w:tc>
        <w:tc>
          <w:tcPr>
            <w:tcW w:w="1138" w:type="dxa"/>
          </w:tcPr>
          <w:p w14:paraId="7CB918B0" w14:textId="77777777" w:rsidR="00401546" w:rsidRPr="00A9330B" w:rsidRDefault="00401546" w:rsidP="00401546">
            <w:pPr>
              <w:spacing w:line="240" w:lineRule="auto"/>
              <w:jc w:val="center"/>
              <w:rPr>
                <w:rFonts w:cs="Arial"/>
              </w:rPr>
            </w:pPr>
            <w:r w:rsidRPr="00A9330B">
              <w:rPr>
                <w:rFonts w:cs="Arial"/>
              </w:rPr>
              <w:t>2 et 3</w:t>
            </w:r>
          </w:p>
        </w:tc>
      </w:tr>
      <w:tr w:rsidR="00401546" w:rsidRPr="00A9330B" w14:paraId="767868CC" w14:textId="77777777" w:rsidTr="00401546">
        <w:trPr>
          <w:jc w:val="center"/>
        </w:trPr>
        <w:tc>
          <w:tcPr>
            <w:tcW w:w="1940" w:type="dxa"/>
          </w:tcPr>
          <w:p w14:paraId="4C9D8F8C" w14:textId="77777777" w:rsidR="00401546" w:rsidRPr="00A9330B" w:rsidRDefault="00401546" w:rsidP="000F7BA7">
            <w:pPr>
              <w:spacing w:line="240" w:lineRule="auto"/>
              <w:jc w:val="both"/>
              <w:rPr>
                <w:rFonts w:cs="Arial"/>
              </w:rPr>
            </w:pPr>
            <w:r w:rsidRPr="00A9330B">
              <w:rPr>
                <w:rFonts w:cs="Arial"/>
                <w:sz w:val="18"/>
                <w:szCs w:val="18"/>
              </w:rPr>
              <w:t>Matériel ou matériaux accidentellement déversés sur les ouvriers ou les tiers pouvant entrainer l’étouffement, des blessures, fractures, traumatismes</w:t>
            </w:r>
          </w:p>
        </w:tc>
        <w:tc>
          <w:tcPr>
            <w:tcW w:w="2508" w:type="dxa"/>
          </w:tcPr>
          <w:p w14:paraId="5398C36D" w14:textId="77777777" w:rsidR="00401546" w:rsidRPr="00A9330B" w:rsidRDefault="00401546" w:rsidP="000F7BA7">
            <w:pPr>
              <w:spacing w:line="240" w:lineRule="auto"/>
              <w:jc w:val="both"/>
              <w:rPr>
                <w:rFonts w:cs="Arial"/>
              </w:rPr>
            </w:pPr>
          </w:p>
        </w:tc>
        <w:tc>
          <w:tcPr>
            <w:tcW w:w="3700" w:type="dxa"/>
          </w:tcPr>
          <w:p w14:paraId="268E1713" w14:textId="77777777" w:rsidR="00401546" w:rsidRPr="00A9330B" w:rsidRDefault="00401546" w:rsidP="000F7BA7">
            <w:pPr>
              <w:spacing w:line="240" w:lineRule="auto"/>
              <w:jc w:val="both"/>
              <w:rPr>
                <w:rFonts w:cs="Arial"/>
              </w:rPr>
            </w:pPr>
            <w:r w:rsidRPr="00A9330B">
              <w:rPr>
                <w:rFonts w:cs="Arial"/>
              </w:rPr>
              <w:t xml:space="preserve">Choix de lieux de stockage adaptés des divers matériels et matériaux : déblais, graviers ciments, adjuvants…) ; </w:t>
            </w:r>
          </w:p>
          <w:p w14:paraId="3417EBA6" w14:textId="77777777" w:rsidR="00401546" w:rsidRPr="00A9330B" w:rsidRDefault="00401546" w:rsidP="000F7BA7">
            <w:pPr>
              <w:spacing w:line="240" w:lineRule="auto"/>
              <w:jc w:val="both"/>
              <w:rPr>
                <w:rFonts w:cs="Arial"/>
              </w:rPr>
            </w:pPr>
            <w:r w:rsidRPr="00A9330B">
              <w:rPr>
                <w:rFonts w:cs="Arial"/>
              </w:rPr>
              <w:t xml:space="preserve">Adaptation des moyens de calage </w:t>
            </w:r>
          </w:p>
        </w:tc>
        <w:tc>
          <w:tcPr>
            <w:tcW w:w="1138" w:type="dxa"/>
          </w:tcPr>
          <w:p w14:paraId="14B81E8B" w14:textId="77777777" w:rsidR="00401546" w:rsidRPr="00A9330B" w:rsidRDefault="00401546" w:rsidP="00401546">
            <w:pPr>
              <w:spacing w:line="240" w:lineRule="auto"/>
              <w:jc w:val="center"/>
              <w:rPr>
                <w:rFonts w:cs="Arial"/>
              </w:rPr>
            </w:pPr>
            <w:r w:rsidRPr="00A9330B">
              <w:rPr>
                <w:rFonts w:cs="Arial"/>
              </w:rPr>
              <w:t>3</w:t>
            </w:r>
          </w:p>
        </w:tc>
      </w:tr>
      <w:tr w:rsidR="00401546" w:rsidRPr="00A9330B" w14:paraId="291E2B58" w14:textId="77777777" w:rsidTr="00401546">
        <w:trPr>
          <w:jc w:val="center"/>
        </w:trPr>
        <w:tc>
          <w:tcPr>
            <w:tcW w:w="1940" w:type="dxa"/>
            <w:shd w:val="clear" w:color="auto" w:fill="D9D9D9" w:themeFill="background1" w:themeFillShade="D9"/>
          </w:tcPr>
          <w:p w14:paraId="0459640E" w14:textId="77777777" w:rsidR="00401546" w:rsidRPr="00A9330B" w:rsidRDefault="00401546" w:rsidP="00401546">
            <w:pPr>
              <w:spacing w:line="240" w:lineRule="auto"/>
              <w:rPr>
                <w:rFonts w:cs="Arial"/>
                <w:b/>
              </w:rPr>
            </w:pPr>
          </w:p>
        </w:tc>
        <w:tc>
          <w:tcPr>
            <w:tcW w:w="7346" w:type="dxa"/>
            <w:gridSpan w:val="3"/>
            <w:shd w:val="clear" w:color="auto" w:fill="D9D9D9" w:themeFill="background1" w:themeFillShade="D9"/>
          </w:tcPr>
          <w:p w14:paraId="74602FFE" w14:textId="77777777" w:rsidR="00401546" w:rsidRPr="00A9330B" w:rsidRDefault="00401546" w:rsidP="00401546">
            <w:pPr>
              <w:spacing w:line="240" w:lineRule="auto"/>
              <w:rPr>
                <w:rFonts w:cs="Arial"/>
                <w:b/>
              </w:rPr>
            </w:pPr>
            <w:r w:rsidRPr="00A9330B">
              <w:rPr>
                <w:rFonts w:cs="Arial"/>
                <w:b/>
              </w:rPr>
              <w:t>Utilisation des matériels, engins et véhicules de chantier</w:t>
            </w:r>
          </w:p>
        </w:tc>
      </w:tr>
      <w:tr w:rsidR="00401546" w:rsidRPr="00A9330B" w14:paraId="5930B612" w14:textId="77777777" w:rsidTr="00401546">
        <w:trPr>
          <w:jc w:val="center"/>
        </w:trPr>
        <w:tc>
          <w:tcPr>
            <w:tcW w:w="1940" w:type="dxa"/>
            <w:vMerge w:val="restart"/>
          </w:tcPr>
          <w:p w14:paraId="0571A36B" w14:textId="149F7B0A" w:rsidR="00401546" w:rsidRPr="00A9330B" w:rsidRDefault="00401546" w:rsidP="000F7BA7">
            <w:pPr>
              <w:spacing w:line="240" w:lineRule="auto"/>
              <w:jc w:val="both"/>
              <w:rPr>
                <w:rFonts w:cs="Arial"/>
              </w:rPr>
            </w:pPr>
            <w:r w:rsidRPr="00A9330B">
              <w:rPr>
                <w:rFonts w:cs="Arial"/>
                <w:sz w:val="18"/>
                <w:szCs w:val="18"/>
              </w:rPr>
              <w:t xml:space="preserve">Renversement, basculement, heurt ou entrainement d’un </w:t>
            </w:r>
            <w:r w:rsidRPr="00A9330B">
              <w:rPr>
                <w:rFonts w:cs="Arial"/>
                <w:sz w:val="18"/>
                <w:szCs w:val="18"/>
              </w:rPr>
              <w:lastRenderedPageBreak/>
              <w:t xml:space="preserve">ouvrier pouvant occasionner la mort, des blessures, </w:t>
            </w:r>
            <w:r w:rsidR="002B2F2F" w:rsidRPr="00A9330B">
              <w:rPr>
                <w:rFonts w:cs="Arial"/>
                <w:sz w:val="18"/>
                <w:szCs w:val="18"/>
              </w:rPr>
              <w:t xml:space="preserve">des </w:t>
            </w:r>
            <w:r w:rsidRPr="00A9330B">
              <w:rPr>
                <w:rFonts w:cs="Arial"/>
                <w:sz w:val="18"/>
                <w:szCs w:val="18"/>
              </w:rPr>
              <w:t xml:space="preserve">fractures, </w:t>
            </w:r>
            <w:r w:rsidR="002B2F2F" w:rsidRPr="00A9330B">
              <w:rPr>
                <w:rFonts w:cs="Arial"/>
                <w:sz w:val="18"/>
                <w:szCs w:val="18"/>
              </w:rPr>
              <w:t xml:space="preserve">des </w:t>
            </w:r>
            <w:r w:rsidRPr="00A9330B">
              <w:rPr>
                <w:rFonts w:cs="Arial"/>
                <w:sz w:val="18"/>
                <w:szCs w:val="18"/>
              </w:rPr>
              <w:t xml:space="preserve">lésions, </w:t>
            </w:r>
            <w:r w:rsidR="002B2F2F" w:rsidRPr="00A9330B">
              <w:rPr>
                <w:rFonts w:cs="Arial"/>
                <w:sz w:val="18"/>
                <w:szCs w:val="18"/>
              </w:rPr>
              <w:t xml:space="preserve">des </w:t>
            </w:r>
            <w:r w:rsidRPr="00A9330B">
              <w:rPr>
                <w:rFonts w:cs="Arial"/>
                <w:sz w:val="18"/>
                <w:szCs w:val="18"/>
              </w:rPr>
              <w:t>pertes sensorielles temporaires ou permanentes</w:t>
            </w:r>
          </w:p>
        </w:tc>
        <w:tc>
          <w:tcPr>
            <w:tcW w:w="2508" w:type="dxa"/>
          </w:tcPr>
          <w:p w14:paraId="748A768F" w14:textId="77777777" w:rsidR="00401546" w:rsidRPr="00A9330B" w:rsidRDefault="00401546" w:rsidP="000F7BA7">
            <w:pPr>
              <w:spacing w:line="240" w:lineRule="auto"/>
              <w:jc w:val="both"/>
              <w:rPr>
                <w:rFonts w:cs="Arial"/>
              </w:rPr>
            </w:pPr>
            <w:r w:rsidRPr="00A9330B">
              <w:rPr>
                <w:rFonts w:cs="Arial"/>
              </w:rPr>
              <w:lastRenderedPageBreak/>
              <w:t xml:space="preserve">Eliminer les collisions et les heurts dus à l’utilisation de véhicules </w:t>
            </w:r>
            <w:r w:rsidRPr="00A9330B">
              <w:rPr>
                <w:rFonts w:cs="Arial"/>
              </w:rPr>
              <w:lastRenderedPageBreak/>
              <w:t xml:space="preserve">et d’engins avec les personnes et les autres engins </w:t>
            </w:r>
          </w:p>
          <w:p w14:paraId="7396E82E" w14:textId="2A7F6676" w:rsidR="0057538E" w:rsidRPr="00A9330B" w:rsidRDefault="0057538E" w:rsidP="000F7BA7">
            <w:pPr>
              <w:spacing w:line="240" w:lineRule="auto"/>
              <w:jc w:val="both"/>
              <w:rPr>
                <w:rFonts w:cs="Arial"/>
              </w:rPr>
            </w:pPr>
          </w:p>
        </w:tc>
        <w:tc>
          <w:tcPr>
            <w:tcW w:w="3700" w:type="dxa"/>
          </w:tcPr>
          <w:p w14:paraId="7F562245" w14:textId="77777777" w:rsidR="00401546" w:rsidRPr="00A9330B" w:rsidRDefault="00401546" w:rsidP="000F7BA7">
            <w:pPr>
              <w:spacing w:line="240" w:lineRule="auto"/>
              <w:jc w:val="both"/>
              <w:rPr>
                <w:rFonts w:cs="Arial"/>
              </w:rPr>
            </w:pPr>
            <w:r w:rsidRPr="00A9330B">
              <w:rPr>
                <w:rFonts w:cs="Arial"/>
              </w:rPr>
              <w:lastRenderedPageBreak/>
              <w:t xml:space="preserve">Guidage des camions notamment lors de l’amenée et repli du matériel, </w:t>
            </w:r>
            <w:r w:rsidRPr="00A9330B">
              <w:rPr>
                <w:rFonts w:cs="Arial"/>
              </w:rPr>
              <w:lastRenderedPageBreak/>
              <w:t xml:space="preserve">l’approvisionnement des matériaux, l’évacuation des délais, etc. </w:t>
            </w:r>
          </w:p>
        </w:tc>
        <w:tc>
          <w:tcPr>
            <w:tcW w:w="1138" w:type="dxa"/>
          </w:tcPr>
          <w:p w14:paraId="266DB11F" w14:textId="77777777" w:rsidR="00401546" w:rsidRPr="00A9330B" w:rsidRDefault="00401546" w:rsidP="00401546">
            <w:pPr>
              <w:spacing w:line="240" w:lineRule="auto"/>
              <w:jc w:val="center"/>
              <w:rPr>
                <w:rFonts w:cs="Arial"/>
              </w:rPr>
            </w:pPr>
            <w:r w:rsidRPr="00A9330B">
              <w:rPr>
                <w:rFonts w:cs="Arial"/>
              </w:rPr>
              <w:lastRenderedPageBreak/>
              <w:t>2 et 5</w:t>
            </w:r>
          </w:p>
        </w:tc>
      </w:tr>
      <w:tr w:rsidR="00401546" w:rsidRPr="00A9330B" w14:paraId="73A72A94" w14:textId="77777777" w:rsidTr="00401546">
        <w:trPr>
          <w:jc w:val="center"/>
        </w:trPr>
        <w:tc>
          <w:tcPr>
            <w:tcW w:w="1940" w:type="dxa"/>
            <w:vMerge/>
          </w:tcPr>
          <w:p w14:paraId="3CC5B924" w14:textId="77777777" w:rsidR="00401546" w:rsidRPr="00A9330B" w:rsidRDefault="00401546" w:rsidP="000F7BA7">
            <w:pPr>
              <w:spacing w:line="240" w:lineRule="auto"/>
              <w:jc w:val="both"/>
              <w:rPr>
                <w:rFonts w:cs="Arial"/>
              </w:rPr>
            </w:pPr>
          </w:p>
        </w:tc>
        <w:tc>
          <w:tcPr>
            <w:tcW w:w="2508" w:type="dxa"/>
          </w:tcPr>
          <w:p w14:paraId="085C6370" w14:textId="77777777" w:rsidR="00401546" w:rsidRPr="00A9330B" w:rsidRDefault="00401546" w:rsidP="000F7BA7">
            <w:pPr>
              <w:spacing w:line="240" w:lineRule="auto"/>
              <w:jc w:val="both"/>
              <w:rPr>
                <w:rFonts w:cs="Arial"/>
              </w:rPr>
            </w:pPr>
            <w:r w:rsidRPr="00A9330B">
              <w:rPr>
                <w:rFonts w:cs="Arial"/>
              </w:rPr>
              <w:t xml:space="preserve">Eviter les renversements, basculements, heurts ou entrainements des ouvriers ou tiers par des véhicules et engins et leurs organes mobiles </w:t>
            </w:r>
          </w:p>
        </w:tc>
        <w:tc>
          <w:tcPr>
            <w:tcW w:w="3700" w:type="dxa"/>
          </w:tcPr>
          <w:p w14:paraId="7877E4B6" w14:textId="77777777" w:rsidR="0057538E" w:rsidRPr="00A9330B" w:rsidRDefault="00401546" w:rsidP="000F7BA7">
            <w:pPr>
              <w:spacing w:line="240" w:lineRule="auto"/>
              <w:jc w:val="both"/>
              <w:rPr>
                <w:rFonts w:cs="Arial"/>
              </w:rPr>
            </w:pPr>
            <w:r w:rsidRPr="00A9330B">
              <w:rPr>
                <w:rFonts w:cs="Arial"/>
              </w:rPr>
              <w:t>Rappel des modes opératoires et des consignes particulières concernant l’utilisation des engins i) les dispositifs de sécurité, ii) l’examen des câbles soumis à des sollicitations particulières, iii) la manutention des charges de grande dimension, iv) le déplacement éventuel des engins en charge</w:t>
            </w:r>
          </w:p>
          <w:p w14:paraId="5B5F6C7E" w14:textId="2F21980F" w:rsidR="00401546" w:rsidRPr="00A9330B" w:rsidRDefault="00401546" w:rsidP="000F7BA7">
            <w:pPr>
              <w:spacing w:line="240" w:lineRule="auto"/>
              <w:jc w:val="both"/>
              <w:rPr>
                <w:rFonts w:cs="Arial"/>
              </w:rPr>
            </w:pPr>
            <w:r w:rsidRPr="00A9330B">
              <w:rPr>
                <w:rFonts w:cs="Arial"/>
              </w:rPr>
              <w:t xml:space="preserve"> </w:t>
            </w:r>
          </w:p>
        </w:tc>
        <w:tc>
          <w:tcPr>
            <w:tcW w:w="1138" w:type="dxa"/>
          </w:tcPr>
          <w:p w14:paraId="76D20F70" w14:textId="77777777" w:rsidR="00401546" w:rsidRPr="00A9330B" w:rsidRDefault="00401546" w:rsidP="00401546">
            <w:pPr>
              <w:spacing w:line="240" w:lineRule="auto"/>
              <w:jc w:val="center"/>
              <w:rPr>
                <w:rFonts w:cs="Arial"/>
              </w:rPr>
            </w:pPr>
            <w:r w:rsidRPr="00A9330B">
              <w:rPr>
                <w:rFonts w:cs="Arial"/>
              </w:rPr>
              <w:t>2, 3 et 7</w:t>
            </w:r>
          </w:p>
        </w:tc>
      </w:tr>
      <w:tr w:rsidR="00401546" w:rsidRPr="00A9330B" w14:paraId="524E0829" w14:textId="77777777" w:rsidTr="00401546">
        <w:trPr>
          <w:jc w:val="center"/>
        </w:trPr>
        <w:tc>
          <w:tcPr>
            <w:tcW w:w="1940" w:type="dxa"/>
            <w:shd w:val="clear" w:color="auto" w:fill="D9D9D9" w:themeFill="background1" w:themeFillShade="D9"/>
          </w:tcPr>
          <w:p w14:paraId="6F19695F" w14:textId="77777777" w:rsidR="00401546" w:rsidRPr="00A9330B" w:rsidRDefault="00401546" w:rsidP="00401546">
            <w:pPr>
              <w:spacing w:line="240" w:lineRule="auto"/>
              <w:rPr>
                <w:rFonts w:cs="Arial"/>
                <w:b/>
              </w:rPr>
            </w:pPr>
          </w:p>
        </w:tc>
        <w:tc>
          <w:tcPr>
            <w:tcW w:w="7346" w:type="dxa"/>
            <w:gridSpan w:val="3"/>
            <w:shd w:val="clear" w:color="auto" w:fill="D9D9D9" w:themeFill="background1" w:themeFillShade="D9"/>
          </w:tcPr>
          <w:p w14:paraId="3CEC5A39" w14:textId="77777777" w:rsidR="00401546" w:rsidRPr="00A9330B" w:rsidRDefault="00401546" w:rsidP="00401546">
            <w:pPr>
              <w:spacing w:line="240" w:lineRule="auto"/>
              <w:rPr>
                <w:rFonts w:cs="Arial"/>
                <w:b/>
              </w:rPr>
            </w:pPr>
            <w:r w:rsidRPr="00A9330B">
              <w:rPr>
                <w:rFonts w:cs="Arial"/>
                <w:b/>
              </w:rPr>
              <w:t xml:space="preserve">Aménagement des postes de travail </w:t>
            </w:r>
          </w:p>
        </w:tc>
      </w:tr>
      <w:tr w:rsidR="00401546" w:rsidRPr="00A9330B" w14:paraId="19914979" w14:textId="77777777" w:rsidTr="00401546">
        <w:trPr>
          <w:jc w:val="center"/>
        </w:trPr>
        <w:tc>
          <w:tcPr>
            <w:tcW w:w="1940" w:type="dxa"/>
            <w:vMerge w:val="restart"/>
          </w:tcPr>
          <w:p w14:paraId="169BE35D" w14:textId="77777777" w:rsidR="00401546" w:rsidRPr="00A9330B" w:rsidRDefault="00401546" w:rsidP="000F7BA7">
            <w:pPr>
              <w:spacing w:line="240" w:lineRule="auto"/>
              <w:jc w:val="both"/>
              <w:rPr>
                <w:rFonts w:cs="Arial"/>
              </w:rPr>
            </w:pPr>
            <w:r w:rsidRPr="00A9330B">
              <w:rPr>
                <w:rFonts w:cs="Arial"/>
                <w:sz w:val="18"/>
                <w:szCs w:val="18"/>
              </w:rPr>
              <w:t>Contact accidentel pouvant provoquer une électrisation à l’origine de troubles neurologiques, décès et coupure d’électricité dans le secteur</w:t>
            </w:r>
          </w:p>
        </w:tc>
        <w:tc>
          <w:tcPr>
            <w:tcW w:w="2508" w:type="dxa"/>
          </w:tcPr>
          <w:p w14:paraId="756E31C9" w14:textId="35E3D3D5" w:rsidR="00401546" w:rsidRPr="00A9330B" w:rsidRDefault="00401546" w:rsidP="000F7BA7">
            <w:pPr>
              <w:spacing w:line="240" w:lineRule="auto"/>
              <w:jc w:val="both"/>
              <w:rPr>
                <w:rFonts w:cs="Arial"/>
              </w:rPr>
            </w:pPr>
            <w:r w:rsidRPr="00A9330B">
              <w:rPr>
                <w:rFonts w:cs="Arial"/>
              </w:rPr>
              <w:t xml:space="preserve">Prévenir les accidents corporels </w:t>
            </w:r>
          </w:p>
          <w:p w14:paraId="1F78E568" w14:textId="77777777" w:rsidR="00401546" w:rsidRPr="00A9330B" w:rsidRDefault="00401546" w:rsidP="000F7BA7">
            <w:pPr>
              <w:spacing w:line="240" w:lineRule="auto"/>
              <w:jc w:val="both"/>
              <w:rPr>
                <w:rFonts w:cs="Arial"/>
              </w:rPr>
            </w:pPr>
            <w:r w:rsidRPr="00A9330B">
              <w:rPr>
                <w:rFonts w:cs="Arial"/>
              </w:rPr>
              <w:t xml:space="preserve">Prévenir les pertes d’acuité sensorielle </w:t>
            </w:r>
          </w:p>
          <w:p w14:paraId="7C058425" w14:textId="77777777" w:rsidR="00401546" w:rsidRPr="00A9330B" w:rsidRDefault="00401546" w:rsidP="000F7BA7">
            <w:pPr>
              <w:spacing w:line="240" w:lineRule="auto"/>
              <w:jc w:val="both"/>
              <w:rPr>
                <w:rFonts w:cs="Arial"/>
              </w:rPr>
            </w:pPr>
            <w:r w:rsidRPr="00A9330B">
              <w:rPr>
                <w:rFonts w:cs="Arial"/>
              </w:rPr>
              <w:t>Assurer la protection du personnel contre les piqûres, coupures, brûlures, projections diverses, etc.</w:t>
            </w:r>
          </w:p>
        </w:tc>
        <w:tc>
          <w:tcPr>
            <w:tcW w:w="3700" w:type="dxa"/>
          </w:tcPr>
          <w:p w14:paraId="7AAB7693" w14:textId="77777777" w:rsidR="00401546" w:rsidRPr="00A9330B" w:rsidRDefault="00401546" w:rsidP="000F7BA7">
            <w:pPr>
              <w:spacing w:line="240" w:lineRule="auto"/>
              <w:jc w:val="both"/>
              <w:rPr>
                <w:rFonts w:cs="Arial"/>
              </w:rPr>
            </w:pPr>
            <w:r w:rsidRPr="00A9330B">
              <w:rPr>
                <w:rFonts w:cs="Arial"/>
              </w:rPr>
              <w:t xml:space="preserve">Mise à disposition et port des équipements individuels de protection (gants, chaussures de sécurité, vêtements de travail, casques, etc.) adapté à chaque type de tâches et en bon état  </w:t>
            </w:r>
          </w:p>
        </w:tc>
        <w:tc>
          <w:tcPr>
            <w:tcW w:w="1138" w:type="dxa"/>
          </w:tcPr>
          <w:p w14:paraId="1EF0DE6A" w14:textId="77777777" w:rsidR="00401546" w:rsidRPr="00A9330B" w:rsidRDefault="00401546" w:rsidP="00401546">
            <w:pPr>
              <w:spacing w:line="240" w:lineRule="auto"/>
              <w:jc w:val="center"/>
              <w:rPr>
                <w:rFonts w:cs="Arial"/>
              </w:rPr>
            </w:pPr>
            <w:r w:rsidRPr="00A9330B">
              <w:rPr>
                <w:rFonts w:cs="Arial"/>
              </w:rPr>
              <w:t>1</w:t>
            </w:r>
          </w:p>
        </w:tc>
      </w:tr>
      <w:tr w:rsidR="00401546" w:rsidRPr="00A9330B" w14:paraId="338E0FDC" w14:textId="77777777" w:rsidTr="00401546">
        <w:trPr>
          <w:jc w:val="center"/>
        </w:trPr>
        <w:tc>
          <w:tcPr>
            <w:tcW w:w="1940" w:type="dxa"/>
            <w:vMerge/>
          </w:tcPr>
          <w:p w14:paraId="75BC6CF0" w14:textId="77777777" w:rsidR="00401546" w:rsidRPr="00A9330B" w:rsidRDefault="00401546" w:rsidP="00401546">
            <w:pPr>
              <w:spacing w:line="240" w:lineRule="auto"/>
              <w:rPr>
                <w:rFonts w:cs="Arial"/>
              </w:rPr>
            </w:pPr>
          </w:p>
        </w:tc>
        <w:tc>
          <w:tcPr>
            <w:tcW w:w="2508" w:type="dxa"/>
          </w:tcPr>
          <w:p w14:paraId="58AC260D" w14:textId="77777777" w:rsidR="00401546" w:rsidRPr="00A9330B" w:rsidRDefault="00401546" w:rsidP="000F7BA7">
            <w:pPr>
              <w:spacing w:line="240" w:lineRule="auto"/>
              <w:jc w:val="both"/>
              <w:rPr>
                <w:rFonts w:cs="Arial"/>
              </w:rPr>
            </w:pPr>
            <w:r w:rsidRPr="00A9330B">
              <w:rPr>
                <w:rFonts w:cs="Arial"/>
              </w:rPr>
              <w:t xml:space="preserve">Eviter les chutes de plain-pied et les chutes de hauteur ou leurs conséquences </w:t>
            </w:r>
          </w:p>
        </w:tc>
        <w:tc>
          <w:tcPr>
            <w:tcW w:w="3700" w:type="dxa"/>
          </w:tcPr>
          <w:p w14:paraId="5F3CAC18" w14:textId="77777777" w:rsidR="00401546" w:rsidRPr="00A9330B" w:rsidRDefault="00401546" w:rsidP="000F7BA7">
            <w:pPr>
              <w:spacing w:line="240" w:lineRule="auto"/>
              <w:jc w:val="both"/>
              <w:rPr>
                <w:rFonts w:cs="Arial"/>
              </w:rPr>
            </w:pPr>
            <w:r w:rsidRPr="00A9330B">
              <w:rPr>
                <w:rFonts w:cs="Arial"/>
              </w:rPr>
              <w:t xml:space="preserve">Maintien du chantier en bon état de propreté </w:t>
            </w:r>
          </w:p>
          <w:p w14:paraId="35A2F9B9" w14:textId="77777777" w:rsidR="00401546" w:rsidRPr="00A9330B" w:rsidRDefault="00401546" w:rsidP="000F7BA7">
            <w:pPr>
              <w:spacing w:line="240" w:lineRule="auto"/>
              <w:jc w:val="both"/>
              <w:rPr>
                <w:rFonts w:cs="Arial"/>
              </w:rPr>
            </w:pPr>
            <w:r w:rsidRPr="00A9330B">
              <w:rPr>
                <w:rFonts w:cs="Arial"/>
              </w:rPr>
              <w:t xml:space="preserve">Mise en place et utilisation des équipements individuels assurant le déplacement et la stabilité des ouvriers en élévation (harnais lors d’une intervention en haut du mat de la foreuse) </w:t>
            </w:r>
          </w:p>
        </w:tc>
        <w:tc>
          <w:tcPr>
            <w:tcW w:w="1138" w:type="dxa"/>
          </w:tcPr>
          <w:p w14:paraId="4853025A" w14:textId="77777777" w:rsidR="00401546" w:rsidRPr="00A9330B" w:rsidRDefault="00401546" w:rsidP="00401546">
            <w:pPr>
              <w:spacing w:line="240" w:lineRule="auto"/>
              <w:jc w:val="center"/>
              <w:rPr>
                <w:rFonts w:cs="Arial"/>
              </w:rPr>
            </w:pPr>
            <w:r w:rsidRPr="00A9330B">
              <w:rPr>
                <w:rFonts w:cs="Arial"/>
              </w:rPr>
              <w:t>1</w:t>
            </w:r>
          </w:p>
        </w:tc>
      </w:tr>
    </w:tbl>
    <w:p w14:paraId="5551F46C" w14:textId="77777777" w:rsidR="00401546" w:rsidRPr="00A9330B" w:rsidRDefault="00401546" w:rsidP="0057538E">
      <w:pPr>
        <w:suppressAutoHyphens/>
        <w:spacing w:before="240" w:line="240" w:lineRule="auto"/>
        <w:ind w:left="720"/>
        <w:outlineLvl w:val="2"/>
        <w:rPr>
          <w:rFonts w:eastAsiaTheme="majorEastAsia" w:cstheme="majorBidi"/>
          <w:i/>
          <w:color w:val="auto"/>
          <w:sz w:val="26"/>
          <w:szCs w:val="24"/>
        </w:rPr>
      </w:pPr>
      <w:bookmarkStart w:id="1929" w:name="_Toc453943069"/>
      <w:bookmarkStart w:id="1930" w:name="_Toc463898237"/>
      <w:bookmarkStart w:id="1931" w:name="_Toc472330351"/>
      <w:bookmarkStart w:id="1932" w:name="_Toc523415164"/>
      <w:bookmarkStart w:id="1933" w:name="_Toc523417535"/>
      <w:bookmarkStart w:id="1934" w:name="_Toc523850168"/>
      <w:bookmarkStart w:id="1935" w:name="_Toc523857324"/>
      <w:bookmarkStart w:id="1936" w:name="_Toc524462561"/>
      <w:bookmarkStart w:id="1937" w:name="_Toc531434256"/>
      <w:bookmarkStart w:id="1938" w:name="_Toc535244630"/>
      <w:bookmarkStart w:id="1939" w:name="_Toc43697712"/>
      <w:bookmarkStart w:id="1940" w:name="_Toc45520915"/>
      <w:bookmarkStart w:id="1941" w:name="_Toc52869715"/>
      <w:r w:rsidRPr="00A9330B">
        <w:rPr>
          <w:rFonts w:eastAsiaTheme="majorEastAsia" w:cstheme="majorBidi"/>
          <w:i/>
          <w:color w:val="auto"/>
          <w:sz w:val="26"/>
          <w:szCs w:val="24"/>
        </w:rPr>
        <w:t>9.13.2. Terrassement (déviation, gros œuvre), purge, démolition, transport et mise en dépôt et remblai des terres</w:t>
      </w:r>
      <w:bookmarkEnd w:id="1929"/>
      <w:bookmarkEnd w:id="1930"/>
      <w:bookmarkEnd w:id="1931"/>
      <w:bookmarkEnd w:id="1932"/>
      <w:bookmarkEnd w:id="1933"/>
      <w:bookmarkEnd w:id="1934"/>
      <w:bookmarkEnd w:id="1935"/>
      <w:bookmarkEnd w:id="1936"/>
      <w:bookmarkEnd w:id="1937"/>
      <w:bookmarkEnd w:id="1938"/>
      <w:bookmarkEnd w:id="1939"/>
      <w:bookmarkEnd w:id="1940"/>
      <w:bookmarkEnd w:id="1941"/>
      <w:r w:rsidRPr="00A9330B">
        <w:rPr>
          <w:rFonts w:eastAsiaTheme="majorEastAsia" w:cstheme="majorBidi"/>
          <w:i/>
          <w:color w:val="auto"/>
          <w:sz w:val="26"/>
          <w:szCs w:val="24"/>
        </w:rPr>
        <w:t xml:space="preserve"> </w:t>
      </w:r>
    </w:p>
    <w:p w14:paraId="441AC473" w14:textId="77777777" w:rsidR="00401546" w:rsidRPr="00A9330B" w:rsidRDefault="00401546" w:rsidP="00401546">
      <w:pPr>
        <w:rPr>
          <w:rFonts w:cs="Arial"/>
        </w:rPr>
      </w:pPr>
      <w:r w:rsidRPr="00A9330B">
        <w:rPr>
          <w:rFonts w:cs="Arial"/>
        </w:rPr>
        <w:t>Les mesures de prévention et maitrise des risques pour les travaux de terrassement, de gros œuvre, de purge, de transport et mise en remblai des terres concernent i) l’accès aux sites et l'aménagement des abords ; ii) l’aménagement des zones de circulation et de travail ; iii) les opérations de déblais et remblais, et iv) l’aménagement des postes de travail.</w:t>
      </w:r>
      <w:bookmarkStart w:id="1942" w:name="_Toc472330402"/>
      <w:bookmarkStart w:id="1943" w:name="_Toc523404204"/>
      <w:bookmarkStart w:id="1944" w:name="_Toc523415165"/>
      <w:bookmarkStart w:id="1945" w:name="_Toc523417536"/>
      <w:bookmarkStart w:id="1946" w:name="_Toc523424633"/>
      <w:bookmarkStart w:id="1947" w:name="_Toc523582318"/>
      <w:bookmarkStart w:id="1948" w:name="_Toc524462743"/>
    </w:p>
    <w:p w14:paraId="51EF5B39" w14:textId="326401DE" w:rsidR="00401546" w:rsidRPr="00A9330B" w:rsidRDefault="00401546" w:rsidP="00401546">
      <w:pPr>
        <w:keepNext/>
        <w:spacing w:after="120" w:line="240" w:lineRule="auto"/>
        <w:jc w:val="center"/>
        <w:rPr>
          <w:rFonts w:eastAsia="Times New Roman" w:cs="Arial"/>
          <w:b/>
          <w:color w:val="000000"/>
          <w:sz w:val="20"/>
          <w:szCs w:val="20"/>
          <w:lang w:eastAsia="fr-FR"/>
        </w:rPr>
      </w:pPr>
      <w:bookmarkStart w:id="1949" w:name="_Toc529249286"/>
      <w:bookmarkStart w:id="1950" w:name="_Toc533058625"/>
      <w:bookmarkStart w:id="1951" w:name="_Toc535237438"/>
      <w:bookmarkStart w:id="1952" w:name="_Toc43696266"/>
      <w:bookmarkStart w:id="1953" w:name="_Toc52873779"/>
      <w:r w:rsidRPr="00A9330B">
        <w:rPr>
          <w:rFonts w:eastAsia="Times New Roman" w:cs="Arial"/>
          <w:b/>
          <w:color w:val="000000"/>
          <w:sz w:val="20"/>
          <w:szCs w:val="20"/>
          <w:lang w:eastAsia="fr-FR"/>
        </w:rPr>
        <w:t xml:space="preserve">Tableau </w:t>
      </w:r>
      <w:r w:rsidRPr="00A9330B">
        <w:rPr>
          <w:rFonts w:eastAsia="Times New Roman" w:cs="Arial"/>
          <w:b/>
          <w:color w:val="000000"/>
          <w:sz w:val="20"/>
          <w:szCs w:val="20"/>
          <w:lang w:eastAsia="fr-FR"/>
        </w:rPr>
        <w:fldChar w:fldCharType="begin"/>
      </w:r>
      <w:r w:rsidRPr="00A9330B">
        <w:rPr>
          <w:rFonts w:eastAsia="Times New Roman" w:cs="Arial"/>
          <w:b/>
          <w:color w:val="000000"/>
          <w:sz w:val="20"/>
          <w:szCs w:val="20"/>
          <w:lang w:eastAsia="fr-FR"/>
        </w:rPr>
        <w:instrText xml:space="preserve"> SEQ Tableau \* ARABIC </w:instrText>
      </w:r>
      <w:r w:rsidRPr="00A9330B">
        <w:rPr>
          <w:rFonts w:eastAsia="Times New Roman" w:cs="Arial"/>
          <w:b/>
          <w:color w:val="000000"/>
          <w:sz w:val="20"/>
          <w:szCs w:val="20"/>
          <w:lang w:eastAsia="fr-FR"/>
        </w:rPr>
        <w:fldChar w:fldCharType="separate"/>
      </w:r>
      <w:r w:rsidR="0057538E" w:rsidRPr="00A9330B">
        <w:rPr>
          <w:rFonts w:eastAsia="Times New Roman" w:cs="Arial"/>
          <w:b/>
          <w:noProof/>
          <w:color w:val="000000"/>
          <w:sz w:val="20"/>
          <w:szCs w:val="20"/>
          <w:lang w:eastAsia="fr-FR"/>
        </w:rPr>
        <w:t>55</w:t>
      </w:r>
      <w:r w:rsidRPr="00A9330B">
        <w:rPr>
          <w:rFonts w:eastAsia="Times New Roman" w:cs="Arial"/>
          <w:b/>
          <w:color w:val="000000"/>
          <w:sz w:val="20"/>
          <w:szCs w:val="20"/>
          <w:lang w:eastAsia="fr-FR"/>
        </w:rPr>
        <w:fldChar w:fldCharType="end"/>
      </w:r>
      <w:r w:rsidRPr="00A9330B">
        <w:rPr>
          <w:rFonts w:eastAsia="Times New Roman" w:cs="Arial"/>
          <w:b/>
          <w:color w:val="auto"/>
          <w:sz w:val="20"/>
          <w:szCs w:val="20"/>
          <w:lang w:eastAsia="fr-FR"/>
        </w:rPr>
        <w:t xml:space="preserve"> : </w:t>
      </w:r>
      <w:r w:rsidRPr="00A9330B">
        <w:rPr>
          <w:rFonts w:eastAsia="Times New Roman" w:cs="Arial"/>
          <w:b/>
          <w:color w:val="000000"/>
          <w:sz w:val="20"/>
          <w:szCs w:val="20"/>
          <w:lang w:eastAsia="fr-FR"/>
        </w:rPr>
        <w:t>Objectifs et mesures de prévention et minimisation des risques pour les travaux de de construction : aménagement de déviations, purge, démolition et gros œuvr</w:t>
      </w:r>
      <w:bookmarkEnd w:id="1942"/>
      <w:r w:rsidRPr="00A9330B">
        <w:rPr>
          <w:rFonts w:eastAsia="Times New Roman" w:cs="Arial"/>
          <w:b/>
          <w:color w:val="000000"/>
          <w:sz w:val="20"/>
          <w:szCs w:val="20"/>
          <w:lang w:eastAsia="fr-FR"/>
        </w:rPr>
        <w:t>e</w:t>
      </w:r>
      <w:bookmarkEnd w:id="1943"/>
      <w:bookmarkEnd w:id="1944"/>
      <w:bookmarkEnd w:id="1945"/>
      <w:bookmarkEnd w:id="1946"/>
      <w:bookmarkEnd w:id="1947"/>
      <w:bookmarkEnd w:id="1948"/>
      <w:bookmarkEnd w:id="1949"/>
      <w:bookmarkEnd w:id="1950"/>
      <w:bookmarkEnd w:id="1951"/>
      <w:bookmarkEnd w:id="1952"/>
      <w:bookmarkEnd w:id="1953"/>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14"/>
        <w:gridCol w:w="4775"/>
        <w:gridCol w:w="1371"/>
      </w:tblGrid>
      <w:tr w:rsidR="00401546" w:rsidRPr="00A9330B" w14:paraId="33B3AE68" w14:textId="77777777" w:rsidTr="00BD32CF">
        <w:trPr>
          <w:jc w:val="center"/>
        </w:trPr>
        <w:tc>
          <w:tcPr>
            <w:tcW w:w="3020" w:type="dxa"/>
            <w:shd w:val="clear" w:color="auto" w:fill="FF6600"/>
          </w:tcPr>
          <w:p w14:paraId="668B85AD" w14:textId="77777777" w:rsidR="00401546" w:rsidRPr="00A9330B" w:rsidRDefault="00401546" w:rsidP="00401546">
            <w:pPr>
              <w:spacing w:line="240" w:lineRule="auto"/>
              <w:jc w:val="center"/>
              <w:rPr>
                <w:b/>
                <w:color w:val="FFFFFF" w:themeColor="background1"/>
                <w:sz w:val="20"/>
                <w:szCs w:val="20"/>
              </w:rPr>
            </w:pPr>
            <w:r w:rsidRPr="00A9330B">
              <w:rPr>
                <w:b/>
                <w:color w:val="FFFFFF" w:themeColor="background1"/>
                <w:sz w:val="20"/>
                <w:szCs w:val="20"/>
              </w:rPr>
              <w:t xml:space="preserve">Objectifs pour prévenir et minimiser les risques </w:t>
            </w:r>
          </w:p>
        </w:tc>
        <w:tc>
          <w:tcPr>
            <w:tcW w:w="5055" w:type="dxa"/>
            <w:shd w:val="clear" w:color="auto" w:fill="FF6600"/>
          </w:tcPr>
          <w:p w14:paraId="1194343D" w14:textId="77777777" w:rsidR="00401546" w:rsidRPr="00A9330B" w:rsidRDefault="00401546" w:rsidP="00401546">
            <w:pPr>
              <w:spacing w:line="240" w:lineRule="auto"/>
              <w:jc w:val="center"/>
              <w:rPr>
                <w:b/>
                <w:color w:val="FFFFFF" w:themeColor="background1"/>
                <w:sz w:val="20"/>
                <w:szCs w:val="20"/>
              </w:rPr>
            </w:pPr>
            <w:r w:rsidRPr="00A9330B">
              <w:rPr>
                <w:b/>
                <w:color w:val="FFFFFF" w:themeColor="background1"/>
                <w:sz w:val="20"/>
                <w:szCs w:val="20"/>
              </w:rPr>
              <w:t xml:space="preserve">Mesures à prendre </w:t>
            </w:r>
          </w:p>
        </w:tc>
        <w:tc>
          <w:tcPr>
            <w:tcW w:w="1418" w:type="dxa"/>
            <w:shd w:val="clear" w:color="auto" w:fill="FF6600"/>
          </w:tcPr>
          <w:p w14:paraId="7DA4BB55" w14:textId="77777777" w:rsidR="00401546" w:rsidRPr="00A9330B" w:rsidRDefault="00401546" w:rsidP="00401546">
            <w:pPr>
              <w:spacing w:line="240" w:lineRule="auto"/>
              <w:jc w:val="center"/>
              <w:rPr>
                <w:b/>
                <w:color w:val="FFFFFF" w:themeColor="background1"/>
                <w:sz w:val="20"/>
                <w:szCs w:val="20"/>
              </w:rPr>
            </w:pPr>
            <w:r w:rsidRPr="00A9330B">
              <w:rPr>
                <w:b/>
                <w:color w:val="FFFFFF" w:themeColor="background1"/>
                <w:sz w:val="20"/>
                <w:szCs w:val="20"/>
              </w:rPr>
              <w:t xml:space="preserve">Danger pris en compte </w:t>
            </w:r>
          </w:p>
        </w:tc>
      </w:tr>
      <w:tr w:rsidR="00401546" w:rsidRPr="00A9330B" w14:paraId="3B29BCB7" w14:textId="77777777" w:rsidTr="00BD32CF">
        <w:trPr>
          <w:jc w:val="center"/>
        </w:trPr>
        <w:tc>
          <w:tcPr>
            <w:tcW w:w="9493" w:type="dxa"/>
            <w:gridSpan w:val="3"/>
            <w:shd w:val="clear" w:color="auto" w:fill="D9D9D9" w:themeFill="background1" w:themeFillShade="D9"/>
          </w:tcPr>
          <w:p w14:paraId="0F368F72" w14:textId="77777777" w:rsidR="00401546" w:rsidRPr="00A9330B" w:rsidRDefault="00401546" w:rsidP="00401546">
            <w:pPr>
              <w:spacing w:line="240" w:lineRule="auto"/>
              <w:rPr>
                <w:b/>
                <w:sz w:val="20"/>
                <w:szCs w:val="20"/>
              </w:rPr>
            </w:pPr>
            <w:r w:rsidRPr="00A9330B">
              <w:rPr>
                <w:b/>
                <w:sz w:val="20"/>
                <w:szCs w:val="20"/>
              </w:rPr>
              <w:t xml:space="preserve">Accès aux sites et l’aménagement des abords </w:t>
            </w:r>
          </w:p>
        </w:tc>
      </w:tr>
      <w:tr w:rsidR="00401546" w:rsidRPr="00A9330B" w14:paraId="4F68B0F9" w14:textId="77777777" w:rsidTr="00BD32CF">
        <w:trPr>
          <w:jc w:val="center"/>
        </w:trPr>
        <w:tc>
          <w:tcPr>
            <w:tcW w:w="3020" w:type="dxa"/>
            <w:vMerge w:val="restart"/>
          </w:tcPr>
          <w:p w14:paraId="4B398A14" w14:textId="77777777" w:rsidR="00401546" w:rsidRPr="00A9330B" w:rsidRDefault="00401546" w:rsidP="000F7BA7">
            <w:pPr>
              <w:spacing w:line="240" w:lineRule="auto"/>
              <w:jc w:val="both"/>
              <w:rPr>
                <w:sz w:val="20"/>
                <w:szCs w:val="20"/>
              </w:rPr>
            </w:pPr>
            <w:r w:rsidRPr="00A9330B">
              <w:rPr>
                <w:sz w:val="20"/>
                <w:szCs w:val="20"/>
              </w:rPr>
              <w:t xml:space="preserve">Assurer la sécurité des personnes et des biens aux abords du chantier </w:t>
            </w:r>
          </w:p>
        </w:tc>
        <w:tc>
          <w:tcPr>
            <w:tcW w:w="5055" w:type="dxa"/>
          </w:tcPr>
          <w:p w14:paraId="7972F3AF" w14:textId="77777777" w:rsidR="00401546" w:rsidRPr="00A9330B" w:rsidRDefault="00401546" w:rsidP="000F7BA7">
            <w:pPr>
              <w:spacing w:line="240" w:lineRule="auto"/>
              <w:jc w:val="both"/>
              <w:rPr>
                <w:sz w:val="20"/>
                <w:szCs w:val="20"/>
              </w:rPr>
            </w:pPr>
            <w:r w:rsidRPr="00A9330B">
              <w:rPr>
                <w:sz w:val="20"/>
                <w:szCs w:val="20"/>
              </w:rPr>
              <w:t>Information et autorisation auprès des autorités et concessionnaires de réseau (SONEB, SBEE, Benin Telecom,  etc.)</w:t>
            </w:r>
          </w:p>
        </w:tc>
        <w:tc>
          <w:tcPr>
            <w:tcW w:w="1418" w:type="dxa"/>
          </w:tcPr>
          <w:p w14:paraId="49FB7949" w14:textId="77777777" w:rsidR="00401546" w:rsidRPr="00A9330B" w:rsidRDefault="00401546" w:rsidP="00401546">
            <w:pPr>
              <w:spacing w:line="240" w:lineRule="auto"/>
              <w:jc w:val="center"/>
              <w:rPr>
                <w:sz w:val="20"/>
                <w:szCs w:val="20"/>
              </w:rPr>
            </w:pPr>
            <w:r w:rsidRPr="00A9330B">
              <w:rPr>
                <w:sz w:val="20"/>
                <w:szCs w:val="20"/>
              </w:rPr>
              <w:t xml:space="preserve">1, 2, 6, 7 et 8 </w:t>
            </w:r>
          </w:p>
        </w:tc>
      </w:tr>
      <w:tr w:rsidR="00401546" w:rsidRPr="00A9330B" w14:paraId="5AB7E5D4" w14:textId="77777777" w:rsidTr="00BD32CF">
        <w:trPr>
          <w:jc w:val="center"/>
        </w:trPr>
        <w:tc>
          <w:tcPr>
            <w:tcW w:w="3020" w:type="dxa"/>
            <w:vMerge/>
          </w:tcPr>
          <w:p w14:paraId="7E5A16EC" w14:textId="77777777" w:rsidR="00401546" w:rsidRPr="00A9330B" w:rsidRDefault="00401546" w:rsidP="000F7BA7">
            <w:pPr>
              <w:spacing w:line="240" w:lineRule="auto"/>
              <w:jc w:val="both"/>
              <w:rPr>
                <w:sz w:val="20"/>
                <w:szCs w:val="20"/>
              </w:rPr>
            </w:pPr>
          </w:p>
        </w:tc>
        <w:tc>
          <w:tcPr>
            <w:tcW w:w="5055" w:type="dxa"/>
          </w:tcPr>
          <w:p w14:paraId="612E4D19" w14:textId="77777777" w:rsidR="00401546" w:rsidRPr="00A9330B" w:rsidRDefault="00401546" w:rsidP="000F7BA7">
            <w:pPr>
              <w:spacing w:line="240" w:lineRule="auto"/>
              <w:jc w:val="both"/>
              <w:rPr>
                <w:sz w:val="20"/>
                <w:szCs w:val="20"/>
              </w:rPr>
            </w:pPr>
            <w:r w:rsidRPr="00A9330B">
              <w:rPr>
                <w:sz w:val="20"/>
                <w:szCs w:val="20"/>
              </w:rPr>
              <w:t xml:space="preserve">Etat des lieux préalable et mise en évidence des zones à risque  </w:t>
            </w:r>
          </w:p>
        </w:tc>
        <w:tc>
          <w:tcPr>
            <w:tcW w:w="1418" w:type="dxa"/>
          </w:tcPr>
          <w:p w14:paraId="4850B18A" w14:textId="77777777" w:rsidR="00401546" w:rsidRPr="00A9330B" w:rsidRDefault="00401546" w:rsidP="00401546">
            <w:pPr>
              <w:spacing w:line="240" w:lineRule="auto"/>
              <w:jc w:val="center"/>
              <w:rPr>
                <w:sz w:val="20"/>
                <w:szCs w:val="20"/>
              </w:rPr>
            </w:pPr>
            <w:r w:rsidRPr="00A9330B">
              <w:rPr>
                <w:sz w:val="20"/>
                <w:szCs w:val="20"/>
              </w:rPr>
              <w:t xml:space="preserve">6,7 et 8 </w:t>
            </w:r>
          </w:p>
        </w:tc>
      </w:tr>
      <w:tr w:rsidR="00401546" w:rsidRPr="00A9330B" w14:paraId="6E16A714" w14:textId="77777777" w:rsidTr="00BD32CF">
        <w:trPr>
          <w:jc w:val="center"/>
        </w:trPr>
        <w:tc>
          <w:tcPr>
            <w:tcW w:w="3020" w:type="dxa"/>
            <w:vMerge/>
          </w:tcPr>
          <w:p w14:paraId="5BF8E907" w14:textId="77777777" w:rsidR="00401546" w:rsidRPr="00A9330B" w:rsidRDefault="00401546" w:rsidP="000F7BA7">
            <w:pPr>
              <w:spacing w:line="240" w:lineRule="auto"/>
              <w:jc w:val="both"/>
              <w:rPr>
                <w:sz w:val="20"/>
                <w:szCs w:val="20"/>
              </w:rPr>
            </w:pPr>
          </w:p>
        </w:tc>
        <w:tc>
          <w:tcPr>
            <w:tcW w:w="5055" w:type="dxa"/>
          </w:tcPr>
          <w:p w14:paraId="7710AAC6" w14:textId="77777777" w:rsidR="00401546" w:rsidRPr="00A9330B" w:rsidRDefault="00401546" w:rsidP="000F7BA7">
            <w:pPr>
              <w:spacing w:line="240" w:lineRule="auto"/>
              <w:jc w:val="both"/>
              <w:rPr>
                <w:sz w:val="20"/>
                <w:szCs w:val="20"/>
              </w:rPr>
            </w:pPr>
            <w:r w:rsidRPr="00A9330B">
              <w:rPr>
                <w:sz w:val="20"/>
                <w:szCs w:val="20"/>
              </w:rPr>
              <w:t xml:space="preserve">Définition des modalités d’accès des véhicules, engins de chantier </w:t>
            </w:r>
          </w:p>
        </w:tc>
        <w:tc>
          <w:tcPr>
            <w:tcW w:w="1418" w:type="dxa"/>
          </w:tcPr>
          <w:p w14:paraId="55746A16" w14:textId="77777777" w:rsidR="00401546" w:rsidRPr="00A9330B" w:rsidRDefault="00401546" w:rsidP="00401546">
            <w:pPr>
              <w:spacing w:line="240" w:lineRule="auto"/>
              <w:jc w:val="center"/>
              <w:rPr>
                <w:sz w:val="20"/>
                <w:szCs w:val="20"/>
              </w:rPr>
            </w:pPr>
            <w:r w:rsidRPr="00A9330B">
              <w:rPr>
                <w:sz w:val="20"/>
                <w:szCs w:val="20"/>
              </w:rPr>
              <w:t xml:space="preserve">1,2 et 6 </w:t>
            </w:r>
          </w:p>
        </w:tc>
      </w:tr>
      <w:tr w:rsidR="00401546" w:rsidRPr="00A9330B" w14:paraId="2DA38E06" w14:textId="77777777" w:rsidTr="00BD32CF">
        <w:trPr>
          <w:jc w:val="center"/>
        </w:trPr>
        <w:tc>
          <w:tcPr>
            <w:tcW w:w="3020" w:type="dxa"/>
            <w:vMerge w:val="restart"/>
          </w:tcPr>
          <w:p w14:paraId="7614A957" w14:textId="77777777" w:rsidR="00401546" w:rsidRPr="00A9330B" w:rsidRDefault="00401546" w:rsidP="000F7BA7">
            <w:pPr>
              <w:spacing w:line="240" w:lineRule="auto"/>
              <w:jc w:val="both"/>
              <w:rPr>
                <w:sz w:val="20"/>
                <w:szCs w:val="20"/>
              </w:rPr>
            </w:pPr>
            <w:r w:rsidRPr="00A9330B">
              <w:rPr>
                <w:sz w:val="20"/>
                <w:szCs w:val="20"/>
              </w:rPr>
              <w:lastRenderedPageBreak/>
              <w:t xml:space="preserve">Limiter les risques d’accidents dus à l’existence connue ou non de câbles, canalisations enterrés et de lignes électriques aériennes ou souterraines  </w:t>
            </w:r>
          </w:p>
        </w:tc>
        <w:tc>
          <w:tcPr>
            <w:tcW w:w="5055" w:type="dxa"/>
          </w:tcPr>
          <w:p w14:paraId="11B17135" w14:textId="77777777" w:rsidR="00401546" w:rsidRPr="00A9330B" w:rsidRDefault="00401546" w:rsidP="000F7BA7">
            <w:pPr>
              <w:spacing w:line="240" w:lineRule="auto"/>
              <w:jc w:val="both"/>
              <w:rPr>
                <w:sz w:val="20"/>
                <w:szCs w:val="20"/>
              </w:rPr>
            </w:pPr>
            <w:r w:rsidRPr="00A9330B">
              <w:rPr>
                <w:sz w:val="20"/>
                <w:szCs w:val="20"/>
              </w:rPr>
              <w:t xml:space="preserve">Consultation de la SONEB avant travaux </w:t>
            </w:r>
          </w:p>
          <w:p w14:paraId="5F50C8CE" w14:textId="77777777" w:rsidR="00401546" w:rsidRPr="00A9330B" w:rsidRDefault="00401546" w:rsidP="000F7BA7">
            <w:pPr>
              <w:spacing w:line="240" w:lineRule="auto"/>
              <w:jc w:val="both"/>
              <w:rPr>
                <w:sz w:val="20"/>
                <w:szCs w:val="20"/>
              </w:rPr>
            </w:pPr>
            <w:r w:rsidRPr="00A9330B">
              <w:rPr>
                <w:sz w:val="20"/>
                <w:szCs w:val="20"/>
              </w:rPr>
              <w:t xml:space="preserve">Définition de la conduite à tenir en cas d’accidents </w:t>
            </w:r>
          </w:p>
        </w:tc>
        <w:tc>
          <w:tcPr>
            <w:tcW w:w="1418" w:type="dxa"/>
          </w:tcPr>
          <w:p w14:paraId="39347CC6" w14:textId="77777777" w:rsidR="00401546" w:rsidRPr="00A9330B" w:rsidRDefault="00401546" w:rsidP="00401546">
            <w:pPr>
              <w:spacing w:line="240" w:lineRule="auto"/>
              <w:jc w:val="center"/>
              <w:rPr>
                <w:sz w:val="20"/>
                <w:szCs w:val="20"/>
              </w:rPr>
            </w:pPr>
            <w:r w:rsidRPr="00A9330B">
              <w:rPr>
                <w:sz w:val="20"/>
                <w:szCs w:val="20"/>
              </w:rPr>
              <w:t xml:space="preserve">7 et 8 </w:t>
            </w:r>
          </w:p>
        </w:tc>
      </w:tr>
      <w:tr w:rsidR="00401546" w:rsidRPr="00A9330B" w14:paraId="261A8702" w14:textId="77777777" w:rsidTr="00BD32CF">
        <w:trPr>
          <w:jc w:val="center"/>
        </w:trPr>
        <w:tc>
          <w:tcPr>
            <w:tcW w:w="3020" w:type="dxa"/>
            <w:vMerge/>
          </w:tcPr>
          <w:p w14:paraId="768C4AB4" w14:textId="77777777" w:rsidR="00401546" w:rsidRPr="00A9330B" w:rsidRDefault="00401546" w:rsidP="000F7BA7">
            <w:pPr>
              <w:spacing w:line="240" w:lineRule="auto"/>
              <w:jc w:val="both"/>
              <w:rPr>
                <w:sz w:val="20"/>
                <w:szCs w:val="20"/>
              </w:rPr>
            </w:pPr>
          </w:p>
        </w:tc>
        <w:tc>
          <w:tcPr>
            <w:tcW w:w="5055" w:type="dxa"/>
          </w:tcPr>
          <w:p w14:paraId="7A3D6306" w14:textId="4D3E1724" w:rsidR="00401546" w:rsidRPr="00A9330B" w:rsidRDefault="00401546" w:rsidP="000F7BA7">
            <w:pPr>
              <w:spacing w:line="240" w:lineRule="auto"/>
              <w:jc w:val="both"/>
              <w:rPr>
                <w:sz w:val="20"/>
                <w:szCs w:val="20"/>
              </w:rPr>
            </w:pPr>
            <w:r w:rsidRPr="00A9330B">
              <w:rPr>
                <w:sz w:val="20"/>
                <w:szCs w:val="20"/>
              </w:rPr>
              <w:t>Repérage des lignes électriques aériennes ou souterraines et autres canalisations existantes. Prot</w:t>
            </w:r>
            <w:r w:rsidR="0057538E" w:rsidRPr="00A9330B">
              <w:rPr>
                <w:sz w:val="20"/>
                <w:szCs w:val="20"/>
              </w:rPr>
              <w:t xml:space="preserve">ections éventuelles à réaliser </w:t>
            </w:r>
          </w:p>
        </w:tc>
        <w:tc>
          <w:tcPr>
            <w:tcW w:w="1418" w:type="dxa"/>
          </w:tcPr>
          <w:p w14:paraId="200CCCD3" w14:textId="77777777" w:rsidR="00401546" w:rsidRPr="00A9330B" w:rsidRDefault="00401546" w:rsidP="00401546">
            <w:pPr>
              <w:spacing w:line="240" w:lineRule="auto"/>
              <w:jc w:val="center"/>
              <w:rPr>
                <w:sz w:val="20"/>
                <w:szCs w:val="20"/>
              </w:rPr>
            </w:pPr>
            <w:r w:rsidRPr="00A9330B">
              <w:rPr>
                <w:sz w:val="20"/>
                <w:szCs w:val="20"/>
              </w:rPr>
              <w:t xml:space="preserve">7 et 8 </w:t>
            </w:r>
          </w:p>
        </w:tc>
      </w:tr>
      <w:tr w:rsidR="00401546" w:rsidRPr="00A9330B" w14:paraId="16D3B57D" w14:textId="77777777" w:rsidTr="00BD32CF">
        <w:trPr>
          <w:jc w:val="center"/>
        </w:trPr>
        <w:tc>
          <w:tcPr>
            <w:tcW w:w="9493" w:type="dxa"/>
            <w:gridSpan w:val="3"/>
            <w:shd w:val="clear" w:color="auto" w:fill="D9D9D9" w:themeFill="background1" w:themeFillShade="D9"/>
          </w:tcPr>
          <w:p w14:paraId="62BA0EB9" w14:textId="77777777" w:rsidR="00401546" w:rsidRPr="00A9330B" w:rsidRDefault="00401546" w:rsidP="00401546">
            <w:pPr>
              <w:spacing w:line="240" w:lineRule="auto"/>
              <w:rPr>
                <w:b/>
                <w:sz w:val="20"/>
                <w:szCs w:val="20"/>
              </w:rPr>
            </w:pPr>
            <w:r w:rsidRPr="00A9330B">
              <w:rPr>
                <w:b/>
                <w:sz w:val="20"/>
                <w:szCs w:val="20"/>
              </w:rPr>
              <w:t>Aménagement des zones de circulation et de travail</w:t>
            </w:r>
          </w:p>
        </w:tc>
      </w:tr>
      <w:tr w:rsidR="00401546" w:rsidRPr="00A9330B" w14:paraId="7FF0CCBF" w14:textId="77777777" w:rsidTr="00BD32CF">
        <w:trPr>
          <w:jc w:val="center"/>
        </w:trPr>
        <w:tc>
          <w:tcPr>
            <w:tcW w:w="3020" w:type="dxa"/>
            <w:vMerge w:val="restart"/>
          </w:tcPr>
          <w:p w14:paraId="52E62D90" w14:textId="77777777" w:rsidR="00401546" w:rsidRPr="00A9330B" w:rsidRDefault="00401546" w:rsidP="000F7BA7">
            <w:pPr>
              <w:spacing w:line="240" w:lineRule="auto"/>
              <w:jc w:val="both"/>
              <w:rPr>
                <w:sz w:val="20"/>
                <w:szCs w:val="20"/>
              </w:rPr>
            </w:pPr>
            <w:r w:rsidRPr="00A9330B">
              <w:rPr>
                <w:sz w:val="20"/>
                <w:szCs w:val="20"/>
              </w:rPr>
              <w:t xml:space="preserve">Prévenir les risques liés à la circulation des engins </w:t>
            </w:r>
          </w:p>
        </w:tc>
        <w:tc>
          <w:tcPr>
            <w:tcW w:w="5055" w:type="dxa"/>
          </w:tcPr>
          <w:p w14:paraId="636ECD25" w14:textId="77777777" w:rsidR="00401546" w:rsidRPr="00A9330B" w:rsidRDefault="00401546" w:rsidP="000F7BA7">
            <w:pPr>
              <w:spacing w:line="240" w:lineRule="auto"/>
              <w:jc w:val="both"/>
              <w:rPr>
                <w:sz w:val="20"/>
                <w:szCs w:val="20"/>
              </w:rPr>
            </w:pPr>
            <w:r w:rsidRPr="00A9330B">
              <w:rPr>
                <w:sz w:val="20"/>
                <w:szCs w:val="20"/>
              </w:rPr>
              <w:t xml:space="preserve">Etablissement d’un plan de circulation faisant figurer les accès chantiers, les pistes, les zones de stationnement des véhicules et engins </w:t>
            </w:r>
          </w:p>
        </w:tc>
        <w:tc>
          <w:tcPr>
            <w:tcW w:w="1418" w:type="dxa"/>
            <w:vMerge w:val="restart"/>
          </w:tcPr>
          <w:p w14:paraId="2CC0EA7F" w14:textId="77777777" w:rsidR="00401546" w:rsidRPr="00A9330B" w:rsidRDefault="00401546" w:rsidP="00401546">
            <w:pPr>
              <w:spacing w:line="240" w:lineRule="auto"/>
              <w:jc w:val="center"/>
              <w:rPr>
                <w:sz w:val="20"/>
                <w:szCs w:val="20"/>
              </w:rPr>
            </w:pPr>
            <w:r w:rsidRPr="00A9330B">
              <w:rPr>
                <w:sz w:val="20"/>
                <w:szCs w:val="20"/>
              </w:rPr>
              <w:t xml:space="preserve">1, 2, 5, et 6 </w:t>
            </w:r>
          </w:p>
        </w:tc>
      </w:tr>
      <w:tr w:rsidR="00401546" w:rsidRPr="00A9330B" w14:paraId="65333769" w14:textId="77777777" w:rsidTr="00BD32CF">
        <w:trPr>
          <w:jc w:val="center"/>
        </w:trPr>
        <w:tc>
          <w:tcPr>
            <w:tcW w:w="3020" w:type="dxa"/>
            <w:vMerge/>
          </w:tcPr>
          <w:p w14:paraId="53EBA795" w14:textId="77777777" w:rsidR="00401546" w:rsidRPr="00A9330B" w:rsidRDefault="00401546" w:rsidP="000F7BA7">
            <w:pPr>
              <w:spacing w:line="240" w:lineRule="auto"/>
              <w:jc w:val="both"/>
              <w:rPr>
                <w:sz w:val="20"/>
                <w:szCs w:val="20"/>
              </w:rPr>
            </w:pPr>
          </w:p>
        </w:tc>
        <w:tc>
          <w:tcPr>
            <w:tcW w:w="5055" w:type="dxa"/>
          </w:tcPr>
          <w:p w14:paraId="1288E40F" w14:textId="77777777" w:rsidR="00401546" w:rsidRPr="00A9330B" w:rsidRDefault="00401546" w:rsidP="000F7BA7">
            <w:pPr>
              <w:spacing w:line="240" w:lineRule="auto"/>
              <w:jc w:val="both"/>
              <w:rPr>
                <w:sz w:val="20"/>
                <w:szCs w:val="20"/>
              </w:rPr>
            </w:pPr>
            <w:r w:rsidRPr="00A9330B">
              <w:rPr>
                <w:sz w:val="20"/>
                <w:szCs w:val="20"/>
              </w:rPr>
              <w:t xml:space="preserve">Signalisation des points à risques : intersection des pistes, gabarits, d’ouvrages, etc. </w:t>
            </w:r>
          </w:p>
        </w:tc>
        <w:tc>
          <w:tcPr>
            <w:tcW w:w="1418" w:type="dxa"/>
            <w:vMerge/>
          </w:tcPr>
          <w:p w14:paraId="28A1E0A1" w14:textId="77777777" w:rsidR="00401546" w:rsidRPr="00A9330B" w:rsidRDefault="00401546" w:rsidP="00401546">
            <w:pPr>
              <w:spacing w:line="240" w:lineRule="auto"/>
              <w:jc w:val="center"/>
              <w:rPr>
                <w:sz w:val="20"/>
                <w:szCs w:val="20"/>
              </w:rPr>
            </w:pPr>
          </w:p>
        </w:tc>
      </w:tr>
      <w:tr w:rsidR="00401546" w:rsidRPr="00A9330B" w14:paraId="2C53AF33" w14:textId="77777777" w:rsidTr="00BD32CF">
        <w:trPr>
          <w:jc w:val="center"/>
        </w:trPr>
        <w:tc>
          <w:tcPr>
            <w:tcW w:w="3020" w:type="dxa"/>
            <w:vMerge/>
          </w:tcPr>
          <w:p w14:paraId="78E19673" w14:textId="77777777" w:rsidR="00401546" w:rsidRPr="00A9330B" w:rsidRDefault="00401546" w:rsidP="000F7BA7">
            <w:pPr>
              <w:spacing w:line="240" w:lineRule="auto"/>
              <w:jc w:val="both"/>
              <w:rPr>
                <w:sz w:val="20"/>
                <w:szCs w:val="20"/>
              </w:rPr>
            </w:pPr>
          </w:p>
        </w:tc>
        <w:tc>
          <w:tcPr>
            <w:tcW w:w="5055" w:type="dxa"/>
          </w:tcPr>
          <w:p w14:paraId="0155BBC8" w14:textId="77777777" w:rsidR="00401546" w:rsidRPr="00A9330B" w:rsidRDefault="00401546" w:rsidP="000F7BA7">
            <w:pPr>
              <w:spacing w:line="240" w:lineRule="auto"/>
              <w:jc w:val="both"/>
              <w:rPr>
                <w:sz w:val="20"/>
                <w:szCs w:val="20"/>
              </w:rPr>
            </w:pPr>
            <w:r w:rsidRPr="00A9330B">
              <w:rPr>
                <w:sz w:val="20"/>
                <w:szCs w:val="20"/>
              </w:rPr>
              <w:t xml:space="preserve">Information des conducteurs aux consignes de circulation sur le chantier </w:t>
            </w:r>
          </w:p>
        </w:tc>
        <w:tc>
          <w:tcPr>
            <w:tcW w:w="1418" w:type="dxa"/>
            <w:vMerge/>
          </w:tcPr>
          <w:p w14:paraId="5111A0D3" w14:textId="77777777" w:rsidR="00401546" w:rsidRPr="00A9330B" w:rsidRDefault="00401546" w:rsidP="00401546">
            <w:pPr>
              <w:spacing w:line="240" w:lineRule="auto"/>
              <w:jc w:val="center"/>
              <w:rPr>
                <w:sz w:val="20"/>
                <w:szCs w:val="20"/>
              </w:rPr>
            </w:pPr>
          </w:p>
        </w:tc>
      </w:tr>
      <w:tr w:rsidR="00401546" w:rsidRPr="00A9330B" w14:paraId="62A95764" w14:textId="77777777" w:rsidTr="00BD32CF">
        <w:trPr>
          <w:jc w:val="center"/>
        </w:trPr>
        <w:tc>
          <w:tcPr>
            <w:tcW w:w="3020" w:type="dxa"/>
            <w:vMerge w:val="restart"/>
          </w:tcPr>
          <w:p w14:paraId="2174EFBA" w14:textId="77777777" w:rsidR="00401546" w:rsidRPr="00A9330B" w:rsidRDefault="00401546" w:rsidP="000F7BA7">
            <w:pPr>
              <w:spacing w:line="240" w:lineRule="auto"/>
              <w:jc w:val="both"/>
              <w:rPr>
                <w:sz w:val="20"/>
                <w:szCs w:val="20"/>
              </w:rPr>
            </w:pPr>
            <w:r w:rsidRPr="00A9330B">
              <w:rPr>
                <w:sz w:val="20"/>
                <w:szCs w:val="20"/>
              </w:rPr>
              <w:t xml:space="preserve">Respecter les règles d’hygiène et la protection aux aléas météorologiques  </w:t>
            </w:r>
          </w:p>
        </w:tc>
        <w:tc>
          <w:tcPr>
            <w:tcW w:w="5055" w:type="dxa"/>
          </w:tcPr>
          <w:p w14:paraId="1E1D6EE4" w14:textId="77777777" w:rsidR="00401546" w:rsidRPr="00A9330B" w:rsidRDefault="00401546" w:rsidP="000F7BA7">
            <w:pPr>
              <w:spacing w:line="240" w:lineRule="auto"/>
              <w:jc w:val="both"/>
              <w:rPr>
                <w:sz w:val="20"/>
                <w:szCs w:val="20"/>
              </w:rPr>
            </w:pPr>
            <w:r w:rsidRPr="00A9330B">
              <w:rPr>
                <w:sz w:val="20"/>
                <w:szCs w:val="20"/>
              </w:rPr>
              <w:t xml:space="preserve">Fournir un accès des ouvriers à des toilettes et un point d’eau, y compris l’eau de boisson </w:t>
            </w:r>
          </w:p>
        </w:tc>
        <w:tc>
          <w:tcPr>
            <w:tcW w:w="1418" w:type="dxa"/>
            <w:vMerge w:val="restart"/>
          </w:tcPr>
          <w:p w14:paraId="6A33DCC5" w14:textId="77777777" w:rsidR="00401546" w:rsidRPr="00A9330B" w:rsidRDefault="00401546" w:rsidP="00401546">
            <w:pPr>
              <w:spacing w:line="240" w:lineRule="auto"/>
              <w:jc w:val="center"/>
              <w:rPr>
                <w:sz w:val="20"/>
                <w:szCs w:val="20"/>
              </w:rPr>
            </w:pPr>
            <w:r w:rsidRPr="00A9330B">
              <w:rPr>
                <w:sz w:val="20"/>
                <w:szCs w:val="20"/>
              </w:rPr>
              <w:t>4</w:t>
            </w:r>
          </w:p>
        </w:tc>
      </w:tr>
      <w:tr w:rsidR="00401546" w:rsidRPr="00A9330B" w14:paraId="4F6851A5" w14:textId="77777777" w:rsidTr="00BD32CF">
        <w:trPr>
          <w:jc w:val="center"/>
        </w:trPr>
        <w:tc>
          <w:tcPr>
            <w:tcW w:w="3020" w:type="dxa"/>
            <w:vMerge/>
          </w:tcPr>
          <w:p w14:paraId="158A91C4" w14:textId="77777777" w:rsidR="00401546" w:rsidRPr="00A9330B" w:rsidRDefault="00401546" w:rsidP="000F7BA7">
            <w:pPr>
              <w:spacing w:line="240" w:lineRule="auto"/>
              <w:jc w:val="both"/>
              <w:rPr>
                <w:sz w:val="20"/>
                <w:szCs w:val="20"/>
              </w:rPr>
            </w:pPr>
          </w:p>
        </w:tc>
        <w:tc>
          <w:tcPr>
            <w:tcW w:w="5055" w:type="dxa"/>
          </w:tcPr>
          <w:p w14:paraId="0006B80A" w14:textId="77777777" w:rsidR="00401546" w:rsidRPr="00A9330B" w:rsidRDefault="00401546" w:rsidP="000F7BA7">
            <w:pPr>
              <w:spacing w:line="240" w:lineRule="auto"/>
              <w:jc w:val="both"/>
              <w:rPr>
                <w:sz w:val="20"/>
                <w:szCs w:val="20"/>
              </w:rPr>
            </w:pPr>
            <w:r w:rsidRPr="00A9330B">
              <w:rPr>
                <w:sz w:val="20"/>
                <w:szCs w:val="20"/>
              </w:rPr>
              <w:t xml:space="preserve">Installation ou mise à disposition d’un bureau de chantier </w:t>
            </w:r>
          </w:p>
        </w:tc>
        <w:tc>
          <w:tcPr>
            <w:tcW w:w="1418" w:type="dxa"/>
            <w:vMerge/>
          </w:tcPr>
          <w:p w14:paraId="1CCF1514" w14:textId="77777777" w:rsidR="00401546" w:rsidRPr="00A9330B" w:rsidRDefault="00401546" w:rsidP="00401546">
            <w:pPr>
              <w:spacing w:line="240" w:lineRule="auto"/>
              <w:jc w:val="center"/>
              <w:rPr>
                <w:sz w:val="20"/>
                <w:szCs w:val="20"/>
              </w:rPr>
            </w:pPr>
          </w:p>
        </w:tc>
      </w:tr>
      <w:tr w:rsidR="00401546" w:rsidRPr="00A9330B" w14:paraId="339E7542" w14:textId="77777777" w:rsidTr="00BD32CF">
        <w:trPr>
          <w:trHeight w:val="516"/>
          <w:jc w:val="center"/>
        </w:trPr>
        <w:tc>
          <w:tcPr>
            <w:tcW w:w="3020" w:type="dxa"/>
            <w:vMerge/>
          </w:tcPr>
          <w:p w14:paraId="701102F3" w14:textId="77777777" w:rsidR="00401546" w:rsidRPr="00A9330B" w:rsidRDefault="00401546" w:rsidP="000F7BA7">
            <w:pPr>
              <w:spacing w:line="240" w:lineRule="auto"/>
              <w:jc w:val="both"/>
              <w:rPr>
                <w:sz w:val="20"/>
                <w:szCs w:val="20"/>
              </w:rPr>
            </w:pPr>
          </w:p>
        </w:tc>
        <w:tc>
          <w:tcPr>
            <w:tcW w:w="5055" w:type="dxa"/>
          </w:tcPr>
          <w:p w14:paraId="57AB2694" w14:textId="77777777" w:rsidR="00401546" w:rsidRPr="00A9330B" w:rsidRDefault="00401546" w:rsidP="000F7BA7">
            <w:pPr>
              <w:spacing w:line="240" w:lineRule="auto"/>
              <w:jc w:val="both"/>
              <w:rPr>
                <w:sz w:val="20"/>
                <w:szCs w:val="20"/>
              </w:rPr>
            </w:pPr>
            <w:r w:rsidRPr="00A9330B">
              <w:rPr>
                <w:sz w:val="20"/>
                <w:szCs w:val="20"/>
              </w:rPr>
              <w:t xml:space="preserve">Consigne d’hygiène et respect des temps de travail </w:t>
            </w:r>
          </w:p>
        </w:tc>
        <w:tc>
          <w:tcPr>
            <w:tcW w:w="1418" w:type="dxa"/>
            <w:vMerge/>
          </w:tcPr>
          <w:p w14:paraId="5BF3D0CF" w14:textId="77777777" w:rsidR="00401546" w:rsidRPr="00A9330B" w:rsidRDefault="00401546" w:rsidP="00401546">
            <w:pPr>
              <w:spacing w:line="240" w:lineRule="auto"/>
              <w:jc w:val="center"/>
              <w:rPr>
                <w:sz w:val="20"/>
                <w:szCs w:val="20"/>
              </w:rPr>
            </w:pPr>
          </w:p>
        </w:tc>
      </w:tr>
      <w:tr w:rsidR="00401546" w:rsidRPr="00A9330B" w14:paraId="207E72A7" w14:textId="77777777" w:rsidTr="00BD32CF">
        <w:trPr>
          <w:jc w:val="center"/>
        </w:trPr>
        <w:tc>
          <w:tcPr>
            <w:tcW w:w="9493" w:type="dxa"/>
            <w:gridSpan w:val="3"/>
            <w:shd w:val="clear" w:color="auto" w:fill="D9D9D9" w:themeFill="background1" w:themeFillShade="D9"/>
          </w:tcPr>
          <w:p w14:paraId="61053992" w14:textId="77777777" w:rsidR="00401546" w:rsidRPr="00A9330B" w:rsidRDefault="00401546" w:rsidP="00401546">
            <w:pPr>
              <w:spacing w:line="240" w:lineRule="auto"/>
              <w:rPr>
                <w:b/>
                <w:sz w:val="20"/>
                <w:szCs w:val="20"/>
              </w:rPr>
            </w:pPr>
            <w:r w:rsidRPr="00A9330B">
              <w:rPr>
                <w:b/>
                <w:sz w:val="20"/>
                <w:szCs w:val="20"/>
              </w:rPr>
              <w:t xml:space="preserve">Opération de déblais et remblais </w:t>
            </w:r>
          </w:p>
        </w:tc>
      </w:tr>
      <w:tr w:rsidR="00401546" w:rsidRPr="00A9330B" w14:paraId="6F4B4FC9" w14:textId="77777777" w:rsidTr="00BD32CF">
        <w:trPr>
          <w:jc w:val="center"/>
        </w:trPr>
        <w:tc>
          <w:tcPr>
            <w:tcW w:w="3020" w:type="dxa"/>
          </w:tcPr>
          <w:p w14:paraId="2E0137A0" w14:textId="77777777" w:rsidR="00401546" w:rsidRPr="00A9330B" w:rsidRDefault="00401546" w:rsidP="000F7BA7">
            <w:pPr>
              <w:spacing w:line="240" w:lineRule="auto"/>
              <w:jc w:val="both"/>
              <w:rPr>
                <w:sz w:val="20"/>
                <w:szCs w:val="20"/>
              </w:rPr>
            </w:pPr>
            <w:r w:rsidRPr="00A9330B">
              <w:rPr>
                <w:sz w:val="20"/>
                <w:szCs w:val="20"/>
              </w:rPr>
              <w:t xml:space="preserve">Eviter les accidents et incidents en cours de transport </w:t>
            </w:r>
          </w:p>
        </w:tc>
        <w:tc>
          <w:tcPr>
            <w:tcW w:w="5055" w:type="dxa"/>
          </w:tcPr>
          <w:p w14:paraId="7FBFCF7C" w14:textId="77777777" w:rsidR="00401546" w:rsidRPr="00A9330B" w:rsidRDefault="00401546" w:rsidP="000F7BA7">
            <w:pPr>
              <w:spacing w:line="240" w:lineRule="auto"/>
              <w:jc w:val="both"/>
              <w:rPr>
                <w:sz w:val="20"/>
                <w:szCs w:val="20"/>
              </w:rPr>
            </w:pPr>
            <w:r w:rsidRPr="00A9330B">
              <w:rPr>
                <w:sz w:val="20"/>
                <w:szCs w:val="20"/>
              </w:rPr>
              <w:t xml:space="preserve">Signalisation des routes et voies d’accès </w:t>
            </w:r>
          </w:p>
          <w:p w14:paraId="7C87CA7E" w14:textId="77777777" w:rsidR="00401546" w:rsidRPr="00A9330B" w:rsidRDefault="00401546" w:rsidP="000F7BA7">
            <w:pPr>
              <w:spacing w:line="240" w:lineRule="auto"/>
              <w:jc w:val="both"/>
              <w:rPr>
                <w:sz w:val="20"/>
                <w:szCs w:val="20"/>
              </w:rPr>
            </w:pPr>
            <w:r w:rsidRPr="00A9330B">
              <w:rPr>
                <w:sz w:val="20"/>
                <w:szCs w:val="20"/>
              </w:rPr>
              <w:t xml:space="preserve">Repérage des ouvrages d’art à charge ou hauteur limitée  </w:t>
            </w:r>
          </w:p>
        </w:tc>
        <w:tc>
          <w:tcPr>
            <w:tcW w:w="1418" w:type="dxa"/>
            <w:vMerge w:val="restart"/>
          </w:tcPr>
          <w:p w14:paraId="00704D1F" w14:textId="77777777" w:rsidR="00401546" w:rsidRPr="00A9330B" w:rsidRDefault="00401546" w:rsidP="00401546">
            <w:pPr>
              <w:spacing w:line="240" w:lineRule="auto"/>
              <w:jc w:val="center"/>
              <w:rPr>
                <w:sz w:val="20"/>
                <w:szCs w:val="20"/>
              </w:rPr>
            </w:pPr>
            <w:r w:rsidRPr="00A9330B">
              <w:rPr>
                <w:sz w:val="20"/>
                <w:szCs w:val="20"/>
              </w:rPr>
              <w:t>1, 2, 5 et 6</w:t>
            </w:r>
          </w:p>
        </w:tc>
      </w:tr>
      <w:tr w:rsidR="00401546" w:rsidRPr="00A9330B" w14:paraId="42DAE891" w14:textId="77777777" w:rsidTr="00BD32CF">
        <w:trPr>
          <w:jc w:val="center"/>
        </w:trPr>
        <w:tc>
          <w:tcPr>
            <w:tcW w:w="3020" w:type="dxa"/>
            <w:vMerge w:val="restart"/>
          </w:tcPr>
          <w:p w14:paraId="3740D4B2" w14:textId="77777777" w:rsidR="00401546" w:rsidRPr="00A9330B" w:rsidRDefault="00401546" w:rsidP="000F7BA7">
            <w:pPr>
              <w:spacing w:line="240" w:lineRule="auto"/>
              <w:jc w:val="both"/>
              <w:rPr>
                <w:sz w:val="20"/>
                <w:szCs w:val="20"/>
              </w:rPr>
            </w:pPr>
            <w:r w:rsidRPr="00A9330B">
              <w:rPr>
                <w:sz w:val="20"/>
                <w:szCs w:val="20"/>
              </w:rPr>
              <w:t xml:space="preserve">Prévenir les risques liés à la conduite des engins de terrassements (pelles – camions bennes, niveleuses …) </w:t>
            </w:r>
          </w:p>
        </w:tc>
        <w:tc>
          <w:tcPr>
            <w:tcW w:w="5055" w:type="dxa"/>
          </w:tcPr>
          <w:p w14:paraId="4D2C8DA6" w14:textId="77777777" w:rsidR="00401546" w:rsidRPr="00A9330B" w:rsidRDefault="00401546" w:rsidP="000F7BA7">
            <w:pPr>
              <w:spacing w:line="240" w:lineRule="auto"/>
              <w:jc w:val="both"/>
              <w:rPr>
                <w:sz w:val="20"/>
                <w:szCs w:val="20"/>
              </w:rPr>
            </w:pPr>
            <w:r w:rsidRPr="00A9330B">
              <w:rPr>
                <w:sz w:val="20"/>
                <w:szCs w:val="20"/>
              </w:rPr>
              <w:t xml:space="preserve">Conduite des engins de chantiers par des conducteurs  disposant des qualifications et autorisations de conduites délivrée par l’employeur </w:t>
            </w:r>
          </w:p>
        </w:tc>
        <w:tc>
          <w:tcPr>
            <w:tcW w:w="1418" w:type="dxa"/>
            <w:vMerge/>
          </w:tcPr>
          <w:p w14:paraId="4143031B" w14:textId="77777777" w:rsidR="00401546" w:rsidRPr="00A9330B" w:rsidRDefault="00401546" w:rsidP="00401546">
            <w:pPr>
              <w:spacing w:line="240" w:lineRule="auto"/>
              <w:jc w:val="center"/>
              <w:rPr>
                <w:sz w:val="20"/>
                <w:szCs w:val="20"/>
              </w:rPr>
            </w:pPr>
          </w:p>
        </w:tc>
      </w:tr>
      <w:tr w:rsidR="00401546" w:rsidRPr="00A9330B" w14:paraId="5821E554" w14:textId="77777777" w:rsidTr="00BD32CF">
        <w:trPr>
          <w:jc w:val="center"/>
        </w:trPr>
        <w:tc>
          <w:tcPr>
            <w:tcW w:w="3020" w:type="dxa"/>
            <w:vMerge/>
          </w:tcPr>
          <w:p w14:paraId="6318E0A2" w14:textId="77777777" w:rsidR="00401546" w:rsidRPr="00A9330B" w:rsidRDefault="00401546" w:rsidP="000F7BA7">
            <w:pPr>
              <w:spacing w:line="240" w:lineRule="auto"/>
              <w:jc w:val="both"/>
              <w:rPr>
                <w:sz w:val="20"/>
                <w:szCs w:val="20"/>
              </w:rPr>
            </w:pPr>
          </w:p>
        </w:tc>
        <w:tc>
          <w:tcPr>
            <w:tcW w:w="5055" w:type="dxa"/>
          </w:tcPr>
          <w:p w14:paraId="4C6E9E83" w14:textId="77777777" w:rsidR="00401546" w:rsidRPr="00A9330B" w:rsidRDefault="00401546" w:rsidP="000F7BA7">
            <w:pPr>
              <w:spacing w:line="240" w:lineRule="auto"/>
              <w:jc w:val="both"/>
              <w:rPr>
                <w:sz w:val="20"/>
                <w:szCs w:val="20"/>
              </w:rPr>
            </w:pPr>
            <w:r w:rsidRPr="00A9330B">
              <w:rPr>
                <w:sz w:val="20"/>
                <w:szCs w:val="20"/>
              </w:rPr>
              <w:t xml:space="preserve">Rappel des risques et des mesures de prévention prise pour chaque phase des travaux (extraction –transport) </w:t>
            </w:r>
          </w:p>
        </w:tc>
        <w:tc>
          <w:tcPr>
            <w:tcW w:w="1418" w:type="dxa"/>
            <w:vMerge/>
          </w:tcPr>
          <w:p w14:paraId="4AC3E480" w14:textId="77777777" w:rsidR="00401546" w:rsidRPr="00A9330B" w:rsidRDefault="00401546" w:rsidP="00401546">
            <w:pPr>
              <w:spacing w:line="240" w:lineRule="auto"/>
              <w:jc w:val="center"/>
              <w:rPr>
                <w:sz w:val="20"/>
                <w:szCs w:val="20"/>
              </w:rPr>
            </w:pPr>
          </w:p>
        </w:tc>
      </w:tr>
      <w:tr w:rsidR="00401546" w:rsidRPr="00A9330B" w14:paraId="51016B10" w14:textId="77777777" w:rsidTr="00BD32CF">
        <w:trPr>
          <w:jc w:val="center"/>
        </w:trPr>
        <w:tc>
          <w:tcPr>
            <w:tcW w:w="9493" w:type="dxa"/>
            <w:gridSpan w:val="3"/>
            <w:shd w:val="clear" w:color="auto" w:fill="D9D9D9" w:themeFill="background1" w:themeFillShade="D9"/>
          </w:tcPr>
          <w:p w14:paraId="2767B7C3" w14:textId="77777777" w:rsidR="00401546" w:rsidRPr="00A9330B" w:rsidRDefault="00401546" w:rsidP="00401546">
            <w:pPr>
              <w:spacing w:line="240" w:lineRule="auto"/>
              <w:rPr>
                <w:b/>
                <w:sz w:val="20"/>
                <w:szCs w:val="20"/>
              </w:rPr>
            </w:pPr>
            <w:r w:rsidRPr="00A9330B">
              <w:rPr>
                <w:b/>
                <w:sz w:val="20"/>
                <w:szCs w:val="20"/>
              </w:rPr>
              <w:t xml:space="preserve">Aménagement des postes de travail </w:t>
            </w:r>
          </w:p>
        </w:tc>
      </w:tr>
      <w:tr w:rsidR="00401546" w:rsidRPr="00A9330B" w14:paraId="7C0A76E0" w14:textId="77777777" w:rsidTr="00BD32CF">
        <w:trPr>
          <w:jc w:val="center"/>
        </w:trPr>
        <w:tc>
          <w:tcPr>
            <w:tcW w:w="3020" w:type="dxa"/>
          </w:tcPr>
          <w:p w14:paraId="3E7519A2" w14:textId="004274B0" w:rsidR="00401546" w:rsidRPr="00A9330B" w:rsidRDefault="00401546" w:rsidP="00401546">
            <w:pPr>
              <w:spacing w:line="240" w:lineRule="auto"/>
              <w:rPr>
                <w:sz w:val="20"/>
                <w:szCs w:val="20"/>
              </w:rPr>
            </w:pPr>
            <w:r w:rsidRPr="00A9330B">
              <w:rPr>
                <w:sz w:val="20"/>
                <w:szCs w:val="20"/>
              </w:rPr>
              <w:t xml:space="preserve">Prévenir les accidents corporels </w:t>
            </w:r>
          </w:p>
          <w:p w14:paraId="2D652702" w14:textId="77777777" w:rsidR="00401546" w:rsidRPr="00A9330B" w:rsidRDefault="00401546" w:rsidP="00401546">
            <w:pPr>
              <w:spacing w:line="240" w:lineRule="auto"/>
              <w:rPr>
                <w:sz w:val="20"/>
                <w:szCs w:val="20"/>
              </w:rPr>
            </w:pPr>
            <w:r w:rsidRPr="00A9330B">
              <w:rPr>
                <w:sz w:val="20"/>
                <w:szCs w:val="20"/>
              </w:rPr>
              <w:t xml:space="preserve">Prévenir les pertes d’acuité sensorielle </w:t>
            </w:r>
          </w:p>
          <w:p w14:paraId="1C963253" w14:textId="77777777" w:rsidR="00401546" w:rsidRPr="00A9330B" w:rsidRDefault="00401546" w:rsidP="00401546">
            <w:pPr>
              <w:spacing w:line="240" w:lineRule="auto"/>
              <w:rPr>
                <w:sz w:val="20"/>
                <w:szCs w:val="20"/>
              </w:rPr>
            </w:pPr>
            <w:r w:rsidRPr="00A9330B">
              <w:rPr>
                <w:sz w:val="20"/>
                <w:szCs w:val="20"/>
              </w:rPr>
              <w:t xml:space="preserve">Assurer la protection du personnel contre les piqûres, coupures, brûlures, projections diverses, etc. </w:t>
            </w:r>
          </w:p>
        </w:tc>
        <w:tc>
          <w:tcPr>
            <w:tcW w:w="5055" w:type="dxa"/>
          </w:tcPr>
          <w:p w14:paraId="49154F47" w14:textId="77777777" w:rsidR="00401546" w:rsidRPr="00A9330B" w:rsidRDefault="00401546" w:rsidP="000F7BA7">
            <w:pPr>
              <w:spacing w:line="240" w:lineRule="auto"/>
              <w:jc w:val="both"/>
              <w:rPr>
                <w:sz w:val="20"/>
                <w:szCs w:val="20"/>
              </w:rPr>
            </w:pPr>
            <w:r w:rsidRPr="00A9330B">
              <w:rPr>
                <w:sz w:val="20"/>
                <w:szCs w:val="20"/>
              </w:rPr>
              <w:t xml:space="preserve">Mise à disposition et port des équipements individuels de protection (gants, chaussures de sécurité, vêtements de travail, casques, etc.) adapté à chaque type de tâches et en bon état  </w:t>
            </w:r>
          </w:p>
        </w:tc>
        <w:tc>
          <w:tcPr>
            <w:tcW w:w="1418" w:type="dxa"/>
          </w:tcPr>
          <w:p w14:paraId="518F2850" w14:textId="77777777" w:rsidR="00401546" w:rsidRPr="00A9330B" w:rsidRDefault="00401546" w:rsidP="00401546">
            <w:pPr>
              <w:spacing w:line="240" w:lineRule="auto"/>
              <w:jc w:val="center"/>
              <w:rPr>
                <w:sz w:val="20"/>
                <w:szCs w:val="20"/>
              </w:rPr>
            </w:pPr>
            <w:r w:rsidRPr="00A9330B">
              <w:rPr>
                <w:sz w:val="20"/>
                <w:szCs w:val="20"/>
              </w:rPr>
              <w:t>1</w:t>
            </w:r>
          </w:p>
        </w:tc>
      </w:tr>
      <w:tr w:rsidR="00401546" w:rsidRPr="00A9330B" w14:paraId="7F15B753" w14:textId="77777777" w:rsidTr="00BD32CF">
        <w:trPr>
          <w:jc w:val="center"/>
        </w:trPr>
        <w:tc>
          <w:tcPr>
            <w:tcW w:w="3020" w:type="dxa"/>
          </w:tcPr>
          <w:p w14:paraId="387F6C35" w14:textId="77777777" w:rsidR="00401546" w:rsidRPr="00A9330B" w:rsidRDefault="00401546" w:rsidP="000F7BA7">
            <w:pPr>
              <w:spacing w:line="240" w:lineRule="auto"/>
              <w:jc w:val="both"/>
              <w:rPr>
                <w:sz w:val="20"/>
                <w:szCs w:val="20"/>
              </w:rPr>
            </w:pPr>
            <w:r w:rsidRPr="00A9330B">
              <w:rPr>
                <w:sz w:val="20"/>
                <w:szCs w:val="20"/>
              </w:rPr>
              <w:t xml:space="preserve">Eviter les chutes de plain-pied et les chutes de hauteur ou leurs conséquences </w:t>
            </w:r>
          </w:p>
        </w:tc>
        <w:tc>
          <w:tcPr>
            <w:tcW w:w="5055" w:type="dxa"/>
          </w:tcPr>
          <w:p w14:paraId="0B66F869" w14:textId="77777777" w:rsidR="00401546" w:rsidRPr="00A9330B" w:rsidRDefault="00401546" w:rsidP="000F7BA7">
            <w:pPr>
              <w:spacing w:line="240" w:lineRule="auto"/>
              <w:jc w:val="both"/>
              <w:rPr>
                <w:sz w:val="20"/>
                <w:szCs w:val="20"/>
              </w:rPr>
            </w:pPr>
            <w:r w:rsidRPr="00A9330B">
              <w:rPr>
                <w:sz w:val="20"/>
                <w:szCs w:val="20"/>
              </w:rPr>
              <w:t xml:space="preserve">Maintien du chantier en bon état de propreté </w:t>
            </w:r>
          </w:p>
          <w:p w14:paraId="5FA12698" w14:textId="77777777" w:rsidR="0057538E" w:rsidRPr="00A9330B" w:rsidRDefault="00401546" w:rsidP="000F7BA7">
            <w:pPr>
              <w:spacing w:line="240" w:lineRule="auto"/>
              <w:jc w:val="both"/>
              <w:rPr>
                <w:sz w:val="20"/>
                <w:szCs w:val="20"/>
              </w:rPr>
            </w:pPr>
            <w:r w:rsidRPr="00A9330B">
              <w:rPr>
                <w:sz w:val="20"/>
                <w:szCs w:val="20"/>
              </w:rPr>
              <w:t xml:space="preserve">Mise en place et utilisation des équipements individuels assurant le déplacement et la stabilité des ouvriers </w:t>
            </w:r>
          </w:p>
          <w:p w14:paraId="08548EBE" w14:textId="48397743" w:rsidR="0057538E" w:rsidRPr="00A9330B" w:rsidRDefault="0057538E" w:rsidP="000F7BA7">
            <w:pPr>
              <w:spacing w:line="240" w:lineRule="auto"/>
              <w:jc w:val="both"/>
              <w:rPr>
                <w:sz w:val="20"/>
                <w:szCs w:val="20"/>
              </w:rPr>
            </w:pPr>
          </w:p>
        </w:tc>
        <w:tc>
          <w:tcPr>
            <w:tcW w:w="1418" w:type="dxa"/>
          </w:tcPr>
          <w:p w14:paraId="2EF4C426" w14:textId="77777777" w:rsidR="00401546" w:rsidRPr="00A9330B" w:rsidRDefault="00401546" w:rsidP="00401546">
            <w:pPr>
              <w:spacing w:line="240" w:lineRule="auto"/>
              <w:jc w:val="center"/>
              <w:rPr>
                <w:sz w:val="20"/>
                <w:szCs w:val="20"/>
              </w:rPr>
            </w:pPr>
            <w:r w:rsidRPr="00A9330B">
              <w:rPr>
                <w:sz w:val="20"/>
                <w:szCs w:val="20"/>
              </w:rPr>
              <w:t>1</w:t>
            </w:r>
          </w:p>
        </w:tc>
      </w:tr>
      <w:tr w:rsidR="00401546" w:rsidRPr="00A9330B" w14:paraId="4C6EB1EC" w14:textId="77777777" w:rsidTr="00BD32CF">
        <w:trPr>
          <w:trHeight w:val="1265"/>
          <w:jc w:val="center"/>
        </w:trPr>
        <w:tc>
          <w:tcPr>
            <w:tcW w:w="3020" w:type="dxa"/>
          </w:tcPr>
          <w:p w14:paraId="7F26DCF7" w14:textId="77777777" w:rsidR="00401546" w:rsidRPr="00A9330B" w:rsidRDefault="00401546" w:rsidP="000F7BA7">
            <w:pPr>
              <w:spacing w:line="240" w:lineRule="auto"/>
              <w:jc w:val="both"/>
              <w:rPr>
                <w:sz w:val="20"/>
                <w:szCs w:val="20"/>
              </w:rPr>
            </w:pPr>
            <w:r w:rsidRPr="00A9330B">
              <w:rPr>
                <w:sz w:val="20"/>
                <w:szCs w:val="20"/>
              </w:rPr>
              <w:lastRenderedPageBreak/>
              <w:t xml:space="preserve">Limiter les risques d’accidents (emplacements, chute dans le vide des personnes, heurts ou chute de matériels ou matériaux…) dus à la méconnaissance des procédures et consignes de sécurité pour chaque type d’opération </w:t>
            </w:r>
          </w:p>
        </w:tc>
        <w:tc>
          <w:tcPr>
            <w:tcW w:w="5055" w:type="dxa"/>
          </w:tcPr>
          <w:p w14:paraId="10F7ECA4" w14:textId="77777777" w:rsidR="00401546" w:rsidRPr="00A9330B" w:rsidRDefault="00401546" w:rsidP="000F7BA7">
            <w:pPr>
              <w:spacing w:line="240" w:lineRule="auto"/>
              <w:jc w:val="both"/>
              <w:rPr>
                <w:sz w:val="20"/>
                <w:szCs w:val="20"/>
              </w:rPr>
            </w:pPr>
            <w:r w:rsidRPr="00A9330B">
              <w:rPr>
                <w:sz w:val="20"/>
                <w:szCs w:val="20"/>
              </w:rPr>
              <w:t xml:space="preserve">Connaissances par le personnel concerné : </w:t>
            </w:r>
          </w:p>
          <w:p w14:paraId="123DFB44" w14:textId="77777777" w:rsidR="00401546" w:rsidRPr="00A9330B" w:rsidRDefault="00401546" w:rsidP="00BD2F72">
            <w:pPr>
              <w:numPr>
                <w:ilvl w:val="0"/>
                <w:numId w:val="51"/>
              </w:numPr>
              <w:spacing w:line="240" w:lineRule="auto"/>
              <w:ind w:left="0"/>
              <w:contextualSpacing/>
              <w:jc w:val="both"/>
              <w:rPr>
                <w:sz w:val="20"/>
                <w:szCs w:val="20"/>
              </w:rPr>
            </w:pPr>
            <w:r w:rsidRPr="00A9330B">
              <w:rPr>
                <w:sz w:val="20"/>
                <w:szCs w:val="20"/>
              </w:rPr>
              <w:t xml:space="preserve">Des méthodes de manutention des coffrages et matériaux annexes et de montage et démontage des coffrages </w:t>
            </w:r>
          </w:p>
          <w:p w14:paraId="6EDD0F35" w14:textId="77777777" w:rsidR="00401546" w:rsidRPr="00A9330B" w:rsidRDefault="00401546" w:rsidP="00BD2F72">
            <w:pPr>
              <w:numPr>
                <w:ilvl w:val="0"/>
                <w:numId w:val="51"/>
              </w:numPr>
              <w:spacing w:line="240" w:lineRule="auto"/>
              <w:ind w:left="0"/>
              <w:contextualSpacing/>
              <w:jc w:val="both"/>
              <w:rPr>
                <w:sz w:val="20"/>
                <w:szCs w:val="20"/>
              </w:rPr>
            </w:pPr>
            <w:r w:rsidRPr="00A9330B">
              <w:rPr>
                <w:sz w:val="20"/>
                <w:szCs w:val="20"/>
              </w:rPr>
              <w:t xml:space="preserve">Des modes d’approvisionnement et de mise en place des ferraillages </w:t>
            </w:r>
          </w:p>
          <w:p w14:paraId="319D443D" w14:textId="77777777" w:rsidR="00401546" w:rsidRPr="00A9330B" w:rsidRDefault="00401546" w:rsidP="00BD2F72">
            <w:pPr>
              <w:numPr>
                <w:ilvl w:val="0"/>
                <w:numId w:val="51"/>
              </w:numPr>
              <w:spacing w:line="240" w:lineRule="auto"/>
              <w:ind w:left="0"/>
              <w:contextualSpacing/>
              <w:jc w:val="both"/>
              <w:rPr>
                <w:sz w:val="20"/>
                <w:szCs w:val="20"/>
              </w:rPr>
            </w:pPr>
            <w:r w:rsidRPr="00A9330B">
              <w:rPr>
                <w:sz w:val="20"/>
                <w:szCs w:val="20"/>
              </w:rPr>
              <w:t xml:space="preserve">Des modalités de transport du béton jusqu’au lieu de coulage, </w:t>
            </w:r>
          </w:p>
          <w:p w14:paraId="794FA5DC" w14:textId="77777777" w:rsidR="00401546" w:rsidRPr="00A9330B" w:rsidRDefault="00401546" w:rsidP="00BD2F72">
            <w:pPr>
              <w:numPr>
                <w:ilvl w:val="0"/>
                <w:numId w:val="51"/>
              </w:numPr>
              <w:spacing w:line="240" w:lineRule="auto"/>
              <w:ind w:left="0"/>
              <w:contextualSpacing/>
              <w:jc w:val="both"/>
              <w:rPr>
                <w:sz w:val="20"/>
                <w:szCs w:val="20"/>
              </w:rPr>
            </w:pPr>
            <w:r w:rsidRPr="00A9330B">
              <w:rPr>
                <w:sz w:val="20"/>
                <w:szCs w:val="20"/>
              </w:rPr>
              <w:t xml:space="preserve">Du mode de mise en place du béton dans les coffrages, des vitesses de bétonnage, de serrage du béton, vibrations </w:t>
            </w:r>
          </w:p>
          <w:p w14:paraId="7F9AD09E" w14:textId="77777777" w:rsidR="00401546" w:rsidRPr="00A9330B" w:rsidRDefault="00401546" w:rsidP="00BD2F72">
            <w:pPr>
              <w:numPr>
                <w:ilvl w:val="0"/>
                <w:numId w:val="51"/>
              </w:numPr>
              <w:spacing w:line="240" w:lineRule="auto"/>
              <w:ind w:left="0"/>
              <w:contextualSpacing/>
              <w:jc w:val="both"/>
              <w:rPr>
                <w:sz w:val="20"/>
                <w:szCs w:val="20"/>
              </w:rPr>
            </w:pPr>
            <w:r w:rsidRPr="00A9330B">
              <w:rPr>
                <w:sz w:val="20"/>
                <w:szCs w:val="20"/>
              </w:rPr>
              <w:t xml:space="preserve">De l’approvisionnement des matériaux de maçonnerie et stockage au poste de travail </w:t>
            </w:r>
          </w:p>
          <w:p w14:paraId="71424C95" w14:textId="77777777" w:rsidR="00401546" w:rsidRPr="00A9330B" w:rsidRDefault="00401546" w:rsidP="00BD2F72">
            <w:pPr>
              <w:numPr>
                <w:ilvl w:val="0"/>
                <w:numId w:val="51"/>
              </w:numPr>
              <w:spacing w:line="240" w:lineRule="auto"/>
              <w:ind w:left="0"/>
              <w:contextualSpacing/>
              <w:jc w:val="both"/>
              <w:rPr>
                <w:sz w:val="20"/>
                <w:szCs w:val="20"/>
              </w:rPr>
            </w:pPr>
            <w:r w:rsidRPr="00A9330B">
              <w:rPr>
                <w:sz w:val="20"/>
                <w:szCs w:val="20"/>
              </w:rPr>
              <w:t xml:space="preserve">De la mise en place et dépose des chauffages, des étaiements provisoires </w:t>
            </w:r>
          </w:p>
          <w:p w14:paraId="46D001F7" w14:textId="77777777" w:rsidR="00401546" w:rsidRPr="00A9330B" w:rsidRDefault="00401546" w:rsidP="00BD2F72">
            <w:pPr>
              <w:numPr>
                <w:ilvl w:val="0"/>
                <w:numId w:val="51"/>
              </w:numPr>
              <w:spacing w:line="240" w:lineRule="auto"/>
              <w:ind w:left="0"/>
              <w:contextualSpacing/>
              <w:jc w:val="both"/>
              <w:rPr>
                <w:sz w:val="20"/>
                <w:szCs w:val="20"/>
              </w:rPr>
            </w:pPr>
            <w:r w:rsidRPr="00A9330B">
              <w:rPr>
                <w:sz w:val="20"/>
                <w:szCs w:val="20"/>
              </w:rPr>
              <w:t xml:space="preserve">Des manœuvres pour chaque type de maçonnerie (murs, façades, planchers, acrotères, poutres, dalles, etc.), le coulage des nœuds et des joints </w:t>
            </w:r>
          </w:p>
          <w:p w14:paraId="1780F4D4" w14:textId="44247CAE" w:rsidR="0057538E" w:rsidRPr="00A9330B" w:rsidRDefault="0057538E" w:rsidP="00BD2F72">
            <w:pPr>
              <w:numPr>
                <w:ilvl w:val="0"/>
                <w:numId w:val="51"/>
              </w:numPr>
              <w:spacing w:line="240" w:lineRule="auto"/>
              <w:ind w:left="0"/>
              <w:contextualSpacing/>
              <w:jc w:val="both"/>
              <w:rPr>
                <w:sz w:val="20"/>
                <w:szCs w:val="20"/>
              </w:rPr>
            </w:pPr>
          </w:p>
        </w:tc>
        <w:tc>
          <w:tcPr>
            <w:tcW w:w="1418" w:type="dxa"/>
          </w:tcPr>
          <w:p w14:paraId="493D36DE" w14:textId="77777777" w:rsidR="00401546" w:rsidRPr="00A9330B" w:rsidRDefault="00401546" w:rsidP="00401546">
            <w:pPr>
              <w:spacing w:line="240" w:lineRule="auto"/>
              <w:jc w:val="center"/>
              <w:rPr>
                <w:sz w:val="20"/>
                <w:szCs w:val="20"/>
              </w:rPr>
            </w:pPr>
            <w:r w:rsidRPr="00A9330B">
              <w:rPr>
                <w:sz w:val="20"/>
                <w:szCs w:val="20"/>
              </w:rPr>
              <w:t xml:space="preserve">1, 2, 4, 5, 6 et 12 </w:t>
            </w:r>
          </w:p>
        </w:tc>
      </w:tr>
      <w:tr w:rsidR="00401546" w:rsidRPr="00A9330B" w14:paraId="6F69816F" w14:textId="77777777" w:rsidTr="00BD32CF">
        <w:trPr>
          <w:trHeight w:val="277"/>
          <w:jc w:val="center"/>
        </w:trPr>
        <w:tc>
          <w:tcPr>
            <w:tcW w:w="9493" w:type="dxa"/>
            <w:gridSpan w:val="3"/>
            <w:shd w:val="clear" w:color="auto" w:fill="D9D9D9" w:themeFill="background1" w:themeFillShade="D9"/>
          </w:tcPr>
          <w:p w14:paraId="4DAC8B51" w14:textId="77777777" w:rsidR="00401546" w:rsidRPr="00A9330B" w:rsidRDefault="00401546" w:rsidP="00401546">
            <w:pPr>
              <w:spacing w:line="240" w:lineRule="auto"/>
              <w:rPr>
                <w:b/>
                <w:sz w:val="20"/>
                <w:szCs w:val="20"/>
              </w:rPr>
            </w:pPr>
            <w:r w:rsidRPr="00A9330B">
              <w:rPr>
                <w:b/>
                <w:sz w:val="20"/>
                <w:szCs w:val="20"/>
              </w:rPr>
              <w:t xml:space="preserve">Utilisation des matériels, engins et véhicules de chantier </w:t>
            </w:r>
          </w:p>
        </w:tc>
      </w:tr>
      <w:tr w:rsidR="00401546" w:rsidRPr="00A9330B" w14:paraId="489294B7" w14:textId="77777777" w:rsidTr="00BD32CF">
        <w:trPr>
          <w:trHeight w:val="741"/>
          <w:jc w:val="center"/>
        </w:trPr>
        <w:tc>
          <w:tcPr>
            <w:tcW w:w="3020" w:type="dxa"/>
          </w:tcPr>
          <w:p w14:paraId="3D976574" w14:textId="77777777" w:rsidR="00401546" w:rsidRPr="00A9330B" w:rsidRDefault="00401546" w:rsidP="00401546">
            <w:pPr>
              <w:spacing w:line="240" w:lineRule="auto"/>
              <w:rPr>
                <w:sz w:val="20"/>
                <w:szCs w:val="20"/>
              </w:rPr>
            </w:pPr>
            <w:r w:rsidRPr="00A9330B">
              <w:rPr>
                <w:sz w:val="20"/>
                <w:szCs w:val="20"/>
              </w:rPr>
              <w:t xml:space="preserve">Eliminer les collisions et les heurts dus à l’utilisation de véhicules et d’engins avec les personnes et les autres engins </w:t>
            </w:r>
          </w:p>
        </w:tc>
        <w:tc>
          <w:tcPr>
            <w:tcW w:w="5055" w:type="dxa"/>
          </w:tcPr>
          <w:p w14:paraId="741BDCCB" w14:textId="2F652FC8" w:rsidR="00401546" w:rsidRPr="00A9330B" w:rsidRDefault="00401546" w:rsidP="000F7BA7">
            <w:pPr>
              <w:spacing w:line="240" w:lineRule="auto"/>
              <w:jc w:val="both"/>
              <w:rPr>
                <w:sz w:val="20"/>
                <w:szCs w:val="20"/>
              </w:rPr>
            </w:pPr>
            <w:r w:rsidRPr="00A9330B">
              <w:rPr>
                <w:sz w:val="20"/>
                <w:szCs w:val="20"/>
              </w:rPr>
              <w:t>Guidage des camions notamment lors de l’amenée et</w:t>
            </w:r>
            <w:r w:rsidR="000515AE" w:rsidRPr="00A9330B">
              <w:rPr>
                <w:sz w:val="20"/>
                <w:szCs w:val="20"/>
              </w:rPr>
              <w:t xml:space="preserve"> du </w:t>
            </w:r>
            <w:r w:rsidRPr="00A9330B">
              <w:rPr>
                <w:sz w:val="20"/>
                <w:szCs w:val="20"/>
              </w:rPr>
              <w:t xml:space="preserve"> repli du matériel, l’approvisionnement des matériaux, l’évacuation des dé</w:t>
            </w:r>
            <w:r w:rsidR="000515AE" w:rsidRPr="00A9330B">
              <w:rPr>
                <w:sz w:val="20"/>
                <w:szCs w:val="20"/>
              </w:rPr>
              <w:t>b</w:t>
            </w:r>
            <w:r w:rsidRPr="00A9330B">
              <w:rPr>
                <w:sz w:val="20"/>
                <w:szCs w:val="20"/>
              </w:rPr>
              <w:t xml:space="preserve">lais, etc. </w:t>
            </w:r>
          </w:p>
        </w:tc>
        <w:tc>
          <w:tcPr>
            <w:tcW w:w="1418" w:type="dxa"/>
          </w:tcPr>
          <w:p w14:paraId="6BF246CA" w14:textId="77777777" w:rsidR="00401546" w:rsidRPr="00A9330B" w:rsidRDefault="00401546" w:rsidP="00401546">
            <w:pPr>
              <w:spacing w:line="240" w:lineRule="auto"/>
              <w:jc w:val="center"/>
              <w:rPr>
                <w:sz w:val="20"/>
                <w:szCs w:val="20"/>
              </w:rPr>
            </w:pPr>
            <w:r w:rsidRPr="00A9330B">
              <w:rPr>
                <w:sz w:val="20"/>
                <w:szCs w:val="20"/>
              </w:rPr>
              <w:t>8 et 9</w:t>
            </w:r>
          </w:p>
        </w:tc>
      </w:tr>
      <w:tr w:rsidR="00401546" w:rsidRPr="00A9330B" w14:paraId="0C8BFA57" w14:textId="77777777" w:rsidTr="00BD32CF">
        <w:trPr>
          <w:trHeight w:val="1265"/>
          <w:jc w:val="center"/>
        </w:trPr>
        <w:tc>
          <w:tcPr>
            <w:tcW w:w="3020" w:type="dxa"/>
          </w:tcPr>
          <w:p w14:paraId="3A600886" w14:textId="77777777" w:rsidR="00401546" w:rsidRPr="00A9330B" w:rsidRDefault="00401546" w:rsidP="00401546">
            <w:pPr>
              <w:spacing w:line="240" w:lineRule="auto"/>
              <w:rPr>
                <w:sz w:val="20"/>
                <w:szCs w:val="20"/>
              </w:rPr>
            </w:pPr>
            <w:r w:rsidRPr="00A9330B">
              <w:rPr>
                <w:sz w:val="20"/>
                <w:szCs w:val="20"/>
              </w:rPr>
              <w:t xml:space="preserve">Eviter les renversements, basculements, heurts ou happements des véhicules et engins de chaleur et leurs organes mobiles </w:t>
            </w:r>
          </w:p>
        </w:tc>
        <w:tc>
          <w:tcPr>
            <w:tcW w:w="5055" w:type="dxa"/>
          </w:tcPr>
          <w:p w14:paraId="1133C091" w14:textId="77777777" w:rsidR="00401546" w:rsidRPr="00A9330B" w:rsidRDefault="00401546" w:rsidP="000F7BA7">
            <w:pPr>
              <w:spacing w:line="240" w:lineRule="auto"/>
              <w:jc w:val="both"/>
              <w:rPr>
                <w:sz w:val="20"/>
                <w:szCs w:val="20"/>
              </w:rPr>
            </w:pPr>
            <w:r w:rsidRPr="00A9330B">
              <w:rPr>
                <w:sz w:val="20"/>
                <w:szCs w:val="20"/>
              </w:rPr>
              <w:t xml:space="preserve">Rappel des modes opératoires et des consignes particulières concernant l’utilisation des engins i) les dispositifs de sécurité, ii) l’examen des câbles soumis à des sollicitations particulières, iii) la manutention des charges de grande dimension, iv) le déplacement éventuel des engins en charge </w:t>
            </w:r>
          </w:p>
        </w:tc>
        <w:tc>
          <w:tcPr>
            <w:tcW w:w="1418" w:type="dxa"/>
          </w:tcPr>
          <w:p w14:paraId="096F43E2" w14:textId="77777777" w:rsidR="00401546" w:rsidRPr="00A9330B" w:rsidRDefault="00401546" w:rsidP="00401546">
            <w:pPr>
              <w:spacing w:line="240" w:lineRule="auto"/>
              <w:jc w:val="center"/>
              <w:rPr>
                <w:sz w:val="20"/>
                <w:szCs w:val="20"/>
              </w:rPr>
            </w:pPr>
            <w:r w:rsidRPr="00A9330B">
              <w:rPr>
                <w:sz w:val="20"/>
                <w:szCs w:val="20"/>
              </w:rPr>
              <w:t>9</w:t>
            </w:r>
          </w:p>
        </w:tc>
      </w:tr>
      <w:tr w:rsidR="00401546" w:rsidRPr="00A9330B" w14:paraId="7BFF7529" w14:textId="77777777" w:rsidTr="00BD32CF">
        <w:trPr>
          <w:trHeight w:val="264"/>
          <w:jc w:val="center"/>
        </w:trPr>
        <w:tc>
          <w:tcPr>
            <w:tcW w:w="9493" w:type="dxa"/>
            <w:gridSpan w:val="3"/>
            <w:shd w:val="clear" w:color="auto" w:fill="D9D9D9" w:themeFill="background1" w:themeFillShade="D9"/>
          </w:tcPr>
          <w:p w14:paraId="710F88C9" w14:textId="77777777" w:rsidR="00401546" w:rsidRPr="00A9330B" w:rsidRDefault="00401546" w:rsidP="00401546">
            <w:pPr>
              <w:spacing w:line="240" w:lineRule="auto"/>
              <w:rPr>
                <w:sz w:val="20"/>
                <w:szCs w:val="20"/>
              </w:rPr>
            </w:pPr>
            <w:r w:rsidRPr="00A9330B">
              <w:rPr>
                <w:b/>
                <w:sz w:val="20"/>
                <w:szCs w:val="20"/>
              </w:rPr>
              <w:t xml:space="preserve">Approvisionnement du chantier </w:t>
            </w:r>
          </w:p>
        </w:tc>
      </w:tr>
      <w:tr w:rsidR="00401546" w:rsidRPr="00A9330B" w14:paraId="32EED4D5" w14:textId="77777777" w:rsidTr="00BD32CF">
        <w:trPr>
          <w:trHeight w:val="2169"/>
          <w:jc w:val="center"/>
        </w:trPr>
        <w:tc>
          <w:tcPr>
            <w:tcW w:w="3020" w:type="dxa"/>
          </w:tcPr>
          <w:p w14:paraId="123EA6B3" w14:textId="77777777" w:rsidR="00401546" w:rsidRPr="00A9330B" w:rsidRDefault="00401546" w:rsidP="000F7BA7">
            <w:pPr>
              <w:spacing w:line="240" w:lineRule="auto"/>
              <w:jc w:val="both"/>
              <w:rPr>
                <w:sz w:val="20"/>
                <w:szCs w:val="20"/>
              </w:rPr>
            </w:pPr>
            <w:r w:rsidRPr="00A9330B">
              <w:rPr>
                <w:sz w:val="20"/>
                <w:szCs w:val="20"/>
              </w:rPr>
              <w:t xml:space="preserve">Eviter les accidents et incidents en cours de transport </w:t>
            </w:r>
          </w:p>
        </w:tc>
        <w:tc>
          <w:tcPr>
            <w:tcW w:w="5055" w:type="dxa"/>
          </w:tcPr>
          <w:p w14:paraId="088DDDCC" w14:textId="77777777" w:rsidR="00401546" w:rsidRPr="00A9330B" w:rsidRDefault="00401546" w:rsidP="000F7BA7">
            <w:pPr>
              <w:spacing w:line="240" w:lineRule="auto"/>
              <w:jc w:val="both"/>
              <w:rPr>
                <w:sz w:val="20"/>
                <w:szCs w:val="20"/>
              </w:rPr>
            </w:pPr>
            <w:r w:rsidRPr="00A9330B">
              <w:rPr>
                <w:sz w:val="20"/>
                <w:szCs w:val="20"/>
              </w:rPr>
              <w:t xml:space="preserve">Signalisation des routes et voies d’accès </w:t>
            </w:r>
          </w:p>
          <w:p w14:paraId="45829A80" w14:textId="10834368" w:rsidR="00401546" w:rsidRPr="00A9330B" w:rsidRDefault="00401546" w:rsidP="000F7BA7">
            <w:pPr>
              <w:spacing w:line="240" w:lineRule="auto"/>
              <w:jc w:val="both"/>
              <w:rPr>
                <w:sz w:val="20"/>
                <w:szCs w:val="20"/>
              </w:rPr>
            </w:pPr>
            <w:r w:rsidRPr="00A9330B">
              <w:rPr>
                <w:sz w:val="20"/>
                <w:szCs w:val="20"/>
              </w:rPr>
              <w:t>Disposition à prendre en cas de transport exceptionnel dont des</w:t>
            </w:r>
            <w:r w:rsidR="000515AE" w:rsidRPr="00A9330B">
              <w:rPr>
                <w:sz w:val="20"/>
                <w:szCs w:val="20"/>
              </w:rPr>
              <w:t> ????????</w:t>
            </w:r>
            <w:r w:rsidRPr="00A9330B">
              <w:rPr>
                <w:sz w:val="20"/>
                <w:szCs w:val="20"/>
              </w:rPr>
              <w:t xml:space="preserve">de grandes longueurs </w:t>
            </w:r>
          </w:p>
          <w:p w14:paraId="3E6DED9A" w14:textId="7004E333" w:rsidR="00401546" w:rsidRPr="00A9330B" w:rsidRDefault="00BD32CF" w:rsidP="000F7BA7">
            <w:pPr>
              <w:spacing w:line="240" w:lineRule="auto"/>
              <w:jc w:val="both"/>
              <w:rPr>
                <w:sz w:val="20"/>
                <w:szCs w:val="20"/>
              </w:rPr>
            </w:pPr>
            <w:r w:rsidRPr="00A9330B">
              <w:rPr>
                <w:sz w:val="20"/>
                <w:szCs w:val="20"/>
              </w:rPr>
              <w:t>Dispositions adaptées</w:t>
            </w:r>
            <w:r w:rsidR="00401546" w:rsidRPr="00A9330B">
              <w:rPr>
                <w:sz w:val="20"/>
                <w:szCs w:val="20"/>
              </w:rPr>
              <w:t xml:space="preserve"> d’arrimage du matériel transporté, colisage, etc. </w:t>
            </w:r>
          </w:p>
          <w:p w14:paraId="1A410344" w14:textId="77777777" w:rsidR="00401546" w:rsidRPr="00A9330B" w:rsidRDefault="00401546" w:rsidP="000F7BA7">
            <w:pPr>
              <w:spacing w:line="240" w:lineRule="auto"/>
              <w:jc w:val="both"/>
              <w:rPr>
                <w:sz w:val="20"/>
                <w:szCs w:val="20"/>
              </w:rPr>
            </w:pPr>
            <w:r w:rsidRPr="00A9330B">
              <w:rPr>
                <w:sz w:val="20"/>
                <w:szCs w:val="20"/>
              </w:rPr>
              <w:t xml:space="preserve">Repérage des ouvrages d’arts à charge ou hauteur limitée </w:t>
            </w:r>
          </w:p>
        </w:tc>
        <w:tc>
          <w:tcPr>
            <w:tcW w:w="1418" w:type="dxa"/>
          </w:tcPr>
          <w:p w14:paraId="4B2704C5" w14:textId="77777777" w:rsidR="00401546" w:rsidRPr="00A9330B" w:rsidRDefault="00401546" w:rsidP="00401546">
            <w:pPr>
              <w:spacing w:line="240" w:lineRule="auto"/>
              <w:jc w:val="center"/>
              <w:rPr>
                <w:sz w:val="20"/>
                <w:szCs w:val="20"/>
              </w:rPr>
            </w:pPr>
            <w:r w:rsidRPr="00A9330B">
              <w:rPr>
                <w:sz w:val="20"/>
                <w:szCs w:val="20"/>
              </w:rPr>
              <w:t>8 et 9</w:t>
            </w:r>
          </w:p>
        </w:tc>
      </w:tr>
      <w:tr w:rsidR="00401546" w:rsidRPr="00A9330B" w14:paraId="2B4DBA9E" w14:textId="77777777" w:rsidTr="00BD32CF">
        <w:trPr>
          <w:trHeight w:val="1024"/>
          <w:jc w:val="center"/>
        </w:trPr>
        <w:tc>
          <w:tcPr>
            <w:tcW w:w="3020" w:type="dxa"/>
            <w:vMerge w:val="restart"/>
          </w:tcPr>
          <w:p w14:paraId="0F67AC00" w14:textId="77777777" w:rsidR="00401546" w:rsidRPr="00A9330B" w:rsidRDefault="00401546" w:rsidP="000F7BA7">
            <w:pPr>
              <w:spacing w:line="240" w:lineRule="auto"/>
              <w:jc w:val="both"/>
              <w:rPr>
                <w:sz w:val="20"/>
                <w:szCs w:val="20"/>
              </w:rPr>
            </w:pPr>
            <w:r w:rsidRPr="00A9330B">
              <w:rPr>
                <w:sz w:val="20"/>
                <w:szCs w:val="20"/>
              </w:rPr>
              <w:t xml:space="preserve">Assurer un approvisionnement normal sans manœuvre dangereuses, à portée des engins de levage en évitant les croisements de circulations (véhicules et piétons, accès voie séparées, etc.) </w:t>
            </w:r>
          </w:p>
        </w:tc>
        <w:tc>
          <w:tcPr>
            <w:tcW w:w="5055" w:type="dxa"/>
          </w:tcPr>
          <w:p w14:paraId="173E2D75" w14:textId="77777777" w:rsidR="00401546" w:rsidRPr="00A9330B" w:rsidRDefault="00401546" w:rsidP="000F7BA7">
            <w:pPr>
              <w:spacing w:line="240" w:lineRule="auto"/>
              <w:jc w:val="both"/>
              <w:rPr>
                <w:sz w:val="20"/>
                <w:szCs w:val="20"/>
              </w:rPr>
            </w:pPr>
            <w:r w:rsidRPr="00A9330B">
              <w:rPr>
                <w:sz w:val="20"/>
                <w:szCs w:val="20"/>
              </w:rPr>
              <w:t xml:space="preserve">Définition des modalités de pénétration et de circulation (fléchage, panneau, etc.) des camions d’approvisionnement, des accès aux zones de stockages </w:t>
            </w:r>
          </w:p>
        </w:tc>
        <w:tc>
          <w:tcPr>
            <w:tcW w:w="1418" w:type="dxa"/>
            <w:vMerge w:val="restart"/>
          </w:tcPr>
          <w:p w14:paraId="4762907C" w14:textId="77777777" w:rsidR="00401546" w:rsidRPr="00A9330B" w:rsidRDefault="00401546" w:rsidP="00401546">
            <w:pPr>
              <w:spacing w:line="240" w:lineRule="auto"/>
              <w:jc w:val="center"/>
              <w:rPr>
                <w:sz w:val="20"/>
                <w:szCs w:val="20"/>
              </w:rPr>
            </w:pPr>
            <w:r w:rsidRPr="00A9330B">
              <w:rPr>
                <w:sz w:val="20"/>
                <w:szCs w:val="20"/>
              </w:rPr>
              <w:t>8 et 9</w:t>
            </w:r>
          </w:p>
        </w:tc>
      </w:tr>
      <w:tr w:rsidR="00401546" w:rsidRPr="00A9330B" w14:paraId="4F097B7D" w14:textId="77777777" w:rsidTr="00BD32CF">
        <w:trPr>
          <w:trHeight w:val="685"/>
          <w:jc w:val="center"/>
        </w:trPr>
        <w:tc>
          <w:tcPr>
            <w:tcW w:w="3020" w:type="dxa"/>
            <w:vMerge/>
          </w:tcPr>
          <w:p w14:paraId="5FFD0382" w14:textId="77777777" w:rsidR="00401546" w:rsidRPr="00A9330B" w:rsidRDefault="00401546" w:rsidP="000F7BA7">
            <w:pPr>
              <w:spacing w:line="240" w:lineRule="auto"/>
              <w:jc w:val="both"/>
              <w:rPr>
                <w:sz w:val="20"/>
                <w:szCs w:val="20"/>
              </w:rPr>
            </w:pPr>
          </w:p>
        </w:tc>
        <w:tc>
          <w:tcPr>
            <w:tcW w:w="5055" w:type="dxa"/>
          </w:tcPr>
          <w:p w14:paraId="087C7057" w14:textId="77777777" w:rsidR="00401546" w:rsidRPr="00A9330B" w:rsidRDefault="00401546" w:rsidP="000F7BA7">
            <w:pPr>
              <w:spacing w:line="240" w:lineRule="auto"/>
              <w:jc w:val="both"/>
              <w:rPr>
                <w:sz w:val="20"/>
                <w:szCs w:val="20"/>
              </w:rPr>
            </w:pPr>
            <w:r w:rsidRPr="00A9330B">
              <w:rPr>
                <w:sz w:val="20"/>
                <w:szCs w:val="20"/>
              </w:rPr>
              <w:t xml:space="preserve">Implantation des zones de circulation et de stockage </w:t>
            </w:r>
          </w:p>
          <w:p w14:paraId="28EE727A" w14:textId="77777777" w:rsidR="00401546" w:rsidRPr="00A9330B" w:rsidRDefault="00401546" w:rsidP="000F7BA7">
            <w:pPr>
              <w:spacing w:line="240" w:lineRule="auto"/>
              <w:jc w:val="both"/>
              <w:rPr>
                <w:sz w:val="20"/>
                <w:szCs w:val="20"/>
              </w:rPr>
            </w:pPr>
            <w:r w:rsidRPr="00A9330B">
              <w:rPr>
                <w:sz w:val="20"/>
                <w:szCs w:val="20"/>
              </w:rPr>
              <w:t xml:space="preserve">Signalisation interne du chantier </w:t>
            </w:r>
          </w:p>
        </w:tc>
        <w:tc>
          <w:tcPr>
            <w:tcW w:w="1418" w:type="dxa"/>
            <w:vMerge/>
          </w:tcPr>
          <w:p w14:paraId="5EAA86FD" w14:textId="77777777" w:rsidR="00401546" w:rsidRPr="00A9330B" w:rsidRDefault="00401546" w:rsidP="00401546">
            <w:pPr>
              <w:spacing w:line="240" w:lineRule="auto"/>
              <w:jc w:val="center"/>
              <w:rPr>
                <w:sz w:val="20"/>
                <w:szCs w:val="20"/>
              </w:rPr>
            </w:pPr>
          </w:p>
        </w:tc>
      </w:tr>
      <w:tr w:rsidR="00401546" w:rsidRPr="00A9330B" w14:paraId="045F3292" w14:textId="77777777" w:rsidTr="00BD32CF">
        <w:trPr>
          <w:trHeight w:val="1265"/>
          <w:jc w:val="center"/>
        </w:trPr>
        <w:tc>
          <w:tcPr>
            <w:tcW w:w="3020" w:type="dxa"/>
          </w:tcPr>
          <w:p w14:paraId="39D3539C" w14:textId="77777777" w:rsidR="00401546" w:rsidRPr="00A9330B" w:rsidRDefault="00401546" w:rsidP="000F7BA7">
            <w:pPr>
              <w:spacing w:line="240" w:lineRule="auto"/>
              <w:jc w:val="both"/>
              <w:rPr>
                <w:sz w:val="20"/>
                <w:szCs w:val="20"/>
              </w:rPr>
            </w:pPr>
            <w:r w:rsidRPr="00A9330B">
              <w:rPr>
                <w:sz w:val="20"/>
                <w:szCs w:val="20"/>
              </w:rPr>
              <w:t xml:space="preserve">Eviter les accidents et incidents en cours de déchargement et de stockage des matériels et matériaux  </w:t>
            </w:r>
          </w:p>
        </w:tc>
        <w:tc>
          <w:tcPr>
            <w:tcW w:w="5055" w:type="dxa"/>
          </w:tcPr>
          <w:p w14:paraId="7B3B6268" w14:textId="16BD9A7E" w:rsidR="00401546" w:rsidRPr="00A9330B" w:rsidRDefault="00401546" w:rsidP="000F7BA7">
            <w:pPr>
              <w:spacing w:line="240" w:lineRule="auto"/>
              <w:jc w:val="both"/>
              <w:rPr>
                <w:sz w:val="20"/>
                <w:szCs w:val="20"/>
              </w:rPr>
            </w:pPr>
            <w:r w:rsidRPr="00A9330B">
              <w:rPr>
                <w:sz w:val="20"/>
                <w:szCs w:val="20"/>
              </w:rPr>
              <w:t>Comp</w:t>
            </w:r>
            <w:r w:rsidR="000515AE" w:rsidRPr="00A9330B">
              <w:rPr>
                <w:sz w:val="20"/>
                <w:szCs w:val="20"/>
              </w:rPr>
              <w:t xml:space="preserve">atibilité </w:t>
            </w:r>
            <w:r w:rsidRPr="00A9330B">
              <w:rPr>
                <w:sz w:val="20"/>
                <w:szCs w:val="20"/>
              </w:rPr>
              <w:t xml:space="preserve"> des dispositifs de levage avec le poids et les dimensions des éléments à mouvoir. </w:t>
            </w:r>
          </w:p>
          <w:p w14:paraId="303B2EB6" w14:textId="77777777" w:rsidR="00401546" w:rsidRPr="00A9330B" w:rsidRDefault="00401546" w:rsidP="000F7BA7">
            <w:pPr>
              <w:spacing w:line="240" w:lineRule="auto"/>
              <w:jc w:val="both"/>
              <w:rPr>
                <w:sz w:val="20"/>
                <w:szCs w:val="20"/>
              </w:rPr>
            </w:pPr>
            <w:r w:rsidRPr="00A9330B">
              <w:rPr>
                <w:sz w:val="20"/>
                <w:szCs w:val="20"/>
              </w:rPr>
              <w:t xml:space="preserve">Instructions relatives à l’utilisation d’accessoires spéciaux (palonniers, sangles, axes de tourets, vérins, etc.) </w:t>
            </w:r>
          </w:p>
          <w:p w14:paraId="697BCA91" w14:textId="77777777" w:rsidR="00401546" w:rsidRPr="00A9330B" w:rsidRDefault="00401546" w:rsidP="000F7BA7">
            <w:pPr>
              <w:spacing w:line="240" w:lineRule="auto"/>
              <w:jc w:val="both"/>
              <w:rPr>
                <w:sz w:val="20"/>
                <w:szCs w:val="20"/>
              </w:rPr>
            </w:pPr>
            <w:r w:rsidRPr="00A9330B">
              <w:rPr>
                <w:sz w:val="20"/>
                <w:szCs w:val="20"/>
              </w:rPr>
              <w:lastRenderedPageBreak/>
              <w:t xml:space="preserve">Etablissement éventuel des règles particulières de manœuvre ou de déchargement comme le béton  </w:t>
            </w:r>
          </w:p>
          <w:p w14:paraId="4D16FD55" w14:textId="77777777" w:rsidR="00401546" w:rsidRPr="00A9330B" w:rsidRDefault="00401546" w:rsidP="000F7BA7">
            <w:pPr>
              <w:spacing w:line="240" w:lineRule="auto"/>
              <w:jc w:val="both"/>
              <w:rPr>
                <w:sz w:val="20"/>
                <w:szCs w:val="20"/>
              </w:rPr>
            </w:pPr>
            <w:r w:rsidRPr="00A9330B">
              <w:rPr>
                <w:sz w:val="20"/>
                <w:szCs w:val="20"/>
              </w:rPr>
              <w:t xml:space="preserve">Guidage des camions  </w:t>
            </w:r>
          </w:p>
        </w:tc>
        <w:tc>
          <w:tcPr>
            <w:tcW w:w="1418" w:type="dxa"/>
          </w:tcPr>
          <w:p w14:paraId="06018BDC" w14:textId="77777777" w:rsidR="00401546" w:rsidRPr="00A9330B" w:rsidRDefault="00401546" w:rsidP="00401546">
            <w:pPr>
              <w:spacing w:line="240" w:lineRule="auto"/>
              <w:jc w:val="center"/>
              <w:rPr>
                <w:sz w:val="20"/>
                <w:szCs w:val="20"/>
              </w:rPr>
            </w:pPr>
            <w:r w:rsidRPr="00A9330B">
              <w:rPr>
                <w:sz w:val="20"/>
                <w:szCs w:val="20"/>
              </w:rPr>
              <w:lastRenderedPageBreak/>
              <w:t>8, 9 et 10</w:t>
            </w:r>
          </w:p>
        </w:tc>
      </w:tr>
      <w:tr w:rsidR="00401546" w:rsidRPr="00A9330B" w14:paraId="57779A3C" w14:textId="77777777" w:rsidTr="00BD32CF">
        <w:trPr>
          <w:trHeight w:val="840"/>
          <w:jc w:val="center"/>
        </w:trPr>
        <w:tc>
          <w:tcPr>
            <w:tcW w:w="3020" w:type="dxa"/>
          </w:tcPr>
          <w:p w14:paraId="5323AEA1" w14:textId="77777777" w:rsidR="00401546" w:rsidRPr="00A9330B" w:rsidRDefault="00401546" w:rsidP="000F7BA7">
            <w:pPr>
              <w:spacing w:line="240" w:lineRule="auto"/>
              <w:jc w:val="both"/>
              <w:rPr>
                <w:sz w:val="20"/>
                <w:szCs w:val="20"/>
              </w:rPr>
            </w:pPr>
            <w:r w:rsidRPr="00A9330B">
              <w:rPr>
                <w:sz w:val="20"/>
                <w:szCs w:val="20"/>
              </w:rPr>
              <w:lastRenderedPageBreak/>
              <w:t xml:space="preserve">Assurer la stabilité, la conservation et la reprise aisée des éléments stockés </w:t>
            </w:r>
          </w:p>
        </w:tc>
        <w:tc>
          <w:tcPr>
            <w:tcW w:w="5055" w:type="dxa"/>
          </w:tcPr>
          <w:p w14:paraId="66B8E5B1" w14:textId="5B32C4C1" w:rsidR="00401546" w:rsidRPr="00A9330B" w:rsidRDefault="00401546" w:rsidP="00401546">
            <w:pPr>
              <w:spacing w:line="240" w:lineRule="auto"/>
              <w:rPr>
                <w:sz w:val="20"/>
                <w:szCs w:val="20"/>
              </w:rPr>
            </w:pPr>
            <w:r w:rsidRPr="00A9330B">
              <w:rPr>
                <w:sz w:val="20"/>
                <w:szCs w:val="20"/>
              </w:rPr>
              <w:t>Choix adapté de l’ordre de rangement, moyens de calage, dispositifs de stockages (berceaux, stabilisateurs, racks, etc.)</w:t>
            </w:r>
          </w:p>
        </w:tc>
        <w:tc>
          <w:tcPr>
            <w:tcW w:w="1418" w:type="dxa"/>
          </w:tcPr>
          <w:p w14:paraId="5E50A931" w14:textId="77777777" w:rsidR="00401546" w:rsidRPr="00A9330B" w:rsidRDefault="00401546" w:rsidP="00401546">
            <w:pPr>
              <w:spacing w:line="240" w:lineRule="auto"/>
              <w:jc w:val="center"/>
              <w:rPr>
                <w:sz w:val="20"/>
                <w:szCs w:val="20"/>
              </w:rPr>
            </w:pPr>
            <w:r w:rsidRPr="00A9330B">
              <w:rPr>
                <w:sz w:val="20"/>
                <w:szCs w:val="20"/>
              </w:rPr>
              <w:t>10</w:t>
            </w:r>
          </w:p>
        </w:tc>
      </w:tr>
    </w:tbl>
    <w:p w14:paraId="2264DD0B" w14:textId="77777777" w:rsidR="00401546" w:rsidRPr="00A9330B" w:rsidRDefault="00401546" w:rsidP="00B33ED3">
      <w:pPr>
        <w:spacing w:before="0"/>
      </w:pPr>
    </w:p>
    <w:p w14:paraId="1280C265" w14:textId="5D14606C" w:rsidR="00401546" w:rsidRPr="00A9330B" w:rsidRDefault="00401546" w:rsidP="00401546">
      <w:pPr>
        <w:suppressAutoHyphens/>
        <w:spacing w:line="240" w:lineRule="auto"/>
        <w:ind w:left="720"/>
        <w:outlineLvl w:val="2"/>
        <w:rPr>
          <w:rFonts w:eastAsiaTheme="majorEastAsia" w:cstheme="majorBidi"/>
          <w:i/>
          <w:color w:val="auto"/>
          <w:sz w:val="26"/>
          <w:szCs w:val="24"/>
        </w:rPr>
      </w:pPr>
      <w:bookmarkStart w:id="1954" w:name="_Toc523415169"/>
      <w:bookmarkStart w:id="1955" w:name="_Toc523417540"/>
      <w:bookmarkStart w:id="1956" w:name="_Toc523850171"/>
      <w:bookmarkStart w:id="1957" w:name="_Toc523857327"/>
      <w:bookmarkStart w:id="1958" w:name="_Toc524462564"/>
      <w:bookmarkStart w:id="1959" w:name="_Toc531434259"/>
      <w:bookmarkStart w:id="1960" w:name="_Toc535244633"/>
      <w:bookmarkStart w:id="1961" w:name="_Toc43697713"/>
      <w:bookmarkStart w:id="1962" w:name="_Toc45520916"/>
      <w:bookmarkStart w:id="1963" w:name="_Toc453943072"/>
      <w:bookmarkStart w:id="1964" w:name="_Toc463898240"/>
      <w:bookmarkStart w:id="1965" w:name="_Toc472330354"/>
      <w:bookmarkStart w:id="1966" w:name="_Toc52869716"/>
      <w:r w:rsidRPr="00A9330B">
        <w:rPr>
          <w:rFonts w:eastAsiaTheme="majorEastAsia" w:cstheme="majorBidi"/>
          <w:i/>
          <w:color w:val="auto"/>
          <w:sz w:val="26"/>
          <w:szCs w:val="24"/>
        </w:rPr>
        <w:t xml:space="preserve">9.13.3. Terrassement pour l’aménagement de la </w:t>
      </w:r>
      <w:r w:rsidR="00BD32CF" w:rsidRPr="00A9330B">
        <w:rPr>
          <w:rFonts w:eastAsiaTheme="majorEastAsia" w:cstheme="majorBidi"/>
          <w:i/>
          <w:color w:val="auto"/>
          <w:sz w:val="26"/>
          <w:szCs w:val="24"/>
        </w:rPr>
        <w:t>voirie (</w:t>
      </w:r>
      <w:r w:rsidRPr="00A9330B">
        <w:rPr>
          <w:rFonts w:eastAsiaTheme="majorEastAsia" w:cstheme="majorBidi"/>
          <w:i/>
          <w:color w:val="auto"/>
          <w:sz w:val="26"/>
          <w:szCs w:val="24"/>
        </w:rPr>
        <w:t>pose des pavés</w:t>
      </w:r>
      <w:r w:rsidR="00BD32CF" w:rsidRPr="00A9330B">
        <w:rPr>
          <w:rFonts w:eastAsiaTheme="majorEastAsia" w:cstheme="majorBidi"/>
          <w:i/>
          <w:color w:val="auto"/>
          <w:sz w:val="26"/>
          <w:szCs w:val="24"/>
        </w:rPr>
        <w:t>, bitumage</w:t>
      </w:r>
      <w:r w:rsidRPr="00A9330B">
        <w:rPr>
          <w:rFonts w:eastAsiaTheme="majorEastAsia" w:cstheme="majorBidi"/>
          <w:i/>
          <w:color w:val="auto"/>
          <w:sz w:val="26"/>
          <w:szCs w:val="24"/>
        </w:rPr>
        <w:t xml:space="preserve"> et aménagement jusqu’aux riverains)</w:t>
      </w:r>
      <w:bookmarkEnd w:id="1954"/>
      <w:bookmarkEnd w:id="1955"/>
      <w:bookmarkEnd w:id="1956"/>
      <w:bookmarkEnd w:id="1957"/>
      <w:bookmarkEnd w:id="1958"/>
      <w:bookmarkEnd w:id="1959"/>
      <w:bookmarkEnd w:id="1960"/>
      <w:bookmarkEnd w:id="1961"/>
      <w:bookmarkEnd w:id="1962"/>
      <w:bookmarkEnd w:id="1966"/>
      <w:r w:rsidRPr="00A9330B">
        <w:rPr>
          <w:rFonts w:eastAsiaTheme="majorEastAsia" w:cstheme="majorBidi"/>
          <w:i/>
          <w:color w:val="auto"/>
          <w:sz w:val="26"/>
          <w:szCs w:val="24"/>
        </w:rPr>
        <w:t xml:space="preserve">  </w:t>
      </w:r>
      <w:bookmarkEnd w:id="1963"/>
      <w:bookmarkEnd w:id="1964"/>
      <w:bookmarkEnd w:id="1965"/>
    </w:p>
    <w:p w14:paraId="70AE5689" w14:textId="1D4A8FC0" w:rsidR="00401546" w:rsidRPr="00A9330B" w:rsidRDefault="00401546" w:rsidP="00401546">
      <w:pPr>
        <w:jc w:val="both"/>
        <w:rPr>
          <w:rFonts w:cs="Arial"/>
        </w:rPr>
      </w:pPr>
      <w:bookmarkStart w:id="1967" w:name="_Toc472330405"/>
      <w:r w:rsidRPr="00A9330B">
        <w:rPr>
          <w:rFonts w:cs="Arial"/>
        </w:rPr>
        <w:t xml:space="preserve">Les mesures de prévention et maitrise des risques pour les travaux de pose de pavé (aménagement des rues adjacentes aux </w:t>
      </w:r>
      <w:r w:rsidR="00BD32CF" w:rsidRPr="00A9330B">
        <w:rPr>
          <w:rFonts w:cs="Arial"/>
        </w:rPr>
        <w:t>collecteurs) concernent</w:t>
      </w:r>
      <w:r w:rsidRPr="00A9330B">
        <w:rPr>
          <w:rFonts w:cs="Arial"/>
        </w:rPr>
        <w:t> : i) l’accès aux sites et l'aménagement des abords ; ii) l’aménagement des zones de circulation et de travail ; iii) les opérations de déblais et remblais, et iv) l’aménagement des postes de travail.</w:t>
      </w:r>
    </w:p>
    <w:p w14:paraId="6B3AA84C" w14:textId="5B48A07F" w:rsidR="00401546" w:rsidRPr="00A9330B" w:rsidRDefault="00401546" w:rsidP="00401546">
      <w:pPr>
        <w:keepNext/>
        <w:spacing w:after="120" w:line="240" w:lineRule="auto"/>
        <w:jc w:val="center"/>
        <w:rPr>
          <w:rFonts w:eastAsia="Calibri" w:cs="Arial"/>
          <w:b/>
          <w:color w:val="000000"/>
          <w:sz w:val="20"/>
          <w:szCs w:val="20"/>
          <w:lang w:eastAsia="fr-FR"/>
        </w:rPr>
      </w:pPr>
      <w:bookmarkStart w:id="1968" w:name="_Toc523424639"/>
      <w:bookmarkStart w:id="1969" w:name="_Toc523582324"/>
      <w:bookmarkStart w:id="1970" w:name="_Toc524462746"/>
      <w:bookmarkStart w:id="1971" w:name="_Toc529249289"/>
      <w:bookmarkStart w:id="1972" w:name="_Toc533058628"/>
      <w:bookmarkStart w:id="1973" w:name="_Toc535237441"/>
      <w:bookmarkStart w:id="1974" w:name="_Toc43696267"/>
      <w:bookmarkStart w:id="1975" w:name="_Toc52873780"/>
      <w:r w:rsidRPr="00A9330B">
        <w:rPr>
          <w:rFonts w:eastAsia="Times New Roman" w:cs="Arial"/>
          <w:b/>
          <w:color w:val="000000"/>
          <w:sz w:val="20"/>
          <w:szCs w:val="20"/>
          <w:lang w:eastAsia="fr-FR"/>
        </w:rPr>
        <w:t xml:space="preserve">Tableau </w:t>
      </w:r>
      <w:r w:rsidRPr="00A9330B">
        <w:rPr>
          <w:rFonts w:eastAsia="Times New Roman" w:cs="Arial"/>
          <w:b/>
          <w:color w:val="000000"/>
          <w:sz w:val="20"/>
          <w:szCs w:val="20"/>
          <w:lang w:eastAsia="fr-FR"/>
        </w:rPr>
        <w:fldChar w:fldCharType="begin"/>
      </w:r>
      <w:r w:rsidRPr="00A9330B">
        <w:rPr>
          <w:rFonts w:eastAsia="Times New Roman" w:cs="Arial"/>
          <w:b/>
          <w:color w:val="000000"/>
          <w:sz w:val="20"/>
          <w:szCs w:val="20"/>
          <w:lang w:eastAsia="fr-FR"/>
        </w:rPr>
        <w:instrText xml:space="preserve"> SEQ Tableau \* ARABIC </w:instrText>
      </w:r>
      <w:r w:rsidRPr="00A9330B">
        <w:rPr>
          <w:rFonts w:eastAsia="Times New Roman" w:cs="Arial"/>
          <w:b/>
          <w:color w:val="000000"/>
          <w:sz w:val="20"/>
          <w:szCs w:val="20"/>
          <w:lang w:eastAsia="fr-FR"/>
        </w:rPr>
        <w:fldChar w:fldCharType="separate"/>
      </w:r>
      <w:r w:rsidR="0057538E" w:rsidRPr="00A9330B">
        <w:rPr>
          <w:rFonts w:eastAsia="Times New Roman" w:cs="Arial"/>
          <w:b/>
          <w:noProof/>
          <w:color w:val="000000"/>
          <w:sz w:val="20"/>
          <w:szCs w:val="20"/>
          <w:lang w:eastAsia="fr-FR"/>
        </w:rPr>
        <w:t>56</w:t>
      </w:r>
      <w:r w:rsidRPr="00A9330B">
        <w:rPr>
          <w:rFonts w:eastAsia="Times New Roman" w:cs="Arial"/>
          <w:b/>
          <w:color w:val="000000"/>
          <w:sz w:val="20"/>
          <w:szCs w:val="20"/>
          <w:lang w:eastAsia="fr-FR"/>
        </w:rPr>
        <w:fldChar w:fldCharType="end"/>
      </w:r>
      <w:r w:rsidRPr="00A9330B">
        <w:rPr>
          <w:rFonts w:eastAsia="Times New Roman" w:cs="Arial"/>
          <w:b/>
          <w:color w:val="000000"/>
          <w:sz w:val="20"/>
          <w:szCs w:val="20"/>
          <w:lang w:eastAsia="fr-FR"/>
        </w:rPr>
        <w:t xml:space="preserve"> : </w:t>
      </w:r>
      <w:r w:rsidRPr="00A9330B">
        <w:rPr>
          <w:rFonts w:eastAsia="Calibri" w:cs="Arial"/>
          <w:b/>
          <w:color w:val="000000"/>
          <w:sz w:val="20"/>
          <w:szCs w:val="20"/>
          <w:lang w:eastAsia="fr-FR"/>
        </w:rPr>
        <w:t>Objectifs et mesures de prévention et minimisation des risques pour la pose des pavés</w:t>
      </w:r>
      <w:bookmarkEnd w:id="1968"/>
      <w:bookmarkEnd w:id="1969"/>
      <w:bookmarkEnd w:id="1970"/>
      <w:bookmarkEnd w:id="1971"/>
      <w:bookmarkEnd w:id="1972"/>
      <w:bookmarkEnd w:id="1973"/>
      <w:bookmarkEnd w:id="1974"/>
      <w:bookmarkEnd w:id="1975"/>
    </w:p>
    <w:tbl>
      <w:tblPr>
        <w:tblStyle w:val="Grilledutableau11"/>
        <w:tblW w:w="0" w:type="auto"/>
        <w:jc w:val="center"/>
        <w:tblLook w:val="04A0" w:firstRow="1" w:lastRow="0" w:firstColumn="1" w:lastColumn="0" w:noHBand="0" w:noVBand="1"/>
      </w:tblPr>
      <w:tblGrid>
        <w:gridCol w:w="3019"/>
        <w:gridCol w:w="5054"/>
        <w:gridCol w:w="987"/>
      </w:tblGrid>
      <w:tr w:rsidR="00401546" w:rsidRPr="00A9330B" w14:paraId="155CB1F5" w14:textId="77777777" w:rsidTr="00401546">
        <w:trPr>
          <w:jc w:val="center"/>
        </w:trPr>
        <w:tc>
          <w:tcPr>
            <w:tcW w:w="3020" w:type="dxa"/>
            <w:shd w:val="clear" w:color="auto" w:fill="FF6600"/>
          </w:tcPr>
          <w:bookmarkEnd w:id="1967"/>
          <w:p w14:paraId="4457666B" w14:textId="77777777" w:rsidR="00401546" w:rsidRPr="00A9330B" w:rsidRDefault="00401546" w:rsidP="00401546">
            <w:pPr>
              <w:spacing w:line="240" w:lineRule="auto"/>
              <w:jc w:val="center"/>
              <w:rPr>
                <w:rFonts w:cs="Arial"/>
                <w:b/>
                <w:color w:val="FFFFFF" w:themeColor="background1"/>
              </w:rPr>
            </w:pPr>
            <w:r w:rsidRPr="00A9330B">
              <w:rPr>
                <w:rFonts w:cs="Arial"/>
                <w:b/>
                <w:color w:val="FFFFFF" w:themeColor="background1"/>
              </w:rPr>
              <w:t xml:space="preserve">Objectifs pour prévenir et minimiser les risques </w:t>
            </w:r>
          </w:p>
        </w:tc>
        <w:tc>
          <w:tcPr>
            <w:tcW w:w="5055" w:type="dxa"/>
            <w:shd w:val="clear" w:color="auto" w:fill="FF6600"/>
          </w:tcPr>
          <w:p w14:paraId="6800E59E" w14:textId="77777777" w:rsidR="00401546" w:rsidRPr="00A9330B" w:rsidRDefault="00401546" w:rsidP="00401546">
            <w:pPr>
              <w:spacing w:line="240" w:lineRule="auto"/>
              <w:jc w:val="center"/>
              <w:rPr>
                <w:rFonts w:cs="Arial"/>
                <w:b/>
                <w:color w:val="FFFFFF" w:themeColor="background1"/>
              </w:rPr>
            </w:pPr>
            <w:r w:rsidRPr="00A9330B">
              <w:rPr>
                <w:rFonts w:cs="Arial"/>
                <w:b/>
                <w:color w:val="FFFFFF" w:themeColor="background1"/>
              </w:rPr>
              <w:t xml:space="preserve">Mesures à prendre </w:t>
            </w:r>
          </w:p>
        </w:tc>
        <w:tc>
          <w:tcPr>
            <w:tcW w:w="987" w:type="dxa"/>
            <w:shd w:val="clear" w:color="auto" w:fill="FF6600"/>
          </w:tcPr>
          <w:p w14:paraId="0575DAEF" w14:textId="77777777" w:rsidR="00401546" w:rsidRPr="00A9330B" w:rsidRDefault="00401546" w:rsidP="00401546">
            <w:pPr>
              <w:spacing w:line="240" w:lineRule="auto"/>
              <w:jc w:val="center"/>
              <w:rPr>
                <w:rFonts w:cs="Arial"/>
                <w:b/>
                <w:color w:val="FFFFFF" w:themeColor="background1"/>
              </w:rPr>
            </w:pPr>
            <w:r w:rsidRPr="00A9330B">
              <w:rPr>
                <w:rFonts w:cs="Arial"/>
                <w:b/>
                <w:color w:val="FFFFFF" w:themeColor="background1"/>
              </w:rPr>
              <w:t xml:space="preserve">Danger pris en compte </w:t>
            </w:r>
          </w:p>
        </w:tc>
      </w:tr>
      <w:tr w:rsidR="00401546" w:rsidRPr="00A9330B" w14:paraId="16B58AAD" w14:textId="77777777" w:rsidTr="00401546">
        <w:trPr>
          <w:jc w:val="center"/>
        </w:trPr>
        <w:tc>
          <w:tcPr>
            <w:tcW w:w="9062" w:type="dxa"/>
            <w:gridSpan w:val="3"/>
            <w:shd w:val="clear" w:color="auto" w:fill="D9D9D9" w:themeFill="background1" w:themeFillShade="D9"/>
          </w:tcPr>
          <w:p w14:paraId="2023C126" w14:textId="77777777" w:rsidR="00401546" w:rsidRPr="00A9330B" w:rsidRDefault="00401546" w:rsidP="00401546">
            <w:pPr>
              <w:spacing w:line="240" w:lineRule="auto"/>
              <w:rPr>
                <w:rFonts w:cs="Arial"/>
                <w:b/>
              </w:rPr>
            </w:pPr>
            <w:r w:rsidRPr="00A9330B">
              <w:rPr>
                <w:rFonts w:cs="Arial"/>
                <w:b/>
              </w:rPr>
              <w:t xml:space="preserve">Préparation du site et aménagement des abords </w:t>
            </w:r>
          </w:p>
        </w:tc>
      </w:tr>
      <w:tr w:rsidR="00401546" w:rsidRPr="00A9330B" w14:paraId="454CDCCE" w14:textId="77777777" w:rsidTr="00401546">
        <w:trPr>
          <w:jc w:val="center"/>
        </w:trPr>
        <w:tc>
          <w:tcPr>
            <w:tcW w:w="3020" w:type="dxa"/>
            <w:vMerge w:val="restart"/>
          </w:tcPr>
          <w:p w14:paraId="4D95C758" w14:textId="77777777" w:rsidR="00401546" w:rsidRPr="00A9330B" w:rsidRDefault="00401546" w:rsidP="000F7BA7">
            <w:pPr>
              <w:spacing w:line="240" w:lineRule="auto"/>
              <w:jc w:val="both"/>
              <w:rPr>
                <w:rFonts w:cs="Arial"/>
              </w:rPr>
            </w:pPr>
            <w:r w:rsidRPr="00A9330B">
              <w:rPr>
                <w:rFonts w:cs="Arial"/>
              </w:rPr>
              <w:t xml:space="preserve">Assurer la sécurité des personnes et des biens aux abords du chantier </w:t>
            </w:r>
          </w:p>
        </w:tc>
        <w:tc>
          <w:tcPr>
            <w:tcW w:w="5055" w:type="dxa"/>
          </w:tcPr>
          <w:p w14:paraId="060D532A" w14:textId="77777777" w:rsidR="00401546" w:rsidRPr="00A9330B" w:rsidRDefault="00401546" w:rsidP="000F7BA7">
            <w:pPr>
              <w:spacing w:line="240" w:lineRule="auto"/>
              <w:jc w:val="both"/>
              <w:rPr>
                <w:rFonts w:cs="Arial"/>
              </w:rPr>
            </w:pPr>
            <w:r w:rsidRPr="00A9330B">
              <w:rPr>
                <w:rFonts w:cs="Arial"/>
              </w:rPr>
              <w:t xml:space="preserve">Information et autorisation auprès des autorités et services de la SONEB, SBEE, autres concessionnaires  </w:t>
            </w:r>
          </w:p>
        </w:tc>
        <w:tc>
          <w:tcPr>
            <w:tcW w:w="987" w:type="dxa"/>
          </w:tcPr>
          <w:p w14:paraId="483C1DB7" w14:textId="77777777" w:rsidR="00401546" w:rsidRPr="00A9330B" w:rsidRDefault="00401546" w:rsidP="00401546">
            <w:pPr>
              <w:spacing w:line="240" w:lineRule="auto"/>
              <w:jc w:val="center"/>
              <w:rPr>
                <w:rFonts w:cs="Arial"/>
              </w:rPr>
            </w:pPr>
            <w:r w:rsidRPr="00A9330B">
              <w:rPr>
                <w:rFonts w:cs="Arial"/>
              </w:rPr>
              <w:t xml:space="preserve">8, 9 et 10 </w:t>
            </w:r>
          </w:p>
        </w:tc>
      </w:tr>
      <w:tr w:rsidR="00401546" w:rsidRPr="00A9330B" w14:paraId="07CAFD11" w14:textId="77777777" w:rsidTr="00401546">
        <w:trPr>
          <w:jc w:val="center"/>
        </w:trPr>
        <w:tc>
          <w:tcPr>
            <w:tcW w:w="3020" w:type="dxa"/>
            <w:vMerge/>
          </w:tcPr>
          <w:p w14:paraId="30BFB72F" w14:textId="77777777" w:rsidR="00401546" w:rsidRPr="00A9330B" w:rsidRDefault="00401546" w:rsidP="000F7BA7">
            <w:pPr>
              <w:spacing w:line="240" w:lineRule="auto"/>
              <w:jc w:val="both"/>
              <w:rPr>
                <w:rFonts w:cs="Arial"/>
              </w:rPr>
            </w:pPr>
          </w:p>
        </w:tc>
        <w:tc>
          <w:tcPr>
            <w:tcW w:w="5055" w:type="dxa"/>
          </w:tcPr>
          <w:p w14:paraId="45E35293" w14:textId="77777777" w:rsidR="00401546" w:rsidRPr="00A9330B" w:rsidRDefault="00401546" w:rsidP="000F7BA7">
            <w:pPr>
              <w:spacing w:line="240" w:lineRule="auto"/>
              <w:jc w:val="both"/>
              <w:rPr>
                <w:rFonts w:cs="Arial"/>
              </w:rPr>
            </w:pPr>
            <w:r w:rsidRPr="00A9330B">
              <w:rPr>
                <w:rFonts w:cs="Arial"/>
              </w:rPr>
              <w:t xml:space="preserve">Etat des lieux préalable et mise en évidence des zones à risque  </w:t>
            </w:r>
          </w:p>
        </w:tc>
        <w:tc>
          <w:tcPr>
            <w:tcW w:w="987" w:type="dxa"/>
          </w:tcPr>
          <w:p w14:paraId="3CE3BCB3" w14:textId="77777777" w:rsidR="00401546" w:rsidRPr="00A9330B" w:rsidRDefault="00401546" w:rsidP="00401546">
            <w:pPr>
              <w:spacing w:line="240" w:lineRule="auto"/>
              <w:jc w:val="center"/>
              <w:rPr>
                <w:rFonts w:cs="Arial"/>
              </w:rPr>
            </w:pPr>
            <w:r w:rsidRPr="00A9330B">
              <w:rPr>
                <w:rFonts w:cs="Arial"/>
              </w:rPr>
              <w:t xml:space="preserve">8 </w:t>
            </w:r>
          </w:p>
        </w:tc>
      </w:tr>
      <w:tr w:rsidR="00401546" w:rsidRPr="00A9330B" w14:paraId="7E4A0549" w14:textId="77777777" w:rsidTr="00401546">
        <w:trPr>
          <w:trHeight w:val="516"/>
          <w:jc w:val="center"/>
        </w:trPr>
        <w:tc>
          <w:tcPr>
            <w:tcW w:w="3020" w:type="dxa"/>
            <w:vMerge/>
          </w:tcPr>
          <w:p w14:paraId="115B2715" w14:textId="77777777" w:rsidR="00401546" w:rsidRPr="00A9330B" w:rsidRDefault="00401546" w:rsidP="000F7BA7">
            <w:pPr>
              <w:spacing w:line="240" w:lineRule="auto"/>
              <w:jc w:val="both"/>
              <w:rPr>
                <w:rFonts w:cs="Arial"/>
              </w:rPr>
            </w:pPr>
          </w:p>
        </w:tc>
        <w:tc>
          <w:tcPr>
            <w:tcW w:w="5055" w:type="dxa"/>
          </w:tcPr>
          <w:p w14:paraId="70F7030E" w14:textId="77777777" w:rsidR="00401546" w:rsidRPr="00A9330B" w:rsidRDefault="00401546" w:rsidP="000F7BA7">
            <w:pPr>
              <w:spacing w:line="240" w:lineRule="auto"/>
              <w:jc w:val="both"/>
              <w:rPr>
                <w:rFonts w:cs="Arial"/>
              </w:rPr>
            </w:pPr>
            <w:r w:rsidRPr="00A9330B">
              <w:rPr>
                <w:rFonts w:cs="Arial"/>
              </w:rPr>
              <w:t xml:space="preserve">Définition des modalités d’accès des véhicules, engins de chantier </w:t>
            </w:r>
          </w:p>
          <w:p w14:paraId="4F3D134A" w14:textId="77777777" w:rsidR="00B33ED3" w:rsidRPr="00A9330B" w:rsidRDefault="00B33ED3" w:rsidP="000F7BA7">
            <w:pPr>
              <w:spacing w:line="240" w:lineRule="auto"/>
              <w:jc w:val="both"/>
              <w:rPr>
                <w:rFonts w:cs="Arial"/>
              </w:rPr>
            </w:pPr>
          </w:p>
        </w:tc>
        <w:tc>
          <w:tcPr>
            <w:tcW w:w="987" w:type="dxa"/>
          </w:tcPr>
          <w:p w14:paraId="7519EA9A" w14:textId="77777777" w:rsidR="00401546" w:rsidRPr="00A9330B" w:rsidRDefault="00401546" w:rsidP="00401546">
            <w:pPr>
              <w:spacing w:line="240" w:lineRule="auto"/>
              <w:jc w:val="center"/>
              <w:rPr>
                <w:rFonts w:cs="Arial"/>
              </w:rPr>
            </w:pPr>
            <w:r w:rsidRPr="00A9330B">
              <w:rPr>
                <w:rFonts w:cs="Arial"/>
              </w:rPr>
              <w:t xml:space="preserve">9 </w:t>
            </w:r>
          </w:p>
        </w:tc>
      </w:tr>
      <w:tr w:rsidR="00401546" w:rsidRPr="00A9330B" w14:paraId="08D6AD21" w14:textId="77777777" w:rsidTr="00401546">
        <w:trPr>
          <w:trHeight w:val="264"/>
          <w:jc w:val="center"/>
        </w:trPr>
        <w:tc>
          <w:tcPr>
            <w:tcW w:w="9062" w:type="dxa"/>
            <w:gridSpan w:val="3"/>
            <w:shd w:val="clear" w:color="auto" w:fill="D9D9D9" w:themeFill="background1" w:themeFillShade="D9"/>
          </w:tcPr>
          <w:p w14:paraId="78B9BEB9" w14:textId="77777777" w:rsidR="00401546" w:rsidRPr="00A9330B" w:rsidRDefault="00401546" w:rsidP="00401546">
            <w:pPr>
              <w:spacing w:line="240" w:lineRule="auto"/>
              <w:rPr>
                <w:rFonts w:cs="Arial"/>
              </w:rPr>
            </w:pPr>
            <w:r w:rsidRPr="00A9330B">
              <w:rPr>
                <w:rFonts w:cs="Arial"/>
                <w:b/>
              </w:rPr>
              <w:t xml:space="preserve">Approvisionnement du chantier </w:t>
            </w:r>
          </w:p>
        </w:tc>
      </w:tr>
      <w:tr w:rsidR="00401546" w:rsidRPr="00A9330B" w14:paraId="4E4336F0" w14:textId="77777777" w:rsidTr="00401546">
        <w:trPr>
          <w:trHeight w:val="1265"/>
          <w:jc w:val="center"/>
        </w:trPr>
        <w:tc>
          <w:tcPr>
            <w:tcW w:w="3020" w:type="dxa"/>
          </w:tcPr>
          <w:p w14:paraId="2EBC9073" w14:textId="77777777" w:rsidR="00401546" w:rsidRPr="00A9330B" w:rsidRDefault="00401546" w:rsidP="000F7BA7">
            <w:pPr>
              <w:spacing w:line="240" w:lineRule="auto"/>
              <w:jc w:val="both"/>
              <w:rPr>
                <w:rFonts w:cs="Arial"/>
              </w:rPr>
            </w:pPr>
            <w:r w:rsidRPr="00A9330B">
              <w:rPr>
                <w:rFonts w:cs="Arial"/>
              </w:rPr>
              <w:t xml:space="preserve">Eviter les accidents et incidents en cours de transport </w:t>
            </w:r>
          </w:p>
        </w:tc>
        <w:tc>
          <w:tcPr>
            <w:tcW w:w="5055" w:type="dxa"/>
          </w:tcPr>
          <w:p w14:paraId="12FE4DDE" w14:textId="77777777" w:rsidR="00401546" w:rsidRPr="00A9330B" w:rsidRDefault="00401546" w:rsidP="000F7BA7">
            <w:pPr>
              <w:spacing w:line="240" w:lineRule="auto"/>
              <w:jc w:val="both"/>
              <w:rPr>
                <w:rFonts w:cs="Arial"/>
              </w:rPr>
            </w:pPr>
            <w:r w:rsidRPr="00A9330B">
              <w:rPr>
                <w:rFonts w:cs="Arial"/>
              </w:rPr>
              <w:t xml:space="preserve">Signalisation des routes et voies d’accès </w:t>
            </w:r>
          </w:p>
          <w:p w14:paraId="40FDF911" w14:textId="6F66994F" w:rsidR="00401546" w:rsidRPr="00A9330B" w:rsidRDefault="00401546" w:rsidP="000F7BA7">
            <w:pPr>
              <w:spacing w:line="240" w:lineRule="auto"/>
              <w:jc w:val="both"/>
              <w:rPr>
                <w:rFonts w:cs="Arial"/>
              </w:rPr>
            </w:pPr>
            <w:r w:rsidRPr="00A9330B">
              <w:rPr>
                <w:rFonts w:cs="Arial"/>
              </w:rPr>
              <w:t xml:space="preserve">Disposition à prendre en cas de transport exceptionnel </w:t>
            </w:r>
            <w:r w:rsidR="00A220E0" w:rsidRPr="00A9330B">
              <w:rPr>
                <w:rFonts w:cs="Arial"/>
              </w:rPr>
              <w:t xml:space="preserve">sur de grandes distances </w:t>
            </w:r>
            <w:r w:rsidRPr="00A9330B">
              <w:rPr>
                <w:rFonts w:cs="Arial"/>
              </w:rPr>
              <w:t xml:space="preserve"> </w:t>
            </w:r>
          </w:p>
          <w:p w14:paraId="6A48DC96" w14:textId="77777777" w:rsidR="00401546" w:rsidRPr="00A9330B" w:rsidRDefault="00401546" w:rsidP="000F7BA7">
            <w:pPr>
              <w:spacing w:line="240" w:lineRule="auto"/>
              <w:jc w:val="both"/>
              <w:rPr>
                <w:rFonts w:cs="Arial"/>
              </w:rPr>
            </w:pPr>
            <w:r w:rsidRPr="00A9330B">
              <w:rPr>
                <w:rFonts w:cs="Arial"/>
              </w:rPr>
              <w:t xml:space="preserve">Disposition adaptées d’arrimage du matériel transporté, colisage, etc. </w:t>
            </w:r>
          </w:p>
          <w:p w14:paraId="0843576A" w14:textId="77777777" w:rsidR="00401546" w:rsidRPr="00A9330B" w:rsidRDefault="00401546" w:rsidP="000F7BA7">
            <w:pPr>
              <w:spacing w:line="240" w:lineRule="auto"/>
              <w:jc w:val="both"/>
              <w:rPr>
                <w:rFonts w:cs="Arial"/>
              </w:rPr>
            </w:pPr>
            <w:r w:rsidRPr="00A9330B">
              <w:rPr>
                <w:rFonts w:cs="Arial"/>
              </w:rPr>
              <w:t xml:space="preserve">Repérage des ouvrages d’arts à charge ou hauteur limitée </w:t>
            </w:r>
          </w:p>
        </w:tc>
        <w:tc>
          <w:tcPr>
            <w:tcW w:w="987" w:type="dxa"/>
          </w:tcPr>
          <w:p w14:paraId="1A7D26B9" w14:textId="77777777" w:rsidR="00401546" w:rsidRPr="00A9330B" w:rsidRDefault="00401546" w:rsidP="00401546">
            <w:pPr>
              <w:spacing w:line="240" w:lineRule="auto"/>
              <w:jc w:val="center"/>
              <w:rPr>
                <w:rFonts w:cs="Arial"/>
              </w:rPr>
            </w:pPr>
            <w:r w:rsidRPr="00A9330B">
              <w:rPr>
                <w:rFonts w:cs="Arial"/>
              </w:rPr>
              <w:t xml:space="preserve">8 et 9 </w:t>
            </w:r>
          </w:p>
        </w:tc>
      </w:tr>
      <w:tr w:rsidR="00401546" w:rsidRPr="00A9330B" w14:paraId="5BC9901E" w14:textId="77777777" w:rsidTr="00401546">
        <w:trPr>
          <w:trHeight w:val="1024"/>
          <w:jc w:val="center"/>
        </w:trPr>
        <w:tc>
          <w:tcPr>
            <w:tcW w:w="3020" w:type="dxa"/>
            <w:vMerge w:val="restart"/>
          </w:tcPr>
          <w:p w14:paraId="039F63B7" w14:textId="48F52109" w:rsidR="00401546" w:rsidRPr="00A9330B" w:rsidRDefault="00401546" w:rsidP="00401546">
            <w:pPr>
              <w:spacing w:line="240" w:lineRule="auto"/>
              <w:rPr>
                <w:rFonts w:cs="Arial"/>
              </w:rPr>
            </w:pPr>
            <w:r w:rsidRPr="00A9330B">
              <w:rPr>
                <w:rFonts w:cs="Arial"/>
              </w:rPr>
              <w:t>Assurer un approvisionnement normal sans manœuvre</w:t>
            </w:r>
            <w:r w:rsidR="000515AE" w:rsidRPr="00A9330B">
              <w:rPr>
                <w:rFonts w:cs="Arial"/>
              </w:rPr>
              <w:t>s</w:t>
            </w:r>
            <w:r w:rsidRPr="00A9330B">
              <w:rPr>
                <w:rFonts w:cs="Arial"/>
              </w:rPr>
              <w:t xml:space="preserve"> dangereuses, à portée des engins de levage en évitant les croisements de circulations (véhicules et piétons, accès voie séparées, etc.) </w:t>
            </w:r>
          </w:p>
        </w:tc>
        <w:tc>
          <w:tcPr>
            <w:tcW w:w="5055" w:type="dxa"/>
          </w:tcPr>
          <w:p w14:paraId="14C124BF" w14:textId="77777777" w:rsidR="00401546" w:rsidRPr="00A9330B" w:rsidRDefault="00401546" w:rsidP="000F7BA7">
            <w:pPr>
              <w:spacing w:line="240" w:lineRule="auto"/>
              <w:jc w:val="both"/>
              <w:rPr>
                <w:rFonts w:cs="Arial"/>
              </w:rPr>
            </w:pPr>
            <w:r w:rsidRPr="00A9330B">
              <w:rPr>
                <w:rFonts w:cs="Arial"/>
              </w:rPr>
              <w:t xml:space="preserve">Définition des modalités de pénétration et de circulation (fléchage, panneau, etc.) des camions d’approvisionnement, des accès aux zones de stockages </w:t>
            </w:r>
          </w:p>
        </w:tc>
        <w:tc>
          <w:tcPr>
            <w:tcW w:w="987" w:type="dxa"/>
            <w:vMerge w:val="restart"/>
          </w:tcPr>
          <w:p w14:paraId="50AB6EE1" w14:textId="77777777" w:rsidR="00401546" w:rsidRPr="00A9330B" w:rsidRDefault="00401546" w:rsidP="00401546">
            <w:pPr>
              <w:spacing w:line="240" w:lineRule="auto"/>
              <w:jc w:val="center"/>
              <w:rPr>
                <w:rFonts w:cs="Arial"/>
              </w:rPr>
            </w:pPr>
            <w:r w:rsidRPr="00A9330B">
              <w:rPr>
                <w:rFonts w:cs="Arial"/>
              </w:rPr>
              <w:t>8 et 9</w:t>
            </w:r>
          </w:p>
        </w:tc>
      </w:tr>
      <w:tr w:rsidR="00401546" w:rsidRPr="00A9330B" w14:paraId="4EA0F45B" w14:textId="77777777" w:rsidTr="00401546">
        <w:trPr>
          <w:trHeight w:val="685"/>
          <w:jc w:val="center"/>
        </w:trPr>
        <w:tc>
          <w:tcPr>
            <w:tcW w:w="3020" w:type="dxa"/>
            <w:vMerge/>
          </w:tcPr>
          <w:p w14:paraId="5EAABBB1" w14:textId="77777777" w:rsidR="00401546" w:rsidRPr="00A9330B" w:rsidRDefault="00401546" w:rsidP="00401546">
            <w:pPr>
              <w:spacing w:line="240" w:lineRule="auto"/>
              <w:rPr>
                <w:rFonts w:cs="Arial"/>
              </w:rPr>
            </w:pPr>
          </w:p>
        </w:tc>
        <w:tc>
          <w:tcPr>
            <w:tcW w:w="5055" w:type="dxa"/>
          </w:tcPr>
          <w:p w14:paraId="56EF6B9D" w14:textId="77777777" w:rsidR="00401546" w:rsidRPr="00A9330B" w:rsidRDefault="00401546" w:rsidP="00401546">
            <w:pPr>
              <w:spacing w:line="240" w:lineRule="auto"/>
              <w:rPr>
                <w:rFonts w:cs="Arial"/>
              </w:rPr>
            </w:pPr>
            <w:r w:rsidRPr="00A9330B">
              <w:rPr>
                <w:rFonts w:cs="Arial"/>
              </w:rPr>
              <w:t xml:space="preserve">Implantation des zones de circulation et de stockage </w:t>
            </w:r>
          </w:p>
          <w:p w14:paraId="3A00389B" w14:textId="77777777" w:rsidR="00401546" w:rsidRPr="00A9330B" w:rsidRDefault="00401546" w:rsidP="00401546">
            <w:pPr>
              <w:spacing w:line="240" w:lineRule="auto"/>
              <w:rPr>
                <w:rFonts w:cs="Arial"/>
              </w:rPr>
            </w:pPr>
            <w:r w:rsidRPr="00A9330B">
              <w:rPr>
                <w:rFonts w:cs="Arial"/>
              </w:rPr>
              <w:t xml:space="preserve">Signalisation interne du chantier </w:t>
            </w:r>
          </w:p>
        </w:tc>
        <w:tc>
          <w:tcPr>
            <w:tcW w:w="987" w:type="dxa"/>
            <w:vMerge/>
          </w:tcPr>
          <w:p w14:paraId="35887298" w14:textId="77777777" w:rsidR="00401546" w:rsidRPr="00A9330B" w:rsidRDefault="00401546" w:rsidP="00401546">
            <w:pPr>
              <w:spacing w:line="240" w:lineRule="auto"/>
              <w:jc w:val="center"/>
              <w:rPr>
                <w:rFonts w:cs="Arial"/>
              </w:rPr>
            </w:pPr>
          </w:p>
        </w:tc>
      </w:tr>
      <w:tr w:rsidR="00401546" w:rsidRPr="00A9330B" w14:paraId="19CE5B24" w14:textId="77777777" w:rsidTr="00401546">
        <w:trPr>
          <w:trHeight w:val="1265"/>
          <w:jc w:val="center"/>
        </w:trPr>
        <w:tc>
          <w:tcPr>
            <w:tcW w:w="3020" w:type="dxa"/>
          </w:tcPr>
          <w:p w14:paraId="0FCB174F" w14:textId="77777777" w:rsidR="00401546" w:rsidRPr="00A9330B" w:rsidRDefault="00401546" w:rsidP="00401546">
            <w:pPr>
              <w:spacing w:line="240" w:lineRule="auto"/>
              <w:rPr>
                <w:rFonts w:cs="Arial"/>
              </w:rPr>
            </w:pPr>
            <w:r w:rsidRPr="00A9330B">
              <w:rPr>
                <w:rFonts w:cs="Arial"/>
              </w:rPr>
              <w:t xml:space="preserve">Eviter les accidents et incidents en cours de déchargement et de stockage des matériels et matériaux  </w:t>
            </w:r>
          </w:p>
        </w:tc>
        <w:tc>
          <w:tcPr>
            <w:tcW w:w="5055" w:type="dxa"/>
          </w:tcPr>
          <w:p w14:paraId="7D49F9C7" w14:textId="36C49DD0" w:rsidR="00401546" w:rsidRPr="00A9330B" w:rsidRDefault="00401546" w:rsidP="00401546">
            <w:pPr>
              <w:spacing w:line="240" w:lineRule="auto"/>
              <w:rPr>
                <w:rFonts w:cs="Arial"/>
              </w:rPr>
            </w:pPr>
            <w:r w:rsidRPr="00A9330B">
              <w:rPr>
                <w:rFonts w:cs="Arial"/>
              </w:rPr>
              <w:t>Comp</w:t>
            </w:r>
            <w:r w:rsidR="000515AE" w:rsidRPr="00A9330B">
              <w:rPr>
                <w:rFonts w:cs="Arial"/>
              </w:rPr>
              <w:t xml:space="preserve">atibilité </w:t>
            </w:r>
            <w:r w:rsidRPr="00A9330B">
              <w:rPr>
                <w:rFonts w:cs="Arial"/>
              </w:rPr>
              <w:t xml:space="preserve"> des dispositifs de levage avec le poids et les dimensions des éléments à mouvoir. </w:t>
            </w:r>
          </w:p>
          <w:p w14:paraId="1A003D75" w14:textId="77777777" w:rsidR="00401546" w:rsidRPr="00A9330B" w:rsidRDefault="00401546" w:rsidP="00401546">
            <w:pPr>
              <w:spacing w:line="240" w:lineRule="auto"/>
              <w:rPr>
                <w:rFonts w:cs="Arial"/>
              </w:rPr>
            </w:pPr>
            <w:r w:rsidRPr="00A9330B">
              <w:rPr>
                <w:rFonts w:cs="Arial"/>
              </w:rPr>
              <w:lastRenderedPageBreak/>
              <w:t xml:space="preserve">Instructions relatives à l’utilisation d’accessoires spéciaux (palonniers, sangles, axes de tourets, vérins, etc.) </w:t>
            </w:r>
          </w:p>
          <w:p w14:paraId="16427637" w14:textId="77777777" w:rsidR="00401546" w:rsidRPr="00A9330B" w:rsidRDefault="00401546" w:rsidP="00401546">
            <w:pPr>
              <w:spacing w:line="240" w:lineRule="auto"/>
              <w:rPr>
                <w:rFonts w:cs="Arial"/>
              </w:rPr>
            </w:pPr>
            <w:r w:rsidRPr="00A9330B">
              <w:rPr>
                <w:rFonts w:cs="Arial"/>
              </w:rPr>
              <w:t xml:space="preserve">Etablissement éventuel des règles particulières de manœuvre ou de déchargement comme le béton  </w:t>
            </w:r>
          </w:p>
          <w:p w14:paraId="0EBDE51D" w14:textId="77777777" w:rsidR="00401546" w:rsidRPr="00A9330B" w:rsidRDefault="00401546" w:rsidP="00401546">
            <w:pPr>
              <w:spacing w:line="240" w:lineRule="auto"/>
              <w:rPr>
                <w:rFonts w:cs="Arial"/>
              </w:rPr>
            </w:pPr>
            <w:r w:rsidRPr="00A9330B">
              <w:rPr>
                <w:rFonts w:cs="Arial"/>
              </w:rPr>
              <w:t xml:space="preserve">Guidage des camions  </w:t>
            </w:r>
          </w:p>
        </w:tc>
        <w:tc>
          <w:tcPr>
            <w:tcW w:w="987" w:type="dxa"/>
          </w:tcPr>
          <w:p w14:paraId="260B47CD" w14:textId="77777777" w:rsidR="00401546" w:rsidRPr="00A9330B" w:rsidRDefault="00401546" w:rsidP="00401546">
            <w:pPr>
              <w:spacing w:line="240" w:lineRule="auto"/>
              <w:jc w:val="center"/>
              <w:rPr>
                <w:rFonts w:cs="Arial"/>
              </w:rPr>
            </w:pPr>
            <w:r w:rsidRPr="00A9330B">
              <w:rPr>
                <w:rFonts w:cs="Arial"/>
              </w:rPr>
              <w:lastRenderedPageBreak/>
              <w:t>8, 9 et 10</w:t>
            </w:r>
          </w:p>
        </w:tc>
      </w:tr>
      <w:tr w:rsidR="00401546" w:rsidRPr="00A9330B" w14:paraId="4B21474F" w14:textId="77777777" w:rsidTr="00401546">
        <w:trPr>
          <w:trHeight w:val="840"/>
          <w:jc w:val="center"/>
        </w:trPr>
        <w:tc>
          <w:tcPr>
            <w:tcW w:w="3020" w:type="dxa"/>
          </w:tcPr>
          <w:p w14:paraId="1C8B3B7D" w14:textId="77777777" w:rsidR="00401546" w:rsidRPr="00A9330B" w:rsidRDefault="00401546" w:rsidP="000F7BA7">
            <w:pPr>
              <w:spacing w:line="240" w:lineRule="auto"/>
              <w:jc w:val="both"/>
              <w:rPr>
                <w:rFonts w:cs="Arial"/>
              </w:rPr>
            </w:pPr>
            <w:r w:rsidRPr="00A9330B">
              <w:rPr>
                <w:rFonts w:cs="Arial"/>
              </w:rPr>
              <w:lastRenderedPageBreak/>
              <w:t xml:space="preserve">Assurer la stabilité, la conservation et la reprise aisée des éléments stockés </w:t>
            </w:r>
          </w:p>
        </w:tc>
        <w:tc>
          <w:tcPr>
            <w:tcW w:w="5055" w:type="dxa"/>
          </w:tcPr>
          <w:p w14:paraId="2475E1DC" w14:textId="77777777" w:rsidR="00401546" w:rsidRPr="00A9330B" w:rsidRDefault="00401546" w:rsidP="00401546">
            <w:pPr>
              <w:spacing w:line="240" w:lineRule="auto"/>
              <w:rPr>
                <w:rFonts w:cs="Arial"/>
              </w:rPr>
            </w:pPr>
            <w:r w:rsidRPr="00A9330B">
              <w:rPr>
                <w:rFonts w:cs="Arial"/>
              </w:rPr>
              <w:t xml:space="preserve">Choix adapté de l’ordre de rangement, moyens de calage, dispositifs de stockages (berceaux, stabilisateurs, racks, etc.) </w:t>
            </w:r>
          </w:p>
        </w:tc>
        <w:tc>
          <w:tcPr>
            <w:tcW w:w="987" w:type="dxa"/>
          </w:tcPr>
          <w:p w14:paraId="59667848" w14:textId="77777777" w:rsidR="00401546" w:rsidRPr="00A9330B" w:rsidRDefault="00401546" w:rsidP="00401546">
            <w:pPr>
              <w:spacing w:line="240" w:lineRule="auto"/>
              <w:jc w:val="center"/>
              <w:rPr>
                <w:rFonts w:cs="Arial"/>
              </w:rPr>
            </w:pPr>
            <w:r w:rsidRPr="00A9330B">
              <w:rPr>
                <w:rFonts w:cs="Arial"/>
              </w:rPr>
              <w:t>10</w:t>
            </w:r>
          </w:p>
        </w:tc>
      </w:tr>
      <w:tr w:rsidR="00401546" w:rsidRPr="00A9330B" w14:paraId="26016095" w14:textId="77777777" w:rsidTr="00401546">
        <w:trPr>
          <w:trHeight w:val="277"/>
          <w:jc w:val="center"/>
        </w:trPr>
        <w:tc>
          <w:tcPr>
            <w:tcW w:w="9062" w:type="dxa"/>
            <w:gridSpan w:val="3"/>
            <w:shd w:val="clear" w:color="auto" w:fill="D9D9D9" w:themeFill="background1" w:themeFillShade="D9"/>
          </w:tcPr>
          <w:p w14:paraId="56B983C7" w14:textId="77777777" w:rsidR="00401546" w:rsidRPr="00A9330B" w:rsidRDefault="00401546" w:rsidP="00401546">
            <w:pPr>
              <w:spacing w:line="240" w:lineRule="auto"/>
              <w:rPr>
                <w:rFonts w:cs="Arial"/>
                <w:b/>
              </w:rPr>
            </w:pPr>
            <w:r w:rsidRPr="00A9330B">
              <w:rPr>
                <w:rFonts w:cs="Arial"/>
                <w:b/>
              </w:rPr>
              <w:t xml:space="preserve">Utilisation des matériels, engins et véhicules de chantier </w:t>
            </w:r>
          </w:p>
        </w:tc>
      </w:tr>
      <w:tr w:rsidR="00401546" w:rsidRPr="00A9330B" w14:paraId="7B896B78" w14:textId="77777777" w:rsidTr="00401546">
        <w:trPr>
          <w:trHeight w:val="741"/>
          <w:jc w:val="center"/>
        </w:trPr>
        <w:tc>
          <w:tcPr>
            <w:tcW w:w="3020" w:type="dxa"/>
          </w:tcPr>
          <w:p w14:paraId="1DE2EE33" w14:textId="77777777" w:rsidR="00401546" w:rsidRPr="00A9330B" w:rsidRDefault="00401546" w:rsidP="000F7BA7">
            <w:pPr>
              <w:spacing w:line="240" w:lineRule="auto"/>
              <w:jc w:val="both"/>
              <w:rPr>
                <w:rFonts w:cs="Arial"/>
              </w:rPr>
            </w:pPr>
            <w:r w:rsidRPr="00A9330B">
              <w:rPr>
                <w:rFonts w:cs="Arial"/>
              </w:rPr>
              <w:t xml:space="preserve">Eliminer les collisions et les heurts dus à l’utilisation de véhicules et d’engins avec les personnes et les autres engins </w:t>
            </w:r>
          </w:p>
        </w:tc>
        <w:tc>
          <w:tcPr>
            <w:tcW w:w="5055" w:type="dxa"/>
          </w:tcPr>
          <w:p w14:paraId="25D8EB9A" w14:textId="305144EF" w:rsidR="00401546" w:rsidRPr="00A9330B" w:rsidRDefault="00401546" w:rsidP="00401546">
            <w:pPr>
              <w:spacing w:line="240" w:lineRule="auto"/>
              <w:rPr>
                <w:rFonts w:cs="Arial"/>
              </w:rPr>
            </w:pPr>
            <w:r w:rsidRPr="00A9330B">
              <w:rPr>
                <w:rFonts w:cs="Arial"/>
              </w:rPr>
              <w:t xml:space="preserve">Guidage des camions notamment lors de l’amenée et </w:t>
            </w:r>
            <w:r w:rsidR="000515AE" w:rsidRPr="00A9330B">
              <w:rPr>
                <w:rFonts w:cs="Arial"/>
              </w:rPr>
              <w:t xml:space="preserve">du </w:t>
            </w:r>
            <w:r w:rsidRPr="00A9330B">
              <w:rPr>
                <w:rFonts w:cs="Arial"/>
              </w:rPr>
              <w:t>repli du matériel, l’approvisionnement des matériaux, l’évacuation des dé</w:t>
            </w:r>
            <w:r w:rsidR="000515AE" w:rsidRPr="00A9330B">
              <w:rPr>
                <w:rFonts w:cs="Arial"/>
              </w:rPr>
              <w:t>b</w:t>
            </w:r>
            <w:r w:rsidRPr="00A9330B">
              <w:rPr>
                <w:rFonts w:cs="Arial"/>
              </w:rPr>
              <w:t xml:space="preserve">lais, etc. </w:t>
            </w:r>
          </w:p>
        </w:tc>
        <w:tc>
          <w:tcPr>
            <w:tcW w:w="987" w:type="dxa"/>
          </w:tcPr>
          <w:p w14:paraId="0DD33AF4" w14:textId="77777777" w:rsidR="00401546" w:rsidRPr="00A9330B" w:rsidRDefault="00401546" w:rsidP="00401546">
            <w:pPr>
              <w:spacing w:line="240" w:lineRule="auto"/>
              <w:jc w:val="center"/>
              <w:rPr>
                <w:rFonts w:cs="Arial"/>
              </w:rPr>
            </w:pPr>
            <w:r w:rsidRPr="00A9330B">
              <w:rPr>
                <w:rFonts w:cs="Arial"/>
              </w:rPr>
              <w:t xml:space="preserve">8 et 9 </w:t>
            </w:r>
          </w:p>
        </w:tc>
      </w:tr>
      <w:tr w:rsidR="00401546" w:rsidRPr="00A9330B" w14:paraId="2F2FDD3F" w14:textId="77777777" w:rsidTr="00401546">
        <w:trPr>
          <w:trHeight w:val="1265"/>
          <w:jc w:val="center"/>
        </w:trPr>
        <w:tc>
          <w:tcPr>
            <w:tcW w:w="3020" w:type="dxa"/>
          </w:tcPr>
          <w:p w14:paraId="61ECC9B6" w14:textId="77777777" w:rsidR="00401546" w:rsidRPr="00A9330B" w:rsidRDefault="00401546" w:rsidP="000F7BA7">
            <w:pPr>
              <w:spacing w:line="240" w:lineRule="auto"/>
              <w:jc w:val="both"/>
              <w:rPr>
                <w:rFonts w:cs="Arial"/>
              </w:rPr>
            </w:pPr>
            <w:r w:rsidRPr="00A9330B">
              <w:rPr>
                <w:rFonts w:cs="Arial"/>
              </w:rPr>
              <w:t xml:space="preserve">Eviter les renversements, basculements, heurts ou happements des véhicules et engins de chaleur et leurs organes mobiles </w:t>
            </w:r>
          </w:p>
        </w:tc>
        <w:tc>
          <w:tcPr>
            <w:tcW w:w="5055" w:type="dxa"/>
          </w:tcPr>
          <w:p w14:paraId="54033357" w14:textId="77777777" w:rsidR="00401546" w:rsidRPr="00A9330B" w:rsidRDefault="00401546" w:rsidP="000F7BA7">
            <w:pPr>
              <w:spacing w:line="240" w:lineRule="auto"/>
              <w:jc w:val="both"/>
              <w:rPr>
                <w:rFonts w:cs="Arial"/>
              </w:rPr>
            </w:pPr>
            <w:r w:rsidRPr="00A9330B">
              <w:rPr>
                <w:rFonts w:cs="Arial"/>
              </w:rPr>
              <w:t xml:space="preserve">Rappel des modes opératoires et des consignes particulières concernant l’utilisation des engins i) les dispositifs de sécurité, ii) l’examen des câbles soumis à des sollicitations particulières, iii) la manutention des charges de grande dimension, iv) le déplacement éventuel des engins en charge </w:t>
            </w:r>
          </w:p>
        </w:tc>
        <w:tc>
          <w:tcPr>
            <w:tcW w:w="987" w:type="dxa"/>
          </w:tcPr>
          <w:p w14:paraId="19D583D9" w14:textId="77777777" w:rsidR="00401546" w:rsidRPr="00A9330B" w:rsidRDefault="00401546" w:rsidP="00401546">
            <w:pPr>
              <w:spacing w:line="240" w:lineRule="auto"/>
              <w:jc w:val="center"/>
              <w:rPr>
                <w:rFonts w:cs="Arial"/>
              </w:rPr>
            </w:pPr>
            <w:r w:rsidRPr="00A9330B">
              <w:rPr>
                <w:rFonts w:cs="Arial"/>
              </w:rPr>
              <w:t xml:space="preserve">9 </w:t>
            </w:r>
          </w:p>
        </w:tc>
      </w:tr>
      <w:tr w:rsidR="00401546" w:rsidRPr="00A9330B" w14:paraId="04859492" w14:textId="77777777" w:rsidTr="00401546">
        <w:trPr>
          <w:trHeight w:val="262"/>
          <w:jc w:val="center"/>
        </w:trPr>
        <w:tc>
          <w:tcPr>
            <w:tcW w:w="9062" w:type="dxa"/>
            <w:gridSpan w:val="3"/>
            <w:shd w:val="clear" w:color="auto" w:fill="D9D9D9" w:themeFill="background1" w:themeFillShade="D9"/>
          </w:tcPr>
          <w:p w14:paraId="5A478351" w14:textId="77777777" w:rsidR="00401546" w:rsidRPr="00A9330B" w:rsidRDefault="00401546" w:rsidP="00401546">
            <w:pPr>
              <w:spacing w:line="240" w:lineRule="auto"/>
              <w:rPr>
                <w:rFonts w:cs="Arial"/>
                <w:b/>
              </w:rPr>
            </w:pPr>
            <w:r w:rsidRPr="00A9330B">
              <w:rPr>
                <w:rFonts w:cs="Arial"/>
                <w:b/>
              </w:rPr>
              <w:t xml:space="preserve">Aménagement des postes de travail </w:t>
            </w:r>
          </w:p>
        </w:tc>
      </w:tr>
      <w:tr w:rsidR="00401546" w:rsidRPr="00A9330B" w14:paraId="350D13B1" w14:textId="77777777" w:rsidTr="00401546">
        <w:trPr>
          <w:trHeight w:val="1265"/>
          <w:jc w:val="center"/>
        </w:trPr>
        <w:tc>
          <w:tcPr>
            <w:tcW w:w="3020" w:type="dxa"/>
          </w:tcPr>
          <w:p w14:paraId="13A145DC" w14:textId="4F202B94" w:rsidR="00401546" w:rsidRPr="00A9330B" w:rsidRDefault="00401546" w:rsidP="000F7BA7">
            <w:pPr>
              <w:spacing w:line="240" w:lineRule="auto"/>
              <w:jc w:val="both"/>
              <w:rPr>
                <w:rFonts w:cs="Arial"/>
              </w:rPr>
            </w:pPr>
            <w:r w:rsidRPr="00A9330B">
              <w:rPr>
                <w:rFonts w:cs="Arial"/>
              </w:rPr>
              <w:t xml:space="preserve">Prévenir les accidents  corporels et assurer la protection du personnel contre les piqûres, coupures, brûlures, projections diverses, etc.  </w:t>
            </w:r>
          </w:p>
        </w:tc>
        <w:tc>
          <w:tcPr>
            <w:tcW w:w="5055" w:type="dxa"/>
          </w:tcPr>
          <w:p w14:paraId="2D01D1D4" w14:textId="77777777" w:rsidR="00401546" w:rsidRPr="00A9330B" w:rsidRDefault="00401546" w:rsidP="000F7BA7">
            <w:pPr>
              <w:spacing w:line="240" w:lineRule="auto"/>
              <w:jc w:val="both"/>
              <w:rPr>
                <w:rFonts w:cs="Arial"/>
              </w:rPr>
            </w:pPr>
            <w:r w:rsidRPr="00A9330B">
              <w:rPr>
                <w:rFonts w:cs="Arial"/>
              </w:rPr>
              <w:t xml:space="preserve">Mise à disposition et port des équipements individuels de protection (gants, chaussures de sécurité, vêtements de travail, casques, etc) adapté à chaque type de tâches et en bon état  </w:t>
            </w:r>
          </w:p>
        </w:tc>
        <w:tc>
          <w:tcPr>
            <w:tcW w:w="987" w:type="dxa"/>
          </w:tcPr>
          <w:p w14:paraId="39DB81BD" w14:textId="77777777" w:rsidR="00401546" w:rsidRPr="00A9330B" w:rsidRDefault="00401546" w:rsidP="00401546">
            <w:pPr>
              <w:spacing w:line="240" w:lineRule="auto"/>
              <w:jc w:val="center"/>
              <w:rPr>
                <w:rFonts w:cs="Arial"/>
              </w:rPr>
            </w:pPr>
            <w:r w:rsidRPr="00A9330B">
              <w:rPr>
                <w:rFonts w:cs="Arial"/>
              </w:rPr>
              <w:t>4</w:t>
            </w:r>
          </w:p>
        </w:tc>
      </w:tr>
      <w:tr w:rsidR="00401546" w:rsidRPr="00A9330B" w14:paraId="243DFA62" w14:textId="77777777" w:rsidTr="00401546">
        <w:trPr>
          <w:trHeight w:val="588"/>
          <w:jc w:val="center"/>
        </w:trPr>
        <w:tc>
          <w:tcPr>
            <w:tcW w:w="3020" w:type="dxa"/>
            <w:vMerge w:val="restart"/>
          </w:tcPr>
          <w:p w14:paraId="51B93395" w14:textId="77777777" w:rsidR="00401546" w:rsidRPr="00A9330B" w:rsidRDefault="00401546" w:rsidP="000F7BA7">
            <w:pPr>
              <w:spacing w:line="240" w:lineRule="auto"/>
              <w:jc w:val="both"/>
              <w:rPr>
                <w:rFonts w:cs="Arial"/>
              </w:rPr>
            </w:pPr>
            <w:r w:rsidRPr="00A9330B">
              <w:rPr>
                <w:rFonts w:cs="Arial"/>
              </w:rPr>
              <w:t xml:space="preserve">Respecter les règles d’hygiènes et la protection aux aléas météorologiques </w:t>
            </w:r>
          </w:p>
        </w:tc>
        <w:tc>
          <w:tcPr>
            <w:tcW w:w="5055" w:type="dxa"/>
          </w:tcPr>
          <w:p w14:paraId="48FCC381" w14:textId="77777777" w:rsidR="00401546" w:rsidRPr="00A9330B" w:rsidRDefault="00401546" w:rsidP="000F7BA7">
            <w:pPr>
              <w:spacing w:line="240" w:lineRule="auto"/>
              <w:jc w:val="both"/>
              <w:rPr>
                <w:rFonts w:cs="Arial"/>
              </w:rPr>
            </w:pPr>
            <w:r w:rsidRPr="00A9330B">
              <w:rPr>
                <w:rFonts w:cs="Arial"/>
              </w:rPr>
              <w:t xml:space="preserve">Fournir un accès des ouvriers à des toilettes et un point d’eau, y compris l’eau de boisson </w:t>
            </w:r>
          </w:p>
        </w:tc>
        <w:tc>
          <w:tcPr>
            <w:tcW w:w="987" w:type="dxa"/>
            <w:vMerge w:val="restart"/>
          </w:tcPr>
          <w:p w14:paraId="23E506AE" w14:textId="77777777" w:rsidR="00401546" w:rsidRPr="00A9330B" w:rsidRDefault="00401546" w:rsidP="00401546">
            <w:pPr>
              <w:spacing w:line="240" w:lineRule="auto"/>
              <w:jc w:val="center"/>
              <w:rPr>
                <w:rFonts w:cs="Arial"/>
              </w:rPr>
            </w:pPr>
            <w:r w:rsidRPr="00A9330B">
              <w:rPr>
                <w:rFonts w:cs="Arial"/>
              </w:rPr>
              <w:t>7</w:t>
            </w:r>
          </w:p>
        </w:tc>
      </w:tr>
      <w:tr w:rsidR="00401546" w:rsidRPr="00A9330B" w14:paraId="0A1EB24E" w14:textId="77777777" w:rsidTr="00401546">
        <w:trPr>
          <w:trHeight w:val="412"/>
          <w:jc w:val="center"/>
        </w:trPr>
        <w:tc>
          <w:tcPr>
            <w:tcW w:w="3020" w:type="dxa"/>
            <w:vMerge/>
          </w:tcPr>
          <w:p w14:paraId="78BB4BC7" w14:textId="77777777" w:rsidR="00401546" w:rsidRPr="00A9330B" w:rsidRDefault="00401546" w:rsidP="000F7BA7">
            <w:pPr>
              <w:spacing w:line="240" w:lineRule="auto"/>
              <w:jc w:val="both"/>
              <w:rPr>
                <w:rFonts w:cs="Arial"/>
              </w:rPr>
            </w:pPr>
          </w:p>
        </w:tc>
        <w:tc>
          <w:tcPr>
            <w:tcW w:w="5055" w:type="dxa"/>
          </w:tcPr>
          <w:p w14:paraId="44570AC0" w14:textId="66025429" w:rsidR="00401546" w:rsidRPr="00A9330B" w:rsidRDefault="00401546" w:rsidP="000F7BA7">
            <w:pPr>
              <w:spacing w:line="240" w:lineRule="auto"/>
              <w:jc w:val="both"/>
              <w:rPr>
                <w:rFonts w:cs="Arial"/>
              </w:rPr>
            </w:pPr>
            <w:r w:rsidRPr="00A9330B">
              <w:rPr>
                <w:rFonts w:cs="Arial"/>
              </w:rPr>
              <w:t xml:space="preserve">Installation </w:t>
            </w:r>
            <w:r w:rsidR="009C5C1D" w:rsidRPr="00A9330B">
              <w:rPr>
                <w:rFonts w:cs="Arial"/>
              </w:rPr>
              <w:t>s</w:t>
            </w:r>
            <w:r w:rsidRPr="00A9330B">
              <w:rPr>
                <w:rFonts w:cs="Arial"/>
              </w:rPr>
              <w:t>ou</w:t>
            </w:r>
            <w:r w:rsidR="000515AE" w:rsidRPr="00A9330B">
              <w:rPr>
                <w:rFonts w:cs="Arial"/>
              </w:rPr>
              <w:t>m</w:t>
            </w:r>
            <w:r w:rsidRPr="00A9330B">
              <w:rPr>
                <w:rFonts w:cs="Arial"/>
              </w:rPr>
              <w:t xml:space="preserve">ise à disposition d’un bureau de chantier </w:t>
            </w:r>
          </w:p>
        </w:tc>
        <w:tc>
          <w:tcPr>
            <w:tcW w:w="987" w:type="dxa"/>
            <w:vMerge/>
          </w:tcPr>
          <w:p w14:paraId="5A445286" w14:textId="77777777" w:rsidR="00401546" w:rsidRPr="00A9330B" w:rsidRDefault="00401546" w:rsidP="00401546">
            <w:pPr>
              <w:spacing w:line="240" w:lineRule="auto"/>
              <w:jc w:val="center"/>
              <w:rPr>
                <w:rFonts w:cs="Arial"/>
              </w:rPr>
            </w:pPr>
          </w:p>
        </w:tc>
      </w:tr>
      <w:tr w:rsidR="00401546" w:rsidRPr="00A9330B" w14:paraId="64A0A2BA" w14:textId="77777777" w:rsidTr="00401546">
        <w:trPr>
          <w:trHeight w:val="264"/>
          <w:jc w:val="center"/>
        </w:trPr>
        <w:tc>
          <w:tcPr>
            <w:tcW w:w="3020" w:type="dxa"/>
            <w:vMerge/>
          </w:tcPr>
          <w:p w14:paraId="56AB02B9" w14:textId="77777777" w:rsidR="00401546" w:rsidRPr="00A9330B" w:rsidRDefault="00401546" w:rsidP="00401546">
            <w:pPr>
              <w:spacing w:line="240" w:lineRule="auto"/>
              <w:rPr>
                <w:rFonts w:cs="Arial"/>
              </w:rPr>
            </w:pPr>
          </w:p>
        </w:tc>
        <w:tc>
          <w:tcPr>
            <w:tcW w:w="5055" w:type="dxa"/>
          </w:tcPr>
          <w:p w14:paraId="7994495F" w14:textId="77777777" w:rsidR="00401546" w:rsidRPr="00A9330B" w:rsidRDefault="00401546" w:rsidP="00401546">
            <w:pPr>
              <w:spacing w:line="240" w:lineRule="auto"/>
              <w:rPr>
                <w:rFonts w:cs="Arial"/>
              </w:rPr>
            </w:pPr>
            <w:r w:rsidRPr="00A9330B">
              <w:rPr>
                <w:rFonts w:cs="Arial"/>
              </w:rPr>
              <w:t xml:space="preserve">Consigne d’hygiène et respect des temps de travail </w:t>
            </w:r>
          </w:p>
        </w:tc>
        <w:tc>
          <w:tcPr>
            <w:tcW w:w="987" w:type="dxa"/>
            <w:vMerge/>
          </w:tcPr>
          <w:p w14:paraId="48CFBD5E" w14:textId="77777777" w:rsidR="00401546" w:rsidRPr="00A9330B" w:rsidRDefault="00401546" w:rsidP="00401546">
            <w:pPr>
              <w:spacing w:line="240" w:lineRule="auto"/>
              <w:jc w:val="center"/>
              <w:rPr>
                <w:rFonts w:cs="Arial"/>
              </w:rPr>
            </w:pPr>
          </w:p>
        </w:tc>
      </w:tr>
      <w:tr w:rsidR="00401546" w:rsidRPr="00A9330B" w14:paraId="75020925" w14:textId="77777777" w:rsidTr="00401546">
        <w:trPr>
          <w:trHeight w:val="1265"/>
          <w:jc w:val="center"/>
        </w:trPr>
        <w:tc>
          <w:tcPr>
            <w:tcW w:w="3020" w:type="dxa"/>
          </w:tcPr>
          <w:p w14:paraId="018FA2C6" w14:textId="77777777" w:rsidR="00401546" w:rsidRPr="00A9330B" w:rsidRDefault="00401546" w:rsidP="000F7BA7">
            <w:pPr>
              <w:spacing w:line="240" w:lineRule="auto"/>
              <w:jc w:val="both"/>
              <w:rPr>
                <w:rFonts w:cs="Arial"/>
              </w:rPr>
            </w:pPr>
            <w:r w:rsidRPr="00A9330B">
              <w:rPr>
                <w:rFonts w:cs="Arial"/>
              </w:rPr>
              <w:t xml:space="preserve">Eviter les chutes de plain-pied et les chutes de hauteur ou leurs conséquences </w:t>
            </w:r>
          </w:p>
        </w:tc>
        <w:tc>
          <w:tcPr>
            <w:tcW w:w="5055" w:type="dxa"/>
          </w:tcPr>
          <w:p w14:paraId="7E643A4D" w14:textId="77777777" w:rsidR="00401546" w:rsidRPr="00A9330B" w:rsidRDefault="00401546" w:rsidP="000F7BA7">
            <w:pPr>
              <w:spacing w:line="240" w:lineRule="auto"/>
              <w:jc w:val="both"/>
              <w:rPr>
                <w:rFonts w:cs="Arial"/>
              </w:rPr>
            </w:pPr>
            <w:r w:rsidRPr="00A9330B">
              <w:rPr>
                <w:rFonts w:cs="Arial"/>
              </w:rPr>
              <w:t xml:space="preserve">Maintien du chantier en bon état de propreté </w:t>
            </w:r>
          </w:p>
          <w:p w14:paraId="661D9AE6" w14:textId="77777777" w:rsidR="00401546" w:rsidRPr="00A9330B" w:rsidRDefault="00401546" w:rsidP="000F7BA7">
            <w:pPr>
              <w:spacing w:line="240" w:lineRule="auto"/>
              <w:jc w:val="both"/>
              <w:rPr>
                <w:rFonts w:cs="Arial"/>
              </w:rPr>
            </w:pPr>
            <w:r w:rsidRPr="00A9330B">
              <w:rPr>
                <w:rFonts w:cs="Arial"/>
              </w:rPr>
              <w:t xml:space="preserve">Mise en place et utilisation des équipements individuels assurant le déplacement et la stabilité des ouvriers en élévation (harnais, filets, passerelles, etc.) </w:t>
            </w:r>
          </w:p>
        </w:tc>
        <w:tc>
          <w:tcPr>
            <w:tcW w:w="987" w:type="dxa"/>
          </w:tcPr>
          <w:p w14:paraId="18CC69C2" w14:textId="77777777" w:rsidR="00401546" w:rsidRPr="00A9330B" w:rsidRDefault="00401546" w:rsidP="00401546">
            <w:pPr>
              <w:spacing w:line="240" w:lineRule="auto"/>
              <w:jc w:val="center"/>
              <w:rPr>
                <w:rFonts w:cs="Arial"/>
              </w:rPr>
            </w:pPr>
            <w:r w:rsidRPr="00A9330B">
              <w:rPr>
                <w:rFonts w:cs="Arial"/>
              </w:rPr>
              <w:t>5</w:t>
            </w:r>
          </w:p>
        </w:tc>
      </w:tr>
      <w:tr w:rsidR="00401546" w:rsidRPr="00A9330B" w14:paraId="13915AA3" w14:textId="77777777" w:rsidTr="00401546">
        <w:trPr>
          <w:trHeight w:val="1265"/>
          <w:jc w:val="center"/>
        </w:trPr>
        <w:tc>
          <w:tcPr>
            <w:tcW w:w="3020" w:type="dxa"/>
          </w:tcPr>
          <w:p w14:paraId="6A25D031" w14:textId="77777777" w:rsidR="00401546" w:rsidRPr="00A9330B" w:rsidRDefault="00401546" w:rsidP="000F7BA7">
            <w:pPr>
              <w:spacing w:line="240" w:lineRule="auto"/>
              <w:jc w:val="both"/>
              <w:rPr>
                <w:rFonts w:cs="Arial"/>
              </w:rPr>
            </w:pPr>
            <w:r w:rsidRPr="00A9330B">
              <w:rPr>
                <w:rFonts w:cs="Arial"/>
              </w:rPr>
              <w:t xml:space="preserve">Assurer la protection du personnel utilisant des outils portatifs contre les risques de heurt, de projection de particules, d’électrisation, etc. </w:t>
            </w:r>
          </w:p>
        </w:tc>
        <w:tc>
          <w:tcPr>
            <w:tcW w:w="5055" w:type="dxa"/>
          </w:tcPr>
          <w:p w14:paraId="47B0DC77" w14:textId="77777777" w:rsidR="00401546" w:rsidRPr="00A9330B" w:rsidRDefault="00401546" w:rsidP="000F7BA7">
            <w:pPr>
              <w:spacing w:line="240" w:lineRule="auto"/>
              <w:jc w:val="both"/>
              <w:rPr>
                <w:rFonts w:cs="Arial"/>
              </w:rPr>
            </w:pPr>
            <w:r w:rsidRPr="00A9330B">
              <w:rPr>
                <w:rFonts w:cs="Arial"/>
              </w:rPr>
              <w:t xml:space="preserve">Description des dispositifs et précautions à prendre pour empêcher : </w:t>
            </w:r>
          </w:p>
          <w:p w14:paraId="670693F3" w14:textId="77777777" w:rsidR="00401546" w:rsidRPr="00A9330B" w:rsidRDefault="00401546" w:rsidP="00BD2F72">
            <w:pPr>
              <w:numPr>
                <w:ilvl w:val="0"/>
                <w:numId w:val="51"/>
              </w:numPr>
              <w:spacing w:line="240" w:lineRule="auto"/>
              <w:ind w:left="0"/>
              <w:contextualSpacing/>
              <w:jc w:val="both"/>
              <w:rPr>
                <w:rFonts w:cs="Arial"/>
              </w:rPr>
            </w:pPr>
            <w:r w:rsidRPr="00A9330B">
              <w:rPr>
                <w:rFonts w:cs="Arial"/>
              </w:rPr>
              <w:t xml:space="preserve">La projection des pièces ou particules vers l’ouvrier ; </w:t>
            </w:r>
          </w:p>
          <w:p w14:paraId="0266BF80" w14:textId="77777777" w:rsidR="00401546" w:rsidRPr="00A9330B" w:rsidRDefault="00401546" w:rsidP="00BD2F72">
            <w:pPr>
              <w:numPr>
                <w:ilvl w:val="0"/>
                <w:numId w:val="51"/>
              </w:numPr>
              <w:spacing w:line="240" w:lineRule="auto"/>
              <w:ind w:left="0"/>
              <w:contextualSpacing/>
              <w:jc w:val="both"/>
              <w:rPr>
                <w:rFonts w:cs="Arial"/>
              </w:rPr>
            </w:pPr>
            <w:r w:rsidRPr="00A9330B">
              <w:rPr>
                <w:rFonts w:cs="Arial"/>
              </w:rPr>
              <w:t xml:space="preserve">L’entrainement de la machine ou de la pièce en cas de blocage de l’outil ; </w:t>
            </w:r>
          </w:p>
          <w:p w14:paraId="3ACD4C65" w14:textId="77777777" w:rsidR="00401546" w:rsidRPr="00A9330B" w:rsidRDefault="00401546" w:rsidP="00BD2F72">
            <w:pPr>
              <w:numPr>
                <w:ilvl w:val="0"/>
                <w:numId w:val="51"/>
              </w:numPr>
              <w:spacing w:line="240" w:lineRule="auto"/>
              <w:ind w:left="0"/>
              <w:contextualSpacing/>
              <w:jc w:val="both"/>
              <w:rPr>
                <w:rFonts w:cs="Arial"/>
              </w:rPr>
            </w:pPr>
            <w:r w:rsidRPr="00A9330B">
              <w:rPr>
                <w:rFonts w:cs="Arial"/>
              </w:rPr>
              <w:t xml:space="preserve">L’électrisation du personnel, la rupture intempestive des canalisations de fluides sous pression. </w:t>
            </w:r>
          </w:p>
          <w:p w14:paraId="70F88FB0" w14:textId="77777777" w:rsidR="00401546" w:rsidRPr="00A9330B" w:rsidRDefault="00401546" w:rsidP="00BD2F72">
            <w:pPr>
              <w:numPr>
                <w:ilvl w:val="0"/>
                <w:numId w:val="51"/>
              </w:numPr>
              <w:spacing w:line="240" w:lineRule="auto"/>
              <w:ind w:left="0"/>
              <w:contextualSpacing/>
              <w:jc w:val="both"/>
              <w:rPr>
                <w:rFonts w:cs="Arial"/>
              </w:rPr>
            </w:pPr>
            <w:r w:rsidRPr="00A9330B">
              <w:rPr>
                <w:rFonts w:cs="Arial"/>
              </w:rPr>
              <w:t xml:space="preserve">Description des plates-formes nécessaires pour utiliser un matériel particulier </w:t>
            </w:r>
          </w:p>
          <w:p w14:paraId="0AAD5158" w14:textId="0167310A" w:rsidR="00401546" w:rsidRPr="00A9330B" w:rsidRDefault="00401546" w:rsidP="00BD2F72">
            <w:pPr>
              <w:numPr>
                <w:ilvl w:val="0"/>
                <w:numId w:val="51"/>
              </w:numPr>
              <w:spacing w:line="240" w:lineRule="auto"/>
              <w:ind w:left="0"/>
              <w:contextualSpacing/>
              <w:jc w:val="both"/>
              <w:rPr>
                <w:rFonts w:cs="Arial"/>
              </w:rPr>
            </w:pPr>
            <w:r w:rsidRPr="00A9330B">
              <w:rPr>
                <w:rFonts w:cs="Arial"/>
              </w:rPr>
              <w:t>Consignes relatives au port des vêtements de protection individuelle adaptés</w:t>
            </w:r>
          </w:p>
        </w:tc>
        <w:tc>
          <w:tcPr>
            <w:tcW w:w="987" w:type="dxa"/>
          </w:tcPr>
          <w:p w14:paraId="361660EE" w14:textId="77777777" w:rsidR="00401546" w:rsidRPr="00A9330B" w:rsidRDefault="00401546" w:rsidP="00401546">
            <w:pPr>
              <w:spacing w:line="240" w:lineRule="auto"/>
              <w:jc w:val="center"/>
              <w:rPr>
                <w:rFonts w:cs="Arial"/>
              </w:rPr>
            </w:pPr>
            <w:r w:rsidRPr="00A9330B">
              <w:rPr>
                <w:rFonts w:cs="Arial"/>
              </w:rPr>
              <w:t xml:space="preserve">1, 2, 3, 11 </w:t>
            </w:r>
          </w:p>
        </w:tc>
      </w:tr>
    </w:tbl>
    <w:p w14:paraId="4A4EE054" w14:textId="77777777" w:rsidR="00401546" w:rsidRPr="00A9330B" w:rsidRDefault="00401546" w:rsidP="00B33ED3">
      <w:pPr>
        <w:spacing w:before="0"/>
      </w:pPr>
    </w:p>
    <w:p w14:paraId="4F00CA6F" w14:textId="77777777" w:rsidR="00401546" w:rsidRPr="00A9330B" w:rsidRDefault="00401546" w:rsidP="00401546">
      <w:pPr>
        <w:suppressAutoHyphens/>
        <w:spacing w:line="240" w:lineRule="auto"/>
        <w:ind w:left="720"/>
        <w:outlineLvl w:val="2"/>
        <w:rPr>
          <w:rFonts w:eastAsiaTheme="majorEastAsia" w:cstheme="majorBidi"/>
          <w:i/>
          <w:color w:val="auto"/>
          <w:sz w:val="26"/>
          <w:szCs w:val="24"/>
        </w:rPr>
      </w:pPr>
      <w:bookmarkStart w:id="1976" w:name="_Toc531434260"/>
      <w:bookmarkStart w:id="1977" w:name="_Toc535244634"/>
      <w:bookmarkStart w:id="1978" w:name="_Toc43697714"/>
      <w:bookmarkStart w:id="1979" w:name="_Toc52869717"/>
      <w:r w:rsidRPr="00A9330B">
        <w:rPr>
          <w:rFonts w:eastAsiaTheme="majorEastAsia" w:cstheme="majorBidi"/>
          <w:i/>
          <w:color w:val="auto"/>
          <w:sz w:val="26"/>
          <w:szCs w:val="24"/>
        </w:rPr>
        <w:t>9.14. Analyse des risques spécifiques liés à l’exploitation</w:t>
      </w:r>
      <w:bookmarkEnd w:id="1976"/>
      <w:bookmarkEnd w:id="1977"/>
      <w:bookmarkEnd w:id="1978"/>
      <w:bookmarkEnd w:id="1979"/>
      <w:r w:rsidRPr="00A9330B">
        <w:rPr>
          <w:rFonts w:eastAsiaTheme="majorEastAsia" w:cstheme="majorBidi"/>
          <w:i/>
          <w:color w:val="auto"/>
          <w:sz w:val="26"/>
          <w:szCs w:val="24"/>
        </w:rPr>
        <w:t xml:space="preserve">  </w:t>
      </w:r>
    </w:p>
    <w:p w14:paraId="6C62EEF2" w14:textId="77777777" w:rsidR="00401546" w:rsidRPr="00A9330B" w:rsidRDefault="00401546" w:rsidP="00401546">
      <w:pPr>
        <w:jc w:val="both"/>
      </w:pPr>
      <w:r w:rsidRPr="00A9330B">
        <w:t xml:space="preserve">En rappel, on distingue les 3 catégories d’activités suivantes liées à l’exploitation : </w:t>
      </w:r>
    </w:p>
    <w:p w14:paraId="2A75A5F6" w14:textId="77777777" w:rsidR="00401546" w:rsidRPr="00A9330B" w:rsidRDefault="00401546" w:rsidP="00BD2F72">
      <w:pPr>
        <w:numPr>
          <w:ilvl w:val="0"/>
          <w:numId w:val="71"/>
        </w:numPr>
        <w:overflowPunct w:val="0"/>
        <w:autoSpaceDE w:val="0"/>
        <w:autoSpaceDN w:val="0"/>
        <w:adjustRightInd w:val="0"/>
        <w:spacing w:line="288" w:lineRule="auto"/>
        <w:contextualSpacing/>
        <w:jc w:val="both"/>
        <w:rPr>
          <w:rFonts w:eastAsia="Times New Roman" w:cs="Times New Roman"/>
          <w:color w:val="auto"/>
          <w:szCs w:val="20"/>
          <w:lang w:eastAsia="de-DE"/>
        </w:rPr>
      </w:pPr>
      <w:r w:rsidRPr="00A9330B">
        <w:rPr>
          <w:rFonts w:eastAsia="Times New Roman" w:cs="Times New Roman"/>
          <w:color w:val="auto"/>
          <w:szCs w:val="20"/>
          <w:lang w:eastAsia="de-DE"/>
        </w:rPr>
        <w:lastRenderedPageBreak/>
        <w:t>le fonctionnement de l’ouvrage de drainage, l’écoulement normal de l’eau et l’entretien de la canalisation ;</w:t>
      </w:r>
    </w:p>
    <w:p w14:paraId="7E6CA581" w14:textId="77777777" w:rsidR="00401546" w:rsidRPr="00A9330B" w:rsidRDefault="00401546" w:rsidP="00BD2F72">
      <w:pPr>
        <w:numPr>
          <w:ilvl w:val="0"/>
          <w:numId w:val="71"/>
        </w:numPr>
        <w:overflowPunct w:val="0"/>
        <w:autoSpaceDE w:val="0"/>
        <w:autoSpaceDN w:val="0"/>
        <w:adjustRightInd w:val="0"/>
        <w:spacing w:line="288" w:lineRule="auto"/>
        <w:contextualSpacing/>
        <w:jc w:val="both"/>
        <w:rPr>
          <w:rFonts w:eastAsia="Times New Roman" w:cs="Times New Roman"/>
          <w:color w:val="auto"/>
          <w:szCs w:val="20"/>
          <w:lang w:eastAsia="de-DE"/>
        </w:rPr>
      </w:pPr>
      <w:r w:rsidRPr="00A9330B">
        <w:rPr>
          <w:rFonts w:eastAsia="Times New Roman" w:cs="Times New Roman"/>
          <w:color w:val="auto"/>
          <w:szCs w:val="20"/>
          <w:lang w:eastAsia="de-DE"/>
        </w:rPr>
        <w:t>l’entretien de l’exutoire (désherbage, enlèvement des déchets divers et  dégagement de l’emprise ;</w:t>
      </w:r>
    </w:p>
    <w:p w14:paraId="29164F95" w14:textId="77777777" w:rsidR="00401546" w:rsidRPr="00A9330B" w:rsidRDefault="00401546" w:rsidP="00BD2F72">
      <w:pPr>
        <w:numPr>
          <w:ilvl w:val="0"/>
          <w:numId w:val="71"/>
        </w:numPr>
        <w:overflowPunct w:val="0"/>
        <w:autoSpaceDE w:val="0"/>
        <w:autoSpaceDN w:val="0"/>
        <w:adjustRightInd w:val="0"/>
        <w:spacing w:line="288" w:lineRule="auto"/>
        <w:contextualSpacing/>
        <w:jc w:val="both"/>
        <w:rPr>
          <w:rFonts w:eastAsia="Times New Roman" w:cs="Times New Roman"/>
          <w:color w:val="auto"/>
          <w:szCs w:val="20"/>
          <w:lang w:eastAsia="de-DE"/>
        </w:rPr>
      </w:pPr>
      <w:r w:rsidRPr="00A9330B">
        <w:rPr>
          <w:rFonts w:eastAsia="Times New Roman" w:cs="Times New Roman"/>
          <w:color w:val="auto"/>
          <w:szCs w:val="20"/>
          <w:lang w:eastAsia="de-DE"/>
        </w:rPr>
        <w:t>l’entretien périodique et les réparations sur le réseau de collecteur et les rues (les dégradations, les regards, les couvercles de regards, le nettoyage des rues).</w:t>
      </w:r>
    </w:p>
    <w:p w14:paraId="57F7DB92" w14:textId="77777777" w:rsidR="00401546" w:rsidRPr="00A9330B" w:rsidRDefault="00401546" w:rsidP="00401546">
      <w:pPr>
        <w:jc w:val="both"/>
      </w:pPr>
      <w:r w:rsidRPr="00A9330B">
        <w:t xml:space="preserve">Les principaux dangers et ENS sont présentés pour les catégories d’activités 1 à 3 dans des tableaux récapitulatifs dans l’ordre de </w:t>
      </w:r>
      <w:r w:rsidRPr="00A9330B">
        <w:rPr>
          <w:u w:val="single"/>
        </w:rPr>
        <w:t>probabilité et de gravité décroissantes</w:t>
      </w:r>
      <w:r w:rsidRPr="00A9330B">
        <w:t xml:space="preserve">. </w:t>
      </w:r>
    </w:p>
    <w:p w14:paraId="5AAF6513" w14:textId="5F373664" w:rsidR="00401546" w:rsidRPr="00A9330B" w:rsidRDefault="00401546" w:rsidP="00401546">
      <w:pPr>
        <w:jc w:val="both"/>
      </w:pPr>
      <w:r w:rsidRPr="00A9330B">
        <w:t>Par ailleurs, les risques sur les biens et l’environnement sont identiques à ceux identifiés pour la phase travaux avec une probabilité d’occurrence moindre, dans la mesure où les activités liées aux risques sont moins fréquentes (déplacement, interventions ponctuelle</w:t>
      </w:r>
      <w:r w:rsidR="000515AE" w:rsidRPr="00A9330B">
        <w:t>s</w:t>
      </w:r>
      <w:r w:rsidRPr="00A9330B">
        <w:t xml:space="preserve"> ou périodique</w:t>
      </w:r>
      <w:r w:rsidR="000515AE" w:rsidRPr="00A9330B">
        <w:t>s</w:t>
      </w:r>
      <w:r w:rsidRPr="00A9330B">
        <w:t>).</w:t>
      </w:r>
    </w:p>
    <w:p w14:paraId="54B7D1D8" w14:textId="24B0D81F" w:rsidR="00401546" w:rsidRPr="00A9330B" w:rsidRDefault="00401546" w:rsidP="00401546">
      <w:pPr>
        <w:keepNext/>
        <w:spacing w:after="120" w:line="240" w:lineRule="auto"/>
        <w:jc w:val="center"/>
        <w:rPr>
          <w:rFonts w:eastAsia="Times New Roman" w:cs="Arial"/>
          <w:b/>
          <w:color w:val="000000"/>
          <w:sz w:val="20"/>
          <w:szCs w:val="20"/>
          <w:lang w:eastAsia="fr-FR"/>
        </w:rPr>
      </w:pPr>
      <w:bookmarkStart w:id="1980" w:name="_Toc472330407"/>
      <w:bookmarkStart w:id="1981" w:name="_Toc523424641"/>
      <w:bookmarkStart w:id="1982" w:name="_Toc523582326"/>
      <w:bookmarkStart w:id="1983" w:name="_Toc524462747"/>
      <w:bookmarkStart w:id="1984" w:name="_Toc528892442"/>
      <w:bookmarkStart w:id="1985" w:name="_Toc529219566"/>
      <w:bookmarkStart w:id="1986" w:name="_Toc529249290"/>
      <w:bookmarkStart w:id="1987" w:name="_Toc531434261"/>
      <w:bookmarkStart w:id="1988" w:name="_Toc533058629"/>
      <w:bookmarkStart w:id="1989" w:name="_Toc535237442"/>
      <w:bookmarkStart w:id="1990" w:name="_Toc43696268"/>
      <w:bookmarkStart w:id="1991" w:name="_Toc52873781"/>
      <w:r w:rsidRPr="00A9330B">
        <w:rPr>
          <w:rFonts w:eastAsia="Times New Roman" w:cs="Arial"/>
          <w:b/>
          <w:color w:val="000000"/>
          <w:sz w:val="20"/>
          <w:szCs w:val="20"/>
          <w:lang w:eastAsia="fr-FR"/>
        </w:rPr>
        <w:t xml:space="preserve">Tableau </w:t>
      </w:r>
      <w:r w:rsidRPr="00A9330B">
        <w:rPr>
          <w:rFonts w:eastAsia="Times New Roman" w:cs="Arial"/>
          <w:b/>
          <w:color w:val="000000"/>
          <w:sz w:val="20"/>
          <w:szCs w:val="20"/>
          <w:lang w:eastAsia="fr-FR"/>
        </w:rPr>
        <w:fldChar w:fldCharType="begin"/>
      </w:r>
      <w:r w:rsidRPr="00A9330B">
        <w:rPr>
          <w:rFonts w:eastAsia="Times New Roman" w:cs="Arial"/>
          <w:b/>
          <w:color w:val="000000"/>
          <w:sz w:val="20"/>
          <w:szCs w:val="20"/>
          <w:lang w:eastAsia="fr-FR"/>
        </w:rPr>
        <w:instrText xml:space="preserve"> SEQ Tableau \* ARABIC </w:instrText>
      </w:r>
      <w:r w:rsidRPr="00A9330B">
        <w:rPr>
          <w:rFonts w:eastAsia="Times New Roman" w:cs="Arial"/>
          <w:b/>
          <w:color w:val="000000"/>
          <w:sz w:val="20"/>
          <w:szCs w:val="20"/>
          <w:lang w:eastAsia="fr-FR"/>
        </w:rPr>
        <w:fldChar w:fldCharType="separate"/>
      </w:r>
      <w:r w:rsidR="00417D31" w:rsidRPr="00A9330B">
        <w:rPr>
          <w:rFonts w:eastAsia="Times New Roman" w:cs="Arial"/>
          <w:b/>
          <w:noProof/>
          <w:color w:val="000000"/>
          <w:sz w:val="20"/>
          <w:szCs w:val="20"/>
          <w:lang w:eastAsia="fr-FR"/>
        </w:rPr>
        <w:t>57</w:t>
      </w:r>
      <w:r w:rsidRPr="00A9330B">
        <w:rPr>
          <w:rFonts w:eastAsia="Times New Roman" w:cs="Arial"/>
          <w:b/>
          <w:color w:val="000000"/>
          <w:sz w:val="20"/>
          <w:szCs w:val="20"/>
          <w:lang w:eastAsia="fr-FR"/>
        </w:rPr>
        <w:fldChar w:fldCharType="end"/>
      </w:r>
      <w:r w:rsidRPr="00A9330B">
        <w:rPr>
          <w:rFonts w:eastAsia="Times New Roman" w:cs="Arial"/>
          <w:b/>
          <w:color w:val="000000"/>
          <w:sz w:val="20"/>
          <w:szCs w:val="20"/>
          <w:lang w:eastAsia="fr-FR"/>
        </w:rPr>
        <w:t> : Analyse des risques liés à l’exploitation</w:t>
      </w:r>
      <w:bookmarkEnd w:id="1980"/>
      <w:bookmarkEnd w:id="1981"/>
      <w:bookmarkEnd w:id="1982"/>
      <w:bookmarkEnd w:id="1983"/>
      <w:bookmarkEnd w:id="1984"/>
      <w:bookmarkEnd w:id="1985"/>
      <w:bookmarkEnd w:id="1986"/>
      <w:bookmarkEnd w:id="1987"/>
      <w:bookmarkEnd w:id="1988"/>
      <w:bookmarkEnd w:id="1989"/>
      <w:bookmarkEnd w:id="1990"/>
      <w:bookmarkEnd w:id="1991"/>
    </w:p>
    <w:tbl>
      <w:tblPr>
        <w:tblStyle w:val="Grilledutableau12"/>
        <w:tblW w:w="5241" w:type="pct"/>
        <w:jc w:val="center"/>
        <w:tblLayout w:type="fixed"/>
        <w:tblLook w:val="04A0" w:firstRow="1" w:lastRow="0" w:firstColumn="1" w:lastColumn="0" w:noHBand="0" w:noVBand="1"/>
      </w:tblPr>
      <w:tblGrid>
        <w:gridCol w:w="1705"/>
        <w:gridCol w:w="567"/>
        <w:gridCol w:w="2225"/>
        <w:gridCol w:w="2881"/>
        <w:gridCol w:w="708"/>
        <w:gridCol w:w="566"/>
        <w:gridCol w:w="845"/>
      </w:tblGrid>
      <w:tr w:rsidR="00401546" w:rsidRPr="00A9330B" w14:paraId="5690EB8A" w14:textId="77777777" w:rsidTr="00401546">
        <w:trPr>
          <w:jc w:val="center"/>
        </w:trPr>
        <w:tc>
          <w:tcPr>
            <w:tcW w:w="897" w:type="pct"/>
            <w:vMerge w:val="restart"/>
            <w:shd w:val="clear" w:color="auto" w:fill="FF6600"/>
          </w:tcPr>
          <w:p w14:paraId="2AFA2E9A" w14:textId="77777777" w:rsidR="00401546" w:rsidRPr="00A9330B" w:rsidRDefault="00401546" w:rsidP="00401546">
            <w:pPr>
              <w:spacing w:line="240" w:lineRule="auto"/>
              <w:jc w:val="center"/>
              <w:rPr>
                <w:rFonts w:cs="Arial"/>
                <w:b/>
                <w:color w:val="FFFFFF" w:themeColor="background1"/>
                <w:sz w:val="18"/>
                <w:szCs w:val="18"/>
              </w:rPr>
            </w:pPr>
            <w:r w:rsidRPr="00A9330B">
              <w:rPr>
                <w:rFonts w:cs="Arial"/>
                <w:b/>
                <w:color w:val="FFFFFF" w:themeColor="background1"/>
                <w:sz w:val="18"/>
                <w:szCs w:val="18"/>
              </w:rPr>
              <w:t xml:space="preserve">Activités </w:t>
            </w:r>
          </w:p>
        </w:tc>
        <w:tc>
          <w:tcPr>
            <w:tcW w:w="298" w:type="pct"/>
            <w:vMerge w:val="restart"/>
            <w:shd w:val="clear" w:color="auto" w:fill="FF6600"/>
          </w:tcPr>
          <w:p w14:paraId="5ADA8955" w14:textId="77777777" w:rsidR="00401546" w:rsidRPr="00A9330B" w:rsidRDefault="00401546" w:rsidP="00401546">
            <w:pPr>
              <w:spacing w:line="240" w:lineRule="auto"/>
              <w:jc w:val="center"/>
              <w:rPr>
                <w:rFonts w:cs="Arial"/>
                <w:b/>
                <w:color w:val="FFFFFF" w:themeColor="background1"/>
                <w:sz w:val="18"/>
                <w:szCs w:val="18"/>
              </w:rPr>
            </w:pPr>
            <w:r w:rsidRPr="00A9330B">
              <w:rPr>
                <w:rFonts w:cs="Arial"/>
                <w:b/>
                <w:color w:val="FFFFFF" w:themeColor="background1"/>
                <w:sz w:val="18"/>
                <w:szCs w:val="18"/>
              </w:rPr>
              <w:t>N°</w:t>
            </w:r>
          </w:p>
        </w:tc>
        <w:tc>
          <w:tcPr>
            <w:tcW w:w="1171" w:type="pct"/>
            <w:vMerge w:val="restart"/>
            <w:shd w:val="clear" w:color="auto" w:fill="FF6600"/>
          </w:tcPr>
          <w:p w14:paraId="0CD37559" w14:textId="77777777" w:rsidR="00401546" w:rsidRPr="00A9330B" w:rsidRDefault="00401546" w:rsidP="00401546">
            <w:pPr>
              <w:spacing w:line="240" w:lineRule="auto"/>
              <w:jc w:val="center"/>
              <w:rPr>
                <w:rFonts w:cs="Arial"/>
                <w:b/>
                <w:color w:val="FFFFFF" w:themeColor="background1"/>
                <w:sz w:val="18"/>
                <w:szCs w:val="18"/>
              </w:rPr>
            </w:pPr>
            <w:r w:rsidRPr="00A9330B">
              <w:rPr>
                <w:rFonts w:cs="Arial"/>
                <w:b/>
                <w:color w:val="FFFFFF" w:themeColor="background1"/>
                <w:sz w:val="18"/>
                <w:szCs w:val="18"/>
              </w:rPr>
              <w:t xml:space="preserve">Principales situations de danger </w:t>
            </w:r>
          </w:p>
        </w:tc>
        <w:tc>
          <w:tcPr>
            <w:tcW w:w="1517" w:type="pct"/>
            <w:vMerge w:val="restart"/>
            <w:shd w:val="clear" w:color="auto" w:fill="FF6600"/>
          </w:tcPr>
          <w:p w14:paraId="2749874A" w14:textId="7E9CE26D" w:rsidR="00401546" w:rsidRPr="00A9330B" w:rsidRDefault="00401546" w:rsidP="00401546">
            <w:pPr>
              <w:spacing w:line="240" w:lineRule="auto"/>
              <w:jc w:val="center"/>
              <w:rPr>
                <w:rFonts w:cs="Arial"/>
                <w:b/>
                <w:color w:val="FFFFFF" w:themeColor="background1"/>
                <w:sz w:val="18"/>
                <w:szCs w:val="18"/>
              </w:rPr>
            </w:pPr>
            <w:r w:rsidRPr="00A9330B">
              <w:rPr>
                <w:rFonts w:cs="Arial"/>
                <w:b/>
                <w:color w:val="FFFFFF" w:themeColor="background1"/>
                <w:sz w:val="18"/>
                <w:szCs w:val="18"/>
              </w:rPr>
              <w:t>Evènements non souhaitable</w:t>
            </w:r>
            <w:r w:rsidR="00F67E71" w:rsidRPr="00A9330B">
              <w:rPr>
                <w:rFonts w:cs="Arial"/>
                <w:b/>
                <w:color w:val="FFFFFF" w:themeColor="background1"/>
                <w:sz w:val="18"/>
                <w:szCs w:val="18"/>
              </w:rPr>
              <w:t>s</w:t>
            </w:r>
            <w:r w:rsidRPr="00A9330B">
              <w:rPr>
                <w:rFonts w:cs="Arial"/>
                <w:b/>
                <w:color w:val="FFFFFF" w:themeColor="background1"/>
                <w:sz w:val="18"/>
                <w:szCs w:val="18"/>
              </w:rPr>
              <w:t xml:space="preserve"> (ENS)/Impact sur les biens ou l’environnement  </w:t>
            </w:r>
          </w:p>
        </w:tc>
        <w:tc>
          <w:tcPr>
            <w:tcW w:w="1116" w:type="pct"/>
            <w:gridSpan w:val="3"/>
            <w:shd w:val="clear" w:color="auto" w:fill="FF6600"/>
          </w:tcPr>
          <w:p w14:paraId="4AD7DEF3" w14:textId="77777777" w:rsidR="00401546" w:rsidRPr="00A9330B" w:rsidRDefault="00401546" w:rsidP="00401546">
            <w:pPr>
              <w:spacing w:line="240" w:lineRule="auto"/>
              <w:jc w:val="center"/>
              <w:rPr>
                <w:rFonts w:cs="Arial"/>
                <w:b/>
                <w:color w:val="FFFFFF" w:themeColor="background1"/>
                <w:sz w:val="18"/>
                <w:szCs w:val="18"/>
              </w:rPr>
            </w:pPr>
            <w:r w:rsidRPr="00A9330B">
              <w:rPr>
                <w:rFonts w:cs="Arial"/>
                <w:b/>
                <w:color w:val="FFFFFF" w:themeColor="background1"/>
                <w:sz w:val="18"/>
                <w:szCs w:val="18"/>
              </w:rPr>
              <w:t xml:space="preserve">Evaluation du risque </w:t>
            </w:r>
          </w:p>
        </w:tc>
      </w:tr>
      <w:tr w:rsidR="00401546" w:rsidRPr="00A9330B" w14:paraId="7AFCA25B" w14:textId="77777777" w:rsidTr="00401546">
        <w:trPr>
          <w:jc w:val="center"/>
        </w:trPr>
        <w:tc>
          <w:tcPr>
            <w:tcW w:w="897" w:type="pct"/>
            <w:vMerge/>
            <w:shd w:val="clear" w:color="auto" w:fill="F4B083" w:themeFill="accent2" w:themeFillTint="99"/>
          </w:tcPr>
          <w:p w14:paraId="10A8F01E" w14:textId="77777777" w:rsidR="00401546" w:rsidRPr="00A9330B" w:rsidRDefault="00401546" w:rsidP="00401546">
            <w:pPr>
              <w:spacing w:line="240" w:lineRule="auto"/>
              <w:rPr>
                <w:rFonts w:cs="Arial"/>
                <w:color w:val="FFFFFF" w:themeColor="background1"/>
                <w:sz w:val="18"/>
                <w:szCs w:val="18"/>
              </w:rPr>
            </w:pPr>
          </w:p>
        </w:tc>
        <w:tc>
          <w:tcPr>
            <w:tcW w:w="298" w:type="pct"/>
            <w:vMerge/>
            <w:shd w:val="clear" w:color="auto" w:fill="F4B083" w:themeFill="accent2" w:themeFillTint="99"/>
          </w:tcPr>
          <w:p w14:paraId="3C10605A" w14:textId="77777777" w:rsidR="00401546" w:rsidRPr="00A9330B" w:rsidRDefault="00401546" w:rsidP="00401546">
            <w:pPr>
              <w:spacing w:line="240" w:lineRule="auto"/>
              <w:jc w:val="center"/>
              <w:rPr>
                <w:rFonts w:cs="Arial"/>
                <w:color w:val="FFFFFF" w:themeColor="background1"/>
                <w:sz w:val="18"/>
                <w:szCs w:val="18"/>
              </w:rPr>
            </w:pPr>
          </w:p>
        </w:tc>
        <w:tc>
          <w:tcPr>
            <w:tcW w:w="1171" w:type="pct"/>
            <w:vMerge/>
            <w:shd w:val="clear" w:color="auto" w:fill="F4B083" w:themeFill="accent2" w:themeFillTint="99"/>
          </w:tcPr>
          <w:p w14:paraId="5B4D320A" w14:textId="77777777" w:rsidR="00401546" w:rsidRPr="00A9330B" w:rsidRDefault="00401546" w:rsidP="00401546">
            <w:pPr>
              <w:spacing w:line="240" w:lineRule="auto"/>
              <w:rPr>
                <w:rFonts w:cs="Arial"/>
                <w:color w:val="FFFFFF" w:themeColor="background1"/>
                <w:sz w:val="18"/>
                <w:szCs w:val="18"/>
              </w:rPr>
            </w:pPr>
          </w:p>
        </w:tc>
        <w:tc>
          <w:tcPr>
            <w:tcW w:w="1517" w:type="pct"/>
            <w:vMerge/>
            <w:shd w:val="clear" w:color="auto" w:fill="F4B083" w:themeFill="accent2" w:themeFillTint="99"/>
          </w:tcPr>
          <w:p w14:paraId="3B857F34" w14:textId="77777777" w:rsidR="00401546" w:rsidRPr="00A9330B" w:rsidRDefault="00401546" w:rsidP="00401546">
            <w:pPr>
              <w:spacing w:line="240" w:lineRule="auto"/>
              <w:rPr>
                <w:rFonts w:cs="Arial"/>
                <w:color w:val="FFFFFF" w:themeColor="background1"/>
                <w:sz w:val="18"/>
                <w:szCs w:val="18"/>
              </w:rPr>
            </w:pPr>
          </w:p>
        </w:tc>
        <w:tc>
          <w:tcPr>
            <w:tcW w:w="373" w:type="pct"/>
            <w:shd w:val="clear" w:color="auto" w:fill="FF6600"/>
          </w:tcPr>
          <w:p w14:paraId="0B6DB201" w14:textId="77777777" w:rsidR="00401546" w:rsidRPr="00A9330B" w:rsidRDefault="00401546" w:rsidP="00401546">
            <w:pPr>
              <w:spacing w:line="240" w:lineRule="auto"/>
              <w:jc w:val="center"/>
              <w:rPr>
                <w:rFonts w:cs="Arial"/>
                <w:color w:val="FFFFFF" w:themeColor="background1"/>
                <w:sz w:val="18"/>
                <w:szCs w:val="18"/>
              </w:rPr>
            </w:pPr>
            <w:r w:rsidRPr="00A9330B">
              <w:rPr>
                <w:rFonts w:cs="Arial"/>
                <w:color w:val="FFFFFF" w:themeColor="background1"/>
                <w:sz w:val="18"/>
                <w:szCs w:val="18"/>
              </w:rPr>
              <w:t xml:space="preserve">Probabilité </w:t>
            </w:r>
          </w:p>
        </w:tc>
        <w:tc>
          <w:tcPr>
            <w:tcW w:w="298" w:type="pct"/>
            <w:shd w:val="clear" w:color="auto" w:fill="FF6600"/>
          </w:tcPr>
          <w:p w14:paraId="0A52881D" w14:textId="77777777" w:rsidR="00401546" w:rsidRPr="00A9330B" w:rsidRDefault="00401546" w:rsidP="00401546">
            <w:pPr>
              <w:spacing w:line="240" w:lineRule="auto"/>
              <w:jc w:val="center"/>
              <w:rPr>
                <w:rFonts w:cs="Arial"/>
                <w:color w:val="FFFFFF" w:themeColor="background1"/>
                <w:sz w:val="18"/>
                <w:szCs w:val="18"/>
              </w:rPr>
            </w:pPr>
            <w:r w:rsidRPr="00A9330B">
              <w:rPr>
                <w:rFonts w:cs="Arial"/>
                <w:color w:val="FFFFFF" w:themeColor="background1"/>
                <w:sz w:val="18"/>
                <w:szCs w:val="18"/>
              </w:rPr>
              <w:t xml:space="preserve">Gravité </w:t>
            </w:r>
          </w:p>
        </w:tc>
        <w:tc>
          <w:tcPr>
            <w:tcW w:w="445" w:type="pct"/>
            <w:shd w:val="clear" w:color="auto" w:fill="FF6600"/>
          </w:tcPr>
          <w:p w14:paraId="1B3C7969" w14:textId="77777777" w:rsidR="00401546" w:rsidRPr="00A9330B" w:rsidRDefault="00401546" w:rsidP="00401546">
            <w:pPr>
              <w:spacing w:line="240" w:lineRule="auto"/>
              <w:jc w:val="center"/>
              <w:rPr>
                <w:rFonts w:cs="Arial"/>
                <w:color w:val="FFFFFF" w:themeColor="background1"/>
                <w:sz w:val="18"/>
                <w:szCs w:val="18"/>
              </w:rPr>
            </w:pPr>
            <w:r w:rsidRPr="00A9330B">
              <w:rPr>
                <w:rFonts w:cs="Arial"/>
                <w:color w:val="FFFFFF" w:themeColor="background1"/>
                <w:sz w:val="18"/>
                <w:szCs w:val="18"/>
              </w:rPr>
              <w:t>Accep</w:t>
            </w:r>
          </w:p>
          <w:p w14:paraId="7A0A5F72" w14:textId="77777777" w:rsidR="00401546" w:rsidRPr="00A9330B" w:rsidRDefault="00401546" w:rsidP="00401546">
            <w:pPr>
              <w:spacing w:line="240" w:lineRule="auto"/>
              <w:jc w:val="center"/>
              <w:rPr>
                <w:rFonts w:cs="Arial"/>
                <w:color w:val="FFFFFF" w:themeColor="background1"/>
                <w:sz w:val="18"/>
                <w:szCs w:val="18"/>
              </w:rPr>
            </w:pPr>
            <w:r w:rsidRPr="00A9330B">
              <w:rPr>
                <w:rFonts w:cs="Arial"/>
                <w:color w:val="FFFFFF" w:themeColor="background1"/>
                <w:sz w:val="18"/>
                <w:szCs w:val="18"/>
              </w:rPr>
              <w:t xml:space="preserve">tabilité </w:t>
            </w:r>
          </w:p>
        </w:tc>
      </w:tr>
      <w:tr w:rsidR="00401546" w:rsidRPr="00A9330B" w14:paraId="3DEB2E96" w14:textId="77777777" w:rsidTr="00401546">
        <w:trPr>
          <w:jc w:val="center"/>
        </w:trPr>
        <w:tc>
          <w:tcPr>
            <w:tcW w:w="897" w:type="pct"/>
            <w:vMerge w:val="restart"/>
          </w:tcPr>
          <w:p w14:paraId="48ED6655" w14:textId="77777777" w:rsidR="00401546" w:rsidRPr="00A9330B" w:rsidRDefault="00401546" w:rsidP="00401546">
            <w:pPr>
              <w:spacing w:line="240" w:lineRule="auto"/>
              <w:contextualSpacing/>
              <w:rPr>
                <w:rFonts w:cs="Arial"/>
                <w:b/>
                <w:sz w:val="18"/>
                <w:szCs w:val="18"/>
              </w:rPr>
            </w:pPr>
            <w:r w:rsidRPr="00A9330B">
              <w:rPr>
                <w:rFonts w:cs="Arial"/>
                <w:b/>
                <w:sz w:val="18"/>
                <w:szCs w:val="18"/>
              </w:rPr>
              <w:t xml:space="preserve">1) Fonctionnement entretien  des ouvrages </w:t>
            </w:r>
          </w:p>
        </w:tc>
        <w:tc>
          <w:tcPr>
            <w:tcW w:w="298" w:type="pct"/>
          </w:tcPr>
          <w:p w14:paraId="567BACA9" w14:textId="77777777" w:rsidR="00401546" w:rsidRPr="00A9330B" w:rsidRDefault="00401546" w:rsidP="00401546">
            <w:pPr>
              <w:spacing w:line="240" w:lineRule="auto"/>
              <w:jc w:val="center"/>
              <w:rPr>
                <w:rFonts w:cs="Arial"/>
                <w:sz w:val="18"/>
                <w:szCs w:val="18"/>
              </w:rPr>
            </w:pPr>
            <w:r w:rsidRPr="00A9330B">
              <w:rPr>
                <w:rFonts w:cs="Arial"/>
                <w:sz w:val="18"/>
                <w:szCs w:val="18"/>
              </w:rPr>
              <w:t>1</w:t>
            </w:r>
          </w:p>
        </w:tc>
        <w:tc>
          <w:tcPr>
            <w:tcW w:w="1171" w:type="pct"/>
          </w:tcPr>
          <w:p w14:paraId="619BAACE" w14:textId="77777777" w:rsidR="00401546" w:rsidRPr="00A9330B" w:rsidRDefault="00401546" w:rsidP="000F7BA7">
            <w:pPr>
              <w:spacing w:line="240" w:lineRule="auto"/>
              <w:jc w:val="both"/>
              <w:rPr>
                <w:rFonts w:cs="Arial"/>
                <w:sz w:val="18"/>
                <w:szCs w:val="18"/>
              </w:rPr>
            </w:pPr>
            <w:r w:rsidRPr="00A9330B">
              <w:rPr>
                <w:rFonts w:cs="Arial"/>
                <w:sz w:val="18"/>
                <w:szCs w:val="18"/>
              </w:rPr>
              <w:t xml:space="preserve">Déplacement non ou mal contrôlé de véhicules et engins de chantiers ou de leur organes mobiles pendant un changement de pompe par Ex.) </w:t>
            </w:r>
          </w:p>
        </w:tc>
        <w:tc>
          <w:tcPr>
            <w:tcW w:w="1517" w:type="pct"/>
          </w:tcPr>
          <w:p w14:paraId="2BF491C1" w14:textId="04B35F57" w:rsidR="00401546" w:rsidRPr="00A9330B" w:rsidRDefault="00401546" w:rsidP="000F7BA7">
            <w:pPr>
              <w:spacing w:line="240" w:lineRule="auto"/>
              <w:jc w:val="both"/>
              <w:rPr>
                <w:rFonts w:cs="Arial"/>
                <w:sz w:val="18"/>
                <w:szCs w:val="18"/>
              </w:rPr>
            </w:pPr>
            <w:r w:rsidRPr="00A9330B">
              <w:rPr>
                <w:rFonts w:cs="Arial"/>
                <w:sz w:val="18"/>
                <w:szCs w:val="18"/>
              </w:rPr>
              <w:t xml:space="preserve">Renversement, basculement, heurt ou happement d’un ouvrier pouvant occasionner la mort, des blessures, </w:t>
            </w:r>
            <w:r w:rsidR="00F67E71" w:rsidRPr="00A9330B">
              <w:rPr>
                <w:rFonts w:cs="Arial"/>
                <w:sz w:val="18"/>
                <w:szCs w:val="18"/>
              </w:rPr>
              <w:t xml:space="preserve">des </w:t>
            </w:r>
            <w:r w:rsidRPr="00A9330B">
              <w:rPr>
                <w:rFonts w:cs="Arial"/>
                <w:sz w:val="18"/>
                <w:szCs w:val="18"/>
              </w:rPr>
              <w:t xml:space="preserve">fractures, </w:t>
            </w:r>
            <w:r w:rsidR="00F67E71" w:rsidRPr="00A9330B">
              <w:rPr>
                <w:rFonts w:cs="Arial"/>
                <w:sz w:val="18"/>
                <w:szCs w:val="18"/>
              </w:rPr>
              <w:t xml:space="preserve">des </w:t>
            </w:r>
            <w:r w:rsidRPr="00A9330B">
              <w:rPr>
                <w:rFonts w:cs="Arial"/>
                <w:sz w:val="18"/>
                <w:szCs w:val="18"/>
              </w:rPr>
              <w:t xml:space="preserve">lésions, </w:t>
            </w:r>
            <w:r w:rsidR="00F67E71" w:rsidRPr="00A9330B">
              <w:rPr>
                <w:rFonts w:cs="Arial"/>
                <w:sz w:val="18"/>
                <w:szCs w:val="18"/>
              </w:rPr>
              <w:t xml:space="preserve">des </w:t>
            </w:r>
            <w:r w:rsidRPr="00A9330B">
              <w:rPr>
                <w:rFonts w:cs="Arial"/>
                <w:sz w:val="18"/>
                <w:szCs w:val="18"/>
              </w:rPr>
              <w:t xml:space="preserve">pertes sensorielles temporaires ou permanentes </w:t>
            </w:r>
          </w:p>
        </w:tc>
        <w:tc>
          <w:tcPr>
            <w:tcW w:w="373" w:type="pct"/>
          </w:tcPr>
          <w:p w14:paraId="608868AF" w14:textId="77777777" w:rsidR="00401546" w:rsidRPr="00A9330B" w:rsidRDefault="00401546" w:rsidP="00401546">
            <w:pPr>
              <w:spacing w:line="240" w:lineRule="auto"/>
              <w:jc w:val="center"/>
              <w:rPr>
                <w:rFonts w:cs="Arial"/>
                <w:sz w:val="18"/>
                <w:szCs w:val="18"/>
              </w:rPr>
            </w:pPr>
            <w:r w:rsidRPr="00A9330B">
              <w:rPr>
                <w:rFonts w:cs="Arial"/>
                <w:sz w:val="18"/>
                <w:szCs w:val="18"/>
              </w:rPr>
              <w:t>1</w:t>
            </w:r>
          </w:p>
        </w:tc>
        <w:tc>
          <w:tcPr>
            <w:tcW w:w="298" w:type="pct"/>
          </w:tcPr>
          <w:p w14:paraId="6C24FE07" w14:textId="77777777" w:rsidR="00401546" w:rsidRPr="00A9330B" w:rsidRDefault="00401546" w:rsidP="00401546">
            <w:pPr>
              <w:spacing w:line="240" w:lineRule="auto"/>
              <w:jc w:val="center"/>
              <w:rPr>
                <w:rFonts w:cs="Arial"/>
                <w:sz w:val="18"/>
                <w:szCs w:val="18"/>
              </w:rPr>
            </w:pPr>
            <w:r w:rsidRPr="00A9330B">
              <w:rPr>
                <w:rFonts w:cs="Arial"/>
                <w:sz w:val="18"/>
                <w:szCs w:val="18"/>
              </w:rPr>
              <w:t>3</w:t>
            </w:r>
          </w:p>
        </w:tc>
        <w:tc>
          <w:tcPr>
            <w:tcW w:w="445" w:type="pct"/>
            <w:shd w:val="clear" w:color="auto" w:fill="FFFF00"/>
          </w:tcPr>
          <w:p w14:paraId="6232476E" w14:textId="77777777" w:rsidR="00401546" w:rsidRPr="00A9330B" w:rsidRDefault="00401546" w:rsidP="00401546">
            <w:pPr>
              <w:spacing w:line="240" w:lineRule="auto"/>
              <w:jc w:val="center"/>
              <w:rPr>
                <w:rFonts w:cs="Arial"/>
                <w:sz w:val="18"/>
                <w:szCs w:val="18"/>
              </w:rPr>
            </w:pPr>
          </w:p>
        </w:tc>
      </w:tr>
      <w:tr w:rsidR="00401546" w:rsidRPr="00A9330B" w14:paraId="7283CE6E" w14:textId="77777777" w:rsidTr="00401546">
        <w:trPr>
          <w:jc w:val="center"/>
        </w:trPr>
        <w:tc>
          <w:tcPr>
            <w:tcW w:w="897" w:type="pct"/>
            <w:vMerge/>
          </w:tcPr>
          <w:p w14:paraId="0267125A" w14:textId="77777777" w:rsidR="00401546" w:rsidRPr="00A9330B" w:rsidRDefault="00401546" w:rsidP="00401546">
            <w:pPr>
              <w:spacing w:line="240" w:lineRule="auto"/>
              <w:jc w:val="center"/>
              <w:rPr>
                <w:rFonts w:cs="Arial"/>
                <w:b/>
                <w:sz w:val="18"/>
                <w:szCs w:val="18"/>
              </w:rPr>
            </w:pPr>
          </w:p>
        </w:tc>
        <w:tc>
          <w:tcPr>
            <w:tcW w:w="298" w:type="pct"/>
          </w:tcPr>
          <w:p w14:paraId="4737C2B6" w14:textId="77777777" w:rsidR="00401546" w:rsidRPr="00A9330B" w:rsidRDefault="00401546" w:rsidP="00401546">
            <w:pPr>
              <w:spacing w:line="240" w:lineRule="auto"/>
              <w:jc w:val="center"/>
              <w:rPr>
                <w:rFonts w:cs="Arial"/>
                <w:sz w:val="18"/>
                <w:szCs w:val="18"/>
              </w:rPr>
            </w:pPr>
            <w:r w:rsidRPr="00A9330B">
              <w:rPr>
                <w:rFonts w:cs="Arial"/>
                <w:sz w:val="18"/>
                <w:szCs w:val="18"/>
              </w:rPr>
              <w:t>2</w:t>
            </w:r>
          </w:p>
        </w:tc>
        <w:tc>
          <w:tcPr>
            <w:tcW w:w="1171" w:type="pct"/>
          </w:tcPr>
          <w:p w14:paraId="4135ACEA" w14:textId="77777777" w:rsidR="00401546" w:rsidRPr="00A9330B" w:rsidRDefault="00401546" w:rsidP="000F7BA7">
            <w:pPr>
              <w:spacing w:line="240" w:lineRule="auto"/>
              <w:jc w:val="both"/>
              <w:rPr>
                <w:rFonts w:cs="Arial"/>
                <w:sz w:val="18"/>
                <w:szCs w:val="18"/>
              </w:rPr>
            </w:pPr>
            <w:r w:rsidRPr="00A9330B">
              <w:rPr>
                <w:rFonts w:cs="Arial"/>
                <w:sz w:val="18"/>
                <w:szCs w:val="18"/>
              </w:rPr>
              <w:t xml:space="preserve">Stockage, manutention, manipulation ou transport inadaptés de charge </w:t>
            </w:r>
          </w:p>
        </w:tc>
        <w:tc>
          <w:tcPr>
            <w:tcW w:w="1517" w:type="pct"/>
          </w:tcPr>
          <w:p w14:paraId="433773F6" w14:textId="54695F7C" w:rsidR="00401546" w:rsidRPr="00A9330B" w:rsidRDefault="00401546" w:rsidP="009C5C1D">
            <w:pPr>
              <w:spacing w:line="240" w:lineRule="auto"/>
              <w:jc w:val="both"/>
              <w:rPr>
                <w:rFonts w:cs="Arial"/>
                <w:sz w:val="18"/>
                <w:szCs w:val="18"/>
              </w:rPr>
            </w:pPr>
            <w:r w:rsidRPr="00A9330B">
              <w:rPr>
                <w:rFonts w:cs="Arial"/>
                <w:sz w:val="18"/>
                <w:szCs w:val="18"/>
              </w:rPr>
              <w:t>Chute des matériels et matériaux pouvant entrainer la mort,</w:t>
            </w:r>
            <w:r w:rsidR="00F67E71" w:rsidRPr="00A9330B">
              <w:rPr>
                <w:rFonts w:cs="Arial"/>
                <w:sz w:val="18"/>
                <w:szCs w:val="18"/>
              </w:rPr>
              <w:t xml:space="preserve"> des</w:t>
            </w:r>
            <w:r w:rsidRPr="00A9330B">
              <w:rPr>
                <w:rFonts w:cs="Arial"/>
                <w:sz w:val="18"/>
                <w:szCs w:val="18"/>
              </w:rPr>
              <w:t xml:space="preserve"> blessures, </w:t>
            </w:r>
            <w:r w:rsidR="00F67E71" w:rsidRPr="00A9330B">
              <w:rPr>
                <w:rFonts w:cs="Arial"/>
                <w:sz w:val="18"/>
                <w:szCs w:val="18"/>
              </w:rPr>
              <w:t xml:space="preserve">des </w:t>
            </w:r>
            <w:r w:rsidRPr="00A9330B">
              <w:rPr>
                <w:rFonts w:cs="Arial"/>
                <w:sz w:val="18"/>
                <w:szCs w:val="18"/>
              </w:rPr>
              <w:t xml:space="preserve">fractures, </w:t>
            </w:r>
            <w:r w:rsidR="00F67E71" w:rsidRPr="00A9330B">
              <w:rPr>
                <w:rFonts w:cs="Arial"/>
                <w:sz w:val="18"/>
                <w:szCs w:val="18"/>
              </w:rPr>
              <w:t xml:space="preserve">des </w:t>
            </w:r>
            <w:r w:rsidR="009C5C1D" w:rsidRPr="00A9330B">
              <w:rPr>
                <w:rFonts w:cs="Arial"/>
                <w:sz w:val="18"/>
                <w:szCs w:val="18"/>
              </w:rPr>
              <w:t>lésions, des traumatismes</w:t>
            </w:r>
            <w:r w:rsidRPr="00A9330B">
              <w:rPr>
                <w:rFonts w:cs="Arial"/>
                <w:sz w:val="18"/>
                <w:szCs w:val="18"/>
              </w:rPr>
              <w:t xml:space="preserve">. </w:t>
            </w:r>
          </w:p>
        </w:tc>
        <w:tc>
          <w:tcPr>
            <w:tcW w:w="373" w:type="pct"/>
          </w:tcPr>
          <w:p w14:paraId="41686DDF" w14:textId="77777777" w:rsidR="00401546" w:rsidRPr="00A9330B" w:rsidRDefault="00401546" w:rsidP="00401546">
            <w:pPr>
              <w:spacing w:line="240" w:lineRule="auto"/>
              <w:jc w:val="center"/>
              <w:rPr>
                <w:rFonts w:cs="Arial"/>
                <w:sz w:val="18"/>
                <w:szCs w:val="18"/>
              </w:rPr>
            </w:pPr>
            <w:r w:rsidRPr="00A9330B">
              <w:rPr>
                <w:rFonts w:cs="Arial"/>
                <w:sz w:val="18"/>
                <w:szCs w:val="18"/>
              </w:rPr>
              <w:t>1</w:t>
            </w:r>
          </w:p>
        </w:tc>
        <w:tc>
          <w:tcPr>
            <w:tcW w:w="298" w:type="pct"/>
          </w:tcPr>
          <w:p w14:paraId="5E4BE51E" w14:textId="77777777" w:rsidR="00401546" w:rsidRPr="00A9330B" w:rsidRDefault="00401546" w:rsidP="00401546">
            <w:pPr>
              <w:spacing w:line="240" w:lineRule="auto"/>
              <w:jc w:val="center"/>
              <w:rPr>
                <w:rFonts w:cs="Arial"/>
                <w:sz w:val="18"/>
                <w:szCs w:val="18"/>
              </w:rPr>
            </w:pPr>
            <w:r w:rsidRPr="00A9330B">
              <w:rPr>
                <w:rFonts w:cs="Arial"/>
                <w:sz w:val="18"/>
                <w:szCs w:val="18"/>
              </w:rPr>
              <w:t>2</w:t>
            </w:r>
          </w:p>
        </w:tc>
        <w:tc>
          <w:tcPr>
            <w:tcW w:w="445" w:type="pct"/>
            <w:shd w:val="clear" w:color="auto" w:fill="FFFF00"/>
          </w:tcPr>
          <w:p w14:paraId="20A19953" w14:textId="77777777" w:rsidR="00401546" w:rsidRPr="00A9330B" w:rsidRDefault="00401546" w:rsidP="00401546">
            <w:pPr>
              <w:spacing w:line="240" w:lineRule="auto"/>
              <w:jc w:val="center"/>
              <w:rPr>
                <w:rFonts w:cs="Arial"/>
                <w:sz w:val="18"/>
                <w:szCs w:val="18"/>
              </w:rPr>
            </w:pPr>
          </w:p>
        </w:tc>
      </w:tr>
      <w:tr w:rsidR="00401546" w:rsidRPr="00A9330B" w14:paraId="759D0133" w14:textId="77777777" w:rsidTr="00401546">
        <w:trPr>
          <w:jc w:val="center"/>
        </w:trPr>
        <w:tc>
          <w:tcPr>
            <w:tcW w:w="897" w:type="pct"/>
            <w:vMerge w:val="restart"/>
          </w:tcPr>
          <w:p w14:paraId="45934487" w14:textId="77777777" w:rsidR="00401546" w:rsidRPr="00A9330B" w:rsidRDefault="00401546" w:rsidP="00401546">
            <w:pPr>
              <w:spacing w:line="240" w:lineRule="auto"/>
              <w:rPr>
                <w:rFonts w:cs="Arial"/>
                <w:b/>
                <w:sz w:val="18"/>
                <w:szCs w:val="18"/>
              </w:rPr>
            </w:pPr>
            <w:r w:rsidRPr="00A9330B">
              <w:rPr>
                <w:rFonts w:cs="Arial"/>
                <w:b/>
                <w:sz w:val="18"/>
                <w:szCs w:val="18"/>
              </w:rPr>
              <w:t xml:space="preserve">2)  Entretien des exutoires   </w:t>
            </w:r>
          </w:p>
        </w:tc>
        <w:tc>
          <w:tcPr>
            <w:tcW w:w="298" w:type="pct"/>
          </w:tcPr>
          <w:p w14:paraId="3DB8BE8B" w14:textId="77777777" w:rsidR="00401546" w:rsidRPr="00A9330B" w:rsidRDefault="00401546" w:rsidP="00401546">
            <w:pPr>
              <w:spacing w:line="240" w:lineRule="auto"/>
              <w:jc w:val="center"/>
              <w:rPr>
                <w:rFonts w:cs="Arial"/>
                <w:sz w:val="18"/>
                <w:szCs w:val="18"/>
              </w:rPr>
            </w:pPr>
            <w:r w:rsidRPr="00A9330B">
              <w:rPr>
                <w:rFonts w:cs="Arial"/>
                <w:sz w:val="18"/>
                <w:szCs w:val="18"/>
              </w:rPr>
              <w:t>1</w:t>
            </w:r>
          </w:p>
        </w:tc>
        <w:tc>
          <w:tcPr>
            <w:tcW w:w="1171" w:type="pct"/>
            <w:tcBorders>
              <w:bottom w:val="single" w:sz="6" w:space="0" w:color="000000"/>
            </w:tcBorders>
          </w:tcPr>
          <w:p w14:paraId="7372A99E" w14:textId="77777777" w:rsidR="00401546" w:rsidRPr="00A9330B" w:rsidRDefault="00401546" w:rsidP="000F7BA7">
            <w:pPr>
              <w:spacing w:line="240" w:lineRule="auto"/>
              <w:jc w:val="both"/>
              <w:rPr>
                <w:rFonts w:cs="Arial"/>
                <w:sz w:val="18"/>
                <w:szCs w:val="18"/>
              </w:rPr>
            </w:pPr>
            <w:r w:rsidRPr="00A9330B">
              <w:rPr>
                <w:rFonts w:cs="Arial"/>
                <w:sz w:val="18"/>
                <w:szCs w:val="18"/>
              </w:rPr>
              <w:t xml:space="preserve">Déplacement non ou mal contrôlé de véhicules et engins de chantiers ou de leurs organes mobiles (pelle mécanique par Ex.) </w:t>
            </w:r>
          </w:p>
        </w:tc>
        <w:tc>
          <w:tcPr>
            <w:tcW w:w="1517" w:type="pct"/>
            <w:tcBorders>
              <w:bottom w:val="single" w:sz="6" w:space="0" w:color="000000"/>
            </w:tcBorders>
          </w:tcPr>
          <w:p w14:paraId="10E20B69" w14:textId="39A7E9B7" w:rsidR="00401546" w:rsidRPr="00A9330B" w:rsidRDefault="00401546" w:rsidP="000F7BA7">
            <w:pPr>
              <w:spacing w:line="240" w:lineRule="auto"/>
              <w:jc w:val="both"/>
              <w:rPr>
                <w:rFonts w:cs="Arial"/>
                <w:sz w:val="18"/>
                <w:szCs w:val="18"/>
              </w:rPr>
            </w:pPr>
            <w:r w:rsidRPr="00A9330B">
              <w:rPr>
                <w:rFonts w:cs="Arial"/>
                <w:sz w:val="18"/>
                <w:szCs w:val="18"/>
              </w:rPr>
              <w:t xml:space="preserve">Renversement, basculement, heurt entrainement d’un ouvrier pouvant occasionner la mort, des blessures, </w:t>
            </w:r>
            <w:r w:rsidR="008E44CE" w:rsidRPr="00A9330B">
              <w:rPr>
                <w:rFonts w:cs="Arial"/>
                <w:sz w:val="18"/>
                <w:szCs w:val="18"/>
              </w:rPr>
              <w:t xml:space="preserve">des </w:t>
            </w:r>
            <w:r w:rsidRPr="00A9330B">
              <w:rPr>
                <w:rFonts w:cs="Arial"/>
                <w:sz w:val="18"/>
                <w:szCs w:val="18"/>
              </w:rPr>
              <w:t xml:space="preserve">fractures, </w:t>
            </w:r>
            <w:r w:rsidR="008E44CE" w:rsidRPr="00A9330B">
              <w:rPr>
                <w:rFonts w:cs="Arial"/>
                <w:sz w:val="18"/>
                <w:szCs w:val="18"/>
              </w:rPr>
              <w:t xml:space="preserve">des </w:t>
            </w:r>
            <w:r w:rsidRPr="00A9330B">
              <w:rPr>
                <w:rFonts w:cs="Arial"/>
                <w:sz w:val="18"/>
                <w:szCs w:val="18"/>
              </w:rPr>
              <w:t xml:space="preserve">lésions, </w:t>
            </w:r>
            <w:r w:rsidR="008E44CE" w:rsidRPr="00A9330B">
              <w:rPr>
                <w:rFonts w:cs="Arial"/>
                <w:sz w:val="18"/>
                <w:szCs w:val="18"/>
              </w:rPr>
              <w:t xml:space="preserve">des </w:t>
            </w:r>
            <w:r w:rsidRPr="00A9330B">
              <w:rPr>
                <w:rFonts w:cs="Arial"/>
                <w:sz w:val="18"/>
                <w:szCs w:val="18"/>
              </w:rPr>
              <w:t xml:space="preserve">pertes sensorielles temporaires ou permanentes </w:t>
            </w:r>
          </w:p>
        </w:tc>
        <w:tc>
          <w:tcPr>
            <w:tcW w:w="373" w:type="pct"/>
            <w:tcBorders>
              <w:bottom w:val="single" w:sz="6" w:space="0" w:color="000000"/>
            </w:tcBorders>
          </w:tcPr>
          <w:p w14:paraId="4ADC7C1B" w14:textId="77777777" w:rsidR="00401546" w:rsidRPr="00A9330B" w:rsidRDefault="00401546" w:rsidP="00401546">
            <w:pPr>
              <w:spacing w:line="240" w:lineRule="auto"/>
              <w:jc w:val="center"/>
              <w:rPr>
                <w:rFonts w:cs="Arial"/>
                <w:sz w:val="18"/>
                <w:szCs w:val="18"/>
              </w:rPr>
            </w:pPr>
            <w:r w:rsidRPr="00A9330B">
              <w:rPr>
                <w:rFonts w:cs="Arial"/>
                <w:sz w:val="18"/>
                <w:szCs w:val="18"/>
              </w:rPr>
              <w:t>3</w:t>
            </w:r>
          </w:p>
        </w:tc>
        <w:tc>
          <w:tcPr>
            <w:tcW w:w="298" w:type="pct"/>
          </w:tcPr>
          <w:p w14:paraId="07920429" w14:textId="77777777" w:rsidR="00401546" w:rsidRPr="00A9330B" w:rsidRDefault="00401546" w:rsidP="00401546">
            <w:pPr>
              <w:spacing w:line="240" w:lineRule="auto"/>
              <w:jc w:val="center"/>
              <w:rPr>
                <w:rFonts w:cs="Arial"/>
                <w:sz w:val="18"/>
                <w:szCs w:val="18"/>
              </w:rPr>
            </w:pPr>
            <w:r w:rsidRPr="00A9330B">
              <w:rPr>
                <w:rFonts w:cs="Arial"/>
                <w:sz w:val="18"/>
                <w:szCs w:val="18"/>
              </w:rPr>
              <w:t>2</w:t>
            </w:r>
          </w:p>
        </w:tc>
        <w:tc>
          <w:tcPr>
            <w:tcW w:w="445" w:type="pct"/>
            <w:shd w:val="clear" w:color="auto" w:fill="FFFF00"/>
          </w:tcPr>
          <w:p w14:paraId="07B63F09" w14:textId="77777777" w:rsidR="00401546" w:rsidRPr="00A9330B" w:rsidRDefault="00401546" w:rsidP="00401546">
            <w:pPr>
              <w:spacing w:line="240" w:lineRule="auto"/>
              <w:jc w:val="center"/>
              <w:rPr>
                <w:rFonts w:cs="Arial"/>
                <w:sz w:val="18"/>
                <w:szCs w:val="18"/>
              </w:rPr>
            </w:pPr>
          </w:p>
        </w:tc>
      </w:tr>
      <w:tr w:rsidR="00401546" w:rsidRPr="00A9330B" w14:paraId="720F9ABE" w14:textId="77777777" w:rsidTr="00401546">
        <w:trPr>
          <w:jc w:val="center"/>
        </w:trPr>
        <w:tc>
          <w:tcPr>
            <w:tcW w:w="897" w:type="pct"/>
            <w:vMerge/>
          </w:tcPr>
          <w:p w14:paraId="234405ED" w14:textId="77777777" w:rsidR="00401546" w:rsidRPr="00A9330B" w:rsidRDefault="00401546" w:rsidP="00401546">
            <w:pPr>
              <w:spacing w:line="240" w:lineRule="auto"/>
              <w:jc w:val="center"/>
              <w:rPr>
                <w:rFonts w:cs="Arial"/>
                <w:b/>
                <w:sz w:val="18"/>
                <w:szCs w:val="18"/>
              </w:rPr>
            </w:pPr>
          </w:p>
        </w:tc>
        <w:tc>
          <w:tcPr>
            <w:tcW w:w="298" w:type="pct"/>
          </w:tcPr>
          <w:p w14:paraId="03A42D71" w14:textId="77777777" w:rsidR="00401546" w:rsidRPr="00A9330B" w:rsidRDefault="00401546" w:rsidP="00401546">
            <w:pPr>
              <w:spacing w:line="240" w:lineRule="auto"/>
              <w:jc w:val="center"/>
              <w:rPr>
                <w:rFonts w:cs="Arial"/>
                <w:sz w:val="18"/>
                <w:szCs w:val="18"/>
              </w:rPr>
            </w:pPr>
            <w:r w:rsidRPr="00A9330B">
              <w:rPr>
                <w:rFonts w:cs="Arial"/>
                <w:sz w:val="18"/>
                <w:szCs w:val="18"/>
              </w:rPr>
              <w:t>2</w:t>
            </w:r>
          </w:p>
        </w:tc>
        <w:tc>
          <w:tcPr>
            <w:tcW w:w="1171" w:type="pct"/>
          </w:tcPr>
          <w:p w14:paraId="4C700172" w14:textId="77777777" w:rsidR="00401546" w:rsidRPr="00A9330B" w:rsidRDefault="00401546" w:rsidP="000F7BA7">
            <w:pPr>
              <w:spacing w:line="240" w:lineRule="auto"/>
              <w:jc w:val="both"/>
              <w:rPr>
                <w:rFonts w:cs="Arial"/>
                <w:sz w:val="18"/>
                <w:szCs w:val="18"/>
              </w:rPr>
            </w:pPr>
            <w:r w:rsidRPr="00A9330B">
              <w:rPr>
                <w:rFonts w:cs="Arial"/>
                <w:sz w:val="18"/>
                <w:szCs w:val="18"/>
              </w:rPr>
              <w:t xml:space="preserve">Manutention, manipulation ou transport inadapté de matériels et matériaux </w:t>
            </w:r>
          </w:p>
        </w:tc>
        <w:tc>
          <w:tcPr>
            <w:tcW w:w="1517" w:type="pct"/>
            <w:tcBorders>
              <w:top w:val="single" w:sz="6" w:space="0" w:color="000000"/>
              <w:bottom w:val="single" w:sz="6" w:space="0" w:color="000000"/>
            </w:tcBorders>
          </w:tcPr>
          <w:p w14:paraId="7FF4517F" w14:textId="1D56F7C7" w:rsidR="00401546" w:rsidRPr="00A9330B" w:rsidRDefault="00401546" w:rsidP="000F7BA7">
            <w:pPr>
              <w:spacing w:line="240" w:lineRule="auto"/>
              <w:jc w:val="both"/>
              <w:rPr>
                <w:rFonts w:cs="Arial"/>
                <w:sz w:val="18"/>
                <w:szCs w:val="18"/>
              </w:rPr>
            </w:pPr>
            <w:r w:rsidRPr="00A9330B">
              <w:rPr>
                <w:rFonts w:cs="Arial"/>
                <w:sz w:val="18"/>
                <w:szCs w:val="18"/>
              </w:rPr>
              <w:t>Matériel ou matériaux accidentellement déversés sur les ouvriers pouvant entrainer l’étouffement, des blessures,</w:t>
            </w:r>
            <w:r w:rsidR="008E44CE" w:rsidRPr="00A9330B">
              <w:rPr>
                <w:rFonts w:cs="Arial"/>
                <w:sz w:val="18"/>
                <w:szCs w:val="18"/>
              </w:rPr>
              <w:t xml:space="preserve"> des</w:t>
            </w:r>
            <w:r w:rsidRPr="00A9330B">
              <w:rPr>
                <w:rFonts w:cs="Arial"/>
                <w:sz w:val="18"/>
                <w:szCs w:val="18"/>
              </w:rPr>
              <w:t xml:space="preserve"> fractures,</w:t>
            </w:r>
            <w:r w:rsidR="008E44CE" w:rsidRPr="00A9330B">
              <w:rPr>
                <w:rFonts w:cs="Arial"/>
                <w:sz w:val="18"/>
                <w:szCs w:val="18"/>
              </w:rPr>
              <w:t xml:space="preserve"> des </w:t>
            </w:r>
            <w:r w:rsidRPr="00A9330B">
              <w:rPr>
                <w:rFonts w:cs="Arial"/>
                <w:sz w:val="18"/>
                <w:szCs w:val="18"/>
              </w:rPr>
              <w:t xml:space="preserve"> traumatisme </w:t>
            </w:r>
          </w:p>
        </w:tc>
        <w:tc>
          <w:tcPr>
            <w:tcW w:w="373" w:type="pct"/>
          </w:tcPr>
          <w:p w14:paraId="5AE7623B" w14:textId="77777777" w:rsidR="00401546" w:rsidRPr="00A9330B" w:rsidRDefault="00401546" w:rsidP="00401546">
            <w:pPr>
              <w:spacing w:line="240" w:lineRule="auto"/>
              <w:jc w:val="center"/>
              <w:rPr>
                <w:rFonts w:cs="Arial"/>
                <w:sz w:val="18"/>
                <w:szCs w:val="18"/>
              </w:rPr>
            </w:pPr>
            <w:r w:rsidRPr="00A9330B">
              <w:rPr>
                <w:rFonts w:cs="Arial"/>
                <w:sz w:val="18"/>
                <w:szCs w:val="18"/>
              </w:rPr>
              <w:t>2</w:t>
            </w:r>
          </w:p>
        </w:tc>
        <w:tc>
          <w:tcPr>
            <w:tcW w:w="298" w:type="pct"/>
          </w:tcPr>
          <w:p w14:paraId="79B05D41" w14:textId="77777777" w:rsidR="00401546" w:rsidRPr="00A9330B" w:rsidRDefault="00401546" w:rsidP="00401546">
            <w:pPr>
              <w:spacing w:line="240" w:lineRule="auto"/>
              <w:jc w:val="center"/>
              <w:rPr>
                <w:rFonts w:cs="Arial"/>
                <w:sz w:val="18"/>
                <w:szCs w:val="18"/>
              </w:rPr>
            </w:pPr>
            <w:r w:rsidRPr="00A9330B">
              <w:rPr>
                <w:rFonts w:cs="Arial"/>
                <w:sz w:val="18"/>
                <w:szCs w:val="18"/>
              </w:rPr>
              <w:t>3</w:t>
            </w:r>
          </w:p>
        </w:tc>
        <w:tc>
          <w:tcPr>
            <w:tcW w:w="445" w:type="pct"/>
            <w:shd w:val="clear" w:color="auto" w:fill="FFFF00"/>
          </w:tcPr>
          <w:p w14:paraId="7DF66F0F" w14:textId="77777777" w:rsidR="00401546" w:rsidRPr="00A9330B" w:rsidRDefault="00401546" w:rsidP="00401546">
            <w:pPr>
              <w:spacing w:line="240" w:lineRule="auto"/>
              <w:jc w:val="center"/>
              <w:rPr>
                <w:rFonts w:cs="Arial"/>
                <w:sz w:val="18"/>
                <w:szCs w:val="18"/>
              </w:rPr>
            </w:pPr>
          </w:p>
        </w:tc>
      </w:tr>
      <w:tr w:rsidR="00401546" w:rsidRPr="00A9330B" w14:paraId="0FF746D9" w14:textId="77777777" w:rsidTr="00401546">
        <w:trPr>
          <w:jc w:val="center"/>
        </w:trPr>
        <w:tc>
          <w:tcPr>
            <w:tcW w:w="897" w:type="pct"/>
            <w:vMerge/>
          </w:tcPr>
          <w:p w14:paraId="5BB05472" w14:textId="77777777" w:rsidR="00401546" w:rsidRPr="00A9330B" w:rsidRDefault="00401546" w:rsidP="00401546">
            <w:pPr>
              <w:spacing w:line="240" w:lineRule="auto"/>
              <w:jc w:val="center"/>
              <w:rPr>
                <w:rFonts w:cs="Arial"/>
                <w:b/>
                <w:sz w:val="18"/>
                <w:szCs w:val="18"/>
              </w:rPr>
            </w:pPr>
          </w:p>
        </w:tc>
        <w:tc>
          <w:tcPr>
            <w:tcW w:w="298" w:type="pct"/>
          </w:tcPr>
          <w:p w14:paraId="16A48923" w14:textId="77777777" w:rsidR="00401546" w:rsidRPr="00A9330B" w:rsidRDefault="00401546" w:rsidP="00401546">
            <w:pPr>
              <w:spacing w:line="240" w:lineRule="auto"/>
              <w:jc w:val="center"/>
              <w:rPr>
                <w:rFonts w:cs="Arial"/>
                <w:sz w:val="18"/>
                <w:szCs w:val="18"/>
              </w:rPr>
            </w:pPr>
            <w:r w:rsidRPr="00A9330B">
              <w:rPr>
                <w:rFonts w:cs="Arial"/>
                <w:sz w:val="18"/>
                <w:szCs w:val="18"/>
              </w:rPr>
              <w:t>3</w:t>
            </w:r>
          </w:p>
        </w:tc>
        <w:tc>
          <w:tcPr>
            <w:tcW w:w="1171" w:type="pct"/>
          </w:tcPr>
          <w:p w14:paraId="412DB086" w14:textId="77777777" w:rsidR="00401546" w:rsidRPr="00A9330B" w:rsidRDefault="00401546" w:rsidP="000F7BA7">
            <w:pPr>
              <w:spacing w:line="240" w:lineRule="auto"/>
              <w:jc w:val="both"/>
              <w:rPr>
                <w:rFonts w:cs="Arial"/>
                <w:sz w:val="18"/>
                <w:szCs w:val="18"/>
              </w:rPr>
            </w:pPr>
            <w:r w:rsidRPr="00A9330B">
              <w:rPr>
                <w:rFonts w:cs="Arial"/>
                <w:sz w:val="18"/>
                <w:szCs w:val="18"/>
              </w:rPr>
              <w:t xml:space="preserve">Absence ou inefficacité des protections collectives et individuelles </w:t>
            </w:r>
          </w:p>
        </w:tc>
        <w:tc>
          <w:tcPr>
            <w:tcW w:w="1517" w:type="pct"/>
            <w:tcBorders>
              <w:top w:val="single" w:sz="6" w:space="0" w:color="000000"/>
              <w:bottom w:val="single" w:sz="6" w:space="0" w:color="000000"/>
            </w:tcBorders>
          </w:tcPr>
          <w:p w14:paraId="10D9CFFC" w14:textId="165E96C8" w:rsidR="00401546" w:rsidRPr="00A9330B" w:rsidRDefault="00401546" w:rsidP="000F7BA7">
            <w:pPr>
              <w:spacing w:line="240" w:lineRule="auto"/>
              <w:jc w:val="both"/>
              <w:rPr>
                <w:rFonts w:cs="Arial"/>
                <w:sz w:val="18"/>
                <w:szCs w:val="18"/>
              </w:rPr>
            </w:pPr>
            <w:r w:rsidRPr="00A9330B">
              <w:rPr>
                <w:rFonts w:cs="Arial"/>
                <w:sz w:val="18"/>
                <w:szCs w:val="18"/>
              </w:rPr>
              <w:t xml:space="preserve">Vulnérabilité des ouvriers pouvant entrainer des blessures, fractures, </w:t>
            </w:r>
            <w:r w:rsidR="008E44CE" w:rsidRPr="00A9330B">
              <w:rPr>
                <w:rFonts w:cs="Arial"/>
                <w:sz w:val="18"/>
                <w:szCs w:val="18"/>
              </w:rPr>
              <w:t xml:space="preserve">des </w:t>
            </w:r>
            <w:r w:rsidRPr="00A9330B">
              <w:rPr>
                <w:rFonts w:cs="Arial"/>
                <w:sz w:val="18"/>
                <w:szCs w:val="18"/>
              </w:rPr>
              <w:t xml:space="preserve">lésions, </w:t>
            </w:r>
            <w:r w:rsidR="008E44CE" w:rsidRPr="00A9330B">
              <w:rPr>
                <w:rFonts w:cs="Arial"/>
                <w:sz w:val="18"/>
                <w:szCs w:val="18"/>
              </w:rPr>
              <w:t xml:space="preserve">des </w:t>
            </w:r>
            <w:r w:rsidRPr="00A9330B">
              <w:rPr>
                <w:rFonts w:cs="Arial"/>
                <w:sz w:val="18"/>
                <w:szCs w:val="18"/>
              </w:rPr>
              <w:t xml:space="preserve">pertes sensorielles temporaires ou permanente </w:t>
            </w:r>
          </w:p>
        </w:tc>
        <w:tc>
          <w:tcPr>
            <w:tcW w:w="373" w:type="pct"/>
          </w:tcPr>
          <w:p w14:paraId="0F0CBF15" w14:textId="77777777" w:rsidR="00401546" w:rsidRPr="00A9330B" w:rsidRDefault="00401546" w:rsidP="00401546">
            <w:pPr>
              <w:spacing w:line="240" w:lineRule="auto"/>
              <w:jc w:val="center"/>
              <w:rPr>
                <w:rFonts w:cs="Arial"/>
                <w:sz w:val="18"/>
                <w:szCs w:val="18"/>
              </w:rPr>
            </w:pPr>
            <w:r w:rsidRPr="00A9330B">
              <w:rPr>
                <w:rFonts w:cs="Arial"/>
                <w:sz w:val="18"/>
                <w:szCs w:val="18"/>
              </w:rPr>
              <w:t>1</w:t>
            </w:r>
          </w:p>
        </w:tc>
        <w:tc>
          <w:tcPr>
            <w:tcW w:w="298" w:type="pct"/>
          </w:tcPr>
          <w:p w14:paraId="770B3582" w14:textId="77777777" w:rsidR="00401546" w:rsidRPr="00A9330B" w:rsidRDefault="00401546" w:rsidP="00401546">
            <w:pPr>
              <w:spacing w:line="240" w:lineRule="auto"/>
              <w:jc w:val="center"/>
              <w:rPr>
                <w:rFonts w:cs="Arial"/>
                <w:sz w:val="18"/>
                <w:szCs w:val="18"/>
              </w:rPr>
            </w:pPr>
            <w:r w:rsidRPr="00A9330B">
              <w:rPr>
                <w:rFonts w:cs="Arial"/>
                <w:sz w:val="18"/>
                <w:szCs w:val="18"/>
              </w:rPr>
              <w:t>3</w:t>
            </w:r>
          </w:p>
        </w:tc>
        <w:tc>
          <w:tcPr>
            <w:tcW w:w="445" w:type="pct"/>
            <w:shd w:val="clear" w:color="auto" w:fill="FFFF00"/>
          </w:tcPr>
          <w:p w14:paraId="0410B4DD" w14:textId="77777777" w:rsidR="00401546" w:rsidRPr="00A9330B" w:rsidRDefault="00401546" w:rsidP="00401546">
            <w:pPr>
              <w:spacing w:line="240" w:lineRule="auto"/>
              <w:jc w:val="center"/>
              <w:rPr>
                <w:rFonts w:cs="Arial"/>
                <w:sz w:val="18"/>
                <w:szCs w:val="18"/>
              </w:rPr>
            </w:pPr>
          </w:p>
        </w:tc>
      </w:tr>
      <w:tr w:rsidR="00401546" w:rsidRPr="00A9330B" w14:paraId="0E67C5F8" w14:textId="77777777" w:rsidTr="00401546">
        <w:trPr>
          <w:jc w:val="center"/>
        </w:trPr>
        <w:tc>
          <w:tcPr>
            <w:tcW w:w="897" w:type="pct"/>
            <w:vMerge w:val="restart"/>
          </w:tcPr>
          <w:p w14:paraId="1C65AE07" w14:textId="77777777" w:rsidR="00401546" w:rsidRPr="00A9330B" w:rsidRDefault="00401546" w:rsidP="00401546">
            <w:pPr>
              <w:spacing w:line="240" w:lineRule="auto"/>
              <w:contextualSpacing/>
              <w:rPr>
                <w:rFonts w:cs="Arial"/>
                <w:b/>
                <w:sz w:val="18"/>
                <w:szCs w:val="18"/>
              </w:rPr>
            </w:pPr>
            <w:r w:rsidRPr="00A9330B">
              <w:rPr>
                <w:rFonts w:cs="Arial"/>
              </w:rPr>
              <w:t>3) L’entretien périodique et les réparations sur le réseau  de collecteur  et des rues</w:t>
            </w:r>
          </w:p>
        </w:tc>
        <w:tc>
          <w:tcPr>
            <w:tcW w:w="298" w:type="pct"/>
            <w:tcBorders>
              <w:right w:val="single" w:sz="6" w:space="0" w:color="000000"/>
            </w:tcBorders>
          </w:tcPr>
          <w:p w14:paraId="03D2090E" w14:textId="77777777" w:rsidR="00401546" w:rsidRPr="00A9330B" w:rsidRDefault="00401546" w:rsidP="00401546">
            <w:pPr>
              <w:spacing w:line="240" w:lineRule="auto"/>
              <w:jc w:val="center"/>
              <w:rPr>
                <w:rFonts w:cs="Arial"/>
                <w:sz w:val="18"/>
                <w:szCs w:val="18"/>
              </w:rPr>
            </w:pPr>
            <w:r w:rsidRPr="00A9330B">
              <w:rPr>
                <w:rFonts w:cs="Arial"/>
                <w:sz w:val="18"/>
                <w:szCs w:val="18"/>
              </w:rPr>
              <w:t>1</w:t>
            </w:r>
          </w:p>
        </w:tc>
        <w:tc>
          <w:tcPr>
            <w:tcW w:w="1171" w:type="pct"/>
            <w:tcBorders>
              <w:left w:val="single" w:sz="6" w:space="0" w:color="000000"/>
              <w:bottom w:val="single" w:sz="6" w:space="0" w:color="000000"/>
            </w:tcBorders>
          </w:tcPr>
          <w:p w14:paraId="2BB20EA4" w14:textId="77777777" w:rsidR="00401546" w:rsidRPr="00A9330B" w:rsidRDefault="00401546" w:rsidP="000F7BA7">
            <w:pPr>
              <w:spacing w:line="240" w:lineRule="auto"/>
              <w:jc w:val="both"/>
              <w:rPr>
                <w:rFonts w:cs="Arial"/>
                <w:sz w:val="18"/>
                <w:szCs w:val="18"/>
              </w:rPr>
            </w:pPr>
            <w:r w:rsidRPr="00A9330B">
              <w:rPr>
                <w:rFonts w:cs="Arial"/>
                <w:sz w:val="18"/>
                <w:szCs w:val="18"/>
              </w:rPr>
              <w:t>Conduite inappropriée des véhicules et engins de chantier</w:t>
            </w:r>
          </w:p>
        </w:tc>
        <w:tc>
          <w:tcPr>
            <w:tcW w:w="1517" w:type="pct"/>
            <w:tcBorders>
              <w:bottom w:val="single" w:sz="6" w:space="0" w:color="000000"/>
            </w:tcBorders>
          </w:tcPr>
          <w:p w14:paraId="68E87807" w14:textId="4E3D4029" w:rsidR="00401546" w:rsidRPr="00A9330B" w:rsidRDefault="00401546" w:rsidP="000F7BA7">
            <w:pPr>
              <w:spacing w:line="240" w:lineRule="auto"/>
              <w:jc w:val="both"/>
              <w:rPr>
                <w:rFonts w:cs="Arial"/>
                <w:sz w:val="18"/>
                <w:szCs w:val="18"/>
              </w:rPr>
            </w:pPr>
            <w:r w:rsidRPr="00A9330B">
              <w:rPr>
                <w:rFonts w:cs="Arial"/>
                <w:sz w:val="18"/>
                <w:szCs w:val="18"/>
              </w:rPr>
              <w:t xml:space="preserve">Exposition des chauffeurs, passagers et tiers à des blessures, </w:t>
            </w:r>
            <w:r w:rsidR="008E44CE" w:rsidRPr="00A9330B">
              <w:rPr>
                <w:rFonts w:cs="Arial"/>
                <w:sz w:val="18"/>
                <w:szCs w:val="18"/>
              </w:rPr>
              <w:t xml:space="preserve">des </w:t>
            </w:r>
            <w:r w:rsidRPr="00A9330B">
              <w:rPr>
                <w:rFonts w:cs="Arial"/>
                <w:sz w:val="18"/>
                <w:szCs w:val="18"/>
              </w:rPr>
              <w:t>fractures,</w:t>
            </w:r>
            <w:r w:rsidR="008E44CE" w:rsidRPr="00A9330B">
              <w:rPr>
                <w:rFonts w:cs="Arial"/>
                <w:sz w:val="18"/>
                <w:szCs w:val="18"/>
              </w:rPr>
              <w:t xml:space="preserve"> des </w:t>
            </w:r>
            <w:r w:rsidRPr="00A9330B">
              <w:rPr>
                <w:rFonts w:cs="Arial"/>
                <w:sz w:val="18"/>
                <w:szCs w:val="18"/>
              </w:rPr>
              <w:t xml:space="preserve"> traumatismes et le cas échéant </w:t>
            </w:r>
            <w:r w:rsidR="008E44CE" w:rsidRPr="00A9330B">
              <w:rPr>
                <w:rFonts w:cs="Arial"/>
                <w:sz w:val="18"/>
                <w:szCs w:val="18"/>
              </w:rPr>
              <w:t xml:space="preserve">la </w:t>
            </w:r>
            <w:r w:rsidRPr="00A9330B">
              <w:rPr>
                <w:rFonts w:cs="Arial"/>
                <w:sz w:val="18"/>
                <w:szCs w:val="18"/>
              </w:rPr>
              <w:t xml:space="preserve">dégradation ou </w:t>
            </w:r>
            <w:r w:rsidR="008E44CE" w:rsidRPr="00A9330B">
              <w:rPr>
                <w:rFonts w:cs="Arial"/>
                <w:sz w:val="18"/>
                <w:szCs w:val="18"/>
              </w:rPr>
              <w:t xml:space="preserve">la </w:t>
            </w:r>
            <w:r w:rsidRPr="00A9330B">
              <w:rPr>
                <w:rFonts w:cs="Arial"/>
                <w:sz w:val="18"/>
                <w:szCs w:val="18"/>
              </w:rPr>
              <w:t xml:space="preserve">destruction des biens  </w:t>
            </w:r>
          </w:p>
        </w:tc>
        <w:tc>
          <w:tcPr>
            <w:tcW w:w="373" w:type="pct"/>
            <w:tcBorders>
              <w:bottom w:val="single" w:sz="6" w:space="0" w:color="000000"/>
            </w:tcBorders>
          </w:tcPr>
          <w:p w14:paraId="39518534" w14:textId="77777777" w:rsidR="00401546" w:rsidRPr="00A9330B" w:rsidRDefault="00401546" w:rsidP="00401546">
            <w:pPr>
              <w:spacing w:line="240" w:lineRule="auto"/>
              <w:jc w:val="center"/>
              <w:rPr>
                <w:rFonts w:cs="Arial"/>
                <w:sz w:val="18"/>
                <w:szCs w:val="18"/>
              </w:rPr>
            </w:pPr>
            <w:r w:rsidRPr="00A9330B">
              <w:rPr>
                <w:rFonts w:cs="Arial"/>
                <w:sz w:val="18"/>
                <w:szCs w:val="18"/>
              </w:rPr>
              <w:t>2</w:t>
            </w:r>
          </w:p>
        </w:tc>
        <w:tc>
          <w:tcPr>
            <w:tcW w:w="298" w:type="pct"/>
            <w:tcBorders>
              <w:bottom w:val="single" w:sz="6" w:space="0" w:color="000000"/>
            </w:tcBorders>
          </w:tcPr>
          <w:p w14:paraId="076FDB82" w14:textId="77777777" w:rsidR="00401546" w:rsidRPr="00A9330B" w:rsidRDefault="00401546" w:rsidP="00401546">
            <w:pPr>
              <w:spacing w:line="240" w:lineRule="auto"/>
              <w:jc w:val="center"/>
              <w:rPr>
                <w:rFonts w:cs="Arial"/>
                <w:sz w:val="18"/>
                <w:szCs w:val="18"/>
              </w:rPr>
            </w:pPr>
            <w:r w:rsidRPr="00A9330B">
              <w:rPr>
                <w:rFonts w:cs="Arial"/>
                <w:sz w:val="18"/>
                <w:szCs w:val="18"/>
              </w:rPr>
              <w:t>3</w:t>
            </w:r>
          </w:p>
        </w:tc>
        <w:tc>
          <w:tcPr>
            <w:tcW w:w="445" w:type="pct"/>
            <w:tcBorders>
              <w:bottom w:val="single" w:sz="6" w:space="0" w:color="000000"/>
            </w:tcBorders>
            <w:shd w:val="clear" w:color="auto" w:fill="FFFF00"/>
          </w:tcPr>
          <w:p w14:paraId="6944C5DE" w14:textId="77777777" w:rsidR="00401546" w:rsidRPr="00A9330B" w:rsidRDefault="00401546" w:rsidP="00401546">
            <w:pPr>
              <w:spacing w:line="240" w:lineRule="auto"/>
              <w:jc w:val="center"/>
              <w:rPr>
                <w:rFonts w:cs="Arial"/>
                <w:sz w:val="18"/>
                <w:szCs w:val="18"/>
              </w:rPr>
            </w:pPr>
          </w:p>
        </w:tc>
      </w:tr>
      <w:tr w:rsidR="00401546" w:rsidRPr="00A9330B" w14:paraId="2EF03597" w14:textId="77777777" w:rsidTr="00401546">
        <w:trPr>
          <w:trHeight w:val="521"/>
          <w:jc w:val="center"/>
        </w:trPr>
        <w:tc>
          <w:tcPr>
            <w:tcW w:w="897" w:type="pct"/>
            <w:vMerge/>
          </w:tcPr>
          <w:p w14:paraId="3E227949" w14:textId="77777777" w:rsidR="00401546" w:rsidRPr="00A9330B" w:rsidRDefault="00401546" w:rsidP="00401546">
            <w:pPr>
              <w:spacing w:line="240" w:lineRule="auto"/>
              <w:jc w:val="center"/>
              <w:rPr>
                <w:rFonts w:cs="Arial"/>
                <w:sz w:val="18"/>
                <w:szCs w:val="18"/>
              </w:rPr>
            </w:pPr>
          </w:p>
        </w:tc>
        <w:tc>
          <w:tcPr>
            <w:tcW w:w="298" w:type="pct"/>
          </w:tcPr>
          <w:p w14:paraId="4B93B638" w14:textId="77777777" w:rsidR="00401546" w:rsidRPr="00A9330B" w:rsidRDefault="00401546" w:rsidP="00401546">
            <w:pPr>
              <w:spacing w:line="240" w:lineRule="auto"/>
              <w:jc w:val="center"/>
              <w:rPr>
                <w:rFonts w:cs="Arial"/>
                <w:sz w:val="18"/>
                <w:szCs w:val="18"/>
              </w:rPr>
            </w:pPr>
            <w:r w:rsidRPr="00A9330B">
              <w:rPr>
                <w:rFonts w:cs="Arial"/>
                <w:sz w:val="18"/>
                <w:szCs w:val="18"/>
              </w:rPr>
              <w:t>2</w:t>
            </w:r>
          </w:p>
        </w:tc>
        <w:tc>
          <w:tcPr>
            <w:tcW w:w="1171" w:type="pct"/>
          </w:tcPr>
          <w:p w14:paraId="7CC24DDE" w14:textId="77777777" w:rsidR="00401546" w:rsidRPr="00A9330B" w:rsidRDefault="00401546" w:rsidP="000F7BA7">
            <w:pPr>
              <w:spacing w:line="240" w:lineRule="auto"/>
              <w:jc w:val="both"/>
              <w:rPr>
                <w:rFonts w:cs="Arial"/>
                <w:sz w:val="18"/>
                <w:szCs w:val="18"/>
              </w:rPr>
            </w:pPr>
            <w:r w:rsidRPr="00A9330B">
              <w:rPr>
                <w:rFonts w:cs="Arial"/>
                <w:sz w:val="18"/>
                <w:szCs w:val="18"/>
              </w:rPr>
              <w:t xml:space="preserve">Réparation de dégradations sur collecteur ou rues  </w:t>
            </w:r>
          </w:p>
        </w:tc>
        <w:tc>
          <w:tcPr>
            <w:tcW w:w="1517" w:type="pct"/>
            <w:tcBorders>
              <w:top w:val="single" w:sz="6" w:space="0" w:color="000000"/>
            </w:tcBorders>
          </w:tcPr>
          <w:p w14:paraId="45324173" w14:textId="737150B4" w:rsidR="00401546" w:rsidRPr="00A9330B" w:rsidRDefault="00401546" w:rsidP="000F7BA7">
            <w:pPr>
              <w:spacing w:line="240" w:lineRule="auto"/>
              <w:jc w:val="both"/>
              <w:rPr>
                <w:rFonts w:cs="Arial"/>
                <w:sz w:val="18"/>
                <w:szCs w:val="18"/>
              </w:rPr>
            </w:pPr>
            <w:r w:rsidRPr="00A9330B">
              <w:rPr>
                <w:rFonts w:cs="Arial"/>
                <w:sz w:val="18"/>
                <w:szCs w:val="18"/>
              </w:rPr>
              <w:t>Chutes au sol et dans l’eau des ouvriers pouvant occasionner la noyade, des blessures,</w:t>
            </w:r>
            <w:r w:rsidR="008E44CE" w:rsidRPr="00A9330B">
              <w:rPr>
                <w:rFonts w:cs="Arial"/>
                <w:sz w:val="18"/>
                <w:szCs w:val="18"/>
              </w:rPr>
              <w:t xml:space="preserve"> des</w:t>
            </w:r>
            <w:r w:rsidRPr="00A9330B">
              <w:rPr>
                <w:rFonts w:cs="Arial"/>
                <w:sz w:val="18"/>
                <w:szCs w:val="18"/>
              </w:rPr>
              <w:t xml:space="preserve"> fractures, </w:t>
            </w:r>
            <w:r w:rsidR="008E44CE" w:rsidRPr="00A9330B">
              <w:rPr>
                <w:rFonts w:cs="Arial"/>
                <w:sz w:val="18"/>
                <w:szCs w:val="18"/>
              </w:rPr>
              <w:t xml:space="preserve">des </w:t>
            </w:r>
            <w:r w:rsidRPr="00A9330B">
              <w:rPr>
                <w:rFonts w:cs="Arial"/>
                <w:sz w:val="18"/>
                <w:szCs w:val="18"/>
              </w:rPr>
              <w:t>lésions,</w:t>
            </w:r>
            <w:r w:rsidR="008E44CE" w:rsidRPr="00A9330B">
              <w:rPr>
                <w:rFonts w:cs="Arial"/>
                <w:sz w:val="18"/>
                <w:szCs w:val="18"/>
              </w:rPr>
              <w:t xml:space="preserve"> des</w:t>
            </w:r>
            <w:r w:rsidRPr="00A9330B">
              <w:rPr>
                <w:rFonts w:cs="Arial"/>
                <w:sz w:val="18"/>
                <w:szCs w:val="18"/>
              </w:rPr>
              <w:t xml:space="preserve"> pertes </w:t>
            </w:r>
            <w:r w:rsidRPr="00A9330B">
              <w:rPr>
                <w:rFonts w:cs="Arial"/>
                <w:sz w:val="18"/>
                <w:szCs w:val="18"/>
              </w:rPr>
              <w:lastRenderedPageBreak/>
              <w:t xml:space="preserve">sensorielles temporaires ou permanentes </w:t>
            </w:r>
          </w:p>
        </w:tc>
        <w:tc>
          <w:tcPr>
            <w:tcW w:w="373" w:type="pct"/>
          </w:tcPr>
          <w:p w14:paraId="34059FBC" w14:textId="77777777" w:rsidR="00401546" w:rsidRPr="00A9330B" w:rsidRDefault="00401546" w:rsidP="00401546">
            <w:pPr>
              <w:spacing w:line="240" w:lineRule="auto"/>
              <w:jc w:val="center"/>
              <w:rPr>
                <w:rFonts w:cs="Arial"/>
                <w:sz w:val="18"/>
                <w:szCs w:val="18"/>
              </w:rPr>
            </w:pPr>
            <w:r w:rsidRPr="00A9330B">
              <w:rPr>
                <w:rFonts w:cs="Arial"/>
                <w:sz w:val="18"/>
                <w:szCs w:val="18"/>
              </w:rPr>
              <w:lastRenderedPageBreak/>
              <w:t>1</w:t>
            </w:r>
          </w:p>
        </w:tc>
        <w:tc>
          <w:tcPr>
            <w:tcW w:w="298" w:type="pct"/>
            <w:tcBorders>
              <w:top w:val="single" w:sz="6" w:space="0" w:color="000000"/>
            </w:tcBorders>
          </w:tcPr>
          <w:p w14:paraId="56CDC9A9" w14:textId="77777777" w:rsidR="00401546" w:rsidRPr="00A9330B" w:rsidRDefault="00401546" w:rsidP="00401546">
            <w:pPr>
              <w:spacing w:line="240" w:lineRule="auto"/>
              <w:jc w:val="center"/>
              <w:rPr>
                <w:rFonts w:cs="Arial"/>
                <w:sz w:val="18"/>
                <w:szCs w:val="18"/>
              </w:rPr>
            </w:pPr>
            <w:r w:rsidRPr="00A9330B">
              <w:rPr>
                <w:rFonts w:cs="Arial"/>
                <w:sz w:val="18"/>
                <w:szCs w:val="18"/>
              </w:rPr>
              <w:t>4</w:t>
            </w:r>
          </w:p>
        </w:tc>
        <w:tc>
          <w:tcPr>
            <w:tcW w:w="445" w:type="pct"/>
            <w:tcBorders>
              <w:top w:val="single" w:sz="6" w:space="0" w:color="000000"/>
            </w:tcBorders>
            <w:shd w:val="clear" w:color="auto" w:fill="FFFF00"/>
          </w:tcPr>
          <w:p w14:paraId="2FBE347C" w14:textId="77777777" w:rsidR="00401546" w:rsidRPr="00A9330B" w:rsidRDefault="00401546" w:rsidP="00401546">
            <w:pPr>
              <w:spacing w:line="240" w:lineRule="auto"/>
              <w:jc w:val="center"/>
              <w:rPr>
                <w:rFonts w:cs="Arial"/>
                <w:sz w:val="18"/>
                <w:szCs w:val="18"/>
              </w:rPr>
            </w:pPr>
          </w:p>
        </w:tc>
      </w:tr>
      <w:tr w:rsidR="00401546" w:rsidRPr="00A9330B" w14:paraId="5B1399CE" w14:textId="77777777" w:rsidTr="00401546">
        <w:trPr>
          <w:trHeight w:val="521"/>
          <w:jc w:val="center"/>
        </w:trPr>
        <w:tc>
          <w:tcPr>
            <w:tcW w:w="897" w:type="pct"/>
            <w:vMerge/>
          </w:tcPr>
          <w:p w14:paraId="5044B2B4" w14:textId="77777777" w:rsidR="00401546" w:rsidRPr="00A9330B" w:rsidRDefault="00401546" w:rsidP="00401546">
            <w:pPr>
              <w:spacing w:line="240" w:lineRule="auto"/>
              <w:jc w:val="center"/>
              <w:rPr>
                <w:rFonts w:cs="Arial"/>
                <w:sz w:val="18"/>
                <w:szCs w:val="18"/>
              </w:rPr>
            </w:pPr>
          </w:p>
        </w:tc>
        <w:tc>
          <w:tcPr>
            <w:tcW w:w="298" w:type="pct"/>
          </w:tcPr>
          <w:p w14:paraId="76887CDA" w14:textId="77777777" w:rsidR="00401546" w:rsidRPr="00A9330B" w:rsidRDefault="00401546" w:rsidP="00401546">
            <w:pPr>
              <w:spacing w:line="240" w:lineRule="auto"/>
              <w:jc w:val="center"/>
              <w:rPr>
                <w:rFonts w:cs="Arial"/>
                <w:sz w:val="18"/>
                <w:szCs w:val="18"/>
              </w:rPr>
            </w:pPr>
            <w:r w:rsidRPr="00A9330B">
              <w:rPr>
                <w:rFonts w:cs="Arial"/>
                <w:sz w:val="18"/>
                <w:szCs w:val="18"/>
              </w:rPr>
              <w:t>3</w:t>
            </w:r>
          </w:p>
        </w:tc>
        <w:tc>
          <w:tcPr>
            <w:tcW w:w="1171" w:type="pct"/>
          </w:tcPr>
          <w:p w14:paraId="6D2AB2C0" w14:textId="7A74D6E3" w:rsidR="00401546" w:rsidRPr="00A9330B" w:rsidRDefault="00401546" w:rsidP="000F7BA7">
            <w:pPr>
              <w:spacing w:line="240" w:lineRule="auto"/>
              <w:jc w:val="both"/>
              <w:rPr>
                <w:rFonts w:cs="Arial"/>
                <w:sz w:val="18"/>
                <w:szCs w:val="18"/>
              </w:rPr>
            </w:pPr>
            <w:r w:rsidRPr="00A9330B">
              <w:rPr>
                <w:rFonts w:cs="Arial"/>
                <w:sz w:val="18"/>
                <w:szCs w:val="18"/>
              </w:rPr>
              <w:t>Déplacement ou utilisation non</w:t>
            </w:r>
            <w:r w:rsidR="008E44CE" w:rsidRPr="00A9330B">
              <w:rPr>
                <w:rFonts w:cs="Arial"/>
                <w:sz w:val="18"/>
                <w:szCs w:val="18"/>
              </w:rPr>
              <w:t xml:space="preserve"> ou</w:t>
            </w:r>
            <w:r w:rsidRPr="00A9330B">
              <w:rPr>
                <w:rFonts w:cs="Arial"/>
                <w:sz w:val="18"/>
                <w:szCs w:val="18"/>
              </w:rPr>
              <w:t xml:space="preserve"> mal contrôlés de véhicules et engins de chantier lors des opérations de réparations </w:t>
            </w:r>
          </w:p>
        </w:tc>
        <w:tc>
          <w:tcPr>
            <w:tcW w:w="1517" w:type="pct"/>
            <w:tcBorders>
              <w:top w:val="single" w:sz="6" w:space="0" w:color="000000"/>
            </w:tcBorders>
          </w:tcPr>
          <w:p w14:paraId="1A185DD3" w14:textId="1E564205" w:rsidR="00401546" w:rsidRPr="00A9330B" w:rsidRDefault="00401546" w:rsidP="000F7BA7">
            <w:pPr>
              <w:spacing w:line="240" w:lineRule="auto"/>
              <w:jc w:val="both"/>
              <w:rPr>
                <w:rFonts w:cs="Arial"/>
                <w:sz w:val="18"/>
                <w:szCs w:val="18"/>
              </w:rPr>
            </w:pPr>
            <w:r w:rsidRPr="00A9330B">
              <w:rPr>
                <w:rFonts w:cs="Arial"/>
                <w:sz w:val="18"/>
                <w:szCs w:val="18"/>
              </w:rPr>
              <w:t xml:space="preserve">Renversement, basculement, heurt d’un ouvrier ou d’un tiers pouvant occasionner la mort, des blessures, </w:t>
            </w:r>
            <w:r w:rsidR="008E44CE" w:rsidRPr="00A9330B">
              <w:rPr>
                <w:rFonts w:cs="Arial"/>
                <w:sz w:val="18"/>
                <w:szCs w:val="18"/>
              </w:rPr>
              <w:t xml:space="preserve">des </w:t>
            </w:r>
            <w:r w:rsidRPr="00A9330B">
              <w:rPr>
                <w:rFonts w:cs="Arial"/>
                <w:sz w:val="18"/>
                <w:szCs w:val="18"/>
              </w:rPr>
              <w:t>fractures,</w:t>
            </w:r>
            <w:r w:rsidR="008E44CE" w:rsidRPr="00A9330B">
              <w:rPr>
                <w:rFonts w:cs="Arial"/>
                <w:sz w:val="18"/>
                <w:szCs w:val="18"/>
              </w:rPr>
              <w:t xml:space="preserve"> des</w:t>
            </w:r>
            <w:r w:rsidRPr="00A9330B">
              <w:rPr>
                <w:rFonts w:cs="Arial"/>
                <w:sz w:val="18"/>
                <w:szCs w:val="18"/>
              </w:rPr>
              <w:t xml:space="preserve"> lésions, </w:t>
            </w:r>
            <w:r w:rsidR="008E44CE" w:rsidRPr="00A9330B">
              <w:rPr>
                <w:rFonts w:cs="Arial"/>
                <w:sz w:val="18"/>
                <w:szCs w:val="18"/>
              </w:rPr>
              <w:t xml:space="preserve">des </w:t>
            </w:r>
            <w:r w:rsidRPr="00A9330B">
              <w:rPr>
                <w:rFonts w:cs="Arial"/>
                <w:sz w:val="18"/>
                <w:szCs w:val="18"/>
              </w:rPr>
              <w:t xml:space="preserve">pertes sensorielles temporaires ou permanentes  </w:t>
            </w:r>
          </w:p>
        </w:tc>
        <w:tc>
          <w:tcPr>
            <w:tcW w:w="373" w:type="pct"/>
          </w:tcPr>
          <w:p w14:paraId="33D414AF" w14:textId="77777777" w:rsidR="00401546" w:rsidRPr="00A9330B" w:rsidRDefault="00401546" w:rsidP="00401546">
            <w:pPr>
              <w:spacing w:line="240" w:lineRule="auto"/>
              <w:jc w:val="center"/>
              <w:rPr>
                <w:rFonts w:cs="Arial"/>
                <w:sz w:val="18"/>
                <w:szCs w:val="18"/>
              </w:rPr>
            </w:pPr>
            <w:r w:rsidRPr="00A9330B">
              <w:rPr>
                <w:rFonts w:cs="Arial"/>
                <w:sz w:val="18"/>
                <w:szCs w:val="18"/>
              </w:rPr>
              <w:t>1</w:t>
            </w:r>
          </w:p>
        </w:tc>
        <w:tc>
          <w:tcPr>
            <w:tcW w:w="298" w:type="pct"/>
          </w:tcPr>
          <w:p w14:paraId="6A2A5DC8" w14:textId="77777777" w:rsidR="00401546" w:rsidRPr="00A9330B" w:rsidRDefault="00401546" w:rsidP="00401546">
            <w:pPr>
              <w:spacing w:line="240" w:lineRule="auto"/>
              <w:jc w:val="center"/>
              <w:rPr>
                <w:rFonts w:cs="Arial"/>
                <w:sz w:val="18"/>
                <w:szCs w:val="18"/>
              </w:rPr>
            </w:pPr>
            <w:r w:rsidRPr="00A9330B">
              <w:rPr>
                <w:rFonts w:cs="Arial"/>
                <w:sz w:val="18"/>
                <w:szCs w:val="18"/>
              </w:rPr>
              <w:t>3</w:t>
            </w:r>
          </w:p>
        </w:tc>
        <w:tc>
          <w:tcPr>
            <w:tcW w:w="445" w:type="pct"/>
            <w:shd w:val="clear" w:color="auto" w:fill="FFFF00"/>
          </w:tcPr>
          <w:p w14:paraId="765CA42F" w14:textId="77777777" w:rsidR="00401546" w:rsidRPr="00A9330B" w:rsidRDefault="00401546" w:rsidP="00401546">
            <w:pPr>
              <w:spacing w:line="240" w:lineRule="auto"/>
              <w:jc w:val="center"/>
              <w:rPr>
                <w:rFonts w:cs="Arial"/>
                <w:sz w:val="18"/>
                <w:szCs w:val="18"/>
              </w:rPr>
            </w:pPr>
          </w:p>
        </w:tc>
      </w:tr>
      <w:tr w:rsidR="00401546" w:rsidRPr="00A9330B" w14:paraId="6016AAAE" w14:textId="77777777" w:rsidTr="00401546">
        <w:trPr>
          <w:jc w:val="center"/>
        </w:trPr>
        <w:tc>
          <w:tcPr>
            <w:tcW w:w="897" w:type="pct"/>
            <w:vMerge/>
          </w:tcPr>
          <w:p w14:paraId="1A00620F" w14:textId="77777777" w:rsidR="00401546" w:rsidRPr="00A9330B" w:rsidRDefault="00401546" w:rsidP="00401546">
            <w:pPr>
              <w:spacing w:line="240" w:lineRule="auto"/>
              <w:jc w:val="center"/>
              <w:rPr>
                <w:rFonts w:cs="Arial"/>
                <w:sz w:val="18"/>
                <w:szCs w:val="18"/>
              </w:rPr>
            </w:pPr>
          </w:p>
        </w:tc>
        <w:tc>
          <w:tcPr>
            <w:tcW w:w="298" w:type="pct"/>
          </w:tcPr>
          <w:p w14:paraId="1BBE9458" w14:textId="77777777" w:rsidR="00401546" w:rsidRPr="00A9330B" w:rsidRDefault="00401546" w:rsidP="00401546">
            <w:pPr>
              <w:spacing w:line="240" w:lineRule="auto"/>
              <w:jc w:val="center"/>
              <w:rPr>
                <w:rFonts w:cs="Arial"/>
                <w:sz w:val="18"/>
                <w:szCs w:val="18"/>
              </w:rPr>
            </w:pPr>
            <w:r w:rsidRPr="00A9330B">
              <w:rPr>
                <w:rFonts w:cs="Arial"/>
                <w:sz w:val="18"/>
                <w:szCs w:val="18"/>
              </w:rPr>
              <w:t>4</w:t>
            </w:r>
          </w:p>
        </w:tc>
        <w:tc>
          <w:tcPr>
            <w:tcW w:w="1171" w:type="pct"/>
          </w:tcPr>
          <w:p w14:paraId="794DC4F7" w14:textId="1E7A00E5" w:rsidR="00401546" w:rsidRPr="00A9330B" w:rsidRDefault="00401546" w:rsidP="00401546">
            <w:pPr>
              <w:spacing w:line="240" w:lineRule="auto"/>
              <w:rPr>
                <w:rFonts w:cs="Arial"/>
                <w:sz w:val="18"/>
                <w:szCs w:val="18"/>
              </w:rPr>
            </w:pPr>
            <w:r w:rsidRPr="00A9330B">
              <w:rPr>
                <w:rFonts w:cs="Arial"/>
                <w:sz w:val="18"/>
                <w:szCs w:val="18"/>
              </w:rPr>
              <w:t>Stockage, manutention, manipulation ou transport inadapté</w:t>
            </w:r>
            <w:r w:rsidR="008E44CE" w:rsidRPr="00A9330B">
              <w:rPr>
                <w:rFonts w:cs="Arial"/>
                <w:sz w:val="18"/>
                <w:szCs w:val="18"/>
              </w:rPr>
              <w:t>s</w:t>
            </w:r>
            <w:r w:rsidRPr="00A9330B">
              <w:rPr>
                <w:rFonts w:cs="Arial"/>
                <w:sz w:val="18"/>
                <w:szCs w:val="18"/>
              </w:rPr>
              <w:t xml:space="preserve"> de matériels et matériaux (par Ex : déblais ou remblais)</w:t>
            </w:r>
          </w:p>
        </w:tc>
        <w:tc>
          <w:tcPr>
            <w:tcW w:w="1517" w:type="pct"/>
            <w:tcBorders>
              <w:bottom w:val="single" w:sz="6" w:space="0" w:color="000000"/>
            </w:tcBorders>
          </w:tcPr>
          <w:p w14:paraId="378A1F22" w14:textId="08CC007D" w:rsidR="00401546" w:rsidRPr="00A9330B" w:rsidRDefault="00401546" w:rsidP="000F7BA7">
            <w:pPr>
              <w:spacing w:line="240" w:lineRule="auto"/>
              <w:jc w:val="both"/>
              <w:rPr>
                <w:rFonts w:cs="Arial"/>
                <w:sz w:val="18"/>
                <w:szCs w:val="18"/>
              </w:rPr>
            </w:pPr>
            <w:r w:rsidRPr="00A9330B">
              <w:rPr>
                <w:rFonts w:cs="Arial"/>
                <w:sz w:val="18"/>
                <w:szCs w:val="18"/>
              </w:rPr>
              <w:t xml:space="preserve">Matériel ou matériaux accidentellement déversés sur les ouvriers pouvant entrainer des blessures, </w:t>
            </w:r>
            <w:r w:rsidR="008E44CE" w:rsidRPr="00A9330B">
              <w:rPr>
                <w:rFonts w:cs="Arial"/>
                <w:sz w:val="18"/>
                <w:szCs w:val="18"/>
              </w:rPr>
              <w:t xml:space="preserve">des </w:t>
            </w:r>
            <w:r w:rsidRPr="00A9330B">
              <w:rPr>
                <w:rFonts w:cs="Arial"/>
                <w:sz w:val="18"/>
                <w:szCs w:val="18"/>
              </w:rPr>
              <w:t>fractures,</w:t>
            </w:r>
            <w:r w:rsidR="008E44CE" w:rsidRPr="00A9330B">
              <w:rPr>
                <w:rFonts w:cs="Arial"/>
                <w:sz w:val="18"/>
                <w:szCs w:val="18"/>
              </w:rPr>
              <w:t xml:space="preserve"> des</w:t>
            </w:r>
            <w:r w:rsidRPr="00A9330B">
              <w:rPr>
                <w:rFonts w:cs="Arial"/>
                <w:sz w:val="18"/>
                <w:szCs w:val="18"/>
              </w:rPr>
              <w:t xml:space="preserve"> traumatismes </w:t>
            </w:r>
          </w:p>
        </w:tc>
        <w:tc>
          <w:tcPr>
            <w:tcW w:w="373" w:type="pct"/>
          </w:tcPr>
          <w:p w14:paraId="48D9284D" w14:textId="77777777" w:rsidR="00401546" w:rsidRPr="00A9330B" w:rsidRDefault="00401546" w:rsidP="00401546">
            <w:pPr>
              <w:spacing w:line="240" w:lineRule="auto"/>
              <w:jc w:val="center"/>
              <w:rPr>
                <w:rFonts w:cs="Arial"/>
                <w:sz w:val="18"/>
                <w:szCs w:val="18"/>
              </w:rPr>
            </w:pPr>
            <w:r w:rsidRPr="00A9330B">
              <w:rPr>
                <w:rFonts w:cs="Arial"/>
                <w:sz w:val="18"/>
                <w:szCs w:val="18"/>
              </w:rPr>
              <w:t>1</w:t>
            </w:r>
          </w:p>
        </w:tc>
        <w:tc>
          <w:tcPr>
            <w:tcW w:w="298" w:type="pct"/>
          </w:tcPr>
          <w:p w14:paraId="4DEC00B7" w14:textId="77777777" w:rsidR="00401546" w:rsidRPr="00A9330B" w:rsidRDefault="00401546" w:rsidP="00401546">
            <w:pPr>
              <w:spacing w:line="240" w:lineRule="auto"/>
              <w:jc w:val="center"/>
              <w:rPr>
                <w:rFonts w:cs="Arial"/>
                <w:sz w:val="18"/>
                <w:szCs w:val="18"/>
              </w:rPr>
            </w:pPr>
            <w:r w:rsidRPr="00A9330B">
              <w:rPr>
                <w:rFonts w:cs="Arial"/>
                <w:sz w:val="18"/>
                <w:szCs w:val="18"/>
              </w:rPr>
              <w:t>2</w:t>
            </w:r>
          </w:p>
        </w:tc>
        <w:tc>
          <w:tcPr>
            <w:tcW w:w="445" w:type="pct"/>
            <w:shd w:val="clear" w:color="auto" w:fill="FFFF00"/>
          </w:tcPr>
          <w:p w14:paraId="71E45826" w14:textId="77777777" w:rsidR="00401546" w:rsidRPr="00A9330B" w:rsidRDefault="00401546" w:rsidP="00401546">
            <w:pPr>
              <w:spacing w:line="240" w:lineRule="auto"/>
              <w:jc w:val="center"/>
              <w:rPr>
                <w:rFonts w:cs="Arial"/>
                <w:sz w:val="18"/>
                <w:szCs w:val="18"/>
              </w:rPr>
            </w:pPr>
          </w:p>
        </w:tc>
      </w:tr>
      <w:tr w:rsidR="00401546" w:rsidRPr="00A9330B" w14:paraId="2FB373DD" w14:textId="77777777" w:rsidTr="00401546">
        <w:trPr>
          <w:jc w:val="center"/>
        </w:trPr>
        <w:tc>
          <w:tcPr>
            <w:tcW w:w="897" w:type="pct"/>
            <w:vMerge/>
          </w:tcPr>
          <w:p w14:paraId="609EBF3C" w14:textId="77777777" w:rsidR="00401546" w:rsidRPr="00A9330B" w:rsidRDefault="00401546" w:rsidP="00401546">
            <w:pPr>
              <w:spacing w:line="240" w:lineRule="auto"/>
              <w:jc w:val="center"/>
              <w:rPr>
                <w:rFonts w:cs="Arial"/>
                <w:sz w:val="18"/>
                <w:szCs w:val="18"/>
              </w:rPr>
            </w:pPr>
          </w:p>
        </w:tc>
        <w:tc>
          <w:tcPr>
            <w:tcW w:w="298" w:type="pct"/>
          </w:tcPr>
          <w:p w14:paraId="451B3B76" w14:textId="77777777" w:rsidR="00401546" w:rsidRPr="00A9330B" w:rsidRDefault="00401546" w:rsidP="00401546">
            <w:pPr>
              <w:spacing w:line="240" w:lineRule="auto"/>
              <w:jc w:val="center"/>
              <w:rPr>
                <w:rFonts w:cs="Arial"/>
                <w:sz w:val="18"/>
                <w:szCs w:val="18"/>
              </w:rPr>
            </w:pPr>
            <w:r w:rsidRPr="00A9330B">
              <w:rPr>
                <w:rFonts w:cs="Arial"/>
                <w:sz w:val="18"/>
                <w:szCs w:val="18"/>
              </w:rPr>
              <w:t>5</w:t>
            </w:r>
          </w:p>
        </w:tc>
        <w:tc>
          <w:tcPr>
            <w:tcW w:w="1171" w:type="pct"/>
          </w:tcPr>
          <w:p w14:paraId="40C4EF77" w14:textId="77777777" w:rsidR="00401546" w:rsidRPr="00A9330B" w:rsidRDefault="00401546" w:rsidP="00401546">
            <w:pPr>
              <w:spacing w:line="240" w:lineRule="auto"/>
              <w:rPr>
                <w:rFonts w:cs="Arial"/>
                <w:sz w:val="18"/>
                <w:szCs w:val="18"/>
              </w:rPr>
            </w:pPr>
            <w:r w:rsidRPr="00A9330B">
              <w:rPr>
                <w:rFonts w:cs="Arial"/>
                <w:sz w:val="18"/>
                <w:szCs w:val="18"/>
              </w:rPr>
              <w:t xml:space="preserve">Conduite inappropriée des véhicules et engins de chantier </w:t>
            </w:r>
          </w:p>
        </w:tc>
        <w:tc>
          <w:tcPr>
            <w:tcW w:w="1517" w:type="pct"/>
            <w:tcBorders>
              <w:top w:val="single" w:sz="6" w:space="0" w:color="000000"/>
            </w:tcBorders>
          </w:tcPr>
          <w:p w14:paraId="5E237AA6" w14:textId="63A03B64" w:rsidR="00401546" w:rsidRPr="00A9330B" w:rsidRDefault="00401546" w:rsidP="000F7BA7">
            <w:pPr>
              <w:spacing w:line="240" w:lineRule="auto"/>
              <w:jc w:val="both"/>
              <w:rPr>
                <w:rFonts w:cs="Arial"/>
                <w:sz w:val="18"/>
                <w:szCs w:val="18"/>
              </w:rPr>
            </w:pPr>
            <w:r w:rsidRPr="00A9330B">
              <w:rPr>
                <w:rFonts w:cs="Arial"/>
                <w:sz w:val="18"/>
                <w:szCs w:val="18"/>
              </w:rPr>
              <w:t xml:space="preserve">Exposition des chauffeurs, passagers et tiers à des blessures, </w:t>
            </w:r>
            <w:r w:rsidR="008E44CE" w:rsidRPr="00A9330B">
              <w:rPr>
                <w:rFonts w:cs="Arial"/>
                <w:sz w:val="18"/>
                <w:szCs w:val="18"/>
              </w:rPr>
              <w:t xml:space="preserve">des </w:t>
            </w:r>
            <w:r w:rsidRPr="00A9330B">
              <w:rPr>
                <w:rFonts w:cs="Arial"/>
                <w:sz w:val="18"/>
                <w:szCs w:val="18"/>
              </w:rPr>
              <w:t>fractures,</w:t>
            </w:r>
            <w:r w:rsidR="008E44CE" w:rsidRPr="00A9330B">
              <w:rPr>
                <w:rFonts w:cs="Arial"/>
                <w:sz w:val="18"/>
                <w:szCs w:val="18"/>
              </w:rPr>
              <w:t xml:space="preserve"> des </w:t>
            </w:r>
            <w:r w:rsidRPr="00A9330B">
              <w:rPr>
                <w:rFonts w:cs="Arial"/>
                <w:sz w:val="18"/>
                <w:szCs w:val="18"/>
              </w:rPr>
              <w:t xml:space="preserve"> traumatismes et le cas échéant </w:t>
            </w:r>
            <w:r w:rsidR="008E44CE" w:rsidRPr="00A9330B">
              <w:rPr>
                <w:rFonts w:cs="Arial"/>
                <w:sz w:val="18"/>
                <w:szCs w:val="18"/>
              </w:rPr>
              <w:t xml:space="preserve">la </w:t>
            </w:r>
            <w:r w:rsidRPr="00A9330B">
              <w:rPr>
                <w:rFonts w:cs="Arial"/>
                <w:sz w:val="18"/>
                <w:szCs w:val="18"/>
              </w:rPr>
              <w:t xml:space="preserve">dégradation ou </w:t>
            </w:r>
            <w:r w:rsidR="008E44CE" w:rsidRPr="00A9330B">
              <w:rPr>
                <w:rFonts w:cs="Arial"/>
                <w:sz w:val="18"/>
                <w:szCs w:val="18"/>
              </w:rPr>
              <w:t xml:space="preserve">la </w:t>
            </w:r>
            <w:r w:rsidRPr="00A9330B">
              <w:rPr>
                <w:rFonts w:cs="Arial"/>
                <w:sz w:val="18"/>
                <w:szCs w:val="18"/>
              </w:rPr>
              <w:t xml:space="preserve">destruction de biens </w:t>
            </w:r>
          </w:p>
        </w:tc>
        <w:tc>
          <w:tcPr>
            <w:tcW w:w="373" w:type="pct"/>
          </w:tcPr>
          <w:p w14:paraId="12252B04" w14:textId="77777777" w:rsidR="00401546" w:rsidRPr="00A9330B" w:rsidRDefault="00401546" w:rsidP="00401546">
            <w:pPr>
              <w:spacing w:line="240" w:lineRule="auto"/>
              <w:jc w:val="center"/>
              <w:rPr>
                <w:rFonts w:cs="Arial"/>
                <w:sz w:val="18"/>
                <w:szCs w:val="18"/>
              </w:rPr>
            </w:pPr>
            <w:r w:rsidRPr="00A9330B">
              <w:rPr>
                <w:rFonts w:cs="Arial"/>
                <w:sz w:val="18"/>
                <w:szCs w:val="18"/>
              </w:rPr>
              <w:t>1</w:t>
            </w:r>
          </w:p>
        </w:tc>
        <w:tc>
          <w:tcPr>
            <w:tcW w:w="298" w:type="pct"/>
          </w:tcPr>
          <w:p w14:paraId="36F003D5" w14:textId="77777777" w:rsidR="00401546" w:rsidRPr="00A9330B" w:rsidRDefault="00401546" w:rsidP="00401546">
            <w:pPr>
              <w:spacing w:line="240" w:lineRule="auto"/>
              <w:jc w:val="center"/>
              <w:rPr>
                <w:rFonts w:cs="Arial"/>
                <w:sz w:val="18"/>
                <w:szCs w:val="18"/>
              </w:rPr>
            </w:pPr>
            <w:r w:rsidRPr="00A9330B">
              <w:rPr>
                <w:rFonts w:cs="Arial"/>
                <w:sz w:val="18"/>
                <w:szCs w:val="18"/>
              </w:rPr>
              <w:t>3</w:t>
            </w:r>
          </w:p>
        </w:tc>
        <w:tc>
          <w:tcPr>
            <w:tcW w:w="445" w:type="pct"/>
            <w:shd w:val="clear" w:color="auto" w:fill="FFFF00"/>
          </w:tcPr>
          <w:p w14:paraId="30CFD1E1" w14:textId="77777777" w:rsidR="00401546" w:rsidRPr="00A9330B" w:rsidRDefault="00401546" w:rsidP="00401546">
            <w:pPr>
              <w:spacing w:line="240" w:lineRule="auto"/>
              <w:jc w:val="center"/>
              <w:rPr>
                <w:rFonts w:cs="Arial"/>
                <w:sz w:val="18"/>
                <w:szCs w:val="18"/>
              </w:rPr>
            </w:pPr>
          </w:p>
        </w:tc>
      </w:tr>
    </w:tbl>
    <w:p w14:paraId="094D0CB7" w14:textId="77777777" w:rsidR="00401546" w:rsidRPr="00A9330B" w:rsidRDefault="00401546" w:rsidP="000F7BA7">
      <w:pPr>
        <w:pStyle w:val="Titre20"/>
      </w:pPr>
      <w:bookmarkStart w:id="1992" w:name="_Toc531434262"/>
      <w:bookmarkStart w:id="1993" w:name="_Toc535244635"/>
      <w:bookmarkStart w:id="1994" w:name="_Toc43697715"/>
      <w:bookmarkStart w:id="1995" w:name="_Toc52869718"/>
      <w:bookmarkStart w:id="1996" w:name="_Toc52869869"/>
      <w:r w:rsidRPr="00A9330B">
        <w:t>9.15. Mesures générales de prévention et de minimisation des risques pendant l’exploitation</w:t>
      </w:r>
      <w:bookmarkEnd w:id="1992"/>
      <w:bookmarkEnd w:id="1993"/>
      <w:bookmarkEnd w:id="1994"/>
      <w:bookmarkEnd w:id="1995"/>
      <w:bookmarkEnd w:id="1996"/>
      <w:r w:rsidRPr="00A9330B">
        <w:t xml:space="preserve">  </w:t>
      </w:r>
    </w:p>
    <w:p w14:paraId="6BED877E" w14:textId="33302F91" w:rsidR="00401546" w:rsidRPr="00A9330B" w:rsidRDefault="00401546" w:rsidP="00401546">
      <w:pPr>
        <w:jc w:val="both"/>
        <w:rPr>
          <w:rFonts w:cs="Arial"/>
        </w:rPr>
      </w:pPr>
      <w:r w:rsidRPr="00A9330B">
        <w:rPr>
          <w:rFonts w:cs="Arial"/>
        </w:rPr>
        <w:t xml:space="preserve">Les mesures de prévention sont prises par le MO vis-à-vis des prestataires pendant la phase d’exploitation. Elles devraient théoriquement être adaptées aux risques liés aux </w:t>
      </w:r>
      <w:r w:rsidR="006721DD" w:rsidRPr="00A9330B">
        <w:rPr>
          <w:rFonts w:cs="Arial"/>
        </w:rPr>
        <w:t>activités et</w:t>
      </w:r>
      <w:r w:rsidRPr="00A9330B">
        <w:rPr>
          <w:rFonts w:cs="Arial"/>
        </w:rPr>
        <w:t xml:space="preserve"> listées dans un document du type Plan Hygiène Santé et Sécurité (PHSS) ou des clauses de prescriptions environnementales et sociales contenues dans les cahiers de charge de la société prestataire. </w:t>
      </w:r>
    </w:p>
    <w:p w14:paraId="1273E3C3" w14:textId="77777777" w:rsidR="00401546" w:rsidRPr="00A9330B" w:rsidRDefault="00401546" w:rsidP="00BD2F72">
      <w:pPr>
        <w:numPr>
          <w:ilvl w:val="0"/>
          <w:numId w:val="72"/>
        </w:numPr>
        <w:overflowPunct w:val="0"/>
        <w:autoSpaceDE w:val="0"/>
        <w:autoSpaceDN w:val="0"/>
        <w:adjustRightInd w:val="0"/>
        <w:spacing w:line="288" w:lineRule="auto"/>
        <w:contextualSpacing/>
        <w:rPr>
          <w:rFonts w:eastAsia="Times New Roman" w:cs="Times New Roman"/>
          <w:szCs w:val="20"/>
          <w:lang w:eastAsia="de-DE"/>
        </w:rPr>
      </w:pPr>
      <w:r w:rsidRPr="00A9330B">
        <w:rPr>
          <w:rFonts w:eastAsia="Times New Roman" w:cs="Times New Roman"/>
          <w:szCs w:val="20"/>
          <w:lang w:eastAsia="de-DE"/>
        </w:rPr>
        <w:t xml:space="preserve">Les mesures devraient concerner notamment : </w:t>
      </w:r>
    </w:p>
    <w:p w14:paraId="02F57467" w14:textId="77777777" w:rsidR="00401546" w:rsidRPr="00A9330B" w:rsidRDefault="00401546" w:rsidP="00BD2F72">
      <w:pPr>
        <w:numPr>
          <w:ilvl w:val="0"/>
          <w:numId w:val="72"/>
        </w:numPr>
        <w:overflowPunct w:val="0"/>
        <w:autoSpaceDE w:val="0"/>
        <w:autoSpaceDN w:val="0"/>
        <w:adjustRightInd w:val="0"/>
        <w:spacing w:line="288" w:lineRule="auto"/>
        <w:contextualSpacing/>
        <w:rPr>
          <w:rFonts w:eastAsia="Times New Roman" w:cs="Times New Roman"/>
          <w:szCs w:val="20"/>
          <w:lang w:eastAsia="de-DE"/>
        </w:rPr>
      </w:pPr>
      <w:r w:rsidRPr="00A9330B">
        <w:rPr>
          <w:rFonts w:eastAsia="Times New Roman" w:cs="Times New Roman"/>
          <w:szCs w:val="20"/>
          <w:lang w:eastAsia="de-DE"/>
        </w:rPr>
        <w:t>les équipements de protection individuelle et collective ;</w:t>
      </w:r>
    </w:p>
    <w:p w14:paraId="1D7F4E9D" w14:textId="77777777" w:rsidR="00401546" w:rsidRPr="00A9330B" w:rsidRDefault="00401546" w:rsidP="00BD2F72">
      <w:pPr>
        <w:numPr>
          <w:ilvl w:val="0"/>
          <w:numId w:val="72"/>
        </w:numPr>
        <w:overflowPunct w:val="0"/>
        <w:autoSpaceDE w:val="0"/>
        <w:autoSpaceDN w:val="0"/>
        <w:adjustRightInd w:val="0"/>
        <w:spacing w:line="288" w:lineRule="auto"/>
        <w:contextualSpacing/>
        <w:rPr>
          <w:rFonts w:eastAsia="Times New Roman" w:cs="Times New Roman"/>
          <w:szCs w:val="20"/>
          <w:lang w:eastAsia="de-DE"/>
        </w:rPr>
      </w:pPr>
      <w:r w:rsidRPr="00A9330B">
        <w:rPr>
          <w:rFonts w:eastAsia="Times New Roman" w:cs="Times New Roman"/>
          <w:szCs w:val="20"/>
          <w:lang w:eastAsia="de-DE"/>
        </w:rPr>
        <w:t>la prévention en termes de santé et d’hygiène du personnel ;</w:t>
      </w:r>
    </w:p>
    <w:p w14:paraId="37F7A38C" w14:textId="77777777" w:rsidR="00401546" w:rsidRPr="00A9330B" w:rsidRDefault="00401546" w:rsidP="00BD2F72">
      <w:pPr>
        <w:numPr>
          <w:ilvl w:val="0"/>
          <w:numId w:val="72"/>
        </w:numPr>
        <w:overflowPunct w:val="0"/>
        <w:autoSpaceDE w:val="0"/>
        <w:autoSpaceDN w:val="0"/>
        <w:adjustRightInd w:val="0"/>
        <w:spacing w:line="288" w:lineRule="auto"/>
        <w:contextualSpacing/>
        <w:rPr>
          <w:rFonts w:eastAsia="Times New Roman" w:cs="Times New Roman"/>
          <w:szCs w:val="20"/>
          <w:lang w:eastAsia="de-DE"/>
        </w:rPr>
      </w:pPr>
      <w:r w:rsidRPr="00A9330B">
        <w:rPr>
          <w:rFonts w:eastAsia="Times New Roman" w:cs="Times New Roman"/>
          <w:szCs w:val="20"/>
          <w:lang w:eastAsia="de-DE"/>
        </w:rPr>
        <w:t>la communication, la formation et l’évaluation des mesures prises pour limiter les risques ;</w:t>
      </w:r>
    </w:p>
    <w:p w14:paraId="3249F96B" w14:textId="77777777" w:rsidR="00401546" w:rsidRPr="00A9330B" w:rsidRDefault="00401546" w:rsidP="00BD2F72">
      <w:pPr>
        <w:numPr>
          <w:ilvl w:val="0"/>
          <w:numId w:val="72"/>
        </w:numPr>
        <w:overflowPunct w:val="0"/>
        <w:autoSpaceDE w:val="0"/>
        <w:autoSpaceDN w:val="0"/>
        <w:adjustRightInd w:val="0"/>
        <w:spacing w:line="288" w:lineRule="auto"/>
        <w:contextualSpacing/>
        <w:rPr>
          <w:rFonts w:eastAsia="Times New Roman" w:cs="Times New Roman"/>
          <w:szCs w:val="20"/>
          <w:lang w:eastAsia="de-DE"/>
        </w:rPr>
      </w:pPr>
      <w:r w:rsidRPr="00A9330B">
        <w:rPr>
          <w:rFonts w:eastAsia="Times New Roman" w:cs="Times New Roman"/>
          <w:szCs w:val="20"/>
          <w:lang w:eastAsia="de-DE"/>
        </w:rPr>
        <w:t>l’organisation des secours ;</w:t>
      </w:r>
    </w:p>
    <w:p w14:paraId="5AF24341" w14:textId="77777777" w:rsidR="00401546" w:rsidRPr="00A9330B" w:rsidRDefault="00401546" w:rsidP="00401546">
      <w:pPr>
        <w:rPr>
          <w:rFonts w:cs="Arial"/>
        </w:rPr>
      </w:pPr>
    </w:p>
    <w:p w14:paraId="1B0AF619" w14:textId="77777777" w:rsidR="00401546" w:rsidRPr="00A9330B" w:rsidRDefault="00401546" w:rsidP="00401546">
      <w:pPr>
        <w:spacing w:before="0" w:line="120" w:lineRule="auto"/>
        <w:jc w:val="center"/>
        <w:rPr>
          <w:rFonts w:eastAsia="Calibri" w:cstheme="majorBidi"/>
          <w:b/>
          <w:caps/>
          <w:color w:val="00B050"/>
          <w:sz w:val="30"/>
          <w:szCs w:val="30"/>
        </w:rPr>
      </w:pPr>
      <w:bookmarkStart w:id="1997" w:name="_Toc531434279"/>
      <w:bookmarkStart w:id="1998" w:name="_Toc535244652"/>
      <w:r w:rsidRPr="00A9330B">
        <w:rPr>
          <w:rFonts w:eastAsia="Calibri"/>
        </w:rPr>
        <w:br w:type="page"/>
      </w:r>
    </w:p>
    <w:p w14:paraId="1E3B3900" w14:textId="5C8CB57C" w:rsidR="00350C9E" w:rsidRPr="00A9330B" w:rsidRDefault="006721DD" w:rsidP="000F7BA7">
      <w:pPr>
        <w:pStyle w:val="Titre1"/>
      </w:pPr>
      <w:bookmarkStart w:id="1999" w:name="_Toc43697716"/>
      <w:bookmarkStart w:id="2000" w:name="_Toc52869719"/>
      <w:bookmarkStart w:id="2001" w:name="_Toc52869870"/>
      <w:r w:rsidRPr="00A9330B">
        <w:lastRenderedPageBreak/>
        <w:t xml:space="preserve">10. </w:t>
      </w:r>
      <w:r w:rsidR="00350C9E" w:rsidRPr="00A9330B">
        <w:t>RESUME DU plan d’ACTION DE REINSTALLATION</w:t>
      </w:r>
      <w:bookmarkEnd w:id="2000"/>
      <w:bookmarkEnd w:id="2001"/>
      <w:r w:rsidR="00350C9E" w:rsidRPr="00A9330B">
        <w:t xml:space="preserve"> </w:t>
      </w:r>
    </w:p>
    <w:p w14:paraId="61067238" w14:textId="3EE74F57" w:rsidR="00350C9E" w:rsidRPr="00A9330B" w:rsidRDefault="00350C9E" w:rsidP="006721DD">
      <w:pPr>
        <w:jc w:val="both"/>
        <w:rPr>
          <w:rFonts w:eastAsia="Times New Roman" w:cs="Times New Roman"/>
          <w:color w:val="auto"/>
          <w:szCs w:val="24"/>
          <w:lang w:eastAsia="de-DE"/>
        </w:rPr>
      </w:pPr>
      <w:r w:rsidRPr="00A9330B">
        <w:rPr>
          <w:rFonts w:eastAsia="Times New Roman" w:cs="Times New Roman"/>
          <w:color w:val="auto"/>
          <w:szCs w:val="24"/>
          <w:lang w:eastAsia="de-DE"/>
        </w:rPr>
        <w:t xml:space="preserve">A la demande du gouvernement béninois, la Banque Africaine de Développement (BAD) va soutenir la mise en œuvre du projet PAPVS. Ce Projet s’exécutera dans des agglomérations urbaines et les exutoires zones humides ou marécages) et consistera à la construction d’ouvrages de drainage dans les couloirs naturels d’écoulement de l’eau et de l’aménagement de voiries certaines ville secondaires. Pour la Ville de Natitingou, le projet est classé dans la catégorie 2, selon les Sauvegardes Opérationnelles de la BAD, et doit être soumis à la réalisation d’une étude d’impact environnemental et social (EIES) approfondie au regard de la nature, de la taille et de l’envergure des travaux à entreprendre, ainsi que de ses effets potentiels directs et indirects. </w:t>
      </w:r>
    </w:p>
    <w:p w14:paraId="4F58A82F" w14:textId="77777777" w:rsidR="00350C9E" w:rsidRPr="00A9330B" w:rsidRDefault="00350C9E" w:rsidP="006721DD">
      <w:pPr>
        <w:jc w:val="both"/>
        <w:rPr>
          <w:rFonts w:eastAsia="Times New Roman" w:cs="Times New Roman"/>
          <w:color w:val="auto"/>
          <w:szCs w:val="24"/>
          <w:lang w:eastAsia="de-DE"/>
        </w:rPr>
      </w:pPr>
      <w:r w:rsidRPr="00A9330B">
        <w:rPr>
          <w:rFonts w:eastAsia="Times New Roman" w:cs="Times New Roman"/>
          <w:color w:val="auto"/>
          <w:szCs w:val="24"/>
          <w:lang w:eastAsia="de-DE"/>
        </w:rPr>
        <w:t xml:space="preserve">L’exécution des travaux prévus nécessite l’acquisition d’un terrain, des déplacements involontaires de personnes et de biens et des perturbations d’activités de personnes se trouvant sur l’emprise des travaux prévus. </w:t>
      </w:r>
      <w:r w:rsidRPr="00A9330B">
        <w:rPr>
          <w:rFonts w:eastAsia="Times New Roman" w:cs="Arial"/>
          <w:color w:val="auto"/>
          <w:szCs w:val="24"/>
          <w:lang w:eastAsia="de-DE"/>
        </w:rPr>
        <w:t xml:space="preserve">Les enquêtes sur le terrain ont permis de recenser </w:t>
      </w:r>
      <w:r w:rsidRPr="00A9330B">
        <w:rPr>
          <w:rFonts w:eastAsia="Times New Roman" w:cs="Times New Roman"/>
          <w:color w:val="auto"/>
          <w:szCs w:val="24"/>
          <w:lang w:eastAsia="de-DE"/>
        </w:rPr>
        <w:t xml:space="preserve">405 personnes susceptibles d’être affectées par le projet. </w:t>
      </w:r>
    </w:p>
    <w:p w14:paraId="1738E4C0" w14:textId="77777777" w:rsidR="00350C9E" w:rsidRPr="00A9330B" w:rsidRDefault="00350C9E" w:rsidP="006721DD">
      <w:pPr>
        <w:jc w:val="both"/>
        <w:rPr>
          <w:rFonts w:eastAsia="Times New Roman" w:cs="Times New Roman"/>
          <w:color w:val="auto"/>
          <w:szCs w:val="24"/>
          <w:lang w:eastAsia="de-DE"/>
        </w:rPr>
      </w:pPr>
      <w:r w:rsidRPr="00A9330B">
        <w:rPr>
          <w:rFonts w:eastAsia="Times New Roman" w:cs="Times New Roman"/>
          <w:color w:val="auto"/>
          <w:szCs w:val="24"/>
          <w:lang w:eastAsia="de-DE"/>
        </w:rPr>
        <w:t>Aussi, conformément à la SO2 « Réinstallation involontaire : Acquisition de terres, déplacements de populations et indemnisation », il doit être élaboré un plan d’action de réinstallation pour la ville de Natitingou, pour assurer l’indemnisation et la réinstallation des personnes affectées par le projet (PAP).</w:t>
      </w:r>
    </w:p>
    <w:p w14:paraId="7CAC4CC6" w14:textId="77777777" w:rsidR="00350C9E" w:rsidRPr="00A9330B" w:rsidRDefault="00350C9E" w:rsidP="006721DD">
      <w:pPr>
        <w:jc w:val="both"/>
        <w:rPr>
          <w:rFonts w:eastAsia="Times New Roman" w:cs="Arial"/>
          <w:color w:val="auto"/>
          <w:lang w:eastAsia="de-DE"/>
        </w:rPr>
      </w:pPr>
      <w:r w:rsidRPr="00A9330B">
        <w:rPr>
          <w:rFonts w:eastAsia="Times New Roman" w:cs="Arial"/>
          <w:color w:val="auto"/>
          <w:lang w:eastAsia="de-DE"/>
        </w:rPr>
        <w:t xml:space="preserve">Cette exigence est confirmée par </w:t>
      </w:r>
      <w:r w:rsidRPr="00A9330B">
        <w:rPr>
          <w:rFonts w:eastAsia="Times New Roman" w:cs="Arial"/>
          <w:color w:val="auto"/>
          <w:szCs w:val="24"/>
          <w:lang w:eastAsia="de-DE"/>
        </w:rPr>
        <w:t>les dispositions nationales : à travers l’article 37 du décret n°2017-332 du 06 juillet 2017, portant organisation des procédures de l’évaluation environnementale en République du Bénin, qui dispose que « tout projet dont la réalisation occasionne le déplacement involontaire physique ou économique d’au moins cent (100) personnes</w:t>
      </w:r>
      <w:r w:rsidRPr="00A9330B">
        <w:rPr>
          <w:rFonts w:eastAsia="Times New Roman" w:cs="Arial"/>
          <w:b/>
          <w:color w:val="auto"/>
          <w:szCs w:val="24"/>
          <w:lang w:eastAsia="de-DE"/>
        </w:rPr>
        <w:t xml:space="preserve">, </w:t>
      </w:r>
      <w:r w:rsidRPr="00A9330B">
        <w:rPr>
          <w:rFonts w:eastAsia="Times New Roman" w:cs="Arial"/>
          <w:color w:val="auto"/>
          <w:szCs w:val="24"/>
          <w:lang w:eastAsia="de-DE"/>
        </w:rPr>
        <w:t>fait l’objet d’un PAR ».</w:t>
      </w:r>
    </w:p>
    <w:p w14:paraId="790A3C84" w14:textId="77777777" w:rsidR="00350C9E" w:rsidRPr="00A9330B" w:rsidRDefault="00350C9E" w:rsidP="006721DD">
      <w:pPr>
        <w:jc w:val="both"/>
        <w:rPr>
          <w:rFonts w:eastAsia="Times New Roman" w:cs="Arial"/>
          <w:color w:val="auto"/>
          <w:lang w:eastAsia="de-DE"/>
        </w:rPr>
      </w:pPr>
      <w:r w:rsidRPr="00A9330B">
        <w:rPr>
          <w:rFonts w:eastAsia="Times New Roman" w:cs="Arial"/>
          <w:color w:val="auto"/>
          <w:lang w:eastAsia="de-DE"/>
        </w:rPr>
        <w:t xml:space="preserve">Les objectifs du PAR sont : </w:t>
      </w:r>
    </w:p>
    <w:p w14:paraId="18C08612" w14:textId="77777777" w:rsidR="00350C9E" w:rsidRPr="00A9330B" w:rsidRDefault="00350C9E" w:rsidP="006721DD">
      <w:pPr>
        <w:ind w:left="720"/>
        <w:jc w:val="both"/>
        <w:rPr>
          <w:rFonts w:eastAsia="Calibri" w:cs="Arial"/>
          <w:color w:val="auto"/>
        </w:rPr>
      </w:pPr>
      <w:r w:rsidRPr="00A9330B">
        <w:rPr>
          <w:rFonts w:eastAsia="Calibri" w:cs="Arial"/>
          <w:color w:val="auto"/>
        </w:rPr>
        <w:t xml:space="preserve">a) éviter dans la mesure du possible ou minimiser la réinstallation involontaire et l’expropriation des terres ; </w:t>
      </w:r>
    </w:p>
    <w:p w14:paraId="2CE42C98" w14:textId="77777777" w:rsidR="00350C9E" w:rsidRPr="00A9330B" w:rsidRDefault="00350C9E" w:rsidP="006721DD">
      <w:pPr>
        <w:ind w:left="720"/>
        <w:jc w:val="both"/>
        <w:rPr>
          <w:rFonts w:eastAsia="Calibri" w:cs="Arial"/>
          <w:color w:val="auto"/>
        </w:rPr>
      </w:pPr>
      <w:r w:rsidRPr="00A9330B">
        <w:rPr>
          <w:rFonts w:eastAsia="Calibri" w:cs="Arial"/>
          <w:color w:val="auto"/>
        </w:rPr>
        <w:t xml:space="preserve">b) concevoir et exécuter, lorsqu’un déplacement de population est inévitable, les activités de réinstallation involontaire et d’indemnisation en tant que programmes de développement durable, en fournissant suffisamment de ressources d’investissement pour que les personnes affectées par le projet aient l’opportunité d’en partager les bénéfices ; </w:t>
      </w:r>
    </w:p>
    <w:p w14:paraId="488F84B5" w14:textId="77777777" w:rsidR="00350C9E" w:rsidRPr="00A9330B" w:rsidRDefault="00350C9E" w:rsidP="006721DD">
      <w:pPr>
        <w:ind w:left="720"/>
        <w:jc w:val="both"/>
        <w:rPr>
          <w:rFonts w:eastAsia="Calibri" w:cs="Arial"/>
          <w:color w:val="auto"/>
        </w:rPr>
      </w:pPr>
      <w:r w:rsidRPr="00A9330B">
        <w:rPr>
          <w:rFonts w:eastAsia="Calibri" w:cs="Arial"/>
          <w:color w:val="auto"/>
        </w:rPr>
        <w:t>c) S’assurer que les personnes affectées sont consultées et ont l’opportunité de participer à toutes les étapes charnières du processus d’élaboration et de mise en œuvre des activités de réinstallation involontaire ;</w:t>
      </w:r>
    </w:p>
    <w:p w14:paraId="2E3F5A9D" w14:textId="216324D9" w:rsidR="004C234F" w:rsidRPr="004C234F" w:rsidRDefault="00350C9E" w:rsidP="004C234F">
      <w:pPr>
        <w:ind w:left="720"/>
        <w:jc w:val="both"/>
        <w:rPr>
          <w:rFonts w:eastAsia="Calibri" w:cs="Arial"/>
          <w:color w:val="auto"/>
        </w:rPr>
        <w:sectPr w:rsidR="004C234F" w:rsidRPr="004C234F" w:rsidSect="000E2141">
          <w:footerReference w:type="default" r:id="rId102"/>
          <w:pgSz w:w="11906" w:h="16838"/>
          <w:pgMar w:top="1418" w:right="1418" w:bottom="1418" w:left="1418" w:header="709" w:footer="709" w:gutter="0"/>
          <w:cols w:space="708"/>
          <w:docGrid w:linePitch="360"/>
        </w:sectPr>
      </w:pPr>
      <w:r w:rsidRPr="00A9330B">
        <w:rPr>
          <w:rFonts w:ascii="Calibri" w:eastAsia="Calibri" w:hAnsi="Calibri" w:cs="Arial"/>
          <w:color w:val="auto"/>
        </w:rPr>
        <w:t xml:space="preserve"> </w:t>
      </w:r>
      <w:r w:rsidRPr="00A9330B">
        <w:rPr>
          <w:rFonts w:eastAsia="Calibri" w:cs="Arial"/>
          <w:color w:val="auto"/>
        </w:rPr>
        <w:t>d) assister les personnes déplacées dans leurs efforts pour améliorer leurs moyens d’existence et leur niveau de vie, ou du moins à les rétablir, en termes réels, à leur niveau d’avant le déplacement ou à celui d’avant la mise en œuvre du projet, s</w:t>
      </w:r>
      <w:r w:rsidR="004C234F">
        <w:rPr>
          <w:rFonts w:eastAsia="Calibri" w:cs="Arial"/>
          <w:color w:val="auto"/>
        </w:rPr>
        <w:t>elon le cas le plus avantageux.</w:t>
      </w:r>
    </w:p>
    <w:p w14:paraId="6B2A32FE" w14:textId="414D7D16" w:rsidR="00350C9E" w:rsidRPr="00A9330B" w:rsidRDefault="006721DD" w:rsidP="000F7BA7">
      <w:pPr>
        <w:pStyle w:val="Titre20"/>
      </w:pPr>
      <w:bookmarkStart w:id="2002" w:name="_Toc52869720"/>
      <w:bookmarkStart w:id="2003" w:name="_Toc52869871"/>
      <w:r w:rsidRPr="00A9330B">
        <w:lastRenderedPageBreak/>
        <w:t>10.1. Personnes impactées par le projet</w:t>
      </w:r>
      <w:bookmarkEnd w:id="2002"/>
      <w:bookmarkEnd w:id="2003"/>
      <w:r w:rsidRPr="00A9330B">
        <w:t xml:space="preserve"> </w:t>
      </w:r>
    </w:p>
    <w:p w14:paraId="4CF32605" w14:textId="3A50688B" w:rsidR="00350C9E" w:rsidRPr="00A9330B" w:rsidRDefault="00350C9E" w:rsidP="00E7466C">
      <w:pPr>
        <w:jc w:val="both"/>
        <w:rPr>
          <w:lang w:eastAsia="de-DE"/>
        </w:rPr>
      </w:pPr>
      <w:r w:rsidRPr="00A9330B">
        <w:rPr>
          <w:lang w:eastAsia="de-DE"/>
        </w:rPr>
        <w:t xml:space="preserve">La population de la commune </w:t>
      </w:r>
      <w:r w:rsidR="006721DD" w:rsidRPr="00A9330B">
        <w:rPr>
          <w:lang w:eastAsia="de-DE"/>
        </w:rPr>
        <w:t>de Natitingou</w:t>
      </w:r>
      <w:r w:rsidRPr="00A9330B">
        <w:rPr>
          <w:lang w:eastAsia="de-DE"/>
        </w:rPr>
        <w:t xml:space="preserve"> constitue la première bénéficiaire du projet qui ne subira plus les désagréments des inondations périodiques et dont le cadre de vie sera amélioré. Le projet permettra la création d’emplois temporaires pendant la phase des travaux aussi</w:t>
      </w:r>
      <w:r w:rsidR="008E44CE" w:rsidRPr="00A9330B">
        <w:rPr>
          <w:lang w:eastAsia="de-DE"/>
        </w:rPr>
        <w:t xml:space="preserve"> bien </w:t>
      </w:r>
      <w:r w:rsidRPr="00A9330B">
        <w:rPr>
          <w:lang w:eastAsia="de-DE"/>
        </w:rPr>
        <w:t xml:space="preserve">pour les hommes que </w:t>
      </w:r>
      <w:r w:rsidR="008E44CE" w:rsidRPr="00A9330B">
        <w:rPr>
          <w:lang w:eastAsia="de-DE"/>
        </w:rPr>
        <w:t xml:space="preserve">pour </w:t>
      </w:r>
      <w:r w:rsidRPr="00A9330B">
        <w:rPr>
          <w:lang w:eastAsia="de-DE"/>
        </w:rPr>
        <w:t xml:space="preserve">les femmes. Les petites et moyennes entreprises, les commerces, ateliers et prestataires </w:t>
      </w:r>
      <w:r w:rsidR="006721DD" w:rsidRPr="00A9330B">
        <w:rPr>
          <w:lang w:eastAsia="de-DE"/>
        </w:rPr>
        <w:t xml:space="preserve">profiterons </w:t>
      </w:r>
      <w:r w:rsidR="0057538E" w:rsidRPr="00A9330B">
        <w:rPr>
          <w:lang w:eastAsia="de-DE"/>
        </w:rPr>
        <w:t>largement de cette opportunité</w:t>
      </w:r>
      <w:r w:rsidRPr="00A9330B">
        <w:rPr>
          <w:lang w:eastAsia="de-DE"/>
        </w:rPr>
        <w:t xml:space="preserve"> d’affaires pour avoir des revenus.</w:t>
      </w:r>
    </w:p>
    <w:p w14:paraId="27066F73" w14:textId="77777777" w:rsidR="00350C9E" w:rsidRPr="00A9330B" w:rsidRDefault="00350C9E" w:rsidP="00E7466C">
      <w:pPr>
        <w:jc w:val="both"/>
        <w:rPr>
          <w:rFonts w:eastAsia="Arial"/>
          <w:lang w:eastAsia="de-DE"/>
        </w:rPr>
      </w:pPr>
      <w:r w:rsidRPr="00A9330B">
        <w:rPr>
          <w:lang w:eastAsia="de-DE"/>
        </w:rPr>
        <w:t xml:space="preserve">Enfin, la Mairie de Natitingou constitue aussi un bénéficiaire direct du projet PAPVS car c’est </w:t>
      </w:r>
      <w:r w:rsidRPr="00A9330B">
        <w:rPr>
          <w:rFonts w:eastAsia="Arial"/>
          <w:lang w:eastAsia="de-DE"/>
        </w:rPr>
        <w:t>le premier maillon en matière de gestion directe de la prévention de l’inondation au regard des articles 84 et 86, de la loi 97-029 du 15 janvier 1999 portant organisation des communes en République du Bénin.  Le projet permettra une extension du réseau de collecteurs et de voiries existant et ainsi le renforcement des capacités de la commune en matière de gestion des eaux pluviales et d’assainissement.</w:t>
      </w:r>
    </w:p>
    <w:p w14:paraId="3CEE5C41" w14:textId="745657C3" w:rsidR="00350C9E" w:rsidRPr="00A9330B" w:rsidRDefault="00B25F50" w:rsidP="00A9330B">
      <w:pPr>
        <w:pStyle w:val="Lgende"/>
      </w:pPr>
      <w:bookmarkStart w:id="2004" w:name="_Toc52873782"/>
      <w:r w:rsidRPr="00A9330B">
        <w:t xml:space="preserve">Tableau </w:t>
      </w:r>
      <w:r w:rsidR="00D24D0D" w:rsidRPr="00A9330B">
        <w:fldChar w:fldCharType="begin"/>
      </w:r>
      <w:r w:rsidR="00D24D0D" w:rsidRPr="00A9330B">
        <w:instrText xml:space="preserve"> SEQ Tableau \* ARABIC </w:instrText>
      </w:r>
      <w:r w:rsidR="00D24D0D" w:rsidRPr="00A9330B">
        <w:fldChar w:fldCharType="separate"/>
      </w:r>
      <w:r w:rsidR="0057538E" w:rsidRPr="00A9330B">
        <w:rPr>
          <w:noProof/>
        </w:rPr>
        <w:t>58</w:t>
      </w:r>
      <w:r w:rsidR="00D24D0D" w:rsidRPr="00A9330B">
        <w:rPr>
          <w:noProof/>
        </w:rPr>
        <w:fldChar w:fldCharType="end"/>
      </w:r>
      <w:r w:rsidRPr="00A9330B">
        <w:t> :</w:t>
      </w:r>
      <w:r w:rsidR="00350C9E" w:rsidRPr="00A9330B">
        <w:t xml:space="preserve"> Bénéficiaires par arrondissement du PAPVS - NATITINGOU</w:t>
      </w:r>
      <w:bookmarkEnd w:id="2004"/>
    </w:p>
    <w:tbl>
      <w:tblPr>
        <w:tblW w:w="4343" w:type="pct"/>
        <w:tblInd w:w="8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CellMar>
          <w:left w:w="70" w:type="dxa"/>
          <w:right w:w="70" w:type="dxa"/>
        </w:tblCellMar>
        <w:tblLook w:val="04A0" w:firstRow="1" w:lastRow="0" w:firstColumn="1" w:lastColumn="0" w:noHBand="0" w:noVBand="1"/>
      </w:tblPr>
      <w:tblGrid>
        <w:gridCol w:w="2694"/>
        <w:gridCol w:w="4252"/>
        <w:gridCol w:w="1417"/>
      </w:tblGrid>
      <w:tr w:rsidR="00350C9E" w:rsidRPr="00A9330B" w14:paraId="382479CE" w14:textId="77777777" w:rsidTr="000462C6">
        <w:trPr>
          <w:trHeight w:val="221"/>
        </w:trPr>
        <w:tc>
          <w:tcPr>
            <w:tcW w:w="1611" w:type="pct"/>
            <w:shd w:val="clear" w:color="auto" w:fill="00B0F0"/>
            <w:noWrap/>
            <w:vAlign w:val="center"/>
            <w:hideMark/>
          </w:tcPr>
          <w:p w14:paraId="1F55FC69" w14:textId="77777777" w:rsidR="00350C9E" w:rsidRPr="00A9330B" w:rsidRDefault="00350C9E" w:rsidP="006721DD">
            <w:pPr>
              <w:spacing w:line="240" w:lineRule="auto"/>
              <w:jc w:val="both"/>
              <w:rPr>
                <w:rFonts w:eastAsia="Calibri" w:cs="Arial"/>
                <w:b/>
                <w:color w:val="auto"/>
                <w:sz w:val="20"/>
                <w:szCs w:val="20"/>
                <w:lang w:eastAsia="fr-FR"/>
              </w:rPr>
            </w:pPr>
            <w:r w:rsidRPr="00A9330B">
              <w:rPr>
                <w:rFonts w:eastAsia="Calibri" w:cs="Arial"/>
                <w:b/>
                <w:color w:val="auto"/>
                <w:sz w:val="20"/>
                <w:szCs w:val="20"/>
                <w:lang w:eastAsia="fr-FR"/>
              </w:rPr>
              <w:t>Arrondissements</w:t>
            </w:r>
          </w:p>
        </w:tc>
        <w:tc>
          <w:tcPr>
            <w:tcW w:w="2542" w:type="pct"/>
            <w:shd w:val="clear" w:color="auto" w:fill="00B0F0"/>
            <w:noWrap/>
            <w:vAlign w:val="center"/>
            <w:hideMark/>
          </w:tcPr>
          <w:p w14:paraId="40C116F8" w14:textId="77777777" w:rsidR="00350C9E" w:rsidRPr="00A9330B" w:rsidRDefault="00350C9E" w:rsidP="006721DD">
            <w:pPr>
              <w:spacing w:line="240" w:lineRule="auto"/>
              <w:jc w:val="center"/>
              <w:rPr>
                <w:rFonts w:eastAsia="Calibri" w:cs="Arial"/>
                <w:b/>
                <w:color w:val="auto"/>
                <w:sz w:val="20"/>
                <w:szCs w:val="20"/>
                <w:lang w:eastAsia="fr-FR"/>
              </w:rPr>
            </w:pPr>
            <w:r w:rsidRPr="00A9330B">
              <w:rPr>
                <w:rFonts w:eastAsia="Calibri" w:cs="Arial"/>
                <w:b/>
                <w:color w:val="auto"/>
                <w:sz w:val="20"/>
                <w:szCs w:val="20"/>
                <w:lang w:eastAsia="fr-FR"/>
              </w:rPr>
              <w:t>Quartiers</w:t>
            </w:r>
          </w:p>
        </w:tc>
        <w:tc>
          <w:tcPr>
            <w:tcW w:w="847" w:type="pct"/>
            <w:shd w:val="clear" w:color="auto" w:fill="00B0F0"/>
            <w:noWrap/>
            <w:vAlign w:val="center"/>
            <w:hideMark/>
          </w:tcPr>
          <w:p w14:paraId="4A9B053B" w14:textId="77777777" w:rsidR="00350C9E" w:rsidRPr="00A9330B" w:rsidRDefault="00350C9E" w:rsidP="006721DD">
            <w:pPr>
              <w:spacing w:line="240" w:lineRule="auto"/>
              <w:jc w:val="center"/>
              <w:rPr>
                <w:rFonts w:eastAsia="Calibri" w:cs="Arial"/>
                <w:b/>
                <w:color w:val="auto"/>
                <w:sz w:val="20"/>
                <w:szCs w:val="20"/>
                <w:lang w:eastAsia="fr-FR"/>
              </w:rPr>
            </w:pPr>
            <w:r w:rsidRPr="00A9330B">
              <w:rPr>
                <w:rFonts w:eastAsia="Calibri" w:cs="Arial"/>
                <w:b/>
                <w:color w:val="auto"/>
                <w:sz w:val="20"/>
                <w:szCs w:val="20"/>
                <w:lang w:eastAsia="fr-FR"/>
              </w:rPr>
              <w:t>Nombre</w:t>
            </w:r>
          </w:p>
        </w:tc>
      </w:tr>
      <w:tr w:rsidR="00350C9E" w:rsidRPr="00A9330B" w14:paraId="354DC327" w14:textId="77777777" w:rsidTr="000462C6">
        <w:trPr>
          <w:trHeight w:val="283"/>
        </w:trPr>
        <w:tc>
          <w:tcPr>
            <w:tcW w:w="1611" w:type="pct"/>
            <w:shd w:val="clear" w:color="auto" w:fill="FFFFFF"/>
            <w:noWrap/>
            <w:vAlign w:val="center"/>
          </w:tcPr>
          <w:p w14:paraId="6A61B7B7" w14:textId="77777777" w:rsidR="00350C9E" w:rsidRPr="00A9330B" w:rsidRDefault="00350C9E" w:rsidP="006721DD">
            <w:pPr>
              <w:spacing w:line="240" w:lineRule="auto"/>
              <w:jc w:val="both"/>
              <w:rPr>
                <w:rFonts w:eastAsia="Calibri" w:cs="Arial"/>
                <w:b/>
                <w:bCs/>
                <w:color w:val="auto"/>
                <w:sz w:val="20"/>
                <w:szCs w:val="20"/>
                <w:lang w:eastAsia="fr-FR"/>
              </w:rPr>
            </w:pPr>
            <w:r w:rsidRPr="00A9330B">
              <w:rPr>
                <w:rFonts w:eastAsia="Calibri" w:cs="Arial"/>
                <w:b/>
                <w:bCs/>
                <w:color w:val="auto"/>
                <w:sz w:val="20"/>
                <w:szCs w:val="20"/>
                <w:lang w:eastAsia="fr-FR"/>
              </w:rPr>
              <w:t> Natitingou I</w:t>
            </w:r>
          </w:p>
        </w:tc>
        <w:tc>
          <w:tcPr>
            <w:tcW w:w="2542" w:type="pct"/>
            <w:shd w:val="clear" w:color="auto" w:fill="FFFFFF"/>
            <w:noWrap/>
            <w:vAlign w:val="bottom"/>
          </w:tcPr>
          <w:p w14:paraId="41D1C631" w14:textId="77777777" w:rsidR="00350C9E" w:rsidRPr="00A9330B" w:rsidRDefault="00350C9E" w:rsidP="006721DD">
            <w:pPr>
              <w:spacing w:line="240" w:lineRule="auto"/>
              <w:rPr>
                <w:rFonts w:eastAsia="Calibri" w:cs="Arial"/>
                <w:color w:val="auto"/>
                <w:sz w:val="20"/>
                <w:szCs w:val="20"/>
                <w:lang w:eastAsia="fr-FR"/>
              </w:rPr>
            </w:pPr>
            <w:r w:rsidRPr="00A9330B">
              <w:rPr>
                <w:rFonts w:eastAsia="Calibri" w:cs="Arial"/>
                <w:color w:val="auto"/>
                <w:sz w:val="20"/>
                <w:szCs w:val="20"/>
                <w:lang w:eastAsia="fr-FR"/>
              </w:rPr>
              <w:t>Bagri, Djindjiré-béri, Kantchagoutamou, Sountchirantikou, Tchirimina, Yokossi</w:t>
            </w:r>
          </w:p>
        </w:tc>
        <w:tc>
          <w:tcPr>
            <w:tcW w:w="847" w:type="pct"/>
            <w:shd w:val="clear" w:color="auto" w:fill="FFFFFF"/>
            <w:noWrap/>
            <w:vAlign w:val="center"/>
          </w:tcPr>
          <w:p w14:paraId="27AD100E" w14:textId="77777777" w:rsidR="00350C9E" w:rsidRPr="00A9330B" w:rsidRDefault="00350C9E" w:rsidP="006721DD">
            <w:pPr>
              <w:spacing w:line="240" w:lineRule="auto"/>
              <w:jc w:val="center"/>
              <w:rPr>
                <w:rFonts w:eastAsia="Calibri" w:cs="Arial"/>
                <w:color w:val="auto"/>
                <w:sz w:val="20"/>
                <w:szCs w:val="20"/>
                <w:lang w:eastAsia="fr-FR"/>
              </w:rPr>
            </w:pPr>
            <w:r w:rsidRPr="00A9330B">
              <w:rPr>
                <w:rFonts w:eastAsia="Calibri" w:cs="Arial"/>
                <w:color w:val="auto"/>
                <w:sz w:val="20"/>
                <w:szCs w:val="20"/>
                <w:lang w:eastAsia="fr-FR"/>
              </w:rPr>
              <w:t>12 309</w:t>
            </w:r>
          </w:p>
        </w:tc>
      </w:tr>
      <w:tr w:rsidR="00350C9E" w:rsidRPr="00A9330B" w14:paraId="0E406A4D" w14:textId="77777777" w:rsidTr="000462C6">
        <w:trPr>
          <w:trHeight w:val="297"/>
        </w:trPr>
        <w:tc>
          <w:tcPr>
            <w:tcW w:w="1611" w:type="pct"/>
            <w:shd w:val="clear" w:color="auto" w:fill="FFFFFF"/>
            <w:noWrap/>
            <w:vAlign w:val="center"/>
          </w:tcPr>
          <w:p w14:paraId="03446F63" w14:textId="77777777" w:rsidR="00350C9E" w:rsidRPr="00A9330B" w:rsidRDefault="00350C9E" w:rsidP="006721DD">
            <w:pPr>
              <w:spacing w:line="240" w:lineRule="auto"/>
              <w:jc w:val="both"/>
              <w:rPr>
                <w:rFonts w:eastAsia="Calibri" w:cs="Arial"/>
                <w:b/>
                <w:bCs/>
                <w:color w:val="auto"/>
                <w:sz w:val="20"/>
                <w:szCs w:val="20"/>
                <w:lang w:eastAsia="fr-FR"/>
              </w:rPr>
            </w:pPr>
            <w:r w:rsidRPr="00A9330B">
              <w:rPr>
                <w:rFonts w:eastAsia="Calibri" w:cs="Arial"/>
                <w:b/>
                <w:bCs/>
                <w:color w:val="auto"/>
                <w:sz w:val="20"/>
                <w:szCs w:val="20"/>
                <w:lang w:eastAsia="fr-FR"/>
              </w:rPr>
              <w:t>Natitingou II</w:t>
            </w:r>
          </w:p>
        </w:tc>
        <w:tc>
          <w:tcPr>
            <w:tcW w:w="2542" w:type="pct"/>
            <w:shd w:val="clear" w:color="auto" w:fill="FFFFFF"/>
            <w:noWrap/>
            <w:vAlign w:val="center"/>
          </w:tcPr>
          <w:p w14:paraId="7371CFA0" w14:textId="77777777" w:rsidR="00350C9E" w:rsidRPr="00A9330B" w:rsidRDefault="00350C9E" w:rsidP="006721DD">
            <w:pPr>
              <w:spacing w:line="240" w:lineRule="auto"/>
              <w:rPr>
                <w:rFonts w:eastAsia="Calibri" w:cs="Arial"/>
                <w:color w:val="auto"/>
                <w:sz w:val="20"/>
                <w:szCs w:val="20"/>
                <w:lang w:eastAsia="fr-FR"/>
              </w:rPr>
            </w:pPr>
            <w:r w:rsidRPr="00A9330B">
              <w:rPr>
                <w:rFonts w:eastAsia="Calibri" w:cs="Arial"/>
                <w:color w:val="auto"/>
                <w:sz w:val="20"/>
                <w:szCs w:val="20"/>
                <w:lang w:eastAsia="fr-FR"/>
              </w:rPr>
              <w:t>Bokoro, Boriyouré, Dassakaté, Ouroubonna, Ourkparbou, Santa</w:t>
            </w:r>
          </w:p>
        </w:tc>
        <w:tc>
          <w:tcPr>
            <w:tcW w:w="847" w:type="pct"/>
            <w:shd w:val="clear" w:color="auto" w:fill="FFFFFF"/>
            <w:noWrap/>
            <w:vAlign w:val="center"/>
          </w:tcPr>
          <w:p w14:paraId="703722D6" w14:textId="77777777" w:rsidR="00350C9E" w:rsidRPr="00A9330B" w:rsidRDefault="00350C9E" w:rsidP="006721DD">
            <w:pPr>
              <w:spacing w:line="240" w:lineRule="auto"/>
              <w:jc w:val="center"/>
              <w:rPr>
                <w:rFonts w:eastAsia="Calibri" w:cs="Arial"/>
                <w:color w:val="auto"/>
                <w:sz w:val="20"/>
                <w:szCs w:val="20"/>
                <w:lang w:eastAsia="fr-FR"/>
              </w:rPr>
            </w:pPr>
            <w:r w:rsidRPr="00A9330B">
              <w:rPr>
                <w:rFonts w:eastAsia="Calibri" w:cs="Arial"/>
                <w:color w:val="auto"/>
                <w:sz w:val="20"/>
                <w:szCs w:val="20"/>
                <w:lang w:eastAsia="fr-FR"/>
              </w:rPr>
              <w:t>11 551</w:t>
            </w:r>
          </w:p>
        </w:tc>
      </w:tr>
      <w:tr w:rsidR="00350C9E" w:rsidRPr="00A9330B" w14:paraId="47149B5A" w14:textId="77777777" w:rsidTr="000462C6">
        <w:trPr>
          <w:trHeight w:val="495"/>
        </w:trPr>
        <w:tc>
          <w:tcPr>
            <w:tcW w:w="1611" w:type="pct"/>
            <w:shd w:val="clear" w:color="auto" w:fill="FFFFFF"/>
            <w:noWrap/>
            <w:vAlign w:val="center"/>
          </w:tcPr>
          <w:p w14:paraId="583AB781" w14:textId="77777777" w:rsidR="00350C9E" w:rsidRPr="00A9330B" w:rsidRDefault="00350C9E" w:rsidP="006721DD">
            <w:pPr>
              <w:spacing w:line="240" w:lineRule="auto"/>
              <w:jc w:val="both"/>
              <w:rPr>
                <w:rFonts w:eastAsia="Calibri" w:cs="Arial"/>
                <w:b/>
                <w:bCs/>
                <w:color w:val="auto"/>
                <w:sz w:val="20"/>
                <w:szCs w:val="20"/>
                <w:lang w:eastAsia="fr-FR"/>
              </w:rPr>
            </w:pPr>
            <w:r w:rsidRPr="00A9330B">
              <w:rPr>
                <w:rFonts w:eastAsia="Calibri" w:cs="Arial"/>
                <w:b/>
                <w:bCs/>
                <w:color w:val="auto"/>
                <w:sz w:val="20"/>
                <w:szCs w:val="20"/>
                <w:lang w:eastAsia="fr-FR"/>
              </w:rPr>
              <w:t>Natitingou III</w:t>
            </w:r>
          </w:p>
        </w:tc>
        <w:tc>
          <w:tcPr>
            <w:tcW w:w="2542" w:type="pct"/>
            <w:shd w:val="clear" w:color="auto" w:fill="FFFFFF"/>
            <w:noWrap/>
            <w:vAlign w:val="bottom"/>
          </w:tcPr>
          <w:p w14:paraId="5F9EBE28" w14:textId="77777777" w:rsidR="00350C9E" w:rsidRPr="00A9330B" w:rsidRDefault="00350C9E" w:rsidP="006721DD">
            <w:pPr>
              <w:spacing w:line="240" w:lineRule="auto"/>
              <w:rPr>
                <w:rFonts w:eastAsia="Calibri" w:cs="Arial"/>
                <w:color w:val="auto"/>
                <w:sz w:val="20"/>
                <w:szCs w:val="20"/>
                <w:lang w:eastAsia="fr-FR"/>
              </w:rPr>
            </w:pPr>
            <w:r w:rsidRPr="00A9330B">
              <w:rPr>
                <w:rFonts w:eastAsia="Calibri" w:cs="Arial"/>
                <w:color w:val="auto"/>
                <w:sz w:val="20"/>
                <w:szCs w:val="20"/>
                <w:lang w:eastAsia="fr-FR"/>
              </w:rPr>
              <w:t>Bérécingou, Didapoumbor, Kantaborifa, Koussantikou, Ourbouga, Winkè, Yétapo, Yimporima</w:t>
            </w:r>
          </w:p>
        </w:tc>
        <w:tc>
          <w:tcPr>
            <w:tcW w:w="847" w:type="pct"/>
            <w:shd w:val="clear" w:color="auto" w:fill="FFFFFF"/>
            <w:noWrap/>
            <w:vAlign w:val="center"/>
          </w:tcPr>
          <w:p w14:paraId="67F1ECC1" w14:textId="77777777" w:rsidR="00350C9E" w:rsidRPr="00A9330B" w:rsidRDefault="00350C9E" w:rsidP="006721DD">
            <w:pPr>
              <w:spacing w:line="240" w:lineRule="auto"/>
              <w:jc w:val="center"/>
              <w:rPr>
                <w:rFonts w:eastAsia="Calibri" w:cs="Arial"/>
                <w:color w:val="auto"/>
                <w:sz w:val="20"/>
                <w:szCs w:val="20"/>
                <w:lang w:eastAsia="fr-FR"/>
              </w:rPr>
            </w:pPr>
            <w:r w:rsidRPr="00A9330B">
              <w:rPr>
                <w:rFonts w:eastAsia="Calibri" w:cs="Arial"/>
                <w:color w:val="auto"/>
                <w:sz w:val="20"/>
                <w:szCs w:val="20"/>
                <w:lang w:eastAsia="fr-FR"/>
              </w:rPr>
              <w:t>22 011</w:t>
            </w:r>
          </w:p>
        </w:tc>
      </w:tr>
      <w:tr w:rsidR="00350C9E" w:rsidRPr="00A9330B" w14:paraId="47D8C4FE" w14:textId="77777777" w:rsidTr="000462C6">
        <w:trPr>
          <w:trHeight w:val="495"/>
        </w:trPr>
        <w:tc>
          <w:tcPr>
            <w:tcW w:w="1611" w:type="pct"/>
            <w:shd w:val="clear" w:color="auto" w:fill="FFFFFF"/>
            <w:noWrap/>
            <w:vAlign w:val="center"/>
          </w:tcPr>
          <w:p w14:paraId="7C98B378" w14:textId="77777777" w:rsidR="00350C9E" w:rsidRPr="00A9330B" w:rsidRDefault="00350C9E" w:rsidP="006721DD">
            <w:pPr>
              <w:spacing w:line="240" w:lineRule="auto"/>
              <w:jc w:val="both"/>
              <w:rPr>
                <w:rFonts w:eastAsia="Calibri" w:cs="Arial"/>
                <w:b/>
                <w:bCs/>
                <w:color w:val="auto"/>
                <w:sz w:val="20"/>
                <w:szCs w:val="20"/>
                <w:lang w:eastAsia="fr-FR"/>
              </w:rPr>
            </w:pPr>
            <w:r w:rsidRPr="00A9330B">
              <w:rPr>
                <w:rFonts w:eastAsia="Calibri" w:cs="Arial"/>
                <w:b/>
                <w:bCs/>
                <w:color w:val="auto"/>
                <w:sz w:val="20"/>
                <w:szCs w:val="20"/>
                <w:lang w:eastAsia="fr-FR"/>
              </w:rPr>
              <w:t xml:space="preserve">TOTAL </w:t>
            </w:r>
          </w:p>
        </w:tc>
        <w:tc>
          <w:tcPr>
            <w:tcW w:w="2542" w:type="pct"/>
            <w:shd w:val="clear" w:color="auto" w:fill="FFFFFF"/>
            <w:noWrap/>
            <w:vAlign w:val="bottom"/>
          </w:tcPr>
          <w:p w14:paraId="0929F264" w14:textId="77777777" w:rsidR="00350C9E" w:rsidRPr="00A9330B" w:rsidRDefault="00350C9E" w:rsidP="006721DD">
            <w:pPr>
              <w:spacing w:line="240" w:lineRule="auto"/>
              <w:jc w:val="both"/>
              <w:rPr>
                <w:rFonts w:eastAsia="Calibri" w:cs="Arial"/>
                <w:b/>
                <w:color w:val="auto"/>
                <w:sz w:val="20"/>
                <w:szCs w:val="20"/>
                <w:lang w:eastAsia="fr-FR"/>
              </w:rPr>
            </w:pPr>
          </w:p>
        </w:tc>
        <w:tc>
          <w:tcPr>
            <w:tcW w:w="847" w:type="pct"/>
            <w:shd w:val="clear" w:color="auto" w:fill="FFFFFF"/>
            <w:noWrap/>
            <w:vAlign w:val="center"/>
          </w:tcPr>
          <w:p w14:paraId="29449A1B" w14:textId="11FEFF78" w:rsidR="00350C9E" w:rsidRPr="00A9330B" w:rsidRDefault="00350C9E" w:rsidP="00BD2F72">
            <w:pPr>
              <w:pStyle w:val="Paragraphedeliste"/>
              <w:numPr>
                <w:ilvl w:val="0"/>
                <w:numId w:val="96"/>
              </w:numPr>
              <w:spacing w:line="240" w:lineRule="auto"/>
              <w:jc w:val="center"/>
              <w:rPr>
                <w:rFonts w:eastAsia="Calibri" w:cs="Arial"/>
                <w:b/>
                <w:color w:val="auto"/>
                <w:sz w:val="20"/>
                <w:lang w:val="fr-FR" w:eastAsia="fr-FR"/>
              </w:rPr>
            </w:pPr>
            <w:r w:rsidRPr="00A9330B">
              <w:rPr>
                <w:rFonts w:eastAsia="Calibri" w:cs="Arial"/>
                <w:b/>
                <w:color w:val="auto"/>
                <w:sz w:val="20"/>
                <w:lang w:val="fr-FR" w:eastAsia="fr-FR"/>
              </w:rPr>
              <w:t>71</w:t>
            </w:r>
          </w:p>
        </w:tc>
      </w:tr>
    </w:tbl>
    <w:p w14:paraId="620A0D2D" w14:textId="1032ADCC" w:rsidR="00350C9E" w:rsidRPr="00A9330B" w:rsidRDefault="00B25F50" w:rsidP="000F7BA7">
      <w:pPr>
        <w:pStyle w:val="Titre20"/>
      </w:pPr>
      <w:bookmarkStart w:id="2005" w:name="_Toc44771435"/>
      <w:bookmarkStart w:id="2006" w:name="_Toc52869721"/>
      <w:bookmarkStart w:id="2007" w:name="_Toc52869872"/>
      <w:r w:rsidRPr="00A9330B">
        <w:t xml:space="preserve">10.2. </w:t>
      </w:r>
      <w:r w:rsidR="00350C9E" w:rsidRPr="00A9330B">
        <w:t xml:space="preserve">Informations générales sur le </w:t>
      </w:r>
      <w:r w:rsidR="0057538E" w:rsidRPr="00A9330B">
        <w:t>PAR</w:t>
      </w:r>
      <w:bookmarkEnd w:id="2006"/>
      <w:bookmarkEnd w:id="2007"/>
      <w:r w:rsidR="0057538E" w:rsidRPr="00A9330B">
        <w:t xml:space="preserve"> </w:t>
      </w:r>
    </w:p>
    <w:p w14:paraId="36A86D6F" w14:textId="740C2A32" w:rsidR="00350C9E" w:rsidRPr="00A9330B" w:rsidRDefault="00B25F50" w:rsidP="0057538E">
      <w:pPr>
        <w:spacing w:line="360" w:lineRule="auto"/>
        <w:jc w:val="center"/>
        <w:rPr>
          <w:rFonts w:eastAsia="Times New Roman" w:cs="Times New Roman"/>
          <w:b/>
          <w:color w:val="auto"/>
          <w:sz w:val="20"/>
          <w:szCs w:val="20"/>
          <w:lang w:eastAsia="de-DE"/>
        </w:rPr>
      </w:pPr>
      <w:bookmarkStart w:id="2008" w:name="_Toc52873783"/>
      <w:r w:rsidRPr="00A9330B">
        <w:rPr>
          <w:b/>
          <w:sz w:val="20"/>
          <w:szCs w:val="20"/>
        </w:rPr>
        <w:t xml:space="preserve">Tableau </w:t>
      </w:r>
      <w:r w:rsidRPr="00A9330B">
        <w:rPr>
          <w:b/>
          <w:sz w:val="20"/>
          <w:szCs w:val="20"/>
        </w:rPr>
        <w:fldChar w:fldCharType="begin"/>
      </w:r>
      <w:r w:rsidRPr="00A9330B">
        <w:rPr>
          <w:b/>
          <w:sz w:val="20"/>
          <w:szCs w:val="20"/>
        </w:rPr>
        <w:instrText xml:space="preserve"> SEQ Tableau \* ARABIC </w:instrText>
      </w:r>
      <w:r w:rsidRPr="00A9330B">
        <w:rPr>
          <w:b/>
          <w:sz w:val="20"/>
          <w:szCs w:val="20"/>
        </w:rPr>
        <w:fldChar w:fldCharType="separate"/>
      </w:r>
      <w:r w:rsidR="00417D31" w:rsidRPr="00A9330B">
        <w:rPr>
          <w:b/>
          <w:noProof/>
          <w:sz w:val="20"/>
          <w:szCs w:val="20"/>
        </w:rPr>
        <w:t>59</w:t>
      </w:r>
      <w:r w:rsidRPr="00A9330B">
        <w:rPr>
          <w:b/>
          <w:sz w:val="20"/>
          <w:szCs w:val="20"/>
        </w:rPr>
        <w:fldChar w:fldCharType="end"/>
      </w:r>
      <w:r w:rsidR="00350C9E" w:rsidRPr="00A9330B">
        <w:rPr>
          <w:rFonts w:eastAsia="Times New Roman" w:cs="Times New Roman"/>
          <w:b/>
          <w:color w:val="auto"/>
          <w:sz w:val="20"/>
          <w:szCs w:val="20"/>
          <w:lang w:eastAsia="de-DE"/>
        </w:rPr>
        <w:t> : Feuille récapitulative de la réinstallation</w:t>
      </w:r>
      <w:bookmarkEnd w:id="2008"/>
    </w:p>
    <w:tbl>
      <w:tblPr>
        <w:tblW w:w="8643" w:type="dxa"/>
        <w:jc w:val="center"/>
        <w:tblCellMar>
          <w:left w:w="70" w:type="dxa"/>
          <w:right w:w="70" w:type="dxa"/>
        </w:tblCellMar>
        <w:tblLook w:val="04A0" w:firstRow="1" w:lastRow="0" w:firstColumn="1" w:lastColumn="0" w:noHBand="0" w:noVBand="1"/>
      </w:tblPr>
      <w:tblGrid>
        <w:gridCol w:w="574"/>
        <w:gridCol w:w="4705"/>
        <w:gridCol w:w="3364"/>
      </w:tblGrid>
      <w:tr w:rsidR="00350C9E" w:rsidRPr="00A9330B" w14:paraId="794BD0CF" w14:textId="77777777" w:rsidTr="00081E45">
        <w:trPr>
          <w:trHeight w:val="315"/>
          <w:tblHeader/>
          <w:jc w:val="center"/>
        </w:trPr>
        <w:tc>
          <w:tcPr>
            <w:tcW w:w="574" w:type="dxa"/>
            <w:tcBorders>
              <w:top w:val="single" w:sz="4" w:space="0" w:color="auto"/>
              <w:left w:val="single" w:sz="4" w:space="0" w:color="auto"/>
              <w:bottom w:val="single" w:sz="4" w:space="0" w:color="auto"/>
              <w:right w:val="single" w:sz="4" w:space="0" w:color="auto"/>
            </w:tcBorders>
            <w:shd w:val="clear" w:color="auto" w:fill="00B0F0"/>
            <w:noWrap/>
            <w:vAlign w:val="bottom"/>
            <w:hideMark/>
          </w:tcPr>
          <w:p w14:paraId="767B1F5A" w14:textId="77777777" w:rsidR="00350C9E" w:rsidRPr="00A9330B" w:rsidRDefault="00350C9E" w:rsidP="006721DD">
            <w:pPr>
              <w:spacing w:before="60" w:line="240" w:lineRule="auto"/>
              <w:jc w:val="center"/>
              <w:rPr>
                <w:rFonts w:eastAsia="Times New Roman" w:cs="Arial"/>
                <w:b/>
                <w:color w:val="000000"/>
                <w:sz w:val="20"/>
                <w:szCs w:val="20"/>
                <w:lang w:eastAsia="fr-FR"/>
              </w:rPr>
            </w:pPr>
            <w:r w:rsidRPr="00A9330B">
              <w:rPr>
                <w:rFonts w:eastAsia="Times New Roman" w:cs="Arial"/>
                <w:b/>
                <w:color w:val="000000"/>
                <w:sz w:val="20"/>
                <w:szCs w:val="20"/>
                <w:lang w:eastAsia="fr-FR"/>
              </w:rPr>
              <w:t>Nos.</w:t>
            </w:r>
          </w:p>
        </w:tc>
        <w:tc>
          <w:tcPr>
            <w:tcW w:w="4705" w:type="dxa"/>
            <w:tcBorders>
              <w:top w:val="single" w:sz="4" w:space="0" w:color="auto"/>
              <w:left w:val="nil"/>
              <w:bottom w:val="single" w:sz="4" w:space="0" w:color="auto"/>
              <w:right w:val="single" w:sz="4" w:space="0" w:color="auto"/>
            </w:tcBorders>
            <w:shd w:val="clear" w:color="auto" w:fill="00B0F0"/>
            <w:noWrap/>
            <w:vAlign w:val="bottom"/>
            <w:hideMark/>
          </w:tcPr>
          <w:p w14:paraId="6C6EAC57" w14:textId="77777777" w:rsidR="00350C9E" w:rsidRPr="00A9330B" w:rsidRDefault="00350C9E" w:rsidP="006721DD">
            <w:pPr>
              <w:spacing w:before="60" w:line="240" w:lineRule="auto"/>
              <w:jc w:val="both"/>
              <w:rPr>
                <w:rFonts w:eastAsia="Times New Roman" w:cs="Arial"/>
                <w:b/>
                <w:color w:val="000000"/>
                <w:sz w:val="20"/>
                <w:szCs w:val="20"/>
                <w:lang w:eastAsia="fr-FR"/>
              </w:rPr>
            </w:pPr>
            <w:r w:rsidRPr="00A9330B">
              <w:rPr>
                <w:rFonts w:eastAsia="Times New Roman" w:cs="Arial"/>
                <w:b/>
                <w:color w:val="000000"/>
                <w:sz w:val="20"/>
                <w:szCs w:val="20"/>
                <w:lang w:eastAsia="fr-FR"/>
              </w:rPr>
              <w:t>Variables</w:t>
            </w:r>
          </w:p>
        </w:tc>
        <w:tc>
          <w:tcPr>
            <w:tcW w:w="3364" w:type="dxa"/>
            <w:tcBorders>
              <w:top w:val="single" w:sz="4" w:space="0" w:color="auto"/>
              <w:left w:val="nil"/>
              <w:bottom w:val="single" w:sz="4" w:space="0" w:color="auto"/>
              <w:right w:val="single" w:sz="4" w:space="0" w:color="auto"/>
            </w:tcBorders>
            <w:shd w:val="clear" w:color="auto" w:fill="00B0F0"/>
            <w:noWrap/>
            <w:vAlign w:val="bottom"/>
            <w:hideMark/>
          </w:tcPr>
          <w:p w14:paraId="6CD66E21" w14:textId="77777777" w:rsidR="00350C9E" w:rsidRPr="00A9330B" w:rsidRDefault="00350C9E" w:rsidP="006721DD">
            <w:pPr>
              <w:spacing w:before="60" w:line="240" w:lineRule="auto"/>
              <w:jc w:val="both"/>
              <w:rPr>
                <w:rFonts w:eastAsia="Times New Roman" w:cs="Arial"/>
                <w:b/>
                <w:color w:val="000000"/>
                <w:sz w:val="20"/>
                <w:szCs w:val="20"/>
                <w:lang w:eastAsia="fr-FR"/>
              </w:rPr>
            </w:pPr>
            <w:r w:rsidRPr="00A9330B">
              <w:rPr>
                <w:rFonts w:eastAsia="Times New Roman" w:cs="Arial"/>
                <w:b/>
                <w:color w:val="000000"/>
                <w:sz w:val="20"/>
                <w:szCs w:val="20"/>
                <w:lang w:eastAsia="fr-FR"/>
              </w:rPr>
              <w:t>Données</w:t>
            </w:r>
          </w:p>
        </w:tc>
      </w:tr>
      <w:tr w:rsidR="00350C9E" w:rsidRPr="00A9330B" w14:paraId="45E7B48A" w14:textId="77777777" w:rsidTr="00081E45">
        <w:trPr>
          <w:trHeight w:val="315"/>
          <w:jc w:val="center"/>
        </w:trPr>
        <w:tc>
          <w:tcPr>
            <w:tcW w:w="574" w:type="dxa"/>
            <w:tcBorders>
              <w:top w:val="nil"/>
              <w:left w:val="single" w:sz="4" w:space="0" w:color="auto"/>
              <w:bottom w:val="single" w:sz="4" w:space="0" w:color="auto"/>
              <w:right w:val="single" w:sz="4" w:space="0" w:color="auto"/>
            </w:tcBorders>
            <w:shd w:val="clear" w:color="auto" w:fill="auto"/>
            <w:noWrap/>
            <w:vAlign w:val="bottom"/>
            <w:hideMark/>
          </w:tcPr>
          <w:p w14:paraId="6C9699E5" w14:textId="77777777" w:rsidR="00350C9E" w:rsidRPr="00A9330B" w:rsidRDefault="00350C9E" w:rsidP="006721DD">
            <w:pPr>
              <w:spacing w:before="60" w:line="240" w:lineRule="auto"/>
              <w:jc w:val="center"/>
              <w:rPr>
                <w:rFonts w:eastAsia="Times New Roman" w:cs="Arial"/>
                <w:b/>
                <w:color w:val="000000"/>
                <w:sz w:val="20"/>
                <w:szCs w:val="20"/>
                <w:lang w:eastAsia="fr-FR"/>
              </w:rPr>
            </w:pPr>
            <w:r w:rsidRPr="00A9330B">
              <w:rPr>
                <w:rFonts w:eastAsia="Times New Roman" w:cs="Arial"/>
                <w:b/>
                <w:color w:val="000000"/>
                <w:sz w:val="20"/>
                <w:szCs w:val="20"/>
                <w:lang w:eastAsia="fr-FR"/>
              </w:rPr>
              <w:t>1</w:t>
            </w:r>
          </w:p>
        </w:tc>
        <w:tc>
          <w:tcPr>
            <w:tcW w:w="4705" w:type="dxa"/>
            <w:tcBorders>
              <w:top w:val="nil"/>
              <w:left w:val="nil"/>
              <w:bottom w:val="single" w:sz="4" w:space="0" w:color="auto"/>
              <w:right w:val="single" w:sz="4" w:space="0" w:color="auto"/>
            </w:tcBorders>
            <w:shd w:val="clear" w:color="auto" w:fill="auto"/>
            <w:noWrap/>
            <w:vAlign w:val="bottom"/>
            <w:hideMark/>
          </w:tcPr>
          <w:p w14:paraId="689ADA67" w14:textId="77777777" w:rsidR="00350C9E" w:rsidRPr="00A9330B" w:rsidRDefault="00350C9E" w:rsidP="006721DD">
            <w:pPr>
              <w:spacing w:before="60" w:line="240" w:lineRule="auto"/>
              <w:jc w:val="both"/>
              <w:rPr>
                <w:rFonts w:eastAsia="Times New Roman" w:cs="Arial"/>
                <w:color w:val="000000"/>
                <w:sz w:val="20"/>
                <w:szCs w:val="20"/>
                <w:lang w:eastAsia="fr-FR"/>
              </w:rPr>
            </w:pPr>
            <w:r w:rsidRPr="00A9330B">
              <w:rPr>
                <w:rFonts w:eastAsia="Times New Roman" w:cs="Arial"/>
                <w:color w:val="000000"/>
                <w:sz w:val="20"/>
                <w:szCs w:val="20"/>
                <w:lang w:eastAsia="fr-FR"/>
              </w:rPr>
              <w:t>Pays du projet</w:t>
            </w:r>
          </w:p>
        </w:tc>
        <w:tc>
          <w:tcPr>
            <w:tcW w:w="3364" w:type="dxa"/>
            <w:tcBorders>
              <w:top w:val="nil"/>
              <w:left w:val="nil"/>
              <w:bottom w:val="single" w:sz="4" w:space="0" w:color="auto"/>
              <w:right w:val="single" w:sz="4" w:space="0" w:color="auto"/>
            </w:tcBorders>
            <w:shd w:val="clear" w:color="auto" w:fill="auto"/>
            <w:noWrap/>
            <w:vAlign w:val="bottom"/>
            <w:hideMark/>
          </w:tcPr>
          <w:p w14:paraId="17B99722" w14:textId="77777777" w:rsidR="00350C9E" w:rsidRPr="00A9330B" w:rsidRDefault="00350C9E" w:rsidP="006721DD">
            <w:pPr>
              <w:spacing w:before="60" w:line="240" w:lineRule="auto"/>
              <w:jc w:val="both"/>
              <w:rPr>
                <w:rFonts w:eastAsia="Times New Roman" w:cs="Arial"/>
                <w:color w:val="000000"/>
                <w:sz w:val="20"/>
                <w:szCs w:val="20"/>
                <w:lang w:eastAsia="fr-FR"/>
              </w:rPr>
            </w:pPr>
            <w:r w:rsidRPr="00A9330B">
              <w:rPr>
                <w:rFonts w:eastAsia="Times New Roman" w:cs="Arial"/>
                <w:color w:val="000000"/>
                <w:sz w:val="20"/>
                <w:szCs w:val="20"/>
                <w:lang w:eastAsia="fr-FR"/>
              </w:rPr>
              <w:t>Bénin</w:t>
            </w:r>
          </w:p>
        </w:tc>
      </w:tr>
      <w:tr w:rsidR="00350C9E" w:rsidRPr="00A9330B" w14:paraId="480CC24D" w14:textId="77777777" w:rsidTr="00081E45">
        <w:trPr>
          <w:trHeight w:val="300"/>
          <w:jc w:val="center"/>
        </w:trPr>
        <w:tc>
          <w:tcPr>
            <w:tcW w:w="574" w:type="dxa"/>
            <w:tcBorders>
              <w:top w:val="nil"/>
              <w:left w:val="single" w:sz="4" w:space="0" w:color="auto"/>
              <w:bottom w:val="single" w:sz="4" w:space="0" w:color="auto"/>
              <w:right w:val="single" w:sz="4" w:space="0" w:color="auto"/>
            </w:tcBorders>
            <w:shd w:val="clear" w:color="auto" w:fill="auto"/>
            <w:noWrap/>
            <w:vAlign w:val="bottom"/>
            <w:hideMark/>
          </w:tcPr>
          <w:p w14:paraId="6505ED05" w14:textId="77777777" w:rsidR="00350C9E" w:rsidRPr="00A9330B" w:rsidRDefault="00350C9E" w:rsidP="006721DD">
            <w:pPr>
              <w:spacing w:before="60" w:line="240" w:lineRule="auto"/>
              <w:jc w:val="center"/>
              <w:rPr>
                <w:rFonts w:eastAsia="Times New Roman" w:cs="Arial"/>
                <w:b/>
                <w:color w:val="000000"/>
                <w:sz w:val="20"/>
                <w:szCs w:val="20"/>
                <w:lang w:eastAsia="fr-FR"/>
              </w:rPr>
            </w:pPr>
            <w:r w:rsidRPr="00A9330B">
              <w:rPr>
                <w:rFonts w:eastAsia="Times New Roman" w:cs="Arial"/>
                <w:b/>
                <w:color w:val="000000"/>
                <w:sz w:val="20"/>
                <w:szCs w:val="20"/>
                <w:lang w:eastAsia="fr-FR"/>
              </w:rPr>
              <w:t>2</w:t>
            </w:r>
          </w:p>
        </w:tc>
        <w:tc>
          <w:tcPr>
            <w:tcW w:w="4705" w:type="dxa"/>
            <w:tcBorders>
              <w:top w:val="nil"/>
              <w:left w:val="nil"/>
              <w:bottom w:val="single" w:sz="4" w:space="0" w:color="auto"/>
              <w:right w:val="single" w:sz="4" w:space="0" w:color="auto"/>
            </w:tcBorders>
            <w:shd w:val="clear" w:color="auto" w:fill="auto"/>
            <w:noWrap/>
            <w:vAlign w:val="bottom"/>
            <w:hideMark/>
          </w:tcPr>
          <w:p w14:paraId="2F62BF52" w14:textId="77777777" w:rsidR="00350C9E" w:rsidRPr="00A9330B" w:rsidRDefault="00350C9E" w:rsidP="006721DD">
            <w:pPr>
              <w:spacing w:before="60" w:line="240" w:lineRule="auto"/>
              <w:jc w:val="both"/>
              <w:rPr>
                <w:rFonts w:eastAsia="Times New Roman" w:cs="Arial"/>
                <w:color w:val="000000"/>
                <w:sz w:val="20"/>
                <w:szCs w:val="20"/>
                <w:lang w:eastAsia="fr-FR"/>
              </w:rPr>
            </w:pPr>
            <w:r w:rsidRPr="00A9330B">
              <w:rPr>
                <w:rFonts w:eastAsia="Times New Roman" w:cs="Arial"/>
                <w:color w:val="000000"/>
                <w:sz w:val="20"/>
                <w:szCs w:val="20"/>
                <w:lang w:eastAsia="fr-FR"/>
              </w:rPr>
              <w:t>Département.</w:t>
            </w:r>
          </w:p>
        </w:tc>
        <w:tc>
          <w:tcPr>
            <w:tcW w:w="3364" w:type="dxa"/>
            <w:tcBorders>
              <w:top w:val="nil"/>
              <w:left w:val="nil"/>
              <w:bottom w:val="single" w:sz="4" w:space="0" w:color="auto"/>
              <w:right w:val="single" w:sz="4" w:space="0" w:color="auto"/>
            </w:tcBorders>
            <w:shd w:val="clear" w:color="auto" w:fill="auto"/>
            <w:noWrap/>
            <w:vAlign w:val="bottom"/>
            <w:hideMark/>
          </w:tcPr>
          <w:p w14:paraId="7A5272D8" w14:textId="77777777" w:rsidR="00350C9E" w:rsidRPr="00A9330B" w:rsidRDefault="00350C9E" w:rsidP="006721DD">
            <w:pPr>
              <w:spacing w:before="60" w:line="240" w:lineRule="auto"/>
              <w:jc w:val="both"/>
              <w:rPr>
                <w:rFonts w:eastAsia="Times New Roman" w:cs="Arial"/>
                <w:color w:val="000000"/>
                <w:sz w:val="20"/>
                <w:szCs w:val="20"/>
                <w:lang w:eastAsia="fr-FR"/>
              </w:rPr>
            </w:pPr>
            <w:r w:rsidRPr="00A9330B">
              <w:rPr>
                <w:rFonts w:eastAsia="Times New Roman" w:cs="Arial"/>
                <w:color w:val="000000"/>
                <w:sz w:val="20"/>
                <w:szCs w:val="20"/>
                <w:lang w:eastAsia="fr-FR"/>
              </w:rPr>
              <w:t>Atacora</w:t>
            </w:r>
          </w:p>
        </w:tc>
      </w:tr>
      <w:tr w:rsidR="00350C9E" w:rsidRPr="00A9330B" w14:paraId="76327528" w14:textId="77777777" w:rsidTr="00081E45">
        <w:trPr>
          <w:trHeight w:val="300"/>
          <w:jc w:val="center"/>
        </w:trPr>
        <w:tc>
          <w:tcPr>
            <w:tcW w:w="574" w:type="dxa"/>
            <w:tcBorders>
              <w:top w:val="nil"/>
              <w:left w:val="single" w:sz="4" w:space="0" w:color="auto"/>
              <w:bottom w:val="single" w:sz="4" w:space="0" w:color="auto"/>
              <w:right w:val="single" w:sz="4" w:space="0" w:color="auto"/>
            </w:tcBorders>
            <w:shd w:val="clear" w:color="auto" w:fill="auto"/>
            <w:noWrap/>
            <w:vAlign w:val="bottom"/>
            <w:hideMark/>
          </w:tcPr>
          <w:p w14:paraId="2C86EB4D" w14:textId="77777777" w:rsidR="00350C9E" w:rsidRPr="00A9330B" w:rsidRDefault="00350C9E" w:rsidP="006721DD">
            <w:pPr>
              <w:spacing w:before="60" w:line="240" w:lineRule="auto"/>
              <w:jc w:val="center"/>
              <w:rPr>
                <w:rFonts w:eastAsia="Times New Roman" w:cs="Arial"/>
                <w:b/>
                <w:color w:val="000000"/>
                <w:sz w:val="20"/>
                <w:szCs w:val="20"/>
                <w:lang w:eastAsia="fr-FR"/>
              </w:rPr>
            </w:pPr>
            <w:r w:rsidRPr="00A9330B">
              <w:rPr>
                <w:rFonts w:eastAsia="Times New Roman" w:cs="Arial"/>
                <w:b/>
                <w:color w:val="000000"/>
                <w:sz w:val="20"/>
                <w:szCs w:val="20"/>
                <w:lang w:eastAsia="fr-FR"/>
              </w:rPr>
              <w:t>3</w:t>
            </w:r>
          </w:p>
        </w:tc>
        <w:tc>
          <w:tcPr>
            <w:tcW w:w="4705" w:type="dxa"/>
            <w:tcBorders>
              <w:top w:val="nil"/>
              <w:left w:val="nil"/>
              <w:bottom w:val="single" w:sz="4" w:space="0" w:color="auto"/>
              <w:right w:val="single" w:sz="4" w:space="0" w:color="auto"/>
            </w:tcBorders>
            <w:shd w:val="clear" w:color="auto" w:fill="auto"/>
            <w:noWrap/>
            <w:vAlign w:val="bottom"/>
            <w:hideMark/>
          </w:tcPr>
          <w:p w14:paraId="4EFDAEF5" w14:textId="77777777" w:rsidR="00350C9E" w:rsidRPr="00A9330B" w:rsidRDefault="00350C9E" w:rsidP="006721DD">
            <w:pPr>
              <w:spacing w:before="60" w:line="240" w:lineRule="auto"/>
              <w:jc w:val="both"/>
              <w:rPr>
                <w:rFonts w:eastAsia="Times New Roman" w:cs="Arial"/>
                <w:color w:val="000000"/>
                <w:sz w:val="20"/>
                <w:szCs w:val="20"/>
                <w:lang w:eastAsia="fr-FR"/>
              </w:rPr>
            </w:pPr>
            <w:r w:rsidRPr="00A9330B">
              <w:rPr>
                <w:rFonts w:eastAsia="Times New Roman" w:cs="Arial"/>
                <w:color w:val="000000"/>
                <w:sz w:val="20"/>
                <w:szCs w:val="20"/>
                <w:lang w:eastAsia="fr-FR"/>
              </w:rPr>
              <w:t>Municipalité</w:t>
            </w:r>
          </w:p>
        </w:tc>
        <w:tc>
          <w:tcPr>
            <w:tcW w:w="3364" w:type="dxa"/>
            <w:tcBorders>
              <w:top w:val="nil"/>
              <w:left w:val="nil"/>
              <w:bottom w:val="single" w:sz="4" w:space="0" w:color="auto"/>
              <w:right w:val="single" w:sz="4" w:space="0" w:color="auto"/>
            </w:tcBorders>
            <w:shd w:val="clear" w:color="auto" w:fill="auto"/>
            <w:noWrap/>
            <w:vAlign w:val="bottom"/>
            <w:hideMark/>
          </w:tcPr>
          <w:p w14:paraId="752DB981" w14:textId="77777777" w:rsidR="00350C9E" w:rsidRPr="00A9330B" w:rsidRDefault="00350C9E" w:rsidP="006721DD">
            <w:pPr>
              <w:spacing w:before="60" w:line="240" w:lineRule="auto"/>
              <w:jc w:val="both"/>
              <w:rPr>
                <w:rFonts w:eastAsia="Times New Roman" w:cs="Arial"/>
                <w:color w:val="000000"/>
                <w:sz w:val="20"/>
                <w:szCs w:val="20"/>
                <w:lang w:eastAsia="fr-FR"/>
              </w:rPr>
            </w:pPr>
            <w:r w:rsidRPr="00A9330B">
              <w:rPr>
                <w:rFonts w:eastAsia="Times New Roman" w:cs="Arial"/>
                <w:color w:val="000000"/>
                <w:sz w:val="20"/>
                <w:szCs w:val="20"/>
                <w:lang w:eastAsia="fr-FR"/>
              </w:rPr>
              <w:t>Natitingou</w:t>
            </w:r>
          </w:p>
        </w:tc>
      </w:tr>
      <w:tr w:rsidR="00350C9E" w:rsidRPr="00A9330B" w14:paraId="0CBF8F85" w14:textId="77777777" w:rsidTr="00081E45">
        <w:trPr>
          <w:trHeight w:val="300"/>
          <w:jc w:val="center"/>
        </w:trPr>
        <w:tc>
          <w:tcPr>
            <w:tcW w:w="574" w:type="dxa"/>
            <w:tcBorders>
              <w:top w:val="nil"/>
              <w:left w:val="single" w:sz="4" w:space="0" w:color="auto"/>
              <w:bottom w:val="single" w:sz="4" w:space="0" w:color="auto"/>
              <w:right w:val="single" w:sz="4" w:space="0" w:color="auto"/>
            </w:tcBorders>
            <w:shd w:val="clear" w:color="auto" w:fill="auto"/>
            <w:noWrap/>
            <w:vAlign w:val="bottom"/>
            <w:hideMark/>
          </w:tcPr>
          <w:p w14:paraId="08C583EF" w14:textId="77777777" w:rsidR="00350C9E" w:rsidRPr="00A9330B" w:rsidRDefault="00350C9E" w:rsidP="006721DD">
            <w:pPr>
              <w:spacing w:before="60" w:line="240" w:lineRule="auto"/>
              <w:jc w:val="center"/>
              <w:rPr>
                <w:rFonts w:eastAsia="Times New Roman" w:cs="Arial"/>
                <w:b/>
                <w:color w:val="000000"/>
                <w:sz w:val="20"/>
                <w:szCs w:val="20"/>
                <w:lang w:eastAsia="fr-FR"/>
              </w:rPr>
            </w:pPr>
            <w:r w:rsidRPr="00A9330B">
              <w:rPr>
                <w:rFonts w:eastAsia="Times New Roman" w:cs="Arial"/>
                <w:b/>
                <w:color w:val="000000"/>
                <w:sz w:val="20"/>
                <w:szCs w:val="20"/>
                <w:lang w:eastAsia="fr-FR"/>
              </w:rPr>
              <w:t>4</w:t>
            </w:r>
          </w:p>
        </w:tc>
        <w:tc>
          <w:tcPr>
            <w:tcW w:w="4705" w:type="dxa"/>
            <w:tcBorders>
              <w:top w:val="nil"/>
              <w:left w:val="nil"/>
              <w:bottom w:val="single" w:sz="4" w:space="0" w:color="auto"/>
              <w:right w:val="single" w:sz="4" w:space="0" w:color="auto"/>
            </w:tcBorders>
            <w:shd w:val="clear" w:color="auto" w:fill="auto"/>
            <w:noWrap/>
            <w:vAlign w:val="bottom"/>
            <w:hideMark/>
          </w:tcPr>
          <w:p w14:paraId="1C6319CE" w14:textId="77777777" w:rsidR="00350C9E" w:rsidRPr="00A9330B" w:rsidRDefault="00350C9E" w:rsidP="006721DD">
            <w:pPr>
              <w:spacing w:before="60" w:line="240" w:lineRule="auto"/>
              <w:jc w:val="both"/>
              <w:rPr>
                <w:rFonts w:eastAsia="Times New Roman" w:cs="Arial"/>
                <w:color w:val="000000"/>
                <w:sz w:val="20"/>
                <w:szCs w:val="20"/>
                <w:lang w:eastAsia="fr-FR"/>
              </w:rPr>
            </w:pPr>
            <w:r w:rsidRPr="00A9330B">
              <w:rPr>
                <w:rFonts w:eastAsia="Times New Roman" w:cs="Arial"/>
                <w:color w:val="000000"/>
                <w:sz w:val="20"/>
                <w:szCs w:val="20"/>
                <w:lang w:eastAsia="fr-FR"/>
              </w:rPr>
              <w:t>Arrondissement</w:t>
            </w:r>
          </w:p>
        </w:tc>
        <w:tc>
          <w:tcPr>
            <w:tcW w:w="3364" w:type="dxa"/>
            <w:tcBorders>
              <w:top w:val="nil"/>
              <w:left w:val="nil"/>
              <w:bottom w:val="single" w:sz="4" w:space="0" w:color="auto"/>
              <w:right w:val="single" w:sz="4" w:space="0" w:color="auto"/>
            </w:tcBorders>
            <w:shd w:val="clear" w:color="auto" w:fill="auto"/>
            <w:noWrap/>
            <w:vAlign w:val="bottom"/>
            <w:hideMark/>
          </w:tcPr>
          <w:p w14:paraId="20E1AD3C" w14:textId="77777777" w:rsidR="00350C9E" w:rsidRPr="00A9330B" w:rsidRDefault="00350C9E" w:rsidP="006721DD">
            <w:pPr>
              <w:spacing w:before="60" w:line="240" w:lineRule="auto"/>
              <w:jc w:val="both"/>
              <w:rPr>
                <w:rFonts w:eastAsia="Times New Roman" w:cs="Arial"/>
                <w:color w:val="000000"/>
                <w:sz w:val="20"/>
                <w:szCs w:val="20"/>
                <w:lang w:eastAsia="fr-FR"/>
              </w:rPr>
            </w:pPr>
            <w:r w:rsidRPr="00A9330B">
              <w:rPr>
                <w:rFonts w:eastAsia="Times New Roman" w:cs="Arial"/>
                <w:color w:val="000000"/>
                <w:sz w:val="20"/>
                <w:szCs w:val="20"/>
                <w:lang w:eastAsia="fr-FR"/>
              </w:rPr>
              <w:t>1, 2 et 3</w:t>
            </w:r>
          </w:p>
        </w:tc>
      </w:tr>
      <w:tr w:rsidR="00350C9E" w:rsidRPr="00A9330B" w14:paraId="65113FD3" w14:textId="77777777" w:rsidTr="00081E45">
        <w:trPr>
          <w:trHeight w:val="300"/>
          <w:jc w:val="center"/>
        </w:trPr>
        <w:tc>
          <w:tcPr>
            <w:tcW w:w="574" w:type="dxa"/>
            <w:vMerge w:val="restart"/>
            <w:tcBorders>
              <w:top w:val="nil"/>
              <w:left w:val="single" w:sz="4" w:space="0" w:color="auto"/>
              <w:right w:val="single" w:sz="4" w:space="0" w:color="auto"/>
            </w:tcBorders>
            <w:shd w:val="clear" w:color="auto" w:fill="auto"/>
            <w:noWrap/>
            <w:vAlign w:val="center"/>
          </w:tcPr>
          <w:p w14:paraId="2BF1A80D" w14:textId="77777777" w:rsidR="00350C9E" w:rsidRPr="00A9330B" w:rsidRDefault="00350C9E" w:rsidP="006721DD">
            <w:pPr>
              <w:spacing w:before="60" w:line="240" w:lineRule="auto"/>
              <w:jc w:val="center"/>
              <w:rPr>
                <w:rFonts w:eastAsia="Times New Roman" w:cs="Arial"/>
                <w:b/>
                <w:color w:val="000000"/>
                <w:sz w:val="20"/>
                <w:szCs w:val="20"/>
                <w:lang w:eastAsia="fr-FR"/>
              </w:rPr>
            </w:pPr>
            <w:r w:rsidRPr="00A9330B">
              <w:rPr>
                <w:rFonts w:eastAsia="Times New Roman" w:cs="Arial"/>
                <w:b/>
                <w:color w:val="000000"/>
                <w:sz w:val="20"/>
                <w:szCs w:val="20"/>
                <w:lang w:eastAsia="fr-FR"/>
              </w:rPr>
              <w:t>5</w:t>
            </w:r>
          </w:p>
        </w:tc>
        <w:tc>
          <w:tcPr>
            <w:tcW w:w="4705" w:type="dxa"/>
            <w:tcBorders>
              <w:top w:val="nil"/>
              <w:left w:val="nil"/>
              <w:bottom w:val="single" w:sz="4" w:space="0" w:color="auto"/>
              <w:right w:val="single" w:sz="4" w:space="0" w:color="auto"/>
            </w:tcBorders>
            <w:shd w:val="clear" w:color="auto" w:fill="auto"/>
            <w:noWrap/>
            <w:vAlign w:val="bottom"/>
          </w:tcPr>
          <w:p w14:paraId="70C8C02E" w14:textId="77777777" w:rsidR="00350C9E" w:rsidRPr="00A9330B" w:rsidRDefault="00350C9E" w:rsidP="006721DD">
            <w:pPr>
              <w:spacing w:before="60" w:line="240" w:lineRule="auto"/>
              <w:jc w:val="both"/>
              <w:rPr>
                <w:rFonts w:eastAsia="Times New Roman" w:cs="Arial"/>
                <w:color w:val="000000"/>
                <w:sz w:val="20"/>
                <w:szCs w:val="20"/>
                <w:lang w:eastAsia="fr-FR"/>
              </w:rPr>
            </w:pPr>
            <w:r w:rsidRPr="00A9330B">
              <w:rPr>
                <w:rFonts w:eastAsia="Times New Roman" w:cs="Arial"/>
                <w:color w:val="000000"/>
                <w:sz w:val="20"/>
                <w:szCs w:val="20"/>
                <w:lang w:eastAsia="fr-FR"/>
              </w:rPr>
              <w:t>1</w:t>
            </w:r>
            <w:r w:rsidRPr="00A9330B">
              <w:rPr>
                <w:rFonts w:eastAsia="Times New Roman" w:cs="Arial"/>
                <w:color w:val="000000"/>
                <w:sz w:val="20"/>
                <w:szCs w:val="20"/>
                <w:vertAlign w:val="superscript"/>
                <w:lang w:eastAsia="fr-FR"/>
              </w:rPr>
              <w:t>er</w:t>
            </w:r>
            <w:r w:rsidRPr="00A9330B">
              <w:rPr>
                <w:rFonts w:eastAsia="Times New Roman" w:cs="Arial"/>
                <w:color w:val="000000"/>
                <w:sz w:val="20"/>
                <w:szCs w:val="20"/>
                <w:lang w:eastAsia="fr-FR"/>
              </w:rPr>
              <w:t xml:space="preserve"> Arrondissement (quartiers concernés)</w:t>
            </w:r>
          </w:p>
        </w:tc>
        <w:tc>
          <w:tcPr>
            <w:tcW w:w="3364" w:type="dxa"/>
            <w:tcBorders>
              <w:top w:val="nil"/>
              <w:left w:val="nil"/>
              <w:bottom w:val="single" w:sz="4" w:space="0" w:color="auto"/>
              <w:right w:val="single" w:sz="4" w:space="0" w:color="auto"/>
            </w:tcBorders>
            <w:shd w:val="clear" w:color="auto" w:fill="auto"/>
            <w:noWrap/>
          </w:tcPr>
          <w:p w14:paraId="60818D29" w14:textId="77777777" w:rsidR="00350C9E" w:rsidRPr="00A9330B" w:rsidRDefault="00350C9E" w:rsidP="006721DD">
            <w:pPr>
              <w:spacing w:before="60" w:line="240" w:lineRule="auto"/>
              <w:jc w:val="both"/>
              <w:rPr>
                <w:rFonts w:eastAsia="Calibri" w:cs="Arial"/>
                <w:color w:val="auto"/>
                <w:sz w:val="20"/>
                <w:szCs w:val="20"/>
                <w:lang w:eastAsia="fr-FR"/>
              </w:rPr>
            </w:pPr>
            <w:r w:rsidRPr="00A9330B">
              <w:rPr>
                <w:rFonts w:eastAsia="Calibri" w:cs="Arial"/>
                <w:color w:val="auto"/>
                <w:sz w:val="20"/>
                <w:szCs w:val="20"/>
                <w:lang w:eastAsia="fr-FR"/>
              </w:rPr>
              <w:t>Bagri, Sountchirantikou,Tchirimina,Yokossi</w:t>
            </w:r>
          </w:p>
        </w:tc>
      </w:tr>
      <w:tr w:rsidR="00350C9E" w:rsidRPr="00A9330B" w14:paraId="522A4F08" w14:textId="77777777" w:rsidTr="00081E45">
        <w:trPr>
          <w:trHeight w:val="300"/>
          <w:jc w:val="center"/>
        </w:trPr>
        <w:tc>
          <w:tcPr>
            <w:tcW w:w="574" w:type="dxa"/>
            <w:vMerge/>
            <w:tcBorders>
              <w:left w:val="single" w:sz="4" w:space="0" w:color="auto"/>
              <w:right w:val="single" w:sz="4" w:space="0" w:color="auto"/>
            </w:tcBorders>
            <w:shd w:val="clear" w:color="auto" w:fill="auto"/>
            <w:noWrap/>
            <w:vAlign w:val="bottom"/>
          </w:tcPr>
          <w:p w14:paraId="61CA6B00" w14:textId="77777777" w:rsidR="00350C9E" w:rsidRPr="00A9330B" w:rsidRDefault="00350C9E" w:rsidP="006721DD">
            <w:pPr>
              <w:spacing w:before="60" w:line="240" w:lineRule="auto"/>
              <w:jc w:val="center"/>
              <w:rPr>
                <w:rFonts w:eastAsia="Times New Roman" w:cs="Arial"/>
                <w:b/>
                <w:color w:val="000000"/>
                <w:sz w:val="20"/>
                <w:szCs w:val="20"/>
                <w:lang w:eastAsia="fr-FR"/>
              </w:rPr>
            </w:pPr>
          </w:p>
        </w:tc>
        <w:tc>
          <w:tcPr>
            <w:tcW w:w="4705" w:type="dxa"/>
            <w:tcBorders>
              <w:top w:val="nil"/>
              <w:left w:val="nil"/>
              <w:bottom w:val="single" w:sz="4" w:space="0" w:color="auto"/>
              <w:right w:val="single" w:sz="4" w:space="0" w:color="auto"/>
            </w:tcBorders>
            <w:shd w:val="clear" w:color="auto" w:fill="auto"/>
            <w:noWrap/>
            <w:vAlign w:val="bottom"/>
          </w:tcPr>
          <w:p w14:paraId="2D77C7AD" w14:textId="77777777" w:rsidR="00350C9E" w:rsidRPr="00A9330B" w:rsidRDefault="00350C9E" w:rsidP="006721DD">
            <w:pPr>
              <w:spacing w:before="60" w:line="240" w:lineRule="auto"/>
              <w:jc w:val="both"/>
              <w:rPr>
                <w:rFonts w:eastAsia="Times New Roman" w:cs="Arial"/>
                <w:color w:val="000000"/>
                <w:sz w:val="20"/>
                <w:szCs w:val="20"/>
                <w:lang w:eastAsia="fr-FR"/>
              </w:rPr>
            </w:pPr>
            <w:r w:rsidRPr="00A9330B">
              <w:rPr>
                <w:rFonts w:eastAsia="Times New Roman" w:cs="Arial"/>
                <w:color w:val="000000"/>
                <w:sz w:val="20"/>
                <w:szCs w:val="20"/>
                <w:lang w:eastAsia="fr-FR"/>
              </w:rPr>
              <w:t>2</w:t>
            </w:r>
            <w:r w:rsidRPr="00A9330B">
              <w:rPr>
                <w:rFonts w:eastAsia="Times New Roman" w:cs="Arial"/>
                <w:color w:val="000000"/>
                <w:sz w:val="20"/>
                <w:szCs w:val="20"/>
                <w:vertAlign w:val="superscript"/>
                <w:lang w:eastAsia="fr-FR"/>
              </w:rPr>
              <w:t>ème</w:t>
            </w:r>
            <w:r w:rsidRPr="00A9330B">
              <w:rPr>
                <w:rFonts w:eastAsia="Times New Roman" w:cs="Arial"/>
                <w:color w:val="000000"/>
                <w:sz w:val="20"/>
                <w:szCs w:val="20"/>
                <w:lang w:eastAsia="fr-FR"/>
              </w:rPr>
              <w:t xml:space="preserve"> Arrondissement (quartiers concernés)</w:t>
            </w:r>
          </w:p>
        </w:tc>
        <w:tc>
          <w:tcPr>
            <w:tcW w:w="3364" w:type="dxa"/>
            <w:tcBorders>
              <w:top w:val="nil"/>
              <w:left w:val="nil"/>
              <w:bottom w:val="single" w:sz="4" w:space="0" w:color="auto"/>
              <w:right w:val="single" w:sz="4" w:space="0" w:color="auto"/>
            </w:tcBorders>
            <w:shd w:val="clear" w:color="auto" w:fill="auto"/>
            <w:noWrap/>
            <w:vAlign w:val="center"/>
          </w:tcPr>
          <w:p w14:paraId="6734082B" w14:textId="77777777" w:rsidR="00350C9E" w:rsidRPr="00A9330B" w:rsidRDefault="00350C9E" w:rsidP="006721DD">
            <w:pPr>
              <w:spacing w:before="60" w:line="240" w:lineRule="auto"/>
              <w:jc w:val="both"/>
              <w:rPr>
                <w:rFonts w:eastAsia="Calibri" w:cs="Arial"/>
                <w:color w:val="auto"/>
                <w:sz w:val="20"/>
                <w:szCs w:val="20"/>
                <w:lang w:eastAsia="fr-FR"/>
              </w:rPr>
            </w:pPr>
            <w:r w:rsidRPr="00A9330B">
              <w:rPr>
                <w:rFonts w:eastAsia="Calibri" w:cs="Arial"/>
                <w:color w:val="auto"/>
                <w:sz w:val="20"/>
                <w:szCs w:val="20"/>
                <w:lang w:eastAsia="fr-FR"/>
              </w:rPr>
              <w:t>Boriyouré, Ouroubonna</w:t>
            </w:r>
          </w:p>
        </w:tc>
      </w:tr>
      <w:tr w:rsidR="00350C9E" w:rsidRPr="00A9330B" w14:paraId="707263D2" w14:textId="77777777" w:rsidTr="00081E45">
        <w:trPr>
          <w:trHeight w:val="300"/>
          <w:jc w:val="center"/>
        </w:trPr>
        <w:tc>
          <w:tcPr>
            <w:tcW w:w="574" w:type="dxa"/>
            <w:vMerge/>
            <w:tcBorders>
              <w:left w:val="single" w:sz="4" w:space="0" w:color="auto"/>
              <w:bottom w:val="single" w:sz="4" w:space="0" w:color="auto"/>
              <w:right w:val="single" w:sz="4" w:space="0" w:color="auto"/>
            </w:tcBorders>
            <w:shd w:val="clear" w:color="auto" w:fill="auto"/>
            <w:noWrap/>
            <w:vAlign w:val="bottom"/>
          </w:tcPr>
          <w:p w14:paraId="3C26D7F3" w14:textId="77777777" w:rsidR="00350C9E" w:rsidRPr="00A9330B" w:rsidRDefault="00350C9E" w:rsidP="006721DD">
            <w:pPr>
              <w:spacing w:before="60" w:line="240" w:lineRule="auto"/>
              <w:jc w:val="center"/>
              <w:rPr>
                <w:rFonts w:eastAsia="Times New Roman" w:cs="Arial"/>
                <w:b/>
                <w:color w:val="000000"/>
                <w:sz w:val="20"/>
                <w:szCs w:val="20"/>
                <w:lang w:eastAsia="fr-FR"/>
              </w:rPr>
            </w:pPr>
          </w:p>
        </w:tc>
        <w:tc>
          <w:tcPr>
            <w:tcW w:w="4705" w:type="dxa"/>
            <w:tcBorders>
              <w:top w:val="nil"/>
              <w:left w:val="nil"/>
              <w:bottom w:val="single" w:sz="4" w:space="0" w:color="auto"/>
              <w:right w:val="single" w:sz="4" w:space="0" w:color="auto"/>
            </w:tcBorders>
            <w:shd w:val="clear" w:color="auto" w:fill="auto"/>
            <w:noWrap/>
            <w:vAlign w:val="center"/>
          </w:tcPr>
          <w:p w14:paraId="39374A49" w14:textId="77777777" w:rsidR="00350C9E" w:rsidRPr="00A9330B" w:rsidRDefault="00350C9E" w:rsidP="006721DD">
            <w:pPr>
              <w:spacing w:before="60" w:line="240" w:lineRule="auto"/>
              <w:rPr>
                <w:rFonts w:eastAsia="Times New Roman" w:cs="Arial"/>
                <w:color w:val="000000"/>
                <w:sz w:val="20"/>
                <w:szCs w:val="20"/>
                <w:lang w:eastAsia="fr-FR"/>
              </w:rPr>
            </w:pPr>
            <w:r w:rsidRPr="00A9330B">
              <w:rPr>
                <w:rFonts w:eastAsia="Times New Roman" w:cs="Arial"/>
                <w:color w:val="000000"/>
                <w:sz w:val="20"/>
                <w:szCs w:val="20"/>
                <w:lang w:eastAsia="fr-FR"/>
              </w:rPr>
              <w:t>3</w:t>
            </w:r>
            <w:r w:rsidRPr="00A9330B">
              <w:rPr>
                <w:rFonts w:eastAsia="Times New Roman" w:cs="Arial"/>
                <w:color w:val="000000"/>
                <w:sz w:val="20"/>
                <w:szCs w:val="20"/>
                <w:vertAlign w:val="superscript"/>
                <w:lang w:eastAsia="fr-FR"/>
              </w:rPr>
              <w:t>ème</w:t>
            </w:r>
            <w:r w:rsidRPr="00A9330B">
              <w:rPr>
                <w:rFonts w:eastAsia="Times New Roman" w:cs="Arial"/>
                <w:color w:val="000000"/>
                <w:sz w:val="20"/>
                <w:szCs w:val="20"/>
                <w:lang w:eastAsia="fr-FR"/>
              </w:rPr>
              <w:t xml:space="preserve"> Arrondissement (quartiers concernés)</w:t>
            </w:r>
          </w:p>
        </w:tc>
        <w:tc>
          <w:tcPr>
            <w:tcW w:w="3364" w:type="dxa"/>
            <w:tcBorders>
              <w:top w:val="nil"/>
              <w:left w:val="nil"/>
              <w:bottom w:val="single" w:sz="4" w:space="0" w:color="auto"/>
              <w:right w:val="single" w:sz="4" w:space="0" w:color="auto"/>
            </w:tcBorders>
            <w:shd w:val="clear" w:color="auto" w:fill="auto"/>
            <w:noWrap/>
            <w:vAlign w:val="center"/>
          </w:tcPr>
          <w:p w14:paraId="1929B787" w14:textId="77777777" w:rsidR="00350C9E" w:rsidRPr="00A9330B" w:rsidRDefault="00350C9E" w:rsidP="00A220E0">
            <w:pPr>
              <w:spacing w:before="60" w:line="240" w:lineRule="auto"/>
              <w:rPr>
                <w:rFonts w:eastAsia="Calibri" w:cs="Arial"/>
                <w:color w:val="auto"/>
                <w:sz w:val="20"/>
                <w:szCs w:val="20"/>
                <w:lang w:eastAsia="fr-FR"/>
              </w:rPr>
            </w:pPr>
            <w:r w:rsidRPr="00A9330B">
              <w:rPr>
                <w:rFonts w:eastAsia="Calibri" w:cs="Arial"/>
                <w:color w:val="auto"/>
                <w:sz w:val="20"/>
                <w:szCs w:val="20"/>
                <w:lang w:eastAsia="fr-FR"/>
              </w:rPr>
              <w:t>Kantaborifa, Ourbouga, Winkè, Yimporima</w:t>
            </w:r>
          </w:p>
        </w:tc>
      </w:tr>
      <w:tr w:rsidR="00350C9E" w:rsidRPr="00A9330B" w14:paraId="4620BAE3" w14:textId="77777777" w:rsidTr="00081E45">
        <w:trPr>
          <w:trHeight w:val="300"/>
          <w:jc w:val="center"/>
        </w:trPr>
        <w:tc>
          <w:tcPr>
            <w:tcW w:w="574" w:type="dxa"/>
            <w:tcBorders>
              <w:top w:val="nil"/>
              <w:left w:val="single" w:sz="4" w:space="0" w:color="auto"/>
              <w:bottom w:val="single" w:sz="4" w:space="0" w:color="auto"/>
              <w:right w:val="single" w:sz="4" w:space="0" w:color="auto"/>
            </w:tcBorders>
            <w:shd w:val="clear" w:color="auto" w:fill="auto"/>
            <w:noWrap/>
            <w:vAlign w:val="center"/>
            <w:hideMark/>
          </w:tcPr>
          <w:p w14:paraId="6F6C6ED1" w14:textId="77777777" w:rsidR="00350C9E" w:rsidRPr="00A9330B" w:rsidRDefault="00350C9E" w:rsidP="006721DD">
            <w:pPr>
              <w:spacing w:before="60" w:line="240" w:lineRule="auto"/>
              <w:jc w:val="center"/>
              <w:rPr>
                <w:rFonts w:eastAsia="Times New Roman" w:cs="Arial"/>
                <w:b/>
                <w:color w:val="000000"/>
                <w:sz w:val="20"/>
                <w:szCs w:val="20"/>
                <w:lang w:eastAsia="fr-FR"/>
              </w:rPr>
            </w:pPr>
            <w:r w:rsidRPr="00A9330B">
              <w:rPr>
                <w:rFonts w:eastAsia="Times New Roman" w:cs="Arial"/>
                <w:b/>
                <w:color w:val="000000"/>
                <w:sz w:val="20"/>
                <w:szCs w:val="20"/>
                <w:lang w:eastAsia="fr-FR"/>
              </w:rPr>
              <w:t>6</w:t>
            </w:r>
          </w:p>
        </w:tc>
        <w:tc>
          <w:tcPr>
            <w:tcW w:w="4705" w:type="dxa"/>
            <w:tcBorders>
              <w:top w:val="nil"/>
              <w:left w:val="nil"/>
              <w:bottom w:val="single" w:sz="4" w:space="0" w:color="auto"/>
              <w:right w:val="single" w:sz="4" w:space="0" w:color="auto"/>
            </w:tcBorders>
            <w:shd w:val="clear" w:color="auto" w:fill="auto"/>
            <w:noWrap/>
            <w:vAlign w:val="center"/>
            <w:hideMark/>
          </w:tcPr>
          <w:p w14:paraId="2DE427C3" w14:textId="77777777" w:rsidR="00350C9E" w:rsidRPr="00A9330B" w:rsidRDefault="00350C9E" w:rsidP="006721DD">
            <w:pPr>
              <w:spacing w:before="60" w:line="240" w:lineRule="auto"/>
              <w:rPr>
                <w:rFonts w:eastAsia="Times New Roman" w:cs="Arial"/>
                <w:color w:val="000000"/>
                <w:sz w:val="20"/>
                <w:szCs w:val="20"/>
                <w:lang w:eastAsia="fr-FR"/>
              </w:rPr>
            </w:pPr>
            <w:r w:rsidRPr="00A9330B">
              <w:rPr>
                <w:rFonts w:eastAsia="Times New Roman" w:cs="Arial"/>
                <w:color w:val="000000"/>
                <w:sz w:val="20"/>
                <w:szCs w:val="20"/>
                <w:lang w:eastAsia="fr-FR"/>
              </w:rPr>
              <w:t>Activités induisant la réinstallation</w:t>
            </w:r>
          </w:p>
        </w:tc>
        <w:tc>
          <w:tcPr>
            <w:tcW w:w="3364" w:type="dxa"/>
            <w:tcBorders>
              <w:top w:val="nil"/>
              <w:left w:val="nil"/>
              <w:bottom w:val="single" w:sz="4" w:space="0" w:color="auto"/>
              <w:right w:val="single" w:sz="4" w:space="0" w:color="auto"/>
            </w:tcBorders>
            <w:shd w:val="clear" w:color="auto" w:fill="auto"/>
            <w:noWrap/>
            <w:vAlign w:val="bottom"/>
            <w:hideMark/>
          </w:tcPr>
          <w:p w14:paraId="24D6239B" w14:textId="77777777" w:rsidR="00350C9E" w:rsidRPr="00A9330B" w:rsidRDefault="00350C9E" w:rsidP="006721DD">
            <w:pPr>
              <w:spacing w:before="60" w:line="240" w:lineRule="auto"/>
              <w:jc w:val="both"/>
              <w:rPr>
                <w:rFonts w:eastAsia="Times New Roman" w:cs="Arial"/>
                <w:color w:val="000000"/>
                <w:sz w:val="20"/>
                <w:szCs w:val="20"/>
                <w:lang w:eastAsia="fr-FR"/>
              </w:rPr>
            </w:pPr>
            <w:r w:rsidRPr="00A9330B">
              <w:rPr>
                <w:rFonts w:eastAsia="Times New Roman" w:cs="Arial"/>
                <w:color w:val="000000"/>
                <w:sz w:val="20"/>
                <w:szCs w:val="20"/>
                <w:lang w:eastAsia="fr-FR"/>
              </w:rPr>
              <w:t> Réalisation d’ouvrage d’assainissement pluvial (Collecteurs) et d’aménagement de voirie</w:t>
            </w:r>
          </w:p>
        </w:tc>
      </w:tr>
      <w:tr w:rsidR="00350C9E" w:rsidRPr="00A9330B" w14:paraId="7C3FE3B9" w14:textId="77777777" w:rsidTr="00081E45">
        <w:trPr>
          <w:trHeight w:val="300"/>
          <w:jc w:val="center"/>
        </w:trPr>
        <w:tc>
          <w:tcPr>
            <w:tcW w:w="574" w:type="dxa"/>
            <w:tcBorders>
              <w:top w:val="nil"/>
              <w:left w:val="single" w:sz="4" w:space="0" w:color="auto"/>
              <w:bottom w:val="single" w:sz="4" w:space="0" w:color="auto"/>
              <w:right w:val="single" w:sz="4" w:space="0" w:color="auto"/>
            </w:tcBorders>
            <w:shd w:val="clear" w:color="auto" w:fill="auto"/>
            <w:noWrap/>
            <w:vAlign w:val="bottom"/>
            <w:hideMark/>
          </w:tcPr>
          <w:p w14:paraId="70AE7E8A" w14:textId="77777777" w:rsidR="00350C9E" w:rsidRPr="00A9330B" w:rsidRDefault="00350C9E" w:rsidP="006721DD">
            <w:pPr>
              <w:spacing w:before="60" w:line="240" w:lineRule="auto"/>
              <w:jc w:val="center"/>
              <w:rPr>
                <w:rFonts w:eastAsia="Times New Roman" w:cs="Arial"/>
                <w:b/>
                <w:color w:val="000000"/>
                <w:sz w:val="20"/>
                <w:szCs w:val="20"/>
                <w:lang w:eastAsia="fr-FR"/>
              </w:rPr>
            </w:pPr>
            <w:r w:rsidRPr="00A9330B">
              <w:rPr>
                <w:rFonts w:eastAsia="Times New Roman" w:cs="Arial"/>
                <w:b/>
                <w:color w:val="000000"/>
                <w:sz w:val="20"/>
                <w:szCs w:val="20"/>
                <w:lang w:eastAsia="fr-FR"/>
              </w:rPr>
              <w:t>7</w:t>
            </w:r>
          </w:p>
        </w:tc>
        <w:tc>
          <w:tcPr>
            <w:tcW w:w="4705" w:type="dxa"/>
            <w:tcBorders>
              <w:top w:val="nil"/>
              <w:left w:val="nil"/>
              <w:bottom w:val="single" w:sz="4" w:space="0" w:color="auto"/>
              <w:right w:val="single" w:sz="4" w:space="0" w:color="auto"/>
            </w:tcBorders>
            <w:shd w:val="clear" w:color="auto" w:fill="auto"/>
            <w:noWrap/>
            <w:vAlign w:val="bottom"/>
            <w:hideMark/>
          </w:tcPr>
          <w:p w14:paraId="7139596F" w14:textId="77777777" w:rsidR="00350C9E" w:rsidRPr="00A9330B" w:rsidRDefault="00350C9E" w:rsidP="006721DD">
            <w:pPr>
              <w:spacing w:before="60" w:line="240" w:lineRule="auto"/>
              <w:jc w:val="both"/>
              <w:rPr>
                <w:rFonts w:eastAsia="Times New Roman" w:cs="Arial"/>
                <w:color w:val="000000"/>
                <w:sz w:val="20"/>
                <w:szCs w:val="20"/>
                <w:lang w:eastAsia="fr-FR"/>
              </w:rPr>
            </w:pPr>
            <w:r w:rsidRPr="00A9330B">
              <w:rPr>
                <w:rFonts w:eastAsia="Times New Roman" w:cs="Arial"/>
                <w:color w:val="000000"/>
                <w:sz w:val="20"/>
                <w:szCs w:val="20"/>
                <w:lang w:eastAsia="fr-FR"/>
              </w:rPr>
              <w:t>Budget du projet (Ville de Natitingou)</w:t>
            </w:r>
          </w:p>
        </w:tc>
        <w:tc>
          <w:tcPr>
            <w:tcW w:w="3364" w:type="dxa"/>
            <w:tcBorders>
              <w:top w:val="nil"/>
              <w:left w:val="nil"/>
              <w:bottom w:val="single" w:sz="4" w:space="0" w:color="auto"/>
              <w:right w:val="single" w:sz="4" w:space="0" w:color="auto"/>
            </w:tcBorders>
            <w:shd w:val="clear" w:color="auto" w:fill="auto"/>
            <w:noWrap/>
            <w:vAlign w:val="bottom"/>
            <w:hideMark/>
          </w:tcPr>
          <w:p w14:paraId="4028E758" w14:textId="77777777" w:rsidR="00350C9E" w:rsidRPr="00A9330B" w:rsidRDefault="00350C9E" w:rsidP="006721DD">
            <w:pPr>
              <w:spacing w:before="60" w:line="240" w:lineRule="auto"/>
              <w:jc w:val="right"/>
              <w:rPr>
                <w:rFonts w:eastAsia="Times New Roman" w:cs="Arial"/>
                <w:color w:val="000000"/>
                <w:sz w:val="20"/>
                <w:szCs w:val="20"/>
                <w:lang w:eastAsia="fr-FR"/>
              </w:rPr>
            </w:pPr>
            <w:r w:rsidRPr="00A9330B">
              <w:rPr>
                <w:rFonts w:eastAsia="Times New Roman" w:cs="Arial"/>
                <w:color w:val="000000"/>
                <w:sz w:val="20"/>
                <w:szCs w:val="20"/>
                <w:lang w:eastAsia="fr-FR"/>
              </w:rPr>
              <w:t> </w:t>
            </w:r>
            <w:r w:rsidRPr="00A9330B">
              <w:rPr>
                <w:rFonts w:eastAsia="Times New Roman" w:cs="Arial"/>
                <w:b/>
                <w:color w:val="000000"/>
                <w:sz w:val="20"/>
                <w:szCs w:val="20"/>
                <w:lang w:eastAsia="fr-FR"/>
              </w:rPr>
              <w:t>58 714 010 794</w:t>
            </w:r>
          </w:p>
        </w:tc>
      </w:tr>
      <w:tr w:rsidR="00350C9E" w:rsidRPr="00A9330B" w14:paraId="5B90A661" w14:textId="77777777" w:rsidTr="00081E45">
        <w:trPr>
          <w:trHeight w:val="537"/>
          <w:jc w:val="center"/>
        </w:trPr>
        <w:tc>
          <w:tcPr>
            <w:tcW w:w="574" w:type="dxa"/>
            <w:tcBorders>
              <w:top w:val="nil"/>
              <w:left w:val="single" w:sz="4" w:space="0" w:color="auto"/>
              <w:bottom w:val="single" w:sz="4" w:space="0" w:color="auto"/>
              <w:right w:val="single" w:sz="4" w:space="0" w:color="auto"/>
            </w:tcBorders>
            <w:shd w:val="clear" w:color="auto" w:fill="auto"/>
            <w:noWrap/>
            <w:vAlign w:val="center"/>
            <w:hideMark/>
          </w:tcPr>
          <w:p w14:paraId="3A10185C" w14:textId="77777777" w:rsidR="00350C9E" w:rsidRPr="00A9330B" w:rsidRDefault="00350C9E" w:rsidP="006721DD">
            <w:pPr>
              <w:spacing w:before="60" w:line="240" w:lineRule="auto"/>
              <w:jc w:val="center"/>
              <w:rPr>
                <w:rFonts w:eastAsia="Times New Roman" w:cs="Arial"/>
                <w:b/>
                <w:color w:val="000000"/>
                <w:sz w:val="20"/>
                <w:szCs w:val="20"/>
                <w:lang w:eastAsia="fr-FR"/>
              </w:rPr>
            </w:pPr>
            <w:r w:rsidRPr="00A9330B">
              <w:rPr>
                <w:rFonts w:eastAsia="Times New Roman" w:cs="Arial"/>
                <w:b/>
                <w:color w:val="000000"/>
                <w:sz w:val="20"/>
                <w:szCs w:val="20"/>
                <w:lang w:eastAsia="fr-FR"/>
              </w:rPr>
              <w:t>8</w:t>
            </w:r>
          </w:p>
        </w:tc>
        <w:tc>
          <w:tcPr>
            <w:tcW w:w="4705" w:type="dxa"/>
            <w:tcBorders>
              <w:top w:val="nil"/>
              <w:left w:val="nil"/>
              <w:bottom w:val="single" w:sz="4" w:space="0" w:color="auto"/>
              <w:right w:val="single" w:sz="4" w:space="0" w:color="auto"/>
            </w:tcBorders>
            <w:shd w:val="clear" w:color="auto" w:fill="auto"/>
            <w:noWrap/>
            <w:vAlign w:val="center"/>
            <w:hideMark/>
          </w:tcPr>
          <w:p w14:paraId="1683477C" w14:textId="77777777" w:rsidR="00350C9E" w:rsidRPr="00A9330B" w:rsidRDefault="00350C9E" w:rsidP="006721DD">
            <w:pPr>
              <w:spacing w:before="60" w:line="240" w:lineRule="auto"/>
              <w:rPr>
                <w:rFonts w:eastAsia="Times New Roman" w:cs="Arial"/>
                <w:color w:val="000000"/>
                <w:sz w:val="20"/>
                <w:szCs w:val="20"/>
                <w:lang w:eastAsia="fr-FR"/>
              </w:rPr>
            </w:pPr>
            <w:r w:rsidRPr="00A9330B">
              <w:rPr>
                <w:rFonts w:eastAsia="Times New Roman" w:cs="Arial"/>
                <w:color w:val="000000"/>
                <w:sz w:val="20"/>
                <w:szCs w:val="20"/>
                <w:lang w:eastAsia="fr-FR"/>
              </w:rPr>
              <w:t>Budget du PAR</w:t>
            </w:r>
          </w:p>
        </w:tc>
        <w:tc>
          <w:tcPr>
            <w:tcW w:w="3364" w:type="dxa"/>
            <w:tcBorders>
              <w:top w:val="nil"/>
              <w:left w:val="nil"/>
              <w:bottom w:val="single" w:sz="4" w:space="0" w:color="auto"/>
              <w:right w:val="single" w:sz="4" w:space="0" w:color="auto"/>
            </w:tcBorders>
            <w:shd w:val="clear" w:color="auto" w:fill="auto"/>
            <w:noWrap/>
            <w:vAlign w:val="bottom"/>
            <w:hideMark/>
          </w:tcPr>
          <w:p w14:paraId="0F93CF7A" w14:textId="37D6BBBC" w:rsidR="00350C9E" w:rsidRPr="00A9330B" w:rsidRDefault="00350C9E" w:rsidP="00610227">
            <w:pPr>
              <w:spacing w:before="60" w:line="240" w:lineRule="auto"/>
              <w:jc w:val="right"/>
              <w:rPr>
                <w:rFonts w:cs="Arial"/>
                <w:b/>
                <w:color w:val="000000"/>
                <w:szCs w:val="20"/>
              </w:rPr>
            </w:pPr>
            <w:r w:rsidRPr="00A9330B">
              <w:rPr>
                <w:rFonts w:eastAsia="Times New Roman" w:cs="Arial"/>
                <w:b/>
                <w:color w:val="000000"/>
                <w:sz w:val="20"/>
                <w:szCs w:val="20"/>
                <w:lang w:eastAsia="fr-FR"/>
              </w:rPr>
              <w:t> </w:t>
            </w:r>
            <w:r w:rsidR="00CF7003" w:rsidRPr="00A9330B">
              <w:rPr>
                <w:rFonts w:cs="Arial"/>
                <w:b/>
                <w:color w:val="000000"/>
                <w:szCs w:val="20"/>
              </w:rPr>
              <w:t>780 985 639F CFA</w:t>
            </w:r>
            <w:r w:rsidR="00610227" w:rsidRPr="00A9330B">
              <w:rPr>
                <w:rFonts w:cs="Arial"/>
                <w:b/>
                <w:color w:val="000000"/>
                <w:szCs w:val="20"/>
              </w:rPr>
              <w:t xml:space="preserve"> soit </w:t>
            </w:r>
          </w:p>
          <w:p w14:paraId="2AB77859" w14:textId="58F56EBF" w:rsidR="00610227" w:rsidRPr="00A9330B" w:rsidRDefault="00610227" w:rsidP="006721DD">
            <w:pPr>
              <w:spacing w:before="60" w:line="240" w:lineRule="auto"/>
              <w:jc w:val="right"/>
              <w:rPr>
                <w:rFonts w:eastAsia="Times New Roman" w:cs="Arial"/>
                <w:b/>
                <w:color w:val="auto"/>
                <w:sz w:val="20"/>
                <w:szCs w:val="20"/>
                <w:lang w:eastAsia="fr-FR"/>
              </w:rPr>
            </w:pPr>
            <w:r w:rsidRPr="00A9330B">
              <w:rPr>
                <w:rFonts w:cs="Arial"/>
                <w:b/>
                <w:bCs/>
                <w:color w:val="000000"/>
              </w:rPr>
              <w:t>1 561 971,28</w:t>
            </w:r>
            <w:r w:rsidR="00C71BF3" w:rsidRPr="00A9330B">
              <w:rPr>
                <w:rFonts w:cs="Arial"/>
                <w:b/>
                <w:bCs/>
                <w:color w:val="000000"/>
              </w:rPr>
              <w:t xml:space="preserve"> Dollars US</w:t>
            </w:r>
          </w:p>
        </w:tc>
      </w:tr>
      <w:tr w:rsidR="00350C9E" w:rsidRPr="00A9330B" w14:paraId="30360334" w14:textId="77777777" w:rsidTr="00081E45">
        <w:trPr>
          <w:trHeight w:val="300"/>
          <w:jc w:val="center"/>
        </w:trPr>
        <w:tc>
          <w:tcPr>
            <w:tcW w:w="574" w:type="dxa"/>
            <w:tcBorders>
              <w:top w:val="nil"/>
              <w:left w:val="single" w:sz="4" w:space="0" w:color="auto"/>
              <w:bottom w:val="single" w:sz="4" w:space="0" w:color="auto"/>
              <w:right w:val="single" w:sz="4" w:space="0" w:color="auto"/>
            </w:tcBorders>
            <w:shd w:val="clear" w:color="auto" w:fill="auto"/>
            <w:noWrap/>
            <w:vAlign w:val="center"/>
            <w:hideMark/>
          </w:tcPr>
          <w:p w14:paraId="574BABFB" w14:textId="77777777" w:rsidR="00350C9E" w:rsidRPr="00A9330B" w:rsidRDefault="00350C9E" w:rsidP="006721DD">
            <w:pPr>
              <w:spacing w:before="60" w:line="240" w:lineRule="auto"/>
              <w:jc w:val="center"/>
              <w:rPr>
                <w:rFonts w:eastAsia="Times New Roman" w:cs="Arial"/>
                <w:b/>
                <w:color w:val="000000"/>
                <w:sz w:val="20"/>
                <w:szCs w:val="20"/>
                <w:lang w:eastAsia="fr-FR"/>
              </w:rPr>
            </w:pPr>
            <w:r w:rsidRPr="00A9330B">
              <w:rPr>
                <w:rFonts w:eastAsia="Times New Roman" w:cs="Arial"/>
                <w:b/>
                <w:color w:val="000000"/>
                <w:sz w:val="20"/>
                <w:szCs w:val="20"/>
                <w:lang w:eastAsia="fr-FR"/>
              </w:rPr>
              <w:t>9</w:t>
            </w:r>
          </w:p>
        </w:tc>
        <w:tc>
          <w:tcPr>
            <w:tcW w:w="4705" w:type="dxa"/>
            <w:tcBorders>
              <w:top w:val="nil"/>
              <w:left w:val="nil"/>
              <w:bottom w:val="single" w:sz="4" w:space="0" w:color="auto"/>
              <w:right w:val="single" w:sz="4" w:space="0" w:color="auto"/>
            </w:tcBorders>
            <w:shd w:val="clear" w:color="auto" w:fill="auto"/>
            <w:noWrap/>
            <w:vAlign w:val="bottom"/>
            <w:hideMark/>
          </w:tcPr>
          <w:p w14:paraId="0D11A6BC" w14:textId="77777777" w:rsidR="00350C9E" w:rsidRPr="00A9330B" w:rsidRDefault="00350C9E" w:rsidP="006721DD">
            <w:pPr>
              <w:spacing w:before="60" w:line="240" w:lineRule="auto"/>
              <w:jc w:val="both"/>
              <w:rPr>
                <w:rFonts w:eastAsia="Times New Roman" w:cs="Arial"/>
                <w:color w:val="000000"/>
                <w:sz w:val="20"/>
                <w:szCs w:val="20"/>
                <w:lang w:eastAsia="fr-FR"/>
              </w:rPr>
            </w:pPr>
            <w:r w:rsidRPr="00A9330B">
              <w:rPr>
                <w:rFonts w:eastAsia="Times New Roman" w:cs="Arial"/>
                <w:color w:val="000000"/>
                <w:sz w:val="20"/>
                <w:szCs w:val="20"/>
                <w:lang w:eastAsia="fr-FR"/>
              </w:rPr>
              <w:t>Nombre de Personnes Affectées par le Projet (PAP)</w:t>
            </w:r>
          </w:p>
        </w:tc>
        <w:tc>
          <w:tcPr>
            <w:tcW w:w="3364" w:type="dxa"/>
            <w:tcBorders>
              <w:top w:val="nil"/>
              <w:left w:val="nil"/>
              <w:bottom w:val="single" w:sz="4" w:space="0" w:color="auto"/>
              <w:right w:val="single" w:sz="4" w:space="0" w:color="auto"/>
            </w:tcBorders>
            <w:shd w:val="clear" w:color="auto" w:fill="auto"/>
            <w:noWrap/>
            <w:vAlign w:val="bottom"/>
            <w:hideMark/>
          </w:tcPr>
          <w:p w14:paraId="79363902" w14:textId="0514A040" w:rsidR="00350C9E" w:rsidRPr="00A9330B" w:rsidRDefault="00350C9E" w:rsidP="00CF7003">
            <w:pPr>
              <w:spacing w:before="60" w:line="240" w:lineRule="auto"/>
              <w:jc w:val="right"/>
              <w:rPr>
                <w:rFonts w:eastAsia="Times New Roman" w:cs="Arial"/>
                <w:color w:val="000000"/>
                <w:sz w:val="20"/>
                <w:szCs w:val="20"/>
                <w:lang w:eastAsia="fr-FR"/>
              </w:rPr>
            </w:pPr>
            <w:r w:rsidRPr="00A9330B">
              <w:rPr>
                <w:rFonts w:eastAsia="Times New Roman" w:cs="Arial"/>
                <w:color w:val="000000"/>
                <w:sz w:val="20"/>
                <w:szCs w:val="20"/>
                <w:lang w:eastAsia="fr-FR"/>
              </w:rPr>
              <w:t>4</w:t>
            </w:r>
            <w:r w:rsidR="00CF7003" w:rsidRPr="00A9330B">
              <w:rPr>
                <w:rFonts w:eastAsia="Times New Roman" w:cs="Arial"/>
                <w:color w:val="000000"/>
                <w:sz w:val="20"/>
                <w:szCs w:val="20"/>
                <w:lang w:eastAsia="fr-FR"/>
              </w:rPr>
              <w:t>37</w:t>
            </w:r>
          </w:p>
        </w:tc>
      </w:tr>
      <w:tr w:rsidR="00350C9E" w:rsidRPr="00A9330B" w14:paraId="2CA0F15A" w14:textId="77777777" w:rsidTr="00081E45">
        <w:trPr>
          <w:trHeight w:val="300"/>
          <w:jc w:val="center"/>
        </w:trPr>
        <w:tc>
          <w:tcPr>
            <w:tcW w:w="574" w:type="dxa"/>
            <w:tcBorders>
              <w:top w:val="nil"/>
              <w:left w:val="single" w:sz="4" w:space="0" w:color="auto"/>
              <w:bottom w:val="single" w:sz="4" w:space="0" w:color="auto"/>
              <w:right w:val="single" w:sz="4" w:space="0" w:color="auto"/>
            </w:tcBorders>
            <w:shd w:val="clear" w:color="auto" w:fill="auto"/>
            <w:noWrap/>
            <w:vAlign w:val="bottom"/>
            <w:hideMark/>
          </w:tcPr>
          <w:p w14:paraId="2325B6F0" w14:textId="77777777" w:rsidR="00350C9E" w:rsidRPr="00A9330B" w:rsidRDefault="00350C9E" w:rsidP="006721DD">
            <w:pPr>
              <w:spacing w:before="60" w:line="240" w:lineRule="auto"/>
              <w:jc w:val="center"/>
              <w:rPr>
                <w:rFonts w:eastAsia="Times New Roman" w:cs="Arial"/>
                <w:b/>
                <w:color w:val="000000"/>
                <w:sz w:val="20"/>
                <w:szCs w:val="20"/>
                <w:lang w:eastAsia="fr-FR"/>
              </w:rPr>
            </w:pPr>
            <w:r w:rsidRPr="00A9330B">
              <w:rPr>
                <w:rFonts w:eastAsia="Times New Roman" w:cs="Arial"/>
                <w:b/>
                <w:color w:val="000000"/>
                <w:sz w:val="20"/>
                <w:szCs w:val="20"/>
                <w:lang w:eastAsia="fr-FR"/>
              </w:rPr>
              <w:t>10</w:t>
            </w:r>
          </w:p>
        </w:tc>
        <w:tc>
          <w:tcPr>
            <w:tcW w:w="4705" w:type="dxa"/>
            <w:tcBorders>
              <w:top w:val="nil"/>
              <w:left w:val="nil"/>
              <w:bottom w:val="single" w:sz="4" w:space="0" w:color="auto"/>
              <w:right w:val="single" w:sz="4" w:space="0" w:color="auto"/>
            </w:tcBorders>
            <w:shd w:val="clear" w:color="auto" w:fill="auto"/>
            <w:noWrap/>
            <w:vAlign w:val="bottom"/>
            <w:hideMark/>
          </w:tcPr>
          <w:p w14:paraId="78E7CEE1" w14:textId="77777777" w:rsidR="00350C9E" w:rsidRPr="00A9330B" w:rsidRDefault="00350C9E" w:rsidP="006721DD">
            <w:pPr>
              <w:spacing w:before="60" w:line="240" w:lineRule="auto"/>
              <w:jc w:val="both"/>
              <w:rPr>
                <w:rFonts w:eastAsia="Times New Roman" w:cs="Arial"/>
                <w:color w:val="000000"/>
                <w:sz w:val="20"/>
                <w:szCs w:val="20"/>
                <w:lang w:eastAsia="fr-FR"/>
              </w:rPr>
            </w:pPr>
            <w:r w:rsidRPr="00A9330B">
              <w:rPr>
                <w:rFonts w:eastAsia="Times New Roman" w:cs="Arial"/>
                <w:color w:val="000000"/>
                <w:sz w:val="20"/>
                <w:szCs w:val="20"/>
                <w:lang w:eastAsia="fr-FR"/>
              </w:rPr>
              <w:t>Nombre de personnes à charge</w:t>
            </w:r>
          </w:p>
        </w:tc>
        <w:tc>
          <w:tcPr>
            <w:tcW w:w="3364" w:type="dxa"/>
            <w:tcBorders>
              <w:top w:val="nil"/>
              <w:left w:val="nil"/>
              <w:bottom w:val="single" w:sz="4" w:space="0" w:color="auto"/>
              <w:right w:val="single" w:sz="4" w:space="0" w:color="auto"/>
            </w:tcBorders>
            <w:shd w:val="clear" w:color="auto" w:fill="auto"/>
            <w:noWrap/>
            <w:vAlign w:val="bottom"/>
            <w:hideMark/>
          </w:tcPr>
          <w:p w14:paraId="6FF888B1" w14:textId="4B49E17B" w:rsidR="00350C9E" w:rsidRPr="00A9330B" w:rsidRDefault="00350C9E" w:rsidP="00CF7003">
            <w:pPr>
              <w:spacing w:before="60" w:line="240" w:lineRule="auto"/>
              <w:jc w:val="right"/>
              <w:rPr>
                <w:rFonts w:eastAsia="Times New Roman" w:cs="Arial"/>
                <w:color w:val="000000"/>
                <w:sz w:val="20"/>
                <w:szCs w:val="20"/>
                <w:lang w:eastAsia="fr-FR"/>
              </w:rPr>
            </w:pPr>
            <w:r w:rsidRPr="00A9330B">
              <w:rPr>
                <w:rFonts w:eastAsia="Times New Roman" w:cs="Arial"/>
                <w:color w:val="000000"/>
                <w:sz w:val="20"/>
                <w:szCs w:val="20"/>
                <w:lang w:eastAsia="fr-FR"/>
              </w:rPr>
              <w:t>3</w:t>
            </w:r>
            <w:r w:rsidR="00CF7003" w:rsidRPr="00A9330B">
              <w:rPr>
                <w:rFonts w:eastAsia="Times New Roman" w:cs="Arial"/>
                <w:color w:val="000000"/>
                <w:sz w:val="20"/>
                <w:szCs w:val="20"/>
                <w:lang w:eastAsia="fr-FR"/>
              </w:rPr>
              <w:t>611</w:t>
            </w:r>
          </w:p>
        </w:tc>
      </w:tr>
      <w:tr w:rsidR="00350C9E" w:rsidRPr="00A9330B" w14:paraId="7779353C" w14:textId="77777777" w:rsidTr="00081E45">
        <w:trPr>
          <w:trHeight w:val="300"/>
          <w:jc w:val="center"/>
        </w:trPr>
        <w:tc>
          <w:tcPr>
            <w:tcW w:w="574" w:type="dxa"/>
            <w:tcBorders>
              <w:top w:val="nil"/>
              <w:left w:val="single" w:sz="4" w:space="0" w:color="auto"/>
              <w:bottom w:val="single" w:sz="4" w:space="0" w:color="auto"/>
              <w:right w:val="single" w:sz="4" w:space="0" w:color="auto"/>
            </w:tcBorders>
            <w:shd w:val="clear" w:color="auto" w:fill="auto"/>
            <w:noWrap/>
            <w:vAlign w:val="bottom"/>
            <w:hideMark/>
          </w:tcPr>
          <w:p w14:paraId="3557D7B2" w14:textId="77777777" w:rsidR="00350C9E" w:rsidRPr="00A9330B" w:rsidRDefault="00350C9E" w:rsidP="006721DD">
            <w:pPr>
              <w:spacing w:before="60" w:line="240" w:lineRule="auto"/>
              <w:jc w:val="center"/>
              <w:rPr>
                <w:rFonts w:eastAsia="Times New Roman" w:cs="Arial"/>
                <w:b/>
                <w:color w:val="000000"/>
                <w:sz w:val="20"/>
                <w:szCs w:val="20"/>
                <w:lang w:eastAsia="fr-FR"/>
              </w:rPr>
            </w:pPr>
            <w:r w:rsidRPr="00A9330B">
              <w:rPr>
                <w:rFonts w:eastAsia="Times New Roman" w:cs="Arial"/>
                <w:b/>
                <w:color w:val="000000"/>
                <w:sz w:val="20"/>
                <w:szCs w:val="20"/>
                <w:lang w:eastAsia="fr-FR"/>
              </w:rPr>
              <w:lastRenderedPageBreak/>
              <w:t>11</w:t>
            </w:r>
          </w:p>
        </w:tc>
        <w:tc>
          <w:tcPr>
            <w:tcW w:w="4705" w:type="dxa"/>
            <w:tcBorders>
              <w:top w:val="nil"/>
              <w:left w:val="nil"/>
              <w:bottom w:val="single" w:sz="4" w:space="0" w:color="auto"/>
              <w:right w:val="single" w:sz="4" w:space="0" w:color="auto"/>
            </w:tcBorders>
            <w:shd w:val="clear" w:color="auto" w:fill="auto"/>
            <w:noWrap/>
            <w:vAlign w:val="bottom"/>
            <w:hideMark/>
          </w:tcPr>
          <w:p w14:paraId="05FAA4E1" w14:textId="77777777" w:rsidR="00350C9E" w:rsidRPr="00A9330B" w:rsidRDefault="00350C9E" w:rsidP="006721DD">
            <w:pPr>
              <w:spacing w:before="60" w:line="240" w:lineRule="auto"/>
              <w:jc w:val="both"/>
              <w:rPr>
                <w:rFonts w:eastAsia="Times New Roman" w:cs="Arial"/>
                <w:color w:val="000000"/>
                <w:sz w:val="20"/>
                <w:szCs w:val="20"/>
                <w:lang w:eastAsia="fr-FR"/>
              </w:rPr>
            </w:pPr>
            <w:r w:rsidRPr="00A9330B">
              <w:rPr>
                <w:rFonts w:eastAsia="Times New Roman" w:cs="Arial"/>
                <w:color w:val="000000"/>
                <w:sz w:val="20"/>
                <w:szCs w:val="20"/>
                <w:lang w:eastAsia="fr-FR"/>
              </w:rPr>
              <w:t>Nombre de femmes affectées</w:t>
            </w:r>
          </w:p>
        </w:tc>
        <w:tc>
          <w:tcPr>
            <w:tcW w:w="3364" w:type="dxa"/>
            <w:tcBorders>
              <w:top w:val="nil"/>
              <w:left w:val="nil"/>
              <w:bottom w:val="single" w:sz="4" w:space="0" w:color="auto"/>
              <w:right w:val="single" w:sz="4" w:space="0" w:color="auto"/>
            </w:tcBorders>
            <w:shd w:val="clear" w:color="auto" w:fill="auto"/>
            <w:noWrap/>
            <w:vAlign w:val="bottom"/>
            <w:hideMark/>
          </w:tcPr>
          <w:p w14:paraId="7B93FDB6" w14:textId="668B059A" w:rsidR="00350C9E" w:rsidRPr="00A9330B" w:rsidRDefault="00CF7003" w:rsidP="006721DD">
            <w:pPr>
              <w:spacing w:before="60" w:line="240" w:lineRule="auto"/>
              <w:jc w:val="right"/>
              <w:rPr>
                <w:rFonts w:eastAsia="Times New Roman" w:cs="Arial"/>
                <w:color w:val="000000"/>
                <w:sz w:val="20"/>
                <w:szCs w:val="20"/>
                <w:lang w:eastAsia="fr-FR"/>
              </w:rPr>
            </w:pPr>
            <w:r w:rsidRPr="00A9330B">
              <w:rPr>
                <w:rFonts w:eastAsia="Times New Roman" w:cs="Arial"/>
                <w:color w:val="000000"/>
                <w:sz w:val="20"/>
                <w:szCs w:val="20"/>
                <w:lang w:eastAsia="fr-FR"/>
              </w:rPr>
              <w:t>106</w:t>
            </w:r>
          </w:p>
        </w:tc>
      </w:tr>
      <w:tr w:rsidR="00350C9E" w:rsidRPr="00A9330B" w14:paraId="30124EF6" w14:textId="77777777" w:rsidTr="00081E45">
        <w:trPr>
          <w:trHeight w:val="300"/>
          <w:jc w:val="center"/>
        </w:trPr>
        <w:tc>
          <w:tcPr>
            <w:tcW w:w="574" w:type="dxa"/>
            <w:tcBorders>
              <w:top w:val="nil"/>
              <w:left w:val="single" w:sz="4" w:space="0" w:color="auto"/>
              <w:bottom w:val="single" w:sz="4" w:space="0" w:color="auto"/>
              <w:right w:val="single" w:sz="4" w:space="0" w:color="auto"/>
            </w:tcBorders>
            <w:shd w:val="clear" w:color="auto" w:fill="auto"/>
            <w:noWrap/>
            <w:vAlign w:val="bottom"/>
            <w:hideMark/>
          </w:tcPr>
          <w:p w14:paraId="7FFC4464" w14:textId="77777777" w:rsidR="00350C9E" w:rsidRPr="00A9330B" w:rsidRDefault="00350C9E" w:rsidP="006721DD">
            <w:pPr>
              <w:spacing w:before="60" w:line="240" w:lineRule="auto"/>
              <w:jc w:val="center"/>
              <w:rPr>
                <w:rFonts w:eastAsia="Times New Roman" w:cs="Arial"/>
                <w:b/>
                <w:color w:val="000000"/>
                <w:sz w:val="20"/>
                <w:szCs w:val="20"/>
                <w:lang w:eastAsia="fr-FR"/>
              </w:rPr>
            </w:pPr>
            <w:r w:rsidRPr="00A9330B">
              <w:rPr>
                <w:rFonts w:eastAsia="Times New Roman" w:cs="Arial"/>
                <w:b/>
                <w:color w:val="000000"/>
                <w:sz w:val="20"/>
                <w:szCs w:val="20"/>
                <w:lang w:eastAsia="fr-FR"/>
              </w:rPr>
              <w:t>12</w:t>
            </w:r>
          </w:p>
        </w:tc>
        <w:tc>
          <w:tcPr>
            <w:tcW w:w="4705" w:type="dxa"/>
            <w:tcBorders>
              <w:top w:val="nil"/>
              <w:left w:val="nil"/>
              <w:bottom w:val="single" w:sz="4" w:space="0" w:color="auto"/>
              <w:right w:val="single" w:sz="4" w:space="0" w:color="auto"/>
            </w:tcBorders>
            <w:shd w:val="clear" w:color="auto" w:fill="auto"/>
            <w:noWrap/>
            <w:vAlign w:val="bottom"/>
            <w:hideMark/>
          </w:tcPr>
          <w:p w14:paraId="0BD8AB70" w14:textId="77777777" w:rsidR="00350C9E" w:rsidRPr="00A9330B" w:rsidRDefault="00350C9E" w:rsidP="006721DD">
            <w:pPr>
              <w:spacing w:before="60" w:line="240" w:lineRule="auto"/>
              <w:jc w:val="both"/>
              <w:rPr>
                <w:rFonts w:eastAsia="Times New Roman" w:cs="Arial"/>
                <w:color w:val="000000"/>
                <w:sz w:val="20"/>
                <w:szCs w:val="20"/>
                <w:lang w:eastAsia="fr-FR"/>
              </w:rPr>
            </w:pPr>
            <w:r w:rsidRPr="00A9330B">
              <w:rPr>
                <w:rFonts w:eastAsia="Times New Roman" w:cs="Arial"/>
                <w:color w:val="000000"/>
                <w:sz w:val="20"/>
                <w:szCs w:val="20"/>
                <w:lang w:eastAsia="fr-FR"/>
              </w:rPr>
              <w:t>Nombre de PAP vulnérables</w:t>
            </w:r>
          </w:p>
        </w:tc>
        <w:tc>
          <w:tcPr>
            <w:tcW w:w="3364" w:type="dxa"/>
            <w:tcBorders>
              <w:top w:val="nil"/>
              <w:left w:val="nil"/>
              <w:bottom w:val="single" w:sz="4" w:space="0" w:color="auto"/>
              <w:right w:val="single" w:sz="4" w:space="0" w:color="auto"/>
            </w:tcBorders>
            <w:shd w:val="clear" w:color="auto" w:fill="auto"/>
            <w:noWrap/>
            <w:vAlign w:val="bottom"/>
            <w:hideMark/>
          </w:tcPr>
          <w:p w14:paraId="1235ABF3" w14:textId="5ABFAE74" w:rsidR="00350C9E" w:rsidRPr="00A9330B" w:rsidRDefault="00294B8E" w:rsidP="006721DD">
            <w:pPr>
              <w:spacing w:before="60" w:line="240" w:lineRule="auto"/>
              <w:jc w:val="right"/>
              <w:rPr>
                <w:rFonts w:eastAsia="Times New Roman" w:cs="Arial"/>
                <w:color w:val="000000"/>
                <w:sz w:val="20"/>
                <w:szCs w:val="20"/>
                <w:lang w:eastAsia="fr-FR"/>
              </w:rPr>
            </w:pPr>
            <w:r w:rsidRPr="00A9330B">
              <w:rPr>
                <w:rFonts w:eastAsia="Times New Roman" w:cs="Arial"/>
                <w:color w:val="000000"/>
                <w:sz w:val="20"/>
                <w:szCs w:val="20"/>
                <w:lang w:eastAsia="fr-FR"/>
              </w:rPr>
              <w:t>25</w:t>
            </w:r>
          </w:p>
        </w:tc>
      </w:tr>
      <w:tr w:rsidR="00350C9E" w:rsidRPr="00A9330B" w14:paraId="6D527BE2" w14:textId="77777777" w:rsidTr="00081E45">
        <w:trPr>
          <w:trHeight w:val="300"/>
          <w:jc w:val="center"/>
        </w:trPr>
        <w:tc>
          <w:tcPr>
            <w:tcW w:w="574" w:type="dxa"/>
            <w:tcBorders>
              <w:top w:val="nil"/>
              <w:left w:val="single" w:sz="4" w:space="0" w:color="auto"/>
              <w:bottom w:val="single" w:sz="4" w:space="0" w:color="auto"/>
              <w:right w:val="single" w:sz="4" w:space="0" w:color="auto"/>
            </w:tcBorders>
            <w:shd w:val="clear" w:color="auto" w:fill="auto"/>
            <w:noWrap/>
            <w:vAlign w:val="bottom"/>
            <w:hideMark/>
          </w:tcPr>
          <w:p w14:paraId="3209D00E" w14:textId="77777777" w:rsidR="00350C9E" w:rsidRPr="00A9330B" w:rsidRDefault="00350C9E" w:rsidP="006721DD">
            <w:pPr>
              <w:spacing w:before="60" w:line="240" w:lineRule="auto"/>
              <w:jc w:val="center"/>
              <w:rPr>
                <w:rFonts w:eastAsia="Times New Roman" w:cs="Arial"/>
                <w:b/>
                <w:color w:val="000000"/>
                <w:sz w:val="20"/>
                <w:szCs w:val="20"/>
                <w:lang w:eastAsia="fr-FR"/>
              </w:rPr>
            </w:pPr>
            <w:r w:rsidRPr="00A9330B">
              <w:rPr>
                <w:rFonts w:eastAsia="Times New Roman" w:cs="Arial"/>
                <w:b/>
                <w:color w:val="000000"/>
                <w:sz w:val="20"/>
                <w:szCs w:val="20"/>
                <w:lang w:eastAsia="fr-FR"/>
              </w:rPr>
              <w:t>16</w:t>
            </w:r>
          </w:p>
        </w:tc>
        <w:tc>
          <w:tcPr>
            <w:tcW w:w="4705" w:type="dxa"/>
            <w:tcBorders>
              <w:top w:val="nil"/>
              <w:left w:val="nil"/>
              <w:bottom w:val="single" w:sz="4" w:space="0" w:color="auto"/>
              <w:right w:val="single" w:sz="4" w:space="0" w:color="auto"/>
            </w:tcBorders>
            <w:shd w:val="clear" w:color="auto" w:fill="auto"/>
            <w:noWrap/>
            <w:vAlign w:val="bottom"/>
            <w:hideMark/>
          </w:tcPr>
          <w:p w14:paraId="3D7F76A3" w14:textId="77777777" w:rsidR="00350C9E" w:rsidRPr="00A9330B" w:rsidRDefault="00350C9E" w:rsidP="006721DD">
            <w:pPr>
              <w:spacing w:before="60" w:line="240" w:lineRule="auto"/>
              <w:jc w:val="both"/>
              <w:rPr>
                <w:rFonts w:eastAsia="Times New Roman" w:cs="Arial"/>
                <w:color w:val="000000"/>
                <w:sz w:val="20"/>
                <w:szCs w:val="20"/>
                <w:lang w:eastAsia="fr-FR"/>
              </w:rPr>
            </w:pPr>
            <w:r w:rsidRPr="00A9330B">
              <w:rPr>
                <w:rFonts w:eastAsia="Times New Roman" w:cs="Arial"/>
                <w:color w:val="000000"/>
                <w:sz w:val="20"/>
                <w:szCs w:val="20"/>
                <w:lang w:eastAsia="fr-FR"/>
              </w:rPr>
              <w:t>Nombre de ménages ayant perdu partiellement une habitation</w:t>
            </w:r>
          </w:p>
        </w:tc>
        <w:tc>
          <w:tcPr>
            <w:tcW w:w="3364" w:type="dxa"/>
            <w:tcBorders>
              <w:top w:val="nil"/>
              <w:left w:val="nil"/>
              <w:bottom w:val="single" w:sz="4" w:space="0" w:color="auto"/>
              <w:right w:val="single" w:sz="4" w:space="0" w:color="auto"/>
            </w:tcBorders>
            <w:shd w:val="clear" w:color="auto" w:fill="auto"/>
            <w:noWrap/>
            <w:vAlign w:val="bottom"/>
            <w:hideMark/>
          </w:tcPr>
          <w:p w14:paraId="5DF724FA" w14:textId="66ED7E15" w:rsidR="00350C9E" w:rsidRPr="00A9330B" w:rsidRDefault="00081E45" w:rsidP="006721DD">
            <w:pPr>
              <w:spacing w:before="60" w:line="240" w:lineRule="auto"/>
              <w:jc w:val="right"/>
              <w:rPr>
                <w:rFonts w:eastAsia="Times New Roman" w:cs="Arial"/>
                <w:color w:val="000000"/>
                <w:sz w:val="20"/>
                <w:szCs w:val="20"/>
                <w:lang w:eastAsia="fr-FR"/>
              </w:rPr>
            </w:pPr>
            <w:r w:rsidRPr="00A9330B">
              <w:rPr>
                <w:rFonts w:eastAsia="Times New Roman" w:cs="Arial"/>
                <w:color w:val="000000"/>
                <w:sz w:val="20"/>
                <w:szCs w:val="20"/>
                <w:lang w:eastAsia="fr-FR"/>
              </w:rPr>
              <w:t>56</w:t>
            </w:r>
          </w:p>
        </w:tc>
      </w:tr>
      <w:tr w:rsidR="00350C9E" w:rsidRPr="00A9330B" w14:paraId="4F7D4835" w14:textId="77777777" w:rsidTr="00081E45">
        <w:trPr>
          <w:trHeight w:val="300"/>
          <w:jc w:val="center"/>
        </w:trPr>
        <w:tc>
          <w:tcPr>
            <w:tcW w:w="574" w:type="dxa"/>
            <w:tcBorders>
              <w:top w:val="nil"/>
              <w:left w:val="single" w:sz="4" w:space="0" w:color="auto"/>
              <w:bottom w:val="single" w:sz="4" w:space="0" w:color="auto"/>
              <w:right w:val="single" w:sz="4" w:space="0" w:color="auto"/>
            </w:tcBorders>
            <w:shd w:val="clear" w:color="auto" w:fill="auto"/>
            <w:noWrap/>
            <w:vAlign w:val="bottom"/>
            <w:hideMark/>
          </w:tcPr>
          <w:p w14:paraId="106790FB" w14:textId="77777777" w:rsidR="00350C9E" w:rsidRPr="00A9330B" w:rsidRDefault="00350C9E" w:rsidP="006721DD">
            <w:pPr>
              <w:spacing w:before="60" w:line="240" w:lineRule="auto"/>
              <w:jc w:val="center"/>
              <w:rPr>
                <w:rFonts w:eastAsia="Times New Roman" w:cs="Arial"/>
                <w:b/>
                <w:color w:val="000000"/>
                <w:sz w:val="20"/>
                <w:szCs w:val="20"/>
                <w:lang w:eastAsia="fr-FR"/>
              </w:rPr>
            </w:pPr>
            <w:r w:rsidRPr="00A9330B">
              <w:rPr>
                <w:rFonts w:eastAsia="Times New Roman" w:cs="Arial"/>
                <w:b/>
                <w:color w:val="000000"/>
                <w:sz w:val="20"/>
                <w:szCs w:val="20"/>
                <w:lang w:eastAsia="fr-FR"/>
              </w:rPr>
              <w:t>17</w:t>
            </w:r>
          </w:p>
        </w:tc>
        <w:tc>
          <w:tcPr>
            <w:tcW w:w="4705" w:type="dxa"/>
            <w:tcBorders>
              <w:top w:val="nil"/>
              <w:left w:val="nil"/>
              <w:bottom w:val="single" w:sz="4" w:space="0" w:color="auto"/>
              <w:right w:val="single" w:sz="4" w:space="0" w:color="auto"/>
            </w:tcBorders>
            <w:shd w:val="clear" w:color="auto" w:fill="auto"/>
            <w:noWrap/>
            <w:vAlign w:val="bottom"/>
            <w:hideMark/>
          </w:tcPr>
          <w:p w14:paraId="703194AB" w14:textId="77777777" w:rsidR="00350C9E" w:rsidRPr="00A9330B" w:rsidRDefault="00350C9E" w:rsidP="006721DD">
            <w:pPr>
              <w:spacing w:before="60" w:line="240" w:lineRule="auto"/>
              <w:jc w:val="both"/>
              <w:rPr>
                <w:rFonts w:eastAsia="Times New Roman" w:cs="Arial"/>
                <w:color w:val="000000"/>
                <w:sz w:val="20"/>
                <w:szCs w:val="20"/>
                <w:lang w:eastAsia="fr-FR"/>
              </w:rPr>
            </w:pPr>
            <w:r w:rsidRPr="00A9330B">
              <w:rPr>
                <w:rFonts w:eastAsia="Times New Roman" w:cs="Arial"/>
                <w:color w:val="000000"/>
                <w:sz w:val="20"/>
                <w:szCs w:val="20"/>
                <w:lang w:eastAsia="fr-FR"/>
              </w:rPr>
              <w:t>Superficie totale de terres perdues (ha)</w:t>
            </w:r>
          </w:p>
        </w:tc>
        <w:tc>
          <w:tcPr>
            <w:tcW w:w="3364" w:type="dxa"/>
            <w:tcBorders>
              <w:top w:val="nil"/>
              <w:left w:val="nil"/>
              <w:bottom w:val="single" w:sz="4" w:space="0" w:color="auto"/>
              <w:right w:val="single" w:sz="4" w:space="0" w:color="auto"/>
            </w:tcBorders>
            <w:shd w:val="clear" w:color="auto" w:fill="auto"/>
            <w:noWrap/>
            <w:vAlign w:val="bottom"/>
            <w:hideMark/>
          </w:tcPr>
          <w:p w14:paraId="392159C2" w14:textId="35DBA5D4" w:rsidR="00350C9E" w:rsidRPr="00A9330B" w:rsidRDefault="00610227" w:rsidP="006721DD">
            <w:pPr>
              <w:spacing w:before="60" w:line="240" w:lineRule="auto"/>
              <w:jc w:val="right"/>
              <w:rPr>
                <w:rFonts w:eastAsia="Times New Roman" w:cs="Arial"/>
                <w:color w:val="000000"/>
                <w:sz w:val="20"/>
                <w:szCs w:val="20"/>
                <w:highlight w:val="yellow"/>
                <w:lang w:eastAsia="fr-FR"/>
              </w:rPr>
            </w:pPr>
            <w:r w:rsidRPr="00A9330B">
              <w:rPr>
                <w:rFonts w:cs="Arial"/>
                <w:color w:val="000000"/>
                <w:sz w:val="20"/>
                <w:szCs w:val="20"/>
              </w:rPr>
              <w:t>12952</w:t>
            </w:r>
          </w:p>
        </w:tc>
      </w:tr>
      <w:tr w:rsidR="00350C9E" w:rsidRPr="00A9330B" w14:paraId="374B9EC6" w14:textId="77777777" w:rsidTr="00081E45">
        <w:trPr>
          <w:trHeight w:val="300"/>
          <w:jc w:val="center"/>
        </w:trPr>
        <w:tc>
          <w:tcPr>
            <w:tcW w:w="574" w:type="dxa"/>
            <w:tcBorders>
              <w:top w:val="nil"/>
              <w:left w:val="single" w:sz="4" w:space="0" w:color="auto"/>
              <w:bottom w:val="single" w:sz="4" w:space="0" w:color="auto"/>
              <w:right w:val="single" w:sz="4" w:space="0" w:color="auto"/>
            </w:tcBorders>
            <w:shd w:val="clear" w:color="auto" w:fill="auto"/>
            <w:noWrap/>
            <w:vAlign w:val="bottom"/>
            <w:hideMark/>
          </w:tcPr>
          <w:p w14:paraId="14480634" w14:textId="77777777" w:rsidR="00350C9E" w:rsidRPr="00A9330B" w:rsidRDefault="00350C9E" w:rsidP="006721DD">
            <w:pPr>
              <w:spacing w:before="60" w:line="240" w:lineRule="auto"/>
              <w:jc w:val="center"/>
              <w:rPr>
                <w:rFonts w:eastAsia="Times New Roman" w:cs="Arial"/>
                <w:b/>
                <w:color w:val="000000"/>
                <w:sz w:val="20"/>
                <w:szCs w:val="20"/>
                <w:lang w:eastAsia="fr-FR"/>
              </w:rPr>
            </w:pPr>
            <w:r w:rsidRPr="00A9330B">
              <w:rPr>
                <w:rFonts w:eastAsia="Times New Roman" w:cs="Arial"/>
                <w:b/>
                <w:color w:val="000000"/>
                <w:sz w:val="20"/>
                <w:szCs w:val="20"/>
                <w:lang w:eastAsia="fr-FR"/>
              </w:rPr>
              <w:t>18</w:t>
            </w:r>
          </w:p>
        </w:tc>
        <w:tc>
          <w:tcPr>
            <w:tcW w:w="4705" w:type="dxa"/>
            <w:tcBorders>
              <w:top w:val="nil"/>
              <w:left w:val="nil"/>
              <w:bottom w:val="single" w:sz="4" w:space="0" w:color="auto"/>
              <w:right w:val="single" w:sz="4" w:space="0" w:color="auto"/>
            </w:tcBorders>
            <w:shd w:val="clear" w:color="auto" w:fill="auto"/>
            <w:noWrap/>
            <w:vAlign w:val="bottom"/>
            <w:hideMark/>
          </w:tcPr>
          <w:p w14:paraId="2A22B06A" w14:textId="3841B05F" w:rsidR="00350C9E" w:rsidRPr="00A9330B" w:rsidRDefault="00350C9E" w:rsidP="00081E45">
            <w:pPr>
              <w:spacing w:before="60" w:line="240" w:lineRule="auto"/>
              <w:jc w:val="both"/>
              <w:rPr>
                <w:rFonts w:eastAsia="Times New Roman" w:cs="Arial"/>
                <w:color w:val="000000"/>
                <w:sz w:val="20"/>
                <w:szCs w:val="20"/>
                <w:lang w:eastAsia="fr-FR"/>
              </w:rPr>
            </w:pPr>
            <w:r w:rsidRPr="00A9330B">
              <w:rPr>
                <w:rFonts w:eastAsia="Times New Roman" w:cs="Arial"/>
                <w:color w:val="000000"/>
                <w:sz w:val="20"/>
                <w:szCs w:val="20"/>
                <w:lang w:eastAsia="fr-FR"/>
              </w:rPr>
              <w:t xml:space="preserve">Nombre de ménages ayant perdu des </w:t>
            </w:r>
            <w:r w:rsidR="00081E45" w:rsidRPr="00A9330B">
              <w:rPr>
                <w:rFonts w:eastAsia="Times New Roman" w:cs="Arial"/>
                <w:color w:val="000000"/>
                <w:sz w:val="20"/>
                <w:szCs w:val="20"/>
                <w:lang w:eastAsia="fr-FR"/>
              </w:rPr>
              <w:t xml:space="preserve">Terrain </w:t>
            </w:r>
          </w:p>
        </w:tc>
        <w:tc>
          <w:tcPr>
            <w:tcW w:w="3364" w:type="dxa"/>
            <w:tcBorders>
              <w:top w:val="nil"/>
              <w:left w:val="nil"/>
              <w:bottom w:val="single" w:sz="4" w:space="0" w:color="auto"/>
              <w:right w:val="single" w:sz="4" w:space="0" w:color="auto"/>
            </w:tcBorders>
            <w:shd w:val="clear" w:color="auto" w:fill="auto"/>
            <w:noWrap/>
            <w:vAlign w:val="bottom"/>
            <w:hideMark/>
          </w:tcPr>
          <w:p w14:paraId="0FD69CD7" w14:textId="0CE228BB" w:rsidR="00350C9E" w:rsidRPr="00A9330B" w:rsidRDefault="00081E45" w:rsidP="006721DD">
            <w:pPr>
              <w:spacing w:before="60" w:line="240" w:lineRule="auto"/>
              <w:jc w:val="right"/>
              <w:rPr>
                <w:rFonts w:eastAsia="Times New Roman" w:cs="Arial"/>
                <w:color w:val="000000"/>
                <w:sz w:val="20"/>
                <w:szCs w:val="20"/>
                <w:lang w:eastAsia="fr-FR"/>
              </w:rPr>
            </w:pPr>
            <w:r w:rsidRPr="00A9330B">
              <w:rPr>
                <w:rFonts w:eastAsia="Times New Roman" w:cs="Arial"/>
                <w:color w:val="000000"/>
                <w:sz w:val="20"/>
                <w:szCs w:val="20"/>
                <w:lang w:eastAsia="fr-FR"/>
              </w:rPr>
              <w:t>56</w:t>
            </w:r>
          </w:p>
        </w:tc>
      </w:tr>
      <w:tr w:rsidR="00350C9E" w:rsidRPr="00A9330B" w14:paraId="79CE9010" w14:textId="77777777" w:rsidTr="00081E45">
        <w:trPr>
          <w:trHeight w:val="300"/>
          <w:jc w:val="center"/>
        </w:trPr>
        <w:tc>
          <w:tcPr>
            <w:tcW w:w="574" w:type="dxa"/>
            <w:tcBorders>
              <w:top w:val="nil"/>
              <w:left w:val="single" w:sz="4" w:space="0" w:color="auto"/>
              <w:bottom w:val="single" w:sz="4" w:space="0" w:color="auto"/>
              <w:right w:val="single" w:sz="4" w:space="0" w:color="auto"/>
            </w:tcBorders>
            <w:shd w:val="clear" w:color="auto" w:fill="auto"/>
            <w:noWrap/>
            <w:vAlign w:val="bottom"/>
            <w:hideMark/>
          </w:tcPr>
          <w:p w14:paraId="6122B685" w14:textId="77777777" w:rsidR="00350C9E" w:rsidRPr="00A9330B" w:rsidRDefault="00350C9E" w:rsidP="006721DD">
            <w:pPr>
              <w:spacing w:before="60" w:line="240" w:lineRule="auto"/>
              <w:jc w:val="center"/>
              <w:rPr>
                <w:rFonts w:eastAsia="Times New Roman" w:cs="Arial"/>
                <w:b/>
                <w:color w:val="000000"/>
                <w:sz w:val="20"/>
                <w:szCs w:val="20"/>
                <w:lang w:eastAsia="fr-FR"/>
              </w:rPr>
            </w:pPr>
            <w:r w:rsidRPr="00A9330B">
              <w:rPr>
                <w:rFonts w:eastAsia="Times New Roman" w:cs="Arial"/>
                <w:b/>
                <w:color w:val="000000"/>
                <w:sz w:val="20"/>
                <w:szCs w:val="20"/>
                <w:lang w:eastAsia="fr-FR"/>
              </w:rPr>
              <w:t>21</w:t>
            </w:r>
          </w:p>
        </w:tc>
        <w:tc>
          <w:tcPr>
            <w:tcW w:w="4705" w:type="dxa"/>
            <w:tcBorders>
              <w:top w:val="nil"/>
              <w:left w:val="nil"/>
              <w:bottom w:val="single" w:sz="4" w:space="0" w:color="auto"/>
              <w:right w:val="single" w:sz="4" w:space="0" w:color="auto"/>
            </w:tcBorders>
            <w:shd w:val="clear" w:color="auto" w:fill="auto"/>
            <w:noWrap/>
            <w:vAlign w:val="bottom"/>
            <w:hideMark/>
          </w:tcPr>
          <w:p w14:paraId="0BC0EFE6" w14:textId="77777777" w:rsidR="00350C9E" w:rsidRPr="00A9330B" w:rsidRDefault="00350C9E" w:rsidP="006721DD">
            <w:pPr>
              <w:spacing w:before="60" w:line="240" w:lineRule="auto"/>
              <w:jc w:val="both"/>
              <w:rPr>
                <w:rFonts w:eastAsia="Times New Roman" w:cs="Arial"/>
                <w:color w:val="000000"/>
                <w:sz w:val="20"/>
                <w:szCs w:val="20"/>
                <w:lang w:eastAsia="fr-FR"/>
              </w:rPr>
            </w:pPr>
            <w:r w:rsidRPr="00A9330B">
              <w:rPr>
                <w:rFonts w:eastAsia="Times New Roman" w:cs="Arial"/>
                <w:color w:val="000000"/>
                <w:sz w:val="20"/>
                <w:szCs w:val="20"/>
                <w:lang w:eastAsia="fr-FR"/>
              </w:rPr>
              <w:t>Nombre de maisons entièrement détruites</w:t>
            </w:r>
          </w:p>
        </w:tc>
        <w:tc>
          <w:tcPr>
            <w:tcW w:w="3364" w:type="dxa"/>
            <w:tcBorders>
              <w:top w:val="nil"/>
              <w:left w:val="nil"/>
              <w:bottom w:val="single" w:sz="4" w:space="0" w:color="auto"/>
              <w:right w:val="single" w:sz="4" w:space="0" w:color="auto"/>
            </w:tcBorders>
            <w:shd w:val="clear" w:color="auto" w:fill="auto"/>
            <w:noWrap/>
            <w:vAlign w:val="bottom"/>
            <w:hideMark/>
          </w:tcPr>
          <w:p w14:paraId="03C00D65" w14:textId="24415A57" w:rsidR="00350C9E" w:rsidRPr="00A9330B" w:rsidRDefault="00081E45" w:rsidP="006721DD">
            <w:pPr>
              <w:spacing w:before="60" w:line="240" w:lineRule="auto"/>
              <w:jc w:val="right"/>
              <w:rPr>
                <w:rFonts w:eastAsia="Times New Roman" w:cs="Arial"/>
                <w:color w:val="000000"/>
                <w:sz w:val="20"/>
                <w:szCs w:val="20"/>
                <w:lang w:eastAsia="fr-FR"/>
              </w:rPr>
            </w:pPr>
            <w:r w:rsidRPr="00A9330B">
              <w:rPr>
                <w:rFonts w:eastAsia="Times New Roman" w:cs="Arial"/>
                <w:color w:val="000000"/>
                <w:sz w:val="20"/>
                <w:szCs w:val="20"/>
                <w:lang w:eastAsia="fr-FR"/>
              </w:rPr>
              <w:t>212</w:t>
            </w:r>
          </w:p>
        </w:tc>
      </w:tr>
      <w:tr w:rsidR="00350C9E" w:rsidRPr="00A9330B" w14:paraId="5C886A03" w14:textId="77777777" w:rsidTr="00081E45">
        <w:trPr>
          <w:trHeight w:val="300"/>
          <w:jc w:val="center"/>
        </w:trPr>
        <w:tc>
          <w:tcPr>
            <w:tcW w:w="574" w:type="dxa"/>
            <w:tcBorders>
              <w:top w:val="nil"/>
              <w:left w:val="single" w:sz="4" w:space="0" w:color="auto"/>
              <w:bottom w:val="single" w:sz="4" w:space="0" w:color="auto"/>
              <w:right w:val="single" w:sz="4" w:space="0" w:color="auto"/>
            </w:tcBorders>
            <w:shd w:val="clear" w:color="auto" w:fill="auto"/>
            <w:noWrap/>
            <w:vAlign w:val="bottom"/>
            <w:hideMark/>
          </w:tcPr>
          <w:p w14:paraId="0479B4BF" w14:textId="77777777" w:rsidR="00350C9E" w:rsidRPr="00A9330B" w:rsidRDefault="00350C9E" w:rsidP="006721DD">
            <w:pPr>
              <w:spacing w:before="60" w:line="240" w:lineRule="auto"/>
              <w:jc w:val="center"/>
              <w:rPr>
                <w:rFonts w:eastAsia="Times New Roman" w:cs="Arial"/>
                <w:b/>
                <w:color w:val="000000"/>
                <w:sz w:val="20"/>
                <w:szCs w:val="20"/>
                <w:lang w:eastAsia="fr-FR"/>
              </w:rPr>
            </w:pPr>
            <w:r w:rsidRPr="00A9330B">
              <w:rPr>
                <w:rFonts w:eastAsia="Times New Roman" w:cs="Arial"/>
                <w:b/>
                <w:color w:val="000000"/>
                <w:sz w:val="20"/>
                <w:szCs w:val="20"/>
                <w:lang w:eastAsia="fr-FR"/>
              </w:rPr>
              <w:t>22</w:t>
            </w:r>
          </w:p>
        </w:tc>
        <w:tc>
          <w:tcPr>
            <w:tcW w:w="4705" w:type="dxa"/>
            <w:tcBorders>
              <w:top w:val="nil"/>
              <w:left w:val="nil"/>
              <w:bottom w:val="single" w:sz="4" w:space="0" w:color="auto"/>
              <w:right w:val="single" w:sz="4" w:space="0" w:color="auto"/>
            </w:tcBorders>
            <w:shd w:val="clear" w:color="auto" w:fill="auto"/>
            <w:noWrap/>
            <w:vAlign w:val="bottom"/>
            <w:hideMark/>
          </w:tcPr>
          <w:p w14:paraId="4C17AB79" w14:textId="1D0D4D8C" w:rsidR="00350C9E" w:rsidRPr="00A9330B" w:rsidRDefault="00350C9E" w:rsidP="00081E45">
            <w:pPr>
              <w:spacing w:before="60" w:line="240" w:lineRule="auto"/>
              <w:jc w:val="both"/>
              <w:rPr>
                <w:rFonts w:eastAsia="Times New Roman" w:cs="Arial"/>
                <w:color w:val="000000"/>
                <w:sz w:val="20"/>
                <w:szCs w:val="20"/>
                <w:lang w:eastAsia="fr-FR"/>
              </w:rPr>
            </w:pPr>
            <w:r w:rsidRPr="00A9330B">
              <w:rPr>
                <w:rFonts w:eastAsia="Times New Roman" w:cs="Arial"/>
                <w:color w:val="000000"/>
                <w:sz w:val="20"/>
                <w:szCs w:val="20"/>
                <w:lang w:eastAsia="fr-FR"/>
              </w:rPr>
              <w:t>Nombre total d’arbres détruits</w:t>
            </w:r>
          </w:p>
        </w:tc>
        <w:tc>
          <w:tcPr>
            <w:tcW w:w="3364" w:type="dxa"/>
            <w:tcBorders>
              <w:top w:val="nil"/>
              <w:left w:val="nil"/>
              <w:bottom w:val="single" w:sz="4" w:space="0" w:color="auto"/>
              <w:right w:val="single" w:sz="4" w:space="0" w:color="auto"/>
            </w:tcBorders>
            <w:shd w:val="clear" w:color="auto" w:fill="auto"/>
            <w:noWrap/>
            <w:vAlign w:val="bottom"/>
          </w:tcPr>
          <w:p w14:paraId="431A219D" w14:textId="0BB77989" w:rsidR="00350C9E" w:rsidRPr="00A9330B" w:rsidRDefault="00081E45" w:rsidP="006721DD">
            <w:pPr>
              <w:spacing w:before="60" w:line="240" w:lineRule="auto"/>
              <w:jc w:val="right"/>
              <w:rPr>
                <w:rFonts w:eastAsia="Times New Roman" w:cs="Arial"/>
                <w:color w:val="000000"/>
                <w:sz w:val="20"/>
                <w:szCs w:val="20"/>
                <w:highlight w:val="yellow"/>
                <w:lang w:eastAsia="fr-FR"/>
              </w:rPr>
            </w:pPr>
            <w:r w:rsidRPr="00A9330B">
              <w:rPr>
                <w:rFonts w:eastAsia="Times New Roman" w:cs="Arial"/>
                <w:color w:val="000000"/>
                <w:sz w:val="20"/>
                <w:szCs w:val="20"/>
                <w:lang w:eastAsia="fr-FR"/>
              </w:rPr>
              <w:t>3411</w:t>
            </w:r>
          </w:p>
        </w:tc>
      </w:tr>
      <w:tr w:rsidR="00350C9E" w:rsidRPr="00A9330B" w14:paraId="67393C38" w14:textId="77777777" w:rsidTr="00081E45">
        <w:trPr>
          <w:trHeight w:val="300"/>
          <w:jc w:val="center"/>
        </w:trPr>
        <w:tc>
          <w:tcPr>
            <w:tcW w:w="574" w:type="dxa"/>
            <w:tcBorders>
              <w:top w:val="nil"/>
              <w:left w:val="single" w:sz="4" w:space="0" w:color="auto"/>
              <w:bottom w:val="single" w:sz="4" w:space="0" w:color="auto"/>
              <w:right w:val="single" w:sz="4" w:space="0" w:color="auto"/>
            </w:tcBorders>
            <w:shd w:val="clear" w:color="auto" w:fill="auto"/>
            <w:noWrap/>
            <w:vAlign w:val="bottom"/>
            <w:hideMark/>
          </w:tcPr>
          <w:p w14:paraId="7857D718" w14:textId="77777777" w:rsidR="00350C9E" w:rsidRPr="00A9330B" w:rsidRDefault="00350C9E" w:rsidP="006721DD">
            <w:pPr>
              <w:spacing w:before="60" w:line="240" w:lineRule="auto"/>
              <w:jc w:val="center"/>
              <w:rPr>
                <w:rFonts w:eastAsia="Times New Roman" w:cs="Arial"/>
                <w:b/>
                <w:color w:val="000000"/>
                <w:sz w:val="20"/>
                <w:szCs w:val="20"/>
                <w:lang w:eastAsia="fr-FR"/>
              </w:rPr>
            </w:pPr>
            <w:r w:rsidRPr="00A9330B">
              <w:rPr>
                <w:rFonts w:eastAsia="Times New Roman" w:cs="Arial"/>
                <w:b/>
                <w:color w:val="000000"/>
                <w:sz w:val="20"/>
                <w:szCs w:val="20"/>
                <w:lang w:eastAsia="fr-FR"/>
              </w:rPr>
              <w:t>23</w:t>
            </w:r>
          </w:p>
        </w:tc>
        <w:tc>
          <w:tcPr>
            <w:tcW w:w="4705" w:type="dxa"/>
            <w:tcBorders>
              <w:top w:val="nil"/>
              <w:left w:val="nil"/>
              <w:bottom w:val="single" w:sz="4" w:space="0" w:color="auto"/>
              <w:right w:val="single" w:sz="4" w:space="0" w:color="auto"/>
            </w:tcBorders>
            <w:shd w:val="clear" w:color="auto" w:fill="auto"/>
            <w:noWrap/>
            <w:vAlign w:val="bottom"/>
            <w:hideMark/>
          </w:tcPr>
          <w:p w14:paraId="5CE3A409" w14:textId="77777777" w:rsidR="00350C9E" w:rsidRPr="00A9330B" w:rsidRDefault="00350C9E" w:rsidP="006721DD">
            <w:pPr>
              <w:spacing w:before="60" w:line="240" w:lineRule="auto"/>
              <w:jc w:val="both"/>
              <w:rPr>
                <w:rFonts w:eastAsia="Times New Roman" w:cs="Arial"/>
                <w:color w:val="000000"/>
                <w:sz w:val="20"/>
                <w:szCs w:val="20"/>
                <w:lang w:eastAsia="fr-FR"/>
              </w:rPr>
            </w:pPr>
            <w:r w:rsidRPr="00A9330B">
              <w:rPr>
                <w:rFonts w:eastAsia="Times New Roman" w:cs="Arial"/>
                <w:color w:val="000000"/>
                <w:sz w:val="20"/>
                <w:szCs w:val="20"/>
                <w:lang w:eastAsia="fr-FR"/>
              </w:rPr>
              <w:t>Nombre de kiosques ou de baraques métalliques détruits</w:t>
            </w:r>
          </w:p>
        </w:tc>
        <w:tc>
          <w:tcPr>
            <w:tcW w:w="3364" w:type="dxa"/>
            <w:tcBorders>
              <w:top w:val="nil"/>
              <w:left w:val="nil"/>
              <w:bottom w:val="single" w:sz="4" w:space="0" w:color="auto"/>
              <w:right w:val="single" w:sz="4" w:space="0" w:color="auto"/>
            </w:tcBorders>
            <w:shd w:val="clear" w:color="auto" w:fill="auto"/>
            <w:noWrap/>
            <w:vAlign w:val="bottom"/>
            <w:hideMark/>
          </w:tcPr>
          <w:p w14:paraId="2418D1E6" w14:textId="31BA4845" w:rsidR="00350C9E" w:rsidRPr="00A9330B" w:rsidRDefault="00081E45" w:rsidP="006721DD">
            <w:pPr>
              <w:spacing w:before="60" w:line="240" w:lineRule="auto"/>
              <w:jc w:val="right"/>
              <w:rPr>
                <w:rFonts w:eastAsia="Times New Roman" w:cs="Arial"/>
                <w:color w:val="000000"/>
                <w:sz w:val="20"/>
                <w:szCs w:val="20"/>
                <w:lang w:eastAsia="fr-FR"/>
              </w:rPr>
            </w:pPr>
            <w:r w:rsidRPr="00A9330B">
              <w:rPr>
                <w:rFonts w:eastAsia="Times New Roman" w:cs="Arial"/>
                <w:color w:val="000000"/>
                <w:sz w:val="20"/>
                <w:szCs w:val="20"/>
                <w:lang w:eastAsia="fr-FR"/>
              </w:rPr>
              <w:t>6</w:t>
            </w:r>
          </w:p>
        </w:tc>
      </w:tr>
      <w:tr w:rsidR="00350C9E" w:rsidRPr="00A9330B" w14:paraId="25127C75" w14:textId="77777777" w:rsidTr="00081E45">
        <w:trPr>
          <w:trHeight w:val="300"/>
          <w:jc w:val="center"/>
        </w:trPr>
        <w:tc>
          <w:tcPr>
            <w:tcW w:w="574" w:type="dxa"/>
            <w:tcBorders>
              <w:top w:val="nil"/>
              <w:left w:val="single" w:sz="4" w:space="0" w:color="auto"/>
              <w:bottom w:val="single" w:sz="4" w:space="0" w:color="auto"/>
              <w:right w:val="single" w:sz="4" w:space="0" w:color="auto"/>
            </w:tcBorders>
            <w:shd w:val="clear" w:color="auto" w:fill="auto"/>
            <w:noWrap/>
            <w:vAlign w:val="bottom"/>
            <w:hideMark/>
          </w:tcPr>
          <w:p w14:paraId="19C81E1E" w14:textId="77777777" w:rsidR="00350C9E" w:rsidRPr="00A9330B" w:rsidRDefault="00350C9E" w:rsidP="006721DD">
            <w:pPr>
              <w:spacing w:before="60" w:line="240" w:lineRule="auto"/>
              <w:jc w:val="center"/>
              <w:rPr>
                <w:rFonts w:eastAsia="Times New Roman" w:cs="Arial"/>
                <w:b/>
                <w:color w:val="000000"/>
                <w:sz w:val="20"/>
                <w:szCs w:val="20"/>
                <w:lang w:eastAsia="fr-FR"/>
              </w:rPr>
            </w:pPr>
            <w:r w:rsidRPr="00A9330B">
              <w:rPr>
                <w:rFonts w:eastAsia="Times New Roman" w:cs="Arial"/>
                <w:b/>
                <w:color w:val="000000"/>
                <w:sz w:val="20"/>
                <w:szCs w:val="20"/>
                <w:lang w:eastAsia="fr-FR"/>
              </w:rPr>
              <w:t>24</w:t>
            </w:r>
          </w:p>
        </w:tc>
        <w:tc>
          <w:tcPr>
            <w:tcW w:w="4705" w:type="dxa"/>
            <w:tcBorders>
              <w:top w:val="nil"/>
              <w:left w:val="nil"/>
              <w:bottom w:val="single" w:sz="4" w:space="0" w:color="auto"/>
              <w:right w:val="single" w:sz="4" w:space="0" w:color="auto"/>
            </w:tcBorders>
            <w:shd w:val="clear" w:color="auto" w:fill="auto"/>
            <w:noWrap/>
            <w:vAlign w:val="bottom"/>
            <w:hideMark/>
          </w:tcPr>
          <w:p w14:paraId="2D381C59" w14:textId="77777777" w:rsidR="00350C9E" w:rsidRPr="00A9330B" w:rsidRDefault="00350C9E" w:rsidP="006721DD">
            <w:pPr>
              <w:spacing w:before="60" w:line="240" w:lineRule="auto"/>
              <w:jc w:val="both"/>
              <w:rPr>
                <w:rFonts w:eastAsia="Times New Roman" w:cs="Arial"/>
                <w:color w:val="000000"/>
                <w:sz w:val="20"/>
                <w:szCs w:val="20"/>
                <w:lang w:eastAsia="fr-FR"/>
              </w:rPr>
            </w:pPr>
            <w:r w:rsidRPr="00A9330B">
              <w:rPr>
                <w:rFonts w:eastAsia="Times New Roman" w:cs="Arial"/>
                <w:color w:val="000000"/>
                <w:sz w:val="20"/>
                <w:szCs w:val="20"/>
                <w:lang w:eastAsia="fr-FR"/>
              </w:rPr>
              <w:t>Nombre de baraque en bois tôles détruites</w:t>
            </w:r>
          </w:p>
        </w:tc>
        <w:tc>
          <w:tcPr>
            <w:tcW w:w="3364" w:type="dxa"/>
            <w:tcBorders>
              <w:top w:val="nil"/>
              <w:left w:val="nil"/>
              <w:bottom w:val="single" w:sz="4" w:space="0" w:color="auto"/>
              <w:right w:val="single" w:sz="4" w:space="0" w:color="auto"/>
            </w:tcBorders>
            <w:shd w:val="clear" w:color="auto" w:fill="auto"/>
            <w:noWrap/>
            <w:vAlign w:val="bottom"/>
            <w:hideMark/>
          </w:tcPr>
          <w:p w14:paraId="5CA445B1" w14:textId="77777777" w:rsidR="00350C9E" w:rsidRPr="00A9330B" w:rsidRDefault="00350C9E" w:rsidP="006721DD">
            <w:pPr>
              <w:spacing w:before="60" w:line="240" w:lineRule="auto"/>
              <w:jc w:val="right"/>
              <w:rPr>
                <w:rFonts w:eastAsia="Times New Roman" w:cs="Arial"/>
                <w:color w:val="000000"/>
                <w:sz w:val="20"/>
                <w:szCs w:val="20"/>
                <w:lang w:eastAsia="fr-FR"/>
              </w:rPr>
            </w:pPr>
            <w:r w:rsidRPr="00A9330B">
              <w:rPr>
                <w:rFonts w:eastAsia="Times New Roman" w:cs="Arial"/>
                <w:color w:val="000000"/>
                <w:sz w:val="20"/>
                <w:szCs w:val="20"/>
                <w:lang w:eastAsia="fr-FR"/>
              </w:rPr>
              <w:t>6</w:t>
            </w:r>
          </w:p>
        </w:tc>
      </w:tr>
      <w:tr w:rsidR="00350C9E" w:rsidRPr="00A9330B" w14:paraId="4F4731CE" w14:textId="77777777" w:rsidTr="00081E45">
        <w:trPr>
          <w:trHeight w:val="300"/>
          <w:jc w:val="center"/>
        </w:trPr>
        <w:tc>
          <w:tcPr>
            <w:tcW w:w="574" w:type="dxa"/>
            <w:tcBorders>
              <w:top w:val="nil"/>
              <w:left w:val="single" w:sz="4" w:space="0" w:color="auto"/>
              <w:bottom w:val="single" w:sz="4" w:space="0" w:color="auto"/>
              <w:right w:val="single" w:sz="4" w:space="0" w:color="auto"/>
            </w:tcBorders>
            <w:shd w:val="clear" w:color="auto" w:fill="auto"/>
            <w:noWrap/>
            <w:vAlign w:val="bottom"/>
            <w:hideMark/>
          </w:tcPr>
          <w:p w14:paraId="513D5039" w14:textId="77777777" w:rsidR="00350C9E" w:rsidRPr="00A9330B" w:rsidRDefault="00350C9E" w:rsidP="006721DD">
            <w:pPr>
              <w:spacing w:before="60" w:line="240" w:lineRule="auto"/>
              <w:jc w:val="center"/>
              <w:rPr>
                <w:rFonts w:eastAsia="Times New Roman" w:cs="Arial"/>
                <w:b/>
                <w:color w:val="000000"/>
                <w:sz w:val="20"/>
                <w:szCs w:val="20"/>
                <w:lang w:eastAsia="fr-FR"/>
              </w:rPr>
            </w:pPr>
            <w:r w:rsidRPr="00A9330B">
              <w:rPr>
                <w:rFonts w:eastAsia="Times New Roman" w:cs="Arial"/>
                <w:b/>
                <w:color w:val="000000"/>
                <w:sz w:val="20"/>
                <w:szCs w:val="20"/>
                <w:lang w:eastAsia="fr-FR"/>
              </w:rPr>
              <w:t>25</w:t>
            </w:r>
          </w:p>
        </w:tc>
        <w:tc>
          <w:tcPr>
            <w:tcW w:w="4705" w:type="dxa"/>
            <w:tcBorders>
              <w:top w:val="nil"/>
              <w:left w:val="nil"/>
              <w:bottom w:val="single" w:sz="4" w:space="0" w:color="auto"/>
              <w:right w:val="single" w:sz="4" w:space="0" w:color="auto"/>
            </w:tcBorders>
            <w:shd w:val="clear" w:color="auto" w:fill="auto"/>
            <w:noWrap/>
            <w:vAlign w:val="bottom"/>
            <w:hideMark/>
          </w:tcPr>
          <w:p w14:paraId="383B6BA1" w14:textId="77777777" w:rsidR="00350C9E" w:rsidRPr="00A9330B" w:rsidRDefault="00350C9E" w:rsidP="006721DD">
            <w:pPr>
              <w:spacing w:before="60" w:line="240" w:lineRule="auto"/>
              <w:jc w:val="both"/>
              <w:rPr>
                <w:rFonts w:eastAsia="Times New Roman" w:cs="Arial"/>
                <w:color w:val="000000"/>
                <w:sz w:val="20"/>
                <w:szCs w:val="20"/>
                <w:lang w:eastAsia="fr-FR"/>
              </w:rPr>
            </w:pPr>
            <w:r w:rsidRPr="00A9330B">
              <w:rPr>
                <w:rFonts w:eastAsia="Times New Roman" w:cs="Arial"/>
                <w:color w:val="000000"/>
                <w:sz w:val="20"/>
                <w:szCs w:val="20"/>
                <w:lang w:eastAsia="fr-FR"/>
              </w:rPr>
              <w:t>Nombre d’appâtâmes détruits</w:t>
            </w:r>
          </w:p>
        </w:tc>
        <w:tc>
          <w:tcPr>
            <w:tcW w:w="3364" w:type="dxa"/>
            <w:tcBorders>
              <w:top w:val="nil"/>
              <w:left w:val="nil"/>
              <w:bottom w:val="single" w:sz="4" w:space="0" w:color="auto"/>
              <w:right w:val="single" w:sz="4" w:space="0" w:color="auto"/>
            </w:tcBorders>
            <w:shd w:val="clear" w:color="auto" w:fill="auto"/>
            <w:noWrap/>
            <w:vAlign w:val="bottom"/>
            <w:hideMark/>
          </w:tcPr>
          <w:p w14:paraId="5A9CDFEB" w14:textId="77777777" w:rsidR="00350C9E" w:rsidRPr="00A9330B" w:rsidRDefault="00350C9E" w:rsidP="006721DD">
            <w:pPr>
              <w:spacing w:before="60" w:line="240" w:lineRule="auto"/>
              <w:jc w:val="right"/>
              <w:rPr>
                <w:rFonts w:eastAsia="Times New Roman" w:cs="Arial"/>
                <w:color w:val="000000"/>
                <w:sz w:val="20"/>
                <w:szCs w:val="20"/>
                <w:lang w:eastAsia="fr-FR"/>
              </w:rPr>
            </w:pPr>
            <w:r w:rsidRPr="00A9330B">
              <w:rPr>
                <w:rFonts w:eastAsia="Times New Roman" w:cs="Arial"/>
                <w:color w:val="000000"/>
                <w:sz w:val="20"/>
                <w:szCs w:val="20"/>
                <w:lang w:eastAsia="fr-FR"/>
              </w:rPr>
              <w:t>0</w:t>
            </w:r>
          </w:p>
        </w:tc>
      </w:tr>
      <w:tr w:rsidR="00350C9E" w:rsidRPr="00A9330B" w14:paraId="5E69D789" w14:textId="77777777" w:rsidTr="00081E45">
        <w:trPr>
          <w:trHeight w:val="300"/>
          <w:jc w:val="center"/>
        </w:trPr>
        <w:tc>
          <w:tcPr>
            <w:tcW w:w="574" w:type="dxa"/>
            <w:tcBorders>
              <w:top w:val="nil"/>
              <w:left w:val="single" w:sz="4" w:space="0" w:color="auto"/>
              <w:bottom w:val="single" w:sz="4" w:space="0" w:color="auto"/>
              <w:right w:val="single" w:sz="4" w:space="0" w:color="auto"/>
            </w:tcBorders>
            <w:shd w:val="clear" w:color="auto" w:fill="auto"/>
            <w:noWrap/>
            <w:vAlign w:val="bottom"/>
            <w:hideMark/>
          </w:tcPr>
          <w:p w14:paraId="794E9A34" w14:textId="77777777" w:rsidR="00350C9E" w:rsidRPr="00A9330B" w:rsidRDefault="00350C9E" w:rsidP="006721DD">
            <w:pPr>
              <w:spacing w:before="60" w:line="240" w:lineRule="auto"/>
              <w:jc w:val="center"/>
              <w:rPr>
                <w:rFonts w:eastAsia="Times New Roman" w:cs="Arial"/>
                <w:b/>
                <w:color w:val="000000"/>
                <w:sz w:val="20"/>
                <w:szCs w:val="20"/>
                <w:lang w:eastAsia="fr-FR"/>
              </w:rPr>
            </w:pPr>
            <w:r w:rsidRPr="00A9330B">
              <w:rPr>
                <w:rFonts w:eastAsia="Times New Roman" w:cs="Arial"/>
                <w:b/>
                <w:color w:val="000000"/>
                <w:sz w:val="20"/>
                <w:szCs w:val="20"/>
                <w:lang w:eastAsia="fr-FR"/>
              </w:rPr>
              <w:t>26</w:t>
            </w:r>
          </w:p>
        </w:tc>
        <w:tc>
          <w:tcPr>
            <w:tcW w:w="4705" w:type="dxa"/>
            <w:tcBorders>
              <w:top w:val="nil"/>
              <w:left w:val="nil"/>
              <w:bottom w:val="single" w:sz="4" w:space="0" w:color="auto"/>
              <w:right w:val="single" w:sz="4" w:space="0" w:color="auto"/>
            </w:tcBorders>
            <w:shd w:val="clear" w:color="auto" w:fill="auto"/>
            <w:noWrap/>
            <w:vAlign w:val="bottom"/>
            <w:hideMark/>
          </w:tcPr>
          <w:p w14:paraId="577EAC15" w14:textId="77777777" w:rsidR="00350C9E" w:rsidRPr="00A9330B" w:rsidRDefault="00350C9E" w:rsidP="006721DD">
            <w:pPr>
              <w:spacing w:before="60" w:line="240" w:lineRule="auto"/>
              <w:jc w:val="both"/>
              <w:rPr>
                <w:rFonts w:eastAsia="Times New Roman" w:cs="Arial"/>
                <w:color w:val="000000"/>
                <w:sz w:val="20"/>
                <w:szCs w:val="20"/>
                <w:lang w:eastAsia="fr-FR"/>
              </w:rPr>
            </w:pPr>
            <w:r w:rsidRPr="00A9330B">
              <w:rPr>
                <w:rFonts w:eastAsia="Times New Roman" w:cs="Arial"/>
                <w:color w:val="000000"/>
                <w:sz w:val="20"/>
                <w:szCs w:val="20"/>
                <w:lang w:eastAsia="fr-FR"/>
              </w:rPr>
              <w:t>Nombre de boutique en maçonnerie détruites</w:t>
            </w:r>
          </w:p>
        </w:tc>
        <w:tc>
          <w:tcPr>
            <w:tcW w:w="3364" w:type="dxa"/>
            <w:tcBorders>
              <w:top w:val="nil"/>
              <w:left w:val="nil"/>
              <w:bottom w:val="single" w:sz="4" w:space="0" w:color="auto"/>
              <w:right w:val="single" w:sz="4" w:space="0" w:color="auto"/>
            </w:tcBorders>
            <w:shd w:val="clear" w:color="auto" w:fill="auto"/>
            <w:noWrap/>
            <w:vAlign w:val="bottom"/>
            <w:hideMark/>
          </w:tcPr>
          <w:p w14:paraId="319C90C0" w14:textId="7DB72393" w:rsidR="00350C9E" w:rsidRPr="00A9330B" w:rsidRDefault="00081E45" w:rsidP="006721DD">
            <w:pPr>
              <w:spacing w:before="60" w:line="240" w:lineRule="auto"/>
              <w:jc w:val="right"/>
              <w:rPr>
                <w:rFonts w:eastAsia="Times New Roman" w:cs="Arial"/>
                <w:color w:val="000000"/>
                <w:sz w:val="20"/>
                <w:szCs w:val="20"/>
                <w:lang w:eastAsia="fr-FR"/>
              </w:rPr>
            </w:pPr>
            <w:r w:rsidRPr="00A9330B">
              <w:rPr>
                <w:rFonts w:eastAsia="Times New Roman" w:cs="Arial"/>
                <w:color w:val="000000"/>
                <w:sz w:val="20"/>
                <w:szCs w:val="20"/>
                <w:lang w:eastAsia="fr-FR"/>
              </w:rPr>
              <w:t>12</w:t>
            </w:r>
          </w:p>
        </w:tc>
      </w:tr>
      <w:tr w:rsidR="00350C9E" w:rsidRPr="00A9330B" w14:paraId="6AE89C86" w14:textId="77777777" w:rsidTr="00081E45">
        <w:trPr>
          <w:trHeight w:val="300"/>
          <w:jc w:val="center"/>
        </w:trPr>
        <w:tc>
          <w:tcPr>
            <w:tcW w:w="574" w:type="dxa"/>
            <w:tcBorders>
              <w:top w:val="nil"/>
              <w:left w:val="single" w:sz="4" w:space="0" w:color="auto"/>
              <w:bottom w:val="single" w:sz="4" w:space="0" w:color="auto"/>
              <w:right w:val="single" w:sz="4" w:space="0" w:color="auto"/>
            </w:tcBorders>
            <w:shd w:val="clear" w:color="auto" w:fill="auto"/>
            <w:noWrap/>
            <w:vAlign w:val="bottom"/>
            <w:hideMark/>
          </w:tcPr>
          <w:p w14:paraId="1D7E8F0B" w14:textId="77777777" w:rsidR="00350C9E" w:rsidRPr="00A9330B" w:rsidRDefault="00350C9E" w:rsidP="006721DD">
            <w:pPr>
              <w:spacing w:before="60" w:line="240" w:lineRule="auto"/>
              <w:jc w:val="center"/>
              <w:rPr>
                <w:rFonts w:eastAsia="Times New Roman" w:cs="Arial"/>
                <w:b/>
                <w:color w:val="000000"/>
                <w:sz w:val="20"/>
                <w:szCs w:val="20"/>
                <w:lang w:eastAsia="fr-FR"/>
              </w:rPr>
            </w:pPr>
            <w:r w:rsidRPr="00A9330B">
              <w:rPr>
                <w:rFonts w:eastAsia="Times New Roman" w:cs="Arial"/>
                <w:b/>
                <w:color w:val="000000"/>
                <w:sz w:val="20"/>
                <w:szCs w:val="20"/>
                <w:lang w:eastAsia="fr-FR"/>
              </w:rPr>
              <w:t>27</w:t>
            </w:r>
          </w:p>
        </w:tc>
        <w:tc>
          <w:tcPr>
            <w:tcW w:w="4705" w:type="dxa"/>
            <w:tcBorders>
              <w:top w:val="nil"/>
              <w:left w:val="nil"/>
              <w:bottom w:val="single" w:sz="4" w:space="0" w:color="auto"/>
              <w:right w:val="single" w:sz="4" w:space="0" w:color="auto"/>
            </w:tcBorders>
            <w:shd w:val="clear" w:color="auto" w:fill="auto"/>
            <w:noWrap/>
            <w:vAlign w:val="bottom"/>
            <w:hideMark/>
          </w:tcPr>
          <w:p w14:paraId="1B425E88" w14:textId="77777777" w:rsidR="00350C9E" w:rsidRPr="00A9330B" w:rsidRDefault="00350C9E" w:rsidP="006721DD">
            <w:pPr>
              <w:spacing w:before="60" w:line="240" w:lineRule="auto"/>
              <w:jc w:val="both"/>
              <w:rPr>
                <w:rFonts w:eastAsia="Times New Roman" w:cs="Arial"/>
                <w:color w:val="000000"/>
                <w:sz w:val="20"/>
                <w:szCs w:val="20"/>
                <w:lang w:eastAsia="fr-FR"/>
              </w:rPr>
            </w:pPr>
            <w:r w:rsidRPr="00A9330B">
              <w:rPr>
                <w:rFonts w:eastAsia="Times New Roman" w:cs="Arial"/>
                <w:color w:val="000000"/>
                <w:sz w:val="20"/>
                <w:szCs w:val="20"/>
                <w:lang w:eastAsia="fr-FR"/>
              </w:rPr>
              <w:t>Nombre de hangars détruits</w:t>
            </w:r>
          </w:p>
        </w:tc>
        <w:tc>
          <w:tcPr>
            <w:tcW w:w="3364" w:type="dxa"/>
            <w:tcBorders>
              <w:top w:val="nil"/>
              <w:left w:val="nil"/>
              <w:bottom w:val="single" w:sz="4" w:space="0" w:color="auto"/>
              <w:right w:val="single" w:sz="4" w:space="0" w:color="auto"/>
            </w:tcBorders>
            <w:shd w:val="clear" w:color="auto" w:fill="auto"/>
            <w:noWrap/>
            <w:vAlign w:val="bottom"/>
            <w:hideMark/>
          </w:tcPr>
          <w:p w14:paraId="5C315076" w14:textId="09EB522C" w:rsidR="00350C9E" w:rsidRPr="00A9330B" w:rsidRDefault="00081E45" w:rsidP="006721DD">
            <w:pPr>
              <w:spacing w:before="60" w:line="240" w:lineRule="auto"/>
              <w:jc w:val="right"/>
              <w:rPr>
                <w:rFonts w:eastAsia="Times New Roman" w:cs="Arial"/>
                <w:color w:val="000000"/>
                <w:sz w:val="20"/>
                <w:szCs w:val="20"/>
                <w:lang w:eastAsia="fr-FR"/>
              </w:rPr>
            </w:pPr>
            <w:r w:rsidRPr="00A9330B">
              <w:rPr>
                <w:rFonts w:eastAsia="Times New Roman" w:cs="Arial"/>
                <w:color w:val="000000"/>
                <w:sz w:val="20"/>
                <w:szCs w:val="20"/>
                <w:lang w:eastAsia="fr-FR"/>
              </w:rPr>
              <w:t>8</w:t>
            </w:r>
          </w:p>
        </w:tc>
      </w:tr>
      <w:tr w:rsidR="00350C9E" w:rsidRPr="00A9330B" w14:paraId="271DFF20" w14:textId="77777777" w:rsidTr="00081E45">
        <w:trPr>
          <w:trHeight w:val="300"/>
          <w:jc w:val="center"/>
        </w:trPr>
        <w:tc>
          <w:tcPr>
            <w:tcW w:w="574" w:type="dxa"/>
            <w:tcBorders>
              <w:top w:val="nil"/>
              <w:left w:val="single" w:sz="4" w:space="0" w:color="auto"/>
              <w:bottom w:val="single" w:sz="4" w:space="0" w:color="auto"/>
              <w:right w:val="single" w:sz="4" w:space="0" w:color="auto"/>
            </w:tcBorders>
            <w:shd w:val="clear" w:color="auto" w:fill="auto"/>
            <w:noWrap/>
            <w:vAlign w:val="bottom"/>
            <w:hideMark/>
          </w:tcPr>
          <w:p w14:paraId="78C9C2D4" w14:textId="77777777" w:rsidR="00350C9E" w:rsidRPr="00A9330B" w:rsidRDefault="00350C9E" w:rsidP="006721DD">
            <w:pPr>
              <w:spacing w:before="60" w:line="240" w:lineRule="auto"/>
              <w:jc w:val="center"/>
              <w:rPr>
                <w:rFonts w:eastAsia="Times New Roman" w:cs="Arial"/>
                <w:b/>
                <w:color w:val="000000"/>
                <w:sz w:val="20"/>
                <w:szCs w:val="20"/>
                <w:lang w:eastAsia="fr-FR"/>
              </w:rPr>
            </w:pPr>
            <w:r w:rsidRPr="00A9330B">
              <w:rPr>
                <w:rFonts w:eastAsia="Times New Roman" w:cs="Arial"/>
                <w:b/>
                <w:color w:val="000000"/>
                <w:sz w:val="20"/>
                <w:szCs w:val="20"/>
                <w:lang w:eastAsia="fr-FR"/>
              </w:rPr>
              <w:t>28</w:t>
            </w:r>
          </w:p>
        </w:tc>
        <w:tc>
          <w:tcPr>
            <w:tcW w:w="4705" w:type="dxa"/>
            <w:tcBorders>
              <w:top w:val="nil"/>
              <w:left w:val="nil"/>
              <w:bottom w:val="single" w:sz="4" w:space="0" w:color="auto"/>
              <w:right w:val="single" w:sz="4" w:space="0" w:color="auto"/>
            </w:tcBorders>
            <w:shd w:val="clear" w:color="auto" w:fill="auto"/>
            <w:noWrap/>
            <w:vAlign w:val="bottom"/>
            <w:hideMark/>
          </w:tcPr>
          <w:p w14:paraId="6F442C7C" w14:textId="77777777" w:rsidR="00350C9E" w:rsidRPr="00A9330B" w:rsidRDefault="00350C9E" w:rsidP="006721DD">
            <w:pPr>
              <w:spacing w:before="60" w:line="240" w:lineRule="auto"/>
              <w:jc w:val="both"/>
              <w:rPr>
                <w:rFonts w:eastAsia="Times New Roman" w:cs="Arial"/>
                <w:color w:val="000000"/>
                <w:sz w:val="20"/>
                <w:szCs w:val="20"/>
                <w:lang w:eastAsia="fr-FR"/>
              </w:rPr>
            </w:pPr>
            <w:r w:rsidRPr="00A9330B">
              <w:rPr>
                <w:rFonts w:eastAsia="Times New Roman" w:cs="Arial"/>
                <w:color w:val="000000"/>
                <w:sz w:val="20"/>
                <w:szCs w:val="20"/>
                <w:lang w:eastAsia="fr-FR"/>
              </w:rPr>
              <w:t>Nombre de terrasses détruites</w:t>
            </w:r>
          </w:p>
        </w:tc>
        <w:tc>
          <w:tcPr>
            <w:tcW w:w="3364" w:type="dxa"/>
            <w:tcBorders>
              <w:top w:val="nil"/>
              <w:left w:val="nil"/>
              <w:bottom w:val="single" w:sz="4" w:space="0" w:color="auto"/>
              <w:right w:val="single" w:sz="4" w:space="0" w:color="auto"/>
            </w:tcBorders>
            <w:shd w:val="clear" w:color="auto" w:fill="auto"/>
            <w:noWrap/>
            <w:vAlign w:val="bottom"/>
            <w:hideMark/>
          </w:tcPr>
          <w:p w14:paraId="256B796D" w14:textId="2ED3CA0E" w:rsidR="00350C9E" w:rsidRPr="00A9330B" w:rsidRDefault="00081E45" w:rsidP="006721DD">
            <w:pPr>
              <w:spacing w:before="60" w:line="240" w:lineRule="auto"/>
              <w:jc w:val="right"/>
              <w:rPr>
                <w:rFonts w:eastAsia="Times New Roman" w:cs="Arial"/>
                <w:color w:val="000000"/>
                <w:sz w:val="20"/>
                <w:szCs w:val="20"/>
                <w:lang w:eastAsia="fr-FR"/>
              </w:rPr>
            </w:pPr>
            <w:r w:rsidRPr="00A9330B">
              <w:rPr>
                <w:rFonts w:eastAsia="Times New Roman" w:cs="Arial"/>
                <w:color w:val="000000"/>
                <w:sz w:val="20"/>
                <w:szCs w:val="20"/>
                <w:lang w:eastAsia="fr-FR"/>
              </w:rPr>
              <w:t>6</w:t>
            </w:r>
          </w:p>
        </w:tc>
      </w:tr>
    </w:tbl>
    <w:p w14:paraId="27FBDB43" w14:textId="41AA7150" w:rsidR="00350C9E" w:rsidRPr="00A9330B" w:rsidRDefault="00B25F50" w:rsidP="000F7BA7">
      <w:pPr>
        <w:pStyle w:val="Titre20"/>
      </w:pPr>
      <w:bookmarkStart w:id="2009" w:name="_Toc52869722"/>
      <w:bookmarkStart w:id="2010" w:name="_Toc52869873"/>
      <w:r w:rsidRPr="00A9330B">
        <w:t xml:space="preserve">10.3. </w:t>
      </w:r>
      <w:r w:rsidR="00350C9E" w:rsidRPr="00A9330B">
        <w:t>Les activités du PAR</w:t>
      </w:r>
      <w:bookmarkEnd w:id="2009"/>
      <w:bookmarkEnd w:id="2010"/>
      <w:r w:rsidR="00350C9E" w:rsidRPr="00A9330B">
        <w:t xml:space="preserve"> </w:t>
      </w:r>
    </w:p>
    <w:p w14:paraId="04176CD0" w14:textId="77777777" w:rsidR="00350C9E" w:rsidRPr="00A9330B" w:rsidRDefault="00350C9E" w:rsidP="00E7466C">
      <w:pPr>
        <w:spacing w:after="120"/>
        <w:jc w:val="both"/>
        <w:rPr>
          <w:rFonts w:eastAsia="Calibri" w:cs="Arial"/>
          <w:color w:val="auto"/>
          <w:lang w:eastAsia="fr-FR"/>
        </w:rPr>
      </w:pPr>
      <w:r w:rsidRPr="00A9330B">
        <w:rPr>
          <w:rFonts w:eastAsia="Calibri" w:cs="Arial"/>
          <w:color w:val="auto"/>
          <w:lang w:eastAsia="fr-FR"/>
        </w:rPr>
        <w:t>Le PAR s’assurera de l’identification, la planification, la mise en œuvre et le suivi de toutes les activités nécessaires au déplacement/réinstallation des PAP selon une démarche devant leur assurer des conditions de vie au moins similaires à leurs conditions actuelles.</w:t>
      </w:r>
    </w:p>
    <w:p w14:paraId="11B62861" w14:textId="77777777" w:rsidR="00350C9E" w:rsidRPr="00A9330B" w:rsidRDefault="00350C9E" w:rsidP="00E7466C">
      <w:pPr>
        <w:rPr>
          <w:rFonts w:eastAsia="Times New Roman" w:cs="Times New Roman"/>
          <w:color w:val="auto"/>
          <w:szCs w:val="24"/>
          <w:lang w:eastAsia="de-DE"/>
        </w:rPr>
      </w:pPr>
      <w:r w:rsidRPr="00A9330B">
        <w:rPr>
          <w:rFonts w:eastAsia="Times New Roman" w:cs="Times New Roman"/>
          <w:color w:val="auto"/>
          <w:szCs w:val="24"/>
          <w:lang w:eastAsia="de-DE"/>
        </w:rPr>
        <w:t xml:space="preserve">Les principales activités menées dans le cadre du PAR sont : </w:t>
      </w:r>
    </w:p>
    <w:p w14:paraId="1437C94A" w14:textId="77777777" w:rsidR="00350C9E" w:rsidRPr="00A9330B" w:rsidRDefault="00350C9E" w:rsidP="00BD2F72">
      <w:pPr>
        <w:numPr>
          <w:ilvl w:val="0"/>
          <w:numId w:val="86"/>
        </w:numPr>
        <w:spacing w:before="0"/>
        <w:ind w:left="714" w:hanging="357"/>
        <w:jc w:val="both"/>
        <w:rPr>
          <w:rFonts w:eastAsia="Calibri" w:cs="Arial"/>
          <w:bCs/>
          <w:color w:val="auto"/>
        </w:rPr>
      </w:pPr>
      <w:r w:rsidRPr="00A9330B">
        <w:rPr>
          <w:rFonts w:eastAsia="Calibri" w:cs="Arial"/>
          <w:bCs/>
          <w:color w:val="auto"/>
        </w:rPr>
        <w:t xml:space="preserve">faire un recensement exhaustif  de la population (sexe, âge, nombre d’enfants,  activité,  groupes vulnérables) ; </w:t>
      </w:r>
    </w:p>
    <w:p w14:paraId="3B31CA44" w14:textId="77777777" w:rsidR="00350C9E" w:rsidRPr="00A9330B" w:rsidRDefault="00350C9E" w:rsidP="00BD2F72">
      <w:pPr>
        <w:numPr>
          <w:ilvl w:val="0"/>
          <w:numId w:val="86"/>
        </w:numPr>
        <w:spacing w:before="0"/>
        <w:ind w:left="714" w:hanging="357"/>
        <w:jc w:val="both"/>
        <w:rPr>
          <w:rFonts w:eastAsia="Calibri" w:cs="Arial"/>
          <w:bCs/>
          <w:color w:val="auto"/>
        </w:rPr>
      </w:pPr>
      <w:r w:rsidRPr="00A9330B">
        <w:rPr>
          <w:rFonts w:eastAsia="Calibri" w:cs="Arial"/>
          <w:bCs/>
          <w:color w:val="auto"/>
        </w:rPr>
        <w:t>inventorier et évaluer les biens qui seront perdus du fait des activités du projet ;</w:t>
      </w:r>
    </w:p>
    <w:p w14:paraId="002956E4" w14:textId="77777777" w:rsidR="00350C9E" w:rsidRPr="00A9330B" w:rsidRDefault="00350C9E" w:rsidP="00BD2F72">
      <w:pPr>
        <w:numPr>
          <w:ilvl w:val="0"/>
          <w:numId w:val="86"/>
        </w:numPr>
        <w:spacing w:before="0"/>
        <w:ind w:left="714" w:hanging="357"/>
        <w:jc w:val="both"/>
        <w:rPr>
          <w:rFonts w:eastAsia="Calibri" w:cs="Arial"/>
          <w:bCs/>
          <w:color w:val="auto"/>
        </w:rPr>
      </w:pPr>
      <w:r w:rsidRPr="00A9330B">
        <w:rPr>
          <w:rFonts w:eastAsia="Calibri" w:cs="Arial"/>
          <w:bCs/>
          <w:color w:val="auto"/>
        </w:rPr>
        <w:t>dresser un profil socio-économique des PAP (occupation principale, sources de revenus et moyens de subsistance, statut foncier, la vulnérabilité éventuelle …) ;</w:t>
      </w:r>
    </w:p>
    <w:p w14:paraId="4CF7278B" w14:textId="77777777" w:rsidR="00350C9E" w:rsidRPr="00A9330B" w:rsidRDefault="00350C9E" w:rsidP="00BD2F72">
      <w:pPr>
        <w:numPr>
          <w:ilvl w:val="0"/>
          <w:numId w:val="86"/>
        </w:numPr>
        <w:spacing w:before="0"/>
        <w:ind w:left="714" w:hanging="357"/>
        <w:jc w:val="both"/>
        <w:rPr>
          <w:rFonts w:eastAsia="Calibri" w:cs="Arial"/>
          <w:bCs/>
          <w:color w:val="auto"/>
        </w:rPr>
      </w:pPr>
      <w:r w:rsidRPr="00A9330B">
        <w:rPr>
          <w:rFonts w:eastAsia="Calibri" w:cs="Arial"/>
          <w:bCs/>
          <w:color w:val="auto"/>
        </w:rPr>
        <w:t>recueillir les attentes /préférences des personnes affectées sur la compensation et la réinstallation ;</w:t>
      </w:r>
    </w:p>
    <w:p w14:paraId="40B4DA9C" w14:textId="77777777" w:rsidR="00350C9E" w:rsidRPr="00A9330B" w:rsidRDefault="00350C9E" w:rsidP="00BD2F72">
      <w:pPr>
        <w:numPr>
          <w:ilvl w:val="0"/>
          <w:numId w:val="86"/>
        </w:numPr>
        <w:spacing w:before="0"/>
        <w:ind w:left="714" w:hanging="357"/>
        <w:jc w:val="both"/>
        <w:rPr>
          <w:rFonts w:eastAsia="Calibri" w:cs="Arial"/>
          <w:bCs/>
          <w:color w:val="auto"/>
        </w:rPr>
      </w:pPr>
      <w:r w:rsidRPr="00A9330B">
        <w:rPr>
          <w:rFonts w:eastAsia="Calibri" w:cs="Arial"/>
          <w:bCs/>
          <w:color w:val="auto"/>
        </w:rPr>
        <w:t>dresser une liste exhaustive et complète des personnes éligibles à une indemnisation ou compensation.</w:t>
      </w:r>
    </w:p>
    <w:p w14:paraId="52469EB5" w14:textId="36748AD4" w:rsidR="00350C9E" w:rsidRPr="00A9330B" w:rsidRDefault="00E7466C" w:rsidP="000F7BA7">
      <w:pPr>
        <w:pStyle w:val="Titre20"/>
        <w:rPr>
          <w:rFonts w:eastAsia="Times New Roman"/>
          <w:lang w:eastAsia="fr-FR"/>
        </w:rPr>
      </w:pPr>
      <w:bookmarkStart w:id="2011" w:name="_Toc44771437"/>
      <w:bookmarkStart w:id="2012" w:name="_Toc52869723"/>
      <w:bookmarkStart w:id="2013" w:name="_Toc52869874"/>
      <w:bookmarkEnd w:id="2005"/>
      <w:r w:rsidRPr="00A9330B">
        <w:t xml:space="preserve">10.4. </w:t>
      </w:r>
      <w:r w:rsidR="00350C9E" w:rsidRPr="00A9330B">
        <w:rPr>
          <w:rFonts w:eastAsia="Times New Roman"/>
          <w:lang w:eastAsia="fr-FR"/>
        </w:rPr>
        <w:t>Approche méthodologique de réalisation du PAR</w:t>
      </w:r>
      <w:bookmarkEnd w:id="2011"/>
      <w:bookmarkEnd w:id="2012"/>
      <w:bookmarkEnd w:id="2013"/>
    </w:p>
    <w:p w14:paraId="7A4368E1" w14:textId="05A7BAD6" w:rsidR="00350C9E" w:rsidRPr="00A9330B" w:rsidRDefault="00350C9E" w:rsidP="00E7466C">
      <w:pPr>
        <w:shd w:val="clear" w:color="auto" w:fill="FFFFFF"/>
        <w:jc w:val="both"/>
        <w:rPr>
          <w:rFonts w:eastAsia="Calibri" w:cs="Arial"/>
          <w:color w:val="auto"/>
        </w:rPr>
      </w:pPr>
      <w:r w:rsidRPr="00A9330B">
        <w:rPr>
          <w:rFonts w:eastAsia="Calibri" w:cs="Arial"/>
          <w:color w:val="auto"/>
        </w:rPr>
        <w:t xml:space="preserve">Pour déterminer les caractéristiques socio-économiques, la démarche utilisée a consisté à faire un état des lieux des sites où </w:t>
      </w:r>
      <w:r w:rsidR="0057538E" w:rsidRPr="00A9330B">
        <w:rPr>
          <w:rFonts w:eastAsia="Calibri" w:cs="Arial"/>
          <w:color w:val="auto"/>
        </w:rPr>
        <w:t>est projetée</w:t>
      </w:r>
      <w:r w:rsidRPr="00A9330B">
        <w:rPr>
          <w:rFonts w:eastAsia="Calibri" w:cs="Arial"/>
          <w:color w:val="auto"/>
        </w:rPr>
        <w:t xml:space="preserve"> la construction des ouvrages d’assainissement. Pluvial ainsi que l’aménagement de </w:t>
      </w:r>
      <w:r w:rsidR="00B25F50" w:rsidRPr="00A9330B">
        <w:rPr>
          <w:rFonts w:eastAsia="Calibri" w:cs="Arial"/>
          <w:color w:val="auto"/>
        </w:rPr>
        <w:t>voiries Ensuite</w:t>
      </w:r>
      <w:r w:rsidRPr="00A9330B">
        <w:rPr>
          <w:rFonts w:eastAsia="Calibri" w:cs="Arial"/>
          <w:color w:val="auto"/>
        </w:rPr>
        <w:t>, une collecte des données a démarré du 20 mai 2020 et prenant fin le 20 juin 2020.</w:t>
      </w:r>
    </w:p>
    <w:p w14:paraId="071B8BDC" w14:textId="78813F27" w:rsidR="00350C9E" w:rsidRPr="00A9330B" w:rsidRDefault="00E7466C" w:rsidP="000F7BA7">
      <w:pPr>
        <w:pStyle w:val="Titre3"/>
        <w:rPr>
          <w:rFonts w:eastAsia="Calibri"/>
        </w:rPr>
      </w:pPr>
      <w:bookmarkStart w:id="2014" w:name="_Toc52869724"/>
      <w:r w:rsidRPr="00A9330B">
        <w:t xml:space="preserve">10.4.1. </w:t>
      </w:r>
      <w:r w:rsidR="00350C9E" w:rsidRPr="00A9330B">
        <w:rPr>
          <w:rFonts w:eastAsia="Calibri"/>
        </w:rPr>
        <w:t>Différentes étapes du PAR</w:t>
      </w:r>
      <w:bookmarkEnd w:id="2014"/>
    </w:p>
    <w:p w14:paraId="46D11DCF" w14:textId="77777777" w:rsidR="00350C9E" w:rsidRPr="00A9330B" w:rsidRDefault="00350C9E" w:rsidP="00E7466C">
      <w:pPr>
        <w:spacing w:after="120"/>
        <w:jc w:val="both"/>
        <w:rPr>
          <w:rFonts w:eastAsia="Calibri" w:cs="Arial"/>
          <w:color w:val="auto"/>
        </w:rPr>
      </w:pPr>
      <w:r w:rsidRPr="00A9330B">
        <w:rPr>
          <w:rFonts w:eastAsia="Calibri" w:cs="Arial"/>
          <w:color w:val="auto"/>
        </w:rPr>
        <w:t xml:space="preserve">Les principales étapes du PAR sont : </w:t>
      </w:r>
    </w:p>
    <w:p w14:paraId="5F717274" w14:textId="759CAAD2" w:rsidR="00350C9E" w:rsidRPr="00A9330B" w:rsidRDefault="008E44CE" w:rsidP="00BD2F72">
      <w:pPr>
        <w:numPr>
          <w:ilvl w:val="0"/>
          <w:numId w:val="90"/>
        </w:numPr>
        <w:ind w:left="1066" w:hanging="357"/>
        <w:jc w:val="both"/>
        <w:rPr>
          <w:rFonts w:eastAsia="Calibri" w:cs="Arial"/>
          <w:color w:val="auto"/>
          <w:lang w:eastAsia="fr-FR"/>
        </w:rPr>
      </w:pPr>
      <w:bookmarkStart w:id="2015" w:name="_Toc43816920"/>
      <w:r w:rsidRPr="00A9330B">
        <w:rPr>
          <w:rFonts w:eastAsia="Calibri" w:cs="Arial"/>
          <w:color w:val="auto"/>
          <w:lang w:eastAsia="fr-FR"/>
        </w:rPr>
        <w:t>é</w:t>
      </w:r>
      <w:r w:rsidR="00350C9E" w:rsidRPr="00A9330B">
        <w:rPr>
          <w:rFonts w:eastAsia="Calibri" w:cs="Arial"/>
          <w:color w:val="auto"/>
          <w:lang w:eastAsia="fr-FR"/>
        </w:rPr>
        <w:t>tat des lieux des sites où sont projetée la construction de collecteurs et de l’aménagement de la voirie ;</w:t>
      </w:r>
    </w:p>
    <w:p w14:paraId="1E40A755" w14:textId="1652273D" w:rsidR="00350C9E" w:rsidRPr="00A9330B" w:rsidRDefault="008E44CE" w:rsidP="00BD2F72">
      <w:pPr>
        <w:numPr>
          <w:ilvl w:val="0"/>
          <w:numId w:val="90"/>
        </w:numPr>
        <w:ind w:left="1066" w:hanging="357"/>
        <w:jc w:val="both"/>
        <w:rPr>
          <w:rFonts w:eastAsia="Calibri" w:cs="Arial"/>
          <w:color w:val="auto"/>
          <w:lang w:eastAsia="fr-FR"/>
        </w:rPr>
      </w:pPr>
      <w:r w:rsidRPr="00A9330B">
        <w:rPr>
          <w:rFonts w:eastAsia="Calibri" w:cs="Arial"/>
          <w:color w:val="auto"/>
          <w:lang w:eastAsia="fr-FR"/>
        </w:rPr>
        <w:t>i</w:t>
      </w:r>
      <w:r w:rsidR="00350C9E" w:rsidRPr="00A9330B">
        <w:rPr>
          <w:rFonts w:eastAsia="Calibri" w:cs="Arial"/>
          <w:color w:val="auto"/>
          <w:lang w:eastAsia="fr-FR"/>
        </w:rPr>
        <w:t>nformation des populations avant et pendant la collecte des données (rencontres avec les autorités municipales et les populations pour expliquer le contenu réel du projet, le processus de recensement des biens et personnes affectés) ;</w:t>
      </w:r>
    </w:p>
    <w:p w14:paraId="31601D87" w14:textId="76EAF1A4" w:rsidR="00350C9E" w:rsidRPr="00A9330B" w:rsidRDefault="008E44CE" w:rsidP="00BD2F72">
      <w:pPr>
        <w:numPr>
          <w:ilvl w:val="0"/>
          <w:numId w:val="90"/>
        </w:numPr>
        <w:ind w:left="1066" w:hanging="357"/>
        <w:jc w:val="both"/>
        <w:rPr>
          <w:rFonts w:eastAsia="Calibri" w:cs="Arial"/>
          <w:color w:val="auto"/>
          <w:lang w:eastAsia="fr-FR"/>
        </w:rPr>
      </w:pPr>
      <w:r w:rsidRPr="00A9330B">
        <w:rPr>
          <w:rFonts w:eastAsia="Calibri" w:cs="Arial"/>
          <w:color w:val="auto"/>
          <w:lang w:eastAsia="fr-FR"/>
        </w:rPr>
        <w:lastRenderedPageBreak/>
        <w:t>p</w:t>
      </w:r>
      <w:r w:rsidR="00350C9E" w:rsidRPr="00A9330B">
        <w:rPr>
          <w:rFonts w:eastAsia="Calibri" w:cs="Arial"/>
          <w:color w:val="auto"/>
          <w:lang w:eastAsia="fr-FR"/>
        </w:rPr>
        <w:t>rise de la note de service n°01-3/02/MCN-SG-SE du 29 Mai 2020 portant communiqué sur le démarrage des travaux du projet d’Assainissement Pluvial des Villes S</w:t>
      </w:r>
      <w:r w:rsidR="0057538E" w:rsidRPr="00A9330B">
        <w:rPr>
          <w:rFonts w:eastAsia="Calibri" w:cs="Arial"/>
          <w:color w:val="auto"/>
          <w:lang w:eastAsia="fr-FR"/>
        </w:rPr>
        <w:t>e</w:t>
      </w:r>
      <w:r w:rsidR="00350C9E" w:rsidRPr="00A9330B">
        <w:rPr>
          <w:rFonts w:eastAsia="Calibri" w:cs="Arial"/>
          <w:color w:val="auto"/>
          <w:lang w:eastAsia="fr-FR"/>
        </w:rPr>
        <w:t>condaires/ ville de Natitingou. La date de diffusion du communiqué ont été fixé</w:t>
      </w:r>
      <w:r w:rsidRPr="00A9330B">
        <w:rPr>
          <w:rFonts w:eastAsia="Calibri" w:cs="Arial"/>
          <w:color w:val="auto"/>
          <w:lang w:eastAsia="fr-FR"/>
        </w:rPr>
        <w:t>es</w:t>
      </w:r>
      <w:r w:rsidR="00350C9E" w:rsidRPr="00A9330B">
        <w:rPr>
          <w:rFonts w:eastAsia="Calibri" w:cs="Arial"/>
          <w:color w:val="auto"/>
          <w:lang w:eastAsia="fr-FR"/>
        </w:rPr>
        <w:t xml:space="preserve"> respectivement </w:t>
      </w:r>
      <w:r w:rsidRPr="00A9330B">
        <w:rPr>
          <w:rFonts w:eastAsia="Calibri" w:cs="Arial"/>
          <w:color w:val="auto"/>
          <w:lang w:eastAsia="fr-FR"/>
        </w:rPr>
        <w:t>a</w:t>
      </w:r>
      <w:r w:rsidR="00350C9E" w:rsidRPr="00A9330B">
        <w:rPr>
          <w:rFonts w:eastAsia="Calibri" w:cs="Arial"/>
          <w:color w:val="auto"/>
          <w:lang w:eastAsia="fr-FR"/>
        </w:rPr>
        <w:t xml:space="preserve">u 2 </w:t>
      </w:r>
      <w:r w:rsidRPr="00A9330B">
        <w:rPr>
          <w:rFonts w:eastAsia="Calibri" w:cs="Arial"/>
          <w:color w:val="auto"/>
          <w:lang w:eastAsia="fr-FR"/>
        </w:rPr>
        <w:t xml:space="preserve">et </w:t>
      </w:r>
      <w:r w:rsidR="00350C9E" w:rsidRPr="00A9330B">
        <w:rPr>
          <w:rFonts w:eastAsia="Calibri" w:cs="Arial"/>
          <w:color w:val="auto"/>
          <w:lang w:eastAsia="fr-FR"/>
        </w:rPr>
        <w:t>au 12 juin 2020 ;</w:t>
      </w:r>
    </w:p>
    <w:p w14:paraId="4F599FFB" w14:textId="2E451FBC" w:rsidR="00350C9E" w:rsidRPr="00A9330B" w:rsidRDefault="008E44CE" w:rsidP="00BD2F72">
      <w:pPr>
        <w:numPr>
          <w:ilvl w:val="0"/>
          <w:numId w:val="90"/>
        </w:numPr>
        <w:ind w:left="1066" w:hanging="357"/>
        <w:jc w:val="both"/>
        <w:rPr>
          <w:rFonts w:eastAsia="Calibri" w:cs="Arial"/>
          <w:color w:val="auto"/>
          <w:lang w:eastAsia="fr-FR"/>
        </w:rPr>
      </w:pPr>
      <w:r w:rsidRPr="00A9330B">
        <w:rPr>
          <w:rFonts w:eastAsia="Calibri" w:cs="Arial"/>
          <w:color w:val="auto"/>
          <w:lang w:eastAsia="fr-FR"/>
        </w:rPr>
        <w:t>p</w:t>
      </w:r>
      <w:r w:rsidR="00350C9E" w:rsidRPr="00A9330B">
        <w:rPr>
          <w:rFonts w:eastAsia="Calibri" w:cs="Arial"/>
          <w:color w:val="auto"/>
          <w:lang w:eastAsia="fr-FR"/>
        </w:rPr>
        <w:t>rise de l’arrêté n°61-3/035/MCN-SG-ST-SADE du 29 Mai 2020 portant enquête publique relative à la libération des emprises des travaux du Projet d’Assainissement Pluvial des Villes Secondaires (PAPVS), Ville de Natitingou ;</w:t>
      </w:r>
    </w:p>
    <w:p w14:paraId="3C5B3527" w14:textId="2CDF2C37" w:rsidR="00350C9E" w:rsidRPr="00A9330B" w:rsidRDefault="008E44CE" w:rsidP="00BD2F72">
      <w:pPr>
        <w:numPr>
          <w:ilvl w:val="0"/>
          <w:numId w:val="90"/>
        </w:numPr>
        <w:ind w:left="1066" w:hanging="357"/>
        <w:jc w:val="both"/>
        <w:rPr>
          <w:rFonts w:eastAsia="Calibri" w:cs="Arial"/>
          <w:color w:val="auto"/>
          <w:lang w:eastAsia="fr-FR"/>
        </w:rPr>
      </w:pPr>
      <w:r w:rsidRPr="00A9330B">
        <w:rPr>
          <w:rFonts w:eastAsia="Calibri" w:cs="Arial"/>
          <w:color w:val="auto"/>
          <w:lang w:eastAsia="fr-FR"/>
        </w:rPr>
        <w:t>r</w:t>
      </w:r>
      <w:r w:rsidR="00350C9E" w:rsidRPr="00A9330B">
        <w:rPr>
          <w:rFonts w:eastAsia="Calibri" w:cs="Arial"/>
          <w:color w:val="auto"/>
          <w:lang w:eastAsia="fr-FR"/>
        </w:rPr>
        <w:t>éunion de lancement des enquêtes publiques du PAR ;</w:t>
      </w:r>
    </w:p>
    <w:p w14:paraId="1212F243" w14:textId="08B0074F" w:rsidR="00350C9E" w:rsidRPr="00A9330B" w:rsidRDefault="008E44CE" w:rsidP="00BD2F72">
      <w:pPr>
        <w:numPr>
          <w:ilvl w:val="0"/>
          <w:numId w:val="90"/>
        </w:numPr>
        <w:ind w:left="1066" w:hanging="357"/>
        <w:jc w:val="both"/>
        <w:rPr>
          <w:rFonts w:eastAsia="Calibri" w:cs="Arial"/>
          <w:color w:val="auto"/>
          <w:lang w:eastAsia="fr-FR"/>
        </w:rPr>
      </w:pPr>
      <w:r w:rsidRPr="00A9330B">
        <w:rPr>
          <w:rFonts w:eastAsia="Calibri" w:cs="Arial"/>
          <w:color w:val="auto"/>
          <w:lang w:eastAsia="fr-FR"/>
        </w:rPr>
        <w:t>r</w:t>
      </w:r>
      <w:r w:rsidR="00350C9E" w:rsidRPr="00A9330B">
        <w:rPr>
          <w:rFonts w:eastAsia="Calibri" w:cs="Arial"/>
          <w:color w:val="auto"/>
          <w:lang w:eastAsia="fr-FR"/>
        </w:rPr>
        <w:t xml:space="preserve">ecensement des PAP et inventaires des biens affectés par ouvrage et par rue à aménager (établissement de la référence qui servira de base à l’évaluation du succès de la mise en œuvre du PAR). </w:t>
      </w:r>
    </w:p>
    <w:p w14:paraId="7BE4A6B0" w14:textId="6415268E" w:rsidR="00350C9E" w:rsidRPr="00A9330B" w:rsidRDefault="008E44CE" w:rsidP="00BD2F72">
      <w:pPr>
        <w:numPr>
          <w:ilvl w:val="0"/>
          <w:numId w:val="90"/>
        </w:numPr>
        <w:ind w:left="1066" w:hanging="357"/>
        <w:jc w:val="both"/>
        <w:rPr>
          <w:rFonts w:eastAsia="Calibri" w:cs="Arial"/>
          <w:color w:val="auto"/>
          <w:lang w:eastAsia="fr-FR"/>
        </w:rPr>
      </w:pPr>
      <w:r w:rsidRPr="00A9330B">
        <w:rPr>
          <w:rFonts w:eastAsia="Calibri" w:cs="Arial"/>
          <w:color w:val="auto"/>
          <w:lang w:eastAsia="fr-FR"/>
        </w:rPr>
        <w:t>é</w:t>
      </w:r>
      <w:r w:rsidR="00350C9E" w:rsidRPr="00A9330B">
        <w:rPr>
          <w:rFonts w:eastAsia="Calibri" w:cs="Arial"/>
          <w:color w:val="auto"/>
          <w:lang w:eastAsia="fr-FR"/>
        </w:rPr>
        <w:t>laboration de la liste exhaustive des personnes affectées ;</w:t>
      </w:r>
    </w:p>
    <w:p w14:paraId="0DDBB08A" w14:textId="1A751305" w:rsidR="00350C9E" w:rsidRPr="00A9330B" w:rsidRDefault="008E44CE" w:rsidP="00BD2F72">
      <w:pPr>
        <w:numPr>
          <w:ilvl w:val="0"/>
          <w:numId w:val="90"/>
        </w:numPr>
        <w:ind w:left="1066" w:hanging="357"/>
        <w:jc w:val="both"/>
        <w:rPr>
          <w:rFonts w:eastAsia="Calibri" w:cs="Arial"/>
          <w:color w:val="auto"/>
          <w:lang w:eastAsia="fr-FR"/>
        </w:rPr>
      </w:pPr>
      <w:r w:rsidRPr="00A9330B">
        <w:rPr>
          <w:rFonts w:eastAsia="Calibri" w:cs="Arial"/>
          <w:color w:val="auto"/>
          <w:lang w:eastAsia="fr-FR"/>
        </w:rPr>
        <w:t>c</w:t>
      </w:r>
      <w:r w:rsidR="00350C9E" w:rsidRPr="00A9330B">
        <w:rPr>
          <w:rFonts w:eastAsia="Calibri" w:cs="Arial"/>
          <w:color w:val="auto"/>
          <w:lang w:eastAsia="fr-FR"/>
        </w:rPr>
        <w:t xml:space="preserve">atégorisation des PAP en vue de déterminer les compensations appropriées ; </w:t>
      </w:r>
    </w:p>
    <w:p w14:paraId="401068B0" w14:textId="77777777" w:rsidR="00350C9E" w:rsidRPr="00A9330B" w:rsidRDefault="00350C9E" w:rsidP="00BD2F72">
      <w:pPr>
        <w:numPr>
          <w:ilvl w:val="0"/>
          <w:numId w:val="90"/>
        </w:numPr>
        <w:ind w:left="1066" w:hanging="357"/>
        <w:jc w:val="both"/>
        <w:rPr>
          <w:rFonts w:eastAsia="Calibri" w:cs="Arial"/>
          <w:color w:val="auto"/>
          <w:lang w:eastAsia="fr-FR"/>
        </w:rPr>
      </w:pPr>
      <w:r w:rsidRPr="00A9330B">
        <w:rPr>
          <w:rFonts w:eastAsia="Calibri" w:cs="Arial"/>
          <w:color w:val="auto"/>
          <w:lang w:eastAsia="fr-FR"/>
        </w:rPr>
        <w:t>identifier les groupes vulnérables ;</w:t>
      </w:r>
    </w:p>
    <w:p w14:paraId="508CF783" w14:textId="77777777" w:rsidR="00350C9E" w:rsidRPr="00A9330B" w:rsidRDefault="00350C9E" w:rsidP="00BD2F72">
      <w:pPr>
        <w:numPr>
          <w:ilvl w:val="0"/>
          <w:numId w:val="90"/>
        </w:numPr>
        <w:ind w:left="1066" w:hanging="357"/>
        <w:jc w:val="both"/>
        <w:rPr>
          <w:rFonts w:eastAsia="Calibri" w:cs="Arial"/>
          <w:color w:val="auto"/>
          <w:lang w:eastAsia="fr-FR"/>
        </w:rPr>
      </w:pPr>
      <w:r w:rsidRPr="00A9330B">
        <w:rPr>
          <w:rFonts w:eastAsia="Calibri" w:cs="Arial"/>
          <w:color w:val="auto"/>
          <w:lang w:eastAsia="fr-FR"/>
        </w:rPr>
        <w:t>recensement des biens, des infrastructures et des services sociaux existant dans la zone du projet ainsi que des institutions culturelles locales ;</w:t>
      </w:r>
    </w:p>
    <w:p w14:paraId="4B0032AF" w14:textId="77777777" w:rsidR="00350C9E" w:rsidRPr="00A9330B" w:rsidRDefault="00350C9E" w:rsidP="00BD2F72">
      <w:pPr>
        <w:numPr>
          <w:ilvl w:val="0"/>
          <w:numId w:val="90"/>
        </w:numPr>
        <w:ind w:left="1066" w:hanging="357"/>
        <w:jc w:val="both"/>
        <w:rPr>
          <w:rFonts w:eastAsia="Calibri" w:cs="Arial"/>
          <w:color w:val="auto"/>
          <w:lang w:eastAsia="fr-FR"/>
        </w:rPr>
      </w:pPr>
      <w:r w:rsidRPr="00A9330B">
        <w:rPr>
          <w:rFonts w:eastAsia="Calibri" w:cs="Arial"/>
          <w:color w:val="auto"/>
          <w:lang w:eastAsia="fr-FR"/>
        </w:rPr>
        <w:t>recensement des activités de production des personnes affectées ;</w:t>
      </w:r>
    </w:p>
    <w:p w14:paraId="61A53219" w14:textId="77777777" w:rsidR="00350C9E" w:rsidRPr="00A9330B" w:rsidRDefault="00350C9E" w:rsidP="00BD2F72">
      <w:pPr>
        <w:numPr>
          <w:ilvl w:val="0"/>
          <w:numId w:val="90"/>
        </w:numPr>
        <w:ind w:left="1066" w:hanging="357"/>
        <w:jc w:val="both"/>
        <w:rPr>
          <w:rFonts w:eastAsia="Calibri" w:cs="Arial"/>
          <w:color w:val="auto"/>
          <w:lang w:eastAsia="fr-FR"/>
        </w:rPr>
      </w:pPr>
      <w:r w:rsidRPr="00A9330B">
        <w:rPr>
          <w:rFonts w:eastAsia="Calibri" w:cs="Arial"/>
          <w:color w:val="auto"/>
          <w:lang w:eastAsia="fr-FR"/>
        </w:rPr>
        <w:t>identification des profils des acteurs situés dans l’emprise du projet ;</w:t>
      </w:r>
    </w:p>
    <w:p w14:paraId="197FD0B6" w14:textId="77777777" w:rsidR="00350C9E" w:rsidRPr="00A9330B" w:rsidRDefault="00350C9E" w:rsidP="00BD2F72">
      <w:pPr>
        <w:numPr>
          <w:ilvl w:val="0"/>
          <w:numId w:val="90"/>
        </w:numPr>
        <w:ind w:left="1066" w:hanging="357"/>
        <w:jc w:val="both"/>
        <w:rPr>
          <w:rFonts w:eastAsia="Calibri" w:cs="Arial"/>
          <w:color w:val="auto"/>
          <w:lang w:eastAsia="fr-FR"/>
        </w:rPr>
      </w:pPr>
      <w:r w:rsidRPr="00A9330B">
        <w:rPr>
          <w:rFonts w:eastAsia="Calibri" w:cs="Arial"/>
          <w:color w:val="auto"/>
          <w:lang w:eastAsia="fr-FR"/>
        </w:rPr>
        <w:t>enquête sur le régime foncier et autres interactions sociales au sein des populations affectées.</w:t>
      </w:r>
    </w:p>
    <w:p w14:paraId="5776919C" w14:textId="77777777" w:rsidR="00350C9E" w:rsidRPr="00A9330B" w:rsidRDefault="00350C9E" w:rsidP="00BD2F72">
      <w:pPr>
        <w:numPr>
          <w:ilvl w:val="0"/>
          <w:numId w:val="90"/>
        </w:numPr>
        <w:ind w:left="1066" w:hanging="357"/>
        <w:jc w:val="both"/>
        <w:rPr>
          <w:rFonts w:eastAsia="Calibri" w:cs="Arial"/>
          <w:color w:val="auto"/>
          <w:lang w:eastAsia="fr-FR"/>
        </w:rPr>
      </w:pPr>
      <w:r w:rsidRPr="00A9330B">
        <w:rPr>
          <w:rFonts w:eastAsia="Calibri" w:cs="Arial"/>
          <w:color w:val="auto"/>
          <w:lang w:eastAsia="fr-FR"/>
        </w:rPr>
        <w:t>identification des actions d’accompagnement et d’assistance spécifiques nécessaires aux PAP ;</w:t>
      </w:r>
    </w:p>
    <w:p w14:paraId="7ABCF00D" w14:textId="77777777" w:rsidR="00350C9E" w:rsidRPr="00A9330B" w:rsidRDefault="00350C9E" w:rsidP="00BD2F72">
      <w:pPr>
        <w:numPr>
          <w:ilvl w:val="0"/>
          <w:numId w:val="90"/>
        </w:numPr>
        <w:ind w:left="1066" w:hanging="357"/>
        <w:jc w:val="both"/>
        <w:rPr>
          <w:rFonts w:eastAsia="Calibri" w:cs="Arial"/>
          <w:color w:val="auto"/>
          <w:lang w:eastAsia="fr-FR"/>
        </w:rPr>
      </w:pPr>
      <w:r w:rsidRPr="00A9330B">
        <w:rPr>
          <w:rFonts w:eastAsia="Calibri" w:cs="Arial"/>
          <w:color w:val="auto"/>
          <w:lang w:eastAsia="fr-FR"/>
        </w:rPr>
        <w:t>l’affichage des résultats du recensement et de l’inventaire avec ouverture des registres de plaintes ;</w:t>
      </w:r>
    </w:p>
    <w:p w14:paraId="3D520F85" w14:textId="071FB486" w:rsidR="00350C9E" w:rsidRPr="00A9330B" w:rsidRDefault="00350C9E" w:rsidP="00BD2F72">
      <w:pPr>
        <w:numPr>
          <w:ilvl w:val="0"/>
          <w:numId w:val="90"/>
        </w:numPr>
        <w:ind w:left="1066" w:hanging="357"/>
        <w:jc w:val="both"/>
        <w:rPr>
          <w:rFonts w:eastAsia="Calibri" w:cs="Arial"/>
          <w:color w:val="auto"/>
          <w:lang w:eastAsia="fr-FR"/>
        </w:rPr>
      </w:pPr>
      <w:r w:rsidRPr="00A9330B">
        <w:rPr>
          <w:rFonts w:eastAsia="Calibri" w:cs="Arial"/>
          <w:color w:val="auto"/>
          <w:lang w:eastAsia="fr-FR"/>
        </w:rPr>
        <w:t>l’apurement des listes de PAP (suppression des doublons, rajout des omissions, corrections diverses par rapport aux caractéristiques des biens affectés ainsi que les statuts des PAP, la gestion des plaintes et</w:t>
      </w:r>
      <w:r w:rsidR="008E44CE" w:rsidRPr="00A9330B">
        <w:rPr>
          <w:rFonts w:eastAsia="Calibri" w:cs="Arial"/>
          <w:color w:val="auto"/>
          <w:lang w:eastAsia="fr-FR"/>
        </w:rPr>
        <w:t xml:space="preserve"> des </w:t>
      </w:r>
      <w:r w:rsidRPr="00A9330B">
        <w:rPr>
          <w:rFonts w:eastAsia="Calibri" w:cs="Arial"/>
          <w:color w:val="auto"/>
          <w:lang w:eastAsia="fr-FR"/>
        </w:rPr>
        <w:t xml:space="preserve"> réclamations) ;</w:t>
      </w:r>
    </w:p>
    <w:p w14:paraId="102A3145" w14:textId="77777777" w:rsidR="00350C9E" w:rsidRPr="00A9330B" w:rsidRDefault="00350C9E" w:rsidP="00BD2F72">
      <w:pPr>
        <w:numPr>
          <w:ilvl w:val="0"/>
          <w:numId w:val="90"/>
        </w:numPr>
        <w:ind w:left="1066" w:hanging="357"/>
        <w:jc w:val="both"/>
        <w:rPr>
          <w:rFonts w:eastAsia="Calibri" w:cs="Arial"/>
          <w:color w:val="auto"/>
          <w:lang w:eastAsia="fr-FR"/>
        </w:rPr>
      </w:pPr>
      <w:r w:rsidRPr="00A9330B">
        <w:rPr>
          <w:rFonts w:eastAsia="Calibri" w:cs="Arial"/>
          <w:color w:val="auto"/>
          <w:lang w:eastAsia="fr-FR"/>
        </w:rPr>
        <w:t>la détermination des barèmes de compensation ou d’indemnisation ;</w:t>
      </w:r>
    </w:p>
    <w:p w14:paraId="3DB0D046" w14:textId="77777777" w:rsidR="00350C9E" w:rsidRPr="00A9330B" w:rsidRDefault="00350C9E" w:rsidP="00BD2F72">
      <w:pPr>
        <w:numPr>
          <w:ilvl w:val="0"/>
          <w:numId w:val="90"/>
        </w:numPr>
        <w:ind w:left="1066" w:hanging="357"/>
        <w:jc w:val="both"/>
        <w:rPr>
          <w:rFonts w:eastAsia="Calibri" w:cs="Arial"/>
          <w:color w:val="auto"/>
          <w:lang w:eastAsia="fr-FR"/>
        </w:rPr>
      </w:pPr>
      <w:r w:rsidRPr="00A9330B">
        <w:rPr>
          <w:rFonts w:eastAsia="Calibri" w:cs="Arial"/>
          <w:color w:val="auto"/>
          <w:lang w:eastAsia="fr-FR"/>
        </w:rPr>
        <w:t>l’ouverture des négociations avec les PAP. ;</w:t>
      </w:r>
    </w:p>
    <w:p w14:paraId="4332EDB6" w14:textId="77777777" w:rsidR="00350C9E" w:rsidRPr="00A9330B" w:rsidRDefault="00350C9E" w:rsidP="00BD2F72">
      <w:pPr>
        <w:numPr>
          <w:ilvl w:val="0"/>
          <w:numId w:val="90"/>
        </w:numPr>
        <w:ind w:left="1066" w:hanging="357"/>
        <w:jc w:val="both"/>
        <w:rPr>
          <w:rFonts w:eastAsia="Calibri" w:cs="Arial"/>
          <w:color w:val="auto"/>
          <w:lang w:eastAsia="fr-FR"/>
        </w:rPr>
      </w:pPr>
      <w:r w:rsidRPr="00A9330B">
        <w:rPr>
          <w:rFonts w:eastAsia="Calibri" w:cs="Arial"/>
          <w:color w:val="auto"/>
          <w:lang w:eastAsia="fr-FR"/>
        </w:rPr>
        <w:t>la mise en place du Comité local de gestion des plaintes ;</w:t>
      </w:r>
    </w:p>
    <w:p w14:paraId="13D6489F" w14:textId="77777777" w:rsidR="00350C9E" w:rsidRPr="00A9330B" w:rsidRDefault="00350C9E" w:rsidP="00BD2F72">
      <w:pPr>
        <w:numPr>
          <w:ilvl w:val="0"/>
          <w:numId w:val="90"/>
        </w:numPr>
        <w:ind w:left="1066" w:hanging="357"/>
        <w:jc w:val="both"/>
        <w:rPr>
          <w:rFonts w:eastAsia="Calibri" w:cs="Arial"/>
          <w:color w:val="auto"/>
          <w:lang w:eastAsia="fr-FR"/>
        </w:rPr>
      </w:pPr>
      <w:r w:rsidRPr="00A9330B">
        <w:rPr>
          <w:rFonts w:eastAsia="Calibri" w:cs="Arial"/>
          <w:color w:val="auto"/>
          <w:lang w:eastAsia="fr-FR"/>
        </w:rPr>
        <w:t>la signature des procès-verbaux de négociation ;</w:t>
      </w:r>
    </w:p>
    <w:p w14:paraId="1EACA5A6" w14:textId="77777777" w:rsidR="00350C9E" w:rsidRPr="00A9330B" w:rsidRDefault="00350C9E" w:rsidP="00BD2F72">
      <w:pPr>
        <w:numPr>
          <w:ilvl w:val="0"/>
          <w:numId w:val="90"/>
        </w:numPr>
        <w:ind w:left="1066" w:hanging="357"/>
        <w:jc w:val="both"/>
        <w:rPr>
          <w:rFonts w:eastAsia="Calibri" w:cs="Arial"/>
          <w:color w:val="auto"/>
          <w:lang w:eastAsia="fr-FR"/>
        </w:rPr>
      </w:pPr>
      <w:r w:rsidRPr="00A9330B">
        <w:rPr>
          <w:rFonts w:eastAsia="Calibri" w:cs="Arial"/>
          <w:color w:val="auto"/>
          <w:lang w:eastAsia="fr-FR"/>
        </w:rPr>
        <w:t>l’homologation des procès-verbaux de négociation en liaison avec l’Agence Nationale du Domaine et du Foncier.</w:t>
      </w:r>
    </w:p>
    <w:p w14:paraId="605B9962" w14:textId="13AABD05" w:rsidR="00350C9E" w:rsidRPr="00A9330B" w:rsidRDefault="00E7466C" w:rsidP="000F7BA7">
      <w:pPr>
        <w:pStyle w:val="Titre20"/>
      </w:pPr>
      <w:bookmarkStart w:id="2016" w:name="_Toc52869725"/>
      <w:bookmarkStart w:id="2017" w:name="_Toc52869875"/>
      <w:bookmarkEnd w:id="2015"/>
      <w:r w:rsidRPr="00A9330B">
        <w:t xml:space="preserve">10.4.1. </w:t>
      </w:r>
      <w:r w:rsidR="00350C9E" w:rsidRPr="00A9330B">
        <w:t>Outil de collecte des données du PAR</w:t>
      </w:r>
      <w:bookmarkEnd w:id="2016"/>
      <w:bookmarkEnd w:id="2017"/>
      <w:r w:rsidR="00350C9E" w:rsidRPr="00A9330B">
        <w:t xml:space="preserve"> </w:t>
      </w:r>
    </w:p>
    <w:p w14:paraId="35183AC4" w14:textId="77777777" w:rsidR="00350C9E" w:rsidRPr="00A9330B" w:rsidRDefault="00350C9E" w:rsidP="00E7466C">
      <w:pPr>
        <w:spacing w:after="120"/>
        <w:jc w:val="both"/>
        <w:rPr>
          <w:rFonts w:eastAsia="Times New Roman" w:cs="Times New Roman"/>
          <w:color w:val="auto"/>
          <w:lang w:eastAsia="de-DE"/>
        </w:rPr>
      </w:pPr>
      <w:r w:rsidRPr="00A9330B">
        <w:rPr>
          <w:rFonts w:eastAsia="Times New Roman" w:cs="Times New Roman"/>
          <w:color w:val="auto"/>
          <w:lang w:eastAsia="de-DE"/>
        </w:rPr>
        <w:t xml:space="preserve">Dans le souci de disposer et dans un bref délai, de la base brute de données issues des enquêtes, le Consultant a opté pour l’utilisation d’un système d’interview assisté par ordinateur. Pour ce faire, l’application </w:t>
      </w:r>
      <w:r w:rsidRPr="00A9330B">
        <w:rPr>
          <w:rFonts w:eastAsia="Times New Roman" w:cs="Times New Roman"/>
          <w:b/>
          <w:color w:val="auto"/>
          <w:lang w:eastAsia="de-DE"/>
        </w:rPr>
        <w:t xml:space="preserve">Kobocollecte </w:t>
      </w:r>
      <w:r w:rsidRPr="00A9330B">
        <w:rPr>
          <w:rFonts w:eastAsia="Times New Roman" w:cs="Times New Roman"/>
          <w:color w:val="auto"/>
          <w:lang w:eastAsia="de-DE"/>
        </w:rPr>
        <w:t xml:space="preserve">a été utilisée.  Les données collectées par les questionnaires ont par la suite été analysées avant d’être croisées avec celles des entretiens individuels. </w:t>
      </w:r>
    </w:p>
    <w:p w14:paraId="7D9335D6" w14:textId="77777777" w:rsidR="00350C9E" w:rsidRPr="00A9330B" w:rsidRDefault="00350C9E" w:rsidP="00E7466C">
      <w:pPr>
        <w:spacing w:after="120"/>
        <w:jc w:val="both"/>
        <w:rPr>
          <w:rFonts w:eastAsia="Calibri" w:cs="Arial"/>
          <w:color w:val="auto"/>
          <w:lang w:eastAsia="fr-FR"/>
        </w:rPr>
      </w:pPr>
      <w:r w:rsidRPr="00A9330B">
        <w:rPr>
          <w:rFonts w:eastAsia="Calibri" w:cs="Arial"/>
          <w:color w:val="auto"/>
          <w:lang w:eastAsia="fr-FR"/>
        </w:rPr>
        <w:t>Pour l’efficacité de cette enquête, une base de données en Excel a été constituée avec la liste complète des PAP, les pertes subies par chacune, les compensations et les appuis.</w:t>
      </w:r>
    </w:p>
    <w:p w14:paraId="13853B45" w14:textId="4161F3CC" w:rsidR="00350C9E" w:rsidRPr="00A9330B" w:rsidRDefault="00E7466C" w:rsidP="000F7BA7">
      <w:pPr>
        <w:pStyle w:val="Titre20"/>
        <w:rPr>
          <w:rFonts w:eastAsia="Times New Roman"/>
          <w:lang w:eastAsia="de-DE"/>
        </w:rPr>
      </w:pPr>
      <w:bookmarkStart w:id="2018" w:name="_Toc52869726"/>
      <w:bookmarkStart w:id="2019" w:name="_Toc52869876"/>
      <w:r w:rsidRPr="00A9330B">
        <w:lastRenderedPageBreak/>
        <w:t xml:space="preserve">10.5. </w:t>
      </w:r>
      <w:r w:rsidR="00350C9E" w:rsidRPr="00A9330B">
        <w:rPr>
          <w:rFonts w:eastAsia="Times New Roman"/>
          <w:lang w:eastAsia="de-DE"/>
        </w:rPr>
        <w:t>Analyse du cadre juridique du projet</w:t>
      </w:r>
      <w:bookmarkEnd w:id="2018"/>
      <w:bookmarkEnd w:id="2019"/>
    </w:p>
    <w:p w14:paraId="793F8886" w14:textId="77777777" w:rsidR="00350C9E" w:rsidRPr="00A9330B" w:rsidRDefault="00350C9E" w:rsidP="00E7466C">
      <w:pPr>
        <w:spacing w:after="120"/>
        <w:jc w:val="both"/>
        <w:rPr>
          <w:rFonts w:eastAsia="Times New Roman" w:cs="Arial"/>
          <w:color w:val="auto"/>
          <w:szCs w:val="24"/>
          <w:lang w:eastAsia="de-DE"/>
        </w:rPr>
      </w:pPr>
      <w:r w:rsidRPr="00A9330B">
        <w:rPr>
          <w:rFonts w:eastAsia="Times New Roman" w:cs="Arial"/>
          <w:color w:val="auto"/>
          <w:szCs w:val="24"/>
          <w:lang w:eastAsia="de-DE"/>
        </w:rPr>
        <w:t xml:space="preserve">Les activités du PAR ont été réalisées en respect des directives et normes définies par les textes législatifs et règlementaires nationaux et internationaux (Sauvegardes opérationnelles de la BAD) relatifs à la réinstallation et l’indemnisation de personnes affectées, ainsi que la protection de l’environnement. </w:t>
      </w:r>
    </w:p>
    <w:p w14:paraId="1565814E" w14:textId="68A3C6B7" w:rsidR="00350C9E" w:rsidRPr="00A9330B" w:rsidRDefault="00E7466C" w:rsidP="000F7BA7">
      <w:pPr>
        <w:pStyle w:val="Titre20"/>
        <w:rPr>
          <w:rFonts w:eastAsia="Times New Roman"/>
          <w:lang w:eastAsia="de-DE"/>
        </w:rPr>
      </w:pPr>
      <w:bookmarkStart w:id="2020" w:name="_Toc52869727"/>
      <w:bookmarkStart w:id="2021" w:name="_Toc52869877"/>
      <w:r w:rsidRPr="00A9330B">
        <w:t xml:space="preserve">10.6. </w:t>
      </w:r>
      <w:r w:rsidR="00350C9E" w:rsidRPr="00A9330B">
        <w:rPr>
          <w:rFonts w:eastAsia="Times New Roman"/>
          <w:lang w:eastAsia="de-DE"/>
        </w:rPr>
        <w:t>Cadre institutionnel</w:t>
      </w:r>
      <w:bookmarkEnd w:id="2020"/>
      <w:bookmarkEnd w:id="2021"/>
    </w:p>
    <w:p w14:paraId="721E544A" w14:textId="77777777" w:rsidR="00350C9E" w:rsidRPr="00A9330B" w:rsidRDefault="00350C9E" w:rsidP="00E7466C">
      <w:pPr>
        <w:spacing w:after="120"/>
        <w:jc w:val="both"/>
        <w:rPr>
          <w:rFonts w:eastAsia="Times New Roman" w:cs="Arial"/>
          <w:color w:val="auto"/>
          <w:sz w:val="16"/>
          <w:szCs w:val="16"/>
          <w:highlight w:val="yellow"/>
          <w:lang w:eastAsia="de-DE"/>
        </w:rPr>
      </w:pPr>
      <w:r w:rsidRPr="00A9330B">
        <w:rPr>
          <w:rFonts w:eastAsia="Times New Roman" w:cs="Arial"/>
          <w:color w:val="auto"/>
          <w:szCs w:val="24"/>
          <w:lang w:eastAsia="de-DE"/>
        </w:rPr>
        <w:t>La réalisation du présent PAR est encadrée conjointement par la Banque Africaine de Développement, le Ministère du Cadre de Vie et du Développement Durable, l’Agence du Cadre de vie pour l’Aménagement du Territoire, l’Agence Nationale du Domaine et du Foncier, la Préfecture de l’Atacora, la Mairie de Natitingou et toute institution déconcentrée localisée au niveau de la ville de Natitingou. De l’Etat à l’organe exécutif local, en passant par les organes déconcentrés et décentralisés, chacun intervient dans le processus à travers l’approche participative.</w:t>
      </w:r>
    </w:p>
    <w:p w14:paraId="10949B9D" w14:textId="53A0A3F7" w:rsidR="00350C9E" w:rsidRPr="00A9330B" w:rsidRDefault="00E7466C" w:rsidP="000F7BA7">
      <w:pPr>
        <w:pStyle w:val="Titre20"/>
        <w:rPr>
          <w:rFonts w:eastAsia="Times New Roman"/>
          <w:lang w:eastAsia="de-DE"/>
        </w:rPr>
      </w:pPr>
      <w:bookmarkStart w:id="2022" w:name="_Toc52869728"/>
      <w:bookmarkStart w:id="2023" w:name="_Toc52869878"/>
      <w:r w:rsidRPr="00A9330B">
        <w:t xml:space="preserve">10.7. </w:t>
      </w:r>
      <w:r w:rsidR="00350C9E" w:rsidRPr="00A9330B">
        <w:rPr>
          <w:rFonts w:eastAsia="Times New Roman"/>
          <w:lang w:eastAsia="de-DE"/>
        </w:rPr>
        <w:t>Eligibilité et date butoir</w:t>
      </w:r>
      <w:bookmarkEnd w:id="2022"/>
      <w:bookmarkEnd w:id="2023"/>
    </w:p>
    <w:p w14:paraId="30228BE9" w14:textId="36E3A61C" w:rsidR="00350C9E" w:rsidRPr="00A9330B" w:rsidRDefault="00350C9E" w:rsidP="00E7466C">
      <w:pPr>
        <w:spacing w:after="120"/>
        <w:jc w:val="both"/>
        <w:rPr>
          <w:rFonts w:eastAsia="Times New Roman" w:cs="Arial"/>
          <w:color w:val="auto"/>
          <w:szCs w:val="24"/>
          <w:lang w:eastAsia="de-DE"/>
        </w:rPr>
      </w:pPr>
      <w:r w:rsidRPr="00A9330B">
        <w:rPr>
          <w:rFonts w:eastAsia="Calibri" w:cs="Arial"/>
          <w:color w:val="auto"/>
          <w:szCs w:val="24"/>
          <w:lang w:eastAsia="de-DE"/>
        </w:rPr>
        <w:t>La règlementation nationale et la Sauvegarde Opérationnelle 2 (SO2) de la BAD sont utilisées pour définir les critères d’éligibilité des personnes affectées par le projet, la situation la plus avantageuse pour les PAP étant retenu</w:t>
      </w:r>
      <w:r w:rsidR="008E44CE" w:rsidRPr="00A9330B">
        <w:rPr>
          <w:rFonts w:eastAsia="Calibri" w:cs="Arial"/>
          <w:color w:val="auto"/>
          <w:szCs w:val="24"/>
          <w:lang w:eastAsia="de-DE"/>
        </w:rPr>
        <w:t>e</w:t>
      </w:r>
      <w:r w:rsidRPr="00A9330B">
        <w:rPr>
          <w:rFonts w:eastAsia="Calibri" w:cs="Arial"/>
          <w:color w:val="auto"/>
          <w:szCs w:val="24"/>
          <w:lang w:eastAsia="de-DE"/>
        </w:rPr>
        <w:t>.</w:t>
      </w:r>
      <w:r w:rsidRPr="00A9330B">
        <w:rPr>
          <w:rFonts w:eastAsia="Times New Roman" w:cs="Arial"/>
          <w:color w:val="auto"/>
          <w:szCs w:val="24"/>
          <w:lang w:eastAsia="de-DE"/>
        </w:rPr>
        <w:t xml:space="preserve"> </w:t>
      </w:r>
    </w:p>
    <w:p w14:paraId="385E3420" w14:textId="77777777" w:rsidR="00350C9E" w:rsidRPr="00A9330B" w:rsidRDefault="00350C9E" w:rsidP="00E7466C">
      <w:pPr>
        <w:spacing w:after="120"/>
        <w:jc w:val="both"/>
        <w:rPr>
          <w:rFonts w:eastAsia="Times New Roman" w:cs="Arial"/>
          <w:color w:val="auto"/>
          <w:szCs w:val="20"/>
          <w:lang w:eastAsia="de-DE"/>
        </w:rPr>
      </w:pPr>
      <w:r w:rsidRPr="00A9330B">
        <w:rPr>
          <w:rFonts w:eastAsia="Times New Roman" w:cs="Arial"/>
          <w:color w:val="auto"/>
          <w:szCs w:val="20"/>
          <w:lang w:eastAsia="de-DE"/>
        </w:rPr>
        <w:t>Comme critère d’éligibilité, on peut retenir :</w:t>
      </w:r>
    </w:p>
    <w:p w14:paraId="1102783C" w14:textId="77777777" w:rsidR="00350C9E" w:rsidRPr="00A9330B" w:rsidRDefault="00350C9E" w:rsidP="00BD2F72">
      <w:pPr>
        <w:numPr>
          <w:ilvl w:val="0"/>
          <w:numId w:val="87"/>
        </w:numPr>
        <w:spacing w:before="0" w:after="120"/>
        <w:jc w:val="both"/>
        <w:rPr>
          <w:rFonts w:eastAsia="Calibri" w:cs="Arial"/>
          <w:color w:val="auto"/>
          <w:szCs w:val="20"/>
        </w:rPr>
      </w:pPr>
      <w:r w:rsidRPr="00A9330B">
        <w:rPr>
          <w:rFonts w:eastAsia="Calibri" w:cs="Arial"/>
          <w:color w:val="auto"/>
          <w:szCs w:val="20"/>
        </w:rPr>
        <w:t>Les personnes qui ont des droits légaux formels sur la terre ou sur d’autres biens, reconnus par les lois du pays et qui se retrouvent dans le périmètre du projet (rue, bassin, collecteur).</w:t>
      </w:r>
    </w:p>
    <w:p w14:paraId="26CB49A6" w14:textId="77777777" w:rsidR="00350C9E" w:rsidRPr="00A9330B" w:rsidRDefault="00350C9E" w:rsidP="00BD2F72">
      <w:pPr>
        <w:numPr>
          <w:ilvl w:val="0"/>
          <w:numId w:val="87"/>
        </w:numPr>
        <w:spacing w:before="0" w:after="120"/>
        <w:jc w:val="both"/>
        <w:rPr>
          <w:rFonts w:eastAsia="Calibri" w:cs="Arial"/>
          <w:color w:val="auto"/>
          <w:szCs w:val="20"/>
        </w:rPr>
      </w:pPr>
      <w:r w:rsidRPr="00A9330B">
        <w:rPr>
          <w:rFonts w:eastAsia="Calibri" w:cs="Arial"/>
          <w:color w:val="auto"/>
          <w:szCs w:val="20"/>
        </w:rPr>
        <w:t>Les personnes n’ayant pas de droits légaux formels sur la terre ou sur d’autres biens au moment du recensement, mais qui peuvent prouver leurs droits au regard des lois coutumières du pays. Dans le cadre du projet, les propriétaires coutumiers englobent deux types de propriété :</w:t>
      </w:r>
    </w:p>
    <w:p w14:paraId="5464762C" w14:textId="77777777" w:rsidR="00E7466C" w:rsidRPr="00A9330B" w:rsidRDefault="00350C9E" w:rsidP="00BD2F72">
      <w:pPr>
        <w:pStyle w:val="Paragraphedeliste"/>
        <w:numPr>
          <w:ilvl w:val="3"/>
          <w:numId w:val="97"/>
        </w:numPr>
        <w:spacing w:before="0" w:after="120"/>
        <w:jc w:val="both"/>
        <w:rPr>
          <w:rFonts w:eastAsia="Calibri" w:cs="Arial"/>
          <w:color w:val="auto"/>
          <w:lang w:val="fr-FR"/>
        </w:rPr>
      </w:pPr>
      <w:r w:rsidRPr="00A9330B">
        <w:rPr>
          <w:rFonts w:eastAsia="Calibri" w:cs="Arial"/>
          <w:color w:val="auto"/>
          <w:lang w:val="fr-FR"/>
        </w:rPr>
        <w:t>la propriété acquise sur la base de droits ancestraux sur la terre (zone non aedificandi);</w:t>
      </w:r>
    </w:p>
    <w:p w14:paraId="1123D44B" w14:textId="400329B9" w:rsidR="00350C9E" w:rsidRPr="00A9330B" w:rsidRDefault="00350C9E" w:rsidP="00BD2F72">
      <w:pPr>
        <w:pStyle w:val="Paragraphedeliste"/>
        <w:numPr>
          <w:ilvl w:val="3"/>
          <w:numId w:val="97"/>
        </w:numPr>
        <w:spacing w:before="0" w:after="120"/>
        <w:jc w:val="both"/>
        <w:rPr>
          <w:rFonts w:eastAsia="Calibri" w:cs="Arial"/>
          <w:color w:val="auto"/>
          <w:lang w:val="fr-FR"/>
        </w:rPr>
      </w:pPr>
      <w:r w:rsidRPr="00A9330B">
        <w:rPr>
          <w:rFonts w:eastAsia="Calibri" w:cs="Arial"/>
          <w:color w:val="auto"/>
          <w:lang w:val="fr-FR"/>
        </w:rPr>
        <w:t>la propriété acquise à travers des actes de vente reconnus par la communauté.</w:t>
      </w:r>
    </w:p>
    <w:p w14:paraId="2693EAFC" w14:textId="77777777" w:rsidR="00350C9E" w:rsidRPr="00A9330B" w:rsidRDefault="00350C9E" w:rsidP="00E7466C">
      <w:pPr>
        <w:spacing w:before="0" w:after="120"/>
        <w:jc w:val="both"/>
        <w:rPr>
          <w:rFonts w:eastAsia="Calibri" w:cs="Arial"/>
          <w:color w:val="auto"/>
          <w:szCs w:val="20"/>
        </w:rPr>
      </w:pPr>
      <w:r w:rsidRPr="00A9330B">
        <w:rPr>
          <w:rFonts w:eastAsia="Calibri" w:cs="Arial"/>
          <w:color w:val="auto"/>
          <w:szCs w:val="20"/>
        </w:rPr>
        <w:t>Les personnes qui n’ont pas de droits, légaux ou autres, susceptibles d’être reconnus sur les terres qu’elles occupent, et qui ne sont pas incluses dans les deux catégories décrites ci-dessus.</w:t>
      </w:r>
    </w:p>
    <w:p w14:paraId="13AA7FB2" w14:textId="77777777" w:rsidR="00350C9E" w:rsidRPr="00A9330B" w:rsidRDefault="00350C9E" w:rsidP="00E7466C">
      <w:pPr>
        <w:spacing w:after="120"/>
        <w:jc w:val="both"/>
        <w:rPr>
          <w:rFonts w:eastAsia="Times New Roman" w:cs="Arial"/>
          <w:color w:val="auto"/>
          <w:szCs w:val="24"/>
          <w:lang w:eastAsia="de-DE"/>
        </w:rPr>
      </w:pPr>
      <w:r w:rsidRPr="00A9330B">
        <w:rPr>
          <w:rFonts w:eastAsia="Times New Roman" w:cs="Arial"/>
          <w:color w:val="auto"/>
          <w:szCs w:val="24"/>
          <w:lang w:eastAsia="de-DE"/>
        </w:rPr>
        <w:t xml:space="preserve">La date limite d’éligibilité a été fixée au 12 juin 2020 par le Maire à travers un arrêté portant enquête publique relative à la libération des emprises des travaux d’assainissement pluvial des villes secondaires (PAPVS). </w:t>
      </w:r>
    </w:p>
    <w:p w14:paraId="0EF18158" w14:textId="6759DE58" w:rsidR="00350C9E" w:rsidRPr="00A9330B" w:rsidRDefault="00E7466C" w:rsidP="000F7BA7">
      <w:pPr>
        <w:pStyle w:val="Titre20"/>
        <w:rPr>
          <w:rFonts w:eastAsia="Times New Roman"/>
          <w:lang w:eastAsia="de-DE"/>
        </w:rPr>
      </w:pPr>
      <w:bookmarkStart w:id="2024" w:name="_Toc52869729"/>
      <w:bookmarkStart w:id="2025" w:name="_Toc52869879"/>
      <w:r w:rsidRPr="00A9330B">
        <w:t xml:space="preserve">10.8. </w:t>
      </w:r>
      <w:r w:rsidR="00350C9E" w:rsidRPr="00A9330B">
        <w:rPr>
          <w:rFonts w:eastAsia="Times New Roman"/>
          <w:lang w:eastAsia="de-DE"/>
        </w:rPr>
        <w:t>Caractérisation des PAP</w:t>
      </w:r>
      <w:bookmarkEnd w:id="2024"/>
      <w:bookmarkEnd w:id="2025"/>
      <w:r w:rsidR="00350C9E" w:rsidRPr="00A9330B">
        <w:rPr>
          <w:rFonts w:eastAsia="Times New Roman"/>
          <w:lang w:eastAsia="de-DE"/>
        </w:rPr>
        <w:t xml:space="preserve"> </w:t>
      </w:r>
    </w:p>
    <w:p w14:paraId="61FBD0DA" w14:textId="77777777" w:rsidR="00350C9E" w:rsidRPr="00A9330B" w:rsidRDefault="00350C9E" w:rsidP="00E7466C">
      <w:pPr>
        <w:spacing w:after="120"/>
        <w:jc w:val="both"/>
        <w:rPr>
          <w:rFonts w:eastAsia="Calibri" w:cs="Arial"/>
          <w:color w:val="auto"/>
          <w:szCs w:val="24"/>
          <w:lang w:eastAsia="de-DE"/>
        </w:rPr>
      </w:pPr>
      <w:r w:rsidRPr="00A9330B">
        <w:rPr>
          <w:rFonts w:eastAsia="Calibri" w:cs="Arial"/>
          <w:color w:val="auto"/>
          <w:szCs w:val="24"/>
          <w:lang w:eastAsia="de-DE"/>
        </w:rPr>
        <w:t xml:space="preserve">Les catégories PAP ont été établies en se basant à la fois sur le statut légal des personnes éligibles, le mode d’utilisation du bien perdu et les impacts du projet sur les PAP. </w:t>
      </w:r>
    </w:p>
    <w:p w14:paraId="14882AC4" w14:textId="77777777" w:rsidR="00350C9E" w:rsidRPr="00A9330B" w:rsidRDefault="00350C9E" w:rsidP="005C51BF">
      <w:pPr>
        <w:jc w:val="both"/>
        <w:rPr>
          <w:rFonts w:ascii="Arial Gras" w:eastAsia="Times New Roman" w:hAnsi="Arial Gras" w:cs="Times New Roman"/>
          <w:b/>
          <w:bCs/>
          <w:iCs/>
          <w:sz w:val="24"/>
          <w:szCs w:val="26"/>
          <w:lang w:eastAsia="de-DE"/>
        </w:rPr>
      </w:pPr>
      <w:bookmarkStart w:id="2026" w:name="_Toc45521847"/>
      <w:r w:rsidRPr="00A9330B">
        <w:t>Les travaux du projet affectent les biens à usage d’habitation de même que les activités sources de revenus des PAP et, pour certaines PAP dans la zone d’intervention, ces activités affectées sont les principales sources de revenus.</w:t>
      </w:r>
      <w:bookmarkEnd w:id="2026"/>
    </w:p>
    <w:p w14:paraId="46DD6670" w14:textId="77777777" w:rsidR="00350C9E" w:rsidRPr="00A9330B" w:rsidRDefault="00350C9E" w:rsidP="00E7466C">
      <w:pPr>
        <w:spacing w:after="120"/>
        <w:jc w:val="both"/>
        <w:rPr>
          <w:rFonts w:eastAsia="Calibri" w:cs="Times New Roman"/>
          <w:bCs/>
          <w:color w:val="000000"/>
          <w:szCs w:val="24"/>
          <w:lang w:eastAsia="de-DE"/>
        </w:rPr>
      </w:pPr>
      <w:bookmarkStart w:id="2027" w:name="_Toc3224998"/>
      <w:r w:rsidRPr="00A9330B">
        <w:rPr>
          <w:rFonts w:eastAsia="Calibri" w:cs="Times New Roman"/>
          <w:color w:val="auto"/>
          <w:szCs w:val="24"/>
          <w:lang w:eastAsia="de-DE"/>
        </w:rPr>
        <w:t xml:space="preserve">L’analyse approfondie des données collectées a permis d’obtenir une </w:t>
      </w:r>
      <w:r w:rsidRPr="00A9330B">
        <w:rPr>
          <w:rFonts w:eastAsia="Calibri" w:cs="Times New Roman"/>
          <w:color w:val="000000"/>
          <w:szCs w:val="24"/>
          <w:lang w:eastAsia="de-DE"/>
        </w:rPr>
        <w:t xml:space="preserve">population totale </w:t>
      </w:r>
      <w:r w:rsidRPr="00A9330B">
        <w:rPr>
          <w:rFonts w:eastAsia="Calibri" w:cs="Times New Roman"/>
          <w:color w:val="auto"/>
          <w:szCs w:val="24"/>
          <w:lang w:eastAsia="de-DE"/>
        </w:rPr>
        <w:t xml:space="preserve">de </w:t>
      </w:r>
      <w:r w:rsidRPr="00A9330B">
        <w:rPr>
          <w:rFonts w:eastAsia="Calibri" w:cs="Times New Roman"/>
          <w:color w:val="auto"/>
          <w:szCs w:val="24"/>
        </w:rPr>
        <w:t xml:space="preserve">405 Personnes Affectées </w:t>
      </w:r>
      <w:r w:rsidRPr="00A9330B">
        <w:rPr>
          <w:rFonts w:eastAsia="Calibri" w:cs="Times New Roman"/>
          <w:color w:val="auto"/>
          <w:szCs w:val="24"/>
          <w:lang w:eastAsia="de-DE"/>
        </w:rPr>
        <w:t xml:space="preserve">par le Projet. Ces PAP sont réparties en </w:t>
      </w:r>
      <w:r w:rsidRPr="00A9330B">
        <w:rPr>
          <w:rFonts w:eastAsia="Calibri" w:cs="Times New Roman"/>
          <w:b/>
          <w:bCs/>
          <w:color w:val="auto"/>
          <w:szCs w:val="24"/>
          <w:lang w:eastAsia="de-DE"/>
        </w:rPr>
        <w:t xml:space="preserve">75,06 </w:t>
      </w:r>
      <w:r w:rsidRPr="00A9330B">
        <w:rPr>
          <w:rFonts w:eastAsia="Calibri" w:cs="Times New Roman"/>
          <w:color w:val="auto"/>
          <w:szCs w:val="24"/>
          <w:lang w:eastAsia="de-DE"/>
        </w:rPr>
        <w:t xml:space="preserve">% d’hommes contre </w:t>
      </w:r>
      <w:r w:rsidRPr="00A9330B">
        <w:rPr>
          <w:rFonts w:eastAsia="Calibri" w:cs="Times New Roman"/>
          <w:b/>
          <w:color w:val="auto"/>
          <w:szCs w:val="24"/>
          <w:lang w:eastAsia="de-DE"/>
        </w:rPr>
        <w:t>24</w:t>
      </w:r>
      <w:r w:rsidRPr="00A9330B">
        <w:rPr>
          <w:rFonts w:eastAsia="Calibri" w:cs="Times New Roman"/>
          <w:b/>
          <w:bCs/>
          <w:color w:val="auto"/>
          <w:szCs w:val="24"/>
          <w:lang w:eastAsia="de-DE"/>
        </w:rPr>
        <w:t xml:space="preserve">,94 </w:t>
      </w:r>
      <w:r w:rsidRPr="00A9330B">
        <w:rPr>
          <w:rFonts w:eastAsia="Calibri" w:cs="Times New Roman"/>
          <w:color w:val="auto"/>
          <w:szCs w:val="24"/>
          <w:lang w:eastAsia="de-DE"/>
        </w:rPr>
        <w:t>% de</w:t>
      </w:r>
      <w:r w:rsidRPr="00A9330B">
        <w:rPr>
          <w:rFonts w:eastAsia="Calibri" w:cs="Times New Roman"/>
          <w:color w:val="000000"/>
          <w:szCs w:val="24"/>
          <w:lang w:eastAsia="de-DE"/>
        </w:rPr>
        <w:t xml:space="preserve"> femmes</w:t>
      </w:r>
      <w:r w:rsidRPr="00A9330B">
        <w:rPr>
          <w:rFonts w:eastAsia="Calibri" w:cs="Times New Roman"/>
          <w:bCs/>
          <w:color w:val="000000"/>
          <w:szCs w:val="24"/>
          <w:lang w:eastAsia="de-DE"/>
        </w:rPr>
        <w:t xml:space="preserve">. </w:t>
      </w:r>
    </w:p>
    <w:p w14:paraId="51FBBB76" w14:textId="7C22E847" w:rsidR="00294B8E" w:rsidRPr="00A9330B" w:rsidRDefault="00E7466C" w:rsidP="00A9330B">
      <w:pPr>
        <w:pStyle w:val="Lgende"/>
        <w:rPr>
          <w:rFonts w:eastAsia="Calibri"/>
        </w:rPr>
      </w:pPr>
      <w:bookmarkStart w:id="2028" w:name="_Toc52873784"/>
      <w:r w:rsidRPr="00A9330B">
        <w:lastRenderedPageBreak/>
        <w:t xml:space="preserve">Tableau </w:t>
      </w:r>
      <w:r w:rsidR="00D24D0D" w:rsidRPr="00A9330B">
        <w:fldChar w:fldCharType="begin"/>
      </w:r>
      <w:r w:rsidR="00D24D0D" w:rsidRPr="00A9330B">
        <w:instrText xml:space="preserve"> SEQ Tableau \* ARABIC </w:instrText>
      </w:r>
      <w:r w:rsidR="00D24D0D" w:rsidRPr="00A9330B">
        <w:fldChar w:fldCharType="separate"/>
      </w:r>
      <w:r w:rsidR="00340594" w:rsidRPr="00A9330B">
        <w:rPr>
          <w:noProof/>
        </w:rPr>
        <w:t>60</w:t>
      </w:r>
      <w:r w:rsidR="00D24D0D" w:rsidRPr="00A9330B">
        <w:rPr>
          <w:noProof/>
        </w:rPr>
        <w:fldChar w:fldCharType="end"/>
      </w:r>
      <w:r w:rsidRPr="00A9330B">
        <w:t xml:space="preserve"> </w:t>
      </w:r>
      <w:r w:rsidR="00350C9E" w:rsidRPr="00A9330B">
        <w:rPr>
          <w:rFonts w:eastAsia="Calibri"/>
          <w:color w:val="000000"/>
        </w:rPr>
        <w:t xml:space="preserve">: </w:t>
      </w:r>
      <w:r w:rsidR="00350C9E" w:rsidRPr="00A9330B">
        <w:rPr>
          <w:rFonts w:eastAsia="Calibri"/>
        </w:rPr>
        <w:t>Répartition par Âges et par sexe des PAP</w:t>
      </w:r>
      <w:bookmarkEnd w:id="2028"/>
    </w:p>
    <w:tbl>
      <w:tblPr>
        <w:tblW w:w="6416" w:type="dxa"/>
        <w:jc w:val="center"/>
        <w:tblCellMar>
          <w:left w:w="70" w:type="dxa"/>
          <w:right w:w="70" w:type="dxa"/>
        </w:tblCellMar>
        <w:tblLook w:val="04A0" w:firstRow="1" w:lastRow="0" w:firstColumn="1" w:lastColumn="0" w:noHBand="0" w:noVBand="1"/>
      </w:tblPr>
      <w:tblGrid>
        <w:gridCol w:w="1604"/>
        <w:gridCol w:w="1604"/>
        <w:gridCol w:w="1604"/>
        <w:gridCol w:w="1604"/>
      </w:tblGrid>
      <w:tr w:rsidR="00294B8E" w:rsidRPr="00A9330B" w14:paraId="6482CA9A" w14:textId="77777777" w:rsidTr="00294B8E">
        <w:trPr>
          <w:trHeight w:val="330"/>
          <w:jc w:val="center"/>
        </w:trPr>
        <w:tc>
          <w:tcPr>
            <w:tcW w:w="160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885BA3" w14:textId="77777777" w:rsidR="00294B8E" w:rsidRPr="00A9330B" w:rsidRDefault="00294B8E" w:rsidP="00F561A7">
            <w:pPr>
              <w:spacing w:before="60" w:line="240" w:lineRule="auto"/>
              <w:jc w:val="center"/>
              <w:rPr>
                <w:rFonts w:cs="Arial"/>
                <w:b/>
                <w:bCs/>
                <w:color w:val="000000"/>
                <w:sz w:val="20"/>
                <w:szCs w:val="20"/>
                <w:lang w:eastAsia="fr-FR"/>
              </w:rPr>
            </w:pPr>
            <w:r w:rsidRPr="00A9330B">
              <w:rPr>
                <w:rFonts w:cs="Arial"/>
                <w:b/>
                <w:bCs/>
                <w:color w:val="000000"/>
                <w:sz w:val="20"/>
                <w:szCs w:val="20"/>
                <w:lang w:eastAsia="fr-FR"/>
              </w:rPr>
              <w:t>Tranches d'Âge</w:t>
            </w:r>
          </w:p>
        </w:tc>
        <w:tc>
          <w:tcPr>
            <w:tcW w:w="1604" w:type="dxa"/>
            <w:tcBorders>
              <w:top w:val="single" w:sz="4" w:space="0" w:color="auto"/>
              <w:left w:val="nil"/>
              <w:bottom w:val="single" w:sz="4" w:space="0" w:color="auto"/>
              <w:right w:val="single" w:sz="4" w:space="0" w:color="auto"/>
            </w:tcBorders>
            <w:shd w:val="clear" w:color="auto" w:fill="00B0F0"/>
            <w:noWrap/>
            <w:vAlign w:val="center"/>
            <w:hideMark/>
          </w:tcPr>
          <w:p w14:paraId="74307047" w14:textId="77777777" w:rsidR="00294B8E" w:rsidRPr="00A9330B" w:rsidRDefault="00294B8E" w:rsidP="00F561A7">
            <w:pPr>
              <w:spacing w:before="60" w:line="240" w:lineRule="auto"/>
              <w:jc w:val="center"/>
              <w:rPr>
                <w:rFonts w:cs="Arial"/>
                <w:color w:val="000000"/>
                <w:sz w:val="20"/>
                <w:szCs w:val="20"/>
                <w:lang w:eastAsia="fr-FR"/>
              </w:rPr>
            </w:pPr>
            <w:r w:rsidRPr="00A9330B">
              <w:rPr>
                <w:rFonts w:cs="Arial"/>
                <w:color w:val="000000"/>
                <w:sz w:val="20"/>
                <w:szCs w:val="20"/>
                <w:lang w:eastAsia="fr-FR"/>
              </w:rPr>
              <w:t>Homme %</w:t>
            </w:r>
          </w:p>
        </w:tc>
        <w:tc>
          <w:tcPr>
            <w:tcW w:w="1604" w:type="dxa"/>
            <w:tcBorders>
              <w:top w:val="single" w:sz="4" w:space="0" w:color="auto"/>
              <w:left w:val="nil"/>
              <w:bottom w:val="single" w:sz="4" w:space="0" w:color="auto"/>
              <w:right w:val="single" w:sz="4" w:space="0" w:color="auto"/>
            </w:tcBorders>
            <w:shd w:val="clear" w:color="000000" w:fill="E26B0A"/>
            <w:noWrap/>
            <w:vAlign w:val="center"/>
            <w:hideMark/>
          </w:tcPr>
          <w:p w14:paraId="01503B93" w14:textId="77777777" w:rsidR="00294B8E" w:rsidRPr="00A9330B" w:rsidRDefault="00294B8E" w:rsidP="00F561A7">
            <w:pPr>
              <w:spacing w:before="60" w:line="240" w:lineRule="auto"/>
              <w:jc w:val="center"/>
              <w:rPr>
                <w:rFonts w:cs="Arial"/>
                <w:color w:val="000000"/>
                <w:sz w:val="20"/>
                <w:szCs w:val="20"/>
                <w:lang w:eastAsia="fr-FR"/>
              </w:rPr>
            </w:pPr>
            <w:r w:rsidRPr="00A9330B">
              <w:rPr>
                <w:rFonts w:cs="Arial"/>
                <w:color w:val="000000"/>
                <w:sz w:val="20"/>
                <w:szCs w:val="20"/>
                <w:lang w:eastAsia="fr-FR"/>
              </w:rPr>
              <w:t>Femme %</w:t>
            </w:r>
          </w:p>
        </w:tc>
        <w:tc>
          <w:tcPr>
            <w:tcW w:w="1604" w:type="dxa"/>
            <w:tcBorders>
              <w:top w:val="single" w:sz="4" w:space="0" w:color="auto"/>
              <w:left w:val="nil"/>
              <w:bottom w:val="single" w:sz="4" w:space="0" w:color="auto"/>
              <w:right w:val="single" w:sz="4" w:space="0" w:color="auto"/>
            </w:tcBorders>
            <w:shd w:val="clear" w:color="auto" w:fill="auto"/>
            <w:noWrap/>
            <w:vAlign w:val="center"/>
            <w:hideMark/>
          </w:tcPr>
          <w:p w14:paraId="7E0A198A" w14:textId="77777777" w:rsidR="00294B8E" w:rsidRPr="00A9330B" w:rsidRDefault="00294B8E" w:rsidP="00F561A7">
            <w:pPr>
              <w:spacing w:before="60" w:line="240" w:lineRule="auto"/>
              <w:jc w:val="center"/>
              <w:rPr>
                <w:rFonts w:cs="Arial"/>
                <w:color w:val="000000"/>
                <w:sz w:val="20"/>
                <w:szCs w:val="20"/>
                <w:lang w:eastAsia="fr-FR"/>
              </w:rPr>
            </w:pPr>
            <w:r w:rsidRPr="00A9330B">
              <w:rPr>
                <w:rFonts w:cs="Arial"/>
                <w:color w:val="000000"/>
                <w:sz w:val="20"/>
                <w:szCs w:val="20"/>
                <w:lang w:eastAsia="fr-FR"/>
              </w:rPr>
              <w:t>%</w:t>
            </w:r>
          </w:p>
        </w:tc>
      </w:tr>
      <w:tr w:rsidR="00294B8E" w:rsidRPr="00A9330B" w14:paraId="77D2EABC" w14:textId="77777777" w:rsidTr="00294B8E">
        <w:trPr>
          <w:trHeight w:val="330"/>
          <w:jc w:val="center"/>
        </w:trPr>
        <w:tc>
          <w:tcPr>
            <w:tcW w:w="1604" w:type="dxa"/>
            <w:tcBorders>
              <w:top w:val="nil"/>
              <w:left w:val="single" w:sz="4" w:space="0" w:color="auto"/>
              <w:bottom w:val="single" w:sz="4" w:space="0" w:color="auto"/>
              <w:right w:val="single" w:sz="4" w:space="0" w:color="auto"/>
            </w:tcBorders>
            <w:shd w:val="clear" w:color="auto" w:fill="auto"/>
            <w:noWrap/>
            <w:vAlign w:val="center"/>
            <w:hideMark/>
          </w:tcPr>
          <w:p w14:paraId="08A36AE9" w14:textId="77777777" w:rsidR="00294B8E" w:rsidRPr="00A9330B" w:rsidRDefault="00294B8E" w:rsidP="00F561A7">
            <w:pPr>
              <w:spacing w:before="60" w:line="240" w:lineRule="auto"/>
              <w:jc w:val="center"/>
              <w:rPr>
                <w:rFonts w:cs="Arial"/>
                <w:color w:val="000000"/>
                <w:sz w:val="20"/>
                <w:szCs w:val="20"/>
                <w:lang w:eastAsia="fr-FR"/>
              </w:rPr>
            </w:pPr>
            <w:r w:rsidRPr="00A9330B">
              <w:rPr>
                <w:rFonts w:cs="Arial"/>
                <w:color w:val="000000"/>
                <w:sz w:val="20"/>
                <w:szCs w:val="20"/>
                <w:lang w:eastAsia="fr-FR"/>
              </w:rPr>
              <w:t>18 à 21 ans</w:t>
            </w:r>
          </w:p>
        </w:tc>
        <w:tc>
          <w:tcPr>
            <w:tcW w:w="1604" w:type="dxa"/>
            <w:tcBorders>
              <w:top w:val="nil"/>
              <w:left w:val="nil"/>
              <w:bottom w:val="single" w:sz="4" w:space="0" w:color="auto"/>
              <w:right w:val="single" w:sz="4" w:space="0" w:color="auto"/>
            </w:tcBorders>
            <w:shd w:val="clear" w:color="auto" w:fill="auto"/>
            <w:noWrap/>
            <w:vAlign w:val="center"/>
            <w:hideMark/>
          </w:tcPr>
          <w:p w14:paraId="004934E1" w14:textId="77777777" w:rsidR="00294B8E" w:rsidRPr="00A9330B" w:rsidRDefault="00294B8E" w:rsidP="00F561A7">
            <w:pPr>
              <w:spacing w:before="60" w:line="240" w:lineRule="auto"/>
              <w:jc w:val="center"/>
              <w:rPr>
                <w:rFonts w:cs="Arial"/>
                <w:color w:val="000000"/>
                <w:sz w:val="20"/>
                <w:szCs w:val="20"/>
                <w:lang w:eastAsia="fr-FR"/>
              </w:rPr>
            </w:pPr>
            <w:r w:rsidRPr="00A9330B">
              <w:rPr>
                <w:rFonts w:cs="Arial"/>
                <w:color w:val="000000"/>
                <w:sz w:val="20"/>
                <w:szCs w:val="20"/>
                <w:lang w:eastAsia="fr-FR"/>
              </w:rPr>
              <w:t>3,21</w:t>
            </w:r>
          </w:p>
        </w:tc>
        <w:tc>
          <w:tcPr>
            <w:tcW w:w="1604" w:type="dxa"/>
            <w:tcBorders>
              <w:top w:val="nil"/>
              <w:left w:val="nil"/>
              <w:bottom w:val="single" w:sz="4" w:space="0" w:color="auto"/>
              <w:right w:val="single" w:sz="4" w:space="0" w:color="auto"/>
            </w:tcBorders>
            <w:shd w:val="clear" w:color="auto" w:fill="auto"/>
            <w:noWrap/>
            <w:vAlign w:val="center"/>
            <w:hideMark/>
          </w:tcPr>
          <w:p w14:paraId="137E531D" w14:textId="77777777" w:rsidR="00294B8E" w:rsidRPr="00A9330B" w:rsidRDefault="00294B8E" w:rsidP="00F561A7">
            <w:pPr>
              <w:spacing w:before="60" w:line="240" w:lineRule="auto"/>
              <w:jc w:val="center"/>
              <w:rPr>
                <w:rFonts w:cs="Arial"/>
                <w:color w:val="000000"/>
                <w:sz w:val="20"/>
                <w:szCs w:val="20"/>
                <w:lang w:eastAsia="fr-FR"/>
              </w:rPr>
            </w:pPr>
            <w:r w:rsidRPr="00A9330B">
              <w:rPr>
                <w:rFonts w:cs="Arial"/>
                <w:color w:val="000000"/>
                <w:sz w:val="20"/>
                <w:szCs w:val="20"/>
                <w:lang w:eastAsia="fr-FR"/>
              </w:rPr>
              <w:t>1,48</w:t>
            </w:r>
          </w:p>
        </w:tc>
        <w:tc>
          <w:tcPr>
            <w:tcW w:w="1604" w:type="dxa"/>
            <w:tcBorders>
              <w:top w:val="nil"/>
              <w:left w:val="nil"/>
              <w:bottom w:val="single" w:sz="4" w:space="0" w:color="auto"/>
              <w:right w:val="single" w:sz="4" w:space="0" w:color="auto"/>
            </w:tcBorders>
            <w:shd w:val="clear" w:color="auto" w:fill="auto"/>
            <w:noWrap/>
            <w:vAlign w:val="center"/>
            <w:hideMark/>
          </w:tcPr>
          <w:p w14:paraId="70473BED" w14:textId="77777777" w:rsidR="00294B8E" w:rsidRPr="00A9330B" w:rsidRDefault="00294B8E" w:rsidP="00F561A7">
            <w:pPr>
              <w:spacing w:before="60" w:line="240" w:lineRule="auto"/>
              <w:jc w:val="center"/>
              <w:rPr>
                <w:rFonts w:cs="Arial"/>
                <w:color w:val="000000"/>
                <w:sz w:val="20"/>
                <w:szCs w:val="20"/>
                <w:lang w:eastAsia="fr-FR"/>
              </w:rPr>
            </w:pPr>
            <w:r w:rsidRPr="00A9330B">
              <w:rPr>
                <w:rFonts w:cs="Arial"/>
                <w:color w:val="000000"/>
                <w:sz w:val="20"/>
                <w:szCs w:val="20"/>
                <w:lang w:eastAsia="fr-FR"/>
              </w:rPr>
              <w:t>4,69</w:t>
            </w:r>
          </w:p>
        </w:tc>
      </w:tr>
      <w:tr w:rsidR="00294B8E" w:rsidRPr="00A9330B" w14:paraId="45443309" w14:textId="77777777" w:rsidTr="00294B8E">
        <w:trPr>
          <w:trHeight w:val="314"/>
          <w:jc w:val="center"/>
        </w:trPr>
        <w:tc>
          <w:tcPr>
            <w:tcW w:w="1604" w:type="dxa"/>
            <w:tcBorders>
              <w:top w:val="nil"/>
              <w:left w:val="single" w:sz="4" w:space="0" w:color="auto"/>
              <w:bottom w:val="single" w:sz="4" w:space="0" w:color="auto"/>
              <w:right w:val="single" w:sz="4" w:space="0" w:color="auto"/>
            </w:tcBorders>
            <w:shd w:val="clear" w:color="auto" w:fill="auto"/>
            <w:noWrap/>
            <w:vAlign w:val="center"/>
            <w:hideMark/>
          </w:tcPr>
          <w:p w14:paraId="71843970" w14:textId="77777777" w:rsidR="00294B8E" w:rsidRPr="00A9330B" w:rsidRDefault="00294B8E" w:rsidP="00F561A7">
            <w:pPr>
              <w:spacing w:before="60" w:line="240" w:lineRule="auto"/>
              <w:jc w:val="center"/>
              <w:rPr>
                <w:rFonts w:cs="Arial"/>
                <w:color w:val="000000"/>
                <w:sz w:val="20"/>
                <w:szCs w:val="20"/>
                <w:lang w:eastAsia="fr-FR"/>
              </w:rPr>
            </w:pPr>
            <w:r w:rsidRPr="00A9330B">
              <w:rPr>
                <w:rFonts w:cs="Arial"/>
                <w:color w:val="000000"/>
                <w:sz w:val="20"/>
                <w:szCs w:val="20"/>
                <w:lang w:eastAsia="fr-FR"/>
              </w:rPr>
              <w:t>21 à 35 ans</w:t>
            </w:r>
          </w:p>
        </w:tc>
        <w:tc>
          <w:tcPr>
            <w:tcW w:w="1604" w:type="dxa"/>
            <w:tcBorders>
              <w:top w:val="nil"/>
              <w:left w:val="nil"/>
              <w:bottom w:val="single" w:sz="4" w:space="0" w:color="auto"/>
              <w:right w:val="single" w:sz="4" w:space="0" w:color="auto"/>
            </w:tcBorders>
            <w:shd w:val="clear" w:color="auto" w:fill="auto"/>
            <w:noWrap/>
            <w:vAlign w:val="center"/>
            <w:hideMark/>
          </w:tcPr>
          <w:p w14:paraId="789C635D" w14:textId="77777777" w:rsidR="00294B8E" w:rsidRPr="00A9330B" w:rsidRDefault="00294B8E" w:rsidP="00F561A7">
            <w:pPr>
              <w:spacing w:before="60" w:line="240" w:lineRule="auto"/>
              <w:jc w:val="center"/>
              <w:rPr>
                <w:rFonts w:cs="Arial"/>
                <w:color w:val="000000"/>
                <w:sz w:val="20"/>
                <w:szCs w:val="20"/>
                <w:lang w:eastAsia="fr-FR"/>
              </w:rPr>
            </w:pPr>
            <w:r w:rsidRPr="00A9330B">
              <w:rPr>
                <w:rFonts w:cs="Arial"/>
                <w:color w:val="000000"/>
                <w:sz w:val="20"/>
                <w:szCs w:val="20"/>
                <w:lang w:eastAsia="fr-FR"/>
              </w:rPr>
              <w:t>20,25</w:t>
            </w:r>
          </w:p>
        </w:tc>
        <w:tc>
          <w:tcPr>
            <w:tcW w:w="1604" w:type="dxa"/>
            <w:tcBorders>
              <w:top w:val="nil"/>
              <w:left w:val="nil"/>
              <w:bottom w:val="single" w:sz="4" w:space="0" w:color="auto"/>
              <w:right w:val="single" w:sz="4" w:space="0" w:color="auto"/>
            </w:tcBorders>
            <w:shd w:val="clear" w:color="auto" w:fill="auto"/>
            <w:noWrap/>
            <w:vAlign w:val="center"/>
            <w:hideMark/>
          </w:tcPr>
          <w:p w14:paraId="229CD35C" w14:textId="77777777" w:rsidR="00294B8E" w:rsidRPr="00A9330B" w:rsidRDefault="00294B8E" w:rsidP="00F561A7">
            <w:pPr>
              <w:spacing w:before="60" w:line="240" w:lineRule="auto"/>
              <w:jc w:val="center"/>
              <w:rPr>
                <w:rFonts w:cs="Arial"/>
                <w:color w:val="000000"/>
                <w:sz w:val="20"/>
                <w:szCs w:val="20"/>
                <w:lang w:eastAsia="fr-FR"/>
              </w:rPr>
            </w:pPr>
            <w:r w:rsidRPr="00A9330B">
              <w:rPr>
                <w:rFonts w:cs="Arial"/>
                <w:color w:val="000000"/>
                <w:sz w:val="20"/>
                <w:szCs w:val="20"/>
                <w:lang w:eastAsia="fr-FR"/>
              </w:rPr>
              <w:t>5,68</w:t>
            </w:r>
          </w:p>
        </w:tc>
        <w:tc>
          <w:tcPr>
            <w:tcW w:w="1604" w:type="dxa"/>
            <w:tcBorders>
              <w:top w:val="nil"/>
              <w:left w:val="nil"/>
              <w:bottom w:val="single" w:sz="4" w:space="0" w:color="auto"/>
              <w:right w:val="single" w:sz="4" w:space="0" w:color="auto"/>
            </w:tcBorders>
            <w:shd w:val="clear" w:color="auto" w:fill="auto"/>
            <w:noWrap/>
            <w:vAlign w:val="center"/>
            <w:hideMark/>
          </w:tcPr>
          <w:p w14:paraId="75652B8A" w14:textId="77777777" w:rsidR="00294B8E" w:rsidRPr="00A9330B" w:rsidRDefault="00294B8E" w:rsidP="00F561A7">
            <w:pPr>
              <w:spacing w:before="60" w:line="240" w:lineRule="auto"/>
              <w:jc w:val="center"/>
              <w:rPr>
                <w:rFonts w:cs="Arial"/>
                <w:color w:val="000000"/>
                <w:sz w:val="20"/>
                <w:szCs w:val="20"/>
                <w:lang w:eastAsia="fr-FR"/>
              </w:rPr>
            </w:pPr>
            <w:r w:rsidRPr="00A9330B">
              <w:rPr>
                <w:rFonts w:cs="Arial"/>
                <w:color w:val="000000"/>
                <w:sz w:val="20"/>
                <w:szCs w:val="20"/>
                <w:lang w:eastAsia="fr-FR"/>
              </w:rPr>
              <w:t>25,93</w:t>
            </w:r>
          </w:p>
        </w:tc>
      </w:tr>
      <w:tr w:rsidR="00294B8E" w:rsidRPr="00A9330B" w14:paraId="48A0F976" w14:textId="77777777" w:rsidTr="00294B8E">
        <w:trPr>
          <w:trHeight w:val="314"/>
          <w:jc w:val="center"/>
        </w:trPr>
        <w:tc>
          <w:tcPr>
            <w:tcW w:w="1604" w:type="dxa"/>
            <w:tcBorders>
              <w:top w:val="nil"/>
              <w:left w:val="single" w:sz="4" w:space="0" w:color="auto"/>
              <w:bottom w:val="single" w:sz="4" w:space="0" w:color="auto"/>
              <w:right w:val="single" w:sz="4" w:space="0" w:color="auto"/>
            </w:tcBorders>
            <w:shd w:val="clear" w:color="auto" w:fill="auto"/>
            <w:noWrap/>
            <w:vAlign w:val="center"/>
            <w:hideMark/>
          </w:tcPr>
          <w:p w14:paraId="6466BB4E" w14:textId="77777777" w:rsidR="00294B8E" w:rsidRPr="00A9330B" w:rsidRDefault="00294B8E" w:rsidP="00F561A7">
            <w:pPr>
              <w:spacing w:before="60" w:line="240" w:lineRule="auto"/>
              <w:jc w:val="center"/>
              <w:rPr>
                <w:rFonts w:cs="Arial"/>
                <w:color w:val="000000"/>
                <w:sz w:val="20"/>
                <w:szCs w:val="20"/>
                <w:lang w:eastAsia="fr-FR"/>
              </w:rPr>
            </w:pPr>
            <w:r w:rsidRPr="00A9330B">
              <w:rPr>
                <w:rFonts w:cs="Arial"/>
                <w:color w:val="000000"/>
                <w:sz w:val="20"/>
                <w:szCs w:val="20"/>
                <w:lang w:eastAsia="fr-FR"/>
              </w:rPr>
              <w:t>35 à 45 ans</w:t>
            </w:r>
          </w:p>
        </w:tc>
        <w:tc>
          <w:tcPr>
            <w:tcW w:w="1604" w:type="dxa"/>
            <w:tcBorders>
              <w:top w:val="nil"/>
              <w:left w:val="nil"/>
              <w:bottom w:val="single" w:sz="4" w:space="0" w:color="auto"/>
              <w:right w:val="single" w:sz="4" w:space="0" w:color="auto"/>
            </w:tcBorders>
            <w:shd w:val="clear" w:color="auto" w:fill="auto"/>
            <w:noWrap/>
            <w:vAlign w:val="center"/>
            <w:hideMark/>
          </w:tcPr>
          <w:p w14:paraId="542C93C6" w14:textId="77777777" w:rsidR="00294B8E" w:rsidRPr="00A9330B" w:rsidRDefault="00294B8E" w:rsidP="00F561A7">
            <w:pPr>
              <w:spacing w:before="60" w:line="240" w:lineRule="auto"/>
              <w:jc w:val="center"/>
              <w:rPr>
                <w:rFonts w:cs="Arial"/>
                <w:color w:val="000000"/>
                <w:sz w:val="20"/>
                <w:szCs w:val="20"/>
                <w:lang w:eastAsia="fr-FR"/>
              </w:rPr>
            </w:pPr>
            <w:r w:rsidRPr="00A9330B">
              <w:rPr>
                <w:rFonts w:cs="Arial"/>
                <w:color w:val="000000"/>
                <w:sz w:val="20"/>
                <w:szCs w:val="20"/>
                <w:lang w:eastAsia="fr-FR"/>
              </w:rPr>
              <w:t>17,78</w:t>
            </w:r>
          </w:p>
        </w:tc>
        <w:tc>
          <w:tcPr>
            <w:tcW w:w="1604" w:type="dxa"/>
            <w:tcBorders>
              <w:top w:val="nil"/>
              <w:left w:val="nil"/>
              <w:bottom w:val="single" w:sz="4" w:space="0" w:color="auto"/>
              <w:right w:val="single" w:sz="4" w:space="0" w:color="auto"/>
            </w:tcBorders>
            <w:shd w:val="clear" w:color="auto" w:fill="auto"/>
            <w:noWrap/>
            <w:vAlign w:val="center"/>
            <w:hideMark/>
          </w:tcPr>
          <w:p w14:paraId="4D2DF71C" w14:textId="77777777" w:rsidR="00294B8E" w:rsidRPr="00A9330B" w:rsidRDefault="00294B8E" w:rsidP="00F561A7">
            <w:pPr>
              <w:spacing w:before="60" w:line="240" w:lineRule="auto"/>
              <w:jc w:val="center"/>
              <w:rPr>
                <w:rFonts w:cs="Arial"/>
                <w:color w:val="000000"/>
                <w:sz w:val="20"/>
                <w:szCs w:val="20"/>
                <w:lang w:eastAsia="fr-FR"/>
              </w:rPr>
            </w:pPr>
            <w:r w:rsidRPr="00A9330B">
              <w:rPr>
                <w:rFonts w:cs="Arial"/>
                <w:color w:val="000000"/>
                <w:sz w:val="20"/>
                <w:szCs w:val="20"/>
                <w:lang w:eastAsia="fr-FR"/>
              </w:rPr>
              <w:t>6,91</w:t>
            </w:r>
          </w:p>
        </w:tc>
        <w:tc>
          <w:tcPr>
            <w:tcW w:w="1604" w:type="dxa"/>
            <w:tcBorders>
              <w:top w:val="nil"/>
              <w:left w:val="nil"/>
              <w:bottom w:val="single" w:sz="4" w:space="0" w:color="auto"/>
              <w:right w:val="single" w:sz="4" w:space="0" w:color="auto"/>
            </w:tcBorders>
            <w:shd w:val="clear" w:color="auto" w:fill="auto"/>
            <w:noWrap/>
            <w:vAlign w:val="center"/>
            <w:hideMark/>
          </w:tcPr>
          <w:p w14:paraId="776DC163" w14:textId="77777777" w:rsidR="00294B8E" w:rsidRPr="00A9330B" w:rsidRDefault="00294B8E" w:rsidP="00F561A7">
            <w:pPr>
              <w:spacing w:before="60" w:line="240" w:lineRule="auto"/>
              <w:jc w:val="center"/>
              <w:rPr>
                <w:rFonts w:cs="Arial"/>
                <w:color w:val="000000"/>
                <w:sz w:val="20"/>
                <w:szCs w:val="20"/>
                <w:lang w:eastAsia="fr-FR"/>
              </w:rPr>
            </w:pPr>
            <w:r w:rsidRPr="00A9330B">
              <w:rPr>
                <w:rFonts w:cs="Arial"/>
                <w:color w:val="000000"/>
                <w:sz w:val="20"/>
                <w:szCs w:val="20"/>
                <w:lang w:eastAsia="fr-FR"/>
              </w:rPr>
              <w:t>24,69</w:t>
            </w:r>
          </w:p>
        </w:tc>
      </w:tr>
      <w:tr w:rsidR="00294B8E" w:rsidRPr="00A9330B" w14:paraId="47597353" w14:textId="77777777" w:rsidTr="00294B8E">
        <w:trPr>
          <w:trHeight w:val="314"/>
          <w:jc w:val="center"/>
        </w:trPr>
        <w:tc>
          <w:tcPr>
            <w:tcW w:w="1604" w:type="dxa"/>
            <w:tcBorders>
              <w:top w:val="nil"/>
              <w:left w:val="single" w:sz="4" w:space="0" w:color="auto"/>
              <w:bottom w:val="single" w:sz="4" w:space="0" w:color="auto"/>
              <w:right w:val="single" w:sz="4" w:space="0" w:color="auto"/>
            </w:tcBorders>
            <w:shd w:val="clear" w:color="auto" w:fill="auto"/>
            <w:noWrap/>
            <w:vAlign w:val="center"/>
            <w:hideMark/>
          </w:tcPr>
          <w:p w14:paraId="628EFF81" w14:textId="77777777" w:rsidR="00294B8E" w:rsidRPr="00A9330B" w:rsidRDefault="00294B8E" w:rsidP="00F561A7">
            <w:pPr>
              <w:spacing w:before="60" w:line="240" w:lineRule="auto"/>
              <w:jc w:val="center"/>
              <w:rPr>
                <w:rFonts w:cs="Arial"/>
                <w:color w:val="000000"/>
                <w:sz w:val="20"/>
                <w:szCs w:val="20"/>
                <w:lang w:eastAsia="fr-FR"/>
              </w:rPr>
            </w:pPr>
            <w:r w:rsidRPr="00A9330B">
              <w:rPr>
                <w:rFonts w:cs="Arial"/>
                <w:color w:val="000000"/>
                <w:sz w:val="20"/>
                <w:szCs w:val="20"/>
                <w:lang w:eastAsia="fr-FR"/>
              </w:rPr>
              <w:t>45 à 60 ans</w:t>
            </w:r>
          </w:p>
        </w:tc>
        <w:tc>
          <w:tcPr>
            <w:tcW w:w="1604" w:type="dxa"/>
            <w:tcBorders>
              <w:top w:val="nil"/>
              <w:left w:val="nil"/>
              <w:bottom w:val="single" w:sz="4" w:space="0" w:color="auto"/>
              <w:right w:val="single" w:sz="4" w:space="0" w:color="auto"/>
            </w:tcBorders>
            <w:shd w:val="clear" w:color="auto" w:fill="auto"/>
            <w:noWrap/>
            <w:vAlign w:val="center"/>
            <w:hideMark/>
          </w:tcPr>
          <w:p w14:paraId="22ECD753" w14:textId="77777777" w:rsidR="00294B8E" w:rsidRPr="00A9330B" w:rsidRDefault="00294B8E" w:rsidP="00F561A7">
            <w:pPr>
              <w:spacing w:before="60" w:line="240" w:lineRule="auto"/>
              <w:jc w:val="center"/>
              <w:rPr>
                <w:rFonts w:cs="Arial"/>
                <w:color w:val="000000"/>
                <w:sz w:val="20"/>
                <w:szCs w:val="20"/>
                <w:lang w:eastAsia="fr-FR"/>
              </w:rPr>
            </w:pPr>
            <w:r w:rsidRPr="00A9330B">
              <w:rPr>
                <w:rFonts w:cs="Arial"/>
                <w:color w:val="000000"/>
                <w:sz w:val="20"/>
                <w:szCs w:val="20"/>
                <w:lang w:eastAsia="fr-FR"/>
              </w:rPr>
              <w:t>24,69</w:t>
            </w:r>
          </w:p>
        </w:tc>
        <w:tc>
          <w:tcPr>
            <w:tcW w:w="1604" w:type="dxa"/>
            <w:tcBorders>
              <w:top w:val="nil"/>
              <w:left w:val="nil"/>
              <w:bottom w:val="single" w:sz="4" w:space="0" w:color="auto"/>
              <w:right w:val="single" w:sz="4" w:space="0" w:color="auto"/>
            </w:tcBorders>
            <w:shd w:val="clear" w:color="auto" w:fill="auto"/>
            <w:noWrap/>
            <w:vAlign w:val="center"/>
            <w:hideMark/>
          </w:tcPr>
          <w:p w14:paraId="730D4E5C" w14:textId="77777777" w:rsidR="00294B8E" w:rsidRPr="00A9330B" w:rsidRDefault="00294B8E" w:rsidP="00F561A7">
            <w:pPr>
              <w:spacing w:before="60" w:line="240" w:lineRule="auto"/>
              <w:jc w:val="center"/>
              <w:rPr>
                <w:rFonts w:cs="Arial"/>
                <w:color w:val="000000"/>
                <w:sz w:val="20"/>
                <w:szCs w:val="20"/>
                <w:lang w:eastAsia="fr-FR"/>
              </w:rPr>
            </w:pPr>
            <w:r w:rsidRPr="00A9330B">
              <w:rPr>
                <w:rFonts w:cs="Arial"/>
                <w:color w:val="000000"/>
                <w:sz w:val="20"/>
                <w:szCs w:val="20"/>
                <w:lang w:eastAsia="fr-FR"/>
              </w:rPr>
              <w:t>7,41</w:t>
            </w:r>
          </w:p>
        </w:tc>
        <w:tc>
          <w:tcPr>
            <w:tcW w:w="1604" w:type="dxa"/>
            <w:tcBorders>
              <w:top w:val="nil"/>
              <w:left w:val="nil"/>
              <w:bottom w:val="single" w:sz="4" w:space="0" w:color="auto"/>
              <w:right w:val="single" w:sz="4" w:space="0" w:color="auto"/>
            </w:tcBorders>
            <w:shd w:val="clear" w:color="auto" w:fill="auto"/>
            <w:noWrap/>
            <w:vAlign w:val="center"/>
            <w:hideMark/>
          </w:tcPr>
          <w:p w14:paraId="60841D00" w14:textId="77777777" w:rsidR="00294B8E" w:rsidRPr="00A9330B" w:rsidRDefault="00294B8E" w:rsidP="00F561A7">
            <w:pPr>
              <w:spacing w:before="60" w:line="240" w:lineRule="auto"/>
              <w:jc w:val="center"/>
              <w:rPr>
                <w:rFonts w:cs="Arial"/>
                <w:color w:val="000000"/>
                <w:sz w:val="20"/>
                <w:szCs w:val="20"/>
                <w:lang w:eastAsia="fr-FR"/>
              </w:rPr>
            </w:pPr>
            <w:r w:rsidRPr="00A9330B">
              <w:rPr>
                <w:rFonts w:cs="Arial"/>
                <w:color w:val="000000"/>
                <w:sz w:val="20"/>
                <w:szCs w:val="20"/>
                <w:lang w:eastAsia="fr-FR"/>
              </w:rPr>
              <w:t>32,10</w:t>
            </w:r>
          </w:p>
        </w:tc>
      </w:tr>
      <w:tr w:rsidR="00294B8E" w:rsidRPr="00A9330B" w14:paraId="0CB5D98B" w14:textId="77777777" w:rsidTr="00294B8E">
        <w:trPr>
          <w:trHeight w:val="314"/>
          <w:jc w:val="center"/>
        </w:trPr>
        <w:tc>
          <w:tcPr>
            <w:tcW w:w="1604" w:type="dxa"/>
            <w:tcBorders>
              <w:top w:val="nil"/>
              <w:left w:val="single" w:sz="4" w:space="0" w:color="auto"/>
              <w:bottom w:val="single" w:sz="4" w:space="0" w:color="auto"/>
              <w:right w:val="single" w:sz="4" w:space="0" w:color="auto"/>
            </w:tcBorders>
            <w:shd w:val="clear" w:color="auto" w:fill="auto"/>
            <w:noWrap/>
            <w:vAlign w:val="center"/>
            <w:hideMark/>
          </w:tcPr>
          <w:p w14:paraId="4DAA0753" w14:textId="77777777" w:rsidR="00294B8E" w:rsidRPr="00A9330B" w:rsidRDefault="00294B8E" w:rsidP="00F561A7">
            <w:pPr>
              <w:spacing w:before="60" w:line="240" w:lineRule="auto"/>
              <w:jc w:val="center"/>
              <w:rPr>
                <w:rFonts w:cs="Arial"/>
                <w:color w:val="000000"/>
                <w:sz w:val="20"/>
                <w:szCs w:val="20"/>
                <w:lang w:eastAsia="fr-FR"/>
              </w:rPr>
            </w:pPr>
            <w:r w:rsidRPr="00A9330B">
              <w:rPr>
                <w:rFonts w:cs="Arial"/>
                <w:color w:val="000000"/>
                <w:sz w:val="20"/>
                <w:szCs w:val="20"/>
                <w:lang w:eastAsia="fr-FR"/>
              </w:rPr>
              <w:t>+ de 60 ans</w:t>
            </w:r>
          </w:p>
        </w:tc>
        <w:tc>
          <w:tcPr>
            <w:tcW w:w="1604" w:type="dxa"/>
            <w:tcBorders>
              <w:top w:val="nil"/>
              <w:left w:val="nil"/>
              <w:bottom w:val="single" w:sz="4" w:space="0" w:color="auto"/>
              <w:right w:val="single" w:sz="4" w:space="0" w:color="auto"/>
            </w:tcBorders>
            <w:shd w:val="clear" w:color="auto" w:fill="auto"/>
            <w:noWrap/>
            <w:vAlign w:val="center"/>
            <w:hideMark/>
          </w:tcPr>
          <w:p w14:paraId="0EE7E2A2" w14:textId="77777777" w:rsidR="00294B8E" w:rsidRPr="00A9330B" w:rsidRDefault="00294B8E" w:rsidP="00F561A7">
            <w:pPr>
              <w:spacing w:before="60" w:line="240" w:lineRule="auto"/>
              <w:jc w:val="center"/>
              <w:rPr>
                <w:rFonts w:cs="Arial"/>
                <w:color w:val="000000"/>
                <w:sz w:val="20"/>
                <w:szCs w:val="20"/>
                <w:lang w:eastAsia="fr-FR"/>
              </w:rPr>
            </w:pPr>
            <w:r w:rsidRPr="00A9330B">
              <w:rPr>
                <w:rFonts w:cs="Arial"/>
                <w:color w:val="000000"/>
                <w:sz w:val="20"/>
                <w:szCs w:val="20"/>
                <w:lang w:eastAsia="fr-FR"/>
              </w:rPr>
              <w:t>9,14</w:t>
            </w:r>
          </w:p>
        </w:tc>
        <w:tc>
          <w:tcPr>
            <w:tcW w:w="1604" w:type="dxa"/>
            <w:tcBorders>
              <w:top w:val="nil"/>
              <w:left w:val="nil"/>
              <w:bottom w:val="single" w:sz="4" w:space="0" w:color="auto"/>
              <w:right w:val="single" w:sz="4" w:space="0" w:color="auto"/>
            </w:tcBorders>
            <w:shd w:val="clear" w:color="auto" w:fill="auto"/>
            <w:noWrap/>
            <w:vAlign w:val="center"/>
            <w:hideMark/>
          </w:tcPr>
          <w:p w14:paraId="70EE0E68" w14:textId="77777777" w:rsidR="00294B8E" w:rsidRPr="00A9330B" w:rsidRDefault="00294B8E" w:rsidP="00F561A7">
            <w:pPr>
              <w:spacing w:before="60" w:line="240" w:lineRule="auto"/>
              <w:jc w:val="center"/>
              <w:rPr>
                <w:rFonts w:cs="Arial"/>
                <w:color w:val="000000"/>
                <w:sz w:val="20"/>
                <w:szCs w:val="20"/>
                <w:lang w:eastAsia="fr-FR"/>
              </w:rPr>
            </w:pPr>
            <w:r w:rsidRPr="00A9330B">
              <w:rPr>
                <w:rFonts w:cs="Arial"/>
                <w:color w:val="000000"/>
                <w:sz w:val="20"/>
                <w:szCs w:val="20"/>
                <w:lang w:eastAsia="fr-FR"/>
              </w:rPr>
              <w:t>3,46</w:t>
            </w:r>
          </w:p>
        </w:tc>
        <w:tc>
          <w:tcPr>
            <w:tcW w:w="1604" w:type="dxa"/>
            <w:tcBorders>
              <w:top w:val="nil"/>
              <w:left w:val="nil"/>
              <w:bottom w:val="single" w:sz="4" w:space="0" w:color="auto"/>
              <w:right w:val="single" w:sz="4" w:space="0" w:color="auto"/>
            </w:tcBorders>
            <w:shd w:val="clear" w:color="auto" w:fill="auto"/>
            <w:noWrap/>
            <w:vAlign w:val="center"/>
            <w:hideMark/>
          </w:tcPr>
          <w:p w14:paraId="77AB9667" w14:textId="77777777" w:rsidR="00294B8E" w:rsidRPr="00A9330B" w:rsidRDefault="00294B8E" w:rsidP="00F561A7">
            <w:pPr>
              <w:spacing w:before="60" w:line="240" w:lineRule="auto"/>
              <w:jc w:val="center"/>
              <w:rPr>
                <w:rFonts w:cs="Arial"/>
                <w:color w:val="000000"/>
                <w:sz w:val="20"/>
                <w:szCs w:val="20"/>
                <w:lang w:eastAsia="fr-FR"/>
              </w:rPr>
            </w:pPr>
            <w:r w:rsidRPr="00A9330B">
              <w:rPr>
                <w:rFonts w:cs="Arial"/>
                <w:color w:val="000000"/>
                <w:sz w:val="20"/>
                <w:szCs w:val="20"/>
                <w:lang w:eastAsia="fr-FR"/>
              </w:rPr>
              <w:t>12,59</w:t>
            </w:r>
          </w:p>
        </w:tc>
      </w:tr>
      <w:tr w:rsidR="00294B8E" w:rsidRPr="00A9330B" w14:paraId="58EE81A5" w14:textId="77777777" w:rsidTr="00294B8E">
        <w:trPr>
          <w:trHeight w:val="314"/>
          <w:jc w:val="center"/>
        </w:trPr>
        <w:tc>
          <w:tcPr>
            <w:tcW w:w="1604" w:type="dxa"/>
            <w:tcBorders>
              <w:top w:val="nil"/>
              <w:left w:val="single" w:sz="4" w:space="0" w:color="auto"/>
              <w:bottom w:val="single" w:sz="4" w:space="0" w:color="auto"/>
              <w:right w:val="single" w:sz="4" w:space="0" w:color="auto"/>
            </w:tcBorders>
            <w:shd w:val="clear" w:color="auto" w:fill="auto"/>
            <w:noWrap/>
            <w:vAlign w:val="center"/>
            <w:hideMark/>
          </w:tcPr>
          <w:p w14:paraId="3767612B" w14:textId="77777777" w:rsidR="00294B8E" w:rsidRPr="00A9330B" w:rsidRDefault="00294B8E" w:rsidP="00F561A7">
            <w:pPr>
              <w:spacing w:before="60" w:line="240" w:lineRule="auto"/>
              <w:jc w:val="center"/>
              <w:rPr>
                <w:rFonts w:cs="Arial"/>
                <w:b/>
                <w:bCs/>
                <w:color w:val="000000"/>
                <w:sz w:val="20"/>
                <w:szCs w:val="20"/>
                <w:lang w:eastAsia="fr-FR"/>
              </w:rPr>
            </w:pPr>
            <w:r w:rsidRPr="00A9330B">
              <w:rPr>
                <w:rFonts w:cs="Arial"/>
                <w:b/>
                <w:bCs/>
                <w:color w:val="000000"/>
                <w:sz w:val="20"/>
                <w:szCs w:val="20"/>
                <w:lang w:eastAsia="fr-FR"/>
              </w:rPr>
              <w:t>Total</w:t>
            </w:r>
          </w:p>
        </w:tc>
        <w:tc>
          <w:tcPr>
            <w:tcW w:w="1604" w:type="dxa"/>
            <w:tcBorders>
              <w:top w:val="nil"/>
              <w:left w:val="nil"/>
              <w:bottom w:val="single" w:sz="4" w:space="0" w:color="auto"/>
              <w:right w:val="single" w:sz="4" w:space="0" w:color="auto"/>
            </w:tcBorders>
            <w:shd w:val="clear" w:color="auto" w:fill="auto"/>
            <w:noWrap/>
            <w:vAlign w:val="center"/>
            <w:hideMark/>
          </w:tcPr>
          <w:p w14:paraId="140786E4" w14:textId="77777777" w:rsidR="00294B8E" w:rsidRPr="00A9330B" w:rsidRDefault="00294B8E" w:rsidP="00F561A7">
            <w:pPr>
              <w:spacing w:before="60" w:line="240" w:lineRule="auto"/>
              <w:jc w:val="center"/>
              <w:rPr>
                <w:rFonts w:cs="Arial"/>
                <w:b/>
                <w:bCs/>
                <w:color w:val="000000"/>
                <w:sz w:val="20"/>
                <w:szCs w:val="20"/>
                <w:lang w:eastAsia="fr-FR"/>
              </w:rPr>
            </w:pPr>
            <w:r w:rsidRPr="00A9330B">
              <w:rPr>
                <w:rFonts w:cs="Arial"/>
                <w:b/>
                <w:bCs/>
                <w:color w:val="000000"/>
                <w:sz w:val="20"/>
                <w:szCs w:val="20"/>
                <w:lang w:eastAsia="fr-FR"/>
              </w:rPr>
              <w:t>75,06</w:t>
            </w:r>
          </w:p>
        </w:tc>
        <w:tc>
          <w:tcPr>
            <w:tcW w:w="1604" w:type="dxa"/>
            <w:tcBorders>
              <w:top w:val="nil"/>
              <w:left w:val="nil"/>
              <w:bottom w:val="single" w:sz="4" w:space="0" w:color="auto"/>
              <w:right w:val="single" w:sz="4" w:space="0" w:color="auto"/>
            </w:tcBorders>
            <w:shd w:val="clear" w:color="auto" w:fill="auto"/>
            <w:noWrap/>
            <w:vAlign w:val="center"/>
            <w:hideMark/>
          </w:tcPr>
          <w:p w14:paraId="7FCE8B40" w14:textId="77777777" w:rsidR="00294B8E" w:rsidRPr="00A9330B" w:rsidRDefault="00294B8E" w:rsidP="00F561A7">
            <w:pPr>
              <w:spacing w:before="60" w:line="240" w:lineRule="auto"/>
              <w:jc w:val="center"/>
              <w:rPr>
                <w:rFonts w:cs="Arial"/>
                <w:b/>
                <w:bCs/>
                <w:color w:val="000000"/>
                <w:sz w:val="20"/>
                <w:szCs w:val="20"/>
                <w:lang w:eastAsia="fr-FR"/>
              </w:rPr>
            </w:pPr>
            <w:r w:rsidRPr="00A9330B">
              <w:rPr>
                <w:rFonts w:cs="Arial"/>
                <w:b/>
                <w:bCs/>
                <w:color w:val="000000"/>
                <w:sz w:val="20"/>
                <w:szCs w:val="20"/>
                <w:lang w:eastAsia="fr-FR"/>
              </w:rPr>
              <w:t>24,94</w:t>
            </w:r>
          </w:p>
        </w:tc>
        <w:tc>
          <w:tcPr>
            <w:tcW w:w="1604" w:type="dxa"/>
            <w:tcBorders>
              <w:top w:val="nil"/>
              <w:left w:val="nil"/>
              <w:bottom w:val="single" w:sz="4" w:space="0" w:color="auto"/>
              <w:right w:val="single" w:sz="4" w:space="0" w:color="auto"/>
            </w:tcBorders>
            <w:shd w:val="clear" w:color="auto" w:fill="auto"/>
            <w:noWrap/>
            <w:vAlign w:val="center"/>
            <w:hideMark/>
          </w:tcPr>
          <w:p w14:paraId="31C11FD2" w14:textId="77777777" w:rsidR="00294B8E" w:rsidRPr="00A9330B" w:rsidRDefault="00294B8E" w:rsidP="00F561A7">
            <w:pPr>
              <w:spacing w:before="60" w:line="240" w:lineRule="auto"/>
              <w:jc w:val="center"/>
              <w:rPr>
                <w:rFonts w:cs="Arial"/>
                <w:b/>
                <w:bCs/>
                <w:color w:val="000000"/>
                <w:sz w:val="20"/>
                <w:szCs w:val="20"/>
                <w:lang w:eastAsia="fr-FR"/>
              </w:rPr>
            </w:pPr>
            <w:r w:rsidRPr="00A9330B">
              <w:rPr>
                <w:rFonts w:cs="Arial"/>
                <w:b/>
                <w:bCs/>
                <w:color w:val="000000"/>
                <w:sz w:val="20"/>
                <w:szCs w:val="20"/>
                <w:lang w:eastAsia="fr-FR"/>
              </w:rPr>
              <w:t>100</w:t>
            </w:r>
          </w:p>
        </w:tc>
      </w:tr>
    </w:tbl>
    <w:p w14:paraId="1AEDD846" w14:textId="77777777" w:rsidR="00350C9E" w:rsidRPr="00A9330B" w:rsidRDefault="00350C9E" w:rsidP="00350C9E">
      <w:pPr>
        <w:spacing w:after="60" w:line="276" w:lineRule="auto"/>
        <w:ind w:firstLine="708"/>
        <w:jc w:val="center"/>
        <w:rPr>
          <w:rFonts w:eastAsia="Times New Roman" w:cs="Times New Roman"/>
          <w:b/>
          <w:color w:val="auto"/>
          <w:sz w:val="20"/>
          <w:szCs w:val="20"/>
          <w:lang w:eastAsia="de-DE"/>
        </w:rPr>
      </w:pPr>
      <w:r w:rsidRPr="00A9330B">
        <w:rPr>
          <w:rFonts w:eastAsia="Times New Roman" w:cs="Times New Roman"/>
          <w:b/>
          <w:color w:val="auto"/>
          <w:sz w:val="20"/>
          <w:szCs w:val="20"/>
          <w:lang w:eastAsia="de-DE"/>
        </w:rPr>
        <w:t>Source : Enquête de terrain, juin 2020</w:t>
      </w:r>
    </w:p>
    <w:p w14:paraId="318EB80B" w14:textId="421CDA4F" w:rsidR="00350C9E" w:rsidRPr="00A9330B" w:rsidRDefault="001777E6" w:rsidP="000566F0">
      <w:pPr>
        <w:spacing w:after="60" w:line="276" w:lineRule="auto"/>
        <w:jc w:val="center"/>
        <w:rPr>
          <w:rFonts w:eastAsia="Times New Roman" w:cs="Arial"/>
          <w:b/>
          <w:color w:val="000000"/>
          <w:sz w:val="20"/>
          <w:szCs w:val="20"/>
        </w:rPr>
      </w:pPr>
      <w:bookmarkStart w:id="2029" w:name="_Toc52873785"/>
      <w:r w:rsidRPr="00A9330B">
        <w:rPr>
          <w:b/>
          <w:sz w:val="20"/>
          <w:szCs w:val="20"/>
        </w:rPr>
        <w:t xml:space="preserve">Tableau </w:t>
      </w:r>
      <w:r w:rsidRPr="00A9330B">
        <w:rPr>
          <w:b/>
          <w:sz w:val="20"/>
          <w:szCs w:val="20"/>
        </w:rPr>
        <w:fldChar w:fldCharType="begin"/>
      </w:r>
      <w:r w:rsidRPr="00A9330B">
        <w:rPr>
          <w:b/>
          <w:sz w:val="20"/>
          <w:szCs w:val="20"/>
        </w:rPr>
        <w:instrText xml:space="preserve"> SEQ Tableau \* ARABIC </w:instrText>
      </w:r>
      <w:r w:rsidRPr="00A9330B">
        <w:rPr>
          <w:b/>
          <w:sz w:val="20"/>
          <w:szCs w:val="20"/>
        </w:rPr>
        <w:fldChar w:fldCharType="separate"/>
      </w:r>
      <w:r w:rsidR="00340594" w:rsidRPr="00A9330B">
        <w:rPr>
          <w:b/>
          <w:noProof/>
          <w:sz w:val="20"/>
          <w:szCs w:val="20"/>
        </w:rPr>
        <w:t>61</w:t>
      </w:r>
      <w:r w:rsidRPr="00A9330B">
        <w:rPr>
          <w:b/>
          <w:sz w:val="20"/>
          <w:szCs w:val="20"/>
        </w:rPr>
        <w:fldChar w:fldCharType="end"/>
      </w:r>
      <w:r w:rsidRPr="00A9330B">
        <w:rPr>
          <w:b/>
          <w:sz w:val="20"/>
          <w:szCs w:val="20"/>
        </w:rPr>
        <w:t xml:space="preserve"> </w:t>
      </w:r>
      <w:r w:rsidRPr="00A9330B">
        <w:rPr>
          <w:b/>
          <w:color w:val="000000"/>
          <w:sz w:val="20"/>
          <w:szCs w:val="20"/>
        </w:rPr>
        <w:t xml:space="preserve">: </w:t>
      </w:r>
      <w:r w:rsidR="00350C9E" w:rsidRPr="00A9330B">
        <w:rPr>
          <w:rFonts w:eastAsia="Times New Roman" w:cs="Arial"/>
          <w:b/>
          <w:color w:val="000000"/>
          <w:sz w:val="20"/>
          <w:szCs w:val="20"/>
        </w:rPr>
        <w:t>Statut social des PAP</w:t>
      </w:r>
      <w:bookmarkEnd w:id="2029"/>
    </w:p>
    <w:tbl>
      <w:tblPr>
        <w:tblW w:w="5832" w:type="dxa"/>
        <w:jc w:val="center"/>
        <w:tblCellMar>
          <w:left w:w="70" w:type="dxa"/>
          <w:right w:w="70" w:type="dxa"/>
        </w:tblCellMar>
        <w:tblLook w:val="04A0" w:firstRow="1" w:lastRow="0" w:firstColumn="1" w:lastColumn="0" w:noHBand="0" w:noVBand="1"/>
      </w:tblPr>
      <w:tblGrid>
        <w:gridCol w:w="1458"/>
        <w:gridCol w:w="1458"/>
        <w:gridCol w:w="1458"/>
        <w:gridCol w:w="1458"/>
      </w:tblGrid>
      <w:tr w:rsidR="00294B8E" w:rsidRPr="00A9330B" w14:paraId="537059C5" w14:textId="77777777" w:rsidTr="00294B8E">
        <w:trPr>
          <w:trHeight w:val="329"/>
          <w:jc w:val="center"/>
        </w:trPr>
        <w:tc>
          <w:tcPr>
            <w:tcW w:w="14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120DBC" w14:textId="77777777" w:rsidR="00294B8E" w:rsidRPr="00A9330B" w:rsidRDefault="00294B8E" w:rsidP="00F561A7">
            <w:pPr>
              <w:spacing w:line="240" w:lineRule="auto"/>
              <w:jc w:val="center"/>
              <w:rPr>
                <w:rFonts w:cs="Arial"/>
                <w:b/>
                <w:bCs/>
                <w:color w:val="000000"/>
                <w:sz w:val="20"/>
                <w:szCs w:val="20"/>
                <w:lang w:eastAsia="fr-FR"/>
              </w:rPr>
            </w:pPr>
            <w:r w:rsidRPr="00A9330B">
              <w:rPr>
                <w:rFonts w:cs="Arial"/>
                <w:b/>
                <w:bCs/>
                <w:color w:val="000000"/>
                <w:sz w:val="20"/>
                <w:szCs w:val="20"/>
                <w:lang w:eastAsia="fr-FR"/>
              </w:rPr>
              <w:t>Statuts</w:t>
            </w:r>
          </w:p>
        </w:tc>
        <w:tc>
          <w:tcPr>
            <w:tcW w:w="1458" w:type="dxa"/>
            <w:tcBorders>
              <w:top w:val="single" w:sz="4" w:space="0" w:color="auto"/>
              <w:left w:val="nil"/>
              <w:bottom w:val="single" w:sz="4" w:space="0" w:color="auto"/>
              <w:right w:val="single" w:sz="4" w:space="0" w:color="auto"/>
            </w:tcBorders>
            <w:shd w:val="clear" w:color="auto" w:fill="00B0F0"/>
            <w:noWrap/>
            <w:vAlign w:val="center"/>
            <w:hideMark/>
          </w:tcPr>
          <w:p w14:paraId="3DA5B146" w14:textId="77777777" w:rsidR="00294B8E" w:rsidRPr="00A9330B" w:rsidRDefault="00294B8E" w:rsidP="00F561A7">
            <w:pPr>
              <w:spacing w:line="240" w:lineRule="auto"/>
              <w:jc w:val="center"/>
              <w:rPr>
                <w:rFonts w:cs="Arial"/>
                <w:b/>
                <w:bCs/>
                <w:color w:val="000000"/>
                <w:sz w:val="20"/>
                <w:szCs w:val="20"/>
                <w:lang w:eastAsia="fr-FR"/>
              </w:rPr>
            </w:pPr>
            <w:r w:rsidRPr="00A9330B">
              <w:rPr>
                <w:rFonts w:cs="Arial"/>
                <w:b/>
                <w:bCs/>
                <w:color w:val="000000"/>
                <w:sz w:val="20"/>
                <w:szCs w:val="20"/>
                <w:lang w:eastAsia="fr-FR"/>
              </w:rPr>
              <w:t>Homme %</w:t>
            </w:r>
          </w:p>
        </w:tc>
        <w:tc>
          <w:tcPr>
            <w:tcW w:w="1458" w:type="dxa"/>
            <w:tcBorders>
              <w:top w:val="single" w:sz="4" w:space="0" w:color="auto"/>
              <w:left w:val="nil"/>
              <w:bottom w:val="single" w:sz="4" w:space="0" w:color="auto"/>
              <w:right w:val="single" w:sz="4" w:space="0" w:color="auto"/>
            </w:tcBorders>
            <w:shd w:val="clear" w:color="000000" w:fill="E26B0A"/>
            <w:noWrap/>
            <w:vAlign w:val="center"/>
            <w:hideMark/>
          </w:tcPr>
          <w:p w14:paraId="188EAB51" w14:textId="77777777" w:rsidR="00294B8E" w:rsidRPr="00A9330B" w:rsidRDefault="00294B8E" w:rsidP="00F561A7">
            <w:pPr>
              <w:spacing w:line="240" w:lineRule="auto"/>
              <w:jc w:val="center"/>
              <w:rPr>
                <w:rFonts w:cs="Arial"/>
                <w:b/>
                <w:bCs/>
                <w:color w:val="000000"/>
                <w:sz w:val="20"/>
                <w:szCs w:val="20"/>
                <w:lang w:eastAsia="fr-FR"/>
              </w:rPr>
            </w:pPr>
            <w:r w:rsidRPr="00A9330B">
              <w:rPr>
                <w:rFonts w:cs="Arial"/>
                <w:b/>
                <w:bCs/>
                <w:color w:val="000000"/>
                <w:sz w:val="20"/>
                <w:szCs w:val="20"/>
                <w:lang w:eastAsia="fr-FR"/>
              </w:rPr>
              <w:t>Femme %</w:t>
            </w:r>
          </w:p>
        </w:tc>
        <w:tc>
          <w:tcPr>
            <w:tcW w:w="1458" w:type="dxa"/>
            <w:tcBorders>
              <w:top w:val="single" w:sz="4" w:space="0" w:color="auto"/>
              <w:left w:val="nil"/>
              <w:bottom w:val="single" w:sz="4" w:space="0" w:color="auto"/>
              <w:right w:val="single" w:sz="4" w:space="0" w:color="auto"/>
            </w:tcBorders>
            <w:shd w:val="clear" w:color="auto" w:fill="auto"/>
            <w:noWrap/>
            <w:vAlign w:val="center"/>
            <w:hideMark/>
          </w:tcPr>
          <w:p w14:paraId="344EF095" w14:textId="77777777" w:rsidR="00294B8E" w:rsidRPr="00A9330B" w:rsidRDefault="00294B8E" w:rsidP="00F561A7">
            <w:pPr>
              <w:spacing w:line="240" w:lineRule="auto"/>
              <w:jc w:val="center"/>
              <w:rPr>
                <w:rFonts w:cs="Arial"/>
                <w:b/>
                <w:bCs/>
                <w:color w:val="000000"/>
                <w:sz w:val="20"/>
                <w:szCs w:val="20"/>
                <w:lang w:eastAsia="fr-FR"/>
              </w:rPr>
            </w:pPr>
            <w:r w:rsidRPr="00A9330B">
              <w:rPr>
                <w:rFonts w:cs="Arial"/>
                <w:b/>
                <w:bCs/>
                <w:color w:val="000000"/>
                <w:sz w:val="20"/>
                <w:szCs w:val="20"/>
                <w:lang w:eastAsia="fr-FR"/>
              </w:rPr>
              <w:t>%</w:t>
            </w:r>
          </w:p>
        </w:tc>
      </w:tr>
      <w:tr w:rsidR="00294B8E" w:rsidRPr="00A9330B" w14:paraId="219670D7" w14:textId="77777777" w:rsidTr="00294B8E">
        <w:trPr>
          <w:trHeight w:val="329"/>
          <w:jc w:val="center"/>
        </w:trPr>
        <w:tc>
          <w:tcPr>
            <w:tcW w:w="1458" w:type="dxa"/>
            <w:tcBorders>
              <w:top w:val="nil"/>
              <w:left w:val="single" w:sz="4" w:space="0" w:color="auto"/>
              <w:bottom w:val="single" w:sz="4" w:space="0" w:color="auto"/>
              <w:right w:val="single" w:sz="4" w:space="0" w:color="auto"/>
            </w:tcBorders>
            <w:shd w:val="clear" w:color="auto" w:fill="auto"/>
            <w:noWrap/>
            <w:vAlign w:val="center"/>
            <w:hideMark/>
          </w:tcPr>
          <w:p w14:paraId="1830CC03" w14:textId="77777777" w:rsidR="00294B8E" w:rsidRPr="00A9330B" w:rsidRDefault="00294B8E" w:rsidP="00F561A7">
            <w:pPr>
              <w:spacing w:line="240" w:lineRule="auto"/>
              <w:jc w:val="center"/>
              <w:rPr>
                <w:rFonts w:cs="Arial"/>
                <w:b/>
                <w:bCs/>
                <w:color w:val="000000"/>
                <w:sz w:val="20"/>
                <w:szCs w:val="20"/>
                <w:lang w:eastAsia="fr-FR"/>
              </w:rPr>
            </w:pPr>
            <w:r w:rsidRPr="00A9330B">
              <w:rPr>
                <w:rFonts w:cs="Arial"/>
                <w:b/>
                <w:bCs/>
                <w:color w:val="000000"/>
                <w:sz w:val="20"/>
                <w:szCs w:val="20"/>
                <w:lang w:eastAsia="fr-FR"/>
              </w:rPr>
              <w:t>Marié</w:t>
            </w:r>
          </w:p>
        </w:tc>
        <w:tc>
          <w:tcPr>
            <w:tcW w:w="1458" w:type="dxa"/>
            <w:tcBorders>
              <w:top w:val="nil"/>
              <w:left w:val="nil"/>
              <w:bottom w:val="single" w:sz="4" w:space="0" w:color="auto"/>
              <w:right w:val="single" w:sz="4" w:space="0" w:color="auto"/>
            </w:tcBorders>
            <w:shd w:val="clear" w:color="auto" w:fill="auto"/>
            <w:noWrap/>
            <w:vAlign w:val="center"/>
            <w:hideMark/>
          </w:tcPr>
          <w:p w14:paraId="230F42B8" w14:textId="77777777" w:rsidR="00294B8E" w:rsidRPr="00A9330B" w:rsidRDefault="00294B8E" w:rsidP="00F561A7">
            <w:pPr>
              <w:spacing w:line="240" w:lineRule="auto"/>
              <w:jc w:val="center"/>
              <w:rPr>
                <w:rFonts w:cs="Arial"/>
                <w:color w:val="000000"/>
                <w:sz w:val="20"/>
                <w:szCs w:val="20"/>
                <w:lang w:eastAsia="fr-FR"/>
              </w:rPr>
            </w:pPr>
            <w:r w:rsidRPr="00A9330B">
              <w:rPr>
                <w:rFonts w:cs="Arial"/>
                <w:color w:val="000000"/>
                <w:sz w:val="20"/>
                <w:szCs w:val="20"/>
                <w:lang w:eastAsia="fr-FR"/>
              </w:rPr>
              <w:t>56,25</w:t>
            </w:r>
          </w:p>
        </w:tc>
        <w:tc>
          <w:tcPr>
            <w:tcW w:w="1458" w:type="dxa"/>
            <w:tcBorders>
              <w:top w:val="nil"/>
              <w:left w:val="nil"/>
              <w:bottom w:val="single" w:sz="4" w:space="0" w:color="auto"/>
              <w:right w:val="single" w:sz="4" w:space="0" w:color="auto"/>
            </w:tcBorders>
            <w:shd w:val="clear" w:color="auto" w:fill="auto"/>
            <w:noWrap/>
            <w:vAlign w:val="center"/>
            <w:hideMark/>
          </w:tcPr>
          <w:p w14:paraId="1B7F4617" w14:textId="77777777" w:rsidR="00294B8E" w:rsidRPr="00A9330B" w:rsidRDefault="00294B8E" w:rsidP="00F561A7">
            <w:pPr>
              <w:spacing w:line="240" w:lineRule="auto"/>
              <w:jc w:val="center"/>
              <w:rPr>
                <w:rFonts w:cs="Arial"/>
                <w:color w:val="000000"/>
                <w:sz w:val="20"/>
                <w:szCs w:val="20"/>
                <w:lang w:eastAsia="fr-FR"/>
              </w:rPr>
            </w:pPr>
            <w:r w:rsidRPr="00A9330B">
              <w:rPr>
                <w:rFonts w:cs="Arial"/>
                <w:color w:val="000000"/>
                <w:sz w:val="20"/>
                <w:szCs w:val="20"/>
                <w:lang w:eastAsia="fr-FR"/>
              </w:rPr>
              <w:t>14,44</w:t>
            </w:r>
          </w:p>
        </w:tc>
        <w:tc>
          <w:tcPr>
            <w:tcW w:w="1458" w:type="dxa"/>
            <w:tcBorders>
              <w:top w:val="nil"/>
              <w:left w:val="nil"/>
              <w:bottom w:val="single" w:sz="4" w:space="0" w:color="auto"/>
              <w:right w:val="single" w:sz="4" w:space="0" w:color="auto"/>
            </w:tcBorders>
            <w:shd w:val="clear" w:color="auto" w:fill="auto"/>
            <w:noWrap/>
            <w:vAlign w:val="center"/>
            <w:hideMark/>
          </w:tcPr>
          <w:p w14:paraId="7CB0B180" w14:textId="77777777" w:rsidR="00294B8E" w:rsidRPr="00A9330B" w:rsidRDefault="00294B8E" w:rsidP="00F561A7">
            <w:pPr>
              <w:spacing w:line="240" w:lineRule="auto"/>
              <w:jc w:val="center"/>
              <w:rPr>
                <w:rFonts w:cs="Arial"/>
                <w:color w:val="000000"/>
                <w:sz w:val="20"/>
                <w:szCs w:val="20"/>
                <w:lang w:eastAsia="fr-FR"/>
              </w:rPr>
            </w:pPr>
            <w:r w:rsidRPr="00A9330B">
              <w:rPr>
                <w:rFonts w:cs="Arial"/>
                <w:color w:val="000000"/>
                <w:sz w:val="20"/>
                <w:szCs w:val="20"/>
                <w:lang w:eastAsia="fr-FR"/>
              </w:rPr>
              <w:t>70,69</w:t>
            </w:r>
          </w:p>
        </w:tc>
      </w:tr>
      <w:tr w:rsidR="00294B8E" w:rsidRPr="00A9330B" w14:paraId="4C3273F3" w14:textId="77777777" w:rsidTr="00294B8E">
        <w:trPr>
          <w:trHeight w:val="329"/>
          <w:jc w:val="center"/>
        </w:trPr>
        <w:tc>
          <w:tcPr>
            <w:tcW w:w="1458" w:type="dxa"/>
            <w:tcBorders>
              <w:top w:val="nil"/>
              <w:left w:val="single" w:sz="4" w:space="0" w:color="auto"/>
              <w:bottom w:val="single" w:sz="4" w:space="0" w:color="auto"/>
              <w:right w:val="single" w:sz="4" w:space="0" w:color="auto"/>
            </w:tcBorders>
            <w:shd w:val="clear" w:color="auto" w:fill="auto"/>
            <w:noWrap/>
            <w:vAlign w:val="center"/>
            <w:hideMark/>
          </w:tcPr>
          <w:p w14:paraId="2373ACF7" w14:textId="77777777" w:rsidR="00294B8E" w:rsidRPr="00A9330B" w:rsidRDefault="00294B8E" w:rsidP="00F561A7">
            <w:pPr>
              <w:spacing w:line="240" w:lineRule="auto"/>
              <w:jc w:val="center"/>
              <w:rPr>
                <w:rFonts w:cs="Arial"/>
                <w:b/>
                <w:bCs/>
                <w:color w:val="000000"/>
                <w:sz w:val="20"/>
                <w:szCs w:val="20"/>
                <w:lang w:eastAsia="fr-FR"/>
              </w:rPr>
            </w:pPr>
            <w:r w:rsidRPr="00A9330B">
              <w:rPr>
                <w:rFonts w:cs="Arial"/>
                <w:b/>
                <w:bCs/>
                <w:color w:val="000000"/>
                <w:sz w:val="20"/>
                <w:szCs w:val="20"/>
                <w:lang w:eastAsia="fr-FR"/>
              </w:rPr>
              <w:t>Célibataire</w:t>
            </w:r>
          </w:p>
        </w:tc>
        <w:tc>
          <w:tcPr>
            <w:tcW w:w="1458" w:type="dxa"/>
            <w:tcBorders>
              <w:top w:val="nil"/>
              <w:left w:val="nil"/>
              <w:bottom w:val="single" w:sz="4" w:space="0" w:color="auto"/>
              <w:right w:val="single" w:sz="4" w:space="0" w:color="auto"/>
            </w:tcBorders>
            <w:shd w:val="clear" w:color="auto" w:fill="auto"/>
            <w:noWrap/>
            <w:vAlign w:val="center"/>
            <w:hideMark/>
          </w:tcPr>
          <w:p w14:paraId="27BF56CD" w14:textId="77777777" w:rsidR="00294B8E" w:rsidRPr="00A9330B" w:rsidRDefault="00294B8E" w:rsidP="00F561A7">
            <w:pPr>
              <w:spacing w:line="240" w:lineRule="auto"/>
              <w:jc w:val="center"/>
              <w:rPr>
                <w:rFonts w:cs="Arial"/>
                <w:color w:val="000000"/>
                <w:sz w:val="20"/>
                <w:szCs w:val="20"/>
                <w:lang w:eastAsia="fr-FR"/>
              </w:rPr>
            </w:pPr>
            <w:r w:rsidRPr="00A9330B">
              <w:rPr>
                <w:rFonts w:cs="Arial"/>
                <w:color w:val="000000"/>
                <w:sz w:val="20"/>
                <w:szCs w:val="20"/>
                <w:lang w:eastAsia="fr-FR"/>
              </w:rPr>
              <w:t>8,41</w:t>
            </w:r>
          </w:p>
        </w:tc>
        <w:tc>
          <w:tcPr>
            <w:tcW w:w="1458" w:type="dxa"/>
            <w:tcBorders>
              <w:top w:val="nil"/>
              <w:left w:val="nil"/>
              <w:bottom w:val="single" w:sz="4" w:space="0" w:color="auto"/>
              <w:right w:val="single" w:sz="4" w:space="0" w:color="auto"/>
            </w:tcBorders>
            <w:shd w:val="clear" w:color="auto" w:fill="auto"/>
            <w:noWrap/>
            <w:vAlign w:val="center"/>
            <w:hideMark/>
          </w:tcPr>
          <w:p w14:paraId="7271AC7E" w14:textId="77777777" w:rsidR="00294B8E" w:rsidRPr="00A9330B" w:rsidRDefault="00294B8E" w:rsidP="00F561A7">
            <w:pPr>
              <w:spacing w:line="240" w:lineRule="auto"/>
              <w:jc w:val="center"/>
              <w:rPr>
                <w:rFonts w:cs="Arial"/>
                <w:color w:val="000000"/>
                <w:sz w:val="20"/>
                <w:szCs w:val="20"/>
                <w:lang w:eastAsia="fr-FR"/>
              </w:rPr>
            </w:pPr>
            <w:r w:rsidRPr="00A9330B">
              <w:rPr>
                <w:rFonts w:cs="Arial"/>
                <w:color w:val="000000"/>
                <w:sz w:val="20"/>
                <w:szCs w:val="20"/>
                <w:lang w:eastAsia="fr-FR"/>
              </w:rPr>
              <w:t>3,45</w:t>
            </w:r>
          </w:p>
        </w:tc>
        <w:tc>
          <w:tcPr>
            <w:tcW w:w="1458" w:type="dxa"/>
            <w:tcBorders>
              <w:top w:val="nil"/>
              <w:left w:val="nil"/>
              <w:bottom w:val="single" w:sz="4" w:space="0" w:color="auto"/>
              <w:right w:val="single" w:sz="4" w:space="0" w:color="auto"/>
            </w:tcBorders>
            <w:shd w:val="clear" w:color="auto" w:fill="auto"/>
            <w:noWrap/>
            <w:vAlign w:val="center"/>
            <w:hideMark/>
          </w:tcPr>
          <w:p w14:paraId="0DF35C8E" w14:textId="77777777" w:rsidR="00294B8E" w:rsidRPr="00A9330B" w:rsidRDefault="00294B8E" w:rsidP="00F561A7">
            <w:pPr>
              <w:spacing w:line="240" w:lineRule="auto"/>
              <w:jc w:val="center"/>
              <w:rPr>
                <w:rFonts w:cs="Arial"/>
                <w:color w:val="000000"/>
                <w:sz w:val="20"/>
                <w:szCs w:val="20"/>
                <w:lang w:eastAsia="fr-FR"/>
              </w:rPr>
            </w:pPr>
            <w:r w:rsidRPr="00A9330B">
              <w:rPr>
                <w:rFonts w:cs="Arial"/>
                <w:color w:val="000000"/>
                <w:sz w:val="20"/>
                <w:szCs w:val="20"/>
                <w:lang w:eastAsia="fr-FR"/>
              </w:rPr>
              <w:t>11,85</w:t>
            </w:r>
          </w:p>
        </w:tc>
      </w:tr>
      <w:tr w:rsidR="00294B8E" w:rsidRPr="00A9330B" w14:paraId="2D4A12BA" w14:textId="77777777" w:rsidTr="00294B8E">
        <w:trPr>
          <w:trHeight w:val="329"/>
          <w:jc w:val="center"/>
        </w:trPr>
        <w:tc>
          <w:tcPr>
            <w:tcW w:w="1458" w:type="dxa"/>
            <w:tcBorders>
              <w:top w:val="nil"/>
              <w:left w:val="single" w:sz="4" w:space="0" w:color="auto"/>
              <w:bottom w:val="single" w:sz="4" w:space="0" w:color="auto"/>
              <w:right w:val="single" w:sz="4" w:space="0" w:color="auto"/>
            </w:tcBorders>
            <w:shd w:val="clear" w:color="auto" w:fill="auto"/>
            <w:noWrap/>
            <w:vAlign w:val="center"/>
            <w:hideMark/>
          </w:tcPr>
          <w:p w14:paraId="46970C3D" w14:textId="77777777" w:rsidR="00294B8E" w:rsidRPr="00A9330B" w:rsidRDefault="00294B8E" w:rsidP="00F561A7">
            <w:pPr>
              <w:spacing w:line="240" w:lineRule="auto"/>
              <w:jc w:val="center"/>
              <w:rPr>
                <w:rFonts w:cs="Arial"/>
                <w:b/>
                <w:bCs/>
                <w:color w:val="000000"/>
                <w:sz w:val="20"/>
                <w:szCs w:val="20"/>
                <w:lang w:eastAsia="fr-FR"/>
              </w:rPr>
            </w:pPr>
            <w:r w:rsidRPr="00A9330B">
              <w:rPr>
                <w:rFonts w:cs="Arial"/>
                <w:b/>
                <w:bCs/>
                <w:color w:val="000000"/>
                <w:sz w:val="20"/>
                <w:szCs w:val="20"/>
                <w:lang w:eastAsia="fr-FR"/>
              </w:rPr>
              <w:t>Veuf</w:t>
            </w:r>
          </w:p>
        </w:tc>
        <w:tc>
          <w:tcPr>
            <w:tcW w:w="1458" w:type="dxa"/>
            <w:tcBorders>
              <w:top w:val="nil"/>
              <w:left w:val="nil"/>
              <w:bottom w:val="single" w:sz="4" w:space="0" w:color="auto"/>
              <w:right w:val="single" w:sz="4" w:space="0" w:color="auto"/>
            </w:tcBorders>
            <w:shd w:val="clear" w:color="auto" w:fill="auto"/>
            <w:noWrap/>
            <w:vAlign w:val="center"/>
            <w:hideMark/>
          </w:tcPr>
          <w:p w14:paraId="2BBD6DA2" w14:textId="77777777" w:rsidR="00294B8E" w:rsidRPr="00A9330B" w:rsidRDefault="00294B8E" w:rsidP="00F561A7">
            <w:pPr>
              <w:spacing w:line="240" w:lineRule="auto"/>
              <w:jc w:val="center"/>
              <w:rPr>
                <w:rFonts w:cs="Arial"/>
                <w:color w:val="000000"/>
                <w:sz w:val="20"/>
                <w:szCs w:val="20"/>
                <w:lang w:eastAsia="fr-FR"/>
              </w:rPr>
            </w:pPr>
            <w:r w:rsidRPr="00A9330B">
              <w:rPr>
                <w:rFonts w:cs="Arial"/>
                <w:color w:val="000000"/>
                <w:sz w:val="20"/>
                <w:szCs w:val="20"/>
                <w:lang w:eastAsia="fr-FR"/>
              </w:rPr>
              <w:t>0,43</w:t>
            </w:r>
          </w:p>
        </w:tc>
        <w:tc>
          <w:tcPr>
            <w:tcW w:w="1458" w:type="dxa"/>
            <w:tcBorders>
              <w:top w:val="nil"/>
              <w:left w:val="nil"/>
              <w:bottom w:val="single" w:sz="4" w:space="0" w:color="auto"/>
              <w:right w:val="single" w:sz="4" w:space="0" w:color="auto"/>
            </w:tcBorders>
            <w:shd w:val="clear" w:color="auto" w:fill="auto"/>
            <w:noWrap/>
            <w:vAlign w:val="center"/>
            <w:hideMark/>
          </w:tcPr>
          <w:p w14:paraId="1D23A1CA" w14:textId="77777777" w:rsidR="00294B8E" w:rsidRPr="00A9330B" w:rsidRDefault="00294B8E" w:rsidP="00F561A7">
            <w:pPr>
              <w:spacing w:line="240" w:lineRule="auto"/>
              <w:jc w:val="center"/>
              <w:rPr>
                <w:rFonts w:cs="Arial"/>
                <w:color w:val="000000"/>
                <w:sz w:val="20"/>
                <w:szCs w:val="20"/>
                <w:lang w:eastAsia="fr-FR"/>
              </w:rPr>
            </w:pPr>
            <w:r w:rsidRPr="00A9330B">
              <w:rPr>
                <w:rFonts w:cs="Arial"/>
                <w:color w:val="000000"/>
                <w:sz w:val="20"/>
                <w:szCs w:val="20"/>
                <w:lang w:eastAsia="fr-FR"/>
              </w:rPr>
              <w:t>4,31</w:t>
            </w:r>
          </w:p>
        </w:tc>
        <w:tc>
          <w:tcPr>
            <w:tcW w:w="1458" w:type="dxa"/>
            <w:tcBorders>
              <w:top w:val="nil"/>
              <w:left w:val="nil"/>
              <w:bottom w:val="single" w:sz="4" w:space="0" w:color="auto"/>
              <w:right w:val="single" w:sz="4" w:space="0" w:color="auto"/>
            </w:tcBorders>
            <w:shd w:val="clear" w:color="auto" w:fill="auto"/>
            <w:noWrap/>
            <w:vAlign w:val="center"/>
            <w:hideMark/>
          </w:tcPr>
          <w:p w14:paraId="7B029639" w14:textId="77777777" w:rsidR="00294B8E" w:rsidRPr="00A9330B" w:rsidRDefault="00294B8E" w:rsidP="00F561A7">
            <w:pPr>
              <w:spacing w:line="240" w:lineRule="auto"/>
              <w:jc w:val="center"/>
              <w:rPr>
                <w:rFonts w:cs="Arial"/>
                <w:color w:val="000000"/>
                <w:sz w:val="20"/>
                <w:szCs w:val="20"/>
                <w:lang w:eastAsia="fr-FR"/>
              </w:rPr>
            </w:pPr>
            <w:r w:rsidRPr="00A9330B">
              <w:rPr>
                <w:rFonts w:cs="Arial"/>
                <w:color w:val="000000"/>
                <w:sz w:val="20"/>
                <w:szCs w:val="20"/>
                <w:lang w:eastAsia="fr-FR"/>
              </w:rPr>
              <w:t>4,74</w:t>
            </w:r>
          </w:p>
        </w:tc>
      </w:tr>
      <w:tr w:rsidR="00294B8E" w:rsidRPr="00A9330B" w14:paraId="7A653C31" w14:textId="77777777" w:rsidTr="00294B8E">
        <w:trPr>
          <w:trHeight w:val="329"/>
          <w:jc w:val="center"/>
        </w:trPr>
        <w:tc>
          <w:tcPr>
            <w:tcW w:w="1458" w:type="dxa"/>
            <w:tcBorders>
              <w:top w:val="nil"/>
              <w:left w:val="single" w:sz="4" w:space="0" w:color="auto"/>
              <w:bottom w:val="single" w:sz="4" w:space="0" w:color="auto"/>
              <w:right w:val="single" w:sz="4" w:space="0" w:color="auto"/>
            </w:tcBorders>
            <w:shd w:val="clear" w:color="auto" w:fill="auto"/>
            <w:noWrap/>
            <w:vAlign w:val="center"/>
            <w:hideMark/>
          </w:tcPr>
          <w:p w14:paraId="0DBD3387" w14:textId="77777777" w:rsidR="00294B8E" w:rsidRPr="00A9330B" w:rsidRDefault="00294B8E" w:rsidP="00F561A7">
            <w:pPr>
              <w:spacing w:line="240" w:lineRule="auto"/>
              <w:jc w:val="center"/>
              <w:rPr>
                <w:rFonts w:cs="Arial"/>
                <w:b/>
                <w:bCs/>
                <w:color w:val="000000"/>
                <w:sz w:val="20"/>
                <w:szCs w:val="20"/>
                <w:lang w:eastAsia="fr-FR"/>
              </w:rPr>
            </w:pPr>
            <w:r w:rsidRPr="00A9330B">
              <w:rPr>
                <w:rFonts w:cs="Arial"/>
                <w:b/>
                <w:bCs/>
                <w:color w:val="000000"/>
                <w:sz w:val="20"/>
                <w:szCs w:val="20"/>
                <w:lang w:eastAsia="fr-FR"/>
              </w:rPr>
              <w:t>Chef ménage</w:t>
            </w:r>
          </w:p>
        </w:tc>
        <w:tc>
          <w:tcPr>
            <w:tcW w:w="1458" w:type="dxa"/>
            <w:tcBorders>
              <w:top w:val="nil"/>
              <w:left w:val="nil"/>
              <w:bottom w:val="single" w:sz="4" w:space="0" w:color="auto"/>
              <w:right w:val="single" w:sz="4" w:space="0" w:color="auto"/>
            </w:tcBorders>
            <w:shd w:val="clear" w:color="auto" w:fill="auto"/>
            <w:noWrap/>
            <w:vAlign w:val="center"/>
            <w:hideMark/>
          </w:tcPr>
          <w:p w14:paraId="2E6E803C" w14:textId="77777777" w:rsidR="00294B8E" w:rsidRPr="00A9330B" w:rsidRDefault="00294B8E" w:rsidP="00F561A7">
            <w:pPr>
              <w:spacing w:line="240" w:lineRule="auto"/>
              <w:jc w:val="center"/>
              <w:rPr>
                <w:rFonts w:cs="Arial"/>
                <w:color w:val="000000"/>
                <w:sz w:val="20"/>
                <w:szCs w:val="20"/>
                <w:lang w:eastAsia="fr-FR"/>
              </w:rPr>
            </w:pPr>
            <w:r w:rsidRPr="00A9330B">
              <w:rPr>
                <w:rFonts w:cs="Arial"/>
                <w:color w:val="000000"/>
                <w:sz w:val="20"/>
                <w:szCs w:val="20"/>
                <w:lang w:eastAsia="fr-FR"/>
              </w:rPr>
              <w:t>10,78</w:t>
            </w:r>
          </w:p>
        </w:tc>
        <w:tc>
          <w:tcPr>
            <w:tcW w:w="1458" w:type="dxa"/>
            <w:tcBorders>
              <w:top w:val="nil"/>
              <w:left w:val="nil"/>
              <w:bottom w:val="single" w:sz="4" w:space="0" w:color="auto"/>
              <w:right w:val="single" w:sz="4" w:space="0" w:color="auto"/>
            </w:tcBorders>
            <w:shd w:val="clear" w:color="auto" w:fill="auto"/>
            <w:noWrap/>
            <w:vAlign w:val="center"/>
            <w:hideMark/>
          </w:tcPr>
          <w:p w14:paraId="603A4E7E" w14:textId="77777777" w:rsidR="00294B8E" w:rsidRPr="00A9330B" w:rsidRDefault="00294B8E" w:rsidP="00F561A7">
            <w:pPr>
              <w:spacing w:line="240" w:lineRule="auto"/>
              <w:jc w:val="center"/>
              <w:rPr>
                <w:rFonts w:cs="Arial"/>
                <w:color w:val="000000"/>
                <w:sz w:val="20"/>
                <w:szCs w:val="20"/>
                <w:lang w:eastAsia="fr-FR"/>
              </w:rPr>
            </w:pPr>
            <w:r w:rsidRPr="00A9330B">
              <w:rPr>
                <w:rFonts w:cs="Arial"/>
                <w:color w:val="000000"/>
                <w:sz w:val="20"/>
                <w:szCs w:val="20"/>
                <w:lang w:eastAsia="fr-FR"/>
              </w:rPr>
              <w:t>1,94</w:t>
            </w:r>
          </w:p>
        </w:tc>
        <w:tc>
          <w:tcPr>
            <w:tcW w:w="1458" w:type="dxa"/>
            <w:tcBorders>
              <w:top w:val="nil"/>
              <w:left w:val="nil"/>
              <w:bottom w:val="single" w:sz="4" w:space="0" w:color="auto"/>
              <w:right w:val="single" w:sz="4" w:space="0" w:color="auto"/>
            </w:tcBorders>
            <w:shd w:val="clear" w:color="auto" w:fill="auto"/>
            <w:noWrap/>
            <w:vAlign w:val="center"/>
            <w:hideMark/>
          </w:tcPr>
          <w:p w14:paraId="37E229AA" w14:textId="77777777" w:rsidR="00294B8E" w:rsidRPr="00A9330B" w:rsidRDefault="00294B8E" w:rsidP="00F561A7">
            <w:pPr>
              <w:spacing w:line="240" w:lineRule="auto"/>
              <w:jc w:val="center"/>
              <w:rPr>
                <w:rFonts w:cs="Arial"/>
                <w:color w:val="000000"/>
                <w:sz w:val="20"/>
                <w:szCs w:val="20"/>
                <w:lang w:eastAsia="fr-FR"/>
              </w:rPr>
            </w:pPr>
            <w:r w:rsidRPr="00A9330B">
              <w:rPr>
                <w:rFonts w:cs="Arial"/>
                <w:color w:val="000000"/>
                <w:sz w:val="20"/>
                <w:szCs w:val="20"/>
                <w:lang w:eastAsia="fr-FR"/>
              </w:rPr>
              <w:t>12,72</w:t>
            </w:r>
          </w:p>
        </w:tc>
      </w:tr>
      <w:tr w:rsidR="00294B8E" w:rsidRPr="00A9330B" w14:paraId="6D64E290" w14:textId="77777777" w:rsidTr="00294B8E">
        <w:trPr>
          <w:trHeight w:val="329"/>
          <w:jc w:val="center"/>
        </w:trPr>
        <w:tc>
          <w:tcPr>
            <w:tcW w:w="1458" w:type="dxa"/>
            <w:tcBorders>
              <w:top w:val="nil"/>
              <w:left w:val="single" w:sz="4" w:space="0" w:color="auto"/>
              <w:bottom w:val="single" w:sz="4" w:space="0" w:color="auto"/>
              <w:right w:val="single" w:sz="4" w:space="0" w:color="auto"/>
            </w:tcBorders>
            <w:shd w:val="clear" w:color="auto" w:fill="auto"/>
            <w:noWrap/>
            <w:vAlign w:val="center"/>
            <w:hideMark/>
          </w:tcPr>
          <w:p w14:paraId="18C3110D" w14:textId="77777777" w:rsidR="00294B8E" w:rsidRPr="00A9330B" w:rsidRDefault="00294B8E" w:rsidP="00F561A7">
            <w:pPr>
              <w:spacing w:line="240" w:lineRule="auto"/>
              <w:jc w:val="center"/>
              <w:rPr>
                <w:rFonts w:cs="Arial"/>
                <w:b/>
                <w:bCs/>
                <w:color w:val="000000"/>
                <w:sz w:val="20"/>
                <w:szCs w:val="20"/>
                <w:lang w:eastAsia="fr-FR"/>
              </w:rPr>
            </w:pPr>
            <w:r w:rsidRPr="00A9330B">
              <w:rPr>
                <w:rFonts w:cs="Arial"/>
                <w:b/>
                <w:bCs/>
                <w:color w:val="000000"/>
                <w:sz w:val="20"/>
                <w:szCs w:val="20"/>
                <w:lang w:eastAsia="fr-FR"/>
              </w:rPr>
              <w:t>Handicap</w:t>
            </w:r>
          </w:p>
        </w:tc>
        <w:tc>
          <w:tcPr>
            <w:tcW w:w="1458" w:type="dxa"/>
            <w:tcBorders>
              <w:top w:val="nil"/>
              <w:left w:val="nil"/>
              <w:bottom w:val="single" w:sz="4" w:space="0" w:color="auto"/>
              <w:right w:val="single" w:sz="4" w:space="0" w:color="auto"/>
            </w:tcBorders>
            <w:shd w:val="clear" w:color="auto" w:fill="auto"/>
            <w:noWrap/>
            <w:vAlign w:val="center"/>
            <w:hideMark/>
          </w:tcPr>
          <w:p w14:paraId="0E71CCE8" w14:textId="77777777" w:rsidR="00294B8E" w:rsidRPr="00A9330B" w:rsidRDefault="00294B8E" w:rsidP="00F561A7">
            <w:pPr>
              <w:spacing w:line="240" w:lineRule="auto"/>
              <w:jc w:val="center"/>
              <w:rPr>
                <w:rFonts w:cs="Arial"/>
                <w:color w:val="000000"/>
                <w:sz w:val="20"/>
                <w:szCs w:val="20"/>
                <w:lang w:eastAsia="fr-FR"/>
              </w:rPr>
            </w:pPr>
            <w:r w:rsidRPr="00A9330B">
              <w:rPr>
                <w:rFonts w:cs="Arial"/>
                <w:color w:val="000000"/>
                <w:sz w:val="20"/>
                <w:szCs w:val="20"/>
                <w:lang w:eastAsia="fr-FR"/>
              </w:rPr>
              <w:t>0,00</w:t>
            </w:r>
          </w:p>
        </w:tc>
        <w:tc>
          <w:tcPr>
            <w:tcW w:w="1458" w:type="dxa"/>
            <w:tcBorders>
              <w:top w:val="nil"/>
              <w:left w:val="nil"/>
              <w:bottom w:val="single" w:sz="4" w:space="0" w:color="auto"/>
              <w:right w:val="single" w:sz="4" w:space="0" w:color="auto"/>
            </w:tcBorders>
            <w:shd w:val="clear" w:color="auto" w:fill="auto"/>
            <w:noWrap/>
            <w:vAlign w:val="center"/>
            <w:hideMark/>
          </w:tcPr>
          <w:p w14:paraId="3ECEA810" w14:textId="77777777" w:rsidR="00294B8E" w:rsidRPr="00A9330B" w:rsidRDefault="00294B8E" w:rsidP="00F561A7">
            <w:pPr>
              <w:spacing w:line="240" w:lineRule="auto"/>
              <w:jc w:val="center"/>
              <w:rPr>
                <w:rFonts w:cs="Arial"/>
                <w:color w:val="000000"/>
                <w:sz w:val="20"/>
                <w:szCs w:val="20"/>
                <w:lang w:eastAsia="fr-FR"/>
              </w:rPr>
            </w:pPr>
            <w:r w:rsidRPr="00A9330B">
              <w:rPr>
                <w:rFonts w:cs="Arial"/>
                <w:color w:val="000000"/>
                <w:sz w:val="20"/>
                <w:szCs w:val="20"/>
                <w:lang w:eastAsia="fr-FR"/>
              </w:rPr>
              <w:t>0,00</w:t>
            </w:r>
          </w:p>
        </w:tc>
        <w:tc>
          <w:tcPr>
            <w:tcW w:w="1458" w:type="dxa"/>
            <w:tcBorders>
              <w:top w:val="nil"/>
              <w:left w:val="nil"/>
              <w:bottom w:val="single" w:sz="4" w:space="0" w:color="auto"/>
              <w:right w:val="single" w:sz="4" w:space="0" w:color="auto"/>
            </w:tcBorders>
            <w:shd w:val="clear" w:color="auto" w:fill="auto"/>
            <w:noWrap/>
            <w:vAlign w:val="center"/>
            <w:hideMark/>
          </w:tcPr>
          <w:p w14:paraId="1912481B" w14:textId="77777777" w:rsidR="00294B8E" w:rsidRPr="00A9330B" w:rsidRDefault="00294B8E" w:rsidP="00F561A7">
            <w:pPr>
              <w:spacing w:line="240" w:lineRule="auto"/>
              <w:jc w:val="center"/>
              <w:rPr>
                <w:rFonts w:cs="Arial"/>
                <w:color w:val="000000"/>
                <w:sz w:val="20"/>
                <w:szCs w:val="20"/>
                <w:lang w:eastAsia="fr-FR"/>
              </w:rPr>
            </w:pPr>
            <w:r w:rsidRPr="00A9330B">
              <w:rPr>
                <w:rFonts w:cs="Arial"/>
                <w:color w:val="000000"/>
                <w:sz w:val="20"/>
                <w:szCs w:val="20"/>
                <w:lang w:eastAsia="fr-FR"/>
              </w:rPr>
              <w:t>0,00</w:t>
            </w:r>
          </w:p>
        </w:tc>
      </w:tr>
      <w:tr w:rsidR="00294B8E" w:rsidRPr="00A9330B" w14:paraId="2C5F88AF" w14:textId="77777777" w:rsidTr="00294B8E">
        <w:trPr>
          <w:trHeight w:val="329"/>
          <w:jc w:val="center"/>
        </w:trPr>
        <w:tc>
          <w:tcPr>
            <w:tcW w:w="1458" w:type="dxa"/>
            <w:tcBorders>
              <w:top w:val="nil"/>
              <w:left w:val="single" w:sz="4" w:space="0" w:color="auto"/>
              <w:bottom w:val="single" w:sz="4" w:space="0" w:color="auto"/>
              <w:right w:val="single" w:sz="4" w:space="0" w:color="auto"/>
            </w:tcBorders>
            <w:shd w:val="clear" w:color="auto" w:fill="auto"/>
            <w:noWrap/>
            <w:vAlign w:val="center"/>
            <w:hideMark/>
          </w:tcPr>
          <w:p w14:paraId="52549557" w14:textId="77777777" w:rsidR="00294B8E" w:rsidRPr="00A9330B" w:rsidRDefault="00294B8E" w:rsidP="00F561A7">
            <w:pPr>
              <w:spacing w:line="240" w:lineRule="auto"/>
              <w:jc w:val="center"/>
              <w:rPr>
                <w:rFonts w:cs="Arial"/>
                <w:b/>
                <w:bCs/>
                <w:color w:val="000000"/>
                <w:sz w:val="20"/>
                <w:szCs w:val="20"/>
                <w:lang w:eastAsia="fr-FR"/>
              </w:rPr>
            </w:pPr>
            <w:r w:rsidRPr="00A9330B">
              <w:rPr>
                <w:rFonts w:cs="Arial"/>
                <w:b/>
                <w:bCs/>
                <w:color w:val="000000"/>
                <w:sz w:val="20"/>
                <w:szCs w:val="20"/>
                <w:lang w:eastAsia="fr-FR"/>
              </w:rPr>
              <w:t>Total</w:t>
            </w:r>
          </w:p>
        </w:tc>
        <w:tc>
          <w:tcPr>
            <w:tcW w:w="1458" w:type="dxa"/>
            <w:tcBorders>
              <w:top w:val="nil"/>
              <w:left w:val="nil"/>
              <w:bottom w:val="single" w:sz="4" w:space="0" w:color="auto"/>
              <w:right w:val="single" w:sz="4" w:space="0" w:color="auto"/>
            </w:tcBorders>
            <w:shd w:val="clear" w:color="auto" w:fill="auto"/>
            <w:noWrap/>
            <w:vAlign w:val="center"/>
            <w:hideMark/>
          </w:tcPr>
          <w:p w14:paraId="11F1FB28" w14:textId="77777777" w:rsidR="00294B8E" w:rsidRPr="00A9330B" w:rsidRDefault="00294B8E" w:rsidP="00F561A7">
            <w:pPr>
              <w:spacing w:line="240" w:lineRule="auto"/>
              <w:jc w:val="center"/>
              <w:rPr>
                <w:rFonts w:cs="Arial"/>
                <w:b/>
                <w:bCs/>
                <w:color w:val="000000"/>
                <w:sz w:val="20"/>
                <w:szCs w:val="20"/>
                <w:lang w:eastAsia="fr-FR"/>
              </w:rPr>
            </w:pPr>
            <w:r w:rsidRPr="00A9330B">
              <w:rPr>
                <w:rFonts w:cs="Arial"/>
                <w:b/>
                <w:bCs/>
                <w:color w:val="000000"/>
                <w:sz w:val="20"/>
                <w:szCs w:val="20"/>
                <w:lang w:eastAsia="fr-FR"/>
              </w:rPr>
              <w:t>75,86</w:t>
            </w:r>
          </w:p>
        </w:tc>
        <w:tc>
          <w:tcPr>
            <w:tcW w:w="1458" w:type="dxa"/>
            <w:tcBorders>
              <w:top w:val="nil"/>
              <w:left w:val="nil"/>
              <w:bottom w:val="single" w:sz="4" w:space="0" w:color="auto"/>
              <w:right w:val="single" w:sz="4" w:space="0" w:color="auto"/>
            </w:tcBorders>
            <w:shd w:val="clear" w:color="auto" w:fill="auto"/>
            <w:noWrap/>
            <w:vAlign w:val="center"/>
            <w:hideMark/>
          </w:tcPr>
          <w:p w14:paraId="0B3CEB20" w14:textId="77777777" w:rsidR="00294B8E" w:rsidRPr="00A9330B" w:rsidRDefault="00294B8E" w:rsidP="00F561A7">
            <w:pPr>
              <w:spacing w:line="240" w:lineRule="auto"/>
              <w:jc w:val="center"/>
              <w:rPr>
                <w:rFonts w:cs="Arial"/>
                <w:b/>
                <w:bCs/>
                <w:color w:val="000000"/>
                <w:sz w:val="20"/>
                <w:szCs w:val="20"/>
                <w:lang w:eastAsia="fr-FR"/>
              </w:rPr>
            </w:pPr>
            <w:r w:rsidRPr="00A9330B">
              <w:rPr>
                <w:rFonts w:cs="Arial"/>
                <w:b/>
                <w:bCs/>
                <w:color w:val="000000"/>
                <w:sz w:val="20"/>
                <w:szCs w:val="20"/>
                <w:lang w:eastAsia="fr-FR"/>
              </w:rPr>
              <w:t>24,14</w:t>
            </w:r>
          </w:p>
        </w:tc>
        <w:tc>
          <w:tcPr>
            <w:tcW w:w="1458" w:type="dxa"/>
            <w:tcBorders>
              <w:top w:val="nil"/>
              <w:left w:val="nil"/>
              <w:bottom w:val="single" w:sz="4" w:space="0" w:color="auto"/>
              <w:right w:val="single" w:sz="4" w:space="0" w:color="auto"/>
            </w:tcBorders>
            <w:shd w:val="clear" w:color="auto" w:fill="auto"/>
            <w:noWrap/>
            <w:vAlign w:val="center"/>
            <w:hideMark/>
          </w:tcPr>
          <w:p w14:paraId="3B14E9F1" w14:textId="77777777" w:rsidR="00294B8E" w:rsidRPr="00A9330B" w:rsidRDefault="00294B8E" w:rsidP="00F561A7">
            <w:pPr>
              <w:spacing w:line="240" w:lineRule="auto"/>
              <w:jc w:val="center"/>
              <w:rPr>
                <w:rFonts w:cs="Arial"/>
                <w:b/>
                <w:bCs/>
                <w:color w:val="000000"/>
                <w:sz w:val="20"/>
                <w:szCs w:val="20"/>
                <w:lang w:eastAsia="fr-FR"/>
              </w:rPr>
            </w:pPr>
            <w:r w:rsidRPr="00A9330B">
              <w:rPr>
                <w:rFonts w:cs="Arial"/>
                <w:b/>
                <w:bCs/>
                <w:color w:val="000000"/>
                <w:sz w:val="20"/>
                <w:szCs w:val="20"/>
                <w:lang w:eastAsia="fr-FR"/>
              </w:rPr>
              <w:t>100</w:t>
            </w:r>
          </w:p>
        </w:tc>
      </w:tr>
    </w:tbl>
    <w:p w14:paraId="403DF122" w14:textId="77777777" w:rsidR="00350C9E" w:rsidRPr="00A9330B" w:rsidRDefault="00350C9E" w:rsidP="00350C9E">
      <w:pPr>
        <w:spacing w:after="160" w:line="259" w:lineRule="auto"/>
        <w:jc w:val="center"/>
        <w:rPr>
          <w:rFonts w:eastAsia="Calibri" w:cs="Arial"/>
          <w:b/>
          <w:color w:val="auto"/>
          <w:sz w:val="20"/>
          <w:szCs w:val="20"/>
        </w:rPr>
      </w:pPr>
      <w:r w:rsidRPr="00A9330B">
        <w:rPr>
          <w:rFonts w:eastAsia="Calibri" w:cs="Arial"/>
          <w:b/>
          <w:color w:val="auto"/>
          <w:sz w:val="20"/>
          <w:szCs w:val="20"/>
        </w:rPr>
        <w:t>Source : Enquête de terrain, juin 2020</w:t>
      </w:r>
    </w:p>
    <w:p w14:paraId="2358706F" w14:textId="33D54467" w:rsidR="00350C9E" w:rsidRPr="00A9330B" w:rsidRDefault="00350C9E" w:rsidP="00350C9E">
      <w:pPr>
        <w:spacing w:after="120" w:line="312" w:lineRule="auto"/>
        <w:jc w:val="both"/>
        <w:rPr>
          <w:rFonts w:eastAsia="Calibri" w:cs="Times New Roman"/>
          <w:color w:val="auto"/>
          <w:szCs w:val="24"/>
          <w:lang w:eastAsia="de-DE"/>
        </w:rPr>
      </w:pPr>
      <w:r w:rsidRPr="00A9330B">
        <w:rPr>
          <w:rFonts w:eastAsia="Calibri" w:cs="Times New Roman"/>
          <w:color w:val="auto"/>
          <w:szCs w:val="24"/>
          <w:lang w:eastAsia="de-DE"/>
        </w:rPr>
        <w:t>Sur le plan socio culturel, des grands groupes sociolinguistiques enregistrés, les « </w:t>
      </w:r>
      <w:r w:rsidRPr="00A9330B">
        <w:rPr>
          <w:rFonts w:eastAsia="Times New Roman" w:cs="Times New Roman"/>
          <w:color w:val="000000"/>
          <w:szCs w:val="24"/>
          <w:lang w:eastAsia="fr-FR"/>
        </w:rPr>
        <w:t>Ditamari</w:t>
      </w:r>
      <w:r w:rsidRPr="00A9330B">
        <w:rPr>
          <w:rFonts w:eastAsia="Calibri" w:cs="Times New Roman"/>
          <w:color w:val="auto"/>
          <w:szCs w:val="24"/>
          <w:lang w:eastAsia="de-DE"/>
        </w:rPr>
        <w:t> » sont majoritaires avec </w:t>
      </w:r>
      <w:r w:rsidRPr="00A9330B">
        <w:rPr>
          <w:rFonts w:eastAsia="Times New Roman" w:cs="Times New Roman"/>
          <w:color w:val="000000"/>
          <w:szCs w:val="24"/>
          <w:lang w:eastAsia="fr-FR"/>
        </w:rPr>
        <w:t>0,</w:t>
      </w:r>
      <w:r w:rsidR="00294B8E" w:rsidRPr="00A9330B">
        <w:rPr>
          <w:rFonts w:eastAsia="Times New Roman" w:cs="Times New Roman"/>
          <w:color w:val="000000"/>
          <w:szCs w:val="24"/>
          <w:lang w:eastAsia="fr-FR"/>
        </w:rPr>
        <w:t xml:space="preserve">264 </w:t>
      </w:r>
      <w:r w:rsidRPr="00A9330B">
        <w:rPr>
          <w:rFonts w:eastAsia="Calibri" w:cs="Times New Roman"/>
          <w:color w:val="auto"/>
          <w:szCs w:val="24"/>
          <w:lang w:eastAsia="de-DE"/>
        </w:rPr>
        <w:t>% suivi des « </w:t>
      </w:r>
      <w:r w:rsidRPr="00A9330B">
        <w:rPr>
          <w:rFonts w:eastAsia="Times New Roman" w:cs="Times New Roman"/>
          <w:color w:val="000000"/>
          <w:szCs w:val="24"/>
          <w:lang w:eastAsia="fr-FR"/>
        </w:rPr>
        <w:t>Waama</w:t>
      </w:r>
      <w:r w:rsidRPr="00A9330B">
        <w:rPr>
          <w:rFonts w:eastAsia="Calibri" w:cs="Times New Roman"/>
          <w:color w:val="auto"/>
          <w:szCs w:val="24"/>
          <w:lang w:eastAsia="de-DE"/>
        </w:rPr>
        <w:t> </w:t>
      </w:r>
      <w:r w:rsidR="000566F0" w:rsidRPr="00A9330B">
        <w:rPr>
          <w:rFonts w:eastAsia="Calibri" w:cs="Times New Roman"/>
          <w:color w:val="auto"/>
          <w:szCs w:val="24"/>
          <w:lang w:eastAsia="de-DE"/>
        </w:rPr>
        <w:t>» 0,1</w:t>
      </w:r>
      <w:r w:rsidR="00294B8E" w:rsidRPr="00A9330B">
        <w:rPr>
          <w:rFonts w:eastAsia="Calibri" w:cs="Times New Roman"/>
          <w:color w:val="auto"/>
          <w:szCs w:val="24"/>
          <w:lang w:eastAsia="de-DE"/>
        </w:rPr>
        <w:t>89</w:t>
      </w:r>
      <w:r w:rsidRPr="00A9330B">
        <w:rPr>
          <w:rFonts w:eastAsia="Calibri" w:cs="Times New Roman"/>
          <w:color w:val="auto"/>
          <w:szCs w:val="24"/>
          <w:lang w:eastAsia="de-DE"/>
        </w:rPr>
        <w:t xml:space="preserve"> %. </w:t>
      </w:r>
    </w:p>
    <w:p w14:paraId="12DE05F4" w14:textId="28132B93" w:rsidR="00350C9E" w:rsidRPr="00A9330B" w:rsidRDefault="001777E6" w:rsidP="000566F0">
      <w:pPr>
        <w:keepNext/>
        <w:spacing w:after="120" w:line="240" w:lineRule="auto"/>
        <w:jc w:val="center"/>
        <w:rPr>
          <w:rFonts w:eastAsia="Times New Roman" w:cs="Arial"/>
          <w:b/>
          <w:color w:val="000000"/>
          <w:sz w:val="20"/>
          <w:szCs w:val="20"/>
        </w:rPr>
      </w:pPr>
      <w:bookmarkStart w:id="2030" w:name="_Toc52873786"/>
      <w:r w:rsidRPr="00A9330B">
        <w:rPr>
          <w:b/>
          <w:sz w:val="20"/>
          <w:szCs w:val="20"/>
        </w:rPr>
        <w:t xml:space="preserve">Tableau </w:t>
      </w:r>
      <w:r w:rsidRPr="00A9330B">
        <w:rPr>
          <w:b/>
          <w:sz w:val="20"/>
          <w:szCs w:val="20"/>
        </w:rPr>
        <w:fldChar w:fldCharType="begin"/>
      </w:r>
      <w:r w:rsidRPr="00A9330B">
        <w:rPr>
          <w:b/>
          <w:sz w:val="20"/>
          <w:szCs w:val="20"/>
        </w:rPr>
        <w:instrText xml:space="preserve"> SEQ Tableau \* ARABIC </w:instrText>
      </w:r>
      <w:r w:rsidRPr="00A9330B">
        <w:rPr>
          <w:b/>
          <w:sz w:val="20"/>
          <w:szCs w:val="20"/>
        </w:rPr>
        <w:fldChar w:fldCharType="separate"/>
      </w:r>
      <w:r w:rsidR="00340594" w:rsidRPr="00A9330B">
        <w:rPr>
          <w:b/>
          <w:noProof/>
          <w:sz w:val="20"/>
          <w:szCs w:val="20"/>
        </w:rPr>
        <w:t>62</w:t>
      </w:r>
      <w:r w:rsidRPr="00A9330B">
        <w:rPr>
          <w:b/>
          <w:sz w:val="20"/>
          <w:szCs w:val="20"/>
        </w:rPr>
        <w:fldChar w:fldCharType="end"/>
      </w:r>
      <w:r w:rsidRPr="00A9330B">
        <w:rPr>
          <w:b/>
          <w:sz w:val="20"/>
          <w:szCs w:val="20"/>
        </w:rPr>
        <w:t xml:space="preserve"> </w:t>
      </w:r>
      <w:r w:rsidRPr="00A9330B">
        <w:rPr>
          <w:b/>
          <w:color w:val="000000"/>
          <w:sz w:val="20"/>
          <w:szCs w:val="20"/>
        </w:rPr>
        <w:t xml:space="preserve">: </w:t>
      </w:r>
      <w:r w:rsidR="00350C9E" w:rsidRPr="00A9330B">
        <w:rPr>
          <w:rFonts w:eastAsia="Times New Roman" w:cs="Arial"/>
          <w:b/>
          <w:color w:val="000000"/>
          <w:sz w:val="20"/>
          <w:szCs w:val="20"/>
        </w:rPr>
        <w:t>Répartition des PAP par Groupe sociolinguistique</w:t>
      </w:r>
      <w:bookmarkEnd w:id="2030"/>
    </w:p>
    <w:tbl>
      <w:tblPr>
        <w:tblW w:w="7011" w:type="dxa"/>
        <w:jc w:val="center"/>
        <w:tblCellMar>
          <w:left w:w="70" w:type="dxa"/>
          <w:right w:w="70" w:type="dxa"/>
        </w:tblCellMar>
        <w:tblLook w:val="04A0" w:firstRow="1" w:lastRow="0" w:firstColumn="1" w:lastColumn="0" w:noHBand="0" w:noVBand="1"/>
      </w:tblPr>
      <w:tblGrid>
        <w:gridCol w:w="3577"/>
        <w:gridCol w:w="1717"/>
        <w:gridCol w:w="1717"/>
      </w:tblGrid>
      <w:tr w:rsidR="00294B8E" w:rsidRPr="00A9330B" w14:paraId="31AB33B1" w14:textId="77777777" w:rsidTr="00294B8E">
        <w:trPr>
          <w:trHeight w:val="310"/>
          <w:tblHeader/>
          <w:jc w:val="center"/>
        </w:trPr>
        <w:tc>
          <w:tcPr>
            <w:tcW w:w="357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D00C1B3" w14:textId="77777777" w:rsidR="00294B8E" w:rsidRPr="00A9330B" w:rsidRDefault="00294B8E" w:rsidP="00F561A7">
            <w:pPr>
              <w:spacing w:before="100" w:line="240" w:lineRule="auto"/>
              <w:jc w:val="center"/>
              <w:rPr>
                <w:rFonts w:cs="Arial"/>
                <w:b/>
                <w:bCs/>
                <w:color w:val="000000"/>
                <w:sz w:val="20"/>
                <w:szCs w:val="20"/>
                <w:lang w:eastAsia="fr-FR"/>
              </w:rPr>
            </w:pPr>
            <w:r w:rsidRPr="00A9330B">
              <w:rPr>
                <w:rFonts w:cs="Arial"/>
                <w:b/>
                <w:bCs/>
                <w:color w:val="000000"/>
                <w:sz w:val="20"/>
                <w:szCs w:val="20"/>
                <w:lang w:eastAsia="fr-FR"/>
              </w:rPr>
              <w:t>Groupe sociolinguistique</w:t>
            </w:r>
          </w:p>
        </w:tc>
        <w:tc>
          <w:tcPr>
            <w:tcW w:w="1717" w:type="dxa"/>
            <w:tcBorders>
              <w:top w:val="single" w:sz="4" w:space="0" w:color="auto"/>
              <w:left w:val="nil"/>
              <w:bottom w:val="single" w:sz="4" w:space="0" w:color="auto"/>
              <w:right w:val="single" w:sz="4" w:space="0" w:color="auto"/>
            </w:tcBorders>
            <w:shd w:val="clear" w:color="000000" w:fill="E26B0A"/>
            <w:noWrap/>
            <w:vAlign w:val="center"/>
            <w:hideMark/>
          </w:tcPr>
          <w:p w14:paraId="5113E9A3" w14:textId="77777777" w:rsidR="00294B8E" w:rsidRPr="00A9330B" w:rsidRDefault="00294B8E" w:rsidP="00F561A7">
            <w:pPr>
              <w:spacing w:before="100" w:line="240" w:lineRule="auto"/>
              <w:jc w:val="center"/>
              <w:rPr>
                <w:color w:val="000000"/>
                <w:sz w:val="20"/>
                <w:szCs w:val="20"/>
                <w:lang w:eastAsia="fr-FR"/>
              </w:rPr>
            </w:pPr>
            <w:r w:rsidRPr="00A9330B">
              <w:rPr>
                <w:b/>
                <w:bCs/>
                <w:color w:val="000000"/>
                <w:sz w:val="20"/>
                <w:szCs w:val="20"/>
                <w:lang w:eastAsia="fr-FR"/>
              </w:rPr>
              <w:t>Homme</w:t>
            </w:r>
            <w:r w:rsidRPr="00A9330B">
              <w:rPr>
                <w:color w:val="000000"/>
                <w:sz w:val="20"/>
                <w:szCs w:val="20"/>
                <w:lang w:eastAsia="fr-FR"/>
              </w:rPr>
              <w:t xml:space="preserve"> %</w:t>
            </w:r>
          </w:p>
        </w:tc>
        <w:tc>
          <w:tcPr>
            <w:tcW w:w="1717" w:type="dxa"/>
            <w:tcBorders>
              <w:top w:val="single" w:sz="4" w:space="0" w:color="auto"/>
              <w:left w:val="nil"/>
              <w:bottom w:val="single" w:sz="4" w:space="0" w:color="auto"/>
              <w:right w:val="single" w:sz="4" w:space="0" w:color="auto"/>
            </w:tcBorders>
            <w:shd w:val="clear" w:color="auto" w:fill="00B0F0"/>
            <w:noWrap/>
            <w:vAlign w:val="center"/>
            <w:hideMark/>
          </w:tcPr>
          <w:p w14:paraId="03F6E491" w14:textId="77777777" w:rsidR="00294B8E" w:rsidRPr="00A9330B" w:rsidRDefault="00294B8E" w:rsidP="00F561A7">
            <w:pPr>
              <w:spacing w:before="100" w:line="240" w:lineRule="auto"/>
              <w:jc w:val="center"/>
              <w:rPr>
                <w:b/>
                <w:bCs/>
                <w:color w:val="000000"/>
                <w:sz w:val="20"/>
                <w:szCs w:val="20"/>
                <w:lang w:eastAsia="fr-FR"/>
              </w:rPr>
            </w:pPr>
            <w:r w:rsidRPr="00A9330B">
              <w:rPr>
                <w:b/>
                <w:bCs/>
                <w:color w:val="000000"/>
                <w:sz w:val="20"/>
                <w:szCs w:val="20"/>
                <w:lang w:eastAsia="fr-FR"/>
              </w:rPr>
              <w:t>Femme %</w:t>
            </w:r>
          </w:p>
        </w:tc>
      </w:tr>
      <w:tr w:rsidR="00294B8E" w:rsidRPr="00A9330B" w14:paraId="15E0A353" w14:textId="77777777" w:rsidTr="00294B8E">
        <w:trPr>
          <w:trHeight w:val="310"/>
          <w:jc w:val="center"/>
        </w:trPr>
        <w:tc>
          <w:tcPr>
            <w:tcW w:w="3577" w:type="dxa"/>
            <w:tcBorders>
              <w:top w:val="nil"/>
              <w:left w:val="single" w:sz="4" w:space="0" w:color="auto"/>
              <w:bottom w:val="single" w:sz="4" w:space="0" w:color="auto"/>
              <w:right w:val="single" w:sz="4" w:space="0" w:color="auto"/>
            </w:tcBorders>
            <w:shd w:val="clear" w:color="auto" w:fill="auto"/>
            <w:noWrap/>
            <w:vAlign w:val="center"/>
            <w:hideMark/>
          </w:tcPr>
          <w:p w14:paraId="0FEADCCE" w14:textId="77777777" w:rsidR="00294B8E" w:rsidRPr="00A9330B" w:rsidRDefault="00294B8E" w:rsidP="00F561A7">
            <w:pPr>
              <w:spacing w:before="100" w:line="240" w:lineRule="auto"/>
              <w:rPr>
                <w:color w:val="000000"/>
                <w:sz w:val="20"/>
                <w:szCs w:val="20"/>
                <w:lang w:eastAsia="fr-FR"/>
              </w:rPr>
            </w:pPr>
            <w:r w:rsidRPr="00A9330B">
              <w:rPr>
                <w:color w:val="000000"/>
                <w:sz w:val="20"/>
                <w:szCs w:val="20"/>
                <w:lang w:eastAsia="fr-FR"/>
              </w:rPr>
              <w:t>Adja</w:t>
            </w:r>
          </w:p>
        </w:tc>
        <w:tc>
          <w:tcPr>
            <w:tcW w:w="1717" w:type="dxa"/>
            <w:tcBorders>
              <w:top w:val="nil"/>
              <w:left w:val="nil"/>
              <w:bottom w:val="single" w:sz="4" w:space="0" w:color="auto"/>
              <w:right w:val="single" w:sz="4" w:space="0" w:color="auto"/>
            </w:tcBorders>
            <w:shd w:val="clear" w:color="auto" w:fill="auto"/>
            <w:noWrap/>
            <w:vAlign w:val="center"/>
            <w:hideMark/>
          </w:tcPr>
          <w:p w14:paraId="40257399" w14:textId="77777777" w:rsidR="00294B8E" w:rsidRPr="00A9330B" w:rsidRDefault="00294B8E" w:rsidP="00F561A7">
            <w:pPr>
              <w:spacing w:before="100" w:line="240" w:lineRule="auto"/>
              <w:jc w:val="center"/>
              <w:rPr>
                <w:color w:val="000000"/>
                <w:sz w:val="20"/>
                <w:szCs w:val="20"/>
                <w:lang w:eastAsia="fr-FR"/>
              </w:rPr>
            </w:pPr>
            <w:r w:rsidRPr="00A9330B">
              <w:rPr>
                <w:color w:val="000000"/>
                <w:sz w:val="20"/>
                <w:szCs w:val="20"/>
                <w:lang w:eastAsia="fr-FR"/>
              </w:rPr>
              <w:t>0,017</w:t>
            </w:r>
          </w:p>
        </w:tc>
        <w:tc>
          <w:tcPr>
            <w:tcW w:w="1717" w:type="dxa"/>
            <w:tcBorders>
              <w:top w:val="nil"/>
              <w:left w:val="nil"/>
              <w:bottom w:val="single" w:sz="4" w:space="0" w:color="auto"/>
              <w:right w:val="single" w:sz="4" w:space="0" w:color="auto"/>
            </w:tcBorders>
            <w:shd w:val="clear" w:color="auto" w:fill="auto"/>
            <w:noWrap/>
            <w:vAlign w:val="center"/>
            <w:hideMark/>
          </w:tcPr>
          <w:p w14:paraId="77D0873A" w14:textId="77777777" w:rsidR="00294B8E" w:rsidRPr="00A9330B" w:rsidRDefault="00294B8E" w:rsidP="00F561A7">
            <w:pPr>
              <w:spacing w:before="100" w:line="240" w:lineRule="auto"/>
              <w:jc w:val="center"/>
              <w:rPr>
                <w:color w:val="000000"/>
                <w:sz w:val="20"/>
                <w:szCs w:val="20"/>
                <w:lang w:eastAsia="fr-FR"/>
              </w:rPr>
            </w:pPr>
            <w:r w:rsidRPr="00A9330B">
              <w:rPr>
                <w:color w:val="000000"/>
                <w:sz w:val="20"/>
                <w:szCs w:val="20"/>
                <w:lang w:eastAsia="fr-FR"/>
              </w:rPr>
              <w:t>0,002</w:t>
            </w:r>
          </w:p>
        </w:tc>
      </w:tr>
      <w:tr w:rsidR="00294B8E" w:rsidRPr="00A9330B" w14:paraId="0BAEA861" w14:textId="77777777" w:rsidTr="00294B8E">
        <w:trPr>
          <w:trHeight w:val="296"/>
          <w:jc w:val="center"/>
        </w:trPr>
        <w:tc>
          <w:tcPr>
            <w:tcW w:w="3577" w:type="dxa"/>
            <w:tcBorders>
              <w:top w:val="nil"/>
              <w:left w:val="single" w:sz="4" w:space="0" w:color="auto"/>
              <w:bottom w:val="single" w:sz="4" w:space="0" w:color="auto"/>
              <w:right w:val="single" w:sz="4" w:space="0" w:color="auto"/>
            </w:tcBorders>
            <w:shd w:val="clear" w:color="auto" w:fill="auto"/>
            <w:noWrap/>
            <w:vAlign w:val="center"/>
            <w:hideMark/>
          </w:tcPr>
          <w:p w14:paraId="65E66651" w14:textId="77777777" w:rsidR="00294B8E" w:rsidRPr="00A9330B" w:rsidRDefault="00294B8E" w:rsidP="00F561A7">
            <w:pPr>
              <w:spacing w:before="100" w:line="240" w:lineRule="auto"/>
              <w:rPr>
                <w:color w:val="000000"/>
                <w:sz w:val="20"/>
                <w:szCs w:val="20"/>
                <w:lang w:eastAsia="fr-FR"/>
              </w:rPr>
            </w:pPr>
            <w:r w:rsidRPr="00A9330B">
              <w:rPr>
                <w:color w:val="000000"/>
                <w:sz w:val="20"/>
                <w:szCs w:val="20"/>
                <w:lang w:eastAsia="fr-FR"/>
              </w:rPr>
              <w:t>Anni</w:t>
            </w:r>
          </w:p>
        </w:tc>
        <w:tc>
          <w:tcPr>
            <w:tcW w:w="1717" w:type="dxa"/>
            <w:tcBorders>
              <w:top w:val="nil"/>
              <w:left w:val="nil"/>
              <w:bottom w:val="single" w:sz="4" w:space="0" w:color="auto"/>
              <w:right w:val="single" w:sz="4" w:space="0" w:color="auto"/>
            </w:tcBorders>
            <w:shd w:val="clear" w:color="auto" w:fill="auto"/>
            <w:noWrap/>
            <w:vAlign w:val="center"/>
            <w:hideMark/>
          </w:tcPr>
          <w:p w14:paraId="52F00FFC" w14:textId="77777777" w:rsidR="00294B8E" w:rsidRPr="00A9330B" w:rsidRDefault="00294B8E" w:rsidP="00F561A7">
            <w:pPr>
              <w:spacing w:before="100" w:line="240" w:lineRule="auto"/>
              <w:jc w:val="center"/>
              <w:rPr>
                <w:color w:val="000000"/>
                <w:sz w:val="20"/>
                <w:szCs w:val="20"/>
                <w:lang w:eastAsia="fr-FR"/>
              </w:rPr>
            </w:pPr>
            <w:r w:rsidRPr="00A9330B">
              <w:rPr>
                <w:color w:val="000000"/>
                <w:sz w:val="20"/>
                <w:szCs w:val="20"/>
                <w:lang w:eastAsia="fr-FR"/>
              </w:rPr>
              <w:t>0,005</w:t>
            </w:r>
          </w:p>
        </w:tc>
        <w:tc>
          <w:tcPr>
            <w:tcW w:w="1717" w:type="dxa"/>
            <w:tcBorders>
              <w:top w:val="nil"/>
              <w:left w:val="nil"/>
              <w:bottom w:val="single" w:sz="4" w:space="0" w:color="auto"/>
              <w:right w:val="single" w:sz="4" w:space="0" w:color="auto"/>
            </w:tcBorders>
            <w:shd w:val="clear" w:color="auto" w:fill="auto"/>
            <w:noWrap/>
            <w:vAlign w:val="center"/>
            <w:hideMark/>
          </w:tcPr>
          <w:p w14:paraId="5EA2193A" w14:textId="77777777" w:rsidR="00294B8E" w:rsidRPr="00A9330B" w:rsidRDefault="00294B8E" w:rsidP="00F561A7">
            <w:pPr>
              <w:spacing w:before="100" w:line="240" w:lineRule="auto"/>
              <w:jc w:val="center"/>
              <w:rPr>
                <w:color w:val="000000"/>
                <w:sz w:val="20"/>
                <w:szCs w:val="20"/>
                <w:lang w:eastAsia="fr-FR"/>
              </w:rPr>
            </w:pPr>
            <w:r w:rsidRPr="00A9330B">
              <w:rPr>
                <w:color w:val="000000"/>
                <w:sz w:val="20"/>
                <w:szCs w:val="20"/>
                <w:lang w:eastAsia="fr-FR"/>
              </w:rPr>
              <w:t>0,000</w:t>
            </w:r>
          </w:p>
        </w:tc>
      </w:tr>
      <w:tr w:rsidR="00294B8E" w:rsidRPr="00A9330B" w14:paraId="22DAABB2" w14:textId="77777777" w:rsidTr="00294B8E">
        <w:trPr>
          <w:trHeight w:val="296"/>
          <w:jc w:val="center"/>
        </w:trPr>
        <w:tc>
          <w:tcPr>
            <w:tcW w:w="3577" w:type="dxa"/>
            <w:tcBorders>
              <w:top w:val="nil"/>
              <w:left w:val="single" w:sz="4" w:space="0" w:color="auto"/>
              <w:bottom w:val="single" w:sz="4" w:space="0" w:color="auto"/>
              <w:right w:val="single" w:sz="4" w:space="0" w:color="auto"/>
            </w:tcBorders>
            <w:shd w:val="clear" w:color="auto" w:fill="auto"/>
            <w:noWrap/>
            <w:vAlign w:val="center"/>
            <w:hideMark/>
          </w:tcPr>
          <w:p w14:paraId="467E50B4" w14:textId="77777777" w:rsidR="00294B8E" w:rsidRPr="00A9330B" w:rsidRDefault="00294B8E" w:rsidP="00F561A7">
            <w:pPr>
              <w:spacing w:before="100" w:line="240" w:lineRule="auto"/>
              <w:rPr>
                <w:color w:val="000000"/>
                <w:sz w:val="20"/>
                <w:szCs w:val="20"/>
                <w:lang w:eastAsia="fr-FR"/>
              </w:rPr>
            </w:pPr>
            <w:r w:rsidRPr="00A9330B">
              <w:rPr>
                <w:color w:val="000000"/>
                <w:sz w:val="20"/>
                <w:szCs w:val="20"/>
                <w:lang w:eastAsia="fr-FR"/>
              </w:rPr>
              <w:t>Bariba</w:t>
            </w:r>
          </w:p>
        </w:tc>
        <w:tc>
          <w:tcPr>
            <w:tcW w:w="1717" w:type="dxa"/>
            <w:tcBorders>
              <w:top w:val="nil"/>
              <w:left w:val="nil"/>
              <w:bottom w:val="single" w:sz="4" w:space="0" w:color="auto"/>
              <w:right w:val="single" w:sz="4" w:space="0" w:color="auto"/>
            </w:tcBorders>
            <w:shd w:val="clear" w:color="auto" w:fill="auto"/>
            <w:noWrap/>
            <w:vAlign w:val="center"/>
            <w:hideMark/>
          </w:tcPr>
          <w:p w14:paraId="76EADD75" w14:textId="77777777" w:rsidR="00294B8E" w:rsidRPr="00A9330B" w:rsidRDefault="00294B8E" w:rsidP="00F561A7">
            <w:pPr>
              <w:spacing w:before="100" w:line="240" w:lineRule="auto"/>
              <w:jc w:val="center"/>
              <w:rPr>
                <w:color w:val="000000"/>
                <w:sz w:val="20"/>
                <w:szCs w:val="20"/>
                <w:lang w:eastAsia="fr-FR"/>
              </w:rPr>
            </w:pPr>
            <w:r w:rsidRPr="00A9330B">
              <w:rPr>
                <w:color w:val="000000"/>
                <w:sz w:val="20"/>
                <w:szCs w:val="20"/>
                <w:lang w:eastAsia="fr-FR"/>
              </w:rPr>
              <w:t>0,057</w:t>
            </w:r>
          </w:p>
        </w:tc>
        <w:tc>
          <w:tcPr>
            <w:tcW w:w="1717" w:type="dxa"/>
            <w:tcBorders>
              <w:top w:val="nil"/>
              <w:left w:val="nil"/>
              <w:bottom w:val="single" w:sz="4" w:space="0" w:color="auto"/>
              <w:right w:val="single" w:sz="4" w:space="0" w:color="auto"/>
            </w:tcBorders>
            <w:shd w:val="clear" w:color="auto" w:fill="auto"/>
            <w:noWrap/>
            <w:vAlign w:val="center"/>
            <w:hideMark/>
          </w:tcPr>
          <w:p w14:paraId="2B3ECA11" w14:textId="77777777" w:rsidR="00294B8E" w:rsidRPr="00A9330B" w:rsidRDefault="00294B8E" w:rsidP="00F561A7">
            <w:pPr>
              <w:spacing w:before="100" w:line="240" w:lineRule="auto"/>
              <w:jc w:val="center"/>
              <w:rPr>
                <w:color w:val="000000"/>
                <w:sz w:val="20"/>
                <w:szCs w:val="20"/>
                <w:lang w:eastAsia="fr-FR"/>
              </w:rPr>
            </w:pPr>
            <w:r w:rsidRPr="00A9330B">
              <w:rPr>
                <w:color w:val="000000"/>
                <w:sz w:val="20"/>
                <w:szCs w:val="20"/>
                <w:lang w:eastAsia="fr-FR"/>
              </w:rPr>
              <w:t>0,017</w:t>
            </w:r>
          </w:p>
        </w:tc>
      </w:tr>
      <w:tr w:rsidR="00294B8E" w:rsidRPr="00A9330B" w14:paraId="346D347C" w14:textId="77777777" w:rsidTr="00294B8E">
        <w:trPr>
          <w:trHeight w:val="296"/>
          <w:jc w:val="center"/>
        </w:trPr>
        <w:tc>
          <w:tcPr>
            <w:tcW w:w="3577" w:type="dxa"/>
            <w:tcBorders>
              <w:top w:val="nil"/>
              <w:left w:val="single" w:sz="4" w:space="0" w:color="auto"/>
              <w:bottom w:val="single" w:sz="4" w:space="0" w:color="auto"/>
              <w:right w:val="single" w:sz="4" w:space="0" w:color="auto"/>
            </w:tcBorders>
            <w:shd w:val="clear" w:color="auto" w:fill="auto"/>
            <w:noWrap/>
            <w:vAlign w:val="center"/>
            <w:hideMark/>
          </w:tcPr>
          <w:p w14:paraId="39F98403" w14:textId="77777777" w:rsidR="00294B8E" w:rsidRPr="00A9330B" w:rsidRDefault="00294B8E" w:rsidP="00F561A7">
            <w:pPr>
              <w:spacing w:before="100" w:line="240" w:lineRule="auto"/>
              <w:rPr>
                <w:color w:val="000000"/>
                <w:sz w:val="20"/>
                <w:szCs w:val="20"/>
                <w:lang w:eastAsia="fr-FR"/>
              </w:rPr>
            </w:pPr>
            <w:r w:rsidRPr="00A9330B">
              <w:rPr>
                <w:color w:val="000000"/>
                <w:sz w:val="20"/>
                <w:szCs w:val="20"/>
                <w:lang w:eastAsia="fr-FR"/>
              </w:rPr>
              <w:t>Berba</w:t>
            </w:r>
          </w:p>
        </w:tc>
        <w:tc>
          <w:tcPr>
            <w:tcW w:w="1717" w:type="dxa"/>
            <w:tcBorders>
              <w:top w:val="nil"/>
              <w:left w:val="nil"/>
              <w:bottom w:val="single" w:sz="4" w:space="0" w:color="auto"/>
              <w:right w:val="single" w:sz="4" w:space="0" w:color="auto"/>
            </w:tcBorders>
            <w:shd w:val="clear" w:color="auto" w:fill="auto"/>
            <w:noWrap/>
            <w:vAlign w:val="center"/>
            <w:hideMark/>
          </w:tcPr>
          <w:p w14:paraId="344A3158" w14:textId="77777777" w:rsidR="00294B8E" w:rsidRPr="00A9330B" w:rsidRDefault="00294B8E" w:rsidP="00F561A7">
            <w:pPr>
              <w:spacing w:before="100" w:line="240" w:lineRule="auto"/>
              <w:jc w:val="center"/>
              <w:rPr>
                <w:color w:val="000000"/>
                <w:sz w:val="20"/>
                <w:szCs w:val="20"/>
                <w:lang w:eastAsia="fr-FR"/>
              </w:rPr>
            </w:pPr>
            <w:r w:rsidRPr="00A9330B">
              <w:rPr>
                <w:color w:val="000000"/>
                <w:sz w:val="20"/>
                <w:szCs w:val="20"/>
                <w:lang w:eastAsia="fr-FR"/>
              </w:rPr>
              <w:t>0,022</w:t>
            </w:r>
          </w:p>
        </w:tc>
        <w:tc>
          <w:tcPr>
            <w:tcW w:w="1717" w:type="dxa"/>
            <w:tcBorders>
              <w:top w:val="nil"/>
              <w:left w:val="nil"/>
              <w:bottom w:val="single" w:sz="4" w:space="0" w:color="auto"/>
              <w:right w:val="single" w:sz="4" w:space="0" w:color="auto"/>
            </w:tcBorders>
            <w:shd w:val="clear" w:color="auto" w:fill="auto"/>
            <w:noWrap/>
            <w:vAlign w:val="center"/>
            <w:hideMark/>
          </w:tcPr>
          <w:p w14:paraId="1D53D709" w14:textId="77777777" w:rsidR="00294B8E" w:rsidRPr="00A9330B" w:rsidRDefault="00294B8E" w:rsidP="00F561A7">
            <w:pPr>
              <w:spacing w:before="100" w:line="240" w:lineRule="auto"/>
              <w:jc w:val="center"/>
              <w:rPr>
                <w:color w:val="000000"/>
                <w:sz w:val="20"/>
                <w:szCs w:val="20"/>
                <w:lang w:eastAsia="fr-FR"/>
              </w:rPr>
            </w:pPr>
            <w:r w:rsidRPr="00A9330B">
              <w:rPr>
                <w:color w:val="000000"/>
                <w:sz w:val="20"/>
                <w:szCs w:val="20"/>
                <w:lang w:eastAsia="fr-FR"/>
              </w:rPr>
              <w:t>0,007</w:t>
            </w:r>
          </w:p>
        </w:tc>
      </w:tr>
      <w:tr w:rsidR="00294B8E" w:rsidRPr="00A9330B" w14:paraId="7E9E9F5B" w14:textId="77777777" w:rsidTr="00294B8E">
        <w:trPr>
          <w:trHeight w:val="296"/>
          <w:jc w:val="center"/>
        </w:trPr>
        <w:tc>
          <w:tcPr>
            <w:tcW w:w="3577" w:type="dxa"/>
            <w:tcBorders>
              <w:top w:val="nil"/>
              <w:left w:val="single" w:sz="4" w:space="0" w:color="auto"/>
              <w:bottom w:val="single" w:sz="4" w:space="0" w:color="auto"/>
              <w:right w:val="single" w:sz="4" w:space="0" w:color="auto"/>
            </w:tcBorders>
            <w:shd w:val="clear" w:color="auto" w:fill="auto"/>
            <w:noWrap/>
            <w:vAlign w:val="center"/>
            <w:hideMark/>
          </w:tcPr>
          <w:p w14:paraId="5C834612" w14:textId="77777777" w:rsidR="00294B8E" w:rsidRPr="00A9330B" w:rsidRDefault="00294B8E" w:rsidP="00F561A7">
            <w:pPr>
              <w:spacing w:before="100" w:line="240" w:lineRule="auto"/>
              <w:rPr>
                <w:color w:val="000000"/>
                <w:sz w:val="20"/>
                <w:szCs w:val="20"/>
                <w:lang w:eastAsia="fr-FR"/>
              </w:rPr>
            </w:pPr>
            <w:r w:rsidRPr="00A9330B">
              <w:rPr>
                <w:color w:val="000000"/>
                <w:sz w:val="20"/>
                <w:szCs w:val="20"/>
                <w:lang w:eastAsia="fr-FR"/>
              </w:rPr>
              <w:t>Biali</w:t>
            </w:r>
          </w:p>
        </w:tc>
        <w:tc>
          <w:tcPr>
            <w:tcW w:w="1717" w:type="dxa"/>
            <w:tcBorders>
              <w:top w:val="nil"/>
              <w:left w:val="nil"/>
              <w:bottom w:val="single" w:sz="4" w:space="0" w:color="auto"/>
              <w:right w:val="single" w:sz="4" w:space="0" w:color="auto"/>
            </w:tcBorders>
            <w:shd w:val="clear" w:color="auto" w:fill="auto"/>
            <w:noWrap/>
            <w:vAlign w:val="center"/>
            <w:hideMark/>
          </w:tcPr>
          <w:p w14:paraId="33241641" w14:textId="77777777" w:rsidR="00294B8E" w:rsidRPr="00A9330B" w:rsidRDefault="00294B8E" w:rsidP="00F561A7">
            <w:pPr>
              <w:spacing w:before="100" w:line="240" w:lineRule="auto"/>
              <w:jc w:val="center"/>
              <w:rPr>
                <w:color w:val="000000"/>
                <w:sz w:val="20"/>
                <w:szCs w:val="20"/>
                <w:lang w:eastAsia="fr-FR"/>
              </w:rPr>
            </w:pPr>
            <w:r w:rsidRPr="00A9330B">
              <w:rPr>
                <w:color w:val="000000"/>
                <w:sz w:val="20"/>
                <w:szCs w:val="20"/>
                <w:lang w:eastAsia="fr-FR"/>
              </w:rPr>
              <w:t>0,000</w:t>
            </w:r>
          </w:p>
        </w:tc>
        <w:tc>
          <w:tcPr>
            <w:tcW w:w="1717" w:type="dxa"/>
            <w:tcBorders>
              <w:top w:val="nil"/>
              <w:left w:val="nil"/>
              <w:bottom w:val="single" w:sz="4" w:space="0" w:color="auto"/>
              <w:right w:val="single" w:sz="4" w:space="0" w:color="auto"/>
            </w:tcBorders>
            <w:shd w:val="clear" w:color="auto" w:fill="auto"/>
            <w:noWrap/>
            <w:vAlign w:val="center"/>
            <w:hideMark/>
          </w:tcPr>
          <w:p w14:paraId="0A767CCE" w14:textId="77777777" w:rsidR="00294B8E" w:rsidRPr="00A9330B" w:rsidRDefault="00294B8E" w:rsidP="00F561A7">
            <w:pPr>
              <w:spacing w:before="100" w:line="240" w:lineRule="auto"/>
              <w:jc w:val="center"/>
              <w:rPr>
                <w:color w:val="000000"/>
                <w:sz w:val="20"/>
                <w:szCs w:val="20"/>
                <w:lang w:eastAsia="fr-FR"/>
              </w:rPr>
            </w:pPr>
            <w:r w:rsidRPr="00A9330B">
              <w:rPr>
                <w:color w:val="000000"/>
                <w:sz w:val="20"/>
                <w:szCs w:val="20"/>
                <w:lang w:eastAsia="fr-FR"/>
              </w:rPr>
              <w:t>0,005</w:t>
            </w:r>
          </w:p>
        </w:tc>
      </w:tr>
      <w:tr w:rsidR="00294B8E" w:rsidRPr="00A9330B" w14:paraId="2051852E" w14:textId="77777777" w:rsidTr="00294B8E">
        <w:trPr>
          <w:trHeight w:val="296"/>
          <w:jc w:val="center"/>
        </w:trPr>
        <w:tc>
          <w:tcPr>
            <w:tcW w:w="3577" w:type="dxa"/>
            <w:tcBorders>
              <w:top w:val="nil"/>
              <w:left w:val="single" w:sz="4" w:space="0" w:color="auto"/>
              <w:bottom w:val="single" w:sz="4" w:space="0" w:color="auto"/>
              <w:right w:val="single" w:sz="4" w:space="0" w:color="auto"/>
            </w:tcBorders>
            <w:shd w:val="clear" w:color="auto" w:fill="auto"/>
            <w:noWrap/>
            <w:vAlign w:val="center"/>
            <w:hideMark/>
          </w:tcPr>
          <w:p w14:paraId="265472ED" w14:textId="77777777" w:rsidR="00294B8E" w:rsidRPr="00A9330B" w:rsidRDefault="00294B8E" w:rsidP="00F561A7">
            <w:pPr>
              <w:spacing w:before="100" w:line="240" w:lineRule="auto"/>
              <w:rPr>
                <w:color w:val="000000"/>
                <w:sz w:val="20"/>
                <w:szCs w:val="20"/>
                <w:lang w:eastAsia="fr-FR"/>
              </w:rPr>
            </w:pPr>
            <w:r w:rsidRPr="00A9330B">
              <w:rPr>
                <w:color w:val="000000"/>
                <w:sz w:val="20"/>
                <w:szCs w:val="20"/>
                <w:lang w:eastAsia="fr-FR"/>
              </w:rPr>
              <w:t>Boo</w:t>
            </w:r>
          </w:p>
        </w:tc>
        <w:tc>
          <w:tcPr>
            <w:tcW w:w="1717" w:type="dxa"/>
            <w:tcBorders>
              <w:top w:val="nil"/>
              <w:left w:val="nil"/>
              <w:bottom w:val="single" w:sz="4" w:space="0" w:color="auto"/>
              <w:right w:val="single" w:sz="4" w:space="0" w:color="auto"/>
            </w:tcBorders>
            <w:shd w:val="clear" w:color="auto" w:fill="auto"/>
            <w:noWrap/>
            <w:vAlign w:val="center"/>
            <w:hideMark/>
          </w:tcPr>
          <w:p w14:paraId="10C9B429" w14:textId="77777777" w:rsidR="00294B8E" w:rsidRPr="00A9330B" w:rsidRDefault="00294B8E" w:rsidP="00F561A7">
            <w:pPr>
              <w:spacing w:before="100" w:line="240" w:lineRule="auto"/>
              <w:jc w:val="center"/>
              <w:rPr>
                <w:color w:val="000000"/>
                <w:sz w:val="20"/>
                <w:szCs w:val="20"/>
                <w:lang w:eastAsia="fr-FR"/>
              </w:rPr>
            </w:pPr>
            <w:r w:rsidRPr="00A9330B">
              <w:rPr>
                <w:color w:val="000000"/>
                <w:sz w:val="20"/>
                <w:szCs w:val="20"/>
                <w:lang w:eastAsia="fr-FR"/>
              </w:rPr>
              <w:t>0,002</w:t>
            </w:r>
          </w:p>
        </w:tc>
        <w:tc>
          <w:tcPr>
            <w:tcW w:w="1717" w:type="dxa"/>
            <w:tcBorders>
              <w:top w:val="nil"/>
              <w:left w:val="nil"/>
              <w:bottom w:val="single" w:sz="4" w:space="0" w:color="auto"/>
              <w:right w:val="single" w:sz="4" w:space="0" w:color="auto"/>
            </w:tcBorders>
            <w:shd w:val="clear" w:color="auto" w:fill="auto"/>
            <w:noWrap/>
            <w:vAlign w:val="center"/>
            <w:hideMark/>
          </w:tcPr>
          <w:p w14:paraId="25113601" w14:textId="77777777" w:rsidR="00294B8E" w:rsidRPr="00A9330B" w:rsidRDefault="00294B8E" w:rsidP="00F561A7">
            <w:pPr>
              <w:spacing w:before="100" w:line="240" w:lineRule="auto"/>
              <w:jc w:val="center"/>
              <w:rPr>
                <w:color w:val="000000"/>
                <w:sz w:val="20"/>
                <w:szCs w:val="20"/>
                <w:lang w:eastAsia="fr-FR"/>
              </w:rPr>
            </w:pPr>
            <w:r w:rsidRPr="00A9330B">
              <w:rPr>
                <w:color w:val="000000"/>
                <w:sz w:val="20"/>
                <w:szCs w:val="20"/>
                <w:lang w:eastAsia="fr-FR"/>
              </w:rPr>
              <w:t>0,000</w:t>
            </w:r>
          </w:p>
        </w:tc>
      </w:tr>
      <w:tr w:rsidR="00294B8E" w:rsidRPr="00A9330B" w14:paraId="744745C6" w14:textId="77777777" w:rsidTr="00294B8E">
        <w:trPr>
          <w:trHeight w:val="296"/>
          <w:jc w:val="center"/>
        </w:trPr>
        <w:tc>
          <w:tcPr>
            <w:tcW w:w="3577" w:type="dxa"/>
            <w:tcBorders>
              <w:top w:val="nil"/>
              <w:left w:val="single" w:sz="4" w:space="0" w:color="auto"/>
              <w:bottom w:val="single" w:sz="4" w:space="0" w:color="auto"/>
              <w:right w:val="single" w:sz="4" w:space="0" w:color="auto"/>
            </w:tcBorders>
            <w:shd w:val="clear" w:color="auto" w:fill="auto"/>
            <w:noWrap/>
            <w:vAlign w:val="center"/>
            <w:hideMark/>
          </w:tcPr>
          <w:p w14:paraId="726EEDC1" w14:textId="77777777" w:rsidR="00294B8E" w:rsidRPr="00A9330B" w:rsidRDefault="00294B8E" w:rsidP="00F561A7">
            <w:pPr>
              <w:spacing w:before="100" w:line="240" w:lineRule="auto"/>
              <w:rPr>
                <w:color w:val="000000"/>
                <w:sz w:val="20"/>
                <w:szCs w:val="20"/>
                <w:lang w:eastAsia="fr-FR"/>
              </w:rPr>
            </w:pPr>
            <w:r w:rsidRPr="00A9330B">
              <w:rPr>
                <w:color w:val="000000"/>
                <w:sz w:val="20"/>
                <w:szCs w:val="20"/>
                <w:lang w:eastAsia="fr-FR"/>
              </w:rPr>
              <w:t>Cotocoli</w:t>
            </w:r>
          </w:p>
        </w:tc>
        <w:tc>
          <w:tcPr>
            <w:tcW w:w="1717" w:type="dxa"/>
            <w:tcBorders>
              <w:top w:val="nil"/>
              <w:left w:val="nil"/>
              <w:bottom w:val="single" w:sz="4" w:space="0" w:color="auto"/>
              <w:right w:val="single" w:sz="4" w:space="0" w:color="auto"/>
            </w:tcBorders>
            <w:shd w:val="clear" w:color="auto" w:fill="auto"/>
            <w:noWrap/>
            <w:vAlign w:val="center"/>
            <w:hideMark/>
          </w:tcPr>
          <w:p w14:paraId="24A40039" w14:textId="77777777" w:rsidR="00294B8E" w:rsidRPr="00A9330B" w:rsidRDefault="00294B8E" w:rsidP="00F561A7">
            <w:pPr>
              <w:spacing w:before="100" w:line="240" w:lineRule="auto"/>
              <w:jc w:val="center"/>
              <w:rPr>
                <w:color w:val="000000"/>
                <w:sz w:val="20"/>
                <w:szCs w:val="20"/>
                <w:lang w:eastAsia="fr-FR"/>
              </w:rPr>
            </w:pPr>
            <w:r w:rsidRPr="00A9330B">
              <w:rPr>
                <w:color w:val="000000"/>
                <w:sz w:val="20"/>
                <w:szCs w:val="20"/>
                <w:lang w:eastAsia="fr-FR"/>
              </w:rPr>
              <w:t>0,007</w:t>
            </w:r>
          </w:p>
        </w:tc>
        <w:tc>
          <w:tcPr>
            <w:tcW w:w="1717" w:type="dxa"/>
            <w:tcBorders>
              <w:top w:val="nil"/>
              <w:left w:val="nil"/>
              <w:bottom w:val="single" w:sz="4" w:space="0" w:color="auto"/>
              <w:right w:val="single" w:sz="4" w:space="0" w:color="auto"/>
            </w:tcBorders>
            <w:shd w:val="clear" w:color="auto" w:fill="auto"/>
            <w:noWrap/>
            <w:vAlign w:val="center"/>
            <w:hideMark/>
          </w:tcPr>
          <w:p w14:paraId="42A94EF8" w14:textId="77777777" w:rsidR="00294B8E" w:rsidRPr="00A9330B" w:rsidRDefault="00294B8E" w:rsidP="00F561A7">
            <w:pPr>
              <w:spacing w:before="100" w:line="240" w:lineRule="auto"/>
              <w:jc w:val="center"/>
              <w:rPr>
                <w:color w:val="000000"/>
                <w:sz w:val="20"/>
                <w:szCs w:val="20"/>
                <w:lang w:eastAsia="fr-FR"/>
              </w:rPr>
            </w:pPr>
            <w:r w:rsidRPr="00A9330B">
              <w:rPr>
                <w:color w:val="000000"/>
                <w:sz w:val="20"/>
                <w:szCs w:val="20"/>
                <w:lang w:eastAsia="fr-FR"/>
              </w:rPr>
              <w:t>0,000</w:t>
            </w:r>
          </w:p>
        </w:tc>
      </w:tr>
      <w:tr w:rsidR="00294B8E" w:rsidRPr="00A9330B" w14:paraId="586ADF52" w14:textId="77777777" w:rsidTr="00294B8E">
        <w:trPr>
          <w:trHeight w:val="296"/>
          <w:jc w:val="center"/>
        </w:trPr>
        <w:tc>
          <w:tcPr>
            <w:tcW w:w="3577" w:type="dxa"/>
            <w:tcBorders>
              <w:top w:val="nil"/>
              <w:left w:val="single" w:sz="4" w:space="0" w:color="auto"/>
              <w:bottom w:val="single" w:sz="4" w:space="0" w:color="auto"/>
              <w:right w:val="single" w:sz="4" w:space="0" w:color="auto"/>
            </w:tcBorders>
            <w:shd w:val="clear" w:color="auto" w:fill="auto"/>
            <w:noWrap/>
            <w:vAlign w:val="center"/>
            <w:hideMark/>
          </w:tcPr>
          <w:p w14:paraId="6D4CBA48" w14:textId="77777777" w:rsidR="00294B8E" w:rsidRPr="00A9330B" w:rsidRDefault="00294B8E" w:rsidP="00F561A7">
            <w:pPr>
              <w:spacing w:before="100" w:line="240" w:lineRule="auto"/>
              <w:rPr>
                <w:color w:val="000000"/>
                <w:sz w:val="20"/>
                <w:szCs w:val="20"/>
                <w:lang w:eastAsia="fr-FR"/>
              </w:rPr>
            </w:pPr>
            <w:r w:rsidRPr="00A9330B">
              <w:rPr>
                <w:color w:val="000000"/>
                <w:sz w:val="20"/>
                <w:szCs w:val="20"/>
                <w:lang w:eastAsia="fr-FR"/>
              </w:rPr>
              <w:t>Dendi</w:t>
            </w:r>
          </w:p>
        </w:tc>
        <w:tc>
          <w:tcPr>
            <w:tcW w:w="1717" w:type="dxa"/>
            <w:tcBorders>
              <w:top w:val="nil"/>
              <w:left w:val="nil"/>
              <w:bottom w:val="single" w:sz="4" w:space="0" w:color="auto"/>
              <w:right w:val="single" w:sz="4" w:space="0" w:color="auto"/>
            </w:tcBorders>
            <w:shd w:val="clear" w:color="auto" w:fill="auto"/>
            <w:noWrap/>
            <w:vAlign w:val="center"/>
            <w:hideMark/>
          </w:tcPr>
          <w:p w14:paraId="33935804" w14:textId="77777777" w:rsidR="00294B8E" w:rsidRPr="00A9330B" w:rsidRDefault="00294B8E" w:rsidP="00F561A7">
            <w:pPr>
              <w:spacing w:before="100" w:line="240" w:lineRule="auto"/>
              <w:jc w:val="center"/>
              <w:rPr>
                <w:color w:val="000000"/>
                <w:sz w:val="20"/>
                <w:szCs w:val="20"/>
                <w:lang w:eastAsia="fr-FR"/>
              </w:rPr>
            </w:pPr>
            <w:r w:rsidRPr="00A9330B">
              <w:rPr>
                <w:color w:val="000000"/>
                <w:sz w:val="20"/>
                <w:szCs w:val="20"/>
                <w:lang w:eastAsia="fr-FR"/>
              </w:rPr>
              <w:t>0,035</w:t>
            </w:r>
          </w:p>
        </w:tc>
        <w:tc>
          <w:tcPr>
            <w:tcW w:w="1717" w:type="dxa"/>
            <w:tcBorders>
              <w:top w:val="nil"/>
              <w:left w:val="nil"/>
              <w:bottom w:val="single" w:sz="4" w:space="0" w:color="auto"/>
              <w:right w:val="single" w:sz="4" w:space="0" w:color="auto"/>
            </w:tcBorders>
            <w:shd w:val="clear" w:color="auto" w:fill="auto"/>
            <w:noWrap/>
            <w:vAlign w:val="center"/>
            <w:hideMark/>
          </w:tcPr>
          <w:p w14:paraId="36A44EAC" w14:textId="77777777" w:rsidR="00294B8E" w:rsidRPr="00A9330B" w:rsidRDefault="00294B8E" w:rsidP="00F561A7">
            <w:pPr>
              <w:spacing w:before="100" w:line="240" w:lineRule="auto"/>
              <w:jc w:val="center"/>
              <w:rPr>
                <w:color w:val="000000"/>
                <w:sz w:val="20"/>
                <w:szCs w:val="20"/>
                <w:lang w:eastAsia="fr-FR"/>
              </w:rPr>
            </w:pPr>
            <w:r w:rsidRPr="00A9330B">
              <w:rPr>
                <w:color w:val="000000"/>
                <w:sz w:val="20"/>
                <w:szCs w:val="20"/>
                <w:lang w:eastAsia="fr-FR"/>
              </w:rPr>
              <w:t>0,002</w:t>
            </w:r>
          </w:p>
        </w:tc>
      </w:tr>
      <w:tr w:rsidR="00294B8E" w:rsidRPr="00A9330B" w14:paraId="21C0872E" w14:textId="77777777" w:rsidTr="00294B8E">
        <w:trPr>
          <w:trHeight w:val="296"/>
          <w:jc w:val="center"/>
        </w:trPr>
        <w:tc>
          <w:tcPr>
            <w:tcW w:w="3577" w:type="dxa"/>
            <w:tcBorders>
              <w:top w:val="nil"/>
              <w:left w:val="single" w:sz="4" w:space="0" w:color="auto"/>
              <w:bottom w:val="single" w:sz="4" w:space="0" w:color="auto"/>
              <w:right w:val="single" w:sz="4" w:space="0" w:color="auto"/>
            </w:tcBorders>
            <w:shd w:val="clear" w:color="auto" w:fill="auto"/>
            <w:noWrap/>
            <w:vAlign w:val="center"/>
            <w:hideMark/>
          </w:tcPr>
          <w:p w14:paraId="17062788" w14:textId="77777777" w:rsidR="00294B8E" w:rsidRPr="00A9330B" w:rsidRDefault="00294B8E" w:rsidP="00F561A7">
            <w:pPr>
              <w:spacing w:before="100" w:line="240" w:lineRule="auto"/>
              <w:rPr>
                <w:color w:val="000000"/>
                <w:sz w:val="20"/>
                <w:szCs w:val="20"/>
                <w:lang w:eastAsia="fr-FR"/>
              </w:rPr>
            </w:pPr>
            <w:r w:rsidRPr="00A9330B">
              <w:rPr>
                <w:color w:val="000000"/>
                <w:sz w:val="20"/>
                <w:szCs w:val="20"/>
                <w:lang w:eastAsia="fr-FR"/>
              </w:rPr>
              <w:t>Ditamari</w:t>
            </w:r>
          </w:p>
        </w:tc>
        <w:tc>
          <w:tcPr>
            <w:tcW w:w="1717" w:type="dxa"/>
            <w:tcBorders>
              <w:top w:val="nil"/>
              <w:left w:val="nil"/>
              <w:bottom w:val="single" w:sz="4" w:space="0" w:color="auto"/>
              <w:right w:val="single" w:sz="4" w:space="0" w:color="auto"/>
            </w:tcBorders>
            <w:shd w:val="clear" w:color="auto" w:fill="ED7D31" w:themeFill="accent2"/>
            <w:noWrap/>
            <w:vAlign w:val="center"/>
            <w:hideMark/>
          </w:tcPr>
          <w:p w14:paraId="62273E9B" w14:textId="77777777" w:rsidR="00294B8E" w:rsidRPr="00A9330B" w:rsidRDefault="00294B8E" w:rsidP="00F561A7">
            <w:pPr>
              <w:spacing w:before="100" w:line="240" w:lineRule="auto"/>
              <w:jc w:val="center"/>
              <w:rPr>
                <w:color w:val="000000"/>
                <w:sz w:val="20"/>
                <w:szCs w:val="20"/>
                <w:lang w:eastAsia="fr-FR"/>
              </w:rPr>
            </w:pPr>
            <w:r w:rsidRPr="00A9330B">
              <w:rPr>
                <w:color w:val="000000"/>
                <w:sz w:val="20"/>
                <w:szCs w:val="20"/>
                <w:lang w:eastAsia="fr-FR"/>
              </w:rPr>
              <w:t>0,185</w:t>
            </w:r>
          </w:p>
        </w:tc>
        <w:tc>
          <w:tcPr>
            <w:tcW w:w="1717" w:type="dxa"/>
            <w:tcBorders>
              <w:top w:val="nil"/>
              <w:left w:val="nil"/>
              <w:bottom w:val="single" w:sz="4" w:space="0" w:color="auto"/>
              <w:right w:val="single" w:sz="4" w:space="0" w:color="auto"/>
            </w:tcBorders>
            <w:shd w:val="clear" w:color="auto" w:fill="ED7D31" w:themeFill="accent2"/>
            <w:noWrap/>
            <w:vAlign w:val="center"/>
            <w:hideMark/>
          </w:tcPr>
          <w:p w14:paraId="1699B4FA" w14:textId="77777777" w:rsidR="00294B8E" w:rsidRPr="00A9330B" w:rsidRDefault="00294B8E" w:rsidP="00F561A7">
            <w:pPr>
              <w:spacing w:before="100" w:line="240" w:lineRule="auto"/>
              <w:jc w:val="center"/>
              <w:rPr>
                <w:color w:val="000000"/>
                <w:sz w:val="20"/>
                <w:szCs w:val="20"/>
                <w:lang w:eastAsia="fr-FR"/>
              </w:rPr>
            </w:pPr>
            <w:r w:rsidRPr="00A9330B">
              <w:rPr>
                <w:color w:val="000000"/>
                <w:sz w:val="20"/>
                <w:szCs w:val="20"/>
                <w:lang w:eastAsia="fr-FR"/>
              </w:rPr>
              <w:t>0,079</w:t>
            </w:r>
          </w:p>
        </w:tc>
      </w:tr>
      <w:tr w:rsidR="00294B8E" w:rsidRPr="00A9330B" w14:paraId="419EE26F" w14:textId="77777777" w:rsidTr="00294B8E">
        <w:trPr>
          <w:trHeight w:val="296"/>
          <w:jc w:val="center"/>
        </w:trPr>
        <w:tc>
          <w:tcPr>
            <w:tcW w:w="3577" w:type="dxa"/>
            <w:tcBorders>
              <w:top w:val="nil"/>
              <w:left w:val="single" w:sz="4" w:space="0" w:color="auto"/>
              <w:bottom w:val="single" w:sz="4" w:space="0" w:color="auto"/>
              <w:right w:val="single" w:sz="4" w:space="0" w:color="auto"/>
            </w:tcBorders>
            <w:shd w:val="clear" w:color="auto" w:fill="auto"/>
            <w:noWrap/>
            <w:vAlign w:val="center"/>
            <w:hideMark/>
          </w:tcPr>
          <w:p w14:paraId="720EB790" w14:textId="77777777" w:rsidR="00294B8E" w:rsidRPr="00A9330B" w:rsidRDefault="00294B8E" w:rsidP="00F561A7">
            <w:pPr>
              <w:spacing w:before="100" w:line="240" w:lineRule="auto"/>
              <w:rPr>
                <w:color w:val="000000"/>
                <w:sz w:val="20"/>
                <w:szCs w:val="20"/>
                <w:lang w:eastAsia="fr-FR"/>
              </w:rPr>
            </w:pPr>
            <w:r w:rsidRPr="00A9330B">
              <w:rPr>
                <w:color w:val="000000"/>
                <w:sz w:val="20"/>
                <w:szCs w:val="20"/>
                <w:lang w:eastAsia="fr-FR"/>
              </w:rPr>
              <w:t>Fon</w:t>
            </w:r>
          </w:p>
        </w:tc>
        <w:tc>
          <w:tcPr>
            <w:tcW w:w="1717" w:type="dxa"/>
            <w:tcBorders>
              <w:top w:val="nil"/>
              <w:left w:val="nil"/>
              <w:bottom w:val="single" w:sz="4" w:space="0" w:color="auto"/>
              <w:right w:val="single" w:sz="4" w:space="0" w:color="auto"/>
            </w:tcBorders>
            <w:shd w:val="clear" w:color="auto" w:fill="auto"/>
            <w:noWrap/>
            <w:vAlign w:val="center"/>
            <w:hideMark/>
          </w:tcPr>
          <w:p w14:paraId="39A516EF" w14:textId="77777777" w:rsidR="00294B8E" w:rsidRPr="00A9330B" w:rsidRDefault="00294B8E" w:rsidP="00F561A7">
            <w:pPr>
              <w:spacing w:before="100" w:line="240" w:lineRule="auto"/>
              <w:jc w:val="center"/>
              <w:rPr>
                <w:color w:val="000000"/>
                <w:sz w:val="20"/>
                <w:szCs w:val="20"/>
                <w:lang w:eastAsia="fr-FR"/>
              </w:rPr>
            </w:pPr>
            <w:r w:rsidRPr="00A9330B">
              <w:rPr>
                <w:color w:val="000000"/>
                <w:sz w:val="20"/>
                <w:szCs w:val="20"/>
                <w:lang w:eastAsia="fr-FR"/>
              </w:rPr>
              <w:t>0,072</w:t>
            </w:r>
          </w:p>
        </w:tc>
        <w:tc>
          <w:tcPr>
            <w:tcW w:w="1717" w:type="dxa"/>
            <w:tcBorders>
              <w:top w:val="nil"/>
              <w:left w:val="nil"/>
              <w:bottom w:val="single" w:sz="4" w:space="0" w:color="auto"/>
              <w:right w:val="single" w:sz="4" w:space="0" w:color="auto"/>
            </w:tcBorders>
            <w:shd w:val="clear" w:color="auto" w:fill="auto"/>
            <w:noWrap/>
            <w:vAlign w:val="center"/>
            <w:hideMark/>
          </w:tcPr>
          <w:p w14:paraId="0D6D9FFA" w14:textId="77777777" w:rsidR="00294B8E" w:rsidRPr="00A9330B" w:rsidRDefault="00294B8E" w:rsidP="00F561A7">
            <w:pPr>
              <w:spacing w:before="100" w:line="240" w:lineRule="auto"/>
              <w:jc w:val="center"/>
              <w:rPr>
                <w:color w:val="000000"/>
                <w:sz w:val="20"/>
                <w:szCs w:val="20"/>
                <w:lang w:eastAsia="fr-FR"/>
              </w:rPr>
            </w:pPr>
            <w:r w:rsidRPr="00A9330B">
              <w:rPr>
                <w:color w:val="000000"/>
                <w:sz w:val="20"/>
                <w:szCs w:val="20"/>
                <w:lang w:eastAsia="fr-FR"/>
              </w:rPr>
              <w:t>0,022</w:t>
            </w:r>
          </w:p>
        </w:tc>
      </w:tr>
      <w:tr w:rsidR="00294B8E" w:rsidRPr="00A9330B" w14:paraId="52F3A13D" w14:textId="77777777" w:rsidTr="00294B8E">
        <w:trPr>
          <w:trHeight w:val="296"/>
          <w:jc w:val="center"/>
        </w:trPr>
        <w:tc>
          <w:tcPr>
            <w:tcW w:w="3577" w:type="dxa"/>
            <w:tcBorders>
              <w:top w:val="nil"/>
              <w:left w:val="single" w:sz="4" w:space="0" w:color="auto"/>
              <w:bottom w:val="single" w:sz="4" w:space="0" w:color="auto"/>
              <w:right w:val="single" w:sz="4" w:space="0" w:color="auto"/>
            </w:tcBorders>
            <w:shd w:val="clear" w:color="auto" w:fill="auto"/>
            <w:noWrap/>
            <w:vAlign w:val="center"/>
            <w:hideMark/>
          </w:tcPr>
          <w:p w14:paraId="0761810A" w14:textId="77777777" w:rsidR="00294B8E" w:rsidRPr="00A9330B" w:rsidRDefault="00294B8E" w:rsidP="00F561A7">
            <w:pPr>
              <w:spacing w:before="100" w:line="240" w:lineRule="auto"/>
              <w:rPr>
                <w:color w:val="000000"/>
                <w:sz w:val="20"/>
                <w:szCs w:val="20"/>
                <w:lang w:eastAsia="fr-FR"/>
              </w:rPr>
            </w:pPr>
            <w:r w:rsidRPr="00A9330B">
              <w:rPr>
                <w:color w:val="000000"/>
                <w:sz w:val="20"/>
                <w:szCs w:val="20"/>
                <w:lang w:eastAsia="fr-FR"/>
              </w:rPr>
              <w:t>Goun</w:t>
            </w:r>
          </w:p>
        </w:tc>
        <w:tc>
          <w:tcPr>
            <w:tcW w:w="1717" w:type="dxa"/>
            <w:tcBorders>
              <w:top w:val="nil"/>
              <w:left w:val="nil"/>
              <w:bottom w:val="single" w:sz="4" w:space="0" w:color="auto"/>
              <w:right w:val="single" w:sz="4" w:space="0" w:color="auto"/>
            </w:tcBorders>
            <w:shd w:val="clear" w:color="auto" w:fill="auto"/>
            <w:noWrap/>
            <w:vAlign w:val="center"/>
            <w:hideMark/>
          </w:tcPr>
          <w:p w14:paraId="429FFF66" w14:textId="77777777" w:rsidR="00294B8E" w:rsidRPr="00A9330B" w:rsidRDefault="00294B8E" w:rsidP="00F561A7">
            <w:pPr>
              <w:spacing w:before="100" w:line="240" w:lineRule="auto"/>
              <w:jc w:val="center"/>
              <w:rPr>
                <w:color w:val="000000"/>
                <w:sz w:val="20"/>
                <w:szCs w:val="20"/>
                <w:lang w:eastAsia="fr-FR"/>
              </w:rPr>
            </w:pPr>
            <w:r w:rsidRPr="00A9330B">
              <w:rPr>
                <w:color w:val="000000"/>
                <w:sz w:val="20"/>
                <w:szCs w:val="20"/>
                <w:lang w:eastAsia="fr-FR"/>
              </w:rPr>
              <w:t>0,002</w:t>
            </w:r>
          </w:p>
        </w:tc>
        <w:tc>
          <w:tcPr>
            <w:tcW w:w="1717" w:type="dxa"/>
            <w:tcBorders>
              <w:top w:val="nil"/>
              <w:left w:val="nil"/>
              <w:bottom w:val="single" w:sz="4" w:space="0" w:color="auto"/>
              <w:right w:val="single" w:sz="4" w:space="0" w:color="auto"/>
            </w:tcBorders>
            <w:shd w:val="clear" w:color="auto" w:fill="auto"/>
            <w:noWrap/>
            <w:vAlign w:val="center"/>
            <w:hideMark/>
          </w:tcPr>
          <w:p w14:paraId="0F15D0B0" w14:textId="77777777" w:rsidR="00294B8E" w:rsidRPr="00A9330B" w:rsidRDefault="00294B8E" w:rsidP="00F561A7">
            <w:pPr>
              <w:spacing w:before="100" w:line="240" w:lineRule="auto"/>
              <w:jc w:val="center"/>
              <w:rPr>
                <w:color w:val="000000"/>
                <w:sz w:val="20"/>
                <w:szCs w:val="20"/>
                <w:lang w:eastAsia="fr-FR"/>
              </w:rPr>
            </w:pPr>
            <w:r w:rsidRPr="00A9330B">
              <w:rPr>
                <w:color w:val="000000"/>
                <w:sz w:val="20"/>
                <w:szCs w:val="20"/>
                <w:lang w:eastAsia="fr-FR"/>
              </w:rPr>
              <w:t>0,000</w:t>
            </w:r>
          </w:p>
        </w:tc>
      </w:tr>
      <w:tr w:rsidR="00294B8E" w:rsidRPr="00A9330B" w14:paraId="3203F88A" w14:textId="77777777" w:rsidTr="00294B8E">
        <w:trPr>
          <w:trHeight w:val="296"/>
          <w:jc w:val="center"/>
        </w:trPr>
        <w:tc>
          <w:tcPr>
            <w:tcW w:w="3577" w:type="dxa"/>
            <w:tcBorders>
              <w:top w:val="nil"/>
              <w:left w:val="single" w:sz="4" w:space="0" w:color="auto"/>
              <w:bottom w:val="single" w:sz="4" w:space="0" w:color="auto"/>
              <w:right w:val="single" w:sz="4" w:space="0" w:color="auto"/>
            </w:tcBorders>
            <w:shd w:val="clear" w:color="auto" w:fill="auto"/>
            <w:noWrap/>
            <w:vAlign w:val="center"/>
            <w:hideMark/>
          </w:tcPr>
          <w:p w14:paraId="677D8EEE" w14:textId="77777777" w:rsidR="00294B8E" w:rsidRPr="00A9330B" w:rsidRDefault="00294B8E" w:rsidP="00F561A7">
            <w:pPr>
              <w:spacing w:before="100" w:line="240" w:lineRule="auto"/>
              <w:rPr>
                <w:color w:val="000000"/>
                <w:sz w:val="20"/>
                <w:szCs w:val="20"/>
                <w:lang w:eastAsia="fr-FR"/>
              </w:rPr>
            </w:pPr>
            <w:r w:rsidRPr="00A9330B">
              <w:rPr>
                <w:color w:val="000000"/>
                <w:sz w:val="20"/>
                <w:szCs w:val="20"/>
                <w:lang w:eastAsia="fr-FR"/>
              </w:rPr>
              <w:t>Gourmatché</w:t>
            </w:r>
          </w:p>
        </w:tc>
        <w:tc>
          <w:tcPr>
            <w:tcW w:w="1717" w:type="dxa"/>
            <w:tcBorders>
              <w:top w:val="nil"/>
              <w:left w:val="nil"/>
              <w:bottom w:val="single" w:sz="4" w:space="0" w:color="auto"/>
              <w:right w:val="single" w:sz="4" w:space="0" w:color="auto"/>
            </w:tcBorders>
            <w:shd w:val="clear" w:color="auto" w:fill="auto"/>
            <w:noWrap/>
            <w:vAlign w:val="center"/>
            <w:hideMark/>
          </w:tcPr>
          <w:p w14:paraId="56E11E45" w14:textId="77777777" w:rsidR="00294B8E" w:rsidRPr="00A9330B" w:rsidRDefault="00294B8E" w:rsidP="00F561A7">
            <w:pPr>
              <w:spacing w:before="100" w:line="240" w:lineRule="auto"/>
              <w:jc w:val="center"/>
              <w:rPr>
                <w:color w:val="000000"/>
                <w:sz w:val="20"/>
                <w:szCs w:val="20"/>
                <w:lang w:eastAsia="fr-FR"/>
              </w:rPr>
            </w:pPr>
            <w:r w:rsidRPr="00A9330B">
              <w:rPr>
                <w:color w:val="000000"/>
                <w:sz w:val="20"/>
                <w:szCs w:val="20"/>
                <w:lang w:eastAsia="fr-FR"/>
              </w:rPr>
              <w:t>0,030</w:t>
            </w:r>
          </w:p>
        </w:tc>
        <w:tc>
          <w:tcPr>
            <w:tcW w:w="1717" w:type="dxa"/>
            <w:tcBorders>
              <w:top w:val="nil"/>
              <w:left w:val="nil"/>
              <w:bottom w:val="single" w:sz="4" w:space="0" w:color="auto"/>
              <w:right w:val="single" w:sz="4" w:space="0" w:color="auto"/>
            </w:tcBorders>
            <w:shd w:val="clear" w:color="auto" w:fill="auto"/>
            <w:noWrap/>
            <w:vAlign w:val="center"/>
            <w:hideMark/>
          </w:tcPr>
          <w:p w14:paraId="155326CB" w14:textId="77777777" w:rsidR="00294B8E" w:rsidRPr="00A9330B" w:rsidRDefault="00294B8E" w:rsidP="00F561A7">
            <w:pPr>
              <w:spacing w:before="100" w:line="240" w:lineRule="auto"/>
              <w:jc w:val="center"/>
              <w:rPr>
                <w:color w:val="000000"/>
                <w:sz w:val="20"/>
                <w:szCs w:val="20"/>
                <w:lang w:eastAsia="fr-FR"/>
              </w:rPr>
            </w:pPr>
            <w:r w:rsidRPr="00A9330B">
              <w:rPr>
                <w:color w:val="000000"/>
                <w:sz w:val="20"/>
                <w:szCs w:val="20"/>
                <w:lang w:eastAsia="fr-FR"/>
              </w:rPr>
              <w:t>0,002</w:t>
            </w:r>
          </w:p>
        </w:tc>
      </w:tr>
      <w:tr w:rsidR="00294B8E" w:rsidRPr="00A9330B" w14:paraId="0E79F1F4" w14:textId="77777777" w:rsidTr="00294B8E">
        <w:trPr>
          <w:trHeight w:val="296"/>
          <w:jc w:val="center"/>
        </w:trPr>
        <w:tc>
          <w:tcPr>
            <w:tcW w:w="3577" w:type="dxa"/>
            <w:tcBorders>
              <w:top w:val="nil"/>
              <w:left w:val="single" w:sz="4" w:space="0" w:color="auto"/>
              <w:bottom w:val="single" w:sz="4" w:space="0" w:color="auto"/>
              <w:right w:val="single" w:sz="4" w:space="0" w:color="auto"/>
            </w:tcBorders>
            <w:shd w:val="clear" w:color="auto" w:fill="auto"/>
            <w:noWrap/>
            <w:vAlign w:val="center"/>
            <w:hideMark/>
          </w:tcPr>
          <w:p w14:paraId="5D6281D9" w14:textId="77777777" w:rsidR="00294B8E" w:rsidRPr="00A9330B" w:rsidRDefault="00294B8E" w:rsidP="00F561A7">
            <w:pPr>
              <w:spacing w:before="100" w:line="240" w:lineRule="auto"/>
              <w:rPr>
                <w:color w:val="000000"/>
                <w:sz w:val="20"/>
                <w:szCs w:val="20"/>
                <w:lang w:eastAsia="fr-FR"/>
              </w:rPr>
            </w:pPr>
            <w:r w:rsidRPr="00A9330B">
              <w:rPr>
                <w:color w:val="000000"/>
                <w:sz w:val="20"/>
                <w:szCs w:val="20"/>
                <w:lang w:eastAsia="fr-FR"/>
              </w:rPr>
              <w:t>Haoussa</w:t>
            </w:r>
          </w:p>
        </w:tc>
        <w:tc>
          <w:tcPr>
            <w:tcW w:w="1717" w:type="dxa"/>
            <w:tcBorders>
              <w:top w:val="nil"/>
              <w:left w:val="nil"/>
              <w:bottom w:val="single" w:sz="4" w:space="0" w:color="auto"/>
              <w:right w:val="single" w:sz="4" w:space="0" w:color="auto"/>
            </w:tcBorders>
            <w:shd w:val="clear" w:color="auto" w:fill="auto"/>
            <w:noWrap/>
            <w:vAlign w:val="center"/>
            <w:hideMark/>
          </w:tcPr>
          <w:p w14:paraId="271C591F" w14:textId="77777777" w:rsidR="00294B8E" w:rsidRPr="00A9330B" w:rsidRDefault="00294B8E" w:rsidP="00F561A7">
            <w:pPr>
              <w:spacing w:before="100" w:line="240" w:lineRule="auto"/>
              <w:jc w:val="center"/>
              <w:rPr>
                <w:color w:val="000000"/>
                <w:sz w:val="20"/>
                <w:szCs w:val="20"/>
                <w:lang w:eastAsia="fr-FR"/>
              </w:rPr>
            </w:pPr>
            <w:r w:rsidRPr="00A9330B">
              <w:rPr>
                <w:color w:val="000000"/>
                <w:sz w:val="20"/>
                <w:szCs w:val="20"/>
                <w:lang w:eastAsia="fr-FR"/>
              </w:rPr>
              <w:t>0,012</w:t>
            </w:r>
          </w:p>
        </w:tc>
        <w:tc>
          <w:tcPr>
            <w:tcW w:w="1717" w:type="dxa"/>
            <w:tcBorders>
              <w:top w:val="nil"/>
              <w:left w:val="nil"/>
              <w:bottom w:val="single" w:sz="4" w:space="0" w:color="auto"/>
              <w:right w:val="single" w:sz="4" w:space="0" w:color="auto"/>
            </w:tcBorders>
            <w:shd w:val="clear" w:color="auto" w:fill="auto"/>
            <w:noWrap/>
            <w:vAlign w:val="center"/>
            <w:hideMark/>
          </w:tcPr>
          <w:p w14:paraId="0593B456" w14:textId="77777777" w:rsidR="00294B8E" w:rsidRPr="00A9330B" w:rsidRDefault="00294B8E" w:rsidP="00F561A7">
            <w:pPr>
              <w:spacing w:before="100" w:line="240" w:lineRule="auto"/>
              <w:jc w:val="center"/>
              <w:rPr>
                <w:color w:val="000000"/>
                <w:sz w:val="20"/>
                <w:szCs w:val="20"/>
                <w:lang w:eastAsia="fr-FR"/>
              </w:rPr>
            </w:pPr>
            <w:r w:rsidRPr="00A9330B">
              <w:rPr>
                <w:color w:val="000000"/>
                <w:sz w:val="20"/>
                <w:szCs w:val="20"/>
                <w:lang w:eastAsia="fr-FR"/>
              </w:rPr>
              <w:t>0,002</w:t>
            </w:r>
          </w:p>
        </w:tc>
      </w:tr>
      <w:tr w:rsidR="00294B8E" w:rsidRPr="00A9330B" w14:paraId="714798BE" w14:textId="77777777" w:rsidTr="00294B8E">
        <w:trPr>
          <w:trHeight w:val="296"/>
          <w:jc w:val="center"/>
        </w:trPr>
        <w:tc>
          <w:tcPr>
            <w:tcW w:w="3577" w:type="dxa"/>
            <w:tcBorders>
              <w:top w:val="nil"/>
              <w:left w:val="single" w:sz="4" w:space="0" w:color="auto"/>
              <w:bottom w:val="single" w:sz="4" w:space="0" w:color="auto"/>
              <w:right w:val="single" w:sz="4" w:space="0" w:color="auto"/>
            </w:tcBorders>
            <w:shd w:val="clear" w:color="auto" w:fill="auto"/>
            <w:noWrap/>
            <w:vAlign w:val="center"/>
            <w:hideMark/>
          </w:tcPr>
          <w:p w14:paraId="7743E5A5" w14:textId="77777777" w:rsidR="00294B8E" w:rsidRPr="00A9330B" w:rsidRDefault="00294B8E" w:rsidP="00F561A7">
            <w:pPr>
              <w:spacing w:before="100" w:line="240" w:lineRule="auto"/>
              <w:rPr>
                <w:color w:val="000000"/>
                <w:sz w:val="20"/>
                <w:szCs w:val="20"/>
                <w:lang w:eastAsia="fr-FR"/>
              </w:rPr>
            </w:pPr>
            <w:r w:rsidRPr="00A9330B">
              <w:rPr>
                <w:color w:val="000000"/>
                <w:sz w:val="20"/>
                <w:szCs w:val="20"/>
                <w:lang w:eastAsia="fr-FR"/>
              </w:rPr>
              <w:t>Ibo</w:t>
            </w:r>
          </w:p>
        </w:tc>
        <w:tc>
          <w:tcPr>
            <w:tcW w:w="1717" w:type="dxa"/>
            <w:tcBorders>
              <w:top w:val="nil"/>
              <w:left w:val="nil"/>
              <w:bottom w:val="single" w:sz="4" w:space="0" w:color="auto"/>
              <w:right w:val="single" w:sz="4" w:space="0" w:color="auto"/>
            </w:tcBorders>
            <w:shd w:val="clear" w:color="auto" w:fill="auto"/>
            <w:noWrap/>
            <w:vAlign w:val="center"/>
            <w:hideMark/>
          </w:tcPr>
          <w:p w14:paraId="02CDDA24" w14:textId="77777777" w:rsidR="00294B8E" w:rsidRPr="00A9330B" w:rsidRDefault="00294B8E" w:rsidP="00F561A7">
            <w:pPr>
              <w:spacing w:before="100" w:line="240" w:lineRule="auto"/>
              <w:jc w:val="center"/>
              <w:rPr>
                <w:color w:val="000000"/>
                <w:sz w:val="20"/>
                <w:szCs w:val="20"/>
                <w:lang w:eastAsia="fr-FR"/>
              </w:rPr>
            </w:pPr>
            <w:r w:rsidRPr="00A9330B">
              <w:rPr>
                <w:color w:val="000000"/>
                <w:sz w:val="20"/>
                <w:szCs w:val="20"/>
                <w:lang w:eastAsia="fr-FR"/>
              </w:rPr>
              <w:t>0,005</w:t>
            </w:r>
          </w:p>
        </w:tc>
        <w:tc>
          <w:tcPr>
            <w:tcW w:w="1717" w:type="dxa"/>
            <w:tcBorders>
              <w:top w:val="nil"/>
              <w:left w:val="nil"/>
              <w:bottom w:val="single" w:sz="4" w:space="0" w:color="auto"/>
              <w:right w:val="single" w:sz="4" w:space="0" w:color="auto"/>
            </w:tcBorders>
            <w:shd w:val="clear" w:color="auto" w:fill="auto"/>
            <w:noWrap/>
            <w:vAlign w:val="center"/>
            <w:hideMark/>
          </w:tcPr>
          <w:p w14:paraId="2E363979" w14:textId="77777777" w:rsidR="00294B8E" w:rsidRPr="00A9330B" w:rsidRDefault="00294B8E" w:rsidP="00F561A7">
            <w:pPr>
              <w:spacing w:before="100" w:line="240" w:lineRule="auto"/>
              <w:jc w:val="center"/>
              <w:rPr>
                <w:color w:val="000000"/>
                <w:sz w:val="20"/>
                <w:szCs w:val="20"/>
                <w:lang w:eastAsia="fr-FR"/>
              </w:rPr>
            </w:pPr>
            <w:r w:rsidRPr="00A9330B">
              <w:rPr>
                <w:color w:val="000000"/>
                <w:sz w:val="20"/>
                <w:szCs w:val="20"/>
                <w:lang w:eastAsia="fr-FR"/>
              </w:rPr>
              <w:t>0,000</w:t>
            </w:r>
          </w:p>
        </w:tc>
      </w:tr>
      <w:tr w:rsidR="00294B8E" w:rsidRPr="00A9330B" w14:paraId="3853DA0C" w14:textId="77777777" w:rsidTr="00294B8E">
        <w:trPr>
          <w:trHeight w:val="296"/>
          <w:jc w:val="center"/>
        </w:trPr>
        <w:tc>
          <w:tcPr>
            <w:tcW w:w="3577" w:type="dxa"/>
            <w:tcBorders>
              <w:top w:val="nil"/>
              <w:left w:val="single" w:sz="4" w:space="0" w:color="auto"/>
              <w:bottom w:val="single" w:sz="4" w:space="0" w:color="auto"/>
              <w:right w:val="single" w:sz="4" w:space="0" w:color="auto"/>
            </w:tcBorders>
            <w:shd w:val="clear" w:color="auto" w:fill="auto"/>
            <w:noWrap/>
            <w:vAlign w:val="center"/>
            <w:hideMark/>
          </w:tcPr>
          <w:p w14:paraId="62BBB44C" w14:textId="77777777" w:rsidR="00294B8E" w:rsidRPr="00A9330B" w:rsidRDefault="00294B8E" w:rsidP="00F561A7">
            <w:pPr>
              <w:spacing w:before="100" w:line="240" w:lineRule="auto"/>
              <w:rPr>
                <w:color w:val="000000"/>
                <w:sz w:val="20"/>
                <w:szCs w:val="20"/>
                <w:lang w:eastAsia="fr-FR"/>
              </w:rPr>
            </w:pPr>
            <w:r w:rsidRPr="00A9330B">
              <w:rPr>
                <w:color w:val="000000"/>
                <w:sz w:val="20"/>
                <w:szCs w:val="20"/>
                <w:lang w:eastAsia="fr-FR"/>
              </w:rPr>
              <w:t>Idatcha</w:t>
            </w:r>
          </w:p>
        </w:tc>
        <w:tc>
          <w:tcPr>
            <w:tcW w:w="1717" w:type="dxa"/>
            <w:tcBorders>
              <w:top w:val="nil"/>
              <w:left w:val="nil"/>
              <w:bottom w:val="single" w:sz="4" w:space="0" w:color="auto"/>
              <w:right w:val="single" w:sz="4" w:space="0" w:color="auto"/>
            </w:tcBorders>
            <w:shd w:val="clear" w:color="auto" w:fill="auto"/>
            <w:noWrap/>
            <w:vAlign w:val="center"/>
            <w:hideMark/>
          </w:tcPr>
          <w:p w14:paraId="5600AA70" w14:textId="77777777" w:rsidR="00294B8E" w:rsidRPr="00A9330B" w:rsidRDefault="00294B8E" w:rsidP="00F561A7">
            <w:pPr>
              <w:spacing w:before="100" w:line="240" w:lineRule="auto"/>
              <w:jc w:val="center"/>
              <w:rPr>
                <w:color w:val="000000"/>
                <w:sz w:val="20"/>
                <w:szCs w:val="20"/>
                <w:lang w:eastAsia="fr-FR"/>
              </w:rPr>
            </w:pPr>
            <w:r w:rsidRPr="00A9330B">
              <w:rPr>
                <w:color w:val="000000"/>
                <w:sz w:val="20"/>
                <w:szCs w:val="20"/>
                <w:lang w:eastAsia="fr-FR"/>
              </w:rPr>
              <w:t>0,012</w:t>
            </w:r>
          </w:p>
        </w:tc>
        <w:tc>
          <w:tcPr>
            <w:tcW w:w="1717" w:type="dxa"/>
            <w:tcBorders>
              <w:top w:val="nil"/>
              <w:left w:val="nil"/>
              <w:bottom w:val="single" w:sz="4" w:space="0" w:color="auto"/>
              <w:right w:val="single" w:sz="4" w:space="0" w:color="auto"/>
            </w:tcBorders>
            <w:shd w:val="clear" w:color="auto" w:fill="auto"/>
            <w:noWrap/>
            <w:vAlign w:val="center"/>
            <w:hideMark/>
          </w:tcPr>
          <w:p w14:paraId="72977AED" w14:textId="77777777" w:rsidR="00294B8E" w:rsidRPr="00A9330B" w:rsidRDefault="00294B8E" w:rsidP="00F561A7">
            <w:pPr>
              <w:spacing w:before="100" w:line="240" w:lineRule="auto"/>
              <w:jc w:val="center"/>
              <w:rPr>
                <w:color w:val="000000"/>
                <w:sz w:val="20"/>
                <w:szCs w:val="20"/>
                <w:lang w:eastAsia="fr-FR"/>
              </w:rPr>
            </w:pPr>
            <w:r w:rsidRPr="00A9330B">
              <w:rPr>
                <w:color w:val="000000"/>
                <w:sz w:val="20"/>
                <w:szCs w:val="20"/>
                <w:lang w:eastAsia="fr-FR"/>
              </w:rPr>
              <w:t>0,002</w:t>
            </w:r>
          </w:p>
        </w:tc>
      </w:tr>
      <w:tr w:rsidR="00294B8E" w:rsidRPr="00A9330B" w14:paraId="4ED59F37" w14:textId="77777777" w:rsidTr="00294B8E">
        <w:trPr>
          <w:trHeight w:val="296"/>
          <w:jc w:val="center"/>
        </w:trPr>
        <w:tc>
          <w:tcPr>
            <w:tcW w:w="3577" w:type="dxa"/>
            <w:tcBorders>
              <w:top w:val="nil"/>
              <w:left w:val="single" w:sz="4" w:space="0" w:color="auto"/>
              <w:bottom w:val="single" w:sz="4" w:space="0" w:color="auto"/>
              <w:right w:val="single" w:sz="4" w:space="0" w:color="auto"/>
            </w:tcBorders>
            <w:shd w:val="clear" w:color="auto" w:fill="auto"/>
            <w:noWrap/>
            <w:vAlign w:val="center"/>
            <w:hideMark/>
          </w:tcPr>
          <w:p w14:paraId="03E0D342" w14:textId="77777777" w:rsidR="00294B8E" w:rsidRPr="00A9330B" w:rsidRDefault="00294B8E" w:rsidP="00F561A7">
            <w:pPr>
              <w:spacing w:before="100" w:line="240" w:lineRule="auto"/>
              <w:rPr>
                <w:color w:val="000000"/>
                <w:sz w:val="20"/>
                <w:szCs w:val="20"/>
                <w:lang w:eastAsia="fr-FR"/>
              </w:rPr>
            </w:pPr>
            <w:r w:rsidRPr="00A9330B">
              <w:rPr>
                <w:color w:val="000000"/>
                <w:sz w:val="20"/>
                <w:szCs w:val="20"/>
                <w:lang w:eastAsia="fr-FR"/>
              </w:rPr>
              <w:t>Ifè</w:t>
            </w:r>
          </w:p>
        </w:tc>
        <w:tc>
          <w:tcPr>
            <w:tcW w:w="1717" w:type="dxa"/>
            <w:tcBorders>
              <w:top w:val="nil"/>
              <w:left w:val="nil"/>
              <w:bottom w:val="single" w:sz="4" w:space="0" w:color="auto"/>
              <w:right w:val="single" w:sz="4" w:space="0" w:color="auto"/>
            </w:tcBorders>
            <w:shd w:val="clear" w:color="auto" w:fill="auto"/>
            <w:noWrap/>
            <w:vAlign w:val="center"/>
            <w:hideMark/>
          </w:tcPr>
          <w:p w14:paraId="631536BC" w14:textId="77777777" w:rsidR="00294B8E" w:rsidRPr="00A9330B" w:rsidRDefault="00294B8E" w:rsidP="00F561A7">
            <w:pPr>
              <w:spacing w:before="100" w:line="240" w:lineRule="auto"/>
              <w:jc w:val="center"/>
              <w:rPr>
                <w:color w:val="000000"/>
                <w:sz w:val="20"/>
                <w:szCs w:val="20"/>
                <w:lang w:eastAsia="fr-FR"/>
              </w:rPr>
            </w:pPr>
            <w:r w:rsidRPr="00A9330B">
              <w:rPr>
                <w:color w:val="000000"/>
                <w:sz w:val="20"/>
                <w:szCs w:val="20"/>
                <w:lang w:eastAsia="fr-FR"/>
              </w:rPr>
              <w:t>0,002</w:t>
            </w:r>
          </w:p>
        </w:tc>
        <w:tc>
          <w:tcPr>
            <w:tcW w:w="1717" w:type="dxa"/>
            <w:tcBorders>
              <w:top w:val="nil"/>
              <w:left w:val="nil"/>
              <w:bottom w:val="single" w:sz="4" w:space="0" w:color="auto"/>
              <w:right w:val="single" w:sz="4" w:space="0" w:color="auto"/>
            </w:tcBorders>
            <w:shd w:val="clear" w:color="auto" w:fill="auto"/>
            <w:noWrap/>
            <w:vAlign w:val="center"/>
            <w:hideMark/>
          </w:tcPr>
          <w:p w14:paraId="3FE1A722" w14:textId="77777777" w:rsidR="00294B8E" w:rsidRPr="00A9330B" w:rsidRDefault="00294B8E" w:rsidP="00F561A7">
            <w:pPr>
              <w:spacing w:before="100" w:line="240" w:lineRule="auto"/>
              <w:jc w:val="center"/>
              <w:rPr>
                <w:color w:val="000000"/>
                <w:sz w:val="20"/>
                <w:szCs w:val="20"/>
                <w:lang w:eastAsia="fr-FR"/>
              </w:rPr>
            </w:pPr>
            <w:r w:rsidRPr="00A9330B">
              <w:rPr>
                <w:color w:val="000000"/>
                <w:sz w:val="20"/>
                <w:szCs w:val="20"/>
                <w:lang w:eastAsia="fr-FR"/>
              </w:rPr>
              <w:t>0,000</w:t>
            </w:r>
          </w:p>
        </w:tc>
      </w:tr>
      <w:tr w:rsidR="00294B8E" w:rsidRPr="00A9330B" w14:paraId="788F11A9" w14:textId="77777777" w:rsidTr="00294B8E">
        <w:trPr>
          <w:trHeight w:val="296"/>
          <w:jc w:val="center"/>
        </w:trPr>
        <w:tc>
          <w:tcPr>
            <w:tcW w:w="3577" w:type="dxa"/>
            <w:tcBorders>
              <w:top w:val="nil"/>
              <w:left w:val="single" w:sz="4" w:space="0" w:color="auto"/>
              <w:bottom w:val="single" w:sz="4" w:space="0" w:color="auto"/>
              <w:right w:val="single" w:sz="4" w:space="0" w:color="auto"/>
            </w:tcBorders>
            <w:shd w:val="clear" w:color="auto" w:fill="auto"/>
            <w:noWrap/>
            <w:vAlign w:val="center"/>
            <w:hideMark/>
          </w:tcPr>
          <w:p w14:paraId="7449CEFA" w14:textId="77777777" w:rsidR="00294B8E" w:rsidRPr="00A9330B" w:rsidRDefault="00294B8E" w:rsidP="00F561A7">
            <w:pPr>
              <w:spacing w:before="100" w:line="240" w:lineRule="auto"/>
              <w:rPr>
                <w:color w:val="000000"/>
                <w:sz w:val="20"/>
                <w:szCs w:val="20"/>
                <w:lang w:eastAsia="fr-FR"/>
              </w:rPr>
            </w:pPr>
            <w:r w:rsidRPr="00A9330B">
              <w:rPr>
                <w:color w:val="000000"/>
                <w:sz w:val="20"/>
                <w:szCs w:val="20"/>
                <w:lang w:eastAsia="fr-FR"/>
              </w:rPr>
              <w:t>Kabiè</w:t>
            </w:r>
          </w:p>
        </w:tc>
        <w:tc>
          <w:tcPr>
            <w:tcW w:w="1717" w:type="dxa"/>
            <w:tcBorders>
              <w:top w:val="nil"/>
              <w:left w:val="nil"/>
              <w:bottom w:val="single" w:sz="4" w:space="0" w:color="auto"/>
              <w:right w:val="single" w:sz="4" w:space="0" w:color="auto"/>
            </w:tcBorders>
            <w:shd w:val="clear" w:color="auto" w:fill="auto"/>
            <w:noWrap/>
            <w:vAlign w:val="center"/>
            <w:hideMark/>
          </w:tcPr>
          <w:p w14:paraId="4E965065" w14:textId="77777777" w:rsidR="00294B8E" w:rsidRPr="00A9330B" w:rsidRDefault="00294B8E" w:rsidP="00F561A7">
            <w:pPr>
              <w:spacing w:before="100" w:line="240" w:lineRule="auto"/>
              <w:jc w:val="center"/>
              <w:rPr>
                <w:color w:val="000000"/>
                <w:sz w:val="20"/>
                <w:szCs w:val="20"/>
                <w:lang w:eastAsia="fr-FR"/>
              </w:rPr>
            </w:pPr>
            <w:r w:rsidRPr="00A9330B">
              <w:rPr>
                <w:color w:val="000000"/>
                <w:sz w:val="20"/>
                <w:szCs w:val="20"/>
                <w:lang w:eastAsia="fr-FR"/>
              </w:rPr>
              <w:t>0,000</w:t>
            </w:r>
          </w:p>
        </w:tc>
        <w:tc>
          <w:tcPr>
            <w:tcW w:w="1717" w:type="dxa"/>
            <w:tcBorders>
              <w:top w:val="nil"/>
              <w:left w:val="nil"/>
              <w:bottom w:val="single" w:sz="4" w:space="0" w:color="auto"/>
              <w:right w:val="single" w:sz="4" w:space="0" w:color="auto"/>
            </w:tcBorders>
            <w:shd w:val="clear" w:color="auto" w:fill="auto"/>
            <w:noWrap/>
            <w:vAlign w:val="center"/>
            <w:hideMark/>
          </w:tcPr>
          <w:p w14:paraId="77970B07" w14:textId="77777777" w:rsidR="00294B8E" w:rsidRPr="00A9330B" w:rsidRDefault="00294B8E" w:rsidP="00F561A7">
            <w:pPr>
              <w:spacing w:before="100" w:line="240" w:lineRule="auto"/>
              <w:jc w:val="center"/>
              <w:rPr>
                <w:color w:val="000000"/>
                <w:sz w:val="20"/>
                <w:szCs w:val="20"/>
                <w:lang w:eastAsia="fr-FR"/>
              </w:rPr>
            </w:pPr>
            <w:r w:rsidRPr="00A9330B">
              <w:rPr>
                <w:color w:val="000000"/>
                <w:sz w:val="20"/>
                <w:szCs w:val="20"/>
                <w:lang w:eastAsia="fr-FR"/>
              </w:rPr>
              <w:t>0,002</w:t>
            </w:r>
          </w:p>
        </w:tc>
      </w:tr>
      <w:tr w:rsidR="00294B8E" w:rsidRPr="00A9330B" w14:paraId="5AB83F14" w14:textId="77777777" w:rsidTr="00294B8E">
        <w:trPr>
          <w:trHeight w:val="296"/>
          <w:jc w:val="center"/>
        </w:trPr>
        <w:tc>
          <w:tcPr>
            <w:tcW w:w="3577" w:type="dxa"/>
            <w:tcBorders>
              <w:top w:val="nil"/>
              <w:left w:val="single" w:sz="4" w:space="0" w:color="auto"/>
              <w:bottom w:val="single" w:sz="4" w:space="0" w:color="auto"/>
              <w:right w:val="single" w:sz="4" w:space="0" w:color="auto"/>
            </w:tcBorders>
            <w:shd w:val="clear" w:color="auto" w:fill="auto"/>
            <w:noWrap/>
            <w:vAlign w:val="center"/>
            <w:hideMark/>
          </w:tcPr>
          <w:p w14:paraId="23A585FE" w14:textId="77777777" w:rsidR="00294B8E" w:rsidRPr="00A9330B" w:rsidRDefault="00294B8E" w:rsidP="00F561A7">
            <w:pPr>
              <w:spacing w:before="100" w:line="240" w:lineRule="auto"/>
              <w:rPr>
                <w:color w:val="000000"/>
                <w:sz w:val="20"/>
                <w:szCs w:val="20"/>
                <w:lang w:eastAsia="fr-FR"/>
              </w:rPr>
            </w:pPr>
            <w:r w:rsidRPr="00A9330B">
              <w:rPr>
                <w:color w:val="000000"/>
                <w:sz w:val="20"/>
                <w:szCs w:val="20"/>
                <w:lang w:eastAsia="fr-FR"/>
              </w:rPr>
              <w:lastRenderedPageBreak/>
              <w:t>Lamba</w:t>
            </w:r>
          </w:p>
        </w:tc>
        <w:tc>
          <w:tcPr>
            <w:tcW w:w="1717" w:type="dxa"/>
            <w:tcBorders>
              <w:top w:val="nil"/>
              <w:left w:val="nil"/>
              <w:bottom w:val="single" w:sz="4" w:space="0" w:color="auto"/>
              <w:right w:val="single" w:sz="4" w:space="0" w:color="auto"/>
            </w:tcBorders>
            <w:shd w:val="clear" w:color="auto" w:fill="auto"/>
            <w:noWrap/>
            <w:vAlign w:val="center"/>
            <w:hideMark/>
          </w:tcPr>
          <w:p w14:paraId="20123605" w14:textId="77777777" w:rsidR="00294B8E" w:rsidRPr="00A9330B" w:rsidRDefault="00294B8E" w:rsidP="00F561A7">
            <w:pPr>
              <w:spacing w:before="100" w:line="240" w:lineRule="auto"/>
              <w:jc w:val="center"/>
              <w:rPr>
                <w:color w:val="000000"/>
                <w:sz w:val="20"/>
                <w:szCs w:val="20"/>
                <w:lang w:eastAsia="fr-FR"/>
              </w:rPr>
            </w:pPr>
            <w:r w:rsidRPr="00A9330B">
              <w:rPr>
                <w:color w:val="000000"/>
                <w:sz w:val="20"/>
                <w:szCs w:val="20"/>
                <w:lang w:eastAsia="fr-FR"/>
              </w:rPr>
              <w:t>0,002</w:t>
            </w:r>
          </w:p>
        </w:tc>
        <w:tc>
          <w:tcPr>
            <w:tcW w:w="1717" w:type="dxa"/>
            <w:tcBorders>
              <w:top w:val="nil"/>
              <w:left w:val="nil"/>
              <w:bottom w:val="single" w:sz="4" w:space="0" w:color="auto"/>
              <w:right w:val="single" w:sz="4" w:space="0" w:color="auto"/>
            </w:tcBorders>
            <w:shd w:val="clear" w:color="auto" w:fill="auto"/>
            <w:noWrap/>
            <w:vAlign w:val="center"/>
            <w:hideMark/>
          </w:tcPr>
          <w:p w14:paraId="75AF2200" w14:textId="77777777" w:rsidR="00294B8E" w:rsidRPr="00A9330B" w:rsidRDefault="00294B8E" w:rsidP="00F561A7">
            <w:pPr>
              <w:spacing w:before="100" w:line="240" w:lineRule="auto"/>
              <w:jc w:val="center"/>
              <w:rPr>
                <w:color w:val="000000"/>
                <w:sz w:val="20"/>
                <w:szCs w:val="20"/>
                <w:lang w:eastAsia="fr-FR"/>
              </w:rPr>
            </w:pPr>
            <w:r w:rsidRPr="00A9330B">
              <w:rPr>
                <w:color w:val="000000"/>
                <w:sz w:val="20"/>
                <w:szCs w:val="20"/>
                <w:lang w:eastAsia="fr-FR"/>
              </w:rPr>
              <w:t>0,002</w:t>
            </w:r>
          </w:p>
        </w:tc>
      </w:tr>
      <w:tr w:rsidR="00294B8E" w:rsidRPr="00A9330B" w14:paraId="417CA3C7" w14:textId="77777777" w:rsidTr="00294B8E">
        <w:trPr>
          <w:trHeight w:val="296"/>
          <w:jc w:val="center"/>
        </w:trPr>
        <w:tc>
          <w:tcPr>
            <w:tcW w:w="3577" w:type="dxa"/>
            <w:tcBorders>
              <w:top w:val="nil"/>
              <w:left w:val="single" w:sz="4" w:space="0" w:color="auto"/>
              <w:bottom w:val="single" w:sz="4" w:space="0" w:color="auto"/>
              <w:right w:val="single" w:sz="4" w:space="0" w:color="auto"/>
            </w:tcBorders>
            <w:shd w:val="clear" w:color="auto" w:fill="auto"/>
            <w:noWrap/>
            <w:vAlign w:val="center"/>
            <w:hideMark/>
          </w:tcPr>
          <w:p w14:paraId="6958BD73" w14:textId="77777777" w:rsidR="00294B8E" w:rsidRPr="00A9330B" w:rsidRDefault="00294B8E" w:rsidP="00F561A7">
            <w:pPr>
              <w:spacing w:before="100" w:line="240" w:lineRule="auto"/>
              <w:rPr>
                <w:color w:val="000000"/>
                <w:sz w:val="20"/>
                <w:szCs w:val="20"/>
                <w:lang w:eastAsia="fr-FR"/>
              </w:rPr>
            </w:pPr>
            <w:r w:rsidRPr="00A9330B">
              <w:rPr>
                <w:color w:val="000000"/>
                <w:sz w:val="20"/>
                <w:szCs w:val="20"/>
                <w:lang w:eastAsia="fr-FR"/>
              </w:rPr>
              <w:t>Lopka</w:t>
            </w:r>
          </w:p>
        </w:tc>
        <w:tc>
          <w:tcPr>
            <w:tcW w:w="1717" w:type="dxa"/>
            <w:tcBorders>
              <w:top w:val="nil"/>
              <w:left w:val="nil"/>
              <w:bottom w:val="single" w:sz="4" w:space="0" w:color="auto"/>
              <w:right w:val="single" w:sz="4" w:space="0" w:color="auto"/>
            </w:tcBorders>
            <w:shd w:val="clear" w:color="auto" w:fill="auto"/>
            <w:noWrap/>
            <w:vAlign w:val="center"/>
            <w:hideMark/>
          </w:tcPr>
          <w:p w14:paraId="0C68E728" w14:textId="77777777" w:rsidR="00294B8E" w:rsidRPr="00A9330B" w:rsidRDefault="00294B8E" w:rsidP="00F561A7">
            <w:pPr>
              <w:spacing w:before="100" w:line="240" w:lineRule="auto"/>
              <w:jc w:val="center"/>
              <w:rPr>
                <w:color w:val="000000"/>
                <w:sz w:val="20"/>
                <w:szCs w:val="20"/>
                <w:lang w:eastAsia="fr-FR"/>
              </w:rPr>
            </w:pPr>
            <w:r w:rsidRPr="00A9330B">
              <w:rPr>
                <w:color w:val="000000"/>
                <w:sz w:val="20"/>
                <w:szCs w:val="20"/>
                <w:lang w:eastAsia="fr-FR"/>
              </w:rPr>
              <w:t>0,012</w:t>
            </w:r>
          </w:p>
        </w:tc>
        <w:tc>
          <w:tcPr>
            <w:tcW w:w="1717" w:type="dxa"/>
            <w:tcBorders>
              <w:top w:val="nil"/>
              <w:left w:val="nil"/>
              <w:bottom w:val="single" w:sz="4" w:space="0" w:color="auto"/>
              <w:right w:val="single" w:sz="4" w:space="0" w:color="auto"/>
            </w:tcBorders>
            <w:shd w:val="clear" w:color="auto" w:fill="auto"/>
            <w:noWrap/>
            <w:vAlign w:val="center"/>
            <w:hideMark/>
          </w:tcPr>
          <w:p w14:paraId="2F789F1B" w14:textId="77777777" w:rsidR="00294B8E" w:rsidRPr="00A9330B" w:rsidRDefault="00294B8E" w:rsidP="00F561A7">
            <w:pPr>
              <w:spacing w:before="100" w:line="240" w:lineRule="auto"/>
              <w:jc w:val="center"/>
              <w:rPr>
                <w:color w:val="000000"/>
                <w:sz w:val="20"/>
                <w:szCs w:val="20"/>
                <w:lang w:eastAsia="fr-FR"/>
              </w:rPr>
            </w:pPr>
            <w:r w:rsidRPr="00A9330B">
              <w:rPr>
                <w:color w:val="000000"/>
                <w:sz w:val="20"/>
                <w:szCs w:val="20"/>
                <w:lang w:eastAsia="fr-FR"/>
              </w:rPr>
              <w:t>0,005</w:t>
            </w:r>
          </w:p>
        </w:tc>
      </w:tr>
      <w:tr w:rsidR="00294B8E" w:rsidRPr="00A9330B" w14:paraId="07DE193E" w14:textId="77777777" w:rsidTr="00294B8E">
        <w:trPr>
          <w:trHeight w:val="296"/>
          <w:jc w:val="center"/>
        </w:trPr>
        <w:tc>
          <w:tcPr>
            <w:tcW w:w="3577" w:type="dxa"/>
            <w:tcBorders>
              <w:top w:val="nil"/>
              <w:left w:val="single" w:sz="4" w:space="0" w:color="auto"/>
              <w:bottom w:val="single" w:sz="4" w:space="0" w:color="auto"/>
              <w:right w:val="single" w:sz="4" w:space="0" w:color="auto"/>
            </w:tcBorders>
            <w:shd w:val="clear" w:color="auto" w:fill="auto"/>
            <w:noWrap/>
            <w:vAlign w:val="center"/>
            <w:hideMark/>
          </w:tcPr>
          <w:p w14:paraId="65A3E261" w14:textId="77777777" w:rsidR="00294B8E" w:rsidRPr="00A9330B" w:rsidRDefault="00294B8E" w:rsidP="00F561A7">
            <w:pPr>
              <w:spacing w:before="100" w:line="240" w:lineRule="auto"/>
              <w:rPr>
                <w:color w:val="000000"/>
                <w:sz w:val="20"/>
                <w:szCs w:val="20"/>
                <w:lang w:eastAsia="fr-FR"/>
              </w:rPr>
            </w:pPr>
            <w:r w:rsidRPr="00A9330B">
              <w:rPr>
                <w:color w:val="000000"/>
                <w:sz w:val="20"/>
                <w:szCs w:val="20"/>
                <w:lang w:eastAsia="fr-FR"/>
              </w:rPr>
              <w:t>Losso</w:t>
            </w:r>
          </w:p>
        </w:tc>
        <w:tc>
          <w:tcPr>
            <w:tcW w:w="1717" w:type="dxa"/>
            <w:tcBorders>
              <w:top w:val="nil"/>
              <w:left w:val="nil"/>
              <w:bottom w:val="single" w:sz="4" w:space="0" w:color="auto"/>
              <w:right w:val="single" w:sz="4" w:space="0" w:color="auto"/>
            </w:tcBorders>
            <w:shd w:val="clear" w:color="auto" w:fill="auto"/>
            <w:noWrap/>
            <w:vAlign w:val="center"/>
            <w:hideMark/>
          </w:tcPr>
          <w:p w14:paraId="5B30A251" w14:textId="77777777" w:rsidR="00294B8E" w:rsidRPr="00A9330B" w:rsidRDefault="00294B8E" w:rsidP="00F561A7">
            <w:pPr>
              <w:spacing w:before="100" w:line="240" w:lineRule="auto"/>
              <w:jc w:val="center"/>
              <w:rPr>
                <w:color w:val="000000"/>
                <w:sz w:val="20"/>
                <w:szCs w:val="20"/>
                <w:lang w:eastAsia="fr-FR"/>
              </w:rPr>
            </w:pPr>
            <w:r w:rsidRPr="00A9330B">
              <w:rPr>
                <w:color w:val="000000"/>
                <w:sz w:val="20"/>
                <w:szCs w:val="20"/>
                <w:lang w:eastAsia="fr-FR"/>
              </w:rPr>
              <w:t>0,000</w:t>
            </w:r>
          </w:p>
        </w:tc>
        <w:tc>
          <w:tcPr>
            <w:tcW w:w="1717" w:type="dxa"/>
            <w:tcBorders>
              <w:top w:val="nil"/>
              <w:left w:val="nil"/>
              <w:bottom w:val="single" w:sz="4" w:space="0" w:color="auto"/>
              <w:right w:val="single" w:sz="4" w:space="0" w:color="auto"/>
            </w:tcBorders>
            <w:shd w:val="clear" w:color="auto" w:fill="auto"/>
            <w:noWrap/>
            <w:vAlign w:val="center"/>
            <w:hideMark/>
          </w:tcPr>
          <w:p w14:paraId="73CFD9A9" w14:textId="77777777" w:rsidR="00294B8E" w:rsidRPr="00A9330B" w:rsidRDefault="00294B8E" w:rsidP="00F561A7">
            <w:pPr>
              <w:spacing w:before="100" w:line="240" w:lineRule="auto"/>
              <w:jc w:val="center"/>
              <w:rPr>
                <w:color w:val="000000"/>
                <w:sz w:val="20"/>
                <w:szCs w:val="20"/>
                <w:lang w:eastAsia="fr-FR"/>
              </w:rPr>
            </w:pPr>
            <w:r w:rsidRPr="00A9330B">
              <w:rPr>
                <w:color w:val="000000"/>
                <w:sz w:val="20"/>
                <w:szCs w:val="20"/>
                <w:lang w:eastAsia="fr-FR"/>
              </w:rPr>
              <w:t>0,002</w:t>
            </w:r>
          </w:p>
        </w:tc>
      </w:tr>
      <w:tr w:rsidR="00294B8E" w:rsidRPr="00A9330B" w14:paraId="5E7AEC1C" w14:textId="77777777" w:rsidTr="00294B8E">
        <w:trPr>
          <w:trHeight w:val="296"/>
          <w:jc w:val="center"/>
        </w:trPr>
        <w:tc>
          <w:tcPr>
            <w:tcW w:w="3577" w:type="dxa"/>
            <w:tcBorders>
              <w:top w:val="nil"/>
              <w:left w:val="single" w:sz="4" w:space="0" w:color="auto"/>
              <w:bottom w:val="single" w:sz="4" w:space="0" w:color="auto"/>
              <w:right w:val="single" w:sz="4" w:space="0" w:color="auto"/>
            </w:tcBorders>
            <w:shd w:val="clear" w:color="auto" w:fill="auto"/>
            <w:noWrap/>
            <w:vAlign w:val="center"/>
            <w:hideMark/>
          </w:tcPr>
          <w:p w14:paraId="6E7B01EA" w14:textId="77777777" w:rsidR="00294B8E" w:rsidRPr="00A9330B" w:rsidRDefault="00294B8E" w:rsidP="00F561A7">
            <w:pPr>
              <w:spacing w:before="100" w:line="240" w:lineRule="auto"/>
              <w:rPr>
                <w:color w:val="000000"/>
                <w:sz w:val="20"/>
                <w:szCs w:val="20"/>
                <w:lang w:eastAsia="fr-FR"/>
              </w:rPr>
            </w:pPr>
            <w:r w:rsidRPr="00A9330B">
              <w:rPr>
                <w:color w:val="000000"/>
                <w:sz w:val="20"/>
                <w:szCs w:val="20"/>
                <w:lang w:eastAsia="fr-FR"/>
              </w:rPr>
              <w:t>Mahi</w:t>
            </w:r>
          </w:p>
        </w:tc>
        <w:tc>
          <w:tcPr>
            <w:tcW w:w="1717" w:type="dxa"/>
            <w:tcBorders>
              <w:top w:val="nil"/>
              <w:left w:val="nil"/>
              <w:bottom w:val="single" w:sz="4" w:space="0" w:color="auto"/>
              <w:right w:val="single" w:sz="4" w:space="0" w:color="auto"/>
            </w:tcBorders>
            <w:shd w:val="clear" w:color="auto" w:fill="auto"/>
            <w:noWrap/>
            <w:vAlign w:val="center"/>
            <w:hideMark/>
          </w:tcPr>
          <w:p w14:paraId="0005562A" w14:textId="77777777" w:rsidR="00294B8E" w:rsidRPr="00A9330B" w:rsidRDefault="00294B8E" w:rsidP="00F561A7">
            <w:pPr>
              <w:spacing w:before="100" w:line="240" w:lineRule="auto"/>
              <w:jc w:val="center"/>
              <w:rPr>
                <w:color w:val="000000"/>
                <w:sz w:val="20"/>
                <w:szCs w:val="20"/>
                <w:lang w:eastAsia="fr-FR"/>
              </w:rPr>
            </w:pPr>
            <w:r w:rsidRPr="00A9330B">
              <w:rPr>
                <w:color w:val="000000"/>
                <w:sz w:val="20"/>
                <w:szCs w:val="20"/>
                <w:lang w:eastAsia="fr-FR"/>
              </w:rPr>
              <w:t>0,010</w:t>
            </w:r>
          </w:p>
        </w:tc>
        <w:tc>
          <w:tcPr>
            <w:tcW w:w="1717" w:type="dxa"/>
            <w:tcBorders>
              <w:top w:val="nil"/>
              <w:left w:val="nil"/>
              <w:bottom w:val="single" w:sz="4" w:space="0" w:color="auto"/>
              <w:right w:val="single" w:sz="4" w:space="0" w:color="auto"/>
            </w:tcBorders>
            <w:shd w:val="clear" w:color="auto" w:fill="auto"/>
            <w:noWrap/>
            <w:vAlign w:val="center"/>
            <w:hideMark/>
          </w:tcPr>
          <w:p w14:paraId="67C728F3" w14:textId="77777777" w:rsidR="00294B8E" w:rsidRPr="00A9330B" w:rsidRDefault="00294B8E" w:rsidP="00F561A7">
            <w:pPr>
              <w:spacing w:before="100" w:line="240" w:lineRule="auto"/>
              <w:jc w:val="center"/>
              <w:rPr>
                <w:color w:val="000000"/>
                <w:sz w:val="20"/>
                <w:szCs w:val="20"/>
                <w:lang w:eastAsia="fr-FR"/>
              </w:rPr>
            </w:pPr>
            <w:r w:rsidRPr="00A9330B">
              <w:rPr>
                <w:color w:val="000000"/>
                <w:sz w:val="20"/>
                <w:szCs w:val="20"/>
                <w:lang w:eastAsia="fr-FR"/>
              </w:rPr>
              <w:t>0,005</w:t>
            </w:r>
          </w:p>
        </w:tc>
      </w:tr>
      <w:tr w:rsidR="00294B8E" w:rsidRPr="00A9330B" w14:paraId="7DE23542" w14:textId="77777777" w:rsidTr="00294B8E">
        <w:trPr>
          <w:trHeight w:val="296"/>
          <w:jc w:val="center"/>
        </w:trPr>
        <w:tc>
          <w:tcPr>
            <w:tcW w:w="3577" w:type="dxa"/>
            <w:tcBorders>
              <w:top w:val="nil"/>
              <w:left w:val="single" w:sz="4" w:space="0" w:color="auto"/>
              <w:bottom w:val="single" w:sz="4" w:space="0" w:color="auto"/>
              <w:right w:val="single" w:sz="4" w:space="0" w:color="auto"/>
            </w:tcBorders>
            <w:shd w:val="clear" w:color="auto" w:fill="auto"/>
            <w:noWrap/>
            <w:vAlign w:val="center"/>
            <w:hideMark/>
          </w:tcPr>
          <w:p w14:paraId="2CC0E336" w14:textId="77777777" w:rsidR="00294B8E" w:rsidRPr="00A9330B" w:rsidRDefault="00294B8E" w:rsidP="00F561A7">
            <w:pPr>
              <w:spacing w:before="100" w:line="240" w:lineRule="auto"/>
              <w:rPr>
                <w:color w:val="000000"/>
                <w:sz w:val="20"/>
                <w:szCs w:val="20"/>
                <w:lang w:eastAsia="fr-FR"/>
              </w:rPr>
            </w:pPr>
            <w:r w:rsidRPr="00A9330B">
              <w:rPr>
                <w:color w:val="000000"/>
                <w:sz w:val="20"/>
                <w:szCs w:val="20"/>
                <w:lang w:eastAsia="fr-FR"/>
              </w:rPr>
              <w:t>M'berme</w:t>
            </w:r>
          </w:p>
        </w:tc>
        <w:tc>
          <w:tcPr>
            <w:tcW w:w="1717" w:type="dxa"/>
            <w:tcBorders>
              <w:top w:val="nil"/>
              <w:left w:val="nil"/>
              <w:bottom w:val="single" w:sz="4" w:space="0" w:color="auto"/>
              <w:right w:val="single" w:sz="4" w:space="0" w:color="auto"/>
            </w:tcBorders>
            <w:shd w:val="clear" w:color="auto" w:fill="auto"/>
            <w:noWrap/>
            <w:vAlign w:val="center"/>
            <w:hideMark/>
          </w:tcPr>
          <w:p w14:paraId="7ED95DD0" w14:textId="77777777" w:rsidR="00294B8E" w:rsidRPr="00A9330B" w:rsidRDefault="00294B8E" w:rsidP="00F561A7">
            <w:pPr>
              <w:spacing w:before="100" w:line="240" w:lineRule="auto"/>
              <w:jc w:val="center"/>
              <w:rPr>
                <w:color w:val="000000"/>
                <w:sz w:val="20"/>
                <w:szCs w:val="20"/>
                <w:lang w:eastAsia="fr-FR"/>
              </w:rPr>
            </w:pPr>
            <w:r w:rsidRPr="00A9330B">
              <w:rPr>
                <w:color w:val="000000"/>
                <w:sz w:val="20"/>
                <w:szCs w:val="20"/>
                <w:lang w:eastAsia="fr-FR"/>
              </w:rPr>
              <w:t>0,012</w:t>
            </w:r>
          </w:p>
        </w:tc>
        <w:tc>
          <w:tcPr>
            <w:tcW w:w="1717" w:type="dxa"/>
            <w:tcBorders>
              <w:top w:val="nil"/>
              <w:left w:val="nil"/>
              <w:bottom w:val="single" w:sz="4" w:space="0" w:color="auto"/>
              <w:right w:val="single" w:sz="4" w:space="0" w:color="auto"/>
            </w:tcBorders>
            <w:shd w:val="clear" w:color="auto" w:fill="auto"/>
            <w:noWrap/>
            <w:vAlign w:val="center"/>
            <w:hideMark/>
          </w:tcPr>
          <w:p w14:paraId="73F0F48A" w14:textId="77777777" w:rsidR="00294B8E" w:rsidRPr="00A9330B" w:rsidRDefault="00294B8E" w:rsidP="00F561A7">
            <w:pPr>
              <w:spacing w:before="100" w:line="240" w:lineRule="auto"/>
              <w:jc w:val="center"/>
              <w:rPr>
                <w:color w:val="000000"/>
                <w:sz w:val="20"/>
                <w:szCs w:val="20"/>
                <w:lang w:eastAsia="fr-FR"/>
              </w:rPr>
            </w:pPr>
            <w:r w:rsidRPr="00A9330B">
              <w:rPr>
                <w:color w:val="000000"/>
                <w:sz w:val="20"/>
                <w:szCs w:val="20"/>
                <w:lang w:eastAsia="fr-FR"/>
              </w:rPr>
              <w:t>0,000</w:t>
            </w:r>
          </w:p>
        </w:tc>
      </w:tr>
      <w:tr w:rsidR="00294B8E" w:rsidRPr="00A9330B" w14:paraId="60C66FD5" w14:textId="77777777" w:rsidTr="00294B8E">
        <w:trPr>
          <w:trHeight w:val="296"/>
          <w:jc w:val="center"/>
        </w:trPr>
        <w:tc>
          <w:tcPr>
            <w:tcW w:w="3577" w:type="dxa"/>
            <w:tcBorders>
              <w:top w:val="nil"/>
              <w:left w:val="single" w:sz="4" w:space="0" w:color="auto"/>
              <w:bottom w:val="single" w:sz="4" w:space="0" w:color="auto"/>
              <w:right w:val="single" w:sz="4" w:space="0" w:color="auto"/>
            </w:tcBorders>
            <w:shd w:val="clear" w:color="auto" w:fill="auto"/>
            <w:noWrap/>
            <w:vAlign w:val="center"/>
            <w:hideMark/>
          </w:tcPr>
          <w:p w14:paraId="6A22312A" w14:textId="77777777" w:rsidR="00294B8E" w:rsidRPr="00A9330B" w:rsidRDefault="00294B8E" w:rsidP="00F561A7">
            <w:pPr>
              <w:spacing w:before="100" w:line="240" w:lineRule="auto"/>
              <w:rPr>
                <w:color w:val="000000"/>
                <w:sz w:val="20"/>
                <w:szCs w:val="20"/>
                <w:lang w:eastAsia="fr-FR"/>
              </w:rPr>
            </w:pPr>
            <w:r w:rsidRPr="00A9330B">
              <w:rPr>
                <w:color w:val="000000"/>
                <w:sz w:val="20"/>
                <w:szCs w:val="20"/>
                <w:lang w:eastAsia="fr-FR"/>
              </w:rPr>
              <w:t>Mina</w:t>
            </w:r>
          </w:p>
        </w:tc>
        <w:tc>
          <w:tcPr>
            <w:tcW w:w="1717" w:type="dxa"/>
            <w:tcBorders>
              <w:top w:val="nil"/>
              <w:left w:val="nil"/>
              <w:bottom w:val="single" w:sz="4" w:space="0" w:color="auto"/>
              <w:right w:val="single" w:sz="4" w:space="0" w:color="auto"/>
            </w:tcBorders>
            <w:shd w:val="clear" w:color="auto" w:fill="auto"/>
            <w:noWrap/>
            <w:vAlign w:val="center"/>
            <w:hideMark/>
          </w:tcPr>
          <w:p w14:paraId="3CC512C4" w14:textId="77777777" w:rsidR="00294B8E" w:rsidRPr="00A9330B" w:rsidRDefault="00294B8E" w:rsidP="00F561A7">
            <w:pPr>
              <w:spacing w:before="100" w:line="240" w:lineRule="auto"/>
              <w:jc w:val="center"/>
              <w:rPr>
                <w:color w:val="000000"/>
                <w:sz w:val="20"/>
                <w:szCs w:val="20"/>
                <w:lang w:eastAsia="fr-FR"/>
              </w:rPr>
            </w:pPr>
            <w:r w:rsidRPr="00A9330B">
              <w:rPr>
                <w:color w:val="000000"/>
                <w:sz w:val="20"/>
                <w:szCs w:val="20"/>
                <w:lang w:eastAsia="fr-FR"/>
              </w:rPr>
              <w:t>0,002</w:t>
            </w:r>
          </w:p>
        </w:tc>
        <w:tc>
          <w:tcPr>
            <w:tcW w:w="1717" w:type="dxa"/>
            <w:tcBorders>
              <w:top w:val="nil"/>
              <w:left w:val="nil"/>
              <w:bottom w:val="single" w:sz="4" w:space="0" w:color="auto"/>
              <w:right w:val="single" w:sz="4" w:space="0" w:color="auto"/>
            </w:tcBorders>
            <w:shd w:val="clear" w:color="auto" w:fill="auto"/>
            <w:noWrap/>
            <w:vAlign w:val="center"/>
            <w:hideMark/>
          </w:tcPr>
          <w:p w14:paraId="6F6DC25D" w14:textId="77777777" w:rsidR="00294B8E" w:rsidRPr="00A9330B" w:rsidRDefault="00294B8E" w:rsidP="00F561A7">
            <w:pPr>
              <w:spacing w:before="100" w:line="240" w:lineRule="auto"/>
              <w:jc w:val="center"/>
              <w:rPr>
                <w:color w:val="000000"/>
                <w:sz w:val="20"/>
                <w:szCs w:val="20"/>
                <w:lang w:eastAsia="fr-FR"/>
              </w:rPr>
            </w:pPr>
            <w:r w:rsidRPr="00A9330B">
              <w:rPr>
                <w:color w:val="000000"/>
                <w:sz w:val="20"/>
                <w:szCs w:val="20"/>
                <w:lang w:eastAsia="fr-FR"/>
              </w:rPr>
              <w:t>0,002</w:t>
            </w:r>
          </w:p>
        </w:tc>
      </w:tr>
      <w:tr w:rsidR="00294B8E" w:rsidRPr="00A9330B" w14:paraId="7563904E" w14:textId="77777777" w:rsidTr="00294B8E">
        <w:trPr>
          <w:trHeight w:val="296"/>
          <w:jc w:val="center"/>
        </w:trPr>
        <w:tc>
          <w:tcPr>
            <w:tcW w:w="3577" w:type="dxa"/>
            <w:tcBorders>
              <w:top w:val="nil"/>
              <w:left w:val="single" w:sz="4" w:space="0" w:color="auto"/>
              <w:bottom w:val="single" w:sz="4" w:space="0" w:color="auto"/>
              <w:right w:val="single" w:sz="4" w:space="0" w:color="auto"/>
            </w:tcBorders>
            <w:shd w:val="clear" w:color="auto" w:fill="auto"/>
            <w:noWrap/>
            <w:vAlign w:val="center"/>
            <w:hideMark/>
          </w:tcPr>
          <w:p w14:paraId="37BD1692" w14:textId="77777777" w:rsidR="00294B8E" w:rsidRPr="00A9330B" w:rsidRDefault="00294B8E" w:rsidP="00F561A7">
            <w:pPr>
              <w:spacing w:before="100" w:line="240" w:lineRule="auto"/>
              <w:rPr>
                <w:color w:val="000000"/>
                <w:sz w:val="20"/>
                <w:szCs w:val="20"/>
                <w:lang w:eastAsia="fr-FR"/>
              </w:rPr>
            </w:pPr>
            <w:r w:rsidRPr="00A9330B">
              <w:rPr>
                <w:color w:val="000000"/>
                <w:sz w:val="20"/>
                <w:szCs w:val="20"/>
                <w:lang w:eastAsia="fr-FR"/>
              </w:rPr>
              <w:t>Nago</w:t>
            </w:r>
          </w:p>
        </w:tc>
        <w:tc>
          <w:tcPr>
            <w:tcW w:w="1717" w:type="dxa"/>
            <w:tcBorders>
              <w:top w:val="nil"/>
              <w:left w:val="nil"/>
              <w:bottom w:val="single" w:sz="4" w:space="0" w:color="auto"/>
              <w:right w:val="single" w:sz="4" w:space="0" w:color="auto"/>
            </w:tcBorders>
            <w:shd w:val="clear" w:color="auto" w:fill="auto"/>
            <w:noWrap/>
            <w:vAlign w:val="center"/>
            <w:hideMark/>
          </w:tcPr>
          <w:p w14:paraId="6C17B0DC" w14:textId="77777777" w:rsidR="00294B8E" w:rsidRPr="00A9330B" w:rsidRDefault="00294B8E" w:rsidP="00F561A7">
            <w:pPr>
              <w:spacing w:before="100" w:line="240" w:lineRule="auto"/>
              <w:jc w:val="center"/>
              <w:rPr>
                <w:color w:val="000000"/>
                <w:sz w:val="20"/>
                <w:szCs w:val="20"/>
                <w:lang w:eastAsia="fr-FR"/>
              </w:rPr>
            </w:pPr>
            <w:r w:rsidRPr="00A9330B">
              <w:rPr>
                <w:color w:val="000000"/>
                <w:sz w:val="20"/>
                <w:szCs w:val="20"/>
                <w:lang w:eastAsia="fr-FR"/>
              </w:rPr>
              <w:t>0,015</w:t>
            </w:r>
          </w:p>
        </w:tc>
        <w:tc>
          <w:tcPr>
            <w:tcW w:w="1717" w:type="dxa"/>
            <w:tcBorders>
              <w:top w:val="nil"/>
              <w:left w:val="nil"/>
              <w:bottom w:val="single" w:sz="4" w:space="0" w:color="auto"/>
              <w:right w:val="single" w:sz="4" w:space="0" w:color="auto"/>
            </w:tcBorders>
            <w:shd w:val="clear" w:color="auto" w:fill="auto"/>
            <w:noWrap/>
            <w:vAlign w:val="center"/>
            <w:hideMark/>
          </w:tcPr>
          <w:p w14:paraId="63E8CF3F" w14:textId="77777777" w:rsidR="00294B8E" w:rsidRPr="00A9330B" w:rsidRDefault="00294B8E" w:rsidP="00F561A7">
            <w:pPr>
              <w:spacing w:before="100" w:line="240" w:lineRule="auto"/>
              <w:jc w:val="center"/>
              <w:rPr>
                <w:color w:val="000000"/>
                <w:sz w:val="20"/>
                <w:szCs w:val="20"/>
                <w:lang w:eastAsia="fr-FR"/>
              </w:rPr>
            </w:pPr>
            <w:r w:rsidRPr="00A9330B">
              <w:rPr>
                <w:color w:val="000000"/>
                <w:sz w:val="20"/>
                <w:szCs w:val="20"/>
                <w:lang w:eastAsia="fr-FR"/>
              </w:rPr>
              <w:t>0,007</w:t>
            </w:r>
          </w:p>
        </w:tc>
      </w:tr>
      <w:tr w:rsidR="00294B8E" w:rsidRPr="00A9330B" w14:paraId="4AC140D7" w14:textId="77777777" w:rsidTr="00294B8E">
        <w:trPr>
          <w:trHeight w:val="296"/>
          <w:jc w:val="center"/>
        </w:trPr>
        <w:tc>
          <w:tcPr>
            <w:tcW w:w="3577" w:type="dxa"/>
            <w:tcBorders>
              <w:top w:val="nil"/>
              <w:left w:val="single" w:sz="4" w:space="0" w:color="auto"/>
              <w:bottom w:val="single" w:sz="4" w:space="0" w:color="auto"/>
              <w:right w:val="single" w:sz="4" w:space="0" w:color="auto"/>
            </w:tcBorders>
            <w:shd w:val="clear" w:color="auto" w:fill="auto"/>
            <w:noWrap/>
            <w:vAlign w:val="center"/>
            <w:hideMark/>
          </w:tcPr>
          <w:p w14:paraId="07A3FA2C" w14:textId="77777777" w:rsidR="00294B8E" w:rsidRPr="00A9330B" w:rsidRDefault="00294B8E" w:rsidP="00F561A7">
            <w:pPr>
              <w:spacing w:before="100" w:line="240" w:lineRule="auto"/>
              <w:rPr>
                <w:color w:val="000000"/>
                <w:sz w:val="20"/>
                <w:szCs w:val="20"/>
                <w:lang w:eastAsia="fr-FR"/>
              </w:rPr>
            </w:pPr>
            <w:r w:rsidRPr="00A9330B">
              <w:rPr>
                <w:color w:val="000000"/>
                <w:sz w:val="20"/>
                <w:szCs w:val="20"/>
                <w:lang w:eastAsia="fr-FR"/>
              </w:rPr>
              <w:t>Natemba</w:t>
            </w:r>
          </w:p>
        </w:tc>
        <w:tc>
          <w:tcPr>
            <w:tcW w:w="1717" w:type="dxa"/>
            <w:tcBorders>
              <w:top w:val="nil"/>
              <w:left w:val="nil"/>
              <w:bottom w:val="single" w:sz="4" w:space="0" w:color="auto"/>
              <w:right w:val="single" w:sz="4" w:space="0" w:color="auto"/>
            </w:tcBorders>
            <w:shd w:val="clear" w:color="auto" w:fill="auto"/>
            <w:noWrap/>
            <w:vAlign w:val="center"/>
            <w:hideMark/>
          </w:tcPr>
          <w:p w14:paraId="38C12AF3" w14:textId="77777777" w:rsidR="00294B8E" w:rsidRPr="00A9330B" w:rsidRDefault="00294B8E" w:rsidP="00F561A7">
            <w:pPr>
              <w:spacing w:before="100" w:line="240" w:lineRule="auto"/>
              <w:jc w:val="center"/>
              <w:rPr>
                <w:color w:val="000000"/>
                <w:sz w:val="20"/>
                <w:szCs w:val="20"/>
                <w:lang w:eastAsia="fr-FR"/>
              </w:rPr>
            </w:pPr>
            <w:r w:rsidRPr="00A9330B">
              <w:rPr>
                <w:color w:val="000000"/>
                <w:sz w:val="20"/>
                <w:szCs w:val="20"/>
                <w:lang w:eastAsia="fr-FR"/>
              </w:rPr>
              <w:t>0,010</w:t>
            </w:r>
          </w:p>
        </w:tc>
        <w:tc>
          <w:tcPr>
            <w:tcW w:w="1717" w:type="dxa"/>
            <w:tcBorders>
              <w:top w:val="nil"/>
              <w:left w:val="nil"/>
              <w:bottom w:val="single" w:sz="4" w:space="0" w:color="auto"/>
              <w:right w:val="single" w:sz="4" w:space="0" w:color="auto"/>
            </w:tcBorders>
            <w:shd w:val="clear" w:color="auto" w:fill="auto"/>
            <w:noWrap/>
            <w:vAlign w:val="center"/>
            <w:hideMark/>
          </w:tcPr>
          <w:p w14:paraId="65997242" w14:textId="77777777" w:rsidR="00294B8E" w:rsidRPr="00A9330B" w:rsidRDefault="00294B8E" w:rsidP="00F561A7">
            <w:pPr>
              <w:spacing w:before="100" w:line="240" w:lineRule="auto"/>
              <w:jc w:val="center"/>
              <w:rPr>
                <w:color w:val="000000"/>
                <w:sz w:val="20"/>
                <w:szCs w:val="20"/>
                <w:lang w:eastAsia="fr-FR"/>
              </w:rPr>
            </w:pPr>
            <w:r w:rsidRPr="00A9330B">
              <w:rPr>
                <w:color w:val="000000"/>
                <w:sz w:val="20"/>
                <w:szCs w:val="20"/>
                <w:lang w:eastAsia="fr-FR"/>
              </w:rPr>
              <w:t>0,000</w:t>
            </w:r>
          </w:p>
        </w:tc>
      </w:tr>
      <w:tr w:rsidR="00294B8E" w:rsidRPr="00A9330B" w14:paraId="7F86C470" w14:textId="77777777" w:rsidTr="00294B8E">
        <w:trPr>
          <w:trHeight w:val="296"/>
          <w:jc w:val="center"/>
        </w:trPr>
        <w:tc>
          <w:tcPr>
            <w:tcW w:w="3577" w:type="dxa"/>
            <w:tcBorders>
              <w:top w:val="nil"/>
              <w:left w:val="single" w:sz="4" w:space="0" w:color="auto"/>
              <w:bottom w:val="single" w:sz="4" w:space="0" w:color="auto"/>
              <w:right w:val="single" w:sz="4" w:space="0" w:color="auto"/>
            </w:tcBorders>
            <w:shd w:val="clear" w:color="auto" w:fill="auto"/>
            <w:noWrap/>
            <w:vAlign w:val="center"/>
            <w:hideMark/>
          </w:tcPr>
          <w:p w14:paraId="72E16366" w14:textId="77777777" w:rsidR="00294B8E" w:rsidRPr="00A9330B" w:rsidRDefault="00294B8E" w:rsidP="00F561A7">
            <w:pPr>
              <w:spacing w:before="100" w:line="240" w:lineRule="auto"/>
              <w:rPr>
                <w:color w:val="000000"/>
                <w:sz w:val="20"/>
                <w:szCs w:val="20"/>
                <w:lang w:eastAsia="fr-FR"/>
              </w:rPr>
            </w:pPr>
            <w:r w:rsidRPr="00A9330B">
              <w:rPr>
                <w:color w:val="000000"/>
                <w:sz w:val="20"/>
                <w:szCs w:val="20"/>
                <w:lang w:eastAsia="fr-FR"/>
              </w:rPr>
              <w:t>Nateni</w:t>
            </w:r>
          </w:p>
        </w:tc>
        <w:tc>
          <w:tcPr>
            <w:tcW w:w="1717" w:type="dxa"/>
            <w:tcBorders>
              <w:top w:val="nil"/>
              <w:left w:val="nil"/>
              <w:bottom w:val="single" w:sz="4" w:space="0" w:color="auto"/>
              <w:right w:val="single" w:sz="4" w:space="0" w:color="auto"/>
            </w:tcBorders>
            <w:shd w:val="clear" w:color="auto" w:fill="auto"/>
            <w:noWrap/>
            <w:vAlign w:val="center"/>
            <w:hideMark/>
          </w:tcPr>
          <w:p w14:paraId="4BAF4474" w14:textId="77777777" w:rsidR="00294B8E" w:rsidRPr="00A9330B" w:rsidRDefault="00294B8E" w:rsidP="00F561A7">
            <w:pPr>
              <w:spacing w:before="100" w:line="240" w:lineRule="auto"/>
              <w:jc w:val="center"/>
              <w:rPr>
                <w:color w:val="000000"/>
                <w:sz w:val="20"/>
                <w:szCs w:val="20"/>
                <w:lang w:eastAsia="fr-FR"/>
              </w:rPr>
            </w:pPr>
            <w:r w:rsidRPr="00A9330B">
              <w:rPr>
                <w:color w:val="000000"/>
                <w:sz w:val="20"/>
                <w:szCs w:val="20"/>
                <w:lang w:eastAsia="fr-FR"/>
              </w:rPr>
              <w:t>0,005</w:t>
            </w:r>
          </w:p>
        </w:tc>
        <w:tc>
          <w:tcPr>
            <w:tcW w:w="1717" w:type="dxa"/>
            <w:tcBorders>
              <w:top w:val="nil"/>
              <w:left w:val="nil"/>
              <w:bottom w:val="single" w:sz="4" w:space="0" w:color="auto"/>
              <w:right w:val="single" w:sz="4" w:space="0" w:color="auto"/>
            </w:tcBorders>
            <w:shd w:val="clear" w:color="auto" w:fill="auto"/>
            <w:noWrap/>
            <w:vAlign w:val="center"/>
            <w:hideMark/>
          </w:tcPr>
          <w:p w14:paraId="1DE1EE7C" w14:textId="77777777" w:rsidR="00294B8E" w:rsidRPr="00A9330B" w:rsidRDefault="00294B8E" w:rsidP="00F561A7">
            <w:pPr>
              <w:spacing w:before="100" w:line="240" w:lineRule="auto"/>
              <w:jc w:val="center"/>
              <w:rPr>
                <w:color w:val="000000"/>
                <w:sz w:val="20"/>
                <w:szCs w:val="20"/>
                <w:lang w:eastAsia="fr-FR"/>
              </w:rPr>
            </w:pPr>
            <w:r w:rsidRPr="00A9330B">
              <w:rPr>
                <w:color w:val="000000"/>
                <w:sz w:val="20"/>
                <w:szCs w:val="20"/>
                <w:lang w:eastAsia="fr-FR"/>
              </w:rPr>
              <w:t>0,000</w:t>
            </w:r>
          </w:p>
        </w:tc>
      </w:tr>
      <w:tr w:rsidR="00294B8E" w:rsidRPr="00A9330B" w14:paraId="11A98403" w14:textId="77777777" w:rsidTr="00294B8E">
        <w:trPr>
          <w:trHeight w:val="296"/>
          <w:jc w:val="center"/>
        </w:trPr>
        <w:tc>
          <w:tcPr>
            <w:tcW w:w="3577" w:type="dxa"/>
            <w:tcBorders>
              <w:top w:val="nil"/>
              <w:left w:val="single" w:sz="4" w:space="0" w:color="auto"/>
              <w:bottom w:val="single" w:sz="4" w:space="0" w:color="auto"/>
              <w:right w:val="single" w:sz="4" w:space="0" w:color="auto"/>
            </w:tcBorders>
            <w:shd w:val="clear" w:color="auto" w:fill="auto"/>
            <w:noWrap/>
            <w:vAlign w:val="center"/>
            <w:hideMark/>
          </w:tcPr>
          <w:p w14:paraId="702B0222" w14:textId="77777777" w:rsidR="00294B8E" w:rsidRPr="00A9330B" w:rsidRDefault="00294B8E" w:rsidP="00F561A7">
            <w:pPr>
              <w:spacing w:before="100" w:line="240" w:lineRule="auto"/>
              <w:rPr>
                <w:color w:val="000000"/>
                <w:sz w:val="20"/>
                <w:szCs w:val="20"/>
                <w:lang w:eastAsia="fr-FR"/>
              </w:rPr>
            </w:pPr>
            <w:r w:rsidRPr="00A9330B">
              <w:rPr>
                <w:color w:val="000000"/>
                <w:sz w:val="20"/>
                <w:szCs w:val="20"/>
                <w:lang w:eastAsia="fr-FR"/>
              </w:rPr>
              <w:t>Natimba</w:t>
            </w:r>
          </w:p>
        </w:tc>
        <w:tc>
          <w:tcPr>
            <w:tcW w:w="1717" w:type="dxa"/>
            <w:tcBorders>
              <w:top w:val="nil"/>
              <w:left w:val="nil"/>
              <w:bottom w:val="single" w:sz="4" w:space="0" w:color="auto"/>
              <w:right w:val="single" w:sz="4" w:space="0" w:color="auto"/>
            </w:tcBorders>
            <w:shd w:val="clear" w:color="auto" w:fill="auto"/>
            <w:noWrap/>
            <w:vAlign w:val="center"/>
            <w:hideMark/>
          </w:tcPr>
          <w:p w14:paraId="3CFDBF86" w14:textId="77777777" w:rsidR="00294B8E" w:rsidRPr="00A9330B" w:rsidRDefault="00294B8E" w:rsidP="00F561A7">
            <w:pPr>
              <w:spacing w:before="100" w:line="240" w:lineRule="auto"/>
              <w:jc w:val="center"/>
              <w:rPr>
                <w:color w:val="000000"/>
                <w:sz w:val="20"/>
                <w:szCs w:val="20"/>
                <w:lang w:eastAsia="fr-FR"/>
              </w:rPr>
            </w:pPr>
            <w:r w:rsidRPr="00A9330B">
              <w:rPr>
                <w:color w:val="000000"/>
                <w:sz w:val="20"/>
                <w:szCs w:val="20"/>
                <w:lang w:eastAsia="fr-FR"/>
              </w:rPr>
              <w:t>0,000</w:t>
            </w:r>
          </w:p>
        </w:tc>
        <w:tc>
          <w:tcPr>
            <w:tcW w:w="1717" w:type="dxa"/>
            <w:tcBorders>
              <w:top w:val="nil"/>
              <w:left w:val="nil"/>
              <w:bottom w:val="single" w:sz="4" w:space="0" w:color="auto"/>
              <w:right w:val="single" w:sz="4" w:space="0" w:color="auto"/>
            </w:tcBorders>
            <w:shd w:val="clear" w:color="auto" w:fill="auto"/>
            <w:noWrap/>
            <w:vAlign w:val="center"/>
            <w:hideMark/>
          </w:tcPr>
          <w:p w14:paraId="6DA9442E" w14:textId="77777777" w:rsidR="00294B8E" w:rsidRPr="00A9330B" w:rsidRDefault="00294B8E" w:rsidP="00F561A7">
            <w:pPr>
              <w:spacing w:before="100" w:line="240" w:lineRule="auto"/>
              <w:jc w:val="center"/>
              <w:rPr>
                <w:color w:val="000000"/>
                <w:sz w:val="20"/>
                <w:szCs w:val="20"/>
                <w:lang w:eastAsia="fr-FR"/>
              </w:rPr>
            </w:pPr>
            <w:r w:rsidRPr="00A9330B">
              <w:rPr>
                <w:color w:val="000000"/>
                <w:sz w:val="20"/>
                <w:szCs w:val="20"/>
                <w:lang w:eastAsia="fr-FR"/>
              </w:rPr>
              <w:t>0,002</w:t>
            </w:r>
          </w:p>
        </w:tc>
      </w:tr>
      <w:tr w:rsidR="00294B8E" w:rsidRPr="00A9330B" w14:paraId="114593CA" w14:textId="77777777" w:rsidTr="00294B8E">
        <w:trPr>
          <w:trHeight w:val="296"/>
          <w:jc w:val="center"/>
        </w:trPr>
        <w:tc>
          <w:tcPr>
            <w:tcW w:w="3577" w:type="dxa"/>
            <w:tcBorders>
              <w:top w:val="nil"/>
              <w:left w:val="single" w:sz="4" w:space="0" w:color="auto"/>
              <w:bottom w:val="single" w:sz="4" w:space="0" w:color="auto"/>
              <w:right w:val="single" w:sz="4" w:space="0" w:color="auto"/>
            </w:tcBorders>
            <w:shd w:val="clear" w:color="auto" w:fill="auto"/>
            <w:noWrap/>
            <w:vAlign w:val="center"/>
            <w:hideMark/>
          </w:tcPr>
          <w:p w14:paraId="2F3A1EC3" w14:textId="77777777" w:rsidR="00294B8E" w:rsidRPr="00A9330B" w:rsidRDefault="00294B8E" w:rsidP="00F561A7">
            <w:pPr>
              <w:spacing w:before="100" w:line="240" w:lineRule="auto"/>
              <w:rPr>
                <w:color w:val="000000"/>
                <w:sz w:val="20"/>
                <w:szCs w:val="20"/>
                <w:lang w:eastAsia="fr-FR"/>
              </w:rPr>
            </w:pPr>
            <w:r w:rsidRPr="00A9330B">
              <w:rPr>
                <w:color w:val="000000"/>
                <w:sz w:val="20"/>
                <w:szCs w:val="20"/>
                <w:lang w:eastAsia="fr-FR"/>
              </w:rPr>
              <w:t>Ossori</w:t>
            </w:r>
          </w:p>
        </w:tc>
        <w:tc>
          <w:tcPr>
            <w:tcW w:w="1717" w:type="dxa"/>
            <w:tcBorders>
              <w:top w:val="nil"/>
              <w:left w:val="nil"/>
              <w:bottom w:val="single" w:sz="4" w:space="0" w:color="auto"/>
              <w:right w:val="single" w:sz="4" w:space="0" w:color="auto"/>
            </w:tcBorders>
            <w:shd w:val="clear" w:color="auto" w:fill="auto"/>
            <w:noWrap/>
            <w:vAlign w:val="center"/>
            <w:hideMark/>
          </w:tcPr>
          <w:p w14:paraId="63BAF71B" w14:textId="77777777" w:rsidR="00294B8E" w:rsidRPr="00A9330B" w:rsidRDefault="00294B8E" w:rsidP="00F561A7">
            <w:pPr>
              <w:spacing w:before="100" w:line="240" w:lineRule="auto"/>
              <w:jc w:val="center"/>
              <w:rPr>
                <w:color w:val="000000"/>
                <w:sz w:val="20"/>
                <w:szCs w:val="20"/>
                <w:lang w:eastAsia="fr-FR"/>
              </w:rPr>
            </w:pPr>
            <w:r w:rsidRPr="00A9330B">
              <w:rPr>
                <w:color w:val="000000"/>
                <w:sz w:val="20"/>
                <w:szCs w:val="20"/>
                <w:lang w:eastAsia="fr-FR"/>
              </w:rPr>
              <w:t>0,002</w:t>
            </w:r>
          </w:p>
        </w:tc>
        <w:tc>
          <w:tcPr>
            <w:tcW w:w="1717" w:type="dxa"/>
            <w:tcBorders>
              <w:top w:val="nil"/>
              <w:left w:val="nil"/>
              <w:bottom w:val="single" w:sz="4" w:space="0" w:color="auto"/>
              <w:right w:val="single" w:sz="4" w:space="0" w:color="auto"/>
            </w:tcBorders>
            <w:shd w:val="clear" w:color="auto" w:fill="auto"/>
            <w:noWrap/>
            <w:vAlign w:val="center"/>
            <w:hideMark/>
          </w:tcPr>
          <w:p w14:paraId="16A69F9A" w14:textId="77777777" w:rsidR="00294B8E" w:rsidRPr="00A9330B" w:rsidRDefault="00294B8E" w:rsidP="00F561A7">
            <w:pPr>
              <w:spacing w:before="100" w:line="240" w:lineRule="auto"/>
              <w:jc w:val="center"/>
              <w:rPr>
                <w:color w:val="000000"/>
                <w:sz w:val="20"/>
                <w:szCs w:val="20"/>
                <w:lang w:eastAsia="fr-FR"/>
              </w:rPr>
            </w:pPr>
            <w:r w:rsidRPr="00A9330B">
              <w:rPr>
                <w:color w:val="000000"/>
                <w:sz w:val="20"/>
                <w:szCs w:val="20"/>
                <w:lang w:eastAsia="fr-FR"/>
              </w:rPr>
              <w:t>0,000</w:t>
            </w:r>
          </w:p>
        </w:tc>
      </w:tr>
      <w:tr w:rsidR="00294B8E" w:rsidRPr="00A9330B" w14:paraId="14D4EE12" w14:textId="77777777" w:rsidTr="00294B8E">
        <w:trPr>
          <w:trHeight w:val="296"/>
          <w:jc w:val="center"/>
        </w:trPr>
        <w:tc>
          <w:tcPr>
            <w:tcW w:w="3577" w:type="dxa"/>
            <w:tcBorders>
              <w:top w:val="nil"/>
              <w:left w:val="single" w:sz="4" w:space="0" w:color="auto"/>
              <w:bottom w:val="single" w:sz="4" w:space="0" w:color="auto"/>
              <w:right w:val="single" w:sz="4" w:space="0" w:color="auto"/>
            </w:tcBorders>
            <w:shd w:val="clear" w:color="auto" w:fill="auto"/>
            <w:noWrap/>
            <w:vAlign w:val="center"/>
            <w:hideMark/>
          </w:tcPr>
          <w:p w14:paraId="354372BE" w14:textId="77777777" w:rsidR="00294B8E" w:rsidRPr="00A9330B" w:rsidRDefault="00294B8E" w:rsidP="00F561A7">
            <w:pPr>
              <w:spacing w:before="100" w:line="240" w:lineRule="auto"/>
              <w:rPr>
                <w:color w:val="000000"/>
                <w:sz w:val="20"/>
                <w:szCs w:val="20"/>
                <w:lang w:eastAsia="fr-FR"/>
              </w:rPr>
            </w:pPr>
            <w:r w:rsidRPr="00A9330B">
              <w:rPr>
                <w:color w:val="000000"/>
                <w:sz w:val="20"/>
                <w:szCs w:val="20"/>
                <w:lang w:eastAsia="fr-FR"/>
              </w:rPr>
              <w:t>Otammari</w:t>
            </w:r>
          </w:p>
        </w:tc>
        <w:tc>
          <w:tcPr>
            <w:tcW w:w="1717" w:type="dxa"/>
            <w:tcBorders>
              <w:top w:val="nil"/>
              <w:left w:val="nil"/>
              <w:bottom w:val="single" w:sz="4" w:space="0" w:color="auto"/>
              <w:right w:val="single" w:sz="4" w:space="0" w:color="auto"/>
            </w:tcBorders>
            <w:shd w:val="clear" w:color="auto" w:fill="auto"/>
            <w:noWrap/>
            <w:vAlign w:val="center"/>
            <w:hideMark/>
          </w:tcPr>
          <w:p w14:paraId="7795AC00" w14:textId="77777777" w:rsidR="00294B8E" w:rsidRPr="00A9330B" w:rsidRDefault="00294B8E" w:rsidP="00F561A7">
            <w:pPr>
              <w:spacing w:before="100" w:line="240" w:lineRule="auto"/>
              <w:jc w:val="center"/>
              <w:rPr>
                <w:color w:val="000000"/>
                <w:sz w:val="20"/>
                <w:szCs w:val="20"/>
                <w:lang w:eastAsia="fr-FR"/>
              </w:rPr>
            </w:pPr>
            <w:r w:rsidRPr="00A9330B">
              <w:rPr>
                <w:color w:val="000000"/>
                <w:sz w:val="20"/>
                <w:szCs w:val="20"/>
                <w:lang w:eastAsia="fr-FR"/>
              </w:rPr>
              <w:t>0,012</w:t>
            </w:r>
          </w:p>
        </w:tc>
        <w:tc>
          <w:tcPr>
            <w:tcW w:w="1717" w:type="dxa"/>
            <w:tcBorders>
              <w:top w:val="nil"/>
              <w:left w:val="nil"/>
              <w:bottom w:val="single" w:sz="4" w:space="0" w:color="auto"/>
              <w:right w:val="single" w:sz="4" w:space="0" w:color="auto"/>
            </w:tcBorders>
            <w:shd w:val="clear" w:color="auto" w:fill="auto"/>
            <w:noWrap/>
            <w:vAlign w:val="center"/>
            <w:hideMark/>
          </w:tcPr>
          <w:p w14:paraId="43F4790E" w14:textId="77777777" w:rsidR="00294B8E" w:rsidRPr="00A9330B" w:rsidRDefault="00294B8E" w:rsidP="00F561A7">
            <w:pPr>
              <w:spacing w:before="100" w:line="240" w:lineRule="auto"/>
              <w:jc w:val="center"/>
              <w:rPr>
                <w:color w:val="000000"/>
                <w:sz w:val="20"/>
                <w:szCs w:val="20"/>
                <w:lang w:eastAsia="fr-FR"/>
              </w:rPr>
            </w:pPr>
            <w:r w:rsidRPr="00A9330B">
              <w:rPr>
                <w:color w:val="000000"/>
                <w:sz w:val="20"/>
                <w:szCs w:val="20"/>
                <w:lang w:eastAsia="fr-FR"/>
              </w:rPr>
              <w:t>0,007</w:t>
            </w:r>
          </w:p>
        </w:tc>
      </w:tr>
      <w:tr w:rsidR="00294B8E" w:rsidRPr="00A9330B" w14:paraId="171AFE72" w14:textId="77777777" w:rsidTr="00294B8E">
        <w:trPr>
          <w:trHeight w:val="296"/>
          <w:jc w:val="center"/>
        </w:trPr>
        <w:tc>
          <w:tcPr>
            <w:tcW w:w="3577" w:type="dxa"/>
            <w:tcBorders>
              <w:top w:val="nil"/>
              <w:left w:val="single" w:sz="4" w:space="0" w:color="auto"/>
              <w:bottom w:val="single" w:sz="4" w:space="0" w:color="auto"/>
              <w:right w:val="single" w:sz="4" w:space="0" w:color="auto"/>
            </w:tcBorders>
            <w:shd w:val="clear" w:color="auto" w:fill="auto"/>
            <w:noWrap/>
            <w:vAlign w:val="center"/>
            <w:hideMark/>
          </w:tcPr>
          <w:p w14:paraId="47BDF62A" w14:textId="77777777" w:rsidR="00294B8E" w:rsidRPr="00A9330B" w:rsidRDefault="00294B8E" w:rsidP="00F561A7">
            <w:pPr>
              <w:spacing w:before="100" w:line="240" w:lineRule="auto"/>
              <w:rPr>
                <w:color w:val="000000"/>
                <w:sz w:val="20"/>
                <w:szCs w:val="20"/>
                <w:lang w:eastAsia="fr-FR"/>
              </w:rPr>
            </w:pPr>
            <w:r w:rsidRPr="00A9330B">
              <w:rPr>
                <w:color w:val="000000"/>
                <w:sz w:val="20"/>
                <w:szCs w:val="20"/>
                <w:lang w:eastAsia="fr-FR"/>
              </w:rPr>
              <w:t>Oubièrho</w:t>
            </w:r>
          </w:p>
        </w:tc>
        <w:tc>
          <w:tcPr>
            <w:tcW w:w="1717" w:type="dxa"/>
            <w:tcBorders>
              <w:top w:val="nil"/>
              <w:left w:val="nil"/>
              <w:bottom w:val="single" w:sz="4" w:space="0" w:color="auto"/>
              <w:right w:val="single" w:sz="4" w:space="0" w:color="auto"/>
            </w:tcBorders>
            <w:shd w:val="clear" w:color="auto" w:fill="auto"/>
            <w:noWrap/>
            <w:vAlign w:val="center"/>
            <w:hideMark/>
          </w:tcPr>
          <w:p w14:paraId="5D9989FD" w14:textId="77777777" w:rsidR="00294B8E" w:rsidRPr="00A9330B" w:rsidRDefault="00294B8E" w:rsidP="00F561A7">
            <w:pPr>
              <w:spacing w:before="100" w:line="240" w:lineRule="auto"/>
              <w:jc w:val="center"/>
              <w:rPr>
                <w:color w:val="000000"/>
                <w:sz w:val="20"/>
                <w:szCs w:val="20"/>
                <w:lang w:eastAsia="fr-FR"/>
              </w:rPr>
            </w:pPr>
            <w:r w:rsidRPr="00A9330B">
              <w:rPr>
                <w:color w:val="000000"/>
                <w:sz w:val="20"/>
                <w:szCs w:val="20"/>
                <w:lang w:eastAsia="fr-FR"/>
              </w:rPr>
              <w:t>0,005</w:t>
            </w:r>
          </w:p>
        </w:tc>
        <w:tc>
          <w:tcPr>
            <w:tcW w:w="1717" w:type="dxa"/>
            <w:tcBorders>
              <w:top w:val="nil"/>
              <w:left w:val="nil"/>
              <w:bottom w:val="single" w:sz="4" w:space="0" w:color="auto"/>
              <w:right w:val="single" w:sz="4" w:space="0" w:color="auto"/>
            </w:tcBorders>
            <w:shd w:val="clear" w:color="auto" w:fill="auto"/>
            <w:noWrap/>
            <w:vAlign w:val="center"/>
            <w:hideMark/>
          </w:tcPr>
          <w:p w14:paraId="664F9BDB" w14:textId="77777777" w:rsidR="00294B8E" w:rsidRPr="00A9330B" w:rsidRDefault="00294B8E" w:rsidP="00F561A7">
            <w:pPr>
              <w:spacing w:before="100" w:line="240" w:lineRule="auto"/>
              <w:jc w:val="center"/>
              <w:rPr>
                <w:color w:val="000000"/>
                <w:sz w:val="20"/>
                <w:szCs w:val="20"/>
                <w:lang w:eastAsia="fr-FR"/>
              </w:rPr>
            </w:pPr>
            <w:r w:rsidRPr="00A9330B">
              <w:rPr>
                <w:color w:val="000000"/>
                <w:sz w:val="20"/>
                <w:szCs w:val="20"/>
                <w:lang w:eastAsia="fr-FR"/>
              </w:rPr>
              <w:t>0,000</w:t>
            </w:r>
          </w:p>
        </w:tc>
      </w:tr>
      <w:tr w:rsidR="00294B8E" w:rsidRPr="00A9330B" w14:paraId="4DC73F6F" w14:textId="77777777" w:rsidTr="00294B8E">
        <w:trPr>
          <w:trHeight w:val="296"/>
          <w:jc w:val="center"/>
        </w:trPr>
        <w:tc>
          <w:tcPr>
            <w:tcW w:w="3577" w:type="dxa"/>
            <w:tcBorders>
              <w:top w:val="nil"/>
              <w:left w:val="single" w:sz="4" w:space="0" w:color="auto"/>
              <w:bottom w:val="single" w:sz="4" w:space="0" w:color="auto"/>
              <w:right w:val="single" w:sz="4" w:space="0" w:color="auto"/>
            </w:tcBorders>
            <w:shd w:val="clear" w:color="auto" w:fill="auto"/>
            <w:noWrap/>
            <w:vAlign w:val="center"/>
            <w:hideMark/>
          </w:tcPr>
          <w:p w14:paraId="01A025BF" w14:textId="77777777" w:rsidR="00294B8E" w:rsidRPr="00A9330B" w:rsidRDefault="00294B8E" w:rsidP="00F561A7">
            <w:pPr>
              <w:spacing w:before="100" w:line="240" w:lineRule="auto"/>
              <w:rPr>
                <w:color w:val="000000"/>
                <w:sz w:val="20"/>
                <w:szCs w:val="20"/>
                <w:lang w:eastAsia="fr-FR"/>
              </w:rPr>
            </w:pPr>
            <w:r w:rsidRPr="00A9330B">
              <w:rPr>
                <w:color w:val="000000"/>
                <w:sz w:val="20"/>
                <w:szCs w:val="20"/>
                <w:lang w:eastAsia="fr-FR"/>
              </w:rPr>
              <w:t>Peulh</w:t>
            </w:r>
          </w:p>
        </w:tc>
        <w:tc>
          <w:tcPr>
            <w:tcW w:w="1717" w:type="dxa"/>
            <w:tcBorders>
              <w:top w:val="nil"/>
              <w:left w:val="nil"/>
              <w:bottom w:val="single" w:sz="4" w:space="0" w:color="auto"/>
              <w:right w:val="single" w:sz="4" w:space="0" w:color="auto"/>
            </w:tcBorders>
            <w:shd w:val="clear" w:color="auto" w:fill="auto"/>
            <w:noWrap/>
            <w:vAlign w:val="center"/>
            <w:hideMark/>
          </w:tcPr>
          <w:p w14:paraId="77D4CB0D" w14:textId="77777777" w:rsidR="00294B8E" w:rsidRPr="00A9330B" w:rsidRDefault="00294B8E" w:rsidP="00F561A7">
            <w:pPr>
              <w:spacing w:before="100" w:line="240" w:lineRule="auto"/>
              <w:jc w:val="center"/>
              <w:rPr>
                <w:color w:val="000000"/>
                <w:sz w:val="20"/>
                <w:szCs w:val="20"/>
                <w:lang w:eastAsia="fr-FR"/>
              </w:rPr>
            </w:pPr>
            <w:r w:rsidRPr="00A9330B">
              <w:rPr>
                <w:color w:val="000000"/>
                <w:sz w:val="20"/>
                <w:szCs w:val="20"/>
                <w:lang w:eastAsia="fr-FR"/>
              </w:rPr>
              <w:t>0,010</w:t>
            </w:r>
          </w:p>
        </w:tc>
        <w:tc>
          <w:tcPr>
            <w:tcW w:w="1717" w:type="dxa"/>
            <w:tcBorders>
              <w:top w:val="nil"/>
              <w:left w:val="nil"/>
              <w:bottom w:val="single" w:sz="4" w:space="0" w:color="auto"/>
              <w:right w:val="single" w:sz="4" w:space="0" w:color="auto"/>
            </w:tcBorders>
            <w:shd w:val="clear" w:color="auto" w:fill="auto"/>
            <w:noWrap/>
            <w:vAlign w:val="center"/>
            <w:hideMark/>
          </w:tcPr>
          <w:p w14:paraId="397EBA8B" w14:textId="77777777" w:rsidR="00294B8E" w:rsidRPr="00A9330B" w:rsidRDefault="00294B8E" w:rsidP="00F561A7">
            <w:pPr>
              <w:spacing w:before="100" w:line="240" w:lineRule="auto"/>
              <w:jc w:val="center"/>
              <w:rPr>
                <w:color w:val="000000"/>
                <w:sz w:val="20"/>
                <w:szCs w:val="20"/>
                <w:lang w:eastAsia="fr-FR"/>
              </w:rPr>
            </w:pPr>
            <w:r w:rsidRPr="00A9330B">
              <w:rPr>
                <w:color w:val="000000"/>
                <w:sz w:val="20"/>
                <w:szCs w:val="20"/>
                <w:lang w:eastAsia="fr-FR"/>
              </w:rPr>
              <w:t>0,000</w:t>
            </w:r>
          </w:p>
        </w:tc>
      </w:tr>
      <w:tr w:rsidR="00294B8E" w:rsidRPr="00A9330B" w14:paraId="411B365A" w14:textId="77777777" w:rsidTr="00294B8E">
        <w:trPr>
          <w:trHeight w:val="296"/>
          <w:jc w:val="center"/>
        </w:trPr>
        <w:tc>
          <w:tcPr>
            <w:tcW w:w="3577" w:type="dxa"/>
            <w:tcBorders>
              <w:top w:val="nil"/>
              <w:left w:val="single" w:sz="4" w:space="0" w:color="auto"/>
              <w:bottom w:val="single" w:sz="4" w:space="0" w:color="auto"/>
              <w:right w:val="single" w:sz="4" w:space="0" w:color="auto"/>
            </w:tcBorders>
            <w:shd w:val="clear" w:color="auto" w:fill="auto"/>
            <w:noWrap/>
            <w:vAlign w:val="center"/>
            <w:hideMark/>
          </w:tcPr>
          <w:p w14:paraId="6FD97677" w14:textId="77777777" w:rsidR="00294B8E" w:rsidRPr="00A9330B" w:rsidRDefault="00294B8E" w:rsidP="00F561A7">
            <w:pPr>
              <w:spacing w:before="100" w:line="240" w:lineRule="auto"/>
              <w:rPr>
                <w:color w:val="000000"/>
                <w:sz w:val="20"/>
                <w:szCs w:val="20"/>
                <w:lang w:eastAsia="fr-FR"/>
              </w:rPr>
            </w:pPr>
            <w:r w:rsidRPr="00A9330B">
              <w:rPr>
                <w:color w:val="000000"/>
                <w:sz w:val="20"/>
                <w:szCs w:val="20"/>
                <w:lang w:eastAsia="fr-FR"/>
              </w:rPr>
              <w:t>Pipila</w:t>
            </w:r>
          </w:p>
        </w:tc>
        <w:tc>
          <w:tcPr>
            <w:tcW w:w="1717" w:type="dxa"/>
            <w:tcBorders>
              <w:top w:val="nil"/>
              <w:left w:val="nil"/>
              <w:bottom w:val="single" w:sz="4" w:space="0" w:color="auto"/>
              <w:right w:val="single" w:sz="4" w:space="0" w:color="auto"/>
            </w:tcBorders>
            <w:shd w:val="clear" w:color="auto" w:fill="auto"/>
            <w:noWrap/>
            <w:vAlign w:val="center"/>
            <w:hideMark/>
          </w:tcPr>
          <w:p w14:paraId="04A297B7" w14:textId="77777777" w:rsidR="00294B8E" w:rsidRPr="00A9330B" w:rsidRDefault="00294B8E" w:rsidP="00F561A7">
            <w:pPr>
              <w:spacing w:before="100" w:line="240" w:lineRule="auto"/>
              <w:jc w:val="center"/>
              <w:rPr>
                <w:color w:val="000000"/>
                <w:sz w:val="20"/>
                <w:szCs w:val="20"/>
                <w:lang w:eastAsia="fr-FR"/>
              </w:rPr>
            </w:pPr>
            <w:r w:rsidRPr="00A9330B">
              <w:rPr>
                <w:color w:val="000000"/>
                <w:sz w:val="20"/>
                <w:szCs w:val="20"/>
                <w:lang w:eastAsia="fr-FR"/>
              </w:rPr>
              <w:t>0,002</w:t>
            </w:r>
          </w:p>
        </w:tc>
        <w:tc>
          <w:tcPr>
            <w:tcW w:w="1717" w:type="dxa"/>
            <w:tcBorders>
              <w:top w:val="nil"/>
              <w:left w:val="nil"/>
              <w:bottom w:val="single" w:sz="4" w:space="0" w:color="auto"/>
              <w:right w:val="single" w:sz="4" w:space="0" w:color="auto"/>
            </w:tcBorders>
            <w:shd w:val="clear" w:color="auto" w:fill="auto"/>
            <w:noWrap/>
            <w:vAlign w:val="center"/>
            <w:hideMark/>
          </w:tcPr>
          <w:p w14:paraId="6CA2EAEB" w14:textId="77777777" w:rsidR="00294B8E" w:rsidRPr="00A9330B" w:rsidRDefault="00294B8E" w:rsidP="00F561A7">
            <w:pPr>
              <w:spacing w:before="100" w:line="240" w:lineRule="auto"/>
              <w:jc w:val="center"/>
              <w:rPr>
                <w:color w:val="000000"/>
                <w:sz w:val="20"/>
                <w:szCs w:val="20"/>
                <w:lang w:eastAsia="fr-FR"/>
              </w:rPr>
            </w:pPr>
            <w:r w:rsidRPr="00A9330B">
              <w:rPr>
                <w:color w:val="000000"/>
                <w:sz w:val="20"/>
                <w:szCs w:val="20"/>
                <w:lang w:eastAsia="fr-FR"/>
              </w:rPr>
              <w:t>0,002</w:t>
            </w:r>
          </w:p>
        </w:tc>
      </w:tr>
      <w:tr w:rsidR="00294B8E" w:rsidRPr="00A9330B" w14:paraId="629447D7" w14:textId="77777777" w:rsidTr="00294B8E">
        <w:trPr>
          <w:trHeight w:val="296"/>
          <w:jc w:val="center"/>
        </w:trPr>
        <w:tc>
          <w:tcPr>
            <w:tcW w:w="3577" w:type="dxa"/>
            <w:tcBorders>
              <w:top w:val="nil"/>
              <w:left w:val="single" w:sz="4" w:space="0" w:color="auto"/>
              <w:bottom w:val="single" w:sz="4" w:space="0" w:color="auto"/>
              <w:right w:val="single" w:sz="4" w:space="0" w:color="auto"/>
            </w:tcBorders>
            <w:shd w:val="clear" w:color="auto" w:fill="auto"/>
            <w:noWrap/>
            <w:vAlign w:val="center"/>
            <w:hideMark/>
          </w:tcPr>
          <w:p w14:paraId="4C00F3A3" w14:textId="77777777" w:rsidR="00294B8E" w:rsidRPr="00A9330B" w:rsidRDefault="00294B8E" w:rsidP="00F561A7">
            <w:pPr>
              <w:spacing w:before="100" w:line="240" w:lineRule="auto"/>
              <w:rPr>
                <w:color w:val="000000"/>
                <w:sz w:val="20"/>
                <w:szCs w:val="20"/>
                <w:lang w:eastAsia="fr-FR"/>
              </w:rPr>
            </w:pPr>
            <w:r w:rsidRPr="00A9330B">
              <w:rPr>
                <w:color w:val="000000"/>
                <w:sz w:val="20"/>
                <w:szCs w:val="20"/>
                <w:lang w:eastAsia="fr-FR"/>
              </w:rPr>
              <w:t>Popo</w:t>
            </w:r>
          </w:p>
        </w:tc>
        <w:tc>
          <w:tcPr>
            <w:tcW w:w="1717" w:type="dxa"/>
            <w:tcBorders>
              <w:top w:val="nil"/>
              <w:left w:val="nil"/>
              <w:bottom w:val="single" w:sz="4" w:space="0" w:color="auto"/>
              <w:right w:val="single" w:sz="4" w:space="0" w:color="auto"/>
            </w:tcBorders>
            <w:shd w:val="clear" w:color="auto" w:fill="auto"/>
            <w:noWrap/>
            <w:vAlign w:val="center"/>
            <w:hideMark/>
          </w:tcPr>
          <w:p w14:paraId="5B8F7EFE" w14:textId="77777777" w:rsidR="00294B8E" w:rsidRPr="00A9330B" w:rsidRDefault="00294B8E" w:rsidP="00F561A7">
            <w:pPr>
              <w:spacing w:before="100" w:line="240" w:lineRule="auto"/>
              <w:jc w:val="center"/>
              <w:rPr>
                <w:color w:val="000000"/>
                <w:sz w:val="20"/>
                <w:szCs w:val="20"/>
                <w:lang w:eastAsia="fr-FR"/>
              </w:rPr>
            </w:pPr>
            <w:r w:rsidRPr="00A9330B">
              <w:rPr>
                <w:color w:val="000000"/>
                <w:sz w:val="20"/>
                <w:szCs w:val="20"/>
                <w:lang w:eastAsia="fr-FR"/>
              </w:rPr>
              <w:t>0,002</w:t>
            </w:r>
          </w:p>
        </w:tc>
        <w:tc>
          <w:tcPr>
            <w:tcW w:w="1717" w:type="dxa"/>
            <w:tcBorders>
              <w:top w:val="nil"/>
              <w:left w:val="nil"/>
              <w:bottom w:val="single" w:sz="4" w:space="0" w:color="auto"/>
              <w:right w:val="single" w:sz="4" w:space="0" w:color="auto"/>
            </w:tcBorders>
            <w:shd w:val="clear" w:color="auto" w:fill="auto"/>
            <w:noWrap/>
            <w:vAlign w:val="center"/>
            <w:hideMark/>
          </w:tcPr>
          <w:p w14:paraId="2B07BAC1" w14:textId="77777777" w:rsidR="00294B8E" w:rsidRPr="00A9330B" w:rsidRDefault="00294B8E" w:rsidP="00F561A7">
            <w:pPr>
              <w:spacing w:before="100" w:line="240" w:lineRule="auto"/>
              <w:jc w:val="center"/>
              <w:rPr>
                <w:color w:val="000000"/>
                <w:sz w:val="20"/>
                <w:szCs w:val="20"/>
                <w:lang w:eastAsia="fr-FR"/>
              </w:rPr>
            </w:pPr>
            <w:r w:rsidRPr="00A9330B">
              <w:rPr>
                <w:color w:val="000000"/>
                <w:sz w:val="20"/>
                <w:szCs w:val="20"/>
                <w:lang w:eastAsia="fr-FR"/>
              </w:rPr>
              <w:t>0,002</w:t>
            </w:r>
          </w:p>
        </w:tc>
      </w:tr>
      <w:tr w:rsidR="00294B8E" w:rsidRPr="00A9330B" w14:paraId="12442850" w14:textId="77777777" w:rsidTr="00294B8E">
        <w:trPr>
          <w:trHeight w:val="296"/>
          <w:jc w:val="center"/>
        </w:trPr>
        <w:tc>
          <w:tcPr>
            <w:tcW w:w="3577" w:type="dxa"/>
            <w:tcBorders>
              <w:top w:val="nil"/>
              <w:left w:val="single" w:sz="4" w:space="0" w:color="auto"/>
              <w:bottom w:val="single" w:sz="4" w:space="0" w:color="auto"/>
              <w:right w:val="single" w:sz="4" w:space="0" w:color="auto"/>
            </w:tcBorders>
            <w:shd w:val="clear" w:color="auto" w:fill="auto"/>
            <w:noWrap/>
            <w:vAlign w:val="center"/>
            <w:hideMark/>
          </w:tcPr>
          <w:p w14:paraId="6D94F91D" w14:textId="77777777" w:rsidR="00294B8E" w:rsidRPr="00A9330B" w:rsidRDefault="00294B8E" w:rsidP="00F561A7">
            <w:pPr>
              <w:spacing w:before="100" w:line="240" w:lineRule="auto"/>
              <w:rPr>
                <w:color w:val="000000"/>
                <w:sz w:val="20"/>
                <w:szCs w:val="20"/>
                <w:lang w:eastAsia="fr-FR"/>
              </w:rPr>
            </w:pPr>
            <w:r w:rsidRPr="00A9330B">
              <w:rPr>
                <w:color w:val="000000"/>
                <w:sz w:val="20"/>
                <w:szCs w:val="20"/>
                <w:lang w:eastAsia="fr-FR"/>
              </w:rPr>
              <w:t>Sahouè</w:t>
            </w:r>
          </w:p>
        </w:tc>
        <w:tc>
          <w:tcPr>
            <w:tcW w:w="1717" w:type="dxa"/>
            <w:tcBorders>
              <w:top w:val="nil"/>
              <w:left w:val="nil"/>
              <w:bottom w:val="single" w:sz="4" w:space="0" w:color="auto"/>
              <w:right w:val="single" w:sz="4" w:space="0" w:color="auto"/>
            </w:tcBorders>
            <w:shd w:val="clear" w:color="auto" w:fill="auto"/>
            <w:noWrap/>
            <w:vAlign w:val="center"/>
            <w:hideMark/>
          </w:tcPr>
          <w:p w14:paraId="0725D0F7" w14:textId="77777777" w:rsidR="00294B8E" w:rsidRPr="00A9330B" w:rsidRDefault="00294B8E" w:rsidP="00F561A7">
            <w:pPr>
              <w:spacing w:before="100" w:line="240" w:lineRule="auto"/>
              <w:jc w:val="center"/>
              <w:rPr>
                <w:color w:val="000000"/>
                <w:sz w:val="20"/>
                <w:szCs w:val="20"/>
                <w:lang w:eastAsia="fr-FR"/>
              </w:rPr>
            </w:pPr>
            <w:r w:rsidRPr="00A9330B">
              <w:rPr>
                <w:color w:val="000000"/>
                <w:sz w:val="20"/>
                <w:szCs w:val="20"/>
                <w:lang w:eastAsia="fr-FR"/>
              </w:rPr>
              <w:t>0,002</w:t>
            </w:r>
          </w:p>
        </w:tc>
        <w:tc>
          <w:tcPr>
            <w:tcW w:w="1717" w:type="dxa"/>
            <w:tcBorders>
              <w:top w:val="nil"/>
              <w:left w:val="nil"/>
              <w:bottom w:val="single" w:sz="4" w:space="0" w:color="auto"/>
              <w:right w:val="single" w:sz="4" w:space="0" w:color="auto"/>
            </w:tcBorders>
            <w:shd w:val="clear" w:color="auto" w:fill="auto"/>
            <w:noWrap/>
            <w:vAlign w:val="center"/>
            <w:hideMark/>
          </w:tcPr>
          <w:p w14:paraId="50CE37EC" w14:textId="77777777" w:rsidR="00294B8E" w:rsidRPr="00A9330B" w:rsidRDefault="00294B8E" w:rsidP="00F561A7">
            <w:pPr>
              <w:spacing w:before="100" w:line="240" w:lineRule="auto"/>
              <w:jc w:val="center"/>
              <w:rPr>
                <w:color w:val="000000"/>
                <w:sz w:val="20"/>
                <w:szCs w:val="20"/>
                <w:lang w:eastAsia="fr-FR"/>
              </w:rPr>
            </w:pPr>
            <w:r w:rsidRPr="00A9330B">
              <w:rPr>
                <w:color w:val="000000"/>
                <w:sz w:val="20"/>
                <w:szCs w:val="20"/>
                <w:lang w:eastAsia="fr-FR"/>
              </w:rPr>
              <w:t>0,002</w:t>
            </w:r>
          </w:p>
        </w:tc>
      </w:tr>
      <w:tr w:rsidR="00294B8E" w:rsidRPr="00A9330B" w14:paraId="52277C28" w14:textId="77777777" w:rsidTr="00294B8E">
        <w:trPr>
          <w:trHeight w:val="296"/>
          <w:jc w:val="center"/>
        </w:trPr>
        <w:tc>
          <w:tcPr>
            <w:tcW w:w="3577" w:type="dxa"/>
            <w:tcBorders>
              <w:top w:val="nil"/>
              <w:left w:val="single" w:sz="4" w:space="0" w:color="auto"/>
              <w:bottom w:val="single" w:sz="4" w:space="0" w:color="auto"/>
              <w:right w:val="single" w:sz="4" w:space="0" w:color="auto"/>
            </w:tcBorders>
            <w:shd w:val="clear" w:color="auto" w:fill="auto"/>
            <w:noWrap/>
            <w:vAlign w:val="center"/>
            <w:hideMark/>
          </w:tcPr>
          <w:p w14:paraId="5BCB34CA" w14:textId="77777777" w:rsidR="00294B8E" w:rsidRPr="00A9330B" w:rsidRDefault="00294B8E" w:rsidP="00F561A7">
            <w:pPr>
              <w:spacing w:before="100" w:line="240" w:lineRule="auto"/>
              <w:rPr>
                <w:color w:val="000000"/>
                <w:sz w:val="20"/>
                <w:szCs w:val="20"/>
                <w:lang w:eastAsia="fr-FR"/>
              </w:rPr>
            </w:pPr>
            <w:r w:rsidRPr="00A9330B">
              <w:rPr>
                <w:color w:val="000000"/>
                <w:sz w:val="20"/>
                <w:szCs w:val="20"/>
                <w:lang w:eastAsia="fr-FR"/>
              </w:rPr>
              <w:t>Somba</w:t>
            </w:r>
          </w:p>
        </w:tc>
        <w:tc>
          <w:tcPr>
            <w:tcW w:w="1717" w:type="dxa"/>
            <w:tcBorders>
              <w:top w:val="nil"/>
              <w:left w:val="nil"/>
              <w:bottom w:val="single" w:sz="4" w:space="0" w:color="auto"/>
              <w:right w:val="single" w:sz="4" w:space="0" w:color="auto"/>
            </w:tcBorders>
            <w:shd w:val="clear" w:color="auto" w:fill="auto"/>
            <w:noWrap/>
            <w:vAlign w:val="center"/>
            <w:hideMark/>
          </w:tcPr>
          <w:p w14:paraId="1DB51E46" w14:textId="77777777" w:rsidR="00294B8E" w:rsidRPr="00A9330B" w:rsidRDefault="00294B8E" w:rsidP="00F561A7">
            <w:pPr>
              <w:spacing w:before="100" w:line="240" w:lineRule="auto"/>
              <w:jc w:val="center"/>
              <w:rPr>
                <w:color w:val="000000"/>
                <w:sz w:val="20"/>
                <w:szCs w:val="20"/>
                <w:lang w:eastAsia="fr-FR"/>
              </w:rPr>
            </w:pPr>
            <w:r w:rsidRPr="00A9330B">
              <w:rPr>
                <w:color w:val="000000"/>
                <w:sz w:val="20"/>
                <w:szCs w:val="20"/>
                <w:lang w:eastAsia="fr-FR"/>
              </w:rPr>
              <w:t>0,007</w:t>
            </w:r>
          </w:p>
        </w:tc>
        <w:tc>
          <w:tcPr>
            <w:tcW w:w="1717" w:type="dxa"/>
            <w:tcBorders>
              <w:top w:val="nil"/>
              <w:left w:val="nil"/>
              <w:bottom w:val="single" w:sz="4" w:space="0" w:color="auto"/>
              <w:right w:val="single" w:sz="4" w:space="0" w:color="auto"/>
            </w:tcBorders>
            <w:shd w:val="clear" w:color="auto" w:fill="auto"/>
            <w:noWrap/>
            <w:vAlign w:val="center"/>
            <w:hideMark/>
          </w:tcPr>
          <w:p w14:paraId="485724B1" w14:textId="77777777" w:rsidR="00294B8E" w:rsidRPr="00A9330B" w:rsidRDefault="00294B8E" w:rsidP="00F561A7">
            <w:pPr>
              <w:spacing w:before="100" w:line="240" w:lineRule="auto"/>
              <w:jc w:val="center"/>
              <w:rPr>
                <w:color w:val="000000"/>
                <w:sz w:val="20"/>
                <w:szCs w:val="20"/>
                <w:lang w:eastAsia="fr-FR"/>
              </w:rPr>
            </w:pPr>
            <w:r w:rsidRPr="00A9330B">
              <w:rPr>
                <w:color w:val="000000"/>
                <w:sz w:val="20"/>
                <w:szCs w:val="20"/>
                <w:lang w:eastAsia="fr-FR"/>
              </w:rPr>
              <w:t>0,007</w:t>
            </w:r>
          </w:p>
        </w:tc>
      </w:tr>
      <w:tr w:rsidR="00294B8E" w:rsidRPr="00A9330B" w14:paraId="4DFEA092" w14:textId="77777777" w:rsidTr="00294B8E">
        <w:trPr>
          <w:trHeight w:val="296"/>
          <w:jc w:val="center"/>
        </w:trPr>
        <w:tc>
          <w:tcPr>
            <w:tcW w:w="3577" w:type="dxa"/>
            <w:tcBorders>
              <w:top w:val="nil"/>
              <w:left w:val="single" w:sz="4" w:space="0" w:color="auto"/>
              <w:bottom w:val="single" w:sz="4" w:space="0" w:color="auto"/>
              <w:right w:val="single" w:sz="4" w:space="0" w:color="auto"/>
            </w:tcBorders>
            <w:shd w:val="clear" w:color="auto" w:fill="auto"/>
            <w:noWrap/>
            <w:vAlign w:val="center"/>
            <w:hideMark/>
          </w:tcPr>
          <w:p w14:paraId="4FD2ECE9" w14:textId="77777777" w:rsidR="00294B8E" w:rsidRPr="00A9330B" w:rsidRDefault="00294B8E" w:rsidP="00F561A7">
            <w:pPr>
              <w:spacing w:before="100" w:line="240" w:lineRule="auto"/>
              <w:rPr>
                <w:color w:val="000000"/>
                <w:sz w:val="20"/>
                <w:szCs w:val="20"/>
                <w:lang w:eastAsia="fr-FR"/>
              </w:rPr>
            </w:pPr>
            <w:r w:rsidRPr="00A9330B">
              <w:rPr>
                <w:color w:val="000000"/>
                <w:sz w:val="20"/>
                <w:szCs w:val="20"/>
                <w:lang w:eastAsia="fr-FR"/>
              </w:rPr>
              <w:t>Tchakossi</w:t>
            </w:r>
          </w:p>
        </w:tc>
        <w:tc>
          <w:tcPr>
            <w:tcW w:w="1717" w:type="dxa"/>
            <w:tcBorders>
              <w:top w:val="nil"/>
              <w:left w:val="nil"/>
              <w:bottom w:val="single" w:sz="4" w:space="0" w:color="auto"/>
              <w:right w:val="single" w:sz="4" w:space="0" w:color="auto"/>
            </w:tcBorders>
            <w:shd w:val="clear" w:color="auto" w:fill="auto"/>
            <w:noWrap/>
            <w:vAlign w:val="center"/>
            <w:hideMark/>
          </w:tcPr>
          <w:p w14:paraId="69D79370" w14:textId="77777777" w:rsidR="00294B8E" w:rsidRPr="00A9330B" w:rsidRDefault="00294B8E" w:rsidP="00F561A7">
            <w:pPr>
              <w:spacing w:before="100" w:line="240" w:lineRule="auto"/>
              <w:jc w:val="center"/>
              <w:rPr>
                <w:color w:val="000000"/>
                <w:sz w:val="20"/>
                <w:szCs w:val="20"/>
                <w:lang w:eastAsia="fr-FR"/>
              </w:rPr>
            </w:pPr>
            <w:r w:rsidRPr="00A9330B">
              <w:rPr>
                <w:color w:val="000000"/>
                <w:sz w:val="20"/>
                <w:szCs w:val="20"/>
                <w:lang w:eastAsia="fr-FR"/>
              </w:rPr>
              <w:t>0,002</w:t>
            </w:r>
          </w:p>
        </w:tc>
        <w:tc>
          <w:tcPr>
            <w:tcW w:w="1717" w:type="dxa"/>
            <w:tcBorders>
              <w:top w:val="nil"/>
              <w:left w:val="nil"/>
              <w:bottom w:val="single" w:sz="4" w:space="0" w:color="auto"/>
              <w:right w:val="single" w:sz="4" w:space="0" w:color="auto"/>
            </w:tcBorders>
            <w:shd w:val="clear" w:color="auto" w:fill="auto"/>
            <w:noWrap/>
            <w:vAlign w:val="center"/>
            <w:hideMark/>
          </w:tcPr>
          <w:p w14:paraId="0E402601" w14:textId="77777777" w:rsidR="00294B8E" w:rsidRPr="00A9330B" w:rsidRDefault="00294B8E" w:rsidP="00F561A7">
            <w:pPr>
              <w:spacing w:before="100" w:line="240" w:lineRule="auto"/>
              <w:jc w:val="center"/>
              <w:rPr>
                <w:color w:val="000000"/>
                <w:sz w:val="20"/>
                <w:szCs w:val="20"/>
                <w:lang w:eastAsia="fr-FR"/>
              </w:rPr>
            </w:pPr>
            <w:r w:rsidRPr="00A9330B">
              <w:rPr>
                <w:color w:val="000000"/>
                <w:sz w:val="20"/>
                <w:szCs w:val="20"/>
                <w:lang w:eastAsia="fr-FR"/>
              </w:rPr>
              <w:t>0,000</w:t>
            </w:r>
          </w:p>
        </w:tc>
      </w:tr>
      <w:tr w:rsidR="00294B8E" w:rsidRPr="00A9330B" w14:paraId="4E313B6F" w14:textId="77777777" w:rsidTr="00294B8E">
        <w:trPr>
          <w:trHeight w:val="296"/>
          <w:jc w:val="center"/>
        </w:trPr>
        <w:tc>
          <w:tcPr>
            <w:tcW w:w="3577" w:type="dxa"/>
            <w:tcBorders>
              <w:top w:val="nil"/>
              <w:left w:val="single" w:sz="4" w:space="0" w:color="auto"/>
              <w:bottom w:val="single" w:sz="4" w:space="0" w:color="auto"/>
              <w:right w:val="single" w:sz="4" w:space="0" w:color="auto"/>
            </w:tcBorders>
            <w:shd w:val="clear" w:color="auto" w:fill="auto"/>
            <w:noWrap/>
            <w:vAlign w:val="center"/>
            <w:hideMark/>
          </w:tcPr>
          <w:p w14:paraId="3C62E153" w14:textId="77777777" w:rsidR="00294B8E" w:rsidRPr="00A9330B" w:rsidRDefault="00294B8E" w:rsidP="00F561A7">
            <w:pPr>
              <w:spacing w:before="100" w:line="240" w:lineRule="auto"/>
              <w:rPr>
                <w:color w:val="000000"/>
                <w:sz w:val="20"/>
                <w:szCs w:val="20"/>
                <w:lang w:eastAsia="fr-FR"/>
              </w:rPr>
            </w:pPr>
            <w:r w:rsidRPr="00A9330B">
              <w:rPr>
                <w:color w:val="000000"/>
                <w:sz w:val="20"/>
                <w:szCs w:val="20"/>
                <w:lang w:eastAsia="fr-FR"/>
              </w:rPr>
              <w:t>Waama</w:t>
            </w:r>
          </w:p>
        </w:tc>
        <w:tc>
          <w:tcPr>
            <w:tcW w:w="1717" w:type="dxa"/>
            <w:tcBorders>
              <w:top w:val="nil"/>
              <w:left w:val="nil"/>
              <w:bottom w:val="single" w:sz="4" w:space="0" w:color="auto"/>
              <w:right w:val="single" w:sz="4" w:space="0" w:color="auto"/>
            </w:tcBorders>
            <w:shd w:val="clear" w:color="auto" w:fill="ED7D31" w:themeFill="accent2"/>
            <w:noWrap/>
            <w:vAlign w:val="center"/>
            <w:hideMark/>
          </w:tcPr>
          <w:p w14:paraId="386AF04A" w14:textId="77777777" w:rsidR="00294B8E" w:rsidRPr="00A9330B" w:rsidRDefault="00294B8E" w:rsidP="00F561A7">
            <w:pPr>
              <w:spacing w:before="100" w:line="240" w:lineRule="auto"/>
              <w:jc w:val="center"/>
              <w:rPr>
                <w:color w:val="000000"/>
                <w:sz w:val="20"/>
                <w:szCs w:val="20"/>
                <w:lang w:eastAsia="fr-FR"/>
              </w:rPr>
            </w:pPr>
            <w:r w:rsidRPr="00A9330B">
              <w:rPr>
                <w:color w:val="000000"/>
                <w:sz w:val="20"/>
                <w:szCs w:val="20"/>
                <w:lang w:eastAsia="fr-FR"/>
              </w:rPr>
              <w:t>0,151</w:t>
            </w:r>
          </w:p>
        </w:tc>
        <w:tc>
          <w:tcPr>
            <w:tcW w:w="1717" w:type="dxa"/>
            <w:tcBorders>
              <w:top w:val="nil"/>
              <w:left w:val="nil"/>
              <w:bottom w:val="single" w:sz="4" w:space="0" w:color="auto"/>
              <w:right w:val="single" w:sz="4" w:space="0" w:color="auto"/>
            </w:tcBorders>
            <w:shd w:val="clear" w:color="auto" w:fill="ED7D31" w:themeFill="accent2"/>
            <w:noWrap/>
            <w:vAlign w:val="center"/>
            <w:hideMark/>
          </w:tcPr>
          <w:p w14:paraId="79911721" w14:textId="77777777" w:rsidR="00294B8E" w:rsidRPr="00A9330B" w:rsidRDefault="00294B8E" w:rsidP="00F561A7">
            <w:pPr>
              <w:spacing w:before="100" w:line="240" w:lineRule="auto"/>
              <w:jc w:val="center"/>
              <w:rPr>
                <w:color w:val="000000"/>
                <w:sz w:val="20"/>
                <w:szCs w:val="20"/>
                <w:lang w:eastAsia="fr-FR"/>
              </w:rPr>
            </w:pPr>
            <w:r w:rsidRPr="00A9330B">
              <w:rPr>
                <w:color w:val="000000"/>
                <w:sz w:val="20"/>
                <w:szCs w:val="20"/>
                <w:lang w:eastAsia="fr-FR"/>
              </w:rPr>
              <w:t>0,047</w:t>
            </w:r>
          </w:p>
        </w:tc>
      </w:tr>
      <w:tr w:rsidR="00294B8E" w:rsidRPr="00A9330B" w14:paraId="06F448A9" w14:textId="77777777" w:rsidTr="00294B8E">
        <w:trPr>
          <w:trHeight w:val="296"/>
          <w:jc w:val="center"/>
        </w:trPr>
        <w:tc>
          <w:tcPr>
            <w:tcW w:w="3577" w:type="dxa"/>
            <w:tcBorders>
              <w:top w:val="nil"/>
              <w:left w:val="single" w:sz="4" w:space="0" w:color="auto"/>
              <w:bottom w:val="single" w:sz="4" w:space="0" w:color="auto"/>
              <w:right w:val="single" w:sz="4" w:space="0" w:color="auto"/>
            </w:tcBorders>
            <w:shd w:val="clear" w:color="auto" w:fill="auto"/>
            <w:noWrap/>
            <w:vAlign w:val="center"/>
            <w:hideMark/>
          </w:tcPr>
          <w:p w14:paraId="51C1E146" w14:textId="77777777" w:rsidR="00294B8E" w:rsidRPr="00A9330B" w:rsidRDefault="00294B8E" w:rsidP="00F561A7">
            <w:pPr>
              <w:spacing w:before="100" w:line="240" w:lineRule="auto"/>
              <w:rPr>
                <w:color w:val="000000"/>
                <w:sz w:val="20"/>
                <w:szCs w:val="20"/>
                <w:lang w:eastAsia="fr-FR"/>
              </w:rPr>
            </w:pPr>
            <w:r w:rsidRPr="00A9330B">
              <w:rPr>
                <w:color w:val="000000"/>
                <w:sz w:val="20"/>
                <w:szCs w:val="20"/>
                <w:lang w:eastAsia="fr-FR"/>
              </w:rPr>
              <w:t>Yindé</w:t>
            </w:r>
          </w:p>
        </w:tc>
        <w:tc>
          <w:tcPr>
            <w:tcW w:w="1717" w:type="dxa"/>
            <w:tcBorders>
              <w:top w:val="nil"/>
              <w:left w:val="nil"/>
              <w:bottom w:val="single" w:sz="4" w:space="0" w:color="auto"/>
              <w:right w:val="single" w:sz="4" w:space="0" w:color="auto"/>
            </w:tcBorders>
            <w:shd w:val="clear" w:color="auto" w:fill="auto"/>
            <w:noWrap/>
            <w:vAlign w:val="center"/>
            <w:hideMark/>
          </w:tcPr>
          <w:p w14:paraId="15EC0D01" w14:textId="77777777" w:rsidR="00294B8E" w:rsidRPr="00A9330B" w:rsidRDefault="00294B8E" w:rsidP="00F561A7">
            <w:pPr>
              <w:spacing w:before="100" w:line="240" w:lineRule="auto"/>
              <w:jc w:val="center"/>
              <w:rPr>
                <w:color w:val="000000"/>
                <w:sz w:val="20"/>
                <w:szCs w:val="20"/>
                <w:lang w:eastAsia="fr-FR"/>
              </w:rPr>
            </w:pPr>
            <w:r w:rsidRPr="00A9330B">
              <w:rPr>
                <w:color w:val="000000"/>
                <w:sz w:val="20"/>
                <w:szCs w:val="20"/>
                <w:lang w:eastAsia="fr-FR"/>
              </w:rPr>
              <w:t>0,002</w:t>
            </w:r>
          </w:p>
        </w:tc>
        <w:tc>
          <w:tcPr>
            <w:tcW w:w="1717" w:type="dxa"/>
            <w:tcBorders>
              <w:top w:val="nil"/>
              <w:left w:val="nil"/>
              <w:bottom w:val="single" w:sz="4" w:space="0" w:color="auto"/>
              <w:right w:val="single" w:sz="4" w:space="0" w:color="auto"/>
            </w:tcBorders>
            <w:shd w:val="clear" w:color="auto" w:fill="auto"/>
            <w:noWrap/>
            <w:vAlign w:val="center"/>
            <w:hideMark/>
          </w:tcPr>
          <w:p w14:paraId="1BBB9949" w14:textId="77777777" w:rsidR="00294B8E" w:rsidRPr="00A9330B" w:rsidRDefault="00294B8E" w:rsidP="00F561A7">
            <w:pPr>
              <w:spacing w:before="100" w:line="240" w:lineRule="auto"/>
              <w:jc w:val="center"/>
              <w:rPr>
                <w:color w:val="000000"/>
                <w:sz w:val="20"/>
                <w:szCs w:val="20"/>
                <w:lang w:eastAsia="fr-FR"/>
              </w:rPr>
            </w:pPr>
            <w:r w:rsidRPr="00A9330B">
              <w:rPr>
                <w:color w:val="000000"/>
                <w:sz w:val="20"/>
                <w:szCs w:val="20"/>
                <w:lang w:eastAsia="fr-FR"/>
              </w:rPr>
              <w:t>0,002</w:t>
            </w:r>
          </w:p>
        </w:tc>
      </w:tr>
      <w:tr w:rsidR="00294B8E" w:rsidRPr="00A9330B" w14:paraId="01554401" w14:textId="77777777" w:rsidTr="00294B8E">
        <w:trPr>
          <w:trHeight w:val="296"/>
          <w:jc w:val="center"/>
        </w:trPr>
        <w:tc>
          <w:tcPr>
            <w:tcW w:w="3577" w:type="dxa"/>
            <w:tcBorders>
              <w:top w:val="nil"/>
              <w:left w:val="single" w:sz="4" w:space="0" w:color="auto"/>
              <w:bottom w:val="single" w:sz="4" w:space="0" w:color="auto"/>
              <w:right w:val="single" w:sz="4" w:space="0" w:color="auto"/>
            </w:tcBorders>
            <w:shd w:val="clear" w:color="auto" w:fill="auto"/>
            <w:noWrap/>
            <w:vAlign w:val="center"/>
            <w:hideMark/>
          </w:tcPr>
          <w:p w14:paraId="64942547" w14:textId="77777777" w:rsidR="00294B8E" w:rsidRPr="00A9330B" w:rsidRDefault="00294B8E" w:rsidP="00F561A7">
            <w:pPr>
              <w:spacing w:before="100" w:line="240" w:lineRule="auto"/>
              <w:rPr>
                <w:color w:val="000000"/>
                <w:sz w:val="20"/>
                <w:szCs w:val="20"/>
                <w:lang w:eastAsia="fr-FR"/>
              </w:rPr>
            </w:pPr>
            <w:r w:rsidRPr="00A9330B">
              <w:rPr>
                <w:color w:val="000000"/>
                <w:sz w:val="20"/>
                <w:szCs w:val="20"/>
                <w:lang w:eastAsia="fr-FR"/>
              </w:rPr>
              <w:t>Yome</w:t>
            </w:r>
          </w:p>
        </w:tc>
        <w:tc>
          <w:tcPr>
            <w:tcW w:w="1717" w:type="dxa"/>
            <w:tcBorders>
              <w:top w:val="nil"/>
              <w:left w:val="nil"/>
              <w:bottom w:val="single" w:sz="4" w:space="0" w:color="auto"/>
              <w:right w:val="single" w:sz="4" w:space="0" w:color="auto"/>
            </w:tcBorders>
            <w:shd w:val="clear" w:color="auto" w:fill="auto"/>
            <w:noWrap/>
            <w:vAlign w:val="center"/>
            <w:hideMark/>
          </w:tcPr>
          <w:p w14:paraId="2267033D" w14:textId="77777777" w:rsidR="00294B8E" w:rsidRPr="00A9330B" w:rsidRDefault="00294B8E" w:rsidP="00F561A7">
            <w:pPr>
              <w:spacing w:before="100" w:line="240" w:lineRule="auto"/>
              <w:jc w:val="center"/>
              <w:rPr>
                <w:color w:val="000000"/>
                <w:sz w:val="20"/>
                <w:szCs w:val="20"/>
                <w:lang w:eastAsia="fr-FR"/>
              </w:rPr>
            </w:pPr>
            <w:r w:rsidRPr="00A9330B">
              <w:rPr>
                <w:color w:val="000000"/>
                <w:sz w:val="20"/>
                <w:szCs w:val="20"/>
                <w:lang w:eastAsia="fr-FR"/>
              </w:rPr>
              <w:t>0,007</w:t>
            </w:r>
          </w:p>
        </w:tc>
        <w:tc>
          <w:tcPr>
            <w:tcW w:w="1717" w:type="dxa"/>
            <w:tcBorders>
              <w:top w:val="nil"/>
              <w:left w:val="nil"/>
              <w:bottom w:val="single" w:sz="4" w:space="0" w:color="auto"/>
              <w:right w:val="single" w:sz="4" w:space="0" w:color="auto"/>
            </w:tcBorders>
            <w:shd w:val="clear" w:color="auto" w:fill="auto"/>
            <w:noWrap/>
            <w:vAlign w:val="center"/>
            <w:hideMark/>
          </w:tcPr>
          <w:p w14:paraId="64F40AF5" w14:textId="77777777" w:rsidR="00294B8E" w:rsidRPr="00A9330B" w:rsidRDefault="00294B8E" w:rsidP="00F561A7">
            <w:pPr>
              <w:spacing w:before="100" w:line="240" w:lineRule="auto"/>
              <w:jc w:val="center"/>
              <w:rPr>
                <w:color w:val="000000"/>
                <w:sz w:val="20"/>
                <w:szCs w:val="20"/>
                <w:lang w:eastAsia="fr-FR"/>
              </w:rPr>
            </w:pPr>
            <w:r w:rsidRPr="00A9330B">
              <w:rPr>
                <w:color w:val="000000"/>
                <w:sz w:val="20"/>
                <w:szCs w:val="20"/>
                <w:lang w:eastAsia="fr-FR"/>
              </w:rPr>
              <w:t>0,002</w:t>
            </w:r>
          </w:p>
        </w:tc>
      </w:tr>
      <w:tr w:rsidR="00294B8E" w:rsidRPr="00A9330B" w14:paraId="74F02CC0" w14:textId="77777777" w:rsidTr="00294B8E">
        <w:trPr>
          <w:trHeight w:val="296"/>
          <w:jc w:val="center"/>
        </w:trPr>
        <w:tc>
          <w:tcPr>
            <w:tcW w:w="3577" w:type="dxa"/>
            <w:tcBorders>
              <w:top w:val="nil"/>
              <w:left w:val="single" w:sz="4" w:space="0" w:color="auto"/>
              <w:bottom w:val="single" w:sz="4" w:space="0" w:color="auto"/>
              <w:right w:val="single" w:sz="4" w:space="0" w:color="auto"/>
            </w:tcBorders>
            <w:shd w:val="clear" w:color="auto" w:fill="auto"/>
            <w:noWrap/>
            <w:vAlign w:val="center"/>
            <w:hideMark/>
          </w:tcPr>
          <w:p w14:paraId="3F1E9C86" w14:textId="77777777" w:rsidR="00294B8E" w:rsidRPr="00A9330B" w:rsidRDefault="00294B8E" w:rsidP="00F561A7">
            <w:pPr>
              <w:spacing w:before="100" w:line="240" w:lineRule="auto"/>
              <w:rPr>
                <w:color w:val="000000"/>
                <w:sz w:val="20"/>
                <w:szCs w:val="20"/>
                <w:lang w:eastAsia="fr-FR"/>
              </w:rPr>
            </w:pPr>
            <w:r w:rsidRPr="00A9330B">
              <w:rPr>
                <w:color w:val="000000"/>
                <w:sz w:val="20"/>
                <w:szCs w:val="20"/>
                <w:lang w:eastAsia="fr-FR"/>
              </w:rPr>
              <w:t>Yorouba</w:t>
            </w:r>
          </w:p>
        </w:tc>
        <w:tc>
          <w:tcPr>
            <w:tcW w:w="1717" w:type="dxa"/>
            <w:tcBorders>
              <w:top w:val="nil"/>
              <w:left w:val="nil"/>
              <w:bottom w:val="single" w:sz="4" w:space="0" w:color="auto"/>
              <w:right w:val="single" w:sz="4" w:space="0" w:color="auto"/>
            </w:tcBorders>
            <w:shd w:val="clear" w:color="auto" w:fill="auto"/>
            <w:noWrap/>
            <w:vAlign w:val="center"/>
            <w:hideMark/>
          </w:tcPr>
          <w:p w14:paraId="1467A96F" w14:textId="77777777" w:rsidR="00294B8E" w:rsidRPr="00A9330B" w:rsidRDefault="00294B8E" w:rsidP="00F561A7">
            <w:pPr>
              <w:spacing w:before="100" w:line="240" w:lineRule="auto"/>
              <w:jc w:val="center"/>
              <w:rPr>
                <w:color w:val="000000"/>
                <w:sz w:val="20"/>
                <w:szCs w:val="20"/>
                <w:lang w:eastAsia="fr-FR"/>
              </w:rPr>
            </w:pPr>
            <w:r w:rsidRPr="00A9330B">
              <w:rPr>
                <w:color w:val="000000"/>
                <w:sz w:val="20"/>
                <w:szCs w:val="20"/>
                <w:lang w:eastAsia="fr-FR"/>
              </w:rPr>
              <w:t>0,010</w:t>
            </w:r>
          </w:p>
        </w:tc>
        <w:tc>
          <w:tcPr>
            <w:tcW w:w="1717" w:type="dxa"/>
            <w:tcBorders>
              <w:top w:val="nil"/>
              <w:left w:val="nil"/>
              <w:bottom w:val="single" w:sz="4" w:space="0" w:color="auto"/>
              <w:right w:val="single" w:sz="4" w:space="0" w:color="auto"/>
            </w:tcBorders>
            <w:shd w:val="clear" w:color="auto" w:fill="auto"/>
            <w:noWrap/>
            <w:vAlign w:val="center"/>
            <w:hideMark/>
          </w:tcPr>
          <w:p w14:paraId="67DBC3B7" w14:textId="77777777" w:rsidR="00294B8E" w:rsidRPr="00A9330B" w:rsidRDefault="00294B8E" w:rsidP="00F561A7">
            <w:pPr>
              <w:spacing w:before="100" w:line="240" w:lineRule="auto"/>
              <w:jc w:val="center"/>
              <w:rPr>
                <w:color w:val="000000"/>
                <w:sz w:val="20"/>
                <w:szCs w:val="20"/>
                <w:lang w:eastAsia="fr-FR"/>
              </w:rPr>
            </w:pPr>
            <w:r w:rsidRPr="00A9330B">
              <w:rPr>
                <w:color w:val="000000"/>
                <w:sz w:val="20"/>
                <w:szCs w:val="20"/>
                <w:lang w:eastAsia="fr-FR"/>
              </w:rPr>
              <w:t>0,000</w:t>
            </w:r>
          </w:p>
        </w:tc>
      </w:tr>
      <w:tr w:rsidR="00294B8E" w:rsidRPr="00A9330B" w14:paraId="0CD58AA9" w14:textId="77777777" w:rsidTr="00294B8E">
        <w:trPr>
          <w:trHeight w:val="296"/>
          <w:jc w:val="center"/>
        </w:trPr>
        <w:tc>
          <w:tcPr>
            <w:tcW w:w="3577" w:type="dxa"/>
            <w:tcBorders>
              <w:top w:val="nil"/>
              <w:left w:val="single" w:sz="4" w:space="0" w:color="auto"/>
              <w:bottom w:val="single" w:sz="4" w:space="0" w:color="auto"/>
              <w:right w:val="single" w:sz="4" w:space="0" w:color="auto"/>
            </w:tcBorders>
            <w:shd w:val="clear" w:color="auto" w:fill="auto"/>
            <w:noWrap/>
            <w:vAlign w:val="center"/>
            <w:hideMark/>
          </w:tcPr>
          <w:p w14:paraId="3CF1C9D2" w14:textId="77777777" w:rsidR="00294B8E" w:rsidRPr="00A9330B" w:rsidRDefault="00294B8E" w:rsidP="00F561A7">
            <w:pPr>
              <w:spacing w:before="100" w:line="240" w:lineRule="auto"/>
              <w:rPr>
                <w:b/>
                <w:bCs/>
                <w:color w:val="000000"/>
                <w:sz w:val="20"/>
                <w:szCs w:val="20"/>
                <w:lang w:eastAsia="fr-FR"/>
              </w:rPr>
            </w:pPr>
            <w:r w:rsidRPr="00A9330B">
              <w:rPr>
                <w:b/>
                <w:bCs/>
                <w:color w:val="000000"/>
                <w:sz w:val="20"/>
                <w:szCs w:val="20"/>
                <w:lang w:eastAsia="fr-FR"/>
              </w:rPr>
              <w:t>Total</w:t>
            </w:r>
          </w:p>
        </w:tc>
        <w:tc>
          <w:tcPr>
            <w:tcW w:w="1717" w:type="dxa"/>
            <w:tcBorders>
              <w:top w:val="nil"/>
              <w:left w:val="nil"/>
              <w:bottom w:val="single" w:sz="4" w:space="0" w:color="auto"/>
              <w:right w:val="single" w:sz="4" w:space="0" w:color="auto"/>
            </w:tcBorders>
            <w:shd w:val="clear" w:color="auto" w:fill="auto"/>
            <w:noWrap/>
            <w:vAlign w:val="center"/>
            <w:hideMark/>
          </w:tcPr>
          <w:p w14:paraId="22D851BC" w14:textId="77777777" w:rsidR="00294B8E" w:rsidRPr="00A9330B" w:rsidRDefault="00294B8E" w:rsidP="00F561A7">
            <w:pPr>
              <w:spacing w:before="100" w:line="240" w:lineRule="auto"/>
              <w:jc w:val="center"/>
              <w:rPr>
                <w:b/>
                <w:bCs/>
                <w:color w:val="000000"/>
                <w:sz w:val="20"/>
                <w:szCs w:val="20"/>
                <w:lang w:eastAsia="fr-FR"/>
              </w:rPr>
            </w:pPr>
            <w:r w:rsidRPr="00A9330B">
              <w:rPr>
                <w:b/>
                <w:bCs/>
                <w:color w:val="000000"/>
                <w:sz w:val="20"/>
                <w:szCs w:val="20"/>
                <w:lang w:eastAsia="fr-FR"/>
              </w:rPr>
              <w:t>0,753</w:t>
            </w:r>
          </w:p>
        </w:tc>
        <w:tc>
          <w:tcPr>
            <w:tcW w:w="1717" w:type="dxa"/>
            <w:tcBorders>
              <w:top w:val="nil"/>
              <w:left w:val="nil"/>
              <w:bottom w:val="single" w:sz="4" w:space="0" w:color="auto"/>
              <w:right w:val="single" w:sz="4" w:space="0" w:color="auto"/>
            </w:tcBorders>
            <w:shd w:val="clear" w:color="auto" w:fill="auto"/>
            <w:noWrap/>
            <w:vAlign w:val="center"/>
            <w:hideMark/>
          </w:tcPr>
          <w:p w14:paraId="5FC467F8" w14:textId="77777777" w:rsidR="00294B8E" w:rsidRPr="00A9330B" w:rsidRDefault="00294B8E" w:rsidP="00F561A7">
            <w:pPr>
              <w:spacing w:before="100" w:line="240" w:lineRule="auto"/>
              <w:jc w:val="center"/>
              <w:rPr>
                <w:b/>
                <w:bCs/>
                <w:color w:val="000000"/>
                <w:sz w:val="20"/>
                <w:szCs w:val="20"/>
                <w:lang w:eastAsia="fr-FR"/>
              </w:rPr>
            </w:pPr>
            <w:r w:rsidRPr="00A9330B">
              <w:rPr>
                <w:b/>
                <w:bCs/>
                <w:color w:val="000000"/>
                <w:sz w:val="20"/>
                <w:szCs w:val="20"/>
                <w:lang w:eastAsia="fr-FR"/>
              </w:rPr>
              <w:t>0,247</w:t>
            </w:r>
          </w:p>
        </w:tc>
      </w:tr>
    </w:tbl>
    <w:p w14:paraId="1CC93CCE" w14:textId="77777777" w:rsidR="00350C9E" w:rsidRPr="00A9330B" w:rsidRDefault="00350C9E" w:rsidP="00350C9E">
      <w:pPr>
        <w:spacing w:after="120" w:line="360" w:lineRule="auto"/>
        <w:jc w:val="center"/>
        <w:rPr>
          <w:rFonts w:eastAsia="Calibri" w:cs="Arial"/>
          <w:b/>
          <w:color w:val="auto"/>
          <w:sz w:val="20"/>
          <w:szCs w:val="20"/>
          <w:lang w:eastAsia="fr-FR"/>
        </w:rPr>
      </w:pPr>
      <w:r w:rsidRPr="00A9330B">
        <w:rPr>
          <w:rFonts w:eastAsia="Calibri" w:cs="Arial"/>
          <w:b/>
          <w:color w:val="auto"/>
          <w:sz w:val="20"/>
          <w:szCs w:val="20"/>
          <w:lang w:eastAsia="fr-FR"/>
        </w:rPr>
        <w:t>Source : Enquête de terrain, juin 2020</w:t>
      </w:r>
    </w:p>
    <w:p w14:paraId="6F2E5DB6" w14:textId="5AE2957E" w:rsidR="00350C9E" w:rsidRPr="00A9330B" w:rsidRDefault="00350C9E" w:rsidP="00350C9E">
      <w:pPr>
        <w:spacing w:after="120" w:line="312" w:lineRule="auto"/>
        <w:jc w:val="both"/>
        <w:rPr>
          <w:rFonts w:eastAsia="Calibri" w:cs="Times New Roman"/>
          <w:color w:val="auto"/>
          <w:szCs w:val="24"/>
          <w:lang w:eastAsia="de-DE"/>
        </w:rPr>
      </w:pPr>
      <w:r w:rsidRPr="00A9330B">
        <w:rPr>
          <w:rFonts w:eastAsia="Calibri" w:cs="Times New Roman"/>
          <w:color w:val="auto"/>
          <w:szCs w:val="24"/>
          <w:lang w:eastAsia="de-DE"/>
        </w:rPr>
        <w:t>La majorité des PAP surtout les hommes, est de la confession chrétienne (</w:t>
      </w:r>
      <w:r w:rsidRPr="00A9330B">
        <w:rPr>
          <w:rFonts w:eastAsia="Times New Roman" w:cs="Times New Roman"/>
          <w:color w:val="000000"/>
          <w:szCs w:val="24"/>
          <w:lang w:eastAsia="fr-FR"/>
        </w:rPr>
        <w:t>50,62</w:t>
      </w:r>
      <w:r w:rsidRPr="00A9330B">
        <w:rPr>
          <w:rFonts w:ascii="Calibri" w:eastAsia="Calibri" w:hAnsi="Calibri" w:cs="Calibri"/>
          <w:color w:val="000000"/>
          <w:szCs w:val="24"/>
          <w:lang w:eastAsia="fr-FR"/>
        </w:rPr>
        <w:t xml:space="preserve"> </w:t>
      </w:r>
      <w:r w:rsidRPr="00A9330B">
        <w:rPr>
          <w:rFonts w:eastAsia="Calibri" w:cs="Times New Roman"/>
          <w:color w:val="auto"/>
          <w:szCs w:val="24"/>
          <w:lang w:eastAsia="de-DE"/>
        </w:rPr>
        <w:t xml:space="preserve">%) suivis des </w:t>
      </w:r>
      <w:r w:rsidR="000566F0" w:rsidRPr="00A9330B">
        <w:rPr>
          <w:rFonts w:eastAsia="Calibri" w:cs="Times New Roman"/>
          <w:color w:val="auto"/>
          <w:szCs w:val="24"/>
          <w:lang w:eastAsia="de-DE"/>
        </w:rPr>
        <w:t>Musulmans (</w:t>
      </w:r>
      <w:r w:rsidRPr="00A9330B">
        <w:rPr>
          <w:rFonts w:eastAsia="Times New Roman" w:cs="Times New Roman"/>
          <w:color w:val="000000"/>
          <w:szCs w:val="24"/>
          <w:lang w:eastAsia="fr-FR"/>
        </w:rPr>
        <w:t>20,49</w:t>
      </w:r>
      <w:r w:rsidRPr="00A9330B">
        <w:rPr>
          <w:rFonts w:eastAsia="Calibri" w:cs="Times New Roman"/>
          <w:color w:val="auto"/>
          <w:szCs w:val="24"/>
          <w:lang w:eastAsia="de-DE"/>
        </w:rPr>
        <w:t xml:space="preserve"> %). La même remarque est faite au niveau des femmes dans les proportions de </w:t>
      </w:r>
      <w:r w:rsidRPr="00A9330B">
        <w:rPr>
          <w:rFonts w:eastAsia="Times New Roman" w:cs="Times New Roman"/>
          <w:color w:val="000000"/>
          <w:szCs w:val="24"/>
          <w:lang w:eastAsia="fr-FR"/>
        </w:rPr>
        <w:t>20,74% de chrétiennes et de 3,21% de musulmanes.  Par contre, il est noté une faible proportion (0,99%) des animistes</w:t>
      </w:r>
      <w:r w:rsidRPr="00A9330B">
        <w:rPr>
          <w:rFonts w:eastAsia="Calibri" w:cs="Times New Roman"/>
          <w:color w:val="auto"/>
          <w:szCs w:val="24"/>
          <w:lang w:eastAsia="de-DE"/>
        </w:rPr>
        <w:t>.</w:t>
      </w:r>
    </w:p>
    <w:p w14:paraId="1ECA7E4C" w14:textId="77777777" w:rsidR="00F561A7" w:rsidRPr="00A9330B" w:rsidRDefault="00F561A7">
      <w:pPr>
        <w:spacing w:before="0" w:after="160" w:line="259" w:lineRule="auto"/>
        <w:rPr>
          <w:b/>
          <w:sz w:val="20"/>
          <w:szCs w:val="20"/>
        </w:rPr>
      </w:pPr>
      <w:r w:rsidRPr="00A9330B">
        <w:rPr>
          <w:b/>
          <w:sz w:val="20"/>
          <w:szCs w:val="20"/>
        </w:rPr>
        <w:br w:type="page"/>
      </w:r>
    </w:p>
    <w:p w14:paraId="60CDF5C4" w14:textId="72621B3E" w:rsidR="00350C9E" w:rsidRPr="00A9330B" w:rsidRDefault="001777E6" w:rsidP="000566F0">
      <w:pPr>
        <w:keepNext/>
        <w:spacing w:after="120" w:line="240" w:lineRule="auto"/>
        <w:jc w:val="center"/>
        <w:rPr>
          <w:rFonts w:eastAsia="Times New Roman" w:cs="Arial"/>
          <w:b/>
          <w:color w:val="000000"/>
          <w:sz w:val="20"/>
          <w:szCs w:val="20"/>
        </w:rPr>
      </w:pPr>
      <w:bookmarkStart w:id="2031" w:name="_Toc52873787"/>
      <w:r w:rsidRPr="00A9330B">
        <w:rPr>
          <w:b/>
          <w:sz w:val="20"/>
          <w:szCs w:val="20"/>
        </w:rPr>
        <w:lastRenderedPageBreak/>
        <w:t xml:space="preserve">Tableau </w:t>
      </w:r>
      <w:r w:rsidRPr="00A9330B">
        <w:rPr>
          <w:b/>
          <w:sz w:val="20"/>
          <w:szCs w:val="20"/>
        </w:rPr>
        <w:fldChar w:fldCharType="begin"/>
      </w:r>
      <w:r w:rsidRPr="00A9330B">
        <w:rPr>
          <w:b/>
          <w:sz w:val="20"/>
          <w:szCs w:val="20"/>
        </w:rPr>
        <w:instrText xml:space="preserve"> SEQ Tableau \* ARABIC </w:instrText>
      </w:r>
      <w:r w:rsidRPr="00A9330B">
        <w:rPr>
          <w:b/>
          <w:sz w:val="20"/>
          <w:szCs w:val="20"/>
        </w:rPr>
        <w:fldChar w:fldCharType="separate"/>
      </w:r>
      <w:r w:rsidR="00340594" w:rsidRPr="00A9330B">
        <w:rPr>
          <w:b/>
          <w:noProof/>
          <w:sz w:val="20"/>
          <w:szCs w:val="20"/>
        </w:rPr>
        <w:t>63</w:t>
      </w:r>
      <w:r w:rsidRPr="00A9330B">
        <w:rPr>
          <w:b/>
          <w:sz w:val="20"/>
          <w:szCs w:val="20"/>
        </w:rPr>
        <w:fldChar w:fldCharType="end"/>
      </w:r>
      <w:r w:rsidRPr="00A9330B">
        <w:rPr>
          <w:b/>
          <w:sz w:val="20"/>
          <w:szCs w:val="20"/>
        </w:rPr>
        <w:t> :</w:t>
      </w:r>
      <w:r w:rsidR="00350C9E" w:rsidRPr="00A9330B">
        <w:rPr>
          <w:rFonts w:eastAsia="Times New Roman" w:cs="Arial"/>
          <w:b/>
          <w:color w:val="000000"/>
          <w:sz w:val="20"/>
          <w:szCs w:val="20"/>
        </w:rPr>
        <w:t xml:space="preserve"> Répartition des PAP par religion</w:t>
      </w:r>
      <w:bookmarkEnd w:id="2031"/>
    </w:p>
    <w:tbl>
      <w:tblPr>
        <w:tblW w:w="5454" w:type="dxa"/>
        <w:jc w:val="center"/>
        <w:tblCellMar>
          <w:left w:w="70" w:type="dxa"/>
          <w:right w:w="70" w:type="dxa"/>
        </w:tblCellMar>
        <w:tblLook w:val="04A0" w:firstRow="1" w:lastRow="0" w:firstColumn="1" w:lastColumn="0" w:noHBand="0" w:noVBand="1"/>
      </w:tblPr>
      <w:tblGrid>
        <w:gridCol w:w="1200"/>
        <w:gridCol w:w="1200"/>
        <w:gridCol w:w="1200"/>
        <w:gridCol w:w="1854"/>
      </w:tblGrid>
      <w:tr w:rsidR="00F561A7" w:rsidRPr="00A9330B" w14:paraId="675EBA98" w14:textId="77777777" w:rsidTr="00F561A7">
        <w:trPr>
          <w:trHeight w:val="300"/>
          <w:jc w:val="center"/>
        </w:trPr>
        <w:tc>
          <w:tcPr>
            <w:tcW w:w="12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BABD81" w14:textId="77777777" w:rsidR="00F561A7" w:rsidRPr="00A9330B" w:rsidRDefault="00F561A7" w:rsidP="00F561A7">
            <w:pPr>
              <w:spacing w:line="240" w:lineRule="auto"/>
              <w:rPr>
                <w:b/>
                <w:bCs/>
                <w:color w:val="000000"/>
                <w:sz w:val="20"/>
                <w:szCs w:val="20"/>
                <w:lang w:eastAsia="fr-FR"/>
              </w:rPr>
            </w:pPr>
            <w:r w:rsidRPr="00A9330B">
              <w:rPr>
                <w:b/>
                <w:bCs/>
                <w:color w:val="000000"/>
                <w:sz w:val="20"/>
                <w:szCs w:val="20"/>
                <w:lang w:eastAsia="fr-FR"/>
              </w:rPr>
              <w:t>Religions</w:t>
            </w:r>
          </w:p>
        </w:tc>
        <w:tc>
          <w:tcPr>
            <w:tcW w:w="1200" w:type="dxa"/>
            <w:tcBorders>
              <w:top w:val="single" w:sz="4" w:space="0" w:color="auto"/>
              <w:left w:val="nil"/>
              <w:bottom w:val="single" w:sz="4" w:space="0" w:color="auto"/>
              <w:right w:val="single" w:sz="4" w:space="0" w:color="auto"/>
            </w:tcBorders>
            <w:shd w:val="clear" w:color="auto" w:fill="00B0F0"/>
            <w:noWrap/>
            <w:vAlign w:val="center"/>
            <w:hideMark/>
          </w:tcPr>
          <w:p w14:paraId="2004B756" w14:textId="77777777" w:rsidR="00F561A7" w:rsidRPr="00A9330B" w:rsidRDefault="00F561A7" w:rsidP="00F561A7">
            <w:pPr>
              <w:spacing w:line="240" w:lineRule="auto"/>
              <w:jc w:val="center"/>
              <w:rPr>
                <w:b/>
                <w:bCs/>
                <w:color w:val="000000"/>
                <w:sz w:val="20"/>
                <w:szCs w:val="20"/>
                <w:lang w:eastAsia="fr-FR"/>
              </w:rPr>
            </w:pPr>
            <w:r w:rsidRPr="00A9330B">
              <w:rPr>
                <w:b/>
                <w:bCs/>
                <w:color w:val="000000"/>
                <w:sz w:val="20"/>
                <w:szCs w:val="20"/>
                <w:lang w:eastAsia="fr-FR"/>
              </w:rPr>
              <w:t>Homme %</w:t>
            </w:r>
          </w:p>
        </w:tc>
        <w:tc>
          <w:tcPr>
            <w:tcW w:w="1200" w:type="dxa"/>
            <w:tcBorders>
              <w:top w:val="single" w:sz="4" w:space="0" w:color="auto"/>
              <w:left w:val="nil"/>
              <w:bottom w:val="single" w:sz="4" w:space="0" w:color="auto"/>
              <w:right w:val="single" w:sz="4" w:space="0" w:color="auto"/>
            </w:tcBorders>
            <w:shd w:val="clear" w:color="000000" w:fill="E26B0A"/>
            <w:noWrap/>
            <w:vAlign w:val="center"/>
            <w:hideMark/>
          </w:tcPr>
          <w:p w14:paraId="6FFA1DEE" w14:textId="77777777" w:rsidR="00F561A7" w:rsidRPr="00A9330B" w:rsidRDefault="00F561A7" w:rsidP="00F561A7">
            <w:pPr>
              <w:spacing w:line="240" w:lineRule="auto"/>
              <w:jc w:val="center"/>
              <w:rPr>
                <w:b/>
                <w:bCs/>
                <w:color w:val="000000"/>
                <w:sz w:val="20"/>
                <w:szCs w:val="20"/>
                <w:lang w:eastAsia="fr-FR"/>
              </w:rPr>
            </w:pPr>
            <w:r w:rsidRPr="00A9330B">
              <w:rPr>
                <w:b/>
                <w:bCs/>
                <w:color w:val="000000"/>
                <w:sz w:val="20"/>
                <w:szCs w:val="20"/>
                <w:lang w:eastAsia="fr-FR"/>
              </w:rPr>
              <w:t>Femme %</w:t>
            </w:r>
          </w:p>
        </w:tc>
        <w:tc>
          <w:tcPr>
            <w:tcW w:w="1854" w:type="dxa"/>
            <w:tcBorders>
              <w:top w:val="single" w:sz="4" w:space="0" w:color="auto"/>
              <w:left w:val="nil"/>
              <w:bottom w:val="single" w:sz="4" w:space="0" w:color="auto"/>
              <w:right w:val="single" w:sz="4" w:space="0" w:color="auto"/>
            </w:tcBorders>
            <w:shd w:val="clear" w:color="auto" w:fill="auto"/>
            <w:noWrap/>
            <w:vAlign w:val="center"/>
            <w:hideMark/>
          </w:tcPr>
          <w:p w14:paraId="695B1C6F" w14:textId="77777777" w:rsidR="00F561A7" w:rsidRPr="00A9330B" w:rsidRDefault="00F561A7" w:rsidP="00F561A7">
            <w:pPr>
              <w:spacing w:line="240" w:lineRule="auto"/>
              <w:jc w:val="center"/>
              <w:rPr>
                <w:b/>
                <w:bCs/>
                <w:color w:val="000000"/>
                <w:sz w:val="20"/>
                <w:szCs w:val="20"/>
                <w:lang w:eastAsia="fr-FR"/>
              </w:rPr>
            </w:pPr>
            <w:r w:rsidRPr="00A9330B">
              <w:rPr>
                <w:b/>
                <w:bCs/>
                <w:color w:val="000000"/>
                <w:sz w:val="20"/>
                <w:szCs w:val="20"/>
                <w:lang w:eastAsia="fr-FR"/>
              </w:rPr>
              <w:t>%</w:t>
            </w:r>
          </w:p>
        </w:tc>
      </w:tr>
      <w:tr w:rsidR="00F561A7" w:rsidRPr="00A9330B" w14:paraId="1C4CC6E0" w14:textId="77777777" w:rsidTr="00F561A7">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3829451E" w14:textId="77777777" w:rsidR="00F561A7" w:rsidRPr="00A9330B" w:rsidRDefault="00F561A7" w:rsidP="00F561A7">
            <w:pPr>
              <w:spacing w:line="240" w:lineRule="auto"/>
              <w:rPr>
                <w:color w:val="000000"/>
                <w:sz w:val="20"/>
                <w:szCs w:val="20"/>
                <w:lang w:eastAsia="fr-FR"/>
              </w:rPr>
            </w:pPr>
            <w:r w:rsidRPr="00A9330B">
              <w:rPr>
                <w:color w:val="000000"/>
                <w:sz w:val="20"/>
                <w:szCs w:val="20"/>
                <w:lang w:eastAsia="fr-FR"/>
              </w:rPr>
              <w:t>Animiste</w:t>
            </w:r>
          </w:p>
        </w:tc>
        <w:tc>
          <w:tcPr>
            <w:tcW w:w="1200" w:type="dxa"/>
            <w:tcBorders>
              <w:top w:val="nil"/>
              <w:left w:val="nil"/>
              <w:bottom w:val="single" w:sz="4" w:space="0" w:color="auto"/>
              <w:right w:val="single" w:sz="4" w:space="0" w:color="auto"/>
            </w:tcBorders>
            <w:shd w:val="clear" w:color="auto" w:fill="auto"/>
            <w:noWrap/>
            <w:vAlign w:val="center"/>
            <w:hideMark/>
          </w:tcPr>
          <w:p w14:paraId="224D58F5" w14:textId="77777777" w:rsidR="00F561A7" w:rsidRPr="00A9330B" w:rsidRDefault="00F561A7" w:rsidP="00F561A7">
            <w:pPr>
              <w:spacing w:line="240" w:lineRule="auto"/>
              <w:jc w:val="center"/>
              <w:rPr>
                <w:color w:val="000000"/>
                <w:sz w:val="20"/>
                <w:szCs w:val="20"/>
                <w:lang w:eastAsia="fr-FR"/>
              </w:rPr>
            </w:pPr>
            <w:r w:rsidRPr="00A9330B">
              <w:rPr>
                <w:color w:val="000000"/>
                <w:sz w:val="20"/>
                <w:szCs w:val="20"/>
                <w:lang w:eastAsia="fr-FR"/>
              </w:rPr>
              <w:t>0,99</w:t>
            </w:r>
          </w:p>
        </w:tc>
        <w:tc>
          <w:tcPr>
            <w:tcW w:w="1200" w:type="dxa"/>
            <w:tcBorders>
              <w:top w:val="nil"/>
              <w:left w:val="nil"/>
              <w:bottom w:val="single" w:sz="4" w:space="0" w:color="auto"/>
              <w:right w:val="single" w:sz="4" w:space="0" w:color="auto"/>
            </w:tcBorders>
            <w:shd w:val="clear" w:color="auto" w:fill="auto"/>
            <w:noWrap/>
            <w:vAlign w:val="center"/>
            <w:hideMark/>
          </w:tcPr>
          <w:p w14:paraId="0C5A664E" w14:textId="77777777" w:rsidR="00F561A7" w:rsidRPr="00A9330B" w:rsidRDefault="00F561A7" w:rsidP="00F561A7">
            <w:pPr>
              <w:spacing w:line="240" w:lineRule="auto"/>
              <w:jc w:val="center"/>
              <w:rPr>
                <w:color w:val="000000"/>
                <w:sz w:val="20"/>
                <w:szCs w:val="20"/>
                <w:lang w:eastAsia="fr-FR"/>
              </w:rPr>
            </w:pPr>
            <w:r w:rsidRPr="00A9330B">
              <w:rPr>
                <w:color w:val="000000"/>
                <w:sz w:val="20"/>
                <w:szCs w:val="20"/>
                <w:lang w:eastAsia="fr-FR"/>
              </w:rPr>
              <w:t>0,00</w:t>
            </w:r>
          </w:p>
        </w:tc>
        <w:tc>
          <w:tcPr>
            <w:tcW w:w="1854" w:type="dxa"/>
            <w:tcBorders>
              <w:top w:val="nil"/>
              <w:left w:val="nil"/>
              <w:bottom w:val="single" w:sz="4" w:space="0" w:color="auto"/>
              <w:right w:val="single" w:sz="4" w:space="0" w:color="auto"/>
            </w:tcBorders>
            <w:shd w:val="clear" w:color="auto" w:fill="auto"/>
            <w:noWrap/>
            <w:vAlign w:val="center"/>
            <w:hideMark/>
          </w:tcPr>
          <w:p w14:paraId="031373C4" w14:textId="77777777" w:rsidR="00F561A7" w:rsidRPr="00A9330B" w:rsidRDefault="00F561A7" w:rsidP="00F561A7">
            <w:pPr>
              <w:spacing w:line="240" w:lineRule="auto"/>
              <w:jc w:val="center"/>
              <w:rPr>
                <w:color w:val="000000"/>
                <w:sz w:val="20"/>
                <w:szCs w:val="20"/>
                <w:lang w:eastAsia="fr-FR"/>
              </w:rPr>
            </w:pPr>
            <w:r w:rsidRPr="00A9330B">
              <w:rPr>
                <w:color w:val="000000"/>
                <w:sz w:val="20"/>
                <w:szCs w:val="20"/>
                <w:lang w:eastAsia="fr-FR"/>
              </w:rPr>
              <w:t>0,99</w:t>
            </w:r>
          </w:p>
        </w:tc>
      </w:tr>
      <w:tr w:rsidR="00F561A7" w:rsidRPr="00A9330B" w14:paraId="1AE1D7D3" w14:textId="77777777" w:rsidTr="00F561A7">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48763A59" w14:textId="77777777" w:rsidR="00F561A7" w:rsidRPr="00A9330B" w:rsidRDefault="00F561A7" w:rsidP="00F561A7">
            <w:pPr>
              <w:spacing w:line="240" w:lineRule="auto"/>
              <w:rPr>
                <w:color w:val="000000"/>
                <w:sz w:val="20"/>
                <w:szCs w:val="20"/>
                <w:lang w:eastAsia="fr-FR"/>
              </w:rPr>
            </w:pPr>
            <w:r w:rsidRPr="00A9330B">
              <w:rPr>
                <w:color w:val="000000"/>
                <w:sz w:val="20"/>
                <w:szCs w:val="20"/>
                <w:lang w:eastAsia="fr-FR"/>
              </w:rPr>
              <w:t>Chrétien</w:t>
            </w:r>
          </w:p>
        </w:tc>
        <w:tc>
          <w:tcPr>
            <w:tcW w:w="1200" w:type="dxa"/>
            <w:tcBorders>
              <w:top w:val="nil"/>
              <w:left w:val="nil"/>
              <w:bottom w:val="single" w:sz="4" w:space="0" w:color="auto"/>
              <w:right w:val="single" w:sz="4" w:space="0" w:color="auto"/>
            </w:tcBorders>
            <w:shd w:val="clear" w:color="auto" w:fill="auto"/>
            <w:noWrap/>
            <w:vAlign w:val="center"/>
            <w:hideMark/>
          </w:tcPr>
          <w:p w14:paraId="7AA930EF" w14:textId="77777777" w:rsidR="00F561A7" w:rsidRPr="00A9330B" w:rsidRDefault="00F561A7" w:rsidP="00F561A7">
            <w:pPr>
              <w:spacing w:line="240" w:lineRule="auto"/>
              <w:jc w:val="center"/>
              <w:rPr>
                <w:color w:val="000000"/>
                <w:sz w:val="20"/>
                <w:szCs w:val="20"/>
                <w:lang w:eastAsia="fr-FR"/>
              </w:rPr>
            </w:pPr>
            <w:r w:rsidRPr="00A9330B">
              <w:rPr>
                <w:color w:val="000000"/>
                <w:sz w:val="20"/>
                <w:szCs w:val="20"/>
                <w:lang w:eastAsia="fr-FR"/>
              </w:rPr>
              <w:t>50,62</w:t>
            </w:r>
          </w:p>
        </w:tc>
        <w:tc>
          <w:tcPr>
            <w:tcW w:w="1200" w:type="dxa"/>
            <w:tcBorders>
              <w:top w:val="nil"/>
              <w:left w:val="nil"/>
              <w:bottom w:val="single" w:sz="4" w:space="0" w:color="auto"/>
              <w:right w:val="single" w:sz="4" w:space="0" w:color="auto"/>
            </w:tcBorders>
            <w:shd w:val="clear" w:color="auto" w:fill="auto"/>
            <w:noWrap/>
            <w:vAlign w:val="center"/>
            <w:hideMark/>
          </w:tcPr>
          <w:p w14:paraId="47C74167" w14:textId="77777777" w:rsidR="00F561A7" w:rsidRPr="00A9330B" w:rsidRDefault="00F561A7" w:rsidP="00F561A7">
            <w:pPr>
              <w:spacing w:line="240" w:lineRule="auto"/>
              <w:jc w:val="center"/>
              <w:rPr>
                <w:color w:val="000000"/>
                <w:sz w:val="20"/>
                <w:szCs w:val="20"/>
                <w:lang w:eastAsia="fr-FR"/>
              </w:rPr>
            </w:pPr>
            <w:r w:rsidRPr="00A9330B">
              <w:rPr>
                <w:color w:val="000000"/>
                <w:sz w:val="20"/>
                <w:szCs w:val="20"/>
                <w:lang w:eastAsia="fr-FR"/>
              </w:rPr>
              <w:t>20,74</w:t>
            </w:r>
          </w:p>
        </w:tc>
        <w:tc>
          <w:tcPr>
            <w:tcW w:w="1854" w:type="dxa"/>
            <w:tcBorders>
              <w:top w:val="nil"/>
              <w:left w:val="nil"/>
              <w:bottom w:val="single" w:sz="4" w:space="0" w:color="auto"/>
              <w:right w:val="single" w:sz="4" w:space="0" w:color="auto"/>
            </w:tcBorders>
            <w:shd w:val="clear" w:color="auto" w:fill="auto"/>
            <w:noWrap/>
            <w:vAlign w:val="center"/>
            <w:hideMark/>
          </w:tcPr>
          <w:p w14:paraId="4224DA92" w14:textId="77777777" w:rsidR="00F561A7" w:rsidRPr="00A9330B" w:rsidRDefault="00F561A7" w:rsidP="00F561A7">
            <w:pPr>
              <w:spacing w:line="240" w:lineRule="auto"/>
              <w:jc w:val="center"/>
              <w:rPr>
                <w:color w:val="000000"/>
                <w:sz w:val="20"/>
                <w:szCs w:val="20"/>
                <w:lang w:eastAsia="fr-FR"/>
              </w:rPr>
            </w:pPr>
            <w:r w:rsidRPr="00A9330B">
              <w:rPr>
                <w:color w:val="000000"/>
                <w:sz w:val="20"/>
                <w:szCs w:val="20"/>
                <w:lang w:eastAsia="fr-FR"/>
              </w:rPr>
              <w:t>71,36</w:t>
            </w:r>
          </w:p>
        </w:tc>
      </w:tr>
      <w:tr w:rsidR="00F561A7" w:rsidRPr="00A9330B" w14:paraId="54280C98" w14:textId="77777777" w:rsidTr="00F561A7">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652189C0" w14:textId="77777777" w:rsidR="00F561A7" w:rsidRPr="00A9330B" w:rsidRDefault="00F561A7" w:rsidP="00F561A7">
            <w:pPr>
              <w:spacing w:line="240" w:lineRule="auto"/>
              <w:rPr>
                <w:color w:val="000000"/>
                <w:sz w:val="20"/>
                <w:szCs w:val="20"/>
                <w:lang w:eastAsia="fr-FR"/>
              </w:rPr>
            </w:pPr>
            <w:r w:rsidRPr="00A9330B">
              <w:rPr>
                <w:color w:val="000000"/>
                <w:sz w:val="20"/>
                <w:szCs w:val="20"/>
                <w:lang w:eastAsia="fr-FR"/>
              </w:rPr>
              <w:t>Musulman</w:t>
            </w:r>
          </w:p>
        </w:tc>
        <w:tc>
          <w:tcPr>
            <w:tcW w:w="1200" w:type="dxa"/>
            <w:tcBorders>
              <w:top w:val="nil"/>
              <w:left w:val="nil"/>
              <w:bottom w:val="single" w:sz="4" w:space="0" w:color="auto"/>
              <w:right w:val="single" w:sz="4" w:space="0" w:color="auto"/>
            </w:tcBorders>
            <w:shd w:val="clear" w:color="auto" w:fill="auto"/>
            <w:noWrap/>
            <w:vAlign w:val="center"/>
            <w:hideMark/>
          </w:tcPr>
          <w:p w14:paraId="52AE6B42" w14:textId="77777777" w:rsidR="00F561A7" w:rsidRPr="00A9330B" w:rsidRDefault="00F561A7" w:rsidP="00F561A7">
            <w:pPr>
              <w:spacing w:line="240" w:lineRule="auto"/>
              <w:jc w:val="center"/>
              <w:rPr>
                <w:color w:val="000000"/>
                <w:sz w:val="20"/>
                <w:szCs w:val="20"/>
                <w:lang w:eastAsia="fr-FR"/>
              </w:rPr>
            </w:pPr>
            <w:r w:rsidRPr="00A9330B">
              <w:rPr>
                <w:color w:val="000000"/>
                <w:sz w:val="20"/>
                <w:szCs w:val="20"/>
                <w:lang w:eastAsia="fr-FR"/>
              </w:rPr>
              <w:t>20,49</w:t>
            </w:r>
          </w:p>
        </w:tc>
        <w:tc>
          <w:tcPr>
            <w:tcW w:w="1200" w:type="dxa"/>
            <w:tcBorders>
              <w:top w:val="nil"/>
              <w:left w:val="nil"/>
              <w:bottom w:val="single" w:sz="4" w:space="0" w:color="auto"/>
              <w:right w:val="single" w:sz="4" w:space="0" w:color="auto"/>
            </w:tcBorders>
            <w:shd w:val="clear" w:color="auto" w:fill="auto"/>
            <w:noWrap/>
            <w:vAlign w:val="center"/>
            <w:hideMark/>
          </w:tcPr>
          <w:p w14:paraId="08559B05" w14:textId="77777777" w:rsidR="00F561A7" w:rsidRPr="00A9330B" w:rsidRDefault="00F561A7" w:rsidP="00F561A7">
            <w:pPr>
              <w:spacing w:line="240" w:lineRule="auto"/>
              <w:jc w:val="center"/>
              <w:rPr>
                <w:color w:val="000000"/>
                <w:sz w:val="20"/>
                <w:szCs w:val="20"/>
                <w:lang w:eastAsia="fr-FR"/>
              </w:rPr>
            </w:pPr>
            <w:r w:rsidRPr="00A9330B">
              <w:rPr>
                <w:color w:val="000000"/>
                <w:sz w:val="20"/>
                <w:szCs w:val="20"/>
                <w:lang w:eastAsia="fr-FR"/>
              </w:rPr>
              <w:t>3,21</w:t>
            </w:r>
          </w:p>
        </w:tc>
        <w:tc>
          <w:tcPr>
            <w:tcW w:w="1854" w:type="dxa"/>
            <w:tcBorders>
              <w:top w:val="nil"/>
              <w:left w:val="nil"/>
              <w:bottom w:val="single" w:sz="4" w:space="0" w:color="auto"/>
              <w:right w:val="single" w:sz="4" w:space="0" w:color="auto"/>
            </w:tcBorders>
            <w:shd w:val="clear" w:color="auto" w:fill="auto"/>
            <w:noWrap/>
            <w:vAlign w:val="center"/>
            <w:hideMark/>
          </w:tcPr>
          <w:p w14:paraId="5728D2B3" w14:textId="77777777" w:rsidR="00F561A7" w:rsidRPr="00A9330B" w:rsidRDefault="00F561A7" w:rsidP="00F561A7">
            <w:pPr>
              <w:spacing w:line="240" w:lineRule="auto"/>
              <w:jc w:val="center"/>
              <w:rPr>
                <w:color w:val="000000"/>
                <w:sz w:val="20"/>
                <w:szCs w:val="20"/>
                <w:lang w:eastAsia="fr-FR"/>
              </w:rPr>
            </w:pPr>
            <w:r w:rsidRPr="00A9330B">
              <w:rPr>
                <w:color w:val="000000"/>
                <w:sz w:val="20"/>
                <w:szCs w:val="20"/>
                <w:lang w:eastAsia="fr-FR"/>
              </w:rPr>
              <w:t>23,70</w:t>
            </w:r>
          </w:p>
        </w:tc>
      </w:tr>
      <w:tr w:rsidR="00F561A7" w:rsidRPr="00A9330B" w14:paraId="4C625365" w14:textId="77777777" w:rsidTr="00F561A7">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1F780ED1" w14:textId="77777777" w:rsidR="00F561A7" w:rsidRPr="00A9330B" w:rsidRDefault="00F561A7" w:rsidP="00F561A7">
            <w:pPr>
              <w:spacing w:line="240" w:lineRule="auto"/>
              <w:rPr>
                <w:color w:val="000000"/>
                <w:sz w:val="20"/>
                <w:szCs w:val="20"/>
                <w:lang w:eastAsia="fr-FR"/>
              </w:rPr>
            </w:pPr>
            <w:r w:rsidRPr="00A9330B">
              <w:rPr>
                <w:color w:val="000000"/>
                <w:sz w:val="20"/>
                <w:szCs w:val="20"/>
                <w:lang w:eastAsia="fr-FR"/>
              </w:rPr>
              <w:t>Néant</w:t>
            </w:r>
          </w:p>
        </w:tc>
        <w:tc>
          <w:tcPr>
            <w:tcW w:w="1200" w:type="dxa"/>
            <w:tcBorders>
              <w:top w:val="nil"/>
              <w:left w:val="nil"/>
              <w:bottom w:val="single" w:sz="4" w:space="0" w:color="auto"/>
              <w:right w:val="single" w:sz="4" w:space="0" w:color="auto"/>
            </w:tcBorders>
            <w:shd w:val="clear" w:color="auto" w:fill="auto"/>
            <w:noWrap/>
            <w:vAlign w:val="center"/>
            <w:hideMark/>
          </w:tcPr>
          <w:p w14:paraId="5BDD3B78" w14:textId="77777777" w:rsidR="00F561A7" w:rsidRPr="00A9330B" w:rsidRDefault="00F561A7" w:rsidP="00F561A7">
            <w:pPr>
              <w:spacing w:line="240" w:lineRule="auto"/>
              <w:jc w:val="center"/>
              <w:rPr>
                <w:color w:val="000000"/>
                <w:sz w:val="20"/>
                <w:szCs w:val="20"/>
                <w:lang w:eastAsia="fr-FR"/>
              </w:rPr>
            </w:pPr>
            <w:r w:rsidRPr="00A9330B">
              <w:rPr>
                <w:color w:val="000000"/>
                <w:sz w:val="20"/>
                <w:szCs w:val="20"/>
                <w:lang w:eastAsia="fr-FR"/>
              </w:rPr>
              <w:t>0,99</w:t>
            </w:r>
          </w:p>
        </w:tc>
        <w:tc>
          <w:tcPr>
            <w:tcW w:w="1200" w:type="dxa"/>
            <w:tcBorders>
              <w:top w:val="nil"/>
              <w:left w:val="nil"/>
              <w:bottom w:val="single" w:sz="4" w:space="0" w:color="auto"/>
              <w:right w:val="single" w:sz="4" w:space="0" w:color="auto"/>
            </w:tcBorders>
            <w:shd w:val="clear" w:color="auto" w:fill="auto"/>
            <w:noWrap/>
            <w:vAlign w:val="center"/>
            <w:hideMark/>
          </w:tcPr>
          <w:p w14:paraId="513F58BD" w14:textId="77777777" w:rsidR="00F561A7" w:rsidRPr="00A9330B" w:rsidRDefault="00F561A7" w:rsidP="00F561A7">
            <w:pPr>
              <w:spacing w:line="240" w:lineRule="auto"/>
              <w:jc w:val="center"/>
              <w:rPr>
                <w:color w:val="000000"/>
                <w:sz w:val="20"/>
                <w:szCs w:val="20"/>
                <w:lang w:eastAsia="fr-FR"/>
              </w:rPr>
            </w:pPr>
            <w:r w:rsidRPr="00A9330B">
              <w:rPr>
                <w:color w:val="000000"/>
                <w:sz w:val="20"/>
                <w:szCs w:val="20"/>
                <w:lang w:eastAsia="fr-FR"/>
              </w:rPr>
              <w:t>0,99</w:t>
            </w:r>
          </w:p>
        </w:tc>
        <w:tc>
          <w:tcPr>
            <w:tcW w:w="1854" w:type="dxa"/>
            <w:tcBorders>
              <w:top w:val="nil"/>
              <w:left w:val="nil"/>
              <w:bottom w:val="single" w:sz="4" w:space="0" w:color="auto"/>
              <w:right w:val="single" w:sz="4" w:space="0" w:color="auto"/>
            </w:tcBorders>
            <w:shd w:val="clear" w:color="auto" w:fill="auto"/>
            <w:noWrap/>
            <w:vAlign w:val="center"/>
            <w:hideMark/>
          </w:tcPr>
          <w:p w14:paraId="063C24F4" w14:textId="77777777" w:rsidR="00F561A7" w:rsidRPr="00A9330B" w:rsidRDefault="00F561A7" w:rsidP="00F561A7">
            <w:pPr>
              <w:spacing w:line="240" w:lineRule="auto"/>
              <w:jc w:val="center"/>
              <w:rPr>
                <w:color w:val="000000"/>
                <w:sz w:val="20"/>
                <w:szCs w:val="20"/>
                <w:lang w:eastAsia="fr-FR"/>
              </w:rPr>
            </w:pPr>
            <w:r w:rsidRPr="00A9330B">
              <w:rPr>
                <w:color w:val="000000"/>
                <w:sz w:val="20"/>
                <w:szCs w:val="20"/>
                <w:lang w:eastAsia="fr-FR"/>
              </w:rPr>
              <w:t>1,98</w:t>
            </w:r>
          </w:p>
        </w:tc>
      </w:tr>
      <w:tr w:rsidR="00F561A7" w:rsidRPr="00A9330B" w14:paraId="5AE3ED74" w14:textId="77777777" w:rsidTr="00F561A7">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732630B7" w14:textId="77777777" w:rsidR="00F561A7" w:rsidRPr="00A9330B" w:rsidRDefault="00F561A7" w:rsidP="00F561A7">
            <w:pPr>
              <w:spacing w:line="240" w:lineRule="auto"/>
              <w:rPr>
                <w:color w:val="000000"/>
                <w:sz w:val="20"/>
                <w:szCs w:val="20"/>
                <w:lang w:eastAsia="fr-FR"/>
              </w:rPr>
            </w:pPr>
            <w:r w:rsidRPr="00A9330B">
              <w:rPr>
                <w:color w:val="000000"/>
                <w:sz w:val="20"/>
                <w:szCs w:val="20"/>
                <w:lang w:eastAsia="fr-FR"/>
              </w:rPr>
              <w:t>Adeptes de Vodoun</w:t>
            </w:r>
          </w:p>
        </w:tc>
        <w:tc>
          <w:tcPr>
            <w:tcW w:w="1200" w:type="dxa"/>
            <w:tcBorders>
              <w:top w:val="nil"/>
              <w:left w:val="nil"/>
              <w:bottom w:val="single" w:sz="4" w:space="0" w:color="auto"/>
              <w:right w:val="single" w:sz="4" w:space="0" w:color="auto"/>
            </w:tcBorders>
            <w:shd w:val="clear" w:color="auto" w:fill="auto"/>
            <w:noWrap/>
            <w:vAlign w:val="center"/>
            <w:hideMark/>
          </w:tcPr>
          <w:p w14:paraId="1B27D352" w14:textId="77777777" w:rsidR="00F561A7" w:rsidRPr="00A9330B" w:rsidRDefault="00F561A7" w:rsidP="00F561A7">
            <w:pPr>
              <w:spacing w:line="240" w:lineRule="auto"/>
              <w:jc w:val="center"/>
              <w:rPr>
                <w:color w:val="000000"/>
                <w:sz w:val="20"/>
                <w:szCs w:val="20"/>
                <w:lang w:eastAsia="fr-FR"/>
              </w:rPr>
            </w:pPr>
            <w:r w:rsidRPr="00A9330B">
              <w:rPr>
                <w:color w:val="000000"/>
                <w:sz w:val="20"/>
                <w:szCs w:val="20"/>
                <w:lang w:eastAsia="fr-FR"/>
              </w:rPr>
              <w:t>1,98</w:t>
            </w:r>
          </w:p>
        </w:tc>
        <w:tc>
          <w:tcPr>
            <w:tcW w:w="1200" w:type="dxa"/>
            <w:tcBorders>
              <w:top w:val="nil"/>
              <w:left w:val="nil"/>
              <w:bottom w:val="single" w:sz="4" w:space="0" w:color="auto"/>
              <w:right w:val="single" w:sz="4" w:space="0" w:color="auto"/>
            </w:tcBorders>
            <w:shd w:val="clear" w:color="auto" w:fill="auto"/>
            <w:noWrap/>
            <w:vAlign w:val="center"/>
            <w:hideMark/>
          </w:tcPr>
          <w:p w14:paraId="61E2A78F" w14:textId="77777777" w:rsidR="00F561A7" w:rsidRPr="00A9330B" w:rsidRDefault="00F561A7" w:rsidP="00F561A7">
            <w:pPr>
              <w:spacing w:line="240" w:lineRule="auto"/>
              <w:jc w:val="center"/>
              <w:rPr>
                <w:color w:val="000000"/>
                <w:sz w:val="20"/>
                <w:szCs w:val="20"/>
                <w:lang w:eastAsia="fr-FR"/>
              </w:rPr>
            </w:pPr>
            <w:r w:rsidRPr="00A9330B">
              <w:rPr>
                <w:color w:val="000000"/>
                <w:sz w:val="20"/>
                <w:szCs w:val="20"/>
                <w:lang w:eastAsia="fr-FR"/>
              </w:rPr>
              <w:t>0,00</w:t>
            </w:r>
          </w:p>
        </w:tc>
        <w:tc>
          <w:tcPr>
            <w:tcW w:w="1854" w:type="dxa"/>
            <w:tcBorders>
              <w:top w:val="nil"/>
              <w:left w:val="nil"/>
              <w:bottom w:val="single" w:sz="4" w:space="0" w:color="auto"/>
              <w:right w:val="single" w:sz="4" w:space="0" w:color="auto"/>
            </w:tcBorders>
            <w:shd w:val="clear" w:color="auto" w:fill="auto"/>
            <w:noWrap/>
            <w:vAlign w:val="center"/>
            <w:hideMark/>
          </w:tcPr>
          <w:p w14:paraId="4F4310AF" w14:textId="77777777" w:rsidR="00F561A7" w:rsidRPr="00A9330B" w:rsidRDefault="00F561A7" w:rsidP="00F561A7">
            <w:pPr>
              <w:spacing w:line="240" w:lineRule="auto"/>
              <w:jc w:val="center"/>
              <w:rPr>
                <w:color w:val="000000"/>
                <w:sz w:val="20"/>
                <w:szCs w:val="20"/>
                <w:lang w:eastAsia="fr-FR"/>
              </w:rPr>
            </w:pPr>
            <w:r w:rsidRPr="00A9330B">
              <w:rPr>
                <w:color w:val="000000"/>
                <w:sz w:val="20"/>
                <w:szCs w:val="20"/>
                <w:lang w:eastAsia="fr-FR"/>
              </w:rPr>
              <w:t>1,98</w:t>
            </w:r>
          </w:p>
        </w:tc>
      </w:tr>
      <w:tr w:rsidR="00F561A7" w:rsidRPr="00A9330B" w14:paraId="2D30C57E" w14:textId="77777777" w:rsidTr="00F561A7">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751959D9" w14:textId="77777777" w:rsidR="00F561A7" w:rsidRPr="00A9330B" w:rsidRDefault="00F561A7" w:rsidP="00F561A7">
            <w:pPr>
              <w:spacing w:line="240" w:lineRule="auto"/>
              <w:rPr>
                <w:b/>
                <w:bCs/>
                <w:color w:val="000000"/>
                <w:sz w:val="20"/>
                <w:szCs w:val="20"/>
                <w:lang w:eastAsia="fr-FR"/>
              </w:rPr>
            </w:pPr>
            <w:r w:rsidRPr="00A9330B">
              <w:rPr>
                <w:b/>
                <w:bCs/>
                <w:color w:val="000000"/>
                <w:sz w:val="20"/>
                <w:szCs w:val="20"/>
                <w:lang w:eastAsia="fr-FR"/>
              </w:rPr>
              <w:t>Total</w:t>
            </w:r>
          </w:p>
        </w:tc>
        <w:tc>
          <w:tcPr>
            <w:tcW w:w="1200" w:type="dxa"/>
            <w:tcBorders>
              <w:top w:val="nil"/>
              <w:left w:val="nil"/>
              <w:bottom w:val="single" w:sz="4" w:space="0" w:color="auto"/>
              <w:right w:val="single" w:sz="4" w:space="0" w:color="auto"/>
            </w:tcBorders>
            <w:shd w:val="clear" w:color="auto" w:fill="auto"/>
            <w:noWrap/>
            <w:vAlign w:val="center"/>
            <w:hideMark/>
          </w:tcPr>
          <w:p w14:paraId="6898CA72" w14:textId="77777777" w:rsidR="00F561A7" w:rsidRPr="00A9330B" w:rsidRDefault="00F561A7" w:rsidP="00F561A7">
            <w:pPr>
              <w:spacing w:line="240" w:lineRule="auto"/>
              <w:jc w:val="center"/>
              <w:rPr>
                <w:b/>
                <w:bCs/>
                <w:color w:val="000000"/>
                <w:sz w:val="20"/>
                <w:szCs w:val="20"/>
                <w:lang w:eastAsia="fr-FR"/>
              </w:rPr>
            </w:pPr>
            <w:r w:rsidRPr="00A9330B">
              <w:rPr>
                <w:b/>
                <w:bCs/>
                <w:color w:val="000000"/>
                <w:sz w:val="20"/>
                <w:szCs w:val="20"/>
                <w:lang w:eastAsia="fr-FR"/>
              </w:rPr>
              <w:t>75,06</w:t>
            </w:r>
          </w:p>
        </w:tc>
        <w:tc>
          <w:tcPr>
            <w:tcW w:w="1200" w:type="dxa"/>
            <w:tcBorders>
              <w:top w:val="nil"/>
              <w:left w:val="nil"/>
              <w:bottom w:val="single" w:sz="4" w:space="0" w:color="auto"/>
              <w:right w:val="single" w:sz="4" w:space="0" w:color="auto"/>
            </w:tcBorders>
            <w:shd w:val="clear" w:color="auto" w:fill="auto"/>
            <w:noWrap/>
            <w:vAlign w:val="center"/>
            <w:hideMark/>
          </w:tcPr>
          <w:p w14:paraId="489B77EA" w14:textId="77777777" w:rsidR="00F561A7" w:rsidRPr="00A9330B" w:rsidRDefault="00F561A7" w:rsidP="00F561A7">
            <w:pPr>
              <w:spacing w:line="240" w:lineRule="auto"/>
              <w:jc w:val="center"/>
              <w:rPr>
                <w:b/>
                <w:bCs/>
                <w:color w:val="000000"/>
                <w:sz w:val="20"/>
                <w:szCs w:val="20"/>
                <w:lang w:eastAsia="fr-FR"/>
              </w:rPr>
            </w:pPr>
            <w:r w:rsidRPr="00A9330B">
              <w:rPr>
                <w:b/>
                <w:bCs/>
                <w:color w:val="000000"/>
                <w:sz w:val="20"/>
                <w:szCs w:val="20"/>
                <w:lang w:eastAsia="fr-FR"/>
              </w:rPr>
              <w:t>24,94</w:t>
            </w:r>
          </w:p>
        </w:tc>
        <w:tc>
          <w:tcPr>
            <w:tcW w:w="1854" w:type="dxa"/>
            <w:tcBorders>
              <w:top w:val="nil"/>
              <w:left w:val="nil"/>
              <w:bottom w:val="single" w:sz="4" w:space="0" w:color="auto"/>
              <w:right w:val="single" w:sz="4" w:space="0" w:color="auto"/>
            </w:tcBorders>
            <w:shd w:val="clear" w:color="auto" w:fill="auto"/>
            <w:noWrap/>
            <w:vAlign w:val="center"/>
            <w:hideMark/>
          </w:tcPr>
          <w:p w14:paraId="0F54398E" w14:textId="77777777" w:rsidR="00F561A7" w:rsidRPr="00A9330B" w:rsidRDefault="00F561A7" w:rsidP="00F561A7">
            <w:pPr>
              <w:spacing w:line="240" w:lineRule="auto"/>
              <w:jc w:val="center"/>
              <w:rPr>
                <w:b/>
                <w:bCs/>
                <w:color w:val="000000"/>
                <w:sz w:val="20"/>
                <w:szCs w:val="20"/>
                <w:lang w:eastAsia="fr-FR"/>
              </w:rPr>
            </w:pPr>
            <w:r w:rsidRPr="00A9330B">
              <w:rPr>
                <w:b/>
                <w:bCs/>
                <w:color w:val="000000"/>
                <w:sz w:val="20"/>
                <w:szCs w:val="20"/>
                <w:lang w:eastAsia="fr-FR"/>
              </w:rPr>
              <w:t>100</w:t>
            </w:r>
          </w:p>
        </w:tc>
      </w:tr>
    </w:tbl>
    <w:p w14:paraId="1BE0EB16" w14:textId="77777777" w:rsidR="00350C9E" w:rsidRPr="00A9330B" w:rsidRDefault="00350C9E" w:rsidP="000566F0">
      <w:pPr>
        <w:spacing w:after="120" w:line="360" w:lineRule="auto"/>
        <w:jc w:val="center"/>
        <w:rPr>
          <w:rFonts w:eastAsia="Calibri" w:cs="Arial"/>
          <w:b/>
          <w:color w:val="auto"/>
          <w:sz w:val="20"/>
          <w:szCs w:val="20"/>
          <w:lang w:eastAsia="fr-FR"/>
        </w:rPr>
      </w:pPr>
      <w:r w:rsidRPr="00A9330B">
        <w:rPr>
          <w:rFonts w:eastAsia="Calibri" w:cs="Arial"/>
          <w:b/>
          <w:color w:val="auto"/>
          <w:sz w:val="20"/>
          <w:szCs w:val="20"/>
          <w:lang w:eastAsia="fr-FR"/>
        </w:rPr>
        <w:t>Source : Enquête de terrain, juin 2020</w:t>
      </w:r>
    </w:p>
    <w:p w14:paraId="1EA76344" w14:textId="77777777" w:rsidR="00350C9E" w:rsidRPr="00A9330B" w:rsidRDefault="00350C9E" w:rsidP="00350C9E">
      <w:pPr>
        <w:spacing w:after="120" w:line="312" w:lineRule="auto"/>
        <w:jc w:val="both"/>
        <w:rPr>
          <w:rFonts w:eastAsia="Calibri" w:cs="Times New Roman"/>
          <w:color w:val="000000"/>
          <w:szCs w:val="24"/>
          <w:lang w:eastAsia="de-DE"/>
        </w:rPr>
      </w:pPr>
      <w:r w:rsidRPr="00A9330B">
        <w:rPr>
          <w:rFonts w:eastAsia="Calibri" w:cs="Times New Roman"/>
          <w:color w:val="000000"/>
          <w:szCs w:val="24"/>
          <w:lang w:eastAsia="de-DE"/>
        </w:rPr>
        <w:t>L</w:t>
      </w:r>
      <w:r w:rsidRPr="00A9330B">
        <w:rPr>
          <w:rFonts w:eastAsia="Calibri" w:cs="Times New Roman"/>
          <w:color w:val="auto"/>
          <w:szCs w:val="24"/>
          <w:lang w:eastAsia="de-DE"/>
        </w:rPr>
        <w:t xml:space="preserve">a majorité des PAP ont un niveau d’instruction secondaire avec </w:t>
      </w:r>
      <w:r w:rsidRPr="00A9330B">
        <w:rPr>
          <w:rFonts w:eastAsia="Times New Roman" w:cs="Times New Roman"/>
          <w:color w:val="000000"/>
          <w:szCs w:val="24"/>
          <w:lang w:eastAsia="fr-FR"/>
        </w:rPr>
        <w:t xml:space="preserve">41,73 </w:t>
      </w:r>
      <w:r w:rsidRPr="00A9330B">
        <w:rPr>
          <w:rFonts w:eastAsia="Calibri" w:cs="Times New Roman"/>
          <w:color w:val="auto"/>
          <w:szCs w:val="24"/>
          <w:lang w:eastAsia="de-DE"/>
        </w:rPr>
        <w:t>% dont une proportion (34,32) plus élevée des hommes suivis du niveau primaire (</w:t>
      </w:r>
      <w:r w:rsidRPr="00A9330B">
        <w:rPr>
          <w:rFonts w:eastAsia="Times New Roman" w:cs="Times New Roman"/>
          <w:color w:val="000000"/>
          <w:szCs w:val="24"/>
          <w:lang w:eastAsia="fr-FR"/>
        </w:rPr>
        <w:t xml:space="preserve">24,44 </w:t>
      </w:r>
      <w:r w:rsidRPr="00A9330B">
        <w:rPr>
          <w:rFonts w:eastAsia="Calibri" w:cs="Times New Roman"/>
          <w:color w:val="auto"/>
          <w:szCs w:val="24"/>
          <w:lang w:eastAsia="de-DE"/>
        </w:rPr>
        <w:t>%). Le niveau</w:t>
      </w:r>
      <w:r w:rsidRPr="00A9330B">
        <w:rPr>
          <w:rFonts w:eastAsia="Calibri" w:cs="Times New Roman"/>
          <w:color w:val="000000"/>
          <w:szCs w:val="24"/>
          <w:lang w:eastAsia="de-DE"/>
        </w:rPr>
        <w:t xml:space="preserve"> supérieur, étant le plus faible compte </w:t>
      </w:r>
      <w:r w:rsidRPr="00A9330B">
        <w:rPr>
          <w:rFonts w:eastAsia="Times New Roman" w:cs="Times New Roman"/>
          <w:color w:val="000000"/>
          <w:szCs w:val="24"/>
          <w:lang w:eastAsia="fr-FR"/>
        </w:rPr>
        <w:t>13,83</w:t>
      </w:r>
      <w:r w:rsidRPr="00A9330B">
        <w:rPr>
          <w:rFonts w:eastAsia="Calibri" w:cs="Times New Roman"/>
          <w:color w:val="000000"/>
          <w:szCs w:val="24"/>
          <w:lang w:eastAsia="de-DE"/>
        </w:rPr>
        <w:t xml:space="preserve"> % d’homme contre </w:t>
      </w:r>
      <w:r w:rsidRPr="00A9330B">
        <w:rPr>
          <w:rFonts w:eastAsia="Times New Roman" w:cs="Times New Roman"/>
          <w:color w:val="000000"/>
          <w:szCs w:val="24"/>
          <w:lang w:eastAsia="fr-FR"/>
        </w:rPr>
        <w:t xml:space="preserve">0,99 </w:t>
      </w:r>
      <w:r w:rsidRPr="00A9330B">
        <w:rPr>
          <w:rFonts w:eastAsia="Calibri" w:cs="Times New Roman"/>
          <w:color w:val="000000"/>
          <w:szCs w:val="24"/>
          <w:lang w:eastAsia="de-DE"/>
        </w:rPr>
        <w:t xml:space="preserve">% de femmes.  Les analphabètes se retrouvent dans une proportion de </w:t>
      </w:r>
      <w:r w:rsidRPr="00A9330B">
        <w:rPr>
          <w:rFonts w:eastAsia="Times New Roman" w:cs="Times New Roman"/>
          <w:color w:val="000000"/>
          <w:szCs w:val="24"/>
          <w:lang w:eastAsia="fr-FR"/>
        </w:rPr>
        <w:t xml:space="preserve">19,01% dont 10,37 % </w:t>
      </w:r>
      <w:r w:rsidRPr="00A9330B">
        <w:rPr>
          <w:rFonts w:eastAsia="Calibri" w:cs="Times New Roman"/>
          <w:color w:val="000000"/>
          <w:szCs w:val="24"/>
          <w:lang w:eastAsia="de-DE"/>
        </w:rPr>
        <w:t>d’hommes</w:t>
      </w:r>
      <w:r w:rsidRPr="00A9330B">
        <w:rPr>
          <w:rFonts w:eastAsia="Calibri" w:cs="Times New Roman"/>
          <w:color w:val="000000"/>
          <w:szCs w:val="24"/>
          <w:lang w:eastAsia="fr-FR"/>
        </w:rPr>
        <w:t xml:space="preserve"> contre </w:t>
      </w:r>
      <w:r w:rsidRPr="00A9330B">
        <w:rPr>
          <w:rFonts w:eastAsia="Times New Roman" w:cs="Times New Roman"/>
          <w:color w:val="000000"/>
          <w:szCs w:val="24"/>
          <w:lang w:eastAsia="fr-FR"/>
        </w:rPr>
        <w:t>8,64</w:t>
      </w:r>
      <w:r w:rsidRPr="00A9330B">
        <w:rPr>
          <w:rFonts w:eastAsia="Calibri" w:cs="Times New Roman"/>
          <w:color w:val="000000"/>
          <w:szCs w:val="24"/>
          <w:lang w:eastAsia="fr-FR"/>
        </w:rPr>
        <w:t xml:space="preserve"> % de femmes</w:t>
      </w:r>
      <w:r w:rsidRPr="00A9330B">
        <w:rPr>
          <w:rFonts w:eastAsia="Calibri" w:cs="Times New Roman"/>
          <w:color w:val="000000"/>
          <w:szCs w:val="24"/>
          <w:lang w:eastAsia="de-DE"/>
        </w:rPr>
        <w:t xml:space="preserve">). </w:t>
      </w:r>
    </w:p>
    <w:p w14:paraId="1697EAFE" w14:textId="7FF4BD97" w:rsidR="00350C9E" w:rsidRPr="00A9330B" w:rsidRDefault="001777E6" w:rsidP="00350C9E">
      <w:pPr>
        <w:keepNext/>
        <w:spacing w:after="120" w:line="240" w:lineRule="auto"/>
        <w:jc w:val="center"/>
        <w:rPr>
          <w:rFonts w:eastAsia="Times New Roman" w:cs="Arial"/>
          <w:b/>
          <w:color w:val="000000"/>
          <w:sz w:val="20"/>
          <w:szCs w:val="20"/>
        </w:rPr>
      </w:pPr>
      <w:bookmarkStart w:id="2032" w:name="_Toc52873788"/>
      <w:r w:rsidRPr="00A9330B">
        <w:rPr>
          <w:b/>
          <w:sz w:val="20"/>
          <w:szCs w:val="20"/>
        </w:rPr>
        <w:t xml:space="preserve">Tableau </w:t>
      </w:r>
      <w:r w:rsidRPr="00A9330B">
        <w:rPr>
          <w:b/>
          <w:sz w:val="20"/>
          <w:szCs w:val="20"/>
        </w:rPr>
        <w:fldChar w:fldCharType="begin"/>
      </w:r>
      <w:r w:rsidRPr="00A9330B">
        <w:rPr>
          <w:b/>
          <w:sz w:val="20"/>
          <w:szCs w:val="20"/>
        </w:rPr>
        <w:instrText xml:space="preserve"> SEQ Tableau \* ARABIC </w:instrText>
      </w:r>
      <w:r w:rsidRPr="00A9330B">
        <w:rPr>
          <w:b/>
          <w:sz w:val="20"/>
          <w:szCs w:val="20"/>
        </w:rPr>
        <w:fldChar w:fldCharType="separate"/>
      </w:r>
      <w:r w:rsidR="00340594" w:rsidRPr="00A9330B">
        <w:rPr>
          <w:b/>
          <w:noProof/>
          <w:sz w:val="20"/>
          <w:szCs w:val="20"/>
        </w:rPr>
        <w:t>64</w:t>
      </w:r>
      <w:r w:rsidRPr="00A9330B">
        <w:rPr>
          <w:b/>
          <w:sz w:val="20"/>
          <w:szCs w:val="20"/>
        </w:rPr>
        <w:fldChar w:fldCharType="end"/>
      </w:r>
      <w:r w:rsidRPr="00A9330B">
        <w:rPr>
          <w:b/>
          <w:sz w:val="20"/>
          <w:szCs w:val="20"/>
        </w:rPr>
        <w:t xml:space="preserve"> </w:t>
      </w:r>
      <w:r w:rsidR="00350C9E" w:rsidRPr="00A9330B">
        <w:rPr>
          <w:rFonts w:eastAsia="Times New Roman" w:cs="Arial"/>
          <w:b/>
          <w:color w:val="000000"/>
          <w:sz w:val="20"/>
          <w:szCs w:val="20"/>
        </w:rPr>
        <w:t xml:space="preserve"> : Répartition des PAP par niveau d’instruction</w:t>
      </w:r>
      <w:bookmarkEnd w:id="2032"/>
    </w:p>
    <w:tbl>
      <w:tblPr>
        <w:tblW w:w="6258" w:type="dxa"/>
        <w:jc w:val="center"/>
        <w:tblCellMar>
          <w:left w:w="70" w:type="dxa"/>
          <w:right w:w="70" w:type="dxa"/>
        </w:tblCellMar>
        <w:tblLook w:val="04A0" w:firstRow="1" w:lastRow="0" w:firstColumn="1" w:lastColumn="0" w:noHBand="0" w:noVBand="1"/>
      </w:tblPr>
      <w:tblGrid>
        <w:gridCol w:w="2685"/>
        <w:gridCol w:w="1252"/>
        <w:gridCol w:w="1432"/>
        <w:gridCol w:w="889"/>
      </w:tblGrid>
      <w:tr w:rsidR="00F561A7" w:rsidRPr="00A9330B" w14:paraId="490E6236" w14:textId="77777777" w:rsidTr="00F561A7">
        <w:trPr>
          <w:trHeight w:val="320"/>
          <w:jc w:val="center"/>
        </w:trPr>
        <w:tc>
          <w:tcPr>
            <w:tcW w:w="26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AD4084" w14:textId="77777777" w:rsidR="00F561A7" w:rsidRPr="00A9330B" w:rsidRDefault="00F561A7" w:rsidP="00F561A7">
            <w:pPr>
              <w:spacing w:line="240" w:lineRule="auto"/>
              <w:jc w:val="center"/>
              <w:rPr>
                <w:b/>
                <w:bCs/>
                <w:color w:val="000000"/>
                <w:sz w:val="20"/>
                <w:szCs w:val="20"/>
                <w:lang w:eastAsia="fr-FR"/>
              </w:rPr>
            </w:pPr>
            <w:r w:rsidRPr="00A9330B">
              <w:rPr>
                <w:b/>
                <w:bCs/>
                <w:color w:val="000000"/>
                <w:sz w:val="20"/>
                <w:szCs w:val="20"/>
                <w:lang w:eastAsia="fr-FR"/>
              </w:rPr>
              <w:t>Niveau d'instruction</w:t>
            </w:r>
          </w:p>
        </w:tc>
        <w:tc>
          <w:tcPr>
            <w:tcW w:w="1252" w:type="dxa"/>
            <w:tcBorders>
              <w:top w:val="single" w:sz="4" w:space="0" w:color="auto"/>
              <w:left w:val="nil"/>
              <w:bottom w:val="single" w:sz="4" w:space="0" w:color="auto"/>
              <w:right w:val="single" w:sz="4" w:space="0" w:color="auto"/>
            </w:tcBorders>
            <w:shd w:val="clear" w:color="auto" w:fill="00B0F0"/>
            <w:noWrap/>
            <w:vAlign w:val="center"/>
            <w:hideMark/>
          </w:tcPr>
          <w:p w14:paraId="0690EE4F" w14:textId="77777777" w:rsidR="00F561A7" w:rsidRPr="00A9330B" w:rsidRDefault="00F561A7" w:rsidP="00F561A7">
            <w:pPr>
              <w:spacing w:line="240" w:lineRule="auto"/>
              <w:jc w:val="center"/>
              <w:rPr>
                <w:color w:val="000000"/>
                <w:sz w:val="20"/>
                <w:szCs w:val="20"/>
                <w:lang w:eastAsia="fr-FR"/>
              </w:rPr>
            </w:pPr>
            <w:r w:rsidRPr="00A9330B">
              <w:rPr>
                <w:b/>
                <w:bCs/>
                <w:color w:val="000000"/>
                <w:sz w:val="20"/>
                <w:szCs w:val="20"/>
                <w:lang w:eastAsia="fr-FR"/>
              </w:rPr>
              <w:t>Homme</w:t>
            </w:r>
            <w:r w:rsidRPr="00A9330B">
              <w:rPr>
                <w:color w:val="000000"/>
                <w:sz w:val="20"/>
                <w:szCs w:val="20"/>
                <w:lang w:eastAsia="fr-FR"/>
              </w:rPr>
              <w:t xml:space="preserve"> %</w:t>
            </w:r>
          </w:p>
        </w:tc>
        <w:tc>
          <w:tcPr>
            <w:tcW w:w="1432" w:type="dxa"/>
            <w:tcBorders>
              <w:top w:val="single" w:sz="4" w:space="0" w:color="auto"/>
              <w:left w:val="nil"/>
              <w:bottom w:val="single" w:sz="4" w:space="0" w:color="auto"/>
              <w:right w:val="single" w:sz="4" w:space="0" w:color="auto"/>
            </w:tcBorders>
            <w:shd w:val="clear" w:color="auto" w:fill="ED7D31"/>
            <w:noWrap/>
            <w:vAlign w:val="center"/>
            <w:hideMark/>
          </w:tcPr>
          <w:p w14:paraId="011304F9" w14:textId="77777777" w:rsidR="00F561A7" w:rsidRPr="00A9330B" w:rsidRDefault="00F561A7" w:rsidP="00F561A7">
            <w:pPr>
              <w:spacing w:line="240" w:lineRule="auto"/>
              <w:jc w:val="center"/>
              <w:rPr>
                <w:color w:val="000000"/>
                <w:sz w:val="20"/>
                <w:szCs w:val="20"/>
                <w:lang w:eastAsia="fr-FR"/>
              </w:rPr>
            </w:pPr>
            <w:r w:rsidRPr="00A9330B">
              <w:rPr>
                <w:b/>
                <w:bCs/>
                <w:color w:val="000000"/>
                <w:sz w:val="20"/>
                <w:szCs w:val="20"/>
                <w:lang w:eastAsia="fr-FR"/>
              </w:rPr>
              <w:t>Femme</w:t>
            </w:r>
            <w:r w:rsidRPr="00A9330B">
              <w:rPr>
                <w:color w:val="000000"/>
                <w:sz w:val="20"/>
                <w:szCs w:val="20"/>
                <w:lang w:eastAsia="fr-FR"/>
              </w:rPr>
              <w:t xml:space="preserve"> %</w:t>
            </w:r>
          </w:p>
        </w:tc>
        <w:tc>
          <w:tcPr>
            <w:tcW w:w="889" w:type="dxa"/>
            <w:tcBorders>
              <w:top w:val="single" w:sz="4" w:space="0" w:color="auto"/>
              <w:left w:val="nil"/>
              <w:bottom w:val="single" w:sz="4" w:space="0" w:color="auto"/>
              <w:right w:val="single" w:sz="4" w:space="0" w:color="auto"/>
            </w:tcBorders>
            <w:shd w:val="clear" w:color="auto" w:fill="auto"/>
            <w:noWrap/>
            <w:vAlign w:val="center"/>
            <w:hideMark/>
          </w:tcPr>
          <w:p w14:paraId="51B287BE" w14:textId="77777777" w:rsidR="00F561A7" w:rsidRPr="00A9330B" w:rsidRDefault="00F561A7" w:rsidP="00F561A7">
            <w:pPr>
              <w:spacing w:line="240" w:lineRule="auto"/>
              <w:jc w:val="center"/>
              <w:rPr>
                <w:color w:val="000000"/>
                <w:sz w:val="20"/>
                <w:szCs w:val="20"/>
                <w:lang w:eastAsia="fr-FR"/>
              </w:rPr>
            </w:pPr>
            <w:r w:rsidRPr="00A9330B">
              <w:rPr>
                <w:color w:val="000000"/>
                <w:sz w:val="20"/>
                <w:szCs w:val="20"/>
                <w:lang w:eastAsia="fr-FR"/>
              </w:rPr>
              <w:t>%</w:t>
            </w:r>
          </w:p>
        </w:tc>
      </w:tr>
      <w:tr w:rsidR="00F561A7" w:rsidRPr="00A9330B" w14:paraId="531906A2" w14:textId="77777777" w:rsidTr="00F561A7">
        <w:trPr>
          <w:trHeight w:val="320"/>
          <w:jc w:val="center"/>
        </w:trPr>
        <w:tc>
          <w:tcPr>
            <w:tcW w:w="2685" w:type="dxa"/>
            <w:tcBorders>
              <w:top w:val="nil"/>
              <w:left w:val="single" w:sz="4" w:space="0" w:color="auto"/>
              <w:bottom w:val="single" w:sz="4" w:space="0" w:color="auto"/>
              <w:right w:val="single" w:sz="4" w:space="0" w:color="auto"/>
            </w:tcBorders>
            <w:shd w:val="clear" w:color="auto" w:fill="auto"/>
            <w:noWrap/>
            <w:vAlign w:val="center"/>
            <w:hideMark/>
          </w:tcPr>
          <w:p w14:paraId="47DA7CEC" w14:textId="77777777" w:rsidR="00F561A7" w:rsidRPr="00A9330B" w:rsidRDefault="00F561A7" w:rsidP="00F561A7">
            <w:pPr>
              <w:spacing w:line="240" w:lineRule="auto"/>
              <w:jc w:val="center"/>
              <w:rPr>
                <w:color w:val="000000"/>
                <w:sz w:val="20"/>
                <w:szCs w:val="20"/>
                <w:lang w:eastAsia="fr-FR"/>
              </w:rPr>
            </w:pPr>
            <w:r w:rsidRPr="00A9330B">
              <w:rPr>
                <w:color w:val="000000"/>
                <w:sz w:val="20"/>
                <w:szCs w:val="20"/>
                <w:lang w:eastAsia="fr-FR"/>
              </w:rPr>
              <w:t>Analphabète</w:t>
            </w:r>
          </w:p>
        </w:tc>
        <w:tc>
          <w:tcPr>
            <w:tcW w:w="1252" w:type="dxa"/>
            <w:tcBorders>
              <w:top w:val="nil"/>
              <w:left w:val="nil"/>
              <w:bottom w:val="single" w:sz="4" w:space="0" w:color="auto"/>
              <w:right w:val="single" w:sz="4" w:space="0" w:color="auto"/>
            </w:tcBorders>
            <w:shd w:val="clear" w:color="auto" w:fill="auto"/>
            <w:noWrap/>
            <w:vAlign w:val="center"/>
            <w:hideMark/>
          </w:tcPr>
          <w:p w14:paraId="23F73244" w14:textId="77777777" w:rsidR="00F561A7" w:rsidRPr="00A9330B" w:rsidRDefault="00F561A7" w:rsidP="00F561A7">
            <w:pPr>
              <w:spacing w:line="240" w:lineRule="auto"/>
              <w:jc w:val="center"/>
              <w:rPr>
                <w:color w:val="000000"/>
                <w:sz w:val="20"/>
                <w:szCs w:val="20"/>
                <w:lang w:eastAsia="fr-FR"/>
              </w:rPr>
            </w:pPr>
            <w:r w:rsidRPr="00A9330B">
              <w:rPr>
                <w:color w:val="000000"/>
                <w:sz w:val="20"/>
                <w:szCs w:val="20"/>
                <w:lang w:eastAsia="fr-FR"/>
              </w:rPr>
              <w:t>10,37</w:t>
            </w:r>
          </w:p>
        </w:tc>
        <w:tc>
          <w:tcPr>
            <w:tcW w:w="1432" w:type="dxa"/>
            <w:tcBorders>
              <w:top w:val="nil"/>
              <w:left w:val="nil"/>
              <w:bottom w:val="single" w:sz="4" w:space="0" w:color="auto"/>
              <w:right w:val="single" w:sz="4" w:space="0" w:color="auto"/>
            </w:tcBorders>
            <w:shd w:val="clear" w:color="auto" w:fill="auto"/>
            <w:noWrap/>
            <w:vAlign w:val="center"/>
            <w:hideMark/>
          </w:tcPr>
          <w:p w14:paraId="5D502DF2" w14:textId="77777777" w:rsidR="00F561A7" w:rsidRPr="00A9330B" w:rsidRDefault="00F561A7" w:rsidP="00F561A7">
            <w:pPr>
              <w:spacing w:line="240" w:lineRule="auto"/>
              <w:jc w:val="center"/>
              <w:rPr>
                <w:color w:val="000000"/>
                <w:sz w:val="20"/>
                <w:szCs w:val="20"/>
                <w:lang w:eastAsia="fr-FR"/>
              </w:rPr>
            </w:pPr>
            <w:r w:rsidRPr="00A9330B">
              <w:rPr>
                <w:color w:val="000000"/>
                <w:sz w:val="20"/>
                <w:szCs w:val="20"/>
                <w:lang w:eastAsia="fr-FR"/>
              </w:rPr>
              <w:t>8,64</w:t>
            </w:r>
          </w:p>
        </w:tc>
        <w:tc>
          <w:tcPr>
            <w:tcW w:w="889" w:type="dxa"/>
            <w:tcBorders>
              <w:top w:val="nil"/>
              <w:left w:val="nil"/>
              <w:bottom w:val="single" w:sz="4" w:space="0" w:color="auto"/>
              <w:right w:val="single" w:sz="4" w:space="0" w:color="auto"/>
            </w:tcBorders>
            <w:shd w:val="clear" w:color="auto" w:fill="auto"/>
            <w:noWrap/>
            <w:vAlign w:val="center"/>
            <w:hideMark/>
          </w:tcPr>
          <w:p w14:paraId="67FF958C" w14:textId="77777777" w:rsidR="00F561A7" w:rsidRPr="00A9330B" w:rsidRDefault="00F561A7" w:rsidP="00F561A7">
            <w:pPr>
              <w:spacing w:line="240" w:lineRule="auto"/>
              <w:jc w:val="center"/>
              <w:rPr>
                <w:color w:val="000000"/>
                <w:sz w:val="20"/>
                <w:szCs w:val="20"/>
                <w:lang w:eastAsia="fr-FR"/>
              </w:rPr>
            </w:pPr>
            <w:r w:rsidRPr="00A9330B">
              <w:rPr>
                <w:color w:val="000000"/>
                <w:sz w:val="20"/>
                <w:szCs w:val="20"/>
                <w:lang w:eastAsia="fr-FR"/>
              </w:rPr>
              <w:t>19,01</w:t>
            </w:r>
          </w:p>
        </w:tc>
      </w:tr>
      <w:tr w:rsidR="00F561A7" w:rsidRPr="00A9330B" w14:paraId="004A68E0" w14:textId="77777777" w:rsidTr="00F561A7">
        <w:trPr>
          <w:trHeight w:val="305"/>
          <w:jc w:val="center"/>
        </w:trPr>
        <w:tc>
          <w:tcPr>
            <w:tcW w:w="2685" w:type="dxa"/>
            <w:tcBorders>
              <w:top w:val="nil"/>
              <w:left w:val="single" w:sz="4" w:space="0" w:color="auto"/>
              <w:bottom w:val="single" w:sz="4" w:space="0" w:color="auto"/>
              <w:right w:val="single" w:sz="4" w:space="0" w:color="auto"/>
            </w:tcBorders>
            <w:shd w:val="clear" w:color="auto" w:fill="auto"/>
            <w:noWrap/>
            <w:vAlign w:val="center"/>
            <w:hideMark/>
          </w:tcPr>
          <w:p w14:paraId="0220487A" w14:textId="77777777" w:rsidR="00F561A7" w:rsidRPr="00A9330B" w:rsidRDefault="00F561A7" w:rsidP="00F561A7">
            <w:pPr>
              <w:spacing w:line="240" w:lineRule="auto"/>
              <w:jc w:val="center"/>
              <w:rPr>
                <w:color w:val="000000"/>
                <w:sz w:val="20"/>
                <w:szCs w:val="20"/>
                <w:lang w:eastAsia="fr-FR"/>
              </w:rPr>
            </w:pPr>
            <w:r w:rsidRPr="00A9330B">
              <w:rPr>
                <w:color w:val="000000"/>
                <w:sz w:val="20"/>
                <w:szCs w:val="20"/>
                <w:lang w:eastAsia="fr-FR"/>
              </w:rPr>
              <w:t>Primaire</w:t>
            </w:r>
          </w:p>
        </w:tc>
        <w:tc>
          <w:tcPr>
            <w:tcW w:w="1252" w:type="dxa"/>
            <w:tcBorders>
              <w:top w:val="nil"/>
              <w:left w:val="nil"/>
              <w:bottom w:val="single" w:sz="4" w:space="0" w:color="auto"/>
              <w:right w:val="single" w:sz="4" w:space="0" w:color="auto"/>
            </w:tcBorders>
            <w:shd w:val="clear" w:color="auto" w:fill="auto"/>
            <w:noWrap/>
            <w:vAlign w:val="center"/>
            <w:hideMark/>
          </w:tcPr>
          <w:p w14:paraId="2B8918B5" w14:textId="77777777" w:rsidR="00F561A7" w:rsidRPr="00A9330B" w:rsidRDefault="00F561A7" w:rsidP="00F561A7">
            <w:pPr>
              <w:spacing w:line="240" w:lineRule="auto"/>
              <w:jc w:val="center"/>
              <w:rPr>
                <w:color w:val="000000"/>
                <w:sz w:val="20"/>
                <w:szCs w:val="20"/>
                <w:lang w:eastAsia="fr-FR"/>
              </w:rPr>
            </w:pPr>
            <w:r w:rsidRPr="00A9330B">
              <w:rPr>
                <w:color w:val="000000"/>
                <w:sz w:val="20"/>
                <w:szCs w:val="20"/>
                <w:lang w:eastAsia="fr-FR"/>
              </w:rPr>
              <w:t>16,54</w:t>
            </w:r>
          </w:p>
        </w:tc>
        <w:tc>
          <w:tcPr>
            <w:tcW w:w="1432" w:type="dxa"/>
            <w:tcBorders>
              <w:top w:val="nil"/>
              <w:left w:val="nil"/>
              <w:bottom w:val="single" w:sz="4" w:space="0" w:color="auto"/>
              <w:right w:val="single" w:sz="4" w:space="0" w:color="auto"/>
            </w:tcBorders>
            <w:shd w:val="clear" w:color="auto" w:fill="auto"/>
            <w:noWrap/>
            <w:vAlign w:val="center"/>
            <w:hideMark/>
          </w:tcPr>
          <w:p w14:paraId="4585ADEC" w14:textId="77777777" w:rsidR="00F561A7" w:rsidRPr="00A9330B" w:rsidRDefault="00F561A7" w:rsidP="00F561A7">
            <w:pPr>
              <w:spacing w:line="240" w:lineRule="auto"/>
              <w:jc w:val="center"/>
              <w:rPr>
                <w:color w:val="000000"/>
                <w:sz w:val="20"/>
                <w:szCs w:val="20"/>
                <w:lang w:eastAsia="fr-FR"/>
              </w:rPr>
            </w:pPr>
            <w:r w:rsidRPr="00A9330B">
              <w:rPr>
                <w:color w:val="000000"/>
                <w:sz w:val="20"/>
                <w:szCs w:val="20"/>
                <w:lang w:eastAsia="fr-FR"/>
              </w:rPr>
              <w:t>7,90</w:t>
            </w:r>
          </w:p>
        </w:tc>
        <w:tc>
          <w:tcPr>
            <w:tcW w:w="889" w:type="dxa"/>
            <w:tcBorders>
              <w:top w:val="nil"/>
              <w:left w:val="nil"/>
              <w:bottom w:val="single" w:sz="4" w:space="0" w:color="auto"/>
              <w:right w:val="single" w:sz="4" w:space="0" w:color="auto"/>
            </w:tcBorders>
            <w:shd w:val="clear" w:color="auto" w:fill="auto"/>
            <w:noWrap/>
            <w:vAlign w:val="center"/>
            <w:hideMark/>
          </w:tcPr>
          <w:p w14:paraId="346E233B" w14:textId="77777777" w:rsidR="00F561A7" w:rsidRPr="00A9330B" w:rsidRDefault="00F561A7" w:rsidP="00F561A7">
            <w:pPr>
              <w:spacing w:line="240" w:lineRule="auto"/>
              <w:jc w:val="center"/>
              <w:rPr>
                <w:color w:val="000000"/>
                <w:sz w:val="20"/>
                <w:szCs w:val="20"/>
                <w:lang w:eastAsia="fr-FR"/>
              </w:rPr>
            </w:pPr>
            <w:r w:rsidRPr="00A9330B">
              <w:rPr>
                <w:color w:val="000000"/>
                <w:sz w:val="20"/>
                <w:szCs w:val="20"/>
                <w:lang w:eastAsia="fr-FR"/>
              </w:rPr>
              <w:t>24,44</w:t>
            </w:r>
          </w:p>
        </w:tc>
      </w:tr>
      <w:tr w:rsidR="00F561A7" w:rsidRPr="00A9330B" w14:paraId="64676811" w14:textId="77777777" w:rsidTr="00F561A7">
        <w:trPr>
          <w:trHeight w:val="305"/>
          <w:jc w:val="center"/>
        </w:trPr>
        <w:tc>
          <w:tcPr>
            <w:tcW w:w="2685" w:type="dxa"/>
            <w:tcBorders>
              <w:top w:val="nil"/>
              <w:left w:val="single" w:sz="4" w:space="0" w:color="auto"/>
              <w:bottom w:val="single" w:sz="4" w:space="0" w:color="auto"/>
              <w:right w:val="single" w:sz="4" w:space="0" w:color="auto"/>
            </w:tcBorders>
            <w:shd w:val="clear" w:color="auto" w:fill="auto"/>
            <w:noWrap/>
            <w:vAlign w:val="center"/>
            <w:hideMark/>
          </w:tcPr>
          <w:p w14:paraId="41A61611" w14:textId="77777777" w:rsidR="00F561A7" w:rsidRPr="00A9330B" w:rsidRDefault="00F561A7" w:rsidP="00F561A7">
            <w:pPr>
              <w:spacing w:line="240" w:lineRule="auto"/>
              <w:jc w:val="center"/>
              <w:rPr>
                <w:color w:val="000000"/>
                <w:sz w:val="20"/>
                <w:szCs w:val="20"/>
                <w:lang w:eastAsia="fr-FR"/>
              </w:rPr>
            </w:pPr>
            <w:r w:rsidRPr="00A9330B">
              <w:rPr>
                <w:color w:val="000000"/>
                <w:sz w:val="20"/>
                <w:szCs w:val="20"/>
                <w:lang w:eastAsia="fr-FR"/>
              </w:rPr>
              <w:t>Secondaire</w:t>
            </w:r>
          </w:p>
        </w:tc>
        <w:tc>
          <w:tcPr>
            <w:tcW w:w="1252" w:type="dxa"/>
            <w:tcBorders>
              <w:top w:val="nil"/>
              <w:left w:val="nil"/>
              <w:bottom w:val="single" w:sz="4" w:space="0" w:color="auto"/>
              <w:right w:val="single" w:sz="4" w:space="0" w:color="auto"/>
            </w:tcBorders>
            <w:shd w:val="clear" w:color="auto" w:fill="auto"/>
            <w:noWrap/>
            <w:vAlign w:val="center"/>
            <w:hideMark/>
          </w:tcPr>
          <w:p w14:paraId="1BA968F7" w14:textId="77777777" w:rsidR="00F561A7" w:rsidRPr="00A9330B" w:rsidRDefault="00F561A7" w:rsidP="00F561A7">
            <w:pPr>
              <w:spacing w:line="240" w:lineRule="auto"/>
              <w:jc w:val="center"/>
              <w:rPr>
                <w:color w:val="000000"/>
                <w:sz w:val="20"/>
                <w:szCs w:val="20"/>
                <w:lang w:eastAsia="fr-FR"/>
              </w:rPr>
            </w:pPr>
            <w:r w:rsidRPr="00A9330B">
              <w:rPr>
                <w:color w:val="000000"/>
                <w:sz w:val="20"/>
                <w:szCs w:val="20"/>
                <w:lang w:eastAsia="fr-FR"/>
              </w:rPr>
              <w:t>34,32</w:t>
            </w:r>
          </w:p>
        </w:tc>
        <w:tc>
          <w:tcPr>
            <w:tcW w:w="1432" w:type="dxa"/>
            <w:tcBorders>
              <w:top w:val="nil"/>
              <w:left w:val="nil"/>
              <w:bottom w:val="single" w:sz="4" w:space="0" w:color="auto"/>
              <w:right w:val="single" w:sz="4" w:space="0" w:color="auto"/>
            </w:tcBorders>
            <w:shd w:val="clear" w:color="auto" w:fill="auto"/>
            <w:noWrap/>
            <w:vAlign w:val="center"/>
            <w:hideMark/>
          </w:tcPr>
          <w:p w14:paraId="4D2C84FA" w14:textId="77777777" w:rsidR="00F561A7" w:rsidRPr="00A9330B" w:rsidRDefault="00F561A7" w:rsidP="00F561A7">
            <w:pPr>
              <w:spacing w:line="240" w:lineRule="auto"/>
              <w:jc w:val="center"/>
              <w:rPr>
                <w:color w:val="000000"/>
                <w:sz w:val="20"/>
                <w:szCs w:val="20"/>
                <w:lang w:eastAsia="fr-FR"/>
              </w:rPr>
            </w:pPr>
            <w:r w:rsidRPr="00A9330B">
              <w:rPr>
                <w:color w:val="000000"/>
                <w:sz w:val="20"/>
                <w:szCs w:val="20"/>
                <w:lang w:eastAsia="fr-FR"/>
              </w:rPr>
              <w:t>7,41</w:t>
            </w:r>
          </w:p>
        </w:tc>
        <w:tc>
          <w:tcPr>
            <w:tcW w:w="889" w:type="dxa"/>
            <w:tcBorders>
              <w:top w:val="nil"/>
              <w:left w:val="nil"/>
              <w:bottom w:val="single" w:sz="4" w:space="0" w:color="auto"/>
              <w:right w:val="single" w:sz="4" w:space="0" w:color="auto"/>
            </w:tcBorders>
            <w:shd w:val="clear" w:color="auto" w:fill="auto"/>
            <w:noWrap/>
            <w:vAlign w:val="center"/>
            <w:hideMark/>
          </w:tcPr>
          <w:p w14:paraId="3FF63BF8" w14:textId="77777777" w:rsidR="00F561A7" w:rsidRPr="00A9330B" w:rsidRDefault="00F561A7" w:rsidP="00F561A7">
            <w:pPr>
              <w:spacing w:line="240" w:lineRule="auto"/>
              <w:jc w:val="center"/>
              <w:rPr>
                <w:color w:val="000000"/>
                <w:sz w:val="20"/>
                <w:szCs w:val="20"/>
                <w:lang w:eastAsia="fr-FR"/>
              </w:rPr>
            </w:pPr>
            <w:r w:rsidRPr="00A9330B">
              <w:rPr>
                <w:color w:val="000000"/>
                <w:sz w:val="20"/>
                <w:szCs w:val="20"/>
                <w:lang w:eastAsia="fr-FR"/>
              </w:rPr>
              <w:t>41,73</w:t>
            </w:r>
          </w:p>
        </w:tc>
      </w:tr>
      <w:tr w:rsidR="00F561A7" w:rsidRPr="00A9330B" w14:paraId="150F0939" w14:textId="77777777" w:rsidTr="00F561A7">
        <w:trPr>
          <w:trHeight w:val="305"/>
          <w:jc w:val="center"/>
        </w:trPr>
        <w:tc>
          <w:tcPr>
            <w:tcW w:w="2685" w:type="dxa"/>
            <w:tcBorders>
              <w:top w:val="nil"/>
              <w:left w:val="single" w:sz="4" w:space="0" w:color="auto"/>
              <w:bottom w:val="single" w:sz="4" w:space="0" w:color="auto"/>
              <w:right w:val="single" w:sz="4" w:space="0" w:color="auto"/>
            </w:tcBorders>
            <w:shd w:val="clear" w:color="auto" w:fill="auto"/>
            <w:noWrap/>
            <w:vAlign w:val="center"/>
            <w:hideMark/>
          </w:tcPr>
          <w:p w14:paraId="6E103F3F" w14:textId="77777777" w:rsidR="00F561A7" w:rsidRPr="00A9330B" w:rsidRDefault="00F561A7" w:rsidP="00F561A7">
            <w:pPr>
              <w:spacing w:line="240" w:lineRule="auto"/>
              <w:jc w:val="center"/>
              <w:rPr>
                <w:color w:val="000000"/>
                <w:sz w:val="20"/>
                <w:szCs w:val="20"/>
                <w:lang w:eastAsia="fr-FR"/>
              </w:rPr>
            </w:pPr>
            <w:r w:rsidRPr="00A9330B">
              <w:rPr>
                <w:color w:val="000000"/>
                <w:sz w:val="20"/>
                <w:szCs w:val="20"/>
                <w:lang w:eastAsia="fr-FR"/>
              </w:rPr>
              <w:t>Supérieur</w:t>
            </w:r>
          </w:p>
        </w:tc>
        <w:tc>
          <w:tcPr>
            <w:tcW w:w="1252" w:type="dxa"/>
            <w:tcBorders>
              <w:top w:val="nil"/>
              <w:left w:val="nil"/>
              <w:bottom w:val="single" w:sz="4" w:space="0" w:color="auto"/>
              <w:right w:val="single" w:sz="4" w:space="0" w:color="auto"/>
            </w:tcBorders>
            <w:shd w:val="clear" w:color="auto" w:fill="auto"/>
            <w:noWrap/>
            <w:vAlign w:val="center"/>
            <w:hideMark/>
          </w:tcPr>
          <w:p w14:paraId="00574362" w14:textId="77777777" w:rsidR="00F561A7" w:rsidRPr="00A9330B" w:rsidRDefault="00F561A7" w:rsidP="00F561A7">
            <w:pPr>
              <w:spacing w:line="240" w:lineRule="auto"/>
              <w:jc w:val="center"/>
              <w:rPr>
                <w:color w:val="000000"/>
                <w:sz w:val="20"/>
                <w:szCs w:val="20"/>
                <w:lang w:eastAsia="fr-FR"/>
              </w:rPr>
            </w:pPr>
            <w:r w:rsidRPr="00A9330B">
              <w:rPr>
                <w:color w:val="000000"/>
                <w:sz w:val="20"/>
                <w:szCs w:val="20"/>
                <w:lang w:eastAsia="fr-FR"/>
              </w:rPr>
              <w:t>13,83</w:t>
            </w:r>
          </w:p>
        </w:tc>
        <w:tc>
          <w:tcPr>
            <w:tcW w:w="1432" w:type="dxa"/>
            <w:tcBorders>
              <w:top w:val="nil"/>
              <w:left w:val="nil"/>
              <w:bottom w:val="single" w:sz="4" w:space="0" w:color="auto"/>
              <w:right w:val="single" w:sz="4" w:space="0" w:color="auto"/>
            </w:tcBorders>
            <w:shd w:val="clear" w:color="auto" w:fill="auto"/>
            <w:noWrap/>
            <w:vAlign w:val="center"/>
            <w:hideMark/>
          </w:tcPr>
          <w:p w14:paraId="2EC0C4DE" w14:textId="77777777" w:rsidR="00F561A7" w:rsidRPr="00A9330B" w:rsidRDefault="00F561A7" w:rsidP="00F561A7">
            <w:pPr>
              <w:spacing w:line="240" w:lineRule="auto"/>
              <w:jc w:val="center"/>
              <w:rPr>
                <w:color w:val="000000"/>
                <w:sz w:val="20"/>
                <w:szCs w:val="20"/>
                <w:lang w:eastAsia="fr-FR"/>
              </w:rPr>
            </w:pPr>
            <w:r w:rsidRPr="00A9330B">
              <w:rPr>
                <w:color w:val="000000"/>
                <w:sz w:val="20"/>
                <w:szCs w:val="20"/>
                <w:lang w:eastAsia="fr-FR"/>
              </w:rPr>
              <w:t>0,99</w:t>
            </w:r>
          </w:p>
        </w:tc>
        <w:tc>
          <w:tcPr>
            <w:tcW w:w="889" w:type="dxa"/>
            <w:tcBorders>
              <w:top w:val="nil"/>
              <w:left w:val="nil"/>
              <w:bottom w:val="single" w:sz="4" w:space="0" w:color="auto"/>
              <w:right w:val="single" w:sz="4" w:space="0" w:color="auto"/>
            </w:tcBorders>
            <w:shd w:val="clear" w:color="auto" w:fill="auto"/>
            <w:noWrap/>
            <w:vAlign w:val="center"/>
            <w:hideMark/>
          </w:tcPr>
          <w:p w14:paraId="344D5051" w14:textId="77777777" w:rsidR="00F561A7" w:rsidRPr="00A9330B" w:rsidRDefault="00F561A7" w:rsidP="00F561A7">
            <w:pPr>
              <w:spacing w:line="240" w:lineRule="auto"/>
              <w:jc w:val="center"/>
              <w:rPr>
                <w:color w:val="000000"/>
                <w:sz w:val="20"/>
                <w:szCs w:val="20"/>
                <w:lang w:eastAsia="fr-FR"/>
              </w:rPr>
            </w:pPr>
            <w:r w:rsidRPr="00A9330B">
              <w:rPr>
                <w:color w:val="000000"/>
                <w:sz w:val="20"/>
                <w:szCs w:val="20"/>
                <w:lang w:eastAsia="fr-FR"/>
              </w:rPr>
              <w:t>14,81</w:t>
            </w:r>
          </w:p>
        </w:tc>
      </w:tr>
      <w:tr w:rsidR="00F561A7" w:rsidRPr="00A9330B" w14:paraId="5AF859D8" w14:textId="77777777" w:rsidTr="00F561A7">
        <w:trPr>
          <w:trHeight w:val="305"/>
          <w:jc w:val="center"/>
        </w:trPr>
        <w:tc>
          <w:tcPr>
            <w:tcW w:w="2685" w:type="dxa"/>
            <w:tcBorders>
              <w:top w:val="nil"/>
              <w:left w:val="single" w:sz="4" w:space="0" w:color="auto"/>
              <w:bottom w:val="single" w:sz="4" w:space="0" w:color="auto"/>
              <w:right w:val="single" w:sz="4" w:space="0" w:color="auto"/>
            </w:tcBorders>
            <w:shd w:val="clear" w:color="auto" w:fill="auto"/>
            <w:noWrap/>
            <w:vAlign w:val="center"/>
            <w:hideMark/>
          </w:tcPr>
          <w:p w14:paraId="7CE1825B" w14:textId="77777777" w:rsidR="00F561A7" w:rsidRPr="00A9330B" w:rsidRDefault="00F561A7" w:rsidP="00F561A7">
            <w:pPr>
              <w:spacing w:line="240" w:lineRule="auto"/>
              <w:jc w:val="center"/>
              <w:rPr>
                <w:b/>
                <w:bCs/>
                <w:color w:val="000000"/>
                <w:sz w:val="20"/>
                <w:szCs w:val="20"/>
                <w:lang w:eastAsia="fr-FR"/>
              </w:rPr>
            </w:pPr>
            <w:r w:rsidRPr="00A9330B">
              <w:rPr>
                <w:b/>
                <w:bCs/>
                <w:color w:val="000000"/>
                <w:sz w:val="20"/>
                <w:szCs w:val="20"/>
                <w:lang w:eastAsia="fr-FR"/>
              </w:rPr>
              <w:t>Total</w:t>
            </w:r>
          </w:p>
        </w:tc>
        <w:tc>
          <w:tcPr>
            <w:tcW w:w="1252" w:type="dxa"/>
            <w:tcBorders>
              <w:top w:val="nil"/>
              <w:left w:val="nil"/>
              <w:bottom w:val="single" w:sz="4" w:space="0" w:color="auto"/>
              <w:right w:val="single" w:sz="4" w:space="0" w:color="auto"/>
            </w:tcBorders>
            <w:shd w:val="clear" w:color="auto" w:fill="auto"/>
            <w:noWrap/>
            <w:vAlign w:val="center"/>
            <w:hideMark/>
          </w:tcPr>
          <w:p w14:paraId="7252D52A" w14:textId="77777777" w:rsidR="00F561A7" w:rsidRPr="00A9330B" w:rsidRDefault="00F561A7" w:rsidP="00F561A7">
            <w:pPr>
              <w:spacing w:line="240" w:lineRule="auto"/>
              <w:jc w:val="center"/>
              <w:rPr>
                <w:b/>
                <w:bCs/>
                <w:color w:val="000000"/>
                <w:sz w:val="20"/>
                <w:szCs w:val="20"/>
                <w:lang w:eastAsia="fr-FR"/>
              </w:rPr>
            </w:pPr>
            <w:r w:rsidRPr="00A9330B">
              <w:rPr>
                <w:b/>
                <w:bCs/>
                <w:color w:val="000000"/>
                <w:sz w:val="20"/>
                <w:szCs w:val="20"/>
                <w:lang w:eastAsia="fr-FR"/>
              </w:rPr>
              <w:t>75,06</w:t>
            </w:r>
          </w:p>
        </w:tc>
        <w:tc>
          <w:tcPr>
            <w:tcW w:w="1432" w:type="dxa"/>
            <w:tcBorders>
              <w:top w:val="nil"/>
              <w:left w:val="nil"/>
              <w:bottom w:val="single" w:sz="4" w:space="0" w:color="auto"/>
              <w:right w:val="single" w:sz="4" w:space="0" w:color="auto"/>
            </w:tcBorders>
            <w:shd w:val="clear" w:color="auto" w:fill="auto"/>
            <w:noWrap/>
            <w:vAlign w:val="center"/>
            <w:hideMark/>
          </w:tcPr>
          <w:p w14:paraId="6EC8B30D" w14:textId="77777777" w:rsidR="00F561A7" w:rsidRPr="00A9330B" w:rsidRDefault="00F561A7" w:rsidP="00F561A7">
            <w:pPr>
              <w:spacing w:line="240" w:lineRule="auto"/>
              <w:jc w:val="center"/>
              <w:rPr>
                <w:b/>
                <w:bCs/>
                <w:color w:val="000000"/>
                <w:sz w:val="20"/>
                <w:szCs w:val="20"/>
                <w:lang w:eastAsia="fr-FR"/>
              </w:rPr>
            </w:pPr>
            <w:r w:rsidRPr="00A9330B">
              <w:rPr>
                <w:b/>
                <w:bCs/>
                <w:color w:val="000000"/>
                <w:sz w:val="20"/>
                <w:szCs w:val="20"/>
                <w:lang w:eastAsia="fr-FR"/>
              </w:rPr>
              <w:t>24,94</w:t>
            </w:r>
          </w:p>
        </w:tc>
        <w:tc>
          <w:tcPr>
            <w:tcW w:w="889" w:type="dxa"/>
            <w:tcBorders>
              <w:top w:val="nil"/>
              <w:left w:val="nil"/>
              <w:bottom w:val="single" w:sz="4" w:space="0" w:color="auto"/>
              <w:right w:val="single" w:sz="4" w:space="0" w:color="auto"/>
            </w:tcBorders>
            <w:shd w:val="clear" w:color="auto" w:fill="auto"/>
            <w:noWrap/>
            <w:vAlign w:val="center"/>
            <w:hideMark/>
          </w:tcPr>
          <w:p w14:paraId="2489F13C" w14:textId="77777777" w:rsidR="00F561A7" w:rsidRPr="00A9330B" w:rsidRDefault="00F561A7" w:rsidP="00F561A7">
            <w:pPr>
              <w:spacing w:line="240" w:lineRule="auto"/>
              <w:jc w:val="center"/>
              <w:rPr>
                <w:b/>
                <w:bCs/>
                <w:color w:val="000000"/>
                <w:sz w:val="20"/>
                <w:szCs w:val="20"/>
                <w:lang w:eastAsia="fr-FR"/>
              </w:rPr>
            </w:pPr>
            <w:r w:rsidRPr="00A9330B">
              <w:rPr>
                <w:b/>
                <w:bCs/>
                <w:color w:val="000000"/>
                <w:sz w:val="20"/>
                <w:szCs w:val="20"/>
                <w:lang w:eastAsia="fr-FR"/>
              </w:rPr>
              <w:t>100</w:t>
            </w:r>
          </w:p>
        </w:tc>
      </w:tr>
    </w:tbl>
    <w:p w14:paraId="58CBDE6C" w14:textId="77777777" w:rsidR="00350C9E" w:rsidRPr="00A9330B" w:rsidRDefault="00350C9E" w:rsidP="000566F0">
      <w:pPr>
        <w:spacing w:after="120" w:line="360" w:lineRule="auto"/>
        <w:jc w:val="center"/>
        <w:rPr>
          <w:rFonts w:eastAsia="Calibri" w:cs="Arial"/>
          <w:b/>
          <w:color w:val="auto"/>
          <w:sz w:val="20"/>
          <w:szCs w:val="20"/>
          <w:lang w:eastAsia="fr-FR"/>
        </w:rPr>
      </w:pPr>
      <w:r w:rsidRPr="00A9330B">
        <w:rPr>
          <w:rFonts w:eastAsia="Calibri" w:cs="Arial"/>
          <w:b/>
          <w:color w:val="auto"/>
          <w:sz w:val="20"/>
          <w:szCs w:val="20"/>
          <w:lang w:eastAsia="fr-FR"/>
        </w:rPr>
        <w:t>Source : Enquête de terrain, juin 2020</w:t>
      </w:r>
    </w:p>
    <w:p w14:paraId="2020BDC3" w14:textId="5C5A3E9E" w:rsidR="00350C9E" w:rsidRPr="00A9330B" w:rsidRDefault="001777E6" w:rsidP="000F7BA7">
      <w:pPr>
        <w:pStyle w:val="Titre20"/>
        <w:rPr>
          <w:rFonts w:eastAsia="Times New Roman"/>
          <w:lang w:eastAsia="fr-FR"/>
        </w:rPr>
      </w:pPr>
      <w:bookmarkStart w:id="2033" w:name="_Toc44771439"/>
      <w:bookmarkStart w:id="2034" w:name="_Toc52869730"/>
      <w:bookmarkStart w:id="2035" w:name="_Toc52869880"/>
      <w:r w:rsidRPr="00A9330B">
        <w:rPr>
          <w:rFonts w:eastAsia="Times New Roman"/>
          <w:lang w:eastAsia="fr-FR"/>
        </w:rPr>
        <w:t xml:space="preserve">10.9. </w:t>
      </w:r>
      <w:r w:rsidR="00350C9E" w:rsidRPr="00A9330B">
        <w:rPr>
          <w:rFonts w:eastAsia="Times New Roman"/>
          <w:lang w:eastAsia="fr-FR"/>
        </w:rPr>
        <w:t>Activités génératrices de revenus des PAP</w:t>
      </w:r>
      <w:bookmarkEnd w:id="2033"/>
      <w:bookmarkEnd w:id="2034"/>
      <w:bookmarkEnd w:id="2035"/>
    </w:p>
    <w:p w14:paraId="231CA43A" w14:textId="77777777" w:rsidR="00350C9E" w:rsidRPr="00A9330B" w:rsidRDefault="00350C9E" w:rsidP="00350C9E">
      <w:pPr>
        <w:spacing w:after="120" w:line="312" w:lineRule="auto"/>
        <w:jc w:val="both"/>
        <w:rPr>
          <w:rFonts w:eastAsia="Calibri" w:cs="Times New Roman"/>
          <w:color w:val="auto"/>
          <w:szCs w:val="24"/>
          <w:lang w:eastAsia="de-DE"/>
        </w:rPr>
      </w:pPr>
      <w:r w:rsidRPr="00A9330B">
        <w:rPr>
          <w:rFonts w:eastAsia="Calibri" w:cs="Times New Roman"/>
          <w:color w:val="auto"/>
          <w:szCs w:val="24"/>
        </w:rPr>
        <w:t xml:space="preserve">Le tableau ci-dessous illustre la proportion des PAP par profession qui indique les secteurs d’activités génératrices de revenus dans les emprises du projet. </w:t>
      </w:r>
      <w:r w:rsidRPr="00A9330B">
        <w:rPr>
          <w:rFonts w:eastAsia="Calibri" w:cs="Times New Roman"/>
          <w:color w:val="000000"/>
          <w:szCs w:val="24"/>
          <w:lang w:eastAsia="de-DE"/>
        </w:rPr>
        <w:t>L</w:t>
      </w:r>
      <w:r w:rsidRPr="00A9330B">
        <w:rPr>
          <w:rFonts w:eastAsia="Calibri" w:cs="Times New Roman"/>
          <w:color w:val="auto"/>
          <w:szCs w:val="24"/>
          <w:lang w:eastAsia="de-DE"/>
        </w:rPr>
        <w:t>a majorité des PAP affectées par le projet, sont des retraités (</w:t>
      </w:r>
      <w:r w:rsidRPr="00A9330B">
        <w:rPr>
          <w:rFonts w:eastAsia="Times New Roman" w:cs="Times New Roman"/>
          <w:color w:val="000000"/>
          <w:szCs w:val="24"/>
          <w:lang w:eastAsia="fr-FR"/>
        </w:rPr>
        <w:t>6,42 %), les</w:t>
      </w:r>
      <w:r w:rsidRPr="00A9330B">
        <w:rPr>
          <w:rFonts w:eastAsia="Calibri" w:cs="Times New Roman"/>
          <w:color w:val="auto"/>
          <w:szCs w:val="24"/>
          <w:lang w:eastAsia="de-DE"/>
        </w:rPr>
        <w:t xml:space="preserve"> agriculteurs avec (6,42 %) suivis des enseignants (</w:t>
      </w:r>
      <w:r w:rsidRPr="00A9330B">
        <w:rPr>
          <w:rFonts w:eastAsia="Times New Roman" w:cs="Times New Roman"/>
          <w:color w:val="000000"/>
          <w:szCs w:val="24"/>
          <w:lang w:eastAsia="fr-FR"/>
        </w:rPr>
        <w:t xml:space="preserve">6,17 %) </w:t>
      </w:r>
      <w:r w:rsidRPr="00A9330B">
        <w:rPr>
          <w:rFonts w:eastAsia="Calibri" w:cs="Times New Roman"/>
          <w:color w:val="auto"/>
          <w:szCs w:val="24"/>
          <w:lang w:eastAsia="de-DE"/>
        </w:rPr>
        <w:t>au niveau des hommes. Au niveau des femmes, les ménagères (</w:t>
      </w:r>
      <w:r w:rsidRPr="00A9330B">
        <w:rPr>
          <w:rFonts w:eastAsia="Times New Roman" w:cs="Times New Roman"/>
          <w:color w:val="000000"/>
          <w:szCs w:val="24"/>
          <w:lang w:eastAsia="fr-FR"/>
        </w:rPr>
        <w:t xml:space="preserve">7,65%) </w:t>
      </w:r>
      <w:r w:rsidRPr="00A9330B">
        <w:rPr>
          <w:rFonts w:eastAsia="Calibri" w:cs="Times New Roman"/>
          <w:color w:val="auto"/>
          <w:szCs w:val="24"/>
          <w:lang w:eastAsia="de-DE"/>
        </w:rPr>
        <w:t xml:space="preserve">sont majoritaires suivies des commerçantes dans une proportion de </w:t>
      </w:r>
      <w:r w:rsidRPr="00A9330B">
        <w:rPr>
          <w:rFonts w:eastAsia="Times New Roman" w:cs="Times New Roman"/>
          <w:color w:val="000000"/>
          <w:szCs w:val="24"/>
          <w:lang w:eastAsia="fr-FR"/>
        </w:rPr>
        <w:t>4,20 %</w:t>
      </w:r>
      <w:r w:rsidRPr="00A9330B">
        <w:rPr>
          <w:rFonts w:eastAsia="Calibri" w:cs="Times New Roman"/>
          <w:color w:val="auto"/>
          <w:szCs w:val="24"/>
          <w:lang w:eastAsia="de-DE"/>
        </w:rPr>
        <w:t xml:space="preserve"> Les coiffeuses et couturières se retrouvent dans une proportion de 2,22 %.</w:t>
      </w:r>
    </w:p>
    <w:p w14:paraId="1CD51C5D" w14:textId="43F5B2DB" w:rsidR="00350C9E" w:rsidRPr="00A9330B" w:rsidRDefault="001777E6" w:rsidP="000566F0">
      <w:pPr>
        <w:keepNext/>
        <w:spacing w:after="120" w:line="240" w:lineRule="auto"/>
        <w:jc w:val="center"/>
        <w:rPr>
          <w:rFonts w:eastAsia="Times New Roman" w:cs="Arial"/>
          <w:b/>
          <w:color w:val="000000"/>
          <w:sz w:val="20"/>
          <w:szCs w:val="20"/>
        </w:rPr>
      </w:pPr>
      <w:bookmarkStart w:id="2036" w:name="_Toc52873789"/>
      <w:r w:rsidRPr="00A9330B">
        <w:rPr>
          <w:b/>
          <w:sz w:val="20"/>
          <w:szCs w:val="20"/>
        </w:rPr>
        <w:t xml:space="preserve">Tableau </w:t>
      </w:r>
      <w:r w:rsidRPr="00A9330B">
        <w:rPr>
          <w:b/>
          <w:sz w:val="20"/>
          <w:szCs w:val="20"/>
        </w:rPr>
        <w:fldChar w:fldCharType="begin"/>
      </w:r>
      <w:r w:rsidRPr="00A9330B">
        <w:rPr>
          <w:b/>
          <w:sz w:val="20"/>
          <w:szCs w:val="20"/>
        </w:rPr>
        <w:instrText xml:space="preserve"> SEQ Tableau \* ARABIC </w:instrText>
      </w:r>
      <w:r w:rsidRPr="00A9330B">
        <w:rPr>
          <w:b/>
          <w:sz w:val="20"/>
          <w:szCs w:val="20"/>
        </w:rPr>
        <w:fldChar w:fldCharType="separate"/>
      </w:r>
      <w:r w:rsidR="00340594" w:rsidRPr="00A9330B">
        <w:rPr>
          <w:b/>
          <w:noProof/>
          <w:sz w:val="20"/>
          <w:szCs w:val="20"/>
        </w:rPr>
        <w:t>65</w:t>
      </w:r>
      <w:r w:rsidRPr="00A9330B">
        <w:rPr>
          <w:b/>
          <w:sz w:val="20"/>
          <w:szCs w:val="20"/>
        </w:rPr>
        <w:fldChar w:fldCharType="end"/>
      </w:r>
      <w:r w:rsidRPr="00A9330B">
        <w:rPr>
          <w:b/>
          <w:sz w:val="20"/>
          <w:szCs w:val="20"/>
        </w:rPr>
        <w:t xml:space="preserve"> </w:t>
      </w:r>
      <w:r w:rsidRPr="00A9330B">
        <w:rPr>
          <w:b/>
          <w:color w:val="000000"/>
          <w:sz w:val="20"/>
          <w:szCs w:val="20"/>
        </w:rPr>
        <w:t>:</w:t>
      </w:r>
      <w:r w:rsidR="00350C9E" w:rsidRPr="00A9330B">
        <w:rPr>
          <w:rFonts w:eastAsia="Times New Roman" w:cs="Arial"/>
          <w:b/>
          <w:color w:val="000000"/>
          <w:sz w:val="20"/>
          <w:szCs w:val="20"/>
        </w:rPr>
        <w:t xml:space="preserve"> Secteurs d’activités génératrices des PAP</w:t>
      </w:r>
      <w:bookmarkEnd w:id="2036"/>
    </w:p>
    <w:tbl>
      <w:tblPr>
        <w:tblW w:w="6804" w:type="dxa"/>
        <w:jc w:val="center"/>
        <w:tblCellMar>
          <w:left w:w="70" w:type="dxa"/>
          <w:right w:w="70" w:type="dxa"/>
        </w:tblCellMar>
        <w:tblLook w:val="04A0" w:firstRow="1" w:lastRow="0" w:firstColumn="1" w:lastColumn="0" w:noHBand="0" w:noVBand="1"/>
      </w:tblPr>
      <w:tblGrid>
        <w:gridCol w:w="1529"/>
        <w:gridCol w:w="3335"/>
        <w:gridCol w:w="1940"/>
      </w:tblGrid>
      <w:tr w:rsidR="00F561A7" w:rsidRPr="00A9330B" w14:paraId="441AB760" w14:textId="77777777" w:rsidTr="00F561A7">
        <w:trPr>
          <w:trHeight w:val="302"/>
          <w:tblHeader/>
          <w:jc w:val="center"/>
        </w:trPr>
        <w:tc>
          <w:tcPr>
            <w:tcW w:w="1529" w:type="dxa"/>
            <w:tcBorders>
              <w:top w:val="single" w:sz="4" w:space="0" w:color="auto"/>
              <w:left w:val="single" w:sz="4" w:space="0" w:color="auto"/>
              <w:bottom w:val="single" w:sz="4" w:space="0" w:color="auto"/>
              <w:right w:val="single" w:sz="4" w:space="0" w:color="auto"/>
            </w:tcBorders>
            <w:shd w:val="clear" w:color="auto" w:fill="00B0F0"/>
            <w:noWrap/>
            <w:vAlign w:val="center"/>
            <w:hideMark/>
          </w:tcPr>
          <w:p w14:paraId="64F60214" w14:textId="77777777" w:rsidR="00F561A7" w:rsidRPr="00A9330B" w:rsidRDefault="00F561A7" w:rsidP="00F561A7">
            <w:pPr>
              <w:spacing w:before="0" w:line="240" w:lineRule="auto"/>
              <w:jc w:val="center"/>
              <w:rPr>
                <w:rFonts w:cs="Arial"/>
                <w:b/>
                <w:bCs/>
                <w:color w:val="000000"/>
                <w:sz w:val="18"/>
                <w:szCs w:val="18"/>
                <w:lang w:eastAsia="fr-FR"/>
              </w:rPr>
            </w:pPr>
            <w:r w:rsidRPr="00A9330B">
              <w:rPr>
                <w:rFonts w:cs="Arial"/>
                <w:b/>
                <w:bCs/>
                <w:color w:val="000000"/>
                <w:sz w:val="18"/>
                <w:szCs w:val="18"/>
                <w:lang w:eastAsia="fr-FR"/>
              </w:rPr>
              <w:t>Sexe</w:t>
            </w:r>
          </w:p>
        </w:tc>
        <w:tc>
          <w:tcPr>
            <w:tcW w:w="3335" w:type="dxa"/>
            <w:tcBorders>
              <w:top w:val="single" w:sz="4" w:space="0" w:color="auto"/>
              <w:left w:val="nil"/>
              <w:bottom w:val="single" w:sz="4" w:space="0" w:color="auto"/>
              <w:right w:val="single" w:sz="4" w:space="0" w:color="auto"/>
            </w:tcBorders>
            <w:shd w:val="clear" w:color="auto" w:fill="00B0F0"/>
            <w:noWrap/>
            <w:vAlign w:val="center"/>
            <w:hideMark/>
          </w:tcPr>
          <w:p w14:paraId="4CBA9FEB" w14:textId="77777777" w:rsidR="00F561A7" w:rsidRPr="00A9330B" w:rsidRDefault="00F561A7" w:rsidP="00F561A7">
            <w:pPr>
              <w:spacing w:before="0" w:line="240" w:lineRule="auto"/>
              <w:rPr>
                <w:rFonts w:cs="Arial"/>
                <w:b/>
                <w:bCs/>
                <w:color w:val="000000"/>
                <w:sz w:val="18"/>
                <w:szCs w:val="18"/>
                <w:lang w:eastAsia="fr-FR"/>
              </w:rPr>
            </w:pPr>
            <w:r w:rsidRPr="00A9330B">
              <w:rPr>
                <w:rFonts w:cs="Arial"/>
                <w:b/>
                <w:bCs/>
                <w:color w:val="000000"/>
                <w:sz w:val="18"/>
                <w:szCs w:val="18"/>
                <w:lang w:eastAsia="fr-FR"/>
              </w:rPr>
              <w:t>Occupations</w:t>
            </w:r>
          </w:p>
        </w:tc>
        <w:tc>
          <w:tcPr>
            <w:tcW w:w="1940" w:type="dxa"/>
            <w:tcBorders>
              <w:top w:val="single" w:sz="4" w:space="0" w:color="auto"/>
              <w:left w:val="nil"/>
              <w:bottom w:val="single" w:sz="4" w:space="0" w:color="auto"/>
              <w:right w:val="single" w:sz="4" w:space="0" w:color="auto"/>
            </w:tcBorders>
            <w:shd w:val="clear" w:color="auto" w:fill="00B0F0"/>
            <w:noWrap/>
            <w:vAlign w:val="center"/>
            <w:hideMark/>
          </w:tcPr>
          <w:p w14:paraId="2E95CE5E" w14:textId="77777777" w:rsidR="00F561A7" w:rsidRPr="00A9330B" w:rsidRDefault="00F561A7" w:rsidP="00F561A7">
            <w:pPr>
              <w:spacing w:before="0" w:line="240" w:lineRule="auto"/>
              <w:jc w:val="center"/>
              <w:rPr>
                <w:rFonts w:cs="Arial"/>
                <w:b/>
                <w:bCs/>
                <w:color w:val="000000"/>
                <w:sz w:val="18"/>
                <w:szCs w:val="18"/>
                <w:lang w:eastAsia="fr-FR"/>
              </w:rPr>
            </w:pPr>
            <w:r w:rsidRPr="00A9330B">
              <w:rPr>
                <w:rFonts w:cs="Arial"/>
                <w:b/>
                <w:bCs/>
                <w:color w:val="000000"/>
                <w:sz w:val="18"/>
                <w:szCs w:val="18"/>
                <w:lang w:eastAsia="fr-FR"/>
              </w:rPr>
              <w:t>%</w:t>
            </w:r>
          </w:p>
        </w:tc>
      </w:tr>
      <w:tr w:rsidR="00F561A7" w:rsidRPr="00A9330B" w14:paraId="6974B04B" w14:textId="77777777" w:rsidTr="00F561A7">
        <w:trPr>
          <w:trHeight w:val="302"/>
          <w:jc w:val="center"/>
        </w:trPr>
        <w:tc>
          <w:tcPr>
            <w:tcW w:w="1529"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4FF9C5CD" w14:textId="77777777" w:rsidR="00F561A7" w:rsidRPr="00A9330B" w:rsidRDefault="00F561A7" w:rsidP="00F561A7">
            <w:pPr>
              <w:spacing w:before="0" w:line="240" w:lineRule="auto"/>
              <w:jc w:val="center"/>
              <w:rPr>
                <w:rFonts w:cs="Arial"/>
                <w:b/>
                <w:bCs/>
                <w:color w:val="000000"/>
                <w:sz w:val="18"/>
                <w:szCs w:val="18"/>
                <w:lang w:eastAsia="fr-FR"/>
              </w:rPr>
            </w:pPr>
            <w:r w:rsidRPr="00A9330B">
              <w:rPr>
                <w:rFonts w:cs="Arial"/>
                <w:b/>
                <w:bCs/>
                <w:color w:val="000000"/>
                <w:sz w:val="18"/>
                <w:szCs w:val="18"/>
                <w:lang w:eastAsia="fr-FR"/>
              </w:rPr>
              <w:t>Femme</w:t>
            </w:r>
          </w:p>
        </w:tc>
        <w:tc>
          <w:tcPr>
            <w:tcW w:w="3335" w:type="dxa"/>
            <w:tcBorders>
              <w:top w:val="nil"/>
              <w:left w:val="nil"/>
              <w:bottom w:val="single" w:sz="4" w:space="0" w:color="auto"/>
              <w:right w:val="single" w:sz="4" w:space="0" w:color="auto"/>
            </w:tcBorders>
            <w:shd w:val="clear" w:color="auto" w:fill="auto"/>
            <w:noWrap/>
            <w:vAlign w:val="center"/>
            <w:hideMark/>
          </w:tcPr>
          <w:p w14:paraId="3C2620D7" w14:textId="77777777" w:rsidR="00F561A7" w:rsidRPr="00A9330B" w:rsidRDefault="00F561A7" w:rsidP="00F561A7">
            <w:pPr>
              <w:spacing w:before="0" w:line="240" w:lineRule="auto"/>
              <w:ind w:firstLineChars="100" w:firstLine="180"/>
              <w:rPr>
                <w:rFonts w:cs="Arial"/>
                <w:color w:val="000000"/>
                <w:sz w:val="18"/>
                <w:szCs w:val="18"/>
                <w:lang w:eastAsia="fr-FR"/>
              </w:rPr>
            </w:pPr>
            <w:r w:rsidRPr="00A9330B">
              <w:rPr>
                <w:rFonts w:cs="Arial"/>
                <w:color w:val="000000"/>
                <w:sz w:val="18"/>
                <w:szCs w:val="18"/>
                <w:lang w:eastAsia="fr-FR"/>
              </w:rPr>
              <w:t>Agent  Santé</w:t>
            </w:r>
          </w:p>
        </w:tc>
        <w:tc>
          <w:tcPr>
            <w:tcW w:w="1940" w:type="dxa"/>
            <w:tcBorders>
              <w:top w:val="nil"/>
              <w:left w:val="nil"/>
              <w:bottom w:val="single" w:sz="4" w:space="0" w:color="auto"/>
              <w:right w:val="single" w:sz="4" w:space="0" w:color="auto"/>
            </w:tcBorders>
            <w:shd w:val="clear" w:color="auto" w:fill="auto"/>
            <w:noWrap/>
            <w:vAlign w:val="center"/>
            <w:hideMark/>
          </w:tcPr>
          <w:p w14:paraId="1DC6AA01" w14:textId="77777777" w:rsidR="00F561A7" w:rsidRPr="00A9330B" w:rsidRDefault="00F561A7" w:rsidP="00F561A7">
            <w:pPr>
              <w:spacing w:before="0" w:line="240" w:lineRule="auto"/>
              <w:jc w:val="center"/>
              <w:rPr>
                <w:rFonts w:cs="Arial"/>
                <w:color w:val="000000"/>
                <w:sz w:val="18"/>
                <w:szCs w:val="18"/>
                <w:lang w:eastAsia="fr-FR"/>
              </w:rPr>
            </w:pPr>
            <w:r w:rsidRPr="00A9330B">
              <w:rPr>
                <w:rFonts w:cs="Arial"/>
                <w:color w:val="000000"/>
                <w:sz w:val="18"/>
                <w:szCs w:val="18"/>
                <w:lang w:eastAsia="fr-FR"/>
              </w:rPr>
              <w:t>0,49</w:t>
            </w:r>
          </w:p>
        </w:tc>
      </w:tr>
      <w:tr w:rsidR="00F561A7" w:rsidRPr="00A9330B" w14:paraId="4320B5F6" w14:textId="77777777" w:rsidTr="00F561A7">
        <w:trPr>
          <w:trHeight w:val="288"/>
          <w:jc w:val="center"/>
        </w:trPr>
        <w:tc>
          <w:tcPr>
            <w:tcW w:w="1529" w:type="dxa"/>
            <w:vMerge/>
            <w:tcBorders>
              <w:top w:val="nil"/>
              <w:left w:val="single" w:sz="4" w:space="0" w:color="auto"/>
              <w:bottom w:val="single" w:sz="4" w:space="0" w:color="000000"/>
              <w:right w:val="single" w:sz="4" w:space="0" w:color="auto"/>
            </w:tcBorders>
            <w:vAlign w:val="center"/>
            <w:hideMark/>
          </w:tcPr>
          <w:p w14:paraId="3C9C1579" w14:textId="77777777" w:rsidR="00F561A7" w:rsidRPr="00A9330B" w:rsidRDefault="00F561A7" w:rsidP="00F561A7">
            <w:pPr>
              <w:spacing w:before="0" w:line="240" w:lineRule="auto"/>
              <w:jc w:val="center"/>
              <w:rPr>
                <w:rFonts w:cs="Arial"/>
                <w:b/>
                <w:bCs/>
                <w:color w:val="000000"/>
                <w:sz w:val="18"/>
                <w:szCs w:val="18"/>
                <w:lang w:eastAsia="fr-FR"/>
              </w:rPr>
            </w:pPr>
          </w:p>
        </w:tc>
        <w:tc>
          <w:tcPr>
            <w:tcW w:w="3335" w:type="dxa"/>
            <w:tcBorders>
              <w:top w:val="nil"/>
              <w:left w:val="nil"/>
              <w:bottom w:val="single" w:sz="4" w:space="0" w:color="auto"/>
              <w:right w:val="single" w:sz="4" w:space="0" w:color="auto"/>
            </w:tcBorders>
            <w:shd w:val="clear" w:color="auto" w:fill="auto"/>
            <w:noWrap/>
            <w:vAlign w:val="center"/>
            <w:hideMark/>
          </w:tcPr>
          <w:p w14:paraId="4AF08FD5" w14:textId="77777777" w:rsidR="00F561A7" w:rsidRPr="00A9330B" w:rsidRDefault="00F561A7" w:rsidP="00F561A7">
            <w:pPr>
              <w:spacing w:before="0" w:line="240" w:lineRule="auto"/>
              <w:ind w:firstLineChars="100" w:firstLine="180"/>
              <w:rPr>
                <w:rFonts w:cs="Arial"/>
                <w:color w:val="000000"/>
                <w:sz w:val="18"/>
                <w:szCs w:val="18"/>
                <w:lang w:eastAsia="fr-FR"/>
              </w:rPr>
            </w:pPr>
            <w:r w:rsidRPr="00A9330B">
              <w:rPr>
                <w:rFonts w:cs="Arial"/>
                <w:color w:val="000000"/>
                <w:sz w:val="18"/>
                <w:szCs w:val="18"/>
                <w:lang w:eastAsia="fr-FR"/>
              </w:rPr>
              <w:t>Agents d'entretien</w:t>
            </w:r>
          </w:p>
        </w:tc>
        <w:tc>
          <w:tcPr>
            <w:tcW w:w="1940" w:type="dxa"/>
            <w:tcBorders>
              <w:top w:val="nil"/>
              <w:left w:val="nil"/>
              <w:bottom w:val="single" w:sz="4" w:space="0" w:color="auto"/>
              <w:right w:val="single" w:sz="4" w:space="0" w:color="auto"/>
            </w:tcBorders>
            <w:shd w:val="clear" w:color="auto" w:fill="auto"/>
            <w:noWrap/>
            <w:vAlign w:val="center"/>
            <w:hideMark/>
          </w:tcPr>
          <w:p w14:paraId="09CAC629" w14:textId="77777777" w:rsidR="00F561A7" w:rsidRPr="00A9330B" w:rsidRDefault="00F561A7" w:rsidP="00F561A7">
            <w:pPr>
              <w:spacing w:before="0" w:line="240" w:lineRule="auto"/>
              <w:jc w:val="center"/>
              <w:rPr>
                <w:rFonts w:cs="Arial"/>
                <w:color w:val="000000"/>
                <w:sz w:val="18"/>
                <w:szCs w:val="18"/>
                <w:lang w:eastAsia="fr-FR"/>
              </w:rPr>
            </w:pPr>
            <w:r w:rsidRPr="00A9330B">
              <w:rPr>
                <w:rFonts w:cs="Arial"/>
                <w:color w:val="000000"/>
                <w:sz w:val="18"/>
                <w:szCs w:val="18"/>
                <w:lang w:eastAsia="fr-FR"/>
              </w:rPr>
              <w:t>0,25</w:t>
            </w:r>
          </w:p>
        </w:tc>
      </w:tr>
      <w:tr w:rsidR="00F561A7" w:rsidRPr="00A9330B" w14:paraId="55AE3D72" w14:textId="77777777" w:rsidTr="00F561A7">
        <w:trPr>
          <w:trHeight w:val="288"/>
          <w:jc w:val="center"/>
        </w:trPr>
        <w:tc>
          <w:tcPr>
            <w:tcW w:w="1529" w:type="dxa"/>
            <w:vMerge/>
            <w:tcBorders>
              <w:top w:val="nil"/>
              <w:left w:val="single" w:sz="4" w:space="0" w:color="auto"/>
              <w:bottom w:val="single" w:sz="4" w:space="0" w:color="000000"/>
              <w:right w:val="single" w:sz="4" w:space="0" w:color="auto"/>
            </w:tcBorders>
            <w:vAlign w:val="center"/>
            <w:hideMark/>
          </w:tcPr>
          <w:p w14:paraId="58F17881" w14:textId="77777777" w:rsidR="00F561A7" w:rsidRPr="00A9330B" w:rsidRDefault="00F561A7" w:rsidP="00F561A7">
            <w:pPr>
              <w:spacing w:before="0" w:line="240" w:lineRule="auto"/>
              <w:jc w:val="center"/>
              <w:rPr>
                <w:rFonts w:cs="Arial"/>
                <w:b/>
                <w:bCs/>
                <w:color w:val="000000"/>
                <w:sz w:val="18"/>
                <w:szCs w:val="18"/>
                <w:lang w:eastAsia="fr-FR"/>
              </w:rPr>
            </w:pPr>
          </w:p>
        </w:tc>
        <w:tc>
          <w:tcPr>
            <w:tcW w:w="3335" w:type="dxa"/>
            <w:tcBorders>
              <w:top w:val="nil"/>
              <w:left w:val="nil"/>
              <w:bottom w:val="single" w:sz="4" w:space="0" w:color="auto"/>
              <w:right w:val="single" w:sz="4" w:space="0" w:color="auto"/>
            </w:tcBorders>
            <w:shd w:val="clear" w:color="auto" w:fill="auto"/>
            <w:noWrap/>
            <w:vAlign w:val="center"/>
            <w:hideMark/>
          </w:tcPr>
          <w:p w14:paraId="42A8DA69" w14:textId="77777777" w:rsidR="00F561A7" w:rsidRPr="00A9330B" w:rsidRDefault="00F561A7" w:rsidP="00F561A7">
            <w:pPr>
              <w:spacing w:before="0" w:line="240" w:lineRule="auto"/>
              <w:ind w:firstLineChars="100" w:firstLine="180"/>
              <w:rPr>
                <w:rFonts w:cs="Arial"/>
                <w:color w:val="000000"/>
                <w:sz w:val="18"/>
                <w:szCs w:val="18"/>
                <w:lang w:eastAsia="fr-FR"/>
              </w:rPr>
            </w:pPr>
            <w:r w:rsidRPr="00A9330B">
              <w:rPr>
                <w:rFonts w:cs="Arial"/>
                <w:color w:val="000000"/>
                <w:sz w:val="18"/>
                <w:szCs w:val="18"/>
                <w:lang w:eastAsia="fr-FR"/>
              </w:rPr>
              <w:t>Etudiant/ Elève</w:t>
            </w:r>
          </w:p>
        </w:tc>
        <w:tc>
          <w:tcPr>
            <w:tcW w:w="1940" w:type="dxa"/>
            <w:tcBorders>
              <w:top w:val="nil"/>
              <w:left w:val="nil"/>
              <w:bottom w:val="single" w:sz="4" w:space="0" w:color="auto"/>
              <w:right w:val="single" w:sz="4" w:space="0" w:color="auto"/>
            </w:tcBorders>
            <w:shd w:val="clear" w:color="auto" w:fill="auto"/>
            <w:noWrap/>
            <w:vAlign w:val="center"/>
            <w:hideMark/>
          </w:tcPr>
          <w:p w14:paraId="62CFB70C" w14:textId="77777777" w:rsidR="00F561A7" w:rsidRPr="00A9330B" w:rsidRDefault="00F561A7" w:rsidP="00F561A7">
            <w:pPr>
              <w:spacing w:before="0" w:line="240" w:lineRule="auto"/>
              <w:jc w:val="center"/>
              <w:rPr>
                <w:rFonts w:cs="Arial"/>
                <w:color w:val="000000"/>
                <w:sz w:val="18"/>
                <w:szCs w:val="18"/>
                <w:lang w:eastAsia="fr-FR"/>
              </w:rPr>
            </w:pPr>
            <w:r w:rsidRPr="00A9330B">
              <w:rPr>
                <w:rFonts w:cs="Arial"/>
                <w:color w:val="000000"/>
                <w:sz w:val="18"/>
                <w:szCs w:val="18"/>
                <w:lang w:eastAsia="fr-FR"/>
              </w:rPr>
              <w:t>0,74</w:t>
            </w:r>
          </w:p>
        </w:tc>
      </w:tr>
      <w:tr w:rsidR="00F561A7" w:rsidRPr="00A9330B" w14:paraId="6D961872" w14:textId="77777777" w:rsidTr="00F561A7">
        <w:trPr>
          <w:trHeight w:val="288"/>
          <w:jc w:val="center"/>
        </w:trPr>
        <w:tc>
          <w:tcPr>
            <w:tcW w:w="1529" w:type="dxa"/>
            <w:vMerge/>
            <w:tcBorders>
              <w:top w:val="nil"/>
              <w:left w:val="single" w:sz="4" w:space="0" w:color="auto"/>
              <w:bottom w:val="single" w:sz="4" w:space="0" w:color="000000"/>
              <w:right w:val="single" w:sz="4" w:space="0" w:color="auto"/>
            </w:tcBorders>
            <w:vAlign w:val="center"/>
            <w:hideMark/>
          </w:tcPr>
          <w:p w14:paraId="18782272" w14:textId="77777777" w:rsidR="00F561A7" w:rsidRPr="00A9330B" w:rsidRDefault="00F561A7" w:rsidP="00F561A7">
            <w:pPr>
              <w:spacing w:before="0" w:line="240" w:lineRule="auto"/>
              <w:jc w:val="center"/>
              <w:rPr>
                <w:rFonts w:cs="Arial"/>
                <w:b/>
                <w:bCs/>
                <w:color w:val="000000"/>
                <w:sz w:val="18"/>
                <w:szCs w:val="18"/>
                <w:lang w:eastAsia="fr-FR"/>
              </w:rPr>
            </w:pPr>
          </w:p>
        </w:tc>
        <w:tc>
          <w:tcPr>
            <w:tcW w:w="3335" w:type="dxa"/>
            <w:tcBorders>
              <w:top w:val="nil"/>
              <w:left w:val="nil"/>
              <w:bottom w:val="single" w:sz="4" w:space="0" w:color="auto"/>
              <w:right w:val="single" w:sz="4" w:space="0" w:color="auto"/>
            </w:tcBorders>
            <w:shd w:val="clear" w:color="auto" w:fill="auto"/>
            <w:noWrap/>
            <w:vAlign w:val="center"/>
            <w:hideMark/>
          </w:tcPr>
          <w:p w14:paraId="53CE35B2" w14:textId="77777777" w:rsidR="00F561A7" w:rsidRPr="00A9330B" w:rsidRDefault="00F561A7" w:rsidP="00F561A7">
            <w:pPr>
              <w:spacing w:before="0" w:line="240" w:lineRule="auto"/>
              <w:ind w:firstLineChars="100" w:firstLine="180"/>
              <w:rPr>
                <w:rFonts w:cs="Arial"/>
                <w:color w:val="000000"/>
                <w:sz w:val="18"/>
                <w:szCs w:val="18"/>
                <w:lang w:eastAsia="fr-FR"/>
              </w:rPr>
            </w:pPr>
            <w:r w:rsidRPr="00A9330B">
              <w:rPr>
                <w:rFonts w:cs="Arial"/>
                <w:color w:val="000000"/>
                <w:sz w:val="18"/>
                <w:szCs w:val="18"/>
                <w:lang w:eastAsia="fr-FR"/>
              </w:rPr>
              <w:t>Commerçant</w:t>
            </w:r>
          </w:p>
        </w:tc>
        <w:tc>
          <w:tcPr>
            <w:tcW w:w="1940" w:type="dxa"/>
            <w:tcBorders>
              <w:top w:val="nil"/>
              <w:left w:val="nil"/>
              <w:bottom w:val="single" w:sz="4" w:space="0" w:color="auto"/>
              <w:right w:val="single" w:sz="4" w:space="0" w:color="auto"/>
            </w:tcBorders>
            <w:shd w:val="clear" w:color="auto" w:fill="auto"/>
            <w:noWrap/>
            <w:vAlign w:val="center"/>
            <w:hideMark/>
          </w:tcPr>
          <w:p w14:paraId="28EED60A" w14:textId="77777777" w:rsidR="00F561A7" w:rsidRPr="00A9330B" w:rsidRDefault="00F561A7" w:rsidP="00F561A7">
            <w:pPr>
              <w:spacing w:before="0" w:line="240" w:lineRule="auto"/>
              <w:jc w:val="center"/>
              <w:rPr>
                <w:rFonts w:cs="Arial"/>
                <w:color w:val="000000"/>
                <w:sz w:val="18"/>
                <w:szCs w:val="18"/>
                <w:lang w:eastAsia="fr-FR"/>
              </w:rPr>
            </w:pPr>
            <w:r w:rsidRPr="00A9330B">
              <w:rPr>
                <w:rFonts w:cs="Arial"/>
                <w:color w:val="000000"/>
                <w:sz w:val="18"/>
                <w:szCs w:val="18"/>
                <w:lang w:eastAsia="fr-FR"/>
              </w:rPr>
              <w:t>4,20</w:t>
            </w:r>
          </w:p>
        </w:tc>
      </w:tr>
      <w:tr w:rsidR="00F561A7" w:rsidRPr="00A9330B" w14:paraId="4360812C" w14:textId="77777777" w:rsidTr="00F561A7">
        <w:trPr>
          <w:trHeight w:val="288"/>
          <w:jc w:val="center"/>
        </w:trPr>
        <w:tc>
          <w:tcPr>
            <w:tcW w:w="1529" w:type="dxa"/>
            <w:vMerge/>
            <w:tcBorders>
              <w:top w:val="nil"/>
              <w:left w:val="single" w:sz="4" w:space="0" w:color="auto"/>
              <w:bottom w:val="single" w:sz="4" w:space="0" w:color="000000"/>
              <w:right w:val="single" w:sz="4" w:space="0" w:color="auto"/>
            </w:tcBorders>
            <w:vAlign w:val="center"/>
            <w:hideMark/>
          </w:tcPr>
          <w:p w14:paraId="3234ACF3" w14:textId="77777777" w:rsidR="00F561A7" w:rsidRPr="00A9330B" w:rsidRDefault="00F561A7" w:rsidP="00F561A7">
            <w:pPr>
              <w:spacing w:before="0" w:line="240" w:lineRule="auto"/>
              <w:jc w:val="center"/>
              <w:rPr>
                <w:rFonts w:cs="Arial"/>
                <w:b/>
                <w:bCs/>
                <w:color w:val="000000"/>
                <w:sz w:val="18"/>
                <w:szCs w:val="18"/>
                <w:lang w:eastAsia="fr-FR"/>
              </w:rPr>
            </w:pPr>
          </w:p>
        </w:tc>
        <w:tc>
          <w:tcPr>
            <w:tcW w:w="3335" w:type="dxa"/>
            <w:tcBorders>
              <w:top w:val="nil"/>
              <w:left w:val="nil"/>
              <w:bottom w:val="single" w:sz="4" w:space="0" w:color="auto"/>
              <w:right w:val="single" w:sz="4" w:space="0" w:color="auto"/>
            </w:tcBorders>
            <w:shd w:val="clear" w:color="auto" w:fill="auto"/>
            <w:noWrap/>
            <w:vAlign w:val="center"/>
            <w:hideMark/>
          </w:tcPr>
          <w:p w14:paraId="29DBB088" w14:textId="77777777" w:rsidR="00F561A7" w:rsidRPr="00A9330B" w:rsidRDefault="00F561A7" w:rsidP="00F561A7">
            <w:pPr>
              <w:spacing w:before="0" w:line="240" w:lineRule="auto"/>
              <w:ind w:firstLineChars="100" w:firstLine="180"/>
              <w:rPr>
                <w:rFonts w:cs="Arial"/>
                <w:color w:val="000000"/>
                <w:sz w:val="18"/>
                <w:szCs w:val="18"/>
                <w:lang w:eastAsia="fr-FR"/>
              </w:rPr>
            </w:pPr>
            <w:r w:rsidRPr="00A9330B">
              <w:rPr>
                <w:rFonts w:cs="Arial"/>
                <w:color w:val="000000"/>
                <w:sz w:val="18"/>
                <w:szCs w:val="18"/>
                <w:lang w:eastAsia="fr-FR"/>
              </w:rPr>
              <w:t>Conseiller social</w:t>
            </w:r>
          </w:p>
        </w:tc>
        <w:tc>
          <w:tcPr>
            <w:tcW w:w="1940" w:type="dxa"/>
            <w:tcBorders>
              <w:top w:val="nil"/>
              <w:left w:val="nil"/>
              <w:bottom w:val="single" w:sz="4" w:space="0" w:color="auto"/>
              <w:right w:val="single" w:sz="4" w:space="0" w:color="auto"/>
            </w:tcBorders>
            <w:shd w:val="clear" w:color="auto" w:fill="auto"/>
            <w:noWrap/>
            <w:vAlign w:val="center"/>
            <w:hideMark/>
          </w:tcPr>
          <w:p w14:paraId="6C102B78" w14:textId="77777777" w:rsidR="00F561A7" w:rsidRPr="00A9330B" w:rsidRDefault="00F561A7" w:rsidP="00F561A7">
            <w:pPr>
              <w:spacing w:before="0" w:line="240" w:lineRule="auto"/>
              <w:jc w:val="center"/>
              <w:rPr>
                <w:rFonts w:cs="Arial"/>
                <w:color w:val="000000"/>
                <w:sz w:val="18"/>
                <w:szCs w:val="18"/>
                <w:lang w:eastAsia="fr-FR"/>
              </w:rPr>
            </w:pPr>
            <w:r w:rsidRPr="00A9330B">
              <w:rPr>
                <w:rFonts w:cs="Arial"/>
                <w:color w:val="000000"/>
                <w:sz w:val="18"/>
                <w:szCs w:val="18"/>
                <w:lang w:eastAsia="fr-FR"/>
              </w:rPr>
              <w:t>0,25</w:t>
            </w:r>
          </w:p>
        </w:tc>
      </w:tr>
      <w:tr w:rsidR="00F561A7" w:rsidRPr="00A9330B" w14:paraId="08675B41" w14:textId="77777777" w:rsidTr="00F561A7">
        <w:trPr>
          <w:trHeight w:val="288"/>
          <w:jc w:val="center"/>
        </w:trPr>
        <w:tc>
          <w:tcPr>
            <w:tcW w:w="1529" w:type="dxa"/>
            <w:vMerge/>
            <w:tcBorders>
              <w:top w:val="nil"/>
              <w:left w:val="single" w:sz="4" w:space="0" w:color="auto"/>
              <w:bottom w:val="single" w:sz="4" w:space="0" w:color="000000"/>
              <w:right w:val="single" w:sz="4" w:space="0" w:color="auto"/>
            </w:tcBorders>
            <w:vAlign w:val="center"/>
            <w:hideMark/>
          </w:tcPr>
          <w:p w14:paraId="68484215" w14:textId="77777777" w:rsidR="00F561A7" w:rsidRPr="00A9330B" w:rsidRDefault="00F561A7" w:rsidP="00F561A7">
            <w:pPr>
              <w:spacing w:before="0" w:line="240" w:lineRule="auto"/>
              <w:jc w:val="center"/>
              <w:rPr>
                <w:rFonts w:cs="Arial"/>
                <w:b/>
                <w:bCs/>
                <w:color w:val="000000"/>
                <w:sz w:val="18"/>
                <w:szCs w:val="18"/>
                <w:lang w:eastAsia="fr-FR"/>
              </w:rPr>
            </w:pPr>
          </w:p>
        </w:tc>
        <w:tc>
          <w:tcPr>
            <w:tcW w:w="3335" w:type="dxa"/>
            <w:tcBorders>
              <w:top w:val="nil"/>
              <w:left w:val="nil"/>
              <w:bottom w:val="single" w:sz="4" w:space="0" w:color="auto"/>
              <w:right w:val="single" w:sz="4" w:space="0" w:color="auto"/>
            </w:tcBorders>
            <w:shd w:val="clear" w:color="auto" w:fill="auto"/>
            <w:noWrap/>
            <w:vAlign w:val="center"/>
            <w:hideMark/>
          </w:tcPr>
          <w:p w14:paraId="371C1C4F" w14:textId="77777777" w:rsidR="00F561A7" w:rsidRPr="00A9330B" w:rsidRDefault="00F561A7" w:rsidP="00F561A7">
            <w:pPr>
              <w:spacing w:before="0" w:line="240" w:lineRule="auto"/>
              <w:ind w:firstLineChars="100" w:firstLine="180"/>
              <w:rPr>
                <w:rFonts w:cs="Arial"/>
                <w:color w:val="000000"/>
                <w:sz w:val="18"/>
                <w:szCs w:val="18"/>
                <w:lang w:eastAsia="fr-FR"/>
              </w:rPr>
            </w:pPr>
            <w:r w:rsidRPr="00A9330B">
              <w:rPr>
                <w:rFonts w:cs="Arial"/>
                <w:color w:val="000000"/>
                <w:sz w:val="18"/>
                <w:szCs w:val="18"/>
                <w:lang w:eastAsia="fr-FR"/>
              </w:rPr>
              <w:t>Couturier/Tailleur</w:t>
            </w:r>
          </w:p>
        </w:tc>
        <w:tc>
          <w:tcPr>
            <w:tcW w:w="1940" w:type="dxa"/>
            <w:tcBorders>
              <w:top w:val="nil"/>
              <w:left w:val="nil"/>
              <w:bottom w:val="single" w:sz="4" w:space="0" w:color="auto"/>
              <w:right w:val="single" w:sz="4" w:space="0" w:color="auto"/>
            </w:tcBorders>
            <w:shd w:val="clear" w:color="auto" w:fill="auto"/>
            <w:noWrap/>
            <w:vAlign w:val="center"/>
            <w:hideMark/>
          </w:tcPr>
          <w:p w14:paraId="4C76E621" w14:textId="77777777" w:rsidR="00F561A7" w:rsidRPr="00A9330B" w:rsidRDefault="00F561A7" w:rsidP="00F561A7">
            <w:pPr>
              <w:spacing w:before="0" w:line="240" w:lineRule="auto"/>
              <w:jc w:val="center"/>
              <w:rPr>
                <w:rFonts w:cs="Arial"/>
                <w:color w:val="000000"/>
                <w:sz w:val="18"/>
                <w:szCs w:val="18"/>
                <w:lang w:eastAsia="fr-FR"/>
              </w:rPr>
            </w:pPr>
            <w:r w:rsidRPr="00A9330B">
              <w:rPr>
                <w:rFonts w:cs="Arial"/>
                <w:color w:val="000000"/>
                <w:sz w:val="18"/>
                <w:szCs w:val="18"/>
                <w:lang w:eastAsia="fr-FR"/>
              </w:rPr>
              <w:t>2,22</w:t>
            </w:r>
          </w:p>
        </w:tc>
      </w:tr>
      <w:tr w:rsidR="00F561A7" w:rsidRPr="00A9330B" w14:paraId="1448FB28" w14:textId="77777777" w:rsidTr="00F561A7">
        <w:trPr>
          <w:trHeight w:val="288"/>
          <w:jc w:val="center"/>
        </w:trPr>
        <w:tc>
          <w:tcPr>
            <w:tcW w:w="1529" w:type="dxa"/>
            <w:vMerge/>
            <w:tcBorders>
              <w:top w:val="nil"/>
              <w:left w:val="single" w:sz="4" w:space="0" w:color="auto"/>
              <w:bottom w:val="single" w:sz="4" w:space="0" w:color="000000"/>
              <w:right w:val="single" w:sz="4" w:space="0" w:color="auto"/>
            </w:tcBorders>
            <w:vAlign w:val="center"/>
            <w:hideMark/>
          </w:tcPr>
          <w:p w14:paraId="0024893C" w14:textId="77777777" w:rsidR="00F561A7" w:rsidRPr="00A9330B" w:rsidRDefault="00F561A7" w:rsidP="00F561A7">
            <w:pPr>
              <w:spacing w:before="0" w:line="240" w:lineRule="auto"/>
              <w:jc w:val="center"/>
              <w:rPr>
                <w:rFonts w:cs="Arial"/>
                <w:b/>
                <w:bCs/>
                <w:color w:val="000000"/>
                <w:sz w:val="18"/>
                <w:szCs w:val="18"/>
                <w:lang w:eastAsia="fr-FR"/>
              </w:rPr>
            </w:pPr>
          </w:p>
        </w:tc>
        <w:tc>
          <w:tcPr>
            <w:tcW w:w="3335" w:type="dxa"/>
            <w:tcBorders>
              <w:top w:val="nil"/>
              <w:left w:val="nil"/>
              <w:bottom w:val="single" w:sz="4" w:space="0" w:color="auto"/>
              <w:right w:val="single" w:sz="4" w:space="0" w:color="auto"/>
            </w:tcBorders>
            <w:shd w:val="clear" w:color="auto" w:fill="auto"/>
            <w:noWrap/>
            <w:vAlign w:val="center"/>
            <w:hideMark/>
          </w:tcPr>
          <w:p w14:paraId="14B17441" w14:textId="77777777" w:rsidR="00F561A7" w:rsidRPr="00A9330B" w:rsidRDefault="00F561A7" w:rsidP="00F561A7">
            <w:pPr>
              <w:spacing w:before="0" w:line="240" w:lineRule="auto"/>
              <w:ind w:firstLineChars="100" w:firstLine="180"/>
              <w:rPr>
                <w:rFonts w:cs="Arial"/>
                <w:color w:val="000000"/>
                <w:sz w:val="18"/>
                <w:szCs w:val="18"/>
                <w:lang w:eastAsia="fr-FR"/>
              </w:rPr>
            </w:pPr>
            <w:r w:rsidRPr="00A9330B">
              <w:rPr>
                <w:rFonts w:cs="Arial"/>
                <w:color w:val="000000"/>
                <w:sz w:val="18"/>
                <w:szCs w:val="18"/>
                <w:lang w:eastAsia="fr-FR"/>
              </w:rPr>
              <w:t>Ecrivain</w:t>
            </w:r>
          </w:p>
        </w:tc>
        <w:tc>
          <w:tcPr>
            <w:tcW w:w="1940" w:type="dxa"/>
            <w:tcBorders>
              <w:top w:val="nil"/>
              <w:left w:val="nil"/>
              <w:bottom w:val="single" w:sz="4" w:space="0" w:color="auto"/>
              <w:right w:val="single" w:sz="4" w:space="0" w:color="auto"/>
            </w:tcBorders>
            <w:shd w:val="clear" w:color="auto" w:fill="auto"/>
            <w:noWrap/>
            <w:vAlign w:val="center"/>
            <w:hideMark/>
          </w:tcPr>
          <w:p w14:paraId="76C59097" w14:textId="77777777" w:rsidR="00F561A7" w:rsidRPr="00A9330B" w:rsidRDefault="00F561A7" w:rsidP="00F561A7">
            <w:pPr>
              <w:spacing w:before="0" w:line="240" w:lineRule="auto"/>
              <w:jc w:val="center"/>
              <w:rPr>
                <w:rFonts w:cs="Arial"/>
                <w:color w:val="000000"/>
                <w:sz w:val="18"/>
                <w:szCs w:val="18"/>
                <w:lang w:eastAsia="fr-FR"/>
              </w:rPr>
            </w:pPr>
            <w:r w:rsidRPr="00A9330B">
              <w:rPr>
                <w:rFonts w:cs="Arial"/>
                <w:color w:val="000000"/>
                <w:sz w:val="18"/>
                <w:szCs w:val="18"/>
                <w:lang w:eastAsia="fr-FR"/>
              </w:rPr>
              <w:t>0,25</w:t>
            </w:r>
          </w:p>
        </w:tc>
      </w:tr>
      <w:tr w:rsidR="00F561A7" w:rsidRPr="00A9330B" w14:paraId="7B86E62B" w14:textId="77777777" w:rsidTr="00F561A7">
        <w:trPr>
          <w:trHeight w:val="288"/>
          <w:jc w:val="center"/>
        </w:trPr>
        <w:tc>
          <w:tcPr>
            <w:tcW w:w="1529" w:type="dxa"/>
            <w:vMerge/>
            <w:tcBorders>
              <w:top w:val="nil"/>
              <w:left w:val="single" w:sz="4" w:space="0" w:color="auto"/>
              <w:bottom w:val="single" w:sz="4" w:space="0" w:color="000000"/>
              <w:right w:val="single" w:sz="4" w:space="0" w:color="auto"/>
            </w:tcBorders>
            <w:vAlign w:val="center"/>
            <w:hideMark/>
          </w:tcPr>
          <w:p w14:paraId="4ED7F4CA" w14:textId="77777777" w:rsidR="00F561A7" w:rsidRPr="00A9330B" w:rsidRDefault="00F561A7" w:rsidP="00F561A7">
            <w:pPr>
              <w:spacing w:before="0" w:line="240" w:lineRule="auto"/>
              <w:jc w:val="center"/>
              <w:rPr>
                <w:rFonts w:cs="Arial"/>
                <w:b/>
                <w:bCs/>
                <w:color w:val="000000"/>
                <w:sz w:val="18"/>
                <w:szCs w:val="18"/>
                <w:lang w:eastAsia="fr-FR"/>
              </w:rPr>
            </w:pPr>
          </w:p>
        </w:tc>
        <w:tc>
          <w:tcPr>
            <w:tcW w:w="3335" w:type="dxa"/>
            <w:tcBorders>
              <w:top w:val="nil"/>
              <w:left w:val="nil"/>
              <w:bottom w:val="single" w:sz="4" w:space="0" w:color="auto"/>
              <w:right w:val="single" w:sz="4" w:space="0" w:color="auto"/>
            </w:tcBorders>
            <w:shd w:val="clear" w:color="auto" w:fill="auto"/>
            <w:noWrap/>
            <w:vAlign w:val="center"/>
            <w:hideMark/>
          </w:tcPr>
          <w:p w14:paraId="4DD6B941" w14:textId="77777777" w:rsidR="00F561A7" w:rsidRPr="00A9330B" w:rsidRDefault="00F561A7" w:rsidP="00F561A7">
            <w:pPr>
              <w:spacing w:before="0" w:line="240" w:lineRule="auto"/>
              <w:ind w:firstLineChars="100" w:firstLine="180"/>
              <w:rPr>
                <w:rFonts w:cs="Arial"/>
                <w:color w:val="000000"/>
                <w:sz w:val="18"/>
                <w:szCs w:val="18"/>
                <w:lang w:eastAsia="fr-FR"/>
              </w:rPr>
            </w:pPr>
            <w:r w:rsidRPr="00A9330B">
              <w:rPr>
                <w:rFonts w:cs="Arial"/>
                <w:color w:val="000000"/>
                <w:sz w:val="18"/>
                <w:szCs w:val="18"/>
                <w:lang w:eastAsia="fr-FR"/>
              </w:rPr>
              <w:t>Éleveur</w:t>
            </w:r>
          </w:p>
        </w:tc>
        <w:tc>
          <w:tcPr>
            <w:tcW w:w="1940" w:type="dxa"/>
            <w:tcBorders>
              <w:top w:val="nil"/>
              <w:left w:val="nil"/>
              <w:bottom w:val="single" w:sz="4" w:space="0" w:color="auto"/>
              <w:right w:val="single" w:sz="4" w:space="0" w:color="auto"/>
            </w:tcBorders>
            <w:shd w:val="clear" w:color="auto" w:fill="auto"/>
            <w:noWrap/>
            <w:vAlign w:val="center"/>
            <w:hideMark/>
          </w:tcPr>
          <w:p w14:paraId="418DE494" w14:textId="77777777" w:rsidR="00F561A7" w:rsidRPr="00A9330B" w:rsidRDefault="00F561A7" w:rsidP="00F561A7">
            <w:pPr>
              <w:spacing w:before="0" w:line="240" w:lineRule="auto"/>
              <w:jc w:val="center"/>
              <w:rPr>
                <w:rFonts w:cs="Arial"/>
                <w:color w:val="000000"/>
                <w:sz w:val="18"/>
                <w:szCs w:val="18"/>
                <w:lang w:eastAsia="fr-FR"/>
              </w:rPr>
            </w:pPr>
            <w:r w:rsidRPr="00A9330B">
              <w:rPr>
                <w:rFonts w:cs="Arial"/>
                <w:color w:val="000000"/>
                <w:sz w:val="18"/>
                <w:szCs w:val="18"/>
                <w:lang w:eastAsia="fr-FR"/>
              </w:rPr>
              <w:t>0,25</w:t>
            </w:r>
          </w:p>
        </w:tc>
      </w:tr>
      <w:tr w:rsidR="00F561A7" w:rsidRPr="00A9330B" w14:paraId="198609B4" w14:textId="77777777" w:rsidTr="00F561A7">
        <w:trPr>
          <w:trHeight w:val="288"/>
          <w:jc w:val="center"/>
        </w:trPr>
        <w:tc>
          <w:tcPr>
            <w:tcW w:w="1529" w:type="dxa"/>
            <w:vMerge/>
            <w:tcBorders>
              <w:top w:val="nil"/>
              <w:left w:val="single" w:sz="4" w:space="0" w:color="auto"/>
              <w:bottom w:val="single" w:sz="4" w:space="0" w:color="000000"/>
              <w:right w:val="single" w:sz="4" w:space="0" w:color="auto"/>
            </w:tcBorders>
            <w:vAlign w:val="center"/>
            <w:hideMark/>
          </w:tcPr>
          <w:p w14:paraId="0138E8C0" w14:textId="77777777" w:rsidR="00F561A7" w:rsidRPr="00A9330B" w:rsidRDefault="00F561A7" w:rsidP="00F561A7">
            <w:pPr>
              <w:spacing w:before="0" w:line="240" w:lineRule="auto"/>
              <w:jc w:val="center"/>
              <w:rPr>
                <w:rFonts w:cs="Arial"/>
                <w:b/>
                <w:bCs/>
                <w:color w:val="000000"/>
                <w:sz w:val="18"/>
                <w:szCs w:val="18"/>
                <w:lang w:eastAsia="fr-FR"/>
              </w:rPr>
            </w:pPr>
          </w:p>
        </w:tc>
        <w:tc>
          <w:tcPr>
            <w:tcW w:w="3335" w:type="dxa"/>
            <w:tcBorders>
              <w:top w:val="nil"/>
              <w:left w:val="nil"/>
              <w:bottom w:val="single" w:sz="4" w:space="0" w:color="auto"/>
              <w:right w:val="single" w:sz="4" w:space="0" w:color="auto"/>
            </w:tcBorders>
            <w:shd w:val="clear" w:color="auto" w:fill="auto"/>
            <w:noWrap/>
            <w:vAlign w:val="center"/>
            <w:hideMark/>
          </w:tcPr>
          <w:p w14:paraId="7F45BB3A" w14:textId="77777777" w:rsidR="00F561A7" w:rsidRPr="00A9330B" w:rsidRDefault="00F561A7" w:rsidP="00F561A7">
            <w:pPr>
              <w:spacing w:before="0" w:line="240" w:lineRule="auto"/>
              <w:ind w:firstLineChars="100" w:firstLine="180"/>
              <w:rPr>
                <w:rFonts w:cs="Arial"/>
                <w:color w:val="000000"/>
                <w:sz w:val="18"/>
                <w:szCs w:val="18"/>
                <w:lang w:eastAsia="fr-FR"/>
              </w:rPr>
            </w:pPr>
            <w:r w:rsidRPr="00A9330B">
              <w:rPr>
                <w:rFonts w:cs="Arial"/>
                <w:color w:val="000000"/>
                <w:sz w:val="18"/>
                <w:szCs w:val="18"/>
                <w:lang w:eastAsia="fr-FR"/>
              </w:rPr>
              <w:t>Enseignant</w:t>
            </w:r>
          </w:p>
        </w:tc>
        <w:tc>
          <w:tcPr>
            <w:tcW w:w="1940" w:type="dxa"/>
            <w:tcBorders>
              <w:top w:val="nil"/>
              <w:left w:val="nil"/>
              <w:bottom w:val="single" w:sz="4" w:space="0" w:color="auto"/>
              <w:right w:val="single" w:sz="4" w:space="0" w:color="auto"/>
            </w:tcBorders>
            <w:shd w:val="clear" w:color="auto" w:fill="auto"/>
            <w:noWrap/>
            <w:vAlign w:val="center"/>
            <w:hideMark/>
          </w:tcPr>
          <w:p w14:paraId="312CAA17" w14:textId="77777777" w:rsidR="00F561A7" w:rsidRPr="00A9330B" w:rsidRDefault="00F561A7" w:rsidP="00F561A7">
            <w:pPr>
              <w:spacing w:before="0" w:line="240" w:lineRule="auto"/>
              <w:jc w:val="center"/>
              <w:rPr>
                <w:rFonts w:cs="Arial"/>
                <w:color w:val="000000"/>
                <w:sz w:val="18"/>
                <w:szCs w:val="18"/>
                <w:lang w:eastAsia="fr-FR"/>
              </w:rPr>
            </w:pPr>
            <w:r w:rsidRPr="00A9330B">
              <w:rPr>
                <w:rFonts w:cs="Arial"/>
                <w:color w:val="000000"/>
                <w:sz w:val="18"/>
                <w:szCs w:val="18"/>
                <w:lang w:eastAsia="fr-FR"/>
              </w:rPr>
              <w:t>0,25</w:t>
            </w:r>
          </w:p>
        </w:tc>
      </w:tr>
      <w:tr w:rsidR="00F561A7" w:rsidRPr="00A9330B" w14:paraId="68098960" w14:textId="77777777" w:rsidTr="00F561A7">
        <w:trPr>
          <w:trHeight w:val="288"/>
          <w:jc w:val="center"/>
        </w:trPr>
        <w:tc>
          <w:tcPr>
            <w:tcW w:w="1529" w:type="dxa"/>
            <w:vMerge/>
            <w:tcBorders>
              <w:top w:val="nil"/>
              <w:left w:val="single" w:sz="4" w:space="0" w:color="auto"/>
              <w:bottom w:val="single" w:sz="4" w:space="0" w:color="000000"/>
              <w:right w:val="single" w:sz="4" w:space="0" w:color="auto"/>
            </w:tcBorders>
            <w:vAlign w:val="center"/>
            <w:hideMark/>
          </w:tcPr>
          <w:p w14:paraId="462EED98" w14:textId="77777777" w:rsidR="00F561A7" w:rsidRPr="00A9330B" w:rsidRDefault="00F561A7" w:rsidP="00F561A7">
            <w:pPr>
              <w:spacing w:before="0" w:line="240" w:lineRule="auto"/>
              <w:jc w:val="center"/>
              <w:rPr>
                <w:rFonts w:cs="Arial"/>
                <w:b/>
                <w:bCs/>
                <w:color w:val="000000"/>
                <w:sz w:val="18"/>
                <w:szCs w:val="18"/>
                <w:lang w:eastAsia="fr-FR"/>
              </w:rPr>
            </w:pPr>
          </w:p>
        </w:tc>
        <w:tc>
          <w:tcPr>
            <w:tcW w:w="3335" w:type="dxa"/>
            <w:tcBorders>
              <w:top w:val="nil"/>
              <w:left w:val="nil"/>
              <w:bottom w:val="single" w:sz="4" w:space="0" w:color="auto"/>
              <w:right w:val="single" w:sz="4" w:space="0" w:color="auto"/>
            </w:tcBorders>
            <w:shd w:val="clear" w:color="auto" w:fill="auto"/>
            <w:noWrap/>
            <w:vAlign w:val="center"/>
            <w:hideMark/>
          </w:tcPr>
          <w:p w14:paraId="115DCAB2" w14:textId="77777777" w:rsidR="00F561A7" w:rsidRPr="00A9330B" w:rsidRDefault="00F561A7" w:rsidP="00F561A7">
            <w:pPr>
              <w:spacing w:before="0" w:line="240" w:lineRule="auto"/>
              <w:ind w:firstLineChars="100" w:firstLine="180"/>
              <w:rPr>
                <w:rFonts w:cs="Arial"/>
                <w:color w:val="000000"/>
                <w:sz w:val="18"/>
                <w:szCs w:val="18"/>
                <w:lang w:eastAsia="fr-FR"/>
              </w:rPr>
            </w:pPr>
            <w:r w:rsidRPr="00A9330B">
              <w:rPr>
                <w:rFonts w:cs="Arial"/>
                <w:color w:val="000000"/>
                <w:sz w:val="18"/>
                <w:szCs w:val="18"/>
                <w:lang w:eastAsia="fr-FR"/>
              </w:rPr>
              <w:t>Entrepreneur</w:t>
            </w:r>
          </w:p>
        </w:tc>
        <w:tc>
          <w:tcPr>
            <w:tcW w:w="1940" w:type="dxa"/>
            <w:tcBorders>
              <w:top w:val="nil"/>
              <w:left w:val="nil"/>
              <w:bottom w:val="single" w:sz="4" w:space="0" w:color="auto"/>
              <w:right w:val="single" w:sz="4" w:space="0" w:color="auto"/>
            </w:tcBorders>
            <w:shd w:val="clear" w:color="auto" w:fill="auto"/>
            <w:noWrap/>
            <w:vAlign w:val="center"/>
            <w:hideMark/>
          </w:tcPr>
          <w:p w14:paraId="5635C669" w14:textId="77777777" w:rsidR="00F561A7" w:rsidRPr="00A9330B" w:rsidRDefault="00F561A7" w:rsidP="00F561A7">
            <w:pPr>
              <w:spacing w:before="0" w:line="240" w:lineRule="auto"/>
              <w:jc w:val="center"/>
              <w:rPr>
                <w:rFonts w:cs="Arial"/>
                <w:color w:val="000000"/>
                <w:sz w:val="18"/>
                <w:szCs w:val="18"/>
                <w:lang w:eastAsia="fr-FR"/>
              </w:rPr>
            </w:pPr>
            <w:r w:rsidRPr="00A9330B">
              <w:rPr>
                <w:rFonts w:cs="Arial"/>
                <w:color w:val="000000"/>
                <w:sz w:val="18"/>
                <w:szCs w:val="18"/>
                <w:lang w:eastAsia="fr-FR"/>
              </w:rPr>
              <w:t>0,25</w:t>
            </w:r>
          </w:p>
        </w:tc>
      </w:tr>
      <w:tr w:rsidR="00F561A7" w:rsidRPr="00A9330B" w14:paraId="5EF00600" w14:textId="77777777" w:rsidTr="00F561A7">
        <w:trPr>
          <w:trHeight w:val="288"/>
          <w:jc w:val="center"/>
        </w:trPr>
        <w:tc>
          <w:tcPr>
            <w:tcW w:w="1529" w:type="dxa"/>
            <w:vMerge/>
            <w:tcBorders>
              <w:top w:val="nil"/>
              <w:left w:val="single" w:sz="4" w:space="0" w:color="auto"/>
              <w:bottom w:val="single" w:sz="4" w:space="0" w:color="000000"/>
              <w:right w:val="single" w:sz="4" w:space="0" w:color="auto"/>
            </w:tcBorders>
            <w:vAlign w:val="center"/>
            <w:hideMark/>
          </w:tcPr>
          <w:p w14:paraId="50E822E8" w14:textId="77777777" w:rsidR="00F561A7" w:rsidRPr="00A9330B" w:rsidRDefault="00F561A7" w:rsidP="00F561A7">
            <w:pPr>
              <w:spacing w:before="0" w:line="240" w:lineRule="auto"/>
              <w:jc w:val="center"/>
              <w:rPr>
                <w:rFonts w:cs="Arial"/>
                <w:b/>
                <w:bCs/>
                <w:color w:val="000000"/>
                <w:sz w:val="18"/>
                <w:szCs w:val="18"/>
                <w:lang w:eastAsia="fr-FR"/>
              </w:rPr>
            </w:pPr>
          </w:p>
        </w:tc>
        <w:tc>
          <w:tcPr>
            <w:tcW w:w="3335" w:type="dxa"/>
            <w:tcBorders>
              <w:top w:val="nil"/>
              <w:left w:val="nil"/>
              <w:bottom w:val="single" w:sz="4" w:space="0" w:color="auto"/>
              <w:right w:val="single" w:sz="4" w:space="0" w:color="auto"/>
            </w:tcBorders>
            <w:shd w:val="clear" w:color="auto" w:fill="auto"/>
            <w:noWrap/>
            <w:vAlign w:val="center"/>
            <w:hideMark/>
          </w:tcPr>
          <w:p w14:paraId="749001DC" w14:textId="77777777" w:rsidR="00F561A7" w:rsidRPr="00A9330B" w:rsidRDefault="00F561A7" w:rsidP="00F561A7">
            <w:pPr>
              <w:spacing w:before="0" w:line="240" w:lineRule="auto"/>
              <w:ind w:firstLineChars="100" w:firstLine="180"/>
              <w:rPr>
                <w:rFonts w:cs="Arial"/>
                <w:color w:val="000000"/>
                <w:sz w:val="18"/>
                <w:szCs w:val="18"/>
                <w:lang w:eastAsia="fr-FR"/>
              </w:rPr>
            </w:pPr>
            <w:r w:rsidRPr="00A9330B">
              <w:rPr>
                <w:rFonts w:cs="Arial"/>
                <w:color w:val="000000"/>
                <w:sz w:val="18"/>
                <w:szCs w:val="18"/>
                <w:lang w:eastAsia="fr-FR"/>
              </w:rPr>
              <w:t>Informaticien</w:t>
            </w:r>
          </w:p>
        </w:tc>
        <w:tc>
          <w:tcPr>
            <w:tcW w:w="1940" w:type="dxa"/>
            <w:tcBorders>
              <w:top w:val="nil"/>
              <w:left w:val="nil"/>
              <w:bottom w:val="single" w:sz="4" w:space="0" w:color="auto"/>
              <w:right w:val="single" w:sz="4" w:space="0" w:color="auto"/>
            </w:tcBorders>
            <w:shd w:val="clear" w:color="auto" w:fill="auto"/>
            <w:noWrap/>
            <w:vAlign w:val="center"/>
            <w:hideMark/>
          </w:tcPr>
          <w:p w14:paraId="53A43E1F" w14:textId="77777777" w:rsidR="00F561A7" w:rsidRPr="00A9330B" w:rsidRDefault="00F561A7" w:rsidP="00F561A7">
            <w:pPr>
              <w:spacing w:before="0" w:line="240" w:lineRule="auto"/>
              <w:jc w:val="center"/>
              <w:rPr>
                <w:rFonts w:cs="Arial"/>
                <w:color w:val="000000"/>
                <w:sz w:val="18"/>
                <w:szCs w:val="18"/>
                <w:lang w:eastAsia="fr-FR"/>
              </w:rPr>
            </w:pPr>
            <w:r w:rsidRPr="00A9330B">
              <w:rPr>
                <w:rFonts w:cs="Arial"/>
                <w:color w:val="000000"/>
                <w:sz w:val="18"/>
                <w:szCs w:val="18"/>
                <w:lang w:eastAsia="fr-FR"/>
              </w:rPr>
              <w:t>0,74</w:t>
            </w:r>
          </w:p>
        </w:tc>
      </w:tr>
      <w:tr w:rsidR="00F561A7" w:rsidRPr="00A9330B" w14:paraId="2420075B" w14:textId="77777777" w:rsidTr="00F561A7">
        <w:trPr>
          <w:trHeight w:val="288"/>
          <w:jc w:val="center"/>
        </w:trPr>
        <w:tc>
          <w:tcPr>
            <w:tcW w:w="1529" w:type="dxa"/>
            <w:vMerge/>
            <w:tcBorders>
              <w:top w:val="nil"/>
              <w:left w:val="single" w:sz="4" w:space="0" w:color="auto"/>
              <w:bottom w:val="single" w:sz="4" w:space="0" w:color="000000"/>
              <w:right w:val="single" w:sz="4" w:space="0" w:color="auto"/>
            </w:tcBorders>
            <w:vAlign w:val="center"/>
            <w:hideMark/>
          </w:tcPr>
          <w:p w14:paraId="39230691" w14:textId="77777777" w:rsidR="00F561A7" w:rsidRPr="00A9330B" w:rsidRDefault="00F561A7" w:rsidP="00F561A7">
            <w:pPr>
              <w:spacing w:before="0" w:line="240" w:lineRule="auto"/>
              <w:jc w:val="center"/>
              <w:rPr>
                <w:rFonts w:cs="Arial"/>
                <w:b/>
                <w:bCs/>
                <w:color w:val="000000"/>
                <w:sz w:val="18"/>
                <w:szCs w:val="18"/>
                <w:lang w:eastAsia="fr-FR"/>
              </w:rPr>
            </w:pPr>
          </w:p>
        </w:tc>
        <w:tc>
          <w:tcPr>
            <w:tcW w:w="3335" w:type="dxa"/>
            <w:tcBorders>
              <w:top w:val="nil"/>
              <w:left w:val="nil"/>
              <w:bottom w:val="single" w:sz="4" w:space="0" w:color="auto"/>
              <w:right w:val="single" w:sz="4" w:space="0" w:color="auto"/>
            </w:tcBorders>
            <w:shd w:val="clear" w:color="auto" w:fill="auto"/>
            <w:noWrap/>
            <w:vAlign w:val="center"/>
            <w:hideMark/>
          </w:tcPr>
          <w:p w14:paraId="0FBFB6FB" w14:textId="77777777" w:rsidR="00F561A7" w:rsidRPr="00A9330B" w:rsidRDefault="00F561A7" w:rsidP="00F561A7">
            <w:pPr>
              <w:spacing w:before="0" w:line="240" w:lineRule="auto"/>
              <w:ind w:firstLineChars="100" w:firstLine="180"/>
              <w:rPr>
                <w:rFonts w:cs="Arial"/>
                <w:color w:val="000000"/>
                <w:sz w:val="18"/>
                <w:szCs w:val="18"/>
                <w:lang w:eastAsia="fr-FR"/>
              </w:rPr>
            </w:pPr>
            <w:r w:rsidRPr="00A9330B">
              <w:rPr>
                <w:rFonts w:cs="Arial"/>
                <w:color w:val="000000"/>
                <w:sz w:val="18"/>
                <w:szCs w:val="18"/>
                <w:lang w:eastAsia="fr-FR"/>
              </w:rPr>
              <w:t>Maraîcher</w:t>
            </w:r>
          </w:p>
        </w:tc>
        <w:tc>
          <w:tcPr>
            <w:tcW w:w="1940" w:type="dxa"/>
            <w:tcBorders>
              <w:top w:val="nil"/>
              <w:left w:val="nil"/>
              <w:bottom w:val="single" w:sz="4" w:space="0" w:color="auto"/>
              <w:right w:val="single" w:sz="4" w:space="0" w:color="auto"/>
            </w:tcBorders>
            <w:shd w:val="clear" w:color="auto" w:fill="auto"/>
            <w:noWrap/>
            <w:vAlign w:val="center"/>
            <w:hideMark/>
          </w:tcPr>
          <w:p w14:paraId="48DB678A" w14:textId="77777777" w:rsidR="00F561A7" w:rsidRPr="00A9330B" w:rsidRDefault="00F561A7" w:rsidP="00F561A7">
            <w:pPr>
              <w:spacing w:before="0" w:line="240" w:lineRule="auto"/>
              <w:jc w:val="center"/>
              <w:rPr>
                <w:rFonts w:cs="Arial"/>
                <w:color w:val="000000"/>
                <w:sz w:val="18"/>
                <w:szCs w:val="18"/>
                <w:lang w:eastAsia="fr-FR"/>
              </w:rPr>
            </w:pPr>
            <w:r w:rsidRPr="00A9330B">
              <w:rPr>
                <w:rFonts w:cs="Arial"/>
                <w:color w:val="000000"/>
                <w:sz w:val="18"/>
                <w:szCs w:val="18"/>
                <w:lang w:eastAsia="fr-FR"/>
              </w:rPr>
              <w:t>0,74</w:t>
            </w:r>
          </w:p>
        </w:tc>
      </w:tr>
      <w:tr w:rsidR="00F561A7" w:rsidRPr="00A9330B" w14:paraId="37B38F39" w14:textId="77777777" w:rsidTr="00F561A7">
        <w:trPr>
          <w:trHeight w:val="288"/>
          <w:jc w:val="center"/>
        </w:trPr>
        <w:tc>
          <w:tcPr>
            <w:tcW w:w="1529" w:type="dxa"/>
            <w:vMerge/>
            <w:tcBorders>
              <w:top w:val="nil"/>
              <w:left w:val="single" w:sz="4" w:space="0" w:color="auto"/>
              <w:bottom w:val="single" w:sz="4" w:space="0" w:color="000000"/>
              <w:right w:val="single" w:sz="4" w:space="0" w:color="auto"/>
            </w:tcBorders>
            <w:vAlign w:val="center"/>
            <w:hideMark/>
          </w:tcPr>
          <w:p w14:paraId="7BC6E8F3" w14:textId="77777777" w:rsidR="00F561A7" w:rsidRPr="00A9330B" w:rsidRDefault="00F561A7" w:rsidP="00F561A7">
            <w:pPr>
              <w:spacing w:before="0" w:line="240" w:lineRule="auto"/>
              <w:jc w:val="center"/>
              <w:rPr>
                <w:rFonts w:cs="Arial"/>
                <w:b/>
                <w:bCs/>
                <w:color w:val="000000"/>
                <w:sz w:val="18"/>
                <w:szCs w:val="18"/>
                <w:lang w:eastAsia="fr-FR"/>
              </w:rPr>
            </w:pPr>
          </w:p>
        </w:tc>
        <w:tc>
          <w:tcPr>
            <w:tcW w:w="3335" w:type="dxa"/>
            <w:tcBorders>
              <w:top w:val="nil"/>
              <w:left w:val="nil"/>
              <w:bottom w:val="single" w:sz="4" w:space="0" w:color="auto"/>
              <w:right w:val="single" w:sz="4" w:space="0" w:color="auto"/>
            </w:tcBorders>
            <w:shd w:val="clear" w:color="auto" w:fill="auto"/>
            <w:noWrap/>
            <w:vAlign w:val="center"/>
            <w:hideMark/>
          </w:tcPr>
          <w:p w14:paraId="18E3A9A4" w14:textId="77777777" w:rsidR="00F561A7" w:rsidRPr="00A9330B" w:rsidRDefault="00F561A7" w:rsidP="00F561A7">
            <w:pPr>
              <w:spacing w:before="0" w:line="240" w:lineRule="auto"/>
              <w:ind w:firstLineChars="100" w:firstLine="180"/>
              <w:rPr>
                <w:rFonts w:cs="Arial"/>
                <w:color w:val="000000"/>
                <w:sz w:val="18"/>
                <w:szCs w:val="18"/>
                <w:lang w:eastAsia="fr-FR"/>
              </w:rPr>
            </w:pPr>
            <w:r w:rsidRPr="00A9330B">
              <w:rPr>
                <w:rFonts w:cs="Arial"/>
                <w:color w:val="000000"/>
                <w:sz w:val="18"/>
                <w:szCs w:val="18"/>
                <w:lang w:eastAsia="fr-FR"/>
              </w:rPr>
              <w:t>Ménager</w:t>
            </w:r>
          </w:p>
        </w:tc>
        <w:tc>
          <w:tcPr>
            <w:tcW w:w="1940" w:type="dxa"/>
            <w:tcBorders>
              <w:top w:val="nil"/>
              <w:left w:val="nil"/>
              <w:bottom w:val="single" w:sz="4" w:space="0" w:color="auto"/>
              <w:right w:val="single" w:sz="4" w:space="0" w:color="auto"/>
            </w:tcBorders>
            <w:shd w:val="clear" w:color="auto" w:fill="auto"/>
            <w:noWrap/>
            <w:vAlign w:val="center"/>
            <w:hideMark/>
          </w:tcPr>
          <w:p w14:paraId="70EFB9B0" w14:textId="77777777" w:rsidR="00F561A7" w:rsidRPr="00A9330B" w:rsidRDefault="00F561A7" w:rsidP="00F561A7">
            <w:pPr>
              <w:spacing w:before="0" w:line="240" w:lineRule="auto"/>
              <w:jc w:val="center"/>
              <w:rPr>
                <w:rFonts w:cs="Arial"/>
                <w:color w:val="000000"/>
                <w:sz w:val="18"/>
                <w:szCs w:val="18"/>
                <w:lang w:eastAsia="fr-FR"/>
              </w:rPr>
            </w:pPr>
            <w:r w:rsidRPr="00A9330B">
              <w:rPr>
                <w:rFonts w:cs="Arial"/>
                <w:color w:val="000000"/>
                <w:sz w:val="18"/>
                <w:szCs w:val="18"/>
                <w:lang w:eastAsia="fr-FR"/>
              </w:rPr>
              <w:t>0,49</w:t>
            </w:r>
          </w:p>
        </w:tc>
      </w:tr>
      <w:tr w:rsidR="00F561A7" w:rsidRPr="00A9330B" w14:paraId="65D5D6AD" w14:textId="77777777" w:rsidTr="00F561A7">
        <w:trPr>
          <w:trHeight w:val="288"/>
          <w:jc w:val="center"/>
        </w:trPr>
        <w:tc>
          <w:tcPr>
            <w:tcW w:w="1529" w:type="dxa"/>
            <w:vMerge/>
            <w:tcBorders>
              <w:top w:val="nil"/>
              <w:left w:val="single" w:sz="4" w:space="0" w:color="auto"/>
              <w:bottom w:val="single" w:sz="4" w:space="0" w:color="000000"/>
              <w:right w:val="single" w:sz="4" w:space="0" w:color="auto"/>
            </w:tcBorders>
            <w:vAlign w:val="center"/>
            <w:hideMark/>
          </w:tcPr>
          <w:p w14:paraId="7E8A41F7" w14:textId="77777777" w:rsidR="00F561A7" w:rsidRPr="00A9330B" w:rsidRDefault="00F561A7" w:rsidP="00F561A7">
            <w:pPr>
              <w:spacing w:before="0" w:line="240" w:lineRule="auto"/>
              <w:jc w:val="center"/>
              <w:rPr>
                <w:rFonts w:cs="Arial"/>
                <w:b/>
                <w:bCs/>
                <w:color w:val="000000"/>
                <w:sz w:val="18"/>
                <w:szCs w:val="18"/>
                <w:lang w:eastAsia="fr-FR"/>
              </w:rPr>
            </w:pPr>
          </w:p>
        </w:tc>
        <w:tc>
          <w:tcPr>
            <w:tcW w:w="3335" w:type="dxa"/>
            <w:tcBorders>
              <w:top w:val="nil"/>
              <w:left w:val="nil"/>
              <w:bottom w:val="single" w:sz="4" w:space="0" w:color="auto"/>
              <w:right w:val="single" w:sz="4" w:space="0" w:color="auto"/>
            </w:tcBorders>
            <w:shd w:val="clear" w:color="auto" w:fill="auto"/>
            <w:noWrap/>
            <w:vAlign w:val="center"/>
            <w:hideMark/>
          </w:tcPr>
          <w:p w14:paraId="19118CC8" w14:textId="77777777" w:rsidR="00F561A7" w:rsidRPr="00A9330B" w:rsidRDefault="00F561A7" w:rsidP="00F561A7">
            <w:pPr>
              <w:spacing w:before="0" w:line="240" w:lineRule="auto"/>
              <w:ind w:firstLineChars="100" w:firstLine="180"/>
              <w:rPr>
                <w:rFonts w:cs="Arial"/>
                <w:color w:val="000000"/>
                <w:sz w:val="18"/>
                <w:szCs w:val="18"/>
                <w:lang w:eastAsia="fr-FR"/>
              </w:rPr>
            </w:pPr>
            <w:r w:rsidRPr="00A9330B">
              <w:rPr>
                <w:rFonts w:cs="Arial"/>
                <w:color w:val="000000"/>
                <w:sz w:val="18"/>
                <w:szCs w:val="18"/>
                <w:lang w:eastAsia="fr-FR"/>
              </w:rPr>
              <w:t>Ménagère</w:t>
            </w:r>
          </w:p>
        </w:tc>
        <w:tc>
          <w:tcPr>
            <w:tcW w:w="1940" w:type="dxa"/>
            <w:tcBorders>
              <w:top w:val="nil"/>
              <w:left w:val="nil"/>
              <w:bottom w:val="single" w:sz="4" w:space="0" w:color="auto"/>
              <w:right w:val="single" w:sz="4" w:space="0" w:color="auto"/>
            </w:tcBorders>
            <w:shd w:val="clear" w:color="auto" w:fill="auto"/>
            <w:noWrap/>
            <w:vAlign w:val="center"/>
            <w:hideMark/>
          </w:tcPr>
          <w:p w14:paraId="5152856F" w14:textId="77777777" w:rsidR="00F561A7" w:rsidRPr="00A9330B" w:rsidRDefault="00F561A7" w:rsidP="00F561A7">
            <w:pPr>
              <w:spacing w:before="0" w:line="240" w:lineRule="auto"/>
              <w:jc w:val="center"/>
              <w:rPr>
                <w:rFonts w:cs="Arial"/>
                <w:color w:val="000000"/>
                <w:sz w:val="18"/>
                <w:szCs w:val="18"/>
                <w:lang w:eastAsia="fr-FR"/>
              </w:rPr>
            </w:pPr>
            <w:r w:rsidRPr="00A9330B">
              <w:rPr>
                <w:rFonts w:cs="Arial"/>
                <w:color w:val="000000"/>
                <w:sz w:val="18"/>
                <w:szCs w:val="18"/>
                <w:lang w:eastAsia="fr-FR"/>
              </w:rPr>
              <w:t>7,65</w:t>
            </w:r>
          </w:p>
        </w:tc>
      </w:tr>
      <w:tr w:rsidR="00F561A7" w:rsidRPr="00A9330B" w14:paraId="3D778BDA" w14:textId="77777777" w:rsidTr="00F561A7">
        <w:trPr>
          <w:trHeight w:val="288"/>
          <w:jc w:val="center"/>
        </w:trPr>
        <w:tc>
          <w:tcPr>
            <w:tcW w:w="1529" w:type="dxa"/>
            <w:vMerge/>
            <w:tcBorders>
              <w:top w:val="nil"/>
              <w:left w:val="single" w:sz="4" w:space="0" w:color="auto"/>
              <w:bottom w:val="single" w:sz="4" w:space="0" w:color="000000"/>
              <w:right w:val="single" w:sz="4" w:space="0" w:color="auto"/>
            </w:tcBorders>
            <w:vAlign w:val="center"/>
            <w:hideMark/>
          </w:tcPr>
          <w:p w14:paraId="5799A581" w14:textId="77777777" w:rsidR="00F561A7" w:rsidRPr="00A9330B" w:rsidRDefault="00F561A7" w:rsidP="00F561A7">
            <w:pPr>
              <w:spacing w:before="0" w:line="240" w:lineRule="auto"/>
              <w:jc w:val="center"/>
              <w:rPr>
                <w:rFonts w:cs="Arial"/>
                <w:b/>
                <w:bCs/>
                <w:color w:val="000000"/>
                <w:sz w:val="18"/>
                <w:szCs w:val="18"/>
                <w:lang w:eastAsia="fr-FR"/>
              </w:rPr>
            </w:pPr>
          </w:p>
        </w:tc>
        <w:tc>
          <w:tcPr>
            <w:tcW w:w="3335" w:type="dxa"/>
            <w:tcBorders>
              <w:top w:val="nil"/>
              <w:left w:val="nil"/>
              <w:bottom w:val="single" w:sz="4" w:space="0" w:color="auto"/>
              <w:right w:val="single" w:sz="4" w:space="0" w:color="auto"/>
            </w:tcBorders>
            <w:shd w:val="clear" w:color="auto" w:fill="auto"/>
            <w:noWrap/>
            <w:vAlign w:val="center"/>
            <w:hideMark/>
          </w:tcPr>
          <w:p w14:paraId="3C6F2CF7" w14:textId="77777777" w:rsidR="00F561A7" w:rsidRPr="00A9330B" w:rsidRDefault="00F561A7" w:rsidP="00F561A7">
            <w:pPr>
              <w:spacing w:before="0" w:line="240" w:lineRule="auto"/>
              <w:ind w:firstLineChars="100" w:firstLine="180"/>
              <w:rPr>
                <w:rFonts w:cs="Arial"/>
                <w:color w:val="000000"/>
                <w:sz w:val="18"/>
                <w:szCs w:val="18"/>
                <w:lang w:eastAsia="fr-FR"/>
              </w:rPr>
            </w:pPr>
            <w:r w:rsidRPr="00A9330B">
              <w:rPr>
                <w:rFonts w:cs="Arial"/>
                <w:color w:val="000000"/>
                <w:sz w:val="18"/>
                <w:szCs w:val="18"/>
                <w:lang w:eastAsia="fr-FR"/>
              </w:rPr>
              <w:t>Ouvrier</w:t>
            </w:r>
          </w:p>
        </w:tc>
        <w:tc>
          <w:tcPr>
            <w:tcW w:w="1940" w:type="dxa"/>
            <w:tcBorders>
              <w:top w:val="nil"/>
              <w:left w:val="nil"/>
              <w:bottom w:val="single" w:sz="4" w:space="0" w:color="auto"/>
              <w:right w:val="single" w:sz="4" w:space="0" w:color="auto"/>
            </w:tcBorders>
            <w:shd w:val="clear" w:color="auto" w:fill="auto"/>
            <w:noWrap/>
            <w:vAlign w:val="center"/>
            <w:hideMark/>
          </w:tcPr>
          <w:p w14:paraId="101CD72D" w14:textId="77777777" w:rsidR="00F561A7" w:rsidRPr="00A9330B" w:rsidRDefault="00F561A7" w:rsidP="00F561A7">
            <w:pPr>
              <w:spacing w:before="0" w:line="240" w:lineRule="auto"/>
              <w:jc w:val="center"/>
              <w:rPr>
                <w:rFonts w:cs="Arial"/>
                <w:color w:val="000000"/>
                <w:sz w:val="18"/>
                <w:szCs w:val="18"/>
                <w:lang w:eastAsia="fr-FR"/>
              </w:rPr>
            </w:pPr>
            <w:r w:rsidRPr="00A9330B">
              <w:rPr>
                <w:rFonts w:cs="Arial"/>
                <w:color w:val="000000"/>
                <w:sz w:val="18"/>
                <w:szCs w:val="18"/>
                <w:lang w:eastAsia="fr-FR"/>
              </w:rPr>
              <w:t>0,49</w:t>
            </w:r>
          </w:p>
        </w:tc>
      </w:tr>
      <w:tr w:rsidR="00F561A7" w:rsidRPr="00A9330B" w14:paraId="5E4C3C3C" w14:textId="77777777" w:rsidTr="00F561A7">
        <w:trPr>
          <w:trHeight w:val="288"/>
          <w:jc w:val="center"/>
        </w:trPr>
        <w:tc>
          <w:tcPr>
            <w:tcW w:w="1529" w:type="dxa"/>
            <w:vMerge/>
            <w:tcBorders>
              <w:top w:val="nil"/>
              <w:left w:val="single" w:sz="4" w:space="0" w:color="auto"/>
              <w:bottom w:val="single" w:sz="4" w:space="0" w:color="000000"/>
              <w:right w:val="single" w:sz="4" w:space="0" w:color="auto"/>
            </w:tcBorders>
            <w:vAlign w:val="center"/>
            <w:hideMark/>
          </w:tcPr>
          <w:p w14:paraId="2E3CEE02" w14:textId="77777777" w:rsidR="00F561A7" w:rsidRPr="00A9330B" w:rsidRDefault="00F561A7" w:rsidP="00F561A7">
            <w:pPr>
              <w:spacing w:before="0" w:line="240" w:lineRule="auto"/>
              <w:jc w:val="center"/>
              <w:rPr>
                <w:rFonts w:cs="Arial"/>
                <w:b/>
                <w:bCs/>
                <w:color w:val="000000"/>
                <w:sz w:val="18"/>
                <w:szCs w:val="18"/>
                <w:lang w:eastAsia="fr-FR"/>
              </w:rPr>
            </w:pPr>
          </w:p>
        </w:tc>
        <w:tc>
          <w:tcPr>
            <w:tcW w:w="3335" w:type="dxa"/>
            <w:tcBorders>
              <w:top w:val="nil"/>
              <w:left w:val="nil"/>
              <w:bottom w:val="single" w:sz="4" w:space="0" w:color="auto"/>
              <w:right w:val="single" w:sz="4" w:space="0" w:color="auto"/>
            </w:tcBorders>
            <w:shd w:val="clear" w:color="auto" w:fill="auto"/>
            <w:noWrap/>
            <w:vAlign w:val="center"/>
            <w:hideMark/>
          </w:tcPr>
          <w:p w14:paraId="728384F6" w14:textId="77777777" w:rsidR="00F561A7" w:rsidRPr="00A9330B" w:rsidRDefault="00F561A7" w:rsidP="00F561A7">
            <w:pPr>
              <w:spacing w:before="0" w:line="240" w:lineRule="auto"/>
              <w:ind w:firstLineChars="100" w:firstLine="180"/>
              <w:rPr>
                <w:rFonts w:cs="Arial"/>
                <w:color w:val="000000"/>
                <w:sz w:val="18"/>
                <w:szCs w:val="18"/>
                <w:lang w:eastAsia="fr-FR"/>
              </w:rPr>
            </w:pPr>
            <w:r w:rsidRPr="00A9330B">
              <w:rPr>
                <w:rFonts w:cs="Arial"/>
                <w:color w:val="000000"/>
                <w:sz w:val="18"/>
                <w:szCs w:val="18"/>
                <w:lang w:eastAsia="fr-FR"/>
              </w:rPr>
              <w:t>Photographe</w:t>
            </w:r>
          </w:p>
        </w:tc>
        <w:tc>
          <w:tcPr>
            <w:tcW w:w="1940" w:type="dxa"/>
            <w:tcBorders>
              <w:top w:val="nil"/>
              <w:left w:val="nil"/>
              <w:bottom w:val="single" w:sz="4" w:space="0" w:color="auto"/>
              <w:right w:val="single" w:sz="4" w:space="0" w:color="auto"/>
            </w:tcBorders>
            <w:shd w:val="clear" w:color="auto" w:fill="auto"/>
            <w:noWrap/>
            <w:vAlign w:val="center"/>
            <w:hideMark/>
          </w:tcPr>
          <w:p w14:paraId="3A90C116" w14:textId="77777777" w:rsidR="00F561A7" w:rsidRPr="00A9330B" w:rsidRDefault="00F561A7" w:rsidP="00F561A7">
            <w:pPr>
              <w:spacing w:before="0" w:line="240" w:lineRule="auto"/>
              <w:jc w:val="center"/>
              <w:rPr>
                <w:rFonts w:cs="Arial"/>
                <w:color w:val="000000"/>
                <w:sz w:val="18"/>
                <w:szCs w:val="18"/>
                <w:lang w:eastAsia="fr-FR"/>
              </w:rPr>
            </w:pPr>
            <w:r w:rsidRPr="00A9330B">
              <w:rPr>
                <w:rFonts w:cs="Arial"/>
                <w:color w:val="000000"/>
                <w:sz w:val="18"/>
                <w:szCs w:val="18"/>
                <w:lang w:eastAsia="fr-FR"/>
              </w:rPr>
              <w:t>0,25</w:t>
            </w:r>
          </w:p>
        </w:tc>
      </w:tr>
      <w:tr w:rsidR="00F561A7" w:rsidRPr="00A9330B" w14:paraId="4150891F" w14:textId="77777777" w:rsidTr="00F561A7">
        <w:trPr>
          <w:trHeight w:val="288"/>
          <w:jc w:val="center"/>
        </w:trPr>
        <w:tc>
          <w:tcPr>
            <w:tcW w:w="1529" w:type="dxa"/>
            <w:vMerge/>
            <w:tcBorders>
              <w:top w:val="nil"/>
              <w:left w:val="single" w:sz="4" w:space="0" w:color="auto"/>
              <w:bottom w:val="single" w:sz="4" w:space="0" w:color="000000"/>
              <w:right w:val="single" w:sz="4" w:space="0" w:color="auto"/>
            </w:tcBorders>
            <w:vAlign w:val="center"/>
            <w:hideMark/>
          </w:tcPr>
          <w:p w14:paraId="2DAFC26F" w14:textId="77777777" w:rsidR="00F561A7" w:rsidRPr="00A9330B" w:rsidRDefault="00F561A7" w:rsidP="00F561A7">
            <w:pPr>
              <w:spacing w:before="0" w:line="240" w:lineRule="auto"/>
              <w:jc w:val="center"/>
              <w:rPr>
                <w:rFonts w:cs="Arial"/>
                <w:b/>
                <w:bCs/>
                <w:color w:val="000000"/>
                <w:sz w:val="18"/>
                <w:szCs w:val="18"/>
                <w:lang w:eastAsia="fr-FR"/>
              </w:rPr>
            </w:pPr>
          </w:p>
        </w:tc>
        <w:tc>
          <w:tcPr>
            <w:tcW w:w="3335" w:type="dxa"/>
            <w:tcBorders>
              <w:top w:val="nil"/>
              <w:left w:val="nil"/>
              <w:bottom w:val="single" w:sz="4" w:space="0" w:color="auto"/>
              <w:right w:val="single" w:sz="4" w:space="0" w:color="auto"/>
            </w:tcBorders>
            <w:shd w:val="clear" w:color="auto" w:fill="auto"/>
            <w:noWrap/>
            <w:vAlign w:val="center"/>
            <w:hideMark/>
          </w:tcPr>
          <w:p w14:paraId="4AC2E0BC" w14:textId="77777777" w:rsidR="00F561A7" w:rsidRPr="00A9330B" w:rsidRDefault="00F561A7" w:rsidP="00F561A7">
            <w:pPr>
              <w:spacing w:before="0" w:line="240" w:lineRule="auto"/>
              <w:ind w:firstLineChars="100" w:firstLine="180"/>
              <w:rPr>
                <w:rFonts w:cs="Arial"/>
                <w:color w:val="000000"/>
                <w:sz w:val="18"/>
                <w:szCs w:val="18"/>
                <w:lang w:eastAsia="fr-FR"/>
              </w:rPr>
            </w:pPr>
            <w:r w:rsidRPr="00A9330B">
              <w:rPr>
                <w:rFonts w:cs="Arial"/>
                <w:color w:val="000000"/>
                <w:sz w:val="18"/>
                <w:szCs w:val="18"/>
                <w:lang w:eastAsia="fr-FR"/>
              </w:rPr>
              <w:t>Professeur</w:t>
            </w:r>
          </w:p>
        </w:tc>
        <w:tc>
          <w:tcPr>
            <w:tcW w:w="1940" w:type="dxa"/>
            <w:tcBorders>
              <w:top w:val="nil"/>
              <w:left w:val="nil"/>
              <w:bottom w:val="single" w:sz="4" w:space="0" w:color="auto"/>
              <w:right w:val="single" w:sz="4" w:space="0" w:color="auto"/>
            </w:tcBorders>
            <w:shd w:val="clear" w:color="auto" w:fill="auto"/>
            <w:noWrap/>
            <w:vAlign w:val="center"/>
            <w:hideMark/>
          </w:tcPr>
          <w:p w14:paraId="31345FEB" w14:textId="77777777" w:rsidR="00F561A7" w:rsidRPr="00A9330B" w:rsidRDefault="00F561A7" w:rsidP="00F561A7">
            <w:pPr>
              <w:spacing w:before="0" w:line="240" w:lineRule="auto"/>
              <w:jc w:val="center"/>
              <w:rPr>
                <w:rFonts w:cs="Arial"/>
                <w:color w:val="000000"/>
                <w:sz w:val="18"/>
                <w:szCs w:val="18"/>
                <w:lang w:eastAsia="fr-FR"/>
              </w:rPr>
            </w:pPr>
            <w:r w:rsidRPr="00A9330B">
              <w:rPr>
                <w:rFonts w:cs="Arial"/>
                <w:color w:val="000000"/>
                <w:sz w:val="18"/>
                <w:szCs w:val="18"/>
                <w:lang w:eastAsia="fr-FR"/>
              </w:rPr>
              <w:t>0,25</w:t>
            </w:r>
          </w:p>
        </w:tc>
      </w:tr>
      <w:tr w:rsidR="00F561A7" w:rsidRPr="00A9330B" w14:paraId="3B82862C" w14:textId="77777777" w:rsidTr="00F561A7">
        <w:trPr>
          <w:trHeight w:val="288"/>
          <w:jc w:val="center"/>
        </w:trPr>
        <w:tc>
          <w:tcPr>
            <w:tcW w:w="1529" w:type="dxa"/>
            <w:vMerge/>
            <w:tcBorders>
              <w:top w:val="nil"/>
              <w:left w:val="single" w:sz="4" w:space="0" w:color="auto"/>
              <w:bottom w:val="single" w:sz="4" w:space="0" w:color="000000"/>
              <w:right w:val="single" w:sz="4" w:space="0" w:color="auto"/>
            </w:tcBorders>
            <w:vAlign w:val="center"/>
            <w:hideMark/>
          </w:tcPr>
          <w:p w14:paraId="49A9406E" w14:textId="77777777" w:rsidR="00F561A7" w:rsidRPr="00A9330B" w:rsidRDefault="00F561A7" w:rsidP="00F561A7">
            <w:pPr>
              <w:spacing w:before="0" w:line="240" w:lineRule="auto"/>
              <w:jc w:val="center"/>
              <w:rPr>
                <w:rFonts w:cs="Arial"/>
                <w:b/>
                <w:bCs/>
                <w:color w:val="000000"/>
                <w:sz w:val="18"/>
                <w:szCs w:val="18"/>
                <w:lang w:eastAsia="fr-FR"/>
              </w:rPr>
            </w:pPr>
          </w:p>
        </w:tc>
        <w:tc>
          <w:tcPr>
            <w:tcW w:w="3335" w:type="dxa"/>
            <w:tcBorders>
              <w:top w:val="nil"/>
              <w:left w:val="nil"/>
              <w:bottom w:val="single" w:sz="4" w:space="0" w:color="auto"/>
              <w:right w:val="single" w:sz="4" w:space="0" w:color="auto"/>
            </w:tcBorders>
            <w:shd w:val="clear" w:color="auto" w:fill="auto"/>
            <w:noWrap/>
            <w:vAlign w:val="center"/>
            <w:hideMark/>
          </w:tcPr>
          <w:p w14:paraId="7D199173" w14:textId="77777777" w:rsidR="00F561A7" w:rsidRPr="00A9330B" w:rsidRDefault="00F561A7" w:rsidP="00F561A7">
            <w:pPr>
              <w:spacing w:before="0" w:line="240" w:lineRule="auto"/>
              <w:ind w:firstLineChars="100" w:firstLine="180"/>
              <w:rPr>
                <w:rFonts w:cs="Arial"/>
                <w:color w:val="000000"/>
                <w:sz w:val="18"/>
                <w:szCs w:val="18"/>
                <w:lang w:eastAsia="fr-FR"/>
              </w:rPr>
            </w:pPr>
            <w:r w:rsidRPr="00A9330B">
              <w:rPr>
                <w:rFonts w:cs="Arial"/>
                <w:color w:val="000000"/>
                <w:sz w:val="18"/>
                <w:szCs w:val="18"/>
                <w:lang w:eastAsia="fr-FR"/>
              </w:rPr>
              <w:t>Retraité</w:t>
            </w:r>
          </w:p>
        </w:tc>
        <w:tc>
          <w:tcPr>
            <w:tcW w:w="1940" w:type="dxa"/>
            <w:tcBorders>
              <w:top w:val="nil"/>
              <w:left w:val="nil"/>
              <w:bottom w:val="single" w:sz="4" w:space="0" w:color="auto"/>
              <w:right w:val="single" w:sz="4" w:space="0" w:color="auto"/>
            </w:tcBorders>
            <w:shd w:val="clear" w:color="auto" w:fill="auto"/>
            <w:noWrap/>
            <w:vAlign w:val="center"/>
            <w:hideMark/>
          </w:tcPr>
          <w:p w14:paraId="58EDF2A5" w14:textId="77777777" w:rsidR="00F561A7" w:rsidRPr="00A9330B" w:rsidRDefault="00F561A7" w:rsidP="00F561A7">
            <w:pPr>
              <w:spacing w:before="0" w:line="240" w:lineRule="auto"/>
              <w:jc w:val="center"/>
              <w:rPr>
                <w:rFonts w:cs="Arial"/>
                <w:color w:val="000000"/>
                <w:sz w:val="18"/>
                <w:szCs w:val="18"/>
                <w:lang w:eastAsia="fr-FR"/>
              </w:rPr>
            </w:pPr>
            <w:r w:rsidRPr="00A9330B">
              <w:rPr>
                <w:rFonts w:cs="Arial"/>
                <w:color w:val="000000"/>
                <w:sz w:val="18"/>
                <w:szCs w:val="18"/>
                <w:lang w:eastAsia="fr-FR"/>
              </w:rPr>
              <w:t>1,48</w:t>
            </w:r>
          </w:p>
        </w:tc>
      </w:tr>
      <w:tr w:rsidR="00F561A7" w:rsidRPr="00A9330B" w14:paraId="79D6B04E" w14:textId="77777777" w:rsidTr="00F561A7">
        <w:trPr>
          <w:trHeight w:val="288"/>
          <w:jc w:val="center"/>
        </w:trPr>
        <w:tc>
          <w:tcPr>
            <w:tcW w:w="1529" w:type="dxa"/>
            <w:vMerge/>
            <w:tcBorders>
              <w:top w:val="nil"/>
              <w:left w:val="single" w:sz="4" w:space="0" w:color="auto"/>
              <w:bottom w:val="single" w:sz="4" w:space="0" w:color="000000"/>
              <w:right w:val="single" w:sz="4" w:space="0" w:color="auto"/>
            </w:tcBorders>
            <w:vAlign w:val="center"/>
            <w:hideMark/>
          </w:tcPr>
          <w:p w14:paraId="196224D9" w14:textId="77777777" w:rsidR="00F561A7" w:rsidRPr="00A9330B" w:rsidRDefault="00F561A7" w:rsidP="00F561A7">
            <w:pPr>
              <w:spacing w:before="0" w:line="240" w:lineRule="auto"/>
              <w:jc w:val="center"/>
              <w:rPr>
                <w:rFonts w:cs="Arial"/>
                <w:b/>
                <w:bCs/>
                <w:color w:val="000000"/>
                <w:sz w:val="18"/>
                <w:szCs w:val="18"/>
                <w:lang w:eastAsia="fr-FR"/>
              </w:rPr>
            </w:pPr>
          </w:p>
        </w:tc>
        <w:tc>
          <w:tcPr>
            <w:tcW w:w="3335" w:type="dxa"/>
            <w:tcBorders>
              <w:top w:val="nil"/>
              <w:left w:val="nil"/>
              <w:bottom w:val="single" w:sz="4" w:space="0" w:color="auto"/>
              <w:right w:val="single" w:sz="4" w:space="0" w:color="auto"/>
            </w:tcBorders>
            <w:shd w:val="clear" w:color="auto" w:fill="auto"/>
            <w:noWrap/>
            <w:vAlign w:val="center"/>
            <w:hideMark/>
          </w:tcPr>
          <w:p w14:paraId="652C4AA8" w14:textId="77777777" w:rsidR="00F561A7" w:rsidRPr="00A9330B" w:rsidRDefault="00F561A7" w:rsidP="00F561A7">
            <w:pPr>
              <w:spacing w:before="0" w:line="240" w:lineRule="auto"/>
              <w:ind w:firstLineChars="100" w:firstLine="180"/>
              <w:rPr>
                <w:rFonts w:cs="Arial"/>
                <w:color w:val="000000"/>
                <w:sz w:val="18"/>
                <w:szCs w:val="18"/>
                <w:lang w:eastAsia="fr-FR"/>
              </w:rPr>
            </w:pPr>
            <w:r w:rsidRPr="00A9330B">
              <w:rPr>
                <w:rFonts w:cs="Arial"/>
                <w:color w:val="000000"/>
                <w:sz w:val="18"/>
                <w:szCs w:val="18"/>
                <w:lang w:eastAsia="fr-FR"/>
              </w:rPr>
              <w:t>Revendeuse</w:t>
            </w:r>
          </w:p>
        </w:tc>
        <w:tc>
          <w:tcPr>
            <w:tcW w:w="1940" w:type="dxa"/>
            <w:tcBorders>
              <w:top w:val="nil"/>
              <w:left w:val="nil"/>
              <w:bottom w:val="single" w:sz="4" w:space="0" w:color="auto"/>
              <w:right w:val="single" w:sz="4" w:space="0" w:color="auto"/>
            </w:tcBorders>
            <w:shd w:val="clear" w:color="auto" w:fill="auto"/>
            <w:noWrap/>
            <w:vAlign w:val="center"/>
            <w:hideMark/>
          </w:tcPr>
          <w:p w14:paraId="6F390737" w14:textId="77777777" w:rsidR="00F561A7" w:rsidRPr="00A9330B" w:rsidRDefault="00F561A7" w:rsidP="00F561A7">
            <w:pPr>
              <w:spacing w:before="0" w:line="240" w:lineRule="auto"/>
              <w:jc w:val="center"/>
              <w:rPr>
                <w:rFonts w:cs="Arial"/>
                <w:color w:val="000000"/>
                <w:sz w:val="18"/>
                <w:szCs w:val="18"/>
                <w:lang w:eastAsia="fr-FR"/>
              </w:rPr>
            </w:pPr>
            <w:r w:rsidRPr="00A9330B">
              <w:rPr>
                <w:rFonts w:cs="Arial"/>
                <w:color w:val="000000"/>
                <w:sz w:val="18"/>
                <w:szCs w:val="18"/>
                <w:lang w:eastAsia="fr-FR"/>
              </w:rPr>
              <w:t>0,74</w:t>
            </w:r>
          </w:p>
        </w:tc>
      </w:tr>
      <w:tr w:rsidR="00F561A7" w:rsidRPr="00A9330B" w14:paraId="01FBE2A9" w14:textId="77777777" w:rsidTr="00F561A7">
        <w:trPr>
          <w:trHeight w:val="288"/>
          <w:jc w:val="center"/>
        </w:trPr>
        <w:tc>
          <w:tcPr>
            <w:tcW w:w="1529" w:type="dxa"/>
            <w:vMerge/>
            <w:tcBorders>
              <w:top w:val="nil"/>
              <w:left w:val="single" w:sz="4" w:space="0" w:color="auto"/>
              <w:bottom w:val="single" w:sz="4" w:space="0" w:color="000000"/>
              <w:right w:val="single" w:sz="4" w:space="0" w:color="auto"/>
            </w:tcBorders>
            <w:vAlign w:val="center"/>
            <w:hideMark/>
          </w:tcPr>
          <w:p w14:paraId="3C368CC2" w14:textId="77777777" w:rsidR="00F561A7" w:rsidRPr="00A9330B" w:rsidRDefault="00F561A7" w:rsidP="00F561A7">
            <w:pPr>
              <w:spacing w:before="0" w:line="240" w:lineRule="auto"/>
              <w:jc w:val="center"/>
              <w:rPr>
                <w:rFonts w:cs="Arial"/>
                <w:b/>
                <w:bCs/>
                <w:color w:val="000000"/>
                <w:sz w:val="18"/>
                <w:szCs w:val="18"/>
                <w:lang w:eastAsia="fr-FR"/>
              </w:rPr>
            </w:pPr>
          </w:p>
        </w:tc>
        <w:tc>
          <w:tcPr>
            <w:tcW w:w="3335" w:type="dxa"/>
            <w:tcBorders>
              <w:top w:val="nil"/>
              <w:left w:val="nil"/>
              <w:bottom w:val="single" w:sz="4" w:space="0" w:color="auto"/>
              <w:right w:val="single" w:sz="4" w:space="0" w:color="auto"/>
            </w:tcBorders>
            <w:shd w:val="clear" w:color="auto" w:fill="auto"/>
            <w:noWrap/>
            <w:vAlign w:val="center"/>
            <w:hideMark/>
          </w:tcPr>
          <w:p w14:paraId="13C2C206" w14:textId="77777777" w:rsidR="00F561A7" w:rsidRPr="00A9330B" w:rsidRDefault="00F561A7" w:rsidP="00F561A7">
            <w:pPr>
              <w:spacing w:before="0" w:line="240" w:lineRule="auto"/>
              <w:ind w:firstLineChars="100" w:firstLine="180"/>
              <w:rPr>
                <w:rFonts w:cs="Arial"/>
                <w:color w:val="000000"/>
                <w:sz w:val="18"/>
                <w:szCs w:val="18"/>
                <w:lang w:eastAsia="fr-FR"/>
              </w:rPr>
            </w:pPr>
            <w:r w:rsidRPr="00A9330B">
              <w:rPr>
                <w:rFonts w:cs="Arial"/>
                <w:color w:val="000000"/>
                <w:sz w:val="18"/>
                <w:szCs w:val="18"/>
                <w:lang w:eastAsia="fr-FR"/>
              </w:rPr>
              <w:t>Secrétaire</w:t>
            </w:r>
          </w:p>
        </w:tc>
        <w:tc>
          <w:tcPr>
            <w:tcW w:w="1940" w:type="dxa"/>
            <w:tcBorders>
              <w:top w:val="nil"/>
              <w:left w:val="nil"/>
              <w:bottom w:val="single" w:sz="4" w:space="0" w:color="auto"/>
              <w:right w:val="single" w:sz="4" w:space="0" w:color="auto"/>
            </w:tcBorders>
            <w:shd w:val="clear" w:color="auto" w:fill="auto"/>
            <w:noWrap/>
            <w:vAlign w:val="center"/>
            <w:hideMark/>
          </w:tcPr>
          <w:p w14:paraId="319A27F6" w14:textId="77777777" w:rsidR="00F561A7" w:rsidRPr="00A9330B" w:rsidRDefault="00F561A7" w:rsidP="00F561A7">
            <w:pPr>
              <w:spacing w:before="0" w:line="240" w:lineRule="auto"/>
              <w:jc w:val="center"/>
              <w:rPr>
                <w:rFonts w:cs="Arial"/>
                <w:color w:val="000000"/>
                <w:sz w:val="18"/>
                <w:szCs w:val="18"/>
                <w:lang w:eastAsia="fr-FR"/>
              </w:rPr>
            </w:pPr>
            <w:r w:rsidRPr="00A9330B">
              <w:rPr>
                <w:rFonts w:cs="Arial"/>
                <w:color w:val="000000"/>
                <w:sz w:val="18"/>
                <w:szCs w:val="18"/>
                <w:lang w:eastAsia="fr-FR"/>
              </w:rPr>
              <w:t>0,49</w:t>
            </w:r>
          </w:p>
        </w:tc>
      </w:tr>
      <w:tr w:rsidR="00F561A7" w:rsidRPr="00A9330B" w14:paraId="1B52D37B" w14:textId="77777777" w:rsidTr="00F561A7">
        <w:trPr>
          <w:trHeight w:val="288"/>
          <w:jc w:val="center"/>
        </w:trPr>
        <w:tc>
          <w:tcPr>
            <w:tcW w:w="1529" w:type="dxa"/>
            <w:vMerge/>
            <w:tcBorders>
              <w:top w:val="nil"/>
              <w:left w:val="single" w:sz="4" w:space="0" w:color="auto"/>
              <w:bottom w:val="single" w:sz="4" w:space="0" w:color="000000"/>
              <w:right w:val="single" w:sz="4" w:space="0" w:color="auto"/>
            </w:tcBorders>
            <w:vAlign w:val="center"/>
            <w:hideMark/>
          </w:tcPr>
          <w:p w14:paraId="37331C27" w14:textId="77777777" w:rsidR="00F561A7" w:rsidRPr="00A9330B" w:rsidRDefault="00F561A7" w:rsidP="00F561A7">
            <w:pPr>
              <w:spacing w:before="0" w:line="240" w:lineRule="auto"/>
              <w:jc w:val="center"/>
              <w:rPr>
                <w:rFonts w:cs="Arial"/>
                <w:b/>
                <w:bCs/>
                <w:color w:val="000000"/>
                <w:sz w:val="18"/>
                <w:szCs w:val="18"/>
                <w:lang w:eastAsia="fr-FR"/>
              </w:rPr>
            </w:pPr>
          </w:p>
        </w:tc>
        <w:tc>
          <w:tcPr>
            <w:tcW w:w="3335" w:type="dxa"/>
            <w:tcBorders>
              <w:top w:val="nil"/>
              <w:left w:val="nil"/>
              <w:bottom w:val="single" w:sz="4" w:space="0" w:color="auto"/>
              <w:right w:val="single" w:sz="4" w:space="0" w:color="auto"/>
            </w:tcBorders>
            <w:shd w:val="clear" w:color="auto" w:fill="auto"/>
            <w:noWrap/>
            <w:vAlign w:val="center"/>
            <w:hideMark/>
          </w:tcPr>
          <w:p w14:paraId="3ECBC4D5" w14:textId="77777777" w:rsidR="00F561A7" w:rsidRPr="00A9330B" w:rsidRDefault="00F561A7" w:rsidP="00F561A7">
            <w:pPr>
              <w:spacing w:before="0" w:line="240" w:lineRule="auto"/>
              <w:ind w:firstLineChars="100" w:firstLine="180"/>
              <w:rPr>
                <w:rFonts w:cs="Arial"/>
                <w:color w:val="000000"/>
                <w:sz w:val="18"/>
                <w:szCs w:val="18"/>
                <w:lang w:eastAsia="fr-FR"/>
              </w:rPr>
            </w:pPr>
            <w:r w:rsidRPr="00A9330B">
              <w:rPr>
                <w:rFonts w:cs="Arial"/>
                <w:color w:val="000000"/>
                <w:sz w:val="18"/>
                <w:szCs w:val="18"/>
                <w:lang w:eastAsia="fr-FR"/>
              </w:rPr>
              <w:t>Tisserande</w:t>
            </w:r>
          </w:p>
        </w:tc>
        <w:tc>
          <w:tcPr>
            <w:tcW w:w="1940" w:type="dxa"/>
            <w:tcBorders>
              <w:top w:val="nil"/>
              <w:left w:val="nil"/>
              <w:bottom w:val="single" w:sz="4" w:space="0" w:color="auto"/>
              <w:right w:val="single" w:sz="4" w:space="0" w:color="auto"/>
            </w:tcBorders>
            <w:shd w:val="clear" w:color="auto" w:fill="auto"/>
            <w:noWrap/>
            <w:vAlign w:val="center"/>
            <w:hideMark/>
          </w:tcPr>
          <w:p w14:paraId="2A4B06DB" w14:textId="77777777" w:rsidR="00F561A7" w:rsidRPr="00A9330B" w:rsidRDefault="00F561A7" w:rsidP="00F561A7">
            <w:pPr>
              <w:spacing w:before="0" w:line="240" w:lineRule="auto"/>
              <w:jc w:val="center"/>
              <w:rPr>
                <w:rFonts w:cs="Arial"/>
                <w:color w:val="000000"/>
                <w:sz w:val="18"/>
                <w:szCs w:val="18"/>
                <w:lang w:eastAsia="fr-FR"/>
              </w:rPr>
            </w:pPr>
            <w:r w:rsidRPr="00A9330B">
              <w:rPr>
                <w:rFonts w:cs="Arial"/>
                <w:color w:val="000000"/>
                <w:sz w:val="18"/>
                <w:szCs w:val="18"/>
                <w:lang w:eastAsia="fr-FR"/>
              </w:rPr>
              <w:t>0,25</w:t>
            </w:r>
          </w:p>
        </w:tc>
      </w:tr>
      <w:tr w:rsidR="00F561A7" w:rsidRPr="00A9330B" w14:paraId="288D5ED3" w14:textId="77777777" w:rsidTr="00F561A7">
        <w:trPr>
          <w:trHeight w:val="288"/>
          <w:jc w:val="center"/>
        </w:trPr>
        <w:tc>
          <w:tcPr>
            <w:tcW w:w="1529" w:type="dxa"/>
            <w:vMerge/>
            <w:tcBorders>
              <w:top w:val="nil"/>
              <w:left w:val="single" w:sz="4" w:space="0" w:color="auto"/>
              <w:bottom w:val="single" w:sz="4" w:space="0" w:color="000000"/>
              <w:right w:val="single" w:sz="4" w:space="0" w:color="auto"/>
            </w:tcBorders>
            <w:vAlign w:val="center"/>
            <w:hideMark/>
          </w:tcPr>
          <w:p w14:paraId="5387D9F1" w14:textId="77777777" w:rsidR="00F561A7" w:rsidRPr="00A9330B" w:rsidRDefault="00F561A7" w:rsidP="00F561A7">
            <w:pPr>
              <w:spacing w:before="0" w:line="240" w:lineRule="auto"/>
              <w:jc w:val="center"/>
              <w:rPr>
                <w:rFonts w:cs="Arial"/>
                <w:b/>
                <w:bCs/>
                <w:color w:val="000000"/>
                <w:sz w:val="18"/>
                <w:szCs w:val="18"/>
                <w:lang w:eastAsia="fr-FR"/>
              </w:rPr>
            </w:pPr>
          </w:p>
        </w:tc>
        <w:tc>
          <w:tcPr>
            <w:tcW w:w="3335" w:type="dxa"/>
            <w:tcBorders>
              <w:top w:val="nil"/>
              <w:left w:val="nil"/>
              <w:bottom w:val="single" w:sz="4" w:space="0" w:color="auto"/>
              <w:right w:val="single" w:sz="4" w:space="0" w:color="auto"/>
            </w:tcBorders>
            <w:shd w:val="clear" w:color="auto" w:fill="auto"/>
            <w:noWrap/>
            <w:vAlign w:val="center"/>
            <w:hideMark/>
          </w:tcPr>
          <w:p w14:paraId="1DC0DE9A" w14:textId="77777777" w:rsidR="00F561A7" w:rsidRPr="00A9330B" w:rsidRDefault="00F561A7" w:rsidP="00F561A7">
            <w:pPr>
              <w:spacing w:before="0" w:line="240" w:lineRule="auto"/>
              <w:ind w:firstLineChars="100" w:firstLine="180"/>
              <w:rPr>
                <w:rFonts w:cs="Arial"/>
                <w:color w:val="000000"/>
                <w:sz w:val="18"/>
                <w:szCs w:val="18"/>
                <w:lang w:eastAsia="fr-FR"/>
              </w:rPr>
            </w:pPr>
            <w:r w:rsidRPr="00A9330B">
              <w:rPr>
                <w:rFonts w:cs="Arial"/>
                <w:color w:val="000000"/>
                <w:sz w:val="18"/>
                <w:szCs w:val="18"/>
                <w:lang w:eastAsia="fr-FR"/>
              </w:rPr>
              <w:t>Coiffeuse/ Coiffeur</w:t>
            </w:r>
          </w:p>
        </w:tc>
        <w:tc>
          <w:tcPr>
            <w:tcW w:w="1940" w:type="dxa"/>
            <w:tcBorders>
              <w:top w:val="nil"/>
              <w:left w:val="nil"/>
              <w:bottom w:val="single" w:sz="4" w:space="0" w:color="auto"/>
              <w:right w:val="single" w:sz="4" w:space="0" w:color="auto"/>
            </w:tcBorders>
            <w:shd w:val="clear" w:color="auto" w:fill="auto"/>
            <w:noWrap/>
            <w:vAlign w:val="center"/>
            <w:hideMark/>
          </w:tcPr>
          <w:p w14:paraId="0B286A94" w14:textId="77777777" w:rsidR="00F561A7" w:rsidRPr="00A9330B" w:rsidRDefault="00F561A7" w:rsidP="00F561A7">
            <w:pPr>
              <w:spacing w:before="0" w:line="240" w:lineRule="auto"/>
              <w:jc w:val="center"/>
              <w:rPr>
                <w:rFonts w:cs="Arial"/>
                <w:color w:val="000000"/>
                <w:sz w:val="18"/>
                <w:szCs w:val="18"/>
                <w:lang w:eastAsia="fr-FR"/>
              </w:rPr>
            </w:pPr>
            <w:r w:rsidRPr="00A9330B">
              <w:rPr>
                <w:rFonts w:cs="Arial"/>
                <w:color w:val="000000"/>
                <w:sz w:val="18"/>
                <w:szCs w:val="18"/>
                <w:lang w:eastAsia="fr-FR"/>
              </w:rPr>
              <w:t>2,22</w:t>
            </w:r>
          </w:p>
        </w:tc>
      </w:tr>
      <w:tr w:rsidR="00F561A7" w:rsidRPr="00A9330B" w14:paraId="6E5EA38B" w14:textId="77777777" w:rsidTr="00F561A7">
        <w:trPr>
          <w:trHeight w:val="288"/>
          <w:jc w:val="center"/>
        </w:trPr>
        <w:tc>
          <w:tcPr>
            <w:tcW w:w="1529" w:type="dxa"/>
            <w:tcBorders>
              <w:top w:val="nil"/>
              <w:left w:val="single" w:sz="4" w:space="0" w:color="auto"/>
              <w:bottom w:val="single" w:sz="4" w:space="0" w:color="auto"/>
              <w:right w:val="single" w:sz="4" w:space="0" w:color="auto"/>
            </w:tcBorders>
            <w:shd w:val="clear" w:color="auto" w:fill="auto"/>
            <w:noWrap/>
            <w:vAlign w:val="center"/>
            <w:hideMark/>
          </w:tcPr>
          <w:p w14:paraId="527B7AD3" w14:textId="77777777" w:rsidR="00F561A7" w:rsidRPr="00A9330B" w:rsidRDefault="00F561A7" w:rsidP="00F561A7">
            <w:pPr>
              <w:spacing w:before="0" w:line="240" w:lineRule="auto"/>
              <w:jc w:val="center"/>
              <w:rPr>
                <w:rFonts w:cs="Arial"/>
                <w:b/>
                <w:bCs/>
                <w:color w:val="000000"/>
                <w:sz w:val="18"/>
                <w:szCs w:val="18"/>
                <w:lang w:eastAsia="fr-FR"/>
              </w:rPr>
            </w:pPr>
            <w:r w:rsidRPr="00A9330B">
              <w:rPr>
                <w:rFonts w:cs="Arial"/>
                <w:b/>
                <w:bCs/>
                <w:color w:val="000000"/>
                <w:sz w:val="18"/>
                <w:szCs w:val="18"/>
                <w:lang w:eastAsia="fr-FR"/>
              </w:rPr>
              <w:t>Total</w:t>
            </w:r>
          </w:p>
        </w:tc>
        <w:tc>
          <w:tcPr>
            <w:tcW w:w="3335" w:type="dxa"/>
            <w:tcBorders>
              <w:top w:val="nil"/>
              <w:left w:val="nil"/>
              <w:bottom w:val="single" w:sz="4" w:space="0" w:color="auto"/>
              <w:right w:val="single" w:sz="4" w:space="0" w:color="auto"/>
            </w:tcBorders>
            <w:shd w:val="clear" w:color="auto" w:fill="auto"/>
            <w:noWrap/>
            <w:vAlign w:val="center"/>
            <w:hideMark/>
          </w:tcPr>
          <w:p w14:paraId="6623D701" w14:textId="77777777" w:rsidR="00F561A7" w:rsidRPr="00A9330B" w:rsidRDefault="00F561A7" w:rsidP="00F561A7">
            <w:pPr>
              <w:spacing w:before="0" w:line="240" w:lineRule="auto"/>
              <w:rPr>
                <w:rFonts w:cs="Arial"/>
                <w:b/>
                <w:bCs/>
                <w:color w:val="000000"/>
                <w:sz w:val="18"/>
                <w:szCs w:val="18"/>
                <w:lang w:eastAsia="fr-FR"/>
              </w:rPr>
            </w:pPr>
          </w:p>
        </w:tc>
        <w:tc>
          <w:tcPr>
            <w:tcW w:w="1940" w:type="dxa"/>
            <w:tcBorders>
              <w:top w:val="nil"/>
              <w:left w:val="nil"/>
              <w:bottom w:val="single" w:sz="4" w:space="0" w:color="auto"/>
              <w:right w:val="single" w:sz="4" w:space="0" w:color="auto"/>
            </w:tcBorders>
            <w:shd w:val="clear" w:color="auto" w:fill="auto"/>
            <w:noWrap/>
            <w:vAlign w:val="center"/>
            <w:hideMark/>
          </w:tcPr>
          <w:p w14:paraId="07FC1FDA" w14:textId="77777777" w:rsidR="00F561A7" w:rsidRPr="00A9330B" w:rsidRDefault="00F561A7" w:rsidP="00F561A7">
            <w:pPr>
              <w:spacing w:before="0" w:line="240" w:lineRule="auto"/>
              <w:jc w:val="center"/>
              <w:rPr>
                <w:rFonts w:cs="Arial"/>
                <w:b/>
                <w:bCs/>
                <w:color w:val="000000"/>
                <w:sz w:val="18"/>
                <w:szCs w:val="18"/>
                <w:lang w:eastAsia="fr-FR"/>
              </w:rPr>
            </w:pPr>
            <w:r w:rsidRPr="00A9330B">
              <w:rPr>
                <w:rFonts w:cs="Arial"/>
                <w:b/>
                <w:bCs/>
                <w:color w:val="000000"/>
                <w:sz w:val="18"/>
                <w:szCs w:val="18"/>
                <w:lang w:eastAsia="fr-FR"/>
              </w:rPr>
              <w:t>24,94</w:t>
            </w:r>
          </w:p>
        </w:tc>
      </w:tr>
      <w:tr w:rsidR="00F561A7" w:rsidRPr="00A9330B" w14:paraId="0E1DF23D" w14:textId="77777777" w:rsidTr="00F561A7">
        <w:trPr>
          <w:trHeight w:val="288"/>
          <w:jc w:val="center"/>
        </w:trPr>
        <w:tc>
          <w:tcPr>
            <w:tcW w:w="1529"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FB4F1EC" w14:textId="77777777" w:rsidR="00F561A7" w:rsidRPr="00A9330B" w:rsidRDefault="00F561A7" w:rsidP="00F561A7">
            <w:pPr>
              <w:spacing w:before="0" w:line="240" w:lineRule="auto"/>
              <w:jc w:val="center"/>
              <w:rPr>
                <w:rFonts w:cs="Arial"/>
                <w:b/>
                <w:bCs/>
                <w:color w:val="000000"/>
                <w:sz w:val="18"/>
                <w:szCs w:val="18"/>
                <w:lang w:eastAsia="fr-FR"/>
              </w:rPr>
            </w:pPr>
            <w:r w:rsidRPr="00A9330B">
              <w:rPr>
                <w:rFonts w:cs="Arial"/>
                <w:b/>
                <w:bCs/>
                <w:color w:val="000000"/>
                <w:sz w:val="18"/>
                <w:szCs w:val="18"/>
                <w:lang w:eastAsia="fr-FR"/>
              </w:rPr>
              <w:t>Homme</w:t>
            </w:r>
          </w:p>
        </w:tc>
        <w:tc>
          <w:tcPr>
            <w:tcW w:w="3335" w:type="dxa"/>
            <w:tcBorders>
              <w:top w:val="nil"/>
              <w:left w:val="nil"/>
              <w:bottom w:val="single" w:sz="4" w:space="0" w:color="auto"/>
              <w:right w:val="single" w:sz="4" w:space="0" w:color="auto"/>
            </w:tcBorders>
            <w:shd w:val="clear" w:color="auto" w:fill="auto"/>
            <w:noWrap/>
            <w:vAlign w:val="center"/>
            <w:hideMark/>
          </w:tcPr>
          <w:p w14:paraId="1BB1D044" w14:textId="77777777" w:rsidR="00F561A7" w:rsidRPr="00A9330B" w:rsidRDefault="00F561A7" w:rsidP="00F561A7">
            <w:pPr>
              <w:spacing w:before="0" w:line="240" w:lineRule="auto"/>
              <w:ind w:firstLineChars="100" w:firstLine="180"/>
              <w:rPr>
                <w:rFonts w:cs="Arial"/>
                <w:color w:val="000000"/>
                <w:sz w:val="18"/>
                <w:szCs w:val="18"/>
                <w:lang w:eastAsia="fr-FR"/>
              </w:rPr>
            </w:pPr>
            <w:r w:rsidRPr="00A9330B">
              <w:rPr>
                <w:rFonts w:cs="Arial"/>
                <w:color w:val="000000"/>
                <w:sz w:val="18"/>
                <w:szCs w:val="18"/>
                <w:lang w:eastAsia="fr-FR"/>
              </w:rPr>
              <w:t>Agent  Santé</w:t>
            </w:r>
          </w:p>
        </w:tc>
        <w:tc>
          <w:tcPr>
            <w:tcW w:w="1940" w:type="dxa"/>
            <w:tcBorders>
              <w:top w:val="nil"/>
              <w:left w:val="nil"/>
              <w:bottom w:val="single" w:sz="4" w:space="0" w:color="auto"/>
              <w:right w:val="single" w:sz="4" w:space="0" w:color="auto"/>
            </w:tcBorders>
            <w:shd w:val="clear" w:color="auto" w:fill="auto"/>
            <w:noWrap/>
            <w:vAlign w:val="center"/>
            <w:hideMark/>
          </w:tcPr>
          <w:p w14:paraId="0F8F78E7" w14:textId="77777777" w:rsidR="00F561A7" w:rsidRPr="00A9330B" w:rsidRDefault="00F561A7" w:rsidP="00F561A7">
            <w:pPr>
              <w:spacing w:before="0" w:line="240" w:lineRule="auto"/>
              <w:jc w:val="center"/>
              <w:rPr>
                <w:rFonts w:cs="Arial"/>
                <w:color w:val="000000"/>
                <w:sz w:val="18"/>
                <w:szCs w:val="18"/>
                <w:lang w:eastAsia="fr-FR"/>
              </w:rPr>
            </w:pPr>
            <w:r w:rsidRPr="00A9330B">
              <w:rPr>
                <w:rFonts w:cs="Arial"/>
                <w:color w:val="000000"/>
                <w:sz w:val="18"/>
                <w:szCs w:val="18"/>
                <w:lang w:eastAsia="fr-FR"/>
              </w:rPr>
              <w:t>1,98</w:t>
            </w:r>
          </w:p>
        </w:tc>
      </w:tr>
      <w:tr w:rsidR="00F561A7" w:rsidRPr="00A9330B" w14:paraId="14EAC2D9" w14:textId="77777777" w:rsidTr="00F561A7">
        <w:trPr>
          <w:trHeight w:val="288"/>
          <w:jc w:val="center"/>
        </w:trPr>
        <w:tc>
          <w:tcPr>
            <w:tcW w:w="1529" w:type="dxa"/>
            <w:vMerge/>
            <w:tcBorders>
              <w:top w:val="nil"/>
              <w:left w:val="single" w:sz="4" w:space="0" w:color="auto"/>
              <w:bottom w:val="single" w:sz="4" w:space="0" w:color="auto"/>
              <w:right w:val="single" w:sz="4" w:space="0" w:color="auto"/>
            </w:tcBorders>
            <w:vAlign w:val="center"/>
            <w:hideMark/>
          </w:tcPr>
          <w:p w14:paraId="2DE2CA1B" w14:textId="77777777" w:rsidR="00F561A7" w:rsidRPr="00A9330B" w:rsidRDefault="00F561A7" w:rsidP="00F561A7">
            <w:pPr>
              <w:spacing w:before="0" w:line="240" w:lineRule="auto"/>
              <w:jc w:val="center"/>
              <w:rPr>
                <w:rFonts w:cs="Arial"/>
                <w:b/>
                <w:bCs/>
                <w:color w:val="000000"/>
                <w:sz w:val="18"/>
                <w:szCs w:val="18"/>
                <w:lang w:eastAsia="fr-FR"/>
              </w:rPr>
            </w:pPr>
          </w:p>
        </w:tc>
        <w:tc>
          <w:tcPr>
            <w:tcW w:w="3335" w:type="dxa"/>
            <w:tcBorders>
              <w:top w:val="nil"/>
              <w:left w:val="nil"/>
              <w:bottom w:val="single" w:sz="4" w:space="0" w:color="auto"/>
              <w:right w:val="single" w:sz="4" w:space="0" w:color="auto"/>
            </w:tcBorders>
            <w:shd w:val="clear" w:color="auto" w:fill="auto"/>
            <w:noWrap/>
            <w:vAlign w:val="center"/>
            <w:hideMark/>
          </w:tcPr>
          <w:p w14:paraId="70702D45" w14:textId="77777777" w:rsidR="00F561A7" w:rsidRPr="00A9330B" w:rsidRDefault="00F561A7" w:rsidP="00F561A7">
            <w:pPr>
              <w:spacing w:before="0" w:line="240" w:lineRule="auto"/>
              <w:ind w:firstLineChars="100" w:firstLine="180"/>
              <w:rPr>
                <w:rFonts w:cs="Arial"/>
                <w:color w:val="000000"/>
                <w:sz w:val="18"/>
                <w:szCs w:val="18"/>
                <w:lang w:eastAsia="fr-FR"/>
              </w:rPr>
            </w:pPr>
            <w:r w:rsidRPr="00A9330B">
              <w:rPr>
                <w:rFonts w:cs="Arial"/>
                <w:color w:val="000000"/>
                <w:sz w:val="18"/>
                <w:szCs w:val="18"/>
                <w:lang w:eastAsia="fr-FR"/>
              </w:rPr>
              <w:t>Agent Bénin télécom</w:t>
            </w:r>
          </w:p>
        </w:tc>
        <w:tc>
          <w:tcPr>
            <w:tcW w:w="1940" w:type="dxa"/>
            <w:tcBorders>
              <w:top w:val="nil"/>
              <w:left w:val="nil"/>
              <w:bottom w:val="single" w:sz="4" w:space="0" w:color="auto"/>
              <w:right w:val="single" w:sz="4" w:space="0" w:color="auto"/>
            </w:tcBorders>
            <w:shd w:val="clear" w:color="auto" w:fill="auto"/>
            <w:noWrap/>
            <w:vAlign w:val="center"/>
            <w:hideMark/>
          </w:tcPr>
          <w:p w14:paraId="1A85AA80" w14:textId="77777777" w:rsidR="00F561A7" w:rsidRPr="00A9330B" w:rsidRDefault="00F561A7" w:rsidP="00F561A7">
            <w:pPr>
              <w:spacing w:before="0" w:line="240" w:lineRule="auto"/>
              <w:jc w:val="center"/>
              <w:rPr>
                <w:rFonts w:cs="Arial"/>
                <w:color w:val="000000"/>
                <w:sz w:val="18"/>
                <w:szCs w:val="18"/>
                <w:lang w:eastAsia="fr-FR"/>
              </w:rPr>
            </w:pPr>
            <w:r w:rsidRPr="00A9330B">
              <w:rPr>
                <w:rFonts w:cs="Arial"/>
                <w:color w:val="000000"/>
                <w:sz w:val="18"/>
                <w:szCs w:val="18"/>
                <w:lang w:eastAsia="fr-FR"/>
              </w:rPr>
              <w:t>0,25</w:t>
            </w:r>
          </w:p>
        </w:tc>
      </w:tr>
      <w:tr w:rsidR="00F561A7" w:rsidRPr="00A9330B" w14:paraId="32F85FD4" w14:textId="77777777" w:rsidTr="00F561A7">
        <w:trPr>
          <w:trHeight w:val="288"/>
          <w:jc w:val="center"/>
        </w:trPr>
        <w:tc>
          <w:tcPr>
            <w:tcW w:w="1529" w:type="dxa"/>
            <w:vMerge/>
            <w:tcBorders>
              <w:top w:val="nil"/>
              <w:left w:val="single" w:sz="4" w:space="0" w:color="auto"/>
              <w:bottom w:val="single" w:sz="4" w:space="0" w:color="auto"/>
              <w:right w:val="single" w:sz="4" w:space="0" w:color="auto"/>
            </w:tcBorders>
            <w:vAlign w:val="center"/>
            <w:hideMark/>
          </w:tcPr>
          <w:p w14:paraId="0D41CA37" w14:textId="77777777" w:rsidR="00F561A7" w:rsidRPr="00A9330B" w:rsidRDefault="00F561A7" w:rsidP="00F561A7">
            <w:pPr>
              <w:spacing w:before="0" w:line="240" w:lineRule="auto"/>
              <w:jc w:val="center"/>
              <w:rPr>
                <w:rFonts w:cs="Arial"/>
                <w:b/>
                <w:bCs/>
                <w:color w:val="000000"/>
                <w:sz w:val="18"/>
                <w:szCs w:val="18"/>
                <w:lang w:eastAsia="fr-FR"/>
              </w:rPr>
            </w:pPr>
          </w:p>
        </w:tc>
        <w:tc>
          <w:tcPr>
            <w:tcW w:w="3335" w:type="dxa"/>
            <w:tcBorders>
              <w:top w:val="nil"/>
              <w:left w:val="nil"/>
              <w:bottom w:val="single" w:sz="4" w:space="0" w:color="auto"/>
              <w:right w:val="single" w:sz="4" w:space="0" w:color="auto"/>
            </w:tcBorders>
            <w:shd w:val="clear" w:color="auto" w:fill="auto"/>
            <w:noWrap/>
            <w:vAlign w:val="center"/>
            <w:hideMark/>
          </w:tcPr>
          <w:p w14:paraId="2FF7491E" w14:textId="77777777" w:rsidR="00F561A7" w:rsidRPr="00A9330B" w:rsidRDefault="00F561A7" w:rsidP="00F561A7">
            <w:pPr>
              <w:spacing w:before="0" w:line="240" w:lineRule="auto"/>
              <w:ind w:firstLineChars="100" w:firstLine="180"/>
              <w:rPr>
                <w:rFonts w:cs="Arial"/>
                <w:color w:val="000000"/>
                <w:sz w:val="18"/>
                <w:szCs w:val="18"/>
                <w:lang w:eastAsia="fr-FR"/>
              </w:rPr>
            </w:pPr>
            <w:r w:rsidRPr="00A9330B">
              <w:rPr>
                <w:rFonts w:cs="Arial"/>
                <w:color w:val="000000"/>
                <w:sz w:val="18"/>
                <w:szCs w:val="18"/>
                <w:lang w:eastAsia="fr-FR"/>
              </w:rPr>
              <w:t>Agent de développement rural</w:t>
            </w:r>
          </w:p>
        </w:tc>
        <w:tc>
          <w:tcPr>
            <w:tcW w:w="1940" w:type="dxa"/>
            <w:tcBorders>
              <w:top w:val="nil"/>
              <w:left w:val="nil"/>
              <w:bottom w:val="single" w:sz="4" w:space="0" w:color="auto"/>
              <w:right w:val="single" w:sz="4" w:space="0" w:color="auto"/>
            </w:tcBorders>
            <w:shd w:val="clear" w:color="auto" w:fill="auto"/>
            <w:noWrap/>
            <w:vAlign w:val="center"/>
            <w:hideMark/>
          </w:tcPr>
          <w:p w14:paraId="3CBCD306" w14:textId="77777777" w:rsidR="00F561A7" w:rsidRPr="00A9330B" w:rsidRDefault="00F561A7" w:rsidP="00F561A7">
            <w:pPr>
              <w:spacing w:before="0" w:line="240" w:lineRule="auto"/>
              <w:jc w:val="center"/>
              <w:rPr>
                <w:rFonts w:cs="Arial"/>
                <w:color w:val="000000"/>
                <w:sz w:val="18"/>
                <w:szCs w:val="18"/>
                <w:lang w:eastAsia="fr-FR"/>
              </w:rPr>
            </w:pPr>
            <w:r w:rsidRPr="00A9330B">
              <w:rPr>
                <w:rFonts w:cs="Arial"/>
                <w:color w:val="000000"/>
                <w:sz w:val="18"/>
                <w:szCs w:val="18"/>
                <w:lang w:eastAsia="fr-FR"/>
              </w:rPr>
              <w:t>0,25</w:t>
            </w:r>
          </w:p>
        </w:tc>
      </w:tr>
      <w:tr w:rsidR="00F561A7" w:rsidRPr="00A9330B" w14:paraId="0D65893B" w14:textId="77777777" w:rsidTr="00F561A7">
        <w:trPr>
          <w:trHeight w:val="288"/>
          <w:jc w:val="center"/>
        </w:trPr>
        <w:tc>
          <w:tcPr>
            <w:tcW w:w="1529" w:type="dxa"/>
            <w:vMerge/>
            <w:tcBorders>
              <w:top w:val="nil"/>
              <w:left w:val="single" w:sz="4" w:space="0" w:color="auto"/>
              <w:bottom w:val="single" w:sz="4" w:space="0" w:color="auto"/>
              <w:right w:val="single" w:sz="4" w:space="0" w:color="auto"/>
            </w:tcBorders>
            <w:vAlign w:val="center"/>
            <w:hideMark/>
          </w:tcPr>
          <w:p w14:paraId="7D8108E6" w14:textId="77777777" w:rsidR="00F561A7" w:rsidRPr="00A9330B" w:rsidRDefault="00F561A7" w:rsidP="00F561A7">
            <w:pPr>
              <w:spacing w:before="0" w:line="240" w:lineRule="auto"/>
              <w:jc w:val="center"/>
              <w:rPr>
                <w:rFonts w:cs="Arial"/>
                <w:b/>
                <w:bCs/>
                <w:color w:val="000000"/>
                <w:sz w:val="18"/>
                <w:szCs w:val="18"/>
                <w:lang w:eastAsia="fr-FR"/>
              </w:rPr>
            </w:pPr>
          </w:p>
        </w:tc>
        <w:tc>
          <w:tcPr>
            <w:tcW w:w="3335" w:type="dxa"/>
            <w:tcBorders>
              <w:top w:val="nil"/>
              <w:left w:val="nil"/>
              <w:bottom w:val="single" w:sz="4" w:space="0" w:color="auto"/>
              <w:right w:val="single" w:sz="4" w:space="0" w:color="auto"/>
            </w:tcBorders>
            <w:shd w:val="clear" w:color="auto" w:fill="auto"/>
            <w:noWrap/>
            <w:vAlign w:val="center"/>
            <w:hideMark/>
          </w:tcPr>
          <w:p w14:paraId="5A3F6B4B" w14:textId="77777777" w:rsidR="00F561A7" w:rsidRPr="00A9330B" w:rsidRDefault="00F561A7" w:rsidP="00F561A7">
            <w:pPr>
              <w:spacing w:before="0" w:line="240" w:lineRule="auto"/>
              <w:ind w:firstLineChars="100" w:firstLine="180"/>
              <w:rPr>
                <w:rFonts w:cs="Arial"/>
                <w:color w:val="000000"/>
                <w:sz w:val="18"/>
                <w:szCs w:val="18"/>
                <w:lang w:eastAsia="fr-FR"/>
              </w:rPr>
            </w:pPr>
            <w:r w:rsidRPr="00A9330B">
              <w:rPr>
                <w:rFonts w:cs="Arial"/>
                <w:color w:val="000000"/>
                <w:sz w:val="18"/>
                <w:szCs w:val="18"/>
                <w:lang w:eastAsia="fr-FR"/>
              </w:rPr>
              <w:t>Agent de sécurité</w:t>
            </w:r>
          </w:p>
        </w:tc>
        <w:tc>
          <w:tcPr>
            <w:tcW w:w="1940" w:type="dxa"/>
            <w:tcBorders>
              <w:top w:val="nil"/>
              <w:left w:val="nil"/>
              <w:bottom w:val="single" w:sz="4" w:space="0" w:color="auto"/>
              <w:right w:val="single" w:sz="4" w:space="0" w:color="auto"/>
            </w:tcBorders>
            <w:shd w:val="clear" w:color="auto" w:fill="auto"/>
            <w:noWrap/>
            <w:vAlign w:val="center"/>
            <w:hideMark/>
          </w:tcPr>
          <w:p w14:paraId="4E04134E" w14:textId="77777777" w:rsidR="00F561A7" w:rsidRPr="00A9330B" w:rsidRDefault="00F561A7" w:rsidP="00F561A7">
            <w:pPr>
              <w:spacing w:before="0" w:line="240" w:lineRule="auto"/>
              <w:jc w:val="center"/>
              <w:rPr>
                <w:rFonts w:cs="Arial"/>
                <w:color w:val="000000"/>
                <w:sz w:val="18"/>
                <w:szCs w:val="18"/>
                <w:lang w:eastAsia="fr-FR"/>
              </w:rPr>
            </w:pPr>
            <w:r w:rsidRPr="00A9330B">
              <w:rPr>
                <w:rFonts w:cs="Arial"/>
                <w:color w:val="000000"/>
                <w:sz w:val="18"/>
                <w:szCs w:val="18"/>
                <w:lang w:eastAsia="fr-FR"/>
              </w:rPr>
              <w:t>0,99</w:t>
            </w:r>
          </w:p>
        </w:tc>
      </w:tr>
      <w:tr w:rsidR="00F561A7" w:rsidRPr="00A9330B" w14:paraId="247CDCE3" w14:textId="77777777" w:rsidTr="00F561A7">
        <w:trPr>
          <w:trHeight w:val="288"/>
          <w:jc w:val="center"/>
        </w:trPr>
        <w:tc>
          <w:tcPr>
            <w:tcW w:w="1529" w:type="dxa"/>
            <w:vMerge/>
            <w:tcBorders>
              <w:top w:val="nil"/>
              <w:left w:val="single" w:sz="4" w:space="0" w:color="auto"/>
              <w:bottom w:val="single" w:sz="4" w:space="0" w:color="auto"/>
              <w:right w:val="single" w:sz="4" w:space="0" w:color="auto"/>
            </w:tcBorders>
            <w:vAlign w:val="center"/>
            <w:hideMark/>
          </w:tcPr>
          <w:p w14:paraId="0B4E5382" w14:textId="77777777" w:rsidR="00F561A7" w:rsidRPr="00A9330B" w:rsidRDefault="00F561A7" w:rsidP="00F561A7">
            <w:pPr>
              <w:spacing w:before="0" w:line="240" w:lineRule="auto"/>
              <w:jc w:val="center"/>
              <w:rPr>
                <w:rFonts w:cs="Arial"/>
                <w:b/>
                <w:bCs/>
                <w:color w:val="000000"/>
                <w:sz w:val="18"/>
                <w:szCs w:val="18"/>
                <w:lang w:eastAsia="fr-FR"/>
              </w:rPr>
            </w:pPr>
          </w:p>
        </w:tc>
        <w:tc>
          <w:tcPr>
            <w:tcW w:w="3335" w:type="dxa"/>
            <w:tcBorders>
              <w:top w:val="nil"/>
              <w:left w:val="nil"/>
              <w:bottom w:val="single" w:sz="4" w:space="0" w:color="auto"/>
              <w:right w:val="single" w:sz="4" w:space="0" w:color="auto"/>
            </w:tcBorders>
            <w:shd w:val="clear" w:color="auto" w:fill="auto"/>
            <w:noWrap/>
            <w:vAlign w:val="center"/>
            <w:hideMark/>
          </w:tcPr>
          <w:p w14:paraId="56E6691C" w14:textId="77777777" w:rsidR="00F561A7" w:rsidRPr="00A9330B" w:rsidRDefault="00F561A7" w:rsidP="00F561A7">
            <w:pPr>
              <w:spacing w:before="0" w:line="240" w:lineRule="auto"/>
              <w:ind w:firstLineChars="100" w:firstLine="180"/>
              <w:rPr>
                <w:rFonts w:cs="Arial"/>
                <w:color w:val="000000"/>
                <w:sz w:val="18"/>
                <w:szCs w:val="18"/>
                <w:lang w:eastAsia="fr-FR"/>
              </w:rPr>
            </w:pPr>
            <w:r w:rsidRPr="00A9330B">
              <w:rPr>
                <w:rFonts w:cs="Arial"/>
                <w:color w:val="000000"/>
                <w:sz w:val="18"/>
                <w:szCs w:val="18"/>
                <w:lang w:eastAsia="fr-FR"/>
              </w:rPr>
              <w:t>Agent des FAB</w:t>
            </w:r>
          </w:p>
        </w:tc>
        <w:tc>
          <w:tcPr>
            <w:tcW w:w="1940" w:type="dxa"/>
            <w:tcBorders>
              <w:top w:val="nil"/>
              <w:left w:val="nil"/>
              <w:bottom w:val="single" w:sz="4" w:space="0" w:color="auto"/>
              <w:right w:val="single" w:sz="4" w:space="0" w:color="auto"/>
            </w:tcBorders>
            <w:shd w:val="clear" w:color="auto" w:fill="auto"/>
            <w:noWrap/>
            <w:vAlign w:val="center"/>
            <w:hideMark/>
          </w:tcPr>
          <w:p w14:paraId="605B2A91" w14:textId="77777777" w:rsidR="00F561A7" w:rsidRPr="00A9330B" w:rsidRDefault="00F561A7" w:rsidP="00F561A7">
            <w:pPr>
              <w:spacing w:before="0" w:line="240" w:lineRule="auto"/>
              <w:jc w:val="center"/>
              <w:rPr>
                <w:rFonts w:cs="Arial"/>
                <w:color w:val="000000"/>
                <w:sz w:val="18"/>
                <w:szCs w:val="18"/>
                <w:lang w:eastAsia="fr-FR"/>
              </w:rPr>
            </w:pPr>
            <w:r w:rsidRPr="00A9330B">
              <w:rPr>
                <w:rFonts w:cs="Arial"/>
                <w:color w:val="000000"/>
                <w:sz w:val="18"/>
                <w:szCs w:val="18"/>
                <w:lang w:eastAsia="fr-FR"/>
              </w:rPr>
              <w:t>1,73</w:t>
            </w:r>
          </w:p>
        </w:tc>
      </w:tr>
      <w:tr w:rsidR="00F561A7" w:rsidRPr="00A9330B" w14:paraId="4A760ED4" w14:textId="77777777" w:rsidTr="00F561A7">
        <w:trPr>
          <w:trHeight w:val="288"/>
          <w:jc w:val="center"/>
        </w:trPr>
        <w:tc>
          <w:tcPr>
            <w:tcW w:w="1529" w:type="dxa"/>
            <w:vMerge/>
            <w:tcBorders>
              <w:top w:val="nil"/>
              <w:left w:val="single" w:sz="4" w:space="0" w:color="auto"/>
              <w:bottom w:val="single" w:sz="4" w:space="0" w:color="auto"/>
              <w:right w:val="single" w:sz="4" w:space="0" w:color="auto"/>
            </w:tcBorders>
            <w:vAlign w:val="center"/>
            <w:hideMark/>
          </w:tcPr>
          <w:p w14:paraId="6532ACA1" w14:textId="77777777" w:rsidR="00F561A7" w:rsidRPr="00A9330B" w:rsidRDefault="00F561A7" w:rsidP="00F561A7">
            <w:pPr>
              <w:spacing w:before="0" w:line="240" w:lineRule="auto"/>
              <w:jc w:val="center"/>
              <w:rPr>
                <w:rFonts w:cs="Arial"/>
                <w:b/>
                <w:bCs/>
                <w:color w:val="000000"/>
                <w:sz w:val="18"/>
                <w:szCs w:val="18"/>
                <w:lang w:eastAsia="fr-FR"/>
              </w:rPr>
            </w:pPr>
          </w:p>
        </w:tc>
        <w:tc>
          <w:tcPr>
            <w:tcW w:w="3335" w:type="dxa"/>
            <w:tcBorders>
              <w:top w:val="nil"/>
              <w:left w:val="nil"/>
              <w:bottom w:val="single" w:sz="4" w:space="0" w:color="auto"/>
              <w:right w:val="single" w:sz="4" w:space="0" w:color="auto"/>
            </w:tcBorders>
            <w:shd w:val="clear" w:color="auto" w:fill="auto"/>
            <w:noWrap/>
            <w:vAlign w:val="center"/>
            <w:hideMark/>
          </w:tcPr>
          <w:p w14:paraId="64159738" w14:textId="77777777" w:rsidR="00F561A7" w:rsidRPr="00A9330B" w:rsidRDefault="00F561A7" w:rsidP="00F561A7">
            <w:pPr>
              <w:spacing w:before="0" w:line="240" w:lineRule="auto"/>
              <w:ind w:firstLineChars="100" w:firstLine="180"/>
              <w:rPr>
                <w:rFonts w:cs="Arial"/>
                <w:color w:val="000000"/>
                <w:sz w:val="18"/>
                <w:szCs w:val="18"/>
                <w:lang w:eastAsia="fr-FR"/>
              </w:rPr>
            </w:pPr>
            <w:r w:rsidRPr="00A9330B">
              <w:rPr>
                <w:rFonts w:cs="Arial"/>
                <w:color w:val="000000"/>
                <w:sz w:val="18"/>
                <w:szCs w:val="18"/>
                <w:lang w:eastAsia="fr-FR"/>
              </w:rPr>
              <w:t>Agent financier</w:t>
            </w:r>
          </w:p>
        </w:tc>
        <w:tc>
          <w:tcPr>
            <w:tcW w:w="1940" w:type="dxa"/>
            <w:tcBorders>
              <w:top w:val="nil"/>
              <w:left w:val="nil"/>
              <w:bottom w:val="single" w:sz="4" w:space="0" w:color="auto"/>
              <w:right w:val="single" w:sz="4" w:space="0" w:color="auto"/>
            </w:tcBorders>
            <w:shd w:val="clear" w:color="auto" w:fill="auto"/>
            <w:noWrap/>
            <w:vAlign w:val="center"/>
            <w:hideMark/>
          </w:tcPr>
          <w:p w14:paraId="2B572D6A" w14:textId="77777777" w:rsidR="00F561A7" w:rsidRPr="00A9330B" w:rsidRDefault="00F561A7" w:rsidP="00F561A7">
            <w:pPr>
              <w:spacing w:before="0" w:line="240" w:lineRule="auto"/>
              <w:jc w:val="center"/>
              <w:rPr>
                <w:rFonts w:cs="Arial"/>
                <w:color w:val="000000"/>
                <w:sz w:val="18"/>
                <w:szCs w:val="18"/>
                <w:lang w:eastAsia="fr-FR"/>
              </w:rPr>
            </w:pPr>
            <w:r w:rsidRPr="00A9330B">
              <w:rPr>
                <w:rFonts w:cs="Arial"/>
                <w:color w:val="000000"/>
                <w:sz w:val="18"/>
                <w:szCs w:val="18"/>
                <w:lang w:eastAsia="fr-FR"/>
              </w:rPr>
              <w:t>0,74</w:t>
            </w:r>
          </w:p>
        </w:tc>
      </w:tr>
      <w:tr w:rsidR="00F561A7" w:rsidRPr="00A9330B" w14:paraId="5C495A41" w14:textId="77777777" w:rsidTr="00F561A7">
        <w:trPr>
          <w:trHeight w:val="288"/>
          <w:jc w:val="center"/>
        </w:trPr>
        <w:tc>
          <w:tcPr>
            <w:tcW w:w="1529" w:type="dxa"/>
            <w:vMerge/>
            <w:tcBorders>
              <w:top w:val="nil"/>
              <w:left w:val="single" w:sz="4" w:space="0" w:color="auto"/>
              <w:bottom w:val="single" w:sz="4" w:space="0" w:color="auto"/>
              <w:right w:val="single" w:sz="4" w:space="0" w:color="auto"/>
            </w:tcBorders>
            <w:vAlign w:val="center"/>
            <w:hideMark/>
          </w:tcPr>
          <w:p w14:paraId="2E23B442" w14:textId="77777777" w:rsidR="00F561A7" w:rsidRPr="00A9330B" w:rsidRDefault="00F561A7" w:rsidP="00F561A7">
            <w:pPr>
              <w:spacing w:before="0" w:line="240" w:lineRule="auto"/>
              <w:jc w:val="center"/>
              <w:rPr>
                <w:rFonts w:cs="Arial"/>
                <w:b/>
                <w:bCs/>
                <w:color w:val="000000"/>
                <w:sz w:val="18"/>
                <w:szCs w:val="18"/>
                <w:lang w:eastAsia="fr-FR"/>
              </w:rPr>
            </w:pPr>
          </w:p>
        </w:tc>
        <w:tc>
          <w:tcPr>
            <w:tcW w:w="3335" w:type="dxa"/>
            <w:tcBorders>
              <w:top w:val="nil"/>
              <w:left w:val="nil"/>
              <w:bottom w:val="single" w:sz="4" w:space="0" w:color="auto"/>
              <w:right w:val="single" w:sz="4" w:space="0" w:color="auto"/>
            </w:tcBorders>
            <w:shd w:val="clear" w:color="auto" w:fill="auto"/>
            <w:noWrap/>
            <w:vAlign w:val="center"/>
            <w:hideMark/>
          </w:tcPr>
          <w:p w14:paraId="2AC70844" w14:textId="77777777" w:rsidR="00F561A7" w:rsidRPr="00A9330B" w:rsidRDefault="00F561A7" w:rsidP="00F561A7">
            <w:pPr>
              <w:spacing w:before="0" w:line="240" w:lineRule="auto"/>
              <w:ind w:firstLineChars="100" w:firstLine="180"/>
              <w:rPr>
                <w:rFonts w:cs="Arial"/>
                <w:color w:val="000000"/>
                <w:sz w:val="18"/>
                <w:szCs w:val="18"/>
                <w:lang w:eastAsia="fr-FR"/>
              </w:rPr>
            </w:pPr>
            <w:r w:rsidRPr="00A9330B">
              <w:rPr>
                <w:rFonts w:cs="Arial"/>
                <w:color w:val="000000"/>
                <w:sz w:val="18"/>
                <w:szCs w:val="18"/>
                <w:lang w:eastAsia="fr-FR"/>
              </w:rPr>
              <w:t>Agent TP</w:t>
            </w:r>
          </w:p>
        </w:tc>
        <w:tc>
          <w:tcPr>
            <w:tcW w:w="1940" w:type="dxa"/>
            <w:tcBorders>
              <w:top w:val="nil"/>
              <w:left w:val="nil"/>
              <w:bottom w:val="single" w:sz="4" w:space="0" w:color="auto"/>
              <w:right w:val="single" w:sz="4" w:space="0" w:color="auto"/>
            </w:tcBorders>
            <w:shd w:val="clear" w:color="auto" w:fill="auto"/>
            <w:noWrap/>
            <w:vAlign w:val="center"/>
            <w:hideMark/>
          </w:tcPr>
          <w:p w14:paraId="3094ECB3" w14:textId="77777777" w:rsidR="00F561A7" w:rsidRPr="00A9330B" w:rsidRDefault="00F561A7" w:rsidP="00F561A7">
            <w:pPr>
              <w:spacing w:before="0" w:line="240" w:lineRule="auto"/>
              <w:jc w:val="center"/>
              <w:rPr>
                <w:rFonts w:cs="Arial"/>
                <w:color w:val="000000"/>
                <w:sz w:val="18"/>
                <w:szCs w:val="18"/>
                <w:lang w:eastAsia="fr-FR"/>
              </w:rPr>
            </w:pPr>
            <w:r w:rsidRPr="00A9330B">
              <w:rPr>
                <w:rFonts w:cs="Arial"/>
                <w:color w:val="000000"/>
                <w:sz w:val="18"/>
                <w:szCs w:val="18"/>
                <w:lang w:eastAsia="fr-FR"/>
              </w:rPr>
              <w:t>0,25</w:t>
            </w:r>
          </w:p>
        </w:tc>
      </w:tr>
      <w:tr w:rsidR="00F561A7" w:rsidRPr="00A9330B" w14:paraId="4FB030FC" w14:textId="77777777" w:rsidTr="00F561A7">
        <w:trPr>
          <w:trHeight w:val="288"/>
          <w:jc w:val="center"/>
        </w:trPr>
        <w:tc>
          <w:tcPr>
            <w:tcW w:w="1529" w:type="dxa"/>
            <w:vMerge/>
            <w:tcBorders>
              <w:top w:val="nil"/>
              <w:left w:val="single" w:sz="4" w:space="0" w:color="auto"/>
              <w:bottom w:val="single" w:sz="4" w:space="0" w:color="auto"/>
              <w:right w:val="single" w:sz="4" w:space="0" w:color="auto"/>
            </w:tcBorders>
            <w:vAlign w:val="center"/>
            <w:hideMark/>
          </w:tcPr>
          <w:p w14:paraId="0518578B" w14:textId="77777777" w:rsidR="00F561A7" w:rsidRPr="00A9330B" w:rsidRDefault="00F561A7" w:rsidP="00F561A7">
            <w:pPr>
              <w:spacing w:before="0" w:line="240" w:lineRule="auto"/>
              <w:jc w:val="center"/>
              <w:rPr>
                <w:rFonts w:cs="Arial"/>
                <w:b/>
                <w:bCs/>
                <w:color w:val="000000"/>
                <w:sz w:val="18"/>
                <w:szCs w:val="18"/>
                <w:lang w:eastAsia="fr-FR"/>
              </w:rPr>
            </w:pPr>
          </w:p>
        </w:tc>
        <w:tc>
          <w:tcPr>
            <w:tcW w:w="3335" w:type="dxa"/>
            <w:tcBorders>
              <w:top w:val="nil"/>
              <w:left w:val="nil"/>
              <w:bottom w:val="single" w:sz="4" w:space="0" w:color="auto"/>
              <w:right w:val="single" w:sz="4" w:space="0" w:color="auto"/>
            </w:tcBorders>
            <w:shd w:val="clear" w:color="auto" w:fill="auto"/>
            <w:noWrap/>
            <w:vAlign w:val="center"/>
            <w:hideMark/>
          </w:tcPr>
          <w:p w14:paraId="11E32081" w14:textId="77777777" w:rsidR="00F561A7" w:rsidRPr="00A9330B" w:rsidRDefault="00F561A7" w:rsidP="00F561A7">
            <w:pPr>
              <w:spacing w:before="0" w:line="240" w:lineRule="auto"/>
              <w:ind w:firstLineChars="100" w:firstLine="180"/>
              <w:rPr>
                <w:rFonts w:cs="Arial"/>
                <w:color w:val="000000"/>
                <w:sz w:val="18"/>
                <w:szCs w:val="18"/>
                <w:lang w:eastAsia="fr-FR"/>
              </w:rPr>
            </w:pPr>
            <w:r w:rsidRPr="00A9330B">
              <w:rPr>
                <w:rFonts w:cs="Arial"/>
                <w:color w:val="000000"/>
                <w:sz w:val="18"/>
                <w:szCs w:val="18"/>
                <w:lang w:eastAsia="fr-FR"/>
              </w:rPr>
              <w:t>Agent/Bénin Télécom</w:t>
            </w:r>
          </w:p>
        </w:tc>
        <w:tc>
          <w:tcPr>
            <w:tcW w:w="1940" w:type="dxa"/>
            <w:tcBorders>
              <w:top w:val="nil"/>
              <w:left w:val="nil"/>
              <w:bottom w:val="single" w:sz="4" w:space="0" w:color="auto"/>
              <w:right w:val="single" w:sz="4" w:space="0" w:color="auto"/>
            </w:tcBorders>
            <w:shd w:val="clear" w:color="auto" w:fill="auto"/>
            <w:noWrap/>
            <w:vAlign w:val="center"/>
            <w:hideMark/>
          </w:tcPr>
          <w:p w14:paraId="5162A065" w14:textId="77777777" w:rsidR="00F561A7" w:rsidRPr="00A9330B" w:rsidRDefault="00F561A7" w:rsidP="00F561A7">
            <w:pPr>
              <w:spacing w:before="0" w:line="240" w:lineRule="auto"/>
              <w:jc w:val="center"/>
              <w:rPr>
                <w:rFonts w:cs="Arial"/>
                <w:color w:val="000000"/>
                <w:sz w:val="18"/>
                <w:szCs w:val="18"/>
                <w:lang w:eastAsia="fr-FR"/>
              </w:rPr>
            </w:pPr>
            <w:r w:rsidRPr="00A9330B">
              <w:rPr>
                <w:rFonts w:cs="Arial"/>
                <w:color w:val="000000"/>
                <w:sz w:val="18"/>
                <w:szCs w:val="18"/>
                <w:lang w:eastAsia="fr-FR"/>
              </w:rPr>
              <w:t>0,25</w:t>
            </w:r>
          </w:p>
        </w:tc>
      </w:tr>
      <w:tr w:rsidR="00F561A7" w:rsidRPr="00A9330B" w14:paraId="311BFD8B" w14:textId="77777777" w:rsidTr="00F561A7">
        <w:trPr>
          <w:trHeight w:val="288"/>
          <w:jc w:val="center"/>
        </w:trPr>
        <w:tc>
          <w:tcPr>
            <w:tcW w:w="1529" w:type="dxa"/>
            <w:vMerge/>
            <w:tcBorders>
              <w:top w:val="nil"/>
              <w:left w:val="single" w:sz="4" w:space="0" w:color="auto"/>
              <w:bottom w:val="single" w:sz="4" w:space="0" w:color="auto"/>
              <w:right w:val="single" w:sz="4" w:space="0" w:color="auto"/>
            </w:tcBorders>
            <w:vAlign w:val="center"/>
            <w:hideMark/>
          </w:tcPr>
          <w:p w14:paraId="35541BC6" w14:textId="77777777" w:rsidR="00F561A7" w:rsidRPr="00A9330B" w:rsidRDefault="00F561A7" w:rsidP="00F561A7">
            <w:pPr>
              <w:spacing w:before="0" w:line="240" w:lineRule="auto"/>
              <w:jc w:val="center"/>
              <w:rPr>
                <w:rFonts w:cs="Arial"/>
                <w:b/>
                <w:bCs/>
                <w:color w:val="000000"/>
                <w:sz w:val="18"/>
                <w:szCs w:val="18"/>
                <w:lang w:eastAsia="fr-FR"/>
              </w:rPr>
            </w:pPr>
          </w:p>
        </w:tc>
        <w:tc>
          <w:tcPr>
            <w:tcW w:w="3335" w:type="dxa"/>
            <w:tcBorders>
              <w:top w:val="nil"/>
              <w:left w:val="nil"/>
              <w:bottom w:val="single" w:sz="4" w:space="0" w:color="auto"/>
              <w:right w:val="single" w:sz="4" w:space="0" w:color="auto"/>
            </w:tcBorders>
            <w:shd w:val="clear" w:color="auto" w:fill="auto"/>
            <w:noWrap/>
            <w:vAlign w:val="center"/>
            <w:hideMark/>
          </w:tcPr>
          <w:p w14:paraId="76BA47CE" w14:textId="77777777" w:rsidR="00F561A7" w:rsidRPr="00A9330B" w:rsidRDefault="00F561A7" w:rsidP="00F561A7">
            <w:pPr>
              <w:spacing w:before="0" w:line="240" w:lineRule="auto"/>
              <w:ind w:firstLineChars="100" w:firstLine="180"/>
              <w:rPr>
                <w:rFonts w:cs="Arial"/>
                <w:color w:val="000000"/>
                <w:sz w:val="18"/>
                <w:szCs w:val="18"/>
                <w:lang w:eastAsia="fr-FR"/>
              </w:rPr>
            </w:pPr>
            <w:r w:rsidRPr="00A9330B">
              <w:rPr>
                <w:rFonts w:cs="Arial"/>
                <w:color w:val="000000"/>
                <w:sz w:val="18"/>
                <w:szCs w:val="18"/>
                <w:lang w:eastAsia="fr-FR"/>
              </w:rPr>
              <w:t>Agents de la préfecture</w:t>
            </w:r>
          </w:p>
        </w:tc>
        <w:tc>
          <w:tcPr>
            <w:tcW w:w="1940" w:type="dxa"/>
            <w:tcBorders>
              <w:top w:val="nil"/>
              <w:left w:val="nil"/>
              <w:bottom w:val="single" w:sz="4" w:space="0" w:color="auto"/>
              <w:right w:val="single" w:sz="4" w:space="0" w:color="auto"/>
            </w:tcBorders>
            <w:shd w:val="clear" w:color="auto" w:fill="auto"/>
            <w:noWrap/>
            <w:vAlign w:val="center"/>
            <w:hideMark/>
          </w:tcPr>
          <w:p w14:paraId="6361919C" w14:textId="77777777" w:rsidR="00F561A7" w:rsidRPr="00A9330B" w:rsidRDefault="00F561A7" w:rsidP="00F561A7">
            <w:pPr>
              <w:spacing w:before="0" w:line="240" w:lineRule="auto"/>
              <w:jc w:val="center"/>
              <w:rPr>
                <w:rFonts w:cs="Arial"/>
                <w:color w:val="000000"/>
                <w:sz w:val="18"/>
                <w:szCs w:val="18"/>
                <w:lang w:eastAsia="fr-FR"/>
              </w:rPr>
            </w:pPr>
            <w:r w:rsidRPr="00A9330B">
              <w:rPr>
                <w:rFonts w:cs="Arial"/>
                <w:color w:val="000000"/>
                <w:sz w:val="18"/>
                <w:szCs w:val="18"/>
                <w:lang w:eastAsia="fr-FR"/>
              </w:rPr>
              <w:t>0,25</w:t>
            </w:r>
          </w:p>
        </w:tc>
      </w:tr>
      <w:tr w:rsidR="00F561A7" w:rsidRPr="00A9330B" w14:paraId="08D95C49" w14:textId="77777777" w:rsidTr="00F561A7">
        <w:trPr>
          <w:trHeight w:val="288"/>
          <w:jc w:val="center"/>
        </w:trPr>
        <w:tc>
          <w:tcPr>
            <w:tcW w:w="1529" w:type="dxa"/>
            <w:vMerge/>
            <w:tcBorders>
              <w:top w:val="nil"/>
              <w:left w:val="single" w:sz="4" w:space="0" w:color="auto"/>
              <w:bottom w:val="single" w:sz="4" w:space="0" w:color="auto"/>
              <w:right w:val="single" w:sz="4" w:space="0" w:color="auto"/>
            </w:tcBorders>
            <w:vAlign w:val="center"/>
            <w:hideMark/>
          </w:tcPr>
          <w:p w14:paraId="19DA783E" w14:textId="77777777" w:rsidR="00F561A7" w:rsidRPr="00A9330B" w:rsidRDefault="00F561A7" w:rsidP="00F561A7">
            <w:pPr>
              <w:spacing w:before="0" w:line="240" w:lineRule="auto"/>
              <w:jc w:val="center"/>
              <w:rPr>
                <w:rFonts w:cs="Arial"/>
                <w:b/>
                <w:bCs/>
                <w:color w:val="000000"/>
                <w:sz w:val="18"/>
                <w:szCs w:val="18"/>
                <w:lang w:eastAsia="fr-FR"/>
              </w:rPr>
            </w:pPr>
          </w:p>
        </w:tc>
        <w:tc>
          <w:tcPr>
            <w:tcW w:w="3335" w:type="dxa"/>
            <w:tcBorders>
              <w:top w:val="nil"/>
              <w:left w:val="nil"/>
              <w:bottom w:val="single" w:sz="4" w:space="0" w:color="auto"/>
              <w:right w:val="single" w:sz="4" w:space="0" w:color="auto"/>
            </w:tcBorders>
            <w:shd w:val="clear" w:color="auto" w:fill="auto"/>
            <w:noWrap/>
            <w:vAlign w:val="center"/>
            <w:hideMark/>
          </w:tcPr>
          <w:p w14:paraId="6D43A595" w14:textId="77777777" w:rsidR="00F561A7" w:rsidRPr="00A9330B" w:rsidRDefault="00F561A7" w:rsidP="00F561A7">
            <w:pPr>
              <w:spacing w:before="0" w:line="240" w:lineRule="auto"/>
              <w:ind w:firstLineChars="100" w:firstLine="180"/>
              <w:rPr>
                <w:rFonts w:cs="Arial"/>
                <w:color w:val="000000"/>
                <w:sz w:val="18"/>
                <w:szCs w:val="18"/>
                <w:lang w:eastAsia="fr-FR"/>
              </w:rPr>
            </w:pPr>
            <w:r w:rsidRPr="00A9330B">
              <w:rPr>
                <w:rFonts w:cs="Arial"/>
                <w:color w:val="000000"/>
                <w:sz w:val="18"/>
                <w:szCs w:val="18"/>
                <w:lang w:eastAsia="fr-FR"/>
              </w:rPr>
              <w:t>Agents d'entretien</w:t>
            </w:r>
          </w:p>
        </w:tc>
        <w:tc>
          <w:tcPr>
            <w:tcW w:w="1940" w:type="dxa"/>
            <w:tcBorders>
              <w:top w:val="nil"/>
              <w:left w:val="nil"/>
              <w:bottom w:val="single" w:sz="4" w:space="0" w:color="auto"/>
              <w:right w:val="single" w:sz="4" w:space="0" w:color="auto"/>
            </w:tcBorders>
            <w:shd w:val="clear" w:color="auto" w:fill="auto"/>
            <w:noWrap/>
            <w:vAlign w:val="center"/>
            <w:hideMark/>
          </w:tcPr>
          <w:p w14:paraId="573434C5" w14:textId="77777777" w:rsidR="00F561A7" w:rsidRPr="00A9330B" w:rsidRDefault="00F561A7" w:rsidP="00F561A7">
            <w:pPr>
              <w:spacing w:before="0" w:line="240" w:lineRule="auto"/>
              <w:jc w:val="center"/>
              <w:rPr>
                <w:rFonts w:cs="Arial"/>
                <w:color w:val="000000"/>
                <w:sz w:val="18"/>
                <w:szCs w:val="18"/>
                <w:lang w:eastAsia="fr-FR"/>
              </w:rPr>
            </w:pPr>
            <w:r w:rsidRPr="00A9330B">
              <w:rPr>
                <w:rFonts w:cs="Arial"/>
                <w:color w:val="000000"/>
                <w:sz w:val="18"/>
                <w:szCs w:val="18"/>
                <w:lang w:eastAsia="fr-FR"/>
              </w:rPr>
              <w:t>0,25</w:t>
            </w:r>
          </w:p>
        </w:tc>
      </w:tr>
      <w:tr w:rsidR="00F561A7" w:rsidRPr="00A9330B" w14:paraId="3D6A7D1C" w14:textId="77777777" w:rsidTr="00F561A7">
        <w:trPr>
          <w:trHeight w:val="288"/>
          <w:jc w:val="center"/>
        </w:trPr>
        <w:tc>
          <w:tcPr>
            <w:tcW w:w="1529" w:type="dxa"/>
            <w:vMerge/>
            <w:tcBorders>
              <w:top w:val="nil"/>
              <w:left w:val="single" w:sz="4" w:space="0" w:color="auto"/>
              <w:bottom w:val="single" w:sz="4" w:space="0" w:color="auto"/>
              <w:right w:val="single" w:sz="4" w:space="0" w:color="auto"/>
            </w:tcBorders>
            <w:vAlign w:val="center"/>
            <w:hideMark/>
          </w:tcPr>
          <w:p w14:paraId="15B61385" w14:textId="77777777" w:rsidR="00F561A7" w:rsidRPr="00A9330B" w:rsidRDefault="00F561A7" w:rsidP="00F561A7">
            <w:pPr>
              <w:spacing w:before="0" w:line="240" w:lineRule="auto"/>
              <w:jc w:val="center"/>
              <w:rPr>
                <w:rFonts w:cs="Arial"/>
                <w:b/>
                <w:bCs/>
                <w:color w:val="000000"/>
                <w:sz w:val="18"/>
                <w:szCs w:val="18"/>
                <w:lang w:eastAsia="fr-FR"/>
              </w:rPr>
            </w:pPr>
          </w:p>
        </w:tc>
        <w:tc>
          <w:tcPr>
            <w:tcW w:w="3335" w:type="dxa"/>
            <w:tcBorders>
              <w:top w:val="nil"/>
              <w:left w:val="nil"/>
              <w:bottom w:val="single" w:sz="4" w:space="0" w:color="auto"/>
              <w:right w:val="single" w:sz="4" w:space="0" w:color="auto"/>
            </w:tcBorders>
            <w:shd w:val="clear" w:color="auto" w:fill="auto"/>
            <w:noWrap/>
            <w:vAlign w:val="center"/>
            <w:hideMark/>
          </w:tcPr>
          <w:p w14:paraId="0517953C" w14:textId="77777777" w:rsidR="00F561A7" w:rsidRPr="00A9330B" w:rsidRDefault="00F561A7" w:rsidP="00F561A7">
            <w:pPr>
              <w:spacing w:before="0" w:line="240" w:lineRule="auto"/>
              <w:ind w:firstLineChars="100" w:firstLine="180"/>
              <w:rPr>
                <w:rFonts w:cs="Arial"/>
                <w:color w:val="000000"/>
                <w:sz w:val="18"/>
                <w:szCs w:val="18"/>
                <w:lang w:eastAsia="fr-FR"/>
              </w:rPr>
            </w:pPr>
            <w:r w:rsidRPr="00A9330B">
              <w:rPr>
                <w:rFonts w:cs="Arial"/>
                <w:color w:val="000000"/>
                <w:sz w:val="18"/>
                <w:szCs w:val="18"/>
                <w:lang w:eastAsia="fr-FR"/>
              </w:rPr>
              <w:t>Agents des Impôts</w:t>
            </w:r>
          </w:p>
        </w:tc>
        <w:tc>
          <w:tcPr>
            <w:tcW w:w="1940" w:type="dxa"/>
            <w:tcBorders>
              <w:top w:val="nil"/>
              <w:left w:val="nil"/>
              <w:bottom w:val="single" w:sz="4" w:space="0" w:color="auto"/>
              <w:right w:val="single" w:sz="4" w:space="0" w:color="auto"/>
            </w:tcBorders>
            <w:shd w:val="clear" w:color="auto" w:fill="auto"/>
            <w:noWrap/>
            <w:vAlign w:val="center"/>
            <w:hideMark/>
          </w:tcPr>
          <w:p w14:paraId="74C4CFF2" w14:textId="77777777" w:rsidR="00F561A7" w:rsidRPr="00A9330B" w:rsidRDefault="00F561A7" w:rsidP="00F561A7">
            <w:pPr>
              <w:spacing w:before="0" w:line="240" w:lineRule="auto"/>
              <w:jc w:val="center"/>
              <w:rPr>
                <w:rFonts w:cs="Arial"/>
                <w:color w:val="000000"/>
                <w:sz w:val="18"/>
                <w:szCs w:val="18"/>
                <w:lang w:eastAsia="fr-FR"/>
              </w:rPr>
            </w:pPr>
            <w:r w:rsidRPr="00A9330B">
              <w:rPr>
                <w:rFonts w:cs="Arial"/>
                <w:color w:val="000000"/>
                <w:sz w:val="18"/>
                <w:szCs w:val="18"/>
                <w:lang w:eastAsia="fr-FR"/>
              </w:rPr>
              <w:t>0,25</w:t>
            </w:r>
          </w:p>
        </w:tc>
      </w:tr>
      <w:tr w:rsidR="00F561A7" w:rsidRPr="00A9330B" w14:paraId="727C3DE9" w14:textId="77777777" w:rsidTr="00F561A7">
        <w:trPr>
          <w:trHeight w:val="288"/>
          <w:jc w:val="center"/>
        </w:trPr>
        <w:tc>
          <w:tcPr>
            <w:tcW w:w="1529" w:type="dxa"/>
            <w:vMerge/>
            <w:tcBorders>
              <w:top w:val="nil"/>
              <w:left w:val="single" w:sz="4" w:space="0" w:color="auto"/>
              <w:bottom w:val="single" w:sz="4" w:space="0" w:color="auto"/>
              <w:right w:val="single" w:sz="4" w:space="0" w:color="auto"/>
            </w:tcBorders>
            <w:vAlign w:val="center"/>
            <w:hideMark/>
          </w:tcPr>
          <w:p w14:paraId="394E814D" w14:textId="77777777" w:rsidR="00F561A7" w:rsidRPr="00A9330B" w:rsidRDefault="00F561A7" w:rsidP="00F561A7">
            <w:pPr>
              <w:spacing w:before="0" w:line="240" w:lineRule="auto"/>
              <w:jc w:val="center"/>
              <w:rPr>
                <w:rFonts w:cs="Arial"/>
                <w:b/>
                <w:bCs/>
                <w:color w:val="000000"/>
                <w:sz w:val="18"/>
                <w:szCs w:val="18"/>
                <w:lang w:eastAsia="fr-FR"/>
              </w:rPr>
            </w:pPr>
          </w:p>
        </w:tc>
        <w:tc>
          <w:tcPr>
            <w:tcW w:w="3335" w:type="dxa"/>
            <w:tcBorders>
              <w:top w:val="nil"/>
              <w:left w:val="nil"/>
              <w:bottom w:val="single" w:sz="4" w:space="0" w:color="auto"/>
              <w:right w:val="single" w:sz="4" w:space="0" w:color="auto"/>
            </w:tcBorders>
            <w:shd w:val="clear" w:color="auto" w:fill="auto"/>
            <w:noWrap/>
            <w:vAlign w:val="center"/>
            <w:hideMark/>
          </w:tcPr>
          <w:p w14:paraId="13C3308E" w14:textId="77777777" w:rsidR="00F561A7" w:rsidRPr="00A9330B" w:rsidRDefault="00F561A7" w:rsidP="00F561A7">
            <w:pPr>
              <w:spacing w:before="0" w:line="240" w:lineRule="auto"/>
              <w:ind w:firstLineChars="100" w:firstLine="180"/>
              <w:rPr>
                <w:rFonts w:cs="Arial"/>
                <w:color w:val="000000"/>
                <w:sz w:val="18"/>
                <w:szCs w:val="18"/>
                <w:lang w:eastAsia="fr-FR"/>
              </w:rPr>
            </w:pPr>
            <w:r w:rsidRPr="00A9330B">
              <w:rPr>
                <w:rFonts w:cs="Arial"/>
                <w:color w:val="000000"/>
                <w:sz w:val="18"/>
                <w:szCs w:val="18"/>
                <w:lang w:eastAsia="fr-FR"/>
              </w:rPr>
              <w:t>Agriculteur</w:t>
            </w:r>
          </w:p>
        </w:tc>
        <w:tc>
          <w:tcPr>
            <w:tcW w:w="1940" w:type="dxa"/>
            <w:tcBorders>
              <w:top w:val="nil"/>
              <w:left w:val="nil"/>
              <w:bottom w:val="single" w:sz="4" w:space="0" w:color="auto"/>
              <w:right w:val="single" w:sz="4" w:space="0" w:color="auto"/>
            </w:tcBorders>
            <w:shd w:val="clear" w:color="auto" w:fill="auto"/>
            <w:noWrap/>
            <w:vAlign w:val="center"/>
            <w:hideMark/>
          </w:tcPr>
          <w:p w14:paraId="422A794C" w14:textId="77777777" w:rsidR="00F561A7" w:rsidRPr="00A9330B" w:rsidRDefault="00F561A7" w:rsidP="00F561A7">
            <w:pPr>
              <w:spacing w:before="0" w:line="240" w:lineRule="auto"/>
              <w:jc w:val="center"/>
              <w:rPr>
                <w:rFonts w:cs="Arial"/>
                <w:color w:val="000000"/>
                <w:sz w:val="18"/>
                <w:szCs w:val="18"/>
                <w:lang w:eastAsia="fr-FR"/>
              </w:rPr>
            </w:pPr>
            <w:r w:rsidRPr="00A9330B">
              <w:rPr>
                <w:rFonts w:cs="Arial"/>
                <w:color w:val="000000"/>
                <w:sz w:val="18"/>
                <w:szCs w:val="18"/>
                <w:lang w:eastAsia="fr-FR"/>
              </w:rPr>
              <w:t>6,42</w:t>
            </w:r>
          </w:p>
        </w:tc>
      </w:tr>
      <w:tr w:rsidR="00F561A7" w:rsidRPr="00A9330B" w14:paraId="444CE4EE" w14:textId="77777777" w:rsidTr="00F561A7">
        <w:trPr>
          <w:trHeight w:val="288"/>
          <w:jc w:val="center"/>
        </w:trPr>
        <w:tc>
          <w:tcPr>
            <w:tcW w:w="1529" w:type="dxa"/>
            <w:vMerge/>
            <w:tcBorders>
              <w:top w:val="nil"/>
              <w:left w:val="single" w:sz="4" w:space="0" w:color="auto"/>
              <w:bottom w:val="single" w:sz="4" w:space="0" w:color="auto"/>
              <w:right w:val="single" w:sz="4" w:space="0" w:color="auto"/>
            </w:tcBorders>
            <w:vAlign w:val="center"/>
            <w:hideMark/>
          </w:tcPr>
          <w:p w14:paraId="236003AA" w14:textId="77777777" w:rsidR="00F561A7" w:rsidRPr="00A9330B" w:rsidRDefault="00F561A7" w:rsidP="00F561A7">
            <w:pPr>
              <w:spacing w:before="0" w:line="240" w:lineRule="auto"/>
              <w:jc w:val="center"/>
              <w:rPr>
                <w:rFonts w:cs="Arial"/>
                <w:b/>
                <w:bCs/>
                <w:color w:val="000000"/>
                <w:sz w:val="18"/>
                <w:szCs w:val="18"/>
                <w:lang w:eastAsia="fr-FR"/>
              </w:rPr>
            </w:pPr>
          </w:p>
        </w:tc>
        <w:tc>
          <w:tcPr>
            <w:tcW w:w="3335" w:type="dxa"/>
            <w:tcBorders>
              <w:top w:val="nil"/>
              <w:left w:val="nil"/>
              <w:bottom w:val="single" w:sz="4" w:space="0" w:color="auto"/>
              <w:right w:val="single" w:sz="4" w:space="0" w:color="auto"/>
            </w:tcBorders>
            <w:shd w:val="clear" w:color="auto" w:fill="auto"/>
            <w:noWrap/>
            <w:vAlign w:val="center"/>
            <w:hideMark/>
          </w:tcPr>
          <w:p w14:paraId="35795984" w14:textId="77777777" w:rsidR="00F561A7" w:rsidRPr="00A9330B" w:rsidRDefault="00F561A7" w:rsidP="00F561A7">
            <w:pPr>
              <w:spacing w:before="0" w:line="240" w:lineRule="auto"/>
              <w:ind w:firstLineChars="100" w:firstLine="180"/>
              <w:rPr>
                <w:rFonts w:cs="Arial"/>
                <w:color w:val="000000"/>
                <w:sz w:val="18"/>
                <w:szCs w:val="18"/>
                <w:lang w:eastAsia="fr-FR"/>
              </w:rPr>
            </w:pPr>
            <w:r w:rsidRPr="00A9330B">
              <w:rPr>
                <w:rFonts w:cs="Arial"/>
                <w:color w:val="000000"/>
                <w:sz w:val="18"/>
                <w:szCs w:val="18"/>
                <w:lang w:eastAsia="fr-FR"/>
              </w:rPr>
              <w:t>Animateur</w:t>
            </w:r>
          </w:p>
        </w:tc>
        <w:tc>
          <w:tcPr>
            <w:tcW w:w="1940" w:type="dxa"/>
            <w:tcBorders>
              <w:top w:val="nil"/>
              <w:left w:val="nil"/>
              <w:bottom w:val="single" w:sz="4" w:space="0" w:color="auto"/>
              <w:right w:val="single" w:sz="4" w:space="0" w:color="auto"/>
            </w:tcBorders>
            <w:shd w:val="clear" w:color="auto" w:fill="auto"/>
            <w:noWrap/>
            <w:vAlign w:val="center"/>
            <w:hideMark/>
          </w:tcPr>
          <w:p w14:paraId="0B6BDEBE" w14:textId="77777777" w:rsidR="00F561A7" w:rsidRPr="00A9330B" w:rsidRDefault="00F561A7" w:rsidP="00F561A7">
            <w:pPr>
              <w:spacing w:before="0" w:line="240" w:lineRule="auto"/>
              <w:jc w:val="center"/>
              <w:rPr>
                <w:rFonts w:cs="Arial"/>
                <w:color w:val="000000"/>
                <w:sz w:val="18"/>
                <w:szCs w:val="18"/>
                <w:lang w:eastAsia="fr-FR"/>
              </w:rPr>
            </w:pPr>
            <w:r w:rsidRPr="00A9330B">
              <w:rPr>
                <w:rFonts w:cs="Arial"/>
                <w:color w:val="000000"/>
                <w:sz w:val="18"/>
                <w:szCs w:val="18"/>
                <w:lang w:eastAsia="fr-FR"/>
              </w:rPr>
              <w:t>0,49</w:t>
            </w:r>
          </w:p>
        </w:tc>
      </w:tr>
      <w:tr w:rsidR="00F561A7" w:rsidRPr="00A9330B" w14:paraId="3A4C9DF9" w14:textId="77777777" w:rsidTr="00F561A7">
        <w:trPr>
          <w:trHeight w:val="288"/>
          <w:jc w:val="center"/>
        </w:trPr>
        <w:tc>
          <w:tcPr>
            <w:tcW w:w="1529" w:type="dxa"/>
            <w:vMerge/>
            <w:tcBorders>
              <w:top w:val="nil"/>
              <w:left w:val="single" w:sz="4" w:space="0" w:color="auto"/>
              <w:bottom w:val="single" w:sz="4" w:space="0" w:color="auto"/>
              <w:right w:val="single" w:sz="4" w:space="0" w:color="auto"/>
            </w:tcBorders>
            <w:vAlign w:val="center"/>
            <w:hideMark/>
          </w:tcPr>
          <w:p w14:paraId="54F76A5B" w14:textId="77777777" w:rsidR="00F561A7" w:rsidRPr="00A9330B" w:rsidRDefault="00F561A7" w:rsidP="00F561A7">
            <w:pPr>
              <w:spacing w:before="0" w:line="240" w:lineRule="auto"/>
              <w:jc w:val="center"/>
              <w:rPr>
                <w:rFonts w:cs="Arial"/>
                <w:b/>
                <w:bCs/>
                <w:color w:val="000000"/>
                <w:sz w:val="18"/>
                <w:szCs w:val="18"/>
                <w:lang w:eastAsia="fr-FR"/>
              </w:rPr>
            </w:pPr>
          </w:p>
        </w:tc>
        <w:tc>
          <w:tcPr>
            <w:tcW w:w="3335" w:type="dxa"/>
            <w:tcBorders>
              <w:top w:val="nil"/>
              <w:left w:val="nil"/>
              <w:bottom w:val="single" w:sz="4" w:space="0" w:color="auto"/>
              <w:right w:val="single" w:sz="4" w:space="0" w:color="auto"/>
            </w:tcBorders>
            <w:shd w:val="clear" w:color="auto" w:fill="auto"/>
            <w:noWrap/>
            <w:vAlign w:val="center"/>
            <w:hideMark/>
          </w:tcPr>
          <w:p w14:paraId="32B8147A" w14:textId="77777777" w:rsidR="00F561A7" w:rsidRPr="00A9330B" w:rsidRDefault="00F561A7" w:rsidP="00F561A7">
            <w:pPr>
              <w:spacing w:before="0" w:line="240" w:lineRule="auto"/>
              <w:ind w:firstLineChars="100" w:firstLine="180"/>
              <w:rPr>
                <w:rFonts w:cs="Arial"/>
                <w:color w:val="000000"/>
                <w:sz w:val="18"/>
                <w:szCs w:val="18"/>
                <w:lang w:eastAsia="fr-FR"/>
              </w:rPr>
            </w:pPr>
            <w:r w:rsidRPr="00A9330B">
              <w:rPr>
                <w:rFonts w:cs="Arial"/>
                <w:color w:val="000000"/>
                <w:sz w:val="18"/>
                <w:szCs w:val="18"/>
                <w:lang w:eastAsia="fr-FR"/>
              </w:rPr>
              <w:t>A Etudiant/ Elève</w:t>
            </w:r>
          </w:p>
        </w:tc>
        <w:tc>
          <w:tcPr>
            <w:tcW w:w="1940" w:type="dxa"/>
            <w:tcBorders>
              <w:top w:val="nil"/>
              <w:left w:val="nil"/>
              <w:bottom w:val="single" w:sz="4" w:space="0" w:color="auto"/>
              <w:right w:val="single" w:sz="4" w:space="0" w:color="auto"/>
            </w:tcBorders>
            <w:shd w:val="clear" w:color="auto" w:fill="auto"/>
            <w:noWrap/>
            <w:vAlign w:val="center"/>
            <w:hideMark/>
          </w:tcPr>
          <w:p w14:paraId="5AF669FB" w14:textId="77777777" w:rsidR="00F561A7" w:rsidRPr="00A9330B" w:rsidRDefault="00F561A7" w:rsidP="00F561A7">
            <w:pPr>
              <w:spacing w:before="0" w:line="240" w:lineRule="auto"/>
              <w:jc w:val="center"/>
              <w:rPr>
                <w:rFonts w:cs="Arial"/>
                <w:color w:val="000000"/>
                <w:sz w:val="18"/>
                <w:szCs w:val="18"/>
                <w:lang w:eastAsia="fr-FR"/>
              </w:rPr>
            </w:pPr>
            <w:r w:rsidRPr="00A9330B">
              <w:rPr>
                <w:rFonts w:cs="Arial"/>
                <w:color w:val="000000"/>
                <w:sz w:val="18"/>
                <w:szCs w:val="18"/>
                <w:lang w:eastAsia="fr-FR"/>
              </w:rPr>
              <w:t>4,20</w:t>
            </w:r>
          </w:p>
        </w:tc>
      </w:tr>
      <w:tr w:rsidR="00F561A7" w:rsidRPr="00A9330B" w14:paraId="4BBBF931" w14:textId="77777777" w:rsidTr="00F561A7">
        <w:trPr>
          <w:trHeight w:val="288"/>
          <w:jc w:val="center"/>
        </w:trPr>
        <w:tc>
          <w:tcPr>
            <w:tcW w:w="1529" w:type="dxa"/>
            <w:vMerge/>
            <w:tcBorders>
              <w:top w:val="nil"/>
              <w:left w:val="single" w:sz="4" w:space="0" w:color="auto"/>
              <w:bottom w:val="single" w:sz="4" w:space="0" w:color="auto"/>
              <w:right w:val="single" w:sz="4" w:space="0" w:color="auto"/>
            </w:tcBorders>
            <w:vAlign w:val="center"/>
            <w:hideMark/>
          </w:tcPr>
          <w:p w14:paraId="2855207E" w14:textId="77777777" w:rsidR="00F561A7" w:rsidRPr="00A9330B" w:rsidRDefault="00F561A7" w:rsidP="00F561A7">
            <w:pPr>
              <w:spacing w:before="0" w:line="240" w:lineRule="auto"/>
              <w:jc w:val="center"/>
              <w:rPr>
                <w:rFonts w:cs="Arial"/>
                <w:b/>
                <w:bCs/>
                <w:color w:val="000000"/>
                <w:sz w:val="18"/>
                <w:szCs w:val="18"/>
                <w:lang w:eastAsia="fr-FR"/>
              </w:rPr>
            </w:pPr>
          </w:p>
        </w:tc>
        <w:tc>
          <w:tcPr>
            <w:tcW w:w="3335" w:type="dxa"/>
            <w:tcBorders>
              <w:top w:val="nil"/>
              <w:left w:val="nil"/>
              <w:bottom w:val="single" w:sz="4" w:space="0" w:color="auto"/>
              <w:right w:val="single" w:sz="4" w:space="0" w:color="auto"/>
            </w:tcBorders>
            <w:shd w:val="clear" w:color="auto" w:fill="auto"/>
            <w:noWrap/>
            <w:vAlign w:val="center"/>
            <w:hideMark/>
          </w:tcPr>
          <w:p w14:paraId="64CC3CBD" w14:textId="77777777" w:rsidR="00F561A7" w:rsidRPr="00A9330B" w:rsidRDefault="00F561A7" w:rsidP="00F561A7">
            <w:pPr>
              <w:spacing w:before="0" w:line="240" w:lineRule="auto"/>
              <w:ind w:firstLineChars="100" w:firstLine="180"/>
              <w:rPr>
                <w:rFonts w:cs="Arial"/>
                <w:color w:val="000000"/>
                <w:sz w:val="18"/>
                <w:szCs w:val="18"/>
                <w:lang w:eastAsia="fr-FR"/>
              </w:rPr>
            </w:pPr>
            <w:r w:rsidRPr="00A9330B">
              <w:rPr>
                <w:rFonts w:cs="Arial"/>
                <w:color w:val="000000"/>
                <w:sz w:val="18"/>
                <w:szCs w:val="18"/>
                <w:lang w:eastAsia="fr-FR"/>
              </w:rPr>
              <w:t xml:space="preserve"> Agent  de sécurité</w:t>
            </w:r>
          </w:p>
        </w:tc>
        <w:tc>
          <w:tcPr>
            <w:tcW w:w="1940" w:type="dxa"/>
            <w:tcBorders>
              <w:top w:val="nil"/>
              <w:left w:val="nil"/>
              <w:bottom w:val="single" w:sz="4" w:space="0" w:color="auto"/>
              <w:right w:val="single" w:sz="4" w:space="0" w:color="auto"/>
            </w:tcBorders>
            <w:shd w:val="clear" w:color="auto" w:fill="auto"/>
            <w:noWrap/>
            <w:vAlign w:val="center"/>
            <w:hideMark/>
          </w:tcPr>
          <w:p w14:paraId="0A431CFE" w14:textId="77777777" w:rsidR="00F561A7" w:rsidRPr="00A9330B" w:rsidRDefault="00F561A7" w:rsidP="00F561A7">
            <w:pPr>
              <w:spacing w:before="0" w:line="240" w:lineRule="auto"/>
              <w:jc w:val="center"/>
              <w:rPr>
                <w:rFonts w:cs="Arial"/>
                <w:color w:val="000000"/>
                <w:sz w:val="18"/>
                <w:szCs w:val="18"/>
                <w:lang w:eastAsia="fr-FR"/>
              </w:rPr>
            </w:pPr>
            <w:r w:rsidRPr="00A9330B">
              <w:rPr>
                <w:rFonts w:cs="Arial"/>
                <w:color w:val="000000"/>
                <w:sz w:val="18"/>
                <w:szCs w:val="18"/>
                <w:lang w:eastAsia="fr-FR"/>
              </w:rPr>
              <w:t>0,25</w:t>
            </w:r>
          </w:p>
        </w:tc>
      </w:tr>
      <w:tr w:rsidR="00F561A7" w:rsidRPr="00A9330B" w14:paraId="2D634B18" w14:textId="77777777" w:rsidTr="00F561A7">
        <w:trPr>
          <w:trHeight w:val="288"/>
          <w:jc w:val="center"/>
        </w:trPr>
        <w:tc>
          <w:tcPr>
            <w:tcW w:w="1529" w:type="dxa"/>
            <w:vMerge/>
            <w:tcBorders>
              <w:top w:val="nil"/>
              <w:left w:val="single" w:sz="4" w:space="0" w:color="auto"/>
              <w:bottom w:val="single" w:sz="4" w:space="0" w:color="auto"/>
              <w:right w:val="single" w:sz="4" w:space="0" w:color="auto"/>
            </w:tcBorders>
            <w:vAlign w:val="center"/>
            <w:hideMark/>
          </w:tcPr>
          <w:p w14:paraId="05539A21" w14:textId="77777777" w:rsidR="00F561A7" w:rsidRPr="00A9330B" w:rsidRDefault="00F561A7" w:rsidP="00F561A7">
            <w:pPr>
              <w:spacing w:before="0" w:line="240" w:lineRule="auto"/>
              <w:jc w:val="center"/>
              <w:rPr>
                <w:rFonts w:cs="Arial"/>
                <w:b/>
                <w:bCs/>
                <w:color w:val="000000"/>
                <w:sz w:val="18"/>
                <w:szCs w:val="18"/>
                <w:lang w:eastAsia="fr-FR"/>
              </w:rPr>
            </w:pPr>
          </w:p>
        </w:tc>
        <w:tc>
          <w:tcPr>
            <w:tcW w:w="3335" w:type="dxa"/>
            <w:tcBorders>
              <w:top w:val="nil"/>
              <w:left w:val="nil"/>
              <w:bottom w:val="single" w:sz="4" w:space="0" w:color="auto"/>
              <w:right w:val="single" w:sz="4" w:space="0" w:color="auto"/>
            </w:tcBorders>
            <w:shd w:val="clear" w:color="auto" w:fill="auto"/>
            <w:noWrap/>
            <w:vAlign w:val="center"/>
            <w:hideMark/>
          </w:tcPr>
          <w:p w14:paraId="734CA8D8" w14:textId="77777777" w:rsidR="00F561A7" w:rsidRPr="00A9330B" w:rsidRDefault="00F561A7" w:rsidP="00F561A7">
            <w:pPr>
              <w:spacing w:before="0" w:line="240" w:lineRule="auto"/>
              <w:ind w:firstLineChars="100" w:firstLine="180"/>
              <w:rPr>
                <w:rFonts w:cs="Arial"/>
                <w:color w:val="000000"/>
                <w:sz w:val="18"/>
                <w:szCs w:val="18"/>
                <w:lang w:eastAsia="fr-FR"/>
              </w:rPr>
            </w:pPr>
            <w:r w:rsidRPr="00A9330B">
              <w:rPr>
                <w:rFonts w:cs="Arial"/>
                <w:color w:val="000000"/>
                <w:sz w:val="18"/>
                <w:szCs w:val="18"/>
                <w:lang w:eastAsia="fr-FR"/>
              </w:rPr>
              <w:t>Artiste</w:t>
            </w:r>
          </w:p>
        </w:tc>
        <w:tc>
          <w:tcPr>
            <w:tcW w:w="1940" w:type="dxa"/>
            <w:tcBorders>
              <w:top w:val="nil"/>
              <w:left w:val="nil"/>
              <w:bottom w:val="single" w:sz="4" w:space="0" w:color="auto"/>
              <w:right w:val="single" w:sz="4" w:space="0" w:color="auto"/>
            </w:tcBorders>
            <w:shd w:val="clear" w:color="auto" w:fill="auto"/>
            <w:noWrap/>
            <w:vAlign w:val="center"/>
            <w:hideMark/>
          </w:tcPr>
          <w:p w14:paraId="5EF663E6" w14:textId="77777777" w:rsidR="00F561A7" w:rsidRPr="00A9330B" w:rsidRDefault="00F561A7" w:rsidP="00F561A7">
            <w:pPr>
              <w:spacing w:before="0" w:line="240" w:lineRule="auto"/>
              <w:jc w:val="center"/>
              <w:rPr>
                <w:rFonts w:cs="Arial"/>
                <w:color w:val="000000"/>
                <w:sz w:val="18"/>
                <w:szCs w:val="18"/>
                <w:lang w:eastAsia="fr-FR"/>
              </w:rPr>
            </w:pPr>
            <w:r w:rsidRPr="00A9330B">
              <w:rPr>
                <w:rFonts w:cs="Arial"/>
                <w:color w:val="000000"/>
                <w:sz w:val="18"/>
                <w:szCs w:val="18"/>
                <w:lang w:eastAsia="fr-FR"/>
              </w:rPr>
              <w:t>0,25</w:t>
            </w:r>
          </w:p>
        </w:tc>
      </w:tr>
      <w:tr w:rsidR="00F561A7" w:rsidRPr="00A9330B" w14:paraId="46415570" w14:textId="77777777" w:rsidTr="00F561A7">
        <w:trPr>
          <w:trHeight w:val="288"/>
          <w:jc w:val="center"/>
        </w:trPr>
        <w:tc>
          <w:tcPr>
            <w:tcW w:w="1529" w:type="dxa"/>
            <w:vMerge/>
            <w:tcBorders>
              <w:top w:val="nil"/>
              <w:left w:val="single" w:sz="4" w:space="0" w:color="auto"/>
              <w:bottom w:val="single" w:sz="4" w:space="0" w:color="auto"/>
              <w:right w:val="single" w:sz="4" w:space="0" w:color="auto"/>
            </w:tcBorders>
            <w:vAlign w:val="center"/>
            <w:hideMark/>
          </w:tcPr>
          <w:p w14:paraId="554497B5" w14:textId="77777777" w:rsidR="00F561A7" w:rsidRPr="00A9330B" w:rsidRDefault="00F561A7" w:rsidP="00F561A7">
            <w:pPr>
              <w:spacing w:before="0" w:line="240" w:lineRule="auto"/>
              <w:jc w:val="center"/>
              <w:rPr>
                <w:rFonts w:cs="Arial"/>
                <w:b/>
                <w:bCs/>
                <w:color w:val="000000"/>
                <w:sz w:val="18"/>
                <w:szCs w:val="18"/>
                <w:lang w:eastAsia="fr-FR"/>
              </w:rPr>
            </w:pPr>
          </w:p>
        </w:tc>
        <w:tc>
          <w:tcPr>
            <w:tcW w:w="3335" w:type="dxa"/>
            <w:tcBorders>
              <w:top w:val="nil"/>
              <w:left w:val="nil"/>
              <w:bottom w:val="single" w:sz="4" w:space="0" w:color="auto"/>
              <w:right w:val="single" w:sz="4" w:space="0" w:color="auto"/>
            </w:tcBorders>
            <w:shd w:val="clear" w:color="auto" w:fill="auto"/>
            <w:noWrap/>
            <w:vAlign w:val="center"/>
            <w:hideMark/>
          </w:tcPr>
          <w:p w14:paraId="437CD93D" w14:textId="77777777" w:rsidR="00F561A7" w:rsidRPr="00A9330B" w:rsidRDefault="00F561A7" w:rsidP="00F561A7">
            <w:pPr>
              <w:spacing w:before="0" w:line="240" w:lineRule="auto"/>
              <w:ind w:firstLineChars="100" w:firstLine="180"/>
              <w:rPr>
                <w:rFonts w:cs="Arial"/>
                <w:color w:val="000000"/>
                <w:sz w:val="18"/>
                <w:szCs w:val="18"/>
                <w:lang w:eastAsia="fr-FR"/>
              </w:rPr>
            </w:pPr>
            <w:r w:rsidRPr="00A9330B">
              <w:rPr>
                <w:rFonts w:cs="Arial"/>
                <w:color w:val="000000"/>
                <w:sz w:val="18"/>
                <w:szCs w:val="18"/>
                <w:lang w:eastAsia="fr-FR"/>
              </w:rPr>
              <w:t>Avocat</w:t>
            </w:r>
          </w:p>
        </w:tc>
        <w:tc>
          <w:tcPr>
            <w:tcW w:w="1940" w:type="dxa"/>
            <w:tcBorders>
              <w:top w:val="nil"/>
              <w:left w:val="nil"/>
              <w:bottom w:val="single" w:sz="4" w:space="0" w:color="auto"/>
              <w:right w:val="single" w:sz="4" w:space="0" w:color="auto"/>
            </w:tcBorders>
            <w:shd w:val="clear" w:color="auto" w:fill="auto"/>
            <w:noWrap/>
            <w:vAlign w:val="center"/>
            <w:hideMark/>
          </w:tcPr>
          <w:p w14:paraId="27A6D4E0" w14:textId="77777777" w:rsidR="00F561A7" w:rsidRPr="00A9330B" w:rsidRDefault="00F561A7" w:rsidP="00F561A7">
            <w:pPr>
              <w:spacing w:before="0" w:line="240" w:lineRule="auto"/>
              <w:jc w:val="center"/>
              <w:rPr>
                <w:rFonts w:cs="Arial"/>
                <w:color w:val="000000"/>
                <w:sz w:val="18"/>
                <w:szCs w:val="18"/>
                <w:lang w:eastAsia="fr-FR"/>
              </w:rPr>
            </w:pPr>
            <w:r w:rsidRPr="00A9330B">
              <w:rPr>
                <w:rFonts w:cs="Arial"/>
                <w:color w:val="000000"/>
                <w:sz w:val="18"/>
                <w:szCs w:val="18"/>
                <w:lang w:eastAsia="fr-FR"/>
              </w:rPr>
              <w:t>0,25</w:t>
            </w:r>
          </w:p>
        </w:tc>
      </w:tr>
      <w:tr w:rsidR="00F561A7" w:rsidRPr="00A9330B" w14:paraId="11BDD4AB" w14:textId="77777777" w:rsidTr="00F561A7">
        <w:trPr>
          <w:trHeight w:val="288"/>
          <w:jc w:val="center"/>
        </w:trPr>
        <w:tc>
          <w:tcPr>
            <w:tcW w:w="1529" w:type="dxa"/>
            <w:vMerge/>
            <w:tcBorders>
              <w:top w:val="nil"/>
              <w:left w:val="single" w:sz="4" w:space="0" w:color="auto"/>
              <w:bottom w:val="single" w:sz="4" w:space="0" w:color="auto"/>
              <w:right w:val="single" w:sz="4" w:space="0" w:color="auto"/>
            </w:tcBorders>
            <w:vAlign w:val="center"/>
            <w:hideMark/>
          </w:tcPr>
          <w:p w14:paraId="53778F24" w14:textId="77777777" w:rsidR="00F561A7" w:rsidRPr="00A9330B" w:rsidRDefault="00F561A7" w:rsidP="00F561A7">
            <w:pPr>
              <w:spacing w:before="0" w:line="240" w:lineRule="auto"/>
              <w:jc w:val="center"/>
              <w:rPr>
                <w:rFonts w:cs="Arial"/>
                <w:b/>
                <w:bCs/>
                <w:color w:val="000000"/>
                <w:sz w:val="18"/>
                <w:szCs w:val="18"/>
                <w:lang w:eastAsia="fr-FR"/>
              </w:rPr>
            </w:pPr>
          </w:p>
        </w:tc>
        <w:tc>
          <w:tcPr>
            <w:tcW w:w="3335" w:type="dxa"/>
            <w:tcBorders>
              <w:top w:val="nil"/>
              <w:left w:val="nil"/>
              <w:bottom w:val="single" w:sz="4" w:space="0" w:color="auto"/>
              <w:right w:val="single" w:sz="4" w:space="0" w:color="auto"/>
            </w:tcBorders>
            <w:shd w:val="clear" w:color="auto" w:fill="auto"/>
            <w:noWrap/>
            <w:vAlign w:val="center"/>
            <w:hideMark/>
          </w:tcPr>
          <w:p w14:paraId="2CBB2FAC" w14:textId="77777777" w:rsidR="00F561A7" w:rsidRPr="00A9330B" w:rsidRDefault="00F561A7" w:rsidP="00F561A7">
            <w:pPr>
              <w:spacing w:before="0" w:line="240" w:lineRule="auto"/>
              <w:ind w:firstLineChars="100" w:firstLine="180"/>
              <w:rPr>
                <w:rFonts w:cs="Arial"/>
                <w:color w:val="000000"/>
                <w:sz w:val="18"/>
                <w:szCs w:val="18"/>
                <w:lang w:eastAsia="fr-FR"/>
              </w:rPr>
            </w:pPr>
            <w:r w:rsidRPr="00A9330B">
              <w:rPr>
                <w:rFonts w:cs="Arial"/>
                <w:color w:val="000000"/>
                <w:sz w:val="18"/>
                <w:szCs w:val="18"/>
                <w:lang w:eastAsia="fr-FR"/>
              </w:rPr>
              <w:t>Blanchisseur</w:t>
            </w:r>
          </w:p>
        </w:tc>
        <w:tc>
          <w:tcPr>
            <w:tcW w:w="1940" w:type="dxa"/>
            <w:tcBorders>
              <w:top w:val="nil"/>
              <w:left w:val="nil"/>
              <w:bottom w:val="single" w:sz="4" w:space="0" w:color="auto"/>
              <w:right w:val="single" w:sz="4" w:space="0" w:color="auto"/>
            </w:tcBorders>
            <w:shd w:val="clear" w:color="auto" w:fill="auto"/>
            <w:noWrap/>
            <w:vAlign w:val="center"/>
            <w:hideMark/>
          </w:tcPr>
          <w:p w14:paraId="242099ED" w14:textId="77777777" w:rsidR="00F561A7" w:rsidRPr="00A9330B" w:rsidRDefault="00F561A7" w:rsidP="00F561A7">
            <w:pPr>
              <w:spacing w:before="0" w:line="240" w:lineRule="auto"/>
              <w:jc w:val="center"/>
              <w:rPr>
                <w:rFonts w:cs="Arial"/>
                <w:color w:val="000000"/>
                <w:sz w:val="18"/>
                <w:szCs w:val="18"/>
                <w:lang w:eastAsia="fr-FR"/>
              </w:rPr>
            </w:pPr>
            <w:r w:rsidRPr="00A9330B">
              <w:rPr>
                <w:rFonts w:cs="Arial"/>
                <w:color w:val="000000"/>
                <w:sz w:val="18"/>
                <w:szCs w:val="18"/>
                <w:lang w:eastAsia="fr-FR"/>
              </w:rPr>
              <w:t>0,25</w:t>
            </w:r>
          </w:p>
        </w:tc>
      </w:tr>
      <w:tr w:rsidR="00F561A7" w:rsidRPr="00A9330B" w14:paraId="6952538F" w14:textId="77777777" w:rsidTr="00F561A7">
        <w:trPr>
          <w:trHeight w:val="288"/>
          <w:jc w:val="center"/>
        </w:trPr>
        <w:tc>
          <w:tcPr>
            <w:tcW w:w="1529" w:type="dxa"/>
            <w:vMerge/>
            <w:tcBorders>
              <w:top w:val="nil"/>
              <w:left w:val="single" w:sz="4" w:space="0" w:color="auto"/>
              <w:bottom w:val="single" w:sz="4" w:space="0" w:color="auto"/>
              <w:right w:val="single" w:sz="4" w:space="0" w:color="auto"/>
            </w:tcBorders>
            <w:vAlign w:val="center"/>
            <w:hideMark/>
          </w:tcPr>
          <w:p w14:paraId="3A94671C" w14:textId="77777777" w:rsidR="00F561A7" w:rsidRPr="00A9330B" w:rsidRDefault="00F561A7" w:rsidP="00F561A7">
            <w:pPr>
              <w:spacing w:before="0" w:line="240" w:lineRule="auto"/>
              <w:jc w:val="center"/>
              <w:rPr>
                <w:rFonts w:cs="Arial"/>
                <w:b/>
                <w:bCs/>
                <w:color w:val="000000"/>
                <w:sz w:val="18"/>
                <w:szCs w:val="18"/>
                <w:lang w:eastAsia="fr-FR"/>
              </w:rPr>
            </w:pPr>
          </w:p>
        </w:tc>
        <w:tc>
          <w:tcPr>
            <w:tcW w:w="3335" w:type="dxa"/>
            <w:tcBorders>
              <w:top w:val="nil"/>
              <w:left w:val="nil"/>
              <w:bottom w:val="single" w:sz="4" w:space="0" w:color="auto"/>
              <w:right w:val="single" w:sz="4" w:space="0" w:color="auto"/>
            </w:tcBorders>
            <w:shd w:val="clear" w:color="auto" w:fill="auto"/>
            <w:noWrap/>
            <w:vAlign w:val="center"/>
            <w:hideMark/>
          </w:tcPr>
          <w:p w14:paraId="6A445F7B" w14:textId="77777777" w:rsidR="00F561A7" w:rsidRPr="00A9330B" w:rsidRDefault="00F561A7" w:rsidP="00F561A7">
            <w:pPr>
              <w:spacing w:before="0" w:line="240" w:lineRule="auto"/>
              <w:ind w:firstLineChars="100" w:firstLine="180"/>
              <w:rPr>
                <w:rFonts w:cs="Arial"/>
                <w:color w:val="000000"/>
                <w:sz w:val="18"/>
                <w:szCs w:val="18"/>
                <w:lang w:eastAsia="fr-FR"/>
              </w:rPr>
            </w:pPr>
            <w:r w:rsidRPr="00A9330B">
              <w:rPr>
                <w:rFonts w:cs="Arial"/>
                <w:color w:val="000000"/>
                <w:sz w:val="18"/>
                <w:szCs w:val="18"/>
                <w:lang w:eastAsia="fr-FR"/>
              </w:rPr>
              <w:t>Boucher</w:t>
            </w:r>
          </w:p>
        </w:tc>
        <w:tc>
          <w:tcPr>
            <w:tcW w:w="1940" w:type="dxa"/>
            <w:tcBorders>
              <w:top w:val="nil"/>
              <w:left w:val="nil"/>
              <w:bottom w:val="single" w:sz="4" w:space="0" w:color="auto"/>
              <w:right w:val="single" w:sz="4" w:space="0" w:color="auto"/>
            </w:tcBorders>
            <w:shd w:val="clear" w:color="auto" w:fill="auto"/>
            <w:noWrap/>
            <w:vAlign w:val="center"/>
            <w:hideMark/>
          </w:tcPr>
          <w:p w14:paraId="5C0FE85E" w14:textId="77777777" w:rsidR="00F561A7" w:rsidRPr="00A9330B" w:rsidRDefault="00F561A7" w:rsidP="00F561A7">
            <w:pPr>
              <w:spacing w:before="0" w:line="240" w:lineRule="auto"/>
              <w:jc w:val="center"/>
              <w:rPr>
                <w:rFonts w:cs="Arial"/>
                <w:color w:val="000000"/>
                <w:sz w:val="18"/>
                <w:szCs w:val="18"/>
                <w:lang w:eastAsia="fr-FR"/>
              </w:rPr>
            </w:pPr>
            <w:r w:rsidRPr="00A9330B">
              <w:rPr>
                <w:rFonts w:cs="Arial"/>
                <w:color w:val="000000"/>
                <w:sz w:val="18"/>
                <w:szCs w:val="18"/>
                <w:lang w:eastAsia="fr-FR"/>
              </w:rPr>
              <w:t>0,74</w:t>
            </w:r>
          </w:p>
        </w:tc>
      </w:tr>
      <w:tr w:rsidR="00F561A7" w:rsidRPr="00A9330B" w14:paraId="6E506709" w14:textId="77777777" w:rsidTr="00F561A7">
        <w:trPr>
          <w:trHeight w:val="288"/>
          <w:jc w:val="center"/>
        </w:trPr>
        <w:tc>
          <w:tcPr>
            <w:tcW w:w="1529" w:type="dxa"/>
            <w:vMerge/>
            <w:tcBorders>
              <w:top w:val="nil"/>
              <w:left w:val="single" w:sz="4" w:space="0" w:color="auto"/>
              <w:bottom w:val="single" w:sz="4" w:space="0" w:color="auto"/>
              <w:right w:val="single" w:sz="4" w:space="0" w:color="auto"/>
            </w:tcBorders>
            <w:vAlign w:val="center"/>
            <w:hideMark/>
          </w:tcPr>
          <w:p w14:paraId="165C86FE" w14:textId="77777777" w:rsidR="00F561A7" w:rsidRPr="00A9330B" w:rsidRDefault="00F561A7" w:rsidP="00F561A7">
            <w:pPr>
              <w:spacing w:before="0" w:line="240" w:lineRule="auto"/>
              <w:jc w:val="center"/>
              <w:rPr>
                <w:rFonts w:cs="Arial"/>
                <w:b/>
                <w:bCs/>
                <w:color w:val="000000"/>
                <w:sz w:val="18"/>
                <w:szCs w:val="18"/>
                <w:lang w:eastAsia="fr-FR"/>
              </w:rPr>
            </w:pPr>
          </w:p>
        </w:tc>
        <w:tc>
          <w:tcPr>
            <w:tcW w:w="3335" w:type="dxa"/>
            <w:tcBorders>
              <w:top w:val="nil"/>
              <w:left w:val="nil"/>
              <w:bottom w:val="single" w:sz="4" w:space="0" w:color="auto"/>
              <w:right w:val="single" w:sz="4" w:space="0" w:color="auto"/>
            </w:tcBorders>
            <w:shd w:val="clear" w:color="auto" w:fill="auto"/>
            <w:noWrap/>
            <w:vAlign w:val="center"/>
            <w:hideMark/>
          </w:tcPr>
          <w:p w14:paraId="76B38348" w14:textId="77777777" w:rsidR="00F561A7" w:rsidRPr="00A9330B" w:rsidRDefault="00F561A7" w:rsidP="00F561A7">
            <w:pPr>
              <w:spacing w:before="0" w:line="240" w:lineRule="auto"/>
              <w:ind w:firstLineChars="100" w:firstLine="180"/>
              <w:rPr>
                <w:rFonts w:cs="Arial"/>
                <w:color w:val="000000"/>
                <w:sz w:val="18"/>
                <w:szCs w:val="18"/>
                <w:lang w:eastAsia="fr-FR"/>
              </w:rPr>
            </w:pPr>
            <w:r w:rsidRPr="00A9330B">
              <w:rPr>
                <w:rFonts w:cs="Arial"/>
                <w:color w:val="000000"/>
                <w:sz w:val="18"/>
                <w:szCs w:val="18"/>
                <w:lang w:eastAsia="fr-FR"/>
              </w:rPr>
              <w:t>Cafétéria</w:t>
            </w:r>
          </w:p>
        </w:tc>
        <w:tc>
          <w:tcPr>
            <w:tcW w:w="1940" w:type="dxa"/>
            <w:tcBorders>
              <w:top w:val="nil"/>
              <w:left w:val="nil"/>
              <w:bottom w:val="single" w:sz="4" w:space="0" w:color="auto"/>
              <w:right w:val="single" w:sz="4" w:space="0" w:color="auto"/>
            </w:tcBorders>
            <w:shd w:val="clear" w:color="auto" w:fill="auto"/>
            <w:noWrap/>
            <w:vAlign w:val="center"/>
            <w:hideMark/>
          </w:tcPr>
          <w:p w14:paraId="5FC04628" w14:textId="77777777" w:rsidR="00F561A7" w:rsidRPr="00A9330B" w:rsidRDefault="00F561A7" w:rsidP="00F561A7">
            <w:pPr>
              <w:spacing w:before="0" w:line="240" w:lineRule="auto"/>
              <w:jc w:val="center"/>
              <w:rPr>
                <w:rFonts w:cs="Arial"/>
                <w:color w:val="000000"/>
                <w:sz w:val="18"/>
                <w:szCs w:val="18"/>
                <w:lang w:eastAsia="fr-FR"/>
              </w:rPr>
            </w:pPr>
            <w:r w:rsidRPr="00A9330B">
              <w:rPr>
                <w:rFonts w:cs="Arial"/>
                <w:color w:val="000000"/>
                <w:sz w:val="18"/>
                <w:szCs w:val="18"/>
                <w:lang w:eastAsia="fr-FR"/>
              </w:rPr>
              <w:t>0,25</w:t>
            </w:r>
          </w:p>
        </w:tc>
      </w:tr>
      <w:tr w:rsidR="00F561A7" w:rsidRPr="00A9330B" w14:paraId="06099BEC" w14:textId="77777777" w:rsidTr="00F561A7">
        <w:trPr>
          <w:trHeight w:val="288"/>
          <w:jc w:val="center"/>
        </w:trPr>
        <w:tc>
          <w:tcPr>
            <w:tcW w:w="1529" w:type="dxa"/>
            <w:vMerge/>
            <w:tcBorders>
              <w:top w:val="nil"/>
              <w:left w:val="single" w:sz="4" w:space="0" w:color="auto"/>
              <w:bottom w:val="single" w:sz="4" w:space="0" w:color="auto"/>
              <w:right w:val="single" w:sz="4" w:space="0" w:color="auto"/>
            </w:tcBorders>
            <w:vAlign w:val="center"/>
            <w:hideMark/>
          </w:tcPr>
          <w:p w14:paraId="1D8DC3CD" w14:textId="77777777" w:rsidR="00F561A7" w:rsidRPr="00A9330B" w:rsidRDefault="00F561A7" w:rsidP="00F561A7">
            <w:pPr>
              <w:spacing w:before="0" w:line="240" w:lineRule="auto"/>
              <w:jc w:val="center"/>
              <w:rPr>
                <w:rFonts w:cs="Arial"/>
                <w:b/>
                <w:bCs/>
                <w:color w:val="000000"/>
                <w:sz w:val="18"/>
                <w:szCs w:val="18"/>
                <w:lang w:eastAsia="fr-FR"/>
              </w:rPr>
            </w:pPr>
          </w:p>
        </w:tc>
        <w:tc>
          <w:tcPr>
            <w:tcW w:w="3335" w:type="dxa"/>
            <w:tcBorders>
              <w:top w:val="nil"/>
              <w:left w:val="nil"/>
              <w:bottom w:val="single" w:sz="4" w:space="0" w:color="auto"/>
              <w:right w:val="single" w:sz="4" w:space="0" w:color="auto"/>
            </w:tcBorders>
            <w:shd w:val="clear" w:color="auto" w:fill="auto"/>
            <w:noWrap/>
            <w:vAlign w:val="center"/>
            <w:hideMark/>
          </w:tcPr>
          <w:p w14:paraId="629D48F1" w14:textId="77777777" w:rsidR="00F561A7" w:rsidRPr="00A9330B" w:rsidRDefault="00F561A7" w:rsidP="00F561A7">
            <w:pPr>
              <w:spacing w:before="0" w:line="240" w:lineRule="auto"/>
              <w:ind w:firstLineChars="100" w:firstLine="180"/>
              <w:rPr>
                <w:rFonts w:cs="Arial"/>
                <w:color w:val="000000"/>
                <w:sz w:val="18"/>
                <w:szCs w:val="18"/>
                <w:lang w:eastAsia="fr-FR"/>
              </w:rPr>
            </w:pPr>
            <w:r w:rsidRPr="00A9330B">
              <w:rPr>
                <w:rFonts w:cs="Arial"/>
                <w:color w:val="000000"/>
                <w:sz w:val="18"/>
                <w:szCs w:val="18"/>
                <w:lang w:eastAsia="fr-FR"/>
              </w:rPr>
              <w:t>Chauffeur</w:t>
            </w:r>
          </w:p>
        </w:tc>
        <w:tc>
          <w:tcPr>
            <w:tcW w:w="1940" w:type="dxa"/>
            <w:tcBorders>
              <w:top w:val="nil"/>
              <w:left w:val="nil"/>
              <w:bottom w:val="single" w:sz="4" w:space="0" w:color="auto"/>
              <w:right w:val="single" w:sz="4" w:space="0" w:color="auto"/>
            </w:tcBorders>
            <w:shd w:val="clear" w:color="auto" w:fill="auto"/>
            <w:noWrap/>
            <w:vAlign w:val="center"/>
            <w:hideMark/>
          </w:tcPr>
          <w:p w14:paraId="47042B9A" w14:textId="77777777" w:rsidR="00F561A7" w:rsidRPr="00A9330B" w:rsidRDefault="00F561A7" w:rsidP="00F561A7">
            <w:pPr>
              <w:spacing w:before="0" w:line="240" w:lineRule="auto"/>
              <w:jc w:val="center"/>
              <w:rPr>
                <w:rFonts w:cs="Arial"/>
                <w:color w:val="000000"/>
                <w:sz w:val="18"/>
                <w:szCs w:val="18"/>
                <w:lang w:eastAsia="fr-FR"/>
              </w:rPr>
            </w:pPr>
            <w:r w:rsidRPr="00A9330B">
              <w:rPr>
                <w:rFonts w:cs="Arial"/>
                <w:color w:val="000000"/>
                <w:sz w:val="18"/>
                <w:szCs w:val="18"/>
                <w:lang w:eastAsia="fr-FR"/>
              </w:rPr>
              <w:t>4,44</w:t>
            </w:r>
          </w:p>
        </w:tc>
      </w:tr>
      <w:tr w:rsidR="00F561A7" w:rsidRPr="00A9330B" w14:paraId="764F0E54" w14:textId="77777777" w:rsidTr="00F561A7">
        <w:trPr>
          <w:trHeight w:val="288"/>
          <w:jc w:val="center"/>
        </w:trPr>
        <w:tc>
          <w:tcPr>
            <w:tcW w:w="1529" w:type="dxa"/>
            <w:vMerge/>
            <w:tcBorders>
              <w:top w:val="nil"/>
              <w:left w:val="single" w:sz="4" w:space="0" w:color="auto"/>
              <w:bottom w:val="single" w:sz="4" w:space="0" w:color="auto"/>
              <w:right w:val="single" w:sz="4" w:space="0" w:color="auto"/>
            </w:tcBorders>
            <w:vAlign w:val="center"/>
            <w:hideMark/>
          </w:tcPr>
          <w:p w14:paraId="39AF7291" w14:textId="77777777" w:rsidR="00F561A7" w:rsidRPr="00A9330B" w:rsidRDefault="00F561A7" w:rsidP="00F561A7">
            <w:pPr>
              <w:spacing w:before="0" w:line="240" w:lineRule="auto"/>
              <w:jc w:val="center"/>
              <w:rPr>
                <w:rFonts w:cs="Arial"/>
                <w:b/>
                <w:bCs/>
                <w:color w:val="000000"/>
                <w:sz w:val="18"/>
                <w:szCs w:val="18"/>
                <w:lang w:eastAsia="fr-FR"/>
              </w:rPr>
            </w:pPr>
          </w:p>
        </w:tc>
        <w:tc>
          <w:tcPr>
            <w:tcW w:w="3335" w:type="dxa"/>
            <w:tcBorders>
              <w:top w:val="nil"/>
              <w:left w:val="nil"/>
              <w:bottom w:val="single" w:sz="4" w:space="0" w:color="auto"/>
              <w:right w:val="single" w:sz="4" w:space="0" w:color="auto"/>
            </w:tcBorders>
            <w:shd w:val="clear" w:color="auto" w:fill="auto"/>
            <w:noWrap/>
            <w:vAlign w:val="center"/>
            <w:hideMark/>
          </w:tcPr>
          <w:p w14:paraId="1ACB099B" w14:textId="77777777" w:rsidR="00F561A7" w:rsidRPr="00A9330B" w:rsidRDefault="00F561A7" w:rsidP="00F561A7">
            <w:pPr>
              <w:spacing w:before="0" w:line="240" w:lineRule="auto"/>
              <w:ind w:firstLineChars="100" w:firstLine="180"/>
              <w:rPr>
                <w:rFonts w:cs="Arial"/>
                <w:color w:val="000000"/>
                <w:sz w:val="18"/>
                <w:szCs w:val="18"/>
                <w:lang w:eastAsia="fr-FR"/>
              </w:rPr>
            </w:pPr>
            <w:r w:rsidRPr="00A9330B">
              <w:rPr>
                <w:rFonts w:cs="Arial"/>
                <w:color w:val="000000"/>
                <w:sz w:val="18"/>
                <w:szCs w:val="18"/>
                <w:lang w:eastAsia="fr-FR"/>
              </w:rPr>
              <w:t>Commerçant</w:t>
            </w:r>
          </w:p>
        </w:tc>
        <w:tc>
          <w:tcPr>
            <w:tcW w:w="1940" w:type="dxa"/>
            <w:tcBorders>
              <w:top w:val="nil"/>
              <w:left w:val="nil"/>
              <w:bottom w:val="single" w:sz="4" w:space="0" w:color="auto"/>
              <w:right w:val="single" w:sz="4" w:space="0" w:color="auto"/>
            </w:tcBorders>
            <w:shd w:val="clear" w:color="auto" w:fill="auto"/>
            <w:noWrap/>
            <w:vAlign w:val="center"/>
            <w:hideMark/>
          </w:tcPr>
          <w:p w14:paraId="7A3C4C7B" w14:textId="77777777" w:rsidR="00F561A7" w:rsidRPr="00A9330B" w:rsidRDefault="00F561A7" w:rsidP="00F561A7">
            <w:pPr>
              <w:spacing w:before="0" w:line="240" w:lineRule="auto"/>
              <w:jc w:val="center"/>
              <w:rPr>
                <w:rFonts w:cs="Arial"/>
                <w:color w:val="000000"/>
                <w:sz w:val="18"/>
                <w:szCs w:val="18"/>
                <w:lang w:eastAsia="fr-FR"/>
              </w:rPr>
            </w:pPr>
            <w:r w:rsidRPr="00A9330B">
              <w:rPr>
                <w:rFonts w:cs="Arial"/>
                <w:color w:val="000000"/>
                <w:sz w:val="18"/>
                <w:szCs w:val="18"/>
                <w:lang w:eastAsia="fr-FR"/>
              </w:rPr>
              <w:t>3,46</w:t>
            </w:r>
          </w:p>
        </w:tc>
      </w:tr>
      <w:tr w:rsidR="00F561A7" w:rsidRPr="00A9330B" w14:paraId="3C96F417" w14:textId="77777777" w:rsidTr="00F561A7">
        <w:trPr>
          <w:trHeight w:val="288"/>
          <w:jc w:val="center"/>
        </w:trPr>
        <w:tc>
          <w:tcPr>
            <w:tcW w:w="1529" w:type="dxa"/>
            <w:vMerge/>
            <w:tcBorders>
              <w:top w:val="nil"/>
              <w:left w:val="single" w:sz="4" w:space="0" w:color="auto"/>
              <w:bottom w:val="single" w:sz="4" w:space="0" w:color="auto"/>
              <w:right w:val="single" w:sz="4" w:space="0" w:color="auto"/>
            </w:tcBorders>
            <w:vAlign w:val="center"/>
            <w:hideMark/>
          </w:tcPr>
          <w:p w14:paraId="51E5B243" w14:textId="77777777" w:rsidR="00F561A7" w:rsidRPr="00A9330B" w:rsidRDefault="00F561A7" w:rsidP="00F561A7">
            <w:pPr>
              <w:spacing w:before="0" w:line="240" w:lineRule="auto"/>
              <w:jc w:val="center"/>
              <w:rPr>
                <w:rFonts w:cs="Arial"/>
                <w:b/>
                <w:bCs/>
                <w:color w:val="000000"/>
                <w:sz w:val="18"/>
                <w:szCs w:val="18"/>
                <w:lang w:eastAsia="fr-FR"/>
              </w:rPr>
            </w:pPr>
          </w:p>
        </w:tc>
        <w:tc>
          <w:tcPr>
            <w:tcW w:w="3335" w:type="dxa"/>
            <w:tcBorders>
              <w:top w:val="nil"/>
              <w:left w:val="nil"/>
              <w:bottom w:val="single" w:sz="4" w:space="0" w:color="auto"/>
              <w:right w:val="single" w:sz="4" w:space="0" w:color="auto"/>
            </w:tcBorders>
            <w:shd w:val="clear" w:color="auto" w:fill="auto"/>
            <w:noWrap/>
            <w:vAlign w:val="center"/>
            <w:hideMark/>
          </w:tcPr>
          <w:p w14:paraId="73F49704" w14:textId="77777777" w:rsidR="00F561A7" w:rsidRPr="00A9330B" w:rsidRDefault="00F561A7" w:rsidP="00F561A7">
            <w:pPr>
              <w:spacing w:before="0" w:line="240" w:lineRule="auto"/>
              <w:ind w:firstLineChars="100" w:firstLine="180"/>
              <w:rPr>
                <w:rFonts w:cs="Arial"/>
                <w:color w:val="000000"/>
                <w:sz w:val="18"/>
                <w:szCs w:val="18"/>
                <w:lang w:eastAsia="fr-FR"/>
              </w:rPr>
            </w:pPr>
            <w:r w:rsidRPr="00A9330B">
              <w:rPr>
                <w:rFonts w:cs="Arial"/>
                <w:color w:val="000000"/>
                <w:sz w:val="18"/>
                <w:szCs w:val="18"/>
                <w:lang w:eastAsia="fr-FR"/>
              </w:rPr>
              <w:t>Conseiller social</w:t>
            </w:r>
          </w:p>
        </w:tc>
        <w:tc>
          <w:tcPr>
            <w:tcW w:w="1940" w:type="dxa"/>
            <w:tcBorders>
              <w:top w:val="nil"/>
              <w:left w:val="nil"/>
              <w:bottom w:val="single" w:sz="4" w:space="0" w:color="auto"/>
              <w:right w:val="single" w:sz="4" w:space="0" w:color="auto"/>
            </w:tcBorders>
            <w:shd w:val="clear" w:color="auto" w:fill="auto"/>
            <w:noWrap/>
            <w:vAlign w:val="center"/>
            <w:hideMark/>
          </w:tcPr>
          <w:p w14:paraId="09527D20" w14:textId="77777777" w:rsidR="00F561A7" w:rsidRPr="00A9330B" w:rsidRDefault="00F561A7" w:rsidP="00F561A7">
            <w:pPr>
              <w:spacing w:before="0" w:line="240" w:lineRule="auto"/>
              <w:jc w:val="center"/>
              <w:rPr>
                <w:rFonts w:cs="Arial"/>
                <w:color w:val="000000"/>
                <w:sz w:val="18"/>
                <w:szCs w:val="18"/>
                <w:lang w:eastAsia="fr-FR"/>
              </w:rPr>
            </w:pPr>
            <w:r w:rsidRPr="00A9330B">
              <w:rPr>
                <w:rFonts w:cs="Arial"/>
                <w:color w:val="000000"/>
                <w:sz w:val="18"/>
                <w:szCs w:val="18"/>
                <w:lang w:eastAsia="fr-FR"/>
              </w:rPr>
              <w:t>0,25</w:t>
            </w:r>
          </w:p>
        </w:tc>
      </w:tr>
      <w:tr w:rsidR="00F561A7" w:rsidRPr="00A9330B" w14:paraId="73B0DCF6" w14:textId="77777777" w:rsidTr="00F561A7">
        <w:trPr>
          <w:trHeight w:val="288"/>
          <w:jc w:val="center"/>
        </w:trPr>
        <w:tc>
          <w:tcPr>
            <w:tcW w:w="1529" w:type="dxa"/>
            <w:vMerge/>
            <w:tcBorders>
              <w:top w:val="nil"/>
              <w:left w:val="single" w:sz="4" w:space="0" w:color="auto"/>
              <w:bottom w:val="single" w:sz="4" w:space="0" w:color="auto"/>
              <w:right w:val="single" w:sz="4" w:space="0" w:color="auto"/>
            </w:tcBorders>
            <w:vAlign w:val="center"/>
            <w:hideMark/>
          </w:tcPr>
          <w:p w14:paraId="061EEA6E" w14:textId="77777777" w:rsidR="00F561A7" w:rsidRPr="00A9330B" w:rsidRDefault="00F561A7" w:rsidP="00F561A7">
            <w:pPr>
              <w:spacing w:before="0" w:line="240" w:lineRule="auto"/>
              <w:jc w:val="center"/>
              <w:rPr>
                <w:rFonts w:cs="Arial"/>
                <w:b/>
                <w:bCs/>
                <w:color w:val="000000"/>
                <w:sz w:val="18"/>
                <w:szCs w:val="18"/>
                <w:lang w:eastAsia="fr-FR"/>
              </w:rPr>
            </w:pPr>
          </w:p>
        </w:tc>
        <w:tc>
          <w:tcPr>
            <w:tcW w:w="3335" w:type="dxa"/>
            <w:tcBorders>
              <w:top w:val="nil"/>
              <w:left w:val="nil"/>
              <w:bottom w:val="single" w:sz="4" w:space="0" w:color="auto"/>
              <w:right w:val="single" w:sz="4" w:space="0" w:color="auto"/>
            </w:tcBorders>
            <w:shd w:val="clear" w:color="auto" w:fill="auto"/>
            <w:noWrap/>
            <w:vAlign w:val="center"/>
            <w:hideMark/>
          </w:tcPr>
          <w:p w14:paraId="6B1429CB" w14:textId="77777777" w:rsidR="00F561A7" w:rsidRPr="00A9330B" w:rsidRDefault="00F561A7" w:rsidP="00F561A7">
            <w:pPr>
              <w:spacing w:before="0" w:line="240" w:lineRule="auto"/>
              <w:ind w:firstLineChars="100" w:firstLine="180"/>
              <w:rPr>
                <w:rFonts w:cs="Arial"/>
                <w:color w:val="000000"/>
                <w:sz w:val="18"/>
                <w:szCs w:val="18"/>
                <w:lang w:eastAsia="fr-FR"/>
              </w:rPr>
            </w:pPr>
            <w:r w:rsidRPr="00A9330B">
              <w:rPr>
                <w:rFonts w:cs="Arial"/>
                <w:color w:val="000000"/>
                <w:sz w:val="18"/>
                <w:szCs w:val="18"/>
                <w:lang w:eastAsia="fr-FR"/>
              </w:rPr>
              <w:t>Couturier/Tailleur</w:t>
            </w:r>
          </w:p>
        </w:tc>
        <w:tc>
          <w:tcPr>
            <w:tcW w:w="1940" w:type="dxa"/>
            <w:tcBorders>
              <w:top w:val="nil"/>
              <w:left w:val="nil"/>
              <w:bottom w:val="single" w:sz="4" w:space="0" w:color="auto"/>
              <w:right w:val="single" w:sz="4" w:space="0" w:color="auto"/>
            </w:tcBorders>
            <w:shd w:val="clear" w:color="auto" w:fill="auto"/>
            <w:noWrap/>
            <w:vAlign w:val="center"/>
            <w:hideMark/>
          </w:tcPr>
          <w:p w14:paraId="7F94348C" w14:textId="77777777" w:rsidR="00F561A7" w:rsidRPr="00A9330B" w:rsidRDefault="00F561A7" w:rsidP="00F561A7">
            <w:pPr>
              <w:spacing w:before="0" w:line="240" w:lineRule="auto"/>
              <w:jc w:val="center"/>
              <w:rPr>
                <w:rFonts w:cs="Arial"/>
                <w:color w:val="000000"/>
                <w:sz w:val="18"/>
                <w:szCs w:val="18"/>
                <w:lang w:eastAsia="fr-FR"/>
              </w:rPr>
            </w:pPr>
            <w:r w:rsidRPr="00A9330B">
              <w:rPr>
                <w:rFonts w:cs="Arial"/>
                <w:color w:val="000000"/>
                <w:sz w:val="18"/>
                <w:szCs w:val="18"/>
                <w:lang w:eastAsia="fr-FR"/>
              </w:rPr>
              <w:t>1,48</w:t>
            </w:r>
          </w:p>
        </w:tc>
      </w:tr>
      <w:tr w:rsidR="00F561A7" w:rsidRPr="00A9330B" w14:paraId="5F7506AC" w14:textId="77777777" w:rsidTr="00F561A7">
        <w:trPr>
          <w:trHeight w:val="288"/>
          <w:jc w:val="center"/>
        </w:trPr>
        <w:tc>
          <w:tcPr>
            <w:tcW w:w="1529" w:type="dxa"/>
            <w:vMerge/>
            <w:tcBorders>
              <w:top w:val="nil"/>
              <w:left w:val="single" w:sz="4" w:space="0" w:color="auto"/>
              <w:bottom w:val="single" w:sz="4" w:space="0" w:color="auto"/>
              <w:right w:val="single" w:sz="4" w:space="0" w:color="auto"/>
            </w:tcBorders>
            <w:vAlign w:val="center"/>
            <w:hideMark/>
          </w:tcPr>
          <w:p w14:paraId="6319BE2E" w14:textId="77777777" w:rsidR="00F561A7" w:rsidRPr="00A9330B" w:rsidRDefault="00F561A7" w:rsidP="00F561A7">
            <w:pPr>
              <w:spacing w:before="0" w:line="240" w:lineRule="auto"/>
              <w:jc w:val="center"/>
              <w:rPr>
                <w:rFonts w:cs="Arial"/>
                <w:b/>
                <w:bCs/>
                <w:color w:val="000000"/>
                <w:sz w:val="18"/>
                <w:szCs w:val="18"/>
                <w:lang w:eastAsia="fr-FR"/>
              </w:rPr>
            </w:pPr>
          </w:p>
        </w:tc>
        <w:tc>
          <w:tcPr>
            <w:tcW w:w="3335" w:type="dxa"/>
            <w:tcBorders>
              <w:top w:val="nil"/>
              <w:left w:val="nil"/>
              <w:bottom w:val="single" w:sz="4" w:space="0" w:color="auto"/>
              <w:right w:val="single" w:sz="4" w:space="0" w:color="auto"/>
            </w:tcBorders>
            <w:shd w:val="clear" w:color="auto" w:fill="auto"/>
            <w:noWrap/>
            <w:vAlign w:val="center"/>
            <w:hideMark/>
          </w:tcPr>
          <w:p w14:paraId="6DA1CB71" w14:textId="77777777" w:rsidR="00F561A7" w:rsidRPr="00A9330B" w:rsidRDefault="00F561A7" w:rsidP="00F561A7">
            <w:pPr>
              <w:spacing w:before="0" w:line="240" w:lineRule="auto"/>
              <w:ind w:firstLineChars="100" w:firstLine="180"/>
              <w:rPr>
                <w:rFonts w:cs="Arial"/>
                <w:color w:val="000000"/>
                <w:sz w:val="18"/>
                <w:szCs w:val="18"/>
                <w:lang w:eastAsia="fr-FR"/>
              </w:rPr>
            </w:pPr>
            <w:r w:rsidRPr="00A9330B">
              <w:rPr>
                <w:rFonts w:cs="Arial"/>
                <w:color w:val="000000"/>
                <w:sz w:val="18"/>
                <w:szCs w:val="18"/>
                <w:lang w:eastAsia="fr-FR"/>
              </w:rPr>
              <w:t>Cuisinier</w:t>
            </w:r>
          </w:p>
        </w:tc>
        <w:tc>
          <w:tcPr>
            <w:tcW w:w="1940" w:type="dxa"/>
            <w:tcBorders>
              <w:top w:val="nil"/>
              <w:left w:val="nil"/>
              <w:bottom w:val="single" w:sz="4" w:space="0" w:color="auto"/>
              <w:right w:val="single" w:sz="4" w:space="0" w:color="auto"/>
            </w:tcBorders>
            <w:shd w:val="clear" w:color="auto" w:fill="auto"/>
            <w:noWrap/>
            <w:vAlign w:val="center"/>
            <w:hideMark/>
          </w:tcPr>
          <w:p w14:paraId="73069AFE" w14:textId="77777777" w:rsidR="00F561A7" w:rsidRPr="00A9330B" w:rsidRDefault="00F561A7" w:rsidP="00F561A7">
            <w:pPr>
              <w:spacing w:before="0" w:line="240" w:lineRule="auto"/>
              <w:jc w:val="center"/>
              <w:rPr>
                <w:rFonts w:cs="Arial"/>
                <w:color w:val="000000"/>
                <w:sz w:val="18"/>
                <w:szCs w:val="18"/>
                <w:lang w:eastAsia="fr-FR"/>
              </w:rPr>
            </w:pPr>
            <w:r w:rsidRPr="00A9330B">
              <w:rPr>
                <w:rFonts w:cs="Arial"/>
                <w:color w:val="000000"/>
                <w:sz w:val="18"/>
                <w:szCs w:val="18"/>
                <w:lang w:eastAsia="fr-FR"/>
              </w:rPr>
              <w:t>0,74</w:t>
            </w:r>
          </w:p>
        </w:tc>
      </w:tr>
      <w:tr w:rsidR="00F561A7" w:rsidRPr="00A9330B" w14:paraId="1595D72B" w14:textId="77777777" w:rsidTr="00F561A7">
        <w:trPr>
          <w:trHeight w:val="288"/>
          <w:jc w:val="center"/>
        </w:trPr>
        <w:tc>
          <w:tcPr>
            <w:tcW w:w="1529" w:type="dxa"/>
            <w:vMerge/>
            <w:tcBorders>
              <w:top w:val="nil"/>
              <w:left w:val="single" w:sz="4" w:space="0" w:color="auto"/>
              <w:bottom w:val="single" w:sz="4" w:space="0" w:color="auto"/>
              <w:right w:val="single" w:sz="4" w:space="0" w:color="auto"/>
            </w:tcBorders>
            <w:vAlign w:val="center"/>
            <w:hideMark/>
          </w:tcPr>
          <w:p w14:paraId="278DCCD4" w14:textId="77777777" w:rsidR="00F561A7" w:rsidRPr="00A9330B" w:rsidRDefault="00F561A7" w:rsidP="00F561A7">
            <w:pPr>
              <w:spacing w:before="0" w:line="240" w:lineRule="auto"/>
              <w:jc w:val="center"/>
              <w:rPr>
                <w:rFonts w:cs="Arial"/>
                <w:b/>
                <w:bCs/>
                <w:color w:val="000000"/>
                <w:sz w:val="18"/>
                <w:szCs w:val="18"/>
                <w:lang w:eastAsia="fr-FR"/>
              </w:rPr>
            </w:pPr>
          </w:p>
        </w:tc>
        <w:tc>
          <w:tcPr>
            <w:tcW w:w="3335" w:type="dxa"/>
            <w:tcBorders>
              <w:top w:val="nil"/>
              <w:left w:val="nil"/>
              <w:bottom w:val="single" w:sz="4" w:space="0" w:color="auto"/>
              <w:right w:val="single" w:sz="4" w:space="0" w:color="auto"/>
            </w:tcBorders>
            <w:shd w:val="clear" w:color="auto" w:fill="auto"/>
            <w:noWrap/>
            <w:vAlign w:val="center"/>
            <w:hideMark/>
          </w:tcPr>
          <w:p w14:paraId="05F79A6A" w14:textId="77777777" w:rsidR="00F561A7" w:rsidRPr="00A9330B" w:rsidRDefault="00F561A7" w:rsidP="00F561A7">
            <w:pPr>
              <w:spacing w:before="0" w:line="240" w:lineRule="auto"/>
              <w:ind w:firstLineChars="100" w:firstLine="180"/>
              <w:rPr>
                <w:rFonts w:cs="Arial"/>
                <w:color w:val="000000"/>
                <w:sz w:val="18"/>
                <w:szCs w:val="18"/>
                <w:lang w:eastAsia="fr-FR"/>
              </w:rPr>
            </w:pPr>
            <w:r w:rsidRPr="00A9330B">
              <w:rPr>
                <w:rFonts w:cs="Arial"/>
                <w:color w:val="000000"/>
                <w:sz w:val="18"/>
                <w:szCs w:val="18"/>
                <w:lang w:eastAsia="fr-FR"/>
              </w:rPr>
              <w:t>Électricien</w:t>
            </w:r>
          </w:p>
        </w:tc>
        <w:tc>
          <w:tcPr>
            <w:tcW w:w="1940" w:type="dxa"/>
            <w:tcBorders>
              <w:top w:val="nil"/>
              <w:left w:val="nil"/>
              <w:bottom w:val="single" w:sz="4" w:space="0" w:color="auto"/>
              <w:right w:val="single" w:sz="4" w:space="0" w:color="auto"/>
            </w:tcBorders>
            <w:shd w:val="clear" w:color="auto" w:fill="auto"/>
            <w:noWrap/>
            <w:vAlign w:val="center"/>
            <w:hideMark/>
          </w:tcPr>
          <w:p w14:paraId="06EB8D3B" w14:textId="77777777" w:rsidR="00F561A7" w:rsidRPr="00A9330B" w:rsidRDefault="00F561A7" w:rsidP="00F561A7">
            <w:pPr>
              <w:spacing w:before="0" w:line="240" w:lineRule="auto"/>
              <w:jc w:val="center"/>
              <w:rPr>
                <w:rFonts w:cs="Arial"/>
                <w:color w:val="000000"/>
                <w:sz w:val="18"/>
                <w:szCs w:val="18"/>
                <w:lang w:eastAsia="fr-FR"/>
              </w:rPr>
            </w:pPr>
            <w:r w:rsidRPr="00A9330B">
              <w:rPr>
                <w:rFonts w:cs="Arial"/>
                <w:color w:val="000000"/>
                <w:sz w:val="18"/>
                <w:szCs w:val="18"/>
                <w:lang w:eastAsia="fr-FR"/>
              </w:rPr>
              <w:t>1,23</w:t>
            </w:r>
          </w:p>
        </w:tc>
      </w:tr>
      <w:tr w:rsidR="00F561A7" w:rsidRPr="00A9330B" w14:paraId="728434C0" w14:textId="77777777" w:rsidTr="00F561A7">
        <w:trPr>
          <w:trHeight w:val="288"/>
          <w:jc w:val="center"/>
        </w:trPr>
        <w:tc>
          <w:tcPr>
            <w:tcW w:w="1529" w:type="dxa"/>
            <w:vMerge/>
            <w:tcBorders>
              <w:top w:val="nil"/>
              <w:left w:val="single" w:sz="4" w:space="0" w:color="auto"/>
              <w:bottom w:val="single" w:sz="4" w:space="0" w:color="auto"/>
              <w:right w:val="single" w:sz="4" w:space="0" w:color="auto"/>
            </w:tcBorders>
            <w:vAlign w:val="center"/>
            <w:hideMark/>
          </w:tcPr>
          <w:p w14:paraId="306C5215" w14:textId="77777777" w:rsidR="00F561A7" w:rsidRPr="00A9330B" w:rsidRDefault="00F561A7" w:rsidP="00F561A7">
            <w:pPr>
              <w:spacing w:before="0" w:line="240" w:lineRule="auto"/>
              <w:jc w:val="center"/>
              <w:rPr>
                <w:rFonts w:cs="Arial"/>
                <w:b/>
                <w:bCs/>
                <w:color w:val="000000"/>
                <w:sz w:val="18"/>
                <w:szCs w:val="18"/>
                <w:lang w:eastAsia="fr-FR"/>
              </w:rPr>
            </w:pPr>
          </w:p>
        </w:tc>
        <w:tc>
          <w:tcPr>
            <w:tcW w:w="3335" w:type="dxa"/>
            <w:tcBorders>
              <w:top w:val="nil"/>
              <w:left w:val="nil"/>
              <w:bottom w:val="single" w:sz="4" w:space="0" w:color="auto"/>
              <w:right w:val="single" w:sz="4" w:space="0" w:color="auto"/>
            </w:tcBorders>
            <w:shd w:val="clear" w:color="auto" w:fill="auto"/>
            <w:noWrap/>
            <w:vAlign w:val="center"/>
            <w:hideMark/>
          </w:tcPr>
          <w:p w14:paraId="4695B1B7" w14:textId="77777777" w:rsidR="00F561A7" w:rsidRPr="00A9330B" w:rsidRDefault="00F561A7" w:rsidP="00F561A7">
            <w:pPr>
              <w:spacing w:before="0" w:line="240" w:lineRule="auto"/>
              <w:ind w:firstLineChars="100" w:firstLine="180"/>
              <w:rPr>
                <w:rFonts w:cs="Arial"/>
                <w:color w:val="000000"/>
                <w:sz w:val="18"/>
                <w:szCs w:val="18"/>
                <w:lang w:eastAsia="fr-FR"/>
              </w:rPr>
            </w:pPr>
            <w:r w:rsidRPr="00A9330B">
              <w:rPr>
                <w:rFonts w:cs="Arial"/>
                <w:color w:val="000000"/>
                <w:sz w:val="18"/>
                <w:szCs w:val="18"/>
                <w:lang w:eastAsia="fr-FR"/>
              </w:rPr>
              <w:t>Éleveur</w:t>
            </w:r>
          </w:p>
        </w:tc>
        <w:tc>
          <w:tcPr>
            <w:tcW w:w="1940" w:type="dxa"/>
            <w:tcBorders>
              <w:top w:val="nil"/>
              <w:left w:val="nil"/>
              <w:bottom w:val="single" w:sz="4" w:space="0" w:color="auto"/>
              <w:right w:val="single" w:sz="4" w:space="0" w:color="auto"/>
            </w:tcBorders>
            <w:shd w:val="clear" w:color="auto" w:fill="auto"/>
            <w:noWrap/>
            <w:vAlign w:val="center"/>
            <w:hideMark/>
          </w:tcPr>
          <w:p w14:paraId="77CF9B42" w14:textId="77777777" w:rsidR="00F561A7" w:rsidRPr="00A9330B" w:rsidRDefault="00F561A7" w:rsidP="00F561A7">
            <w:pPr>
              <w:spacing w:before="0" w:line="240" w:lineRule="auto"/>
              <w:jc w:val="center"/>
              <w:rPr>
                <w:rFonts w:cs="Arial"/>
                <w:color w:val="000000"/>
                <w:sz w:val="18"/>
                <w:szCs w:val="18"/>
                <w:lang w:eastAsia="fr-FR"/>
              </w:rPr>
            </w:pPr>
            <w:r w:rsidRPr="00A9330B">
              <w:rPr>
                <w:rFonts w:cs="Arial"/>
                <w:color w:val="000000"/>
                <w:sz w:val="18"/>
                <w:szCs w:val="18"/>
                <w:lang w:eastAsia="fr-FR"/>
              </w:rPr>
              <w:t>0,25</w:t>
            </w:r>
          </w:p>
        </w:tc>
      </w:tr>
      <w:tr w:rsidR="00F561A7" w:rsidRPr="00A9330B" w14:paraId="1511AE0B" w14:textId="77777777" w:rsidTr="00F561A7">
        <w:trPr>
          <w:trHeight w:val="288"/>
          <w:jc w:val="center"/>
        </w:trPr>
        <w:tc>
          <w:tcPr>
            <w:tcW w:w="1529" w:type="dxa"/>
            <w:vMerge/>
            <w:tcBorders>
              <w:top w:val="nil"/>
              <w:left w:val="single" w:sz="4" w:space="0" w:color="auto"/>
              <w:bottom w:val="single" w:sz="4" w:space="0" w:color="auto"/>
              <w:right w:val="single" w:sz="4" w:space="0" w:color="auto"/>
            </w:tcBorders>
            <w:vAlign w:val="center"/>
            <w:hideMark/>
          </w:tcPr>
          <w:p w14:paraId="54E89AAA" w14:textId="77777777" w:rsidR="00F561A7" w:rsidRPr="00A9330B" w:rsidRDefault="00F561A7" w:rsidP="00F561A7">
            <w:pPr>
              <w:spacing w:before="0" w:line="240" w:lineRule="auto"/>
              <w:jc w:val="center"/>
              <w:rPr>
                <w:rFonts w:cs="Arial"/>
                <w:b/>
                <w:bCs/>
                <w:color w:val="000000"/>
                <w:sz w:val="18"/>
                <w:szCs w:val="18"/>
                <w:lang w:eastAsia="fr-FR"/>
              </w:rPr>
            </w:pPr>
          </w:p>
        </w:tc>
        <w:tc>
          <w:tcPr>
            <w:tcW w:w="3335" w:type="dxa"/>
            <w:tcBorders>
              <w:top w:val="nil"/>
              <w:left w:val="nil"/>
              <w:bottom w:val="single" w:sz="4" w:space="0" w:color="auto"/>
              <w:right w:val="single" w:sz="4" w:space="0" w:color="auto"/>
            </w:tcBorders>
            <w:shd w:val="clear" w:color="auto" w:fill="auto"/>
            <w:noWrap/>
            <w:vAlign w:val="center"/>
            <w:hideMark/>
          </w:tcPr>
          <w:p w14:paraId="7A8261C4" w14:textId="77777777" w:rsidR="00F561A7" w:rsidRPr="00A9330B" w:rsidRDefault="00F561A7" w:rsidP="00F561A7">
            <w:pPr>
              <w:spacing w:before="0" w:line="240" w:lineRule="auto"/>
              <w:ind w:firstLineChars="100" w:firstLine="180"/>
              <w:rPr>
                <w:rFonts w:cs="Arial"/>
                <w:color w:val="000000"/>
                <w:sz w:val="18"/>
                <w:szCs w:val="18"/>
                <w:lang w:eastAsia="fr-FR"/>
              </w:rPr>
            </w:pPr>
            <w:r w:rsidRPr="00A9330B">
              <w:rPr>
                <w:rFonts w:cs="Arial"/>
                <w:color w:val="000000"/>
                <w:sz w:val="18"/>
                <w:szCs w:val="18"/>
                <w:lang w:eastAsia="fr-FR"/>
              </w:rPr>
              <w:t>Enseignant</w:t>
            </w:r>
          </w:p>
        </w:tc>
        <w:tc>
          <w:tcPr>
            <w:tcW w:w="1940" w:type="dxa"/>
            <w:tcBorders>
              <w:top w:val="nil"/>
              <w:left w:val="nil"/>
              <w:bottom w:val="single" w:sz="4" w:space="0" w:color="auto"/>
              <w:right w:val="single" w:sz="4" w:space="0" w:color="auto"/>
            </w:tcBorders>
            <w:shd w:val="clear" w:color="auto" w:fill="auto"/>
            <w:noWrap/>
            <w:vAlign w:val="center"/>
            <w:hideMark/>
          </w:tcPr>
          <w:p w14:paraId="76ED9FA0" w14:textId="77777777" w:rsidR="00F561A7" w:rsidRPr="00A9330B" w:rsidRDefault="00F561A7" w:rsidP="00F561A7">
            <w:pPr>
              <w:spacing w:before="0" w:line="240" w:lineRule="auto"/>
              <w:jc w:val="center"/>
              <w:rPr>
                <w:rFonts w:cs="Arial"/>
                <w:color w:val="000000"/>
                <w:sz w:val="18"/>
                <w:szCs w:val="18"/>
                <w:lang w:eastAsia="fr-FR"/>
              </w:rPr>
            </w:pPr>
            <w:r w:rsidRPr="00A9330B">
              <w:rPr>
                <w:rFonts w:cs="Arial"/>
                <w:color w:val="000000"/>
                <w:sz w:val="18"/>
                <w:szCs w:val="18"/>
                <w:lang w:eastAsia="fr-FR"/>
              </w:rPr>
              <w:t>6,17</w:t>
            </w:r>
          </w:p>
        </w:tc>
      </w:tr>
      <w:tr w:rsidR="00F561A7" w:rsidRPr="00A9330B" w14:paraId="669D5D47" w14:textId="77777777" w:rsidTr="00F561A7">
        <w:trPr>
          <w:trHeight w:val="288"/>
          <w:jc w:val="center"/>
        </w:trPr>
        <w:tc>
          <w:tcPr>
            <w:tcW w:w="1529" w:type="dxa"/>
            <w:vMerge/>
            <w:tcBorders>
              <w:top w:val="nil"/>
              <w:left w:val="single" w:sz="4" w:space="0" w:color="auto"/>
              <w:bottom w:val="single" w:sz="4" w:space="0" w:color="auto"/>
              <w:right w:val="single" w:sz="4" w:space="0" w:color="auto"/>
            </w:tcBorders>
            <w:vAlign w:val="center"/>
            <w:hideMark/>
          </w:tcPr>
          <w:p w14:paraId="624EABA5" w14:textId="77777777" w:rsidR="00F561A7" w:rsidRPr="00A9330B" w:rsidRDefault="00F561A7" w:rsidP="00F561A7">
            <w:pPr>
              <w:spacing w:before="0" w:line="240" w:lineRule="auto"/>
              <w:jc w:val="center"/>
              <w:rPr>
                <w:rFonts w:cs="Arial"/>
                <w:b/>
                <w:bCs/>
                <w:color w:val="000000"/>
                <w:sz w:val="18"/>
                <w:szCs w:val="18"/>
                <w:lang w:eastAsia="fr-FR"/>
              </w:rPr>
            </w:pPr>
          </w:p>
        </w:tc>
        <w:tc>
          <w:tcPr>
            <w:tcW w:w="3335" w:type="dxa"/>
            <w:tcBorders>
              <w:top w:val="nil"/>
              <w:left w:val="nil"/>
              <w:bottom w:val="single" w:sz="4" w:space="0" w:color="auto"/>
              <w:right w:val="single" w:sz="4" w:space="0" w:color="auto"/>
            </w:tcBorders>
            <w:shd w:val="clear" w:color="auto" w:fill="auto"/>
            <w:noWrap/>
            <w:vAlign w:val="center"/>
            <w:hideMark/>
          </w:tcPr>
          <w:p w14:paraId="7F1BB600" w14:textId="77777777" w:rsidR="00F561A7" w:rsidRPr="00A9330B" w:rsidRDefault="00F561A7" w:rsidP="00F561A7">
            <w:pPr>
              <w:spacing w:before="0" w:line="240" w:lineRule="auto"/>
              <w:ind w:firstLineChars="100" w:firstLine="180"/>
              <w:rPr>
                <w:rFonts w:cs="Arial"/>
                <w:color w:val="000000"/>
                <w:sz w:val="18"/>
                <w:szCs w:val="18"/>
                <w:lang w:eastAsia="fr-FR"/>
              </w:rPr>
            </w:pPr>
            <w:r w:rsidRPr="00A9330B">
              <w:rPr>
                <w:rFonts w:cs="Arial"/>
                <w:color w:val="000000"/>
                <w:sz w:val="18"/>
                <w:szCs w:val="18"/>
                <w:lang w:eastAsia="fr-FR"/>
              </w:rPr>
              <w:t>Entrepreneur</w:t>
            </w:r>
          </w:p>
        </w:tc>
        <w:tc>
          <w:tcPr>
            <w:tcW w:w="1940" w:type="dxa"/>
            <w:tcBorders>
              <w:top w:val="nil"/>
              <w:left w:val="nil"/>
              <w:bottom w:val="single" w:sz="4" w:space="0" w:color="auto"/>
              <w:right w:val="single" w:sz="4" w:space="0" w:color="auto"/>
            </w:tcBorders>
            <w:shd w:val="clear" w:color="auto" w:fill="auto"/>
            <w:noWrap/>
            <w:vAlign w:val="center"/>
            <w:hideMark/>
          </w:tcPr>
          <w:p w14:paraId="65220EC4" w14:textId="77777777" w:rsidR="00F561A7" w:rsidRPr="00A9330B" w:rsidRDefault="00F561A7" w:rsidP="00F561A7">
            <w:pPr>
              <w:spacing w:before="0" w:line="240" w:lineRule="auto"/>
              <w:jc w:val="center"/>
              <w:rPr>
                <w:rFonts w:cs="Arial"/>
                <w:color w:val="000000"/>
                <w:sz w:val="18"/>
                <w:szCs w:val="18"/>
                <w:lang w:eastAsia="fr-FR"/>
              </w:rPr>
            </w:pPr>
            <w:r w:rsidRPr="00A9330B">
              <w:rPr>
                <w:rFonts w:cs="Arial"/>
                <w:color w:val="000000"/>
                <w:sz w:val="18"/>
                <w:szCs w:val="18"/>
                <w:lang w:eastAsia="fr-FR"/>
              </w:rPr>
              <w:t>0,99</w:t>
            </w:r>
          </w:p>
        </w:tc>
      </w:tr>
      <w:tr w:rsidR="00F561A7" w:rsidRPr="00A9330B" w14:paraId="0BCF1BCA" w14:textId="77777777" w:rsidTr="00F561A7">
        <w:trPr>
          <w:trHeight w:val="288"/>
          <w:jc w:val="center"/>
        </w:trPr>
        <w:tc>
          <w:tcPr>
            <w:tcW w:w="1529" w:type="dxa"/>
            <w:vMerge/>
            <w:tcBorders>
              <w:top w:val="nil"/>
              <w:left w:val="single" w:sz="4" w:space="0" w:color="auto"/>
              <w:bottom w:val="single" w:sz="4" w:space="0" w:color="auto"/>
              <w:right w:val="single" w:sz="4" w:space="0" w:color="auto"/>
            </w:tcBorders>
            <w:vAlign w:val="center"/>
            <w:hideMark/>
          </w:tcPr>
          <w:p w14:paraId="3E105219" w14:textId="77777777" w:rsidR="00F561A7" w:rsidRPr="00A9330B" w:rsidRDefault="00F561A7" w:rsidP="00F561A7">
            <w:pPr>
              <w:spacing w:before="0" w:line="240" w:lineRule="auto"/>
              <w:jc w:val="center"/>
              <w:rPr>
                <w:rFonts w:cs="Arial"/>
                <w:b/>
                <w:bCs/>
                <w:color w:val="000000"/>
                <w:sz w:val="18"/>
                <w:szCs w:val="18"/>
                <w:lang w:eastAsia="fr-FR"/>
              </w:rPr>
            </w:pPr>
          </w:p>
        </w:tc>
        <w:tc>
          <w:tcPr>
            <w:tcW w:w="3335" w:type="dxa"/>
            <w:tcBorders>
              <w:top w:val="nil"/>
              <w:left w:val="nil"/>
              <w:bottom w:val="single" w:sz="4" w:space="0" w:color="auto"/>
              <w:right w:val="single" w:sz="4" w:space="0" w:color="auto"/>
            </w:tcBorders>
            <w:shd w:val="clear" w:color="auto" w:fill="auto"/>
            <w:noWrap/>
            <w:vAlign w:val="center"/>
            <w:hideMark/>
          </w:tcPr>
          <w:p w14:paraId="132A52BD" w14:textId="77777777" w:rsidR="00F561A7" w:rsidRPr="00A9330B" w:rsidRDefault="00F561A7" w:rsidP="00F561A7">
            <w:pPr>
              <w:spacing w:before="0" w:line="240" w:lineRule="auto"/>
              <w:ind w:firstLineChars="100" w:firstLine="180"/>
              <w:rPr>
                <w:rFonts w:cs="Arial"/>
                <w:color w:val="000000"/>
                <w:sz w:val="18"/>
                <w:szCs w:val="18"/>
                <w:lang w:eastAsia="fr-FR"/>
              </w:rPr>
            </w:pPr>
            <w:r w:rsidRPr="00A9330B">
              <w:rPr>
                <w:rFonts w:cs="Arial"/>
                <w:color w:val="000000"/>
                <w:sz w:val="18"/>
                <w:szCs w:val="18"/>
                <w:lang w:eastAsia="fr-FR"/>
              </w:rPr>
              <w:t>Forgeron</w:t>
            </w:r>
          </w:p>
        </w:tc>
        <w:tc>
          <w:tcPr>
            <w:tcW w:w="1940" w:type="dxa"/>
            <w:tcBorders>
              <w:top w:val="nil"/>
              <w:left w:val="nil"/>
              <w:bottom w:val="single" w:sz="4" w:space="0" w:color="auto"/>
              <w:right w:val="single" w:sz="4" w:space="0" w:color="auto"/>
            </w:tcBorders>
            <w:shd w:val="clear" w:color="auto" w:fill="auto"/>
            <w:noWrap/>
            <w:vAlign w:val="center"/>
            <w:hideMark/>
          </w:tcPr>
          <w:p w14:paraId="59B4E557" w14:textId="77777777" w:rsidR="00F561A7" w:rsidRPr="00A9330B" w:rsidRDefault="00F561A7" w:rsidP="00F561A7">
            <w:pPr>
              <w:spacing w:before="0" w:line="240" w:lineRule="auto"/>
              <w:jc w:val="center"/>
              <w:rPr>
                <w:rFonts w:cs="Arial"/>
                <w:color w:val="000000"/>
                <w:sz w:val="18"/>
                <w:szCs w:val="18"/>
                <w:lang w:eastAsia="fr-FR"/>
              </w:rPr>
            </w:pPr>
            <w:r w:rsidRPr="00A9330B">
              <w:rPr>
                <w:rFonts w:cs="Arial"/>
                <w:color w:val="000000"/>
                <w:sz w:val="18"/>
                <w:szCs w:val="18"/>
                <w:lang w:eastAsia="fr-FR"/>
              </w:rPr>
              <w:t>0,25</w:t>
            </w:r>
          </w:p>
        </w:tc>
      </w:tr>
      <w:tr w:rsidR="00F561A7" w:rsidRPr="00A9330B" w14:paraId="16704FEF" w14:textId="77777777" w:rsidTr="00F561A7">
        <w:trPr>
          <w:trHeight w:val="288"/>
          <w:jc w:val="center"/>
        </w:trPr>
        <w:tc>
          <w:tcPr>
            <w:tcW w:w="1529" w:type="dxa"/>
            <w:vMerge/>
            <w:tcBorders>
              <w:top w:val="nil"/>
              <w:left w:val="single" w:sz="4" w:space="0" w:color="auto"/>
              <w:bottom w:val="single" w:sz="4" w:space="0" w:color="auto"/>
              <w:right w:val="single" w:sz="4" w:space="0" w:color="auto"/>
            </w:tcBorders>
            <w:vAlign w:val="center"/>
            <w:hideMark/>
          </w:tcPr>
          <w:p w14:paraId="2369DE6A" w14:textId="77777777" w:rsidR="00F561A7" w:rsidRPr="00A9330B" w:rsidRDefault="00F561A7" w:rsidP="00F561A7">
            <w:pPr>
              <w:spacing w:before="0" w:line="240" w:lineRule="auto"/>
              <w:jc w:val="center"/>
              <w:rPr>
                <w:rFonts w:cs="Arial"/>
                <w:b/>
                <w:bCs/>
                <w:color w:val="000000"/>
                <w:sz w:val="18"/>
                <w:szCs w:val="18"/>
                <w:lang w:eastAsia="fr-FR"/>
              </w:rPr>
            </w:pPr>
          </w:p>
        </w:tc>
        <w:tc>
          <w:tcPr>
            <w:tcW w:w="3335" w:type="dxa"/>
            <w:tcBorders>
              <w:top w:val="nil"/>
              <w:left w:val="nil"/>
              <w:bottom w:val="single" w:sz="4" w:space="0" w:color="auto"/>
              <w:right w:val="single" w:sz="4" w:space="0" w:color="auto"/>
            </w:tcBorders>
            <w:shd w:val="clear" w:color="auto" w:fill="auto"/>
            <w:noWrap/>
            <w:vAlign w:val="center"/>
            <w:hideMark/>
          </w:tcPr>
          <w:p w14:paraId="2F864DAB" w14:textId="77777777" w:rsidR="00F561A7" w:rsidRPr="00A9330B" w:rsidRDefault="00F561A7" w:rsidP="00F561A7">
            <w:pPr>
              <w:spacing w:before="0" w:line="240" w:lineRule="auto"/>
              <w:ind w:firstLineChars="100" w:firstLine="180"/>
              <w:rPr>
                <w:rFonts w:cs="Arial"/>
                <w:color w:val="000000"/>
                <w:sz w:val="18"/>
                <w:szCs w:val="18"/>
                <w:lang w:eastAsia="fr-FR"/>
              </w:rPr>
            </w:pPr>
            <w:r w:rsidRPr="00A9330B">
              <w:rPr>
                <w:rFonts w:cs="Arial"/>
                <w:color w:val="000000"/>
                <w:sz w:val="18"/>
                <w:szCs w:val="18"/>
                <w:lang w:eastAsia="fr-FR"/>
              </w:rPr>
              <w:t>Frigoriste</w:t>
            </w:r>
          </w:p>
        </w:tc>
        <w:tc>
          <w:tcPr>
            <w:tcW w:w="1940" w:type="dxa"/>
            <w:tcBorders>
              <w:top w:val="nil"/>
              <w:left w:val="nil"/>
              <w:bottom w:val="single" w:sz="4" w:space="0" w:color="auto"/>
              <w:right w:val="single" w:sz="4" w:space="0" w:color="auto"/>
            </w:tcBorders>
            <w:shd w:val="clear" w:color="auto" w:fill="auto"/>
            <w:noWrap/>
            <w:vAlign w:val="center"/>
            <w:hideMark/>
          </w:tcPr>
          <w:p w14:paraId="4E5E65B2" w14:textId="77777777" w:rsidR="00F561A7" w:rsidRPr="00A9330B" w:rsidRDefault="00F561A7" w:rsidP="00F561A7">
            <w:pPr>
              <w:spacing w:before="0" w:line="240" w:lineRule="auto"/>
              <w:jc w:val="center"/>
              <w:rPr>
                <w:rFonts w:cs="Arial"/>
                <w:color w:val="000000"/>
                <w:sz w:val="18"/>
                <w:szCs w:val="18"/>
                <w:lang w:eastAsia="fr-FR"/>
              </w:rPr>
            </w:pPr>
            <w:r w:rsidRPr="00A9330B">
              <w:rPr>
                <w:rFonts w:cs="Arial"/>
                <w:color w:val="000000"/>
                <w:sz w:val="18"/>
                <w:szCs w:val="18"/>
                <w:lang w:eastAsia="fr-FR"/>
              </w:rPr>
              <w:t>0,25</w:t>
            </w:r>
          </w:p>
        </w:tc>
      </w:tr>
      <w:tr w:rsidR="00F561A7" w:rsidRPr="00A9330B" w14:paraId="51BBA82D" w14:textId="77777777" w:rsidTr="00F561A7">
        <w:trPr>
          <w:trHeight w:val="288"/>
          <w:jc w:val="center"/>
        </w:trPr>
        <w:tc>
          <w:tcPr>
            <w:tcW w:w="1529" w:type="dxa"/>
            <w:vMerge/>
            <w:tcBorders>
              <w:top w:val="nil"/>
              <w:left w:val="single" w:sz="4" w:space="0" w:color="auto"/>
              <w:bottom w:val="single" w:sz="4" w:space="0" w:color="auto"/>
              <w:right w:val="single" w:sz="4" w:space="0" w:color="auto"/>
            </w:tcBorders>
            <w:vAlign w:val="center"/>
            <w:hideMark/>
          </w:tcPr>
          <w:p w14:paraId="6DB7375F" w14:textId="77777777" w:rsidR="00F561A7" w:rsidRPr="00A9330B" w:rsidRDefault="00F561A7" w:rsidP="00F561A7">
            <w:pPr>
              <w:spacing w:before="0" w:line="240" w:lineRule="auto"/>
              <w:jc w:val="center"/>
              <w:rPr>
                <w:rFonts w:cs="Arial"/>
                <w:b/>
                <w:bCs/>
                <w:color w:val="000000"/>
                <w:sz w:val="18"/>
                <w:szCs w:val="18"/>
                <w:lang w:eastAsia="fr-FR"/>
              </w:rPr>
            </w:pPr>
          </w:p>
        </w:tc>
        <w:tc>
          <w:tcPr>
            <w:tcW w:w="3335" w:type="dxa"/>
            <w:tcBorders>
              <w:top w:val="nil"/>
              <w:left w:val="nil"/>
              <w:bottom w:val="single" w:sz="4" w:space="0" w:color="auto"/>
              <w:right w:val="single" w:sz="4" w:space="0" w:color="auto"/>
            </w:tcBorders>
            <w:shd w:val="clear" w:color="auto" w:fill="auto"/>
            <w:noWrap/>
            <w:vAlign w:val="center"/>
            <w:hideMark/>
          </w:tcPr>
          <w:p w14:paraId="28D43684" w14:textId="77777777" w:rsidR="00F561A7" w:rsidRPr="00A9330B" w:rsidRDefault="00F561A7" w:rsidP="00F561A7">
            <w:pPr>
              <w:spacing w:before="0" w:line="240" w:lineRule="auto"/>
              <w:ind w:firstLineChars="100" w:firstLine="180"/>
              <w:rPr>
                <w:rFonts w:cs="Arial"/>
                <w:color w:val="000000"/>
                <w:sz w:val="18"/>
                <w:szCs w:val="18"/>
                <w:lang w:eastAsia="fr-FR"/>
              </w:rPr>
            </w:pPr>
            <w:r w:rsidRPr="00A9330B">
              <w:rPr>
                <w:rFonts w:cs="Arial"/>
                <w:color w:val="000000"/>
                <w:sz w:val="18"/>
                <w:szCs w:val="18"/>
                <w:lang w:eastAsia="fr-FR"/>
              </w:rPr>
              <w:t>Gardien</w:t>
            </w:r>
          </w:p>
        </w:tc>
        <w:tc>
          <w:tcPr>
            <w:tcW w:w="1940" w:type="dxa"/>
            <w:tcBorders>
              <w:top w:val="nil"/>
              <w:left w:val="nil"/>
              <w:bottom w:val="single" w:sz="4" w:space="0" w:color="auto"/>
              <w:right w:val="single" w:sz="4" w:space="0" w:color="auto"/>
            </w:tcBorders>
            <w:shd w:val="clear" w:color="auto" w:fill="auto"/>
            <w:noWrap/>
            <w:vAlign w:val="center"/>
            <w:hideMark/>
          </w:tcPr>
          <w:p w14:paraId="703C3B4B" w14:textId="77777777" w:rsidR="00F561A7" w:rsidRPr="00A9330B" w:rsidRDefault="00F561A7" w:rsidP="00F561A7">
            <w:pPr>
              <w:spacing w:before="0" w:line="240" w:lineRule="auto"/>
              <w:jc w:val="center"/>
              <w:rPr>
                <w:rFonts w:cs="Arial"/>
                <w:color w:val="000000"/>
                <w:sz w:val="18"/>
                <w:szCs w:val="18"/>
                <w:lang w:eastAsia="fr-FR"/>
              </w:rPr>
            </w:pPr>
            <w:r w:rsidRPr="00A9330B">
              <w:rPr>
                <w:rFonts w:cs="Arial"/>
                <w:color w:val="000000"/>
                <w:sz w:val="18"/>
                <w:szCs w:val="18"/>
                <w:lang w:eastAsia="fr-FR"/>
              </w:rPr>
              <w:t>2,22</w:t>
            </w:r>
          </w:p>
        </w:tc>
      </w:tr>
      <w:tr w:rsidR="00F561A7" w:rsidRPr="00A9330B" w14:paraId="79970A07" w14:textId="77777777" w:rsidTr="00F561A7">
        <w:trPr>
          <w:trHeight w:val="288"/>
          <w:jc w:val="center"/>
        </w:trPr>
        <w:tc>
          <w:tcPr>
            <w:tcW w:w="1529" w:type="dxa"/>
            <w:vMerge/>
            <w:tcBorders>
              <w:top w:val="nil"/>
              <w:left w:val="single" w:sz="4" w:space="0" w:color="auto"/>
              <w:bottom w:val="single" w:sz="4" w:space="0" w:color="auto"/>
              <w:right w:val="single" w:sz="4" w:space="0" w:color="auto"/>
            </w:tcBorders>
            <w:vAlign w:val="center"/>
            <w:hideMark/>
          </w:tcPr>
          <w:p w14:paraId="272FB0F9" w14:textId="77777777" w:rsidR="00F561A7" w:rsidRPr="00A9330B" w:rsidRDefault="00F561A7" w:rsidP="00F561A7">
            <w:pPr>
              <w:spacing w:before="0" w:line="240" w:lineRule="auto"/>
              <w:jc w:val="center"/>
              <w:rPr>
                <w:rFonts w:cs="Arial"/>
                <w:b/>
                <w:bCs/>
                <w:color w:val="000000"/>
                <w:sz w:val="18"/>
                <w:szCs w:val="18"/>
                <w:lang w:eastAsia="fr-FR"/>
              </w:rPr>
            </w:pPr>
          </w:p>
        </w:tc>
        <w:tc>
          <w:tcPr>
            <w:tcW w:w="3335" w:type="dxa"/>
            <w:tcBorders>
              <w:top w:val="nil"/>
              <w:left w:val="nil"/>
              <w:bottom w:val="single" w:sz="4" w:space="0" w:color="auto"/>
              <w:right w:val="single" w:sz="4" w:space="0" w:color="auto"/>
            </w:tcBorders>
            <w:shd w:val="clear" w:color="auto" w:fill="auto"/>
            <w:noWrap/>
            <w:vAlign w:val="center"/>
            <w:hideMark/>
          </w:tcPr>
          <w:p w14:paraId="6BA50623" w14:textId="77777777" w:rsidR="00F561A7" w:rsidRPr="00A9330B" w:rsidRDefault="00F561A7" w:rsidP="00F561A7">
            <w:pPr>
              <w:spacing w:before="0" w:line="240" w:lineRule="auto"/>
              <w:ind w:firstLineChars="100" w:firstLine="180"/>
              <w:rPr>
                <w:rFonts w:cs="Arial"/>
                <w:color w:val="000000"/>
                <w:sz w:val="18"/>
                <w:szCs w:val="18"/>
                <w:lang w:eastAsia="fr-FR"/>
              </w:rPr>
            </w:pPr>
            <w:r w:rsidRPr="00A9330B">
              <w:rPr>
                <w:rFonts w:cs="Arial"/>
                <w:color w:val="000000"/>
                <w:sz w:val="18"/>
                <w:szCs w:val="18"/>
                <w:lang w:eastAsia="fr-FR"/>
              </w:rPr>
              <w:t>Géomètre</w:t>
            </w:r>
          </w:p>
        </w:tc>
        <w:tc>
          <w:tcPr>
            <w:tcW w:w="1940" w:type="dxa"/>
            <w:tcBorders>
              <w:top w:val="nil"/>
              <w:left w:val="nil"/>
              <w:bottom w:val="single" w:sz="4" w:space="0" w:color="auto"/>
              <w:right w:val="single" w:sz="4" w:space="0" w:color="auto"/>
            </w:tcBorders>
            <w:shd w:val="clear" w:color="auto" w:fill="auto"/>
            <w:noWrap/>
            <w:vAlign w:val="center"/>
            <w:hideMark/>
          </w:tcPr>
          <w:p w14:paraId="34E96A12" w14:textId="77777777" w:rsidR="00F561A7" w:rsidRPr="00A9330B" w:rsidRDefault="00F561A7" w:rsidP="00F561A7">
            <w:pPr>
              <w:spacing w:before="0" w:line="240" w:lineRule="auto"/>
              <w:jc w:val="center"/>
              <w:rPr>
                <w:rFonts w:cs="Arial"/>
                <w:color w:val="000000"/>
                <w:sz w:val="18"/>
                <w:szCs w:val="18"/>
                <w:lang w:eastAsia="fr-FR"/>
              </w:rPr>
            </w:pPr>
            <w:r w:rsidRPr="00A9330B">
              <w:rPr>
                <w:rFonts w:cs="Arial"/>
                <w:color w:val="000000"/>
                <w:sz w:val="18"/>
                <w:szCs w:val="18"/>
                <w:lang w:eastAsia="fr-FR"/>
              </w:rPr>
              <w:t>0,25</w:t>
            </w:r>
          </w:p>
        </w:tc>
      </w:tr>
      <w:tr w:rsidR="00F561A7" w:rsidRPr="00A9330B" w14:paraId="3F9F47A3" w14:textId="77777777" w:rsidTr="00F561A7">
        <w:trPr>
          <w:trHeight w:val="288"/>
          <w:jc w:val="center"/>
        </w:trPr>
        <w:tc>
          <w:tcPr>
            <w:tcW w:w="1529" w:type="dxa"/>
            <w:vMerge/>
            <w:tcBorders>
              <w:top w:val="nil"/>
              <w:left w:val="single" w:sz="4" w:space="0" w:color="auto"/>
              <w:bottom w:val="single" w:sz="4" w:space="0" w:color="auto"/>
              <w:right w:val="single" w:sz="4" w:space="0" w:color="auto"/>
            </w:tcBorders>
            <w:vAlign w:val="center"/>
            <w:hideMark/>
          </w:tcPr>
          <w:p w14:paraId="3268B86A" w14:textId="77777777" w:rsidR="00F561A7" w:rsidRPr="00A9330B" w:rsidRDefault="00F561A7" w:rsidP="00F561A7">
            <w:pPr>
              <w:spacing w:before="0" w:line="240" w:lineRule="auto"/>
              <w:jc w:val="center"/>
              <w:rPr>
                <w:rFonts w:cs="Arial"/>
                <w:b/>
                <w:bCs/>
                <w:color w:val="000000"/>
                <w:sz w:val="18"/>
                <w:szCs w:val="18"/>
                <w:lang w:eastAsia="fr-FR"/>
              </w:rPr>
            </w:pPr>
          </w:p>
        </w:tc>
        <w:tc>
          <w:tcPr>
            <w:tcW w:w="3335" w:type="dxa"/>
            <w:tcBorders>
              <w:top w:val="nil"/>
              <w:left w:val="nil"/>
              <w:bottom w:val="single" w:sz="4" w:space="0" w:color="auto"/>
              <w:right w:val="single" w:sz="4" w:space="0" w:color="auto"/>
            </w:tcBorders>
            <w:shd w:val="clear" w:color="auto" w:fill="auto"/>
            <w:noWrap/>
            <w:vAlign w:val="center"/>
            <w:hideMark/>
          </w:tcPr>
          <w:p w14:paraId="7677765F" w14:textId="77777777" w:rsidR="00F561A7" w:rsidRPr="00A9330B" w:rsidRDefault="00F561A7" w:rsidP="00F561A7">
            <w:pPr>
              <w:spacing w:before="0" w:line="240" w:lineRule="auto"/>
              <w:ind w:firstLineChars="100" w:firstLine="180"/>
              <w:rPr>
                <w:rFonts w:cs="Arial"/>
                <w:color w:val="000000"/>
                <w:sz w:val="18"/>
                <w:szCs w:val="18"/>
                <w:lang w:eastAsia="fr-FR"/>
              </w:rPr>
            </w:pPr>
            <w:r w:rsidRPr="00A9330B">
              <w:rPr>
                <w:rFonts w:cs="Arial"/>
                <w:color w:val="000000"/>
                <w:sz w:val="18"/>
                <w:szCs w:val="18"/>
                <w:lang w:eastAsia="fr-FR"/>
              </w:rPr>
              <w:t>Guérisseur traditionnel</w:t>
            </w:r>
          </w:p>
        </w:tc>
        <w:tc>
          <w:tcPr>
            <w:tcW w:w="1940" w:type="dxa"/>
            <w:tcBorders>
              <w:top w:val="nil"/>
              <w:left w:val="nil"/>
              <w:bottom w:val="single" w:sz="4" w:space="0" w:color="auto"/>
              <w:right w:val="single" w:sz="4" w:space="0" w:color="auto"/>
            </w:tcBorders>
            <w:shd w:val="clear" w:color="auto" w:fill="auto"/>
            <w:noWrap/>
            <w:vAlign w:val="center"/>
            <w:hideMark/>
          </w:tcPr>
          <w:p w14:paraId="60051FBC" w14:textId="77777777" w:rsidR="00F561A7" w:rsidRPr="00A9330B" w:rsidRDefault="00F561A7" w:rsidP="00F561A7">
            <w:pPr>
              <w:spacing w:before="0" w:line="240" w:lineRule="auto"/>
              <w:jc w:val="center"/>
              <w:rPr>
                <w:rFonts w:cs="Arial"/>
                <w:color w:val="000000"/>
                <w:sz w:val="18"/>
                <w:szCs w:val="18"/>
                <w:lang w:eastAsia="fr-FR"/>
              </w:rPr>
            </w:pPr>
            <w:r w:rsidRPr="00A9330B">
              <w:rPr>
                <w:rFonts w:cs="Arial"/>
                <w:color w:val="000000"/>
                <w:sz w:val="18"/>
                <w:szCs w:val="18"/>
                <w:lang w:eastAsia="fr-FR"/>
              </w:rPr>
              <w:t>0,25</w:t>
            </w:r>
          </w:p>
        </w:tc>
      </w:tr>
      <w:tr w:rsidR="00F561A7" w:rsidRPr="00A9330B" w14:paraId="211B45E5" w14:textId="77777777" w:rsidTr="00F561A7">
        <w:trPr>
          <w:trHeight w:val="288"/>
          <w:jc w:val="center"/>
        </w:trPr>
        <w:tc>
          <w:tcPr>
            <w:tcW w:w="1529" w:type="dxa"/>
            <w:vMerge/>
            <w:tcBorders>
              <w:top w:val="nil"/>
              <w:left w:val="single" w:sz="4" w:space="0" w:color="auto"/>
              <w:bottom w:val="single" w:sz="4" w:space="0" w:color="auto"/>
              <w:right w:val="single" w:sz="4" w:space="0" w:color="auto"/>
            </w:tcBorders>
            <w:vAlign w:val="center"/>
            <w:hideMark/>
          </w:tcPr>
          <w:p w14:paraId="5C8C17F9" w14:textId="77777777" w:rsidR="00F561A7" w:rsidRPr="00A9330B" w:rsidRDefault="00F561A7" w:rsidP="00F561A7">
            <w:pPr>
              <w:spacing w:before="0" w:line="240" w:lineRule="auto"/>
              <w:jc w:val="center"/>
              <w:rPr>
                <w:rFonts w:cs="Arial"/>
                <w:b/>
                <w:bCs/>
                <w:color w:val="000000"/>
                <w:sz w:val="18"/>
                <w:szCs w:val="18"/>
                <w:lang w:eastAsia="fr-FR"/>
              </w:rPr>
            </w:pPr>
          </w:p>
        </w:tc>
        <w:tc>
          <w:tcPr>
            <w:tcW w:w="3335" w:type="dxa"/>
            <w:tcBorders>
              <w:top w:val="nil"/>
              <w:left w:val="nil"/>
              <w:bottom w:val="single" w:sz="4" w:space="0" w:color="auto"/>
              <w:right w:val="single" w:sz="4" w:space="0" w:color="auto"/>
            </w:tcBorders>
            <w:shd w:val="clear" w:color="auto" w:fill="auto"/>
            <w:noWrap/>
            <w:vAlign w:val="center"/>
            <w:hideMark/>
          </w:tcPr>
          <w:p w14:paraId="05808A8C" w14:textId="77777777" w:rsidR="00F561A7" w:rsidRPr="00A9330B" w:rsidRDefault="00F561A7" w:rsidP="00F561A7">
            <w:pPr>
              <w:spacing w:before="0" w:line="240" w:lineRule="auto"/>
              <w:ind w:firstLineChars="100" w:firstLine="180"/>
              <w:rPr>
                <w:rFonts w:cs="Arial"/>
                <w:color w:val="000000"/>
                <w:sz w:val="18"/>
                <w:szCs w:val="18"/>
                <w:lang w:eastAsia="fr-FR"/>
              </w:rPr>
            </w:pPr>
            <w:r w:rsidRPr="00A9330B">
              <w:rPr>
                <w:rFonts w:cs="Arial"/>
                <w:color w:val="000000"/>
                <w:sz w:val="18"/>
                <w:szCs w:val="18"/>
                <w:lang w:eastAsia="fr-FR"/>
              </w:rPr>
              <w:t>Hôtelier</w:t>
            </w:r>
          </w:p>
        </w:tc>
        <w:tc>
          <w:tcPr>
            <w:tcW w:w="1940" w:type="dxa"/>
            <w:tcBorders>
              <w:top w:val="nil"/>
              <w:left w:val="nil"/>
              <w:bottom w:val="single" w:sz="4" w:space="0" w:color="auto"/>
              <w:right w:val="single" w:sz="4" w:space="0" w:color="auto"/>
            </w:tcBorders>
            <w:shd w:val="clear" w:color="auto" w:fill="auto"/>
            <w:noWrap/>
            <w:vAlign w:val="center"/>
            <w:hideMark/>
          </w:tcPr>
          <w:p w14:paraId="2F4FBD3B" w14:textId="77777777" w:rsidR="00F561A7" w:rsidRPr="00A9330B" w:rsidRDefault="00F561A7" w:rsidP="00F561A7">
            <w:pPr>
              <w:spacing w:before="0" w:line="240" w:lineRule="auto"/>
              <w:jc w:val="center"/>
              <w:rPr>
                <w:rFonts w:cs="Arial"/>
                <w:color w:val="000000"/>
                <w:sz w:val="18"/>
                <w:szCs w:val="18"/>
                <w:lang w:eastAsia="fr-FR"/>
              </w:rPr>
            </w:pPr>
            <w:r w:rsidRPr="00A9330B">
              <w:rPr>
                <w:rFonts w:cs="Arial"/>
                <w:color w:val="000000"/>
                <w:sz w:val="18"/>
                <w:szCs w:val="18"/>
                <w:lang w:eastAsia="fr-FR"/>
              </w:rPr>
              <w:t>1,23</w:t>
            </w:r>
          </w:p>
        </w:tc>
      </w:tr>
      <w:tr w:rsidR="00F561A7" w:rsidRPr="00A9330B" w14:paraId="19D6577B" w14:textId="77777777" w:rsidTr="00F561A7">
        <w:trPr>
          <w:trHeight w:val="288"/>
          <w:jc w:val="center"/>
        </w:trPr>
        <w:tc>
          <w:tcPr>
            <w:tcW w:w="1529" w:type="dxa"/>
            <w:vMerge/>
            <w:tcBorders>
              <w:top w:val="nil"/>
              <w:left w:val="single" w:sz="4" w:space="0" w:color="auto"/>
              <w:bottom w:val="single" w:sz="4" w:space="0" w:color="auto"/>
              <w:right w:val="single" w:sz="4" w:space="0" w:color="auto"/>
            </w:tcBorders>
            <w:vAlign w:val="center"/>
            <w:hideMark/>
          </w:tcPr>
          <w:p w14:paraId="2E552448" w14:textId="77777777" w:rsidR="00F561A7" w:rsidRPr="00A9330B" w:rsidRDefault="00F561A7" w:rsidP="00F561A7">
            <w:pPr>
              <w:spacing w:before="0" w:line="240" w:lineRule="auto"/>
              <w:jc w:val="center"/>
              <w:rPr>
                <w:rFonts w:cs="Arial"/>
                <w:b/>
                <w:bCs/>
                <w:color w:val="000000"/>
                <w:sz w:val="18"/>
                <w:szCs w:val="18"/>
                <w:lang w:eastAsia="fr-FR"/>
              </w:rPr>
            </w:pPr>
          </w:p>
        </w:tc>
        <w:tc>
          <w:tcPr>
            <w:tcW w:w="3335" w:type="dxa"/>
            <w:tcBorders>
              <w:top w:val="nil"/>
              <w:left w:val="nil"/>
              <w:bottom w:val="single" w:sz="4" w:space="0" w:color="auto"/>
              <w:right w:val="single" w:sz="4" w:space="0" w:color="auto"/>
            </w:tcBorders>
            <w:shd w:val="clear" w:color="auto" w:fill="auto"/>
            <w:noWrap/>
            <w:vAlign w:val="center"/>
            <w:hideMark/>
          </w:tcPr>
          <w:p w14:paraId="135D9994" w14:textId="77777777" w:rsidR="00F561A7" w:rsidRPr="00A9330B" w:rsidRDefault="00F561A7" w:rsidP="00F561A7">
            <w:pPr>
              <w:spacing w:before="0" w:line="240" w:lineRule="auto"/>
              <w:ind w:firstLineChars="100" w:firstLine="180"/>
              <w:rPr>
                <w:rFonts w:cs="Arial"/>
                <w:color w:val="000000"/>
                <w:sz w:val="18"/>
                <w:szCs w:val="18"/>
                <w:lang w:eastAsia="fr-FR"/>
              </w:rPr>
            </w:pPr>
            <w:r w:rsidRPr="00A9330B">
              <w:rPr>
                <w:rFonts w:cs="Arial"/>
                <w:color w:val="000000"/>
                <w:sz w:val="18"/>
                <w:szCs w:val="18"/>
                <w:lang w:eastAsia="fr-FR"/>
              </w:rPr>
              <w:t>Jobiste</w:t>
            </w:r>
          </w:p>
        </w:tc>
        <w:tc>
          <w:tcPr>
            <w:tcW w:w="1940" w:type="dxa"/>
            <w:tcBorders>
              <w:top w:val="nil"/>
              <w:left w:val="nil"/>
              <w:bottom w:val="single" w:sz="4" w:space="0" w:color="auto"/>
              <w:right w:val="single" w:sz="4" w:space="0" w:color="auto"/>
            </w:tcBorders>
            <w:shd w:val="clear" w:color="auto" w:fill="auto"/>
            <w:noWrap/>
            <w:vAlign w:val="center"/>
            <w:hideMark/>
          </w:tcPr>
          <w:p w14:paraId="08D977D2" w14:textId="77777777" w:rsidR="00F561A7" w:rsidRPr="00A9330B" w:rsidRDefault="00F561A7" w:rsidP="00F561A7">
            <w:pPr>
              <w:spacing w:before="0" w:line="240" w:lineRule="auto"/>
              <w:jc w:val="center"/>
              <w:rPr>
                <w:rFonts w:cs="Arial"/>
                <w:color w:val="000000"/>
                <w:sz w:val="18"/>
                <w:szCs w:val="18"/>
                <w:lang w:eastAsia="fr-FR"/>
              </w:rPr>
            </w:pPr>
            <w:r w:rsidRPr="00A9330B">
              <w:rPr>
                <w:rFonts w:cs="Arial"/>
                <w:color w:val="000000"/>
                <w:sz w:val="18"/>
                <w:szCs w:val="18"/>
                <w:lang w:eastAsia="fr-FR"/>
              </w:rPr>
              <w:t>0,25</w:t>
            </w:r>
          </w:p>
        </w:tc>
      </w:tr>
      <w:tr w:rsidR="00F561A7" w:rsidRPr="00A9330B" w14:paraId="4E0B7170" w14:textId="77777777" w:rsidTr="00F561A7">
        <w:trPr>
          <w:trHeight w:val="288"/>
          <w:jc w:val="center"/>
        </w:trPr>
        <w:tc>
          <w:tcPr>
            <w:tcW w:w="1529" w:type="dxa"/>
            <w:vMerge/>
            <w:tcBorders>
              <w:top w:val="nil"/>
              <w:left w:val="single" w:sz="4" w:space="0" w:color="auto"/>
              <w:bottom w:val="single" w:sz="4" w:space="0" w:color="auto"/>
              <w:right w:val="single" w:sz="4" w:space="0" w:color="auto"/>
            </w:tcBorders>
            <w:vAlign w:val="center"/>
            <w:hideMark/>
          </w:tcPr>
          <w:p w14:paraId="4EE6D942" w14:textId="77777777" w:rsidR="00F561A7" w:rsidRPr="00A9330B" w:rsidRDefault="00F561A7" w:rsidP="00F561A7">
            <w:pPr>
              <w:spacing w:before="0" w:line="240" w:lineRule="auto"/>
              <w:jc w:val="center"/>
              <w:rPr>
                <w:rFonts w:cs="Arial"/>
                <w:b/>
                <w:bCs/>
                <w:color w:val="000000"/>
                <w:sz w:val="18"/>
                <w:szCs w:val="18"/>
                <w:lang w:eastAsia="fr-FR"/>
              </w:rPr>
            </w:pPr>
          </w:p>
        </w:tc>
        <w:tc>
          <w:tcPr>
            <w:tcW w:w="3335" w:type="dxa"/>
            <w:tcBorders>
              <w:top w:val="nil"/>
              <w:left w:val="nil"/>
              <w:bottom w:val="single" w:sz="4" w:space="0" w:color="auto"/>
              <w:right w:val="single" w:sz="4" w:space="0" w:color="auto"/>
            </w:tcBorders>
            <w:shd w:val="clear" w:color="auto" w:fill="auto"/>
            <w:noWrap/>
            <w:vAlign w:val="center"/>
            <w:hideMark/>
          </w:tcPr>
          <w:p w14:paraId="09298F13" w14:textId="77777777" w:rsidR="00F561A7" w:rsidRPr="00A9330B" w:rsidRDefault="00F561A7" w:rsidP="00F561A7">
            <w:pPr>
              <w:spacing w:before="0" w:line="240" w:lineRule="auto"/>
              <w:ind w:firstLineChars="100" w:firstLine="180"/>
              <w:rPr>
                <w:rFonts w:cs="Arial"/>
                <w:color w:val="000000"/>
                <w:sz w:val="18"/>
                <w:szCs w:val="18"/>
                <w:lang w:eastAsia="fr-FR"/>
              </w:rPr>
            </w:pPr>
            <w:r w:rsidRPr="00A9330B">
              <w:rPr>
                <w:rFonts w:cs="Arial"/>
                <w:color w:val="000000"/>
                <w:sz w:val="18"/>
                <w:szCs w:val="18"/>
                <w:lang w:eastAsia="fr-FR"/>
              </w:rPr>
              <w:t>Journaliste</w:t>
            </w:r>
          </w:p>
        </w:tc>
        <w:tc>
          <w:tcPr>
            <w:tcW w:w="1940" w:type="dxa"/>
            <w:tcBorders>
              <w:top w:val="nil"/>
              <w:left w:val="nil"/>
              <w:bottom w:val="single" w:sz="4" w:space="0" w:color="auto"/>
              <w:right w:val="single" w:sz="4" w:space="0" w:color="auto"/>
            </w:tcBorders>
            <w:shd w:val="clear" w:color="auto" w:fill="auto"/>
            <w:noWrap/>
            <w:vAlign w:val="center"/>
            <w:hideMark/>
          </w:tcPr>
          <w:p w14:paraId="1A627411" w14:textId="77777777" w:rsidR="00F561A7" w:rsidRPr="00A9330B" w:rsidRDefault="00F561A7" w:rsidP="00F561A7">
            <w:pPr>
              <w:spacing w:before="0" w:line="240" w:lineRule="auto"/>
              <w:jc w:val="center"/>
              <w:rPr>
                <w:rFonts w:cs="Arial"/>
                <w:color w:val="000000"/>
                <w:sz w:val="18"/>
                <w:szCs w:val="18"/>
                <w:lang w:eastAsia="fr-FR"/>
              </w:rPr>
            </w:pPr>
            <w:r w:rsidRPr="00A9330B">
              <w:rPr>
                <w:rFonts w:cs="Arial"/>
                <w:color w:val="000000"/>
                <w:sz w:val="18"/>
                <w:szCs w:val="18"/>
                <w:lang w:eastAsia="fr-FR"/>
              </w:rPr>
              <w:t>0,25</w:t>
            </w:r>
          </w:p>
        </w:tc>
      </w:tr>
      <w:tr w:rsidR="00F561A7" w:rsidRPr="00A9330B" w14:paraId="20B3A6EF" w14:textId="77777777" w:rsidTr="00F561A7">
        <w:trPr>
          <w:trHeight w:val="288"/>
          <w:jc w:val="center"/>
        </w:trPr>
        <w:tc>
          <w:tcPr>
            <w:tcW w:w="1529" w:type="dxa"/>
            <w:vMerge/>
            <w:tcBorders>
              <w:top w:val="nil"/>
              <w:left w:val="single" w:sz="4" w:space="0" w:color="auto"/>
              <w:bottom w:val="single" w:sz="4" w:space="0" w:color="auto"/>
              <w:right w:val="single" w:sz="4" w:space="0" w:color="auto"/>
            </w:tcBorders>
            <w:vAlign w:val="center"/>
            <w:hideMark/>
          </w:tcPr>
          <w:p w14:paraId="280BB78C" w14:textId="77777777" w:rsidR="00F561A7" w:rsidRPr="00A9330B" w:rsidRDefault="00F561A7" w:rsidP="00F561A7">
            <w:pPr>
              <w:spacing w:before="0" w:line="240" w:lineRule="auto"/>
              <w:jc w:val="center"/>
              <w:rPr>
                <w:rFonts w:cs="Arial"/>
                <w:b/>
                <w:bCs/>
                <w:color w:val="000000"/>
                <w:sz w:val="18"/>
                <w:szCs w:val="18"/>
                <w:lang w:eastAsia="fr-FR"/>
              </w:rPr>
            </w:pPr>
          </w:p>
        </w:tc>
        <w:tc>
          <w:tcPr>
            <w:tcW w:w="3335" w:type="dxa"/>
            <w:tcBorders>
              <w:top w:val="nil"/>
              <w:left w:val="nil"/>
              <w:bottom w:val="single" w:sz="4" w:space="0" w:color="auto"/>
              <w:right w:val="single" w:sz="4" w:space="0" w:color="auto"/>
            </w:tcBorders>
            <w:shd w:val="clear" w:color="auto" w:fill="auto"/>
            <w:noWrap/>
            <w:vAlign w:val="center"/>
            <w:hideMark/>
          </w:tcPr>
          <w:p w14:paraId="648D31E0" w14:textId="77777777" w:rsidR="00F561A7" w:rsidRPr="00A9330B" w:rsidRDefault="00F561A7" w:rsidP="00F561A7">
            <w:pPr>
              <w:spacing w:before="0" w:line="240" w:lineRule="auto"/>
              <w:ind w:firstLineChars="100" w:firstLine="180"/>
              <w:rPr>
                <w:rFonts w:cs="Arial"/>
                <w:color w:val="000000"/>
                <w:sz w:val="18"/>
                <w:szCs w:val="18"/>
                <w:lang w:eastAsia="fr-FR"/>
              </w:rPr>
            </w:pPr>
            <w:r w:rsidRPr="00A9330B">
              <w:rPr>
                <w:rFonts w:cs="Arial"/>
                <w:color w:val="000000"/>
                <w:sz w:val="18"/>
                <w:szCs w:val="18"/>
                <w:lang w:eastAsia="fr-FR"/>
              </w:rPr>
              <w:t>Maçon</w:t>
            </w:r>
          </w:p>
        </w:tc>
        <w:tc>
          <w:tcPr>
            <w:tcW w:w="1940" w:type="dxa"/>
            <w:tcBorders>
              <w:top w:val="nil"/>
              <w:left w:val="nil"/>
              <w:bottom w:val="single" w:sz="4" w:space="0" w:color="auto"/>
              <w:right w:val="single" w:sz="4" w:space="0" w:color="auto"/>
            </w:tcBorders>
            <w:shd w:val="clear" w:color="auto" w:fill="auto"/>
            <w:noWrap/>
            <w:vAlign w:val="center"/>
            <w:hideMark/>
          </w:tcPr>
          <w:p w14:paraId="17BF4B2C" w14:textId="77777777" w:rsidR="00F561A7" w:rsidRPr="00A9330B" w:rsidRDefault="00F561A7" w:rsidP="00F561A7">
            <w:pPr>
              <w:spacing w:before="0" w:line="240" w:lineRule="auto"/>
              <w:jc w:val="center"/>
              <w:rPr>
                <w:rFonts w:cs="Arial"/>
                <w:color w:val="000000"/>
                <w:sz w:val="18"/>
                <w:szCs w:val="18"/>
                <w:lang w:eastAsia="fr-FR"/>
              </w:rPr>
            </w:pPr>
            <w:r w:rsidRPr="00A9330B">
              <w:rPr>
                <w:rFonts w:cs="Arial"/>
                <w:color w:val="000000"/>
                <w:sz w:val="18"/>
                <w:szCs w:val="18"/>
                <w:lang w:eastAsia="fr-FR"/>
              </w:rPr>
              <w:t>3,46</w:t>
            </w:r>
          </w:p>
        </w:tc>
      </w:tr>
      <w:tr w:rsidR="00F561A7" w:rsidRPr="00A9330B" w14:paraId="001D8342" w14:textId="77777777" w:rsidTr="00F561A7">
        <w:trPr>
          <w:trHeight w:val="288"/>
          <w:jc w:val="center"/>
        </w:trPr>
        <w:tc>
          <w:tcPr>
            <w:tcW w:w="1529" w:type="dxa"/>
            <w:vMerge/>
            <w:tcBorders>
              <w:top w:val="nil"/>
              <w:left w:val="single" w:sz="4" w:space="0" w:color="auto"/>
              <w:bottom w:val="single" w:sz="4" w:space="0" w:color="auto"/>
              <w:right w:val="single" w:sz="4" w:space="0" w:color="auto"/>
            </w:tcBorders>
            <w:vAlign w:val="center"/>
            <w:hideMark/>
          </w:tcPr>
          <w:p w14:paraId="2717F166" w14:textId="77777777" w:rsidR="00F561A7" w:rsidRPr="00A9330B" w:rsidRDefault="00F561A7" w:rsidP="00F561A7">
            <w:pPr>
              <w:spacing w:before="0" w:line="240" w:lineRule="auto"/>
              <w:jc w:val="center"/>
              <w:rPr>
                <w:rFonts w:cs="Arial"/>
                <w:b/>
                <w:bCs/>
                <w:color w:val="000000"/>
                <w:sz w:val="18"/>
                <w:szCs w:val="18"/>
                <w:lang w:eastAsia="fr-FR"/>
              </w:rPr>
            </w:pPr>
          </w:p>
        </w:tc>
        <w:tc>
          <w:tcPr>
            <w:tcW w:w="3335" w:type="dxa"/>
            <w:tcBorders>
              <w:top w:val="nil"/>
              <w:left w:val="nil"/>
              <w:bottom w:val="single" w:sz="4" w:space="0" w:color="auto"/>
              <w:right w:val="single" w:sz="4" w:space="0" w:color="auto"/>
            </w:tcBorders>
            <w:shd w:val="clear" w:color="auto" w:fill="auto"/>
            <w:noWrap/>
            <w:vAlign w:val="center"/>
            <w:hideMark/>
          </w:tcPr>
          <w:p w14:paraId="5C948FF9" w14:textId="77777777" w:rsidR="00F561A7" w:rsidRPr="00A9330B" w:rsidRDefault="00F561A7" w:rsidP="00F561A7">
            <w:pPr>
              <w:spacing w:before="0" w:line="240" w:lineRule="auto"/>
              <w:ind w:firstLineChars="100" w:firstLine="180"/>
              <w:rPr>
                <w:rFonts w:cs="Arial"/>
                <w:color w:val="000000"/>
                <w:sz w:val="18"/>
                <w:szCs w:val="18"/>
                <w:lang w:eastAsia="fr-FR"/>
              </w:rPr>
            </w:pPr>
            <w:r w:rsidRPr="00A9330B">
              <w:rPr>
                <w:rFonts w:cs="Arial"/>
                <w:color w:val="000000"/>
                <w:sz w:val="18"/>
                <w:szCs w:val="18"/>
                <w:lang w:eastAsia="fr-FR"/>
              </w:rPr>
              <w:t>Magasiner</w:t>
            </w:r>
          </w:p>
        </w:tc>
        <w:tc>
          <w:tcPr>
            <w:tcW w:w="1940" w:type="dxa"/>
            <w:tcBorders>
              <w:top w:val="nil"/>
              <w:left w:val="nil"/>
              <w:bottom w:val="single" w:sz="4" w:space="0" w:color="auto"/>
              <w:right w:val="single" w:sz="4" w:space="0" w:color="auto"/>
            </w:tcBorders>
            <w:shd w:val="clear" w:color="auto" w:fill="auto"/>
            <w:noWrap/>
            <w:vAlign w:val="center"/>
            <w:hideMark/>
          </w:tcPr>
          <w:p w14:paraId="4A642CF5" w14:textId="77777777" w:rsidR="00F561A7" w:rsidRPr="00A9330B" w:rsidRDefault="00F561A7" w:rsidP="00F561A7">
            <w:pPr>
              <w:spacing w:before="0" w:line="240" w:lineRule="auto"/>
              <w:jc w:val="center"/>
              <w:rPr>
                <w:rFonts w:cs="Arial"/>
                <w:color w:val="000000"/>
                <w:sz w:val="18"/>
                <w:szCs w:val="18"/>
                <w:lang w:eastAsia="fr-FR"/>
              </w:rPr>
            </w:pPr>
            <w:r w:rsidRPr="00A9330B">
              <w:rPr>
                <w:rFonts w:cs="Arial"/>
                <w:color w:val="000000"/>
                <w:sz w:val="18"/>
                <w:szCs w:val="18"/>
                <w:lang w:eastAsia="fr-FR"/>
              </w:rPr>
              <w:t>0,25</w:t>
            </w:r>
          </w:p>
        </w:tc>
      </w:tr>
      <w:tr w:rsidR="00F561A7" w:rsidRPr="00A9330B" w14:paraId="14DB0EF8" w14:textId="77777777" w:rsidTr="00F561A7">
        <w:trPr>
          <w:trHeight w:val="288"/>
          <w:jc w:val="center"/>
        </w:trPr>
        <w:tc>
          <w:tcPr>
            <w:tcW w:w="1529" w:type="dxa"/>
            <w:vMerge/>
            <w:tcBorders>
              <w:top w:val="nil"/>
              <w:left w:val="single" w:sz="4" w:space="0" w:color="auto"/>
              <w:bottom w:val="single" w:sz="4" w:space="0" w:color="auto"/>
              <w:right w:val="single" w:sz="4" w:space="0" w:color="auto"/>
            </w:tcBorders>
            <w:vAlign w:val="center"/>
            <w:hideMark/>
          </w:tcPr>
          <w:p w14:paraId="07411CB3" w14:textId="77777777" w:rsidR="00F561A7" w:rsidRPr="00A9330B" w:rsidRDefault="00F561A7" w:rsidP="00F561A7">
            <w:pPr>
              <w:spacing w:before="0" w:line="240" w:lineRule="auto"/>
              <w:jc w:val="center"/>
              <w:rPr>
                <w:rFonts w:cs="Arial"/>
                <w:b/>
                <w:bCs/>
                <w:color w:val="000000"/>
                <w:sz w:val="18"/>
                <w:szCs w:val="18"/>
                <w:lang w:eastAsia="fr-FR"/>
              </w:rPr>
            </w:pPr>
          </w:p>
        </w:tc>
        <w:tc>
          <w:tcPr>
            <w:tcW w:w="3335" w:type="dxa"/>
            <w:tcBorders>
              <w:top w:val="nil"/>
              <w:left w:val="nil"/>
              <w:bottom w:val="single" w:sz="4" w:space="0" w:color="auto"/>
              <w:right w:val="single" w:sz="4" w:space="0" w:color="auto"/>
            </w:tcBorders>
            <w:shd w:val="clear" w:color="auto" w:fill="auto"/>
            <w:noWrap/>
            <w:vAlign w:val="center"/>
            <w:hideMark/>
          </w:tcPr>
          <w:p w14:paraId="67F6A876" w14:textId="77777777" w:rsidR="00F561A7" w:rsidRPr="00A9330B" w:rsidRDefault="00F561A7" w:rsidP="00F561A7">
            <w:pPr>
              <w:spacing w:before="0" w:line="240" w:lineRule="auto"/>
              <w:ind w:firstLineChars="100" w:firstLine="180"/>
              <w:rPr>
                <w:rFonts w:cs="Arial"/>
                <w:color w:val="000000"/>
                <w:sz w:val="18"/>
                <w:szCs w:val="18"/>
                <w:lang w:eastAsia="fr-FR"/>
              </w:rPr>
            </w:pPr>
            <w:r w:rsidRPr="00A9330B">
              <w:rPr>
                <w:rFonts w:cs="Arial"/>
                <w:color w:val="000000"/>
                <w:sz w:val="18"/>
                <w:szCs w:val="18"/>
                <w:lang w:eastAsia="fr-FR"/>
              </w:rPr>
              <w:t>Maître</w:t>
            </w:r>
          </w:p>
        </w:tc>
        <w:tc>
          <w:tcPr>
            <w:tcW w:w="1940" w:type="dxa"/>
            <w:tcBorders>
              <w:top w:val="nil"/>
              <w:left w:val="nil"/>
              <w:bottom w:val="single" w:sz="4" w:space="0" w:color="auto"/>
              <w:right w:val="single" w:sz="4" w:space="0" w:color="auto"/>
            </w:tcBorders>
            <w:shd w:val="clear" w:color="auto" w:fill="auto"/>
            <w:noWrap/>
            <w:vAlign w:val="center"/>
            <w:hideMark/>
          </w:tcPr>
          <w:p w14:paraId="7CA9B03D" w14:textId="77777777" w:rsidR="00F561A7" w:rsidRPr="00A9330B" w:rsidRDefault="00F561A7" w:rsidP="00F561A7">
            <w:pPr>
              <w:spacing w:before="0" w:line="240" w:lineRule="auto"/>
              <w:jc w:val="center"/>
              <w:rPr>
                <w:rFonts w:cs="Arial"/>
                <w:color w:val="000000"/>
                <w:sz w:val="18"/>
                <w:szCs w:val="18"/>
                <w:lang w:eastAsia="fr-FR"/>
              </w:rPr>
            </w:pPr>
            <w:r w:rsidRPr="00A9330B">
              <w:rPr>
                <w:rFonts w:cs="Arial"/>
                <w:color w:val="000000"/>
                <w:sz w:val="18"/>
                <w:szCs w:val="18"/>
                <w:lang w:eastAsia="fr-FR"/>
              </w:rPr>
              <w:t>0,25</w:t>
            </w:r>
          </w:p>
        </w:tc>
      </w:tr>
      <w:tr w:rsidR="00F561A7" w:rsidRPr="00A9330B" w14:paraId="64911755" w14:textId="77777777" w:rsidTr="00F561A7">
        <w:trPr>
          <w:trHeight w:val="288"/>
          <w:jc w:val="center"/>
        </w:trPr>
        <w:tc>
          <w:tcPr>
            <w:tcW w:w="1529" w:type="dxa"/>
            <w:vMerge/>
            <w:tcBorders>
              <w:top w:val="nil"/>
              <w:left w:val="single" w:sz="4" w:space="0" w:color="auto"/>
              <w:bottom w:val="single" w:sz="4" w:space="0" w:color="auto"/>
              <w:right w:val="single" w:sz="4" w:space="0" w:color="auto"/>
            </w:tcBorders>
            <w:vAlign w:val="center"/>
            <w:hideMark/>
          </w:tcPr>
          <w:p w14:paraId="32DA0ED8" w14:textId="77777777" w:rsidR="00F561A7" w:rsidRPr="00A9330B" w:rsidRDefault="00F561A7" w:rsidP="00F561A7">
            <w:pPr>
              <w:spacing w:before="0" w:line="240" w:lineRule="auto"/>
              <w:jc w:val="center"/>
              <w:rPr>
                <w:rFonts w:cs="Arial"/>
                <w:b/>
                <w:bCs/>
                <w:color w:val="000000"/>
                <w:sz w:val="18"/>
                <w:szCs w:val="18"/>
                <w:lang w:eastAsia="fr-FR"/>
              </w:rPr>
            </w:pPr>
          </w:p>
        </w:tc>
        <w:tc>
          <w:tcPr>
            <w:tcW w:w="3335" w:type="dxa"/>
            <w:tcBorders>
              <w:top w:val="nil"/>
              <w:left w:val="nil"/>
              <w:bottom w:val="single" w:sz="4" w:space="0" w:color="auto"/>
              <w:right w:val="single" w:sz="4" w:space="0" w:color="auto"/>
            </w:tcBorders>
            <w:shd w:val="clear" w:color="auto" w:fill="auto"/>
            <w:noWrap/>
            <w:vAlign w:val="center"/>
            <w:hideMark/>
          </w:tcPr>
          <w:p w14:paraId="72784AA2" w14:textId="77777777" w:rsidR="00F561A7" w:rsidRPr="00A9330B" w:rsidRDefault="00F561A7" w:rsidP="00F561A7">
            <w:pPr>
              <w:spacing w:before="0" w:line="240" w:lineRule="auto"/>
              <w:ind w:firstLineChars="100" w:firstLine="180"/>
              <w:rPr>
                <w:rFonts w:cs="Arial"/>
                <w:color w:val="000000"/>
                <w:sz w:val="18"/>
                <w:szCs w:val="18"/>
                <w:lang w:eastAsia="fr-FR"/>
              </w:rPr>
            </w:pPr>
            <w:r w:rsidRPr="00A9330B">
              <w:rPr>
                <w:rFonts w:cs="Arial"/>
                <w:color w:val="000000"/>
                <w:sz w:val="18"/>
                <w:szCs w:val="18"/>
                <w:lang w:eastAsia="fr-FR"/>
              </w:rPr>
              <w:t>Maraîcher</w:t>
            </w:r>
          </w:p>
        </w:tc>
        <w:tc>
          <w:tcPr>
            <w:tcW w:w="1940" w:type="dxa"/>
            <w:tcBorders>
              <w:top w:val="nil"/>
              <w:left w:val="nil"/>
              <w:bottom w:val="single" w:sz="4" w:space="0" w:color="auto"/>
              <w:right w:val="single" w:sz="4" w:space="0" w:color="auto"/>
            </w:tcBorders>
            <w:shd w:val="clear" w:color="auto" w:fill="auto"/>
            <w:noWrap/>
            <w:vAlign w:val="center"/>
            <w:hideMark/>
          </w:tcPr>
          <w:p w14:paraId="0BD424B6" w14:textId="77777777" w:rsidR="00F561A7" w:rsidRPr="00A9330B" w:rsidRDefault="00F561A7" w:rsidP="00F561A7">
            <w:pPr>
              <w:spacing w:before="0" w:line="240" w:lineRule="auto"/>
              <w:jc w:val="center"/>
              <w:rPr>
                <w:rFonts w:cs="Arial"/>
                <w:color w:val="000000"/>
                <w:sz w:val="18"/>
                <w:szCs w:val="18"/>
                <w:lang w:eastAsia="fr-FR"/>
              </w:rPr>
            </w:pPr>
            <w:r w:rsidRPr="00A9330B">
              <w:rPr>
                <w:rFonts w:cs="Arial"/>
                <w:color w:val="000000"/>
                <w:sz w:val="18"/>
                <w:szCs w:val="18"/>
                <w:lang w:eastAsia="fr-FR"/>
              </w:rPr>
              <w:t>1,98</w:t>
            </w:r>
          </w:p>
        </w:tc>
      </w:tr>
      <w:tr w:rsidR="00F561A7" w:rsidRPr="00A9330B" w14:paraId="33E5EDE9" w14:textId="77777777" w:rsidTr="00F561A7">
        <w:trPr>
          <w:trHeight w:val="288"/>
          <w:jc w:val="center"/>
        </w:trPr>
        <w:tc>
          <w:tcPr>
            <w:tcW w:w="1529" w:type="dxa"/>
            <w:vMerge/>
            <w:tcBorders>
              <w:top w:val="nil"/>
              <w:left w:val="single" w:sz="4" w:space="0" w:color="auto"/>
              <w:bottom w:val="single" w:sz="4" w:space="0" w:color="auto"/>
              <w:right w:val="single" w:sz="4" w:space="0" w:color="auto"/>
            </w:tcBorders>
            <w:vAlign w:val="center"/>
            <w:hideMark/>
          </w:tcPr>
          <w:p w14:paraId="2D390114" w14:textId="77777777" w:rsidR="00F561A7" w:rsidRPr="00A9330B" w:rsidRDefault="00F561A7" w:rsidP="00F561A7">
            <w:pPr>
              <w:spacing w:before="0" w:line="240" w:lineRule="auto"/>
              <w:jc w:val="center"/>
              <w:rPr>
                <w:rFonts w:cs="Arial"/>
                <w:b/>
                <w:bCs/>
                <w:color w:val="000000"/>
                <w:sz w:val="18"/>
                <w:szCs w:val="18"/>
                <w:lang w:eastAsia="fr-FR"/>
              </w:rPr>
            </w:pPr>
          </w:p>
        </w:tc>
        <w:tc>
          <w:tcPr>
            <w:tcW w:w="3335" w:type="dxa"/>
            <w:tcBorders>
              <w:top w:val="nil"/>
              <w:left w:val="nil"/>
              <w:bottom w:val="single" w:sz="4" w:space="0" w:color="auto"/>
              <w:right w:val="single" w:sz="4" w:space="0" w:color="auto"/>
            </w:tcBorders>
            <w:shd w:val="clear" w:color="auto" w:fill="auto"/>
            <w:noWrap/>
            <w:vAlign w:val="center"/>
            <w:hideMark/>
          </w:tcPr>
          <w:p w14:paraId="7EEB3700" w14:textId="77777777" w:rsidR="00F561A7" w:rsidRPr="00A9330B" w:rsidRDefault="00F561A7" w:rsidP="00F561A7">
            <w:pPr>
              <w:spacing w:before="0" w:line="240" w:lineRule="auto"/>
              <w:ind w:firstLineChars="100" w:firstLine="180"/>
              <w:rPr>
                <w:rFonts w:cs="Arial"/>
                <w:color w:val="000000"/>
                <w:sz w:val="18"/>
                <w:szCs w:val="18"/>
                <w:lang w:eastAsia="fr-FR"/>
              </w:rPr>
            </w:pPr>
            <w:r w:rsidRPr="00A9330B">
              <w:rPr>
                <w:rFonts w:cs="Arial"/>
                <w:color w:val="000000"/>
                <w:sz w:val="18"/>
                <w:szCs w:val="18"/>
                <w:lang w:eastAsia="fr-FR"/>
              </w:rPr>
              <w:t>Matelassier</w:t>
            </w:r>
          </w:p>
        </w:tc>
        <w:tc>
          <w:tcPr>
            <w:tcW w:w="1940" w:type="dxa"/>
            <w:tcBorders>
              <w:top w:val="nil"/>
              <w:left w:val="nil"/>
              <w:bottom w:val="single" w:sz="4" w:space="0" w:color="auto"/>
              <w:right w:val="single" w:sz="4" w:space="0" w:color="auto"/>
            </w:tcBorders>
            <w:shd w:val="clear" w:color="auto" w:fill="auto"/>
            <w:noWrap/>
            <w:vAlign w:val="center"/>
            <w:hideMark/>
          </w:tcPr>
          <w:p w14:paraId="20A9F9EE" w14:textId="77777777" w:rsidR="00F561A7" w:rsidRPr="00A9330B" w:rsidRDefault="00F561A7" w:rsidP="00F561A7">
            <w:pPr>
              <w:spacing w:before="0" w:line="240" w:lineRule="auto"/>
              <w:jc w:val="center"/>
              <w:rPr>
                <w:rFonts w:cs="Arial"/>
                <w:color w:val="000000"/>
                <w:sz w:val="18"/>
                <w:szCs w:val="18"/>
                <w:lang w:eastAsia="fr-FR"/>
              </w:rPr>
            </w:pPr>
            <w:r w:rsidRPr="00A9330B">
              <w:rPr>
                <w:rFonts w:cs="Arial"/>
                <w:color w:val="000000"/>
                <w:sz w:val="18"/>
                <w:szCs w:val="18"/>
                <w:lang w:eastAsia="fr-FR"/>
              </w:rPr>
              <w:t>0,25</w:t>
            </w:r>
          </w:p>
        </w:tc>
      </w:tr>
      <w:tr w:rsidR="00F561A7" w:rsidRPr="00A9330B" w14:paraId="1F02F17A" w14:textId="77777777" w:rsidTr="00F561A7">
        <w:trPr>
          <w:trHeight w:val="288"/>
          <w:jc w:val="center"/>
        </w:trPr>
        <w:tc>
          <w:tcPr>
            <w:tcW w:w="1529" w:type="dxa"/>
            <w:vMerge/>
            <w:tcBorders>
              <w:top w:val="nil"/>
              <w:left w:val="single" w:sz="4" w:space="0" w:color="auto"/>
              <w:bottom w:val="single" w:sz="4" w:space="0" w:color="auto"/>
              <w:right w:val="single" w:sz="4" w:space="0" w:color="auto"/>
            </w:tcBorders>
            <w:vAlign w:val="center"/>
            <w:hideMark/>
          </w:tcPr>
          <w:p w14:paraId="16E4E44E" w14:textId="77777777" w:rsidR="00F561A7" w:rsidRPr="00A9330B" w:rsidRDefault="00F561A7" w:rsidP="00F561A7">
            <w:pPr>
              <w:spacing w:before="0" w:line="240" w:lineRule="auto"/>
              <w:jc w:val="center"/>
              <w:rPr>
                <w:rFonts w:cs="Arial"/>
                <w:b/>
                <w:bCs/>
                <w:color w:val="000000"/>
                <w:sz w:val="18"/>
                <w:szCs w:val="18"/>
                <w:lang w:eastAsia="fr-FR"/>
              </w:rPr>
            </w:pPr>
          </w:p>
        </w:tc>
        <w:tc>
          <w:tcPr>
            <w:tcW w:w="3335" w:type="dxa"/>
            <w:tcBorders>
              <w:top w:val="nil"/>
              <w:left w:val="nil"/>
              <w:bottom w:val="single" w:sz="4" w:space="0" w:color="auto"/>
              <w:right w:val="single" w:sz="4" w:space="0" w:color="auto"/>
            </w:tcBorders>
            <w:shd w:val="clear" w:color="auto" w:fill="auto"/>
            <w:noWrap/>
            <w:vAlign w:val="center"/>
            <w:hideMark/>
          </w:tcPr>
          <w:p w14:paraId="661743F3" w14:textId="77777777" w:rsidR="00F561A7" w:rsidRPr="00A9330B" w:rsidRDefault="00F561A7" w:rsidP="00F561A7">
            <w:pPr>
              <w:spacing w:before="0" w:line="240" w:lineRule="auto"/>
              <w:ind w:firstLineChars="100" w:firstLine="180"/>
              <w:rPr>
                <w:rFonts w:cs="Arial"/>
                <w:color w:val="000000"/>
                <w:sz w:val="18"/>
                <w:szCs w:val="18"/>
                <w:lang w:eastAsia="fr-FR"/>
              </w:rPr>
            </w:pPr>
            <w:r w:rsidRPr="00A9330B">
              <w:rPr>
                <w:rFonts w:cs="Arial"/>
                <w:color w:val="000000"/>
                <w:sz w:val="18"/>
                <w:szCs w:val="18"/>
                <w:lang w:eastAsia="fr-FR"/>
              </w:rPr>
              <w:t>Mécanicien</w:t>
            </w:r>
          </w:p>
        </w:tc>
        <w:tc>
          <w:tcPr>
            <w:tcW w:w="1940" w:type="dxa"/>
            <w:tcBorders>
              <w:top w:val="nil"/>
              <w:left w:val="nil"/>
              <w:bottom w:val="single" w:sz="4" w:space="0" w:color="auto"/>
              <w:right w:val="single" w:sz="4" w:space="0" w:color="auto"/>
            </w:tcBorders>
            <w:shd w:val="clear" w:color="auto" w:fill="auto"/>
            <w:noWrap/>
            <w:vAlign w:val="center"/>
            <w:hideMark/>
          </w:tcPr>
          <w:p w14:paraId="2596A349" w14:textId="77777777" w:rsidR="00F561A7" w:rsidRPr="00A9330B" w:rsidRDefault="00F561A7" w:rsidP="00F561A7">
            <w:pPr>
              <w:spacing w:before="0" w:line="240" w:lineRule="auto"/>
              <w:jc w:val="center"/>
              <w:rPr>
                <w:rFonts w:cs="Arial"/>
                <w:color w:val="000000"/>
                <w:sz w:val="18"/>
                <w:szCs w:val="18"/>
                <w:lang w:eastAsia="fr-FR"/>
              </w:rPr>
            </w:pPr>
            <w:r w:rsidRPr="00A9330B">
              <w:rPr>
                <w:rFonts w:cs="Arial"/>
                <w:color w:val="000000"/>
                <w:sz w:val="18"/>
                <w:szCs w:val="18"/>
                <w:lang w:eastAsia="fr-FR"/>
              </w:rPr>
              <w:t>1,48</w:t>
            </w:r>
          </w:p>
        </w:tc>
      </w:tr>
      <w:tr w:rsidR="00F561A7" w:rsidRPr="00A9330B" w14:paraId="23A21495" w14:textId="77777777" w:rsidTr="00F561A7">
        <w:trPr>
          <w:trHeight w:val="288"/>
          <w:jc w:val="center"/>
        </w:trPr>
        <w:tc>
          <w:tcPr>
            <w:tcW w:w="1529" w:type="dxa"/>
            <w:vMerge/>
            <w:tcBorders>
              <w:top w:val="nil"/>
              <w:left w:val="single" w:sz="4" w:space="0" w:color="auto"/>
              <w:bottom w:val="single" w:sz="4" w:space="0" w:color="auto"/>
              <w:right w:val="single" w:sz="4" w:space="0" w:color="auto"/>
            </w:tcBorders>
            <w:vAlign w:val="center"/>
            <w:hideMark/>
          </w:tcPr>
          <w:p w14:paraId="4EF69383" w14:textId="77777777" w:rsidR="00F561A7" w:rsidRPr="00A9330B" w:rsidRDefault="00F561A7" w:rsidP="00F561A7">
            <w:pPr>
              <w:spacing w:before="0" w:line="240" w:lineRule="auto"/>
              <w:jc w:val="center"/>
              <w:rPr>
                <w:rFonts w:cs="Arial"/>
                <w:b/>
                <w:bCs/>
                <w:color w:val="000000"/>
                <w:sz w:val="18"/>
                <w:szCs w:val="18"/>
                <w:lang w:eastAsia="fr-FR"/>
              </w:rPr>
            </w:pPr>
          </w:p>
        </w:tc>
        <w:tc>
          <w:tcPr>
            <w:tcW w:w="3335" w:type="dxa"/>
            <w:tcBorders>
              <w:top w:val="nil"/>
              <w:left w:val="nil"/>
              <w:bottom w:val="single" w:sz="4" w:space="0" w:color="auto"/>
              <w:right w:val="single" w:sz="4" w:space="0" w:color="auto"/>
            </w:tcBorders>
            <w:shd w:val="clear" w:color="auto" w:fill="auto"/>
            <w:noWrap/>
            <w:vAlign w:val="center"/>
            <w:hideMark/>
          </w:tcPr>
          <w:p w14:paraId="6485D949" w14:textId="77777777" w:rsidR="00F561A7" w:rsidRPr="00A9330B" w:rsidRDefault="00F561A7" w:rsidP="00F561A7">
            <w:pPr>
              <w:spacing w:before="0" w:line="240" w:lineRule="auto"/>
              <w:ind w:firstLineChars="100" w:firstLine="180"/>
              <w:rPr>
                <w:rFonts w:cs="Arial"/>
                <w:color w:val="000000"/>
                <w:sz w:val="18"/>
                <w:szCs w:val="18"/>
                <w:lang w:eastAsia="fr-FR"/>
              </w:rPr>
            </w:pPr>
            <w:r w:rsidRPr="00A9330B">
              <w:rPr>
                <w:rFonts w:cs="Arial"/>
                <w:color w:val="000000"/>
                <w:sz w:val="18"/>
                <w:szCs w:val="18"/>
                <w:lang w:eastAsia="fr-FR"/>
              </w:rPr>
              <w:t>Ménagère</w:t>
            </w:r>
          </w:p>
        </w:tc>
        <w:tc>
          <w:tcPr>
            <w:tcW w:w="1940" w:type="dxa"/>
            <w:tcBorders>
              <w:top w:val="nil"/>
              <w:left w:val="nil"/>
              <w:bottom w:val="single" w:sz="4" w:space="0" w:color="auto"/>
              <w:right w:val="single" w:sz="4" w:space="0" w:color="auto"/>
            </w:tcBorders>
            <w:shd w:val="clear" w:color="auto" w:fill="auto"/>
            <w:noWrap/>
            <w:vAlign w:val="center"/>
            <w:hideMark/>
          </w:tcPr>
          <w:p w14:paraId="7DEDB768" w14:textId="77777777" w:rsidR="00F561A7" w:rsidRPr="00A9330B" w:rsidRDefault="00F561A7" w:rsidP="00F561A7">
            <w:pPr>
              <w:spacing w:before="0" w:line="240" w:lineRule="auto"/>
              <w:jc w:val="center"/>
              <w:rPr>
                <w:rFonts w:cs="Arial"/>
                <w:color w:val="000000"/>
                <w:sz w:val="18"/>
                <w:szCs w:val="18"/>
                <w:lang w:eastAsia="fr-FR"/>
              </w:rPr>
            </w:pPr>
            <w:r w:rsidRPr="00A9330B">
              <w:rPr>
                <w:rFonts w:cs="Arial"/>
                <w:color w:val="000000"/>
                <w:sz w:val="18"/>
                <w:szCs w:val="18"/>
                <w:lang w:eastAsia="fr-FR"/>
              </w:rPr>
              <w:t>1,23</w:t>
            </w:r>
          </w:p>
        </w:tc>
      </w:tr>
      <w:tr w:rsidR="00F561A7" w:rsidRPr="00A9330B" w14:paraId="6B6E4258" w14:textId="77777777" w:rsidTr="00F561A7">
        <w:trPr>
          <w:trHeight w:val="288"/>
          <w:jc w:val="center"/>
        </w:trPr>
        <w:tc>
          <w:tcPr>
            <w:tcW w:w="1529" w:type="dxa"/>
            <w:vMerge/>
            <w:tcBorders>
              <w:top w:val="nil"/>
              <w:left w:val="single" w:sz="4" w:space="0" w:color="auto"/>
              <w:bottom w:val="single" w:sz="4" w:space="0" w:color="auto"/>
              <w:right w:val="single" w:sz="4" w:space="0" w:color="auto"/>
            </w:tcBorders>
            <w:vAlign w:val="center"/>
            <w:hideMark/>
          </w:tcPr>
          <w:p w14:paraId="1BFC5F17" w14:textId="77777777" w:rsidR="00F561A7" w:rsidRPr="00A9330B" w:rsidRDefault="00F561A7" w:rsidP="00F561A7">
            <w:pPr>
              <w:spacing w:before="0" w:line="240" w:lineRule="auto"/>
              <w:jc w:val="center"/>
              <w:rPr>
                <w:rFonts w:cs="Arial"/>
                <w:b/>
                <w:bCs/>
                <w:color w:val="000000"/>
                <w:sz w:val="18"/>
                <w:szCs w:val="18"/>
                <w:lang w:eastAsia="fr-FR"/>
              </w:rPr>
            </w:pPr>
          </w:p>
        </w:tc>
        <w:tc>
          <w:tcPr>
            <w:tcW w:w="3335" w:type="dxa"/>
            <w:tcBorders>
              <w:top w:val="nil"/>
              <w:left w:val="nil"/>
              <w:bottom w:val="single" w:sz="4" w:space="0" w:color="auto"/>
              <w:right w:val="single" w:sz="4" w:space="0" w:color="auto"/>
            </w:tcBorders>
            <w:shd w:val="clear" w:color="auto" w:fill="auto"/>
            <w:noWrap/>
            <w:vAlign w:val="center"/>
            <w:hideMark/>
          </w:tcPr>
          <w:p w14:paraId="3BD8A95B" w14:textId="77777777" w:rsidR="00F561A7" w:rsidRPr="00A9330B" w:rsidRDefault="00F561A7" w:rsidP="00F561A7">
            <w:pPr>
              <w:spacing w:before="0" w:line="240" w:lineRule="auto"/>
              <w:ind w:firstLineChars="100" w:firstLine="180"/>
              <w:rPr>
                <w:rFonts w:cs="Arial"/>
                <w:color w:val="000000"/>
                <w:sz w:val="18"/>
                <w:szCs w:val="18"/>
                <w:lang w:eastAsia="fr-FR"/>
              </w:rPr>
            </w:pPr>
            <w:r w:rsidRPr="00A9330B">
              <w:rPr>
                <w:rFonts w:cs="Arial"/>
                <w:color w:val="000000"/>
                <w:sz w:val="18"/>
                <w:szCs w:val="18"/>
                <w:lang w:eastAsia="fr-FR"/>
              </w:rPr>
              <w:t>Menuisier</w:t>
            </w:r>
          </w:p>
        </w:tc>
        <w:tc>
          <w:tcPr>
            <w:tcW w:w="1940" w:type="dxa"/>
            <w:tcBorders>
              <w:top w:val="nil"/>
              <w:left w:val="nil"/>
              <w:bottom w:val="single" w:sz="4" w:space="0" w:color="auto"/>
              <w:right w:val="single" w:sz="4" w:space="0" w:color="auto"/>
            </w:tcBorders>
            <w:shd w:val="clear" w:color="auto" w:fill="auto"/>
            <w:noWrap/>
            <w:vAlign w:val="center"/>
            <w:hideMark/>
          </w:tcPr>
          <w:p w14:paraId="01E5E426" w14:textId="77777777" w:rsidR="00F561A7" w:rsidRPr="00A9330B" w:rsidRDefault="00F561A7" w:rsidP="00F561A7">
            <w:pPr>
              <w:spacing w:before="0" w:line="240" w:lineRule="auto"/>
              <w:jc w:val="center"/>
              <w:rPr>
                <w:rFonts w:cs="Arial"/>
                <w:color w:val="000000"/>
                <w:sz w:val="18"/>
                <w:szCs w:val="18"/>
                <w:lang w:eastAsia="fr-FR"/>
              </w:rPr>
            </w:pPr>
            <w:r w:rsidRPr="00A9330B">
              <w:rPr>
                <w:rFonts w:cs="Arial"/>
                <w:color w:val="000000"/>
                <w:sz w:val="18"/>
                <w:szCs w:val="18"/>
                <w:lang w:eastAsia="fr-FR"/>
              </w:rPr>
              <w:t>3,21</w:t>
            </w:r>
          </w:p>
        </w:tc>
      </w:tr>
      <w:tr w:rsidR="00F561A7" w:rsidRPr="00A9330B" w14:paraId="1BD6B26F" w14:textId="77777777" w:rsidTr="00F561A7">
        <w:trPr>
          <w:trHeight w:val="288"/>
          <w:jc w:val="center"/>
        </w:trPr>
        <w:tc>
          <w:tcPr>
            <w:tcW w:w="1529" w:type="dxa"/>
            <w:vMerge/>
            <w:tcBorders>
              <w:top w:val="nil"/>
              <w:left w:val="single" w:sz="4" w:space="0" w:color="auto"/>
              <w:bottom w:val="single" w:sz="4" w:space="0" w:color="auto"/>
              <w:right w:val="single" w:sz="4" w:space="0" w:color="auto"/>
            </w:tcBorders>
            <w:vAlign w:val="center"/>
            <w:hideMark/>
          </w:tcPr>
          <w:p w14:paraId="7FF4212E" w14:textId="77777777" w:rsidR="00F561A7" w:rsidRPr="00A9330B" w:rsidRDefault="00F561A7" w:rsidP="00F561A7">
            <w:pPr>
              <w:spacing w:before="0" w:line="240" w:lineRule="auto"/>
              <w:jc w:val="center"/>
              <w:rPr>
                <w:rFonts w:cs="Arial"/>
                <w:b/>
                <w:bCs/>
                <w:color w:val="000000"/>
                <w:sz w:val="18"/>
                <w:szCs w:val="18"/>
                <w:lang w:eastAsia="fr-FR"/>
              </w:rPr>
            </w:pPr>
          </w:p>
        </w:tc>
        <w:tc>
          <w:tcPr>
            <w:tcW w:w="3335" w:type="dxa"/>
            <w:tcBorders>
              <w:top w:val="nil"/>
              <w:left w:val="nil"/>
              <w:bottom w:val="single" w:sz="4" w:space="0" w:color="auto"/>
              <w:right w:val="single" w:sz="4" w:space="0" w:color="auto"/>
            </w:tcBorders>
            <w:shd w:val="clear" w:color="auto" w:fill="auto"/>
            <w:noWrap/>
            <w:vAlign w:val="center"/>
            <w:hideMark/>
          </w:tcPr>
          <w:p w14:paraId="53A9D22D" w14:textId="77777777" w:rsidR="00F561A7" w:rsidRPr="00A9330B" w:rsidRDefault="00F561A7" w:rsidP="00F561A7">
            <w:pPr>
              <w:spacing w:before="0" w:line="240" w:lineRule="auto"/>
              <w:ind w:firstLineChars="100" w:firstLine="180"/>
              <w:rPr>
                <w:rFonts w:cs="Arial"/>
                <w:color w:val="000000"/>
                <w:sz w:val="18"/>
                <w:szCs w:val="18"/>
                <w:lang w:eastAsia="fr-FR"/>
              </w:rPr>
            </w:pPr>
            <w:r w:rsidRPr="00A9330B">
              <w:rPr>
                <w:rFonts w:cs="Arial"/>
                <w:color w:val="000000"/>
                <w:sz w:val="18"/>
                <w:szCs w:val="18"/>
                <w:lang w:eastAsia="fr-FR"/>
              </w:rPr>
              <w:t>Meunier</w:t>
            </w:r>
          </w:p>
        </w:tc>
        <w:tc>
          <w:tcPr>
            <w:tcW w:w="1940" w:type="dxa"/>
            <w:tcBorders>
              <w:top w:val="nil"/>
              <w:left w:val="nil"/>
              <w:bottom w:val="single" w:sz="4" w:space="0" w:color="auto"/>
              <w:right w:val="single" w:sz="4" w:space="0" w:color="auto"/>
            </w:tcBorders>
            <w:shd w:val="clear" w:color="auto" w:fill="auto"/>
            <w:noWrap/>
            <w:vAlign w:val="center"/>
            <w:hideMark/>
          </w:tcPr>
          <w:p w14:paraId="34F0FAEA" w14:textId="77777777" w:rsidR="00F561A7" w:rsidRPr="00A9330B" w:rsidRDefault="00F561A7" w:rsidP="00F561A7">
            <w:pPr>
              <w:spacing w:before="0" w:line="240" w:lineRule="auto"/>
              <w:jc w:val="center"/>
              <w:rPr>
                <w:rFonts w:cs="Arial"/>
                <w:color w:val="000000"/>
                <w:sz w:val="18"/>
                <w:szCs w:val="18"/>
                <w:lang w:eastAsia="fr-FR"/>
              </w:rPr>
            </w:pPr>
            <w:r w:rsidRPr="00A9330B">
              <w:rPr>
                <w:rFonts w:cs="Arial"/>
                <w:color w:val="000000"/>
                <w:sz w:val="18"/>
                <w:szCs w:val="18"/>
                <w:lang w:eastAsia="fr-FR"/>
              </w:rPr>
              <w:t>0,74</w:t>
            </w:r>
          </w:p>
        </w:tc>
      </w:tr>
      <w:tr w:rsidR="00F561A7" w:rsidRPr="00A9330B" w14:paraId="06EADAA5" w14:textId="77777777" w:rsidTr="00F561A7">
        <w:trPr>
          <w:trHeight w:val="288"/>
          <w:jc w:val="center"/>
        </w:trPr>
        <w:tc>
          <w:tcPr>
            <w:tcW w:w="1529" w:type="dxa"/>
            <w:vMerge/>
            <w:tcBorders>
              <w:top w:val="nil"/>
              <w:left w:val="single" w:sz="4" w:space="0" w:color="auto"/>
              <w:bottom w:val="single" w:sz="4" w:space="0" w:color="auto"/>
              <w:right w:val="single" w:sz="4" w:space="0" w:color="auto"/>
            </w:tcBorders>
            <w:vAlign w:val="center"/>
            <w:hideMark/>
          </w:tcPr>
          <w:p w14:paraId="1688147C" w14:textId="77777777" w:rsidR="00F561A7" w:rsidRPr="00A9330B" w:rsidRDefault="00F561A7" w:rsidP="00F561A7">
            <w:pPr>
              <w:spacing w:before="0" w:line="240" w:lineRule="auto"/>
              <w:jc w:val="center"/>
              <w:rPr>
                <w:rFonts w:cs="Arial"/>
                <w:b/>
                <w:bCs/>
                <w:color w:val="000000"/>
                <w:sz w:val="18"/>
                <w:szCs w:val="18"/>
                <w:lang w:eastAsia="fr-FR"/>
              </w:rPr>
            </w:pPr>
          </w:p>
        </w:tc>
        <w:tc>
          <w:tcPr>
            <w:tcW w:w="3335" w:type="dxa"/>
            <w:tcBorders>
              <w:top w:val="nil"/>
              <w:left w:val="nil"/>
              <w:bottom w:val="single" w:sz="4" w:space="0" w:color="auto"/>
              <w:right w:val="single" w:sz="4" w:space="0" w:color="auto"/>
            </w:tcBorders>
            <w:shd w:val="clear" w:color="auto" w:fill="auto"/>
            <w:noWrap/>
            <w:vAlign w:val="center"/>
            <w:hideMark/>
          </w:tcPr>
          <w:p w14:paraId="7D868972" w14:textId="77777777" w:rsidR="00F561A7" w:rsidRPr="00A9330B" w:rsidRDefault="00F561A7" w:rsidP="00F561A7">
            <w:pPr>
              <w:spacing w:before="0" w:line="240" w:lineRule="auto"/>
              <w:ind w:firstLineChars="100" w:firstLine="180"/>
              <w:rPr>
                <w:rFonts w:cs="Arial"/>
                <w:color w:val="000000"/>
                <w:sz w:val="18"/>
                <w:szCs w:val="18"/>
                <w:lang w:eastAsia="fr-FR"/>
              </w:rPr>
            </w:pPr>
            <w:r w:rsidRPr="00A9330B">
              <w:rPr>
                <w:rFonts w:cs="Arial"/>
                <w:color w:val="000000"/>
                <w:sz w:val="18"/>
                <w:szCs w:val="18"/>
                <w:lang w:eastAsia="fr-FR"/>
              </w:rPr>
              <w:t>Opérateur touristique</w:t>
            </w:r>
          </w:p>
        </w:tc>
        <w:tc>
          <w:tcPr>
            <w:tcW w:w="1940" w:type="dxa"/>
            <w:tcBorders>
              <w:top w:val="nil"/>
              <w:left w:val="nil"/>
              <w:bottom w:val="single" w:sz="4" w:space="0" w:color="auto"/>
              <w:right w:val="single" w:sz="4" w:space="0" w:color="auto"/>
            </w:tcBorders>
            <w:shd w:val="clear" w:color="auto" w:fill="auto"/>
            <w:noWrap/>
            <w:vAlign w:val="center"/>
            <w:hideMark/>
          </w:tcPr>
          <w:p w14:paraId="2D53E7A8" w14:textId="77777777" w:rsidR="00F561A7" w:rsidRPr="00A9330B" w:rsidRDefault="00F561A7" w:rsidP="00F561A7">
            <w:pPr>
              <w:spacing w:before="0" w:line="240" w:lineRule="auto"/>
              <w:jc w:val="center"/>
              <w:rPr>
                <w:rFonts w:cs="Arial"/>
                <w:color w:val="000000"/>
                <w:sz w:val="18"/>
                <w:szCs w:val="18"/>
                <w:lang w:eastAsia="fr-FR"/>
              </w:rPr>
            </w:pPr>
            <w:r w:rsidRPr="00A9330B">
              <w:rPr>
                <w:rFonts w:cs="Arial"/>
                <w:color w:val="000000"/>
                <w:sz w:val="18"/>
                <w:szCs w:val="18"/>
                <w:lang w:eastAsia="fr-FR"/>
              </w:rPr>
              <w:t>0,49</w:t>
            </w:r>
          </w:p>
        </w:tc>
      </w:tr>
      <w:tr w:rsidR="00F561A7" w:rsidRPr="00A9330B" w14:paraId="5A129250" w14:textId="77777777" w:rsidTr="00F561A7">
        <w:trPr>
          <w:trHeight w:val="288"/>
          <w:jc w:val="center"/>
        </w:trPr>
        <w:tc>
          <w:tcPr>
            <w:tcW w:w="1529" w:type="dxa"/>
            <w:vMerge/>
            <w:tcBorders>
              <w:top w:val="nil"/>
              <w:left w:val="single" w:sz="4" w:space="0" w:color="auto"/>
              <w:bottom w:val="single" w:sz="4" w:space="0" w:color="auto"/>
              <w:right w:val="single" w:sz="4" w:space="0" w:color="auto"/>
            </w:tcBorders>
            <w:vAlign w:val="center"/>
            <w:hideMark/>
          </w:tcPr>
          <w:p w14:paraId="7AD2B1C5" w14:textId="77777777" w:rsidR="00F561A7" w:rsidRPr="00A9330B" w:rsidRDefault="00F561A7" w:rsidP="00F561A7">
            <w:pPr>
              <w:spacing w:before="0" w:line="240" w:lineRule="auto"/>
              <w:jc w:val="center"/>
              <w:rPr>
                <w:rFonts w:cs="Arial"/>
                <w:b/>
                <w:bCs/>
                <w:color w:val="000000"/>
                <w:sz w:val="18"/>
                <w:szCs w:val="18"/>
                <w:lang w:eastAsia="fr-FR"/>
              </w:rPr>
            </w:pPr>
          </w:p>
        </w:tc>
        <w:tc>
          <w:tcPr>
            <w:tcW w:w="3335" w:type="dxa"/>
            <w:tcBorders>
              <w:top w:val="nil"/>
              <w:left w:val="nil"/>
              <w:bottom w:val="single" w:sz="4" w:space="0" w:color="auto"/>
              <w:right w:val="single" w:sz="4" w:space="0" w:color="auto"/>
            </w:tcBorders>
            <w:shd w:val="clear" w:color="auto" w:fill="auto"/>
            <w:noWrap/>
            <w:vAlign w:val="center"/>
            <w:hideMark/>
          </w:tcPr>
          <w:p w14:paraId="7FFADDDB" w14:textId="77777777" w:rsidR="00F561A7" w:rsidRPr="00A9330B" w:rsidRDefault="00F561A7" w:rsidP="00F561A7">
            <w:pPr>
              <w:spacing w:before="0" w:line="240" w:lineRule="auto"/>
              <w:ind w:firstLineChars="100" w:firstLine="180"/>
              <w:rPr>
                <w:rFonts w:cs="Arial"/>
                <w:color w:val="000000"/>
                <w:sz w:val="18"/>
                <w:szCs w:val="18"/>
                <w:lang w:eastAsia="fr-FR"/>
              </w:rPr>
            </w:pPr>
            <w:r w:rsidRPr="00A9330B">
              <w:rPr>
                <w:rFonts w:cs="Arial"/>
                <w:color w:val="000000"/>
                <w:sz w:val="18"/>
                <w:szCs w:val="18"/>
                <w:lang w:eastAsia="fr-FR"/>
              </w:rPr>
              <w:t>Ouvrier</w:t>
            </w:r>
          </w:p>
        </w:tc>
        <w:tc>
          <w:tcPr>
            <w:tcW w:w="1940" w:type="dxa"/>
            <w:tcBorders>
              <w:top w:val="nil"/>
              <w:left w:val="nil"/>
              <w:bottom w:val="single" w:sz="4" w:space="0" w:color="auto"/>
              <w:right w:val="single" w:sz="4" w:space="0" w:color="auto"/>
            </w:tcBorders>
            <w:shd w:val="clear" w:color="auto" w:fill="auto"/>
            <w:noWrap/>
            <w:vAlign w:val="center"/>
            <w:hideMark/>
          </w:tcPr>
          <w:p w14:paraId="561E0E2C" w14:textId="77777777" w:rsidR="00F561A7" w:rsidRPr="00A9330B" w:rsidRDefault="00F561A7" w:rsidP="00F561A7">
            <w:pPr>
              <w:spacing w:before="0" w:line="240" w:lineRule="auto"/>
              <w:jc w:val="center"/>
              <w:rPr>
                <w:rFonts w:cs="Arial"/>
                <w:color w:val="000000"/>
                <w:sz w:val="18"/>
                <w:szCs w:val="18"/>
                <w:lang w:eastAsia="fr-FR"/>
              </w:rPr>
            </w:pPr>
            <w:r w:rsidRPr="00A9330B">
              <w:rPr>
                <w:rFonts w:cs="Arial"/>
                <w:color w:val="000000"/>
                <w:sz w:val="18"/>
                <w:szCs w:val="18"/>
                <w:lang w:eastAsia="fr-FR"/>
              </w:rPr>
              <w:t>2,22</w:t>
            </w:r>
          </w:p>
        </w:tc>
      </w:tr>
      <w:tr w:rsidR="00F561A7" w:rsidRPr="00A9330B" w14:paraId="69F0DE9E" w14:textId="77777777" w:rsidTr="00F561A7">
        <w:trPr>
          <w:trHeight w:val="288"/>
          <w:jc w:val="center"/>
        </w:trPr>
        <w:tc>
          <w:tcPr>
            <w:tcW w:w="1529" w:type="dxa"/>
            <w:vMerge/>
            <w:tcBorders>
              <w:top w:val="nil"/>
              <w:left w:val="single" w:sz="4" w:space="0" w:color="auto"/>
              <w:bottom w:val="single" w:sz="4" w:space="0" w:color="auto"/>
              <w:right w:val="single" w:sz="4" w:space="0" w:color="auto"/>
            </w:tcBorders>
            <w:vAlign w:val="center"/>
            <w:hideMark/>
          </w:tcPr>
          <w:p w14:paraId="1583E939" w14:textId="77777777" w:rsidR="00F561A7" w:rsidRPr="00A9330B" w:rsidRDefault="00F561A7" w:rsidP="00F561A7">
            <w:pPr>
              <w:spacing w:before="0" w:line="240" w:lineRule="auto"/>
              <w:jc w:val="center"/>
              <w:rPr>
                <w:rFonts w:cs="Arial"/>
                <w:b/>
                <w:bCs/>
                <w:color w:val="000000"/>
                <w:sz w:val="18"/>
                <w:szCs w:val="18"/>
                <w:lang w:eastAsia="fr-FR"/>
              </w:rPr>
            </w:pPr>
          </w:p>
        </w:tc>
        <w:tc>
          <w:tcPr>
            <w:tcW w:w="3335" w:type="dxa"/>
            <w:tcBorders>
              <w:top w:val="nil"/>
              <w:left w:val="nil"/>
              <w:bottom w:val="single" w:sz="4" w:space="0" w:color="auto"/>
              <w:right w:val="single" w:sz="4" w:space="0" w:color="auto"/>
            </w:tcBorders>
            <w:shd w:val="clear" w:color="auto" w:fill="auto"/>
            <w:noWrap/>
            <w:vAlign w:val="center"/>
            <w:hideMark/>
          </w:tcPr>
          <w:p w14:paraId="0096E13D" w14:textId="77777777" w:rsidR="00F561A7" w:rsidRPr="00A9330B" w:rsidRDefault="00F561A7" w:rsidP="00F561A7">
            <w:pPr>
              <w:spacing w:before="0" w:line="240" w:lineRule="auto"/>
              <w:ind w:firstLineChars="100" w:firstLine="180"/>
              <w:rPr>
                <w:rFonts w:cs="Arial"/>
                <w:color w:val="000000"/>
                <w:sz w:val="18"/>
                <w:szCs w:val="18"/>
                <w:lang w:eastAsia="fr-FR"/>
              </w:rPr>
            </w:pPr>
            <w:r w:rsidRPr="00A9330B">
              <w:rPr>
                <w:rFonts w:cs="Arial"/>
                <w:color w:val="000000"/>
                <w:sz w:val="18"/>
                <w:szCs w:val="18"/>
                <w:lang w:eastAsia="fr-FR"/>
              </w:rPr>
              <w:t>Pasteur</w:t>
            </w:r>
          </w:p>
        </w:tc>
        <w:tc>
          <w:tcPr>
            <w:tcW w:w="1940" w:type="dxa"/>
            <w:tcBorders>
              <w:top w:val="nil"/>
              <w:left w:val="nil"/>
              <w:bottom w:val="single" w:sz="4" w:space="0" w:color="auto"/>
              <w:right w:val="single" w:sz="4" w:space="0" w:color="auto"/>
            </w:tcBorders>
            <w:shd w:val="clear" w:color="auto" w:fill="auto"/>
            <w:noWrap/>
            <w:vAlign w:val="center"/>
            <w:hideMark/>
          </w:tcPr>
          <w:p w14:paraId="374B971C" w14:textId="77777777" w:rsidR="00F561A7" w:rsidRPr="00A9330B" w:rsidRDefault="00F561A7" w:rsidP="00F561A7">
            <w:pPr>
              <w:spacing w:before="0" w:line="240" w:lineRule="auto"/>
              <w:jc w:val="center"/>
              <w:rPr>
                <w:rFonts w:cs="Arial"/>
                <w:color w:val="000000"/>
                <w:sz w:val="18"/>
                <w:szCs w:val="18"/>
                <w:lang w:eastAsia="fr-FR"/>
              </w:rPr>
            </w:pPr>
            <w:r w:rsidRPr="00A9330B">
              <w:rPr>
                <w:rFonts w:cs="Arial"/>
                <w:color w:val="000000"/>
                <w:sz w:val="18"/>
                <w:szCs w:val="18"/>
                <w:lang w:eastAsia="fr-FR"/>
              </w:rPr>
              <w:t>0,49</w:t>
            </w:r>
          </w:p>
        </w:tc>
      </w:tr>
      <w:tr w:rsidR="00F561A7" w:rsidRPr="00A9330B" w14:paraId="4710D2D8" w14:textId="77777777" w:rsidTr="00F561A7">
        <w:trPr>
          <w:trHeight w:val="288"/>
          <w:jc w:val="center"/>
        </w:trPr>
        <w:tc>
          <w:tcPr>
            <w:tcW w:w="1529" w:type="dxa"/>
            <w:vMerge/>
            <w:tcBorders>
              <w:top w:val="nil"/>
              <w:left w:val="single" w:sz="4" w:space="0" w:color="auto"/>
              <w:bottom w:val="single" w:sz="4" w:space="0" w:color="auto"/>
              <w:right w:val="single" w:sz="4" w:space="0" w:color="auto"/>
            </w:tcBorders>
            <w:vAlign w:val="center"/>
            <w:hideMark/>
          </w:tcPr>
          <w:p w14:paraId="589949B6" w14:textId="77777777" w:rsidR="00F561A7" w:rsidRPr="00A9330B" w:rsidRDefault="00F561A7" w:rsidP="00F561A7">
            <w:pPr>
              <w:spacing w:before="0" w:line="240" w:lineRule="auto"/>
              <w:jc w:val="center"/>
              <w:rPr>
                <w:rFonts w:cs="Arial"/>
                <w:b/>
                <w:bCs/>
                <w:color w:val="000000"/>
                <w:sz w:val="18"/>
                <w:szCs w:val="18"/>
                <w:lang w:eastAsia="fr-FR"/>
              </w:rPr>
            </w:pPr>
          </w:p>
        </w:tc>
        <w:tc>
          <w:tcPr>
            <w:tcW w:w="3335" w:type="dxa"/>
            <w:tcBorders>
              <w:top w:val="nil"/>
              <w:left w:val="nil"/>
              <w:bottom w:val="single" w:sz="4" w:space="0" w:color="auto"/>
              <w:right w:val="single" w:sz="4" w:space="0" w:color="auto"/>
            </w:tcBorders>
            <w:shd w:val="clear" w:color="auto" w:fill="auto"/>
            <w:noWrap/>
            <w:vAlign w:val="center"/>
            <w:hideMark/>
          </w:tcPr>
          <w:p w14:paraId="0BAD9DB1" w14:textId="77777777" w:rsidR="00F561A7" w:rsidRPr="00A9330B" w:rsidRDefault="00F561A7" w:rsidP="00F561A7">
            <w:pPr>
              <w:spacing w:before="0" w:line="240" w:lineRule="auto"/>
              <w:ind w:firstLineChars="100" w:firstLine="180"/>
              <w:rPr>
                <w:rFonts w:cs="Arial"/>
                <w:color w:val="000000"/>
                <w:sz w:val="18"/>
                <w:szCs w:val="18"/>
                <w:lang w:eastAsia="fr-FR"/>
              </w:rPr>
            </w:pPr>
            <w:r w:rsidRPr="00A9330B">
              <w:rPr>
                <w:rFonts w:cs="Arial"/>
                <w:color w:val="000000"/>
                <w:sz w:val="18"/>
                <w:szCs w:val="18"/>
                <w:lang w:eastAsia="fr-FR"/>
              </w:rPr>
              <w:t>Pasteur</w:t>
            </w:r>
          </w:p>
        </w:tc>
        <w:tc>
          <w:tcPr>
            <w:tcW w:w="1940" w:type="dxa"/>
            <w:tcBorders>
              <w:top w:val="nil"/>
              <w:left w:val="nil"/>
              <w:bottom w:val="single" w:sz="4" w:space="0" w:color="auto"/>
              <w:right w:val="single" w:sz="4" w:space="0" w:color="auto"/>
            </w:tcBorders>
            <w:shd w:val="clear" w:color="auto" w:fill="auto"/>
            <w:noWrap/>
            <w:vAlign w:val="center"/>
            <w:hideMark/>
          </w:tcPr>
          <w:p w14:paraId="1E874939" w14:textId="77777777" w:rsidR="00F561A7" w:rsidRPr="00A9330B" w:rsidRDefault="00F561A7" w:rsidP="00F561A7">
            <w:pPr>
              <w:spacing w:before="0" w:line="240" w:lineRule="auto"/>
              <w:jc w:val="center"/>
              <w:rPr>
                <w:rFonts w:cs="Arial"/>
                <w:color w:val="000000"/>
                <w:sz w:val="18"/>
                <w:szCs w:val="18"/>
                <w:lang w:eastAsia="fr-FR"/>
              </w:rPr>
            </w:pPr>
            <w:r w:rsidRPr="00A9330B">
              <w:rPr>
                <w:rFonts w:cs="Arial"/>
                <w:color w:val="000000"/>
                <w:sz w:val="18"/>
                <w:szCs w:val="18"/>
                <w:lang w:eastAsia="fr-FR"/>
              </w:rPr>
              <w:t>0,25</w:t>
            </w:r>
          </w:p>
        </w:tc>
      </w:tr>
      <w:tr w:rsidR="00F561A7" w:rsidRPr="00A9330B" w14:paraId="324124EE" w14:textId="77777777" w:rsidTr="00F561A7">
        <w:trPr>
          <w:trHeight w:val="288"/>
          <w:jc w:val="center"/>
        </w:trPr>
        <w:tc>
          <w:tcPr>
            <w:tcW w:w="1529" w:type="dxa"/>
            <w:vMerge/>
            <w:tcBorders>
              <w:top w:val="nil"/>
              <w:left w:val="single" w:sz="4" w:space="0" w:color="auto"/>
              <w:bottom w:val="single" w:sz="4" w:space="0" w:color="auto"/>
              <w:right w:val="single" w:sz="4" w:space="0" w:color="auto"/>
            </w:tcBorders>
            <w:vAlign w:val="center"/>
            <w:hideMark/>
          </w:tcPr>
          <w:p w14:paraId="6B7578B7" w14:textId="77777777" w:rsidR="00F561A7" w:rsidRPr="00A9330B" w:rsidRDefault="00F561A7" w:rsidP="00F561A7">
            <w:pPr>
              <w:spacing w:before="0" w:line="240" w:lineRule="auto"/>
              <w:jc w:val="center"/>
              <w:rPr>
                <w:rFonts w:cs="Arial"/>
                <w:b/>
                <w:bCs/>
                <w:color w:val="000000"/>
                <w:sz w:val="18"/>
                <w:szCs w:val="18"/>
                <w:lang w:eastAsia="fr-FR"/>
              </w:rPr>
            </w:pPr>
          </w:p>
        </w:tc>
        <w:tc>
          <w:tcPr>
            <w:tcW w:w="3335" w:type="dxa"/>
            <w:tcBorders>
              <w:top w:val="nil"/>
              <w:left w:val="nil"/>
              <w:bottom w:val="single" w:sz="4" w:space="0" w:color="auto"/>
              <w:right w:val="single" w:sz="4" w:space="0" w:color="auto"/>
            </w:tcBorders>
            <w:shd w:val="clear" w:color="auto" w:fill="auto"/>
            <w:noWrap/>
            <w:vAlign w:val="center"/>
            <w:hideMark/>
          </w:tcPr>
          <w:p w14:paraId="14A4F2EE" w14:textId="77777777" w:rsidR="00F561A7" w:rsidRPr="00A9330B" w:rsidRDefault="00F561A7" w:rsidP="00F561A7">
            <w:pPr>
              <w:spacing w:before="0" w:line="240" w:lineRule="auto"/>
              <w:ind w:firstLineChars="100" w:firstLine="180"/>
              <w:rPr>
                <w:rFonts w:cs="Arial"/>
                <w:color w:val="000000"/>
                <w:sz w:val="18"/>
                <w:szCs w:val="18"/>
                <w:lang w:eastAsia="fr-FR"/>
              </w:rPr>
            </w:pPr>
            <w:r w:rsidRPr="00A9330B">
              <w:rPr>
                <w:rFonts w:cs="Arial"/>
                <w:color w:val="000000"/>
                <w:sz w:val="18"/>
                <w:szCs w:val="18"/>
                <w:lang w:eastAsia="fr-FR"/>
              </w:rPr>
              <w:t>Photographe</w:t>
            </w:r>
          </w:p>
        </w:tc>
        <w:tc>
          <w:tcPr>
            <w:tcW w:w="1940" w:type="dxa"/>
            <w:tcBorders>
              <w:top w:val="nil"/>
              <w:left w:val="nil"/>
              <w:bottom w:val="single" w:sz="4" w:space="0" w:color="auto"/>
              <w:right w:val="single" w:sz="4" w:space="0" w:color="auto"/>
            </w:tcBorders>
            <w:shd w:val="clear" w:color="auto" w:fill="auto"/>
            <w:noWrap/>
            <w:vAlign w:val="center"/>
            <w:hideMark/>
          </w:tcPr>
          <w:p w14:paraId="17083E0D" w14:textId="77777777" w:rsidR="00F561A7" w:rsidRPr="00A9330B" w:rsidRDefault="00F561A7" w:rsidP="00F561A7">
            <w:pPr>
              <w:spacing w:before="0" w:line="240" w:lineRule="auto"/>
              <w:jc w:val="center"/>
              <w:rPr>
                <w:rFonts w:cs="Arial"/>
                <w:color w:val="000000"/>
                <w:sz w:val="18"/>
                <w:szCs w:val="18"/>
                <w:lang w:eastAsia="fr-FR"/>
              </w:rPr>
            </w:pPr>
            <w:r w:rsidRPr="00A9330B">
              <w:rPr>
                <w:rFonts w:cs="Arial"/>
                <w:color w:val="000000"/>
                <w:sz w:val="18"/>
                <w:szCs w:val="18"/>
                <w:lang w:eastAsia="fr-FR"/>
              </w:rPr>
              <w:t>0,25</w:t>
            </w:r>
          </w:p>
        </w:tc>
      </w:tr>
      <w:tr w:rsidR="00F561A7" w:rsidRPr="00A9330B" w14:paraId="45404E8B" w14:textId="77777777" w:rsidTr="00F561A7">
        <w:trPr>
          <w:trHeight w:val="288"/>
          <w:jc w:val="center"/>
        </w:trPr>
        <w:tc>
          <w:tcPr>
            <w:tcW w:w="1529" w:type="dxa"/>
            <w:vMerge/>
            <w:tcBorders>
              <w:top w:val="nil"/>
              <w:left w:val="single" w:sz="4" w:space="0" w:color="auto"/>
              <w:bottom w:val="single" w:sz="4" w:space="0" w:color="auto"/>
              <w:right w:val="single" w:sz="4" w:space="0" w:color="auto"/>
            </w:tcBorders>
            <w:vAlign w:val="center"/>
            <w:hideMark/>
          </w:tcPr>
          <w:p w14:paraId="08329EBF" w14:textId="77777777" w:rsidR="00F561A7" w:rsidRPr="00A9330B" w:rsidRDefault="00F561A7" w:rsidP="00F561A7">
            <w:pPr>
              <w:spacing w:before="0" w:line="240" w:lineRule="auto"/>
              <w:jc w:val="center"/>
              <w:rPr>
                <w:rFonts w:cs="Arial"/>
                <w:b/>
                <w:bCs/>
                <w:color w:val="000000"/>
                <w:sz w:val="18"/>
                <w:szCs w:val="18"/>
                <w:lang w:eastAsia="fr-FR"/>
              </w:rPr>
            </w:pPr>
          </w:p>
        </w:tc>
        <w:tc>
          <w:tcPr>
            <w:tcW w:w="3335" w:type="dxa"/>
            <w:tcBorders>
              <w:top w:val="nil"/>
              <w:left w:val="nil"/>
              <w:bottom w:val="single" w:sz="4" w:space="0" w:color="auto"/>
              <w:right w:val="single" w:sz="4" w:space="0" w:color="auto"/>
            </w:tcBorders>
            <w:shd w:val="clear" w:color="auto" w:fill="auto"/>
            <w:noWrap/>
            <w:vAlign w:val="center"/>
            <w:hideMark/>
          </w:tcPr>
          <w:p w14:paraId="1900C886" w14:textId="77777777" w:rsidR="00F561A7" w:rsidRPr="00A9330B" w:rsidRDefault="00F561A7" w:rsidP="00F561A7">
            <w:pPr>
              <w:spacing w:before="0" w:line="240" w:lineRule="auto"/>
              <w:ind w:firstLineChars="100" w:firstLine="180"/>
              <w:rPr>
                <w:rFonts w:cs="Arial"/>
                <w:color w:val="000000"/>
                <w:sz w:val="18"/>
                <w:szCs w:val="18"/>
                <w:lang w:eastAsia="fr-FR"/>
              </w:rPr>
            </w:pPr>
            <w:r w:rsidRPr="00A9330B">
              <w:rPr>
                <w:rFonts w:cs="Arial"/>
                <w:color w:val="000000"/>
                <w:sz w:val="18"/>
                <w:szCs w:val="18"/>
                <w:lang w:eastAsia="fr-FR"/>
              </w:rPr>
              <w:t>plombier</w:t>
            </w:r>
          </w:p>
        </w:tc>
        <w:tc>
          <w:tcPr>
            <w:tcW w:w="1940" w:type="dxa"/>
            <w:tcBorders>
              <w:top w:val="nil"/>
              <w:left w:val="nil"/>
              <w:bottom w:val="single" w:sz="4" w:space="0" w:color="auto"/>
              <w:right w:val="single" w:sz="4" w:space="0" w:color="auto"/>
            </w:tcBorders>
            <w:shd w:val="clear" w:color="auto" w:fill="auto"/>
            <w:noWrap/>
            <w:vAlign w:val="center"/>
            <w:hideMark/>
          </w:tcPr>
          <w:p w14:paraId="4E198CED" w14:textId="77777777" w:rsidR="00F561A7" w:rsidRPr="00A9330B" w:rsidRDefault="00F561A7" w:rsidP="00F561A7">
            <w:pPr>
              <w:spacing w:before="0" w:line="240" w:lineRule="auto"/>
              <w:jc w:val="center"/>
              <w:rPr>
                <w:rFonts w:cs="Arial"/>
                <w:color w:val="000000"/>
                <w:sz w:val="18"/>
                <w:szCs w:val="18"/>
                <w:lang w:eastAsia="fr-FR"/>
              </w:rPr>
            </w:pPr>
            <w:r w:rsidRPr="00A9330B">
              <w:rPr>
                <w:rFonts w:cs="Arial"/>
                <w:color w:val="000000"/>
                <w:sz w:val="18"/>
                <w:szCs w:val="18"/>
                <w:lang w:eastAsia="fr-FR"/>
              </w:rPr>
              <w:t>0,49</w:t>
            </w:r>
          </w:p>
        </w:tc>
      </w:tr>
      <w:tr w:rsidR="00F561A7" w:rsidRPr="00A9330B" w14:paraId="55DA862F" w14:textId="77777777" w:rsidTr="00F561A7">
        <w:trPr>
          <w:trHeight w:val="288"/>
          <w:jc w:val="center"/>
        </w:trPr>
        <w:tc>
          <w:tcPr>
            <w:tcW w:w="1529" w:type="dxa"/>
            <w:vMerge/>
            <w:tcBorders>
              <w:top w:val="nil"/>
              <w:left w:val="single" w:sz="4" w:space="0" w:color="auto"/>
              <w:bottom w:val="single" w:sz="4" w:space="0" w:color="auto"/>
              <w:right w:val="single" w:sz="4" w:space="0" w:color="auto"/>
            </w:tcBorders>
            <w:vAlign w:val="center"/>
            <w:hideMark/>
          </w:tcPr>
          <w:p w14:paraId="4F11FA4B" w14:textId="77777777" w:rsidR="00F561A7" w:rsidRPr="00A9330B" w:rsidRDefault="00F561A7" w:rsidP="00F561A7">
            <w:pPr>
              <w:spacing w:before="0" w:line="240" w:lineRule="auto"/>
              <w:jc w:val="center"/>
              <w:rPr>
                <w:rFonts w:cs="Arial"/>
                <w:b/>
                <w:bCs/>
                <w:color w:val="000000"/>
                <w:sz w:val="18"/>
                <w:szCs w:val="18"/>
                <w:lang w:eastAsia="fr-FR"/>
              </w:rPr>
            </w:pPr>
          </w:p>
        </w:tc>
        <w:tc>
          <w:tcPr>
            <w:tcW w:w="3335" w:type="dxa"/>
            <w:tcBorders>
              <w:top w:val="nil"/>
              <w:left w:val="nil"/>
              <w:bottom w:val="single" w:sz="4" w:space="0" w:color="auto"/>
              <w:right w:val="single" w:sz="4" w:space="0" w:color="auto"/>
            </w:tcBorders>
            <w:shd w:val="clear" w:color="auto" w:fill="auto"/>
            <w:noWrap/>
            <w:vAlign w:val="center"/>
            <w:hideMark/>
          </w:tcPr>
          <w:p w14:paraId="7FBBFA3D" w14:textId="77777777" w:rsidR="00F561A7" w:rsidRPr="00A9330B" w:rsidRDefault="00F561A7" w:rsidP="00F561A7">
            <w:pPr>
              <w:spacing w:before="0" w:line="240" w:lineRule="auto"/>
              <w:ind w:firstLineChars="100" w:firstLine="180"/>
              <w:rPr>
                <w:rFonts w:cs="Arial"/>
                <w:color w:val="000000"/>
                <w:sz w:val="18"/>
                <w:szCs w:val="18"/>
                <w:lang w:eastAsia="fr-FR"/>
              </w:rPr>
            </w:pPr>
            <w:r w:rsidRPr="00A9330B">
              <w:rPr>
                <w:rFonts w:cs="Arial"/>
                <w:color w:val="000000"/>
                <w:sz w:val="18"/>
                <w:szCs w:val="18"/>
                <w:lang w:eastAsia="fr-FR"/>
              </w:rPr>
              <w:t>Prêtres</w:t>
            </w:r>
          </w:p>
        </w:tc>
        <w:tc>
          <w:tcPr>
            <w:tcW w:w="1940" w:type="dxa"/>
            <w:tcBorders>
              <w:top w:val="nil"/>
              <w:left w:val="nil"/>
              <w:bottom w:val="single" w:sz="4" w:space="0" w:color="auto"/>
              <w:right w:val="single" w:sz="4" w:space="0" w:color="auto"/>
            </w:tcBorders>
            <w:shd w:val="clear" w:color="auto" w:fill="auto"/>
            <w:noWrap/>
            <w:vAlign w:val="center"/>
            <w:hideMark/>
          </w:tcPr>
          <w:p w14:paraId="697C050C" w14:textId="77777777" w:rsidR="00F561A7" w:rsidRPr="00A9330B" w:rsidRDefault="00F561A7" w:rsidP="00F561A7">
            <w:pPr>
              <w:spacing w:before="0" w:line="240" w:lineRule="auto"/>
              <w:jc w:val="center"/>
              <w:rPr>
                <w:rFonts w:cs="Arial"/>
                <w:color w:val="000000"/>
                <w:sz w:val="18"/>
                <w:szCs w:val="18"/>
                <w:lang w:eastAsia="fr-FR"/>
              </w:rPr>
            </w:pPr>
            <w:r w:rsidRPr="00A9330B">
              <w:rPr>
                <w:rFonts w:cs="Arial"/>
                <w:color w:val="000000"/>
                <w:sz w:val="18"/>
                <w:szCs w:val="18"/>
                <w:lang w:eastAsia="fr-FR"/>
              </w:rPr>
              <w:t>0,25</w:t>
            </w:r>
          </w:p>
        </w:tc>
      </w:tr>
      <w:tr w:rsidR="00F561A7" w:rsidRPr="00A9330B" w14:paraId="132D6623" w14:textId="77777777" w:rsidTr="00F561A7">
        <w:trPr>
          <w:trHeight w:val="288"/>
          <w:jc w:val="center"/>
        </w:trPr>
        <w:tc>
          <w:tcPr>
            <w:tcW w:w="1529" w:type="dxa"/>
            <w:vMerge/>
            <w:tcBorders>
              <w:top w:val="nil"/>
              <w:left w:val="single" w:sz="4" w:space="0" w:color="auto"/>
              <w:bottom w:val="single" w:sz="4" w:space="0" w:color="auto"/>
              <w:right w:val="single" w:sz="4" w:space="0" w:color="auto"/>
            </w:tcBorders>
            <w:vAlign w:val="center"/>
            <w:hideMark/>
          </w:tcPr>
          <w:p w14:paraId="3B5A9756" w14:textId="77777777" w:rsidR="00F561A7" w:rsidRPr="00A9330B" w:rsidRDefault="00F561A7" w:rsidP="00F561A7">
            <w:pPr>
              <w:spacing w:before="0" w:line="240" w:lineRule="auto"/>
              <w:jc w:val="center"/>
              <w:rPr>
                <w:rFonts w:cs="Arial"/>
                <w:b/>
                <w:bCs/>
                <w:color w:val="000000"/>
                <w:sz w:val="18"/>
                <w:szCs w:val="18"/>
                <w:lang w:eastAsia="fr-FR"/>
              </w:rPr>
            </w:pPr>
          </w:p>
        </w:tc>
        <w:tc>
          <w:tcPr>
            <w:tcW w:w="3335" w:type="dxa"/>
            <w:tcBorders>
              <w:top w:val="nil"/>
              <w:left w:val="nil"/>
              <w:bottom w:val="single" w:sz="4" w:space="0" w:color="auto"/>
              <w:right w:val="single" w:sz="4" w:space="0" w:color="auto"/>
            </w:tcBorders>
            <w:shd w:val="clear" w:color="auto" w:fill="auto"/>
            <w:noWrap/>
            <w:vAlign w:val="center"/>
            <w:hideMark/>
          </w:tcPr>
          <w:p w14:paraId="1D6C850D" w14:textId="77777777" w:rsidR="00F561A7" w:rsidRPr="00A9330B" w:rsidRDefault="00F561A7" w:rsidP="00F561A7">
            <w:pPr>
              <w:spacing w:before="0" w:line="240" w:lineRule="auto"/>
              <w:ind w:firstLineChars="100" w:firstLine="180"/>
              <w:rPr>
                <w:rFonts w:cs="Arial"/>
                <w:color w:val="000000"/>
                <w:sz w:val="18"/>
                <w:szCs w:val="18"/>
                <w:lang w:eastAsia="fr-FR"/>
              </w:rPr>
            </w:pPr>
            <w:r w:rsidRPr="00A9330B">
              <w:rPr>
                <w:rFonts w:cs="Arial"/>
                <w:color w:val="000000"/>
                <w:sz w:val="18"/>
                <w:szCs w:val="18"/>
                <w:lang w:eastAsia="fr-FR"/>
              </w:rPr>
              <w:t>Professeur</w:t>
            </w:r>
          </w:p>
        </w:tc>
        <w:tc>
          <w:tcPr>
            <w:tcW w:w="1940" w:type="dxa"/>
            <w:tcBorders>
              <w:top w:val="nil"/>
              <w:left w:val="nil"/>
              <w:bottom w:val="single" w:sz="4" w:space="0" w:color="auto"/>
              <w:right w:val="single" w:sz="4" w:space="0" w:color="auto"/>
            </w:tcBorders>
            <w:shd w:val="clear" w:color="auto" w:fill="auto"/>
            <w:noWrap/>
            <w:vAlign w:val="center"/>
            <w:hideMark/>
          </w:tcPr>
          <w:p w14:paraId="67391026" w14:textId="77777777" w:rsidR="00F561A7" w:rsidRPr="00A9330B" w:rsidRDefault="00F561A7" w:rsidP="00F561A7">
            <w:pPr>
              <w:spacing w:before="0" w:line="240" w:lineRule="auto"/>
              <w:jc w:val="center"/>
              <w:rPr>
                <w:rFonts w:cs="Arial"/>
                <w:color w:val="000000"/>
                <w:sz w:val="18"/>
                <w:szCs w:val="18"/>
                <w:lang w:eastAsia="fr-FR"/>
              </w:rPr>
            </w:pPr>
            <w:r w:rsidRPr="00A9330B">
              <w:rPr>
                <w:rFonts w:cs="Arial"/>
                <w:color w:val="000000"/>
                <w:sz w:val="18"/>
                <w:szCs w:val="18"/>
                <w:lang w:eastAsia="fr-FR"/>
              </w:rPr>
              <w:t>0,74</w:t>
            </w:r>
          </w:p>
        </w:tc>
      </w:tr>
      <w:tr w:rsidR="00F561A7" w:rsidRPr="00A9330B" w14:paraId="67514B10" w14:textId="77777777" w:rsidTr="00F561A7">
        <w:trPr>
          <w:trHeight w:val="288"/>
          <w:jc w:val="center"/>
        </w:trPr>
        <w:tc>
          <w:tcPr>
            <w:tcW w:w="1529" w:type="dxa"/>
            <w:vMerge/>
            <w:tcBorders>
              <w:top w:val="nil"/>
              <w:left w:val="single" w:sz="4" w:space="0" w:color="auto"/>
              <w:bottom w:val="single" w:sz="4" w:space="0" w:color="auto"/>
              <w:right w:val="single" w:sz="4" w:space="0" w:color="auto"/>
            </w:tcBorders>
            <w:vAlign w:val="center"/>
            <w:hideMark/>
          </w:tcPr>
          <w:p w14:paraId="4FB40882" w14:textId="77777777" w:rsidR="00F561A7" w:rsidRPr="00A9330B" w:rsidRDefault="00F561A7" w:rsidP="00F561A7">
            <w:pPr>
              <w:spacing w:before="0" w:line="240" w:lineRule="auto"/>
              <w:jc w:val="center"/>
              <w:rPr>
                <w:rFonts w:cs="Arial"/>
                <w:b/>
                <w:bCs/>
                <w:color w:val="000000"/>
                <w:sz w:val="18"/>
                <w:szCs w:val="18"/>
                <w:lang w:eastAsia="fr-FR"/>
              </w:rPr>
            </w:pPr>
          </w:p>
        </w:tc>
        <w:tc>
          <w:tcPr>
            <w:tcW w:w="3335" w:type="dxa"/>
            <w:tcBorders>
              <w:top w:val="nil"/>
              <w:left w:val="nil"/>
              <w:bottom w:val="single" w:sz="4" w:space="0" w:color="auto"/>
              <w:right w:val="single" w:sz="4" w:space="0" w:color="auto"/>
            </w:tcBorders>
            <w:shd w:val="clear" w:color="auto" w:fill="auto"/>
            <w:noWrap/>
            <w:vAlign w:val="center"/>
            <w:hideMark/>
          </w:tcPr>
          <w:p w14:paraId="48B73B1E" w14:textId="77777777" w:rsidR="00F561A7" w:rsidRPr="00A9330B" w:rsidRDefault="00F561A7" w:rsidP="00F561A7">
            <w:pPr>
              <w:spacing w:before="0" w:line="240" w:lineRule="auto"/>
              <w:ind w:firstLineChars="100" w:firstLine="180"/>
              <w:rPr>
                <w:rFonts w:cs="Arial"/>
                <w:color w:val="000000"/>
                <w:sz w:val="18"/>
                <w:szCs w:val="18"/>
                <w:lang w:eastAsia="fr-FR"/>
              </w:rPr>
            </w:pPr>
            <w:r w:rsidRPr="00A9330B">
              <w:rPr>
                <w:rFonts w:cs="Arial"/>
                <w:color w:val="000000"/>
                <w:sz w:val="18"/>
                <w:szCs w:val="18"/>
                <w:lang w:eastAsia="fr-FR"/>
              </w:rPr>
              <w:t>Professeur d'anglais</w:t>
            </w:r>
          </w:p>
        </w:tc>
        <w:tc>
          <w:tcPr>
            <w:tcW w:w="1940" w:type="dxa"/>
            <w:tcBorders>
              <w:top w:val="nil"/>
              <w:left w:val="nil"/>
              <w:bottom w:val="single" w:sz="4" w:space="0" w:color="auto"/>
              <w:right w:val="single" w:sz="4" w:space="0" w:color="auto"/>
            </w:tcBorders>
            <w:shd w:val="clear" w:color="auto" w:fill="auto"/>
            <w:noWrap/>
            <w:vAlign w:val="center"/>
            <w:hideMark/>
          </w:tcPr>
          <w:p w14:paraId="3863CA36" w14:textId="77777777" w:rsidR="00F561A7" w:rsidRPr="00A9330B" w:rsidRDefault="00F561A7" w:rsidP="00F561A7">
            <w:pPr>
              <w:spacing w:before="0" w:line="240" w:lineRule="auto"/>
              <w:jc w:val="center"/>
              <w:rPr>
                <w:rFonts w:cs="Arial"/>
                <w:color w:val="000000"/>
                <w:sz w:val="18"/>
                <w:szCs w:val="18"/>
                <w:lang w:eastAsia="fr-FR"/>
              </w:rPr>
            </w:pPr>
            <w:r w:rsidRPr="00A9330B">
              <w:rPr>
                <w:rFonts w:cs="Arial"/>
                <w:color w:val="000000"/>
                <w:sz w:val="18"/>
                <w:szCs w:val="18"/>
                <w:lang w:eastAsia="fr-FR"/>
              </w:rPr>
              <w:t>0,25</w:t>
            </w:r>
          </w:p>
        </w:tc>
      </w:tr>
      <w:tr w:rsidR="00F561A7" w:rsidRPr="00A9330B" w14:paraId="6D0F4AE3" w14:textId="77777777" w:rsidTr="00F561A7">
        <w:trPr>
          <w:trHeight w:val="288"/>
          <w:jc w:val="center"/>
        </w:trPr>
        <w:tc>
          <w:tcPr>
            <w:tcW w:w="1529" w:type="dxa"/>
            <w:vMerge/>
            <w:tcBorders>
              <w:top w:val="nil"/>
              <w:left w:val="single" w:sz="4" w:space="0" w:color="auto"/>
              <w:bottom w:val="single" w:sz="4" w:space="0" w:color="auto"/>
              <w:right w:val="single" w:sz="4" w:space="0" w:color="auto"/>
            </w:tcBorders>
            <w:vAlign w:val="center"/>
            <w:hideMark/>
          </w:tcPr>
          <w:p w14:paraId="34B98FA9" w14:textId="77777777" w:rsidR="00F561A7" w:rsidRPr="00A9330B" w:rsidRDefault="00F561A7" w:rsidP="00F561A7">
            <w:pPr>
              <w:spacing w:before="0" w:line="240" w:lineRule="auto"/>
              <w:jc w:val="center"/>
              <w:rPr>
                <w:rFonts w:cs="Arial"/>
                <w:b/>
                <w:bCs/>
                <w:color w:val="000000"/>
                <w:sz w:val="18"/>
                <w:szCs w:val="18"/>
                <w:lang w:eastAsia="fr-FR"/>
              </w:rPr>
            </w:pPr>
          </w:p>
        </w:tc>
        <w:tc>
          <w:tcPr>
            <w:tcW w:w="3335" w:type="dxa"/>
            <w:tcBorders>
              <w:top w:val="nil"/>
              <w:left w:val="nil"/>
              <w:bottom w:val="single" w:sz="4" w:space="0" w:color="auto"/>
              <w:right w:val="single" w:sz="4" w:space="0" w:color="auto"/>
            </w:tcBorders>
            <w:shd w:val="clear" w:color="auto" w:fill="auto"/>
            <w:noWrap/>
            <w:vAlign w:val="center"/>
            <w:hideMark/>
          </w:tcPr>
          <w:p w14:paraId="4DC920FB" w14:textId="77777777" w:rsidR="00F561A7" w:rsidRPr="00A9330B" w:rsidRDefault="00F561A7" w:rsidP="00F561A7">
            <w:pPr>
              <w:spacing w:before="0" w:line="240" w:lineRule="auto"/>
              <w:ind w:firstLineChars="100" w:firstLine="180"/>
              <w:rPr>
                <w:rFonts w:cs="Arial"/>
                <w:color w:val="000000"/>
                <w:sz w:val="18"/>
                <w:szCs w:val="18"/>
                <w:lang w:eastAsia="fr-FR"/>
              </w:rPr>
            </w:pPr>
            <w:r w:rsidRPr="00A9330B">
              <w:rPr>
                <w:rFonts w:cs="Arial"/>
                <w:color w:val="000000"/>
                <w:sz w:val="18"/>
                <w:szCs w:val="18"/>
                <w:lang w:eastAsia="fr-FR"/>
              </w:rPr>
              <w:t>Psychologue</w:t>
            </w:r>
          </w:p>
        </w:tc>
        <w:tc>
          <w:tcPr>
            <w:tcW w:w="1940" w:type="dxa"/>
            <w:tcBorders>
              <w:top w:val="nil"/>
              <w:left w:val="nil"/>
              <w:bottom w:val="single" w:sz="4" w:space="0" w:color="auto"/>
              <w:right w:val="single" w:sz="4" w:space="0" w:color="auto"/>
            </w:tcBorders>
            <w:shd w:val="clear" w:color="auto" w:fill="auto"/>
            <w:noWrap/>
            <w:vAlign w:val="center"/>
            <w:hideMark/>
          </w:tcPr>
          <w:p w14:paraId="38032E2D" w14:textId="77777777" w:rsidR="00F561A7" w:rsidRPr="00A9330B" w:rsidRDefault="00F561A7" w:rsidP="00F561A7">
            <w:pPr>
              <w:spacing w:before="0" w:line="240" w:lineRule="auto"/>
              <w:jc w:val="center"/>
              <w:rPr>
                <w:rFonts w:cs="Arial"/>
                <w:color w:val="000000"/>
                <w:sz w:val="18"/>
                <w:szCs w:val="18"/>
                <w:lang w:eastAsia="fr-FR"/>
              </w:rPr>
            </w:pPr>
            <w:r w:rsidRPr="00A9330B">
              <w:rPr>
                <w:rFonts w:cs="Arial"/>
                <w:color w:val="000000"/>
                <w:sz w:val="18"/>
                <w:szCs w:val="18"/>
                <w:lang w:eastAsia="fr-FR"/>
              </w:rPr>
              <w:t>0,25</w:t>
            </w:r>
          </w:p>
        </w:tc>
      </w:tr>
      <w:tr w:rsidR="00F561A7" w:rsidRPr="00A9330B" w14:paraId="6933234D" w14:textId="77777777" w:rsidTr="00F561A7">
        <w:trPr>
          <w:trHeight w:val="288"/>
          <w:jc w:val="center"/>
        </w:trPr>
        <w:tc>
          <w:tcPr>
            <w:tcW w:w="1529" w:type="dxa"/>
            <w:vMerge/>
            <w:tcBorders>
              <w:top w:val="nil"/>
              <w:left w:val="single" w:sz="4" w:space="0" w:color="auto"/>
              <w:bottom w:val="single" w:sz="4" w:space="0" w:color="auto"/>
              <w:right w:val="single" w:sz="4" w:space="0" w:color="auto"/>
            </w:tcBorders>
            <w:vAlign w:val="center"/>
            <w:hideMark/>
          </w:tcPr>
          <w:p w14:paraId="7EB8DECC" w14:textId="77777777" w:rsidR="00F561A7" w:rsidRPr="00A9330B" w:rsidRDefault="00F561A7" w:rsidP="00F561A7">
            <w:pPr>
              <w:spacing w:before="0" w:line="240" w:lineRule="auto"/>
              <w:jc w:val="center"/>
              <w:rPr>
                <w:rFonts w:cs="Arial"/>
                <w:b/>
                <w:bCs/>
                <w:color w:val="000000"/>
                <w:sz w:val="18"/>
                <w:szCs w:val="18"/>
                <w:lang w:eastAsia="fr-FR"/>
              </w:rPr>
            </w:pPr>
          </w:p>
        </w:tc>
        <w:tc>
          <w:tcPr>
            <w:tcW w:w="3335" w:type="dxa"/>
            <w:tcBorders>
              <w:top w:val="nil"/>
              <w:left w:val="nil"/>
              <w:bottom w:val="single" w:sz="4" w:space="0" w:color="auto"/>
              <w:right w:val="single" w:sz="4" w:space="0" w:color="auto"/>
            </w:tcBorders>
            <w:shd w:val="clear" w:color="auto" w:fill="auto"/>
            <w:noWrap/>
            <w:vAlign w:val="center"/>
            <w:hideMark/>
          </w:tcPr>
          <w:p w14:paraId="15482D86" w14:textId="77777777" w:rsidR="00F561A7" w:rsidRPr="00A9330B" w:rsidRDefault="00F561A7" w:rsidP="00F561A7">
            <w:pPr>
              <w:spacing w:before="0" w:line="240" w:lineRule="auto"/>
              <w:ind w:firstLineChars="100" w:firstLine="180"/>
              <w:rPr>
                <w:rFonts w:cs="Arial"/>
                <w:color w:val="000000"/>
                <w:sz w:val="18"/>
                <w:szCs w:val="18"/>
                <w:lang w:eastAsia="fr-FR"/>
              </w:rPr>
            </w:pPr>
            <w:r w:rsidRPr="00A9330B">
              <w:rPr>
                <w:rFonts w:cs="Arial"/>
                <w:color w:val="000000"/>
                <w:sz w:val="18"/>
                <w:szCs w:val="18"/>
                <w:lang w:eastAsia="fr-FR"/>
              </w:rPr>
              <w:t>Religieux</w:t>
            </w:r>
          </w:p>
        </w:tc>
        <w:tc>
          <w:tcPr>
            <w:tcW w:w="1940" w:type="dxa"/>
            <w:tcBorders>
              <w:top w:val="nil"/>
              <w:left w:val="nil"/>
              <w:bottom w:val="single" w:sz="4" w:space="0" w:color="auto"/>
              <w:right w:val="single" w:sz="4" w:space="0" w:color="auto"/>
            </w:tcBorders>
            <w:shd w:val="clear" w:color="auto" w:fill="auto"/>
            <w:noWrap/>
            <w:vAlign w:val="center"/>
            <w:hideMark/>
          </w:tcPr>
          <w:p w14:paraId="0D073970" w14:textId="77777777" w:rsidR="00F561A7" w:rsidRPr="00A9330B" w:rsidRDefault="00F561A7" w:rsidP="00F561A7">
            <w:pPr>
              <w:spacing w:before="0" w:line="240" w:lineRule="auto"/>
              <w:jc w:val="center"/>
              <w:rPr>
                <w:rFonts w:cs="Arial"/>
                <w:color w:val="000000"/>
                <w:sz w:val="18"/>
                <w:szCs w:val="18"/>
                <w:lang w:eastAsia="fr-FR"/>
              </w:rPr>
            </w:pPr>
            <w:r w:rsidRPr="00A9330B">
              <w:rPr>
                <w:rFonts w:cs="Arial"/>
                <w:color w:val="000000"/>
                <w:sz w:val="18"/>
                <w:szCs w:val="18"/>
                <w:lang w:eastAsia="fr-FR"/>
              </w:rPr>
              <w:t>0,25</w:t>
            </w:r>
          </w:p>
        </w:tc>
      </w:tr>
      <w:tr w:rsidR="00F561A7" w:rsidRPr="00A9330B" w14:paraId="7BEBB4B8" w14:textId="77777777" w:rsidTr="00F561A7">
        <w:trPr>
          <w:trHeight w:val="288"/>
          <w:jc w:val="center"/>
        </w:trPr>
        <w:tc>
          <w:tcPr>
            <w:tcW w:w="1529" w:type="dxa"/>
            <w:vMerge/>
            <w:tcBorders>
              <w:top w:val="nil"/>
              <w:left w:val="single" w:sz="4" w:space="0" w:color="auto"/>
              <w:bottom w:val="single" w:sz="4" w:space="0" w:color="auto"/>
              <w:right w:val="single" w:sz="4" w:space="0" w:color="auto"/>
            </w:tcBorders>
            <w:vAlign w:val="center"/>
            <w:hideMark/>
          </w:tcPr>
          <w:p w14:paraId="69DE21DA" w14:textId="77777777" w:rsidR="00F561A7" w:rsidRPr="00A9330B" w:rsidRDefault="00F561A7" w:rsidP="00F561A7">
            <w:pPr>
              <w:spacing w:before="0" w:line="240" w:lineRule="auto"/>
              <w:jc w:val="center"/>
              <w:rPr>
                <w:rFonts w:cs="Arial"/>
                <w:b/>
                <w:bCs/>
                <w:color w:val="000000"/>
                <w:sz w:val="18"/>
                <w:szCs w:val="18"/>
                <w:lang w:eastAsia="fr-FR"/>
              </w:rPr>
            </w:pPr>
          </w:p>
        </w:tc>
        <w:tc>
          <w:tcPr>
            <w:tcW w:w="3335" w:type="dxa"/>
            <w:tcBorders>
              <w:top w:val="nil"/>
              <w:left w:val="nil"/>
              <w:bottom w:val="single" w:sz="4" w:space="0" w:color="auto"/>
              <w:right w:val="single" w:sz="4" w:space="0" w:color="auto"/>
            </w:tcBorders>
            <w:shd w:val="clear" w:color="auto" w:fill="auto"/>
            <w:noWrap/>
            <w:vAlign w:val="center"/>
            <w:hideMark/>
          </w:tcPr>
          <w:p w14:paraId="09C5A315" w14:textId="77777777" w:rsidR="00F561A7" w:rsidRPr="00A9330B" w:rsidRDefault="00F561A7" w:rsidP="00F561A7">
            <w:pPr>
              <w:spacing w:before="0" w:line="240" w:lineRule="auto"/>
              <w:ind w:firstLineChars="100" w:firstLine="180"/>
              <w:rPr>
                <w:rFonts w:cs="Arial"/>
                <w:color w:val="000000"/>
                <w:sz w:val="18"/>
                <w:szCs w:val="18"/>
                <w:lang w:eastAsia="fr-FR"/>
              </w:rPr>
            </w:pPr>
            <w:r w:rsidRPr="00A9330B">
              <w:rPr>
                <w:rFonts w:cs="Arial"/>
                <w:color w:val="000000"/>
                <w:sz w:val="18"/>
                <w:szCs w:val="18"/>
                <w:lang w:eastAsia="fr-FR"/>
              </w:rPr>
              <w:t>Restaurateurs</w:t>
            </w:r>
          </w:p>
        </w:tc>
        <w:tc>
          <w:tcPr>
            <w:tcW w:w="1940" w:type="dxa"/>
            <w:tcBorders>
              <w:top w:val="nil"/>
              <w:left w:val="nil"/>
              <w:bottom w:val="single" w:sz="4" w:space="0" w:color="auto"/>
              <w:right w:val="single" w:sz="4" w:space="0" w:color="auto"/>
            </w:tcBorders>
            <w:shd w:val="clear" w:color="auto" w:fill="auto"/>
            <w:noWrap/>
            <w:vAlign w:val="center"/>
            <w:hideMark/>
          </w:tcPr>
          <w:p w14:paraId="7E0E0BE8" w14:textId="77777777" w:rsidR="00F561A7" w:rsidRPr="00A9330B" w:rsidRDefault="00F561A7" w:rsidP="00F561A7">
            <w:pPr>
              <w:spacing w:before="0" w:line="240" w:lineRule="auto"/>
              <w:jc w:val="center"/>
              <w:rPr>
                <w:rFonts w:cs="Arial"/>
                <w:color w:val="000000"/>
                <w:sz w:val="18"/>
                <w:szCs w:val="18"/>
                <w:lang w:eastAsia="fr-FR"/>
              </w:rPr>
            </w:pPr>
            <w:r w:rsidRPr="00A9330B">
              <w:rPr>
                <w:rFonts w:cs="Arial"/>
                <w:color w:val="000000"/>
                <w:sz w:val="18"/>
                <w:szCs w:val="18"/>
                <w:lang w:eastAsia="fr-FR"/>
              </w:rPr>
              <w:t>0,25</w:t>
            </w:r>
          </w:p>
        </w:tc>
      </w:tr>
      <w:tr w:rsidR="00F561A7" w:rsidRPr="00A9330B" w14:paraId="500F1989" w14:textId="77777777" w:rsidTr="00F561A7">
        <w:trPr>
          <w:trHeight w:val="288"/>
          <w:jc w:val="center"/>
        </w:trPr>
        <w:tc>
          <w:tcPr>
            <w:tcW w:w="1529" w:type="dxa"/>
            <w:vMerge/>
            <w:tcBorders>
              <w:top w:val="nil"/>
              <w:left w:val="single" w:sz="4" w:space="0" w:color="auto"/>
              <w:bottom w:val="single" w:sz="4" w:space="0" w:color="auto"/>
              <w:right w:val="single" w:sz="4" w:space="0" w:color="auto"/>
            </w:tcBorders>
            <w:vAlign w:val="center"/>
            <w:hideMark/>
          </w:tcPr>
          <w:p w14:paraId="1C80F759" w14:textId="77777777" w:rsidR="00F561A7" w:rsidRPr="00A9330B" w:rsidRDefault="00F561A7" w:rsidP="00F561A7">
            <w:pPr>
              <w:spacing w:before="0" w:line="240" w:lineRule="auto"/>
              <w:jc w:val="center"/>
              <w:rPr>
                <w:rFonts w:cs="Arial"/>
                <w:b/>
                <w:bCs/>
                <w:color w:val="000000"/>
                <w:sz w:val="18"/>
                <w:szCs w:val="18"/>
                <w:lang w:eastAsia="fr-FR"/>
              </w:rPr>
            </w:pPr>
          </w:p>
        </w:tc>
        <w:tc>
          <w:tcPr>
            <w:tcW w:w="3335" w:type="dxa"/>
            <w:tcBorders>
              <w:top w:val="nil"/>
              <w:left w:val="nil"/>
              <w:bottom w:val="single" w:sz="4" w:space="0" w:color="auto"/>
              <w:right w:val="single" w:sz="4" w:space="0" w:color="auto"/>
            </w:tcBorders>
            <w:shd w:val="clear" w:color="auto" w:fill="auto"/>
            <w:noWrap/>
            <w:vAlign w:val="center"/>
            <w:hideMark/>
          </w:tcPr>
          <w:p w14:paraId="1A9DD897" w14:textId="77777777" w:rsidR="00F561A7" w:rsidRPr="00A9330B" w:rsidRDefault="00F561A7" w:rsidP="00F561A7">
            <w:pPr>
              <w:spacing w:before="0" w:line="240" w:lineRule="auto"/>
              <w:ind w:firstLineChars="100" w:firstLine="180"/>
              <w:rPr>
                <w:rFonts w:cs="Arial"/>
                <w:color w:val="000000"/>
                <w:sz w:val="18"/>
                <w:szCs w:val="18"/>
                <w:lang w:eastAsia="fr-FR"/>
              </w:rPr>
            </w:pPr>
            <w:r w:rsidRPr="00A9330B">
              <w:rPr>
                <w:rFonts w:cs="Arial"/>
                <w:color w:val="000000"/>
                <w:sz w:val="18"/>
                <w:szCs w:val="18"/>
                <w:lang w:eastAsia="fr-FR"/>
              </w:rPr>
              <w:t>Retraité</w:t>
            </w:r>
          </w:p>
        </w:tc>
        <w:tc>
          <w:tcPr>
            <w:tcW w:w="1940" w:type="dxa"/>
            <w:tcBorders>
              <w:top w:val="nil"/>
              <w:left w:val="nil"/>
              <w:bottom w:val="single" w:sz="4" w:space="0" w:color="auto"/>
              <w:right w:val="single" w:sz="4" w:space="0" w:color="auto"/>
            </w:tcBorders>
            <w:shd w:val="clear" w:color="auto" w:fill="auto"/>
            <w:noWrap/>
            <w:vAlign w:val="center"/>
            <w:hideMark/>
          </w:tcPr>
          <w:p w14:paraId="348AE8BB" w14:textId="77777777" w:rsidR="00F561A7" w:rsidRPr="00A9330B" w:rsidRDefault="00F561A7" w:rsidP="00F561A7">
            <w:pPr>
              <w:spacing w:before="0" w:line="240" w:lineRule="auto"/>
              <w:jc w:val="center"/>
              <w:rPr>
                <w:rFonts w:cs="Arial"/>
                <w:color w:val="000000"/>
                <w:sz w:val="18"/>
                <w:szCs w:val="18"/>
                <w:lang w:eastAsia="fr-FR"/>
              </w:rPr>
            </w:pPr>
            <w:r w:rsidRPr="00A9330B">
              <w:rPr>
                <w:rFonts w:cs="Arial"/>
                <w:color w:val="000000"/>
                <w:sz w:val="18"/>
                <w:szCs w:val="18"/>
                <w:lang w:eastAsia="fr-FR"/>
              </w:rPr>
              <w:t>6,42</w:t>
            </w:r>
          </w:p>
        </w:tc>
      </w:tr>
      <w:tr w:rsidR="00F561A7" w:rsidRPr="00A9330B" w14:paraId="1617791C" w14:textId="77777777" w:rsidTr="00F561A7">
        <w:trPr>
          <w:trHeight w:val="288"/>
          <w:jc w:val="center"/>
        </w:trPr>
        <w:tc>
          <w:tcPr>
            <w:tcW w:w="1529" w:type="dxa"/>
            <w:vMerge/>
            <w:tcBorders>
              <w:top w:val="nil"/>
              <w:left w:val="single" w:sz="4" w:space="0" w:color="auto"/>
              <w:bottom w:val="single" w:sz="4" w:space="0" w:color="auto"/>
              <w:right w:val="single" w:sz="4" w:space="0" w:color="auto"/>
            </w:tcBorders>
            <w:vAlign w:val="center"/>
            <w:hideMark/>
          </w:tcPr>
          <w:p w14:paraId="6E53812C" w14:textId="77777777" w:rsidR="00F561A7" w:rsidRPr="00A9330B" w:rsidRDefault="00F561A7" w:rsidP="00F561A7">
            <w:pPr>
              <w:spacing w:before="0" w:line="240" w:lineRule="auto"/>
              <w:jc w:val="center"/>
              <w:rPr>
                <w:rFonts w:cs="Arial"/>
                <w:b/>
                <w:bCs/>
                <w:color w:val="000000"/>
                <w:sz w:val="18"/>
                <w:szCs w:val="18"/>
                <w:lang w:eastAsia="fr-FR"/>
              </w:rPr>
            </w:pPr>
          </w:p>
        </w:tc>
        <w:tc>
          <w:tcPr>
            <w:tcW w:w="3335" w:type="dxa"/>
            <w:tcBorders>
              <w:top w:val="nil"/>
              <w:left w:val="nil"/>
              <w:bottom w:val="single" w:sz="4" w:space="0" w:color="auto"/>
              <w:right w:val="single" w:sz="4" w:space="0" w:color="auto"/>
            </w:tcBorders>
            <w:shd w:val="clear" w:color="auto" w:fill="auto"/>
            <w:noWrap/>
            <w:vAlign w:val="center"/>
            <w:hideMark/>
          </w:tcPr>
          <w:p w14:paraId="148F5E1D" w14:textId="77777777" w:rsidR="00F561A7" w:rsidRPr="00A9330B" w:rsidRDefault="00F561A7" w:rsidP="00F561A7">
            <w:pPr>
              <w:spacing w:before="0" w:line="240" w:lineRule="auto"/>
              <w:ind w:firstLineChars="100" w:firstLine="180"/>
              <w:rPr>
                <w:rFonts w:cs="Arial"/>
                <w:color w:val="000000"/>
                <w:sz w:val="18"/>
                <w:szCs w:val="18"/>
                <w:lang w:eastAsia="fr-FR"/>
              </w:rPr>
            </w:pPr>
            <w:r w:rsidRPr="00A9330B">
              <w:rPr>
                <w:rFonts w:cs="Arial"/>
                <w:color w:val="000000"/>
                <w:sz w:val="18"/>
                <w:szCs w:val="18"/>
                <w:lang w:eastAsia="fr-FR"/>
              </w:rPr>
              <w:t>Revendeur d'essence</w:t>
            </w:r>
          </w:p>
        </w:tc>
        <w:tc>
          <w:tcPr>
            <w:tcW w:w="1940" w:type="dxa"/>
            <w:tcBorders>
              <w:top w:val="nil"/>
              <w:left w:val="nil"/>
              <w:bottom w:val="single" w:sz="4" w:space="0" w:color="auto"/>
              <w:right w:val="single" w:sz="4" w:space="0" w:color="auto"/>
            </w:tcBorders>
            <w:shd w:val="clear" w:color="auto" w:fill="auto"/>
            <w:noWrap/>
            <w:vAlign w:val="center"/>
            <w:hideMark/>
          </w:tcPr>
          <w:p w14:paraId="5B1A2C04" w14:textId="77777777" w:rsidR="00F561A7" w:rsidRPr="00A9330B" w:rsidRDefault="00F561A7" w:rsidP="00F561A7">
            <w:pPr>
              <w:spacing w:before="0" w:line="240" w:lineRule="auto"/>
              <w:jc w:val="center"/>
              <w:rPr>
                <w:rFonts w:cs="Arial"/>
                <w:color w:val="000000"/>
                <w:sz w:val="18"/>
                <w:szCs w:val="18"/>
                <w:lang w:eastAsia="fr-FR"/>
              </w:rPr>
            </w:pPr>
            <w:r w:rsidRPr="00A9330B">
              <w:rPr>
                <w:rFonts w:cs="Arial"/>
                <w:color w:val="000000"/>
                <w:sz w:val="18"/>
                <w:szCs w:val="18"/>
                <w:lang w:eastAsia="fr-FR"/>
              </w:rPr>
              <w:t>0,25</w:t>
            </w:r>
          </w:p>
        </w:tc>
      </w:tr>
      <w:tr w:rsidR="00F561A7" w:rsidRPr="00A9330B" w14:paraId="126B8D45" w14:textId="77777777" w:rsidTr="00F561A7">
        <w:trPr>
          <w:trHeight w:val="288"/>
          <w:jc w:val="center"/>
        </w:trPr>
        <w:tc>
          <w:tcPr>
            <w:tcW w:w="1529" w:type="dxa"/>
            <w:vMerge/>
            <w:tcBorders>
              <w:top w:val="nil"/>
              <w:left w:val="single" w:sz="4" w:space="0" w:color="auto"/>
              <w:bottom w:val="single" w:sz="4" w:space="0" w:color="auto"/>
              <w:right w:val="single" w:sz="4" w:space="0" w:color="auto"/>
            </w:tcBorders>
            <w:vAlign w:val="center"/>
            <w:hideMark/>
          </w:tcPr>
          <w:p w14:paraId="1D8DF0FB" w14:textId="77777777" w:rsidR="00F561A7" w:rsidRPr="00A9330B" w:rsidRDefault="00F561A7" w:rsidP="00F561A7">
            <w:pPr>
              <w:spacing w:before="0" w:line="240" w:lineRule="auto"/>
              <w:jc w:val="center"/>
              <w:rPr>
                <w:rFonts w:cs="Arial"/>
                <w:b/>
                <w:bCs/>
                <w:color w:val="000000"/>
                <w:sz w:val="18"/>
                <w:szCs w:val="18"/>
                <w:lang w:eastAsia="fr-FR"/>
              </w:rPr>
            </w:pPr>
          </w:p>
        </w:tc>
        <w:tc>
          <w:tcPr>
            <w:tcW w:w="3335" w:type="dxa"/>
            <w:tcBorders>
              <w:top w:val="nil"/>
              <w:left w:val="nil"/>
              <w:bottom w:val="single" w:sz="4" w:space="0" w:color="auto"/>
              <w:right w:val="single" w:sz="4" w:space="0" w:color="auto"/>
            </w:tcBorders>
            <w:shd w:val="clear" w:color="auto" w:fill="auto"/>
            <w:noWrap/>
            <w:vAlign w:val="center"/>
            <w:hideMark/>
          </w:tcPr>
          <w:p w14:paraId="69627D6F" w14:textId="77777777" w:rsidR="00F561A7" w:rsidRPr="00A9330B" w:rsidRDefault="00F561A7" w:rsidP="00F561A7">
            <w:pPr>
              <w:spacing w:before="0" w:line="240" w:lineRule="auto"/>
              <w:ind w:firstLineChars="100" w:firstLine="180"/>
              <w:rPr>
                <w:rFonts w:cs="Arial"/>
                <w:color w:val="000000"/>
                <w:sz w:val="18"/>
                <w:szCs w:val="18"/>
                <w:lang w:eastAsia="fr-FR"/>
              </w:rPr>
            </w:pPr>
            <w:r w:rsidRPr="00A9330B">
              <w:rPr>
                <w:rFonts w:cs="Arial"/>
                <w:color w:val="000000"/>
                <w:sz w:val="18"/>
                <w:szCs w:val="18"/>
                <w:lang w:eastAsia="fr-FR"/>
              </w:rPr>
              <w:t>SAPEUR-POMPIER</w:t>
            </w:r>
          </w:p>
        </w:tc>
        <w:tc>
          <w:tcPr>
            <w:tcW w:w="1940" w:type="dxa"/>
            <w:tcBorders>
              <w:top w:val="nil"/>
              <w:left w:val="nil"/>
              <w:bottom w:val="single" w:sz="4" w:space="0" w:color="auto"/>
              <w:right w:val="single" w:sz="4" w:space="0" w:color="auto"/>
            </w:tcBorders>
            <w:shd w:val="clear" w:color="auto" w:fill="auto"/>
            <w:noWrap/>
            <w:vAlign w:val="center"/>
            <w:hideMark/>
          </w:tcPr>
          <w:p w14:paraId="02730AA2" w14:textId="77777777" w:rsidR="00F561A7" w:rsidRPr="00A9330B" w:rsidRDefault="00F561A7" w:rsidP="00F561A7">
            <w:pPr>
              <w:spacing w:before="0" w:line="240" w:lineRule="auto"/>
              <w:jc w:val="center"/>
              <w:rPr>
                <w:rFonts w:cs="Arial"/>
                <w:color w:val="000000"/>
                <w:sz w:val="18"/>
                <w:szCs w:val="18"/>
                <w:lang w:eastAsia="fr-FR"/>
              </w:rPr>
            </w:pPr>
            <w:r w:rsidRPr="00A9330B">
              <w:rPr>
                <w:rFonts w:cs="Arial"/>
                <w:color w:val="000000"/>
                <w:sz w:val="18"/>
                <w:szCs w:val="18"/>
                <w:lang w:eastAsia="fr-FR"/>
              </w:rPr>
              <w:t>0,25</w:t>
            </w:r>
          </w:p>
        </w:tc>
      </w:tr>
      <w:tr w:rsidR="00F561A7" w:rsidRPr="00A9330B" w14:paraId="14BC9EB2" w14:textId="77777777" w:rsidTr="00F561A7">
        <w:trPr>
          <w:trHeight w:val="288"/>
          <w:jc w:val="center"/>
        </w:trPr>
        <w:tc>
          <w:tcPr>
            <w:tcW w:w="1529" w:type="dxa"/>
            <w:vMerge/>
            <w:tcBorders>
              <w:top w:val="nil"/>
              <w:left w:val="single" w:sz="4" w:space="0" w:color="auto"/>
              <w:bottom w:val="single" w:sz="4" w:space="0" w:color="auto"/>
              <w:right w:val="single" w:sz="4" w:space="0" w:color="auto"/>
            </w:tcBorders>
            <w:vAlign w:val="center"/>
            <w:hideMark/>
          </w:tcPr>
          <w:p w14:paraId="43174E2F" w14:textId="77777777" w:rsidR="00F561A7" w:rsidRPr="00A9330B" w:rsidRDefault="00F561A7" w:rsidP="00F561A7">
            <w:pPr>
              <w:spacing w:before="0" w:line="240" w:lineRule="auto"/>
              <w:jc w:val="center"/>
              <w:rPr>
                <w:rFonts w:cs="Arial"/>
                <w:b/>
                <w:bCs/>
                <w:color w:val="000000"/>
                <w:sz w:val="18"/>
                <w:szCs w:val="18"/>
                <w:lang w:eastAsia="fr-FR"/>
              </w:rPr>
            </w:pPr>
          </w:p>
        </w:tc>
        <w:tc>
          <w:tcPr>
            <w:tcW w:w="3335" w:type="dxa"/>
            <w:tcBorders>
              <w:top w:val="nil"/>
              <w:left w:val="nil"/>
              <w:bottom w:val="single" w:sz="4" w:space="0" w:color="auto"/>
              <w:right w:val="single" w:sz="4" w:space="0" w:color="auto"/>
            </w:tcBorders>
            <w:shd w:val="clear" w:color="auto" w:fill="auto"/>
            <w:noWrap/>
            <w:vAlign w:val="center"/>
            <w:hideMark/>
          </w:tcPr>
          <w:p w14:paraId="701F41CE" w14:textId="77777777" w:rsidR="00F561A7" w:rsidRPr="00A9330B" w:rsidRDefault="00F561A7" w:rsidP="00F561A7">
            <w:pPr>
              <w:spacing w:before="0" w:line="240" w:lineRule="auto"/>
              <w:ind w:firstLineChars="100" w:firstLine="180"/>
              <w:rPr>
                <w:rFonts w:cs="Arial"/>
                <w:color w:val="000000"/>
                <w:sz w:val="18"/>
                <w:szCs w:val="18"/>
                <w:lang w:eastAsia="fr-FR"/>
              </w:rPr>
            </w:pPr>
            <w:r w:rsidRPr="00A9330B">
              <w:rPr>
                <w:rFonts w:cs="Arial"/>
                <w:color w:val="000000"/>
                <w:sz w:val="18"/>
                <w:szCs w:val="18"/>
                <w:lang w:eastAsia="fr-FR"/>
              </w:rPr>
              <w:t>Secrétaire</w:t>
            </w:r>
          </w:p>
        </w:tc>
        <w:tc>
          <w:tcPr>
            <w:tcW w:w="1940" w:type="dxa"/>
            <w:tcBorders>
              <w:top w:val="nil"/>
              <w:left w:val="nil"/>
              <w:bottom w:val="single" w:sz="4" w:space="0" w:color="auto"/>
              <w:right w:val="single" w:sz="4" w:space="0" w:color="auto"/>
            </w:tcBorders>
            <w:shd w:val="clear" w:color="auto" w:fill="auto"/>
            <w:noWrap/>
            <w:vAlign w:val="center"/>
            <w:hideMark/>
          </w:tcPr>
          <w:p w14:paraId="7A2C68C7" w14:textId="77777777" w:rsidR="00F561A7" w:rsidRPr="00A9330B" w:rsidRDefault="00F561A7" w:rsidP="00F561A7">
            <w:pPr>
              <w:spacing w:before="0" w:line="240" w:lineRule="auto"/>
              <w:jc w:val="center"/>
              <w:rPr>
                <w:rFonts w:cs="Arial"/>
                <w:color w:val="000000"/>
                <w:sz w:val="18"/>
                <w:szCs w:val="18"/>
                <w:lang w:eastAsia="fr-FR"/>
              </w:rPr>
            </w:pPr>
            <w:r w:rsidRPr="00A9330B">
              <w:rPr>
                <w:rFonts w:cs="Arial"/>
                <w:color w:val="000000"/>
                <w:sz w:val="18"/>
                <w:szCs w:val="18"/>
                <w:lang w:eastAsia="fr-FR"/>
              </w:rPr>
              <w:t>0,49</w:t>
            </w:r>
          </w:p>
        </w:tc>
      </w:tr>
      <w:tr w:rsidR="00F561A7" w:rsidRPr="00A9330B" w14:paraId="5E52F63F" w14:textId="77777777" w:rsidTr="00F561A7">
        <w:trPr>
          <w:trHeight w:val="288"/>
          <w:jc w:val="center"/>
        </w:trPr>
        <w:tc>
          <w:tcPr>
            <w:tcW w:w="1529" w:type="dxa"/>
            <w:vMerge/>
            <w:tcBorders>
              <w:top w:val="nil"/>
              <w:left w:val="single" w:sz="4" w:space="0" w:color="auto"/>
              <w:bottom w:val="single" w:sz="4" w:space="0" w:color="auto"/>
              <w:right w:val="single" w:sz="4" w:space="0" w:color="auto"/>
            </w:tcBorders>
            <w:vAlign w:val="center"/>
            <w:hideMark/>
          </w:tcPr>
          <w:p w14:paraId="2320C4A5" w14:textId="77777777" w:rsidR="00F561A7" w:rsidRPr="00A9330B" w:rsidRDefault="00F561A7" w:rsidP="00F561A7">
            <w:pPr>
              <w:spacing w:before="0" w:line="240" w:lineRule="auto"/>
              <w:jc w:val="center"/>
              <w:rPr>
                <w:rFonts w:cs="Arial"/>
                <w:b/>
                <w:bCs/>
                <w:color w:val="000000"/>
                <w:sz w:val="18"/>
                <w:szCs w:val="18"/>
                <w:lang w:eastAsia="fr-FR"/>
              </w:rPr>
            </w:pPr>
          </w:p>
        </w:tc>
        <w:tc>
          <w:tcPr>
            <w:tcW w:w="3335" w:type="dxa"/>
            <w:tcBorders>
              <w:top w:val="nil"/>
              <w:left w:val="nil"/>
              <w:bottom w:val="single" w:sz="4" w:space="0" w:color="auto"/>
              <w:right w:val="single" w:sz="4" w:space="0" w:color="auto"/>
            </w:tcBorders>
            <w:shd w:val="clear" w:color="auto" w:fill="auto"/>
            <w:noWrap/>
            <w:vAlign w:val="center"/>
            <w:hideMark/>
          </w:tcPr>
          <w:p w14:paraId="3B24A756" w14:textId="77777777" w:rsidR="00F561A7" w:rsidRPr="00A9330B" w:rsidRDefault="00F561A7" w:rsidP="00F561A7">
            <w:pPr>
              <w:spacing w:before="0" w:line="240" w:lineRule="auto"/>
              <w:ind w:firstLineChars="100" w:firstLine="180"/>
              <w:rPr>
                <w:rFonts w:cs="Arial"/>
                <w:color w:val="000000"/>
                <w:sz w:val="18"/>
                <w:szCs w:val="18"/>
                <w:lang w:eastAsia="fr-FR"/>
              </w:rPr>
            </w:pPr>
            <w:r w:rsidRPr="00A9330B">
              <w:rPr>
                <w:rFonts w:cs="Arial"/>
                <w:color w:val="000000"/>
                <w:sz w:val="18"/>
                <w:szCs w:val="18"/>
                <w:lang w:eastAsia="fr-FR"/>
              </w:rPr>
              <w:t>Sécurité/DONEB</w:t>
            </w:r>
          </w:p>
        </w:tc>
        <w:tc>
          <w:tcPr>
            <w:tcW w:w="1940" w:type="dxa"/>
            <w:tcBorders>
              <w:top w:val="nil"/>
              <w:left w:val="nil"/>
              <w:bottom w:val="single" w:sz="4" w:space="0" w:color="auto"/>
              <w:right w:val="single" w:sz="4" w:space="0" w:color="auto"/>
            </w:tcBorders>
            <w:shd w:val="clear" w:color="auto" w:fill="auto"/>
            <w:noWrap/>
            <w:vAlign w:val="center"/>
            <w:hideMark/>
          </w:tcPr>
          <w:p w14:paraId="08346D54" w14:textId="77777777" w:rsidR="00F561A7" w:rsidRPr="00A9330B" w:rsidRDefault="00F561A7" w:rsidP="00F561A7">
            <w:pPr>
              <w:spacing w:before="0" w:line="240" w:lineRule="auto"/>
              <w:jc w:val="center"/>
              <w:rPr>
                <w:rFonts w:cs="Arial"/>
                <w:color w:val="000000"/>
                <w:sz w:val="18"/>
                <w:szCs w:val="18"/>
                <w:lang w:eastAsia="fr-FR"/>
              </w:rPr>
            </w:pPr>
            <w:r w:rsidRPr="00A9330B">
              <w:rPr>
                <w:rFonts w:cs="Arial"/>
                <w:color w:val="000000"/>
                <w:sz w:val="18"/>
                <w:szCs w:val="18"/>
                <w:lang w:eastAsia="fr-FR"/>
              </w:rPr>
              <w:t>0,25</w:t>
            </w:r>
          </w:p>
        </w:tc>
      </w:tr>
      <w:tr w:rsidR="00F561A7" w:rsidRPr="00A9330B" w14:paraId="518C07E5" w14:textId="77777777" w:rsidTr="00F561A7">
        <w:trPr>
          <w:trHeight w:val="288"/>
          <w:jc w:val="center"/>
        </w:trPr>
        <w:tc>
          <w:tcPr>
            <w:tcW w:w="1529" w:type="dxa"/>
            <w:vMerge/>
            <w:tcBorders>
              <w:top w:val="nil"/>
              <w:left w:val="single" w:sz="4" w:space="0" w:color="auto"/>
              <w:bottom w:val="single" w:sz="4" w:space="0" w:color="auto"/>
              <w:right w:val="single" w:sz="4" w:space="0" w:color="auto"/>
            </w:tcBorders>
            <w:vAlign w:val="center"/>
            <w:hideMark/>
          </w:tcPr>
          <w:p w14:paraId="2FBDBAB6" w14:textId="77777777" w:rsidR="00F561A7" w:rsidRPr="00A9330B" w:rsidRDefault="00F561A7" w:rsidP="00F561A7">
            <w:pPr>
              <w:spacing w:before="0" w:line="240" w:lineRule="auto"/>
              <w:jc w:val="center"/>
              <w:rPr>
                <w:rFonts w:cs="Arial"/>
                <w:b/>
                <w:bCs/>
                <w:color w:val="000000"/>
                <w:sz w:val="18"/>
                <w:szCs w:val="18"/>
                <w:lang w:eastAsia="fr-FR"/>
              </w:rPr>
            </w:pPr>
          </w:p>
        </w:tc>
        <w:tc>
          <w:tcPr>
            <w:tcW w:w="3335" w:type="dxa"/>
            <w:tcBorders>
              <w:top w:val="nil"/>
              <w:left w:val="nil"/>
              <w:bottom w:val="single" w:sz="4" w:space="0" w:color="auto"/>
              <w:right w:val="single" w:sz="4" w:space="0" w:color="auto"/>
            </w:tcBorders>
            <w:shd w:val="clear" w:color="auto" w:fill="auto"/>
            <w:noWrap/>
            <w:vAlign w:val="center"/>
            <w:hideMark/>
          </w:tcPr>
          <w:p w14:paraId="1CB09A35" w14:textId="77777777" w:rsidR="00F561A7" w:rsidRPr="00A9330B" w:rsidRDefault="00F561A7" w:rsidP="00F561A7">
            <w:pPr>
              <w:spacing w:before="0" w:line="240" w:lineRule="auto"/>
              <w:ind w:firstLineChars="100" w:firstLine="180"/>
              <w:rPr>
                <w:rFonts w:cs="Arial"/>
                <w:color w:val="000000"/>
                <w:sz w:val="18"/>
                <w:szCs w:val="18"/>
                <w:lang w:eastAsia="fr-FR"/>
              </w:rPr>
            </w:pPr>
            <w:r w:rsidRPr="00A9330B">
              <w:rPr>
                <w:rFonts w:cs="Arial"/>
                <w:color w:val="000000"/>
                <w:sz w:val="18"/>
                <w:szCs w:val="18"/>
                <w:lang w:eastAsia="fr-FR"/>
              </w:rPr>
              <w:t>Sociale</w:t>
            </w:r>
          </w:p>
        </w:tc>
        <w:tc>
          <w:tcPr>
            <w:tcW w:w="1940" w:type="dxa"/>
            <w:tcBorders>
              <w:top w:val="nil"/>
              <w:left w:val="nil"/>
              <w:bottom w:val="single" w:sz="4" w:space="0" w:color="auto"/>
              <w:right w:val="single" w:sz="4" w:space="0" w:color="auto"/>
            </w:tcBorders>
            <w:shd w:val="clear" w:color="auto" w:fill="auto"/>
            <w:noWrap/>
            <w:vAlign w:val="center"/>
            <w:hideMark/>
          </w:tcPr>
          <w:p w14:paraId="3E189EAC" w14:textId="77777777" w:rsidR="00F561A7" w:rsidRPr="00A9330B" w:rsidRDefault="00F561A7" w:rsidP="00F561A7">
            <w:pPr>
              <w:spacing w:before="0" w:line="240" w:lineRule="auto"/>
              <w:jc w:val="center"/>
              <w:rPr>
                <w:rFonts w:cs="Arial"/>
                <w:color w:val="000000"/>
                <w:sz w:val="18"/>
                <w:szCs w:val="18"/>
                <w:lang w:eastAsia="fr-FR"/>
              </w:rPr>
            </w:pPr>
            <w:r w:rsidRPr="00A9330B">
              <w:rPr>
                <w:rFonts w:cs="Arial"/>
                <w:color w:val="000000"/>
                <w:sz w:val="18"/>
                <w:szCs w:val="18"/>
                <w:lang w:eastAsia="fr-FR"/>
              </w:rPr>
              <w:t>0,25</w:t>
            </w:r>
          </w:p>
        </w:tc>
      </w:tr>
      <w:tr w:rsidR="00F561A7" w:rsidRPr="00A9330B" w14:paraId="51428835" w14:textId="77777777" w:rsidTr="00F561A7">
        <w:trPr>
          <w:trHeight w:val="288"/>
          <w:jc w:val="center"/>
        </w:trPr>
        <w:tc>
          <w:tcPr>
            <w:tcW w:w="1529" w:type="dxa"/>
            <w:vMerge/>
            <w:tcBorders>
              <w:top w:val="nil"/>
              <w:left w:val="single" w:sz="4" w:space="0" w:color="auto"/>
              <w:bottom w:val="single" w:sz="4" w:space="0" w:color="auto"/>
              <w:right w:val="single" w:sz="4" w:space="0" w:color="auto"/>
            </w:tcBorders>
            <w:vAlign w:val="center"/>
            <w:hideMark/>
          </w:tcPr>
          <w:p w14:paraId="0417CD1D" w14:textId="77777777" w:rsidR="00F561A7" w:rsidRPr="00A9330B" w:rsidRDefault="00F561A7" w:rsidP="00F561A7">
            <w:pPr>
              <w:spacing w:before="0" w:line="240" w:lineRule="auto"/>
              <w:jc w:val="center"/>
              <w:rPr>
                <w:rFonts w:cs="Arial"/>
                <w:b/>
                <w:bCs/>
                <w:color w:val="000000"/>
                <w:sz w:val="18"/>
                <w:szCs w:val="18"/>
                <w:lang w:eastAsia="fr-FR"/>
              </w:rPr>
            </w:pPr>
          </w:p>
        </w:tc>
        <w:tc>
          <w:tcPr>
            <w:tcW w:w="3335" w:type="dxa"/>
            <w:tcBorders>
              <w:top w:val="nil"/>
              <w:left w:val="nil"/>
              <w:bottom w:val="single" w:sz="4" w:space="0" w:color="auto"/>
              <w:right w:val="single" w:sz="4" w:space="0" w:color="auto"/>
            </w:tcBorders>
            <w:shd w:val="clear" w:color="auto" w:fill="auto"/>
            <w:noWrap/>
            <w:vAlign w:val="center"/>
            <w:hideMark/>
          </w:tcPr>
          <w:p w14:paraId="20247ABF" w14:textId="77777777" w:rsidR="00F561A7" w:rsidRPr="00A9330B" w:rsidRDefault="00F561A7" w:rsidP="00F561A7">
            <w:pPr>
              <w:spacing w:before="0" w:line="240" w:lineRule="auto"/>
              <w:ind w:firstLineChars="100" w:firstLine="180"/>
              <w:rPr>
                <w:rFonts w:cs="Arial"/>
                <w:color w:val="000000"/>
                <w:sz w:val="18"/>
                <w:szCs w:val="18"/>
                <w:lang w:eastAsia="fr-FR"/>
              </w:rPr>
            </w:pPr>
            <w:r w:rsidRPr="00A9330B">
              <w:rPr>
                <w:rFonts w:cs="Arial"/>
                <w:color w:val="000000"/>
                <w:sz w:val="18"/>
                <w:szCs w:val="18"/>
                <w:lang w:eastAsia="fr-FR"/>
              </w:rPr>
              <w:t>Soudeur</w:t>
            </w:r>
          </w:p>
        </w:tc>
        <w:tc>
          <w:tcPr>
            <w:tcW w:w="1940" w:type="dxa"/>
            <w:tcBorders>
              <w:top w:val="nil"/>
              <w:left w:val="nil"/>
              <w:bottom w:val="single" w:sz="4" w:space="0" w:color="auto"/>
              <w:right w:val="single" w:sz="4" w:space="0" w:color="auto"/>
            </w:tcBorders>
            <w:shd w:val="clear" w:color="auto" w:fill="auto"/>
            <w:noWrap/>
            <w:vAlign w:val="center"/>
            <w:hideMark/>
          </w:tcPr>
          <w:p w14:paraId="3285C77B" w14:textId="77777777" w:rsidR="00F561A7" w:rsidRPr="00A9330B" w:rsidRDefault="00F561A7" w:rsidP="00F561A7">
            <w:pPr>
              <w:spacing w:before="0" w:line="240" w:lineRule="auto"/>
              <w:jc w:val="center"/>
              <w:rPr>
                <w:rFonts w:cs="Arial"/>
                <w:color w:val="000000"/>
                <w:sz w:val="18"/>
                <w:szCs w:val="18"/>
                <w:lang w:eastAsia="fr-FR"/>
              </w:rPr>
            </w:pPr>
            <w:r w:rsidRPr="00A9330B">
              <w:rPr>
                <w:rFonts w:cs="Arial"/>
                <w:color w:val="000000"/>
                <w:sz w:val="18"/>
                <w:szCs w:val="18"/>
                <w:lang w:eastAsia="fr-FR"/>
              </w:rPr>
              <w:t>0,99</w:t>
            </w:r>
          </w:p>
        </w:tc>
      </w:tr>
      <w:tr w:rsidR="00F561A7" w:rsidRPr="00A9330B" w14:paraId="1BEAABFF" w14:textId="77777777" w:rsidTr="00F561A7">
        <w:trPr>
          <w:trHeight w:val="288"/>
          <w:jc w:val="center"/>
        </w:trPr>
        <w:tc>
          <w:tcPr>
            <w:tcW w:w="1529" w:type="dxa"/>
            <w:vMerge/>
            <w:tcBorders>
              <w:top w:val="nil"/>
              <w:left w:val="single" w:sz="4" w:space="0" w:color="auto"/>
              <w:bottom w:val="single" w:sz="4" w:space="0" w:color="auto"/>
              <w:right w:val="single" w:sz="4" w:space="0" w:color="auto"/>
            </w:tcBorders>
            <w:vAlign w:val="center"/>
            <w:hideMark/>
          </w:tcPr>
          <w:p w14:paraId="007040E2" w14:textId="77777777" w:rsidR="00F561A7" w:rsidRPr="00A9330B" w:rsidRDefault="00F561A7" w:rsidP="00F561A7">
            <w:pPr>
              <w:spacing w:before="0" w:line="240" w:lineRule="auto"/>
              <w:jc w:val="center"/>
              <w:rPr>
                <w:rFonts w:cs="Arial"/>
                <w:b/>
                <w:bCs/>
                <w:color w:val="000000"/>
                <w:sz w:val="18"/>
                <w:szCs w:val="18"/>
                <w:lang w:eastAsia="fr-FR"/>
              </w:rPr>
            </w:pPr>
          </w:p>
        </w:tc>
        <w:tc>
          <w:tcPr>
            <w:tcW w:w="3335" w:type="dxa"/>
            <w:tcBorders>
              <w:top w:val="nil"/>
              <w:left w:val="nil"/>
              <w:bottom w:val="single" w:sz="4" w:space="0" w:color="auto"/>
              <w:right w:val="single" w:sz="4" w:space="0" w:color="auto"/>
            </w:tcBorders>
            <w:shd w:val="clear" w:color="auto" w:fill="auto"/>
            <w:noWrap/>
            <w:vAlign w:val="center"/>
            <w:hideMark/>
          </w:tcPr>
          <w:p w14:paraId="6D75D998" w14:textId="77777777" w:rsidR="00F561A7" w:rsidRPr="00A9330B" w:rsidRDefault="00F561A7" w:rsidP="00F561A7">
            <w:pPr>
              <w:spacing w:before="0" w:line="240" w:lineRule="auto"/>
              <w:ind w:firstLineChars="100" w:firstLine="180"/>
              <w:rPr>
                <w:rFonts w:cs="Arial"/>
                <w:color w:val="000000"/>
                <w:sz w:val="18"/>
                <w:szCs w:val="18"/>
                <w:lang w:eastAsia="fr-FR"/>
              </w:rPr>
            </w:pPr>
            <w:r w:rsidRPr="00A9330B">
              <w:rPr>
                <w:rFonts w:cs="Arial"/>
                <w:color w:val="000000"/>
                <w:sz w:val="18"/>
                <w:szCs w:val="18"/>
                <w:lang w:eastAsia="fr-FR"/>
              </w:rPr>
              <w:t>Soudure</w:t>
            </w:r>
          </w:p>
        </w:tc>
        <w:tc>
          <w:tcPr>
            <w:tcW w:w="1940" w:type="dxa"/>
            <w:tcBorders>
              <w:top w:val="nil"/>
              <w:left w:val="nil"/>
              <w:bottom w:val="single" w:sz="4" w:space="0" w:color="auto"/>
              <w:right w:val="single" w:sz="4" w:space="0" w:color="auto"/>
            </w:tcBorders>
            <w:shd w:val="clear" w:color="auto" w:fill="auto"/>
            <w:noWrap/>
            <w:vAlign w:val="center"/>
            <w:hideMark/>
          </w:tcPr>
          <w:p w14:paraId="5D297E99" w14:textId="77777777" w:rsidR="00F561A7" w:rsidRPr="00A9330B" w:rsidRDefault="00F561A7" w:rsidP="00F561A7">
            <w:pPr>
              <w:spacing w:before="0" w:line="240" w:lineRule="auto"/>
              <w:jc w:val="center"/>
              <w:rPr>
                <w:rFonts w:cs="Arial"/>
                <w:color w:val="000000"/>
                <w:sz w:val="18"/>
                <w:szCs w:val="18"/>
                <w:lang w:eastAsia="fr-FR"/>
              </w:rPr>
            </w:pPr>
            <w:r w:rsidRPr="00A9330B">
              <w:rPr>
                <w:rFonts w:cs="Arial"/>
                <w:color w:val="000000"/>
                <w:sz w:val="18"/>
                <w:szCs w:val="18"/>
                <w:lang w:eastAsia="fr-FR"/>
              </w:rPr>
              <w:t>0,74</w:t>
            </w:r>
          </w:p>
        </w:tc>
      </w:tr>
      <w:tr w:rsidR="00F561A7" w:rsidRPr="00A9330B" w14:paraId="5D8F766B" w14:textId="77777777" w:rsidTr="00F561A7">
        <w:trPr>
          <w:trHeight w:val="288"/>
          <w:jc w:val="center"/>
        </w:trPr>
        <w:tc>
          <w:tcPr>
            <w:tcW w:w="1529" w:type="dxa"/>
            <w:vMerge/>
            <w:tcBorders>
              <w:top w:val="nil"/>
              <w:left w:val="single" w:sz="4" w:space="0" w:color="auto"/>
              <w:bottom w:val="single" w:sz="4" w:space="0" w:color="auto"/>
              <w:right w:val="single" w:sz="4" w:space="0" w:color="auto"/>
            </w:tcBorders>
            <w:vAlign w:val="center"/>
            <w:hideMark/>
          </w:tcPr>
          <w:p w14:paraId="14D50525" w14:textId="77777777" w:rsidR="00F561A7" w:rsidRPr="00A9330B" w:rsidRDefault="00F561A7" w:rsidP="00F561A7">
            <w:pPr>
              <w:spacing w:before="0" w:line="240" w:lineRule="auto"/>
              <w:jc w:val="center"/>
              <w:rPr>
                <w:rFonts w:cs="Arial"/>
                <w:b/>
                <w:bCs/>
                <w:color w:val="000000"/>
                <w:sz w:val="18"/>
                <w:szCs w:val="18"/>
                <w:lang w:eastAsia="fr-FR"/>
              </w:rPr>
            </w:pPr>
          </w:p>
        </w:tc>
        <w:tc>
          <w:tcPr>
            <w:tcW w:w="3335" w:type="dxa"/>
            <w:tcBorders>
              <w:top w:val="nil"/>
              <w:left w:val="nil"/>
              <w:bottom w:val="single" w:sz="4" w:space="0" w:color="auto"/>
              <w:right w:val="single" w:sz="4" w:space="0" w:color="auto"/>
            </w:tcBorders>
            <w:shd w:val="clear" w:color="auto" w:fill="auto"/>
            <w:noWrap/>
            <w:vAlign w:val="center"/>
            <w:hideMark/>
          </w:tcPr>
          <w:p w14:paraId="4B331610" w14:textId="77777777" w:rsidR="00F561A7" w:rsidRPr="00A9330B" w:rsidRDefault="00F561A7" w:rsidP="00F561A7">
            <w:pPr>
              <w:spacing w:before="0" w:line="240" w:lineRule="auto"/>
              <w:ind w:firstLineChars="100" w:firstLine="180"/>
              <w:rPr>
                <w:rFonts w:cs="Arial"/>
                <w:color w:val="000000"/>
                <w:sz w:val="18"/>
                <w:szCs w:val="18"/>
                <w:lang w:eastAsia="fr-FR"/>
              </w:rPr>
            </w:pPr>
            <w:r w:rsidRPr="00A9330B">
              <w:rPr>
                <w:rFonts w:cs="Arial"/>
                <w:color w:val="000000"/>
                <w:sz w:val="18"/>
                <w:szCs w:val="18"/>
                <w:lang w:eastAsia="fr-FR"/>
              </w:rPr>
              <w:t>Technicien</w:t>
            </w:r>
          </w:p>
        </w:tc>
        <w:tc>
          <w:tcPr>
            <w:tcW w:w="1940" w:type="dxa"/>
            <w:tcBorders>
              <w:top w:val="nil"/>
              <w:left w:val="nil"/>
              <w:bottom w:val="single" w:sz="4" w:space="0" w:color="auto"/>
              <w:right w:val="single" w:sz="4" w:space="0" w:color="auto"/>
            </w:tcBorders>
            <w:shd w:val="clear" w:color="auto" w:fill="auto"/>
            <w:noWrap/>
            <w:vAlign w:val="center"/>
            <w:hideMark/>
          </w:tcPr>
          <w:p w14:paraId="01E23171" w14:textId="77777777" w:rsidR="00F561A7" w:rsidRPr="00A9330B" w:rsidRDefault="00F561A7" w:rsidP="00F561A7">
            <w:pPr>
              <w:spacing w:before="0" w:line="240" w:lineRule="auto"/>
              <w:jc w:val="center"/>
              <w:rPr>
                <w:rFonts w:cs="Arial"/>
                <w:color w:val="000000"/>
                <w:sz w:val="18"/>
                <w:szCs w:val="18"/>
                <w:lang w:eastAsia="fr-FR"/>
              </w:rPr>
            </w:pPr>
            <w:r w:rsidRPr="00A9330B">
              <w:rPr>
                <w:rFonts w:cs="Arial"/>
                <w:color w:val="000000"/>
                <w:sz w:val="18"/>
                <w:szCs w:val="18"/>
                <w:lang w:eastAsia="fr-FR"/>
              </w:rPr>
              <w:t>0,74</w:t>
            </w:r>
          </w:p>
        </w:tc>
      </w:tr>
      <w:tr w:rsidR="00F561A7" w:rsidRPr="00A9330B" w14:paraId="34EC0F4B" w14:textId="77777777" w:rsidTr="00F561A7">
        <w:trPr>
          <w:trHeight w:val="288"/>
          <w:jc w:val="center"/>
        </w:trPr>
        <w:tc>
          <w:tcPr>
            <w:tcW w:w="1529" w:type="dxa"/>
            <w:vMerge/>
            <w:tcBorders>
              <w:top w:val="nil"/>
              <w:left w:val="single" w:sz="4" w:space="0" w:color="auto"/>
              <w:bottom w:val="single" w:sz="4" w:space="0" w:color="auto"/>
              <w:right w:val="single" w:sz="4" w:space="0" w:color="auto"/>
            </w:tcBorders>
            <w:vAlign w:val="center"/>
            <w:hideMark/>
          </w:tcPr>
          <w:p w14:paraId="63BED3D1" w14:textId="77777777" w:rsidR="00F561A7" w:rsidRPr="00A9330B" w:rsidRDefault="00F561A7" w:rsidP="00F561A7">
            <w:pPr>
              <w:spacing w:before="0" w:line="240" w:lineRule="auto"/>
              <w:jc w:val="center"/>
              <w:rPr>
                <w:rFonts w:cs="Arial"/>
                <w:b/>
                <w:bCs/>
                <w:color w:val="000000"/>
                <w:sz w:val="18"/>
                <w:szCs w:val="18"/>
                <w:lang w:eastAsia="fr-FR"/>
              </w:rPr>
            </w:pPr>
          </w:p>
        </w:tc>
        <w:tc>
          <w:tcPr>
            <w:tcW w:w="3335" w:type="dxa"/>
            <w:tcBorders>
              <w:top w:val="nil"/>
              <w:left w:val="nil"/>
              <w:bottom w:val="single" w:sz="4" w:space="0" w:color="auto"/>
              <w:right w:val="single" w:sz="4" w:space="0" w:color="auto"/>
            </w:tcBorders>
            <w:shd w:val="clear" w:color="auto" w:fill="auto"/>
            <w:noWrap/>
            <w:vAlign w:val="center"/>
            <w:hideMark/>
          </w:tcPr>
          <w:p w14:paraId="2AD0EDD1" w14:textId="77777777" w:rsidR="00F561A7" w:rsidRPr="00A9330B" w:rsidRDefault="00F561A7" w:rsidP="00F561A7">
            <w:pPr>
              <w:spacing w:before="0" w:line="240" w:lineRule="auto"/>
              <w:ind w:firstLineChars="100" w:firstLine="180"/>
              <w:rPr>
                <w:rFonts w:cs="Arial"/>
                <w:color w:val="000000"/>
                <w:sz w:val="18"/>
                <w:szCs w:val="18"/>
                <w:lang w:eastAsia="fr-FR"/>
              </w:rPr>
            </w:pPr>
            <w:r w:rsidRPr="00A9330B">
              <w:rPr>
                <w:rFonts w:cs="Arial"/>
                <w:color w:val="000000"/>
                <w:sz w:val="18"/>
                <w:szCs w:val="18"/>
                <w:lang w:eastAsia="fr-FR"/>
              </w:rPr>
              <w:t>Topographe</w:t>
            </w:r>
          </w:p>
        </w:tc>
        <w:tc>
          <w:tcPr>
            <w:tcW w:w="1940" w:type="dxa"/>
            <w:tcBorders>
              <w:top w:val="nil"/>
              <w:left w:val="nil"/>
              <w:bottom w:val="single" w:sz="4" w:space="0" w:color="auto"/>
              <w:right w:val="single" w:sz="4" w:space="0" w:color="auto"/>
            </w:tcBorders>
            <w:shd w:val="clear" w:color="auto" w:fill="auto"/>
            <w:noWrap/>
            <w:vAlign w:val="center"/>
            <w:hideMark/>
          </w:tcPr>
          <w:p w14:paraId="2C402C31" w14:textId="77777777" w:rsidR="00F561A7" w:rsidRPr="00A9330B" w:rsidRDefault="00F561A7" w:rsidP="00F561A7">
            <w:pPr>
              <w:spacing w:before="0" w:line="240" w:lineRule="auto"/>
              <w:jc w:val="center"/>
              <w:rPr>
                <w:rFonts w:cs="Arial"/>
                <w:color w:val="000000"/>
                <w:sz w:val="18"/>
                <w:szCs w:val="18"/>
                <w:lang w:eastAsia="fr-FR"/>
              </w:rPr>
            </w:pPr>
            <w:r w:rsidRPr="00A9330B">
              <w:rPr>
                <w:rFonts w:cs="Arial"/>
                <w:color w:val="000000"/>
                <w:sz w:val="18"/>
                <w:szCs w:val="18"/>
                <w:lang w:eastAsia="fr-FR"/>
              </w:rPr>
              <w:t>0,25</w:t>
            </w:r>
          </w:p>
        </w:tc>
      </w:tr>
      <w:tr w:rsidR="00F561A7" w:rsidRPr="00A9330B" w14:paraId="458DD525" w14:textId="77777777" w:rsidTr="00F561A7">
        <w:trPr>
          <w:trHeight w:val="288"/>
          <w:jc w:val="center"/>
        </w:trPr>
        <w:tc>
          <w:tcPr>
            <w:tcW w:w="1529" w:type="dxa"/>
            <w:vMerge/>
            <w:tcBorders>
              <w:top w:val="nil"/>
              <w:left w:val="single" w:sz="4" w:space="0" w:color="auto"/>
              <w:bottom w:val="single" w:sz="4" w:space="0" w:color="auto"/>
              <w:right w:val="single" w:sz="4" w:space="0" w:color="auto"/>
            </w:tcBorders>
            <w:vAlign w:val="center"/>
            <w:hideMark/>
          </w:tcPr>
          <w:p w14:paraId="5F1392A0" w14:textId="77777777" w:rsidR="00F561A7" w:rsidRPr="00A9330B" w:rsidRDefault="00F561A7" w:rsidP="00F561A7">
            <w:pPr>
              <w:spacing w:before="0" w:line="240" w:lineRule="auto"/>
              <w:jc w:val="center"/>
              <w:rPr>
                <w:rFonts w:cs="Arial"/>
                <w:b/>
                <w:bCs/>
                <w:color w:val="000000"/>
                <w:sz w:val="18"/>
                <w:szCs w:val="18"/>
                <w:lang w:eastAsia="fr-FR"/>
              </w:rPr>
            </w:pPr>
          </w:p>
        </w:tc>
        <w:tc>
          <w:tcPr>
            <w:tcW w:w="3335" w:type="dxa"/>
            <w:tcBorders>
              <w:top w:val="nil"/>
              <w:left w:val="nil"/>
              <w:bottom w:val="single" w:sz="4" w:space="0" w:color="auto"/>
              <w:right w:val="single" w:sz="4" w:space="0" w:color="auto"/>
            </w:tcBorders>
            <w:shd w:val="clear" w:color="auto" w:fill="auto"/>
            <w:noWrap/>
            <w:vAlign w:val="center"/>
            <w:hideMark/>
          </w:tcPr>
          <w:p w14:paraId="0CECF0ED" w14:textId="77777777" w:rsidR="00F561A7" w:rsidRPr="00A9330B" w:rsidRDefault="00F561A7" w:rsidP="00F561A7">
            <w:pPr>
              <w:spacing w:before="0" w:line="240" w:lineRule="auto"/>
              <w:ind w:firstLineChars="100" w:firstLine="180"/>
              <w:rPr>
                <w:rFonts w:cs="Arial"/>
                <w:color w:val="000000"/>
                <w:sz w:val="18"/>
                <w:szCs w:val="18"/>
                <w:lang w:eastAsia="fr-FR"/>
              </w:rPr>
            </w:pPr>
            <w:r w:rsidRPr="00A9330B">
              <w:rPr>
                <w:rFonts w:cs="Arial"/>
                <w:color w:val="000000"/>
                <w:sz w:val="18"/>
                <w:szCs w:val="18"/>
                <w:lang w:eastAsia="fr-FR"/>
              </w:rPr>
              <w:t>Transporteur</w:t>
            </w:r>
          </w:p>
        </w:tc>
        <w:tc>
          <w:tcPr>
            <w:tcW w:w="1940" w:type="dxa"/>
            <w:tcBorders>
              <w:top w:val="nil"/>
              <w:left w:val="nil"/>
              <w:bottom w:val="single" w:sz="4" w:space="0" w:color="auto"/>
              <w:right w:val="single" w:sz="4" w:space="0" w:color="auto"/>
            </w:tcBorders>
            <w:shd w:val="clear" w:color="auto" w:fill="auto"/>
            <w:noWrap/>
            <w:vAlign w:val="center"/>
            <w:hideMark/>
          </w:tcPr>
          <w:p w14:paraId="78E35DAE" w14:textId="77777777" w:rsidR="00F561A7" w:rsidRPr="00A9330B" w:rsidRDefault="00F561A7" w:rsidP="00F561A7">
            <w:pPr>
              <w:spacing w:before="0" w:line="240" w:lineRule="auto"/>
              <w:jc w:val="center"/>
              <w:rPr>
                <w:rFonts w:cs="Arial"/>
                <w:color w:val="000000"/>
                <w:sz w:val="18"/>
                <w:szCs w:val="18"/>
                <w:lang w:eastAsia="fr-FR"/>
              </w:rPr>
            </w:pPr>
            <w:r w:rsidRPr="00A9330B">
              <w:rPr>
                <w:rFonts w:cs="Arial"/>
                <w:color w:val="000000"/>
                <w:sz w:val="18"/>
                <w:szCs w:val="18"/>
                <w:lang w:eastAsia="fr-FR"/>
              </w:rPr>
              <w:t>0,25</w:t>
            </w:r>
          </w:p>
        </w:tc>
      </w:tr>
      <w:tr w:rsidR="00F561A7" w:rsidRPr="00A9330B" w14:paraId="32C0AC98" w14:textId="77777777" w:rsidTr="00F561A7">
        <w:trPr>
          <w:trHeight w:val="288"/>
          <w:jc w:val="center"/>
        </w:trPr>
        <w:tc>
          <w:tcPr>
            <w:tcW w:w="1529" w:type="dxa"/>
            <w:vMerge/>
            <w:tcBorders>
              <w:top w:val="nil"/>
              <w:left w:val="single" w:sz="4" w:space="0" w:color="auto"/>
              <w:bottom w:val="single" w:sz="4" w:space="0" w:color="auto"/>
              <w:right w:val="single" w:sz="4" w:space="0" w:color="auto"/>
            </w:tcBorders>
            <w:vAlign w:val="center"/>
            <w:hideMark/>
          </w:tcPr>
          <w:p w14:paraId="6D36CCDF" w14:textId="77777777" w:rsidR="00F561A7" w:rsidRPr="00A9330B" w:rsidRDefault="00F561A7" w:rsidP="00F561A7">
            <w:pPr>
              <w:spacing w:before="0" w:line="240" w:lineRule="auto"/>
              <w:jc w:val="center"/>
              <w:rPr>
                <w:rFonts w:cs="Arial"/>
                <w:b/>
                <w:bCs/>
                <w:color w:val="000000"/>
                <w:sz w:val="18"/>
                <w:szCs w:val="18"/>
                <w:lang w:eastAsia="fr-FR"/>
              </w:rPr>
            </w:pPr>
          </w:p>
        </w:tc>
        <w:tc>
          <w:tcPr>
            <w:tcW w:w="3335" w:type="dxa"/>
            <w:tcBorders>
              <w:top w:val="nil"/>
              <w:left w:val="nil"/>
              <w:bottom w:val="single" w:sz="4" w:space="0" w:color="auto"/>
              <w:right w:val="single" w:sz="4" w:space="0" w:color="auto"/>
            </w:tcBorders>
            <w:shd w:val="clear" w:color="auto" w:fill="auto"/>
            <w:noWrap/>
            <w:vAlign w:val="center"/>
            <w:hideMark/>
          </w:tcPr>
          <w:p w14:paraId="6A5E7E72" w14:textId="77777777" w:rsidR="00F561A7" w:rsidRPr="00A9330B" w:rsidRDefault="00F561A7" w:rsidP="00F561A7">
            <w:pPr>
              <w:spacing w:before="0" w:line="240" w:lineRule="auto"/>
              <w:ind w:firstLineChars="100" w:firstLine="180"/>
              <w:rPr>
                <w:rFonts w:cs="Arial"/>
                <w:color w:val="000000"/>
                <w:sz w:val="18"/>
                <w:szCs w:val="18"/>
                <w:lang w:eastAsia="fr-FR"/>
              </w:rPr>
            </w:pPr>
            <w:r w:rsidRPr="00A9330B">
              <w:rPr>
                <w:rFonts w:cs="Arial"/>
                <w:color w:val="000000"/>
                <w:sz w:val="18"/>
                <w:szCs w:val="18"/>
                <w:lang w:eastAsia="fr-FR"/>
              </w:rPr>
              <w:t xml:space="preserve"> Autres</w:t>
            </w:r>
          </w:p>
        </w:tc>
        <w:tc>
          <w:tcPr>
            <w:tcW w:w="1940" w:type="dxa"/>
            <w:tcBorders>
              <w:top w:val="nil"/>
              <w:left w:val="nil"/>
              <w:bottom w:val="single" w:sz="4" w:space="0" w:color="auto"/>
              <w:right w:val="single" w:sz="4" w:space="0" w:color="auto"/>
            </w:tcBorders>
            <w:shd w:val="clear" w:color="auto" w:fill="auto"/>
            <w:noWrap/>
            <w:vAlign w:val="center"/>
            <w:hideMark/>
          </w:tcPr>
          <w:p w14:paraId="4625C9EF" w14:textId="77777777" w:rsidR="00F561A7" w:rsidRPr="00A9330B" w:rsidRDefault="00F561A7" w:rsidP="00F561A7">
            <w:pPr>
              <w:spacing w:before="0" w:line="240" w:lineRule="auto"/>
              <w:jc w:val="center"/>
              <w:rPr>
                <w:rFonts w:cs="Arial"/>
                <w:color w:val="000000"/>
                <w:sz w:val="18"/>
                <w:szCs w:val="18"/>
                <w:lang w:eastAsia="fr-FR"/>
              </w:rPr>
            </w:pPr>
            <w:r w:rsidRPr="00A9330B">
              <w:rPr>
                <w:rFonts w:cs="Arial"/>
                <w:color w:val="000000"/>
                <w:sz w:val="18"/>
                <w:szCs w:val="18"/>
                <w:lang w:eastAsia="fr-FR"/>
              </w:rPr>
              <w:t>0,25</w:t>
            </w:r>
          </w:p>
        </w:tc>
      </w:tr>
      <w:tr w:rsidR="00F561A7" w:rsidRPr="00A9330B" w14:paraId="40CEA05C" w14:textId="77777777" w:rsidTr="00F561A7">
        <w:trPr>
          <w:trHeight w:val="288"/>
          <w:jc w:val="center"/>
        </w:trPr>
        <w:tc>
          <w:tcPr>
            <w:tcW w:w="1529" w:type="dxa"/>
            <w:vMerge/>
            <w:tcBorders>
              <w:top w:val="nil"/>
              <w:left w:val="single" w:sz="4" w:space="0" w:color="auto"/>
              <w:bottom w:val="single" w:sz="4" w:space="0" w:color="auto"/>
              <w:right w:val="single" w:sz="4" w:space="0" w:color="auto"/>
            </w:tcBorders>
            <w:vAlign w:val="center"/>
            <w:hideMark/>
          </w:tcPr>
          <w:p w14:paraId="24AA03BC" w14:textId="77777777" w:rsidR="00F561A7" w:rsidRPr="00A9330B" w:rsidRDefault="00F561A7" w:rsidP="00F561A7">
            <w:pPr>
              <w:spacing w:before="0" w:line="240" w:lineRule="auto"/>
              <w:jc w:val="center"/>
              <w:rPr>
                <w:rFonts w:cs="Arial"/>
                <w:b/>
                <w:bCs/>
                <w:color w:val="000000"/>
                <w:sz w:val="18"/>
                <w:szCs w:val="18"/>
                <w:lang w:eastAsia="fr-FR"/>
              </w:rPr>
            </w:pPr>
          </w:p>
        </w:tc>
        <w:tc>
          <w:tcPr>
            <w:tcW w:w="3335" w:type="dxa"/>
            <w:tcBorders>
              <w:top w:val="nil"/>
              <w:left w:val="nil"/>
              <w:bottom w:val="single" w:sz="4" w:space="0" w:color="auto"/>
              <w:right w:val="single" w:sz="4" w:space="0" w:color="auto"/>
            </w:tcBorders>
            <w:shd w:val="clear" w:color="auto" w:fill="auto"/>
            <w:noWrap/>
            <w:vAlign w:val="center"/>
            <w:hideMark/>
          </w:tcPr>
          <w:p w14:paraId="295E05D6" w14:textId="77777777" w:rsidR="00F561A7" w:rsidRPr="00A9330B" w:rsidRDefault="00F561A7" w:rsidP="00F561A7">
            <w:pPr>
              <w:spacing w:before="0" w:line="240" w:lineRule="auto"/>
              <w:ind w:firstLineChars="100" w:firstLine="180"/>
              <w:rPr>
                <w:rFonts w:cs="Arial"/>
                <w:color w:val="000000"/>
                <w:sz w:val="18"/>
                <w:szCs w:val="18"/>
                <w:lang w:eastAsia="fr-FR"/>
              </w:rPr>
            </w:pPr>
            <w:r w:rsidRPr="00A9330B">
              <w:rPr>
                <w:rFonts w:cs="Arial"/>
                <w:color w:val="000000"/>
                <w:sz w:val="18"/>
                <w:szCs w:val="18"/>
                <w:lang w:eastAsia="fr-FR"/>
              </w:rPr>
              <w:t>Vulcanisateur</w:t>
            </w:r>
          </w:p>
        </w:tc>
        <w:tc>
          <w:tcPr>
            <w:tcW w:w="1940" w:type="dxa"/>
            <w:tcBorders>
              <w:top w:val="nil"/>
              <w:left w:val="nil"/>
              <w:bottom w:val="single" w:sz="4" w:space="0" w:color="auto"/>
              <w:right w:val="single" w:sz="4" w:space="0" w:color="auto"/>
            </w:tcBorders>
            <w:shd w:val="clear" w:color="auto" w:fill="auto"/>
            <w:noWrap/>
            <w:vAlign w:val="center"/>
            <w:hideMark/>
          </w:tcPr>
          <w:p w14:paraId="1712A19C" w14:textId="77777777" w:rsidR="00F561A7" w:rsidRPr="00A9330B" w:rsidRDefault="00F561A7" w:rsidP="00F561A7">
            <w:pPr>
              <w:spacing w:before="0" w:line="240" w:lineRule="auto"/>
              <w:jc w:val="center"/>
              <w:rPr>
                <w:rFonts w:cs="Arial"/>
                <w:color w:val="000000"/>
                <w:sz w:val="18"/>
                <w:szCs w:val="18"/>
                <w:lang w:eastAsia="fr-FR"/>
              </w:rPr>
            </w:pPr>
            <w:r w:rsidRPr="00A9330B">
              <w:rPr>
                <w:rFonts w:cs="Arial"/>
                <w:color w:val="000000"/>
                <w:sz w:val="18"/>
                <w:szCs w:val="18"/>
                <w:lang w:eastAsia="fr-FR"/>
              </w:rPr>
              <w:t>0,49</w:t>
            </w:r>
          </w:p>
        </w:tc>
      </w:tr>
      <w:tr w:rsidR="00F561A7" w:rsidRPr="00A9330B" w14:paraId="2EA9E0A1" w14:textId="77777777" w:rsidTr="00F561A7">
        <w:trPr>
          <w:trHeight w:val="288"/>
          <w:jc w:val="center"/>
        </w:trPr>
        <w:tc>
          <w:tcPr>
            <w:tcW w:w="1529" w:type="dxa"/>
            <w:vMerge/>
            <w:tcBorders>
              <w:top w:val="nil"/>
              <w:left w:val="single" w:sz="4" w:space="0" w:color="auto"/>
              <w:bottom w:val="single" w:sz="4" w:space="0" w:color="auto"/>
              <w:right w:val="single" w:sz="4" w:space="0" w:color="auto"/>
            </w:tcBorders>
            <w:vAlign w:val="center"/>
            <w:hideMark/>
          </w:tcPr>
          <w:p w14:paraId="51EAB639" w14:textId="77777777" w:rsidR="00F561A7" w:rsidRPr="00A9330B" w:rsidRDefault="00F561A7" w:rsidP="00F561A7">
            <w:pPr>
              <w:spacing w:before="0" w:line="240" w:lineRule="auto"/>
              <w:jc w:val="center"/>
              <w:rPr>
                <w:rFonts w:cs="Arial"/>
                <w:b/>
                <w:bCs/>
                <w:color w:val="000000"/>
                <w:sz w:val="18"/>
                <w:szCs w:val="18"/>
                <w:lang w:eastAsia="fr-FR"/>
              </w:rPr>
            </w:pPr>
          </w:p>
        </w:tc>
        <w:tc>
          <w:tcPr>
            <w:tcW w:w="3335" w:type="dxa"/>
            <w:tcBorders>
              <w:top w:val="nil"/>
              <w:left w:val="nil"/>
              <w:bottom w:val="single" w:sz="4" w:space="0" w:color="auto"/>
              <w:right w:val="single" w:sz="4" w:space="0" w:color="auto"/>
            </w:tcBorders>
            <w:shd w:val="clear" w:color="auto" w:fill="auto"/>
            <w:noWrap/>
            <w:vAlign w:val="center"/>
            <w:hideMark/>
          </w:tcPr>
          <w:p w14:paraId="345D8984" w14:textId="77777777" w:rsidR="00F561A7" w:rsidRPr="00A9330B" w:rsidRDefault="00F561A7" w:rsidP="00F561A7">
            <w:pPr>
              <w:spacing w:before="0" w:line="240" w:lineRule="auto"/>
              <w:ind w:firstLineChars="100" w:firstLine="180"/>
              <w:rPr>
                <w:rFonts w:cs="Arial"/>
                <w:color w:val="000000"/>
                <w:sz w:val="18"/>
                <w:szCs w:val="18"/>
                <w:lang w:eastAsia="fr-FR"/>
              </w:rPr>
            </w:pPr>
            <w:r w:rsidRPr="00A9330B">
              <w:rPr>
                <w:rFonts w:cs="Arial"/>
                <w:color w:val="000000"/>
                <w:sz w:val="18"/>
                <w:szCs w:val="18"/>
                <w:lang w:eastAsia="fr-FR"/>
              </w:rPr>
              <w:t>Coiffeuse/ Coiffeur</w:t>
            </w:r>
          </w:p>
        </w:tc>
        <w:tc>
          <w:tcPr>
            <w:tcW w:w="1940" w:type="dxa"/>
            <w:tcBorders>
              <w:top w:val="nil"/>
              <w:left w:val="nil"/>
              <w:bottom w:val="single" w:sz="4" w:space="0" w:color="auto"/>
              <w:right w:val="single" w:sz="4" w:space="0" w:color="auto"/>
            </w:tcBorders>
            <w:shd w:val="clear" w:color="auto" w:fill="auto"/>
            <w:noWrap/>
            <w:vAlign w:val="center"/>
            <w:hideMark/>
          </w:tcPr>
          <w:p w14:paraId="03715A82" w14:textId="77777777" w:rsidR="00F561A7" w:rsidRPr="00A9330B" w:rsidRDefault="00F561A7" w:rsidP="00F561A7">
            <w:pPr>
              <w:spacing w:before="0" w:line="240" w:lineRule="auto"/>
              <w:jc w:val="center"/>
              <w:rPr>
                <w:rFonts w:cs="Arial"/>
                <w:color w:val="000000"/>
                <w:sz w:val="18"/>
                <w:szCs w:val="18"/>
                <w:lang w:eastAsia="fr-FR"/>
              </w:rPr>
            </w:pPr>
            <w:r w:rsidRPr="00A9330B">
              <w:rPr>
                <w:rFonts w:cs="Arial"/>
                <w:color w:val="000000"/>
                <w:sz w:val="18"/>
                <w:szCs w:val="18"/>
                <w:lang w:eastAsia="fr-FR"/>
              </w:rPr>
              <w:t>0,25</w:t>
            </w:r>
          </w:p>
        </w:tc>
      </w:tr>
      <w:tr w:rsidR="00F561A7" w:rsidRPr="00A9330B" w14:paraId="5C4C5648" w14:textId="77777777" w:rsidTr="00F561A7">
        <w:trPr>
          <w:trHeight w:val="288"/>
          <w:jc w:val="center"/>
        </w:trPr>
        <w:tc>
          <w:tcPr>
            <w:tcW w:w="1529" w:type="dxa"/>
            <w:vMerge/>
            <w:tcBorders>
              <w:top w:val="nil"/>
              <w:left w:val="single" w:sz="4" w:space="0" w:color="auto"/>
              <w:bottom w:val="single" w:sz="4" w:space="0" w:color="auto"/>
              <w:right w:val="single" w:sz="4" w:space="0" w:color="auto"/>
            </w:tcBorders>
            <w:vAlign w:val="center"/>
            <w:hideMark/>
          </w:tcPr>
          <w:p w14:paraId="461B4B31" w14:textId="77777777" w:rsidR="00F561A7" w:rsidRPr="00A9330B" w:rsidRDefault="00F561A7" w:rsidP="00F561A7">
            <w:pPr>
              <w:spacing w:before="0" w:line="240" w:lineRule="auto"/>
              <w:jc w:val="center"/>
              <w:rPr>
                <w:rFonts w:cs="Arial"/>
                <w:b/>
                <w:bCs/>
                <w:color w:val="000000"/>
                <w:sz w:val="18"/>
                <w:szCs w:val="18"/>
                <w:lang w:eastAsia="fr-FR"/>
              </w:rPr>
            </w:pPr>
          </w:p>
        </w:tc>
        <w:tc>
          <w:tcPr>
            <w:tcW w:w="3335" w:type="dxa"/>
            <w:tcBorders>
              <w:top w:val="nil"/>
              <w:left w:val="nil"/>
              <w:bottom w:val="single" w:sz="4" w:space="0" w:color="auto"/>
              <w:right w:val="single" w:sz="4" w:space="0" w:color="auto"/>
            </w:tcBorders>
            <w:shd w:val="clear" w:color="auto" w:fill="auto"/>
            <w:noWrap/>
            <w:vAlign w:val="center"/>
            <w:hideMark/>
          </w:tcPr>
          <w:p w14:paraId="20207450" w14:textId="77777777" w:rsidR="00F561A7" w:rsidRPr="00A9330B" w:rsidRDefault="00F561A7" w:rsidP="00F561A7">
            <w:pPr>
              <w:spacing w:before="0" w:line="240" w:lineRule="auto"/>
              <w:ind w:firstLineChars="100" w:firstLine="180"/>
              <w:rPr>
                <w:rFonts w:cs="Arial"/>
                <w:color w:val="000000"/>
                <w:sz w:val="18"/>
                <w:szCs w:val="18"/>
                <w:lang w:eastAsia="fr-FR"/>
              </w:rPr>
            </w:pPr>
            <w:r w:rsidRPr="00A9330B">
              <w:rPr>
                <w:rFonts w:cs="Arial"/>
                <w:color w:val="000000"/>
                <w:sz w:val="18"/>
                <w:szCs w:val="18"/>
                <w:lang w:eastAsia="fr-FR"/>
              </w:rPr>
              <w:t>Volontaire Plan Bénin</w:t>
            </w:r>
          </w:p>
        </w:tc>
        <w:tc>
          <w:tcPr>
            <w:tcW w:w="1940" w:type="dxa"/>
            <w:tcBorders>
              <w:top w:val="nil"/>
              <w:left w:val="nil"/>
              <w:bottom w:val="single" w:sz="4" w:space="0" w:color="auto"/>
              <w:right w:val="single" w:sz="4" w:space="0" w:color="auto"/>
            </w:tcBorders>
            <w:shd w:val="clear" w:color="auto" w:fill="auto"/>
            <w:noWrap/>
            <w:vAlign w:val="center"/>
            <w:hideMark/>
          </w:tcPr>
          <w:p w14:paraId="181AEEEA" w14:textId="77777777" w:rsidR="00F561A7" w:rsidRPr="00A9330B" w:rsidRDefault="00F561A7" w:rsidP="00F561A7">
            <w:pPr>
              <w:spacing w:before="0" w:line="240" w:lineRule="auto"/>
              <w:jc w:val="center"/>
              <w:rPr>
                <w:rFonts w:cs="Arial"/>
                <w:color w:val="000000"/>
                <w:sz w:val="18"/>
                <w:szCs w:val="18"/>
                <w:lang w:eastAsia="fr-FR"/>
              </w:rPr>
            </w:pPr>
            <w:r w:rsidRPr="00A9330B">
              <w:rPr>
                <w:rFonts w:cs="Arial"/>
                <w:color w:val="000000"/>
                <w:sz w:val="18"/>
                <w:szCs w:val="18"/>
                <w:lang w:eastAsia="fr-FR"/>
              </w:rPr>
              <w:t>0,25</w:t>
            </w:r>
          </w:p>
        </w:tc>
      </w:tr>
      <w:tr w:rsidR="00F561A7" w:rsidRPr="00A9330B" w14:paraId="6EB00FE7" w14:textId="77777777" w:rsidTr="00F561A7">
        <w:trPr>
          <w:trHeight w:val="288"/>
          <w:jc w:val="center"/>
        </w:trPr>
        <w:tc>
          <w:tcPr>
            <w:tcW w:w="1529" w:type="dxa"/>
            <w:tcBorders>
              <w:top w:val="nil"/>
              <w:left w:val="single" w:sz="4" w:space="0" w:color="auto"/>
              <w:bottom w:val="single" w:sz="4" w:space="0" w:color="auto"/>
              <w:right w:val="single" w:sz="4" w:space="0" w:color="auto"/>
            </w:tcBorders>
            <w:shd w:val="clear" w:color="auto" w:fill="auto"/>
            <w:noWrap/>
            <w:vAlign w:val="center"/>
            <w:hideMark/>
          </w:tcPr>
          <w:p w14:paraId="7796E8BC" w14:textId="77777777" w:rsidR="00F561A7" w:rsidRPr="00A9330B" w:rsidRDefault="00F561A7" w:rsidP="00F561A7">
            <w:pPr>
              <w:spacing w:before="0" w:line="240" w:lineRule="auto"/>
              <w:jc w:val="center"/>
              <w:rPr>
                <w:rFonts w:cs="Arial"/>
                <w:b/>
                <w:bCs/>
                <w:color w:val="000000"/>
                <w:sz w:val="18"/>
                <w:szCs w:val="18"/>
                <w:lang w:eastAsia="fr-FR"/>
              </w:rPr>
            </w:pPr>
            <w:r w:rsidRPr="00A9330B">
              <w:rPr>
                <w:rFonts w:cs="Arial"/>
                <w:b/>
                <w:bCs/>
                <w:color w:val="000000"/>
                <w:sz w:val="18"/>
                <w:szCs w:val="18"/>
                <w:lang w:eastAsia="fr-FR"/>
              </w:rPr>
              <w:t>Total</w:t>
            </w:r>
          </w:p>
        </w:tc>
        <w:tc>
          <w:tcPr>
            <w:tcW w:w="3335" w:type="dxa"/>
            <w:tcBorders>
              <w:top w:val="nil"/>
              <w:left w:val="nil"/>
              <w:bottom w:val="single" w:sz="4" w:space="0" w:color="auto"/>
              <w:right w:val="single" w:sz="4" w:space="0" w:color="auto"/>
            </w:tcBorders>
            <w:shd w:val="clear" w:color="auto" w:fill="auto"/>
            <w:noWrap/>
            <w:vAlign w:val="center"/>
            <w:hideMark/>
          </w:tcPr>
          <w:p w14:paraId="736B79AB" w14:textId="77777777" w:rsidR="00F561A7" w:rsidRPr="00A9330B" w:rsidRDefault="00F561A7" w:rsidP="00F561A7">
            <w:pPr>
              <w:spacing w:before="0" w:line="240" w:lineRule="auto"/>
              <w:rPr>
                <w:rFonts w:cs="Arial"/>
                <w:b/>
                <w:bCs/>
                <w:color w:val="000000"/>
                <w:sz w:val="18"/>
                <w:szCs w:val="18"/>
                <w:lang w:eastAsia="fr-FR"/>
              </w:rPr>
            </w:pPr>
          </w:p>
        </w:tc>
        <w:tc>
          <w:tcPr>
            <w:tcW w:w="1940" w:type="dxa"/>
            <w:tcBorders>
              <w:top w:val="nil"/>
              <w:left w:val="nil"/>
              <w:bottom w:val="single" w:sz="4" w:space="0" w:color="auto"/>
              <w:right w:val="single" w:sz="4" w:space="0" w:color="auto"/>
            </w:tcBorders>
            <w:shd w:val="clear" w:color="auto" w:fill="auto"/>
            <w:noWrap/>
            <w:vAlign w:val="center"/>
            <w:hideMark/>
          </w:tcPr>
          <w:p w14:paraId="7D277B3F" w14:textId="77777777" w:rsidR="00F561A7" w:rsidRPr="00A9330B" w:rsidRDefault="00F561A7" w:rsidP="00F561A7">
            <w:pPr>
              <w:spacing w:before="0" w:line="240" w:lineRule="auto"/>
              <w:jc w:val="center"/>
              <w:rPr>
                <w:rFonts w:cs="Arial"/>
                <w:b/>
                <w:bCs/>
                <w:color w:val="000000"/>
                <w:sz w:val="18"/>
                <w:szCs w:val="18"/>
                <w:lang w:eastAsia="fr-FR"/>
              </w:rPr>
            </w:pPr>
            <w:r w:rsidRPr="00A9330B">
              <w:rPr>
                <w:rFonts w:cs="Arial"/>
                <w:b/>
                <w:bCs/>
                <w:color w:val="000000"/>
                <w:sz w:val="18"/>
                <w:szCs w:val="18"/>
                <w:lang w:eastAsia="fr-FR"/>
              </w:rPr>
              <w:t>75,06</w:t>
            </w:r>
          </w:p>
        </w:tc>
      </w:tr>
    </w:tbl>
    <w:p w14:paraId="735F0009" w14:textId="77777777" w:rsidR="00F561A7" w:rsidRPr="00A9330B" w:rsidRDefault="00F561A7" w:rsidP="00F561A7">
      <w:pPr>
        <w:spacing w:line="276" w:lineRule="auto"/>
        <w:ind w:firstLine="709"/>
        <w:rPr>
          <w:rFonts w:cs="Arial"/>
          <w:b/>
          <w:sz w:val="20"/>
          <w:szCs w:val="20"/>
        </w:rPr>
      </w:pPr>
      <w:r w:rsidRPr="00A9330B">
        <w:rPr>
          <w:rFonts w:cs="Arial"/>
          <w:b/>
          <w:sz w:val="20"/>
          <w:szCs w:val="20"/>
        </w:rPr>
        <w:t>Source : Enquête de terrain, juin 2020</w:t>
      </w:r>
    </w:p>
    <w:p w14:paraId="0518BC70" w14:textId="45F74BE7" w:rsidR="00350C9E" w:rsidRPr="00A9330B" w:rsidRDefault="001777E6" w:rsidP="000566F0">
      <w:pPr>
        <w:spacing w:after="120" w:line="360" w:lineRule="auto"/>
        <w:jc w:val="center"/>
        <w:rPr>
          <w:rFonts w:eastAsia="Times New Roman" w:cs="Times New Roman"/>
          <w:b/>
          <w:color w:val="000000"/>
          <w:sz w:val="20"/>
          <w:szCs w:val="20"/>
          <w:lang w:eastAsia="de-DE"/>
        </w:rPr>
      </w:pPr>
      <w:bookmarkStart w:id="2037" w:name="_Toc52873790"/>
      <w:r w:rsidRPr="00A9330B">
        <w:rPr>
          <w:b/>
          <w:sz w:val="20"/>
          <w:szCs w:val="20"/>
        </w:rPr>
        <w:lastRenderedPageBreak/>
        <w:t xml:space="preserve">Tableau </w:t>
      </w:r>
      <w:r w:rsidRPr="00A9330B">
        <w:rPr>
          <w:b/>
          <w:sz w:val="20"/>
          <w:szCs w:val="20"/>
        </w:rPr>
        <w:fldChar w:fldCharType="begin"/>
      </w:r>
      <w:r w:rsidRPr="00A9330B">
        <w:rPr>
          <w:b/>
          <w:sz w:val="20"/>
          <w:szCs w:val="20"/>
        </w:rPr>
        <w:instrText xml:space="preserve"> SEQ Tableau \* ARABIC </w:instrText>
      </w:r>
      <w:r w:rsidRPr="00A9330B">
        <w:rPr>
          <w:b/>
          <w:sz w:val="20"/>
          <w:szCs w:val="20"/>
        </w:rPr>
        <w:fldChar w:fldCharType="separate"/>
      </w:r>
      <w:r w:rsidR="00340594" w:rsidRPr="00A9330B">
        <w:rPr>
          <w:b/>
          <w:noProof/>
          <w:sz w:val="20"/>
          <w:szCs w:val="20"/>
        </w:rPr>
        <w:t>66</w:t>
      </w:r>
      <w:r w:rsidRPr="00A9330B">
        <w:rPr>
          <w:b/>
          <w:sz w:val="20"/>
          <w:szCs w:val="20"/>
        </w:rPr>
        <w:fldChar w:fldCharType="end"/>
      </w:r>
      <w:r w:rsidRPr="00A9330B">
        <w:rPr>
          <w:b/>
          <w:sz w:val="20"/>
          <w:szCs w:val="20"/>
        </w:rPr>
        <w:t xml:space="preserve"> </w:t>
      </w:r>
      <w:r w:rsidRPr="00A9330B">
        <w:rPr>
          <w:b/>
          <w:color w:val="000000"/>
          <w:sz w:val="20"/>
          <w:szCs w:val="20"/>
        </w:rPr>
        <w:t>:</w:t>
      </w:r>
      <w:r w:rsidR="00350C9E" w:rsidRPr="00A9330B">
        <w:rPr>
          <w:rFonts w:eastAsia="Times New Roman" w:cs="Times New Roman"/>
          <w:b/>
          <w:color w:val="auto"/>
          <w:sz w:val="20"/>
          <w:szCs w:val="20"/>
          <w:lang w:eastAsia="de-DE"/>
        </w:rPr>
        <w:t xml:space="preserve"> </w:t>
      </w:r>
      <w:r w:rsidR="00350C9E" w:rsidRPr="00A9330B">
        <w:rPr>
          <w:rFonts w:eastAsia="Times New Roman" w:cs="Times New Roman"/>
          <w:b/>
          <w:color w:val="000000"/>
          <w:sz w:val="20"/>
          <w:szCs w:val="20"/>
          <w:lang w:eastAsia="de-DE"/>
        </w:rPr>
        <w:t>Activités des personnes vulnérables</w:t>
      </w:r>
      <w:bookmarkEnd w:id="2037"/>
    </w:p>
    <w:tbl>
      <w:tblPr>
        <w:tblW w:w="9067" w:type="dxa"/>
        <w:jc w:val="center"/>
        <w:tblCellMar>
          <w:left w:w="70" w:type="dxa"/>
          <w:right w:w="70" w:type="dxa"/>
        </w:tblCellMar>
        <w:tblLook w:val="04A0" w:firstRow="1" w:lastRow="0" w:firstColumn="1" w:lastColumn="0" w:noHBand="0" w:noVBand="1"/>
      </w:tblPr>
      <w:tblGrid>
        <w:gridCol w:w="1030"/>
        <w:gridCol w:w="1030"/>
        <w:gridCol w:w="1030"/>
        <w:gridCol w:w="1030"/>
        <w:gridCol w:w="1071"/>
        <w:gridCol w:w="1215"/>
        <w:gridCol w:w="1312"/>
        <w:gridCol w:w="1349"/>
      </w:tblGrid>
      <w:tr w:rsidR="00F561A7" w:rsidRPr="00A9330B" w14:paraId="0619437A" w14:textId="77777777" w:rsidTr="00340594">
        <w:trPr>
          <w:trHeight w:val="288"/>
          <w:jc w:val="center"/>
        </w:trPr>
        <w:tc>
          <w:tcPr>
            <w:tcW w:w="1030" w:type="dxa"/>
            <w:tcBorders>
              <w:top w:val="single" w:sz="4" w:space="0" w:color="auto"/>
              <w:left w:val="single" w:sz="4" w:space="0" w:color="auto"/>
              <w:bottom w:val="single" w:sz="4" w:space="0" w:color="auto"/>
              <w:right w:val="single" w:sz="4" w:space="0" w:color="auto"/>
            </w:tcBorders>
            <w:shd w:val="clear" w:color="auto" w:fill="00B0F0"/>
            <w:noWrap/>
            <w:vAlign w:val="bottom"/>
            <w:hideMark/>
          </w:tcPr>
          <w:p w14:paraId="7E64820F" w14:textId="77777777" w:rsidR="00F561A7" w:rsidRPr="00A9330B" w:rsidRDefault="00F561A7" w:rsidP="00F561A7">
            <w:pPr>
              <w:spacing w:before="0" w:line="240" w:lineRule="auto"/>
              <w:rPr>
                <w:rFonts w:cs="Arial"/>
                <w:b/>
                <w:color w:val="000000"/>
                <w:sz w:val="18"/>
                <w:szCs w:val="18"/>
                <w:lang w:eastAsia="fr-FR"/>
              </w:rPr>
            </w:pPr>
            <w:r w:rsidRPr="00A9330B">
              <w:rPr>
                <w:rFonts w:cs="Arial"/>
                <w:b/>
                <w:color w:val="000000"/>
                <w:sz w:val="18"/>
                <w:szCs w:val="18"/>
                <w:lang w:eastAsia="fr-FR"/>
              </w:rPr>
              <w:t>N°</w:t>
            </w:r>
          </w:p>
        </w:tc>
        <w:tc>
          <w:tcPr>
            <w:tcW w:w="1030" w:type="dxa"/>
            <w:tcBorders>
              <w:top w:val="single" w:sz="4" w:space="0" w:color="auto"/>
              <w:left w:val="nil"/>
              <w:bottom w:val="single" w:sz="4" w:space="0" w:color="auto"/>
              <w:right w:val="single" w:sz="4" w:space="0" w:color="auto"/>
            </w:tcBorders>
            <w:shd w:val="clear" w:color="auto" w:fill="00B0F0"/>
            <w:noWrap/>
            <w:vAlign w:val="bottom"/>
            <w:hideMark/>
          </w:tcPr>
          <w:p w14:paraId="70DE7F1E" w14:textId="77777777" w:rsidR="00F561A7" w:rsidRPr="00A9330B" w:rsidRDefault="00F561A7" w:rsidP="00F561A7">
            <w:pPr>
              <w:spacing w:before="0" w:line="240" w:lineRule="auto"/>
              <w:rPr>
                <w:rFonts w:cs="Arial"/>
                <w:b/>
                <w:color w:val="000000"/>
                <w:sz w:val="18"/>
                <w:szCs w:val="18"/>
                <w:lang w:eastAsia="fr-FR"/>
              </w:rPr>
            </w:pPr>
            <w:r w:rsidRPr="00A9330B">
              <w:rPr>
                <w:rFonts w:cs="Arial"/>
                <w:b/>
                <w:color w:val="000000"/>
                <w:sz w:val="18"/>
                <w:szCs w:val="18"/>
                <w:lang w:eastAsia="fr-FR"/>
              </w:rPr>
              <w:t>CODE</w:t>
            </w:r>
          </w:p>
        </w:tc>
        <w:tc>
          <w:tcPr>
            <w:tcW w:w="1030" w:type="dxa"/>
            <w:tcBorders>
              <w:top w:val="single" w:sz="4" w:space="0" w:color="auto"/>
              <w:left w:val="nil"/>
              <w:bottom w:val="single" w:sz="4" w:space="0" w:color="auto"/>
              <w:right w:val="single" w:sz="4" w:space="0" w:color="auto"/>
            </w:tcBorders>
            <w:shd w:val="clear" w:color="auto" w:fill="00B0F0"/>
            <w:noWrap/>
            <w:vAlign w:val="bottom"/>
            <w:hideMark/>
          </w:tcPr>
          <w:p w14:paraId="22BFA3E7" w14:textId="77777777" w:rsidR="00F561A7" w:rsidRPr="00A9330B" w:rsidRDefault="00F561A7" w:rsidP="00F561A7">
            <w:pPr>
              <w:spacing w:before="0" w:line="240" w:lineRule="auto"/>
              <w:rPr>
                <w:rFonts w:cs="Arial"/>
                <w:b/>
                <w:color w:val="000000"/>
                <w:sz w:val="18"/>
                <w:szCs w:val="18"/>
                <w:lang w:eastAsia="fr-FR"/>
              </w:rPr>
            </w:pPr>
            <w:r w:rsidRPr="00A9330B">
              <w:rPr>
                <w:rFonts w:cs="Arial"/>
                <w:b/>
                <w:color w:val="000000"/>
                <w:sz w:val="18"/>
                <w:szCs w:val="18"/>
                <w:lang w:eastAsia="fr-FR"/>
              </w:rPr>
              <w:t>Sexe</w:t>
            </w:r>
          </w:p>
        </w:tc>
        <w:tc>
          <w:tcPr>
            <w:tcW w:w="1030" w:type="dxa"/>
            <w:tcBorders>
              <w:top w:val="single" w:sz="4" w:space="0" w:color="auto"/>
              <w:left w:val="nil"/>
              <w:bottom w:val="single" w:sz="4" w:space="0" w:color="auto"/>
              <w:right w:val="single" w:sz="4" w:space="0" w:color="auto"/>
            </w:tcBorders>
            <w:shd w:val="clear" w:color="auto" w:fill="00B0F0"/>
            <w:noWrap/>
            <w:vAlign w:val="bottom"/>
            <w:hideMark/>
          </w:tcPr>
          <w:p w14:paraId="2CFF8E17" w14:textId="77777777" w:rsidR="00F561A7" w:rsidRPr="00A9330B" w:rsidRDefault="00F561A7" w:rsidP="00F561A7">
            <w:pPr>
              <w:spacing w:before="0" w:line="240" w:lineRule="auto"/>
              <w:rPr>
                <w:rFonts w:cs="Arial"/>
                <w:b/>
                <w:color w:val="000000"/>
                <w:sz w:val="18"/>
                <w:szCs w:val="18"/>
                <w:lang w:eastAsia="fr-FR"/>
              </w:rPr>
            </w:pPr>
            <w:r w:rsidRPr="00A9330B">
              <w:rPr>
                <w:rFonts w:cs="Arial"/>
                <w:b/>
                <w:color w:val="000000"/>
                <w:sz w:val="18"/>
                <w:szCs w:val="18"/>
                <w:lang w:eastAsia="fr-FR"/>
              </w:rPr>
              <w:t>Âge</w:t>
            </w:r>
          </w:p>
        </w:tc>
        <w:tc>
          <w:tcPr>
            <w:tcW w:w="1071" w:type="dxa"/>
            <w:tcBorders>
              <w:top w:val="single" w:sz="4" w:space="0" w:color="auto"/>
              <w:left w:val="nil"/>
              <w:bottom w:val="single" w:sz="4" w:space="0" w:color="auto"/>
              <w:right w:val="single" w:sz="4" w:space="0" w:color="auto"/>
            </w:tcBorders>
            <w:shd w:val="clear" w:color="auto" w:fill="00B0F0"/>
            <w:noWrap/>
            <w:vAlign w:val="bottom"/>
            <w:hideMark/>
          </w:tcPr>
          <w:p w14:paraId="62FAD288" w14:textId="77777777" w:rsidR="00F561A7" w:rsidRPr="00A9330B" w:rsidRDefault="00F561A7" w:rsidP="00F561A7">
            <w:pPr>
              <w:spacing w:before="0" w:line="240" w:lineRule="auto"/>
              <w:rPr>
                <w:rFonts w:cs="Arial"/>
                <w:b/>
                <w:color w:val="000000"/>
                <w:sz w:val="18"/>
                <w:szCs w:val="18"/>
                <w:lang w:eastAsia="fr-FR"/>
              </w:rPr>
            </w:pPr>
            <w:r w:rsidRPr="00A9330B">
              <w:rPr>
                <w:rFonts w:cs="Arial"/>
                <w:b/>
                <w:color w:val="000000"/>
                <w:sz w:val="18"/>
                <w:szCs w:val="18"/>
                <w:lang w:eastAsia="fr-FR"/>
              </w:rPr>
              <w:t>Nombre de personnes à charge</w:t>
            </w:r>
          </w:p>
        </w:tc>
        <w:tc>
          <w:tcPr>
            <w:tcW w:w="1215" w:type="dxa"/>
            <w:tcBorders>
              <w:top w:val="single" w:sz="4" w:space="0" w:color="auto"/>
              <w:left w:val="nil"/>
              <w:bottom w:val="single" w:sz="4" w:space="0" w:color="auto"/>
              <w:right w:val="single" w:sz="4" w:space="0" w:color="auto"/>
            </w:tcBorders>
            <w:shd w:val="clear" w:color="auto" w:fill="00B0F0"/>
            <w:noWrap/>
            <w:vAlign w:val="bottom"/>
            <w:hideMark/>
          </w:tcPr>
          <w:p w14:paraId="4B6BA4DD" w14:textId="77777777" w:rsidR="00F561A7" w:rsidRPr="00A9330B" w:rsidRDefault="00F561A7" w:rsidP="00F561A7">
            <w:pPr>
              <w:spacing w:before="0" w:line="240" w:lineRule="auto"/>
              <w:rPr>
                <w:rFonts w:cs="Arial"/>
                <w:b/>
                <w:color w:val="000000"/>
                <w:sz w:val="18"/>
                <w:szCs w:val="18"/>
                <w:lang w:eastAsia="fr-FR"/>
              </w:rPr>
            </w:pPr>
            <w:r w:rsidRPr="00A9330B">
              <w:rPr>
                <w:rFonts w:cs="Arial"/>
                <w:b/>
                <w:color w:val="000000"/>
                <w:sz w:val="18"/>
                <w:szCs w:val="18"/>
                <w:lang w:eastAsia="fr-FR"/>
              </w:rPr>
              <w:t>Statut de la PAP</w:t>
            </w:r>
          </w:p>
        </w:tc>
        <w:tc>
          <w:tcPr>
            <w:tcW w:w="1312" w:type="dxa"/>
            <w:tcBorders>
              <w:top w:val="single" w:sz="4" w:space="0" w:color="auto"/>
              <w:left w:val="nil"/>
              <w:bottom w:val="single" w:sz="4" w:space="0" w:color="auto"/>
              <w:right w:val="single" w:sz="4" w:space="0" w:color="auto"/>
            </w:tcBorders>
            <w:shd w:val="clear" w:color="auto" w:fill="00B0F0"/>
            <w:noWrap/>
            <w:vAlign w:val="bottom"/>
            <w:hideMark/>
          </w:tcPr>
          <w:p w14:paraId="7BA09CFB" w14:textId="77777777" w:rsidR="00F561A7" w:rsidRPr="00A9330B" w:rsidRDefault="00F561A7" w:rsidP="00F561A7">
            <w:pPr>
              <w:spacing w:before="0" w:line="240" w:lineRule="auto"/>
              <w:rPr>
                <w:rFonts w:cs="Arial"/>
                <w:b/>
                <w:color w:val="000000"/>
                <w:sz w:val="18"/>
                <w:szCs w:val="18"/>
                <w:lang w:eastAsia="fr-FR"/>
              </w:rPr>
            </w:pPr>
            <w:r w:rsidRPr="00A9330B">
              <w:rPr>
                <w:rFonts w:cs="Arial"/>
                <w:b/>
                <w:color w:val="000000"/>
                <w:sz w:val="18"/>
                <w:szCs w:val="18"/>
                <w:lang w:eastAsia="fr-FR"/>
              </w:rPr>
              <w:t>Occupation</w:t>
            </w:r>
          </w:p>
        </w:tc>
        <w:tc>
          <w:tcPr>
            <w:tcW w:w="1349" w:type="dxa"/>
            <w:tcBorders>
              <w:top w:val="single" w:sz="4" w:space="0" w:color="auto"/>
              <w:left w:val="nil"/>
              <w:bottom w:val="single" w:sz="4" w:space="0" w:color="auto"/>
              <w:right w:val="single" w:sz="4" w:space="0" w:color="auto"/>
            </w:tcBorders>
            <w:shd w:val="clear" w:color="auto" w:fill="00B0F0"/>
            <w:noWrap/>
            <w:vAlign w:val="bottom"/>
            <w:hideMark/>
          </w:tcPr>
          <w:p w14:paraId="5BB33C32" w14:textId="77777777" w:rsidR="00F561A7" w:rsidRPr="00A9330B" w:rsidRDefault="00F561A7" w:rsidP="00F561A7">
            <w:pPr>
              <w:spacing w:before="0" w:line="240" w:lineRule="auto"/>
              <w:rPr>
                <w:rFonts w:cs="Arial"/>
                <w:b/>
                <w:color w:val="000000"/>
                <w:sz w:val="18"/>
                <w:szCs w:val="18"/>
                <w:lang w:eastAsia="fr-FR"/>
              </w:rPr>
            </w:pPr>
            <w:r w:rsidRPr="00A9330B">
              <w:rPr>
                <w:rFonts w:cs="Arial"/>
                <w:b/>
                <w:color w:val="000000"/>
                <w:sz w:val="18"/>
                <w:szCs w:val="18"/>
                <w:lang w:eastAsia="fr-FR"/>
              </w:rPr>
              <w:t>Revenu journalier (FCFA)</w:t>
            </w:r>
          </w:p>
        </w:tc>
      </w:tr>
      <w:tr w:rsidR="00F561A7" w:rsidRPr="00A9330B" w14:paraId="1E7262BB" w14:textId="77777777" w:rsidTr="00340594">
        <w:trPr>
          <w:trHeight w:val="288"/>
          <w:jc w:val="center"/>
        </w:trPr>
        <w:tc>
          <w:tcPr>
            <w:tcW w:w="1030" w:type="dxa"/>
            <w:tcBorders>
              <w:top w:val="nil"/>
              <w:left w:val="single" w:sz="4" w:space="0" w:color="auto"/>
              <w:bottom w:val="single" w:sz="4" w:space="0" w:color="auto"/>
              <w:right w:val="single" w:sz="4" w:space="0" w:color="auto"/>
            </w:tcBorders>
            <w:shd w:val="clear" w:color="auto" w:fill="auto"/>
            <w:noWrap/>
            <w:vAlign w:val="bottom"/>
            <w:hideMark/>
          </w:tcPr>
          <w:p w14:paraId="123E55B9" w14:textId="77777777" w:rsidR="00F561A7" w:rsidRPr="00A9330B" w:rsidRDefault="00F561A7" w:rsidP="00F561A7">
            <w:pPr>
              <w:spacing w:before="0" w:line="240" w:lineRule="auto"/>
              <w:jc w:val="right"/>
              <w:rPr>
                <w:rFonts w:cs="Arial"/>
                <w:color w:val="000000"/>
                <w:sz w:val="18"/>
                <w:szCs w:val="18"/>
                <w:lang w:eastAsia="fr-FR"/>
              </w:rPr>
            </w:pPr>
            <w:r w:rsidRPr="00A9330B">
              <w:rPr>
                <w:rFonts w:cs="Arial"/>
                <w:color w:val="000000"/>
                <w:sz w:val="18"/>
                <w:szCs w:val="18"/>
                <w:lang w:eastAsia="fr-FR"/>
              </w:rPr>
              <w:t>1</w:t>
            </w:r>
          </w:p>
        </w:tc>
        <w:tc>
          <w:tcPr>
            <w:tcW w:w="1030" w:type="dxa"/>
            <w:tcBorders>
              <w:top w:val="nil"/>
              <w:left w:val="nil"/>
              <w:bottom w:val="single" w:sz="4" w:space="0" w:color="auto"/>
              <w:right w:val="single" w:sz="4" w:space="0" w:color="auto"/>
            </w:tcBorders>
            <w:shd w:val="clear" w:color="auto" w:fill="auto"/>
            <w:noWrap/>
            <w:vAlign w:val="bottom"/>
            <w:hideMark/>
          </w:tcPr>
          <w:p w14:paraId="7C6B48BC" w14:textId="77777777" w:rsidR="00F561A7" w:rsidRPr="00A9330B" w:rsidRDefault="00F561A7" w:rsidP="00F561A7">
            <w:pPr>
              <w:spacing w:before="0" w:line="240" w:lineRule="auto"/>
              <w:rPr>
                <w:rFonts w:cs="Arial"/>
                <w:color w:val="000000"/>
                <w:sz w:val="18"/>
                <w:szCs w:val="18"/>
                <w:lang w:eastAsia="fr-FR"/>
              </w:rPr>
            </w:pPr>
            <w:r w:rsidRPr="00A9330B">
              <w:rPr>
                <w:rFonts w:cs="Arial"/>
                <w:color w:val="000000"/>
                <w:sz w:val="18"/>
                <w:szCs w:val="18"/>
                <w:lang w:eastAsia="fr-FR"/>
              </w:rPr>
              <w:t>NAT_7</w:t>
            </w:r>
          </w:p>
        </w:tc>
        <w:tc>
          <w:tcPr>
            <w:tcW w:w="1030" w:type="dxa"/>
            <w:tcBorders>
              <w:top w:val="nil"/>
              <w:left w:val="nil"/>
              <w:bottom w:val="single" w:sz="4" w:space="0" w:color="auto"/>
              <w:right w:val="single" w:sz="4" w:space="0" w:color="auto"/>
            </w:tcBorders>
            <w:shd w:val="clear" w:color="auto" w:fill="auto"/>
            <w:noWrap/>
            <w:vAlign w:val="bottom"/>
            <w:hideMark/>
          </w:tcPr>
          <w:p w14:paraId="3AD24CC8" w14:textId="77777777" w:rsidR="00F561A7" w:rsidRPr="00A9330B" w:rsidRDefault="00F561A7" w:rsidP="00F561A7">
            <w:pPr>
              <w:spacing w:before="0" w:line="240" w:lineRule="auto"/>
              <w:rPr>
                <w:rFonts w:cs="Arial"/>
                <w:color w:val="000000"/>
                <w:sz w:val="18"/>
                <w:szCs w:val="18"/>
                <w:lang w:eastAsia="fr-FR"/>
              </w:rPr>
            </w:pPr>
            <w:r w:rsidRPr="00A9330B">
              <w:rPr>
                <w:rFonts w:cs="Arial"/>
                <w:color w:val="000000"/>
                <w:sz w:val="18"/>
                <w:szCs w:val="18"/>
                <w:lang w:eastAsia="fr-FR"/>
              </w:rPr>
              <w:t>Femme</w:t>
            </w:r>
          </w:p>
        </w:tc>
        <w:tc>
          <w:tcPr>
            <w:tcW w:w="1030" w:type="dxa"/>
            <w:tcBorders>
              <w:top w:val="nil"/>
              <w:left w:val="nil"/>
              <w:bottom w:val="single" w:sz="4" w:space="0" w:color="auto"/>
              <w:right w:val="single" w:sz="4" w:space="0" w:color="auto"/>
            </w:tcBorders>
            <w:shd w:val="clear" w:color="auto" w:fill="auto"/>
            <w:noWrap/>
            <w:vAlign w:val="bottom"/>
            <w:hideMark/>
          </w:tcPr>
          <w:p w14:paraId="30D8717E" w14:textId="77777777" w:rsidR="00F561A7" w:rsidRPr="00A9330B" w:rsidRDefault="00F561A7" w:rsidP="00F561A7">
            <w:pPr>
              <w:spacing w:before="0" w:line="240" w:lineRule="auto"/>
              <w:jc w:val="right"/>
              <w:rPr>
                <w:rFonts w:cs="Arial"/>
                <w:color w:val="000000"/>
                <w:sz w:val="18"/>
                <w:szCs w:val="18"/>
                <w:lang w:eastAsia="fr-FR"/>
              </w:rPr>
            </w:pPr>
            <w:r w:rsidRPr="00A9330B">
              <w:rPr>
                <w:rFonts w:cs="Arial"/>
                <w:color w:val="000000"/>
                <w:sz w:val="18"/>
                <w:szCs w:val="18"/>
                <w:lang w:eastAsia="fr-FR"/>
              </w:rPr>
              <w:t>46</w:t>
            </w:r>
          </w:p>
        </w:tc>
        <w:tc>
          <w:tcPr>
            <w:tcW w:w="1071" w:type="dxa"/>
            <w:tcBorders>
              <w:top w:val="nil"/>
              <w:left w:val="nil"/>
              <w:bottom w:val="single" w:sz="4" w:space="0" w:color="auto"/>
              <w:right w:val="single" w:sz="4" w:space="0" w:color="auto"/>
            </w:tcBorders>
            <w:shd w:val="clear" w:color="auto" w:fill="auto"/>
            <w:noWrap/>
            <w:vAlign w:val="bottom"/>
            <w:hideMark/>
          </w:tcPr>
          <w:p w14:paraId="7A86CAA2" w14:textId="77777777" w:rsidR="00F561A7" w:rsidRPr="00A9330B" w:rsidRDefault="00F561A7" w:rsidP="00F561A7">
            <w:pPr>
              <w:spacing w:before="0" w:line="240" w:lineRule="auto"/>
              <w:jc w:val="right"/>
              <w:rPr>
                <w:rFonts w:cs="Arial"/>
                <w:color w:val="000000"/>
                <w:sz w:val="18"/>
                <w:szCs w:val="18"/>
                <w:lang w:eastAsia="fr-FR"/>
              </w:rPr>
            </w:pPr>
            <w:r w:rsidRPr="00A9330B">
              <w:rPr>
                <w:rFonts w:cs="Arial"/>
                <w:color w:val="000000"/>
                <w:sz w:val="18"/>
                <w:szCs w:val="18"/>
                <w:lang w:eastAsia="fr-FR"/>
              </w:rPr>
              <w:t>15</w:t>
            </w:r>
          </w:p>
        </w:tc>
        <w:tc>
          <w:tcPr>
            <w:tcW w:w="1215" w:type="dxa"/>
            <w:tcBorders>
              <w:top w:val="nil"/>
              <w:left w:val="nil"/>
              <w:bottom w:val="single" w:sz="4" w:space="0" w:color="auto"/>
              <w:right w:val="single" w:sz="4" w:space="0" w:color="auto"/>
            </w:tcBorders>
            <w:shd w:val="clear" w:color="auto" w:fill="auto"/>
            <w:noWrap/>
            <w:vAlign w:val="bottom"/>
            <w:hideMark/>
          </w:tcPr>
          <w:p w14:paraId="20189D38" w14:textId="77777777" w:rsidR="00F561A7" w:rsidRPr="00A9330B" w:rsidRDefault="00F561A7" w:rsidP="00F561A7">
            <w:pPr>
              <w:spacing w:before="0" w:line="240" w:lineRule="auto"/>
              <w:rPr>
                <w:rFonts w:cs="Arial"/>
                <w:color w:val="000000"/>
                <w:sz w:val="18"/>
                <w:szCs w:val="18"/>
                <w:lang w:eastAsia="fr-FR"/>
              </w:rPr>
            </w:pPr>
            <w:r w:rsidRPr="00A9330B">
              <w:rPr>
                <w:rFonts w:cs="Arial"/>
                <w:color w:val="000000"/>
                <w:sz w:val="18"/>
                <w:szCs w:val="18"/>
                <w:lang w:eastAsia="fr-FR"/>
              </w:rPr>
              <w:t>Propriétaire</w:t>
            </w:r>
          </w:p>
        </w:tc>
        <w:tc>
          <w:tcPr>
            <w:tcW w:w="1312" w:type="dxa"/>
            <w:tcBorders>
              <w:top w:val="nil"/>
              <w:left w:val="nil"/>
              <w:bottom w:val="single" w:sz="4" w:space="0" w:color="auto"/>
              <w:right w:val="single" w:sz="4" w:space="0" w:color="auto"/>
            </w:tcBorders>
            <w:shd w:val="clear" w:color="auto" w:fill="auto"/>
            <w:noWrap/>
            <w:vAlign w:val="bottom"/>
            <w:hideMark/>
          </w:tcPr>
          <w:p w14:paraId="6B542444" w14:textId="77777777" w:rsidR="00F561A7" w:rsidRPr="00A9330B" w:rsidRDefault="00F561A7" w:rsidP="00F561A7">
            <w:pPr>
              <w:spacing w:before="0" w:line="240" w:lineRule="auto"/>
              <w:rPr>
                <w:rFonts w:cs="Arial"/>
                <w:color w:val="000000"/>
                <w:sz w:val="18"/>
                <w:szCs w:val="18"/>
                <w:lang w:eastAsia="fr-FR"/>
              </w:rPr>
            </w:pPr>
            <w:r w:rsidRPr="00A9330B">
              <w:rPr>
                <w:rFonts w:cs="Arial"/>
                <w:color w:val="000000"/>
                <w:sz w:val="18"/>
                <w:szCs w:val="18"/>
                <w:lang w:eastAsia="fr-FR"/>
              </w:rPr>
              <w:t>Commerce</w:t>
            </w:r>
          </w:p>
        </w:tc>
        <w:tc>
          <w:tcPr>
            <w:tcW w:w="1349" w:type="dxa"/>
            <w:tcBorders>
              <w:top w:val="nil"/>
              <w:left w:val="nil"/>
              <w:bottom w:val="single" w:sz="4" w:space="0" w:color="auto"/>
              <w:right w:val="single" w:sz="4" w:space="0" w:color="auto"/>
            </w:tcBorders>
            <w:shd w:val="clear" w:color="auto" w:fill="auto"/>
            <w:noWrap/>
            <w:vAlign w:val="bottom"/>
            <w:hideMark/>
          </w:tcPr>
          <w:p w14:paraId="16002404" w14:textId="77777777" w:rsidR="00F561A7" w:rsidRPr="00A9330B" w:rsidRDefault="00F561A7" w:rsidP="00F561A7">
            <w:pPr>
              <w:spacing w:before="0" w:line="240" w:lineRule="auto"/>
              <w:jc w:val="right"/>
              <w:rPr>
                <w:rFonts w:cs="Arial"/>
                <w:color w:val="000000"/>
                <w:sz w:val="18"/>
                <w:szCs w:val="18"/>
                <w:lang w:eastAsia="fr-FR"/>
              </w:rPr>
            </w:pPr>
            <w:r w:rsidRPr="00A9330B">
              <w:rPr>
                <w:rFonts w:cs="Arial"/>
                <w:color w:val="000000"/>
                <w:sz w:val="18"/>
                <w:szCs w:val="18"/>
                <w:lang w:eastAsia="fr-FR"/>
              </w:rPr>
              <w:t>2000</w:t>
            </w:r>
          </w:p>
        </w:tc>
      </w:tr>
      <w:tr w:rsidR="00F561A7" w:rsidRPr="00A9330B" w14:paraId="2CDA244C" w14:textId="77777777" w:rsidTr="00340594">
        <w:trPr>
          <w:trHeight w:val="288"/>
          <w:jc w:val="center"/>
        </w:trPr>
        <w:tc>
          <w:tcPr>
            <w:tcW w:w="1030" w:type="dxa"/>
            <w:tcBorders>
              <w:top w:val="nil"/>
              <w:left w:val="single" w:sz="4" w:space="0" w:color="auto"/>
              <w:bottom w:val="single" w:sz="4" w:space="0" w:color="auto"/>
              <w:right w:val="single" w:sz="4" w:space="0" w:color="auto"/>
            </w:tcBorders>
            <w:shd w:val="clear" w:color="auto" w:fill="auto"/>
            <w:noWrap/>
            <w:vAlign w:val="bottom"/>
            <w:hideMark/>
          </w:tcPr>
          <w:p w14:paraId="25425908" w14:textId="77777777" w:rsidR="00F561A7" w:rsidRPr="00A9330B" w:rsidRDefault="00F561A7" w:rsidP="00F561A7">
            <w:pPr>
              <w:spacing w:before="0" w:line="240" w:lineRule="auto"/>
              <w:jc w:val="right"/>
              <w:rPr>
                <w:rFonts w:cs="Arial"/>
                <w:color w:val="000000"/>
                <w:sz w:val="18"/>
                <w:szCs w:val="18"/>
                <w:lang w:eastAsia="fr-FR"/>
              </w:rPr>
            </w:pPr>
            <w:r w:rsidRPr="00A9330B">
              <w:rPr>
                <w:rFonts w:cs="Arial"/>
                <w:color w:val="000000"/>
                <w:sz w:val="18"/>
                <w:szCs w:val="18"/>
                <w:lang w:eastAsia="fr-FR"/>
              </w:rPr>
              <w:t>2</w:t>
            </w:r>
          </w:p>
        </w:tc>
        <w:tc>
          <w:tcPr>
            <w:tcW w:w="1030" w:type="dxa"/>
            <w:tcBorders>
              <w:top w:val="nil"/>
              <w:left w:val="nil"/>
              <w:bottom w:val="single" w:sz="4" w:space="0" w:color="auto"/>
              <w:right w:val="single" w:sz="4" w:space="0" w:color="auto"/>
            </w:tcBorders>
            <w:shd w:val="clear" w:color="auto" w:fill="auto"/>
            <w:noWrap/>
            <w:vAlign w:val="bottom"/>
            <w:hideMark/>
          </w:tcPr>
          <w:p w14:paraId="7D5E4B1D" w14:textId="77777777" w:rsidR="00F561A7" w:rsidRPr="00A9330B" w:rsidRDefault="00F561A7" w:rsidP="00F561A7">
            <w:pPr>
              <w:spacing w:before="0" w:line="240" w:lineRule="auto"/>
              <w:rPr>
                <w:rFonts w:cs="Arial"/>
                <w:color w:val="000000"/>
                <w:sz w:val="18"/>
                <w:szCs w:val="18"/>
                <w:lang w:eastAsia="fr-FR"/>
              </w:rPr>
            </w:pPr>
            <w:r w:rsidRPr="00A9330B">
              <w:rPr>
                <w:rFonts w:cs="Arial"/>
                <w:color w:val="000000"/>
                <w:sz w:val="18"/>
                <w:szCs w:val="18"/>
                <w:lang w:eastAsia="fr-FR"/>
              </w:rPr>
              <w:t>NAT_8</w:t>
            </w:r>
          </w:p>
        </w:tc>
        <w:tc>
          <w:tcPr>
            <w:tcW w:w="1030" w:type="dxa"/>
            <w:tcBorders>
              <w:top w:val="nil"/>
              <w:left w:val="nil"/>
              <w:bottom w:val="single" w:sz="4" w:space="0" w:color="auto"/>
              <w:right w:val="single" w:sz="4" w:space="0" w:color="auto"/>
            </w:tcBorders>
            <w:shd w:val="clear" w:color="auto" w:fill="auto"/>
            <w:noWrap/>
            <w:vAlign w:val="bottom"/>
            <w:hideMark/>
          </w:tcPr>
          <w:p w14:paraId="2574951E" w14:textId="77777777" w:rsidR="00F561A7" w:rsidRPr="00A9330B" w:rsidRDefault="00F561A7" w:rsidP="00F561A7">
            <w:pPr>
              <w:spacing w:before="0" w:line="240" w:lineRule="auto"/>
              <w:rPr>
                <w:rFonts w:cs="Arial"/>
                <w:color w:val="000000"/>
                <w:sz w:val="18"/>
                <w:szCs w:val="18"/>
                <w:lang w:eastAsia="fr-FR"/>
              </w:rPr>
            </w:pPr>
            <w:r w:rsidRPr="00A9330B">
              <w:rPr>
                <w:rFonts w:cs="Arial"/>
                <w:color w:val="000000"/>
                <w:sz w:val="18"/>
                <w:szCs w:val="18"/>
                <w:lang w:eastAsia="fr-FR"/>
              </w:rPr>
              <w:t>Femme</w:t>
            </w:r>
          </w:p>
        </w:tc>
        <w:tc>
          <w:tcPr>
            <w:tcW w:w="1030" w:type="dxa"/>
            <w:tcBorders>
              <w:top w:val="nil"/>
              <w:left w:val="nil"/>
              <w:bottom w:val="single" w:sz="4" w:space="0" w:color="auto"/>
              <w:right w:val="single" w:sz="4" w:space="0" w:color="auto"/>
            </w:tcBorders>
            <w:shd w:val="clear" w:color="auto" w:fill="auto"/>
            <w:noWrap/>
            <w:vAlign w:val="bottom"/>
            <w:hideMark/>
          </w:tcPr>
          <w:p w14:paraId="048963DD" w14:textId="77777777" w:rsidR="00F561A7" w:rsidRPr="00A9330B" w:rsidRDefault="00F561A7" w:rsidP="00F561A7">
            <w:pPr>
              <w:spacing w:before="0" w:line="240" w:lineRule="auto"/>
              <w:jc w:val="right"/>
              <w:rPr>
                <w:rFonts w:cs="Arial"/>
                <w:color w:val="000000"/>
                <w:sz w:val="18"/>
                <w:szCs w:val="18"/>
                <w:lang w:eastAsia="fr-FR"/>
              </w:rPr>
            </w:pPr>
            <w:r w:rsidRPr="00A9330B">
              <w:rPr>
                <w:rFonts w:cs="Arial"/>
                <w:color w:val="000000"/>
                <w:sz w:val="18"/>
                <w:szCs w:val="18"/>
                <w:lang w:eastAsia="fr-FR"/>
              </w:rPr>
              <w:t>72</w:t>
            </w:r>
          </w:p>
        </w:tc>
        <w:tc>
          <w:tcPr>
            <w:tcW w:w="1071" w:type="dxa"/>
            <w:tcBorders>
              <w:top w:val="nil"/>
              <w:left w:val="nil"/>
              <w:bottom w:val="single" w:sz="4" w:space="0" w:color="auto"/>
              <w:right w:val="single" w:sz="4" w:space="0" w:color="auto"/>
            </w:tcBorders>
            <w:shd w:val="clear" w:color="auto" w:fill="auto"/>
            <w:noWrap/>
            <w:vAlign w:val="bottom"/>
            <w:hideMark/>
          </w:tcPr>
          <w:p w14:paraId="25C8BF19" w14:textId="77777777" w:rsidR="00F561A7" w:rsidRPr="00A9330B" w:rsidRDefault="00F561A7" w:rsidP="00F561A7">
            <w:pPr>
              <w:spacing w:before="0" w:line="240" w:lineRule="auto"/>
              <w:jc w:val="right"/>
              <w:rPr>
                <w:rFonts w:cs="Arial"/>
                <w:color w:val="000000"/>
                <w:sz w:val="18"/>
                <w:szCs w:val="18"/>
                <w:lang w:eastAsia="fr-FR"/>
              </w:rPr>
            </w:pPr>
            <w:r w:rsidRPr="00A9330B">
              <w:rPr>
                <w:rFonts w:cs="Arial"/>
                <w:color w:val="000000"/>
                <w:sz w:val="18"/>
                <w:szCs w:val="18"/>
                <w:lang w:eastAsia="fr-FR"/>
              </w:rPr>
              <w:t>4</w:t>
            </w:r>
          </w:p>
        </w:tc>
        <w:tc>
          <w:tcPr>
            <w:tcW w:w="1215" w:type="dxa"/>
            <w:tcBorders>
              <w:top w:val="nil"/>
              <w:left w:val="nil"/>
              <w:bottom w:val="single" w:sz="4" w:space="0" w:color="auto"/>
              <w:right w:val="single" w:sz="4" w:space="0" w:color="auto"/>
            </w:tcBorders>
            <w:shd w:val="clear" w:color="auto" w:fill="auto"/>
            <w:noWrap/>
            <w:vAlign w:val="bottom"/>
            <w:hideMark/>
          </w:tcPr>
          <w:p w14:paraId="2157E332" w14:textId="77777777" w:rsidR="00F561A7" w:rsidRPr="00A9330B" w:rsidRDefault="00F561A7" w:rsidP="00F561A7">
            <w:pPr>
              <w:spacing w:before="0" w:line="240" w:lineRule="auto"/>
              <w:rPr>
                <w:rFonts w:cs="Arial"/>
                <w:color w:val="000000"/>
                <w:sz w:val="18"/>
                <w:szCs w:val="18"/>
                <w:lang w:eastAsia="fr-FR"/>
              </w:rPr>
            </w:pPr>
            <w:r w:rsidRPr="00A9330B">
              <w:rPr>
                <w:rFonts w:cs="Arial"/>
                <w:color w:val="000000"/>
                <w:sz w:val="18"/>
                <w:szCs w:val="18"/>
                <w:lang w:eastAsia="fr-FR"/>
              </w:rPr>
              <w:t>Propriétaire</w:t>
            </w:r>
          </w:p>
        </w:tc>
        <w:tc>
          <w:tcPr>
            <w:tcW w:w="1312" w:type="dxa"/>
            <w:tcBorders>
              <w:top w:val="nil"/>
              <w:left w:val="nil"/>
              <w:bottom w:val="single" w:sz="4" w:space="0" w:color="auto"/>
              <w:right w:val="single" w:sz="4" w:space="0" w:color="auto"/>
            </w:tcBorders>
            <w:shd w:val="clear" w:color="auto" w:fill="auto"/>
            <w:noWrap/>
            <w:vAlign w:val="bottom"/>
            <w:hideMark/>
          </w:tcPr>
          <w:p w14:paraId="43B3C915" w14:textId="77777777" w:rsidR="00F561A7" w:rsidRPr="00A9330B" w:rsidRDefault="00F561A7" w:rsidP="00F561A7">
            <w:pPr>
              <w:spacing w:before="0" w:line="240" w:lineRule="auto"/>
              <w:rPr>
                <w:rFonts w:cs="Arial"/>
                <w:color w:val="000000"/>
                <w:sz w:val="18"/>
                <w:szCs w:val="18"/>
                <w:lang w:eastAsia="fr-FR"/>
              </w:rPr>
            </w:pPr>
            <w:r w:rsidRPr="00A9330B">
              <w:rPr>
                <w:rFonts w:cs="Arial"/>
                <w:color w:val="000000"/>
                <w:sz w:val="18"/>
                <w:szCs w:val="18"/>
                <w:lang w:eastAsia="fr-FR"/>
              </w:rPr>
              <w:t>Élevage de porcs</w:t>
            </w:r>
          </w:p>
        </w:tc>
        <w:tc>
          <w:tcPr>
            <w:tcW w:w="1349" w:type="dxa"/>
            <w:tcBorders>
              <w:top w:val="nil"/>
              <w:left w:val="nil"/>
              <w:bottom w:val="single" w:sz="4" w:space="0" w:color="auto"/>
              <w:right w:val="single" w:sz="4" w:space="0" w:color="auto"/>
            </w:tcBorders>
            <w:shd w:val="clear" w:color="auto" w:fill="auto"/>
            <w:noWrap/>
            <w:vAlign w:val="bottom"/>
            <w:hideMark/>
          </w:tcPr>
          <w:p w14:paraId="63361540" w14:textId="77777777" w:rsidR="00F561A7" w:rsidRPr="00A9330B" w:rsidRDefault="00F561A7" w:rsidP="00F561A7">
            <w:pPr>
              <w:spacing w:before="0" w:line="240" w:lineRule="auto"/>
              <w:jc w:val="right"/>
              <w:rPr>
                <w:rFonts w:cs="Arial"/>
                <w:color w:val="000000"/>
                <w:sz w:val="18"/>
                <w:szCs w:val="18"/>
                <w:lang w:eastAsia="fr-FR"/>
              </w:rPr>
            </w:pPr>
            <w:r w:rsidRPr="00A9330B">
              <w:rPr>
                <w:rFonts w:cs="Arial"/>
                <w:color w:val="000000"/>
                <w:sz w:val="18"/>
                <w:szCs w:val="18"/>
                <w:lang w:eastAsia="fr-FR"/>
              </w:rPr>
              <w:t>5000</w:t>
            </w:r>
          </w:p>
        </w:tc>
      </w:tr>
      <w:tr w:rsidR="00F561A7" w:rsidRPr="00A9330B" w14:paraId="1036E96F" w14:textId="77777777" w:rsidTr="00340594">
        <w:trPr>
          <w:trHeight w:val="288"/>
          <w:jc w:val="center"/>
        </w:trPr>
        <w:tc>
          <w:tcPr>
            <w:tcW w:w="1030" w:type="dxa"/>
            <w:tcBorders>
              <w:top w:val="nil"/>
              <w:left w:val="single" w:sz="4" w:space="0" w:color="auto"/>
              <w:bottom w:val="single" w:sz="4" w:space="0" w:color="auto"/>
              <w:right w:val="single" w:sz="4" w:space="0" w:color="auto"/>
            </w:tcBorders>
            <w:shd w:val="clear" w:color="auto" w:fill="auto"/>
            <w:noWrap/>
            <w:vAlign w:val="bottom"/>
            <w:hideMark/>
          </w:tcPr>
          <w:p w14:paraId="47AF4E9A" w14:textId="77777777" w:rsidR="00F561A7" w:rsidRPr="00A9330B" w:rsidRDefault="00F561A7" w:rsidP="00F561A7">
            <w:pPr>
              <w:spacing w:before="0" w:line="240" w:lineRule="auto"/>
              <w:jc w:val="right"/>
              <w:rPr>
                <w:rFonts w:cs="Arial"/>
                <w:color w:val="000000"/>
                <w:sz w:val="18"/>
                <w:szCs w:val="18"/>
                <w:lang w:eastAsia="fr-FR"/>
              </w:rPr>
            </w:pPr>
            <w:r w:rsidRPr="00A9330B">
              <w:rPr>
                <w:rFonts w:cs="Arial"/>
                <w:color w:val="000000"/>
                <w:sz w:val="18"/>
                <w:szCs w:val="18"/>
                <w:lang w:eastAsia="fr-FR"/>
              </w:rPr>
              <w:t>3</w:t>
            </w:r>
          </w:p>
        </w:tc>
        <w:tc>
          <w:tcPr>
            <w:tcW w:w="1030" w:type="dxa"/>
            <w:tcBorders>
              <w:top w:val="nil"/>
              <w:left w:val="nil"/>
              <w:bottom w:val="single" w:sz="4" w:space="0" w:color="auto"/>
              <w:right w:val="single" w:sz="4" w:space="0" w:color="auto"/>
            </w:tcBorders>
            <w:shd w:val="clear" w:color="auto" w:fill="auto"/>
            <w:noWrap/>
            <w:vAlign w:val="bottom"/>
            <w:hideMark/>
          </w:tcPr>
          <w:p w14:paraId="2B673F5D" w14:textId="77777777" w:rsidR="00F561A7" w:rsidRPr="00A9330B" w:rsidRDefault="00F561A7" w:rsidP="00F561A7">
            <w:pPr>
              <w:spacing w:before="0" w:line="240" w:lineRule="auto"/>
              <w:rPr>
                <w:rFonts w:cs="Arial"/>
                <w:color w:val="000000"/>
                <w:sz w:val="18"/>
                <w:szCs w:val="18"/>
                <w:lang w:eastAsia="fr-FR"/>
              </w:rPr>
            </w:pPr>
            <w:r w:rsidRPr="00A9330B">
              <w:rPr>
                <w:rFonts w:cs="Arial"/>
                <w:color w:val="000000"/>
                <w:sz w:val="18"/>
                <w:szCs w:val="18"/>
                <w:lang w:eastAsia="fr-FR"/>
              </w:rPr>
              <w:t>NAT_12</w:t>
            </w:r>
          </w:p>
        </w:tc>
        <w:tc>
          <w:tcPr>
            <w:tcW w:w="1030" w:type="dxa"/>
            <w:tcBorders>
              <w:top w:val="nil"/>
              <w:left w:val="nil"/>
              <w:bottom w:val="single" w:sz="4" w:space="0" w:color="auto"/>
              <w:right w:val="single" w:sz="4" w:space="0" w:color="auto"/>
            </w:tcBorders>
            <w:shd w:val="clear" w:color="auto" w:fill="auto"/>
            <w:noWrap/>
            <w:vAlign w:val="bottom"/>
            <w:hideMark/>
          </w:tcPr>
          <w:p w14:paraId="32F6AF53" w14:textId="77777777" w:rsidR="00F561A7" w:rsidRPr="00A9330B" w:rsidRDefault="00F561A7" w:rsidP="00F561A7">
            <w:pPr>
              <w:spacing w:before="0" w:line="240" w:lineRule="auto"/>
              <w:rPr>
                <w:rFonts w:cs="Arial"/>
                <w:color w:val="000000"/>
                <w:sz w:val="18"/>
                <w:szCs w:val="18"/>
                <w:lang w:eastAsia="fr-FR"/>
              </w:rPr>
            </w:pPr>
            <w:r w:rsidRPr="00A9330B">
              <w:rPr>
                <w:rFonts w:cs="Arial"/>
                <w:color w:val="000000"/>
                <w:sz w:val="18"/>
                <w:szCs w:val="18"/>
                <w:lang w:eastAsia="fr-FR"/>
              </w:rPr>
              <w:t>Femme</w:t>
            </w:r>
          </w:p>
        </w:tc>
        <w:tc>
          <w:tcPr>
            <w:tcW w:w="1030" w:type="dxa"/>
            <w:tcBorders>
              <w:top w:val="nil"/>
              <w:left w:val="nil"/>
              <w:bottom w:val="single" w:sz="4" w:space="0" w:color="auto"/>
              <w:right w:val="single" w:sz="4" w:space="0" w:color="auto"/>
            </w:tcBorders>
            <w:shd w:val="clear" w:color="auto" w:fill="auto"/>
            <w:noWrap/>
            <w:vAlign w:val="bottom"/>
            <w:hideMark/>
          </w:tcPr>
          <w:p w14:paraId="3CB0C324" w14:textId="77777777" w:rsidR="00F561A7" w:rsidRPr="00A9330B" w:rsidRDefault="00F561A7" w:rsidP="00F561A7">
            <w:pPr>
              <w:spacing w:before="0" w:line="240" w:lineRule="auto"/>
              <w:jc w:val="right"/>
              <w:rPr>
                <w:rFonts w:cs="Arial"/>
                <w:color w:val="000000"/>
                <w:sz w:val="18"/>
                <w:szCs w:val="18"/>
                <w:lang w:eastAsia="fr-FR"/>
              </w:rPr>
            </w:pPr>
            <w:r w:rsidRPr="00A9330B">
              <w:rPr>
                <w:rFonts w:cs="Arial"/>
                <w:color w:val="000000"/>
                <w:sz w:val="18"/>
                <w:szCs w:val="18"/>
                <w:lang w:eastAsia="fr-FR"/>
              </w:rPr>
              <w:t>52</w:t>
            </w:r>
          </w:p>
        </w:tc>
        <w:tc>
          <w:tcPr>
            <w:tcW w:w="1071" w:type="dxa"/>
            <w:tcBorders>
              <w:top w:val="nil"/>
              <w:left w:val="nil"/>
              <w:bottom w:val="single" w:sz="4" w:space="0" w:color="auto"/>
              <w:right w:val="single" w:sz="4" w:space="0" w:color="auto"/>
            </w:tcBorders>
            <w:shd w:val="clear" w:color="auto" w:fill="auto"/>
            <w:noWrap/>
            <w:vAlign w:val="bottom"/>
            <w:hideMark/>
          </w:tcPr>
          <w:p w14:paraId="643B1A90" w14:textId="77777777" w:rsidR="00F561A7" w:rsidRPr="00A9330B" w:rsidRDefault="00F561A7" w:rsidP="00F561A7">
            <w:pPr>
              <w:spacing w:before="0" w:line="240" w:lineRule="auto"/>
              <w:jc w:val="right"/>
              <w:rPr>
                <w:rFonts w:cs="Arial"/>
                <w:color w:val="000000"/>
                <w:sz w:val="18"/>
                <w:szCs w:val="18"/>
                <w:lang w:eastAsia="fr-FR"/>
              </w:rPr>
            </w:pPr>
            <w:r w:rsidRPr="00A9330B">
              <w:rPr>
                <w:rFonts w:cs="Arial"/>
                <w:color w:val="000000"/>
                <w:sz w:val="18"/>
                <w:szCs w:val="18"/>
                <w:lang w:eastAsia="fr-FR"/>
              </w:rPr>
              <w:t>5</w:t>
            </w:r>
          </w:p>
        </w:tc>
        <w:tc>
          <w:tcPr>
            <w:tcW w:w="1215" w:type="dxa"/>
            <w:tcBorders>
              <w:top w:val="nil"/>
              <w:left w:val="nil"/>
              <w:bottom w:val="single" w:sz="4" w:space="0" w:color="auto"/>
              <w:right w:val="single" w:sz="4" w:space="0" w:color="auto"/>
            </w:tcBorders>
            <w:shd w:val="clear" w:color="auto" w:fill="auto"/>
            <w:noWrap/>
            <w:vAlign w:val="bottom"/>
            <w:hideMark/>
          </w:tcPr>
          <w:p w14:paraId="4A76E206" w14:textId="77777777" w:rsidR="00F561A7" w:rsidRPr="00A9330B" w:rsidRDefault="00F561A7" w:rsidP="00F561A7">
            <w:pPr>
              <w:spacing w:before="0" w:line="240" w:lineRule="auto"/>
              <w:rPr>
                <w:rFonts w:cs="Arial"/>
                <w:color w:val="000000"/>
                <w:sz w:val="18"/>
                <w:szCs w:val="18"/>
                <w:lang w:eastAsia="fr-FR"/>
              </w:rPr>
            </w:pPr>
            <w:r w:rsidRPr="00A9330B">
              <w:rPr>
                <w:rFonts w:cs="Arial"/>
                <w:color w:val="000000"/>
                <w:sz w:val="18"/>
                <w:szCs w:val="18"/>
                <w:lang w:eastAsia="fr-FR"/>
              </w:rPr>
              <w:t>Propriétaire</w:t>
            </w:r>
          </w:p>
        </w:tc>
        <w:tc>
          <w:tcPr>
            <w:tcW w:w="1312" w:type="dxa"/>
            <w:tcBorders>
              <w:top w:val="nil"/>
              <w:left w:val="nil"/>
              <w:bottom w:val="single" w:sz="4" w:space="0" w:color="auto"/>
              <w:right w:val="single" w:sz="4" w:space="0" w:color="auto"/>
            </w:tcBorders>
            <w:shd w:val="clear" w:color="auto" w:fill="auto"/>
            <w:noWrap/>
            <w:vAlign w:val="bottom"/>
            <w:hideMark/>
          </w:tcPr>
          <w:p w14:paraId="4DC9E69B" w14:textId="77777777" w:rsidR="00F561A7" w:rsidRPr="00A9330B" w:rsidRDefault="00F561A7" w:rsidP="00F561A7">
            <w:pPr>
              <w:spacing w:before="0" w:line="240" w:lineRule="auto"/>
              <w:rPr>
                <w:rFonts w:cs="Arial"/>
                <w:color w:val="000000"/>
                <w:sz w:val="18"/>
                <w:szCs w:val="18"/>
                <w:lang w:eastAsia="fr-FR"/>
              </w:rPr>
            </w:pPr>
            <w:r w:rsidRPr="00A9330B">
              <w:rPr>
                <w:rFonts w:cs="Arial"/>
                <w:color w:val="000000"/>
                <w:sz w:val="18"/>
                <w:szCs w:val="18"/>
                <w:lang w:eastAsia="fr-FR"/>
              </w:rPr>
              <w:t>Ménagère</w:t>
            </w:r>
          </w:p>
        </w:tc>
        <w:tc>
          <w:tcPr>
            <w:tcW w:w="1349" w:type="dxa"/>
            <w:tcBorders>
              <w:top w:val="nil"/>
              <w:left w:val="nil"/>
              <w:bottom w:val="single" w:sz="4" w:space="0" w:color="auto"/>
              <w:right w:val="single" w:sz="4" w:space="0" w:color="auto"/>
            </w:tcBorders>
            <w:shd w:val="clear" w:color="auto" w:fill="auto"/>
            <w:noWrap/>
            <w:vAlign w:val="bottom"/>
            <w:hideMark/>
          </w:tcPr>
          <w:p w14:paraId="55A0ADC3" w14:textId="77777777" w:rsidR="00F561A7" w:rsidRPr="00A9330B" w:rsidRDefault="00F561A7" w:rsidP="00F561A7">
            <w:pPr>
              <w:spacing w:before="0" w:line="240" w:lineRule="auto"/>
              <w:jc w:val="right"/>
              <w:rPr>
                <w:rFonts w:cs="Arial"/>
                <w:color w:val="000000"/>
                <w:sz w:val="18"/>
                <w:szCs w:val="18"/>
                <w:lang w:eastAsia="fr-FR"/>
              </w:rPr>
            </w:pPr>
            <w:r w:rsidRPr="00A9330B">
              <w:rPr>
                <w:rFonts w:cs="Arial"/>
                <w:color w:val="000000"/>
                <w:sz w:val="18"/>
                <w:szCs w:val="18"/>
                <w:lang w:eastAsia="fr-FR"/>
              </w:rPr>
              <w:t>5000</w:t>
            </w:r>
          </w:p>
        </w:tc>
      </w:tr>
      <w:tr w:rsidR="00F561A7" w:rsidRPr="00A9330B" w14:paraId="32E34830" w14:textId="77777777" w:rsidTr="00340594">
        <w:trPr>
          <w:trHeight w:val="288"/>
          <w:jc w:val="center"/>
        </w:trPr>
        <w:tc>
          <w:tcPr>
            <w:tcW w:w="1030" w:type="dxa"/>
            <w:tcBorders>
              <w:top w:val="nil"/>
              <w:left w:val="single" w:sz="4" w:space="0" w:color="auto"/>
              <w:bottom w:val="single" w:sz="4" w:space="0" w:color="auto"/>
              <w:right w:val="single" w:sz="4" w:space="0" w:color="auto"/>
            </w:tcBorders>
            <w:shd w:val="clear" w:color="auto" w:fill="auto"/>
            <w:noWrap/>
            <w:vAlign w:val="bottom"/>
            <w:hideMark/>
          </w:tcPr>
          <w:p w14:paraId="25A607C4" w14:textId="77777777" w:rsidR="00F561A7" w:rsidRPr="00A9330B" w:rsidRDefault="00F561A7" w:rsidP="00F561A7">
            <w:pPr>
              <w:spacing w:before="0" w:line="240" w:lineRule="auto"/>
              <w:jc w:val="right"/>
              <w:rPr>
                <w:rFonts w:cs="Arial"/>
                <w:color w:val="000000"/>
                <w:sz w:val="18"/>
                <w:szCs w:val="18"/>
                <w:lang w:eastAsia="fr-FR"/>
              </w:rPr>
            </w:pPr>
            <w:r w:rsidRPr="00A9330B">
              <w:rPr>
                <w:rFonts w:cs="Arial"/>
                <w:color w:val="000000"/>
                <w:sz w:val="18"/>
                <w:szCs w:val="18"/>
                <w:lang w:eastAsia="fr-FR"/>
              </w:rPr>
              <w:t>4</w:t>
            </w:r>
          </w:p>
        </w:tc>
        <w:tc>
          <w:tcPr>
            <w:tcW w:w="1030" w:type="dxa"/>
            <w:tcBorders>
              <w:top w:val="nil"/>
              <w:left w:val="nil"/>
              <w:bottom w:val="single" w:sz="4" w:space="0" w:color="auto"/>
              <w:right w:val="single" w:sz="4" w:space="0" w:color="auto"/>
            </w:tcBorders>
            <w:shd w:val="clear" w:color="auto" w:fill="auto"/>
            <w:noWrap/>
            <w:vAlign w:val="bottom"/>
            <w:hideMark/>
          </w:tcPr>
          <w:p w14:paraId="6D84A5C5" w14:textId="77777777" w:rsidR="00F561A7" w:rsidRPr="00A9330B" w:rsidRDefault="00F561A7" w:rsidP="00F561A7">
            <w:pPr>
              <w:spacing w:before="0" w:line="240" w:lineRule="auto"/>
              <w:rPr>
                <w:rFonts w:cs="Arial"/>
                <w:color w:val="000000"/>
                <w:sz w:val="18"/>
                <w:szCs w:val="18"/>
                <w:lang w:eastAsia="fr-FR"/>
              </w:rPr>
            </w:pPr>
            <w:r w:rsidRPr="00A9330B">
              <w:rPr>
                <w:rFonts w:cs="Arial"/>
                <w:color w:val="000000"/>
                <w:sz w:val="18"/>
                <w:szCs w:val="18"/>
                <w:lang w:eastAsia="fr-FR"/>
              </w:rPr>
              <w:t>NAT_23</w:t>
            </w:r>
          </w:p>
        </w:tc>
        <w:tc>
          <w:tcPr>
            <w:tcW w:w="1030" w:type="dxa"/>
            <w:tcBorders>
              <w:top w:val="nil"/>
              <w:left w:val="nil"/>
              <w:bottom w:val="single" w:sz="4" w:space="0" w:color="auto"/>
              <w:right w:val="single" w:sz="4" w:space="0" w:color="auto"/>
            </w:tcBorders>
            <w:shd w:val="clear" w:color="auto" w:fill="auto"/>
            <w:noWrap/>
            <w:vAlign w:val="bottom"/>
            <w:hideMark/>
          </w:tcPr>
          <w:p w14:paraId="14D85FEB" w14:textId="77777777" w:rsidR="00F561A7" w:rsidRPr="00A9330B" w:rsidRDefault="00F561A7" w:rsidP="00F561A7">
            <w:pPr>
              <w:spacing w:before="0" w:line="240" w:lineRule="auto"/>
              <w:rPr>
                <w:rFonts w:cs="Arial"/>
                <w:color w:val="000000"/>
                <w:sz w:val="18"/>
                <w:szCs w:val="18"/>
                <w:lang w:eastAsia="fr-FR"/>
              </w:rPr>
            </w:pPr>
            <w:r w:rsidRPr="00A9330B">
              <w:rPr>
                <w:rFonts w:cs="Arial"/>
                <w:color w:val="000000"/>
                <w:sz w:val="18"/>
                <w:szCs w:val="18"/>
                <w:lang w:eastAsia="fr-FR"/>
              </w:rPr>
              <w:t>Femme</w:t>
            </w:r>
          </w:p>
        </w:tc>
        <w:tc>
          <w:tcPr>
            <w:tcW w:w="1030" w:type="dxa"/>
            <w:tcBorders>
              <w:top w:val="nil"/>
              <w:left w:val="nil"/>
              <w:bottom w:val="single" w:sz="4" w:space="0" w:color="auto"/>
              <w:right w:val="single" w:sz="4" w:space="0" w:color="auto"/>
            </w:tcBorders>
            <w:shd w:val="clear" w:color="auto" w:fill="auto"/>
            <w:noWrap/>
            <w:vAlign w:val="bottom"/>
            <w:hideMark/>
          </w:tcPr>
          <w:p w14:paraId="4BE47CD5" w14:textId="77777777" w:rsidR="00F561A7" w:rsidRPr="00A9330B" w:rsidRDefault="00F561A7" w:rsidP="00F561A7">
            <w:pPr>
              <w:spacing w:before="0" w:line="240" w:lineRule="auto"/>
              <w:jc w:val="right"/>
              <w:rPr>
                <w:rFonts w:cs="Arial"/>
                <w:color w:val="000000"/>
                <w:sz w:val="18"/>
                <w:szCs w:val="18"/>
                <w:lang w:eastAsia="fr-FR"/>
              </w:rPr>
            </w:pPr>
            <w:r w:rsidRPr="00A9330B">
              <w:rPr>
                <w:rFonts w:cs="Arial"/>
                <w:color w:val="000000"/>
                <w:sz w:val="18"/>
                <w:szCs w:val="18"/>
                <w:lang w:eastAsia="fr-FR"/>
              </w:rPr>
              <w:t>58</w:t>
            </w:r>
          </w:p>
        </w:tc>
        <w:tc>
          <w:tcPr>
            <w:tcW w:w="1071" w:type="dxa"/>
            <w:tcBorders>
              <w:top w:val="nil"/>
              <w:left w:val="nil"/>
              <w:bottom w:val="single" w:sz="4" w:space="0" w:color="auto"/>
              <w:right w:val="single" w:sz="4" w:space="0" w:color="auto"/>
            </w:tcBorders>
            <w:shd w:val="clear" w:color="auto" w:fill="auto"/>
            <w:noWrap/>
            <w:vAlign w:val="bottom"/>
            <w:hideMark/>
          </w:tcPr>
          <w:p w14:paraId="1795D5A4" w14:textId="77777777" w:rsidR="00F561A7" w:rsidRPr="00A9330B" w:rsidRDefault="00F561A7" w:rsidP="00F561A7">
            <w:pPr>
              <w:spacing w:before="0" w:line="240" w:lineRule="auto"/>
              <w:jc w:val="right"/>
              <w:rPr>
                <w:rFonts w:cs="Arial"/>
                <w:color w:val="000000"/>
                <w:sz w:val="18"/>
                <w:szCs w:val="18"/>
                <w:lang w:eastAsia="fr-FR"/>
              </w:rPr>
            </w:pPr>
            <w:r w:rsidRPr="00A9330B">
              <w:rPr>
                <w:rFonts w:cs="Arial"/>
                <w:color w:val="000000"/>
                <w:sz w:val="18"/>
                <w:szCs w:val="18"/>
                <w:lang w:eastAsia="fr-FR"/>
              </w:rPr>
              <w:t>4</w:t>
            </w:r>
          </w:p>
        </w:tc>
        <w:tc>
          <w:tcPr>
            <w:tcW w:w="1215" w:type="dxa"/>
            <w:tcBorders>
              <w:top w:val="nil"/>
              <w:left w:val="nil"/>
              <w:bottom w:val="single" w:sz="4" w:space="0" w:color="auto"/>
              <w:right w:val="single" w:sz="4" w:space="0" w:color="auto"/>
            </w:tcBorders>
            <w:shd w:val="clear" w:color="auto" w:fill="auto"/>
            <w:noWrap/>
            <w:vAlign w:val="bottom"/>
            <w:hideMark/>
          </w:tcPr>
          <w:p w14:paraId="6A31BB62" w14:textId="77777777" w:rsidR="00F561A7" w:rsidRPr="00A9330B" w:rsidRDefault="00F561A7" w:rsidP="00F561A7">
            <w:pPr>
              <w:spacing w:before="0" w:line="240" w:lineRule="auto"/>
              <w:rPr>
                <w:rFonts w:cs="Arial"/>
                <w:color w:val="000000"/>
                <w:sz w:val="18"/>
                <w:szCs w:val="18"/>
                <w:lang w:eastAsia="fr-FR"/>
              </w:rPr>
            </w:pPr>
            <w:r w:rsidRPr="00A9330B">
              <w:rPr>
                <w:rFonts w:cs="Arial"/>
                <w:color w:val="000000"/>
                <w:sz w:val="18"/>
                <w:szCs w:val="18"/>
                <w:lang w:eastAsia="fr-FR"/>
              </w:rPr>
              <w:t>Propriétaire</w:t>
            </w:r>
          </w:p>
        </w:tc>
        <w:tc>
          <w:tcPr>
            <w:tcW w:w="1312" w:type="dxa"/>
            <w:tcBorders>
              <w:top w:val="nil"/>
              <w:left w:val="nil"/>
              <w:bottom w:val="single" w:sz="4" w:space="0" w:color="auto"/>
              <w:right w:val="single" w:sz="4" w:space="0" w:color="auto"/>
            </w:tcBorders>
            <w:shd w:val="clear" w:color="auto" w:fill="auto"/>
            <w:noWrap/>
            <w:vAlign w:val="bottom"/>
            <w:hideMark/>
          </w:tcPr>
          <w:p w14:paraId="10EE9165" w14:textId="77777777" w:rsidR="00F561A7" w:rsidRPr="00A9330B" w:rsidRDefault="00F561A7" w:rsidP="00F561A7">
            <w:pPr>
              <w:spacing w:before="0" w:line="240" w:lineRule="auto"/>
              <w:rPr>
                <w:rFonts w:cs="Arial"/>
                <w:color w:val="000000"/>
                <w:sz w:val="18"/>
                <w:szCs w:val="18"/>
                <w:lang w:eastAsia="fr-FR"/>
              </w:rPr>
            </w:pPr>
            <w:r w:rsidRPr="00A9330B">
              <w:rPr>
                <w:rFonts w:cs="Arial"/>
                <w:color w:val="000000"/>
                <w:sz w:val="18"/>
                <w:szCs w:val="18"/>
                <w:lang w:eastAsia="fr-FR"/>
              </w:rPr>
              <w:t>Artisanat</w:t>
            </w:r>
          </w:p>
        </w:tc>
        <w:tc>
          <w:tcPr>
            <w:tcW w:w="1349" w:type="dxa"/>
            <w:tcBorders>
              <w:top w:val="nil"/>
              <w:left w:val="nil"/>
              <w:bottom w:val="single" w:sz="4" w:space="0" w:color="auto"/>
              <w:right w:val="single" w:sz="4" w:space="0" w:color="auto"/>
            </w:tcBorders>
            <w:shd w:val="clear" w:color="auto" w:fill="auto"/>
            <w:noWrap/>
            <w:vAlign w:val="bottom"/>
            <w:hideMark/>
          </w:tcPr>
          <w:p w14:paraId="2B4C8DA9" w14:textId="77777777" w:rsidR="00F561A7" w:rsidRPr="00A9330B" w:rsidRDefault="00F561A7" w:rsidP="00F561A7">
            <w:pPr>
              <w:spacing w:before="0" w:line="240" w:lineRule="auto"/>
              <w:jc w:val="right"/>
              <w:rPr>
                <w:rFonts w:cs="Arial"/>
                <w:color w:val="000000"/>
                <w:sz w:val="18"/>
                <w:szCs w:val="18"/>
                <w:lang w:eastAsia="fr-FR"/>
              </w:rPr>
            </w:pPr>
            <w:r w:rsidRPr="00A9330B">
              <w:rPr>
                <w:rFonts w:cs="Arial"/>
                <w:color w:val="000000"/>
                <w:sz w:val="18"/>
                <w:szCs w:val="18"/>
                <w:lang w:eastAsia="fr-FR"/>
              </w:rPr>
              <w:t>2000</w:t>
            </w:r>
          </w:p>
        </w:tc>
      </w:tr>
      <w:tr w:rsidR="00F561A7" w:rsidRPr="00A9330B" w14:paraId="4E239555" w14:textId="77777777" w:rsidTr="00340594">
        <w:trPr>
          <w:trHeight w:val="288"/>
          <w:jc w:val="center"/>
        </w:trPr>
        <w:tc>
          <w:tcPr>
            <w:tcW w:w="1030" w:type="dxa"/>
            <w:tcBorders>
              <w:top w:val="nil"/>
              <w:left w:val="single" w:sz="4" w:space="0" w:color="auto"/>
              <w:bottom w:val="single" w:sz="4" w:space="0" w:color="auto"/>
              <w:right w:val="single" w:sz="4" w:space="0" w:color="auto"/>
            </w:tcBorders>
            <w:shd w:val="clear" w:color="auto" w:fill="auto"/>
            <w:noWrap/>
            <w:vAlign w:val="bottom"/>
            <w:hideMark/>
          </w:tcPr>
          <w:p w14:paraId="54553154" w14:textId="77777777" w:rsidR="00F561A7" w:rsidRPr="00A9330B" w:rsidRDefault="00F561A7" w:rsidP="00F561A7">
            <w:pPr>
              <w:spacing w:before="0" w:line="240" w:lineRule="auto"/>
              <w:jc w:val="right"/>
              <w:rPr>
                <w:rFonts w:cs="Arial"/>
                <w:color w:val="000000"/>
                <w:sz w:val="18"/>
                <w:szCs w:val="18"/>
                <w:lang w:eastAsia="fr-FR"/>
              </w:rPr>
            </w:pPr>
            <w:r w:rsidRPr="00A9330B">
              <w:rPr>
                <w:rFonts w:cs="Arial"/>
                <w:color w:val="000000"/>
                <w:sz w:val="18"/>
                <w:szCs w:val="18"/>
                <w:lang w:eastAsia="fr-FR"/>
              </w:rPr>
              <w:t>5</w:t>
            </w:r>
          </w:p>
        </w:tc>
        <w:tc>
          <w:tcPr>
            <w:tcW w:w="1030" w:type="dxa"/>
            <w:tcBorders>
              <w:top w:val="nil"/>
              <w:left w:val="nil"/>
              <w:bottom w:val="single" w:sz="4" w:space="0" w:color="auto"/>
              <w:right w:val="single" w:sz="4" w:space="0" w:color="auto"/>
            </w:tcBorders>
            <w:shd w:val="clear" w:color="auto" w:fill="auto"/>
            <w:noWrap/>
            <w:vAlign w:val="bottom"/>
            <w:hideMark/>
          </w:tcPr>
          <w:p w14:paraId="63523FD3" w14:textId="77777777" w:rsidR="00F561A7" w:rsidRPr="00A9330B" w:rsidRDefault="00F561A7" w:rsidP="00F561A7">
            <w:pPr>
              <w:spacing w:before="0" w:line="240" w:lineRule="auto"/>
              <w:rPr>
                <w:rFonts w:cs="Arial"/>
                <w:color w:val="000000"/>
                <w:sz w:val="18"/>
                <w:szCs w:val="18"/>
                <w:lang w:eastAsia="fr-FR"/>
              </w:rPr>
            </w:pPr>
            <w:r w:rsidRPr="00A9330B">
              <w:rPr>
                <w:rFonts w:cs="Arial"/>
                <w:color w:val="000000"/>
                <w:sz w:val="18"/>
                <w:szCs w:val="18"/>
                <w:lang w:eastAsia="fr-FR"/>
              </w:rPr>
              <w:t>NAT_26</w:t>
            </w:r>
          </w:p>
        </w:tc>
        <w:tc>
          <w:tcPr>
            <w:tcW w:w="1030" w:type="dxa"/>
            <w:tcBorders>
              <w:top w:val="nil"/>
              <w:left w:val="nil"/>
              <w:bottom w:val="single" w:sz="4" w:space="0" w:color="auto"/>
              <w:right w:val="single" w:sz="4" w:space="0" w:color="auto"/>
            </w:tcBorders>
            <w:shd w:val="clear" w:color="auto" w:fill="auto"/>
            <w:noWrap/>
            <w:vAlign w:val="bottom"/>
            <w:hideMark/>
          </w:tcPr>
          <w:p w14:paraId="65677976" w14:textId="77777777" w:rsidR="00F561A7" w:rsidRPr="00A9330B" w:rsidRDefault="00F561A7" w:rsidP="00F561A7">
            <w:pPr>
              <w:spacing w:before="0" w:line="240" w:lineRule="auto"/>
              <w:rPr>
                <w:rFonts w:cs="Arial"/>
                <w:color w:val="000000"/>
                <w:sz w:val="18"/>
                <w:szCs w:val="18"/>
                <w:lang w:eastAsia="fr-FR"/>
              </w:rPr>
            </w:pPr>
            <w:r w:rsidRPr="00A9330B">
              <w:rPr>
                <w:rFonts w:cs="Arial"/>
                <w:color w:val="000000"/>
                <w:sz w:val="18"/>
                <w:szCs w:val="18"/>
                <w:lang w:eastAsia="fr-FR"/>
              </w:rPr>
              <w:t>Femme</w:t>
            </w:r>
          </w:p>
        </w:tc>
        <w:tc>
          <w:tcPr>
            <w:tcW w:w="1030" w:type="dxa"/>
            <w:tcBorders>
              <w:top w:val="nil"/>
              <w:left w:val="nil"/>
              <w:bottom w:val="single" w:sz="4" w:space="0" w:color="auto"/>
              <w:right w:val="single" w:sz="4" w:space="0" w:color="auto"/>
            </w:tcBorders>
            <w:shd w:val="clear" w:color="auto" w:fill="auto"/>
            <w:noWrap/>
            <w:vAlign w:val="bottom"/>
            <w:hideMark/>
          </w:tcPr>
          <w:p w14:paraId="4DAB8EB7" w14:textId="77777777" w:rsidR="00F561A7" w:rsidRPr="00A9330B" w:rsidRDefault="00F561A7" w:rsidP="00F561A7">
            <w:pPr>
              <w:spacing w:before="0" w:line="240" w:lineRule="auto"/>
              <w:jc w:val="right"/>
              <w:rPr>
                <w:rFonts w:cs="Arial"/>
                <w:color w:val="000000"/>
                <w:sz w:val="18"/>
                <w:szCs w:val="18"/>
                <w:lang w:eastAsia="fr-FR"/>
              </w:rPr>
            </w:pPr>
            <w:r w:rsidRPr="00A9330B">
              <w:rPr>
                <w:rFonts w:cs="Arial"/>
                <w:color w:val="000000"/>
                <w:sz w:val="18"/>
                <w:szCs w:val="18"/>
                <w:lang w:eastAsia="fr-FR"/>
              </w:rPr>
              <w:t>42</w:t>
            </w:r>
          </w:p>
        </w:tc>
        <w:tc>
          <w:tcPr>
            <w:tcW w:w="1071" w:type="dxa"/>
            <w:tcBorders>
              <w:top w:val="nil"/>
              <w:left w:val="nil"/>
              <w:bottom w:val="single" w:sz="4" w:space="0" w:color="auto"/>
              <w:right w:val="single" w:sz="4" w:space="0" w:color="auto"/>
            </w:tcBorders>
            <w:shd w:val="clear" w:color="auto" w:fill="auto"/>
            <w:noWrap/>
            <w:vAlign w:val="bottom"/>
            <w:hideMark/>
          </w:tcPr>
          <w:p w14:paraId="498EDD12" w14:textId="77777777" w:rsidR="00F561A7" w:rsidRPr="00A9330B" w:rsidRDefault="00F561A7" w:rsidP="00F561A7">
            <w:pPr>
              <w:spacing w:before="0" w:line="240" w:lineRule="auto"/>
              <w:jc w:val="right"/>
              <w:rPr>
                <w:rFonts w:cs="Arial"/>
                <w:color w:val="000000"/>
                <w:sz w:val="18"/>
                <w:szCs w:val="18"/>
                <w:lang w:eastAsia="fr-FR"/>
              </w:rPr>
            </w:pPr>
            <w:r w:rsidRPr="00A9330B">
              <w:rPr>
                <w:rFonts w:cs="Arial"/>
                <w:color w:val="000000"/>
                <w:sz w:val="18"/>
                <w:szCs w:val="18"/>
                <w:lang w:eastAsia="fr-FR"/>
              </w:rPr>
              <w:t>3</w:t>
            </w:r>
          </w:p>
        </w:tc>
        <w:tc>
          <w:tcPr>
            <w:tcW w:w="1215" w:type="dxa"/>
            <w:tcBorders>
              <w:top w:val="nil"/>
              <w:left w:val="nil"/>
              <w:bottom w:val="single" w:sz="4" w:space="0" w:color="auto"/>
              <w:right w:val="single" w:sz="4" w:space="0" w:color="auto"/>
            </w:tcBorders>
            <w:shd w:val="clear" w:color="auto" w:fill="auto"/>
            <w:noWrap/>
            <w:vAlign w:val="bottom"/>
            <w:hideMark/>
          </w:tcPr>
          <w:p w14:paraId="08C3C62C" w14:textId="77777777" w:rsidR="00F561A7" w:rsidRPr="00A9330B" w:rsidRDefault="00F561A7" w:rsidP="00F561A7">
            <w:pPr>
              <w:spacing w:before="0" w:line="240" w:lineRule="auto"/>
              <w:rPr>
                <w:rFonts w:cs="Arial"/>
                <w:color w:val="000000"/>
                <w:sz w:val="18"/>
                <w:szCs w:val="18"/>
                <w:lang w:eastAsia="fr-FR"/>
              </w:rPr>
            </w:pPr>
            <w:r w:rsidRPr="00A9330B">
              <w:rPr>
                <w:rFonts w:cs="Arial"/>
                <w:color w:val="000000"/>
                <w:sz w:val="18"/>
                <w:szCs w:val="18"/>
                <w:lang w:eastAsia="fr-FR"/>
              </w:rPr>
              <w:t>Propriétaire</w:t>
            </w:r>
          </w:p>
        </w:tc>
        <w:tc>
          <w:tcPr>
            <w:tcW w:w="1312" w:type="dxa"/>
            <w:tcBorders>
              <w:top w:val="nil"/>
              <w:left w:val="nil"/>
              <w:bottom w:val="single" w:sz="4" w:space="0" w:color="auto"/>
              <w:right w:val="single" w:sz="4" w:space="0" w:color="auto"/>
            </w:tcBorders>
            <w:shd w:val="clear" w:color="auto" w:fill="auto"/>
            <w:noWrap/>
            <w:vAlign w:val="bottom"/>
            <w:hideMark/>
          </w:tcPr>
          <w:p w14:paraId="59963629" w14:textId="77777777" w:rsidR="00F561A7" w:rsidRPr="00A9330B" w:rsidRDefault="00F561A7" w:rsidP="00F561A7">
            <w:pPr>
              <w:spacing w:before="0" w:line="240" w:lineRule="auto"/>
              <w:rPr>
                <w:rFonts w:cs="Arial"/>
                <w:color w:val="000000"/>
                <w:sz w:val="18"/>
                <w:szCs w:val="18"/>
                <w:lang w:eastAsia="fr-FR"/>
              </w:rPr>
            </w:pPr>
            <w:r w:rsidRPr="00A9330B">
              <w:rPr>
                <w:rFonts w:cs="Arial"/>
                <w:color w:val="000000"/>
                <w:sz w:val="18"/>
                <w:szCs w:val="18"/>
                <w:lang w:eastAsia="fr-FR"/>
              </w:rPr>
              <w:t>Commerce</w:t>
            </w:r>
          </w:p>
        </w:tc>
        <w:tc>
          <w:tcPr>
            <w:tcW w:w="1349" w:type="dxa"/>
            <w:tcBorders>
              <w:top w:val="nil"/>
              <w:left w:val="nil"/>
              <w:bottom w:val="single" w:sz="4" w:space="0" w:color="auto"/>
              <w:right w:val="single" w:sz="4" w:space="0" w:color="auto"/>
            </w:tcBorders>
            <w:shd w:val="clear" w:color="auto" w:fill="auto"/>
            <w:noWrap/>
            <w:vAlign w:val="bottom"/>
            <w:hideMark/>
          </w:tcPr>
          <w:p w14:paraId="72A8BB3A" w14:textId="77777777" w:rsidR="00F561A7" w:rsidRPr="00A9330B" w:rsidRDefault="00F561A7" w:rsidP="00F561A7">
            <w:pPr>
              <w:spacing w:before="0" w:line="240" w:lineRule="auto"/>
              <w:jc w:val="right"/>
              <w:rPr>
                <w:rFonts w:cs="Arial"/>
                <w:color w:val="000000"/>
                <w:sz w:val="18"/>
                <w:szCs w:val="18"/>
                <w:lang w:eastAsia="fr-FR"/>
              </w:rPr>
            </w:pPr>
            <w:r w:rsidRPr="00A9330B">
              <w:rPr>
                <w:rFonts w:cs="Arial"/>
                <w:color w:val="000000"/>
                <w:sz w:val="18"/>
                <w:szCs w:val="18"/>
                <w:lang w:eastAsia="fr-FR"/>
              </w:rPr>
              <w:t>2000</w:t>
            </w:r>
          </w:p>
        </w:tc>
      </w:tr>
      <w:tr w:rsidR="00F561A7" w:rsidRPr="00A9330B" w14:paraId="4F316F3E" w14:textId="77777777" w:rsidTr="00340594">
        <w:trPr>
          <w:trHeight w:val="288"/>
          <w:jc w:val="center"/>
        </w:trPr>
        <w:tc>
          <w:tcPr>
            <w:tcW w:w="1030" w:type="dxa"/>
            <w:tcBorders>
              <w:top w:val="nil"/>
              <w:left w:val="single" w:sz="4" w:space="0" w:color="auto"/>
              <w:bottom w:val="single" w:sz="4" w:space="0" w:color="auto"/>
              <w:right w:val="single" w:sz="4" w:space="0" w:color="auto"/>
            </w:tcBorders>
            <w:shd w:val="clear" w:color="auto" w:fill="auto"/>
            <w:noWrap/>
            <w:vAlign w:val="bottom"/>
            <w:hideMark/>
          </w:tcPr>
          <w:p w14:paraId="4624C20F" w14:textId="77777777" w:rsidR="00F561A7" w:rsidRPr="00A9330B" w:rsidRDefault="00F561A7" w:rsidP="00F561A7">
            <w:pPr>
              <w:spacing w:before="0" w:line="240" w:lineRule="auto"/>
              <w:jc w:val="right"/>
              <w:rPr>
                <w:rFonts w:cs="Arial"/>
                <w:color w:val="000000"/>
                <w:sz w:val="18"/>
                <w:szCs w:val="18"/>
                <w:lang w:eastAsia="fr-FR"/>
              </w:rPr>
            </w:pPr>
            <w:r w:rsidRPr="00A9330B">
              <w:rPr>
                <w:rFonts w:cs="Arial"/>
                <w:color w:val="000000"/>
                <w:sz w:val="18"/>
                <w:szCs w:val="18"/>
                <w:lang w:eastAsia="fr-FR"/>
              </w:rPr>
              <w:t>6</w:t>
            </w:r>
          </w:p>
        </w:tc>
        <w:tc>
          <w:tcPr>
            <w:tcW w:w="1030" w:type="dxa"/>
            <w:tcBorders>
              <w:top w:val="nil"/>
              <w:left w:val="nil"/>
              <w:bottom w:val="single" w:sz="4" w:space="0" w:color="auto"/>
              <w:right w:val="single" w:sz="4" w:space="0" w:color="auto"/>
            </w:tcBorders>
            <w:shd w:val="clear" w:color="auto" w:fill="auto"/>
            <w:noWrap/>
            <w:vAlign w:val="bottom"/>
            <w:hideMark/>
          </w:tcPr>
          <w:p w14:paraId="0B358DAC" w14:textId="77777777" w:rsidR="00F561A7" w:rsidRPr="00A9330B" w:rsidRDefault="00F561A7" w:rsidP="00F561A7">
            <w:pPr>
              <w:spacing w:before="0" w:line="240" w:lineRule="auto"/>
              <w:rPr>
                <w:rFonts w:cs="Arial"/>
                <w:color w:val="000000"/>
                <w:sz w:val="18"/>
                <w:szCs w:val="18"/>
                <w:lang w:eastAsia="fr-FR"/>
              </w:rPr>
            </w:pPr>
            <w:r w:rsidRPr="00A9330B">
              <w:rPr>
                <w:rFonts w:cs="Arial"/>
                <w:color w:val="000000"/>
                <w:sz w:val="18"/>
                <w:szCs w:val="18"/>
                <w:lang w:eastAsia="fr-FR"/>
              </w:rPr>
              <w:t>NAT_38</w:t>
            </w:r>
          </w:p>
        </w:tc>
        <w:tc>
          <w:tcPr>
            <w:tcW w:w="1030" w:type="dxa"/>
            <w:tcBorders>
              <w:top w:val="nil"/>
              <w:left w:val="nil"/>
              <w:bottom w:val="single" w:sz="4" w:space="0" w:color="auto"/>
              <w:right w:val="single" w:sz="4" w:space="0" w:color="auto"/>
            </w:tcBorders>
            <w:shd w:val="clear" w:color="auto" w:fill="auto"/>
            <w:noWrap/>
            <w:vAlign w:val="bottom"/>
            <w:hideMark/>
          </w:tcPr>
          <w:p w14:paraId="2088B942" w14:textId="77777777" w:rsidR="00F561A7" w:rsidRPr="00A9330B" w:rsidRDefault="00F561A7" w:rsidP="00F561A7">
            <w:pPr>
              <w:spacing w:before="0" w:line="240" w:lineRule="auto"/>
              <w:rPr>
                <w:rFonts w:cs="Arial"/>
                <w:color w:val="000000"/>
                <w:sz w:val="18"/>
                <w:szCs w:val="18"/>
                <w:lang w:eastAsia="fr-FR"/>
              </w:rPr>
            </w:pPr>
            <w:r w:rsidRPr="00A9330B">
              <w:rPr>
                <w:rFonts w:cs="Arial"/>
                <w:color w:val="000000"/>
                <w:sz w:val="18"/>
                <w:szCs w:val="18"/>
                <w:lang w:eastAsia="fr-FR"/>
              </w:rPr>
              <w:t>Femme</w:t>
            </w:r>
          </w:p>
        </w:tc>
        <w:tc>
          <w:tcPr>
            <w:tcW w:w="1030" w:type="dxa"/>
            <w:tcBorders>
              <w:top w:val="nil"/>
              <w:left w:val="nil"/>
              <w:bottom w:val="single" w:sz="4" w:space="0" w:color="auto"/>
              <w:right w:val="single" w:sz="4" w:space="0" w:color="auto"/>
            </w:tcBorders>
            <w:shd w:val="clear" w:color="auto" w:fill="auto"/>
            <w:noWrap/>
            <w:vAlign w:val="bottom"/>
            <w:hideMark/>
          </w:tcPr>
          <w:p w14:paraId="3837CE2D" w14:textId="77777777" w:rsidR="00F561A7" w:rsidRPr="00A9330B" w:rsidRDefault="00F561A7" w:rsidP="00F561A7">
            <w:pPr>
              <w:spacing w:before="0" w:line="240" w:lineRule="auto"/>
              <w:jc w:val="right"/>
              <w:rPr>
                <w:rFonts w:cs="Arial"/>
                <w:color w:val="000000"/>
                <w:sz w:val="18"/>
                <w:szCs w:val="18"/>
                <w:lang w:eastAsia="fr-FR"/>
              </w:rPr>
            </w:pPr>
            <w:r w:rsidRPr="00A9330B">
              <w:rPr>
                <w:rFonts w:cs="Arial"/>
                <w:color w:val="000000"/>
                <w:sz w:val="18"/>
                <w:szCs w:val="18"/>
                <w:lang w:eastAsia="fr-FR"/>
              </w:rPr>
              <w:t>56</w:t>
            </w:r>
          </w:p>
        </w:tc>
        <w:tc>
          <w:tcPr>
            <w:tcW w:w="1071" w:type="dxa"/>
            <w:tcBorders>
              <w:top w:val="nil"/>
              <w:left w:val="nil"/>
              <w:bottom w:val="single" w:sz="4" w:space="0" w:color="auto"/>
              <w:right w:val="single" w:sz="4" w:space="0" w:color="auto"/>
            </w:tcBorders>
            <w:shd w:val="clear" w:color="auto" w:fill="auto"/>
            <w:noWrap/>
            <w:vAlign w:val="bottom"/>
            <w:hideMark/>
          </w:tcPr>
          <w:p w14:paraId="4FED6CD6" w14:textId="77777777" w:rsidR="00F561A7" w:rsidRPr="00A9330B" w:rsidRDefault="00F561A7" w:rsidP="00F561A7">
            <w:pPr>
              <w:spacing w:before="0" w:line="240" w:lineRule="auto"/>
              <w:jc w:val="right"/>
              <w:rPr>
                <w:rFonts w:cs="Arial"/>
                <w:color w:val="000000"/>
                <w:sz w:val="18"/>
                <w:szCs w:val="18"/>
                <w:lang w:eastAsia="fr-FR"/>
              </w:rPr>
            </w:pPr>
            <w:r w:rsidRPr="00A9330B">
              <w:rPr>
                <w:rFonts w:cs="Arial"/>
                <w:color w:val="000000"/>
                <w:sz w:val="18"/>
                <w:szCs w:val="18"/>
                <w:lang w:eastAsia="fr-FR"/>
              </w:rPr>
              <w:t>13</w:t>
            </w:r>
          </w:p>
        </w:tc>
        <w:tc>
          <w:tcPr>
            <w:tcW w:w="1215" w:type="dxa"/>
            <w:tcBorders>
              <w:top w:val="nil"/>
              <w:left w:val="nil"/>
              <w:bottom w:val="single" w:sz="4" w:space="0" w:color="auto"/>
              <w:right w:val="single" w:sz="4" w:space="0" w:color="auto"/>
            </w:tcBorders>
            <w:shd w:val="clear" w:color="auto" w:fill="auto"/>
            <w:noWrap/>
            <w:vAlign w:val="bottom"/>
            <w:hideMark/>
          </w:tcPr>
          <w:p w14:paraId="62753B6F" w14:textId="77777777" w:rsidR="00F561A7" w:rsidRPr="00A9330B" w:rsidRDefault="00F561A7" w:rsidP="00F561A7">
            <w:pPr>
              <w:spacing w:before="0" w:line="240" w:lineRule="auto"/>
              <w:rPr>
                <w:rFonts w:cs="Arial"/>
                <w:color w:val="000000"/>
                <w:sz w:val="18"/>
                <w:szCs w:val="18"/>
                <w:lang w:eastAsia="fr-FR"/>
              </w:rPr>
            </w:pPr>
            <w:r w:rsidRPr="00A9330B">
              <w:rPr>
                <w:rFonts w:cs="Arial"/>
                <w:color w:val="000000"/>
                <w:sz w:val="18"/>
                <w:szCs w:val="18"/>
                <w:lang w:eastAsia="fr-FR"/>
              </w:rPr>
              <w:t>Propriétaire</w:t>
            </w:r>
          </w:p>
        </w:tc>
        <w:tc>
          <w:tcPr>
            <w:tcW w:w="1312" w:type="dxa"/>
            <w:tcBorders>
              <w:top w:val="nil"/>
              <w:left w:val="nil"/>
              <w:bottom w:val="single" w:sz="4" w:space="0" w:color="auto"/>
              <w:right w:val="single" w:sz="4" w:space="0" w:color="auto"/>
            </w:tcBorders>
            <w:shd w:val="clear" w:color="auto" w:fill="auto"/>
            <w:noWrap/>
            <w:vAlign w:val="bottom"/>
            <w:hideMark/>
          </w:tcPr>
          <w:p w14:paraId="46760E88" w14:textId="77777777" w:rsidR="00F561A7" w:rsidRPr="00A9330B" w:rsidRDefault="00F561A7" w:rsidP="00F561A7">
            <w:pPr>
              <w:spacing w:before="0" w:line="240" w:lineRule="auto"/>
              <w:rPr>
                <w:rFonts w:cs="Arial"/>
                <w:color w:val="000000"/>
                <w:sz w:val="18"/>
                <w:szCs w:val="18"/>
                <w:lang w:eastAsia="fr-FR"/>
              </w:rPr>
            </w:pPr>
            <w:r w:rsidRPr="00A9330B">
              <w:rPr>
                <w:rFonts w:cs="Arial"/>
                <w:color w:val="000000"/>
                <w:sz w:val="18"/>
                <w:szCs w:val="18"/>
                <w:lang w:eastAsia="fr-FR"/>
              </w:rPr>
              <w:t>Commerce</w:t>
            </w:r>
          </w:p>
        </w:tc>
        <w:tc>
          <w:tcPr>
            <w:tcW w:w="1349" w:type="dxa"/>
            <w:tcBorders>
              <w:top w:val="nil"/>
              <w:left w:val="nil"/>
              <w:bottom w:val="single" w:sz="4" w:space="0" w:color="auto"/>
              <w:right w:val="single" w:sz="4" w:space="0" w:color="auto"/>
            </w:tcBorders>
            <w:shd w:val="clear" w:color="auto" w:fill="auto"/>
            <w:noWrap/>
            <w:vAlign w:val="bottom"/>
            <w:hideMark/>
          </w:tcPr>
          <w:p w14:paraId="3A183EE3" w14:textId="77777777" w:rsidR="00F561A7" w:rsidRPr="00A9330B" w:rsidRDefault="00F561A7" w:rsidP="00F561A7">
            <w:pPr>
              <w:spacing w:before="0" w:line="240" w:lineRule="auto"/>
              <w:jc w:val="right"/>
              <w:rPr>
                <w:rFonts w:cs="Arial"/>
                <w:color w:val="000000"/>
                <w:sz w:val="18"/>
                <w:szCs w:val="18"/>
                <w:lang w:eastAsia="fr-FR"/>
              </w:rPr>
            </w:pPr>
            <w:r w:rsidRPr="00A9330B">
              <w:rPr>
                <w:rFonts w:cs="Arial"/>
                <w:color w:val="000000"/>
                <w:sz w:val="18"/>
                <w:szCs w:val="18"/>
                <w:lang w:eastAsia="fr-FR"/>
              </w:rPr>
              <w:t>2000</w:t>
            </w:r>
          </w:p>
        </w:tc>
      </w:tr>
      <w:tr w:rsidR="00F561A7" w:rsidRPr="00A9330B" w14:paraId="0804FBEB" w14:textId="77777777" w:rsidTr="00340594">
        <w:trPr>
          <w:trHeight w:val="288"/>
          <w:jc w:val="center"/>
        </w:trPr>
        <w:tc>
          <w:tcPr>
            <w:tcW w:w="1030" w:type="dxa"/>
            <w:tcBorders>
              <w:top w:val="nil"/>
              <w:left w:val="single" w:sz="4" w:space="0" w:color="auto"/>
              <w:bottom w:val="single" w:sz="4" w:space="0" w:color="auto"/>
              <w:right w:val="single" w:sz="4" w:space="0" w:color="auto"/>
            </w:tcBorders>
            <w:shd w:val="clear" w:color="auto" w:fill="auto"/>
            <w:noWrap/>
            <w:vAlign w:val="bottom"/>
            <w:hideMark/>
          </w:tcPr>
          <w:p w14:paraId="36858321" w14:textId="77777777" w:rsidR="00F561A7" w:rsidRPr="00A9330B" w:rsidRDefault="00F561A7" w:rsidP="00F561A7">
            <w:pPr>
              <w:spacing w:before="0" w:line="240" w:lineRule="auto"/>
              <w:jc w:val="right"/>
              <w:rPr>
                <w:rFonts w:cs="Arial"/>
                <w:color w:val="000000"/>
                <w:sz w:val="18"/>
                <w:szCs w:val="18"/>
                <w:lang w:eastAsia="fr-FR"/>
              </w:rPr>
            </w:pPr>
            <w:r w:rsidRPr="00A9330B">
              <w:rPr>
                <w:rFonts w:cs="Arial"/>
                <w:color w:val="000000"/>
                <w:sz w:val="18"/>
                <w:szCs w:val="18"/>
                <w:lang w:eastAsia="fr-FR"/>
              </w:rPr>
              <w:t>7</w:t>
            </w:r>
          </w:p>
        </w:tc>
        <w:tc>
          <w:tcPr>
            <w:tcW w:w="1030" w:type="dxa"/>
            <w:tcBorders>
              <w:top w:val="nil"/>
              <w:left w:val="nil"/>
              <w:bottom w:val="single" w:sz="4" w:space="0" w:color="auto"/>
              <w:right w:val="single" w:sz="4" w:space="0" w:color="auto"/>
            </w:tcBorders>
            <w:shd w:val="clear" w:color="auto" w:fill="auto"/>
            <w:noWrap/>
            <w:vAlign w:val="bottom"/>
            <w:hideMark/>
          </w:tcPr>
          <w:p w14:paraId="3B044827" w14:textId="77777777" w:rsidR="00F561A7" w:rsidRPr="00A9330B" w:rsidRDefault="00F561A7" w:rsidP="00F561A7">
            <w:pPr>
              <w:spacing w:before="0" w:line="240" w:lineRule="auto"/>
              <w:rPr>
                <w:rFonts w:cs="Arial"/>
                <w:color w:val="000000"/>
                <w:sz w:val="18"/>
                <w:szCs w:val="18"/>
                <w:lang w:eastAsia="fr-FR"/>
              </w:rPr>
            </w:pPr>
            <w:r w:rsidRPr="00A9330B">
              <w:rPr>
                <w:rFonts w:cs="Arial"/>
                <w:color w:val="000000"/>
                <w:sz w:val="18"/>
                <w:szCs w:val="18"/>
                <w:lang w:eastAsia="fr-FR"/>
              </w:rPr>
              <w:t>NAT_54</w:t>
            </w:r>
          </w:p>
        </w:tc>
        <w:tc>
          <w:tcPr>
            <w:tcW w:w="1030" w:type="dxa"/>
            <w:tcBorders>
              <w:top w:val="nil"/>
              <w:left w:val="nil"/>
              <w:bottom w:val="single" w:sz="4" w:space="0" w:color="auto"/>
              <w:right w:val="single" w:sz="4" w:space="0" w:color="auto"/>
            </w:tcBorders>
            <w:shd w:val="clear" w:color="auto" w:fill="auto"/>
            <w:noWrap/>
            <w:vAlign w:val="bottom"/>
            <w:hideMark/>
          </w:tcPr>
          <w:p w14:paraId="2E50DEBB" w14:textId="77777777" w:rsidR="00F561A7" w:rsidRPr="00A9330B" w:rsidRDefault="00F561A7" w:rsidP="00F561A7">
            <w:pPr>
              <w:spacing w:before="0" w:line="240" w:lineRule="auto"/>
              <w:rPr>
                <w:rFonts w:cs="Arial"/>
                <w:color w:val="000000"/>
                <w:sz w:val="18"/>
                <w:szCs w:val="18"/>
                <w:lang w:eastAsia="fr-FR"/>
              </w:rPr>
            </w:pPr>
            <w:r w:rsidRPr="00A9330B">
              <w:rPr>
                <w:rFonts w:cs="Arial"/>
                <w:color w:val="000000"/>
                <w:sz w:val="18"/>
                <w:szCs w:val="18"/>
                <w:lang w:eastAsia="fr-FR"/>
              </w:rPr>
              <w:t>Femme</w:t>
            </w:r>
          </w:p>
        </w:tc>
        <w:tc>
          <w:tcPr>
            <w:tcW w:w="1030" w:type="dxa"/>
            <w:tcBorders>
              <w:top w:val="nil"/>
              <w:left w:val="nil"/>
              <w:bottom w:val="single" w:sz="4" w:space="0" w:color="auto"/>
              <w:right w:val="single" w:sz="4" w:space="0" w:color="auto"/>
            </w:tcBorders>
            <w:shd w:val="clear" w:color="auto" w:fill="auto"/>
            <w:noWrap/>
            <w:vAlign w:val="bottom"/>
            <w:hideMark/>
          </w:tcPr>
          <w:p w14:paraId="6F7D6840" w14:textId="77777777" w:rsidR="00F561A7" w:rsidRPr="00A9330B" w:rsidRDefault="00F561A7" w:rsidP="00F561A7">
            <w:pPr>
              <w:spacing w:before="0" w:line="240" w:lineRule="auto"/>
              <w:jc w:val="right"/>
              <w:rPr>
                <w:rFonts w:cs="Arial"/>
                <w:color w:val="000000"/>
                <w:sz w:val="18"/>
                <w:szCs w:val="18"/>
                <w:lang w:eastAsia="fr-FR"/>
              </w:rPr>
            </w:pPr>
            <w:r w:rsidRPr="00A9330B">
              <w:rPr>
                <w:rFonts w:cs="Arial"/>
                <w:color w:val="000000"/>
                <w:sz w:val="18"/>
                <w:szCs w:val="18"/>
                <w:lang w:eastAsia="fr-FR"/>
              </w:rPr>
              <w:t>38</w:t>
            </w:r>
          </w:p>
        </w:tc>
        <w:tc>
          <w:tcPr>
            <w:tcW w:w="1071" w:type="dxa"/>
            <w:tcBorders>
              <w:top w:val="nil"/>
              <w:left w:val="nil"/>
              <w:bottom w:val="single" w:sz="4" w:space="0" w:color="auto"/>
              <w:right w:val="single" w:sz="4" w:space="0" w:color="auto"/>
            </w:tcBorders>
            <w:shd w:val="clear" w:color="auto" w:fill="auto"/>
            <w:noWrap/>
            <w:vAlign w:val="bottom"/>
            <w:hideMark/>
          </w:tcPr>
          <w:p w14:paraId="3915418F" w14:textId="77777777" w:rsidR="00F561A7" w:rsidRPr="00A9330B" w:rsidRDefault="00F561A7" w:rsidP="00F561A7">
            <w:pPr>
              <w:spacing w:before="0" w:line="240" w:lineRule="auto"/>
              <w:jc w:val="right"/>
              <w:rPr>
                <w:rFonts w:cs="Arial"/>
                <w:color w:val="000000"/>
                <w:sz w:val="18"/>
                <w:szCs w:val="18"/>
                <w:lang w:eastAsia="fr-FR"/>
              </w:rPr>
            </w:pPr>
            <w:r w:rsidRPr="00A9330B">
              <w:rPr>
                <w:rFonts w:cs="Arial"/>
                <w:color w:val="000000"/>
                <w:sz w:val="18"/>
                <w:szCs w:val="18"/>
                <w:lang w:eastAsia="fr-FR"/>
              </w:rPr>
              <w:t>7</w:t>
            </w:r>
          </w:p>
        </w:tc>
        <w:tc>
          <w:tcPr>
            <w:tcW w:w="1215" w:type="dxa"/>
            <w:tcBorders>
              <w:top w:val="nil"/>
              <w:left w:val="nil"/>
              <w:bottom w:val="single" w:sz="4" w:space="0" w:color="auto"/>
              <w:right w:val="single" w:sz="4" w:space="0" w:color="auto"/>
            </w:tcBorders>
            <w:shd w:val="clear" w:color="auto" w:fill="auto"/>
            <w:noWrap/>
            <w:vAlign w:val="bottom"/>
            <w:hideMark/>
          </w:tcPr>
          <w:p w14:paraId="7F80CA69" w14:textId="77777777" w:rsidR="00F561A7" w:rsidRPr="00A9330B" w:rsidRDefault="00F561A7" w:rsidP="00F561A7">
            <w:pPr>
              <w:spacing w:before="0" w:line="240" w:lineRule="auto"/>
              <w:rPr>
                <w:rFonts w:cs="Arial"/>
                <w:color w:val="000000"/>
                <w:sz w:val="18"/>
                <w:szCs w:val="18"/>
                <w:lang w:eastAsia="fr-FR"/>
              </w:rPr>
            </w:pPr>
            <w:r w:rsidRPr="00A9330B">
              <w:rPr>
                <w:rFonts w:cs="Arial"/>
                <w:color w:val="000000"/>
                <w:sz w:val="18"/>
                <w:szCs w:val="18"/>
                <w:lang w:eastAsia="fr-FR"/>
              </w:rPr>
              <w:t>Propriétaire</w:t>
            </w:r>
          </w:p>
        </w:tc>
        <w:tc>
          <w:tcPr>
            <w:tcW w:w="1312" w:type="dxa"/>
            <w:tcBorders>
              <w:top w:val="nil"/>
              <w:left w:val="nil"/>
              <w:bottom w:val="single" w:sz="4" w:space="0" w:color="auto"/>
              <w:right w:val="single" w:sz="4" w:space="0" w:color="auto"/>
            </w:tcBorders>
            <w:shd w:val="clear" w:color="auto" w:fill="auto"/>
            <w:noWrap/>
            <w:vAlign w:val="bottom"/>
            <w:hideMark/>
          </w:tcPr>
          <w:p w14:paraId="0AE21895" w14:textId="77777777" w:rsidR="00F561A7" w:rsidRPr="00A9330B" w:rsidRDefault="00F561A7" w:rsidP="00F561A7">
            <w:pPr>
              <w:spacing w:before="0" w:line="240" w:lineRule="auto"/>
              <w:rPr>
                <w:rFonts w:cs="Arial"/>
                <w:color w:val="000000"/>
                <w:sz w:val="18"/>
                <w:szCs w:val="18"/>
                <w:lang w:eastAsia="fr-FR"/>
              </w:rPr>
            </w:pPr>
            <w:r w:rsidRPr="00A9330B">
              <w:rPr>
                <w:rFonts w:cs="Arial"/>
                <w:color w:val="000000"/>
                <w:sz w:val="18"/>
                <w:szCs w:val="18"/>
                <w:lang w:eastAsia="fr-FR"/>
              </w:rPr>
              <w:t>Ménagère</w:t>
            </w:r>
          </w:p>
        </w:tc>
        <w:tc>
          <w:tcPr>
            <w:tcW w:w="1349" w:type="dxa"/>
            <w:tcBorders>
              <w:top w:val="nil"/>
              <w:left w:val="nil"/>
              <w:bottom w:val="single" w:sz="4" w:space="0" w:color="auto"/>
              <w:right w:val="single" w:sz="4" w:space="0" w:color="auto"/>
            </w:tcBorders>
            <w:shd w:val="clear" w:color="auto" w:fill="auto"/>
            <w:noWrap/>
            <w:vAlign w:val="bottom"/>
            <w:hideMark/>
          </w:tcPr>
          <w:p w14:paraId="1ED5B81D" w14:textId="77777777" w:rsidR="00F561A7" w:rsidRPr="00A9330B" w:rsidRDefault="00F561A7" w:rsidP="00F561A7">
            <w:pPr>
              <w:spacing w:before="0" w:line="240" w:lineRule="auto"/>
              <w:jc w:val="right"/>
              <w:rPr>
                <w:rFonts w:cs="Arial"/>
                <w:color w:val="000000"/>
                <w:sz w:val="18"/>
                <w:szCs w:val="18"/>
                <w:lang w:eastAsia="fr-FR"/>
              </w:rPr>
            </w:pPr>
            <w:r w:rsidRPr="00A9330B">
              <w:rPr>
                <w:rFonts w:cs="Arial"/>
                <w:color w:val="000000"/>
                <w:sz w:val="18"/>
                <w:szCs w:val="18"/>
                <w:lang w:eastAsia="fr-FR"/>
              </w:rPr>
              <w:t>2000</w:t>
            </w:r>
          </w:p>
        </w:tc>
      </w:tr>
      <w:tr w:rsidR="00F561A7" w:rsidRPr="00A9330B" w14:paraId="3569EC89" w14:textId="77777777" w:rsidTr="00340594">
        <w:trPr>
          <w:trHeight w:val="288"/>
          <w:jc w:val="center"/>
        </w:trPr>
        <w:tc>
          <w:tcPr>
            <w:tcW w:w="1030" w:type="dxa"/>
            <w:tcBorders>
              <w:top w:val="nil"/>
              <w:left w:val="single" w:sz="4" w:space="0" w:color="auto"/>
              <w:bottom w:val="single" w:sz="4" w:space="0" w:color="auto"/>
              <w:right w:val="single" w:sz="4" w:space="0" w:color="auto"/>
            </w:tcBorders>
            <w:shd w:val="clear" w:color="auto" w:fill="auto"/>
            <w:noWrap/>
            <w:vAlign w:val="bottom"/>
            <w:hideMark/>
          </w:tcPr>
          <w:p w14:paraId="42410F82" w14:textId="77777777" w:rsidR="00F561A7" w:rsidRPr="00A9330B" w:rsidRDefault="00F561A7" w:rsidP="00F561A7">
            <w:pPr>
              <w:spacing w:before="0" w:line="240" w:lineRule="auto"/>
              <w:jc w:val="right"/>
              <w:rPr>
                <w:rFonts w:cs="Arial"/>
                <w:color w:val="000000"/>
                <w:sz w:val="18"/>
                <w:szCs w:val="18"/>
                <w:lang w:eastAsia="fr-FR"/>
              </w:rPr>
            </w:pPr>
            <w:r w:rsidRPr="00A9330B">
              <w:rPr>
                <w:rFonts w:cs="Arial"/>
                <w:color w:val="000000"/>
                <w:sz w:val="18"/>
                <w:szCs w:val="18"/>
                <w:lang w:eastAsia="fr-FR"/>
              </w:rPr>
              <w:t>8</w:t>
            </w:r>
          </w:p>
        </w:tc>
        <w:tc>
          <w:tcPr>
            <w:tcW w:w="1030" w:type="dxa"/>
            <w:tcBorders>
              <w:top w:val="nil"/>
              <w:left w:val="nil"/>
              <w:bottom w:val="single" w:sz="4" w:space="0" w:color="auto"/>
              <w:right w:val="single" w:sz="4" w:space="0" w:color="auto"/>
            </w:tcBorders>
            <w:shd w:val="clear" w:color="auto" w:fill="auto"/>
            <w:noWrap/>
            <w:vAlign w:val="bottom"/>
            <w:hideMark/>
          </w:tcPr>
          <w:p w14:paraId="54FCBD5A" w14:textId="77777777" w:rsidR="00F561A7" w:rsidRPr="00A9330B" w:rsidRDefault="00F561A7" w:rsidP="00F561A7">
            <w:pPr>
              <w:spacing w:before="0" w:line="240" w:lineRule="auto"/>
              <w:rPr>
                <w:rFonts w:cs="Arial"/>
                <w:color w:val="000000"/>
                <w:sz w:val="18"/>
                <w:szCs w:val="18"/>
                <w:lang w:eastAsia="fr-FR"/>
              </w:rPr>
            </w:pPr>
            <w:r w:rsidRPr="00A9330B">
              <w:rPr>
                <w:rFonts w:cs="Arial"/>
                <w:color w:val="000000"/>
                <w:sz w:val="18"/>
                <w:szCs w:val="18"/>
                <w:lang w:eastAsia="fr-FR"/>
              </w:rPr>
              <w:t>NAT_85</w:t>
            </w:r>
          </w:p>
        </w:tc>
        <w:tc>
          <w:tcPr>
            <w:tcW w:w="1030" w:type="dxa"/>
            <w:tcBorders>
              <w:top w:val="nil"/>
              <w:left w:val="nil"/>
              <w:bottom w:val="single" w:sz="4" w:space="0" w:color="auto"/>
              <w:right w:val="single" w:sz="4" w:space="0" w:color="auto"/>
            </w:tcBorders>
            <w:shd w:val="clear" w:color="auto" w:fill="auto"/>
            <w:noWrap/>
            <w:vAlign w:val="bottom"/>
            <w:hideMark/>
          </w:tcPr>
          <w:p w14:paraId="7EF8F856" w14:textId="77777777" w:rsidR="00F561A7" w:rsidRPr="00A9330B" w:rsidRDefault="00F561A7" w:rsidP="00F561A7">
            <w:pPr>
              <w:spacing w:before="0" w:line="240" w:lineRule="auto"/>
              <w:rPr>
                <w:rFonts w:cs="Arial"/>
                <w:color w:val="000000"/>
                <w:sz w:val="18"/>
                <w:szCs w:val="18"/>
                <w:lang w:eastAsia="fr-FR"/>
              </w:rPr>
            </w:pPr>
            <w:r w:rsidRPr="00A9330B">
              <w:rPr>
                <w:rFonts w:cs="Arial"/>
                <w:color w:val="000000"/>
                <w:sz w:val="18"/>
                <w:szCs w:val="18"/>
                <w:lang w:eastAsia="fr-FR"/>
              </w:rPr>
              <w:t>Femme</w:t>
            </w:r>
          </w:p>
        </w:tc>
        <w:tc>
          <w:tcPr>
            <w:tcW w:w="1030" w:type="dxa"/>
            <w:tcBorders>
              <w:top w:val="nil"/>
              <w:left w:val="nil"/>
              <w:bottom w:val="single" w:sz="4" w:space="0" w:color="auto"/>
              <w:right w:val="single" w:sz="4" w:space="0" w:color="auto"/>
            </w:tcBorders>
            <w:shd w:val="clear" w:color="auto" w:fill="auto"/>
            <w:noWrap/>
            <w:vAlign w:val="bottom"/>
            <w:hideMark/>
          </w:tcPr>
          <w:p w14:paraId="305C08DC" w14:textId="77777777" w:rsidR="00F561A7" w:rsidRPr="00A9330B" w:rsidRDefault="00F561A7" w:rsidP="00F561A7">
            <w:pPr>
              <w:spacing w:before="0" w:line="240" w:lineRule="auto"/>
              <w:jc w:val="right"/>
              <w:rPr>
                <w:rFonts w:cs="Arial"/>
                <w:color w:val="000000"/>
                <w:sz w:val="18"/>
                <w:szCs w:val="18"/>
                <w:lang w:eastAsia="fr-FR"/>
              </w:rPr>
            </w:pPr>
            <w:r w:rsidRPr="00A9330B">
              <w:rPr>
                <w:rFonts w:cs="Arial"/>
                <w:color w:val="000000"/>
                <w:sz w:val="18"/>
                <w:szCs w:val="18"/>
                <w:lang w:eastAsia="fr-FR"/>
              </w:rPr>
              <w:t>69</w:t>
            </w:r>
          </w:p>
        </w:tc>
        <w:tc>
          <w:tcPr>
            <w:tcW w:w="1071" w:type="dxa"/>
            <w:tcBorders>
              <w:top w:val="nil"/>
              <w:left w:val="nil"/>
              <w:bottom w:val="single" w:sz="4" w:space="0" w:color="auto"/>
              <w:right w:val="single" w:sz="4" w:space="0" w:color="auto"/>
            </w:tcBorders>
            <w:shd w:val="clear" w:color="auto" w:fill="auto"/>
            <w:noWrap/>
            <w:vAlign w:val="bottom"/>
            <w:hideMark/>
          </w:tcPr>
          <w:p w14:paraId="55CC9F16" w14:textId="77777777" w:rsidR="00F561A7" w:rsidRPr="00A9330B" w:rsidRDefault="00F561A7" w:rsidP="00F561A7">
            <w:pPr>
              <w:spacing w:before="0" w:line="240" w:lineRule="auto"/>
              <w:jc w:val="right"/>
              <w:rPr>
                <w:rFonts w:cs="Arial"/>
                <w:color w:val="000000"/>
                <w:sz w:val="18"/>
                <w:szCs w:val="18"/>
                <w:lang w:eastAsia="fr-FR"/>
              </w:rPr>
            </w:pPr>
            <w:r w:rsidRPr="00A9330B">
              <w:rPr>
                <w:rFonts w:cs="Arial"/>
                <w:color w:val="000000"/>
                <w:sz w:val="18"/>
                <w:szCs w:val="18"/>
                <w:lang w:eastAsia="fr-FR"/>
              </w:rPr>
              <w:t>10</w:t>
            </w:r>
          </w:p>
        </w:tc>
        <w:tc>
          <w:tcPr>
            <w:tcW w:w="1215" w:type="dxa"/>
            <w:tcBorders>
              <w:top w:val="nil"/>
              <w:left w:val="nil"/>
              <w:bottom w:val="single" w:sz="4" w:space="0" w:color="auto"/>
              <w:right w:val="single" w:sz="4" w:space="0" w:color="auto"/>
            </w:tcBorders>
            <w:shd w:val="clear" w:color="auto" w:fill="auto"/>
            <w:noWrap/>
            <w:vAlign w:val="bottom"/>
            <w:hideMark/>
          </w:tcPr>
          <w:p w14:paraId="25FFED8E" w14:textId="77777777" w:rsidR="00F561A7" w:rsidRPr="00A9330B" w:rsidRDefault="00F561A7" w:rsidP="00F561A7">
            <w:pPr>
              <w:spacing w:before="0" w:line="240" w:lineRule="auto"/>
              <w:rPr>
                <w:rFonts w:cs="Arial"/>
                <w:color w:val="000000"/>
                <w:sz w:val="18"/>
                <w:szCs w:val="18"/>
                <w:lang w:eastAsia="fr-FR"/>
              </w:rPr>
            </w:pPr>
            <w:r w:rsidRPr="00A9330B">
              <w:rPr>
                <w:rFonts w:cs="Arial"/>
                <w:color w:val="000000"/>
                <w:sz w:val="18"/>
                <w:szCs w:val="18"/>
                <w:lang w:eastAsia="fr-FR"/>
              </w:rPr>
              <w:t>Propriétaire</w:t>
            </w:r>
          </w:p>
        </w:tc>
        <w:tc>
          <w:tcPr>
            <w:tcW w:w="1312" w:type="dxa"/>
            <w:tcBorders>
              <w:top w:val="nil"/>
              <w:left w:val="nil"/>
              <w:bottom w:val="single" w:sz="4" w:space="0" w:color="auto"/>
              <w:right w:val="single" w:sz="4" w:space="0" w:color="auto"/>
            </w:tcBorders>
            <w:shd w:val="clear" w:color="auto" w:fill="auto"/>
            <w:noWrap/>
            <w:vAlign w:val="bottom"/>
            <w:hideMark/>
          </w:tcPr>
          <w:p w14:paraId="66491CE7" w14:textId="77777777" w:rsidR="00F561A7" w:rsidRPr="00A9330B" w:rsidRDefault="00F561A7" w:rsidP="00F561A7">
            <w:pPr>
              <w:spacing w:before="0" w:line="240" w:lineRule="auto"/>
              <w:rPr>
                <w:rFonts w:cs="Arial"/>
                <w:color w:val="000000"/>
                <w:sz w:val="18"/>
                <w:szCs w:val="18"/>
                <w:lang w:eastAsia="fr-FR"/>
              </w:rPr>
            </w:pPr>
            <w:r w:rsidRPr="00A9330B">
              <w:rPr>
                <w:rFonts w:cs="Arial"/>
                <w:color w:val="000000"/>
                <w:sz w:val="18"/>
                <w:szCs w:val="18"/>
                <w:lang w:eastAsia="fr-FR"/>
              </w:rPr>
              <w:t>Ménagère</w:t>
            </w:r>
          </w:p>
        </w:tc>
        <w:tc>
          <w:tcPr>
            <w:tcW w:w="1349" w:type="dxa"/>
            <w:tcBorders>
              <w:top w:val="nil"/>
              <w:left w:val="nil"/>
              <w:bottom w:val="single" w:sz="4" w:space="0" w:color="auto"/>
              <w:right w:val="single" w:sz="4" w:space="0" w:color="auto"/>
            </w:tcBorders>
            <w:shd w:val="clear" w:color="auto" w:fill="auto"/>
            <w:noWrap/>
            <w:vAlign w:val="bottom"/>
            <w:hideMark/>
          </w:tcPr>
          <w:p w14:paraId="1DE6AC3A" w14:textId="77777777" w:rsidR="00F561A7" w:rsidRPr="00A9330B" w:rsidRDefault="00F561A7" w:rsidP="00F561A7">
            <w:pPr>
              <w:spacing w:before="0" w:line="240" w:lineRule="auto"/>
              <w:jc w:val="right"/>
              <w:rPr>
                <w:rFonts w:cs="Arial"/>
                <w:color w:val="000000"/>
                <w:sz w:val="18"/>
                <w:szCs w:val="18"/>
                <w:lang w:eastAsia="fr-FR"/>
              </w:rPr>
            </w:pPr>
            <w:r w:rsidRPr="00A9330B">
              <w:rPr>
                <w:rFonts w:cs="Arial"/>
                <w:color w:val="000000"/>
                <w:sz w:val="18"/>
                <w:szCs w:val="18"/>
                <w:lang w:eastAsia="fr-FR"/>
              </w:rPr>
              <w:t>2000</w:t>
            </w:r>
          </w:p>
        </w:tc>
      </w:tr>
      <w:tr w:rsidR="00F561A7" w:rsidRPr="00A9330B" w14:paraId="3966EF66" w14:textId="77777777" w:rsidTr="00340594">
        <w:trPr>
          <w:trHeight w:val="288"/>
          <w:jc w:val="center"/>
        </w:trPr>
        <w:tc>
          <w:tcPr>
            <w:tcW w:w="1030" w:type="dxa"/>
            <w:tcBorders>
              <w:top w:val="nil"/>
              <w:left w:val="single" w:sz="4" w:space="0" w:color="auto"/>
              <w:bottom w:val="single" w:sz="4" w:space="0" w:color="auto"/>
              <w:right w:val="single" w:sz="4" w:space="0" w:color="auto"/>
            </w:tcBorders>
            <w:shd w:val="clear" w:color="auto" w:fill="auto"/>
            <w:noWrap/>
            <w:vAlign w:val="bottom"/>
            <w:hideMark/>
          </w:tcPr>
          <w:p w14:paraId="3BA417D7" w14:textId="77777777" w:rsidR="00F561A7" w:rsidRPr="00A9330B" w:rsidRDefault="00F561A7" w:rsidP="00F561A7">
            <w:pPr>
              <w:spacing w:before="0" w:line="240" w:lineRule="auto"/>
              <w:jc w:val="right"/>
              <w:rPr>
                <w:rFonts w:cs="Arial"/>
                <w:color w:val="000000"/>
                <w:sz w:val="18"/>
                <w:szCs w:val="18"/>
                <w:lang w:eastAsia="fr-FR"/>
              </w:rPr>
            </w:pPr>
            <w:r w:rsidRPr="00A9330B">
              <w:rPr>
                <w:rFonts w:cs="Arial"/>
                <w:color w:val="000000"/>
                <w:sz w:val="18"/>
                <w:szCs w:val="18"/>
                <w:lang w:eastAsia="fr-FR"/>
              </w:rPr>
              <w:t>9</w:t>
            </w:r>
          </w:p>
        </w:tc>
        <w:tc>
          <w:tcPr>
            <w:tcW w:w="1030" w:type="dxa"/>
            <w:tcBorders>
              <w:top w:val="nil"/>
              <w:left w:val="nil"/>
              <w:bottom w:val="single" w:sz="4" w:space="0" w:color="auto"/>
              <w:right w:val="single" w:sz="4" w:space="0" w:color="auto"/>
            </w:tcBorders>
            <w:shd w:val="clear" w:color="auto" w:fill="auto"/>
            <w:noWrap/>
            <w:vAlign w:val="bottom"/>
            <w:hideMark/>
          </w:tcPr>
          <w:p w14:paraId="2133654E" w14:textId="77777777" w:rsidR="00F561A7" w:rsidRPr="00A9330B" w:rsidRDefault="00F561A7" w:rsidP="00F561A7">
            <w:pPr>
              <w:spacing w:before="0" w:line="240" w:lineRule="auto"/>
              <w:rPr>
                <w:rFonts w:cs="Arial"/>
                <w:color w:val="000000"/>
                <w:sz w:val="18"/>
                <w:szCs w:val="18"/>
                <w:lang w:eastAsia="fr-FR"/>
              </w:rPr>
            </w:pPr>
            <w:r w:rsidRPr="00A9330B">
              <w:rPr>
                <w:rFonts w:cs="Arial"/>
                <w:color w:val="000000"/>
                <w:sz w:val="18"/>
                <w:szCs w:val="18"/>
                <w:lang w:eastAsia="fr-FR"/>
              </w:rPr>
              <w:t>NAT_94</w:t>
            </w:r>
          </w:p>
        </w:tc>
        <w:tc>
          <w:tcPr>
            <w:tcW w:w="1030" w:type="dxa"/>
            <w:tcBorders>
              <w:top w:val="nil"/>
              <w:left w:val="nil"/>
              <w:bottom w:val="single" w:sz="4" w:space="0" w:color="auto"/>
              <w:right w:val="single" w:sz="4" w:space="0" w:color="auto"/>
            </w:tcBorders>
            <w:shd w:val="clear" w:color="auto" w:fill="auto"/>
            <w:noWrap/>
            <w:vAlign w:val="bottom"/>
            <w:hideMark/>
          </w:tcPr>
          <w:p w14:paraId="4BC21EC7" w14:textId="77777777" w:rsidR="00F561A7" w:rsidRPr="00A9330B" w:rsidRDefault="00F561A7" w:rsidP="00F561A7">
            <w:pPr>
              <w:spacing w:before="0" w:line="240" w:lineRule="auto"/>
              <w:rPr>
                <w:rFonts w:cs="Arial"/>
                <w:color w:val="000000"/>
                <w:sz w:val="18"/>
                <w:szCs w:val="18"/>
                <w:lang w:eastAsia="fr-FR"/>
              </w:rPr>
            </w:pPr>
            <w:r w:rsidRPr="00A9330B">
              <w:rPr>
                <w:rFonts w:cs="Arial"/>
                <w:color w:val="000000"/>
                <w:sz w:val="18"/>
                <w:szCs w:val="18"/>
                <w:lang w:eastAsia="fr-FR"/>
              </w:rPr>
              <w:t>Femme</w:t>
            </w:r>
          </w:p>
        </w:tc>
        <w:tc>
          <w:tcPr>
            <w:tcW w:w="1030" w:type="dxa"/>
            <w:tcBorders>
              <w:top w:val="nil"/>
              <w:left w:val="nil"/>
              <w:bottom w:val="single" w:sz="4" w:space="0" w:color="auto"/>
              <w:right w:val="single" w:sz="4" w:space="0" w:color="auto"/>
            </w:tcBorders>
            <w:shd w:val="clear" w:color="auto" w:fill="auto"/>
            <w:noWrap/>
            <w:vAlign w:val="bottom"/>
            <w:hideMark/>
          </w:tcPr>
          <w:p w14:paraId="71239008" w14:textId="77777777" w:rsidR="00F561A7" w:rsidRPr="00A9330B" w:rsidRDefault="00F561A7" w:rsidP="00F561A7">
            <w:pPr>
              <w:spacing w:before="0" w:line="240" w:lineRule="auto"/>
              <w:jc w:val="right"/>
              <w:rPr>
                <w:rFonts w:cs="Arial"/>
                <w:color w:val="000000"/>
                <w:sz w:val="18"/>
                <w:szCs w:val="18"/>
                <w:lang w:eastAsia="fr-FR"/>
              </w:rPr>
            </w:pPr>
            <w:r w:rsidRPr="00A9330B">
              <w:rPr>
                <w:rFonts w:cs="Arial"/>
                <w:color w:val="000000"/>
                <w:sz w:val="18"/>
                <w:szCs w:val="18"/>
                <w:lang w:eastAsia="fr-FR"/>
              </w:rPr>
              <w:t>53</w:t>
            </w:r>
          </w:p>
        </w:tc>
        <w:tc>
          <w:tcPr>
            <w:tcW w:w="1071" w:type="dxa"/>
            <w:tcBorders>
              <w:top w:val="nil"/>
              <w:left w:val="nil"/>
              <w:bottom w:val="single" w:sz="4" w:space="0" w:color="auto"/>
              <w:right w:val="single" w:sz="4" w:space="0" w:color="auto"/>
            </w:tcBorders>
            <w:shd w:val="clear" w:color="auto" w:fill="auto"/>
            <w:noWrap/>
            <w:vAlign w:val="bottom"/>
            <w:hideMark/>
          </w:tcPr>
          <w:p w14:paraId="7C5977A4" w14:textId="77777777" w:rsidR="00F561A7" w:rsidRPr="00A9330B" w:rsidRDefault="00F561A7" w:rsidP="00F561A7">
            <w:pPr>
              <w:spacing w:before="0" w:line="240" w:lineRule="auto"/>
              <w:jc w:val="right"/>
              <w:rPr>
                <w:rFonts w:cs="Arial"/>
                <w:color w:val="000000"/>
                <w:sz w:val="18"/>
                <w:szCs w:val="18"/>
                <w:lang w:eastAsia="fr-FR"/>
              </w:rPr>
            </w:pPr>
            <w:r w:rsidRPr="00A9330B">
              <w:rPr>
                <w:rFonts w:cs="Arial"/>
                <w:color w:val="000000"/>
                <w:sz w:val="18"/>
                <w:szCs w:val="18"/>
                <w:lang w:eastAsia="fr-FR"/>
              </w:rPr>
              <w:t>5</w:t>
            </w:r>
          </w:p>
        </w:tc>
        <w:tc>
          <w:tcPr>
            <w:tcW w:w="1215" w:type="dxa"/>
            <w:tcBorders>
              <w:top w:val="nil"/>
              <w:left w:val="nil"/>
              <w:bottom w:val="single" w:sz="4" w:space="0" w:color="auto"/>
              <w:right w:val="single" w:sz="4" w:space="0" w:color="auto"/>
            </w:tcBorders>
            <w:shd w:val="clear" w:color="auto" w:fill="auto"/>
            <w:noWrap/>
            <w:vAlign w:val="bottom"/>
            <w:hideMark/>
          </w:tcPr>
          <w:p w14:paraId="0F4FCEC9" w14:textId="77777777" w:rsidR="00F561A7" w:rsidRPr="00A9330B" w:rsidRDefault="00F561A7" w:rsidP="00F561A7">
            <w:pPr>
              <w:spacing w:before="0" w:line="240" w:lineRule="auto"/>
              <w:rPr>
                <w:rFonts w:cs="Arial"/>
                <w:color w:val="000000"/>
                <w:sz w:val="18"/>
                <w:szCs w:val="18"/>
                <w:lang w:eastAsia="fr-FR"/>
              </w:rPr>
            </w:pPr>
            <w:r w:rsidRPr="00A9330B">
              <w:rPr>
                <w:rFonts w:cs="Arial"/>
                <w:color w:val="000000"/>
                <w:sz w:val="18"/>
                <w:szCs w:val="18"/>
                <w:lang w:eastAsia="fr-FR"/>
              </w:rPr>
              <w:t>Propriétaire</w:t>
            </w:r>
          </w:p>
        </w:tc>
        <w:tc>
          <w:tcPr>
            <w:tcW w:w="1312" w:type="dxa"/>
            <w:tcBorders>
              <w:top w:val="nil"/>
              <w:left w:val="nil"/>
              <w:bottom w:val="single" w:sz="4" w:space="0" w:color="auto"/>
              <w:right w:val="single" w:sz="4" w:space="0" w:color="auto"/>
            </w:tcBorders>
            <w:shd w:val="clear" w:color="auto" w:fill="auto"/>
            <w:noWrap/>
            <w:vAlign w:val="bottom"/>
            <w:hideMark/>
          </w:tcPr>
          <w:p w14:paraId="03BCA068" w14:textId="77777777" w:rsidR="00F561A7" w:rsidRPr="00A9330B" w:rsidRDefault="00F561A7" w:rsidP="00F561A7">
            <w:pPr>
              <w:spacing w:before="0" w:line="240" w:lineRule="auto"/>
              <w:rPr>
                <w:rFonts w:cs="Arial"/>
                <w:color w:val="000000"/>
                <w:sz w:val="18"/>
                <w:szCs w:val="18"/>
                <w:lang w:eastAsia="fr-FR"/>
              </w:rPr>
            </w:pPr>
            <w:r w:rsidRPr="00A9330B">
              <w:rPr>
                <w:rFonts w:cs="Arial"/>
                <w:color w:val="000000"/>
                <w:sz w:val="18"/>
                <w:szCs w:val="18"/>
                <w:lang w:eastAsia="fr-FR"/>
              </w:rPr>
              <w:t>Secrétaire</w:t>
            </w:r>
          </w:p>
        </w:tc>
        <w:tc>
          <w:tcPr>
            <w:tcW w:w="1349" w:type="dxa"/>
            <w:tcBorders>
              <w:top w:val="nil"/>
              <w:left w:val="nil"/>
              <w:bottom w:val="single" w:sz="4" w:space="0" w:color="auto"/>
              <w:right w:val="single" w:sz="4" w:space="0" w:color="auto"/>
            </w:tcBorders>
            <w:shd w:val="clear" w:color="auto" w:fill="auto"/>
            <w:noWrap/>
            <w:vAlign w:val="bottom"/>
            <w:hideMark/>
          </w:tcPr>
          <w:p w14:paraId="76626FC6" w14:textId="77777777" w:rsidR="00F561A7" w:rsidRPr="00A9330B" w:rsidRDefault="00F561A7" w:rsidP="00F561A7">
            <w:pPr>
              <w:spacing w:before="0" w:line="240" w:lineRule="auto"/>
              <w:jc w:val="right"/>
              <w:rPr>
                <w:rFonts w:cs="Arial"/>
                <w:color w:val="000000"/>
                <w:sz w:val="18"/>
                <w:szCs w:val="18"/>
                <w:lang w:eastAsia="fr-FR"/>
              </w:rPr>
            </w:pPr>
            <w:r w:rsidRPr="00A9330B">
              <w:rPr>
                <w:rFonts w:cs="Arial"/>
                <w:color w:val="000000"/>
                <w:sz w:val="18"/>
                <w:szCs w:val="18"/>
                <w:lang w:eastAsia="fr-FR"/>
              </w:rPr>
              <w:t>5000</w:t>
            </w:r>
          </w:p>
        </w:tc>
      </w:tr>
      <w:tr w:rsidR="00F561A7" w:rsidRPr="00A9330B" w14:paraId="2F383070" w14:textId="77777777" w:rsidTr="00340594">
        <w:trPr>
          <w:trHeight w:val="288"/>
          <w:jc w:val="center"/>
        </w:trPr>
        <w:tc>
          <w:tcPr>
            <w:tcW w:w="1030" w:type="dxa"/>
            <w:tcBorders>
              <w:top w:val="nil"/>
              <w:left w:val="single" w:sz="4" w:space="0" w:color="auto"/>
              <w:bottom w:val="single" w:sz="4" w:space="0" w:color="auto"/>
              <w:right w:val="single" w:sz="4" w:space="0" w:color="auto"/>
            </w:tcBorders>
            <w:shd w:val="clear" w:color="auto" w:fill="auto"/>
            <w:noWrap/>
            <w:vAlign w:val="bottom"/>
            <w:hideMark/>
          </w:tcPr>
          <w:p w14:paraId="3CFAE842" w14:textId="77777777" w:rsidR="00F561A7" w:rsidRPr="00A9330B" w:rsidRDefault="00F561A7" w:rsidP="00F561A7">
            <w:pPr>
              <w:spacing w:before="0" w:line="240" w:lineRule="auto"/>
              <w:jc w:val="right"/>
              <w:rPr>
                <w:rFonts w:cs="Arial"/>
                <w:color w:val="000000"/>
                <w:sz w:val="18"/>
                <w:szCs w:val="18"/>
                <w:lang w:eastAsia="fr-FR"/>
              </w:rPr>
            </w:pPr>
            <w:r w:rsidRPr="00A9330B">
              <w:rPr>
                <w:rFonts w:cs="Arial"/>
                <w:color w:val="000000"/>
                <w:sz w:val="18"/>
                <w:szCs w:val="18"/>
                <w:lang w:eastAsia="fr-FR"/>
              </w:rPr>
              <w:t>10</w:t>
            </w:r>
          </w:p>
        </w:tc>
        <w:tc>
          <w:tcPr>
            <w:tcW w:w="1030" w:type="dxa"/>
            <w:tcBorders>
              <w:top w:val="nil"/>
              <w:left w:val="nil"/>
              <w:bottom w:val="single" w:sz="4" w:space="0" w:color="auto"/>
              <w:right w:val="single" w:sz="4" w:space="0" w:color="auto"/>
            </w:tcBorders>
            <w:shd w:val="clear" w:color="auto" w:fill="auto"/>
            <w:noWrap/>
            <w:vAlign w:val="bottom"/>
            <w:hideMark/>
          </w:tcPr>
          <w:p w14:paraId="00ACFB68" w14:textId="77777777" w:rsidR="00F561A7" w:rsidRPr="00A9330B" w:rsidRDefault="00F561A7" w:rsidP="00F561A7">
            <w:pPr>
              <w:spacing w:before="0" w:line="240" w:lineRule="auto"/>
              <w:rPr>
                <w:rFonts w:cs="Arial"/>
                <w:color w:val="000000"/>
                <w:sz w:val="18"/>
                <w:szCs w:val="18"/>
                <w:lang w:eastAsia="fr-FR"/>
              </w:rPr>
            </w:pPr>
            <w:r w:rsidRPr="00A9330B">
              <w:rPr>
                <w:rFonts w:cs="Arial"/>
                <w:color w:val="000000"/>
                <w:sz w:val="18"/>
                <w:szCs w:val="18"/>
                <w:lang w:eastAsia="fr-FR"/>
              </w:rPr>
              <w:t>NAT_107</w:t>
            </w:r>
          </w:p>
        </w:tc>
        <w:tc>
          <w:tcPr>
            <w:tcW w:w="1030" w:type="dxa"/>
            <w:tcBorders>
              <w:top w:val="nil"/>
              <w:left w:val="nil"/>
              <w:bottom w:val="single" w:sz="4" w:space="0" w:color="auto"/>
              <w:right w:val="single" w:sz="4" w:space="0" w:color="auto"/>
            </w:tcBorders>
            <w:shd w:val="clear" w:color="auto" w:fill="auto"/>
            <w:noWrap/>
            <w:vAlign w:val="bottom"/>
            <w:hideMark/>
          </w:tcPr>
          <w:p w14:paraId="07356694" w14:textId="77777777" w:rsidR="00F561A7" w:rsidRPr="00A9330B" w:rsidRDefault="00F561A7" w:rsidP="00F561A7">
            <w:pPr>
              <w:spacing w:before="0" w:line="240" w:lineRule="auto"/>
              <w:rPr>
                <w:rFonts w:cs="Arial"/>
                <w:color w:val="000000"/>
                <w:sz w:val="18"/>
                <w:szCs w:val="18"/>
                <w:lang w:eastAsia="fr-FR"/>
              </w:rPr>
            </w:pPr>
            <w:r w:rsidRPr="00A9330B">
              <w:rPr>
                <w:rFonts w:cs="Arial"/>
                <w:color w:val="000000"/>
                <w:sz w:val="18"/>
                <w:szCs w:val="18"/>
                <w:lang w:eastAsia="fr-FR"/>
              </w:rPr>
              <w:t>Femme</w:t>
            </w:r>
          </w:p>
        </w:tc>
        <w:tc>
          <w:tcPr>
            <w:tcW w:w="1030" w:type="dxa"/>
            <w:tcBorders>
              <w:top w:val="nil"/>
              <w:left w:val="nil"/>
              <w:bottom w:val="single" w:sz="4" w:space="0" w:color="auto"/>
              <w:right w:val="single" w:sz="4" w:space="0" w:color="auto"/>
            </w:tcBorders>
            <w:shd w:val="clear" w:color="auto" w:fill="auto"/>
            <w:noWrap/>
            <w:vAlign w:val="bottom"/>
            <w:hideMark/>
          </w:tcPr>
          <w:p w14:paraId="26ACEC2C" w14:textId="77777777" w:rsidR="00F561A7" w:rsidRPr="00A9330B" w:rsidRDefault="00F561A7" w:rsidP="00F561A7">
            <w:pPr>
              <w:spacing w:before="0" w:line="240" w:lineRule="auto"/>
              <w:jc w:val="right"/>
              <w:rPr>
                <w:rFonts w:cs="Arial"/>
                <w:color w:val="000000"/>
                <w:sz w:val="18"/>
                <w:szCs w:val="18"/>
                <w:lang w:eastAsia="fr-FR"/>
              </w:rPr>
            </w:pPr>
            <w:r w:rsidRPr="00A9330B">
              <w:rPr>
                <w:rFonts w:cs="Arial"/>
                <w:color w:val="000000"/>
                <w:sz w:val="18"/>
                <w:szCs w:val="18"/>
                <w:lang w:eastAsia="fr-FR"/>
              </w:rPr>
              <w:t>38</w:t>
            </w:r>
          </w:p>
        </w:tc>
        <w:tc>
          <w:tcPr>
            <w:tcW w:w="1071" w:type="dxa"/>
            <w:tcBorders>
              <w:top w:val="nil"/>
              <w:left w:val="nil"/>
              <w:bottom w:val="single" w:sz="4" w:space="0" w:color="auto"/>
              <w:right w:val="single" w:sz="4" w:space="0" w:color="auto"/>
            </w:tcBorders>
            <w:shd w:val="clear" w:color="auto" w:fill="auto"/>
            <w:noWrap/>
            <w:vAlign w:val="bottom"/>
            <w:hideMark/>
          </w:tcPr>
          <w:p w14:paraId="52ED2000" w14:textId="77777777" w:rsidR="00F561A7" w:rsidRPr="00A9330B" w:rsidRDefault="00F561A7" w:rsidP="00F561A7">
            <w:pPr>
              <w:spacing w:before="0" w:line="240" w:lineRule="auto"/>
              <w:jc w:val="right"/>
              <w:rPr>
                <w:rFonts w:cs="Arial"/>
                <w:color w:val="000000"/>
                <w:sz w:val="18"/>
                <w:szCs w:val="18"/>
                <w:lang w:eastAsia="fr-FR"/>
              </w:rPr>
            </w:pPr>
            <w:r w:rsidRPr="00A9330B">
              <w:rPr>
                <w:rFonts w:cs="Arial"/>
                <w:color w:val="000000"/>
                <w:sz w:val="18"/>
                <w:szCs w:val="18"/>
                <w:lang w:eastAsia="fr-FR"/>
              </w:rPr>
              <w:t>7</w:t>
            </w:r>
          </w:p>
        </w:tc>
        <w:tc>
          <w:tcPr>
            <w:tcW w:w="1215" w:type="dxa"/>
            <w:tcBorders>
              <w:top w:val="nil"/>
              <w:left w:val="nil"/>
              <w:bottom w:val="single" w:sz="4" w:space="0" w:color="auto"/>
              <w:right w:val="single" w:sz="4" w:space="0" w:color="auto"/>
            </w:tcBorders>
            <w:shd w:val="clear" w:color="auto" w:fill="auto"/>
            <w:noWrap/>
            <w:vAlign w:val="bottom"/>
            <w:hideMark/>
          </w:tcPr>
          <w:p w14:paraId="6DF1712F" w14:textId="77777777" w:rsidR="00F561A7" w:rsidRPr="00A9330B" w:rsidRDefault="00F561A7" w:rsidP="00F561A7">
            <w:pPr>
              <w:spacing w:before="0" w:line="240" w:lineRule="auto"/>
              <w:rPr>
                <w:rFonts w:cs="Arial"/>
                <w:color w:val="000000"/>
                <w:sz w:val="18"/>
                <w:szCs w:val="18"/>
                <w:lang w:eastAsia="fr-FR"/>
              </w:rPr>
            </w:pPr>
            <w:r w:rsidRPr="00A9330B">
              <w:rPr>
                <w:rFonts w:cs="Arial"/>
                <w:color w:val="000000"/>
                <w:sz w:val="18"/>
                <w:szCs w:val="18"/>
                <w:lang w:eastAsia="fr-FR"/>
              </w:rPr>
              <w:t>Propriétaire</w:t>
            </w:r>
          </w:p>
        </w:tc>
        <w:tc>
          <w:tcPr>
            <w:tcW w:w="1312" w:type="dxa"/>
            <w:tcBorders>
              <w:top w:val="nil"/>
              <w:left w:val="nil"/>
              <w:bottom w:val="single" w:sz="4" w:space="0" w:color="auto"/>
              <w:right w:val="single" w:sz="4" w:space="0" w:color="auto"/>
            </w:tcBorders>
            <w:shd w:val="clear" w:color="auto" w:fill="auto"/>
            <w:noWrap/>
            <w:vAlign w:val="bottom"/>
            <w:hideMark/>
          </w:tcPr>
          <w:p w14:paraId="628FFDAD" w14:textId="77777777" w:rsidR="00F561A7" w:rsidRPr="00A9330B" w:rsidRDefault="00F561A7" w:rsidP="00F561A7">
            <w:pPr>
              <w:spacing w:before="0" w:line="240" w:lineRule="auto"/>
              <w:rPr>
                <w:rFonts w:cs="Arial"/>
                <w:color w:val="000000"/>
                <w:sz w:val="18"/>
                <w:szCs w:val="18"/>
                <w:lang w:eastAsia="fr-FR"/>
              </w:rPr>
            </w:pPr>
            <w:r w:rsidRPr="00A9330B">
              <w:rPr>
                <w:rFonts w:cs="Arial"/>
                <w:color w:val="000000"/>
                <w:sz w:val="18"/>
                <w:szCs w:val="18"/>
                <w:lang w:eastAsia="fr-FR"/>
              </w:rPr>
              <w:t>Ménagère</w:t>
            </w:r>
          </w:p>
        </w:tc>
        <w:tc>
          <w:tcPr>
            <w:tcW w:w="1349" w:type="dxa"/>
            <w:tcBorders>
              <w:top w:val="nil"/>
              <w:left w:val="nil"/>
              <w:bottom w:val="single" w:sz="4" w:space="0" w:color="auto"/>
              <w:right w:val="single" w:sz="4" w:space="0" w:color="auto"/>
            </w:tcBorders>
            <w:shd w:val="clear" w:color="auto" w:fill="auto"/>
            <w:noWrap/>
            <w:vAlign w:val="bottom"/>
            <w:hideMark/>
          </w:tcPr>
          <w:p w14:paraId="4903BB60" w14:textId="77777777" w:rsidR="00F561A7" w:rsidRPr="00A9330B" w:rsidRDefault="00F561A7" w:rsidP="00F561A7">
            <w:pPr>
              <w:spacing w:before="0" w:line="240" w:lineRule="auto"/>
              <w:jc w:val="right"/>
              <w:rPr>
                <w:rFonts w:cs="Arial"/>
                <w:color w:val="000000"/>
                <w:sz w:val="18"/>
                <w:szCs w:val="18"/>
                <w:lang w:eastAsia="fr-FR"/>
              </w:rPr>
            </w:pPr>
            <w:r w:rsidRPr="00A9330B">
              <w:rPr>
                <w:rFonts w:cs="Arial"/>
                <w:color w:val="000000"/>
                <w:sz w:val="18"/>
                <w:szCs w:val="18"/>
                <w:lang w:eastAsia="fr-FR"/>
              </w:rPr>
              <w:t>2000</w:t>
            </w:r>
          </w:p>
        </w:tc>
      </w:tr>
      <w:tr w:rsidR="00F561A7" w:rsidRPr="00A9330B" w14:paraId="52B4A6FB" w14:textId="77777777" w:rsidTr="00340594">
        <w:trPr>
          <w:trHeight w:val="288"/>
          <w:jc w:val="center"/>
        </w:trPr>
        <w:tc>
          <w:tcPr>
            <w:tcW w:w="1030" w:type="dxa"/>
            <w:tcBorders>
              <w:top w:val="nil"/>
              <w:left w:val="single" w:sz="4" w:space="0" w:color="auto"/>
              <w:bottom w:val="single" w:sz="4" w:space="0" w:color="auto"/>
              <w:right w:val="single" w:sz="4" w:space="0" w:color="auto"/>
            </w:tcBorders>
            <w:shd w:val="clear" w:color="auto" w:fill="auto"/>
            <w:noWrap/>
            <w:vAlign w:val="bottom"/>
            <w:hideMark/>
          </w:tcPr>
          <w:p w14:paraId="19A6F502" w14:textId="77777777" w:rsidR="00F561A7" w:rsidRPr="00A9330B" w:rsidRDefault="00F561A7" w:rsidP="00F561A7">
            <w:pPr>
              <w:spacing w:before="0" w:line="240" w:lineRule="auto"/>
              <w:jc w:val="right"/>
              <w:rPr>
                <w:rFonts w:cs="Arial"/>
                <w:color w:val="000000"/>
                <w:sz w:val="18"/>
                <w:szCs w:val="18"/>
                <w:lang w:eastAsia="fr-FR"/>
              </w:rPr>
            </w:pPr>
            <w:r w:rsidRPr="00A9330B">
              <w:rPr>
                <w:rFonts w:cs="Arial"/>
                <w:color w:val="000000"/>
                <w:sz w:val="18"/>
                <w:szCs w:val="18"/>
                <w:lang w:eastAsia="fr-FR"/>
              </w:rPr>
              <w:t>11</w:t>
            </w:r>
          </w:p>
        </w:tc>
        <w:tc>
          <w:tcPr>
            <w:tcW w:w="1030" w:type="dxa"/>
            <w:tcBorders>
              <w:top w:val="nil"/>
              <w:left w:val="nil"/>
              <w:bottom w:val="single" w:sz="4" w:space="0" w:color="auto"/>
              <w:right w:val="single" w:sz="4" w:space="0" w:color="auto"/>
            </w:tcBorders>
            <w:shd w:val="clear" w:color="auto" w:fill="auto"/>
            <w:noWrap/>
            <w:vAlign w:val="bottom"/>
            <w:hideMark/>
          </w:tcPr>
          <w:p w14:paraId="351209AC" w14:textId="77777777" w:rsidR="00F561A7" w:rsidRPr="00A9330B" w:rsidRDefault="00F561A7" w:rsidP="00F561A7">
            <w:pPr>
              <w:spacing w:before="0" w:line="240" w:lineRule="auto"/>
              <w:rPr>
                <w:rFonts w:cs="Arial"/>
                <w:color w:val="000000"/>
                <w:sz w:val="18"/>
                <w:szCs w:val="18"/>
                <w:lang w:eastAsia="fr-FR"/>
              </w:rPr>
            </w:pPr>
            <w:r w:rsidRPr="00A9330B">
              <w:rPr>
                <w:rFonts w:cs="Arial"/>
                <w:color w:val="000000"/>
                <w:sz w:val="18"/>
                <w:szCs w:val="18"/>
                <w:lang w:eastAsia="fr-FR"/>
              </w:rPr>
              <w:t>NAT_110</w:t>
            </w:r>
          </w:p>
        </w:tc>
        <w:tc>
          <w:tcPr>
            <w:tcW w:w="1030" w:type="dxa"/>
            <w:tcBorders>
              <w:top w:val="nil"/>
              <w:left w:val="nil"/>
              <w:bottom w:val="single" w:sz="4" w:space="0" w:color="auto"/>
              <w:right w:val="single" w:sz="4" w:space="0" w:color="auto"/>
            </w:tcBorders>
            <w:shd w:val="clear" w:color="auto" w:fill="auto"/>
            <w:noWrap/>
            <w:vAlign w:val="bottom"/>
            <w:hideMark/>
          </w:tcPr>
          <w:p w14:paraId="1009CAF4" w14:textId="77777777" w:rsidR="00F561A7" w:rsidRPr="00A9330B" w:rsidRDefault="00F561A7" w:rsidP="00F561A7">
            <w:pPr>
              <w:spacing w:before="0" w:line="240" w:lineRule="auto"/>
              <w:rPr>
                <w:rFonts w:cs="Arial"/>
                <w:color w:val="000000"/>
                <w:sz w:val="18"/>
                <w:szCs w:val="18"/>
                <w:lang w:eastAsia="fr-FR"/>
              </w:rPr>
            </w:pPr>
            <w:r w:rsidRPr="00A9330B">
              <w:rPr>
                <w:rFonts w:cs="Arial"/>
                <w:color w:val="000000"/>
                <w:sz w:val="18"/>
                <w:szCs w:val="18"/>
                <w:lang w:eastAsia="fr-FR"/>
              </w:rPr>
              <w:t>Femme</w:t>
            </w:r>
          </w:p>
        </w:tc>
        <w:tc>
          <w:tcPr>
            <w:tcW w:w="1030" w:type="dxa"/>
            <w:tcBorders>
              <w:top w:val="nil"/>
              <w:left w:val="nil"/>
              <w:bottom w:val="single" w:sz="4" w:space="0" w:color="auto"/>
              <w:right w:val="single" w:sz="4" w:space="0" w:color="auto"/>
            </w:tcBorders>
            <w:shd w:val="clear" w:color="auto" w:fill="auto"/>
            <w:noWrap/>
            <w:vAlign w:val="bottom"/>
            <w:hideMark/>
          </w:tcPr>
          <w:p w14:paraId="62BBA058" w14:textId="77777777" w:rsidR="00F561A7" w:rsidRPr="00A9330B" w:rsidRDefault="00F561A7" w:rsidP="00F561A7">
            <w:pPr>
              <w:spacing w:before="0" w:line="240" w:lineRule="auto"/>
              <w:jc w:val="right"/>
              <w:rPr>
                <w:rFonts w:cs="Arial"/>
                <w:color w:val="000000"/>
                <w:sz w:val="18"/>
                <w:szCs w:val="18"/>
                <w:lang w:eastAsia="fr-FR"/>
              </w:rPr>
            </w:pPr>
            <w:r w:rsidRPr="00A9330B">
              <w:rPr>
                <w:rFonts w:cs="Arial"/>
                <w:color w:val="000000"/>
                <w:sz w:val="18"/>
                <w:szCs w:val="18"/>
                <w:lang w:eastAsia="fr-FR"/>
              </w:rPr>
              <w:t>50</w:t>
            </w:r>
          </w:p>
        </w:tc>
        <w:tc>
          <w:tcPr>
            <w:tcW w:w="1071" w:type="dxa"/>
            <w:tcBorders>
              <w:top w:val="nil"/>
              <w:left w:val="nil"/>
              <w:bottom w:val="single" w:sz="4" w:space="0" w:color="auto"/>
              <w:right w:val="single" w:sz="4" w:space="0" w:color="auto"/>
            </w:tcBorders>
            <w:shd w:val="clear" w:color="auto" w:fill="auto"/>
            <w:noWrap/>
            <w:vAlign w:val="bottom"/>
            <w:hideMark/>
          </w:tcPr>
          <w:p w14:paraId="53034887" w14:textId="77777777" w:rsidR="00F561A7" w:rsidRPr="00A9330B" w:rsidRDefault="00F561A7" w:rsidP="00F561A7">
            <w:pPr>
              <w:spacing w:before="0" w:line="240" w:lineRule="auto"/>
              <w:jc w:val="right"/>
              <w:rPr>
                <w:rFonts w:cs="Arial"/>
                <w:color w:val="000000"/>
                <w:sz w:val="18"/>
                <w:szCs w:val="18"/>
                <w:lang w:eastAsia="fr-FR"/>
              </w:rPr>
            </w:pPr>
            <w:r w:rsidRPr="00A9330B">
              <w:rPr>
                <w:rFonts w:cs="Arial"/>
                <w:color w:val="000000"/>
                <w:sz w:val="18"/>
                <w:szCs w:val="18"/>
                <w:lang w:eastAsia="fr-FR"/>
              </w:rPr>
              <w:t>10</w:t>
            </w:r>
          </w:p>
        </w:tc>
        <w:tc>
          <w:tcPr>
            <w:tcW w:w="1215" w:type="dxa"/>
            <w:tcBorders>
              <w:top w:val="nil"/>
              <w:left w:val="nil"/>
              <w:bottom w:val="single" w:sz="4" w:space="0" w:color="auto"/>
              <w:right w:val="single" w:sz="4" w:space="0" w:color="auto"/>
            </w:tcBorders>
            <w:shd w:val="clear" w:color="auto" w:fill="auto"/>
            <w:noWrap/>
            <w:vAlign w:val="bottom"/>
            <w:hideMark/>
          </w:tcPr>
          <w:p w14:paraId="400246D9" w14:textId="77777777" w:rsidR="00F561A7" w:rsidRPr="00A9330B" w:rsidRDefault="00F561A7" w:rsidP="00F561A7">
            <w:pPr>
              <w:spacing w:before="0" w:line="240" w:lineRule="auto"/>
              <w:rPr>
                <w:rFonts w:cs="Arial"/>
                <w:color w:val="000000"/>
                <w:sz w:val="18"/>
                <w:szCs w:val="18"/>
                <w:lang w:eastAsia="fr-FR"/>
              </w:rPr>
            </w:pPr>
            <w:r w:rsidRPr="00A9330B">
              <w:rPr>
                <w:rFonts w:cs="Arial"/>
                <w:color w:val="000000"/>
                <w:sz w:val="18"/>
                <w:szCs w:val="18"/>
                <w:lang w:eastAsia="fr-FR"/>
              </w:rPr>
              <w:t>Propriétaire</w:t>
            </w:r>
          </w:p>
        </w:tc>
        <w:tc>
          <w:tcPr>
            <w:tcW w:w="1312" w:type="dxa"/>
            <w:tcBorders>
              <w:top w:val="nil"/>
              <w:left w:val="nil"/>
              <w:bottom w:val="single" w:sz="4" w:space="0" w:color="auto"/>
              <w:right w:val="single" w:sz="4" w:space="0" w:color="auto"/>
            </w:tcBorders>
            <w:shd w:val="clear" w:color="auto" w:fill="auto"/>
            <w:noWrap/>
            <w:vAlign w:val="bottom"/>
            <w:hideMark/>
          </w:tcPr>
          <w:p w14:paraId="3264CA93" w14:textId="77777777" w:rsidR="00F561A7" w:rsidRPr="00A9330B" w:rsidRDefault="00F561A7" w:rsidP="00F561A7">
            <w:pPr>
              <w:spacing w:before="0" w:line="240" w:lineRule="auto"/>
              <w:rPr>
                <w:rFonts w:cs="Arial"/>
                <w:color w:val="000000"/>
                <w:sz w:val="18"/>
                <w:szCs w:val="18"/>
                <w:lang w:eastAsia="fr-FR"/>
              </w:rPr>
            </w:pPr>
            <w:r w:rsidRPr="00A9330B">
              <w:rPr>
                <w:rFonts w:cs="Arial"/>
                <w:color w:val="000000"/>
                <w:sz w:val="18"/>
                <w:szCs w:val="18"/>
                <w:lang w:eastAsia="fr-FR"/>
              </w:rPr>
              <w:t>Commerce</w:t>
            </w:r>
          </w:p>
        </w:tc>
        <w:tc>
          <w:tcPr>
            <w:tcW w:w="1349" w:type="dxa"/>
            <w:tcBorders>
              <w:top w:val="nil"/>
              <w:left w:val="nil"/>
              <w:bottom w:val="single" w:sz="4" w:space="0" w:color="auto"/>
              <w:right w:val="single" w:sz="4" w:space="0" w:color="auto"/>
            </w:tcBorders>
            <w:shd w:val="clear" w:color="auto" w:fill="auto"/>
            <w:noWrap/>
            <w:vAlign w:val="bottom"/>
            <w:hideMark/>
          </w:tcPr>
          <w:p w14:paraId="5FBC37C7" w14:textId="77777777" w:rsidR="00F561A7" w:rsidRPr="00A9330B" w:rsidRDefault="00F561A7" w:rsidP="00F561A7">
            <w:pPr>
              <w:spacing w:before="0" w:line="240" w:lineRule="auto"/>
              <w:jc w:val="right"/>
              <w:rPr>
                <w:rFonts w:cs="Arial"/>
                <w:color w:val="000000"/>
                <w:sz w:val="18"/>
                <w:szCs w:val="18"/>
                <w:lang w:eastAsia="fr-FR"/>
              </w:rPr>
            </w:pPr>
            <w:r w:rsidRPr="00A9330B">
              <w:rPr>
                <w:rFonts w:cs="Arial"/>
                <w:color w:val="000000"/>
                <w:sz w:val="18"/>
                <w:szCs w:val="18"/>
                <w:lang w:eastAsia="fr-FR"/>
              </w:rPr>
              <w:t>2000</w:t>
            </w:r>
          </w:p>
        </w:tc>
      </w:tr>
      <w:tr w:rsidR="00F561A7" w:rsidRPr="00A9330B" w14:paraId="242FA326" w14:textId="77777777" w:rsidTr="00340594">
        <w:trPr>
          <w:trHeight w:val="288"/>
          <w:jc w:val="center"/>
        </w:trPr>
        <w:tc>
          <w:tcPr>
            <w:tcW w:w="1030" w:type="dxa"/>
            <w:tcBorders>
              <w:top w:val="nil"/>
              <w:left w:val="single" w:sz="4" w:space="0" w:color="auto"/>
              <w:bottom w:val="single" w:sz="4" w:space="0" w:color="auto"/>
              <w:right w:val="single" w:sz="4" w:space="0" w:color="auto"/>
            </w:tcBorders>
            <w:shd w:val="clear" w:color="auto" w:fill="auto"/>
            <w:noWrap/>
            <w:vAlign w:val="bottom"/>
            <w:hideMark/>
          </w:tcPr>
          <w:p w14:paraId="7776D547" w14:textId="77777777" w:rsidR="00F561A7" w:rsidRPr="00A9330B" w:rsidRDefault="00F561A7" w:rsidP="00F561A7">
            <w:pPr>
              <w:spacing w:before="0" w:line="240" w:lineRule="auto"/>
              <w:jc w:val="right"/>
              <w:rPr>
                <w:rFonts w:cs="Arial"/>
                <w:color w:val="000000"/>
                <w:sz w:val="18"/>
                <w:szCs w:val="18"/>
                <w:lang w:eastAsia="fr-FR"/>
              </w:rPr>
            </w:pPr>
            <w:r w:rsidRPr="00A9330B">
              <w:rPr>
                <w:rFonts w:cs="Arial"/>
                <w:color w:val="000000"/>
                <w:sz w:val="18"/>
                <w:szCs w:val="18"/>
                <w:lang w:eastAsia="fr-FR"/>
              </w:rPr>
              <w:t>12</w:t>
            </w:r>
          </w:p>
        </w:tc>
        <w:tc>
          <w:tcPr>
            <w:tcW w:w="1030" w:type="dxa"/>
            <w:tcBorders>
              <w:top w:val="nil"/>
              <w:left w:val="nil"/>
              <w:bottom w:val="single" w:sz="4" w:space="0" w:color="auto"/>
              <w:right w:val="single" w:sz="4" w:space="0" w:color="auto"/>
            </w:tcBorders>
            <w:shd w:val="clear" w:color="auto" w:fill="auto"/>
            <w:noWrap/>
            <w:vAlign w:val="bottom"/>
            <w:hideMark/>
          </w:tcPr>
          <w:p w14:paraId="24E10CCA" w14:textId="77777777" w:rsidR="00F561A7" w:rsidRPr="00A9330B" w:rsidRDefault="00F561A7" w:rsidP="00F561A7">
            <w:pPr>
              <w:spacing w:before="0" w:line="240" w:lineRule="auto"/>
              <w:rPr>
                <w:rFonts w:cs="Arial"/>
                <w:color w:val="000000"/>
                <w:sz w:val="18"/>
                <w:szCs w:val="18"/>
                <w:lang w:eastAsia="fr-FR"/>
              </w:rPr>
            </w:pPr>
            <w:r w:rsidRPr="00A9330B">
              <w:rPr>
                <w:rFonts w:cs="Arial"/>
                <w:color w:val="000000"/>
                <w:sz w:val="18"/>
                <w:szCs w:val="18"/>
                <w:lang w:eastAsia="fr-FR"/>
              </w:rPr>
              <w:t>NAT_118</w:t>
            </w:r>
          </w:p>
        </w:tc>
        <w:tc>
          <w:tcPr>
            <w:tcW w:w="1030" w:type="dxa"/>
            <w:tcBorders>
              <w:top w:val="nil"/>
              <w:left w:val="nil"/>
              <w:bottom w:val="single" w:sz="4" w:space="0" w:color="auto"/>
              <w:right w:val="single" w:sz="4" w:space="0" w:color="auto"/>
            </w:tcBorders>
            <w:shd w:val="clear" w:color="auto" w:fill="auto"/>
            <w:noWrap/>
            <w:vAlign w:val="bottom"/>
            <w:hideMark/>
          </w:tcPr>
          <w:p w14:paraId="68B46EEE" w14:textId="77777777" w:rsidR="00F561A7" w:rsidRPr="00A9330B" w:rsidRDefault="00F561A7" w:rsidP="00F561A7">
            <w:pPr>
              <w:spacing w:before="0" w:line="240" w:lineRule="auto"/>
              <w:rPr>
                <w:rFonts w:cs="Arial"/>
                <w:color w:val="000000"/>
                <w:sz w:val="18"/>
                <w:szCs w:val="18"/>
                <w:lang w:eastAsia="fr-FR"/>
              </w:rPr>
            </w:pPr>
            <w:r w:rsidRPr="00A9330B">
              <w:rPr>
                <w:rFonts w:cs="Arial"/>
                <w:color w:val="000000"/>
                <w:sz w:val="18"/>
                <w:szCs w:val="18"/>
                <w:lang w:eastAsia="fr-FR"/>
              </w:rPr>
              <w:t>Femme</w:t>
            </w:r>
          </w:p>
        </w:tc>
        <w:tc>
          <w:tcPr>
            <w:tcW w:w="1030" w:type="dxa"/>
            <w:tcBorders>
              <w:top w:val="nil"/>
              <w:left w:val="nil"/>
              <w:bottom w:val="single" w:sz="4" w:space="0" w:color="auto"/>
              <w:right w:val="single" w:sz="4" w:space="0" w:color="auto"/>
            </w:tcBorders>
            <w:shd w:val="clear" w:color="auto" w:fill="auto"/>
            <w:noWrap/>
            <w:vAlign w:val="bottom"/>
            <w:hideMark/>
          </w:tcPr>
          <w:p w14:paraId="6D10A096" w14:textId="77777777" w:rsidR="00F561A7" w:rsidRPr="00A9330B" w:rsidRDefault="00F561A7" w:rsidP="00F561A7">
            <w:pPr>
              <w:spacing w:before="0" w:line="240" w:lineRule="auto"/>
              <w:jc w:val="right"/>
              <w:rPr>
                <w:rFonts w:cs="Arial"/>
                <w:color w:val="000000"/>
                <w:sz w:val="18"/>
                <w:szCs w:val="18"/>
                <w:lang w:eastAsia="fr-FR"/>
              </w:rPr>
            </w:pPr>
            <w:r w:rsidRPr="00A9330B">
              <w:rPr>
                <w:rFonts w:cs="Arial"/>
                <w:color w:val="000000"/>
                <w:sz w:val="18"/>
                <w:szCs w:val="18"/>
                <w:lang w:eastAsia="fr-FR"/>
              </w:rPr>
              <w:t>69</w:t>
            </w:r>
          </w:p>
        </w:tc>
        <w:tc>
          <w:tcPr>
            <w:tcW w:w="1071" w:type="dxa"/>
            <w:tcBorders>
              <w:top w:val="nil"/>
              <w:left w:val="nil"/>
              <w:bottom w:val="single" w:sz="4" w:space="0" w:color="auto"/>
              <w:right w:val="single" w:sz="4" w:space="0" w:color="auto"/>
            </w:tcBorders>
            <w:shd w:val="clear" w:color="auto" w:fill="auto"/>
            <w:noWrap/>
            <w:vAlign w:val="bottom"/>
            <w:hideMark/>
          </w:tcPr>
          <w:p w14:paraId="31ED8B8F" w14:textId="77777777" w:rsidR="00F561A7" w:rsidRPr="00A9330B" w:rsidRDefault="00F561A7" w:rsidP="00F561A7">
            <w:pPr>
              <w:spacing w:before="0" w:line="240" w:lineRule="auto"/>
              <w:jc w:val="right"/>
              <w:rPr>
                <w:rFonts w:cs="Arial"/>
                <w:color w:val="000000"/>
                <w:sz w:val="18"/>
                <w:szCs w:val="18"/>
                <w:lang w:eastAsia="fr-FR"/>
              </w:rPr>
            </w:pPr>
            <w:r w:rsidRPr="00A9330B">
              <w:rPr>
                <w:rFonts w:cs="Arial"/>
                <w:color w:val="000000"/>
                <w:sz w:val="18"/>
                <w:szCs w:val="18"/>
                <w:lang w:eastAsia="fr-FR"/>
              </w:rPr>
              <w:t>10</w:t>
            </w:r>
          </w:p>
        </w:tc>
        <w:tc>
          <w:tcPr>
            <w:tcW w:w="1215" w:type="dxa"/>
            <w:tcBorders>
              <w:top w:val="nil"/>
              <w:left w:val="nil"/>
              <w:bottom w:val="single" w:sz="4" w:space="0" w:color="auto"/>
              <w:right w:val="single" w:sz="4" w:space="0" w:color="auto"/>
            </w:tcBorders>
            <w:shd w:val="clear" w:color="auto" w:fill="auto"/>
            <w:noWrap/>
            <w:vAlign w:val="bottom"/>
            <w:hideMark/>
          </w:tcPr>
          <w:p w14:paraId="010FCA8A" w14:textId="77777777" w:rsidR="00F561A7" w:rsidRPr="00A9330B" w:rsidRDefault="00F561A7" w:rsidP="00F561A7">
            <w:pPr>
              <w:spacing w:before="0" w:line="240" w:lineRule="auto"/>
              <w:rPr>
                <w:rFonts w:cs="Arial"/>
                <w:color w:val="000000"/>
                <w:sz w:val="18"/>
                <w:szCs w:val="18"/>
                <w:lang w:eastAsia="fr-FR"/>
              </w:rPr>
            </w:pPr>
            <w:r w:rsidRPr="00A9330B">
              <w:rPr>
                <w:rFonts w:cs="Arial"/>
                <w:color w:val="000000"/>
                <w:sz w:val="18"/>
                <w:szCs w:val="18"/>
                <w:lang w:eastAsia="fr-FR"/>
              </w:rPr>
              <w:t>Propriétaire</w:t>
            </w:r>
          </w:p>
        </w:tc>
        <w:tc>
          <w:tcPr>
            <w:tcW w:w="1312" w:type="dxa"/>
            <w:tcBorders>
              <w:top w:val="nil"/>
              <w:left w:val="nil"/>
              <w:bottom w:val="single" w:sz="4" w:space="0" w:color="auto"/>
              <w:right w:val="single" w:sz="4" w:space="0" w:color="auto"/>
            </w:tcBorders>
            <w:shd w:val="clear" w:color="auto" w:fill="auto"/>
            <w:noWrap/>
            <w:vAlign w:val="bottom"/>
            <w:hideMark/>
          </w:tcPr>
          <w:p w14:paraId="55D9BE96" w14:textId="77777777" w:rsidR="00F561A7" w:rsidRPr="00A9330B" w:rsidRDefault="00F561A7" w:rsidP="00F561A7">
            <w:pPr>
              <w:spacing w:before="0" w:line="240" w:lineRule="auto"/>
              <w:rPr>
                <w:rFonts w:cs="Arial"/>
                <w:color w:val="000000"/>
                <w:sz w:val="18"/>
                <w:szCs w:val="18"/>
                <w:lang w:eastAsia="fr-FR"/>
              </w:rPr>
            </w:pPr>
            <w:r w:rsidRPr="00A9330B">
              <w:rPr>
                <w:rFonts w:cs="Arial"/>
                <w:color w:val="000000"/>
                <w:sz w:val="18"/>
                <w:szCs w:val="18"/>
                <w:lang w:eastAsia="fr-FR"/>
              </w:rPr>
              <w:t>Ménagère</w:t>
            </w:r>
          </w:p>
        </w:tc>
        <w:tc>
          <w:tcPr>
            <w:tcW w:w="1349" w:type="dxa"/>
            <w:tcBorders>
              <w:top w:val="nil"/>
              <w:left w:val="nil"/>
              <w:bottom w:val="single" w:sz="4" w:space="0" w:color="auto"/>
              <w:right w:val="single" w:sz="4" w:space="0" w:color="auto"/>
            </w:tcBorders>
            <w:shd w:val="clear" w:color="auto" w:fill="auto"/>
            <w:noWrap/>
            <w:vAlign w:val="bottom"/>
            <w:hideMark/>
          </w:tcPr>
          <w:p w14:paraId="1D717203" w14:textId="77777777" w:rsidR="00F561A7" w:rsidRPr="00A9330B" w:rsidRDefault="00F561A7" w:rsidP="00F561A7">
            <w:pPr>
              <w:spacing w:before="0" w:line="240" w:lineRule="auto"/>
              <w:jc w:val="right"/>
              <w:rPr>
                <w:rFonts w:cs="Arial"/>
                <w:color w:val="000000"/>
                <w:sz w:val="18"/>
                <w:szCs w:val="18"/>
                <w:lang w:eastAsia="fr-FR"/>
              </w:rPr>
            </w:pPr>
            <w:r w:rsidRPr="00A9330B">
              <w:rPr>
                <w:rFonts w:cs="Arial"/>
                <w:color w:val="000000"/>
                <w:sz w:val="18"/>
                <w:szCs w:val="18"/>
                <w:lang w:eastAsia="fr-FR"/>
              </w:rPr>
              <w:t>2000</w:t>
            </w:r>
          </w:p>
        </w:tc>
      </w:tr>
      <w:tr w:rsidR="00F561A7" w:rsidRPr="00A9330B" w14:paraId="438991AD" w14:textId="77777777" w:rsidTr="00340594">
        <w:trPr>
          <w:trHeight w:val="288"/>
          <w:jc w:val="center"/>
        </w:trPr>
        <w:tc>
          <w:tcPr>
            <w:tcW w:w="1030" w:type="dxa"/>
            <w:tcBorders>
              <w:top w:val="nil"/>
              <w:left w:val="single" w:sz="4" w:space="0" w:color="auto"/>
              <w:bottom w:val="single" w:sz="4" w:space="0" w:color="auto"/>
              <w:right w:val="single" w:sz="4" w:space="0" w:color="auto"/>
            </w:tcBorders>
            <w:shd w:val="clear" w:color="auto" w:fill="auto"/>
            <w:noWrap/>
            <w:vAlign w:val="bottom"/>
            <w:hideMark/>
          </w:tcPr>
          <w:p w14:paraId="5292BC46" w14:textId="77777777" w:rsidR="00F561A7" w:rsidRPr="00A9330B" w:rsidRDefault="00F561A7" w:rsidP="00F561A7">
            <w:pPr>
              <w:spacing w:before="0" w:line="240" w:lineRule="auto"/>
              <w:jc w:val="right"/>
              <w:rPr>
                <w:rFonts w:cs="Arial"/>
                <w:color w:val="000000"/>
                <w:sz w:val="18"/>
                <w:szCs w:val="18"/>
                <w:lang w:eastAsia="fr-FR"/>
              </w:rPr>
            </w:pPr>
            <w:r w:rsidRPr="00A9330B">
              <w:rPr>
                <w:rFonts w:cs="Arial"/>
                <w:color w:val="000000"/>
                <w:sz w:val="18"/>
                <w:szCs w:val="18"/>
                <w:lang w:eastAsia="fr-FR"/>
              </w:rPr>
              <w:t>13</w:t>
            </w:r>
          </w:p>
        </w:tc>
        <w:tc>
          <w:tcPr>
            <w:tcW w:w="1030" w:type="dxa"/>
            <w:tcBorders>
              <w:top w:val="nil"/>
              <w:left w:val="nil"/>
              <w:bottom w:val="single" w:sz="4" w:space="0" w:color="auto"/>
              <w:right w:val="single" w:sz="4" w:space="0" w:color="auto"/>
            </w:tcBorders>
            <w:shd w:val="clear" w:color="auto" w:fill="auto"/>
            <w:noWrap/>
            <w:vAlign w:val="bottom"/>
            <w:hideMark/>
          </w:tcPr>
          <w:p w14:paraId="624DB09B" w14:textId="77777777" w:rsidR="00F561A7" w:rsidRPr="00A9330B" w:rsidRDefault="00F561A7" w:rsidP="00F561A7">
            <w:pPr>
              <w:spacing w:before="0" w:line="240" w:lineRule="auto"/>
              <w:rPr>
                <w:rFonts w:cs="Arial"/>
                <w:color w:val="000000"/>
                <w:sz w:val="18"/>
                <w:szCs w:val="18"/>
                <w:lang w:eastAsia="fr-FR"/>
              </w:rPr>
            </w:pPr>
            <w:r w:rsidRPr="00A9330B">
              <w:rPr>
                <w:rFonts w:cs="Arial"/>
                <w:color w:val="000000"/>
                <w:sz w:val="18"/>
                <w:szCs w:val="18"/>
                <w:lang w:eastAsia="fr-FR"/>
              </w:rPr>
              <w:t>NAT_125</w:t>
            </w:r>
          </w:p>
        </w:tc>
        <w:tc>
          <w:tcPr>
            <w:tcW w:w="1030" w:type="dxa"/>
            <w:tcBorders>
              <w:top w:val="nil"/>
              <w:left w:val="nil"/>
              <w:bottom w:val="single" w:sz="4" w:space="0" w:color="auto"/>
              <w:right w:val="single" w:sz="4" w:space="0" w:color="auto"/>
            </w:tcBorders>
            <w:shd w:val="clear" w:color="auto" w:fill="auto"/>
            <w:noWrap/>
            <w:vAlign w:val="bottom"/>
            <w:hideMark/>
          </w:tcPr>
          <w:p w14:paraId="597D08B8" w14:textId="77777777" w:rsidR="00F561A7" w:rsidRPr="00A9330B" w:rsidRDefault="00F561A7" w:rsidP="00F561A7">
            <w:pPr>
              <w:spacing w:before="0" w:line="240" w:lineRule="auto"/>
              <w:rPr>
                <w:rFonts w:cs="Arial"/>
                <w:color w:val="000000"/>
                <w:sz w:val="18"/>
                <w:szCs w:val="18"/>
                <w:lang w:eastAsia="fr-FR"/>
              </w:rPr>
            </w:pPr>
            <w:r w:rsidRPr="00A9330B">
              <w:rPr>
                <w:rFonts w:cs="Arial"/>
                <w:color w:val="000000"/>
                <w:sz w:val="18"/>
                <w:szCs w:val="18"/>
                <w:lang w:eastAsia="fr-FR"/>
              </w:rPr>
              <w:t>Homme</w:t>
            </w:r>
          </w:p>
        </w:tc>
        <w:tc>
          <w:tcPr>
            <w:tcW w:w="1030" w:type="dxa"/>
            <w:tcBorders>
              <w:top w:val="nil"/>
              <w:left w:val="nil"/>
              <w:bottom w:val="single" w:sz="4" w:space="0" w:color="auto"/>
              <w:right w:val="single" w:sz="4" w:space="0" w:color="auto"/>
            </w:tcBorders>
            <w:shd w:val="clear" w:color="auto" w:fill="auto"/>
            <w:noWrap/>
            <w:vAlign w:val="bottom"/>
            <w:hideMark/>
          </w:tcPr>
          <w:p w14:paraId="2CC44F97" w14:textId="77777777" w:rsidR="00F561A7" w:rsidRPr="00A9330B" w:rsidRDefault="00F561A7" w:rsidP="00F561A7">
            <w:pPr>
              <w:spacing w:before="0" w:line="240" w:lineRule="auto"/>
              <w:jc w:val="right"/>
              <w:rPr>
                <w:rFonts w:cs="Arial"/>
                <w:color w:val="000000"/>
                <w:sz w:val="18"/>
                <w:szCs w:val="18"/>
                <w:lang w:eastAsia="fr-FR"/>
              </w:rPr>
            </w:pPr>
            <w:r w:rsidRPr="00A9330B">
              <w:rPr>
                <w:rFonts w:cs="Arial"/>
                <w:color w:val="000000"/>
                <w:sz w:val="18"/>
                <w:szCs w:val="18"/>
                <w:lang w:eastAsia="fr-FR"/>
              </w:rPr>
              <w:t>75</w:t>
            </w:r>
          </w:p>
        </w:tc>
        <w:tc>
          <w:tcPr>
            <w:tcW w:w="1071" w:type="dxa"/>
            <w:tcBorders>
              <w:top w:val="nil"/>
              <w:left w:val="nil"/>
              <w:bottom w:val="single" w:sz="4" w:space="0" w:color="auto"/>
              <w:right w:val="single" w:sz="4" w:space="0" w:color="auto"/>
            </w:tcBorders>
            <w:shd w:val="clear" w:color="auto" w:fill="auto"/>
            <w:noWrap/>
            <w:vAlign w:val="bottom"/>
            <w:hideMark/>
          </w:tcPr>
          <w:p w14:paraId="022E180B" w14:textId="77777777" w:rsidR="00F561A7" w:rsidRPr="00A9330B" w:rsidRDefault="00F561A7" w:rsidP="00F561A7">
            <w:pPr>
              <w:spacing w:before="0" w:line="240" w:lineRule="auto"/>
              <w:jc w:val="right"/>
              <w:rPr>
                <w:rFonts w:cs="Arial"/>
                <w:color w:val="000000"/>
                <w:sz w:val="18"/>
                <w:szCs w:val="18"/>
                <w:lang w:eastAsia="fr-FR"/>
              </w:rPr>
            </w:pPr>
            <w:r w:rsidRPr="00A9330B">
              <w:rPr>
                <w:rFonts w:cs="Arial"/>
                <w:color w:val="000000"/>
                <w:sz w:val="18"/>
                <w:szCs w:val="18"/>
                <w:lang w:eastAsia="fr-FR"/>
              </w:rPr>
              <w:t>3</w:t>
            </w:r>
          </w:p>
        </w:tc>
        <w:tc>
          <w:tcPr>
            <w:tcW w:w="1215" w:type="dxa"/>
            <w:tcBorders>
              <w:top w:val="nil"/>
              <w:left w:val="nil"/>
              <w:bottom w:val="single" w:sz="4" w:space="0" w:color="auto"/>
              <w:right w:val="single" w:sz="4" w:space="0" w:color="auto"/>
            </w:tcBorders>
            <w:shd w:val="clear" w:color="auto" w:fill="auto"/>
            <w:noWrap/>
            <w:vAlign w:val="bottom"/>
            <w:hideMark/>
          </w:tcPr>
          <w:p w14:paraId="3D5D1CB6" w14:textId="77777777" w:rsidR="00F561A7" w:rsidRPr="00A9330B" w:rsidRDefault="00F561A7" w:rsidP="00F561A7">
            <w:pPr>
              <w:spacing w:before="0" w:line="240" w:lineRule="auto"/>
              <w:rPr>
                <w:rFonts w:cs="Arial"/>
                <w:color w:val="000000"/>
                <w:sz w:val="18"/>
                <w:szCs w:val="18"/>
                <w:lang w:eastAsia="fr-FR"/>
              </w:rPr>
            </w:pPr>
            <w:r w:rsidRPr="00A9330B">
              <w:rPr>
                <w:rFonts w:cs="Arial"/>
                <w:color w:val="000000"/>
                <w:sz w:val="18"/>
                <w:szCs w:val="18"/>
                <w:lang w:eastAsia="fr-FR"/>
              </w:rPr>
              <w:t>Propriétaire</w:t>
            </w:r>
          </w:p>
        </w:tc>
        <w:tc>
          <w:tcPr>
            <w:tcW w:w="1312" w:type="dxa"/>
            <w:tcBorders>
              <w:top w:val="nil"/>
              <w:left w:val="nil"/>
              <w:bottom w:val="single" w:sz="4" w:space="0" w:color="auto"/>
              <w:right w:val="single" w:sz="4" w:space="0" w:color="auto"/>
            </w:tcBorders>
            <w:shd w:val="clear" w:color="auto" w:fill="auto"/>
            <w:noWrap/>
            <w:vAlign w:val="bottom"/>
            <w:hideMark/>
          </w:tcPr>
          <w:p w14:paraId="38234D3C" w14:textId="77777777" w:rsidR="00F561A7" w:rsidRPr="00A9330B" w:rsidRDefault="00F561A7" w:rsidP="00F561A7">
            <w:pPr>
              <w:spacing w:before="0" w:line="240" w:lineRule="auto"/>
              <w:rPr>
                <w:rFonts w:cs="Arial"/>
                <w:color w:val="000000"/>
                <w:sz w:val="18"/>
                <w:szCs w:val="18"/>
                <w:lang w:eastAsia="fr-FR"/>
              </w:rPr>
            </w:pPr>
            <w:r w:rsidRPr="00A9330B">
              <w:rPr>
                <w:rFonts w:cs="Arial"/>
                <w:color w:val="000000"/>
                <w:sz w:val="18"/>
                <w:szCs w:val="18"/>
                <w:lang w:eastAsia="fr-FR"/>
              </w:rPr>
              <w:t>Ménagère</w:t>
            </w:r>
          </w:p>
        </w:tc>
        <w:tc>
          <w:tcPr>
            <w:tcW w:w="1349" w:type="dxa"/>
            <w:tcBorders>
              <w:top w:val="nil"/>
              <w:left w:val="nil"/>
              <w:bottom w:val="single" w:sz="4" w:space="0" w:color="auto"/>
              <w:right w:val="single" w:sz="4" w:space="0" w:color="auto"/>
            </w:tcBorders>
            <w:shd w:val="clear" w:color="auto" w:fill="auto"/>
            <w:noWrap/>
            <w:vAlign w:val="bottom"/>
            <w:hideMark/>
          </w:tcPr>
          <w:p w14:paraId="3D56BC7B" w14:textId="77777777" w:rsidR="00F561A7" w:rsidRPr="00A9330B" w:rsidRDefault="00F561A7" w:rsidP="00F561A7">
            <w:pPr>
              <w:spacing w:before="0" w:line="240" w:lineRule="auto"/>
              <w:jc w:val="right"/>
              <w:rPr>
                <w:rFonts w:cs="Arial"/>
                <w:color w:val="000000"/>
                <w:sz w:val="18"/>
                <w:szCs w:val="18"/>
                <w:lang w:eastAsia="fr-FR"/>
              </w:rPr>
            </w:pPr>
            <w:r w:rsidRPr="00A9330B">
              <w:rPr>
                <w:rFonts w:cs="Arial"/>
                <w:color w:val="000000"/>
                <w:sz w:val="18"/>
                <w:szCs w:val="18"/>
                <w:lang w:eastAsia="fr-FR"/>
              </w:rPr>
              <w:t>2000</w:t>
            </w:r>
          </w:p>
        </w:tc>
      </w:tr>
      <w:tr w:rsidR="00F561A7" w:rsidRPr="00A9330B" w14:paraId="32E995EE" w14:textId="77777777" w:rsidTr="00340594">
        <w:trPr>
          <w:trHeight w:val="288"/>
          <w:jc w:val="center"/>
        </w:trPr>
        <w:tc>
          <w:tcPr>
            <w:tcW w:w="1030" w:type="dxa"/>
            <w:tcBorders>
              <w:top w:val="nil"/>
              <w:left w:val="single" w:sz="4" w:space="0" w:color="auto"/>
              <w:bottom w:val="single" w:sz="4" w:space="0" w:color="auto"/>
              <w:right w:val="single" w:sz="4" w:space="0" w:color="auto"/>
            </w:tcBorders>
            <w:shd w:val="clear" w:color="auto" w:fill="auto"/>
            <w:noWrap/>
            <w:vAlign w:val="bottom"/>
            <w:hideMark/>
          </w:tcPr>
          <w:p w14:paraId="0FA66F45" w14:textId="77777777" w:rsidR="00F561A7" w:rsidRPr="00A9330B" w:rsidRDefault="00F561A7" w:rsidP="00F561A7">
            <w:pPr>
              <w:spacing w:before="0" w:line="240" w:lineRule="auto"/>
              <w:jc w:val="right"/>
              <w:rPr>
                <w:rFonts w:cs="Arial"/>
                <w:color w:val="000000"/>
                <w:sz w:val="18"/>
                <w:szCs w:val="18"/>
                <w:lang w:eastAsia="fr-FR"/>
              </w:rPr>
            </w:pPr>
            <w:r w:rsidRPr="00A9330B">
              <w:rPr>
                <w:rFonts w:cs="Arial"/>
                <w:color w:val="000000"/>
                <w:sz w:val="18"/>
                <w:szCs w:val="18"/>
                <w:lang w:eastAsia="fr-FR"/>
              </w:rPr>
              <w:t>14</w:t>
            </w:r>
          </w:p>
        </w:tc>
        <w:tc>
          <w:tcPr>
            <w:tcW w:w="1030" w:type="dxa"/>
            <w:tcBorders>
              <w:top w:val="nil"/>
              <w:left w:val="nil"/>
              <w:bottom w:val="single" w:sz="4" w:space="0" w:color="auto"/>
              <w:right w:val="single" w:sz="4" w:space="0" w:color="auto"/>
            </w:tcBorders>
            <w:shd w:val="clear" w:color="auto" w:fill="auto"/>
            <w:noWrap/>
            <w:vAlign w:val="bottom"/>
            <w:hideMark/>
          </w:tcPr>
          <w:p w14:paraId="7F07603C" w14:textId="77777777" w:rsidR="00F561A7" w:rsidRPr="00A9330B" w:rsidRDefault="00F561A7" w:rsidP="00F561A7">
            <w:pPr>
              <w:spacing w:before="0" w:line="240" w:lineRule="auto"/>
              <w:rPr>
                <w:rFonts w:cs="Arial"/>
                <w:color w:val="000000"/>
                <w:sz w:val="18"/>
                <w:szCs w:val="18"/>
                <w:lang w:eastAsia="fr-FR"/>
              </w:rPr>
            </w:pPr>
            <w:r w:rsidRPr="00A9330B">
              <w:rPr>
                <w:rFonts w:cs="Arial"/>
                <w:color w:val="000000"/>
                <w:sz w:val="18"/>
                <w:szCs w:val="18"/>
                <w:lang w:eastAsia="fr-FR"/>
              </w:rPr>
              <w:t>NAT_188</w:t>
            </w:r>
          </w:p>
        </w:tc>
        <w:tc>
          <w:tcPr>
            <w:tcW w:w="1030" w:type="dxa"/>
            <w:tcBorders>
              <w:top w:val="nil"/>
              <w:left w:val="nil"/>
              <w:bottom w:val="single" w:sz="4" w:space="0" w:color="auto"/>
              <w:right w:val="single" w:sz="4" w:space="0" w:color="auto"/>
            </w:tcBorders>
            <w:shd w:val="clear" w:color="auto" w:fill="auto"/>
            <w:noWrap/>
            <w:vAlign w:val="bottom"/>
            <w:hideMark/>
          </w:tcPr>
          <w:p w14:paraId="5903EA83" w14:textId="77777777" w:rsidR="00F561A7" w:rsidRPr="00A9330B" w:rsidRDefault="00F561A7" w:rsidP="00F561A7">
            <w:pPr>
              <w:spacing w:before="0" w:line="240" w:lineRule="auto"/>
              <w:rPr>
                <w:rFonts w:cs="Arial"/>
                <w:color w:val="000000"/>
                <w:sz w:val="18"/>
                <w:szCs w:val="18"/>
                <w:lang w:eastAsia="fr-FR"/>
              </w:rPr>
            </w:pPr>
            <w:r w:rsidRPr="00A9330B">
              <w:rPr>
                <w:rFonts w:cs="Arial"/>
                <w:color w:val="000000"/>
                <w:sz w:val="18"/>
                <w:szCs w:val="18"/>
                <w:lang w:eastAsia="fr-FR"/>
              </w:rPr>
              <w:t>Femme</w:t>
            </w:r>
          </w:p>
        </w:tc>
        <w:tc>
          <w:tcPr>
            <w:tcW w:w="1030" w:type="dxa"/>
            <w:tcBorders>
              <w:top w:val="nil"/>
              <w:left w:val="nil"/>
              <w:bottom w:val="single" w:sz="4" w:space="0" w:color="auto"/>
              <w:right w:val="single" w:sz="4" w:space="0" w:color="auto"/>
            </w:tcBorders>
            <w:shd w:val="clear" w:color="auto" w:fill="auto"/>
            <w:noWrap/>
            <w:vAlign w:val="bottom"/>
            <w:hideMark/>
          </w:tcPr>
          <w:p w14:paraId="0648823A" w14:textId="77777777" w:rsidR="00F561A7" w:rsidRPr="00A9330B" w:rsidRDefault="00F561A7" w:rsidP="00F561A7">
            <w:pPr>
              <w:spacing w:before="0" w:line="240" w:lineRule="auto"/>
              <w:jc w:val="right"/>
              <w:rPr>
                <w:rFonts w:cs="Arial"/>
                <w:color w:val="000000"/>
                <w:sz w:val="18"/>
                <w:szCs w:val="18"/>
                <w:lang w:eastAsia="fr-FR"/>
              </w:rPr>
            </w:pPr>
            <w:r w:rsidRPr="00A9330B">
              <w:rPr>
                <w:rFonts w:cs="Arial"/>
                <w:color w:val="000000"/>
                <w:sz w:val="18"/>
                <w:szCs w:val="18"/>
                <w:lang w:eastAsia="fr-FR"/>
              </w:rPr>
              <w:t>30</w:t>
            </w:r>
          </w:p>
        </w:tc>
        <w:tc>
          <w:tcPr>
            <w:tcW w:w="1071" w:type="dxa"/>
            <w:tcBorders>
              <w:top w:val="nil"/>
              <w:left w:val="nil"/>
              <w:bottom w:val="single" w:sz="4" w:space="0" w:color="auto"/>
              <w:right w:val="single" w:sz="4" w:space="0" w:color="auto"/>
            </w:tcBorders>
            <w:shd w:val="clear" w:color="auto" w:fill="auto"/>
            <w:noWrap/>
            <w:vAlign w:val="bottom"/>
            <w:hideMark/>
          </w:tcPr>
          <w:p w14:paraId="26B8AE5C" w14:textId="77777777" w:rsidR="00F561A7" w:rsidRPr="00A9330B" w:rsidRDefault="00F561A7" w:rsidP="00F561A7">
            <w:pPr>
              <w:spacing w:before="0" w:line="240" w:lineRule="auto"/>
              <w:jc w:val="right"/>
              <w:rPr>
                <w:rFonts w:cs="Arial"/>
                <w:color w:val="000000"/>
                <w:sz w:val="18"/>
                <w:szCs w:val="18"/>
                <w:lang w:eastAsia="fr-FR"/>
              </w:rPr>
            </w:pPr>
            <w:r w:rsidRPr="00A9330B">
              <w:rPr>
                <w:rFonts w:cs="Arial"/>
                <w:color w:val="000000"/>
                <w:sz w:val="18"/>
                <w:szCs w:val="18"/>
                <w:lang w:eastAsia="fr-FR"/>
              </w:rPr>
              <w:t>4</w:t>
            </w:r>
          </w:p>
        </w:tc>
        <w:tc>
          <w:tcPr>
            <w:tcW w:w="1215" w:type="dxa"/>
            <w:tcBorders>
              <w:top w:val="nil"/>
              <w:left w:val="nil"/>
              <w:bottom w:val="single" w:sz="4" w:space="0" w:color="auto"/>
              <w:right w:val="single" w:sz="4" w:space="0" w:color="auto"/>
            </w:tcBorders>
            <w:shd w:val="clear" w:color="auto" w:fill="auto"/>
            <w:noWrap/>
            <w:vAlign w:val="bottom"/>
            <w:hideMark/>
          </w:tcPr>
          <w:p w14:paraId="1605B73F" w14:textId="77777777" w:rsidR="00F561A7" w:rsidRPr="00A9330B" w:rsidRDefault="00F561A7" w:rsidP="00F561A7">
            <w:pPr>
              <w:spacing w:before="0" w:line="240" w:lineRule="auto"/>
              <w:rPr>
                <w:rFonts w:cs="Arial"/>
                <w:color w:val="000000"/>
                <w:sz w:val="18"/>
                <w:szCs w:val="18"/>
                <w:lang w:eastAsia="fr-FR"/>
              </w:rPr>
            </w:pPr>
            <w:r w:rsidRPr="00A9330B">
              <w:rPr>
                <w:rFonts w:cs="Arial"/>
                <w:color w:val="000000"/>
                <w:sz w:val="18"/>
                <w:szCs w:val="18"/>
                <w:lang w:eastAsia="fr-FR"/>
              </w:rPr>
              <w:t>Propriétaire</w:t>
            </w:r>
          </w:p>
        </w:tc>
        <w:tc>
          <w:tcPr>
            <w:tcW w:w="1312" w:type="dxa"/>
            <w:tcBorders>
              <w:top w:val="nil"/>
              <w:left w:val="nil"/>
              <w:bottom w:val="single" w:sz="4" w:space="0" w:color="auto"/>
              <w:right w:val="single" w:sz="4" w:space="0" w:color="auto"/>
            </w:tcBorders>
            <w:shd w:val="clear" w:color="auto" w:fill="auto"/>
            <w:noWrap/>
            <w:vAlign w:val="bottom"/>
            <w:hideMark/>
          </w:tcPr>
          <w:p w14:paraId="7453ABB9" w14:textId="77777777" w:rsidR="00F561A7" w:rsidRPr="00A9330B" w:rsidRDefault="00F561A7" w:rsidP="00F561A7">
            <w:pPr>
              <w:spacing w:before="0" w:line="240" w:lineRule="auto"/>
              <w:rPr>
                <w:rFonts w:cs="Arial"/>
                <w:color w:val="000000"/>
                <w:sz w:val="18"/>
                <w:szCs w:val="18"/>
                <w:lang w:eastAsia="fr-FR"/>
              </w:rPr>
            </w:pPr>
            <w:r w:rsidRPr="00A9330B">
              <w:rPr>
                <w:rFonts w:cs="Arial"/>
                <w:color w:val="000000"/>
                <w:sz w:val="18"/>
                <w:szCs w:val="18"/>
                <w:lang w:eastAsia="fr-FR"/>
              </w:rPr>
              <w:t>Ménagère</w:t>
            </w:r>
          </w:p>
        </w:tc>
        <w:tc>
          <w:tcPr>
            <w:tcW w:w="1349" w:type="dxa"/>
            <w:tcBorders>
              <w:top w:val="nil"/>
              <w:left w:val="nil"/>
              <w:bottom w:val="single" w:sz="4" w:space="0" w:color="auto"/>
              <w:right w:val="single" w:sz="4" w:space="0" w:color="auto"/>
            </w:tcBorders>
            <w:shd w:val="clear" w:color="auto" w:fill="auto"/>
            <w:noWrap/>
            <w:vAlign w:val="bottom"/>
            <w:hideMark/>
          </w:tcPr>
          <w:p w14:paraId="48EFCF1E" w14:textId="77777777" w:rsidR="00F561A7" w:rsidRPr="00A9330B" w:rsidRDefault="00F561A7" w:rsidP="00F561A7">
            <w:pPr>
              <w:spacing w:before="0" w:line="240" w:lineRule="auto"/>
              <w:jc w:val="right"/>
              <w:rPr>
                <w:rFonts w:cs="Arial"/>
                <w:color w:val="000000"/>
                <w:sz w:val="18"/>
                <w:szCs w:val="18"/>
                <w:lang w:eastAsia="fr-FR"/>
              </w:rPr>
            </w:pPr>
            <w:r w:rsidRPr="00A9330B">
              <w:rPr>
                <w:rFonts w:cs="Arial"/>
                <w:color w:val="000000"/>
                <w:sz w:val="18"/>
                <w:szCs w:val="18"/>
                <w:lang w:eastAsia="fr-FR"/>
              </w:rPr>
              <w:t>2000</w:t>
            </w:r>
          </w:p>
        </w:tc>
      </w:tr>
      <w:tr w:rsidR="00F561A7" w:rsidRPr="00A9330B" w14:paraId="140CB262" w14:textId="77777777" w:rsidTr="00340594">
        <w:trPr>
          <w:trHeight w:val="288"/>
          <w:jc w:val="center"/>
        </w:trPr>
        <w:tc>
          <w:tcPr>
            <w:tcW w:w="1030" w:type="dxa"/>
            <w:tcBorders>
              <w:top w:val="nil"/>
              <w:left w:val="single" w:sz="4" w:space="0" w:color="auto"/>
              <w:bottom w:val="single" w:sz="4" w:space="0" w:color="auto"/>
              <w:right w:val="single" w:sz="4" w:space="0" w:color="auto"/>
            </w:tcBorders>
            <w:shd w:val="clear" w:color="auto" w:fill="auto"/>
            <w:noWrap/>
            <w:vAlign w:val="bottom"/>
            <w:hideMark/>
          </w:tcPr>
          <w:p w14:paraId="462991BE" w14:textId="77777777" w:rsidR="00F561A7" w:rsidRPr="00A9330B" w:rsidRDefault="00F561A7" w:rsidP="00F561A7">
            <w:pPr>
              <w:spacing w:before="0" w:line="240" w:lineRule="auto"/>
              <w:jc w:val="right"/>
              <w:rPr>
                <w:rFonts w:cs="Arial"/>
                <w:color w:val="000000"/>
                <w:sz w:val="18"/>
                <w:szCs w:val="18"/>
                <w:lang w:eastAsia="fr-FR"/>
              </w:rPr>
            </w:pPr>
            <w:r w:rsidRPr="00A9330B">
              <w:rPr>
                <w:rFonts w:cs="Arial"/>
                <w:color w:val="000000"/>
                <w:sz w:val="18"/>
                <w:szCs w:val="18"/>
                <w:lang w:eastAsia="fr-FR"/>
              </w:rPr>
              <w:t>15</w:t>
            </w:r>
          </w:p>
        </w:tc>
        <w:tc>
          <w:tcPr>
            <w:tcW w:w="1030" w:type="dxa"/>
            <w:tcBorders>
              <w:top w:val="nil"/>
              <w:left w:val="nil"/>
              <w:bottom w:val="single" w:sz="4" w:space="0" w:color="auto"/>
              <w:right w:val="single" w:sz="4" w:space="0" w:color="auto"/>
            </w:tcBorders>
            <w:shd w:val="clear" w:color="auto" w:fill="auto"/>
            <w:noWrap/>
            <w:vAlign w:val="bottom"/>
            <w:hideMark/>
          </w:tcPr>
          <w:p w14:paraId="43C90E66" w14:textId="77777777" w:rsidR="00F561A7" w:rsidRPr="00A9330B" w:rsidRDefault="00F561A7" w:rsidP="00F561A7">
            <w:pPr>
              <w:spacing w:before="0" w:line="240" w:lineRule="auto"/>
              <w:rPr>
                <w:rFonts w:cs="Arial"/>
                <w:color w:val="000000"/>
                <w:sz w:val="18"/>
                <w:szCs w:val="18"/>
                <w:lang w:eastAsia="fr-FR"/>
              </w:rPr>
            </w:pPr>
            <w:r w:rsidRPr="00A9330B">
              <w:rPr>
                <w:rFonts w:cs="Arial"/>
                <w:color w:val="000000"/>
                <w:sz w:val="18"/>
                <w:szCs w:val="18"/>
                <w:lang w:eastAsia="fr-FR"/>
              </w:rPr>
              <w:t>NAT_209</w:t>
            </w:r>
          </w:p>
        </w:tc>
        <w:tc>
          <w:tcPr>
            <w:tcW w:w="1030" w:type="dxa"/>
            <w:tcBorders>
              <w:top w:val="nil"/>
              <w:left w:val="nil"/>
              <w:bottom w:val="single" w:sz="4" w:space="0" w:color="auto"/>
              <w:right w:val="single" w:sz="4" w:space="0" w:color="auto"/>
            </w:tcBorders>
            <w:shd w:val="clear" w:color="auto" w:fill="auto"/>
            <w:noWrap/>
            <w:vAlign w:val="bottom"/>
            <w:hideMark/>
          </w:tcPr>
          <w:p w14:paraId="133A39DF" w14:textId="77777777" w:rsidR="00F561A7" w:rsidRPr="00A9330B" w:rsidRDefault="00F561A7" w:rsidP="00F561A7">
            <w:pPr>
              <w:spacing w:before="0" w:line="240" w:lineRule="auto"/>
              <w:rPr>
                <w:rFonts w:cs="Arial"/>
                <w:color w:val="000000"/>
                <w:sz w:val="18"/>
                <w:szCs w:val="18"/>
                <w:lang w:eastAsia="fr-FR"/>
              </w:rPr>
            </w:pPr>
            <w:r w:rsidRPr="00A9330B">
              <w:rPr>
                <w:rFonts w:cs="Arial"/>
                <w:color w:val="000000"/>
                <w:sz w:val="18"/>
                <w:szCs w:val="18"/>
                <w:lang w:eastAsia="fr-FR"/>
              </w:rPr>
              <w:t>Femme</w:t>
            </w:r>
          </w:p>
        </w:tc>
        <w:tc>
          <w:tcPr>
            <w:tcW w:w="1030" w:type="dxa"/>
            <w:tcBorders>
              <w:top w:val="nil"/>
              <w:left w:val="nil"/>
              <w:bottom w:val="single" w:sz="4" w:space="0" w:color="auto"/>
              <w:right w:val="single" w:sz="4" w:space="0" w:color="auto"/>
            </w:tcBorders>
            <w:shd w:val="clear" w:color="auto" w:fill="auto"/>
            <w:noWrap/>
            <w:vAlign w:val="bottom"/>
            <w:hideMark/>
          </w:tcPr>
          <w:p w14:paraId="3BCAD92F" w14:textId="77777777" w:rsidR="00F561A7" w:rsidRPr="00A9330B" w:rsidRDefault="00F561A7" w:rsidP="00F561A7">
            <w:pPr>
              <w:spacing w:before="0" w:line="240" w:lineRule="auto"/>
              <w:jc w:val="right"/>
              <w:rPr>
                <w:rFonts w:cs="Arial"/>
                <w:color w:val="000000"/>
                <w:sz w:val="18"/>
                <w:szCs w:val="18"/>
                <w:lang w:eastAsia="fr-FR"/>
              </w:rPr>
            </w:pPr>
            <w:r w:rsidRPr="00A9330B">
              <w:rPr>
                <w:rFonts w:cs="Arial"/>
                <w:color w:val="000000"/>
                <w:sz w:val="18"/>
                <w:szCs w:val="18"/>
                <w:lang w:eastAsia="fr-FR"/>
              </w:rPr>
              <w:t>80</w:t>
            </w:r>
          </w:p>
        </w:tc>
        <w:tc>
          <w:tcPr>
            <w:tcW w:w="1071" w:type="dxa"/>
            <w:tcBorders>
              <w:top w:val="nil"/>
              <w:left w:val="nil"/>
              <w:bottom w:val="single" w:sz="4" w:space="0" w:color="auto"/>
              <w:right w:val="single" w:sz="4" w:space="0" w:color="auto"/>
            </w:tcBorders>
            <w:shd w:val="clear" w:color="auto" w:fill="auto"/>
            <w:noWrap/>
            <w:vAlign w:val="bottom"/>
            <w:hideMark/>
          </w:tcPr>
          <w:p w14:paraId="6FFAAA40" w14:textId="77777777" w:rsidR="00F561A7" w:rsidRPr="00A9330B" w:rsidRDefault="00F561A7" w:rsidP="00F561A7">
            <w:pPr>
              <w:spacing w:before="0" w:line="240" w:lineRule="auto"/>
              <w:jc w:val="right"/>
              <w:rPr>
                <w:rFonts w:cs="Arial"/>
                <w:color w:val="000000"/>
                <w:sz w:val="18"/>
                <w:szCs w:val="18"/>
                <w:lang w:eastAsia="fr-FR"/>
              </w:rPr>
            </w:pPr>
            <w:r w:rsidRPr="00A9330B">
              <w:rPr>
                <w:rFonts w:cs="Arial"/>
                <w:color w:val="000000"/>
                <w:sz w:val="18"/>
                <w:szCs w:val="18"/>
                <w:lang w:eastAsia="fr-FR"/>
              </w:rPr>
              <w:t>12</w:t>
            </w:r>
          </w:p>
        </w:tc>
        <w:tc>
          <w:tcPr>
            <w:tcW w:w="1215" w:type="dxa"/>
            <w:tcBorders>
              <w:top w:val="nil"/>
              <w:left w:val="nil"/>
              <w:bottom w:val="single" w:sz="4" w:space="0" w:color="auto"/>
              <w:right w:val="single" w:sz="4" w:space="0" w:color="auto"/>
            </w:tcBorders>
            <w:shd w:val="clear" w:color="auto" w:fill="auto"/>
            <w:noWrap/>
            <w:vAlign w:val="bottom"/>
            <w:hideMark/>
          </w:tcPr>
          <w:p w14:paraId="7E6252B5" w14:textId="77777777" w:rsidR="00F561A7" w:rsidRPr="00A9330B" w:rsidRDefault="00F561A7" w:rsidP="00F561A7">
            <w:pPr>
              <w:spacing w:before="0" w:line="240" w:lineRule="auto"/>
              <w:rPr>
                <w:rFonts w:cs="Arial"/>
                <w:color w:val="000000"/>
                <w:sz w:val="18"/>
                <w:szCs w:val="18"/>
                <w:lang w:eastAsia="fr-FR"/>
              </w:rPr>
            </w:pPr>
            <w:r w:rsidRPr="00A9330B">
              <w:rPr>
                <w:rFonts w:cs="Arial"/>
                <w:color w:val="000000"/>
                <w:sz w:val="18"/>
                <w:szCs w:val="18"/>
                <w:lang w:eastAsia="fr-FR"/>
              </w:rPr>
              <w:t>Propriétaire</w:t>
            </w:r>
          </w:p>
        </w:tc>
        <w:tc>
          <w:tcPr>
            <w:tcW w:w="1312" w:type="dxa"/>
            <w:tcBorders>
              <w:top w:val="nil"/>
              <w:left w:val="nil"/>
              <w:bottom w:val="single" w:sz="4" w:space="0" w:color="auto"/>
              <w:right w:val="single" w:sz="4" w:space="0" w:color="auto"/>
            </w:tcBorders>
            <w:shd w:val="clear" w:color="auto" w:fill="auto"/>
            <w:noWrap/>
            <w:vAlign w:val="bottom"/>
            <w:hideMark/>
          </w:tcPr>
          <w:p w14:paraId="1D0BD487" w14:textId="77777777" w:rsidR="00F561A7" w:rsidRPr="00A9330B" w:rsidRDefault="00F561A7" w:rsidP="00F561A7">
            <w:pPr>
              <w:spacing w:before="0" w:line="240" w:lineRule="auto"/>
              <w:rPr>
                <w:rFonts w:cs="Arial"/>
                <w:color w:val="000000"/>
                <w:sz w:val="18"/>
                <w:szCs w:val="18"/>
                <w:lang w:eastAsia="fr-FR"/>
              </w:rPr>
            </w:pPr>
            <w:r w:rsidRPr="00A9330B">
              <w:rPr>
                <w:rFonts w:cs="Arial"/>
                <w:color w:val="000000"/>
                <w:sz w:val="18"/>
                <w:szCs w:val="18"/>
                <w:lang w:eastAsia="fr-FR"/>
              </w:rPr>
              <w:t>Commerce</w:t>
            </w:r>
          </w:p>
        </w:tc>
        <w:tc>
          <w:tcPr>
            <w:tcW w:w="1349" w:type="dxa"/>
            <w:tcBorders>
              <w:top w:val="nil"/>
              <w:left w:val="nil"/>
              <w:bottom w:val="single" w:sz="4" w:space="0" w:color="auto"/>
              <w:right w:val="single" w:sz="4" w:space="0" w:color="auto"/>
            </w:tcBorders>
            <w:shd w:val="clear" w:color="auto" w:fill="auto"/>
            <w:noWrap/>
            <w:vAlign w:val="bottom"/>
            <w:hideMark/>
          </w:tcPr>
          <w:p w14:paraId="69E512BC" w14:textId="77777777" w:rsidR="00F561A7" w:rsidRPr="00A9330B" w:rsidRDefault="00F561A7" w:rsidP="00F561A7">
            <w:pPr>
              <w:spacing w:before="0" w:line="240" w:lineRule="auto"/>
              <w:jc w:val="right"/>
              <w:rPr>
                <w:rFonts w:cs="Arial"/>
                <w:color w:val="000000"/>
                <w:sz w:val="18"/>
                <w:szCs w:val="18"/>
                <w:lang w:eastAsia="fr-FR"/>
              </w:rPr>
            </w:pPr>
            <w:r w:rsidRPr="00A9330B">
              <w:rPr>
                <w:rFonts w:cs="Arial"/>
                <w:color w:val="000000"/>
                <w:sz w:val="18"/>
                <w:szCs w:val="18"/>
                <w:lang w:eastAsia="fr-FR"/>
              </w:rPr>
              <w:t>5000</w:t>
            </w:r>
          </w:p>
        </w:tc>
      </w:tr>
      <w:tr w:rsidR="00F561A7" w:rsidRPr="00A9330B" w14:paraId="505CC5EF" w14:textId="77777777" w:rsidTr="00340594">
        <w:trPr>
          <w:trHeight w:val="288"/>
          <w:jc w:val="center"/>
        </w:trPr>
        <w:tc>
          <w:tcPr>
            <w:tcW w:w="1030" w:type="dxa"/>
            <w:tcBorders>
              <w:top w:val="nil"/>
              <w:left w:val="single" w:sz="4" w:space="0" w:color="auto"/>
              <w:bottom w:val="single" w:sz="4" w:space="0" w:color="auto"/>
              <w:right w:val="single" w:sz="4" w:space="0" w:color="auto"/>
            </w:tcBorders>
            <w:shd w:val="clear" w:color="auto" w:fill="auto"/>
            <w:noWrap/>
            <w:vAlign w:val="bottom"/>
            <w:hideMark/>
          </w:tcPr>
          <w:p w14:paraId="46240549" w14:textId="77777777" w:rsidR="00F561A7" w:rsidRPr="00A9330B" w:rsidRDefault="00F561A7" w:rsidP="00F561A7">
            <w:pPr>
              <w:spacing w:before="0" w:line="240" w:lineRule="auto"/>
              <w:jc w:val="right"/>
              <w:rPr>
                <w:rFonts w:cs="Arial"/>
                <w:color w:val="000000"/>
                <w:sz w:val="18"/>
                <w:szCs w:val="18"/>
                <w:lang w:eastAsia="fr-FR"/>
              </w:rPr>
            </w:pPr>
            <w:r w:rsidRPr="00A9330B">
              <w:rPr>
                <w:rFonts w:cs="Arial"/>
                <w:color w:val="000000"/>
                <w:sz w:val="18"/>
                <w:szCs w:val="18"/>
                <w:lang w:eastAsia="fr-FR"/>
              </w:rPr>
              <w:t>16</w:t>
            </w:r>
          </w:p>
        </w:tc>
        <w:tc>
          <w:tcPr>
            <w:tcW w:w="1030" w:type="dxa"/>
            <w:tcBorders>
              <w:top w:val="nil"/>
              <w:left w:val="nil"/>
              <w:bottom w:val="single" w:sz="4" w:space="0" w:color="auto"/>
              <w:right w:val="single" w:sz="4" w:space="0" w:color="auto"/>
            </w:tcBorders>
            <w:shd w:val="clear" w:color="auto" w:fill="auto"/>
            <w:noWrap/>
            <w:vAlign w:val="bottom"/>
            <w:hideMark/>
          </w:tcPr>
          <w:p w14:paraId="6EEB9763" w14:textId="77777777" w:rsidR="00F561A7" w:rsidRPr="00A9330B" w:rsidRDefault="00F561A7" w:rsidP="00F561A7">
            <w:pPr>
              <w:spacing w:before="0" w:line="240" w:lineRule="auto"/>
              <w:rPr>
                <w:rFonts w:cs="Arial"/>
                <w:color w:val="000000"/>
                <w:sz w:val="18"/>
                <w:szCs w:val="18"/>
                <w:lang w:eastAsia="fr-FR"/>
              </w:rPr>
            </w:pPr>
            <w:r w:rsidRPr="00A9330B">
              <w:rPr>
                <w:rFonts w:cs="Arial"/>
                <w:color w:val="000000"/>
                <w:sz w:val="18"/>
                <w:szCs w:val="18"/>
                <w:lang w:eastAsia="fr-FR"/>
              </w:rPr>
              <w:t>NAT_270</w:t>
            </w:r>
          </w:p>
        </w:tc>
        <w:tc>
          <w:tcPr>
            <w:tcW w:w="1030" w:type="dxa"/>
            <w:tcBorders>
              <w:top w:val="nil"/>
              <w:left w:val="nil"/>
              <w:bottom w:val="single" w:sz="4" w:space="0" w:color="auto"/>
              <w:right w:val="single" w:sz="4" w:space="0" w:color="auto"/>
            </w:tcBorders>
            <w:shd w:val="clear" w:color="auto" w:fill="auto"/>
            <w:noWrap/>
            <w:vAlign w:val="bottom"/>
            <w:hideMark/>
          </w:tcPr>
          <w:p w14:paraId="5F1B90F2" w14:textId="77777777" w:rsidR="00F561A7" w:rsidRPr="00A9330B" w:rsidRDefault="00F561A7" w:rsidP="00F561A7">
            <w:pPr>
              <w:spacing w:before="0" w:line="240" w:lineRule="auto"/>
              <w:rPr>
                <w:rFonts w:cs="Arial"/>
                <w:color w:val="000000"/>
                <w:sz w:val="18"/>
                <w:szCs w:val="18"/>
                <w:lang w:eastAsia="fr-FR"/>
              </w:rPr>
            </w:pPr>
            <w:r w:rsidRPr="00A9330B">
              <w:rPr>
                <w:rFonts w:cs="Arial"/>
                <w:color w:val="000000"/>
                <w:sz w:val="18"/>
                <w:szCs w:val="18"/>
                <w:lang w:eastAsia="fr-FR"/>
              </w:rPr>
              <w:t>Femme</w:t>
            </w:r>
          </w:p>
        </w:tc>
        <w:tc>
          <w:tcPr>
            <w:tcW w:w="1030" w:type="dxa"/>
            <w:tcBorders>
              <w:top w:val="nil"/>
              <w:left w:val="nil"/>
              <w:bottom w:val="single" w:sz="4" w:space="0" w:color="auto"/>
              <w:right w:val="single" w:sz="4" w:space="0" w:color="auto"/>
            </w:tcBorders>
            <w:shd w:val="clear" w:color="auto" w:fill="auto"/>
            <w:noWrap/>
            <w:vAlign w:val="bottom"/>
            <w:hideMark/>
          </w:tcPr>
          <w:p w14:paraId="3F9487FA" w14:textId="77777777" w:rsidR="00F561A7" w:rsidRPr="00A9330B" w:rsidRDefault="00F561A7" w:rsidP="00F561A7">
            <w:pPr>
              <w:spacing w:before="0" w:line="240" w:lineRule="auto"/>
              <w:jc w:val="right"/>
              <w:rPr>
                <w:rFonts w:cs="Arial"/>
                <w:color w:val="000000"/>
                <w:sz w:val="18"/>
                <w:szCs w:val="18"/>
                <w:lang w:eastAsia="fr-FR"/>
              </w:rPr>
            </w:pPr>
            <w:r w:rsidRPr="00A9330B">
              <w:rPr>
                <w:rFonts w:cs="Arial"/>
                <w:color w:val="000000"/>
                <w:sz w:val="18"/>
                <w:szCs w:val="18"/>
                <w:lang w:eastAsia="fr-FR"/>
              </w:rPr>
              <w:t>32</w:t>
            </w:r>
          </w:p>
        </w:tc>
        <w:tc>
          <w:tcPr>
            <w:tcW w:w="1071" w:type="dxa"/>
            <w:tcBorders>
              <w:top w:val="nil"/>
              <w:left w:val="nil"/>
              <w:bottom w:val="single" w:sz="4" w:space="0" w:color="auto"/>
              <w:right w:val="single" w:sz="4" w:space="0" w:color="auto"/>
            </w:tcBorders>
            <w:shd w:val="clear" w:color="auto" w:fill="auto"/>
            <w:noWrap/>
            <w:vAlign w:val="bottom"/>
            <w:hideMark/>
          </w:tcPr>
          <w:p w14:paraId="40316985" w14:textId="77777777" w:rsidR="00F561A7" w:rsidRPr="00A9330B" w:rsidRDefault="00F561A7" w:rsidP="00F561A7">
            <w:pPr>
              <w:spacing w:before="0" w:line="240" w:lineRule="auto"/>
              <w:jc w:val="right"/>
              <w:rPr>
                <w:rFonts w:cs="Arial"/>
                <w:color w:val="000000"/>
                <w:sz w:val="18"/>
                <w:szCs w:val="18"/>
                <w:lang w:eastAsia="fr-FR"/>
              </w:rPr>
            </w:pPr>
            <w:r w:rsidRPr="00A9330B">
              <w:rPr>
                <w:rFonts w:cs="Arial"/>
                <w:color w:val="000000"/>
                <w:sz w:val="18"/>
                <w:szCs w:val="18"/>
                <w:lang w:eastAsia="fr-FR"/>
              </w:rPr>
              <w:t>5</w:t>
            </w:r>
          </w:p>
        </w:tc>
        <w:tc>
          <w:tcPr>
            <w:tcW w:w="1215" w:type="dxa"/>
            <w:tcBorders>
              <w:top w:val="nil"/>
              <w:left w:val="nil"/>
              <w:bottom w:val="single" w:sz="4" w:space="0" w:color="auto"/>
              <w:right w:val="single" w:sz="4" w:space="0" w:color="auto"/>
            </w:tcBorders>
            <w:shd w:val="clear" w:color="auto" w:fill="auto"/>
            <w:noWrap/>
            <w:vAlign w:val="bottom"/>
            <w:hideMark/>
          </w:tcPr>
          <w:p w14:paraId="42A9FC24" w14:textId="77777777" w:rsidR="00F561A7" w:rsidRPr="00A9330B" w:rsidRDefault="00F561A7" w:rsidP="00F561A7">
            <w:pPr>
              <w:spacing w:before="0" w:line="240" w:lineRule="auto"/>
              <w:rPr>
                <w:rFonts w:cs="Arial"/>
                <w:color w:val="000000"/>
                <w:sz w:val="18"/>
                <w:szCs w:val="18"/>
                <w:lang w:eastAsia="fr-FR"/>
              </w:rPr>
            </w:pPr>
            <w:r w:rsidRPr="00A9330B">
              <w:rPr>
                <w:rFonts w:cs="Arial"/>
                <w:color w:val="000000"/>
                <w:sz w:val="18"/>
                <w:szCs w:val="18"/>
                <w:lang w:eastAsia="fr-FR"/>
              </w:rPr>
              <w:t>Propriétaire</w:t>
            </w:r>
          </w:p>
        </w:tc>
        <w:tc>
          <w:tcPr>
            <w:tcW w:w="1312" w:type="dxa"/>
            <w:tcBorders>
              <w:top w:val="nil"/>
              <w:left w:val="nil"/>
              <w:bottom w:val="single" w:sz="4" w:space="0" w:color="auto"/>
              <w:right w:val="single" w:sz="4" w:space="0" w:color="auto"/>
            </w:tcBorders>
            <w:shd w:val="clear" w:color="auto" w:fill="auto"/>
            <w:noWrap/>
            <w:vAlign w:val="bottom"/>
            <w:hideMark/>
          </w:tcPr>
          <w:p w14:paraId="0E3ACF57" w14:textId="77777777" w:rsidR="00F561A7" w:rsidRPr="00A9330B" w:rsidRDefault="00F561A7" w:rsidP="00F561A7">
            <w:pPr>
              <w:spacing w:before="0" w:line="240" w:lineRule="auto"/>
              <w:rPr>
                <w:rFonts w:cs="Arial"/>
                <w:color w:val="000000"/>
                <w:sz w:val="18"/>
                <w:szCs w:val="18"/>
                <w:lang w:eastAsia="fr-FR"/>
              </w:rPr>
            </w:pPr>
            <w:r w:rsidRPr="00A9330B">
              <w:rPr>
                <w:rFonts w:cs="Arial"/>
                <w:color w:val="000000"/>
                <w:sz w:val="18"/>
                <w:szCs w:val="18"/>
                <w:lang w:eastAsia="fr-FR"/>
              </w:rPr>
              <w:t>Agriculture</w:t>
            </w:r>
          </w:p>
        </w:tc>
        <w:tc>
          <w:tcPr>
            <w:tcW w:w="1349" w:type="dxa"/>
            <w:tcBorders>
              <w:top w:val="nil"/>
              <w:left w:val="nil"/>
              <w:bottom w:val="single" w:sz="4" w:space="0" w:color="auto"/>
              <w:right w:val="single" w:sz="4" w:space="0" w:color="auto"/>
            </w:tcBorders>
            <w:shd w:val="clear" w:color="auto" w:fill="auto"/>
            <w:noWrap/>
            <w:vAlign w:val="bottom"/>
            <w:hideMark/>
          </w:tcPr>
          <w:p w14:paraId="0131036B" w14:textId="77777777" w:rsidR="00F561A7" w:rsidRPr="00A9330B" w:rsidRDefault="00F561A7" w:rsidP="00F561A7">
            <w:pPr>
              <w:spacing w:before="0" w:line="240" w:lineRule="auto"/>
              <w:jc w:val="right"/>
              <w:rPr>
                <w:rFonts w:cs="Arial"/>
                <w:color w:val="000000"/>
                <w:sz w:val="18"/>
                <w:szCs w:val="18"/>
                <w:lang w:eastAsia="fr-FR"/>
              </w:rPr>
            </w:pPr>
            <w:r w:rsidRPr="00A9330B">
              <w:rPr>
                <w:rFonts w:cs="Arial"/>
                <w:color w:val="000000"/>
                <w:sz w:val="18"/>
                <w:szCs w:val="18"/>
                <w:lang w:eastAsia="fr-FR"/>
              </w:rPr>
              <w:t>2000</w:t>
            </w:r>
          </w:p>
        </w:tc>
      </w:tr>
      <w:tr w:rsidR="00F561A7" w:rsidRPr="00A9330B" w14:paraId="41D096A3" w14:textId="77777777" w:rsidTr="00340594">
        <w:trPr>
          <w:trHeight w:val="288"/>
          <w:jc w:val="center"/>
        </w:trPr>
        <w:tc>
          <w:tcPr>
            <w:tcW w:w="1030" w:type="dxa"/>
            <w:tcBorders>
              <w:top w:val="nil"/>
              <w:left w:val="single" w:sz="4" w:space="0" w:color="auto"/>
              <w:bottom w:val="single" w:sz="4" w:space="0" w:color="auto"/>
              <w:right w:val="single" w:sz="4" w:space="0" w:color="auto"/>
            </w:tcBorders>
            <w:shd w:val="clear" w:color="auto" w:fill="auto"/>
            <w:noWrap/>
            <w:vAlign w:val="bottom"/>
            <w:hideMark/>
          </w:tcPr>
          <w:p w14:paraId="12224628" w14:textId="77777777" w:rsidR="00F561A7" w:rsidRPr="00A9330B" w:rsidRDefault="00F561A7" w:rsidP="00F561A7">
            <w:pPr>
              <w:spacing w:before="0" w:line="240" w:lineRule="auto"/>
              <w:jc w:val="right"/>
              <w:rPr>
                <w:rFonts w:cs="Arial"/>
                <w:color w:val="000000"/>
                <w:sz w:val="18"/>
                <w:szCs w:val="18"/>
                <w:lang w:eastAsia="fr-FR"/>
              </w:rPr>
            </w:pPr>
            <w:r w:rsidRPr="00A9330B">
              <w:rPr>
                <w:rFonts w:cs="Arial"/>
                <w:color w:val="000000"/>
                <w:sz w:val="18"/>
                <w:szCs w:val="18"/>
                <w:lang w:eastAsia="fr-FR"/>
              </w:rPr>
              <w:t>17</w:t>
            </w:r>
          </w:p>
        </w:tc>
        <w:tc>
          <w:tcPr>
            <w:tcW w:w="1030" w:type="dxa"/>
            <w:tcBorders>
              <w:top w:val="nil"/>
              <w:left w:val="nil"/>
              <w:bottom w:val="single" w:sz="4" w:space="0" w:color="auto"/>
              <w:right w:val="single" w:sz="4" w:space="0" w:color="auto"/>
            </w:tcBorders>
            <w:shd w:val="clear" w:color="auto" w:fill="auto"/>
            <w:noWrap/>
            <w:vAlign w:val="bottom"/>
            <w:hideMark/>
          </w:tcPr>
          <w:p w14:paraId="47EA33CA" w14:textId="77777777" w:rsidR="00F561A7" w:rsidRPr="00A9330B" w:rsidRDefault="00F561A7" w:rsidP="00F561A7">
            <w:pPr>
              <w:spacing w:before="0" w:line="240" w:lineRule="auto"/>
              <w:rPr>
                <w:rFonts w:cs="Arial"/>
                <w:color w:val="000000"/>
                <w:sz w:val="18"/>
                <w:szCs w:val="18"/>
                <w:lang w:eastAsia="fr-FR"/>
              </w:rPr>
            </w:pPr>
            <w:r w:rsidRPr="00A9330B">
              <w:rPr>
                <w:rFonts w:cs="Arial"/>
                <w:color w:val="000000"/>
                <w:sz w:val="18"/>
                <w:szCs w:val="18"/>
                <w:lang w:eastAsia="fr-FR"/>
              </w:rPr>
              <w:t>NAT_277</w:t>
            </w:r>
          </w:p>
        </w:tc>
        <w:tc>
          <w:tcPr>
            <w:tcW w:w="1030" w:type="dxa"/>
            <w:tcBorders>
              <w:top w:val="nil"/>
              <w:left w:val="nil"/>
              <w:bottom w:val="single" w:sz="4" w:space="0" w:color="auto"/>
              <w:right w:val="single" w:sz="4" w:space="0" w:color="auto"/>
            </w:tcBorders>
            <w:shd w:val="clear" w:color="auto" w:fill="auto"/>
            <w:noWrap/>
            <w:vAlign w:val="bottom"/>
            <w:hideMark/>
          </w:tcPr>
          <w:p w14:paraId="7ED19C41" w14:textId="77777777" w:rsidR="00F561A7" w:rsidRPr="00A9330B" w:rsidRDefault="00F561A7" w:rsidP="00F561A7">
            <w:pPr>
              <w:spacing w:before="0" w:line="240" w:lineRule="auto"/>
              <w:rPr>
                <w:rFonts w:cs="Arial"/>
                <w:color w:val="000000"/>
                <w:sz w:val="18"/>
                <w:szCs w:val="18"/>
                <w:lang w:eastAsia="fr-FR"/>
              </w:rPr>
            </w:pPr>
            <w:r w:rsidRPr="00A9330B">
              <w:rPr>
                <w:rFonts w:cs="Arial"/>
                <w:color w:val="000000"/>
                <w:sz w:val="18"/>
                <w:szCs w:val="18"/>
                <w:lang w:eastAsia="fr-FR"/>
              </w:rPr>
              <w:t>Femme</w:t>
            </w:r>
          </w:p>
        </w:tc>
        <w:tc>
          <w:tcPr>
            <w:tcW w:w="1030" w:type="dxa"/>
            <w:tcBorders>
              <w:top w:val="nil"/>
              <w:left w:val="nil"/>
              <w:bottom w:val="single" w:sz="4" w:space="0" w:color="auto"/>
              <w:right w:val="single" w:sz="4" w:space="0" w:color="auto"/>
            </w:tcBorders>
            <w:shd w:val="clear" w:color="auto" w:fill="auto"/>
            <w:noWrap/>
            <w:vAlign w:val="bottom"/>
            <w:hideMark/>
          </w:tcPr>
          <w:p w14:paraId="4A645B94" w14:textId="77777777" w:rsidR="00F561A7" w:rsidRPr="00A9330B" w:rsidRDefault="00F561A7" w:rsidP="00F561A7">
            <w:pPr>
              <w:spacing w:before="0" w:line="240" w:lineRule="auto"/>
              <w:jc w:val="right"/>
              <w:rPr>
                <w:rFonts w:cs="Arial"/>
                <w:color w:val="000000"/>
                <w:sz w:val="18"/>
                <w:szCs w:val="18"/>
                <w:lang w:eastAsia="fr-FR"/>
              </w:rPr>
            </w:pPr>
            <w:r w:rsidRPr="00A9330B">
              <w:rPr>
                <w:rFonts w:cs="Arial"/>
                <w:color w:val="000000"/>
                <w:sz w:val="18"/>
                <w:szCs w:val="18"/>
                <w:lang w:eastAsia="fr-FR"/>
              </w:rPr>
              <w:t>58</w:t>
            </w:r>
          </w:p>
        </w:tc>
        <w:tc>
          <w:tcPr>
            <w:tcW w:w="1071" w:type="dxa"/>
            <w:tcBorders>
              <w:top w:val="nil"/>
              <w:left w:val="nil"/>
              <w:bottom w:val="single" w:sz="4" w:space="0" w:color="auto"/>
              <w:right w:val="single" w:sz="4" w:space="0" w:color="auto"/>
            </w:tcBorders>
            <w:shd w:val="clear" w:color="auto" w:fill="auto"/>
            <w:noWrap/>
            <w:vAlign w:val="bottom"/>
            <w:hideMark/>
          </w:tcPr>
          <w:p w14:paraId="071A2140" w14:textId="77777777" w:rsidR="00F561A7" w:rsidRPr="00A9330B" w:rsidRDefault="00F561A7" w:rsidP="00F561A7">
            <w:pPr>
              <w:spacing w:before="0" w:line="240" w:lineRule="auto"/>
              <w:jc w:val="right"/>
              <w:rPr>
                <w:rFonts w:cs="Arial"/>
                <w:color w:val="000000"/>
                <w:sz w:val="18"/>
                <w:szCs w:val="18"/>
                <w:lang w:eastAsia="fr-FR"/>
              </w:rPr>
            </w:pPr>
            <w:r w:rsidRPr="00A9330B">
              <w:rPr>
                <w:rFonts w:cs="Arial"/>
                <w:color w:val="000000"/>
                <w:sz w:val="18"/>
                <w:szCs w:val="18"/>
                <w:lang w:eastAsia="fr-FR"/>
              </w:rPr>
              <w:t>5</w:t>
            </w:r>
          </w:p>
        </w:tc>
        <w:tc>
          <w:tcPr>
            <w:tcW w:w="1215" w:type="dxa"/>
            <w:tcBorders>
              <w:top w:val="nil"/>
              <w:left w:val="nil"/>
              <w:bottom w:val="single" w:sz="4" w:space="0" w:color="auto"/>
              <w:right w:val="single" w:sz="4" w:space="0" w:color="auto"/>
            </w:tcBorders>
            <w:shd w:val="clear" w:color="auto" w:fill="auto"/>
            <w:noWrap/>
            <w:vAlign w:val="bottom"/>
            <w:hideMark/>
          </w:tcPr>
          <w:p w14:paraId="107A379F" w14:textId="77777777" w:rsidR="00F561A7" w:rsidRPr="00A9330B" w:rsidRDefault="00F561A7" w:rsidP="00F561A7">
            <w:pPr>
              <w:spacing w:before="0" w:line="240" w:lineRule="auto"/>
              <w:rPr>
                <w:rFonts w:cs="Arial"/>
                <w:color w:val="000000"/>
                <w:sz w:val="18"/>
                <w:szCs w:val="18"/>
                <w:lang w:eastAsia="fr-FR"/>
              </w:rPr>
            </w:pPr>
            <w:r w:rsidRPr="00A9330B">
              <w:rPr>
                <w:rFonts w:cs="Arial"/>
                <w:color w:val="000000"/>
                <w:sz w:val="18"/>
                <w:szCs w:val="18"/>
                <w:lang w:eastAsia="fr-FR"/>
              </w:rPr>
              <w:t>Propriétaire</w:t>
            </w:r>
          </w:p>
        </w:tc>
        <w:tc>
          <w:tcPr>
            <w:tcW w:w="1312" w:type="dxa"/>
            <w:tcBorders>
              <w:top w:val="nil"/>
              <w:left w:val="nil"/>
              <w:bottom w:val="single" w:sz="4" w:space="0" w:color="auto"/>
              <w:right w:val="single" w:sz="4" w:space="0" w:color="auto"/>
            </w:tcBorders>
            <w:shd w:val="clear" w:color="auto" w:fill="auto"/>
            <w:noWrap/>
            <w:vAlign w:val="bottom"/>
            <w:hideMark/>
          </w:tcPr>
          <w:p w14:paraId="3BB4780C" w14:textId="77777777" w:rsidR="00F561A7" w:rsidRPr="00A9330B" w:rsidRDefault="00F561A7" w:rsidP="00F561A7">
            <w:pPr>
              <w:spacing w:before="0" w:line="240" w:lineRule="auto"/>
              <w:rPr>
                <w:rFonts w:cs="Arial"/>
                <w:color w:val="000000"/>
                <w:sz w:val="18"/>
                <w:szCs w:val="18"/>
                <w:lang w:eastAsia="fr-FR"/>
              </w:rPr>
            </w:pPr>
            <w:r w:rsidRPr="00A9330B">
              <w:rPr>
                <w:rFonts w:cs="Arial"/>
                <w:color w:val="000000"/>
                <w:sz w:val="18"/>
                <w:szCs w:val="18"/>
                <w:lang w:eastAsia="fr-FR"/>
              </w:rPr>
              <w:t>Agriculture</w:t>
            </w:r>
          </w:p>
        </w:tc>
        <w:tc>
          <w:tcPr>
            <w:tcW w:w="1349" w:type="dxa"/>
            <w:tcBorders>
              <w:top w:val="nil"/>
              <w:left w:val="nil"/>
              <w:bottom w:val="single" w:sz="4" w:space="0" w:color="auto"/>
              <w:right w:val="single" w:sz="4" w:space="0" w:color="auto"/>
            </w:tcBorders>
            <w:shd w:val="clear" w:color="auto" w:fill="auto"/>
            <w:noWrap/>
            <w:vAlign w:val="bottom"/>
            <w:hideMark/>
          </w:tcPr>
          <w:p w14:paraId="156E416C" w14:textId="77777777" w:rsidR="00F561A7" w:rsidRPr="00A9330B" w:rsidRDefault="00F561A7" w:rsidP="00F561A7">
            <w:pPr>
              <w:spacing w:before="0" w:line="240" w:lineRule="auto"/>
              <w:jc w:val="right"/>
              <w:rPr>
                <w:rFonts w:cs="Arial"/>
                <w:color w:val="000000"/>
                <w:sz w:val="18"/>
                <w:szCs w:val="18"/>
                <w:lang w:eastAsia="fr-FR"/>
              </w:rPr>
            </w:pPr>
            <w:r w:rsidRPr="00A9330B">
              <w:rPr>
                <w:rFonts w:cs="Arial"/>
                <w:color w:val="000000"/>
                <w:sz w:val="18"/>
                <w:szCs w:val="18"/>
                <w:lang w:eastAsia="fr-FR"/>
              </w:rPr>
              <w:t>2000</w:t>
            </w:r>
          </w:p>
        </w:tc>
      </w:tr>
      <w:tr w:rsidR="00F561A7" w:rsidRPr="00A9330B" w14:paraId="3FE1EA2C" w14:textId="77777777" w:rsidTr="00340594">
        <w:trPr>
          <w:trHeight w:val="288"/>
          <w:jc w:val="center"/>
        </w:trPr>
        <w:tc>
          <w:tcPr>
            <w:tcW w:w="1030" w:type="dxa"/>
            <w:tcBorders>
              <w:top w:val="nil"/>
              <w:left w:val="single" w:sz="4" w:space="0" w:color="auto"/>
              <w:bottom w:val="single" w:sz="4" w:space="0" w:color="auto"/>
              <w:right w:val="single" w:sz="4" w:space="0" w:color="auto"/>
            </w:tcBorders>
            <w:shd w:val="clear" w:color="auto" w:fill="auto"/>
            <w:noWrap/>
            <w:vAlign w:val="bottom"/>
            <w:hideMark/>
          </w:tcPr>
          <w:p w14:paraId="7A2FD336" w14:textId="77777777" w:rsidR="00F561A7" w:rsidRPr="00A9330B" w:rsidRDefault="00F561A7" w:rsidP="00F561A7">
            <w:pPr>
              <w:spacing w:before="0" w:line="240" w:lineRule="auto"/>
              <w:jc w:val="right"/>
              <w:rPr>
                <w:rFonts w:cs="Arial"/>
                <w:color w:val="000000"/>
                <w:sz w:val="18"/>
                <w:szCs w:val="18"/>
                <w:lang w:eastAsia="fr-FR"/>
              </w:rPr>
            </w:pPr>
            <w:r w:rsidRPr="00A9330B">
              <w:rPr>
                <w:rFonts w:cs="Arial"/>
                <w:color w:val="000000"/>
                <w:sz w:val="18"/>
                <w:szCs w:val="18"/>
                <w:lang w:eastAsia="fr-FR"/>
              </w:rPr>
              <w:t>18</w:t>
            </w:r>
          </w:p>
        </w:tc>
        <w:tc>
          <w:tcPr>
            <w:tcW w:w="1030" w:type="dxa"/>
            <w:tcBorders>
              <w:top w:val="nil"/>
              <w:left w:val="nil"/>
              <w:bottom w:val="single" w:sz="4" w:space="0" w:color="auto"/>
              <w:right w:val="single" w:sz="4" w:space="0" w:color="auto"/>
            </w:tcBorders>
            <w:shd w:val="clear" w:color="auto" w:fill="auto"/>
            <w:noWrap/>
            <w:vAlign w:val="bottom"/>
            <w:hideMark/>
          </w:tcPr>
          <w:p w14:paraId="17C6C351" w14:textId="77777777" w:rsidR="00F561A7" w:rsidRPr="00A9330B" w:rsidRDefault="00F561A7" w:rsidP="00F561A7">
            <w:pPr>
              <w:spacing w:before="0" w:line="240" w:lineRule="auto"/>
              <w:rPr>
                <w:rFonts w:cs="Arial"/>
                <w:color w:val="000000"/>
                <w:sz w:val="18"/>
                <w:szCs w:val="18"/>
                <w:lang w:eastAsia="fr-FR"/>
              </w:rPr>
            </w:pPr>
            <w:r w:rsidRPr="00A9330B">
              <w:rPr>
                <w:rFonts w:cs="Arial"/>
                <w:color w:val="000000"/>
                <w:sz w:val="18"/>
                <w:szCs w:val="18"/>
                <w:lang w:eastAsia="fr-FR"/>
              </w:rPr>
              <w:t>NAT_292</w:t>
            </w:r>
          </w:p>
        </w:tc>
        <w:tc>
          <w:tcPr>
            <w:tcW w:w="1030" w:type="dxa"/>
            <w:tcBorders>
              <w:top w:val="nil"/>
              <w:left w:val="nil"/>
              <w:bottom w:val="single" w:sz="4" w:space="0" w:color="auto"/>
              <w:right w:val="single" w:sz="4" w:space="0" w:color="auto"/>
            </w:tcBorders>
            <w:shd w:val="clear" w:color="auto" w:fill="auto"/>
            <w:noWrap/>
            <w:vAlign w:val="bottom"/>
            <w:hideMark/>
          </w:tcPr>
          <w:p w14:paraId="3F3FC847" w14:textId="77777777" w:rsidR="00F561A7" w:rsidRPr="00A9330B" w:rsidRDefault="00F561A7" w:rsidP="00F561A7">
            <w:pPr>
              <w:spacing w:before="0" w:line="240" w:lineRule="auto"/>
              <w:rPr>
                <w:rFonts w:cs="Arial"/>
                <w:color w:val="000000"/>
                <w:sz w:val="18"/>
                <w:szCs w:val="18"/>
                <w:lang w:eastAsia="fr-FR"/>
              </w:rPr>
            </w:pPr>
            <w:r w:rsidRPr="00A9330B">
              <w:rPr>
                <w:rFonts w:cs="Arial"/>
                <w:color w:val="000000"/>
                <w:sz w:val="18"/>
                <w:szCs w:val="18"/>
                <w:lang w:eastAsia="fr-FR"/>
              </w:rPr>
              <w:t>Femme</w:t>
            </w:r>
          </w:p>
        </w:tc>
        <w:tc>
          <w:tcPr>
            <w:tcW w:w="1030" w:type="dxa"/>
            <w:tcBorders>
              <w:top w:val="nil"/>
              <w:left w:val="nil"/>
              <w:bottom w:val="single" w:sz="4" w:space="0" w:color="auto"/>
              <w:right w:val="single" w:sz="4" w:space="0" w:color="auto"/>
            </w:tcBorders>
            <w:shd w:val="clear" w:color="auto" w:fill="auto"/>
            <w:noWrap/>
            <w:vAlign w:val="bottom"/>
            <w:hideMark/>
          </w:tcPr>
          <w:p w14:paraId="0CF31B12" w14:textId="77777777" w:rsidR="00F561A7" w:rsidRPr="00A9330B" w:rsidRDefault="00F561A7" w:rsidP="00F561A7">
            <w:pPr>
              <w:spacing w:before="0" w:line="240" w:lineRule="auto"/>
              <w:jc w:val="right"/>
              <w:rPr>
                <w:rFonts w:cs="Arial"/>
                <w:color w:val="000000"/>
                <w:sz w:val="18"/>
                <w:szCs w:val="18"/>
                <w:lang w:eastAsia="fr-FR"/>
              </w:rPr>
            </w:pPr>
            <w:r w:rsidRPr="00A9330B">
              <w:rPr>
                <w:rFonts w:cs="Arial"/>
                <w:color w:val="000000"/>
                <w:sz w:val="18"/>
                <w:szCs w:val="18"/>
                <w:lang w:eastAsia="fr-FR"/>
              </w:rPr>
              <w:t>70</w:t>
            </w:r>
          </w:p>
        </w:tc>
        <w:tc>
          <w:tcPr>
            <w:tcW w:w="1071" w:type="dxa"/>
            <w:tcBorders>
              <w:top w:val="nil"/>
              <w:left w:val="nil"/>
              <w:bottom w:val="single" w:sz="4" w:space="0" w:color="auto"/>
              <w:right w:val="single" w:sz="4" w:space="0" w:color="auto"/>
            </w:tcBorders>
            <w:shd w:val="clear" w:color="auto" w:fill="auto"/>
            <w:noWrap/>
            <w:vAlign w:val="bottom"/>
            <w:hideMark/>
          </w:tcPr>
          <w:p w14:paraId="65623BC2" w14:textId="77777777" w:rsidR="00F561A7" w:rsidRPr="00A9330B" w:rsidRDefault="00F561A7" w:rsidP="00F561A7">
            <w:pPr>
              <w:spacing w:before="0" w:line="240" w:lineRule="auto"/>
              <w:jc w:val="right"/>
              <w:rPr>
                <w:rFonts w:cs="Arial"/>
                <w:color w:val="000000"/>
                <w:sz w:val="18"/>
                <w:szCs w:val="18"/>
                <w:lang w:eastAsia="fr-FR"/>
              </w:rPr>
            </w:pPr>
            <w:r w:rsidRPr="00A9330B">
              <w:rPr>
                <w:rFonts w:cs="Arial"/>
                <w:color w:val="000000"/>
                <w:sz w:val="18"/>
                <w:szCs w:val="18"/>
                <w:lang w:eastAsia="fr-FR"/>
              </w:rPr>
              <w:t>15</w:t>
            </w:r>
          </w:p>
        </w:tc>
        <w:tc>
          <w:tcPr>
            <w:tcW w:w="1215" w:type="dxa"/>
            <w:tcBorders>
              <w:top w:val="nil"/>
              <w:left w:val="nil"/>
              <w:bottom w:val="single" w:sz="4" w:space="0" w:color="auto"/>
              <w:right w:val="single" w:sz="4" w:space="0" w:color="auto"/>
            </w:tcBorders>
            <w:shd w:val="clear" w:color="auto" w:fill="auto"/>
            <w:noWrap/>
            <w:vAlign w:val="bottom"/>
            <w:hideMark/>
          </w:tcPr>
          <w:p w14:paraId="049B607D" w14:textId="77777777" w:rsidR="00F561A7" w:rsidRPr="00A9330B" w:rsidRDefault="00F561A7" w:rsidP="00F561A7">
            <w:pPr>
              <w:spacing w:before="0" w:line="240" w:lineRule="auto"/>
              <w:rPr>
                <w:rFonts w:cs="Arial"/>
                <w:color w:val="000000"/>
                <w:sz w:val="18"/>
                <w:szCs w:val="18"/>
                <w:lang w:eastAsia="fr-FR"/>
              </w:rPr>
            </w:pPr>
            <w:r w:rsidRPr="00A9330B">
              <w:rPr>
                <w:rFonts w:cs="Arial"/>
                <w:color w:val="000000"/>
                <w:sz w:val="18"/>
                <w:szCs w:val="18"/>
                <w:lang w:eastAsia="fr-FR"/>
              </w:rPr>
              <w:t>Propriétaire</w:t>
            </w:r>
          </w:p>
        </w:tc>
        <w:tc>
          <w:tcPr>
            <w:tcW w:w="1312" w:type="dxa"/>
            <w:tcBorders>
              <w:top w:val="nil"/>
              <w:left w:val="nil"/>
              <w:bottom w:val="single" w:sz="4" w:space="0" w:color="auto"/>
              <w:right w:val="single" w:sz="4" w:space="0" w:color="auto"/>
            </w:tcBorders>
            <w:shd w:val="clear" w:color="auto" w:fill="auto"/>
            <w:noWrap/>
            <w:vAlign w:val="bottom"/>
            <w:hideMark/>
          </w:tcPr>
          <w:p w14:paraId="57D15B2C" w14:textId="77777777" w:rsidR="00F561A7" w:rsidRPr="00A9330B" w:rsidRDefault="00F561A7" w:rsidP="00F561A7">
            <w:pPr>
              <w:spacing w:before="0" w:line="240" w:lineRule="auto"/>
              <w:rPr>
                <w:rFonts w:cs="Arial"/>
                <w:color w:val="000000"/>
                <w:sz w:val="18"/>
                <w:szCs w:val="18"/>
                <w:lang w:eastAsia="fr-FR"/>
              </w:rPr>
            </w:pPr>
            <w:r w:rsidRPr="00A9330B">
              <w:rPr>
                <w:rFonts w:cs="Arial"/>
                <w:color w:val="000000"/>
                <w:sz w:val="18"/>
                <w:szCs w:val="18"/>
                <w:lang w:eastAsia="fr-FR"/>
              </w:rPr>
              <w:t>Ménagère</w:t>
            </w:r>
          </w:p>
        </w:tc>
        <w:tc>
          <w:tcPr>
            <w:tcW w:w="1349" w:type="dxa"/>
            <w:tcBorders>
              <w:top w:val="nil"/>
              <w:left w:val="nil"/>
              <w:bottom w:val="single" w:sz="4" w:space="0" w:color="auto"/>
              <w:right w:val="single" w:sz="4" w:space="0" w:color="auto"/>
            </w:tcBorders>
            <w:shd w:val="clear" w:color="auto" w:fill="auto"/>
            <w:noWrap/>
            <w:vAlign w:val="bottom"/>
            <w:hideMark/>
          </w:tcPr>
          <w:p w14:paraId="15A396EE" w14:textId="77777777" w:rsidR="00F561A7" w:rsidRPr="00A9330B" w:rsidRDefault="00F561A7" w:rsidP="00F561A7">
            <w:pPr>
              <w:spacing w:before="0" w:line="240" w:lineRule="auto"/>
              <w:jc w:val="right"/>
              <w:rPr>
                <w:rFonts w:cs="Arial"/>
                <w:color w:val="000000"/>
                <w:sz w:val="18"/>
                <w:szCs w:val="18"/>
                <w:lang w:eastAsia="fr-FR"/>
              </w:rPr>
            </w:pPr>
            <w:r w:rsidRPr="00A9330B">
              <w:rPr>
                <w:rFonts w:cs="Arial"/>
                <w:color w:val="000000"/>
                <w:sz w:val="18"/>
                <w:szCs w:val="18"/>
                <w:lang w:eastAsia="fr-FR"/>
              </w:rPr>
              <w:t>10000</w:t>
            </w:r>
          </w:p>
        </w:tc>
      </w:tr>
      <w:tr w:rsidR="00F561A7" w:rsidRPr="00A9330B" w14:paraId="1289FB7A" w14:textId="77777777" w:rsidTr="00340594">
        <w:trPr>
          <w:trHeight w:val="288"/>
          <w:jc w:val="center"/>
        </w:trPr>
        <w:tc>
          <w:tcPr>
            <w:tcW w:w="1030" w:type="dxa"/>
            <w:tcBorders>
              <w:top w:val="nil"/>
              <w:left w:val="single" w:sz="4" w:space="0" w:color="auto"/>
              <w:bottom w:val="single" w:sz="4" w:space="0" w:color="auto"/>
              <w:right w:val="single" w:sz="4" w:space="0" w:color="auto"/>
            </w:tcBorders>
            <w:shd w:val="clear" w:color="auto" w:fill="auto"/>
            <w:noWrap/>
            <w:vAlign w:val="bottom"/>
            <w:hideMark/>
          </w:tcPr>
          <w:p w14:paraId="58E17F49" w14:textId="77777777" w:rsidR="00F561A7" w:rsidRPr="00A9330B" w:rsidRDefault="00F561A7" w:rsidP="00F561A7">
            <w:pPr>
              <w:spacing w:before="0" w:line="240" w:lineRule="auto"/>
              <w:jc w:val="right"/>
              <w:rPr>
                <w:rFonts w:cs="Arial"/>
                <w:color w:val="000000"/>
                <w:sz w:val="18"/>
                <w:szCs w:val="18"/>
                <w:lang w:eastAsia="fr-FR"/>
              </w:rPr>
            </w:pPr>
            <w:r w:rsidRPr="00A9330B">
              <w:rPr>
                <w:rFonts w:cs="Arial"/>
                <w:color w:val="000000"/>
                <w:sz w:val="18"/>
                <w:szCs w:val="18"/>
                <w:lang w:eastAsia="fr-FR"/>
              </w:rPr>
              <w:t>19</w:t>
            </w:r>
          </w:p>
        </w:tc>
        <w:tc>
          <w:tcPr>
            <w:tcW w:w="1030" w:type="dxa"/>
            <w:tcBorders>
              <w:top w:val="nil"/>
              <w:left w:val="nil"/>
              <w:bottom w:val="single" w:sz="4" w:space="0" w:color="auto"/>
              <w:right w:val="single" w:sz="4" w:space="0" w:color="auto"/>
            </w:tcBorders>
            <w:shd w:val="clear" w:color="auto" w:fill="auto"/>
            <w:noWrap/>
            <w:vAlign w:val="bottom"/>
            <w:hideMark/>
          </w:tcPr>
          <w:p w14:paraId="5DDD0389" w14:textId="77777777" w:rsidR="00F561A7" w:rsidRPr="00A9330B" w:rsidRDefault="00F561A7" w:rsidP="00F561A7">
            <w:pPr>
              <w:spacing w:before="0" w:line="240" w:lineRule="auto"/>
              <w:rPr>
                <w:rFonts w:cs="Arial"/>
                <w:color w:val="000000"/>
                <w:sz w:val="18"/>
                <w:szCs w:val="18"/>
                <w:lang w:eastAsia="fr-FR"/>
              </w:rPr>
            </w:pPr>
            <w:r w:rsidRPr="00A9330B">
              <w:rPr>
                <w:rFonts w:cs="Arial"/>
                <w:color w:val="000000"/>
                <w:sz w:val="18"/>
                <w:szCs w:val="18"/>
                <w:lang w:eastAsia="fr-FR"/>
              </w:rPr>
              <w:t>NAT_294</w:t>
            </w:r>
          </w:p>
        </w:tc>
        <w:tc>
          <w:tcPr>
            <w:tcW w:w="1030" w:type="dxa"/>
            <w:tcBorders>
              <w:top w:val="nil"/>
              <w:left w:val="nil"/>
              <w:bottom w:val="single" w:sz="4" w:space="0" w:color="auto"/>
              <w:right w:val="single" w:sz="4" w:space="0" w:color="auto"/>
            </w:tcBorders>
            <w:shd w:val="clear" w:color="auto" w:fill="auto"/>
            <w:noWrap/>
            <w:vAlign w:val="bottom"/>
            <w:hideMark/>
          </w:tcPr>
          <w:p w14:paraId="02DD8DD1" w14:textId="77777777" w:rsidR="00F561A7" w:rsidRPr="00A9330B" w:rsidRDefault="00F561A7" w:rsidP="00F561A7">
            <w:pPr>
              <w:spacing w:before="0" w:line="240" w:lineRule="auto"/>
              <w:rPr>
                <w:rFonts w:cs="Arial"/>
                <w:color w:val="000000"/>
                <w:sz w:val="18"/>
                <w:szCs w:val="18"/>
                <w:lang w:eastAsia="fr-FR"/>
              </w:rPr>
            </w:pPr>
            <w:r w:rsidRPr="00A9330B">
              <w:rPr>
                <w:rFonts w:cs="Arial"/>
                <w:color w:val="000000"/>
                <w:sz w:val="18"/>
                <w:szCs w:val="18"/>
                <w:lang w:eastAsia="fr-FR"/>
              </w:rPr>
              <w:t>Femme</w:t>
            </w:r>
          </w:p>
        </w:tc>
        <w:tc>
          <w:tcPr>
            <w:tcW w:w="1030" w:type="dxa"/>
            <w:tcBorders>
              <w:top w:val="nil"/>
              <w:left w:val="nil"/>
              <w:bottom w:val="single" w:sz="4" w:space="0" w:color="auto"/>
              <w:right w:val="single" w:sz="4" w:space="0" w:color="auto"/>
            </w:tcBorders>
            <w:shd w:val="clear" w:color="auto" w:fill="auto"/>
            <w:noWrap/>
            <w:vAlign w:val="bottom"/>
            <w:hideMark/>
          </w:tcPr>
          <w:p w14:paraId="089645C0" w14:textId="77777777" w:rsidR="00F561A7" w:rsidRPr="00A9330B" w:rsidRDefault="00F561A7" w:rsidP="00F561A7">
            <w:pPr>
              <w:spacing w:before="0" w:line="240" w:lineRule="auto"/>
              <w:jc w:val="right"/>
              <w:rPr>
                <w:rFonts w:cs="Arial"/>
                <w:color w:val="000000"/>
                <w:sz w:val="18"/>
                <w:szCs w:val="18"/>
                <w:lang w:eastAsia="fr-FR"/>
              </w:rPr>
            </w:pPr>
            <w:r w:rsidRPr="00A9330B">
              <w:rPr>
                <w:rFonts w:cs="Arial"/>
                <w:color w:val="000000"/>
                <w:sz w:val="18"/>
                <w:szCs w:val="18"/>
                <w:lang w:eastAsia="fr-FR"/>
              </w:rPr>
              <w:t>55</w:t>
            </w:r>
          </w:p>
        </w:tc>
        <w:tc>
          <w:tcPr>
            <w:tcW w:w="1071" w:type="dxa"/>
            <w:tcBorders>
              <w:top w:val="nil"/>
              <w:left w:val="nil"/>
              <w:bottom w:val="single" w:sz="4" w:space="0" w:color="auto"/>
              <w:right w:val="single" w:sz="4" w:space="0" w:color="auto"/>
            </w:tcBorders>
            <w:shd w:val="clear" w:color="auto" w:fill="auto"/>
            <w:noWrap/>
            <w:vAlign w:val="bottom"/>
            <w:hideMark/>
          </w:tcPr>
          <w:p w14:paraId="07FE7A6C" w14:textId="77777777" w:rsidR="00F561A7" w:rsidRPr="00A9330B" w:rsidRDefault="00F561A7" w:rsidP="00F561A7">
            <w:pPr>
              <w:spacing w:before="0" w:line="240" w:lineRule="auto"/>
              <w:jc w:val="right"/>
              <w:rPr>
                <w:rFonts w:cs="Arial"/>
                <w:color w:val="000000"/>
                <w:sz w:val="18"/>
                <w:szCs w:val="18"/>
                <w:lang w:eastAsia="fr-FR"/>
              </w:rPr>
            </w:pPr>
            <w:r w:rsidRPr="00A9330B">
              <w:rPr>
                <w:rFonts w:cs="Arial"/>
                <w:color w:val="000000"/>
                <w:sz w:val="18"/>
                <w:szCs w:val="18"/>
                <w:lang w:eastAsia="fr-FR"/>
              </w:rPr>
              <w:t>4</w:t>
            </w:r>
          </w:p>
        </w:tc>
        <w:tc>
          <w:tcPr>
            <w:tcW w:w="1215" w:type="dxa"/>
            <w:tcBorders>
              <w:top w:val="nil"/>
              <w:left w:val="nil"/>
              <w:bottom w:val="single" w:sz="4" w:space="0" w:color="auto"/>
              <w:right w:val="single" w:sz="4" w:space="0" w:color="auto"/>
            </w:tcBorders>
            <w:shd w:val="clear" w:color="auto" w:fill="auto"/>
            <w:noWrap/>
            <w:vAlign w:val="bottom"/>
            <w:hideMark/>
          </w:tcPr>
          <w:p w14:paraId="48AB3706" w14:textId="77777777" w:rsidR="00F561A7" w:rsidRPr="00A9330B" w:rsidRDefault="00F561A7" w:rsidP="00F561A7">
            <w:pPr>
              <w:spacing w:before="0" w:line="240" w:lineRule="auto"/>
              <w:rPr>
                <w:rFonts w:cs="Arial"/>
                <w:color w:val="000000"/>
                <w:sz w:val="18"/>
                <w:szCs w:val="18"/>
                <w:lang w:eastAsia="fr-FR"/>
              </w:rPr>
            </w:pPr>
            <w:r w:rsidRPr="00A9330B">
              <w:rPr>
                <w:rFonts w:cs="Arial"/>
                <w:color w:val="000000"/>
                <w:sz w:val="18"/>
                <w:szCs w:val="18"/>
                <w:lang w:eastAsia="fr-FR"/>
              </w:rPr>
              <w:t>Propriétaire</w:t>
            </w:r>
          </w:p>
        </w:tc>
        <w:tc>
          <w:tcPr>
            <w:tcW w:w="1312" w:type="dxa"/>
            <w:tcBorders>
              <w:top w:val="nil"/>
              <w:left w:val="nil"/>
              <w:bottom w:val="single" w:sz="4" w:space="0" w:color="auto"/>
              <w:right w:val="single" w:sz="4" w:space="0" w:color="auto"/>
            </w:tcBorders>
            <w:shd w:val="clear" w:color="auto" w:fill="auto"/>
            <w:noWrap/>
            <w:vAlign w:val="bottom"/>
            <w:hideMark/>
          </w:tcPr>
          <w:p w14:paraId="6B6ABBCB" w14:textId="77777777" w:rsidR="00F561A7" w:rsidRPr="00A9330B" w:rsidRDefault="00F561A7" w:rsidP="00F561A7">
            <w:pPr>
              <w:spacing w:before="0" w:line="240" w:lineRule="auto"/>
              <w:rPr>
                <w:rFonts w:cs="Arial"/>
                <w:color w:val="000000"/>
                <w:sz w:val="18"/>
                <w:szCs w:val="18"/>
                <w:lang w:eastAsia="fr-FR"/>
              </w:rPr>
            </w:pPr>
            <w:r w:rsidRPr="00A9330B">
              <w:rPr>
                <w:rFonts w:cs="Arial"/>
                <w:color w:val="000000"/>
                <w:sz w:val="18"/>
                <w:szCs w:val="18"/>
                <w:lang w:eastAsia="fr-FR"/>
              </w:rPr>
              <w:t>Ménagère</w:t>
            </w:r>
          </w:p>
        </w:tc>
        <w:tc>
          <w:tcPr>
            <w:tcW w:w="1349" w:type="dxa"/>
            <w:tcBorders>
              <w:top w:val="nil"/>
              <w:left w:val="nil"/>
              <w:bottom w:val="single" w:sz="4" w:space="0" w:color="auto"/>
              <w:right w:val="single" w:sz="4" w:space="0" w:color="auto"/>
            </w:tcBorders>
            <w:shd w:val="clear" w:color="auto" w:fill="auto"/>
            <w:noWrap/>
            <w:vAlign w:val="bottom"/>
            <w:hideMark/>
          </w:tcPr>
          <w:p w14:paraId="78B35327" w14:textId="77777777" w:rsidR="00F561A7" w:rsidRPr="00A9330B" w:rsidRDefault="00F561A7" w:rsidP="00F561A7">
            <w:pPr>
              <w:spacing w:before="0" w:line="240" w:lineRule="auto"/>
              <w:jc w:val="right"/>
              <w:rPr>
                <w:rFonts w:cs="Arial"/>
                <w:color w:val="000000"/>
                <w:sz w:val="18"/>
                <w:szCs w:val="18"/>
                <w:lang w:eastAsia="fr-FR"/>
              </w:rPr>
            </w:pPr>
            <w:r w:rsidRPr="00A9330B">
              <w:rPr>
                <w:rFonts w:cs="Arial"/>
                <w:color w:val="000000"/>
                <w:sz w:val="18"/>
                <w:szCs w:val="18"/>
                <w:lang w:eastAsia="fr-FR"/>
              </w:rPr>
              <w:t>2000</w:t>
            </w:r>
          </w:p>
        </w:tc>
      </w:tr>
      <w:tr w:rsidR="00F561A7" w:rsidRPr="00A9330B" w14:paraId="25791B58" w14:textId="77777777" w:rsidTr="00340594">
        <w:trPr>
          <w:trHeight w:val="288"/>
          <w:jc w:val="center"/>
        </w:trPr>
        <w:tc>
          <w:tcPr>
            <w:tcW w:w="1030" w:type="dxa"/>
            <w:tcBorders>
              <w:top w:val="nil"/>
              <w:left w:val="single" w:sz="4" w:space="0" w:color="auto"/>
              <w:bottom w:val="single" w:sz="4" w:space="0" w:color="auto"/>
              <w:right w:val="single" w:sz="4" w:space="0" w:color="auto"/>
            </w:tcBorders>
            <w:shd w:val="clear" w:color="auto" w:fill="auto"/>
            <w:noWrap/>
            <w:vAlign w:val="bottom"/>
            <w:hideMark/>
          </w:tcPr>
          <w:p w14:paraId="528137FC" w14:textId="77777777" w:rsidR="00F561A7" w:rsidRPr="00A9330B" w:rsidRDefault="00F561A7" w:rsidP="00F561A7">
            <w:pPr>
              <w:spacing w:before="0" w:line="240" w:lineRule="auto"/>
              <w:jc w:val="right"/>
              <w:rPr>
                <w:rFonts w:cs="Arial"/>
                <w:color w:val="000000"/>
                <w:sz w:val="18"/>
                <w:szCs w:val="18"/>
                <w:lang w:eastAsia="fr-FR"/>
              </w:rPr>
            </w:pPr>
            <w:r w:rsidRPr="00A9330B">
              <w:rPr>
                <w:rFonts w:cs="Arial"/>
                <w:color w:val="000000"/>
                <w:sz w:val="18"/>
                <w:szCs w:val="18"/>
                <w:lang w:eastAsia="fr-FR"/>
              </w:rPr>
              <w:t>20</w:t>
            </w:r>
          </w:p>
        </w:tc>
        <w:tc>
          <w:tcPr>
            <w:tcW w:w="1030" w:type="dxa"/>
            <w:tcBorders>
              <w:top w:val="nil"/>
              <w:left w:val="nil"/>
              <w:bottom w:val="single" w:sz="4" w:space="0" w:color="auto"/>
              <w:right w:val="single" w:sz="4" w:space="0" w:color="auto"/>
            </w:tcBorders>
            <w:shd w:val="clear" w:color="auto" w:fill="auto"/>
            <w:noWrap/>
            <w:vAlign w:val="bottom"/>
            <w:hideMark/>
          </w:tcPr>
          <w:p w14:paraId="424D8F05" w14:textId="77777777" w:rsidR="00F561A7" w:rsidRPr="00A9330B" w:rsidRDefault="00F561A7" w:rsidP="00F561A7">
            <w:pPr>
              <w:spacing w:before="0" w:line="240" w:lineRule="auto"/>
              <w:rPr>
                <w:rFonts w:cs="Arial"/>
                <w:color w:val="000000"/>
                <w:sz w:val="18"/>
                <w:szCs w:val="18"/>
                <w:lang w:eastAsia="fr-FR"/>
              </w:rPr>
            </w:pPr>
            <w:r w:rsidRPr="00A9330B">
              <w:rPr>
                <w:rFonts w:cs="Arial"/>
                <w:color w:val="000000"/>
                <w:sz w:val="18"/>
                <w:szCs w:val="18"/>
                <w:lang w:eastAsia="fr-FR"/>
              </w:rPr>
              <w:t>NAT_305</w:t>
            </w:r>
          </w:p>
        </w:tc>
        <w:tc>
          <w:tcPr>
            <w:tcW w:w="1030" w:type="dxa"/>
            <w:tcBorders>
              <w:top w:val="nil"/>
              <w:left w:val="nil"/>
              <w:bottom w:val="single" w:sz="4" w:space="0" w:color="auto"/>
              <w:right w:val="single" w:sz="4" w:space="0" w:color="auto"/>
            </w:tcBorders>
            <w:shd w:val="clear" w:color="auto" w:fill="auto"/>
            <w:noWrap/>
            <w:vAlign w:val="bottom"/>
            <w:hideMark/>
          </w:tcPr>
          <w:p w14:paraId="34748FCE" w14:textId="77777777" w:rsidR="00F561A7" w:rsidRPr="00A9330B" w:rsidRDefault="00F561A7" w:rsidP="00F561A7">
            <w:pPr>
              <w:spacing w:before="0" w:line="240" w:lineRule="auto"/>
              <w:rPr>
                <w:rFonts w:cs="Arial"/>
                <w:color w:val="000000"/>
                <w:sz w:val="18"/>
                <w:szCs w:val="18"/>
                <w:lang w:eastAsia="fr-FR"/>
              </w:rPr>
            </w:pPr>
            <w:r w:rsidRPr="00A9330B">
              <w:rPr>
                <w:rFonts w:cs="Arial"/>
                <w:color w:val="000000"/>
                <w:sz w:val="18"/>
                <w:szCs w:val="18"/>
                <w:lang w:eastAsia="fr-FR"/>
              </w:rPr>
              <w:t>Homme</w:t>
            </w:r>
          </w:p>
        </w:tc>
        <w:tc>
          <w:tcPr>
            <w:tcW w:w="1030" w:type="dxa"/>
            <w:tcBorders>
              <w:top w:val="nil"/>
              <w:left w:val="nil"/>
              <w:bottom w:val="single" w:sz="4" w:space="0" w:color="auto"/>
              <w:right w:val="single" w:sz="4" w:space="0" w:color="auto"/>
            </w:tcBorders>
            <w:shd w:val="clear" w:color="auto" w:fill="auto"/>
            <w:noWrap/>
            <w:vAlign w:val="bottom"/>
            <w:hideMark/>
          </w:tcPr>
          <w:p w14:paraId="76BD9545" w14:textId="77777777" w:rsidR="00F561A7" w:rsidRPr="00A9330B" w:rsidRDefault="00F561A7" w:rsidP="00F561A7">
            <w:pPr>
              <w:spacing w:before="0" w:line="240" w:lineRule="auto"/>
              <w:jc w:val="right"/>
              <w:rPr>
                <w:rFonts w:cs="Arial"/>
                <w:color w:val="000000"/>
                <w:sz w:val="18"/>
                <w:szCs w:val="18"/>
                <w:lang w:eastAsia="fr-FR"/>
              </w:rPr>
            </w:pPr>
            <w:r w:rsidRPr="00A9330B">
              <w:rPr>
                <w:rFonts w:cs="Arial"/>
                <w:color w:val="000000"/>
                <w:sz w:val="18"/>
                <w:szCs w:val="18"/>
                <w:lang w:eastAsia="fr-FR"/>
              </w:rPr>
              <w:t>72</w:t>
            </w:r>
          </w:p>
        </w:tc>
        <w:tc>
          <w:tcPr>
            <w:tcW w:w="1071" w:type="dxa"/>
            <w:tcBorders>
              <w:top w:val="nil"/>
              <w:left w:val="nil"/>
              <w:bottom w:val="single" w:sz="4" w:space="0" w:color="auto"/>
              <w:right w:val="single" w:sz="4" w:space="0" w:color="auto"/>
            </w:tcBorders>
            <w:shd w:val="clear" w:color="auto" w:fill="auto"/>
            <w:noWrap/>
            <w:vAlign w:val="bottom"/>
            <w:hideMark/>
          </w:tcPr>
          <w:p w14:paraId="62146430" w14:textId="77777777" w:rsidR="00F561A7" w:rsidRPr="00A9330B" w:rsidRDefault="00F561A7" w:rsidP="00F561A7">
            <w:pPr>
              <w:spacing w:before="0" w:line="240" w:lineRule="auto"/>
              <w:jc w:val="right"/>
              <w:rPr>
                <w:rFonts w:cs="Arial"/>
                <w:color w:val="000000"/>
                <w:sz w:val="18"/>
                <w:szCs w:val="18"/>
                <w:lang w:eastAsia="fr-FR"/>
              </w:rPr>
            </w:pPr>
            <w:r w:rsidRPr="00A9330B">
              <w:rPr>
                <w:rFonts w:cs="Arial"/>
                <w:color w:val="000000"/>
                <w:sz w:val="18"/>
                <w:szCs w:val="18"/>
                <w:lang w:eastAsia="fr-FR"/>
              </w:rPr>
              <w:t>2</w:t>
            </w:r>
          </w:p>
        </w:tc>
        <w:tc>
          <w:tcPr>
            <w:tcW w:w="1215" w:type="dxa"/>
            <w:tcBorders>
              <w:top w:val="nil"/>
              <w:left w:val="nil"/>
              <w:bottom w:val="single" w:sz="4" w:space="0" w:color="auto"/>
              <w:right w:val="single" w:sz="4" w:space="0" w:color="auto"/>
            </w:tcBorders>
            <w:shd w:val="clear" w:color="auto" w:fill="auto"/>
            <w:noWrap/>
            <w:vAlign w:val="bottom"/>
            <w:hideMark/>
          </w:tcPr>
          <w:p w14:paraId="43546379" w14:textId="77777777" w:rsidR="00F561A7" w:rsidRPr="00A9330B" w:rsidRDefault="00F561A7" w:rsidP="00F561A7">
            <w:pPr>
              <w:spacing w:before="0" w:line="240" w:lineRule="auto"/>
              <w:rPr>
                <w:rFonts w:cs="Arial"/>
                <w:color w:val="000000"/>
                <w:sz w:val="18"/>
                <w:szCs w:val="18"/>
                <w:lang w:eastAsia="fr-FR"/>
              </w:rPr>
            </w:pPr>
            <w:r w:rsidRPr="00A9330B">
              <w:rPr>
                <w:rFonts w:cs="Arial"/>
                <w:color w:val="000000"/>
                <w:sz w:val="18"/>
                <w:szCs w:val="18"/>
                <w:lang w:eastAsia="fr-FR"/>
              </w:rPr>
              <w:t>Propriétaire</w:t>
            </w:r>
          </w:p>
        </w:tc>
        <w:tc>
          <w:tcPr>
            <w:tcW w:w="1312" w:type="dxa"/>
            <w:tcBorders>
              <w:top w:val="nil"/>
              <w:left w:val="nil"/>
              <w:bottom w:val="single" w:sz="4" w:space="0" w:color="auto"/>
              <w:right w:val="single" w:sz="4" w:space="0" w:color="auto"/>
            </w:tcBorders>
            <w:shd w:val="clear" w:color="auto" w:fill="auto"/>
            <w:noWrap/>
            <w:vAlign w:val="bottom"/>
            <w:hideMark/>
          </w:tcPr>
          <w:p w14:paraId="1778F13A" w14:textId="77777777" w:rsidR="00F561A7" w:rsidRPr="00A9330B" w:rsidRDefault="00F561A7" w:rsidP="00F561A7">
            <w:pPr>
              <w:spacing w:before="0" w:line="240" w:lineRule="auto"/>
              <w:rPr>
                <w:rFonts w:cs="Arial"/>
                <w:color w:val="000000"/>
                <w:sz w:val="18"/>
                <w:szCs w:val="18"/>
                <w:lang w:eastAsia="fr-FR"/>
              </w:rPr>
            </w:pPr>
            <w:r w:rsidRPr="00A9330B">
              <w:rPr>
                <w:rFonts w:cs="Arial"/>
                <w:color w:val="000000"/>
                <w:sz w:val="18"/>
                <w:szCs w:val="18"/>
                <w:lang w:eastAsia="fr-FR"/>
              </w:rPr>
              <w:t>Infirmier</w:t>
            </w:r>
          </w:p>
        </w:tc>
        <w:tc>
          <w:tcPr>
            <w:tcW w:w="1349" w:type="dxa"/>
            <w:tcBorders>
              <w:top w:val="nil"/>
              <w:left w:val="nil"/>
              <w:bottom w:val="single" w:sz="4" w:space="0" w:color="auto"/>
              <w:right w:val="single" w:sz="4" w:space="0" w:color="auto"/>
            </w:tcBorders>
            <w:shd w:val="clear" w:color="auto" w:fill="auto"/>
            <w:noWrap/>
            <w:vAlign w:val="bottom"/>
            <w:hideMark/>
          </w:tcPr>
          <w:p w14:paraId="15CAF080" w14:textId="77777777" w:rsidR="00F561A7" w:rsidRPr="00A9330B" w:rsidRDefault="00F561A7" w:rsidP="00F561A7">
            <w:pPr>
              <w:spacing w:before="0" w:line="240" w:lineRule="auto"/>
              <w:jc w:val="right"/>
              <w:rPr>
                <w:rFonts w:cs="Arial"/>
                <w:color w:val="000000"/>
                <w:sz w:val="18"/>
                <w:szCs w:val="18"/>
                <w:lang w:eastAsia="fr-FR"/>
              </w:rPr>
            </w:pPr>
            <w:r w:rsidRPr="00A9330B">
              <w:rPr>
                <w:rFonts w:cs="Arial"/>
                <w:color w:val="000000"/>
                <w:sz w:val="18"/>
                <w:szCs w:val="18"/>
                <w:lang w:eastAsia="fr-FR"/>
              </w:rPr>
              <w:t>10000</w:t>
            </w:r>
          </w:p>
        </w:tc>
      </w:tr>
      <w:tr w:rsidR="00F561A7" w:rsidRPr="00A9330B" w14:paraId="4A79632C" w14:textId="77777777" w:rsidTr="00340594">
        <w:trPr>
          <w:trHeight w:val="288"/>
          <w:jc w:val="center"/>
        </w:trPr>
        <w:tc>
          <w:tcPr>
            <w:tcW w:w="1030" w:type="dxa"/>
            <w:tcBorders>
              <w:top w:val="nil"/>
              <w:left w:val="single" w:sz="4" w:space="0" w:color="auto"/>
              <w:bottom w:val="single" w:sz="4" w:space="0" w:color="auto"/>
              <w:right w:val="single" w:sz="4" w:space="0" w:color="auto"/>
            </w:tcBorders>
            <w:shd w:val="clear" w:color="auto" w:fill="auto"/>
            <w:noWrap/>
            <w:vAlign w:val="bottom"/>
            <w:hideMark/>
          </w:tcPr>
          <w:p w14:paraId="321AC554" w14:textId="77777777" w:rsidR="00F561A7" w:rsidRPr="00A9330B" w:rsidRDefault="00F561A7" w:rsidP="00F561A7">
            <w:pPr>
              <w:spacing w:before="0" w:line="240" w:lineRule="auto"/>
              <w:jc w:val="right"/>
              <w:rPr>
                <w:rFonts w:cs="Arial"/>
                <w:color w:val="000000"/>
                <w:sz w:val="18"/>
                <w:szCs w:val="18"/>
                <w:lang w:eastAsia="fr-FR"/>
              </w:rPr>
            </w:pPr>
            <w:r w:rsidRPr="00A9330B">
              <w:rPr>
                <w:rFonts w:cs="Arial"/>
                <w:color w:val="000000"/>
                <w:sz w:val="18"/>
                <w:szCs w:val="18"/>
                <w:lang w:eastAsia="fr-FR"/>
              </w:rPr>
              <w:t>21</w:t>
            </w:r>
          </w:p>
        </w:tc>
        <w:tc>
          <w:tcPr>
            <w:tcW w:w="1030" w:type="dxa"/>
            <w:tcBorders>
              <w:top w:val="nil"/>
              <w:left w:val="nil"/>
              <w:bottom w:val="single" w:sz="4" w:space="0" w:color="auto"/>
              <w:right w:val="single" w:sz="4" w:space="0" w:color="auto"/>
            </w:tcBorders>
            <w:shd w:val="clear" w:color="auto" w:fill="auto"/>
            <w:noWrap/>
            <w:vAlign w:val="bottom"/>
            <w:hideMark/>
          </w:tcPr>
          <w:p w14:paraId="4810F07F" w14:textId="77777777" w:rsidR="00F561A7" w:rsidRPr="00A9330B" w:rsidRDefault="00F561A7" w:rsidP="00F561A7">
            <w:pPr>
              <w:spacing w:before="0" w:line="240" w:lineRule="auto"/>
              <w:rPr>
                <w:rFonts w:cs="Arial"/>
                <w:color w:val="000000"/>
                <w:sz w:val="18"/>
                <w:szCs w:val="18"/>
                <w:lang w:eastAsia="fr-FR"/>
              </w:rPr>
            </w:pPr>
            <w:r w:rsidRPr="00A9330B">
              <w:rPr>
                <w:rFonts w:cs="Arial"/>
                <w:color w:val="000000"/>
                <w:sz w:val="18"/>
                <w:szCs w:val="18"/>
                <w:lang w:eastAsia="fr-FR"/>
              </w:rPr>
              <w:t>NAT_309</w:t>
            </w:r>
          </w:p>
        </w:tc>
        <w:tc>
          <w:tcPr>
            <w:tcW w:w="1030" w:type="dxa"/>
            <w:tcBorders>
              <w:top w:val="nil"/>
              <w:left w:val="nil"/>
              <w:bottom w:val="single" w:sz="4" w:space="0" w:color="auto"/>
              <w:right w:val="single" w:sz="4" w:space="0" w:color="auto"/>
            </w:tcBorders>
            <w:shd w:val="clear" w:color="auto" w:fill="auto"/>
            <w:noWrap/>
            <w:vAlign w:val="bottom"/>
            <w:hideMark/>
          </w:tcPr>
          <w:p w14:paraId="4CE70ED4" w14:textId="77777777" w:rsidR="00F561A7" w:rsidRPr="00A9330B" w:rsidRDefault="00F561A7" w:rsidP="00F561A7">
            <w:pPr>
              <w:spacing w:before="0" w:line="240" w:lineRule="auto"/>
              <w:rPr>
                <w:rFonts w:cs="Arial"/>
                <w:color w:val="000000"/>
                <w:sz w:val="18"/>
                <w:szCs w:val="18"/>
                <w:lang w:eastAsia="fr-FR"/>
              </w:rPr>
            </w:pPr>
            <w:r w:rsidRPr="00A9330B">
              <w:rPr>
                <w:rFonts w:cs="Arial"/>
                <w:color w:val="000000"/>
                <w:sz w:val="18"/>
                <w:szCs w:val="18"/>
                <w:lang w:eastAsia="fr-FR"/>
              </w:rPr>
              <w:t>Femme</w:t>
            </w:r>
          </w:p>
        </w:tc>
        <w:tc>
          <w:tcPr>
            <w:tcW w:w="1030" w:type="dxa"/>
            <w:tcBorders>
              <w:top w:val="nil"/>
              <w:left w:val="nil"/>
              <w:bottom w:val="single" w:sz="4" w:space="0" w:color="auto"/>
              <w:right w:val="single" w:sz="4" w:space="0" w:color="auto"/>
            </w:tcBorders>
            <w:shd w:val="clear" w:color="auto" w:fill="auto"/>
            <w:noWrap/>
            <w:vAlign w:val="bottom"/>
            <w:hideMark/>
          </w:tcPr>
          <w:p w14:paraId="5730BAEC" w14:textId="77777777" w:rsidR="00F561A7" w:rsidRPr="00A9330B" w:rsidRDefault="00F561A7" w:rsidP="00F561A7">
            <w:pPr>
              <w:spacing w:before="0" w:line="240" w:lineRule="auto"/>
              <w:jc w:val="right"/>
              <w:rPr>
                <w:rFonts w:cs="Arial"/>
                <w:color w:val="000000"/>
                <w:sz w:val="18"/>
                <w:szCs w:val="18"/>
                <w:lang w:eastAsia="fr-FR"/>
              </w:rPr>
            </w:pPr>
            <w:r w:rsidRPr="00A9330B">
              <w:rPr>
                <w:rFonts w:cs="Arial"/>
                <w:color w:val="000000"/>
                <w:sz w:val="18"/>
                <w:szCs w:val="18"/>
                <w:lang w:eastAsia="fr-FR"/>
              </w:rPr>
              <w:t>54</w:t>
            </w:r>
          </w:p>
        </w:tc>
        <w:tc>
          <w:tcPr>
            <w:tcW w:w="1071" w:type="dxa"/>
            <w:tcBorders>
              <w:top w:val="nil"/>
              <w:left w:val="nil"/>
              <w:bottom w:val="single" w:sz="4" w:space="0" w:color="auto"/>
              <w:right w:val="single" w:sz="4" w:space="0" w:color="auto"/>
            </w:tcBorders>
            <w:shd w:val="clear" w:color="auto" w:fill="auto"/>
            <w:noWrap/>
            <w:vAlign w:val="bottom"/>
            <w:hideMark/>
          </w:tcPr>
          <w:p w14:paraId="037FDCC2" w14:textId="77777777" w:rsidR="00F561A7" w:rsidRPr="00A9330B" w:rsidRDefault="00F561A7" w:rsidP="00F561A7">
            <w:pPr>
              <w:spacing w:before="0" w:line="240" w:lineRule="auto"/>
              <w:jc w:val="right"/>
              <w:rPr>
                <w:rFonts w:cs="Arial"/>
                <w:color w:val="000000"/>
                <w:sz w:val="18"/>
                <w:szCs w:val="18"/>
                <w:lang w:eastAsia="fr-FR"/>
              </w:rPr>
            </w:pPr>
            <w:r w:rsidRPr="00A9330B">
              <w:rPr>
                <w:rFonts w:cs="Arial"/>
                <w:color w:val="000000"/>
                <w:sz w:val="18"/>
                <w:szCs w:val="18"/>
                <w:lang w:eastAsia="fr-FR"/>
              </w:rPr>
              <w:t>10</w:t>
            </w:r>
          </w:p>
        </w:tc>
        <w:tc>
          <w:tcPr>
            <w:tcW w:w="1215" w:type="dxa"/>
            <w:tcBorders>
              <w:top w:val="nil"/>
              <w:left w:val="nil"/>
              <w:bottom w:val="single" w:sz="4" w:space="0" w:color="auto"/>
              <w:right w:val="single" w:sz="4" w:space="0" w:color="auto"/>
            </w:tcBorders>
            <w:shd w:val="clear" w:color="auto" w:fill="auto"/>
            <w:noWrap/>
            <w:vAlign w:val="bottom"/>
            <w:hideMark/>
          </w:tcPr>
          <w:p w14:paraId="5B44BCF7" w14:textId="77777777" w:rsidR="00F561A7" w:rsidRPr="00A9330B" w:rsidRDefault="00F561A7" w:rsidP="00F561A7">
            <w:pPr>
              <w:spacing w:before="0" w:line="240" w:lineRule="auto"/>
              <w:rPr>
                <w:rFonts w:cs="Arial"/>
                <w:color w:val="000000"/>
                <w:sz w:val="18"/>
                <w:szCs w:val="18"/>
                <w:lang w:eastAsia="fr-FR"/>
              </w:rPr>
            </w:pPr>
            <w:r w:rsidRPr="00A9330B">
              <w:rPr>
                <w:rFonts w:cs="Arial"/>
                <w:color w:val="000000"/>
                <w:sz w:val="18"/>
                <w:szCs w:val="18"/>
                <w:lang w:eastAsia="fr-FR"/>
              </w:rPr>
              <w:t>Propriétaire</w:t>
            </w:r>
          </w:p>
        </w:tc>
        <w:tc>
          <w:tcPr>
            <w:tcW w:w="1312" w:type="dxa"/>
            <w:tcBorders>
              <w:top w:val="nil"/>
              <w:left w:val="nil"/>
              <w:bottom w:val="single" w:sz="4" w:space="0" w:color="auto"/>
              <w:right w:val="single" w:sz="4" w:space="0" w:color="auto"/>
            </w:tcBorders>
            <w:shd w:val="clear" w:color="auto" w:fill="auto"/>
            <w:noWrap/>
            <w:vAlign w:val="bottom"/>
            <w:hideMark/>
          </w:tcPr>
          <w:p w14:paraId="77123C4C" w14:textId="77777777" w:rsidR="00F561A7" w:rsidRPr="00A9330B" w:rsidRDefault="00F561A7" w:rsidP="00F561A7">
            <w:pPr>
              <w:spacing w:before="0" w:line="240" w:lineRule="auto"/>
              <w:rPr>
                <w:rFonts w:cs="Arial"/>
                <w:color w:val="000000"/>
                <w:sz w:val="18"/>
                <w:szCs w:val="18"/>
                <w:lang w:eastAsia="fr-FR"/>
              </w:rPr>
            </w:pPr>
            <w:r w:rsidRPr="00A9330B">
              <w:rPr>
                <w:rFonts w:cs="Arial"/>
                <w:color w:val="000000"/>
                <w:sz w:val="18"/>
                <w:szCs w:val="18"/>
                <w:lang w:eastAsia="fr-FR"/>
              </w:rPr>
              <w:t>Commerce</w:t>
            </w:r>
          </w:p>
        </w:tc>
        <w:tc>
          <w:tcPr>
            <w:tcW w:w="1349" w:type="dxa"/>
            <w:tcBorders>
              <w:top w:val="nil"/>
              <w:left w:val="nil"/>
              <w:bottom w:val="single" w:sz="4" w:space="0" w:color="auto"/>
              <w:right w:val="single" w:sz="4" w:space="0" w:color="auto"/>
            </w:tcBorders>
            <w:shd w:val="clear" w:color="auto" w:fill="auto"/>
            <w:noWrap/>
            <w:vAlign w:val="bottom"/>
            <w:hideMark/>
          </w:tcPr>
          <w:p w14:paraId="11A03762" w14:textId="77777777" w:rsidR="00F561A7" w:rsidRPr="00A9330B" w:rsidRDefault="00F561A7" w:rsidP="00F561A7">
            <w:pPr>
              <w:spacing w:before="0" w:line="240" w:lineRule="auto"/>
              <w:jc w:val="right"/>
              <w:rPr>
                <w:rFonts w:cs="Arial"/>
                <w:color w:val="000000"/>
                <w:sz w:val="18"/>
                <w:szCs w:val="18"/>
                <w:lang w:eastAsia="fr-FR"/>
              </w:rPr>
            </w:pPr>
            <w:r w:rsidRPr="00A9330B">
              <w:rPr>
                <w:rFonts w:cs="Arial"/>
                <w:color w:val="000000"/>
                <w:sz w:val="18"/>
                <w:szCs w:val="18"/>
                <w:lang w:eastAsia="fr-FR"/>
              </w:rPr>
              <w:t>2000</w:t>
            </w:r>
          </w:p>
        </w:tc>
      </w:tr>
      <w:tr w:rsidR="00F561A7" w:rsidRPr="00A9330B" w14:paraId="361C4C24" w14:textId="77777777" w:rsidTr="00340594">
        <w:trPr>
          <w:trHeight w:val="288"/>
          <w:jc w:val="center"/>
        </w:trPr>
        <w:tc>
          <w:tcPr>
            <w:tcW w:w="1030" w:type="dxa"/>
            <w:tcBorders>
              <w:top w:val="nil"/>
              <w:left w:val="single" w:sz="4" w:space="0" w:color="auto"/>
              <w:bottom w:val="single" w:sz="4" w:space="0" w:color="auto"/>
              <w:right w:val="single" w:sz="4" w:space="0" w:color="auto"/>
            </w:tcBorders>
            <w:shd w:val="clear" w:color="auto" w:fill="auto"/>
            <w:noWrap/>
            <w:vAlign w:val="bottom"/>
            <w:hideMark/>
          </w:tcPr>
          <w:p w14:paraId="2DDE6E25" w14:textId="77777777" w:rsidR="00F561A7" w:rsidRPr="00A9330B" w:rsidRDefault="00F561A7" w:rsidP="00F561A7">
            <w:pPr>
              <w:spacing w:before="0" w:line="240" w:lineRule="auto"/>
              <w:jc w:val="right"/>
              <w:rPr>
                <w:rFonts w:cs="Arial"/>
                <w:color w:val="000000"/>
                <w:sz w:val="18"/>
                <w:szCs w:val="18"/>
                <w:lang w:eastAsia="fr-FR"/>
              </w:rPr>
            </w:pPr>
            <w:r w:rsidRPr="00A9330B">
              <w:rPr>
                <w:rFonts w:cs="Arial"/>
                <w:color w:val="000000"/>
                <w:sz w:val="18"/>
                <w:szCs w:val="18"/>
                <w:lang w:eastAsia="fr-FR"/>
              </w:rPr>
              <w:t>22</w:t>
            </w:r>
          </w:p>
        </w:tc>
        <w:tc>
          <w:tcPr>
            <w:tcW w:w="1030" w:type="dxa"/>
            <w:tcBorders>
              <w:top w:val="nil"/>
              <w:left w:val="nil"/>
              <w:bottom w:val="single" w:sz="4" w:space="0" w:color="auto"/>
              <w:right w:val="single" w:sz="4" w:space="0" w:color="auto"/>
            </w:tcBorders>
            <w:shd w:val="clear" w:color="auto" w:fill="auto"/>
            <w:noWrap/>
            <w:vAlign w:val="bottom"/>
            <w:hideMark/>
          </w:tcPr>
          <w:p w14:paraId="49344F24" w14:textId="77777777" w:rsidR="00F561A7" w:rsidRPr="00A9330B" w:rsidRDefault="00F561A7" w:rsidP="00F561A7">
            <w:pPr>
              <w:spacing w:before="0" w:line="240" w:lineRule="auto"/>
              <w:rPr>
                <w:rFonts w:cs="Arial"/>
                <w:color w:val="000000"/>
                <w:sz w:val="18"/>
                <w:szCs w:val="18"/>
                <w:lang w:eastAsia="fr-FR"/>
              </w:rPr>
            </w:pPr>
            <w:r w:rsidRPr="00A9330B">
              <w:rPr>
                <w:rFonts w:cs="Arial"/>
                <w:color w:val="000000"/>
                <w:sz w:val="18"/>
                <w:szCs w:val="18"/>
                <w:lang w:eastAsia="fr-FR"/>
              </w:rPr>
              <w:t>NAT_398</w:t>
            </w:r>
          </w:p>
        </w:tc>
        <w:tc>
          <w:tcPr>
            <w:tcW w:w="1030" w:type="dxa"/>
            <w:tcBorders>
              <w:top w:val="nil"/>
              <w:left w:val="nil"/>
              <w:bottom w:val="single" w:sz="4" w:space="0" w:color="auto"/>
              <w:right w:val="single" w:sz="4" w:space="0" w:color="auto"/>
            </w:tcBorders>
            <w:shd w:val="clear" w:color="auto" w:fill="auto"/>
            <w:noWrap/>
            <w:vAlign w:val="bottom"/>
            <w:hideMark/>
          </w:tcPr>
          <w:p w14:paraId="76CCFFC7" w14:textId="77777777" w:rsidR="00F561A7" w:rsidRPr="00A9330B" w:rsidRDefault="00F561A7" w:rsidP="00F561A7">
            <w:pPr>
              <w:spacing w:before="0" w:line="240" w:lineRule="auto"/>
              <w:rPr>
                <w:rFonts w:cs="Arial"/>
                <w:color w:val="000000"/>
                <w:sz w:val="18"/>
                <w:szCs w:val="18"/>
                <w:lang w:eastAsia="fr-FR"/>
              </w:rPr>
            </w:pPr>
            <w:r w:rsidRPr="00A9330B">
              <w:rPr>
                <w:rFonts w:cs="Arial"/>
                <w:color w:val="000000"/>
                <w:sz w:val="18"/>
                <w:szCs w:val="18"/>
                <w:lang w:eastAsia="fr-FR"/>
              </w:rPr>
              <w:t>Femme</w:t>
            </w:r>
          </w:p>
        </w:tc>
        <w:tc>
          <w:tcPr>
            <w:tcW w:w="1030" w:type="dxa"/>
            <w:tcBorders>
              <w:top w:val="nil"/>
              <w:left w:val="nil"/>
              <w:bottom w:val="single" w:sz="4" w:space="0" w:color="auto"/>
              <w:right w:val="single" w:sz="4" w:space="0" w:color="auto"/>
            </w:tcBorders>
            <w:shd w:val="clear" w:color="auto" w:fill="auto"/>
            <w:noWrap/>
            <w:vAlign w:val="bottom"/>
            <w:hideMark/>
          </w:tcPr>
          <w:p w14:paraId="317D5E1E" w14:textId="77777777" w:rsidR="00F561A7" w:rsidRPr="00A9330B" w:rsidRDefault="00F561A7" w:rsidP="00F561A7">
            <w:pPr>
              <w:spacing w:before="0" w:line="240" w:lineRule="auto"/>
              <w:jc w:val="right"/>
              <w:rPr>
                <w:rFonts w:cs="Arial"/>
                <w:color w:val="000000"/>
                <w:sz w:val="18"/>
                <w:szCs w:val="18"/>
                <w:lang w:eastAsia="fr-FR"/>
              </w:rPr>
            </w:pPr>
            <w:r w:rsidRPr="00A9330B">
              <w:rPr>
                <w:rFonts w:cs="Arial"/>
                <w:color w:val="000000"/>
                <w:sz w:val="18"/>
                <w:szCs w:val="18"/>
                <w:lang w:eastAsia="fr-FR"/>
              </w:rPr>
              <w:t>71</w:t>
            </w:r>
          </w:p>
        </w:tc>
        <w:tc>
          <w:tcPr>
            <w:tcW w:w="1071" w:type="dxa"/>
            <w:tcBorders>
              <w:top w:val="nil"/>
              <w:left w:val="nil"/>
              <w:bottom w:val="single" w:sz="4" w:space="0" w:color="auto"/>
              <w:right w:val="single" w:sz="4" w:space="0" w:color="auto"/>
            </w:tcBorders>
            <w:shd w:val="clear" w:color="auto" w:fill="auto"/>
            <w:noWrap/>
            <w:vAlign w:val="bottom"/>
            <w:hideMark/>
          </w:tcPr>
          <w:p w14:paraId="3190833C" w14:textId="77777777" w:rsidR="00F561A7" w:rsidRPr="00A9330B" w:rsidRDefault="00F561A7" w:rsidP="00F561A7">
            <w:pPr>
              <w:spacing w:before="0" w:line="240" w:lineRule="auto"/>
              <w:jc w:val="right"/>
              <w:rPr>
                <w:rFonts w:cs="Arial"/>
                <w:color w:val="000000"/>
                <w:sz w:val="18"/>
                <w:szCs w:val="18"/>
                <w:lang w:eastAsia="fr-FR"/>
              </w:rPr>
            </w:pPr>
            <w:r w:rsidRPr="00A9330B">
              <w:rPr>
                <w:rFonts w:cs="Arial"/>
                <w:color w:val="000000"/>
                <w:sz w:val="18"/>
                <w:szCs w:val="18"/>
                <w:lang w:eastAsia="fr-FR"/>
              </w:rPr>
              <w:t>1</w:t>
            </w:r>
          </w:p>
        </w:tc>
        <w:tc>
          <w:tcPr>
            <w:tcW w:w="1215" w:type="dxa"/>
            <w:tcBorders>
              <w:top w:val="nil"/>
              <w:left w:val="nil"/>
              <w:bottom w:val="single" w:sz="4" w:space="0" w:color="auto"/>
              <w:right w:val="single" w:sz="4" w:space="0" w:color="auto"/>
            </w:tcBorders>
            <w:shd w:val="clear" w:color="auto" w:fill="auto"/>
            <w:noWrap/>
            <w:vAlign w:val="bottom"/>
            <w:hideMark/>
          </w:tcPr>
          <w:p w14:paraId="10076293" w14:textId="77777777" w:rsidR="00F561A7" w:rsidRPr="00A9330B" w:rsidRDefault="00F561A7" w:rsidP="00F561A7">
            <w:pPr>
              <w:spacing w:before="0" w:line="240" w:lineRule="auto"/>
              <w:rPr>
                <w:rFonts w:cs="Arial"/>
                <w:color w:val="000000"/>
                <w:sz w:val="18"/>
                <w:szCs w:val="18"/>
                <w:lang w:eastAsia="fr-FR"/>
              </w:rPr>
            </w:pPr>
            <w:r w:rsidRPr="00A9330B">
              <w:rPr>
                <w:rFonts w:cs="Arial"/>
                <w:color w:val="000000"/>
                <w:sz w:val="18"/>
                <w:szCs w:val="18"/>
                <w:lang w:eastAsia="fr-FR"/>
              </w:rPr>
              <w:t>Propriétaire</w:t>
            </w:r>
          </w:p>
        </w:tc>
        <w:tc>
          <w:tcPr>
            <w:tcW w:w="1312" w:type="dxa"/>
            <w:tcBorders>
              <w:top w:val="nil"/>
              <w:left w:val="nil"/>
              <w:bottom w:val="single" w:sz="4" w:space="0" w:color="auto"/>
              <w:right w:val="single" w:sz="4" w:space="0" w:color="auto"/>
            </w:tcBorders>
            <w:shd w:val="clear" w:color="auto" w:fill="auto"/>
            <w:noWrap/>
            <w:vAlign w:val="bottom"/>
            <w:hideMark/>
          </w:tcPr>
          <w:p w14:paraId="065D69B6" w14:textId="77777777" w:rsidR="00F561A7" w:rsidRPr="00A9330B" w:rsidRDefault="00F561A7" w:rsidP="00F561A7">
            <w:pPr>
              <w:spacing w:before="0" w:line="240" w:lineRule="auto"/>
              <w:rPr>
                <w:rFonts w:cs="Arial"/>
                <w:color w:val="000000"/>
                <w:sz w:val="18"/>
                <w:szCs w:val="18"/>
                <w:lang w:eastAsia="fr-FR"/>
              </w:rPr>
            </w:pPr>
            <w:r w:rsidRPr="00A9330B">
              <w:rPr>
                <w:rFonts w:cs="Arial"/>
                <w:color w:val="000000"/>
                <w:sz w:val="18"/>
                <w:szCs w:val="18"/>
                <w:lang w:eastAsia="fr-FR"/>
              </w:rPr>
              <w:t>Ménagère</w:t>
            </w:r>
          </w:p>
        </w:tc>
        <w:tc>
          <w:tcPr>
            <w:tcW w:w="1349" w:type="dxa"/>
            <w:tcBorders>
              <w:top w:val="nil"/>
              <w:left w:val="nil"/>
              <w:bottom w:val="single" w:sz="4" w:space="0" w:color="auto"/>
              <w:right w:val="single" w:sz="4" w:space="0" w:color="auto"/>
            </w:tcBorders>
            <w:shd w:val="clear" w:color="auto" w:fill="auto"/>
            <w:noWrap/>
            <w:vAlign w:val="bottom"/>
            <w:hideMark/>
          </w:tcPr>
          <w:p w14:paraId="48AD2975" w14:textId="77777777" w:rsidR="00F561A7" w:rsidRPr="00A9330B" w:rsidRDefault="00F561A7" w:rsidP="00F561A7">
            <w:pPr>
              <w:spacing w:before="0" w:line="240" w:lineRule="auto"/>
              <w:jc w:val="right"/>
              <w:rPr>
                <w:rFonts w:cs="Arial"/>
                <w:color w:val="000000"/>
                <w:sz w:val="18"/>
                <w:szCs w:val="18"/>
                <w:lang w:eastAsia="fr-FR"/>
              </w:rPr>
            </w:pPr>
            <w:r w:rsidRPr="00A9330B">
              <w:rPr>
                <w:rFonts w:cs="Arial"/>
                <w:color w:val="000000"/>
                <w:sz w:val="18"/>
                <w:szCs w:val="18"/>
                <w:lang w:eastAsia="fr-FR"/>
              </w:rPr>
              <w:t>2000</w:t>
            </w:r>
          </w:p>
        </w:tc>
      </w:tr>
      <w:tr w:rsidR="00F561A7" w:rsidRPr="00A9330B" w14:paraId="0119493B" w14:textId="77777777" w:rsidTr="00340594">
        <w:trPr>
          <w:trHeight w:val="288"/>
          <w:jc w:val="center"/>
        </w:trPr>
        <w:tc>
          <w:tcPr>
            <w:tcW w:w="1030" w:type="dxa"/>
            <w:tcBorders>
              <w:top w:val="nil"/>
              <w:left w:val="single" w:sz="4" w:space="0" w:color="auto"/>
              <w:bottom w:val="single" w:sz="4" w:space="0" w:color="auto"/>
              <w:right w:val="single" w:sz="4" w:space="0" w:color="auto"/>
            </w:tcBorders>
            <w:shd w:val="clear" w:color="auto" w:fill="auto"/>
            <w:noWrap/>
            <w:vAlign w:val="bottom"/>
            <w:hideMark/>
          </w:tcPr>
          <w:p w14:paraId="76A1C45C" w14:textId="77777777" w:rsidR="00F561A7" w:rsidRPr="00A9330B" w:rsidRDefault="00F561A7" w:rsidP="00F561A7">
            <w:pPr>
              <w:spacing w:before="0" w:line="240" w:lineRule="auto"/>
              <w:jc w:val="right"/>
              <w:rPr>
                <w:rFonts w:cs="Arial"/>
                <w:color w:val="000000"/>
                <w:sz w:val="18"/>
                <w:szCs w:val="18"/>
                <w:lang w:eastAsia="fr-FR"/>
              </w:rPr>
            </w:pPr>
            <w:r w:rsidRPr="00A9330B">
              <w:rPr>
                <w:rFonts w:cs="Arial"/>
                <w:color w:val="000000"/>
                <w:sz w:val="18"/>
                <w:szCs w:val="18"/>
                <w:lang w:eastAsia="fr-FR"/>
              </w:rPr>
              <w:t>23</w:t>
            </w:r>
          </w:p>
        </w:tc>
        <w:tc>
          <w:tcPr>
            <w:tcW w:w="1030" w:type="dxa"/>
            <w:tcBorders>
              <w:top w:val="nil"/>
              <w:left w:val="nil"/>
              <w:bottom w:val="single" w:sz="4" w:space="0" w:color="auto"/>
              <w:right w:val="single" w:sz="4" w:space="0" w:color="auto"/>
            </w:tcBorders>
            <w:shd w:val="clear" w:color="auto" w:fill="auto"/>
            <w:noWrap/>
            <w:vAlign w:val="bottom"/>
            <w:hideMark/>
          </w:tcPr>
          <w:p w14:paraId="36F701F9" w14:textId="77777777" w:rsidR="00F561A7" w:rsidRPr="00A9330B" w:rsidRDefault="00F561A7" w:rsidP="00F561A7">
            <w:pPr>
              <w:spacing w:before="0" w:line="240" w:lineRule="auto"/>
              <w:rPr>
                <w:rFonts w:cs="Arial"/>
                <w:color w:val="000000"/>
                <w:sz w:val="18"/>
                <w:szCs w:val="18"/>
                <w:lang w:eastAsia="fr-FR"/>
              </w:rPr>
            </w:pPr>
            <w:r w:rsidRPr="00A9330B">
              <w:rPr>
                <w:rFonts w:cs="Arial"/>
                <w:color w:val="000000"/>
                <w:sz w:val="18"/>
                <w:szCs w:val="18"/>
                <w:lang w:eastAsia="fr-FR"/>
              </w:rPr>
              <w:t>NAT_412</w:t>
            </w:r>
          </w:p>
        </w:tc>
        <w:tc>
          <w:tcPr>
            <w:tcW w:w="1030" w:type="dxa"/>
            <w:tcBorders>
              <w:top w:val="nil"/>
              <w:left w:val="nil"/>
              <w:bottom w:val="single" w:sz="4" w:space="0" w:color="auto"/>
              <w:right w:val="single" w:sz="4" w:space="0" w:color="auto"/>
            </w:tcBorders>
            <w:shd w:val="clear" w:color="auto" w:fill="auto"/>
            <w:noWrap/>
            <w:vAlign w:val="bottom"/>
            <w:hideMark/>
          </w:tcPr>
          <w:p w14:paraId="3D136D5F" w14:textId="77777777" w:rsidR="00F561A7" w:rsidRPr="00A9330B" w:rsidRDefault="00F561A7" w:rsidP="00F561A7">
            <w:pPr>
              <w:spacing w:before="0" w:line="240" w:lineRule="auto"/>
              <w:rPr>
                <w:rFonts w:cs="Arial"/>
                <w:color w:val="000000"/>
                <w:sz w:val="18"/>
                <w:szCs w:val="18"/>
                <w:lang w:eastAsia="fr-FR"/>
              </w:rPr>
            </w:pPr>
            <w:r w:rsidRPr="00A9330B">
              <w:rPr>
                <w:rFonts w:cs="Arial"/>
                <w:color w:val="000000"/>
                <w:sz w:val="18"/>
                <w:szCs w:val="18"/>
                <w:lang w:eastAsia="fr-FR"/>
              </w:rPr>
              <w:t>Femme</w:t>
            </w:r>
          </w:p>
        </w:tc>
        <w:tc>
          <w:tcPr>
            <w:tcW w:w="1030" w:type="dxa"/>
            <w:tcBorders>
              <w:top w:val="nil"/>
              <w:left w:val="nil"/>
              <w:bottom w:val="single" w:sz="4" w:space="0" w:color="auto"/>
              <w:right w:val="single" w:sz="4" w:space="0" w:color="auto"/>
            </w:tcBorders>
            <w:shd w:val="clear" w:color="auto" w:fill="auto"/>
            <w:noWrap/>
            <w:vAlign w:val="bottom"/>
            <w:hideMark/>
          </w:tcPr>
          <w:p w14:paraId="2D57AD08" w14:textId="77777777" w:rsidR="00F561A7" w:rsidRPr="00A9330B" w:rsidRDefault="00F561A7" w:rsidP="00F561A7">
            <w:pPr>
              <w:spacing w:before="0" w:line="240" w:lineRule="auto"/>
              <w:jc w:val="right"/>
              <w:rPr>
                <w:rFonts w:cs="Arial"/>
                <w:color w:val="000000"/>
                <w:sz w:val="18"/>
                <w:szCs w:val="18"/>
                <w:lang w:eastAsia="fr-FR"/>
              </w:rPr>
            </w:pPr>
            <w:r w:rsidRPr="00A9330B">
              <w:rPr>
                <w:rFonts w:cs="Arial"/>
                <w:color w:val="000000"/>
                <w:sz w:val="18"/>
                <w:szCs w:val="18"/>
                <w:lang w:eastAsia="fr-FR"/>
              </w:rPr>
              <w:t>63</w:t>
            </w:r>
          </w:p>
        </w:tc>
        <w:tc>
          <w:tcPr>
            <w:tcW w:w="1071" w:type="dxa"/>
            <w:tcBorders>
              <w:top w:val="nil"/>
              <w:left w:val="nil"/>
              <w:bottom w:val="single" w:sz="4" w:space="0" w:color="auto"/>
              <w:right w:val="single" w:sz="4" w:space="0" w:color="auto"/>
            </w:tcBorders>
            <w:shd w:val="clear" w:color="auto" w:fill="auto"/>
            <w:noWrap/>
            <w:vAlign w:val="bottom"/>
            <w:hideMark/>
          </w:tcPr>
          <w:p w14:paraId="1795C561" w14:textId="77777777" w:rsidR="00F561A7" w:rsidRPr="00A9330B" w:rsidRDefault="00F561A7" w:rsidP="00F561A7">
            <w:pPr>
              <w:spacing w:before="0" w:line="240" w:lineRule="auto"/>
              <w:jc w:val="right"/>
              <w:rPr>
                <w:rFonts w:cs="Arial"/>
                <w:color w:val="000000"/>
                <w:sz w:val="18"/>
                <w:szCs w:val="18"/>
                <w:lang w:eastAsia="fr-FR"/>
              </w:rPr>
            </w:pPr>
            <w:r w:rsidRPr="00A9330B">
              <w:rPr>
                <w:rFonts w:cs="Arial"/>
                <w:color w:val="000000"/>
                <w:sz w:val="18"/>
                <w:szCs w:val="18"/>
                <w:lang w:eastAsia="fr-FR"/>
              </w:rPr>
              <w:t>20</w:t>
            </w:r>
          </w:p>
        </w:tc>
        <w:tc>
          <w:tcPr>
            <w:tcW w:w="1215" w:type="dxa"/>
            <w:tcBorders>
              <w:top w:val="nil"/>
              <w:left w:val="nil"/>
              <w:bottom w:val="single" w:sz="4" w:space="0" w:color="auto"/>
              <w:right w:val="single" w:sz="4" w:space="0" w:color="auto"/>
            </w:tcBorders>
            <w:shd w:val="clear" w:color="auto" w:fill="auto"/>
            <w:noWrap/>
            <w:vAlign w:val="bottom"/>
            <w:hideMark/>
          </w:tcPr>
          <w:p w14:paraId="67C1D9ED" w14:textId="77777777" w:rsidR="00F561A7" w:rsidRPr="00A9330B" w:rsidRDefault="00F561A7" w:rsidP="00F561A7">
            <w:pPr>
              <w:spacing w:before="0" w:line="240" w:lineRule="auto"/>
              <w:rPr>
                <w:rFonts w:cs="Arial"/>
                <w:color w:val="000000"/>
                <w:sz w:val="18"/>
                <w:szCs w:val="18"/>
                <w:lang w:eastAsia="fr-FR"/>
              </w:rPr>
            </w:pPr>
            <w:r w:rsidRPr="00A9330B">
              <w:rPr>
                <w:rFonts w:cs="Arial"/>
                <w:color w:val="000000"/>
                <w:sz w:val="18"/>
                <w:szCs w:val="18"/>
                <w:lang w:eastAsia="fr-FR"/>
              </w:rPr>
              <w:t>Autre</w:t>
            </w:r>
          </w:p>
        </w:tc>
        <w:tc>
          <w:tcPr>
            <w:tcW w:w="1312" w:type="dxa"/>
            <w:tcBorders>
              <w:top w:val="nil"/>
              <w:left w:val="nil"/>
              <w:bottom w:val="single" w:sz="4" w:space="0" w:color="auto"/>
              <w:right w:val="single" w:sz="4" w:space="0" w:color="auto"/>
            </w:tcBorders>
            <w:shd w:val="clear" w:color="auto" w:fill="auto"/>
            <w:noWrap/>
            <w:vAlign w:val="bottom"/>
            <w:hideMark/>
          </w:tcPr>
          <w:p w14:paraId="12D24213" w14:textId="77777777" w:rsidR="00F561A7" w:rsidRPr="00A9330B" w:rsidRDefault="00F561A7" w:rsidP="00F561A7">
            <w:pPr>
              <w:spacing w:before="0" w:line="240" w:lineRule="auto"/>
              <w:rPr>
                <w:rFonts w:cs="Arial"/>
                <w:color w:val="000000"/>
                <w:sz w:val="18"/>
                <w:szCs w:val="18"/>
                <w:lang w:eastAsia="fr-FR"/>
              </w:rPr>
            </w:pPr>
            <w:r w:rsidRPr="00A9330B">
              <w:rPr>
                <w:rFonts w:cs="Arial"/>
                <w:color w:val="000000"/>
                <w:sz w:val="18"/>
                <w:szCs w:val="18"/>
                <w:lang w:eastAsia="fr-FR"/>
              </w:rPr>
              <w:t>Ménagère</w:t>
            </w:r>
          </w:p>
        </w:tc>
        <w:tc>
          <w:tcPr>
            <w:tcW w:w="1349" w:type="dxa"/>
            <w:tcBorders>
              <w:top w:val="nil"/>
              <w:left w:val="nil"/>
              <w:bottom w:val="single" w:sz="4" w:space="0" w:color="auto"/>
              <w:right w:val="single" w:sz="4" w:space="0" w:color="auto"/>
            </w:tcBorders>
            <w:shd w:val="clear" w:color="auto" w:fill="auto"/>
            <w:noWrap/>
            <w:vAlign w:val="bottom"/>
            <w:hideMark/>
          </w:tcPr>
          <w:p w14:paraId="273D98BD" w14:textId="77777777" w:rsidR="00F561A7" w:rsidRPr="00A9330B" w:rsidRDefault="00F561A7" w:rsidP="00F561A7">
            <w:pPr>
              <w:spacing w:before="0" w:line="240" w:lineRule="auto"/>
              <w:jc w:val="right"/>
              <w:rPr>
                <w:rFonts w:cs="Arial"/>
                <w:color w:val="000000"/>
                <w:sz w:val="18"/>
                <w:szCs w:val="18"/>
                <w:lang w:eastAsia="fr-FR"/>
              </w:rPr>
            </w:pPr>
            <w:r w:rsidRPr="00A9330B">
              <w:rPr>
                <w:rFonts w:cs="Arial"/>
                <w:color w:val="000000"/>
                <w:sz w:val="18"/>
                <w:szCs w:val="18"/>
                <w:lang w:eastAsia="fr-FR"/>
              </w:rPr>
              <w:t>10000</w:t>
            </w:r>
          </w:p>
        </w:tc>
      </w:tr>
      <w:tr w:rsidR="00F561A7" w:rsidRPr="00A9330B" w14:paraId="0F9081C3" w14:textId="77777777" w:rsidTr="00340594">
        <w:trPr>
          <w:trHeight w:val="288"/>
          <w:jc w:val="center"/>
        </w:trPr>
        <w:tc>
          <w:tcPr>
            <w:tcW w:w="1030" w:type="dxa"/>
            <w:tcBorders>
              <w:top w:val="nil"/>
              <w:left w:val="single" w:sz="4" w:space="0" w:color="auto"/>
              <w:bottom w:val="single" w:sz="4" w:space="0" w:color="auto"/>
              <w:right w:val="single" w:sz="4" w:space="0" w:color="auto"/>
            </w:tcBorders>
            <w:shd w:val="clear" w:color="auto" w:fill="auto"/>
            <w:noWrap/>
            <w:vAlign w:val="bottom"/>
            <w:hideMark/>
          </w:tcPr>
          <w:p w14:paraId="421B033F" w14:textId="77777777" w:rsidR="00F561A7" w:rsidRPr="00A9330B" w:rsidRDefault="00F561A7" w:rsidP="00F561A7">
            <w:pPr>
              <w:spacing w:before="0" w:line="240" w:lineRule="auto"/>
              <w:jc w:val="right"/>
              <w:rPr>
                <w:rFonts w:cs="Arial"/>
                <w:color w:val="000000"/>
                <w:sz w:val="18"/>
                <w:szCs w:val="18"/>
                <w:lang w:eastAsia="fr-FR"/>
              </w:rPr>
            </w:pPr>
            <w:r w:rsidRPr="00A9330B">
              <w:rPr>
                <w:rFonts w:cs="Arial"/>
                <w:color w:val="000000"/>
                <w:sz w:val="18"/>
                <w:szCs w:val="18"/>
                <w:lang w:eastAsia="fr-FR"/>
              </w:rPr>
              <w:t>24</w:t>
            </w:r>
          </w:p>
        </w:tc>
        <w:tc>
          <w:tcPr>
            <w:tcW w:w="1030" w:type="dxa"/>
            <w:tcBorders>
              <w:top w:val="nil"/>
              <w:left w:val="nil"/>
              <w:bottom w:val="single" w:sz="4" w:space="0" w:color="auto"/>
              <w:right w:val="single" w:sz="4" w:space="0" w:color="auto"/>
            </w:tcBorders>
            <w:shd w:val="clear" w:color="auto" w:fill="auto"/>
            <w:noWrap/>
            <w:vAlign w:val="bottom"/>
            <w:hideMark/>
          </w:tcPr>
          <w:p w14:paraId="2158652D" w14:textId="77777777" w:rsidR="00F561A7" w:rsidRPr="00A9330B" w:rsidRDefault="00F561A7" w:rsidP="00F561A7">
            <w:pPr>
              <w:spacing w:before="0" w:line="240" w:lineRule="auto"/>
              <w:rPr>
                <w:rFonts w:cs="Arial"/>
                <w:color w:val="000000"/>
                <w:sz w:val="18"/>
                <w:szCs w:val="18"/>
                <w:lang w:eastAsia="fr-FR"/>
              </w:rPr>
            </w:pPr>
            <w:r w:rsidRPr="00A9330B">
              <w:rPr>
                <w:rFonts w:cs="Arial"/>
                <w:color w:val="000000"/>
                <w:sz w:val="18"/>
                <w:szCs w:val="18"/>
                <w:lang w:eastAsia="fr-FR"/>
              </w:rPr>
              <w:t>NAT_416</w:t>
            </w:r>
          </w:p>
        </w:tc>
        <w:tc>
          <w:tcPr>
            <w:tcW w:w="1030" w:type="dxa"/>
            <w:tcBorders>
              <w:top w:val="nil"/>
              <w:left w:val="nil"/>
              <w:bottom w:val="single" w:sz="4" w:space="0" w:color="auto"/>
              <w:right w:val="single" w:sz="4" w:space="0" w:color="auto"/>
            </w:tcBorders>
            <w:shd w:val="clear" w:color="auto" w:fill="auto"/>
            <w:noWrap/>
            <w:vAlign w:val="bottom"/>
            <w:hideMark/>
          </w:tcPr>
          <w:p w14:paraId="572E33C2" w14:textId="77777777" w:rsidR="00F561A7" w:rsidRPr="00A9330B" w:rsidRDefault="00F561A7" w:rsidP="00F561A7">
            <w:pPr>
              <w:spacing w:before="0" w:line="240" w:lineRule="auto"/>
              <w:rPr>
                <w:rFonts w:cs="Arial"/>
                <w:color w:val="000000"/>
                <w:sz w:val="18"/>
                <w:szCs w:val="18"/>
                <w:lang w:eastAsia="fr-FR"/>
              </w:rPr>
            </w:pPr>
            <w:r w:rsidRPr="00A9330B">
              <w:rPr>
                <w:rFonts w:cs="Arial"/>
                <w:color w:val="000000"/>
                <w:sz w:val="18"/>
                <w:szCs w:val="18"/>
                <w:lang w:eastAsia="fr-FR"/>
              </w:rPr>
              <w:t>Femme</w:t>
            </w:r>
          </w:p>
        </w:tc>
        <w:tc>
          <w:tcPr>
            <w:tcW w:w="1030" w:type="dxa"/>
            <w:tcBorders>
              <w:top w:val="nil"/>
              <w:left w:val="nil"/>
              <w:bottom w:val="single" w:sz="4" w:space="0" w:color="auto"/>
              <w:right w:val="single" w:sz="4" w:space="0" w:color="auto"/>
            </w:tcBorders>
            <w:shd w:val="clear" w:color="auto" w:fill="auto"/>
            <w:noWrap/>
            <w:vAlign w:val="bottom"/>
            <w:hideMark/>
          </w:tcPr>
          <w:p w14:paraId="22846D19" w14:textId="77777777" w:rsidR="00F561A7" w:rsidRPr="00A9330B" w:rsidRDefault="00F561A7" w:rsidP="00F561A7">
            <w:pPr>
              <w:spacing w:before="0" w:line="240" w:lineRule="auto"/>
              <w:jc w:val="right"/>
              <w:rPr>
                <w:rFonts w:cs="Arial"/>
                <w:color w:val="000000"/>
                <w:sz w:val="18"/>
                <w:szCs w:val="18"/>
                <w:lang w:eastAsia="fr-FR"/>
              </w:rPr>
            </w:pPr>
            <w:r w:rsidRPr="00A9330B">
              <w:rPr>
                <w:rFonts w:cs="Arial"/>
                <w:color w:val="000000"/>
                <w:sz w:val="18"/>
                <w:szCs w:val="18"/>
                <w:lang w:eastAsia="fr-FR"/>
              </w:rPr>
              <w:t>54</w:t>
            </w:r>
          </w:p>
        </w:tc>
        <w:tc>
          <w:tcPr>
            <w:tcW w:w="1071" w:type="dxa"/>
            <w:tcBorders>
              <w:top w:val="nil"/>
              <w:left w:val="nil"/>
              <w:bottom w:val="single" w:sz="4" w:space="0" w:color="auto"/>
              <w:right w:val="single" w:sz="4" w:space="0" w:color="auto"/>
            </w:tcBorders>
            <w:shd w:val="clear" w:color="auto" w:fill="auto"/>
            <w:noWrap/>
            <w:vAlign w:val="bottom"/>
            <w:hideMark/>
          </w:tcPr>
          <w:p w14:paraId="4D5A26D5" w14:textId="77777777" w:rsidR="00F561A7" w:rsidRPr="00A9330B" w:rsidRDefault="00F561A7" w:rsidP="00F561A7">
            <w:pPr>
              <w:spacing w:before="0" w:line="240" w:lineRule="auto"/>
              <w:jc w:val="right"/>
              <w:rPr>
                <w:rFonts w:cs="Arial"/>
                <w:color w:val="000000"/>
                <w:sz w:val="18"/>
                <w:szCs w:val="18"/>
                <w:lang w:eastAsia="fr-FR"/>
              </w:rPr>
            </w:pPr>
            <w:r w:rsidRPr="00A9330B">
              <w:rPr>
                <w:rFonts w:cs="Arial"/>
                <w:color w:val="000000"/>
                <w:sz w:val="18"/>
                <w:szCs w:val="18"/>
                <w:lang w:eastAsia="fr-FR"/>
              </w:rPr>
              <w:t>10</w:t>
            </w:r>
          </w:p>
        </w:tc>
        <w:tc>
          <w:tcPr>
            <w:tcW w:w="1215" w:type="dxa"/>
            <w:tcBorders>
              <w:top w:val="nil"/>
              <w:left w:val="nil"/>
              <w:bottom w:val="single" w:sz="4" w:space="0" w:color="auto"/>
              <w:right w:val="single" w:sz="4" w:space="0" w:color="auto"/>
            </w:tcBorders>
            <w:shd w:val="clear" w:color="auto" w:fill="auto"/>
            <w:noWrap/>
            <w:vAlign w:val="bottom"/>
            <w:hideMark/>
          </w:tcPr>
          <w:p w14:paraId="16908F8D" w14:textId="77777777" w:rsidR="00F561A7" w:rsidRPr="00A9330B" w:rsidRDefault="00F561A7" w:rsidP="00F561A7">
            <w:pPr>
              <w:spacing w:before="0" w:line="240" w:lineRule="auto"/>
              <w:rPr>
                <w:rFonts w:cs="Arial"/>
                <w:color w:val="000000"/>
                <w:sz w:val="18"/>
                <w:szCs w:val="18"/>
                <w:lang w:eastAsia="fr-FR"/>
              </w:rPr>
            </w:pPr>
            <w:r w:rsidRPr="00A9330B">
              <w:rPr>
                <w:rFonts w:cs="Arial"/>
                <w:color w:val="000000"/>
                <w:sz w:val="18"/>
                <w:szCs w:val="18"/>
                <w:lang w:eastAsia="fr-FR"/>
              </w:rPr>
              <w:t>Gérant</w:t>
            </w:r>
          </w:p>
        </w:tc>
        <w:tc>
          <w:tcPr>
            <w:tcW w:w="1312" w:type="dxa"/>
            <w:tcBorders>
              <w:top w:val="nil"/>
              <w:left w:val="nil"/>
              <w:bottom w:val="single" w:sz="4" w:space="0" w:color="auto"/>
              <w:right w:val="single" w:sz="4" w:space="0" w:color="auto"/>
            </w:tcBorders>
            <w:shd w:val="clear" w:color="auto" w:fill="auto"/>
            <w:noWrap/>
            <w:vAlign w:val="bottom"/>
            <w:hideMark/>
          </w:tcPr>
          <w:p w14:paraId="42DFC35A" w14:textId="77777777" w:rsidR="00F561A7" w:rsidRPr="00A9330B" w:rsidRDefault="00F561A7" w:rsidP="00F561A7">
            <w:pPr>
              <w:spacing w:before="0" w:line="240" w:lineRule="auto"/>
              <w:rPr>
                <w:rFonts w:cs="Arial"/>
                <w:color w:val="000000"/>
                <w:sz w:val="18"/>
                <w:szCs w:val="18"/>
                <w:lang w:eastAsia="fr-FR"/>
              </w:rPr>
            </w:pPr>
            <w:r w:rsidRPr="00A9330B">
              <w:rPr>
                <w:rFonts w:cs="Arial"/>
                <w:color w:val="000000"/>
                <w:sz w:val="18"/>
                <w:szCs w:val="18"/>
                <w:lang w:eastAsia="fr-FR"/>
              </w:rPr>
              <w:t>Ménagère</w:t>
            </w:r>
          </w:p>
        </w:tc>
        <w:tc>
          <w:tcPr>
            <w:tcW w:w="1349" w:type="dxa"/>
            <w:tcBorders>
              <w:top w:val="nil"/>
              <w:left w:val="nil"/>
              <w:bottom w:val="single" w:sz="4" w:space="0" w:color="auto"/>
              <w:right w:val="single" w:sz="4" w:space="0" w:color="auto"/>
            </w:tcBorders>
            <w:shd w:val="clear" w:color="auto" w:fill="auto"/>
            <w:noWrap/>
            <w:vAlign w:val="bottom"/>
            <w:hideMark/>
          </w:tcPr>
          <w:p w14:paraId="1D563734" w14:textId="77777777" w:rsidR="00F561A7" w:rsidRPr="00A9330B" w:rsidRDefault="00F561A7" w:rsidP="00F561A7">
            <w:pPr>
              <w:spacing w:before="0" w:line="240" w:lineRule="auto"/>
              <w:jc w:val="right"/>
              <w:rPr>
                <w:rFonts w:cs="Arial"/>
                <w:color w:val="000000"/>
                <w:sz w:val="18"/>
                <w:szCs w:val="18"/>
                <w:lang w:eastAsia="fr-FR"/>
              </w:rPr>
            </w:pPr>
            <w:r w:rsidRPr="00A9330B">
              <w:rPr>
                <w:rFonts w:cs="Arial"/>
                <w:color w:val="000000"/>
                <w:sz w:val="18"/>
                <w:szCs w:val="18"/>
                <w:lang w:eastAsia="fr-FR"/>
              </w:rPr>
              <w:t>2000</w:t>
            </w:r>
          </w:p>
        </w:tc>
      </w:tr>
      <w:tr w:rsidR="00F561A7" w:rsidRPr="00A9330B" w14:paraId="6B6CDCD1" w14:textId="77777777" w:rsidTr="00340594">
        <w:trPr>
          <w:trHeight w:val="288"/>
          <w:jc w:val="center"/>
        </w:trPr>
        <w:tc>
          <w:tcPr>
            <w:tcW w:w="1030" w:type="dxa"/>
            <w:tcBorders>
              <w:top w:val="nil"/>
              <w:left w:val="single" w:sz="4" w:space="0" w:color="auto"/>
              <w:bottom w:val="single" w:sz="4" w:space="0" w:color="auto"/>
              <w:right w:val="single" w:sz="4" w:space="0" w:color="auto"/>
            </w:tcBorders>
            <w:shd w:val="clear" w:color="auto" w:fill="auto"/>
            <w:noWrap/>
            <w:vAlign w:val="bottom"/>
            <w:hideMark/>
          </w:tcPr>
          <w:p w14:paraId="35CECE56" w14:textId="77777777" w:rsidR="00F561A7" w:rsidRPr="00A9330B" w:rsidRDefault="00F561A7" w:rsidP="00F561A7">
            <w:pPr>
              <w:spacing w:before="0" w:line="240" w:lineRule="auto"/>
              <w:jc w:val="right"/>
              <w:rPr>
                <w:rFonts w:cs="Arial"/>
                <w:color w:val="000000"/>
                <w:sz w:val="18"/>
                <w:szCs w:val="18"/>
                <w:lang w:eastAsia="fr-FR"/>
              </w:rPr>
            </w:pPr>
            <w:r w:rsidRPr="00A9330B">
              <w:rPr>
                <w:rFonts w:cs="Arial"/>
                <w:color w:val="000000"/>
                <w:sz w:val="18"/>
                <w:szCs w:val="18"/>
                <w:lang w:eastAsia="fr-FR"/>
              </w:rPr>
              <w:t>25</w:t>
            </w:r>
          </w:p>
        </w:tc>
        <w:tc>
          <w:tcPr>
            <w:tcW w:w="1030" w:type="dxa"/>
            <w:tcBorders>
              <w:top w:val="nil"/>
              <w:left w:val="nil"/>
              <w:bottom w:val="single" w:sz="4" w:space="0" w:color="auto"/>
              <w:right w:val="single" w:sz="4" w:space="0" w:color="auto"/>
            </w:tcBorders>
            <w:shd w:val="clear" w:color="auto" w:fill="auto"/>
            <w:noWrap/>
            <w:vAlign w:val="bottom"/>
            <w:hideMark/>
          </w:tcPr>
          <w:p w14:paraId="59CE916E" w14:textId="77777777" w:rsidR="00F561A7" w:rsidRPr="00A9330B" w:rsidRDefault="00F561A7" w:rsidP="00F561A7">
            <w:pPr>
              <w:spacing w:before="0" w:line="240" w:lineRule="auto"/>
              <w:rPr>
                <w:rFonts w:cs="Arial"/>
                <w:color w:val="000000"/>
                <w:sz w:val="18"/>
                <w:szCs w:val="18"/>
                <w:lang w:eastAsia="fr-FR"/>
              </w:rPr>
            </w:pPr>
            <w:r w:rsidRPr="00A9330B">
              <w:rPr>
                <w:rFonts w:cs="Arial"/>
                <w:color w:val="000000"/>
                <w:sz w:val="18"/>
                <w:szCs w:val="18"/>
                <w:lang w:eastAsia="fr-FR"/>
              </w:rPr>
              <w:t>NAT_427</w:t>
            </w:r>
          </w:p>
        </w:tc>
        <w:tc>
          <w:tcPr>
            <w:tcW w:w="1030" w:type="dxa"/>
            <w:tcBorders>
              <w:top w:val="nil"/>
              <w:left w:val="nil"/>
              <w:bottom w:val="single" w:sz="4" w:space="0" w:color="auto"/>
              <w:right w:val="single" w:sz="4" w:space="0" w:color="auto"/>
            </w:tcBorders>
            <w:shd w:val="clear" w:color="auto" w:fill="auto"/>
            <w:noWrap/>
            <w:vAlign w:val="bottom"/>
            <w:hideMark/>
          </w:tcPr>
          <w:p w14:paraId="64AE2125" w14:textId="77777777" w:rsidR="00F561A7" w:rsidRPr="00A9330B" w:rsidRDefault="00F561A7" w:rsidP="00F561A7">
            <w:pPr>
              <w:spacing w:before="0" w:line="240" w:lineRule="auto"/>
              <w:rPr>
                <w:rFonts w:cs="Arial"/>
                <w:color w:val="000000"/>
                <w:sz w:val="18"/>
                <w:szCs w:val="18"/>
                <w:lang w:eastAsia="fr-FR"/>
              </w:rPr>
            </w:pPr>
            <w:r w:rsidRPr="00A9330B">
              <w:rPr>
                <w:rFonts w:cs="Arial"/>
                <w:color w:val="000000"/>
                <w:sz w:val="18"/>
                <w:szCs w:val="18"/>
                <w:lang w:eastAsia="fr-FR"/>
              </w:rPr>
              <w:t>Femme</w:t>
            </w:r>
          </w:p>
        </w:tc>
        <w:tc>
          <w:tcPr>
            <w:tcW w:w="1030" w:type="dxa"/>
            <w:tcBorders>
              <w:top w:val="nil"/>
              <w:left w:val="nil"/>
              <w:bottom w:val="single" w:sz="4" w:space="0" w:color="auto"/>
              <w:right w:val="single" w:sz="4" w:space="0" w:color="auto"/>
            </w:tcBorders>
            <w:shd w:val="clear" w:color="auto" w:fill="auto"/>
            <w:noWrap/>
            <w:vAlign w:val="bottom"/>
            <w:hideMark/>
          </w:tcPr>
          <w:p w14:paraId="073A6FC5" w14:textId="77777777" w:rsidR="00F561A7" w:rsidRPr="00A9330B" w:rsidRDefault="00F561A7" w:rsidP="00F561A7">
            <w:pPr>
              <w:spacing w:before="0" w:line="240" w:lineRule="auto"/>
              <w:jc w:val="right"/>
              <w:rPr>
                <w:rFonts w:cs="Arial"/>
                <w:color w:val="000000"/>
                <w:sz w:val="18"/>
                <w:szCs w:val="18"/>
                <w:lang w:eastAsia="fr-FR"/>
              </w:rPr>
            </w:pPr>
            <w:r w:rsidRPr="00A9330B">
              <w:rPr>
                <w:rFonts w:cs="Arial"/>
                <w:color w:val="000000"/>
                <w:sz w:val="18"/>
                <w:szCs w:val="18"/>
                <w:lang w:eastAsia="fr-FR"/>
              </w:rPr>
              <w:t>50</w:t>
            </w:r>
          </w:p>
        </w:tc>
        <w:tc>
          <w:tcPr>
            <w:tcW w:w="1071" w:type="dxa"/>
            <w:tcBorders>
              <w:top w:val="nil"/>
              <w:left w:val="nil"/>
              <w:bottom w:val="single" w:sz="4" w:space="0" w:color="auto"/>
              <w:right w:val="single" w:sz="4" w:space="0" w:color="auto"/>
            </w:tcBorders>
            <w:shd w:val="clear" w:color="auto" w:fill="auto"/>
            <w:noWrap/>
            <w:vAlign w:val="bottom"/>
            <w:hideMark/>
          </w:tcPr>
          <w:p w14:paraId="67DE9E8C" w14:textId="77777777" w:rsidR="00F561A7" w:rsidRPr="00A9330B" w:rsidRDefault="00F561A7" w:rsidP="00F561A7">
            <w:pPr>
              <w:spacing w:before="0" w:line="240" w:lineRule="auto"/>
              <w:jc w:val="right"/>
              <w:rPr>
                <w:rFonts w:cs="Arial"/>
                <w:color w:val="000000"/>
                <w:sz w:val="18"/>
                <w:szCs w:val="18"/>
                <w:lang w:eastAsia="fr-FR"/>
              </w:rPr>
            </w:pPr>
            <w:r w:rsidRPr="00A9330B">
              <w:rPr>
                <w:rFonts w:cs="Arial"/>
                <w:color w:val="000000"/>
                <w:sz w:val="18"/>
                <w:szCs w:val="18"/>
                <w:lang w:eastAsia="fr-FR"/>
              </w:rPr>
              <w:t>15</w:t>
            </w:r>
          </w:p>
        </w:tc>
        <w:tc>
          <w:tcPr>
            <w:tcW w:w="1215" w:type="dxa"/>
            <w:tcBorders>
              <w:top w:val="nil"/>
              <w:left w:val="nil"/>
              <w:bottom w:val="single" w:sz="4" w:space="0" w:color="auto"/>
              <w:right w:val="single" w:sz="4" w:space="0" w:color="auto"/>
            </w:tcBorders>
            <w:shd w:val="clear" w:color="auto" w:fill="auto"/>
            <w:noWrap/>
            <w:vAlign w:val="bottom"/>
            <w:hideMark/>
          </w:tcPr>
          <w:p w14:paraId="627553B9" w14:textId="77777777" w:rsidR="00F561A7" w:rsidRPr="00A9330B" w:rsidRDefault="00F561A7" w:rsidP="00F561A7">
            <w:pPr>
              <w:spacing w:before="0" w:line="240" w:lineRule="auto"/>
              <w:rPr>
                <w:rFonts w:cs="Arial"/>
                <w:color w:val="000000"/>
                <w:sz w:val="18"/>
                <w:szCs w:val="18"/>
                <w:lang w:eastAsia="fr-FR"/>
              </w:rPr>
            </w:pPr>
            <w:r w:rsidRPr="00A9330B">
              <w:rPr>
                <w:rFonts w:cs="Arial"/>
                <w:color w:val="000000"/>
                <w:sz w:val="18"/>
                <w:szCs w:val="18"/>
                <w:lang w:eastAsia="fr-FR"/>
              </w:rPr>
              <w:t>Propriétaire</w:t>
            </w:r>
          </w:p>
        </w:tc>
        <w:tc>
          <w:tcPr>
            <w:tcW w:w="1312" w:type="dxa"/>
            <w:tcBorders>
              <w:top w:val="nil"/>
              <w:left w:val="nil"/>
              <w:bottom w:val="single" w:sz="4" w:space="0" w:color="auto"/>
              <w:right w:val="single" w:sz="4" w:space="0" w:color="auto"/>
            </w:tcBorders>
            <w:shd w:val="clear" w:color="auto" w:fill="auto"/>
            <w:noWrap/>
            <w:vAlign w:val="bottom"/>
            <w:hideMark/>
          </w:tcPr>
          <w:p w14:paraId="4A19CB81" w14:textId="77777777" w:rsidR="00F561A7" w:rsidRPr="00A9330B" w:rsidRDefault="00F561A7" w:rsidP="00F561A7">
            <w:pPr>
              <w:spacing w:before="0" w:line="240" w:lineRule="auto"/>
              <w:rPr>
                <w:rFonts w:cs="Arial"/>
                <w:color w:val="000000"/>
                <w:sz w:val="18"/>
                <w:szCs w:val="18"/>
                <w:lang w:eastAsia="fr-FR"/>
              </w:rPr>
            </w:pPr>
            <w:r w:rsidRPr="00A9330B">
              <w:rPr>
                <w:rFonts w:cs="Arial"/>
                <w:color w:val="000000"/>
                <w:sz w:val="18"/>
                <w:szCs w:val="18"/>
                <w:lang w:eastAsia="fr-FR"/>
              </w:rPr>
              <w:t>Couturière</w:t>
            </w:r>
          </w:p>
        </w:tc>
        <w:tc>
          <w:tcPr>
            <w:tcW w:w="1349" w:type="dxa"/>
            <w:tcBorders>
              <w:top w:val="nil"/>
              <w:left w:val="nil"/>
              <w:bottom w:val="single" w:sz="4" w:space="0" w:color="auto"/>
              <w:right w:val="single" w:sz="4" w:space="0" w:color="auto"/>
            </w:tcBorders>
            <w:shd w:val="clear" w:color="auto" w:fill="auto"/>
            <w:noWrap/>
            <w:vAlign w:val="bottom"/>
            <w:hideMark/>
          </w:tcPr>
          <w:p w14:paraId="5AA0F1E6" w14:textId="77777777" w:rsidR="00F561A7" w:rsidRPr="00A9330B" w:rsidRDefault="00F561A7" w:rsidP="00F561A7">
            <w:pPr>
              <w:spacing w:before="0" w:line="240" w:lineRule="auto"/>
              <w:jc w:val="right"/>
              <w:rPr>
                <w:rFonts w:cs="Arial"/>
                <w:color w:val="000000"/>
                <w:sz w:val="18"/>
                <w:szCs w:val="18"/>
                <w:lang w:eastAsia="fr-FR"/>
              </w:rPr>
            </w:pPr>
            <w:r w:rsidRPr="00A9330B">
              <w:rPr>
                <w:rFonts w:cs="Arial"/>
                <w:color w:val="000000"/>
                <w:sz w:val="18"/>
                <w:szCs w:val="18"/>
                <w:lang w:eastAsia="fr-FR"/>
              </w:rPr>
              <w:t>2000</w:t>
            </w:r>
          </w:p>
        </w:tc>
      </w:tr>
    </w:tbl>
    <w:p w14:paraId="784DB0C5" w14:textId="77777777" w:rsidR="00350C9E" w:rsidRPr="00A9330B" w:rsidRDefault="00350C9E" w:rsidP="000566F0">
      <w:pPr>
        <w:spacing w:line="240" w:lineRule="auto"/>
        <w:rPr>
          <w:rFonts w:eastAsia="Times New Roman" w:cs="Arial"/>
          <w:b/>
          <w:color w:val="auto"/>
          <w:sz w:val="20"/>
          <w:szCs w:val="20"/>
          <w:lang w:eastAsia="de-DE"/>
        </w:rPr>
      </w:pPr>
      <w:r w:rsidRPr="00A9330B">
        <w:rPr>
          <w:rFonts w:eastAsia="Times New Roman" w:cs="Arial"/>
          <w:b/>
          <w:color w:val="auto"/>
          <w:sz w:val="20"/>
          <w:szCs w:val="20"/>
          <w:lang w:eastAsia="de-DE"/>
        </w:rPr>
        <w:t>Source : CECO-BTP, juin 2020</w:t>
      </w:r>
    </w:p>
    <w:p w14:paraId="57835B65" w14:textId="0BF8100F" w:rsidR="00350C9E" w:rsidRPr="00A9330B" w:rsidRDefault="001777E6" w:rsidP="00340594">
      <w:pPr>
        <w:pStyle w:val="Titre20"/>
        <w:rPr>
          <w:rFonts w:eastAsia="Times New Roman"/>
          <w:smallCaps/>
        </w:rPr>
      </w:pPr>
      <w:bookmarkStart w:id="2038" w:name="_Toc52869731"/>
      <w:bookmarkStart w:id="2039" w:name="_Toc52869881"/>
      <w:r w:rsidRPr="00A9330B">
        <w:rPr>
          <w:rFonts w:eastAsia="Times New Roman"/>
        </w:rPr>
        <w:t xml:space="preserve">10.10. </w:t>
      </w:r>
      <w:r w:rsidR="00350C9E" w:rsidRPr="00A9330B">
        <w:rPr>
          <w:rFonts w:eastAsia="Times New Roman"/>
        </w:rPr>
        <w:t>Biens affectés dans l’emprise des travaux dans la ville de NATITINGOU</w:t>
      </w:r>
      <w:bookmarkEnd w:id="2038"/>
      <w:bookmarkEnd w:id="2039"/>
      <w:r w:rsidR="00350C9E" w:rsidRPr="00A9330B">
        <w:rPr>
          <w:rFonts w:eastAsia="Times New Roman"/>
        </w:rPr>
        <w:t xml:space="preserve"> </w:t>
      </w:r>
    </w:p>
    <w:p w14:paraId="655605D5" w14:textId="77777777" w:rsidR="00350C9E" w:rsidRPr="00A9330B" w:rsidRDefault="00350C9E" w:rsidP="00350C9E">
      <w:pPr>
        <w:spacing w:after="120" w:line="312" w:lineRule="auto"/>
        <w:jc w:val="both"/>
        <w:rPr>
          <w:rFonts w:eastAsia="Times New Roman" w:cs="Arial"/>
          <w:color w:val="auto"/>
          <w:szCs w:val="24"/>
          <w:lang w:eastAsia="de-DE"/>
        </w:rPr>
      </w:pPr>
      <w:r w:rsidRPr="00A9330B">
        <w:rPr>
          <w:rFonts w:eastAsia="Calibri" w:cs="Arial"/>
          <w:color w:val="auto"/>
          <w:szCs w:val="24"/>
          <w:lang w:eastAsia="de-DE"/>
        </w:rPr>
        <w:t>L’inventaire des biens susceptibles d’être affectés par le projet comprend des espèces végétales et les biens privés résumés dans le tableau ci-après :</w:t>
      </w:r>
    </w:p>
    <w:p w14:paraId="302ABBE8" w14:textId="04CB9B7F" w:rsidR="00350C9E" w:rsidRPr="00A9330B" w:rsidRDefault="001777E6" w:rsidP="000566F0">
      <w:pPr>
        <w:keepNext/>
        <w:spacing w:after="120" w:line="240" w:lineRule="auto"/>
        <w:jc w:val="center"/>
        <w:rPr>
          <w:rFonts w:eastAsia="Times New Roman" w:cs="Arial"/>
          <w:b/>
          <w:color w:val="000000"/>
          <w:sz w:val="20"/>
          <w:szCs w:val="20"/>
        </w:rPr>
      </w:pPr>
      <w:bookmarkStart w:id="2040" w:name="_Toc3224904"/>
      <w:bookmarkStart w:id="2041" w:name="_Toc535224133"/>
      <w:bookmarkStart w:id="2042" w:name="_Toc535930551"/>
      <w:bookmarkStart w:id="2043" w:name="_Toc527717854"/>
      <w:bookmarkStart w:id="2044" w:name="_Toc527803322"/>
      <w:bookmarkStart w:id="2045" w:name="_Toc527962669"/>
      <w:bookmarkStart w:id="2046" w:name="_Toc529205370"/>
      <w:bookmarkStart w:id="2047" w:name="_Toc529253383"/>
      <w:bookmarkStart w:id="2048" w:name="_Toc307229"/>
      <w:bookmarkStart w:id="2049" w:name="_Toc954663"/>
      <w:bookmarkStart w:id="2050" w:name="_Toc52873791"/>
      <w:r w:rsidRPr="00A9330B">
        <w:rPr>
          <w:b/>
          <w:sz w:val="20"/>
          <w:szCs w:val="20"/>
        </w:rPr>
        <w:t xml:space="preserve">Tableau </w:t>
      </w:r>
      <w:r w:rsidRPr="00A9330B">
        <w:rPr>
          <w:b/>
          <w:sz w:val="20"/>
          <w:szCs w:val="20"/>
        </w:rPr>
        <w:fldChar w:fldCharType="begin"/>
      </w:r>
      <w:r w:rsidRPr="00A9330B">
        <w:rPr>
          <w:b/>
          <w:sz w:val="20"/>
          <w:szCs w:val="20"/>
        </w:rPr>
        <w:instrText xml:space="preserve"> SEQ Tableau \* ARABIC </w:instrText>
      </w:r>
      <w:r w:rsidRPr="00A9330B">
        <w:rPr>
          <w:b/>
          <w:sz w:val="20"/>
          <w:szCs w:val="20"/>
        </w:rPr>
        <w:fldChar w:fldCharType="separate"/>
      </w:r>
      <w:r w:rsidR="00340594" w:rsidRPr="00A9330B">
        <w:rPr>
          <w:b/>
          <w:noProof/>
          <w:sz w:val="20"/>
          <w:szCs w:val="20"/>
        </w:rPr>
        <w:t>67</w:t>
      </w:r>
      <w:r w:rsidRPr="00A9330B">
        <w:rPr>
          <w:b/>
          <w:sz w:val="20"/>
          <w:szCs w:val="20"/>
        </w:rPr>
        <w:fldChar w:fldCharType="end"/>
      </w:r>
      <w:r w:rsidRPr="00A9330B">
        <w:rPr>
          <w:b/>
          <w:sz w:val="20"/>
          <w:szCs w:val="20"/>
        </w:rPr>
        <w:t xml:space="preserve"> </w:t>
      </w:r>
      <w:r w:rsidRPr="00A9330B">
        <w:rPr>
          <w:b/>
          <w:color w:val="000000"/>
          <w:sz w:val="20"/>
          <w:szCs w:val="20"/>
        </w:rPr>
        <w:t>:</w:t>
      </w:r>
      <w:r w:rsidR="00350C9E" w:rsidRPr="00A9330B">
        <w:rPr>
          <w:rFonts w:eastAsia="Times New Roman" w:cs="Arial"/>
          <w:b/>
          <w:color w:val="000000"/>
          <w:sz w:val="20"/>
          <w:szCs w:val="20"/>
        </w:rPr>
        <w:t xml:space="preserve"> Présentation des biens affectés</w:t>
      </w:r>
      <w:bookmarkEnd w:id="2040"/>
      <w:bookmarkEnd w:id="2050"/>
    </w:p>
    <w:tbl>
      <w:tblPr>
        <w:tblStyle w:val="Grilledutableau"/>
        <w:tblW w:w="0" w:type="auto"/>
        <w:jc w:val="center"/>
        <w:tblLook w:val="04A0" w:firstRow="1" w:lastRow="0" w:firstColumn="1" w:lastColumn="0" w:noHBand="0" w:noVBand="1"/>
      </w:tblPr>
      <w:tblGrid>
        <w:gridCol w:w="2140"/>
        <w:gridCol w:w="1541"/>
        <w:gridCol w:w="1276"/>
        <w:gridCol w:w="2690"/>
      </w:tblGrid>
      <w:tr w:rsidR="00741C01" w:rsidRPr="00A9330B" w14:paraId="7553E394" w14:textId="77777777" w:rsidTr="00741C01">
        <w:trPr>
          <w:trHeight w:val="300"/>
          <w:jc w:val="center"/>
        </w:trPr>
        <w:tc>
          <w:tcPr>
            <w:tcW w:w="2140" w:type="dxa"/>
            <w:shd w:val="clear" w:color="auto" w:fill="00B0F0"/>
            <w:noWrap/>
            <w:hideMark/>
          </w:tcPr>
          <w:p w14:paraId="502DE019" w14:textId="77777777" w:rsidR="00741C01" w:rsidRPr="00A9330B" w:rsidRDefault="00741C01" w:rsidP="00741C01">
            <w:pPr>
              <w:spacing w:line="240" w:lineRule="auto"/>
              <w:rPr>
                <w:rFonts w:cs="Arial"/>
                <w:b/>
                <w:sz w:val="20"/>
                <w:szCs w:val="20"/>
              </w:rPr>
            </w:pPr>
            <w:r w:rsidRPr="00A9330B">
              <w:rPr>
                <w:rFonts w:cs="Arial"/>
                <w:b/>
                <w:sz w:val="20"/>
                <w:szCs w:val="20"/>
              </w:rPr>
              <w:t>Types de biens</w:t>
            </w:r>
          </w:p>
        </w:tc>
        <w:tc>
          <w:tcPr>
            <w:tcW w:w="1541" w:type="dxa"/>
            <w:shd w:val="clear" w:color="auto" w:fill="00B0F0"/>
            <w:noWrap/>
            <w:hideMark/>
          </w:tcPr>
          <w:p w14:paraId="0AFB115A" w14:textId="77777777" w:rsidR="00741C01" w:rsidRPr="00A9330B" w:rsidRDefault="00741C01" w:rsidP="00741C01">
            <w:pPr>
              <w:spacing w:line="240" w:lineRule="auto"/>
              <w:rPr>
                <w:rFonts w:cs="Arial"/>
                <w:b/>
                <w:sz w:val="20"/>
                <w:szCs w:val="20"/>
              </w:rPr>
            </w:pPr>
            <w:r w:rsidRPr="00A9330B">
              <w:rPr>
                <w:rFonts w:cs="Arial"/>
                <w:b/>
                <w:sz w:val="20"/>
                <w:szCs w:val="20"/>
              </w:rPr>
              <w:t>Biens affectés</w:t>
            </w:r>
          </w:p>
        </w:tc>
        <w:tc>
          <w:tcPr>
            <w:tcW w:w="1276" w:type="dxa"/>
            <w:shd w:val="clear" w:color="auto" w:fill="00B0F0"/>
            <w:noWrap/>
            <w:hideMark/>
          </w:tcPr>
          <w:p w14:paraId="5CD568B5" w14:textId="77777777" w:rsidR="00741C01" w:rsidRPr="00A9330B" w:rsidRDefault="00741C01" w:rsidP="00741C01">
            <w:pPr>
              <w:spacing w:line="240" w:lineRule="auto"/>
              <w:rPr>
                <w:rFonts w:cs="Arial"/>
                <w:b/>
                <w:sz w:val="20"/>
                <w:szCs w:val="20"/>
              </w:rPr>
            </w:pPr>
            <w:r w:rsidRPr="00A9330B">
              <w:rPr>
                <w:rFonts w:cs="Arial"/>
                <w:b/>
                <w:sz w:val="20"/>
                <w:szCs w:val="20"/>
              </w:rPr>
              <w:t>Quantité</w:t>
            </w:r>
          </w:p>
        </w:tc>
        <w:tc>
          <w:tcPr>
            <w:tcW w:w="2690" w:type="dxa"/>
            <w:shd w:val="clear" w:color="auto" w:fill="00B0F0"/>
            <w:noWrap/>
            <w:hideMark/>
          </w:tcPr>
          <w:p w14:paraId="021EDEBE" w14:textId="77777777" w:rsidR="00741C01" w:rsidRPr="00A9330B" w:rsidRDefault="00741C01" w:rsidP="00741C01">
            <w:pPr>
              <w:spacing w:line="240" w:lineRule="auto"/>
              <w:rPr>
                <w:rFonts w:cs="Arial"/>
                <w:b/>
                <w:sz w:val="20"/>
                <w:szCs w:val="20"/>
              </w:rPr>
            </w:pPr>
            <w:r w:rsidRPr="00A9330B">
              <w:rPr>
                <w:rFonts w:cs="Arial"/>
                <w:b/>
                <w:sz w:val="20"/>
                <w:szCs w:val="20"/>
              </w:rPr>
              <w:t>Superficie m²  ou longueur en m</w:t>
            </w:r>
          </w:p>
        </w:tc>
      </w:tr>
      <w:tr w:rsidR="00741C01" w:rsidRPr="00A9330B" w14:paraId="106FEAA1" w14:textId="77777777" w:rsidTr="00741C01">
        <w:trPr>
          <w:trHeight w:val="300"/>
          <w:jc w:val="center"/>
        </w:trPr>
        <w:tc>
          <w:tcPr>
            <w:tcW w:w="2140" w:type="dxa"/>
            <w:vMerge w:val="restart"/>
            <w:noWrap/>
            <w:hideMark/>
          </w:tcPr>
          <w:p w14:paraId="2E4EACB0" w14:textId="77777777" w:rsidR="00741C01" w:rsidRPr="00A9330B" w:rsidRDefault="00741C01" w:rsidP="00741C01">
            <w:pPr>
              <w:spacing w:line="240" w:lineRule="auto"/>
              <w:rPr>
                <w:rFonts w:cs="Arial"/>
                <w:sz w:val="20"/>
                <w:szCs w:val="20"/>
              </w:rPr>
            </w:pPr>
            <w:r w:rsidRPr="00A9330B">
              <w:rPr>
                <w:rFonts w:cs="Arial"/>
                <w:sz w:val="20"/>
                <w:szCs w:val="20"/>
              </w:rPr>
              <w:t>Biens à usage domestique</w:t>
            </w:r>
          </w:p>
        </w:tc>
        <w:tc>
          <w:tcPr>
            <w:tcW w:w="1541" w:type="dxa"/>
            <w:noWrap/>
            <w:hideMark/>
          </w:tcPr>
          <w:p w14:paraId="1B43B987" w14:textId="77777777" w:rsidR="00741C01" w:rsidRPr="00A9330B" w:rsidRDefault="00741C01" w:rsidP="00741C01">
            <w:pPr>
              <w:spacing w:line="240" w:lineRule="auto"/>
              <w:jc w:val="left"/>
              <w:rPr>
                <w:rFonts w:cs="Arial"/>
                <w:sz w:val="20"/>
                <w:szCs w:val="20"/>
              </w:rPr>
            </w:pPr>
            <w:r w:rsidRPr="00A9330B">
              <w:rPr>
                <w:rFonts w:cs="Arial"/>
                <w:sz w:val="20"/>
                <w:szCs w:val="20"/>
              </w:rPr>
              <w:t>Clôture</w:t>
            </w:r>
          </w:p>
        </w:tc>
        <w:tc>
          <w:tcPr>
            <w:tcW w:w="1276" w:type="dxa"/>
            <w:noWrap/>
            <w:hideMark/>
          </w:tcPr>
          <w:p w14:paraId="10311E80" w14:textId="77777777" w:rsidR="00741C01" w:rsidRPr="00A9330B" w:rsidRDefault="00741C01" w:rsidP="00741C01">
            <w:pPr>
              <w:spacing w:line="240" w:lineRule="auto"/>
              <w:rPr>
                <w:rFonts w:cs="Arial"/>
                <w:sz w:val="20"/>
                <w:szCs w:val="20"/>
              </w:rPr>
            </w:pPr>
            <w:r w:rsidRPr="00A9330B">
              <w:rPr>
                <w:rFonts w:cs="Arial"/>
                <w:sz w:val="20"/>
                <w:szCs w:val="20"/>
              </w:rPr>
              <w:t>46</w:t>
            </w:r>
          </w:p>
        </w:tc>
        <w:tc>
          <w:tcPr>
            <w:tcW w:w="2690" w:type="dxa"/>
            <w:noWrap/>
            <w:hideMark/>
          </w:tcPr>
          <w:p w14:paraId="476BDFA7" w14:textId="77777777" w:rsidR="00741C01" w:rsidRPr="00A9330B" w:rsidRDefault="00741C01" w:rsidP="00741C01">
            <w:pPr>
              <w:spacing w:line="240" w:lineRule="auto"/>
              <w:rPr>
                <w:rFonts w:cs="Arial"/>
                <w:sz w:val="20"/>
                <w:szCs w:val="20"/>
              </w:rPr>
            </w:pPr>
            <w:r w:rsidRPr="00A9330B">
              <w:rPr>
                <w:rFonts w:cs="Arial"/>
                <w:sz w:val="20"/>
                <w:szCs w:val="20"/>
              </w:rPr>
              <w:t>2117,48</w:t>
            </w:r>
          </w:p>
        </w:tc>
      </w:tr>
      <w:tr w:rsidR="00741C01" w:rsidRPr="00A9330B" w14:paraId="4253E078" w14:textId="77777777" w:rsidTr="00741C01">
        <w:trPr>
          <w:trHeight w:val="300"/>
          <w:jc w:val="center"/>
        </w:trPr>
        <w:tc>
          <w:tcPr>
            <w:tcW w:w="2140" w:type="dxa"/>
            <w:vMerge/>
            <w:hideMark/>
          </w:tcPr>
          <w:p w14:paraId="3088D79D" w14:textId="77777777" w:rsidR="00741C01" w:rsidRPr="00A9330B" w:rsidRDefault="00741C01" w:rsidP="00741C01">
            <w:pPr>
              <w:spacing w:line="240" w:lineRule="auto"/>
              <w:rPr>
                <w:rFonts w:cs="Arial"/>
                <w:sz w:val="20"/>
                <w:szCs w:val="20"/>
              </w:rPr>
            </w:pPr>
          </w:p>
        </w:tc>
        <w:tc>
          <w:tcPr>
            <w:tcW w:w="1541" w:type="dxa"/>
            <w:noWrap/>
            <w:hideMark/>
          </w:tcPr>
          <w:p w14:paraId="0CC47390" w14:textId="77777777" w:rsidR="00741C01" w:rsidRPr="00A9330B" w:rsidRDefault="00741C01" w:rsidP="00741C01">
            <w:pPr>
              <w:spacing w:line="240" w:lineRule="auto"/>
              <w:jc w:val="left"/>
              <w:rPr>
                <w:rFonts w:cs="Arial"/>
                <w:sz w:val="20"/>
                <w:szCs w:val="20"/>
              </w:rPr>
            </w:pPr>
            <w:r w:rsidRPr="00A9330B">
              <w:rPr>
                <w:rFonts w:cs="Arial"/>
                <w:sz w:val="20"/>
                <w:szCs w:val="20"/>
              </w:rPr>
              <w:t>Cuisine</w:t>
            </w:r>
          </w:p>
        </w:tc>
        <w:tc>
          <w:tcPr>
            <w:tcW w:w="1276" w:type="dxa"/>
            <w:noWrap/>
            <w:hideMark/>
          </w:tcPr>
          <w:p w14:paraId="67920066" w14:textId="77777777" w:rsidR="00741C01" w:rsidRPr="00A9330B" w:rsidRDefault="00741C01" w:rsidP="00741C01">
            <w:pPr>
              <w:spacing w:line="240" w:lineRule="auto"/>
              <w:rPr>
                <w:rFonts w:cs="Arial"/>
                <w:sz w:val="20"/>
                <w:szCs w:val="20"/>
              </w:rPr>
            </w:pPr>
            <w:r w:rsidRPr="00A9330B">
              <w:rPr>
                <w:rFonts w:cs="Arial"/>
                <w:sz w:val="20"/>
                <w:szCs w:val="20"/>
              </w:rPr>
              <w:t>21</w:t>
            </w:r>
          </w:p>
        </w:tc>
        <w:tc>
          <w:tcPr>
            <w:tcW w:w="2690" w:type="dxa"/>
            <w:noWrap/>
            <w:hideMark/>
          </w:tcPr>
          <w:p w14:paraId="672645E2" w14:textId="77777777" w:rsidR="00741C01" w:rsidRPr="00A9330B" w:rsidRDefault="00741C01" w:rsidP="00741C01">
            <w:pPr>
              <w:spacing w:line="240" w:lineRule="auto"/>
              <w:rPr>
                <w:rFonts w:cs="Arial"/>
                <w:sz w:val="20"/>
                <w:szCs w:val="20"/>
              </w:rPr>
            </w:pPr>
            <w:r w:rsidRPr="00A9330B">
              <w:rPr>
                <w:rFonts w:cs="Arial"/>
                <w:sz w:val="20"/>
                <w:szCs w:val="20"/>
              </w:rPr>
              <w:t>327</w:t>
            </w:r>
          </w:p>
        </w:tc>
      </w:tr>
      <w:tr w:rsidR="00741C01" w:rsidRPr="00A9330B" w14:paraId="5EBA08BD" w14:textId="77777777" w:rsidTr="00741C01">
        <w:trPr>
          <w:trHeight w:val="300"/>
          <w:jc w:val="center"/>
        </w:trPr>
        <w:tc>
          <w:tcPr>
            <w:tcW w:w="2140" w:type="dxa"/>
            <w:vMerge/>
            <w:hideMark/>
          </w:tcPr>
          <w:p w14:paraId="26D72E9E" w14:textId="77777777" w:rsidR="00741C01" w:rsidRPr="00A9330B" w:rsidRDefault="00741C01" w:rsidP="00741C01">
            <w:pPr>
              <w:spacing w:line="240" w:lineRule="auto"/>
              <w:rPr>
                <w:rFonts w:cs="Arial"/>
                <w:sz w:val="20"/>
                <w:szCs w:val="20"/>
              </w:rPr>
            </w:pPr>
          </w:p>
        </w:tc>
        <w:tc>
          <w:tcPr>
            <w:tcW w:w="1541" w:type="dxa"/>
            <w:noWrap/>
            <w:hideMark/>
          </w:tcPr>
          <w:p w14:paraId="282420C4" w14:textId="77777777" w:rsidR="00741C01" w:rsidRPr="00A9330B" w:rsidRDefault="00741C01" w:rsidP="00741C01">
            <w:pPr>
              <w:spacing w:line="240" w:lineRule="auto"/>
              <w:jc w:val="left"/>
              <w:rPr>
                <w:rFonts w:cs="Arial"/>
                <w:sz w:val="20"/>
                <w:szCs w:val="20"/>
              </w:rPr>
            </w:pPr>
            <w:r w:rsidRPr="00A9330B">
              <w:rPr>
                <w:rFonts w:cs="Arial"/>
                <w:sz w:val="20"/>
                <w:szCs w:val="20"/>
              </w:rPr>
              <w:t>Fosse sceptique</w:t>
            </w:r>
          </w:p>
        </w:tc>
        <w:tc>
          <w:tcPr>
            <w:tcW w:w="1276" w:type="dxa"/>
            <w:noWrap/>
            <w:hideMark/>
          </w:tcPr>
          <w:p w14:paraId="0D09CFFB" w14:textId="77777777" w:rsidR="00741C01" w:rsidRPr="00A9330B" w:rsidRDefault="00741C01" w:rsidP="00741C01">
            <w:pPr>
              <w:spacing w:line="240" w:lineRule="auto"/>
              <w:rPr>
                <w:rFonts w:cs="Arial"/>
                <w:sz w:val="20"/>
                <w:szCs w:val="20"/>
              </w:rPr>
            </w:pPr>
            <w:r w:rsidRPr="00A9330B">
              <w:rPr>
                <w:rFonts w:cs="Arial"/>
                <w:sz w:val="20"/>
                <w:szCs w:val="20"/>
              </w:rPr>
              <w:t>50</w:t>
            </w:r>
          </w:p>
        </w:tc>
        <w:tc>
          <w:tcPr>
            <w:tcW w:w="2690" w:type="dxa"/>
            <w:noWrap/>
            <w:hideMark/>
          </w:tcPr>
          <w:p w14:paraId="4C7C7C51" w14:textId="77777777" w:rsidR="00741C01" w:rsidRPr="00A9330B" w:rsidRDefault="00741C01" w:rsidP="00741C01">
            <w:pPr>
              <w:spacing w:line="240" w:lineRule="auto"/>
              <w:rPr>
                <w:rFonts w:cs="Arial"/>
                <w:sz w:val="20"/>
                <w:szCs w:val="20"/>
              </w:rPr>
            </w:pPr>
            <w:r w:rsidRPr="00A9330B">
              <w:rPr>
                <w:rFonts w:cs="Arial"/>
                <w:sz w:val="20"/>
                <w:szCs w:val="20"/>
              </w:rPr>
              <w:t>884,76</w:t>
            </w:r>
          </w:p>
        </w:tc>
      </w:tr>
      <w:tr w:rsidR="00741C01" w:rsidRPr="00A9330B" w14:paraId="43D0A49D" w14:textId="77777777" w:rsidTr="00741C01">
        <w:trPr>
          <w:trHeight w:val="300"/>
          <w:jc w:val="center"/>
        </w:trPr>
        <w:tc>
          <w:tcPr>
            <w:tcW w:w="2140" w:type="dxa"/>
            <w:vMerge/>
            <w:hideMark/>
          </w:tcPr>
          <w:p w14:paraId="21EE2848" w14:textId="77777777" w:rsidR="00741C01" w:rsidRPr="00A9330B" w:rsidRDefault="00741C01" w:rsidP="00741C01">
            <w:pPr>
              <w:spacing w:line="240" w:lineRule="auto"/>
              <w:rPr>
                <w:rFonts w:cs="Arial"/>
                <w:sz w:val="20"/>
                <w:szCs w:val="20"/>
              </w:rPr>
            </w:pPr>
          </w:p>
        </w:tc>
        <w:tc>
          <w:tcPr>
            <w:tcW w:w="1541" w:type="dxa"/>
            <w:noWrap/>
            <w:hideMark/>
          </w:tcPr>
          <w:p w14:paraId="488C2208" w14:textId="77777777" w:rsidR="00741C01" w:rsidRPr="00A9330B" w:rsidRDefault="00741C01" w:rsidP="00741C01">
            <w:pPr>
              <w:spacing w:line="240" w:lineRule="auto"/>
              <w:jc w:val="left"/>
              <w:rPr>
                <w:rFonts w:cs="Arial"/>
                <w:sz w:val="20"/>
                <w:szCs w:val="20"/>
              </w:rPr>
            </w:pPr>
            <w:r w:rsidRPr="00A9330B">
              <w:rPr>
                <w:rFonts w:cs="Arial"/>
                <w:sz w:val="20"/>
                <w:szCs w:val="20"/>
              </w:rPr>
              <w:t>Hangar</w:t>
            </w:r>
          </w:p>
        </w:tc>
        <w:tc>
          <w:tcPr>
            <w:tcW w:w="1276" w:type="dxa"/>
            <w:noWrap/>
            <w:hideMark/>
          </w:tcPr>
          <w:p w14:paraId="43025882" w14:textId="77777777" w:rsidR="00741C01" w:rsidRPr="00A9330B" w:rsidRDefault="00741C01" w:rsidP="00741C01">
            <w:pPr>
              <w:spacing w:line="240" w:lineRule="auto"/>
              <w:rPr>
                <w:rFonts w:cs="Arial"/>
                <w:sz w:val="20"/>
                <w:szCs w:val="20"/>
              </w:rPr>
            </w:pPr>
            <w:r w:rsidRPr="00A9330B">
              <w:rPr>
                <w:rFonts w:cs="Arial"/>
                <w:sz w:val="20"/>
                <w:szCs w:val="20"/>
              </w:rPr>
              <w:t>3</w:t>
            </w:r>
          </w:p>
        </w:tc>
        <w:tc>
          <w:tcPr>
            <w:tcW w:w="2690" w:type="dxa"/>
            <w:noWrap/>
            <w:hideMark/>
          </w:tcPr>
          <w:p w14:paraId="4C0A57A1" w14:textId="77777777" w:rsidR="00741C01" w:rsidRPr="00A9330B" w:rsidRDefault="00741C01" w:rsidP="00741C01">
            <w:pPr>
              <w:spacing w:line="240" w:lineRule="auto"/>
              <w:rPr>
                <w:rFonts w:cs="Arial"/>
                <w:sz w:val="20"/>
                <w:szCs w:val="20"/>
              </w:rPr>
            </w:pPr>
            <w:r w:rsidRPr="00A9330B">
              <w:rPr>
                <w:rFonts w:cs="Arial"/>
                <w:sz w:val="20"/>
                <w:szCs w:val="20"/>
              </w:rPr>
              <w:t>91,96</w:t>
            </w:r>
          </w:p>
        </w:tc>
      </w:tr>
      <w:tr w:rsidR="00741C01" w:rsidRPr="00A9330B" w14:paraId="57B54026" w14:textId="77777777" w:rsidTr="00741C01">
        <w:trPr>
          <w:trHeight w:val="300"/>
          <w:jc w:val="center"/>
        </w:trPr>
        <w:tc>
          <w:tcPr>
            <w:tcW w:w="2140" w:type="dxa"/>
            <w:vMerge/>
            <w:hideMark/>
          </w:tcPr>
          <w:p w14:paraId="3647EECE" w14:textId="77777777" w:rsidR="00741C01" w:rsidRPr="00A9330B" w:rsidRDefault="00741C01" w:rsidP="00741C01">
            <w:pPr>
              <w:spacing w:line="240" w:lineRule="auto"/>
              <w:rPr>
                <w:rFonts w:cs="Arial"/>
                <w:sz w:val="20"/>
                <w:szCs w:val="20"/>
              </w:rPr>
            </w:pPr>
          </w:p>
        </w:tc>
        <w:tc>
          <w:tcPr>
            <w:tcW w:w="1541" w:type="dxa"/>
            <w:noWrap/>
            <w:hideMark/>
          </w:tcPr>
          <w:p w14:paraId="00A13187" w14:textId="77777777" w:rsidR="00741C01" w:rsidRPr="00A9330B" w:rsidRDefault="00741C01" w:rsidP="00741C01">
            <w:pPr>
              <w:spacing w:line="240" w:lineRule="auto"/>
              <w:jc w:val="left"/>
              <w:rPr>
                <w:rFonts w:cs="Arial"/>
                <w:sz w:val="20"/>
                <w:szCs w:val="20"/>
              </w:rPr>
            </w:pPr>
            <w:r w:rsidRPr="00A9330B">
              <w:rPr>
                <w:rFonts w:cs="Arial"/>
                <w:sz w:val="20"/>
                <w:szCs w:val="20"/>
              </w:rPr>
              <w:t>Local d'élevage</w:t>
            </w:r>
          </w:p>
        </w:tc>
        <w:tc>
          <w:tcPr>
            <w:tcW w:w="1276" w:type="dxa"/>
            <w:noWrap/>
            <w:hideMark/>
          </w:tcPr>
          <w:p w14:paraId="42F5AF9B" w14:textId="77777777" w:rsidR="00741C01" w:rsidRPr="00A9330B" w:rsidRDefault="00741C01" w:rsidP="00741C01">
            <w:pPr>
              <w:spacing w:line="240" w:lineRule="auto"/>
              <w:rPr>
                <w:rFonts w:cs="Arial"/>
                <w:sz w:val="20"/>
                <w:szCs w:val="20"/>
              </w:rPr>
            </w:pPr>
            <w:r w:rsidRPr="00A9330B">
              <w:rPr>
                <w:rFonts w:cs="Arial"/>
                <w:sz w:val="20"/>
                <w:szCs w:val="20"/>
              </w:rPr>
              <w:t>12</w:t>
            </w:r>
          </w:p>
        </w:tc>
        <w:tc>
          <w:tcPr>
            <w:tcW w:w="2690" w:type="dxa"/>
            <w:noWrap/>
            <w:hideMark/>
          </w:tcPr>
          <w:p w14:paraId="665EA38D" w14:textId="77777777" w:rsidR="00741C01" w:rsidRPr="00A9330B" w:rsidRDefault="00741C01" w:rsidP="00741C01">
            <w:pPr>
              <w:spacing w:line="240" w:lineRule="auto"/>
              <w:rPr>
                <w:rFonts w:cs="Arial"/>
                <w:sz w:val="20"/>
                <w:szCs w:val="20"/>
              </w:rPr>
            </w:pPr>
            <w:r w:rsidRPr="00A9330B">
              <w:rPr>
                <w:rFonts w:cs="Arial"/>
                <w:sz w:val="20"/>
                <w:szCs w:val="20"/>
              </w:rPr>
              <w:t>545</w:t>
            </w:r>
          </w:p>
        </w:tc>
      </w:tr>
      <w:tr w:rsidR="00741C01" w:rsidRPr="00A9330B" w14:paraId="62D8303A" w14:textId="77777777" w:rsidTr="00741C01">
        <w:trPr>
          <w:trHeight w:val="300"/>
          <w:jc w:val="center"/>
        </w:trPr>
        <w:tc>
          <w:tcPr>
            <w:tcW w:w="2140" w:type="dxa"/>
            <w:vMerge/>
            <w:hideMark/>
          </w:tcPr>
          <w:p w14:paraId="5F6AC92B" w14:textId="77777777" w:rsidR="00741C01" w:rsidRPr="00A9330B" w:rsidRDefault="00741C01" w:rsidP="00741C01">
            <w:pPr>
              <w:spacing w:line="240" w:lineRule="auto"/>
              <w:rPr>
                <w:rFonts w:cs="Arial"/>
                <w:sz w:val="20"/>
                <w:szCs w:val="20"/>
              </w:rPr>
            </w:pPr>
          </w:p>
        </w:tc>
        <w:tc>
          <w:tcPr>
            <w:tcW w:w="1541" w:type="dxa"/>
            <w:noWrap/>
            <w:hideMark/>
          </w:tcPr>
          <w:p w14:paraId="1EB46EE2" w14:textId="77777777" w:rsidR="00741C01" w:rsidRPr="00A9330B" w:rsidRDefault="00741C01" w:rsidP="00741C01">
            <w:pPr>
              <w:spacing w:line="240" w:lineRule="auto"/>
              <w:jc w:val="left"/>
              <w:rPr>
                <w:rFonts w:cs="Arial"/>
                <w:sz w:val="20"/>
                <w:szCs w:val="20"/>
              </w:rPr>
            </w:pPr>
            <w:r w:rsidRPr="00A9330B">
              <w:rPr>
                <w:rFonts w:cs="Arial"/>
                <w:sz w:val="20"/>
                <w:szCs w:val="20"/>
              </w:rPr>
              <w:t>Maison</w:t>
            </w:r>
          </w:p>
        </w:tc>
        <w:tc>
          <w:tcPr>
            <w:tcW w:w="1276" w:type="dxa"/>
            <w:noWrap/>
            <w:hideMark/>
          </w:tcPr>
          <w:p w14:paraId="0B0E9C09" w14:textId="77777777" w:rsidR="00741C01" w:rsidRPr="00A9330B" w:rsidRDefault="00741C01" w:rsidP="00741C01">
            <w:pPr>
              <w:spacing w:line="240" w:lineRule="auto"/>
              <w:rPr>
                <w:rFonts w:cs="Arial"/>
                <w:sz w:val="20"/>
                <w:szCs w:val="20"/>
              </w:rPr>
            </w:pPr>
            <w:r w:rsidRPr="00A9330B">
              <w:rPr>
                <w:rFonts w:cs="Arial"/>
                <w:sz w:val="20"/>
                <w:szCs w:val="20"/>
              </w:rPr>
              <w:t>212</w:t>
            </w:r>
          </w:p>
        </w:tc>
        <w:tc>
          <w:tcPr>
            <w:tcW w:w="2690" w:type="dxa"/>
            <w:noWrap/>
            <w:hideMark/>
          </w:tcPr>
          <w:p w14:paraId="4A84C722" w14:textId="77777777" w:rsidR="00741C01" w:rsidRPr="00A9330B" w:rsidRDefault="00741C01" w:rsidP="00741C01">
            <w:pPr>
              <w:spacing w:line="240" w:lineRule="auto"/>
              <w:rPr>
                <w:rFonts w:cs="Arial"/>
                <w:sz w:val="20"/>
                <w:szCs w:val="20"/>
              </w:rPr>
            </w:pPr>
            <w:r w:rsidRPr="00A9330B">
              <w:rPr>
                <w:rFonts w:cs="Arial"/>
                <w:sz w:val="20"/>
                <w:szCs w:val="20"/>
              </w:rPr>
              <w:t>7505,04</w:t>
            </w:r>
          </w:p>
        </w:tc>
      </w:tr>
      <w:tr w:rsidR="00741C01" w:rsidRPr="00A9330B" w14:paraId="47AF608E" w14:textId="77777777" w:rsidTr="00741C01">
        <w:trPr>
          <w:trHeight w:val="300"/>
          <w:jc w:val="center"/>
        </w:trPr>
        <w:tc>
          <w:tcPr>
            <w:tcW w:w="2140" w:type="dxa"/>
            <w:vMerge/>
            <w:hideMark/>
          </w:tcPr>
          <w:p w14:paraId="1ABF08D9" w14:textId="77777777" w:rsidR="00741C01" w:rsidRPr="00A9330B" w:rsidRDefault="00741C01" w:rsidP="00741C01">
            <w:pPr>
              <w:spacing w:line="240" w:lineRule="auto"/>
              <w:rPr>
                <w:rFonts w:cs="Arial"/>
                <w:sz w:val="20"/>
                <w:szCs w:val="20"/>
              </w:rPr>
            </w:pPr>
          </w:p>
        </w:tc>
        <w:tc>
          <w:tcPr>
            <w:tcW w:w="1541" w:type="dxa"/>
            <w:noWrap/>
            <w:hideMark/>
          </w:tcPr>
          <w:p w14:paraId="2DC33643" w14:textId="77777777" w:rsidR="00741C01" w:rsidRPr="00A9330B" w:rsidRDefault="00741C01" w:rsidP="00741C01">
            <w:pPr>
              <w:spacing w:line="240" w:lineRule="auto"/>
              <w:jc w:val="left"/>
              <w:rPr>
                <w:rFonts w:cs="Arial"/>
                <w:sz w:val="20"/>
                <w:szCs w:val="20"/>
              </w:rPr>
            </w:pPr>
            <w:r w:rsidRPr="00A9330B">
              <w:rPr>
                <w:rFonts w:cs="Arial"/>
                <w:sz w:val="20"/>
                <w:szCs w:val="20"/>
              </w:rPr>
              <w:t>Porcherie</w:t>
            </w:r>
          </w:p>
        </w:tc>
        <w:tc>
          <w:tcPr>
            <w:tcW w:w="1276" w:type="dxa"/>
            <w:noWrap/>
            <w:hideMark/>
          </w:tcPr>
          <w:p w14:paraId="3505827B" w14:textId="77777777" w:rsidR="00741C01" w:rsidRPr="00A9330B" w:rsidRDefault="00741C01" w:rsidP="00741C01">
            <w:pPr>
              <w:spacing w:line="240" w:lineRule="auto"/>
              <w:rPr>
                <w:rFonts w:cs="Arial"/>
                <w:sz w:val="20"/>
                <w:szCs w:val="20"/>
              </w:rPr>
            </w:pPr>
            <w:r w:rsidRPr="00A9330B">
              <w:rPr>
                <w:rFonts w:cs="Arial"/>
                <w:sz w:val="20"/>
                <w:szCs w:val="20"/>
              </w:rPr>
              <w:t>2</w:t>
            </w:r>
          </w:p>
        </w:tc>
        <w:tc>
          <w:tcPr>
            <w:tcW w:w="2690" w:type="dxa"/>
            <w:noWrap/>
            <w:hideMark/>
          </w:tcPr>
          <w:p w14:paraId="2F6B6FDE" w14:textId="77777777" w:rsidR="00741C01" w:rsidRPr="00A9330B" w:rsidRDefault="00741C01" w:rsidP="00741C01">
            <w:pPr>
              <w:spacing w:line="240" w:lineRule="auto"/>
              <w:rPr>
                <w:rFonts w:cs="Arial"/>
                <w:sz w:val="20"/>
                <w:szCs w:val="20"/>
              </w:rPr>
            </w:pPr>
            <w:r w:rsidRPr="00A9330B">
              <w:rPr>
                <w:rFonts w:cs="Arial"/>
                <w:sz w:val="20"/>
                <w:szCs w:val="20"/>
              </w:rPr>
              <w:t>15,89</w:t>
            </w:r>
          </w:p>
        </w:tc>
      </w:tr>
      <w:tr w:rsidR="00741C01" w:rsidRPr="00A9330B" w14:paraId="07CEC0E0" w14:textId="77777777" w:rsidTr="00741C01">
        <w:trPr>
          <w:trHeight w:val="300"/>
          <w:jc w:val="center"/>
        </w:trPr>
        <w:tc>
          <w:tcPr>
            <w:tcW w:w="2140" w:type="dxa"/>
            <w:vMerge/>
            <w:hideMark/>
          </w:tcPr>
          <w:p w14:paraId="2E17F750" w14:textId="77777777" w:rsidR="00741C01" w:rsidRPr="00A9330B" w:rsidRDefault="00741C01" w:rsidP="00741C01">
            <w:pPr>
              <w:spacing w:line="240" w:lineRule="auto"/>
              <w:rPr>
                <w:rFonts w:cs="Arial"/>
                <w:sz w:val="20"/>
                <w:szCs w:val="20"/>
              </w:rPr>
            </w:pPr>
          </w:p>
        </w:tc>
        <w:tc>
          <w:tcPr>
            <w:tcW w:w="1541" w:type="dxa"/>
            <w:noWrap/>
            <w:hideMark/>
          </w:tcPr>
          <w:p w14:paraId="687775BA" w14:textId="77777777" w:rsidR="00741C01" w:rsidRPr="00A9330B" w:rsidRDefault="00741C01" w:rsidP="00741C01">
            <w:pPr>
              <w:spacing w:line="240" w:lineRule="auto"/>
              <w:jc w:val="left"/>
              <w:rPr>
                <w:rFonts w:cs="Arial"/>
                <w:sz w:val="20"/>
                <w:szCs w:val="20"/>
              </w:rPr>
            </w:pPr>
            <w:r w:rsidRPr="00A9330B">
              <w:rPr>
                <w:rFonts w:cs="Arial"/>
                <w:sz w:val="20"/>
                <w:szCs w:val="20"/>
              </w:rPr>
              <w:t>Puisard</w:t>
            </w:r>
          </w:p>
        </w:tc>
        <w:tc>
          <w:tcPr>
            <w:tcW w:w="1276" w:type="dxa"/>
            <w:noWrap/>
            <w:hideMark/>
          </w:tcPr>
          <w:p w14:paraId="49EC4D37" w14:textId="77777777" w:rsidR="00741C01" w:rsidRPr="00A9330B" w:rsidRDefault="00741C01" w:rsidP="00741C01">
            <w:pPr>
              <w:spacing w:line="240" w:lineRule="auto"/>
              <w:rPr>
                <w:rFonts w:cs="Arial"/>
                <w:sz w:val="20"/>
                <w:szCs w:val="20"/>
              </w:rPr>
            </w:pPr>
            <w:r w:rsidRPr="00A9330B">
              <w:rPr>
                <w:rFonts w:cs="Arial"/>
                <w:sz w:val="20"/>
                <w:szCs w:val="20"/>
              </w:rPr>
              <w:t>1</w:t>
            </w:r>
          </w:p>
        </w:tc>
        <w:tc>
          <w:tcPr>
            <w:tcW w:w="2690" w:type="dxa"/>
            <w:noWrap/>
            <w:hideMark/>
          </w:tcPr>
          <w:p w14:paraId="095B1F5C" w14:textId="77777777" w:rsidR="00741C01" w:rsidRPr="00A9330B" w:rsidRDefault="00741C01" w:rsidP="00741C01">
            <w:pPr>
              <w:spacing w:line="240" w:lineRule="auto"/>
              <w:rPr>
                <w:rFonts w:cs="Arial"/>
                <w:sz w:val="20"/>
                <w:szCs w:val="20"/>
              </w:rPr>
            </w:pPr>
            <w:r w:rsidRPr="00A9330B">
              <w:rPr>
                <w:rFonts w:cs="Arial"/>
                <w:sz w:val="20"/>
                <w:szCs w:val="20"/>
              </w:rPr>
              <w:t>10,33</w:t>
            </w:r>
          </w:p>
        </w:tc>
      </w:tr>
      <w:tr w:rsidR="00741C01" w:rsidRPr="00A9330B" w14:paraId="6E35EAB7" w14:textId="77777777" w:rsidTr="00741C01">
        <w:trPr>
          <w:trHeight w:val="300"/>
          <w:jc w:val="center"/>
        </w:trPr>
        <w:tc>
          <w:tcPr>
            <w:tcW w:w="2140" w:type="dxa"/>
            <w:vMerge/>
            <w:hideMark/>
          </w:tcPr>
          <w:p w14:paraId="21CA0A8C" w14:textId="77777777" w:rsidR="00741C01" w:rsidRPr="00A9330B" w:rsidRDefault="00741C01" w:rsidP="00741C01">
            <w:pPr>
              <w:spacing w:line="240" w:lineRule="auto"/>
              <w:rPr>
                <w:rFonts w:cs="Arial"/>
                <w:sz w:val="20"/>
                <w:szCs w:val="20"/>
              </w:rPr>
            </w:pPr>
          </w:p>
        </w:tc>
        <w:tc>
          <w:tcPr>
            <w:tcW w:w="1541" w:type="dxa"/>
            <w:noWrap/>
            <w:hideMark/>
          </w:tcPr>
          <w:p w14:paraId="5F036709" w14:textId="77777777" w:rsidR="00741C01" w:rsidRPr="00A9330B" w:rsidRDefault="00741C01" w:rsidP="00741C01">
            <w:pPr>
              <w:spacing w:line="240" w:lineRule="auto"/>
              <w:jc w:val="left"/>
              <w:rPr>
                <w:rFonts w:cs="Arial"/>
                <w:sz w:val="20"/>
                <w:szCs w:val="20"/>
              </w:rPr>
            </w:pPr>
            <w:r w:rsidRPr="00A9330B">
              <w:rPr>
                <w:rFonts w:cs="Arial"/>
                <w:sz w:val="20"/>
                <w:szCs w:val="20"/>
              </w:rPr>
              <w:t>Puits</w:t>
            </w:r>
          </w:p>
        </w:tc>
        <w:tc>
          <w:tcPr>
            <w:tcW w:w="1276" w:type="dxa"/>
            <w:noWrap/>
            <w:hideMark/>
          </w:tcPr>
          <w:p w14:paraId="2094BDBB" w14:textId="77777777" w:rsidR="00741C01" w:rsidRPr="00A9330B" w:rsidRDefault="00741C01" w:rsidP="00741C01">
            <w:pPr>
              <w:spacing w:line="240" w:lineRule="auto"/>
              <w:rPr>
                <w:rFonts w:cs="Arial"/>
                <w:sz w:val="20"/>
                <w:szCs w:val="20"/>
              </w:rPr>
            </w:pPr>
            <w:r w:rsidRPr="00A9330B">
              <w:rPr>
                <w:rFonts w:cs="Arial"/>
                <w:sz w:val="20"/>
                <w:szCs w:val="20"/>
              </w:rPr>
              <w:t>19</w:t>
            </w:r>
          </w:p>
        </w:tc>
        <w:tc>
          <w:tcPr>
            <w:tcW w:w="2690" w:type="dxa"/>
            <w:noWrap/>
            <w:hideMark/>
          </w:tcPr>
          <w:p w14:paraId="053F7346" w14:textId="77777777" w:rsidR="00741C01" w:rsidRPr="00A9330B" w:rsidRDefault="00741C01" w:rsidP="00741C01">
            <w:pPr>
              <w:spacing w:line="240" w:lineRule="auto"/>
              <w:rPr>
                <w:rFonts w:cs="Arial"/>
                <w:sz w:val="20"/>
                <w:szCs w:val="20"/>
              </w:rPr>
            </w:pPr>
            <w:r w:rsidRPr="00A9330B">
              <w:rPr>
                <w:rFonts w:cs="Arial"/>
                <w:sz w:val="20"/>
                <w:szCs w:val="20"/>
              </w:rPr>
              <w:t>60,9</w:t>
            </w:r>
          </w:p>
        </w:tc>
      </w:tr>
      <w:tr w:rsidR="00741C01" w:rsidRPr="00A9330B" w14:paraId="2F5B77A9" w14:textId="77777777" w:rsidTr="00741C01">
        <w:trPr>
          <w:trHeight w:val="300"/>
          <w:jc w:val="center"/>
        </w:trPr>
        <w:tc>
          <w:tcPr>
            <w:tcW w:w="2140" w:type="dxa"/>
            <w:vMerge/>
            <w:hideMark/>
          </w:tcPr>
          <w:p w14:paraId="257A67B7" w14:textId="77777777" w:rsidR="00741C01" w:rsidRPr="00A9330B" w:rsidRDefault="00741C01" w:rsidP="00741C01">
            <w:pPr>
              <w:spacing w:line="240" w:lineRule="auto"/>
              <w:rPr>
                <w:rFonts w:cs="Arial"/>
                <w:sz w:val="20"/>
                <w:szCs w:val="20"/>
              </w:rPr>
            </w:pPr>
          </w:p>
        </w:tc>
        <w:tc>
          <w:tcPr>
            <w:tcW w:w="1541" w:type="dxa"/>
            <w:noWrap/>
            <w:hideMark/>
          </w:tcPr>
          <w:p w14:paraId="63E9AD6C" w14:textId="77777777" w:rsidR="00741C01" w:rsidRPr="00A9330B" w:rsidRDefault="00741C01" w:rsidP="00741C01">
            <w:pPr>
              <w:spacing w:line="240" w:lineRule="auto"/>
              <w:jc w:val="left"/>
              <w:rPr>
                <w:rFonts w:cs="Arial"/>
                <w:sz w:val="20"/>
                <w:szCs w:val="20"/>
              </w:rPr>
            </w:pPr>
            <w:r w:rsidRPr="00A9330B">
              <w:rPr>
                <w:rFonts w:cs="Arial"/>
                <w:sz w:val="20"/>
                <w:szCs w:val="20"/>
              </w:rPr>
              <w:t>Terrain</w:t>
            </w:r>
          </w:p>
        </w:tc>
        <w:tc>
          <w:tcPr>
            <w:tcW w:w="1276" w:type="dxa"/>
            <w:noWrap/>
            <w:hideMark/>
          </w:tcPr>
          <w:p w14:paraId="16AEEF30" w14:textId="77777777" w:rsidR="00741C01" w:rsidRPr="00A9330B" w:rsidRDefault="00741C01" w:rsidP="00741C01">
            <w:pPr>
              <w:spacing w:line="240" w:lineRule="auto"/>
              <w:rPr>
                <w:rFonts w:cs="Arial"/>
                <w:sz w:val="20"/>
                <w:szCs w:val="20"/>
              </w:rPr>
            </w:pPr>
            <w:r w:rsidRPr="00A9330B">
              <w:rPr>
                <w:rFonts w:cs="Arial"/>
                <w:sz w:val="20"/>
                <w:szCs w:val="20"/>
              </w:rPr>
              <w:t>56</w:t>
            </w:r>
          </w:p>
        </w:tc>
        <w:tc>
          <w:tcPr>
            <w:tcW w:w="2690" w:type="dxa"/>
            <w:noWrap/>
            <w:hideMark/>
          </w:tcPr>
          <w:p w14:paraId="501ACDF1" w14:textId="77777777" w:rsidR="00741C01" w:rsidRPr="00A9330B" w:rsidRDefault="00741C01" w:rsidP="00741C01">
            <w:pPr>
              <w:spacing w:line="240" w:lineRule="auto"/>
              <w:rPr>
                <w:rFonts w:cs="Arial"/>
                <w:sz w:val="20"/>
                <w:szCs w:val="20"/>
              </w:rPr>
            </w:pPr>
            <w:r w:rsidRPr="00A9330B">
              <w:rPr>
                <w:rFonts w:cs="Arial"/>
                <w:sz w:val="20"/>
                <w:szCs w:val="20"/>
              </w:rPr>
              <w:t>12952,75</w:t>
            </w:r>
          </w:p>
        </w:tc>
      </w:tr>
      <w:tr w:rsidR="00741C01" w:rsidRPr="00A9330B" w14:paraId="1243CB83" w14:textId="77777777" w:rsidTr="00741C01">
        <w:trPr>
          <w:trHeight w:val="300"/>
          <w:jc w:val="center"/>
        </w:trPr>
        <w:tc>
          <w:tcPr>
            <w:tcW w:w="2140" w:type="dxa"/>
            <w:vMerge/>
            <w:hideMark/>
          </w:tcPr>
          <w:p w14:paraId="630A5174" w14:textId="77777777" w:rsidR="00741C01" w:rsidRPr="00A9330B" w:rsidRDefault="00741C01" w:rsidP="00741C01">
            <w:pPr>
              <w:spacing w:line="240" w:lineRule="auto"/>
              <w:rPr>
                <w:rFonts w:cs="Arial"/>
                <w:sz w:val="20"/>
                <w:szCs w:val="20"/>
              </w:rPr>
            </w:pPr>
          </w:p>
        </w:tc>
        <w:tc>
          <w:tcPr>
            <w:tcW w:w="1541" w:type="dxa"/>
            <w:noWrap/>
            <w:hideMark/>
          </w:tcPr>
          <w:p w14:paraId="1DE3BEC9" w14:textId="77777777" w:rsidR="00741C01" w:rsidRPr="00A9330B" w:rsidRDefault="00741C01" w:rsidP="00741C01">
            <w:pPr>
              <w:spacing w:line="240" w:lineRule="auto"/>
              <w:jc w:val="left"/>
              <w:rPr>
                <w:rFonts w:cs="Arial"/>
                <w:sz w:val="20"/>
                <w:szCs w:val="20"/>
              </w:rPr>
            </w:pPr>
            <w:r w:rsidRPr="00A9330B">
              <w:rPr>
                <w:rFonts w:cs="Arial"/>
                <w:sz w:val="20"/>
                <w:szCs w:val="20"/>
              </w:rPr>
              <w:t>Terrasse</w:t>
            </w:r>
          </w:p>
        </w:tc>
        <w:tc>
          <w:tcPr>
            <w:tcW w:w="1276" w:type="dxa"/>
            <w:noWrap/>
            <w:hideMark/>
          </w:tcPr>
          <w:p w14:paraId="451AF139" w14:textId="77777777" w:rsidR="00741C01" w:rsidRPr="00A9330B" w:rsidRDefault="00741C01" w:rsidP="00741C01">
            <w:pPr>
              <w:spacing w:line="240" w:lineRule="auto"/>
              <w:rPr>
                <w:rFonts w:cs="Arial"/>
                <w:sz w:val="20"/>
                <w:szCs w:val="20"/>
              </w:rPr>
            </w:pPr>
            <w:r w:rsidRPr="00A9330B">
              <w:rPr>
                <w:rFonts w:cs="Arial"/>
                <w:sz w:val="20"/>
                <w:szCs w:val="20"/>
              </w:rPr>
              <w:t>5</w:t>
            </w:r>
          </w:p>
        </w:tc>
        <w:tc>
          <w:tcPr>
            <w:tcW w:w="2690" w:type="dxa"/>
            <w:noWrap/>
            <w:hideMark/>
          </w:tcPr>
          <w:p w14:paraId="35A4E722" w14:textId="77777777" w:rsidR="00741C01" w:rsidRPr="00A9330B" w:rsidRDefault="00741C01" w:rsidP="00741C01">
            <w:pPr>
              <w:spacing w:line="240" w:lineRule="auto"/>
              <w:rPr>
                <w:rFonts w:cs="Arial"/>
                <w:sz w:val="20"/>
                <w:szCs w:val="20"/>
              </w:rPr>
            </w:pPr>
            <w:r w:rsidRPr="00A9330B">
              <w:rPr>
                <w:rFonts w:cs="Arial"/>
                <w:sz w:val="20"/>
                <w:szCs w:val="20"/>
              </w:rPr>
              <w:t>77,5</w:t>
            </w:r>
          </w:p>
        </w:tc>
      </w:tr>
      <w:tr w:rsidR="00741C01" w:rsidRPr="00A9330B" w14:paraId="26A80973" w14:textId="77777777" w:rsidTr="00741C01">
        <w:trPr>
          <w:trHeight w:val="300"/>
          <w:jc w:val="center"/>
        </w:trPr>
        <w:tc>
          <w:tcPr>
            <w:tcW w:w="2140" w:type="dxa"/>
            <w:vMerge/>
            <w:hideMark/>
          </w:tcPr>
          <w:p w14:paraId="4DE310FE" w14:textId="77777777" w:rsidR="00741C01" w:rsidRPr="00A9330B" w:rsidRDefault="00741C01" w:rsidP="00741C01">
            <w:pPr>
              <w:spacing w:line="240" w:lineRule="auto"/>
              <w:rPr>
                <w:rFonts w:cs="Arial"/>
                <w:sz w:val="20"/>
                <w:szCs w:val="20"/>
              </w:rPr>
            </w:pPr>
          </w:p>
        </w:tc>
        <w:tc>
          <w:tcPr>
            <w:tcW w:w="1541" w:type="dxa"/>
            <w:noWrap/>
            <w:hideMark/>
          </w:tcPr>
          <w:p w14:paraId="1B0FC727" w14:textId="77777777" w:rsidR="00741C01" w:rsidRPr="00A9330B" w:rsidRDefault="00741C01" w:rsidP="00741C01">
            <w:pPr>
              <w:spacing w:line="240" w:lineRule="auto"/>
              <w:jc w:val="left"/>
              <w:rPr>
                <w:rFonts w:cs="Arial"/>
                <w:sz w:val="20"/>
                <w:szCs w:val="20"/>
              </w:rPr>
            </w:pPr>
            <w:r w:rsidRPr="00A9330B">
              <w:rPr>
                <w:rFonts w:cs="Arial"/>
                <w:sz w:val="20"/>
                <w:szCs w:val="20"/>
              </w:rPr>
              <w:t>Toilette</w:t>
            </w:r>
          </w:p>
        </w:tc>
        <w:tc>
          <w:tcPr>
            <w:tcW w:w="1276" w:type="dxa"/>
            <w:noWrap/>
            <w:hideMark/>
          </w:tcPr>
          <w:p w14:paraId="4757E5B4" w14:textId="77777777" w:rsidR="00741C01" w:rsidRPr="00A9330B" w:rsidRDefault="00741C01" w:rsidP="00741C01">
            <w:pPr>
              <w:spacing w:line="240" w:lineRule="auto"/>
              <w:rPr>
                <w:rFonts w:cs="Arial"/>
                <w:sz w:val="20"/>
                <w:szCs w:val="20"/>
              </w:rPr>
            </w:pPr>
            <w:r w:rsidRPr="00A9330B">
              <w:rPr>
                <w:rFonts w:cs="Arial"/>
                <w:sz w:val="20"/>
                <w:szCs w:val="20"/>
              </w:rPr>
              <w:t>76</w:t>
            </w:r>
          </w:p>
        </w:tc>
        <w:tc>
          <w:tcPr>
            <w:tcW w:w="2690" w:type="dxa"/>
            <w:noWrap/>
            <w:hideMark/>
          </w:tcPr>
          <w:p w14:paraId="12140F9F" w14:textId="77777777" w:rsidR="00741C01" w:rsidRPr="00A9330B" w:rsidRDefault="00741C01" w:rsidP="00741C01">
            <w:pPr>
              <w:spacing w:line="240" w:lineRule="auto"/>
              <w:rPr>
                <w:rFonts w:cs="Arial"/>
                <w:sz w:val="20"/>
                <w:szCs w:val="20"/>
              </w:rPr>
            </w:pPr>
            <w:r w:rsidRPr="00A9330B">
              <w:rPr>
                <w:rFonts w:cs="Arial"/>
                <w:sz w:val="20"/>
                <w:szCs w:val="20"/>
              </w:rPr>
              <w:t>865,82</w:t>
            </w:r>
          </w:p>
        </w:tc>
      </w:tr>
      <w:tr w:rsidR="00741C01" w:rsidRPr="00A9330B" w14:paraId="7E30797B" w14:textId="77777777" w:rsidTr="00741C01">
        <w:trPr>
          <w:trHeight w:val="300"/>
          <w:jc w:val="center"/>
        </w:trPr>
        <w:tc>
          <w:tcPr>
            <w:tcW w:w="2140" w:type="dxa"/>
            <w:vMerge w:val="restart"/>
            <w:noWrap/>
            <w:hideMark/>
          </w:tcPr>
          <w:p w14:paraId="177F4D95" w14:textId="77777777" w:rsidR="00741C01" w:rsidRPr="00A9330B" w:rsidRDefault="00741C01" w:rsidP="00741C01">
            <w:pPr>
              <w:spacing w:line="240" w:lineRule="auto"/>
              <w:rPr>
                <w:rFonts w:cs="Arial"/>
                <w:sz w:val="20"/>
                <w:szCs w:val="20"/>
              </w:rPr>
            </w:pPr>
            <w:r w:rsidRPr="00A9330B">
              <w:rPr>
                <w:rFonts w:cs="Arial"/>
                <w:sz w:val="20"/>
                <w:szCs w:val="20"/>
              </w:rPr>
              <w:t>Biens à usage commercial</w:t>
            </w:r>
          </w:p>
        </w:tc>
        <w:tc>
          <w:tcPr>
            <w:tcW w:w="1541" w:type="dxa"/>
            <w:noWrap/>
            <w:hideMark/>
          </w:tcPr>
          <w:p w14:paraId="09D00794" w14:textId="77777777" w:rsidR="00741C01" w:rsidRPr="00A9330B" w:rsidRDefault="00741C01" w:rsidP="00741C01">
            <w:pPr>
              <w:spacing w:line="240" w:lineRule="auto"/>
              <w:jc w:val="left"/>
              <w:rPr>
                <w:rFonts w:cs="Arial"/>
                <w:sz w:val="20"/>
                <w:szCs w:val="20"/>
              </w:rPr>
            </w:pPr>
            <w:r w:rsidRPr="00A9330B">
              <w:rPr>
                <w:rFonts w:cs="Arial"/>
                <w:sz w:val="20"/>
                <w:szCs w:val="20"/>
              </w:rPr>
              <w:t>Baraque en tôle bois</w:t>
            </w:r>
          </w:p>
        </w:tc>
        <w:tc>
          <w:tcPr>
            <w:tcW w:w="1276" w:type="dxa"/>
            <w:noWrap/>
            <w:hideMark/>
          </w:tcPr>
          <w:p w14:paraId="0CBF5FF5" w14:textId="77777777" w:rsidR="00741C01" w:rsidRPr="00A9330B" w:rsidRDefault="00741C01" w:rsidP="00741C01">
            <w:pPr>
              <w:spacing w:line="240" w:lineRule="auto"/>
              <w:rPr>
                <w:rFonts w:cs="Arial"/>
                <w:sz w:val="20"/>
                <w:szCs w:val="20"/>
              </w:rPr>
            </w:pPr>
            <w:r w:rsidRPr="00A9330B">
              <w:rPr>
                <w:rFonts w:cs="Arial"/>
                <w:sz w:val="20"/>
                <w:szCs w:val="20"/>
              </w:rPr>
              <w:t>6</w:t>
            </w:r>
          </w:p>
        </w:tc>
        <w:tc>
          <w:tcPr>
            <w:tcW w:w="2690" w:type="dxa"/>
            <w:noWrap/>
            <w:hideMark/>
          </w:tcPr>
          <w:p w14:paraId="24D0ED68" w14:textId="77777777" w:rsidR="00741C01" w:rsidRPr="00A9330B" w:rsidRDefault="00741C01" w:rsidP="00741C01">
            <w:pPr>
              <w:spacing w:line="240" w:lineRule="auto"/>
              <w:rPr>
                <w:rFonts w:cs="Arial"/>
                <w:sz w:val="20"/>
                <w:szCs w:val="20"/>
              </w:rPr>
            </w:pPr>
            <w:r w:rsidRPr="00A9330B">
              <w:rPr>
                <w:rFonts w:cs="Arial"/>
                <w:sz w:val="20"/>
                <w:szCs w:val="20"/>
              </w:rPr>
              <w:t>81</w:t>
            </w:r>
          </w:p>
        </w:tc>
      </w:tr>
      <w:tr w:rsidR="00741C01" w:rsidRPr="00A9330B" w14:paraId="6F00691A" w14:textId="77777777" w:rsidTr="00741C01">
        <w:trPr>
          <w:trHeight w:val="300"/>
          <w:jc w:val="center"/>
        </w:trPr>
        <w:tc>
          <w:tcPr>
            <w:tcW w:w="2140" w:type="dxa"/>
            <w:vMerge/>
            <w:hideMark/>
          </w:tcPr>
          <w:p w14:paraId="24B1678F" w14:textId="77777777" w:rsidR="00741C01" w:rsidRPr="00A9330B" w:rsidRDefault="00741C01" w:rsidP="00741C01">
            <w:pPr>
              <w:spacing w:line="240" w:lineRule="auto"/>
              <w:rPr>
                <w:rFonts w:cs="Arial"/>
                <w:sz w:val="20"/>
                <w:szCs w:val="20"/>
              </w:rPr>
            </w:pPr>
          </w:p>
        </w:tc>
        <w:tc>
          <w:tcPr>
            <w:tcW w:w="1541" w:type="dxa"/>
            <w:noWrap/>
            <w:hideMark/>
          </w:tcPr>
          <w:p w14:paraId="44DEA6CD" w14:textId="77777777" w:rsidR="00741C01" w:rsidRPr="00A9330B" w:rsidRDefault="00741C01" w:rsidP="00741C01">
            <w:pPr>
              <w:spacing w:line="240" w:lineRule="auto"/>
              <w:jc w:val="left"/>
              <w:rPr>
                <w:rFonts w:cs="Arial"/>
                <w:sz w:val="20"/>
                <w:szCs w:val="20"/>
              </w:rPr>
            </w:pPr>
            <w:r w:rsidRPr="00A9330B">
              <w:rPr>
                <w:rFonts w:cs="Arial"/>
                <w:sz w:val="20"/>
                <w:szCs w:val="20"/>
              </w:rPr>
              <w:t>Boucherie</w:t>
            </w:r>
          </w:p>
        </w:tc>
        <w:tc>
          <w:tcPr>
            <w:tcW w:w="1276" w:type="dxa"/>
            <w:noWrap/>
            <w:hideMark/>
          </w:tcPr>
          <w:p w14:paraId="2CB1D5C0" w14:textId="77777777" w:rsidR="00741C01" w:rsidRPr="00A9330B" w:rsidRDefault="00741C01" w:rsidP="00741C01">
            <w:pPr>
              <w:spacing w:line="240" w:lineRule="auto"/>
              <w:rPr>
                <w:rFonts w:cs="Arial"/>
                <w:sz w:val="20"/>
                <w:szCs w:val="20"/>
              </w:rPr>
            </w:pPr>
            <w:r w:rsidRPr="00A9330B">
              <w:rPr>
                <w:rFonts w:cs="Arial"/>
                <w:sz w:val="20"/>
                <w:szCs w:val="20"/>
              </w:rPr>
              <w:t>1</w:t>
            </w:r>
          </w:p>
        </w:tc>
        <w:tc>
          <w:tcPr>
            <w:tcW w:w="2690" w:type="dxa"/>
            <w:noWrap/>
            <w:hideMark/>
          </w:tcPr>
          <w:p w14:paraId="3D61E0F8" w14:textId="77777777" w:rsidR="00741C01" w:rsidRPr="00A9330B" w:rsidRDefault="00741C01" w:rsidP="00741C01">
            <w:pPr>
              <w:spacing w:line="240" w:lineRule="auto"/>
              <w:rPr>
                <w:rFonts w:cs="Arial"/>
                <w:sz w:val="20"/>
                <w:szCs w:val="20"/>
              </w:rPr>
            </w:pPr>
            <w:r w:rsidRPr="00A9330B">
              <w:rPr>
                <w:rFonts w:cs="Arial"/>
                <w:sz w:val="20"/>
                <w:szCs w:val="20"/>
              </w:rPr>
              <w:t>6</w:t>
            </w:r>
          </w:p>
        </w:tc>
      </w:tr>
      <w:tr w:rsidR="00741C01" w:rsidRPr="00A9330B" w14:paraId="7AB0BFE7" w14:textId="77777777" w:rsidTr="00741C01">
        <w:trPr>
          <w:trHeight w:val="300"/>
          <w:jc w:val="center"/>
        </w:trPr>
        <w:tc>
          <w:tcPr>
            <w:tcW w:w="2140" w:type="dxa"/>
            <w:vMerge/>
            <w:hideMark/>
          </w:tcPr>
          <w:p w14:paraId="7DCCF092" w14:textId="77777777" w:rsidR="00741C01" w:rsidRPr="00A9330B" w:rsidRDefault="00741C01" w:rsidP="00741C01">
            <w:pPr>
              <w:spacing w:line="240" w:lineRule="auto"/>
              <w:rPr>
                <w:rFonts w:cs="Arial"/>
                <w:sz w:val="20"/>
                <w:szCs w:val="20"/>
              </w:rPr>
            </w:pPr>
          </w:p>
        </w:tc>
        <w:tc>
          <w:tcPr>
            <w:tcW w:w="1541" w:type="dxa"/>
            <w:noWrap/>
            <w:hideMark/>
          </w:tcPr>
          <w:p w14:paraId="3A36010F" w14:textId="77777777" w:rsidR="00741C01" w:rsidRPr="00A9330B" w:rsidRDefault="00741C01" w:rsidP="00741C01">
            <w:pPr>
              <w:spacing w:line="240" w:lineRule="auto"/>
              <w:jc w:val="left"/>
              <w:rPr>
                <w:rFonts w:cs="Arial"/>
                <w:sz w:val="20"/>
                <w:szCs w:val="20"/>
              </w:rPr>
            </w:pPr>
            <w:r w:rsidRPr="00A9330B">
              <w:rPr>
                <w:rFonts w:cs="Arial"/>
                <w:sz w:val="20"/>
                <w:szCs w:val="20"/>
              </w:rPr>
              <w:t>Boutique</w:t>
            </w:r>
          </w:p>
        </w:tc>
        <w:tc>
          <w:tcPr>
            <w:tcW w:w="1276" w:type="dxa"/>
            <w:noWrap/>
            <w:hideMark/>
          </w:tcPr>
          <w:p w14:paraId="44D36534" w14:textId="77777777" w:rsidR="00741C01" w:rsidRPr="00A9330B" w:rsidRDefault="00741C01" w:rsidP="00741C01">
            <w:pPr>
              <w:spacing w:line="240" w:lineRule="auto"/>
              <w:rPr>
                <w:rFonts w:cs="Arial"/>
                <w:sz w:val="20"/>
                <w:szCs w:val="20"/>
              </w:rPr>
            </w:pPr>
            <w:r w:rsidRPr="00A9330B">
              <w:rPr>
                <w:rFonts w:cs="Arial"/>
                <w:sz w:val="20"/>
                <w:szCs w:val="20"/>
              </w:rPr>
              <w:t>12</w:t>
            </w:r>
          </w:p>
        </w:tc>
        <w:tc>
          <w:tcPr>
            <w:tcW w:w="2690" w:type="dxa"/>
            <w:noWrap/>
            <w:hideMark/>
          </w:tcPr>
          <w:p w14:paraId="7CDE640A" w14:textId="77777777" w:rsidR="00741C01" w:rsidRPr="00A9330B" w:rsidRDefault="00741C01" w:rsidP="00741C01">
            <w:pPr>
              <w:spacing w:line="240" w:lineRule="auto"/>
              <w:rPr>
                <w:rFonts w:cs="Arial"/>
                <w:sz w:val="20"/>
                <w:szCs w:val="20"/>
              </w:rPr>
            </w:pPr>
            <w:r w:rsidRPr="00A9330B">
              <w:rPr>
                <w:rFonts w:cs="Arial"/>
                <w:sz w:val="20"/>
                <w:szCs w:val="20"/>
              </w:rPr>
              <w:t>276</w:t>
            </w:r>
          </w:p>
        </w:tc>
      </w:tr>
      <w:tr w:rsidR="00741C01" w:rsidRPr="00A9330B" w14:paraId="6FC0DC94" w14:textId="77777777" w:rsidTr="00741C01">
        <w:trPr>
          <w:trHeight w:val="300"/>
          <w:jc w:val="center"/>
        </w:trPr>
        <w:tc>
          <w:tcPr>
            <w:tcW w:w="2140" w:type="dxa"/>
            <w:vMerge/>
            <w:hideMark/>
          </w:tcPr>
          <w:p w14:paraId="69BEECE3" w14:textId="77777777" w:rsidR="00741C01" w:rsidRPr="00A9330B" w:rsidRDefault="00741C01" w:rsidP="00741C01">
            <w:pPr>
              <w:spacing w:line="240" w:lineRule="auto"/>
              <w:rPr>
                <w:rFonts w:cs="Arial"/>
                <w:sz w:val="20"/>
                <w:szCs w:val="20"/>
              </w:rPr>
            </w:pPr>
          </w:p>
        </w:tc>
        <w:tc>
          <w:tcPr>
            <w:tcW w:w="1541" w:type="dxa"/>
            <w:noWrap/>
            <w:hideMark/>
          </w:tcPr>
          <w:p w14:paraId="5C92B6ED" w14:textId="77777777" w:rsidR="00741C01" w:rsidRPr="00A9330B" w:rsidRDefault="00741C01" w:rsidP="00741C01">
            <w:pPr>
              <w:spacing w:line="240" w:lineRule="auto"/>
              <w:jc w:val="left"/>
              <w:rPr>
                <w:rFonts w:cs="Arial"/>
                <w:sz w:val="20"/>
                <w:szCs w:val="20"/>
              </w:rPr>
            </w:pPr>
            <w:r w:rsidRPr="00A9330B">
              <w:rPr>
                <w:rFonts w:cs="Arial"/>
                <w:sz w:val="20"/>
                <w:szCs w:val="20"/>
              </w:rPr>
              <w:t>Four</w:t>
            </w:r>
          </w:p>
        </w:tc>
        <w:tc>
          <w:tcPr>
            <w:tcW w:w="1276" w:type="dxa"/>
            <w:noWrap/>
            <w:hideMark/>
          </w:tcPr>
          <w:p w14:paraId="0380829C" w14:textId="77777777" w:rsidR="00741C01" w:rsidRPr="00A9330B" w:rsidRDefault="00741C01" w:rsidP="00741C01">
            <w:pPr>
              <w:spacing w:line="240" w:lineRule="auto"/>
              <w:rPr>
                <w:rFonts w:cs="Arial"/>
                <w:sz w:val="20"/>
                <w:szCs w:val="20"/>
              </w:rPr>
            </w:pPr>
            <w:r w:rsidRPr="00A9330B">
              <w:rPr>
                <w:rFonts w:cs="Arial"/>
                <w:sz w:val="20"/>
                <w:szCs w:val="20"/>
              </w:rPr>
              <w:t>1</w:t>
            </w:r>
          </w:p>
        </w:tc>
        <w:tc>
          <w:tcPr>
            <w:tcW w:w="2690" w:type="dxa"/>
            <w:noWrap/>
            <w:hideMark/>
          </w:tcPr>
          <w:p w14:paraId="741F4C59" w14:textId="77777777" w:rsidR="00741C01" w:rsidRPr="00A9330B" w:rsidRDefault="00741C01" w:rsidP="00741C01">
            <w:pPr>
              <w:spacing w:line="240" w:lineRule="auto"/>
              <w:rPr>
                <w:rFonts w:cs="Arial"/>
                <w:sz w:val="20"/>
                <w:szCs w:val="20"/>
              </w:rPr>
            </w:pPr>
            <w:r w:rsidRPr="00A9330B">
              <w:rPr>
                <w:rFonts w:cs="Arial"/>
                <w:sz w:val="20"/>
                <w:szCs w:val="20"/>
              </w:rPr>
              <w:t>2,6</w:t>
            </w:r>
          </w:p>
        </w:tc>
      </w:tr>
      <w:tr w:rsidR="00741C01" w:rsidRPr="00A9330B" w14:paraId="5AC044EE" w14:textId="77777777" w:rsidTr="00741C01">
        <w:trPr>
          <w:trHeight w:val="300"/>
          <w:jc w:val="center"/>
        </w:trPr>
        <w:tc>
          <w:tcPr>
            <w:tcW w:w="2140" w:type="dxa"/>
            <w:vMerge/>
            <w:hideMark/>
          </w:tcPr>
          <w:p w14:paraId="54DB097C" w14:textId="77777777" w:rsidR="00741C01" w:rsidRPr="00A9330B" w:rsidRDefault="00741C01" w:rsidP="00741C01">
            <w:pPr>
              <w:spacing w:line="240" w:lineRule="auto"/>
              <w:rPr>
                <w:rFonts w:cs="Arial"/>
                <w:sz w:val="20"/>
                <w:szCs w:val="20"/>
              </w:rPr>
            </w:pPr>
          </w:p>
        </w:tc>
        <w:tc>
          <w:tcPr>
            <w:tcW w:w="1541" w:type="dxa"/>
            <w:noWrap/>
            <w:hideMark/>
          </w:tcPr>
          <w:p w14:paraId="7207AD4A" w14:textId="77777777" w:rsidR="00741C01" w:rsidRPr="00A9330B" w:rsidRDefault="00741C01" w:rsidP="00741C01">
            <w:pPr>
              <w:spacing w:line="240" w:lineRule="auto"/>
              <w:jc w:val="left"/>
              <w:rPr>
                <w:rFonts w:cs="Arial"/>
                <w:sz w:val="20"/>
                <w:szCs w:val="20"/>
              </w:rPr>
            </w:pPr>
            <w:r w:rsidRPr="00A9330B">
              <w:rPr>
                <w:rFonts w:cs="Arial"/>
                <w:sz w:val="20"/>
                <w:szCs w:val="20"/>
              </w:rPr>
              <w:t>Hangar</w:t>
            </w:r>
          </w:p>
        </w:tc>
        <w:tc>
          <w:tcPr>
            <w:tcW w:w="1276" w:type="dxa"/>
            <w:noWrap/>
            <w:hideMark/>
          </w:tcPr>
          <w:p w14:paraId="2B8FE885" w14:textId="77777777" w:rsidR="00741C01" w:rsidRPr="00A9330B" w:rsidRDefault="00741C01" w:rsidP="00741C01">
            <w:pPr>
              <w:spacing w:line="240" w:lineRule="auto"/>
              <w:rPr>
                <w:rFonts w:cs="Arial"/>
                <w:sz w:val="20"/>
                <w:szCs w:val="20"/>
              </w:rPr>
            </w:pPr>
            <w:r w:rsidRPr="00A9330B">
              <w:rPr>
                <w:rFonts w:cs="Arial"/>
                <w:sz w:val="20"/>
                <w:szCs w:val="20"/>
              </w:rPr>
              <w:t>5</w:t>
            </w:r>
          </w:p>
        </w:tc>
        <w:tc>
          <w:tcPr>
            <w:tcW w:w="2690" w:type="dxa"/>
            <w:noWrap/>
            <w:hideMark/>
          </w:tcPr>
          <w:p w14:paraId="4AD7FAE0" w14:textId="77777777" w:rsidR="00741C01" w:rsidRPr="00A9330B" w:rsidRDefault="00741C01" w:rsidP="00741C01">
            <w:pPr>
              <w:spacing w:line="240" w:lineRule="auto"/>
              <w:rPr>
                <w:rFonts w:cs="Arial"/>
                <w:sz w:val="20"/>
                <w:szCs w:val="20"/>
              </w:rPr>
            </w:pPr>
            <w:r w:rsidRPr="00A9330B">
              <w:rPr>
                <w:rFonts w:cs="Arial"/>
                <w:sz w:val="20"/>
                <w:szCs w:val="20"/>
              </w:rPr>
              <w:t>212</w:t>
            </w:r>
          </w:p>
        </w:tc>
      </w:tr>
      <w:tr w:rsidR="00741C01" w:rsidRPr="00A9330B" w14:paraId="41CFF049" w14:textId="77777777" w:rsidTr="00741C01">
        <w:trPr>
          <w:trHeight w:val="300"/>
          <w:jc w:val="center"/>
        </w:trPr>
        <w:tc>
          <w:tcPr>
            <w:tcW w:w="2140" w:type="dxa"/>
            <w:vMerge/>
            <w:hideMark/>
          </w:tcPr>
          <w:p w14:paraId="1D214B56" w14:textId="77777777" w:rsidR="00741C01" w:rsidRPr="00A9330B" w:rsidRDefault="00741C01" w:rsidP="00741C01">
            <w:pPr>
              <w:spacing w:line="240" w:lineRule="auto"/>
              <w:rPr>
                <w:rFonts w:cs="Arial"/>
                <w:sz w:val="20"/>
                <w:szCs w:val="20"/>
              </w:rPr>
            </w:pPr>
          </w:p>
        </w:tc>
        <w:tc>
          <w:tcPr>
            <w:tcW w:w="1541" w:type="dxa"/>
            <w:noWrap/>
            <w:hideMark/>
          </w:tcPr>
          <w:p w14:paraId="2153D2CC" w14:textId="77777777" w:rsidR="00741C01" w:rsidRPr="00A9330B" w:rsidRDefault="00741C01" w:rsidP="00741C01">
            <w:pPr>
              <w:spacing w:line="240" w:lineRule="auto"/>
              <w:jc w:val="left"/>
              <w:rPr>
                <w:rFonts w:cs="Arial"/>
                <w:sz w:val="20"/>
                <w:szCs w:val="20"/>
              </w:rPr>
            </w:pPr>
            <w:r w:rsidRPr="00A9330B">
              <w:rPr>
                <w:rFonts w:cs="Arial"/>
                <w:sz w:val="20"/>
                <w:szCs w:val="20"/>
              </w:rPr>
              <w:t>Clôture</w:t>
            </w:r>
          </w:p>
        </w:tc>
        <w:tc>
          <w:tcPr>
            <w:tcW w:w="1276" w:type="dxa"/>
            <w:noWrap/>
            <w:hideMark/>
          </w:tcPr>
          <w:p w14:paraId="27CAAA90" w14:textId="77777777" w:rsidR="00741C01" w:rsidRPr="00A9330B" w:rsidRDefault="00741C01" w:rsidP="00741C01">
            <w:pPr>
              <w:spacing w:line="240" w:lineRule="auto"/>
              <w:rPr>
                <w:rFonts w:cs="Arial"/>
                <w:sz w:val="20"/>
                <w:szCs w:val="20"/>
              </w:rPr>
            </w:pPr>
            <w:r w:rsidRPr="00A9330B">
              <w:rPr>
                <w:rFonts w:cs="Arial"/>
                <w:sz w:val="20"/>
                <w:szCs w:val="20"/>
              </w:rPr>
              <w:t>1</w:t>
            </w:r>
          </w:p>
        </w:tc>
        <w:tc>
          <w:tcPr>
            <w:tcW w:w="2690" w:type="dxa"/>
            <w:noWrap/>
            <w:hideMark/>
          </w:tcPr>
          <w:p w14:paraId="24FE109C" w14:textId="77777777" w:rsidR="00741C01" w:rsidRPr="00A9330B" w:rsidRDefault="00741C01" w:rsidP="00741C01">
            <w:pPr>
              <w:spacing w:line="240" w:lineRule="auto"/>
              <w:rPr>
                <w:rFonts w:cs="Arial"/>
                <w:sz w:val="20"/>
                <w:szCs w:val="20"/>
              </w:rPr>
            </w:pPr>
            <w:r w:rsidRPr="00A9330B">
              <w:rPr>
                <w:rFonts w:cs="Arial"/>
                <w:sz w:val="20"/>
                <w:szCs w:val="20"/>
              </w:rPr>
              <w:t>30</w:t>
            </w:r>
          </w:p>
        </w:tc>
      </w:tr>
      <w:tr w:rsidR="00741C01" w:rsidRPr="00A9330B" w14:paraId="7EE86B19" w14:textId="77777777" w:rsidTr="00741C01">
        <w:trPr>
          <w:trHeight w:val="300"/>
          <w:jc w:val="center"/>
        </w:trPr>
        <w:tc>
          <w:tcPr>
            <w:tcW w:w="2140" w:type="dxa"/>
            <w:vMerge/>
            <w:hideMark/>
          </w:tcPr>
          <w:p w14:paraId="61420286" w14:textId="77777777" w:rsidR="00741C01" w:rsidRPr="00A9330B" w:rsidRDefault="00741C01" w:rsidP="00741C01">
            <w:pPr>
              <w:spacing w:line="240" w:lineRule="auto"/>
              <w:rPr>
                <w:rFonts w:cs="Arial"/>
                <w:sz w:val="20"/>
                <w:szCs w:val="20"/>
              </w:rPr>
            </w:pPr>
          </w:p>
        </w:tc>
        <w:tc>
          <w:tcPr>
            <w:tcW w:w="1541" w:type="dxa"/>
            <w:noWrap/>
            <w:hideMark/>
          </w:tcPr>
          <w:p w14:paraId="3C67BEFF" w14:textId="77777777" w:rsidR="00741C01" w:rsidRPr="00A9330B" w:rsidRDefault="00741C01" w:rsidP="00741C01">
            <w:pPr>
              <w:spacing w:line="240" w:lineRule="auto"/>
              <w:jc w:val="left"/>
              <w:rPr>
                <w:rFonts w:cs="Arial"/>
                <w:sz w:val="20"/>
                <w:szCs w:val="20"/>
              </w:rPr>
            </w:pPr>
            <w:r w:rsidRPr="00A9330B">
              <w:rPr>
                <w:rFonts w:cs="Arial"/>
                <w:sz w:val="20"/>
                <w:szCs w:val="20"/>
              </w:rPr>
              <w:t>Kiosque</w:t>
            </w:r>
          </w:p>
        </w:tc>
        <w:tc>
          <w:tcPr>
            <w:tcW w:w="1276" w:type="dxa"/>
            <w:noWrap/>
            <w:hideMark/>
          </w:tcPr>
          <w:p w14:paraId="73172130" w14:textId="77777777" w:rsidR="00741C01" w:rsidRPr="00A9330B" w:rsidRDefault="00741C01" w:rsidP="00741C01">
            <w:pPr>
              <w:spacing w:line="240" w:lineRule="auto"/>
              <w:rPr>
                <w:rFonts w:cs="Arial"/>
                <w:sz w:val="20"/>
                <w:szCs w:val="20"/>
              </w:rPr>
            </w:pPr>
            <w:r w:rsidRPr="00A9330B">
              <w:rPr>
                <w:rFonts w:cs="Arial"/>
                <w:sz w:val="20"/>
                <w:szCs w:val="20"/>
              </w:rPr>
              <w:t>6</w:t>
            </w:r>
          </w:p>
        </w:tc>
        <w:tc>
          <w:tcPr>
            <w:tcW w:w="2690" w:type="dxa"/>
            <w:noWrap/>
            <w:hideMark/>
          </w:tcPr>
          <w:p w14:paraId="5961257F" w14:textId="77777777" w:rsidR="00741C01" w:rsidRPr="00A9330B" w:rsidRDefault="00741C01" w:rsidP="00741C01">
            <w:pPr>
              <w:spacing w:line="240" w:lineRule="auto"/>
              <w:rPr>
                <w:rFonts w:cs="Arial"/>
                <w:sz w:val="20"/>
                <w:szCs w:val="20"/>
              </w:rPr>
            </w:pPr>
            <w:r w:rsidRPr="00A9330B">
              <w:rPr>
                <w:rFonts w:cs="Arial"/>
                <w:sz w:val="20"/>
                <w:szCs w:val="20"/>
              </w:rPr>
              <w:t>92</w:t>
            </w:r>
          </w:p>
        </w:tc>
      </w:tr>
      <w:tr w:rsidR="00741C01" w:rsidRPr="00A9330B" w14:paraId="67F24610" w14:textId="77777777" w:rsidTr="00741C01">
        <w:trPr>
          <w:trHeight w:val="300"/>
          <w:jc w:val="center"/>
        </w:trPr>
        <w:tc>
          <w:tcPr>
            <w:tcW w:w="2140" w:type="dxa"/>
            <w:vMerge/>
            <w:hideMark/>
          </w:tcPr>
          <w:p w14:paraId="3561A8DA" w14:textId="77777777" w:rsidR="00741C01" w:rsidRPr="00A9330B" w:rsidRDefault="00741C01" w:rsidP="00741C01">
            <w:pPr>
              <w:spacing w:line="240" w:lineRule="auto"/>
              <w:rPr>
                <w:rFonts w:cs="Arial"/>
                <w:sz w:val="20"/>
                <w:szCs w:val="20"/>
              </w:rPr>
            </w:pPr>
          </w:p>
        </w:tc>
        <w:tc>
          <w:tcPr>
            <w:tcW w:w="1541" w:type="dxa"/>
            <w:noWrap/>
            <w:hideMark/>
          </w:tcPr>
          <w:p w14:paraId="7E9775F4" w14:textId="77777777" w:rsidR="00741C01" w:rsidRPr="00A9330B" w:rsidRDefault="00741C01" w:rsidP="00741C01">
            <w:pPr>
              <w:spacing w:line="240" w:lineRule="auto"/>
              <w:jc w:val="left"/>
              <w:rPr>
                <w:rFonts w:cs="Arial"/>
                <w:sz w:val="20"/>
                <w:szCs w:val="20"/>
              </w:rPr>
            </w:pPr>
            <w:r w:rsidRPr="00A9330B">
              <w:rPr>
                <w:rFonts w:cs="Arial"/>
                <w:sz w:val="20"/>
                <w:szCs w:val="20"/>
              </w:rPr>
              <w:t>Magasin</w:t>
            </w:r>
          </w:p>
        </w:tc>
        <w:tc>
          <w:tcPr>
            <w:tcW w:w="1276" w:type="dxa"/>
            <w:noWrap/>
            <w:hideMark/>
          </w:tcPr>
          <w:p w14:paraId="13950BC7" w14:textId="77777777" w:rsidR="00741C01" w:rsidRPr="00A9330B" w:rsidRDefault="00741C01" w:rsidP="00741C01">
            <w:pPr>
              <w:spacing w:line="240" w:lineRule="auto"/>
              <w:rPr>
                <w:rFonts w:cs="Arial"/>
                <w:sz w:val="20"/>
                <w:szCs w:val="20"/>
              </w:rPr>
            </w:pPr>
            <w:r w:rsidRPr="00A9330B">
              <w:rPr>
                <w:rFonts w:cs="Arial"/>
                <w:sz w:val="20"/>
                <w:szCs w:val="20"/>
              </w:rPr>
              <w:t>1</w:t>
            </w:r>
          </w:p>
        </w:tc>
        <w:tc>
          <w:tcPr>
            <w:tcW w:w="2690" w:type="dxa"/>
            <w:noWrap/>
            <w:hideMark/>
          </w:tcPr>
          <w:p w14:paraId="57F187C4" w14:textId="77777777" w:rsidR="00741C01" w:rsidRPr="00A9330B" w:rsidRDefault="00741C01" w:rsidP="00741C01">
            <w:pPr>
              <w:spacing w:line="240" w:lineRule="auto"/>
              <w:rPr>
                <w:rFonts w:cs="Arial"/>
                <w:sz w:val="20"/>
                <w:szCs w:val="20"/>
              </w:rPr>
            </w:pPr>
            <w:r w:rsidRPr="00A9330B">
              <w:rPr>
                <w:rFonts w:cs="Arial"/>
                <w:sz w:val="20"/>
                <w:szCs w:val="20"/>
              </w:rPr>
              <w:t>6</w:t>
            </w:r>
          </w:p>
        </w:tc>
      </w:tr>
      <w:tr w:rsidR="00741C01" w:rsidRPr="00A9330B" w14:paraId="2FE2F589" w14:textId="77777777" w:rsidTr="00741C01">
        <w:trPr>
          <w:trHeight w:val="300"/>
          <w:jc w:val="center"/>
        </w:trPr>
        <w:tc>
          <w:tcPr>
            <w:tcW w:w="2140" w:type="dxa"/>
            <w:vMerge/>
            <w:hideMark/>
          </w:tcPr>
          <w:p w14:paraId="5476C82D" w14:textId="77777777" w:rsidR="00741C01" w:rsidRPr="00A9330B" w:rsidRDefault="00741C01" w:rsidP="00741C01">
            <w:pPr>
              <w:spacing w:line="240" w:lineRule="auto"/>
              <w:rPr>
                <w:rFonts w:cs="Arial"/>
                <w:sz w:val="20"/>
                <w:szCs w:val="20"/>
              </w:rPr>
            </w:pPr>
          </w:p>
        </w:tc>
        <w:tc>
          <w:tcPr>
            <w:tcW w:w="1541" w:type="dxa"/>
            <w:noWrap/>
            <w:hideMark/>
          </w:tcPr>
          <w:p w14:paraId="6BEA438E" w14:textId="77777777" w:rsidR="00741C01" w:rsidRPr="00A9330B" w:rsidRDefault="00741C01" w:rsidP="00741C01">
            <w:pPr>
              <w:spacing w:line="240" w:lineRule="auto"/>
              <w:jc w:val="left"/>
              <w:rPr>
                <w:rFonts w:cs="Arial"/>
                <w:sz w:val="20"/>
                <w:szCs w:val="20"/>
              </w:rPr>
            </w:pPr>
            <w:r w:rsidRPr="00A9330B">
              <w:rPr>
                <w:rFonts w:cs="Arial"/>
                <w:sz w:val="20"/>
                <w:szCs w:val="20"/>
              </w:rPr>
              <w:t>Terrasses</w:t>
            </w:r>
          </w:p>
        </w:tc>
        <w:tc>
          <w:tcPr>
            <w:tcW w:w="1276" w:type="dxa"/>
            <w:noWrap/>
            <w:hideMark/>
          </w:tcPr>
          <w:p w14:paraId="152E9D4B" w14:textId="77777777" w:rsidR="00741C01" w:rsidRPr="00A9330B" w:rsidRDefault="00741C01" w:rsidP="00741C01">
            <w:pPr>
              <w:spacing w:line="240" w:lineRule="auto"/>
              <w:rPr>
                <w:rFonts w:cs="Arial"/>
                <w:sz w:val="20"/>
                <w:szCs w:val="20"/>
              </w:rPr>
            </w:pPr>
            <w:r w:rsidRPr="00A9330B">
              <w:rPr>
                <w:rFonts w:cs="Arial"/>
                <w:sz w:val="20"/>
                <w:szCs w:val="20"/>
              </w:rPr>
              <w:t>1</w:t>
            </w:r>
          </w:p>
        </w:tc>
        <w:tc>
          <w:tcPr>
            <w:tcW w:w="2690" w:type="dxa"/>
            <w:noWrap/>
            <w:hideMark/>
          </w:tcPr>
          <w:p w14:paraId="3854FFB8" w14:textId="77777777" w:rsidR="00741C01" w:rsidRPr="00A9330B" w:rsidRDefault="00741C01" w:rsidP="00741C01">
            <w:pPr>
              <w:spacing w:line="240" w:lineRule="auto"/>
              <w:rPr>
                <w:rFonts w:cs="Arial"/>
                <w:sz w:val="20"/>
                <w:szCs w:val="20"/>
              </w:rPr>
            </w:pPr>
            <w:r w:rsidRPr="00A9330B">
              <w:rPr>
                <w:rFonts w:cs="Arial"/>
                <w:sz w:val="20"/>
                <w:szCs w:val="20"/>
              </w:rPr>
              <w:t>9</w:t>
            </w:r>
          </w:p>
        </w:tc>
      </w:tr>
      <w:tr w:rsidR="00741C01" w:rsidRPr="00A9330B" w14:paraId="569EC7AB" w14:textId="77777777" w:rsidTr="00741C01">
        <w:trPr>
          <w:trHeight w:val="300"/>
          <w:jc w:val="center"/>
        </w:trPr>
        <w:tc>
          <w:tcPr>
            <w:tcW w:w="2140" w:type="dxa"/>
            <w:noWrap/>
            <w:hideMark/>
          </w:tcPr>
          <w:p w14:paraId="30F24B62" w14:textId="77777777" w:rsidR="00741C01" w:rsidRPr="00A9330B" w:rsidRDefault="00741C01" w:rsidP="00741C01">
            <w:pPr>
              <w:spacing w:line="240" w:lineRule="auto"/>
              <w:rPr>
                <w:rFonts w:cs="Arial"/>
                <w:sz w:val="20"/>
                <w:szCs w:val="20"/>
              </w:rPr>
            </w:pPr>
            <w:r w:rsidRPr="00A9330B">
              <w:rPr>
                <w:rFonts w:cs="Arial"/>
                <w:sz w:val="20"/>
                <w:szCs w:val="20"/>
              </w:rPr>
              <w:t xml:space="preserve">Revus commerciaux </w:t>
            </w:r>
          </w:p>
        </w:tc>
        <w:tc>
          <w:tcPr>
            <w:tcW w:w="1541" w:type="dxa"/>
            <w:noWrap/>
            <w:hideMark/>
          </w:tcPr>
          <w:p w14:paraId="5A42B46F" w14:textId="77777777" w:rsidR="00741C01" w:rsidRPr="00A9330B" w:rsidRDefault="00741C01" w:rsidP="00741C01">
            <w:pPr>
              <w:spacing w:line="240" w:lineRule="auto"/>
              <w:jc w:val="left"/>
              <w:rPr>
                <w:rFonts w:cs="Arial"/>
                <w:sz w:val="20"/>
                <w:szCs w:val="20"/>
              </w:rPr>
            </w:pPr>
            <w:r w:rsidRPr="00A9330B">
              <w:rPr>
                <w:rFonts w:cs="Arial"/>
                <w:sz w:val="20"/>
                <w:szCs w:val="20"/>
              </w:rPr>
              <w:t> </w:t>
            </w:r>
          </w:p>
        </w:tc>
        <w:tc>
          <w:tcPr>
            <w:tcW w:w="1276" w:type="dxa"/>
            <w:noWrap/>
            <w:hideMark/>
          </w:tcPr>
          <w:p w14:paraId="4C10EB41" w14:textId="77777777" w:rsidR="00741C01" w:rsidRPr="00A9330B" w:rsidRDefault="00741C01" w:rsidP="00741C01">
            <w:pPr>
              <w:spacing w:line="240" w:lineRule="auto"/>
              <w:rPr>
                <w:rFonts w:cs="Arial"/>
                <w:sz w:val="20"/>
                <w:szCs w:val="20"/>
              </w:rPr>
            </w:pPr>
            <w:r w:rsidRPr="00A9330B">
              <w:rPr>
                <w:rFonts w:cs="Arial"/>
                <w:sz w:val="20"/>
                <w:szCs w:val="20"/>
              </w:rPr>
              <w:t>7</w:t>
            </w:r>
          </w:p>
        </w:tc>
        <w:tc>
          <w:tcPr>
            <w:tcW w:w="2690" w:type="dxa"/>
            <w:noWrap/>
            <w:hideMark/>
          </w:tcPr>
          <w:p w14:paraId="401DE9CA" w14:textId="77777777" w:rsidR="00741C01" w:rsidRPr="00A9330B" w:rsidRDefault="00741C01" w:rsidP="00741C01">
            <w:pPr>
              <w:spacing w:line="240" w:lineRule="auto"/>
              <w:rPr>
                <w:rFonts w:cs="Arial"/>
                <w:sz w:val="20"/>
                <w:szCs w:val="20"/>
              </w:rPr>
            </w:pPr>
            <w:r w:rsidRPr="00A9330B">
              <w:rPr>
                <w:rFonts w:cs="Arial"/>
                <w:sz w:val="20"/>
                <w:szCs w:val="20"/>
              </w:rPr>
              <w:t> </w:t>
            </w:r>
          </w:p>
        </w:tc>
      </w:tr>
      <w:tr w:rsidR="00741C01" w:rsidRPr="00A9330B" w14:paraId="008F7F7A" w14:textId="77777777" w:rsidTr="00741C01">
        <w:trPr>
          <w:trHeight w:val="300"/>
          <w:jc w:val="center"/>
        </w:trPr>
        <w:tc>
          <w:tcPr>
            <w:tcW w:w="2140" w:type="dxa"/>
            <w:noWrap/>
            <w:hideMark/>
          </w:tcPr>
          <w:p w14:paraId="245ECA6F" w14:textId="77777777" w:rsidR="00741C01" w:rsidRPr="00A9330B" w:rsidRDefault="00741C01" w:rsidP="00741C01">
            <w:pPr>
              <w:spacing w:line="240" w:lineRule="auto"/>
              <w:rPr>
                <w:rFonts w:cs="Arial"/>
                <w:sz w:val="20"/>
                <w:szCs w:val="20"/>
              </w:rPr>
            </w:pPr>
            <w:r w:rsidRPr="00A9330B">
              <w:rPr>
                <w:rFonts w:cs="Arial"/>
                <w:sz w:val="20"/>
                <w:szCs w:val="20"/>
              </w:rPr>
              <w:t>Culture</w:t>
            </w:r>
          </w:p>
        </w:tc>
        <w:tc>
          <w:tcPr>
            <w:tcW w:w="1541" w:type="dxa"/>
            <w:noWrap/>
            <w:hideMark/>
          </w:tcPr>
          <w:p w14:paraId="6388B999" w14:textId="77777777" w:rsidR="00741C01" w:rsidRPr="00A9330B" w:rsidRDefault="00741C01" w:rsidP="00741C01">
            <w:pPr>
              <w:spacing w:line="240" w:lineRule="auto"/>
              <w:jc w:val="left"/>
              <w:rPr>
                <w:rFonts w:cs="Arial"/>
                <w:sz w:val="20"/>
                <w:szCs w:val="20"/>
              </w:rPr>
            </w:pPr>
            <w:r w:rsidRPr="00A9330B">
              <w:rPr>
                <w:rFonts w:cs="Arial"/>
                <w:sz w:val="20"/>
                <w:szCs w:val="20"/>
              </w:rPr>
              <w:t> </w:t>
            </w:r>
          </w:p>
        </w:tc>
        <w:tc>
          <w:tcPr>
            <w:tcW w:w="1276" w:type="dxa"/>
            <w:noWrap/>
            <w:hideMark/>
          </w:tcPr>
          <w:p w14:paraId="0F45020B" w14:textId="77777777" w:rsidR="00741C01" w:rsidRPr="00A9330B" w:rsidRDefault="00741C01" w:rsidP="00741C01">
            <w:pPr>
              <w:spacing w:line="240" w:lineRule="auto"/>
              <w:rPr>
                <w:rFonts w:cs="Arial"/>
                <w:sz w:val="20"/>
                <w:szCs w:val="20"/>
              </w:rPr>
            </w:pPr>
            <w:r w:rsidRPr="00A9330B">
              <w:rPr>
                <w:rFonts w:cs="Arial"/>
                <w:sz w:val="20"/>
                <w:szCs w:val="20"/>
              </w:rPr>
              <w:t>40</w:t>
            </w:r>
          </w:p>
        </w:tc>
        <w:tc>
          <w:tcPr>
            <w:tcW w:w="2690" w:type="dxa"/>
            <w:noWrap/>
            <w:hideMark/>
          </w:tcPr>
          <w:p w14:paraId="656C2334" w14:textId="77777777" w:rsidR="00741C01" w:rsidRPr="00A9330B" w:rsidRDefault="00741C01" w:rsidP="00741C01">
            <w:pPr>
              <w:spacing w:line="240" w:lineRule="auto"/>
              <w:rPr>
                <w:rFonts w:cs="Arial"/>
                <w:sz w:val="20"/>
                <w:szCs w:val="20"/>
              </w:rPr>
            </w:pPr>
            <w:r w:rsidRPr="00A9330B">
              <w:rPr>
                <w:rFonts w:cs="Arial"/>
                <w:sz w:val="20"/>
                <w:szCs w:val="20"/>
              </w:rPr>
              <w:t> </w:t>
            </w:r>
          </w:p>
        </w:tc>
      </w:tr>
      <w:tr w:rsidR="00741C01" w:rsidRPr="00A9330B" w14:paraId="034E5DAE" w14:textId="77777777" w:rsidTr="00741C01">
        <w:trPr>
          <w:trHeight w:val="300"/>
          <w:jc w:val="center"/>
        </w:trPr>
        <w:tc>
          <w:tcPr>
            <w:tcW w:w="2140" w:type="dxa"/>
            <w:noWrap/>
            <w:hideMark/>
          </w:tcPr>
          <w:p w14:paraId="1C1A08EB" w14:textId="77777777" w:rsidR="00741C01" w:rsidRPr="00A9330B" w:rsidRDefault="00741C01" w:rsidP="00741C01">
            <w:pPr>
              <w:spacing w:line="240" w:lineRule="auto"/>
              <w:rPr>
                <w:rFonts w:cs="Arial"/>
                <w:sz w:val="20"/>
                <w:szCs w:val="20"/>
              </w:rPr>
            </w:pPr>
            <w:r w:rsidRPr="00A9330B">
              <w:rPr>
                <w:rFonts w:cs="Arial"/>
                <w:sz w:val="20"/>
                <w:szCs w:val="20"/>
              </w:rPr>
              <w:t>Arbre</w:t>
            </w:r>
          </w:p>
        </w:tc>
        <w:tc>
          <w:tcPr>
            <w:tcW w:w="1541" w:type="dxa"/>
            <w:noWrap/>
            <w:hideMark/>
          </w:tcPr>
          <w:p w14:paraId="2DD4EF8C" w14:textId="77777777" w:rsidR="00741C01" w:rsidRPr="00A9330B" w:rsidRDefault="00741C01" w:rsidP="00741C01">
            <w:pPr>
              <w:spacing w:line="240" w:lineRule="auto"/>
              <w:jc w:val="left"/>
              <w:rPr>
                <w:rFonts w:cs="Arial"/>
                <w:sz w:val="20"/>
                <w:szCs w:val="20"/>
              </w:rPr>
            </w:pPr>
            <w:r w:rsidRPr="00A9330B">
              <w:rPr>
                <w:rFonts w:cs="Arial"/>
                <w:sz w:val="20"/>
                <w:szCs w:val="20"/>
              </w:rPr>
              <w:t> </w:t>
            </w:r>
          </w:p>
        </w:tc>
        <w:tc>
          <w:tcPr>
            <w:tcW w:w="1276" w:type="dxa"/>
            <w:noWrap/>
            <w:hideMark/>
          </w:tcPr>
          <w:p w14:paraId="5CF69A79" w14:textId="77777777" w:rsidR="00741C01" w:rsidRPr="00A9330B" w:rsidRDefault="00741C01" w:rsidP="00741C01">
            <w:pPr>
              <w:spacing w:line="240" w:lineRule="auto"/>
              <w:rPr>
                <w:rFonts w:cs="Arial"/>
                <w:sz w:val="20"/>
                <w:szCs w:val="20"/>
              </w:rPr>
            </w:pPr>
            <w:r w:rsidRPr="00A9330B">
              <w:rPr>
                <w:rFonts w:cs="Arial"/>
                <w:sz w:val="20"/>
                <w:szCs w:val="20"/>
              </w:rPr>
              <w:t>3411</w:t>
            </w:r>
          </w:p>
        </w:tc>
        <w:tc>
          <w:tcPr>
            <w:tcW w:w="2690" w:type="dxa"/>
            <w:noWrap/>
            <w:hideMark/>
          </w:tcPr>
          <w:p w14:paraId="7B90F686" w14:textId="77777777" w:rsidR="00741C01" w:rsidRPr="00A9330B" w:rsidRDefault="00741C01" w:rsidP="00741C01">
            <w:pPr>
              <w:spacing w:line="240" w:lineRule="auto"/>
              <w:rPr>
                <w:rFonts w:cs="Arial"/>
                <w:sz w:val="20"/>
                <w:szCs w:val="20"/>
              </w:rPr>
            </w:pPr>
            <w:r w:rsidRPr="00A9330B">
              <w:rPr>
                <w:rFonts w:cs="Arial"/>
                <w:sz w:val="20"/>
                <w:szCs w:val="20"/>
              </w:rPr>
              <w:t> </w:t>
            </w:r>
          </w:p>
        </w:tc>
      </w:tr>
      <w:tr w:rsidR="00741C01" w:rsidRPr="00A9330B" w14:paraId="24A1B809" w14:textId="77777777" w:rsidTr="00741C01">
        <w:trPr>
          <w:trHeight w:val="300"/>
          <w:jc w:val="center"/>
        </w:trPr>
        <w:tc>
          <w:tcPr>
            <w:tcW w:w="2140" w:type="dxa"/>
            <w:vMerge w:val="restart"/>
            <w:noWrap/>
            <w:hideMark/>
          </w:tcPr>
          <w:p w14:paraId="706C9E5F" w14:textId="77777777" w:rsidR="00741C01" w:rsidRPr="00A9330B" w:rsidRDefault="00741C01" w:rsidP="00741C01">
            <w:pPr>
              <w:spacing w:line="240" w:lineRule="auto"/>
              <w:rPr>
                <w:rFonts w:cs="Arial"/>
                <w:sz w:val="20"/>
                <w:szCs w:val="20"/>
              </w:rPr>
            </w:pPr>
            <w:r w:rsidRPr="00A9330B">
              <w:rPr>
                <w:rFonts w:cs="Arial"/>
                <w:sz w:val="20"/>
                <w:szCs w:val="20"/>
              </w:rPr>
              <w:t>Biens culturels et cultuels</w:t>
            </w:r>
          </w:p>
        </w:tc>
        <w:tc>
          <w:tcPr>
            <w:tcW w:w="1541" w:type="dxa"/>
            <w:noWrap/>
            <w:hideMark/>
          </w:tcPr>
          <w:p w14:paraId="12048B44" w14:textId="77777777" w:rsidR="00741C01" w:rsidRPr="00A9330B" w:rsidRDefault="00741C01" w:rsidP="00741C01">
            <w:pPr>
              <w:spacing w:line="240" w:lineRule="auto"/>
              <w:jc w:val="left"/>
              <w:rPr>
                <w:rFonts w:cs="Arial"/>
                <w:sz w:val="20"/>
                <w:szCs w:val="20"/>
              </w:rPr>
            </w:pPr>
            <w:r w:rsidRPr="00A9330B">
              <w:rPr>
                <w:rFonts w:cs="Arial"/>
                <w:sz w:val="20"/>
                <w:szCs w:val="20"/>
              </w:rPr>
              <w:t>Arbre fétiche</w:t>
            </w:r>
          </w:p>
        </w:tc>
        <w:tc>
          <w:tcPr>
            <w:tcW w:w="1276" w:type="dxa"/>
            <w:noWrap/>
            <w:hideMark/>
          </w:tcPr>
          <w:p w14:paraId="535F77B5" w14:textId="77777777" w:rsidR="00741C01" w:rsidRPr="00A9330B" w:rsidRDefault="00741C01" w:rsidP="00741C01">
            <w:pPr>
              <w:spacing w:line="240" w:lineRule="auto"/>
              <w:rPr>
                <w:rFonts w:cs="Arial"/>
                <w:sz w:val="20"/>
                <w:szCs w:val="20"/>
              </w:rPr>
            </w:pPr>
            <w:r w:rsidRPr="00A9330B">
              <w:rPr>
                <w:rFonts w:cs="Arial"/>
                <w:sz w:val="20"/>
                <w:szCs w:val="20"/>
              </w:rPr>
              <w:t>2</w:t>
            </w:r>
          </w:p>
        </w:tc>
        <w:tc>
          <w:tcPr>
            <w:tcW w:w="2690" w:type="dxa"/>
            <w:noWrap/>
            <w:hideMark/>
          </w:tcPr>
          <w:p w14:paraId="108049F3" w14:textId="77777777" w:rsidR="00741C01" w:rsidRPr="00A9330B" w:rsidRDefault="00741C01" w:rsidP="00741C01">
            <w:pPr>
              <w:spacing w:line="240" w:lineRule="auto"/>
              <w:rPr>
                <w:rFonts w:cs="Arial"/>
                <w:sz w:val="20"/>
                <w:szCs w:val="20"/>
              </w:rPr>
            </w:pPr>
            <w:r w:rsidRPr="00A9330B">
              <w:rPr>
                <w:rFonts w:cs="Arial"/>
                <w:sz w:val="20"/>
                <w:szCs w:val="20"/>
              </w:rPr>
              <w:t> </w:t>
            </w:r>
          </w:p>
        </w:tc>
      </w:tr>
      <w:tr w:rsidR="00741C01" w:rsidRPr="00A9330B" w14:paraId="5A6EE0DF" w14:textId="77777777" w:rsidTr="00741C01">
        <w:trPr>
          <w:trHeight w:val="300"/>
          <w:jc w:val="center"/>
        </w:trPr>
        <w:tc>
          <w:tcPr>
            <w:tcW w:w="2140" w:type="dxa"/>
            <w:vMerge/>
            <w:hideMark/>
          </w:tcPr>
          <w:p w14:paraId="6B1DF30E" w14:textId="77777777" w:rsidR="00741C01" w:rsidRPr="00A9330B" w:rsidRDefault="00741C01" w:rsidP="00741C01">
            <w:pPr>
              <w:spacing w:line="240" w:lineRule="auto"/>
              <w:rPr>
                <w:rFonts w:cs="Arial"/>
                <w:sz w:val="20"/>
                <w:szCs w:val="20"/>
              </w:rPr>
            </w:pPr>
          </w:p>
        </w:tc>
        <w:tc>
          <w:tcPr>
            <w:tcW w:w="1541" w:type="dxa"/>
            <w:noWrap/>
            <w:hideMark/>
          </w:tcPr>
          <w:p w14:paraId="77024C5B" w14:textId="77777777" w:rsidR="00741C01" w:rsidRPr="00A9330B" w:rsidRDefault="00741C01" w:rsidP="00741C01">
            <w:pPr>
              <w:spacing w:line="240" w:lineRule="auto"/>
              <w:jc w:val="left"/>
              <w:rPr>
                <w:rFonts w:cs="Arial"/>
                <w:sz w:val="20"/>
                <w:szCs w:val="20"/>
              </w:rPr>
            </w:pPr>
            <w:r w:rsidRPr="00A9330B">
              <w:rPr>
                <w:rFonts w:cs="Arial"/>
                <w:sz w:val="20"/>
                <w:szCs w:val="20"/>
              </w:rPr>
              <w:t>Divinité</w:t>
            </w:r>
          </w:p>
        </w:tc>
        <w:tc>
          <w:tcPr>
            <w:tcW w:w="1276" w:type="dxa"/>
            <w:noWrap/>
            <w:hideMark/>
          </w:tcPr>
          <w:p w14:paraId="2E382B08" w14:textId="77777777" w:rsidR="00741C01" w:rsidRPr="00A9330B" w:rsidRDefault="00741C01" w:rsidP="00741C01">
            <w:pPr>
              <w:spacing w:line="240" w:lineRule="auto"/>
              <w:rPr>
                <w:rFonts w:cs="Arial"/>
                <w:sz w:val="20"/>
                <w:szCs w:val="20"/>
              </w:rPr>
            </w:pPr>
            <w:r w:rsidRPr="00A9330B">
              <w:rPr>
                <w:rFonts w:cs="Arial"/>
                <w:sz w:val="20"/>
                <w:szCs w:val="20"/>
              </w:rPr>
              <w:t>1</w:t>
            </w:r>
          </w:p>
        </w:tc>
        <w:tc>
          <w:tcPr>
            <w:tcW w:w="2690" w:type="dxa"/>
            <w:noWrap/>
            <w:hideMark/>
          </w:tcPr>
          <w:p w14:paraId="3BD7A201" w14:textId="77777777" w:rsidR="00741C01" w:rsidRPr="00A9330B" w:rsidRDefault="00741C01" w:rsidP="00741C01">
            <w:pPr>
              <w:spacing w:line="240" w:lineRule="auto"/>
              <w:rPr>
                <w:rFonts w:cs="Arial"/>
                <w:sz w:val="20"/>
                <w:szCs w:val="20"/>
              </w:rPr>
            </w:pPr>
            <w:r w:rsidRPr="00A9330B">
              <w:rPr>
                <w:rFonts w:cs="Arial"/>
                <w:sz w:val="20"/>
                <w:szCs w:val="20"/>
              </w:rPr>
              <w:t> </w:t>
            </w:r>
          </w:p>
        </w:tc>
      </w:tr>
      <w:tr w:rsidR="00741C01" w:rsidRPr="00A9330B" w14:paraId="2D1F69D2" w14:textId="77777777" w:rsidTr="00741C01">
        <w:trPr>
          <w:trHeight w:val="300"/>
          <w:jc w:val="center"/>
        </w:trPr>
        <w:tc>
          <w:tcPr>
            <w:tcW w:w="2140" w:type="dxa"/>
            <w:vMerge/>
            <w:hideMark/>
          </w:tcPr>
          <w:p w14:paraId="6AB5A30D" w14:textId="77777777" w:rsidR="00741C01" w:rsidRPr="00A9330B" w:rsidRDefault="00741C01" w:rsidP="00741C01">
            <w:pPr>
              <w:spacing w:line="240" w:lineRule="auto"/>
              <w:rPr>
                <w:rFonts w:cs="Arial"/>
                <w:sz w:val="20"/>
                <w:szCs w:val="20"/>
              </w:rPr>
            </w:pPr>
          </w:p>
        </w:tc>
        <w:tc>
          <w:tcPr>
            <w:tcW w:w="1541" w:type="dxa"/>
            <w:noWrap/>
            <w:hideMark/>
          </w:tcPr>
          <w:p w14:paraId="553D13F8" w14:textId="77777777" w:rsidR="00741C01" w:rsidRPr="00A9330B" w:rsidRDefault="00741C01" w:rsidP="00741C01">
            <w:pPr>
              <w:spacing w:line="240" w:lineRule="auto"/>
              <w:jc w:val="left"/>
              <w:rPr>
                <w:rFonts w:cs="Arial"/>
                <w:sz w:val="20"/>
                <w:szCs w:val="20"/>
              </w:rPr>
            </w:pPr>
            <w:r w:rsidRPr="00A9330B">
              <w:rPr>
                <w:rFonts w:cs="Arial"/>
                <w:sz w:val="20"/>
                <w:szCs w:val="20"/>
              </w:rPr>
              <w:t>Lieu sacré</w:t>
            </w:r>
          </w:p>
        </w:tc>
        <w:tc>
          <w:tcPr>
            <w:tcW w:w="1276" w:type="dxa"/>
            <w:noWrap/>
            <w:hideMark/>
          </w:tcPr>
          <w:p w14:paraId="233400AA" w14:textId="77777777" w:rsidR="00741C01" w:rsidRPr="00A9330B" w:rsidRDefault="00741C01" w:rsidP="00741C01">
            <w:pPr>
              <w:spacing w:line="240" w:lineRule="auto"/>
              <w:rPr>
                <w:rFonts w:cs="Arial"/>
                <w:sz w:val="20"/>
                <w:szCs w:val="20"/>
              </w:rPr>
            </w:pPr>
            <w:r w:rsidRPr="00A9330B">
              <w:rPr>
                <w:rFonts w:cs="Arial"/>
                <w:sz w:val="20"/>
                <w:szCs w:val="20"/>
              </w:rPr>
              <w:t>1</w:t>
            </w:r>
          </w:p>
        </w:tc>
        <w:tc>
          <w:tcPr>
            <w:tcW w:w="2690" w:type="dxa"/>
            <w:noWrap/>
            <w:hideMark/>
          </w:tcPr>
          <w:p w14:paraId="1D0A3EFE" w14:textId="77777777" w:rsidR="00741C01" w:rsidRPr="00A9330B" w:rsidRDefault="00741C01" w:rsidP="00741C01">
            <w:pPr>
              <w:spacing w:line="240" w:lineRule="auto"/>
              <w:rPr>
                <w:rFonts w:cs="Arial"/>
                <w:sz w:val="20"/>
                <w:szCs w:val="20"/>
              </w:rPr>
            </w:pPr>
            <w:r w:rsidRPr="00A9330B">
              <w:rPr>
                <w:rFonts w:cs="Arial"/>
                <w:sz w:val="20"/>
                <w:szCs w:val="20"/>
              </w:rPr>
              <w:t> </w:t>
            </w:r>
          </w:p>
        </w:tc>
      </w:tr>
      <w:tr w:rsidR="00741C01" w:rsidRPr="00A9330B" w14:paraId="08F42354" w14:textId="77777777" w:rsidTr="00741C01">
        <w:trPr>
          <w:trHeight w:val="300"/>
          <w:jc w:val="center"/>
        </w:trPr>
        <w:tc>
          <w:tcPr>
            <w:tcW w:w="2140" w:type="dxa"/>
            <w:vMerge/>
            <w:hideMark/>
          </w:tcPr>
          <w:p w14:paraId="292B6512" w14:textId="77777777" w:rsidR="00741C01" w:rsidRPr="00A9330B" w:rsidRDefault="00741C01" w:rsidP="00741C01">
            <w:pPr>
              <w:spacing w:line="240" w:lineRule="auto"/>
              <w:rPr>
                <w:rFonts w:cs="Arial"/>
                <w:sz w:val="20"/>
                <w:szCs w:val="20"/>
              </w:rPr>
            </w:pPr>
          </w:p>
        </w:tc>
        <w:tc>
          <w:tcPr>
            <w:tcW w:w="1541" w:type="dxa"/>
            <w:noWrap/>
            <w:hideMark/>
          </w:tcPr>
          <w:p w14:paraId="00D13DD5" w14:textId="77777777" w:rsidR="00741C01" w:rsidRPr="00A9330B" w:rsidRDefault="00741C01" w:rsidP="00741C01">
            <w:pPr>
              <w:spacing w:line="240" w:lineRule="auto"/>
              <w:jc w:val="left"/>
              <w:rPr>
                <w:rFonts w:cs="Arial"/>
                <w:sz w:val="20"/>
                <w:szCs w:val="20"/>
              </w:rPr>
            </w:pPr>
            <w:r w:rsidRPr="00A9330B">
              <w:rPr>
                <w:rFonts w:cs="Arial"/>
                <w:sz w:val="20"/>
                <w:szCs w:val="20"/>
              </w:rPr>
              <w:t>Tombe</w:t>
            </w:r>
          </w:p>
        </w:tc>
        <w:tc>
          <w:tcPr>
            <w:tcW w:w="1276" w:type="dxa"/>
            <w:noWrap/>
            <w:hideMark/>
          </w:tcPr>
          <w:p w14:paraId="763DC322" w14:textId="77777777" w:rsidR="00741C01" w:rsidRPr="00A9330B" w:rsidRDefault="00741C01" w:rsidP="00741C01">
            <w:pPr>
              <w:spacing w:line="240" w:lineRule="auto"/>
              <w:rPr>
                <w:rFonts w:cs="Arial"/>
                <w:sz w:val="20"/>
                <w:szCs w:val="20"/>
              </w:rPr>
            </w:pPr>
            <w:r w:rsidRPr="00A9330B">
              <w:rPr>
                <w:rFonts w:cs="Arial"/>
                <w:sz w:val="20"/>
                <w:szCs w:val="20"/>
              </w:rPr>
              <w:t>3</w:t>
            </w:r>
          </w:p>
        </w:tc>
        <w:tc>
          <w:tcPr>
            <w:tcW w:w="2690" w:type="dxa"/>
            <w:noWrap/>
            <w:hideMark/>
          </w:tcPr>
          <w:p w14:paraId="3A73D661" w14:textId="77777777" w:rsidR="00741C01" w:rsidRPr="00A9330B" w:rsidRDefault="00741C01" w:rsidP="00741C01">
            <w:pPr>
              <w:spacing w:line="240" w:lineRule="auto"/>
              <w:rPr>
                <w:rFonts w:cs="Arial"/>
                <w:sz w:val="20"/>
                <w:szCs w:val="20"/>
              </w:rPr>
            </w:pPr>
            <w:r w:rsidRPr="00A9330B">
              <w:rPr>
                <w:rFonts w:cs="Arial"/>
                <w:sz w:val="20"/>
                <w:szCs w:val="20"/>
              </w:rPr>
              <w:t> </w:t>
            </w:r>
          </w:p>
        </w:tc>
      </w:tr>
      <w:tr w:rsidR="00741C01" w:rsidRPr="00A9330B" w14:paraId="7B3D1BB6" w14:textId="77777777" w:rsidTr="00741C01">
        <w:trPr>
          <w:trHeight w:val="300"/>
          <w:jc w:val="center"/>
        </w:trPr>
        <w:tc>
          <w:tcPr>
            <w:tcW w:w="2140" w:type="dxa"/>
            <w:noWrap/>
            <w:hideMark/>
          </w:tcPr>
          <w:p w14:paraId="18FC0A0F" w14:textId="77777777" w:rsidR="00741C01" w:rsidRPr="00A9330B" w:rsidRDefault="00741C01" w:rsidP="00741C01">
            <w:pPr>
              <w:spacing w:line="240" w:lineRule="auto"/>
              <w:rPr>
                <w:rFonts w:cs="Arial"/>
                <w:sz w:val="20"/>
                <w:szCs w:val="20"/>
              </w:rPr>
            </w:pPr>
            <w:r w:rsidRPr="00A9330B">
              <w:rPr>
                <w:rFonts w:cs="Arial"/>
                <w:sz w:val="20"/>
                <w:szCs w:val="20"/>
              </w:rPr>
              <w:t>Biens socio-communautaires</w:t>
            </w:r>
          </w:p>
        </w:tc>
        <w:tc>
          <w:tcPr>
            <w:tcW w:w="1541" w:type="dxa"/>
            <w:noWrap/>
            <w:hideMark/>
          </w:tcPr>
          <w:p w14:paraId="181AB24D" w14:textId="77777777" w:rsidR="00741C01" w:rsidRPr="00A9330B" w:rsidRDefault="00741C01" w:rsidP="00741C01">
            <w:pPr>
              <w:spacing w:line="240" w:lineRule="auto"/>
              <w:jc w:val="left"/>
              <w:rPr>
                <w:rFonts w:cs="Arial"/>
                <w:sz w:val="20"/>
                <w:szCs w:val="20"/>
              </w:rPr>
            </w:pPr>
            <w:r w:rsidRPr="00A9330B">
              <w:rPr>
                <w:rFonts w:cs="Arial"/>
                <w:sz w:val="20"/>
                <w:szCs w:val="20"/>
              </w:rPr>
              <w:t>Clôture d'Internat</w:t>
            </w:r>
          </w:p>
        </w:tc>
        <w:tc>
          <w:tcPr>
            <w:tcW w:w="1276" w:type="dxa"/>
            <w:noWrap/>
            <w:hideMark/>
          </w:tcPr>
          <w:p w14:paraId="5336E713" w14:textId="77777777" w:rsidR="00741C01" w:rsidRPr="00A9330B" w:rsidRDefault="00741C01" w:rsidP="00741C01">
            <w:pPr>
              <w:spacing w:line="240" w:lineRule="auto"/>
              <w:rPr>
                <w:rFonts w:cs="Arial"/>
                <w:sz w:val="20"/>
                <w:szCs w:val="20"/>
              </w:rPr>
            </w:pPr>
            <w:r w:rsidRPr="00A9330B">
              <w:rPr>
                <w:rFonts w:cs="Arial"/>
                <w:sz w:val="20"/>
                <w:szCs w:val="20"/>
              </w:rPr>
              <w:t> </w:t>
            </w:r>
          </w:p>
        </w:tc>
        <w:tc>
          <w:tcPr>
            <w:tcW w:w="2690" w:type="dxa"/>
            <w:noWrap/>
            <w:hideMark/>
          </w:tcPr>
          <w:p w14:paraId="7C4B9918" w14:textId="77777777" w:rsidR="00741C01" w:rsidRPr="00A9330B" w:rsidRDefault="00741C01" w:rsidP="00741C01">
            <w:pPr>
              <w:spacing w:line="240" w:lineRule="auto"/>
              <w:rPr>
                <w:rFonts w:cs="Arial"/>
                <w:sz w:val="20"/>
                <w:szCs w:val="20"/>
              </w:rPr>
            </w:pPr>
            <w:r w:rsidRPr="00A9330B">
              <w:rPr>
                <w:rFonts w:cs="Arial"/>
                <w:sz w:val="20"/>
                <w:szCs w:val="20"/>
              </w:rPr>
              <w:t>200</w:t>
            </w:r>
          </w:p>
        </w:tc>
      </w:tr>
    </w:tbl>
    <w:p w14:paraId="2F8FC42F" w14:textId="77777777" w:rsidR="00350C9E" w:rsidRPr="00A9330B" w:rsidRDefault="00350C9E" w:rsidP="001777E6">
      <w:pPr>
        <w:spacing w:after="120" w:line="360" w:lineRule="auto"/>
        <w:ind w:firstLine="708"/>
        <w:rPr>
          <w:rFonts w:eastAsia="Calibri" w:cs="Arial"/>
          <w:b/>
          <w:color w:val="auto"/>
          <w:sz w:val="20"/>
          <w:szCs w:val="20"/>
          <w:lang w:eastAsia="fr-FR"/>
        </w:rPr>
      </w:pPr>
      <w:r w:rsidRPr="00A9330B">
        <w:rPr>
          <w:rFonts w:eastAsia="Calibri" w:cs="Arial"/>
          <w:b/>
          <w:color w:val="auto"/>
          <w:sz w:val="20"/>
          <w:szCs w:val="20"/>
          <w:lang w:eastAsia="fr-FR"/>
        </w:rPr>
        <w:t>Source : CECO-BTP, juin 2020</w:t>
      </w:r>
    </w:p>
    <w:p w14:paraId="3966067B" w14:textId="7576659E" w:rsidR="00350C9E" w:rsidRPr="00A9330B" w:rsidRDefault="001777E6" w:rsidP="000F7BA7">
      <w:pPr>
        <w:pStyle w:val="Titre20"/>
        <w:rPr>
          <w:rFonts w:eastAsia="Times New Roman" w:cs="Times New Roman"/>
          <w:b/>
          <w:bCs/>
          <w:iCs/>
          <w:szCs w:val="20"/>
          <w:lang w:eastAsia="fr-FR"/>
        </w:rPr>
      </w:pPr>
      <w:bookmarkStart w:id="2051" w:name="_Toc52869732"/>
      <w:bookmarkStart w:id="2052" w:name="_Toc52869882"/>
      <w:r w:rsidRPr="00A9330B">
        <w:t xml:space="preserve">10 .11. </w:t>
      </w:r>
      <w:hyperlink w:anchor="_Toc530601808" w:history="1">
        <w:bookmarkStart w:id="2053" w:name="_Toc44771445"/>
        <w:r w:rsidR="00350C9E" w:rsidRPr="00A9330B">
          <w:rPr>
            <w:rFonts w:eastAsia="Times New Roman" w:cs="Times New Roman"/>
            <w:b/>
            <w:bCs/>
            <w:iCs/>
            <w:szCs w:val="20"/>
            <w:lang w:eastAsia="fr-FR"/>
          </w:rPr>
          <w:t>Processus d’indemnisation</w:t>
        </w:r>
        <w:bookmarkEnd w:id="2051"/>
        <w:bookmarkEnd w:id="2052"/>
        <w:bookmarkEnd w:id="2053"/>
      </w:hyperlink>
    </w:p>
    <w:p w14:paraId="1A137A7F" w14:textId="77777777" w:rsidR="00350C9E" w:rsidRPr="00A9330B" w:rsidRDefault="00350C9E" w:rsidP="000566F0">
      <w:pPr>
        <w:spacing w:before="60" w:line="240" w:lineRule="auto"/>
        <w:jc w:val="both"/>
        <w:rPr>
          <w:rFonts w:eastAsia="Times New Roman" w:cs="Arial"/>
          <w:color w:val="000000"/>
          <w:lang w:eastAsia="de-DE"/>
        </w:rPr>
      </w:pPr>
      <w:r w:rsidRPr="00A9330B">
        <w:rPr>
          <w:rFonts w:eastAsia="Times New Roman" w:cs="Arial"/>
          <w:color w:val="000000"/>
          <w:lang w:eastAsia="de-DE"/>
        </w:rPr>
        <w:t>Le processus d’indemnisation se décline par les étapes suivantes :</w:t>
      </w:r>
    </w:p>
    <w:p w14:paraId="784F1D7F" w14:textId="77777777" w:rsidR="00350C9E" w:rsidRPr="00A9330B" w:rsidRDefault="00350C9E" w:rsidP="00BD2F72">
      <w:pPr>
        <w:numPr>
          <w:ilvl w:val="0"/>
          <w:numId w:val="89"/>
        </w:numPr>
        <w:spacing w:before="60" w:line="240" w:lineRule="auto"/>
        <w:jc w:val="both"/>
        <w:rPr>
          <w:rFonts w:eastAsia="Calibri" w:cs="Arial"/>
          <w:color w:val="auto"/>
          <w:lang w:eastAsia="de-DE"/>
        </w:rPr>
      </w:pPr>
      <w:r w:rsidRPr="00A9330B">
        <w:rPr>
          <w:rFonts w:eastAsia="Calibri" w:cs="Arial"/>
          <w:color w:val="auto"/>
          <w:lang w:eastAsia="de-DE"/>
        </w:rPr>
        <w:t>Divulgation et consultation relatives aux critères d’éligibilité et aux principes d’indemnisation ;</w:t>
      </w:r>
    </w:p>
    <w:p w14:paraId="0E2B764B" w14:textId="77777777" w:rsidR="00350C9E" w:rsidRPr="00A9330B" w:rsidRDefault="00350C9E" w:rsidP="00BD2F72">
      <w:pPr>
        <w:numPr>
          <w:ilvl w:val="0"/>
          <w:numId w:val="89"/>
        </w:numPr>
        <w:spacing w:before="60" w:line="240" w:lineRule="auto"/>
        <w:jc w:val="both"/>
        <w:rPr>
          <w:rFonts w:eastAsia="Calibri" w:cs="Arial"/>
          <w:color w:val="auto"/>
          <w:lang w:eastAsia="de-DE"/>
        </w:rPr>
      </w:pPr>
      <w:r w:rsidRPr="00A9330B">
        <w:rPr>
          <w:rFonts w:eastAsia="Calibri" w:cs="Arial"/>
          <w:color w:val="auto"/>
          <w:lang w:eastAsia="de-DE"/>
        </w:rPr>
        <w:t>Acceptation par chaque PAP des caractéristiques des biens affectés ;</w:t>
      </w:r>
    </w:p>
    <w:p w14:paraId="3465D71D" w14:textId="77777777" w:rsidR="00350C9E" w:rsidRPr="00A9330B" w:rsidRDefault="00350C9E" w:rsidP="00BD2F72">
      <w:pPr>
        <w:numPr>
          <w:ilvl w:val="0"/>
          <w:numId w:val="89"/>
        </w:numPr>
        <w:spacing w:before="60" w:line="240" w:lineRule="auto"/>
        <w:jc w:val="both"/>
        <w:rPr>
          <w:rFonts w:eastAsia="Calibri" w:cs="Arial"/>
          <w:color w:val="auto"/>
          <w:lang w:eastAsia="de-DE"/>
        </w:rPr>
      </w:pPr>
      <w:r w:rsidRPr="00A9330B">
        <w:rPr>
          <w:rFonts w:eastAsia="Calibri" w:cs="Arial"/>
          <w:color w:val="auto"/>
          <w:lang w:eastAsia="de-DE"/>
        </w:rPr>
        <w:t>Estimation des pertes individuelles et collectives ;</w:t>
      </w:r>
    </w:p>
    <w:p w14:paraId="41FA5265" w14:textId="77777777" w:rsidR="00350C9E" w:rsidRPr="00A9330B" w:rsidRDefault="00350C9E" w:rsidP="00BD2F72">
      <w:pPr>
        <w:numPr>
          <w:ilvl w:val="0"/>
          <w:numId w:val="89"/>
        </w:numPr>
        <w:spacing w:before="60" w:line="240" w:lineRule="auto"/>
        <w:jc w:val="both"/>
        <w:rPr>
          <w:rFonts w:eastAsia="Calibri" w:cs="Arial"/>
          <w:color w:val="auto"/>
          <w:lang w:eastAsia="de-DE"/>
        </w:rPr>
      </w:pPr>
      <w:r w:rsidRPr="00A9330B">
        <w:rPr>
          <w:rFonts w:eastAsia="Calibri" w:cs="Arial"/>
          <w:color w:val="auto"/>
          <w:lang w:eastAsia="de-DE"/>
        </w:rPr>
        <w:t>Négociation avec les PAP des compensations accordées ;</w:t>
      </w:r>
    </w:p>
    <w:p w14:paraId="3B37C4E2" w14:textId="77777777" w:rsidR="00350C9E" w:rsidRPr="00A9330B" w:rsidRDefault="00350C9E" w:rsidP="00BD2F72">
      <w:pPr>
        <w:numPr>
          <w:ilvl w:val="0"/>
          <w:numId w:val="89"/>
        </w:numPr>
        <w:spacing w:before="60" w:line="240" w:lineRule="auto"/>
        <w:jc w:val="both"/>
        <w:rPr>
          <w:rFonts w:eastAsia="Calibri" w:cs="Arial"/>
          <w:color w:val="auto"/>
          <w:lang w:eastAsia="de-DE"/>
        </w:rPr>
      </w:pPr>
      <w:r w:rsidRPr="00A9330B">
        <w:rPr>
          <w:rFonts w:eastAsia="Calibri" w:cs="Arial"/>
          <w:color w:val="auto"/>
          <w:lang w:eastAsia="de-DE"/>
        </w:rPr>
        <w:t>Conclusion d’ententes ou tentative de médiation ;</w:t>
      </w:r>
    </w:p>
    <w:p w14:paraId="6588E3EC" w14:textId="77777777" w:rsidR="00350C9E" w:rsidRPr="00A9330B" w:rsidRDefault="00350C9E" w:rsidP="00BD2F72">
      <w:pPr>
        <w:numPr>
          <w:ilvl w:val="0"/>
          <w:numId w:val="89"/>
        </w:numPr>
        <w:spacing w:before="60" w:line="240" w:lineRule="auto"/>
        <w:jc w:val="both"/>
        <w:rPr>
          <w:rFonts w:eastAsia="Calibri" w:cs="Arial"/>
          <w:color w:val="auto"/>
          <w:lang w:eastAsia="de-DE"/>
        </w:rPr>
      </w:pPr>
      <w:r w:rsidRPr="00A9330B">
        <w:rPr>
          <w:rFonts w:eastAsia="Calibri" w:cs="Arial"/>
          <w:color w:val="auto"/>
          <w:lang w:eastAsia="de-DE"/>
        </w:rPr>
        <w:t>Paiement des indemnités ;</w:t>
      </w:r>
    </w:p>
    <w:p w14:paraId="4F9CBC0F" w14:textId="77777777" w:rsidR="00350C9E" w:rsidRPr="00A9330B" w:rsidRDefault="00350C9E" w:rsidP="00BD2F72">
      <w:pPr>
        <w:numPr>
          <w:ilvl w:val="0"/>
          <w:numId w:val="89"/>
        </w:numPr>
        <w:spacing w:before="60" w:line="240" w:lineRule="auto"/>
        <w:jc w:val="both"/>
        <w:rPr>
          <w:rFonts w:eastAsia="Calibri" w:cs="Arial"/>
          <w:color w:val="auto"/>
          <w:lang w:eastAsia="de-DE"/>
        </w:rPr>
      </w:pPr>
      <w:r w:rsidRPr="00A9330B">
        <w:rPr>
          <w:rFonts w:eastAsia="Calibri" w:cs="Arial"/>
          <w:color w:val="auto"/>
          <w:lang w:eastAsia="de-DE"/>
        </w:rPr>
        <w:t>Appui aux personnes affectées ;</w:t>
      </w:r>
    </w:p>
    <w:p w14:paraId="4AE777CC" w14:textId="77777777" w:rsidR="00350C9E" w:rsidRPr="00A9330B" w:rsidRDefault="00350C9E" w:rsidP="00BD2F72">
      <w:pPr>
        <w:numPr>
          <w:ilvl w:val="0"/>
          <w:numId w:val="89"/>
        </w:numPr>
        <w:spacing w:before="60" w:line="240" w:lineRule="auto"/>
        <w:jc w:val="both"/>
        <w:rPr>
          <w:rFonts w:eastAsia="Calibri" w:cs="Arial"/>
          <w:color w:val="auto"/>
          <w:lang w:eastAsia="de-DE"/>
        </w:rPr>
      </w:pPr>
      <w:r w:rsidRPr="00A9330B">
        <w:rPr>
          <w:rFonts w:eastAsia="Calibri" w:cs="Arial"/>
          <w:color w:val="auto"/>
          <w:lang w:eastAsia="de-DE"/>
        </w:rPr>
        <w:t>Règlement des litiges.</w:t>
      </w:r>
    </w:p>
    <w:p w14:paraId="2CEB999D" w14:textId="4B4908EC" w:rsidR="00350C9E" w:rsidRPr="00A9330B" w:rsidRDefault="001777E6" w:rsidP="000F7BA7">
      <w:pPr>
        <w:pStyle w:val="Titre20"/>
        <w:rPr>
          <w:rFonts w:eastAsia="Times New Roman"/>
          <w:lang w:eastAsia="fr-FR"/>
        </w:rPr>
      </w:pPr>
      <w:bookmarkStart w:id="2054" w:name="_Toc44771446"/>
      <w:bookmarkStart w:id="2055" w:name="_Toc52869733"/>
      <w:bookmarkStart w:id="2056" w:name="_Toc52869883"/>
      <w:r w:rsidRPr="00A9330B">
        <w:rPr>
          <w:rFonts w:eastAsia="Times New Roman"/>
          <w:lang w:eastAsia="fr-FR"/>
        </w:rPr>
        <w:lastRenderedPageBreak/>
        <w:t xml:space="preserve">10.12. </w:t>
      </w:r>
      <w:r w:rsidR="00350C9E" w:rsidRPr="00A9330B">
        <w:rPr>
          <w:rFonts w:eastAsia="Times New Roman"/>
          <w:lang w:eastAsia="fr-FR"/>
        </w:rPr>
        <w:t>Mesures de compensation</w:t>
      </w:r>
      <w:bookmarkEnd w:id="2054"/>
      <w:bookmarkEnd w:id="2055"/>
      <w:bookmarkEnd w:id="2056"/>
      <w:r w:rsidR="00350C9E" w:rsidRPr="00A9330B">
        <w:rPr>
          <w:rFonts w:eastAsia="Times New Roman"/>
          <w:lang w:eastAsia="fr-FR"/>
        </w:rPr>
        <w:t xml:space="preserve"> </w:t>
      </w:r>
    </w:p>
    <w:p w14:paraId="6570E0F8" w14:textId="77777777" w:rsidR="00350C9E" w:rsidRPr="00A9330B" w:rsidRDefault="00350C9E" w:rsidP="00350C9E">
      <w:pPr>
        <w:spacing w:after="120" w:line="312" w:lineRule="auto"/>
        <w:jc w:val="both"/>
        <w:rPr>
          <w:rFonts w:eastAsia="Calibri" w:cs="Times New Roman"/>
          <w:color w:val="auto"/>
          <w:szCs w:val="24"/>
          <w:lang w:eastAsia="de-DE"/>
        </w:rPr>
      </w:pPr>
      <w:r w:rsidRPr="00A9330B">
        <w:rPr>
          <w:rFonts w:eastAsia="Calibri" w:cs="Times New Roman"/>
          <w:color w:val="auto"/>
          <w:szCs w:val="24"/>
          <w:lang w:eastAsia="de-DE"/>
        </w:rPr>
        <w:t>Les compensations prévues pour chaque type de pertes sont détaillées selon que cette perte soit définitive ou temporaire et sont calculées sur la base de la matrice ci-après. Les compensations en espèces et en nature seront réglées avant tout déplacement ou perte effective des biens affectés.</w:t>
      </w:r>
    </w:p>
    <w:p w14:paraId="36736821" w14:textId="47875A9C" w:rsidR="00350C9E" w:rsidRPr="00A9330B" w:rsidRDefault="001777E6" w:rsidP="000566F0">
      <w:pPr>
        <w:keepNext/>
        <w:spacing w:after="120" w:line="240" w:lineRule="auto"/>
        <w:jc w:val="center"/>
        <w:rPr>
          <w:rFonts w:eastAsia="Times New Roman" w:cs="Arial"/>
          <w:b/>
          <w:color w:val="000000"/>
          <w:sz w:val="20"/>
          <w:szCs w:val="20"/>
        </w:rPr>
      </w:pPr>
      <w:bookmarkStart w:id="2057" w:name="_Toc52873792"/>
      <w:r w:rsidRPr="00A9330B">
        <w:rPr>
          <w:b/>
          <w:sz w:val="20"/>
          <w:szCs w:val="20"/>
        </w:rPr>
        <w:t xml:space="preserve">Tableau </w:t>
      </w:r>
      <w:r w:rsidRPr="00A9330B">
        <w:rPr>
          <w:b/>
          <w:sz w:val="20"/>
          <w:szCs w:val="20"/>
        </w:rPr>
        <w:fldChar w:fldCharType="begin"/>
      </w:r>
      <w:r w:rsidRPr="00A9330B">
        <w:rPr>
          <w:b/>
          <w:sz w:val="20"/>
          <w:szCs w:val="20"/>
        </w:rPr>
        <w:instrText xml:space="preserve"> SEQ Tableau \* ARABIC </w:instrText>
      </w:r>
      <w:r w:rsidRPr="00A9330B">
        <w:rPr>
          <w:b/>
          <w:sz w:val="20"/>
          <w:szCs w:val="20"/>
        </w:rPr>
        <w:fldChar w:fldCharType="separate"/>
      </w:r>
      <w:r w:rsidR="00741C01" w:rsidRPr="00A9330B">
        <w:rPr>
          <w:b/>
          <w:noProof/>
          <w:sz w:val="20"/>
          <w:szCs w:val="20"/>
        </w:rPr>
        <w:t>68</w:t>
      </w:r>
      <w:r w:rsidRPr="00A9330B">
        <w:rPr>
          <w:b/>
          <w:sz w:val="20"/>
          <w:szCs w:val="20"/>
        </w:rPr>
        <w:fldChar w:fldCharType="end"/>
      </w:r>
      <w:r w:rsidRPr="00A9330B">
        <w:rPr>
          <w:b/>
          <w:sz w:val="20"/>
          <w:szCs w:val="20"/>
        </w:rPr>
        <w:t xml:space="preserve"> </w:t>
      </w:r>
      <w:r w:rsidRPr="00A9330B">
        <w:rPr>
          <w:b/>
          <w:color w:val="000000"/>
          <w:sz w:val="20"/>
          <w:szCs w:val="20"/>
        </w:rPr>
        <w:t>:</w:t>
      </w:r>
      <w:r w:rsidR="00350C9E" w:rsidRPr="00A9330B">
        <w:rPr>
          <w:rFonts w:eastAsia="Times New Roman" w:cs="Arial"/>
          <w:b/>
          <w:color w:val="000000"/>
          <w:sz w:val="20"/>
          <w:szCs w:val="20"/>
        </w:rPr>
        <w:t> Matrice d’indemnisation</w:t>
      </w:r>
      <w:bookmarkEnd w:id="2057"/>
    </w:p>
    <w:tbl>
      <w:tblPr>
        <w:tblW w:w="910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94"/>
        <w:gridCol w:w="2126"/>
        <w:gridCol w:w="1063"/>
        <w:gridCol w:w="1347"/>
        <w:gridCol w:w="1871"/>
      </w:tblGrid>
      <w:tr w:rsidR="00350C9E" w:rsidRPr="00A9330B" w14:paraId="7563A006" w14:textId="77777777" w:rsidTr="006721DD">
        <w:trPr>
          <w:trHeight w:val="441"/>
          <w:tblHeader/>
        </w:trPr>
        <w:tc>
          <w:tcPr>
            <w:tcW w:w="2694" w:type="dxa"/>
            <w:tcBorders>
              <w:top w:val="single" w:sz="4" w:space="0" w:color="auto"/>
              <w:left w:val="single" w:sz="4" w:space="0" w:color="auto"/>
              <w:bottom w:val="single" w:sz="4" w:space="0" w:color="auto"/>
              <w:right w:val="single" w:sz="4" w:space="0" w:color="auto"/>
            </w:tcBorders>
            <w:shd w:val="clear" w:color="auto" w:fill="00B0F0"/>
            <w:vAlign w:val="center"/>
          </w:tcPr>
          <w:p w14:paraId="046E9242" w14:textId="77777777" w:rsidR="00350C9E" w:rsidRPr="00A9330B" w:rsidRDefault="00350C9E" w:rsidP="006721DD">
            <w:pPr>
              <w:spacing w:before="80" w:line="240" w:lineRule="auto"/>
              <w:jc w:val="both"/>
              <w:rPr>
                <w:rFonts w:eastAsia="Calibri" w:cs="Arial"/>
                <w:b/>
                <w:color w:val="auto"/>
                <w:sz w:val="20"/>
                <w:szCs w:val="20"/>
              </w:rPr>
            </w:pPr>
            <w:r w:rsidRPr="00A9330B">
              <w:rPr>
                <w:rFonts w:eastAsia="Calibri" w:cs="Arial"/>
                <w:b/>
                <w:color w:val="auto"/>
                <w:sz w:val="20"/>
                <w:szCs w:val="20"/>
              </w:rPr>
              <w:t>Type de perte</w:t>
            </w:r>
          </w:p>
        </w:tc>
        <w:tc>
          <w:tcPr>
            <w:tcW w:w="2126" w:type="dxa"/>
            <w:tcBorders>
              <w:top w:val="single" w:sz="4" w:space="0" w:color="auto"/>
              <w:left w:val="single" w:sz="4" w:space="0" w:color="auto"/>
              <w:bottom w:val="single" w:sz="4" w:space="0" w:color="auto"/>
              <w:right w:val="single" w:sz="4" w:space="0" w:color="auto"/>
            </w:tcBorders>
            <w:shd w:val="clear" w:color="auto" w:fill="00B0F0"/>
            <w:vAlign w:val="center"/>
          </w:tcPr>
          <w:p w14:paraId="20EDA068" w14:textId="77777777" w:rsidR="00350C9E" w:rsidRPr="00A9330B" w:rsidRDefault="00350C9E" w:rsidP="006721DD">
            <w:pPr>
              <w:spacing w:before="80" w:line="240" w:lineRule="auto"/>
              <w:jc w:val="center"/>
              <w:rPr>
                <w:rFonts w:eastAsia="Calibri" w:cs="Arial"/>
                <w:b/>
                <w:color w:val="auto"/>
                <w:sz w:val="20"/>
                <w:szCs w:val="20"/>
              </w:rPr>
            </w:pPr>
            <w:r w:rsidRPr="00A9330B">
              <w:rPr>
                <w:rFonts w:eastAsia="Calibri" w:cs="Arial"/>
                <w:b/>
                <w:color w:val="auto"/>
                <w:sz w:val="20"/>
                <w:szCs w:val="20"/>
              </w:rPr>
              <w:t>Catégorie de PAP</w:t>
            </w:r>
          </w:p>
        </w:tc>
        <w:tc>
          <w:tcPr>
            <w:tcW w:w="2410" w:type="dxa"/>
            <w:gridSpan w:val="2"/>
            <w:tcBorders>
              <w:top w:val="single" w:sz="4" w:space="0" w:color="auto"/>
              <w:left w:val="single" w:sz="4" w:space="0" w:color="auto"/>
              <w:bottom w:val="single" w:sz="4" w:space="0" w:color="auto"/>
              <w:right w:val="single" w:sz="4" w:space="0" w:color="auto"/>
            </w:tcBorders>
            <w:shd w:val="clear" w:color="auto" w:fill="00B0F0"/>
            <w:vAlign w:val="center"/>
          </w:tcPr>
          <w:p w14:paraId="572F729F" w14:textId="77777777" w:rsidR="00350C9E" w:rsidRPr="00A9330B" w:rsidRDefault="00350C9E" w:rsidP="006721DD">
            <w:pPr>
              <w:spacing w:before="80" w:line="240" w:lineRule="auto"/>
              <w:jc w:val="center"/>
              <w:rPr>
                <w:rFonts w:eastAsia="Calibri" w:cs="Arial"/>
                <w:b/>
                <w:color w:val="auto"/>
                <w:sz w:val="20"/>
                <w:szCs w:val="20"/>
              </w:rPr>
            </w:pPr>
            <w:r w:rsidRPr="00A9330B">
              <w:rPr>
                <w:rFonts w:eastAsia="Calibri" w:cs="Arial"/>
                <w:b/>
                <w:color w:val="auto"/>
                <w:sz w:val="20"/>
                <w:szCs w:val="20"/>
              </w:rPr>
              <w:t>Indemnisations</w:t>
            </w:r>
          </w:p>
        </w:tc>
        <w:tc>
          <w:tcPr>
            <w:tcW w:w="1871" w:type="dxa"/>
            <w:tcBorders>
              <w:top w:val="single" w:sz="4" w:space="0" w:color="auto"/>
              <w:left w:val="single" w:sz="4" w:space="0" w:color="auto"/>
              <w:bottom w:val="single" w:sz="4" w:space="0" w:color="auto"/>
              <w:right w:val="single" w:sz="4" w:space="0" w:color="auto"/>
            </w:tcBorders>
            <w:shd w:val="clear" w:color="auto" w:fill="00B0F0"/>
            <w:vAlign w:val="center"/>
          </w:tcPr>
          <w:p w14:paraId="524D2A7B" w14:textId="77777777" w:rsidR="00350C9E" w:rsidRPr="00A9330B" w:rsidRDefault="00350C9E" w:rsidP="006721DD">
            <w:pPr>
              <w:spacing w:before="80" w:line="240" w:lineRule="auto"/>
              <w:jc w:val="center"/>
              <w:rPr>
                <w:rFonts w:eastAsia="Calibri" w:cs="Arial"/>
                <w:b/>
                <w:color w:val="auto"/>
                <w:sz w:val="20"/>
                <w:szCs w:val="20"/>
              </w:rPr>
            </w:pPr>
            <w:r w:rsidRPr="00A9330B">
              <w:rPr>
                <w:rFonts w:eastAsia="Calibri" w:cs="Arial"/>
                <w:b/>
                <w:color w:val="auto"/>
                <w:sz w:val="20"/>
                <w:szCs w:val="20"/>
              </w:rPr>
              <w:t>Mesures d’appui</w:t>
            </w:r>
          </w:p>
        </w:tc>
      </w:tr>
      <w:tr w:rsidR="00350C9E" w:rsidRPr="00A9330B" w14:paraId="7F42ED68" w14:textId="77777777" w:rsidTr="006721DD">
        <w:trPr>
          <w:trHeight w:val="690"/>
        </w:trPr>
        <w:tc>
          <w:tcPr>
            <w:tcW w:w="2694" w:type="dxa"/>
            <w:vMerge w:val="restart"/>
            <w:tcBorders>
              <w:top w:val="single" w:sz="4" w:space="0" w:color="auto"/>
              <w:left w:val="single" w:sz="4" w:space="0" w:color="auto"/>
              <w:right w:val="single" w:sz="4" w:space="0" w:color="auto"/>
            </w:tcBorders>
            <w:shd w:val="clear" w:color="auto" w:fill="auto"/>
            <w:vAlign w:val="center"/>
          </w:tcPr>
          <w:p w14:paraId="09FF033D" w14:textId="77777777" w:rsidR="00350C9E" w:rsidRPr="00A9330B" w:rsidRDefault="00350C9E" w:rsidP="006721DD">
            <w:pPr>
              <w:spacing w:before="80" w:line="240" w:lineRule="auto"/>
              <w:jc w:val="both"/>
              <w:rPr>
                <w:rFonts w:eastAsia="Calibri" w:cs="Arial"/>
                <w:color w:val="auto"/>
                <w:sz w:val="20"/>
                <w:szCs w:val="20"/>
              </w:rPr>
            </w:pPr>
            <w:r w:rsidRPr="00A9330B">
              <w:rPr>
                <w:rFonts w:eastAsia="Calibri" w:cs="Arial"/>
                <w:color w:val="auto"/>
                <w:sz w:val="20"/>
                <w:szCs w:val="20"/>
              </w:rPr>
              <w:t>Perte de terrain loti dans une zone constructible</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14:paraId="172BF4C8" w14:textId="77777777" w:rsidR="00350C9E" w:rsidRPr="00A9330B" w:rsidRDefault="00350C9E" w:rsidP="006721DD">
            <w:pPr>
              <w:spacing w:before="80" w:line="240" w:lineRule="auto"/>
              <w:jc w:val="both"/>
              <w:rPr>
                <w:rFonts w:eastAsia="Calibri" w:cs="Arial"/>
                <w:color w:val="auto"/>
                <w:sz w:val="20"/>
                <w:szCs w:val="20"/>
              </w:rPr>
            </w:pPr>
            <w:r w:rsidRPr="00A9330B">
              <w:rPr>
                <w:rFonts w:eastAsia="Calibri" w:cs="Arial"/>
                <w:color w:val="auto"/>
                <w:sz w:val="20"/>
                <w:szCs w:val="20"/>
              </w:rPr>
              <w:t>Personne disposant d’un titre légal de propriété</w:t>
            </w:r>
          </w:p>
        </w:tc>
        <w:tc>
          <w:tcPr>
            <w:tcW w:w="241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0C5A6A49" w14:textId="77777777" w:rsidR="00350C9E" w:rsidRPr="00A9330B" w:rsidRDefault="00350C9E" w:rsidP="006721DD">
            <w:pPr>
              <w:spacing w:before="80" w:line="240" w:lineRule="auto"/>
              <w:jc w:val="both"/>
              <w:rPr>
                <w:rFonts w:eastAsia="Calibri" w:cs="Arial"/>
                <w:color w:val="auto"/>
                <w:sz w:val="20"/>
                <w:szCs w:val="20"/>
              </w:rPr>
            </w:pPr>
            <w:r w:rsidRPr="00A9330B">
              <w:rPr>
                <w:rFonts w:eastAsia="Calibri" w:cs="Arial"/>
                <w:color w:val="auto"/>
                <w:sz w:val="20"/>
                <w:szCs w:val="20"/>
              </w:rPr>
              <w:t xml:space="preserve">Compensation au coût du marché </w:t>
            </w:r>
          </w:p>
        </w:tc>
        <w:tc>
          <w:tcPr>
            <w:tcW w:w="1871" w:type="dxa"/>
            <w:tcBorders>
              <w:top w:val="single" w:sz="4" w:space="0" w:color="auto"/>
              <w:left w:val="single" w:sz="4" w:space="0" w:color="auto"/>
              <w:bottom w:val="single" w:sz="4" w:space="0" w:color="auto"/>
              <w:right w:val="single" w:sz="4" w:space="0" w:color="auto"/>
            </w:tcBorders>
            <w:shd w:val="clear" w:color="auto" w:fill="auto"/>
            <w:vAlign w:val="center"/>
          </w:tcPr>
          <w:p w14:paraId="03AC2CE5" w14:textId="77777777" w:rsidR="00350C9E" w:rsidRPr="00A9330B" w:rsidRDefault="00350C9E" w:rsidP="006721DD">
            <w:pPr>
              <w:spacing w:before="80" w:line="240" w:lineRule="auto"/>
              <w:jc w:val="center"/>
              <w:rPr>
                <w:rFonts w:eastAsia="Calibri" w:cs="Arial"/>
                <w:color w:val="auto"/>
                <w:sz w:val="20"/>
                <w:szCs w:val="20"/>
              </w:rPr>
            </w:pPr>
            <w:r w:rsidRPr="00A9330B">
              <w:rPr>
                <w:rFonts w:eastAsia="Calibri" w:cs="Arial"/>
                <w:color w:val="auto"/>
                <w:sz w:val="20"/>
                <w:szCs w:val="20"/>
              </w:rPr>
              <w:t>-</w:t>
            </w:r>
          </w:p>
        </w:tc>
      </w:tr>
      <w:tr w:rsidR="00350C9E" w:rsidRPr="00A9330B" w14:paraId="16BE4CA3" w14:textId="77777777" w:rsidTr="006721DD">
        <w:trPr>
          <w:trHeight w:val="690"/>
        </w:trPr>
        <w:tc>
          <w:tcPr>
            <w:tcW w:w="2694" w:type="dxa"/>
            <w:vMerge/>
            <w:tcBorders>
              <w:left w:val="single" w:sz="4" w:space="0" w:color="auto"/>
              <w:right w:val="single" w:sz="4" w:space="0" w:color="auto"/>
            </w:tcBorders>
            <w:shd w:val="clear" w:color="auto" w:fill="auto"/>
            <w:vAlign w:val="center"/>
          </w:tcPr>
          <w:p w14:paraId="459AB308" w14:textId="77777777" w:rsidR="00350C9E" w:rsidRPr="00A9330B" w:rsidRDefault="00350C9E" w:rsidP="006721DD">
            <w:pPr>
              <w:spacing w:before="80" w:line="240" w:lineRule="auto"/>
              <w:jc w:val="both"/>
              <w:rPr>
                <w:rFonts w:eastAsia="Calibri" w:cs="Arial"/>
                <w:color w:val="auto"/>
                <w:sz w:val="20"/>
                <w:szCs w:val="20"/>
              </w:rPr>
            </w:pP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14:paraId="5AD3044F" w14:textId="77777777" w:rsidR="00350C9E" w:rsidRPr="00A9330B" w:rsidRDefault="00350C9E" w:rsidP="006721DD">
            <w:pPr>
              <w:spacing w:before="80" w:line="240" w:lineRule="auto"/>
              <w:jc w:val="both"/>
              <w:rPr>
                <w:rFonts w:eastAsia="Calibri" w:cs="Arial"/>
                <w:color w:val="auto"/>
                <w:sz w:val="20"/>
                <w:szCs w:val="20"/>
              </w:rPr>
            </w:pPr>
            <w:r w:rsidRPr="00A9330B">
              <w:rPr>
                <w:rFonts w:eastAsia="Calibri" w:cs="Arial"/>
                <w:color w:val="auto"/>
                <w:sz w:val="20"/>
                <w:szCs w:val="20"/>
              </w:rPr>
              <w:t xml:space="preserve">Personne disposant d’une convention de vente homologuée par la Mairie </w:t>
            </w:r>
          </w:p>
        </w:tc>
        <w:tc>
          <w:tcPr>
            <w:tcW w:w="241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6C5932B3" w14:textId="77777777" w:rsidR="00350C9E" w:rsidRPr="00A9330B" w:rsidRDefault="00350C9E" w:rsidP="006721DD">
            <w:pPr>
              <w:spacing w:before="80" w:line="240" w:lineRule="auto"/>
              <w:jc w:val="both"/>
              <w:rPr>
                <w:rFonts w:eastAsia="Times New Roman" w:cs="Arial"/>
                <w:color w:val="auto"/>
                <w:sz w:val="20"/>
                <w:szCs w:val="20"/>
                <w:lang w:eastAsia="de-DE"/>
              </w:rPr>
            </w:pPr>
            <w:r w:rsidRPr="00A9330B">
              <w:rPr>
                <w:rFonts w:eastAsia="Times New Roman" w:cs="Arial"/>
                <w:color w:val="auto"/>
                <w:sz w:val="20"/>
                <w:szCs w:val="20"/>
                <w:lang w:eastAsia="de-DE"/>
              </w:rPr>
              <w:t xml:space="preserve">Compensation au coût du marché </w:t>
            </w:r>
          </w:p>
        </w:tc>
        <w:tc>
          <w:tcPr>
            <w:tcW w:w="1871" w:type="dxa"/>
            <w:tcBorders>
              <w:top w:val="single" w:sz="4" w:space="0" w:color="auto"/>
              <w:left w:val="single" w:sz="4" w:space="0" w:color="auto"/>
              <w:bottom w:val="single" w:sz="4" w:space="0" w:color="auto"/>
              <w:right w:val="single" w:sz="4" w:space="0" w:color="auto"/>
            </w:tcBorders>
            <w:shd w:val="clear" w:color="auto" w:fill="auto"/>
            <w:vAlign w:val="center"/>
          </w:tcPr>
          <w:p w14:paraId="34FADB5D" w14:textId="77777777" w:rsidR="00350C9E" w:rsidRPr="00A9330B" w:rsidRDefault="00350C9E" w:rsidP="006721DD">
            <w:pPr>
              <w:spacing w:before="80" w:line="240" w:lineRule="auto"/>
              <w:jc w:val="center"/>
              <w:rPr>
                <w:rFonts w:eastAsia="Calibri" w:cs="Arial"/>
                <w:color w:val="auto"/>
                <w:sz w:val="20"/>
                <w:szCs w:val="20"/>
              </w:rPr>
            </w:pPr>
            <w:r w:rsidRPr="00A9330B">
              <w:rPr>
                <w:rFonts w:eastAsia="Calibri" w:cs="Arial"/>
                <w:color w:val="auto"/>
                <w:sz w:val="20"/>
                <w:szCs w:val="20"/>
              </w:rPr>
              <w:t>-</w:t>
            </w:r>
          </w:p>
        </w:tc>
      </w:tr>
      <w:tr w:rsidR="00350C9E" w:rsidRPr="00A9330B" w14:paraId="517FB02C" w14:textId="77777777" w:rsidTr="006721DD">
        <w:trPr>
          <w:trHeight w:val="679"/>
        </w:trPr>
        <w:tc>
          <w:tcPr>
            <w:tcW w:w="2694" w:type="dxa"/>
            <w:vMerge/>
            <w:tcBorders>
              <w:left w:val="single" w:sz="4" w:space="0" w:color="auto"/>
              <w:bottom w:val="single" w:sz="4" w:space="0" w:color="auto"/>
              <w:right w:val="single" w:sz="4" w:space="0" w:color="auto"/>
            </w:tcBorders>
            <w:shd w:val="clear" w:color="auto" w:fill="auto"/>
            <w:vAlign w:val="center"/>
          </w:tcPr>
          <w:p w14:paraId="1D8ED87E" w14:textId="77777777" w:rsidR="00350C9E" w:rsidRPr="00A9330B" w:rsidRDefault="00350C9E" w:rsidP="006721DD">
            <w:pPr>
              <w:spacing w:before="80" w:line="240" w:lineRule="auto"/>
              <w:jc w:val="both"/>
              <w:rPr>
                <w:rFonts w:eastAsia="Calibri" w:cs="Arial"/>
                <w:color w:val="auto"/>
                <w:sz w:val="20"/>
                <w:szCs w:val="20"/>
              </w:rPr>
            </w:pP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14:paraId="0C1413FF" w14:textId="77777777" w:rsidR="00350C9E" w:rsidRPr="00A9330B" w:rsidRDefault="00350C9E" w:rsidP="006721DD">
            <w:pPr>
              <w:spacing w:before="80" w:line="240" w:lineRule="auto"/>
              <w:jc w:val="both"/>
              <w:rPr>
                <w:rFonts w:eastAsia="Calibri" w:cs="Arial"/>
                <w:color w:val="auto"/>
                <w:sz w:val="20"/>
                <w:szCs w:val="20"/>
              </w:rPr>
            </w:pPr>
            <w:r w:rsidRPr="00A9330B">
              <w:rPr>
                <w:rFonts w:eastAsia="Calibri" w:cs="Arial"/>
                <w:color w:val="auto"/>
                <w:sz w:val="20"/>
                <w:szCs w:val="20"/>
              </w:rPr>
              <w:t>Personne disposant d’un droit coutumier</w:t>
            </w:r>
          </w:p>
        </w:tc>
        <w:tc>
          <w:tcPr>
            <w:tcW w:w="241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794FD648" w14:textId="77777777" w:rsidR="00350C9E" w:rsidRPr="00A9330B" w:rsidRDefault="00350C9E" w:rsidP="006721DD">
            <w:pPr>
              <w:spacing w:before="80" w:line="240" w:lineRule="auto"/>
              <w:jc w:val="both"/>
              <w:rPr>
                <w:rFonts w:eastAsia="Times New Roman" w:cs="Arial"/>
                <w:color w:val="auto"/>
                <w:sz w:val="20"/>
                <w:szCs w:val="20"/>
                <w:lang w:eastAsia="de-DE"/>
              </w:rPr>
            </w:pPr>
            <w:r w:rsidRPr="00A9330B">
              <w:rPr>
                <w:rFonts w:eastAsia="Times New Roman" w:cs="Arial"/>
                <w:color w:val="auto"/>
                <w:sz w:val="20"/>
                <w:szCs w:val="20"/>
                <w:lang w:eastAsia="de-DE"/>
              </w:rPr>
              <w:t xml:space="preserve">Compensation au coût  du marché </w:t>
            </w:r>
          </w:p>
        </w:tc>
        <w:tc>
          <w:tcPr>
            <w:tcW w:w="1871" w:type="dxa"/>
            <w:tcBorders>
              <w:top w:val="single" w:sz="4" w:space="0" w:color="auto"/>
              <w:left w:val="single" w:sz="4" w:space="0" w:color="auto"/>
              <w:bottom w:val="single" w:sz="4" w:space="0" w:color="auto"/>
              <w:right w:val="single" w:sz="4" w:space="0" w:color="auto"/>
            </w:tcBorders>
            <w:shd w:val="clear" w:color="auto" w:fill="auto"/>
            <w:vAlign w:val="center"/>
          </w:tcPr>
          <w:p w14:paraId="06DC6E4A" w14:textId="77777777" w:rsidR="00350C9E" w:rsidRPr="00A9330B" w:rsidRDefault="00350C9E" w:rsidP="006721DD">
            <w:pPr>
              <w:spacing w:before="80" w:line="240" w:lineRule="auto"/>
              <w:jc w:val="center"/>
              <w:rPr>
                <w:rFonts w:eastAsia="Calibri" w:cs="Arial"/>
                <w:color w:val="auto"/>
                <w:sz w:val="20"/>
                <w:szCs w:val="20"/>
              </w:rPr>
            </w:pPr>
            <w:r w:rsidRPr="00A9330B">
              <w:rPr>
                <w:rFonts w:eastAsia="Calibri" w:cs="Arial"/>
                <w:color w:val="auto"/>
                <w:sz w:val="20"/>
                <w:szCs w:val="20"/>
              </w:rPr>
              <w:t>-</w:t>
            </w:r>
          </w:p>
        </w:tc>
      </w:tr>
      <w:tr w:rsidR="00350C9E" w:rsidRPr="00A9330B" w14:paraId="26242663" w14:textId="77777777" w:rsidTr="006721DD">
        <w:trPr>
          <w:trHeight w:val="690"/>
        </w:trPr>
        <w:tc>
          <w:tcPr>
            <w:tcW w:w="2694" w:type="dxa"/>
            <w:tcBorders>
              <w:top w:val="single" w:sz="4" w:space="0" w:color="auto"/>
              <w:left w:val="single" w:sz="4" w:space="0" w:color="auto"/>
              <w:bottom w:val="single" w:sz="4" w:space="0" w:color="auto"/>
              <w:right w:val="single" w:sz="4" w:space="0" w:color="auto"/>
            </w:tcBorders>
            <w:shd w:val="clear" w:color="auto" w:fill="auto"/>
            <w:vAlign w:val="center"/>
          </w:tcPr>
          <w:p w14:paraId="2A967708" w14:textId="77777777" w:rsidR="00350C9E" w:rsidRPr="00A9330B" w:rsidRDefault="00350C9E" w:rsidP="006721DD">
            <w:pPr>
              <w:spacing w:before="80" w:line="240" w:lineRule="auto"/>
              <w:jc w:val="both"/>
              <w:rPr>
                <w:rFonts w:eastAsia="Calibri" w:cs="Arial"/>
                <w:color w:val="auto"/>
                <w:sz w:val="20"/>
                <w:szCs w:val="20"/>
              </w:rPr>
            </w:pPr>
            <w:r w:rsidRPr="00A9330B">
              <w:rPr>
                <w:rFonts w:eastAsia="Calibri" w:cs="Arial"/>
                <w:color w:val="auto"/>
                <w:sz w:val="20"/>
                <w:szCs w:val="20"/>
              </w:rPr>
              <w:t>Perte de terrain loti dans une zone inconstructible</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14:paraId="696128B9" w14:textId="77777777" w:rsidR="00350C9E" w:rsidRPr="00A9330B" w:rsidRDefault="00350C9E" w:rsidP="006721DD">
            <w:pPr>
              <w:spacing w:before="80" w:line="240" w:lineRule="auto"/>
              <w:jc w:val="both"/>
              <w:rPr>
                <w:rFonts w:eastAsia="Calibri" w:cs="Arial"/>
                <w:color w:val="auto"/>
                <w:sz w:val="20"/>
                <w:szCs w:val="20"/>
              </w:rPr>
            </w:pPr>
            <w:r w:rsidRPr="00A9330B">
              <w:rPr>
                <w:rFonts w:eastAsia="Calibri" w:cs="Arial"/>
                <w:color w:val="auto"/>
                <w:sz w:val="20"/>
                <w:szCs w:val="20"/>
              </w:rPr>
              <w:t>Personne disposant d’un titre légal de propriété</w:t>
            </w:r>
          </w:p>
        </w:tc>
        <w:tc>
          <w:tcPr>
            <w:tcW w:w="241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4F643199" w14:textId="77777777" w:rsidR="00350C9E" w:rsidRPr="00A9330B" w:rsidRDefault="00350C9E" w:rsidP="006721DD">
            <w:pPr>
              <w:spacing w:before="80" w:line="240" w:lineRule="auto"/>
              <w:jc w:val="both"/>
              <w:rPr>
                <w:rFonts w:eastAsia="Calibri" w:cs="Arial"/>
                <w:color w:val="auto"/>
                <w:sz w:val="20"/>
                <w:szCs w:val="20"/>
              </w:rPr>
            </w:pPr>
            <w:r w:rsidRPr="00A9330B">
              <w:rPr>
                <w:rFonts w:eastAsia="Calibri" w:cs="Arial"/>
                <w:color w:val="auto"/>
                <w:sz w:val="20"/>
                <w:szCs w:val="20"/>
              </w:rPr>
              <w:t>Compensation au coût  du marché</w:t>
            </w:r>
          </w:p>
        </w:tc>
        <w:tc>
          <w:tcPr>
            <w:tcW w:w="1871" w:type="dxa"/>
            <w:tcBorders>
              <w:top w:val="single" w:sz="4" w:space="0" w:color="auto"/>
              <w:left w:val="single" w:sz="4" w:space="0" w:color="auto"/>
              <w:bottom w:val="single" w:sz="4" w:space="0" w:color="auto"/>
              <w:right w:val="single" w:sz="4" w:space="0" w:color="auto"/>
            </w:tcBorders>
            <w:shd w:val="clear" w:color="auto" w:fill="auto"/>
            <w:vAlign w:val="center"/>
          </w:tcPr>
          <w:p w14:paraId="51CFA61A" w14:textId="77777777" w:rsidR="00350C9E" w:rsidRPr="00A9330B" w:rsidRDefault="00350C9E" w:rsidP="006721DD">
            <w:pPr>
              <w:spacing w:before="80" w:line="240" w:lineRule="auto"/>
              <w:jc w:val="center"/>
              <w:rPr>
                <w:rFonts w:eastAsia="Calibri" w:cs="Arial"/>
                <w:color w:val="auto"/>
                <w:sz w:val="20"/>
                <w:szCs w:val="20"/>
              </w:rPr>
            </w:pPr>
            <w:r w:rsidRPr="00A9330B">
              <w:rPr>
                <w:rFonts w:eastAsia="Calibri" w:cs="Arial"/>
                <w:color w:val="auto"/>
                <w:sz w:val="20"/>
                <w:szCs w:val="20"/>
              </w:rPr>
              <w:t>-</w:t>
            </w:r>
          </w:p>
        </w:tc>
      </w:tr>
      <w:tr w:rsidR="00350C9E" w:rsidRPr="00A9330B" w14:paraId="74ED6B64" w14:textId="77777777" w:rsidTr="006721DD">
        <w:trPr>
          <w:trHeight w:val="250"/>
        </w:trPr>
        <w:tc>
          <w:tcPr>
            <w:tcW w:w="2694" w:type="dxa"/>
            <w:tcBorders>
              <w:top w:val="single" w:sz="4" w:space="0" w:color="auto"/>
              <w:left w:val="single" w:sz="4" w:space="0" w:color="auto"/>
              <w:bottom w:val="single" w:sz="4" w:space="0" w:color="auto"/>
              <w:right w:val="single" w:sz="4" w:space="0" w:color="auto"/>
            </w:tcBorders>
            <w:shd w:val="clear" w:color="auto" w:fill="auto"/>
            <w:vAlign w:val="center"/>
          </w:tcPr>
          <w:p w14:paraId="53E16FDE" w14:textId="77777777" w:rsidR="00350C9E" w:rsidRPr="00A9330B" w:rsidRDefault="00350C9E" w:rsidP="006721DD">
            <w:pPr>
              <w:spacing w:before="80" w:line="240" w:lineRule="auto"/>
              <w:jc w:val="both"/>
              <w:rPr>
                <w:rFonts w:eastAsia="Calibri" w:cs="Arial"/>
                <w:color w:val="auto"/>
                <w:sz w:val="20"/>
                <w:szCs w:val="20"/>
              </w:rPr>
            </w:pPr>
            <w:r w:rsidRPr="00A9330B">
              <w:rPr>
                <w:rFonts w:eastAsia="Calibri" w:cs="Arial"/>
                <w:color w:val="auto"/>
                <w:sz w:val="20"/>
                <w:szCs w:val="20"/>
              </w:rPr>
              <w:t>Perte de terrain dans une zone inconstructible en cours de lotissement</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14:paraId="0A8D7191" w14:textId="77777777" w:rsidR="00350C9E" w:rsidRPr="00A9330B" w:rsidRDefault="00350C9E" w:rsidP="006721DD">
            <w:pPr>
              <w:spacing w:before="80" w:line="240" w:lineRule="auto"/>
              <w:jc w:val="both"/>
              <w:rPr>
                <w:rFonts w:eastAsia="Calibri" w:cs="Arial"/>
                <w:color w:val="auto"/>
                <w:sz w:val="20"/>
                <w:szCs w:val="20"/>
              </w:rPr>
            </w:pPr>
            <w:r w:rsidRPr="00A9330B">
              <w:rPr>
                <w:rFonts w:eastAsia="Calibri" w:cs="Arial"/>
                <w:color w:val="auto"/>
                <w:sz w:val="20"/>
                <w:szCs w:val="20"/>
              </w:rPr>
              <w:t xml:space="preserve">Personne disposant d’une convention de vente homologuée par la Mairie </w:t>
            </w:r>
          </w:p>
        </w:tc>
        <w:tc>
          <w:tcPr>
            <w:tcW w:w="241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6F4A79F3" w14:textId="77777777" w:rsidR="00350C9E" w:rsidRPr="00A9330B" w:rsidRDefault="00350C9E" w:rsidP="006721DD">
            <w:pPr>
              <w:spacing w:before="80" w:line="240" w:lineRule="auto"/>
              <w:jc w:val="both"/>
              <w:rPr>
                <w:rFonts w:eastAsia="Calibri" w:cs="Arial"/>
                <w:color w:val="auto"/>
                <w:sz w:val="20"/>
                <w:szCs w:val="20"/>
              </w:rPr>
            </w:pPr>
            <w:r w:rsidRPr="00A9330B">
              <w:rPr>
                <w:rFonts w:eastAsia="Calibri" w:cs="Arial"/>
                <w:color w:val="auto"/>
                <w:sz w:val="20"/>
                <w:szCs w:val="20"/>
              </w:rPr>
              <w:t>Compensation au coût  du marché</w:t>
            </w:r>
          </w:p>
        </w:tc>
        <w:tc>
          <w:tcPr>
            <w:tcW w:w="1871" w:type="dxa"/>
            <w:tcBorders>
              <w:top w:val="single" w:sz="4" w:space="0" w:color="auto"/>
              <w:left w:val="single" w:sz="4" w:space="0" w:color="auto"/>
              <w:bottom w:val="single" w:sz="4" w:space="0" w:color="auto"/>
              <w:right w:val="single" w:sz="4" w:space="0" w:color="auto"/>
            </w:tcBorders>
            <w:shd w:val="clear" w:color="auto" w:fill="auto"/>
            <w:vAlign w:val="center"/>
          </w:tcPr>
          <w:p w14:paraId="17355AE9" w14:textId="77777777" w:rsidR="00350C9E" w:rsidRPr="00A9330B" w:rsidRDefault="00350C9E" w:rsidP="006721DD">
            <w:pPr>
              <w:spacing w:before="80" w:line="240" w:lineRule="auto"/>
              <w:jc w:val="center"/>
              <w:rPr>
                <w:rFonts w:eastAsia="Calibri" w:cs="Arial"/>
                <w:color w:val="auto"/>
                <w:sz w:val="20"/>
                <w:szCs w:val="20"/>
              </w:rPr>
            </w:pPr>
            <w:r w:rsidRPr="00A9330B">
              <w:rPr>
                <w:rFonts w:eastAsia="Calibri" w:cs="Arial"/>
                <w:color w:val="auto"/>
                <w:sz w:val="20"/>
                <w:szCs w:val="20"/>
              </w:rPr>
              <w:t>-</w:t>
            </w:r>
          </w:p>
        </w:tc>
      </w:tr>
      <w:tr w:rsidR="00350C9E" w:rsidRPr="00A9330B" w14:paraId="2FF7A80E" w14:textId="77777777" w:rsidTr="006721DD">
        <w:trPr>
          <w:trHeight w:val="690"/>
        </w:trPr>
        <w:tc>
          <w:tcPr>
            <w:tcW w:w="2694" w:type="dxa"/>
            <w:tcBorders>
              <w:top w:val="single" w:sz="4" w:space="0" w:color="auto"/>
              <w:left w:val="single" w:sz="4" w:space="0" w:color="auto"/>
              <w:bottom w:val="single" w:sz="4" w:space="0" w:color="auto"/>
              <w:right w:val="single" w:sz="4" w:space="0" w:color="auto"/>
            </w:tcBorders>
            <w:shd w:val="clear" w:color="auto" w:fill="auto"/>
            <w:vAlign w:val="center"/>
          </w:tcPr>
          <w:p w14:paraId="533DD7DC" w14:textId="77777777" w:rsidR="00350C9E" w:rsidRPr="00A9330B" w:rsidRDefault="00350C9E" w:rsidP="006721DD">
            <w:pPr>
              <w:spacing w:before="80" w:line="240" w:lineRule="auto"/>
              <w:jc w:val="both"/>
              <w:rPr>
                <w:rFonts w:eastAsia="Calibri" w:cs="Arial"/>
                <w:color w:val="auto"/>
                <w:sz w:val="20"/>
                <w:szCs w:val="20"/>
              </w:rPr>
            </w:pPr>
            <w:r w:rsidRPr="00A9330B">
              <w:rPr>
                <w:rFonts w:eastAsia="Calibri" w:cs="Arial"/>
                <w:color w:val="auto"/>
                <w:sz w:val="20"/>
                <w:szCs w:val="20"/>
              </w:rPr>
              <w:t>Perte de terrain dans une zone inconstructible non loti</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14:paraId="068EE892" w14:textId="77777777" w:rsidR="00350C9E" w:rsidRPr="00A9330B" w:rsidRDefault="00350C9E" w:rsidP="006721DD">
            <w:pPr>
              <w:spacing w:before="80" w:line="240" w:lineRule="auto"/>
              <w:jc w:val="both"/>
              <w:rPr>
                <w:rFonts w:eastAsia="Calibri" w:cs="Arial"/>
                <w:color w:val="auto"/>
                <w:sz w:val="20"/>
                <w:szCs w:val="20"/>
              </w:rPr>
            </w:pPr>
            <w:r w:rsidRPr="00A9330B">
              <w:rPr>
                <w:rFonts w:eastAsia="Calibri" w:cs="Arial"/>
                <w:color w:val="auto"/>
                <w:sz w:val="20"/>
                <w:szCs w:val="20"/>
              </w:rPr>
              <w:t>Personne disposant d’un droit coutumier</w:t>
            </w:r>
          </w:p>
        </w:tc>
        <w:tc>
          <w:tcPr>
            <w:tcW w:w="241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337CCDC1" w14:textId="77777777" w:rsidR="00350C9E" w:rsidRPr="00A9330B" w:rsidRDefault="00350C9E" w:rsidP="006721DD">
            <w:pPr>
              <w:spacing w:before="80" w:line="240" w:lineRule="auto"/>
              <w:jc w:val="both"/>
              <w:rPr>
                <w:rFonts w:eastAsia="Calibri" w:cs="Arial"/>
                <w:color w:val="auto"/>
                <w:sz w:val="20"/>
                <w:szCs w:val="20"/>
              </w:rPr>
            </w:pPr>
            <w:r w:rsidRPr="00A9330B">
              <w:rPr>
                <w:rFonts w:eastAsia="Calibri" w:cs="Arial"/>
                <w:color w:val="auto"/>
                <w:sz w:val="20"/>
                <w:szCs w:val="20"/>
              </w:rPr>
              <w:t>Compensation à un coût  forfaitaire (1.000 francs CFA/m²)</w:t>
            </w:r>
          </w:p>
        </w:tc>
        <w:tc>
          <w:tcPr>
            <w:tcW w:w="1871" w:type="dxa"/>
            <w:tcBorders>
              <w:top w:val="single" w:sz="4" w:space="0" w:color="auto"/>
              <w:left w:val="single" w:sz="4" w:space="0" w:color="auto"/>
              <w:bottom w:val="single" w:sz="4" w:space="0" w:color="auto"/>
              <w:right w:val="single" w:sz="4" w:space="0" w:color="auto"/>
            </w:tcBorders>
            <w:shd w:val="clear" w:color="auto" w:fill="auto"/>
            <w:vAlign w:val="center"/>
          </w:tcPr>
          <w:p w14:paraId="55EE3F1A" w14:textId="77777777" w:rsidR="00350C9E" w:rsidRPr="00A9330B" w:rsidRDefault="00350C9E" w:rsidP="006721DD">
            <w:pPr>
              <w:spacing w:before="80" w:line="240" w:lineRule="auto"/>
              <w:jc w:val="center"/>
              <w:rPr>
                <w:rFonts w:eastAsia="Calibri" w:cs="Arial"/>
                <w:color w:val="auto"/>
                <w:sz w:val="20"/>
                <w:szCs w:val="20"/>
              </w:rPr>
            </w:pPr>
            <w:r w:rsidRPr="00A9330B">
              <w:rPr>
                <w:rFonts w:eastAsia="Calibri" w:cs="Arial"/>
                <w:color w:val="auto"/>
                <w:sz w:val="20"/>
                <w:szCs w:val="20"/>
              </w:rPr>
              <w:t>-</w:t>
            </w:r>
          </w:p>
        </w:tc>
      </w:tr>
      <w:tr w:rsidR="00350C9E" w:rsidRPr="00A9330B" w14:paraId="3E2DCE41" w14:textId="77777777" w:rsidTr="006721DD">
        <w:trPr>
          <w:trHeight w:val="962"/>
        </w:trPr>
        <w:tc>
          <w:tcPr>
            <w:tcW w:w="2694" w:type="dxa"/>
            <w:tcBorders>
              <w:top w:val="single" w:sz="4" w:space="0" w:color="auto"/>
              <w:left w:val="single" w:sz="4" w:space="0" w:color="auto"/>
              <w:right w:val="single" w:sz="4" w:space="0" w:color="auto"/>
            </w:tcBorders>
            <w:shd w:val="clear" w:color="auto" w:fill="auto"/>
            <w:vAlign w:val="center"/>
          </w:tcPr>
          <w:p w14:paraId="4AF6F23C" w14:textId="77777777" w:rsidR="00350C9E" w:rsidRPr="00A9330B" w:rsidRDefault="00350C9E" w:rsidP="006721DD">
            <w:pPr>
              <w:spacing w:before="80" w:line="240" w:lineRule="auto"/>
              <w:jc w:val="both"/>
              <w:rPr>
                <w:rFonts w:eastAsia="Calibri" w:cs="Arial"/>
                <w:color w:val="auto"/>
                <w:sz w:val="20"/>
                <w:szCs w:val="20"/>
              </w:rPr>
            </w:pPr>
            <w:r w:rsidRPr="00A9330B">
              <w:rPr>
                <w:rFonts w:eastAsia="Calibri" w:cs="Arial"/>
                <w:color w:val="auto"/>
                <w:sz w:val="20"/>
                <w:szCs w:val="20"/>
              </w:rPr>
              <w:t>Perte d’une infrastructure (murs, terrasse, puisards, etc.)</w:t>
            </w:r>
          </w:p>
        </w:tc>
        <w:tc>
          <w:tcPr>
            <w:tcW w:w="2126" w:type="dxa"/>
            <w:tcBorders>
              <w:top w:val="single" w:sz="4" w:space="0" w:color="auto"/>
              <w:left w:val="single" w:sz="4" w:space="0" w:color="auto"/>
              <w:right w:val="single" w:sz="4" w:space="0" w:color="auto"/>
            </w:tcBorders>
            <w:shd w:val="clear" w:color="auto" w:fill="auto"/>
            <w:vAlign w:val="center"/>
          </w:tcPr>
          <w:p w14:paraId="7EB7B6C5" w14:textId="77777777" w:rsidR="00350C9E" w:rsidRPr="00A9330B" w:rsidRDefault="00350C9E" w:rsidP="006721DD">
            <w:pPr>
              <w:spacing w:before="80" w:line="240" w:lineRule="auto"/>
              <w:jc w:val="both"/>
              <w:rPr>
                <w:rFonts w:eastAsia="Calibri" w:cs="Arial"/>
                <w:color w:val="auto"/>
                <w:sz w:val="20"/>
                <w:szCs w:val="20"/>
              </w:rPr>
            </w:pPr>
            <w:r w:rsidRPr="00A9330B">
              <w:rPr>
                <w:rFonts w:eastAsia="Calibri" w:cs="Arial"/>
                <w:color w:val="auto"/>
                <w:sz w:val="20"/>
                <w:szCs w:val="20"/>
              </w:rPr>
              <w:t xml:space="preserve">Propriétaire </w:t>
            </w:r>
          </w:p>
        </w:tc>
        <w:tc>
          <w:tcPr>
            <w:tcW w:w="2410" w:type="dxa"/>
            <w:gridSpan w:val="2"/>
            <w:tcBorders>
              <w:top w:val="single" w:sz="4" w:space="0" w:color="auto"/>
              <w:left w:val="single" w:sz="4" w:space="0" w:color="auto"/>
              <w:right w:val="single" w:sz="4" w:space="0" w:color="auto"/>
            </w:tcBorders>
            <w:shd w:val="clear" w:color="auto" w:fill="auto"/>
            <w:vAlign w:val="center"/>
          </w:tcPr>
          <w:p w14:paraId="68EB8EA3" w14:textId="77777777" w:rsidR="00350C9E" w:rsidRPr="00A9330B" w:rsidRDefault="00350C9E" w:rsidP="006721DD">
            <w:pPr>
              <w:spacing w:before="80" w:line="240" w:lineRule="auto"/>
              <w:jc w:val="both"/>
              <w:rPr>
                <w:rFonts w:eastAsia="Calibri" w:cs="Arial"/>
                <w:color w:val="auto"/>
                <w:sz w:val="20"/>
                <w:szCs w:val="20"/>
              </w:rPr>
            </w:pPr>
            <w:r w:rsidRPr="00A9330B">
              <w:rPr>
                <w:rFonts w:eastAsia="Calibri" w:cs="Arial"/>
                <w:color w:val="auto"/>
                <w:sz w:val="20"/>
                <w:szCs w:val="20"/>
              </w:rPr>
              <w:t>Compensation conformément au barème du devis quantitatif et estimatif</w:t>
            </w:r>
          </w:p>
        </w:tc>
        <w:tc>
          <w:tcPr>
            <w:tcW w:w="1871" w:type="dxa"/>
            <w:tcBorders>
              <w:top w:val="single" w:sz="4" w:space="0" w:color="auto"/>
              <w:left w:val="single" w:sz="4" w:space="0" w:color="auto"/>
              <w:right w:val="single" w:sz="4" w:space="0" w:color="auto"/>
            </w:tcBorders>
            <w:shd w:val="clear" w:color="auto" w:fill="auto"/>
            <w:vAlign w:val="center"/>
          </w:tcPr>
          <w:p w14:paraId="2FCBF2C9" w14:textId="77777777" w:rsidR="00350C9E" w:rsidRPr="00A9330B" w:rsidRDefault="00350C9E" w:rsidP="006721DD">
            <w:pPr>
              <w:spacing w:before="80" w:line="240" w:lineRule="auto"/>
              <w:jc w:val="center"/>
              <w:rPr>
                <w:rFonts w:eastAsia="Calibri" w:cs="Arial"/>
                <w:color w:val="auto"/>
                <w:sz w:val="20"/>
                <w:szCs w:val="20"/>
              </w:rPr>
            </w:pPr>
            <w:r w:rsidRPr="00A9330B">
              <w:rPr>
                <w:rFonts w:eastAsia="Calibri" w:cs="Arial"/>
                <w:color w:val="auto"/>
                <w:sz w:val="20"/>
                <w:szCs w:val="20"/>
              </w:rPr>
              <w:t>-</w:t>
            </w:r>
          </w:p>
        </w:tc>
      </w:tr>
      <w:tr w:rsidR="00350C9E" w:rsidRPr="00A9330B" w14:paraId="44AB7F30" w14:textId="77777777" w:rsidTr="006721DD">
        <w:trPr>
          <w:trHeight w:val="931"/>
        </w:trPr>
        <w:tc>
          <w:tcPr>
            <w:tcW w:w="2694" w:type="dxa"/>
            <w:tcBorders>
              <w:top w:val="single" w:sz="4" w:space="0" w:color="auto"/>
              <w:left w:val="single" w:sz="4" w:space="0" w:color="auto"/>
              <w:right w:val="single" w:sz="4" w:space="0" w:color="auto"/>
            </w:tcBorders>
            <w:shd w:val="clear" w:color="auto" w:fill="auto"/>
            <w:vAlign w:val="center"/>
          </w:tcPr>
          <w:p w14:paraId="7E4E6728" w14:textId="77777777" w:rsidR="00350C9E" w:rsidRPr="00A9330B" w:rsidRDefault="00350C9E" w:rsidP="006721DD">
            <w:pPr>
              <w:spacing w:before="80" w:line="240" w:lineRule="auto"/>
              <w:jc w:val="both"/>
              <w:rPr>
                <w:rFonts w:eastAsia="Calibri" w:cs="Arial"/>
                <w:color w:val="auto"/>
                <w:sz w:val="20"/>
                <w:szCs w:val="20"/>
              </w:rPr>
            </w:pPr>
            <w:r w:rsidRPr="00A9330B">
              <w:rPr>
                <w:rFonts w:eastAsia="Calibri" w:cs="Arial"/>
                <w:color w:val="auto"/>
                <w:sz w:val="20"/>
                <w:szCs w:val="20"/>
              </w:rPr>
              <w:t>Perte d’un bâtiment à usage d’habitation</w:t>
            </w:r>
          </w:p>
        </w:tc>
        <w:tc>
          <w:tcPr>
            <w:tcW w:w="2126" w:type="dxa"/>
            <w:tcBorders>
              <w:top w:val="single" w:sz="4" w:space="0" w:color="auto"/>
              <w:left w:val="single" w:sz="4" w:space="0" w:color="auto"/>
              <w:right w:val="single" w:sz="4" w:space="0" w:color="auto"/>
            </w:tcBorders>
            <w:shd w:val="clear" w:color="auto" w:fill="auto"/>
            <w:vAlign w:val="center"/>
          </w:tcPr>
          <w:p w14:paraId="20D857AE" w14:textId="77777777" w:rsidR="00350C9E" w:rsidRPr="00A9330B" w:rsidRDefault="00350C9E" w:rsidP="006721DD">
            <w:pPr>
              <w:spacing w:before="80" w:line="240" w:lineRule="auto"/>
              <w:jc w:val="both"/>
              <w:rPr>
                <w:rFonts w:eastAsia="Calibri" w:cs="Arial"/>
                <w:color w:val="auto"/>
                <w:sz w:val="20"/>
                <w:szCs w:val="20"/>
              </w:rPr>
            </w:pPr>
            <w:r w:rsidRPr="00A9330B">
              <w:rPr>
                <w:rFonts w:eastAsia="Calibri" w:cs="Arial"/>
                <w:color w:val="auto"/>
                <w:sz w:val="20"/>
                <w:szCs w:val="20"/>
              </w:rPr>
              <w:t>Propriétaire</w:t>
            </w:r>
          </w:p>
        </w:tc>
        <w:tc>
          <w:tcPr>
            <w:tcW w:w="2410" w:type="dxa"/>
            <w:gridSpan w:val="2"/>
            <w:tcBorders>
              <w:top w:val="single" w:sz="4" w:space="0" w:color="auto"/>
              <w:left w:val="single" w:sz="4" w:space="0" w:color="auto"/>
              <w:right w:val="single" w:sz="4" w:space="0" w:color="auto"/>
            </w:tcBorders>
            <w:shd w:val="clear" w:color="auto" w:fill="auto"/>
            <w:vAlign w:val="center"/>
          </w:tcPr>
          <w:p w14:paraId="26A8624A" w14:textId="77777777" w:rsidR="00350C9E" w:rsidRPr="00A9330B" w:rsidRDefault="00350C9E" w:rsidP="006721DD">
            <w:pPr>
              <w:spacing w:before="80" w:line="240" w:lineRule="auto"/>
              <w:jc w:val="both"/>
              <w:rPr>
                <w:rFonts w:eastAsia="Calibri" w:cs="Arial"/>
                <w:color w:val="auto"/>
                <w:sz w:val="20"/>
                <w:szCs w:val="20"/>
              </w:rPr>
            </w:pPr>
            <w:r w:rsidRPr="00A9330B">
              <w:rPr>
                <w:rFonts w:eastAsia="Calibri" w:cs="Arial"/>
                <w:color w:val="auto"/>
                <w:sz w:val="20"/>
                <w:szCs w:val="20"/>
              </w:rPr>
              <w:t>Compensation conformément au barème du devis quantitatif et estimatif</w:t>
            </w:r>
          </w:p>
        </w:tc>
        <w:tc>
          <w:tcPr>
            <w:tcW w:w="1871" w:type="dxa"/>
            <w:tcBorders>
              <w:top w:val="single" w:sz="4" w:space="0" w:color="auto"/>
              <w:left w:val="single" w:sz="4" w:space="0" w:color="auto"/>
              <w:right w:val="single" w:sz="4" w:space="0" w:color="auto"/>
            </w:tcBorders>
            <w:shd w:val="clear" w:color="auto" w:fill="auto"/>
            <w:vAlign w:val="center"/>
          </w:tcPr>
          <w:p w14:paraId="24CF6D94" w14:textId="77777777" w:rsidR="00350C9E" w:rsidRPr="00A9330B" w:rsidRDefault="00350C9E" w:rsidP="006721DD">
            <w:pPr>
              <w:spacing w:before="80" w:line="240" w:lineRule="auto"/>
              <w:jc w:val="center"/>
              <w:rPr>
                <w:rFonts w:eastAsia="Calibri" w:cs="Arial"/>
                <w:color w:val="auto"/>
                <w:sz w:val="20"/>
                <w:szCs w:val="20"/>
              </w:rPr>
            </w:pPr>
            <w:r w:rsidRPr="00A9330B">
              <w:rPr>
                <w:rFonts w:eastAsia="Calibri" w:cs="Arial"/>
                <w:color w:val="auto"/>
                <w:sz w:val="20"/>
                <w:szCs w:val="20"/>
              </w:rPr>
              <w:t>-</w:t>
            </w:r>
          </w:p>
        </w:tc>
      </w:tr>
      <w:tr w:rsidR="00350C9E" w:rsidRPr="00A9330B" w14:paraId="5FD56086" w14:textId="77777777" w:rsidTr="006721DD">
        <w:trPr>
          <w:trHeight w:val="690"/>
        </w:trPr>
        <w:tc>
          <w:tcPr>
            <w:tcW w:w="2694" w:type="dxa"/>
            <w:vMerge w:val="restart"/>
            <w:tcBorders>
              <w:left w:val="single" w:sz="4" w:space="0" w:color="auto"/>
              <w:right w:val="single" w:sz="4" w:space="0" w:color="auto"/>
            </w:tcBorders>
            <w:shd w:val="clear" w:color="auto" w:fill="auto"/>
            <w:vAlign w:val="center"/>
          </w:tcPr>
          <w:p w14:paraId="023B25AA" w14:textId="77777777" w:rsidR="00350C9E" w:rsidRPr="00A9330B" w:rsidRDefault="00350C9E" w:rsidP="006721DD">
            <w:pPr>
              <w:spacing w:before="80" w:line="240" w:lineRule="auto"/>
              <w:jc w:val="both"/>
              <w:rPr>
                <w:rFonts w:eastAsia="Calibri" w:cs="Arial"/>
                <w:color w:val="auto"/>
                <w:sz w:val="20"/>
                <w:szCs w:val="20"/>
              </w:rPr>
            </w:pPr>
            <w:r w:rsidRPr="00A9330B">
              <w:rPr>
                <w:rFonts w:eastAsia="Calibri" w:cs="Arial"/>
                <w:color w:val="auto"/>
                <w:sz w:val="20"/>
                <w:szCs w:val="20"/>
              </w:rPr>
              <w:t>Restriction d’accès aux habitations</w:t>
            </w:r>
          </w:p>
        </w:tc>
        <w:tc>
          <w:tcPr>
            <w:tcW w:w="2126" w:type="dxa"/>
            <w:vMerge w:val="restart"/>
            <w:tcBorders>
              <w:top w:val="single" w:sz="4" w:space="0" w:color="auto"/>
              <w:left w:val="single" w:sz="4" w:space="0" w:color="auto"/>
              <w:right w:val="single" w:sz="4" w:space="0" w:color="auto"/>
            </w:tcBorders>
            <w:shd w:val="clear" w:color="auto" w:fill="auto"/>
            <w:vAlign w:val="center"/>
          </w:tcPr>
          <w:p w14:paraId="32209A57" w14:textId="77777777" w:rsidR="00350C9E" w:rsidRPr="00A9330B" w:rsidRDefault="00350C9E" w:rsidP="006721DD">
            <w:pPr>
              <w:spacing w:before="80" w:line="240" w:lineRule="auto"/>
              <w:jc w:val="both"/>
              <w:rPr>
                <w:rFonts w:eastAsia="Calibri" w:cs="Arial"/>
                <w:color w:val="auto"/>
                <w:sz w:val="20"/>
                <w:szCs w:val="20"/>
              </w:rPr>
            </w:pPr>
            <w:r w:rsidRPr="00A9330B">
              <w:rPr>
                <w:rFonts w:eastAsia="Calibri" w:cs="Arial"/>
                <w:color w:val="auto"/>
                <w:sz w:val="20"/>
                <w:szCs w:val="20"/>
              </w:rPr>
              <w:t>Tous les habitants</w:t>
            </w:r>
          </w:p>
        </w:tc>
        <w:tc>
          <w:tcPr>
            <w:tcW w:w="2410" w:type="dxa"/>
            <w:gridSpan w:val="2"/>
            <w:vMerge w:val="restart"/>
            <w:tcBorders>
              <w:left w:val="single" w:sz="4" w:space="0" w:color="auto"/>
              <w:right w:val="single" w:sz="4" w:space="0" w:color="auto"/>
            </w:tcBorders>
            <w:shd w:val="clear" w:color="auto" w:fill="auto"/>
            <w:vAlign w:val="center"/>
          </w:tcPr>
          <w:p w14:paraId="27CDBC33" w14:textId="77777777" w:rsidR="00350C9E" w:rsidRPr="00A9330B" w:rsidRDefault="00350C9E" w:rsidP="006721DD">
            <w:pPr>
              <w:spacing w:before="80" w:line="240" w:lineRule="auto"/>
              <w:jc w:val="both"/>
              <w:rPr>
                <w:rFonts w:eastAsia="Calibri" w:cs="Arial"/>
                <w:color w:val="auto"/>
                <w:sz w:val="20"/>
                <w:szCs w:val="20"/>
              </w:rPr>
            </w:pPr>
          </w:p>
        </w:tc>
        <w:tc>
          <w:tcPr>
            <w:tcW w:w="1871" w:type="dxa"/>
            <w:tcBorders>
              <w:top w:val="single" w:sz="4" w:space="0" w:color="auto"/>
              <w:left w:val="single" w:sz="4" w:space="0" w:color="auto"/>
              <w:bottom w:val="single" w:sz="4" w:space="0" w:color="auto"/>
              <w:right w:val="single" w:sz="4" w:space="0" w:color="auto"/>
            </w:tcBorders>
            <w:shd w:val="clear" w:color="auto" w:fill="auto"/>
            <w:vAlign w:val="center"/>
          </w:tcPr>
          <w:p w14:paraId="1AB9AAAD" w14:textId="77777777" w:rsidR="00350C9E" w:rsidRPr="00A9330B" w:rsidRDefault="00350C9E" w:rsidP="006721DD">
            <w:pPr>
              <w:spacing w:before="80" w:line="240" w:lineRule="auto"/>
              <w:jc w:val="both"/>
              <w:rPr>
                <w:rFonts w:eastAsia="Calibri" w:cs="Arial"/>
                <w:color w:val="auto"/>
                <w:sz w:val="20"/>
                <w:szCs w:val="20"/>
              </w:rPr>
            </w:pPr>
            <w:r w:rsidRPr="00A9330B">
              <w:rPr>
                <w:rFonts w:eastAsia="Calibri" w:cs="Arial"/>
                <w:color w:val="auto"/>
                <w:sz w:val="20"/>
                <w:szCs w:val="20"/>
              </w:rPr>
              <w:t>Aménagement de rampes provisoires d’accès pour les personnes</w:t>
            </w:r>
          </w:p>
        </w:tc>
      </w:tr>
      <w:tr w:rsidR="00350C9E" w:rsidRPr="00A9330B" w14:paraId="67F0AA16" w14:textId="77777777" w:rsidTr="006721DD">
        <w:trPr>
          <w:trHeight w:val="425"/>
        </w:trPr>
        <w:tc>
          <w:tcPr>
            <w:tcW w:w="2694" w:type="dxa"/>
            <w:vMerge/>
            <w:tcBorders>
              <w:left w:val="single" w:sz="4" w:space="0" w:color="auto"/>
              <w:bottom w:val="single" w:sz="4" w:space="0" w:color="auto"/>
              <w:right w:val="single" w:sz="4" w:space="0" w:color="auto"/>
            </w:tcBorders>
            <w:shd w:val="clear" w:color="auto" w:fill="auto"/>
            <w:vAlign w:val="center"/>
          </w:tcPr>
          <w:p w14:paraId="17E4DEEE" w14:textId="77777777" w:rsidR="00350C9E" w:rsidRPr="00A9330B" w:rsidRDefault="00350C9E" w:rsidP="006721DD">
            <w:pPr>
              <w:spacing w:before="80" w:line="240" w:lineRule="auto"/>
              <w:jc w:val="both"/>
              <w:rPr>
                <w:rFonts w:eastAsia="Calibri" w:cs="Arial"/>
                <w:color w:val="auto"/>
                <w:sz w:val="20"/>
                <w:szCs w:val="20"/>
              </w:rPr>
            </w:pPr>
          </w:p>
        </w:tc>
        <w:tc>
          <w:tcPr>
            <w:tcW w:w="2126" w:type="dxa"/>
            <w:vMerge/>
            <w:tcBorders>
              <w:left w:val="single" w:sz="4" w:space="0" w:color="auto"/>
              <w:bottom w:val="single" w:sz="4" w:space="0" w:color="auto"/>
              <w:right w:val="single" w:sz="4" w:space="0" w:color="auto"/>
            </w:tcBorders>
            <w:shd w:val="clear" w:color="auto" w:fill="auto"/>
            <w:vAlign w:val="center"/>
          </w:tcPr>
          <w:p w14:paraId="424919AB" w14:textId="77777777" w:rsidR="00350C9E" w:rsidRPr="00A9330B" w:rsidRDefault="00350C9E" w:rsidP="006721DD">
            <w:pPr>
              <w:spacing w:before="80" w:line="240" w:lineRule="auto"/>
              <w:jc w:val="both"/>
              <w:rPr>
                <w:rFonts w:eastAsia="Calibri" w:cs="Arial"/>
                <w:color w:val="auto"/>
                <w:sz w:val="20"/>
                <w:szCs w:val="20"/>
              </w:rPr>
            </w:pPr>
          </w:p>
        </w:tc>
        <w:tc>
          <w:tcPr>
            <w:tcW w:w="2410" w:type="dxa"/>
            <w:gridSpan w:val="2"/>
            <w:vMerge/>
            <w:tcBorders>
              <w:left w:val="single" w:sz="4" w:space="0" w:color="auto"/>
              <w:bottom w:val="single" w:sz="4" w:space="0" w:color="auto"/>
              <w:right w:val="single" w:sz="4" w:space="0" w:color="auto"/>
            </w:tcBorders>
            <w:shd w:val="clear" w:color="auto" w:fill="auto"/>
            <w:vAlign w:val="center"/>
          </w:tcPr>
          <w:p w14:paraId="096A7A5C" w14:textId="77777777" w:rsidR="00350C9E" w:rsidRPr="00A9330B" w:rsidRDefault="00350C9E" w:rsidP="006721DD">
            <w:pPr>
              <w:spacing w:before="80" w:line="240" w:lineRule="auto"/>
              <w:jc w:val="both"/>
              <w:rPr>
                <w:rFonts w:eastAsia="Calibri" w:cs="Arial"/>
                <w:color w:val="auto"/>
                <w:sz w:val="20"/>
                <w:szCs w:val="20"/>
              </w:rPr>
            </w:pPr>
          </w:p>
        </w:tc>
        <w:tc>
          <w:tcPr>
            <w:tcW w:w="1871" w:type="dxa"/>
            <w:tcBorders>
              <w:top w:val="single" w:sz="4" w:space="0" w:color="auto"/>
              <w:left w:val="single" w:sz="4" w:space="0" w:color="auto"/>
              <w:bottom w:val="single" w:sz="4" w:space="0" w:color="auto"/>
              <w:right w:val="single" w:sz="4" w:space="0" w:color="auto"/>
            </w:tcBorders>
            <w:shd w:val="clear" w:color="auto" w:fill="auto"/>
            <w:vAlign w:val="center"/>
          </w:tcPr>
          <w:p w14:paraId="54E4C89A" w14:textId="77777777" w:rsidR="00350C9E" w:rsidRPr="00A9330B" w:rsidRDefault="00350C9E" w:rsidP="006721DD">
            <w:pPr>
              <w:spacing w:before="80" w:line="240" w:lineRule="auto"/>
              <w:jc w:val="both"/>
              <w:rPr>
                <w:rFonts w:eastAsia="Calibri" w:cs="Arial"/>
                <w:color w:val="auto"/>
                <w:sz w:val="20"/>
                <w:szCs w:val="20"/>
              </w:rPr>
            </w:pPr>
            <w:r w:rsidRPr="00A9330B">
              <w:rPr>
                <w:rFonts w:eastAsia="Calibri" w:cs="Arial"/>
                <w:color w:val="auto"/>
                <w:sz w:val="20"/>
                <w:szCs w:val="20"/>
              </w:rPr>
              <w:t>Aménagement de parking pour le stationnement des véhicules pendant les travaux</w:t>
            </w:r>
          </w:p>
        </w:tc>
      </w:tr>
      <w:tr w:rsidR="00350C9E" w:rsidRPr="00A9330B" w14:paraId="40F7EF9A" w14:textId="77777777" w:rsidTr="006721DD">
        <w:trPr>
          <w:trHeight w:val="246"/>
        </w:trPr>
        <w:tc>
          <w:tcPr>
            <w:tcW w:w="2694" w:type="dxa"/>
            <w:tcBorders>
              <w:top w:val="single" w:sz="4" w:space="0" w:color="auto"/>
              <w:left w:val="single" w:sz="4" w:space="0" w:color="auto"/>
              <w:bottom w:val="single" w:sz="4" w:space="0" w:color="auto"/>
              <w:right w:val="single" w:sz="4" w:space="0" w:color="auto"/>
            </w:tcBorders>
            <w:shd w:val="clear" w:color="auto" w:fill="auto"/>
            <w:vAlign w:val="center"/>
          </w:tcPr>
          <w:p w14:paraId="16BA0EA6" w14:textId="77777777" w:rsidR="00350C9E" w:rsidRPr="00A9330B" w:rsidRDefault="00350C9E" w:rsidP="006721DD">
            <w:pPr>
              <w:spacing w:before="80" w:line="240" w:lineRule="auto"/>
              <w:jc w:val="both"/>
              <w:rPr>
                <w:rFonts w:eastAsia="Calibri" w:cs="Arial"/>
                <w:color w:val="auto"/>
                <w:sz w:val="20"/>
                <w:szCs w:val="20"/>
              </w:rPr>
            </w:pPr>
            <w:r w:rsidRPr="00A9330B">
              <w:rPr>
                <w:rFonts w:eastAsia="Calibri" w:cs="Arial"/>
                <w:color w:val="auto"/>
                <w:sz w:val="20"/>
                <w:szCs w:val="20"/>
              </w:rPr>
              <w:t>Perte d’un bâtiment ou infrastructure à usage commercial</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14:paraId="7AD0A50F" w14:textId="77777777" w:rsidR="00350C9E" w:rsidRPr="00A9330B" w:rsidRDefault="00350C9E" w:rsidP="006721DD">
            <w:pPr>
              <w:spacing w:before="80" w:line="240" w:lineRule="auto"/>
              <w:jc w:val="both"/>
              <w:rPr>
                <w:rFonts w:eastAsia="Calibri" w:cs="Arial"/>
                <w:color w:val="auto"/>
                <w:sz w:val="20"/>
                <w:szCs w:val="20"/>
              </w:rPr>
            </w:pPr>
            <w:r w:rsidRPr="00A9330B">
              <w:rPr>
                <w:rFonts w:eastAsia="Calibri" w:cs="Arial"/>
                <w:color w:val="auto"/>
                <w:sz w:val="20"/>
                <w:szCs w:val="20"/>
              </w:rPr>
              <w:t>Propriétaire</w:t>
            </w:r>
          </w:p>
        </w:tc>
        <w:tc>
          <w:tcPr>
            <w:tcW w:w="241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3159177A" w14:textId="77777777" w:rsidR="00350C9E" w:rsidRPr="00A9330B" w:rsidRDefault="00350C9E" w:rsidP="006721DD">
            <w:pPr>
              <w:spacing w:before="80" w:line="240" w:lineRule="auto"/>
              <w:jc w:val="both"/>
              <w:rPr>
                <w:rFonts w:eastAsia="Calibri" w:cs="Arial"/>
                <w:color w:val="auto"/>
                <w:sz w:val="20"/>
                <w:szCs w:val="20"/>
              </w:rPr>
            </w:pPr>
            <w:r w:rsidRPr="00A9330B">
              <w:rPr>
                <w:rFonts w:eastAsia="Calibri" w:cs="Arial"/>
                <w:color w:val="auto"/>
                <w:sz w:val="20"/>
                <w:szCs w:val="20"/>
              </w:rPr>
              <w:t>Compensation conformément au barème du devis quantitatif et estimatif</w:t>
            </w:r>
          </w:p>
        </w:tc>
        <w:tc>
          <w:tcPr>
            <w:tcW w:w="1871" w:type="dxa"/>
            <w:tcBorders>
              <w:top w:val="single" w:sz="4" w:space="0" w:color="auto"/>
              <w:left w:val="single" w:sz="4" w:space="0" w:color="auto"/>
              <w:bottom w:val="single" w:sz="4" w:space="0" w:color="auto"/>
              <w:right w:val="single" w:sz="4" w:space="0" w:color="auto"/>
            </w:tcBorders>
            <w:shd w:val="clear" w:color="auto" w:fill="auto"/>
            <w:vAlign w:val="center"/>
          </w:tcPr>
          <w:p w14:paraId="41E673DE" w14:textId="77777777" w:rsidR="00350C9E" w:rsidRPr="00A9330B" w:rsidRDefault="00350C9E" w:rsidP="006721DD">
            <w:pPr>
              <w:spacing w:before="80" w:line="240" w:lineRule="auto"/>
              <w:jc w:val="center"/>
              <w:rPr>
                <w:rFonts w:eastAsia="Calibri" w:cs="Arial"/>
                <w:color w:val="auto"/>
                <w:sz w:val="20"/>
                <w:szCs w:val="20"/>
              </w:rPr>
            </w:pPr>
            <w:r w:rsidRPr="00A9330B">
              <w:rPr>
                <w:rFonts w:eastAsia="Calibri" w:cs="Arial"/>
                <w:color w:val="auto"/>
                <w:sz w:val="20"/>
                <w:szCs w:val="20"/>
              </w:rPr>
              <w:t>-</w:t>
            </w:r>
          </w:p>
        </w:tc>
      </w:tr>
      <w:tr w:rsidR="00350C9E" w:rsidRPr="00A9330B" w14:paraId="78B8F664" w14:textId="77777777" w:rsidTr="006721DD">
        <w:trPr>
          <w:trHeight w:val="449"/>
        </w:trPr>
        <w:tc>
          <w:tcPr>
            <w:tcW w:w="2694" w:type="dxa"/>
            <w:tcBorders>
              <w:top w:val="single" w:sz="4" w:space="0" w:color="auto"/>
              <w:left w:val="single" w:sz="4" w:space="0" w:color="auto"/>
              <w:right w:val="single" w:sz="4" w:space="0" w:color="auto"/>
            </w:tcBorders>
            <w:shd w:val="clear" w:color="auto" w:fill="auto"/>
            <w:vAlign w:val="center"/>
          </w:tcPr>
          <w:p w14:paraId="02AFCCA1" w14:textId="77777777" w:rsidR="00350C9E" w:rsidRPr="00A9330B" w:rsidRDefault="00350C9E" w:rsidP="006721DD">
            <w:pPr>
              <w:spacing w:before="80" w:line="240" w:lineRule="auto"/>
              <w:jc w:val="both"/>
              <w:rPr>
                <w:rFonts w:eastAsia="Calibri" w:cs="Arial"/>
                <w:color w:val="auto"/>
                <w:sz w:val="20"/>
                <w:szCs w:val="20"/>
              </w:rPr>
            </w:pPr>
            <w:r w:rsidRPr="00A9330B">
              <w:rPr>
                <w:rFonts w:eastAsia="Calibri" w:cs="Arial"/>
                <w:color w:val="auto"/>
                <w:sz w:val="20"/>
                <w:szCs w:val="20"/>
              </w:rPr>
              <w:t>Perte de moyen de subsistance ou perturbation de l’activité économique (Commerce)</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14:paraId="2D49DC42" w14:textId="77777777" w:rsidR="00350C9E" w:rsidRPr="00A9330B" w:rsidRDefault="00350C9E" w:rsidP="006721DD">
            <w:pPr>
              <w:spacing w:before="80" w:line="240" w:lineRule="auto"/>
              <w:jc w:val="both"/>
              <w:rPr>
                <w:rFonts w:eastAsia="Calibri" w:cs="Arial"/>
                <w:color w:val="auto"/>
                <w:sz w:val="20"/>
                <w:szCs w:val="20"/>
              </w:rPr>
            </w:pPr>
            <w:r w:rsidRPr="00A9330B">
              <w:rPr>
                <w:rFonts w:eastAsia="Calibri" w:cs="Arial"/>
                <w:color w:val="auto"/>
                <w:sz w:val="20"/>
                <w:szCs w:val="20"/>
              </w:rPr>
              <w:t>Gérant, employés</w:t>
            </w:r>
          </w:p>
        </w:tc>
        <w:tc>
          <w:tcPr>
            <w:tcW w:w="241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0593AA6C" w14:textId="77777777" w:rsidR="00350C9E" w:rsidRPr="00A9330B" w:rsidRDefault="00350C9E" w:rsidP="006721DD">
            <w:pPr>
              <w:spacing w:before="80" w:line="240" w:lineRule="auto"/>
              <w:jc w:val="both"/>
              <w:rPr>
                <w:rFonts w:eastAsia="Calibri" w:cs="Arial"/>
                <w:color w:val="auto"/>
                <w:sz w:val="20"/>
                <w:szCs w:val="20"/>
              </w:rPr>
            </w:pPr>
            <w:r w:rsidRPr="00A9330B">
              <w:rPr>
                <w:rFonts w:eastAsia="Calibri" w:cs="Arial"/>
                <w:color w:val="auto"/>
                <w:sz w:val="20"/>
                <w:szCs w:val="20"/>
              </w:rPr>
              <w:t>Revenu mensuel moyen sur trois (03) mois</w:t>
            </w:r>
          </w:p>
        </w:tc>
        <w:tc>
          <w:tcPr>
            <w:tcW w:w="1871" w:type="dxa"/>
            <w:tcBorders>
              <w:top w:val="single" w:sz="4" w:space="0" w:color="auto"/>
              <w:left w:val="single" w:sz="4" w:space="0" w:color="auto"/>
              <w:bottom w:val="single" w:sz="4" w:space="0" w:color="auto"/>
              <w:right w:val="single" w:sz="4" w:space="0" w:color="auto"/>
            </w:tcBorders>
            <w:shd w:val="clear" w:color="auto" w:fill="auto"/>
            <w:vAlign w:val="center"/>
          </w:tcPr>
          <w:p w14:paraId="0CFD9E92" w14:textId="77777777" w:rsidR="00350C9E" w:rsidRPr="00A9330B" w:rsidRDefault="00350C9E" w:rsidP="006721DD">
            <w:pPr>
              <w:spacing w:before="80" w:line="240" w:lineRule="auto"/>
              <w:jc w:val="center"/>
              <w:rPr>
                <w:rFonts w:eastAsia="Calibri" w:cs="Arial"/>
                <w:color w:val="auto"/>
                <w:sz w:val="20"/>
                <w:szCs w:val="20"/>
              </w:rPr>
            </w:pPr>
            <w:r w:rsidRPr="00A9330B">
              <w:rPr>
                <w:rFonts w:eastAsia="Calibri" w:cs="Arial"/>
                <w:color w:val="auto"/>
                <w:sz w:val="20"/>
                <w:szCs w:val="20"/>
              </w:rPr>
              <w:t>-</w:t>
            </w:r>
          </w:p>
        </w:tc>
      </w:tr>
      <w:tr w:rsidR="00350C9E" w:rsidRPr="00A9330B" w14:paraId="1EC1081B" w14:textId="77777777" w:rsidTr="006721DD">
        <w:trPr>
          <w:trHeight w:val="195"/>
        </w:trPr>
        <w:tc>
          <w:tcPr>
            <w:tcW w:w="2694" w:type="dxa"/>
            <w:vMerge w:val="restart"/>
            <w:tcBorders>
              <w:top w:val="single" w:sz="4" w:space="0" w:color="auto"/>
              <w:left w:val="single" w:sz="4" w:space="0" w:color="auto"/>
              <w:right w:val="single" w:sz="4" w:space="0" w:color="auto"/>
            </w:tcBorders>
            <w:shd w:val="clear" w:color="auto" w:fill="auto"/>
            <w:vAlign w:val="center"/>
          </w:tcPr>
          <w:p w14:paraId="6AD152BC" w14:textId="77777777" w:rsidR="00350C9E" w:rsidRPr="00A9330B" w:rsidRDefault="00350C9E" w:rsidP="006721DD">
            <w:pPr>
              <w:spacing w:before="80" w:line="240" w:lineRule="auto"/>
              <w:jc w:val="center"/>
              <w:rPr>
                <w:rFonts w:eastAsia="Calibri" w:cs="Arial"/>
                <w:color w:val="auto"/>
                <w:sz w:val="20"/>
                <w:szCs w:val="20"/>
              </w:rPr>
            </w:pPr>
            <w:r w:rsidRPr="00A9330B">
              <w:rPr>
                <w:rFonts w:eastAsia="Calibri" w:cs="Arial"/>
                <w:color w:val="auto"/>
                <w:sz w:val="20"/>
                <w:szCs w:val="20"/>
              </w:rPr>
              <w:lastRenderedPageBreak/>
              <w:t>Perte des arbres (bien individuel)</w:t>
            </w:r>
          </w:p>
        </w:tc>
        <w:tc>
          <w:tcPr>
            <w:tcW w:w="2126" w:type="dxa"/>
            <w:vMerge w:val="restart"/>
            <w:tcBorders>
              <w:top w:val="single" w:sz="4" w:space="0" w:color="auto"/>
              <w:left w:val="single" w:sz="4" w:space="0" w:color="auto"/>
              <w:right w:val="single" w:sz="4" w:space="0" w:color="auto"/>
            </w:tcBorders>
            <w:shd w:val="clear" w:color="auto" w:fill="auto"/>
            <w:vAlign w:val="center"/>
          </w:tcPr>
          <w:p w14:paraId="7B5FF29A" w14:textId="77777777" w:rsidR="00350C9E" w:rsidRPr="00A9330B" w:rsidRDefault="00350C9E" w:rsidP="006721DD">
            <w:pPr>
              <w:spacing w:before="80" w:line="240" w:lineRule="auto"/>
              <w:jc w:val="center"/>
              <w:rPr>
                <w:rFonts w:eastAsia="Times New Roman" w:cs="Arial"/>
                <w:b/>
                <w:color w:val="000000"/>
                <w:sz w:val="20"/>
                <w:szCs w:val="20"/>
                <w:lang w:eastAsia="de-DE"/>
              </w:rPr>
            </w:pPr>
            <w:r w:rsidRPr="00A9330B">
              <w:rPr>
                <w:rFonts w:eastAsia="Times New Roman" w:cs="Arial"/>
                <w:color w:val="000000"/>
                <w:sz w:val="20"/>
                <w:szCs w:val="20"/>
                <w:lang w:eastAsia="de-DE"/>
              </w:rPr>
              <w:t>Palmiers</w:t>
            </w:r>
          </w:p>
        </w:tc>
        <w:tc>
          <w:tcPr>
            <w:tcW w:w="1063" w:type="dxa"/>
            <w:tcBorders>
              <w:top w:val="single" w:sz="4" w:space="0" w:color="auto"/>
              <w:left w:val="single" w:sz="4" w:space="0" w:color="auto"/>
              <w:bottom w:val="single" w:sz="4" w:space="0" w:color="auto"/>
              <w:right w:val="single" w:sz="4" w:space="0" w:color="auto"/>
            </w:tcBorders>
            <w:shd w:val="clear" w:color="auto" w:fill="auto"/>
            <w:vAlign w:val="center"/>
          </w:tcPr>
          <w:p w14:paraId="2AEAE4F9" w14:textId="77777777" w:rsidR="00350C9E" w:rsidRPr="00A9330B" w:rsidRDefault="00350C9E" w:rsidP="006721DD">
            <w:pPr>
              <w:spacing w:before="80" w:line="240" w:lineRule="auto"/>
              <w:jc w:val="center"/>
              <w:rPr>
                <w:rFonts w:eastAsia="Times New Roman" w:cs="Arial"/>
                <w:b/>
                <w:color w:val="000000"/>
                <w:sz w:val="20"/>
                <w:szCs w:val="20"/>
                <w:lang w:eastAsia="de-DE"/>
              </w:rPr>
            </w:pPr>
            <w:r w:rsidRPr="00A9330B">
              <w:rPr>
                <w:rFonts w:eastAsia="Times New Roman" w:cs="Arial"/>
                <w:b/>
                <w:color w:val="000000"/>
                <w:sz w:val="20"/>
                <w:szCs w:val="20"/>
                <w:lang w:eastAsia="de-DE"/>
              </w:rPr>
              <w:t>Jeunes</w:t>
            </w:r>
          </w:p>
        </w:tc>
        <w:tc>
          <w:tcPr>
            <w:tcW w:w="1347" w:type="dxa"/>
            <w:tcBorders>
              <w:top w:val="single" w:sz="4" w:space="0" w:color="auto"/>
              <w:left w:val="single" w:sz="4" w:space="0" w:color="auto"/>
              <w:bottom w:val="single" w:sz="4" w:space="0" w:color="auto"/>
              <w:right w:val="single" w:sz="4" w:space="0" w:color="auto"/>
            </w:tcBorders>
            <w:shd w:val="clear" w:color="auto" w:fill="auto"/>
            <w:vAlign w:val="center"/>
          </w:tcPr>
          <w:p w14:paraId="105EF502" w14:textId="77777777" w:rsidR="00350C9E" w:rsidRPr="00A9330B" w:rsidRDefault="00350C9E" w:rsidP="006721DD">
            <w:pPr>
              <w:spacing w:before="80" w:line="240" w:lineRule="auto"/>
              <w:jc w:val="right"/>
              <w:rPr>
                <w:rFonts w:eastAsia="Times New Roman" w:cs="Arial"/>
                <w:b/>
                <w:color w:val="000000"/>
                <w:sz w:val="20"/>
                <w:szCs w:val="20"/>
                <w:lang w:eastAsia="de-DE"/>
              </w:rPr>
            </w:pPr>
            <w:r w:rsidRPr="00A9330B">
              <w:rPr>
                <w:rFonts w:eastAsia="Times New Roman" w:cs="Arial"/>
                <w:b/>
                <w:color w:val="000000"/>
                <w:sz w:val="20"/>
                <w:szCs w:val="20"/>
                <w:lang w:eastAsia="de-DE"/>
              </w:rPr>
              <w:t>15000</w:t>
            </w:r>
          </w:p>
        </w:tc>
        <w:tc>
          <w:tcPr>
            <w:tcW w:w="1871" w:type="dxa"/>
            <w:vMerge w:val="restart"/>
            <w:tcBorders>
              <w:top w:val="single" w:sz="4" w:space="0" w:color="auto"/>
              <w:left w:val="single" w:sz="4" w:space="0" w:color="auto"/>
              <w:right w:val="single" w:sz="4" w:space="0" w:color="auto"/>
            </w:tcBorders>
            <w:shd w:val="clear" w:color="auto" w:fill="auto"/>
            <w:vAlign w:val="center"/>
          </w:tcPr>
          <w:p w14:paraId="25EA0B52" w14:textId="77777777" w:rsidR="00350C9E" w:rsidRPr="00A9330B" w:rsidRDefault="00350C9E" w:rsidP="006721DD">
            <w:pPr>
              <w:spacing w:before="80" w:line="240" w:lineRule="auto"/>
              <w:jc w:val="center"/>
              <w:rPr>
                <w:rFonts w:eastAsia="Calibri" w:cs="Arial"/>
                <w:color w:val="auto"/>
                <w:sz w:val="20"/>
                <w:szCs w:val="20"/>
              </w:rPr>
            </w:pPr>
            <w:r w:rsidRPr="00A9330B">
              <w:rPr>
                <w:rFonts w:eastAsia="Calibri" w:cs="Arial"/>
                <w:color w:val="auto"/>
                <w:sz w:val="20"/>
                <w:szCs w:val="20"/>
              </w:rPr>
              <w:t>-</w:t>
            </w:r>
          </w:p>
        </w:tc>
      </w:tr>
      <w:tr w:rsidR="00350C9E" w:rsidRPr="00A9330B" w14:paraId="3311D37F" w14:textId="77777777" w:rsidTr="006721DD">
        <w:trPr>
          <w:trHeight w:val="195"/>
        </w:trPr>
        <w:tc>
          <w:tcPr>
            <w:tcW w:w="2694" w:type="dxa"/>
            <w:vMerge/>
            <w:tcBorders>
              <w:left w:val="single" w:sz="4" w:space="0" w:color="auto"/>
              <w:right w:val="single" w:sz="4" w:space="0" w:color="auto"/>
            </w:tcBorders>
            <w:shd w:val="clear" w:color="auto" w:fill="auto"/>
            <w:vAlign w:val="center"/>
          </w:tcPr>
          <w:p w14:paraId="6E60B9F0" w14:textId="77777777" w:rsidR="00350C9E" w:rsidRPr="00A9330B" w:rsidRDefault="00350C9E" w:rsidP="006721DD">
            <w:pPr>
              <w:spacing w:before="80" w:line="240" w:lineRule="auto"/>
              <w:jc w:val="both"/>
              <w:rPr>
                <w:rFonts w:eastAsia="Calibri" w:cs="Arial"/>
                <w:color w:val="auto"/>
                <w:sz w:val="20"/>
                <w:szCs w:val="20"/>
              </w:rPr>
            </w:pPr>
          </w:p>
        </w:tc>
        <w:tc>
          <w:tcPr>
            <w:tcW w:w="2126" w:type="dxa"/>
            <w:vMerge/>
            <w:tcBorders>
              <w:left w:val="single" w:sz="4" w:space="0" w:color="auto"/>
              <w:bottom w:val="single" w:sz="4" w:space="0" w:color="auto"/>
              <w:right w:val="single" w:sz="4" w:space="0" w:color="auto"/>
            </w:tcBorders>
            <w:shd w:val="clear" w:color="auto" w:fill="auto"/>
            <w:vAlign w:val="center"/>
          </w:tcPr>
          <w:p w14:paraId="0FCA2CFE" w14:textId="77777777" w:rsidR="00350C9E" w:rsidRPr="00A9330B" w:rsidRDefault="00350C9E" w:rsidP="006721DD">
            <w:pPr>
              <w:spacing w:before="80" w:line="240" w:lineRule="auto"/>
              <w:jc w:val="center"/>
              <w:rPr>
                <w:rFonts w:eastAsia="Times New Roman" w:cs="Arial"/>
                <w:color w:val="000000"/>
                <w:sz w:val="20"/>
                <w:szCs w:val="20"/>
                <w:lang w:eastAsia="de-DE"/>
              </w:rPr>
            </w:pPr>
          </w:p>
        </w:tc>
        <w:tc>
          <w:tcPr>
            <w:tcW w:w="1063" w:type="dxa"/>
            <w:tcBorders>
              <w:top w:val="single" w:sz="4" w:space="0" w:color="auto"/>
              <w:left w:val="single" w:sz="4" w:space="0" w:color="auto"/>
              <w:bottom w:val="single" w:sz="4" w:space="0" w:color="auto"/>
              <w:right w:val="single" w:sz="4" w:space="0" w:color="auto"/>
            </w:tcBorders>
            <w:shd w:val="clear" w:color="auto" w:fill="auto"/>
            <w:vAlign w:val="center"/>
          </w:tcPr>
          <w:p w14:paraId="5A2CC90A" w14:textId="77777777" w:rsidR="00350C9E" w:rsidRPr="00A9330B" w:rsidRDefault="00350C9E" w:rsidP="006721DD">
            <w:pPr>
              <w:spacing w:before="80" w:line="240" w:lineRule="auto"/>
              <w:jc w:val="center"/>
              <w:rPr>
                <w:rFonts w:eastAsia="Times New Roman" w:cs="Arial"/>
                <w:color w:val="000000"/>
                <w:sz w:val="20"/>
                <w:szCs w:val="20"/>
                <w:lang w:eastAsia="de-DE"/>
              </w:rPr>
            </w:pPr>
            <w:r w:rsidRPr="00A9330B">
              <w:rPr>
                <w:rFonts w:eastAsia="Times New Roman" w:cs="Arial"/>
                <w:color w:val="000000"/>
                <w:sz w:val="20"/>
                <w:szCs w:val="20"/>
                <w:lang w:eastAsia="de-DE"/>
              </w:rPr>
              <w:t>Adultes</w:t>
            </w:r>
          </w:p>
        </w:tc>
        <w:tc>
          <w:tcPr>
            <w:tcW w:w="1347" w:type="dxa"/>
            <w:tcBorders>
              <w:top w:val="single" w:sz="4" w:space="0" w:color="auto"/>
              <w:left w:val="single" w:sz="4" w:space="0" w:color="auto"/>
              <w:bottom w:val="single" w:sz="4" w:space="0" w:color="auto"/>
              <w:right w:val="single" w:sz="4" w:space="0" w:color="auto"/>
            </w:tcBorders>
            <w:shd w:val="clear" w:color="auto" w:fill="auto"/>
            <w:vAlign w:val="center"/>
          </w:tcPr>
          <w:p w14:paraId="03296A64" w14:textId="77777777" w:rsidR="00350C9E" w:rsidRPr="00A9330B" w:rsidRDefault="00350C9E" w:rsidP="006721DD">
            <w:pPr>
              <w:spacing w:before="80" w:line="240" w:lineRule="auto"/>
              <w:jc w:val="right"/>
              <w:rPr>
                <w:rFonts w:eastAsia="Times New Roman" w:cs="Arial"/>
                <w:color w:val="000000"/>
                <w:sz w:val="20"/>
                <w:szCs w:val="20"/>
                <w:lang w:eastAsia="de-DE"/>
              </w:rPr>
            </w:pPr>
            <w:r w:rsidRPr="00A9330B">
              <w:rPr>
                <w:rFonts w:eastAsia="Times New Roman" w:cs="Arial"/>
                <w:color w:val="000000"/>
                <w:sz w:val="20"/>
                <w:szCs w:val="20"/>
                <w:lang w:eastAsia="de-DE"/>
              </w:rPr>
              <w:t>25000</w:t>
            </w:r>
          </w:p>
        </w:tc>
        <w:tc>
          <w:tcPr>
            <w:tcW w:w="1871" w:type="dxa"/>
            <w:vMerge/>
            <w:tcBorders>
              <w:left w:val="single" w:sz="4" w:space="0" w:color="auto"/>
              <w:bottom w:val="single" w:sz="4" w:space="0" w:color="auto"/>
              <w:right w:val="single" w:sz="4" w:space="0" w:color="auto"/>
            </w:tcBorders>
            <w:shd w:val="clear" w:color="auto" w:fill="auto"/>
            <w:vAlign w:val="center"/>
          </w:tcPr>
          <w:p w14:paraId="66E32510" w14:textId="77777777" w:rsidR="00350C9E" w:rsidRPr="00A9330B" w:rsidRDefault="00350C9E" w:rsidP="006721DD">
            <w:pPr>
              <w:spacing w:before="80" w:line="240" w:lineRule="auto"/>
              <w:jc w:val="both"/>
              <w:rPr>
                <w:rFonts w:eastAsia="Times New Roman" w:cs="Arial"/>
                <w:color w:val="auto"/>
                <w:sz w:val="20"/>
                <w:szCs w:val="20"/>
              </w:rPr>
            </w:pPr>
          </w:p>
        </w:tc>
      </w:tr>
      <w:tr w:rsidR="00350C9E" w:rsidRPr="00A9330B" w14:paraId="462B3CCE" w14:textId="77777777" w:rsidTr="006721DD">
        <w:trPr>
          <w:trHeight w:val="210"/>
        </w:trPr>
        <w:tc>
          <w:tcPr>
            <w:tcW w:w="2694" w:type="dxa"/>
            <w:vMerge/>
            <w:tcBorders>
              <w:left w:val="single" w:sz="4" w:space="0" w:color="auto"/>
              <w:right w:val="single" w:sz="4" w:space="0" w:color="auto"/>
            </w:tcBorders>
            <w:shd w:val="clear" w:color="auto" w:fill="auto"/>
            <w:vAlign w:val="center"/>
          </w:tcPr>
          <w:p w14:paraId="4DEB8335" w14:textId="77777777" w:rsidR="00350C9E" w:rsidRPr="00A9330B" w:rsidRDefault="00350C9E" w:rsidP="006721DD">
            <w:pPr>
              <w:spacing w:before="80" w:line="240" w:lineRule="auto"/>
              <w:jc w:val="both"/>
              <w:rPr>
                <w:rFonts w:eastAsia="Calibri" w:cs="Arial"/>
                <w:color w:val="auto"/>
                <w:sz w:val="20"/>
                <w:szCs w:val="20"/>
              </w:rPr>
            </w:pPr>
          </w:p>
        </w:tc>
        <w:tc>
          <w:tcPr>
            <w:tcW w:w="2126" w:type="dxa"/>
            <w:vMerge w:val="restart"/>
            <w:tcBorders>
              <w:top w:val="single" w:sz="4" w:space="0" w:color="auto"/>
              <w:left w:val="single" w:sz="4" w:space="0" w:color="auto"/>
              <w:right w:val="single" w:sz="4" w:space="0" w:color="auto"/>
            </w:tcBorders>
            <w:shd w:val="clear" w:color="auto" w:fill="auto"/>
            <w:vAlign w:val="center"/>
          </w:tcPr>
          <w:p w14:paraId="5F155A73" w14:textId="77777777" w:rsidR="00350C9E" w:rsidRPr="00A9330B" w:rsidRDefault="00350C9E" w:rsidP="006721DD">
            <w:pPr>
              <w:spacing w:before="80" w:line="240" w:lineRule="auto"/>
              <w:jc w:val="center"/>
              <w:rPr>
                <w:rFonts w:eastAsia="Times New Roman" w:cs="Arial"/>
                <w:b/>
                <w:color w:val="000000"/>
                <w:sz w:val="20"/>
                <w:szCs w:val="20"/>
                <w:lang w:eastAsia="de-DE"/>
              </w:rPr>
            </w:pPr>
            <w:r w:rsidRPr="00A9330B">
              <w:rPr>
                <w:rFonts w:eastAsia="Times New Roman" w:cs="Arial"/>
                <w:color w:val="000000"/>
                <w:sz w:val="20"/>
                <w:szCs w:val="20"/>
                <w:lang w:eastAsia="de-DE"/>
              </w:rPr>
              <w:t>Cocotiers</w:t>
            </w:r>
          </w:p>
        </w:tc>
        <w:tc>
          <w:tcPr>
            <w:tcW w:w="1063" w:type="dxa"/>
            <w:tcBorders>
              <w:top w:val="single" w:sz="4" w:space="0" w:color="auto"/>
              <w:left w:val="single" w:sz="4" w:space="0" w:color="auto"/>
              <w:bottom w:val="single" w:sz="4" w:space="0" w:color="auto"/>
              <w:right w:val="single" w:sz="4" w:space="0" w:color="auto"/>
            </w:tcBorders>
            <w:shd w:val="clear" w:color="auto" w:fill="auto"/>
            <w:vAlign w:val="center"/>
          </w:tcPr>
          <w:p w14:paraId="513BD195" w14:textId="77777777" w:rsidR="00350C9E" w:rsidRPr="00A9330B" w:rsidRDefault="00350C9E" w:rsidP="006721DD">
            <w:pPr>
              <w:spacing w:before="80" w:line="240" w:lineRule="auto"/>
              <w:jc w:val="center"/>
              <w:rPr>
                <w:rFonts w:eastAsia="Times New Roman" w:cs="Arial"/>
                <w:b/>
                <w:color w:val="000000"/>
                <w:sz w:val="20"/>
                <w:szCs w:val="20"/>
                <w:lang w:eastAsia="de-DE"/>
              </w:rPr>
            </w:pPr>
            <w:r w:rsidRPr="00A9330B">
              <w:rPr>
                <w:rFonts w:eastAsia="Times New Roman" w:cs="Arial"/>
                <w:b/>
                <w:color w:val="000000"/>
                <w:sz w:val="20"/>
                <w:szCs w:val="20"/>
                <w:lang w:eastAsia="de-DE"/>
              </w:rPr>
              <w:t>Jeunes</w:t>
            </w:r>
          </w:p>
        </w:tc>
        <w:tc>
          <w:tcPr>
            <w:tcW w:w="1347" w:type="dxa"/>
            <w:tcBorders>
              <w:top w:val="single" w:sz="4" w:space="0" w:color="auto"/>
              <w:left w:val="single" w:sz="4" w:space="0" w:color="auto"/>
              <w:bottom w:val="single" w:sz="4" w:space="0" w:color="auto"/>
              <w:right w:val="single" w:sz="4" w:space="0" w:color="auto"/>
            </w:tcBorders>
            <w:shd w:val="clear" w:color="auto" w:fill="auto"/>
            <w:vAlign w:val="center"/>
          </w:tcPr>
          <w:p w14:paraId="7EE418DE" w14:textId="77777777" w:rsidR="00350C9E" w:rsidRPr="00A9330B" w:rsidRDefault="00350C9E" w:rsidP="006721DD">
            <w:pPr>
              <w:spacing w:before="80" w:line="240" w:lineRule="auto"/>
              <w:jc w:val="right"/>
              <w:rPr>
                <w:rFonts w:eastAsia="Times New Roman" w:cs="Arial"/>
                <w:b/>
                <w:color w:val="000000"/>
                <w:sz w:val="20"/>
                <w:szCs w:val="20"/>
                <w:lang w:eastAsia="de-DE"/>
              </w:rPr>
            </w:pPr>
            <w:r w:rsidRPr="00A9330B">
              <w:rPr>
                <w:rFonts w:eastAsia="Times New Roman" w:cs="Arial"/>
                <w:b/>
                <w:color w:val="000000"/>
                <w:sz w:val="20"/>
                <w:szCs w:val="20"/>
                <w:lang w:eastAsia="de-DE"/>
              </w:rPr>
              <w:t>15000</w:t>
            </w:r>
          </w:p>
        </w:tc>
        <w:tc>
          <w:tcPr>
            <w:tcW w:w="1871" w:type="dxa"/>
            <w:vMerge w:val="restart"/>
            <w:tcBorders>
              <w:top w:val="single" w:sz="4" w:space="0" w:color="auto"/>
              <w:left w:val="single" w:sz="4" w:space="0" w:color="auto"/>
              <w:right w:val="single" w:sz="4" w:space="0" w:color="auto"/>
            </w:tcBorders>
            <w:shd w:val="clear" w:color="auto" w:fill="auto"/>
            <w:vAlign w:val="center"/>
          </w:tcPr>
          <w:p w14:paraId="0F9AF164" w14:textId="77777777" w:rsidR="00350C9E" w:rsidRPr="00A9330B" w:rsidRDefault="00350C9E" w:rsidP="006721DD">
            <w:pPr>
              <w:spacing w:before="80" w:line="240" w:lineRule="auto"/>
              <w:jc w:val="both"/>
              <w:rPr>
                <w:rFonts w:eastAsia="Times New Roman" w:cs="Arial"/>
                <w:color w:val="auto"/>
                <w:sz w:val="20"/>
                <w:szCs w:val="20"/>
              </w:rPr>
            </w:pPr>
          </w:p>
        </w:tc>
      </w:tr>
      <w:tr w:rsidR="00350C9E" w:rsidRPr="00A9330B" w14:paraId="6679585C" w14:textId="77777777" w:rsidTr="006721DD">
        <w:trPr>
          <w:trHeight w:val="210"/>
        </w:trPr>
        <w:tc>
          <w:tcPr>
            <w:tcW w:w="2694" w:type="dxa"/>
            <w:vMerge/>
            <w:tcBorders>
              <w:left w:val="single" w:sz="4" w:space="0" w:color="auto"/>
              <w:right w:val="single" w:sz="4" w:space="0" w:color="auto"/>
            </w:tcBorders>
            <w:shd w:val="clear" w:color="auto" w:fill="auto"/>
            <w:vAlign w:val="center"/>
          </w:tcPr>
          <w:p w14:paraId="03C87C83" w14:textId="77777777" w:rsidR="00350C9E" w:rsidRPr="00A9330B" w:rsidRDefault="00350C9E" w:rsidP="006721DD">
            <w:pPr>
              <w:spacing w:before="80" w:line="240" w:lineRule="auto"/>
              <w:jc w:val="both"/>
              <w:rPr>
                <w:rFonts w:eastAsia="Calibri" w:cs="Arial"/>
                <w:color w:val="auto"/>
                <w:sz w:val="20"/>
                <w:szCs w:val="20"/>
              </w:rPr>
            </w:pPr>
          </w:p>
        </w:tc>
        <w:tc>
          <w:tcPr>
            <w:tcW w:w="2126" w:type="dxa"/>
            <w:vMerge/>
            <w:tcBorders>
              <w:left w:val="single" w:sz="4" w:space="0" w:color="auto"/>
              <w:bottom w:val="single" w:sz="4" w:space="0" w:color="auto"/>
              <w:right w:val="single" w:sz="4" w:space="0" w:color="auto"/>
            </w:tcBorders>
            <w:shd w:val="clear" w:color="auto" w:fill="auto"/>
            <w:vAlign w:val="center"/>
          </w:tcPr>
          <w:p w14:paraId="3D5D609E" w14:textId="77777777" w:rsidR="00350C9E" w:rsidRPr="00A9330B" w:rsidRDefault="00350C9E" w:rsidP="006721DD">
            <w:pPr>
              <w:spacing w:before="80" w:line="240" w:lineRule="auto"/>
              <w:jc w:val="center"/>
              <w:rPr>
                <w:rFonts w:eastAsia="Times New Roman" w:cs="Arial"/>
                <w:color w:val="000000"/>
                <w:sz w:val="20"/>
                <w:szCs w:val="20"/>
                <w:lang w:eastAsia="de-DE"/>
              </w:rPr>
            </w:pPr>
          </w:p>
        </w:tc>
        <w:tc>
          <w:tcPr>
            <w:tcW w:w="1063" w:type="dxa"/>
            <w:tcBorders>
              <w:top w:val="single" w:sz="4" w:space="0" w:color="auto"/>
              <w:left w:val="single" w:sz="4" w:space="0" w:color="auto"/>
              <w:bottom w:val="single" w:sz="4" w:space="0" w:color="auto"/>
              <w:right w:val="single" w:sz="4" w:space="0" w:color="auto"/>
            </w:tcBorders>
            <w:shd w:val="clear" w:color="auto" w:fill="auto"/>
            <w:vAlign w:val="center"/>
          </w:tcPr>
          <w:p w14:paraId="42505BA0" w14:textId="77777777" w:rsidR="00350C9E" w:rsidRPr="00A9330B" w:rsidRDefault="00350C9E" w:rsidP="006721DD">
            <w:pPr>
              <w:spacing w:before="80" w:line="240" w:lineRule="auto"/>
              <w:jc w:val="center"/>
              <w:rPr>
                <w:rFonts w:eastAsia="Times New Roman" w:cs="Arial"/>
                <w:color w:val="000000"/>
                <w:sz w:val="20"/>
                <w:szCs w:val="20"/>
                <w:lang w:eastAsia="de-DE"/>
              </w:rPr>
            </w:pPr>
            <w:r w:rsidRPr="00A9330B">
              <w:rPr>
                <w:rFonts w:eastAsia="Times New Roman" w:cs="Arial"/>
                <w:color w:val="000000"/>
                <w:sz w:val="20"/>
                <w:szCs w:val="20"/>
                <w:lang w:eastAsia="de-DE"/>
              </w:rPr>
              <w:t>Adultes</w:t>
            </w:r>
          </w:p>
        </w:tc>
        <w:tc>
          <w:tcPr>
            <w:tcW w:w="1347" w:type="dxa"/>
            <w:tcBorders>
              <w:top w:val="single" w:sz="4" w:space="0" w:color="auto"/>
              <w:left w:val="single" w:sz="4" w:space="0" w:color="auto"/>
              <w:bottom w:val="single" w:sz="4" w:space="0" w:color="auto"/>
              <w:right w:val="single" w:sz="4" w:space="0" w:color="auto"/>
            </w:tcBorders>
            <w:shd w:val="clear" w:color="auto" w:fill="auto"/>
            <w:vAlign w:val="center"/>
          </w:tcPr>
          <w:p w14:paraId="1FD7D4E1" w14:textId="77777777" w:rsidR="00350C9E" w:rsidRPr="00A9330B" w:rsidRDefault="00350C9E" w:rsidP="006721DD">
            <w:pPr>
              <w:spacing w:before="80" w:line="240" w:lineRule="auto"/>
              <w:jc w:val="right"/>
              <w:rPr>
                <w:rFonts w:eastAsia="Times New Roman" w:cs="Arial"/>
                <w:color w:val="000000"/>
                <w:sz w:val="20"/>
                <w:szCs w:val="20"/>
                <w:lang w:eastAsia="de-DE"/>
              </w:rPr>
            </w:pPr>
            <w:r w:rsidRPr="00A9330B">
              <w:rPr>
                <w:rFonts w:eastAsia="Times New Roman" w:cs="Arial"/>
                <w:color w:val="000000"/>
                <w:sz w:val="20"/>
                <w:szCs w:val="20"/>
                <w:lang w:eastAsia="de-DE"/>
              </w:rPr>
              <w:t>50000</w:t>
            </w:r>
          </w:p>
        </w:tc>
        <w:tc>
          <w:tcPr>
            <w:tcW w:w="1871" w:type="dxa"/>
            <w:vMerge/>
            <w:tcBorders>
              <w:left w:val="single" w:sz="4" w:space="0" w:color="auto"/>
              <w:bottom w:val="single" w:sz="4" w:space="0" w:color="auto"/>
              <w:right w:val="single" w:sz="4" w:space="0" w:color="auto"/>
            </w:tcBorders>
            <w:shd w:val="clear" w:color="auto" w:fill="auto"/>
            <w:vAlign w:val="center"/>
          </w:tcPr>
          <w:p w14:paraId="360E87B7" w14:textId="77777777" w:rsidR="00350C9E" w:rsidRPr="00A9330B" w:rsidRDefault="00350C9E" w:rsidP="006721DD">
            <w:pPr>
              <w:spacing w:before="80" w:line="240" w:lineRule="auto"/>
              <w:jc w:val="both"/>
              <w:rPr>
                <w:rFonts w:eastAsia="Times New Roman" w:cs="Arial"/>
                <w:color w:val="auto"/>
                <w:sz w:val="20"/>
                <w:szCs w:val="20"/>
              </w:rPr>
            </w:pPr>
          </w:p>
        </w:tc>
      </w:tr>
      <w:tr w:rsidR="00350C9E" w:rsidRPr="00A9330B" w14:paraId="08F727C7" w14:textId="77777777" w:rsidTr="006721DD">
        <w:trPr>
          <w:trHeight w:val="210"/>
        </w:trPr>
        <w:tc>
          <w:tcPr>
            <w:tcW w:w="2694" w:type="dxa"/>
            <w:vMerge/>
            <w:tcBorders>
              <w:left w:val="single" w:sz="4" w:space="0" w:color="auto"/>
              <w:right w:val="single" w:sz="4" w:space="0" w:color="auto"/>
            </w:tcBorders>
            <w:shd w:val="clear" w:color="auto" w:fill="auto"/>
            <w:vAlign w:val="center"/>
          </w:tcPr>
          <w:p w14:paraId="583FBC4E" w14:textId="77777777" w:rsidR="00350C9E" w:rsidRPr="00A9330B" w:rsidRDefault="00350C9E" w:rsidP="006721DD">
            <w:pPr>
              <w:spacing w:before="80" w:line="240" w:lineRule="auto"/>
              <w:jc w:val="both"/>
              <w:rPr>
                <w:rFonts w:eastAsia="Calibri" w:cs="Arial"/>
                <w:color w:val="auto"/>
                <w:sz w:val="20"/>
                <w:szCs w:val="20"/>
              </w:rPr>
            </w:pPr>
          </w:p>
        </w:tc>
        <w:tc>
          <w:tcPr>
            <w:tcW w:w="2126" w:type="dxa"/>
            <w:vMerge w:val="restart"/>
            <w:tcBorders>
              <w:top w:val="single" w:sz="4" w:space="0" w:color="auto"/>
              <w:left w:val="single" w:sz="4" w:space="0" w:color="auto"/>
              <w:right w:val="single" w:sz="4" w:space="0" w:color="auto"/>
            </w:tcBorders>
            <w:shd w:val="clear" w:color="auto" w:fill="auto"/>
            <w:vAlign w:val="center"/>
          </w:tcPr>
          <w:p w14:paraId="2027D1FB" w14:textId="77777777" w:rsidR="00350C9E" w:rsidRPr="00A9330B" w:rsidRDefault="00350C9E" w:rsidP="006721DD">
            <w:pPr>
              <w:spacing w:before="80" w:line="240" w:lineRule="auto"/>
              <w:jc w:val="center"/>
              <w:rPr>
                <w:rFonts w:eastAsia="Times New Roman" w:cs="Arial"/>
                <w:b/>
                <w:color w:val="000000"/>
                <w:sz w:val="20"/>
                <w:szCs w:val="20"/>
                <w:lang w:eastAsia="de-DE"/>
              </w:rPr>
            </w:pPr>
            <w:r w:rsidRPr="00A9330B">
              <w:rPr>
                <w:rFonts w:eastAsia="Times New Roman" w:cs="Arial"/>
                <w:color w:val="000000"/>
                <w:sz w:val="20"/>
                <w:szCs w:val="20"/>
                <w:lang w:eastAsia="de-DE"/>
              </w:rPr>
              <w:t>Arbre</w:t>
            </w:r>
          </w:p>
        </w:tc>
        <w:tc>
          <w:tcPr>
            <w:tcW w:w="1063" w:type="dxa"/>
            <w:tcBorders>
              <w:top w:val="single" w:sz="4" w:space="0" w:color="auto"/>
              <w:left w:val="single" w:sz="4" w:space="0" w:color="auto"/>
              <w:bottom w:val="single" w:sz="4" w:space="0" w:color="auto"/>
              <w:right w:val="single" w:sz="4" w:space="0" w:color="auto"/>
            </w:tcBorders>
            <w:shd w:val="clear" w:color="auto" w:fill="auto"/>
            <w:vAlign w:val="center"/>
          </w:tcPr>
          <w:p w14:paraId="32AF5543" w14:textId="77777777" w:rsidR="00350C9E" w:rsidRPr="00A9330B" w:rsidRDefault="00350C9E" w:rsidP="006721DD">
            <w:pPr>
              <w:spacing w:before="80" w:line="240" w:lineRule="auto"/>
              <w:jc w:val="center"/>
              <w:rPr>
                <w:rFonts w:eastAsia="Times New Roman" w:cs="Arial"/>
                <w:b/>
                <w:color w:val="000000"/>
                <w:sz w:val="20"/>
                <w:szCs w:val="20"/>
                <w:lang w:eastAsia="de-DE"/>
              </w:rPr>
            </w:pPr>
            <w:r w:rsidRPr="00A9330B">
              <w:rPr>
                <w:rFonts w:eastAsia="Times New Roman" w:cs="Arial"/>
                <w:b/>
                <w:color w:val="000000"/>
                <w:sz w:val="20"/>
                <w:szCs w:val="20"/>
                <w:lang w:eastAsia="de-DE"/>
              </w:rPr>
              <w:t>Jeunes</w:t>
            </w:r>
          </w:p>
        </w:tc>
        <w:tc>
          <w:tcPr>
            <w:tcW w:w="1347" w:type="dxa"/>
            <w:tcBorders>
              <w:top w:val="single" w:sz="4" w:space="0" w:color="auto"/>
              <w:left w:val="single" w:sz="4" w:space="0" w:color="auto"/>
              <w:bottom w:val="single" w:sz="4" w:space="0" w:color="auto"/>
              <w:right w:val="single" w:sz="4" w:space="0" w:color="auto"/>
            </w:tcBorders>
            <w:shd w:val="clear" w:color="auto" w:fill="auto"/>
            <w:vAlign w:val="center"/>
          </w:tcPr>
          <w:p w14:paraId="0B66C555" w14:textId="77777777" w:rsidR="00350C9E" w:rsidRPr="00A9330B" w:rsidRDefault="00350C9E" w:rsidP="006721DD">
            <w:pPr>
              <w:spacing w:before="80" w:line="240" w:lineRule="auto"/>
              <w:jc w:val="right"/>
              <w:rPr>
                <w:rFonts w:eastAsia="Times New Roman" w:cs="Arial"/>
                <w:b/>
                <w:color w:val="000000"/>
                <w:sz w:val="20"/>
                <w:szCs w:val="20"/>
                <w:lang w:eastAsia="de-DE"/>
              </w:rPr>
            </w:pPr>
            <w:r w:rsidRPr="00A9330B">
              <w:rPr>
                <w:rFonts w:eastAsia="Times New Roman" w:cs="Arial"/>
                <w:b/>
                <w:color w:val="000000"/>
                <w:sz w:val="20"/>
                <w:szCs w:val="20"/>
                <w:lang w:eastAsia="de-DE"/>
              </w:rPr>
              <w:t>6000</w:t>
            </w:r>
          </w:p>
        </w:tc>
        <w:tc>
          <w:tcPr>
            <w:tcW w:w="1871" w:type="dxa"/>
            <w:vMerge w:val="restart"/>
            <w:tcBorders>
              <w:top w:val="single" w:sz="4" w:space="0" w:color="auto"/>
              <w:left w:val="single" w:sz="4" w:space="0" w:color="auto"/>
              <w:right w:val="single" w:sz="4" w:space="0" w:color="auto"/>
            </w:tcBorders>
            <w:shd w:val="clear" w:color="auto" w:fill="auto"/>
            <w:vAlign w:val="center"/>
          </w:tcPr>
          <w:p w14:paraId="00AD0721" w14:textId="77777777" w:rsidR="00350C9E" w:rsidRPr="00A9330B" w:rsidRDefault="00350C9E" w:rsidP="006721DD">
            <w:pPr>
              <w:spacing w:before="80" w:line="240" w:lineRule="auto"/>
              <w:jc w:val="both"/>
              <w:rPr>
                <w:rFonts w:eastAsia="Times New Roman" w:cs="Arial"/>
                <w:color w:val="auto"/>
                <w:sz w:val="20"/>
                <w:szCs w:val="20"/>
              </w:rPr>
            </w:pPr>
          </w:p>
        </w:tc>
      </w:tr>
      <w:tr w:rsidR="00350C9E" w:rsidRPr="00A9330B" w14:paraId="62115038" w14:textId="77777777" w:rsidTr="006721DD">
        <w:trPr>
          <w:trHeight w:val="210"/>
        </w:trPr>
        <w:tc>
          <w:tcPr>
            <w:tcW w:w="2694" w:type="dxa"/>
            <w:vMerge/>
            <w:tcBorders>
              <w:left w:val="single" w:sz="4" w:space="0" w:color="auto"/>
              <w:right w:val="single" w:sz="4" w:space="0" w:color="auto"/>
            </w:tcBorders>
            <w:shd w:val="clear" w:color="auto" w:fill="auto"/>
            <w:vAlign w:val="center"/>
          </w:tcPr>
          <w:p w14:paraId="0CBDA5E9" w14:textId="77777777" w:rsidR="00350C9E" w:rsidRPr="00A9330B" w:rsidRDefault="00350C9E" w:rsidP="006721DD">
            <w:pPr>
              <w:spacing w:before="80" w:line="240" w:lineRule="auto"/>
              <w:jc w:val="both"/>
              <w:rPr>
                <w:rFonts w:eastAsia="Calibri" w:cs="Arial"/>
                <w:color w:val="auto"/>
                <w:sz w:val="20"/>
                <w:szCs w:val="20"/>
              </w:rPr>
            </w:pPr>
          </w:p>
        </w:tc>
        <w:tc>
          <w:tcPr>
            <w:tcW w:w="2126" w:type="dxa"/>
            <w:vMerge/>
            <w:tcBorders>
              <w:left w:val="single" w:sz="4" w:space="0" w:color="auto"/>
              <w:bottom w:val="single" w:sz="4" w:space="0" w:color="auto"/>
              <w:right w:val="single" w:sz="4" w:space="0" w:color="auto"/>
            </w:tcBorders>
            <w:shd w:val="clear" w:color="auto" w:fill="auto"/>
            <w:vAlign w:val="center"/>
          </w:tcPr>
          <w:p w14:paraId="6292857D" w14:textId="77777777" w:rsidR="00350C9E" w:rsidRPr="00A9330B" w:rsidRDefault="00350C9E" w:rsidP="006721DD">
            <w:pPr>
              <w:spacing w:before="80" w:line="240" w:lineRule="auto"/>
              <w:jc w:val="center"/>
              <w:rPr>
                <w:rFonts w:eastAsia="Times New Roman" w:cs="Arial"/>
                <w:color w:val="000000"/>
                <w:sz w:val="20"/>
                <w:szCs w:val="20"/>
                <w:lang w:eastAsia="de-DE"/>
              </w:rPr>
            </w:pPr>
          </w:p>
        </w:tc>
        <w:tc>
          <w:tcPr>
            <w:tcW w:w="1063" w:type="dxa"/>
            <w:tcBorders>
              <w:top w:val="single" w:sz="4" w:space="0" w:color="auto"/>
              <w:left w:val="single" w:sz="4" w:space="0" w:color="auto"/>
              <w:bottom w:val="single" w:sz="4" w:space="0" w:color="auto"/>
              <w:right w:val="single" w:sz="4" w:space="0" w:color="auto"/>
            </w:tcBorders>
            <w:shd w:val="clear" w:color="auto" w:fill="auto"/>
            <w:vAlign w:val="center"/>
          </w:tcPr>
          <w:p w14:paraId="2A180A8E" w14:textId="77777777" w:rsidR="00350C9E" w:rsidRPr="00A9330B" w:rsidRDefault="00350C9E" w:rsidP="006721DD">
            <w:pPr>
              <w:spacing w:before="80" w:line="240" w:lineRule="auto"/>
              <w:jc w:val="center"/>
              <w:rPr>
                <w:rFonts w:eastAsia="Times New Roman" w:cs="Arial"/>
                <w:color w:val="000000"/>
                <w:sz w:val="20"/>
                <w:szCs w:val="20"/>
                <w:lang w:eastAsia="de-DE"/>
              </w:rPr>
            </w:pPr>
            <w:r w:rsidRPr="00A9330B">
              <w:rPr>
                <w:rFonts w:eastAsia="Times New Roman" w:cs="Arial"/>
                <w:color w:val="000000"/>
                <w:sz w:val="20"/>
                <w:szCs w:val="20"/>
                <w:lang w:eastAsia="de-DE"/>
              </w:rPr>
              <w:t>Adultes</w:t>
            </w:r>
          </w:p>
        </w:tc>
        <w:tc>
          <w:tcPr>
            <w:tcW w:w="1347" w:type="dxa"/>
            <w:tcBorders>
              <w:top w:val="single" w:sz="4" w:space="0" w:color="auto"/>
              <w:left w:val="single" w:sz="4" w:space="0" w:color="auto"/>
              <w:bottom w:val="single" w:sz="4" w:space="0" w:color="auto"/>
              <w:right w:val="single" w:sz="4" w:space="0" w:color="auto"/>
            </w:tcBorders>
            <w:shd w:val="clear" w:color="auto" w:fill="auto"/>
            <w:vAlign w:val="center"/>
          </w:tcPr>
          <w:p w14:paraId="7759A839" w14:textId="77777777" w:rsidR="00350C9E" w:rsidRPr="00A9330B" w:rsidRDefault="00350C9E" w:rsidP="006721DD">
            <w:pPr>
              <w:spacing w:before="80" w:line="240" w:lineRule="auto"/>
              <w:jc w:val="right"/>
              <w:rPr>
                <w:rFonts w:eastAsia="Times New Roman" w:cs="Arial"/>
                <w:color w:val="000000"/>
                <w:sz w:val="20"/>
                <w:szCs w:val="20"/>
                <w:lang w:eastAsia="de-DE"/>
              </w:rPr>
            </w:pPr>
            <w:r w:rsidRPr="00A9330B">
              <w:rPr>
                <w:rFonts w:eastAsia="Times New Roman" w:cs="Arial"/>
                <w:color w:val="000000"/>
                <w:sz w:val="20"/>
                <w:szCs w:val="20"/>
                <w:lang w:eastAsia="de-DE"/>
              </w:rPr>
              <w:t>20000</w:t>
            </w:r>
          </w:p>
        </w:tc>
        <w:tc>
          <w:tcPr>
            <w:tcW w:w="1871" w:type="dxa"/>
            <w:vMerge/>
            <w:tcBorders>
              <w:left w:val="single" w:sz="4" w:space="0" w:color="auto"/>
              <w:bottom w:val="single" w:sz="4" w:space="0" w:color="auto"/>
              <w:right w:val="single" w:sz="4" w:space="0" w:color="auto"/>
            </w:tcBorders>
            <w:shd w:val="clear" w:color="auto" w:fill="auto"/>
            <w:vAlign w:val="center"/>
          </w:tcPr>
          <w:p w14:paraId="45978D37" w14:textId="77777777" w:rsidR="00350C9E" w:rsidRPr="00A9330B" w:rsidRDefault="00350C9E" w:rsidP="006721DD">
            <w:pPr>
              <w:spacing w:before="80" w:line="240" w:lineRule="auto"/>
              <w:jc w:val="both"/>
              <w:rPr>
                <w:rFonts w:eastAsia="Times New Roman" w:cs="Arial"/>
                <w:color w:val="auto"/>
                <w:sz w:val="20"/>
                <w:szCs w:val="20"/>
              </w:rPr>
            </w:pPr>
          </w:p>
        </w:tc>
      </w:tr>
      <w:tr w:rsidR="00350C9E" w:rsidRPr="00A9330B" w14:paraId="4DA28B84" w14:textId="77777777" w:rsidTr="006721DD">
        <w:trPr>
          <w:trHeight w:val="470"/>
        </w:trPr>
        <w:tc>
          <w:tcPr>
            <w:tcW w:w="2694" w:type="dxa"/>
            <w:vMerge/>
            <w:tcBorders>
              <w:left w:val="single" w:sz="4" w:space="0" w:color="auto"/>
              <w:right w:val="single" w:sz="4" w:space="0" w:color="auto"/>
            </w:tcBorders>
            <w:shd w:val="clear" w:color="auto" w:fill="auto"/>
            <w:vAlign w:val="center"/>
          </w:tcPr>
          <w:p w14:paraId="4D3F5AFF" w14:textId="77777777" w:rsidR="00350C9E" w:rsidRPr="00A9330B" w:rsidRDefault="00350C9E" w:rsidP="006721DD">
            <w:pPr>
              <w:spacing w:before="80" w:line="240" w:lineRule="auto"/>
              <w:jc w:val="both"/>
              <w:rPr>
                <w:rFonts w:eastAsia="Calibri" w:cs="Arial"/>
                <w:color w:val="auto"/>
                <w:sz w:val="20"/>
                <w:szCs w:val="20"/>
              </w:rPr>
            </w:pPr>
          </w:p>
        </w:tc>
        <w:tc>
          <w:tcPr>
            <w:tcW w:w="2126" w:type="dxa"/>
            <w:tcBorders>
              <w:top w:val="single" w:sz="4" w:space="0" w:color="auto"/>
              <w:left w:val="single" w:sz="4" w:space="0" w:color="auto"/>
              <w:right w:val="single" w:sz="4" w:space="0" w:color="auto"/>
            </w:tcBorders>
            <w:shd w:val="clear" w:color="auto" w:fill="auto"/>
            <w:vAlign w:val="center"/>
          </w:tcPr>
          <w:p w14:paraId="1292BCA2" w14:textId="77777777" w:rsidR="00350C9E" w:rsidRPr="00A9330B" w:rsidRDefault="00350C9E" w:rsidP="006721DD">
            <w:pPr>
              <w:spacing w:before="80" w:line="240" w:lineRule="auto"/>
              <w:jc w:val="center"/>
              <w:rPr>
                <w:rFonts w:eastAsia="Times New Roman" w:cs="Arial"/>
                <w:b/>
                <w:color w:val="000000"/>
                <w:sz w:val="20"/>
                <w:szCs w:val="20"/>
                <w:lang w:eastAsia="de-DE"/>
              </w:rPr>
            </w:pPr>
            <w:r w:rsidRPr="00A9330B">
              <w:rPr>
                <w:rFonts w:eastAsia="Times New Roman" w:cs="Arial"/>
                <w:color w:val="000000"/>
                <w:sz w:val="20"/>
                <w:szCs w:val="20"/>
                <w:lang w:eastAsia="de-DE"/>
              </w:rPr>
              <w:t xml:space="preserve">Oranger, Avocatier, </w:t>
            </w:r>
          </w:p>
        </w:tc>
        <w:tc>
          <w:tcPr>
            <w:tcW w:w="1063" w:type="dxa"/>
            <w:tcBorders>
              <w:top w:val="single" w:sz="4" w:space="0" w:color="auto"/>
              <w:left w:val="single" w:sz="4" w:space="0" w:color="auto"/>
              <w:right w:val="single" w:sz="4" w:space="0" w:color="auto"/>
            </w:tcBorders>
            <w:shd w:val="clear" w:color="auto" w:fill="auto"/>
            <w:vAlign w:val="center"/>
          </w:tcPr>
          <w:p w14:paraId="225B5E15" w14:textId="77777777" w:rsidR="00350C9E" w:rsidRPr="00A9330B" w:rsidRDefault="00350C9E" w:rsidP="006721DD">
            <w:pPr>
              <w:spacing w:before="80" w:line="240" w:lineRule="auto"/>
              <w:jc w:val="center"/>
              <w:rPr>
                <w:rFonts w:eastAsia="Times New Roman" w:cs="Arial"/>
                <w:b/>
                <w:color w:val="000000"/>
                <w:sz w:val="20"/>
                <w:szCs w:val="20"/>
                <w:lang w:eastAsia="de-DE"/>
              </w:rPr>
            </w:pPr>
            <w:r w:rsidRPr="00A9330B">
              <w:rPr>
                <w:rFonts w:eastAsia="Times New Roman" w:cs="Arial"/>
                <w:b/>
                <w:color w:val="000000"/>
                <w:sz w:val="20"/>
                <w:szCs w:val="20"/>
                <w:lang w:eastAsia="de-DE"/>
              </w:rPr>
              <w:t>-</w:t>
            </w:r>
          </w:p>
        </w:tc>
        <w:tc>
          <w:tcPr>
            <w:tcW w:w="1347" w:type="dxa"/>
            <w:tcBorders>
              <w:top w:val="single" w:sz="4" w:space="0" w:color="auto"/>
              <w:left w:val="single" w:sz="4" w:space="0" w:color="auto"/>
              <w:right w:val="single" w:sz="4" w:space="0" w:color="auto"/>
            </w:tcBorders>
            <w:shd w:val="clear" w:color="auto" w:fill="auto"/>
            <w:vAlign w:val="center"/>
          </w:tcPr>
          <w:p w14:paraId="26350D31" w14:textId="77777777" w:rsidR="00350C9E" w:rsidRPr="00A9330B" w:rsidRDefault="00350C9E" w:rsidP="006721DD">
            <w:pPr>
              <w:spacing w:before="80" w:line="240" w:lineRule="auto"/>
              <w:jc w:val="right"/>
              <w:rPr>
                <w:rFonts w:eastAsia="Times New Roman" w:cs="Arial"/>
                <w:b/>
                <w:color w:val="000000"/>
                <w:sz w:val="20"/>
                <w:szCs w:val="20"/>
                <w:lang w:eastAsia="de-DE"/>
              </w:rPr>
            </w:pPr>
            <w:r w:rsidRPr="00A9330B">
              <w:rPr>
                <w:rFonts w:eastAsia="Times New Roman" w:cs="Arial"/>
                <w:b/>
                <w:color w:val="000000"/>
                <w:sz w:val="20"/>
                <w:szCs w:val="20"/>
                <w:lang w:eastAsia="de-DE"/>
              </w:rPr>
              <w:t>40000</w:t>
            </w:r>
          </w:p>
        </w:tc>
        <w:tc>
          <w:tcPr>
            <w:tcW w:w="1871" w:type="dxa"/>
            <w:tcBorders>
              <w:top w:val="single" w:sz="4" w:space="0" w:color="auto"/>
              <w:left w:val="single" w:sz="4" w:space="0" w:color="auto"/>
              <w:right w:val="single" w:sz="4" w:space="0" w:color="auto"/>
            </w:tcBorders>
            <w:shd w:val="clear" w:color="auto" w:fill="auto"/>
            <w:vAlign w:val="center"/>
          </w:tcPr>
          <w:p w14:paraId="5C47E82A" w14:textId="77777777" w:rsidR="00350C9E" w:rsidRPr="00A9330B" w:rsidRDefault="00350C9E" w:rsidP="006721DD">
            <w:pPr>
              <w:spacing w:before="80" w:line="240" w:lineRule="auto"/>
              <w:jc w:val="center"/>
              <w:rPr>
                <w:rFonts w:eastAsia="Calibri" w:cs="Arial"/>
                <w:color w:val="auto"/>
                <w:sz w:val="20"/>
                <w:szCs w:val="20"/>
              </w:rPr>
            </w:pPr>
            <w:r w:rsidRPr="00A9330B">
              <w:rPr>
                <w:rFonts w:eastAsia="Calibri" w:cs="Arial"/>
                <w:color w:val="auto"/>
                <w:sz w:val="20"/>
                <w:szCs w:val="20"/>
              </w:rPr>
              <w:t>-</w:t>
            </w:r>
          </w:p>
        </w:tc>
      </w:tr>
      <w:tr w:rsidR="00350C9E" w:rsidRPr="00A9330B" w14:paraId="77CC787D" w14:textId="77777777" w:rsidTr="006721DD">
        <w:trPr>
          <w:trHeight w:val="562"/>
        </w:trPr>
        <w:tc>
          <w:tcPr>
            <w:tcW w:w="2694" w:type="dxa"/>
            <w:vMerge/>
            <w:tcBorders>
              <w:left w:val="single" w:sz="4" w:space="0" w:color="auto"/>
              <w:right w:val="single" w:sz="4" w:space="0" w:color="auto"/>
            </w:tcBorders>
            <w:shd w:val="clear" w:color="auto" w:fill="auto"/>
            <w:vAlign w:val="center"/>
          </w:tcPr>
          <w:p w14:paraId="6FCF353F" w14:textId="77777777" w:rsidR="00350C9E" w:rsidRPr="00A9330B" w:rsidRDefault="00350C9E" w:rsidP="006721DD">
            <w:pPr>
              <w:spacing w:before="80" w:line="240" w:lineRule="auto"/>
              <w:jc w:val="both"/>
              <w:rPr>
                <w:rFonts w:eastAsia="Calibri" w:cs="Arial"/>
                <w:color w:val="auto"/>
                <w:sz w:val="20"/>
                <w:szCs w:val="20"/>
              </w:rPr>
            </w:pPr>
          </w:p>
        </w:tc>
        <w:tc>
          <w:tcPr>
            <w:tcW w:w="2126" w:type="dxa"/>
            <w:tcBorders>
              <w:left w:val="single" w:sz="4" w:space="0" w:color="auto"/>
              <w:right w:val="single" w:sz="4" w:space="0" w:color="auto"/>
            </w:tcBorders>
            <w:shd w:val="clear" w:color="auto" w:fill="auto"/>
            <w:vAlign w:val="center"/>
          </w:tcPr>
          <w:p w14:paraId="7B3A9A1C" w14:textId="77777777" w:rsidR="00350C9E" w:rsidRPr="00A9330B" w:rsidRDefault="00350C9E" w:rsidP="006721DD">
            <w:pPr>
              <w:spacing w:before="80" w:line="240" w:lineRule="auto"/>
              <w:jc w:val="center"/>
              <w:rPr>
                <w:rFonts w:eastAsia="Times New Roman" w:cs="Arial"/>
                <w:color w:val="000000"/>
                <w:sz w:val="20"/>
                <w:szCs w:val="20"/>
                <w:lang w:eastAsia="de-DE"/>
              </w:rPr>
            </w:pPr>
            <w:r w:rsidRPr="00A9330B">
              <w:rPr>
                <w:rFonts w:eastAsia="Times New Roman" w:cs="Arial"/>
                <w:color w:val="000000"/>
                <w:sz w:val="20"/>
                <w:szCs w:val="20"/>
                <w:lang w:eastAsia="de-DE"/>
              </w:rPr>
              <w:t>Autres arbres fruitiers productifs</w:t>
            </w:r>
          </w:p>
        </w:tc>
        <w:tc>
          <w:tcPr>
            <w:tcW w:w="1063" w:type="dxa"/>
            <w:tcBorders>
              <w:top w:val="single" w:sz="4" w:space="0" w:color="auto"/>
              <w:left w:val="single" w:sz="4" w:space="0" w:color="auto"/>
              <w:right w:val="single" w:sz="4" w:space="0" w:color="auto"/>
            </w:tcBorders>
            <w:shd w:val="clear" w:color="auto" w:fill="auto"/>
            <w:vAlign w:val="center"/>
          </w:tcPr>
          <w:p w14:paraId="1237177D" w14:textId="77777777" w:rsidR="00350C9E" w:rsidRPr="00A9330B" w:rsidRDefault="00350C9E" w:rsidP="006721DD">
            <w:pPr>
              <w:spacing w:before="80" w:line="240" w:lineRule="auto"/>
              <w:jc w:val="center"/>
              <w:rPr>
                <w:rFonts w:eastAsia="Times New Roman" w:cs="Arial"/>
                <w:color w:val="000000"/>
                <w:sz w:val="20"/>
                <w:szCs w:val="20"/>
                <w:lang w:eastAsia="de-DE"/>
              </w:rPr>
            </w:pPr>
            <w:r w:rsidRPr="00A9330B">
              <w:rPr>
                <w:rFonts w:eastAsia="Times New Roman" w:cs="Arial"/>
                <w:color w:val="000000"/>
                <w:sz w:val="20"/>
                <w:szCs w:val="20"/>
                <w:lang w:eastAsia="de-DE"/>
              </w:rPr>
              <w:t>-</w:t>
            </w:r>
          </w:p>
        </w:tc>
        <w:tc>
          <w:tcPr>
            <w:tcW w:w="1347" w:type="dxa"/>
            <w:tcBorders>
              <w:top w:val="single" w:sz="4" w:space="0" w:color="auto"/>
              <w:left w:val="single" w:sz="4" w:space="0" w:color="auto"/>
              <w:right w:val="single" w:sz="4" w:space="0" w:color="auto"/>
            </w:tcBorders>
            <w:shd w:val="clear" w:color="auto" w:fill="auto"/>
            <w:vAlign w:val="center"/>
          </w:tcPr>
          <w:p w14:paraId="668CDEDD" w14:textId="77777777" w:rsidR="00350C9E" w:rsidRPr="00A9330B" w:rsidRDefault="00350C9E" w:rsidP="006721DD">
            <w:pPr>
              <w:spacing w:before="80" w:line="240" w:lineRule="auto"/>
              <w:jc w:val="right"/>
              <w:rPr>
                <w:rFonts w:eastAsia="Times New Roman" w:cs="Arial"/>
                <w:color w:val="000000"/>
                <w:sz w:val="20"/>
                <w:szCs w:val="20"/>
                <w:lang w:eastAsia="de-DE"/>
              </w:rPr>
            </w:pPr>
            <w:r w:rsidRPr="00A9330B">
              <w:rPr>
                <w:rFonts w:eastAsia="Times New Roman" w:cs="Arial"/>
                <w:color w:val="000000"/>
                <w:sz w:val="20"/>
                <w:szCs w:val="20"/>
                <w:lang w:eastAsia="de-DE"/>
              </w:rPr>
              <w:t>18000</w:t>
            </w:r>
          </w:p>
        </w:tc>
        <w:tc>
          <w:tcPr>
            <w:tcW w:w="1871" w:type="dxa"/>
            <w:tcBorders>
              <w:left w:val="single" w:sz="4" w:space="0" w:color="auto"/>
              <w:right w:val="single" w:sz="4" w:space="0" w:color="auto"/>
            </w:tcBorders>
            <w:shd w:val="clear" w:color="auto" w:fill="auto"/>
            <w:vAlign w:val="center"/>
          </w:tcPr>
          <w:p w14:paraId="454EB6ED" w14:textId="77777777" w:rsidR="00350C9E" w:rsidRPr="00A9330B" w:rsidRDefault="00350C9E" w:rsidP="006721DD">
            <w:pPr>
              <w:spacing w:before="80" w:line="240" w:lineRule="auto"/>
              <w:jc w:val="center"/>
              <w:rPr>
                <w:rFonts w:eastAsia="Times New Roman" w:cs="Arial"/>
                <w:color w:val="auto"/>
                <w:sz w:val="20"/>
                <w:szCs w:val="20"/>
              </w:rPr>
            </w:pPr>
            <w:r w:rsidRPr="00A9330B">
              <w:rPr>
                <w:rFonts w:eastAsia="Times New Roman" w:cs="Arial"/>
                <w:color w:val="auto"/>
                <w:sz w:val="20"/>
                <w:szCs w:val="20"/>
              </w:rPr>
              <w:t>-</w:t>
            </w:r>
          </w:p>
        </w:tc>
      </w:tr>
      <w:tr w:rsidR="00350C9E" w:rsidRPr="00A9330B" w14:paraId="0CBFEBDC" w14:textId="77777777" w:rsidTr="006721DD">
        <w:trPr>
          <w:trHeight w:val="562"/>
        </w:trPr>
        <w:tc>
          <w:tcPr>
            <w:tcW w:w="2694" w:type="dxa"/>
            <w:vMerge/>
            <w:tcBorders>
              <w:left w:val="single" w:sz="4" w:space="0" w:color="auto"/>
              <w:right w:val="single" w:sz="4" w:space="0" w:color="auto"/>
            </w:tcBorders>
            <w:shd w:val="clear" w:color="auto" w:fill="auto"/>
            <w:vAlign w:val="center"/>
          </w:tcPr>
          <w:p w14:paraId="7A373DCE" w14:textId="77777777" w:rsidR="00350C9E" w:rsidRPr="00A9330B" w:rsidRDefault="00350C9E" w:rsidP="006721DD">
            <w:pPr>
              <w:spacing w:before="80" w:line="240" w:lineRule="auto"/>
              <w:jc w:val="both"/>
              <w:rPr>
                <w:rFonts w:eastAsia="Calibri" w:cs="Arial"/>
                <w:color w:val="auto"/>
                <w:sz w:val="20"/>
                <w:szCs w:val="20"/>
              </w:rPr>
            </w:pPr>
          </w:p>
        </w:tc>
        <w:tc>
          <w:tcPr>
            <w:tcW w:w="2126" w:type="dxa"/>
            <w:tcBorders>
              <w:left w:val="single" w:sz="4" w:space="0" w:color="auto"/>
              <w:right w:val="single" w:sz="4" w:space="0" w:color="auto"/>
            </w:tcBorders>
            <w:shd w:val="clear" w:color="auto" w:fill="auto"/>
            <w:vAlign w:val="center"/>
          </w:tcPr>
          <w:p w14:paraId="344B0558" w14:textId="77777777" w:rsidR="00350C9E" w:rsidRPr="00A9330B" w:rsidRDefault="00350C9E" w:rsidP="006721DD">
            <w:pPr>
              <w:spacing w:before="80" w:line="240" w:lineRule="auto"/>
              <w:jc w:val="center"/>
              <w:rPr>
                <w:rFonts w:eastAsia="Times New Roman" w:cs="Arial"/>
                <w:color w:val="000000"/>
                <w:sz w:val="20"/>
                <w:szCs w:val="20"/>
                <w:lang w:eastAsia="de-DE"/>
              </w:rPr>
            </w:pPr>
            <w:r w:rsidRPr="00A9330B">
              <w:rPr>
                <w:rFonts w:eastAsia="Times New Roman" w:cs="Arial"/>
                <w:color w:val="000000"/>
                <w:sz w:val="20"/>
                <w:szCs w:val="20"/>
                <w:lang w:eastAsia="de-DE"/>
              </w:rPr>
              <w:t>Arbres fétiches</w:t>
            </w:r>
          </w:p>
        </w:tc>
        <w:tc>
          <w:tcPr>
            <w:tcW w:w="1063" w:type="dxa"/>
            <w:tcBorders>
              <w:top w:val="single" w:sz="4" w:space="0" w:color="auto"/>
              <w:left w:val="single" w:sz="4" w:space="0" w:color="auto"/>
              <w:right w:val="single" w:sz="4" w:space="0" w:color="auto"/>
            </w:tcBorders>
            <w:shd w:val="clear" w:color="auto" w:fill="auto"/>
            <w:vAlign w:val="center"/>
          </w:tcPr>
          <w:p w14:paraId="3D18BE09" w14:textId="77777777" w:rsidR="00350C9E" w:rsidRPr="00A9330B" w:rsidRDefault="00350C9E" w:rsidP="006721DD">
            <w:pPr>
              <w:spacing w:before="80" w:line="240" w:lineRule="auto"/>
              <w:jc w:val="center"/>
              <w:rPr>
                <w:rFonts w:eastAsia="Times New Roman" w:cs="Arial"/>
                <w:color w:val="000000"/>
                <w:sz w:val="20"/>
                <w:szCs w:val="20"/>
                <w:lang w:eastAsia="de-DE"/>
              </w:rPr>
            </w:pPr>
            <w:r w:rsidRPr="00A9330B">
              <w:rPr>
                <w:rFonts w:eastAsia="Times New Roman" w:cs="Arial"/>
                <w:color w:val="000000"/>
                <w:sz w:val="20"/>
                <w:szCs w:val="20"/>
                <w:lang w:eastAsia="de-DE"/>
              </w:rPr>
              <w:t>-</w:t>
            </w:r>
          </w:p>
        </w:tc>
        <w:tc>
          <w:tcPr>
            <w:tcW w:w="1347" w:type="dxa"/>
            <w:tcBorders>
              <w:top w:val="single" w:sz="4" w:space="0" w:color="auto"/>
              <w:left w:val="single" w:sz="4" w:space="0" w:color="auto"/>
              <w:right w:val="single" w:sz="4" w:space="0" w:color="auto"/>
            </w:tcBorders>
            <w:shd w:val="clear" w:color="auto" w:fill="auto"/>
            <w:vAlign w:val="center"/>
          </w:tcPr>
          <w:p w14:paraId="793F3A87" w14:textId="77777777" w:rsidR="00350C9E" w:rsidRPr="00A9330B" w:rsidRDefault="00350C9E" w:rsidP="006721DD">
            <w:pPr>
              <w:spacing w:before="80" w:line="240" w:lineRule="auto"/>
              <w:jc w:val="right"/>
              <w:rPr>
                <w:rFonts w:eastAsia="Times New Roman" w:cs="Arial"/>
                <w:color w:val="000000"/>
                <w:sz w:val="20"/>
                <w:szCs w:val="20"/>
                <w:lang w:eastAsia="de-DE"/>
              </w:rPr>
            </w:pPr>
            <w:r w:rsidRPr="00A9330B">
              <w:rPr>
                <w:rFonts w:eastAsia="Times New Roman" w:cs="Arial"/>
                <w:color w:val="000000"/>
                <w:sz w:val="20"/>
                <w:szCs w:val="20"/>
                <w:lang w:eastAsia="de-DE"/>
              </w:rPr>
              <w:t>50000</w:t>
            </w:r>
          </w:p>
        </w:tc>
        <w:tc>
          <w:tcPr>
            <w:tcW w:w="1871" w:type="dxa"/>
            <w:tcBorders>
              <w:left w:val="single" w:sz="4" w:space="0" w:color="auto"/>
              <w:right w:val="single" w:sz="4" w:space="0" w:color="auto"/>
            </w:tcBorders>
            <w:shd w:val="clear" w:color="auto" w:fill="auto"/>
            <w:vAlign w:val="center"/>
          </w:tcPr>
          <w:p w14:paraId="09B55664" w14:textId="77777777" w:rsidR="00350C9E" w:rsidRPr="00A9330B" w:rsidRDefault="00350C9E" w:rsidP="006721DD">
            <w:pPr>
              <w:spacing w:before="80" w:line="240" w:lineRule="auto"/>
              <w:jc w:val="center"/>
              <w:rPr>
                <w:rFonts w:eastAsia="Times New Roman" w:cs="Arial"/>
                <w:color w:val="auto"/>
                <w:sz w:val="20"/>
                <w:szCs w:val="20"/>
              </w:rPr>
            </w:pPr>
            <w:r w:rsidRPr="00A9330B">
              <w:rPr>
                <w:rFonts w:eastAsia="Times New Roman" w:cs="Arial"/>
                <w:color w:val="auto"/>
                <w:sz w:val="20"/>
                <w:szCs w:val="20"/>
              </w:rPr>
              <w:t>-</w:t>
            </w:r>
          </w:p>
        </w:tc>
      </w:tr>
    </w:tbl>
    <w:p w14:paraId="39C80CDF" w14:textId="77777777" w:rsidR="00350C9E" w:rsidRPr="00A9330B" w:rsidRDefault="00350C9E" w:rsidP="00350C9E">
      <w:pPr>
        <w:widowControl w:val="0"/>
        <w:tabs>
          <w:tab w:val="left" w:pos="0"/>
          <w:tab w:val="left" w:pos="4395"/>
          <w:tab w:val="left" w:pos="4820"/>
          <w:tab w:val="left" w:pos="5245"/>
          <w:tab w:val="left" w:pos="5529"/>
          <w:tab w:val="left" w:pos="6096"/>
          <w:tab w:val="left" w:pos="6521"/>
          <w:tab w:val="left" w:pos="6804"/>
          <w:tab w:val="left" w:pos="8222"/>
        </w:tabs>
        <w:spacing w:after="120" w:line="360" w:lineRule="auto"/>
        <w:jc w:val="both"/>
        <w:rPr>
          <w:rFonts w:eastAsia="Calibri" w:cs="Arial"/>
          <w:b/>
          <w:color w:val="auto"/>
          <w:sz w:val="20"/>
          <w:szCs w:val="20"/>
          <w:lang w:eastAsia="x-none"/>
        </w:rPr>
      </w:pPr>
      <w:r w:rsidRPr="00A9330B">
        <w:rPr>
          <w:rFonts w:eastAsia="Calibri" w:cs="Arial"/>
          <w:b/>
          <w:color w:val="auto"/>
          <w:sz w:val="20"/>
          <w:szCs w:val="20"/>
          <w:lang w:eastAsia="x-none"/>
        </w:rPr>
        <w:t>Source : CECO-BTP, juin 2020</w:t>
      </w:r>
    </w:p>
    <w:p w14:paraId="4AA29875" w14:textId="77777777" w:rsidR="00350C9E" w:rsidRPr="00A9330B" w:rsidRDefault="00350C9E" w:rsidP="00350C9E">
      <w:pPr>
        <w:widowControl w:val="0"/>
        <w:tabs>
          <w:tab w:val="left" w:pos="0"/>
          <w:tab w:val="left" w:pos="4395"/>
          <w:tab w:val="left" w:pos="4820"/>
          <w:tab w:val="left" w:pos="5245"/>
          <w:tab w:val="left" w:pos="5529"/>
          <w:tab w:val="left" w:pos="6096"/>
          <w:tab w:val="left" w:pos="6521"/>
          <w:tab w:val="left" w:pos="6804"/>
          <w:tab w:val="left" w:pos="8222"/>
        </w:tabs>
        <w:spacing w:after="120" w:line="312" w:lineRule="auto"/>
        <w:jc w:val="both"/>
        <w:rPr>
          <w:rFonts w:eastAsia="Calibri" w:cs="Arial"/>
          <w:color w:val="auto"/>
          <w:lang w:eastAsia="x-none"/>
        </w:rPr>
      </w:pPr>
      <w:r w:rsidRPr="00A9330B">
        <w:rPr>
          <w:rFonts w:eastAsia="Calibri" w:cs="Arial"/>
          <w:color w:val="auto"/>
          <w:lang w:eastAsia="x-none"/>
        </w:rPr>
        <w:t>Les compensations seront faites avant tout déplacement ou perte effective des biens affectés.</w:t>
      </w:r>
    </w:p>
    <w:p w14:paraId="5ABFAB5A" w14:textId="77777777" w:rsidR="00350C9E" w:rsidRPr="00A9330B" w:rsidRDefault="00350C9E" w:rsidP="00350C9E">
      <w:pPr>
        <w:spacing w:after="120" w:line="312" w:lineRule="auto"/>
        <w:jc w:val="both"/>
        <w:rPr>
          <w:rFonts w:eastAsia="Times New Roman" w:cs="Arial"/>
          <w:color w:val="auto"/>
          <w:lang w:eastAsia="de-DE"/>
        </w:rPr>
      </w:pPr>
      <w:r w:rsidRPr="00A9330B">
        <w:rPr>
          <w:rFonts w:eastAsia="Times New Roman" w:cs="Arial"/>
          <w:color w:val="auto"/>
          <w:lang w:eastAsia="de-DE"/>
        </w:rPr>
        <w:t xml:space="preserve">Outre ces compensations, des mesures d’assistance particulière seront mises en œuvre en faveur des PAP vulnérables. </w:t>
      </w:r>
    </w:p>
    <w:p w14:paraId="061D764A" w14:textId="667C8902" w:rsidR="00350C9E" w:rsidRPr="00A9330B" w:rsidRDefault="001777E6" w:rsidP="000F7BA7">
      <w:pPr>
        <w:pStyle w:val="Titre20"/>
        <w:rPr>
          <w:rFonts w:eastAsia="Times New Roman"/>
          <w:lang w:eastAsia="fr-FR"/>
        </w:rPr>
      </w:pPr>
      <w:bookmarkStart w:id="2058" w:name="_Toc52869734"/>
      <w:bookmarkStart w:id="2059" w:name="_Toc52869884"/>
      <w:r w:rsidRPr="00A9330B">
        <w:t xml:space="preserve">10.13. </w:t>
      </w:r>
      <w:hyperlink w:anchor="_Toc530601817" w:history="1">
        <w:bookmarkStart w:id="2060" w:name="_Toc44771447"/>
        <w:r w:rsidR="00350C9E" w:rsidRPr="00A9330B">
          <w:rPr>
            <w:rFonts w:eastAsia="Times New Roman"/>
            <w:lang w:eastAsia="fr-FR"/>
          </w:rPr>
          <w:t>Mesures d’accompagnement du PA</w:t>
        </w:r>
      </w:hyperlink>
      <w:r w:rsidR="00350C9E" w:rsidRPr="00A9330B">
        <w:rPr>
          <w:rFonts w:eastAsia="Times New Roman"/>
          <w:lang w:eastAsia="fr-FR"/>
        </w:rPr>
        <w:t>R</w:t>
      </w:r>
      <w:bookmarkEnd w:id="2058"/>
      <w:bookmarkEnd w:id="2059"/>
      <w:bookmarkEnd w:id="2060"/>
    </w:p>
    <w:p w14:paraId="334F9926" w14:textId="43C43775" w:rsidR="00350C9E" w:rsidRPr="00A9330B" w:rsidRDefault="00350C9E" w:rsidP="00350C9E">
      <w:pPr>
        <w:widowControl w:val="0"/>
        <w:tabs>
          <w:tab w:val="left" w:pos="0"/>
          <w:tab w:val="left" w:pos="4395"/>
          <w:tab w:val="left" w:pos="4820"/>
          <w:tab w:val="left" w:pos="5245"/>
          <w:tab w:val="left" w:pos="5529"/>
          <w:tab w:val="left" w:pos="6096"/>
          <w:tab w:val="left" w:pos="6521"/>
          <w:tab w:val="left" w:pos="6804"/>
          <w:tab w:val="left" w:pos="8222"/>
        </w:tabs>
        <w:spacing w:after="120" w:line="312" w:lineRule="auto"/>
        <w:jc w:val="both"/>
        <w:rPr>
          <w:rFonts w:eastAsia="Calibri" w:cs="Arial"/>
          <w:color w:val="auto"/>
          <w:lang w:eastAsia="x-none"/>
        </w:rPr>
      </w:pPr>
      <w:r w:rsidRPr="00A9330B">
        <w:rPr>
          <w:rFonts w:eastAsia="Calibri" w:cs="Arial"/>
          <w:color w:val="auto"/>
          <w:lang w:eastAsia="x-none"/>
        </w:rPr>
        <w:t xml:space="preserve">Les mesures d’accompagnement du PAR comprennent les dispositions à prendre pour parvenir à la mise </w:t>
      </w:r>
      <w:r w:rsidR="00AE6338" w:rsidRPr="00A9330B">
        <w:rPr>
          <w:rFonts w:eastAsia="Calibri" w:cs="Arial"/>
          <w:color w:val="auto"/>
          <w:lang w:eastAsia="x-none"/>
        </w:rPr>
        <w:t xml:space="preserve">en </w:t>
      </w:r>
      <w:r w:rsidRPr="00A9330B">
        <w:rPr>
          <w:rFonts w:eastAsia="Calibri" w:cs="Arial"/>
          <w:color w:val="auto"/>
          <w:lang w:eastAsia="x-none"/>
        </w:rPr>
        <w:t>œuvre du PAR. Il s’agit de :</w:t>
      </w:r>
    </w:p>
    <w:p w14:paraId="0FB31D5A" w14:textId="77777777" w:rsidR="00350C9E" w:rsidRPr="00A9330B" w:rsidRDefault="00350C9E" w:rsidP="00BD2F72">
      <w:pPr>
        <w:widowControl w:val="0"/>
        <w:numPr>
          <w:ilvl w:val="0"/>
          <w:numId w:val="85"/>
        </w:numPr>
        <w:tabs>
          <w:tab w:val="left" w:pos="0"/>
          <w:tab w:val="left" w:pos="709"/>
          <w:tab w:val="left" w:pos="5245"/>
          <w:tab w:val="left" w:pos="5529"/>
          <w:tab w:val="left" w:pos="6096"/>
          <w:tab w:val="left" w:pos="6521"/>
          <w:tab w:val="left" w:pos="6804"/>
          <w:tab w:val="left" w:pos="8222"/>
        </w:tabs>
        <w:spacing w:before="0" w:after="120" w:line="312" w:lineRule="auto"/>
        <w:jc w:val="both"/>
        <w:rPr>
          <w:rFonts w:eastAsia="Calibri" w:cs="Arial"/>
          <w:color w:val="auto"/>
          <w:lang w:eastAsia="x-none"/>
        </w:rPr>
      </w:pPr>
      <w:r w:rsidRPr="00A9330B">
        <w:rPr>
          <w:rFonts w:eastAsia="Calibri" w:cs="Arial"/>
          <w:color w:val="auto"/>
          <w:lang w:eastAsia="x-none"/>
        </w:rPr>
        <w:t>mesures de communication, de sensibilisation et participation communautaire ;</w:t>
      </w:r>
    </w:p>
    <w:p w14:paraId="6579B14D" w14:textId="77777777" w:rsidR="00350C9E" w:rsidRPr="00A9330B" w:rsidRDefault="00350C9E" w:rsidP="00BD2F72">
      <w:pPr>
        <w:widowControl w:val="0"/>
        <w:numPr>
          <w:ilvl w:val="0"/>
          <w:numId w:val="85"/>
        </w:numPr>
        <w:tabs>
          <w:tab w:val="left" w:pos="0"/>
          <w:tab w:val="left" w:pos="709"/>
          <w:tab w:val="left" w:pos="5245"/>
          <w:tab w:val="left" w:pos="5529"/>
          <w:tab w:val="left" w:pos="6096"/>
          <w:tab w:val="left" w:pos="6521"/>
          <w:tab w:val="left" w:pos="6804"/>
          <w:tab w:val="left" w:pos="8222"/>
        </w:tabs>
        <w:spacing w:before="0" w:after="120" w:line="312" w:lineRule="auto"/>
        <w:jc w:val="both"/>
        <w:rPr>
          <w:rFonts w:eastAsia="Calibri" w:cs="Arial"/>
          <w:color w:val="auto"/>
          <w:lang w:eastAsia="x-none"/>
        </w:rPr>
      </w:pPr>
      <w:r w:rsidRPr="00A9330B">
        <w:rPr>
          <w:rFonts w:eastAsia="Calibri" w:cs="Arial"/>
          <w:color w:val="auto"/>
          <w:lang w:eastAsia="x-none"/>
        </w:rPr>
        <w:t>choix et protection du site de réinstallation ;</w:t>
      </w:r>
    </w:p>
    <w:p w14:paraId="0893CC3D" w14:textId="77777777" w:rsidR="00350C9E" w:rsidRPr="00A9330B" w:rsidRDefault="00350C9E" w:rsidP="00BD2F72">
      <w:pPr>
        <w:widowControl w:val="0"/>
        <w:numPr>
          <w:ilvl w:val="0"/>
          <w:numId w:val="85"/>
        </w:numPr>
        <w:tabs>
          <w:tab w:val="left" w:pos="0"/>
          <w:tab w:val="left" w:pos="709"/>
          <w:tab w:val="left" w:pos="5245"/>
          <w:tab w:val="left" w:pos="5529"/>
          <w:tab w:val="left" w:pos="6096"/>
          <w:tab w:val="left" w:pos="6521"/>
          <w:tab w:val="left" w:pos="6804"/>
          <w:tab w:val="left" w:pos="8222"/>
        </w:tabs>
        <w:spacing w:before="0" w:after="120" w:line="312" w:lineRule="auto"/>
        <w:jc w:val="both"/>
        <w:rPr>
          <w:rFonts w:eastAsia="Calibri" w:cs="Arial"/>
          <w:color w:val="auto"/>
          <w:lang w:eastAsia="x-none"/>
        </w:rPr>
      </w:pPr>
      <w:r w:rsidRPr="00A9330B">
        <w:rPr>
          <w:rFonts w:eastAsia="Calibri" w:cs="Arial"/>
          <w:color w:val="auto"/>
          <w:lang w:eastAsia="x-none"/>
        </w:rPr>
        <w:t>provision pour l’indemnisation ;</w:t>
      </w:r>
    </w:p>
    <w:p w14:paraId="290EFDE7" w14:textId="7FBE6B98" w:rsidR="00350C9E" w:rsidRDefault="00350C9E" w:rsidP="00BD2F72">
      <w:pPr>
        <w:widowControl w:val="0"/>
        <w:numPr>
          <w:ilvl w:val="0"/>
          <w:numId w:val="85"/>
        </w:numPr>
        <w:tabs>
          <w:tab w:val="left" w:pos="0"/>
          <w:tab w:val="left" w:pos="709"/>
          <w:tab w:val="left" w:pos="5245"/>
          <w:tab w:val="left" w:pos="5529"/>
          <w:tab w:val="left" w:pos="6096"/>
          <w:tab w:val="left" w:pos="6521"/>
          <w:tab w:val="left" w:pos="6804"/>
          <w:tab w:val="left" w:pos="8222"/>
        </w:tabs>
        <w:spacing w:before="0" w:after="120" w:line="312" w:lineRule="auto"/>
        <w:jc w:val="both"/>
        <w:rPr>
          <w:rFonts w:eastAsia="Calibri" w:cs="Arial"/>
          <w:color w:val="auto"/>
          <w:lang w:eastAsia="x-none"/>
        </w:rPr>
      </w:pPr>
      <w:r w:rsidRPr="00A9330B">
        <w:rPr>
          <w:rFonts w:eastAsia="Calibri" w:cs="Arial"/>
          <w:color w:val="auto"/>
          <w:lang w:eastAsia="x-none"/>
        </w:rPr>
        <w:t xml:space="preserve">assistance et accompagnement des PAP vulnérables au nombre de </w:t>
      </w:r>
      <w:r w:rsidR="00340594" w:rsidRPr="00A9330B">
        <w:rPr>
          <w:rFonts w:eastAsia="Calibri" w:cs="Arial"/>
          <w:color w:val="auto"/>
          <w:lang w:eastAsia="x-none"/>
        </w:rPr>
        <w:t>25</w:t>
      </w:r>
      <w:r w:rsidRPr="00A9330B">
        <w:rPr>
          <w:rFonts w:eastAsia="Calibri" w:cs="Arial"/>
          <w:color w:val="auto"/>
          <w:lang w:eastAsia="x-none"/>
        </w:rPr>
        <w:t> ;</w:t>
      </w:r>
    </w:p>
    <w:p w14:paraId="5E24F88B" w14:textId="77777777" w:rsidR="00F84093" w:rsidRPr="00F84093" w:rsidRDefault="00F84093" w:rsidP="00F84093">
      <w:pPr>
        <w:pStyle w:val="Paragraphedeliste"/>
        <w:keepNext/>
        <w:numPr>
          <w:ilvl w:val="0"/>
          <w:numId w:val="85"/>
        </w:numPr>
        <w:spacing w:after="120" w:line="240" w:lineRule="auto"/>
        <w:jc w:val="center"/>
        <w:rPr>
          <w:rFonts w:cs="Arial"/>
          <w:b/>
          <w:color w:val="000000"/>
          <w:sz w:val="20"/>
        </w:rPr>
      </w:pPr>
      <w:bookmarkStart w:id="2061" w:name="_Toc52873793"/>
      <w:r w:rsidRPr="00F84093">
        <w:rPr>
          <w:b/>
          <w:sz w:val="20"/>
        </w:rPr>
        <w:t xml:space="preserve">Tableau </w:t>
      </w:r>
      <w:r w:rsidRPr="00F84093">
        <w:rPr>
          <w:b/>
          <w:sz w:val="20"/>
        </w:rPr>
        <w:fldChar w:fldCharType="begin"/>
      </w:r>
      <w:r w:rsidRPr="00F84093">
        <w:rPr>
          <w:b/>
          <w:sz w:val="20"/>
        </w:rPr>
        <w:instrText xml:space="preserve"> SEQ Tableau \* ARABIC </w:instrText>
      </w:r>
      <w:r w:rsidRPr="00F84093">
        <w:rPr>
          <w:b/>
          <w:sz w:val="20"/>
        </w:rPr>
        <w:fldChar w:fldCharType="separate"/>
      </w:r>
      <w:r w:rsidRPr="00F84093">
        <w:rPr>
          <w:b/>
          <w:noProof/>
          <w:sz w:val="20"/>
        </w:rPr>
        <w:t>69</w:t>
      </w:r>
      <w:r w:rsidRPr="00F84093">
        <w:rPr>
          <w:b/>
          <w:sz w:val="20"/>
        </w:rPr>
        <w:fldChar w:fldCharType="end"/>
      </w:r>
      <w:r w:rsidRPr="00F84093">
        <w:rPr>
          <w:b/>
          <w:sz w:val="20"/>
        </w:rPr>
        <w:t xml:space="preserve"> </w:t>
      </w:r>
      <w:r w:rsidRPr="00F84093">
        <w:rPr>
          <w:rFonts w:cs="Arial"/>
          <w:b/>
          <w:color w:val="000000"/>
          <w:sz w:val="20"/>
        </w:rPr>
        <w:t>: Synthèse des informations sur les PAP Vulnérables</w:t>
      </w:r>
      <w:bookmarkEnd w:id="2061"/>
    </w:p>
    <w:tbl>
      <w:tblPr>
        <w:tblStyle w:val="Grilledutableau"/>
        <w:tblW w:w="0" w:type="auto"/>
        <w:jc w:val="center"/>
        <w:tblLook w:val="04A0" w:firstRow="1" w:lastRow="0" w:firstColumn="1" w:lastColumn="0" w:noHBand="0" w:noVBand="1"/>
      </w:tblPr>
      <w:tblGrid>
        <w:gridCol w:w="1191"/>
        <w:gridCol w:w="2010"/>
        <w:gridCol w:w="2119"/>
        <w:gridCol w:w="1341"/>
        <w:gridCol w:w="1694"/>
      </w:tblGrid>
      <w:tr w:rsidR="00F84093" w:rsidRPr="00A9330B" w14:paraId="64811E02" w14:textId="77777777" w:rsidTr="00C438EA">
        <w:trPr>
          <w:trHeight w:val="258"/>
          <w:jc w:val="center"/>
        </w:trPr>
        <w:tc>
          <w:tcPr>
            <w:tcW w:w="1191" w:type="dxa"/>
            <w:vMerge w:val="restart"/>
            <w:shd w:val="clear" w:color="auto" w:fill="00B0F0"/>
            <w:noWrap/>
            <w:hideMark/>
          </w:tcPr>
          <w:p w14:paraId="4B5FE4E8" w14:textId="77777777" w:rsidR="00F84093" w:rsidRPr="00A9330B" w:rsidRDefault="00F84093" w:rsidP="00C438EA">
            <w:pPr>
              <w:spacing w:line="240" w:lineRule="auto"/>
              <w:rPr>
                <w:bCs/>
                <w:sz w:val="20"/>
              </w:rPr>
            </w:pPr>
            <w:r w:rsidRPr="00A9330B">
              <w:rPr>
                <w:bCs/>
                <w:sz w:val="20"/>
              </w:rPr>
              <w:t>Catégorie de PAP Vulnérable</w:t>
            </w:r>
          </w:p>
        </w:tc>
        <w:tc>
          <w:tcPr>
            <w:tcW w:w="4129" w:type="dxa"/>
            <w:gridSpan w:val="2"/>
            <w:shd w:val="clear" w:color="auto" w:fill="00B0F0"/>
            <w:noWrap/>
            <w:hideMark/>
          </w:tcPr>
          <w:p w14:paraId="38DD6E26" w14:textId="77777777" w:rsidR="00F84093" w:rsidRPr="00A9330B" w:rsidRDefault="00F84093" w:rsidP="00C438EA">
            <w:pPr>
              <w:spacing w:line="240" w:lineRule="auto"/>
              <w:rPr>
                <w:sz w:val="20"/>
              </w:rPr>
            </w:pPr>
            <w:r w:rsidRPr="00A9330B">
              <w:rPr>
                <w:sz w:val="20"/>
              </w:rPr>
              <w:t>Femme</w:t>
            </w:r>
          </w:p>
        </w:tc>
        <w:tc>
          <w:tcPr>
            <w:tcW w:w="3035" w:type="dxa"/>
            <w:gridSpan w:val="2"/>
            <w:shd w:val="clear" w:color="auto" w:fill="ED7D31" w:themeFill="accent2"/>
            <w:noWrap/>
            <w:hideMark/>
          </w:tcPr>
          <w:p w14:paraId="21D787CA" w14:textId="77777777" w:rsidR="00F84093" w:rsidRPr="00A9330B" w:rsidRDefault="00F84093" w:rsidP="00C438EA">
            <w:pPr>
              <w:spacing w:line="240" w:lineRule="auto"/>
              <w:rPr>
                <w:sz w:val="20"/>
              </w:rPr>
            </w:pPr>
            <w:r w:rsidRPr="00A9330B">
              <w:rPr>
                <w:sz w:val="20"/>
              </w:rPr>
              <w:t>Homme</w:t>
            </w:r>
          </w:p>
        </w:tc>
      </w:tr>
      <w:tr w:rsidR="00F84093" w:rsidRPr="00A9330B" w14:paraId="6F9796EE" w14:textId="77777777" w:rsidTr="00C438EA">
        <w:trPr>
          <w:trHeight w:val="258"/>
          <w:jc w:val="center"/>
        </w:trPr>
        <w:tc>
          <w:tcPr>
            <w:tcW w:w="1191" w:type="dxa"/>
            <w:vMerge/>
            <w:shd w:val="clear" w:color="auto" w:fill="00B0F0"/>
            <w:hideMark/>
          </w:tcPr>
          <w:p w14:paraId="48691375" w14:textId="77777777" w:rsidR="00F84093" w:rsidRPr="00A9330B" w:rsidRDefault="00F84093" w:rsidP="00C438EA">
            <w:pPr>
              <w:spacing w:line="240" w:lineRule="auto"/>
              <w:rPr>
                <w:bCs/>
                <w:sz w:val="20"/>
              </w:rPr>
            </w:pPr>
          </w:p>
        </w:tc>
        <w:tc>
          <w:tcPr>
            <w:tcW w:w="2010" w:type="dxa"/>
            <w:shd w:val="clear" w:color="auto" w:fill="00B0F0"/>
            <w:noWrap/>
            <w:hideMark/>
          </w:tcPr>
          <w:p w14:paraId="021C5C74" w14:textId="77777777" w:rsidR="00F84093" w:rsidRPr="00A9330B" w:rsidRDefault="00F84093" w:rsidP="00C438EA">
            <w:pPr>
              <w:spacing w:line="240" w:lineRule="auto"/>
              <w:rPr>
                <w:sz w:val="20"/>
              </w:rPr>
            </w:pPr>
            <w:r w:rsidRPr="00A9330B">
              <w:rPr>
                <w:sz w:val="20"/>
              </w:rPr>
              <w:t>Veuve</w:t>
            </w:r>
          </w:p>
        </w:tc>
        <w:tc>
          <w:tcPr>
            <w:tcW w:w="2119" w:type="dxa"/>
            <w:shd w:val="clear" w:color="auto" w:fill="00B0F0"/>
            <w:noWrap/>
            <w:hideMark/>
          </w:tcPr>
          <w:p w14:paraId="151385AA" w14:textId="77777777" w:rsidR="00F84093" w:rsidRPr="00A9330B" w:rsidRDefault="00F84093" w:rsidP="00C438EA">
            <w:pPr>
              <w:spacing w:line="240" w:lineRule="auto"/>
              <w:rPr>
                <w:sz w:val="20"/>
              </w:rPr>
            </w:pPr>
            <w:r w:rsidRPr="00A9330B">
              <w:rPr>
                <w:sz w:val="20"/>
              </w:rPr>
              <w:t>Handicapée</w:t>
            </w:r>
          </w:p>
        </w:tc>
        <w:tc>
          <w:tcPr>
            <w:tcW w:w="1341" w:type="dxa"/>
            <w:shd w:val="clear" w:color="auto" w:fill="ED7D31" w:themeFill="accent2"/>
            <w:noWrap/>
            <w:hideMark/>
          </w:tcPr>
          <w:p w14:paraId="28FB9517" w14:textId="77777777" w:rsidR="00F84093" w:rsidRPr="00A9330B" w:rsidRDefault="00F84093" w:rsidP="00C438EA">
            <w:pPr>
              <w:spacing w:line="240" w:lineRule="auto"/>
              <w:rPr>
                <w:sz w:val="20"/>
              </w:rPr>
            </w:pPr>
            <w:r w:rsidRPr="00A9330B">
              <w:rPr>
                <w:sz w:val="20"/>
              </w:rPr>
              <w:t>Veuf</w:t>
            </w:r>
          </w:p>
        </w:tc>
        <w:tc>
          <w:tcPr>
            <w:tcW w:w="1694" w:type="dxa"/>
            <w:shd w:val="clear" w:color="auto" w:fill="ED7D31" w:themeFill="accent2"/>
            <w:noWrap/>
            <w:hideMark/>
          </w:tcPr>
          <w:p w14:paraId="56936507" w14:textId="77777777" w:rsidR="00F84093" w:rsidRPr="00A9330B" w:rsidRDefault="00F84093" w:rsidP="00C438EA">
            <w:pPr>
              <w:spacing w:line="240" w:lineRule="auto"/>
              <w:rPr>
                <w:sz w:val="20"/>
              </w:rPr>
            </w:pPr>
            <w:r w:rsidRPr="00A9330B">
              <w:rPr>
                <w:sz w:val="20"/>
              </w:rPr>
              <w:t>Handicapé</w:t>
            </w:r>
          </w:p>
        </w:tc>
      </w:tr>
      <w:tr w:rsidR="00F84093" w:rsidRPr="00A9330B" w14:paraId="180DEFE4" w14:textId="77777777" w:rsidTr="00C438EA">
        <w:trPr>
          <w:trHeight w:val="258"/>
          <w:jc w:val="center"/>
        </w:trPr>
        <w:tc>
          <w:tcPr>
            <w:tcW w:w="1191" w:type="dxa"/>
            <w:noWrap/>
            <w:hideMark/>
          </w:tcPr>
          <w:p w14:paraId="25861D0D" w14:textId="77777777" w:rsidR="00F84093" w:rsidRPr="00A9330B" w:rsidRDefault="00F84093" w:rsidP="00C438EA">
            <w:pPr>
              <w:spacing w:line="240" w:lineRule="auto"/>
              <w:rPr>
                <w:bCs/>
                <w:sz w:val="20"/>
              </w:rPr>
            </w:pPr>
            <w:r w:rsidRPr="00A9330B">
              <w:rPr>
                <w:bCs/>
                <w:sz w:val="20"/>
              </w:rPr>
              <w:t>Nombre</w:t>
            </w:r>
          </w:p>
        </w:tc>
        <w:tc>
          <w:tcPr>
            <w:tcW w:w="2010" w:type="dxa"/>
            <w:noWrap/>
            <w:hideMark/>
          </w:tcPr>
          <w:p w14:paraId="2515477A" w14:textId="77777777" w:rsidR="00F84093" w:rsidRPr="00A9330B" w:rsidRDefault="00F84093" w:rsidP="00C438EA">
            <w:pPr>
              <w:spacing w:line="240" w:lineRule="auto"/>
              <w:rPr>
                <w:sz w:val="20"/>
              </w:rPr>
            </w:pPr>
            <w:r w:rsidRPr="00A9330B">
              <w:rPr>
                <w:sz w:val="20"/>
              </w:rPr>
              <w:t>23</w:t>
            </w:r>
          </w:p>
        </w:tc>
        <w:tc>
          <w:tcPr>
            <w:tcW w:w="2119" w:type="dxa"/>
            <w:noWrap/>
            <w:hideMark/>
          </w:tcPr>
          <w:p w14:paraId="3C63DF4C" w14:textId="77777777" w:rsidR="00F84093" w:rsidRPr="00A9330B" w:rsidRDefault="00F84093" w:rsidP="00C438EA">
            <w:pPr>
              <w:spacing w:line="240" w:lineRule="auto"/>
              <w:rPr>
                <w:sz w:val="20"/>
              </w:rPr>
            </w:pPr>
            <w:r w:rsidRPr="00A9330B">
              <w:rPr>
                <w:sz w:val="20"/>
              </w:rPr>
              <w:t>0</w:t>
            </w:r>
          </w:p>
        </w:tc>
        <w:tc>
          <w:tcPr>
            <w:tcW w:w="1341" w:type="dxa"/>
            <w:noWrap/>
            <w:hideMark/>
          </w:tcPr>
          <w:p w14:paraId="5E7A477D" w14:textId="77777777" w:rsidR="00F84093" w:rsidRPr="00A9330B" w:rsidRDefault="00F84093" w:rsidP="00C438EA">
            <w:pPr>
              <w:spacing w:line="240" w:lineRule="auto"/>
              <w:rPr>
                <w:sz w:val="20"/>
              </w:rPr>
            </w:pPr>
            <w:r w:rsidRPr="00A9330B">
              <w:rPr>
                <w:sz w:val="20"/>
              </w:rPr>
              <w:t>2</w:t>
            </w:r>
          </w:p>
        </w:tc>
        <w:tc>
          <w:tcPr>
            <w:tcW w:w="1694" w:type="dxa"/>
            <w:noWrap/>
            <w:hideMark/>
          </w:tcPr>
          <w:p w14:paraId="1415814C" w14:textId="77777777" w:rsidR="00F84093" w:rsidRPr="00A9330B" w:rsidRDefault="00F84093" w:rsidP="00C438EA">
            <w:pPr>
              <w:spacing w:line="240" w:lineRule="auto"/>
              <w:rPr>
                <w:sz w:val="20"/>
              </w:rPr>
            </w:pPr>
            <w:r w:rsidRPr="00A9330B">
              <w:rPr>
                <w:sz w:val="20"/>
              </w:rPr>
              <w:t>0</w:t>
            </w:r>
          </w:p>
        </w:tc>
      </w:tr>
      <w:tr w:rsidR="00F84093" w:rsidRPr="00A9330B" w14:paraId="0B7E5200" w14:textId="77777777" w:rsidTr="00C438EA">
        <w:trPr>
          <w:trHeight w:val="258"/>
          <w:jc w:val="center"/>
        </w:trPr>
        <w:tc>
          <w:tcPr>
            <w:tcW w:w="1191" w:type="dxa"/>
            <w:noWrap/>
            <w:hideMark/>
          </w:tcPr>
          <w:p w14:paraId="69B8C8E7" w14:textId="77777777" w:rsidR="00F84093" w:rsidRPr="00A9330B" w:rsidRDefault="00F84093" w:rsidP="00C438EA">
            <w:pPr>
              <w:spacing w:line="240" w:lineRule="auto"/>
              <w:rPr>
                <w:b/>
                <w:bCs/>
                <w:sz w:val="20"/>
              </w:rPr>
            </w:pPr>
            <w:r w:rsidRPr="00A9330B">
              <w:rPr>
                <w:b/>
                <w:bCs/>
                <w:sz w:val="20"/>
              </w:rPr>
              <w:t>Total</w:t>
            </w:r>
          </w:p>
        </w:tc>
        <w:tc>
          <w:tcPr>
            <w:tcW w:w="4129" w:type="dxa"/>
            <w:gridSpan w:val="2"/>
            <w:noWrap/>
            <w:hideMark/>
          </w:tcPr>
          <w:p w14:paraId="71004644" w14:textId="77777777" w:rsidR="00F84093" w:rsidRPr="00A9330B" w:rsidRDefault="00F84093" w:rsidP="00C438EA">
            <w:pPr>
              <w:spacing w:line="240" w:lineRule="auto"/>
              <w:rPr>
                <w:b/>
                <w:bCs/>
                <w:sz w:val="20"/>
              </w:rPr>
            </w:pPr>
            <w:r w:rsidRPr="00A9330B">
              <w:rPr>
                <w:b/>
                <w:bCs/>
                <w:sz w:val="20"/>
              </w:rPr>
              <w:t>23</w:t>
            </w:r>
          </w:p>
        </w:tc>
        <w:tc>
          <w:tcPr>
            <w:tcW w:w="3035" w:type="dxa"/>
            <w:gridSpan w:val="2"/>
            <w:noWrap/>
            <w:hideMark/>
          </w:tcPr>
          <w:p w14:paraId="3294A4AD" w14:textId="77777777" w:rsidR="00F84093" w:rsidRPr="00A9330B" w:rsidRDefault="00F84093" w:rsidP="00C438EA">
            <w:pPr>
              <w:spacing w:line="240" w:lineRule="auto"/>
              <w:rPr>
                <w:b/>
                <w:bCs/>
                <w:sz w:val="20"/>
              </w:rPr>
            </w:pPr>
            <w:r w:rsidRPr="00A9330B">
              <w:rPr>
                <w:b/>
                <w:bCs/>
                <w:sz w:val="20"/>
              </w:rPr>
              <w:t>2</w:t>
            </w:r>
          </w:p>
        </w:tc>
      </w:tr>
    </w:tbl>
    <w:p w14:paraId="47329CD5" w14:textId="77777777" w:rsidR="00F84093" w:rsidRDefault="00F84093" w:rsidP="00F84093">
      <w:pPr>
        <w:widowControl w:val="0"/>
        <w:tabs>
          <w:tab w:val="left" w:pos="0"/>
          <w:tab w:val="left" w:pos="709"/>
          <w:tab w:val="left" w:pos="5245"/>
          <w:tab w:val="left" w:pos="5529"/>
          <w:tab w:val="left" w:pos="6096"/>
          <w:tab w:val="left" w:pos="6521"/>
          <w:tab w:val="left" w:pos="6804"/>
          <w:tab w:val="left" w:pos="8222"/>
        </w:tabs>
        <w:spacing w:before="0" w:after="120" w:line="312" w:lineRule="auto"/>
        <w:ind w:left="720"/>
        <w:jc w:val="both"/>
        <w:rPr>
          <w:rFonts w:eastAsia="Calibri" w:cs="Arial"/>
          <w:color w:val="auto"/>
          <w:lang w:eastAsia="x-none"/>
        </w:rPr>
      </w:pPr>
    </w:p>
    <w:p w14:paraId="3A5A83E5" w14:textId="78B77FAF" w:rsidR="004C234F" w:rsidRDefault="004C234F" w:rsidP="00BD2F72">
      <w:pPr>
        <w:widowControl w:val="0"/>
        <w:numPr>
          <w:ilvl w:val="0"/>
          <w:numId w:val="85"/>
        </w:numPr>
        <w:tabs>
          <w:tab w:val="left" w:pos="0"/>
          <w:tab w:val="left" w:pos="709"/>
          <w:tab w:val="left" w:pos="5245"/>
          <w:tab w:val="left" w:pos="5529"/>
          <w:tab w:val="left" w:pos="6096"/>
          <w:tab w:val="left" w:pos="6521"/>
          <w:tab w:val="left" w:pos="6804"/>
          <w:tab w:val="left" w:pos="8222"/>
        </w:tabs>
        <w:spacing w:before="0" w:after="120" w:line="312" w:lineRule="auto"/>
        <w:jc w:val="both"/>
        <w:rPr>
          <w:rFonts w:eastAsia="Calibri" w:cs="Arial"/>
          <w:color w:val="auto"/>
          <w:lang w:eastAsia="x-none"/>
        </w:rPr>
      </w:pPr>
      <w:r>
        <w:rPr>
          <w:rFonts w:eastAsia="Calibri" w:cs="Arial"/>
          <w:color w:val="auto"/>
          <w:lang w:eastAsia="x-none"/>
        </w:rPr>
        <w:t xml:space="preserve">construction et réhabilitation de certains équipements des infrastructures sociocommunautaires </w:t>
      </w:r>
    </w:p>
    <w:p w14:paraId="1E8E299D" w14:textId="77777777" w:rsidR="00F84093" w:rsidRPr="00F84093" w:rsidRDefault="004C234F" w:rsidP="004C234F">
      <w:pPr>
        <w:widowControl w:val="0"/>
        <w:tabs>
          <w:tab w:val="left" w:pos="0"/>
          <w:tab w:val="left" w:pos="709"/>
          <w:tab w:val="left" w:pos="5245"/>
          <w:tab w:val="left" w:pos="5529"/>
          <w:tab w:val="left" w:pos="6096"/>
          <w:tab w:val="left" w:pos="6521"/>
          <w:tab w:val="left" w:pos="6804"/>
          <w:tab w:val="left" w:pos="8222"/>
        </w:tabs>
        <w:spacing w:before="0" w:after="120" w:line="312" w:lineRule="auto"/>
        <w:jc w:val="both"/>
        <w:rPr>
          <w:rFonts w:eastAsia="Calibri" w:cs="Arial"/>
          <w:color w:val="auto"/>
          <w:lang w:eastAsia="x-none"/>
        </w:rPr>
      </w:pPr>
      <w:r w:rsidRPr="00F84093">
        <w:rPr>
          <w:rFonts w:eastAsia="Calibri" w:cs="Arial"/>
          <w:color w:val="auto"/>
          <w:lang w:eastAsia="x-none"/>
        </w:rPr>
        <w:t>Dans la ville de Natitingou, il s’agit de la construction de</w:t>
      </w:r>
      <w:r w:rsidR="00F84093" w:rsidRPr="00F84093">
        <w:rPr>
          <w:rFonts w:eastAsia="Calibri" w:cs="Arial"/>
          <w:color w:val="auto"/>
          <w:lang w:eastAsia="x-none"/>
        </w:rPr>
        <w:t> :</w:t>
      </w:r>
    </w:p>
    <w:p w14:paraId="32AA48EC" w14:textId="3188BD5B" w:rsidR="004C234F" w:rsidRPr="00F84093" w:rsidRDefault="004C234F" w:rsidP="00F84093">
      <w:pPr>
        <w:pStyle w:val="Paragraphedeliste"/>
        <w:widowControl w:val="0"/>
        <w:numPr>
          <w:ilvl w:val="0"/>
          <w:numId w:val="153"/>
        </w:numPr>
        <w:tabs>
          <w:tab w:val="left" w:pos="0"/>
          <w:tab w:val="left" w:pos="709"/>
          <w:tab w:val="left" w:pos="5245"/>
          <w:tab w:val="left" w:pos="5529"/>
          <w:tab w:val="left" w:pos="6096"/>
          <w:tab w:val="left" w:pos="6521"/>
          <w:tab w:val="left" w:pos="6804"/>
          <w:tab w:val="left" w:pos="8222"/>
        </w:tabs>
        <w:spacing w:before="0" w:after="120" w:line="312" w:lineRule="auto"/>
        <w:jc w:val="both"/>
        <w:rPr>
          <w:rFonts w:eastAsia="Calibri" w:cs="Arial"/>
          <w:color w:val="auto"/>
          <w:lang w:val="fr-FR" w:eastAsia="x-none"/>
        </w:rPr>
      </w:pPr>
      <w:r w:rsidRPr="00F84093">
        <w:rPr>
          <w:rFonts w:eastAsia="Calibri" w:cs="Arial"/>
          <w:color w:val="auto"/>
          <w:lang w:val="fr-FR" w:eastAsia="x-none"/>
        </w:rPr>
        <w:t xml:space="preserve">la clôture </w:t>
      </w:r>
      <w:r w:rsidR="00F84093" w:rsidRPr="00F84093">
        <w:rPr>
          <w:rFonts w:eastAsia="Calibri" w:cs="Arial"/>
          <w:color w:val="auto"/>
          <w:lang w:val="fr-FR" w:eastAsia="x-none"/>
        </w:rPr>
        <w:t xml:space="preserve"> du CEG Yimporima;</w:t>
      </w:r>
    </w:p>
    <w:p w14:paraId="65D51C01" w14:textId="48B29D27" w:rsidR="00F84093" w:rsidRPr="00F84093" w:rsidRDefault="00F84093" w:rsidP="00F84093">
      <w:pPr>
        <w:pStyle w:val="Paragraphedeliste"/>
        <w:widowControl w:val="0"/>
        <w:numPr>
          <w:ilvl w:val="0"/>
          <w:numId w:val="153"/>
        </w:numPr>
        <w:tabs>
          <w:tab w:val="left" w:pos="0"/>
          <w:tab w:val="left" w:pos="709"/>
          <w:tab w:val="left" w:pos="5245"/>
          <w:tab w:val="left" w:pos="5529"/>
          <w:tab w:val="left" w:pos="6096"/>
          <w:tab w:val="left" w:pos="6521"/>
          <w:tab w:val="left" w:pos="6804"/>
          <w:tab w:val="left" w:pos="8222"/>
        </w:tabs>
        <w:spacing w:before="0" w:after="120" w:line="312" w:lineRule="auto"/>
        <w:jc w:val="both"/>
        <w:rPr>
          <w:rFonts w:eastAsia="Calibri" w:cs="Arial"/>
          <w:color w:val="auto"/>
          <w:lang w:val="fr-FR" w:eastAsia="x-none"/>
        </w:rPr>
      </w:pPr>
      <w:r w:rsidRPr="00F84093">
        <w:rPr>
          <w:rFonts w:eastAsia="Calibri" w:cs="Arial"/>
          <w:color w:val="auto"/>
          <w:lang w:val="fr-FR" w:eastAsia="x-none"/>
        </w:rPr>
        <w:t xml:space="preserve">la clôture du centre des jeunes et des loisirs qui déjà défectueuse </w:t>
      </w:r>
    </w:p>
    <w:p w14:paraId="669267EF" w14:textId="149AAB04" w:rsidR="00F84093" w:rsidRPr="00F84093" w:rsidRDefault="00F84093" w:rsidP="00F84093">
      <w:pPr>
        <w:pStyle w:val="Paragraphedeliste"/>
        <w:widowControl w:val="0"/>
        <w:numPr>
          <w:ilvl w:val="0"/>
          <w:numId w:val="153"/>
        </w:numPr>
        <w:tabs>
          <w:tab w:val="left" w:pos="0"/>
          <w:tab w:val="left" w:pos="709"/>
          <w:tab w:val="left" w:pos="5245"/>
          <w:tab w:val="left" w:pos="5529"/>
          <w:tab w:val="left" w:pos="6096"/>
          <w:tab w:val="left" w:pos="6521"/>
          <w:tab w:val="left" w:pos="6804"/>
          <w:tab w:val="left" w:pos="8222"/>
        </w:tabs>
        <w:spacing w:before="0" w:after="120" w:line="312" w:lineRule="auto"/>
        <w:jc w:val="both"/>
        <w:rPr>
          <w:rFonts w:eastAsia="Calibri" w:cs="Arial"/>
          <w:color w:val="auto"/>
          <w:lang w:val="fr-FR" w:eastAsia="x-none"/>
        </w:rPr>
      </w:pPr>
      <w:r w:rsidRPr="00F84093">
        <w:rPr>
          <w:rFonts w:eastAsia="Calibri" w:cs="Arial"/>
          <w:color w:val="auto"/>
          <w:lang w:val="fr-FR" w:eastAsia="x-none"/>
        </w:rPr>
        <w:t xml:space="preserve">la construction des blocs de latrines modernes dans le CEG Yimporima, le centre des jeunes et de loisirs, le lycée des jeunes filles </w:t>
      </w:r>
    </w:p>
    <w:p w14:paraId="0C9F657D" w14:textId="76F5748A" w:rsidR="00F84093" w:rsidRPr="00F84093" w:rsidRDefault="00F84093" w:rsidP="00F84093">
      <w:pPr>
        <w:pStyle w:val="Paragraphedeliste"/>
        <w:widowControl w:val="0"/>
        <w:numPr>
          <w:ilvl w:val="0"/>
          <w:numId w:val="153"/>
        </w:numPr>
        <w:tabs>
          <w:tab w:val="left" w:pos="0"/>
          <w:tab w:val="left" w:pos="709"/>
          <w:tab w:val="left" w:pos="5245"/>
          <w:tab w:val="left" w:pos="5529"/>
          <w:tab w:val="left" w:pos="6096"/>
          <w:tab w:val="left" w:pos="6521"/>
          <w:tab w:val="left" w:pos="6804"/>
          <w:tab w:val="left" w:pos="8222"/>
        </w:tabs>
        <w:spacing w:before="0" w:after="120" w:line="312" w:lineRule="auto"/>
        <w:jc w:val="both"/>
        <w:rPr>
          <w:rFonts w:eastAsia="Calibri" w:cs="Arial"/>
          <w:color w:val="auto"/>
          <w:lang w:val="fr-FR" w:eastAsia="x-none"/>
        </w:rPr>
      </w:pPr>
      <w:r w:rsidRPr="00F84093">
        <w:rPr>
          <w:rFonts w:eastAsia="Calibri" w:cs="Arial"/>
          <w:color w:val="auto"/>
          <w:lang w:val="fr-FR" w:eastAsia="x-none"/>
        </w:rPr>
        <w:lastRenderedPageBreak/>
        <w:t xml:space="preserve">la réalisation de deux forages sur des sites à identifies notamment au niveau des exutoires </w:t>
      </w:r>
    </w:p>
    <w:p w14:paraId="0E835BAB" w14:textId="52BAC257" w:rsidR="00F84093" w:rsidRDefault="00F84093" w:rsidP="00F84093">
      <w:pPr>
        <w:pStyle w:val="Paragraphedeliste"/>
        <w:widowControl w:val="0"/>
        <w:numPr>
          <w:ilvl w:val="0"/>
          <w:numId w:val="153"/>
        </w:numPr>
        <w:tabs>
          <w:tab w:val="left" w:pos="0"/>
          <w:tab w:val="left" w:pos="709"/>
          <w:tab w:val="left" w:pos="5245"/>
          <w:tab w:val="left" w:pos="5529"/>
          <w:tab w:val="left" w:pos="6096"/>
          <w:tab w:val="left" w:pos="6521"/>
          <w:tab w:val="left" w:pos="6804"/>
          <w:tab w:val="left" w:pos="8222"/>
        </w:tabs>
        <w:spacing w:before="0" w:after="120" w:line="312" w:lineRule="auto"/>
        <w:jc w:val="both"/>
        <w:rPr>
          <w:rFonts w:eastAsia="Calibri" w:cs="Arial"/>
          <w:color w:val="auto"/>
          <w:lang w:val="fr-FR" w:eastAsia="x-none"/>
        </w:rPr>
      </w:pPr>
      <w:r w:rsidRPr="00F84093">
        <w:rPr>
          <w:rFonts w:eastAsia="Calibri" w:cs="Arial"/>
          <w:color w:val="auto"/>
          <w:lang w:val="fr-FR" w:eastAsia="x-none"/>
        </w:rPr>
        <w:t xml:space="preserve">la construction de </w:t>
      </w:r>
      <w:r>
        <w:rPr>
          <w:rFonts w:eastAsia="Calibri" w:cs="Arial"/>
          <w:color w:val="auto"/>
          <w:lang w:val="fr-FR" w:eastAsia="x-none"/>
        </w:rPr>
        <w:t xml:space="preserve">04 </w:t>
      </w:r>
      <w:r w:rsidRPr="00F84093">
        <w:rPr>
          <w:rFonts w:eastAsia="Calibri" w:cs="Arial"/>
          <w:color w:val="auto"/>
          <w:lang w:val="fr-FR" w:eastAsia="x-none"/>
        </w:rPr>
        <w:t>centre</w:t>
      </w:r>
      <w:r>
        <w:rPr>
          <w:rFonts w:eastAsia="Calibri" w:cs="Arial"/>
          <w:color w:val="auto"/>
          <w:lang w:val="fr-FR" w:eastAsia="x-none"/>
        </w:rPr>
        <w:t>s</w:t>
      </w:r>
      <w:r w:rsidRPr="00F84093">
        <w:rPr>
          <w:rFonts w:eastAsia="Calibri" w:cs="Arial"/>
          <w:color w:val="auto"/>
          <w:lang w:val="fr-FR" w:eastAsia="x-none"/>
        </w:rPr>
        <w:t xml:space="preserve"> de regroupement de déchets </w:t>
      </w:r>
      <w:r>
        <w:rPr>
          <w:rFonts w:eastAsia="Calibri" w:cs="Arial"/>
          <w:color w:val="auto"/>
          <w:lang w:val="fr-FR" w:eastAsia="x-none"/>
        </w:rPr>
        <w:t xml:space="preserve">pour la ville </w:t>
      </w:r>
    </w:p>
    <w:p w14:paraId="61BE5D98" w14:textId="563ED164" w:rsidR="00F84093" w:rsidRPr="00F84093" w:rsidRDefault="00F84093" w:rsidP="00F84093">
      <w:pPr>
        <w:widowControl w:val="0"/>
        <w:tabs>
          <w:tab w:val="left" w:pos="0"/>
          <w:tab w:val="left" w:pos="709"/>
          <w:tab w:val="left" w:pos="5245"/>
          <w:tab w:val="left" w:pos="5529"/>
          <w:tab w:val="left" w:pos="6096"/>
          <w:tab w:val="left" w:pos="6521"/>
          <w:tab w:val="left" w:pos="6804"/>
          <w:tab w:val="left" w:pos="8222"/>
        </w:tabs>
        <w:spacing w:before="0" w:after="120" w:line="312" w:lineRule="auto"/>
        <w:jc w:val="both"/>
        <w:rPr>
          <w:rFonts w:eastAsia="Calibri" w:cs="Arial"/>
          <w:color w:val="auto"/>
          <w:lang w:eastAsia="x-none"/>
        </w:rPr>
      </w:pPr>
      <w:r>
        <w:rPr>
          <w:rFonts w:eastAsia="Calibri" w:cs="Arial"/>
          <w:color w:val="auto"/>
          <w:lang w:eastAsia="x-none"/>
        </w:rPr>
        <w:t>Les détails sur la mise en œuvre de ces activités d’accompagnement se trouvent en annexe 9</w:t>
      </w:r>
    </w:p>
    <w:p w14:paraId="356665D9" w14:textId="07F5364C" w:rsidR="00350C9E" w:rsidRPr="00A9330B" w:rsidRDefault="001777E6" w:rsidP="000F7BA7">
      <w:pPr>
        <w:pStyle w:val="Titre20"/>
        <w:rPr>
          <w:rFonts w:eastAsia="Times New Roman"/>
          <w:lang w:eastAsia="fr-FR"/>
        </w:rPr>
      </w:pPr>
      <w:bookmarkStart w:id="2062" w:name="_Toc44771448"/>
      <w:bookmarkStart w:id="2063" w:name="_Toc52869735"/>
      <w:bookmarkStart w:id="2064" w:name="_Toc52869885"/>
      <w:r w:rsidRPr="00A9330B">
        <w:rPr>
          <w:rFonts w:eastAsia="Times New Roman"/>
          <w:lang w:eastAsia="fr-FR"/>
        </w:rPr>
        <w:t xml:space="preserve">10.14. </w:t>
      </w:r>
      <w:r w:rsidR="00350C9E" w:rsidRPr="00A9330B">
        <w:rPr>
          <w:rFonts w:eastAsia="Times New Roman"/>
          <w:lang w:eastAsia="fr-FR"/>
        </w:rPr>
        <w:t>Procédures de règlement des griefs</w:t>
      </w:r>
      <w:bookmarkEnd w:id="2062"/>
      <w:bookmarkEnd w:id="2063"/>
      <w:bookmarkEnd w:id="2064"/>
    </w:p>
    <w:p w14:paraId="345E0FBF" w14:textId="77777777" w:rsidR="00350C9E" w:rsidRPr="00A9330B" w:rsidRDefault="00350C9E" w:rsidP="00350C9E">
      <w:pPr>
        <w:spacing w:after="120" w:line="312" w:lineRule="auto"/>
        <w:jc w:val="both"/>
        <w:rPr>
          <w:rFonts w:eastAsia="Times New Roman" w:cs="Times New Roman"/>
          <w:color w:val="auto"/>
          <w:szCs w:val="24"/>
          <w:lang w:eastAsia="de-DE"/>
        </w:rPr>
      </w:pPr>
      <w:r w:rsidRPr="00A9330B">
        <w:rPr>
          <w:rFonts w:eastAsia="Times New Roman" w:cs="Times New Roman"/>
          <w:color w:val="auto"/>
          <w:szCs w:val="24"/>
          <w:lang w:eastAsia="de-DE"/>
        </w:rPr>
        <w:t xml:space="preserve">Les mécanismes suivants sont proposés pour résoudre les conflits qui peuvent naître en raison de la mise en œuvre du Programme d’Assainissement Pluvial des Villes Secondaires. Le processus comprend trois (03) phases : la phase de règlement à l’amiable, phase d’arbitrage et la phase judiciaire. </w:t>
      </w:r>
    </w:p>
    <w:p w14:paraId="178EEB08" w14:textId="77777777" w:rsidR="00350C9E" w:rsidRPr="00A9330B" w:rsidRDefault="00350C9E" w:rsidP="00350C9E">
      <w:pPr>
        <w:spacing w:after="120" w:line="312" w:lineRule="auto"/>
        <w:jc w:val="both"/>
        <w:rPr>
          <w:rFonts w:eastAsia="Times New Roman" w:cs="Times New Roman"/>
          <w:color w:val="auto"/>
          <w:szCs w:val="24"/>
          <w:lang w:eastAsia="de-DE"/>
        </w:rPr>
      </w:pPr>
      <w:r w:rsidRPr="00A9330B">
        <w:rPr>
          <w:rFonts w:eastAsia="Times New Roman" w:cs="Times New Roman"/>
          <w:color w:val="auto"/>
          <w:szCs w:val="24"/>
          <w:lang w:eastAsia="de-DE"/>
        </w:rPr>
        <w:t xml:space="preserve">Les délais de traitement des plaintes au niveau de ces différents paliers ne doivent pas excéder quinze (15) jours, pour compter de la date de la réception de la plainte. De façon spécifique, le Comité Technique de Réinstallation (CTR), mettra à la disposition des personnes affectées les numéros de téléphones de son Secrétaire Administratif ou de son Rapporteur. </w:t>
      </w:r>
    </w:p>
    <w:p w14:paraId="60DB40CF" w14:textId="77777777" w:rsidR="00350C9E" w:rsidRPr="00A9330B" w:rsidRDefault="00350C9E" w:rsidP="00350C9E">
      <w:pPr>
        <w:spacing w:after="120" w:line="312" w:lineRule="auto"/>
        <w:jc w:val="both"/>
        <w:rPr>
          <w:rFonts w:eastAsia="Times New Roman" w:cs="Times New Roman"/>
          <w:color w:val="auto"/>
          <w:szCs w:val="24"/>
          <w:lang w:eastAsia="de-DE"/>
        </w:rPr>
      </w:pPr>
      <w:r w:rsidRPr="00A9330B">
        <w:rPr>
          <w:rFonts w:eastAsia="Times New Roman" w:cs="Times New Roman"/>
          <w:color w:val="auto"/>
          <w:szCs w:val="24"/>
          <w:lang w:eastAsia="de-DE"/>
        </w:rPr>
        <w:t xml:space="preserve">Un registre sera ouvert à cet effet pour recueillir les plaintes qui seront traitées. Les plaintes et doléances seront dépouillées en session par le CTR. </w:t>
      </w:r>
    </w:p>
    <w:p w14:paraId="6A2C4269" w14:textId="6733DAC3" w:rsidR="002E4838" w:rsidRPr="002E4838" w:rsidRDefault="001777E6" w:rsidP="002E4838">
      <w:pPr>
        <w:pStyle w:val="Titre20"/>
        <w:rPr>
          <w:smallCaps/>
        </w:rPr>
      </w:pPr>
      <w:bookmarkStart w:id="2065" w:name="_Toc52869736"/>
      <w:bookmarkStart w:id="2066" w:name="_Toc52869886"/>
      <w:r w:rsidRPr="002E4838">
        <w:rPr>
          <w:smallCaps/>
        </w:rPr>
        <w:t xml:space="preserve">10.15. </w:t>
      </w:r>
      <w:bookmarkStart w:id="2067" w:name="_Toc52869737"/>
      <w:bookmarkStart w:id="2068" w:name="_Toc52869887"/>
      <w:bookmarkEnd w:id="2065"/>
      <w:bookmarkEnd w:id="2066"/>
      <w:r w:rsidR="002E4838" w:rsidRPr="002E4838">
        <w:rPr>
          <w:rFonts w:eastAsia="Calibri"/>
          <w:smallCaps/>
        </w:rPr>
        <w:t xml:space="preserve"> Mise en œuvre et suivi-évaluation du PAR - Responsabilités organisationnelles</w:t>
      </w:r>
    </w:p>
    <w:p w14:paraId="5CA2528F" w14:textId="2263CFEC" w:rsidR="005F4B0D" w:rsidRPr="00534FE1" w:rsidRDefault="005F4B0D" w:rsidP="005F4B0D">
      <w:pPr>
        <w:autoSpaceDE w:val="0"/>
        <w:autoSpaceDN w:val="0"/>
        <w:adjustRightInd w:val="0"/>
        <w:rPr>
          <w:rFonts w:eastAsia="Calibri" w:cs="Arial"/>
          <w:color w:val="000000"/>
          <w:lang w:eastAsia="fr-FR"/>
        </w:rPr>
      </w:pPr>
      <w:r w:rsidRPr="00534FE1">
        <w:rPr>
          <w:rFonts w:eastAsia="Calibri" w:cs="Arial"/>
          <w:color w:val="000000"/>
          <w:lang w:eastAsia="fr-FR"/>
        </w:rPr>
        <w:t>Sur le plan opérationnel et dans le souci d’assurer la transparence et le consensus dans les décisions en matière de dédommagement des personnes affectées, un Comité Technique de Réinstallation (CTR) sera mis en place.</w:t>
      </w:r>
    </w:p>
    <w:p w14:paraId="5A461DC7" w14:textId="77777777" w:rsidR="005F4B0D" w:rsidRPr="00534FE1" w:rsidRDefault="005F4B0D" w:rsidP="005F4B0D">
      <w:pPr>
        <w:autoSpaceDE w:val="0"/>
        <w:autoSpaceDN w:val="0"/>
        <w:adjustRightInd w:val="0"/>
        <w:rPr>
          <w:rFonts w:eastAsia="Calibri" w:cs="Arial"/>
          <w:color w:val="000000"/>
          <w:lang w:eastAsia="fr-FR"/>
        </w:rPr>
      </w:pPr>
      <w:r w:rsidRPr="00534FE1">
        <w:rPr>
          <w:rFonts w:eastAsia="Calibri" w:cs="Arial"/>
          <w:color w:val="000000"/>
          <w:lang w:eastAsia="fr-FR"/>
        </w:rPr>
        <w:t>La composition du Comité Technique de Réinstallation se présente comme suit :</w:t>
      </w:r>
    </w:p>
    <w:p w14:paraId="4EF1465D" w14:textId="77777777" w:rsidR="005F4B0D" w:rsidRPr="00534FE1" w:rsidRDefault="005F4B0D" w:rsidP="005F4B0D">
      <w:pPr>
        <w:numPr>
          <w:ilvl w:val="0"/>
          <w:numId w:val="155"/>
        </w:numPr>
        <w:spacing w:line="260" w:lineRule="atLeast"/>
        <w:jc w:val="both"/>
        <w:rPr>
          <w:rFonts w:eastAsia="Calibri" w:cs="Arial"/>
          <w:color w:val="000000"/>
          <w:szCs w:val="20"/>
        </w:rPr>
      </w:pPr>
      <w:r w:rsidRPr="00534FE1">
        <w:rPr>
          <w:rFonts w:eastAsia="Calibri" w:cs="Arial"/>
          <w:color w:val="000000"/>
          <w:szCs w:val="20"/>
        </w:rPr>
        <w:t>Président : Représentant de l’ACVDT (Pool d’experts PAPVS) ;</w:t>
      </w:r>
    </w:p>
    <w:p w14:paraId="19254D48" w14:textId="77777777" w:rsidR="005F4B0D" w:rsidRPr="00534FE1" w:rsidRDefault="005F4B0D" w:rsidP="005F4B0D">
      <w:pPr>
        <w:numPr>
          <w:ilvl w:val="0"/>
          <w:numId w:val="155"/>
        </w:numPr>
        <w:spacing w:line="260" w:lineRule="atLeast"/>
        <w:jc w:val="both"/>
        <w:rPr>
          <w:rFonts w:eastAsia="Calibri" w:cs="Arial"/>
          <w:color w:val="000000"/>
          <w:szCs w:val="20"/>
        </w:rPr>
      </w:pPr>
      <w:r w:rsidRPr="00534FE1">
        <w:rPr>
          <w:rFonts w:eastAsia="Calibri" w:cs="Arial"/>
          <w:color w:val="000000"/>
          <w:szCs w:val="20"/>
        </w:rPr>
        <w:t>Vice-président : Conseiller Technique aux Affaires Juridiques du MCVDD ;</w:t>
      </w:r>
    </w:p>
    <w:p w14:paraId="4712816C" w14:textId="77777777" w:rsidR="005F4B0D" w:rsidRPr="00534FE1" w:rsidRDefault="005F4B0D" w:rsidP="005F4B0D">
      <w:pPr>
        <w:numPr>
          <w:ilvl w:val="0"/>
          <w:numId w:val="155"/>
        </w:numPr>
        <w:spacing w:line="260" w:lineRule="atLeast"/>
        <w:jc w:val="both"/>
        <w:rPr>
          <w:rFonts w:eastAsia="Calibri" w:cs="Arial"/>
          <w:color w:val="000000"/>
          <w:szCs w:val="20"/>
        </w:rPr>
      </w:pPr>
      <w:r w:rsidRPr="00534FE1">
        <w:rPr>
          <w:rFonts w:eastAsia="Calibri" w:cs="Arial"/>
          <w:color w:val="000000"/>
          <w:szCs w:val="20"/>
        </w:rPr>
        <w:t>1</w:t>
      </w:r>
      <w:r w:rsidRPr="00534FE1">
        <w:rPr>
          <w:rFonts w:eastAsia="Calibri" w:cs="Arial"/>
          <w:color w:val="000000"/>
          <w:szCs w:val="20"/>
          <w:vertAlign w:val="superscript"/>
        </w:rPr>
        <w:t>er</w:t>
      </w:r>
      <w:r w:rsidRPr="00534FE1">
        <w:rPr>
          <w:rFonts w:eastAsia="Calibri" w:cs="Arial"/>
          <w:color w:val="000000"/>
          <w:szCs w:val="20"/>
        </w:rPr>
        <w:t xml:space="preserve"> Rapporteur : Maire de la Commune de </w:t>
      </w:r>
      <w:r>
        <w:rPr>
          <w:rFonts w:eastAsia="Calibri" w:cs="Arial"/>
          <w:color w:val="000000"/>
          <w:szCs w:val="20"/>
        </w:rPr>
        <w:t xml:space="preserve">Natitingou </w:t>
      </w:r>
      <w:r w:rsidRPr="00534FE1">
        <w:rPr>
          <w:rFonts w:eastAsia="Calibri" w:cs="Arial"/>
          <w:color w:val="000000"/>
          <w:szCs w:val="20"/>
        </w:rPr>
        <w:t>ou son Représentant (2</w:t>
      </w:r>
      <w:r w:rsidRPr="00534FE1">
        <w:rPr>
          <w:rFonts w:eastAsia="Calibri" w:cs="Arial"/>
          <w:color w:val="000000"/>
          <w:szCs w:val="20"/>
          <w:vertAlign w:val="superscript"/>
        </w:rPr>
        <w:t>ème</w:t>
      </w:r>
      <w:r w:rsidRPr="00534FE1">
        <w:rPr>
          <w:rFonts w:eastAsia="Calibri" w:cs="Arial"/>
          <w:color w:val="000000"/>
          <w:szCs w:val="20"/>
        </w:rPr>
        <w:t xml:space="preserve"> Adjoint au Maire) ;</w:t>
      </w:r>
    </w:p>
    <w:p w14:paraId="2BFBE3E7" w14:textId="77777777" w:rsidR="005F4B0D" w:rsidRPr="00534FE1" w:rsidRDefault="005F4B0D" w:rsidP="005F4B0D">
      <w:pPr>
        <w:numPr>
          <w:ilvl w:val="0"/>
          <w:numId w:val="155"/>
        </w:numPr>
        <w:spacing w:line="260" w:lineRule="atLeast"/>
        <w:jc w:val="both"/>
        <w:rPr>
          <w:rFonts w:eastAsia="Calibri" w:cs="Arial"/>
          <w:color w:val="000000"/>
          <w:szCs w:val="20"/>
        </w:rPr>
      </w:pPr>
      <w:r w:rsidRPr="00534FE1">
        <w:rPr>
          <w:rFonts w:eastAsia="Calibri" w:cs="Arial"/>
          <w:color w:val="000000"/>
          <w:szCs w:val="20"/>
        </w:rPr>
        <w:t>2</w:t>
      </w:r>
      <w:r w:rsidRPr="00534FE1">
        <w:rPr>
          <w:rFonts w:eastAsia="Calibri" w:cs="Arial"/>
          <w:color w:val="000000"/>
          <w:szCs w:val="20"/>
          <w:vertAlign w:val="superscript"/>
        </w:rPr>
        <w:t>ème</w:t>
      </w:r>
      <w:r w:rsidRPr="00534FE1">
        <w:rPr>
          <w:rFonts w:eastAsia="Calibri" w:cs="Arial"/>
          <w:color w:val="000000"/>
          <w:szCs w:val="20"/>
        </w:rPr>
        <w:t xml:space="preserve"> Rapporteur : Directeur ou Chef des Services Techniques de la ville de </w:t>
      </w:r>
      <w:r>
        <w:rPr>
          <w:rFonts w:eastAsia="Calibri" w:cs="Arial"/>
          <w:color w:val="000000"/>
          <w:szCs w:val="20"/>
        </w:rPr>
        <w:t>Natitingou</w:t>
      </w:r>
      <w:r w:rsidRPr="00534FE1">
        <w:rPr>
          <w:rFonts w:eastAsia="Calibri" w:cs="Arial"/>
          <w:color w:val="000000"/>
          <w:szCs w:val="20"/>
        </w:rPr>
        <w:t> ;</w:t>
      </w:r>
    </w:p>
    <w:p w14:paraId="7962DC52" w14:textId="77777777" w:rsidR="005F4B0D" w:rsidRPr="00534FE1" w:rsidRDefault="005F4B0D" w:rsidP="005F4B0D">
      <w:pPr>
        <w:numPr>
          <w:ilvl w:val="0"/>
          <w:numId w:val="155"/>
        </w:numPr>
        <w:spacing w:line="260" w:lineRule="atLeast"/>
        <w:jc w:val="both"/>
        <w:rPr>
          <w:rFonts w:eastAsia="Calibri" w:cs="Arial"/>
          <w:color w:val="000000"/>
          <w:szCs w:val="20"/>
        </w:rPr>
      </w:pPr>
      <w:r w:rsidRPr="00534FE1">
        <w:rPr>
          <w:rFonts w:eastAsia="Calibri" w:cs="Arial"/>
          <w:color w:val="000000"/>
          <w:szCs w:val="20"/>
        </w:rPr>
        <w:t>3</w:t>
      </w:r>
      <w:r w:rsidRPr="00534FE1">
        <w:rPr>
          <w:rFonts w:eastAsia="Calibri" w:cs="Arial"/>
          <w:color w:val="000000"/>
          <w:szCs w:val="20"/>
          <w:vertAlign w:val="superscript"/>
        </w:rPr>
        <w:t>ème</w:t>
      </w:r>
      <w:r w:rsidRPr="00534FE1">
        <w:rPr>
          <w:rFonts w:eastAsia="Calibri" w:cs="Arial"/>
          <w:color w:val="000000"/>
          <w:szCs w:val="20"/>
        </w:rPr>
        <w:t xml:space="preserve"> Rapporteur : Représentant de l’AMO ;</w:t>
      </w:r>
    </w:p>
    <w:p w14:paraId="60AB39F6" w14:textId="77777777" w:rsidR="005F4B0D" w:rsidRPr="00534FE1" w:rsidRDefault="005F4B0D" w:rsidP="005F4B0D">
      <w:pPr>
        <w:numPr>
          <w:ilvl w:val="0"/>
          <w:numId w:val="155"/>
        </w:numPr>
        <w:spacing w:line="260" w:lineRule="atLeast"/>
        <w:jc w:val="both"/>
        <w:rPr>
          <w:rFonts w:eastAsia="Calibri" w:cs="Arial"/>
          <w:color w:val="000000"/>
          <w:szCs w:val="20"/>
        </w:rPr>
      </w:pPr>
      <w:r w:rsidRPr="00534FE1">
        <w:rPr>
          <w:rFonts w:eastAsia="Calibri" w:cs="Arial"/>
          <w:color w:val="000000"/>
          <w:szCs w:val="20"/>
        </w:rPr>
        <w:t>Membres :</w:t>
      </w:r>
    </w:p>
    <w:p w14:paraId="23DB7C18" w14:textId="77777777" w:rsidR="005F4B0D" w:rsidRPr="00534FE1" w:rsidRDefault="005F4B0D" w:rsidP="005F4B0D">
      <w:pPr>
        <w:numPr>
          <w:ilvl w:val="0"/>
          <w:numId w:val="156"/>
        </w:numPr>
        <w:spacing w:line="260" w:lineRule="atLeast"/>
        <w:jc w:val="both"/>
        <w:rPr>
          <w:rFonts w:eastAsia="Calibri" w:cs="Arial"/>
          <w:color w:val="000000"/>
          <w:szCs w:val="20"/>
        </w:rPr>
      </w:pPr>
      <w:r w:rsidRPr="00534FE1">
        <w:rPr>
          <w:rFonts w:eastAsia="Calibri" w:cs="Arial"/>
          <w:color w:val="000000"/>
          <w:szCs w:val="20"/>
        </w:rPr>
        <w:t>Chef Services des Affaires Domaniales de la Mairie de Bohicon ;</w:t>
      </w:r>
    </w:p>
    <w:p w14:paraId="36346382" w14:textId="77777777" w:rsidR="005F4B0D" w:rsidRPr="00534FE1" w:rsidRDefault="005F4B0D" w:rsidP="005F4B0D">
      <w:pPr>
        <w:numPr>
          <w:ilvl w:val="0"/>
          <w:numId w:val="156"/>
        </w:numPr>
        <w:spacing w:line="260" w:lineRule="atLeast"/>
        <w:jc w:val="both"/>
        <w:rPr>
          <w:rFonts w:eastAsia="Calibri" w:cs="Arial"/>
          <w:color w:val="000000"/>
          <w:szCs w:val="20"/>
        </w:rPr>
      </w:pPr>
      <w:r w:rsidRPr="00534FE1">
        <w:rPr>
          <w:rFonts w:eastAsia="Calibri" w:cs="Arial"/>
          <w:color w:val="000000"/>
          <w:szCs w:val="20"/>
        </w:rPr>
        <w:t>Un représentant du Service Développement Local et Planification (SDLP) ou Service Environnement Assainissement, climat et eau (SEACE) ;</w:t>
      </w:r>
    </w:p>
    <w:p w14:paraId="12DA5450" w14:textId="77777777" w:rsidR="005F4B0D" w:rsidRPr="00534FE1" w:rsidRDefault="005F4B0D" w:rsidP="005F4B0D">
      <w:pPr>
        <w:numPr>
          <w:ilvl w:val="0"/>
          <w:numId w:val="156"/>
        </w:numPr>
        <w:spacing w:line="260" w:lineRule="atLeast"/>
        <w:jc w:val="both"/>
        <w:rPr>
          <w:rFonts w:eastAsia="Calibri" w:cs="Arial"/>
          <w:color w:val="000000"/>
          <w:szCs w:val="20"/>
        </w:rPr>
      </w:pPr>
      <w:r w:rsidRPr="00534FE1">
        <w:rPr>
          <w:rFonts w:eastAsia="Calibri" w:cs="Arial"/>
          <w:color w:val="000000"/>
          <w:szCs w:val="20"/>
        </w:rPr>
        <w:t>Président du Comité de Développement de Quartier (CDQ) ;</w:t>
      </w:r>
    </w:p>
    <w:p w14:paraId="5CE12B9F" w14:textId="77777777" w:rsidR="005F4B0D" w:rsidRPr="00534FE1" w:rsidRDefault="005F4B0D" w:rsidP="005F4B0D">
      <w:pPr>
        <w:numPr>
          <w:ilvl w:val="0"/>
          <w:numId w:val="156"/>
        </w:numPr>
        <w:spacing w:line="260" w:lineRule="atLeast"/>
        <w:jc w:val="both"/>
        <w:rPr>
          <w:rFonts w:eastAsia="Calibri" w:cs="Arial"/>
          <w:color w:val="000000"/>
          <w:szCs w:val="20"/>
        </w:rPr>
      </w:pPr>
      <w:r w:rsidRPr="00534FE1">
        <w:rPr>
          <w:rFonts w:eastAsia="Calibri" w:cs="Arial"/>
          <w:color w:val="000000"/>
          <w:szCs w:val="20"/>
        </w:rPr>
        <w:t>Président du Comité des Riverains ;</w:t>
      </w:r>
    </w:p>
    <w:p w14:paraId="45535332" w14:textId="77777777" w:rsidR="005F4B0D" w:rsidRPr="00534FE1" w:rsidRDefault="005F4B0D" w:rsidP="005F4B0D">
      <w:pPr>
        <w:numPr>
          <w:ilvl w:val="0"/>
          <w:numId w:val="155"/>
        </w:numPr>
        <w:spacing w:line="260" w:lineRule="atLeast"/>
        <w:jc w:val="both"/>
        <w:rPr>
          <w:rFonts w:eastAsia="Calibri" w:cs="Arial"/>
          <w:color w:val="000000"/>
          <w:szCs w:val="20"/>
        </w:rPr>
      </w:pPr>
      <w:r w:rsidRPr="00534FE1">
        <w:rPr>
          <w:rFonts w:eastAsia="Calibri" w:cs="Arial"/>
          <w:color w:val="000000"/>
          <w:szCs w:val="20"/>
        </w:rPr>
        <w:t>Le Représentant du bureau d’études chargé du contrôle de la mise en œuvre des mesures issues de l’étude d’impact environnemental et social (EIES), notamment du Plan de Gestion Environnementale et Sociale et du Plan d’Action de Réinstallation ;</w:t>
      </w:r>
    </w:p>
    <w:p w14:paraId="28AB763D" w14:textId="77777777" w:rsidR="005F4B0D" w:rsidRPr="00534FE1" w:rsidRDefault="005F4B0D" w:rsidP="005F4B0D">
      <w:pPr>
        <w:numPr>
          <w:ilvl w:val="0"/>
          <w:numId w:val="155"/>
        </w:numPr>
        <w:spacing w:line="260" w:lineRule="atLeast"/>
        <w:jc w:val="both"/>
        <w:rPr>
          <w:rFonts w:eastAsia="Calibri" w:cs="Arial"/>
          <w:color w:val="000000"/>
          <w:szCs w:val="20"/>
        </w:rPr>
      </w:pPr>
      <w:r w:rsidRPr="00534FE1">
        <w:rPr>
          <w:rFonts w:eastAsia="Calibri" w:cs="Arial"/>
          <w:color w:val="000000"/>
          <w:szCs w:val="20"/>
        </w:rPr>
        <w:t>Le Représentant du bureau d’études chargé du contrôle technique des travaux de construction de collecteurs et d’aménagement des rues connexes. Le Comité s’appuiera sur l’expertise des consultants recrutés pour l’élaboration du PAR et adressera des comptes rendus et des rapports à l’ACVDT (Pool PAPVS).</w:t>
      </w:r>
    </w:p>
    <w:p w14:paraId="54E3CA2A" w14:textId="77777777" w:rsidR="005F4B0D" w:rsidRPr="00534FE1" w:rsidRDefault="005F4B0D" w:rsidP="005F4B0D">
      <w:pPr>
        <w:autoSpaceDE w:val="0"/>
        <w:autoSpaceDN w:val="0"/>
        <w:adjustRightInd w:val="0"/>
        <w:rPr>
          <w:rFonts w:eastAsia="Calibri" w:cs="Arial"/>
          <w:color w:val="000000"/>
          <w:lang w:eastAsia="fr-FR"/>
        </w:rPr>
      </w:pPr>
      <w:r w:rsidRPr="00534FE1">
        <w:rPr>
          <w:rFonts w:eastAsia="Calibri" w:cs="Arial"/>
          <w:color w:val="000000"/>
          <w:lang w:eastAsia="fr-FR"/>
        </w:rPr>
        <w:lastRenderedPageBreak/>
        <w:t xml:space="preserve">Le Comité Technique peut faire appel à la compétence de toute autre personne ressource en cas de nécessité. Les modalités de fonctionnement du Comité Technique de Réinstallation seront précisées par l’arrêté ministériel, sur proposition de l’ACVDT (Pool PAPVS). Les différents intervenants dans le processus de mise en œuvre du PAR et leur responsabilité sont consignés dans le tableau ci-après : </w:t>
      </w:r>
    </w:p>
    <w:p w14:paraId="41CF9C74" w14:textId="45731427" w:rsidR="005F4B0D" w:rsidRPr="00534FE1" w:rsidRDefault="005F4B0D" w:rsidP="005F4B0D">
      <w:pPr>
        <w:autoSpaceDE w:val="0"/>
        <w:autoSpaceDN w:val="0"/>
        <w:adjustRightInd w:val="0"/>
        <w:spacing w:line="360" w:lineRule="auto"/>
        <w:jc w:val="center"/>
        <w:rPr>
          <w:rFonts w:eastAsia="Calibri" w:cs="Arial"/>
          <w:b/>
          <w:color w:val="000000"/>
          <w:sz w:val="20"/>
          <w:szCs w:val="20"/>
          <w:lang w:eastAsia="fr-FR"/>
        </w:rPr>
      </w:pPr>
      <w:bookmarkStart w:id="2069" w:name="_Toc52808738"/>
      <w:bookmarkStart w:id="2070" w:name="_Toc52814430"/>
      <w:bookmarkStart w:id="2071" w:name="_Toc52873794"/>
      <w:r w:rsidRPr="00534FE1">
        <w:rPr>
          <w:rFonts w:eastAsia="Calibri" w:cs="Arial"/>
          <w:b/>
          <w:color w:val="000000"/>
          <w:sz w:val="20"/>
          <w:szCs w:val="20"/>
          <w:lang w:eastAsia="fr-FR"/>
        </w:rPr>
        <w:t xml:space="preserve">Tableau </w:t>
      </w:r>
      <w:r w:rsidRPr="00534FE1">
        <w:rPr>
          <w:rFonts w:eastAsia="Calibri" w:cs="Arial"/>
          <w:b/>
          <w:color w:val="000000"/>
          <w:sz w:val="20"/>
          <w:szCs w:val="20"/>
          <w:lang w:eastAsia="fr-FR"/>
        </w:rPr>
        <w:fldChar w:fldCharType="begin"/>
      </w:r>
      <w:r w:rsidRPr="00534FE1">
        <w:rPr>
          <w:rFonts w:eastAsia="Calibri" w:cs="Arial"/>
          <w:b/>
          <w:color w:val="000000"/>
          <w:sz w:val="20"/>
          <w:szCs w:val="20"/>
          <w:lang w:eastAsia="fr-FR"/>
        </w:rPr>
        <w:instrText xml:space="preserve"> SEQ Tableau \* ARABIC </w:instrText>
      </w:r>
      <w:r w:rsidRPr="00534FE1">
        <w:rPr>
          <w:rFonts w:eastAsia="Calibri" w:cs="Arial"/>
          <w:b/>
          <w:color w:val="000000"/>
          <w:sz w:val="20"/>
          <w:szCs w:val="20"/>
          <w:lang w:eastAsia="fr-FR"/>
        </w:rPr>
        <w:fldChar w:fldCharType="separate"/>
      </w:r>
      <w:r w:rsidR="002E4838">
        <w:rPr>
          <w:rFonts w:eastAsia="Calibri" w:cs="Arial"/>
          <w:b/>
          <w:noProof/>
          <w:color w:val="000000"/>
          <w:sz w:val="20"/>
          <w:szCs w:val="20"/>
          <w:lang w:eastAsia="fr-FR"/>
        </w:rPr>
        <w:t>70</w:t>
      </w:r>
      <w:r w:rsidRPr="00534FE1">
        <w:rPr>
          <w:rFonts w:eastAsia="Calibri" w:cs="Arial"/>
          <w:b/>
          <w:color w:val="000000"/>
          <w:sz w:val="20"/>
          <w:szCs w:val="20"/>
          <w:lang w:eastAsia="fr-FR"/>
        </w:rPr>
        <w:fldChar w:fldCharType="end"/>
      </w:r>
      <w:r w:rsidRPr="00534FE1">
        <w:rPr>
          <w:rFonts w:eastAsia="Calibri" w:cs="Arial"/>
          <w:b/>
          <w:color w:val="000000"/>
          <w:sz w:val="20"/>
          <w:szCs w:val="20"/>
          <w:lang w:eastAsia="fr-FR"/>
        </w:rPr>
        <w:t xml:space="preserve"> : Synthèse de  la mise en œuvre  et suivi – évaluation du PAR</w:t>
      </w:r>
      <w:bookmarkEnd w:id="2069"/>
      <w:bookmarkEnd w:id="2070"/>
      <w:bookmarkEnd w:id="2071"/>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2722"/>
        <w:gridCol w:w="5783"/>
      </w:tblGrid>
      <w:tr w:rsidR="005F4B0D" w:rsidRPr="00534FE1" w14:paraId="02CC6D47" w14:textId="77777777" w:rsidTr="008F0527">
        <w:trPr>
          <w:tblHeader/>
        </w:trPr>
        <w:tc>
          <w:tcPr>
            <w:tcW w:w="567" w:type="dxa"/>
            <w:shd w:val="clear" w:color="auto" w:fill="00B0F0"/>
            <w:vAlign w:val="center"/>
          </w:tcPr>
          <w:p w14:paraId="54B1D6E5" w14:textId="77777777" w:rsidR="005F4B0D" w:rsidRPr="00534FE1" w:rsidRDefault="005F4B0D" w:rsidP="008F0527">
            <w:pPr>
              <w:spacing w:before="60" w:line="240" w:lineRule="auto"/>
              <w:jc w:val="center"/>
              <w:rPr>
                <w:rFonts w:cs="Arial"/>
                <w:b/>
                <w:color w:val="000000"/>
                <w:sz w:val="20"/>
                <w:szCs w:val="20"/>
              </w:rPr>
            </w:pPr>
            <w:r w:rsidRPr="00534FE1">
              <w:rPr>
                <w:rFonts w:cs="Arial"/>
                <w:b/>
                <w:color w:val="000000"/>
                <w:sz w:val="20"/>
                <w:szCs w:val="20"/>
              </w:rPr>
              <w:t>N°</w:t>
            </w:r>
          </w:p>
        </w:tc>
        <w:tc>
          <w:tcPr>
            <w:tcW w:w="2722" w:type="dxa"/>
            <w:shd w:val="clear" w:color="auto" w:fill="00B0F0"/>
            <w:vAlign w:val="center"/>
          </w:tcPr>
          <w:p w14:paraId="458DF757" w14:textId="77777777" w:rsidR="005F4B0D" w:rsidRPr="00534FE1" w:rsidRDefault="005F4B0D" w:rsidP="008F0527">
            <w:pPr>
              <w:spacing w:before="60" w:line="240" w:lineRule="auto"/>
              <w:rPr>
                <w:rFonts w:eastAsia="Calibri" w:cs="Arial"/>
                <w:b/>
                <w:color w:val="000000"/>
                <w:sz w:val="20"/>
                <w:szCs w:val="20"/>
              </w:rPr>
            </w:pPr>
            <w:r w:rsidRPr="00534FE1">
              <w:rPr>
                <w:rFonts w:eastAsia="Calibri" w:cs="Arial"/>
                <w:b/>
                <w:color w:val="000000"/>
                <w:sz w:val="20"/>
                <w:szCs w:val="20"/>
              </w:rPr>
              <w:t>Acteurs/Organisation</w:t>
            </w:r>
          </w:p>
        </w:tc>
        <w:tc>
          <w:tcPr>
            <w:tcW w:w="5783" w:type="dxa"/>
            <w:shd w:val="clear" w:color="auto" w:fill="00B0F0"/>
          </w:tcPr>
          <w:p w14:paraId="7256B0E0" w14:textId="77777777" w:rsidR="005F4B0D" w:rsidRPr="00534FE1" w:rsidRDefault="005F4B0D" w:rsidP="008F0527">
            <w:pPr>
              <w:spacing w:before="60" w:line="240" w:lineRule="auto"/>
              <w:jc w:val="center"/>
              <w:rPr>
                <w:rFonts w:eastAsia="Calibri" w:cs="Arial"/>
                <w:b/>
                <w:color w:val="000000"/>
                <w:sz w:val="20"/>
                <w:szCs w:val="20"/>
              </w:rPr>
            </w:pPr>
            <w:r w:rsidRPr="00534FE1">
              <w:rPr>
                <w:rFonts w:eastAsia="Calibri" w:cs="Arial"/>
                <w:b/>
                <w:color w:val="000000"/>
                <w:sz w:val="20"/>
                <w:szCs w:val="20"/>
              </w:rPr>
              <w:t>Responsabilités</w:t>
            </w:r>
          </w:p>
        </w:tc>
      </w:tr>
      <w:tr w:rsidR="005F4B0D" w:rsidRPr="00534FE1" w14:paraId="329E8A0A" w14:textId="77777777" w:rsidTr="008F0527">
        <w:tc>
          <w:tcPr>
            <w:tcW w:w="567" w:type="dxa"/>
            <w:shd w:val="clear" w:color="auto" w:fill="auto"/>
            <w:vAlign w:val="center"/>
          </w:tcPr>
          <w:p w14:paraId="7788DF7B" w14:textId="77777777" w:rsidR="005F4B0D" w:rsidRPr="00534FE1" w:rsidRDefault="005F4B0D" w:rsidP="005F4B0D">
            <w:pPr>
              <w:numPr>
                <w:ilvl w:val="0"/>
                <w:numId w:val="157"/>
              </w:numPr>
              <w:spacing w:before="60" w:line="240" w:lineRule="auto"/>
              <w:rPr>
                <w:rFonts w:eastAsia="Calibri" w:cs="Arial"/>
                <w:b/>
                <w:color w:val="000000"/>
                <w:sz w:val="20"/>
                <w:szCs w:val="20"/>
              </w:rPr>
            </w:pPr>
          </w:p>
        </w:tc>
        <w:tc>
          <w:tcPr>
            <w:tcW w:w="2722" w:type="dxa"/>
            <w:shd w:val="clear" w:color="auto" w:fill="auto"/>
            <w:vAlign w:val="center"/>
          </w:tcPr>
          <w:p w14:paraId="58F275B5" w14:textId="77777777" w:rsidR="005F4B0D" w:rsidRPr="00534FE1" w:rsidRDefault="005F4B0D" w:rsidP="008F0527">
            <w:pPr>
              <w:spacing w:before="60" w:line="240" w:lineRule="auto"/>
              <w:rPr>
                <w:rFonts w:eastAsia="Calibri" w:cs="Arial"/>
                <w:color w:val="000000"/>
                <w:sz w:val="20"/>
                <w:szCs w:val="20"/>
              </w:rPr>
            </w:pPr>
            <w:r w:rsidRPr="00534FE1">
              <w:rPr>
                <w:rFonts w:eastAsia="Calibri" w:cs="Arial"/>
                <w:color w:val="000000"/>
                <w:sz w:val="20"/>
                <w:szCs w:val="20"/>
              </w:rPr>
              <w:t>Agence du Cadre de Vie et du Développement Durable (Promoteur et Maître d’Ouvrage)</w:t>
            </w:r>
          </w:p>
        </w:tc>
        <w:tc>
          <w:tcPr>
            <w:tcW w:w="5783" w:type="dxa"/>
            <w:shd w:val="clear" w:color="auto" w:fill="auto"/>
          </w:tcPr>
          <w:p w14:paraId="689A939E" w14:textId="77777777" w:rsidR="005F4B0D" w:rsidRPr="00534FE1" w:rsidRDefault="005F4B0D" w:rsidP="008F0527">
            <w:pPr>
              <w:spacing w:before="60" w:line="240" w:lineRule="auto"/>
              <w:rPr>
                <w:rFonts w:eastAsia="Calibri" w:cs="Arial"/>
                <w:color w:val="000000"/>
                <w:sz w:val="20"/>
                <w:szCs w:val="20"/>
              </w:rPr>
            </w:pPr>
            <w:r w:rsidRPr="00534FE1">
              <w:rPr>
                <w:rFonts w:eastAsia="Calibri" w:cs="Arial"/>
                <w:color w:val="000000"/>
                <w:sz w:val="20"/>
                <w:szCs w:val="20"/>
              </w:rPr>
              <w:t>Représente le Gouvernement Béninois dans la mise en œuvre du Projet ;</w:t>
            </w:r>
          </w:p>
          <w:p w14:paraId="0D1DFFB3" w14:textId="77777777" w:rsidR="005F4B0D" w:rsidRPr="00534FE1" w:rsidRDefault="005F4B0D" w:rsidP="008F0527">
            <w:pPr>
              <w:spacing w:before="60" w:line="240" w:lineRule="auto"/>
              <w:rPr>
                <w:rFonts w:eastAsia="Calibri" w:cs="Arial"/>
                <w:color w:val="000000"/>
                <w:sz w:val="20"/>
                <w:szCs w:val="20"/>
              </w:rPr>
            </w:pPr>
            <w:r w:rsidRPr="00534FE1">
              <w:rPr>
                <w:rFonts w:eastAsia="Calibri" w:cs="Arial"/>
                <w:color w:val="000000"/>
                <w:sz w:val="20"/>
                <w:szCs w:val="20"/>
              </w:rPr>
              <w:t>Mets en place l’unité de Gestion du Projet (Pool d’experts PAPVS)</w:t>
            </w:r>
          </w:p>
          <w:p w14:paraId="52E72DB3" w14:textId="77777777" w:rsidR="005F4B0D" w:rsidRPr="00534FE1" w:rsidRDefault="005F4B0D" w:rsidP="008F0527">
            <w:pPr>
              <w:spacing w:before="60" w:line="240" w:lineRule="auto"/>
              <w:rPr>
                <w:rFonts w:eastAsia="Calibri" w:cs="Arial"/>
                <w:color w:val="000000"/>
                <w:sz w:val="20"/>
                <w:szCs w:val="20"/>
              </w:rPr>
            </w:pPr>
            <w:r w:rsidRPr="00534FE1">
              <w:rPr>
                <w:rFonts w:eastAsia="Calibri" w:cs="Arial"/>
                <w:color w:val="000000"/>
                <w:sz w:val="20"/>
                <w:szCs w:val="20"/>
              </w:rPr>
              <w:t>Suit les indemnisations des PAP ;</w:t>
            </w:r>
          </w:p>
          <w:p w14:paraId="09D1044C" w14:textId="77777777" w:rsidR="005F4B0D" w:rsidRPr="00534FE1" w:rsidRDefault="005F4B0D" w:rsidP="008F0527">
            <w:pPr>
              <w:spacing w:before="60" w:line="240" w:lineRule="auto"/>
              <w:rPr>
                <w:rFonts w:eastAsia="Calibri" w:cs="Arial"/>
                <w:color w:val="000000"/>
                <w:sz w:val="20"/>
                <w:szCs w:val="20"/>
              </w:rPr>
            </w:pPr>
            <w:r w:rsidRPr="00534FE1">
              <w:rPr>
                <w:rFonts w:eastAsia="Calibri" w:cs="Arial"/>
                <w:color w:val="000000"/>
                <w:sz w:val="20"/>
                <w:szCs w:val="20"/>
              </w:rPr>
              <w:t>Suit et évalue l’exécution du PAR.</w:t>
            </w:r>
          </w:p>
        </w:tc>
      </w:tr>
      <w:tr w:rsidR="005F4B0D" w:rsidRPr="00534FE1" w14:paraId="5EADEE7E" w14:textId="77777777" w:rsidTr="008F0527">
        <w:tc>
          <w:tcPr>
            <w:tcW w:w="567" w:type="dxa"/>
            <w:shd w:val="clear" w:color="auto" w:fill="auto"/>
            <w:vAlign w:val="center"/>
          </w:tcPr>
          <w:p w14:paraId="07225E7A" w14:textId="77777777" w:rsidR="005F4B0D" w:rsidRPr="00534FE1" w:rsidRDefault="005F4B0D" w:rsidP="005F4B0D">
            <w:pPr>
              <w:numPr>
                <w:ilvl w:val="0"/>
                <w:numId w:val="157"/>
              </w:numPr>
              <w:spacing w:before="60" w:line="240" w:lineRule="auto"/>
              <w:rPr>
                <w:rFonts w:eastAsia="Calibri" w:cs="Arial"/>
                <w:b/>
                <w:color w:val="000000"/>
                <w:sz w:val="20"/>
                <w:szCs w:val="20"/>
              </w:rPr>
            </w:pPr>
          </w:p>
        </w:tc>
        <w:tc>
          <w:tcPr>
            <w:tcW w:w="2722" w:type="dxa"/>
            <w:shd w:val="clear" w:color="auto" w:fill="auto"/>
            <w:vAlign w:val="center"/>
          </w:tcPr>
          <w:p w14:paraId="4C8F34AD" w14:textId="77777777" w:rsidR="005F4B0D" w:rsidRPr="00534FE1" w:rsidRDefault="005F4B0D" w:rsidP="008F0527">
            <w:pPr>
              <w:spacing w:before="60" w:line="240" w:lineRule="auto"/>
              <w:rPr>
                <w:rFonts w:eastAsia="Calibri" w:cs="Arial"/>
                <w:color w:val="000000"/>
                <w:sz w:val="20"/>
                <w:szCs w:val="20"/>
              </w:rPr>
            </w:pPr>
            <w:r w:rsidRPr="00534FE1">
              <w:rPr>
                <w:rFonts w:eastAsia="Calibri" w:cs="Arial"/>
                <w:color w:val="000000"/>
                <w:sz w:val="20"/>
                <w:szCs w:val="20"/>
              </w:rPr>
              <w:t xml:space="preserve">Ministère en charge des Finances </w:t>
            </w:r>
          </w:p>
        </w:tc>
        <w:tc>
          <w:tcPr>
            <w:tcW w:w="5783" w:type="dxa"/>
            <w:shd w:val="clear" w:color="auto" w:fill="auto"/>
          </w:tcPr>
          <w:p w14:paraId="2CE4C031" w14:textId="77777777" w:rsidR="005F4B0D" w:rsidRPr="00534FE1" w:rsidRDefault="005F4B0D" w:rsidP="008F0527">
            <w:pPr>
              <w:spacing w:before="60" w:line="240" w:lineRule="auto"/>
              <w:rPr>
                <w:rFonts w:eastAsia="Calibri" w:cs="Arial"/>
                <w:color w:val="000000"/>
                <w:sz w:val="20"/>
                <w:szCs w:val="20"/>
              </w:rPr>
            </w:pPr>
            <w:r w:rsidRPr="00534FE1">
              <w:rPr>
                <w:rFonts w:eastAsia="Calibri" w:cs="Arial"/>
                <w:color w:val="000000"/>
                <w:sz w:val="20"/>
                <w:szCs w:val="20"/>
              </w:rPr>
              <w:t>Mobilise les fonds nécessaires aux indemnisations des PAP ;</w:t>
            </w:r>
          </w:p>
        </w:tc>
      </w:tr>
      <w:tr w:rsidR="005F4B0D" w:rsidRPr="00534FE1" w14:paraId="17CCDD7F" w14:textId="77777777" w:rsidTr="008F0527">
        <w:tc>
          <w:tcPr>
            <w:tcW w:w="567" w:type="dxa"/>
            <w:shd w:val="clear" w:color="auto" w:fill="auto"/>
            <w:vAlign w:val="center"/>
          </w:tcPr>
          <w:p w14:paraId="51A337AE" w14:textId="77777777" w:rsidR="005F4B0D" w:rsidRPr="00534FE1" w:rsidRDefault="005F4B0D" w:rsidP="005F4B0D">
            <w:pPr>
              <w:numPr>
                <w:ilvl w:val="0"/>
                <w:numId w:val="157"/>
              </w:numPr>
              <w:spacing w:before="60" w:line="240" w:lineRule="auto"/>
              <w:rPr>
                <w:rFonts w:eastAsia="Calibri" w:cs="Arial"/>
                <w:b/>
                <w:color w:val="000000"/>
                <w:sz w:val="20"/>
                <w:szCs w:val="20"/>
              </w:rPr>
            </w:pPr>
          </w:p>
        </w:tc>
        <w:tc>
          <w:tcPr>
            <w:tcW w:w="2722" w:type="dxa"/>
            <w:shd w:val="clear" w:color="auto" w:fill="auto"/>
            <w:vAlign w:val="center"/>
          </w:tcPr>
          <w:p w14:paraId="7D9BFB3A" w14:textId="77777777" w:rsidR="005F4B0D" w:rsidRPr="00534FE1" w:rsidRDefault="005F4B0D" w:rsidP="008F0527">
            <w:pPr>
              <w:spacing w:before="60" w:line="240" w:lineRule="auto"/>
              <w:rPr>
                <w:rFonts w:eastAsia="Calibri" w:cs="Arial"/>
                <w:color w:val="000000"/>
                <w:sz w:val="20"/>
                <w:szCs w:val="20"/>
              </w:rPr>
            </w:pPr>
            <w:r w:rsidRPr="00534FE1">
              <w:rPr>
                <w:rFonts w:eastAsia="Calibri" w:cs="Arial"/>
                <w:color w:val="000000"/>
                <w:sz w:val="20"/>
                <w:szCs w:val="20"/>
              </w:rPr>
              <w:t xml:space="preserve">AMO </w:t>
            </w:r>
          </w:p>
        </w:tc>
        <w:tc>
          <w:tcPr>
            <w:tcW w:w="5783" w:type="dxa"/>
            <w:shd w:val="clear" w:color="auto" w:fill="auto"/>
          </w:tcPr>
          <w:p w14:paraId="6401EB49" w14:textId="77777777" w:rsidR="005F4B0D" w:rsidRPr="00534FE1" w:rsidRDefault="005F4B0D" w:rsidP="008F0527">
            <w:pPr>
              <w:spacing w:before="60" w:line="240" w:lineRule="auto"/>
              <w:rPr>
                <w:rFonts w:eastAsia="Calibri" w:cs="Arial"/>
                <w:color w:val="000000"/>
                <w:sz w:val="20"/>
                <w:szCs w:val="20"/>
              </w:rPr>
            </w:pPr>
            <w:r w:rsidRPr="00534FE1">
              <w:rPr>
                <w:rFonts w:eastAsia="Calibri" w:cs="Arial"/>
                <w:color w:val="000000"/>
                <w:sz w:val="20"/>
                <w:szCs w:val="20"/>
              </w:rPr>
              <w:t>Recrute le consultant chargé de la mise en œuvre du PAR</w:t>
            </w:r>
          </w:p>
          <w:p w14:paraId="38AC3C3E" w14:textId="77777777" w:rsidR="005F4B0D" w:rsidRPr="00534FE1" w:rsidRDefault="005F4B0D" w:rsidP="008F0527">
            <w:pPr>
              <w:spacing w:before="60" w:line="240" w:lineRule="auto"/>
              <w:rPr>
                <w:rFonts w:eastAsia="Calibri" w:cs="Arial"/>
                <w:color w:val="000000"/>
                <w:sz w:val="20"/>
                <w:szCs w:val="20"/>
              </w:rPr>
            </w:pPr>
            <w:r w:rsidRPr="00534FE1">
              <w:rPr>
                <w:rFonts w:eastAsia="Calibri" w:cs="Arial"/>
                <w:color w:val="000000"/>
                <w:sz w:val="20"/>
                <w:szCs w:val="20"/>
              </w:rPr>
              <w:t>Assure le rapportage du Comité Technique de Réinstallation installé par le Maire et chargé des travaux de négociation du coût de dédommagement ;</w:t>
            </w:r>
          </w:p>
          <w:p w14:paraId="428FDF81" w14:textId="77777777" w:rsidR="005F4B0D" w:rsidRPr="00534FE1" w:rsidRDefault="005F4B0D" w:rsidP="008F0527">
            <w:pPr>
              <w:spacing w:before="60" w:line="240" w:lineRule="auto"/>
              <w:rPr>
                <w:rFonts w:eastAsia="Calibri" w:cs="Arial"/>
                <w:color w:val="000000"/>
                <w:sz w:val="20"/>
                <w:szCs w:val="20"/>
              </w:rPr>
            </w:pPr>
            <w:r w:rsidRPr="00534FE1">
              <w:rPr>
                <w:rFonts w:eastAsia="Calibri" w:cs="Arial"/>
                <w:color w:val="000000"/>
                <w:sz w:val="20"/>
                <w:szCs w:val="20"/>
              </w:rPr>
              <w:t>Enregistre et finalise la liste des PAP ; </w:t>
            </w:r>
          </w:p>
          <w:p w14:paraId="247E2E8F" w14:textId="77777777" w:rsidR="005F4B0D" w:rsidRPr="00534FE1" w:rsidRDefault="005F4B0D" w:rsidP="008F0527">
            <w:pPr>
              <w:spacing w:before="60" w:line="240" w:lineRule="auto"/>
              <w:rPr>
                <w:rFonts w:eastAsia="Calibri" w:cs="Arial"/>
                <w:color w:val="000000"/>
                <w:sz w:val="20"/>
                <w:szCs w:val="20"/>
              </w:rPr>
            </w:pPr>
            <w:r w:rsidRPr="00534FE1">
              <w:rPr>
                <w:rFonts w:eastAsia="Calibri" w:cs="Arial"/>
                <w:color w:val="000000"/>
                <w:sz w:val="20"/>
                <w:szCs w:val="20"/>
              </w:rPr>
              <w:t>Participe au suivi de la mise en œuvre du PAR;</w:t>
            </w:r>
          </w:p>
        </w:tc>
      </w:tr>
      <w:tr w:rsidR="005F4B0D" w:rsidRPr="00534FE1" w14:paraId="16B69CD0" w14:textId="77777777" w:rsidTr="008F0527">
        <w:tc>
          <w:tcPr>
            <w:tcW w:w="567" w:type="dxa"/>
            <w:shd w:val="clear" w:color="auto" w:fill="auto"/>
            <w:vAlign w:val="center"/>
          </w:tcPr>
          <w:p w14:paraId="295A17CC" w14:textId="77777777" w:rsidR="005F4B0D" w:rsidRPr="00534FE1" w:rsidRDefault="005F4B0D" w:rsidP="005F4B0D">
            <w:pPr>
              <w:numPr>
                <w:ilvl w:val="0"/>
                <w:numId w:val="157"/>
              </w:numPr>
              <w:spacing w:before="60" w:line="240" w:lineRule="auto"/>
              <w:rPr>
                <w:rFonts w:eastAsia="Calibri" w:cs="Arial"/>
                <w:b/>
                <w:color w:val="000000"/>
                <w:sz w:val="20"/>
                <w:szCs w:val="20"/>
              </w:rPr>
            </w:pPr>
          </w:p>
        </w:tc>
        <w:tc>
          <w:tcPr>
            <w:tcW w:w="2722" w:type="dxa"/>
            <w:shd w:val="clear" w:color="auto" w:fill="auto"/>
            <w:vAlign w:val="center"/>
          </w:tcPr>
          <w:p w14:paraId="004FAB9B" w14:textId="77777777" w:rsidR="005F4B0D" w:rsidRPr="00534FE1" w:rsidRDefault="005F4B0D" w:rsidP="008F0527">
            <w:pPr>
              <w:spacing w:before="60" w:line="240" w:lineRule="auto"/>
              <w:rPr>
                <w:rFonts w:eastAsia="Calibri" w:cs="Arial"/>
                <w:color w:val="000000"/>
                <w:sz w:val="20"/>
                <w:szCs w:val="20"/>
              </w:rPr>
            </w:pPr>
            <w:r w:rsidRPr="00534FE1">
              <w:rPr>
                <w:rFonts w:eastAsia="Calibri" w:cs="Arial"/>
                <w:color w:val="000000"/>
                <w:sz w:val="20"/>
                <w:szCs w:val="20"/>
              </w:rPr>
              <w:t>Comité Technique de Réinstallation</w:t>
            </w:r>
          </w:p>
        </w:tc>
        <w:tc>
          <w:tcPr>
            <w:tcW w:w="5783" w:type="dxa"/>
            <w:shd w:val="clear" w:color="auto" w:fill="auto"/>
          </w:tcPr>
          <w:p w14:paraId="0B76F928" w14:textId="77777777" w:rsidR="005F4B0D" w:rsidRPr="00534FE1" w:rsidRDefault="005F4B0D" w:rsidP="008F0527">
            <w:pPr>
              <w:spacing w:before="60" w:line="240" w:lineRule="auto"/>
              <w:rPr>
                <w:rFonts w:eastAsia="Calibri" w:cs="Arial"/>
                <w:color w:val="000000"/>
                <w:sz w:val="20"/>
                <w:szCs w:val="20"/>
              </w:rPr>
            </w:pPr>
            <w:r w:rsidRPr="00534FE1">
              <w:rPr>
                <w:rFonts w:eastAsia="Calibri" w:cs="Arial"/>
                <w:color w:val="000000"/>
                <w:sz w:val="20"/>
                <w:szCs w:val="20"/>
              </w:rPr>
              <w:t>Participe aux travaux d’évaluation du coût de dédommagement des PAP ;</w:t>
            </w:r>
          </w:p>
          <w:p w14:paraId="6E412E93" w14:textId="77777777" w:rsidR="005F4B0D" w:rsidRPr="00534FE1" w:rsidRDefault="005F4B0D" w:rsidP="008F0527">
            <w:pPr>
              <w:spacing w:before="60" w:line="240" w:lineRule="auto"/>
              <w:rPr>
                <w:rFonts w:eastAsia="Calibri" w:cs="Arial"/>
                <w:color w:val="000000"/>
                <w:sz w:val="20"/>
                <w:szCs w:val="20"/>
              </w:rPr>
            </w:pPr>
            <w:r w:rsidRPr="00534FE1">
              <w:rPr>
                <w:rFonts w:eastAsia="Calibri" w:cs="Arial"/>
                <w:color w:val="000000"/>
                <w:sz w:val="20"/>
                <w:szCs w:val="20"/>
              </w:rPr>
              <w:t>Rend compte au Gouvernement des résultats des différentes négociations ;</w:t>
            </w:r>
          </w:p>
          <w:p w14:paraId="55A4AAB6" w14:textId="77777777" w:rsidR="005F4B0D" w:rsidRPr="00534FE1" w:rsidRDefault="005F4B0D" w:rsidP="008F0527">
            <w:pPr>
              <w:spacing w:before="60" w:line="240" w:lineRule="auto"/>
              <w:rPr>
                <w:rFonts w:eastAsia="Calibri" w:cs="Arial"/>
                <w:color w:val="000000"/>
                <w:sz w:val="20"/>
                <w:szCs w:val="20"/>
              </w:rPr>
            </w:pPr>
            <w:r w:rsidRPr="00534FE1">
              <w:rPr>
                <w:rFonts w:eastAsia="Calibri" w:cs="Arial"/>
                <w:color w:val="000000"/>
                <w:sz w:val="20"/>
                <w:szCs w:val="20"/>
              </w:rPr>
              <w:t>Participe à l’information/sensibilisation des PAP</w:t>
            </w:r>
          </w:p>
          <w:p w14:paraId="2935F9A3" w14:textId="77777777" w:rsidR="005F4B0D" w:rsidRPr="00534FE1" w:rsidRDefault="005F4B0D" w:rsidP="008F0527">
            <w:pPr>
              <w:spacing w:before="60" w:line="240" w:lineRule="auto"/>
              <w:rPr>
                <w:rFonts w:eastAsia="Calibri" w:cs="Arial"/>
                <w:color w:val="000000"/>
                <w:sz w:val="20"/>
                <w:szCs w:val="20"/>
              </w:rPr>
            </w:pPr>
            <w:r w:rsidRPr="00534FE1">
              <w:rPr>
                <w:rFonts w:eastAsia="Calibri" w:cs="Arial"/>
                <w:color w:val="000000"/>
                <w:sz w:val="20"/>
                <w:szCs w:val="20"/>
              </w:rPr>
              <w:t>Participe au suivi de la mise en œuvre du PAR</w:t>
            </w:r>
          </w:p>
        </w:tc>
      </w:tr>
      <w:tr w:rsidR="005F4B0D" w:rsidRPr="00534FE1" w14:paraId="492E8789" w14:textId="77777777" w:rsidTr="008F0527">
        <w:tc>
          <w:tcPr>
            <w:tcW w:w="567" w:type="dxa"/>
            <w:shd w:val="clear" w:color="auto" w:fill="auto"/>
            <w:vAlign w:val="center"/>
          </w:tcPr>
          <w:p w14:paraId="76AA8CAF" w14:textId="77777777" w:rsidR="005F4B0D" w:rsidRPr="00534FE1" w:rsidRDefault="005F4B0D" w:rsidP="005F4B0D">
            <w:pPr>
              <w:numPr>
                <w:ilvl w:val="0"/>
                <w:numId w:val="157"/>
              </w:numPr>
              <w:spacing w:before="60" w:line="240" w:lineRule="auto"/>
              <w:rPr>
                <w:rFonts w:cs="Arial"/>
                <w:b/>
                <w:color w:val="000000"/>
                <w:sz w:val="20"/>
                <w:szCs w:val="20"/>
              </w:rPr>
            </w:pPr>
          </w:p>
        </w:tc>
        <w:tc>
          <w:tcPr>
            <w:tcW w:w="2722" w:type="dxa"/>
            <w:shd w:val="clear" w:color="auto" w:fill="auto"/>
            <w:vAlign w:val="center"/>
          </w:tcPr>
          <w:p w14:paraId="07E40D77" w14:textId="77777777" w:rsidR="005F4B0D" w:rsidRPr="00534FE1" w:rsidRDefault="005F4B0D" w:rsidP="008F0527">
            <w:pPr>
              <w:spacing w:before="60" w:line="240" w:lineRule="auto"/>
              <w:rPr>
                <w:rFonts w:eastAsia="Calibri" w:cs="Arial"/>
                <w:color w:val="000000"/>
                <w:sz w:val="20"/>
                <w:szCs w:val="20"/>
              </w:rPr>
            </w:pPr>
            <w:r w:rsidRPr="00534FE1">
              <w:rPr>
                <w:rFonts w:eastAsia="Calibri" w:cs="Arial"/>
                <w:color w:val="000000"/>
                <w:sz w:val="20"/>
                <w:szCs w:val="20"/>
              </w:rPr>
              <w:t>Comité Local de Réinstallation</w:t>
            </w:r>
          </w:p>
        </w:tc>
        <w:tc>
          <w:tcPr>
            <w:tcW w:w="5783" w:type="dxa"/>
            <w:shd w:val="clear" w:color="auto" w:fill="auto"/>
          </w:tcPr>
          <w:p w14:paraId="52E53352" w14:textId="77777777" w:rsidR="005F4B0D" w:rsidRPr="00534FE1" w:rsidRDefault="005F4B0D" w:rsidP="008F0527">
            <w:pPr>
              <w:spacing w:before="60" w:line="240" w:lineRule="auto"/>
              <w:rPr>
                <w:rFonts w:eastAsia="Calibri" w:cs="Arial"/>
                <w:color w:val="000000"/>
                <w:sz w:val="20"/>
                <w:szCs w:val="20"/>
              </w:rPr>
            </w:pPr>
            <w:r w:rsidRPr="00534FE1">
              <w:rPr>
                <w:rFonts w:eastAsia="Calibri" w:cs="Arial"/>
                <w:color w:val="000000"/>
                <w:sz w:val="20"/>
                <w:szCs w:val="20"/>
              </w:rPr>
              <w:t>Participe aux travaux d’évaluation du coût de dédommagement des PAP ;</w:t>
            </w:r>
          </w:p>
          <w:p w14:paraId="3DEEA742" w14:textId="77777777" w:rsidR="005F4B0D" w:rsidRPr="00534FE1" w:rsidRDefault="005F4B0D" w:rsidP="008F0527">
            <w:pPr>
              <w:spacing w:before="60" w:line="240" w:lineRule="auto"/>
              <w:rPr>
                <w:rFonts w:eastAsia="Calibri" w:cs="Arial"/>
                <w:color w:val="000000"/>
                <w:sz w:val="20"/>
                <w:szCs w:val="20"/>
              </w:rPr>
            </w:pPr>
            <w:r w:rsidRPr="00534FE1">
              <w:rPr>
                <w:rFonts w:eastAsia="Calibri" w:cs="Arial"/>
                <w:color w:val="000000"/>
                <w:sz w:val="20"/>
                <w:szCs w:val="20"/>
              </w:rPr>
              <w:t>Négocie avec les PAP les coûts de dédommagement ;</w:t>
            </w:r>
          </w:p>
          <w:p w14:paraId="079359FC" w14:textId="77777777" w:rsidR="005F4B0D" w:rsidRPr="00534FE1" w:rsidRDefault="005F4B0D" w:rsidP="008F0527">
            <w:pPr>
              <w:spacing w:before="60" w:line="240" w:lineRule="auto"/>
              <w:rPr>
                <w:rFonts w:eastAsia="Calibri" w:cs="Arial"/>
                <w:color w:val="000000"/>
                <w:sz w:val="20"/>
                <w:szCs w:val="20"/>
              </w:rPr>
            </w:pPr>
            <w:r w:rsidRPr="00534FE1">
              <w:rPr>
                <w:rFonts w:eastAsia="Calibri" w:cs="Arial"/>
                <w:color w:val="000000"/>
                <w:sz w:val="20"/>
                <w:szCs w:val="20"/>
              </w:rPr>
              <w:t>Rend compte au Gouvernement des résultats des différentes négociations ;</w:t>
            </w:r>
          </w:p>
          <w:p w14:paraId="3AEFC534" w14:textId="77777777" w:rsidR="005F4B0D" w:rsidRPr="00534FE1" w:rsidRDefault="005F4B0D" w:rsidP="008F0527">
            <w:pPr>
              <w:spacing w:before="60" w:line="240" w:lineRule="auto"/>
              <w:rPr>
                <w:rFonts w:eastAsia="Calibri" w:cs="Arial"/>
                <w:color w:val="000000"/>
                <w:sz w:val="20"/>
                <w:szCs w:val="20"/>
              </w:rPr>
            </w:pPr>
            <w:r w:rsidRPr="00534FE1">
              <w:rPr>
                <w:rFonts w:eastAsia="Calibri" w:cs="Arial"/>
                <w:color w:val="000000"/>
                <w:sz w:val="20"/>
                <w:szCs w:val="20"/>
              </w:rPr>
              <w:t>Participe à l’information/sensibilisation des PAP</w:t>
            </w:r>
          </w:p>
          <w:p w14:paraId="1B6D3F9F" w14:textId="77777777" w:rsidR="005F4B0D" w:rsidRPr="00534FE1" w:rsidRDefault="005F4B0D" w:rsidP="008F0527">
            <w:pPr>
              <w:spacing w:before="60" w:line="240" w:lineRule="auto"/>
              <w:rPr>
                <w:rFonts w:cs="Arial"/>
                <w:color w:val="000000"/>
                <w:sz w:val="20"/>
                <w:szCs w:val="20"/>
              </w:rPr>
            </w:pPr>
            <w:r w:rsidRPr="00534FE1">
              <w:rPr>
                <w:rFonts w:eastAsia="Calibri" w:cs="Arial"/>
                <w:color w:val="000000"/>
                <w:sz w:val="20"/>
                <w:szCs w:val="20"/>
              </w:rPr>
              <w:t>Participe au suivi de la mise en œuvre du PAR</w:t>
            </w:r>
          </w:p>
        </w:tc>
      </w:tr>
      <w:tr w:rsidR="005F4B0D" w:rsidRPr="00534FE1" w14:paraId="278B8E97" w14:textId="77777777" w:rsidTr="008F0527">
        <w:tc>
          <w:tcPr>
            <w:tcW w:w="567" w:type="dxa"/>
            <w:shd w:val="clear" w:color="auto" w:fill="auto"/>
            <w:vAlign w:val="center"/>
          </w:tcPr>
          <w:p w14:paraId="19126545" w14:textId="77777777" w:rsidR="005F4B0D" w:rsidRPr="00534FE1" w:rsidRDefault="005F4B0D" w:rsidP="005F4B0D">
            <w:pPr>
              <w:numPr>
                <w:ilvl w:val="0"/>
                <w:numId w:val="157"/>
              </w:numPr>
              <w:spacing w:before="60" w:line="240" w:lineRule="auto"/>
              <w:rPr>
                <w:rFonts w:eastAsia="Calibri" w:cs="Arial"/>
                <w:b/>
                <w:color w:val="000000"/>
                <w:sz w:val="20"/>
                <w:szCs w:val="20"/>
              </w:rPr>
            </w:pPr>
          </w:p>
        </w:tc>
        <w:tc>
          <w:tcPr>
            <w:tcW w:w="2722" w:type="dxa"/>
            <w:shd w:val="clear" w:color="auto" w:fill="auto"/>
            <w:vAlign w:val="center"/>
          </w:tcPr>
          <w:p w14:paraId="71C3BB04" w14:textId="77777777" w:rsidR="005F4B0D" w:rsidRPr="00534FE1" w:rsidRDefault="005F4B0D" w:rsidP="008F0527">
            <w:pPr>
              <w:spacing w:before="60" w:line="240" w:lineRule="auto"/>
              <w:rPr>
                <w:rFonts w:eastAsia="Calibri" w:cs="Arial"/>
                <w:color w:val="000000"/>
                <w:sz w:val="20"/>
                <w:szCs w:val="20"/>
              </w:rPr>
            </w:pPr>
            <w:r w:rsidRPr="00534FE1">
              <w:rPr>
                <w:rFonts w:eastAsia="Calibri" w:cs="Arial"/>
                <w:color w:val="000000"/>
                <w:sz w:val="20"/>
                <w:szCs w:val="20"/>
              </w:rPr>
              <w:t>Préfecture</w:t>
            </w:r>
          </w:p>
        </w:tc>
        <w:tc>
          <w:tcPr>
            <w:tcW w:w="5783" w:type="dxa"/>
            <w:shd w:val="clear" w:color="auto" w:fill="auto"/>
          </w:tcPr>
          <w:p w14:paraId="7CEA7612" w14:textId="77777777" w:rsidR="005F4B0D" w:rsidRPr="00534FE1" w:rsidRDefault="005F4B0D" w:rsidP="008F0527">
            <w:pPr>
              <w:spacing w:before="60" w:line="240" w:lineRule="auto"/>
              <w:rPr>
                <w:rFonts w:eastAsia="Calibri" w:cs="Arial"/>
                <w:color w:val="000000"/>
                <w:sz w:val="20"/>
                <w:szCs w:val="20"/>
              </w:rPr>
            </w:pPr>
            <w:r w:rsidRPr="00534FE1">
              <w:rPr>
                <w:rFonts w:eastAsia="Calibri" w:cs="Arial"/>
                <w:color w:val="000000"/>
                <w:sz w:val="20"/>
                <w:szCs w:val="20"/>
              </w:rPr>
              <w:t>Met en place le Comité Technique de Réinstallation ;</w:t>
            </w:r>
          </w:p>
          <w:p w14:paraId="49C086DA" w14:textId="77777777" w:rsidR="005F4B0D" w:rsidRPr="00534FE1" w:rsidRDefault="005F4B0D" w:rsidP="008F0527">
            <w:pPr>
              <w:spacing w:before="60" w:line="240" w:lineRule="auto"/>
              <w:rPr>
                <w:rFonts w:eastAsia="Calibri" w:cs="Arial"/>
                <w:color w:val="000000"/>
                <w:sz w:val="20"/>
                <w:szCs w:val="20"/>
              </w:rPr>
            </w:pPr>
            <w:r w:rsidRPr="00534FE1">
              <w:rPr>
                <w:rFonts w:eastAsia="Calibri" w:cs="Arial"/>
                <w:color w:val="000000"/>
                <w:sz w:val="20"/>
                <w:szCs w:val="20"/>
              </w:rPr>
              <w:t>Participe à l’information/sensibilisation des PAP ;</w:t>
            </w:r>
          </w:p>
          <w:p w14:paraId="7A022BD7" w14:textId="77777777" w:rsidR="005F4B0D" w:rsidRPr="00534FE1" w:rsidRDefault="005F4B0D" w:rsidP="008F0527">
            <w:pPr>
              <w:spacing w:before="60" w:line="240" w:lineRule="auto"/>
              <w:rPr>
                <w:rFonts w:eastAsia="Calibri" w:cs="Arial"/>
                <w:color w:val="000000"/>
                <w:sz w:val="20"/>
                <w:szCs w:val="20"/>
              </w:rPr>
            </w:pPr>
            <w:r w:rsidRPr="00534FE1">
              <w:rPr>
                <w:rFonts w:eastAsia="Calibri" w:cs="Arial"/>
                <w:color w:val="000000"/>
                <w:sz w:val="20"/>
                <w:szCs w:val="20"/>
              </w:rPr>
              <w:t>Gère les conflits à l’amiable (avec le CTR) ;</w:t>
            </w:r>
          </w:p>
          <w:p w14:paraId="4058BE5B" w14:textId="77777777" w:rsidR="005F4B0D" w:rsidRPr="00534FE1" w:rsidRDefault="005F4B0D" w:rsidP="008F0527">
            <w:pPr>
              <w:spacing w:before="60" w:line="240" w:lineRule="auto"/>
              <w:rPr>
                <w:rFonts w:eastAsia="Calibri" w:cs="Arial"/>
                <w:color w:val="000000"/>
                <w:sz w:val="20"/>
                <w:szCs w:val="20"/>
              </w:rPr>
            </w:pPr>
            <w:r w:rsidRPr="00534FE1">
              <w:rPr>
                <w:rFonts w:eastAsia="Calibri" w:cs="Arial"/>
                <w:color w:val="000000"/>
                <w:sz w:val="20"/>
                <w:szCs w:val="20"/>
              </w:rPr>
              <w:t>Participe au suivi de la mise en œuvre du PAR</w:t>
            </w:r>
          </w:p>
        </w:tc>
      </w:tr>
      <w:tr w:rsidR="005F4B0D" w:rsidRPr="00534FE1" w14:paraId="153838DF" w14:textId="77777777" w:rsidTr="008F0527">
        <w:tc>
          <w:tcPr>
            <w:tcW w:w="567" w:type="dxa"/>
            <w:shd w:val="clear" w:color="auto" w:fill="auto"/>
            <w:vAlign w:val="center"/>
          </w:tcPr>
          <w:p w14:paraId="2FE9EF0E" w14:textId="77777777" w:rsidR="005F4B0D" w:rsidRPr="00534FE1" w:rsidRDefault="005F4B0D" w:rsidP="005F4B0D">
            <w:pPr>
              <w:numPr>
                <w:ilvl w:val="0"/>
                <w:numId w:val="157"/>
              </w:numPr>
              <w:spacing w:before="60" w:line="240" w:lineRule="auto"/>
              <w:rPr>
                <w:rFonts w:eastAsia="Calibri" w:cs="Arial"/>
                <w:b/>
                <w:color w:val="000000"/>
                <w:sz w:val="20"/>
                <w:szCs w:val="20"/>
              </w:rPr>
            </w:pPr>
          </w:p>
        </w:tc>
        <w:tc>
          <w:tcPr>
            <w:tcW w:w="2722" w:type="dxa"/>
            <w:shd w:val="clear" w:color="auto" w:fill="auto"/>
            <w:vAlign w:val="center"/>
          </w:tcPr>
          <w:p w14:paraId="3C84A867" w14:textId="77777777" w:rsidR="005F4B0D" w:rsidRPr="00534FE1" w:rsidRDefault="005F4B0D" w:rsidP="008F0527">
            <w:pPr>
              <w:spacing w:before="60" w:line="240" w:lineRule="auto"/>
              <w:rPr>
                <w:rFonts w:eastAsia="Calibri" w:cs="Arial"/>
                <w:color w:val="000000"/>
                <w:sz w:val="20"/>
                <w:szCs w:val="20"/>
              </w:rPr>
            </w:pPr>
            <w:r w:rsidRPr="00534FE1">
              <w:rPr>
                <w:rFonts w:eastAsia="Calibri" w:cs="Arial"/>
                <w:color w:val="000000"/>
                <w:sz w:val="20"/>
                <w:szCs w:val="20"/>
              </w:rPr>
              <w:t xml:space="preserve">Mairie de </w:t>
            </w:r>
            <w:r>
              <w:rPr>
                <w:rFonts w:eastAsia="Calibri" w:cs="Arial"/>
                <w:color w:val="000000"/>
                <w:sz w:val="20"/>
                <w:szCs w:val="20"/>
              </w:rPr>
              <w:t>Natitingou</w:t>
            </w:r>
          </w:p>
        </w:tc>
        <w:tc>
          <w:tcPr>
            <w:tcW w:w="5783" w:type="dxa"/>
            <w:shd w:val="clear" w:color="auto" w:fill="auto"/>
          </w:tcPr>
          <w:p w14:paraId="483D59B9" w14:textId="77777777" w:rsidR="005F4B0D" w:rsidRPr="00534FE1" w:rsidRDefault="005F4B0D" w:rsidP="008F0527">
            <w:pPr>
              <w:spacing w:before="60" w:line="240" w:lineRule="auto"/>
              <w:rPr>
                <w:rFonts w:eastAsia="Calibri" w:cs="Arial"/>
                <w:color w:val="000000"/>
                <w:sz w:val="20"/>
                <w:szCs w:val="20"/>
              </w:rPr>
            </w:pPr>
            <w:r w:rsidRPr="00534FE1">
              <w:rPr>
                <w:rFonts w:eastAsia="Calibri" w:cs="Arial"/>
                <w:color w:val="000000"/>
                <w:sz w:val="20"/>
                <w:szCs w:val="20"/>
              </w:rPr>
              <w:t>Fixe par arrêté la date butoir de recensement des PAP ;</w:t>
            </w:r>
          </w:p>
          <w:p w14:paraId="74A7F408" w14:textId="77777777" w:rsidR="005F4B0D" w:rsidRPr="00534FE1" w:rsidRDefault="005F4B0D" w:rsidP="008F0527">
            <w:pPr>
              <w:spacing w:before="60" w:line="240" w:lineRule="auto"/>
              <w:rPr>
                <w:rFonts w:eastAsia="Calibri" w:cs="Arial"/>
                <w:color w:val="000000"/>
                <w:sz w:val="20"/>
                <w:szCs w:val="20"/>
              </w:rPr>
            </w:pPr>
            <w:r w:rsidRPr="00534FE1">
              <w:rPr>
                <w:rFonts w:eastAsia="Calibri" w:cs="Arial"/>
                <w:color w:val="000000"/>
                <w:sz w:val="20"/>
                <w:szCs w:val="20"/>
              </w:rPr>
              <w:t xml:space="preserve">Propose à l’autorité préfectorale les cadres de la Mairie devant être membre du CTR ; </w:t>
            </w:r>
          </w:p>
          <w:p w14:paraId="6A49D156" w14:textId="77777777" w:rsidR="005F4B0D" w:rsidRPr="00534FE1" w:rsidRDefault="005F4B0D" w:rsidP="008F0527">
            <w:pPr>
              <w:spacing w:before="60" w:line="240" w:lineRule="auto"/>
              <w:rPr>
                <w:rFonts w:eastAsia="Calibri" w:cs="Arial"/>
                <w:color w:val="000000"/>
                <w:sz w:val="20"/>
                <w:szCs w:val="20"/>
              </w:rPr>
            </w:pPr>
            <w:r w:rsidRPr="00534FE1">
              <w:rPr>
                <w:rFonts w:eastAsia="Calibri" w:cs="Arial"/>
                <w:color w:val="000000"/>
                <w:sz w:val="20"/>
                <w:szCs w:val="20"/>
              </w:rPr>
              <w:t>Participe à l’information/sensibilisation des PAP ;</w:t>
            </w:r>
          </w:p>
          <w:p w14:paraId="2CF0C8F4" w14:textId="77777777" w:rsidR="005F4B0D" w:rsidRPr="00534FE1" w:rsidRDefault="005F4B0D" w:rsidP="008F0527">
            <w:pPr>
              <w:spacing w:before="60" w:line="240" w:lineRule="auto"/>
              <w:rPr>
                <w:rFonts w:eastAsia="Calibri" w:cs="Arial"/>
                <w:color w:val="000000"/>
                <w:sz w:val="20"/>
                <w:szCs w:val="20"/>
              </w:rPr>
            </w:pPr>
            <w:r w:rsidRPr="00534FE1">
              <w:rPr>
                <w:rFonts w:eastAsia="Calibri" w:cs="Arial"/>
                <w:color w:val="000000"/>
                <w:sz w:val="20"/>
                <w:szCs w:val="20"/>
              </w:rPr>
              <w:t>Constate l’effectivité de la libération des emprises et rend compte au Préfet ;</w:t>
            </w:r>
          </w:p>
          <w:p w14:paraId="2C5A0405" w14:textId="77777777" w:rsidR="005F4B0D" w:rsidRPr="00534FE1" w:rsidRDefault="005F4B0D" w:rsidP="008F0527">
            <w:pPr>
              <w:spacing w:before="60" w:line="240" w:lineRule="auto"/>
              <w:rPr>
                <w:rFonts w:eastAsia="Calibri" w:cs="Arial"/>
                <w:color w:val="000000"/>
                <w:sz w:val="20"/>
                <w:szCs w:val="20"/>
              </w:rPr>
            </w:pPr>
            <w:r w:rsidRPr="00534FE1">
              <w:rPr>
                <w:rFonts w:eastAsia="Calibri" w:cs="Arial"/>
                <w:color w:val="000000"/>
                <w:sz w:val="20"/>
                <w:szCs w:val="20"/>
              </w:rPr>
              <w:t>Règle les conflits à l’amiable ;</w:t>
            </w:r>
          </w:p>
          <w:p w14:paraId="14590351" w14:textId="77777777" w:rsidR="005F4B0D" w:rsidRPr="00534FE1" w:rsidRDefault="005F4B0D" w:rsidP="008F0527">
            <w:pPr>
              <w:spacing w:before="60" w:line="240" w:lineRule="auto"/>
              <w:rPr>
                <w:rFonts w:eastAsia="Calibri" w:cs="Arial"/>
                <w:color w:val="000000"/>
                <w:sz w:val="20"/>
                <w:szCs w:val="20"/>
              </w:rPr>
            </w:pPr>
            <w:r w:rsidRPr="00534FE1">
              <w:rPr>
                <w:rFonts w:eastAsia="Calibri" w:cs="Arial"/>
                <w:color w:val="000000"/>
                <w:sz w:val="20"/>
                <w:szCs w:val="20"/>
              </w:rPr>
              <w:t>Met en place le Comité Local de Réinstallation au niveau de chaque arrondissement</w:t>
            </w:r>
          </w:p>
          <w:p w14:paraId="35E1098D" w14:textId="77777777" w:rsidR="005F4B0D" w:rsidRPr="00534FE1" w:rsidRDefault="005F4B0D" w:rsidP="008F0527">
            <w:pPr>
              <w:spacing w:before="60" w:line="240" w:lineRule="auto"/>
              <w:rPr>
                <w:rFonts w:eastAsia="Calibri" w:cs="Arial"/>
                <w:color w:val="000000"/>
                <w:sz w:val="20"/>
                <w:szCs w:val="20"/>
              </w:rPr>
            </w:pPr>
            <w:r w:rsidRPr="00534FE1">
              <w:rPr>
                <w:rFonts w:eastAsia="Calibri" w:cs="Arial"/>
                <w:color w:val="000000"/>
                <w:sz w:val="20"/>
                <w:szCs w:val="20"/>
              </w:rPr>
              <w:t>Participe au suivi de la mise en œuvre du PAR;</w:t>
            </w:r>
          </w:p>
        </w:tc>
      </w:tr>
      <w:tr w:rsidR="005F4B0D" w:rsidRPr="00534FE1" w14:paraId="0DA35E55" w14:textId="77777777" w:rsidTr="008F0527">
        <w:tc>
          <w:tcPr>
            <w:tcW w:w="567" w:type="dxa"/>
            <w:shd w:val="clear" w:color="auto" w:fill="auto"/>
            <w:vAlign w:val="center"/>
          </w:tcPr>
          <w:p w14:paraId="28EA83E7" w14:textId="77777777" w:rsidR="005F4B0D" w:rsidRPr="00534FE1" w:rsidRDefault="005F4B0D" w:rsidP="005F4B0D">
            <w:pPr>
              <w:numPr>
                <w:ilvl w:val="0"/>
                <w:numId w:val="157"/>
              </w:numPr>
              <w:spacing w:before="60" w:line="240" w:lineRule="auto"/>
              <w:rPr>
                <w:rFonts w:eastAsia="Calibri" w:cs="Arial"/>
                <w:b/>
                <w:color w:val="000000"/>
                <w:sz w:val="20"/>
                <w:szCs w:val="20"/>
              </w:rPr>
            </w:pPr>
          </w:p>
        </w:tc>
        <w:tc>
          <w:tcPr>
            <w:tcW w:w="2722" w:type="dxa"/>
            <w:shd w:val="clear" w:color="auto" w:fill="auto"/>
            <w:vAlign w:val="center"/>
          </w:tcPr>
          <w:p w14:paraId="47D2F3EF" w14:textId="77777777" w:rsidR="005F4B0D" w:rsidRPr="00534FE1" w:rsidRDefault="005F4B0D" w:rsidP="008F0527">
            <w:pPr>
              <w:spacing w:before="60" w:line="240" w:lineRule="auto"/>
              <w:rPr>
                <w:rFonts w:eastAsia="Calibri" w:cs="Arial"/>
                <w:color w:val="000000"/>
                <w:sz w:val="20"/>
                <w:szCs w:val="20"/>
              </w:rPr>
            </w:pPr>
            <w:r w:rsidRPr="00534FE1">
              <w:rPr>
                <w:rFonts w:eastAsia="Calibri" w:cs="Arial"/>
                <w:color w:val="000000"/>
                <w:sz w:val="20"/>
                <w:szCs w:val="20"/>
              </w:rPr>
              <w:t>Arrondissement</w:t>
            </w:r>
          </w:p>
        </w:tc>
        <w:tc>
          <w:tcPr>
            <w:tcW w:w="5783" w:type="dxa"/>
            <w:shd w:val="clear" w:color="auto" w:fill="auto"/>
          </w:tcPr>
          <w:p w14:paraId="02E4E873" w14:textId="77777777" w:rsidR="005F4B0D" w:rsidRPr="00534FE1" w:rsidRDefault="005F4B0D" w:rsidP="008F0527">
            <w:pPr>
              <w:spacing w:before="60" w:line="240" w:lineRule="auto"/>
              <w:rPr>
                <w:rFonts w:eastAsia="Calibri" w:cs="Arial"/>
                <w:color w:val="000000"/>
                <w:sz w:val="20"/>
                <w:szCs w:val="20"/>
              </w:rPr>
            </w:pPr>
            <w:r w:rsidRPr="00534FE1">
              <w:rPr>
                <w:rFonts w:eastAsia="Calibri" w:cs="Arial"/>
                <w:color w:val="000000"/>
                <w:sz w:val="20"/>
                <w:szCs w:val="20"/>
              </w:rPr>
              <w:t>Participe à l’information/sensibilisation des PAP ;</w:t>
            </w:r>
          </w:p>
          <w:p w14:paraId="22B64857" w14:textId="77777777" w:rsidR="005F4B0D" w:rsidRPr="00534FE1" w:rsidRDefault="005F4B0D" w:rsidP="008F0527">
            <w:pPr>
              <w:spacing w:before="60" w:line="240" w:lineRule="auto"/>
              <w:rPr>
                <w:rFonts w:eastAsia="Calibri" w:cs="Arial"/>
                <w:color w:val="000000"/>
                <w:sz w:val="20"/>
                <w:szCs w:val="20"/>
              </w:rPr>
            </w:pPr>
            <w:r w:rsidRPr="00534FE1">
              <w:rPr>
                <w:rFonts w:eastAsia="Calibri" w:cs="Arial"/>
                <w:color w:val="000000"/>
                <w:sz w:val="20"/>
                <w:szCs w:val="20"/>
              </w:rPr>
              <w:lastRenderedPageBreak/>
              <w:t>Constate l’effectivité de la libération des emprises et rend compte au Maire ;</w:t>
            </w:r>
          </w:p>
          <w:p w14:paraId="4601ECCD" w14:textId="77777777" w:rsidR="005F4B0D" w:rsidRPr="00534FE1" w:rsidRDefault="005F4B0D" w:rsidP="008F0527">
            <w:pPr>
              <w:spacing w:before="60" w:line="240" w:lineRule="auto"/>
              <w:rPr>
                <w:rFonts w:eastAsia="Calibri" w:cs="Arial"/>
                <w:color w:val="000000"/>
                <w:sz w:val="20"/>
                <w:szCs w:val="20"/>
              </w:rPr>
            </w:pPr>
            <w:r w:rsidRPr="00534FE1">
              <w:rPr>
                <w:rFonts w:eastAsia="Calibri" w:cs="Arial"/>
                <w:color w:val="000000"/>
                <w:sz w:val="20"/>
                <w:szCs w:val="20"/>
              </w:rPr>
              <w:t>Règle les conflits mineurs ;</w:t>
            </w:r>
          </w:p>
          <w:p w14:paraId="52E651FB" w14:textId="77777777" w:rsidR="005F4B0D" w:rsidRPr="00534FE1" w:rsidRDefault="005F4B0D" w:rsidP="008F0527">
            <w:pPr>
              <w:spacing w:before="60" w:line="240" w:lineRule="auto"/>
              <w:rPr>
                <w:rFonts w:eastAsia="Calibri" w:cs="Arial"/>
                <w:color w:val="000000"/>
                <w:sz w:val="20"/>
                <w:szCs w:val="20"/>
              </w:rPr>
            </w:pPr>
            <w:r w:rsidRPr="00534FE1">
              <w:rPr>
                <w:rFonts w:eastAsia="Calibri" w:cs="Arial"/>
                <w:color w:val="000000"/>
                <w:sz w:val="20"/>
                <w:szCs w:val="20"/>
              </w:rPr>
              <w:t>Assure le rapportage du Comité local de réinstallation du PAR ;</w:t>
            </w:r>
          </w:p>
          <w:p w14:paraId="68E3FE65" w14:textId="77777777" w:rsidR="005F4B0D" w:rsidRPr="00534FE1" w:rsidRDefault="005F4B0D" w:rsidP="008F0527">
            <w:pPr>
              <w:spacing w:before="60" w:line="240" w:lineRule="auto"/>
              <w:rPr>
                <w:rFonts w:eastAsia="Calibri" w:cs="Arial"/>
                <w:color w:val="000000"/>
                <w:sz w:val="20"/>
                <w:szCs w:val="20"/>
              </w:rPr>
            </w:pPr>
            <w:r w:rsidRPr="00534FE1">
              <w:rPr>
                <w:rFonts w:eastAsia="Calibri" w:cs="Arial"/>
                <w:color w:val="000000"/>
                <w:sz w:val="20"/>
                <w:szCs w:val="20"/>
              </w:rPr>
              <w:t>Participe au suivi de la mise en œuvre du PAR.</w:t>
            </w:r>
          </w:p>
        </w:tc>
      </w:tr>
      <w:tr w:rsidR="005F4B0D" w:rsidRPr="00534FE1" w14:paraId="768D80D4" w14:textId="77777777" w:rsidTr="008F0527">
        <w:tc>
          <w:tcPr>
            <w:tcW w:w="567" w:type="dxa"/>
            <w:shd w:val="clear" w:color="auto" w:fill="auto"/>
            <w:vAlign w:val="center"/>
          </w:tcPr>
          <w:p w14:paraId="4F669D19" w14:textId="77777777" w:rsidR="005F4B0D" w:rsidRPr="00534FE1" w:rsidRDefault="005F4B0D" w:rsidP="005F4B0D">
            <w:pPr>
              <w:numPr>
                <w:ilvl w:val="0"/>
                <w:numId w:val="157"/>
              </w:numPr>
              <w:spacing w:before="60" w:line="240" w:lineRule="auto"/>
              <w:rPr>
                <w:rFonts w:eastAsia="Calibri" w:cs="Arial"/>
                <w:b/>
                <w:color w:val="000000"/>
                <w:sz w:val="20"/>
                <w:szCs w:val="20"/>
              </w:rPr>
            </w:pPr>
          </w:p>
        </w:tc>
        <w:tc>
          <w:tcPr>
            <w:tcW w:w="2722" w:type="dxa"/>
            <w:shd w:val="clear" w:color="auto" w:fill="auto"/>
            <w:vAlign w:val="center"/>
          </w:tcPr>
          <w:p w14:paraId="2EA5A718" w14:textId="77777777" w:rsidR="005F4B0D" w:rsidRPr="00534FE1" w:rsidRDefault="005F4B0D" w:rsidP="008F0527">
            <w:pPr>
              <w:spacing w:before="60" w:line="240" w:lineRule="auto"/>
              <w:rPr>
                <w:rFonts w:eastAsia="Calibri" w:cs="Arial"/>
                <w:color w:val="000000"/>
                <w:sz w:val="20"/>
                <w:szCs w:val="20"/>
              </w:rPr>
            </w:pPr>
            <w:r w:rsidRPr="00534FE1">
              <w:rPr>
                <w:rFonts w:eastAsia="Calibri" w:cs="Arial"/>
                <w:color w:val="000000"/>
                <w:sz w:val="20"/>
                <w:szCs w:val="20"/>
              </w:rPr>
              <w:t>Pool d’experts PAPVS (ACVDT)</w:t>
            </w:r>
          </w:p>
        </w:tc>
        <w:tc>
          <w:tcPr>
            <w:tcW w:w="5783" w:type="dxa"/>
            <w:shd w:val="clear" w:color="auto" w:fill="auto"/>
          </w:tcPr>
          <w:p w14:paraId="2408037C" w14:textId="77777777" w:rsidR="005F4B0D" w:rsidRPr="00534FE1" w:rsidRDefault="005F4B0D" w:rsidP="008F0527">
            <w:pPr>
              <w:spacing w:before="60" w:line="240" w:lineRule="auto"/>
              <w:rPr>
                <w:rFonts w:eastAsia="Calibri" w:cs="Arial"/>
                <w:color w:val="000000"/>
                <w:sz w:val="20"/>
                <w:szCs w:val="20"/>
              </w:rPr>
            </w:pPr>
            <w:r w:rsidRPr="00534FE1">
              <w:rPr>
                <w:rFonts w:eastAsia="Calibri" w:cs="Arial"/>
                <w:color w:val="000000"/>
                <w:sz w:val="20"/>
                <w:szCs w:val="20"/>
              </w:rPr>
              <w:t>Chargée de réviser périodiquement le PAR avant et pendant sa mise en œuvre ;</w:t>
            </w:r>
          </w:p>
          <w:p w14:paraId="627A75A0" w14:textId="77777777" w:rsidR="005F4B0D" w:rsidRPr="00534FE1" w:rsidRDefault="005F4B0D" w:rsidP="008F0527">
            <w:pPr>
              <w:spacing w:before="60" w:line="240" w:lineRule="auto"/>
              <w:rPr>
                <w:rFonts w:eastAsia="Calibri" w:cs="Arial"/>
                <w:color w:val="000000"/>
                <w:sz w:val="20"/>
                <w:szCs w:val="20"/>
              </w:rPr>
            </w:pPr>
            <w:r w:rsidRPr="00534FE1">
              <w:rPr>
                <w:rFonts w:eastAsia="Calibri" w:cs="Arial"/>
                <w:color w:val="000000"/>
                <w:sz w:val="20"/>
                <w:szCs w:val="20"/>
              </w:rPr>
              <w:t>Suit les différentes activités de la mise en œuvre du PAR</w:t>
            </w:r>
          </w:p>
          <w:p w14:paraId="0EFF6334" w14:textId="77777777" w:rsidR="005F4B0D" w:rsidRPr="00534FE1" w:rsidRDefault="005F4B0D" w:rsidP="008F0527">
            <w:pPr>
              <w:spacing w:before="60" w:line="240" w:lineRule="auto"/>
              <w:rPr>
                <w:rFonts w:eastAsia="Calibri" w:cs="Arial"/>
                <w:color w:val="000000"/>
                <w:sz w:val="20"/>
                <w:szCs w:val="20"/>
              </w:rPr>
            </w:pPr>
            <w:r w:rsidRPr="00534FE1">
              <w:rPr>
                <w:rFonts w:eastAsia="Calibri" w:cs="Arial"/>
                <w:color w:val="000000"/>
                <w:sz w:val="20"/>
                <w:szCs w:val="20"/>
              </w:rPr>
              <w:t>Participe à l’approbation du rapport de mise ne œuvre et de suivi du PAR</w:t>
            </w:r>
          </w:p>
        </w:tc>
      </w:tr>
      <w:tr w:rsidR="005F4B0D" w:rsidRPr="00534FE1" w14:paraId="1C876C56" w14:textId="77777777" w:rsidTr="008F0527">
        <w:tc>
          <w:tcPr>
            <w:tcW w:w="567" w:type="dxa"/>
            <w:shd w:val="clear" w:color="auto" w:fill="auto"/>
            <w:vAlign w:val="center"/>
          </w:tcPr>
          <w:p w14:paraId="2D943509" w14:textId="77777777" w:rsidR="005F4B0D" w:rsidRPr="00534FE1" w:rsidRDefault="005F4B0D" w:rsidP="005F4B0D">
            <w:pPr>
              <w:numPr>
                <w:ilvl w:val="0"/>
                <w:numId w:val="157"/>
              </w:numPr>
              <w:spacing w:before="60" w:line="240" w:lineRule="auto"/>
              <w:rPr>
                <w:rFonts w:eastAsia="Calibri" w:cs="Arial"/>
                <w:b/>
                <w:color w:val="000000"/>
                <w:sz w:val="20"/>
                <w:szCs w:val="20"/>
              </w:rPr>
            </w:pPr>
          </w:p>
        </w:tc>
        <w:tc>
          <w:tcPr>
            <w:tcW w:w="2722" w:type="dxa"/>
            <w:shd w:val="clear" w:color="auto" w:fill="auto"/>
            <w:vAlign w:val="center"/>
          </w:tcPr>
          <w:p w14:paraId="29C36307" w14:textId="77777777" w:rsidR="005F4B0D" w:rsidRPr="00534FE1" w:rsidRDefault="005F4B0D" w:rsidP="008F0527">
            <w:pPr>
              <w:spacing w:before="60" w:line="240" w:lineRule="auto"/>
              <w:rPr>
                <w:rFonts w:eastAsia="Calibri" w:cs="Arial"/>
                <w:color w:val="000000"/>
                <w:sz w:val="20"/>
                <w:szCs w:val="20"/>
              </w:rPr>
            </w:pPr>
            <w:r w:rsidRPr="00534FE1">
              <w:rPr>
                <w:rFonts w:eastAsia="Calibri" w:cs="Arial"/>
                <w:color w:val="000000"/>
                <w:sz w:val="20"/>
                <w:szCs w:val="20"/>
              </w:rPr>
              <w:t xml:space="preserve">ABE    </w:t>
            </w:r>
          </w:p>
        </w:tc>
        <w:tc>
          <w:tcPr>
            <w:tcW w:w="5783" w:type="dxa"/>
            <w:shd w:val="clear" w:color="auto" w:fill="auto"/>
          </w:tcPr>
          <w:p w14:paraId="47BAC554" w14:textId="77777777" w:rsidR="005F4B0D" w:rsidRPr="00534FE1" w:rsidRDefault="005F4B0D" w:rsidP="008F0527">
            <w:pPr>
              <w:spacing w:before="60" w:line="240" w:lineRule="auto"/>
              <w:rPr>
                <w:rFonts w:eastAsia="Calibri" w:cs="Arial"/>
                <w:color w:val="000000"/>
                <w:sz w:val="20"/>
                <w:szCs w:val="20"/>
              </w:rPr>
            </w:pPr>
            <w:r w:rsidRPr="00534FE1">
              <w:rPr>
                <w:rFonts w:eastAsia="Calibri" w:cs="Arial"/>
                <w:color w:val="000000"/>
                <w:sz w:val="20"/>
                <w:szCs w:val="20"/>
              </w:rPr>
              <w:t xml:space="preserve">Chargée de la mise en œuvre de la politique environnementale définie par le Gouvernement dans le cadre du plan général de développement ; </w:t>
            </w:r>
          </w:p>
          <w:p w14:paraId="633113C9" w14:textId="77777777" w:rsidR="005F4B0D" w:rsidRPr="00534FE1" w:rsidRDefault="005F4B0D" w:rsidP="008F0527">
            <w:pPr>
              <w:spacing w:before="60" w:line="240" w:lineRule="auto"/>
              <w:rPr>
                <w:rFonts w:eastAsia="Calibri" w:cs="Arial"/>
                <w:color w:val="000000"/>
                <w:sz w:val="20"/>
                <w:szCs w:val="20"/>
              </w:rPr>
            </w:pPr>
            <w:r w:rsidRPr="00534FE1">
              <w:rPr>
                <w:rFonts w:eastAsia="Calibri" w:cs="Arial"/>
                <w:color w:val="000000"/>
                <w:sz w:val="20"/>
                <w:szCs w:val="20"/>
              </w:rPr>
              <w:t xml:space="preserve">Gère toutes les procédures d’évaluations environnementales et elle est légalement responsable de la validation des Etudes d'Impact Environnemental (EIE) et autres types d’évaluations environnementales au Bénin. </w:t>
            </w:r>
          </w:p>
          <w:p w14:paraId="6CD0F1EA" w14:textId="77777777" w:rsidR="005F4B0D" w:rsidRPr="00534FE1" w:rsidRDefault="005F4B0D" w:rsidP="008F0527">
            <w:pPr>
              <w:spacing w:before="60" w:line="240" w:lineRule="auto"/>
              <w:rPr>
                <w:rFonts w:eastAsia="Calibri" w:cs="Arial"/>
                <w:color w:val="000000"/>
                <w:sz w:val="20"/>
                <w:szCs w:val="20"/>
              </w:rPr>
            </w:pPr>
            <w:r w:rsidRPr="00534FE1">
              <w:rPr>
                <w:rFonts w:eastAsia="Calibri" w:cs="Arial"/>
                <w:color w:val="000000"/>
                <w:sz w:val="20"/>
                <w:szCs w:val="20"/>
              </w:rPr>
              <w:t>Intervient également dans le suivi de la mise en œuvre du PAR.</w:t>
            </w:r>
          </w:p>
          <w:p w14:paraId="26DD8D6E" w14:textId="77777777" w:rsidR="005F4B0D" w:rsidRPr="00534FE1" w:rsidRDefault="005F4B0D" w:rsidP="008F0527">
            <w:pPr>
              <w:spacing w:before="60" w:line="240" w:lineRule="auto"/>
              <w:rPr>
                <w:rFonts w:eastAsia="Calibri" w:cs="Arial"/>
                <w:color w:val="000000"/>
                <w:sz w:val="20"/>
                <w:szCs w:val="20"/>
              </w:rPr>
            </w:pPr>
            <w:r w:rsidRPr="00534FE1">
              <w:rPr>
                <w:rFonts w:eastAsia="Calibri" w:cs="Arial"/>
                <w:color w:val="000000"/>
                <w:sz w:val="20"/>
                <w:szCs w:val="20"/>
              </w:rPr>
              <w:t>Participe à l’approbation du rapport de suivi du PAR</w:t>
            </w:r>
          </w:p>
        </w:tc>
      </w:tr>
      <w:tr w:rsidR="005F4B0D" w:rsidRPr="00534FE1" w14:paraId="7120A059" w14:textId="77777777" w:rsidTr="008F0527">
        <w:tc>
          <w:tcPr>
            <w:tcW w:w="567" w:type="dxa"/>
            <w:shd w:val="clear" w:color="auto" w:fill="auto"/>
            <w:vAlign w:val="center"/>
          </w:tcPr>
          <w:p w14:paraId="1253DBA3" w14:textId="77777777" w:rsidR="005F4B0D" w:rsidRPr="00534FE1" w:rsidRDefault="005F4B0D" w:rsidP="005F4B0D">
            <w:pPr>
              <w:numPr>
                <w:ilvl w:val="0"/>
                <w:numId w:val="157"/>
              </w:numPr>
              <w:spacing w:before="60" w:line="240" w:lineRule="auto"/>
              <w:rPr>
                <w:rFonts w:eastAsia="Calibri" w:cs="Arial"/>
                <w:b/>
                <w:color w:val="000000"/>
                <w:sz w:val="20"/>
                <w:szCs w:val="20"/>
              </w:rPr>
            </w:pPr>
          </w:p>
        </w:tc>
        <w:tc>
          <w:tcPr>
            <w:tcW w:w="2722" w:type="dxa"/>
            <w:shd w:val="clear" w:color="auto" w:fill="auto"/>
            <w:vAlign w:val="center"/>
          </w:tcPr>
          <w:p w14:paraId="361DBF20" w14:textId="77777777" w:rsidR="005F4B0D" w:rsidRPr="00534FE1" w:rsidRDefault="005F4B0D" w:rsidP="008F0527">
            <w:pPr>
              <w:spacing w:before="60" w:line="240" w:lineRule="auto"/>
              <w:rPr>
                <w:rFonts w:eastAsia="Calibri" w:cs="Arial"/>
                <w:color w:val="000000"/>
                <w:sz w:val="20"/>
                <w:szCs w:val="20"/>
              </w:rPr>
            </w:pPr>
            <w:r w:rsidRPr="00534FE1">
              <w:rPr>
                <w:rFonts w:eastAsia="Calibri" w:cs="Arial"/>
                <w:color w:val="000000"/>
                <w:sz w:val="20"/>
                <w:szCs w:val="20"/>
              </w:rPr>
              <w:t>Consultant chargé suivi-évaluation externe</w:t>
            </w:r>
          </w:p>
        </w:tc>
        <w:tc>
          <w:tcPr>
            <w:tcW w:w="5783" w:type="dxa"/>
            <w:shd w:val="clear" w:color="auto" w:fill="auto"/>
          </w:tcPr>
          <w:p w14:paraId="2E3A1055" w14:textId="77777777" w:rsidR="005F4B0D" w:rsidRPr="00534FE1" w:rsidRDefault="005F4B0D" w:rsidP="008F0527">
            <w:pPr>
              <w:spacing w:before="60" w:line="240" w:lineRule="auto"/>
              <w:rPr>
                <w:rFonts w:eastAsia="Calibri" w:cs="Arial"/>
                <w:color w:val="000000"/>
                <w:sz w:val="20"/>
                <w:szCs w:val="20"/>
                <w:lang w:eastAsia="fr-FR"/>
              </w:rPr>
            </w:pPr>
            <w:r w:rsidRPr="00534FE1">
              <w:rPr>
                <w:rFonts w:eastAsia="Calibri" w:cs="Arial"/>
                <w:color w:val="000000"/>
                <w:sz w:val="20"/>
                <w:szCs w:val="20"/>
                <w:lang w:eastAsia="fr-FR"/>
              </w:rPr>
              <w:t>Suit la mise en place du CTR/CLR</w:t>
            </w:r>
          </w:p>
          <w:p w14:paraId="04916154" w14:textId="77777777" w:rsidR="005F4B0D" w:rsidRPr="00534FE1" w:rsidRDefault="005F4B0D" w:rsidP="008F0527">
            <w:pPr>
              <w:spacing w:before="60" w:line="240" w:lineRule="auto"/>
              <w:rPr>
                <w:rFonts w:eastAsia="Calibri" w:cs="Arial"/>
                <w:color w:val="000000"/>
                <w:sz w:val="20"/>
                <w:szCs w:val="20"/>
                <w:lang w:eastAsia="fr-FR"/>
              </w:rPr>
            </w:pPr>
            <w:r w:rsidRPr="00534FE1">
              <w:rPr>
                <w:rFonts w:eastAsia="Calibri" w:cs="Arial"/>
                <w:color w:val="000000"/>
                <w:sz w:val="20"/>
                <w:szCs w:val="20"/>
                <w:lang w:eastAsia="fr-FR"/>
              </w:rPr>
              <w:t>Suit la signature des protocoles d’accord</w:t>
            </w:r>
          </w:p>
          <w:p w14:paraId="584F7BD3" w14:textId="77777777" w:rsidR="005F4B0D" w:rsidRPr="00534FE1" w:rsidRDefault="005F4B0D" w:rsidP="008F0527">
            <w:pPr>
              <w:spacing w:before="60" w:line="240" w:lineRule="auto"/>
              <w:rPr>
                <w:rFonts w:eastAsia="Calibri" w:cs="Arial"/>
                <w:color w:val="000000"/>
                <w:sz w:val="20"/>
                <w:szCs w:val="20"/>
                <w:lang w:eastAsia="fr-FR"/>
              </w:rPr>
            </w:pPr>
            <w:r w:rsidRPr="00534FE1">
              <w:rPr>
                <w:rFonts w:eastAsia="Calibri" w:cs="Arial"/>
                <w:color w:val="000000"/>
                <w:sz w:val="20"/>
                <w:szCs w:val="20"/>
                <w:lang w:eastAsia="fr-FR"/>
              </w:rPr>
              <w:t>Suit le payement des indemnisations</w:t>
            </w:r>
          </w:p>
          <w:p w14:paraId="7C4E4336" w14:textId="77777777" w:rsidR="005F4B0D" w:rsidRPr="00534FE1" w:rsidRDefault="005F4B0D" w:rsidP="008F0527">
            <w:pPr>
              <w:spacing w:before="60" w:line="240" w:lineRule="auto"/>
              <w:rPr>
                <w:rFonts w:eastAsia="Calibri" w:cs="Arial"/>
                <w:color w:val="000000"/>
                <w:sz w:val="20"/>
                <w:szCs w:val="20"/>
              </w:rPr>
            </w:pPr>
            <w:r w:rsidRPr="00534FE1">
              <w:rPr>
                <w:rFonts w:eastAsia="Calibri" w:cs="Arial"/>
                <w:color w:val="000000"/>
                <w:sz w:val="20"/>
                <w:szCs w:val="20"/>
              </w:rPr>
              <w:t>Suit la gestion des plaintes</w:t>
            </w:r>
          </w:p>
          <w:p w14:paraId="61756E98" w14:textId="77777777" w:rsidR="005F4B0D" w:rsidRPr="00534FE1" w:rsidRDefault="005F4B0D" w:rsidP="008F0527">
            <w:pPr>
              <w:spacing w:before="60" w:line="240" w:lineRule="auto"/>
              <w:rPr>
                <w:rFonts w:eastAsia="Calibri" w:cs="Arial"/>
                <w:color w:val="000000"/>
                <w:sz w:val="20"/>
                <w:szCs w:val="20"/>
              </w:rPr>
            </w:pPr>
            <w:r w:rsidRPr="00534FE1">
              <w:rPr>
                <w:rFonts w:eastAsia="Calibri" w:cs="Arial"/>
                <w:color w:val="000000"/>
                <w:sz w:val="20"/>
                <w:szCs w:val="20"/>
              </w:rPr>
              <w:t xml:space="preserve">Rédige le rapport de mise en œuvre et de suivi du PAR </w:t>
            </w:r>
          </w:p>
        </w:tc>
      </w:tr>
      <w:tr w:rsidR="005F4B0D" w:rsidRPr="00534FE1" w14:paraId="7C8BD07A" w14:textId="77777777" w:rsidTr="008F0527">
        <w:tc>
          <w:tcPr>
            <w:tcW w:w="567" w:type="dxa"/>
            <w:shd w:val="clear" w:color="auto" w:fill="auto"/>
            <w:vAlign w:val="center"/>
          </w:tcPr>
          <w:p w14:paraId="0BB45C17" w14:textId="77777777" w:rsidR="005F4B0D" w:rsidRPr="00534FE1" w:rsidRDefault="005F4B0D" w:rsidP="005F4B0D">
            <w:pPr>
              <w:numPr>
                <w:ilvl w:val="0"/>
                <w:numId w:val="157"/>
              </w:numPr>
              <w:spacing w:before="60" w:line="240" w:lineRule="auto"/>
              <w:rPr>
                <w:rFonts w:eastAsia="Calibri" w:cs="Arial"/>
                <w:b/>
                <w:color w:val="000000"/>
                <w:sz w:val="20"/>
                <w:szCs w:val="20"/>
              </w:rPr>
            </w:pPr>
          </w:p>
        </w:tc>
        <w:tc>
          <w:tcPr>
            <w:tcW w:w="2722" w:type="dxa"/>
            <w:shd w:val="clear" w:color="auto" w:fill="auto"/>
            <w:vAlign w:val="bottom"/>
          </w:tcPr>
          <w:p w14:paraId="213D853F" w14:textId="77777777" w:rsidR="005F4B0D" w:rsidRPr="00534FE1" w:rsidRDefault="005F4B0D" w:rsidP="008F0527">
            <w:pPr>
              <w:spacing w:before="60" w:line="240" w:lineRule="auto"/>
              <w:rPr>
                <w:rFonts w:eastAsia="Calibri" w:cs="Arial"/>
                <w:color w:val="000000"/>
                <w:sz w:val="20"/>
                <w:szCs w:val="20"/>
              </w:rPr>
            </w:pPr>
            <w:r w:rsidRPr="00534FE1">
              <w:rPr>
                <w:rFonts w:eastAsia="Calibri" w:cs="Arial"/>
                <w:color w:val="000000"/>
                <w:sz w:val="20"/>
                <w:szCs w:val="20"/>
              </w:rPr>
              <w:t xml:space="preserve"> ONG</w:t>
            </w:r>
          </w:p>
        </w:tc>
        <w:tc>
          <w:tcPr>
            <w:tcW w:w="5783" w:type="dxa"/>
            <w:shd w:val="clear" w:color="auto" w:fill="auto"/>
          </w:tcPr>
          <w:p w14:paraId="502D7FC7" w14:textId="77777777" w:rsidR="005F4B0D" w:rsidRPr="00534FE1" w:rsidRDefault="005F4B0D" w:rsidP="008F0527">
            <w:pPr>
              <w:spacing w:before="60" w:line="240" w:lineRule="auto"/>
              <w:rPr>
                <w:rFonts w:eastAsia="Calibri" w:cs="Arial"/>
                <w:color w:val="000000"/>
                <w:sz w:val="20"/>
                <w:szCs w:val="20"/>
              </w:rPr>
            </w:pPr>
            <w:r w:rsidRPr="00534FE1">
              <w:rPr>
                <w:rFonts w:eastAsia="Calibri" w:cs="Arial"/>
                <w:color w:val="000000"/>
                <w:sz w:val="20"/>
                <w:szCs w:val="20"/>
              </w:rPr>
              <w:t xml:space="preserve"> Intervient dans la médiation, le renforcement des capacités</w:t>
            </w:r>
          </w:p>
        </w:tc>
      </w:tr>
      <w:tr w:rsidR="005F4B0D" w:rsidRPr="00534FE1" w14:paraId="2B5E3C19" w14:textId="77777777" w:rsidTr="008F0527">
        <w:tc>
          <w:tcPr>
            <w:tcW w:w="567" w:type="dxa"/>
            <w:shd w:val="clear" w:color="auto" w:fill="auto"/>
            <w:vAlign w:val="center"/>
          </w:tcPr>
          <w:p w14:paraId="1AC9DAB3" w14:textId="77777777" w:rsidR="005F4B0D" w:rsidRPr="00534FE1" w:rsidRDefault="005F4B0D" w:rsidP="005F4B0D">
            <w:pPr>
              <w:numPr>
                <w:ilvl w:val="0"/>
                <w:numId w:val="157"/>
              </w:numPr>
              <w:spacing w:before="60" w:line="240" w:lineRule="auto"/>
              <w:rPr>
                <w:rFonts w:eastAsia="Calibri" w:cs="Arial"/>
                <w:b/>
                <w:color w:val="000000"/>
                <w:sz w:val="20"/>
                <w:szCs w:val="20"/>
              </w:rPr>
            </w:pPr>
          </w:p>
        </w:tc>
        <w:tc>
          <w:tcPr>
            <w:tcW w:w="2722" w:type="dxa"/>
            <w:shd w:val="clear" w:color="auto" w:fill="auto"/>
            <w:vAlign w:val="bottom"/>
          </w:tcPr>
          <w:p w14:paraId="4CD7BA9A" w14:textId="77777777" w:rsidR="005F4B0D" w:rsidRPr="00534FE1" w:rsidRDefault="005F4B0D" w:rsidP="008F0527">
            <w:pPr>
              <w:spacing w:before="60" w:line="240" w:lineRule="auto"/>
              <w:rPr>
                <w:rFonts w:eastAsia="Calibri" w:cs="Arial"/>
                <w:color w:val="000000"/>
                <w:sz w:val="20"/>
                <w:szCs w:val="20"/>
              </w:rPr>
            </w:pPr>
            <w:r w:rsidRPr="00534FE1">
              <w:rPr>
                <w:rFonts w:eastAsia="Calibri" w:cs="Arial"/>
                <w:color w:val="000000"/>
                <w:sz w:val="20"/>
                <w:szCs w:val="20"/>
              </w:rPr>
              <w:t xml:space="preserve"> Ministère de la Justice </w:t>
            </w:r>
            <w:r w:rsidRPr="00534FE1">
              <w:rPr>
                <w:rFonts w:eastAsia="Calibri" w:cs="Arial"/>
                <w:b/>
                <w:color w:val="000000"/>
                <w:sz w:val="20"/>
                <w:szCs w:val="20"/>
              </w:rPr>
              <w:t>(Tribunal)</w:t>
            </w:r>
          </w:p>
        </w:tc>
        <w:tc>
          <w:tcPr>
            <w:tcW w:w="5783" w:type="dxa"/>
            <w:shd w:val="clear" w:color="auto" w:fill="auto"/>
          </w:tcPr>
          <w:p w14:paraId="0B1E7AEB" w14:textId="77777777" w:rsidR="005F4B0D" w:rsidRPr="00534FE1" w:rsidRDefault="005F4B0D" w:rsidP="008F0527">
            <w:pPr>
              <w:spacing w:before="60" w:line="240" w:lineRule="auto"/>
              <w:rPr>
                <w:rFonts w:eastAsia="Calibri" w:cs="Arial"/>
                <w:color w:val="000000"/>
                <w:sz w:val="20"/>
                <w:szCs w:val="20"/>
              </w:rPr>
            </w:pPr>
            <w:r w:rsidRPr="00534FE1">
              <w:rPr>
                <w:rFonts w:eastAsia="Calibri" w:cs="Arial"/>
                <w:color w:val="000000"/>
                <w:sz w:val="20"/>
                <w:szCs w:val="20"/>
              </w:rPr>
              <w:t xml:space="preserve"> Gestion des conflits en dernier recours</w:t>
            </w:r>
          </w:p>
        </w:tc>
      </w:tr>
    </w:tbl>
    <w:p w14:paraId="593463CC" w14:textId="77777777" w:rsidR="005F4B0D" w:rsidRPr="00534FE1" w:rsidRDefault="005F4B0D" w:rsidP="005F4B0D">
      <w:pPr>
        <w:spacing w:after="200" w:line="276" w:lineRule="auto"/>
        <w:rPr>
          <w:rFonts w:eastAsia="Calibri" w:cs="Arial"/>
          <w:b/>
          <w:color w:val="000000"/>
          <w:sz w:val="20"/>
          <w:szCs w:val="20"/>
          <w:lang w:eastAsia="fr-FR"/>
        </w:rPr>
      </w:pPr>
      <w:r w:rsidRPr="00534FE1">
        <w:rPr>
          <w:rFonts w:eastAsia="Calibri" w:cs="Arial"/>
          <w:b/>
          <w:color w:val="000000"/>
          <w:sz w:val="20"/>
          <w:szCs w:val="20"/>
          <w:lang w:eastAsia="fr-FR"/>
        </w:rPr>
        <w:t>Source : CECO-BTP, juin 2020</w:t>
      </w:r>
    </w:p>
    <w:p w14:paraId="598D3770" w14:textId="7B76CDFD" w:rsidR="00350C9E" w:rsidRPr="00A9330B" w:rsidRDefault="001777E6" w:rsidP="005F4B0D">
      <w:pPr>
        <w:pStyle w:val="Titre20"/>
      </w:pPr>
      <w:r w:rsidRPr="00A9330B">
        <w:t xml:space="preserve">10.16. </w:t>
      </w:r>
      <w:hyperlink w:anchor="_Toc530601837" w:history="1">
        <w:bookmarkStart w:id="2072" w:name="_Toc44771450"/>
        <w:r w:rsidR="00350C9E" w:rsidRPr="00A9330B">
          <w:t>Suivi et évaluation</w:t>
        </w:r>
        <w:bookmarkEnd w:id="2067"/>
        <w:bookmarkEnd w:id="2068"/>
        <w:bookmarkEnd w:id="2072"/>
      </w:hyperlink>
    </w:p>
    <w:p w14:paraId="1994A566" w14:textId="0B92D188" w:rsidR="00350C9E" w:rsidRPr="00A9330B" w:rsidRDefault="00350C9E" w:rsidP="002E4838">
      <w:pPr>
        <w:spacing w:after="120" w:line="312" w:lineRule="auto"/>
        <w:jc w:val="both"/>
        <w:rPr>
          <w:rFonts w:eastAsia="Calibri" w:cs="Times New Roman"/>
          <w:color w:val="auto"/>
          <w:szCs w:val="24"/>
          <w:lang w:eastAsia="de-DE"/>
        </w:rPr>
      </w:pPr>
      <w:r w:rsidRPr="00A9330B">
        <w:rPr>
          <w:rFonts w:eastAsia="Calibri" w:cs="Times New Roman"/>
          <w:color w:val="auto"/>
          <w:szCs w:val="24"/>
          <w:lang w:eastAsia="de-DE"/>
        </w:rPr>
        <w:t>Le suivi interne de la mise en</w:t>
      </w:r>
      <w:r w:rsidR="002E4838">
        <w:rPr>
          <w:rFonts w:eastAsia="Calibri" w:cs="Times New Roman"/>
          <w:color w:val="auto"/>
          <w:szCs w:val="24"/>
          <w:lang w:eastAsia="de-DE"/>
        </w:rPr>
        <w:t xml:space="preserve"> œuvre du PAR sera assuré par le POOL PAPVS de l’ACVDT </w:t>
      </w:r>
      <w:r w:rsidRPr="00A9330B">
        <w:rPr>
          <w:rFonts w:eastAsia="Calibri" w:cs="Times New Roman"/>
          <w:color w:val="auto"/>
          <w:szCs w:val="24"/>
          <w:lang w:eastAsia="de-DE"/>
        </w:rPr>
        <w:t xml:space="preserve">ou l’AMO de concert avec les organes de mise en œuvre du PAR créées et mis en place par le Maire et le Préfet sous la demande de l’AMO et </w:t>
      </w:r>
      <w:r w:rsidR="002E4838">
        <w:rPr>
          <w:rFonts w:eastAsia="Calibri" w:cs="Times New Roman"/>
          <w:color w:val="auto"/>
          <w:szCs w:val="24"/>
          <w:lang w:eastAsia="de-DE"/>
        </w:rPr>
        <w:t>du</w:t>
      </w:r>
      <w:r w:rsidR="002E4838">
        <w:rPr>
          <w:rFonts w:eastAsia="Calibri" w:cs="Times New Roman"/>
          <w:color w:val="auto"/>
          <w:szCs w:val="24"/>
          <w:lang w:eastAsia="de-DE"/>
        </w:rPr>
        <w:t xml:space="preserve"> POOL PAPVS de l’ACVDT</w:t>
      </w:r>
    </w:p>
    <w:p w14:paraId="7699E822" w14:textId="77777777" w:rsidR="00350C9E" w:rsidRPr="00A9330B" w:rsidRDefault="00350C9E" w:rsidP="00350C9E">
      <w:pPr>
        <w:spacing w:after="120" w:line="312" w:lineRule="auto"/>
        <w:jc w:val="both"/>
        <w:rPr>
          <w:rFonts w:eastAsia="Calibri" w:cs="Times New Roman"/>
          <w:color w:val="auto"/>
          <w:szCs w:val="24"/>
          <w:lang w:eastAsia="de-DE"/>
        </w:rPr>
      </w:pPr>
      <w:r w:rsidRPr="00A9330B">
        <w:rPr>
          <w:rFonts w:eastAsia="Calibri" w:cs="Times New Roman"/>
          <w:color w:val="auto"/>
          <w:szCs w:val="24"/>
          <w:lang w:eastAsia="de-DE"/>
        </w:rPr>
        <w:t>Le suivi externe de la mise en œuvre du PAR, sera effectué par un consultant indépendant engagé par l’Agence de Cadre de Vie pour le Développement du Territoire. A la fin de la mise en œuvre, un audit global du processus de la mise en œuvre doit être réalisé.</w:t>
      </w:r>
    </w:p>
    <w:p w14:paraId="096B5565" w14:textId="77777777" w:rsidR="00350C9E" w:rsidRPr="00A9330B" w:rsidRDefault="00350C9E" w:rsidP="00350C9E">
      <w:pPr>
        <w:spacing w:after="120" w:line="312" w:lineRule="auto"/>
        <w:jc w:val="both"/>
        <w:rPr>
          <w:rFonts w:eastAsia="Calibri" w:cs="Times New Roman"/>
          <w:color w:val="auto"/>
          <w:szCs w:val="24"/>
          <w:lang w:eastAsia="de-DE"/>
        </w:rPr>
      </w:pPr>
      <w:r w:rsidRPr="00A9330B">
        <w:rPr>
          <w:rFonts w:eastAsia="Calibri" w:cs="Times New Roman"/>
          <w:color w:val="auto"/>
          <w:szCs w:val="24"/>
          <w:lang w:eastAsia="de-DE"/>
        </w:rPr>
        <w:t>Pour sa part, la Banque Africaine de Développement effectuera des vérifications afin de s’assurer que les compensations ont été payées selon la procédure et les barèmes définis dans le PAR et que l’ensemble du PAR est mis en œuvre conformément aux exigences de la SO2. Elle révisera également les plaintes formulées, le processus suivi pour la résolution des plaintes et identifiera les questions toujours en litige.</w:t>
      </w:r>
    </w:p>
    <w:p w14:paraId="75B7ACAD" w14:textId="03B85D09" w:rsidR="00350C9E" w:rsidRPr="00A9330B" w:rsidRDefault="001777E6" w:rsidP="000F7BA7">
      <w:pPr>
        <w:pStyle w:val="Titre20"/>
        <w:rPr>
          <w:rFonts w:eastAsia="Times New Roman" w:cs="Times New Roman"/>
          <w:b/>
          <w:bCs/>
          <w:iCs/>
          <w:szCs w:val="20"/>
          <w:lang w:eastAsia="fr-FR"/>
        </w:rPr>
      </w:pPr>
      <w:bookmarkStart w:id="2073" w:name="_Toc52869738"/>
      <w:bookmarkStart w:id="2074" w:name="_Toc52869888"/>
      <w:r w:rsidRPr="00A9330B">
        <w:lastRenderedPageBreak/>
        <w:t xml:space="preserve">10.17. </w:t>
      </w:r>
      <w:hyperlink w:anchor="_Toc530601839" w:history="1">
        <w:bookmarkStart w:id="2075" w:name="_Toc44771451"/>
        <w:r w:rsidR="00350C9E" w:rsidRPr="00A9330B">
          <w:rPr>
            <w:rFonts w:eastAsia="Times New Roman" w:cs="Times New Roman"/>
            <w:b/>
            <w:bCs/>
            <w:iCs/>
            <w:szCs w:val="20"/>
            <w:lang w:eastAsia="fr-FR"/>
          </w:rPr>
          <w:t>Diffusion</w:t>
        </w:r>
        <w:bookmarkEnd w:id="2073"/>
        <w:bookmarkEnd w:id="2074"/>
        <w:bookmarkEnd w:id="2075"/>
      </w:hyperlink>
    </w:p>
    <w:p w14:paraId="22685067" w14:textId="1C8F87FF" w:rsidR="00350C9E" w:rsidRPr="00A9330B" w:rsidRDefault="00350C9E" w:rsidP="00350C9E">
      <w:pPr>
        <w:spacing w:after="120" w:line="312" w:lineRule="auto"/>
        <w:jc w:val="both"/>
        <w:rPr>
          <w:rFonts w:eastAsia="Calibri" w:cs="Times New Roman"/>
          <w:color w:val="auto"/>
          <w:szCs w:val="24"/>
          <w:lang w:eastAsia="fr-FR"/>
        </w:rPr>
      </w:pPr>
      <w:r w:rsidRPr="00A9330B">
        <w:rPr>
          <w:rFonts w:eastAsia="Calibri" w:cs="Times New Roman"/>
          <w:color w:val="auto"/>
          <w:szCs w:val="24"/>
          <w:lang w:eastAsia="fr-FR"/>
        </w:rPr>
        <w:t>Après approbation, en Conseil des Ministres par le Gouvernement du Bénin et la Banque Africaine de Développement, le présent résumé du PAR sera publié au journal officiel du Bénin qui constitue une archive nationale et une certification par et pour les parties prenantes. Il sera d’accès public au niveau du Ministère du Cadre de Vie et du Développement Durable. Il apparaîtra aussi dans le site web de la Banque Africaine de Développement. En effet, La Politique de diffusion et d’accès à l’information vise à i) maximiser la diffusion des informations en possession du Groupe de la Banque et à limiter la liste d’exceptions; ii) faciliter l’accès à l’information sur les opérations de la BAD et son partage avec un spectre large de parties prenante</w:t>
      </w:r>
      <w:r w:rsidR="00AE6338" w:rsidRPr="00A9330B">
        <w:rPr>
          <w:rFonts w:eastAsia="Calibri" w:cs="Times New Roman"/>
          <w:color w:val="auto"/>
          <w:szCs w:val="24"/>
          <w:lang w:eastAsia="fr-FR"/>
        </w:rPr>
        <w:t>s</w:t>
      </w:r>
      <w:r w:rsidRPr="00A9330B">
        <w:rPr>
          <w:rFonts w:eastAsia="Calibri" w:cs="Times New Roman"/>
          <w:color w:val="auto"/>
          <w:szCs w:val="24"/>
          <w:lang w:eastAsia="fr-FR"/>
        </w:rPr>
        <w:t xml:space="preserve"> ; iii) promouvoir la bonne gouvernance, la transparence et la responsabilité ; iv) améliorer l’efficacité de la mise en œuvre et mieux coordonner les processus de diffusion de l’information; v) faire mieux connaître la mission, les stratégies et les activités globales du Groupe de la Banque ; vi) appuyer le processus consultatif; et vii) renforcer l’harmonisation avec les autres institutions de financement du développement dans le domaine de la diffusion de l’information.</w:t>
      </w:r>
    </w:p>
    <w:p w14:paraId="16E13418" w14:textId="74E4EA7C" w:rsidR="00350C9E" w:rsidRPr="00A9330B" w:rsidRDefault="00350C9E" w:rsidP="00350C9E">
      <w:pPr>
        <w:spacing w:after="120" w:line="312" w:lineRule="auto"/>
        <w:jc w:val="both"/>
        <w:rPr>
          <w:rFonts w:eastAsia="Calibri" w:cs="Times New Roman"/>
          <w:color w:val="auto"/>
          <w:szCs w:val="24"/>
          <w:lang w:eastAsia="fr-FR"/>
        </w:rPr>
      </w:pPr>
      <w:r w:rsidRPr="00A9330B">
        <w:rPr>
          <w:rFonts w:eastAsia="Calibri" w:cs="Times New Roman"/>
          <w:color w:val="auto"/>
          <w:szCs w:val="24"/>
          <w:lang w:eastAsia="fr-FR"/>
        </w:rPr>
        <w:t xml:space="preserve">Au niveau du Bureau des trois arrondissements ainsi que la Mairie de Natitingou, une copie devra être déposée pour consultation. Après cela, le Consultant pour la mise en œuvre du PAR, sous le contrôle ou la supervision </w:t>
      </w:r>
      <w:r w:rsidR="002E4838">
        <w:rPr>
          <w:rFonts w:eastAsia="Calibri" w:cs="Times New Roman"/>
          <w:color w:val="auto"/>
          <w:szCs w:val="24"/>
          <w:lang w:eastAsia="fr-FR"/>
        </w:rPr>
        <w:t>du</w:t>
      </w:r>
      <w:r w:rsidR="002E4838">
        <w:rPr>
          <w:rFonts w:eastAsia="Calibri" w:cs="Times New Roman"/>
          <w:color w:val="auto"/>
          <w:szCs w:val="24"/>
          <w:lang w:eastAsia="de-DE"/>
        </w:rPr>
        <w:t xml:space="preserve"> POOL PAPVS de l’ACVDT </w:t>
      </w:r>
      <w:r w:rsidRPr="00A9330B">
        <w:rPr>
          <w:rFonts w:eastAsia="Calibri" w:cs="Times New Roman"/>
          <w:color w:val="auto"/>
          <w:szCs w:val="24"/>
          <w:lang w:eastAsia="fr-FR"/>
        </w:rPr>
        <w:t>et l’AMO procédera à l’organisation des séances de restitution. Il sera préparé des ateliers de restitution du PAR à toutes les PAP selon le calendrier arrêté afin de démarrer les activités d’exécution de la réinstallation. Il est prévu que des séances de restitution soient réellement organisées tel que décrit.</w:t>
      </w:r>
    </w:p>
    <w:p w14:paraId="58984ACB" w14:textId="65A4CB32" w:rsidR="00350C9E" w:rsidRPr="00A9330B" w:rsidRDefault="001777E6" w:rsidP="000F7BA7">
      <w:pPr>
        <w:pStyle w:val="Titre20"/>
        <w:rPr>
          <w:rFonts w:eastAsia="Times New Roman" w:cs="Times New Roman"/>
          <w:b/>
          <w:bCs/>
          <w:iCs/>
          <w:szCs w:val="20"/>
          <w:lang w:eastAsia="fr-FR"/>
        </w:rPr>
      </w:pPr>
      <w:bookmarkStart w:id="2076" w:name="_Toc52869739"/>
      <w:bookmarkStart w:id="2077" w:name="_Toc52869889"/>
      <w:r w:rsidRPr="00A9330B">
        <w:t xml:space="preserve">10.18. </w:t>
      </w:r>
      <w:hyperlink w:anchor="_Toc530601836" w:history="1">
        <w:bookmarkStart w:id="2078" w:name="_Toc44771452"/>
        <w:r w:rsidR="00350C9E" w:rsidRPr="00A9330B">
          <w:rPr>
            <w:rFonts w:eastAsia="Times New Roman" w:cs="Times New Roman"/>
            <w:b/>
            <w:bCs/>
            <w:iCs/>
            <w:szCs w:val="20"/>
            <w:lang w:eastAsia="fr-FR"/>
          </w:rPr>
          <w:t>Coût et budget</w:t>
        </w:r>
        <w:bookmarkEnd w:id="2076"/>
        <w:bookmarkEnd w:id="2077"/>
        <w:bookmarkEnd w:id="2078"/>
      </w:hyperlink>
    </w:p>
    <w:p w14:paraId="6DDE1EDC" w14:textId="77777777" w:rsidR="00741C01" w:rsidRPr="00A9330B" w:rsidRDefault="00350C9E" w:rsidP="00350C9E">
      <w:pPr>
        <w:spacing w:after="120" w:line="312" w:lineRule="auto"/>
        <w:jc w:val="both"/>
        <w:rPr>
          <w:rFonts w:eastAsia="Times New Roman" w:cs="Times New Roman"/>
          <w:b/>
          <w:color w:val="000000"/>
          <w:szCs w:val="24"/>
          <w:lang w:eastAsia="de-DE"/>
        </w:rPr>
      </w:pPr>
      <w:r w:rsidRPr="00A9330B">
        <w:rPr>
          <w:rFonts w:eastAsia="Times New Roman" w:cs="Times New Roman"/>
          <w:color w:val="auto"/>
          <w:lang w:eastAsia="fr-CA"/>
        </w:rPr>
        <w:t xml:space="preserve">Le budget global pour la mise en œuvre du PAR est évalué à </w:t>
      </w:r>
      <w:r w:rsidR="00741C01" w:rsidRPr="00A9330B">
        <w:rPr>
          <w:rFonts w:cs="Arial"/>
          <w:b/>
          <w:color w:val="000000"/>
        </w:rPr>
        <w:t xml:space="preserve">780 985 639 FCFA </w:t>
      </w:r>
      <w:r w:rsidR="00741C01" w:rsidRPr="00A9330B">
        <w:rPr>
          <w:rFonts w:cs="Arial"/>
          <w:b/>
          <w:color w:val="000000"/>
          <w:lang w:eastAsia="fr-FR"/>
        </w:rPr>
        <w:t xml:space="preserve">soit </w:t>
      </w:r>
      <w:r w:rsidR="00741C01" w:rsidRPr="00A9330B">
        <w:rPr>
          <w:rFonts w:cs="Arial"/>
          <w:b/>
          <w:bCs/>
          <w:color w:val="000000"/>
        </w:rPr>
        <w:t>1 561 971,28 Dollars US</w:t>
      </w:r>
      <w:r w:rsidRPr="00A9330B">
        <w:rPr>
          <w:rFonts w:eastAsia="Times New Roman" w:cs="Times New Roman"/>
          <w:b/>
          <w:color w:val="000000"/>
          <w:szCs w:val="24"/>
          <w:lang w:eastAsia="de-DE"/>
        </w:rPr>
        <w:t xml:space="preserve"> </w:t>
      </w:r>
    </w:p>
    <w:p w14:paraId="657A31EC" w14:textId="070BE1B2" w:rsidR="00350C9E" w:rsidRPr="00A9330B" w:rsidRDefault="00350C9E" w:rsidP="00350C9E">
      <w:pPr>
        <w:spacing w:after="120" w:line="312" w:lineRule="auto"/>
        <w:jc w:val="both"/>
        <w:rPr>
          <w:rFonts w:cs="Arial"/>
          <w:b/>
          <w:color w:val="000000"/>
        </w:rPr>
      </w:pPr>
      <w:r w:rsidRPr="00A9330B">
        <w:rPr>
          <w:rFonts w:eastAsia="Times New Roman" w:cs="Times New Roman"/>
          <w:color w:val="auto"/>
          <w:szCs w:val="24"/>
          <w:lang w:eastAsia="fr-CA"/>
        </w:rPr>
        <w:t>L’intégralité de ce budget qui sera financée par le gouvernement béninois et la Banque Africaine de Développement se décompose comme suit :</w:t>
      </w:r>
    </w:p>
    <w:p w14:paraId="1BDA2552" w14:textId="72536362" w:rsidR="00350C9E" w:rsidRPr="00A9330B" w:rsidRDefault="001777E6" w:rsidP="00350C9E">
      <w:pPr>
        <w:spacing w:after="120" w:line="312" w:lineRule="auto"/>
        <w:jc w:val="both"/>
        <w:rPr>
          <w:rFonts w:eastAsia="Times New Roman" w:cs="Arial"/>
          <w:b/>
          <w:color w:val="000000"/>
          <w:sz w:val="20"/>
          <w:szCs w:val="20"/>
        </w:rPr>
      </w:pPr>
      <w:bookmarkStart w:id="2079" w:name="_Toc52873795"/>
      <w:r w:rsidRPr="00A9330B">
        <w:rPr>
          <w:b/>
        </w:rPr>
        <w:t xml:space="preserve">Tableau </w:t>
      </w:r>
      <w:r w:rsidRPr="00A9330B">
        <w:rPr>
          <w:b/>
        </w:rPr>
        <w:fldChar w:fldCharType="begin"/>
      </w:r>
      <w:r w:rsidRPr="00A9330B">
        <w:rPr>
          <w:b/>
        </w:rPr>
        <w:instrText xml:space="preserve"> SEQ Tableau \* ARABIC </w:instrText>
      </w:r>
      <w:r w:rsidRPr="00A9330B">
        <w:rPr>
          <w:b/>
        </w:rPr>
        <w:fldChar w:fldCharType="separate"/>
      </w:r>
      <w:r w:rsidR="002E4838">
        <w:rPr>
          <w:b/>
          <w:noProof/>
        </w:rPr>
        <w:t>71</w:t>
      </w:r>
      <w:r w:rsidRPr="00A9330B">
        <w:rPr>
          <w:b/>
        </w:rPr>
        <w:fldChar w:fldCharType="end"/>
      </w:r>
      <w:r w:rsidRPr="00A9330B">
        <w:rPr>
          <w:b/>
        </w:rPr>
        <w:t> :</w:t>
      </w:r>
      <w:r w:rsidR="00350C9E" w:rsidRPr="00A9330B">
        <w:rPr>
          <w:rFonts w:eastAsia="Times New Roman" w:cs="Arial"/>
          <w:b/>
          <w:color w:val="000000"/>
          <w:sz w:val="20"/>
          <w:szCs w:val="20"/>
        </w:rPr>
        <w:t xml:space="preserve"> Synthèse du budget de mise en œuvre du PAR</w:t>
      </w:r>
      <w:bookmarkEnd w:id="2079"/>
      <w:r w:rsidR="00350C9E" w:rsidRPr="00A9330B">
        <w:rPr>
          <w:rFonts w:eastAsia="Times New Roman" w:cs="Arial"/>
          <w:b/>
          <w:color w:val="000000"/>
          <w:sz w:val="20"/>
          <w:szCs w:val="20"/>
        </w:rPr>
        <w:t xml:space="preserve"> </w:t>
      </w:r>
    </w:p>
    <w:tbl>
      <w:tblPr>
        <w:tblStyle w:val="Grilledutableau"/>
        <w:tblW w:w="9210" w:type="dxa"/>
        <w:tblLook w:val="04A0" w:firstRow="1" w:lastRow="0" w:firstColumn="1" w:lastColumn="0" w:noHBand="0" w:noVBand="1"/>
      </w:tblPr>
      <w:tblGrid>
        <w:gridCol w:w="1683"/>
        <w:gridCol w:w="2755"/>
        <w:gridCol w:w="1843"/>
        <w:gridCol w:w="1320"/>
        <w:gridCol w:w="1609"/>
      </w:tblGrid>
      <w:tr w:rsidR="00340594" w:rsidRPr="00A9330B" w14:paraId="2B0FAB7D" w14:textId="77777777" w:rsidTr="00741C01">
        <w:trPr>
          <w:trHeight w:val="524"/>
        </w:trPr>
        <w:tc>
          <w:tcPr>
            <w:tcW w:w="4435" w:type="dxa"/>
            <w:gridSpan w:val="2"/>
            <w:shd w:val="clear" w:color="auto" w:fill="00B0F0"/>
            <w:hideMark/>
          </w:tcPr>
          <w:p w14:paraId="5168BACC" w14:textId="77777777" w:rsidR="00340594" w:rsidRPr="00A9330B" w:rsidRDefault="00340594" w:rsidP="006E44FB">
            <w:pPr>
              <w:spacing w:line="240" w:lineRule="auto"/>
              <w:jc w:val="left"/>
              <w:rPr>
                <w:rFonts w:cs="Arial"/>
                <w:b/>
                <w:bCs/>
                <w:color w:val="000000"/>
                <w:sz w:val="20"/>
                <w:szCs w:val="20"/>
                <w:lang w:eastAsia="fr-FR"/>
              </w:rPr>
            </w:pPr>
            <w:r w:rsidRPr="00A9330B">
              <w:rPr>
                <w:rFonts w:cs="Arial"/>
                <w:b/>
                <w:bCs/>
                <w:color w:val="000000"/>
                <w:sz w:val="20"/>
                <w:szCs w:val="20"/>
                <w:lang w:eastAsia="fr-FR"/>
              </w:rPr>
              <w:t>Poste budgétaire</w:t>
            </w:r>
          </w:p>
        </w:tc>
        <w:tc>
          <w:tcPr>
            <w:tcW w:w="1843" w:type="dxa"/>
            <w:shd w:val="clear" w:color="auto" w:fill="00B0F0"/>
            <w:vAlign w:val="center"/>
            <w:hideMark/>
          </w:tcPr>
          <w:p w14:paraId="39D30A89" w14:textId="77777777" w:rsidR="00340594" w:rsidRPr="00A9330B" w:rsidRDefault="00340594" w:rsidP="00741C01">
            <w:pPr>
              <w:spacing w:line="240" w:lineRule="auto"/>
              <w:rPr>
                <w:rFonts w:cs="Arial"/>
                <w:b/>
                <w:bCs/>
                <w:sz w:val="20"/>
                <w:szCs w:val="20"/>
                <w:lang w:eastAsia="fr-FR"/>
              </w:rPr>
            </w:pPr>
            <w:r w:rsidRPr="00A9330B">
              <w:rPr>
                <w:rFonts w:cs="Arial"/>
                <w:b/>
                <w:bCs/>
                <w:sz w:val="20"/>
                <w:szCs w:val="20"/>
                <w:lang w:eastAsia="fr-FR"/>
              </w:rPr>
              <w:t>Montant (FCFA)</w:t>
            </w:r>
          </w:p>
        </w:tc>
        <w:tc>
          <w:tcPr>
            <w:tcW w:w="1323" w:type="dxa"/>
            <w:shd w:val="clear" w:color="auto" w:fill="00B0F0"/>
            <w:vAlign w:val="center"/>
          </w:tcPr>
          <w:p w14:paraId="70480F38" w14:textId="77777777" w:rsidR="00340594" w:rsidRPr="00A9330B" w:rsidRDefault="00340594" w:rsidP="00741C01">
            <w:pPr>
              <w:spacing w:line="240" w:lineRule="auto"/>
              <w:rPr>
                <w:rFonts w:cs="Arial"/>
                <w:b/>
                <w:bCs/>
                <w:color w:val="000000"/>
                <w:sz w:val="20"/>
                <w:szCs w:val="20"/>
                <w:lang w:eastAsia="fr-FR"/>
              </w:rPr>
            </w:pPr>
            <w:r w:rsidRPr="00A9330B">
              <w:rPr>
                <w:rFonts w:cs="Arial"/>
                <w:b/>
                <w:bCs/>
                <w:color w:val="000000"/>
                <w:sz w:val="20"/>
                <w:szCs w:val="20"/>
                <w:lang w:eastAsia="fr-FR"/>
              </w:rPr>
              <w:t>Montant (USD)</w:t>
            </w:r>
          </w:p>
        </w:tc>
        <w:tc>
          <w:tcPr>
            <w:tcW w:w="1609" w:type="dxa"/>
            <w:shd w:val="clear" w:color="auto" w:fill="00B0F0"/>
            <w:noWrap/>
            <w:hideMark/>
          </w:tcPr>
          <w:p w14:paraId="177CD54D" w14:textId="77777777" w:rsidR="00340594" w:rsidRPr="00A9330B" w:rsidRDefault="00340594" w:rsidP="006E44FB">
            <w:pPr>
              <w:spacing w:line="240" w:lineRule="auto"/>
              <w:rPr>
                <w:rFonts w:cs="Arial"/>
                <w:b/>
                <w:bCs/>
                <w:color w:val="000000"/>
                <w:sz w:val="20"/>
                <w:szCs w:val="20"/>
                <w:lang w:eastAsia="fr-FR"/>
              </w:rPr>
            </w:pPr>
            <w:r w:rsidRPr="00A9330B">
              <w:rPr>
                <w:rFonts w:cs="Arial"/>
                <w:b/>
                <w:bCs/>
                <w:color w:val="000000"/>
                <w:sz w:val="20"/>
                <w:szCs w:val="20"/>
                <w:lang w:eastAsia="fr-FR"/>
              </w:rPr>
              <w:t>Source de financement</w:t>
            </w:r>
          </w:p>
        </w:tc>
      </w:tr>
      <w:tr w:rsidR="00340594" w:rsidRPr="00A9330B" w14:paraId="2EF08C5A" w14:textId="77777777" w:rsidTr="00741C01">
        <w:trPr>
          <w:trHeight w:val="393"/>
        </w:trPr>
        <w:tc>
          <w:tcPr>
            <w:tcW w:w="1607" w:type="dxa"/>
            <w:vMerge w:val="restart"/>
            <w:hideMark/>
          </w:tcPr>
          <w:p w14:paraId="13329CF3" w14:textId="77777777" w:rsidR="00340594" w:rsidRPr="00A9330B" w:rsidRDefault="00340594" w:rsidP="006E44FB">
            <w:pPr>
              <w:spacing w:line="240" w:lineRule="auto"/>
              <w:jc w:val="left"/>
              <w:rPr>
                <w:rFonts w:cs="Arial"/>
                <w:b/>
                <w:bCs/>
                <w:color w:val="000000"/>
                <w:sz w:val="20"/>
                <w:szCs w:val="20"/>
                <w:lang w:eastAsia="fr-FR"/>
              </w:rPr>
            </w:pPr>
            <w:r w:rsidRPr="00A9330B">
              <w:rPr>
                <w:rFonts w:cs="Arial"/>
                <w:b/>
                <w:bCs/>
                <w:color w:val="000000"/>
                <w:sz w:val="20"/>
                <w:szCs w:val="20"/>
                <w:lang w:eastAsia="fr-FR"/>
              </w:rPr>
              <w:t>Coût total des compensations</w:t>
            </w:r>
          </w:p>
        </w:tc>
        <w:tc>
          <w:tcPr>
            <w:tcW w:w="2828" w:type="dxa"/>
            <w:hideMark/>
          </w:tcPr>
          <w:p w14:paraId="17BBD525" w14:textId="77777777" w:rsidR="00340594" w:rsidRPr="00A9330B" w:rsidRDefault="00340594" w:rsidP="006E44FB">
            <w:pPr>
              <w:spacing w:line="240" w:lineRule="auto"/>
              <w:jc w:val="left"/>
              <w:rPr>
                <w:rFonts w:cs="Arial"/>
                <w:color w:val="000000"/>
                <w:sz w:val="20"/>
                <w:szCs w:val="20"/>
                <w:lang w:eastAsia="fr-FR"/>
              </w:rPr>
            </w:pPr>
            <w:r w:rsidRPr="00A9330B">
              <w:rPr>
                <w:rFonts w:cs="Arial"/>
                <w:color w:val="000000"/>
                <w:sz w:val="20"/>
                <w:szCs w:val="20"/>
                <w:lang w:eastAsia="fr-FR"/>
              </w:rPr>
              <w:t>Biens immobiliers non construits</w:t>
            </w:r>
          </w:p>
        </w:tc>
        <w:tc>
          <w:tcPr>
            <w:tcW w:w="1843" w:type="dxa"/>
            <w:vAlign w:val="center"/>
          </w:tcPr>
          <w:p w14:paraId="1BECAF21" w14:textId="77777777" w:rsidR="00340594" w:rsidRPr="00A9330B" w:rsidRDefault="00340594" w:rsidP="00741C01">
            <w:pPr>
              <w:spacing w:line="240" w:lineRule="auto"/>
              <w:rPr>
                <w:rFonts w:cs="Arial"/>
                <w:sz w:val="20"/>
                <w:szCs w:val="20"/>
                <w:lang w:eastAsia="fr-FR"/>
              </w:rPr>
            </w:pPr>
            <w:r w:rsidRPr="00A9330B">
              <w:rPr>
                <w:rFonts w:cs="Arial"/>
                <w:sz w:val="20"/>
                <w:szCs w:val="20"/>
                <w:lang w:eastAsia="fr-FR"/>
              </w:rPr>
              <w:t>19429125</w:t>
            </w:r>
          </w:p>
        </w:tc>
        <w:tc>
          <w:tcPr>
            <w:tcW w:w="1323" w:type="dxa"/>
            <w:vAlign w:val="center"/>
          </w:tcPr>
          <w:p w14:paraId="620751CA" w14:textId="77777777" w:rsidR="00340594" w:rsidRPr="00A9330B" w:rsidRDefault="00340594" w:rsidP="00741C01">
            <w:pPr>
              <w:spacing w:before="0" w:line="240" w:lineRule="auto"/>
              <w:rPr>
                <w:rFonts w:cs="Arial"/>
                <w:color w:val="000000"/>
                <w:sz w:val="20"/>
                <w:szCs w:val="20"/>
                <w:lang w:eastAsia="fr-FR"/>
              </w:rPr>
            </w:pPr>
            <w:r w:rsidRPr="00A9330B">
              <w:rPr>
                <w:rFonts w:cs="Arial"/>
                <w:color w:val="000000"/>
                <w:sz w:val="20"/>
                <w:szCs w:val="20"/>
              </w:rPr>
              <w:t>38858,25</w:t>
            </w:r>
          </w:p>
        </w:tc>
        <w:tc>
          <w:tcPr>
            <w:tcW w:w="1609" w:type="dxa"/>
            <w:vMerge w:val="restart"/>
            <w:hideMark/>
          </w:tcPr>
          <w:p w14:paraId="4DD99331" w14:textId="77777777" w:rsidR="00340594" w:rsidRPr="00A9330B" w:rsidRDefault="00340594" w:rsidP="006E44FB">
            <w:pPr>
              <w:spacing w:line="240" w:lineRule="auto"/>
              <w:rPr>
                <w:rFonts w:cs="Arial"/>
                <w:b/>
                <w:bCs/>
                <w:color w:val="000000"/>
                <w:sz w:val="20"/>
                <w:szCs w:val="20"/>
                <w:lang w:eastAsia="fr-FR"/>
              </w:rPr>
            </w:pPr>
            <w:r w:rsidRPr="00A9330B">
              <w:rPr>
                <w:rFonts w:cs="Arial"/>
                <w:b/>
                <w:bCs/>
                <w:color w:val="000000"/>
                <w:sz w:val="20"/>
                <w:szCs w:val="20"/>
                <w:lang w:eastAsia="fr-FR"/>
              </w:rPr>
              <w:t>Etat béninois</w:t>
            </w:r>
          </w:p>
        </w:tc>
      </w:tr>
      <w:tr w:rsidR="00340594" w:rsidRPr="00A9330B" w14:paraId="614016EE" w14:textId="77777777" w:rsidTr="00741C01">
        <w:trPr>
          <w:trHeight w:val="675"/>
        </w:trPr>
        <w:tc>
          <w:tcPr>
            <w:tcW w:w="1607" w:type="dxa"/>
            <w:vMerge/>
            <w:hideMark/>
          </w:tcPr>
          <w:p w14:paraId="5D453275" w14:textId="77777777" w:rsidR="00340594" w:rsidRPr="00A9330B" w:rsidRDefault="00340594" w:rsidP="006E44FB">
            <w:pPr>
              <w:spacing w:line="240" w:lineRule="auto"/>
              <w:jc w:val="left"/>
              <w:rPr>
                <w:rFonts w:cs="Arial"/>
                <w:b/>
                <w:bCs/>
                <w:color w:val="000000"/>
                <w:sz w:val="20"/>
                <w:szCs w:val="20"/>
                <w:lang w:eastAsia="fr-FR"/>
              </w:rPr>
            </w:pPr>
          </w:p>
        </w:tc>
        <w:tc>
          <w:tcPr>
            <w:tcW w:w="2828" w:type="dxa"/>
            <w:hideMark/>
          </w:tcPr>
          <w:p w14:paraId="42ADA392" w14:textId="77777777" w:rsidR="00340594" w:rsidRPr="00A9330B" w:rsidRDefault="00340594" w:rsidP="006E44FB">
            <w:pPr>
              <w:spacing w:line="240" w:lineRule="auto"/>
              <w:jc w:val="left"/>
              <w:rPr>
                <w:rFonts w:cs="Arial"/>
                <w:color w:val="000000"/>
                <w:sz w:val="20"/>
                <w:szCs w:val="20"/>
                <w:lang w:eastAsia="fr-FR"/>
              </w:rPr>
            </w:pPr>
            <w:r w:rsidRPr="00A9330B">
              <w:rPr>
                <w:rFonts w:cs="Arial"/>
                <w:color w:val="000000"/>
                <w:sz w:val="20"/>
                <w:szCs w:val="20"/>
                <w:lang w:eastAsia="fr-FR"/>
              </w:rPr>
              <w:t>Biens immobiliers construits à usage d'habitation</w:t>
            </w:r>
          </w:p>
        </w:tc>
        <w:tc>
          <w:tcPr>
            <w:tcW w:w="1843" w:type="dxa"/>
            <w:vAlign w:val="center"/>
          </w:tcPr>
          <w:p w14:paraId="1A68F58D" w14:textId="77777777" w:rsidR="00340594" w:rsidRPr="00A9330B" w:rsidRDefault="00340594" w:rsidP="00741C01">
            <w:pPr>
              <w:spacing w:line="240" w:lineRule="auto"/>
              <w:rPr>
                <w:rFonts w:cs="Arial"/>
                <w:sz w:val="20"/>
                <w:szCs w:val="20"/>
                <w:lang w:eastAsia="fr-FR"/>
              </w:rPr>
            </w:pPr>
            <w:r w:rsidRPr="00A9330B">
              <w:rPr>
                <w:rFonts w:cs="Arial"/>
                <w:sz w:val="20"/>
                <w:szCs w:val="20"/>
                <w:lang w:eastAsia="fr-FR"/>
              </w:rPr>
              <w:t>633914790</w:t>
            </w:r>
          </w:p>
        </w:tc>
        <w:tc>
          <w:tcPr>
            <w:tcW w:w="1323" w:type="dxa"/>
            <w:vAlign w:val="center"/>
          </w:tcPr>
          <w:p w14:paraId="47A0F013" w14:textId="77777777" w:rsidR="00340594" w:rsidRPr="00A9330B" w:rsidRDefault="00340594" w:rsidP="00741C01">
            <w:pPr>
              <w:rPr>
                <w:rFonts w:cs="Arial"/>
                <w:color w:val="000000"/>
                <w:sz w:val="20"/>
                <w:szCs w:val="20"/>
              </w:rPr>
            </w:pPr>
            <w:r w:rsidRPr="00A9330B">
              <w:rPr>
                <w:rFonts w:cs="Arial"/>
                <w:color w:val="000000"/>
                <w:sz w:val="20"/>
                <w:szCs w:val="20"/>
              </w:rPr>
              <w:t>1267829,58</w:t>
            </w:r>
          </w:p>
        </w:tc>
        <w:tc>
          <w:tcPr>
            <w:tcW w:w="1609" w:type="dxa"/>
            <w:vMerge/>
            <w:hideMark/>
          </w:tcPr>
          <w:p w14:paraId="0426D82E" w14:textId="77777777" w:rsidR="00340594" w:rsidRPr="00A9330B" w:rsidRDefault="00340594" w:rsidP="006E44FB">
            <w:pPr>
              <w:spacing w:line="240" w:lineRule="auto"/>
              <w:rPr>
                <w:rFonts w:cs="Arial"/>
                <w:b/>
                <w:bCs/>
                <w:color w:val="000000"/>
                <w:sz w:val="20"/>
                <w:szCs w:val="20"/>
                <w:lang w:eastAsia="fr-FR"/>
              </w:rPr>
            </w:pPr>
          </w:p>
        </w:tc>
      </w:tr>
      <w:tr w:rsidR="00340594" w:rsidRPr="00A9330B" w14:paraId="29C37B0A" w14:textId="77777777" w:rsidTr="00741C01">
        <w:trPr>
          <w:trHeight w:val="523"/>
        </w:trPr>
        <w:tc>
          <w:tcPr>
            <w:tcW w:w="1607" w:type="dxa"/>
            <w:vMerge/>
            <w:hideMark/>
          </w:tcPr>
          <w:p w14:paraId="72BC8778" w14:textId="77777777" w:rsidR="00340594" w:rsidRPr="00A9330B" w:rsidRDefault="00340594" w:rsidP="006E44FB">
            <w:pPr>
              <w:spacing w:line="240" w:lineRule="auto"/>
              <w:jc w:val="left"/>
              <w:rPr>
                <w:rFonts w:cs="Arial"/>
                <w:b/>
                <w:bCs/>
                <w:color w:val="000000"/>
                <w:sz w:val="20"/>
                <w:szCs w:val="20"/>
                <w:lang w:eastAsia="fr-FR"/>
              </w:rPr>
            </w:pPr>
          </w:p>
        </w:tc>
        <w:tc>
          <w:tcPr>
            <w:tcW w:w="2828" w:type="dxa"/>
            <w:hideMark/>
          </w:tcPr>
          <w:p w14:paraId="45A5ECB9" w14:textId="77777777" w:rsidR="00340594" w:rsidRPr="00A9330B" w:rsidRDefault="00340594" w:rsidP="006E44FB">
            <w:pPr>
              <w:spacing w:line="240" w:lineRule="auto"/>
              <w:jc w:val="left"/>
              <w:rPr>
                <w:rFonts w:cs="Arial"/>
                <w:color w:val="000000"/>
                <w:sz w:val="20"/>
                <w:szCs w:val="20"/>
                <w:lang w:eastAsia="fr-FR"/>
              </w:rPr>
            </w:pPr>
            <w:r w:rsidRPr="00A9330B">
              <w:rPr>
                <w:rFonts w:cs="Arial"/>
                <w:color w:val="000000"/>
                <w:sz w:val="20"/>
                <w:szCs w:val="20"/>
                <w:lang w:eastAsia="fr-FR"/>
              </w:rPr>
              <w:t>Biens immobiliers construits à usage commercial</w:t>
            </w:r>
          </w:p>
        </w:tc>
        <w:tc>
          <w:tcPr>
            <w:tcW w:w="1843" w:type="dxa"/>
            <w:vAlign w:val="center"/>
          </w:tcPr>
          <w:p w14:paraId="09773EDD" w14:textId="77777777" w:rsidR="00340594" w:rsidRPr="00A9330B" w:rsidRDefault="00340594" w:rsidP="00741C01">
            <w:pPr>
              <w:spacing w:line="240" w:lineRule="auto"/>
              <w:rPr>
                <w:rFonts w:cs="Arial"/>
                <w:sz w:val="20"/>
                <w:szCs w:val="20"/>
                <w:lang w:eastAsia="fr-FR"/>
              </w:rPr>
            </w:pPr>
            <w:r w:rsidRPr="00A9330B">
              <w:rPr>
                <w:rFonts w:cs="Arial"/>
                <w:sz w:val="20"/>
                <w:szCs w:val="20"/>
                <w:lang w:eastAsia="fr-FR"/>
              </w:rPr>
              <w:t>21366000</w:t>
            </w:r>
          </w:p>
        </w:tc>
        <w:tc>
          <w:tcPr>
            <w:tcW w:w="1323" w:type="dxa"/>
            <w:vAlign w:val="center"/>
          </w:tcPr>
          <w:p w14:paraId="3EB36CF7" w14:textId="77777777" w:rsidR="00340594" w:rsidRPr="00A9330B" w:rsidRDefault="00340594" w:rsidP="00741C01">
            <w:pPr>
              <w:rPr>
                <w:rFonts w:cs="Arial"/>
                <w:color w:val="000000"/>
                <w:sz w:val="20"/>
                <w:szCs w:val="20"/>
              </w:rPr>
            </w:pPr>
            <w:r w:rsidRPr="00A9330B">
              <w:rPr>
                <w:rFonts w:cs="Arial"/>
                <w:color w:val="000000"/>
                <w:sz w:val="20"/>
                <w:szCs w:val="20"/>
              </w:rPr>
              <w:t>42732</w:t>
            </w:r>
          </w:p>
        </w:tc>
        <w:tc>
          <w:tcPr>
            <w:tcW w:w="1609" w:type="dxa"/>
            <w:vMerge/>
            <w:hideMark/>
          </w:tcPr>
          <w:p w14:paraId="046820EB" w14:textId="77777777" w:rsidR="00340594" w:rsidRPr="00A9330B" w:rsidRDefault="00340594" w:rsidP="006E44FB">
            <w:pPr>
              <w:spacing w:line="240" w:lineRule="auto"/>
              <w:rPr>
                <w:rFonts w:cs="Arial"/>
                <w:b/>
                <w:bCs/>
                <w:color w:val="000000"/>
                <w:sz w:val="20"/>
                <w:szCs w:val="20"/>
                <w:lang w:eastAsia="fr-FR"/>
              </w:rPr>
            </w:pPr>
          </w:p>
        </w:tc>
      </w:tr>
      <w:tr w:rsidR="00340594" w:rsidRPr="00A9330B" w14:paraId="2BA4F0BD" w14:textId="77777777" w:rsidTr="00741C01">
        <w:trPr>
          <w:trHeight w:val="314"/>
        </w:trPr>
        <w:tc>
          <w:tcPr>
            <w:tcW w:w="1607" w:type="dxa"/>
            <w:vMerge/>
            <w:hideMark/>
          </w:tcPr>
          <w:p w14:paraId="4B53F3CB" w14:textId="77777777" w:rsidR="00340594" w:rsidRPr="00A9330B" w:rsidRDefault="00340594" w:rsidP="006E44FB">
            <w:pPr>
              <w:spacing w:line="240" w:lineRule="auto"/>
              <w:jc w:val="left"/>
              <w:rPr>
                <w:rFonts w:cs="Arial"/>
                <w:b/>
                <w:bCs/>
                <w:color w:val="000000"/>
                <w:sz w:val="20"/>
                <w:szCs w:val="20"/>
                <w:lang w:eastAsia="fr-FR"/>
              </w:rPr>
            </w:pPr>
          </w:p>
        </w:tc>
        <w:tc>
          <w:tcPr>
            <w:tcW w:w="2828" w:type="dxa"/>
            <w:hideMark/>
          </w:tcPr>
          <w:p w14:paraId="6EBC7F52" w14:textId="77777777" w:rsidR="00340594" w:rsidRPr="00A9330B" w:rsidRDefault="00340594" w:rsidP="006E44FB">
            <w:pPr>
              <w:spacing w:line="240" w:lineRule="auto"/>
              <w:jc w:val="left"/>
              <w:rPr>
                <w:rFonts w:cs="Arial"/>
                <w:color w:val="000000"/>
                <w:sz w:val="20"/>
                <w:szCs w:val="20"/>
                <w:lang w:eastAsia="fr-FR"/>
              </w:rPr>
            </w:pPr>
            <w:r w:rsidRPr="00A9330B">
              <w:rPr>
                <w:rFonts w:cs="Arial"/>
                <w:color w:val="000000"/>
                <w:sz w:val="20"/>
                <w:szCs w:val="20"/>
                <w:lang w:eastAsia="fr-FR"/>
              </w:rPr>
              <w:t>Perte de revenus</w:t>
            </w:r>
          </w:p>
        </w:tc>
        <w:tc>
          <w:tcPr>
            <w:tcW w:w="1843" w:type="dxa"/>
            <w:noWrap/>
            <w:vAlign w:val="center"/>
          </w:tcPr>
          <w:p w14:paraId="506D5F0E" w14:textId="77777777" w:rsidR="00340594" w:rsidRPr="00A9330B" w:rsidRDefault="00340594" w:rsidP="00741C01">
            <w:pPr>
              <w:spacing w:line="240" w:lineRule="auto"/>
              <w:rPr>
                <w:rFonts w:cs="Arial"/>
                <w:bCs/>
                <w:sz w:val="20"/>
                <w:szCs w:val="20"/>
                <w:lang w:eastAsia="fr-FR"/>
              </w:rPr>
            </w:pPr>
            <w:r w:rsidRPr="00A9330B">
              <w:rPr>
                <w:rFonts w:cs="Arial"/>
                <w:bCs/>
                <w:sz w:val="20"/>
                <w:szCs w:val="20"/>
              </w:rPr>
              <w:t>2441500</w:t>
            </w:r>
          </w:p>
        </w:tc>
        <w:tc>
          <w:tcPr>
            <w:tcW w:w="1323" w:type="dxa"/>
            <w:vAlign w:val="center"/>
          </w:tcPr>
          <w:p w14:paraId="0EE47614" w14:textId="77777777" w:rsidR="00340594" w:rsidRPr="00A9330B" w:rsidRDefault="00340594" w:rsidP="00741C01">
            <w:pPr>
              <w:rPr>
                <w:rFonts w:cs="Arial"/>
                <w:color w:val="000000"/>
                <w:sz w:val="20"/>
                <w:szCs w:val="20"/>
              </w:rPr>
            </w:pPr>
            <w:r w:rsidRPr="00A9330B">
              <w:rPr>
                <w:rFonts w:cs="Arial"/>
                <w:color w:val="000000"/>
                <w:sz w:val="20"/>
                <w:szCs w:val="20"/>
              </w:rPr>
              <w:t>4883</w:t>
            </w:r>
          </w:p>
        </w:tc>
        <w:tc>
          <w:tcPr>
            <w:tcW w:w="1609" w:type="dxa"/>
            <w:vMerge/>
            <w:hideMark/>
          </w:tcPr>
          <w:p w14:paraId="6D929682" w14:textId="77777777" w:rsidR="00340594" w:rsidRPr="00A9330B" w:rsidRDefault="00340594" w:rsidP="006E44FB">
            <w:pPr>
              <w:spacing w:line="240" w:lineRule="auto"/>
              <w:rPr>
                <w:rFonts w:cs="Arial"/>
                <w:b/>
                <w:bCs/>
                <w:color w:val="000000"/>
                <w:sz w:val="20"/>
                <w:szCs w:val="20"/>
                <w:lang w:eastAsia="fr-FR"/>
              </w:rPr>
            </w:pPr>
          </w:p>
        </w:tc>
      </w:tr>
      <w:tr w:rsidR="00340594" w:rsidRPr="00A9330B" w14:paraId="41569562" w14:textId="77777777" w:rsidTr="00741C01">
        <w:trPr>
          <w:trHeight w:val="314"/>
        </w:trPr>
        <w:tc>
          <w:tcPr>
            <w:tcW w:w="1607" w:type="dxa"/>
            <w:vMerge/>
            <w:hideMark/>
          </w:tcPr>
          <w:p w14:paraId="71B451B5" w14:textId="77777777" w:rsidR="00340594" w:rsidRPr="00A9330B" w:rsidRDefault="00340594" w:rsidP="006E44FB">
            <w:pPr>
              <w:spacing w:line="240" w:lineRule="auto"/>
              <w:jc w:val="left"/>
              <w:rPr>
                <w:rFonts w:cs="Arial"/>
                <w:b/>
                <w:bCs/>
                <w:color w:val="000000"/>
                <w:sz w:val="20"/>
                <w:szCs w:val="20"/>
                <w:lang w:eastAsia="fr-FR"/>
              </w:rPr>
            </w:pPr>
          </w:p>
        </w:tc>
        <w:tc>
          <w:tcPr>
            <w:tcW w:w="2828" w:type="dxa"/>
            <w:hideMark/>
          </w:tcPr>
          <w:p w14:paraId="2DAF7ECC" w14:textId="77777777" w:rsidR="00340594" w:rsidRPr="00A9330B" w:rsidRDefault="00340594" w:rsidP="006E44FB">
            <w:pPr>
              <w:spacing w:line="240" w:lineRule="auto"/>
              <w:jc w:val="left"/>
              <w:rPr>
                <w:rFonts w:cs="Arial"/>
                <w:color w:val="000000"/>
                <w:sz w:val="20"/>
                <w:szCs w:val="20"/>
                <w:lang w:eastAsia="fr-FR"/>
              </w:rPr>
            </w:pPr>
            <w:r w:rsidRPr="00A9330B">
              <w:rPr>
                <w:rFonts w:cs="Arial"/>
                <w:color w:val="000000"/>
                <w:sz w:val="20"/>
                <w:szCs w:val="20"/>
                <w:lang w:eastAsia="fr-FR"/>
              </w:rPr>
              <w:t>Perte d’arbres</w:t>
            </w:r>
          </w:p>
        </w:tc>
        <w:tc>
          <w:tcPr>
            <w:tcW w:w="1843" w:type="dxa"/>
            <w:vAlign w:val="center"/>
          </w:tcPr>
          <w:p w14:paraId="40A01D45" w14:textId="77777777" w:rsidR="00340594" w:rsidRPr="00A9330B" w:rsidRDefault="00340594" w:rsidP="00741C01">
            <w:pPr>
              <w:spacing w:line="240" w:lineRule="auto"/>
              <w:rPr>
                <w:rFonts w:cs="Arial"/>
                <w:sz w:val="20"/>
                <w:szCs w:val="20"/>
                <w:lang w:eastAsia="fr-FR"/>
              </w:rPr>
            </w:pPr>
            <w:r w:rsidRPr="00A9330B">
              <w:rPr>
                <w:rFonts w:cs="Arial"/>
                <w:sz w:val="20"/>
                <w:szCs w:val="20"/>
              </w:rPr>
              <w:t>40618000</w:t>
            </w:r>
          </w:p>
        </w:tc>
        <w:tc>
          <w:tcPr>
            <w:tcW w:w="1323" w:type="dxa"/>
            <w:vAlign w:val="center"/>
          </w:tcPr>
          <w:p w14:paraId="598FACA4" w14:textId="77777777" w:rsidR="00340594" w:rsidRPr="00A9330B" w:rsidRDefault="00340594" w:rsidP="00741C01">
            <w:pPr>
              <w:rPr>
                <w:rFonts w:cs="Arial"/>
                <w:color w:val="000000"/>
                <w:sz w:val="20"/>
                <w:szCs w:val="20"/>
              </w:rPr>
            </w:pPr>
            <w:r w:rsidRPr="00A9330B">
              <w:rPr>
                <w:rFonts w:cs="Arial"/>
                <w:color w:val="000000"/>
                <w:sz w:val="20"/>
                <w:szCs w:val="20"/>
              </w:rPr>
              <w:t>81236</w:t>
            </w:r>
          </w:p>
        </w:tc>
        <w:tc>
          <w:tcPr>
            <w:tcW w:w="1609" w:type="dxa"/>
            <w:vMerge/>
            <w:hideMark/>
          </w:tcPr>
          <w:p w14:paraId="77DF01D7" w14:textId="77777777" w:rsidR="00340594" w:rsidRPr="00A9330B" w:rsidRDefault="00340594" w:rsidP="006E44FB">
            <w:pPr>
              <w:spacing w:line="240" w:lineRule="auto"/>
              <w:rPr>
                <w:rFonts w:cs="Arial"/>
                <w:b/>
                <w:bCs/>
                <w:color w:val="000000"/>
                <w:sz w:val="20"/>
                <w:szCs w:val="20"/>
                <w:lang w:eastAsia="fr-FR"/>
              </w:rPr>
            </w:pPr>
          </w:p>
        </w:tc>
      </w:tr>
      <w:tr w:rsidR="00340594" w:rsidRPr="00A9330B" w14:paraId="55FDF701" w14:textId="77777777" w:rsidTr="00741C01">
        <w:trPr>
          <w:trHeight w:val="314"/>
        </w:trPr>
        <w:tc>
          <w:tcPr>
            <w:tcW w:w="1607" w:type="dxa"/>
            <w:vMerge/>
            <w:hideMark/>
          </w:tcPr>
          <w:p w14:paraId="31ADA93E" w14:textId="77777777" w:rsidR="00340594" w:rsidRPr="00A9330B" w:rsidRDefault="00340594" w:rsidP="006E44FB">
            <w:pPr>
              <w:spacing w:line="240" w:lineRule="auto"/>
              <w:jc w:val="left"/>
              <w:rPr>
                <w:rFonts w:cs="Arial"/>
                <w:b/>
                <w:bCs/>
                <w:color w:val="000000"/>
                <w:sz w:val="20"/>
                <w:szCs w:val="20"/>
                <w:lang w:eastAsia="fr-FR"/>
              </w:rPr>
            </w:pPr>
          </w:p>
        </w:tc>
        <w:tc>
          <w:tcPr>
            <w:tcW w:w="2828" w:type="dxa"/>
            <w:hideMark/>
          </w:tcPr>
          <w:p w14:paraId="6E4284CA" w14:textId="77777777" w:rsidR="00340594" w:rsidRPr="00A9330B" w:rsidRDefault="00340594" w:rsidP="006E44FB">
            <w:pPr>
              <w:spacing w:line="240" w:lineRule="auto"/>
              <w:jc w:val="left"/>
              <w:rPr>
                <w:rFonts w:cs="Arial"/>
                <w:color w:val="000000"/>
                <w:sz w:val="20"/>
                <w:szCs w:val="20"/>
                <w:lang w:eastAsia="fr-FR"/>
              </w:rPr>
            </w:pPr>
            <w:r w:rsidRPr="00A9330B">
              <w:rPr>
                <w:rFonts w:cs="Arial"/>
                <w:color w:val="000000"/>
                <w:sz w:val="20"/>
                <w:szCs w:val="20"/>
                <w:lang w:eastAsia="fr-FR"/>
              </w:rPr>
              <w:t>Appui aux PAP vulnérables</w:t>
            </w:r>
          </w:p>
        </w:tc>
        <w:tc>
          <w:tcPr>
            <w:tcW w:w="1843" w:type="dxa"/>
            <w:vAlign w:val="center"/>
          </w:tcPr>
          <w:p w14:paraId="08ED2E59" w14:textId="77777777" w:rsidR="00340594" w:rsidRPr="00A9330B" w:rsidRDefault="00340594" w:rsidP="00741C01">
            <w:pPr>
              <w:spacing w:line="240" w:lineRule="auto"/>
              <w:rPr>
                <w:rFonts w:cs="Arial"/>
                <w:sz w:val="20"/>
                <w:szCs w:val="20"/>
                <w:lang w:eastAsia="fr-FR"/>
              </w:rPr>
            </w:pPr>
            <w:r w:rsidRPr="00A9330B">
              <w:rPr>
                <w:rFonts w:cs="Arial"/>
                <w:bCs/>
                <w:sz w:val="20"/>
                <w:szCs w:val="20"/>
                <w:lang w:eastAsia="fr-FR"/>
              </w:rPr>
              <w:t>1389600</w:t>
            </w:r>
          </w:p>
        </w:tc>
        <w:tc>
          <w:tcPr>
            <w:tcW w:w="1323" w:type="dxa"/>
            <w:vAlign w:val="center"/>
          </w:tcPr>
          <w:p w14:paraId="0E17D4A4" w14:textId="77777777" w:rsidR="00340594" w:rsidRPr="00A9330B" w:rsidRDefault="00340594" w:rsidP="00741C01">
            <w:pPr>
              <w:rPr>
                <w:rFonts w:cs="Arial"/>
                <w:color w:val="000000"/>
                <w:sz w:val="20"/>
                <w:szCs w:val="20"/>
              </w:rPr>
            </w:pPr>
            <w:r w:rsidRPr="00A9330B">
              <w:rPr>
                <w:rFonts w:cs="Arial"/>
                <w:color w:val="000000"/>
                <w:sz w:val="20"/>
                <w:szCs w:val="20"/>
              </w:rPr>
              <w:t>2779,2</w:t>
            </w:r>
          </w:p>
        </w:tc>
        <w:tc>
          <w:tcPr>
            <w:tcW w:w="1609" w:type="dxa"/>
            <w:vMerge/>
            <w:hideMark/>
          </w:tcPr>
          <w:p w14:paraId="434555EB" w14:textId="77777777" w:rsidR="00340594" w:rsidRPr="00A9330B" w:rsidRDefault="00340594" w:rsidP="006E44FB">
            <w:pPr>
              <w:spacing w:line="240" w:lineRule="auto"/>
              <w:rPr>
                <w:rFonts w:cs="Arial"/>
                <w:b/>
                <w:bCs/>
                <w:color w:val="000000"/>
                <w:sz w:val="20"/>
                <w:szCs w:val="20"/>
                <w:lang w:eastAsia="fr-FR"/>
              </w:rPr>
            </w:pPr>
          </w:p>
        </w:tc>
      </w:tr>
      <w:tr w:rsidR="00340594" w:rsidRPr="00A9330B" w14:paraId="09A99968" w14:textId="77777777" w:rsidTr="00741C01">
        <w:trPr>
          <w:trHeight w:val="314"/>
        </w:trPr>
        <w:tc>
          <w:tcPr>
            <w:tcW w:w="1607" w:type="dxa"/>
            <w:vMerge/>
            <w:hideMark/>
          </w:tcPr>
          <w:p w14:paraId="0AF9CB04" w14:textId="77777777" w:rsidR="00340594" w:rsidRPr="00A9330B" w:rsidRDefault="00340594" w:rsidP="006E44FB">
            <w:pPr>
              <w:spacing w:line="240" w:lineRule="auto"/>
              <w:jc w:val="left"/>
              <w:rPr>
                <w:rFonts w:cs="Arial"/>
                <w:b/>
                <w:bCs/>
                <w:color w:val="000000"/>
                <w:sz w:val="20"/>
                <w:szCs w:val="20"/>
                <w:lang w:eastAsia="fr-FR"/>
              </w:rPr>
            </w:pPr>
          </w:p>
        </w:tc>
        <w:tc>
          <w:tcPr>
            <w:tcW w:w="2828" w:type="dxa"/>
            <w:hideMark/>
          </w:tcPr>
          <w:p w14:paraId="2BEE1047" w14:textId="77777777" w:rsidR="00340594" w:rsidRPr="00A9330B" w:rsidRDefault="00340594" w:rsidP="006E44FB">
            <w:pPr>
              <w:spacing w:line="240" w:lineRule="auto"/>
              <w:jc w:val="left"/>
              <w:rPr>
                <w:rFonts w:cs="Arial"/>
                <w:color w:val="000000"/>
                <w:sz w:val="20"/>
                <w:szCs w:val="20"/>
                <w:lang w:eastAsia="fr-FR"/>
              </w:rPr>
            </w:pPr>
            <w:r w:rsidRPr="00A9330B">
              <w:rPr>
                <w:rFonts w:cs="Arial"/>
                <w:color w:val="000000"/>
                <w:sz w:val="20"/>
                <w:szCs w:val="20"/>
                <w:lang w:eastAsia="fr-FR"/>
              </w:rPr>
              <w:t>Assistance au déménagement</w:t>
            </w:r>
          </w:p>
        </w:tc>
        <w:tc>
          <w:tcPr>
            <w:tcW w:w="1843" w:type="dxa"/>
            <w:vAlign w:val="center"/>
          </w:tcPr>
          <w:p w14:paraId="66F333A1" w14:textId="77777777" w:rsidR="00340594" w:rsidRPr="00A9330B" w:rsidRDefault="00340594" w:rsidP="00741C01">
            <w:pPr>
              <w:spacing w:line="240" w:lineRule="auto"/>
              <w:rPr>
                <w:rFonts w:cs="Arial"/>
                <w:sz w:val="20"/>
                <w:szCs w:val="20"/>
                <w:lang w:eastAsia="fr-FR"/>
              </w:rPr>
            </w:pPr>
            <w:r w:rsidRPr="00A9330B">
              <w:rPr>
                <w:rFonts w:cs="Arial"/>
                <w:sz w:val="20"/>
                <w:szCs w:val="20"/>
                <w:lang w:eastAsia="fr-FR"/>
              </w:rPr>
              <w:t>500000</w:t>
            </w:r>
          </w:p>
        </w:tc>
        <w:tc>
          <w:tcPr>
            <w:tcW w:w="1323" w:type="dxa"/>
            <w:vAlign w:val="center"/>
          </w:tcPr>
          <w:p w14:paraId="1B109E67" w14:textId="77777777" w:rsidR="00340594" w:rsidRPr="00A9330B" w:rsidRDefault="00340594" w:rsidP="00741C01">
            <w:pPr>
              <w:rPr>
                <w:rFonts w:cs="Arial"/>
                <w:color w:val="000000"/>
                <w:sz w:val="20"/>
                <w:szCs w:val="20"/>
              </w:rPr>
            </w:pPr>
            <w:r w:rsidRPr="00A9330B">
              <w:rPr>
                <w:rFonts w:cs="Arial"/>
                <w:color w:val="000000"/>
                <w:sz w:val="20"/>
                <w:szCs w:val="20"/>
              </w:rPr>
              <w:t>1000</w:t>
            </w:r>
          </w:p>
        </w:tc>
        <w:tc>
          <w:tcPr>
            <w:tcW w:w="1609" w:type="dxa"/>
            <w:vMerge/>
            <w:hideMark/>
          </w:tcPr>
          <w:p w14:paraId="67999302" w14:textId="77777777" w:rsidR="00340594" w:rsidRPr="00A9330B" w:rsidRDefault="00340594" w:rsidP="006E44FB">
            <w:pPr>
              <w:spacing w:line="240" w:lineRule="auto"/>
              <w:rPr>
                <w:rFonts w:cs="Arial"/>
                <w:b/>
                <w:bCs/>
                <w:color w:val="000000"/>
                <w:sz w:val="20"/>
                <w:szCs w:val="20"/>
                <w:lang w:eastAsia="fr-FR"/>
              </w:rPr>
            </w:pPr>
          </w:p>
        </w:tc>
      </w:tr>
      <w:tr w:rsidR="00340594" w:rsidRPr="00A9330B" w14:paraId="0BF5CB77" w14:textId="77777777" w:rsidTr="00741C01">
        <w:trPr>
          <w:trHeight w:val="479"/>
        </w:trPr>
        <w:tc>
          <w:tcPr>
            <w:tcW w:w="4435" w:type="dxa"/>
            <w:gridSpan w:val="2"/>
            <w:hideMark/>
          </w:tcPr>
          <w:p w14:paraId="4A6EF0EA" w14:textId="77777777" w:rsidR="00340594" w:rsidRPr="00A9330B" w:rsidRDefault="00340594" w:rsidP="006E44FB">
            <w:pPr>
              <w:spacing w:line="240" w:lineRule="auto"/>
              <w:jc w:val="left"/>
              <w:rPr>
                <w:rFonts w:cs="Arial"/>
                <w:color w:val="000000"/>
                <w:sz w:val="20"/>
                <w:szCs w:val="20"/>
                <w:lang w:eastAsia="fr-FR"/>
              </w:rPr>
            </w:pPr>
            <w:r w:rsidRPr="00A9330B">
              <w:rPr>
                <w:rFonts w:cs="Arial"/>
                <w:color w:val="000000"/>
                <w:sz w:val="20"/>
                <w:szCs w:val="20"/>
                <w:lang w:eastAsia="fr-FR"/>
              </w:rPr>
              <w:lastRenderedPageBreak/>
              <w:t>ONG Sociale en appui à l’AMO pour la mise en œuvre</w:t>
            </w:r>
          </w:p>
        </w:tc>
        <w:tc>
          <w:tcPr>
            <w:tcW w:w="1843" w:type="dxa"/>
            <w:vAlign w:val="center"/>
          </w:tcPr>
          <w:p w14:paraId="1D1D1B73" w14:textId="3FB8A0B2" w:rsidR="00340594" w:rsidRPr="00A9330B" w:rsidRDefault="00340594" w:rsidP="00741C01">
            <w:pPr>
              <w:spacing w:line="240" w:lineRule="auto"/>
              <w:rPr>
                <w:rFonts w:cs="Arial"/>
                <w:sz w:val="20"/>
                <w:szCs w:val="20"/>
                <w:lang w:eastAsia="fr-FR"/>
              </w:rPr>
            </w:pPr>
            <w:r w:rsidRPr="00A9330B">
              <w:rPr>
                <w:rFonts w:cs="Arial"/>
                <w:sz w:val="20"/>
                <w:szCs w:val="20"/>
                <w:lang w:eastAsia="fr-FR"/>
              </w:rPr>
              <w:t>5000000</w:t>
            </w:r>
          </w:p>
        </w:tc>
        <w:tc>
          <w:tcPr>
            <w:tcW w:w="1323" w:type="dxa"/>
            <w:vAlign w:val="center"/>
          </w:tcPr>
          <w:p w14:paraId="00B2C779" w14:textId="77777777" w:rsidR="00340594" w:rsidRPr="00A9330B" w:rsidRDefault="00340594" w:rsidP="00741C01">
            <w:pPr>
              <w:spacing w:before="0" w:line="240" w:lineRule="auto"/>
              <w:rPr>
                <w:rFonts w:cs="Arial"/>
                <w:color w:val="000000"/>
                <w:sz w:val="20"/>
                <w:szCs w:val="20"/>
                <w:lang w:eastAsia="fr-FR"/>
              </w:rPr>
            </w:pPr>
            <w:r w:rsidRPr="00A9330B">
              <w:rPr>
                <w:rFonts w:cs="Arial"/>
                <w:color w:val="000000"/>
                <w:sz w:val="20"/>
                <w:szCs w:val="20"/>
              </w:rPr>
              <w:t>10000</w:t>
            </w:r>
          </w:p>
        </w:tc>
        <w:tc>
          <w:tcPr>
            <w:tcW w:w="1609" w:type="dxa"/>
            <w:hideMark/>
          </w:tcPr>
          <w:p w14:paraId="659B2560" w14:textId="77777777" w:rsidR="00340594" w:rsidRPr="00A9330B" w:rsidRDefault="00340594" w:rsidP="006E44FB">
            <w:pPr>
              <w:spacing w:line="240" w:lineRule="auto"/>
              <w:rPr>
                <w:rFonts w:cs="Arial"/>
                <w:b/>
                <w:color w:val="000000"/>
                <w:sz w:val="20"/>
                <w:szCs w:val="20"/>
                <w:lang w:eastAsia="fr-FR"/>
              </w:rPr>
            </w:pPr>
            <w:r w:rsidRPr="00A9330B">
              <w:rPr>
                <w:rFonts w:cs="Arial"/>
                <w:b/>
                <w:color w:val="000000"/>
                <w:sz w:val="20"/>
                <w:szCs w:val="20"/>
                <w:lang w:eastAsia="fr-FR"/>
              </w:rPr>
              <w:t>BAD</w:t>
            </w:r>
          </w:p>
        </w:tc>
      </w:tr>
      <w:tr w:rsidR="00340594" w:rsidRPr="00A9330B" w14:paraId="0FBF0EA1" w14:textId="77777777" w:rsidTr="00741C01">
        <w:trPr>
          <w:trHeight w:val="543"/>
        </w:trPr>
        <w:tc>
          <w:tcPr>
            <w:tcW w:w="4435" w:type="dxa"/>
            <w:gridSpan w:val="2"/>
            <w:hideMark/>
          </w:tcPr>
          <w:p w14:paraId="6F8B4F45" w14:textId="77777777" w:rsidR="00340594" w:rsidRPr="00A9330B" w:rsidRDefault="00340594" w:rsidP="006E44FB">
            <w:pPr>
              <w:spacing w:line="240" w:lineRule="auto"/>
              <w:jc w:val="left"/>
              <w:rPr>
                <w:rFonts w:cs="Arial"/>
                <w:color w:val="000000"/>
                <w:sz w:val="20"/>
                <w:szCs w:val="20"/>
                <w:lang w:eastAsia="fr-FR"/>
              </w:rPr>
            </w:pPr>
            <w:r w:rsidRPr="00A9330B">
              <w:rPr>
                <w:rFonts w:cs="Arial"/>
                <w:color w:val="000000"/>
                <w:sz w:val="20"/>
                <w:szCs w:val="20"/>
                <w:lang w:eastAsia="fr-FR"/>
              </w:rPr>
              <w:t>Consultant en charge de la mise à jour du recensement</w:t>
            </w:r>
          </w:p>
        </w:tc>
        <w:tc>
          <w:tcPr>
            <w:tcW w:w="1843" w:type="dxa"/>
            <w:vAlign w:val="center"/>
          </w:tcPr>
          <w:p w14:paraId="4E6D0F5D" w14:textId="77777777" w:rsidR="00340594" w:rsidRPr="00A9330B" w:rsidRDefault="00340594" w:rsidP="00741C01">
            <w:pPr>
              <w:spacing w:line="240" w:lineRule="auto"/>
              <w:rPr>
                <w:rFonts w:cs="Arial"/>
                <w:sz w:val="20"/>
                <w:szCs w:val="20"/>
                <w:lang w:eastAsia="fr-FR"/>
              </w:rPr>
            </w:pPr>
            <w:r w:rsidRPr="00A9330B">
              <w:rPr>
                <w:rFonts w:cs="Arial"/>
                <w:sz w:val="20"/>
                <w:szCs w:val="20"/>
                <w:lang w:eastAsia="fr-FR"/>
              </w:rPr>
              <w:t>10000000</w:t>
            </w:r>
          </w:p>
        </w:tc>
        <w:tc>
          <w:tcPr>
            <w:tcW w:w="1323" w:type="dxa"/>
            <w:vAlign w:val="center"/>
          </w:tcPr>
          <w:p w14:paraId="48F34205" w14:textId="77777777" w:rsidR="00340594" w:rsidRPr="00A9330B" w:rsidRDefault="00340594" w:rsidP="00741C01">
            <w:pPr>
              <w:rPr>
                <w:rFonts w:cs="Arial"/>
                <w:color w:val="000000"/>
                <w:sz w:val="20"/>
                <w:szCs w:val="20"/>
              </w:rPr>
            </w:pPr>
            <w:r w:rsidRPr="00A9330B">
              <w:rPr>
                <w:rFonts w:cs="Arial"/>
                <w:color w:val="000000"/>
                <w:sz w:val="20"/>
                <w:szCs w:val="20"/>
              </w:rPr>
              <w:t>20000</w:t>
            </w:r>
          </w:p>
        </w:tc>
        <w:tc>
          <w:tcPr>
            <w:tcW w:w="1609" w:type="dxa"/>
            <w:hideMark/>
          </w:tcPr>
          <w:p w14:paraId="37388E7C" w14:textId="77777777" w:rsidR="00340594" w:rsidRPr="00A9330B" w:rsidRDefault="00340594" w:rsidP="006E44FB">
            <w:pPr>
              <w:spacing w:line="240" w:lineRule="auto"/>
              <w:rPr>
                <w:rFonts w:cs="Arial"/>
                <w:b/>
                <w:color w:val="000000"/>
                <w:sz w:val="20"/>
                <w:szCs w:val="20"/>
                <w:lang w:eastAsia="fr-FR"/>
              </w:rPr>
            </w:pPr>
            <w:r w:rsidRPr="00A9330B">
              <w:rPr>
                <w:rFonts w:cs="Arial"/>
                <w:b/>
                <w:color w:val="000000"/>
                <w:sz w:val="20"/>
                <w:szCs w:val="20"/>
                <w:lang w:eastAsia="fr-FR"/>
              </w:rPr>
              <w:t>BAD</w:t>
            </w:r>
          </w:p>
        </w:tc>
      </w:tr>
      <w:tr w:rsidR="00340594" w:rsidRPr="00A9330B" w14:paraId="720228FE" w14:textId="77777777" w:rsidTr="00741C01">
        <w:trPr>
          <w:trHeight w:val="551"/>
        </w:trPr>
        <w:tc>
          <w:tcPr>
            <w:tcW w:w="4435" w:type="dxa"/>
            <w:gridSpan w:val="2"/>
            <w:hideMark/>
          </w:tcPr>
          <w:p w14:paraId="2FA0F953" w14:textId="77777777" w:rsidR="00340594" w:rsidRPr="00A9330B" w:rsidRDefault="00340594" w:rsidP="006E44FB">
            <w:pPr>
              <w:spacing w:line="240" w:lineRule="auto"/>
              <w:jc w:val="left"/>
              <w:rPr>
                <w:rFonts w:cs="Arial"/>
                <w:color w:val="000000"/>
                <w:sz w:val="20"/>
                <w:szCs w:val="20"/>
                <w:lang w:eastAsia="fr-FR"/>
              </w:rPr>
            </w:pPr>
            <w:r w:rsidRPr="00A9330B">
              <w:rPr>
                <w:rFonts w:cs="Arial"/>
                <w:color w:val="000000"/>
                <w:sz w:val="20"/>
                <w:szCs w:val="20"/>
                <w:lang w:eastAsia="fr-FR"/>
              </w:rPr>
              <w:t>Consultant en charge du suivi externe et de la réalisation d’audit final</w:t>
            </w:r>
          </w:p>
        </w:tc>
        <w:tc>
          <w:tcPr>
            <w:tcW w:w="1843" w:type="dxa"/>
            <w:vAlign w:val="center"/>
          </w:tcPr>
          <w:p w14:paraId="4D89BFE4" w14:textId="28F9A4DB" w:rsidR="00340594" w:rsidRPr="00A9330B" w:rsidRDefault="00340594" w:rsidP="00741C01">
            <w:pPr>
              <w:spacing w:line="240" w:lineRule="auto"/>
              <w:rPr>
                <w:rFonts w:cs="Arial"/>
                <w:sz w:val="20"/>
                <w:szCs w:val="20"/>
                <w:lang w:eastAsia="fr-FR"/>
              </w:rPr>
            </w:pPr>
            <w:r w:rsidRPr="00A9330B">
              <w:rPr>
                <w:rFonts w:cs="Arial"/>
                <w:sz w:val="20"/>
                <w:szCs w:val="20"/>
                <w:lang w:eastAsia="fr-FR"/>
              </w:rPr>
              <w:t>7500000</w:t>
            </w:r>
          </w:p>
        </w:tc>
        <w:tc>
          <w:tcPr>
            <w:tcW w:w="1323" w:type="dxa"/>
            <w:vAlign w:val="center"/>
          </w:tcPr>
          <w:p w14:paraId="38936665" w14:textId="77777777" w:rsidR="00340594" w:rsidRPr="00A9330B" w:rsidRDefault="00340594" w:rsidP="00741C01">
            <w:pPr>
              <w:rPr>
                <w:rFonts w:cs="Arial"/>
                <w:color w:val="000000"/>
                <w:sz w:val="20"/>
                <w:szCs w:val="20"/>
              </w:rPr>
            </w:pPr>
            <w:r w:rsidRPr="00A9330B">
              <w:rPr>
                <w:rFonts w:cs="Arial"/>
                <w:color w:val="000000"/>
                <w:sz w:val="20"/>
                <w:szCs w:val="20"/>
              </w:rPr>
              <w:t>15000</w:t>
            </w:r>
          </w:p>
        </w:tc>
        <w:tc>
          <w:tcPr>
            <w:tcW w:w="1609" w:type="dxa"/>
            <w:hideMark/>
          </w:tcPr>
          <w:p w14:paraId="09CBFEFF" w14:textId="77777777" w:rsidR="00340594" w:rsidRPr="00A9330B" w:rsidRDefault="00340594" w:rsidP="006E44FB">
            <w:pPr>
              <w:spacing w:line="240" w:lineRule="auto"/>
              <w:rPr>
                <w:rFonts w:cs="Arial"/>
                <w:b/>
                <w:color w:val="000000"/>
                <w:sz w:val="20"/>
                <w:szCs w:val="20"/>
                <w:lang w:eastAsia="fr-FR"/>
              </w:rPr>
            </w:pPr>
            <w:r w:rsidRPr="00A9330B">
              <w:rPr>
                <w:rFonts w:cs="Arial"/>
                <w:b/>
                <w:color w:val="000000"/>
                <w:sz w:val="20"/>
                <w:szCs w:val="20"/>
                <w:lang w:eastAsia="fr-FR"/>
              </w:rPr>
              <w:t>BAD</w:t>
            </w:r>
          </w:p>
        </w:tc>
      </w:tr>
      <w:tr w:rsidR="00340594" w:rsidRPr="00A9330B" w14:paraId="3AC75372" w14:textId="77777777" w:rsidTr="00741C01">
        <w:trPr>
          <w:trHeight w:val="314"/>
        </w:trPr>
        <w:tc>
          <w:tcPr>
            <w:tcW w:w="4435" w:type="dxa"/>
            <w:gridSpan w:val="2"/>
            <w:hideMark/>
          </w:tcPr>
          <w:p w14:paraId="57EB867E" w14:textId="77777777" w:rsidR="00340594" w:rsidRPr="00A9330B" w:rsidRDefault="00340594" w:rsidP="006E44FB">
            <w:pPr>
              <w:spacing w:line="240" w:lineRule="auto"/>
              <w:jc w:val="left"/>
              <w:rPr>
                <w:rFonts w:cs="Arial"/>
                <w:color w:val="000000"/>
                <w:sz w:val="20"/>
                <w:szCs w:val="20"/>
                <w:lang w:eastAsia="fr-FR"/>
              </w:rPr>
            </w:pPr>
            <w:r w:rsidRPr="00A9330B">
              <w:rPr>
                <w:rFonts w:cs="Arial"/>
                <w:color w:val="000000"/>
                <w:sz w:val="20"/>
                <w:szCs w:val="20"/>
                <w:lang w:eastAsia="fr-FR"/>
              </w:rPr>
              <w:t>Diffusion du PAR</w:t>
            </w:r>
          </w:p>
        </w:tc>
        <w:tc>
          <w:tcPr>
            <w:tcW w:w="1843" w:type="dxa"/>
            <w:vAlign w:val="center"/>
          </w:tcPr>
          <w:p w14:paraId="0193711C" w14:textId="0C363762" w:rsidR="00340594" w:rsidRPr="00A9330B" w:rsidRDefault="00340594" w:rsidP="00741C01">
            <w:pPr>
              <w:spacing w:line="240" w:lineRule="auto"/>
              <w:rPr>
                <w:rFonts w:cs="Arial"/>
                <w:sz w:val="20"/>
                <w:szCs w:val="20"/>
                <w:lang w:eastAsia="fr-FR"/>
              </w:rPr>
            </w:pPr>
            <w:r w:rsidRPr="00A9330B">
              <w:rPr>
                <w:rFonts w:cs="Arial"/>
                <w:sz w:val="20"/>
                <w:szCs w:val="20"/>
                <w:lang w:eastAsia="fr-FR"/>
              </w:rPr>
              <w:t>500000</w:t>
            </w:r>
          </w:p>
        </w:tc>
        <w:tc>
          <w:tcPr>
            <w:tcW w:w="1323" w:type="dxa"/>
            <w:vAlign w:val="center"/>
          </w:tcPr>
          <w:p w14:paraId="1066F0C7" w14:textId="77777777" w:rsidR="00340594" w:rsidRPr="00A9330B" w:rsidRDefault="00340594" w:rsidP="00741C01">
            <w:pPr>
              <w:rPr>
                <w:rFonts w:cs="Arial"/>
                <w:color w:val="000000"/>
                <w:sz w:val="20"/>
                <w:szCs w:val="20"/>
              </w:rPr>
            </w:pPr>
            <w:r w:rsidRPr="00A9330B">
              <w:rPr>
                <w:rFonts w:cs="Arial"/>
                <w:color w:val="000000"/>
                <w:sz w:val="20"/>
                <w:szCs w:val="20"/>
              </w:rPr>
              <w:t>1000</w:t>
            </w:r>
          </w:p>
        </w:tc>
        <w:tc>
          <w:tcPr>
            <w:tcW w:w="1609" w:type="dxa"/>
            <w:hideMark/>
          </w:tcPr>
          <w:p w14:paraId="582FBF36" w14:textId="77777777" w:rsidR="00340594" w:rsidRPr="00A9330B" w:rsidRDefault="00340594" w:rsidP="006E44FB">
            <w:pPr>
              <w:spacing w:line="240" w:lineRule="auto"/>
              <w:rPr>
                <w:rFonts w:cs="Arial"/>
                <w:b/>
                <w:color w:val="000000"/>
                <w:sz w:val="20"/>
                <w:szCs w:val="20"/>
                <w:lang w:eastAsia="fr-FR"/>
              </w:rPr>
            </w:pPr>
            <w:r w:rsidRPr="00A9330B">
              <w:rPr>
                <w:rFonts w:cs="Arial"/>
                <w:b/>
                <w:color w:val="000000"/>
                <w:sz w:val="20"/>
                <w:szCs w:val="20"/>
                <w:lang w:eastAsia="fr-FR"/>
              </w:rPr>
              <w:t>BAD</w:t>
            </w:r>
          </w:p>
        </w:tc>
      </w:tr>
      <w:tr w:rsidR="00340594" w:rsidRPr="00A9330B" w14:paraId="71BC1E66" w14:textId="77777777" w:rsidTr="00741C01">
        <w:trPr>
          <w:trHeight w:val="365"/>
        </w:trPr>
        <w:tc>
          <w:tcPr>
            <w:tcW w:w="4435" w:type="dxa"/>
            <w:gridSpan w:val="2"/>
            <w:hideMark/>
          </w:tcPr>
          <w:p w14:paraId="0BD90FE3" w14:textId="77777777" w:rsidR="00340594" w:rsidRPr="00A9330B" w:rsidRDefault="00340594" w:rsidP="006E44FB">
            <w:pPr>
              <w:spacing w:line="240" w:lineRule="auto"/>
              <w:jc w:val="left"/>
              <w:rPr>
                <w:rFonts w:cs="Arial"/>
                <w:color w:val="000000"/>
                <w:sz w:val="20"/>
                <w:szCs w:val="20"/>
                <w:lang w:eastAsia="fr-FR"/>
              </w:rPr>
            </w:pPr>
            <w:r w:rsidRPr="00A9330B">
              <w:rPr>
                <w:rFonts w:cs="Arial"/>
                <w:color w:val="000000"/>
                <w:sz w:val="20"/>
                <w:szCs w:val="20"/>
                <w:lang w:eastAsia="fr-FR"/>
              </w:rPr>
              <w:t>Comité Local de Réinstallation (médiation et conciliation)</w:t>
            </w:r>
          </w:p>
        </w:tc>
        <w:tc>
          <w:tcPr>
            <w:tcW w:w="1843" w:type="dxa"/>
            <w:vAlign w:val="center"/>
          </w:tcPr>
          <w:p w14:paraId="21433848" w14:textId="16F76B91" w:rsidR="00340594" w:rsidRPr="00A9330B" w:rsidRDefault="00340594" w:rsidP="00741C01">
            <w:pPr>
              <w:spacing w:line="240" w:lineRule="auto"/>
              <w:rPr>
                <w:rFonts w:cs="Arial"/>
                <w:sz w:val="20"/>
                <w:szCs w:val="20"/>
                <w:lang w:eastAsia="fr-FR"/>
              </w:rPr>
            </w:pPr>
            <w:r w:rsidRPr="00A9330B">
              <w:rPr>
                <w:rFonts w:cs="Arial"/>
                <w:sz w:val="20"/>
                <w:szCs w:val="20"/>
                <w:lang w:eastAsia="fr-FR"/>
              </w:rPr>
              <w:t>4000000</w:t>
            </w:r>
          </w:p>
        </w:tc>
        <w:tc>
          <w:tcPr>
            <w:tcW w:w="1323" w:type="dxa"/>
            <w:vAlign w:val="center"/>
          </w:tcPr>
          <w:p w14:paraId="2AD2DA34" w14:textId="77777777" w:rsidR="00340594" w:rsidRPr="00A9330B" w:rsidRDefault="00340594" w:rsidP="00741C01">
            <w:pPr>
              <w:rPr>
                <w:rFonts w:cs="Arial"/>
                <w:color w:val="000000"/>
                <w:sz w:val="20"/>
                <w:szCs w:val="20"/>
              </w:rPr>
            </w:pPr>
            <w:r w:rsidRPr="00A9330B">
              <w:rPr>
                <w:rFonts w:cs="Arial"/>
                <w:color w:val="000000"/>
                <w:sz w:val="20"/>
                <w:szCs w:val="20"/>
              </w:rPr>
              <w:t>8000</w:t>
            </w:r>
          </w:p>
        </w:tc>
        <w:tc>
          <w:tcPr>
            <w:tcW w:w="1609" w:type="dxa"/>
            <w:hideMark/>
          </w:tcPr>
          <w:p w14:paraId="7609D1A2" w14:textId="77777777" w:rsidR="00340594" w:rsidRPr="00A9330B" w:rsidRDefault="00340594" w:rsidP="006E44FB">
            <w:pPr>
              <w:spacing w:line="240" w:lineRule="auto"/>
              <w:rPr>
                <w:rFonts w:cs="Arial"/>
                <w:b/>
                <w:color w:val="000000"/>
                <w:sz w:val="20"/>
                <w:szCs w:val="20"/>
                <w:lang w:eastAsia="fr-FR"/>
              </w:rPr>
            </w:pPr>
            <w:r w:rsidRPr="00A9330B">
              <w:rPr>
                <w:rFonts w:cs="Arial"/>
                <w:b/>
                <w:color w:val="000000"/>
                <w:sz w:val="20"/>
                <w:szCs w:val="20"/>
                <w:lang w:eastAsia="fr-FR"/>
              </w:rPr>
              <w:t>BAD</w:t>
            </w:r>
          </w:p>
        </w:tc>
      </w:tr>
      <w:tr w:rsidR="00340594" w:rsidRPr="00A9330B" w14:paraId="2372E4F2" w14:textId="77777777" w:rsidTr="00741C01">
        <w:trPr>
          <w:trHeight w:val="300"/>
        </w:trPr>
        <w:tc>
          <w:tcPr>
            <w:tcW w:w="4435" w:type="dxa"/>
            <w:gridSpan w:val="2"/>
            <w:hideMark/>
          </w:tcPr>
          <w:p w14:paraId="58E71448" w14:textId="77777777" w:rsidR="00340594" w:rsidRPr="00A9330B" w:rsidRDefault="00340594" w:rsidP="006E44FB">
            <w:pPr>
              <w:spacing w:line="240" w:lineRule="auto"/>
              <w:jc w:val="left"/>
              <w:rPr>
                <w:rFonts w:cs="Arial"/>
                <w:color w:val="000000"/>
                <w:sz w:val="20"/>
                <w:szCs w:val="20"/>
                <w:lang w:eastAsia="fr-FR"/>
              </w:rPr>
            </w:pPr>
            <w:r w:rsidRPr="00A9330B">
              <w:rPr>
                <w:rFonts w:cs="Arial"/>
                <w:color w:val="000000"/>
                <w:sz w:val="20"/>
                <w:szCs w:val="20"/>
                <w:lang w:eastAsia="fr-FR"/>
              </w:rPr>
              <w:t>Renforcement de capacités</w:t>
            </w:r>
          </w:p>
        </w:tc>
        <w:tc>
          <w:tcPr>
            <w:tcW w:w="1843" w:type="dxa"/>
            <w:vAlign w:val="center"/>
          </w:tcPr>
          <w:p w14:paraId="3401F748" w14:textId="2CE65FA9" w:rsidR="00340594" w:rsidRPr="00A9330B" w:rsidRDefault="00340594" w:rsidP="00741C01">
            <w:pPr>
              <w:spacing w:line="240" w:lineRule="auto"/>
              <w:rPr>
                <w:rFonts w:cs="Arial"/>
                <w:sz w:val="20"/>
                <w:szCs w:val="20"/>
                <w:lang w:eastAsia="fr-FR"/>
              </w:rPr>
            </w:pPr>
            <w:r w:rsidRPr="00A9330B">
              <w:rPr>
                <w:rFonts w:cs="Arial"/>
                <w:sz w:val="20"/>
                <w:szCs w:val="20"/>
                <w:lang w:eastAsia="fr-FR"/>
              </w:rPr>
              <w:t>2000000</w:t>
            </w:r>
          </w:p>
        </w:tc>
        <w:tc>
          <w:tcPr>
            <w:tcW w:w="1323" w:type="dxa"/>
            <w:vAlign w:val="center"/>
          </w:tcPr>
          <w:p w14:paraId="4A7858ED" w14:textId="77777777" w:rsidR="00340594" w:rsidRPr="00A9330B" w:rsidRDefault="00340594" w:rsidP="00741C01">
            <w:pPr>
              <w:rPr>
                <w:rFonts w:cs="Arial"/>
                <w:color w:val="000000"/>
                <w:sz w:val="20"/>
                <w:szCs w:val="20"/>
              </w:rPr>
            </w:pPr>
            <w:r w:rsidRPr="00A9330B">
              <w:rPr>
                <w:rFonts w:cs="Arial"/>
                <w:color w:val="000000"/>
                <w:sz w:val="20"/>
                <w:szCs w:val="20"/>
              </w:rPr>
              <w:t>4000</w:t>
            </w:r>
          </w:p>
        </w:tc>
        <w:tc>
          <w:tcPr>
            <w:tcW w:w="1609" w:type="dxa"/>
            <w:hideMark/>
          </w:tcPr>
          <w:p w14:paraId="05F858CA" w14:textId="77777777" w:rsidR="00340594" w:rsidRPr="00A9330B" w:rsidRDefault="00340594" w:rsidP="006E44FB">
            <w:pPr>
              <w:spacing w:line="240" w:lineRule="auto"/>
              <w:rPr>
                <w:rFonts w:cs="Arial"/>
                <w:b/>
                <w:color w:val="000000"/>
                <w:sz w:val="20"/>
                <w:szCs w:val="20"/>
                <w:lang w:eastAsia="fr-FR"/>
              </w:rPr>
            </w:pPr>
            <w:r w:rsidRPr="00A9330B">
              <w:rPr>
                <w:rFonts w:cs="Arial"/>
                <w:b/>
                <w:color w:val="000000"/>
                <w:sz w:val="20"/>
                <w:szCs w:val="20"/>
                <w:lang w:eastAsia="fr-FR"/>
              </w:rPr>
              <w:t>BAD</w:t>
            </w:r>
          </w:p>
        </w:tc>
      </w:tr>
      <w:tr w:rsidR="00340594" w:rsidRPr="00A9330B" w14:paraId="31AAF28E" w14:textId="77777777" w:rsidTr="00741C01">
        <w:trPr>
          <w:trHeight w:val="263"/>
        </w:trPr>
        <w:tc>
          <w:tcPr>
            <w:tcW w:w="4435" w:type="dxa"/>
            <w:gridSpan w:val="2"/>
            <w:hideMark/>
          </w:tcPr>
          <w:p w14:paraId="09C5EE29" w14:textId="77777777" w:rsidR="00340594" w:rsidRPr="00A9330B" w:rsidRDefault="00340594" w:rsidP="006E44FB">
            <w:pPr>
              <w:spacing w:line="240" w:lineRule="auto"/>
              <w:jc w:val="left"/>
              <w:rPr>
                <w:rFonts w:cs="Arial"/>
                <w:color w:val="000000"/>
                <w:sz w:val="20"/>
                <w:szCs w:val="20"/>
                <w:lang w:eastAsia="fr-FR"/>
              </w:rPr>
            </w:pPr>
            <w:r w:rsidRPr="00A9330B">
              <w:rPr>
                <w:rFonts w:cs="Arial"/>
                <w:color w:val="000000"/>
                <w:sz w:val="20"/>
                <w:szCs w:val="20"/>
                <w:lang w:eastAsia="fr-FR"/>
              </w:rPr>
              <w:t xml:space="preserve">Coût pour le Suivi – évaluation </w:t>
            </w:r>
          </w:p>
        </w:tc>
        <w:tc>
          <w:tcPr>
            <w:tcW w:w="1843" w:type="dxa"/>
            <w:vAlign w:val="center"/>
          </w:tcPr>
          <w:p w14:paraId="094E50FF" w14:textId="1CF0A2E6" w:rsidR="00340594" w:rsidRPr="00A9330B" w:rsidRDefault="00340594" w:rsidP="00741C01">
            <w:pPr>
              <w:spacing w:line="240" w:lineRule="auto"/>
              <w:rPr>
                <w:rFonts w:cs="Arial"/>
                <w:sz w:val="20"/>
                <w:szCs w:val="20"/>
                <w:lang w:eastAsia="fr-FR"/>
              </w:rPr>
            </w:pPr>
            <w:r w:rsidRPr="00A9330B">
              <w:rPr>
                <w:rFonts w:cs="Arial"/>
                <w:sz w:val="20"/>
                <w:szCs w:val="20"/>
                <w:lang w:eastAsia="fr-FR"/>
              </w:rPr>
              <w:t>2000000</w:t>
            </w:r>
          </w:p>
        </w:tc>
        <w:tc>
          <w:tcPr>
            <w:tcW w:w="1323" w:type="dxa"/>
            <w:vAlign w:val="center"/>
          </w:tcPr>
          <w:p w14:paraId="1C85FFA9" w14:textId="77777777" w:rsidR="00340594" w:rsidRPr="00A9330B" w:rsidRDefault="00340594" w:rsidP="00741C01">
            <w:pPr>
              <w:rPr>
                <w:rFonts w:cs="Arial"/>
                <w:color w:val="000000"/>
                <w:sz w:val="20"/>
                <w:szCs w:val="20"/>
              </w:rPr>
            </w:pPr>
            <w:r w:rsidRPr="00A9330B">
              <w:rPr>
                <w:rFonts w:cs="Arial"/>
                <w:color w:val="000000"/>
                <w:sz w:val="20"/>
                <w:szCs w:val="20"/>
              </w:rPr>
              <w:t>4000</w:t>
            </w:r>
          </w:p>
        </w:tc>
        <w:tc>
          <w:tcPr>
            <w:tcW w:w="1609" w:type="dxa"/>
            <w:hideMark/>
          </w:tcPr>
          <w:p w14:paraId="5BADB2A3" w14:textId="77777777" w:rsidR="00340594" w:rsidRPr="00A9330B" w:rsidRDefault="00340594" w:rsidP="006E44FB">
            <w:pPr>
              <w:spacing w:line="240" w:lineRule="auto"/>
              <w:rPr>
                <w:rFonts w:cs="Arial"/>
                <w:b/>
                <w:color w:val="000000"/>
                <w:sz w:val="20"/>
                <w:szCs w:val="20"/>
                <w:lang w:eastAsia="fr-FR"/>
              </w:rPr>
            </w:pPr>
            <w:r w:rsidRPr="00A9330B">
              <w:rPr>
                <w:rFonts w:cs="Arial"/>
                <w:b/>
                <w:color w:val="000000"/>
                <w:sz w:val="20"/>
                <w:szCs w:val="20"/>
                <w:lang w:eastAsia="fr-FR"/>
              </w:rPr>
              <w:t>BAD </w:t>
            </w:r>
          </w:p>
        </w:tc>
      </w:tr>
      <w:tr w:rsidR="00340594" w:rsidRPr="00A9330B" w14:paraId="6F24A12B" w14:textId="77777777" w:rsidTr="00741C01">
        <w:trPr>
          <w:trHeight w:val="304"/>
        </w:trPr>
        <w:tc>
          <w:tcPr>
            <w:tcW w:w="4435" w:type="dxa"/>
            <w:gridSpan w:val="2"/>
            <w:hideMark/>
          </w:tcPr>
          <w:p w14:paraId="0627F52D" w14:textId="77777777" w:rsidR="00340594" w:rsidRPr="00A9330B" w:rsidRDefault="00340594" w:rsidP="006E44FB">
            <w:pPr>
              <w:spacing w:line="240" w:lineRule="auto"/>
              <w:jc w:val="left"/>
              <w:rPr>
                <w:rFonts w:cs="Arial"/>
                <w:color w:val="000000"/>
                <w:sz w:val="20"/>
                <w:szCs w:val="20"/>
                <w:lang w:eastAsia="fr-FR"/>
              </w:rPr>
            </w:pPr>
            <w:r w:rsidRPr="00A9330B">
              <w:rPr>
                <w:rFonts w:cs="Arial"/>
                <w:color w:val="000000"/>
                <w:sz w:val="20"/>
                <w:szCs w:val="20"/>
                <w:lang w:eastAsia="fr-FR"/>
              </w:rPr>
              <w:t>Total 1</w:t>
            </w:r>
          </w:p>
        </w:tc>
        <w:tc>
          <w:tcPr>
            <w:tcW w:w="1843" w:type="dxa"/>
            <w:vAlign w:val="center"/>
          </w:tcPr>
          <w:p w14:paraId="45F56CAE" w14:textId="77777777" w:rsidR="00340594" w:rsidRPr="00A9330B" w:rsidRDefault="00340594" w:rsidP="00741C01">
            <w:pPr>
              <w:spacing w:before="0" w:line="240" w:lineRule="auto"/>
              <w:rPr>
                <w:rFonts w:cs="Arial"/>
                <w:color w:val="000000"/>
                <w:sz w:val="20"/>
                <w:szCs w:val="20"/>
                <w:lang w:eastAsia="fr-FR"/>
              </w:rPr>
            </w:pPr>
            <w:r w:rsidRPr="00A9330B">
              <w:rPr>
                <w:rFonts w:cs="Arial"/>
                <w:color w:val="000000"/>
                <w:sz w:val="20"/>
                <w:szCs w:val="20"/>
              </w:rPr>
              <w:t>750659015</w:t>
            </w:r>
          </w:p>
        </w:tc>
        <w:tc>
          <w:tcPr>
            <w:tcW w:w="1323" w:type="dxa"/>
            <w:vAlign w:val="center"/>
          </w:tcPr>
          <w:p w14:paraId="735724ED" w14:textId="77777777" w:rsidR="00340594" w:rsidRPr="00A9330B" w:rsidRDefault="00340594" w:rsidP="00741C01">
            <w:pPr>
              <w:rPr>
                <w:rFonts w:cs="Arial"/>
                <w:color w:val="000000"/>
                <w:sz w:val="20"/>
                <w:szCs w:val="20"/>
              </w:rPr>
            </w:pPr>
            <w:r w:rsidRPr="00A9330B">
              <w:rPr>
                <w:rFonts w:cs="Arial"/>
                <w:color w:val="000000"/>
                <w:sz w:val="20"/>
                <w:szCs w:val="20"/>
              </w:rPr>
              <w:t>1501318,03</w:t>
            </w:r>
          </w:p>
        </w:tc>
        <w:tc>
          <w:tcPr>
            <w:tcW w:w="1609" w:type="dxa"/>
            <w:hideMark/>
          </w:tcPr>
          <w:p w14:paraId="71309081" w14:textId="77777777" w:rsidR="00340594" w:rsidRPr="00A9330B" w:rsidRDefault="00340594" w:rsidP="006E44FB">
            <w:pPr>
              <w:spacing w:line="240" w:lineRule="auto"/>
              <w:rPr>
                <w:rFonts w:cs="Arial"/>
                <w:b/>
                <w:color w:val="000000"/>
                <w:sz w:val="20"/>
                <w:szCs w:val="20"/>
                <w:lang w:eastAsia="fr-FR"/>
              </w:rPr>
            </w:pPr>
            <w:r w:rsidRPr="00A9330B">
              <w:rPr>
                <w:rFonts w:cs="Arial"/>
                <w:b/>
                <w:color w:val="000000"/>
                <w:sz w:val="20"/>
                <w:szCs w:val="20"/>
                <w:lang w:eastAsia="fr-FR"/>
              </w:rPr>
              <w:t>BAD</w:t>
            </w:r>
          </w:p>
        </w:tc>
      </w:tr>
      <w:tr w:rsidR="00340594" w:rsidRPr="00A9330B" w14:paraId="6C76596D" w14:textId="77777777" w:rsidTr="00741C01">
        <w:trPr>
          <w:trHeight w:val="524"/>
        </w:trPr>
        <w:tc>
          <w:tcPr>
            <w:tcW w:w="4435" w:type="dxa"/>
            <w:gridSpan w:val="2"/>
            <w:hideMark/>
          </w:tcPr>
          <w:p w14:paraId="6B47D5A5" w14:textId="77777777" w:rsidR="00340594" w:rsidRPr="00A9330B" w:rsidRDefault="00340594" w:rsidP="006E44FB">
            <w:pPr>
              <w:spacing w:line="240" w:lineRule="auto"/>
              <w:jc w:val="left"/>
              <w:rPr>
                <w:rFonts w:cs="Arial"/>
                <w:color w:val="000000"/>
                <w:sz w:val="20"/>
                <w:szCs w:val="20"/>
                <w:lang w:eastAsia="fr-FR"/>
              </w:rPr>
            </w:pPr>
            <w:r w:rsidRPr="00A9330B">
              <w:rPr>
                <w:rFonts w:cs="Arial"/>
                <w:color w:val="000000"/>
                <w:sz w:val="20"/>
                <w:szCs w:val="20"/>
                <w:lang w:eastAsia="fr-FR"/>
              </w:rPr>
              <w:t>Coûts des mesures d’accompagnement (2 % x sous Total1)</w:t>
            </w:r>
          </w:p>
        </w:tc>
        <w:tc>
          <w:tcPr>
            <w:tcW w:w="1843" w:type="dxa"/>
            <w:vAlign w:val="center"/>
          </w:tcPr>
          <w:p w14:paraId="3EA5BC3A" w14:textId="308F5EC4" w:rsidR="00340594" w:rsidRPr="00A9330B" w:rsidRDefault="00340594" w:rsidP="00741C01">
            <w:pPr>
              <w:spacing w:before="0" w:line="240" w:lineRule="auto"/>
              <w:rPr>
                <w:rFonts w:cs="Arial"/>
                <w:color w:val="000000"/>
                <w:sz w:val="20"/>
                <w:szCs w:val="20"/>
                <w:lang w:eastAsia="fr-FR"/>
              </w:rPr>
            </w:pPr>
            <w:r w:rsidRPr="00A9330B">
              <w:rPr>
                <w:rFonts w:cs="Arial"/>
                <w:color w:val="000000"/>
                <w:sz w:val="20"/>
                <w:szCs w:val="20"/>
              </w:rPr>
              <w:t>15013180</w:t>
            </w:r>
          </w:p>
        </w:tc>
        <w:tc>
          <w:tcPr>
            <w:tcW w:w="1323" w:type="dxa"/>
            <w:vAlign w:val="center"/>
          </w:tcPr>
          <w:p w14:paraId="7732C35A" w14:textId="77777777" w:rsidR="00340594" w:rsidRPr="00A9330B" w:rsidRDefault="00340594" w:rsidP="00741C01">
            <w:pPr>
              <w:rPr>
                <w:rFonts w:cs="Arial"/>
                <w:color w:val="000000"/>
                <w:sz w:val="20"/>
                <w:szCs w:val="20"/>
              </w:rPr>
            </w:pPr>
            <w:r w:rsidRPr="00A9330B">
              <w:rPr>
                <w:rFonts w:cs="Arial"/>
                <w:color w:val="000000"/>
                <w:sz w:val="20"/>
                <w:szCs w:val="20"/>
              </w:rPr>
              <w:t>30026,36</w:t>
            </w:r>
          </w:p>
        </w:tc>
        <w:tc>
          <w:tcPr>
            <w:tcW w:w="1609" w:type="dxa"/>
            <w:hideMark/>
          </w:tcPr>
          <w:p w14:paraId="717D3C11" w14:textId="77777777" w:rsidR="00340594" w:rsidRPr="00A9330B" w:rsidRDefault="00340594" w:rsidP="006E44FB">
            <w:pPr>
              <w:spacing w:line="240" w:lineRule="auto"/>
              <w:rPr>
                <w:rFonts w:cs="Arial"/>
                <w:b/>
                <w:bCs/>
                <w:color w:val="000000"/>
                <w:sz w:val="20"/>
                <w:szCs w:val="20"/>
                <w:lang w:eastAsia="fr-FR"/>
              </w:rPr>
            </w:pPr>
            <w:r w:rsidRPr="00A9330B">
              <w:rPr>
                <w:rFonts w:cs="Arial"/>
                <w:b/>
                <w:bCs/>
                <w:color w:val="000000"/>
                <w:sz w:val="20"/>
                <w:szCs w:val="20"/>
                <w:lang w:eastAsia="fr-FR"/>
              </w:rPr>
              <w:t>BAD</w:t>
            </w:r>
          </w:p>
        </w:tc>
      </w:tr>
      <w:tr w:rsidR="00340594" w:rsidRPr="00A9330B" w14:paraId="6245D311" w14:textId="77777777" w:rsidTr="00741C01">
        <w:trPr>
          <w:trHeight w:val="314"/>
        </w:trPr>
        <w:tc>
          <w:tcPr>
            <w:tcW w:w="4435" w:type="dxa"/>
            <w:gridSpan w:val="2"/>
            <w:hideMark/>
          </w:tcPr>
          <w:p w14:paraId="1351912D" w14:textId="77777777" w:rsidR="00340594" w:rsidRPr="00A9330B" w:rsidRDefault="00340594" w:rsidP="006E44FB">
            <w:pPr>
              <w:spacing w:line="240" w:lineRule="auto"/>
              <w:jc w:val="left"/>
              <w:rPr>
                <w:rFonts w:cs="Arial"/>
                <w:color w:val="000000"/>
                <w:sz w:val="20"/>
                <w:szCs w:val="20"/>
                <w:lang w:eastAsia="fr-FR"/>
              </w:rPr>
            </w:pPr>
            <w:r w:rsidRPr="00A9330B">
              <w:rPr>
                <w:rFonts w:cs="Arial"/>
                <w:color w:val="000000"/>
                <w:sz w:val="20"/>
                <w:szCs w:val="20"/>
                <w:lang w:eastAsia="fr-FR"/>
              </w:rPr>
              <w:t>Sous-total 2</w:t>
            </w:r>
          </w:p>
        </w:tc>
        <w:tc>
          <w:tcPr>
            <w:tcW w:w="1843" w:type="dxa"/>
            <w:noWrap/>
            <w:vAlign w:val="center"/>
          </w:tcPr>
          <w:p w14:paraId="3B3B3873" w14:textId="77777777" w:rsidR="00340594" w:rsidRPr="00A9330B" w:rsidRDefault="00340594" w:rsidP="00741C01">
            <w:pPr>
              <w:spacing w:before="0" w:line="240" w:lineRule="auto"/>
              <w:rPr>
                <w:rFonts w:cs="Arial"/>
                <w:color w:val="000000"/>
                <w:sz w:val="20"/>
                <w:szCs w:val="20"/>
                <w:lang w:eastAsia="fr-FR"/>
              </w:rPr>
            </w:pPr>
            <w:r w:rsidRPr="00A9330B">
              <w:rPr>
                <w:rFonts w:cs="Arial"/>
                <w:color w:val="000000"/>
                <w:sz w:val="20"/>
                <w:szCs w:val="20"/>
              </w:rPr>
              <w:t>765672195</w:t>
            </w:r>
          </w:p>
        </w:tc>
        <w:tc>
          <w:tcPr>
            <w:tcW w:w="1323" w:type="dxa"/>
            <w:vAlign w:val="center"/>
          </w:tcPr>
          <w:p w14:paraId="69F16A18" w14:textId="77777777" w:rsidR="00340594" w:rsidRPr="00A9330B" w:rsidRDefault="00340594" w:rsidP="00741C01">
            <w:pPr>
              <w:rPr>
                <w:rFonts w:cs="Arial"/>
                <w:color w:val="000000"/>
                <w:sz w:val="20"/>
                <w:szCs w:val="20"/>
              </w:rPr>
            </w:pPr>
            <w:r w:rsidRPr="00A9330B">
              <w:rPr>
                <w:rFonts w:cs="Arial"/>
                <w:color w:val="000000"/>
                <w:sz w:val="20"/>
                <w:szCs w:val="20"/>
              </w:rPr>
              <w:t>1531344,39</w:t>
            </w:r>
          </w:p>
        </w:tc>
        <w:tc>
          <w:tcPr>
            <w:tcW w:w="1609" w:type="dxa"/>
            <w:hideMark/>
          </w:tcPr>
          <w:p w14:paraId="6D7FFE25" w14:textId="77777777" w:rsidR="00340594" w:rsidRPr="00A9330B" w:rsidRDefault="00340594" w:rsidP="006E44FB">
            <w:pPr>
              <w:spacing w:line="240" w:lineRule="auto"/>
              <w:rPr>
                <w:rFonts w:cs="Arial"/>
                <w:b/>
                <w:color w:val="000000"/>
                <w:sz w:val="20"/>
                <w:szCs w:val="20"/>
                <w:lang w:eastAsia="fr-FR"/>
              </w:rPr>
            </w:pPr>
            <w:r w:rsidRPr="00A9330B">
              <w:rPr>
                <w:rFonts w:cs="Arial"/>
                <w:b/>
                <w:color w:val="000000"/>
                <w:sz w:val="20"/>
                <w:szCs w:val="20"/>
                <w:lang w:eastAsia="fr-FR"/>
              </w:rPr>
              <w:t> </w:t>
            </w:r>
          </w:p>
        </w:tc>
      </w:tr>
      <w:tr w:rsidR="00340594" w:rsidRPr="00A9330B" w14:paraId="190A5A2F" w14:textId="77777777" w:rsidTr="00741C01">
        <w:trPr>
          <w:trHeight w:val="420"/>
        </w:trPr>
        <w:tc>
          <w:tcPr>
            <w:tcW w:w="4435" w:type="dxa"/>
            <w:gridSpan w:val="2"/>
            <w:hideMark/>
          </w:tcPr>
          <w:p w14:paraId="2BBF164F" w14:textId="77777777" w:rsidR="00340594" w:rsidRPr="00A9330B" w:rsidRDefault="00340594" w:rsidP="006E44FB">
            <w:pPr>
              <w:spacing w:line="240" w:lineRule="auto"/>
              <w:jc w:val="left"/>
              <w:rPr>
                <w:rFonts w:cs="Arial"/>
                <w:color w:val="000000"/>
                <w:sz w:val="20"/>
                <w:szCs w:val="20"/>
                <w:lang w:eastAsia="fr-FR"/>
              </w:rPr>
            </w:pPr>
            <w:r w:rsidRPr="00A9330B">
              <w:rPr>
                <w:rFonts w:cs="Arial"/>
                <w:color w:val="000000"/>
                <w:sz w:val="20"/>
                <w:szCs w:val="20"/>
                <w:lang w:eastAsia="fr-FR"/>
              </w:rPr>
              <w:t>Contingence pour les imprévus (2 %)</w:t>
            </w:r>
          </w:p>
        </w:tc>
        <w:tc>
          <w:tcPr>
            <w:tcW w:w="1843" w:type="dxa"/>
            <w:noWrap/>
            <w:vAlign w:val="center"/>
          </w:tcPr>
          <w:p w14:paraId="6F890374" w14:textId="0B23321E" w:rsidR="00741C01" w:rsidRPr="00A9330B" w:rsidRDefault="00340594" w:rsidP="00741C01">
            <w:pPr>
              <w:spacing w:before="0" w:line="240" w:lineRule="auto"/>
              <w:rPr>
                <w:rFonts w:cs="Arial"/>
                <w:color w:val="000000"/>
                <w:sz w:val="20"/>
                <w:szCs w:val="20"/>
                <w:lang w:eastAsia="fr-FR"/>
              </w:rPr>
            </w:pPr>
            <w:r w:rsidRPr="00A9330B">
              <w:rPr>
                <w:rFonts w:cs="Arial"/>
                <w:color w:val="000000"/>
                <w:sz w:val="20"/>
                <w:szCs w:val="20"/>
              </w:rPr>
              <w:t>15313444</w:t>
            </w:r>
          </w:p>
        </w:tc>
        <w:tc>
          <w:tcPr>
            <w:tcW w:w="1323" w:type="dxa"/>
            <w:vAlign w:val="center"/>
          </w:tcPr>
          <w:p w14:paraId="765675D1" w14:textId="77777777" w:rsidR="00340594" w:rsidRPr="00A9330B" w:rsidRDefault="00340594" w:rsidP="00741C01">
            <w:pPr>
              <w:rPr>
                <w:rFonts w:cs="Arial"/>
                <w:color w:val="000000"/>
                <w:sz w:val="20"/>
                <w:szCs w:val="20"/>
              </w:rPr>
            </w:pPr>
            <w:r w:rsidRPr="00A9330B">
              <w:rPr>
                <w:rFonts w:cs="Arial"/>
                <w:color w:val="000000"/>
                <w:sz w:val="20"/>
                <w:szCs w:val="20"/>
              </w:rPr>
              <w:t>30626,888</w:t>
            </w:r>
          </w:p>
        </w:tc>
        <w:tc>
          <w:tcPr>
            <w:tcW w:w="1609" w:type="dxa"/>
            <w:hideMark/>
          </w:tcPr>
          <w:p w14:paraId="6DF2DCB7" w14:textId="77777777" w:rsidR="00340594" w:rsidRPr="00A9330B" w:rsidRDefault="00340594" w:rsidP="006E44FB">
            <w:pPr>
              <w:spacing w:line="240" w:lineRule="auto"/>
              <w:rPr>
                <w:rFonts w:cs="Arial"/>
                <w:b/>
                <w:color w:val="000000"/>
                <w:sz w:val="20"/>
                <w:szCs w:val="20"/>
                <w:lang w:eastAsia="fr-FR"/>
              </w:rPr>
            </w:pPr>
            <w:r w:rsidRPr="00A9330B">
              <w:rPr>
                <w:rFonts w:cs="Arial"/>
                <w:b/>
                <w:color w:val="000000"/>
                <w:sz w:val="20"/>
                <w:szCs w:val="20"/>
                <w:lang w:eastAsia="fr-FR"/>
              </w:rPr>
              <w:t>BAD</w:t>
            </w:r>
          </w:p>
        </w:tc>
      </w:tr>
      <w:tr w:rsidR="00340594" w:rsidRPr="00A9330B" w14:paraId="09A0A485" w14:textId="77777777" w:rsidTr="00741C01">
        <w:trPr>
          <w:trHeight w:val="314"/>
        </w:trPr>
        <w:tc>
          <w:tcPr>
            <w:tcW w:w="4435" w:type="dxa"/>
            <w:gridSpan w:val="2"/>
            <w:shd w:val="clear" w:color="auto" w:fill="00B0F0"/>
            <w:vAlign w:val="center"/>
            <w:hideMark/>
          </w:tcPr>
          <w:p w14:paraId="3D3280BC" w14:textId="77777777" w:rsidR="00340594" w:rsidRPr="00A9330B" w:rsidRDefault="00340594" w:rsidP="00741C01">
            <w:pPr>
              <w:spacing w:line="240" w:lineRule="auto"/>
              <w:rPr>
                <w:rFonts w:cs="Arial"/>
                <w:b/>
                <w:bCs/>
                <w:color w:val="000000"/>
                <w:sz w:val="20"/>
                <w:szCs w:val="20"/>
                <w:lang w:eastAsia="fr-FR"/>
              </w:rPr>
            </w:pPr>
            <w:r w:rsidRPr="00A9330B">
              <w:rPr>
                <w:rFonts w:cs="Arial"/>
                <w:b/>
                <w:bCs/>
                <w:color w:val="000000"/>
                <w:sz w:val="20"/>
                <w:szCs w:val="20"/>
                <w:lang w:eastAsia="fr-FR"/>
              </w:rPr>
              <w:t>Montant Total</w:t>
            </w:r>
          </w:p>
        </w:tc>
        <w:tc>
          <w:tcPr>
            <w:tcW w:w="1843" w:type="dxa"/>
            <w:shd w:val="clear" w:color="auto" w:fill="00B0F0"/>
            <w:vAlign w:val="center"/>
          </w:tcPr>
          <w:p w14:paraId="558186F6" w14:textId="77777777" w:rsidR="00340594" w:rsidRPr="00A9330B" w:rsidRDefault="00340594" w:rsidP="00741C01">
            <w:pPr>
              <w:spacing w:before="0" w:line="240" w:lineRule="auto"/>
              <w:rPr>
                <w:rFonts w:cs="Arial"/>
                <w:b/>
                <w:color w:val="000000"/>
                <w:sz w:val="20"/>
                <w:szCs w:val="20"/>
                <w:lang w:eastAsia="fr-FR"/>
              </w:rPr>
            </w:pPr>
            <w:r w:rsidRPr="00A9330B">
              <w:rPr>
                <w:rFonts w:cs="Arial"/>
                <w:b/>
                <w:color w:val="000000"/>
                <w:sz w:val="20"/>
                <w:szCs w:val="20"/>
              </w:rPr>
              <w:t>780985639</w:t>
            </w:r>
          </w:p>
        </w:tc>
        <w:tc>
          <w:tcPr>
            <w:tcW w:w="1323" w:type="dxa"/>
            <w:shd w:val="clear" w:color="auto" w:fill="00B0F0"/>
            <w:vAlign w:val="center"/>
          </w:tcPr>
          <w:p w14:paraId="65235CF6" w14:textId="77777777" w:rsidR="00340594" w:rsidRPr="00A9330B" w:rsidRDefault="00340594" w:rsidP="00741C01">
            <w:pPr>
              <w:rPr>
                <w:rFonts w:cs="Arial"/>
                <w:b/>
                <w:color w:val="000000"/>
                <w:sz w:val="20"/>
                <w:szCs w:val="20"/>
              </w:rPr>
            </w:pPr>
            <w:r w:rsidRPr="00A9330B">
              <w:rPr>
                <w:rFonts w:cs="Arial"/>
                <w:b/>
                <w:bCs/>
                <w:color w:val="000000"/>
                <w:sz w:val="20"/>
                <w:szCs w:val="20"/>
              </w:rPr>
              <w:t>1561971,28</w:t>
            </w:r>
          </w:p>
        </w:tc>
        <w:tc>
          <w:tcPr>
            <w:tcW w:w="1609" w:type="dxa"/>
            <w:shd w:val="clear" w:color="auto" w:fill="00B0F0"/>
            <w:vAlign w:val="center"/>
          </w:tcPr>
          <w:p w14:paraId="18B24228" w14:textId="77777777" w:rsidR="00340594" w:rsidRPr="00A9330B" w:rsidRDefault="00340594" w:rsidP="00741C01">
            <w:pPr>
              <w:spacing w:line="240" w:lineRule="auto"/>
              <w:rPr>
                <w:rFonts w:cs="Arial"/>
                <w:b/>
                <w:bCs/>
                <w:sz w:val="20"/>
                <w:szCs w:val="20"/>
                <w:lang w:eastAsia="fr-FR"/>
              </w:rPr>
            </w:pPr>
          </w:p>
        </w:tc>
      </w:tr>
    </w:tbl>
    <w:p w14:paraId="4EA23CBC" w14:textId="77777777" w:rsidR="00350C9E" w:rsidRPr="00A9330B" w:rsidRDefault="00350C9E" w:rsidP="00350C9E">
      <w:pPr>
        <w:spacing w:before="60" w:after="120" w:line="240" w:lineRule="auto"/>
        <w:ind w:firstLine="708"/>
        <w:jc w:val="both"/>
        <w:rPr>
          <w:rFonts w:eastAsia="Times New Roman" w:cs="Arial"/>
          <w:b/>
          <w:color w:val="auto"/>
          <w:sz w:val="20"/>
          <w:szCs w:val="20"/>
          <w:lang w:eastAsia="de-DE"/>
        </w:rPr>
      </w:pPr>
      <w:r w:rsidRPr="00A9330B">
        <w:rPr>
          <w:rFonts w:eastAsia="Times New Roman" w:cs="Arial"/>
          <w:b/>
          <w:color w:val="auto"/>
          <w:sz w:val="20"/>
          <w:szCs w:val="20"/>
          <w:lang w:eastAsia="de-DE"/>
        </w:rPr>
        <w:t>Source : CECO-BTP, juin 2020</w:t>
      </w:r>
    </w:p>
    <w:bookmarkEnd w:id="2027"/>
    <w:bookmarkEnd w:id="2041"/>
    <w:bookmarkEnd w:id="2042"/>
    <w:bookmarkEnd w:id="2043"/>
    <w:bookmarkEnd w:id="2044"/>
    <w:bookmarkEnd w:id="2045"/>
    <w:bookmarkEnd w:id="2046"/>
    <w:bookmarkEnd w:id="2047"/>
    <w:bookmarkEnd w:id="2048"/>
    <w:bookmarkEnd w:id="2049"/>
    <w:p w14:paraId="657834C2" w14:textId="77777777" w:rsidR="00350C9E" w:rsidRPr="00A9330B" w:rsidRDefault="00350C9E">
      <w:pPr>
        <w:spacing w:before="0" w:after="160" w:line="259" w:lineRule="auto"/>
        <w:rPr>
          <w:rFonts w:eastAsia="Calibri" w:cstheme="majorBidi"/>
          <w:b/>
          <w:caps/>
          <w:color w:val="00B050"/>
          <w:sz w:val="30"/>
          <w:szCs w:val="30"/>
        </w:rPr>
      </w:pPr>
      <w:r w:rsidRPr="00A9330B">
        <w:rPr>
          <w:rFonts w:eastAsia="Calibri" w:cstheme="majorBidi"/>
          <w:b/>
          <w:caps/>
          <w:color w:val="00B050"/>
          <w:sz w:val="30"/>
          <w:szCs w:val="30"/>
        </w:rPr>
        <w:br w:type="page"/>
      </w:r>
    </w:p>
    <w:p w14:paraId="0E8FDCA0" w14:textId="1522CF5F" w:rsidR="00401546" w:rsidRPr="00A9330B" w:rsidRDefault="001777E6" w:rsidP="00401546">
      <w:pPr>
        <w:keepNext/>
        <w:keepLines/>
        <w:spacing w:line="240" w:lineRule="auto"/>
        <w:outlineLvl w:val="0"/>
        <w:rPr>
          <w:rFonts w:eastAsia="Calibri" w:cstheme="majorBidi"/>
          <w:b/>
          <w:caps/>
          <w:color w:val="00B050"/>
          <w:sz w:val="30"/>
          <w:szCs w:val="30"/>
        </w:rPr>
      </w:pPr>
      <w:bookmarkStart w:id="2080" w:name="_Toc52869740"/>
      <w:bookmarkStart w:id="2081" w:name="_Toc52869890"/>
      <w:r w:rsidRPr="00A9330B">
        <w:rPr>
          <w:rFonts w:eastAsia="Calibri" w:cstheme="majorBidi"/>
          <w:b/>
          <w:caps/>
          <w:color w:val="00B050"/>
          <w:sz w:val="30"/>
          <w:szCs w:val="30"/>
        </w:rPr>
        <w:lastRenderedPageBreak/>
        <w:t>11</w:t>
      </w:r>
      <w:r w:rsidR="00401546" w:rsidRPr="00A9330B">
        <w:rPr>
          <w:rFonts w:eastAsia="Calibri" w:cstheme="majorBidi"/>
          <w:b/>
          <w:caps/>
          <w:color w:val="00B050"/>
          <w:sz w:val="30"/>
          <w:szCs w:val="30"/>
        </w:rPr>
        <w:t>.  plan de gestion environne</w:t>
      </w:r>
      <w:r w:rsidR="00741C01" w:rsidRPr="00A9330B">
        <w:rPr>
          <w:rFonts w:eastAsia="Calibri" w:cstheme="majorBidi"/>
          <w:b/>
          <w:caps/>
          <w:color w:val="00B050"/>
          <w:sz w:val="30"/>
          <w:szCs w:val="30"/>
        </w:rPr>
        <w:t>M</w:t>
      </w:r>
      <w:r w:rsidR="00401546" w:rsidRPr="00A9330B">
        <w:rPr>
          <w:rFonts w:eastAsia="Calibri" w:cstheme="majorBidi"/>
          <w:b/>
          <w:caps/>
          <w:color w:val="00B050"/>
          <w:sz w:val="30"/>
          <w:szCs w:val="30"/>
        </w:rPr>
        <w:t>entale et sociale</w:t>
      </w:r>
      <w:bookmarkEnd w:id="1999"/>
      <w:bookmarkEnd w:id="2080"/>
      <w:bookmarkEnd w:id="2081"/>
      <w:r w:rsidR="00401546" w:rsidRPr="00A9330B">
        <w:rPr>
          <w:rFonts w:eastAsia="Calibri" w:cstheme="majorBidi"/>
          <w:b/>
          <w:caps/>
          <w:color w:val="00B050"/>
          <w:sz w:val="30"/>
          <w:szCs w:val="30"/>
        </w:rPr>
        <w:t xml:space="preserve"> </w:t>
      </w:r>
    </w:p>
    <w:p w14:paraId="383F416E" w14:textId="77777777" w:rsidR="00AE574E" w:rsidRPr="00A9330B" w:rsidRDefault="00AE574E" w:rsidP="000F7BA7">
      <w:pPr>
        <w:pStyle w:val="Titre20"/>
      </w:pPr>
      <w:bookmarkStart w:id="2082" w:name="_Toc52869741"/>
      <w:bookmarkStart w:id="2083" w:name="_Toc52869891"/>
      <w:r w:rsidRPr="00A9330B">
        <w:t>11.1. Plan d’atténuation, de maximisation et de prévention des risques</w:t>
      </w:r>
      <w:bookmarkEnd w:id="2082"/>
      <w:bookmarkEnd w:id="2083"/>
    </w:p>
    <w:p w14:paraId="6DBDE90F" w14:textId="77777777" w:rsidR="00AE574E" w:rsidRPr="00A9330B" w:rsidRDefault="00AE574E" w:rsidP="00AE574E">
      <w:r w:rsidRPr="00A9330B">
        <w:t>Des mesures d’atténuation, des mesures de gestion des risques, des recommandations et autres dispositions ont été prises pour limiter les impacts négatifs des travaux du projet. Des mesures de maximisation ont été apportées aux impacts positifs. Les principales mesures proposées sont :</w:t>
      </w:r>
    </w:p>
    <w:p w14:paraId="29A2C4F5" w14:textId="77777777" w:rsidR="00AE574E" w:rsidRPr="00A9330B" w:rsidRDefault="00AE574E" w:rsidP="00BD2F72">
      <w:pPr>
        <w:pStyle w:val="Paragraphedeliste"/>
        <w:numPr>
          <w:ilvl w:val="0"/>
          <w:numId w:val="101"/>
        </w:numPr>
        <w:jc w:val="both"/>
        <w:rPr>
          <w:lang w:val="fr-FR"/>
        </w:rPr>
      </w:pPr>
      <w:r w:rsidRPr="00A9330B">
        <w:rPr>
          <w:lang w:val="fr-FR"/>
        </w:rPr>
        <w:t>Maximisation :  accorder une priorité à la main d’œuvre locale à compétence égale, faire la promotion des prestataires locaux, effectuer des sensibilisations sur la sécurité routière.</w:t>
      </w:r>
    </w:p>
    <w:p w14:paraId="646AC30B" w14:textId="25012B62" w:rsidR="00AE574E" w:rsidRPr="00A9330B" w:rsidRDefault="00AE574E" w:rsidP="00BD2F72">
      <w:pPr>
        <w:pStyle w:val="Paragraphedeliste"/>
        <w:numPr>
          <w:ilvl w:val="0"/>
          <w:numId w:val="101"/>
        </w:numPr>
        <w:jc w:val="both"/>
        <w:rPr>
          <w:lang w:val="fr-FR"/>
        </w:rPr>
      </w:pPr>
      <w:r w:rsidRPr="00A9330B">
        <w:rPr>
          <w:lang w:val="fr-FR"/>
        </w:rPr>
        <w:t>Atténuation :  les mesures sont relatives à la sécurité des travailleurs, usagers et des riverains des ouvrages projetés (port des EPI, sécurité des chantiers et des déviations, sensibilisations sur les mesures HSE, dispositif de régulation de la circulation), à la mise</w:t>
      </w:r>
      <w:r w:rsidR="00AE6338" w:rsidRPr="00A9330B">
        <w:rPr>
          <w:lang w:val="fr-FR"/>
        </w:rPr>
        <w:t xml:space="preserve"> en </w:t>
      </w:r>
      <w:r w:rsidR="00F84093" w:rsidRPr="00A9330B">
        <w:rPr>
          <w:lang w:val="fr-FR"/>
        </w:rPr>
        <w:t>œuvre</w:t>
      </w:r>
      <w:r w:rsidRPr="00A9330B">
        <w:rPr>
          <w:lang w:val="fr-FR"/>
        </w:rPr>
        <w:t xml:space="preserve"> effective des mesures de compensation et d’accompagnement (dédommagement pour les biens, compensation des pertes d’activités, accompagnement des personnes vulnérables,  compensation pour les biens cultuels), à la compensation des pertes de ressources naturelles (reboisement, plantation d’arbres d’alignement, aménagement d’espaces verts), aux sensibilisations sur l’hygiène et la santé (VIH SIDA, Covid 19 et autres pandémies), les mesures de protection des ressources naturelles (restauration des carrières, étanchéisation des aires de manipulation des huiles, graisses, lubrifiants, hydrocarbures, produits dangereux, dispositifs de récupération des eaux usées et huiles usages), etc.;</w:t>
      </w:r>
    </w:p>
    <w:p w14:paraId="6EC9673E" w14:textId="77777777" w:rsidR="00AE574E" w:rsidRPr="00A9330B" w:rsidRDefault="00AE574E" w:rsidP="00BD2F72">
      <w:pPr>
        <w:pStyle w:val="Paragraphedeliste"/>
        <w:numPr>
          <w:ilvl w:val="0"/>
          <w:numId w:val="101"/>
        </w:numPr>
        <w:jc w:val="both"/>
        <w:rPr>
          <w:lang w:val="fr-FR"/>
        </w:rPr>
      </w:pPr>
      <w:r w:rsidRPr="00A9330B">
        <w:rPr>
          <w:lang w:val="fr-FR"/>
        </w:rPr>
        <w:t>Accompagnement et renforcement des capacités : ces mesures visent à apporter une assistance aux PAP dans le cadre du projet en terme de construction de clôture, d’infrastructures sanitaires, etc. Le second volet permet de préparer les bénéficiaires à une prise en charge adéquate des acquis à travers des formations.</w:t>
      </w:r>
    </w:p>
    <w:p w14:paraId="3F8AA518" w14:textId="50F9F4C9" w:rsidR="00AE574E" w:rsidRPr="00A9330B" w:rsidRDefault="00AE574E" w:rsidP="00BD2F72">
      <w:pPr>
        <w:pStyle w:val="Paragraphedeliste"/>
        <w:numPr>
          <w:ilvl w:val="0"/>
          <w:numId w:val="101"/>
        </w:numPr>
        <w:jc w:val="both"/>
        <w:rPr>
          <w:lang w:val="fr-FR"/>
        </w:rPr>
      </w:pPr>
      <w:r w:rsidRPr="00A9330B">
        <w:rPr>
          <w:lang w:val="fr-FR"/>
        </w:rPr>
        <w:t xml:space="preserve">Prévention et limitation des risques : les principales mesures sont la protection du personnel sur site par les EPI et les protections collectives (éviter l’exposition au danger : balises, barrières, échafaudages, panneaux, restrictions d’accès, etc., protection des engins et équipements : capots, encoffrements, écrans fixes et mobiles lors des manutentions). Elle implique aussi l’élaboration d’un PHSSE par chaque entreprise devant intervenir en phase travaux afin de maîtriser les risques. La prévention intègre aussi la préservation de la santé du personnel et la prise en charge en cas de maladie (infirmerie, boite à pharmacie, </w:t>
      </w:r>
      <w:r w:rsidRPr="00A9330B">
        <w:rPr>
          <w:rFonts w:cs="Arial"/>
          <w:lang w:val="fr-FR"/>
        </w:rPr>
        <w:t>secouriste, identification d’établissements et de personnel de santé adapté en cas d’accident ou de maladie), la formation et la sensibilisation sur la prévention des risques, la sécurité incendie et l’organisation des secours en cas de sinistre.</w:t>
      </w:r>
    </w:p>
    <w:p w14:paraId="4CFE52DA" w14:textId="77777777" w:rsidR="000566F0" w:rsidRPr="00A9330B" w:rsidRDefault="000566F0" w:rsidP="00BD2F72">
      <w:pPr>
        <w:numPr>
          <w:ilvl w:val="0"/>
          <w:numId w:val="101"/>
        </w:numPr>
        <w:overflowPunct w:val="0"/>
        <w:autoSpaceDE w:val="0"/>
        <w:autoSpaceDN w:val="0"/>
        <w:adjustRightInd w:val="0"/>
        <w:ind w:left="1066"/>
        <w:jc w:val="both"/>
        <w:rPr>
          <w:rFonts w:eastAsia="Times New Roman" w:cs="Arial"/>
          <w:szCs w:val="20"/>
          <w:lang w:eastAsia="de-DE"/>
        </w:rPr>
      </w:pPr>
      <w:r w:rsidRPr="00A9330B">
        <w:rPr>
          <w:rFonts w:eastAsia="Times New Roman" w:cs="Arial"/>
          <w:szCs w:val="20"/>
          <w:lang w:eastAsia="de-DE"/>
        </w:rPr>
        <w:t xml:space="preserve">Respect des prescriptions environnementales et sociales : Un plan d’action pour la mise en œuvre des normes Environnementales et sociales, d’hygiène et de sécurité (ESHS) et d’Hygiène et de sécurité au travail (HST) et la prévention des violences basées sur le genre (VBG) et les violences contre les enfants (VCE) de même que des codes de conduite et des lignes directrices seront élaborés dans la phase de mise en œuvre du projet par les entreprises, bureau de contrôle, etc. afin de : </w:t>
      </w:r>
    </w:p>
    <w:p w14:paraId="53BD6570" w14:textId="77777777" w:rsidR="000566F0" w:rsidRPr="00A9330B" w:rsidRDefault="000566F0" w:rsidP="00BD2F72">
      <w:pPr>
        <w:numPr>
          <w:ilvl w:val="0"/>
          <w:numId w:val="130"/>
        </w:numPr>
        <w:overflowPunct w:val="0"/>
        <w:autoSpaceDE w:val="0"/>
        <w:autoSpaceDN w:val="0"/>
        <w:adjustRightInd w:val="0"/>
        <w:ind w:hanging="368"/>
        <w:jc w:val="both"/>
        <w:rPr>
          <w:rFonts w:eastAsia="Times New Roman" w:cs="Arial"/>
          <w:szCs w:val="20"/>
          <w:lang w:eastAsia="de-DE"/>
        </w:rPr>
      </w:pPr>
      <w:r w:rsidRPr="00A9330B">
        <w:rPr>
          <w:rFonts w:eastAsia="Times New Roman" w:cs="Arial"/>
          <w:szCs w:val="20"/>
          <w:lang w:eastAsia="de-DE"/>
        </w:rPr>
        <w:t xml:space="preserve">Définir clairement les obligations de tous les membres du personnel du projet (y compris les sous-traitants et les journaliers) concernant la mise en œuvre des </w:t>
      </w:r>
      <w:r w:rsidRPr="00A9330B">
        <w:rPr>
          <w:rFonts w:eastAsia="Times New Roman" w:cs="Arial"/>
          <w:szCs w:val="20"/>
          <w:lang w:eastAsia="de-DE"/>
        </w:rPr>
        <w:lastRenderedPageBreak/>
        <w:t xml:space="preserve">normes environnementales, sociales, de santé et de sécurité (ESHS) et d’hygiène et de sécurité au travail (HST) ; et </w:t>
      </w:r>
    </w:p>
    <w:p w14:paraId="23E95746" w14:textId="77777777" w:rsidR="000566F0" w:rsidRPr="00A9330B" w:rsidRDefault="000566F0" w:rsidP="00BD2F72">
      <w:pPr>
        <w:numPr>
          <w:ilvl w:val="0"/>
          <w:numId w:val="130"/>
        </w:numPr>
        <w:overflowPunct w:val="0"/>
        <w:autoSpaceDE w:val="0"/>
        <w:autoSpaceDN w:val="0"/>
        <w:adjustRightInd w:val="0"/>
        <w:ind w:hanging="368"/>
        <w:jc w:val="both"/>
        <w:rPr>
          <w:rFonts w:eastAsia="Times New Roman" w:cs="Arial"/>
          <w:szCs w:val="20"/>
          <w:lang w:eastAsia="de-DE"/>
        </w:rPr>
      </w:pPr>
      <w:r w:rsidRPr="00A9330B">
        <w:rPr>
          <w:rFonts w:eastAsia="Times New Roman" w:cs="Arial"/>
          <w:szCs w:val="20"/>
          <w:lang w:eastAsia="de-DE"/>
        </w:rPr>
        <w:t>Contribuer à prévenir, identifier et combattre la VBG et la VCE sur les chantiers et dans les communautés avoisinantes.</w:t>
      </w:r>
    </w:p>
    <w:p w14:paraId="49C5ED40" w14:textId="4A55F551" w:rsidR="000566F0" w:rsidRDefault="000566F0" w:rsidP="000566F0">
      <w:pPr>
        <w:overflowPunct w:val="0"/>
        <w:autoSpaceDE w:val="0"/>
        <w:autoSpaceDN w:val="0"/>
        <w:adjustRightInd w:val="0"/>
        <w:ind w:left="1066"/>
        <w:jc w:val="both"/>
        <w:rPr>
          <w:rFonts w:eastAsia="Times New Roman" w:cs="Arial"/>
          <w:szCs w:val="20"/>
          <w:lang w:eastAsia="de-DE"/>
        </w:rPr>
      </w:pPr>
      <w:r w:rsidRPr="00A9330B">
        <w:rPr>
          <w:rFonts w:eastAsia="Times New Roman" w:cs="Arial"/>
          <w:szCs w:val="20"/>
          <w:lang w:eastAsia="de-DE"/>
        </w:rPr>
        <w:t xml:space="preserve">Les personnes travaillant dans le projet doivent adopter les </w:t>
      </w:r>
      <w:r w:rsidR="00AE6338" w:rsidRPr="00A9330B">
        <w:rPr>
          <w:rFonts w:eastAsia="Times New Roman" w:cs="Arial"/>
          <w:szCs w:val="20"/>
          <w:lang w:eastAsia="de-DE"/>
        </w:rPr>
        <w:t>c</w:t>
      </w:r>
      <w:r w:rsidRPr="00A9330B">
        <w:rPr>
          <w:rFonts w:eastAsia="Times New Roman" w:cs="Arial"/>
          <w:szCs w:val="20"/>
          <w:lang w:eastAsia="de-DE"/>
        </w:rPr>
        <w:t>odes de conduite qui vise</w:t>
      </w:r>
      <w:r w:rsidR="00AE6338" w:rsidRPr="00A9330B">
        <w:rPr>
          <w:rFonts w:eastAsia="Times New Roman" w:cs="Arial"/>
          <w:szCs w:val="20"/>
          <w:lang w:eastAsia="de-DE"/>
        </w:rPr>
        <w:t>nt</w:t>
      </w:r>
      <w:r w:rsidRPr="00A9330B">
        <w:rPr>
          <w:rFonts w:eastAsia="Times New Roman" w:cs="Arial"/>
          <w:szCs w:val="20"/>
          <w:lang w:eastAsia="de-DE"/>
        </w:rPr>
        <w:t xml:space="preserve"> à s'assurer que tout le personnel du projet comprenne les valeurs morales du projet, les conduites que tout employé est tenu </w:t>
      </w:r>
      <w:r w:rsidR="00AE6338" w:rsidRPr="00A9330B">
        <w:rPr>
          <w:rFonts w:eastAsia="Times New Roman" w:cs="Arial"/>
          <w:szCs w:val="20"/>
          <w:lang w:eastAsia="de-DE"/>
        </w:rPr>
        <w:t xml:space="preserve">de </w:t>
      </w:r>
      <w:r w:rsidRPr="00A9330B">
        <w:rPr>
          <w:rFonts w:eastAsia="Times New Roman" w:cs="Arial"/>
          <w:szCs w:val="20"/>
          <w:lang w:eastAsia="de-DE"/>
        </w:rPr>
        <w:t xml:space="preserve">suivre et les conséquences des violations de ces valeurs. Les actes de VBG et de VCE y compris la sollicitation des enfants, sont inacceptables, qu'elles </w:t>
      </w:r>
      <w:r w:rsidR="00AE6338" w:rsidRPr="00A9330B">
        <w:rPr>
          <w:rFonts w:eastAsia="Times New Roman" w:cs="Arial"/>
          <w:szCs w:val="20"/>
          <w:lang w:eastAsia="de-DE"/>
        </w:rPr>
        <w:t xml:space="preserve">soient observées </w:t>
      </w:r>
      <w:r w:rsidRPr="00A9330B">
        <w:rPr>
          <w:rFonts w:eastAsia="Times New Roman" w:cs="Arial"/>
          <w:szCs w:val="20"/>
          <w:lang w:eastAsia="de-DE"/>
        </w:rPr>
        <w:t>sur le lieu de travail, dans les environs du lieu de travail, dans les campements de travailleurs ou dans la communauté locale. Ils constituent une faute grave et peuvent donc donner lieu à des sanctions, y compris des pénalités et/ou le licenciement, et, le cas échéant, le renvoi à la police pour la suite à donner. Des dispositions seront prises pour que les codes de conduite soient signés par les acteurs clés du projet et leur contenu diffusé et publié.</w:t>
      </w:r>
    </w:p>
    <w:p w14:paraId="5EB10AA0" w14:textId="6ADFEF3D" w:rsidR="00F84093" w:rsidRPr="005344A9" w:rsidRDefault="00F84093" w:rsidP="00F84093">
      <w:pPr>
        <w:pStyle w:val="Paragraphedeliste"/>
        <w:numPr>
          <w:ilvl w:val="0"/>
          <w:numId w:val="101"/>
        </w:numPr>
        <w:jc w:val="both"/>
        <w:rPr>
          <w:rFonts w:cs="Arial"/>
          <w:lang w:val="fr-FR"/>
        </w:rPr>
      </w:pPr>
      <w:r w:rsidRPr="005344A9">
        <w:rPr>
          <w:rFonts w:cs="Arial"/>
          <w:lang w:val="fr-FR"/>
        </w:rPr>
        <w:t xml:space="preserve">Accompagnement des infrastructures sociocommunautaires situées dans l’emprise du projet. Dans le cadre des études les infrastructures </w:t>
      </w:r>
      <w:r w:rsidR="005344A9" w:rsidRPr="005344A9">
        <w:rPr>
          <w:rFonts w:cs="Arial"/>
          <w:lang w:val="fr-FR"/>
        </w:rPr>
        <w:t>sociocommunautaires</w:t>
      </w:r>
      <w:r w:rsidRPr="005344A9">
        <w:rPr>
          <w:rFonts w:cs="Arial"/>
          <w:lang w:val="fr-FR"/>
        </w:rPr>
        <w:t xml:space="preserve"> situées dans la zone du projet ont été identifiées </w:t>
      </w:r>
      <w:r w:rsidR="005344A9" w:rsidRPr="005344A9">
        <w:rPr>
          <w:rFonts w:cs="Arial"/>
          <w:lang w:val="fr-FR"/>
        </w:rPr>
        <w:t>et r</w:t>
      </w:r>
      <w:r w:rsidR="005344A9">
        <w:rPr>
          <w:rFonts w:cs="Arial"/>
          <w:lang w:val="fr-FR"/>
        </w:rPr>
        <w:t>ecensées</w:t>
      </w:r>
      <w:r w:rsidRPr="005344A9">
        <w:rPr>
          <w:rFonts w:cs="Arial"/>
          <w:lang w:val="fr-FR"/>
        </w:rPr>
        <w:t xml:space="preserve"> (Voir Annexe 9)</w:t>
      </w:r>
    </w:p>
    <w:p w14:paraId="7C58DF55" w14:textId="5AA1B3BC" w:rsidR="00F84093" w:rsidRDefault="005344A9" w:rsidP="00F84093">
      <w:pPr>
        <w:pStyle w:val="Paragraphedeliste"/>
        <w:ind w:left="1068"/>
        <w:jc w:val="both"/>
        <w:rPr>
          <w:rFonts w:cs="Arial"/>
          <w:lang w:val="fr-FR"/>
        </w:rPr>
      </w:pPr>
      <w:r>
        <w:rPr>
          <w:rFonts w:cs="Arial"/>
          <w:lang w:val="fr-FR"/>
        </w:rPr>
        <w:t xml:space="preserve">Des activités ont été prévues par le projet pour apporter un appui à ces infrastructures afin d’atténuer les nuisances probables qu’elles peuvent subir lors des travaux et aussi bonifier les effets du projet pour les bénéficiaires. Ainsi à Natitingou il a été identifié : </w:t>
      </w:r>
    </w:p>
    <w:p w14:paraId="0D6136C2" w14:textId="77777777" w:rsidR="005344A9" w:rsidRPr="00F84093" w:rsidRDefault="005344A9" w:rsidP="005344A9">
      <w:pPr>
        <w:pStyle w:val="Paragraphedeliste"/>
        <w:widowControl w:val="0"/>
        <w:numPr>
          <w:ilvl w:val="2"/>
          <w:numId w:val="153"/>
        </w:numPr>
        <w:tabs>
          <w:tab w:val="left" w:pos="0"/>
          <w:tab w:val="left" w:pos="709"/>
          <w:tab w:val="left" w:pos="5245"/>
          <w:tab w:val="left" w:pos="5529"/>
          <w:tab w:val="left" w:pos="6096"/>
          <w:tab w:val="left" w:pos="6521"/>
          <w:tab w:val="left" w:pos="6804"/>
          <w:tab w:val="left" w:pos="8222"/>
        </w:tabs>
        <w:spacing w:before="0" w:after="120" w:line="312" w:lineRule="auto"/>
        <w:jc w:val="both"/>
        <w:rPr>
          <w:rFonts w:eastAsia="Calibri" w:cs="Arial"/>
          <w:color w:val="auto"/>
          <w:lang w:val="fr-FR" w:eastAsia="x-none"/>
        </w:rPr>
      </w:pPr>
      <w:r w:rsidRPr="00F84093">
        <w:rPr>
          <w:rFonts w:eastAsia="Calibri" w:cs="Arial"/>
          <w:color w:val="auto"/>
          <w:lang w:val="fr-FR" w:eastAsia="x-none"/>
        </w:rPr>
        <w:t>la clôture  du CEG Yimporima;</w:t>
      </w:r>
    </w:p>
    <w:p w14:paraId="657E69F2" w14:textId="77777777" w:rsidR="005344A9" w:rsidRPr="00F84093" w:rsidRDefault="005344A9" w:rsidP="005344A9">
      <w:pPr>
        <w:pStyle w:val="Paragraphedeliste"/>
        <w:widowControl w:val="0"/>
        <w:numPr>
          <w:ilvl w:val="2"/>
          <w:numId w:val="153"/>
        </w:numPr>
        <w:tabs>
          <w:tab w:val="left" w:pos="0"/>
          <w:tab w:val="left" w:pos="709"/>
          <w:tab w:val="left" w:pos="5245"/>
          <w:tab w:val="left" w:pos="5529"/>
          <w:tab w:val="left" w:pos="6096"/>
          <w:tab w:val="left" w:pos="6521"/>
          <w:tab w:val="left" w:pos="6804"/>
          <w:tab w:val="left" w:pos="8222"/>
        </w:tabs>
        <w:spacing w:before="0" w:after="120" w:line="312" w:lineRule="auto"/>
        <w:jc w:val="both"/>
        <w:rPr>
          <w:rFonts w:eastAsia="Calibri" w:cs="Arial"/>
          <w:color w:val="auto"/>
          <w:lang w:val="fr-FR" w:eastAsia="x-none"/>
        </w:rPr>
      </w:pPr>
      <w:r w:rsidRPr="00F84093">
        <w:rPr>
          <w:rFonts w:eastAsia="Calibri" w:cs="Arial"/>
          <w:color w:val="auto"/>
          <w:lang w:val="fr-FR" w:eastAsia="x-none"/>
        </w:rPr>
        <w:t xml:space="preserve">la clôture du centre des jeunes et des loisirs qui déjà défectueuse </w:t>
      </w:r>
    </w:p>
    <w:p w14:paraId="3DB34EF8" w14:textId="77777777" w:rsidR="005344A9" w:rsidRPr="00F84093" w:rsidRDefault="005344A9" w:rsidP="005344A9">
      <w:pPr>
        <w:pStyle w:val="Paragraphedeliste"/>
        <w:widowControl w:val="0"/>
        <w:numPr>
          <w:ilvl w:val="2"/>
          <w:numId w:val="153"/>
        </w:numPr>
        <w:tabs>
          <w:tab w:val="left" w:pos="0"/>
          <w:tab w:val="left" w:pos="709"/>
          <w:tab w:val="left" w:pos="5245"/>
          <w:tab w:val="left" w:pos="5529"/>
          <w:tab w:val="left" w:pos="6096"/>
          <w:tab w:val="left" w:pos="6521"/>
          <w:tab w:val="left" w:pos="6804"/>
          <w:tab w:val="left" w:pos="8222"/>
        </w:tabs>
        <w:spacing w:before="0" w:after="120" w:line="312" w:lineRule="auto"/>
        <w:jc w:val="both"/>
        <w:rPr>
          <w:rFonts w:eastAsia="Calibri" w:cs="Arial"/>
          <w:color w:val="auto"/>
          <w:lang w:val="fr-FR" w:eastAsia="x-none"/>
        </w:rPr>
      </w:pPr>
      <w:r w:rsidRPr="00F84093">
        <w:rPr>
          <w:rFonts w:eastAsia="Calibri" w:cs="Arial"/>
          <w:color w:val="auto"/>
          <w:lang w:val="fr-FR" w:eastAsia="x-none"/>
        </w:rPr>
        <w:t xml:space="preserve">la construction des blocs de latrines modernes dans le CEG Yimporima, le centre des jeunes et de loisirs, le lycée des jeunes filles </w:t>
      </w:r>
    </w:p>
    <w:p w14:paraId="22E942B5" w14:textId="77777777" w:rsidR="005344A9" w:rsidRPr="00F84093" w:rsidRDefault="005344A9" w:rsidP="005344A9">
      <w:pPr>
        <w:pStyle w:val="Paragraphedeliste"/>
        <w:widowControl w:val="0"/>
        <w:numPr>
          <w:ilvl w:val="2"/>
          <w:numId w:val="153"/>
        </w:numPr>
        <w:tabs>
          <w:tab w:val="left" w:pos="0"/>
          <w:tab w:val="left" w:pos="709"/>
          <w:tab w:val="left" w:pos="5245"/>
          <w:tab w:val="left" w:pos="5529"/>
          <w:tab w:val="left" w:pos="6096"/>
          <w:tab w:val="left" w:pos="6521"/>
          <w:tab w:val="left" w:pos="6804"/>
          <w:tab w:val="left" w:pos="8222"/>
        </w:tabs>
        <w:spacing w:before="0" w:after="120" w:line="312" w:lineRule="auto"/>
        <w:jc w:val="both"/>
        <w:rPr>
          <w:rFonts w:eastAsia="Calibri" w:cs="Arial"/>
          <w:color w:val="auto"/>
          <w:lang w:val="fr-FR" w:eastAsia="x-none"/>
        </w:rPr>
      </w:pPr>
      <w:r w:rsidRPr="00F84093">
        <w:rPr>
          <w:rFonts w:eastAsia="Calibri" w:cs="Arial"/>
          <w:color w:val="auto"/>
          <w:lang w:val="fr-FR" w:eastAsia="x-none"/>
        </w:rPr>
        <w:t xml:space="preserve">la réalisation de deux forages sur des sites à identifies notamment au niveau des exutoires </w:t>
      </w:r>
    </w:p>
    <w:p w14:paraId="087922DE" w14:textId="191AD862" w:rsidR="005344A9" w:rsidRDefault="005344A9" w:rsidP="005344A9">
      <w:pPr>
        <w:pStyle w:val="Paragraphedeliste"/>
        <w:widowControl w:val="0"/>
        <w:numPr>
          <w:ilvl w:val="2"/>
          <w:numId w:val="153"/>
        </w:numPr>
        <w:tabs>
          <w:tab w:val="left" w:pos="0"/>
          <w:tab w:val="left" w:pos="709"/>
          <w:tab w:val="left" w:pos="5245"/>
          <w:tab w:val="left" w:pos="5529"/>
          <w:tab w:val="left" w:pos="6096"/>
          <w:tab w:val="left" w:pos="6521"/>
          <w:tab w:val="left" w:pos="6804"/>
          <w:tab w:val="left" w:pos="8222"/>
        </w:tabs>
        <w:spacing w:before="0" w:after="120" w:line="312" w:lineRule="auto"/>
        <w:jc w:val="both"/>
        <w:rPr>
          <w:rFonts w:eastAsia="Calibri" w:cs="Arial"/>
          <w:color w:val="auto"/>
          <w:lang w:val="fr-FR" w:eastAsia="x-none"/>
        </w:rPr>
      </w:pPr>
      <w:r w:rsidRPr="00F84093">
        <w:rPr>
          <w:rFonts w:eastAsia="Calibri" w:cs="Arial"/>
          <w:color w:val="auto"/>
          <w:lang w:val="fr-FR" w:eastAsia="x-none"/>
        </w:rPr>
        <w:t xml:space="preserve">la construction de </w:t>
      </w:r>
      <w:r>
        <w:rPr>
          <w:rFonts w:eastAsia="Calibri" w:cs="Arial"/>
          <w:color w:val="auto"/>
          <w:lang w:val="fr-FR" w:eastAsia="x-none"/>
        </w:rPr>
        <w:t xml:space="preserve">04 </w:t>
      </w:r>
      <w:r w:rsidRPr="00F84093">
        <w:rPr>
          <w:rFonts w:eastAsia="Calibri" w:cs="Arial"/>
          <w:color w:val="auto"/>
          <w:lang w:val="fr-FR" w:eastAsia="x-none"/>
        </w:rPr>
        <w:t>centre</w:t>
      </w:r>
      <w:r>
        <w:rPr>
          <w:rFonts w:eastAsia="Calibri" w:cs="Arial"/>
          <w:color w:val="auto"/>
          <w:lang w:val="fr-FR" w:eastAsia="x-none"/>
        </w:rPr>
        <w:t>s</w:t>
      </w:r>
      <w:r w:rsidRPr="00F84093">
        <w:rPr>
          <w:rFonts w:eastAsia="Calibri" w:cs="Arial"/>
          <w:color w:val="auto"/>
          <w:lang w:val="fr-FR" w:eastAsia="x-none"/>
        </w:rPr>
        <w:t xml:space="preserve"> de regroupement de déchets </w:t>
      </w:r>
      <w:r>
        <w:rPr>
          <w:rFonts w:eastAsia="Calibri" w:cs="Arial"/>
          <w:color w:val="auto"/>
          <w:lang w:val="fr-FR" w:eastAsia="x-none"/>
        </w:rPr>
        <w:t xml:space="preserve">pour la ville </w:t>
      </w:r>
    </w:p>
    <w:p w14:paraId="35EBF6F4" w14:textId="13EC50D7" w:rsidR="005344A9" w:rsidRPr="005344A9" w:rsidRDefault="005344A9" w:rsidP="005344A9">
      <w:pPr>
        <w:widowControl w:val="0"/>
        <w:tabs>
          <w:tab w:val="left" w:pos="0"/>
          <w:tab w:val="left" w:pos="709"/>
          <w:tab w:val="left" w:pos="5245"/>
          <w:tab w:val="left" w:pos="5529"/>
          <w:tab w:val="left" w:pos="6096"/>
          <w:tab w:val="left" w:pos="6521"/>
          <w:tab w:val="left" w:pos="6804"/>
          <w:tab w:val="left" w:pos="8222"/>
        </w:tabs>
        <w:spacing w:before="0" w:after="120" w:line="312" w:lineRule="auto"/>
        <w:jc w:val="both"/>
        <w:rPr>
          <w:rFonts w:eastAsia="Calibri" w:cs="Arial"/>
          <w:color w:val="auto"/>
          <w:lang w:eastAsia="x-none"/>
        </w:rPr>
      </w:pPr>
      <w:r>
        <w:rPr>
          <w:rFonts w:eastAsia="Calibri" w:cs="Arial"/>
          <w:color w:val="auto"/>
          <w:lang w:eastAsia="x-none"/>
        </w:rPr>
        <w:t>L’évaluation du coût de ces activités sera intégrée au PGES et fera et donc partie intégrante du projet.</w:t>
      </w:r>
    </w:p>
    <w:p w14:paraId="38A09A0F" w14:textId="29440070" w:rsidR="00AE574E" w:rsidRPr="00A9330B" w:rsidRDefault="005344A9" w:rsidP="000566F0">
      <w:pPr>
        <w:jc w:val="both"/>
      </w:pPr>
      <w:r>
        <w:rPr>
          <w:color w:val="auto"/>
        </w:rPr>
        <w:t>Les mesures d’atténuation, de compensation, d’accompagnement</w:t>
      </w:r>
      <w:r w:rsidR="000566F0" w:rsidRPr="00A9330B">
        <w:rPr>
          <w:color w:val="auto"/>
        </w:rPr>
        <w:t xml:space="preserve"> ont été compilées dans la matrice du PGES et doivent faire l’objet d’une supervision environnementale.</w:t>
      </w:r>
      <w:r>
        <w:rPr>
          <w:color w:val="auto"/>
        </w:rPr>
        <w:t xml:space="preserve"> </w:t>
      </w:r>
      <w:r w:rsidR="00AE574E" w:rsidRPr="00A9330B">
        <w:t>Cette supervision environnementale permet de vérifier que le projet se réalise en conformité avec les conditions environnementales. Elle comporte deux volets : (i) la surveillance environnementale et (ii) le suivi environnemental qui sont des plans d’actions synthétisés dans un tableau de bord communément appelé Plan de Gestion Environnementale.</w:t>
      </w:r>
    </w:p>
    <w:p w14:paraId="0442F51D" w14:textId="77777777" w:rsidR="00AE574E" w:rsidRPr="00A9330B" w:rsidRDefault="00AE574E" w:rsidP="000F7BA7">
      <w:pPr>
        <w:pStyle w:val="Titre20"/>
        <w:rPr>
          <w:rFonts w:eastAsia="Times New Roman"/>
        </w:rPr>
      </w:pPr>
      <w:bookmarkStart w:id="2084" w:name="_Toc52869742"/>
      <w:bookmarkStart w:id="2085" w:name="_Toc52869892"/>
      <w:r w:rsidRPr="00A9330B">
        <w:t>11.2. Programme de surveillance environnementale</w:t>
      </w:r>
      <w:bookmarkEnd w:id="2084"/>
      <w:bookmarkEnd w:id="2085"/>
      <w:r w:rsidRPr="00A9330B">
        <w:t xml:space="preserve"> </w:t>
      </w:r>
    </w:p>
    <w:p w14:paraId="17C20DD6" w14:textId="77777777" w:rsidR="00AE574E" w:rsidRPr="00A9330B" w:rsidRDefault="00AE574E" w:rsidP="000566F0">
      <w:pPr>
        <w:jc w:val="both"/>
      </w:pPr>
      <w:r w:rsidRPr="00A9330B">
        <w:t xml:space="preserve">La surveillance environnementale est l’ensemble des activités permettant de vérifier si les mesures proposées sont mises en œuvre dans les meilleures conditions de qualité, de délais et de coût. Elle fait intervenir les acteurs ci-après : </w:t>
      </w:r>
    </w:p>
    <w:p w14:paraId="0A999C58" w14:textId="77777777" w:rsidR="00AE574E" w:rsidRPr="00A9330B" w:rsidRDefault="00AE574E" w:rsidP="005344A9">
      <w:pPr>
        <w:pStyle w:val="Paragraphedeliste"/>
        <w:numPr>
          <w:ilvl w:val="0"/>
          <w:numId w:val="101"/>
        </w:numPr>
        <w:spacing w:before="0" w:line="240" w:lineRule="auto"/>
        <w:ind w:left="1066" w:hanging="357"/>
        <w:contextualSpacing w:val="0"/>
        <w:jc w:val="both"/>
        <w:rPr>
          <w:lang w:val="fr-FR"/>
        </w:rPr>
      </w:pPr>
      <w:r w:rsidRPr="00A9330B">
        <w:rPr>
          <w:lang w:val="fr-FR"/>
        </w:rPr>
        <w:t>les entreprises adjudicataires ;</w:t>
      </w:r>
    </w:p>
    <w:p w14:paraId="420F8807" w14:textId="77777777" w:rsidR="00AE574E" w:rsidRPr="00A9330B" w:rsidRDefault="00AE574E" w:rsidP="005344A9">
      <w:pPr>
        <w:pStyle w:val="Paragraphedeliste"/>
        <w:numPr>
          <w:ilvl w:val="0"/>
          <w:numId w:val="101"/>
        </w:numPr>
        <w:spacing w:before="0" w:line="240" w:lineRule="auto"/>
        <w:ind w:left="1066" w:hanging="357"/>
        <w:contextualSpacing w:val="0"/>
        <w:jc w:val="both"/>
        <w:rPr>
          <w:lang w:val="fr-FR"/>
        </w:rPr>
      </w:pPr>
      <w:r w:rsidRPr="00A9330B">
        <w:rPr>
          <w:lang w:val="fr-FR"/>
        </w:rPr>
        <w:t>les entreprises sous-traitantes ;</w:t>
      </w:r>
    </w:p>
    <w:p w14:paraId="68E246E3" w14:textId="77777777" w:rsidR="00AE574E" w:rsidRPr="00A9330B" w:rsidRDefault="00AE574E" w:rsidP="005344A9">
      <w:pPr>
        <w:pStyle w:val="Paragraphedeliste"/>
        <w:numPr>
          <w:ilvl w:val="0"/>
          <w:numId w:val="101"/>
        </w:numPr>
        <w:spacing w:before="0" w:line="240" w:lineRule="auto"/>
        <w:ind w:left="1066" w:hanging="357"/>
        <w:contextualSpacing w:val="0"/>
        <w:jc w:val="both"/>
        <w:rPr>
          <w:lang w:val="fr-FR"/>
        </w:rPr>
      </w:pPr>
      <w:r w:rsidRPr="00A9330B">
        <w:rPr>
          <w:lang w:val="fr-FR"/>
        </w:rPr>
        <w:t xml:space="preserve">les missions de contrôles techniques et environnementales des travaux ; </w:t>
      </w:r>
    </w:p>
    <w:p w14:paraId="4BC66435" w14:textId="77777777" w:rsidR="00AE574E" w:rsidRPr="00A9330B" w:rsidRDefault="00AE574E" w:rsidP="005344A9">
      <w:pPr>
        <w:pStyle w:val="Paragraphedeliste"/>
        <w:numPr>
          <w:ilvl w:val="0"/>
          <w:numId w:val="101"/>
        </w:numPr>
        <w:spacing w:before="0" w:line="240" w:lineRule="auto"/>
        <w:ind w:left="1066" w:hanging="357"/>
        <w:contextualSpacing w:val="0"/>
        <w:jc w:val="both"/>
        <w:rPr>
          <w:lang w:val="fr-FR"/>
        </w:rPr>
      </w:pPr>
      <w:r w:rsidRPr="00A9330B">
        <w:rPr>
          <w:lang w:val="fr-FR"/>
        </w:rPr>
        <w:t>les experts et consultants ;</w:t>
      </w:r>
    </w:p>
    <w:p w14:paraId="14FF14C1" w14:textId="77777777" w:rsidR="00AE574E" w:rsidRPr="00A9330B" w:rsidRDefault="00AE574E" w:rsidP="005344A9">
      <w:pPr>
        <w:pStyle w:val="Paragraphedeliste"/>
        <w:numPr>
          <w:ilvl w:val="0"/>
          <w:numId w:val="101"/>
        </w:numPr>
        <w:spacing w:before="0" w:line="240" w:lineRule="auto"/>
        <w:ind w:left="1066" w:hanging="357"/>
        <w:contextualSpacing w:val="0"/>
        <w:jc w:val="both"/>
        <w:rPr>
          <w:lang w:val="fr-FR"/>
        </w:rPr>
      </w:pPr>
      <w:r w:rsidRPr="00A9330B">
        <w:rPr>
          <w:lang w:val="fr-FR"/>
        </w:rPr>
        <w:t>l’AMO ;</w:t>
      </w:r>
    </w:p>
    <w:p w14:paraId="18CBFF3E" w14:textId="77777777" w:rsidR="00AE574E" w:rsidRPr="00A9330B" w:rsidRDefault="00AE574E" w:rsidP="000566F0">
      <w:pPr>
        <w:jc w:val="both"/>
      </w:pPr>
      <w:r w:rsidRPr="00A9330B">
        <w:lastRenderedPageBreak/>
        <w:t>Les actions sont (i) des prescriptions à introduire dans les cahiers de charges des Entreprises qui réaliseront les travaux (mesures HSE, mesures de prévention des risques, préservation de la santé, organisation des secours, sécurité incendie, etc.), (ii) des missions à confier à la mission de contrôle ou des consultants individuels dans le cadre d’un contrat (sensibilisations, vérification des mesures HSE, validation des planning de sensibilisations, validations des documents : PHSSE, PGES-Chantier, Plan de communication de l’entreprise, plan d’urgence, etc., expertises particulières, etc.).</w:t>
      </w:r>
    </w:p>
    <w:p w14:paraId="650B99CE" w14:textId="77777777" w:rsidR="00AE574E" w:rsidRPr="00A9330B" w:rsidRDefault="00AE574E" w:rsidP="000566F0">
      <w:pPr>
        <w:jc w:val="both"/>
      </w:pPr>
      <w:r w:rsidRPr="00A9330B">
        <w:t>Les travaux réalisés feront l’objet d’une réception provisoire au cours de laquelle le respect des prescriptions environnementales est vérifié et constaté au même titre que celui des prescriptions d’ordre technique.</w:t>
      </w:r>
    </w:p>
    <w:p w14:paraId="09185B17" w14:textId="6DB71842" w:rsidR="00AE574E" w:rsidRPr="00A9330B" w:rsidRDefault="00AE574E" w:rsidP="000566F0">
      <w:pPr>
        <w:jc w:val="both"/>
      </w:pPr>
      <w:r w:rsidRPr="00A9330B">
        <w:t>La responsabilité de la surveillance incombe au Maître d’Ouvrage (ACVDT). Celui-ci doit responsabiliser les prestataires de service que sont : les Entrepreneurs, la ou les Mission(s) de Contrôle, les consultants individuels, etc.</w:t>
      </w:r>
    </w:p>
    <w:p w14:paraId="066B4060" w14:textId="77777777" w:rsidR="00AE574E" w:rsidRPr="00A9330B" w:rsidRDefault="00AE574E" w:rsidP="000566F0">
      <w:pPr>
        <w:jc w:val="both"/>
      </w:pPr>
      <w:r w:rsidRPr="00A9330B">
        <w:t>Le rapport de surveillance environnementale sera adopté pendant la réception provisoire par la structure compétente qui délivrera le quitus environnemental.</w:t>
      </w:r>
    </w:p>
    <w:p w14:paraId="5B914D22" w14:textId="77777777" w:rsidR="00AE574E" w:rsidRPr="00A9330B" w:rsidRDefault="00AE574E" w:rsidP="000F7BA7">
      <w:pPr>
        <w:pStyle w:val="Titre20"/>
      </w:pPr>
      <w:bookmarkStart w:id="2086" w:name="_Toc52869743"/>
      <w:bookmarkStart w:id="2087" w:name="_Toc52869893"/>
      <w:r w:rsidRPr="00A9330B">
        <w:t>11.3. Mécanisme de gestion des plaintes</w:t>
      </w:r>
      <w:bookmarkEnd w:id="2086"/>
      <w:bookmarkEnd w:id="2087"/>
      <w:r w:rsidRPr="00A9330B">
        <w:t xml:space="preserve"> </w:t>
      </w:r>
    </w:p>
    <w:p w14:paraId="7048FC46" w14:textId="207190D7" w:rsidR="00AE574E" w:rsidRPr="00A9330B" w:rsidRDefault="00AE574E" w:rsidP="000566F0">
      <w:pPr>
        <w:spacing w:after="120" w:line="312" w:lineRule="auto"/>
        <w:jc w:val="both"/>
        <w:rPr>
          <w:rFonts w:cs="Arial"/>
        </w:rPr>
      </w:pPr>
      <w:r w:rsidRPr="00A9330B">
        <w:rPr>
          <w:rFonts w:cs="Arial"/>
        </w:rPr>
        <w:t xml:space="preserve">Un mécanisme de gestion des plaintes est proposé pour résoudre les conflits qui peuvent naître lors des travaux de mise en œuvre du Projet d’Assainissement Pluvial de la </w:t>
      </w:r>
      <w:r w:rsidR="00AE6338" w:rsidRPr="00A9330B">
        <w:rPr>
          <w:rFonts w:cs="Arial"/>
        </w:rPr>
        <w:t>v</w:t>
      </w:r>
      <w:r w:rsidRPr="00A9330B">
        <w:rPr>
          <w:rFonts w:cs="Arial"/>
        </w:rPr>
        <w:t>ille d</w:t>
      </w:r>
      <w:r w:rsidR="00081E45" w:rsidRPr="00A9330B">
        <w:rPr>
          <w:rFonts w:cs="Arial"/>
        </w:rPr>
        <w:t>e Natitingou</w:t>
      </w:r>
      <w:r w:rsidRPr="00A9330B">
        <w:rPr>
          <w:rFonts w:cs="Arial"/>
        </w:rPr>
        <w:t xml:space="preserve">. Le processus comprend trois (03) phases : la phase de règlement à l’amiable, la phase d’arbitrage-négociation et la phase judiciaire. </w:t>
      </w:r>
    </w:p>
    <w:p w14:paraId="3B02EAFD" w14:textId="77777777" w:rsidR="00AE574E" w:rsidRPr="00A9330B" w:rsidRDefault="00AE574E" w:rsidP="000566F0">
      <w:pPr>
        <w:jc w:val="both"/>
        <w:rPr>
          <w:rFonts w:cs="Arial"/>
        </w:rPr>
      </w:pPr>
      <w:r w:rsidRPr="00A9330B">
        <w:rPr>
          <w:rFonts w:cs="Arial"/>
        </w:rPr>
        <w:t>Le comité local de médiation (niveau quartier) et la commission de conciliation (niveau arrondissement) créés pour le PAR peuvent être maintenues et mis à contribution à la fin du PAR pour gérer les plaintes relatives à la mise en œuvre des travaux. Ces comités aideront à remonter les plaintes vers les acteurs indiqués ci-après et les assisteront pour les arbitrage et négociation.</w:t>
      </w:r>
    </w:p>
    <w:p w14:paraId="79FDB290" w14:textId="77777777" w:rsidR="00AE574E" w:rsidRPr="00A9330B" w:rsidRDefault="00AE574E" w:rsidP="00AE574E">
      <w:pPr>
        <w:rPr>
          <w:rFonts w:cs="Arial"/>
        </w:rPr>
      </w:pPr>
      <w:r w:rsidRPr="00A9330B">
        <w:rPr>
          <w:rFonts w:cs="Arial"/>
        </w:rPr>
        <w:t>Des dispositions seront prises pour que les plaintes soient enregistrées à trois niveaux (03) :</w:t>
      </w:r>
    </w:p>
    <w:p w14:paraId="14B84988" w14:textId="77777777" w:rsidR="00AE574E" w:rsidRPr="00A9330B" w:rsidRDefault="00AE574E" w:rsidP="00BD2F72">
      <w:pPr>
        <w:pStyle w:val="Paragraphedeliste"/>
        <w:numPr>
          <w:ilvl w:val="0"/>
          <w:numId w:val="101"/>
        </w:numPr>
        <w:jc w:val="both"/>
        <w:rPr>
          <w:rFonts w:cs="Arial"/>
          <w:lang w:val="fr-FR"/>
        </w:rPr>
      </w:pPr>
      <w:r w:rsidRPr="00A9330B">
        <w:rPr>
          <w:rFonts w:cs="Arial"/>
          <w:lang w:val="fr-FR"/>
        </w:rPr>
        <w:t>au niveau entreprise (service HSE)</w:t>
      </w:r>
    </w:p>
    <w:p w14:paraId="7CE9ACC3" w14:textId="77777777" w:rsidR="00AE574E" w:rsidRPr="00A9330B" w:rsidRDefault="00AE574E" w:rsidP="00BD2F72">
      <w:pPr>
        <w:pStyle w:val="Paragraphedeliste"/>
        <w:numPr>
          <w:ilvl w:val="0"/>
          <w:numId w:val="101"/>
        </w:numPr>
        <w:jc w:val="both"/>
        <w:rPr>
          <w:rFonts w:cs="Arial"/>
          <w:lang w:val="fr-FR"/>
        </w:rPr>
      </w:pPr>
      <w:r w:rsidRPr="00A9330B">
        <w:rPr>
          <w:rFonts w:cs="Arial"/>
          <w:lang w:val="fr-FR"/>
        </w:rPr>
        <w:t>au niveau de la mission de Contrôle (bureau HSE)</w:t>
      </w:r>
    </w:p>
    <w:p w14:paraId="2B95A42F" w14:textId="77777777" w:rsidR="00AE574E" w:rsidRPr="00A9330B" w:rsidRDefault="00AE574E" w:rsidP="00BD2F72">
      <w:pPr>
        <w:pStyle w:val="Paragraphedeliste"/>
        <w:numPr>
          <w:ilvl w:val="0"/>
          <w:numId w:val="101"/>
        </w:numPr>
        <w:jc w:val="both"/>
        <w:rPr>
          <w:rFonts w:cs="Arial"/>
          <w:lang w:val="fr-FR"/>
        </w:rPr>
      </w:pPr>
      <w:r w:rsidRPr="00A9330B">
        <w:rPr>
          <w:rFonts w:cs="Arial"/>
          <w:lang w:val="fr-FR"/>
        </w:rPr>
        <w:t xml:space="preserve">au niveau de la Mairie d’Abomey (Services techniques notamment le Service Assainissement et Environnement). </w:t>
      </w:r>
    </w:p>
    <w:p w14:paraId="26C875EB" w14:textId="77777777" w:rsidR="00AE574E" w:rsidRPr="00A9330B" w:rsidRDefault="00AE574E" w:rsidP="00AE574E">
      <w:pPr>
        <w:rPr>
          <w:rFonts w:cs="Arial"/>
        </w:rPr>
      </w:pPr>
      <w:r w:rsidRPr="00A9330B">
        <w:rPr>
          <w:rFonts w:cs="Arial"/>
        </w:rPr>
        <w:t>Les plaintes reçues à un niveau supérieur (ACVDT, MCVDD) seront renvoyées vers la mission de contrôle pour traitement.</w:t>
      </w:r>
    </w:p>
    <w:p w14:paraId="73607FDA" w14:textId="77777777" w:rsidR="00AE574E" w:rsidRPr="00A9330B" w:rsidRDefault="00AE574E" w:rsidP="000566F0">
      <w:pPr>
        <w:spacing w:after="120" w:line="312" w:lineRule="auto"/>
        <w:jc w:val="both"/>
        <w:rPr>
          <w:rFonts w:cs="Arial"/>
        </w:rPr>
      </w:pPr>
      <w:r w:rsidRPr="00A9330B">
        <w:rPr>
          <w:rFonts w:cs="Arial"/>
        </w:rPr>
        <w:t xml:space="preserve">Les plaintes enregistrées seront traitées au niveau entreprise si possible avec un suivi de la mission de contrôle. Si le plaignant n’est pas satisfait, la plainte remontera vers la mission de contrôle pour trouver une meilleure solution et des instructions seront données à l’entreprise. </w:t>
      </w:r>
    </w:p>
    <w:p w14:paraId="5815B2F9" w14:textId="77777777" w:rsidR="00AE574E" w:rsidRPr="00A9330B" w:rsidRDefault="00AE574E" w:rsidP="000566F0">
      <w:pPr>
        <w:spacing w:after="120" w:line="312" w:lineRule="auto"/>
        <w:jc w:val="both"/>
        <w:rPr>
          <w:rFonts w:cs="Arial"/>
        </w:rPr>
      </w:pPr>
      <w:r w:rsidRPr="00A9330B">
        <w:rPr>
          <w:rFonts w:cs="Arial"/>
        </w:rPr>
        <w:t>A ce niveau pourront être impliqués les comités locaux (quartiers et arrondissements) et les représentants de la Mairie. Si la solution n’est pas trouvée à ce niveau, la plainte devra remonter vers les administrations habilitées (ACVDT, MCVDD).</w:t>
      </w:r>
    </w:p>
    <w:p w14:paraId="537FE022" w14:textId="1A8A6000" w:rsidR="00AE574E" w:rsidRPr="00A9330B" w:rsidRDefault="00AE574E" w:rsidP="00AE574E">
      <w:pPr>
        <w:spacing w:after="120" w:line="312" w:lineRule="auto"/>
        <w:rPr>
          <w:rFonts w:cs="Arial"/>
        </w:rPr>
      </w:pPr>
      <w:r w:rsidRPr="00A9330B">
        <w:rPr>
          <w:rFonts w:cs="Arial"/>
        </w:rPr>
        <w:t>Si la plainte n’a pas pu être traité</w:t>
      </w:r>
      <w:r w:rsidR="00AE6338" w:rsidRPr="00A9330B">
        <w:rPr>
          <w:rFonts w:cs="Arial"/>
        </w:rPr>
        <w:t>e</w:t>
      </w:r>
      <w:r w:rsidRPr="00A9330B">
        <w:rPr>
          <w:rFonts w:cs="Arial"/>
        </w:rPr>
        <w:t xml:space="preserve"> au niveau de ces dernières alors il ne restera que la procédure judicaire.</w:t>
      </w:r>
    </w:p>
    <w:p w14:paraId="6BC664D8" w14:textId="77777777" w:rsidR="00AE574E" w:rsidRPr="00A9330B" w:rsidRDefault="00AE574E" w:rsidP="000566F0">
      <w:pPr>
        <w:jc w:val="both"/>
        <w:rPr>
          <w:b/>
        </w:rPr>
      </w:pPr>
      <w:r w:rsidRPr="00A9330B">
        <w:rPr>
          <w:rFonts w:cs="Arial"/>
        </w:rPr>
        <w:t xml:space="preserve">Les délais de traitement des plaintes au niveau de ces différents paliers ne doivent pas excéder quinze (15) jours, pour compter de la date de la réception de la plainte. De façon spécifique, il sera mis à la disposition des personnes affectées, des riverains et usagers les numéros de téléphones </w:t>
      </w:r>
      <w:r w:rsidRPr="00A9330B">
        <w:rPr>
          <w:rFonts w:cs="Arial"/>
        </w:rPr>
        <w:lastRenderedPageBreak/>
        <w:t>pour faciliter les échanges et le dépôt des plaintes éventuellement. Un registre sera ouvert à cet effet à chaque niveau pour recueillir les plaintes et procédées à leur traitement. Les plaintes et doléances seront dépouillées selon une périodicité à définir.</w:t>
      </w:r>
    </w:p>
    <w:p w14:paraId="3517B345" w14:textId="77777777" w:rsidR="00AE574E" w:rsidRPr="00A9330B" w:rsidRDefault="00AE574E" w:rsidP="000F7BA7">
      <w:pPr>
        <w:pStyle w:val="Titre20"/>
        <w:rPr>
          <w:b/>
        </w:rPr>
      </w:pPr>
      <w:bookmarkStart w:id="2088" w:name="_Toc52869744"/>
      <w:bookmarkStart w:id="2089" w:name="_Toc52869894"/>
      <w:r w:rsidRPr="00A9330B">
        <w:t>11.4. Programme de suivi environnemental.</w:t>
      </w:r>
      <w:bookmarkEnd w:id="2088"/>
      <w:bookmarkEnd w:id="2089"/>
    </w:p>
    <w:p w14:paraId="69454132" w14:textId="77777777" w:rsidR="00AE574E" w:rsidRPr="00A9330B" w:rsidRDefault="00AE574E" w:rsidP="000566F0">
      <w:pPr>
        <w:jc w:val="both"/>
        <w:rPr>
          <w:rFonts w:cs="Arial"/>
        </w:rPr>
      </w:pPr>
      <w:r w:rsidRPr="00A9330B">
        <w:t>Sur le plan administratif, le suivi environnemental consiste à faire le bilan environnemental du projet et à rendre compte au Promoteur et à l’Etat. C’est pour cela que cette responsabilité est confiée aux services techniques. Dans le cas du présent projet l’ACVDT assure le suivi interne et rend compte a</w:t>
      </w:r>
      <w:r w:rsidRPr="00A9330B">
        <w:rPr>
          <w:b/>
          <w:bCs/>
        </w:rPr>
        <w:t xml:space="preserve">u </w:t>
      </w:r>
      <w:r w:rsidRPr="00A9330B">
        <w:rPr>
          <w:rFonts w:cs="Arial"/>
          <w:b/>
          <w:bCs/>
        </w:rPr>
        <w:t>Ministère du Cadre de Vie et du Développement Durable.</w:t>
      </w:r>
      <w:r w:rsidRPr="00A9330B">
        <w:rPr>
          <w:rFonts w:cs="Arial"/>
        </w:rPr>
        <w:t xml:space="preserve"> </w:t>
      </w:r>
    </w:p>
    <w:p w14:paraId="20E300EB" w14:textId="77777777" w:rsidR="00AE574E" w:rsidRPr="00A9330B" w:rsidRDefault="00AE574E" w:rsidP="000566F0">
      <w:pPr>
        <w:jc w:val="both"/>
        <w:rPr>
          <w:rFonts w:cs="Arial"/>
        </w:rPr>
      </w:pPr>
      <w:r w:rsidRPr="00A9330B">
        <w:rPr>
          <w:rFonts w:cs="Arial"/>
        </w:rPr>
        <w:t>Les bénéficiaires du projet ont aussi une mission dans le suivi surtout lors des phases préparatoires et des travaux. Leur mission de suivi interne permet de s’assurer que toutes les parties prenantes sont impliquées et que toutes les PAP sont bien dédommagées et qu’aucune plainte relative à la mise en œuvre du PAR n’est restée sans traitement et satisfaction.</w:t>
      </w:r>
    </w:p>
    <w:p w14:paraId="3FA70479" w14:textId="1144C57F" w:rsidR="00AE574E" w:rsidRPr="00A9330B" w:rsidRDefault="00AE574E" w:rsidP="000566F0">
      <w:pPr>
        <w:jc w:val="both"/>
        <w:rPr>
          <w:rFonts w:cs="Arial"/>
        </w:rPr>
      </w:pPr>
      <w:r w:rsidRPr="00A9330B">
        <w:rPr>
          <w:rFonts w:cs="Arial"/>
        </w:rPr>
        <w:t>Ils ont aussi le devoir de vérifier que les mesures HSE sont effectivement mise</w:t>
      </w:r>
      <w:r w:rsidR="00AE6338" w:rsidRPr="00A9330B">
        <w:rPr>
          <w:rFonts w:cs="Arial"/>
        </w:rPr>
        <w:t>s</w:t>
      </w:r>
      <w:r w:rsidRPr="00A9330B">
        <w:rPr>
          <w:rFonts w:cs="Arial"/>
        </w:rPr>
        <w:t xml:space="preserve"> en œuvre et que les dispositions idoines sont prises pour veiller à la sécurité des usagers et des riverains lors des travaux. Ils sont représentés par les représentants de la Mairie (Services Techniques et Affaires Domaniales et par le comité des riverains, ou le Comité Technique de Réinstallation dans le cadre du PAR).</w:t>
      </w:r>
    </w:p>
    <w:p w14:paraId="05636C47" w14:textId="77777777" w:rsidR="00AE574E" w:rsidRPr="00A9330B" w:rsidRDefault="00AE574E" w:rsidP="000566F0">
      <w:pPr>
        <w:jc w:val="both"/>
        <w:rPr>
          <w:rFonts w:cs="Arial"/>
        </w:rPr>
      </w:pPr>
      <w:r w:rsidRPr="00A9330B">
        <w:t>L’</w:t>
      </w:r>
      <w:r w:rsidRPr="00A9330B">
        <w:rPr>
          <w:b/>
          <w:bCs/>
        </w:rPr>
        <w:t>Agence Béninoise pour l’Environnement</w:t>
      </w:r>
      <w:r w:rsidRPr="00A9330B">
        <w:t xml:space="preserve">, structure étatique en charge des évaluations environnementales et sociales assure un suivi externe </w:t>
      </w:r>
      <w:r w:rsidRPr="00A9330B">
        <w:rPr>
          <w:b/>
          <w:bCs/>
        </w:rPr>
        <w:t xml:space="preserve">sous la supervision du </w:t>
      </w:r>
      <w:r w:rsidRPr="00A9330B">
        <w:rPr>
          <w:rFonts w:cs="Arial"/>
          <w:b/>
          <w:bCs/>
        </w:rPr>
        <w:t>Ministère du Cadre de Vie et du Développement Durable</w:t>
      </w:r>
      <w:r w:rsidRPr="00A9330B">
        <w:rPr>
          <w:rFonts w:cs="Arial"/>
        </w:rPr>
        <w:t>.</w:t>
      </w:r>
    </w:p>
    <w:p w14:paraId="523D9CDC" w14:textId="77777777" w:rsidR="00AE574E" w:rsidRPr="00A9330B" w:rsidRDefault="00AE574E" w:rsidP="000566F0">
      <w:pPr>
        <w:jc w:val="both"/>
        <w:rPr>
          <w:rFonts w:cs="Arial"/>
        </w:rPr>
      </w:pPr>
      <w:r w:rsidRPr="00A9330B">
        <w:rPr>
          <w:rFonts w:cs="Arial"/>
        </w:rPr>
        <w:t xml:space="preserve">Les structures déconcentrées de l’Etat ont aussi un rôle à jouer : l’ABE peut déléguer le suivi externe de certaines activités aux structures départementales ou locales compétentes. </w:t>
      </w:r>
    </w:p>
    <w:p w14:paraId="20B77F30" w14:textId="77777777" w:rsidR="00AE574E" w:rsidRPr="00A9330B" w:rsidRDefault="00AE574E" w:rsidP="000566F0">
      <w:pPr>
        <w:jc w:val="both"/>
      </w:pPr>
      <w:r w:rsidRPr="00A9330B">
        <w:t xml:space="preserve">Le responsable du suivi externe l’ABE aura surtout pour mission d’évaluer l’ensemble des actions sur les chapitres Hygiène, Santé, Sécurité et Environnement. Il organisera des visites périodiques des lieux où les travaux sont en cours d’exécution ou ont été exécutés en mesurant l’efficacité à long terme. Il fera aussi un audit du PGES pour s’assurer de la mise en œuvre effective de ses activités. </w:t>
      </w:r>
    </w:p>
    <w:p w14:paraId="3A97110E" w14:textId="3D6493F1" w:rsidR="00AE574E" w:rsidRPr="00A9330B" w:rsidRDefault="00AE574E" w:rsidP="00A9330B">
      <w:pPr>
        <w:pStyle w:val="Lgende"/>
      </w:pPr>
      <w:bookmarkStart w:id="2090" w:name="_Toc52873796"/>
      <w:r w:rsidRPr="00A9330B">
        <w:t xml:space="preserve">Tableau </w:t>
      </w:r>
      <w:r w:rsidR="00D24D0D" w:rsidRPr="00A9330B">
        <w:fldChar w:fldCharType="begin"/>
      </w:r>
      <w:r w:rsidR="00D24D0D" w:rsidRPr="00A9330B">
        <w:instrText xml:space="preserve"> SEQ Tableau \* ARABIC </w:instrText>
      </w:r>
      <w:r w:rsidR="00D24D0D" w:rsidRPr="00A9330B">
        <w:fldChar w:fldCharType="separate"/>
      </w:r>
      <w:r w:rsidR="002E4838">
        <w:rPr>
          <w:noProof/>
        </w:rPr>
        <w:t>72</w:t>
      </w:r>
      <w:r w:rsidR="00D24D0D" w:rsidRPr="00A9330B">
        <w:rPr>
          <w:noProof/>
        </w:rPr>
        <w:fldChar w:fldCharType="end"/>
      </w:r>
      <w:r w:rsidRPr="00A9330B">
        <w:t> : Structures du PGES : rôles et responsabilités</w:t>
      </w:r>
      <w:bookmarkEnd w:id="2090"/>
    </w:p>
    <w:tbl>
      <w:tblPr>
        <w:tblStyle w:val="Grilledutableau"/>
        <w:tblW w:w="4775" w:type="pct"/>
        <w:tblInd w:w="421" w:type="dxa"/>
        <w:tblLook w:val="04A0" w:firstRow="1" w:lastRow="0" w:firstColumn="1" w:lastColumn="0" w:noHBand="0" w:noVBand="1"/>
      </w:tblPr>
      <w:tblGrid>
        <w:gridCol w:w="2775"/>
        <w:gridCol w:w="6420"/>
      </w:tblGrid>
      <w:tr w:rsidR="00AE574E" w:rsidRPr="00A9330B" w14:paraId="098B6BE9" w14:textId="77777777" w:rsidTr="00AE574E">
        <w:tc>
          <w:tcPr>
            <w:tcW w:w="1509" w:type="pct"/>
            <w:tcBorders>
              <w:top w:val="single" w:sz="4" w:space="0" w:color="auto"/>
              <w:left w:val="single" w:sz="4" w:space="0" w:color="auto"/>
              <w:bottom w:val="single" w:sz="4" w:space="0" w:color="auto"/>
              <w:right w:val="single" w:sz="4" w:space="0" w:color="auto"/>
            </w:tcBorders>
            <w:shd w:val="clear" w:color="auto" w:fill="00B0F0"/>
            <w:hideMark/>
          </w:tcPr>
          <w:p w14:paraId="50761DE7" w14:textId="77777777" w:rsidR="00AE574E" w:rsidRPr="00A9330B" w:rsidRDefault="00AE574E">
            <w:pPr>
              <w:spacing w:before="40" w:line="240" w:lineRule="auto"/>
              <w:rPr>
                <w:rFonts w:cs="Arial"/>
                <w:b/>
                <w:sz w:val="20"/>
                <w:szCs w:val="20"/>
              </w:rPr>
            </w:pPr>
            <w:r w:rsidRPr="00A9330B">
              <w:rPr>
                <w:rFonts w:cs="Arial"/>
                <w:b/>
                <w:sz w:val="20"/>
                <w:szCs w:val="20"/>
              </w:rPr>
              <w:t>Structures</w:t>
            </w:r>
          </w:p>
        </w:tc>
        <w:tc>
          <w:tcPr>
            <w:tcW w:w="3491" w:type="pct"/>
            <w:tcBorders>
              <w:top w:val="single" w:sz="4" w:space="0" w:color="auto"/>
              <w:left w:val="single" w:sz="4" w:space="0" w:color="auto"/>
              <w:bottom w:val="single" w:sz="4" w:space="0" w:color="auto"/>
              <w:right w:val="single" w:sz="4" w:space="0" w:color="auto"/>
            </w:tcBorders>
            <w:shd w:val="clear" w:color="auto" w:fill="00B0F0"/>
            <w:hideMark/>
          </w:tcPr>
          <w:p w14:paraId="5E65FC42" w14:textId="77777777" w:rsidR="00AE574E" w:rsidRPr="00A9330B" w:rsidRDefault="00AE574E">
            <w:pPr>
              <w:spacing w:before="40" w:line="240" w:lineRule="auto"/>
              <w:rPr>
                <w:rFonts w:cs="Arial"/>
                <w:b/>
                <w:sz w:val="20"/>
                <w:szCs w:val="20"/>
              </w:rPr>
            </w:pPr>
            <w:r w:rsidRPr="00A9330B">
              <w:rPr>
                <w:rFonts w:cs="Arial"/>
                <w:b/>
                <w:sz w:val="20"/>
                <w:szCs w:val="20"/>
              </w:rPr>
              <w:t>Rôles</w:t>
            </w:r>
          </w:p>
        </w:tc>
      </w:tr>
      <w:tr w:rsidR="00AE574E" w:rsidRPr="00A9330B" w14:paraId="50C60339" w14:textId="77777777" w:rsidTr="00AE574E">
        <w:tc>
          <w:tcPr>
            <w:tcW w:w="5000" w:type="pct"/>
            <w:gridSpan w:val="2"/>
            <w:tcBorders>
              <w:top w:val="single" w:sz="4" w:space="0" w:color="auto"/>
              <w:left w:val="single" w:sz="4" w:space="0" w:color="auto"/>
              <w:bottom w:val="single" w:sz="4" w:space="0" w:color="auto"/>
              <w:right w:val="single" w:sz="4" w:space="0" w:color="auto"/>
            </w:tcBorders>
            <w:shd w:val="clear" w:color="auto" w:fill="D5DCE4" w:themeFill="text2" w:themeFillTint="33"/>
            <w:hideMark/>
          </w:tcPr>
          <w:p w14:paraId="44B78DC1" w14:textId="77777777" w:rsidR="00AE574E" w:rsidRPr="00A9330B" w:rsidRDefault="00AE574E">
            <w:pPr>
              <w:spacing w:before="40" w:line="240" w:lineRule="auto"/>
              <w:rPr>
                <w:rFonts w:cs="Arial"/>
                <w:b/>
                <w:sz w:val="20"/>
                <w:szCs w:val="20"/>
              </w:rPr>
            </w:pPr>
            <w:r w:rsidRPr="00A9330B">
              <w:rPr>
                <w:rFonts w:cs="Arial"/>
                <w:b/>
                <w:sz w:val="20"/>
                <w:szCs w:val="20"/>
              </w:rPr>
              <w:t>Surveillance</w:t>
            </w:r>
          </w:p>
        </w:tc>
      </w:tr>
      <w:tr w:rsidR="00AE574E" w:rsidRPr="00A9330B" w14:paraId="28F860C5" w14:textId="77777777" w:rsidTr="00AE574E">
        <w:tc>
          <w:tcPr>
            <w:tcW w:w="1509" w:type="pct"/>
            <w:tcBorders>
              <w:top w:val="single" w:sz="4" w:space="0" w:color="auto"/>
              <w:left w:val="single" w:sz="4" w:space="0" w:color="auto"/>
              <w:bottom w:val="single" w:sz="4" w:space="0" w:color="auto"/>
              <w:right w:val="single" w:sz="4" w:space="0" w:color="auto"/>
            </w:tcBorders>
            <w:hideMark/>
          </w:tcPr>
          <w:p w14:paraId="577680F1" w14:textId="77777777" w:rsidR="00AE574E" w:rsidRPr="00A9330B" w:rsidRDefault="00AE574E">
            <w:pPr>
              <w:spacing w:before="40" w:line="240" w:lineRule="auto"/>
              <w:rPr>
                <w:rFonts w:cs="Arial"/>
                <w:sz w:val="20"/>
                <w:szCs w:val="20"/>
              </w:rPr>
            </w:pPr>
            <w:r w:rsidRPr="00A9330B">
              <w:rPr>
                <w:rFonts w:cs="Arial"/>
                <w:sz w:val="20"/>
                <w:szCs w:val="20"/>
              </w:rPr>
              <w:t xml:space="preserve">Entreprises adjudicataires </w:t>
            </w:r>
          </w:p>
        </w:tc>
        <w:tc>
          <w:tcPr>
            <w:tcW w:w="3491" w:type="pct"/>
            <w:tcBorders>
              <w:top w:val="single" w:sz="4" w:space="0" w:color="auto"/>
              <w:left w:val="single" w:sz="4" w:space="0" w:color="auto"/>
              <w:bottom w:val="single" w:sz="4" w:space="0" w:color="auto"/>
              <w:right w:val="single" w:sz="4" w:space="0" w:color="auto"/>
            </w:tcBorders>
            <w:hideMark/>
          </w:tcPr>
          <w:p w14:paraId="783D7237" w14:textId="77777777" w:rsidR="00AE574E" w:rsidRPr="00A9330B" w:rsidRDefault="00AE574E" w:rsidP="000F7BA7">
            <w:pPr>
              <w:spacing w:before="40" w:line="240" w:lineRule="auto"/>
              <w:jc w:val="both"/>
              <w:rPr>
                <w:rFonts w:cs="Arial"/>
                <w:sz w:val="20"/>
                <w:szCs w:val="20"/>
              </w:rPr>
            </w:pPr>
            <w:r w:rsidRPr="00A9330B">
              <w:rPr>
                <w:rFonts w:cs="Arial"/>
                <w:sz w:val="20"/>
                <w:szCs w:val="20"/>
              </w:rPr>
              <w:t xml:space="preserve">Mise en œuvre des activités du PGES </w:t>
            </w:r>
          </w:p>
          <w:p w14:paraId="6853B1EC" w14:textId="77777777" w:rsidR="00AE574E" w:rsidRPr="00A9330B" w:rsidRDefault="00AE574E" w:rsidP="000F7BA7">
            <w:pPr>
              <w:spacing w:before="40" w:line="240" w:lineRule="auto"/>
              <w:jc w:val="both"/>
              <w:rPr>
                <w:rFonts w:cs="Arial"/>
                <w:sz w:val="20"/>
                <w:szCs w:val="20"/>
              </w:rPr>
            </w:pPr>
            <w:r w:rsidRPr="00A9330B">
              <w:rPr>
                <w:rFonts w:cs="Arial"/>
                <w:sz w:val="20"/>
                <w:szCs w:val="20"/>
              </w:rPr>
              <w:t>Mise en œuvre des prescriptions environnementales et sociales</w:t>
            </w:r>
          </w:p>
          <w:p w14:paraId="6DDD9402" w14:textId="77777777" w:rsidR="00AE574E" w:rsidRPr="00A9330B" w:rsidRDefault="00AE574E" w:rsidP="000F7BA7">
            <w:pPr>
              <w:spacing w:before="40" w:line="240" w:lineRule="auto"/>
              <w:jc w:val="both"/>
              <w:rPr>
                <w:rFonts w:cs="Arial"/>
                <w:sz w:val="20"/>
                <w:szCs w:val="20"/>
              </w:rPr>
            </w:pPr>
            <w:r w:rsidRPr="00A9330B">
              <w:rPr>
                <w:rFonts w:cs="Arial"/>
                <w:sz w:val="20"/>
                <w:szCs w:val="20"/>
              </w:rPr>
              <w:t xml:space="preserve">Mise en œuvre des mesures de prévention des risques </w:t>
            </w:r>
          </w:p>
          <w:p w14:paraId="6883F26E" w14:textId="77777777" w:rsidR="00AE574E" w:rsidRPr="00A9330B" w:rsidRDefault="00AE574E" w:rsidP="000F7BA7">
            <w:pPr>
              <w:spacing w:before="40" w:line="240" w:lineRule="auto"/>
              <w:jc w:val="both"/>
              <w:rPr>
                <w:rFonts w:cs="Arial"/>
                <w:sz w:val="20"/>
                <w:szCs w:val="20"/>
              </w:rPr>
            </w:pPr>
            <w:r w:rsidRPr="00A9330B">
              <w:rPr>
                <w:rFonts w:cs="Arial"/>
                <w:sz w:val="20"/>
                <w:szCs w:val="20"/>
              </w:rPr>
              <w:t xml:space="preserve">Gestion des plaintes </w:t>
            </w:r>
          </w:p>
        </w:tc>
      </w:tr>
      <w:tr w:rsidR="00AE574E" w:rsidRPr="00A9330B" w14:paraId="6D15F72B" w14:textId="77777777" w:rsidTr="00AE574E">
        <w:tc>
          <w:tcPr>
            <w:tcW w:w="1509" w:type="pct"/>
            <w:tcBorders>
              <w:top w:val="single" w:sz="4" w:space="0" w:color="auto"/>
              <w:left w:val="single" w:sz="4" w:space="0" w:color="auto"/>
              <w:bottom w:val="single" w:sz="4" w:space="0" w:color="auto"/>
              <w:right w:val="single" w:sz="4" w:space="0" w:color="auto"/>
            </w:tcBorders>
            <w:hideMark/>
          </w:tcPr>
          <w:p w14:paraId="5BA5343D" w14:textId="77777777" w:rsidR="00AE574E" w:rsidRPr="00A9330B" w:rsidRDefault="00AE574E">
            <w:pPr>
              <w:spacing w:before="40" w:line="240" w:lineRule="auto"/>
              <w:rPr>
                <w:rFonts w:cs="Arial"/>
                <w:sz w:val="20"/>
                <w:szCs w:val="20"/>
              </w:rPr>
            </w:pPr>
            <w:r w:rsidRPr="00A9330B">
              <w:rPr>
                <w:rFonts w:cs="Arial"/>
                <w:sz w:val="20"/>
                <w:szCs w:val="20"/>
              </w:rPr>
              <w:t>Entreprises sous-traitantes</w:t>
            </w:r>
          </w:p>
        </w:tc>
        <w:tc>
          <w:tcPr>
            <w:tcW w:w="3491" w:type="pct"/>
            <w:tcBorders>
              <w:top w:val="single" w:sz="4" w:space="0" w:color="auto"/>
              <w:left w:val="single" w:sz="4" w:space="0" w:color="auto"/>
              <w:bottom w:val="single" w:sz="4" w:space="0" w:color="auto"/>
              <w:right w:val="single" w:sz="4" w:space="0" w:color="auto"/>
            </w:tcBorders>
            <w:hideMark/>
          </w:tcPr>
          <w:p w14:paraId="6BD1FDB8" w14:textId="77777777" w:rsidR="00AE574E" w:rsidRPr="00A9330B" w:rsidRDefault="00AE574E" w:rsidP="000F7BA7">
            <w:pPr>
              <w:spacing w:before="40" w:line="240" w:lineRule="auto"/>
              <w:jc w:val="both"/>
              <w:rPr>
                <w:rFonts w:cs="Arial"/>
                <w:sz w:val="20"/>
                <w:szCs w:val="20"/>
              </w:rPr>
            </w:pPr>
            <w:r w:rsidRPr="00A9330B">
              <w:rPr>
                <w:rFonts w:cs="Arial"/>
                <w:sz w:val="20"/>
                <w:szCs w:val="20"/>
              </w:rPr>
              <w:t xml:space="preserve">Mise en œuvre des activités du PGES </w:t>
            </w:r>
          </w:p>
          <w:p w14:paraId="71FF7BD2" w14:textId="77777777" w:rsidR="00AE574E" w:rsidRPr="00A9330B" w:rsidRDefault="00AE574E" w:rsidP="000F7BA7">
            <w:pPr>
              <w:spacing w:before="40" w:line="240" w:lineRule="auto"/>
              <w:jc w:val="both"/>
              <w:rPr>
                <w:rFonts w:cs="Arial"/>
                <w:sz w:val="20"/>
                <w:szCs w:val="20"/>
              </w:rPr>
            </w:pPr>
            <w:r w:rsidRPr="00A9330B">
              <w:rPr>
                <w:rFonts w:cs="Arial"/>
                <w:sz w:val="20"/>
                <w:szCs w:val="20"/>
              </w:rPr>
              <w:t>Mise en œuvre des prescriptions environnementales et sociales</w:t>
            </w:r>
          </w:p>
          <w:p w14:paraId="713E0A6B" w14:textId="77777777" w:rsidR="00AE574E" w:rsidRPr="00A9330B" w:rsidRDefault="00AE574E" w:rsidP="000F7BA7">
            <w:pPr>
              <w:spacing w:before="40" w:line="240" w:lineRule="auto"/>
              <w:jc w:val="both"/>
              <w:rPr>
                <w:rFonts w:cs="Arial"/>
                <w:sz w:val="20"/>
                <w:szCs w:val="20"/>
              </w:rPr>
            </w:pPr>
            <w:r w:rsidRPr="00A9330B">
              <w:rPr>
                <w:rFonts w:cs="Arial"/>
                <w:sz w:val="20"/>
                <w:szCs w:val="20"/>
              </w:rPr>
              <w:t xml:space="preserve">Mise en œuvre des mesures de prévention des risques </w:t>
            </w:r>
          </w:p>
          <w:p w14:paraId="742290B2" w14:textId="77777777" w:rsidR="00AE574E" w:rsidRPr="00A9330B" w:rsidRDefault="00AE574E" w:rsidP="000F7BA7">
            <w:pPr>
              <w:spacing w:before="40" w:line="240" w:lineRule="auto"/>
              <w:jc w:val="both"/>
              <w:rPr>
                <w:rFonts w:cs="Arial"/>
                <w:sz w:val="20"/>
                <w:szCs w:val="20"/>
              </w:rPr>
            </w:pPr>
            <w:r w:rsidRPr="00A9330B">
              <w:rPr>
                <w:rFonts w:cs="Arial"/>
                <w:sz w:val="20"/>
                <w:szCs w:val="20"/>
              </w:rPr>
              <w:t>Gestion des plaintes</w:t>
            </w:r>
          </w:p>
        </w:tc>
      </w:tr>
      <w:tr w:rsidR="00AE574E" w:rsidRPr="00A9330B" w14:paraId="2E36C26D" w14:textId="77777777" w:rsidTr="00AE574E">
        <w:tc>
          <w:tcPr>
            <w:tcW w:w="1509" w:type="pct"/>
            <w:tcBorders>
              <w:top w:val="single" w:sz="4" w:space="0" w:color="auto"/>
              <w:left w:val="single" w:sz="4" w:space="0" w:color="auto"/>
              <w:bottom w:val="single" w:sz="4" w:space="0" w:color="auto"/>
              <w:right w:val="single" w:sz="4" w:space="0" w:color="auto"/>
            </w:tcBorders>
            <w:hideMark/>
          </w:tcPr>
          <w:p w14:paraId="7EB82C38" w14:textId="77777777" w:rsidR="00AE574E" w:rsidRPr="00A9330B" w:rsidRDefault="00AE574E">
            <w:pPr>
              <w:spacing w:before="40" w:line="240" w:lineRule="auto"/>
              <w:rPr>
                <w:rFonts w:cs="Arial"/>
                <w:sz w:val="20"/>
                <w:szCs w:val="20"/>
              </w:rPr>
            </w:pPr>
            <w:r w:rsidRPr="00A9330B">
              <w:rPr>
                <w:rFonts w:cs="Arial"/>
                <w:sz w:val="20"/>
                <w:szCs w:val="20"/>
              </w:rPr>
              <w:t xml:space="preserve">Mission de contrôle </w:t>
            </w:r>
          </w:p>
        </w:tc>
        <w:tc>
          <w:tcPr>
            <w:tcW w:w="3491" w:type="pct"/>
            <w:tcBorders>
              <w:top w:val="single" w:sz="4" w:space="0" w:color="auto"/>
              <w:left w:val="single" w:sz="4" w:space="0" w:color="auto"/>
              <w:bottom w:val="single" w:sz="4" w:space="0" w:color="auto"/>
              <w:right w:val="single" w:sz="4" w:space="0" w:color="auto"/>
            </w:tcBorders>
            <w:hideMark/>
          </w:tcPr>
          <w:p w14:paraId="7A856D6E" w14:textId="77777777" w:rsidR="00AE574E" w:rsidRPr="00A9330B" w:rsidRDefault="00AE574E" w:rsidP="000F7BA7">
            <w:pPr>
              <w:spacing w:before="40" w:line="240" w:lineRule="auto"/>
              <w:jc w:val="both"/>
              <w:rPr>
                <w:rFonts w:cs="Arial"/>
                <w:sz w:val="20"/>
                <w:szCs w:val="20"/>
              </w:rPr>
            </w:pPr>
            <w:r w:rsidRPr="00A9330B">
              <w:rPr>
                <w:rFonts w:cs="Arial"/>
                <w:sz w:val="20"/>
                <w:szCs w:val="20"/>
              </w:rPr>
              <w:t xml:space="preserve">Contrôle des mesures HSE sur le chantier </w:t>
            </w:r>
          </w:p>
          <w:p w14:paraId="6BC4165C" w14:textId="77777777" w:rsidR="00AE574E" w:rsidRPr="00A9330B" w:rsidRDefault="00AE574E" w:rsidP="000F7BA7">
            <w:pPr>
              <w:spacing w:before="40" w:line="240" w:lineRule="auto"/>
              <w:jc w:val="both"/>
              <w:rPr>
                <w:rFonts w:cs="Arial"/>
                <w:sz w:val="20"/>
                <w:szCs w:val="20"/>
              </w:rPr>
            </w:pPr>
            <w:r w:rsidRPr="00A9330B">
              <w:rPr>
                <w:rFonts w:cs="Arial"/>
                <w:sz w:val="20"/>
                <w:szCs w:val="20"/>
              </w:rPr>
              <w:t xml:space="preserve">Analyse et gestion des nouveaux risques </w:t>
            </w:r>
          </w:p>
          <w:p w14:paraId="5C9ABBEF" w14:textId="77777777" w:rsidR="00AE574E" w:rsidRPr="00A9330B" w:rsidRDefault="00AE574E" w:rsidP="000F7BA7">
            <w:pPr>
              <w:spacing w:before="40" w:line="240" w:lineRule="auto"/>
              <w:jc w:val="both"/>
              <w:rPr>
                <w:rFonts w:cs="Arial"/>
                <w:sz w:val="20"/>
                <w:szCs w:val="20"/>
              </w:rPr>
            </w:pPr>
            <w:r w:rsidRPr="00A9330B">
              <w:rPr>
                <w:rFonts w:cs="Arial"/>
                <w:sz w:val="20"/>
                <w:szCs w:val="20"/>
              </w:rPr>
              <w:t>Approbation des documents PHSSE, PGES-chantier, Plan d’urgence, Contrat divers (HSE)</w:t>
            </w:r>
          </w:p>
          <w:p w14:paraId="3728AB0C" w14:textId="77777777" w:rsidR="00AE574E" w:rsidRPr="00A9330B" w:rsidRDefault="00AE574E" w:rsidP="000F7BA7">
            <w:pPr>
              <w:spacing w:before="40" w:line="240" w:lineRule="auto"/>
              <w:jc w:val="both"/>
              <w:rPr>
                <w:rFonts w:cs="Arial"/>
                <w:sz w:val="20"/>
                <w:szCs w:val="20"/>
              </w:rPr>
            </w:pPr>
            <w:r w:rsidRPr="00A9330B">
              <w:rPr>
                <w:rFonts w:cs="Arial"/>
                <w:sz w:val="20"/>
                <w:szCs w:val="20"/>
              </w:rPr>
              <w:t xml:space="preserve">Gestion des plaintes  </w:t>
            </w:r>
          </w:p>
        </w:tc>
      </w:tr>
      <w:tr w:rsidR="00AE574E" w:rsidRPr="00A9330B" w14:paraId="5314CD16" w14:textId="77777777" w:rsidTr="00AE574E">
        <w:tc>
          <w:tcPr>
            <w:tcW w:w="1509" w:type="pct"/>
            <w:tcBorders>
              <w:top w:val="single" w:sz="4" w:space="0" w:color="auto"/>
              <w:left w:val="single" w:sz="4" w:space="0" w:color="auto"/>
              <w:bottom w:val="single" w:sz="4" w:space="0" w:color="auto"/>
              <w:right w:val="single" w:sz="4" w:space="0" w:color="auto"/>
            </w:tcBorders>
            <w:hideMark/>
          </w:tcPr>
          <w:p w14:paraId="05CDABFD" w14:textId="77777777" w:rsidR="00AE574E" w:rsidRPr="00A9330B" w:rsidRDefault="00AE574E">
            <w:pPr>
              <w:spacing w:before="40" w:line="240" w:lineRule="auto"/>
              <w:rPr>
                <w:rFonts w:cs="Arial"/>
                <w:sz w:val="20"/>
                <w:szCs w:val="20"/>
              </w:rPr>
            </w:pPr>
            <w:r w:rsidRPr="00A9330B">
              <w:rPr>
                <w:rFonts w:cs="Arial"/>
                <w:sz w:val="20"/>
                <w:szCs w:val="20"/>
              </w:rPr>
              <w:t xml:space="preserve">Experts et consultants </w:t>
            </w:r>
          </w:p>
        </w:tc>
        <w:tc>
          <w:tcPr>
            <w:tcW w:w="3491" w:type="pct"/>
            <w:tcBorders>
              <w:top w:val="single" w:sz="4" w:space="0" w:color="auto"/>
              <w:left w:val="single" w:sz="4" w:space="0" w:color="auto"/>
              <w:bottom w:val="single" w:sz="4" w:space="0" w:color="auto"/>
              <w:right w:val="single" w:sz="4" w:space="0" w:color="auto"/>
            </w:tcBorders>
            <w:hideMark/>
          </w:tcPr>
          <w:p w14:paraId="3E4BBAF6" w14:textId="77777777" w:rsidR="00AE574E" w:rsidRPr="00A9330B" w:rsidRDefault="00AE574E" w:rsidP="000F7BA7">
            <w:pPr>
              <w:spacing w:before="40" w:line="240" w:lineRule="auto"/>
              <w:jc w:val="both"/>
              <w:rPr>
                <w:rFonts w:cs="Arial"/>
                <w:sz w:val="20"/>
                <w:szCs w:val="20"/>
              </w:rPr>
            </w:pPr>
            <w:r w:rsidRPr="00A9330B">
              <w:rPr>
                <w:rFonts w:cs="Arial"/>
                <w:sz w:val="20"/>
                <w:szCs w:val="20"/>
              </w:rPr>
              <w:t>Mise en œuvre ou contrôle des mesures HSE</w:t>
            </w:r>
          </w:p>
          <w:p w14:paraId="7A505617" w14:textId="77777777" w:rsidR="00AE574E" w:rsidRPr="00A9330B" w:rsidRDefault="00AE574E" w:rsidP="000F7BA7">
            <w:pPr>
              <w:spacing w:before="40" w:line="240" w:lineRule="auto"/>
              <w:jc w:val="both"/>
              <w:rPr>
                <w:rFonts w:cs="Arial"/>
                <w:sz w:val="20"/>
                <w:szCs w:val="20"/>
              </w:rPr>
            </w:pPr>
            <w:r w:rsidRPr="00A9330B">
              <w:rPr>
                <w:rFonts w:cs="Arial"/>
                <w:sz w:val="20"/>
                <w:szCs w:val="20"/>
              </w:rPr>
              <w:t xml:space="preserve">Médiation lors des travaux </w:t>
            </w:r>
          </w:p>
          <w:p w14:paraId="7703B1AE" w14:textId="77777777" w:rsidR="00AE574E" w:rsidRPr="00A9330B" w:rsidRDefault="00AE574E" w:rsidP="000F7BA7">
            <w:pPr>
              <w:spacing w:before="40" w:line="240" w:lineRule="auto"/>
              <w:jc w:val="both"/>
              <w:rPr>
                <w:rFonts w:cs="Arial"/>
                <w:sz w:val="20"/>
                <w:szCs w:val="20"/>
              </w:rPr>
            </w:pPr>
            <w:r w:rsidRPr="00A9330B">
              <w:rPr>
                <w:rFonts w:cs="Arial"/>
                <w:sz w:val="20"/>
                <w:szCs w:val="20"/>
              </w:rPr>
              <w:t>Planification et réalisation des sensibilisations grand public</w:t>
            </w:r>
          </w:p>
          <w:p w14:paraId="63C44DD4" w14:textId="77777777" w:rsidR="00AE574E" w:rsidRPr="00A9330B" w:rsidRDefault="00AE574E" w:rsidP="000F7BA7">
            <w:pPr>
              <w:spacing w:before="40" w:line="240" w:lineRule="auto"/>
              <w:jc w:val="both"/>
              <w:rPr>
                <w:rFonts w:cs="Arial"/>
                <w:sz w:val="20"/>
                <w:szCs w:val="20"/>
              </w:rPr>
            </w:pPr>
            <w:r w:rsidRPr="00A9330B">
              <w:rPr>
                <w:rFonts w:cs="Arial"/>
                <w:sz w:val="20"/>
                <w:szCs w:val="20"/>
              </w:rPr>
              <w:lastRenderedPageBreak/>
              <w:t xml:space="preserve">Formation du personnel </w:t>
            </w:r>
          </w:p>
          <w:p w14:paraId="7CEAB453" w14:textId="77777777" w:rsidR="00AE574E" w:rsidRPr="00A9330B" w:rsidRDefault="00AE574E" w:rsidP="000F7BA7">
            <w:pPr>
              <w:spacing w:before="40" w:line="240" w:lineRule="auto"/>
              <w:jc w:val="both"/>
              <w:rPr>
                <w:rFonts w:cs="Arial"/>
                <w:sz w:val="20"/>
                <w:szCs w:val="20"/>
              </w:rPr>
            </w:pPr>
            <w:r w:rsidRPr="00A9330B">
              <w:rPr>
                <w:rFonts w:cs="Arial"/>
                <w:sz w:val="20"/>
                <w:szCs w:val="20"/>
              </w:rPr>
              <w:t xml:space="preserve">Renforcement des capacités </w:t>
            </w:r>
          </w:p>
        </w:tc>
      </w:tr>
      <w:tr w:rsidR="00AE574E" w:rsidRPr="00A9330B" w14:paraId="1A4D4F9B" w14:textId="77777777" w:rsidTr="00AE574E">
        <w:tc>
          <w:tcPr>
            <w:tcW w:w="1509" w:type="pct"/>
            <w:tcBorders>
              <w:top w:val="single" w:sz="4" w:space="0" w:color="auto"/>
              <w:left w:val="single" w:sz="4" w:space="0" w:color="auto"/>
              <w:bottom w:val="single" w:sz="4" w:space="0" w:color="auto"/>
              <w:right w:val="single" w:sz="4" w:space="0" w:color="auto"/>
            </w:tcBorders>
            <w:hideMark/>
          </w:tcPr>
          <w:p w14:paraId="600CA56C" w14:textId="77777777" w:rsidR="00AE574E" w:rsidRPr="00A9330B" w:rsidRDefault="00AE574E">
            <w:pPr>
              <w:spacing w:before="40" w:line="240" w:lineRule="auto"/>
              <w:rPr>
                <w:rFonts w:cs="Arial"/>
                <w:sz w:val="20"/>
                <w:szCs w:val="20"/>
              </w:rPr>
            </w:pPr>
            <w:r w:rsidRPr="00A9330B">
              <w:rPr>
                <w:rFonts w:cs="Arial"/>
                <w:sz w:val="20"/>
                <w:szCs w:val="20"/>
              </w:rPr>
              <w:lastRenderedPageBreak/>
              <w:t xml:space="preserve">AMO /AVCDT </w:t>
            </w:r>
          </w:p>
        </w:tc>
        <w:tc>
          <w:tcPr>
            <w:tcW w:w="3491" w:type="pct"/>
            <w:tcBorders>
              <w:top w:val="single" w:sz="4" w:space="0" w:color="auto"/>
              <w:left w:val="single" w:sz="4" w:space="0" w:color="auto"/>
              <w:bottom w:val="single" w:sz="4" w:space="0" w:color="auto"/>
              <w:right w:val="single" w:sz="4" w:space="0" w:color="auto"/>
            </w:tcBorders>
            <w:hideMark/>
          </w:tcPr>
          <w:p w14:paraId="603317AB" w14:textId="77777777" w:rsidR="00AE574E" w:rsidRPr="00A9330B" w:rsidRDefault="00AE574E" w:rsidP="000F7BA7">
            <w:pPr>
              <w:spacing w:before="40" w:line="240" w:lineRule="auto"/>
              <w:jc w:val="both"/>
              <w:rPr>
                <w:rFonts w:cs="Arial"/>
                <w:sz w:val="20"/>
                <w:szCs w:val="20"/>
              </w:rPr>
            </w:pPr>
            <w:r w:rsidRPr="00A9330B">
              <w:rPr>
                <w:rFonts w:cs="Arial"/>
                <w:sz w:val="20"/>
                <w:szCs w:val="20"/>
              </w:rPr>
              <w:t xml:space="preserve">Supervision de la surveillance </w:t>
            </w:r>
          </w:p>
          <w:p w14:paraId="231FE97E" w14:textId="77777777" w:rsidR="00AE574E" w:rsidRPr="00A9330B" w:rsidRDefault="00AE574E" w:rsidP="000F7BA7">
            <w:pPr>
              <w:spacing w:before="40" w:line="240" w:lineRule="auto"/>
              <w:jc w:val="both"/>
              <w:rPr>
                <w:rFonts w:cs="Arial"/>
                <w:sz w:val="20"/>
                <w:szCs w:val="20"/>
              </w:rPr>
            </w:pPr>
            <w:r w:rsidRPr="00A9330B">
              <w:rPr>
                <w:rFonts w:cs="Arial"/>
                <w:sz w:val="20"/>
                <w:szCs w:val="20"/>
              </w:rPr>
              <w:t>Rapport trimestriel sue la mise en œuvre du PGES pour la BAD</w:t>
            </w:r>
          </w:p>
        </w:tc>
      </w:tr>
      <w:tr w:rsidR="00AE574E" w:rsidRPr="00A9330B" w14:paraId="7A9C6BF6" w14:textId="77777777" w:rsidTr="00AE574E">
        <w:tc>
          <w:tcPr>
            <w:tcW w:w="5000" w:type="pct"/>
            <w:gridSpan w:val="2"/>
            <w:tcBorders>
              <w:top w:val="single" w:sz="4" w:space="0" w:color="auto"/>
              <w:left w:val="single" w:sz="4" w:space="0" w:color="auto"/>
              <w:bottom w:val="single" w:sz="4" w:space="0" w:color="auto"/>
              <w:right w:val="single" w:sz="4" w:space="0" w:color="auto"/>
            </w:tcBorders>
            <w:shd w:val="clear" w:color="auto" w:fill="D5DCE4" w:themeFill="text2" w:themeFillTint="33"/>
            <w:vAlign w:val="center"/>
            <w:hideMark/>
          </w:tcPr>
          <w:p w14:paraId="22F3B611" w14:textId="77777777" w:rsidR="00AE574E" w:rsidRPr="00A9330B" w:rsidRDefault="00AE574E">
            <w:pPr>
              <w:spacing w:before="40" w:line="240" w:lineRule="auto"/>
              <w:rPr>
                <w:rFonts w:cs="Arial"/>
                <w:sz w:val="20"/>
                <w:szCs w:val="20"/>
              </w:rPr>
            </w:pPr>
            <w:r w:rsidRPr="00A9330B">
              <w:rPr>
                <w:rFonts w:cs="Arial"/>
                <w:b/>
                <w:sz w:val="20"/>
                <w:szCs w:val="20"/>
              </w:rPr>
              <w:t>Suivi interne</w:t>
            </w:r>
          </w:p>
        </w:tc>
      </w:tr>
      <w:tr w:rsidR="00AE574E" w:rsidRPr="00A9330B" w14:paraId="480F126D" w14:textId="77777777" w:rsidTr="00AE574E">
        <w:tc>
          <w:tcPr>
            <w:tcW w:w="1509" w:type="pct"/>
            <w:tcBorders>
              <w:top w:val="single" w:sz="4" w:space="0" w:color="auto"/>
              <w:left w:val="single" w:sz="4" w:space="0" w:color="auto"/>
              <w:bottom w:val="single" w:sz="4" w:space="0" w:color="auto"/>
              <w:right w:val="single" w:sz="4" w:space="0" w:color="auto"/>
            </w:tcBorders>
            <w:hideMark/>
          </w:tcPr>
          <w:p w14:paraId="5DE6A8A3" w14:textId="77777777" w:rsidR="00AE574E" w:rsidRPr="00A9330B" w:rsidRDefault="00AE574E">
            <w:pPr>
              <w:spacing w:before="40" w:line="240" w:lineRule="auto"/>
              <w:rPr>
                <w:rFonts w:cs="Arial"/>
                <w:b/>
                <w:sz w:val="20"/>
                <w:szCs w:val="20"/>
              </w:rPr>
            </w:pPr>
            <w:r w:rsidRPr="00A9330B">
              <w:rPr>
                <w:rFonts w:cs="Arial"/>
                <w:sz w:val="20"/>
                <w:szCs w:val="20"/>
              </w:rPr>
              <w:t xml:space="preserve">ACVDT </w:t>
            </w:r>
          </w:p>
        </w:tc>
        <w:tc>
          <w:tcPr>
            <w:tcW w:w="3491" w:type="pct"/>
            <w:tcBorders>
              <w:top w:val="single" w:sz="4" w:space="0" w:color="auto"/>
              <w:left w:val="single" w:sz="4" w:space="0" w:color="auto"/>
              <w:bottom w:val="single" w:sz="4" w:space="0" w:color="auto"/>
              <w:right w:val="single" w:sz="4" w:space="0" w:color="auto"/>
            </w:tcBorders>
            <w:hideMark/>
          </w:tcPr>
          <w:p w14:paraId="74E0612F" w14:textId="77777777" w:rsidR="00AE574E" w:rsidRPr="00A9330B" w:rsidRDefault="00AE574E" w:rsidP="000F7BA7">
            <w:pPr>
              <w:spacing w:before="40" w:line="240" w:lineRule="auto"/>
              <w:jc w:val="both"/>
              <w:rPr>
                <w:rFonts w:cs="Arial"/>
                <w:sz w:val="20"/>
                <w:szCs w:val="20"/>
              </w:rPr>
            </w:pPr>
            <w:r w:rsidRPr="00A9330B">
              <w:rPr>
                <w:rFonts w:cs="Arial"/>
                <w:sz w:val="20"/>
                <w:szCs w:val="20"/>
              </w:rPr>
              <w:t xml:space="preserve">Vérification des activités de surveillance environnementale et sociales </w:t>
            </w:r>
          </w:p>
          <w:p w14:paraId="5EFD3E76" w14:textId="77777777" w:rsidR="00AE574E" w:rsidRPr="00A9330B" w:rsidRDefault="00AE574E" w:rsidP="000F7BA7">
            <w:pPr>
              <w:spacing w:before="40" w:line="240" w:lineRule="auto"/>
              <w:jc w:val="both"/>
              <w:rPr>
                <w:rFonts w:cs="Arial"/>
                <w:sz w:val="20"/>
                <w:szCs w:val="20"/>
              </w:rPr>
            </w:pPr>
            <w:r w:rsidRPr="00A9330B">
              <w:rPr>
                <w:rFonts w:cs="Arial"/>
                <w:sz w:val="20"/>
                <w:szCs w:val="20"/>
              </w:rPr>
              <w:t xml:space="preserve">Vérification des mesures HSE sur les sites </w:t>
            </w:r>
          </w:p>
          <w:p w14:paraId="34520E68" w14:textId="77777777" w:rsidR="00AE574E" w:rsidRPr="00A9330B" w:rsidRDefault="00AE574E" w:rsidP="000F7BA7">
            <w:pPr>
              <w:spacing w:before="40" w:line="240" w:lineRule="auto"/>
              <w:jc w:val="both"/>
              <w:rPr>
                <w:rFonts w:cs="Arial"/>
                <w:sz w:val="20"/>
                <w:szCs w:val="20"/>
              </w:rPr>
            </w:pPr>
            <w:r w:rsidRPr="00A9330B">
              <w:rPr>
                <w:rFonts w:cs="Arial"/>
                <w:sz w:val="20"/>
                <w:szCs w:val="20"/>
              </w:rPr>
              <w:t xml:space="preserve">Vérification des mesures de sécurité et de prévention des risques </w:t>
            </w:r>
          </w:p>
          <w:p w14:paraId="4AFF87F1" w14:textId="77777777" w:rsidR="00AE574E" w:rsidRPr="00A9330B" w:rsidRDefault="00AE574E" w:rsidP="000F7BA7">
            <w:pPr>
              <w:spacing w:before="40" w:line="240" w:lineRule="auto"/>
              <w:jc w:val="both"/>
              <w:rPr>
                <w:rFonts w:cs="Arial"/>
                <w:sz w:val="20"/>
                <w:szCs w:val="20"/>
              </w:rPr>
            </w:pPr>
            <w:r w:rsidRPr="00A9330B">
              <w:rPr>
                <w:rFonts w:cs="Arial"/>
                <w:sz w:val="20"/>
                <w:szCs w:val="20"/>
              </w:rPr>
              <w:t>Rapport trimestriel sue la mise en œuvre du PGES pour la BAD</w:t>
            </w:r>
          </w:p>
        </w:tc>
      </w:tr>
      <w:tr w:rsidR="00AE574E" w:rsidRPr="00A9330B" w14:paraId="37EBBE0D" w14:textId="77777777" w:rsidTr="00AE574E">
        <w:tc>
          <w:tcPr>
            <w:tcW w:w="1509" w:type="pct"/>
            <w:tcBorders>
              <w:top w:val="single" w:sz="4" w:space="0" w:color="auto"/>
              <w:left w:val="single" w:sz="4" w:space="0" w:color="auto"/>
              <w:bottom w:val="single" w:sz="4" w:space="0" w:color="auto"/>
              <w:right w:val="single" w:sz="4" w:space="0" w:color="auto"/>
            </w:tcBorders>
            <w:hideMark/>
          </w:tcPr>
          <w:p w14:paraId="0542AC54" w14:textId="77777777" w:rsidR="00AE574E" w:rsidRPr="00A9330B" w:rsidRDefault="00AE574E">
            <w:pPr>
              <w:spacing w:before="40" w:line="240" w:lineRule="auto"/>
              <w:rPr>
                <w:rFonts w:cs="Arial"/>
                <w:sz w:val="20"/>
                <w:szCs w:val="20"/>
              </w:rPr>
            </w:pPr>
            <w:r w:rsidRPr="00A9330B">
              <w:rPr>
                <w:rFonts w:cs="Arial"/>
                <w:sz w:val="20"/>
                <w:szCs w:val="20"/>
              </w:rPr>
              <w:t xml:space="preserve">Bénéficiaires du projet </w:t>
            </w:r>
          </w:p>
          <w:p w14:paraId="69D9C5FD" w14:textId="77777777" w:rsidR="00AE574E" w:rsidRPr="00A9330B" w:rsidRDefault="00AE574E">
            <w:pPr>
              <w:spacing w:before="40" w:line="240" w:lineRule="auto"/>
              <w:rPr>
                <w:rFonts w:cs="Arial"/>
                <w:sz w:val="20"/>
                <w:szCs w:val="20"/>
              </w:rPr>
            </w:pPr>
            <w:r w:rsidRPr="00A9330B">
              <w:rPr>
                <w:rFonts w:cs="Arial"/>
                <w:sz w:val="20"/>
                <w:szCs w:val="20"/>
              </w:rPr>
              <w:t xml:space="preserve">Services techniques de la Mairie </w:t>
            </w:r>
          </w:p>
          <w:p w14:paraId="628D72F2" w14:textId="77777777" w:rsidR="00AE574E" w:rsidRPr="00A9330B" w:rsidRDefault="00AE574E">
            <w:pPr>
              <w:spacing w:before="40" w:line="240" w:lineRule="auto"/>
              <w:rPr>
                <w:rFonts w:cs="Arial"/>
                <w:sz w:val="20"/>
                <w:szCs w:val="20"/>
              </w:rPr>
            </w:pPr>
            <w:r w:rsidRPr="00A9330B">
              <w:rPr>
                <w:rFonts w:cs="Arial"/>
                <w:sz w:val="20"/>
                <w:szCs w:val="20"/>
              </w:rPr>
              <w:t xml:space="preserve">Comité local de médiation </w:t>
            </w:r>
          </w:p>
          <w:p w14:paraId="677F874D" w14:textId="77777777" w:rsidR="00AE574E" w:rsidRPr="00A9330B" w:rsidRDefault="00AE574E">
            <w:pPr>
              <w:spacing w:before="40" w:line="240" w:lineRule="auto"/>
              <w:rPr>
                <w:rFonts w:cs="Arial"/>
                <w:b/>
                <w:sz w:val="20"/>
                <w:szCs w:val="20"/>
              </w:rPr>
            </w:pPr>
            <w:r w:rsidRPr="00A9330B">
              <w:rPr>
                <w:rFonts w:cs="Arial"/>
                <w:sz w:val="20"/>
                <w:szCs w:val="20"/>
              </w:rPr>
              <w:t xml:space="preserve">Commission de conciliation </w:t>
            </w:r>
          </w:p>
        </w:tc>
        <w:tc>
          <w:tcPr>
            <w:tcW w:w="3491" w:type="pct"/>
            <w:tcBorders>
              <w:top w:val="single" w:sz="4" w:space="0" w:color="auto"/>
              <w:left w:val="single" w:sz="4" w:space="0" w:color="auto"/>
              <w:bottom w:val="single" w:sz="4" w:space="0" w:color="auto"/>
              <w:right w:val="single" w:sz="4" w:space="0" w:color="auto"/>
            </w:tcBorders>
            <w:hideMark/>
          </w:tcPr>
          <w:p w14:paraId="22768990" w14:textId="77777777" w:rsidR="00AE574E" w:rsidRPr="00A9330B" w:rsidRDefault="00AE574E" w:rsidP="000F7BA7">
            <w:pPr>
              <w:spacing w:before="40" w:line="240" w:lineRule="auto"/>
              <w:jc w:val="both"/>
              <w:rPr>
                <w:rFonts w:cs="Arial"/>
                <w:sz w:val="20"/>
                <w:szCs w:val="20"/>
              </w:rPr>
            </w:pPr>
            <w:r w:rsidRPr="00A9330B">
              <w:rPr>
                <w:rFonts w:cs="Arial"/>
                <w:sz w:val="20"/>
                <w:szCs w:val="20"/>
              </w:rPr>
              <w:t xml:space="preserve">Contrôle de la mise en œuvre adéquate des mesures HSE </w:t>
            </w:r>
          </w:p>
          <w:p w14:paraId="38882511" w14:textId="77777777" w:rsidR="00AE574E" w:rsidRPr="00A9330B" w:rsidRDefault="00AE574E" w:rsidP="000F7BA7">
            <w:pPr>
              <w:spacing w:before="40" w:line="240" w:lineRule="auto"/>
              <w:jc w:val="both"/>
              <w:rPr>
                <w:rFonts w:cs="Arial"/>
                <w:sz w:val="20"/>
                <w:szCs w:val="20"/>
              </w:rPr>
            </w:pPr>
            <w:r w:rsidRPr="00A9330B">
              <w:rPr>
                <w:rFonts w:cs="Arial"/>
                <w:sz w:val="20"/>
                <w:szCs w:val="20"/>
              </w:rPr>
              <w:t>Contrôle de la mise en œuvre du PAR</w:t>
            </w:r>
          </w:p>
          <w:p w14:paraId="5A02C927" w14:textId="77777777" w:rsidR="00AE574E" w:rsidRPr="00A9330B" w:rsidRDefault="00AE574E" w:rsidP="000F7BA7">
            <w:pPr>
              <w:spacing w:before="40" w:line="240" w:lineRule="auto"/>
              <w:jc w:val="both"/>
              <w:rPr>
                <w:rFonts w:cs="Arial"/>
                <w:sz w:val="20"/>
                <w:szCs w:val="20"/>
              </w:rPr>
            </w:pPr>
            <w:r w:rsidRPr="00A9330B">
              <w:rPr>
                <w:rFonts w:cs="Arial"/>
                <w:sz w:val="20"/>
                <w:szCs w:val="20"/>
              </w:rPr>
              <w:t xml:space="preserve">Gestion des plaintes </w:t>
            </w:r>
          </w:p>
        </w:tc>
      </w:tr>
      <w:tr w:rsidR="00AE574E" w:rsidRPr="00A9330B" w14:paraId="565C992A" w14:textId="77777777" w:rsidTr="00AE574E">
        <w:tc>
          <w:tcPr>
            <w:tcW w:w="5000" w:type="pct"/>
            <w:gridSpan w:val="2"/>
            <w:tcBorders>
              <w:top w:val="single" w:sz="4" w:space="0" w:color="auto"/>
              <w:left w:val="single" w:sz="4" w:space="0" w:color="auto"/>
              <w:bottom w:val="single" w:sz="4" w:space="0" w:color="auto"/>
              <w:right w:val="single" w:sz="4" w:space="0" w:color="auto"/>
            </w:tcBorders>
            <w:shd w:val="clear" w:color="auto" w:fill="D5DCE4" w:themeFill="text2" w:themeFillTint="33"/>
            <w:vAlign w:val="center"/>
            <w:hideMark/>
          </w:tcPr>
          <w:p w14:paraId="69E6CD3D" w14:textId="77777777" w:rsidR="00AE574E" w:rsidRPr="00A9330B" w:rsidRDefault="00AE574E" w:rsidP="00204F63">
            <w:pPr>
              <w:spacing w:before="40" w:line="240" w:lineRule="auto"/>
              <w:rPr>
                <w:rFonts w:cs="Arial"/>
                <w:b/>
                <w:sz w:val="20"/>
                <w:szCs w:val="20"/>
              </w:rPr>
            </w:pPr>
            <w:r w:rsidRPr="00A9330B">
              <w:rPr>
                <w:rFonts w:cs="Arial"/>
                <w:b/>
                <w:sz w:val="20"/>
                <w:szCs w:val="20"/>
              </w:rPr>
              <w:t>Suivi externe</w:t>
            </w:r>
          </w:p>
        </w:tc>
      </w:tr>
      <w:tr w:rsidR="00AE574E" w:rsidRPr="00A9330B" w14:paraId="37E26B10" w14:textId="77777777" w:rsidTr="00AE574E">
        <w:tc>
          <w:tcPr>
            <w:tcW w:w="1509" w:type="pct"/>
            <w:tcBorders>
              <w:top w:val="single" w:sz="4" w:space="0" w:color="auto"/>
              <w:left w:val="single" w:sz="4" w:space="0" w:color="auto"/>
              <w:bottom w:val="single" w:sz="4" w:space="0" w:color="auto"/>
              <w:right w:val="single" w:sz="4" w:space="0" w:color="auto"/>
            </w:tcBorders>
            <w:hideMark/>
          </w:tcPr>
          <w:p w14:paraId="396CD1B3" w14:textId="77777777" w:rsidR="00AE574E" w:rsidRPr="00A9330B" w:rsidRDefault="00AE574E">
            <w:pPr>
              <w:spacing w:before="40" w:line="240" w:lineRule="auto"/>
              <w:rPr>
                <w:rFonts w:cs="Arial"/>
                <w:sz w:val="20"/>
                <w:szCs w:val="20"/>
              </w:rPr>
            </w:pPr>
            <w:r w:rsidRPr="00A9330B">
              <w:rPr>
                <w:rFonts w:cs="Arial"/>
                <w:sz w:val="20"/>
                <w:szCs w:val="20"/>
              </w:rPr>
              <w:t>MCVDD</w:t>
            </w:r>
          </w:p>
        </w:tc>
        <w:tc>
          <w:tcPr>
            <w:tcW w:w="3491" w:type="pct"/>
            <w:tcBorders>
              <w:top w:val="single" w:sz="4" w:space="0" w:color="auto"/>
              <w:left w:val="single" w:sz="4" w:space="0" w:color="auto"/>
              <w:bottom w:val="single" w:sz="4" w:space="0" w:color="auto"/>
              <w:right w:val="single" w:sz="4" w:space="0" w:color="auto"/>
            </w:tcBorders>
            <w:hideMark/>
          </w:tcPr>
          <w:p w14:paraId="1EB59A05" w14:textId="77777777" w:rsidR="00AE574E" w:rsidRPr="00A9330B" w:rsidRDefault="00AE574E" w:rsidP="000F7BA7">
            <w:pPr>
              <w:spacing w:before="40" w:line="240" w:lineRule="auto"/>
              <w:jc w:val="both"/>
              <w:rPr>
                <w:rFonts w:cs="Arial"/>
                <w:sz w:val="20"/>
                <w:szCs w:val="20"/>
              </w:rPr>
            </w:pPr>
            <w:r w:rsidRPr="00A9330B">
              <w:rPr>
                <w:rFonts w:cs="Arial"/>
                <w:sz w:val="20"/>
                <w:szCs w:val="20"/>
              </w:rPr>
              <w:t xml:space="preserve">Supervision du suivi externe </w:t>
            </w:r>
          </w:p>
        </w:tc>
      </w:tr>
      <w:tr w:rsidR="00AE574E" w:rsidRPr="00A9330B" w14:paraId="7C70A876" w14:textId="77777777" w:rsidTr="00AE574E">
        <w:tc>
          <w:tcPr>
            <w:tcW w:w="1509" w:type="pct"/>
            <w:tcBorders>
              <w:top w:val="single" w:sz="4" w:space="0" w:color="auto"/>
              <w:left w:val="single" w:sz="4" w:space="0" w:color="auto"/>
              <w:bottom w:val="single" w:sz="4" w:space="0" w:color="auto"/>
              <w:right w:val="single" w:sz="4" w:space="0" w:color="auto"/>
            </w:tcBorders>
            <w:hideMark/>
          </w:tcPr>
          <w:p w14:paraId="043215F7" w14:textId="77777777" w:rsidR="00AE574E" w:rsidRPr="00A9330B" w:rsidRDefault="00AE574E">
            <w:pPr>
              <w:spacing w:before="40" w:line="240" w:lineRule="auto"/>
              <w:rPr>
                <w:rFonts w:cs="Arial"/>
                <w:sz w:val="20"/>
                <w:szCs w:val="20"/>
              </w:rPr>
            </w:pPr>
            <w:r w:rsidRPr="00A9330B">
              <w:rPr>
                <w:rFonts w:cs="Arial"/>
                <w:sz w:val="20"/>
                <w:szCs w:val="20"/>
              </w:rPr>
              <w:t xml:space="preserve">ABE </w:t>
            </w:r>
          </w:p>
        </w:tc>
        <w:tc>
          <w:tcPr>
            <w:tcW w:w="3491" w:type="pct"/>
            <w:tcBorders>
              <w:top w:val="single" w:sz="4" w:space="0" w:color="auto"/>
              <w:left w:val="single" w:sz="4" w:space="0" w:color="auto"/>
              <w:bottom w:val="single" w:sz="4" w:space="0" w:color="auto"/>
              <w:right w:val="single" w:sz="4" w:space="0" w:color="auto"/>
            </w:tcBorders>
            <w:hideMark/>
          </w:tcPr>
          <w:p w14:paraId="10814D58" w14:textId="77777777" w:rsidR="00AE574E" w:rsidRPr="00A9330B" w:rsidRDefault="00AE574E" w:rsidP="000F7BA7">
            <w:pPr>
              <w:spacing w:before="40" w:line="240" w:lineRule="auto"/>
              <w:jc w:val="both"/>
              <w:rPr>
                <w:rFonts w:cs="Arial"/>
                <w:sz w:val="20"/>
                <w:szCs w:val="20"/>
              </w:rPr>
            </w:pPr>
            <w:r w:rsidRPr="00A9330B">
              <w:rPr>
                <w:rFonts w:cs="Arial"/>
                <w:sz w:val="20"/>
                <w:szCs w:val="20"/>
              </w:rPr>
              <w:t>Suivi de la mise en œuvre du PGES et du PAR</w:t>
            </w:r>
          </w:p>
          <w:p w14:paraId="4B80EDAD" w14:textId="77777777" w:rsidR="00AE574E" w:rsidRPr="00A9330B" w:rsidRDefault="00AE574E" w:rsidP="000F7BA7">
            <w:pPr>
              <w:spacing w:before="40" w:line="240" w:lineRule="auto"/>
              <w:jc w:val="both"/>
              <w:rPr>
                <w:rFonts w:cs="Arial"/>
                <w:sz w:val="20"/>
                <w:szCs w:val="20"/>
              </w:rPr>
            </w:pPr>
            <w:r w:rsidRPr="00A9330B">
              <w:rPr>
                <w:rFonts w:cs="Arial"/>
                <w:sz w:val="20"/>
                <w:szCs w:val="20"/>
              </w:rPr>
              <w:t xml:space="preserve">Vérification de conformité </w:t>
            </w:r>
          </w:p>
          <w:p w14:paraId="2C2AF558" w14:textId="77777777" w:rsidR="00AE574E" w:rsidRPr="00A9330B" w:rsidRDefault="00AE574E" w:rsidP="000F7BA7">
            <w:pPr>
              <w:spacing w:before="40" w:line="240" w:lineRule="auto"/>
              <w:jc w:val="both"/>
              <w:rPr>
                <w:rFonts w:cs="Arial"/>
                <w:sz w:val="20"/>
                <w:szCs w:val="20"/>
              </w:rPr>
            </w:pPr>
            <w:r w:rsidRPr="00A9330B">
              <w:rPr>
                <w:rFonts w:cs="Arial"/>
                <w:sz w:val="20"/>
                <w:szCs w:val="20"/>
              </w:rPr>
              <w:t xml:space="preserve">Efficacité des mesures proposées </w:t>
            </w:r>
          </w:p>
          <w:p w14:paraId="0712EF3D" w14:textId="77777777" w:rsidR="00AE574E" w:rsidRPr="00A9330B" w:rsidRDefault="00AE574E" w:rsidP="000F7BA7">
            <w:pPr>
              <w:spacing w:before="40" w:line="240" w:lineRule="auto"/>
              <w:jc w:val="both"/>
              <w:rPr>
                <w:rFonts w:cs="Arial"/>
                <w:sz w:val="20"/>
                <w:szCs w:val="20"/>
              </w:rPr>
            </w:pPr>
            <w:r w:rsidRPr="00A9330B">
              <w:rPr>
                <w:rFonts w:cs="Arial"/>
                <w:sz w:val="20"/>
                <w:szCs w:val="20"/>
              </w:rPr>
              <w:t xml:space="preserve">Audit externe </w:t>
            </w:r>
          </w:p>
        </w:tc>
      </w:tr>
      <w:tr w:rsidR="00AE574E" w:rsidRPr="00A9330B" w14:paraId="7D6E350D" w14:textId="77777777" w:rsidTr="00AE574E">
        <w:tc>
          <w:tcPr>
            <w:tcW w:w="1509" w:type="pct"/>
            <w:tcBorders>
              <w:top w:val="single" w:sz="4" w:space="0" w:color="auto"/>
              <w:left w:val="single" w:sz="4" w:space="0" w:color="auto"/>
              <w:bottom w:val="single" w:sz="4" w:space="0" w:color="auto"/>
              <w:right w:val="single" w:sz="4" w:space="0" w:color="auto"/>
            </w:tcBorders>
            <w:hideMark/>
          </w:tcPr>
          <w:p w14:paraId="08FBA4A4" w14:textId="77777777" w:rsidR="00AE574E" w:rsidRPr="00A9330B" w:rsidRDefault="00AE574E">
            <w:pPr>
              <w:spacing w:before="40" w:line="240" w:lineRule="auto"/>
              <w:rPr>
                <w:rFonts w:cs="Arial"/>
                <w:sz w:val="20"/>
                <w:szCs w:val="20"/>
              </w:rPr>
            </w:pPr>
            <w:r w:rsidRPr="00A9330B">
              <w:rPr>
                <w:rFonts w:cs="Arial"/>
                <w:sz w:val="20"/>
                <w:szCs w:val="20"/>
              </w:rPr>
              <w:t xml:space="preserve">Structures déconcentrées </w:t>
            </w:r>
          </w:p>
        </w:tc>
        <w:tc>
          <w:tcPr>
            <w:tcW w:w="3491" w:type="pct"/>
            <w:tcBorders>
              <w:top w:val="single" w:sz="4" w:space="0" w:color="auto"/>
              <w:left w:val="single" w:sz="4" w:space="0" w:color="auto"/>
              <w:bottom w:val="single" w:sz="4" w:space="0" w:color="auto"/>
              <w:right w:val="single" w:sz="4" w:space="0" w:color="auto"/>
            </w:tcBorders>
            <w:hideMark/>
          </w:tcPr>
          <w:p w14:paraId="38E7DF1A" w14:textId="77777777" w:rsidR="00AE574E" w:rsidRPr="00A9330B" w:rsidRDefault="00AE574E" w:rsidP="000F7BA7">
            <w:pPr>
              <w:spacing w:before="40" w:line="240" w:lineRule="auto"/>
              <w:jc w:val="both"/>
              <w:rPr>
                <w:rFonts w:cs="Arial"/>
                <w:sz w:val="20"/>
                <w:szCs w:val="20"/>
              </w:rPr>
            </w:pPr>
            <w:r w:rsidRPr="00A9330B">
              <w:rPr>
                <w:rFonts w:cs="Arial"/>
                <w:sz w:val="20"/>
                <w:szCs w:val="20"/>
              </w:rPr>
              <w:t xml:space="preserve">Suivi de la mise en œuvre des activités du PGES par dérogation </w:t>
            </w:r>
          </w:p>
          <w:p w14:paraId="3266B2C6" w14:textId="77777777" w:rsidR="00AE574E" w:rsidRPr="00A9330B" w:rsidRDefault="00AE574E" w:rsidP="000F7BA7">
            <w:pPr>
              <w:spacing w:before="40" w:line="240" w:lineRule="auto"/>
              <w:jc w:val="both"/>
              <w:rPr>
                <w:rFonts w:cs="Arial"/>
                <w:sz w:val="20"/>
                <w:szCs w:val="20"/>
              </w:rPr>
            </w:pPr>
            <w:r w:rsidRPr="00A9330B">
              <w:rPr>
                <w:rFonts w:cs="Arial"/>
                <w:sz w:val="20"/>
                <w:szCs w:val="20"/>
              </w:rPr>
              <w:t xml:space="preserve">Vérification de conformité </w:t>
            </w:r>
          </w:p>
          <w:p w14:paraId="28E536F7" w14:textId="77777777" w:rsidR="00AE574E" w:rsidRPr="00A9330B" w:rsidRDefault="00AE574E" w:rsidP="000F7BA7">
            <w:pPr>
              <w:spacing w:before="40" w:line="240" w:lineRule="auto"/>
              <w:jc w:val="both"/>
              <w:rPr>
                <w:rFonts w:cs="Arial"/>
                <w:sz w:val="20"/>
                <w:szCs w:val="20"/>
              </w:rPr>
            </w:pPr>
            <w:r w:rsidRPr="00A9330B">
              <w:rPr>
                <w:rFonts w:cs="Arial"/>
                <w:sz w:val="20"/>
                <w:szCs w:val="20"/>
              </w:rPr>
              <w:t xml:space="preserve">Efficacité des mesures proposées </w:t>
            </w:r>
          </w:p>
          <w:p w14:paraId="7C7A5DD2" w14:textId="77777777" w:rsidR="00AE574E" w:rsidRPr="00A9330B" w:rsidRDefault="00AE574E" w:rsidP="000F7BA7">
            <w:pPr>
              <w:spacing w:before="40" w:line="240" w:lineRule="auto"/>
              <w:jc w:val="both"/>
              <w:rPr>
                <w:rFonts w:cs="Arial"/>
                <w:sz w:val="20"/>
                <w:szCs w:val="20"/>
              </w:rPr>
            </w:pPr>
            <w:r w:rsidRPr="00A9330B">
              <w:rPr>
                <w:rFonts w:cs="Arial"/>
                <w:sz w:val="20"/>
                <w:szCs w:val="20"/>
              </w:rPr>
              <w:t xml:space="preserve">Arbitrage dans la gestion des plaintes </w:t>
            </w:r>
          </w:p>
        </w:tc>
      </w:tr>
    </w:tbl>
    <w:p w14:paraId="07F625FE" w14:textId="77777777" w:rsidR="00AE574E" w:rsidRPr="00A9330B" w:rsidRDefault="00AE574E" w:rsidP="00AE574E"/>
    <w:p w14:paraId="6DC22B0A" w14:textId="0CF81394" w:rsidR="00401546" w:rsidRPr="00A9330B" w:rsidRDefault="00AE574E" w:rsidP="000F7BA7">
      <w:pPr>
        <w:pStyle w:val="Titre2"/>
      </w:pPr>
      <w:bookmarkStart w:id="2091" w:name="_Toc43776785"/>
      <w:bookmarkStart w:id="2092" w:name="_Toc45555520"/>
      <w:bookmarkStart w:id="2093" w:name="_Toc45555925"/>
      <w:bookmarkStart w:id="2094" w:name="_Toc45557074"/>
      <w:bookmarkStart w:id="2095" w:name="_Toc45557545"/>
      <w:bookmarkStart w:id="2096" w:name="_Toc43776786"/>
      <w:bookmarkStart w:id="2097" w:name="_Toc45555521"/>
      <w:bookmarkStart w:id="2098" w:name="_Toc45555926"/>
      <w:bookmarkStart w:id="2099" w:name="_Toc45557075"/>
      <w:bookmarkStart w:id="2100" w:name="_Toc45557546"/>
      <w:bookmarkStart w:id="2101" w:name="_Toc45557078"/>
      <w:bookmarkStart w:id="2102" w:name="_Toc45557549"/>
      <w:bookmarkStart w:id="2103" w:name="_Toc52869745"/>
      <w:bookmarkStart w:id="2104" w:name="_Toc52869895"/>
      <w:bookmarkEnd w:id="2091"/>
      <w:bookmarkEnd w:id="2092"/>
      <w:bookmarkEnd w:id="2093"/>
      <w:bookmarkEnd w:id="2094"/>
      <w:bookmarkEnd w:id="2095"/>
      <w:bookmarkEnd w:id="2096"/>
      <w:bookmarkEnd w:id="2097"/>
      <w:bookmarkEnd w:id="2098"/>
      <w:bookmarkEnd w:id="2099"/>
      <w:bookmarkEnd w:id="2100"/>
      <w:r w:rsidRPr="00A9330B">
        <w:t>11.5. Plan de gestion environnementale et sociale</w:t>
      </w:r>
      <w:r w:rsidR="006C383B" w:rsidRPr="00A9330B">
        <w:t xml:space="preserve"> « tableau de </w:t>
      </w:r>
      <w:bookmarkStart w:id="2105" w:name="_Toc43696693"/>
      <w:bookmarkStart w:id="2106" w:name="_Toc43697717"/>
      <w:bookmarkStart w:id="2107" w:name="_Toc43726665"/>
      <w:bookmarkStart w:id="2108" w:name="_Toc45517346"/>
      <w:bookmarkStart w:id="2109" w:name="_Toc45520942"/>
      <w:bookmarkStart w:id="2110" w:name="_Toc45521859"/>
      <w:bookmarkStart w:id="2111" w:name="_Toc45526094"/>
      <w:bookmarkStart w:id="2112" w:name="_Toc45526343"/>
      <w:bookmarkStart w:id="2113" w:name="_Toc45526437"/>
      <w:bookmarkStart w:id="2114" w:name="_Toc43696694"/>
      <w:bookmarkStart w:id="2115" w:name="_Toc43697718"/>
      <w:bookmarkStart w:id="2116" w:name="_Toc43726666"/>
      <w:bookmarkStart w:id="2117" w:name="_Toc45517347"/>
      <w:bookmarkStart w:id="2118" w:name="_Toc45520943"/>
      <w:bookmarkStart w:id="2119" w:name="_Toc45521860"/>
      <w:bookmarkStart w:id="2120" w:name="_Toc45526095"/>
      <w:bookmarkStart w:id="2121" w:name="_Toc45526344"/>
      <w:bookmarkStart w:id="2122" w:name="_Toc45526438"/>
      <w:bookmarkEnd w:id="2101"/>
      <w:bookmarkEnd w:id="2102"/>
      <w:bookmarkEnd w:id="2105"/>
      <w:bookmarkEnd w:id="2106"/>
      <w:bookmarkEnd w:id="2107"/>
      <w:bookmarkEnd w:id="2108"/>
      <w:bookmarkEnd w:id="2109"/>
      <w:bookmarkEnd w:id="2110"/>
      <w:bookmarkEnd w:id="2111"/>
      <w:bookmarkEnd w:id="2112"/>
      <w:bookmarkEnd w:id="2113"/>
      <w:bookmarkEnd w:id="2114"/>
      <w:bookmarkEnd w:id="2115"/>
      <w:bookmarkEnd w:id="2116"/>
      <w:bookmarkEnd w:id="2117"/>
      <w:bookmarkEnd w:id="2118"/>
      <w:bookmarkEnd w:id="2119"/>
      <w:bookmarkEnd w:id="2120"/>
      <w:bookmarkEnd w:id="2121"/>
      <w:bookmarkEnd w:id="2122"/>
      <w:r w:rsidR="00204F63" w:rsidRPr="00A9330B">
        <w:t>synthèse</w:t>
      </w:r>
      <w:r w:rsidR="006C383B" w:rsidRPr="00A9330B">
        <w:t xml:space="preserve"> »</w:t>
      </w:r>
      <w:bookmarkEnd w:id="2103"/>
      <w:bookmarkEnd w:id="2104"/>
    </w:p>
    <w:p w14:paraId="1EBB8B36" w14:textId="4F2DE188" w:rsidR="006C383B" w:rsidRPr="00A9330B" w:rsidRDefault="006C383B" w:rsidP="006C383B">
      <w:pPr>
        <w:rPr>
          <w:lang w:eastAsia="fr-FR"/>
        </w:rPr>
      </w:pPr>
    </w:p>
    <w:p w14:paraId="2E31EE6E" w14:textId="08D3C38B" w:rsidR="00204F63" w:rsidRPr="00A9330B" w:rsidRDefault="00204F63" w:rsidP="006C383B">
      <w:pPr>
        <w:rPr>
          <w:lang w:eastAsia="fr-FR"/>
        </w:rPr>
      </w:pPr>
    </w:p>
    <w:p w14:paraId="3F0157EE" w14:textId="77777777" w:rsidR="00204F63" w:rsidRPr="00A9330B" w:rsidRDefault="00204F63" w:rsidP="006C383B">
      <w:pPr>
        <w:rPr>
          <w:lang w:eastAsia="fr-FR"/>
        </w:rPr>
        <w:sectPr w:rsidR="00204F63" w:rsidRPr="00A9330B" w:rsidSect="00401546">
          <w:footerReference w:type="default" r:id="rId103"/>
          <w:pgSz w:w="11906" w:h="16838"/>
          <w:pgMar w:top="1352" w:right="1134" w:bottom="993" w:left="1134" w:header="709" w:footer="709" w:gutter="0"/>
          <w:cols w:space="708"/>
          <w:docGrid w:linePitch="360"/>
        </w:sectPr>
      </w:pPr>
    </w:p>
    <w:p w14:paraId="4CFA0702" w14:textId="14B158B7" w:rsidR="00401546" w:rsidRPr="00A9330B" w:rsidRDefault="00401546" w:rsidP="00401546">
      <w:pPr>
        <w:keepNext/>
        <w:spacing w:after="120" w:line="240" w:lineRule="auto"/>
        <w:jc w:val="center"/>
        <w:rPr>
          <w:rFonts w:eastAsia="Times New Roman" w:cs="Arial"/>
          <w:b/>
          <w:color w:val="000000"/>
          <w:sz w:val="20"/>
          <w:szCs w:val="20"/>
          <w:lang w:eastAsia="fr-FR"/>
        </w:rPr>
      </w:pPr>
      <w:bookmarkStart w:id="2123" w:name="_Toc43696269"/>
      <w:bookmarkStart w:id="2124" w:name="_Toc52873797"/>
      <w:r w:rsidRPr="00A9330B">
        <w:rPr>
          <w:rFonts w:eastAsia="Times New Roman" w:cs="Arial"/>
          <w:b/>
          <w:color w:val="000000"/>
          <w:sz w:val="20"/>
          <w:szCs w:val="20"/>
          <w:lang w:eastAsia="fr-FR"/>
        </w:rPr>
        <w:lastRenderedPageBreak/>
        <w:t xml:space="preserve">Tableau </w:t>
      </w:r>
      <w:r w:rsidRPr="00A9330B">
        <w:rPr>
          <w:rFonts w:eastAsia="Times New Roman" w:cs="Arial"/>
          <w:b/>
          <w:color w:val="000000"/>
          <w:sz w:val="20"/>
          <w:szCs w:val="20"/>
          <w:lang w:eastAsia="fr-FR"/>
        </w:rPr>
        <w:fldChar w:fldCharType="begin"/>
      </w:r>
      <w:r w:rsidRPr="00A9330B">
        <w:rPr>
          <w:rFonts w:eastAsia="Times New Roman" w:cs="Arial"/>
          <w:b/>
          <w:color w:val="000000"/>
          <w:sz w:val="20"/>
          <w:szCs w:val="20"/>
          <w:lang w:eastAsia="fr-FR"/>
        </w:rPr>
        <w:instrText xml:space="preserve"> SEQ Tableau \* ARABIC </w:instrText>
      </w:r>
      <w:r w:rsidRPr="00A9330B">
        <w:rPr>
          <w:rFonts w:eastAsia="Times New Roman" w:cs="Arial"/>
          <w:b/>
          <w:color w:val="000000"/>
          <w:sz w:val="20"/>
          <w:szCs w:val="20"/>
          <w:lang w:eastAsia="fr-FR"/>
        </w:rPr>
        <w:fldChar w:fldCharType="separate"/>
      </w:r>
      <w:r w:rsidR="002E4838">
        <w:rPr>
          <w:rFonts w:eastAsia="Times New Roman" w:cs="Arial"/>
          <w:b/>
          <w:noProof/>
          <w:color w:val="000000"/>
          <w:sz w:val="20"/>
          <w:szCs w:val="20"/>
          <w:lang w:eastAsia="fr-FR"/>
        </w:rPr>
        <w:t>73</w:t>
      </w:r>
      <w:r w:rsidRPr="00A9330B">
        <w:rPr>
          <w:rFonts w:eastAsia="Times New Roman" w:cs="Arial"/>
          <w:b/>
          <w:color w:val="000000"/>
          <w:sz w:val="20"/>
          <w:szCs w:val="20"/>
          <w:lang w:eastAsia="fr-FR"/>
        </w:rPr>
        <w:fldChar w:fldCharType="end"/>
      </w:r>
      <w:r w:rsidRPr="00A9330B">
        <w:rPr>
          <w:rFonts w:eastAsia="Times New Roman" w:cs="Arial"/>
          <w:b/>
          <w:color w:val="000000"/>
          <w:sz w:val="20"/>
          <w:szCs w:val="20"/>
          <w:lang w:eastAsia="fr-FR"/>
        </w:rPr>
        <w:t> : Matrice du Plan de gestion environnementale et sociale</w:t>
      </w:r>
      <w:bookmarkEnd w:id="2123"/>
      <w:bookmarkEnd w:id="2124"/>
      <w:r w:rsidRPr="00A9330B">
        <w:rPr>
          <w:rFonts w:eastAsia="Times New Roman" w:cs="Arial"/>
          <w:b/>
          <w:color w:val="000000"/>
          <w:sz w:val="20"/>
          <w:szCs w:val="20"/>
          <w:lang w:eastAsia="fr-FR"/>
        </w:rPr>
        <w:t xml:space="preserve"> </w:t>
      </w:r>
    </w:p>
    <w:p w14:paraId="71C055FF" w14:textId="77777777" w:rsidR="00875E65" w:rsidRPr="00A9330B" w:rsidRDefault="00875E65" w:rsidP="00401546">
      <w:pPr>
        <w:keepNext/>
        <w:spacing w:after="120" w:line="240" w:lineRule="auto"/>
        <w:jc w:val="center"/>
        <w:rPr>
          <w:rFonts w:eastAsia="Times New Roman" w:cs="Arial"/>
          <w:b/>
          <w:color w:val="000000"/>
          <w:sz w:val="20"/>
          <w:szCs w:val="20"/>
          <w:lang w:eastAsia="fr-FR"/>
        </w:rPr>
      </w:pPr>
    </w:p>
    <w:tbl>
      <w:tblPr>
        <w:tblW w:w="4904" w:type="pct"/>
        <w:tblInd w:w="274" w:type="dxa"/>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CellMar>
          <w:left w:w="70" w:type="dxa"/>
          <w:right w:w="70" w:type="dxa"/>
        </w:tblCellMar>
        <w:tblLook w:val="04A0" w:firstRow="1" w:lastRow="0" w:firstColumn="1" w:lastColumn="0" w:noHBand="0" w:noVBand="1"/>
      </w:tblPr>
      <w:tblGrid>
        <w:gridCol w:w="2787"/>
        <w:gridCol w:w="2563"/>
        <w:gridCol w:w="1783"/>
        <w:gridCol w:w="1839"/>
        <w:gridCol w:w="2510"/>
        <w:gridCol w:w="2510"/>
      </w:tblGrid>
      <w:tr w:rsidR="006C383B" w:rsidRPr="00A9330B" w14:paraId="3D95E879" w14:textId="30B710DF" w:rsidTr="006C383B">
        <w:trPr>
          <w:trHeight w:val="182"/>
          <w:tblHeader/>
        </w:trPr>
        <w:tc>
          <w:tcPr>
            <w:tcW w:w="996" w:type="pct"/>
            <w:vMerge w:val="restart"/>
            <w:tcBorders>
              <w:top w:val="single" w:sz="8" w:space="0" w:color="auto"/>
              <w:left w:val="single" w:sz="8" w:space="0" w:color="auto"/>
              <w:bottom w:val="single" w:sz="6" w:space="0" w:color="auto"/>
              <w:right w:val="single" w:sz="6" w:space="0" w:color="auto"/>
            </w:tcBorders>
            <w:shd w:val="clear" w:color="auto" w:fill="DBE5F1"/>
            <w:hideMark/>
          </w:tcPr>
          <w:p w14:paraId="2CF781C9" w14:textId="77777777" w:rsidR="006C383B" w:rsidRPr="00A9330B" w:rsidRDefault="006C383B" w:rsidP="00875E65">
            <w:pPr>
              <w:widowControl w:val="0"/>
              <w:spacing w:before="60" w:line="240" w:lineRule="auto"/>
              <w:jc w:val="center"/>
              <w:rPr>
                <w:rFonts w:eastAsia="Times New Roman" w:cs="Arial"/>
                <w:b/>
                <w:color w:val="auto"/>
                <w:sz w:val="18"/>
                <w:szCs w:val="18"/>
              </w:rPr>
            </w:pPr>
            <w:r w:rsidRPr="00A9330B">
              <w:rPr>
                <w:rFonts w:eastAsia="Calibri" w:cs="Arial"/>
                <w:b/>
                <w:color w:val="auto"/>
                <w:sz w:val="18"/>
                <w:szCs w:val="18"/>
              </w:rPr>
              <w:t>ACTIVITES</w:t>
            </w:r>
          </w:p>
        </w:tc>
        <w:tc>
          <w:tcPr>
            <w:tcW w:w="916" w:type="pct"/>
            <w:vMerge w:val="restart"/>
            <w:tcBorders>
              <w:top w:val="single" w:sz="8" w:space="0" w:color="auto"/>
              <w:left w:val="single" w:sz="6" w:space="0" w:color="auto"/>
              <w:bottom w:val="single" w:sz="6" w:space="0" w:color="auto"/>
              <w:right w:val="single" w:sz="6" w:space="0" w:color="auto"/>
            </w:tcBorders>
            <w:shd w:val="clear" w:color="auto" w:fill="DBE5F1"/>
            <w:hideMark/>
          </w:tcPr>
          <w:p w14:paraId="2E3ACFCA" w14:textId="77777777" w:rsidR="006C383B" w:rsidRPr="00A9330B" w:rsidRDefault="006C383B" w:rsidP="00875E65">
            <w:pPr>
              <w:widowControl w:val="0"/>
              <w:spacing w:before="60" w:line="240" w:lineRule="auto"/>
              <w:jc w:val="center"/>
              <w:rPr>
                <w:rFonts w:eastAsia="Calibri" w:cs="Arial"/>
                <w:b/>
                <w:color w:val="auto"/>
                <w:sz w:val="18"/>
                <w:szCs w:val="18"/>
              </w:rPr>
            </w:pPr>
            <w:r w:rsidRPr="00A9330B">
              <w:rPr>
                <w:rFonts w:eastAsia="Calibri" w:cs="Arial"/>
                <w:b/>
                <w:color w:val="auto"/>
                <w:sz w:val="18"/>
                <w:szCs w:val="18"/>
              </w:rPr>
              <w:t>INDICATEURS DE SUIVI</w:t>
            </w:r>
          </w:p>
        </w:tc>
        <w:tc>
          <w:tcPr>
            <w:tcW w:w="637" w:type="pct"/>
            <w:vMerge w:val="restart"/>
            <w:tcBorders>
              <w:top w:val="single" w:sz="8" w:space="0" w:color="auto"/>
              <w:left w:val="single" w:sz="6" w:space="0" w:color="auto"/>
              <w:bottom w:val="single" w:sz="6" w:space="0" w:color="auto"/>
              <w:right w:val="single" w:sz="6" w:space="0" w:color="auto"/>
            </w:tcBorders>
            <w:shd w:val="clear" w:color="auto" w:fill="DBE5F1"/>
            <w:hideMark/>
          </w:tcPr>
          <w:p w14:paraId="21425512" w14:textId="77777777" w:rsidR="006C383B" w:rsidRPr="00A9330B" w:rsidRDefault="006C383B" w:rsidP="00875E65">
            <w:pPr>
              <w:widowControl w:val="0"/>
              <w:spacing w:before="60" w:line="240" w:lineRule="auto"/>
              <w:jc w:val="center"/>
              <w:rPr>
                <w:rFonts w:eastAsia="Calibri" w:cs="Arial"/>
                <w:b/>
                <w:color w:val="auto"/>
                <w:sz w:val="18"/>
                <w:szCs w:val="18"/>
              </w:rPr>
            </w:pPr>
            <w:r w:rsidRPr="00A9330B">
              <w:rPr>
                <w:rFonts w:eastAsia="Calibri" w:cs="Arial"/>
                <w:b/>
                <w:color w:val="auto"/>
                <w:sz w:val="18"/>
                <w:szCs w:val="18"/>
              </w:rPr>
              <w:t>PHASE DU PROJET</w:t>
            </w:r>
          </w:p>
        </w:tc>
        <w:tc>
          <w:tcPr>
            <w:tcW w:w="1554" w:type="pct"/>
            <w:gridSpan w:val="2"/>
            <w:tcBorders>
              <w:top w:val="single" w:sz="8" w:space="0" w:color="auto"/>
              <w:left w:val="single" w:sz="6" w:space="0" w:color="auto"/>
              <w:bottom w:val="single" w:sz="6" w:space="0" w:color="auto"/>
              <w:right w:val="single" w:sz="8" w:space="0" w:color="auto"/>
            </w:tcBorders>
            <w:shd w:val="clear" w:color="auto" w:fill="DBE5F1"/>
            <w:hideMark/>
          </w:tcPr>
          <w:p w14:paraId="08C66178" w14:textId="77777777" w:rsidR="006C383B" w:rsidRPr="00A9330B" w:rsidRDefault="006C383B" w:rsidP="006C383B">
            <w:pPr>
              <w:widowControl w:val="0"/>
              <w:spacing w:before="60" w:line="240" w:lineRule="auto"/>
              <w:jc w:val="center"/>
              <w:rPr>
                <w:rFonts w:eastAsia="Calibri" w:cs="Arial"/>
                <w:b/>
                <w:color w:val="auto"/>
                <w:sz w:val="18"/>
                <w:szCs w:val="18"/>
              </w:rPr>
            </w:pPr>
            <w:r w:rsidRPr="00A9330B">
              <w:rPr>
                <w:rFonts w:eastAsia="Calibri" w:cs="Arial"/>
                <w:b/>
                <w:color w:val="auto"/>
                <w:sz w:val="18"/>
                <w:szCs w:val="18"/>
              </w:rPr>
              <w:t>RESPONSABLE</w:t>
            </w:r>
          </w:p>
        </w:tc>
        <w:tc>
          <w:tcPr>
            <w:tcW w:w="897" w:type="pct"/>
            <w:tcBorders>
              <w:top w:val="single" w:sz="8" w:space="0" w:color="auto"/>
              <w:left w:val="single" w:sz="6" w:space="0" w:color="auto"/>
              <w:bottom w:val="single" w:sz="6" w:space="0" w:color="auto"/>
              <w:right w:val="single" w:sz="8" w:space="0" w:color="auto"/>
            </w:tcBorders>
            <w:shd w:val="clear" w:color="auto" w:fill="DBE5F1"/>
          </w:tcPr>
          <w:p w14:paraId="7A0F1AD7" w14:textId="565B9CCA" w:rsidR="006C383B" w:rsidRPr="00A9330B" w:rsidRDefault="006C383B" w:rsidP="00875E65">
            <w:pPr>
              <w:widowControl w:val="0"/>
              <w:spacing w:before="60" w:line="240" w:lineRule="auto"/>
              <w:rPr>
                <w:rFonts w:eastAsia="Calibri" w:cs="Arial"/>
                <w:b/>
                <w:color w:val="auto"/>
                <w:sz w:val="18"/>
                <w:szCs w:val="18"/>
              </w:rPr>
            </w:pPr>
            <w:r w:rsidRPr="00A9330B">
              <w:rPr>
                <w:rFonts w:eastAsia="Calibri" w:cs="Arial"/>
                <w:b/>
                <w:color w:val="auto"/>
                <w:sz w:val="18"/>
                <w:szCs w:val="18"/>
              </w:rPr>
              <w:t xml:space="preserve">COUT DES ACTIVITES </w:t>
            </w:r>
          </w:p>
        </w:tc>
      </w:tr>
      <w:tr w:rsidR="006C383B" w:rsidRPr="00A9330B" w14:paraId="68BE8E75" w14:textId="3085B686" w:rsidTr="006C383B">
        <w:trPr>
          <w:trHeight w:val="340"/>
          <w:tblHeader/>
        </w:trPr>
        <w:tc>
          <w:tcPr>
            <w:tcW w:w="996" w:type="pct"/>
            <w:vMerge/>
            <w:tcBorders>
              <w:top w:val="single" w:sz="8" w:space="0" w:color="auto"/>
              <w:left w:val="single" w:sz="8" w:space="0" w:color="auto"/>
              <w:bottom w:val="single" w:sz="6" w:space="0" w:color="auto"/>
              <w:right w:val="single" w:sz="6" w:space="0" w:color="auto"/>
            </w:tcBorders>
            <w:vAlign w:val="center"/>
            <w:hideMark/>
          </w:tcPr>
          <w:p w14:paraId="3B04466B" w14:textId="77777777" w:rsidR="006C383B" w:rsidRPr="00A9330B" w:rsidRDefault="006C383B" w:rsidP="00875E65">
            <w:pPr>
              <w:widowControl w:val="0"/>
              <w:spacing w:before="60" w:line="240" w:lineRule="auto"/>
              <w:jc w:val="both"/>
              <w:rPr>
                <w:rFonts w:eastAsia="Times New Roman" w:cs="Arial"/>
                <w:b/>
                <w:color w:val="auto"/>
                <w:sz w:val="18"/>
                <w:szCs w:val="18"/>
              </w:rPr>
            </w:pPr>
          </w:p>
        </w:tc>
        <w:tc>
          <w:tcPr>
            <w:tcW w:w="916" w:type="pct"/>
            <w:vMerge/>
            <w:tcBorders>
              <w:top w:val="single" w:sz="8" w:space="0" w:color="auto"/>
              <w:left w:val="single" w:sz="6" w:space="0" w:color="auto"/>
              <w:bottom w:val="single" w:sz="6" w:space="0" w:color="auto"/>
              <w:right w:val="single" w:sz="6" w:space="0" w:color="auto"/>
            </w:tcBorders>
            <w:vAlign w:val="center"/>
            <w:hideMark/>
          </w:tcPr>
          <w:p w14:paraId="2E0E5642" w14:textId="77777777" w:rsidR="006C383B" w:rsidRPr="00A9330B" w:rsidRDefault="006C383B" w:rsidP="00875E65">
            <w:pPr>
              <w:widowControl w:val="0"/>
              <w:spacing w:before="60" w:line="240" w:lineRule="auto"/>
              <w:jc w:val="both"/>
              <w:rPr>
                <w:rFonts w:eastAsia="Calibri" w:cs="Arial"/>
                <w:b/>
                <w:color w:val="auto"/>
                <w:sz w:val="18"/>
                <w:szCs w:val="18"/>
              </w:rPr>
            </w:pPr>
          </w:p>
        </w:tc>
        <w:tc>
          <w:tcPr>
            <w:tcW w:w="637" w:type="pct"/>
            <w:vMerge/>
            <w:tcBorders>
              <w:top w:val="single" w:sz="8" w:space="0" w:color="auto"/>
              <w:left w:val="single" w:sz="6" w:space="0" w:color="auto"/>
              <w:bottom w:val="single" w:sz="6" w:space="0" w:color="auto"/>
              <w:right w:val="single" w:sz="6" w:space="0" w:color="auto"/>
            </w:tcBorders>
            <w:vAlign w:val="center"/>
            <w:hideMark/>
          </w:tcPr>
          <w:p w14:paraId="770FDE37" w14:textId="77777777" w:rsidR="006C383B" w:rsidRPr="00A9330B" w:rsidRDefault="006C383B" w:rsidP="00875E65">
            <w:pPr>
              <w:widowControl w:val="0"/>
              <w:spacing w:before="60" w:line="240" w:lineRule="auto"/>
              <w:jc w:val="center"/>
              <w:rPr>
                <w:rFonts w:eastAsia="Calibri" w:cs="Arial"/>
                <w:b/>
                <w:color w:val="auto"/>
                <w:sz w:val="18"/>
                <w:szCs w:val="18"/>
              </w:rPr>
            </w:pPr>
          </w:p>
        </w:tc>
        <w:tc>
          <w:tcPr>
            <w:tcW w:w="657" w:type="pct"/>
            <w:tcBorders>
              <w:top w:val="single" w:sz="6" w:space="0" w:color="auto"/>
              <w:left w:val="single" w:sz="6" w:space="0" w:color="auto"/>
              <w:bottom w:val="single" w:sz="6" w:space="0" w:color="auto"/>
              <w:right w:val="single" w:sz="6" w:space="0" w:color="auto"/>
            </w:tcBorders>
            <w:shd w:val="clear" w:color="auto" w:fill="DBE5F1"/>
            <w:hideMark/>
          </w:tcPr>
          <w:p w14:paraId="36CCE5AF" w14:textId="77777777" w:rsidR="006C383B" w:rsidRPr="00A9330B" w:rsidRDefault="006C383B" w:rsidP="00875E65">
            <w:pPr>
              <w:widowControl w:val="0"/>
              <w:spacing w:before="60" w:line="240" w:lineRule="auto"/>
              <w:rPr>
                <w:rFonts w:eastAsia="Calibri" w:cs="Arial"/>
                <w:b/>
                <w:color w:val="auto"/>
                <w:sz w:val="18"/>
                <w:szCs w:val="18"/>
              </w:rPr>
            </w:pPr>
            <w:r w:rsidRPr="00A9330B">
              <w:rPr>
                <w:rFonts w:cs="Arial"/>
                <w:b/>
                <w:color w:val="auto"/>
                <w:sz w:val="18"/>
                <w:szCs w:val="18"/>
              </w:rPr>
              <w:t xml:space="preserve">SURVEILLANCE </w:t>
            </w:r>
          </w:p>
        </w:tc>
        <w:tc>
          <w:tcPr>
            <w:tcW w:w="897" w:type="pct"/>
            <w:tcBorders>
              <w:top w:val="single" w:sz="6" w:space="0" w:color="auto"/>
              <w:left w:val="single" w:sz="6" w:space="0" w:color="auto"/>
              <w:bottom w:val="single" w:sz="6" w:space="0" w:color="auto"/>
              <w:right w:val="single" w:sz="8" w:space="0" w:color="auto"/>
            </w:tcBorders>
            <w:shd w:val="clear" w:color="auto" w:fill="DBE5F1"/>
            <w:hideMark/>
          </w:tcPr>
          <w:p w14:paraId="6D942E3B" w14:textId="77777777" w:rsidR="006C383B" w:rsidRPr="00A9330B" w:rsidRDefault="006C383B" w:rsidP="00875E65">
            <w:pPr>
              <w:widowControl w:val="0"/>
              <w:spacing w:before="60" w:line="240" w:lineRule="auto"/>
              <w:rPr>
                <w:rFonts w:eastAsia="Calibri" w:cs="Arial"/>
                <w:b/>
                <w:color w:val="auto"/>
                <w:sz w:val="18"/>
                <w:szCs w:val="18"/>
              </w:rPr>
            </w:pPr>
            <w:r w:rsidRPr="00A9330B">
              <w:rPr>
                <w:rFonts w:eastAsia="Calibri" w:cs="Arial"/>
                <w:b/>
                <w:color w:val="auto"/>
                <w:sz w:val="18"/>
                <w:szCs w:val="18"/>
              </w:rPr>
              <w:t>SUIVI</w:t>
            </w:r>
          </w:p>
        </w:tc>
        <w:tc>
          <w:tcPr>
            <w:tcW w:w="897" w:type="pct"/>
            <w:tcBorders>
              <w:top w:val="single" w:sz="6" w:space="0" w:color="auto"/>
              <w:left w:val="single" w:sz="6" w:space="0" w:color="auto"/>
              <w:bottom w:val="single" w:sz="6" w:space="0" w:color="auto"/>
              <w:right w:val="single" w:sz="8" w:space="0" w:color="auto"/>
            </w:tcBorders>
            <w:shd w:val="clear" w:color="auto" w:fill="DBE5F1"/>
          </w:tcPr>
          <w:p w14:paraId="14B7F572" w14:textId="77777777" w:rsidR="006C383B" w:rsidRPr="00A9330B" w:rsidRDefault="006C383B" w:rsidP="00875E65">
            <w:pPr>
              <w:widowControl w:val="0"/>
              <w:spacing w:before="60" w:line="240" w:lineRule="auto"/>
              <w:rPr>
                <w:rFonts w:eastAsia="Calibri" w:cs="Arial"/>
                <w:b/>
                <w:color w:val="auto"/>
                <w:sz w:val="18"/>
                <w:szCs w:val="18"/>
              </w:rPr>
            </w:pPr>
          </w:p>
        </w:tc>
      </w:tr>
      <w:tr w:rsidR="006C383B" w:rsidRPr="00A9330B" w14:paraId="67FE0920" w14:textId="704FC3D1" w:rsidTr="006C383B">
        <w:trPr>
          <w:trHeight w:val="992"/>
        </w:trPr>
        <w:tc>
          <w:tcPr>
            <w:tcW w:w="996" w:type="pct"/>
            <w:tcBorders>
              <w:top w:val="single" w:sz="6" w:space="0" w:color="auto"/>
              <w:left w:val="single" w:sz="8" w:space="0" w:color="auto"/>
              <w:bottom w:val="single" w:sz="6" w:space="0" w:color="auto"/>
              <w:right w:val="single" w:sz="6" w:space="0" w:color="auto"/>
            </w:tcBorders>
          </w:tcPr>
          <w:p w14:paraId="716C169C" w14:textId="77777777" w:rsidR="006C383B" w:rsidRPr="00A9330B" w:rsidRDefault="006C383B" w:rsidP="00875E65">
            <w:pPr>
              <w:widowControl w:val="0"/>
              <w:spacing w:before="60" w:line="240" w:lineRule="auto"/>
              <w:jc w:val="both"/>
              <w:rPr>
                <w:rFonts w:eastAsia="Calibri" w:cs="Arial"/>
                <w:color w:val="auto"/>
                <w:sz w:val="18"/>
                <w:szCs w:val="18"/>
              </w:rPr>
            </w:pPr>
            <w:r w:rsidRPr="00A9330B">
              <w:rPr>
                <w:rFonts w:eastAsia="Calibri" w:cs="Arial"/>
                <w:color w:val="auto"/>
                <w:sz w:val="18"/>
                <w:szCs w:val="18"/>
              </w:rPr>
              <w:t xml:space="preserve">1.1.b.1.1. ; 2.8.b.2.1 ; </w:t>
            </w:r>
          </w:p>
          <w:p w14:paraId="5AAC6564" w14:textId="77777777" w:rsidR="006C383B" w:rsidRPr="00A9330B" w:rsidRDefault="006C383B" w:rsidP="00875E65">
            <w:pPr>
              <w:widowControl w:val="0"/>
              <w:spacing w:before="60" w:line="240" w:lineRule="auto"/>
              <w:jc w:val="both"/>
              <w:rPr>
                <w:rFonts w:eastAsia="Calibri" w:cs="Arial"/>
                <w:color w:val="auto"/>
                <w:sz w:val="18"/>
                <w:szCs w:val="18"/>
                <w:lang w:eastAsia="fr-FR"/>
              </w:rPr>
            </w:pPr>
            <w:r w:rsidRPr="00A9330B">
              <w:rPr>
                <w:rFonts w:eastAsia="Calibri" w:cs="Arial"/>
                <w:color w:val="auto"/>
                <w:sz w:val="18"/>
                <w:szCs w:val="18"/>
              </w:rPr>
              <w:t>Donner priorité à la main d’œuvre locale à compétence égale</w:t>
            </w:r>
          </w:p>
        </w:tc>
        <w:tc>
          <w:tcPr>
            <w:tcW w:w="916" w:type="pct"/>
            <w:tcBorders>
              <w:top w:val="single" w:sz="6" w:space="0" w:color="auto"/>
              <w:left w:val="single" w:sz="6" w:space="0" w:color="auto"/>
              <w:bottom w:val="single" w:sz="6" w:space="0" w:color="auto"/>
              <w:right w:val="single" w:sz="6" w:space="0" w:color="auto"/>
            </w:tcBorders>
          </w:tcPr>
          <w:p w14:paraId="22BA9DF3" w14:textId="77777777" w:rsidR="006C383B" w:rsidRPr="00A9330B" w:rsidRDefault="006C383B" w:rsidP="00875E65">
            <w:pPr>
              <w:widowControl w:val="0"/>
              <w:autoSpaceDE w:val="0"/>
              <w:autoSpaceDN w:val="0"/>
              <w:adjustRightInd w:val="0"/>
              <w:spacing w:before="60" w:line="240" w:lineRule="auto"/>
              <w:jc w:val="both"/>
              <w:rPr>
                <w:rFonts w:eastAsia="Calibri" w:cs="Arial"/>
                <w:color w:val="auto"/>
                <w:sz w:val="18"/>
                <w:szCs w:val="18"/>
              </w:rPr>
            </w:pPr>
            <w:r w:rsidRPr="00A9330B">
              <w:rPr>
                <w:rFonts w:eastAsia="Calibri" w:cs="Arial"/>
                <w:color w:val="auto"/>
                <w:sz w:val="18"/>
                <w:szCs w:val="18"/>
              </w:rPr>
              <w:t xml:space="preserve">50 % au moins d’ouvriers et manœuvres locaux recrutés </w:t>
            </w:r>
          </w:p>
          <w:p w14:paraId="6C4A26FA" w14:textId="77777777" w:rsidR="006C383B" w:rsidRPr="00A9330B" w:rsidRDefault="006C383B" w:rsidP="00875E65">
            <w:pPr>
              <w:widowControl w:val="0"/>
              <w:autoSpaceDE w:val="0"/>
              <w:autoSpaceDN w:val="0"/>
              <w:adjustRightInd w:val="0"/>
              <w:spacing w:before="60" w:line="240" w:lineRule="auto"/>
              <w:jc w:val="both"/>
              <w:rPr>
                <w:rFonts w:eastAsia="Calibri" w:cs="Arial"/>
                <w:color w:val="auto"/>
                <w:sz w:val="18"/>
                <w:szCs w:val="18"/>
              </w:rPr>
            </w:pPr>
            <w:r w:rsidRPr="00A9330B">
              <w:rPr>
                <w:rFonts w:eastAsia="Calibri" w:cs="Arial"/>
                <w:color w:val="auto"/>
                <w:sz w:val="18"/>
                <w:szCs w:val="18"/>
              </w:rPr>
              <w:t>Nombre d’ouvriers locaux travaillant sur les chantiers</w:t>
            </w:r>
          </w:p>
        </w:tc>
        <w:tc>
          <w:tcPr>
            <w:tcW w:w="637" w:type="pct"/>
            <w:tcBorders>
              <w:top w:val="single" w:sz="6" w:space="0" w:color="auto"/>
              <w:left w:val="single" w:sz="6" w:space="0" w:color="auto"/>
              <w:bottom w:val="single" w:sz="6" w:space="0" w:color="auto"/>
              <w:right w:val="single" w:sz="6" w:space="0" w:color="auto"/>
            </w:tcBorders>
          </w:tcPr>
          <w:p w14:paraId="73C62B65" w14:textId="77777777" w:rsidR="006C383B" w:rsidRPr="00A9330B" w:rsidRDefault="006C383B" w:rsidP="00875E65">
            <w:pPr>
              <w:widowControl w:val="0"/>
              <w:spacing w:before="60" w:line="240" w:lineRule="auto"/>
              <w:jc w:val="center"/>
              <w:rPr>
                <w:rFonts w:eastAsia="Calibri" w:cs="Arial"/>
                <w:color w:val="auto"/>
                <w:sz w:val="18"/>
                <w:szCs w:val="18"/>
              </w:rPr>
            </w:pPr>
            <w:r w:rsidRPr="00A9330B">
              <w:rPr>
                <w:rFonts w:eastAsia="Calibri" w:cs="Arial"/>
                <w:color w:val="auto"/>
                <w:sz w:val="18"/>
                <w:szCs w:val="18"/>
              </w:rPr>
              <w:t>Toutes les phases du projet</w:t>
            </w:r>
          </w:p>
        </w:tc>
        <w:tc>
          <w:tcPr>
            <w:tcW w:w="657" w:type="pct"/>
            <w:tcBorders>
              <w:top w:val="single" w:sz="6" w:space="0" w:color="auto"/>
              <w:left w:val="single" w:sz="6" w:space="0" w:color="auto"/>
              <w:bottom w:val="single" w:sz="6" w:space="0" w:color="auto"/>
              <w:right w:val="single" w:sz="6" w:space="0" w:color="auto"/>
            </w:tcBorders>
          </w:tcPr>
          <w:p w14:paraId="147BB529" w14:textId="77777777" w:rsidR="006C383B" w:rsidRPr="00A9330B" w:rsidRDefault="006C383B" w:rsidP="00875E65">
            <w:pPr>
              <w:widowControl w:val="0"/>
              <w:spacing w:before="60" w:line="240" w:lineRule="auto"/>
              <w:jc w:val="center"/>
              <w:rPr>
                <w:rFonts w:eastAsia="Calibri" w:cs="Arial"/>
                <w:color w:val="auto"/>
                <w:sz w:val="18"/>
                <w:szCs w:val="18"/>
              </w:rPr>
            </w:pPr>
            <w:r w:rsidRPr="00A9330B">
              <w:rPr>
                <w:rFonts w:eastAsia="Calibri" w:cs="Arial"/>
                <w:color w:val="auto"/>
                <w:sz w:val="18"/>
                <w:szCs w:val="18"/>
              </w:rPr>
              <w:t>MDC</w:t>
            </w:r>
          </w:p>
          <w:p w14:paraId="68E195EC" w14:textId="77777777" w:rsidR="006C383B" w:rsidRPr="00A9330B" w:rsidRDefault="006C383B" w:rsidP="00875E65">
            <w:pPr>
              <w:widowControl w:val="0"/>
              <w:spacing w:before="60" w:line="240" w:lineRule="auto"/>
              <w:jc w:val="center"/>
              <w:rPr>
                <w:rFonts w:eastAsia="Calibri" w:cs="Arial"/>
                <w:color w:val="auto"/>
                <w:sz w:val="18"/>
                <w:szCs w:val="18"/>
              </w:rPr>
            </w:pPr>
            <w:r w:rsidRPr="00A9330B">
              <w:rPr>
                <w:rFonts w:eastAsia="Calibri" w:cs="Arial"/>
                <w:color w:val="auto"/>
                <w:sz w:val="18"/>
                <w:szCs w:val="18"/>
              </w:rPr>
              <w:t>Entreprise chargée des travaux</w:t>
            </w:r>
          </w:p>
        </w:tc>
        <w:tc>
          <w:tcPr>
            <w:tcW w:w="897" w:type="pct"/>
            <w:tcBorders>
              <w:top w:val="single" w:sz="6" w:space="0" w:color="auto"/>
              <w:left w:val="single" w:sz="6" w:space="0" w:color="auto"/>
              <w:bottom w:val="single" w:sz="6" w:space="0" w:color="auto"/>
              <w:right w:val="single" w:sz="8" w:space="0" w:color="auto"/>
            </w:tcBorders>
          </w:tcPr>
          <w:p w14:paraId="31416922" w14:textId="77777777" w:rsidR="006C383B" w:rsidRPr="00A9330B" w:rsidRDefault="006C383B" w:rsidP="00875E65">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t>Mairie de Natitingou</w:t>
            </w:r>
          </w:p>
          <w:p w14:paraId="356B147E" w14:textId="77777777" w:rsidR="006C383B" w:rsidRPr="00A9330B" w:rsidRDefault="006C383B" w:rsidP="00875E65">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t>Direction Départementale du Cadre de Vie et du Développement Durable (DDCVDD- AD)</w:t>
            </w:r>
          </w:p>
        </w:tc>
        <w:tc>
          <w:tcPr>
            <w:tcW w:w="897" w:type="pct"/>
            <w:tcBorders>
              <w:top w:val="single" w:sz="6" w:space="0" w:color="auto"/>
              <w:left w:val="single" w:sz="6" w:space="0" w:color="auto"/>
              <w:bottom w:val="single" w:sz="6" w:space="0" w:color="auto"/>
              <w:right w:val="single" w:sz="8" w:space="0" w:color="auto"/>
            </w:tcBorders>
          </w:tcPr>
          <w:p w14:paraId="3F182BFA" w14:textId="22D95C65" w:rsidR="006C383B" w:rsidRPr="00A9330B" w:rsidRDefault="004D2DF4" w:rsidP="004D2DF4">
            <w:pPr>
              <w:widowControl w:val="0"/>
              <w:autoSpaceDE w:val="0"/>
              <w:autoSpaceDN w:val="0"/>
              <w:adjustRightInd w:val="0"/>
              <w:spacing w:before="60" w:line="240" w:lineRule="auto"/>
              <w:jc w:val="center"/>
              <w:rPr>
                <w:rFonts w:eastAsia="Calibri" w:cs="Arial"/>
                <w:color w:val="auto"/>
                <w:sz w:val="18"/>
                <w:szCs w:val="18"/>
              </w:rPr>
            </w:pPr>
            <w:r w:rsidRPr="00A9330B">
              <w:rPr>
                <w:rFonts w:eastAsia="Calibri" w:cs="Arial"/>
                <w:color w:val="auto"/>
                <w:sz w:val="18"/>
                <w:szCs w:val="18"/>
              </w:rPr>
              <w:t>Aucun</w:t>
            </w:r>
          </w:p>
        </w:tc>
      </w:tr>
      <w:tr w:rsidR="004D2DF4" w:rsidRPr="00A9330B" w14:paraId="6ACF6351" w14:textId="1D5BE3D3" w:rsidTr="006C383B">
        <w:trPr>
          <w:trHeight w:val="1264"/>
        </w:trPr>
        <w:tc>
          <w:tcPr>
            <w:tcW w:w="996" w:type="pct"/>
            <w:tcBorders>
              <w:top w:val="single" w:sz="6" w:space="0" w:color="auto"/>
              <w:left w:val="single" w:sz="8" w:space="0" w:color="auto"/>
              <w:bottom w:val="single" w:sz="6" w:space="0" w:color="auto"/>
              <w:right w:val="single" w:sz="6" w:space="0" w:color="auto"/>
            </w:tcBorders>
          </w:tcPr>
          <w:p w14:paraId="17B10B49" w14:textId="77777777" w:rsidR="004D2DF4" w:rsidRPr="00A9330B" w:rsidRDefault="004D2DF4" w:rsidP="004D2DF4">
            <w:pPr>
              <w:widowControl w:val="0"/>
              <w:tabs>
                <w:tab w:val="center" w:pos="1607"/>
              </w:tabs>
              <w:spacing w:before="60" w:line="240" w:lineRule="auto"/>
              <w:jc w:val="both"/>
              <w:rPr>
                <w:rFonts w:eastAsia="Calibri" w:cs="Arial"/>
                <w:color w:val="auto"/>
                <w:sz w:val="18"/>
                <w:szCs w:val="18"/>
              </w:rPr>
            </w:pPr>
            <w:r w:rsidRPr="00A9330B">
              <w:rPr>
                <w:rFonts w:eastAsia="Calibri" w:cs="Arial"/>
                <w:color w:val="auto"/>
                <w:sz w:val="18"/>
                <w:szCs w:val="18"/>
              </w:rPr>
              <w:t>1.1.b.2.1. ; 2.8.b.2.2. ; 3.2.b.1.1</w:t>
            </w:r>
            <w:r w:rsidRPr="00A9330B">
              <w:rPr>
                <w:rFonts w:eastAsia="Calibri" w:cs="Arial"/>
                <w:color w:val="auto"/>
                <w:sz w:val="18"/>
                <w:szCs w:val="18"/>
              </w:rPr>
              <w:tab/>
            </w:r>
          </w:p>
          <w:p w14:paraId="7E0AB041" w14:textId="77777777" w:rsidR="004D2DF4" w:rsidRPr="00A9330B" w:rsidRDefault="004D2DF4" w:rsidP="004D2DF4">
            <w:pPr>
              <w:widowControl w:val="0"/>
              <w:spacing w:before="60" w:line="240" w:lineRule="auto"/>
              <w:jc w:val="both"/>
              <w:rPr>
                <w:rFonts w:eastAsia="Calibri" w:cs="Arial"/>
                <w:color w:val="auto"/>
                <w:sz w:val="18"/>
                <w:szCs w:val="18"/>
                <w:lang w:eastAsia="fr-FR"/>
              </w:rPr>
            </w:pPr>
            <w:r w:rsidRPr="00A9330B">
              <w:rPr>
                <w:rFonts w:eastAsia="Calibri" w:cs="Arial"/>
                <w:color w:val="auto"/>
                <w:sz w:val="18"/>
                <w:szCs w:val="18"/>
              </w:rPr>
              <w:t xml:space="preserve">Faire la promotion des prestataires locaux </w:t>
            </w:r>
          </w:p>
        </w:tc>
        <w:tc>
          <w:tcPr>
            <w:tcW w:w="916" w:type="pct"/>
            <w:tcBorders>
              <w:top w:val="single" w:sz="6" w:space="0" w:color="auto"/>
              <w:left w:val="single" w:sz="6" w:space="0" w:color="auto"/>
              <w:bottom w:val="single" w:sz="6" w:space="0" w:color="auto"/>
              <w:right w:val="single" w:sz="6" w:space="0" w:color="auto"/>
            </w:tcBorders>
          </w:tcPr>
          <w:p w14:paraId="7B18AB6A" w14:textId="77777777" w:rsidR="004D2DF4" w:rsidRPr="00A9330B" w:rsidRDefault="004D2DF4" w:rsidP="004D2DF4">
            <w:pPr>
              <w:widowControl w:val="0"/>
              <w:autoSpaceDE w:val="0"/>
              <w:autoSpaceDN w:val="0"/>
              <w:adjustRightInd w:val="0"/>
              <w:spacing w:before="60" w:line="240" w:lineRule="auto"/>
              <w:jc w:val="both"/>
              <w:rPr>
                <w:rFonts w:eastAsia="Calibri" w:cs="Arial"/>
                <w:color w:val="auto"/>
                <w:sz w:val="18"/>
                <w:szCs w:val="18"/>
              </w:rPr>
            </w:pPr>
            <w:r w:rsidRPr="00A9330B">
              <w:rPr>
                <w:rFonts w:eastAsia="Calibri" w:cs="Arial"/>
                <w:color w:val="auto"/>
                <w:sz w:val="18"/>
                <w:szCs w:val="18"/>
              </w:rPr>
              <w:t>50 % au moins de prestataires et sous-traitants locaux recrutés sur les chantiers</w:t>
            </w:r>
          </w:p>
          <w:p w14:paraId="7C7500CF" w14:textId="77777777" w:rsidR="004D2DF4" w:rsidRPr="00A9330B" w:rsidRDefault="004D2DF4" w:rsidP="004D2DF4">
            <w:pPr>
              <w:widowControl w:val="0"/>
              <w:spacing w:before="60" w:line="240" w:lineRule="auto"/>
              <w:jc w:val="both"/>
              <w:rPr>
                <w:rFonts w:eastAsia="Calibri" w:cs="Arial"/>
                <w:color w:val="auto"/>
                <w:sz w:val="18"/>
                <w:szCs w:val="18"/>
              </w:rPr>
            </w:pPr>
          </w:p>
        </w:tc>
        <w:tc>
          <w:tcPr>
            <w:tcW w:w="637" w:type="pct"/>
            <w:tcBorders>
              <w:top w:val="single" w:sz="6" w:space="0" w:color="auto"/>
              <w:left w:val="single" w:sz="6" w:space="0" w:color="auto"/>
              <w:bottom w:val="single" w:sz="6" w:space="0" w:color="auto"/>
              <w:right w:val="single" w:sz="6" w:space="0" w:color="auto"/>
            </w:tcBorders>
          </w:tcPr>
          <w:p w14:paraId="2FACF66B" w14:textId="77777777" w:rsidR="004D2DF4" w:rsidRPr="00A9330B" w:rsidRDefault="004D2DF4" w:rsidP="004D2DF4">
            <w:pPr>
              <w:widowControl w:val="0"/>
              <w:spacing w:before="60" w:line="240" w:lineRule="auto"/>
              <w:jc w:val="center"/>
              <w:rPr>
                <w:rFonts w:eastAsia="Calibri" w:cs="Arial"/>
                <w:color w:val="auto"/>
                <w:sz w:val="18"/>
                <w:szCs w:val="18"/>
              </w:rPr>
            </w:pPr>
            <w:r w:rsidRPr="00A9330B">
              <w:rPr>
                <w:rFonts w:eastAsia="Calibri" w:cs="Arial"/>
                <w:color w:val="auto"/>
                <w:sz w:val="18"/>
                <w:szCs w:val="18"/>
              </w:rPr>
              <w:t>Toutes les phases du projet</w:t>
            </w:r>
          </w:p>
        </w:tc>
        <w:tc>
          <w:tcPr>
            <w:tcW w:w="657" w:type="pct"/>
            <w:tcBorders>
              <w:top w:val="single" w:sz="6" w:space="0" w:color="auto"/>
              <w:left w:val="single" w:sz="6" w:space="0" w:color="auto"/>
              <w:bottom w:val="single" w:sz="6" w:space="0" w:color="auto"/>
              <w:right w:val="single" w:sz="6" w:space="0" w:color="auto"/>
            </w:tcBorders>
          </w:tcPr>
          <w:p w14:paraId="19762C08" w14:textId="77777777" w:rsidR="004D2DF4" w:rsidRPr="00A9330B" w:rsidRDefault="004D2DF4" w:rsidP="004D2DF4">
            <w:pPr>
              <w:widowControl w:val="0"/>
              <w:spacing w:before="60" w:line="240" w:lineRule="auto"/>
              <w:jc w:val="center"/>
              <w:rPr>
                <w:rFonts w:eastAsia="Calibri" w:cs="Arial"/>
                <w:color w:val="auto"/>
                <w:sz w:val="18"/>
                <w:szCs w:val="18"/>
              </w:rPr>
            </w:pPr>
            <w:r w:rsidRPr="00A9330B">
              <w:rPr>
                <w:rFonts w:eastAsia="Calibri" w:cs="Arial"/>
                <w:color w:val="auto"/>
                <w:sz w:val="18"/>
                <w:szCs w:val="18"/>
              </w:rPr>
              <w:t>MDC</w:t>
            </w:r>
          </w:p>
          <w:p w14:paraId="6583FB7B" w14:textId="77777777" w:rsidR="004D2DF4" w:rsidRPr="00A9330B" w:rsidRDefault="004D2DF4" w:rsidP="004D2DF4">
            <w:pPr>
              <w:widowControl w:val="0"/>
              <w:spacing w:before="60" w:line="240" w:lineRule="auto"/>
              <w:jc w:val="center"/>
              <w:rPr>
                <w:rFonts w:eastAsia="Calibri" w:cs="Arial"/>
                <w:color w:val="auto"/>
                <w:sz w:val="18"/>
                <w:szCs w:val="18"/>
              </w:rPr>
            </w:pPr>
            <w:r w:rsidRPr="00A9330B">
              <w:rPr>
                <w:rFonts w:eastAsia="Calibri" w:cs="Arial"/>
                <w:color w:val="auto"/>
                <w:sz w:val="18"/>
                <w:szCs w:val="18"/>
              </w:rPr>
              <w:t>Entreprise chargée des travaux</w:t>
            </w:r>
          </w:p>
        </w:tc>
        <w:tc>
          <w:tcPr>
            <w:tcW w:w="897" w:type="pct"/>
            <w:tcBorders>
              <w:top w:val="single" w:sz="6" w:space="0" w:color="auto"/>
              <w:left w:val="single" w:sz="6" w:space="0" w:color="auto"/>
              <w:bottom w:val="single" w:sz="6" w:space="0" w:color="auto"/>
              <w:right w:val="single" w:sz="8" w:space="0" w:color="auto"/>
            </w:tcBorders>
          </w:tcPr>
          <w:p w14:paraId="13538FF4" w14:textId="6C3E3632" w:rsidR="004D2DF4" w:rsidRPr="00A9330B" w:rsidRDefault="004D2DF4" w:rsidP="004D2DF4">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t xml:space="preserve">Mairie concernée (Natitingou) </w:t>
            </w:r>
          </w:p>
          <w:p w14:paraId="07C63732" w14:textId="77777777" w:rsidR="004D2DF4" w:rsidRPr="00A9330B" w:rsidRDefault="004D2DF4" w:rsidP="004D2DF4">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t>Direction Départementale du Cadre de Vie et du Développement Durable (DDCVDD-AD)</w:t>
            </w:r>
          </w:p>
          <w:p w14:paraId="5A402B71" w14:textId="77777777" w:rsidR="004D2DF4" w:rsidRPr="00A9330B" w:rsidRDefault="004D2DF4" w:rsidP="004D2DF4">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t>Direction Départementale des Impôts / Ministère de l’Economie et des Finances (DDI/MEF)</w:t>
            </w:r>
          </w:p>
        </w:tc>
        <w:tc>
          <w:tcPr>
            <w:tcW w:w="897" w:type="pct"/>
            <w:tcBorders>
              <w:top w:val="single" w:sz="6" w:space="0" w:color="auto"/>
              <w:left w:val="single" w:sz="6" w:space="0" w:color="auto"/>
              <w:bottom w:val="single" w:sz="6" w:space="0" w:color="auto"/>
              <w:right w:val="single" w:sz="8" w:space="0" w:color="auto"/>
            </w:tcBorders>
          </w:tcPr>
          <w:p w14:paraId="693FCC7F" w14:textId="3E42ED0F" w:rsidR="004D2DF4" w:rsidRPr="00A9330B" w:rsidRDefault="004D2DF4" w:rsidP="004D2DF4">
            <w:pPr>
              <w:widowControl w:val="0"/>
              <w:autoSpaceDE w:val="0"/>
              <w:autoSpaceDN w:val="0"/>
              <w:adjustRightInd w:val="0"/>
              <w:spacing w:before="60" w:line="240" w:lineRule="auto"/>
              <w:jc w:val="center"/>
              <w:rPr>
                <w:rFonts w:eastAsia="Calibri" w:cs="Arial"/>
                <w:color w:val="auto"/>
                <w:sz w:val="18"/>
                <w:szCs w:val="18"/>
              </w:rPr>
            </w:pPr>
            <w:r w:rsidRPr="00A9330B">
              <w:rPr>
                <w:rFonts w:eastAsia="Calibri" w:cs="Arial"/>
                <w:color w:val="auto"/>
                <w:sz w:val="18"/>
                <w:szCs w:val="18"/>
              </w:rPr>
              <w:t>Aucun</w:t>
            </w:r>
          </w:p>
        </w:tc>
      </w:tr>
      <w:tr w:rsidR="004D2DF4" w:rsidRPr="00A9330B" w14:paraId="65EBE295" w14:textId="4F9522D7" w:rsidTr="006C383B">
        <w:trPr>
          <w:trHeight w:val="431"/>
        </w:trPr>
        <w:tc>
          <w:tcPr>
            <w:tcW w:w="996" w:type="pct"/>
            <w:tcBorders>
              <w:top w:val="single" w:sz="6" w:space="0" w:color="auto"/>
              <w:left w:val="single" w:sz="8" w:space="0" w:color="auto"/>
              <w:bottom w:val="single" w:sz="6" w:space="0" w:color="auto"/>
              <w:right w:val="single" w:sz="6" w:space="0" w:color="auto"/>
            </w:tcBorders>
          </w:tcPr>
          <w:p w14:paraId="31220F64" w14:textId="77777777" w:rsidR="004D2DF4" w:rsidRPr="00A9330B" w:rsidRDefault="004D2DF4" w:rsidP="004D2DF4">
            <w:pPr>
              <w:widowControl w:val="0"/>
              <w:spacing w:before="60" w:line="240" w:lineRule="auto"/>
              <w:jc w:val="both"/>
              <w:rPr>
                <w:rFonts w:eastAsia="Calibri" w:cs="Arial"/>
                <w:color w:val="auto"/>
                <w:sz w:val="18"/>
                <w:szCs w:val="18"/>
              </w:rPr>
            </w:pPr>
            <w:r w:rsidRPr="00A9330B">
              <w:rPr>
                <w:rFonts w:eastAsia="Calibri" w:cs="Arial"/>
                <w:color w:val="auto"/>
                <w:sz w:val="18"/>
                <w:szCs w:val="18"/>
              </w:rPr>
              <w:t xml:space="preserve">1.1.a.1.1 ; 1.2.a.1.1 ; </w:t>
            </w:r>
            <w:r w:rsidRPr="00A9330B">
              <w:rPr>
                <w:rFonts w:cs="Arial"/>
                <w:color w:val="auto"/>
                <w:sz w:val="18"/>
                <w:szCs w:val="18"/>
              </w:rPr>
              <w:t>2.3.a.2.1. </w:t>
            </w:r>
            <w:r w:rsidRPr="00A9330B">
              <w:rPr>
                <w:rFonts w:eastAsia="Calibri" w:cs="Arial"/>
                <w:color w:val="auto"/>
                <w:sz w:val="18"/>
                <w:szCs w:val="18"/>
              </w:rPr>
              <w:t xml:space="preserve">; 2.4.a.2.1 ; 2.4.a.3.1 ; 2.5.a.1.1 ; 2.5.a.2.1 ; 2.6.a.1.1 ; 2.7.a.2.1 ;  </w:t>
            </w:r>
            <w:r w:rsidRPr="00A9330B">
              <w:rPr>
                <w:rFonts w:cs="Arial"/>
                <w:color w:val="auto"/>
                <w:sz w:val="18"/>
                <w:szCs w:val="18"/>
              </w:rPr>
              <w:t xml:space="preserve">2.8.a.8.2 ;  </w:t>
            </w:r>
            <w:r w:rsidRPr="00A9330B">
              <w:rPr>
                <w:rFonts w:eastAsia="Calibri" w:cs="Arial"/>
                <w:color w:val="auto"/>
                <w:sz w:val="18"/>
                <w:szCs w:val="18"/>
              </w:rPr>
              <w:t>2.10.a.1.1. </w:t>
            </w:r>
          </w:p>
          <w:p w14:paraId="02B537A3" w14:textId="77777777" w:rsidR="004D2DF4" w:rsidRPr="00A9330B" w:rsidRDefault="004D2DF4" w:rsidP="004D2DF4">
            <w:pPr>
              <w:widowControl w:val="0"/>
              <w:spacing w:before="60" w:line="240" w:lineRule="auto"/>
              <w:jc w:val="both"/>
              <w:rPr>
                <w:rFonts w:eastAsia="Calibri" w:cs="Arial"/>
                <w:color w:val="auto"/>
                <w:sz w:val="18"/>
                <w:szCs w:val="18"/>
              </w:rPr>
            </w:pPr>
            <w:r w:rsidRPr="00A9330B">
              <w:rPr>
                <w:rFonts w:eastAsia="Calibri" w:cs="Arial"/>
                <w:color w:val="auto"/>
                <w:sz w:val="18"/>
                <w:szCs w:val="18"/>
              </w:rPr>
              <w:t>Doter le personnel de chantier des équipements de protection individuels (EPI : cache nez, bouchon  d’oreille, casque anti-bruit, Casques, gants, chaussures de sécurité, gilets, masques, gants, et autres EPI spécifiques, …) et veiller à leur port effectif</w:t>
            </w:r>
          </w:p>
        </w:tc>
        <w:tc>
          <w:tcPr>
            <w:tcW w:w="916" w:type="pct"/>
            <w:tcBorders>
              <w:top w:val="single" w:sz="6" w:space="0" w:color="auto"/>
              <w:left w:val="single" w:sz="6" w:space="0" w:color="auto"/>
              <w:bottom w:val="single" w:sz="6" w:space="0" w:color="auto"/>
              <w:right w:val="single" w:sz="6" w:space="0" w:color="auto"/>
            </w:tcBorders>
          </w:tcPr>
          <w:p w14:paraId="7D24268D" w14:textId="77777777" w:rsidR="004D2DF4" w:rsidRPr="00A9330B" w:rsidRDefault="004D2DF4" w:rsidP="004D2DF4">
            <w:pPr>
              <w:widowControl w:val="0"/>
              <w:autoSpaceDE w:val="0"/>
              <w:autoSpaceDN w:val="0"/>
              <w:adjustRightInd w:val="0"/>
              <w:spacing w:before="60" w:line="240" w:lineRule="auto"/>
              <w:jc w:val="both"/>
              <w:rPr>
                <w:rFonts w:eastAsia="Calibri" w:cs="Arial"/>
                <w:color w:val="auto"/>
                <w:sz w:val="18"/>
                <w:szCs w:val="18"/>
              </w:rPr>
            </w:pPr>
            <w:r w:rsidRPr="00A9330B">
              <w:rPr>
                <w:rFonts w:eastAsia="Calibri" w:cs="Arial"/>
                <w:color w:val="auto"/>
                <w:sz w:val="18"/>
                <w:szCs w:val="18"/>
              </w:rPr>
              <w:t>Existence et port effectif des EPI</w:t>
            </w:r>
          </w:p>
          <w:p w14:paraId="6EE7F438" w14:textId="77777777" w:rsidR="004D2DF4" w:rsidRPr="00A9330B" w:rsidRDefault="004D2DF4" w:rsidP="004D2DF4">
            <w:pPr>
              <w:widowControl w:val="0"/>
              <w:autoSpaceDE w:val="0"/>
              <w:autoSpaceDN w:val="0"/>
              <w:adjustRightInd w:val="0"/>
              <w:spacing w:before="60" w:line="240" w:lineRule="auto"/>
              <w:jc w:val="both"/>
              <w:rPr>
                <w:rFonts w:eastAsia="Calibri" w:cs="Arial"/>
                <w:color w:val="auto"/>
                <w:sz w:val="18"/>
                <w:szCs w:val="18"/>
              </w:rPr>
            </w:pPr>
            <w:r w:rsidRPr="00A9330B">
              <w:rPr>
                <w:rFonts w:eastAsia="Calibri" w:cs="Arial"/>
                <w:color w:val="auto"/>
                <w:sz w:val="18"/>
                <w:szCs w:val="18"/>
              </w:rPr>
              <w:t>100 % des travailleurs et usagers du chantier portent des EPI</w:t>
            </w:r>
            <w:r w:rsidRPr="00A9330B">
              <w:rPr>
                <w:rFonts w:eastAsia="Calibri" w:cs="Arial"/>
                <w:color w:val="auto"/>
                <w:sz w:val="18"/>
                <w:szCs w:val="18"/>
              </w:rPr>
              <w:tab/>
              <w:t>pendant les travaux</w:t>
            </w:r>
          </w:p>
        </w:tc>
        <w:tc>
          <w:tcPr>
            <w:tcW w:w="637" w:type="pct"/>
            <w:tcBorders>
              <w:top w:val="single" w:sz="6" w:space="0" w:color="auto"/>
              <w:left w:val="single" w:sz="6" w:space="0" w:color="auto"/>
              <w:bottom w:val="single" w:sz="6" w:space="0" w:color="auto"/>
              <w:right w:val="single" w:sz="6" w:space="0" w:color="auto"/>
            </w:tcBorders>
          </w:tcPr>
          <w:p w14:paraId="539108FF" w14:textId="77777777" w:rsidR="004D2DF4" w:rsidRPr="00A9330B" w:rsidRDefault="004D2DF4" w:rsidP="004D2DF4">
            <w:pPr>
              <w:widowControl w:val="0"/>
              <w:spacing w:before="60" w:line="240" w:lineRule="auto"/>
              <w:jc w:val="center"/>
              <w:rPr>
                <w:rFonts w:eastAsia="Calibri" w:cs="Arial"/>
                <w:color w:val="auto"/>
                <w:sz w:val="18"/>
                <w:szCs w:val="18"/>
              </w:rPr>
            </w:pPr>
            <w:r w:rsidRPr="00A9330B">
              <w:rPr>
                <w:rFonts w:eastAsia="Calibri" w:cs="Arial"/>
                <w:color w:val="auto"/>
                <w:sz w:val="18"/>
                <w:szCs w:val="18"/>
              </w:rPr>
              <w:t>Toutes les phases du projet</w:t>
            </w:r>
          </w:p>
        </w:tc>
        <w:tc>
          <w:tcPr>
            <w:tcW w:w="657" w:type="pct"/>
            <w:tcBorders>
              <w:top w:val="single" w:sz="6" w:space="0" w:color="auto"/>
              <w:left w:val="single" w:sz="6" w:space="0" w:color="auto"/>
              <w:bottom w:val="single" w:sz="6" w:space="0" w:color="auto"/>
              <w:right w:val="single" w:sz="6" w:space="0" w:color="auto"/>
            </w:tcBorders>
          </w:tcPr>
          <w:p w14:paraId="7E12F3D4" w14:textId="77777777" w:rsidR="004D2DF4" w:rsidRPr="00A9330B" w:rsidRDefault="004D2DF4" w:rsidP="004D2DF4">
            <w:pPr>
              <w:widowControl w:val="0"/>
              <w:spacing w:before="60" w:line="240" w:lineRule="auto"/>
              <w:jc w:val="center"/>
              <w:rPr>
                <w:rFonts w:eastAsia="Calibri" w:cs="Arial"/>
                <w:color w:val="auto"/>
                <w:sz w:val="18"/>
                <w:szCs w:val="18"/>
              </w:rPr>
            </w:pPr>
            <w:r w:rsidRPr="00A9330B">
              <w:rPr>
                <w:rFonts w:eastAsia="Calibri" w:cs="Arial"/>
                <w:color w:val="auto"/>
                <w:sz w:val="18"/>
                <w:szCs w:val="18"/>
              </w:rPr>
              <w:t>MDC</w:t>
            </w:r>
          </w:p>
          <w:p w14:paraId="3820FA03" w14:textId="77777777" w:rsidR="004D2DF4" w:rsidRPr="00A9330B" w:rsidRDefault="004D2DF4" w:rsidP="004D2DF4">
            <w:pPr>
              <w:widowControl w:val="0"/>
              <w:spacing w:before="60" w:line="240" w:lineRule="auto"/>
              <w:jc w:val="center"/>
              <w:rPr>
                <w:rFonts w:eastAsia="Calibri" w:cs="Arial"/>
                <w:color w:val="auto"/>
                <w:sz w:val="18"/>
                <w:szCs w:val="18"/>
              </w:rPr>
            </w:pPr>
            <w:r w:rsidRPr="00A9330B">
              <w:rPr>
                <w:rFonts w:eastAsia="Calibri" w:cs="Arial"/>
                <w:color w:val="auto"/>
                <w:sz w:val="18"/>
                <w:szCs w:val="18"/>
              </w:rPr>
              <w:t>Entreprise chargée des travaux</w:t>
            </w:r>
          </w:p>
        </w:tc>
        <w:tc>
          <w:tcPr>
            <w:tcW w:w="897" w:type="pct"/>
            <w:tcBorders>
              <w:top w:val="single" w:sz="6" w:space="0" w:color="auto"/>
              <w:left w:val="single" w:sz="6" w:space="0" w:color="auto"/>
              <w:bottom w:val="single" w:sz="6" w:space="0" w:color="auto"/>
              <w:right w:val="single" w:sz="8" w:space="0" w:color="auto"/>
            </w:tcBorders>
          </w:tcPr>
          <w:p w14:paraId="64241171" w14:textId="77777777" w:rsidR="004D2DF4" w:rsidRPr="00A9330B" w:rsidRDefault="004D2DF4" w:rsidP="004D2DF4">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t xml:space="preserve">Mairie concernée (Natitingou)  </w:t>
            </w:r>
          </w:p>
          <w:p w14:paraId="56BDF969" w14:textId="77777777" w:rsidR="004D2DF4" w:rsidRPr="00A9330B" w:rsidRDefault="004D2DF4" w:rsidP="004D2DF4">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t>Direction Départementale du Cadre de Vie et du Développement Durable (DDCVDD-AD)</w:t>
            </w:r>
          </w:p>
          <w:p w14:paraId="5116176C" w14:textId="77777777" w:rsidR="004D2DF4" w:rsidRPr="00A9330B" w:rsidRDefault="004D2DF4" w:rsidP="004D2DF4">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t xml:space="preserve">Direction Départementale des Infrastructures et des Transports </w:t>
            </w:r>
          </w:p>
          <w:p w14:paraId="578D61C0" w14:textId="77777777" w:rsidR="004D2DF4" w:rsidRPr="00A9330B" w:rsidRDefault="004D2DF4" w:rsidP="004D2DF4">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t>DDS</w:t>
            </w:r>
          </w:p>
        </w:tc>
        <w:tc>
          <w:tcPr>
            <w:tcW w:w="897" w:type="pct"/>
            <w:tcBorders>
              <w:top w:val="single" w:sz="6" w:space="0" w:color="auto"/>
              <w:left w:val="single" w:sz="6" w:space="0" w:color="auto"/>
              <w:bottom w:val="single" w:sz="6" w:space="0" w:color="auto"/>
              <w:right w:val="single" w:sz="8" w:space="0" w:color="auto"/>
            </w:tcBorders>
          </w:tcPr>
          <w:p w14:paraId="5679364D" w14:textId="77777777" w:rsidR="004D2DF4" w:rsidRPr="00A9330B" w:rsidRDefault="004D2DF4" w:rsidP="004D2DF4">
            <w:pPr>
              <w:widowControl w:val="0"/>
              <w:autoSpaceDE w:val="0"/>
              <w:autoSpaceDN w:val="0"/>
              <w:adjustRightInd w:val="0"/>
              <w:spacing w:before="60" w:line="240" w:lineRule="auto"/>
              <w:rPr>
                <w:rFonts w:eastAsia="Calibri" w:cs="Arial"/>
                <w:sz w:val="20"/>
                <w:szCs w:val="20"/>
              </w:rPr>
            </w:pPr>
            <w:r w:rsidRPr="00A9330B">
              <w:rPr>
                <w:rFonts w:eastAsia="Calibri" w:cs="Arial"/>
                <w:sz w:val="20"/>
                <w:szCs w:val="20"/>
              </w:rPr>
              <w:t xml:space="preserve">Prévoir dans les DAO une ligne budgétaire HSE pour la mise œuvre de cette mesure </w:t>
            </w:r>
          </w:p>
          <w:p w14:paraId="03251BA1" w14:textId="77777777" w:rsidR="004D2DF4" w:rsidRPr="00A9330B" w:rsidRDefault="004D2DF4" w:rsidP="004D2DF4">
            <w:pPr>
              <w:widowControl w:val="0"/>
              <w:autoSpaceDE w:val="0"/>
              <w:autoSpaceDN w:val="0"/>
              <w:adjustRightInd w:val="0"/>
              <w:spacing w:before="60" w:line="240" w:lineRule="auto"/>
              <w:ind w:left="45"/>
              <w:rPr>
                <w:rFonts w:eastAsia="Calibri" w:cs="Arial"/>
                <w:sz w:val="20"/>
                <w:szCs w:val="20"/>
              </w:rPr>
            </w:pPr>
            <w:r w:rsidRPr="00A9330B">
              <w:rPr>
                <w:rFonts w:eastAsia="Calibri" w:cs="Arial"/>
                <w:sz w:val="20"/>
                <w:szCs w:val="20"/>
              </w:rPr>
              <w:t xml:space="preserve">1- Acquisition des EPI </w:t>
            </w:r>
          </w:p>
          <w:p w14:paraId="41A19DA5" w14:textId="77777777" w:rsidR="004D2DF4" w:rsidRPr="00A9330B" w:rsidRDefault="004D2DF4" w:rsidP="004D2DF4">
            <w:pPr>
              <w:widowControl w:val="0"/>
              <w:autoSpaceDE w:val="0"/>
              <w:autoSpaceDN w:val="0"/>
              <w:adjustRightInd w:val="0"/>
              <w:spacing w:before="60" w:line="240" w:lineRule="auto"/>
              <w:rPr>
                <w:rFonts w:eastAsia="Calibri" w:cs="Arial"/>
                <w:b/>
                <w:sz w:val="20"/>
                <w:szCs w:val="20"/>
              </w:rPr>
            </w:pPr>
            <w:r w:rsidRPr="00A9330B">
              <w:rPr>
                <w:rFonts w:eastAsia="Calibri" w:cs="Arial"/>
                <w:b/>
                <w:sz w:val="20"/>
                <w:szCs w:val="20"/>
              </w:rPr>
              <w:t>60 000 000 FCFA ou an</w:t>
            </w:r>
          </w:p>
          <w:p w14:paraId="276671DE" w14:textId="70299896" w:rsidR="004D2DF4" w:rsidRPr="00A9330B" w:rsidRDefault="004D2DF4" w:rsidP="004D2DF4">
            <w:pPr>
              <w:widowControl w:val="0"/>
              <w:autoSpaceDE w:val="0"/>
              <w:autoSpaceDN w:val="0"/>
              <w:adjustRightInd w:val="0"/>
              <w:spacing w:before="60" w:line="240" w:lineRule="auto"/>
              <w:rPr>
                <w:rFonts w:eastAsia="Calibri" w:cs="Arial"/>
                <w:color w:val="auto"/>
                <w:sz w:val="18"/>
                <w:szCs w:val="18"/>
              </w:rPr>
            </w:pPr>
            <w:r w:rsidRPr="00A9330B">
              <w:rPr>
                <w:rFonts w:eastAsia="Calibri" w:cs="Arial"/>
                <w:sz w:val="20"/>
                <w:szCs w:val="20"/>
              </w:rPr>
              <w:t>(chaussures de sécurité, gilets, masques, gants, casques, et autres EPI spécifiques)</w:t>
            </w:r>
          </w:p>
        </w:tc>
      </w:tr>
      <w:tr w:rsidR="004D2DF4" w:rsidRPr="00A9330B" w14:paraId="377ACA22" w14:textId="202B0A5F" w:rsidTr="006C383B">
        <w:trPr>
          <w:trHeight w:val="701"/>
        </w:trPr>
        <w:tc>
          <w:tcPr>
            <w:tcW w:w="996" w:type="pct"/>
            <w:tcBorders>
              <w:top w:val="single" w:sz="6" w:space="0" w:color="auto"/>
              <w:left w:val="single" w:sz="8" w:space="0" w:color="auto"/>
              <w:bottom w:val="single" w:sz="6" w:space="0" w:color="auto"/>
              <w:right w:val="single" w:sz="6" w:space="0" w:color="auto"/>
            </w:tcBorders>
          </w:tcPr>
          <w:p w14:paraId="2560542F" w14:textId="77777777" w:rsidR="004D2DF4" w:rsidRPr="00A9330B" w:rsidRDefault="004D2DF4" w:rsidP="004D2DF4">
            <w:pPr>
              <w:widowControl w:val="0"/>
              <w:spacing w:before="60" w:line="240" w:lineRule="auto"/>
              <w:jc w:val="both"/>
              <w:rPr>
                <w:rFonts w:eastAsia="Calibri" w:cs="Arial"/>
                <w:color w:val="auto"/>
                <w:sz w:val="18"/>
                <w:szCs w:val="18"/>
              </w:rPr>
            </w:pPr>
            <w:r w:rsidRPr="00A9330B">
              <w:rPr>
                <w:rFonts w:eastAsia="Calibri" w:cs="Arial"/>
                <w:color w:val="auto"/>
                <w:sz w:val="18"/>
                <w:szCs w:val="18"/>
              </w:rPr>
              <w:t>1.2.a.3.1. ; 2.10.a.2.1 </w:t>
            </w:r>
          </w:p>
          <w:p w14:paraId="7B8A51AF" w14:textId="77777777" w:rsidR="004D2DF4" w:rsidRPr="00A9330B" w:rsidRDefault="004D2DF4" w:rsidP="004D2DF4">
            <w:pPr>
              <w:widowControl w:val="0"/>
              <w:spacing w:before="60" w:line="240" w:lineRule="auto"/>
              <w:jc w:val="both"/>
              <w:rPr>
                <w:rFonts w:eastAsia="Calibri" w:cs="Arial"/>
                <w:color w:val="auto"/>
                <w:sz w:val="18"/>
                <w:szCs w:val="18"/>
              </w:rPr>
            </w:pPr>
            <w:r w:rsidRPr="00A9330B">
              <w:rPr>
                <w:rFonts w:eastAsia="Calibri" w:cs="Arial"/>
                <w:color w:val="auto"/>
                <w:sz w:val="18"/>
                <w:szCs w:val="18"/>
              </w:rPr>
              <w:t>Prendre l’autorisation de l’inspection forestière avant toute coupe d’arbres</w:t>
            </w:r>
          </w:p>
        </w:tc>
        <w:tc>
          <w:tcPr>
            <w:tcW w:w="916" w:type="pct"/>
            <w:tcBorders>
              <w:top w:val="single" w:sz="6" w:space="0" w:color="auto"/>
              <w:left w:val="single" w:sz="6" w:space="0" w:color="auto"/>
              <w:bottom w:val="single" w:sz="6" w:space="0" w:color="auto"/>
              <w:right w:val="single" w:sz="6" w:space="0" w:color="auto"/>
            </w:tcBorders>
          </w:tcPr>
          <w:p w14:paraId="046C92C6" w14:textId="77777777" w:rsidR="004D2DF4" w:rsidRPr="00A9330B" w:rsidRDefault="004D2DF4" w:rsidP="004D2DF4">
            <w:pPr>
              <w:widowControl w:val="0"/>
              <w:autoSpaceDE w:val="0"/>
              <w:autoSpaceDN w:val="0"/>
              <w:adjustRightInd w:val="0"/>
              <w:spacing w:before="60" w:line="240" w:lineRule="auto"/>
              <w:jc w:val="both"/>
              <w:rPr>
                <w:rFonts w:eastAsia="Calibri" w:cs="Arial"/>
                <w:color w:val="auto"/>
                <w:sz w:val="18"/>
                <w:szCs w:val="18"/>
              </w:rPr>
            </w:pPr>
            <w:r w:rsidRPr="00A9330B">
              <w:rPr>
                <w:rFonts w:eastAsia="Calibri" w:cs="Arial"/>
                <w:color w:val="auto"/>
                <w:sz w:val="18"/>
                <w:szCs w:val="18"/>
              </w:rPr>
              <w:t>Disponibilité de l’autorisation de coupe d’arbre de l’inspection forestière</w:t>
            </w:r>
            <w:r w:rsidRPr="00A9330B">
              <w:rPr>
                <w:rFonts w:eastAsia="Calibri" w:cs="Arial"/>
                <w:color w:val="auto"/>
                <w:sz w:val="18"/>
                <w:szCs w:val="18"/>
              </w:rPr>
              <w:tab/>
            </w:r>
          </w:p>
        </w:tc>
        <w:tc>
          <w:tcPr>
            <w:tcW w:w="637" w:type="pct"/>
            <w:tcBorders>
              <w:top w:val="single" w:sz="6" w:space="0" w:color="auto"/>
              <w:left w:val="single" w:sz="6" w:space="0" w:color="auto"/>
              <w:bottom w:val="single" w:sz="6" w:space="0" w:color="auto"/>
              <w:right w:val="single" w:sz="6" w:space="0" w:color="auto"/>
            </w:tcBorders>
          </w:tcPr>
          <w:p w14:paraId="5447747E" w14:textId="77777777" w:rsidR="004D2DF4" w:rsidRPr="00A9330B" w:rsidRDefault="004D2DF4" w:rsidP="004D2DF4">
            <w:pPr>
              <w:widowControl w:val="0"/>
              <w:spacing w:before="60" w:line="240" w:lineRule="auto"/>
              <w:jc w:val="center"/>
              <w:rPr>
                <w:rFonts w:eastAsia="Calibri" w:cs="Arial"/>
                <w:color w:val="auto"/>
                <w:sz w:val="18"/>
                <w:szCs w:val="18"/>
              </w:rPr>
            </w:pPr>
            <w:r w:rsidRPr="00A9330B">
              <w:rPr>
                <w:rFonts w:eastAsia="Calibri" w:cs="Arial"/>
                <w:color w:val="auto"/>
                <w:sz w:val="18"/>
                <w:szCs w:val="18"/>
              </w:rPr>
              <w:t>Phase de préparation et de construction</w:t>
            </w:r>
          </w:p>
        </w:tc>
        <w:tc>
          <w:tcPr>
            <w:tcW w:w="657" w:type="pct"/>
            <w:tcBorders>
              <w:top w:val="single" w:sz="6" w:space="0" w:color="auto"/>
              <w:left w:val="single" w:sz="6" w:space="0" w:color="auto"/>
              <w:bottom w:val="single" w:sz="6" w:space="0" w:color="auto"/>
              <w:right w:val="single" w:sz="6" w:space="0" w:color="auto"/>
            </w:tcBorders>
          </w:tcPr>
          <w:p w14:paraId="544CF950" w14:textId="77777777" w:rsidR="004D2DF4" w:rsidRPr="00A9330B" w:rsidRDefault="004D2DF4" w:rsidP="004D2DF4">
            <w:pPr>
              <w:widowControl w:val="0"/>
              <w:spacing w:before="60" w:line="240" w:lineRule="auto"/>
              <w:jc w:val="center"/>
              <w:rPr>
                <w:rFonts w:eastAsia="Calibri" w:cs="Arial"/>
                <w:color w:val="auto"/>
                <w:sz w:val="18"/>
                <w:szCs w:val="18"/>
              </w:rPr>
            </w:pPr>
            <w:r w:rsidRPr="00A9330B">
              <w:rPr>
                <w:rFonts w:eastAsia="Calibri" w:cs="Arial"/>
                <w:color w:val="auto"/>
                <w:sz w:val="18"/>
                <w:szCs w:val="18"/>
              </w:rPr>
              <w:t>MDC</w:t>
            </w:r>
          </w:p>
          <w:p w14:paraId="28054F5A" w14:textId="77777777" w:rsidR="004D2DF4" w:rsidRPr="00A9330B" w:rsidRDefault="004D2DF4" w:rsidP="004D2DF4">
            <w:pPr>
              <w:widowControl w:val="0"/>
              <w:spacing w:before="60" w:line="240" w:lineRule="auto"/>
              <w:jc w:val="center"/>
              <w:rPr>
                <w:rFonts w:eastAsia="Calibri" w:cs="Arial"/>
                <w:color w:val="auto"/>
                <w:sz w:val="18"/>
                <w:szCs w:val="18"/>
              </w:rPr>
            </w:pPr>
            <w:r w:rsidRPr="00A9330B">
              <w:rPr>
                <w:rFonts w:eastAsia="Calibri" w:cs="Arial"/>
                <w:color w:val="auto"/>
                <w:sz w:val="18"/>
                <w:szCs w:val="18"/>
              </w:rPr>
              <w:t>Entreprise chargée des travaux</w:t>
            </w:r>
          </w:p>
        </w:tc>
        <w:tc>
          <w:tcPr>
            <w:tcW w:w="897" w:type="pct"/>
            <w:tcBorders>
              <w:top w:val="single" w:sz="6" w:space="0" w:color="auto"/>
              <w:left w:val="single" w:sz="6" w:space="0" w:color="auto"/>
              <w:bottom w:val="single" w:sz="6" w:space="0" w:color="auto"/>
              <w:right w:val="single" w:sz="8" w:space="0" w:color="auto"/>
            </w:tcBorders>
          </w:tcPr>
          <w:p w14:paraId="6EC1E8A3" w14:textId="7027B76C" w:rsidR="004D2DF4" w:rsidRPr="00A9330B" w:rsidRDefault="004D2DF4" w:rsidP="004D2DF4">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t xml:space="preserve">Mairie concernée (Natitingou)  </w:t>
            </w:r>
          </w:p>
          <w:p w14:paraId="2006B738" w14:textId="77777777" w:rsidR="004D2DF4" w:rsidRPr="00A9330B" w:rsidRDefault="004D2DF4" w:rsidP="004D2DF4">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t>Direction Départementale du Cadre de Vie et du Développement Durable (DDCVDD-AD)</w:t>
            </w:r>
          </w:p>
          <w:p w14:paraId="3CAF9884" w14:textId="77777777" w:rsidR="004D2DF4" w:rsidRPr="00A9330B" w:rsidRDefault="004D2DF4" w:rsidP="004D2DF4">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t>Inspection Forestière AD</w:t>
            </w:r>
          </w:p>
        </w:tc>
        <w:tc>
          <w:tcPr>
            <w:tcW w:w="897" w:type="pct"/>
            <w:tcBorders>
              <w:top w:val="single" w:sz="6" w:space="0" w:color="auto"/>
              <w:left w:val="single" w:sz="6" w:space="0" w:color="auto"/>
              <w:bottom w:val="single" w:sz="6" w:space="0" w:color="auto"/>
              <w:right w:val="single" w:sz="8" w:space="0" w:color="auto"/>
            </w:tcBorders>
          </w:tcPr>
          <w:p w14:paraId="1EEBCC2C" w14:textId="77777777" w:rsidR="004D2DF4" w:rsidRPr="00A9330B" w:rsidRDefault="004D2DF4" w:rsidP="004D2DF4">
            <w:pPr>
              <w:widowControl w:val="0"/>
              <w:autoSpaceDE w:val="0"/>
              <w:autoSpaceDN w:val="0"/>
              <w:adjustRightInd w:val="0"/>
              <w:spacing w:before="60" w:line="240" w:lineRule="auto"/>
              <w:jc w:val="center"/>
              <w:rPr>
                <w:rFonts w:eastAsia="Calibri" w:cs="Arial"/>
                <w:color w:val="auto"/>
                <w:sz w:val="18"/>
                <w:szCs w:val="18"/>
              </w:rPr>
            </w:pPr>
          </w:p>
          <w:p w14:paraId="2E39A53F" w14:textId="716731BB" w:rsidR="004D2DF4" w:rsidRPr="00A9330B" w:rsidRDefault="004D2DF4" w:rsidP="004D2DF4">
            <w:pPr>
              <w:widowControl w:val="0"/>
              <w:autoSpaceDE w:val="0"/>
              <w:autoSpaceDN w:val="0"/>
              <w:adjustRightInd w:val="0"/>
              <w:spacing w:before="60" w:line="240" w:lineRule="auto"/>
              <w:jc w:val="center"/>
              <w:rPr>
                <w:rFonts w:eastAsia="Calibri" w:cs="Arial"/>
                <w:color w:val="auto"/>
                <w:sz w:val="18"/>
                <w:szCs w:val="18"/>
              </w:rPr>
            </w:pPr>
            <w:r w:rsidRPr="00A9330B">
              <w:rPr>
                <w:rFonts w:eastAsia="Calibri" w:cs="Arial"/>
                <w:color w:val="auto"/>
                <w:sz w:val="18"/>
                <w:szCs w:val="18"/>
              </w:rPr>
              <w:t>Aucun</w:t>
            </w:r>
          </w:p>
        </w:tc>
      </w:tr>
      <w:tr w:rsidR="004D2DF4" w:rsidRPr="00A9330B" w14:paraId="15418EDF" w14:textId="74852758" w:rsidTr="006C383B">
        <w:trPr>
          <w:trHeight w:val="332"/>
        </w:trPr>
        <w:tc>
          <w:tcPr>
            <w:tcW w:w="996" w:type="pct"/>
            <w:tcBorders>
              <w:top w:val="single" w:sz="6" w:space="0" w:color="auto"/>
              <w:left w:val="single" w:sz="8" w:space="0" w:color="auto"/>
              <w:bottom w:val="single" w:sz="6" w:space="0" w:color="auto"/>
              <w:right w:val="single" w:sz="6" w:space="0" w:color="auto"/>
            </w:tcBorders>
          </w:tcPr>
          <w:p w14:paraId="7CA94D72" w14:textId="77777777" w:rsidR="004D2DF4" w:rsidRPr="00A9330B" w:rsidRDefault="004D2DF4" w:rsidP="004D2DF4">
            <w:pPr>
              <w:widowControl w:val="0"/>
              <w:spacing w:before="60" w:line="240" w:lineRule="auto"/>
              <w:jc w:val="both"/>
              <w:rPr>
                <w:rFonts w:eastAsia="Calibri" w:cs="Arial"/>
                <w:color w:val="auto"/>
                <w:sz w:val="18"/>
                <w:szCs w:val="18"/>
              </w:rPr>
            </w:pPr>
            <w:r w:rsidRPr="00A9330B">
              <w:rPr>
                <w:rFonts w:eastAsia="Calibri" w:cs="Arial"/>
                <w:color w:val="auto"/>
                <w:sz w:val="18"/>
                <w:szCs w:val="18"/>
              </w:rPr>
              <w:lastRenderedPageBreak/>
              <w:t xml:space="preserve">1.2.a.3.2. ; 2.3.a.1.1 2.4.a.1.1. ; 2.7.a.1.1. ; 2.8.a.1.1. ; </w:t>
            </w:r>
          </w:p>
          <w:p w14:paraId="060CF91E" w14:textId="77777777" w:rsidR="004D2DF4" w:rsidRPr="00A9330B" w:rsidRDefault="004D2DF4" w:rsidP="004D2DF4">
            <w:pPr>
              <w:widowControl w:val="0"/>
              <w:spacing w:before="60" w:line="240" w:lineRule="auto"/>
              <w:jc w:val="both"/>
              <w:rPr>
                <w:rFonts w:eastAsia="Calibri" w:cs="Arial"/>
                <w:color w:val="auto"/>
                <w:sz w:val="18"/>
                <w:szCs w:val="18"/>
              </w:rPr>
            </w:pPr>
            <w:r w:rsidRPr="00A9330B">
              <w:rPr>
                <w:rFonts w:eastAsia="Calibri" w:cs="Arial"/>
                <w:color w:val="auto"/>
                <w:sz w:val="18"/>
                <w:szCs w:val="18"/>
              </w:rPr>
              <w:t>Elaborer  et mettre en œuvre un plan de reboisement en compensation sur un site à identifier par l’entreprise</w:t>
            </w:r>
          </w:p>
        </w:tc>
        <w:tc>
          <w:tcPr>
            <w:tcW w:w="916" w:type="pct"/>
            <w:tcBorders>
              <w:top w:val="single" w:sz="6" w:space="0" w:color="auto"/>
              <w:left w:val="single" w:sz="6" w:space="0" w:color="auto"/>
              <w:bottom w:val="single" w:sz="6" w:space="0" w:color="auto"/>
              <w:right w:val="single" w:sz="6" w:space="0" w:color="auto"/>
            </w:tcBorders>
          </w:tcPr>
          <w:p w14:paraId="3ABD9A30" w14:textId="77777777" w:rsidR="004D2DF4" w:rsidRPr="00A9330B" w:rsidRDefault="004D2DF4" w:rsidP="004D2DF4">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t>2000 plants mis en terre</w:t>
            </w:r>
          </w:p>
          <w:p w14:paraId="16D0F650" w14:textId="77777777" w:rsidR="004D2DF4" w:rsidRPr="00A9330B" w:rsidRDefault="004D2DF4" w:rsidP="004D2DF4">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t xml:space="preserve">3000 d’arbres plantés sur les sites identifiés </w:t>
            </w:r>
          </w:p>
          <w:p w14:paraId="69860A7D" w14:textId="77777777" w:rsidR="004D2DF4" w:rsidRPr="00A9330B" w:rsidRDefault="004D2DF4" w:rsidP="004D2DF4">
            <w:pPr>
              <w:widowControl w:val="0"/>
              <w:autoSpaceDE w:val="0"/>
              <w:autoSpaceDN w:val="0"/>
              <w:adjustRightInd w:val="0"/>
              <w:spacing w:before="60" w:line="240" w:lineRule="auto"/>
              <w:jc w:val="both"/>
              <w:rPr>
                <w:rFonts w:eastAsia="Calibri" w:cs="Arial"/>
                <w:color w:val="auto"/>
                <w:sz w:val="18"/>
                <w:szCs w:val="18"/>
              </w:rPr>
            </w:pPr>
          </w:p>
        </w:tc>
        <w:tc>
          <w:tcPr>
            <w:tcW w:w="637" w:type="pct"/>
            <w:tcBorders>
              <w:top w:val="single" w:sz="6" w:space="0" w:color="auto"/>
              <w:left w:val="single" w:sz="6" w:space="0" w:color="auto"/>
              <w:bottom w:val="single" w:sz="6" w:space="0" w:color="auto"/>
              <w:right w:val="single" w:sz="6" w:space="0" w:color="auto"/>
            </w:tcBorders>
          </w:tcPr>
          <w:p w14:paraId="564D5CCA" w14:textId="77777777" w:rsidR="004D2DF4" w:rsidRPr="00A9330B" w:rsidRDefault="004D2DF4" w:rsidP="004D2DF4">
            <w:pPr>
              <w:widowControl w:val="0"/>
              <w:autoSpaceDE w:val="0"/>
              <w:autoSpaceDN w:val="0"/>
              <w:adjustRightInd w:val="0"/>
              <w:spacing w:before="60" w:line="240" w:lineRule="auto"/>
              <w:jc w:val="center"/>
              <w:rPr>
                <w:rFonts w:eastAsia="Calibri" w:cs="Arial"/>
                <w:color w:val="auto"/>
                <w:sz w:val="18"/>
                <w:szCs w:val="18"/>
              </w:rPr>
            </w:pPr>
            <w:r w:rsidRPr="00A9330B">
              <w:rPr>
                <w:rFonts w:eastAsia="Calibri" w:cs="Arial"/>
                <w:color w:val="auto"/>
                <w:sz w:val="18"/>
                <w:szCs w:val="18"/>
              </w:rPr>
              <w:t>Phase de construction et d’exploitation</w:t>
            </w:r>
          </w:p>
        </w:tc>
        <w:tc>
          <w:tcPr>
            <w:tcW w:w="657" w:type="pct"/>
            <w:tcBorders>
              <w:top w:val="single" w:sz="6" w:space="0" w:color="auto"/>
              <w:left w:val="single" w:sz="6" w:space="0" w:color="auto"/>
              <w:bottom w:val="single" w:sz="6" w:space="0" w:color="auto"/>
              <w:right w:val="single" w:sz="6" w:space="0" w:color="auto"/>
            </w:tcBorders>
          </w:tcPr>
          <w:p w14:paraId="210B7B1A" w14:textId="77777777" w:rsidR="004D2DF4" w:rsidRPr="00A9330B" w:rsidRDefault="004D2DF4" w:rsidP="004D2DF4">
            <w:pPr>
              <w:widowControl w:val="0"/>
              <w:spacing w:before="40" w:line="240" w:lineRule="auto"/>
              <w:jc w:val="center"/>
              <w:rPr>
                <w:rFonts w:eastAsia="Calibri" w:cs="Arial"/>
                <w:sz w:val="18"/>
                <w:szCs w:val="18"/>
              </w:rPr>
            </w:pPr>
            <w:r w:rsidRPr="00A9330B">
              <w:rPr>
                <w:rFonts w:eastAsia="Calibri" w:cs="Arial"/>
                <w:sz w:val="18"/>
                <w:szCs w:val="18"/>
              </w:rPr>
              <w:t>MDC</w:t>
            </w:r>
          </w:p>
          <w:p w14:paraId="507E45AC" w14:textId="77777777" w:rsidR="004D2DF4" w:rsidRPr="00A9330B" w:rsidRDefault="004D2DF4" w:rsidP="004D2DF4">
            <w:pPr>
              <w:widowControl w:val="0"/>
              <w:spacing w:before="40" w:line="240" w:lineRule="auto"/>
              <w:jc w:val="center"/>
              <w:rPr>
                <w:rFonts w:eastAsia="Calibri" w:cs="Arial"/>
                <w:sz w:val="18"/>
                <w:szCs w:val="18"/>
              </w:rPr>
            </w:pPr>
            <w:r w:rsidRPr="00A9330B">
              <w:rPr>
                <w:rFonts w:eastAsia="Calibri" w:cs="Arial"/>
                <w:sz w:val="18"/>
                <w:szCs w:val="18"/>
              </w:rPr>
              <w:t>Entreprise chargée des travaux</w:t>
            </w:r>
          </w:p>
          <w:p w14:paraId="62CC6958" w14:textId="1743BE4A" w:rsidR="004D2DF4" w:rsidRPr="00A9330B" w:rsidRDefault="004D2DF4" w:rsidP="004D2DF4">
            <w:pPr>
              <w:widowControl w:val="0"/>
              <w:spacing w:before="60" w:line="240" w:lineRule="auto"/>
              <w:jc w:val="center"/>
              <w:rPr>
                <w:rFonts w:eastAsia="Calibri" w:cs="Arial"/>
                <w:color w:val="auto"/>
                <w:sz w:val="18"/>
                <w:szCs w:val="18"/>
              </w:rPr>
            </w:pPr>
            <w:r w:rsidRPr="00A9330B">
              <w:rPr>
                <w:rFonts w:eastAsia="Calibri" w:cs="Arial"/>
                <w:sz w:val="18"/>
                <w:szCs w:val="18"/>
              </w:rPr>
              <w:t xml:space="preserve">Entreprise contractante  </w:t>
            </w:r>
          </w:p>
        </w:tc>
        <w:tc>
          <w:tcPr>
            <w:tcW w:w="897" w:type="pct"/>
            <w:tcBorders>
              <w:top w:val="single" w:sz="6" w:space="0" w:color="auto"/>
              <w:left w:val="single" w:sz="6" w:space="0" w:color="auto"/>
              <w:bottom w:val="single" w:sz="6" w:space="0" w:color="auto"/>
              <w:right w:val="single" w:sz="8" w:space="0" w:color="auto"/>
            </w:tcBorders>
          </w:tcPr>
          <w:p w14:paraId="56F24596" w14:textId="70CC7DD6" w:rsidR="004D2DF4" w:rsidRPr="00A9330B" w:rsidRDefault="004D2DF4" w:rsidP="004D2DF4">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t xml:space="preserve">Mairie concernée (Natitingou)  </w:t>
            </w:r>
          </w:p>
          <w:p w14:paraId="2764658F" w14:textId="77777777" w:rsidR="004D2DF4" w:rsidRPr="00A9330B" w:rsidRDefault="004D2DF4" w:rsidP="004D2DF4">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t>Direction Départementale du Cadre de Vie et du Développement Durable (DDCVDD-AD)</w:t>
            </w:r>
          </w:p>
          <w:p w14:paraId="5198DF29" w14:textId="77777777" w:rsidR="004D2DF4" w:rsidRPr="00A9330B" w:rsidRDefault="004D2DF4" w:rsidP="004D2DF4">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t>Inspection Forestière AD</w:t>
            </w:r>
          </w:p>
          <w:p w14:paraId="70B61B48" w14:textId="77777777" w:rsidR="004D2DF4" w:rsidRPr="00A9330B" w:rsidRDefault="004D2DF4" w:rsidP="004D2DF4">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t xml:space="preserve">Direction Départementale des Infrastructures et des Transports </w:t>
            </w:r>
          </w:p>
        </w:tc>
        <w:tc>
          <w:tcPr>
            <w:tcW w:w="897" w:type="pct"/>
            <w:tcBorders>
              <w:top w:val="single" w:sz="6" w:space="0" w:color="auto"/>
              <w:left w:val="single" w:sz="6" w:space="0" w:color="auto"/>
              <w:bottom w:val="single" w:sz="6" w:space="0" w:color="auto"/>
              <w:right w:val="single" w:sz="8" w:space="0" w:color="auto"/>
            </w:tcBorders>
          </w:tcPr>
          <w:p w14:paraId="3048E01D" w14:textId="77777777" w:rsidR="004D2DF4" w:rsidRPr="00A9330B" w:rsidRDefault="004D2DF4" w:rsidP="004D2DF4">
            <w:pPr>
              <w:widowControl w:val="0"/>
              <w:numPr>
                <w:ilvl w:val="0"/>
                <w:numId w:val="74"/>
              </w:numPr>
              <w:autoSpaceDE w:val="0"/>
              <w:autoSpaceDN w:val="0"/>
              <w:adjustRightInd w:val="0"/>
              <w:spacing w:before="60" w:line="240" w:lineRule="auto"/>
              <w:contextualSpacing/>
              <w:rPr>
                <w:rFonts w:eastAsia="Calibri" w:cs="Arial"/>
                <w:sz w:val="18"/>
                <w:szCs w:val="18"/>
                <w:lang w:eastAsia="de-DE"/>
              </w:rPr>
            </w:pPr>
            <w:r w:rsidRPr="00A9330B">
              <w:rPr>
                <w:rFonts w:eastAsia="Calibri" w:cs="Arial"/>
                <w:sz w:val="18"/>
                <w:szCs w:val="18"/>
                <w:lang w:eastAsia="de-DE"/>
              </w:rPr>
              <w:t xml:space="preserve">Mise en terre de de 4000 plants </w:t>
            </w:r>
          </w:p>
          <w:p w14:paraId="76CA72AD" w14:textId="77777777" w:rsidR="004D2DF4" w:rsidRPr="00A9330B" w:rsidRDefault="004D2DF4" w:rsidP="004D2DF4">
            <w:pPr>
              <w:widowControl w:val="0"/>
              <w:overflowPunct w:val="0"/>
              <w:autoSpaceDE w:val="0"/>
              <w:autoSpaceDN w:val="0"/>
              <w:adjustRightInd w:val="0"/>
              <w:spacing w:before="60" w:line="288" w:lineRule="auto"/>
              <w:ind w:left="405"/>
              <w:contextualSpacing/>
              <w:rPr>
                <w:rFonts w:eastAsia="Calibri" w:cs="Arial"/>
                <w:sz w:val="18"/>
                <w:szCs w:val="18"/>
                <w:lang w:eastAsia="de-DE"/>
              </w:rPr>
            </w:pPr>
          </w:p>
          <w:p w14:paraId="4F9E5540" w14:textId="77777777" w:rsidR="004D2DF4" w:rsidRPr="00A9330B" w:rsidRDefault="004D2DF4" w:rsidP="004D2DF4">
            <w:pPr>
              <w:widowControl w:val="0"/>
              <w:numPr>
                <w:ilvl w:val="0"/>
                <w:numId w:val="74"/>
              </w:numPr>
              <w:autoSpaceDE w:val="0"/>
              <w:autoSpaceDN w:val="0"/>
              <w:adjustRightInd w:val="0"/>
              <w:spacing w:before="60" w:line="240" w:lineRule="auto"/>
              <w:contextualSpacing/>
              <w:rPr>
                <w:rFonts w:eastAsia="Calibri" w:cs="Arial"/>
                <w:sz w:val="18"/>
                <w:szCs w:val="18"/>
                <w:lang w:eastAsia="de-DE"/>
              </w:rPr>
            </w:pPr>
            <w:r w:rsidRPr="00A9330B">
              <w:rPr>
                <w:rFonts w:eastAsia="Calibri" w:cs="Arial"/>
                <w:sz w:val="18"/>
                <w:szCs w:val="18"/>
                <w:lang w:eastAsia="de-DE"/>
              </w:rPr>
              <w:t xml:space="preserve">Mise en terre de 500 plants par site après le démantèlement des bases vie (02) </w:t>
            </w:r>
          </w:p>
          <w:p w14:paraId="3343436B" w14:textId="08396294" w:rsidR="004D2DF4" w:rsidRPr="00A9330B" w:rsidRDefault="004D2DF4" w:rsidP="004D2DF4">
            <w:pPr>
              <w:widowControl w:val="0"/>
              <w:autoSpaceDE w:val="0"/>
              <w:autoSpaceDN w:val="0"/>
              <w:adjustRightInd w:val="0"/>
              <w:spacing w:before="60" w:line="240" w:lineRule="auto"/>
              <w:rPr>
                <w:rFonts w:eastAsia="Calibri" w:cs="Arial"/>
                <w:color w:val="auto"/>
                <w:sz w:val="18"/>
                <w:szCs w:val="18"/>
              </w:rPr>
            </w:pPr>
            <w:r w:rsidRPr="00A9330B">
              <w:rPr>
                <w:rFonts w:eastAsia="Calibri" w:cs="Arial"/>
                <w:sz w:val="18"/>
                <w:szCs w:val="18"/>
              </w:rPr>
              <w:t xml:space="preserve"> </w:t>
            </w:r>
            <w:r w:rsidRPr="00A9330B">
              <w:rPr>
                <w:rFonts w:eastAsia="Calibri" w:cs="Arial"/>
                <w:b/>
              </w:rPr>
              <w:t>13 500 000 FCFA</w:t>
            </w:r>
          </w:p>
        </w:tc>
      </w:tr>
      <w:tr w:rsidR="004D2DF4" w:rsidRPr="00A9330B" w14:paraId="3D32EEAC" w14:textId="367E41CE" w:rsidTr="006C383B">
        <w:trPr>
          <w:trHeight w:val="271"/>
        </w:trPr>
        <w:tc>
          <w:tcPr>
            <w:tcW w:w="996" w:type="pct"/>
            <w:tcBorders>
              <w:top w:val="single" w:sz="6" w:space="0" w:color="auto"/>
              <w:left w:val="single" w:sz="8" w:space="0" w:color="auto"/>
              <w:bottom w:val="single" w:sz="6" w:space="0" w:color="auto"/>
              <w:right w:val="single" w:sz="6" w:space="0" w:color="auto"/>
            </w:tcBorders>
          </w:tcPr>
          <w:p w14:paraId="0F12C247" w14:textId="77777777" w:rsidR="004D2DF4" w:rsidRPr="00A9330B" w:rsidRDefault="004D2DF4" w:rsidP="004D2DF4">
            <w:pPr>
              <w:widowControl w:val="0"/>
              <w:spacing w:before="60" w:line="240" w:lineRule="auto"/>
              <w:jc w:val="both"/>
              <w:rPr>
                <w:rFonts w:eastAsia="Calibri" w:cs="Arial"/>
                <w:color w:val="auto"/>
                <w:sz w:val="18"/>
                <w:szCs w:val="18"/>
              </w:rPr>
            </w:pPr>
            <w:r w:rsidRPr="00A9330B">
              <w:rPr>
                <w:rFonts w:eastAsia="Calibri" w:cs="Arial"/>
                <w:color w:val="auto"/>
                <w:sz w:val="18"/>
                <w:szCs w:val="18"/>
              </w:rPr>
              <w:t>2.8.a.1.2. </w:t>
            </w:r>
          </w:p>
          <w:p w14:paraId="5DB3D949" w14:textId="77777777" w:rsidR="004D2DF4" w:rsidRPr="00A9330B" w:rsidRDefault="004D2DF4" w:rsidP="004D2DF4">
            <w:pPr>
              <w:widowControl w:val="0"/>
              <w:spacing w:before="60" w:line="240" w:lineRule="auto"/>
              <w:jc w:val="both"/>
              <w:rPr>
                <w:rFonts w:eastAsia="Calibri" w:cs="Arial"/>
                <w:color w:val="auto"/>
                <w:sz w:val="18"/>
                <w:szCs w:val="18"/>
              </w:rPr>
            </w:pPr>
            <w:r w:rsidRPr="00A9330B">
              <w:rPr>
                <w:rFonts w:eastAsia="Calibri" w:cs="Arial"/>
                <w:color w:val="auto"/>
                <w:sz w:val="18"/>
                <w:szCs w:val="18"/>
              </w:rPr>
              <w:t>Faire un aménagement paysager pour les rues</w:t>
            </w:r>
          </w:p>
        </w:tc>
        <w:tc>
          <w:tcPr>
            <w:tcW w:w="916" w:type="pct"/>
            <w:tcBorders>
              <w:top w:val="single" w:sz="6" w:space="0" w:color="auto"/>
              <w:left w:val="single" w:sz="6" w:space="0" w:color="auto"/>
              <w:bottom w:val="single" w:sz="6" w:space="0" w:color="auto"/>
              <w:right w:val="single" w:sz="6" w:space="0" w:color="auto"/>
            </w:tcBorders>
          </w:tcPr>
          <w:p w14:paraId="57A3A7E6" w14:textId="77777777" w:rsidR="004D2DF4" w:rsidRPr="00A9330B" w:rsidRDefault="004D2DF4" w:rsidP="004D2DF4">
            <w:pPr>
              <w:widowControl w:val="0"/>
              <w:autoSpaceDE w:val="0"/>
              <w:autoSpaceDN w:val="0"/>
              <w:adjustRightInd w:val="0"/>
              <w:spacing w:before="60" w:line="240" w:lineRule="auto"/>
              <w:jc w:val="both"/>
              <w:rPr>
                <w:rFonts w:eastAsia="Calibri" w:cs="Arial"/>
                <w:color w:val="auto"/>
                <w:sz w:val="18"/>
                <w:szCs w:val="18"/>
              </w:rPr>
            </w:pPr>
            <w:r w:rsidRPr="00A9330B">
              <w:rPr>
                <w:rFonts w:eastAsia="Calibri" w:cs="Arial"/>
                <w:color w:val="auto"/>
                <w:sz w:val="18"/>
                <w:szCs w:val="18"/>
              </w:rPr>
              <w:t xml:space="preserve">Présence d’arbres ou d’espace vert aménagé sur les terre-pleins et le long des axes routiers </w:t>
            </w:r>
          </w:p>
        </w:tc>
        <w:tc>
          <w:tcPr>
            <w:tcW w:w="637" w:type="pct"/>
            <w:tcBorders>
              <w:top w:val="single" w:sz="6" w:space="0" w:color="auto"/>
              <w:left w:val="single" w:sz="6" w:space="0" w:color="auto"/>
              <w:bottom w:val="single" w:sz="6" w:space="0" w:color="auto"/>
              <w:right w:val="single" w:sz="6" w:space="0" w:color="auto"/>
            </w:tcBorders>
          </w:tcPr>
          <w:p w14:paraId="3C6D0F5A" w14:textId="77777777" w:rsidR="004D2DF4" w:rsidRPr="00A9330B" w:rsidRDefault="004D2DF4" w:rsidP="004D2DF4">
            <w:pPr>
              <w:widowControl w:val="0"/>
              <w:autoSpaceDE w:val="0"/>
              <w:autoSpaceDN w:val="0"/>
              <w:adjustRightInd w:val="0"/>
              <w:spacing w:before="60" w:line="240" w:lineRule="auto"/>
              <w:jc w:val="center"/>
              <w:rPr>
                <w:rFonts w:eastAsia="Calibri" w:cs="Arial"/>
                <w:color w:val="auto"/>
                <w:sz w:val="18"/>
                <w:szCs w:val="18"/>
              </w:rPr>
            </w:pPr>
            <w:r w:rsidRPr="00A9330B">
              <w:rPr>
                <w:rFonts w:eastAsia="Calibri" w:cs="Arial"/>
                <w:color w:val="auto"/>
                <w:sz w:val="18"/>
                <w:szCs w:val="18"/>
              </w:rPr>
              <w:t>Phase de construction et d’exploitation</w:t>
            </w:r>
          </w:p>
        </w:tc>
        <w:tc>
          <w:tcPr>
            <w:tcW w:w="657" w:type="pct"/>
            <w:tcBorders>
              <w:top w:val="single" w:sz="6" w:space="0" w:color="auto"/>
              <w:left w:val="single" w:sz="6" w:space="0" w:color="auto"/>
              <w:bottom w:val="single" w:sz="6" w:space="0" w:color="auto"/>
              <w:right w:val="single" w:sz="6" w:space="0" w:color="auto"/>
            </w:tcBorders>
          </w:tcPr>
          <w:p w14:paraId="05679D21" w14:textId="77777777" w:rsidR="004D2DF4" w:rsidRPr="00A9330B" w:rsidRDefault="004D2DF4" w:rsidP="004D2DF4">
            <w:pPr>
              <w:widowControl w:val="0"/>
              <w:spacing w:before="40" w:line="240" w:lineRule="auto"/>
              <w:jc w:val="center"/>
              <w:rPr>
                <w:rFonts w:eastAsia="Calibri" w:cs="Arial"/>
                <w:sz w:val="18"/>
                <w:szCs w:val="18"/>
              </w:rPr>
            </w:pPr>
            <w:r w:rsidRPr="00A9330B">
              <w:rPr>
                <w:rFonts w:eastAsia="Calibri" w:cs="Arial"/>
                <w:sz w:val="18"/>
                <w:szCs w:val="18"/>
              </w:rPr>
              <w:t>MDC</w:t>
            </w:r>
          </w:p>
          <w:p w14:paraId="7303BD4C" w14:textId="77777777" w:rsidR="004D2DF4" w:rsidRPr="00A9330B" w:rsidRDefault="004D2DF4" w:rsidP="004D2DF4">
            <w:pPr>
              <w:widowControl w:val="0"/>
              <w:spacing w:before="40" w:line="240" w:lineRule="auto"/>
              <w:jc w:val="center"/>
              <w:rPr>
                <w:rFonts w:eastAsia="Calibri" w:cs="Arial"/>
                <w:sz w:val="18"/>
                <w:szCs w:val="18"/>
              </w:rPr>
            </w:pPr>
            <w:r w:rsidRPr="00A9330B">
              <w:rPr>
                <w:rFonts w:eastAsia="Calibri" w:cs="Arial"/>
                <w:sz w:val="18"/>
                <w:szCs w:val="18"/>
              </w:rPr>
              <w:t>Entreprise chargée des travaux</w:t>
            </w:r>
          </w:p>
          <w:p w14:paraId="01AEEF84" w14:textId="7182034B" w:rsidR="004D2DF4" w:rsidRPr="00A9330B" w:rsidRDefault="004D2DF4" w:rsidP="004D2DF4">
            <w:pPr>
              <w:widowControl w:val="0"/>
              <w:spacing w:before="60" w:line="240" w:lineRule="auto"/>
              <w:jc w:val="center"/>
              <w:rPr>
                <w:rFonts w:eastAsia="Calibri" w:cs="Arial"/>
                <w:color w:val="auto"/>
                <w:sz w:val="18"/>
                <w:szCs w:val="18"/>
              </w:rPr>
            </w:pPr>
            <w:r w:rsidRPr="00A9330B">
              <w:rPr>
                <w:rFonts w:eastAsia="Calibri" w:cs="Arial"/>
                <w:sz w:val="18"/>
                <w:szCs w:val="18"/>
              </w:rPr>
              <w:t>Entreprise contractante</w:t>
            </w:r>
          </w:p>
        </w:tc>
        <w:tc>
          <w:tcPr>
            <w:tcW w:w="897" w:type="pct"/>
            <w:tcBorders>
              <w:top w:val="single" w:sz="6" w:space="0" w:color="auto"/>
              <w:left w:val="single" w:sz="6" w:space="0" w:color="auto"/>
              <w:bottom w:val="single" w:sz="6" w:space="0" w:color="auto"/>
              <w:right w:val="single" w:sz="8" w:space="0" w:color="auto"/>
            </w:tcBorders>
          </w:tcPr>
          <w:p w14:paraId="2F2754E0" w14:textId="2CEFA8E4" w:rsidR="004D2DF4" w:rsidRPr="00A9330B" w:rsidRDefault="004D2DF4" w:rsidP="004D2DF4">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t xml:space="preserve">Mairie concernée (Natitingou)  </w:t>
            </w:r>
          </w:p>
          <w:p w14:paraId="12EFD884" w14:textId="77777777" w:rsidR="004D2DF4" w:rsidRPr="00A9330B" w:rsidRDefault="004D2DF4" w:rsidP="004D2DF4">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t>Direction Départementale du Cadre de Vie et du Développement Durable (DDCVDD-AD)</w:t>
            </w:r>
          </w:p>
          <w:p w14:paraId="165200D8" w14:textId="77777777" w:rsidR="004D2DF4" w:rsidRPr="00A9330B" w:rsidRDefault="004D2DF4" w:rsidP="004D2DF4">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t xml:space="preserve">Inspection Forestière </w:t>
            </w:r>
          </w:p>
          <w:p w14:paraId="62F71D7B" w14:textId="77777777" w:rsidR="004D2DF4" w:rsidRPr="00A9330B" w:rsidRDefault="004D2DF4" w:rsidP="004D2DF4">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t xml:space="preserve">Direction Départementale des Infrastructures et des Transports </w:t>
            </w:r>
          </w:p>
        </w:tc>
        <w:tc>
          <w:tcPr>
            <w:tcW w:w="897" w:type="pct"/>
            <w:tcBorders>
              <w:top w:val="single" w:sz="6" w:space="0" w:color="auto"/>
              <w:left w:val="single" w:sz="6" w:space="0" w:color="auto"/>
              <w:bottom w:val="single" w:sz="6" w:space="0" w:color="auto"/>
              <w:right w:val="single" w:sz="8" w:space="0" w:color="auto"/>
            </w:tcBorders>
          </w:tcPr>
          <w:p w14:paraId="4D4A6381" w14:textId="77777777" w:rsidR="004D2DF4" w:rsidRPr="00A9330B" w:rsidRDefault="004D2DF4" w:rsidP="004D2DF4">
            <w:pPr>
              <w:widowControl w:val="0"/>
              <w:autoSpaceDE w:val="0"/>
              <w:autoSpaceDN w:val="0"/>
              <w:adjustRightInd w:val="0"/>
              <w:spacing w:before="60"/>
              <w:rPr>
                <w:rFonts w:eastAsia="Calibri" w:cs="Arial"/>
                <w:sz w:val="18"/>
                <w:szCs w:val="18"/>
              </w:rPr>
            </w:pPr>
            <w:r w:rsidRPr="00A9330B">
              <w:rPr>
                <w:rFonts w:eastAsia="Calibri" w:cs="Arial"/>
                <w:sz w:val="18"/>
                <w:szCs w:val="18"/>
              </w:rPr>
              <w:t xml:space="preserve">Mise en terre des arbres d’alignement sur environ 2000 plants </w:t>
            </w:r>
          </w:p>
          <w:p w14:paraId="39D83896" w14:textId="77777777" w:rsidR="004D2DF4" w:rsidRPr="00A9330B" w:rsidRDefault="004D2DF4" w:rsidP="004D2DF4">
            <w:pPr>
              <w:widowControl w:val="0"/>
              <w:autoSpaceDE w:val="0"/>
              <w:autoSpaceDN w:val="0"/>
              <w:adjustRightInd w:val="0"/>
              <w:spacing w:before="60"/>
              <w:rPr>
                <w:rFonts w:eastAsia="Calibri" w:cs="Arial"/>
                <w:sz w:val="18"/>
                <w:szCs w:val="18"/>
              </w:rPr>
            </w:pPr>
          </w:p>
          <w:p w14:paraId="24AF3ED3" w14:textId="36FF9B79" w:rsidR="004D2DF4" w:rsidRPr="00A9330B" w:rsidRDefault="004D2DF4" w:rsidP="004D2DF4">
            <w:pPr>
              <w:widowControl w:val="0"/>
              <w:autoSpaceDE w:val="0"/>
              <w:autoSpaceDN w:val="0"/>
              <w:adjustRightInd w:val="0"/>
              <w:spacing w:before="60" w:line="240" w:lineRule="auto"/>
              <w:rPr>
                <w:rFonts w:eastAsia="Calibri" w:cs="Arial"/>
                <w:color w:val="auto"/>
                <w:sz w:val="18"/>
                <w:szCs w:val="18"/>
              </w:rPr>
            </w:pPr>
            <w:r w:rsidRPr="00A9330B">
              <w:rPr>
                <w:rFonts w:eastAsia="Calibri" w:cs="Arial"/>
                <w:b/>
              </w:rPr>
              <w:t xml:space="preserve">6 000 000 FCFA  </w:t>
            </w:r>
          </w:p>
        </w:tc>
      </w:tr>
      <w:tr w:rsidR="004D2DF4" w:rsidRPr="00A9330B" w14:paraId="3495E80B" w14:textId="7209E6F6" w:rsidTr="006C383B">
        <w:trPr>
          <w:trHeight w:val="976"/>
        </w:trPr>
        <w:tc>
          <w:tcPr>
            <w:tcW w:w="996" w:type="pct"/>
            <w:tcBorders>
              <w:top w:val="single" w:sz="6" w:space="0" w:color="auto"/>
              <w:left w:val="single" w:sz="8" w:space="0" w:color="auto"/>
              <w:bottom w:val="single" w:sz="6" w:space="0" w:color="auto"/>
              <w:right w:val="single" w:sz="6" w:space="0" w:color="auto"/>
            </w:tcBorders>
          </w:tcPr>
          <w:p w14:paraId="65FB010B" w14:textId="77777777" w:rsidR="004D2DF4" w:rsidRPr="00A9330B" w:rsidRDefault="004D2DF4" w:rsidP="004D2DF4">
            <w:pPr>
              <w:widowControl w:val="0"/>
              <w:spacing w:before="60" w:line="240" w:lineRule="auto"/>
              <w:jc w:val="both"/>
              <w:rPr>
                <w:rFonts w:eastAsia="Calibri" w:cs="Arial"/>
                <w:color w:val="auto"/>
                <w:sz w:val="18"/>
                <w:szCs w:val="18"/>
              </w:rPr>
            </w:pPr>
            <w:r w:rsidRPr="00A9330B">
              <w:rPr>
                <w:rFonts w:eastAsia="Calibri" w:cs="Arial"/>
                <w:color w:val="auto"/>
                <w:sz w:val="18"/>
                <w:szCs w:val="18"/>
              </w:rPr>
              <w:t xml:space="preserve">1.2.a.4.1. </w:t>
            </w:r>
          </w:p>
          <w:p w14:paraId="6963E48D" w14:textId="77777777" w:rsidR="004D2DF4" w:rsidRPr="00A9330B" w:rsidRDefault="004D2DF4" w:rsidP="004D2DF4">
            <w:pPr>
              <w:widowControl w:val="0"/>
              <w:spacing w:before="60" w:line="240" w:lineRule="auto"/>
              <w:jc w:val="both"/>
              <w:rPr>
                <w:rFonts w:eastAsia="Calibri" w:cs="Arial"/>
                <w:color w:val="auto"/>
                <w:sz w:val="18"/>
                <w:szCs w:val="18"/>
              </w:rPr>
            </w:pPr>
            <w:r w:rsidRPr="00A9330B">
              <w:rPr>
                <w:rFonts w:eastAsia="Calibri" w:cs="Arial"/>
                <w:color w:val="auto"/>
                <w:sz w:val="18"/>
                <w:szCs w:val="18"/>
              </w:rPr>
              <w:t xml:space="preserve">Disposer de poubelles sur la base vie </w:t>
            </w:r>
          </w:p>
        </w:tc>
        <w:tc>
          <w:tcPr>
            <w:tcW w:w="916" w:type="pct"/>
            <w:tcBorders>
              <w:top w:val="single" w:sz="6" w:space="0" w:color="auto"/>
              <w:left w:val="single" w:sz="6" w:space="0" w:color="auto"/>
              <w:bottom w:val="single" w:sz="6" w:space="0" w:color="auto"/>
              <w:right w:val="single" w:sz="6" w:space="0" w:color="auto"/>
            </w:tcBorders>
          </w:tcPr>
          <w:p w14:paraId="3843E218" w14:textId="77777777" w:rsidR="004D2DF4" w:rsidRPr="00A9330B" w:rsidRDefault="004D2DF4" w:rsidP="004D2DF4">
            <w:pPr>
              <w:widowControl w:val="0"/>
              <w:autoSpaceDE w:val="0"/>
              <w:autoSpaceDN w:val="0"/>
              <w:adjustRightInd w:val="0"/>
              <w:spacing w:before="60" w:line="240" w:lineRule="auto"/>
              <w:jc w:val="both"/>
              <w:rPr>
                <w:rFonts w:eastAsia="Calibri" w:cs="Arial"/>
                <w:color w:val="auto"/>
                <w:sz w:val="18"/>
                <w:szCs w:val="18"/>
              </w:rPr>
            </w:pPr>
            <w:r w:rsidRPr="00A9330B">
              <w:rPr>
                <w:rFonts w:eastAsia="Calibri" w:cs="Arial"/>
                <w:color w:val="auto"/>
                <w:sz w:val="18"/>
                <w:szCs w:val="18"/>
              </w:rPr>
              <w:t xml:space="preserve">Au moins 10 poubelles installées sur la base vie </w:t>
            </w:r>
          </w:p>
        </w:tc>
        <w:tc>
          <w:tcPr>
            <w:tcW w:w="637" w:type="pct"/>
            <w:tcBorders>
              <w:top w:val="single" w:sz="6" w:space="0" w:color="auto"/>
              <w:left w:val="single" w:sz="6" w:space="0" w:color="auto"/>
              <w:bottom w:val="single" w:sz="6" w:space="0" w:color="auto"/>
              <w:right w:val="single" w:sz="6" w:space="0" w:color="auto"/>
            </w:tcBorders>
          </w:tcPr>
          <w:p w14:paraId="1F4589A3" w14:textId="77777777" w:rsidR="004D2DF4" w:rsidRPr="00A9330B" w:rsidRDefault="004D2DF4" w:rsidP="004D2DF4">
            <w:pPr>
              <w:widowControl w:val="0"/>
              <w:autoSpaceDE w:val="0"/>
              <w:autoSpaceDN w:val="0"/>
              <w:adjustRightInd w:val="0"/>
              <w:spacing w:before="60" w:line="240" w:lineRule="auto"/>
              <w:jc w:val="center"/>
              <w:rPr>
                <w:rFonts w:eastAsia="Calibri" w:cs="Arial"/>
                <w:color w:val="auto"/>
                <w:sz w:val="18"/>
                <w:szCs w:val="18"/>
              </w:rPr>
            </w:pPr>
            <w:r w:rsidRPr="00A9330B">
              <w:rPr>
                <w:rFonts w:eastAsia="Calibri" w:cs="Arial"/>
                <w:color w:val="auto"/>
                <w:sz w:val="18"/>
                <w:szCs w:val="18"/>
              </w:rPr>
              <w:t>Toutes les phases du projet</w:t>
            </w:r>
          </w:p>
        </w:tc>
        <w:tc>
          <w:tcPr>
            <w:tcW w:w="657" w:type="pct"/>
            <w:tcBorders>
              <w:top w:val="single" w:sz="6" w:space="0" w:color="auto"/>
              <w:left w:val="single" w:sz="6" w:space="0" w:color="auto"/>
              <w:bottom w:val="single" w:sz="6" w:space="0" w:color="auto"/>
              <w:right w:val="single" w:sz="6" w:space="0" w:color="auto"/>
            </w:tcBorders>
          </w:tcPr>
          <w:p w14:paraId="49BE00AA" w14:textId="77777777" w:rsidR="004D2DF4" w:rsidRPr="00A9330B" w:rsidRDefault="004D2DF4" w:rsidP="004D2DF4">
            <w:pPr>
              <w:widowControl w:val="0"/>
              <w:spacing w:before="60" w:line="240" w:lineRule="auto"/>
              <w:jc w:val="center"/>
              <w:rPr>
                <w:rFonts w:eastAsia="Calibri" w:cs="Arial"/>
                <w:color w:val="auto"/>
                <w:sz w:val="18"/>
                <w:szCs w:val="18"/>
              </w:rPr>
            </w:pPr>
            <w:r w:rsidRPr="00A9330B">
              <w:rPr>
                <w:rFonts w:eastAsia="Calibri" w:cs="Arial"/>
                <w:color w:val="auto"/>
                <w:sz w:val="18"/>
                <w:szCs w:val="18"/>
              </w:rPr>
              <w:t>MDC</w:t>
            </w:r>
          </w:p>
          <w:p w14:paraId="192C5A6B" w14:textId="77777777" w:rsidR="004D2DF4" w:rsidRPr="00A9330B" w:rsidRDefault="004D2DF4" w:rsidP="004D2DF4">
            <w:pPr>
              <w:widowControl w:val="0"/>
              <w:spacing w:before="60" w:line="240" w:lineRule="auto"/>
              <w:jc w:val="center"/>
              <w:rPr>
                <w:rFonts w:eastAsia="Calibri" w:cs="Arial"/>
                <w:color w:val="auto"/>
                <w:sz w:val="18"/>
                <w:szCs w:val="18"/>
              </w:rPr>
            </w:pPr>
            <w:r w:rsidRPr="00A9330B">
              <w:rPr>
                <w:rFonts w:eastAsia="Calibri" w:cs="Arial"/>
                <w:color w:val="auto"/>
                <w:sz w:val="18"/>
                <w:szCs w:val="18"/>
              </w:rPr>
              <w:t>Entreprise chargée des travaux</w:t>
            </w:r>
          </w:p>
        </w:tc>
        <w:tc>
          <w:tcPr>
            <w:tcW w:w="897" w:type="pct"/>
            <w:tcBorders>
              <w:top w:val="single" w:sz="6" w:space="0" w:color="auto"/>
              <w:left w:val="single" w:sz="6" w:space="0" w:color="auto"/>
              <w:bottom w:val="single" w:sz="6" w:space="0" w:color="auto"/>
              <w:right w:val="single" w:sz="8" w:space="0" w:color="auto"/>
            </w:tcBorders>
          </w:tcPr>
          <w:p w14:paraId="55957A7C" w14:textId="39658015" w:rsidR="004D2DF4" w:rsidRPr="00A9330B" w:rsidRDefault="004D2DF4" w:rsidP="004D2DF4">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t xml:space="preserve">Mairie concernée (Natitingou)  </w:t>
            </w:r>
          </w:p>
          <w:p w14:paraId="6288C90D" w14:textId="77777777" w:rsidR="004D2DF4" w:rsidRPr="00A9330B" w:rsidRDefault="004D2DF4" w:rsidP="004D2DF4">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t>Direction Départementale du Cadre de Vie et du Développement Durable (DDCVDD-AD)</w:t>
            </w:r>
          </w:p>
        </w:tc>
        <w:tc>
          <w:tcPr>
            <w:tcW w:w="897" w:type="pct"/>
            <w:tcBorders>
              <w:top w:val="single" w:sz="6" w:space="0" w:color="auto"/>
              <w:left w:val="single" w:sz="6" w:space="0" w:color="auto"/>
              <w:bottom w:val="single" w:sz="6" w:space="0" w:color="auto"/>
              <w:right w:val="single" w:sz="8" w:space="0" w:color="auto"/>
            </w:tcBorders>
          </w:tcPr>
          <w:p w14:paraId="6E55FB9C" w14:textId="77777777" w:rsidR="004D2DF4" w:rsidRPr="00A9330B" w:rsidRDefault="004D2DF4" w:rsidP="004D2DF4">
            <w:pPr>
              <w:widowControl w:val="0"/>
              <w:autoSpaceDE w:val="0"/>
              <w:autoSpaceDN w:val="0"/>
              <w:adjustRightInd w:val="0"/>
              <w:spacing w:before="60" w:line="240" w:lineRule="auto"/>
              <w:rPr>
                <w:rFonts w:eastAsia="Calibri" w:cs="Arial"/>
                <w:sz w:val="20"/>
                <w:szCs w:val="20"/>
              </w:rPr>
            </w:pPr>
            <w:r w:rsidRPr="00A9330B">
              <w:rPr>
                <w:rFonts w:eastAsia="Calibri" w:cs="Arial"/>
                <w:sz w:val="20"/>
                <w:szCs w:val="20"/>
              </w:rPr>
              <w:t xml:space="preserve">1- Ligne budgétaire HSE </w:t>
            </w:r>
          </w:p>
          <w:p w14:paraId="73A2786B" w14:textId="77777777" w:rsidR="004D2DF4" w:rsidRPr="00A9330B" w:rsidRDefault="004D2DF4" w:rsidP="004D2DF4">
            <w:pPr>
              <w:widowControl w:val="0"/>
              <w:autoSpaceDE w:val="0"/>
              <w:autoSpaceDN w:val="0"/>
              <w:adjustRightInd w:val="0"/>
              <w:spacing w:before="60" w:line="240" w:lineRule="auto"/>
              <w:rPr>
                <w:rFonts w:eastAsia="Calibri" w:cs="Arial"/>
                <w:sz w:val="20"/>
                <w:szCs w:val="20"/>
              </w:rPr>
            </w:pPr>
            <w:r w:rsidRPr="00A9330B">
              <w:rPr>
                <w:rFonts w:eastAsia="Calibri" w:cs="Arial"/>
                <w:sz w:val="20"/>
                <w:szCs w:val="20"/>
              </w:rPr>
              <w:t xml:space="preserve">2- Entretien des bases vie </w:t>
            </w:r>
          </w:p>
          <w:p w14:paraId="00EE620F" w14:textId="3AF29EAD" w:rsidR="004D2DF4" w:rsidRPr="00A9330B" w:rsidRDefault="004D2DF4" w:rsidP="004D2DF4">
            <w:pPr>
              <w:widowControl w:val="0"/>
              <w:autoSpaceDE w:val="0"/>
              <w:autoSpaceDN w:val="0"/>
              <w:adjustRightInd w:val="0"/>
              <w:spacing w:before="60" w:line="240" w:lineRule="auto"/>
              <w:rPr>
                <w:rFonts w:eastAsia="Calibri" w:cs="Arial"/>
                <w:color w:val="auto"/>
                <w:sz w:val="18"/>
                <w:szCs w:val="18"/>
              </w:rPr>
            </w:pPr>
            <w:r w:rsidRPr="00A9330B">
              <w:rPr>
                <w:rFonts w:eastAsia="Calibri" w:cs="Arial"/>
                <w:sz w:val="20"/>
              </w:rPr>
              <w:t>(voir gestion des déchets)</w:t>
            </w:r>
          </w:p>
        </w:tc>
      </w:tr>
      <w:tr w:rsidR="004D2DF4" w:rsidRPr="00A9330B" w14:paraId="5CB9FE24" w14:textId="54348222" w:rsidTr="006C383B">
        <w:trPr>
          <w:trHeight w:val="1264"/>
        </w:trPr>
        <w:tc>
          <w:tcPr>
            <w:tcW w:w="996" w:type="pct"/>
            <w:tcBorders>
              <w:top w:val="single" w:sz="6" w:space="0" w:color="auto"/>
              <w:left w:val="single" w:sz="8" w:space="0" w:color="auto"/>
              <w:bottom w:val="single" w:sz="6" w:space="0" w:color="auto"/>
              <w:right w:val="single" w:sz="6" w:space="0" w:color="auto"/>
            </w:tcBorders>
          </w:tcPr>
          <w:p w14:paraId="7508BB62" w14:textId="77777777" w:rsidR="004D2DF4" w:rsidRPr="00A9330B" w:rsidRDefault="004D2DF4" w:rsidP="004D2DF4">
            <w:pPr>
              <w:widowControl w:val="0"/>
              <w:spacing w:before="60" w:line="240" w:lineRule="auto"/>
              <w:jc w:val="both"/>
              <w:rPr>
                <w:rFonts w:cs="Arial"/>
                <w:color w:val="auto"/>
                <w:sz w:val="18"/>
                <w:szCs w:val="18"/>
              </w:rPr>
            </w:pPr>
            <w:r w:rsidRPr="00A9330B">
              <w:rPr>
                <w:rFonts w:eastAsia="Calibri" w:cs="Arial"/>
                <w:color w:val="auto"/>
                <w:sz w:val="18"/>
                <w:szCs w:val="18"/>
              </w:rPr>
              <w:t xml:space="preserve">1.2.a.4.2 ; 1.2.a.5.2 ; 2.8.a.2.5 ; </w:t>
            </w:r>
            <w:r w:rsidRPr="00A9330B">
              <w:rPr>
                <w:rFonts w:cs="Arial"/>
                <w:color w:val="auto"/>
                <w:sz w:val="18"/>
                <w:szCs w:val="18"/>
              </w:rPr>
              <w:t xml:space="preserve">2.8.a.3.3 ; </w:t>
            </w:r>
            <w:r w:rsidRPr="00A9330B">
              <w:rPr>
                <w:rFonts w:eastAsia="Calibri" w:cs="Arial"/>
                <w:color w:val="auto"/>
                <w:sz w:val="18"/>
                <w:szCs w:val="18"/>
              </w:rPr>
              <w:t>2.8.a.4.1 ; 2.10.a.3.1 ;</w:t>
            </w:r>
            <w:r w:rsidRPr="00A9330B">
              <w:rPr>
                <w:rFonts w:cs="Arial"/>
                <w:color w:val="auto"/>
                <w:sz w:val="18"/>
                <w:szCs w:val="18"/>
              </w:rPr>
              <w:t xml:space="preserve"> 2.10.a.4.3 ; 2.10.a.5.3 ;</w:t>
            </w:r>
          </w:p>
          <w:p w14:paraId="75F3AC2F" w14:textId="13D5A735" w:rsidR="004D2DF4" w:rsidRPr="00A9330B" w:rsidRDefault="004D2DF4" w:rsidP="004D2DF4">
            <w:pPr>
              <w:widowControl w:val="0"/>
              <w:spacing w:before="60" w:line="240" w:lineRule="auto"/>
              <w:jc w:val="both"/>
              <w:rPr>
                <w:rFonts w:eastAsia="Calibri" w:cs="Arial"/>
                <w:color w:val="auto"/>
                <w:sz w:val="18"/>
                <w:szCs w:val="18"/>
              </w:rPr>
            </w:pPr>
            <w:r w:rsidRPr="00A9330B">
              <w:rPr>
                <w:rFonts w:cs="Arial"/>
                <w:color w:val="auto"/>
                <w:sz w:val="18"/>
                <w:szCs w:val="18"/>
              </w:rPr>
              <w:t>2.10.a.6.3.</w:t>
            </w:r>
          </w:p>
          <w:p w14:paraId="20217E23" w14:textId="77777777" w:rsidR="004D2DF4" w:rsidRPr="00A9330B" w:rsidRDefault="004D2DF4" w:rsidP="004D2DF4">
            <w:pPr>
              <w:widowControl w:val="0"/>
              <w:spacing w:before="60" w:line="240" w:lineRule="auto"/>
              <w:jc w:val="both"/>
              <w:rPr>
                <w:rFonts w:eastAsia="Calibri" w:cs="Arial"/>
                <w:color w:val="auto"/>
                <w:sz w:val="18"/>
                <w:szCs w:val="18"/>
              </w:rPr>
            </w:pPr>
            <w:r w:rsidRPr="00A9330B">
              <w:rPr>
                <w:rFonts w:eastAsia="Calibri" w:cs="Arial"/>
                <w:color w:val="auto"/>
                <w:sz w:val="18"/>
                <w:szCs w:val="18"/>
              </w:rPr>
              <w:t>Veiller à la collecte et à l’enlèvement des déchets solides et des huiles usagées par une structure agréée</w:t>
            </w:r>
          </w:p>
        </w:tc>
        <w:tc>
          <w:tcPr>
            <w:tcW w:w="916" w:type="pct"/>
            <w:tcBorders>
              <w:top w:val="single" w:sz="6" w:space="0" w:color="auto"/>
              <w:left w:val="single" w:sz="6" w:space="0" w:color="auto"/>
              <w:bottom w:val="single" w:sz="6" w:space="0" w:color="auto"/>
              <w:right w:val="single" w:sz="6" w:space="0" w:color="auto"/>
            </w:tcBorders>
          </w:tcPr>
          <w:p w14:paraId="3FF0D051" w14:textId="77777777" w:rsidR="004D2DF4" w:rsidRPr="00A9330B" w:rsidRDefault="004D2DF4" w:rsidP="004D2DF4">
            <w:pPr>
              <w:widowControl w:val="0"/>
              <w:autoSpaceDE w:val="0"/>
              <w:autoSpaceDN w:val="0"/>
              <w:adjustRightInd w:val="0"/>
              <w:spacing w:before="60" w:line="240" w:lineRule="auto"/>
              <w:jc w:val="both"/>
              <w:rPr>
                <w:rFonts w:eastAsia="Calibri" w:cs="Arial"/>
                <w:color w:val="auto"/>
                <w:sz w:val="18"/>
                <w:szCs w:val="18"/>
              </w:rPr>
            </w:pPr>
            <w:r w:rsidRPr="00A9330B">
              <w:rPr>
                <w:rFonts w:eastAsia="Calibri" w:cs="Arial"/>
                <w:color w:val="auto"/>
                <w:sz w:val="18"/>
                <w:szCs w:val="18"/>
              </w:rPr>
              <w:t xml:space="preserve">Contrat avec une structure agréée de gestion des déchets </w:t>
            </w:r>
          </w:p>
          <w:p w14:paraId="147497D5" w14:textId="77777777" w:rsidR="004D2DF4" w:rsidRPr="00A9330B" w:rsidRDefault="004D2DF4" w:rsidP="004D2DF4">
            <w:pPr>
              <w:widowControl w:val="0"/>
              <w:autoSpaceDE w:val="0"/>
              <w:autoSpaceDN w:val="0"/>
              <w:adjustRightInd w:val="0"/>
              <w:spacing w:before="60" w:line="240" w:lineRule="auto"/>
              <w:jc w:val="both"/>
              <w:rPr>
                <w:rFonts w:eastAsia="Calibri" w:cs="Arial"/>
                <w:color w:val="auto"/>
                <w:sz w:val="18"/>
                <w:szCs w:val="18"/>
              </w:rPr>
            </w:pPr>
            <w:r w:rsidRPr="00A9330B">
              <w:rPr>
                <w:rFonts w:eastAsia="Calibri" w:cs="Arial"/>
                <w:color w:val="auto"/>
                <w:sz w:val="18"/>
                <w:szCs w:val="18"/>
              </w:rPr>
              <w:t xml:space="preserve">Fréquence et procédure de collecte et d’enlèvement des déchets </w:t>
            </w:r>
          </w:p>
          <w:p w14:paraId="57F18924" w14:textId="77777777" w:rsidR="004D2DF4" w:rsidRPr="00A9330B" w:rsidRDefault="004D2DF4" w:rsidP="004D2DF4">
            <w:pPr>
              <w:widowControl w:val="0"/>
              <w:autoSpaceDE w:val="0"/>
              <w:autoSpaceDN w:val="0"/>
              <w:adjustRightInd w:val="0"/>
              <w:spacing w:before="60" w:line="240" w:lineRule="auto"/>
              <w:jc w:val="both"/>
              <w:rPr>
                <w:rFonts w:eastAsia="Calibri" w:cs="Arial"/>
                <w:color w:val="auto"/>
                <w:sz w:val="18"/>
                <w:szCs w:val="18"/>
              </w:rPr>
            </w:pPr>
            <w:r w:rsidRPr="00A9330B">
              <w:rPr>
                <w:rFonts w:eastAsia="Calibri" w:cs="Arial"/>
                <w:color w:val="auto"/>
                <w:sz w:val="18"/>
                <w:szCs w:val="18"/>
              </w:rPr>
              <w:t xml:space="preserve">Inexistence de dépotoirs sauvages ou activités jugées polluantes sur le site </w:t>
            </w:r>
          </w:p>
        </w:tc>
        <w:tc>
          <w:tcPr>
            <w:tcW w:w="637" w:type="pct"/>
            <w:tcBorders>
              <w:top w:val="single" w:sz="6" w:space="0" w:color="auto"/>
              <w:left w:val="single" w:sz="6" w:space="0" w:color="auto"/>
              <w:bottom w:val="single" w:sz="6" w:space="0" w:color="auto"/>
              <w:right w:val="single" w:sz="6" w:space="0" w:color="auto"/>
            </w:tcBorders>
          </w:tcPr>
          <w:p w14:paraId="6826FDD9" w14:textId="77777777" w:rsidR="004D2DF4" w:rsidRPr="00A9330B" w:rsidRDefault="004D2DF4" w:rsidP="004D2DF4">
            <w:pPr>
              <w:widowControl w:val="0"/>
              <w:autoSpaceDE w:val="0"/>
              <w:autoSpaceDN w:val="0"/>
              <w:adjustRightInd w:val="0"/>
              <w:spacing w:before="60" w:line="240" w:lineRule="auto"/>
              <w:jc w:val="center"/>
              <w:rPr>
                <w:rFonts w:eastAsia="Calibri" w:cs="Arial"/>
                <w:color w:val="auto"/>
                <w:sz w:val="18"/>
                <w:szCs w:val="18"/>
              </w:rPr>
            </w:pPr>
            <w:r w:rsidRPr="00A9330B">
              <w:rPr>
                <w:rFonts w:eastAsia="Calibri" w:cs="Arial"/>
                <w:color w:val="auto"/>
                <w:sz w:val="18"/>
                <w:szCs w:val="18"/>
              </w:rPr>
              <w:t>Toutes les phases du projet</w:t>
            </w:r>
          </w:p>
        </w:tc>
        <w:tc>
          <w:tcPr>
            <w:tcW w:w="657" w:type="pct"/>
            <w:tcBorders>
              <w:top w:val="single" w:sz="6" w:space="0" w:color="auto"/>
              <w:left w:val="single" w:sz="6" w:space="0" w:color="auto"/>
              <w:bottom w:val="single" w:sz="6" w:space="0" w:color="auto"/>
              <w:right w:val="single" w:sz="6" w:space="0" w:color="auto"/>
            </w:tcBorders>
          </w:tcPr>
          <w:p w14:paraId="3AE54A85" w14:textId="77777777" w:rsidR="004D2DF4" w:rsidRPr="00A9330B" w:rsidRDefault="004D2DF4" w:rsidP="004D2DF4">
            <w:pPr>
              <w:widowControl w:val="0"/>
              <w:spacing w:before="60" w:line="240" w:lineRule="auto"/>
              <w:jc w:val="center"/>
              <w:rPr>
                <w:rFonts w:eastAsia="Calibri" w:cs="Arial"/>
                <w:color w:val="auto"/>
                <w:sz w:val="18"/>
                <w:szCs w:val="18"/>
              </w:rPr>
            </w:pPr>
            <w:r w:rsidRPr="00A9330B">
              <w:rPr>
                <w:rFonts w:eastAsia="Calibri" w:cs="Arial"/>
                <w:color w:val="auto"/>
                <w:sz w:val="18"/>
                <w:szCs w:val="18"/>
              </w:rPr>
              <w:t>MDC</w:t>
            </w:r>
          </w:p>
          <w:p w14:paraId="09689E3F" w14:textId="77777777" w:rsidR="004D2DF4" w:rsidRPr="00A9330B" w:rsidRDefault="004D2DF4" w:rsidP="004D2DF4">
            <w:pPr>
              <w:widowControl w:val="0"/>
              <w:spacing w:before="60" w:line="240" w:lineRule="auto"/>
              <w:jc w:val="center"/>
              <w:rPr>
                <w:rFonts w:eastAsia="Calibri" w:cs="Arial"/>
                <w:color w:val="auto"/>
                <w:sz w:val="18"/>
                <w:szCs w:val="18"/>
              </w:rPr>
            </w:pPr>
            <w:r w:rsidRPr="00A9330B">
              <w:rPr>
                <w:rFonts w:eastAsia="Calibri" w:cs="Arial"/>
                <w:color w:val="auto"/>
                <w:sz w:val="18"/>
                <w:szCs w:val="18"/>
              </w:rPr>
              <w:t>Entreprise chargée des travaux</w:t>
            </w:r>
          </w:p>
        </w:tc>
        <w:tc>
          <w:tcPr>
            <w:tcW w:w="897" w:type="pct"/>
            <w:tcBorders>
              <w:top w:val="single" w:sz="6" w:space="0" w:color="auto"/>
              <w:left w:val="single" w:sz="6" w:space="0" w:color="auto"/>
              <w:bottom w:val="single" w:sz="6" w:space="0" w:color="auto"/>
              <w:right w:val="single" w:sz="8" w:space="0" w:color="auto"/>
            </w:tcBorders>
          </w:tcPr>
          <w:p w14:paraId="0D8B86C5" w14:textId="54BCCE7F" w:rsidR="004D2DF4" w:rsidRPr="00A9330B" w:rsidRDefault="004D2DF4" w:rsidP="004D2DF4">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t xml:space="preserve">Mairie concernée (Natitingou)  </w:t>
            </w:r>
          </w:p>
          <w:p w14:paraId="3CBDE9AA" w14:textId="77777777" w:rsidR="004D2DF4" w:rsidRPr="00A9330B" w:rsidRDefault="004D2DF4" w:rsidP="004D2DF4">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t>Direction Départementale du Cadre de Vie et du Développement Durable (DDCVDD-AD)</w:t>
            </w:r>
          </w:p>
        </w:tc>
        <w:tc>
          <w:tcPr>
            <w:tcW w:w="897" w:type="pct"/>
            <w:tcBorders>
              <w:top w:val="single" w:sz="6" w:space="0" w:color="auto"/>
              <w:left w:val="single" w:sz="6" w:space="0" w:color="auto"/>
              <w:bottom w:val="single" w:sz="6" w:space="0" w:color="auto"/>
              <w:right w:val="single" w:sz="8" w:space="0" w:color="auto"/>
            </w:tcBorders>
          </w:tcPr>
          <w:p w14:paraId="08BE2BCB" w14:textId="77777777" w:rsidR="004D2DF4" w:rsidRPr="00A9330B" w:rsidRDefault="004D2DF4" w:rsidP="004D2DF4">
            <w:pPr>
              <w:widowControl w:val="0"/>
              <w:autoSpaceDE w:val="0"/>
              <w:autoSpaceDN w:val="0"/>
              <w:adjustRightInd w:val="0"/>
              <w:spacing w:before="60" w:line="240" w:lineRule="auto"/>
              <w:rPr>
                <w:rFonts w:eastAsia="Calibri" w:cs="Arial"/>
                <w:sz w:val="20"/>
                <w:szCs w:val="20"/>
              </w:rPr>
            </w:pPr>
            <w:r w:rsidRPr="00A9330B">
              <w:rPr>
                <w:rFonts w:eastAsia="Calibri" w:cs="Arial"/>
                <w:sz w:val="20"/>
                <w:szCs w:val="20"/>
              </w:rPr>
              <w:t xml:space="preserve">1- Ligne budgétaire HSE </w:t>
            </w:r>
          </w:p>
          <w:p w14:paraId="02A2AF2A" w14:textId="77777777" w:rsidR="004D2DF4" w:rsidRPr="00A9330B" w:rsidRDefault="004D2DF4" w:rsidP="004D2DF4">
            <w:pPr>
              <w:widowControl w:val="0"/>
              <w:autoSpaceDE w:val="0"/>
              <w:autoSpaceDN w:val="0"/>
              <w:adjustRightInd w:val="0"/>
              <w:spacing w:before="60" w:line="240" w:lineRule="auto"/>
              <w:rPr>
                <w:rFonts w:eastAsia="Calibri" w:cs="Arial"/>
                <w:sz w:val="20"/>
                <w:szCs w:val="20"/>
              </w:rPr>
            </w:pPr>
            <w:r w:rsidRPr="00A9330B">
              <w:rPr>
                <w:rFonts w:eastAsia="Calibri" w:cs="Arial"/>
                <w:sz w:val="20"/>
                <w:szCs w:val="20"/>
              </w:rPr>
              <w:t xml:space="preserve">2- Entretien des bases vie </w:t>
            </w:r>
          </w:p>
          <w:p w14:paraId="36269C60" w14:textId="77777777" w:rsidR="004D2DF4" w:rsidRPr="00A9330B" w:rsidRDefault="004D2DF4" w:rsidP="004D2DF4">
            <w:pPr>
              <w:widowControl w:val="0"/>
              <w:autoSpaceDE w:val="0"/>
              <w:autoSpaceDN w:val="0"/>
              <w:adjustRightInd w:val="0"/>
              <w:spacing w:before="60" w:line="240" w:lineRule="auto"/>
              <w:rPr>
                <w:rFonts w:eastAsia="Calibri" w:cs="Arial"/>
                <w:sz w:val="20"/>
                <w:szCs w:val="20"/>
              </w:rPr>
            </w:pPr>
            <w:r w:rsidRPr="00A9330B">
              <w:rPr>
                <w:rFonts w:eastAsia="Calibri" w:cs="Arial"/>
                <w:sz w:val="20"/>
                <w:szCs w:val="20"/>
              </w:rPr>
              <w:t>(02 agents d’entretien, acquisition et renouvellement des poubelles, abonnement à une structure de collecte, …)</w:t>
            </w:r>
          </w:p>
          <w:p w14:paraId="7D714464" w14:textId="0249D89C" w:rsidR="004D2DF4" w:rsidRPr="00A9330B" w:rsidRDefault="004D2DF4" w:rsidP="004D2DF4">
            <w:pPr>
              <w:widowControl w:val="0"/>
              <w:autoSpaceDE w:val="0"/>
              <w:autoSpaceDN w:val="0"/>
              <w:adjustRightInd w:val="0"/>
              <w:spacing w:before="60" w:line="240" w:lineRule="auto"/>
              <w:rPr>
                <w:rFonts w:eastAsia="Calibri" w:cs="Arial"/>
                <w:color w:val="auto"/>
                <w:sz w:val="18"/>
                <w:szCs w:val="18"/>
              </w:rPr>
            </w:pPr>
            <w:r w:rsidRPr="00A9330B">
              <w:rPr>
                <w:rFonts w:eastAsia="Calibri" w:cs="Arial"/>
                <w:b/>
                <w:sz w:val="20"/>
                <w:szCs w:val="20"/>
              </w:rPr>
              <w:t xml:space="preserve">20 000 000 FCFA ou an </w:t>
            </w:r>
          </w:p>
        </w:tc>
      </w:tr>
      <w:tr w:rsidR="004D2DF4" w:rsidRPr="00A9330B" w14:paraId="770761CD" w14:textId="7D59A729" w:rsidTr="006C383B">
        <w:trPr>
          <w:trHeight w:val="1264"/>
        </w:trPr>
        <w:tc>
          <w:tcPr>
            <w:tcW w:w="996" w:type="pct"/>
            <w:tcBorders>
              <w:top w:val="single" w:sz="6" w:space="0" w:color="auto"/>
              <w:left w:val="single" w:sz="8" w:space="0" w:color="auto"/>
              <w:bottom w:val="single" w:sz="6" w:space="0" w:color="auto"/>
              <w:right w:val="single" w:sz="6" w:space="0" w:color="auto"/>
            </w:tcBorders>
          </w:tcPr>
          <w:p w14:paraId="66578DAF" w14:textId="77777777" w:rsidR="004D2DF4" w:rsidRPr="00A9330B" w:rsidRDefault="004D2DF4" w:rsidP="004D2DF4">
            <w:pPr>
              <w:widowControl w:val="0"/>
              <w:spacing w:before="60" w:line="240" w:lineRule="auto"/>
              <w:rPr>
                <w:rFonts w:eastAsia="Calibri" w:cs="Arial"/>
                <w:color w:val="auto"/>
                <w:sz w:val="18"/>
                <w:szCs w:val="18"/>
              </w:rPr>
            </w:pPr>
            <w:r w:rsidRPr="00A9330B">
              <w:rPr>
                <w:rFonts w:eastAsia="Calibri" w:cs="Arial"/>
                <w:color w:val="auto"/>
                <w:sz w:val="18"/>
                <w:szCs w:val="18"/>
              </w:rPr>
              <w:lastRenderedPageBreak/>
              <w:t>1.2.a.6.1. ; 2.5.a.3.1. ; 2.8.a.2.1. </w:t>
            </w:r>
          </w:p>
          <w:p w14:paraId="47E34DE9" w14:textId="77777777" w:rsidR="004D2DF4" w:rsidRPr="00A9330B" w:rsidRDefault="004D2DF4" w:rsidP="004D2DF4">
            <w:pPr>
              <w:widowControl w:val="0"/>
              <w:spacing w:before="60" w:line="240" w:lineRule="auto"/>
              <w:rPr>
                <w:rFonts w:eastAsia="Calibri" w:cs="Arial"/>
                <w:color w:val="auto"/>
                <w:sz w:val="18"/>
                <w:szCs w:val="18"/>
              </w:rPr>
            </w:pPr>
            <w:r w:rsidRPr="00A9330B">
              <w:rPr>
                <w:rFonts w:eastAsia="Calibri" w:cs="Arial"/>
                <w:color w:val="auto"/>
                <w:sz w:val="18"/>
                <w:szCs w:val="18"/>
              </w:rPr>
              <w:t xml:space="preserve">Aménager des bassins de décantation dans la base vie au niveau de l’atelier de mécanique, des centrales à béton et à enrobé pour la collecte des eaux usées </w:t>
            </w:r>
          </w:p>
        </w:tc>
        <w:tc>
          <w:tcPr>
            <w:tcW w:w="916" w:type="pct"/>
            <w:tcBorders>
              <w:top w:val="single" w:sz="6" w:space="0" w:color="auto"/>
              <w:left w:val="single" w:sz="6" w:space="0" w:color="auto"/>
              <w:bottom w:val="single" w:sz="6" w:space="0" w:color="auto"/>
              <w:right w:val="single" w:sz="6" w:space="0" w:color="auto"/>
            </w:tcBorders>
          </w:tcPr>
          <w:p w14:paraId="7630CD97" w14:textId="77777777" w:rsidR="004D2DF4" w:rsidRPr="00A9330B" w:rsidRDefault="004D2DF4" w:rsidP="004D2DF4">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t xml:space="preserve">Présence de bassins/bacs de décantation aux endroits indiqués sur le site </w:t>
            </w:r>
          </w:p>
        </w:tc>
        <w:tc>
          <w:tcPr>
            <w:tcW w:w="637" w:type="pct"/>
            <w:tcBorders>
              <w:top w:val="single" w:sz="6" w:space="0" w:color="auto"/>
              <w:left w:val="single" w:sz="6" w:space="0" w:color="auto"/>
              <w:bottom w:val="single" w:sz="6" w:space="0" w:color="auto"/>
              <w:right w:val="single" w:sz="6" w:space="0" w:color="auto"/>
            </w:tcBorders>
          </w:tcPr>
          <w:p w14:paraId="494C13EA" w14:textId="77777777" w:rsidR="004D2DF4" w:rsidRPr="00A9330B" w:rsidRDefault="004D2DF4" w:rsidP="004D2DF4">
            <w:pPr>
              <w:widowControl w:val="0"/>
              <w:autoSpaceDE w:val="0"/>
              <w:autoSpaceDN w:val="0"/>
              <w:adjustRightInd w:val="0"/>
              <w:spacing w:before="60" w:line="240" w:lineRule="auto"/>
              <w:jc w:val="center"/>
              <w:rPr>
                <w:rFonts w:eastAsia="Calibri" w:cs="Arial"/>
                <w:color w:val="auto"/>
                <w:sz w:val="18"/>
                <w:szCs w:val="18"/>
              </w:rPr>
            </w:pPr>
            <w:r w:rsidRPr="00A9330B">
              <w:rPr>
                <w:rFonts w:eastAsia="Calibri" w:cs="Arial"/>
                <w:color w:val="auto"/>
                <w:sz w:val="18"/>
                <w:szCs w:val="18"/>
              </w:rPr>
              <w:t>Phase de préparation et de construction</w:t>
            </w:r>
          </w:p>
        </w:tc>
        <w:tc>
          <w:tcPr>
            <w:tcW w:w="657" w:type="pct"/>
            <w:tcBorders>
              <w:top w:val="single" w:sz="6" w:space="0" w:color="auto"/>
              <w:left w:val="single" w:sz="6" w:space="0" w:color="auto"/>
              <w:bottom w:val="single" w:sz="6" w:space="0" w:color="auto"/>
              <w:right w:val="single" w:sz="6" w:space="0" w:color="auto"/>
            </w:tcBorders>
          </w:tcPr>
          <w:p w14:paraId="06A4CDCE" w14:textId="77777777" w:rsidR="004D2DF4" w:rsidRPr="00A9330B" w:rsidRDefault="004D2DF4" w:rsidP="004D2DF4">
            <w:pPr>
              <w:widowControl w:val="0"/>
              <w:spacing w:before="60" w:line="240" w:lineRule="auto"/>
              <w:jc w:val="center"/>
              <w:rPr>
                <w:rFonts w:eastAsia="Calibri" w:cs="Arial"/>
                <w:color w:val="auto"/>
                <w:sz w:val="18"/>
                <w:szCs w:val="18"/>
              </w:rPr>
            </w:pPr>
            <w:r w:rsidRPr="00A9330B">
              <w:rPr>
                <w:rFonts w:eastAsia="Calibri" w:cs="Arial"/>
                <w:color w:val="auto"/>
                <w:sz w:val="18"/>
                <w:szCs w:val="18"/>
              </w:rPr>
              <w:t>MDC</w:t>
            </w:r>
          </w:p>
          <w:p w14:paraId="7B780A7C" w14:textId="77777777" w:rsidR="004D2DF4" w:rsidRPr="00A9330B" w:rsidRDefault="004D2DF4" w:rsidP="004D2DF4">
            <w:pPr>
              <w:widowControl w:val="0"/>
              <w:spacing w:before="60" w:line="240" w:lineRule="auto"/>
              <w:jc w:val="center"/>
              <w:rPr>
                <w:rFonts w:eastAsia="Calibri" w:cs="Arial"/>
                <w:color w:val="auto"/>
                <w:sz w:val="18"/>
                <w:szCs w:val="18"/>
              </w:rPr>
            </w:pPr>
            <w:r w:rsidRPr="00A9330B">
              <w:rPr>
                <w:rFonts w:eastAsia="Calibri" w:cs="Arial"/>
                <w:color w:val="auto"/>
                <w:sz w:val="18"/>
                <w:szCs w:val="18"/>
              </w:rPr>
              <w:t>Entreprise chargée des travaux</w:t>
            </w:r>
          </w:p>
        </w:tc>
        <w:tc>
          <w:tcPr>
            <w:tcW w:w="897" w:type="pct"/>
            <w:tcBorders>
              <w:top w:val="single" w:sz="6" w:space="0" w:color="auto"/>
              <w:left w:val="single" w:sz="6" w:space="0" w:color="auto"/>
              <w:bottom w:val="single" w:sz="6" w:space="0" w:color="auto"/>
              <w:right w:val="single" w:sz="8" w:space="0" w:color="auto"/>
            </w:tcBorders>
          </w:tcPr>
          <w:p w14:paraId="47372F28" w14:textId="77777777" w:rsidR="004D2DF4" w:rsidRPr="00A9330B" w:rsidRDefault="004D2DF4" w:rsidP="004D2DF4">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t>Mairie de Natitingou</w:t>
            </w:r>
          </w:p>
          <w:p w14:paraId="2B18F1F7" w14:textId="77777777" w:rsidR="004D2DF4" w:rsidRPr="00A9330B" w:rsidRDefault="004D2DF4" w:rsidP="004D2DF4">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t>Direction Départementale du Cadre de Vie et du Développement Durable (DDCVDD- AD)</w:t>
            </w:r>
          </w:p>
        </w:tc>
        <w:tc>
          <w:tcPr>
            <w:tcW w:w="897" w:type="pct"/>
            <w:tcBorders>
              <w:top w:val="single" w:sz="6" w:space="0" w:color="auto"/>
              <w:left w:val="single" w:sz="6" w:space="0" w:color="auto"/>
              <w:bottom w:val="single" w:sz="6" w:space="0" w:color="auto"/>
              <w:right w:val="single" w:sz="8" w:space="0" w:color="auto"/>
            </w:tcBorders>
          </w:tcPr>
          <w:p w14:paraId="660798F5" w14:textId="77777777" w:rsidR="004D2DF4" w:rsidRPr="00A9330B" w:rsidRDefault="004D2DF4" w:rsidP="004D2DF4">
            <w:pPr>
              <w:widowControl w:val="0"/>
              <w:autoSpaceDE w:val="0"/>
              <w:autoSpaceDN w:val="0"/>
              <w:adjustRightInd w:val="0"/>
              <w:spacing w:before="60" w:line="240" w:lineRule="auto"/>
              <w:rPr>
                <w:rFonts w:eastAsia="Calibri" w:cs="Arial"/>
                <w:sz w:val="20"/>
                <w:szCs w:val="20"/>
              </w:rPr>
            </w:pPr>
            <w:r w:rsidRPr="00A9330B">
              <w:rPr>
                <w:rFonts w:eastAsia="Calibri" w:cs="Arial"/>
                <w:sz w:val="20"/>
                <w:szCs w:val="20"/>
              </w:rPr>
              <w:t>Installation de chantier</w:t>
            </w:r>
          </w:p>
          <w:p w14:paraId="4C83E95D" w14:textId="77777777" w:rsidR="004D2DF4" w:rsidRPr="00A9330B" w:rsidRDefault="004D2DF4" w:rsidP="004D2DF4">
            <w:pPr>
              <w:widowControl w:val="0"/>
              <w:autoSpaceDE w:val="0"/>
              <w:autoSpaceDN w:val="0"/>
              <w:adjustRightInd w:val="0"/>
              <w:spacing w:before="60" w:line="240" w:lineRule="auto"/>
              <w:rPr>
                <w:rFonts w:eastAsia="Calibri" w:cs="Arial"/>
                <w:sz w:val="20"/>
                <w:szCs w:val="20"/>
              </w:rPr>
            </w:pPr>
          </w:p>
          <w:p w14:paraId="7B9C7703" w14:textId="77777777" w:rsidR="004D2DF4" w:rsidRPr="00A9330B" w:rsidRDefault="004D2DF4" w:rsidP="004D2DF4">
            <w:pPr>
              <w:widowControl w:val="0"/>
              <w:autoSpaceDE w:val="0"/>
              <w:autoSpaceDN w:val="0"/>
              <w:adjustRightInd w:val="0"/>
              <w:spacing w:before="60" w:line="240" w:lineRule="auto"/>
              <w:rPr>
                <w:rFonts w:eastAsia="Calibri" w:cs="Arial"/>
                <w:sz w:val="20"/>
                <w:szCs w:val="20"/>
              </w:rPr>
            </w:pPr>
          </w:p>
          <w:p w14:paraId="3C8EB350" w14:textId="77777777" w:rsidR="004D2DF4" w:rsidRPr="00A9330B" w:rsidRDefault="004D2DF4" w:rsidP="004D2DF4">
            <w:pPr>
              <w:widowControl w:val="0"/>
              <w:autoSpaceDE w:val="0"/>
              <w:autoSpaceDN w:val="0"/>
              <w:adjustRightInd w:val="0"/>
              <w:spacing w:before="60" w:line="240" w:lineRule="auto"/>
              <w:rPr>
                <w:rFonts w:eastAsia="Calibri" w:cs="Arial"/>
                <w:sz w:val="20"/>
                <w:szCs w:val="20"/>
              </w:rPr>
            </w:pPr>
          </w:p>
          <w:p w14:paraId="4981DC67" w14:textId="77777777" w:rsidR="004D2DF4" w:rsidRPr="00A9330B" w:rsidRDefault="004D2DF4" w:rsidP="004D2DF4">
            <w:pPr>
              <w:widowControl w:val="0"/>
              <w:autoSpaceDE w:val="0"/>
              <w:autoSpaceDN w:val="0"/>
              <w:adjustRightInd w:val="0"/>
              <w:spacing w:before="60" w:line="240" w:lineRule="auto"/>
              <w:rPr>
                <w:rFonts w:eastAsia="Calibri" w:cs="Arial"/>
                <w:sz w:val="20"/>
                <w:szCs w:val="20"/>
              </w:rPr>
            </w:pPr>
          </w:p>
          <w:p w14:paraId="15F13B2E" w14:textId="77777777" w:rsidR="004D2DF4" w:rsidRPr="00A9330B" w:rsidRDefault="004D2DF4" w:rsidP="004D2DF4">
            <w:pPr>
              <w:widowControl w:val="0"/>
              <w:autoSpaceDE w:val="0"/>
              <w:autoSpaceDN w:val="0"/>
              <w:adjustRightInd w:val="0"/>
              <w:spacing w:before="60" w:line="240" w:lineRule="auto"/>
              <w:rPr>
                <w:rFonts w:eastAsia="Calibri" w:cs="Arial"/>
                <w:sz w:val="20"/>
                <w:szCs w:val="20"/>
              </w:rPr>
            </w:pPr>
          </w:p>
          <w:p w14:paraId="736ED364" w14:textId="77777777" w:rsidR="004D2DF4" w:rsidRPr="00A9330B" w:rsidRDefault="004D2DF4" w:rsidP="004D2DF4">
            <w:pPr>
              <w:widowControl w:val="0"/>
              <w:autoSpaceDE w:val="0"/>
              <w:autoSpaceDN w:val="0"/>
              <w:adjustRightInd w:val="0"/>
              <w:spacing w:before="60" w:line="240" w:lineRule="auto"/>
              <w:rPr>
                <w:rFonts w:eastAsia="Calibri" w:cs="Arial"/>
                <w:color w:val="auto"/>
                <w:sz w:val="18"/>
                <w:szCs w:val="18"/>
              </w:rPr>
            </w:pPr>
          </w:p>
        </w:tc>
      </w:tr>
      <w:tr w:rsidR="004D2DF4" w:rsidRPr="00A9330B" w14:paraId="22AC7B83" w14:textId="7DB09B23" w:rsidTr="006C383B">
        <w:trPr>
          <w:trHeight w:val="190"/>
        </w:trPr>
        <w:tc>
          <w:tcPr>
            <w:tcW w:w="996" w:type="pct"/>
            <w:tcBorders>
              <w:top w:val="single" w:sz="6" w:space="0" w:color="auto"/>
              <w:left w:val="single" w:sz="8" w:space="0" w:color="auto"/>
              <w:bottom w:val="single" w:sz="6" w:space="0" w:color="auto"/>
              <w:right w:val="single" w:sz="6" w:space="0" w:color="auto"/>
            </w:tcBorders>
          </w:tcPr>
          <w:p w14:paraId="713FE3D7" w14:textId="77777777" w:rsidR="004D2DF4" w:rsidRPr="00A9330B" w:rsidRDefault="004D2DF4" w:rsidP="004D2DF4">
            <w:pPr>
              <w:widowControl w:val="0"/>
              <w:spacing w:before="60" w:line="240" w:lineRule="auto"/>
              <w:rPr>
                <w:rFonts w:eastAsia="Calibri" w:cs="Arial"/>
                <w:color w:val="auto"/>
                <w:sz w:val="18"/>
                <w:szCs w:val="18"/>
              </w:rPr>
            </w:pPr>
            <w:r w:rsidRPr="00A9330B">
              <w:rPr>
                <w:rFonts w:eastAsia="Calibri" w:cs="Arial"/>
                <w:color w:val="auto"/>
                <w:sz w:val="18"/>
                <w:szCs w:val="18"/>
              </w:rPr>
              <w:t>1.2.a.5.1 ; 2.5.a.3.2 ; 2.8.a.3.1. ; 2.10.a.4.1. ; 2.10.a.5.1 ; 2.10.a.6.1</w:t>
            </w:r>
          </w:p>
          <w:p w14:paraId="3B149E60" w14:textId="77777777" w:rsidR="004D2DF4" w:rsidRPr="00A9330B" w:rsidRDefault="004D2DF4" w:rsidP="004D2DF4">
            <w:pPr>
              <w:widowControl w:val="0"/>
              <w:spacing w:before="60" w:line="240" w:lineRule="auto"/>
              <w:jc w:val="both"/>
              <w:rPr>
                <w:rFonts w:eastAsia="Calibri" w:cs="Arial"/>
                <w:color w:val="auto"/>
                <w:sz w:val="18"/>
                <w:szCs w:val="18"/>
              </w:rPr>
            </w:pPr>
            <w:r w:rsidRPr="00A9330B">
              <w:rPr>
                <w:rFonts w:eastAsia="Calibri" w:cs="Arial"/>
                <w:color w:val="auto"/>
                <w:sz w:val="18"/>
                <w:szCs w:val="18"/>
              </w:rPr>
              <w:t>Aménager des aires étanches pour la manipulation des huiles usagées, graisses, hydrocarbures … dans la base vie</w:t>
            </w:r>
          </w:p>
        </w:tc>
        <w:tc>
          <w:tcPr>
            <w:tcW w:w="916" w:type="pct"/>
            <w:tcBorders>
              <w:top w:val="single" w:sz="6" w:space="0" w:color="auto"/>
              <w:left w:val="single" w:sz="6" w:space="0" w:color="auto"/>
              <w:bottom w:val="single" w:sz="6" w:space="0" w:color="auto"/>
              <w:right w:val="single" w:sz="6" w:space="0" w:color="auto"/>
            </w:tcBorders>
          </w:tcPr>
          <w:p w14:paraId="210C98AD" w14:textId="77777777" w:rsidR="004D2DF4" w:rsidRPr="00A9330B" w:rsidRDefault="004D2DF4" w:rsidP="004D2DF4">
            <w:pPr>
              <w:widowControl w:val="0"/>
              <w:autoSpaceDE w:val="0"/>
              <w:autoSpaceDN w:val="0"/>
              <w:adjustRightInd w:val="0"/>
              <w:spacing w:before="60" w:line="240" w:lineRule="auto"/>
              <w:jc w:val="both"/>
              <w:rPr>
                <w:rFonts w:eastAsia="Calibri" w:cs="Arial"/>
                <w:color w:val="auto"/>
                <w:sz w:val="18"/>
                <w:szCs w:val="18"/>
              </w:rPr>
            </w:pPr>
            <w:r w:rsidRPr="00A9330B">
              <w:rPr>
                <w:rFonts w:eastAsia="Calibri" w:cs="Arial"/>
                <w:color w:val="auto"/>
                <w:sz w:val="18"/>
                <w:szCs w:val="18"/>
              </w:rPr>
              <w:t xml:space="preserve">Etat de propreté de la base technique et des chantiers ; </w:t>
            </w:r>
          </w:p>
          <w:p w14:paraId="7B49E97B" w14:textId="77777777" w:rsidR="004D2DF4" w:rsidRPr="00A9330B" w:rsidRDefault="004D2DF4" w:rsidP="004D2DF4">
            <w:pPr>
              <w:widowControl w:val="0"/>
              <w:autoSpaceDE w:val="0"/>
              <w:autoSpaceDN w:val="0"/>
              <w:adjustRightInd w:val="0"/>
              <w:spacing w:before="60" w:line="240" w:lineRule="auto"/>
              <w:jc w:val="both"/>
              <w:rPr>
                <w:rFonts w:eastAsia="Calibri" w:cs="Arial"/>
                <w:color w:val="auto"/>
                <w:sz w:val="18"/>
                <w:szCs w:val="18"/>
              </w:rPr>
            </w:pPr>
            <w:r w:rsidRPr="00A9330B">
              <w:rPr>
                <w:rFonts w:eastAsia="Calibri" w:cs="Arial"/>
                <w:color w:val="auto"/>
                <w:sz w:val="18"/>
                <w:szCs w:val="18"/>
              </w:rPr>
              <w:t>Absence d’indice de déversements au sol ;</w:t>
            </w:r>
          </w:p>
          <w:p w14:paraId="5D8EFC35" w14:textId="77777777" w:rsidR="004D2DF4" w:rsidRPr="00A9330B" w:rsidRDefault="004D2DF4" w:rsidP="004D2DF4">
            <w:pPr>
              <w:widowControl w:val="0"/>
              <w:autoSpaceDE w:val="0"/>
              <w:autoSpaceDN w:val="0"/>
              <w:adjustRightInd w:val="0"/>
              <w:spacing w:before="60" w:line="240" w:lineRule="auto"/>
              <w:jc w:val="both"/>
              <w:rPr>
                <w:rFonts w:eastAsia="Calibri" w:cs="Arial"/>
                <w:color w:val="auto"/>
                <w:sz w:val="18"/>
                <w:szCs w:val="18"/>
              </w:rPr>
            </w:pPr>
            <w:r w:rsidRPr="00A9330B">
              <w:rPr>
                <w:rFonts w:eastAsia="Calibri" w:cs="Arial"/>
                <w:color w:val="auto"/>
                <w:sz w:val="18"/>
                <w:szCs w:val="18"/>
              </w:rPr>
              <w:t>Existence du dispositif de protection du sol.</w:t>
            </w:r>
          </w:p>
        </w:tc>
        <w:tc>
          <w:tcPr>
            <w:tcW w:w="637" w:type="pct"/>
            <w:tcBorders>
              <w:top w:val="single" w:sz="6" w:space="0" w:color="auto"/>
              <w:left w:val="single" w:sz="6" w:space="0" w:color="auto"/>
              <w:bottom w:val="single" w:sz="6" w:space="0" w:color="auto"/>
              <w:right w:val="single" w:sz="6" w:space="0" w:color="auto"/>
            </w:tcBorders>
          </w:tcPr>
          <w:p w14:paraId="516E6614" w14:textId="77777777" w:rsidR="004D2DF4" w:rsidRPr="00A9330B" w:rsidRDefault="004D2DF4" w:rsidP="004D2DF4">
            <w:pPr>
              <w:widowControl w:val="0"/>
              <w:autoSpaceDE w:val="0"/>
              <w:autoSpaceDN w:val="0"/>
              <w:adjustRightInd w:val="0"/>
              <w:spacing w:before="60" w:line="240" w:lineRule="auto"/>
              <w:jc w:val="center"/>
              <w:rPr>
                <w:rFonts w:eastAsia="Calibri" w:cs="Arial"/>
                <w:color w:val="auto"/>
                <w:sz w:val="18"/>
                <w:szCs w:val="18"/>
              </w:rPr>
            </w:pPr>
            <w:r w:rsidRPr="00A9330B">
              <w:rPr>
                <w:rFonts w:eastAsia="Calibri" w:cs="Arial"/>
                <w:color w:val="auto"/>
                <w:sz w:val="18"/>
                <w:szCs w:val="18"/>
              </w:rPr>
              <w:t>Phase de préparation et de construction</w:t>
            </w:r>
          </w:p>
        </w:tc>
        <w:tc>
          <w:tcPr>
            <w:tcW w:w="657" w:type="pct"/>
            <w:tcBorders>
              <w:top w:val="single" w:sz="6" w:space="0" w:color="auto"/>
              <w:left w:val="single" w:sz="6" w:space="0" w:color="auto"/>
              <w:bottom w:val="single" w:sz="6" w:space="0" w:color="auto"/>
              <w:right w:val="single" w:sz="6" w:space="0" w:color="auto"/>
            </w:tcBorders>
          </w:tcPr>
          <w:p w14:paraId="134EEB87" w14:textId="77777777" w:rsidR="004D2DF4" w:rsidRPr="00A9330B" w:rsidRDefault="004D2DF4" w:rsidP="004D2DF4">
            <w:pPr>
              <w:widowControl w:val="0"/>
              <w:spacing w:before="60" w:line="240" w:lineRule="auto"/>
              <w:jc w:val="center"/>
              <w:rPr>
                <w:rFonts w:eastAsia="Calibri" w:cs="Arial"/>
                <w:color w:val="auto"/>
                <w:sz w:val="18"/>
                <w:szCs w:val="18"/>
              </w:rPr>
            </w:pPr>
            <w:r w:rsidRPr="00A9330B">
              <w:rPr>
                <w:rFonts w:eastAsia="Calibri" w:cs="Arial"/>
                <w:color w:val="auto"/>
                <w:sz w:val="18"/>
                <w:szCs w:val="18"/>
              </w:rPr>
              <w:t>MDC</w:t>
            </w:r>
          </w:p>
          <w:p w14:paraId="55AE60D9" w14:textId="77777777" w:rsidR="004D2DF4" w:rsidRPr="00A9330B" w:rsidRDefault="004D2DF4" w:rsidP="004D2DF4">
            <w:pPr>
              <w:widowControl w:val="0"/>
              <w:spacing w:before="60" w:line="240" w:lineRule="auto"/>
              <w:jc w:val="center"/>
              <w:rPr>
                <w:rFonts w:eastAsia="Calibri" w:cs="Arial"/>
                <w:color w:val="auto"/>
                <w:sz w:val="18"/>
                <w:szCs w:val="18"/>
              </w:rPr>
            </w:pPr>
            <w:r w:rsidRPr="00A9330B">
              <w:rPr>
                <w:rFonts w:eastAsia="Calibri" w:cs="Arial"/>
                <w:color w:val="auto"/>
                <w:sz w:val="18"/>
                <w:szCs w:val="18"/>
              </w:rPr>
              <w:t>Entreprise chargée des travaux</w:t>
            </w:r>
          </w:p>
        </w:tc>
        <w:tc>
          <w:tcPr>
            <w:tcW w:w="897" w:type="pct"/>
            <w:tcBorders>
              <w:top w:val="single" w:sz="6" w:space="0" w:color="auto"/>
              <w:left w:val="single" w:sz="6" w:space="0" w:color="auto"/>
              <w:bottom w:val="single" w:sz="6" w:space="0" w:color="auto"/>
              <w:right w:val="single" w:sz="8" w:space="0" w:color="auto"/>
            </w:tcBorders>
          </w:tcPr>
          <w:p w14:paraId="1DC657A0" w14:textId="32E58066" w:rsidR="004D2DF4" w:rsidRPr="00A9330B" w:rsidRDefault="004D2DF4" w:rsidP="004D2DF4">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t xml:space="preserve">Mairie concernée (Natitingou)  </w:t>
            </w:r>
          </w:p>
          <w:p w14:paraId="5D1C5317" w14:textId="77777777" w:rsidR="004D2DF4" w:rsidRPr="00A9330B" w:rsidRDefault="004D2DF4" w:rsidP="004D2DF4">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t>Direction Départementale du Cadre de Vie et du Développement Durable (DDCVDD-AD)</w:t>
            </w:r>
          </w:p>
        </w:tc>
        <w:tc>
          <w:tcPr>
            <w:tcW w:w="897" w:type="pct"/>
            <w:tcBorders>
              <w:top w:val="single" w:sz="6" w:space="0" w:color="auto"/>
              <w:left w:val="single" w:sz="6" w:space="0" w:color="auto"/>
              <w:bottom w:val="single" w:sz="6" w:space="0" w:color="auto"/>
              <w:right w:val="single" w:sz="8" w:space="0" w:color="auto"/>
            </w:tcBorders>
          </w:tcPr>
          <w:p w14:paraId="62780C6E" w14:textId="77777777" w:rsidR="004D2DF4" w:rsidRPr="00A9330B" w:rsidRDefault="004D2DF4" w:rsidP="004D2DF4">
            <w:pPr>
              <w:widowControl w:val="0"/>
              <w:autoSpaceDE w:val="0"/>
              <w:autoSpaceDN w:val="0"/>
              <w:adjustRightInd w:val="0"/>
              <w:spacing w:before="60" w:line="240" w:lineRule="auto"/>
              <w:rPr>
                <w:rFonts w:eastAsia="Calibri" w:cs="Arial"/>
                <w:sz w:val="20"/>
                <w:szCs w:val="20"/>
              </w:rPr>
            </w:pPr>
            <w:r w:rsidRPr="00A9330B">
              <w:rPr>
                <w:rFonts w:eastAsia="Calibri" w:cs="Arial"/>
                <w:sz w:val="20"/>
                <w:szCs w:val="20"/>
              </w:rPr>
              <w:t>Installation de chantier</w:t>
            </w:r>
          </w:p>
          <w:p w14:paraId="3281C50F" w14:textId="77777777" w:rsidR="004D2DF4" w:rsidRPr="00A9330B" w:rsidRDefault="004D2DF4" w:rsidP="004D2DF4">
            <w:pPr>
              <w:widowControl w:val="0"/>
              <w:autoSpaceDE w:val="0"/>
              <w:autoSpaceDN w:val="0"/>
              <w:adjustRightInd w:val="0"/>
              <w:spacing w:before="60" w:line="240" w:lineRule="auto"/>
              <w:rPr>
                <w:rFonts w:eastAsia="Calibri" w:cs="Arial"/>
                <w:sz w:val="20"/>
                <w:szCs w:val="20"/>
              </w:rPr>
            </w:pPr>
          </w:p>
          <w:p w14:paraId="7B3C78A2" w14:textId="77777777" w:rsidR="004D2DF4" w:rsidRPr="00A9330B" w:rsidRDefault="004D2DF4" w:rsidP="004D2DF4">
            <w:pPr>
              <w:widowControl w:val="0"/>
              <w:autoSpaceDE w:val="0"/>
              <w:autoSpaceDN w:val="0"/>
              <w:adjustRightInd w:val="0"/>
              <w:spacing w:before="60" w:line="240" w:lineRule="auto"/>
              <w:rPr>
                <w:rFonts w:eastAsia="Calibri" w:cs="Arial"/>
                <w:color w:val="auto"/>
                <w:sz w:val="18"/>
                <w:szCs w:val="18"/>
              </w:rPr>
            </w:pPr>
          </w:p>
        </w:tc>
      </w:tr>
      <w:tr w:rsidR="004D2DF4" w:rsidRPr="00A9330B" w14:paraId="6EF96A93" w14:textId="59ECE6D8" w:rsidTr="006C383B">
        <w:trPr>
          <w:trHeight w:val="959"/>
        </w:trPr>
        <w:tc>
          <w:tcPr>
            <w:tcW w:w="996" w:type="pct"/>
            <w:tcBorders>
              <w:top w:val="single" w:sz="6" w:space="0" w:color="auto"/>
              <w:left w:val="single" w:sz="8" w:space="0" w:color="auto"/>
              <w:bottom w:val="single" w:sz="6" w:space="0" w:color="auto"/>
              <w:right w:val="single" w:sz="6" w:space="0" w:color="auto"/>
            </w:tcBorders>
          </w:tcPr>
          <w:p w14:paraId="4E0B287B" w14:textId="77777777" w:rsidR="004D2DF4" w:rsidRPr="00A9330B" w:rsidRDefault="004D2DF4" w:rsidP="004D2DF4">
            <w:pPr>
              <w:widowControl w:val="0"/>
              <w:spacing w:before="60" w:line="240" w:lineRule="auto"/>
              <w:jc w:val="both"/>
              <w:rPr>
                <w:rFonts w:eastAsia="Calibri" w:cs="Arial"/>
                <w:color w:val="auto"/>
                <w:sz w:val="18"/>
                <w:szCs w:val="18"/>
              </w:rPr>
            </w:pPr>
            <w:r w:rsidRPr="00A9330B">
              <w:rPr>
                <w:rFonts w:eastAsia="Calibri" w:cs="Arial"/>
                <w:color w:val="auto"/>
                <w:sz w:val="18"/>
                <w:szCs w:val="18"/>
              </w:rPr>
              <w:t>1.2.a.6.2. ; 2.5.a.3.3. ; 2.5.a.4.1. Installer un déshuileur au niveau du système de collecte des eaux usées</w:t>
            </w:r>
          </w:p>
        </w:tc>
        <w:tc>
          <w:tcPr>
            <w:tcW w:w="916" w:type="pct"/>
            <w:tcBorders>
              <w:top w:val="single" w:sz="6" w:space="0" w:color="auto"/>
              <w:left w:val="single" w:sz="6" w:space="0" w:color="auto"/>
              <w:bottom w:val="single" w:sz="6" w:space="0" w:color="auto"/>
              <w:right w:val="single" w:sz="6" w:space="0" w:color="auto"/>
            </w:tcBorders>
          </w:tcPr>
          <w:p w14:paraId="1D1CD2FF" w14:textId="77777777" w:rsidR="004D2DF4" w:rsidRPr="00A9330B" w:rsidRDefault="004D2DF4" w:rsidP="004D2DF4">
            <w:pPr>
              <w:widowControl w:val="0"/>
              <w:autoSpaceDE w:val="0"/>
              <w:autoSpaceDN w:val="0"/>
              <w:adjustRightInd w:val="0"/>
              <w:spacing w:before="60" w:line="240" w:lineRule="auto"/>
              <w:jc w:val="both"/>
              <w:rPr>
                <w:rFonts w:eastAsia="Calibri" w:cs="Arial"/>
                <w:color w:val="auto"/>
                <w:sz w:val="18"/>
                <w:szCs w:val="18"/>
              </w:rPr>
            </w:pPr>
            <w:r w:rsidRPr="00A9330B">
              <w:rPr>
                <w:rFonts w:eastAsia="Calibri" w:cs="Arial"/>
                <w:color w:val="auto"/>
                <w:sz w:val="18"/>
                <w:szCs w:val="18"/>
              </w:rPr>
              <w:t>Absence d’indice de déversements des eaux usées au sol</w:t>
            </w:r>
          </w:p>
        </w:tc>
        <w:tc>
          <w:tcPr>
            <w:tcW w:w="637" w:type="pct"/>
            <w:tcBorders>
              <w:top w:val="single" w:sz="6" w:space="0" w:color="auto"/>
              <w:left w:val="single" w:sz="6" w:space="0" w:color="auto"/>
              <w:bottom w:val="single" w:sz="6" w:space="0" w:color="auto"/>
              <w:right w:val="single" w:sz="6" w:space="0" w:color="auto"/>
            </w:tcBorders>
          </w:tcPr>
          <w:p w14:paraId="75D75215" w14:textId="77777777" w:rsidR="004D2DF4" w:rsidRPr="00A9330B" w:rsidRDefault="004D2DF4" w:rsidP="004D2DF4">
            <w:pPr>
              <w:widowControl w:val="0"/>
              <w:autoSpaceDE w:val="0"/>
              <w:autoSpaceDN w:val="0"/>
              <w:adjustRightInd w:val="0"/>
              <w:spacing w:before="60" w:line="240" w:lineRule="auto"/>
              <w:jc w:val="center"/>
              <w:rPr>
                <w:rFonts w:eastAsia="Calibri" w:cs="Arial"/>
                <w:color w:val="auto"/>
                <w:sz w:val="18"/>
                <w:szCs w:val="18"/>
              </w:rPr>
            </w:pPr>
            <w:r w:rsidRPr="00A9330B">
              <w:rPr>
                <w:rFonts w:eastAsia="Calibri" w:cs="Arial"/>
                <w:color w:val="auto"/>
                <w:sz w:val="18"/>
                <w:szCs w:val="18"/>
              </w:rPr>
              <w:t>Phase de préparation et de construction</w:t>
            </w:r>
          </w:p>
        </w:tc>
        <w:tc>
          <w:tcPr>
            <w:tcW w:w="657" w:type="pct"/>
            <w:tcBorders>
              <w:top w:val="single" w:sz="6" w:space="0" w:color="auto"/>
              <w:left w:val="single" w:sz="6" w:space="0" w:color="auto"/>
              <w:bottom w:val="single" w:sz="6" w:space="0" w:color="auto"/>
              <w:right w:val="single" w:sz="6" w:space="0" w:color="auto"/>
            </w:tcBorders>
          </w:tcPr>
          <w:p w14:paraId="6074DA7A" w14:textId="77777777" w:rsidR="004D2DF4" w:rsidRPr="00A9330B" w:rsidRDefault="004D2DF4" w:rsidP="004D2DF4">
            <w:pPr>
              <w:widowControl w:val="0"/>
              <w:spacing w:before="60" w:line="240" w:lineRule="auto"/>
              <w:jc w:val="center"/>
              <w:rPr>
                <w:rFonts w:eastAsia="Calibri" w:cs="Arial"/>
                <w:color w:val="auto"/>
                <w:sz w:val="18"/>
                <w:szCs w:val="18"/>
              </w:rPr>
            </w:pPr>
            <w:r w:rsidRPr="00A9330B">
              <w:rPr>
                <w:rFonts w:eastAsia="Calibri" w:cs="Arial"/>
                <w:color w:val="auto"/>
                <w:sz w:val="18"/>
                <w:szCs w:val="18"/>
              </w:rPr>
              <w:t>MDC</w:t>
            </w:r>
          </w:p>
          <w:p w14:paraId="7DEE550E" w14:textId="77777777" w:rsidR="004D2DF4" w:rsidRPr="00A9330B" w:rsidRDefault="004D2DF4" w:rsidP="004D2DF4">
            <w:pPr>
              <w:widowControl w:val="0"/>
              <w:spacing w:before="60" w:line="240" w:lineRule="auto"/>
              <w:jc w:val="center"/>
              <w:rPr>
                <w:rFonts w:eastAsia="Calibri" w:cs="Arial"/>
                <w:color w:val="auto"/>
                <w:sz w:val="18"/>
                <w:szCs w:val="18"/>
              </w:rPr>
            </w:pPr>
            <w:r w:rsidRPr="00A9330B">
              <w:rPr>
                <w:rFonts w:eastAsia="Calibri" w:cs="Arial"/>
                <w:color w:val="auto"/>
                <w:sz w:val="18"/>
                <w:szCs w:val="18"/>
              </w:rPr>
              <w:t>Entreprise chargée des travaux</w:t>
            </w:r>
          </w:p>
        </w:tc>
        <w:tc>
          <w:tcPr>
            <w:tcW w:w="897" w:type="pct"/>
            <w:tcBorders>
              <w:top w:val="single" w:sz="6" w:space="0" w:color="auto"/>
              <w:left w:val="single" w:sz="6" w:space="0" w:color="auto"/>
              <w:bottom w:val="single" w:sz="6" w:space="0" w:color="auto"/>
              <w:right w:val="single" w:sz="8" w:space="0" w:color="auto"/>
            </w:tcBorders>
          </w:tcPr>
          <w:p w14:paraId="3B41F904" w14:textId="7E0A0489" w:rsidR="004D2DF4" w:rsidRPr="00A9330B" w:rsidRDefault="004D2DF4" w:rsidP="004D2DF4">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t xml:space="preserve">Mairie concernée (Natitingou)  </w:t>
            </w:r>
          </w:p>
          <w:p w14:paraId="6CFADCE7" w14:textId="77777777" w:rsidR="004D2DF4" w:rsidRPr="00A9330B" w:rsidRDefault="004D2DF4" w:rsidP="004D2DF4">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t>Direction Départementale du Cadre de Vie et du Développement Durable (DDCVDD-AD)</w:t>
            </w:r>
          </w:p>
        </w:tc>
        <w:tc>
          <w:tcPr>
            <w:tcW w:w="897" w:type="pct"/>
            <w:tcBorders>
              <w:top w:val="single" w:sz="6" w:space="0" w:color="auto"/>
              <w:left w:val="single" w:sz="6" w:space="0" w:color="auto"/>
              <w:bottom w:val="single" w:sz="6" w:space="0" w:color="auto"/>
              <w:right w:val="single" w:sz="8" w:space="0" w:color="auto"/>
            </w:tcBorders>
          </w:tcPr>
          <w:p w14:paraId="7060E061" w14:textId="377195E9" w:rsidR="004D2DF4" w:rsidRPr="00A9330B" w:rsidRDefault="004D2DF4" w:rsidP="004D2DF4">
            <w:pPr>
              <w:widowControl w:val="0"/>
              <w:autoSpaceDE w:val="0"/>
              <w:autoSpaceDN w:val="0"/>
              <w:adjustRightInd w:val="0"/>
              <w:spacing w:before="60" w:line="240" w:lineRule="auto"/>
              <w:rPr>
                <w:rFonts w:eastAsia="Calibri" w:cs="Arial"/>
                <w:color w:val="auto"/>
                <w:sz w:val="18"/>
                <w:szCs w:val="18"/>
              </w:rPr>
            </w:pPr>
            <w:r w:rsidRPr="00A9330B">
              <w:rPr>
                <w:rFonts w:eastAsia="Calibri" w:cs="Arial"/>
                <w:sz w:val="20"/>
                <w:szCs w:val="20"/>
              </w:rPr>
              <w:t xml:space="preserve">Installation de chantier </w:t>
            </w:r>
          </w:p>
        </w:tc>
      </w:tr>
      <w:tr w:rsidR="004D2DF4" w:rsidRPr="00A9330B" w14:paraId="0EAEA3CE" w14:textId="4F8CE95D" w:rsidTr="006C383B">
        <w:trPr>
          <w:trHeight w:val="1264"/>
        </w:trPr>
        <w:tc>
          <w:tcPr>
            <w:tcW w:w="996" w:type="pct"/>
            <w:tcBorders>
              <w:top w:val="single" w:sz="6" w:space="0" w:color="auto"/>
              <w:left w:val="single" w:sz="8" w:space="0" w:color="auto"/>
              <w:bottom w:val="single" w:sz="6" w:space="0" w:color="auto"/>
              <w:right w:val="single" w:sz="6" w:space="0" w:color="auto"/>
            </w:tcBorders>
          </w:tcPr>
          <w:p w14:paraId="717A6F87" w14:textId="77777777" w:rsidR="004D2DF4" w:rsidRPr="00A9330B" w:rsidRDefault="004D2DF4" w:rsidP="004D2DF4">
            <w:pPr>
              <w:widowControl w:val="0"/>
              <w:autoSpaceDE w:val="0"/>
              <w:autoSpaceDN w:val="0"/>
              <w:adjustRightInd w:val="0"/>
              <w:spacing w:before="60" w:line="240" w:lineRule="auto"/>
              <w:jc w:val="both"/>
              <w:rPr>
                <w:rFonts w:eastAsia="Calibri" w:cs="Arial"/>
                <w:color w:val="auto"/>
                <w:sz w:val="18"/>
                <w:szCs w:val="18"/>
              </w:rPr>
            </w:pPr>
            <w:r w:rsidRPr="00A9330B">
              <w:rPr>
                <w:rFonts w:eastAsia="Calibri" w:cs="Arial"/>
                <w:color w:val="auto"/>
                <w:sz w:val="18"/>
                <w:szCs w:val="18"/>
              </w:rPr>
              <w:t xml:space="preserve">2.8.a.3.2. ; 2.10.a.4.2. ; 2.10.a.5.2. ; 2.10.a.6.2. </w:t>
            </w:r>
            <w:r w:rsidRPr="00A9330B">
              <w:rPr>
                <w:rFonts w:cs="Arial"/>
                <w:color w:val="auto"/>
                <w:sz w:val="18"/>
                <w:szCs w:val="18"/>
              </w:rPr>
              <w:t>3.1.a.1.1. </w:t>
            </w:r>
          </w:p>
          <w:p w14:paraId="01157E11" w14:textId="77777777" w:rsidR="004D2DF4" w:rsidRPr="00A9330B" w:rsidRDefault="004D2DF4" w:rsidP="004D2DF4">
            <w:pPr>
              <w:widowControl w:val="0"/>
              <w:autoSpaceDE w:val="0"/>
              <w:autoSpaceDN w:val="0"/>
              <w:adjustRightInd w:val="0"/>
              <w:spacing w:before="60" w:line="240" w:lineRule="auto"/>
              <w:jc w:val="both"/>
              <w:rPr>
                <w:rFonts w:eastAsia="Calibri" w:cs="Arial"/>
                <w:color w:val="auto"/>
                <w:sz w:val="18"/>
                <w:szCs w:val="18"/>
              </w:rPr>
            </w:pPr>
            <w:r w:rsidRPr="00A9330B">
              <w:rPr>
                <w:rFonts w:eastAsia="Calibri" w:cs="Arial"/>
                <w:color w:val="auto"/>
                <w:sz w:val="18"/>
                <w:szCs w:val="18"/>
              </w:rPr>
              <w:t>Prévoir des dispositifs pour confiner et ramasser les produits (liquides et solides) déversés</w:t>
            </w:r>
          </w:p>
        </w:tc>
        <w:tc>
          <w:tcPr>
            <w:tcW w:w="916" w:type="pct"/>
            <w:tcBorders>
              <w:top w:val="single" w:sz="6" w:space="0" w:color="auto"/>
              <w:left w:val="single" w:sz="6" w:space="0" w:color="auto"/>
              <w:bottom w:val="single" w:sz="6" w:space="0" w:color="auto"/>
              <w:right w:val="single" w:sz="6" w:space="0" w:color="auto"/>
            </w:tcBorders>
          </w:tcPr>
          <w:p w14:paraId="3091F492" w14:textId="77777777" w:rsidR="004D2DF4" w:rsidRPr="00A9330B" w:rsidRDefault="004D2DF4" w:rsidP="004D2DF4">
            <w:pPr>
              <w:widowControl w:val="0"/>
              <w:autoSpaceDE w:val="0"/>
              <w:autoSpaceDN w:val="0"/>
              <w:adjustRightInd w:val="0"/>
              <w:spacing w:before="60" w:line="240" w:lineRule="auto"/>
              <w:jc w:val="both"/>
              <w:rPr>
                <w:rFonts w:eastAsia="Calibri" w:cs="Arial"/>
                <w:color w:val="auto"/>
                <w:sz w:val="18"/>
                <w:szCs w:val="18"/>
              </w:rPr>
            </w:pPr>
            <w:r w:rsidRPr="00A9330B">
              <w:rPr>
                <w:rFonts w:eastAsia="Calibri" w:cs="Arial"/>
                <w:color w:val="auto"/>
                <w:sz w:val="18"/>
                <w:szCs w:val="18"/>
              </w:rPr>
              <w:t xml:space="preserve">Existence de bac de rétention </w:t>
            </w:r>
          </w:p>
          <w:p w14:paraId="6A6046D3" w14:textId="77777777" w:rsidR="004D2DF4" w:rsidRPr="00A9330B" w:rsidRDefault="004D2DF4" w:rsidP="004D2DF4">
            <w:pPr>
              <w:widowControl w:val="0"/>
              <w:autoSpaceDE w:val="0"/>
              <w:autoSpaceDN w:val="0"/>
              <w:adjustRightInd w:val="0"/>
              <w:spacing w:before="60" w:line="240" w:lineRule="auto"/>
              <w:jc w:val="both"/>
              <w:rPr>
                <w:rFonts w:eastAsia="Calibri" w:cs="Arial"/>
                <w:color w:val="auto"/>
                <w:sz w:val="18"/>
                <w:szCs w:val="18"/>
              </w:rPr>
            </w:pPr>
            <w:r w:rsidRPr="00A9330B">
              <w:rPr>
                <w:rFonts w:eastAsia="Calibri" w:cs="Arial"/>
                <w:color w:val="auto"/>
                <w:sz w:val="18"/>
                <w:szCs w:val="18"/>
              </w:rPr>
              <w:t>Absence des traces de souillure du sol à proximité des réserves d’hydrocarbures</w:t>
            </w:r>
          </w:p>
          <w:p w14:paraId="0A8A046E" w14:textId="77777777" w:rsidR="004D2DF4" w:rsidRPr="00A9330B" w:rsidRDefault="004D2DF4" w:rsidP="004D2DF4">
            <w:pPr>
              <w:widowControl w:val="0"/>
              <w:autoSpaceDE w:val="0"/>
              <w:autoSpaceDN w:val="0"/>
              <w:adjustRightInd w:val="0"/>
              <w:spacing w:before="60" w:line="240" w:lineRule="auto"/>
              <w:jc w:val="both"/>
              <w:rPr>
                <w:rFonts w:eastAsia="Calibri" w:cs="Arial"/>
                <w:color w:val="auto"/>
                <w:sz w:val="18"/>
                <w:szCs w:val="18"/>
              </w:rPr>
            </w:pPr>
            <w:r w:rsidRPr="00A9330B">
              <w:rPr>
                <w:rFonts w:eastAsia="Calibri" w:cs="Arial"/>
                <w:color w:val="auto"/>
                <w:sz w:val="18"/>
                <w:szCs w:val="18"/>
              </w:rPr>
              <w:t>Disponibilité et fonctionnalité des dispositifs de récupération</w:t>
            </w:r>
          </w:p>
        </w:tc>
        <w:tc>
          <w:tcPr>
            <w:tcW w:w="637" w:type="pct"/>
            <w:tcBorders>
              <w:top w:val="single" w:sz="6" w:space="0" w:color="auto"/>
              <w:left w:val="single" w:sz="6" w:space="0" w:color="auto"/>
              <w:bottom w:val="single" w:sz="6" w:space="0" w:color="auto"/>
              <w:right w:val="single" w:sz="6" w:space="0" w:color="auto"/>
            </w:tcBorders>
          </w:tcPr>
          <w:p w14:paraId="6BD89DD1" w14:textId="77777777" w:rsidR="004D2DF4" w:rsidRPr="00A9330B" w:rsidRDefault="004D2DF4" w:rsidP="004D2DF4">
            <w:pPr>
              <w:widowControl w:val="0"/>
              <w:autoSpaceDE w:val="0"/>
              <w:autoSpaceDN w:val="0"/>
              <w:adjustRightInd w:val="0"/>
              <w:spacing w:before="60" w:line="240" w:lineRule="auto"/>
              <w:jc w:val="center"/>
              <w:rPr>
                <w:rFonts w:eastAsia="Calibri" w:cs="Arial"/>
                <w:color w:val="auto"/>
                <w:sz w:val="18"/>
                <w:szCs w:val="18"/>
              </w:rPr>
            </w:pPr>
            <w:r w:rsidRPr="00A9330B">
              <w:rPr>
                <w:rFonts w:eastAsia="Calibri" w:cs="Arial"/>
                <w:color w:val="auto"/>
                <w:sz w:val="18"/>
                <w:szCs w:val="18"/>
              </w:rPr>
              <w:t>Phase de préparation et de construction</w:t>
            </w:r>
          </w:p>
        </w:tc>
        <w:tc>
          <w:tcPr>
            <w:tcW w:w="657" w:type="pct"/>
            <w:tcBorders>
              <w:top w:val="single" w:sz="6" w:space="0" w:color="auto"/>
              <w:left w:val="single" w:sz="6" w:space="0" w:color="auto"/>
              <w:bottom w:val="single" w:sz="6" w:space="0" w:color="auto"/>
              <w:right w:val="single" w:sz="6" w:space="0" w:color="auto"/>
            </w:tcBorders>
          </w:tcPr>
          <w:p w14:paraId="702B3B0E" w14:textId="77777777" w:rsidR="004D2DF4" w:rsidRPr="00A9330B" w:rsidRDefault="004D2DF4" w:rsidP="004D2DF4">
            <w:pPr>
              <w:widowControl w:val="0"/>
              <w:autoSpaceDE w:val="0"/>
              <w:autoSpaceDN w:val="0"/>
              <w:adjustRightInd w:val="0"/>
              <w:spacing w:before="60" w:line="240" w:lineRule="auto"/>
              <w:jc w:val="center"/>
              <w:rPr>
                <w:rFonts w:eastAsia="Calibri" w:cs="Arial"/>
                <w:color w:val="auto"/>
                <w:sz w:val="18"/>
                <w:szCs w:val="18"/>
              </w:rPr>
            </w:pPr>
            <w:r w:rsidRPr="00A9330B">
              <w:rPr>
                <w:rFonts w:eastAsia="Calibri" w:cs="Arial"/>
                <w:color w:val="auto"/>
                <w:sz w:val="18"/>
                <w:szCs w:val="18"/>
              </w:rPr>
              <w:t>MDC</w:t>
            </w:r>
          </w:p>
          <w:p w14:paraId="45858A16" w14:textId="77777777" w:rsidR="004D2DF4" w:rsidRPr="00A9330B" w:rsidRDefault="004D2DF4" w:rsidP="004D2DF4">
            <w:pPr>
              <w:widowControl w:val="0"/>
              <w:autoSpaceDE w:val="0"/>
              <w:autoSpaceDN w:val="0"/>
              <w:adjustRightInd w:val="0"/>
              <w:spacing w:before="60" w:line="240" w:lineRule="auto"/>
              <w:jc w:val="center"/>
              <w:rPr>
                <w:rFonts w:eastAsia="Calibri" w:cs="Arial"/>
                <w:color w:val="auto"/>
                <w:sz w:val="18"/>
                <w:szCs w:val="18"/>
              </w:rPr>
            </w:pPr>
            <w:r w:rsidRPr="00A9330B">
              <w:rPr>
                <w:rFonts w:eastAsia="Calibri" w:cs="Arial"/>
                <w:color w:val="auto"/>
                <w:sz w:val="18"/>
                <w:szCs w:val="18"/>
              </w:rPr>
              <w:t>Entreprise chargée des travaux</w:t>
            </w:r>
          </w:p>
        </w:tc>
        <w:tc>
          <w:tcPr>
            <w:tcW w:w="897" w:type="pct"/>
            <w:tcBorders>
              <w:top w:val="single" w:sz="6" w:space="0" w:color="auto"/>
              <w:left w:val="single" w:sz="6" w:space="0" w:color="auto"/>
              <w:bottom w:val="single" w:sz="6" w:space="0" w:color="auto"/>
              <w:right w:val="single" w:sz="8" w:space="0" w:color="auto"/>
            </w:tcBorders>
          </w:tcPr>
          <w:p w14:paraId="2F0F4D87" w14:textId="77777777" w:rsidR="004D2DF4" w:rsidRPr="00A9330B" w:rsidRDefault="004D2DF4" w:rsidP="004D2DF4">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t>Mairie de Natitingou</w:t>
            </w:r>
          </w:p>
          <w:p w14:paraId="791DFE38" w14:textId="77777777" w:rsidR="004D2DF4" w:rsidRPr="00A9330B" w:rsidRDefault="004D2DF4" w:rsidP="004D2DF4">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t>Direction Départementale du Cadre de Vie et du Développement Durable (DDCVDD- AD)</w:t>
            </w:r>
          </w:p>
        </w:tc>
        <w:tc>
          <w:tcPr>
            <w:tcW w:w="897" w:type="pct"/>
            <w:tcBorders>
              <w:top w:val="single" w:sz="6" w:space="0" w:color="auto"/>
              <w:left w:val="single" w:sz="6" w:space="0" w:color="auto"/>
              <w:bottom w:val="single" w:sz="6" w:space="0" w:color="auto"/>
              <w:right w:val="single" w:sz="8" w:space="0" w:color="auto"/>
            </w:tcBorders>
          </w:tcPr>
          <w:p w14:paraId="6BE18600" w14:textId="1B90CDBC" w:rsidR="004D2DF4" w:rsidRPr="00A9330B" w:rsidRDefault="004D2DF4" w:rsidP="004D2DF4">
            <w:pPr>
              <w:widowControl w:val="0"/>
              <w:autoSpaceDE w:val="0"/>
              <w:autoSpaceDN w:val="0"/>
              <w:adjustRightInd w:val="0"/>
              <w:spacing w:before="60" w:line="240" w:lineRule="auto"/>
              <w:rPr>
                <w:rFonts w:eastAsia="Calibri" w:cs="Arial"/>
                <w:color w:val="auto"/>
                <w:sz w:val="18"/>
                <w:szCs w:val="18"/>
              </w:rPr>
            </w:pPr>
            <w:r w:rsidRPr="00A9330B">
              <w:rPr>
                <w:rFonts w:eastAsia="Calibri" w:cs="Arial"/>
                <w:sz w:val="20"/>
                <w:szCs w:val="20"/>
              </w:rPr>
              <w:t>Installation de chantier</w:t>
            </w:r>
          </w:p>
        </w:tc>
      </w:tr>
      <w:tr w:rsidR="004D2DF4" w:rsidRPr="00A9330B" w14:paraId="4BC62762" w14:textId="45DE9972" w:rsidTr="006C383B">
        <w:trPr>
          <w:trHeight w:val="258"/>
        </w:trPr>
        <w:tc>
          <w:tcPr>
            <w:tcW w:w="996" w:type="pct"/>
            <w:tcBorders>
              <w:top w:val="single" w:sz="6" w:space="0" w:color="auto"/>
              <w:left w:val="single" w:sz="8" w:space="0" w:color="auto"/>
              <w:bottom w:val="single" w:sz="6" w:space="0" w:color="auto"/>
              <w:right w:val="single" w:sz="6" w:space="0" w:color="auto"/>
            </w:tcBorders>
          </w:tcPr>
          <w:p w14:paraId="5CCEDA3E" w14:textId="77777777" w:rsidR="004D2DF4" w:rsidRPr="00A9330B" w:rsidRDefault="004D2DF4" w:rsidP="004D2DF4">
            <w:pPr>
              <w:widowControl w:val="0"/>
              <w:spacing w:before="60" w:line="240" w:lineRule="auto"/>
              <w:jc w:val="both"/>
              <w:rPr>
                <w:rFonts w:eastAsia="Calibri" w:cs="Arial"/>
                <w:color w:val="auto"/>
                <w:sz w:val="18"/>
                <w:szCs w:val="18"/>
              </w:rPr>
            </w:pPr>
            <w:r w:rsidRPr="00A9330B">
              <w:rPr>
                <w:rFonts w:eastAsia="Calibri" w:cs="Arial"/>
                <w:color w:val="auto"/>
                <w:sz w:val="18"/>
                <w:szCs w:val="18"/>
              </w:rPr>
              <w:t>1.3.a.1.1. ; 1.3.a.2.1. ;  1.3.a.3.1 ; 1.3.a.4.1 ;.</w:t>
            </w:r>
          </w:p>
          <w:p w14:paraId="06977683" w14:textId="77777777" w:rsidR="004D2DF4" w:rsidRPr="00A9330B" w:rsidRDefault="004D2DF4" w:rsidP="004D2DF4">
            <w:pPr>
              <w:widowControl w:val="0"/>
              <w:spacing w:before="60" w:line="240" w:lineRule="auto"/>
              <w:jc w:val="both"/>
              <w:rPr>
                <w:rFonts w:eastAsia="Calibri" w:cs="Arial"/>
                <w:color w:val="auto"/>
                <w:sz w:val="18"/>
                <w:szCs w:val="18"/>
              </w:rPr>
            </w:pPr>
            <w:r w:rsidRPr="00A9330B">
              <w:rPr>
                <w:rFonts w:eastAsia="Calibri" w:cs="Arial"/>
                <w:color w:val="auto"/>
                <w:sz w:val="18"/>
                <w:szCs w:val="18"/>
              </w:rPr>
              <w:t>2.1.a.2.1. ; 2.8.a.5.1. 2.8.a.5.2</w:t>
            </w:r>
          </w:p>
          <w:p w14:paraId="7BAA27F9" w14:textId="77777777" w:rsidR="004D2DF4" w:rsidRPr="00A9330B" w:rsidRDefault="004D2DF4" w:rsidP="004D2DF4">
            <w:pPr>
              <w:widowControl w:val="0"/>
              <w:spacing w:before="60" w:line="240" w:lineRule="auto"/>
              <w:jc w:val="both"/>
              <w:rPr>
                <w:rFonts w:eastAsia="Calibri" w:cs="Arial"/>
                <w:color w:val="auto"/>
                <w:sz w:val="18"/>
                <w:szCs w:val="18"/>
              </w:rPr>
            </w:pPr>
            <w:r w:rsidRPr="00A9330B">
              <w:rPr>
                <w:rFonts w:eastAsia="Calibri" w:cs="Arial"/>
                <w:color w:val="auto"/>
                <w:sz w:val="18"/>
                <w:szCs w:val="18"/>
              </w:rPr>
              <w:t>Elaborer  et mettre en œuvre le PAR (dédommagement des PAPs)</w:t>
            </w:r>
          </w:p>
        </w:tc>
        <w:tc>
          <w:tcPr>
            <w:tcW w:w="916" w:type="pct"/>
            <w:tcBorders>
              <w:top w:val="single" w:sz="6" w:space="0" w:color="auto"/>
              <w:left w:val="single" w:sz="6" w:space="0" w:color="auto"/>
              <w:bottom w:val="single" w:sz="6" w:space="0" w:color="auto"/>
              <w:right w:val="single" w:sz="6" w:space="0" w:color="auto"/>
            </w:tcBorders>
          </w:tcPr>
          <w:p w14:paraId="49CC77FD" w14:textId="7A560EC3" w:rsidR="004D2DF4" w:rsidRPr="00A9330B" w:rsidRDefault="004D2DF4" w:rsidP="004D2DF4">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t>100 % des personnes affectées par le projet indemnisé</w:t>
            </w:r>
          </w:p>
          <w:p w14:paraId="4423FA8E" w14:textId="6B6D840B" w:rsidR="004D2DF4" w:rsidRPr="00A9330B" w:rsidRDefault="004D2DF4" w:rsidP="004D2DF4">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t>100 % des infrastructures et équipements sociocommunautaires restaurés</w:t>
            </w:r>
          </w:p>
          <w:p w14:paraId="334FE4AA" w14:textId="77777777" w:rsidR="004D2DF4" w:rsidRPr="00A9330B" w:rsidRDefault="004D2DF4" w:rsidP="004D2DF4">
            <w:pPr>
              <w:widowControl w:val="0"/>
              <w:autoSpaceDE w:val="0"/>
              <w:autoSpaceDN w:val="0"/>
              <w:adjustRightInd w:val="0"/>
              <w:spacing w:before="60" w:line="240" w:lineRule="auto"/>
              <w:jc w:val="both"/>
              <w:rPr>
                <w:rFonts w:eastAsia="Calibri" w:cs="Arial"/>
                <w:color w:val="auto"/>
                <w:sz w:val="18"/>
                <w:szCs w:val="18"/>
              </w:rPr>
            </w:pPr>
            <w:r w:rsidRPr="00A9330B">
              <w:rPr>
                <w:rFonts w:eastAsia="Calibri" w:cs="Arial"/>
                <w:color w:val="auto"/>
                <w:sz w:val="18"/>
                <w:szCs w:val="18"/>
              </w:rPr>
              <w:t xml:space="preserve">100 % des patrimoines </w:t>
            </w:r>
            <w:r w:rsidRPr="00A9330B">
              <w:rPr>
                <w:rFonts w:eastAsia="Calibri" w:cs="Arial"/>
                <w:color w:val="auto"/>
                <w:sz w:val="18"/>
                <w:szCs w:val="18"/>
              </w:rPr>
              <w:lastRenderedPageBreak/>
              <w:t>affectés restaurés</w:t>
            </w:r>
          </w:p>
          <w:p w14:paraId="1B0427C0" w14:textId="77777777" w:rsidR="004D2DF4" w:rsidRPr="00A9330B" w:rsidRDefault="004D2DF4" w:rsidP="004D2DF4">
            <w:pPr>
              <w:widowControl w:val="0"/>
              <w:autoSpaceDE w:val="0"/>
              <w:autoSpaceDN w:val="0"/>
              <w:adjustRightInd w:val="0"/>
              <w:spacing w:before="60" w:line="240" w:lineRule="auto"/>
              <w:jc w:val="both"/>
              <w:rPr>
                <w:rFonts w:eastAsia="Calibri" w:cs="Arial"/>
                <w:color w:val="auto"/>
                <w:sz w:val="18"/>
                <w:szCs w:val="18"/>
              </w:rPr>
            </w:pPr>
            <w:r w:rsidRPr="00A9330B">
              <w:rPr>
                <w:rFonts w:eastAsia="Calibri" w:cs="Arial"/>
                <w:color w:val="auto"/>
                <w:sz w:val="18"/>
                <w:szCs w:val="18"/>
              </w:rPr>
              <w:t>Nombre de plaintes enregistrées</w:t>
            </w:r>
          </w:p>
        </w:tc>
        <w:tc>
          <w:tcPr>
            <w:tcW w:w="637" w:type="pct"/>
            <w:tcBorders>
              <w:top w:val="single" w:sz="6" w:space="0" w:color="auto"/>
              <w:left w:val="single" w:sz="6" w:space="0" w:color="auto"/>
              <w:bottom w:val="single" w:sz="6" w:space="0" w:color="auto"/>
              <w:right w:val="single" w:sz="6" w:space="0" w:color="auto"/>
            </w:tcBorders>
          </w:tcPr>
          <w:p w14:paraId="0975AA00" w14:textId="77777777" w:rsidR="004D2DF4" w:rsidRPr="00A9330B" w:rsidRDefault="004D2DF4" w:rsidP="004D2DF4">
            <w:pPr>
              <w:widowControl w:val="0"/>
              <w:autoSpaceDE w:val="0"/>
              <w:autoSpaceDN w:val="0"/>
              <w:adjustRightInd w:val="0"/>
              <w:spacing w:before="60" w:line="240" w:lineRule="auto"/>
              <w:jc w:val="center"/>
              <w:rPr>
                <w:rFonts w:eastAsia="Calibri" w:cs="Arial"/>
                <w:color w:val="auto"/>
                <w:sz w:val="18"/>
                <w:szCs w:val="18"/>
              </w:rPr>
            </w:pPr>
            <w:r w:rsidRPr="00A9330B">
              <w:rPr>
                <w:rFonts w:eastAsia="Calibri" w:cs="Arial"/>
                <w:color w:val="auto"/>
                <w:sz w:val="18"/>
                <w:szCs w:val="18"/>
              </w:rPr>
              <w:lastRenderedPageBreak/>
              <w:t>Phase de préparation et de construction</w:t>
            </w:r>
          </w:p>
        </w:tc>
        <w:tc>
          <w:tcPr>
            <w:tcW w:w="657" w:type="pct"/>
            <w:tcBorders>
              <w:top w:val="single" w:sz="6" w:space="0" w:color="auto"/>
              <w:left w:val="single" w:sz="6" w:space="0" w:color="auto"/>
              <w:bottom w:val="single" w:sz="6" w:space="0" w:color="auto"/>
              <w:right w:val="single" w:sz="6" w:space="0" w:color="auto"/>
            </w:tcBorders>
          </w:tcPr>
          <w:p w14:paraId="4F82495C" w14:textId="77777777" w:rsidR="004D2DF4" w:rsidRPr="00A9330B" w:rsidRDefault="004D2DF4" w:rsidP="004D2DF4">
            <w:pPr>
              <w:widowControl w:val="0"/>
              <w:spacing w:before="40" w:line="240" w:lineRule="auto"/>
              <w:jc w:val="center"/>
              <w:rPr>
                <w:rFonts w:eastAsia="Calibri" w:cs="Arial"/>
                <w:sz w:val="18"/>
                <w:szCs w:val="18"/>
              </w:rPr>
            </w:pPr>
            <w:r w:rsidRPr="00A9330B">
              <w:rPr>
                <w:rFonts w:eastAsia="Calibri" w:cs="Arial"/>
                <w:sz w:val="18"/>
                <w:szCs w:val="18"/>
              </w:rPr>
              <w:t>MDC</w:t>
            </w:r>
          </w:p>
          <w:p w14:paraId="54453513" w14:textId="77777777" w:rsidR="004D2DF4" w:rsidRPr="00A9330B" w:rsidRDefault="004D2DF4" w:rsidP="004D2DF4">
            <w:pPr>
              <w:widowControl w:val="0"/>
              <w:spacing w:before="40" w:line="240" w:lineRule="auto"/>
              <w:jc w:val="center"/>
              <w:rPr>
                <w:rFonts w:eastAsia="Calibri" w:cs="Arial"/>
                <w:sz w:val="18"/>
                <w:szCs w:val="18"/>
              </w:rPr>
            </w:pPr>
            <w:r w:rsidRPr="00A9330B">
              <w:rPr>
                <w:rFonts w:eastAsia="Calibri" w:cs="Arial"/>
                <w:sz w:val="18"/>
                <w:szCs w:val="18"/>
              </w:rPr>
              <w:t xml:space="preserve">ACVDT </w:t>
            </w:r>
          </w:p>
          <w:p w14:paraId="7F88E058" w14:textId="7E11EDE5" w:rsidR="004D2DF4" w:rsidRPr="00A9330B" w:rsidRDefault="004D2DF4" w:rsidP="004D2DF4">
            <w:pPr>
              <w:widowControl w:val="0"/>
              <w:spacing w:before="60" w:line="240" w:lineRule="auto"/>
              <w:jc w:val="center"/>
              <w:rPr>
                <w:rFonts w:eastAsia="Calibri" w:cs="Arial"/>
                <w:color w:val="auto"/>
                <w:sz w:val="18"/>
                <w:szCs w:val="18"/>
              </w:rPr>
            </w:pPr>
            <w:r w:rsidRPr="00A9330B">
              <w:rPr>
                <w:rFonts w:eastAsia="Calibri" w:cs="Arial"/>
                <w:sz w:val="18"/>
                <w:szCs w:val="18"/>
              </w:rPr>
              <w:t xml:space="preserve">Consultant </w:t>
            </w:r>
          </w:p>
        </w:tc>
        <w:tc>
          <w:tcPr>
            <w:tcW w:w="897" w:type="pct"/>
            <w:tcBorders>
              <w:top w:val="single" w:sz="6" w:space="0" w:color="auto"/>
              <w:left w:val="single" w:sz="6" w:space="0" w:color="auto"/>
              <w:bottom w:val="single" w:sz="6" w:space="0" w:color="auto"/>
              <w:right w:val="single" w:sz="8" w:space="0" w:color="auto"/>
            </w:tcBorders>
          </w:tcPr>
          <w:p w14:paraId="41139677" w14:textId="0601227D" w:rsidR="004D2DF4" w:rsidRPr="00A9330B" w:rsidRDefault="004D2DF4" w:rsidP="004D2DF4">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t xml:space="preserve">Mairie concernée (Natitingou)  </w:t>
            </w:r>
          </w:p>
          <w:p w14:paraId="27802EDF" w14:textId="77777777" w:rsidR="004D2DF4" w:rsidRPr="00A9330B" w:rsidRDefault="004D2DF4" w:rsidP="004D2DF4">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t>Direction Départementale du Cadre de Vie et du Développement Durable (DDCVDD-AD)</w:t>
            </w:r>
          </w:p>
          <w:p w14:paraId="7B92DA1B" w14:textId="77777777" w:rsidR="004D2DF4" w:rsidRPr="00A9330B" w:rsidRDefault="004D2DF4" w:rsidP="004D2DF4">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t>Direction Départementale des Infrastructures et des Transports</w:t>
            </w:r>
          </w:p>
        </w:tc>
        <w:tc>
          <w:tcPr>
            <w:tcW w:w="897" w:type="pct"/>
            <w:tcBorders>
              <w:top w:val="single" w:sz="6" w:space="0" w:color="auto"/>
              <w:left w:val="single" w:sz="6" w:space="0" w:color="auto"/>
              <w:bottom w:val="single" w:sz="6" w:space="0" w:color="auto"/>
              <w:right w:val="single" w:sz="8" w:space="0" w:color="auto"/>
            </w:tcBorders>
          </w:tcPr>
          <w:p w14:paraId="718761C3" w14:textId="77777777" w:rsidR="004D2DF4" w:rsidRPr="00A9330B" w:rsidRDefault="004D2DF4" w:rsidP="004D2DF4">
            <w:pPr>
              <w:widowControl w:val="0"/>
              <w:autoSpaceDE w:val="0"/>
              <w:autoSpaceDN w:val="0"/>
              <w:adjustRightInd w:val="0"/>
              <w:spacing w:before="40" w:line="240" w:lineRule="auto"/>
              <w:rPr>
                <w:rFonts w:cs="Arial"/>
                <w:b/>
                <w:bCs/>
                <w:color w:val="000000"/>
                <w:sz w:val="20"/>
                <w:szCs w:val="20"/>
              </w:rPr>
            </w:pPr>
            <w:r w:rsidRPr="00A9330B">
              <w:rPr>
                <w:rFonts w:cs="Arial"/>
                <w:b/>
                <w:bCs/>
                <w:color w:val="000000"/>
                <w:sz w:val="20"/>
                <w:szCs w:val="20"/>
              </w:rPr>
              <w:t>Cout du PAR</w:t>
            </w:r>
          </w:p>
          <w:p w14:paraId="7A067772" w14:textId="47446FFE" w:rsidR="004D2DF4" w:rsidRPr="00A9330B" w:rsidRDefault="004D2DF4" w:rsidP="004D2DF4">
            <w:pPr>
              <w:spacing w:line="240" w:lineRule="auto"/>
              <w:rPr>
                <w:rFonts w:cs="Arial"/>
                <w:b/>
                <w:sz w:val="20"/>
                <w:szCs w:val="20"/>
              </w:rPr>
            </w:pPr>
            <w:r w:rsidRPr="00A9330B">
              <w:rPr>
                <w:rFonts w:cs="Arial"/>
                <w:b/>
                <w:color w:val="000000"/>
                <w:sz w:val="20"/>
                <w:szCs w:val="20"/>
              </w:rPr>
              <w:t xml:space="preserve">780 985 639 </w:t>
            </w:r>
            <w:r w:rsidRPr="00A9330B">
              <w:rPr>
                <w:rFonts w:cs="Arial"/>
                <w:b/>
                <w:sz w:val="20"/>
                <w:szCs w:val="20"/>
              </w:rPr>
              <w:t>F CFA</w:t>
            </w:r>
          </w:p>
          <w:p w14:paraId="1CB3BC3E" w14:textId="57379AE4" w:rsidR="004D2DF4" w:rsidRPr="00A9330B" w:rsidRDefault="004D2DF4" w:rsidP="004D2DF4">
            <w:pPr>
              <w:tabs>
                <w:tab w:val="left" w:pos="5474"/>
              </w:tabs>
              <w:rPr>
                <w:rFonts w:cs="Arial"/>
                <w:b/>
                <w:color w:val="000000"/>
                <w:sz w:val="20"/>
                <w:szCs w:val="20"/>
              </w:rPr>
            </w:pPr>
            <w:r w:rsidRPr="00A9330B">
              <w:rPr>
                <w:rFonts w:cs="Arial"/>
                <w:b/>
                <w:bCs/>
                <w:color w:val="000000"/>
                <w:sz w:val="20"/>
                <w:szCs w:val="20"/>
              </w:rPr>
              <w:t>Soit 1 56 1971,28 Dollars US</w:t>
            </w:r>
          </w:p>
          <w:p w14:paraId="07B1968A" w14:textId="300E94FD" w:rsidR="004D2DF4" w:rsidRPr="00A9330B" w:rsidRDefault="004D2DF4" w:rsidP="004D2DF4">
            <w:pPr>
              <w:widowControl w:val="0"/>
              <w:autoSpaceDE w:val="0"/>
              <w:autoSpaceDN w:val="0"/>
              <w:adjustRightInd w:val="0"/>
              <w:spacing w:before="60" w:line="240" w:lineRule="auto"/>
              <w:rPr>
                <w:rFonts w:eastAsia="Calibri" w:cs="Arial"/>
                <w:color w:val="auto"/>
                <w:sz w:val="18"/>
                <w:szCs w:val="18"/>
              </w:rPr>
            </w:pPr>
            <w:r w:rsidRPr="00A9330B">
              <w:rPr>
                <w:rFonts w:cs="Arial"/>
                <w:b/>
                <w:sz w:val="20"/>
                <w:szCs w:val="20"/>
              </w:rPr>
              <w:t>A la charge du Budget National</w:t>
            </w:r>
          </w:p>
        </w:tc>
      </w:tr>
      <w:tr w:rsidR="004D2DF4" w:rsidRPr="00A9330B" w14:paraId="3E4E6DF6" w14:textId="42E8E3BB" w:rsidTr="006C383B">
        <w:trPr>
          <w:trHeight w:val="713"/>
        </w:trPr>
        <w:tc>
          <w:tcPr>
            <w:tcW w:w="996" w:type="pct"/>
            <w:tcBorders>
              <w:top w:val="single" w:sz="6" w:space="0" w:color="auto"/>
              <w:left w:val="single" w:sz="8" w:space="0" w:color="auto"/>
              <w:bottom w:val="single" w:sz="6" w:space="0" w:color="auto"/>
              <w:right w:val="single" w:sz="6" w:space="0" w:color="auto"/>
            </w:tcBorders>
          </w:tcPr>
          <w:p w14:paraId="0BE1B1E6" w14:textId="77777777" w:rsidR="004D2DF4" w:rsidRPr="00A9330B" w:rsidRDefault="004D2DF4" w:rsidP="004D2DF4">
            <w:pPr>
              <w:widowControl w:val="0"/>
              <w:spacing w:before="60" w:line="240" w:lineRule="auto"/>
              <w:jc w:val="both"/>
              <w:rPr>
                <w:rFonts w:eastAsia="Calibri" w:cs="Arial"/>
                <w:color w:val="auto"/>
                <w:sz w:val="18"/>
                <w:szCs w:val="18"/>
              </w:rPr>
            </w:pPr>
            <w:r w:rsidRPr="00A9330B">
              <w:rPr>
                <w:rFonts w:eastAsia="Calibri" w:cs="Arial"/>
                <w:color w:val="auto"/>
                <w:sz w:val="18"/>
                <w:szCs w:val="18"/>
              </w:rPr>
              <w:lastRenderedPageBreak/>
              <w:t xml:space="preserve">1.4.a.1.1. Refermer les fouilles ou les baliser correctement suivant l’évolution des travaux  </w:t>
            </w:r>
          </w:p>
        </w:tc>
        <w:tc>
          <w:tcPr>
            <w:tcW w:w="916" w:type="pct"/>
            <w:tcBorders>
              <w:top w:val="single" w:sz="6" w:space="0" w:color="auto"/>
              <w:left w:val="single" w:sz="6" w:space="0" w:color="auto"/>
              <w:bottom w:val="single" w:sz="6" w:space="0" w:color="auto"/>
              <w:right w:val="single" w:sz="6" w:space="0" w:color="auto"/>
            </w:tcBorders>
          </w:tcPr>
          <w:p w14:paraId="6C72691E" w14:textId="77777777" w:rsidR="004D2DF4" w:rsidRPr="00A9330B" w:rsidRDefault="004D2DF4" w:rsidP="004D2DF4">
            <w:pPr>
              <w:widowControl w:val="0"/>
              <w:autoSpaceDE w:val="0"/>
              <w:autoSpaceDN w:val="0"/>
              <w:adjustRightInd w:val="0"/>
              <w:spacing w:before="60" w:line="240" w:lineRule="auto"/>
              <w:jc w:val="both"/>
              <w:rPr>
                <w:rFonts w:eastAsia="Calibri" w:cs="Arial"/>
                <w:color w:val="auto"/>
                <w:sz w:val="18"/>
                <w:szCs w:val="18"/>
              </w:rPr>
            </w:pPr>
            <w:r w:rsidRPr="00A9330B">
              <w:rPr>
                <w:rFonts w:eastAsia="Calibri" w:cs="Arial"/>
                <w:color w:val="auto"/>
                <w:sz w:val="18"/>
                <w:szCs w:val="18"/>
              </w:rPr>
              <w:t>Nombre de cas d’accidents enregistrés ;</w:t>
            </w:r>
          </w:p>
          <w:p w14:paraId="7C379650" w14:textId="77777777" w:rsidR="004D2DF4" w:rsidRPr="00A9330B" w:rsidRDefault="004D2DF4" w:rsidP="004D2DF4">
            <w:pPr>
              <w:widowControl w:val="0"/>
              <w:autoSpaceDE w:val="0"/>
              <w:autoSpaceDN w:val="0"/>
              <w:adjustRightInd w:val="0"/>
              <w:spacing w:before="60" w:line="240" w:lineRule="auto"/>
              <w:jc w:val="both"/>
              <w:rPr>
                <w:rFonts w:eastAsia="Calibri" w:cs="Arial"/>
                <w:color w:val="auto"/>
                <w:sz w:val="18"/>
                <w:szCs w:val="18"/>
              </w:rPr>
            </w:pPr>
            <w:r w:rsidRPr="00A9330B">
              <w:rPr>
                <w:rFonts w:eastAsia="Calibri" w:cs="Arial"/>
                <w:color w:val="auto"/>
                <w:sz w:val="18"/>
                <w:szCs w:val="18"/>
              </w:rPr>
              <w:t>Nombre de plaintes enregistrées ;</w:t>
            </w:r>
          </w:p>
          <w:p w14:paraId="7B8E62FC" w14:textId="77777777" w:rsidR="004D2DF4" w:rsidRPr="00A9330B" w:rsidRDefault="004D2DF4" w:rsidP="004D2DF4">
            <w:pPr>
              <w:widowControl w:val="0"/>
              <w:autoSpaceDE w:val="0"/>
              <w:autoSpaceDN w:val="0"/>
              <w:adjustRightInd w:val="0"/>
              <w:spacing w:before="60" w:line="240" w:lineRule="auto"/>
              <w:jc w:val="both"/>
              <w:rPr>
                <w:rFonts w:eastAsia="Calibri" w:cs="Arial"/>
                <w:color w:val="auto"/>
                <w:sz w:val="18"/>
                <w:szCs w:val="18"/>
              </w:rPr>
            </w:pPr>
            <w:r w:rsidRPr="00A9330B">
              <w:rPr>
                <w:rFonts w:eastAsia="Calibri" w:cs="Arial"/>
                <w:color w:val="auto"/>
                <w:sz w:val="18"/>
                <w:szCs w:val="18"/>
              </w:rPr>
              <w:t>Présence de balise ou de cônes de signalisation autour des fouilles.</w:t>
            </w:r>
          </w:p>
        </w:tc>
        <w:tc>
          <w:tcPr>
            <w:tcW w:w="637" w:type="pct"/>
            <w:tcBorders>
              <w:top w:val="single" w:sz="6" w:space="0" w:color="auto"/>
              <w:left w:val="single" w:sz="6" w:space="0" w:color="auto"/>
              <w:bottom w:val="single" w:sz="6" w:space="0" w:color="auto"/>
              <w:right w:val="single" w:sz="6" w:space="0" w:color="auto"/>
            </w:tcBorders>
          </w:tcPr>
          <w:p w14:paraId="20785B5B" w14:textId="77777777" w:rsidR="004D2DF4" w:rsidRPr="00A9330B" w:rsidRDefault="004D2DF4" w:rsidP="004D2DF4">
            <w:pPr>
              <w:widowControl w:val="0"/>
              <w:autoSpaceDE w:val="0"/>
              <w:autoSpaceDN w:val="0"/>
              <w:adjustRightInd w:val="0"/>
              <w:spacing w:before="60" w:line="240" w:lineRule="auto"/>
              <w:jc w:val="center"/>
              <w:rPr>
                <w:rFonts w:eastAsia="Calibri" w:cs="Arial"/>
                <w:color w:val="auto"/>
                <w:sz w:val="18"/>
                <w:szCs w:val="18"/>
              </w:rPr>
            </w:pPr>
            <w:r w:rsidRPr="00A9330B">
              <w:rPr>
                <w:rFonts w:eastAsia="Calibri" w:cs="Arial"/>
                <w:color w:val="auto"/>
                <w:sz w:val="18"/>
                <w:szCs w:val="18"/>
              </w:rPr>
              <w:t>Phase de préparation et de construction</w:t>
            </w:r>
          </w:p>
        </w:tc>
        <w:tc>
          <w:tcPr>
            <w:tcW w:w="657" w:type="pct"/>
            <w:tcBorders>
              <w:top w:val="single" w:sz="6" w:space="0" w:color="auto"/>
              <w:left w:val="single" w:sz="6" w:space="0" w:color="auto"/>
              <w:bottom w:val="single" w:sz="6" w:space="0" w:color="auto"/>
              <w:right w:val="single" w:sz="6" w:space="0" w:color="auto"/>
            </w:tcBorders>
          </w:tcPr>
          <w:p w14:paraId="445564A3" w14:textId="77777777" w:rsidR="004D2DF4" w:rsidRPr="00A9330B" w:rsidRDefault="004D2DF4" w:rsidP="004D2DF4">
            <w:pPr>
              <w:widowControl w:val="0"/>
              <w:spacing w:before="60" w:line="240" w:lineRule="auto"/>
              <w:jc w:val="center"/>
              <w:rPr>
                <w:rFonts w:eastAsia="Calibri" w:cs="Arial"/>
                <w:color w:val="auto"/>
                <w:sz w:val="18"/>
                <w:szCs w:val="18"/>
              </w:rPr>
            </w:pPr>
            <w:r w:rsidRPr="00A9330B">
              <w:rPr>
                <w:rFonts w:eastAsia="Calibri" w:cs="Arial"/>
                <w:color w:val="auto"/>
                <w:sz w:val="18"/>
                <w:szCs w:val="18"/>
              </w:rPr>
              <w:t>MDC</w:t>
            </w:r>
          </w:p>
          <w:p w14:paraId="1B028BFF" w14:textId="77777777" w:rsidR="004D2DF4" w:rsidRPr="00A9330B" w:rsidRDefault="004D2DF4" w:rsidP="004D2DF4">
            <w:pPr>
              <w:widowControl w:val="0"/>
              <w:spacing w:before="60" w:line="240" w:lineRule="auto"/>
              <w:jc w:val="center"/>
              <w:rPr>
                <w:rFonts w:eastAsia="Calibri" w:cs="Arial"/>
                <w:color w:val="auto"/>
                <w:sz w:val="18"/>
                <w:szCs w:val="18"/>
              </w:rPr>
            </w:pPr>
            <w:r w:rsidRPr="00A9330B">
              <w:rPr>
                <w:rFonts w:eastAsia="Calibri" w:cs="Arial"/>
                <w:color w:val="auto"/>
                <w:sz w:val="18"/>
                <w:szCs w:val="18"/>
              </w:rPr>
              <w:t>Entreprise chargée des travaux</w:t>
            </w:r>
          </w:p>
        </w:tc>
        <w:tc>
          <w:tcPr>
            <w:tcW w:w="897" w:type="pct"/>
            <w:tcBorders>
              <w:top w:val="single" w:sz="6" w:space="0" w:color="auto"/>
              <w:left w:val="single" w:sz="6" w:space="0" w:color="auto"/>
              <w:bottom w:val="single" w:sz="6" w:space="0" w:color="auto"/>
              <w:right w:val="single" w:sz="8" w:space="0" w:color="auto"/>
            </w:tcBorders>
          </w:tcPr>
          <w:p w14:paraId="4BC173C0" w14:textId="5A595852" w:rsidR="004D2DF4" w:rsidRPr="00A9330B" w:rsidRDefault="004D2DF4" w:rsidP="004D2DF4">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t xml:space="preserve">Mairie concernée (Natitingou)  </w:t>
            </w:r>
          </w:p>
          <w:p w14:paraId="57827CD7" w14:textId="77777777" w:rsidR="004D2DF4" w:rsidRPr="00A9330B" w:rsidRDefault="004D2DF4" w:rsidP="004D2DF4">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t>Direction Départementale du Cadre de Vie et du Développement Durable (DDCVDD-AD)</w:t>
            </w:r>
          </w:p>
          <w:p w14:paraId="43FC3A1E" w14:textId="77777777" w:rsidR="004D2DF4" w:rsidRPr="00A9330B" w:rsidRDefault="004D2DF4" w:rsidP="004D2DF4">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t>Direction Départementale des Infrastructures et des Transports</w:t>
            </w:r>
          </w:p>
        </w:tc>
        <w:tc>
          <w:tcPr>
            <w:tcW w:w="897" w:type="pct"/>
            <w:tcBorders>
              <w:top w:val="single" w:sz="6" w:space="0" w:color="auto"/>
              <w:left w:val="single" w:sz="6" w:space="0" w:color="auto"/>
              <w:bottom w:val="single" w:sz="6" w:space="0" w:color="auto"/>
              <w:right w:val="single" w:sz="8" w:space="0" w:color="auto"/>
            </w:tcBorders>
          </w:tcPr>
          <w:p w14:paraId="0A5827E6" w14:textId="37487398" w:rsidR="004D2DF4" w:rsidRPr="00A9330B" w:rsidRDefault="004D2DF4" w:rsidP="004D2DF4">
            <w:pPr>
              <w:widowControl w:val="0"/>
              <w:autoSpaceDE w:val="0"/>
              <w:autoSpaceDN w:val="0"/>
              <w:adjustRightInd w:val="0"/>
              <w:spacing w:before="40" w:line="240" w:lineRule="auto"/>
              <w:rPr>
                <w:rFonts w:eastAsia="Calibri" w:cs="Arial"/>
                <w:color w:val="auto"/>
                <w:sz w:val="18"/>
                <w:szCs w:val="18"/>
              </w:rPr>
            </w:pPr>
            <w:r w:rsidRPr="00A9330B">
              <w:rPr>
                <w:rFonts w:cs="Arial"/>
                <w:b/>
                <w:bCs/>
                <w:color w:val="000000"/>
                <w:sz w:val="20"/>
                <w:szCs w:val="20"/>
              </w:rPr>
              <w:t xml:space="preserve"> </w:t>
            </w:r>
          </w:p>
          <w:p w14:paraId="3A19B962" w14:textId="77777777" w:rsidR="004D2DF4" w:rsidRPr="00A9330B" w:rsidRDefault="004D2DF4" w:rsidP="004D2DF4">
            <w:pPr>
              <w:widowControl w:val="0"/>
              <w:autoSpaceDE w:val="0"/>
              <w:autoSpaceDN w:val="0"/>
              <w:adjustRightInd w:val="0"/>
              <w:spacing w:before="60" w:line="240" w:lineRule="auto"/>
              <w:rPr>
                <w:rFonts w:eastAsia="Calibri" w:cs="Arial"/>
                <w:sz w:val="20"/>
                <w:szCs w:val="20"/>
              </w:rPr>
            </w:pPr>
            <w:r w:rsidRPr="00A9330B">
              <w:rPr>
                <w:rFonts w:eastAsia="Calibri" w:cs="Arial"/>
                <w:sz w:val="20"/>
                <w:szCs w:val="20"/>
              </w:rPr>
              <w:t>Intégrer dans sécurité de chantier (DAO travaux)</w:t>
            </w:r>
          </w:p>
          <w:p w14:paraId="7B754E3A" w14:textId="22C5E8C3" w:rsidR="004D2DF4" w:rsidRPr="00A9330B" w:rsidRDefault="004D2DF4" w:rsidP="004D2DF4">
            <w:pPr>
              <w:widowControl w:val="0"/>
              <w:autoSpaceDE w:val="0"/>
              <w:autoSpaceDN w:val="0"/>
              <w:adjustRightInd w:val="0"/>
              <w:spacing w:before="60" w:line="240" w:lineRule="auto"/>
              <w:rPr>
                <w:rFonts w:eastAsia="Calibri" w:cs="Arial"/>
                <w:color w:val="auto"/>
                <w:sz w:val="18"/>
                <w:szCs w:val="18"/>
              </w:rPr>
            </w:pPr>
          </w:p>
        </w:tc>
      </w:tr>
      <w:tr w:rsidR="004D2DF4" w:rsidRPr="00A9330B" w14:paraId="63A9FD97" w14:textId="5E470A58" w:rsidTr="006C383B">
        <w:trPr>
          <w:trHeight w:val="258"/>
        </w:trPr>
        <w:tc>
          <w:tcPr>
            <w:tcW w:w="996" w:type="pct"/>
            <w:tcBorders>
              <w:top w:val="single" w:sz="6" w:space="0" w:color="auto"/>
              <w:left w:val="single" w:sz="8" w:space="0" w:color="auto"/>
              <w:bottom w:val="single" w:sz="6" w:space="0" w:color="auto"/>
              <w:right w:val="single" w:sz="6" w:space="0" w:color="auto"/>
            </w:tcBorders>
          </w:tcPr>
          <w:p w14:paraId="61DD40C5" w14:textId="77777777" w:rsidR="004D2DF4" w:rsidRPr="00A9330B" w:rsidRDefault="004D2DF4" w:rsidP="004D2DF4">
            <w:pPr>
              <w:widowControl w:val="0"/>
              <w:spacing w:before="60" w:line="240" w:lineRule="auto"/>
              <w:jc w:val="both"/>
              <w:rPr>
                <w:rFonts w:eastAsia="Calibri" w:cs="Arial"/>
                <w:color w:val="auto"/>
                <w:sz w:val="18"/>
                <w:szCs w:val="18"/>
              </w:rPr>
            </w:pPr>
            <w:r w:rsidRPr="00A9330B">
              <w:rPr>
                <w:rFonts w:eastAsia="Calibri" w:cs="Arial"/>
                <w:color w:val="auto"/>
                <w:sz w:val="18"/>
                <w:szCs w:val="18"/>
              </w:rPr>
              <w:t xml:space="preserve">1.4.a.1.2. Mettre en place un système de surveillance et de signalisation pour la sécurité des populations </w:t>
            </w:r>
          </w:p>
        </w:tc>
        <w:tc>
          <w:tcPr>
            <w:tcW w:w="916" w:type="pct"/>
            <w:tcBorders>
              <w:top w:val="single" w:sz="6" w:space="0" w:color="auto"/>
              <w:left w:val="single" w:sz="6" w:space="0" w:color="auto"/>
              <w:bottom w:val="single" w:sz="6" w:space="0" w:color="auto"/>
              <w:right w:val="single" w:sz="6" w:space="0" w:color="auto"/>
            </w:tcBorders>
          </w:tcPr>
          <w:p w14:paraId="000AAD92" w14:textId="77777777" w:rsidR="004D2DF4" w:rsidRPr="00A9330B" w:rsidRDefault="004D2DF4" w:rsidP="004D2DF4">
            <w:pPr>
              <w:widowControl w:val="0"/>
              <w:autoSpaceDE w:val="0"/>
              <w:autoSpaceDN w:val="0"/>
              <w:adjustRightInd w:val="0"/>
              <w:spacing w:before="60" w:line="240" w:lineRule="auto"/>
              <w:jc w:val="both"/>
              <w:rPr>
                <w:rFonts w:eastAsia="Calibri" w:cs="Arial"/>
                <w:color w:val="auto"/>
                <w:sz w:val="18"/>
                <w:szCs w:val="18"/>
              </w:rPr>
            </w:pPr>
            <w:r w:rsidRPr="00A9330B">
              <w:rPr>
                <w:rFonts w:eastAsia="Calibri" w:cs="Arial"/>
                <w:color w:val="auto"/>
                <w:sz w:val="18"/>
                <w:szCs w:val="18"/>
              </w:rPr>
              <w:t>Existence d’affiches portant des consignes de sécurité sur la base technique et les chantiers</w:t>
            </w:r>
          </w:p>
          <w:p w14:paraId="34B17203" w14:textId="77777777" w:rsidR="004D2DF4" w:rsidRPr="00A9330B" w:rsidRDefault="004D2DF4" w:rsidP="004D2DF4">
            <w:pPr>
              <w:widowControl w:val="0"/>
              <w:autoSpaceDE w:val="0"/>
              <w:autoSpaceDN w:val="0"/>
              <w:adjustRightInd w:val="0"/>
              <w:spacing w:before="60" w:line="240" w:lineRule="auto"/>
              <w:jc w:val="both"/>
              <w:rPr>
                <w:rFonts w:eastAsia="Calibri" w:cs="Arial"/>
                <w:color w:val="auto"/>
                <w:sz w:val="18"/>
                <w:szCs w:val="18"/>
              </w:rPr>
            </w:pPr>
            <w:r w:rsidRPr="00A9330B">
              <w:rPr>
                <w:rFonts w:eastAsia="Calibri" w:cs="Arial"/>
                <w:color w:val="auto"/>
                <w:sz w:val="18"/>
                <w:szCs w:val="18"/>
              </w:rPr>
              <w:t xml:space="preserve">Présence des agents HSE sur le chantier </w:t>
            </w:r>
          </w:p>
        </w:tc>
        <w:tc>
          <w:tcPr>
            <w:tcW w:w="637" w:type="pct"/>
            <w:tcBorders>
              <w:top w:val="single" w:sz="6" w:space="0" w:color="auto"/>
              <w:left w:val="single" w:sz="6" w:space="0" w:color="auto"/>
              <w:bottom w:val="single" w:sz="6" w:space="0" w:color="auto"/>
              <w:right w:val="single" w:sz="6" w:space="0" w:color="auto"/>
            </w:tcBorders>
          </w:tcPr>
          <w:p w14:paraId="166FAADF" w14:textId="77777777" w:rsidR="004D2DF4" w:rsidRPr="00A9330B" w:rsidRDefault="004D2DF4" w:rsidP="004D2DF4">
            <w:pPr>
              <w:widowControl w:val="0"/>
              <w:autoSpaceDE w:val="0"/>
              <w:autoSpaceDN w:val="0"/>
              <w:adjustRightInd w:val="0"/>
              <w:spacing w:before="60" w:line="240" w:lineRule="auto"/>
              <w:jc w:val="center"/>
              <w:rPr>
                <w:rFonts w:eastAsia="Calibri" w:cs="Arial"/>
                <w:color w:val="auto"/>
                <w:sz w:val="18"/>
                <w:szCs w:val="18"/>
              </w:rPr>
            </w:pPr>
            <w:r w:rsidRPr="00A9330B">
              <w:rPr>
                <w:rFonts w:eastAsia="Calibri" w:cs="Arial"/>
                <w:color w:val="auto"/>
                <w:sz w:val="18"/>
                <w:szCs w:val="18"/>
              </w:rPr>
              <w:t>Phase de préparation et de construction</w:t>
            </w:r>
          </w:p>
        </w:tc>
        <w:tc>
          <w:tcPr>
            <w:tcW w:w="657" w:type="pct"/>
            <w:tcBorders>
              <w:top w:val="single" w:sz="6" w:space="0" w:color="auto"/>
              <w:left w:val="single" w:sz="6" w:space="0" w:color="auto"/>
              <w:bottom w:val="single" w:sz="6" w:space="0" w:color="auto"/>
              <w:right w:val="single" w:sz="6" w:space="0" w:color="auto"/>
            </w:tcBorders>
          </w:tcPr>
          <w:p w14:paraId="54FADC97" w14:textId="77777777" w:rsidR="004D2DF4" w:rsidRPr="00A9330B" w:rsidRDefault="004D2DF4" w:rsidP="004D2DF4">
            <w:pPr>
              <w:widowControl w:val="0"/>
              <w:spacing w:before="60" w:line="240" w:lineRule="auto"/>
              <w:jc w:val="center"/>
              <w:rPr>
                <w:rFonts w:eastAsia="Calibri" w:cs="Arial"/>
                <w:color w:val="auto"/>
                <w:sz w:val="18"/>
                <w:szCs w:val="18"/>
              </w:rPr>
            </w:pPr>
            <w:r w:rsidRPr="00A9330B">
              <w:rPr>
                <w:rFonts w:eastAsia="Calibri" w:cs="Arial"/>
                <w:color w:val="auto"/>
                <w:sz w:val="18"/>
                <w:szCs w:val="18"/>
              </w:rPr>
              <w:t>MDC</w:t>
            </w:r>
          </w:p>
          <w:p w14:paraId="36ED73CF" w14:textId="77777777" w:rsidR="004D2DF4" w:rsidRPr="00A9330B" w:rsidRDefault="004D2DF4" w:rsidP="004D2DF4">
            <w:pPr>
              <w:widowControl w:val="0"/>
              <w:spacing w:before="60" w:line="240" w:lineRule="auto"/>
              <w:jc w:val="center"/>
              <w:rPr>
                <w:rFonts w:eastAsia="Calibri" w:cs="Arial"/>
                <w:color w:val="auto"/>
                <w:sz w:val="18"/>
                <w:szCs w:val="18"/>
              </w:rPr>
            </w:pPr>
            <w:r w:rsidRPr="00A9330B">
              <w:rPr>
                <w:rFonts w:eastAsia="Calibri" w:cs="Arial"/>
                <w:color w:val="auto"/>
                <w:sz w:val="18"/>
                <w:szCs w:val="18"/>
              </w:rPr>
              <w:t>Entreprise chargée des travaux</w:t>
            </w:r>
          </w:p>
        </w:tc>
        <w:tc>
          <w:tcPr>
            <w:tcW w:w="897" w:type="pct"/>
            <w:tcBorders>
              <w:top w:val="single" w:sz="6" w:space="0" w:color="auto"/>
              <w:left w:val="single" w:sz="6" w:space="0" w:color="auto"/>
              <w:bottom w:val="single" w:sz="6" w:space="0" w:color="auto"/>
              <w:right w:val="single" w:sz="8" w:space="0" w:color="auto"/>
            </w:tcBorders>
          </w:tcPr>
          <w:p w14:paraId="4E8095B4" w14:textId="08A23624" w:rsidR="004D2DF4" w:rsidRPr="00A9330B" w:rsidRDefault="004D2DF4" w:rsidP="004D2DF4">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t xml:space="preserve">Mairie concernée (Natitingou)  </w:t>
            </w:r>
          </w:p>
          <w:p w14:paraId="35FBFB80" w14:textId="77777777" w:rsidR="004D2DF4" w:rsidRPr="00A9330B" w:rsidRDefault="004D2DF4" w:rsidP="004D2DF4">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t>Direction Départementale du Cadre de Vie et du Développement Durable (DDCVDD-AD)</w:t>
            </w:r>
          </w:p>
          <w:p w14:paraId="1EEC2090" w14:textId="77777777" w:rsidR="004D2DF4" w:rsidRPr="00A9330B" w:rsidRDefault="004D2DF4" w:rsidP="004D2DF4">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t>Direction Départementale des Infrastructures et des Transports</w:t>
            </w:r>
          </w:p>
        </w:tc>
        <w:tc>
          <w:tcPr>
            <w:tcW w:w="897" w:type="pct"/>
            <w:tcBorders>
              <w:top w:val="single" w:sz="6" w:space="0" w:color="auto"/>
              <w:left w:val="single" w:sz="6" w:space="0" w:color="auto"/>
              <w:bottom w:val="single" w:sz="6" w:space="0" w:color="auto"/>
              <w:right w:val="single" w:sz="8" w:space="0" w:color="auto"/>
            </w:tcBorders>
          </w:tcPr>
          <w:p w14:paraId="3782BC9B" w14:textId="77777777" w:rsidR="004D2DF4" w:rsidRPr="00A9330B" w:rsidRDefault="004D2DF4" w:rsidP="004D2DF4">
            <w:pPr>
              <w:widowControl w:val="0"/>
              <w:autoSpaceDE w:val="0"/>
              <w:autoSpaceDN w:val="0"/>
              <w:adjustRightInd w:val="0"/>
              <w:spacing w:before="60" w:line="240" w:lineRule="auto"/>
              <w:rPr>
                <w:rFonts w:eastAsia="Calibri" w:cs="Arial"/>
                <w:sz w:val="20"/>
                <w:szCs w:val="20"/>
              </w:rPr>
            </w:pPr>
            <w:r w:rsidRPr="00A9330B">
              <w:rPr>
                <w:rFonts w:eastAsia="Calibri" w:cs="Arial"/>
                <w:sz w:val="20"/>
                <w:szCs w:val="20"/>
              </w:rPr>
              <w:t>Intégrer dans sécurité de chantier (DAO travaux)</w:t>
            </w:r>
          </w:p>
          <w:p w14:paraId="6664B4CC" w14:textId="5EBDEEE5" w:rsidR="004D2DF4" w:rsidRPr="00A9330B" w:rsidRDefault="004D2DF4" w:rsidP="004D2DF4">
            <w:pPr>
              <w:widowControl w:val="0"/>
              <w:autoSpaceDE w:val="0"/>
              <w:autoSpaceDN w:val="0"/>
              <w:adjustRightInd w:val="0"/>
              <w:spacing w:before="60" w:line="240" w:lineRule="auto"/>
              <w:rPr>
                <w:rFonts w:eastAsia="Calibri" w:cs="Arial"/>
                <w:color w:val="auto"/>
                <w:sz w:val="18"/>
                <w:szCs w:val="18"/>
              </w:rPr>
            </w:pPr>
          </w:p>
        </w:tc>
      </w:tr>
      <w:tr w:rsidR="004D2DF4" w:rsidRPr="00A9330B" w14:paraId="19A6477A" w14:textId="4078E65A" w:rsidTr="006C383B">
        <w:trPr>
          <w:trHeight w:val="190"/>
        </w:trPr>
        <w:tc>
          <w:tcPr>
            <w:tcW w:w="996" w:type="pct"/>
            <w:tcBorders>
              <w:top w:val="single" w:sz="6" w:space="0" w:color="auto"/>
              <w:left w:val="single" w:sz="8" w:space="0" w:color="auto"/>
              <w:bottom w:val="single" w:sz="6" w:space="0" w:color="auto"/>
              <w:right w:val="single" w:sz="6" w:space="0" w:color="auto"/>
            </w:tcBorders>
          </w:tcPr>
          <w:p w14:paraId="0B727C6D" w14:textId="77777777" w:rsidR="004D2DF4" w:rsidRPr="00A9330B" w:rsidRDefault="004D2DF4" w:rsidP="004D2DF4">
            <w:pPr>
              <w:widowControl w:val="0"/>
              <w:spacing w:before="60" w:line="240" w:lineRule="auto"/>
              <w:jc w:val="both"/>
              <w:rPr>
                <w:rFonts w:eastAsia="Calibri" w:cs="Arial"/>
                <w:color w:val="auto"/>
                <w:sz w:val="18"/>
                <w:szCs w:val="18"/>
              </w:rPr>
            </w:pPr>
            <w:r w:rsidRPr="00A9330B">
              <w:rPr>
                <w:rFonts w:eastAsia="Calibri" w:cs="Arial"/>
                <w:color w:val="auto"/>
                <w:sz w:val="18"/>
                <w:szCs w:val="18"/>
              </w:rPr>
              <w:t xml:space="preserve">2.3.a.2.2 ; 2.4.a.2.2. ; </w:t>
            </w:r>
            <w:r w:rsidRPr="00A9330B">
              <w:rPr>
                <w:rFonts w:cs="Arial"/>
                <w:color w:val="auto"/>
                <w:sz w:val="18"/>
                <w:szCs w:val="18"/>
              </w:rPr>
              <w:t>2.6.a.1.3.</w:t>
            </w:r>
          </w:p>
          <w:p w14:paraId="421C0AA9" w14:textId="77777777" w:rsidR="004D2DF4" w:rsidRPr="00A9330B" w:rsidRDefault="004D2DF4" w:rsidP="004D2DF4">
            <w:pPr>
              <w:widowControl w:val="0"/>
              <w:spacing w:before="60" w:line="240" w:lineRule="auto"/>
              <w:jc w:val="both"/>
              <w:rPr>
                <w:rFonts w:eastAsia="Calibri" w:cs="Arial"/>
                <w:color w:val="auto"/>
                <w:sz w:val="18"/>
                <w:szCs w:val="18"/>
              </w:rPr>
            </w:pPr>
            <w:r w:rsidRPr="00A9330B">
              <w:rPr>
                <w:rFonts w:eastAsia="Calibri" w:cs="Arial"/>
                <w:color w:val="auto"/>
                <w:sz w:val="18"/>
                <w:szCs w:val="18"/>
              </w:rPr>
              <w:t>Arroser les voies de circulation, les déviations et les plates-formes en phase chantier</w:t>
            </w:r>
          </w:p>
        </w:tc>
        <w:tc>
          <w:tcPr>
            <w:tcW w:w="916" w:type="pct"/>
            <w:tcBorders>
              <w:top w:val="single" w:sz="6" w:space="0" w:color="auto"/>
              <w:left w:val="single" w:sz="6" w:space="0" w:color="auto"/>
              <w:bottom w:val="single" w:sz="6" w:space="0" w:color="auto"/>
              <w:right w:val="single" w:sz="6" w:space="0" w:color="auto"/>
            </w:tcBorders>
          </w:tcPr>
          <w:p w14:paraId="48D1BD8D" w14:textId="77777777" w:rsidR="004D2DF4" w:rsidRPr="00A9330B" w:rsidRDefault="004D2DF4" w:rsidP="004D2DF4">
            <w:pPr>
              <w:widowControl w:val="0"/>
              <w:tabs>
                <w:tab w:val="left" w:pos="984"/>
              </w:tabs>
              <w:spacing w:before="60" w:line="240" w:lineRule="auto"/>
              <w:jc w:val="both"/>
              <w:rPr>
                <w:rFonts w:eastAsia="Calibri" w:cs="Arial"/>
                <w:color w:val="auto"/>
                <w:sz w:val="18"/>
                <w:szCs w:val="18"/>
              </w:rPr>
            </w:pPr>
            <w:r w:rsidRPr="00A9330B">
              <w:rPr>
                <w:rFonts w:eastAsia="Calibri" w:cs="Arial"/>
                <w:color w:val="auto"/>
                <w:sz w:val="18"/>
                <w:szCs w:val="18"/>
              </w:rPr>
              <w:t>Absence de plaintes des populations riveraines et des usagers</w:t>
            </w:r>
          </w:p>
          <w:p w14:paraId="3161A0FE" w14:textId="77777777" w:rsidR="004D2DF4" w:rsidRPr="00A9330B" w:rsidRDefault="004D2DF4" w:rsidP="004D2DF4">
            <w:pPr>
              <w:widowControl w:val="0"/>
              <w:tabs>
                <w:tab w:val="left" w:pos="984"/>
              </w:tabs>
              <w:spacing w:before="60" w:line="240" w:lineRule="auto"/>
              <w:jc w:val="both"/>
              <w:rPr>
                <w:rFonts w:eastAsia="Calibri" w:cs="Arial"/>
                <w:color w:val="auto"/>
                <w:sz w:val="18"/>
                <w:szCs w:val="18"/>
              </w:rPr>
            </w:pPr>
          </w:p>
        </w:tc>
        <w:tc>
          <w:tcPr>
            <w:tcW w:w="637" w:type="pct"/>
            <w:tcBorders>
              <w:top w:val="single" w:sz="6" w:space="0" w:color="auto"/>
              <w:left w:val="single" w:sz="6" w:space="0" w:color="auto"/>
              <w:bottom w:val="single" w:sz="6" w:space="0" w:color="auto"/>
              <w:right w:val="single" w:sz="6" w:space="0" w:color="auto"/>
            </w:tcBorders>
          </w:tcPr>
          <w:p w14:paraId="0969F0CA" w14:textId="77777777" w:rsidR="004D2DF4" w:rsidRPr="00A9330B" w:rsidRDefault="004D2DF4" w:rsidP="004D2DF4">
            <w:pPr>
              <w:widowControl w:val="0"/>
              <w:spacing w:before="60" w:line="240" w:lineRule="auto"/>
              <w:jc w:val="center"/>
              <w:rPr>
                <w:rFonts w:eastAsia="Calibri" w:cs="Arial"/>
                <w:color w:val="auto"/>
                <w:sz w:val="18"/>
                <w:szCs w:val="18"/>
              </w:rPr>
            </w:pPr>
            <w:r w:rsidRPr="00A9330B">
              <w:rPr>
                <w:rFonts w:eastAsia="Calibri" w:cs="Arial"/>
                <w:color w:val="auto"/>
                <w:sz w:val="18"/>
                <w:szCs w:val="18"/>
              </w:rPr>
              <w:t>Au démarrage et pendant les travaux</w:t>
            </w:r>
          </w:p>
        </w:tc>
        <w:tc>
          <w:tcPr>
            <w:tcW w:w="657" w:type="pct"/>
            <w:tcBorders>
              <w:top w:val="single" w:sz="6" w:space="0" w:color="auto"/>
              <w:left w:val="single" w:sz="6" w:space="0" w:color="auto"/>
              <w:bottom w:val="single" w:sz="6" w:space="0" w:color="auto"/>
              <w:right w:val="single" w:sz="6" w:space="0" w:color="auto"/>
            </w:tcBorders>
          </w:tcPr>
          <w:p w14:paraId="404737EB" w14:textId="77777777" w:rsidR="004D2DF4" w:rsidRPr="00A9330B" w:rsidRDefault="004D2DF4" w:rsidP="004D2DF4">
            <w:pPr>
              <w:widowControl w:val="0"/>
              <w:spacing w:before="60" w:line="240" w:lineRule="auto"/>
              <w:jc w:val="center"/>
              <w:rPr>
                <w:rFonts w:eastAsia="Calibri" w:cs="Arial"/>
                <w:color w:val="auto"/>
                <w:sz w:val="18"/>
                <w:szCs w:val="18"/>
              </w:rPr>
            </w:pPr>
            <w:r w:rsidRPr="00A9330B">
              <w:rPr>
                <w:rFonts w:eastAsia="Calibri" w:cs="Arial"/>
                <w:color w:val="auto"/>
                <w:sz w:val="18"/>
                <w:szCs w:val="18"/>
              </w:rPr>
              <w:t>MDC</w:t>
            </w:r>
          </w:p>
          <w:p w14:paraId="0739179A" w14:textId="77777777" w:rsidR="004D2DF4" w:rsidRPr="00A9330B" w:rsidRDefault="004D2DF4" w:rsidP="004D2DF4">
            <w:pPr>
              <w:widowControl w:val="0"/>
              <w:spacing w:before="60" w:line="240" w:lineRule="auto"/>
              <w:jc w:val="center"/>
              <w:rPr>
                <w:rFonts w:eastAsia="Calibri" w:cs="Arial"/>
                <w:color w:val="auto"/>
                <w:sz w:val="18"/>
                <w:szCs w:val="18"/>
              </w:rPr>
            </w:pPr>
            <w:r w:rsidRPr="00A9330B">
              <w:rPr>
                <w:rFonts w:eastAsia="Calibri" w:cs="Arial"/>
                <w:color w:val="auto"/>
                <w:sz w:val="18"/>
                <w:szCs w:val="18"/>
              </w:rPr>
              <w:t>Entreprise chargée des travaux</w:t>
            </w:r>
          </w:p>
        </w:tc>
        <w:tc>
          <w:tcPr>
            <w:tcW w:w="897" w:type="pct"/>
            <w:tcBorders>
              <w:top w:val="single" w:sz="6" w:space="0" w:color="auto"/>
              <w:left w:val="single" w:sz="6" w:space="0" w:color="auto"/>
              <w:bottom w:val="single" w:sz="6" w:space="0" w:color="auto"/>
              <w:right w:val="single" w:sz="8" w:space="0" w:color="auto"/>
            </w:tcBorders>
          </w:tcPr>
          <w:p w14:paraId="344B31A2" w14:textId="77777777" w:rsidR="004D2DF4" w:rsidRPr="00A9330B" w:rsidRDefault="004D2DF4" w:rsidP="004D2DF4">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t>Mairie de Natitingou (Services Techniques)</w:t>
            </w:r>
          </w:p>
          <w:p w14:paraId="43BBE0A7" w14:textId="77777777" w:rsidR="004D2DF4" w:rsidRPr="00A9330B" w:rsidRDefault="004D2DF4" w:rsidP="004D2DF4">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t>Direction Départementale des Infrastructures et des Transports</w:t>
            </w:r>
          </w:p>
        </w:tc>
        <w:tc>
          <w:tcPr>
            <w:tcW w:w="897" w:type="pct"/>
            <w:tcBorders>
              <w:top w:val="single" w:sz="6" w:space="0" w:color="auto"/>
              <w:left w:val="single" w:sz="6" w:space="0" w:color="auto"/>
              <w:bottom w:val="single" w:sz="6" w:space="0" w:color="auto"/>
              <w:right w:val="single" w:sz="8" w:space="0" w:color="auto"/>
            </w:tcBorders>
          </w:tcPr>
          <w:p w14:paraId="7929E847" w14:textId="238C3253" w:rsidR="004D2DF4" w:rsidRPr="00A9330B" w:rsidRDefault="00606E97" w:rsidP="004D2DF4">
            <w:pPr>
              <w:widowControl w:val="0"/>
              <w:autoSpaceDE w:val="0"/>
              <w:autoSpaceDN w:val="0"/>
              <w:adjustRightInd w:val="0"/>
              <w:spacing w:before="60" w:line="240" w:lineRule="auto"/>
              <w:rPr>
                <w:rFonts w:eastAsia="Calibri" w:cs="Arial"/>
                <w:sz w:val="20"/>
                <w:szCs w:val="20"/>
              </w:rPr>
            </w:pPr>
            <w:r w:rsidRPr="00A9330B">
              <w:rPr>
                <w:rFonts w:eastAsia="Calibri" w:cs="Arial"/>
                <w:sz w:val="20"/>
                <w:szCs w:val="20"/>
              </w:rPr>
              <w:t>Intégrer dans sécurité de chantier (DAO travaux)</w:t>
            </w:r>
          </w:p>
        </w:tc>
      </w:tr>
      <w:tr w:rsidR="004D2DF4" w:rsidRPr="00A9330B" w14:paraId="4DA0B64C" w14:textId="57C0E6F9" w:rsidTr="006C383B">
        <w:trPr>
          <w:trHeight w:val="454"/>
        </w:trPr>
        <w:tc>
          <w:tcPr>
            <w:tcW w:w="996" w:type="pct"/>
            <w:tcBorders>
              <w:top w:val="single" w:sz="6" w:space="0" w:color="auto"/>
              <w:left w:val="single" w:sz="8" w:space="0" w:color="auto"/>
              <w:bottom w:val="single" w:sz="6" w:space="0" w:color="auto"/>
              <w:right w:val="single" w:sz="6" w:space="0" w:color="auto"/>
            </w:tcBorders>
          </w:tcPr>
          <w:p w14:paraId="1B10E0E0" w14:textId="77777777" w:rsidR="004D2DF4" w:rsidRPr="00A9330B" w:rsidRDefault="004D2DF4" w:rsidP="004D2DF4">
            <w:pPr>
              <w:widowControl w:val="0"/>
              <w:spacing w:before="60" w:line="240" w:lineRule="auto"/>
              <w:jc w:val="both"/>
              <w:rPr>
                <w:rFonts w:eastAsia="Calibri" w:cs="Arial"/>
                <w:color w:val="auto"/>
                <w:sz w:val="18"/>
                <w:szCs w:val="18"/>
              </w:rPr>
            </w:pPr>
            <w:r w:rsidRPr="00A9330B">
              <w:rPr>
                <w:rFonts w:eastAsia="Calibri" w:cs="Arial"/>
                <w:color w:val="auto"/>
                <w:sz w:val="18"/>
                <w:szCs w:val="18"/>
              </w:rPr>
              <w:t>2.4.a.4.1. ; 2.4.a.4.2 ; 2.8.a.7.2. ;. ; 2.8.a.7.3. </w:t>
            </w:r>
          </w:p>
          <w:p w14:paraId="718FA4C6" w14:textId="77777777" w:rsidR="004D2DF4" w:rsidRPr="00A9330B" w:rsidRDefault="004D2DF4" w:rsidP="004D2DF4">
            <w:pPr>
              <w:widowControl w:val="0"/>
              <w:spacing w:before="60" w:line="240" w:lineRule="auto"/>
              <w:jc w:val="both"/>
              <w:rPr>
                <w:rFonts w:eastAsia="Calibri" w:cs="Arial"/>
                <w:color w:val="auto"/>
                <w:sz w:val="18"/>
                <w:szCs w:val="18"/>
              </w:rPr>
            </w:pPr>
            <w:r w:rsidRPr="00A9330B">
              <w:rPr>
                <w:rFonts w:eastAsia="Calibri" w:cs="Arial"/>
                <w:color w:val="auto"/>
                <w:sz w:val="18"/>
                <w:szCs w:val="18"/>
              </w:rPr>
              <w:t>Mettre des panneaux de signalisation dans les zones de travaux</w:t>
            </w:r>
          </w:p>
        </w:tc>
        <w:tc>
          <w:tcPr>
            <w:tcW w:w="916" w:type="pct"/>
            <w:tcBorders>
              <w:top w:val="single" w:sz="6" w:space="0" w:color="auto"/>
              <w:left w:val="single" w:sz="6" w:space="0" w:color="auto"/>
              <w:bottom w:val="single" w:sz="6" w:space="0" w:color="auto"/>
              <w:right w:val="single" w:sz="6" w:space="0" w:color="auto"/>
            </w:tcBorders>
          </w:tcPr>
          <w:p w14:paraId="2EB130FF" w14:textId="77777777" w:rsidR="004D2DF4" w:rsidRPr="00A9330B" w:rsidRDefault="004D2DF4" w:rsidP="004D2DF4">
            <w:pPr>
              <w:widowControl w:val="0"/>
              <w:autoSpaceDE w:val="0"/>
              <w:autoSpaceDN w:val="0"/>
              <w:adjustRightInd w:val="0"/>
              <w:spacing w:before="60" w:line="240" w:lineRule="auto"/>
              <w:jc w:val="both"/>
              <w:rPr>
                <w:rFonts w:eastAsia="Calibri" w:cs="Arial"/>
                <w:color w:val="auto"/>
                <w:sz w:val="18"/>
                <w:szCs w:val="18"/>
              </w:rPr>
            </w:pPr>
            <w:r w:rsidRPr="00A9330B">
              <w:rPr>
                <w:rFonts w:eastAsia="Calibri" w:cs="Arial"/>
                <w:color w:val="auto"/>
                <w:sz w:val="18"/>
                <w:szCs w:val="18"/>
              </w:rPr>
              <w:t>Existence de barrières, de balise et de signalisation visible</w:t>
            </w:r>
          </w:p>
          <w:p w14:paraId="5EB18438" w14:textId="77777777" w:rsidR="004D2DF4" w:rsidRPr="00A9330B" w:rsidRDefault="004D2DF4" w:rsidP="004D2DF4">
            <w:pPr>
              <w:widowControl w:val="0"/>
              <w:autoSpaceDE w:val="0"/>
              <w:autoSpaceDN w:val="0"/>
              <w:adjustRightInd w:val="0"/>
              <w:spacing w:before="60" w:line="240" w:lineRule="auto"/>
              <w:jc w:val="both"/>
              <w:rPr>
                <w:rFonts w:eastAsia="Calibri" w:cs="Arial"/>
                <w:color w:val="auto"/>
                <w:sz w:val="18"/>
                <w:szCs w:val="18"/>
              </w:rPr>
            </w:pPr>
            <w:r w:rsidRPr="00A9330B">
              <w:rPr>
                <w:rFonts w:eastAsia="Calibri" w:cs="Arial"/>
                <w:color w:val="auto"/>
                <w:sz w:val="18"/>
                <w:szCs w:val="18"/>
              </w:rPr>
              <w:t xml:space="preserve">Présence d’agents munis de fanions </w:t>
            </w:r>
          </w:p>
          <w:p w14:paraId="5B2A5386" w14:textId="77777777" w:rsidR="004D2DF4" w:rsidRPr="00A9330B" w:rsidRDefault="004D2DF4" w:rsidP="004D2DF4">
            <w:pPr>
              <w:widowControl w:val="0"/>
              <w:spacing w:before="60" w:line="240" w:lineRule="auto"/>
              <w:jc w:val="both"/>
              <w:rPr>
                <w:rFonts w:eastAsia="Calibri" w:cs="Arial"/>
                <w:color w:val="auto"/>
                <w:sz w:val="18"/>
                <w:szCs w:val="18"/>
              </w:rPr>
            </w:pPr>
            <w:r w:rsidRPr="00A9330B">
              <w:rPr>
                <w:rFonts w:eastAsia="Calibri" w:cs="Arial"/>
                <w:color w:val="auto"/>
                <w:sz w:val="18"/>
                <w:szCs w:val="18"/>
              </w:rPr>
              <w:t xml:space="preserve">Existence de panneaux de chantier, </w:t>
            </w:r>
          </w:p>
          <w:p w14:paraId="01D32D33" w14:textId="77777777" w:rsidR="004D2DF4" w:rsidRPr="00A9330B" w:rsidRDefault="004D2DF4" w:rsidP="004D2DF4">
            <w:pPr>
              <w:widowControl w:val="0"/>
              <w:autoSpaceDE w:val="0"/>
              <w:autoSpaceDN w:val="0"/>
              <w:adjustRightInd w:val="0"/>
              <w:spacing w:before="60" w:line="240" w:lineRule="auto"/>
              <w:jc w:val="both"/>
              <w:rPr>
                <w:rFonts w:eastAsia="Calibri" w:cs="Arial"/>
                <w:color w:val="auto"/>
                <w:sz w:val="18"/>
                <w:szCs w:val="18"/>
              </w:rPr>
            </w:pPr>
            <w:r w:rsidRPr="00A9330B">
              <w:rPr>
                <w:rFonts w:eastAsia="Calibri" w:cs="Arial"/>
                <w:color w:val="auto"/>
                <w:sz w:val="18"/>
                <w:szCs w:val="18"/>
              </w:rPr>
              <w:t xml:space="preserve">Existence d’alarme sur les engins </w:t>
            </w:r>
          </w:p>
        </w:tc>
        <w:tc>
          <w:tcPr>
            <w:tcW w:w="637" w:type="pct"/>
            <w:tcBorders>
              <w:top w:val="single" w:sz="6" w:space="0" w:color="auto"/>
              <w:left w:val="single" w:sz="6" w:space="0" w:color="auto"/>
              <w:bottom w:val="single" w:sz="6" w:space="0" w:color="auto"/>
              <w:right w:val="single" w:sz="6" w:space="0" w:color="auto"/>
            </w:tcBorders>
          </w:tcPr>
          <w:p w14:paraId="1D79B820" w14:textId="77777777" w:rsidR="004D2DF4" w:rsidRPr="00A9330B" w:rsidRDefault="004D2DF4" w:rsidP="004D2DF4">
            <w:pPr>
              <w:widowControl w:val="0"/>
              <w:autoSpaceDE w:val="0"/>
              <w:autoSpaceDN w:val="0"/>
              <w:adjustRightInd w:val="0"/>
              <w:spacing w:before="60" w:line="240" w:lineRule="auto"/>
              <w:jc w:val="center"/>
              <w:rPr>
                <w:rFonts w:eastAsia="Calibri" w:cs="Arial"/>
                <w:color w:val="auto"/>
                <w:sz w:val="18"/>
                <w:szCs w:val="18"/>
              </w:rPr>
            </w:pPr>
            <w:r w:rsidRPr="00A9330B">
              <w:rPr>
                <w:rFonts w:eastAsia="Calibri" w:cs="Arial"/>
                <w:color w:val="auto"/>
                <w:sz w:val="18"/>
                <w:szCs w:val="18"/>
              </w:rPr>
              <w:t>Au démarrage et pendant les travaux</w:t>
            </w:r>
          </w:p>
        </w:tc>
        <w:tc>
          <w:tcPr>
            <w:tcW w:w="657" w:type="pct"/>
            <w:tcBorders>
              <w:top w:val="single" w:sz="6" w:space="0" w:color="auto"/>
              <w:left w:val="single" w:sz="6" w:space="0" w:color="auto"/>
              <w:bottom w:val="single" w:sz="6" w:space="0" w:color="auto"/>
              <w:right w:val="single" w:sz="6" w:space="0" w:color="auto"/>
            </w:tcBorders>
          </w:tcPr>
          <w:p w14:paraId="619958C0" w14:textId="77777777" w:rsidR="004D2DF4" w:rsidRPr="00A9330B" w:rsidRDefault="004D2DF4" w:rsidP="004D2DF4">
            <w:pPr>
              <w:widowControl w:val="0"/>
              <w:spacing w:before="60" w:line="240" w:lineRule="auto"/>
              <w:jc w:val="center"/>
              <w:rPr>
                <w:rFonts w:eastAsia="Calibri" w:cs="Arial"/>
                <w:color w:val="auto"/>
                <w:sz w:val="18"/>
                <w:szCs w:val="18"/>
              </w:rPr>
            </w:pPr>
            <w:r w:rsidRPr="00A9330B">
              <w:rPr>
                <w:rFonts w:eastAsia="Calibri" w:cs="Arial"/>
                <w:color w:val="auto"/>
                <w:sz w:val="18"/>
                <w:szCs w:val="18"/>
              </w:rPr>
              <w:t>MDC</w:t>
            </w:r>
          </w:p>
          <w:p w14:paraId="52EEA646" w14:textId="77777777" w:rsidR="004D2DF4" w:rsidRPr="00A9330B" w:rsidRDefault="004D2DF4" w:rsidP="004D2DF4">
            <w:pPr>
              <w:widowControl w:val="0"/>
              <w:spacing w:before="60" w:line="240" w:lineRule="auto"/>
              <w:jc w:val="center"/>
              <w:rPr>
                <w:rFonts w:eastAsia="Calibri" w:cs="Arial"/>
                <w:color w:val="auto"/>
                <w:sz w:val="18"/>
                <w:szCs w:val="18"/>
              </w:rPr>
            </w:pPr>
            <w:r w:rsidRPr="00A9330B">
              <w:rPr>
                <w:rFonts w:eastAsia="Calibri" w:cs="Arial"/>
                <w:color w:val="auto"/>
                <w:sz w:val="18"/>
                <w:szCs w:val="18"/>
              </w:rPr>
              <w:t>Entreprise chargée des travaux</w:t>
            </w:r>
          </w:p>
        </w:tc>
        <w:tc>
          <w:tcPr>
            <w:tcW w:w="897" w:type="pct"/>
            <w:tcBorders>
              <w:top w:val="single" w:sz="6" w:space="0" w:color="auto"/>
              <w:left w:val="single" w:sz="6" w:space="0" w:color="auto"/>
              <w:bottom w:val="single" w:sz="6" w:space="0" w:color="auto"/>
              <w:right w:val="single" w:sz="8" w:space="0" w:color="auto"/>
            </w:tcBorders>
          </w:tcPr>
          <w:p w14:paraId="286DB42E" w14:textId="77777777" w:rsidR="004D2DF4" w:rsidRPr="00A9330B" w:rsidRDefault="004D2DF4" w:rsidP="004D2DF4">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t>Mairie de Natitingou (Services Techniques)</w:t>
            </w:r>
          </w:p>
          <w:p w14:paraId="13A62001" w14:textId="77777777" w:rsidR="004D2DF4" w:rsidRPr="00A9330B" w:rsidRDefault="004D2DF4" w:rsidP="004D2DF4">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t>DDCVDD-AD</w:t>
            </w:r>
          </w:p>
          <w:p w14:paraId="6726914A" w14:textId="77777777" w:rsidR="004D2DF4" w:rsidRPr="00A9330B" w:rsidRDefault="004D2DF4" w:rsidP="004D2DF4">
            <w:pPr>
              <w:widowControl w:val="0"/>
              <w:autoSpaceDE w:val="0"/>
              <w:autoSpaceDN w:val="0"/>
              <w:adjustRightInd w:val="0"/>
              <w:spacing w:before="60" w:line="240" w:lineRule="auto"/>
              <w:rPr>
                <w:rFonts w:eastAsia="Calibri" w:cs="Arial"/>
                <w:color w:val="auto"/>
                <w:sz w:val="18"/>
                <w:szCs w:val="18"/>
              </w:rPr>
            </w:pPr>
          </w:p>
        </w:tc>
        <w:tc>
          <w:tcPr>
            <w:tcW w:w="897" w:type="pct"/>
            <w:tcBorders>
              <w:top w:val="single" w:sz="6" w:space="0" w:color="auto"/>
              <w:left w:val="single" w:sz="6" w:space="0" w:color="auto"/>
              <w:bottom w:val="single" w:sz="6" w:space="0" w:color="auto"/>
              <w:right w:val="single" w:sz="8" w:space="0" w:color="auto"/>
            </w:tcBorders>
          </w:tcPr>
          <w:p w14:paraId="57C7F7BC" w14:textId="77777777" w:rsidR="004D2DF4" w:rsidRPr="00A9330B" w:rsidRDefault="004D2DF4" w:rsidP="004D2DF4">
            <w:pPr>
              <w:widowControl w:val="0"/>
              <w:autoSpaceDE w:val="0"/>
              <w:autoSpaceDN w:val="0"/>
              <w:adjustRightInd w:val="0"/>
              <w:spacing w:before="60" w:line="240" w:lineRule="auto"/>
              <w:rPr>
                <w:rFonts w:eastAsia="Calibri" w:cs="Arial"/>
                <w:sz w:val="20"/>
                <w:szCs w:val="20"/>
              </w:rPr>
            </w:pPr>
            <w:r w:rsidRPr="00A9330B">
              <w:rPr>
                <w:rFonts w:eastAsia="Calibri" w:cs="Arial"/>
                <w:sz w:val="20"/>
                <w:szCs w:val="20"/>
              </w:rPr>
              <w:t>Intégrer dans sécurité de chantier (DAO travaux)</w:t>
            </w:r>
          </w:p>
          <w:p w14:paraId="1E69CFFA" w14:textId="77777777" w:rsidR="004D2DF4" w:rsidRPr="00A9330B" w:rsidRDefault="004D2DF4" w:rsidP="004D2DF4">
            <w:pPr>
              <w:widowControl w:val="0"/>
              <w:autoSpaceDE w:val="0"/>
              <w:autoSpaceDN w:val="0"/>
              <w:adjustRightInd w:val="0"/>
              <w:spacing w:before="60" w:line="240" w:lineRule="auto"/>
              <w:rPr>
                <w:rFonts w:eastAsia="Calibri" w:cs="Arial"/>
                <w:color w:val="auto"/>
                <w:sz w:val="18"/>
                <w:szCs w:val="18"/>
              </w:rPr>
            </w:pPr>
          </w:p>
        </w:tc>
      </w:tr>
      <w:tr w:rsidR="00606E97" w:rsidRPr="00A9330B" w14:paraId="052A5EE8" w14:textId="5C5C646A" w:rsidTr="006C383B">
        <w:trPr>
          <w:trHeight w:val="1264"/>
        </w:trPr>
        <w:tc>
          <w:tcPr>
            <w:tcW w:w="996" w:type="pct"/>
            <w:tcBorders>
              <w:top w:val="single" w:sz="6" w:space="0" w:color="auto"/>
              <w:left w:val="single" w:sz="8" w:space="0" w:color="auto"/>
              <w:bottom w:val="single" w:sz="6" w:space="0" w:color="auto"/>
              <w:right w:val="single" w:sz="6" w:space="0" w:color="auto"/>
            </w:tcBorders>
          </w:tcPr>
          <w:p w14:paraId="297E6976" w14:textId="77777777" w:rsidR="00606E97" w:rsidRPr="00A9330B" w:rsidRDefault="00606E97" w:rsidP="00606E97">
            <w:pPr>
              <w:widowControl w:val="0"/>
              <w:spacing w:before="60" w:line="240" w:lineRule="auto"/>
              <w:jc w:val="both"/>
              <w:rPr>
                <w:rFonts w:eastAsia="Calibri" w:cs="Arial"/>
                <w:color w:val="auto"/>
                <w:sz w:val="18"/>
                <w:szCs w:val="18"/>
              </w:rPr>
            </w:pPr>
          </w:p>
          <w:p w14:paraId="71A0A443" w14:textId="77777777" w:rsidR="00606E97" w:rsidRPr="00A9330B" w:rsidRDefault="00606E97" w:rsidP="00606E97">
            <w:pPr>
              <w:widowControl w:val="0"/>
              <w:spacing w:before="60" w:line="240" w:lineRule="auto"/>
              <w:jc w:val="both"/>
              <w:rPr>
                <w:rFonts w:eastAsia="Calibri" w:cs="Arial"/>
                <w:color w:val="auto"/>
                <w:sz w:val="18"/>
                <w:szCs w:val="18"/>
              </w:rPr>
            </w:pPr>
            <w:r w:rsidRPr="00A9330B">
              <w:rPr>
                <w:rFonts w:eastAsia="Calibri" w:cs="Arial"/>
                <w:color w:val="auto"/>
                <w:sz w:val="18"/>
                <w:szCs w:val="18"/>
              </w:rPr>
              <w:t xml:space="preserve">2.5.a.1.2. ; </w:t>
            </w:r>
            <w:r w:rsidRPr="00A9330B">
              <w:rPr>
                <w:rFonts w:cs="Arial"/>
                <w:color w:val="auto"/>
                <w:sz w:val="18"/>
                <w:szCs w:val="18"/>
              </w:rPr>
              <w:t>2.5.a.2.2. ; </w:t>
            </w:r>
            <w:r w:rsidRPr="00A9330B">
              <w:rPr>
                <w:rFonts w:eastAsia="Calibri" w:cs="Arial"/>
                <w:color w:val="auto"/>
                <w:sz w:val="18"/>
                <w:szCs w:val="18"/>
              </w:rPr>
              <w:t>2.6.a.1.2. ; 2.7.a.2.2.   Veiller à l’entretien des engins et véhicules de chantier</w:t>
            </w:r>
          </w:p>
        </w:tc>
        <w:tc>
          <w:tcPr>
            <w:tcW w:w="916" w:type="pct"/>
            <w:tcBorders>
              <w:top w:val="single" w:sz="6" w:space="0" w:color="auto"/>
              <w:left w:val="single" w:sz="6" w:space="0" w:color="auto"/>
              <w:bottom w:val="single" w:sz="6" w:space="0" w:color="auto"/>
              <w:right w:val="single" w:sz="6" w:space="0" w:color="auto"/>
            </w:tcBorders>
          </w:tcPr>
          <w:p w14:paraId="3ACA9AB9" w14:textId="77777777" w:rsidR="00606E97" w:rsidRPr="00A9330B" w:rsidRDefault="00606E97" w:rsidP="00606E97">
            <w:pPr>
              <w:widowControl w:val="0"/>
              <w:autoSpaceDE w:val="0"/>
              <w:autoSpaceDN w:val="0"/>
              <w:adjustRightInd w:val="0"/>
              <w:spacing w:before="60" w:line="240" w:lineRule="auto"/>
              <w:jc w:val="both"/>
              <w:rPr>
                <w:rFonts w:eastAsia="Calibri" w:cs="Arial"/>
                <w:color w:val="auto"/>
                <w:sz w:val="18"/>
                <w:szCs w:val="18"/>
              </w:rPr>
            </w:pPr>
            <w:r w:rsidRPr="00A9330B">
              <w:rPr>
                <w:rFonts w:eastAsia="Calibri" w:cs="Arial"/>
                <w:color w:val="auto"/>
                <w:sz w:val="18"/>
                <w:szCs w:val="18"/>
              </w:rPr>
              <w:t>Disponibilité des certificats de visites techniques ;</w:t>
            </w:r>
          </w:p>
          <w:p w14:paraId="099E72C4" w14:textId="77777777" w:rsidR="00606E97" w:rsidRPr="00A9330B" w:rsidRDefault="00606E97" w:rsidP="00606E97">
            <w:pPr>
              <w:widowControl w:val="0"/>
              <w:autoSpaceDE w:val="0"/>
              <w:autoSpaceDN w:val="0"/>
              <w:adjustRightInd w:val="0"/>
              <w:spacing w:before="60" w:line="240" w:lineRule="auto"/>
              <w:jc w:val="both"/>
              <w:rPr>
                <w:rFonts w:eastAsia="Calibri" w:cs="Arial"/>
                <w:color w:val="auto"/>
                <w:sz w:val="18"/>
                <w:szCs w:val="18"/>
              </w:rPr>
            </w:pPr>
            <w:r w:rsidRPr="00A9330B">
              <w:rPr>
                <w:rFonts w:eastAsia="Calibri" w:cs="Arial"/>
                <w:color w:val="auto"/>
                <w:sz w:val="18"/>
                <w:szCs w:val="18"/>
              </w:rPr>
              <w:t>Conformité des émissions des véhicules et engins aux normes admises ;</w:t>
            </w:r>
          </w:p>
          <w:p w14:paraId="1EA58E97" w14:textId="77777777" w:rsidR="00606E97" w:rsidRPr="00A9330B" w:rsidRDefault="00606E97" w:rsidP="00606E97">
            <w:pPr>
              <w:widowControl w:val="0"/>
              <w:autoSpaceDE w:val="0"/>
              <w:autoSpaceDN w:val="0"/>
              <w:adjustRightInd w:val="0"/>
              <w:spacing w:before="60" w:line="240" w:lineRule="auto"/>
              <w:jc w:val="both"/>
              <w:rPr>
                <w:rFonts w:eastAsia="Calibri" w:cs="Arial"/>
                <w:color w:val="auto"/>
                <w:sz w:val="18"/>
                <w:szCs w:val="18"/>
              </w:rPr>
            </w:pPr>
            <w:r w:rsidRPr="00A9330B">
              <w:rPr>
                <w:rFonts w:eastAsia="Calibri" w:cs="Arial"/>
                <w:color w:val="auto"/>
                <w:sz w:val="18"/>
                <w:szCs w:val="18"/>
              </w:rPr>
              <w:t>Absence de plaintes des riverains relatives aux horaires de travail.</w:t>
            </w:r>
          </w:p>
        </w:tc>
        <w:tc>
          <w:tcPr>
            <w:tcW w:w="637" w:type="pct"/>
            <w:tcBorders>
              <w:top w:val="single" w:sz="6" w:space="0" w:color="auto"/>
              <w:left w:val="single" w:sz="6" w:space="0" w:color="auto"/>
              <w:bottom w:val="single" w:sz="6" w:space="0" w:color="auto"/>
              <w:right w:val="single" w:sz="6" w:space="0" w:color="auto"/>
            </w:tcBorders>
          </w:tcPr>
          <w:p w14:paraId="505BF1F9" w14:textId="77777777" w:rsidR="00606E97" w:rsidRPr="00A9330B" w:rsidRDefault="00606E97" w:rsidP="00606E97">
            <w:pPr>
              <w:widowControl w:val="0"/>
              <w:autoSpaceDE w:val="0"/>
              <w:autoSpaceDN w:val="0"/>
              <w:adjustRightInd w:val="0"/>
              <w:spacing w:before="60" w:line="240" w:lineRule="auto"/>
              <w:jc w:val="center"/>
              <w:rPr>
                <w:rFonts w:eastAsia="Calibri" w:cs="Arial"/>
                <w:color w:val="auto"/>
                <w:sz w:val="18"/>
                <w:szCs w:val="18"/>
              </w:rPr>
            </w:pPr>
            <w:r w:rsidRPr="00A9330B">
              <w:rPr>
                <w:rFonts w:eastAsia="Calibri" w:cs="Arial"/>
                <w:color w:val="auto"/>
                <w:sz w:val="18"/>
                <w:szCs w:val="18"/>
              </w:rPr>
              <w:t>Toutes les phases du projet</w:t>
            </w:r>
          </w:p>
        </w:tc>
        <w:tc>
          <w:tcPr>
            <w:tcW w:w="657" w:type="pct"/>
            <w:tcBorders>
              <w:top w:val="single" w:sz="6" w:space="0" w:color="auto"/>
              <w:left w:val="single" w:sz="6" w:space="0" w:color="auto"/>
              <w:bottom w:val="single" w:sz="6" w:space="0" w:color="auto"/>
              <w:right w:val="single" w:sz="6" w:space="0" w:color="auto"/>
            </w:tcBorders>
          </w:tcPr>
          <w:p w14:paraId="725EC35B" w14:textId="77777777" w:rsidR="00606E97" w:rsidRPr="00A9330B" w:rsidRDefault="00606E97" w:rsidP="00606E97">
            <w:pPr>
              <w:widowControl w:val="0"/>
              <w:spacing w:before="60" w:line="240" w:lineRule="auto"/>
              <w:jc w:val="center"/>
              <w:rPr>
                <w:rFonts w:eastAsia="Calibri" w:cs="Arial"/>
                <w:color w:val="auto"/>
                <w:sz w:val="18"/>
                <w:szCs w:val="18"/>
              </w:rPr>
            </w:pPr>
            <w:r w:rsidRPr="00A9330B">
              <w:rPr>
                <w:rFonts w:eastAsia="Calibri" w:cs="Arial"/>
                <w:color w:val="auto"/>
                <w:sz w:val="18"/>
                <w:szCs w:val="18"/>
              </w:rPr>
              <w:t>MDC</w:t>
            </w:r>
          </w:p>
          <w:p w14:paraId="38797B76" w14:textId="77777777" w:rsidR="00606E97" w:rsidRPr="00A9330B" w:rsidRDefault="00606E97" w:rsidP="00606E97">
            <w:pPr>
              <w:widowControl w:val="0"/>
              <w:spacing w:before="60" w:line="240" w:lineRule="auto"/>
              <w:jc w:val="center"/>
              <w:rPr>
                <w:rFonts w:eastAsia="Calibri" w:cs="Arial"/>
                <w:color w:val="auto"/>
                <w:sz w:val="18"/>
                <w:szCs w:val="18"/>
              </w:rPr>
            </w:pPr>
            <w:r w:rsidRPr="00A9330B">
              <w:rPr>
                <w:rFonts w:eastAsia="Calibri" w:cs="Arial"/>
                <w:color w:val="auto"/>
                <w:sz w:val="18"/>
                <w:szCs w:val="18"/>
              </w:rPr>
              <w:t>Entreprise chargée des travaux</w:t>
            </w:r>
          </w:p>
          <w:p w14:paraId="27822C05" w14:textId="77777777" w:rsidR="00606E97" w:rsidRPr="00A9330B" w:rsidRDefault="00606E97" w:rsidP="00606E97">
            <w:pPr>
              <w:widowControl w:val="0"/>
              <w:spacing w:before="60" w:line="240" w:lineRule="auto"/>
              <w:jc w:val="center"/>
              <w:rPr>
                <w:rFonts w:eastAsia="Calibri" w:cs="Arial"/>
                <w:color w:val="auto"/>
                <w:sz w:val="18"/>
                <w:szCs w:val="18"/>
              </w:rPr>
            </w:pPr>
          </w:p>
        </w:tc>
        <w:tc>
          <w:tcPr>
            <w:tcW w:w="897" w:type="pct"/>
            <w:tcBorders>
              <w:top w:val="single" w:sz="6" w:space="0" w:color="auto"/>
              <w:left w:val="single" w:sz="6" w:space="0" w:color="auto"/>
              <w:bottom w:val="single" w:sz="6" w:space="0" w:color="auto"/>
              <w:right w:val="single" w:sz="8" w:space="0" w:color="auto"/>
            </w:tcBorders>
          </w:tcPr>
          <w:p w14:paraId="47DF809A" w14:textId="040E1E19" w:rsidR="00606E97" w:rsidRPr="00A9330B" w:rsidRDefault="00606E97" w:rsidP="00606E97">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t xml:space="preserve">Mairie concernée (Natitingou)  </w:t>
            </w:r>
          </w:p>
          <w:p w14:paraId="6455640B" w14:textId="77777777" w:rsidR="00606E97" w:rsidRPr="00A9330B" w:rsidRDefault="00606E97" w:rsidP="00606E97">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t>Direction Départementale du Cadre de Vie et du Développement Durable (DDCVDD-AD)</w:t>
            </w:r>
          </w:p>
          <w:p w14:paraId="3AEBDA81" w14:textId="77777777" w:rsidR="00606E97" w:rsidRPr="00A9330B" w:rsidRDefault="00606E97" w:rsidP="00606E97">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t>Direction Départementale des Infrastructures et des Transports</w:t>
            </w:r>
          </w:p>
        </w:tc>
        <w:tc>
          <w:tcPr>
            <w:tcW w:w="897" w:type="pct"/>
            <w:tcBorders>
              <w:top w:val="single" w:sz="6" w:space="0" w:color="auto"/>
              <w:left w:val="single" w:sz="6" w:space="0" w:color="auto"/>
              <w:bottom w:val="single" w:sz="6" w:space="0" w:color="auto"/>
              <w:right w:val="single" w:sz="8" w:space="0" w:color="auto"/>
            </w:tcBorders>
          </w:tcPr>
          <w:p w14:paraId="5F8511FE" w14:textId="22677012" w:rsidR="00606E97" w:rsidRPr="00A9330B" w:rsidRDefault="00606E97" w:rsidP="00606E97">
            <w:pPr>
              <w:widowControl w:val="0"/>
              <w:autoSpaceDE w:val="0"/>
              <w:autoSpaceDN w:val="0"/>
              <w:adjustRightInd w:val="0"/>
              <w:spacing w:before="60" w:line="240" w:lineRule="auto"/>
              <w:jc w:val="center"/>
              <w:rPr>
                <w:rFonts w:eastAsia="Calibri" w:cs="Arial"/>
                <w:color w:val="auto"/>
                <w:sz w:val="18"/>
                <w:szCs w:val="18"/>
              </w:rPr>
            </w:pPr>
            <w:r w:rsidRPr="00A9330B">
              <w:rPr>
                <w:rFonts w:eastAsia="Calibri" w:cs="Arial"/>
                <w:color w:val="auto"/>
                <w:sz w:val="18"/>
                <w:szCs w:val="18"/>
              </w:rPr>
              <w:t>Aucun</w:t>
            </w:r>
          </w:p>
        </w:tc>
      </w:tr>
      <w:tr w:rsidR="00606E97" w:rsidRPr="00A9330B" w14:paraId="63FD7533" w14:textId="0F103529" w:rsidTr="006C383B">
        <w:trPr>
          <w:trHeight w:val="257"/>
        </w:trPr>
        <w:tc>
          <w:tcPr>
            <w:tcW w:w="996" w:type="pct"/>
            <w:tcBorders>
              <w:top w:val="single" w:sz="6" w:space="0" w:color="auto"/>
              <w:left w:val="single" w:sz="8" w:space="0" w:color="auto"/>
              <w:bottom w:val="single" w:sz="6" w:space="0" w:color="auto"/>
              <w:right w:val="single" w:sz="6" w:space="0" w:color="auto"/>
            </w:tcBorders>
          </w:tcPr>
          <w:p w14:paraId="4587AE2B" w14:textId="77777777" w:rsidR="00606E97" w:rsidRPr="00A9330B" w:rsidRDefault="00606E97" w:rsidP="00606E97">
            <w:pPr>
              <w:widowControl w:val="0"/>
              <w:autoSpaceDE w:val="0"/>
              <w:autoSpaceDN w:val="0"/>
              <w:adjustRightInd w:val="0"/>
              <w:spacing w:before="60" w:line="240" w:lineRule="auto"/>
              <w:jc w:val="both"/>
              <w:rPr>
                <w:rFonts w:eastAsia="Calibri" w:cs="Arial"/>
                <w:color w:val="auto"/>
                <w:sz w:val="18"/>
                <w:szCs w:val="18"/>
              </w:rPr>
            </w:pPr>
            <w:r w:rsidRPr="00A9330B">
              <w:rPr>
                <w:rFonts w:eastAsia="Calibri" w:cs="Arial"/>
                <w:color w:val="auto"/>
                <w:sz w:val="18"/>
                <w:szCs w:val="18"/>
              </w:rPr>
              <w:t xml:space="preserve">2.5.a.5.1. ; 2.8.a.7.4. ; </w:t>
            </w:r>
          </w:p>
          <w:p w14:paraId="013170D5" w14:textId="77777777" w:rsidR="00606E97" w:rsidRPr="00A9330B" w:rsidRDefault="00606E97" w:rsidP="00606E97">
            <w:pPr>
              <w:widowControl w:val="0"/>
              <w:autoSpaceDE w:val="0"/>
              <w:autoSpaceDN w:val="0"/>
              <w:adjustRightInd w:val="0"/>
              <w:spacing w:before="60" w:line="240" w:lineRule="auto"/>
              <w:jc w:val="both"/>
              <w:rPr>
                <w:rFonts w:eastAsia="Calibri" w:cs="Arial"/>
                <w:color w:val="auto"/>
                <w:sz w:val="18"/>
                <w:szCs w:val="18"/>
              </w:rPr>
            </w:pPr>
            <w:r w:rsidRPr="00A9330B">
              <w:rPr>
                <w:rFonts w:eastAsia="Calibri" w:cs="Arial"/>
                <w:color w:val="auto"/>
                <w:sz w:val="18"/>
                <w:szCs w:val="18"/>
              </w:rPr>
              <w:t xml:space="preserve">Veiller à l’entreposage adéquat des matériaux </w:t>
            </w:r>
          </w:p>
        </w:tc>
        <w:tc>
          <w:tcPr>
            <w:tcW w:w="916" w:type="pct"/>
            <w:tcBorders>
              <w:top w:val="single" w:sz="6" w:space="0" w:color="auto"/>
              <w:left w:val="single" w:sz="6" w:space="0" w:color="auto"/>
              <w:bottom w:val="single" w:sz="6" w:space="0" w:color="auto"/>
              <w:right w:val="single" w:sz="6" w:space="0" w:color="auto"/>
            </w:tcBorders>
          </w:tcPr>
          <w:p w14:paraId="60C23A3F" w14:textId="77777777" w:rsidR="00606E97" w:rsidRPr="00A9330B" w:rsidRDefault="00606E97" w:rsidP="00606E97">
            <w:pPr>
              <w:widowControl w:val="0"/>
              <w:autoSpaceDE w:val="0"/>
              <w:autoSpaceDN w:val="0"/>
              <w:adjustRightInd w:val="0"/>
              <w:spacing w:before="60" w:line="240" w:lineRule="auto"/>
              <w:jc w:val="both"/>
              <w:rPr>
                <w:rFonts w:eastAsia="Calibri" w:cs="Arial"/>
                <w:color w:val="auto"/>
                <w:sz w:val="18"/>
                <w:szCs w:val="18"/>
              </w:rPr>
            </w:pPr>
            <w:r w:rsidRPr="00A9330B">
              <w:rPr>
                <w:rFonts w:eastAsia="Calibri" w:cs="Arial"/>
                <w:color w:val="auto"/>
                <w:sz w:val="18"/>
                <w:szCs w:val="18"/>
              </w:rPr>
              <w:t xml:space="preserve">Organisation de chantier et aménagement du site </w:t>
            </w:r>
          </w:p>
          <w:p w14:paraId="16417CCD" w14:textId="77777777" w:rsidR="00606E97" w:rsidRPr="00A9330B" w:rsidRDefault="00606E97" w:rsidP="00606E97">
            <w:pPr>
              <w:widowControl w:val="0"/>
              <w:autoSpaceDE w:val="0"/>
              <w:autoSpaceDN w:val="0"/>
              <w:adjustRightInd w:val="0"/>
              <w:spacing w:before="60" w:line="240" w:lineRule="auto"/>
              <w:jc w:val="both"/>
              <w:rPr>
                <w:rFonts w:eastAsia="Calibri" w:cs="Arial"/>
                <w:color w:val="auto"/>
                <w:sz w:val="18"/>
                <w:szCs w:val="18"/>
              </w:rPr>
            </w:pPr>
            <w:r w:rsidRPr="00A9330B">
              <w:rPr>
                <w:rFonts w:eastAsia="Calibri" w:cs="Arial"/>
                <w:color w:val="auto"/>
                <w:sz w:val="18"/>
                <w:szCs w:val="18"/>
              </w:rPr>
              <w:t>Nombre de plaintes enregistrées</w:t>
            </w:r>
          </w:p>
        </w:tc>
        <w:tc>
          <w:tcPr>
            <w:tcW w:w="637" w:type="pct"/>
            <w:tcBorders>
              <w:top w:val="single" w:sz="6" w:space="0" w:color="auto"/>
              <w:left w:val="single" w:sz="6" w:space="0" w:color="auto"/>
              <w:bottom w:val="single" w:sz="6" w:space="0" w:color="auto"/>
              <w:right w:val="single" w:sz="6" w:space="0" w:color="auto"/>
            </w:tcBorders>
          </w:tcPr>
          <w:p w14:paraId="695D715A" w14:textId="77777777" w:rsidR="00606E97" w:rsidRPr="00A9330B" w:rsidRDefault="00606E97" w:rsidP="00606E97">
            <w:pPr>
              <w:widowControl w:val="0"/>
              <w:autoSpaceDE w:val="0"/>
              <w:autoSpaceDN w:val="0"/>
              <w:adjustRightInd w:val="0"/>
              <w:spacing w:before="60" w:line="240" w:lineRule="auto"/>
              <w:jc w:val="center"/>
              <w:rPr>
                <w:rFonts w:eastAsia="Calibri" w:cs="Arial"/>
                <w:color w:val="auto"/>
                <w:sz w:val="18"/>
                <w:szCs w:val="18"/>
              </w:rPr>
            </w:pPr>
            <w:r w:rsidRPr="00A9330B">
              <w:rPr>
                <w:rFonts w:eastAsia="Calibri" w:cs="Arial"/>
                <w:color w:val="auto"/>
                <w:sz w:val="18"/>
                <w:szCs w:val="18"/>
              </w:rPr>
              <w:t>Pendant et à la fin des travaux</w:t>
            </w:r>
          </w:p>
        </w:tc>
        <w:tc>
          <w:tcPr>
            <w:tcW w:w="657" w:type="pct"/>
            <w:tcBorders>
              <w:top w:val="single" w:sz="6" w:space="0" w:color="auto"/>
              <w:left w:val="single" w:sz="6" w:space="0" w:color="auto"/>
              <w:bottom w:val="single" w:sz="6" w:space="0" w:color="auto"/>
              <w:right w:val="single" w:sz="6" w:space="0" w:color="auto"/>
            </w:tcBorders>
          </w:tcPr>
          <w:p w14:paraId="40D28255" w14:textId="77777777" w:rsidR="00606E97" w:rsidRPr="00A9330B" w:rsidRDefault="00606E97" w:rsidP="00606E97">
            <w:pPr>
              <w:widowControl w:val="0"/>
              <w:autoSpaceDE w:val="0"/>
              <w:autoSpaceDN w:val="0"/>
              <w:adjustRightInd w:val="0"/>
              <w:spacing w:before="60" w:line="240" w:lineRule="auto"/>
              <w:jc w:val="center"/>
              <w:rPr>
                <w:rFonts w:eastAsia="Calibri" w:cs="Arial"/>
                <w:color w:val="auto"/>
                <w:sz w:val="18"/>
                <w:szCs w:val="18"/>
              </w:rPr>
            </w:pPr>
            <w:r w:rsidRPr="00A9330B">
              <w:rPr>
                <w:rFonts w:eastAsia="Calibri" w:cs="Arial"/>
                <w:color w:val="auto"/>
                <w:sz w:val="18"/>
                <w:szCs w:val="18"/>
              </w:rPr>
              <w:t>MDC</w:t>
            </w:r>
          </w:p>
          <w:p w14:paraId="66DEBB49" w14:textId="77777777" w:rsidR="00606E97" w:rsidRPr="00A9330B" w:rsidRDefault="00606E97" w:rsidP="00606E97">
            <w:pPr>
              <w:widowControl w:val="0"/>
              <w:autoSpaceDE w:val="0"/>
              <w:autoSpaceDN w:val="0"/>
              <w:adjustRightInd w:val="0"/>
              <w:spacing w:before="60" w:line="240" w:lineRule="auto"/>
              <w:jc w:val="center"/>
              <w:rPr>
                <w:rFonts w:eastAsia="Calibri" w:cs="Arial"/>
                <w:color w:val="auto"/>
                <w:sz w:val="18"/>
                <w:szCs w:val="18"/>
              </w:rPr>
            </w:pPr>
            <w:r w:rsidRPr="00A9330B">
              <w:rPr>
                <w:rFonts w:eastAsia="Calibri" w:cs="Arial"/>
                <w:color w:val="auto"/>
                <w:sz w:val="18"/>
                <w:szCs w:val="18"/>
              </w:rPr>
              <w:t>Entreprise chargée des travaux</w:t>
            </w:r>
          </w:p>
        </w:tc>
        <w:tc>
          <w:tcPr>
            <w:tcW w:w="897" w:type="pct"/>
            <w:tcBorders>
              <w:top w:val="single" w:sz="6" w:space="0" w:color="auto"/>
              <w:left w:val="single" w:sz="6" w:space="0" w:color="auto"/>
              <w:bottom w:val="single" w:sz="6" w:space="0" w:color="auto"/>
              <w:right w:val="single" w:sz="8" w:space="0" w:color="auto"/>
            </w:tcBorders>
          </w:tcPr>
          <w:p w14:paraId="09C3D982" w14:textId="77777777" w:rsidR="00606E97" w:rsidRPr="00A9330B" w:rsidRDefault="00606E97" w:rsidP="00606E97">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t>Mairie de Natitingou</w:t>
            </w:r>
          </w:p>
          <w:p w14:paraId="397BF89D" w14:textId="77777777" w:rsidR="00606E97" w:rsidRPr="00A9330B" w:rsidRDefault="00606E97" w:rsidP="00606E97">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t>Direction Départementale du Cadre de Vie et du Développement Durable (DDCVDD- AD)</w:t>
            </w:r>
          </w:p>
        </w:tc>
        <w:tc>
          <w:tcPr>
            <w:tcW w:w="897" w:type="pct"/>
            <w:tcBorders>
              <w:top w:val="single" w:sz="6" w:space="0" w:color="auto"/>
              <w:left w:val="single" w:sz="6" w:space="0" w:color="auto"/>
              <w:bottom w:val="single" w:sz="6" w:space="0" w:color="auto"/>
              <w:right w:val="single" w:sz="8" w:space="0" w:color="auto"/>
            </w:tcBorders>
          </w:tcPr>
          <w:p w14:paraId="7BD43158" w14:textId="27516686" w:rsidR="00606E97" w:rsidRPr="00A9330B" w:rsidRDefault="00606E97" w:rsidP="00606E97">
            <w:pPr>
              <w:widowControl w:val="0"/>
              <w:autoSpaceDE w:val="0"/>
              <w:autoSpaceDN w:val="0"/>
              <w:adjustRightInd w:val="0"/>
              <w:spacing w:before="60" w:line="240" w:lineRule="auto"/>
              <w:jc w:val="center"/>
              <w:rPr>
                <w:rFonts w:eastAsia="Calibri" w:cs="Arial"/>
                <w:color w:val="auto"/>
                <w:sz w:val="18"/>
                <w:szCs w:val="18"/>
              </w:rPr>
            </w:pPr>
            <w:r w:rsidRPr="00A9330B">
              <w:rPr>
                <w:rFonts w:eastAsia="Calibri" w:cs="Arial"/>
                <w:color w:val="auto"/>
                <w:sz w:val="18"/>
                <w:szCs w:val="18"/>
              </w:rPr>
              <w:t>Aucun</w:t>
            </w:r>
          </w:p>
        </w:tc>
      </w:tr>
      <w:tr w:rsidR="00606E97" w:rsidRPr="00A9330B" w14:paraId="3BEEC81A" w14:textId="1675F9CD" w:rsidTr="006C383B">
        <w:trPr>
          <w:trHeight w:val="791"/>
        </w:trPr>
        <w:tc>
          <w:tcPr>
            <w:tcW w:w="996" w:type="pct"/>
            <w:tcBorders>
              <w:top w:val="single" w:sz="6" w:space="0" w:color="auto"/>
              <w:left w:val="single" w:sz="8" w:space="0" w:color="auto"/>
              <w:bottom w:val="single" w:sz="6" w:space="0" w:color="auto"/>
              <w:right w:val="single" w:sz="6" w:space="0" w:color="auto"/>
            </w:tcBorders>
          </w:tcPr>
          <w:p w14:paraId="0D862163" w14:textId="77777777" w:rsidR="00606E97" w:rsidRPr="00A9330B" w:rsidRDefault="00606E97" w:rsidP="00606E97">
            <w:pPr>
              <w:widowControl w:val="0"/>
              <w:spacing w:before="60" w:line="240" w:lineRule="auto"/>
              <w:jc w:val="both"/>
              <w:rPr>
                <w:rFonts w:eastAsia="Calibri" w:cs="Arial"/>
                <w:color w:val="auto"/>
                <w:sz w:val="18"/>
                <w:szCs w:val="18"/>
              </w:rPr>
            </w:pPr>
            <w:r w:rsidRPr="00A9330B">
              <w:rPr>
                <w:rFonts w:eastAsia="Calibri" w:cs="Arial"/>
                <w:color w:val="auto"/>
                <w:sz w:val="18"/>
                <w:szCs w:val="18"/>
              </w:rPr>
              <w:t>2.6.a.2.1. ; 2.7.a.3.1.</w:t>
            </w:r>
          </w:p>
          <w:p w14:paraId="6DBB901B" w14:textId="77777777" w:rsidR="00606E97" w:rsidRPr="00A9330B" w:rsidRDefault="00606E97" w:rsidP="00606E97">
            <w:pPr>
              <w:widowControl w:val="0"/>
              <w:spacing w:before="60" w:line="240" w:lineRule="auto"/>
              <w:jc w:val="both"/>
              <w:rPr>
                <w:rFonts w:eastAsia="Calibri" w:cs="Arial"/>
                <w:color w:val="auto"/>
                <w:sz w:val="18"/>
                <w:szCs w:val="18"/>
              </w:rPr>
            </w:pPr>
            <w:r w:rsidRPr="00A9330B">
              <w:rPr>
                <w:rFonts w:eastAsia="Calibri" w:cs="Arial"/>
                <w:color w:val="auto"/>
                <w:sz w:val="18"/>
                <w:szCs w:val="18"/>
              </w:rPr>
              <w:t>Couvrir de bâches les camions qui transportent les matériaux  venant des carrières et des emprunts</w:t>
            </w:r>
          </w:p>
        </w:tc>
        <w:tc>
          <w:tcPr>
            <w:tcW w:w="916" w:type="pct"/>
            <w:tcBorders>
              <w:top w:val="single" w:sz="6" w:space="0" w:color="auto"/>
              <w:left w:val="single" w:sz="6" w:space="0" w:color="auto"/>
              <w:bottom w:val="single" w:sz="6" w:space="0" w:color="auto"/>
              <w:right w:val="single" w:sz="6" w:space="0" w:color="auto"/>
            </w:tcBorders>
          </w:tcPr>
          <w:p w14:paraId="4F943E0A" w14:textId="77777777" w:rsidR="00606E97" w:rsidRPr="00A9330B" w:rsidRDefault="00606E97" w:rsidP="00606E97">
            <w:pPr>
              <w:widowControl w:val="0"/>
              <w:autoSpaceDE w:val="0"/>
              <w:autoSpaceDN w:val="0"/>
              <w:adjustRightInd w:val="0"/>
              <w:spacing w:before="60" w:line="240" w:lineRule="auto"/>
              <w:jc w:val="both"/>
              <w:rPr>
                <w:rFonts w:eastAsia="Calibri" w:cs="Arial"/>
                <w:color w:val="auto"/>
                <w:sz w:val="18"/>
                <w:szCs w:val="18"/>
              </w:rPr>
            </w:pPr>
            <w:r w:rsidRPr="00A9330B">
              <w:rPr>
                <w:rFonts w:eastAsia="Calibri" w:cs="Arial"/>
                <w:color w:val="auto"/>
                <w:sz w:val="18"/>
                <w:szCs w:val="18"/>
              </w:rPr>
              <w:t xml:space="preserve">Epandage de matériaux sur les trajets </w:t>
            </w:r>
          </w:p>
          <w:p w14:paraId="051CE492" w14:textId="77777777" w:rsidR="00606E97" w:rsidRPr="00A9330B" w:rsidRDefault="00606E97" w:rsidP="00606E97">
            <w:pPr>
              <w:widowControl w:val="0"/>
              <w:autoSpaceDE w:val="0"/>
              <w:autoSpaceDN w:val="0"/>
              <w:adjustRightInd w:val="0"/>
              <w:spacing w:before="60" w:line="240" w:lineRule="auto"/>
              <w:jc w:val="both"/>
              <w:rPr>
                <w:rFonts w:eastAsia="Calibri" w:cs="Arial"/>
                <w:color w:val="auto"/>
                <w:sz w:val="18"/>
                <w:szCs w:val="18"/>
              </w:rPr>
            </w:pPr>
            <w:r w:rsidRPr="00A9330B">
              <w:rPr>
                <w:rFonts w:eastAsia="Calibri" w:cs="Arial"/>
                <w:color w:val="auto"/>
                <w:sz w:val="18"/>
                <w:szCs w:val="18"/>
              </w:rPr>
              <w:t xml:space="preserve">Présence de bâche sur les chargements </w:t>
            </w:r>
          </w:p>
        </w:tc>
        <w:tc>
          <w:tcPr>
            <w:tcW w:w="637" w:type="pct"/>
            <w:tcBorders>
              <w:top w:val="single" w:sz="6" w:space="0" w:color="auto"/>
              <w:left w:val="single" w:sz="6" w:space="0" w:color="auto"/>
              <w:bottom w:val="single" w:sz="6" w:space="0" w:color="auto"/>
              <w:right w:val="single" w:sz="6" w:space="0" w:color="auto"/>
            </w:tcBorders>
          </w:tcPr>
          <w:p w14:paraId="40796DD6" w14:textId="77777777" w:rsidR="00606E97" w:rsidRPr="00A9330B" w:rsidRDefault="00606E97" w:rsidP="00606E97">
            <w:pPr>
              <w:widowControl w:val="0"/>
              <w:autoSpaceDE w:val="0"/>
              <w:autoSpaceDN w:val="0"/>
              <w:adjustRightInd w:val="0"/>
              <w:spacing w:before="60" w:line="240" w:lineRule="auto"/>
              <w:jc w:val="center"/>
              <w:rPr>
                <w:rFonts w:eastAsia="Calibri" w:cs="Arial"/>
                <w:color w:val="auto"/>
                <w:sz w:val="18"/>
                <w:szCs w:val="18"/>
              </w:rPr>
            </w:pPr>
            <w:r w:rsidRPr="00A9330B">
              <w:rPr>
                <w:rFonts w:eastAsia="Calibri" w:cs="Arial"/>
                <w:color w:val="auto"/>
                <w:sz w:val="18"/>
                <w:szCs w:val="18"/>
              </w:rPr>
              <w:t>Phase préparatoire et de construction</w:t>
            </w:r>
          </w:p>
        </w:tc>
        <w:tc>
          <w:tcPr>
            <w:tcW w:w="657" w:type="pct"/>
            <w:tcBorders>
              <w:top w:val="single" w:sz="6" w:space="0" w:color="auto"/>
              <w:left w:val="single" w:sz="6" w:space="0" w:color="auto"/>
              <w:bottom w:val="single" w:sz="6" w:space="0" w:color="auto"/>
              <w:right w:val="single" w:sz="6" w:space="0" w:color="auto"/>
            </w:tcBorders>
          </w:tcPr>
          <w:p w14:paraId="0D777872" w14:textId="77777777" w:rsidR="00606E97" w:rsidRPr="00A9330B" w:rsidRDefault="00606E97" w:rsidP="00606E97">
            <w:pPr>
              <w:widowControl w:val="0"/>
              <w:spacing w:before="60" w:line="240" w:lineRule="auto"/>
              <w:jc w:val="center"/>
              <w:rPr>
                <w:rFonts w:eastAsia="Calibri" w:cs="Arial"/>
                <w:color w:val="auto"/>
                <w:sz w:val="18"/>
                <w:szCs w:val="18"/>
              </w:rPr>
            </w:pPr>
            <w:r w:rsidRPr="00A9330B">
              <w:rPr>
                <w:rFonts w:eastAsia="Calibri" w:cs="Arial"/>
                <w:color w:val="auto"/>
                <w:sz w:val="18"/>
                <w:szCs w:val="18"/>
              </w:rPr>
              <w:t>MDC</w:t>
            </w:r>
          </w:p>
          <w:p w14:paraId="3B546EC1" w14:textId="77777777" w:rsidR="00606E97" w:rsidRPr="00A9330B" w:rsidRDefault="00606E97" w:rsidP="00606E97">
            <w:pPr>
              <w:widowControl w:val="0"/>
              <w:spacing w:before="60" w:line="240" w:lineRule="auto"/>
              <w:jc w:val="center"/>
              <w:rPr>
                <w:rFonts w:eastAsia="Calibri" w:cs="Arial"/>
                <w:color w:val="auto"/>
                <w:sz w:val="18"/>
                <w:szCs w:val="18"/>
              </w:rPr>
            </w:pPr>
            <w:r w:rsidRPr="00A9330B">
              <w:rPr>
                <w:rFonts w:eastAsia="Calibri" w:cs="Arial"/>
                <w:color w:val="auto"/>
                <w:sz w:val="18"/>
                <w:szCs w:val="18"/>
              </w:rPr>
              <w:t>Entreprise chargée des travaux</w:t>
            </w:r>
          </w:p>
          <w:p w14:paraId="3129A493" w14:textId="77777777" w:rsidR="00606E97" w:rsidRPr="00A9330B" w:rsidRDefault="00606E97" w:rsidP="00606E97">
            <w:pPr>
              <w:widowControl w:val="0"/>
              <w:spacing w:before="60" w:line="240" w:lineRule="auto"/>
              <w:jc w:val="center"/>
              <w:rPr>
                <w:rFonts w:eastAsia="Calibri" w:cs="Arial"/>
                <w:color w:val="auto"/>
                <w:sz w:val="18"/>
                <w:szCs w:val="18"/>
              </w:rPr>
            </w:pPr>
          </w:p>
        </w:tc>
        <w:tc>
          <w:tcPr>
            <w:tcW w:w="897" w:type="pct"/>
            <w:tcBorders>
              <w:top w:val="single" w:sz="6" w:space="0" w:color="auto"/>
              <w:left w:val="single" w:sz="6" w:space="0" w:color="auto"/>
              <w:bottom w:val="single" w:sz="6" w:space="0" w:color="auto"/>
              <w:right w:val="single" w:sz="8" w:space="0" w:color="auto"/>
            </w:tcBorders>
          </w:tcPr>
          <w:p w14:paraId="259B79AA" w14:textId="062708FB" w:rsidR="00606E97" w:rsidRPr="00A9330B" w:rsidRDefault="00606E97" w:rsidP="00606E97">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t xml:space="preserve">Mairie concernée (Natitingou)  </w:t>
            </w:r>
          </w:p>
          <w:p w14:paraId="58973590" w14:textId="77777777" w:rsidR="00606E97" w:rsidRPr="00A9330B" w:rsidRDefault="00606E97" w:rsidP="00606E97">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t>Direction Départementale du Cadre de Vie et du Développement Durable (DDCVDD-AD)</w:t>
            </w:r>
          </w:p>
        </w:tc>
        <w:tc>
          <w:tcPr>
            <w:tcW w:w="897" w:type="pct"/>
            <w:tcBorders>
              <w:top w:val="single" w:sz="6" w:space="0" w:color="auto"/>
              <w:left w:val="single" w:sz="6" w:space="0" w:color="auto"/>
              <w:bottom w:val="single" w:sz="6" w:space="0" w:color="auto"/>
              <w:right w:val="single" w:sz="8" w:space="0" w:color="auto"/>
            </w:tcBorders>
          </w:tcPr>
          <w:p w14:paraId="46FCF8A0" w14:textId="77777777" w:rsidR="00606E97" w:rsidRPr="00A9330B" w:rsidRDefault="00606E97" w:rsidP="00606E97">
            <w:pPr>
              <w:widowControl w:val="0"/>
              <w:autoSpaceDE w:val="0"/>
              <w:autoSpaceDN w:val="0"/>
              <w:adjustRightInd w:val="0"/>
              <w:spacing w:before="60" w:line="240" w:lineRule="auto"/>
              <w:rPr>
                <w:rFonts w:eastAsia="Calibri" w:cs="Arial"/>
                <w:color w:val="auto"/>
                <w:sz w:val="18"/>
                <w:szCs w:val="18"/>
              </w:rPr>
            </w:pPr>
          </w:p>
        </w:tc>
      </w:tr>
      <w:tr w:rsidR="00606E97" w:rsidRPr="00A9330B" w14:paraId="3086174F" w14:textId="71DAF314" w:rsidTr="006C383B">
        <w:trPr>
          <w:trHeight w:val="791"/>
        </w:trPr>
        <w:tc>
          <w:tcPr>
            <w:tcW w:w="996" w:type="pct"/>
            <w:tcBorders>
              <w:top w:val="single" w:sz="6" w:space="0" w:color="auto"/>
              <w:left w:val="single" w:sz="8" w:space="0" w:color="auto"/>
              <w:bottom w:val="single" w:sz="6" w:space="0" w:color="auto"/>
              <w:right w:val="single" w:sz="6" w:space="0" w:color="auto"/>
            </w:tcBorders>
          </w:tcPr>
          <w:p w14:paraId="527F71C6" w14:textId="77777777" w:rsidR="00606E97" w:rsidRPr="00A9330B" w:rsidRDefault="00606E97" w:rsidP="00606E97">
            <w:pPr>
              <w:spacing w:before="60" w:line="240" w:lineRule="auto"/>
              <w:rPr>
                <w:rFonts w:eastAsia="Calibri" w:cs="Arial"/>
                <w:color w:val="auto"/>
                <w:sz w:val="18"/>
                <w:szCs w:val="18"/>
              </w:rPr>
            </w:pPr>
            <w:r w:rsidRPr="00A9330B">
              <w:rPr>
                <w:rFonts w:eastAsia="Calibri" w:cs="Arial"/>
                <w:color w:val="auto"/>
                <w:sz w:val="18"/>
                <w:szCs w:val="18"/>
              </w:rPr>
              <w:t>2.7.a.1.3. S’approvisionner auprès des carrières agréées</w:t>
            </w:r>
          </w:p>
        </w:tc>
        <w:tc>
          <w:tcPr>
            <w:tcW w:w="916" w:type="pct"/>
            <w:tcBorders>
              <w:top w:val="single" w:sz="6" w:space="0" w:color="auto"/>
              <w:left w:val="single" w:sz="6" w:space="0" w:color="auto"/>
              <w:bottom w:val="single" w:sz="6" w:space="0" w:color="auto"/>
              <w:right w:val="single" w:sz="6" w:space="0" w:color="auto"/>
            </w:tcBorders>
          </w:tcPr>
          <w:p w14:paraId="7E3C9B15" w14:textId="77777777" w:rsidR="00606E97" w:rsidRPr="00A9330B" w:rsidRDefault="00606E97" w:rsidP="00606E97">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t xml:space="preserve">Existence des autorisations </w:t>
            </w:r>
          </w:p>
        </w:tc>
        <w:tc>
          <w:tcPr>
            <w:tcW w:w="637" w:type="pct"/>
            <w:tcBorders>
              <w:top w:val="single" w:sz="6" w:space="0" w:color="auto"/>
              <w:left w:val="single" w:sz="6" w:space="0" w:color="auto"/>
              <w:bottom w:val="single" w:sz="6" w:space="0" w:color="auto"/>
              <w:right w:val="single" w:sz="6" w:space="0" w:color="auto"/>
            </w:tcBorders>
          </w:tcPr>
          <w:p w14:paraId="761672E1" w14:textId="77777777" w:rsidR="00606E97" w:rsidRPr="00A9330B" w:rsidRDefault="00606E97" w:rsidP="00606E97">
            <w:pPr>
              <w:widowControl w:val="0"/>
              <w:autoSpaceDE w:val="0"/>
              <w:autoSpaceDN w:val="0"/>
              <w:adjustRightInd w:val="0"/>
              <w:spacing w:before="60" w:line="240" w:lineRule="auto"/>
              <w:jc w:val="center"/>
              <w:rPr>
                <w:rFonts w:eastAsia="Calibri" w:cs="Arial"/>
                <w:color w:val="auto"/>
                <w:sz w:val="18"/>
                <w:szCs w:val="18"/>
              </w:rPr>
            </w:pPr>
            <w:r w:rsidRPr="00A9330B">
              <w:rPr>
                <w:rFonts w:eastAsia="Calibri" w:cs="Arial"/>
                <w:color w:val="auto"/>
                <w:sz w:val="18"/>
                <w:szCs w:val="18"/>
              </w:rPr>
              <w:t>Phase préparatoire et de construction</w:t>
            </w:r>
          </w:p>
        </w:tc>
        <w:tc>
          <w:tcPr>
            <w:tcW w:w="657" w:type="pct"/>
            <w:tcBorders>
              <w:top w:val="single" w:sz="6" w:space="0" w:color="auto"/>
              <w:left w:val="single" w:sz="6" w:space="0" w:color="auto"/>
              <w:bottom w:val="single" w:sz="6" w:space="0" w:color="auto"/>
              <w:right w:val="single" w:sz="6" w:space="0" w:color="auto"/>
            </w:tcBorders>
          </w:tcPr>
          <w:p w14:paraId="5642247D" w14:textId="77777777" w:rsidR="00606E97" w:rsidRPr="00A9330B" w:rsidRDefault="00606E97" w:rsidP="00606E97">
            <w:pPr>
              <w:widowControl w:val="0"/>
              <w:spacing w:before="60" w:line="240" w:lineRule="auto"/>
              <w:jc w:val="center"/>
              <w:rPr>
                <w:rFonts w:eastAsia="Calibri" w:cs="Arial"/>
                <w:color w:val="auto"/>
                <w:sz w:val="18"/>
                <w:szCs w:val="18"/>
              </w:rPr>
            </w:pPr>
            <w:r w:rsidRPr="00A9330B">
              <w:rPr>
                <w:rFonts w:eastAsia="Calibri" w:cs="Arial"/>
                <w:color w:val="auto"/>
                <w:sz w:val="18"/>
                <w:szCs w:val="18"/>
              </w:rPr>
              <w:t>MDC</w:t>
            </w:r>
          </w:p>
          <w:p w14:paraId="427EA7E7" w14:textId="77777777" w:rsidR="00606E97" w:rsidRPr="00A9330B" w:rsidRDefault="00606E97" w:rsidP="00606E97">
            <w:pPr>
              <w:widowControl w:val="0"/>
              <w:spacing w:before="60" w:line="240" w:lineRule="auto"/>
              <w:jc w:val="center"/>
              <w:rPr>
                <w:rFonts w:eastAsia="Calibri" w:cs="Arial"/>
                <w:color w:val="auto"/>
                <w:sz w:val="18"/>
                <w:szCs w:val="18"/>
              </w:rPr>
            </w:pPr>
            <w:r w:rsidRPr="00A9330B">
              <w:rPr>
                <w:rFonts w:eastAsia="Calibri" w:cs="Arial"/>
                <w:color w:val="auto"/>
                <w:sz w:val="18"/>
                <w:szCs w:val="18"/>
              </w:rPr>
              <w:t>Entreprise chargée des travaux</w:t>
            </w:r>
          </w:p>
        </w:tc>
        <w:tc>
          <w:tcPr>
            <w:tcW w:w="897" w:type="pct"/>
            <w:tcBorders>
              <w:top w:val="single" w:sz="6" w:space="0" w:color="auto"/>
              <w:left w:val="single" w:sz="6" w:space="0" w:color="auto"/>
              <w:bottom w:val="single" w:sz="6" w:space="0" w:color="auto"/>
              <w:right w:val="single" w:sz="8" w:space="0" w:color="auto"/>
            </w:tcBorders>
          </w:tcPr>
          <w:p w14:paraId="0FFC1041" w14:textId="77777777" w:rsidR="00606E97" w:rsidRPr="00A9330B" w:rsidRDefault="00606E97" w:rsidP="00606E97">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t>Mairie de Natitingou</w:t>
            </w:r>
          </w:p>
          <w:p w14:paraId="54083E17" w14:textId="77777777" w:rsidR="00606E97" w:rsidRPr="00A9330B" w:rsidRDefault="00606E97" w:rsidP="00606E97">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t>Direction Départementale du Cadre de Vie et du Développement Durable (DDCVDD- AD)</w:t>
            </w:r>
          </w:p>
          <w:p w14:paraId="5B42E633" w14:textId="77777777" w:rsidR="00606E97" w:rsidRPr="00A9330B" w:rsidRDefault="00606E97" w:rsidP="00606E97">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t>Administrations Minière</w:t>
            </w:r>
          </w:p>
        </w:tc>
        <w:tc>
          <w:tcPr>
            <w:tcW w:w="897" w:type="pct"/>
            <w:tcBorders>
              <w:top w:val="single" w:sz="6" w:space="0" w:color="auto"/>
              <w:left w:val="single" w:sz="6" w:space="0" w:color="auto"/>
              <w:bottom w:val="single" w:sz="6" w:space="0" w:color="auto"/>
              <w:right w:val="single" w:sz="8" w:space="0" w:color="auto"/>
            </w:tcBorders>
          </w:tcPr>
          <w:p w14:paraId="77AC481D" w14:textId="77777777" w:rsidR="00606E97" w:rsidRPr="00A9330B" w:rsidRDefault="00606E97" w:rsidP="00606E97">
            <w:pPr>
              <w:widowControl w:val="0"/>
              <w:autoSpaceDE w:val="0"/>
              <w:autoSpaceDN w:val="0"/>
              <w:adjustRightInd w:val="0"/>
              <w:spacing w:before="60" w:line="240" w:lineRule="auto"/>
              <w:rPr>
                <w:rFonts w:eastAsia="Calibri" w:cs="Arial"/>
                <w:color w:val="auto"/>
                <w:sz w:val="18"/>
                <w:szCs w:val="18"/>
              </w:rPr>
            </w:pPr>
          </w:p>
        </w:tc>
      </w:tr>
      <w:tr w:rsidR="00606E97" w:rsidRPr="00A9330B" w14:paraId="357B7490" w14:textId="2757787F" w:rsidTr="006C383B">
        <w:trPr>
          <w:trHeight w:val="796"/>
        </w:trPr>
        <w:tc>
          <w:tcPr>
            <w:tcW w:w="996" w:type="pct"/>
            <w:tcBorders>
              <w:top w:val="single" w:sz="6" w:space="0" w:color="auto"/>
              <w:left w:val="single" w:sz="8" w:space="0" w:color="auto"/>
              <w:bottom w:val="single" w:sz="6" w:space="0" w:color="auto"/>
              <w:right w:val="single" w:sz="6" w:space="0" w:color="auto"/>
            </w:tcBorders>
          </w:tcPr>
          <w:p w14:paraId="2338F0F1" w14:textId="77777777" w:rsidR="00606E97" w:rsidRPr="00A9330B" w:rsidRDefault="00606E97" w:rsidP="00606E97">
            <w:pPr>
              <w:widowControl w:val="0"/>
              <w:spacing w:before="60" w:line="240" w:lineRule="auto"/>
              <w:jc w:val="both"/>
              <w:rPr>
                <w:rFonts w:eastAsia="Calibri" w:cs="Arial"/>
                <w:color w:val="auto"/>
                <w:sz w:val="18"/>
                <w:szCs w:val="18"/>
              </w:rPr>
            </w:pPr>
            <w:r w:rsidRPr="00A9330B">
              <w:rPr>
                <w:rFonts w:eastAsia="Calibri" w:cs="Arial"/>
                <w:color w:val="auto"/>
                <w:sz w:val="18"/>
                <w:szCs w:val="18"/>
              </w:rPr>
              <w:t>2.8.a.1.3. ; 2.10.a.2.2. ;</w:t>
            </w:r>
          </w:p>
          <w:p w14:paraId="5A800CB7" w14:textId="77777777" w:rsidR="00606E97" w:rsidRPr="00A9330B" w:rsidRDefault="00606E97" w:rsidP="00606E97">
            <w:pPr>
              <w:widowControl w:val="0"/>
              <w:spacing w:before="60" w:line="240" w:lineRule="auto"/>
              <w:jc w:val="both"/>
              <w:rPr>
                <w:rFonts w:eastAsia="Calibri" w:cs="Arial"/>
                <w:color w:val="auto"/>
                <w:sz w:val="18"/>
                <w:szCs w:val="18"/>
              </w:rPr>
            </w:pPr>
            <w:r w:rsidRPr="00A9330B">
              <w:rPr>
                <w:rFonts w:eastAsia="Calibri" w:cs="Arial"/>
                <w:color w:val="auto"/>
                <w:sz w:val="18"/>
                <w:szCs w:val="18"/>
              </w:rPr>
              <w:t>Préserver les essences de valeur et celles en voie de disparition situées le long des rues et collecteurs à aménager</w:t>
            </w:r>
          </w:p>
        </w:tc>
        <w:tc>
          <w:tcPr>
            <w:tcW w:w="916" w:type="pct"/>
            <w:tcBorders>
              <w:top w:val="single" w:sz="6" w:space="0" w:color="auto"/>
              <w:left w:val="single" w:sz="6" w:space="0" w:color="auto"/>
              <w:bottom w:val="single" w:sz="6" w:space="0" w:color="auto"/>
              <w:right w:val="single" w:sz="6" w:space="0" w:color="auto"/>
            </w:tcBorders>
          </w:tcPr>
          <w:p w14:paraId="7D74A709" w14:textId="77777777" w:rsidR="00606E97" w:rsidRPr="00A9330B" w:rsidRDefault="00606E97" w:rsidP="00606E97">
            <w:pPr>
              <w:widowControl w:val="0"/>
              <w:spacing w:before="60" w:line="240" w:lineRule="auto"/>
              <w:jc w:val="both"/>
              <w:rPr>
                <w:rFonts w:eastAsia="Calibri" w:cs="Arial"/>
                <w:color w:val="auto"/>
                <w:sz w:val="18"/>
                <w:szCs w:val="18"/>
              </w:rPr>
            </w:pPr>
            <w:r w:rsidRPr="00A9330B">
              <w:rPr>
                <w:rFonts w:eastAsia="Calibri" w:cs="Arial"/>
                <w:color w:val="auto"/>
                <w:sz w:val="18"/>
                <w:szCs w:val="18"/>
              </w:rPr>
              <w:t>Nombre d’essences forestières de valeur et menacées préservées</w:t>
            </w:r>
          </w:p>
        </w:tc>
        <w:tc>
          <w:tcPr>
            <w:tcW w:w="637" w:type="pct"/>
            <w:tcBorders>
              <w:top w:val="single" w:sz="6" w:space="0" w:color="auto"/>
              <w:left w:val="single" w:sz="6" w:space="0" w:color="auto"/>
              <w:bottom w:val="single" w:sz="6" w:space="0" w:color="auto"/>
              <w:right w:val="single" w:sz="6" w:space="0" w:color="auto"/>
            </w:tcBorders>
          </w:tcPr>
          <w:p w14:paraId="7F390D4F" w14:textId="77777777" w:rsidR="00606E97" w:rsidRPr="00A9330B" w:rsidRDefault="00606E97" w:rsidP="00606E97">
            <w:pPr>
              <w:widowControl w:val="0"/>
              <w:autoSpaceDE w:val="0"/>
              <w:autoSpaceDN w:val="0"/>
              <w:adjustRightInd w:val="0"/>
              <w:spacing w:before="60" w:line="240" w:lineRule="auto"/>
              <w:jc w:val="center"/>
              <w:rPr>
                <w:rFonts w:eastAsia="Calibri" w:cs="Arial"/>
                <w:color w:val="auto"/>
                <w:sz w:val="18"/>
                <w:szCs w:val="18"/>
              </w:rPr>
            </w:pPr>
            <w:r w:rsidRPr="00A9330B">
              <w:rPr>
                <w:rFonts w:eastAsia="Calibri" w:cs="Arial"/>
                <w:color w:val="auto"/>
                <w:sz w:val="18"/>
                <w:szCs w:val="18"/>
              </w:rPr>
              <w:t>Phase préparatoire et de construction</w:t>
            </w:r>
          </w:p>
        </w:tc>
        <w:tc>
          <w:tcPr>
            <w:tcW w:w="657" w:type="pct"/>
            <w:tcBorders>
              <w:top w:val="single" w:sz="6" w:space="0" w:color="auto"/>
              <w:left w:val="single" w:sz="6" w:space="0" w:color="auto"/>
              <w:bottom w:val="single" w:sz="6" w:space="0" w:color="auto"/>
              <w:right w:val="single" w:sz="6" w:space="0" w:color="auto"/>
            </w:tcBorders>
          </w:tcPr>
          <w:p w14:paraId="4AC09871" w14:textId="77777777" w:rsidR="00606E97" w:rsidRPr="00A9330B" w:rsidRDefault="00606E97" w:rsidP="00606E97">
            <w:pPr>
              <w:widowControl w:val="0"/>
              <w:spacing w:before="60" w:line="240" w:lineRule="auto"/>
              <w:jc w:val="center"/>
              <w:rPr>
                <w:rFonts w:eastAsia="Calibri" w:cs="Arial"/>
                <w:color w:val="auto"/>
                <w:sz w:val="18"/>
                <w:szCs w:val="18"/>
              </w:rPr>
            </w:pPr>
            <w:r w:rsidRPr="00A9330B">
              <w:rPr>
                <w:rFonts w:eastAsia="Calibri" w:cs="Arial"/>
                <w:color w:val="auto"/>
                <w:sz w:val="18"/>
                <w:szCs w:val="18"/>
              </w:rPr>
              <w:t>MDC</w:t>
            </w:r>
          </w:p>
          <w:p w14:paraId="59A513EC" w14:textId="77777777" w:rsidR="00606E97" w:rsidRPr="00A9330B" w:rsidRDefault="00606E97" w:rsidP="00606E97">
            <w:pPr>
              <w:widowControl w:val="0"/>
              <w:spacing w:before="60" w:line="240" w:lineRule="auto"/>
              <w:jc w:val="center"/>
              <w:rPr>
                <w:rFonts w:eastAsia="Calibri" w:cs="Arial"/>
                <w:color w:val="auto"/>
                <w:sz w:val="18"/>
                <w:szCs w:val="18"/>
              </w:rPr>
            </w:pPr>
            <w:r w:rsidRPr="00A9330B">
              <w:rPr>
                <w:rFonts w:eastAsia="Calibri" w:cs="Arial"/>
                <w:color w:val="auto"/>
                <w:sz w:val="18"/>
                <w:szCs w:val="18"/>
              </w:rPr>
              <w:t>Entreprise chargée des travaux</w:t>
            </w:r>
          </w:p>
        </w:tc>
        <w:tc>
          <w:tcPr>
            <w:tcW w:w="897" w:type="pct"/>
            <w:tcBorders>
              <w:top w:val="single" w:sz="6" w:space="0" w:color="auto"/>
              <w:left w:val="single" w:sz="6" w:space="0" w:color="auto"/>
              <w:bottom w:val="single" w:sz="6" w:space="0" w:color="auto"/>
              <w:right w:val="single" w:sz="8" w:space="0" w:color="auto"/>
            </w:tcBorders>
          </w:tcPr>
          <w:p w14:paraId="2CFA1BA7" w14:textId="38C52CA6" w:rsidR="00606E97" w:rsidRPr="00A9330B" w:rsidRDefault="00606E97" w:rsidP="00606E97">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t xml:space="preserve">Mairie concernée (Natitingou)  </w:t>
            </w:r>
          </w:p>
          <w:p w14:paraId="1203A41F" w14:textId="77777777" w:rsidR="00606E97" w:rsidRPr="00A9330B" w:rsidRDefault="00606E97" w:rsidP="00606E97">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t>Direction Départementale du Cadre de Vie et du Développement Durable (DDCVDD-AD)</w:t>
            </w:r>
          </w:p>
          <w:p w14:paraId="30BBF38F" w14:textId="77777777" w:rsidR="00606E97" w:rsidRPr="00A9330B" w:rsidRDefault="00606E97" w:rsidP="00606E97">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t xml:space="preserve">Inspection forestière AD </w:t>
            </w:r>
          </w:p>
        </w:tc>
        <w:tc>
          <w:tcPr>
            <w:tcW w:w="897" w:type="pct"/>
            <w:tcBorders>
              <w:top w:val="single" w:sz="6" w:space="0" w:color="auto"/>
              <w:left w:val="single" w:sz="6" w:space="0" w:color="auto"/>
              <w:bottom w:val="single" w:sz="6" w:space="0" w:color="auto"/>
              <w:right w:val="single" w:sz="8" w:space="0" w:color="auto"/>
            </w:tcBorders>
          </w:tcPr>
          <w:p w14:paraId="61B672A2" w14:textId="77777777" w:rsidR="00606E97" w:rsidRPr="00A9330B" w:rsidRDefault="00606E97" w:rsidP="00606E97">
            <w:pPr>
              <w:widowControl w:val="0"/>
              <w:autoSpaceDE w:val="0"/>
              <w:autoSpaceDN w:val="0"/>
              <w:adjustRightInd w:val="0"/>
              <w:spacing w:before="60" w:line="240" w:lineRule="auto"/>
              <w:rPr>
                <w:rFonts w:eastAsia="Calibri" w:cs="Arial"/>
                <w:color w:val="auto"/>
                <w:sz w:val="18"/>
                <w:szCs w:val="18"/>
              </w:rPr>
            </w:pPr>
          </w:p>
        </w:tc>
      </w:tr>
      <w:tr w:rsidR="00606E97" w:rsidRPr="00A9330B" w14:paraId="108EEE41" w14:textId="2F588A2B" w:rsidTr="006C383B">
        <w:trPr>
          <w:trHeight w:val="796"/>
        </w:trPr>
        <w:tc>
          <w:tcPr>
            <w:tcW w:w="996" w:type="pct"/>
            <w:tcBorders>
              <w:top w:val="single" w:sz="6" w:space="0" w:color="auto"/>
              <w:left w:val="single" w:sz="8" w:space="0" w:color="auto"/>
              <w:bottom w:val="single" w:sz="6" w:space="0" w:color="auto"/>
              <w:right w:val="single" w:sz="6" w:space="0" w:color="auto"/>
            </w:tcBorders>
          </w:tcPr>
          <w:p w14:paraId="5C339A51" w14:textId="77777777" w:rsidR="00606E97" w:rsidRPr="00A9330B" w:rsidRDefault="00606E97" w:rsidP="00606E97">
            <w:pPr>
              <w:spacing w:before="60" w:line="240" w:lineRule="auto"/>
              <w:rPr>
                <w:rFonts w:eastAsia="Calibri" w:cs="Arial"/>
                <w:color w:val="auto"/>
                <w:sz w:val="18"/>
                <w:szCs w:val="18"/>
              </w:rPr>
            </w:pPr>
            <w:r w:rsidRPr="00A9330B">
              <w:rPr>
                <w:rFonts w:eastAsia="Calibri" w:cs="Arial"/>
                <w:color w:val="auto"/>
                <w:sz w:val="18"/>
                <w:szCs w:val="18"/>
              </w:rPr>
              <w:t xml:space="preserve">2.5.a.4.2. </w:t>
            </w:r>
          </w:p>
          <w:p w14:paraId="42B405BE" w14:textId="77777777" w:rsidR="00606E97" w:rsidRPr="00A9330B" w:rsidRDefault="00606E97" w:rsidP="00606E97">
            <w:pPr>
              <w:spacing w:before="60" w:line="240" w:lineRule="auto"/>
              <w:rPr>
                <w:rFonts w:eastAsia="Calibri" w:cs="Arial"/>
                <w:color w:val="auto"/>
                <w:sz w:val="18"/>
                <w:szCs w:val="18"/>
              </w:rPr>
            </w:pPr>
            <w:r w:rsidRPr="00A9330B">
              <w:rPr>
                <w:rFonts w:eastAsia="Calibri" w:cs="Arial"/>
                <w:color w:val="auto"/>
                <w:sz w:val="18"/>
                <w:szCs w:val="18"/>
              </w:rPr>
              <w:t xml:space="preserve">Elaborer et mettre en œuvre un plan de restauration des carrières et emprunts et un Plan </w:t>
            </w:r>
            <w:r w:rsidRPr="00A9330B">
              <w:rPr>
                <w:rFonts w:eastAsia="Calibri" w:cs="Arial"/>
                <w:color w:val="auto"/>
                <w:sz w:val="18"/>
                <w:szCs w:val="18"/>
              </w:rPr>
              <w:lastRenderedPageBreak/>
              <w:t>de Protection Environnementale du Site (PPES)</w:t>
            </w:r>
          </w:p>
        </w:tc>
        <w:tc>
          <w:tcPr>
            <w:tcW w:w="916" w:type="pct"/>
            <w:tcBorders>
              <w:top w:val="single" w:sz="6" w:space="0" w:color="auto"/>
              <w:left w:val="single" w:sz="6" w:space="0" w:color="auto"/>
              <w:bottom w:val="single" w:sz="6" w:space="0" w:color="auto"/>
              <w:right w:val="single" w:sz="6" w:space="0" w:color="auto"/>
            </w:tcBorders>
          </w:tcPr>
          <w:p w14:paraId="0F4D2E95" w14:textId="77777777" w:rsidR="00606E97" w:rsidRPr="00A9330B" w:rsidRDefault="00606E97" w:rsidP="00606E97">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lastRenderedPageBreak/>
              <w:t xml:space="preserve">Etat de la carrière </w:t>
            </w:r>
          </w:p>
          <w:p w14:paraId="1F00B477" w14:textId="77777777" w:rsidR="00606E97" w:rsidRPr="00A9330B" w:rsidRDefault="00606E97" w:rsidP="00606E97">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t>Absence d’excavation abandonnée sur les sites d’emprunts</w:t>
            </w:r>
          </w:p>
        </w:tc>
        <w:tc>
          <w:tcPr>
            <w:tcW w:w="637" w:type="pct"/>
            <w:tcBorders>
              <w:top w:val="single" w:sz="6" w:space="0" w:color="auto"/>
              <w:left w:val="single" w:sz="6" w:space="0" w:color="auto"/>
              <w:bottom w:val="single" w:sz="6" w:space="0" w:color="auto"/>
              <w:right w:val="single" w:sz="6" w:space="0" w:color="auto"/>
            </w:tcBorders>
          </w:tcPr>
          <w:p w14:paraId="791804C1" w14:textId="77777777" w:rsidR="00606E97" w:rsidRPr="00A9330B" w:rsidRDefault="00606E97" w:rsidP="00606E97">
            <w:pPr>
              <w:widowControl w:val="0"/>
              <w:autoSpaceDE w:val="0"/>
              <w:autoSpaceDN w:val="0"/>
              <w:adjustRightInd w:val="0"/>
              <w:spacing w:before="60" w:line="240" w:lineRule="auto"/>
              <w:jc w:val="center"/>
              <w:rPr>
                <w:rFonts w:eastAsia="Calibri" w:cs="Arial"/>
                <w:color w:val="auto"/>
                <w:sz w:val="18"/>
                <w:szCs w:val="18"/>
              </w:rPr>
            </w:pPr>
            <w:r w:rsidRPr="00A9330B">
              <w:rPr>
                <w:rFonts w:eastAsia="Calibri" w:cs="Arial"/>
                <w:color w:val="auto"/>
                <w:sz w:val="18"/>
                <w:szCs w:val="18"/>
              </w:rPr>
              <w:t>Phase préparatoire et de construction</w:t>
            </w:r>
          </w:p>
        </w:tc>
        <w:tc>
          <w:tcPr>
            <w:tcW w:w="657" w:type="pct"/>
            <w:tcBorders>
              <w:top w:val="single" w:sz="6" w:space="0" w:color="auto"/>
              <w:left w:val="single" w:sz="6" w:space="0" w:color="auto"/>
              <w:bottom w:val="single" w:sz="6" w:space="0" w:color="auto"/>
              <w:right w:val="single" w:sz="6" w:space="0" w:color="auto"/>
            </w:tcBorders>
          </w:tcPr>
          <w:p w14:paraId="297B63EA" w14:textId="77777777" w:rsidR="00606E97" w:rsidRPr="00A9330B" w:rsidRDefault="00606E97" w:rsidP="00606E97">
            <w:pPr>
              <w:widowControl w:val="0"/>
              <w:spacing w:before="60" w:line="240" w:lineRule="auto"/>
              <w:jc w:val="center"/>
              <w:rPr>
                <w:rFonts w:eastAsia="Calibri" w:cs="Arial"/>
                <w:color w:val="auto"/>
                <w:sz w:val="18"/>
                <w:szCs w:val="18"/>
              </w:rPr>
            </w:pPr>
            <w:r w:rsidRPr="00A9330B">
              <w:rPr>
                <w:rFonts w:eastAsia="Calibri" w:cs="Arial"/>
                <w:color w:val="auto"/>
                <w:sz w:val="18"/>
                <w:szCs w:val="18"/>
              </w:rPr>
              <w:t>MDC</w:t>
            </w:r>
          </w:p>
          <w:p w14:paraId="7DB4CEF6" w14:textId="77777777" w:rsidR="00606E97" w:rsidRPr="00A9330B" w:rsidRDefault="00606E97" w:rsidP="00606E97">
            <w:pPr>
              <w:widowControl w:val="0"/>
              <w:spacing w:before="60" w:line="240" w:lineRule="auto"/>
              <w:jc w:val="center"/>
              <w:rPr>
                <w:rFonts w:eastAsia="Calibri" w:cs="Arial"/>
                <w:color w:val="auto"/>
                <w:sz w:val="18"/>
                <w:szCs w:val="18"/>
              </w:rPr>
            </w:pPr>
            <w:r w:rsidRPr="00A9330B">
              <w:rPr>
                <w:rFonts w:eastAsia="Calibri" w:cs="Arial"/>
                <w:color w:val="auto"/>
                <w:sz w:val="18"/>
                <w:szCs w:val="18"/>
              </w:rPr>
              <w:t>Entreprise chargée des travaux</w:t>
            </w:r>
          </w:p>
          <w:p w14:paraId="1C74B419" w14:textId="77777777" w:rsidR="00606E97" w:rsidRPr="00A9330B" w:rsidRDefault="00606E97" w:rsidP="00606E97">
            <w:pPr>
              <w:widowControl w:val="0"/>
              <w:spacing w:before="60" w:line="240" w:lineRule="auto"/>
              <w:jc w:val="center"/>
              <w:rPr>
                <w:rFonts w:eastAsia="Calibri" w:cs="Arial"/>
                <w:color w:val="auto"/>
                <w:sz w:val="18"/>
                <w:szCs w:val="18"/>
              </w:rPr>
            </w:pPr>
          </w:p>
        </w:tc>
        <w:tc>
          <w:tcPr>
            <w:tcW w:w="897" w:type="pct"/>
            <w:tcBorders>
              <w:top w:val="single" w:sz="6" w:space="0" w:color="auto"/>
              <w:left w:val="single" w:sz="6" w:space="0" w:color="auto"/>
              <w:bottom w:val="single" w:sz="6" w:space="0" w:color="auto"/>
              <w:right w:val="single" w:sz="8" w:space="0" w:color="auto"/>
            </w:tcBorders>
          </w:tcPr>
          <w:p w14:paraId="442DD8F5" w14:textId="77777777" w:rsidR="00606E97" w:rsidRPr="00A9330B" w:rsidRDefault="00606E97" w:rsidP="00606E97">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t>Mairie de Natitingou</w:t>
            </w:r>
          </w:p>
          <w:p w14:paraId="2DE8F97C" w14:textId="77777777" w:rsidR="00606E97" w:rsidRPr="00A9330B" w:rsidRDefault="00606E97" w:rsidP="00606E97">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t>Direction Départementale du Cadre de Vie et du Développement Durable (DDCVDD- AD)</w:t>
            </w:r>
          </w:p>
          <w:p w14:paraId="5DB7D2A7" w14:textId="77777777" w:rsidR="00606E97" w:rsidRPr="00A9330B" w:rsidRDefault="00606E97" w:rsidP="00606E97">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lastRenderedPageBreak/>
              <w:t>Inspection Forestières – AD</w:t>
            </w:r>
          </w:p>
          <w:p w14:paraId="70192AE1" w14:textId="77777777" w:rsidR="00606E97" w:rsidRPr="00A9330B" w:rsidRDefault="00606E97" w:rsidP="00606E97">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t>Administration Minière</w:t>
            </w:r>
          </w:p>
        </w:tc>
        <w:tc>
          <w:tcPr>
            <w:tcW w:w="897" w:type="pct"/>
            <w:tcBorders>
              <w:top w:val="single" w:sz="6" w:space="0" w:color="auto"/>
              <w:left w:val="single" w:sz="6" w:space="0" w:color="auto"/>
              <w:bottom w:val="single" w:sz="6" w:space="0" w:color="auto"/>
              <w:right w:val="single" w:sz="8" w:space="0" w:color="auto"/>
            </w:tcBorders>
          </w:tcPr>
          <w:p w14:paraId="3D222972" w14:textId="77777777" w:rsidR="00606E97" w:rsidRPr="00A9330B" w:rsidRDefault="00606E97" w:rsidP="00606E97">
            <w:pPr>
              <w:widowControl w:val="0"/>
              <w:autoSpaceDE w:val="0"/>
              <w:autoSpaceDN w:val="0"/>
              <w:adjustRightInd w:val="0"/>
              <w:spacing w:before="60" w:line="240" w:lineRule="auto"/>
              <w:rPr>
                <w:rFonts w:eastAsia="Calibri" w:cs="Arial"/>
                <w:sz w:val="20"/>
                <w:szCs w:val="20"/>
              </w:rPr>
            </w:pPr>
            <w:r w:rsidRPr="00A9330B">
              <w:rPr>
                <w:rFonts w:eastAsia="Calibri" w:cs="Arial"/>
                <w:sz w:val="20"/>
                <w:szCs w:val="20"/>
              </w:rPr>
              <w:lastRenderedPageBreak/>
              <w:t>Intégrer dans sécurité de chantier (DAO travaux)</w:t>
            </w:r>
          </w:p>
          <w:p w14:paraId="72B95AE0" w14:textId="77777777" w:rsidR="00606E97" w:rsidRPr="00A9330B" w:rsidRDefault="00606E97" w:rsidP="00606E97">
            <w:pPr>
              <w:widowControl w:val="0"/>
              <w:autoSpaceDE w:val="0"/>
              <w:autoSpaceDN w:val="0"/>
              <w:adjustRightInd w:val="0"/>
              <w:spacing w:before="60" w:line="240" w:lineRule="auto"/>
              <w:rPr>
                <w:rFonts w:eastAsia="Calibri" w:cs="Arial"/>
                <w:color w:val="auto"/>
                <w:sz w:val="18"/>
                <w:szCs w:val="18"/>
              </w:rPr>
            </w:pPr>
          </w:p>
        </w:tc>
      </w:tr>
      <w:tr w:rsidR="00606E97" w:rsidRPr="00A9330B" w14:paraId="3939D49A" w14:textId="4BE0399D" w:rsidTr="006C383B">
        <w:trPr>
          <w:trHeight w:val="1050"/>
        </w:trPr>
        <w:tc>
          <w:tcPr>
            <w:tcW w:w="996" w:type="pct"/>
            <w:tcBorders>
              <w:top w:val="single" w:sz="6" w:space="0" w:color="auto"/>
              <w:left w:val="single" w:sz="8" w:space="0" w:color="auto"/>
              <w:bottom w:val="single" w:sz="6" w:space="0" w:color="auto"/>
              <w:right w:val="single" w:sz="6" w:space="0" w:color="auto"/>
            </w:tcBorders>
          </w:tcPr>
          <w:p w14:paraId="5656F879" w14:textId="77777777" w:rsidR="00606E97" w:rsidRPr="00A9330B" w:rsidRDefault="00606E97" w:rsidP="00606E97">
            <w:pPr>
              <w:spacing w:before="60" w:line="240" w:lineRule="auto"/>
              <w:rPr>
                <w:rFonts w:eastAsia="Calibri" w:cs="Arial"/>
                <w:color w:val="auto"/>
                <w:sz w:val="18"/>
                <w:szCs w:val="18"/>
              </w:rPr>
            </w:pPr>
            <w:r w:rsidRPr="00A9330B">
              <w:rPr>
                <w:rFonts w:eastAsia="Calibri" w:cs="Arial"/>
                <w:color w:val="auto"/>
                <w:sz w:val="18"/>
                <w:szCs w:val="18"/>
              </w:rPr>
              <w:lastRenderedPageBreak/>
              <w:t xml:space="preserve">2.7.a.1.2. </w:t>
            </w:r>
          </w:p>
          <w:p w14:paraId="61871106" w14:textId="77777777" w:rsidR="00606E97" w:rsidRPr="00A9330B" w:rsidRDefault="00606E97" w:rsidP="00606E97">
            <w:pPr>
              <w:spacing w:before="60" w:line="240" w:lineRule="auto"/>
              <w:rPr>
                <w:rFonts w:eastAsia="Calibri" w:cs="Arial"/>
                <w:color w:val="auto"/>
                <w:sz w:val="18"/>
                <w:szCs w:val="18"/>
              </w:rPr>
            </w:pPr>
            <w:r w:rsidRPr="00A9330B">
              <w:rPr>
                <w:rFonts w:eastAsia="Calibri" w:cs="Arial"/>
                <w:color w:val="auto"/>
                <w:sz w:val="18"/>
                <w:szCs w:val="18"/>
              </w:rPr>
              <w:t>Prendre toutes les autorisations nécessaires pour l’ouverture de carrières ou d’emprunts</w:t>
            </w:r>
          </w:p>
        </w:tc>
        <w:tc>
          <w:tcPr>
            <w:tcW w:w="916" w:type="pct"/>
            <w:tcBorders>
              <w:top w:val="single" w:sz="6" w:space="0" w:color="auto"/>
              <w:left w:val="single" w:sz="6" w:space="0" w:color="auto"/>
              <w:bottom w:val="single" w:sz="6" w:space="0" w:color="auto"/>
              <w:right w:val="single" w:sz="6" w:space="0" w:color="auto"/>
            </w:tcBorders>
          </w:tcPr>
          <w:p w14:paraId="15A4EF92" w14:textId="77777777" w:rsidR="00606E97" w:rsidRPr="00A9330B" w:rsidRDefault="00606E97" w:rsidP="00606E97">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t xml:space="preserve">Existence des autorisations </w:t>
            </w:r>
          </w:p>
          <w:p w14:paraId="73876617" w14:textId="77777777" w:rsidR="00606E97" w:rsidRPr="00A9330B" w:rsidRDefault="00606E97" w:rsidP="00606E97">
            <w:pPr>
              <w:widowControl w:val="0"/>
              <w:autoSpaceDE w:val="0"/>
              <w:autoSpaceDN w:val="0"/>
              <w:adjustRightInd w:val="0"/>
              <w:spacing w:before="60" w:line="240" w:lineRule="auto"/>
              <w:rPr>
                <w:rFonts w:eastAsia="Calibri" w:cs="Arial"/>
                <w:color w:val="auto"/>
                <w:sz w:val="18"/>
                <w:szCs w:val="18"/>
              </w:rPr>
            </w:pPr>
          </w:p>
          <w:p w14:paraId="2C646715" w14:textId="77777777" w:rsidR="00606E97" w:rsidRPr="00A9330B" w:rsidRDefault="00606E97" w:rsidP="00606E97">
            <w:pPr>
              <w:widowControl w:val="0"/>
              <w:autoSpaceDE w:val="0"/>
              <w:autoSpaceDN w:val="0"/>
              <w:adjustRightInd w:val="0"/>
              <w:spacing w:before="60" w:line="240" w:lineRule="auto"/>
              <w:rPr>
                <w:rFonts w:eastAsia="Calibri" w:cs="Arial"/>
                <w:color w:val="auto"/>
                <w:sz w:val="18"/>
                <w:szCs w:val="18"/>
              </w:rPr>
            </w:pPr>
          </w:p>
        </w:tc>
        <w:tc>
          <w:tcPr>
            <w:tcW w:w="637" w:type="pct"/>
            <w:tcBorders>
              <w:top w:val="single" w:sz="6" w:space="0" w:color="auto"/>
              <w:left w:val="single" w:sz="6" w:space="0" w:color="auto"/>
              <w:bottom w:val="single" w:sz="6" w:space="0" w:color="auto"/>
              <w:right w:val="single" w:sz="6" w:space="0" w:color="auto"/>
            </w:tcBorders>
          </w:tcPr>
          <w:p w14:paraId="22D36BAB" w14:textId="77777777" w:rsidR="00606E97" w:rsidRPr="00A9330B" w:rsidRDefault="00606E97" w:rsidP="00606E97">
            <w:pPr>
              <w:widowControl w:val="0"/>
              <w:autoSpaceDE w:val="0"/>
              <w:autoSpaceDN w:val="0"/>
              <w:adjustRightInd w:val="0"/>
              <w:spacing w:before="60" w:line="240" w:lineRule="auto"/>
              <w:jc w:val="center"/>
              <w:rPr>
                <w:rFonts w:eastAsia="Calibri" w:cs="Arial"/>
                <w:color w:val="auto"/>
                <w:sz w:val="18"/>
                <w:szCs w:val="18"/>
              </w:rPr>
            </w:pPr>
            <w:r w:rsidRPr="00A9330B">
              <w:rPr>
                <w:rFonts w:eastAsia="Calibri" w:cs="Arial"/>
                <w:color w:val="auto"/>
                <w:sz w:val="18"/>
                <w:szCs w:val="18"/>
              </w:rPr>
              <w:t>Phase préparatoire et de construction</w:t>
            </w:r>
          </w:p>
        </w:tc>
        <w:tc>
          <w:tcPr>
            <w:tcW w:w="657" w:type="pct"/>
            <w:tcBorders>
              <w:top w:val="single" w:sz="6" w:space="0" w:color="auto"/>
              <w:left w:val="single" w:sz="6" w:space="0" w:color="auto"/>
              <w:bottom w:val="single" w:sz="6" w:space="0" w:color="auto"/>
              <w:right w:val="single" w:sz="6" w:space="0" w:color="auto"/>
            </w:tcBorders>
          </w:tcPr>
          <w:p w14:paraId="23D64D33" w14:textId="77777777" w:rsidR="00606E97" w:rsidRPr="00A9330B" w:rsidRDefault="00606E97" w:rsidP="00606E97">
            <w:pPr>
              <w:widowControl w:val="0"/>
              <w:spacing w:before="60" w:line="240" w:lineRule="auto"/>
              <w:jc w:val="center"/>
              <w:rPr>
                <w:rFonts w:eastAsia="Calibri" w:cs="Arial"/>
                <w:color w:val="auto"/>
                <w:sz w:val="18"/>
                <w:szCs w:val="18"/>
              </w:rPr>
            </w:pPr>
            <w:r w:rsidRPr="00A9330B">
              <w:rPr>
                <w:rFonts w:eastAsia="Calibri" w:cs="Arial"/>
                <w:color w:val="auto"/>
                <w:sz w:val="18"/>
                <w:szCs w:val="18"/>
              </w:rPr>
              <w:t>MDC</w:t>
            </w:r>
          </w:p>
          <w:p w14:paraId="6F5C5B57" w14:textId="77777777" w:rsidR="00606E97" w:rsidRPr="00A9330B" w:rsidRDefault="00606E97" w:rsidP="00606E97">
            <w:pPr>
              <w:widowControl w:val="0"/>
              <w:spacing w:before="60" w:line="240" w:lineRule="auto"/>
              <w:jc w:val="center"/>
              <w:rPr>
                <w:rFonts w:eastAsia="Calibri" w:cs="Arial"/>
                <w:color w:val="auto"/>
                <w:sz w:val="18"/>
                <w:szCs w:val="18"/>
              </w:rPr>
            </w:pPr>
            <w:r w:rsidRPr="00A9330B">
              <w:rPr>
                <w:rFonts w:eastAsia="Calibri" w:cs="Arial"/>
                <w:color w:val="auto"/>
                <w:sz w:val="18"/>
                <w:szCs w:val="18"/>
              </w:rPr>
              <w:t>Entreprise chargée des travaux</w:t>
            </w:r>
          </w:p>
        </w:tc>
        <w:tc>
          <w:tcPr>
            <w:tcW w:w="897" w:type="pct"/>
            <w:tcBorders>
              <w:top w:val="single" w:sz="6" w:space="0" w:color="auto"/>
              <w:left w:val="single" w:sz="6" w:space="0" w:color="auto"/>
              <w:bottom w:val="single" w:sz="6" w:space="0" w:color="auto"/>
              <w:right w:val="single" w:sz="8" w:space="0" w:color="auto"/>
            </w:tcBorders>
          </w:tcPr>
          <w:p w14:paraId="45291330" w14:textId="77777777" w:rsidR="00606E97" w:rsidRPr="00A9330B" w:rsidRDefault="00606E97" w:rsidP="00606E97">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t>Mairie de Natitingou</w:t>
            </w:r>
          </w:p>
          <w:p w14:paraId="53D1F892" w14:textId="77777777" w:rsidR="00606E97" w:rsidRPr="00A9330B" w:rsidRDefault="00606E97" w:rsidP="00606E97">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t>Direction Départementale du Cadre de Vie et du Développement Durable (DDCVDD- AD)</w:t>
            </w:r>
          </w:p>
        </w:tc>
        <w:tc>
          <w:tcPr>
            <w:tcW w:w="897" w:type="pct"/>
            <w:tcBorders>
              <w:top w:val="single" w:sz="6" w:space="0" w:color="auto"/>
              <w:left w:val="single" w:sz="6" w:space="0" w:color="auto"/>
              <w:bottom w:val="single" w:sz="6" w:space="0" w:color="auto"/>
              <w:right w:val="single" w:sz="8" w:space="0" w:color="auto"/>
            </w:tcBorders>
          </w:tcPr>
          <w:p w14:paraId="740F07C9" w14:textId="77777777" w:rsidR="00606E97" w:rsidRPr="00A9330B" w:rsidRDefault="00606E97" w:rsidP="00606E97">
            <w:pPr>
              <w:widowControl w:val="0"/>
              <w:autoSpaceDE w:val="0"/>
              <w:autoSpaceDN w:val="0"/>
              <w:adjustRightInd w:val="0"/>
              <w:spacing w:before="60" w:line="240" w:lineRule="auto"/>
              <w:rPr>
                <w:rFonts w:eastAsia="Calibri" w:cs="Arial"/>
                <w:color w:val="auto"/>
                <w:sz w:val="18"/>
                <w:szCs w:val="18"/>
              </w:rPr>
            </w:pPr>
          </w:p>
        </w:tc>
      </w:tr>
      <w:tr w:rsidR="00606E97" w:rsidRPr="00A9330B" w14:paraId="4ABB5B56" w14:textId="7FAA9C5B" w:rsidTr="006C383B">
        <w:trPr>
          <w:trHeight w:val="554"/>
        </w:trPr>
        <w:tc>
          <w:tcPr>
            <w:tcW w:w="996" w:type="pct"/>
            <w:tcBorders>
              <w:top w:val="single" w:sz="6" w:space="0" w:color="auto"/>
              <w:left w:val="single" w:sz="8" w:space="0" w:color="auto"/>
              <w:bottom w:val="single" w:sz="6" w:space="0" w:color="auto"/>
              <w:right w:val="single" w:sz="6" w:space="0" w:color="auto"/>
            </w:tcBorders>
          </w:tcPr>
          <w:p w14:paraId="7A9DF06F" w14:textId="77777777" w:rsidR="00606E97" w:rsidRPr="00A9330B" w:rsidRDefault="00606E97" w:rsidP="00606E97">
            <w:pPr>
              <w:widowControl w:val="0"/>
              <w:spacing w:before="60" w:line="240" w:lineRule="auto"/>
              <w:jc w:val="both"/>
              <w:rPr>
                <w:rFonts w:eastAsia="Calibri" w:cs="Arial"/>
                <w:color w:val="auto"/>
                <w:sz w:val="18"/>
                <w:szCs w:val="18"/>
              </w:rPr>
            </w:pPr>
            <w:r w:rsidRPr="00A9330B">
              <w:rPr>
                <w:rFonts w:eastAsia="Calibri" w:cs="Arial"/>
                <w:color w:val="auto"/>
                <w:sz w:val="18"/>
                <w:szCs w:val="18"/>
              </w:rPr>
              <w:t>2.8.a.2.3. ; 2.8.a.2.2.  Interdire le nettoyage des engins et véhicules de chantiers et le déversement d’huiles usagées et de déchets au bord des plans d’eau</w:t>
            </w:r>
          </w:p>
        </w:tc>
        <w:tc>
          <w:tcPr>
            <w:tcW w:w="916" w:type="pct"/>
            <w:tcBorders>
              <w:top w:val="single" w:sz="6" w:space="0" w:color="auto"/>
              <w:left w:val="single" w:sz="6" w:space="0" w:color="auto"/>
              <w:bottom w:val="single" w:sz="6" w:space="0" w:color="auto"/>
              <w:right w:val="single" w:sz="6" w:space="0" w:color="auto"/>
            </w:tcBorders>
          </w:tcPr>
          <w:p w14:paraId="181DC006" w14:textId="77777777" w:rsidR="00606E97" w:rsidRPr="00A9330B" w:rsidRDefault="00606E97" w:rsidP="00606E97">
            <w:pPr>
              <w:widowControl w:val="0"/>
              <w:autoSpaceDE w:val="0"/>
              <w:autoSpaceDN w:val="0"/>
              <w:adjustRightInd w:val="0"/>
              <w:spacing w:before="60" w:line="240" w:lineRule="auto"/>
              <w:jc w:val="both"/>
              <w:rPr>
                <w:rFonts w:eastAsia="Calibri" w:cs="Arial"/>
                <w:color w:val="auto"/>
                <w:sz w:val="18"/>
                <w:szCs w:val="18"/>
              </w:rPr>
            </w:pPr>
            <w:r w:rsidRPr="00A9330B">
              <w:rPr>
                <w:rFonts w:eastAsia="Calibri" w:cs="Arial"/>
                <w:color w:val="auto"/>
                <w:sz w:val="18"/>
                <w:szCs w:val="18"/>
              </w:rPr>
              <w:t xml:space="preserve">Aménagement d’une aire de lavage et d’entretien des engins et véhicules à la base vie </w:t>
            </w:r>
          </w:p>
          <w:p w14:paraId="485C56A8" w14:textId="77777777" w:rsidR="00606E97" w:rsidRPr="00A9330B" w:rsidRDefault="00606E97" w:rsidP="00606E97">
            <w:pPr>
              <w:widowControl w:val="0"/>
              <w:autoSpaceDE w:val="0"/>
              <w:autoSpaceDN w:val="0"/>
              <w:adjustRightInd w:val="0"/>
              <w:spacing w:before="60" w:line="240" w:lineRule="auto"/>
              <w:jc w:val="both"/>
              <w:rPr>
                <w:rFonts w:eastAsia="Calibri" w:cs="Arial"/>
                <w:color w:val="auto"/>
                <w:sz w:val="18"/>
                <w:szCs w:val="18"/>
              </w:rPr>
            </w:pPr>
            <w:r w:rsidRPr="00A9330B">
              <w:rPr>
                <w:rFonts w:eastAsia="Calibri" w:cs="Arial"/>
                <w:color w:val="auto"/>
                <w:sz w:val="18"/>
                <w:szCs w:val="18"/>
              </w:rPr>
              <w:t xml:space="preserve">Note d’interdiction du nettoyage des engins dans les plans d’eau </w:t>
            </w:r>
          </w:p>
        </w:tc>
        <w:tc>
          <w:tcPr>
            <w:tcW w:w="637" w:type="pct"/>
            <w:tcBorders>
              <w:top w:val="single" w:sz="6" w:space="0" w:color="auto"/>
              <w:left w:val="single" w:sz="6" w:space="0" w:color="auto"/>
              <w:bottom w:val="single" w:sz="6" w:space="0" w:color="auto"/>
              <w:right w:val="single" w:sz="6" w:space="0" w:color="auto"/>
            </w:tcBorders>
          </w:tcPr>
          <w:p w14:paraId="197558E1" w14:textId="77777777" w:rsidR="00606E97" w:rsidRPr="00A9330B" w:rsidRDefault="00606E97" w:rsidP="00606E97">
            <w:pPr>
              <w:widowControl w:val="0"/>
              <w:autoSpaceDE w:val="0"/>
              <w:autoSpaceDN w:val="0"/>
              <w:adjustRightInd w:val="0"/>
              <w:spacing w:before="60" w:line="240" w:lineRule="auto"/>
              <w:jc w:val="center"/>
              <w:rPr>
                <w:rFonts w:eastAsia="Calibri" w:cs="Arial"/>
                <w:color w:val="auto"/>
                <w:sz w:val="18"/>
                <w:szCs w:val="18"/>
              </w:rPr>
            </w:pPr>
            <w:r w:rsidRPr="00A9330B">
              <w:rPr>
                <w:rFonts w:eastAsia="Calibri" w:cs="Arial"/>
                <w:color w:val="auto"/>
                <w:sz w:val="18"/>
                <w:szCs w:val="18"/>
              </w:rPr>
              <w:t>Phase préparatoire et de construction</w:t>
            </w:r>
          </w:p>
        </w:tc>
        <w:tc>
          <w:tcPr>
            <w:tcW w:w="657" w:type="pct"/>
            <w:tcBorders>
              <w:top w:val="single" w:sz="6" w:space="0" w:color="auto"/>
              <w:left w:val="single" w:sz="6" w:space="0" w:color="auto"/>
              <w:bottom w:val="single" w:sz="6" w:space="0" w:color="auto"/>
              <w:right w:val="single" w:sz="6" w:space="0" w:color="auto"/>
            </w:tcBorders>
          </w:tcPr>
          <w:p w14:paraId="45DF6E27" w14:textId="77777777" w:rsidR="00606E97" w:rsidRPr="00A9330B" w:rsidRDefault="00606E97" w:rsidP="00606E97">
            <w:pPr>
              <w:widowControl w:val="0"/>
              <w:spacing w:before="60" w:line="240" w:lineRule="auto"/>
              <w:jc w:val="center"/>
              <w:rPr>
                <w:rFonts w:eastAsia="Calibri" w:cs="Arial"/>
                <w:color w:val="auto"/>
                <w:sz w:val="18"/>
                <w:szCs w:val="18"/>
              </w:rPr>
            </w:pPr>
            <w:r w:rsidRPr="00A9330B">
              <w:rPr>
                <w:rFonts w:eastAsia="Calibri" w:cs="Arial"/>
                <w:color w:val="auto"/>
                <w:sz w:val="18"/>
                <w:szCs w:val="18"/>
              </w:rPr>
              <w:t>MDC</w:t>
            </w:r>
          </w:p>
          <w:p w14:paraId="2791B3C6" w14:textId="77777777" w:rsidR="00606E97" w:rsidRPr="00A9330B" w:rsidRDefault="00606E97" w:rsidP="00606E97">
            <w:pPr>
              <w:widowControl w:val="0"/>
              <w:spacing w:before="60" w:line="240" w:lineRule="auto"/>
              <w:jc w:val="center"/>
              <w:rPr>
                <w:rFonts w:eastAsia="Calibri" w:cs="Arial"/>
                <w:color w:val="auto"/>
                <w:sz w:val="18"/>
                <w:szCs w:val="18"/>
              </w:rPr>
            </w:pPr>
            <w:r w:rsidRPr="00A9330B">
              <w:rPr>
                <w:rFonts w:eastAsia="Calibri" w:cs="Arial"/>
                <w:color w:val="auto"/>
                <w:sz w:val="18"/>
                <w:szCs w:val="18"/>
              </w:rPr>
              <w:t>Entreprise chargée des travaux</w:t>
            </w:r>
          </w:p>
        </w:tc>
        <w:tc>
          <w:tcPr>
            <w:tcW w:w="897" w:type="pct"/>
            <w:tcBorders>
              <w:top w:val="single" w:sz="6" w:space="0" w:color="auto"/>
              <w:left w:val="single" w:sz="6" w:space="0" w:color="auto"/>
              <w:bottom w:val="single" w:sz="6" w:space="0" w:color="auto"/>
              <w:right w:val="single" w:sz="8" w:space="0" w:color="auto"/>
            </w:tcBorders>
          </w:tcPr>
          <w:p w14:paraId="1BAA7219" w14:textId="36EAC805" w:rsidR="00606E97" w:rsidRPr="00A9330B" w:rsidRDefault="00606E97" w:rsidP="00606E97">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t xml:space="preserve">Mairie concernées (Natitingou)  </w:t>
            </w:r>
          </w:p>
          <w:p w14:paraId="74E7E146" w14:textId="77777777" w:rsidR="00606E97" w:rsidRPr="00A9330B" w:rsidRDefault="00606E97" w:rsidP="00606E97">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t>Direction Départementale du Cadre de Vie et du Développement Durable (DDCVDD-AD)</w:t>
            </w:r>
          </w:p>
          <w:p w14:paraId="7EBA4378" w14:textId="77777777" w:rsidR="00606E97" w:rsidRPr="00A9330B" w:rsidRDefault="00606E97" w:rsidP="00606E97">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t>DDS</w:t>
            </w:r>
          </w:p>
        </w:tc>
        <w:tc>
          <w:tcPr>
            <w:tcW w:w="897" w:type="pct"/>
            <w:tcBorders>
              <w:top w:val="single" w:sz="6" w:space="0" w:color="auto"/>
              <w:left w:val="single" w:sz="6" w:space="0" w:color="auto"/>
              <w:bottom w:val="single" w:sz="6" w:space="0" w:color="auto"/>
              <w:right w:val="single" w:sz="8" w:space="0" w:color="auto"/>
            </w:tcBorders>
          </w:tcPr>
          <w:p w14:paraId="4F3D5674" w14:textId="77777777" w:rsidR="00606E97" w:rsidRPr="00A9330B" w:rsidRDefault="00606E97" w:rsidP="00606E97">
            <w:pPr>
              <w:widowControl w:val="0"/>
              <w:autoSpaceDE w:val="0"/>
              <w:autoSpaceDN w:val="0"/>
              <w:adjustRightInd w:val="0"/>
              <w:spacing w:before="60" w:line="240" w:lineRule="auto"/>
              <w:rPr>
                <w:rFonts w:eastAsia="Calibri" w:cs="Arial"/>
                <w:color w:val="auto"/>
                <w:sz w:val="18"/>
                <w:szCs w:val="18"/>
              </w:rPr>
            </w:pPr>
          </w:p>
        </w:tc>
      </w:tr>
      <w:tr w:rsidR="00606E97" w:rsidRPr="00A9330B" w14:paraId="62AA3967" w14:textId="7F2A82AB" w:rsidTr="006C383B">
        <w:trPr>
          <w:trHeight w:val="554"/>
        </w:trPr>
        <w:tc>
          <w:tcPr>
            <w:tcW w:w="996" w:type="pct"/>
            <w:tcBorders>
              <w:top w:val="single" w:sz="6" w:space="0" w:color="auto"/>
              <w:left w:val="single" w:sz="8" w:space="0" w:color="auto"/>
              <w:bottom w:val="single" w:sz="6" w:space="0" w:color="auto"/>
              <w:right w:val="single" w:sz="6" w:space="0" w:color="auto"/>
            </w:tcBorders>
          </w:tcPr>
          <w:p w14:paraId="10ABDF1E" w14:textId="77777777" w:rsidR="00606E97" w:rsidRPr="00A9330B" w:rsidRDefault="00606E97" w:rsidP="00606E97">
            <w:pPr>
              <w:widowControl w:val="0"/>
              <w:autoSpaceDE w:val="0"/>
              <w:autoSpaceDN w:val="0"/>
              <w:adjustRightInd w:val="0"/>
              <w:spacing w:before="60" w:line="240" w:lineRule="auto"/>
              <w:jc w:val="both"/>
              <w:rPr>
                <w:rFonts w:eastAsia="Calibri" w:cs="Arial"/>
                <w:color w:val="auto"/>
                <w:sz w:val="18"/>
                <w:szCs w:val="18"/>
              </w:rPr>
            </w:pPr>
            <w:r w:rsidRPr="00A9330B">
              <w:rPr>
                <w:rFonts w:eastAsia="Calibri" w:cs="Arial"/>
                <w:color w:val="auto"/>
                <w:sz w:val="18"/>
                <w:szCs w:val="18"/>
              </w:rPr>
              <w:t>2.8.a.2.4. Respecter les prescriptions environnementales (installation de chantier, entretien des véhicules et engins, gestion des substances dangereuses…)</w:t>
            </w:r>
          </w:p>
        </w:tc>
        <w:tc>
          <w:tcPr>
            <w:tcW w:w="916" w:type="pct"/>
            <w:tcBorders>
              <w:top w:val="single" w:sz="6" w:space="0" w:color="auto"/>
              <w:left w:val="single" w:sz="6" w:space="0" w:color="auto"/>
              <w:bottom w:val="single" w:sz="6" w:space="0" w:color="auto"/>
              <w:right w:val="single" w:sz="6" w:space="0" w:color="auto"/>
            </w:tcBorders>
          </w:tcPr>
          <w:p w14:paraId="2C9B3274" w14:textId="77777777" w:rsidR="00606E97" w:rsidRPr="00A9330B" w:rsidRDefault="00606E97" w:rsidP="00606E97">
            <w:pPr>
              <w:widowControl w:val="0"/>
              <w:autoSpaceDE w:val="0"/>
              <w:autoSpaceDN w:val="0"/>
              <w:adjustRightInd w:val="0"/>
              <w:spacing w:before="60" w:line="240" w:lineRule="auto"/>
              <w:jc w:val="both"/>
              <w:rPr>
                <w:rFonts w:eastAsia="Calibri" w:cs="Arial"/>
                <w:color w:val="auto"/>
                <w:sz w:val="18"/>
                <w:szCs w:val="18"/>
              </w:rPr>
            </w:pPr>
            <w:r w:rsidRPr="00A9330B">
              <w:rPr>
                <w:rFonts w:eastAsia="Calibri" w:cs="Arial"/>
                <w:color w:val="auto"/>
                <w:sz w:val="18"/>
                <w:szCs w:val="18"/>
              </w:rPr>
              <w:t xml:space="preserve">Etat du sol </w:t>
            </w:r>
          </w:p>
          <w:p w14:paraId="58EB5A97" w14:textId="77777777" w:rsidR="00606E97" w:rsidRPr="00A9330B" w:rsidRDefault="00606E97" w:rsidP="00606E97">
            <w:pPr>
              <w:widowControl w:val="0"/>
              <w:autoSpaceDE w:val="0"/>
              <w:autoSpaceDN w:val="0"/>
              <w:adjustRightInd w:val="0"/>
              <w:spacing w:before="60" w:line="240" w:lineRule="auto"/>
              <w:jc w:val="both"/>
              <w:rPr>
                <w:rFonts w:eastAsia="Calibri" w:cs="Arial"/>
                <w:color w:val="auto"/>
                <w:sz w:val="18"/>
                <w:szCs w:val="18"/>
              </w:rPr>
            </w:pPr>
            <w:r w:rsidRPr="00A9330B">
              <w:rPr>
                <w:rFonts w:eastAsia="Calibri" w:cs="Arial"/>
                <w:color w:val="auto"/>
                <w:sz w:val="18"/>
                <w:szCs w:val="18"/>
              </w:rPr>
              <w:t>Absence d’indice de déversement au sol</w:t>
            </w:r>
          </w:p>
          <w:p w14:paraId="57FF3383" w14:textId="77777777" w:rsidR="00606E97" w:rsidRPr="00A9330B" w:rsidRDefault="00606E97" w:rsidP="00606E97">
            <w:pPr>
              <w:widowControl w:val="0"/>
              <w:autoSpaceDE w:val="0"/>
              <w:autoSpaceDN w:val="0"/>
              <w:adjustRightInd w:val="0"/>
              <w:spacing w:before="60" w:line="240" w:lineRule="auto"/>
              <w:jc w:val="both"/>
              <w:rPr>
                <w:rFonts w:eastAsia="Calibri" w:cs="Arial"/>
                <w:color w:val="auto"/>
                <w:sz w:val="18"/>
                <w:szCs w:val="18"/>
              </w:rPr>
            </w:pPr>
            <w:r w:rsidRPr="00A9330B">
              <w:rPr>
                <w:rFonts w:eastAsia="Calibri" w:cs="Arial"/>
                <w:color w:val="auto"/>
                <w:sz w:val="18"/>
                <w:szCs w:val="18"/>
              </w:rPr>
              <w:t>Absence d’impact d’huiles dans les eaux</w:t>
            </w:r>
          </w:p>
        </w:tc>
        <w:tc>
          <w:tcPr>
            <w:tcW w:w="637" w:type="pct"/>
            <w:tcBorders>
              <w:top w:val="single" w:sz="6" w:space="0" w:color="auto"/>
              <w:left w:val="single" w:sz="6" w:space="0" w:color="auto"/>
              <w:bottom w:val="single" w:sz="6" w:space="0" w:color="auto"/>
              <w:right w:val="single" w:sz="6" w:space="0" w:color="auto"/>
            </w:tcBorders>
          </w:tcPr>
          <w:p w14:paraId="74680E90" w14:textId="77777777" w:rsidR="00606E97" w:rsidRPr="00A9330B" w:rsidRDefault="00606E97" w:rsidP="00606E97">
            <w:pPr>
              <w:widowControl w:val="0"/>
              <w:autoSpaceDE w:val="0"/>
              <w:autoSpaceDN w:val="0"/>
              <w:adjustRightInd w:val="0"/>
              <w:spacing w:before="60" w:line="240" w:lineRule="auto"/>
              <w:jc w:val="center"/>
              <w:rPr>
                <w:rFonts w:eastAsia="Calibri" w:cs="Arial"/>
                <w:color w:val="auto"/>
                <w:sz w:val="18"/>
                <w:szCs w:val="18"/>
              </w:rPr>
            </w:pPr>
            <w:r w:rsidRPr="00A9330B">
              <w:rPr>
                <w:rFonts w:eastAsia="Calibri" w:cs="Arial"/>
                <w:color w:val="auto"/>
                <w:sz w:val="18"/>
                <w:szCs w:val="18"/>
              </w:rPr>
              <w:t>Pendant toutes les phases du projet</w:t>
            </w:r>
          </w:p>
          <w:p w14:paraId="5703B2AE" w14:textId="77777777" w:rsidR="00606E97" w:rsidRPr="00A9330B" w:rsidRDefault="00606E97" w:rsidP="00606E97">
            <w:pPr>
              <w:widowControl w:val="0"/>
              <w:autoSpaceDE w:val="0"/>
              <w:autoSpaceDN w:val="0"/>
              <w:adjustRightInd w:val="0"/>
              <w:spacing w:before="60" w:line="240" w:lineRule="auto"/>
              <w:jc w:val="center"/>
              <w:rPr>
                <w:rFonts w:eastAsia="Calibri" w:cs="Arial"/>
                <w:color w:val="auto"/>
                <w:sz w:val="18"/>
                <w:szCs w:val="18"/>
              </w:rPr>
            </w:pPr>
          </w:p>
          <w:p w14:paraId="43EAAD87" w14:textId="77777777" w:rsidR="00606E97" w:rsidRPr="00A9330B" w:rsidRDefault="00606E97" w:rsidP="00606E97">
            <w:pPr>
              <w:widowControl w:val="0"/>
              <w:autoSpaceDE w:val="0"/>
              <w:autoSpaceDN w:val="0"/>
              <w:adjustRightInd w:val="0"/>
              <w:spacing w:before="60" w:line="240" w:lineRule="auto"/>
              <w:jc w:val="center"/>
              <w:rPr>
                <w:rFonts w:eastAsia="Calibri" w:cs="Arial"/>
                <w:color w:val="auto"/>
                <w:sz w:val="18"/>
                <w:szCs w:val="18"/>
              </w:rPr>
            </w:pPr>
          </w:p>
        </w:tc>
        <w:tc>
          <w:tcPr>
            <w:tcW w:w="657" w:type="pct"/>
            <w:tcBorders>
              <w:top w:val="single" w:sz="6" w:space="0" w:color="auto"/>
              <w:left w:val="single" w:sz="6" w:space="0" w:color="auto"/>
              <w:bottom w:val="single" w:sz="6" w:space="0" w:color="auto"/>
              <w:right w:val="single" w:sz="6" w:space="0" w:color="auto"/>
            </w:tcBorders>
          </w:tcPr>
          <w:p w14:paraId="1D0FF899" w14:textId="77777777" w:rsidR="00606E97" w:rsidRPr="00A9330B" w:rsidRDefault="00606E97" w:rsidP="00606E97">
            <w:pPr>
              <w:widowControl w:val="0"/>
              <w:autoSpaceDE w:val="0"/>
              <w:autoSpaceDN w:val="0"/>
              <w:adjustRightInd w:val="0"/>
              <w:spacing w:before="60" w:line="240" w:lineRule="auto"/>
              <w:jc w:val="center"/>
              <w:rPr>
                <w:rFonts w:eastAsia="Calibri" w:cs="Arial"/>
                <w:color w:val="auto"/>
                <w:sz w:val="18"/>
                <w:szCs w:val="18"/>
              </w:rPr>
            </w:pPr>
            <w:r w:rsidRPr="00A9330B">
              <w:rPr>
                <w:rFonts w:eastAsia="Calibri" w:cs="Arial"/>
                <w:color w:val="auto"/>
                <w:sz w:val="18"/>
                <w:szCs w:val="18"/>
              </w:rPr>
              <w:t>MDC</w:t>
            </w:r>
          </w:p>
          <w:p w14:paraId="08C0D649" w14:textId="77777777" w:rsidR="00606E97" w:rsidRPr="00A9330B" w:rsidRDefault="00606E97" w:rsidP="00606E97">
            <w:pPr>
              <w:widowControl w:val="0"/>
              <w:autoSpaceDE w:val="0"/>
              <w:autoSpaceDN w:val="0"/>
              <w:adjustRightInd w:val="0"/>
              <w:spacing w:before="60" w:line="240" w:lineRule="auto"/>
              <w:jc w:val="center"/>
              <w:rPr>
                <w:rFonts w:eastAsia="Calibri" w:cs="Arial"/>
                <w:color w:val="auto"/>
                <w:sz w:val="18"/>
                <w:szCs w:val="18"/>
              </w:rPr>
            </w:pPr>
            <w:r w:rsidRPr="00A9330B">
              <w:rPr>
                <w:rFonts w:eastAsia="Calibri" w:cs="Arial"/>
                <w:color w:val="auto"/>
                <w:sz w:val="18"/>
                <w:szCs w:val="18"/>
              </w:rPr>
              <w:t>Entreprise chargée des travaux</w:t>
            </w:r>
          </w:p>
          <w:p w14:paraId="68E953AF" w14:textId="77777777" w:rsidR="00606E97" w:rsidRPr="00A9330B" w:rsidRDefault="00606E97" w:rsidP="00606E97">
            <w:pPr>
              <w:widowControl w:val="0"/>
              <w:autoSpaceDE w:val="0"/>
              <w:autoSpaceDN w:val="0"/>
              <w:adjustRightInd w:val="0"/>
              <w:spacing w:before="60" w:line="240" w:lineRule="auto"/>
              <w:jc w:val="center"/>
              <w:rPr>
                <w:rFonts w:eastAsia="Calibri" w:cs="Arial"/>
                <w:color w:val="auto"/>
                <w:sz w:val="18"/>
                <w:szCs w:val="18"/>
              </w:rPr>
            </w:pPr>
          </w:p>
          <w:p w14:paraId="5A3C3E02" w14:textId="77777777" w:rsidR="00606E97" w:rsidRPr="00A9330B" w:rsidRDefault="00606E97" w:rsidP="00606E97">
            <w:pPr>
              <w:widowControl w:val="0"/>
              <w:autoSpaceDE w:val="0"/>
              <w:autoSpaceDN w:val="0"/>
              <w:adjustRightInd w:val="0"/>
              <w:spacing w:before="60" w:line="240" w:lineRule="auto"/>
              <w:jc w:val="center"/>
              <w:rPr>
                <w:rFonts w:eastAsia="Calibri" w:cs="Arial"/>
                <w:color w:val="auto"/>
                <w:sz w:val="18"/>
                <w:szCs w:val="18"/>
              </w:rPr>
            </w:pPr>
          </w:p>
        </w:tc>
        <w:tc>
          <w:tcPr>
            <w:tcW w:w="897" w:type="pct"/>
            <w:tcBorders>
              <w:top w:val="single" w:sz="6" w:space="0" w:color="auto"/>
              <w:left w:val="single" w:sz="6" w:space="0" w:color="auto"/>
              <w:bottom w:val="single" w:sz="6" w:space="0" w:color="auto"/>
              <w:right w:val="single" w:sz="8" w:space="0" w:color="auto"/>
            </w:tcBorders>
          </w:tcPr>
          <w:p w14:paraId="5423BFF9" w14:textId="77777777" w:rsidR="00606E97" w:rsidRPr="00A9330B" w:rsidRDefault="00606E97" w:rsidP="00606E97">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t>Mairie de Natitingou (Services Techniques)</w:t>
            </w:r>
          </w:p>
          <w:p w14:paraId="7A8886D9" w14:textId="77777777" w:rsidR="00606E97" w:rsidRPr="00A9330B" w:rsidRDefault="00606E97" w:rsidP="00606E97">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t>DDCVDD- AD</w:t>
            </w:r>
          </w:p>
        </w:tc>
        <w:tc>
          <w:tcPr>
            <w:tcW w:w="897" w:type="pct"/>
            <w:tcBorders>
              <w:top w:val="single" w:sz="6" w:space="0" w:color="auto"/>
              <w:left w:val="single" w:sz="6" w:space="0" w:color="auto"/>
              <w:bottom w:val="single" w:sz="6" w:space="0" w:color="auto"/>
              <w:right w:val="single" w:sz="8" w:space="0" w:color="auto"/>
            </w:tcBorders>
          </w:tcPr>
          <w:p w14:paraId="7B905B52" w14:textId="77777777" w:rsidR="00606E97" w:rsidRPr="00A9330B" w:rsidRDefault="00606E97" w:rsidP="00606E97">
            <w:pPr>
              <w:widowControl w:val="0"/>
              <w:autoSpaceDE w:val="0"/>
              <w:autoSpaceDN w:val="0"/>
              <w:adjustRightInd w:val="0"/>
              <w:spacing w:before="60"/>
              <w:rPr>
                <w:rFonts w:eastAsia="Calibri" w:cs="Arial"/>
                <w:sz w:val="20"/>
                <w:szCs w:val="20"/>
              </w:rPr>
            </w:pPr>
            <w:r w:rsidRPr="00A9330B">
              <w:rPr>
                <w:rFonts w:eastAsia="Calibri" w:cs="Arial"/>
                <w:sz w:val="20"/>
                <w:szCs w:val="20"/>
              </w:rPr>
              <w:t xml:space="preserve">Recrutement d’agents HSE à la mission de contrôle </w:t>
            </w:r>
          </w:p>
          <w:p w14:paraId="6C0C565E" w14:textId="77777777" w:rsidR="00606E97" w:rsidRPr="00A9330B" w:rsidRDefault="00606E97" w:rsidP="00606E97">
            <w:pPr>
              <w:widowControl w:val="0"/>
              <w:autoSpaceDE w:val="0"/>
              <w:autoSpaceDN w:val="0"/>
              <w:adjustRightInd w:val="0"/>
              <w:spacing w:before="60"/>
              <w:rPr>
                <w:rFonts w:eastAsia="Calibri" w:cs="Arial"/>
                <w:sz w:val="20"/>
                <w:szCs w:val="20"/>
              </w:rPr>
            </w:pPr>
            <w:r w:rsidRPr="00A9330B">
              <w:rPr>
                <w:rFonts w:eastAsia="Calibri" w:cs="Arial"/>
                <w:sz w:val="20"/>
                <w:szCs w:val="20"/>
              </w:rPr>
              <w:t xml:space="preserve">01 Responsable </w:t>
            </w:r>
          </w:p>
          <w:p w14:paraId="305A3E79" w14:textId="77777777" w:rsidR="00606E97" w:rsidRPr="00A9330B" w:rsidRDefault="00606E97" w:rsidP="00606E97">
            <w:pPr>
              <w:widowControl w:val="0"/>
              <w:autoSpaceDE w:val="0"/>
              <w:autoSpaceDN w:val="0"/>
              <w:adjustRightInd w:val="0"/>
              <w:spacing w:before="60"/>
              <w:rPr>
                <w:rFonts w:eastAsia="Calibri" w:cs="Arial"/>
                <w:sz w:val="20"/>
                <w:szCs w:val="20"/>
              </w:rPr>
            </w:pPr>
            <w:r w:rsidRPr="00A9330B">
              <w:rPr>
                <w:rFonts w:eastAsia="Calibri" w:cs="Arial"/>
                <w:sz w:val="20"/>
                <w:szCs w:val="20"/>
              </w:rPr>
              <w:t xml:space="preserve">01 assistant </w:t>
            </w:r>
          </w:p>
          <w:p w14:paraId="1CE3D4DB" w14:textId="111B7835" w:rsidR="00606E97" w:rsidRPr="00A9330B" w:rsidRDefault="00606E97" w:rsidP="00606E97">
            <w:pPr>
              <w:widowControl w:val="0"/>
              <w:autoSpaceDE w:val="0"/>
              <w:autoSpaceDN w:val="0"/>
              <w:adjustRightInd w:val="0"/>
              <w:spacing w:before="60" w:line="240" w:lineRule="auto"/>
              <w:rPr>
                <w:rFonts w:eastAsia="Calibri" w:cs="Arial"/>
                <w:color w:val="auto"/>
                <w:sz w:val="18"/>
                <w:szCs w:val="18"/>
              </w:rPr>
            </w:pPr>
            <w:r w:rsidRPr="00A9330B">
              <w:rPr>
                <w:rFonts w:eastAsia="Calibri" w:cs="Arial"/>
                <w:b/>
                <w:sz w:val="20"/>
                <w:szCs w:val="20"/>
              </w:rPr>
              <w:t>Coût : 24 000 000 F CFA / an</w:t>
            </w:r>
          </w:p>
        </w:tc>
      </w:tr>
      <w:tr w:rsidR="00606E97" w:rsidRPr="00A9330B" w14:paraId="0923A084" w14:textId="6B699D6A" w:rsidTr="006C383B">
        <w:trPr>
          <w:trHeight w:val="832"/>
        </w:trPr>
        <w:tc>
          <w:tcPr>
            <w:tcW w:w="996" w:type="pct"/>
            <w:tcBorders>
              <w:top w:val="single" w:sz="6" w:space="0" w:color="auto"/>
              <w:left w:val="single" w:sz="8" w:space="0" w:color="auto"/>
              <w:bottom w:val="single" w:sz="6" w:space="0" w:color="auto"/>
              <w:right w:val="single" w:sz="6" w:space="0" w:color="auto"/>
            </w:tcBorders>
          </w:tcPr>
          <w:p w14:paraId="376906F3" w14:textId="77777777" w:rsidR="00606E97" w:rsidRPr="00A9330B" w:rsidRDefault="00606E97" w:rsidP="00606E97">
            <w:pPr>
              <w:widowControl w:val="0"/>
              <w:spacing w:before="60" w:line="240" w:lineRule="auto"/>
              <w:rPr>
                <w:rFonts w:eastAsia="Calibri" w:cs="Arial"/>
                <w:color w:val="auto"/>
                <w:sz w:val="18"/>
                <w:szCs w:val="18"/>
              </w:rPr>
            </w:pPr>
            <w:r w:rsidRPr="00A9330B">
              <w:rPr>
                <w:rFonts w:eastAsia="Calibri" w:cs="Arial"/>
                <w:color w:val="auto"/>
                <w:sz w:val="18"/>
                <w:szCs w:val="18"/>
              </w:rPr>
              <w:t>2.8.a.5.3.</w:t>
            </w:r>
          </w:p>
          <w:p w14:paraId="533C6CA5" w14:textId="77777777" w:rsidR="00606E97" w:rsidRPr="00A9330B" w:rsidRDefault="00606E97" w:rsidP="00606E97">
            <w:pPr>
              <w:widowControl w:val="0"/>
              <w:spacing w:before="60" w:line="240" w:lineRule="auto"/>
              <w:rPr>
                <w:rFonts w:eastAsia="Calibri" w:cs="Arial"/>
                <w:color w:val="auto"/>
                <w:sz w:val="18"/>
                <w:szCs w:val="18"/>
              </w:rPr>
            </w:pPr>
            <w:r w:rsidRPr="00A9330B">
              <w:rPr>
                <w:rFonts w:eastAsia="Calibri" w:cs="Arial"/>
                <w:color w:val="auto"/>
                <w:sz w:val="18"/>
                <w:szCs w:val="18"/>
              </w:rPr>
              <w:t>Elaborer et mettre en œuvre un plan de communication et de sensibilisation pour la libération des emprises des  routes et collecteurs à aménager</w:t>
            </w:r>
          </w:p>
        </w:tc>
        <w:tc>
          <w:tcPr>
            <w:tcW w:w="916" w:type="pct"/>
            <w:tcBorders>
              <w:top w:val="single" w:sz="6" w:space="0" w:color="auto"/>
              <w:left w:val="single" w:sz="6" w:space="0" w:color="auto"/>
              <w:bottom w:val="single" w:sz="6" w:space="0" w:color="auto"/>
              <w:right w:val="single" w:sz="6" w:space="0" w:color="auto"/>
            </w:tcBorders>
          </w:tcPr>
          <w:p w14:paraId="5020E403" w14:textId="77777777" w:rsidR="00606E97" w:rsidRPr="00A9330B" w:rsidRDefault="00606E97" w:rsidP="00606E97">
            <w:pPr>
              <w:widowControl w:val="0"/>
              <w:autoSpaceDE w:val="0"/>
              <w:autoSpaceDN w:val="0"/>
              <w:adjustRightInd w:val="0"/>
              <w:spacing w:before="60" w:line="240" w:lineRule="auto"/>
              <w:jc w:val="both"/>
              <w:rPr>
                <w:rFonts w:eastAsia="Calibri" w:cs="Arial"/>
                <w:color w:val="auto"/>
                <w:sz w:val="18"/>
                <w:szCs w:val="18"/>
              </w:rPr>
            </w:pPr>
            <w:r w:rsidRPr="00A9330B">
              <w:rPr>
                <w:rFonts w:eastAsia="Calibri" w:cs="Arial"/>
                <w:color w:val="auto"/>
                <w:sz w:val="18"/>
                <w:szCs w:val="18"/>
              </w:rPr>
              <w:t xml:space="preserve">Rapport de séance de sensibilisation effectué </w:t>
            </w:r>
          </w:p>
          <w:p w14:paraId="18D81A6A" w14:textId="77777777" w:rsidR="00606E97" w:rsidRPr="00A9330B" w:rsidRDefault="00606E97" w:rsidP="00606E97">
            <w:pPr>
              <w:widowControl w:val="0"/>
              <w:autoSpaceDE w:val="0"/>
              <w:autoSpaceDN w:val="0"/>
              <w:adjustRightInd w:val="0"/>
              <w:spacing w:before="60" w:line="240" w:lineRule="auto"/>
              <w:jc w:val="both"/>
              <w:rPr>
                <w:rFonts w:eastAsia="Calibri" w:cs="Arial"/>
                <w:color w:val="auto"/>
                <w:sz w:val="18"/>
                <w:szCs w:val="18"/>
              </w:rPr>
            </w:pPr>
            <w:r w:rsidRPr="00A9330B">
              <w:rPr>
                <w:rFonts w:eastAsia="Calibri" w:cs="Arial"/>
                <w:color w:val="auto"/>
                <w:sz w:val="18"/>
                <w:szCs w:val="18"/>
              </w:rPr>
              <w:t xml:space="preserve">Contrat de prestation avec les médias </w:t>
            </w:r>
          </w:p>
          <w:p w14:paraId="357A0763" w14:textId="4D2906E1" w:rsidR="00606E97" w:rsidRPr="00A9330B" w:rsidRDefault="00606E97" w:rsidP="00606E97">
            <w:pPr>
              <w:widowControl w:val="0"/>
              <w:spacing w:before="60" w:line="240" w:lineRule="auto"/>
              <w:jc w:val="both"/>
              <w:rPr>
                <w:rFonts w:eastAsia="Calibri" w:cs="Arial"/>
                <w:color w:val="auto"/>
                <w:sz w:val="18"/>
                <w:szCs w:val="18"/>
              </w:rPr>
            </w:pPr>
            <w:r w:rsidRPr="00A9330B">
              <w:rPr>
                <w:rFonts w:eastAsia="Calibri" w:cs="Arial"/>
                <w:color w:val="auto"/>
                <w:sz w:val="18"/>
                <w:szCs w:val="18"/>
              </w:rPr>
              <w:t>PV de réunions et de séances de sensibilisation organisées avec les PAPs</w:t>
            </w:r>
          </w:p>
          <w:p w14:paraId="257A2141" w14:textId="77777777" w:rsidR="00606E97" w:rsidRPr="00A9330B" w:rsidRDefault="00606E97" w:rsidP="00606E97">
            <w:pPr>
              <w:widowControl w:val="0"/>
              <w:spacing w:before="60" w:line="240" w:lineRule="auto"/>
              <w:jc w:val="both"/>
              <w:rPr>
                <w:rFonts w:eastAsia="Calibri" w:cs="Arial"/>
                <w:color w:val="auto"/>
                <w:sz w:val="18"/>
                <w:szCs w:val="18"/>
              </w:rPr>
            </w:pPr>
            <w:r w:rsidRPr="00A9330B">
              <w:rPr>
                <w:rFonts w:eastAsia="Calibri" w:cs="Arial"/>
                <w:color w:val="auto"/>
                <w:sz w:val="18"/>
                <w:szCs w:val="18"/>
              </w:rPr>
              <w:t>Nombre de plaintes enregistrées et gérées</w:t>
            </w:r>
          </w:p>
        </w:tc>
        <w:tc>
          <w:tcPr>
            <w:tcW w:w="637" w:type="pct"/>
            <w:tcBorders>
              <w:top w:val="single" w:sz="6" w:space="0" w:color="auto"/>
              <w:left w:val="single" w:sz="6" w:space="0" w:color="auto"/>
              <w:bottom w:val="single" w:sz="6" w:space="0" w:color="auto"/>
              <w:right w:val="single" w:sz="6" w:space="0" w:color="auto"/>
            </w:tcBorders>
          </w:tcPr>
          <w:p w14:paraId="595A8E9B" w14:textId="77777777" w:rsidR="00606E97" w:rsidRPr="00A9330B" w:rsidRDefault="00606E97" w:rsidP="00606E97">
            <w:pPr>
              <w:widowControl w:val="0"/>
              <w:autoSpaceDE w:val="0"/>
              <w:autoSpaceDN w:val="0"/>
              <w:adjustRightInd w:val="0"/>
              <w:spacing w:before="60" w:line="240" w:lineRule="auto"/>
              <w:jc w:val="center"/>
              <w:rPr>
                <w:rFonts w:eastAsia="Calibri" w:cs="Arial"/>
                <w:color w:val="auto"/>
                <w:sz w:val="18"/>
                <w:szCs w:val="18"/>
              </w:rPr>
            </w:pPr>
            <w:r w:rsidRPr="00A9330B">
              <w:rPr>
                <w:rFonts w:eastAsia="Calibri" w:cs="Arial"/>
                <w:color w:val="auto"/>
                <w:sz w:val="18"/>
                <w:szCs w:val="18"/>
              </w:rPr>
              <w:t>Pendant toutes les phases du projet</w:t>
            </w:r>
          </w:p>
          <w:p w14:paraId="021DC1E7" w14:textId="77777777" w:rsidR="00606E97" w:rsidRPr="00A9330B" w:rsidRDefault="00606E97" w:rsidP="00606E97">
            <w:pPr>
              <w:widowControl w:val="0"/>
              <w:autoSpaceDE w:val="0"/>
              <w:autoSpaceDN w:val="0"/>
              <w:adjustRightInd w:val="0"/>
              <w:spacing w:before="60" w:line="240" w:lineRule="auto"/>
              <w:jc w:val="center"/>
              <w:rPr>
                <w:rFonts w:eastAsia="Calibri" w:cs="Arial"/>
                <w:color w:val="auto"/>
                <w:sz w:val="18"/>
                <w:szCs w:val="18"/>
              </w:rPr>
            </w:pPr>
          </w:p>
          <w:p w14:paraId="4AA47C7B" w14:textId="77777777" w:rsidR="00606E97" w:rsidRPr="00A9330B" w:rsidRDefault="00606E97" w:rsidP="00606E97">
            <w:pPr>
              <w:widowControl w:val="0"/>
              <w:autoSpaceDE w:val="0"/>
              <w:autoSpaceDN w:val="0"/>
              <w:adjustRightInd w:val="0"/>
              <w:spacing w:before="60" w:line="240" w:lineRule="auto"/>
              <w:jc w:val="center"/>
              <w:rPr>
                <w:rFonts w:eastAsia="Calibri" w:cs="Arial"/>
                <w:color w:val="auto"/>
                <w:sz w:val="18"/>
                <w:szCs w:val="18"/>
              </w:rPr>
            </w:pPr>
          </w:p>
        </w:tc>
        <w:tc>
          <w:tcPr>
            <w:tcW w:w="657" w:type="pct"/>
            <w:tcBorders>
              <w:top w:val="single" w:sz="6" w:space="0" w:color="auto"/>
              <w:left w:val="single" w:sz="6" w:space="0" w:color="auto"/>
              <w:bottom w:val="single" w:sz="6" w:space="0" w:color="auto"/>
              <w:right w:val="single" w:sz="6" w:space="0" w:color="auto"/>
            </w:tcBorders>
          </w:tcPr>
          <w:p w14:paraId="2348520E" w14:textId="77777777" w:rsidR="00606E97" w:rsidRPr="00A9330B" w:rsidRDefault="00606E97" w:rsidP="00606E97">
            <w:pPr>
              <w:widowControl w:val="0"/>
              <w:autoSpaceDE w:val="0"/>
              <w:autoSpaceDN w:val="0"/>
              <w:adjustRightInd w:val="0"/>
              <w:spacing w:before="60" w:line="240" w:lineRule="auto"/>
              <w:jc w:val="center"/>
              <w:rPr>
                <w:rFonts w:eastAsia="Calibri" w:cs="Arial"/>
                <w:color w:val="auto"/>
                <w:sz w:val="18"/>
                <w:szCs w:val="18"/>
              </w:rPr>
            </w:pPr>
            <w:r w:rsidRPr="00A9330B">
              <w:rPr>
                <w:rFonts w:eastAsia="Calibri" w:cs="Arial"/>
                <w:color w:val="auto"/>
                <w:sz w:val="18"/>
                <w:szCs w:val="18"/>
              </w:rPr>
              <w:t>MDC</w:t>
            </w:r>
          </w:p>
          <w:p w14:paraId="2880A5A0" w14:textId="77777777" w:rsidR="00606E97" w:rsidRPr="00A9330B" w:rsidRDefault="00606E97" w:rsidP="00606E97">
            <w:pPr>
              <w:widowControl w:val="0"/>
              <w:autoSpaceDE w:val="0"/>
              <w:autoSpaceDN w:val="0"/>
              <w:adjustRightInd w:val="0"/>
              <w:spacing w:before="60" w:line="240" w:lineRule="auto"/>
              <w:jc w:val="center"/>
              <w:rPr>
                <w:rFonts w:eastAsia="Calibri" w:cs="Arial"/>
                <w:color w:val="auto"/>
                <w:sz w:val="18"/>
                <w:szCs w:val="18"/>
              </w:rPr>
            </w:pPr>
            <w:r w:rsidRPr="00A9330B">
              <w:rPr>
                <w:rFonts w:eastAsia="Calibri" w:cs="Arial"/>
                <w:color w:val="auto"/>
                <w:sz w:val="18"/>
                <w:szCs w:val="18"/>
              </w:rPr>
              <w:t>Entreprise chargée des travaux</w:t>
            </w:r>
          </w:p>
          <w:p w14:paraId="6A5EA9FD" w14:textId="77777777" w:rsidR="00606E97" w:rsidRPr="00A9330B" w:rsidRDefault="00606E97" w:rsidP="00606E97">
            <w:pPr>
              <w:widowControl w:val="0"/>
              <w:autoSpaceDE w:val="0"/>
              <w:autoSpaceDN w:val="0"/>
              <w:adjustRightInd w:val="0"/>
              <w:spacing w:before="60" w:line="240" w:lineRule="auto"/>
              <w:jc w:val="center"/>
              <w:rPr>
                <w:rFonts w:eastAsia="Calibri" w:cs="Arial"/>
                <w:color w:val="auto"/>
                <w:sz w:val="18"/>
                <w:szCs w:val="18"/>
              </w:rPr>
            </w:pPr>
          </w:p>
        </w:tc>
        <w:tc>
          <w:tcPr>
            <w:tcW w:w="897" w:type="pct"/>
            <w:tcBorders>
              <w:top w:val="single" w:sz="6" w:space="0" w:color="auto"/>
              <w:left w:val="single" w:sz="6" w:space="0" w:color="auto"/>
              <w:bottom w:val="single" w:sz="6" w:space="0" w:color="auto"/>
              <w:right w:val="single" w:sz="8" w:space="0" w:color="auto"/>
            </w:tcBorders>
          </w:tcPr>
          <w:p w14:paraId="4CAC37F6" w14:textId="77777777" w:rsidR="00606E97" w:rsidRPr="00A9330B" w:rsidRDefault="00606E97" w:rsidP="00606E97">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t>Mairie de Natitingou (Services Techniques)</w:t>
            </w:r>
          </w:p>
          <w:p w14:paraId="05EBA52C" w14:textId="77777777" w:rsidR="00606E97" w:rsidRPr="00A9330B" w:rsidRDefault="00606E97" w:rsidP="00606E97">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t>DDCVDD-AD</w:t>
            </w:r>
          </w:p>
          <w:p w14:paraId="3C2C436E" w14:textId="77777777" w:rsidR="00606E97" w:rsidRPr="00A9330B" w:rsidRDefault="00606E97" w:rsidP="00606E97">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t>Direction Départementale des Infrastructures et des Transports</w:t>
            </w:r>
          </w:p>
        </w:tc>
        <w:tc>
          <w:tcPr>
            <w:tcW w:w="897" w:type="pct"/>
            <w:tcBorders>
              <w:top w:val="single" w:sz="6" w:space="0" w:color="auto"/>
              <w:left w:val="single" w:sz="6" w:space="0" w:color="auto"/>
              <w:bottom w:val="single" w:sz="6" w:space="0" w:color="auto"/>
              <w:right w:val="single" w:sz="8" w:space="0" w:color="auto"/>
            </w:tcBorders>
          </w:tcPr>
          <w:p w14:paraId="65DF5155" w14:textId="77777777" w:rsidR="00606E97" w:rsidRPr="00A9330B" w:rsidRDefault="00606E97" w:rsidP="00606E97">
            <w:pPr>
              <w:widowControl w:val="0"/>
              <w:autoSpaceDE w:val="0"/>
              <w:autoSpaceDN w:val="0"/>
              <w:adjustRightInd w:val="0"/>
              <w:spacing w:before="60" w:line="240" w:lineRule="auto"/>
              <w:rPr>
                <w:rFonts w:eastAsia="Calibri" w:cs="Arial"/>
                <w:sz w:val="20"/>
                <w:szCs w:val="20"/>
              </w:rPr>
            </w:pPr>
            <w:r w:rsidRPr="00A9330B">
              <w:rPr>
                <w:rFonts w:eastAsia="Calibri" w:cs="Arial"/>
                <w:sz w:val="20"/>
                <w:szCs w:val="20"/>
              </w:rPr>
              <w:t>Sensibilisation par les crieurs publics, les radios locales et porte à porte par les agents HSE (03 séquences espacées de deux semaines)</w:t>
            </w:r>
          </w:p>
          <w:p w14:paraId="4DC8CCC4" w14:textId="4340200A" w:rsidR="00606E97" w:rsidRPr="00A9330B" w:rsidRDefault="00606E97" w:rsidP="00606E97">
            <w:pPr>
              <w:widowControl w:val="0"/>
              <w:autoSpaceDE w:val="0"/>
              <w:autoSpaceDN w:val="0"/>
              <w:adjustRightInd w:val="0"/>
              <w:spacing w:before="60" w:line="240" w:lineRule="auto"/>
              <w:rPr>
                <w:rFonts w:eastAsia="Calibri" w:cs="Arial"/>
                <w:color w:val="auto"/>
                <w:sz w:val="18"/>
                <w:szCs w:val="18"/>
              </w:rPr>
            </w:pPr>
            <w:r w:rsidRPr="00A9330B">
              <w:rPr>
                <w:rFonts w:eastAsia="Calibri" w:cs="Arial"/>
                <w:b/>
                <w:sz w:val="20"/>
                <w:szCs w:val="20"/>
              </w:rPr>
              <w:t>Cout :   2 100 000  FCFA</w:t>
            </w:r>
          </w:p>
        </w:tc>
      </w:tr>
      <w:tr w:rsidR="00606E97" w:rsidRPr="00A9330B" w14:paraId="5B785F01" w14:textId="2B644C5A" w:rsidTr="006C383B">
        <w:trPr>
          <w:trHeight w:val="1105"/>
        </w:trPr>
        <w:tc>
          <w:tcPr>
            <w:tcW w:w="996" w:type="pct"/>
            <w:tcBorders>
              <w:top w:val="single" w:sz="6" w:space="0" w:color="auto"/>
              <w:left w:val="single" w:sz="8" w:space="0" w:color="auto"/>
              <w:bottom w:val="single" w:sz="6" w:space="0" w:color="auto"/>
              <w:right w:val="single" w:sz="6" w:space="0" w:color="auto"/>
            </w:tcBorders>
          </w:tcPr>
          <w:p w14:paraId="36D19B5B" w14:textId="77777777" w:rsidR="00606E97" w:rsidRPr="00A9330B" w:rsidRDefault="00606E97" w:rsidP="00606E97">
            <w:pPr>
              <w:widowControl w:val="0"/>
              <w:spacing w:before="60" w:line="240" w:lineRule="auto"/>
              <w:jc w:val="both"/>
              <w:rPr>
                <w:rFonts w:eastAsia="Calibri" w:cs="Arial"/>
                <w:color w:val="auto"/>
                <w:sz w:val="18"/>
                <w:szCs w:val="18"/>
              </w:rPr>
            </w:pPr>
            <w:r w:rsidRPr="00A9330B">
              <w:rPr>
                <w:rFonts w:eastAsia="Calibri" w:cs="Arial"/>
                <w:color w:val="auto"/>
                <w:sz w:val="18"/>
                <w:szCs w:val="18"/>
              </w:rPr>
              <w:lastRenderedPageBreak/>
              <w:t xml:space="preserve">2.8.a.6.1. Travailler en collaboration avec les concessionnaires pour réduire les dommages sur les réseaux et bénéficier d’une intervention prompte en cas de dommage </w:t>
            </w:r>
          </w:p>
        </w:tc>
        <w:tc>
          <w:tcPr>
            <w:tcW w:w="916" w:type="pct"/>
            <w:tcBorders>
              <w:top w:val="single" w:sz="6" w:space="0" w:color="auto"/>
              <w:left w:val="single" w:sz="6" w:space="0" w:color="auto"/>
              <w:bottom w:val="single" w:sz="6" w:space="0" w:color="auto"/>
              <w:right w:val="single" w:sz="6" w:space="0" w:color="auto"/>
            </w:tcBorders>
          </w:tcPr>
          <w:p w14:paraId="2241BCC4" w14:textId="77777777" w:rsidR="00606E97" w:rsidRPr="00A9330B" w:rsidRDefault="00606E97" w:rsidP="00606E97">
            <w:pPr>
              <w:widowControl w:val="0"/>
              <w:autoSpaceDE w:val="0"/>
              <w:autoSpaceDN w:val="0"/>
              <w:adjustRightInd w:val="0"/>
              <w:spacing w:before="60" w:line="240" w:lineRule="auto"/>
              <w:jc w:val="both"/>
              <w:rPr>
                <w:rFonts w:eastAsia="Calibri" w:cs="Arial"/>
                <w:color w:val="auto"/>
                <w:sz w:val="18"/>
                <w:szCs w:val="18"/>
              </w:rPr>
            </w:pPr>
            <w:r w:rsidRPr="00A9330B">
              <w:rPr>
                <w:rFonts w:eastAsia="Calibri" w:cs="Arial"/>
                <w:color w:val="auto"/>
                <w:sz w:val="18"/>
                <w:szCs w:val="18"/>
              </w:rPr>
              <w:t xml:space="preserve">Existence de rapport de réhabilitation des réseaux </w:t>
            </w:r>
          </w:p>
          <w:p w14:paraId="4EF3625A" w14:textId="77777777" w:rsidR="00606E97" w:rsidRPr="00A9330B" w:rsidRDefault="00606E97" w:rsidP="00606E97">
            <w:pPr>
              <w:widowControl w:val="0"/>
              <w:autoSpaceDE w:val="0"/>
              <w:autoSpaceDN w:val="0"/>
              <w:adjustRightInd w:val="0"/>
              <w:spacing w:before="60" w:line="240" w:lineRule="auto"/>
              <w:jc w:val="both"/>
              <w:rPr>
                <w:rFonts w:eastAsia="Calibri" w:cs="Arial"/>
                <w:color w:val="auto"/>
                <w:sz w:val="18"/>
                <w:szCs w:val="18"/>
              </w:rPr>
            </w:pPr>
            <w:r w:rsidRPr="00A9330B">
              <w:rPr>
                <w:rFonts w:eastAsia="Calibri" w:cs="Arial"/>
                <w:color w:val="auto"/>
                <w:sz w:val="18"/>
                <w:szCs w:val="18"/>
              </w:rPr>
              <w:t xml:space="preserve">Nombre de casses réparés sur réseaux existants </w:t>
            </w:r>
          </w:p>
          <w:p w14:paraId="6A10E48B" w14:textId="77777777" w:rsidR="00606E97" w:rsidRPr="00A9330B" w:rsidRDefault="00606E97" w:rsidP="00606E97">
            <w:pPr>
              <w:widowControl w:val="0"/>
              <w:autoSpaceDE w:val="0"/>
              <w:autoSpaceDN w:val="0"/>
              <w:adjustRightInd w:val="0"/>
              <w:spacing w:before="60" w:line="240" w:lineRule="auto"/>
              <w:jc w:val="both"/>
              <w:rPr>
                <w:rFonts w:eastAsia="Calibri" w:cs="Arial"/>
                <w:color w:val="auto"/>
                <w:sz w:val="18"/>
                <w:szCs w:val="18"/>
              </w:rPr>
            </w:pPr>
            <w:r w:rsidRPr="00A9330B">
              <w:rPr>
                <w:rFonts w:eastAsia="Calibri" w:cs="Arial"/>
                <w:color w:val="auto"/>
                <w:sz w:val="18"/>
                <w:szCs w:val="18"/>
              </w:rPr>
              <w:t>Nombre de plaintes des riverains enregistrées et gérées</w:t>
            </w:r>
          </w:p>
        </w:tc>
        <w:tc>
          <w:tcPr>
            <w:tcW w:w="637" w:type="pct"/>
            <w:tcBorders>
              <w:top w:val="single" w:sz="6" w:space="0" w:color="auto"/>
              <w:left w:val="single" w:sz="6" w:space="0" w:color="auto"/>
              <w:bottom w:val="single" w:sz="6" w:space="0" w:color="auto"/>
              <w:right w:val="single" w:sz="6" w:space="0" w:color="auto"/>
            </w:tcBorders>
          </w:tcPr>
          <w:p w14:paraId="251C9E23" w14:textId="77777777" w:rsidR="00606E97" w:rsidRPr="00A9330B" w:rsidRDefault="00606E97" w:rsidP="00606E97">
            <w:pPr>
              <w:widowControl w:val="0"/>
              <w:spacing w:before="60" w:line="240" w:lineRule="auto"/>
              <w:jc w:val="center"/>
              <w:rPr>
                <w:rFonts w:eastAsia="Calibri" w:cs="Arial"/>
                <w:color w:val="auto"/>
                <w:sz w:val="18"/>
                <w:szCs w:val="18"/>
              </w:rPr>
            </w:pPr>
            <w:r w:rsidRPr="00A9330B">
              <w:rPr>
                <w:rFonts w:eastAsia="Calibri" w:cs="Arial"/>
                <w:color w:val="auto"/>
                <w:sz w:val="18"/>
                <w:szCs w:val="18"/>
              </w:rPr>
              <w:t>Pendant les travaux</w:t>
            </w:r>
          </w:p>
        </w:tc>
        <w:tc>
          <w:tcPr>
            <w:tcW w:w="657" w:type="pct"/>
            <w:tcBorders>
              <w:top w:val="single" w:sz="6" w:space="0" w:color="auto"/>
              <w:left w:val="single" w:sz="6" w:space="0" w:color="auto"/>
              <w:bottom w:val="single" w:sz="6" w:space="0" w:color="auto"/>
              <w:right w:val="single" w:sz="6" w:space="0" w:color="auto"/>
            </w:tcBorders>
          </w:tcPr>
          <w:p w14:paraId="55EB5EEF" w14:textId="77777777" w:rsidR="00606E97" w:rsidRPr="00A9330B" w:rsidRDefault="00606E97" w:rsidP="00606E97">
            <w:pPr>
              <w:widowControl w:val="0"/>
              <w:spacing w:before="60" w:line="240" w:lineRule="auto"/>
              <w:jc w:val="center"/>
              <w:rPr>
                <w:rFonts w:eastAsia="Calibri" w:cs="Arial"/>
                <w:color w:val="auto"/>
                <w:sz w:val="18"/>
                <w:szCs w:val="18"/>
              </w:rPr>
            </w:pPr>
            <w:r w:rsidRPr="00A9330B">
              <w:rPr>
                <w:rFonts w:eastAsia="Calibri" w:cs="Arial"/>
                <w:color w:val="auto"/>
                <w:sz w:val="18"/>
                <w:szCs w:val="18"/>
              </w:rPr>
              <w:t>MDC</w:t>
            </w:r>
          </w:p>
          <w:p w14:paraId="41A5D5D5" w14:textId="77777777" w:rsidR="00606E97" w:rsidRPr="00A9330B" w:rsidRDefault="00606E97" w:rsidP="00606E97">
            <w:pPr>
              <w:widowControl w:val="0"/>
              <w:spacing w:before="60" w:line="240" w:lineRule="auto"/>
              <w:jc w:val="center"/>
              <w:rPr>
                <w:rFonts w:eastAsia="Calibri" w:cs="Arial"/>
                <w:color w:val="auto"/>
                <w:sz w:val="18"/>
                <w:szCs w:val="18"/>
              </w:rPr>
            </w:pPr>
            <w:r w:rsidRPr="00A9330B">
              <w:rPr>
                <w:rFonts w:eastAsia="Calibri" w:cs="Arial"/>
                <w:color w:val="auto"/>
                <w:sz w:val="18"/>
                <w:szCs w:val="18"/>
              </w:rPr>
              <w:t>Entreprise chargée des travaux</w:t>
            </w:r>
          </w:p>
        </w:tc>
        <w:tc>
          <w:tcPr>
            <w:tcW w:w="897" w:type="pct"/>
            <w:tcBorders>
              <w:top w:val="single" w:sz="6" w:space="0" w:color="auto"/>
              <w:left w:val="single" w:sz="6" w:space="0" w:color="auto"/>
              <w:bottom w:val="single" w:sz="6" w:space="0" w:color="auto"/>
              <w:right w:val="single" w:sz="8" w:space="0" w:color="auto"/>
            </w:tcBorders>
          </w:tcPr>
          <w:p w14:paraId="12093282" w14:textId="77777777" w:rsidR="00606E97" w:rsidRPr="00A9330B" w:rsidRDefault="00606E97" w:rsidP="00606E97">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t>Mairie de Natitingou (Services Techniques)</w:t>
            </w:r>
          </w:p>
          <w:p w14:paraId="05E36ECF" w14:textId="77777777" w:rsidR="00606E97" w:rsidRPr="00A9330B" w:rsidRDefault="00606E97" w:rsidP="00606E97">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t>DDCVDD-AD</w:t>
            </w:r>
          </w:p>
          <w:p w14:paraId="011EBCEA" w14:textId="77777777" w:rsidR="00606E97" w:rsidRPr="00A9330B" w:rsidRDefault="00606E97" w:rsidP="00606E97">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t>SBEE</w:t>
            </w:r>
          </w:p>
          <w:p w14:paraId="13421BF3" w14:textId="77777777" w:rsidR="00606E97" w:rsidRPr="00A9330B" w:rsidRDefault="00606E97" w:rsidP="00606E97">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t>SONEB</w:t>
            </w:r>
          </w:p>
          <w:p w14:paraId="6A3702EE" w14:textId="77777777" w:rsidR="00606E97" w:rsidRPr="00A9330B" w:rsidRDefault="00606E97" w:rsidP="00606E97">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t>BENIN TELECOM, etc.</w:t>
            </w:r>
          </w:p>
        </w:tc>
        <w:tc>
          <w:tcPr>
            <w:tcW w:w="897" w:type="pct"/>
            <w:tcBorders>
              <w:top w:val="single" w:sz="6" w:space="0" w:color="auto"/>
              <w:left w:val="single" w:sz="6" w:space="0" w:color="auto"/>
              <w:bottom w:val="single" w:sz="6" w:space="0" w:color="auto"/>
              <w:right w:val="single" w:sz="8" w:space="0" w:color="auto"/>
            </w:tcBorders>
          </w:tcPr>
          <w:p w14:paraId="41D1E7AC" w14:textId="0E1A0AA2" w:rsidR="00606E97" w:rsidRPr="00A9330B" w:rsidRDefault="00606E97" w:rsidP="00606E97">
            <w:pPr>
              <w:widowControl w:val="0"/>
              <w:autoSpaceDE w:val="0"/>
              <w:autoSpaceDN w:val="0"/>
              <w:adjustRightInd w:val="0"/>
              <w:spacing w:before="60" w:line="240" w:lineRule="auto"/>
              <w:rPr>
                <w:rFonts w:eastAsia="Calibri" w:cs="Arial"/>
                <w:color w:val="auto"/>
                <w:sz w:val="18"/>
                <w:szCs w:val="18"/>
              </w:rPr>
            </w:pPr>
            <w:r w:rsidRPr="00A9330B">
              <w:rPr>
                <w:rFonts w:eastAsia="Calibri" w:cs="Arial"/>
                <w:sz w:val="20"/>
                <w:szCs w:val="20"/>
              </w:rPr>
              <w:t>Intégrer dans sécurité de chantier (DAO travaux</w:t>
            </w:r>
          </w:p>
        </w:tc>
      </w:tr>
      <w:tr w:rsidR="00606E97" w:rsidRPr="00A9330B" w14:paraId="2B0074AC" w14:textId="2CB17632" w:rsidTr="006C383B">
        <w:trPr>
          <w:trHeight w:val="683"/>
        </w:trPr>
        <w:tc>
          <w:tcPr>
            <w:tcW w:w="996" w:type="pct"/>
            <w:tcBorders>
              <w:top w:val="single" w:sz="6" w:space="0" w:color="auto"/>
              <w:left w:val="single" w:sz="8" w:space="0" w:color="auto"/>
              <w:bottom w:val="single" w:sz="6" w:space="0" w:color="auto"/>
              <w:right w:val="single" w:sz="6" w:space="0" w:color="auto"/>
            </w:tcBorders>
          </w:tcPr>
          <w:p w14:paraId="33E19928" w14:textId="77777777" w:rsidR="00606E97" w:rsidRPr="00A9330B" w:rsidRDefault="00606E97" w:rsidP="00606E97">
            <w:pPr>
              <w:widowControl w:val="0"/>
              <w:spacing w:before="60" w:line="240" w:lineRule="auto"/>
              <w:jc w:val="both"/>
              <w:rPr>
                <w:rFonts w:eastAsia="Calibri" w:cs="Arial"/>
                <w:color w:val="auto"/>
                <w:sz w:val="18"/>
                <w:szCs w:val="18"/>
              </w:rPr>
            </w:pPr>
            <w:r w:rsidRPr="00A9330B">
              <w:rPr>
                <w:rFonts w:eastAsia="Calibri" w:cs="Arial"/>
                <w:color w:val="auto"/>
                <w:sz w:val="18"/>
                <w:szCs w:val="18"/>
              </w:rPr>
              <w:t>2.8.a.6.2. Informer les populations riveraines et les usagers des réseaux de toute perturbation envisagée</w:t>
            </w:r>
          </w:p>
        </w:tc>
        <w:tc>
          <w:tcPr>
            <w:tcW w:w="916" w:type="pct"/>
            <w:tcBorders>
              <w:top w:val="single" w:sz="6" w:space="0" w:color="auto"/>
              <w:left w:val="single" w:sz="6" w:space="0" w:color="auto"/>
              <w:bottom w:val="single" w:sz="6" w:space="0" w:color="auto"/>
              <w:right w:val="single" w:sz="6" w:space="0" w:color="auto"/>
            </w:tcBorders>
          </w:tcPr>
          <w:p w14:paraId="70BD6DAB" w14:textId="77777777" w:rsidR="00606E97" w:rsidRPr="00A9330B" w:rsidRDefault="00606E97" w:rsidP="00606E97">
            <w:pPr>
              <w:widowControl w:val="0"/>
              <w:autoSpaceDE w:val="0"/>
              <w:autoSpaceDN w:val="0"/>
              <w:adjustRightInd w:val="0"/>
              <w:spacing w:before="60" w:line="240" w:lineRule="auto"/>
              <w:jc w:val="both"/>
              <w:rPr>
                <w:rFonts w:eastAsia="Calibri" w:cs="Arial"/>
                <w:color w:val="auto"/>
                <w:sz w:val="18"/>
                <w:szCs w:val="18"/>
              </w:rPr>
            </w:pPr>
            <w:r w:rsidRPr="00A9330B">
              <w:rPr>
                <w:rFonts w:eastAsia="Calibri" w:cs="Arial"/>
                <w:color w:val="auto"/>
                <w:sz w:val="18"/>
                <w:szCs w:val="18"/>
              </w:rPr>
              <w:t>Nombre de plaintes des riverains enregistrées et gérées</w:t>
            </w:r>
          </w:p>
          <w:p w14:paraId="2E2526AB" w14:textId="77777777" w:rsidR="00606E97" w:rsidRPr="00A9330B" w:rsidRDefault="00606E97" w:rsidP="00606E97">
            <w:pPr>
              <w:widowControl w:val="0"/>
              <w:autoSpaceDE w:val="0"/>
              <w:autoSpaceDN w:val="0"/>
              <w:adjustRightInd w:val="0"/>
              <w:spacing w:before="60" w:line="240" w:lineRule="auto"/>
              <w:jc w:val="both"/>
              <w:rPr>
                <w:rFonts w:eastAsia="Calibri" w:cs="Arial"/>
                <w:color w:val="auto"/>
                <w:sz w:val="18"/>
                <w:szCs w:val="18"/>
              </w:rPr>
            </w:pPr>
            <w:r w:rsidRPr="00A9330B">
              <w:rPr>
                <w:rFonts w:eastAsia="Calibri" w:cs="Arial"/>
                <w:color w:val="auto"/>
                <w:sz w:val="18"/>
                <w:szCs w:val="18"/>
              </w:rPr>
              <w:t xml:space="preserve">Existence de plan de communication </w:t>
            </w:r>
          </w:p>
          <w:p w14:paraId="6249372D" w14:textId="77777777" w:rsidR="00606E97" w:rsidRPr="00A9330B" w:rsidRDefault="00606E97" w:rsidP="00606E97">
            <w:pPr>
              <w:widowControl w:val="0"/>
              <w:autoSpaceDE w:val="0"/>
              <w:autoSpaceDN w:val="0"/>
              <w:adjustRightInd w:val="0"/>
              <w:spacing w:before="60" w:line="240" w:lineRule="auto"/>
              <w:jc w:val="both"/>
              <w:rPr>
                <w:rFonts w:eastAsia="Calibri" w:cs="Arial"/>
                <w:color w:val="auto"/>
                <w:sz w:val="18"/>
                <w:szCs w:val="18"/>
              </w:rPr>
            </w:pPr>
            <w:r w:rsidRPr="00A9330B">
              <w:rPr>
                <w:rFonts w:eastAsia="Calibri" w:cs="Arial"/>
                <w:color w:val="auto"/>
                <w:sz w:val="18"/>
                <w:szCs w:val="18"/>
              </w:rPr>
              <w:t xml:space="preserve">Existence de façon spécifique de communiqué de presse </w:t>
            </w:r>
          </w:p>
        </w:tc>
        <w:tc>
          <w:tcPr>
            <w:tcW w:w="637" w:type="pct"/>
            <w:tcBorders>
              <w:top w:val="single" w:sz="6" w:space="0" w:color="auto"/>
              <w:left w:val="single" w:sz="6" w:space="0" w:color="auto"/>
              <w:bottom w:val="single" w:sz="6" w:space="0" w:color="auto"/>
              <w:right w:val="single" w:sz="6" w:space="0" w:color="auto"/>
            </w:tcBorders>
          </w:tcPr>
          <w:p w14:paraId="2DD69702" w14:textId="77777777" w:rsidR="00606E97" w:rsidRPr="00A9330B" w:rsidRDefault="00606E97" w:rsidP="00606E97">
            <w:pPr>
              <w:widowControl w:val="0"/>
              <w:spacing w:before="60" w:line="240" w:lineRule="auto"/>
              <w:jc w:val="center"/>
              <w:rPr>
                <w:rFonts w:eastAsia="Calibri" w:cs="Arial"/>
                <w:color w:val="auto"/>
                <w:sz w:val="18"/>
                <w:szCs w:val="18"/>
              </w:rPr>
            </w:pPr>
            <w:r w:rsidRPr="00A9330B">
              <w:rPr>
                <w:rFonts w:eastAsia="Calibri" w:cs="Arial"/>
                <w:color w:val="auto"/>
                <w:sz w:val="18"/>
                <w:szCs w:val="18"/>
              </w:rPr>
              <w:t>Pendant les travaux</w:t>
            </w:r>
          </w:p>
        </w:tc>
        <w:tc>
          <w:tcPr>
            <w:tcW w:w="657" w:type="pct"/>
            <w:tcBorders>
              <w:top w:val="single" w:sz="6" w:space="0" w:color="auto"/>
              <w:left w:val="single" w:sz="6" w:space="0" w:color="auto"/>
              <w:bottom w:val="single" w:sz="6" w:space="0" w:color="auto"/>
              <w:right w:val="single" w:sz="6" w:space="0" w:color="auto"/>
            </w:tcBorders>
          </w:tcPr>
          <w:p w14:paraId="1C6C0384" w14:textId="77777777" w:rsidR="00606E97" w:rsidRPr="00A9330B" w:rsidRDefault="00606E97" w:rsidP="00606E97">
            <w:pPr>
              <w:widowControl w:val="0"/>
              <w:spacing w:before="60" w:line="240" w:lineRule="auto"/>
              <w:jc w:val="center"/>
              <w:rPr>
                <w:rFonts w:eastAsia="Calibri" w:cs="Arial"/>
                <w:color w:val="auto"/>
                <w:sz w:val="18"/>
                <w:szCs w:val="18"/>
              </w:rPr>
            </w:pPr>
            <w:r w:rsidRPr="00A9330B">
              <w:rPr>
                <w:rFonts w:eastAsia="Calibri" w:cs="Arial"/>
                <w:color w:val="auto"/>
                <w:sz w:val="18"/>
                <w:szCs w:val="18"/>
              </w:rPr>
              <w:t>MDC</w:t>
            </w:r>
          </w:p>
          <w:p w14:paraId="76CFA5FB" w14:textId="77777777" w:rsidR="00606E97" w:rsidRPr="00A9330B" w:rsidRDefault="00606E97" w:rsidP="00606E97">
            <w:pPr>
              <w:widowControl w:val="0"/>
              <w:spacing w:before="60" w:line="240" w:lineRule="auto"/>
              <w:jc w:val="center"/>
              <w:rPr>
                <w:rFonts w:eastAsia="Calibri" w:cs="Arial"/>
                <w:color w:val="auto"/>
                <w:sz w:val="18"/>
                <w:szCs w:val="18"/>
              </w:rPr>
            </w:pPr>
            <w:r w:rsidRPr="00A9330B">
              <w:rPr>
                <w:rFonts w:eastAsia="Calibri" w:cs="Arial"/>
                <w:color w:val="auto"/>
                <w:sz w:val="18"/>
                <w:szCs w:val="18"/>
              </w:rPr>
              <w:t>Entreprise chargée des travaux</w:t>
            </w:r>
          </w:p>
        </w:tc>
        <w:tc>
          <w:tcPr>
            <w:tcW w:w="897" w:type="pct"/>
            <w:tcBorders>
              <w:top w:val="single" w:sz="6" w:space="0" w:color="auto"/>
              <w:left w:val="single" w:sz="6" w:space="0" w:color="auto"/>
              <w:bottom w:val="single" w:sz="6" w:space="0" w:color="auto"/>
              <w:right w:val="single" w:sz="8" w:space="0" w:color="auto"/>
            </w:tcBorders>
          </w:tcPr>
          <w:p w14:paraId="171F95E2" w14:textId="77777777" w:rsidR="00606E97" w:rsidRPr="00A9330B" w:rsidRDefault="00606E97" w:rsidP="00606E97">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t>Mairie de Natitingou (Services Techniques)</w:t>
            </w:r>
          </w:p>
          <w:p w14:paraId="31C5B0C8" w14:textId="77777777" w:rsidR="00606E97" w:rsidRPr="00A9330B" w:rsidRDefault="00606E97" w:rsidP="00606E97">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t>DDCVDD-AD</w:t>
            </w:r>
          </w:p>
          <w:p w14:paraId="081BAC8C" w14:textId="77777777" w:rsidR="00606E97" w:rsidRPr="00A9330B" w:rsidRDefault="00606E97" w:rsidP="00606E97">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t>SBEE</w:t>
            </w:r>
          </w:p>
          <w:p w14:paraId="28B719B4" w14:textId="77777777" w:rsidR="00606E97" w:rsidRPr="00A9330B" w:rsidRDefault="00606E97" w:rsidP="00606E97">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t>SONEB</w:t>
            </w:r>
          </w:p>
          <w:p w14:paraId="1361D3A1" w14:textId="77777777" w:rsidR="00606E97" w:rsidRPr="00A9330B" w:rsidRDefault="00606E97" w:rsidP="00606E97">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t>BENIN TELECOM, etc.</w:t>
            </w:r>
          </w:p>
        </w:tc>
        <w:tc>
          <w:tcPr>
            <w:tcW w:w="897" w:type="pct"/>
            <w:tcBorders>
              <w:top w:val="single" w:sz="6" w:space="0" w:color="auto"/>
              <w:left w:val="single" w:sz="6" w:space="0" w:color="auto"/>
              <w:bottom w:val="single" w:sz="6" w:space="0" w:color="auto"/>
              <w:right w:val="single" w:sz="8" w:space="0" w:color="auto"/>
            </w:tcBorders>
          </w:tcPr>
          <w:p w14:paraId="1816AB04" w14:textId="77777777" w:rsidR="00606E97" w:rsidRPr="00A9330B" w:rsidRDefault="00606E97" w:rsidP="00606E97">
            <w:pPr>
              <w:widowControl w:val="0"/>
              <w:autoSpaceDE w:val="0"/>
              <w:autoSpaceDN w:val="0"/>
              <w:adjustRightInd w:val="0"/>
              <w:spacing w:before="60" w:line="240" w:lineRule="auto"/>
              <w:rPr>
                <w:rFonts w:eastAsia="Calibri" w:cs="Arial"/>
                <w:b/>
                <w:sz w:val="20"/>
                <w:szCs w:val="20"/>
              </w:rPr>
            </w:pPr>
            <w:r w:rsidRPr="00A9330B">
              <w:rPr>
                <w:rFonts w:eastAsia="Calibri" w:cs="Arial"/>
                <w:sz w:val="20"/>
                <w:szCs w:val="20"/>
              </w:rPr>
              <w:t>Sensibilisation par les crieurs publics, les radios locales (chaque fois au besoin)</w:t>
            </w:r>
          </w:p>
          <w:p w14:paraId="38AB7AD7" w14:textId="77777777" w:rsidR="00606E97" w:rsidRPr="00A9330B" w:rsidRDefault="00606E97" w:rsidP="00606E97">
            <w:pPr>
              <w:widowControl w:val="0"/>
              <w:autoSpaceDE w:val="0"/>
              <w:autoSpaceDN w:val="0"/>
              <w:adjustRightInd w:val="0"/>
              <w:spacing w:before="60" w:line="240" w:lineRule="auto"/>
              <w:rPr>
                <w:rFonts w:eastAsia="Calibri" w:cs="Arial"/>
                <w:b/>
                <w:sz w:val="20"/>
                <w:szCs w:val="20"/>
              </w:rPr>
            </w:pPr>
          </w:p>
          <w:p w14:paraId="2F10254C" w14:textId="25946166" w:rsidR="00606E97" w:rsidRPr="00A9330B" w:rsidRDefault="00606E97" w:rsidP="00606E97">
            <w:pPr>
              <w:widowControl w:val="0"/>
              <w:autoSpaceDE w:val="0"/>
              <w:autoSpaceDN w:val="0"/>
              <w:adjustRightInd w:val="0"/>
              <w:spacing w:before="60" w:line="240" w:lineRule="auto"/>
              <w:rPr>
                <w:rFonts w:eastAsia="Calibri" w:cs="Arial"/>
                <w:color w:val="auto"/>
                <w:sz w:val="18"/>
                <w:szCs w:val="18"/>
              </w:rPr>
            </w:pPr>
            <w:r w:rsidRPr="00A9330B">
              <w:rPr>
                <w:rFonts w:eastAsia="Calibri" w:cs="Arial"/>
                <w:b/>
                <w:sz w:val="20"/>
                <w:szCs w:val="20"/>
              </w:rPr>
              <w:t>Cout:    1 500 000  FCFA /  an</w:t>
            </w:r>
          </w:p>
        </w:tc>
      </w:tr>
      <w:tr w:rsidR="00606E97" w:rsidRPr="00A9330B" w14:paraId="331AEF6C" w14:textId="197392E1" w:rsidTr="006C383B">
        <w:trPr>
          <w:trHeight w:val="290"/>
        </w:trPr>
        <w:tc>
          <w:tcPr>
            <w:tcW w:w="996" w:type="pct"/>
            <w:tcBorders>
              <w:top w:val="single" w:sz="6" w:space="0" w:color="auto"/>
              <w:left w:val="single" w:sz="8" w:space="0" w:color="auto"/>
              <w:bottom w:val="single" w:sz="6" w:space="0" w:color="auto"/>
              <w:right w:val="single" w:sz="6" w:space="0" w:color="auto"/>
            </w:tcBorders>
          </w:tcPr>
          <w:p w14:paraId="4B88B244" w14:textId="77777777" w:rsidR="00606E97" w:rsidRPr="00A9330B" w:rsidRDefault="00606E97" w:rsidP="00606E97">
            <w:pPr>
              <w:widowControl w:val="0"/>
              <w:spacing w:before="60" w:line="240" w:lineRule="auto"/>
              <w:jc w:val="both"/>
              <w:rPr>
                <w:rFonts w:eastAsia="Calibri" w:cs="Arial"/>
                <w:color w:val="auto"/>
                <w:sz w:val="18"/>
                <w:szCs w:val="18"/>
              </w:rPr>
            </w:pPr>
            <w:r w:rsidRPr="00A9330B">
              <w:rPr>
                <w:rFonts w:eastAsia="Calibri" w:cs="Arial"/>
                <w:color w:val="auto"/>
                <w:sz w:val="18"/>
                <w:szCs w:val="18"/>
              </w:rPr>
              <w:t>2.8.a.6.3. Sensibiliser le personnel de chantier sur les accidents divers</w:t>
            </w:r>
          </w:p>
        </w:tc>
        <w:tc>
          <w:tcPr>
            <w:tcW w:w="916" w:type="pct"/>
            <w:tcBorders>
              <w:top w:val="single" w:sz="6" w:space="0" w:color="auto"/>
              <w:left w:val="single" w:sz="6" w:space="0" w:color="auto"/>
              <w:bottom w:val="single" w:sz="6" w:space="0" w:color="auto"/>
              <w:right w:val="single" w:sz="6" w:space="0" w:color="auto"/>
            </w:tcBorders>
          </w:tcPr>
          <w:p w14:paraId="562BB4FE" w14:textId="77777777" w:rsidR="00606E97" w:rsidRPr="00A9330B" w:rsidRDefault="00606E97" w:rsidP="00606E97">
            <w:pPr>
              <w:widowControl w:val="0"/>
              <w:autoSpaceDE w:val="0"/>
              <w:autoSpaceDN w:val="0"/>
              <w:adjustRightInd w:val="0"/>
              <w:spacing w:before="60" w:line="240" w:lineRule="auto"/>
              <w:jc w:val="both"/>
              <w:rPr>
                <w:rFonts w:eastAsia="Calibri" w:cs="Arial"/>
                <w:color w:val="auto"/>
                <w:sz w:val="18"/>
                <w:szCs w:val="18"/>
              </w:rPr>
            </w:pPr>
            <w:r w:rsidRPr="00A9330B">
              <w:rPr>
                <w:rFonts w:eastAsia="Calibri" w:cs="Arial"/>
                <w:color w:val="auto"/>
                <w:sz w:val="18"/>
                <w:szCs w:val="18"/>
              </w:rPr>
              <w:t>Rapports de séance de sensibilisation disponible</w:t>
            </w:r>
          </w:p>
          <w:p w14:paraId="65CB4964" w14:textId="77777777" w:rsidR="00606E97" w:rsidRPr="00A9330B" w:rsidRDefault="00606E97" w:rsidP="00606E97">
            <w:pPr>
              <w:widowControl w:val="0"/>
              <w:autoSpaceDE w:val="0"/>
              <w:autoSpaceDN w:val="0"/>
              <w:adjustRightInd w:val="0"/>
              <w:spacing w:before="60" w:line="240" w:lineRule="auto"/>
              <w:jc w:val="both"/>
              <w:rPr>
                <w:rFonts w:eastAsia="Calibri" w:cs="Arial"/>
                <w:color w:val="auto"/>
                <w:sz w:val="18"/>
                <w:szCs w:val="18"/>
              </w:rPr>
            </w:pPr>
            <w:r w:rsidRPr="00A9330B">
              <w:rPr>
                <w:rFonts w:eastAsia="Calibri" w:cs="Arial"/>
                <w:color w:val="auto"/>
                <w:sz w:val="18"/>
                <w:szCs w:val="18"/>
              </w:rPr>
              <w:t xml:space="preserve">Fiche de présence  à la sensibilisation  </w:t>
            </w:r>
          </w:p>
        </w:tc>
        <w:tc>
          <w:tcPr>
            <w:tcW w:w="637" w:type="pct"/>
            <w:tcBorders>
              <w:top w:val="single" w:sz="6" w:space="0" w:color="auto"/>
              <w:left w:val="single" w:sz="6" w:space="0" w:color="auto"/>
              <w:bottom w:val="single" w:sz="6" w:space="0" w:color="auto"/>
              <w:right w:val="single" w:sz="6" w:space="0" w:color="auto"/>
            </w:tcBorders>
          </w:tcPr>
          <w:p w14:paraId="42CB685B" w14:textId="77777777" w:rsidR="00606E97" w:rsidRPr="00A9330B" w:rsidRDefault="00606E97" w:rsidP="00606E97">
            <w:pPr>
              <w:widowControl w:val="0"/>
              <w:spacing w:before="60" w:line="240" w:lineRule="auto"/>
              <w:jc w:val="center"/>
              <w:rPr>
                <w:rFonts w:eastAsia="Calibri" w:cs="Arial"/>
                <w:color w:val="auto"/>
                <w:sz w:val="18"/>
                <w:szCs w:val="18"/>
              </w:rPr>
            </w:pPr>
            <w:r w:rsidRPr="00A9330B">
              <w:rPr>
                <w:rFonts w:eastAsia="Calibri" w:cs="Arial"/>
                <w:color w:val="auto"/>
                <w:sz w:val="18"/>
                <w:szCs w:val="18"/>
              </w:rPr>
              <w:t>Pendant les travaux</w:t>
            </w:r>
          </w:p>
        </w:tc>
        <w:tc>
          <w:tcPr>
            <w:tcW w:w="657" w:type="pct"/>
            <w:tcBorders>
              <w:top w:val="single" w:sz="6" w:space="0" w:color="auto"/>
              <w:left w:val="single" w:sz="6" w:space="0" w:color="auto"/>
              <w:bottom w:val="single" w:sz="6" w:space="0" w:color="auto"/>
              <w:right w:val="single" w:sz="6" w:space="0" w:color="auto"/>
            </w:tcBorders>
          </w:tcPr>
          <w:p w14:paraId="106F3B89" w14:textId="77777777" w:rsidR="00606E97" w:rsidRPr="00A9330B" w:rsidRDefault="00606E97" w:rsidP="00606E97">
            <w:pPr>
              <w:widowControl w:val="0"/>
              <w:spacing w:before="60" w:line="240" w:lineRule="auto"/>
              <w:jc w:val="center"/>
              <w:rPr>
                <w:rFonts w:eastAsia="Calibri" w:cs="Arial"/>
                <w:color w:val="auto"/>
                <w:sz w:val="18"/>
                <w:szCs w:val="18"/>
              </w:rPr>
            </w:pPr>
            <w:r w:rsidRPr="00A9330B">
              <w:rPr>
                <w:rFonts w:eastAsia="Calibri" w:cs="Arial"/>
                <w:color w:val="auto"/>
                <w:sz w:val="18"/>
                <w:szCs w:val="18"/>
              </w:rPr>
              <w:t>MDC</w:t>
            </w:r>
          </w:p>
          <w:p w14:paraId="164BAD65" w14:textId="77777777" w:rsidR="00606E97" w:rsidRPr="00A9330B" w:rsidRDefault="00606E97" w:rsidP="00606E97">
            <w:pPr>
              <w:widowControl w:val="0"/>
              <w:spacing w:before="60" w:line="240" w:lineRule="auto"/>
              <w:jc w:val="center"/>
              <w:rPr>
                <w:rFonts w:eastAsia="Calibri" w:cs="Arial"/>
                <w:color w:val="auto"/>
                <w:sz w:val="18"/>
                <w:szCs w:val="18"/>
              </w:rPr>
            </w:pPr>
            <w:r w:rsidRPr="00A9330B">
              <w:rPr>
                <w:rFonts w:eastAsia="Calibri" w:cs="Arial"/>
                <w:color w:val="auto"/>
                <w:sz w:val="18"/>
                <w:szCs w:val="18"/>
              </w:rPr>
              <w:t>Entreprise chargée des travaux</w:t>
            </w:r>
          </w:p>
        </w:tc>
        <w:tc>
          <w:tcPr>
            <w:tcW w:w="897" w:type="pct"/>
            <w:tcBorders>
              <w:top w:val="single" w:sz="6" w:space="0" w:color="auto"/>
              <w:left w:val="single" w:sz="6" w:space="0" w:color="auto"/>
              <w:bottom w:val="single" w:sz="6" w:space="0" w:color="auto"/>
              <w:right w:val="single" w:sz="8" w:space="0" w:color="auto"/>
            </w:tcBorders>
          </w:tcPr>
          <w:p w14:paraId="7047BF20" w14:textId="77777777" w:rsidR="00606E97" w:rsidRPr="00A9330B" w:rsidRDefault="00606E97" w:rsidP="00606E97">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t>Mairie de Natitingou (Services Techniques)</w:t>
            </w:r>
          </w:p>
          <w:p w14:paraId="0B7C1AC0" w14:textId="77777777" w:rsidR="00606E97" w:rsidRPr="00A9330B" w:rsidRDefault="00606E97" w:rsidP="00606E97">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t>DDCVDD-AD</w:t>
            </w:r>
          </w:p>
        </w:tc>
        <w:tc>
          <w:tcPr>
            <w:tcW w:w="897" w:type="pct"/>
            <w:tcBorders>
              <w:top w:val="single" w:sz="6" w:space="0" w:color="auto"/>
              <w:left w:val="single" w:sz="6" w:space="0" w:color="auto"/>
              <w:bottom w:val="single" w:sz="6" w:space="0" w:color="auto"/>
              <w:right w:val="single" w:sz="8" w:space="0" w:color="auto"/>
            </w:tcBorders>
          </w:tcPr>
          <w:p w14:paraId="01D6730C" w14:textId="77777777" w:rsidR="00606E97" w:rsidRPr="00A9330B" w:rsidRDefault="00606E97" w:rsidP="00606E97">
            <w:pPr>
              <w:widowControl w:val="0"/>
              <w:autoSpaceDE w:val="0"/>
              <w:autoSpaceDN w:val="0"/>
              <w:adjustRightInd w:val="0"/>
              <w:spacing w:before="60" w:line="240" w:lineRule="auto"/>
              <w:rPr>
                <w:rFonts w:eastAsia="Calibri" w:cs="Arial"/>
                <w:color w:val="auto"/>
                <w:sz w:val="18"/>
                <w:szCs w:val="18"/>
              </w:rPr>
            </w:pPr>
          </w:p>
        </w:tc>
      </w:tr>
      <w:tr w:rsidR="00606E97" w:rsidRPr="00A9330B" w14:paraId="67005A9E" w14:textId="1B083468" w:rsidTr="006C383B">
        <w:trPr>
          <w:trHeight w:val="543"/>
        </w:trPr>
        <w:tc>
          <w:tcPr>
            <w:tcW w:w="996" w:type="pct"/>
            <w:tcBorders>
              <w:top w:val="single" w:sz="6" w:space="0" w:color="auto"/>
              <w:left w:val="single" w:sz="8" w:space="0" w:color="auto"/>
              <w:bottom w:val="single" w:sz="6" w:space="0" w:color="auto"/>
              <w:right w:val="single" w:sz="6" w:space="0" w:color="auto"/>
            </w:tcBorders>
          </w:tcPr>
          <w:p w14:paraId="2B5FDA80" w14:textId="77777777" w:rsidR="00606E97" w:rsidRPr="00A9330B" w:rsidRDefault="00606E97" w:rsidP="00606E97">
            <w:pPr>
              <w:widowControl w:val="0"/>
              <w:spacing w:before="60" w:line="240" w:lineRule="auto"/>
              <w:rPr>
                <w:rFonts w:eastAsia="Calibri" w:cs="Arial"/>
                <w:color w:val="auto"/>
                <w:sz w:val="18"/>
                <w:szCs w:val="18"/>
              </w:rPr>
            </w:pPr>
            <w:r w:rsidRPr="00A9330B">
              <w:rPr>
                <w:rFonts w:eastAsia="Calibri" w:cs="Arial"/>
                <w:color w:val="auto"/>
                <w:sz w:val="18"/>
                <w:szCs w:val="18"/>
              </w:rPr>
              <w:t>2.8.a.7.1.  ; 3.2.a.1.1.</w:t>
            </w:r>
          </w:p>
          <w:p w14:paraId="174E394B" w14:textId="77777777" w:rsidR="00606E97" w:rsidRPr="00A9330B" w:rsidRDefault="00606E97" w:rsidP="00606E97">
            <w:pPr>
              <w:widowControl w:val="0"/>
              <w:spacing w:before="60" w:line="240" w:lineRule="auto"/>
              <w:jc w:val="both"/>
              <w:rPr>
                <w:rFonts w:eastAsia="Calibri" w:cs="Arial"/>
                <w:color w:val="auto"/>
                <w:sz w:val="18"/>
                <w:szCs w:val="18"/>
              </w:rPr>
            </w:pPr>
            <w:r w:rsidRPr="00A9330B">
              <w:rPr>
                <w:rFonts w:eastAsia="Calibri" w:cs="Arial"/>
                <w:color w:val="auto"/>
                <w:sz w:val="18"/>
                <w:szCs w:val="18"/>
              </w:rPr>
              <w:t>Sensibiliser les travailleurs sur les risques liés au travail</w:t>
            </w:r>
          </w:p>
        </w:tc>
        <w:tc>
          <w:tcPr>
            <w:tcW w:w="916" w:type="pct"/>
            <w:tcBorders>
              <w:top w:val="single" w:sz="6" w:space="0" w:color="auto"/>
              <w:left w:val="single" w:sz="6" w:space="0" w:color="auto"/>
              <w:bottom w:val="single" w:sz="6" w:space="0" w:color="auto"/>
              <w:right w:val="single" w:sz="6" w:space="0" w:color="auto"/>
            </w:tcBorders>
          </w:tcPr>
          <w:p w14:paraId="2EF8AF17" w14:textId="77777777" w:rsidR="00606E97" w:rsidRPr="00A9330B" w:rsidRDefault="00606E97" w:rsidP="00606E97">
            <w:pPr>
              <w:widowControl w:val="0"/>
              <w:autoSpaceDE w:val="0"/>
              <w:autoSpaceDN w:val="0"/>
              <w:adjustRightInd w:val="0"/>
              <w:spacing w:before="60" w:line="240" w:lineRule="auto"/>
              <w:jc w:val="both"/>
              <w:rPr>
                <w:rFonts w:eastAsia="Calibri" w:cs="Arial"/>
                <w:color w:val="auto"/>
                <w:sz w:val="18"/>
                <w:szCs w:val="18"/>
              </w:rPr>
            </w:pPr>
            <w:r w:rsidRPr="00A9330B">
              <w:rPr>
                <w:rFonts w:eastAsia="Calibri" w:cs="Arial"/>
                <w:color w:val="auto"/>
                <w:sz w:val="18"/>
                <w:szCs w:val="18"/>
              </w:rPr>
              <w:t xml:space="preserve">Rapports de séance de sensibilisation disponible </w:t>
            </w:r>
          </w:p>
        </w:tc>
        <w:tc>
          <w:tcPr>
            <w:tcW w:w="637" w:type="pct"/>
            <w:tcBorders>
              <w:top w:val="single" w:sz="6" w:space="0" w:color="auto"/>
              <w:left w:val="single" w:sz="6" w:space="0" w:color="auto"/>
              <w:bottom w:val="single" w:sz="6" w:space="0" w:color="auto"/>
              <w:right w:val="single" w:sz="6" w:space="0" w:color="auto"/>
            </w:tcBorders>
          </w:tcPr>
          <w:p w14:paraId="1561CBB7" w14:textId="77777777" w:rsidR="00606E97" w:rsidRPr="00A9330B" w:rsidRDefault="00606E97" w:rsidP="00606E97">
            <w:pPr>
              <w:widowControl w:val="0"/>
              <w:spacing w:before="60" w:line="240" w:lineRule="auto"/>
              <w:jc w:val="center"/>
              <w:rPr>
                <w:rFonts w:eastAsia="Calibri" w:cs="Arial"/>
                <w:color w:val="auto"/>
                <w:sz w:val="18"/>
                <w:szCs w:val="18"/>
              </w:rPr>
            </w:pPr>
            <w:r w:rsidRPr="00A9330B">
              <w:rPr>
                <w:rFonts w:eastAsia="Calibri" w:cs="Arial"/>
                <w:color w:val="auto"/>
                <w:sz w:val="18"/>
                <w:szCs w:val="18"/>
              </w:rPr>
              <w:t>Pendant les travaux</w:t>
            </w:r>
          </w:p>
        </w:tc>
        <w:tc>
          <w:tcPr>
            <w:tcW w:w="657" w:type="pct"/>
            <w:tcBorders>
              <w:top w:val="single" w:sz="6" w:space="0" w:color="auto"/>
              <w:left w:val="single" w:sz="6" w:space="0" w:color="auto"/>
              <w:bottom w:val="single" w:sz="6" w:space="0" w:color="auto"/>
              <w:right w:val="single" w:sz="6" w:space="0" w:color="auto"/>
            </w:tcBorders>
          </w:tcPr>
          <w:p w14:paraId="63D0F475" w14:textId="77777777" w:rsidR="00606E97" w:rsidRPr="00A9330B" w:rsidRDefault="00606E97" w:rsidP="00606E97">
            <w:pPr>
              <w:widowControl w:val="0"/>
              <w:spacing w:before="60" w:line="240" w:lineRule="auto"/>
              <w:jc w:val="center"/>
              <w:rPr>
                <w:rFonts w:eastAsia="Calibri" w:cs="Arial"/>
                <w:color w:val="auto"/>
                <w:sz w:val="18"/>
                <w:szCs w:val="18"/>
              </w:rPr>
            </w:pPr>
            <w:r w:rsidRPr="00A9330B">
              <w:rPr>
                <w:rFonts w:eastAsia="Calibri" w:cs="Arial"/>
                <w:color w:val="auto"/>
                <w:sz w:val="18"/>
                <w:szCs w:val="18"/>
              </w:rPr>
              <w:t>MDC</w:t>
            </w:r>
          </w:p>
          <w:p w14:paraId="623F298F" w14:textId="77777777" w:rsidR="00606E97" w:rsidRPr="00A9330B" w:rsidRDefault="00606E97" w:rsidP="00606E97">
            <w:pPr>
              <w:widowControl w:val="0"/>
              <w:spacing w:before="60" w:line="240" w:lineRule="auto"/>
              <w:jc w:val="center"/>
              <w:rPr>
                <w:rFonts w:eastAsia="Calibri" w:cs="Arial"/>
                <w:color w:val="auto"/>
                <w:sz w:val="18"/>
                <w:szCs w:val="18"/>
              </w:rPr>
            </w:pPr>
            <w:r w:rsidRPr="00A9330B">
              <w:rPr>
                <w:rFonts w:eastAsia="Calibri" w:cs="Arial"/>
                <w:color w:val="auto"/>
                <w:sz w:val="18"/>
                <w:szCs w:val="18"/>
              </w:rPr>
              <w:t>Entreprise chargée des travaux</w:t>
            </w:r>
          </w:p>
        </w:tc>
        <w:tc>
          <w:tcPr>
            <w:tcW w:w="897" w:type="pct"/>
            <w:tcBorders>
              <w:top w:val="single" w:sz="6" w:space="0" w:color="auto"/>
              <w:left w:val="single" w:sz="6" w:space="0" w:color="auto"/>
              <w:bottom w:val="single" w:sz="6" w:space="0" w:color="auto"/>
              <w:right w:val="single" w:sz="8" w:space="0" w:color="auto"/>
            </w:tcBorders>
          </w:tcPr>
          <w:p w14:paraId="2C2A32DC" w14:textId="77777777" w:rsidR="00606E97" w:rsidRPr="00A9330B" w:rsidRDefault="00606E97" w:rsidP="00606E97">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t>Mairie de Natitingou (Services Techniques)</w:t>
            </w:r>
          </w:p>
          <w:p w14:paraId="69EDE894" w14:textId="77777777" w:rsidR="00606E97" w:rsidRPr="00A9330B" w:rsidRDefault="00606E97" w:rsidP="00606E97">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t>DDCVDD-AD</w:t>
            </w:r>
          </w:p>
        </w:tc>
        <w:tc>
          <w:tcPr>
            <w:tcW w:w="897" w:type="pct"/>
            <w:tcBorders>
              <w:top w:val="single" w:sz="6" w:space="0" w:color="auto"/>
              <w:left w:val="single" w:sz="6" w:space="0" w:color="auto"/>
              <w:bottom w:val="single" w:sz="6" w:space="0" w:color="auto"/>
              <w:right w:val="single" w:sz="8" w:space="0" w:color="auto"/>
            </w:tcBorders>
          </w:tcPr>
          <w:p w14:paraId="24CF313C" w14:textId="77777777" w:rsidR="00606E97" w:rsidRPr="00A9330B" w:rsidRDefault="00606E97" w:rsidP="00606E97">
            <w:pPr>
              <w:widowControl w:val="0"/>
              <w:autoSpaceDE w:val="0"/>
              <w:autoSpaceDN w:val="0"/>
              <w:adjustRightInd w:val="0"/>
              <w:spacing w:before="60" w:line="240" w:lineRule="auto"/>
              <w:rPr>
                <w:rFonts w:eastAsia="Calibri" w:cs="Arial"/>
                <w:color w:val="auto"/>
                <w:sz w:val="18"/>
                <w:szCs w:val="18"/>
              </w:rPr>
            </w:pPr>
          </w:p>
        </w:tc>
      </w:tr>
      <w:tr w:rsidR="00606E97" w:rsidRPr="00A9330B" w14:paraId="55EBDAF2" w14:textId="3BA07ECC" w:rsidTr="006C383B">
        <w:trPr>
          <w:trHeight w:val="190"/>
        </w:trPr>
        <w:tc>
          <w:tcPr>
            <w:tcW w:w="996" w:type="pct"/>
            <w:tcBorders>
              <w:top w:val="single" w:sz="6" w:space="0" w:color="auto"/>
              <w:left w:val="single" w:sz="8" w:space="0" w:color="auto"/>
              <w:bottom w:val="single" w:sz="6" w:space="0" w:color="auto"/>
              <w:right w:val="single" w:sz="6" w:space="0" w:color="auto"/>
            </w:tcBorders>
          </w:tcPr>
          <w:p w14:paraId="13A14BF9" w14:textId="77777777" w:rsidR="00606E97" w:rsidRPr="00A9330B" w:rsidRDefault="00606E97" w:rsidP="00606E97">
            <w:pPr>
              <w:widowControl w:val="0"/>
              <w:spacing w:before="60" w:line="240" w:lineRule="auto"/>
              <w:rPr>
                <w:rFonts w:eastAsia="Calibri" w:cs="Arial"/>
                <w:color w:val="auto"/>
                <w:sz w:val="18"/>
                <w:szCs w:val="18"/>
              </w:rPr>
            </w:pPr>
            <w:r w:rsidRPr="00A9330B">
              <w:rPr>
                <w:rFonts w:eastAsia="Calibri" w:cs="Arial"/>
                <w:color w:val="auto"/>
                <w:sz w:val="18"/>
                <w:szCs w:val="18"/>
              </w:rPr>
              <w:t xml:space="preserve">2.8.a.7.5.  Sensibiliser les conducteurs d’engins et de véhicules de chantier et les riverains par rapport  à la limitation de vitesse et l’encombrement de la chaussée </w:t>
            </w:r>
          </w:p>
        </w:tc>
        <w:tc>
          <w:tcPr>
            <w:tcW w:w="916" w:type="pct"/>
            <w:tcBorders>
              <w:top w:val="single" w:sz="6" w:space="0" w:color="auto"/>
              <w:left w:val="single" w:sz="6" w:space="0" w:color="auto"/>
              <w:bottom w:val="single" w:sz="6" w:space="0" w:color="auto"/>
              <w:right w:val="single" w:sz="6" w:space="0" w:color="auto"/>
            </w:tcBorders>
          </w:tcPr>
          <w:p w14:paraId="2DEC4A81" w14:textId="77777777" w:rsidR="00606E97" w:rsidRPr="00A9330B" w:rsidRDefault="00606E97" w:rsidP="00606E97">
            <w:pPr>
              <w:widowControl w:val="0"/>
              <w:autoSpaceDE w:val="0"/>
              <w:autoSpaceDN w:val="0"/>
              <w:adjustRightInd w:val="0"/>
              <w:spacing w:before="60" w:line="240" w:lineRule="auto"/>
              <w:jc w:val="both"/>
              <w:rPr>
                <w:rFonts w:eastAsia="Calibri" w:cs="Arial"/>
                <w:color w:val="auto"/>
                <w:sz w:val="18"/>
                <w:szCs w:val="18"/>
              </w:rPr>
            </w:pPr>
            <w:r w:rsidRPr="00A9330B">
              <w:rPr>
                <w:rFonts w:eastAsia="Calibri" w:cs="Arial"/>
                <w:color w:val="auto"/>
                <w:sz w:val="18"/>
                <w:szCs w:val="18"/>
              </w:rPr>
              <w:t>Rapports de séance de sensibilisation disponible</w:t>
            </w:r>
          </w:p>
        </w:tc>
        <w:tc>
          <w:tcPr>
            <w:tcW w:w="637" w:type="pct"/>
            <w:tcBorders>
              <w:top w:val="single" w:sz="6" w:space="0" w:color="auto"/>
              <w:left w:val="single" w:sz="6" w:space="0" w:color="auto"/>
              <w:bottom w:val="single" w:sz="6" w:space="0" w:color="auto"/>
              <w:right w:val="single" w:sz="6" w:space="0" w:color="auto"/>
            </w:tcBorders>
          </w:tcPr>
          <w:p w14:paraId="5CF2EF6F" w14:textId="77777777" w:rsidR="00606E97" w:rsidRPr="00A9330B" w:rsidRDefault="00606E97" w:rsidP="00606E97">
            <w:pPr>
              <w:widowControl w:val="0"/>
              <w:spacing w:before="60" w:line="240" w:lineRule="auto"/>
              <w:jc w:val="center"/>
              <w:rPr>
                <w:rFonts w:eastAsia="Calibri" w:cs="Arial"/>
                <w:color w:val="auto"/>
                <w:sz w:val="18"/>
                <w:szCs w:val="18"/>
              </w:rPr>
            </w:pPr>
            <w:r w:rsidRPr="00A9330B">
              <w:rPr>
                <w:rFonts w:eastAsia="Calibri" w:cs="Arial"/>
                <w:color w:val="auto"/>
                <w:sz w:val="18"/>
                <w:szCs w:val="18"/>
              </w:rPr>
              <w:t>Pendant les travaux</w:t>
            </w:r>
          </w:p>
        </w:tc>
        <w:tc>
          <w:tcPr>
            <w:tcW w:w="657" w:type="pct"/>
            <w:tcBorders>
              <w:top w:val="single" w:sz="6" w:space="0" w:color="auto"/>
              <w:left w:val="single" w:sz="6" w:space="0" w:color="auto"/>
              <w:bottom w:val="single" w:sz="6" w:space="0" w:color="auto"/>
              <w:right w:val="single" w:sz="6" w:space="0" w:color="auto"/>
            </w:tcBorders>
          </w:tcPr>
          <w:p w14:paraId="6ED8547B" w14:textId="77777777" w:rsidR="00606E97" w:rsidRPr="00A9330B" w:rsidRDefault="00606E97" w:rsidP="00606E97">
            <w:pPr>
              <w:widowControl w:val="0"/>
              <w:spacing w:before="60" w:line="240" w:lineRule="auto"/>
              <w:jc w:val="center"/>
              <w:rPr>
                <w:rFonts w:eastAsia="Calibri" w:cs="Arial"/>
                <w:color w:val="auto"/>
                <w:sz w:val="18"/>
                <w:szCs w:val="18"/>
              </w:rPr>
            </w:pPr>
            <w:r w:rsidRPr="00A9330B">
              <w:rPr>
                <w:rFonts w:eastAsia="Calibri" w:cs="Arial"/>
                <w:color w:val="auto"/>
                <w:sz w:val="18"/>
                <w:szCs w:val="18"/>
              </w:rPr>
              <w:t>MDC</w:t>
            </w:r>
          </w:p>
          <w:p w14:paraId="7C2DE6BF" w14:textId="77777777" w:rsidR="00606E97" w:rsidRPr="00A9330B" w:rsidRDefault="00606E97" w:rsidP="00606E97">
            <w:pPr>
              <w:widowControl w:val="0"/>
              <w:spacing w:before="60" w:line="240" w:lineRule="auto"/>
              <w:jc w:val="center"/>
              <w:rPr>
                <w:rFonts w:eastAsia="Calibri" w:cs="Arial"/>
                <w:color w:val="auto"/>
                <w:sz w:val="18"/>
                <w:szCs w:val="18"/>
              </w:rPr>
            </w:pPr>
            <w:r w:rsidRPr="00A9330B">
              <w:rPr>
                <w:rFonts w:eastAsia="Calibri" w:cs="Arial"/>
                <w:color w:val="auto"/>
                <w:sz w:val="18"/>
                <w:szCs w:val="18"/>
              </w:rPr>
              <w:t>Entreprise chargée des travaux</w:t>
            </w:r>
          </w:p>
        </w:tc>
        <w:tc>
          <w:tcPr>
            <w:tcW w:w="897" w:type="pct"/>
            <w:tcBorders>
              <w:top w:val="single" w:sz="6" w:space="0" w:color="auto"/>
              <w:left w:val="single" w:sz="6" w:space="0" w:color="auto"/>
              <w:bottom w:val="single" w:sz="6" w:space="0" w:color="auto"/>
              <w:right w:val="single" w:sz="8" w:space="0" w:color="auto"/>
            </w:tcBorders>
          </w:tcPr>
          <w:p w14:paraId="07FA152B" w14:textId="77777777" w:rsidR="00606E97" w:rsidRPr="00A9330B" w:rsidRDefault="00606E97" w:rsidP="00606E97">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t>Mairie de Natitingou (Services Techniques)</w:t>
            </w:r>
          </w:p>
          <w:p w14:paraId="200AB5C4" w14:textId="77777777" w:rsidR="00606E97" w:rsidRPr="00A9330B" w:rsidRDefault="00606E97" w:rsidP="00606E97">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t>DDCVDD-AD</w:t>
            </w:r>
          </w:p>
        </w:tc>
        <w:tc>
          <w:tcPr>
            <w:tcW w:w="897" w:type="pct"/>
            <w:tcBorders>
              <w:top w:val="single" w:sz="6" w:space="0" w:color="auto"/>
              <w:left w:val="single" w:sz="6" w:space="0" w:color="auto"/>
              <w:bottom w:val="single" w:sz="6" w:space="0" w:color="auto"/>
              <w:right w:val="single" w:sz="8" w:space="0" w:color="auto"/>
            </w:tcBorders>
          </w:tcPr>
          <w:p w14:paraId="172D3433" w14:textId="77777777" w:rsidR="00606E97" w:rsidRPr="00A9330B" w:rsidRDefault="00606E97" w:rsidP="00606E97">
            <w:pPr>
              <w:widowControl w:val="0"/>
              <w:autoSpaceDE w:val="0"/>
              <w:autoSpaceDN w:val="0"/>
              <w:adjustRightInd w:val="0"/>
              <w:spacing w:before="60" w:line="240" w:lineRule="auto"/>
              <w:rPr>
                <w:rFonts w:eastAsia="Calibri" w:cs="Arial"/>
                <w:color w:val="auto"/>
                <w:sz w:val="18"/>
                <w:szCs w:val="18"/>
              </w:rPr>
            </w:pPr>
          </w:p>
        </w:tc>
      </w:tr>
      <w:tr w:rsidR="00606E97" w:rsidRPr="00A9330B" w14:paraId="6447D57A" w14:textId="3C384512" w:rsidTr="006C383B">
        <w:trPr>
          <w:trHeight w:val="567"/>
        </w:trPr>
        <w:tc>
          <w:tcPr>
            <w:tcW w:w="996" w:type="pct"/>
            <w:tcBorders>
              <w:top w:val="single" w:sz="6" w:space="0" w:color="auto"/>
              <w:left w:val="single" w:sz="8" w:space="0" w:color="auto"/>
              <w:bottom w:val="single" w:sz="6" w:space="0" w:color="auto"/>
              <w:right w:val="single" w:sz="6" w:space="0" w:color="auto"/>
            </w:tcBorders>
          </w:tcPr>
          <w:p w14:paraId="543B5F56" w14:textId="77777777" w:rsidR="00606E97" w:rsidRPr="00A9330B" w:rsidRDefault="00606E97" w:rsidP="00606E97">
            <w:pPr>
              <w:widowControl w:val="0"/>
              <w:spacing w:before="60" w:line="240" w:lineRule="auto"/>
              <w:rPr>
                <w:rFonts w:eastAsia="Calibri" w:cs="Arial"/>
                <w:color w:val="auto"/>
                <w:sz w:val="18"/>
                <w:szCs w:val="18"/>
              </w:rPr>
            </w:pPr>
            <w:r w:rsidRPr="00A9330B">
              <w:rPr>
                <w:rFonts w:eastAsia="Calibri" w:cs="Arial"/>
                <w:color w:val="auto"/>
                <w:sz w:val="18"/>
                <w:szCs w:val="18"/>
              </w:rPr>
              <w:t>2.8.a.8.1. ; 3.1.a.6.3.</w:t>
            </w:r>
          </w:p>
          <w:p w14:paraId="04C555E4" w14:textId="77777777" w:rsidR="00606E97" w:rsidRPr="00A9330B" w:rsidRDefault="00606E97" w:rsidP="00606E97">
            <w:pPr>
              <w:widowControl w:val="0"/>
              <w:spacing w:before="60" w:line="240" w:lineRule="auto"/>
              <w:rPr>
                <w:rFonts w:eastAsia="Calibri" w:cs="Arial"/>
                <w:color w:val="auto"/>
                <w:sz w:val="18"/>
                <w:szCs w:val="18"/>
              </w:rPr>
            </w:pPr>
            <w:r w:rsidRPr="00A9330B">
              <w:rPr>
                <w:rFonts w:eastAsia="Calibri" w:cs="Arial"/>
                <w:color w:val="auto"/>
                <w:sz w:val="18"/>
                <w:szCs w:val="18"/>
              </w:rPr>
              <w:t>Sensibiliser le personnel de chantier et le former au poste de travail</w:t>
            </w:r>
          </w:p>
        </w:tc>
        <w:tc>
          <w:tcPr>
            <w:tcW w:w="916" w:type="pct"/>
            <w:tcBorders>
              <w:top w:val="single" w:sz="6" w:space="0" w:color="auto"/>
              <w:left w:val="single" w:sz="6" w:space="0" w:color="auto"/>
              <w:bottom w:val="single" w:sz="6" w:space="0" w:color="auto"/>
              <w:right w:val="single" w:sz="6" w:space="0" w:color="auto"/>
            </w:tcBorders>
          </w:tcPr>
          <w:p w14:paraId="217CB1AB" w14:textId="77777777" w:rsidR="00606E97" w:rsidRPr="00A9330B" w:rsidRDefault="00606E97" w:rsidP="00606E97">
            <w:pPr>
              <w:widowControl w:val="0"/>
              <w:autoSpaceDE w:val="0"/>
              <w:autoSpaceDN w:val="0"/>
              <w:adjustRightInd w:val="0"/>
              <w:spacing w:before="60" w:line="240" w:lineRule="auto"/>
              <w:jc w:val="both"/>
              <w:rPr>
                <w:rFonts w:eastAsia="Calibri" w:cs="Arial"/>
                <w:color w:val="auto"/>
                <w:sz w:val="18"/>
                <w:szCs w:val="18"/>
              </w:rPr>
            </w:pPr>
            <w:r w:rsidRPr="00A9330B">
              <w:rPr>
                <w:rFonts w:eastAsia="Calibri" w:cs="Arial"/>
                <w:color w:val="auto"/>
                <w:sz w:val="18"/>
                <w:szCs w:val="18"/>
              </w:rPr>
              <w:t xml:space="preserve">Fiche d’induction sécurité </w:t>
            </w:r>
          </w:p>
          <w:p w14:paraId="47B8BC8C" w14:textId="77777777" w:rsidR="00606E97" w:rsidRPr="00A9330B" w:rsidRDefault="00606E97" w:rsidP="00606E97">
            <w:pPr>
              <w:widowControl w:val="0"/>
              <w:autoSpaceDE w:val="0"/>
              <w:autoSpaceDN w:val="0"/>
              <w:adjustRightInd w:val="0"/>
              <w:spacing w:before="60" w:line="240" w:lineRule="auto"/>
              <w:jc w:val="both"/>
              <w:rPr>
                <w:rFonts w:eastAsia="Calibri" w:cs="Arial"/>
                <w:color w:val="auto"/>
                <w:sz w:val="18"/>
                <w:szCs w:val="18"/>
              </w:rPr>
            </w:pPr>
            <w:r w:rsidRPr="00A9330B">
              <w:rPr>
                <w:rFonts w:eastAsia="Calibri" w:cs="Arial"/>
                <w:color w:val="auto"/>
                <w:sz w:val="18"/>
                <w:szCs w:val="18"/>
              </w:rPr>
              <w:t xml:space="preserve">Liste de présence à la formation disponible </w:t>
            </w:r>
          </w:p>
          <w:p w14:paraId="15260F05" w14:textId="77777777" w:rsidR="00606E97" w:rsidRPr="00A9330B" w:rsidRDefault="00606E97" w:rsidP="00606E97">
            <w:pPr>
              <w:widowControl w:val="0"/>
              <w:autoSpaceDE w:val="0"/>
              <w:autoSpaceDN w:val="0"/>
              <w:adjustRightInd w:val="0"/>
              <w:spacing w:before="60" w:line="240" w:lineRule="auto"/>
              <w:jc w:val="both"/>
              <w:rPr>
                <w:rFonts w:eastAsia="Calibri" w:cs="Arial"/>
                <w:color w:val="auto"/>
                <w:sz w:val="18"/>
                <w:szCs w:val="18"/>
              </w:rPr>
            </w:pPr>
            <w:r w:rsidRPr="00A9330B">
              <w:rPr>
                <w:rFonts w:eastAsia="Calibri" w:cs="Arial"/>
                <w:color w:val="auto"/>
                <w:sz w:val="18"/>
                <w:szCs w:val="18"/>
              </w:rPr>
              <w:t>Nombre de rapport</w:t>
            </w:r>
          </w:p>
        </w:tc>
        <w:tc>
          <w:tcPr>
            <w:tcW w:w="637" w:type="pct"/>
            <w:tcBorders>
              <w:top w:val="single" w:sz="6" w:space="0" w:color="auto"/>
              <w:left w:val="single" w:sz="6" w:space="0" w:color="auto"/>
              <w:bottom w:val="single" w:sz="6" w:space="0" w:color="auto"/>
              <w:right w:val="single" w:sz="6" w:space="0" w:color="auto"/>
            </w:tcBorders>
          </w:tcPr>
          <w:p w14:paraId="701AE338" w14:textId="77777777" w:rsidR="00606E97" w:rsidRPr="00A9330B" w:rsidRDefault="00606E97" w:rsidP="00606E97">
            <w:pPr>
              <w:widowControl w:val="0"/>
              <w:spacing w:before="60" w:line="240" w:lineRule="auto"/>
              <w:jc w:val="center"/>
              <w:rPr>
                <w:rFonts w:eastAsia="Calibri" w:cs="Arial"/>
                <w:color w:val="auto"/>
                <w:sz w:val="18"/>
                <w:szCs w:val="18"/>
              </w:rPr>
            </w:pPr>
            <w:r w:rsidRPr="00A9330B">
              <w:rPr>
                <w:rFonts w:eastAsia="Calibri" w:cs="Arial"/>
                <w:color w:val="auto"/>
                <w:sz w:val="18"/>
                <w:szCs w:val="18"/>
              </w:rPr>
              <w:t>Pendant les travaux</w:t>
            </w:r>
          </w:p>
        </w:tc>
        <w:tc>
          <w:tcPr>
            <w:tcW w:w="657" w:type="pct"/>
            <w:tcBorders>
              <w:top w:val="single" w:sz="6" w:space="0" w:color="auto"/>
              <w:left w:val="single" w:sz="6" w:space="0" w:color="auto"/>
              <w:bottom w:val="single" w:sz="6" w:space="0" w:color="auto"/>
              <w:right w:val="single" w:sz="6" w:space="0" w:color="auto"/>
            </w:tcBorders>
          </w:tcPr>
          <w:p w14:paraId="528BC238" w14:textId="77777777" w:rsidR="00606E97" w:rsidRPr="00A9330B" w:rsidRDefault="00606E97" w:rsidP="00606E97">
            <w:pPr>
              <w:widowControl w:val="0"/>
              <w:spacing w:before="60" w:line="240" w:lineRule="auto"/>
              <w:jc w:val="center"/>
              <w:rPr>
                <w:rFonts w:eastAsia="Calibri" w:cs="Arial"/>
                <w:color w:val="auto"/>
                <w:sz w:val="18"/>
                <w:szCs w:val="18"/>
              </w:rPr>
            </w:pPr>
            <w:r w:rsidRPr="00A9330B">
              <w:rPr>
                <w:rFonts w:eastAsia="Calibri" w:cs="Arial"/>
                <w:color w:val="auto"/>
                <w:sz w:val="18"/>
                <w:szCs w:val="18"/>
              </w:rPr>
              <w:t>MDC</w:t>
            </w:r>
          </w:p>
          <w:p w14:paraId="56A6C751" w14:textId="77777777" w:rsidR="00606E97" w:rsidRPr="00A9330B" w:rsidRDefault="00606E97" w:rsidP="00606E97">
            <w:pPr>
              <w:widowControl w:val="0"/>
              <w:spacing w:before="60" w:line="240" w:lineRule="auto"/>
              <w:jc w:val="center"/>
              <w:rPr>
                <w:rFonts w:eastAsia="Calibri" w:cs="Arial"/>
                <w:color w:val="auto"/>
                <w:sz w:val="18"/>
                <w:szCs w:val="18"/>
              </w:rPr>
            </w:pPr>
            <w:r w:rsidRPr="00A9330B">
              <w:rPr>
                <w:rFonts w:eastAsia="Calibri" w:cs="Arial"/>
                <w:color w:val="auto"/>
                <w:sz w:val="18"/>
                <w:szCs w:val="18"/>
              </w:rPr>
              <w:t>Entreprise chargée des travaux</w:t>
            </w:r>
          </w:p>
        </w:tc>
        <w:tc>
          <w:tcPr>
            <w:tcW w:w="897" w:type="pct"/>
            <w:tcBorders>
              <w:top w:val="single" w:sz="6" w:space="0" w:color="auto"/>
              <w:left w:val="single" w:sz="6" w:space="0" w:color="auto"/>
              <w:bottom w:val="single" w:sz="6" w:space="0" w:color="auto"/>
              <w:right w:val="single" w:sz="8" w:space="0" w:color="auto"/>
            </w:tcBorders>
          </w:tcPr>
          <w:p w14:paraId="57395A9F" w14:textId="77777777" w:rsidR="00606E97" w:rsidRPr="00A9330B" w:rsidRDefault="00606E97" w:rsidP="00606E97">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t>Mairie de Natitingou (Services Techniques)</w:t>
            </w:r>
          </w:p>
          <w:p w14:paraId="4E566AB1" w14:textId="77777777" w:rsidR="00606E97" w:rsidRPr="00A9330B" w:rsidRDefault="00606E97" w:rsidP="00606E97">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t>DDCVDD-AD</w:t>
            </w:r>
          </w:p>
        </w:tc>
        <w:tc>
          <w:tcPr>
            <w:tcW w:w="897" w:type="pct"/>
            <w:tcBorders>
              <w:top w:val="single" w:sz="6" w:space="0" w:color="auto"/>
              <w:left w:val="single" w:sz="6" w:space="0" w:color="auto"/>
              <w:bottom w:val="single" w:sz="6" w:space="0" w:color="auto"/>
              <w:right w:val="single" w:sz="8" w:space="0" w:color="auto"/>
            </w:tcBorders>
          </w:tcPr>
          <w:p w14:paraId="55BE9463" w14:textId="77777777" w:rsidR="00606E97" w:rsidRPr="00A9330B" w:rsidRDefault="00606E97" w:rsidP="00606E97">
            <w:pPr>
              <w:widowControl w:val="0"/>
              <w:autoSpaceDE w:val="0"/>
              <w:autoSpaceDN w:val="0"/>
              <w:adjustRightInd w:val="0"/>
              <w:spacing w:before="60" w:line="240" w:lineRule="auto"/>
              <w:rPr>
                <w:rFonts w:eastAsia="Calibri" w:cs="Arial"/>
                <w:color w:val="auto"/>
                <w:sz w:val="18"/>
                <w:szCs w:val="18"/>
              </w:rPr>
            </w:pPr>
          </w:p>
        </w:tc>
      </w:tr>
      <w:tr w:rsidR="00606E97" w:rsidRPr="00A9330B" w14:paraId="1C47FFF0" w14:textId="0B4F736F" w:rsidTr="006C383B">
        <w:trPr>
          <w:trHeight w:val="693"/>
        </w:trPr>
        <w:tc>
          <w:tcPr>
            <w:tcW w:w="996" w:type="pct"/>
            <w:tcBorders>
              <w:top w:val="single" w:sz="6" w:space="0" w:color="auto"/>
              <w:left w:val="single" w:sz="8" w:space="0" w:color="auto"/>
              <w:bottom w:val="single" w:sz="6" w:space="0" w:color="auto"/>
              <w:right w:val="single" w:sz="6" w:space="0" w:color="auto"/>
            </w:tcBorders>
          </w:tcPr>
          <w:p w14:paraId="32D5869B" w14:textId="77777777" w:rsidR="00606E97" w:rsidRPr="00A9330B" w:rsidRDefault="00606E97" w:rsidP="00606E97">
            <w:pPr>
              <w:widowControl w:val="0"/>
              <w:spacing w:before="60" w:line="240" w:lineRule="auto"/>
              <w:rPr>
                <w:rFonts w:eastAsia="Calibri" w:cs="Arial"/>
                <w:color w:val="auto"/>
                <w:sz w:val="18"/>
                <w:szCs w:val="18"/>
              </w:rPr>
            </w:pPr>
            <w:r w:rsidRPr="00A9330B">
              <w:rPr>
                <w:rFonts w:eastAsia="Calibri" w:cs="Arial"/>
                <w:color w:val="auto"/>
                <w:sz w:val="18"/>
                <w:szCs w:val="18"/>
              </w:rPr>
              <w:t>2.8.a.8.3. ; 2.8.a.8.3. ;</w:t>
            </w:r>
          </w:p>
          <w:p w14:paraId="4499C79E" w14:textId="77777777" w:rsidR="00606E97" w:rsidRPr="00A9330B" w:rsidRDefault="00606E97" w:rsidP="00606E97">
            <w:pPr>
              <w:widowControl w:val="0"/>
              <w:spacing w:before="60" w:line="240" w:lineRule="auto"/>
              <w:rPr>
                <w:rFonts w:eastAsia="Calibri" w:cs="Arial"/>
                <w:color w:val="auto"/>
                <w:sz w:val="18"/>
                <w:szCs w:val="18"/>
              </w:rPr>
            </w:pPr>
            <w:r w:rsidRPr="00A9330B">
              <w:rPr>
                <w:rFonts w:eastAsia="Calibri" w:cs="Arial"/>
                <w:color w:val="auto"/>
                <w:sz w:val="18"/>
                <w:szCs w:val="18"/>
              </w:rPr>
              <w:t xml:space="preserve">Doter les sites de chantiers de boîte à pharmacie ou d’une </w:t>
            </w:r>
            <w:r w:rsidRPr="00A9330B">
              <w:rPr>
                <w:rFonts w:eastAsia="Calibri" w:cs="Arial"/>
                <w:color w:val="auto"/>
                <w:sz w:val="18"/>
                <w:szCs w:val="18"/>
              </w:rPr>
              <w:lastRenderedPageBreak/>
              <w:t>infirmérie pour les premiers soins et établir une convention avec centre de santé proche</w:t>
            </w:r>
          </w:p>
        </w:tc>
        <w:tc>
          <w:tcPr>
            <w:tcW w:w="916" w:type="pct"/>
            <w:tcBorders>
              <w:top w:val="single" w:sz="6" w:space="0" w:color="auto"/>
              <w:left w:val="single" w:sz="6" w:space="0" w:color="auto"/>
              <w:bottom w:val="single" w:sz="6" w:space="0" w:color="auto"/>
              <w:right w:val="single" w:sz="6" w:space="0" w:color="auto"/>
            </w:tcBorders>
          </w:tcPr>
          <w:p w14:paraId="5A8BD409" w14:textId="77777777" w:rsidR="00606E97" w:rsidRPr="00A9330B" w:rsidRDefault="00606E97" w:rsidP="00606E97">
            <w:pPr>
              <w:widowControl w:val="0"/>
              <w:autoSpaceDE w:val="0"/>
              <w:autoSpaceDN w:val="0"/>
              <w:adjustRightInd w:val="0"/>
              <w:spacing w:before="60" w:line="240" w:lineRule="auto"/>
              <w:jc w:val="both"/>
              <w:rPr>
                <w:rFonts w:eastAsia="Calibri" w:cs="Arial"/>
                <w:color w:val="auto"/>
                <w:sz w:val="18"/>
                <w:szCs w:val="18"/>
              </w:rPr>
            </w:pPr>
            <w:r w:rsidRPr="00A9330B">
              <w:rPr>
                <w:rFonts w:eastAsia="Calibri" w:cs="Arial"/>
                <w:color w:val="auto"/>
                <w:sz w:val="18"/>
                <w:szCs w:val="18"/>
              </w:rPr>
              <w:lastRenderedPageBreak/>
              <w:t>Présence de la boite à pharmacie de premier soin</w:t>
            </w:r>
          </w:p>
          <w:p w14:paraId="41523CBA" w14:textId="77777777" w:rsidR="00606E97" w:rsidRPr="00A9330B" w:rsidRDefault="00606E97" w:rsidP="00606E97">
            <w:pPr>
              <w:widowControl w:val="0"/>
              <w:autoSpaceDE w:val="0"/>
              <w:autoSpaceDN w:val="0"/>
              <w:adjustRightInd w:val="0"/>
              <w:spacing w:before="60" w:line="240" w:lineRule="auto"/>
              <w:jc w:val="both"/>
              <w:rPr>
                <w:rFonts w:eastAsia="Calibri" w:cs="Arial"/>
                <w:color w:val="auto"/>
                <w:sz w:val="18"/>
                <w:szCs w:val="18"/>
              </w:rPr>
            </w:pPr>
            <w:r w:rsidRPr="00A9330B">
              <w:rPr>
                <w:rFonts w:eastAsia="Calibri" w:cs="Arial"/>
                <w:color w:val="auto"/>
                <w:sz w:val="18"/>
                <w:szCs w:val="18"/>
              </w:rPr>
              <w:t xml:space="preserve">Contrat avec un centre de </w:t>
            </w:r>
            <w:r w:rsidRPr="00A9330B">
              <w:rPr>
                <w:rFonts w:eastAsia="Calibri" w:cs="Arial"/>
                <w:color w:val="auto"/>
                <w:sz w:val="18"/>
                <w:szCs w:val="18"/>
              </w:rPr>
              <w:lastRenderedPageBreak/>
              <w:t xml:space="preserve">santé </w:t>
            </w:r>
          </w:p>
        </w:tc>
        <w:tc>
          <w:tcPr>
            <w:tcW w:w="637" w:type="pct"/>
            <w:tcBorders>
              <w:top w:val="single" w:sz="6" w:space="0" w:color="auto"/>
              <w:left w:val="single" w:sz="6" w:space="0" w:color="auto"/>
              <w:bottom w:val="single" w:sz="6" w:space="0" w:color="auto"/>
              <w:right w:val="single" w:sz="6" w:space="0" w:color="auto"/>
            </w:tcBorders>
          </w:tcPr>
          <w:p w14:paraId="0AF09526" w14:textId="77777777" w:rsidR="00606E97" w:rsidRPr="00A9330B" w:rsidRDefault="00606E97" w:rsidP="00606E97">
            <w:pPr>
              <w:widowControl w:val="0"/>
              <w:spacing w:before="60" w:line="240" w:lineRule="auto"/>
              <w:jc w:val="center"/>
              <w:rPr>
                <w:rFonts w:eastAsia="Calibri" w:cs="Arial"/>
                <w:color w:val="auto"/>
                <w:sz w:val="18"/>
                <w:szCs w:val="18"/>
              </w:rPr>
            </w:pPr>
            <w:r w:rsidRPr="00A9330B">
              <w:rPr>
                <w:rFonts w:eastAsia="Calibri" w:cs="Arial"/>
                <w:color w:val="auto"/>
                <w:sz w:val="18"/>
                <w:szCs w:val="18"/>
              </w:rPr>
              <w:lastRenderedPageBreak/>
              <w:t>Pendant les travaux</w:t>
            </w:r>
          </w:p>
        </w:tc>
        <w:tc>
          <w:tcPr>
            <w:tcW w:w="657" w:type="pct"/>
            <w:tcBorders>
              <w:top w:val="single" w:sz="6" w:space="0" w:color="auto"/>
              <w:left w:val="single" w:sz="6" w:space="0" w:color="auto"/>
              <w:bottom w:val="single" w:sz="6" w:space="0" w:color="auto"/>
              <w:right w:val="single" w:sz="6" w:space="0" w:color="auto"/>
            </w:tcBorders>
          </w:tcPr>
          <w:p w14:paraId="4A9683A8" w14:textId="77777777" w:rsidR="00606E97" w:rsidRPr="00A9330B" w:rsidRDefault="00606E97" w:rsidP="00606E97">
            <w:pPr>
              <w:widowControl w:val="0"/>
              <w:spacing w:before="60" w:line="240" w:lineRule="auto"/>
              <w:jc w:val="center"/>
              <w:rPr>
                <w:rFonts w:eastAsia="Calibri" w:cs="Arial"/>
                <w:color w:val="auto"/>
                <w:sz w:val="18"/>
                <w:szCs w:val="18"/>
              </w:rPr>
            </w:pPr>
            <w:r w:rsidRPr="00A9330B">
              <w:rPr>
                <w:rFonts w:eastAsia="Calibri" w:cs="Arial"/>
                <w:color w:val="auto"/>
                <w:sz w:val="18"/>
                <w:szCs w:val="18"/>
              </w:rPr>
              <w:t>MDC</w:t>
            </w:r>
          </w:p>
          <w:p w14:paraId="0B45AE5C" w14:textId="77777777" w:rsidR="00606E97" w:rsidRPr="00A9330B" w:rsidRDefault="00606E97" w:rsidP="00606E97">
            <w:pPr>
              <w:widowControl w:val="0"/>
              <w:spacing w:before="60" w:line="240" w:lineRule="auto"/>
              <w:jc w:val="center"/>
              <w:rPr>
                <w:rFonts w:eastAsia="Calibri" w:cs="Arial"/>
                <w:color w:val="auto"/>
                <w:sz w:val="18"/>
                <w:szCs w:val="18"/>
              </w:rPr>
            </w:pPr>
            <w:r w:rsidRPr="00A9330B">
              <w:rPr>
                <w:rFonts w:eastAsia="Calibri" w:cs="Arial"/>
                <w:color w:val="auto"/>
                <w:sz w:val="18"/>
                <w:szCs w:val="18"/>
              </w:rPr>
              <w:t>Entreprise chargée des travaux</w:t>
            </w:r>
          </w:p>
        </w:tc>
        <w:tc>
          <w:tcPr>
            <w:tcW w:w="897" w:type="pct"/>
            <w:tcBorders>
              <w:top w:val="single" w:sz="6" w:space="0" w:color="auto"/>
              <w:left w:val="single" w:sz="6" w:space="0" w:color="auto"/>
              <w:bottom w:val="single" w:sz="6" w:space="0" w:color="auto"/>
              <w:right w:val="single" w:sz="8" w:space="0" w:color="auto"/>
            </w:tcBorders>
          </w:tcPr>
          <w:p w14:paraId="0B3EA93C" w14:textId="77777777" w:rsidR="00606E97" w:rsidRPr="00A9330B" w:rsidRDefault="00606E97" w:rsidP="00606E97">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t>Mairie de Natitingou (Services Techniques)</w:t>
            </w:r>
          </w:p>
          <w:p w14:paraId="7DEF23E8" w14:textId="77777777" w:rsidR="00606E97" w:rsidRPr="00A9330B" w:rsidRDefault="00606E97" w:rsidP="00606E97">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t>DDCVDD-AD</w:t>
            </w:r>
          </w:p>
          <w:p w14:paraId="5A417590" w14:textId="77777777" w:rsidR="00606E97" w:rsidRPr="00A9330B" w:rsidRDefault="00606E97" w:rsidP="00606E97">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lastRenderedPageBreak/>
              <w:t>DDS</w:t>
            </w:r>
          </w:p>
        </w:tc>
        <w:tc>
          <w:tcPr>
            <w:tcW w:w="897" w:type="pct"/>
            <w:tcBorders>
              <w:top w:val="single" w:sz="6" w:space="0" w:color="auto"/>
              <w:left w:val="single" w:sz="6" w:space="0" w:color="auto"/>
              <w:bottom w:val="single" w:sz="6" w:space="0" w:color="auto"/>
              <w:right w:val="single" w:sz="8" w:space="0" w:color="auto"/>
            </w:tcBorders>
          </w:tcPr>
          <w:p w14:paraId="020C1829" w14:textId="71ADAF78" w:rsidR="00606E97" w:rsidRPr="00A9330B" w:rsidRDefault="00606E97" w:rsidP="00606E97">
            <w:pPr>
              <w:widowControl w:val="0"/>
              <w:autoSpaceDE w:val="0"/>
              <w:autoSpaceDN w:val="0"/>
              <w:adjustRightInd w:val="0"/>
              <w:spacing w:before="60" w:line="240" w:lineRule="auto"/>
              <w:rPr>
                <w:rFonts w:eastAsia="Calibri" w:cs="Arial"/>
                <w:color w:val="auto"/>
                <w:sz w:val="18"/>
                <w:szCs w:val="18"/>
              </w:rPr>
            </w:pPr>
            <w:r w:rsidRPr="00A9330B">
              <w:rPr>
                <w:rFonts w:eastAsia="Calibri" w:cs="Arial"/>
                <w:sz w:val="20"/>
                <w:szCs w:val="20"/>
              </w:rPr>
              <w:lastRenderedPageBreak/>
              <w:t>Intégrer dans sécurité de chantier (DAO travaux)</w:t>
            </w:r>
          </w:p>
        </w:tc>
      </w:tr>
      <w:tr w:rsidR="00606E97" w:rsidRPr="00A9330B" w14:paraId="02AB000F" w14:textId="25077E2A" w:rsidTr="006C383B">
        <w:trPr>
          <w:trHeight w:val="693"/>
        </w:trPr>
        <w:tc>
          <w:tcPr>
            <w:tcW w:w="996" w:type="pct"/>
            <w:tcBorders>
              <w:top w:val="single" w:sz="6" w:space="0" w:color="auto"/>
              <w:left w:val="single" w:sz="8" w:space="0" w:color="auto"/>
              <w:bottom w:val="single" w:sz="6" w:space="0" w:color="auto"/>
              <w:right w:val="single" w:sz="6" w:space="0" w:color="auto"/>
            </w:tcBorders>
          </w:tcPr>
          <w:p w14:paraId="11325FE0" w14:textId="77777777" w:rsidR="00606E97" w:rsidRPr="00A9330B" w:rsidRDefault="00606E97" w:rsidP="00606E97">
            <w:pPr>
              <w:widowControl w:val="0"/>
              <w:spacing w:before="60" w:line="240" w:lineRule="auto"/>
              <w:jc w:val="both"/>
              <w:rPr>
                <w:rFonts w:eastAsia="Calibri" w:cs="Arial"/>
                <w:color w:val="auto"/>
                <w:sz w:val="18"/>
                <w:szCs w:val="18"/>
              </w:rPr>
            </w:pPr>
            <w:r w:rsidRPr="00A9330B">
              <w:rPr>
                <w:rFonts w:eastAsia="Calibri" w:cs="Arial"/>
                <w:color w:val="auto"/>
                <w:sz w:val="18"/>
                <w:szCs w:val="18"/>
              </w:rPr>
              <w:lastRenderedPageBreak/>
              <w:t xml:space="preserve">2.8.a.9.1. ; 2.8.a.9.1. </w:t>
            </w:r>
          </w:p>
          <w:p w14:paraId="5494C501" w14:textId="77777777" w:rsidR="00606E97" w:rsidRPr="00A9330B" w:rsidRDefault="00606E97" w:rsidP="00606E97">
            <w:pPr>
              <w:widowControl w:val="0"/>
              <w:spacing w:before="60" w:line="240" w:lineRule="auto"/>
              <w:jc w:val="both"/>
              <w:rPr>
                <w:rFonts w:eastAsia="Calibri" w:cs="Arial"/>
                <w:color w:val="auto"/>
                <w:sz w:val="18"/>
                <w:szCs w:val="18"/>
              </w:rPr>
            </w:pPr>
            <w:r w:rsidRPr="00A9330B">
              <w:rPr>
                <w:rFonts w:eastAsia="Calibri" w:cs="Arial"/>
                <w:color w:val="auto"/>
                <w:sz w:val="18"/>
                <w:szCs w:val="18"/>
              </w:rPr>
              <w:t>Cibler les foyers  de maladies et faire un suivi médical adéquat pour les travailleurs et les populations</w:t>
            </w:r>
          </w:p>
        </w:tc>
        <w:tc>
          <w:tcPr>
            <w:tcW w:w="916" w:type="pct"/>
            <w:tcBorders>
              <w:top w:val="single" w:sz="6" w:space="0" w:color="auto"/>
              <w:left w:val="single" w:sz="6" w:space="0" w:color="auto"/>
              <w:bottom w:val="single" w:sz="6" w:space="0" w:color="auto"/>
              <w:right w:val="single" w:sz="6" w:space="0" w:color="auto"/>
            </w:tcBorders>
          </w:tcPr>
          <w:p w14:paraId="6A568CC7" w14:textId="77777777" w:rsidR="00606E97" w:rsidRPr="00A9330B" w:rsidRDefault="00606E97" w:rsidP="00606E97">
            <w:pPr>
              <w:widowControl w:val="0"/>
              <w:autoSpaceDE w:val="0"/>
              <w:autoSpaceDN w:val="0"/>
              <w:adjustRightInd w:val="0"/>
              <w:spacing w:before="60" w:line="240" w:lineRule="auto"/>
              <w:jc w:val="both"/>
              <w:rPr>
                <w:rFonts w:eastAsia="Calibri" w:cs="Arial"/>
                <w:color w:val="auto"/>
                <w:sz w:val="18"/>
                <w:szCs w:val="18"/>
              </w:rPr>
            </w:pPr>
            <w:r w:rsidRPr="00A9330B">
              <w:rPr>
                <w:rFonts w:eastAsia="Calibri" w:cs="Arial"/>
                <w:color w:val="auto"/>
                <w:sz w:val="18"/>
                <w:szCs w:val="18"/>
              </w:rPr>
              <w:t xml:space="preserve">Certificat de visite médicale à l’embauche </w:t>
            </w:r>
          </w:p>
          <w:p w14:paraId="1563B132" w14:textId="77777777" w:rsidR="00606E97" w:rsidRPr="00A9330B" w:rsidRDefault="00606E97" w:rsidP="00606E97">
            <w:pPr>
              <w:widowControl w:val="0"/>
              <w:autoSpaceDE w:val="0"/>
              <w:autoSpaceDN w:val="0"/>
              <w:adjustRightInd w:val="0"/>
              <w:spacing w:before="60" w:line="240" w:lineRule="auto"/>
              <w:jc w:val="both"/>
              <w:rPr>
                <w:rFonts w:eastAsia="Calibri" w:cs="Arial"/>
                <w:color w:val="auto"/>
                <w:sz w:val="18"/>
                <w:szCs w:val="18"/>
              </w:rPr>
            </w:pPr>
            <w:r w:rsidRPr="00A9330B">
              <w:rPr>
                <w:rFonts w:eastAsia="Calibri" w:cs="Arial"/>
                <w:color w:val="auto"/>
                <w:sz w:val="18"/>
                <w:szCs w:val="18"/>
              </w:rPr>
              <w:t xml:space="preserve">Recrutement d’un médecin de travail par l’entreprise </w:t>
            </w:r>
          </w:p>
        </w:tc>
        <w:tc>
          <w:tcPr>
            <w:tcW w:w="637" w:type="pct"/>
            <w:tcBorders>
              <w:top w:val="single" w:sz="6" w:space="0" w:color="auto"/>
              <w:left w:val="single" w:sz="6" w:space="0" w:color="auto"/>
              <w:bottom w:val="single" w:sz="6" w:space="0" w:color="auto"/>
              <w:right w:val="single" w:sz="6" w:space="0" w:color="auto"/>
            </w:tcBorders>
          </w:tcPr>
          <w:p w14:paraId="2C918B28" w14:textId="77777777" w:rsidR="00606E97" w:rsidRPr="00A9330B" w:rsidRDefault="00606E97" w:rsidP="00606E97">
            <w:pPr>
              <w:widowControl w:val="0"/>
              <w:autoSpaceDE w:val="0"/>
              <w:autoSpaceDN w:val="0"/>
              <w:adjustRightInd w:val="0"/>
              <w:spacing w:before="60" w:line="240" w:lineRule="auto"/>
              <w:jc w:val="center"/>
              <w:rPr>
                <w:rFonts w:eastAsia="Calibri" w:cs="Arial"/>
                <w:color w:val="auto"/>
                <w:sz w:val="18"/>
                <w:szCs w:val="18"/>
              </w:rPr>
            </w:pPr>
            <w:r w:rsidRPr="00A9330B">
              <w:rPr>
                <w:rFonts w:eastAsia="Calibri" w:cs="Arial"/>
                <w:color w:val="auto"/>
                <w:sz w:val="18"/>
                <w:szCs w:val="18"/>
              </w:rPr>
              <w:t>Avant le démarrage et pendant les travaux</w:t>
            </w:r>
          </w:p>
        </w:tc>
        <w:tc>
          <w:tcPr>
            <w:tcW w:w="657" w:type="pct"/>
            <w:tcBorders>
              <w:top w:val="single" w:sz="6" w:space="0" w:color="auto"/>
              <w:left w:val="single" w:sz="6" w:space="0" w:color="auto"/>
              <w:bottom w:val="single" w:sz="6" w:space="0" w:color="auto"/>
              <w:right w:val="single" w:sz="6" w:space="0" w:color="auto"/>
            </w:tcBorders>
          </w:tcPr>
          <w:p w14:paraId="669435A7" w14:textId="77777777" w:rsidR="00606E97" w:rsidRPr="00A9330B" w:rsidRDefault="00606E97" w:rsidP="00606E97">
            <w:pPr>
              <w:widowControl w:val="0"/>
              <w:autoSpaceDE w:val="0"/>
              <w:autoSpaceDN w:val="0"/>
              <w:adjustRightInd w:val="0"/>
              <w:spacing w:before="60" w:line="240" w:lineRule="auto"/>
              <w:jc w:val="center"/>
              <w:rPr>
                <w:rFonts w:eastAsia="Calibri" w:cs="Arial"/>
                <w:color w:val="auto"/>
                <w:sz w:val="18"/>
                <w:szCs w:val="18"/>
              </w:rPr>
            </w:pPr>
            <w:r w:rsidRPr="00A9330B">
              <w:rPr>
                <w:rFonts w:eastAsia="Calibri" w:cs="Arial"/>
                <w:color w:val="auto"/>
                <w:sz w:val="18"/>
                <w:szCs w:val="18"/>
              </w:rPr>
              <w:t>MDC</w:t>
            </w:r>
          </w:p>
          <w:p w14:paraId="5EDB2361" w14:textId="77777777" w:rsidR="00606E97" w:rsidRPr="00A9330B" w:rsidRDefault="00606E97" w:rsidP="00606E97">
            <w:pPr>
              <w:widowControl w:val="0"/>
              <w:autoSpaceDE w:val="0"/>
              <w:autoSpaceDN w:val="0"/>
              <w:adjustRightInd w:val="0"/>
              <w:spacing w:before="60" w:line="240" w:lineRule="auto"/>
              <w:jc w:val="center"/>
              <w:rPr>
                <w:rFonts w:eastAsia="Calibri" w:cs="Arial"/>
                <w:color w:val="auto"/>
                <w:sz w:val="18"/>
                <w:szCs w:val="18"/>
              </w:rPr>
            </w:pPr>
            <w:r w:rsidRPr="00A9330B">
              <w:rPr>
                <w:rFonts w:eastAsia="Calibri" w:cs="Arial"/>
                <w:color w:val="auto"/>
                <w:sz w:val="18"/>
                <w:szCs w:val="18"/>
              </w:rPr>
              <w:t>Entreprise chargée des travaux</w:t>
            </w:r>
          </w:p>
        </w:tc>
        <w:tc>
          <w:tcPr>
            <w:tcW w:w="897" w:type="pct"/>
            <w:tcBorders>
              <w:top w:val="single" w:sz="6" w:space="0" w:color="auto"/>
              <w:left w:val="single" w:sz="6" w:space="0" w:color="auto"/>
              <w:bottom w:val="single" w:sz="6" w:space="0" w:color="auto"/>
              <w:right w:val="single" w:sz="8" w:space="0" w:color="auto"/>
            </w:tcBorders>
          </w:tcPr>
          <w:p w14:paraId="17E926AB" w14:textId="6A90B6EC" w:rsidR="00606E97" w:rsidRPr="00A9330B" w:rsidRDefault="00606E97" w:rsidP="00606E97">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t>Mairie de Natitingou (Services Techniques)</w:t>
            </w:r>
          </w:p>
          <w:p w14:paraId="667D2D35" w14:textId="77777777" w:rsidR="00606E97" w:rsidRPr="00A9330B" w:rsidRDefault="00606E97" w:rsidP="00606E97">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t>DDCVDD-AD</w:t>
            </w:r>
          </w:p>
          <w:p w14:paraId="6B3C4835" w14:textId="77777777" w:rsidR="00606E97" w:rsidRPr="00A9330B" w:rsidRDefault="00606E97" w:rsidP="00606E97">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t>DDS</w:t>
            </w:r>
          </w:p>
        </w:tc>
        <w:tc>
          <w:tcPr>
            <w:tcW w:w="897" w:type="pct"/>
            <w:tcBorders>
              <w:top w:val="single" w:sz="6" w:space="0" w:color="auto"/>
              <w:left w:val="single" w:sz="6" w:space="0" w:color="auto"/>
              <w:bottom w:val="single" w:sz="6" w:space="0" w:color="auto"/>
              <w:right w:val="single" w:sz="8" w:space="0" w:color="auto"/>
            </w:tcBorders>
          </w:tcPr>
          <w:p w14:paraId="2F317686" w14:textId="77777777" w:rsidR="00606E97" w:rsidRPr="00A9330B" w:rsidRDefault="00606E97" w:rsidP="00606E97">
            <w:pPr>
              <w:widowControl w:val="0"/>
              <w:autoSpaceDE w:val="0"/>
              <w:autoSpaceDN w:val="0"/>
              <w:adjustRightInd w:val="0"/>
              <w:spacing w:before="60" w:line="240" w:lineRule="auto"/>
              <w:rPr>
                <w:rFonts w:eastAsia="Calibri" w:cs="Arial"/>
                <w:sz w:val="20"/>
                <w:szCs w:val="20"/>
              </w:rPr>
            </w:pPr>
            <w:r w:rsidRPr="00A9330B">
              <w:rPr>
                <w:rFonts w:eastAsia="Calibri" w:cs="Arial"/>
                <w:sz w:val="20"/>
                <w:szCs w:val="20"/>
              </w:rPr>
              <w:t>Intégrer dans sécurité de chantier (DAO travaux) pour les travailleurs.</w:t>
            </w:r>
          </w:p>
          <w:p w14:paraId="2B7FDD9D" w14:textId="77777777" w:rsidR="00606E97" w:rsidRPr="00A9330B" w:rsidRDefault="00606E97" w:rsidP="00606E97">
            <w:pPr>
              <w:widowControl w:val="0"/>
              <w:autoSpaceDE w:val="0"/>
              <w:autoSpaceDN w:val="0"/>
              <w:adjustRightInd w:val="0"/>
              <w:spacing w:before="60" w:line="240" w:lineRule="auto"/>
              <w:rPr>
                <w:rFonts w:eastAsia="Calibri" w:cs="Arial"/>
                <w:color w:val="auto"/>
                <w:sz w:val="18"/>
                <w:szCs w:val="18"/>
              </w:rPr>
            </w:pPr>
          </w:p>
        </w:tc>
      </w:tr>
      <w:tr w:rsidR="00606E97" w:rsidRPr="00A9330B" w14:paraId="3CEEC788" w14:textId="63659E09" w:rsidTr="006C383B">
        <w:trPr>
          <w:trHeight w:val="693"/>
        </w:trPr>
        <w:tc>
          <w:tcPr>
            <w:tcW w:w="996" w:type="pct"/>
            <w:tcBorders>
              <w:top w:val="single" w:sz="6" w:space="0" w:color="auto"/>
              <w:left w:val="single" w:sz="8" w:space="0" w:color="auto"/>
              <w:bottom w:val="single" w:sz="6" w:space="0" w:color="auto"/>
              <w:right w:val="single" w:sz="6" w:space="0" w:color="auto"/>
            </w:tcBorders>
          </w:tcPr>
          <w:p w14:paraId="752DFB04" w14:textId="77777777" w:rsidR="00606E97" w:rsidRPr="00A9330B" w:rsidRDefault="00606E97" w:rsidP="00606E97">
            <w:pPr>
              <w:widowControl w:val="0"/>
              <w:spacing w:before="60" w:line="240" w:lineRule="auto"/>
              <w:rPr>
                <w:rFonts w:eastAsia="Calibri" w:cs="Arial"/>
                <w:color w:val="auto"/>
                <w:sz w:val="18"/>
                <w:szCs w:val="18"/>
              </w:rPr>
            </w:pPr>
            <w:r w:rsidRPr="00A9330B">
              <w:rPr>
                <w:rFonts w:eastAsia="Calibri" w:cs="Arial"/>
                <w:color w:val="auto"/>
                <w:sz w:val="18"/>
                <w:szCs w:val="18"/>
              </w:rPr>
              <w:t xml:space="preserve">2.8.a.9 2 ; </w:t>
            </w:r>
            <w:r w:rsidRPr="00A9330B">
              <w:rPr>
                <w:rFonts w:cs="Arial"/>
                <w:color w:val="auto"/>
                <w:sz w:val="18"/>
                <w:szCs w:val="18"/>
              </w:rPr>
              <w:t xml:space="preserve">2.8.a.10.1. ; </w:t>
            </w:r>
            <w:r w:rsidRPr="00A9330B">
              <w:rPr>
                <w:rFonts w:eastAsia="Calibri" w:cs="Arial"/>
                <w:color w:val="auto"/>
                <w:sz w:val="18"/>
                <w:szCs w:val="18"/>
              </w:rPr>
              <w:t xml:space="preserve">2.8.a.10.2. ;  2.8.a.10.4 </w:t>
            </w:r>
          </w:p>
          <w:p w14:paraId="0003B1CF" w14:textId="77777777" w:rsidR="00606E97" w:rsidRPr="00A9330B" w:rsidRDefault="00606E97" w:rsidP="00606E97">
            <w:pPr>
              <w:widowControl w:val="0"/>
              <w:spacing w:before="60" w:line="240" w:lineRule="auto"/>
              <w:rPr>
                <w:rFonts w:eastAsia="Calibri" w:cs="Arial"/>
                <w:color w:val="auto"/>
                <w:sz w:val="18"/>
                <w:szCs w:val="18"/>
              </w:rPr>
            </w:pPr>
            <w:r w:rsidRPr="00A9330B">
              <w:rPr>
                <w:rFonts w:eastAsia="Calibri" w:cs="Arial"/>
                <w:color w:val="auto"/>
                <w:sz w:val="18"/>
                <w:szCs w:val="18"/>
              </w:rPr>
              <w:t>Sensibiliser les populations et les ouvriers sur le VIH-SIDA ,COVID-19 et autres pandémies</w:t>
            </w:r>
          </w:p>
        </w:tc>
        <w:tc>
          <w:tcPr>
            <w:tcW w:w="916" w:type="pct"/>
            <w:tcBorders>
              <w:top w:val="single" w:sz="6" w:space="0" w:color="auto"/>
              <w:left w:val="single" w:sz="6" w:space="0" w:color="auto"/>
              <w:bottom w:val="single" w:sz="6" w:space="0" w:color="auto"/>
              <w:right w:val="single" w:sz="6" w:space="0" w:color="auto"/>
            </w:tcBorders>
          </w:tcPr>
          <w:p w14:paraId="28C9053A" w14:textId="77777777" w:rsidR="00606E97" w:rsidRPr="00A9330B" w:rsidRDefault="00606E97" w:rsidP="00606E97">
            <w:pPr>
              <w:widowControl w:val="0"/>
              <w:autoSpaceDE w:val="0"/>
              <w:autoSpaceDN w:val="0"/>
              <w:adjustRightInd w:val="0"/>
              <w:spacing w:before="60" w:line="240" w:lineRule="auto"/>
              <w:jc w:val="both"/>
              <w:rPr>
                <w:rFonts w:eastAsia="Calibri" w:cs="Arial"/>
                <w:color w:val="auto"/>
                <w:sz w:val="18"/>
                <w:szCs w:val="18"/>
              </w:rPr>
            </w:pPr>
            <w:r w:rsidRPr="00A9330B">
              <w:rPr>
                <w:rFonts w:eastAsia="Calibri" w:cs="Arial"/>
                <w:color w:val="auto"/>
                <w:sz w:val="18"/>
                <w:szCs w:val="18"/>
              </w:rPr>
              <w:t>Rapports de sensibilisation disponible</w:t>
            </w:r>
          </w:p>
          <w:p w14:paraId="42DA504C" w14:textId="77777777" w:rsidR="00606E97" w:rsidRPr="00A9330B" w:rsidRDefault="00606E97" w:rsidP="00606E97">
            <w:pPr>
              <w:widowControl w:val="0"/>
              <w:autoSpaceDE w:val="0"/>
              <w:autoSpaceDN w:val="0"/>
              <w:adjustRightInd w:val="0"/>
              <w:spacing w:before="60" w:line="240" w:lineRule="auto"/>
              <w:jc w:val="both"/>
              <w:rPr>
                <w:rFonts w:eastAsia="Calibri" w:cs="Arial"/>
                <w:color w:val="auto"/>
                <w:sz w:val="18"/>
                <w:szCs w:val="18"/>
              </w:rPr>
            </w:pPr>
            <w:r w:rsidRPr="00A9330B">
              <w:rPr>
                <w:rFonts w:eastAsia="Calibri" w:cs="Arial"/>
                <w:color w:val="auto"/>
                <w:sz w:val="18"/>
                <w:szCs w:val="18"/>
              </w:rPr>
              <w:t>Trois campagnes de sensibilisation réalisées par an</w:t>
            </w:r>
          </w:p>
        </w:tc>
        <w:tc>
          <w:tcPr>
            <w:tcW w:w="637" w:type="pct"/>
            <w:tcBorders>
              <w:top w:val="single" w:sz="6" w:space="0" w:color="auto"/>
              <w:left w:val="single" w:sz="6" w:space="0" w:color="auto"/>
              <w:bottom w:val="single" w:sz="6" w:space="0" w:color="auto"/>
              <w:right w:val="single" w:sz="6" w:space="0" w:color="auto"/>
            </w:tcBorders>
          </w:tcPr>
          <w:p w14:paraId="4C474D30" w14:textId="77777777" w:rsidR="00606E97" w:rsidRPr="00A9330B" w:rsidRDefault="00606E97" w:rsidP="00606E97">
            <w:pPr>
              <w:widowControl w:val="0"/>
              <w:autoSpaceDE w:val="0"/>
              <w:autoSpaceDN w:val="0"/>
              <w:adjustRightInd w:val="0"/>
              <w:spacing w:before="60" w:line="240" w:lineRule="auto"/>
              <w:jc w:val="center"/>
              <w:rPr>
                <w:rFonts w:eastAsia="Calibri" w:cs="Arial"/>
                <w:color w:val="auto"/>
                <w:sz w:val="18"/>
                <w:szCs w:val="18"/>
              </w:rPr>
            </w:pPr>
            <w:r w:rsidRPr="00A9330B">
              <w:rPr>
                <w:rFonts w:eastAsia="Calibri" w:cs="Arial"/>
                <w:color w:val="auto"/>
                <w:sz w:val="18"/>
                <w:szCs w:val="18"/>
              </w:rPr>
              <w:t>Pendant les travaux et l’exploitation</w:t>
            </w:r>
          </w:p>
        </w:tc>
        <w:tc>
          <w:tcPr>
            <w:tcW w:w="657" w:type="pct"/>
            <w:tcBorders>
              <w:top w:val="single" w:sz="6" w:space="0" w:color="auto"/>
              <w:left w:val="single" w:sz="6" w:space="0" w:color="auto"/>
              <w:bottom w:val="single" w:sz="6" w:space="0" w:color="auto"/>
              <w:right w:val="single" w:sz="6" w:space="0" w:color="auto"/>
            </w:tcBorders>
          </w:tcPr>
          <w:p w14:paraId="6668F6DD" w14:textId="77777777" w:rsidR="00606E97" w:rsidRPr="00A9330B" w:rsidRDefault="00606E97" w:rsidP="00606E97">
            <w:pPr>
              <w:widowControl w:val="0"/>
              <w:autoSpaceDE w:val="0"/>
              <w:autoSpaceDN w:val="0"/>
              <w:adjustRightInd w:val="0"/>
              <w:spacing w:before="60" w:line="240" w:lineRule="auto"/>
              <w:jc w:val="center"/>
              <w:rPr>
                <w:rFonts w:eastAsia="Calibri" w:cs="Arial"/>
                <w:color w:val="auto"/>
                <w:sz w:val="18"/>
                <w:szCs w:val="18"/>
              </w:rPr>
            </w:pPr>
            <w:r w:rsidRPr="00A9330B">
              <w:rPr>
                <w:rFonts w:eastAsia="Calibri" w:cs="Arial"/>
                <w:color w:val="auto"/>
                <w:sz w:val="18"/>
                <w:szCs w:val="18"/>
              </w:rPr>
              <w:t>MDC</w:t>
            </w:r>
          </w:p>
          <w:p w14:paraId="63D3609D" w14:textId="77777777" w:rsidR="00606E97" w:rsidRPr="00A9330B" w:rsidRDefault="00606E97" w:rsidP="00606E97">
            <w:pPr>
              <w:widowControl w:val="0"/>
              <w:autoSpaceDE w:val="0"/>
              <w:autoSpaceDN w:val="0"/>
              <w:adjustRightInd w:val="0"/>
              <w:spacing w:before="60" w:line="240" w:lineRule="auto"/>
              <w:jc w:val="center"/>
              <w:rPr>
                <w:rFonts w:eastAsia="Calibri" w:cs="Arial"/>
                <w:color w:val="auto"/>
                <w:sz w:val="18"/>
                <w:szCs w:val="18"/>
              </w:rPr>
            </w:pPr>
            <w:r w:rsidRPr="00A9330B">
              <w:rPr>
                <w:rFonts w:eastAsia="Calibri" w:cs="Arial"/>
                <w:color w:val="auto"/>
                <w:sz w:val="18"/>
                <w:szCs w:val="18"/>
              </w:rPr>
              <w:t>Entreprise chargée des travaux</w:t>
            </w:r>
          </w:p>
        </w:tc>
        <w:tc>
          <w:tcPr>
            <w:tcW w:w="897" w:type="pct"/>
            <w:tcBorders>
              <w:top w:val="single" w:sz="6" w:space="0" w:color="auto"/>
              <w:left w:val="single" w:sz="6" w:space="0" w:color="auto"/>
              <w:bottom w:val="single" w:sz="6" w:space="0" w:color="auto"/>
              <w:right w:val="single" w:sz="8" w:space="0" w:color="auto"/>
            </w:tcBorders>
          </w:tcPr>
          <w:p w14:paraId="3F2E4931" w14:textId="5223350F" w:rsidR="00606E97" w:rsidRPr="00A9330B" w:rsidRDefault="00606E97" w:rsidP="00606E97">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t>Mairie de Natitingou (Services Techniques)</w:t>
            </w:r>
          </w:p>
          <w:p w14:paraId="6DBAB4B0" w14:textId="77777777" w:rsidR="00606E97" w:rsidRPr="00A9330B" w:rsidRDefault="00606E97" w:rsidP="00606E97">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t>DDCVDD-AD</w:t>
            </w:r>
          </w:p>
          <w:p w14:paraId="2EB2C69D" w14:textId="77777777" w:rsidR="00606E97" w:rsidRPr="00A9330B" w:rsidRDefault="00606E97" w:rsidP="00606E97">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t>Direction Départementale des Infrastructures et des Transports</w:t>
            </w:r>
          </w:p>
          <w:p w14:paraId="1B7A467C" w14:textId="77777777" w:rsidR="00606E97" w:rsidRPr="00A9330B" w:rsidRDefault="00606E97" w:rsidP="00606E97">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t>DDS</w:t>
            </w:r>
          </w:p>
        </w:tc>
        <w:tc>
          <w:tcPr>
            <w:tcW w:w="897" w:type="pct"/>
            <w:tcBorders>
              <w:top w:val="single" w:sz="6" w:space="0" w:color="auto"/>
              <w:left w:val="single" w:sz="6" w:space="0" w:color="auto"/>
              <w:bottom w:val="single" w:sz="6" w:space="0" w:color="auto"/>
              <w:right w:val="single" w:sz="8" w:space="0" w:color="auto"/>
            </w:tcBorders>
          </w:tcPr>
          <w:p w14:paraId="179CAF4D" w14:textId="77777777" w:rsidR="00606E97" w:rsidRPr="00A9330B" w:rsidRDefault="00606E97" w:rsidP="00606E97">
            <w:pPr>
              <w:widowControl w:val="0"/>
              <w:autoSpaceDE w:val="0"/>
              <w:autoSpaceDN w:val="0"/>
              <w:adjustRightInd w:val="0"/>
              <w:spacing w:before="60"/>
              <w:rPr>
                <w:rFonts w:eastAsia="Calibri" w:cs="Arial"/>
                <w:sz w:val="20"/>
                <w:szCs w:val="20"/>
              </w:rPr>
            </w:pPr>
            <w:r w:rsidRPr="00A9330B">
              <w:rPr>
                <w:rFonts w:eastAsia="Calibri" w:cs="Arial"/>
                <w:sz w:val="20"/>
                <w:szCs w:val="20"/>
              </w:rPr>
              <w:t>Sensibilisation par les crieurs publics, les radios locales et porte à porte par les agents HSE (04 séances par zones de travaux)</w:t>
            </w:r>
          </w:p>
          <w:p w14:paraId="4C6C9C7B" w14:textId="70FDCE6C" w:rsidR="00606E97" w:rsidRPr="00A9330B" w:rsidRDefault="00606E97" w:rsidP="00606E97">
            <w:pPr>
              <w:widowControl w:val="0"/>
              <w:autoSpaceDE w:val="0"/>
              <w:autoSpaceDN w:val="0"/>
              <w:adjustRightInd w:val="0"/>
              <w:spacing w:before="60" w:line="240" w:lineRule="auto"/>
              <w:rPr>
                <w:rFonts w:eastAsia="Calibri" w:cs="Arial"/>
                <w:color w:val="auto"/>
                <w:sz w:val="18"/>
                <w:szCs w:val="18"/>
              </w:rPr>
            </w:pPr>
            <w:r w:rsidRPr="00A9330B">
              <w:rPr>
                <w:rFonts w:eastAsia="Calibri" w:cs="Arial"/>
                <w:b/>
                <w:sz w:val="20"/>
                <w:szCs w:val="20"/>
              </w:rPr>
              <w:t>Cout :   6 500 000 F CFA </w:t>
            </w:r>
          </w:p>
        </w:tc>
      </w:tr>
      <w:tr w:rsidR="00606E97" w:rsidRPr="00A9330B" w14:paraId="1A246416" w14:textId="7DBBF305" w:rsidTr="006C383B">
        <w:trPr>
          <w:trHeight w:val="693"/>
        </w:trPr>
        <w:tc>
          <w:tcPr>
            <w:tcW w:w="996" w:type="pct"/>
            <w:tcBorders>
              <w:top w:val="single" w:sz="6" w:space="0" w:color="auto"/>
              <w:left w:val="single" w:sz="8" w:space="0" w:color="auto"/>
              <w:bottom w:val="single" w:sz="6" w:space="0" w:color="auto"/>
              <w:right w:val="single" w:sz="6" w:space="0" w:color="auto"/>
            </w:tcBorders>
          </w:tcPr>
          <w:p w14:paraId="2F6986FF" w14:textId="77777777" w:rsidR="00606E97" w:rsidRPr="00A9330B" w:rsidRDefault="00606E97" w:rsidP="00606E97">
            <w:pPr>
              <w:widowControl w:val="0"/>
              <w:spacing w:before="60" w:line="240" w:lineRule="auto"/>
              <w:rPr>
                <w:rFonts w:cs="Arial"/>
                <w:color w:val="auto"/>
                <w:sz w:val="18"/>
                <w:szCs w:val="18"/>
              </w:rPr>
            </w:pPr>
            <w:r w:rsidRPr="00A9330B">
              <w:rPr>
                <w:rFonts w:cs="Arial"/>
                <w:color w:val="auto"/>
                <w:sz w:val="18"/>
                <w:szCs w:val="18"/>
              </w:rPr>
              <w:t xml:space="preserve">2.8.a.10.5. ; 3.1.a.6.1 </w:t>
            </w:r>
          </w:p>
          <w:p w14:paraId="7E6CAF43" w14:textId="77777777" w:rsidR="00606E97" w:rsidRPr="00A9330B" w:rsidRDefault="00606E97" w:rsidP="00606E97">
            <w:pPr>
              <w:widowControl w:val="0"/>
              <w:spacing w:before="60" w:line="240" w:lineRule="auto"/>
              <w:rPr>
                <w:rFonts w:cs="Arial"/>
                <w:color w:val="auto"/>
                <w:sz w:val="18"/>
                <w:szCs w:val="18"/>
              </w:rPr>
            </w:pPr>
            <w:r w:rsidRPr="00A9330B">
              <w:rPr>
                <w:rFonts w:eastAsia="Calibri" w:cs="Arial"/>
                <w:color w:val="auto"/>
                <w:sz w:val="18"/>
                <w:szCs w:val="18"/>
              </w:rPr>
              <w:t>2.8.a.9.3 Se protéger et respecter les mesures barrières contre COVID-19</w:t>
            </w:r>
          </w:p>
          <w:p w14:paraId="2A8C9A3F" w14:textId="77777777" w:rsidR="00606E97" w:rsidRPr="00A9330B" w:rsidRDefault="00606E97" w:rsidP="00606E97">
            <w:pPr>
              <w:widowControl w:val="0"/>
              <w:spacing w:before="60" w:line="240" w:lineRule="auto"/>
              <w:rPr>
                <w:rFonts w:eastAsia="Calibri" w:cs="Arial"/>
                <w:color w:val="auto"/>
                <w:sz w:val="18"/>
                <w:szCs w:val="18"/>
              </w:rPr>
            </w:pPr>
            <w:r w:rsidRPr="00A9330B">
              <w:rPr>
                <w:rFonts w:cs="Arial"/>
                <w:color w:val="auto"/>
                <w:sz w:val="18"/>
                <w:szCs w:val="18"/>
              </w:rPr>
              <w:t xml:space="preserve"> </w:t>
            </w:r>
          </w:p>
        </w:tc>
        <w:tc>
          <w:tcPr>
            <w:tcW w:w="916" w:type="pct"/>
            <w:tcBorders>
              <w:top w:val="single" w:sz="6" w:space="0" w:color="auto"/>
              <w:left w:val="single" w:sz="6" w:space="0" w:color="auto"/>
              <w:bottom w:val="single" w:sz="6" w:space="0" w:color="auto"/>
              <w:right w:val="single" w:sz="6" w:space="0" w:color="auto"/>
            </w:tcBorders>
          </w:tcPr>
          <w:p w14:paraId="6F0634EE" w14:textId="77777777" w:rsidR="00606E97" w:rsidRPr="00A9330B" w:rsidRDefault="00606E97" w:rsidP="00606E97">
            <w:pPr>
              <w:widowControl w:val="0"/>
              <w:autoSpaceDE w:val="0"/>
              <w:autoSpaceDN w:val="0"/>
              <w:adjustRightInd w:val="0"/>
              <w:spacing w:before="60" w:line="240" w:lineRule="auto"/>
              <w:jc w:val="both"/>
              <w:rPr>
                <w:rFonts w:eastAsia="Calibri" w:cs="Arial"/>
                <w:color w:val="auto"/>
                <w:sz w:val="18"/>
                <w:szCs w:val="18"/>
              </w:rPr>
            </w:pPr>
            <w:r w:rsidRPr="00A9330B">
              <w:rPr>
                <w:rFonts w:eastAsia="Calibri" w:cs="Arial"/>
                <w:color w:val="auto"/>
                <w:sz w:val="18"/>
                <w:szCs w:val="18"/>
              </w:rPr>
              <w:t>Existence de système de lavage des mains sur les bases vie et les chantiers ;</w:t>
            </w:r>
          </w:p>
          <w:p w14:paraId="5C298AB1" w14:textId="77777777" w:rsidR="00606E97" w:rsidRPr="00A9330B" w:rsidRDefault="00606E97" w:rsidP="00606E97">
            <w:pPr>
              <w:widowControl w:val="0"/>
              <w:autoSpaceDE w:val="0"/>
              <w:autoSpaceDN w:val="0"/>
              <w:adjustRightInd w:val="0"/>
              <w:spacing w:before="60" w:line="240" w:lineRule="auto"/>
              <w:jc w:val="both"/>
              <w:rPr>
                <w:rFonts w:eastAsia="Calibri" w:cs="Arial"/>
                <w:color w:val="auto"/>
                <w:sz w:val="18"/>
                <w:szCs w:val="18"/>
              </w:rPr>
            </w:pPr>
            <w:r w:rsidRPr="00A9330B">
              <w:rPr>
                <w:rFonts w:eastAsia="Calibri" w:cs="Arial"/>
                <w:color w:val="auto"/>
                <w:sz w:val="18"/>
                <w:szCs w:val="18"/>
              </w:rPr>
              <w:t xml:space="preserve">Disponibilité de gel hydro alcoolique, de cache nez et de gants ; </w:t>
            </w:r>
          </w:p>
          <w:p w14:paraId="40BA886F" w14:textId="77777777" w:rsidR="00606E97" w:rsidRPr="00A9330B" w:rsidRDefault="00606E97" w:rsidP="00606E97">
            <w:pPr>
              <w:widowControl w:val="0"/>
              <w:autoSpaceDE w:val="0"/>
              <w:autoSpaceDN w:val="0"/>
              <w:adjustRightInd w:val="0"/>
              <w:spacing w:before="60" w:line="240" w:lineRule="auto"/>
              <w:jc w:val="both"/>
              <w:rPr>
                <w:rFonts w:eastAsia="Calibri" w:cs="Arial"/>
                <w:color w:val="auto"/>
                <w:sz w:val="18"/>
                <w:szCs w:val="18"/>
              </w:rPr>
            </w:pPr>
            <w:r w:rsidRPr="00A9330B">
              <w:rPr>
                <w:rFonts w:eastAsia="Calibri" w:cs="Arial"/>
                <w:color w:val="auto"/>
                <w:sz w:val="18"/>
                <w:szCs w:val="18"/>
              </w:rPr>
              <w:t>Rapports de séance de sensibilisation sur les gestes barrières.</w:t>
            </w:r>
          </w:p>
        </w:tc>
        <w:tc>
          <w:tcPr>
            <w:tcW w:w="637" w:type="pct"/>
            <w:tcBorders>
              <w:top w:val="single" w:sz="6" w:space="0" w:color="auto"/>
              <w:left w:val="single" w:sz="6" w:space="0" w:color="auto"/>
              <w:bottom w:val="single" w:sz="6" w:space="0" w:color="auto"/>
              <w:right w:val="single" w:sz="6" w:space="0" w:color="auto"/>
            </w:tcBorders>
          </w:tcPr>
          <w:p w14:paraId="4F10E5E3" w14:textId="77777777" w:rsidR="00606E97" w:rsidRPr="00A9330B" w:rsidRDefault="00606E97" w:rsidP="00606E97">
            <w:pPr>
              <w:widowControl w:val="0"/>
              <w:autoSpaceDE w:val="0"/>
              <w:autoSpaceDN w:val="0"/>
              <w:adjustRightInd w:val="0"/>
              <w:spacing w:before="60" w:line="240" w:lineRule="auto"/>
              <w:jc w:val="center"/>
              <w:rPr>
                <w:rFonts w:eastAsia="Calibri" w:cs="Arial"/>
                <w:color w:val="auto"/>
                <w:sz w:val="18"/>
                <w:szCs w:val="18"/>
              </w:rPr>
            </w:pPr>
            <w:r w:rsidRPr="00A9330B">
              <w:rPr>
                <w:rFonts w:eastAsia="Calibri" w:cs="Arial"/>
                <w:color w:val="auto"/>
                <w:sz w:val="18"/>
                <w:szCs w:val="18"/>
              </w:rPr>
              <w:t>Pendant toutes les phases du projet</w:t>
            </w:r>
          </w:p>
          <w:p w14:paraId="56500DF4" w14:textId="77777777" w:rsidR="00606E97" w:rsidRPr="00A9330B" w:rsidRDefault="00606E97" w:rsidP="00606E97">
            <w:pPr>
              <w:widowControl w:val="0"/>
              <w:autoSpaceDE w:val="0"/>
              <w:autoSpaceDN w:val="0"/>
              <w:adjustRightInd w:val="0"/>
              <w:spacing w:before="60" w:line="240" w:lineRule="auto"/>
              <w:jc w:val="center"/>
              <w:rPr>
                <w:rFonts w:eastAsia="Calibri" w:cs="Arial"/>
                <w:color w:val="auto"/>
                <w:sz w:val="18"/>
                <w:szCs w:val="18"/>
              </w:rPr>
            </w:pPr>
          </w:p>
        </w:tc>
        <w:tc>
          <w:tcPr>
            <w:tcW w:w="657" w:type="pct"/>
            <w:tcBorders>
              <w:top w:val="single" w:sz="6" w:space="0" w:color="auto"/>
              <w:left w:val="single" w:sz="6" w:space="0" w:color="auto"/>
              <w:bottom w:val="single" w:sz="6" w:space="0" w:color="auto"/>
              <w:right w:val="single" w:sz="6" w:space="0" w:color="auto"/>
            </w:tcBorders>
          </w:tcPr>
          <w:p w14:paraId="58343756" w14:textId="77777777" w:rsidR="00606E97" w:rsidRPr="00A9330B" w:rsidRDefault="00606E97" w:rsidP="00606E97">
            <w:pPr>
              <w:widowControl w:val="0"/>
              <w:autoSpaceDE w:val="0"/>
              <w:autoSpaceDN w:val="0"/>
              <w:adjustRightInd w:val="0"/>
              <w:spacing w:before="60" w:line="240" w:lineRule="auto"/>
              <w:jc w:val="center"/>
              <w:rPr>
                <w:rFonts w:eastAsia="Calibri" w:cs="Arial"/>
                <w:color w:val="auto"/>
                <w:sz w:val="18"/>
                <w:szCs w:val="18"/>
              </w:rPr>
            </w:pPr>
            <w:r w:rsidRPr="00A9330B">
              <w:rPr>
                <w:rFonts w:eastAsia="Calibri" w:cs="Arial"/>
                <w:color w:val="auto"/>
                <w:sz w:val="18"/>
                <w:szCs w:val="18"/>
              </w:rPr>
              <w:t>MDC</w:t>
            </w:r>
          </w:p>
          <w:p w14:paraId="663BB515" w14:textId="77777777" w:rsidR="00606E97" w:rsidRPr="00A9330B" w:rsidRDefault="00606E97" w:rsidP="00606E97">
            <w:pPr>
              <w:widowControl w:val="0"/>
              <w:autoSpaceDE w:val="0"/>
              <w:autoSpaceDN w:val="0"/>
              <w:adjustRightInd w:val="0"/>
              <w:spacing w:before="60" w:line="240" w:lineRule="auto"/>
              <w:jc w:val="center"/>
              <w:rPr>
                <w:rFonts w:eastAsia="Calibri" w:cs="Arial"/>
                <w:color w:val="auto"/>
                <w:sz w:val="18"/>
                <w:szCs w:val="18"/>
              </w:rPr>
            </w:pPr>
            <w:r w:rsidRPr="00A9330B">
              <w:rPr>
                <w:rFonts w:eastAsia="Calibri" w:cs="Arial"/>
                <w:color w:val="auto"/>
                <w:sz w:val="18"/>
                <w:szCs w:val="18"/>
              </w:rPr>
              <w:t>Entreprise chargée des travaux</w:t>
            </w:r>
          </w:p>
        </w:tc>
        <w:tc>
          <w:tcPr>
            <w:tcW w:w="897" w:type="pct"/>
            <w:tcBorders>
              <w:top w:val="single" w:sz="6" w:space="0" w:color="auto"/>
              <w:left w:val="single" w:sz="6" w:space="0" w:color="auto"/>
              <w:bottom w:val="single" w:sz="6" w:space="0" w:color="auto"/>
              <w:right w:val="single" w:sz="8" w:space="0" w:color="auto"/>
            </w:tcBorders>
          </w:tcPr>
          <w:p w14:paraId="1B9ED47A" w14:textId="4B5F3D84" w:rsidR="00606E97" w:rsidRPr="00A9330B" w:rsidRDefault="00606E97" w:rsidP="00606E97">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t>Mairie de Natitingou (Services Techniques)</w:t>
            </w:r>
          </w:p>
          <w:p w14:paraId="374A0ABD" w14:textId="77777777" w:rsidR="00606E97" w:rsidRPr="00A9330B" w:rsidRDefault="00606E97" w:rsidP="00606E97">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t>DDCVDD-AD</w:t>
            </w:r>
          </w:p>
          <w:p w14:paraId="2E8AB3E7" w14:textId="77777777" w:rsidR="00606E97" w:rsidRPr="00A9330B" w:rsidRDefault="00606E97" w:rsidP="00606E97">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t>DDS</w:t>
            </w:r>
          </w:p>
        </w:tc>
        <w:tc>
          <w:tcPr>
            <w:tcW w:w="897" w:type="pct"/>
            <w:tcBorders>
              <w:top w:val="single" w:sz="6" w:space="0" w:color="auto"/>
              <w:left w:val="single" w:sz="6" w:space="0" w:color="auto"/>
              <w:bottom w:val="single" w:sz="6" w:space="0" w:color="auto"/>
              <w:right w:val="single" w:sz="8" w:space="0" w:color="auto"/>
            </w:tcBorders>
          </w:tcPr>
          <w:p w14:paraId="2E670CF1" w14:textId="53E500F1" w:rsidR="00606E97" w:rsidRPr="00A9330B" w:rsidRDefault="00606E97" w:rsidP="00606E97">
            <w:pPr>
              <w:widowControl w:val="0"/>
              <w:autoSpaceDE w:val="0"/>
              <w:autoSpaceDN w:val="0"/>
              <w:adjustRightInd w:val="0"/>
              <w:spacing w:before="60" w:line="240" w:lineRule="auto"/>
              <w:rPr>
                <w:rFonts w:eastAsia="Calibri" w:cs="Arial"/>
                <w:color w:val="auto"/>
                <w:sz w:val="18"/>
                <w:szCs w:val="18"/>
              </w:rPr>
            </w:pPr>
            <w:r w:rsidRPr="00A9330B">
              <w:rPr>
                <w:rFonts w:eastAsia="Calibri" w:cs="Arial"/>
                <w:sz w:val="20"/>
                <w:szCs w:val="20"/>
              </w:rPr>
              <w:t>Intégrer dans sécurité de chantier (DAO travaux)</w:t>
            </w:r>
          </w:p>
        </w:tc>
      </w:tr>
      <w:tr w:rsidR="00606E97" w:rsidRPr="00A9330B" w14:paraId="371C7FDA" w14:textId="4268326C" w:rsidTr="006C383B">
        <w:trPr>
          <w:trHeight w:val="473"/>
        </w:trPr>
        <w:tc>
          <w:tcPr>
            <w:tcW w:w="996" w:type="pct"/>
            <w:tcBorders>
              <w:top w:val="single" w:sz="6" w:space="0" w:color="auto"/>
              <w:left w:val="single" w:sz="8" w:space="0" w:color="auto"/>
              <w:bottom w:val="single" w:sz="6" w:space="0" w:color="auto"/>
              <w:right w:val="single" w:sz="6" w:space="0" w:color="auto"/>
            </w:tcBorders>
          </w:tcPr>
          <w:p w14:paraId="01205831" w14:textId="77777777" w:rsidR="00606E97" w:rsidRPr="00A9330B" w:rsidRDefault="00606E97" w:rsidP="00606E97">
            <w:pPr>
              <w:widowControl w:val="0"/>
              <w:spacing w:before="60" w:line="240" w:lineRule="auto"/>
              <w:jc w:val="both"/>
              <w:rPr>
                <w:rFonts w:eastAsia="Calibri" w:cs="Arial"/>
                <w:color w:val="auto"/>
                <w:sz w:val="18"/>
                <w:szCs w:val="18"/>
              </w:rPr>
            </w:pPr>
            <w:r w:rsidRPr="00A9330B">
              <w:rPr>
                <w:rFonts w:eastAsia="Calibri" w:cs="Arial"/>
                <w:color w:val="auto"/>
                <w:sz w:val="18"/>
                <w:szCs w:val="18"/>
              </w:rPr>
              <w:t xml:space="preserve">2.8.a.11.1. ; 2.8.a.12.1. Sensibiliser les populations et le personnel de chantier sur le respect des mœurs et les risques liés aux travaux </w:t>
            </w:r>
          </w:p>
        </w:tc>
        <w:tc>
          <w:tcPr>
            <w:tcW w:w="916" w:type="pct"/>
            <w:tcBorders>
              <w:top w:val="single" w:sz="6" w:space="0" w:color="auto"/>
              <w:left w:val="single" w:sz="6" w:space="0" w:color="auto"/>
              <w:bottom w:val="single" w:sz="6" w:space="0" w:color="auto"/>
              <w:right w:val="single" w:sz="6" w:space="0" w:color="auto"/>
            </w:tcBorders>
          </w:tcPr>
          <w:p w14:paraId="50E40C1E" w14:textId="77777777" w:rsidR="00606E97" w:rsidRPr="00A9330B" w:rsidRDefault="00606E97" w:rsidP="00606E97">
            <w:pPr>
              <w:widowControl w:val="0"/>
              <w:autoSpaceDE w:val="0"/>
              <w:autoSpaceDN w:val="0"/>
              <w:adjustRightInd w:val="0"/>
              <w:spacing w:before="60" w:line="240" w:lineRule="auto"/>
              <w:jc w:val="both"/>
              <w:rPr>
                <w:rFonts w:eastAsia="Calibri" w:cs="Arial"/>
                <w:color w:val="auto"/>
                <w:sz w:val="18"/>
                <w:szCs w:val="18"/>
              </w:rPr>
            </w:pPr>
            <w:r w:rsidRPr="00A9330B">
              <w:rPr>
                <w:rFonts w:eastAsia="Calibri" w:cs="Arial"/>
                <w:color w:val="auto"/>
                <w:sz w:val="18"/>
                <w:szCs w:val="18"/>
              </w:rPr>
              <w:t>Rapports de séance de sensibilisation organisée</w:t>
            </w:r>
            <w:r w:rsidRPr="00A9330B">
              <w:rPr>
                <w:rFonts w:eastAsia="Calibri" w:cs="Arial"/>
                <w:color w:val="auto"/>
                <w:sz w:val="18"/>
                <w:szCs w:val="18"/>
              </w:rPr>
              <w:tab/>
            </w:r>
          </w:p>
          <w:p w14:paraId="57B1BD34" w14:textId="77777777" w:rsidR="00606E97" w:rsidRPr="00A9330B" w:rsidRDefault="00606E97" w:rsidP="00606E97">
            <w:pPr>
              <w:widowControl w:val="0"/>
              <w:autoSpaceDE w:val="0"/>
              <w:autoSpaceDN w:val="0"/>
              <w:adjustRightInd w:val="0"/>
              <w:spacing w:before="60" w:line="240" w:lineRule="auto"/>
              <w:jc w:val="both"/>
              <w:rPr>
                <w:rFonts w:eastAsia="Calibri" w:cs="Arial"/>
                <w:color w:val="auto"/>
                <w:sz w:val="18"/>
                <w:szCs w:val="18"/>
              </w:rPr>
            </w:pPr>
            <w:r w:rsidRPr="00A9330B">
              <w:rPr>
                <w:rFonts w:eastAsia="Calibri" w:cs="Arial"/>
                <w:color w:val="auto"/>
                <w:sz w:val="18"/>
                <w:szCs w:val="18"/>
              </w:rPr>
              <w:t xml:space="preserve">Nombre de conflits enregistrés </w:t>
            </w:r>
          </w:p>
          <w:p w14:paraId="58B4652E" w14:textId="77777777" w:rsidR="00606E97" w:rsidRPr="00A9330B" w:rsidRDefault="00606E97" w:rsidP="00606E97">
            <w:pPr>
              <w:widowControl w:val="0"/>
              <w:autoSpaceDE w:val="0"/>
              <w:autoSpaceDN w:val="0"/>
              <w:adjustRightInd w:val="0"/>
              <w:spacing w:before="60" w:line="240" w:lineRule="auto"/>
              <w:jc w:val="both"/>
              <w:rPr>
                <w:rFonts w:eastAsia="Calibri" w:cs="Arial"/>
                <w:color w:val="auto"/>
                <w:sz w:val="18"/>
                <w:szCs w:val="18"/>
              </w:rPr>
            </w:pPr>
            <w:r w:rsidRPr="00A9330B">
              <w:rPr>
                <w:rFonts w:eastAsia="Calibri" w:cs="Arial"/>
                <w:color w:val="auto"/>
                <w:sz w:val="18"/>
                <w:szCs w:val="18"/>
              </w:rPr>
              <w:t>Nombre de plaintes enregistrées et gérées</w:t>
            </w:r>
            <w:r w:rsidRPr="00A9330B">
              <w:rPr>
                <w:rFonts w:eastAsia="Calibri" w:cs="Arial"/>
                <w:color w:val="auto"/>
                <w:sz w:val="18"/>
                <w:szCs w:val="18"/>
              </w:rPr>
              <w:tab/>
            </w:r>
          </w:p>
        </w:tc>
        <w:tc>
          <w:tcPr>
            <w:tcW w:w="637" w:type="pct"/>
            <w:tcBorders>
              <w:top w:val="single" w:sz="6" w:space="0" w:color="auto"/>
              <w:left w:val="single" w:sz="6" w:space="0" w:color="auto"/>
              <w:bottom w:val="single" w:sz="6" w:space="0" w:color="auto"/>
              <w:right w:val="single" w:sz="6" w:space="0" w:color="auto"/>
            </w:tcBorders>
          </w:tcPr>
          <w:p w14:paraId="1B9A8821" w14:textId="77777777" w:rsidR="00606E97" w:rsidRPr="00A9330B" w:rsidRDefault="00606E97" w:rsidP="00606E97">
            <w:pPr>
              <w:widowControl w:val="0"/>
              <w:autoSpaceDE w:val="0"/>
              <w:autoSpaceDN w:val="0"/>
              <w:adjustRightInd w:val="0"/>
              <w:spacing w:before="60" w:line="240" w:lineRule="auto"/>
              <w:jc w:val="center"/>
              <w:rPr>
                <w:rFonts w:eastAsia="Calibri" w:cs="Arial"/>
                <w:color w:val="auto"/>
                <w:sz w:val="18"/>
                <w:szCs w:val="18"/>
              </w:rPr>
            </w:pPr>
            <w:r w:rsidRPr="00A9330B">
              <w:rPr>
                <w:rFonts w:eastAsia="Calibri" w:cs="Arial"/>
                <w:color w:val="auto"/>
                <w:sz w:val="18"/>
                <w:szCs w:val="18"/>
              </w:rPr>
              <w:t>Avant le démarrage et pendant les travaux</w:t>
            </w:r>
          </w:p>
        </w:tc>
        <w:tc>
          <w:tcPr>
            <w:tcW w:w="657" w:type="pct"/>
            <w:tcBorders>
              <w:top w:val="single" w:sz="6" w:space="0" w:color="auto"/>
              <w:left w:val="single" w:sz="6" w:space="0" w:color="auto"/>
              <w:bottom w:val="single" w:sz="6" w:space="0" w:color="auto"/>
              <w:right w:val="single" w:sz="6" w:space="0" w:color="auto"/>
            </w:tcBorders>
          </w:tcPr>
          <w:p w14:paraId="12651B7B" w14:textId="77777777" w:rsidR="00606E97" w:rsidRPr="00A9330B" w:rsidRDefault="00606E97" w:rsidP="00606E97">
            <w:pPr>
              <w:widowControl w:val="0"/>
              <w:autoSpaceDE w:val="0"/>
              <w:autoSpaceDN w:val="0"/>
              <w:adjustRightInd w:val="0"/>
              <w:spacing w:before="60" w:line="240" w:lineRule="auto"/>
              <w:jc w:val="center"/>
              <w:rPr>
                <w:rFonts w:eastAsia="Calibri" w:cs="Arial"/>
                <w:color w:val="auto"/>
                <w:sz w:val="18"/>
                <w:szCs w:val="18"/>
              </w:rPr>
            </w:pPr>
            <w:r w:rsidRPr="00A9330B">
              <w:rPr>
                <w:rFonts w:eastAsia="Calibri" w:cs="Arial"/>
                <w:color w:val="auto"/>
                <w:sz w:val="18"/>
                <w:szCs w:val="18"/>
              </w:rPr>
              <w:t>MDC</w:t>
            </w:r>
          </w:p>
          <w:p w14:paraId="4BDBE7B8" w14:textId="77777777" w:rsidR="00606E97" w:rsidRPr="00A9330B" w:rsidRDefault="00606E97" w:rsidP="00606E97">
            <w:pPr>
              <w:widowControl w:val="0"/>
              <w:autoSpaceDE w:val="0"/>
              <w:autoSpaceDN w:val="0"/>
              <w:adjustRightInd w:val="0"/>
              <w:spacing w:before="60" w:line="240" w:lineRule="auto"/>
              <w:jc w:val="center"/>
              <w:rPr>
                <w:rFonts w:eastAsia="Calibri" w:cs="Arial"/>
                <w:color w:val="auto"/>
                <w:sz w:val="18"/>
                <w:szCs w:val="18"/>
              </w:rPr>
            </w:pPr>
            <w:r w:rsidRPr="00A9330B">
              <w:rPr>
                <w:rFonts w:eastAsia="Calibri" w:cs="Arial"/>
                <w:color w:val="auto"/>
                <w:sz w:val="18"/>
                <w:szCs w:val="18"/>
              </w:rPr>
              <w:t>Entreprise chargée des travaux</w:t>
            </w:r>
          </w:p>
        </w:tc>
        <w:tc>
          <w:tcPr>
            <w:tcW w:w="897" w:type="pct"/>
            <w:tcBorders>
              <w:top w:val="single" w:sz="6" w:space="0" w:color="auto"/>
              <w:left w:val="single" w:sz="6" w:space="0" w:color="auto"/>
              <w:bottom w:val="single" w:sz="6" w:space="0" w:color="auto"/>
              <w:right w:val="single" w:sz="8" w:space="0" w:color="auto"/>
            </w:tcBorders>
          </w:tcPr>
          <w:p w14:paraId="4E5553DC" w14:textId="51E74BCF" w:rsidR="00606E97" w:rsidRPr="00A9330B" w:rsidRDefault="00606E97" w:rsidP="00606E97">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t>Mairie de Natitingou (Services Techniques)</w:t>
            </w:r>
          </w:p>
          <w:p w14:paraId="3A7F0CD8" w14:textId="77777777" w:rsidR="00606E97" w:rsidRPr="00A9330B" w:rsidRDefault="00606E97" w:rsidP="00606E97">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t>DDCVDD-AD</w:t>
            </w:r>
          </w:p>
        </w:tc>
        <w:tc>
          <w:tcPr>
            <w:tcW w:w="897" w:type="pct"/>
            <w:tcBorders>
              <w:top w:val="single" w:sz="6" w:space="0" w:color="auto"/>
              <w:left w:val="single" w:sz="6" w:space="0" w:color="auto"/>
              <w:bottom w:val="single" w:sz="6" w:space="0" w:color="auto"/>
              <w:right w:val="single" w:sz="8" w:space="0" w:color="auto"/>
            </w:tcBorders>
          </w:tcPr>
          <w:p w14:paraId="1361F332" w14:textId="77777777" w:rsidR="00606E97" w:rsidRPr="00A9330B" w:rsidRDefault="00606E97" w:rsidP="00606E97">
            <w:pPr>
              <w:rPr>
                <w:rFonts w:eastAsia="Calibri" w:cs="Arial"/>
                <w:sz w:val="20"/>
                <w:szCs w:val="20"/>
              </w:rPr>
            </w:pPr>
            <w:r w:rsidRPr="00A9330B">
              <w:rPr>
                <w:rFonts w:eastAsia="Calibri" w:cs="Arial"/>
                <w:sz w:val="20"/>
                <w:szCs w:val="20"/>
              </w:rPr>
              <w:t xml:space="preserve">Sensibilisation grand public  </w:t>
            </w:r>
          </w:p>
          <w:p w14:paraId="2FBB903E" w14:textId="77777777" w:rsidR="00606E97" w:rsidRPr="00A9330B" w:rsidRDefault="00606E97" w:rsidP="00606E97">
            <w:pPr>
              <w:rPr>
                <w:rFonts w:eastAsia="Calibri" w:cs="Arial"/>
                <w:sz w:val="20"/>
                <w:szCs w:val="20"/>
              </w:rPr>
            </w:pPr>
            <w:r w:rsidRPr="00A9330B">
              <w:rPr>
                <w:rFonts w:eastAsia="Calibri" w:cs="Arial"/>
                <w:sz w:val="20"/>
                <w:szCs w:val="20"/>
              </w:rPr>
              <w:t xml:space="preserve">03 séances par an </w:t>
            </w:r>
          </w:p>
          <w:p w14:paraId="49997483" w14:textId="77777777" w:rsidR="00606E97" w:rsidRPr="00A9330B" w:rsidRDefault="00606E97" w:rsidP="00606E97">
            <w:pPr>
              <w:rPr>
                <w:rFonts w:eastAsia="Calibri" w:cs="Arial"/>
                <w:sz w:val="20"/>
                <w:szCs w:val="20"/>
              </w:rPr>
            </w:pPr>
            <w:r w:rsidRPr="00A9330B">
              <w:rPr>
                <w:rFonts w:eastAsia="Calibri" w:cs="Arial"/>
                <w:sz w:val="20"/>
                <w:szCs w:val="20"/>
              </w:rPr>
              <w:t xml:space="preserve">Sensibilisation par les radios locales une fois par mois  </w:t>
            </w:r>
          </w:p>
          <w:p w14:paraId="32632DE8" w14:textId="1F17A533" w:rsidR="00606E97" w:rsidRPr="00A9330B" w:rsidRDefault="00606E97" w:rsidP="00606E97">
            <w:pPr>
              <w:widowControl w:val="0"/>
              <w:autoSpaceDE w:val="0"/>
              <w:autoSpaceDN w:val="0"/>
              <w:adjustRightInd w:val="0"/>
              <w:spacing w:before="60" w:line="240" w:lineRule="auto"/>
              <w:rPr>
                <w:rFonts w:eastAsia="Calibri" w:cs="Arial"/>
                <w:color w:val="auto"/>
                <w:sz w:val="18"/>
                <w:szCs w:val="18"/>
              </w:rPr>
            </w:pPr>
            <w:r w:rsidRPr="00A9330B">
              <w:rPr>
                <w:rFonts w:eastAsia="Calibri" w:cs="Arial"/>
                <w:b/>
                <w:sz w:val="20"/>
                <w:szCs w:val="20"/>
              </w:rPr>
              <w:t xml:space="preserve">Cout:  9 000 000 FCFA/ an  </w:t>
            </w:r>
          </w:p>
        </w:tc>
      </w:tr>
      <w:tr w:rsidR="00606E97" w:rsidRPr="00A9330B" w14:paraId="0361999E" w14:textId="21E4DA80" w:rsidTr="006C383B">
        <w:trPr>
          <w:trHeight w:val="693"/>
        </w:trPr>
        <w:tc>
          <w:tcPr>
            <w:tcW w:w="996" w:type="pct"/>
            <w:tcBorders>
              <w:top w:val="single" w:sz="6" w:space="0" w:color="auto"/>
              <w:left w:val="single" w:sz="8" w:space="0" w:color="auto"/>
              <w:bottom w:val="single" w:sz="6" w:space="0" w:color="auto"/>
              <w:right w:val="single" w:sz="6" w:space="0" w:color="auto"/>
            </w:tcBorders>
          </w:tcPr>
          <w:p w14:paraId="5B61AFAD" w14:textId="77777777" w:rsidR="00606E97" w:rsidRPr="00A9330B" w:rsidRDefault="00606E97" w:rsidP="00606E97">
            <w:pPr>
              <w:widowControl w:val="0"/>
              <w:spacing w:before="60" w:line="240" w:lineRule="auto"/>
              <w:jc w:val="both"/>
              <w:rPr>
                <w:rFonts w:eastAsia="Calibri" w:cs="Arial"/>
                <w:color w:val="auto"/>
                <w:sz w:val="18"/>
                <w:szCs w:val="18"/>
              </w:rPr>
            </w:pPr>
            <w:r w:rsidRPr="00A9330B">
              <w:rPr>
                <w:rFonts w:eastAsia="Calibri" w:cs="Arial"/>
                <w:color w:val="auto"/>
                <w:sz w:val="18"/>
                <w:szCs w:val="18"/>
              </w:rPr>
              <w:lastRenderedPageBreak/>
              <w:t>2.8.a.10.3. Mettre à disposition de préservatifs</w:t>
            </w:r>
          </w:p>
        </w:tc>
        <w:tc>
          <w:tcPr>
            <w:tcW w:w="916" w:type="pct"/>
            <w:tcBorders>
              <w:top w:val="single" w:sz="6" w:space="0" w:color="auto"/>
              <w:left w:val="single" w:sz="6" w:space="0" w:color="auto"/>
              <w:bottom w:val="single" w:sz="6" w:space="0" w:color="auto"/>
              <w:right w:val="single" w:sz="6" w:space="0" w:color="auto"/>
            </w:tcBorders>
          </w:tcPr>
          <w:p w14:paraId="4D9D65C0" w14:textId="77777777" w:rsidR="00606E97" w:rsidRPr="00A9330B" w:rsidRDefault="00606E97" w:rsidP="00606E97">
            <w:pPr>
              <w:widowControl w:val="0"/>
              <w:autoSpaceDE w:val="0"/>
              <w:autoSpaceDN w:val="0"/>
              <w:adjustRightInd w:val="0"/>
              <w:spacing w:before="60" w:line="240" w:lineRule="auto"/>
              <w:jc w:val="both"/>
              <w:rPr>
                <w:rFonts w:eastAsia="Calibri" w:cs="Arial"/>
                <w:color w:val="auto"/>
                <w:sz w:val="18"/>
                <w:szCs w:val="18"/>
              </w:rPr>
            </w:pPr>
            <w:r w:rsidRPr="00A9330B">
              <w:rPr>
                <w:rFonts w:eastAsia="Calibri" w:cs="Arial"/>
                <w:color w:val="auto"/>
                <w:sz w:val="18"/>
                <w:szCs w:val="18"/>
              </w:rPr>
              <w:t xml:space="preserve">Disponibilité et distribution de préservatif sur le site </w:t>
            </w:r>
          </w:p>
        </w:tc>
        <w:tc>
          <w:tcPr>
            <w:tcW w:w="637" w:type="pct"/>
            <w:tcBorders>
              <w:top w:val="single" w:sz="6" w:space="0" w:color="auto"/>
              <w:left w:val="single" w:sz="6" w:space="0" w:color="auto"/>
              <w:bottom w:val="single" w:sz="6" w:space="0" w:color="auto"/>
              <w:right w:val="single" w:sz="6" w:space="0" w:color="auto"/>
            </w:tcBorders>
          </w:tcPr>
          <w:p w14:paraId="2A5551CA" w14:textId="77777777" w:rsidR="00606E97" w:rsidRPr="00A9330B" w:rsidRDefault="00606E97" w:rsidP="00606E97">
            <w:pPr>
              <w:widowControl w:val="0"/>
              <w:autoSpaceDE w:val="0"/>
              <w:autoSpaceDN w:val="0"/>
              <w:adjustRightInd w:val="0"/>
              <w:spacing w:before="60" w:line="240" w:lineRule="auto"/>
              <w:jc w:val="center"/>
              <w:rPr>
                <w:rFonts w:eastAsia="Calibri" w:cs="Arial"/>
                <w:color w:val="auto"/>
                <w:sz w:val="18"/>
                <w:szCs w:val="18"/>
              </w:rPr>
            </w:pPr>
            <w:r w:rsidRPr="00A9330B">
              <w:rPr>
                <w:rFonts w:eastAsia="Calibri" w:cs="Arial"/>
                <w:color w:val="auto"/>
                <w:sz w:val="18"/>
                <w:szCs w:val="18"/>
              </w:rPr>
              <w:t>Pendant les travaux</w:t>
            </w:r>
          </w:p>
        </w:tc>
        <w:tc>
          <w:tcPr>
            <w:tcW w:w="657" w:type="pct"/>
            <w:tcBorders>
              <w:top w:val="single" w:sz="6" w:space="0" w:color="auto"/>
              <w:left w:val="single" w:sz="6" w:space="0" w:color="auto"/>
              <w:bottom w:val="single" w:sz="6" w:space="0" w:color="auto"/>
              <w:right w:val="single" w:sz="6" w:space="0" w:color="auto"/>
            </w:tcBorders>
          </w:tcPr>
          <w:p w14:paraId="262F8076" w14:textId="77777777" w:rsidR="00606E97" w:rsidRPr="00A9330B" w:rsidRDefault="00606E97" w:rsidP="00606E97">
            <w:pPr>
              <w:widowControl w:val="0"/>
              <w:autoSpaceDE w:val="0"/>
              <w:autoSpaceDN w:val="0"/>
              <w:adjustRightInd w:val="0"/>
              <w:spacing w:before="60" w:line="240" w:lineRule="auto"/>
              <w:jc w:val="center"/>
              <w:rPr>
                <w:rFonts w:eastAsia="Calibri" w:cs="Arial"/>
                <w:color w:val="auto"/>
                <w:sz w:val="18"/>
                <w:szCs w:val="18"/>
              </w:rPr>
            </w:pPr>
            <w:r w:rsidRPr="00A9330B">
              <w:rPr>
                <w:rFonts w:eastAsia="Calibri" w:cs="Arial"/>
                <w:color w:val="auto"/>
                <w:sz w:val="18"/>
                <w:szCs w:val="18"/>
              </w:rPr>
              <w:t>MDC</w:t>
            </w:r>
          </w:p>
          <w:p w14:paraId="075FECB0" w14:textId="77777777" w:rsidR="00606E97" w:rsidRPr="00A9330B" w:rsidRDefault="00606E97" w:rsidP="00606E97">
            <w:pPr>
              <w:widowControl w:val="0"/>
              <w:autoSpaceDE w:val="0"/>
              <w:autoSpaceDN w:val="0"/>
              <w:adjustRightInd w:val="0"/>
              <w:spacing w:before="60" w:line="240" w:lineRule="auto"/>
              <w:jc w:val="center"/>
              <w:rPr>
                <w:rFonts w:eastAsia="Calibri" w:cs="Arial"/>
                <w:color w:val="auto"/>
                <w:sz w:val="18"/>
                <w:szCs w:val="18"/>
              </w:rPr>
            </w:pPr>
            <w:r w:rsidRPr="00A9330B">
              <w:rPr>
                <w:rFonts w:eastAsia="Calibri" w:cs="Arial"/>
                <w:color w:val="auto"/>
                <w:sz w:val="18"/>
                <w:szCs w:val="18"/>
              </w:rPr>
              <w:t>Entreprise chargée des travaux</w:t>
            </w:r>
          </w:p>
        </w:tc>
        <w:tc>
          <w:tcPr>
            <w:tcW w:w="897" w:type="pct"/>
            <w:tcBorders>
              <w:top w:val="single" w:sz="6" w:space="0" w:color="auto"/>
              <w:left w:val="single" w:sz="6" w:space="0" w:color="auto"/>
              <w:bottom w:val="single" w:sz="6" w:space="0" w:color="auto"/>
              <w:right w:val="single" w:sz="8" w:space="0" w:color="auto"/>
            </w:tcBorders>
          </w:tcPr>
          <w:p w14:paraId="0607C9CC" w14:textId="0DEAB4EB" w:rsidR="00606E97" w:rsidRPr="00A9330B" w:rsidRDefault="00606E97" w:rsidP="00606E97">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t>Mairie de Natitingou (Services Techniques)</w:t>
            </w:r>
          </w:p>
          <w:p w14:paraId="73D550E0" w14:textId="77777777" w:rsidR="00606E97" w:rsidRPr="00A9330B" w:rsidRDefault="00606E97" w:rsidP="00606E97">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t>DDCVDD-AD</w:t>
            </w:r>
          </w:p>
          <w:p w14:paraId="598CA34D" w14:textId="77777777" w:rsidR="00606E97" w:rsidRPr="00A9330B" w:rsidRDefault="00606E97" w:rsidP="00606E97">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t>Direction Départementale des Infrastructures et des Transports</w:t>
            </w:r>
          </w:p>
        </w:tc>
        <w:tc>
          <w:tcPr>
            <w:tcW w:w="897" w:type="pct"/>
            <w:tcBorders>
              <w:top w:val="single" w:sz="6" w:space="0" w:color="auto"/>
              <w:left w:val="single" w:sz="6" w:space="0" w:color="auto"/>
              <w:bottom w:val="single" w:sz="6" w:space="0" w:color="auto"/>
              <w:right w:val="single" w:sz="8" w:space="0" w:color="auto"/>
            </w:tcBorders>
          </w:tcPr>
          <w:p w14:paraId="639F2356" w14:textId="6088B65E" w:rsidR="00606E97" w:rsidRPr="00A9330B" w:rsidRDefault="00606E97" w:rsidP="00606E97">
            <w:pPr>
              <w:widowControl w:val="0"/>
              <w:autoSpaceDE w:val="0"/>
              <w:autoSpaceDN w:val="0"/>
              <w:adjustRightInd w:val="0"/>
              <w:spacing w:before="60" w:line="240" w:lineRule="auto"/>
              <w:rPr>
                <w:rFonts w:eastAsia="Calibri" w:cs="Arial"/>
                <w:color w:val="auto"/>
                <w:sz w:val="18"/>
                <w:szCs w:val="18"/>
              </w:rPr>
            </w:pPr>
            <w:r w:rsidRPr="00A9330B">
              <w:rPr>
                <w:rFonts w:eastAsia="Calibri" w:cs="Arial"/>
                <w:sz w:val="20"/>
                <w:szCs w:val="20"/>
              </w:rPr>
              <w:t>Intégrer dans sécurité de chantier (DAO travaux</w:t>
            </w:r>
          </w:p>
        </w:tc>
      </w:tr>
      <w:tr w:rsidR="00606E97" w:rsidRPr="00A9330B" w14:paraId="52B50FA3" w14:textId="6B1B74FA" w:rsidTr="006C383B">
        <w:trPr>
          <w:trHeight w:val="431"/>
        </w:trPr>
        <w:tc>
          <w:tcPr>
            <w:tcW w:w="996" w:type="pct"/>
            <w:tcBorders>
              <w:top w:val="single" w:sz="6" w:space="0" w:color="auto"/>
              <w:left w:val="single" w:sz="8" w:space="0" w:color="auto"/>
              <w:bottom w:val="single" w:sz="6" w:space="0" w:color="auto"/>
              <w:right w:val="single" w:sz="6" w:space="0" w:color="auto"/>
            </w:tcBorders>
            <w:hideMark/>
          </w:tcPr>
          <w:p w14:paraId="524EF14E" w14:textId="77777777" w:rsidR="00606E97" w:rsidRPr="00A9330B" w:rsidRDefault="00606E97" w:rsidP="00606E97">
            <w:pPr>
              <w:widowControl w:val="0"/>
              <w:spacing w:before="60" w:line="240" w:lineRule="auto"/>
              <w:rPr>
                <w:rFonts w:eastAsia="Calibri" w:cs="Arial"/>
                <w:color w:val="auto"/>
                <w:sz w:val="18"/>
                <w:szCs w:val="18"/>
              </w:rPr>
            </w:pPr>
            <w:r w:rsidRPr="00A9330B">
              <w:rPr>
                <w:rFonts w:eastAsia="Calibri" w:cs="Arial"/>
                <w:color w:val="auto"/>
                <w:sz w:val="18"/>
                <w:szCs w:val="18"/>
              </w:rPr>
              <w:t xml:space="preserve">2.9.a.1.1. ; </w:t>
            </w:r>
          </w:p>
          <w:p w14:paraId="398C0BF0" w14:textId="77777777" w:rsidR="00606E97" w:rsidRPr="00A9330B" w:rsidRDefault="00606E97" w:rsidP="00606E97">
            <w:pPr>
              <w:widowControl w:val="0"/>
              <w:spacing w:before="60" w:line="240" w:lineRule="auto"/>
              <w:rPr>
                <w:rFonts w:eastAsia="Calibri" w:cs="Arial"/>
                <w:color w:val="auto"/>
                <w:sz w:val="18"/>
                <w:szCs w:val="18"/>
                <w:lang w:eastAsia="fr-FR"/>
              </w:rPr>
            </w:pPr>
            <w:r w:rsidRPr="00A9330B">
              <w:rPr>
                <w:rFonts w:cs="Arial"/>
                <w:color w:val="auto"/>
                <w:sz w:val="18"/>
                <w:szCs w:val="18"/>
              </w:rPr>
              <w:t>Informer les populations avant le démarrage des travaux pour les dispositions utiles à prendre</w:t>
            </w:r>
          </w:p>
        </w:tc>
        <w:tc>
          <w:tcPr>
            <w:tcW w:w="916" w:type="pct"/>
            <w:tcBorders>
              <w:top w:val="single" w:sz="6" w:space="0" w:color="auto"/>
              <w:left w:val="single" w:sz="6" w:space="0" w:color="auto"/>
              <w:bottom w:val="single" w:sz="6" w:space="0" w:color="auto"/>
              <w:right w:val="single" w:sz="6" w:space="0" w:color="auto"/>
            </w:tcBorders>
          </w:tcPr>
          <w:p w14:paraId="4CB2BE6B" w14:textId="77777777" w:rsidR="00606E97" w:rsidRPr="00A9330B" w:rsidRDefault="00606E97" w:rsidP="00606E97">
            <w:pPr>
              <w:widowControl w:val="0"/>
              <w:autoSpaceDE w:val="0"/>
              <w:autoSpaceDN w:val="0"/>
              <w:adjustRightInd w:val="0"/>
              <w:spacing w:before="60" w:line="240" w:lineRule="auto"/>
              <w:rPr>
                <w:rFonts w:cs="Arial"/>
                <w:color w:val="auto"/>
                <w:sz w:val="18"/>
                <w:szCs w:val="18"/>
              </w:rPr>
            </w:pPr>
            <w:r w:rsidRPr="00A9330B">
              <w:rPr>
                <w:rFonts w:cs="Arial"/>
                <w:color w:val="auto"/>
                <w:sz w:val="18"/>
                <w:szCs w:val="18"/>
              </w:rPr>
              <w:t xml:space="preserve">Existence d’une liste exhaustive des projets en cours </w:t>
            </w:r>
          </w:p>
        </w:tc>
        <w:tc>
          <w:tcPr>
            <w:tcW w:w="637" w:type="pct"/>
            <w:tcBorders>
              <w:top w:val="single" w:sz="6" w:space="0" w:color="auto"/>
              <w:left w:val="single" w:sz="6" w:space="0" w:color="auto"/>
              <w:bottom w:val="single" w:sz="6" w:space="0" w:color="auto"/>
              <w:right w:val="single" w:sz="6" w:space="0" w:color="auto"/>
            </w:tcBorders>
          </w:tcPr>
          <w:p w14:paraId="003FEC9C" w14:textId="77777777" w:rsidR="00606E97" w:rsidRPr="00A9330B" w:rsidRDefault="00606E97" w:rsidP="00606E97">
            <w:pPr>
              <w:widowControl w:val="0"/>
              <w:autoSpaceDE w:val="0"/>
              <w:autoSpaceDN w:val="0"/>
              <w:adjustRightInd w:val="0"/>
              <w:spacing w:before="60" w:line="240" w:lineRule="auto"/>
              <w:jc w:val="center"/>
              <w:rPr>
                <w:rFonts w:cs="Arial"/>
                <w:color w:val="auto"/>
                <w:sz w:val="18"/>
                <w:szCs w:val="18"/>
              </w:rPr>
            </w:pPr>
            <w:r w:rsidRPr="00A9330B">
              <w:rPr>
                <w:rFonts w:cs="Arial"/>
                <w:color w:val="auto"/>
                <w:sz w:val="18"/>
                <w:szCs w:val="18"/>
              </w:rPr>
              <w:t>Avant le démarrage et pendant les travaux</w:t>
            </w:r>
          </w:p>
        </w:tc>
        <w:tc>
          <w:tcPr>
            <w:tcW w:w="657" w:type="pct"/>
            <w:tcBorders>
              <w:top w:val="single" w:sz="6" w:space="0" w:color="auto"/>
              <w:left w:val="single" w:sz="6" w:space="0" w:color="auto"/>
              <w:bottom w:val="single" w:sz="6" w:space="0" w:color="auto"/>
              <w:right w:val="single" w:sz="6" w:space="0" w:color="auto"/>
            </w:tcBorders>
          </w:tcPr>
          <w:p w14:paraId="2F64D911" w14:textId="77777777" w:rsidR="00606E97" w:rsidRPr="00A9330B" w:rsidRDefault="00606E97" w:rsidP="00606E97">
            <w:pPr>
              <w:widowControl w:val="0"/>
              <w:autoSpaceDE w:val="0"/>
              <w:autoSpaceDN w:val="0"/>
              <w:adjustRightInd w:val="0"/>
              <w:spacing w:before="60" w:line="240" w:lineRule="auto"/>
              <w:jc w:val="center"/>
              <w:rPr>
                <w:rFonts w:cs="Arial"/>
                <w:color w:val="auto"/>
                <w:sz w:val="18"/>
                <w:szCs w:val="18"/>
              </w:rPr>
            </w:pPr>
            <w:r w:rsidRPr="00A9330B">
              <w:rPr>
                <w:rFonts w:cs="Arial"/>
                <w:color w:val="auto"/>
                <w:sz w:val="18"/>
                <w:szCs w:val="18"/>
              </w:rPr>
              <w:t>MDC</w:t>
            </w:r>
          </w:p>
          <w:p w14:paraId="4AE82416" w14:textId="77777777" w:rsidR="00606E97" w:rsidRPr="00A9330B" w:rsidRDefault="00606E97" w:rsidP="00606E97">
            <w:pPr>
              <w:widowControl w:val="0"/>
              <w:autoSpaceDE w:val="0"/>
              <w:autoSpaceDN w:val="0"/>
              <w:adjustRightInd w:val="0"/>
              <w:spacing w:before="60" w:line="240" w:lineRule="auto"/>
              <w:jc w:val="center"/>
              <w:rPr>
                <w:rFonts w:cs="Arial"/>
                <w:color w:val="auto"/>
                <w:sz w:val="18"/>
                <w:szCs w:val="18"/>
              </w:rPr>
            </w:pPr>
            <w:r w:rsidRPr="00A9330B">
              <w:rPr>
                <w:rFonts w:cs="Arial"/>
                <w:color w:val="auto"/>
                <w:sz w:val="18"/>
                <w:szCs w:val="18"/>
              </w:rPr>
              <w:t>Entreprise chargée des travaux</w:t>
            </w:r>
          </w:p>
        </w:tc>
        <w:tc>
          <w:tcPr>
            <w:tcW w:w="897" w:type="pct"/>
            <w:tcBorders>
              <w:top w:val="single" w:sz="6" w:space="0" w:color="auto"/>
              <w:left w:val="single" w:sz="6" w:space="0" w:color="auto"/>
              <w:bottom w:val="single" w:sz="6" w:space="0" w:color="auto"/>
              <w:right w:val="single" w:sz="8" w:space="0" w:color="auto"/>
            </w:tcBorders>
          </w:tcPr>
          <w:p w14:paraId="46BD5016" w14:textId="77777777" w:rsidR="00606E97" w:rsidRPr="00A9330B" w:rsidRDefault="00606E97" w:rsidP="00606E97">
            <w:pPr>
              <w:widowControl w:val="0"/>
              <w:autoSpaceDE w:val="0"/>
              <w:autoSpaceDN w:val="0"/>
              <w:adjustRightInd w:val="0"/>
              <w:spacing w:before="60" w:line="240" w:lineRule="auto"/>
              <w:rPr>
                <w:rFonts w:cs="Arial"/>
                <w:color w:val="auto"/>
                <w:sz w:val="18"/>
                <w:szCs w:val="18"/>
              </w:rPr>
            </w:pPr>
            <w:r w:rsidRPr="00A9330B">
              <w:rPr>
                <w:rFonts w:cs="Arial"/>
                <w:color w:val="auto"/>
                <w:sz w:val="18"/>
                <w:szCs w:val="18"/>
              </w:rPr>
              <w:t>Mairie de Natitingou (Direction Services Techniques)</w:t>
            </w:r>
          </w:p>
          <w:p w14:paraId="67B62BA4" w14:textId="77777777" w:rsidR="00606E97" w:rsidRPr="00A9330B" w:rsidRDefault="00606E97" w:rsidP="00606E97">
            <w:pPr>
              <w:widowControl w:val="0"/>
              <w:autoSpaceDE w:val="0"/>
              <w:autoSpaceDN w:val="0"/>
              <w:adjustRightInd w:val="0"/>
              <w:spacing w:before="60" w:line="240" w:lineRule="auto"/>
              <w:rPr>
                <w:rFonts w:cs="Arial"/>
                <w:color w:val="auto"/>
                <w:sz w:val="18"/>
                <w:szCs w:val="18"/>
              </w:rPr>
            </w:pPr>
            <w:r w:rsidRPr="00A9330B">
              <w:rPr>
                <w:rFonts w:cs="Arial"/>
                <w:color w:val="auto"/>
                <w:sz w:val="18"/>
                <w:szCs w:val="18"/>
              </w:rPr>
              <w:t>DDCVDD- AD</w:t>
            </w:r>
          </w:p>
        </w:tc>
        <w:tc>
          <w:tcPr>
            <w:tcW w:w="897" w:type="pct"/>
            <w:tcBorders>
              <w:top w:val="single" w:sz="6" w:space="0" w:color="auto"/>
              <w:left w:val="single" w:sz="6" w:space="0" w:color="auto"/>
              <w:bottom w:val="single" w:sz="6" w:space="0" w:color="auto"/>
              <w:right w:val="single" w:sz="8" w:space="0" w:color="auto"/>
            </w:tcBorders>
          </w:tcPr>
          <w:p w14:paraId="176399C0" w14:textId="0C845051" w:rsidR="00606E97" w:rsidRPr="00A9330B" w:rsidRDefault="00606E97" w:rsidP="00606E97">
            <w:pPr>
              <w:widowControl w:val="0"/>
              <w:autoSpaceDE w:val="0"/>
              <w:autoSpaceDN w:val="0"/>
              <w:adjustRightInd w:val="0"/>
              <w:spacing w:before="60" w:line="240" w:lineRule="auto"/>
              <w:rPr>
                <w:rFonts w:cs="Arial"/>
                <w:color w:val="auto"/>
                <w:sz w:val="18"/>
                <w:szCs w:val="18"/>
              </w:rPr>
            </w:pPr>
            <w:r w:rsidRPr="00A9330B">
              <w:rPr>
                <w:rFonts w:eastAsia="Calibri" w:cs="Arial"/>
                <w:sz w:val="20"/>
                <w:szCs w:val="20"/>
              </w:rPr>
              <w:t>Intégrer dans sécurité de chantier (DAO travaux</w:t>
            </w:r>
          </w:p>
        </w:tc>
      </w:tr>
      <w:tr w:rsidR="00606E97" w:rsidRPr="00A9330B" w14:paraId="4CF51C3D" w14:textId="630E2933" w:rsidTr="006C383B">
        <w:trPr>
          <w:trHeight w:val="759"/>
        </w:trPr>
        <w:tc>
          <w:tcPr>
            <w:tcW w:w="996" w:type="pct"/>
            <w:tcBorders>
              <w:top w:val="single" w:sz="6" w:space="0" w:color="auto"/>
              <w:left w:val="single" w:sz="8" w:space="0" w:color="auto"/>
              <w:bottom w:val="single" w:sz="6" w:space="0" w:color="auto"/>
              <w:right w:val="single" w:sz="6" w:space="0" w:color="auto"/>
            </w:tcBorders>
          </w:tcPr>
          <w:p w14:paraId="0725D0FC" w14:textId="77777777" w:rsidR="00606E97" w:rsidRPr="00A9330B" w:rsidRDefault="00606E97" w:rsidP="00606E97">
            <w:pPr>
              <w:spacing w:before="60" w:line="240" w:lineRule="auto"/>
              <w:rPr>
                <w:rFonts w:eastAsia="Calibri" w:cs="Arial"/>
                <w:color w:val="auto"/>
                <w:sz w:val="18"/>
                <w:szCs w:val="18"/>
              </w:rPr>
            </w:pPr>
            <w:r w:rsidRPr="00A9330B">
              <w:rPr>
                <w:rFonts w:cs="Arial"/>
                <w:color w:val="auto"/>
                <w:sz w:val="18"/>
                <w:szCs w:val="18"/>
              </w:rPr>
              <w:t xml:space="preserve">2.10.a.7.1. </w:t>
            </w:r>
            <w:r w:rsidRPr="00A9330B">
              <w:rPr>
                <w:rFonts w:eastAsia="Calibri" w:cs="Arial"/>
                <w:color w:val="auto"/>
                <w:sz w:val="18"/>
                <w:szCs w:val="18"/>
              </w:rPr>
              <w:t>Mettre en place des passerelles et /ou des escabeaux</w:t>
            </w:r>
          </w:p>
          <w:p w14:paraId="50CF152F" w14:textId="77777777" w:rsidR="00606E97" w:rsidRPr="00A9330B" w:rsidRDefault="00606E97" w:rsidP="00606E97">
            <w:pPr>
              <w:widowControl w:val="0"/>
              <w:spacing w:before="60" w:line="240" w:lineRule="auto"/>
              <w:rPr>
                <w:rFonts w:eastAsia="Calibri" w:cs="Arial"/>
                <w:color w:val="auto"/>
                <w:sz w:val="18"/>
                <w:szCs w:val="18"/>
              </w:rPr>
            </w:pPr>
          </w:p>
        </w:tc>
        <w:tc>
          <w:tcPr>
            <w:tcW w:w="916" w:type="pct"/>
            <w:tcBorders>
              <w:top w:val="single" w:sz="6" w:space="0" w:color="auto"/>
              <w:left w:val="single" w:sz="6" w:space="0" w:color="auto"/>
              <w:bottom w:val="single" w:sz="6" w:space="0" w:color="auto"/>
              <w:right w:val="single" w:sz="6" w:space="0" w:color="auto"/>
            </w:tcBorders>
          </w:tcPr>
          <w:p w14:paraId="336C8A69" w14:textId="77777777" w:rsidR="00606E97" w:rsidRPr="00A9330B" w:rsidRDefault="00606E97" w:rsidP="00606E97">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t>Existence de passerelles /escabeaux</w:t>
            </w:r>
          </w:p>
          <w:p w14:paraId="6606ABEB" w14:textId="77777777" w:rsidR="00606E97" w:rsidRPr="00A9330B" w:rsidRDefault="00606E97" w:rsidP="00606E97">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t xml:space="preserve">Nombre de plaintes enregistrées </w:t>
            </w:r>
          </w:p>
          <w:p w14:paraId="28FE450B" w14:textId="77777777" w:rsidR="00606E97" w:rsidRPr="00A9330B" w:rsidRDefault="00606E97" w:rsidP="00606E97">
            <w:pPr>
              <w:widowControl w:val="0"/>
              <w:autoSpaceDE w:val="0"/>
              <w:autoSpaceDN w:val="0"/>
              <w:adjustRightInd w:val="0"/>
              <w:spacing w:before="60" w:line="240" w:lineRule="auto"/>
              <w:rPr>
                <w:rFonts w:eastAsia="Calibri" w:cs="Arial"/>
                <w:color w:val="auto"/>
                <w:sz w:val="18"/>
                <w:szCs w:val="18"/>
              </w:rPr>
            </w:pPr>
          </w:p>
        </w:tc>
        <w:tc>
          <w:tcPr>
            <w:tcW w:w="637" w:type="pct"/>
            <w:tcBorders>
              <w:top w:val="single" w:sz="6" w:space="0" w:color="auto"/>
              <w:left w:val="single" w:sz="6" w:space="0" w:color="auto"/>
              <w:bottom w:val="single" w:sz="6" w:space="0" w:color="auto"/>
              <w:right w:val="single" w:sz="6" w:space="0" w:color="auto"/>
            </w:tcBorders>
          </w:tcPr>
          <w:p w14:paraId="3DAB7556" w14:textId="77777777" w:rsidR="00606E97" w:rsidRPr="00A9330B" w:rsidRDefault="00606E97" w:rsidP="00606E97">
            <w:pPr>
              <w:widowControl w:val="0"/>
              <w:autoSpaceDE w:val="0"/>
              <w:autoSpaceDN w:val="0"/>
              <w:adjustRightInd w:val="0"/>
              <w:spacing w:before="60" w:line="240" w:lineRule="auto"/>
              <w:jc w:val="center"/>
              <w:rPr>
                <w:rFonts w:eastAsia="Calibri" w:cs="Arial"/>
                <w:color w:val="auto"/>
                <w:sz w:val="18"/>
                <w:szCs w:val="18"/>
              </w:rPr>
            </w:pPr>
            <w:r w:rsidRPr="00A9330B">
              <w:rPr>
                <w:rFonts w:eastAsia="Calibri" w:cs="Arial"/>
                <w:color w:val="auto"/>
                <w:sz w:val="18"/>
                <w:szCs w:val="18"/>
              </w:rPr>
              <w:t>Avant le démarrage et pendant les travaux</w:t>
            </w:r>
          </w:p>
        </w:tc>
        <w:tc>
          <w:tcPr>
            <w:tcW w:w="657" w:type="pct"/>
            <w:tcBorders>
              <w:top w:val="single" w:sz="6" w:space="0" w:color="auto"/>
              <w:left w:val="single" w:sz="6" w:space="0" w:color="auto"/>
              <w:bottom w:val="single" w:sz="6" w:space="0" w:color="auto"/>
              <w:right w:val="single" w:sz="6" w:space="0" w:color="auto"/>
            </w:tcBorders>
          </w:tcPr>
          <w:p w14:paraId="75C142E0" w14:textId="77777777" w:rsidR="00606E97" w:rsidRPr="00A9330B" w:rsidRDefault="00606E97" w:rsidP="00606E97">
            <w:pPr>
              <w:widowControl w:val="0"/>
              <w:autoSpaceDE w:val="0"/>
              <w:autoSpaceDN w:val="0"/>
              <w:adjustRightInd w:val="0"/>
              <w:spacing w:before="60" w:line="240" w:lineRule="auto"/>
              <w:jc w:val="center"/>
              <w:rPr>
                <w:rFonts w:eastAsia="Calibri" w:cs="Arial"/>
                <w:color w:val="auto"/>
                <w:sz w:val="18"/>
                <w:szCs w:val="18"/>
              </w:rPr>
            </w:pPr>
            <w:r w:rsidRPr="00A9330B">
              <w:rPr>
                <w:rFonts w:eastAsia="Calibri" w:cs="Arial"/>
                <w:color w:val="auto"/>
                <w:sz w:val="18"/>
                <w:szCs w:val="18"/>
              </w:rPr>
              <w:t>MDC</w:t>
            </w:r>
          </w:p>
          <w:p w14:paraId="122F7507" w14:textId="77777777" w:rsidR="00606E97" w:rsidRPr="00A9330B" w:rsidRDefault="00606E97" w:rsidP="00606E97">
            <w:pPr>
              <w:widowControl w:val="0"/>
              <w:autoSpaceDE w:val="0"/>
              <w:autoSpaceDN w:val="0"/>
              <w:adjustRightInd w:val="0"/>
              <w:spacing w:before="60" w:line="240" w:lineRule="auto"/>
              <w:jc w:val="center"/>
              <w:rPr>
                <w:rFonts w:eastAsia="Calibri" w:cs="Arial"/>
                <w:color w:val="auto"/>
                <w:sz w:val="18"/>
                <w:szCs w:val="18"/>
              </w:rPr>
            </w:pPr>
            <w:r w:rsidRPr="00A9330B">
              <w:rPr>
                <w:rFonts w:eastAsia="Calibri" w:cs="Arial"/>
                <w:color w:val="auto"/>
                <w:sz w:val="18"/>
                <w:szCs w:val="18"/>
              </w:rPr>
              <w:t>Entreprise chargée des travaux</w:t>
            </w:r>
          </w:p>
        </w:tc>
        <w:tc>
          <w:tcPr>
            <w:tcW w:w="897" w:type="pct"/>
            <w:tcBorders>
              <w:top w:val="single" w:sz="6" w:space="0" w:color="auto"/>
              <w:left w:val="single" w:sz="6" w:space="0" w:color="auto"/>
              <w:bottom w:val="single" w:sz="6" w:space="0" w:color="auto"/>
              <w:right w:val="single" w:sz="8" w:space="0" w:color="auto"/>
            </w:tcBorders>
          </w:tcPr>
          <w:p w14:paraId="41A94584" w14:textId="77777777" w:rsidR="00606E97" w:rsidRPr="00A9330B" w:rsidRDefault="00606E97" w:rsidP="00606E97">
            <w:pPr>
              <w:widowControl w:val="0"/>
              <w:autoSpaceDE w:val="0"/>
              <w:autoSpaceDN w:val="0"/>
              <w:adjustRightInd w:val="0"/>
              <w:spacing w:before="60" w:line="240" w:lineRule="auto"/>
              <w:rPr>
                <w:rFonts w:cs="Arial"/>
                <w:color w:val="auto"/>
                <w:sz w:val="18"/>
                <w:szCs w:val="18"/>
              </w:rPr>
            </w:pPr>
            <w:r w:rsidRPr="00A9330B">
              <w:rPr>
                <w:rFonts w:cs="Arial"/>
                <w:color w:val="auto"/>
                <w:sz w:val="18"/>
                <w:szCs w:val="18"/>
              </w:rPr>
              <w:t>Mairie de Natitingou (Direction Services Techniques)</w:t>
            </w:r>
          </w:p>
          <w:p w14:paraId="15DCA6BB" w14:textId="77777777" w:rsidR="00606E97" w:rsidRPr="00A9330B" w:rsidRDefault="00606E97" w:rsidP="00606E97">
            <w:pPr>
              <w:widowControl w:val="0"/>
              <w:autoSpaceDE w:val="0"/>
              <w:autoSpaceDN w:val="0"/>
              <w:adjustRightInd w:val="0"/>
              <w:spacing w:before="60" w:line="240" w:lineRule="auto"/>
              <w:rPr>
                <w:rFonts w:eastAsia="Calibri" w:cs="Arial"/>
                <w:color w:val="auto"/>
                <w:sz w:val="18"/>
                <w:szCs w:val="18"/>
              </w:rPr>
            </w:pPr>
            <w:r w:rsidRPr="00A9330B">
              <w:rPr>
                <w:rFonts w:cs="Arial"/>
                <w:color w:val="auto"/>
                <w:sz w:val="18"/>
                <w:szCs w:val="18"/>
              </w:rPr>
              <w:t>DDCVDD- AD</w:t>
            </w:r>
          </w:p>
        </w:tc>
        <w:tc>
          <w:tcPr>
            <w:tcW w:w="897" w:type="pct"/>
            <w:tcBorders>
              <w:top w:val="single" w:sz="6" w:space="0" w:color="auto"/>
              <w:left w:val="single" w:sz="6" w:space="0" w:color="auto"/>
              <w:bottom w:val="single" w:sz="6" w:space="0" w:color="auto"/>
              <w:right w:val="single" w:sz="8" w:space="0" w:color="auto"/>
            </w:tcBorders>
          </w:tcPr>
          <w:p w14:paraId="314F6A30" w14:textId="50224898" w:rsidR="00606E97" w:rsidRPr="00A9330B" w:rsidRDefault="00606E97" w:rsidP="00606E97">
            <w:pPr>
              <w:widowControl w:val="0"/>
              <w:autoSpaceDE w:val="0"/>
              <w:autoSpaceDN w:val="0"/>
              <w:adjustRightInd w:val="0"/>
              <w:spacing w:before="60" w:line="240" w:lineRule="auto"/>
              <w:rPr>
                <w:rFonts w:cs="Arial"/>
                <w:color w:val="auto"/>
                <w:sz w:val="18"/>
                <w:szCs w:val="18"/>
              </w:rPr>
            </w:pPr>
            <w:r w:rsidRPr="00A9330B">
              <w:rPr>
                <w:rFonts w:eastAsia="Calibri" w:cs="Arial"/>
                <w:sz w:val="20"/>
                <w:szCs w:val="20"/>
              </w:rPr>
              <w:t>Intégrer dans sécurité de chantier (DAO travaux</w:t>
            </w:r>
          </w:p>
        </w:tc>
      </w:tr>
      <w:tr w:rsidR="00606E97" w:rsidRPr="00A9330B" w14:paraId="20CEAB89" w14:textId="4EA9730D" w:rsidTr="006C383B">
        <w:trPr>
          <w:trHeight w:val="759"/>
        </w:trPr>
        <w:tc>
          <w:tcPr>
            <w:tcW w:w="996" w:type="pct"/>
            <w:tcBorders>
              <w:top w:val="single" w:sz="6" w:space="0" w:color="auto"/>
              <w:left w:val="single" w:sz="8" w:space="0" w:color="auto"/>
              <w:bottom w:val="single" w:sz="6" w:space="0" w:color="auto"/>
              <w:right w:val="single" w:sz="6" w:space="0" w:color="auto"/>
            </w:tcBorders>
          </w:tcPr>
          <w:p w14:paraId="724934DC" w14:textId="77777777" w:rsidR="00606E97" w:rsidRPr="00A9330B" w:rsidRDefault="00606E97" w:rsidP="00606E97">
            <w:pPr>
              <w:widowControl w:val="0"/>
              <w:autoSpaceDE w:val="0"/>
              <w:autoSpaceDN w:val="0"/>
              <w:adjustRightInd w:val="0"/>
              <w:spacing w:before="60" w:line="240" w:lineRule="auto"/>
              <w:rPr>
                <w:rFonts w:cs="Arial"/>
                <w:color w:val="auto"/>
                <w:sz w:val="18"/>
                <w:szCs w:val="18"/>
              </w:rPr>
            </w:pPr>
            <w:r w:rsidRPr="00A9330B">
              <w:rPr>
                <w:rFonts w:cs="Arial"/>
                <w:color w:val="auto"/>
                <w:sz w:val="18"/>
                <w:szCs w:val="18"/>
              </w:rPr>
              <w:t>2.10.a.8.1. Identifier clairement les différents projets avant le démarrage des travaux </w:t>
            </w:r>
          </w:p>
        </w:tc>
        <w:tc>
          <w:tcPr>
            <w:tcW w:w="916" w:type="pct"/>
            <w:tcBorders>
              <w:top w:val="single" w:sz="6" w:space="0" w:color="auto"/>
              <w:left w:val="single" w:sz="6" w:space="0" w:color="auto"/>
              <w:bottom w:val="single" w:sz="6" w:space="0" w:color="auto"/>
              <w:right w:val="single" w:sz="6" w:space="0" w:color="auto"/>
            </w:tcBorders>
          </w:tcPr>
          <w:p w14:paraId="7D7DE0EB" w14:textId="77777777" w:rsidR="00606E97" w:rsidRPr="00A9330B" w:rsidRDefault="00606E97" w:rsidP="00606E97">
            <w:pPr>
              <w:widowControl w:val="0"/>
              <w:autoSpaceDE w:val="0"/>
              <w:autoSpaceDN w:val="0"/>
              <w:adjustRightInd w:val="0"/>
              <w:spacing w:before="60" w:line="240" w:lineRule="auto"/>
              <w:rPr>
                <w:rFonts w:cs="Arial"/>
                <w:color w:val="auto"/>
                <w:sz w:val="18"/>
                <w:szCs w:val="18"/>
              </w:rPr>
            </w:pPr>
            <w:r w:rsidRPr="00A9330B">
              <w:rPr>
                <w:rFonts w:cs="Arial"/>
                <w:color w:val="auto"/>
                <w:sz w:val="18"/>
                <w:szCs w:val="18"/>
              </w:rPr>
              <w:t xml:space="preserve">Existence d’une liste exhaustive des projets en cours </w:t>
            </w:r>
          </w:p>
        </w:tc>
        <w:tc>
          <w:tcPr>
            <w:tcW w:w="637" w:type="pct"/>
            <w:tcBorders>
              <w:top w:val="single" w:sz="6" w:space="0" w:color="auto"/>
              <w:left w:val="single" w:sz="6" w:space="0" w:color="auto"/>
              <w:bottom w:val="single" w:sz="6" w:space="0" w:color="auto"/>
              <w:right w:val="single" w:sz="6" w:space="0" w:color="auto"/>
            </w:tcBorders>
          </w:tcPr>
          <w:p w14:paraId="612A8118" w14:textId="77777777" w:rsidR="00606E97" w:rsidRPr="00A9330B" w:rsidRDefault="00606E97" w:rsidP="00606E97">
            <w:pPr>
              <w:widowControl w:val="0"/>
              <w:autoSpaceDE w:val="0"/>
              <w:autoSpaceDN w:val="0"/>
              <w:adjustRightInd w:val="0"/>
              <w:spacing w:before="60" w:line="240" w:lineRule="auto"/>
              <w:jc w:val="center"/>
              <w:rPr>
                <w:rFonts w:cs="Arial"/>
                <w:color w:val="auto"/>
                <w:sz w:val="18"/>
                <w:szCs w:val="18"/>
              </w:rPr>
            </w:pPr>
            <w:r w:rsidRPr="00A9330B">
              <w:rPr>
                <w:rFonts w:cs="Arial"/>
                <w:color w:val="auto"/>
                <w:sz w:val="18"/>
                <w:szCs w:val="18"/>
              </w:rPr>
              <w:t>Avant le démarrage et pendant les travaux</w:t>
            </w:r>
          </w:p>
        </w:tc>
        <w:tc>
          <w:tcPr>
            <w:tcW w:w="657" w:type="pct"/>
            <w:tcBorders>
              <w:top w:val="single" w:sz="6" w:space="0" w:color="auto"/>
              <w:left w:val="single" w:sz="6" w:space="0" w:color="auto"/>
              <w:bottom w:val="single" w:sz="6" w:space="0" w:color="auto"/>
              <w:right w:val="single" w:sz="6" w:space="0" w:color="auto"/>
            </w:tcBorders>
          </w:tcPr>
          <w:p w14:paraId="36A75AF3" w14:textId="77777777" w:rsidR="00606E97" w:rsidRPr="00A9330B" w:rsidRDefault="00606E97" w:rsidP="00606E97">
            <w:pPr>
              <w:widowControl w:val="0"/>
              <w:autoSpaceDE w:val="0"/>
              <w:autoSpaceDN w:val="0"/>
              <w:adjustRightInd w:val="0"/>
              <w:spacing w:before="60" w:line="240" w:lineRule="auto"/>
              <w:jc w:val="center"/>
              <w:rPr>
                <w:rFonts w:cs="Arial"/>
                <w:color w:val="auto"/>
                <w:sz w:val="18"/>
                <w:szCs w:val="18"/>
              </w:rPr>
            </w:pPr>
            <w:r w:rsidRPr="00A9330B">
              <w:rPr>
                <w:rFonts w:cs="Arial"/>
                <w:color w:val="auto"/>
                <w:sz w:val="18"/>
                <w:szCs w:val="18"/>
              </w:rPr>
              <w:t>MDC</w:t>
            </w:r>
          </w:p>
          <w:p w14:paraId="4D58DEF7" w14:textId="77777777" w:rsidR="00606E97" w:rsidRPr="00A9330B" w:rsidRDefault="00606E97" w:rsidP="00606E97">
            <w:pPr>
              <w:widowControl w:val="0"/>
              <w:autoSpaceDE w:val="0"/>
              <w:autoSpaceDN w:val="0"/>
              <w:adjustRightInd w:val="0"/>
              <w:spacing w:before="60" w:line="240" w:lineRule="auto"/>
              <w:jc w:val="center"/>
              <w:rPr>
                <w:rFonts w:cs="Arial"/>
                <w:color w:val="auto"/>
                <w:sz w:val="18"/>
                <w:szCs w:val="18"/>
              </w:rPr>
            </w:pPr>
            <w:r w:rsidRPr="00A9330B">
              <w:rPr>
                <w:rFonts w:cs="Arial"/>
                <w:color w:val="auto"/>
                <w:sz w:val="18"/>
                <w:szCs w:val="18"/>
              </w:rPr>
              <w:t>Entreprise chargée des travaux</w:t>
            </w:r>
          </w:p>
        </w:tc>
        <w:tc>
          <w:tcPr>
            <w:tcW w:w="897" w:type="pct"/>
            <w:tcBorders>
              <w:top w:val="single" w:sz="6" w:space="0" w:color="auto"/>
              <w:left w:val="single" w:sz="6" w:space="0" w:color="auto"/>
              <w:bottom w:val="single" w:sz="6" w:space="0" w:color="auto"/>
              <w:right w:val="single" w:sz="8" w:space="0" w:color="auto"/>
            </w:tcBorders>
          </w:tcPr>
          <w:p w14:paraId="656E7688" w14:textId="77777777" w:rsidR="00606E97" w:rsidRPr="00A9330B" w:rsidRDefault="00606E97" w:rsidP="00606E97">
            <w:pPr>
              <w:widowControl w:val="0"/>
              <w:autoSpaceDE w:val="0"/>
              <w:autoSpaceDN w:val="0"/>
              <w:adjustRightInd w:val="0"/>
              <w:spacing w:before="60" w:line="240" w:lineRule="auto"/>
              <w:rPr>
                <w:rFonts w:cs="Arial"/>
                <w:color w:val="auto"/>
                <w:sz w:val="18"/>
                <w:szCs w:val="18"/>
              </w:rPr>
            </w:pPr>
            <w:r w:rsidRPr="00A9330B">
              <w:rPr>
                <w:rFonts w:cs="Arial"/>
                <w:color w:val="auto"/>
                <w:sz w:val="18"/>
                <w:szCs w:val="18"/>
              </w:rPr>
              <w:t>Mairie de Natitingou (Direction Services Techniques)</w:t>
            </w:r>
          </w:p>
          <w:p w14:paraId="59C62036" w14:textId="77777777" w:rsidR="00606E97" w:rsidRPr="00A9330B" w:rsidRDefault="00606E97" w:rsidP="00606E97">
            <w:pPr>
              <w:widowControl w:val="0"/>
              <w:autoSpaceDE w:val="0"/>
              <w:autoSpaceDN w:val="0"/>
              <w:adjustRightInd w:val="0"/>
              <w:spacing w:before="60" w:line="240" w:lineRule="auto"/>
              <w:rPr>
                <w:rFonts w:eastAsia="Calibri" w:cs="Arial"/>
                <w:color w:val="auto"/>
                <w:sz w:val="18"/>
                <w:szCs w:val="18"/>
              </w:rPr>
            </w:pPr>
            <w:r w:rsidRPr="00A9330B">
              <w:rPr>
                <w:rFonts w:cs="Arial"/>
                <w:color w:val="auto"/>
                <w:sz w:val="18"/>
                <w:szCs w:val="18"/>
              </w:rPr>
              <w:t>DDCVDD- AD</w:t>
            </w:r>
          </w:p>
        </w:tc>
        <w:tc>
          <w:tcPr>
            <w:tcW w:w="897" w:type="pct"/>
            <w:tcBorders>
              <w:top w:val="single" w:sz="6" w:space="0" w:color="auto"/>
              <w:left w:val="single" w:sz="6" w:space="0" w:color="auto"/>
              <w:bottom w:val="single" w:sz="6" w:space="0" w:color="auto"/>
              <w:right w:val="single" w:sz="8" w:space="0" w:color="auto"/>
            </w:tcBorders>
          </w:tcPr>
          <w:p w14:paraId="55AF9BBA" w14:textId="77777777" w:rsidR="00606E97" w:rsidRPr="00A9330B" w:rsidRDefault="00606E97" w:rsidP="00606E97">
            <w:pPr>
              <w:widowControl w:val="0"/>
              <w:autoSpaceDE w:val="0"/>
              <w:autoSpaceDN w:val="0"/>
              <w:adjustRightInd w:val="0"/>
              <w:spacing w:before="60" w:line="240" w:lineRule="auto"/>
              <w:rPr>
                <w:rFonts w:cs="Arial"/>
                <w:color w:val="auto"/>
                <w:sz w:val="18"/>
                <w:szCs w:val="18"/>
              </w:rPr>
            </w:pPr>
          </w:p>
        </w:tc>
      </w:tr>
      <w:tr w:rsidR="00606E97" w:rsidRPr="00A9330B" w14:paraId="35A73886" w14:textId="4CF61EE3" w:rsidTr="006C383B">
        <w:trPr>
          <w:trHeight w:val="759"/>
        </w:trPr>
        <w:tc>
          <w:tcPr>
            <w:tcW w:w="996" w:type="pct"/>
            <w:tcBorders>
              <w:top w:val="single" w:sz="6" w:space="0" w:color="auto"/>
              <w:left w:val="single" w:sz="8" w:space="0" w:color="auto"/>
              <w:bottom w:val="single" w:sz="6" w:space="0" w:color="auto"/>
              <w:right w:val="single" w:sz="6" w:space="0" w:color="auto"/>
            </w:tcBorders>
          </w:tcPr>
          <w:p w14:paraId="33975A2C" w14:textId="77777777" w:rsidR="00606E97" w:rsidRPr="00A9330B" w:rsidRDefault="00606E97" w:rsidP="00606E97">
            <w:pPr>
              <w:spacing w:before="60" w:line="240" w:lineRule="auto"/>
              <w:rPr>
                <w:rFonts w:eastAsia="Calibri" w:cs="Arial"/>
                <w:color w:val="auto"/>
                <w:sz w:val="18"/>
                <w:szCs w:val="18"/>
              </w:rPr>
            </w:pPr>
            <w:r w:rsidRPr="00A9330B">
              <w:rPr>
                <w:rFonts w:eastAsia="Calibri" w:cs="Arial"/>
                <w:color w:val="auto"/>
                <w:sz w:val="18"/>
                <w:szCs w:val="18"/>
              </w:rPr>
              <w:t>2.10.a.8.2. Coordonner les  calendriers d’exécution des travaux des  différents projets</w:t>
            </w:r>
          </w:p>
        </w:tc>
        <w:tc>
          <w:tcPr>
            <w:tcW w:w="916" w:type="pct"/>
            <w:tcBorders>
              <w:top w:val="single" w:sz="6" w:space="0" w:color="auto"/>
              <w:left w:val="single" w:sz="6" w:space="0" w:color="auto"/>
              <w:bottom w:val="single" w:sz="6" w:space="0" w:color="auto"/>
              <w:right w:val="single" w:sz="6" w:space="0" w:color="auto"/>
            </w:tcBorders>
          </w:tcPr>
          <w:p w14:paraId="506B14B0" w14:textId="77777777" w:rsidR="00606E97" w:rsidRPr="00A9330B" w:rsidRDefault="00606E97" w:rsidP="00606E97">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t xml:space="preserve">Compte rendu de concertation entre structures responsables de projet </w:t>
            </w:r>
          </w:p>
        </w:tc>
        <w:tc>
          <w:tcPr>
            <w:tcW w:w="637" w:type="pct"/>
            <w:tcBorders>
              <w:top w:val="single" w:sz="6" w:space="0" w:color="auto"/>
              <w:left w:val="single" w:sz="6" w:space="0" w:color="auto"/>
              <w:bottom w:val="single" w:sz="6" w:space="0" w:color="auto"/>
              <w:right w:val="single" w:sz="6" w:space="0" w:color="auto"/>
            </w:tcBorders>
          </w:tcPr>
          <w:p w14:paraId="37058173" w14:textId="77777777" w:rsidR="00606E97" w:rsidRPr="00A9330B" w:rsidRDefault="00606E97" w:rsidP="00606E97">
            <w:pPr>
              <w:widowControl w:val="0"/>
              <w:autoSpaceDE w:val="0"/>
              <w:autoSpaceDN w:val="0"/>
              <w:adjustRightInd w:val="0"/>
              <w:spacing w:before="60" w:line="240" w:lineRule="auto"/>
              <w:jc w:val="center"/>
              <w:rPr>
                <w:rFonts w:eastAsia="Calibri" w:cs="Arial"/>
                <w:color w:val="auto"/>
                <w:sz w:val="18"/>
                <w:szCs w:val="18"/>
              </w:rPr>
            </w:pPr>
            <w:r w:rsidRPr="00A9330B">
              <w:rPr>
                <w:rFonts w:eastAsia="Calibri" w:cs="Arial"/>
                <w:color w:val="auto"/>
                <w:sz w:val="18"/>
                <w:szCs w:val="18"/>
              </w:rPr>
              <w:t>Avant le démarrage et pendant les travaux</w:t>
            </w:r>
          </w:p>
        </w:tc>
        <w:tc>
          <w:tcPr>
            <w:tcW w:w="657" w:type="pct"/>
            <w:tcBorders>
              <w:top w:val="single" w:sz="6" w:space="0" w:color="auto"/>
              <w:left w:val="single" w:sz="6" w:space="0" w:color="auto"/>
              <w:bottom w:val="single" w:sz="6" w:space="0" w:color="auto"/>
              <w:right w:val="single" w:sz="6" w:space="0" w:color="auto"/>
            </w:tcBorders>
          </w:tcPr>
          <w:p w14:paraId="6943E6A0" w14:textId="77777777" w:rsidR="00606E97" w:rsidRPr="00A9330B" w:rsidRDefault="00606E97" w:rsidP="00606E97">
            <w:pPr>
              <w:widowControl w:val="0"/>
              <w:autoSpaceDE w:val="0"/>
              <w:autoSpaceDN w:val="0"/>
              <w:adjustRightInd w:val="0"/>
              <w:spacing w:before="60" w:line="240" w:lineRule="auto"/>
              <w:jc w:val="center"/>
              <w:rPr>
                <w:rFonts w:eastAsia="Calibri" w:cs="Arial"/>
                <w:color w:val="auto"/>
                <w:sz w:val="18"/>
                <w:szCs w:val="18"/>
              </w:rPr>
            </w:pPr>
            <w:r w:rsidRPr="00A9330B">
              <w:rPr>
                <w:rFonts w:eastAsia="Calibri" w:cs="Arial"/>
                <w:color w:val="auto"/>
                <w:sz w:val="18"/>
                <w:szCs w:val="18"/>
              </w:rPr>
              <w:t>MDC</w:t>
            </w:r>
          </w:p>
          <w:p w14:paraId="6CF37DC3" w14:textId="77777777" w:rsidR="00606E97" w:rsidRPr="00A9330B" w:rsidRDefault="00606E97" w:rsidP="00606E97">
            <w:pPr>
              <w:widowControl w:val="0"/>
              <w:autoSpaceDE w:val="0"/>
              <w:autoSpaceDN w:val="0"/>
              <w:adjustRightInd w:val="0"/>
              <w:spacing w:before="60" w:line="240" w:lineRule="auto"/>
              <w:jc w:val="center"/>
              <w:rPr>
                <w:rFonts w:eastAsia="Calibri" w:cs="Arial"/>
                <w:color w:val="auto"/>
                <w:sz w:val="18"/>
                <w:szCs w:val="18"/>
              </w:rPr>
            </w:pPr>
            <w:r w:rsidRPr="00A9330B">
              <w:rPr>
                <w:rFonts w:eastAsia="Calibri" w:cs="Arial"/>
                <w:color w:val="auto"/>
                <w:sz w:val="18"/>
                <w:szCs w:val="18"/>
              </w:rPr>
              <w:t>Entreprise chargée des travaux</w:t>
            </w:r>
          </w:p>
        </w:tc>
        <w:tc>
          <w:tcPr>
            <w:tcW w:w="897" w:type="pct"/>
            <w:tcBorders>
              <w:top w:val="single" w:sz="6" w:space="0" w:color="auto"/>
              <w:left w:val="single" w:sz="6" w:space="0" w:color="auto"/>
              <w:bottom w:val="single" w:sz="6" w:space="0" w:color="auto"/>
              <w:right w:val="single" w:sz="8" w:space="0" w:color="auto"/>
            </w:tcBorders>
          </w:tcPr>
          <w:p w14:paraId="542C826C" w14:textId="77777777" w:rsidR="00606E97" w:rsidRPr="00A9330B" w:rsidRDefault="00606E97" w:rsidP="00606E97">
            <w:pPr>
              <w:widowControl w:val="0"/>
              <w:autoSpaceDE w:val="0"/>
              <w:autoSpaceDN w:val="0"/>
              <w:adjustRightInd w:val="0"/>
              <w:spacing w:before="60" w:line="240" w:lineRule="auto"/>
              <w:rPr>
                <w:rFonts w:cs="Arial"/>
                <w:color w:val="auto"/>
                <w:sz w:val="18"/>
                <w:szCs w:val="18"/>
              </w:rPr>
            </w:pPr>
            <w:r w:rsidRPr="00A9330B">
              <w:rPr>
                <w:rFonts w:cs="Arial"/>
                <w:color w:val="auto"/>
                <w:sz w:val="18"/>
                <w:szCs w:val="18"/>
              </w:rPr>
              <w:t>Mairie de Natitingou (Direction Services Techniques)</w:t>
            </w:r>
          </w:p>
          <w:p w14:paraId="4A944851" w14:textId="77777777" w:rsidR="00606E97" w:rsidRPr="00A9330B" w:rsidRDefault="00606E97" w:rsidP="00606E97">
            <w:pPr>
              <w:widowControl w:val="0"/>
              <w:autoSpaceDE w:val="0"/>
              <w:autoSpaceDN w:val="0"/>
              <w:adjustRightInd w:val="0"/>
              <w:spacing w:before="60" w:line="240" w:lineRule="auto"/>
              <w:rPr>
                <w:rFonts w:eastAsia="Calibri" w:cs="Arial"/>
                <w:color w:val="auto"/>
                <w:sz w:val="18"/>
                <w:szCs w:val="18"/>
              </w:rPr>
            </w:pPr>
            <w:r w:rsidRPr="00A9330B">
              <w:rPr>
                <w:rFonts w:cs="Arial"/>
                <w:color w:val="auto"/>
                <w:sz w:val="18"/>
                <w:szCs w:val="18"/>
              </w:rPr>
              <w:t>DDCVDD- AD</w:t>
            </w:r>
          </w:p>
        </w:tc>
        <w:tc>
          <w:tcPr>
            <w:tcW w:w="897" w:type="pct"/>
            <w:tcBorders>
              <w:top w:val="single" w:sz="6" w:space="0" w:color="auto"/>
              <w:left w:val="single" w:sz="6" w:space="0" w:color="auto"/>
              <w:bottom w:val="single" w:sz="6" w:space="0" w:color="auto"/>
              <w:right w:val="single" w:sz="8" w:space="0" w:color="auto"/>
            </w:tcBorders>
          </w:tcPr>
          <w:p w14:paraId="190BCF05" w14:textId="77777777" w:rsidR="00606E97" w:rsidRPr="00A9330B" w:rsidRDefault="00606E97" w:rsidP="00606E97">
            <w:pPr>
              <w:widowControl w:val="0"/>
              <w:autoSpaceDE w:val="0"/>
              <w:autoSpaceDN w:val="0"/>
              <w:adjustRightInd w:val="0"/>
              <w:spacing w:before="60" w:line="240" w:lineRule="auto"/>
              <w:rPr>
                <w:rFonts w:cs="Arial"/>
                <w:color w:val="auto"/>
                <w:sz w:val="18"/>
                <w:szCs w:val="18"/>
              </w:rPr>
            </w:pPr>
          </w:p>
        </w:tc>
      </w:tr>
      <w:tr w:rsidR="00606E97" w:rsidRPr="00A9330B" w14:paraId="589715CE" w14:textId="7511C383" w:rsidTr="006C383B">
        <w:trPr>
          <w:trHeight w:val="759"/>
        </w:trPr>
        <w:tc>
          <w:tcPr>
            <w:tcW w:w="996" w:type="pct"/>
            <w:tcBorders>
              <w:top w:val="single" w:sz="6" w:space="0" w:color="auto"/>
              <w:left w:val="single" w:sz="8" w:space="0" w:color="auto"/>
              <w:bottom w:val="single" w:sz="6" w:space="0" w:color="auto"/>
              <w:right w:val="single" w:sz="6" w:space="0" w:color="auto"/>
            </w:tcBorders>
          </w:tcPr>
          <w:p w14:paraId="6B303223" w14:textId="77777777" w:rsidR="00606E97" w:rsidRPr="00A9330B" w:rsidRDefault="00606E97" w:rsidP="00606E97">
            <w:pPr>
              <w:widowControl w:val="0"/>
              <w:spacing w:before="60" w:line="240" w:lineRule="auto"/>
              <w:rPr>
                <w:rFonts w:eastAsia="Calibri" w:cs="Arial"/>
                <w:color w:val="auto"/>
                <w:sz w:val="18"/>
                <w:szCs w:val="18"/>
              </w:rPr>
            </w:pPr>
            <w:r w:rsidRPr="00A9330B">
              <w:rPr>
                <w:rFonts w:eastAsia="Calibri" w:cs="Arial"/>
                <w:color w:val="auto"/>
                <w:sz w:val="18"/>
                <w:szCs w:val="18"/>
              </w:rPr>
              <w:t>2.10.a.8.3. Faire des réservations dans les voiries pour les autres projets à venir (fourreaux pour les canalisations et les lignes électriques)</w:t>
            </w:r>
          </w:p>
        </w:tc>
        <w:tc>
          <w:tcPr>
            <w:tcW w:w="916" w:type="pct"/>
            <w:tcBorders>
              <w:top w:val="single" w:sz="6" w:space="0" w:color="auto"/>
              <w:left w:val="single" w:sz="6" w:space="0" w:color="auto"/>
              <w:bottom w:val="single" w:sz="6" w:space="0" w:color="auto"/>
              <w:right w:val="single" w:sz="6" w:space="0" w:color="auto"/>
            </w:tcBorders>
          </w:tcPr>
          <w:p w14:paraId="3300512A" w14:textId="77777777" w:rsidR="00606E97" w:rsidRPr="00A9330B" w:rsidRDefault="00606E97" w:rsidP="00606E97">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t xml:space="preserve">Existence des réservations </w:t>
            </w:r>
          </w:p>
        </w:tc>
        <w:tc>
          <w:tcPr>
            <w:tcW w:w="637" w:type="pct"/>
            <w:tcBorders>
              <w:top w:val="single" w:sz="6" w:space="0" w:color="auto"/>
              <w:left w:val="single" w:sz="6" w:space="0" w:color="auto"/>
              <w:bottom w:val="single" w:sz="6" w:space="0" w:color="auto"/>
              <w:right w:val="single" w:sz="6" w:space="0" w:color="auto"/>
            </w:tcBorders>
          </w:tcPr>
          <w:p w14:paraId="2E369A31" w14:textId="77777777" w:rsidR="00606E97" w:rsidRPr="00A9330B" w:rsidRDefault="00606E97" w:rsidP="00606E97">
            <w:pPr>
              <w:widowControl w:val="0"/>
              <w:autoSpaceDE w:val="0"/>
              <w:autoSpaceDN w:val="0"/>
              <w:adjustRightInd w:val="0"/>
              <w:spacing w:before="60" w:line="240" w:lineRule="auto"/>
              <w:jc w:val="center"/>
              <w:rPr>
                <w:rFonts w:eastAsia="Calibri" w:cs="Arial"/>
                <w:color w:val="auto"/>
                <w:sz w:val="18"/>
                <w:szCs w:val="18"/>
              </w:rPr>
            </w:pPr>
            <w:r w:rsidRPr="00A9330B">
              <w:rPr>
                <w:rFonts w:eastAsia="Calibri" w:cs="Arial"/>
                <w:color w:val="auto"/>
                <w:sz w:val="18"/>
                <w:szCs w:val="18"/>
              </w:rPr>
              <w:t>Avant le démarrage et pendant les travaux</w:t>
            </w:r>
          </w:p>
        </w:tc>
        <w:tc>
          <w:tcPr>
            <w:tcW w:w="657" w:type="pct"/>
            <w:tcBorders>
              <w:top w:val="single" w:sz="6" w:space="0" w:color="auto"/>
              <w:left w:val="single" w:sz="6" w:space="0" w:color="auto"/>
              <w:bottom w:val="single" w:sz="6" w:space="0" w:color="auto"/>
              <w:right w:val="single" w:sz="6" w:space="0" w:color="auto"/>
            </w:tcBorders>
          </w:tcPr>
          <w:p w14:paraId="7FC60CC8" w14:textId="77777777" w:rsidR="00606E97" w:rsidRPr="00A9330B" w:rsidRDefault="00606E97" w:rsidP="00606E97">
            <w:pPr>
              <w:widowControl w:val="0"/>
              <w:autoSpaceDE w:val="0"/>
              <w:autoSpaceDN w:val="0"/>
              <w:adjustRightInd w:val="0"/>
              <w:spacing w:before="60" w:line="240" w:lineRule="auto"/>
              <w:jc w:val="center"/>
              <w:rPr>
                <w:rFonts w:eastAsia="Calibri" w:cs="Arial"/>
                <w:color w:val="auto"/>
                <w:sz w:val="18"/>
                <w:szCs w:val="18"/>
              </w:rPr>
            </w:pPr>
            <w:r w:rsidRPr="00A9330B">
              <w:rPr>
                <w:rFonts w:eastAsia="Calibri" w:cs="Arial"/>
                <w:color w:val="auto"/>
                <w:sz w:val="18"/>
                <w:szCs w:val="18"/>
              </w:rPr>
              <w:t>MDC</w:t>
            </w:r>
          </w:p>
          <w:p w14:paraId="6BE563B1" w14:textId="77777777" w:rsidR="00606E97" w:rsidRPr="00A9330B" w:rsidRDefault="00606E97" w:rsidP="00606E97">
            <w:pPr>
              <w:widowControl w:val="0"/>
              <w:autoSpaceDE w:val="0"/>
              <w:autoSpaceDN w:val="0"/>
              <w:adjustRightInd w:val="0"/>
              <w:spacing w:before="60" w:line="240" w:lineRule="auto"/>
              <w:jc w:val="center"/>
              <w:rPr>
                <w:rFonts w:eastAsia="Calibri" w:cs="Arial"/>
                <w:color w:val="auto"/>
                <w:sz w:val="18"/>
                <w:szCs w:val="18"/>
              </w:rPr>
            </w:pPr>
            <w:r w:rsidRPr="00A9330B">
              <w:rPr>
                <w:rFonts w:eastAsia="Calibri" w:cs="Arial"/>
                <w:color w:val="auto"/>
                <w:sz w:val="18"/>
                <w:szCs w:val="18"/>
              </w:rPr>
              <w:t>Entreprise chargée des travaux</w:t>
            </w:r>
          </w:p>
        </w:tc>
        <w:tc>
          <w:tcPr>
            <w:tcW w:w="897" w:type="pct"/>
            <w:tcBorders>
              <w:top w:val="single" w:sz="6" w:space="0" w:color="auto"/>
              <w:left w:val="single" w:sz="6" w:space="0" w:color="auto"/>
              <w:bottom w:val="single" w:sz="6" w:space="0" w:color="auto"/>
              <w:right w:val="single" w:sz="8" w:space="0" w:color="auto"/>
            </w:tcBorders>
          </w:tcPr>
          <w:p w14:paraId="5A2E7410" w14:textId="7E123DF5" w:rsidR="00606E97" w:rsidRPr="00A9330B" w:rsidRDefault="00606E97" w:rsidP="00606E97">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t>Mairie de Natitingou (Services Techniques)</w:t>
            </w:r>
          </w:p>
          <w:p w14:paraId="43275FE8" w14:textId="77777777" w:rsidR="00606E97" w:rsidRPr="00A9330B" w:rsidRDefault="00606E97" w:rsidP="00606E97">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t>DDCVDD-AD</w:t>
            </w:r>
          </w:p>
        </w:tc>
        <w:tc>
          <w:tcPr>
            <w:tcW w:w="897" w:type="pct"/>
            <w:tcBorders>
              <w:top w:val="single" w:sz="6" w:space="0" w:color="auto"/>
              <w:left w:val="single" w:sz="6" w:space="0" w:color="auto"/>
              <w:bottom w:val="single" w:sz="6" w:space="0" w:color="auto"/>
              <w:right w:val="single" w:sz="8" w:space="0" w:color="auto"/>
            </w:tcBorders>
          </w:tcPr>
          <w:p w14:paraId="45866A7B" w14:textId="77777777" w:rsidR="00606E97" w:rsidRPr="00A9330B" w:rsidRDefault="00606E97" w:rsidP="00606E97">
            <w:pPr>
              <w:widowControl w:val="0"/>
              <w:autoSpaceDE w:val="0"/>
              <w:autoSpaceDN w:val="0"/>
              <w:adjustRightInd w:val="0"/>
              <w:spacing w:before="60" w:line="240" w:lineRule="auto"/>
              <w:rPr>
                <w:rFonts w:eastAsia="Calibri" w:cs="Arial"/>
                <w:color w:val="auto"/>
                <w:sz w:val="18"/>
                <w:szCs w:val="18"/>
              </w:rPr>
            </w:pPr>
          </w:p>
        </w:tc>
      </w:tr>
      <w:tr w:rsidR="00606E97" w:rsidRPr="00A9330B" w14:paraId="00077E68" w14:textId="50AFCE1E" w:rsidTr="006C383B">
        <w:trPr>
          <w:trHeight w:val="839"/>
        </w:trPr>
        <w:tc>
          <w:tcPr>
            <w:tcW w:w="996" w:type="pct"/>
            <w:tcBorders>
              <w:top w:val="single" w:sz="6" w:space="0" w:color="auto"/>
              <w:left w:val="single" w:sz="8" w:space="0" w:color="auto"/>
              <w:bottom w:val="single" w:sz="6" w:space="0" w:color="auto"/>
              <w:right w:val="single" w:sz="6" w:space="0" w:color="auto"/>
            </w:tcBorders>
          </w:tcPr>
          <w:p w14:paraId="372C6776" w14:textId="77777777" w:rsidR="00606E97" w:rsidRPr="00A9330B" w:rsidRDefault="00606E97" w:rsidP="00606E97">
            <w:pPr>
              <w:widowControl w:val="0"/>
              <w:spacing w:before="60" w:line="240" w:lineRule="auto"/>
              <w:rPr>
                <w:rFonts w:eastAsia="Calibri" w:cs="Arial"/>
                <w:color w:val="auto"/>
                <w:sz w:val="18"/>
                <w:szCs w:val="18"/>
              </w:rPr>
            </w:pPr>
            <w:r w:rsidRPr="00A9330B">
              <w:rPr>
                <w:rFonts w:eastAsia="Calibri" w:cs="Arial"/>
                <w:color w:val="auto"/>
                <w:sz w:val="18"/>
                <w:szCs w:val="18"/>
              </w:rPr>
              <w:t xml:space="preserve">2.8.a.12.2. ; </w:t>
            </w:r>
            <w:r w:rsidRPr="00A9330B">
              <w:rPr>
                <w:rFonts w:cs="Arial"/>
                <w:color w:val="auto"/>
                <w:sz w:val="18"/>
                <w:szCs w:val="18"/>
              </w:rPr>
              <w:t>2.8.a.12.3. ; 2.9.a.1.2</w:t>
            </w:r>
            <w:r w:rsidRPr="00A9330B">
              <w:rPr>
                <w:rFonts w:eastAsia="Calibri" w:cs="Arial"/>
                <w:color w:val="auto"/>
                <w:sz w:val="18"/>
                <w:szCs w:val="18"/>
              </w:rPr>
              <w:t xml:space="preserve"> ; </w:t>
            </w:r>
            <w:r w:rsidRPr="00A9330B">
              <w:rPr>
                <w:rFonts w:cs="Arial"/>
                <w:color w:val="auto"/>
                <w:sz w:val="18"/>
                <w:szCs w:val="18"/>
              </w:rPr>
              <w:t xml:space="preserve">2.9.a.1.3.  </w:t>
            </w:r>
            <w:r w:rsidRPr="00A9330B">
              <w:rPr>
                <w:rFonts w:eastAsia="Calibri" w:cs="Arial"/>
                <w:color w:val="auto"/>
                <w:sz w:val="18"/>
                <w:szCs w:val="18"/>
              </w:rPr>
              <w:t xml:space="preserve">2.10.a.7.2. ; 3.1.a.2.1. Veiller à une bonne signalisation routière et à limitation des vitesses  </w:t>
            </w:r>
          </w:p>
        </w:tc>
        <w:tc>
          <w:tcPr>
            <w:tcW w:w="916" w:type="pct"/>
            <w:tcBorders>
              <w:top w:val="single" w:sz="6" w:space="0" w:color="auto"/>
              <w:left w:val="single" w:sz="6" w:space="0" w:color="auto"/>
              <w:bottom w:val="single" w:sz="6" w:space="0" w:color="auto"/>
              <w:right w:val="single" w:sz="6" w:space="0" w:color="auto"/>
            </w:tcBorders>
          </w:tcPr>
          <w:p w14:paraId="3D89FBB9" w14:textId="77777777" w:rsidR="00606E97" w:rsidRPr="00A9330B" w:rsidRDefault="00606E97" w:rsidP="00606E97">
            <w:pPr>
              <w:widowControl w:val="0"/>
              <w:autoSpaceDE w:val="0"/>
              <w:autoSpaceDN w:val="0"/>
              <w:adjustRightInd w:val="0"/>
              <w:spacing w:before="60" w:line="240" w:lineRule="auto"/>
              <w:jc w:val="both"/>
              <w:rPr>
                <w:rFonts w:eastAsia="Calibri" w:cs="Arial"/>
                <w:color w:val="auto"/>
                <w:sz w:val="18"/>
                <w:szCs w:val="18"/>
              </w:rPr>
            </w:pPr>
            <w:r w:rsidRPr="00A9330B">
              <w:rPr>
                <w:rFonts w:eastAsia="Calibri" w:cs="Arial"/>
                <w:color w:val="auto"/>
                <w:sz w:val="18"/>
                <w:szCs w:val="18"/>
              </w:rPr>
              <w:t>Nombre de cas d’accident de circulation enregistré</w:t>
            </w:r>
          </w:p>
          <w:p w14:paraId="718ACA96" w14:textId="77777777" w:rsidR="00606E97" w:rsidRPr="00A9330B" w:rsidRDefault="00606E97" w:rsidP="00606E97">
            <w:pPr>
              <w:widowControl w:val="0"/>
              <w:autoSpaceDE w:val="0"/>
              <w:autoSpaceDN w:val="0"/>
              <w:adjustRightInd w:val="0"/>
              <w:spacing w:before="60" w:line="240" w:lineRule="auto"/>
              <w:jc w:val="both"/>
              <w:rPr>
                <w:rFonts w:eastAsia="Calibri" w:cs="Arial"/>
                <w:color w:val="auto"/>
                <w:sz w:val="18"/>
                <w:szCs w:val="18"/>
              </w:rPr>
            </w:pPr>
            <w:r w:rsidRPr="00A9330B">
              <w:rPr>
                <w:rFonts w:eastAsia="Calibri" w:cs="Arial"/>
                <w:color w:val="auto"/>
                <w:sz w:val="18"/>
                <w:szCs w:val="18"/>
              </w:rPr>
              <w:t>Nombre de plaintes enregistrées</w:t>
            </w:r>
          </w:p>
          <w:p w14:paraId="748AC949" w14:textId="77777777" w:rsidR="00606E97" w:rsidRPr="00A9330B" w:rsidRDefault="00606E97" w:rsidP="00606E97">
            <w:pPr>
              <w:widowControl w:val="0"/>
              <w:autoSpaceDE w:val="0"/>
              <w:autoSpaceDN w:val="0"/>
              <w:adjustRightInd w:val="0"/>
              <w:spacing w:before="60" w:line="240" w:lineRule="auto"/>
              <w:jc w:val="both"/>
              <w:rPr>
                <w:rFonts w:eastAsia="Calibri" w:cs="Arial"/>
                <w:color w:val="auto"/>
                <w:sz w:val="18"/>
                <w:szCs w:val="18"/>
              </w:rPr>
            </w:pPr>
          </w:p>
        </w:tc>
        <w:tc>
          <w:tcPr>
            <w:tcW w:w="637" w:type="pct"/>
            <w:tcBorders>
              <w:top w:val="single" w:sz="6" w:space="0" w:color="auto"/>
              <w:left w:val="single" w:sz="6" w:space="0" w:color="auto"/>
              <w:bottom w:val="single" w:sz="6" w:space="0" w:color="auto"/>
              <w:right w:val="single" w:sz="6" w:space="0" w:color="auto"/>
            </w:tcBorders>
          </w:tcPr>
          <w:p w14:paraId="0B58EBD6" w14:textId="77777777" w:rsidR="00606E97" w:rsidRPr="00A9330B" w:rsidRDefault="00606E97" w:rsidP="00606E97">
            <w:pPr>
              <w:widowControl w:val="0"/>
              <w:spacing w:before="60" w:line="240" w:lineRule="auto"/>
              <w:jc w:val="center"/>
              <w:rPr>
                <w:rFonts w:eastAsia="Calibri" w:cs="Arial"/>
                <w:color w:val="auto"/>
                <w:sz w:val="18"/>
                <w:szCs w:val="18"/>
              </w:rPr>
            </w:pPr>
            <w:r w:rsidRPr="00A9330B">
              <w:rPr>
                <w:rFonts w:eastAsia="Calibri" w:cs="Arial"/>
                <w:color w:val="auto"/>
                <w:sz w:val="18"/>
                <w:szCs w:val="18"/>
              </w:rPr>
              <w:t>Toutes les phases du projet</w:t>
            </w:r>
          </w:p>
        </w:tc>
        <w:tc>
          <w:tcPr>
            <w:tcW w:w="657" w:type="pct"/>
            <w:tcBorders>
              <w:top w:val="single" w:sz="6" w:space="0" w:color="auto"/>
              <w:left w:val="single" w:sz="6" w:space="0" w:color="auto"/>
              <w:bottom w:val="single" w:sz="6" w:space="0" w:color="auto"/>
              <w:right w:val="single" w:sz="6" w:space="0" w:color="auto"/>
            </w:tcBorders>
          </w:tcPr>
          <w:p w14:paraId="6D5C1D06" w14:textId="77777777" w:rsidR="00606E97" w:rsidRPr="00A9330B" w:rsidRDefault="00606E97" w:rsidP="00606E97">
            <w:pPr>
              <w:widowControl w:val="0"/>
              <w:spacing w:before="60" w:line="240" w:lineRule="auto"/>
              <w:jc w:val="center"/>
              <w:rPr>
                <w:rFonts w:eastAsia="Calibri" w:cs="Arial"/>
                <w:color w:val="auto"/>
                <w:sz w:val="18"/>
                <w:szCs w:val="18"/>
              </w:rPr>
            </w:pPr>
            <w:r w:rsidRPr="00A9330B">
              <w:rPr>
                <w:rFonts w:eastAsia="Calibri" w:cs="Arial"/>
                <w:color w:val="auto"/>
                <w:sz w:val="18"/>
                <w:szCs w:val="18"/>
              </w:rPr>
              <w:t>MDC</w:t>
            </w:r>
          </w:p>
          <w:p w14:paraId="01D2566F" w14:textId="77777777" w:rsidR="00606E97" w:rsidRPr="00A9330B" w:rsidRDefault="00606E97" w:rsidP="00606E97">
            <w:pPr>
              <w:widowControl w:val="0"/>
              <w:spacing w:before="60" w:line="240" w:lineRule="auto"/>
              <w:jc w:val="center"/>
              <w:rPr>
                <w:rFonts w:eastAsia="Calibri" w:cs="Arial"/>
                <w:color w:val="auto"/>
                <w:sz w:val="18"/>
                <w:szCs w:val="18"/>
              </w:rPr>
            </w:pPr>
            <w:r w:rsidRPr="00A9330B">
              <w:rPr>
                <w:rFonts w:eastAsia="Calibri" w:cs="Arial"/>
                <w:color w:val="auto"/>
                <w:sz w:val="18"/>
                <w:szCs w:val="18"/>
              </w:rPr>
              <w:t>Entreprise chargée des travaux</w:t>
            </w:r>
          </w:p>
        </w:tc>
        <w:tc>
          <w:tcPr>
            <w:tcW w:w="897" w:type="pct"/>
            <w:tcBorders>
              <w:top w:val="single" w:sz="6" w:space="0" w:color="auto"/>
              <w:left w:val="single" w:sz="6" w:space="0" w:color="auto"/>
              <w:bottom w:val="single" w:sz="6" w:space="0" w:color="auto"/>
              <w:right w:val="single" w:sz="8" w:space="0" w:color="auto"/>
            </w:tcBorders>
          </w:tcPr>
          <w:p w14:paraId="7D4A9F7C" w14:textId="0765A779" w:rsidR="00606E97" w:rsidRPr="00A9330B" w:rsidRDefault="00606E97" w:rsidP="00606E97">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t>Mairie de Natitingou (Services Techniques)</w:t>
            </w:r>
          </w:p>
          <w:p w14:paraId="32D55CF9" w14:textId="77777777" w:rsidR="00606E97" w:rsidRPr="00A9330B" w:rsidRDefault="00606E97" w:rsidP="00606E97">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t>DDCVDD-AD</w:t>
            </w:r>
          </w:p>
          <w:p w14:paraId="3E5C8FDA" w14:textId="77777777" w:rsidR="00606E97" w:rsidRPr="00A9330B" w:rsidRDefault="00606E97" w:rsidP="00606E97">
            <w:pPr>
              <w:widowControl w:val="0"/>
              <w:autoSpaceDE w:val="0"/>
              <w:autoSpaceDN w:val="0"/>
              <w:adjustRightInd w:val="0"/>
              <w:spacing w:before="60" w:line="240" w:lineRule="auto"/>
              <w:rPr>
                <w:rFonts w:eastAsia="Calibri" w:cs="Arial"/>
                <w:color w:val="auto"/>
                <w:sz w:val="18"/>
                <w:szCs w:val="18"/>
              </w:rPr>
            </w:pPr>
          </w:p>
        </w:tc>
        <w:tc>
          <w:tcPr>
            <w:tcW w:w="897" w:type="pct"/>
            <w:tcBorders>
              <w:top w:val="single" w:sz="6" w:space="0" w:color="auto"/>
              <w:left w:val="single" w:sz="6" w:space="0" w:color="auto"/>
              <w:bottom w:val="single" w:sz="6" w:space="0" w:color="auto"/>
              <w:right w:val="single" w:sz="8" w:space="0" w:color="auto"/>
            </w:tcBorders>
          </w:tcPr>
          <w:p w14:paraId="03834226" w14:textId="6B9D9752" w:rsidR="00606E97" w:rsidRPr="00A9330B" w:rsidRDefault="00606E97" w:rsidP="00606E97">
            <w:pPr>
              <w:widowControl w:val="0"/>
              <w:autoSpaceDE w:val="0"/>
              <w:autoSpaceDN w:val="0"/>
              <w:adjustRightInd w:val="0"/>
              <w:spacing w:before="60" w:line="240" w:lineRule="auto"/>
              <w:rPr>
                <w:rFonts w:eastAsia="Calibri" w:cs="Arial"/>
                <w:color w:val="auto"/>
                <w:sz w:val="18"/>
                <w:szCs w:val="18"/>
              </w:rPr>
            </w:pPr>
            <w:r w:rsidRPr="00A9330B">
              <w:rPr>
                <w:rFonts w:eastAsia="Calibri" w:cs="Arial"/>
                <w:sz w:val="20"/>
                <w:szCs w:val="20"/>
              </w:rPr>
              <w:t>Intégrer dans sécurité de chantier (DAO travaux</w:t>
            </w:r>
          </w:p>
        </w:tc>
      </w:tr>
      <w:tr w:rsidR="00606E97" w:rsidRPr="00A9330B" w14:paraId="39EAA976" w14:textId="5D8D58D6" w:rsidTr="006C383B">
        <w:trPr>
          <w:trHeight w:val="839"/>
        </w:trPr>
        <w:tc>
          <w:tcPr>
            <w:tcW w:w="996" w:type="pct"/>
            <w:tcBorders>
              <w:top w:val="single" w:sz="6" w:space="0" w:color="auto"/>
              <w:left w:val="single" w:sz="8" w:space="0" w:color="auto"/>
              <w:bottom w:val="single" w:sz="6" w:space="0" w:color="auto"/>
              <w:right w:val="single" w:sz="6" w:space="0" w:color="auto"/>
            </w:tcBorders>
          </w:tcPr>
          <w:p w14:paraId="3A8917F3" w14:textId="77777777" w:rsidR="00606E97" w:rsidRPr="00A9330B" w:rsidRDefault="00606E97" w:rsidP="00606E97">
            <w:pPr>
              <w:spacing w:before="60" w:line="240" w:lineRule="auto"/>
              <w:rPr>
                <w:rFonts w:eastAsia="Calibri" w:cs="Arial"/>
                <w:color w:val="auto"/>
                <w:sz w:val="18"/>
                <w:szCs w:val="18"/>
              </w:rPr>
            </w:pPr>
            <w:r w:rsidRPr="00A9330B">
              <w:rPr>
                <w:rFonts w:eastAsia="Calibri" w:cs="Arial"/>
                <w:color w:val="auto"/>
                <w:sz w:val="18"/>
                <w:szCs w:val="18"/>
              </w:rPr>
              <w:lastRenderedPageBreak/>
              <w:t xml:space="preserve">3.1.a.2.2. Initier des campagnes d'information sur </w:t>
            </w:r>
            <w:r w:rsidRPr="00A9330B">
              <w:rPr>
                <w:rFonts w:eastAsia="Calibri" w:cs="Arial"/>
                <w:b/>
                <w:color w:val="auto"/>
                <w:sz w:val="18"/>
                <w:szCs w:val="18"/>
              </w:rPr>
              <w:t>la sécurité routière</w:t>
            </w:r>
            <w:r w:rsidRPr="00A9330B">
              <w:rPr>
                <w:rFonts w:eastAsia="Calibri" w:cs="Arial"/>
                <w:color w:val="auto"/>
                <w:sz w:val="18"/>
                <w:szCs w:val="18"/>
              </w:rPr>
              <w:t xml:space="preserve"> (CNSR)</w:t>
            </w:r>
          </w:p>
        </w:tc>
        <w:tc>
          <w:tcPr>
            <w:tcW w:w="916" w:type="pct"/>
            <w:tcBorders>
              <w:top w:val="single" w:sz="6" w:space="0" w:color="auto"/>
              <w:left w:val="single" w:sz="6" w:space="0" w:color="auto"/>
              <w:bottom w:val="single" w:sz="6" w:space="0" w:color="auto"/>
              <w:right w:val="single" w:sz="6" w:space="0" w:color="auto"/>
            </w:tcBorders>
          </w:tcPr>
          <w:p w14:paraId="386899A6" w14:textId="77777777" w:rsidR="00606E97" w:rsidRPr="00A9330B" w:rsidRDefault="00606E97" w:rsidP="00606E97">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t>Nombre de cas d’accident de circulation enregistré</w:t>
            </w:r>
          </w:p>
          <w:p w14:paraId="1FDB4AA6" w14:textId="77777777" w:rsidR="00606E97" w:rsidRPr="00A9330B" w:rsidRDefault="00606E97" w:rsidP="00606E97">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t xml:space="preserve"> Fréquence des accidents</w:t>
            </w:r>
          </w:p>
        </w:tc>
        <w:tc>
          <w:tcPr>
            <w:tcW w:w="637" w:type="pct"/>
            <w:tcBorders>
              <w:top w:val="single" w:sz="6" w:space="0" w:color="auto"/>
              <w:left w:val="single" w:sz="6" w:space="0" w:color="auto"/>
              <w:bottom w:val="single" w:sz="6" w:space="0" w:color="auto"/>
              <w:right w:val="single" w:sz="6" w:space="0" w:color="auto"/>
            </w:tcBorders>
          </w:tcPr>
          <w:p w14:paraId="3ACB97E0" w14:textId="77777777" w:rsidR="00606E97" w:rsidRPr="00A9330B" w:rsidRDefault="00606E97" w:rsidP="00606E97">
            <w:pPr>
              <w:widowControl w:val="0"/>
              <w:spacing w:before="60" w:line="240" w:lineRule="auto"/>
              <w:jc w:val="center"/>
              <w:rPr>
                <w:rFonts w:eastAsia="Calibri" w:cs="Arial"/>
                <w:color w:val="auto"/>
                <w:sz w:val="18"/>
                <w:szCs w:val="18"/>
              </w:rPr>
            </w:pPr>
            <w:r w:rsidRPr="00A9330B">
              <w:rPr>
                <w:rFonts w:eastAsia="Calibri" w:cs="Arial"/>
                <w:color w:val="auto"/>
                <w:sz w:val="18"/>
                <w:szCs w:val="18"/>
              </w:rPr>
              <w:t>Pendant l’exploitation</w:t>
            </w:r>
          </w:p>
        </w:tc>
        <w:tc>
          <w:tcPr>
            <w:tcW w:w="657" w:type="pct"/>
            <w:tcBorders>
              <w:top w:val="single" w:sz="6" w:space="0" w:color="auto"/>
              <w:left w:val="single" w:sz="6" w:space="0" w:color="auto"/>
              <w:bottom w:val="single" w:sz="6" w:space="0" w:color="auto"/>
              <w:right w:val="single" w:sz="6" w:space="0" w:color="auto"/>
            </w:tcBorders>
          </w:tcPr>
          <w:p w14:paraId="2F8E307C" w14:textId="77777777" w:rsidR="00606E97" w:rsidRPr="00A9330B" w:rsidRDefault="00606E97" w:rsidP="00606E97">
            <w:pPr>
              <w:widowControl w:val="0"/>
              <w:spacing w:before="60" w:line="240" w:lineRule="auto"/>
              <w:jc w:val="center"/>
              <w:rPr>
                <w:rFonts w:eastAsia="Calibri" w:cs="Arial"/>
                <w:color w:val="auto"/>
                <w:sz w:val="18"/>
                <w:szCs w:val="18"/>
              </w:rPr>
            </w:pPr>
            <w:r w:rsidRPr="00A9330B">
              <w:rPr>
                <w:rFonts w:eastAsia="Calibri" w:cs="Arial"/>
                <w:color w:val="auto"/>
                <w:sz w:val="18"/>
                <w:szCs w:val="18"/>
              </w:rPr>
              <w:t>MDC</w:t>
            </w:r>
          </w:p>
          <w:p w14:paraId="7CE6E327" w14:textId="77777777" w:rsidR="00606E97" w:rsidRPr="00A9330B" w:rsidRDefault="00606E97" w:rsidP="00606E97">
            <w:pPr>
              <w:widowControl w:val="0"/>
              <w:spacing w:before="60" w:line="240" w:lineRule="auto"/>
              <w:jc w:val="center"/>
              <w:rPr>
                <w:rFonts w:eastAsia="Calibri" w:cs="Arial"/>
                <w:color w:val="auto"/>
                <w:sz w:val="18"/>
                <w:szCs w:val="18"/>
              </w:rPr>
            </w:pPr>
            <w:r w:rsidRPr="00A9330B">
              <w:rPr>
                <w:rFonts w:eastAsia="Calibri" w:cs="Arial"/>
                <w:color w:val="auto"/>
                <w:sz w:val="18"/>
                <w:szCs w:val="18"/>
              </w:rPr>
              <w:t>Entreprise chargée des travaux</w:t>
            </w:r>
          </w:p>
        </w:tc>
        <w:tc>
          <w:tcPr>
            <w:tcW w:w="897" w:type="pct"/>
            <w:tcBorders>
              <w:top w:val="single" w:sz="6" w:space="0" w:color="auto"/>
              <w:left w:val="single" w:sz="6" w:space="0" w:color="auto"/>
              <w:bottom w:val="single" w:sz="6" w:space="0" w:color="auto"/>
              <w:right w:val="single" w:sz="8" w:space="0" w:color="auto"/>
            </w:tcBorders>
          </w:tcPr>
          <w:p w14:paraId="40A554C4" w14:textId="6C22B835" w:rsidR="00606E97" w:rsidRPr="00A9330B" w:rsidRDefault="00606E97" w:rsidP="00606E97">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t>Mairie de Natitingou (Services Techniques)</w:t>
            </w:r>
          </w:p>
          <w:p w14:paraId="21B1B7F3" w14:textId="77777777" w:rsidR="00606E97" w:rsidRPr="00A9330B" w:rsidRDefault="00606E97" w:rsidP="00606E97">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t>DDCVDD-AD</w:t>
            </w:r>
          </w:p>
        </w:tc>
        <w:tc>
          <w:tcPr>
            <w:tcW w:w="897" w:type="pct"/>
            <w:tcBorders>
              <w:top w:val="single" w:sz="6" w:space="0" w:color="auto"/>
              <w:left w:val="single" w:sz="6" w:space="0" w:color="auto"/>
              <w:bottom w:val="single" w:sz="6" w:space="0" w:color="auto"/>
              <w:right w:val="single" w:sz="8" w:space="0" w:color="auto"/>
            </w:tcBorders>
          </w:tcPr>
          <w:p w14:paraId="1295E9F4" w14:textId="77777777" w:rsidR="00606E97" w:rsidRPr="00A9330B" w:rsidRDefault="00606E97" w:rsidP="00606E97">
            <w:pPr>
              <w:widowControl w:val="0"/>
              <w:autoSpaceDE w:val="0"/>
              <w:autoSpaceDN w:val="0"/>
              <w:adjustRightInd w:val="0"/>
              <w:spacing w:before="60" w:line="240" w:lineRule="auto"/>
              <w:rPr>
                <w:rFonts w:eastAsia="Calibri" w:cs="Arial"/>
                <w:color w:val="auto"/>
                <w:sz w:val="18"/>
                <w:szCs w:val="18"/>
              </w:rPr>
            </w:pPr>
          </w:p>
        </w:tc>
      </w:tr>
      <w:tr w:rsidR="00606E97" w:rsidRPr="00A9330B" w14:paraId="16DFA0EF" w14:textId="1C3CF1D0" w:rsidTr="006C383B">
        <w:trPr>
          <w:trHeight w:val="584"/>
        </w:trPr>
        <w:tc>
          <w:tcPr>
            <w:tcW w:w="996" w:type="pct"/>
            <w:tcBorders>
              <w:top w:val="single" w:sz="6" w:space="0" w:color="auto"/>
              <w:left w:val="single" w:sz="8" w:space="0" w:color="auto"/>
              <w:bottom w:val="single" w:sz="6" w:space="0" w:color="auto"/>
              <w:right w:val="single" w:sz="6" w:space="0" w:color="auto"/>
            </w:tcBorders>
          </w:tcPr>
          <w:p w14:paraId="7A73F8F1" w14:textId="77777777" w:rsidR="00606E97" w:rsidRPr="00A9330B" w:rsidRDefault="00606E97" w:rsidP="00606E97">
            <w:pPr>
              <w:widowControl w:val="0"/>
              <w:spacing w:before="60" w:line="240" w:lineRule="auto"/>
              <w:jc w:val="both"/>
              <w:rPr>
                <w:rFonts w:eastAsia="Calibri" w:cs="Arial"/>
                <w:color w:val="auto"/>
                <w:sz w:val="18"/>
                <w:szCs w:val="18"/>
              </w:rPr>
            </w:pPr>
            <w:r w:rsidRPr="00A9330B">
              <w:rPr>
                <w:rFonts w:eastAsia="Calibri" w:cs="Arial"/>
                <w:color w:val="auto"/>
                <w:sz w:val="18"/>
                <w:szCs w:val="18"/>
              </w:rPr>
              <w:t>3.2.a.1.1. Sensibiliser les travailleurs sur les accidents du travail</w:t>
            </w:r>
          </w:p>
        </w:tc>
        <w:tc>
          <w:tcPr>
            <w:tcW w:w="916" w:type="pct"/>
            <w:tcBorders>
              <w:top w:val="single" w:sz="6" w:space="0" w:color="auto"/>
              <w:left w:val="single" w:sz="6" w:space="0" w:color="auto"/>
              <w:bottom w:val="single" w:sz="6" w:space="0" w:color="auto"/>
              <w:right w:val="single" w:sz="6" w:space="0" w:color="auto"/>
            </w:tcBorders>
          </w:tcPr>
          <w:p w14:paraId="4E223707" w14:textId="77777777" w:rsidR="00606E97" w:rsidRPr="00A9330B" w:rsidRDefault="00606E97" w:rsidP="00606E97">
            <w:pPr>
              <w:widowControl w:val="0"/>
              <w:autoSpaceDE w:val="0"/>
              <w:autoSpaceDN w:val="0"/>
              <w:adjustRightInd w:val="0"/>
              <w:spacing w:before="60" w:line="240" w:lineRule="auto"/>
              <w:jc w:val="both"/>
              <w:rPr>
                <w:rFonts w:eastAsia="Calibri" w:cs="Arial"/>
                <w:color w:val="auto"/>
                <w:sz w:val="18"/>
                <w:szCs w:val="18"/>
              </w:rPr>
            </w:pPr>
            <w:r w:rsidRPr="00A9330B">
              <w:rPr>
                <w:rFonts w:eastAsia="Calibri" w:cs="Arial"/>
                <w:color w:val="auto"/>
                <w:sz w:val="18"/>
                <w:szCs w:val="18"/>
              </w:rPr>
              <w:t xml:space="preserve">Etat de la carrière </w:t>
            </w:r>
          </w:p>
          <w:p w14:paraId="11A5DC97" w14:textId="77777777" w:rsidR="00606E97" w:rsidRPr="00A9330B" w:rsidRDefault="00606E97" w:rsidP="00606E97">
            <w:pPr>
              <w:widowControl w:val="0"/>
              <w:autoSpaceDE w:val="0"/>
              <w:autoSpaceDN w:val="0"/>
              <w:adjustRightInd w:val="0"/>
              <w:spacing w:before="60" w:line="240" w:lineRule="auto"/>
              <w:jc w:val="both"/>
              <w:rPr>
                <w:rFonts w:eastAsia="Calibri" w:cs="Arial"/>
                <w:color w:val="auto"/>
                <w:sz w:val="18"/>
                <w:szCs w:val="18"/>
              </w:rPr>
            </w:pPr>
            <w:r w:rsidRPr="00A9330B">
              <w:rPr>
                <w:rFonts w:eastAsia="Calibri" w:cs="Arial"/>
                <w:color w:val="auto"/>
                <w:sz w:val="18"/>
                <w:szCs w:val="18"/>
              </w:rPr>
              <w:t>Absence d’excavation abandonnée sur les sites d’emprunts</w:t>
            </w:r>
          </w:p>
        </w:tc>
        <w:tc>
          <w:tcPr>
            <w:tcW w:w="637" w:type="pct"/>
            <w:tcBorders>
              <w:top w:val="single" w:sz="6" w:space="0" w:color="auto"/>
              <w:left w:val="single" w:sz="6" w:space="0" w:color="auto"/>
              <w:bottom w:val="single" w:sz="6" w:space="0" w:color="auto"/>
              <w:right w:val="single" w:sz="6" w:space="0" w:color="auto"/>
            </w:tcBorders>
          </w:tcPr>
          <w:p w14:paraId="230C468D" w14:textId="77777777" w:rsidR="00606E97" w:rsidRPr="00A9330B" w:rsidRDefault="00606E97" w:rsidP="00606E97">
            <w:pPr>
              <w:widowControl w:val="0"/>
              <w:spacing w:before="60" w:line="240" w:lineRule="auto"/>
              <w:jc w:val="center"/>
              <w:rPr>
                <w:rFonts w:eastAsia="Calibri" w:cs="Arial"/>
                <w:color w:val="auto"/>
                <w:sz w:val="18"/>
                <w:szCs w:val="18"/>
              </w:rPr>
            </w:pPr>
            <w:r w:rsidRPr="00A9330B">
              <w:rPr>
                <w:rFonts w:eastAsia="Calibri" w:cs="Arial"/>
                <w:color w:val="auto"/>
                <w:sz w:val="18"/>
                <w:szCs w:val="18"/>
              </w:rPr>
              <w:t>Après les travaux</w:t>
            </w:r>
          </w:p>
        </w:tc>
        <w:tc>
          <w:tcPr>
            <w:tcW w:w="657" w:type="pct"/>
            <w:tcBorders>
              <w:top w:val="single" w:sz="6" w:space="0" w:color="auto"/>
              <w:left w:val="single" w:sz="6" w:space="0" w:color="auto"/>
              <w:bottom w:val="single" w:sz="6" w:space="0" w:color="auto"/>
              <w:right w:val="single" w:sz="6" w:space="0" w:color="auto"/>
            </w:tcBorders>
          </w:tcPr>
          <w:p w14:paraId="28FB63D2" w14:textId="77777777" w:rsidR="00606E97" w:rsidRPr="00A9330B" w:rsidRDefault="00606E97" w:rsidP="00606E97">
            <w:pPr>
              <w:widowControl w:val="0"/>
              <w:spacing w:before="60" w:line="240" w:lineRule="auto"/>
              <w:jc w:val="center"/>
              <w:rPr>
                <w:rFonts w:eastAsia="Calibri" w:cs="Arial"/>
                <w:color w:val="auto"/>
                <w:sz w:val="18"/>
                <w:szCs w:val="18"/>
              </w:rPr>
            </w:pPr>
            <w:r w:rsidRPr="00A9330B">
              <w:rPr>
                <w:rFonts w:eastAsia="Calibri" w:cs="Arial"/>
                <w:color w:val="auto"/>
                <w:sz w:val="18"/>
                <w:szCs w:val="18"/>
              </w:rPr>
              <w:t>MDC</w:t>
            </w:r>
          </w:p>
          <w:p w14:paraId="4F312589" w14:textId="77777777" w:rsidR="00606E97" w:rsidRPr="00A9330B" w:rsidRDefault="00606E97" w:rsidP="00606E97">
            <w:pPr>
              <w:widowControl w:val="0"/>
              <w:spacing w:before="60" w:line="240" w:lineRule="auto"/>
              <w:jc w:val="center"/>
              <w:rPr>
                <w:rFonts w:eastAsia="Calibri" w:cs="Arial"/>
                <w:color w:val="auto"/>
                <w:sz w:val="18"/>
                <w:szCs w:val="18"/>
              </w:rPr>
            </w:pPr>
            <w:r w:rsidRPr="00A9330B">
              <w:rPr>
                <w:rFonts w:eastAsia="Calibri" w:cs="Arial"/>
                <w:color w:val="auto"/>
                <w:sz w:val="18"/>
                <w:szCs w:val="18"/>
              </w:rPr>
              <w:t>Entreprise chargée des travaux</w:t>
            </w:r>
          </w:p>
        </w:tc>
        <w:tc>
          <w:tcPr>
            <w:tcW w:w="897" w:type="pct"/>
            <w:tcBorders>
              <w:top w:val="single" w:sz="6" w:space="0" w:color="auto"/>
              <w:left w:val="single" w:sz="6" w:space="0" w:color="auto"/>
              <w:bottom w:val="single" w:sz="6" w:space="0" w:color="auto"/>
              <w:right w:val="single" w:sz="8" w:space="0" w:color="auto"/>
            </w:tcBorders>
          </w:tcPr>
          <w:p w14:paraId="2B79E617" w14:textId="77777777" w:rsidR="00606E97" w:rsidRPr="00A9330B" w:rsidRDefault="00606E97" w:rsidP="00606E97">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t>Mairie de Natitingou (Services Techniques)</w:t>
            </w:r>
          </w:p>
          <w:p w14:paraId="7E7CDAB7" w14:textId="77777777" w:rsidR="00606E97" w:rsidRPr="00A9330B" w:rsidRDefault="00606E97" w:rsidP="00606E97">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t>DDCVDD-AD</w:t>
            </w:r>
          </w:p>
        </w:tc>
        <w:tc>
          <w:tcPr>
            <w:tcW w:w="897" w:type="pct"/>
            <w:tcBorders>
              <w:top w:val="single" w:sz="6" w:space="0" w:color="auto"/>
              <w:left w:val="single" w:sz="6" w:space="0" w:color="auto"/>
              <w:bottom w:val="single" w:sz="6" w:space="0" w:color="auto"/>
              <w:right w:val="single" w:sz="8" w:space="0" w:color="auto"/>
            </w:tcBorders>
          </w:tcPr>
          <w:p w14:paraId="69156691" w14:textId="77777777" w:rsidR="00606E97" w:rsidRPr="00A9330B" w:rsidRDefault="00606E97" w:rsidP="00606E97">
            <w:pPr>
              <w:widowControl w:val="0"/>
              <w:autoSpaceDE w:val="0"/>
              <w:autoSpaceDN w:val="0"/>
              <w:adjustRightInd w:val="0"/>
              <w:spacing w:before="60" w:line="240" w:lineRule="auto"/>
              <w:rPr>
                <w:rFonts w:eastAsia="Calibri" w:cs="Arial"/>
                <w:color w:val="auto"/>
                <w:sz w:val="18"/>
                <w:szCs w:val="18"/>
              </w:rPr>
            </w:pPr>
          </w:p>
        </w:tc>
      </w:tr>
      <w:tr w:rsidR="00606E97" w:rsidRPr="00A9330B" w14:paraId="376A9430" w14:textId="750CB6BE" w:rsidTr="006C383B">
        <w:trPr>
          <w:trHeight w:val="839"/>
        </w:trPr>
        <w:tc>
          <w:tcPr>
            <w:tcW w:w="996" w:type="pct"/>
            <w:tcBorders>
              <w:top w:val="single" w:sz="6" w:space="0" w:color="auto"/>
              <w:left w:val="single" w:sz="8" w:space="0" w:color="auto"/>
              <w:bottom w:val="single" w:sz="6" w:space="0" w:color="auto"/>
              <w:right w:val="single" w:sz="6" w:space="0" w:color="auto"/>
            </w:tcBorders>
            <w:shd w:val="clear" w:color="auto" w:fill="auto"/>
          </w:tcPr>
          <w:p w14:paraId="1C2DAD72" w14:textId="77777777" w:rsidR="00606E97" w:rsidRPr="00A9330B" w:rsidRDefault="00606E97" w:rsidP="00606E97">
            <w:pPr>
              <w:widowControl w:val="0"/>
              <w:spacing w:before="60" w:line="240" w:lineRule="auto"/>
              <w:jc w:val="both"/>
              <w:rPr>
                <w:rFonts w:eastAsia="Calibri" w:cs="Arial"/>
                <w:color w:val="auto"/>
                <w:sz w:val="18"/>
                <w:szCs w:val="18"/>
              </w:rPr>
            </w:pPr>
            <w:r w:rsidRPr="00A9330B">
              <w:rPr>
                <w:rFonts w:eastAsia="Calibri" w:cs="Arial"/>
                <w:color w:val="auto"/>
                <w:sz w:val="18"/>
                <w:szCs w:val="18"/>
              </w:rPr>
              <w:t>3.2.a.1.2. Mettre en place un dispositif de régulation de la circulation</w:t>
            </w:r>
          </w:p>
        </w:tc>
        <w:tc>
          <w:tcPr>
            <w:tcW w:w="916" w:type="pct"/>
            <w:tcBorders>
              <w:top w:val="single" w:sz="6" w:space="0" w:color="auto"/>
              <w:left w:val="single" w:sz="6" w:space="0" w:color="auto"/>
              <w:bottom w:val="single" w:sz="6" w:space="0" w:color="auto"/>
              <w:right w:val="single" w:sz="6" w:space="0" w:color="auto"/>
            </w:tcBorders>
            <w:shd w:val="clear" w:color="auto" w:fill="auto"/>
          </w:tcPr>
          <w:p w14:paraId="1F639FDE" w14:textId="77777777" w:rsidR="00606E97" w:rsidRPr="00A9330B" w:rsidRDefault="00606E97" w:rsidP="00606E97">
            <w:pPr>
              <w:widowControl w:val="0"/>
              <w:autoSpaceDE w:val="0"/>
              <w:autoSpaceDN w:val="0"/>
              <w:adjustRightInd w:val="0"/>
              <w:spacing w:before="60" w:line="240" w:lineRule="auto"/>
              <w:jc w:val="both"/>
              <w:rPr>
                <w:rFonts w:eastAsia="Calibri" w:cs="Arial"/>
                <w:color w:val="auto"/>
                <w:sz w:val="18"/>
                <w:szCs w:val="18"/>
              </w:rPr>
            </w:pPr>
            <w:r w:rsidRPr="00A9330B">
              <w:rPr>
                <w:rFonts w:eastAsia="Calibri" w:cs="Arial"/>
                <w:color w:val="auto"/>
                <w:sz w:val="18"/>
                <w:szCs w:val="18"/>
              </w:rPr>
              <w:t xml:space="preserve">Autorisation de l’administration minière </w:t>
            </w:r>
          </w:p>
          <w:p w14:paraId="4BF8DCFE" w14:textId="77777777" w:rsidR="00606E97" w:rsidRPr="00A9330B" w:rsidRDefault="00606E97" w:rsidP="00606E97">
            <w:pPr>
              <w:widowControl w:val="0"/>
              <w:autoSpaceDE w:val="0"/>
              <w:autoSpaceDN w:val="0"/>
              <w:adjustRightInd w:val="0"/>
              <w:spacing w:before="60" w:line="240" w:lineRule="auto"/>
              <w:jc w:val="both"/>
              <w:rPr>
                <w:rFonts w:eastAsia="Calibri" w:cs="Arial"/>
                <w:color w:val="auto"/>
                <w:sz w:val="18"/>
                <w:szCs w:val="18"/>
              </w:rPr>
            </w:pPr>
            <w:r w:rsidRPr="00A9330B">
              <w:rPr>
                <w:rFonts w:eastAsia="Calibri" w:cs="Arial"/>
                <w:color w:val="auto"/>
                <w:sz w:val="18"/>
                <w:szCs w:val="18"/>
              </w:rPr>
              <w:t xml:space="preserve"> </w:t>
            </w:r>
          </w:p>
        </w:tc>
        <w:tc>
          <w:tcPr>
            <w:tcW w:w="637" w:type="pct"/>
            <w:tcBorders>
              <w:top w:val="single" w:sz="6" w:space="0" w:color="auto"/>
              <w:left w:val="single" w:sz="6" w:space="0" w:color="auto"/>
              <w:bottom w:val="single" w:sz="6" w:space="0" w:color="auto"/>
              <w:right w:val="single" w:sz="6" w:space="0" w:color="auto"/>
            </w:tcBorders>
            <w:shd w:val="clear" w:color="auto" w:fill="auto"/>
          </w:tcPr>
          <w:p w14:paraId="2542D1D8" w14:textId="77777777" w:rsidR="00606E97" w:rsidRPr="00A9330B" w:rsidRDefault="00606E97" w:rsidP="00606E97">
            <w:pPr>
              <w:widowControl w:val="0"/>
              <w:spacing w:before="60" w:line="240" w:lineRule="auto"/>
              <w:jc w:val="center"/>
              <w:rPr>
                <w:rFonts w:eastAsia="Calibri" w:cs="Arial"/>
                <w:color w:val="auto"/>
                <w:sz w:val="18"/>
                <w:szCs w:val="18"/>
              </w:rPr>
            </w:pPr>
            <w:r w:rsidRPr="00A9330B">
              <w:rPr>
                <w:rFonts w:eastAsia="Calibri" w:cs="Arial"/>
                <w:color w:val="auto"/>
                <w:sz w:val="18"/>
                <w:szCs w:val="18"/>
              </w:rPr>
              <w:t>Pendant les travaux</w:t>
            </w:r>
          </w:p>
        </w:tc>
        <w:tc>
          <w:tcPr>
            <w:tcW w:w="657" w:type="pct"/>
            <w:tcBorders>
              <w:top w:val="single" w:sz="6" w:space="0" w:color="auto"/>
              <w:left w:val="single" w:sz="6" w:space="0" w:color="auto"/>
              <w:bottom w:val="single" w:sz="6" w:space="0" w:color="auto"/>
              <w:right w:val="single" w:sz="6" w:space="0" w:color="auto"/>
            </w:tcBorders>
            <w:shd w:val="clear" w:color="auto" w:fill="auto"/>
          </w:tcPr>
          <w:p w14:paraId="0F790F95" w14:textId="77777777" w:rsidR="00606E97" w:rsidRPr="00A9330B" w:rsidRDefault="00606E97" w:rsidP="00606E97">
            <w:pPr>
              <w:widowControl w:val="0"/>
              <w:spacing w:before="60" w:line="240" w:lineRule="auto"/>
              <w:jc w:val="center"/>
              <w:rPr>
                <w:rFonts w:eastAsia="Calibri" w:cs="Arial"/>
                <w:color w:val="auto"/>
                <w:sz w:val="18"/>
                <w:szCs w:val="18"/>
              </w:rPr>
            </w:pPr>
            <w:r w:rsidRPr="00A9330B">
              <w:rPr>
                <w:rFonts w:eastAsia="Calibri" w:cs="Arial"/>
                <w:color w:val="auto"/>
                <w:sz w:val="18"/>
                <w:szCs w:val="18"/>
              </w:rPr>
              <w:t>MDC</w:t>
            </w:r>
          </w:p>
          <w:p w14:paraId="32577EE0" w14:textId="77777777" w:rsidR="00606E97" w:rsidRPr="00A9330B" w:rsidRDefault="00606E97" w:rsidP="00606E97">
            <w:pPr>
              <w:widowControl w:val="0"/>
              <w:spacing w:before="60" w:line="240" w:lineRule="auto"/>
              <w:jc w:val="center"/>
              <w:rPr>
                <w:rFonts w:eastAsia="Calibri" w:cs="Arial"/>
                <w:color w:val="auto"/>
                <w:sz w:val="18"/>
                <w:szCs w:val="18"/>
              </w:rPr>
            </w:pPr>
            <w:r w:rsidRPr="00A9330B">
              <w:rPr>
                <w:rFonts w:eastAsia="Calibri" w:cs="Arial"/>
                <w:color w:val="auto"/>
                <w:sz w:val="18"/>
                <w:szCs w:val="18"/>
              </w:rPr>
              <w:t>Entreprise chargée des travaux</w:t>
            </w:r>
          </w:p>
        </w:tc>
        <w:tc>
          <w:tcPr>
            <w:tcW w:w="897" w:type="pct"/>
            <w:tcBorders>
              <w:top w:val="single" w:sz="6" w:space="0" w:color="auto"/>
              <w:left w:val="single" w:sz="6" w:space="0" w:color="auto"/>
              <w:bottom w:val="single" w:sz="6" w:space="0" w:color="auto"/>
              <w:right w:val="single" w:sz="8" w:space="0" w:color="auto"/>
            </w:tcBorders>
            <w:shd w:val="clear" w:color="auto" w:fill="auto"/>
          </w:tcPr>
          <w:p w14:paraId="61AB369B" w14:textId="77777777" w:rsidR="00606E97" w:rsidRPr="00A9330B" w:rsidRDefault="00606E97" w:rsidP="00606E97">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t>Mairie de Natitingou (Services Techniques)</w:t>
            </w:r>
          </w:p>
          <w:p w14:paraId="005AD358" w14:textId="77777777" w:rsidR="00606E97" w:rsidRPr="00A9330B" w:rsidRDefault="00606E97" w:rsidP="00606E97">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t>DDCVDD-AD</w:t>
            </w:r>
          </w:p>
        </w:tc>
        <w:tc>
          <w:tcPr>
            <w:tcW w:w="897" w:type="pct"/>
            <w:tcBorders>
              <w:top w:val="single" w:sz="6" w:space="0" w:color="auto"/>
              <w:left w:val="single" w:sz="6" w:space="0" w:color="auto"/>
              <w:bottom w:val="single" w:sz="6" w:space="0" w:color="auto"/>
              <w:right w:val="single" w:sz="8" w:space="0" w:color="auto"/>
            </w:tcBorders>
          </w:tcPr>
          <w:p w14:paraId="03CB90B6" w14:textId="77777777" w:rsidR="00606E97" w:rsidRPr="00A9330B" w:rsidRDefault="00606E97" w:rsidP="00606E97">
            <w:pPr>
              <w:widowControl w:val="0"/>
              <w:autoSpaceDE w:val="0"/>
              <w:autoSpaceDN w:val="0"/>
              <w:adjustRightInd w:val="0"/>
              <w:spacing w:before="60" w:line="240" w:lineRule="auto"/>
              <w:rPr>
                <w:rFonts w:eastAsia="Calibri" w:cs="Arial"/>
                <w:color w:val="auto"/>
                <w:sz w:val="18"/>
                <w:szCs w:val="18"/>
              </w:rPr>
            </w:pPr>
          </w:p>
        </w:tc>
      </w:tr>
      <w:tr w:rsidR="00606E97" w:rsidRPr="00A9330B" w14:paraId="2B1D2561" w14:textId="337B48FF" w:rsidTr="006C383B">
        <w:trPr>
          <w:trHeight w:val="839"/>
        </w:trPr>
        <w:tc>
          <w:tcPr>
            <w:tcW w:w="996" w:type="pct"/>
            <w:tcBorders>
              <w:top w:val="single" w:sz="6" w:space="0" w:color="auto"/>
              <w:left w:val="single" w:sz="8" w:space="0" w:color="auto"/>
              <w:bottom w:val="single" w:sz="6" w:space="0" w:color="auto"/>
              <w:right w:val="single" w:sz="6" w:space="0" w:color="auto"/>
            </w:tcBorders>
          </w:tcPr>
          <w:p w14:paraId="0EC3B847" w14:textId="77777777" w:rsidR="00606E97" w:rsidRPr="00A9330B" w:rsidRDefault="00606E97" w:rsidP="00606E97">
            <w:pPr>
              <w:widowControl w:val="0"/>
              <w:spacing w:before="60" w:line="240" w:lineRule="auto"/>
              <w:rPr>
                <w:rFonts w:eastAsia="Calibri" w:cs="Arial"/>
                <w:color w:val="auto"/>
                <w:sz w:val="18"/>
                <w:szCs w:val="18"/>
              </w:rPr>
            </w:pPr>
            <w:r w:rsidRPr="00A9330B">
              <w:rPr>
                <w:rFonts w:eastAsia="Calibri" w:cs="Arial"/>
                <w:color w:val="auto"/>
                <w:sz w:val="18"/>
                <w:szCs w:val="18"/>
              </w:rPr>
              <w:t xml:space="preserve">3.2.a.2.1. Veiller à replier et ranger le matériel et les matériaux utilisés pour l’entretien périodique de la route </w:t>
            </w:r>
          </w:p>
        </w:tc>
        <w:tc>
          <w:tcPr>
            <w:tcW w:w="916" w:type="pct"/>
            <w:tcBorders>
              <w:top w:val="single" w:sz="6" w:space="0" w:color="auto"/>
              <w:left w:val="single" w:sz="6" w:space="0" w:color="auto"/>
              <w:bottom w:val="single" w:sz="6" w:space="0" w:color="auto"/>
              <w:right w:val="single" w:sz="6" w:space="0" w:color="auto"/>
            </w:tcBorders>
          </w:tcPr>
          <w:p w14:paraId="05813E8F" w14:textId="77777777" w:rsidR="00606E97" w:rsidRPr="00A9330B" w:rsidRDefault="00606E97" w:rsidP="00606E97">
            <w:pPr>
              <w:widowControl w:val="0"/>
              <w:spacing w:before="60" w:line="240" w:lineRule="auto"/>
              <w:rPr>
                <w:rFonts w:eastAsia="Calibri" w:cs="Arial"/>
                <w:color w:val="auto"/>
                <w:sz w:val="18"/>
                <w:szCs w:val="18"/>
              </w:rPr>
            </w:pPr>
            <w:r w:rsidRPr="00A9330B">
              <w:rPr>
                <w:rFonts w:eastAsia="Calibri" w:cs="Arial"/>
                <w:color w:val="auto"/>
                <w:sz w:val="18"/>
                <w:szCs w:val="18"/>
              </w:rPr>
              <w:t xml:space="preserve">Plaintes des populations relatives aux travaux </w:t>
            </w:r>
          </w:p>
          <w:p w14:paraId="4A49A15B" w14:textId="77777777" w:rsidR="00606E97" w:rsidRPr="00A9330B" w:rsidRDefault="00606E97" w:rsidP="00606E97">
            <w:pPr>
              <w:widowControl w:val="0"/>
              <w:spacing w:before="60" w:line="240" w:lineRule="auto"/>
              <w:rPr>
                <w:rFonts w:eastAsia="Calibri" w:cs="Arial"/>
                <w:color w:val="auto"/>
                <w:sz w:val="18"/>
                <w:szCs w:val="18"/>
              </w:rPr>
            </w:pPr>
            <w:r w:rsidRPr="00A9330B">
              <w:rPr>
                <w:rFonts w:eastAsia="Calibri" w:cs="Arial"/>
                <w:color w:val="auto"/>
                <w:sz w:val="18"/>
                <w:szCs w:val="18"/>
              </w:rPr>
              <w:t>Existence de fiche de suivi des entretiens périodiques</w:t>
            </w:r>
          </w:p>
        </w:tc>
        <w:tc>
          <w:tcPr>
            <w:tcW w:w="637" w:type="pct"/>
            <w:tcBorders>
              <w:top w:val="single" w:sz="6" w:space="0" w:color="auto"/>
              <w:left w:val="single" w:sz="6" w:space="0" w:color="auto"/>
              <w:bottom w:val="single" w:sz="6" w:space="0" w:color="auto"/>
              <w:right w:val="single" w:sz="6" w:space="0" w:color="auto"/>
            </w:tcBorders>
          </w:tcPr>
          <w:p w14:paraId="05BFFCC0" w14:textId="77777777" w:rsidR="00606E97" w:rsidRPr="00A9330B" w:rsidRDefault="00606E97" w:rsidP="00606E97">
            <w:pPr>
              <w:widowControl w:val="0"/>
              <w:spacing w:before="60" w:line="240" w:lineRule="auto"/>
              <w:jc w:val="center"/>
              <w:rPr>
                <w:rFonts w:eastAsia="Calibri" w:cs="Arial"/>
                <w:color w:val="auto"/>
                <w:sz w:val="18"/>
                <w:szCs w:val="18"/>
              </w:rPr>
            </w:pPr>
            <w:r w:rsidRPr="00A9330B">
              <w:rPr>
                <w:rFonts w:eastAsia="Calibri" w:cs="Arial"/>
                <w:color w:val="auto"/>
                <w:sz w:val="18"/>
                <w:szCs w:val="18"/>
              </w:rPr>
              <w:t>Pendant la phase d’exploitation</w:t>
            </w:r>
          </w:p>
        </w:tc>
        <w:tc>
          <w:tcPr>
            <w:tcW w:w="657" w:type="pct"/>
            <w:tcBorders>
              <w:top w:val="single" w:sz="6" w:space="0" w:color="auto"/>
              <w:left w:val="single" w:sz="6" w:space="0" w:color="auto"/>
              <w:bottom w:val="single" w:sz="6" w:space="0" w:color="auto"/>
              <w:right w:val="single" w:sz="6" w:space="0" w:color="auto"/>
            </w:tcBorders>
          </w:tcPr>
          <w:p w14:paraId="314FF950" w14:textId="77777777" w:rsidR="00606E97" w:rsidRPr="00A9330B" w:rsidRDefault="00606E97" w:rsidP="00606E97">
            <w:pPr>
              <w:widowControl w:val="0"/>
              <w:spacing w:before="60" w:line="240" w:lineRule="auto"/>
              <w:jc w:val="center"/>
              <w:rPr>
                <w:rFonts w:eastAsia="Calibri" w:cs="Arial"/>
                <w:color w:val="auto"/>
                <w:sz w:val="18"/>
                <w:szCs w:val="18"/>
              </w:rPr>
            </w:pPr>
            <w:r w:rsidRPr="00A9330B">
              <w:rPr>
                <w:rFonts w:eastAsia="Calibri" w:cs="Arial"/>
                <w:color w:val="auto"/>
                <w:sz w:val="18"/>
                <w:szCs w:val="18"/>
              </w:rPr>
              <w:t>MDC</w:t>
            </w:r>
          </w:p>
          <w:p w14:paraId="641C484E" w14:textId="77777777" w:rsidR="00606E97" w:rsidRPr="00A9330B" w:rsidRDefault="00606E97" w:rsidP="00606E97">
            <w:pPr>
              <w:widowControl w:val="0"/>
              <w:spacing w:before="60" w:line="240" w:lineRule="auto"/>
              <w:jc w:val="center"/>
              <w:rPr>
                <w:rFonts w:eastAsia="Calibri" w:cs="Arial"/>
                <w:color w:val="auto"/>
                <w:sz w:val="18"/>
                <w:szCs w:val="18"/>
              </w:rPr>
            </w:pPr>
            <w:r w:rsidRPr="00A9330B">
              <w:rPr>
                <w:rFonts w:eastAsia="Calibri" w:cs="Arial"/>
                <w:color w:val="auto"/>
                <w:sz w:val="18"/>
                <w:szCs w:val="18"/>
              </w:rPr>
              <w:t>Entreprise chargée des travaux</w:t>
            </w:r>
          </w:p>
        </w:tc>
        <w:tc>
          <w:tcPr>
            <w:tcW w:w="897" w:type="pct"/>
            <w:tcBorders>
              <w:top w:val="single" w:sz="6" w:space="0" w:color="auto"/>
              <w:left w:val="single" w:sz="6" w:space="0" w:color="auto"/>
              <w:bottom w:val="single" w:sz="6" w:space="0" w:color="auto"/>
              <w:right w:val="single" w:sz="8" w:space="0" w:color="auto"/>
            </w:tcBorders>
          </w:tcPr>
          <w:p w14:paraId="2C0EB4CD" w14:textId="77777777" w:rsidR="00606E97" w:rsidRPr="00A9330B" w:rsidRDefault="00606E97" w:rsidP="00606E97">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t>Mairie de Natitingou (Services Techniques)</w:t>
            </w:r>
          </w:p>
          <w:p w14:paraId="4B3AD57E" w14:textId="77777777" w:rsidR="00606E97" w:rsidRPr="00A9330B" w:rsidRDefault="00606E97" w:rsidP="00606E97">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t>DDCVDD-AD</w:t>
            </w:r>
          </w:p>
        </w:tc>
        <w:tc>
          <w:tcPr>
            <w:tcW w:w="897" w:type="pct"/>
            <w:tcBorders>
              <w:top w:val="single" w:sz="6" w:space="0" w:color="auto"/>
              <w:left w:val="single" w:sz="6" w:space="0" w:color="auto"/>
              <w:bottom w:val="single" w:sz="6" w:space="0" w:color="auto"/>
              <w:right w:val="single" w:sz="8" w:space="0" w:color="auto"/>
            </w:tcBorders>
          </w:tcPr>
          <w:p w14:paraId="1BAC1EEE" w14:textId="77777777" w:rsidR="00606E97" w:rsidRPr="00A9330B" w:rsidRDefault="00606E97" w:rsidP="00606E97">
            <w:pPr>
              <w:widowControl w:val="0"/>
              <w:autoSpaceDE w:val="0"/>
              <w:autoSpaceDN w:val="0"/>
              <w:adjustRightInd w:val="0"/>
              <w:spacing w:before="60" w:line="240" w:lineRule="auto"/>
              <w:rPr>
                <w:rFonts w:eastAsia="Calibri" w:cs="Arial"/>
                <w:color w:val="auto"/>
                <w:sz w:val="18"/>
                <w:szCs w:val="18"/>
              </w:rPr>
            </w:pPr>
          </w:p>
        </w:tc>
      </w:tr>
      <w:tr w:rsidR="00C438EA" w:rsidRPr="00A9330B" w14:paraId="7DC1F1B8" w14:textId="77777777" w:rsidTr="00C438EA">
        <w:trPr>
          <w:trHeight w:val="394"/>
        </w:trPr>
        <w:tc>
          <w:tcPr>
            <w:tcW w:w="4103" w:type="pct"/>
            <w:gridSpan w:val="5"/>
            <w:tcBorders>
              <w:top w:val="single" w:sz="6" w:space="0" w:color="auto"/>
              <w:left w:val="single" w:sz="8" w:space="0" w:color="auto"/>
              <w:bottom w:val="single" w:sz="6" w:space="0" w:color="auto"/>
              <w:right w:val="single" w:sz="8" w:space="0" w:color="auto"/>
            </w:tcBorders>
          </w:tcPr>
          <w:p w14:paraId="5177A366" w14:textId="77777777" w:rsidR="00C438EA" w:rsidRPr="005344A9" w:rsidRDefault="00C438EA" w:rsidP="00C438EA">
            <w:pPr>
              <w:widowControl w:val="0"/>
              <w:autoSpaceDE w:val="0"/>
              <w:autoSpaceDN w:val="0"/>
              <w:adjustRightInd w:val="0"/>
              <w:spacing w:before="60" w:line="240" w:lineRule="auto"/>
              <w:rPr>
                <w:rFonts w:eastAsia="Calibri" w:cs="Arial"/>
                <w:b/>
                <w:color w:val="auto"/>
              </w:rPr>
            </w:pPr>
            <w:r w:rsidRPr="005344A9">
              <w:rPr>
                <w:rFonts w:eastAsia="Calibri" w:cs="Arial"/>
                <w:b/>
                <w:color w:val="auto"/>
              </w:rPr>
              <w:t>Mesures d’accompagnement</w:t>
            </w:r>
          </w:p>
        </w:tc>
        <w:tc>
          <w:tcPr>
            <w:tcW w:w="897" w:type="pct"/>
            <w:tcBorders>
              <w:top w:val="single" w:sz="6" w:space="0" w:color="auto"/>
              <w:left w:val="single" w:sz="8" w:space="0" w:color="auto"/>
              <w:bottom w:val="single" w:sz="6" w:space="0" w:color="auto"/>
              <w:right w:val="single" w:sz="8" w:space="0" w:color="auto"/>
            </w:tcBorders>
          </w:tcPr>
          <w:p w14:paraId="4613B98B" w14:textId="2EF22D53" w:rsidR="00C438EA" w:rsidRPr="005344A9" w:rsidRDefault="00C438EA" w:rsidP="00CB4E93">
            <w:pPr>
              <w:widowControl w:val="0"/>
              <w:autoSpaceDE w:val="0"/>
              <w:autoSpaceDN w:val="0"/>
              <w:adjustRightInd w:val="0"/>
              <w:spacing w:before="60" w:line="240" w:lineRule="auto"/>
              <w:jc w:val="right"/>
              <w:rPr>
                <w:rFonts w:eastAsia="Calibri" w:cs="Arial"/>
                <w:b/>
                <w:color w:val="auto"/>
              </w:rPr>
            </w:pPr>
            <w:r>
              <w:rPr>
                <w:rFonts w:eastAsia="Calibri" w:cs="Arial"/>
                <w:b/>
                <w:color w:val="auto"/>
              </w:rPr>
              <w:t xml:space="preserve">390 720 000 FCFA </w:t>
            </w:r>
          </w:p>
        </w:tc>
      </w:tr>
      <w:tr w:rsidR="00C438EA" w:rsidRPr="00A9330B" w14:paraId="51963016" w14:textId="77777777" w:rsidTr="00C438EA">
        <w:trPr>
          <w:trHeight w:val="413"/>
        </w:trPr>
        <w:tc>
          <w:tcPr>
            <w:tcW w:w="996" w:type="pct"/>
            <w:tcBorders>
              <w:top w:val="single" w:sz="6" w:space="0" w:color="auto"/>
              <w:left w:val="single" w:sz="8" w:space="0" w:color="auto"/>
              <w:bottom w:val="single" w:sz="6" w:space="0" w:color="auto"/>
              <w:right w:val="single" w:sz="6" w:space="0" w:color="auto"/>
            </w:tcBorders>
          </w:tcPr>
          <w:p w14:paraId="13C1376A" w14:textId="6E509082" w:rsidR="00C438EA" w:rsidRPr="00C438EA" w:rsidRDefault="00C438EA" w:rsidP="00C438EA">
            <w:pPr>
              <w:widowControl w:val="0"/>
              <w:tabs>
                <w:tab w:val="left" w:pos="0"/>
                <w:tab w:val="left" w:pos="709"/>
                <w:tab w:val="left" w:pos="5245"/>
                <w:tab w:val="left" w:pos="5529"/>
                <w:tab w:val="left" w:pos="6096"/>
                <w:tab w:val="left" w:pos="6521"/>
                <w:tab w:val="left" w:pos="6804"/>
                <w:tab w:val="left" w:pos="8222"/>
              </w:tabs>
              <w:spacing w:before="0" w:after="120" w:line="240" w:lineRule="auto"/>
              <w:jc w:val="both"/>
              <w:rPr>
                <w:rFonts w:eastAsia="Calibri" w:cs="Arial"/>
                <w:color w:val="auto"/>
                <w:sz w:val="18"/>
                <w:szCs w:val="18"/>
                <w:lang w:eastAsia="x-none"/>
              </w:rPr>
            </w:pPr>
            <w:r w:rsidRPr="00C438EA">
              <w:rPr>
                <w:rFonts w:eastAsia="Calibri" w:cs="Arial"/>
                <w:color w:val="auto"/>
                <w:sz w:val="18"/>
                <w:szCs w:val="18"/>
                <w:lang w:eastAsia="x-none"/>
              </w:rPr>
              <w:t>Reconstruire la clôture  du CEG Yimporima</w:t>
            </w:r>
          </w:p>
        </w:tc>
        <w:tc>
          <w:tcPr>
            <w:tcW w:w="916" w:type="pct"/>
            <w:tcBorders>
              <w:top w:val="single" w:sz="6" w:space="0" w:color="auto"/>
              <w:left w:val="single" w:sz="6" w:space="0" w:color="auto"/>
              <w:bottom w:val="single" w:sz="6" w:space="0" w:color="auto"/>
              <w:right w:val="single" w:sz="6" w:space="0" w:color="auto"/>
            </w:tcBorders>
          </w:tcPr>
          <w:p w14:paraId="76779314" w14:textId="02926803" w:rsidR="00C438EA" w:rsidRPr="00A9330B" w:rsidRDefault="00C438EA" w:rsidP="00C438EA">
            <w:pPr>
              <w:widowControl w:val="0"/>
              <w:spacing w:before="60" w:line="240" w:lineRule="auto"/>
              <w:rPr>
                <w:rFonts w:eastAsia="Calibri" w:cs="Arial"/>
                <w:color w:val="auto"/>
                <w:sz w:val="18"/>
                <w:szCs w:val="18"/>
              </w:rPr>
            </w:pPr>
            <w:r>
              <w:rPr>
                <w:rFonts w:eastAsia="Calibri" w:cs="Arial"/>
                <w:color w:val="auto"/>
                <w:sz w:val="18"/>
                <w:szCs w:val="18"/>
              </w:rPr>
              <w:t xml:space="preserve">Clôture effectivement érigée </w:t>
            </w:r>
          </w:p>
        </w:tc>
        <w:tc>
          <w:tcPr>
            <w:tcW w:w="637" w:type="pct"/>
            <w:tcBorders>
              <w:top w:val="single" w:sz="6" w:space="0" w:color="auto"/>
              <w:left w:val="single" w:sz="6" w:space="0" w:color="auto"/>
              <w:bottom w:val="single" w:sz="6" w:space="0" w:color="auto"/>
              <w:right w:val="single" w:sz="6" w:space="0" w:color="auto"/>
            </w:tcBorders>
          </w:tcPr>
          <w:p w14:paraId="64526199" w14:textId="023E1C2C" w:rsidR="00C438EA" w:rsidRPr="00A9330B" w:rsidRDefault="00C438EA" w:rsidP="00C438EA">
            <w:pPr>
              <w:widowControl w:val="0"/>
              <w:spacing w:before="60" w:line="240" w:lineRule="auto"/>
              <w:jc w:val="center"/>
              <w:rPr>
                <w:rFonts w:eastAsia="Calibri" w:cs="Arial"/>
                <w:color w:val="auto"/>
                <w:sz w:val="18"/>
                <w:szCs w:val="18"/>
              </w:rPr>
            </w:pPr>
            <w:r w:rsidRPr="0014648E">
              <w:rPr>
                <w:rFonts w:eastAsia="Calibri" w:cs="Arial"/>
                <w:color w:val="auto"/>
                <w:sz w:val="18"/>
                <w:szCs w:val="18"/>
              </w:rPr>
              <w:t>Pendant les travaux</w:t>
            </w:r>
          </w:p>
        </w:tc>
        <w:tc>
          <w:tcPr>
            <w:tcW w:w="657" w:type="pct"/>
            <w:tcBorders>
              <w:top w:val="single" w:sz="6" w:space="0" w:color="auto"/>
              <w:left w:val="single" w:sz="6" w:space="0" w:color="auto"/>
              <w:bottom w:val="single" w:sz="6" w:space="0" w:color="auto"/>
              <w:right w:val="single" w:sz="6" w:space="0" w:color="auto"/>
            </w:tcBorders>
          </w:tcPr>
          <w:p w14:paraId="441AE4CC" w14:textId="77777777" w:rsidR="00C438EA" w:rsidRPr="00A9330B" w:rsidRDefault="00C438EA" w:rsidP="00C438EA">
            <w:pPr>
              <w:widowControl w:val="0"/>
              <w:spacing w:before="60" w:line="240" w:lineRule="auto"/>
              <w:jc w:val="center"/>
              <w:rPr>
                <w:rFonts w:eastAsia="Calibri" w:cs="Arial"/>
                <w:color w:val="auto"/>
                <w:sz w:val="18"/>
                <w:szCs w:val="18"/>
              </w:rPr>
            </w:pPr>
            <w:r w:rsidRPr="00A9330B">
              <w:rPr>
                <w:rFonts w:eastAsia="Calibri" w:cs="Arial"/>
                <w:color w:val="auto"/>
                <w:sz w:val="18"/>
                <w:szCs w:val="18"/>
              </w:rPr>
              <w:t>MDC</w:t>
            </w:r>
          </w:p>
          <w:p w14:paraId="477703D2" w14:textId="56C84412" w:rsidR="00C438EA" w:rsidRPr="00A9330B" w:rsidRDefault="00C438EA" w:rsidP="00C438EA">
            <w:pPr>
              <w:widowControl w:val="0"/>
              <w:spacing w:before="60" w:line="240" w:lineRule="auto"/>
              <w:jc w:val="center"/>
              <w:rPr>
                <w:rFonts w:eastAsia="Calibri" w:cs="Arial"/>
                <w:color w:val="auto"/>
                <w:sz w:val="18"/>
                <w:szCs w:val="18"/>
              </w:rPr>
            </w:pPr>
            <w:r w:rsidRPr="00A9330B">
              <w:rPr>
                <w:rFonts w:eastAsia="Calibri" w:cs="Arial"/>
                <w:color w:val="auto"/>
                <w:sz w:val="18"/>
                <w:szCs w:val="18"/>
              </w:rPr>
              <w:t>Entreprise chargée des travaux</w:t>
            </w:r>
          </w:p>
        </w:tc>
        <w:tc>
          <w:tcPr>
            <w:tcW w:w="897" w:type="pct"/>
            <w:tcBorders>
              <w:top w:val="single" w:sz="6" w:space="0" w:color="auto"/>
              <w:left w:val="single" w:sz="6" w:space="0" w:color="auto"/>
              <w:bottom w:val="single" w:sz="6" w:space="0" w:color="auto"/>
              <w:right w:val="single" w:sz="8" w:space="0" w:color="auto"/>
            </w:tcBorders>
          </w:tcPr>
          <w:p w14:paraId="5BE8434D" w14:textId="77777777" w:rsidR="00C438EA" w:rsidRPr="00A9330B" w:rsidRDefault="00C438EA" w:rsidP="00C438EA">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t>Mairie de Natitingou (Services Techniques)</w:t>
            </w:r>
          </w:p>
          <w:p w14:paraId="3BDA75F1" w14:textId="786AB5DD" w:rsidR="00C438EA" w:rsidRPr="00A9330B" w:rsidRDefault="00C438EA" w:rsidP="00C438EA">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t>DDCVDD-AD</w:t>
            </w:r>
          </w:p>
        </w:tc>
        <w:tc>
          <w:tcPr>
            <w:tcW w:w="897" w:type="pct"/>
            <w:tcBorders>
              <w:top w:val="single" w:sz="6" w:space="0" w:color="auto"/>
              <w:left w:val="single" w:sz="6" w:space="0" w:color="auto"/>
              <w:bottom w:val="single" w:sz="6" w:space="0" w:color="auto"/>
              <w:right w:val="single" w:sz="8" w:space="0" w:color="auto"/>
            </w:tcBorders>
          </w:tcPr>
          <w:p w14:paraId="46EB728C" w14:textId="3F94ACFF" w:rsidR="00C438EA" w:rsidRPr="00A9330B" w:rsidRDefault="00C438EA" w:rsidP="00C438EA">
            <w:pPr>
              <w:widowControl w:val="0"/>
              <w:autoSpaceDE w:val="0"/>
              <w:autoSpaceDN w:val="0"/>
              <w:adjustRightInd w:val="0"/>
              <w:spacing w:before="60" w:line="240" w:lineRule="auto"/>
              <w:jc w:val="right"/>
              <w:rPr>
                <w:rFonts w:eastAsia="Calibri" w:cs="Arial"/>
                <w:color w:val="auto"/>
                <w:sz w:val="18"/>
                <w:szCs w:val="18"/>
              </w:rPr>
            </w:pPr>
            <w:r>
              <w:rPr>
                <w:rFonts w:eastAsia="Calibri" w:cs="Arial"/>
                <w:color w:val="auto"/>
                <w:sz w:val="18"/>
                <w:szCs w:val="18"/>
              </w:rPr>
              <w:t>30 000 000</w:t>
            </w:r>
          </w:p>
        </w:tc>
      </w:tr>
      <w:tr w:rsidR="00C438EA" w:rsidRPr="00A9330B" w14:paraId="0D65A5D7" w14:textId="77777777" w:rsidTr="006C383B">
        <w:trPr>
          <w:trHeight w:val="839"/>
        </w:trPr>
        <w:tc>
          <w:tcPr>
            <w:tcW w:w="996" w:type="pct"/>
            <w:tcBorders>
              <w:top w:val="single" w:sz="6" w:space="0" w:color="auto"/>
              <w:left w:val="single" w:sz="8" w:space="0" w:color="auto"/>
              <w:bottom w:val="single" w:sz="6" w:space="0" w:color="auto"/>
              <w:right w:val="single" w:sz="6" w:space="0" w:color="auto"/>
            </w:tcBorders>
          </w:tcPr>
          <w:p w14:paraId="70539D66" w14:textId="573CA486" w:rsidR="00C438EA" w:rsidRPr="00C438EA" w:rsidRDefault="00C438EA" w:rsidP="00C438EA">
            <w:pPr>
              <w:widowControl w:val="0"/>
              <w:tabs>
                <w:tab w:val="left" w:pos="0"/>
                <w:tab w:val="left" w:pos="709"/>
                <w:tab w:val="left" w:pos="5245"/>
                <w:tab w:val="left" w:pos="5529"/>
                <w:tab w:val="left" w:pos="6096"/>
                <w:tab w:val="left" w:pos="6521"/>
                <w:tab w:val="left" w:pos="6804"/>
                <w:tab w:val="left" w:pos="8222"/>
              </w:tabs>
              <w:spacing w:before="0" w:after="120" w:line="240" w:lineRule="auto"/>
              <w:jc w:val="both"/>
              <w:rPr>
                <w:rFonts w:eastAsia="Calibri" w:cs="Arial"/>
                <w:color w:val="auto"/>
                <w:sz w:val="18"/>
                <w:szCs w:val="18"/>
                <w:lang w:eastAsia="x-none"/>
              </w:rPr>
            </w:pPr>
            <w:r w:rsidRPr="00C438EA">
              <w:rPr>
                <w:rFonts w:eastAsia="Calibri" w:cs="Arial"/>
                <w:color w:val="auto"/>
                <w:sz w:val="18"/>
                <w:szCs w:val="18"/>
                <w:lang w:eastAsia="x-none"/>
              </w:rPr>
              <w:t xml:space="preserve">Reconstruire la clôture du centre des jeunes et des loisirs qui déjà défectueuse </w:t>
            </w:r>
          </w:p>
        </w:tc>
        <w:tc>
          <w:tcPr>
            <w:tcW w:w="916" w:type="pct"/>
            <w:tcBorders>
              <w:top w:val="single" w:sz="6" w:space="0" w:color="auto"/>
              <w:left w:val="single" w:sz="6" w:space="0" w:color="auto"/>
              <w:bottom w:val="single" w:sz="6" w:space="0" w:color="auto"/>
              <w:right w:val="single" w:sz="6" w:space="0" w:color="auto"/>
            </w:tcBorders>
          </w:tcPr>
          <w:p w14:paraId="52CA4D29" w14:textId="24A57675" w:rsidR="00C438EA" w:rsidRPr="00A9330B" w:rsidRDefault="00C438EA" w:rsidP="00C438EA">
            <w:pPr>
              <w:widowControl w:val="0"/>
              <w:spacing w:before="60" w:line="240" w:lineRule="auto"/>
              <w:rPr>
                <w:rFonts w:eastAsia="Calibri" w:cs="Arial"/>
                <w:color w:val="auto"/>
                <w:sz w:val="18"/>
                <w:szCs w:val="18"/>
              </w:rPr>
            </w:pPr>
            <w:r>
              <w:rPr>
                <w:rFonts w:eastAsia="Calibri" w:cs="Arial"/>
                <w:color w:val="auto"/>
                <w:sz w:val="18"/>
                <w:szCs w:val="18"/>
              </w:rPr>
              <w:t>Clôture effectivement érigée</w:t>
            </w:r>
          </w:p>
        </w:tc>
        <w:tc>
          <w:tcPr>
            <w:tcW w:w="637" w:type="pct"/>
            <w:tcBorders>
              <w:top w:val="single" w:sz="6" w:space="0" w:color="auto"/>
              <w:left w:val="single" w:sz="6" w:space="0" w:color="auto"/>
              <w:bottom w:val="single" w:sz="6" w:space="0" w:color="auto"/>
              <w:right w:val="single" w:sz="6" w:space="0" w:color="auto"/>
            </w:tcBorders>
          </w:tcPr>
          <w:p w14:paraId="35FF0885" w14:textId="23CB7570" w:rsidR="00C438EA" w:rsidRPr="00A9330B" w:rsidRDefault="00C438EA" w:rsidP="00C438EA">
            <w:pPr>
              <w:widowControl w:val="0"/>
              <w:spacing w:before="60" w:line="240" w:lineRule="auto"/>
              <w:jc w:val="center"/>
              <w:rPr>
                <w:rFonts w:eastAsia="Calibri" w:cs="Arial"/>
                <w:color w:val="auto"/>
                <w:sz w:val="18"/>
                <w:szCs w:val="18"/>
              </w:rPr>
            </w:pPr>
            <w:r w:rsidRPr="0014648E">
              <w:rPr>
                <w:rFonts w:eastAsia="Calibri" w:cs="Arial"/>
                <w:color w:val="auto"/>
                <w:sz w:val="18"/>
                <w:szCs w:val="18"/>
              </w:rPr>
              <w:t>Pendant les travaux</w:t>
            </w:r>
          </w:p>
        </w:tc>
        <w:tc>
          <w:tcPr>
            <w:tcW w:w="657" w:type="pct"/>
            <w:tcBorders>
              <w:top w:val="single" w:sz="6" w:space="0" w:color="auto"/>
              <w:left w:val="single" w:sz="6" w:space="0" w:color="auto"/>
              <w:bottom w:val="single" w:sz="6" w:space="0" w:color="auto"/>
              <w:right w:val="single" w:sz="6" w:space="0" w:color="auto"/>
            </w:tcBorders>
          </w:tcPr>
          <w:p w14:paraId="30CFD7C5" w14:textId="77777777" w:rsidR="00C438EA" w:rsidRPr="00A9330B" w:rsidRDefault="00C438EA" w:rsidP="00C438EA">
            <w:pPr>
              <w:widowControl w:val="0"/>
              <w:spacing w:before="60" w:line="240" w:lineRule="auto"/>
              <w:jc w:val="center"/>
              <w:rPr>
                <w:rFonts w:eastAsia="Calibri" w:cs="Arial"/>
                <w:color w:val="auto"/>
                <w:sz w:val="18"/>
                <w:szCs w:val="18"/>
              </w:rPr>
            </w:pPr>
            <w:r w:rsidRPr="00A9330B">
              <w:rPr>
                <w:rFonts w:eastAsia="Calibri" w:cs="Arial"/>
                <w:color w:val="auto"/>
                <w:sz w:val="18"/>
                <w:szCs w:val="18"/>
              </w:rPr>
              <w:t>MDC</w:t>
            </w:r>
          </w:p>
          <w:p w14:paraId="13F69C01" w14:textId="30957D67" w:rsidR="00C438EA" w:rsidRPr="00A9330B" w:rsidRDefault="00C438EA" w:rsidP="00C438EA">
            <w:pPr>
              <w:widowControl w:val="0"/>
              <w:spacing w:before="60" w:line="240" w:lineRule="auto"/>
              <w:jc w:val="center"/>
              <w:rPr>
                <w:rFonts w:eastAsia="Calibri" w:cs="Arial"/>
                <w:color w:val="auto"/>
                <w:sz w:val="18"/>
                <w:szCs w:val="18"/>
              </w:rPr>
            </w:pPr>
            <w:r w:rsidRPr="00A9330B">
              <w:rPr>
                <w:rFonts w:eastAsia="Calibri" w:cs="Arial"/>
                <w:color w:val="auto"/>
                <w:sz w:val="18"/>
                <w:szCs w:val="18"/>
              </w:rPr>
              <w:t>Entreprise chargée des travaux</w:t>
            </w:r>
          </w:p>
        </w:tc>
        <w:tc>
          <w:tcPr>
            <w:tcW w:w="897" w:type="pct"/>
            <w:tcBorders>
              <w:top w:val="single" w:sz="6" w:space="0" w:color="auto"/>
              <w:left w:val="single" w:sz="6" w:space="0" w:color="auto"/>
              <w:bottom w:val="single" w:sz="6" w:space="0" w:color="auto"/>
              <w:right w:val="single" w:sz="8" w:space="0" w:color="auto"/>
            </w:tcBorders>
          </w:tcPr>
          <w:p w14:paraId="71F8B447" w14:textId="77777777" w:rsidR="00C438EA" w:rsidRPr="00A9330B" w:rsidRDefault="00C438EA" w:rsidP="00C438EA">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t>Mairie de Natitingou (Services Techniques)</w:t>
            </w:r>
          </w:p>
          <w:p w14:paraId="76CB82FD" w14:textId="6D28FC27" w:rsidR="00C438EA" w:rsidRPr="00A9330B" w:rsidRDefault="00C438EA" w:rsidP="00C438EA">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t>DDCVDD-AD</w:t>
            </w:r>
          </w:p>
        </w:tc>
        <w:tc>
          <w:tcPr>
            <w:tcW w:w="897" w:type="pct"/>
            <w:tcBorders>
              <w:top w:val="single" w:sz="6" w:space="0" w:color="auto"/>
              <w:left w:val="single" w:sz="6" w:space="0" w:color="auto"/>
              <w:bottom w:val="single" w:sz="6" w:space="0" w:color="auto"/>
              <w:right w:val="single" w:sz="8" w:space="0" w:color="auto"/>
            </w:tcBorders>
          </w:tcPr>
          <w:p w14:paraId="786D1FB0" w14:textId="2C78D053" w:rsidR="00C438EA" w:rsidRPr="00A9330B" w:rsidRDefault="00C438EA" w:rsidP="00CB4E93">
            <w:pPr>
              <w:widowControl w:val="0"/>
              <w:autoSpaceDE w:val="0"/>
              <w:autoSpaceDN w:val="0"/>
              <w:adjustRightInd w:val="0"/>
              <w:spacing w:before="60" w:line="240" w:lineRule="auto"/>
              <w:jc w:val="right"/>
              <w:rPr>
                <w:rFonts w:eastAsia="Calibri" w:cs="Arial"/>
                <w:color w:val="auto"/>
                <w:sz w:val="18"/>
                <w:szCs w:val="18"/>
              </w:rPr>
            </w:pPr>
            <w:r>
              <w:rPr>
                <w:rFonts w:eastAsia="Calibri" w:cs="Arial"/>
                <w:color w:val="auto"/>
                <w:sz w:val="18"/>
                <w:szCs w:val="18"/>
              </w:rPr>
              <w:t xml:space="preserve">14 000 000 </w:t>
            </w:r>
          </w:p>
        </w:tc>
      </w:tr>
      <w:tr w:rsidR="00C438EA" w:rsidRPr="00A9330B" w14:paraId="08D83642" w14:textId="77777777" w:rsidTr="006C383B">
        <w:trPr>
          <w:trHeight w:val="839"/>
        </w:trPr>
        <w:tc>
          <w:tcPr>
            <w:tcW w:w="996" w:type="pct"/>
            <w:tcBorders>
              <w:top w:val="single" w:sz="6" w:space="0" w:color="auto"/>
              <w:left w:val="single" w:sz="8" w:space="0" w:color="auto"/>
              <w:bottom w:val="single" w:sz="6" w:space="0" w:color="auto"/>
              <w:right w:val="single" w:sz="6" w:space="0" w:color="auto"/>
            </w:tcBorders>
          </w:tcPr>
          <w:p w14:paraId="269A3D1B" w14:textId="302EE295" w:rsidR="00C438EA" w:rsidRPr="00C438EA" w:rsidRDefault="00C438EA" w:rsidP="00C438EA">
            <w:pPr>
              <w:widowControl w:val="0"/>
              <w:tabs>
                <w:tab w:val="left" w:pos="0"/>
                <w:tab w:val="left" w:pos="709"/>
                <w:tab w:val="left" w:pos="5245"/>
                <w:tab w:val="left" w:pos="5529"/>
                <w:tab w:val="left" w:pos="6096"/>
                <w:tab w:val="left" w:pos="6521"/>
                <w:tab w:val="left" w:pos="6804"/>
                <w:tab w:val="left" w:pos="8222"/>
              </w:tabs>
              <w:spacing w:before="0" w:after="120" w:line="240" w:lineRule="auto"/>
              <w:jc w:val="both"/>
              <w:rPr>
                <w:rFonts w:eastAsia="Calibri" w:cs="Arial"/>
                <w:color w:val="auto"/>
                <w:sz w:val="18"/>
                <w:szCs w:val="18"/>
                <w:lang w:eastAsia="x-none"/>
              </w:rPr>
            </w:pPr>
            <w:r w:rsidRPr="00C438EA">
              <w:rPr>
                <w:rFonts w:eastAsia="Calibri" w:cs="Arial"/>
                <w:color w:val="auto"/>
                <w:sz w:val="18"/>
                <w:szCs w:val="18"/>
                <w:lang w:eastAsia="x-none"/>
              </w:rPr>
              <w:t>Construire des blocs de latrines modernes dans le CEG Yimporima (01), le lycée des jeunes filles (02) et le centre de loisirs (01)</w:t>
            </w:r>
          </w:p>
        </w:tc>
        <w:tc>
          <w:tcPr>
            <w:tcW w:w="916" w:type="pct"/>
            <w:tcBorders>
              <w:top w:val="single" w:sz="6" w:space="0" w:color="auto"/>
              <w:left w:val="single" w:sz="6" w:space="0" w:color="auto"/>
              <w:bottom w:val="single" w:sz="6" w:space="0" w:color="auto"/>
              <w:right w:val="single" w:sz="6" w:space="0" w:color="auto"/>
            </w:tcBorders>
          </w:tcPr>
          <w:p w14:paraId="0626FB18" w14:textId="55FBDAAB" w:rsidR="00C438EA" w:rsidRPr="00A9330B" w:rsidRDefault="00C438EA" w:rsidP="00C438EA">
            <w:pPr>
              <w:widowControl w:val="0"/>
              <w:spacing w:before="60" w:line="240" w:lineRule="auto"/>
              <w:rPr>
                <w:rFonts w:eastAsia="Calibri" w:cs="Arial"/>
                <w:color w:val="auto"/>
                <w:sz w:val="18"/>
                <w:szCs w:val="18"/>
              </w:rPr>
            </w:pPr>
            <w:r>
              <w:rPr>
                <w:rFonts w:eastAsia="Calibri" w:cs="Arial"/>
                <w:color w:val="auto"/>
                <w:sz w:val="18"/>
                <w:szCs w:val="18"/>
              </w:rPr>
              <w:t xml:space="preserve">Blocs de latrines réalisés </w:t>
            </w:r>
          </w:p>
        </w:tc>
        <w:tc>
          <w:tcPr>
            <w:tcW w:w="637" w:type="pct"/>
            <w:tcBorders>
              <w:top w:val="single" w:sz="6" w:space="0" w:color="auto"/>
              <w:left w:val="single" w:sz="6" w:space="0" w:color="auto"/>
              <w:bottom w:val="single" w:sz="6" w:space="0" w:color="auto"/>
              <w:right w:val="single" w:sz="6" w:space="0" w:color="auto"/>
            </w:tcBorders>
          </w:tcPr>
          <w:p w14:paraId="207B89BC" w14:textId="4F651F08" w:rsidR="00C438EA" w:rsidRPr="00A9330B" w:rsidRDefault="00C438EA" w:rsidP="00C438EA">
            <w:pPr>
              <w:widowControl w:val="0"/>
              <w:spacing w:before="60" w:line="240" w:lineRule="auto"/>
              <w:jc w:val="center"/>
              <w:rPr>
                <w:rFonts w:eastAsia="Calibri" w:cs="Arial"/>
                <w:color w:val="auto"/>
                <w:sz w:val="18"/>
                <w:szCs w:val="18"/>
              </w:rPr>
            </w:pPr>
            <w:r w:rsidRPr="0014648E">
              <w:rPr>
                <w:rFonts w:eastAsia="Calibri" w:cs="Arial"/>
                <w:color w:val="auto"/>
                <w:sz w:val="18"/>
                <w:szCs w:val="18"/>
              </w:rPr>
              <w:t>Pendant les travaux</w:t>
            </w:r>
          </w:p>
        </w:tc>
        <w:tc>
          <w:tcPr>
            <w:tcW w:w="657" w:type="pct"/>
            <w:tcBorders>
              <w:top w:val="single" w:sz="6" w:space="0" w:color="auto"/>
              <w:left w:val="single" w:sz="6" w:space="0" w:color="auto"/>
              <w:bottom w:val="single" w:sz="6" w:space="0" w:color="auto"/>
              <w:right w:val="single" w:sz="6" w:space="0" w:color="auto"/>
            </w:tcBorders>
          </w:tcPr>
          <w:p w14:paraId="585E67D1" w14:textId="77777777" w:rsidR="00C438EA" w:rsidRPr="00A9330B" w:rsidRDefault="00C438EA" w:rsidP="00C438EA">
            <w:pPr>
              <w:widowControl w:val="0"/>
              <w:spacing w:before="60" w:line="240" w:lineRule="auto"/>
              <w:jc w:val="center"/>
              <w:rPr>
                <w:rFonts w:eastAsia="Calibri" w:cs="Arial"/>
                <w:color w:val="auto"/>
                <w:sz w:val="18"/>
                <w:szCs w:val="18"/>
              </w:rPr>
            </w:pPr>
            <w:r w:rsidRPr="00A9330B">
              <w:rPr>
                <w:rFonts w:eastAsia="Calibri" w:cs="Arial"/>
                <w:color w:val="auto"/>
                <w:sz w:val="18"/>
                <w:szCs w:val="18"/>
              </w:rPr>
              <w:t>MDC</w:t>
            </w:r>
          </w:p>
          <w:p w14:paraId="3E5FA5BF" w14:textId="38C19C4F" w:rsidR="00C438EA" w:rsidRPr="00A9330B" w:rsidRDefault="00C438EA" w:rsidP="00C438EA">
            <w:pPr>
              <w:widowControl w:val="0"/>
              <w:spacing w:before="60" w:line="240" w:lineRule="auto"/>
              <w:jc w:val="center"/>
              <w:rPr>
                <w:rFonts w:eastAsia="Calibri" w:cs="Arial"/>
                <w:color w:val="auto"/>
                <w:sz w:val="18"/>
                <w:szCs w:val="18"/>
              </w:rPr>
            </w:pPr>
            <w:r w:rsidRPr="00A9330B">
              <w:rPr>
                <w:rFonts w:eastAsia="Calibri" w:cs="Arial"/>
                <w:color w:val="auto"/>
                <w:sz w:val="18"/>
                <w:szCs w:val="18"/>
              </w:rPr>
              <w:t>Entreprise chargée des travaux</w:t>
            </w:r>
          </w:p>
        </w:tc>
        <w:tc>
          <w:tcPr>
            <w:tcW w:w="897" w:type="pct"/>
            <w:tcBorders>
              <w:top w:val="single" w:sz="6" w:space="0" w:color="auto"/>
              <w:left w:val="single" w:sz="6" w:space="0" w:color="auto"/>
              <w:bottom w:val="single" w:sz="6" w:space="0" w:color="auto"/>
              <w:right w:val="single" w:sz="8" w:space="0" w:color="auto"/>
            </w:tcBorders>
          </w:tcPr>
          <w:p w14:paraId="7696654D" w14:textId="77777777" w:rsidR="00C438EA" w:rsidRPr="00A9330B" w:rsidRDefault="00C438EA" w:rsidP="00C438EA">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t>Mairie de Natitingou (Services Techniques)</w:t>
            </w:r>
          </w:p>
          <w:p w14:paraId="76666FEB" w14:textId="02B93CAD" w:rsidR="00C438EA" w:rsidRPr="00A9330B" w:rsidRDefault="00C438EA" w:rsidP="00C438EA">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t>DDCVDD-AD</w:t>
            </w:r>
          </w:p>
        </w:tc>
        <w:tc>
          <w:tcPr>
            <w:tcW w:w="897" w:type="pct"/>
            <w:tcBorders>
              <w:top w:val="single" w:sz="6" w:space="0" w:color="auto"/>
              <w:left w:val="single" w:sz="6" w:space="0" w:color="auto"/>
              <w:bottom w:val="single" w:sz="6" w:space="0" w:color="auto"/>
              <w:right w:val="single" w:sz="8" w:space="0" w:color="auto"/>
            </w:tcBorders>
          </w:tcPr>
          <w:p w14:paraId="52E07AEA" w14:textId="14D6F529" w:rsidR="00C438EA" w:rsidRPr="00A9330B" w:rsidRDefault="00C438EA" w:rsidP="00CB4E93">
            <w:pPr>
              <w:widowControl w:val="0"/>
              <w:autoSpaceDE w:val="0"/>
              <w:autoSpaceDN w:val="0"/>
              <w:adjustRightInd w:val="0"/>
              <w:spacing w:before="60" w:line="240" w:lineRule="auto"/>
              <w:jc w:val="right"/>
              <w:rPr>
                <w:rFonts w:eastAsia="Calibri" w:cs="Arial"/>
                <w:color w:val="auto"/>
                <w:sz w:val="18"/>
                <w:szCs w:val="18"/>
              </w:rPr>
            </w:pPr>
            <w:r>
              <w:rPr>
                <w:rFonts w:eastAsia="Calibri" w:cs="Arial"/>
                <w:color w:val="auto"/>
                <w:sz w:val="18"/>
                <w:szCs w:val="18"/>
              </w:rPr>
              <w:t>6 720 000</w:t>
            </w:r>
          </w:p>
        </w:tc>
      </w:tr>
      <w:tr w:rsidR="00C438EA" w:rsidRPr="00A9330B" w14:paraId="5F6E8253" w14:textId="77777777" w:rsidTr="006C383B">
        <w:trPr>
          <w:trHeight w:val="839"/>
        </w:trPr>
        <w:tc>
          <w:tcPr>
            <w:tcW w:w="996" w:type="pct"/>
            <w:tcBorders>
              <w:top w:val="single" w:sz="6" w:space="0" w:color="auto"/>
              <w:left w:val="single" w:sz="8" w:space="0" w:color="auto"/>
              <w:bottom w:val="single" w:sz="6" w:space="0" w:color="auto"/>
              <w:right w:val="single" w:sz="6" w:space="0" w:color="auto"/>
            </w:tcBorders>
          </w:tcPr>
          <w:p w14:paraId="72C39D16" w14:textId="198BEDBD" w:rsidR="00C438EA" w:rsidRPr="00C438EA" w:rsidRDefault="00C438EA" w:rsidP="00C438EA">
            <w:pPr>
              <w:widowControl w:val="0"/>
              <w:tabs>
                <w:tab w:val="left" w:pos="0"/>
                <w:tab w:val="left" w:pos="709"/>
                <w:tab w:val="left" w:pos="5245"/>
                <w:tab w:val="left" w:pos="5529"/>
                <w:tab w:val="left" w:pos="6096"/>
                <w:tab w:val="left" w:pos="6521"/>
                <w:tab w:val="left" w:pos="6804"/>
                <w:tab w:val="left" w:pos="8222"/>
              </w:tabs>
              <w:spacing w:before="0" w:after="120" w:line="240" w:lineRule="auto"/>
              <w:jc w:val="both"/>
              <w:rPr>
                <w:rFonts w:eastAsia="Calibri" w:cs="Arial"/>
                <w:color w:val="auto"/>
                <w:sz w:val="18"/>
                <w:szCs w:val="18"/>
                <w:lang w:eastAsia="x-none"/>
              </w:rPr>
            </w:pPr>
            <w:r w:rsidRPr="00C438EA">
              <w:rPr>
                <w:rFonts w:eastAsia="Calibri" w:cs="Arial"/>
                <w:color w:val="auto"/>
                <w:sz w:val="18"/>
                <w:szCs w:val="18"/>
                <w:lang w:eastAsia="x-none"/>
              </w:rPr>
              <w:t xml:space="preserve">Réaliser deux forages sur des sites à identifies notamment au niveau des exutoires </w:t>
            </w:r>
          </w:p>
        </w:tc>
        <w:tc>
          <w:tcPr>
            <w:tcW w:w="916" w:type="pct"/>
            <w:tcBorders>
              <w:top w:val="single" w:sz="6" w:space="0" w:color="auto"/>
              <w:left w:val="single" w:sz="6" w:space="0" w:color="auto"/>
              <w:bottom w:val="single" w:sz="6" w:space="0" w:color="auto"/>
              <w:right w:val="single" w:sz="6" w:space="0" w:color="auto"/>
            </w:tcBorders>
          </w:tcPr>
          <w:p w14:paraId="556E42FC" w14:textId="525E028E" w:rsidR="00C438EA" w:rsidRPr="00A9330B" w:rsidRDefault="00C438EA" w:rsidP="00C438EA">
            <w:pPr>
              <w:widowControl w:val="0"/>
              <w:spacing w:before="60" w:line="240" w:lineRule="auto"/>
              <w:rPr>
                <w:rFonts w:eastAsia="Calibri" w:cs="Arial"/>
                <w:color w:val="auto"/>
                <w:sz w:val="18"/>
                <w:szCs w:val="18"/>
              </w:rPr>
            </w:pPr>
            <w:r>
              <w:rPr>
                <w:rFonts w:eastAsia="Calibri" w:cs="Arial"/>
                <w:color w:val="auto"/>
                <w:sz w:val="18"/>
                <w:szCs w:val="18"/>
              </w:rPr>
              <w:t xml:space="preserve">Forages réalisés et fonctionnels </w:t>
            </w:r>
          </w:p>
        </w:tc>
        <w:tc>
          <w:tcPr>
            <w:tcW w:w="637" w:type="pct"/>
            <w:tcBorders>
              <w:top w:val="single" w:sz="6" w:space="0" w:color="auto"/>
              <w:left w:val="single" w:sz="6" w:space="0" w:color="auto"/>
              <w:bottom w:val="single" w:sz="6" w:space="0" w:color="auto"/>
              <w:right w:val="single" w:sz="6" w:space="0" w:color="auto"/>
            </w:tcBorders>
          </w:tcPr>
          <w:p w14:paraId="020CB044" w14:textId="75646279" w:rsidR="00C438EA" w:rsidRPr="00A9330B" w:rsidRDefault="00C438EA" w:rsidP="00C438EA">
            <w:pPr>
              <w:widowControl w:val="0"/>
              <w:spacing w:before="60" w:line="240" w:lineRule="auto"/>
              <w:jc w:val="center"/>
              <w:rPr>
                <w:rFonts w:eastAsia="Calibri" w:cs="Arial"/>
                <w:color w:val="auto"/>
                <w:sz w:val="18"/>
                <w:szCs w:val="18"/>
              </w:rPr>
            </w:pPr>
            <w:r w:rsidRPr="0014648E">
              <w:rPr>
                <w:rFonts w:eastAsia="Calibri" w:cs="Arial"/>
                <w:color w:val="auto"/>
                <w:sz w:val="18"/>
                <w:szCs w:val="18"/>
              </w:rPr>
              <w:t>Pendant les travaux</w:t>
            </w:r>
          </w:p>
        </w:tc>
        <w:tc>
          <w:tcPr>
            <w:tcW w:w="657" w:type="pct"/>
            <w:tcBorders>
              <w:top w:val="single" w:sz="6" w:space="0" w:color="auto"/>
              <w:left w:val="single" w:sz="6" w:space="0" w:color="auto"/>
              <w:bottom w:val="single" w:sz="6" w:space="0" w:color="auto"/>
              <w:right w:val="single" w:sz="6" w:space="0" w:color="auto"/>
            </w:tcBorders>
          </w:tcPr>
          <w:p w14:paraId="17597C83" w14:textId="77777777" w:rsidR="00C438EA" w:rsidRPr="00A9330B" w:rsidRDefault="00C438EA" w:rsidP="00C438EA">
            <w:pPr>
              <w:widowControl w:val="0"/>
              <w:spacing w:before="60" w:line="240" w:lineRule="auto"/>
              <w:jc w:val="center"/>
              <w:rPr>
                <w:rFonts w:eastAsia="Calibri" w:cs="Arial"/>
                <w:color w:val="auto"/>
                <w:sz w:val="18"/>
                <w:szCs w:val="18"/>
              </w:rPr>
            </w:pPr>
            <w:r w:rsidRPr="00A9330B">
              <w:rPr>
                <w:rFonts w:eastAsia="Calibri" w:cs="Arial"/>
                <w:color w:val="auto"/>
                <w:sz w:val="18"/>
                <w:szCs w:val="18"/>
              </w:rPr>
              <w:t>MDC</w:t>
            </w:r>
          </w:p>
          <w:p w14:paraId="3BD2D7B3" w14:textId="5F0A61E4" w:rsidR="00C438EA" w:rsidRPr="00A9330B" w:rsidRDefault="00C438EA" w:rsidP="00C438EA">
            <w:pPr>
              <w:widowControl w:val="0"/>
              <w:spacing w:before="60" w:line="240" w:lineRule="auto"/>
              <w:jc w:val="center"/>
              <w:rPr>
                <w:rFonts w:eastAsia="Calibri" w:cs="Arial"/>
                <w:color w:val="auto"/>
                <w:sz w:val="18"/>
                <w:szCs w:val="18"/>
              </w:rPr>
            </w:pPr>
            <w:r w:rsidRPr="00A9330B">
              <w:rPr>
                <w:rFonts w:eastAsia="Calibri" w:cs="Arial"/>
                <w:color w:val="auto"/>
                <w:sz w:val="18"/>
                <w:szCs w:val="18"/>
              </w:rPr>
              <w:t>Entreprise chargée des travaux</w:t>
            </w:r>
          </w:p>
        </w:tc>
        <w:tc>
          <w:tcPr>
            <w:tcW w:w="897" w:type="pct"/>
            <w:tcBorders>
              <w:top w:val="single" w:sz="6" w:space="0" w:color="auto"/>
              <w:left w:val="single" w:sz="6" w:space="0" w:color="auto"/>
              <w:bottom w:val="single" w:sz="6" w:space="0" w:color="auto"/>
              <w:right w:val="single" w:sz="8" w:space="0" w:color="auto"/>
            </w:tcBorders>
          </w:tcPr>
          <w:p w14:paraId="2C5A506E" w14:textId="77777777" w:rsidR="00C438EA" w:rsidRPr="00A9330B" w:rsidRDefault="00C438EA" w:rsidP="00C438EA">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t>Mairie de Natitingou (Services Techniques)</w:t>
            </w:r>
          </w:p>
          <w:p w14:paraId="22A9D44F" w14:textId="1FCC5551" w:rsidR="00C438EA" w:rsidRPr="00A9330B" w:rsidRDefault="00C438EA" w:rsidP="00C438EA">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t>DDCVDD-AD</w:t>
            </w:r>
          </w:p>
        </w:tc>
        <w:tc>
          <w:tcPr>
            <w:tcW w:w="897" w:type="pct"/>
            <w:tcBorders>
              <w:top w:val="single" w:sz="6" w:space="0" w:color="auto"/>
              <w:left w:val="single" w:sz="6" w:space="0" w:color="auto"/>
              <w:bottom w:val="single" w:sz="6" w:space="0" w:color="auto"/>
              <w:right w:val="single" w:sz="8" w:space="0" w:color="auto"/>
            </w:tcBorders>
          </w:tcPr>
          <w:p w14:paraId="6842A2DA" w14:textId="08871E8D" w:rsidR="00C438EA" w:rsidRPr="00A9330B" w:rsidRDefault="00C438EA" w:rsidP="00CB4E93">
            <w:pPr>
              <w:widowControl w:val="0"/>
              <w:autoSpaceDE w:val="0"/>
              <w:autoSpaceDN w:val="0"/>
              <w:adjustRightInd w:val="0"/>
              <w:spacing w:before="60" w:line="240" w:lineRule="auto"/>
              <w:jc w:val="right"/>
              <w:rPr>
                <w:rFonts w:eastAsia="Calibri" w:cs="Arial"/>
                <w:color w:val="auto"/>
                <w:sz w:val="18"/>
                <w:szCs w:val="18"/>
              </w:rPr>
            </w:pPr>
            <w:r>
              <w:rPr>
                <w:rFonts w:eastAsia="Calibri" w:cs="Arial"/>
                <w:color w:val="auto"/>
                <w:sz w:val="18"/>
                <w:szCs w:val="18"/>
              </w:rPr>
              <w:t xml:space="preserve">40 000 000 </w:t>
            </w:r>
          </w:p>
        </w:tc>
      </w:tr>
      <w:tr w:rsidR="00C438EA" w:rsidRPr="00A9330B" w14:paraId="3459A4AF" w14:textId="77777777" w:rsidTr="00C438EA">
        <w:trPr>
          <w:trHeight w:val="947"/>
        </w:trPr>
        <w:tc>
          <w:tcPr>
            <w:tcW w:w="996" w:type="pct"/>
            <w:tcBorders>
              <w:top w:val="single" w:sz="6" w:space="0" w:color="auto"/>
              <w:left w:val="single" w:sz="8" w:space="0" w:color="auto"/>
              <w:bottom w:val="single" w:sz="6" w:space="0" w:color="auto"/>
              <w:right w:val="single" w:sz="6" w:space="0" w:color="auto"/>
            </w:tcBorders>
          </w:tcPr>
          <w:p w14:paraId="32DA1424" w14:textId="296C4031" w:rsidR="00C438EA" w:rsidRPr="00C438EA" w:rsidRDefault="00C438EA" w:rsidP="00C438EA">
            <w:pPr>
              <w:widowControl w:val="0"/>
              <w:tabs>
                <w:tab w:val="left" w:pos="0"/>
                <w:tab w:val="left" w:pos="709"/>
                <w:tab w:val="left" w:pos="5245"/>
                <w:tab w:val="left" w:pos="5529"/>
                <w:tab w:val="left" w:pos="6096"/>
                <w:tab w:val="left" w:pos="6521"/>
                <w:tab w:val="left" w:pos="6804"/>
                <w:tab w:val="left" w:pos="8222"/>
              </w:tabs>
              <w:spacing w:before="0" w:after="120" w:line="240" w:lineRule="auto"/>
              <w:jc w:val="both"/>
              <w:rPr>
                <w:rFonts w:eastAsia="Calibri" w:cs="Arial"/>
                <w:color w:val="auto"/>
                <w:sz w:val="18"/>
                <w:szCs w:val="18"/>
                <w:lang w:eastAsia="x-none"/>
              </w:rPr>
            </w:pPr>
            <w:r w:rsidRPr="00C438EA">
              <w:rPr>
                <w:rFonts w:eastAsia="Calibri" w:cs="Arial"/>
                <w:color w:val="auto"/>
                <w:sz w:val="18"/>
                <w:szCs w:val="18"/>
                <w:lang w:eastAsia="x-none"/>
              </w:rPr>
              <w:lastRenderedPageBreak/>
              <w:t xml:space="preserve">Construire 04 centres de regroupement de déchets pour la ville </w:t>
            </w:r>
          </w:p>
        </w:tc>
        <w:tc>
          <w:tcPr>
            <w:tcW w:w="916" w:type="pct"/>
            <w:tcBorders>
              <w:top w:val="single" w:sz="6" w:space="0" w:color="auto"/>
              <w:left w:val="single" w:sz="6" w:space="0" w:color="auto"/>
              <w:bottom w:val="single" w:sz="6" w:space="0" w:color="auto"/>
              <w:right w:val="single" w:sz="6" w:space="0" w:color="auto"/>
            </w:tcBorders>
          </w:tcPr>
          <w:p w14:paraId="73436E3C" w14:textId="6903410D" w:rsidR="00C438EA" w:rsidRPr="00A9330B" w:rsidRDefault="00C438EA" w:rsidP="00C438EA">
            <w:pPr>
              <w:widowControl w:val="0"/>
              <w:spacing w:before="60" w:line="240" w:lineRule="auto"/>
              <w:rPr>
                <w:rFonts w:eastAsia="Calibri" w:cs="Arial"/>
                <w:color w:val="auto"/>
                <w:sz w:val="18"/>
                <w:szCs w:val="18"/>
              </w:rPr>
            </w:pPr>
            <w:r>
              <w:rPr>
                <w:rFonts w:eastAsia="Calibri" w:cs="Arial"/>
                <w:color w:val="auto"/>
                <w:sz w:val="18"/>
                <w:szCs w:val="18"/>
              </w:rPr>
              <w:t xml:space="preserve">Points de regroupement de déchets réalisés et fonctionnels </w:t>
            </w:r>
          </w:p>
        </w:tc>
        <w:tc>
          <w:tcPr>
            <w:tcW w:w="637" w:type="pct"/>
            <w:tcBorders>
              <w:top w:val="single" w:sz="6" w:space="0" w:color="auto"/>
              <w:left w:val="single" w:sz="6" w:space="0" w:color="auto"/>
              <w:bottom w:val="single" w:sz="6" w:space="0" w:color="auto"/>
              <w:right w:val="single" w:sz="6" w:space="0" w:color="auto"/>
            </w:tcBorders>
          </w:tcPr>
          <w:p w14:paraId="7CE8E6BC" w14:textId="2722C3BB" w:rsidR="00C438EA" w:rsidRPr="00A9330B" w:rsidRDefault="00C438EA" w:rsidP="00C438EA">
            <w:pPr>
              <w:widowControl w:val="0"/>
              <w:spacing w:before="60" w:line="240" w:lineRule="auto"/>
              <w:jc w:val="center"/>
              <w:rPr>
                <w:rFonts w:eastAsia="Calibri" w:cs="Arial"/>
                <w:color w:val="auto"/>
                <w:sz w:val="18"/>
                <w:szCs w:val="18"/>
              </w:rPr>
            </w:pPr>
            <w:r w:rsidRPr="0014648E">
              <w:rPr>
                <w:rFonts w:eastAsia="Calibri" w:cs="Arial"/>
                <w:color w:val="auto"/>
                <w:sz w:val="18"/>
                <w:szCs w:val="18"/>
              </w:rPr>
              <w:t>Pendant les travaux</w:t>
            </w:r>
          </w:p>
        </w:tc>
        <w:tc>
          <w:tcPr>
            <w:tcW w:w="657" w:type="pct"/>
            <w:tcBorders>
              <w:top w:val="single" w:sz="6" w:space="0" w:color="auto"/>
              <w:left w:val="single" w:sz="6" w:space="0" w:color="auto"/>
              <w:bottom w:val="single" w:sz="6" w:space="0" w:color="auto"/>
              <w:right w:val="single" w:sz="6" w:space="0" w:color="auto"/>
            </w:tcBorders>
          </w:tcPr>
          <w:p w14:paraId="7CF1D798" w14:textId="77777777" w:rsidR="00C438EA" w:rsidRPr="00A9330B" w:rsidRDefault="00C438EA" w:rsidP="00C438EA">
            <w:pPr>
              <w:widowControl w:val="0"/>
              <w:spacing w:before="60" w:line="240" w:lineRule="auto"/>
              <w:jc w:val="center"/>
              <w:rPr>
                <w:rFonts w:eastAsia="Calibri" w:cs="Arial"/>
                <w:color w:val="auto"/>
                <w:sz w:val="18"/>
                <w:szCs w:val="18"/>
              </w:rPr>
            </w:pPr>
            <w:r w:rsidRPr="00A9330B">
              <w:rPr>
                <w:rFonts w:eastAsia="Calibri" w:cs="Arial"/>
                <w:color w:val="auto"/>
                <w:sz w:val="18"/>
                <w:szCs w:val="18"/>
              </w:rPr>
              <w:t>MDC</w:t>
            </w:r>
          </w:p>
          <w:p w14:paraId="0DE8ACB7" w14:textId="64E8D3E2" w:rsidR="00C438EA" w:rsidRPr="00A9330B" w:rsidRDefault="00C438EA" w:rsidP="00C438EA">
            <w:pPr>
              <w:widowControl w:val="0"/>
              <w:spacing w:before="60" w:line="240" w:lineRule="auto"/>
              <w:jc w:val="center"/>
              <w:rPr>
                <w:rFonts w:eastAsia="Calibri" w:cs="Arial"/>
                <w:color w:val="auto"/>
                <w:sz w:val="18"/>
                <w:szCs w:val="18"/>
              </w:rPr>
            </w:pPr>
            <w:r w:rsidRPr="00A9330B">
              <w:rPr>
                <w:rFonts w:eastAsia="Calibri" w:cs="Arial"/>
                <w:color w:val="auto"/>
                <w:sz w:val="18"/>
                <w:szCs w:val="18"/>
              </w:rPr>
              <w:t>Entreprise chargée des travaux</w:t>
            </w:r>
          </w:p>
        </w:tc>
        <w:tc>
          <w:tcPr>
            <w:tcW w:w="897" w:type="pct"/>
            <w:tcBorders>
              <w:top w:val="single" w:sz="6" w:space="0" w:color="auto"/>
              <w:left w:val="single" w:sz="6" w:space="0" w:color="auto"/>
              <w:bottom w:val="single" w:sz="6" w:space="0" w:color="auto"/>
              <w:right w:val="single" w:sz="8" w:space="0" w:color="auto"/>
            </w:tcBorders>
          </w:tcPr>
          <w:p w14:paraId="53157412" w14:textId="77777777" w:rsidR="00C438EA" w:rsidRPr="00A9330B" w:rsidRDefault="00C438EA" w:rsidP="00C438EA">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t>Mairie de Natitingou (Services Techniques)</w:t>
            </w:r>
          </w:p>
          <w:p w14:paraId="3236AA0B" w14:textId="7912B0C0" w:rsidR="00C438EA" w:rsidRPr="00A9330B" w:rsidRDefault="00C438EA" w:rsidP="00C438EA">
            <w:pPr>
              <w:widowControl w:val="0"/>
              <w:autoSpaceDE w:val="0"/>
              <w:autoSpaceDN w:val="0"/>
              <w:adjustRightInd w:val="0"/>
              <w:spacing w:before="60" w:line="240" w:lineRule="auto"/>
              <w:rPr>
                <w:rFonts w:eastAsia="Calibri" w:cs="Arial"/>
                <w:color w:val="auto"/>
                <w:sz w:val="18"/>
                <w:szCs w:val="18"/>
              </w:rPr>
            </w:pPr>
            <w:r w:rsidRPr="00A9330B">
              <w:rPr>
                <w:rFonts w:eastAsia="Calibri" w:cs="Arial"/>
                <w:color w:val="auto"/>
                <w:sz w:val="18"/>
                <w:szCs w:val="18"/>
              </w:rPr>
              <w:t>DDCVDD-AD</w:t>
            </w:r>
          </w:p>
        </w:tc>
        <w:tc>
          <w:tcPr>
            <w:tcW w:w="897" w:type="pct"/>
            <w:tcBorders>
              <w:top w:val="single" w:sz="6" w:space="0" w:color="auto"/>
              <w:left w:val="single" w:sz="6" w:space="0" w:color="auto"/>
              <w:bottom w:val="single" w:sz="6" w:space="0" w:color="auto"/>
              <w:right w:val="single" w:sz="8" w:space="0" w:color="auto"/>
            </w:tcBorders>
          </w:tcPr>
          <w:p w14:paraId="76263F5C" w14:textId="11A67E3F" w:rsidR="00C438EA" w:rsidRPr="00A9330B" w:rsidRDefault="00C438EA" w:rsidP="00CB4E93">
            <w:pPr>
              <w:widowControl w:val="0"/>
              <w:autoSpaceDE w:val="0"/>
              <w:autoSpaceDN w:val="0"/>
              <w:adjustRightInd w:val="0"/>
              <w:spacing w:before="60" w:line="240" w:lineRule="auto"/>
              <w:jc w:val="right"/>
              <w:rPr>
                <w:rFonts w:eastAsia="Calibri" w:cs="Arial"/>
                <w:color w:val="auto"/>
                <w:sz w:val="18"/>
                <w:szCs w:val="18"/>
              </w:rPr>
            </w:pPr>
            <w:r>
              <w:rPr>
                <w:rFonts w:eastAsia="Calibri" w:cs="Arial"/>
                <w:color w:val="auto"/>
                <w:sz w:val="18"/>
                <w:szCs w:val="18"/>
              </w:rPr>
              <w:t xml:space="preserve">300 000 000 </w:t>
            </w:r>
          </w:p>
        </w:tc>
      </w:tr>
      <w:tr w:rsidR="00606E97" w:rsidRPr="00A9330B" w14:paraId="2866DA23" w14:textId="77777777" w:rsidTr="006C383B">
        <w:trPr>
          <w:trHeight w:val="839"/>
        </w:trPr>
        <w:tc>
          <w:tcPr>
            <w:tcW w:w="996" w:type="pct"/>
            <w:tcBorders>
              <w:top w:val="single" w:sz="6" w:space="0" w:color="auto"/>
              <w:left w:val="single" w:sz="8" w:space="0" w:color="auto"/>
              <w:bottom w:val="single" w:sz="6" w:space="0" w:color="auto"/>
              <w:right w:val="single" w:sz="6" w:space="0" w:color="auto"/>
            </w:tcBorders>
          </w:tcPr>
          <w:p w14:paraId="257D2D73" w14:textId="33A09A19" w:rsidR="00606E97" w:rsidRPr="00A9330B" w:rsidRDefault="00606E97" w:rsidP="00606E97">
            <w:pPr>
              <w:widowControl w:val="0"/>
              <w:spacing w:before="60" w:line="240" w:lineRule="auto"/>
              <w:rPr>
                <w:rFonts w:eastAsia="Calibri" w:cs="Arial"/>
                <w:color w:val="auto"/>
                <w:sz w:val="18"/>
                <w:szCs w:val="18"/>
              </w:rPr>
            </w:pPr>
            <w:r w:rsidRPr="00A9330B">
              <w:rPr>
                <w:rFonts w:eastAsia="Calibri" w:cs="Arial"/>
                <w:sz w:val="18"/>
                <w:szCs w:val="18"/>
              </w:rPr>
              <w:t xml:space="preserve">Réaliser un suivi périodique du PGES et audit externe du PGES </w:t>
            </w:r>
          </w:p>
        </w:tc>
        <w:tc>
          <w:tcPr>
            <w:tcW w:w="916" w:type="pct"/>
            <w:tcBorders>
              <w:top w:val="single" w:sz="6" w:space="0" w:color="auto"/>
              <w:left w:val="single" w:sz="6" w:space="0" w:color="auto"/>
              <w:bottom w:val="single" w:sz="6" w:space="0" w:color="auto"/>
              <w:right w:val="single" w:sz="6" w:space="0" w:color="auto"/>
            </w:tcBorders>
          </w:tcPr>
          <w:p w14:paraId="33448B26" w14:textId="77777777" w:rsidR="00606E97" w:rsidRPr="00A9330B" w:rsidRDefault="00606E97" w:rsidP="00606E97">
            <w:pPr>
              <w:widowControl w:val="0"/>
              <w:spacing w:before="40" w:line="240" w:lineRule="auto"/>
              <w:rPr>
                <w:rFonts w:eastAsia="Calibri" w:cs="Arial"/>
                <w:sz w:val="18"/>
                <w:szCs w:val="18"/>
              </w:rPr>
            </w:pPr>
            <w:r w:rsidRPr="00A9330B">
              <w:rPr>
                <w:rFonts w:eastAsia="Calibri" w:cs="Arial"/>
                <w:sz w:val="18"/>
                <w:szCs w:val="18"/>
              </w:rPr>
              <w:t xml:space="preserve">Existence de rapport de suivi </w:t>
            </w:r>
          </w:p>
          <w:p w14:paraId="4E455D02" w14:textId="679AF104" w:rsidR="00606E97" w:rsidRPr="00A9330B" w:rsidRDefault="00606E97" w:rsidP="00606E97">
            <w:pPr>
              <w:widowControl w:val="0"/>
              <w:spacing w:before="60" w:line="240" w:lineRule="auto"/>
              <w:rPr>
                <w:rFonts w:eastAsia="Calibri" w:cs="Arial"/>
                <w:color w:val="auto"/>
                <w:sz w:val="18"/>
                <w:szCs w:val="18"/>
              </w:rPr>
            </w:pPr>
            <w:r w:rsidRPr="00A9330B">
              <w:rPr>
                <w:rFonts w:eastAsia="Calibri" w:cs="Arial"/>
                <w:sz w:val="18"/>
                <w:szCs w:val="18"/>
              </w:rPr>
              <w:t xml:space="preserve">Existence de rapport d’audit </w:t>
            </w:r>
          </w:p>
        </w:tc>
        <w:tc>
          <w:tcPr>
            <w:tcW w:w="637" w:type="pct"/>
            <w:tcBorders>
              <w:top w:val="single" w:sz="6" w:space="0" w:color="auto"/>
              <w:left w:val="single" w:sz="6" w:space="0" w:color="auto"/>
              <w:bottom w:val="single" w:sz="6" w:space="0" w:color="auto"/>
              <w:right w:val="single" w:sz="6" w:space="0" w:color="auto"/>
            </w:tcBorders>
          </w:tcPr>
          <w:p w14:paraId="560DF376" w14:textId="3E1D19D8" w:rsidR="00606E97" w:rsidRPr="00A9330B" w:rsidRDefault="00606E97" w:rsidP="00606E97">
            <w:pPr>
              <w:widowControl w:val="0"/>
              <w:spacing w:before="60" w:line="240" w:lineRule="auto"/>
              <w:jc w:val="center"/>
              <w:rPr>
                <w:rFonts w:eastAsia="Calibri" w:cs="Arial"/>
                <w:color w:val="auto"/>
                <w:sz w:val="18"/>
                <w:szCs w:val="18"/>
              </w:rPr>
            </w:pPr>
            <w:r w:rsidRPr="00A9330B">
              <w:rPr>
                <w:rFonts w:eastAsia="Calibri" w:cs="Arial"/>
                <w:sz w:val="18"/>
                <w:szCs w:val="18"/>
              </w:rPr>
              <w:t>Pendant la phase d’exploitation</w:t>
            </w:r>
          </w:p>
        </w:tc>
        <w:tc>
          <w:tcPr>
            <w:tcW w:w="657" w:type="pct"/>
            <w:tcBorders>
              <w:top w:val="single" w:sz="6" w:space="0" w:color="auto"/>
              <w:left w:val="single" w:sz="6" w:space="0" w:color="auto"/>
              <w:bottom w:val="single" w:sz="6" w:space="0" w:color="auto"/>
              <w:right w:val="single" w:sz="6" w:space="0" w:color="auto"/>
            </w:tcBorders>
          </w:tcPr>
          <w:p w14:paraId="7D7542D0" w14:textId="77777777" w:rsidR="00606E97" w:rsidRPr="00A9330B" w:rsidRDefault="00606E97" w:rsidP="00606E97">
            <w:pPr>
              <w:widowControl w:val="0"/>
              <w:spacing w:before="40" w:line="240" w:lineRule="auto"/>
              <w:jc w:val="center"/>
              <w:rPr>
                <w:rFonts w:eastAsia="Calibri" w:cs="Arial"/>
                <w:sz w:val="18"/>
                <w:szCs w:val="18"/>
              </w:rPr>
            </w:pPr>
            <w:r w:rsidRPr="00A9330B">
              <w:rPr>
                <w:rFonts w:eastAsia="Calibri" w:cs="Arial"/>
                <w:sz w:val="18"/>
                <w:szCs w:val="18"/>
              </w:rPr>
              <w:t>DDCVDD</w:t>
            </w:r>
          </w:p>
          <w:p w14:paraId="7041D89F" w14:textId="1691337B" w:rsidR="00606E97" w:rsidRPr="00A9330B" w:rsidRDefault="00606E97" w:rsidP="00606E97">
            <w:pPr>
              <w:widowControl w:val="0"/>
              <w:spacing w:before="60" w:line="240" w:lineRule="auto"/>
              <w:jc w:val="center"/>
              <w:rPr>
                <w:rFonts w:eastAsia="Calibri" w:cs="Arial"/>
                <w:color w:val="auto"/>
                <w:sz w:val="18"/>
                <w:szCs w:val="18"/>
              </w:rPr>
            </w:pPr>
            <w:r w:rsidRPr="00A9330B">
              <w:rPr>
                <w:rFonts w:eastAsia="Calibri" w:cs="Arial"/>
                <w:sz w:val="18"/>
                <w:szCs w:val="18"/>
              </w:rPr>
              <w:t xml:space="preserve">Consultant </w:t>
            </w:r>
          </w:p>
        </w:tc>
        <w:tc>
          <w:tcPr>
            <w:tcW w:w="897" w:type="pct"/>
            <w:tcBorders>
              <w:top w:val="single" w:sz="6" w:space="0" w:color="auto"/>
              <w:left w:val="single" w:sz="6" w:space="0" w:color="auto"/>
              <w:bottom w:val="single" w:sz="6" w:space="0" w:color="auto"/>
              <w:right w:val="single" w:sz="8" w:space="0" w:color="auto"/>
            </w:tcBorders>
          </w:tcPr>
          <w:p w14:paraId="5B70AA5B" w14:textId="77777777" w:rsidR="00606E97" w:rsidRPr="00A9330B" w:rsidRDefault="00606E97" w:rsidP="00606E97">
            <w:pPr>
              <w:widowControl w:val="0"/>
              <w:autoSpaceDE w:val="0"/>
              <w:autoSpaceDN w:val="0"/>
              <w:adjustRightInd w:val="0"/>
              <w:spacing w:before="40" w:line="240" w:lineRule="auto"/>
              <w:rPr>
                <w:rFonts w:eastAsia="Calibri" w:cs="Arial"/>
                <w:sz w:val="18"/>
                <w:szCs w:val="18"/>
              </w:rPr>
            </w:pPr>
            <w:r w:rsidRPr="00A9330B">
              <w:rPr>
                <w:rFonts w:eastAsia="Calibri" w:cs="Arial"/>
                <w:sz w:val="18"/>
                <w:szCs w:val="18"/>
              </w:rPr>
              <w:t>ABE</w:t>
            </w:r>
          </w:p>
          <w:p w14:paraId="2920350A" w14:textId="0C445980" w:rsidR="00606E97" w:rsidRPr="00A9330B" w:rsidRDefault="00606E97" w:rsidP="00606E97">
            <w:pPr>
              <w:widowControl w:val="0"/>
              <w:autoSpaceDE w:val="0"/>
              <w:autoSpaceDN w:val="0"/>
              <w:adjustRightInd w:val="0"/>
              <w:spacing w:before="60" w:line="240" w:lineRule="auto"/>
              <w:rPr>
                <w:rFonts w:eastAsia="Calibri" w:cs="Arial"/>
                <w:color w:val="auto"/>
                <w:sz w:val="18"/>
                <w:szCs w:val="18"/>
              </w:rPr>
            </w:pPr>
            <w:r w:rsidRPr="00A9330B">
              <w:rPr>
                <w:rFonts w:eastAsia="Calibri" w:cs="Arial"/>
                <w:sz w:val="18"/>
                <w:szCs w:val="18"/>
              </w:rPr>
              <w:t xml:space="preserve">ACVDT </w:t>
            </w:r>
          </w:p>
        </w:tc>
        <w:tc>
          <w:tcPr>
            <w:tcW w:w="897" w:type="pct"/>
            <w:tcBorders>
              <w:top w:val="single" w:sz="6" w:space="0" w:color="auto"/>
              <w:left w:val="single" w:sz="6" w:space="0" w:color="auto"/>
              <w:bottom w:val="single" w:sz="6" w:space="0" w:color="auto"/>
              <w:right w:val="single" w:sz="8" w:space="0" w:color="auto"/>
            </w:tcBorders>
          </w:tcPr>
          <w:p w14:paraId="352A4151" w14:textId="77777777" w:rsidR="00606E97" w:rsidRPr="00A9330B" w:rsidRDefault="00606E97" w:rsidP="00606E97">
            <w:pPr>
              <w:widowControl w:val="0"/>
              <w:autoSpaceDE w:val="0"/>
              <w:autoSpaceDN w:val="0"/>
              <w:adjustRightInd w:val="0"/>
              <w:spacing w:before="40" w:line="240" w:lineRule="auto"/>
              <w:rPr>
                <w:rFonts w:eastAsia="Calibri" w:cs="Arial"/>
                <w:sz w:val="18"/>
                <w:szCs w:val="18"/>
              </w:rPr>
            </w:pPr>
            <w:r w:rsidRPr="00A9330B">
              <w:rPr>
                <w:rFonts w:eastAsia="Calibri" w:cs="Arial"/>
                <w:sz w:val="18"/>
                <w:szCs w:val="18"/>
              </w:rPr>
              <w:t>02 suivi   10 000 0000</w:t>
            </w:r>
          </w:p>
          <w:p w14:paraId="311894A5" w14:textId="77777777" w:rsidR="00606E97" w:rsidRPr="00A9330B" w:rsidRDefault="00606E97" w:rsidP="00606E97">
            <w:pPr>
              <w:widowControl w:val="0"/>
              <w:autoSpaceDE w:val="0"/>
              <w:autoSpaceDN w:val="0"/>
              <w:adjustRightInd w:val="0"/>
              <w:spacing w:before="40" w:line="240" w:lineRule="auto"/>
              <w:rPr>
                <w:rFonts w:eastAsia="Calibri" w:cs="Arial"/>
                <w:sz w:val="18"/>
                <w:szCs w:val="18"/>
              </w:rPr>
            </w:pPr>
            <w:r w:rsidRPr="00A9330B">
              <w:rPr>
                <w:rFonts w:eastAsia="Calibri" w:cs="Arial"/>
                <w:sz w:val="18"/>
                <w:szCs w:val="18"/>
              </w:rPr>
              <w:t>01 audit   5 000 000</w:t>
            </w:r>
          </w:p>
          <w:p w14:paraId="170B5E14" w14:textId="77777777" w:rsidR="00606E97" w:rsidRPr="00A9330B" w:rsidRDefault="00606E97" w:rsidP="00606E97">
            <w:pPr>
              <w:widowControl w:val="0"/>
              <w:autoSpaceDE w:val="0"/>
              <w:autoSpaceDN w:val="0"/>
              <w:adjustRightInd w:val="0"/>
              <w:spacing w:before="40" w:line="240" w:lineRule="auto"/>
              <w:rPr>
                <w:rFonts w:eastAsia="Calibri" w:cs="Arial"/>
                <w:sz w:val="18"/>
                <w:szCs w:val="18"/>
              </w:rPr>
            </w:pPr>
            <w:r w:rsidRPr="00A9330B">
              <w:rPr>
                <w:rFonts w:eastAsia="Calibri" w:cs="Arial"/>
                <w:sz w:val="18"/>
                <w:szCs w:val="18"/>
              </w:rPr>
              <w:t xml:space="preserve"> 01 audit de fin   10 000 000</w:t>
            </w:r>
          </w:p>
          <w:p w14:paraId="539F7C0D" w14:textId="2A24DA77" w:rsidR="00606E97" w:rsidRPr="00A9330B" w:rsidRDefault="00606E97" w:rsidP="00606E97">
            <w:pPr>
              <w:widowControl w:val="0"/>
              <w:autoSpaceDE w:val="0"/>
              <w:autoSpaceDN w:val="0"/>
              <w:adjustRightInd w:val="0"/>
              <w:spacing w:before="60" w:line="240" w:lineRule="auto"/>
              <w:rPr>
                <w:rFonts w:eastAsia="Calibri" w:cs="Arial"/>
                <w:color w:val="auto"/>
                <w:sz w:val="18"/>
                <w:szCs w:val="18"/>
              </w:rPr>
            </w:pPr>
            <w:r w:rsidRPr="00A9330B">
              <w:rPr>
                <w:rFonts w:eastAsia="Calibri" w:cs="Arial"/>
                <w:sz w:val="18"/>
                <w:szCs w:val="18"/>
              </w:rPr>
              <w:t>25000 0000 FCFA</w:t>
            </w:r>
          </w:p>
        </w:tc>
      </w:tr>
      <w:tr w:rsidR="00606E97" w:rsidRPr="00A9330B" w14:paraId="30567409" w14:textId="77777777" w:rsidTr="006C383B">
        <w:trPr>
          <w:trHeight w:val="839"/>
        </w:trPr>
        <w:tc>
          <w:tcPr>
            <w:tcW w:w="996" w:type="pct"/>
            <w:tcBorders>
              <w:top w:val="single" w:sz="6" w:space="0" w:color="auto"/>
              <w:left w:val="single" w:sz="8" w:space="0" w:color="auto"/>
              <w:bottom w:val="single" w:sz="6" w:space="0" w:color="auto"/>
              <w:right w:val="single" w:sz="6" w:space="0" w:color="auto"/>
            </w:tcBorders>
          </w:tcPr>
          <w:p w14:paraId="3EEA3115" w14:textId="62DDDFB8" w:rsidR="00606E97" w:rsidRPr="00A9330B" w:rsidRDefault="00606E97" w:rsidP="00606E97">
            <w:pPr>
              <w:widowControl w:val="0"/>
              <w:spacing w:before="60" w:line="240" w:lineRule="auto"/>
              <w:rPr>
                <w:rFonts w:eastAsia="Calibri" w:cs="Arial"/>
                <w:color w:val="auto"/>
                <w:sz w:val="18"/>
                <w:szCs w:val="18"/>
              </w:rPr>
            </w:pPr>
            <w:r w:rsidRPr="00A9330B">
              <w:rPr>
                <w:rFonts w:eastAsia="Calibri" w:cs="Arial"/>
                <w:sz w:val="18"/>
                <w:szCs w:val="18"/>
              </w:rPr>
              <w:t xml:space="preserve">TOTAL cout du PGES </w:t>
            </w:r>
          </w:p>
        </w:tc>
        <w:tc>
          <w:tcPr>
            <w:tcW w:w="916" w:type="pct"/>
            <w:tcBorders>
              <w:top w:val="single" w:sz="6" w:space="0" w:color="auto"/>
              <w:left w:val="single" w:sz="6" w:space="0" w:color="auto"/>
              <w:bottom w:val="single" w:sz="6" w:space="0" w:color="auto"/>
              <w:right w:val="single" w:sz="6" w:space="0" w:color="auto"/>
            </w:tcBorders>
          </w:tcPr>
          <w:p w14:paraId="3969D888" w14:textId="77777777" w:rsidR="00606E97" w:rsidRPr="00A9330B" w:rsidRDefault="00606E97" w:rsidP="00606E97">
            <w:pPr>
              <w:widowControl w:val="0"/>
              <w:spacing w:before="60" w:line="240" w:lineRule="auto"/>
              <w:rPr>
                <w:rFonts w:eastAsia="Calibri" w:cs="Arial"/>
                <w:color w:val="auto"/>
                <w:sz w:val="18"/>
                <w:szCs w:val="18"/>
              </w:rPr>
            </w:pPr>
          </w:p>
        </w:tc>
        <w:tc>
          <w:tcPr>
            <w:tcW w:w="637" w:type="pct"/>
            <w:tcBorders>
              <w:top w:val="single" w:sz="6" w:space="0" w:color="auto"/>
              <w:left w:val="single" w:sz="6" w:space="0" w:color="auto"/>
              <w:bottom w:val="single" w:sz="6" w:space="0" w:color="auto"/>
              <w:right w:val="single" w:sz="6" w:space="0" w:color="auto"/>
            </w:tcBorders>
          </w:tcPr>
          <w:p w14:paraId="2CA4B472" w14:textId="77777777" w:rsidR="00606E97" w:rsidRPr="00A9330B" w:rsidRDefault="00606E97" w:rsidP="00606E97">
            <w:pPr>
              <w:widowControl w:val="0"/>
              <w:spacing w:before="60" w:line="240" w:lineRule="auto"/>
              <w:jc w:val="center"/>
              <w:rPr>
                <w:rFonts w:eastAsia="Calibri" w:cs="Arial"/>
                <w:color w:val="auto"/>
                <w:sz w:val="18"/>
                <w:szCs w:val="18"/>
              </w:rPr>
            </w:pPr>
          </w:p>
        </w:tc>
        <w:tc>
          <w:tcPr>
            <w:tcW w:w="657" w:type="pct"/>
            <w:tcBorders>
              <w:top w:val="single" w:sz="6" w:space="0" w:color="auto"/>
              <w:left w:val="single" w:sz="6" w:space="0" w:color="auto"/>
              <w:bottom w:val="single" w:sz="6" w:space="0" w:color="auto"/>
              <w:right w:val="single" w:sz="6" w:space="0" w:color="auto"/>
            </w:tcBorders>
          </w:tcPr>
          <w:p w14:paraId="45AB477D" w14:textId="77777777" w:rsidR="00606E97" w:rsidRPr="00A9330B" w:rsidRDefault="00606E97" w:rsidP="00606E97">
            <w:pPr>
              <w:widowControl w:val="0"/>
              <w:spacing w:before="60" w:line="240" w:lineRule="auto"/>
              <w:jc w:val="center"/>
              <w:rPr>
                <w:rFonts w:eastAsia="Calibri" w:cs="Arial"/>
                <w:color w:val="auto"/>
                <w:sz w:val="18"/>
                <w:szCs w:val="18"/>
              </w:rPr>
            </w:pPr>
          </w:p>
        </w:tc>
        <w:tc>
          <w:tcPr>
            <w:tcW w:w="897" w:type="pct"/>
            <w:tcBorders>
              <w:top w:val="single" w:sz="6" w:space="0" w:color="auto"/>
              <w:left w:val="single" w:sz="6" w:space="0" w:color="auto"/>
              <w:bottom w:val="single" w:sz="6" w:space="0" w:color="auto"/>
              <w:right w:val="single" w:sz="8" w:space="0" w:color="auto"/>
            </w:tcBorders>
          </w:tcPr>
          <w:p w14:paraId="56E26A97" w14:textId="77777777" w:rsidR="00606E97" w:rsidRPr="00A9330B" w:rsidRDefault="00606E97" w:rsidP="00606E97">
            <w:pPr>
              <w:widowControl w:val="0"/>
              <w:autoSpaceDE w:val="0"/>
              <w:autoSpaceDN w:val="0"/>
              <w:adjustRightInd w:val="0"/>
              <w:spacing w:before="60" w:line="240" w:lineRule="auto"/>
              <w:rPr>
                <w:rFonts w:eastAsia="Calibri" w:cs="Arial"/>
                <w:color w:val="auto"/>
                <w:sz w:val="18"/>
                <w:szCs w:val="18"/>
              </w:rPr>
            </w:pPr>
          </w:p>
        </w:tc>
        <w:tc>
          <w:tcPr>
            <w:tcW w:w="897" w:type="pct"/>
            <w:tcBorders>
              <w:top w:val="single" w:sz="6" w:space="0" w:color="auto"/>
              <w:left w:val="single" w:sz="6" w:space="0" w:color="auto"/>
              <w:bottom w:val="single" w:sz="6" w:space="0" w:color="auto"/>
              <w:right w:val="single" w:sz="8" w:space="0" w:color="auto"/>
            </w:tcBorders>
          </w:tcPr>
          <w:p w14:paraId="74DC8389" w14:textId="77777777" w:rsidR="00606E97" w:rsidRPr="00A9330B" w:rsidRDefault="00606E97" w:rsidP="00606E97">
            <w:pPr>
              <w:widowControl w:val="0"/>
              <w:autoSpaceDE w:val="0"/>
              <w:autoSpaceDN w:val="0"/>
              <w:adjustRightInd w:val="0"/>
              <w:spacing w:before="40" w:line="240" w:lineRule="auto"/>
              <w:rPr>
                <w:rFonts w:eastAsia="Calibri" w:cs="Arial"/>
                <w:sz w:val="18"/>
                <w:szCs w:val="18"/>
              </w:rPr>
            </w:pPr>
          </w:p>
          <w:p w14:paraId="471FF713" w14:textId="38308ED9" w:rsidR="00606E97" w:rsidRPr="00A9330B" w:rsidRDefault="00CB4E93" w:rsidP="00606E97">
            <w:pPr>
              <w:widowControl w:val="0"/>
              <w:autoSpaceDE w:val="0"/>
              <w:autoSpaceDN w:val="0"/>
              <w:adjustRightInd w:val="0"/>
              <w:spacing w:before="60" w:line="240" w:lineRule="auto"/>
              <w:rPr>
                <w:rFonts w:eastAsia="Calibri" w:cs="Arial"/>
                <w:color w:val="auto"/>
                <w:sz w:val="18"/>
                <w:szCs w:val="18"/>
              </w:rPr>
            </w:pPr>
            <w:r>
              <w:rPr>
                <w:rFonts w:eastAsia="Calibri" w:cs="Arial"/>
                <w:b/>
                <w:sz w:val="24"/>
                <w:szCs w:val="24"/>
              </w:rPr>
              <w:t>576 320 000</w:t>
            </w:r>
            <w:r w:rsidR="00606E97" w:rsidRPr="00A9330B">
              <w:rPr>
                <w:rFonts w:eastAsia="Calibri" w:cs="Arial"/>
                <w:b/>
                <w:sz w:val="24"/>
                <w:szCs w:val="24"/>
              </w:rPr>
              <w:t xml:space="preserve"> F CFA </w:t>
            </w:r>
          </w:p>
        </w:tc>
      </w:tr>
    </w:tbl>
    <w:p w14:paraId="2EEBB29E" w14:textId="4D7AEF84" w:rsidR="00401546" w:rsidRPr="00A9330B" w:rsidRDefault="00401546" w:rsidP="00875E65">
      <w:pPr>
        <w:keepNext/>
        <w:spacing w:after="120" w:line="240" w:lineRule="auto"/>
        <w:jc w:val="center"/>
      </w:pPr>
    </w:p>
    <w:p w14:paraId="75E895AD" w14:textId="77777777" w:rsidR="00401546" w:rsidRPr="00A9330B" w:rsidRDefault="00401546" w:rsidP="00401546"/>
    <w:p w14:paraId="76C2FE2A" w14:textId="77777777" w:rsidR="008C1E90" w:rsidRPr="00A9330B" w:rsidRDefault="008C1E90">
      <w:pPr>
        <w:spacing w:before="0" w:after="160" w:line="259" w:lineRule="auto"/>
        <w:rPr>
          <w:rFonts w:eastAsia="Times New Roman" w:cs="Arial"/>
          <w:b/>
          <w:color w:val="000000"/>
          <w:sz w:val="20"/>
          <w:szCs w:val="20"/>
          <w:lang w:eastAsia="fr-FR"/>
        </w:rPr>
      </w:pPr>
      <w:bookmarkStart w:id="2125" w:name="_Toc43696270"/>
      <w:r w:rsidRPr="00A9330B">
        <w:rPr>
          <w:rFonts w:eastAsia="Times New Roman" w:cs="Arial"/>
          <w:b/>
          <w:color w:val="000000"/>
          <w:sz w:val="20"/>
          <w:szCs w:val="20"/>
          <w:lang w:eastAsia="fr-FR"/>
        </w:rPr>
        <w:br w:type="page"/>
      </w:r>
    </w:p>
    <w:p w14:paraId="319D75E3" w14:textId="10994207" w:rsidR="00401546" w:rsidRPr="00A9330B" w:rsidRDefault="00401546" w:rsidP="00401546">
      <w:pPr>
        <w:keepNext/>
        <w:spacing w:after="120" w:line="240" w:lineRule="auto"/>
        <w:jc w:val="center"/>
        <w:rPr>
          <w:rFonts w:eastAsia="Times New Roman" w:cs="Arial"/>
          <w:b/>
          <w:color w:val="000000"/>
          <w:sz w:val="20"/>
          <w:szCs w:val="20"/>
          <w:lang w:eastAsia="fr-FR"/>
        </w:rPr>
      </w:pPr>
      <w:bookmarkStart w:id="2126" w:name="_Toc52873798"/>
      <w:r w:rsidRPr="00A9330B">
        <w:rPr>
          <w:rFonts w:eastAsia="Times New Roman" w:cs="Arial"/>
          <w:b/>
          <w:color w:val="000000"/>
          <w:sz w:val="20"/>
          <w:szCs w:val="20"/>
          <w:lang w:eastAsia="fr-FR"/>
        </w:rPr>
        <w:lastRenderedPageBreak/>
        <w:t xml:space="preserve">Tableau </w:t>
      </w:r>
      <w:r w:rsidRPr="00A9330B">
        <w:rPr>
          <w:rFonts w:eastAsia="Times New Roman" w:cs="Arial"/>
          <w:b/>
          <w:color w:val="000000"/>
          <w:sz w:val="20"/>
          <w:szCs w:val="20"/>
          <w:lang w:eastAsia="fr-FR"/>
        </w:rPr>
        <w:fldChar w:fldCharType="begin"/>
      </w:r>
      <w:r w:rsidRPr="00A9330B">
        <w:rPr>
          <w:rFonts w:eastAsia="Times New Roman" w:cs="Arial"/>
          <w:b/>
          <w:color w:val="000000"/>
          <w:sz w:val="20"/>
          <w:szCs w:val="20"/>
          <w:lang w:eastAsia="fr-FR"/>
        </w:rPr>
        <w:instrText xml:space="preserve"> SEQ Tableau \* ARABIC </w:instrText>
      </w:r>
      <w:r w:rsidRPr="00A9330B">
        <w:rPr>
          <w:rFonts w:eastAsia="Times New Roman" w:cs="Arial"/>
          <w:b/>
          <w:color w:val="000000"/>
          <w:sz w:val="20"/>
          <w:szCs w:val="20"/>
          <w:lang w:eastAsia="fr-FR"/>
        </w:rPr>
        <w:fldChar w:fldCharType="separate"/>
      </w:r>
      <w:r w:rsidR="002E4838">
        <w:rPr>
          <w:rFonts w:eastAsia="Times New Roman" w:cs="Arial"/>
          <w:b/>
          <w:noProof/>
          <w:color w:val="000000"/>
          <w:sz w:val="20"/>
          <w:szCs w:val="20"/>
          <w:lang w:eastAsia="fr-FR"/>
        </w:rPr>
        <w:t>74</w:t>
      </w:r>
      <w:r w:rsidRPr="00A9330B">
        <w:rPr>
          <w:rFonts w:eastAsia="Times New Roman" w:cs="Arial"/>
          <w:b/>
          <w:color w:val="000000"/>
          <w:sz w:val="20"/>
          <w:szCs w:val="20"/>
          <w:lang w:eastAsia="fr-FR"/>
        </w:rPr>
        <w:fldChar w:fldCharType="end"/>
      </w:r>
      <w:r w:rsidRPr="00A9330B">
        <w:rPr>
          <w:rFonts w:eastAsia="Times New Roman" w:cs="Arial"/>
          <w:b/>
          <w:color w:val="000000"/>
          <w:sz w:val="20"/>
          <w:szCs w:val="20"/>
          <w:lang w:eastAsia="fr-FR"/>
        </w:rPr>
        <w:t> : DETAILS DU COUT DES MESURES DU PGES</w:t>
      </w:r>
      <w:bookmarkEnd w:id="2125"/>
      <w:bookmarkEnd w:id="2126"/>
      <w:r w:rsidRPr="00A9330B">
        <w:rPr>
          <w:rFonts w:eastAsia="Times New Roman" w:cs="Arial"/>
          <w:b/>
          <w:color w:val="000000"/>
          <w:sz w:val="20"/>
          <w:szCs w:val="20"/>
          <w:lang w:eastAsia="fr-FR"/>
        </w:rPr>
        <w:t xml:space="preserve"> </w:t>
      </w:r>
    </w:p>
    <w:tbl>
      <w:tblPr>
        <w:tblStyle w:val="Grilledutableau"/>
        <w:tblW w:w="0" w:type="auto"/>
        <w:tblLook w:val="04A0" w:firstRow="1" w:lastRow="0" w:firstColumn="1" w:lastColumn="0" w:noHBand="0" w:noVBand="1"/>
      </w:tblPr>
      <w:tblGrid>
        <w:gridCol w:w="3681"/>
        <w:gridCol w:w="3544"/>
        <w:gridCol w:w="6237"/>
      </w:tblGrid>
      <w:tr w:rsidR="00401546" w:rsidRPr="00A9330B" w14:paraId="7D554E0E" w14:textId="77777777" w:rsidTr="00401546">
        <w:tc>
          <w:tcPr>
            <w:tcW w:w="3681" w:type="dxa"/>
          </w:tcPr>
          <w:p w14:paraId="00C05D36" w14:textId="77777777" w:rsidR="00401546" w:rsidRPr="00A9330B" w:rsidRDefault="00401546" w:rsidP="00475C70">
            <w:pPr>
              <w:jc w:val="left"/>
              <w:rPr>
                <w:b/>
              </w:rPr>
            </w:pPr>
            <w:r w:rsidRPr="00A9330B">
              <w:rPr>
                <w:rFonts w:eastAsia="Calibri" w:cs="Arial"/>
                <w:b/>
                <w:sz w:val="18"/>
                <w:szCs w:val="18"/>
              </w:rPr>
              <w:t>Activités</w:t>
            </w:r>
          </w:p>
        </w:tc>
        <w:tc>
          <w:tcPr>
            <w:tcW w:w="3544" w:type="dxa"/>
          </w:tcPr>
          <w:p w14:paraId="6EC488A0" w14:textId="77777777" w:rsidR="00401546" w:rsidRPr="00A9330B" w:rsidRDefault="00401546" w:rsidP="00475C70">
            <w:pPr>
              <w:jc w:val="left"/>
              <w:rPr>
                <w:b/>
              </w:rPr>
            </w:pPr>
            <w:r w:rsidRPr="00A9330B">
              <w:rPr>
                <w:rFonts w:eastAsia="Calibri" w:cs="Arial"/>
                <w:b/>
                <w:sz w:val="18"/>
                <w:szCs w:val="18"/>
              </w:rPr>
              <w:t>Couts du PGES</w:t>
            </w:r>
          </w:p>
        </w:tc>
        <w:tc>
          <w:tcPr>
            <w:tcW w:w="6237" w:type="dxa"/>
          </w:tcPr>
          <w:p w14:paraId="04BA622F" w14:textId="77777777" w:rsidR="00401546" w:rsidRPr="00A9330B" w:rsidRDefault="00401546" w:rsidP="00475C70">
            <w:pPr>
              <w:jc w:val="left"/>
              <w:rPr>
                <w:b/>
              </w:rPr>
            </w:pPr>
            <w:r w:rsidRPr="00A9330B">
              <w:rPr>
                <w:b/>
              </w:rPr>
              <w:t>Détails des coûts</w:t>
            </w:r>
          </w:p>
        </w:tc>
      </w:tr>
      <w:tr w:rsidR="00401546" w:rsidRPr="00A9330B" w14:paraId="125F3AB5" w14:textId="77777777" w:rsidTr="00401546">
        <w:tc>
          <w:tcPr>
            <w:tcW w:w="3681" w:type="dxa"/>
          </w:tcPr>
          <w:p w14:paraId="4CA07D00" w14:textId="77777777" w:rsidR="00401546" w:rsidRPr="00A9330B" w:rsidRDefault="00401546" w:rsidP="00475C70">
            <w:pPr>
              <w:widowControl w:val="0"/>
              <w:spacing w:before="60"/>
              <w:jc w:val="left"/>
              <w:rPr>
                <w:rFonts w:eastAsia="Calibri" w:cs="Arial"/>
                <w:sz w:val="18"/>
                <w:szCs w:val="18"/>
              </w:rPr>
            </w:pPr>
            <w:r w:rsidRPr="00A9330B">
              <w:rPr>
                <w:rFonts w:eastAsia="Calibri" w:cs="Arial"/>
                <w:sz w:val="18"/>
                <w:szCs w:val="18"/>
              </w:rPr>
              <w:t xml:space="preserve">1.1.a.1.1 ; 1.2.a.1.1 ; 2.2.a.4.1. ; 2.4.a.2.1. ; 2.4.a.3.1. ; 2.5.a.1.1. ; 2.5.a.2.1. ; 2.6.a.1.1. ; 2.6.a.1.1. ; 2.10.a.1.1. ; </w:t>
            </w:r>
          </w:p>
          <w:p w14:paraId="43E8440A" w14:textId="77777777" w:rsidR="00401546" w:rsidRPr="00A9330B" w:rsidRDefault="00401546" w:rsidP="00475C70">
            <w:pPr>
              <w:jc w:val="left"/>
            </w:pPr>
            <w:r w:rsidRPr="00A9330B">
              <w:rPr>
                <w:rFonts w:eastAsia="Calibri" w:cs="Arial"/>
                <w:sz w:val="18"/>
                <w:szCs w:val="18"/>
              </w:rPr>
              <w:t>Mettre à la disposition du personnel de chantier des équipements de protection individuels (EPI : cache nez, bouchon  d’oreille, casque anti-bruit …)</w:t>
            </w:r>
          </w:p>
        </w:tc>
        <w:tc>
          <w:tcPr>
            <w:tcW w:w="3544" w:type="dxa"/>
          </w:tcPr>
          <w:p w14:paraId="408701B5" w14:textId="085E3988" w:rsidR="00401546" w:rsidRPr="00A9330B" w:rsidRDefault="00401546" w:rsidP="00475C70">
            <w:pPr>
              <w:widowControl w:val="0"/>
              <w:autoSpaceDE w:val="0"/>
              <w:autoSpaceDN w:val="0"/>
              <w:adjustRightInd w:val="0"/>
              <w:spacing w:before="60"/>
              <w:jc w:val="left"/>
              <w:rPr>
                <w:rFonts w:eastAsia="Calibri" w:cs="Arial"/>
                <w:sz w:val="18"/>
                <w:szCs w:val="18"/>
              </w:rPr>
            </w:pPr>
            <w:r w:rsidRPr="00A9330B">
              <w:rPr>
                <w:rFonts w:eastAsia="Calibri" w:cs="Arial"/>
                <w:sz w:val="18"/>
                <w:szCs w:val="18"/>
              </w:rPr>
              <w:t xml:space="preserve">Prévoir dans les DAO une ligne budgétaire pour la mise œuvre des mesures HSE  </w:t>
            </w:r>
          </w:p>
          <w:p w14:paraId="165960F0" w14:textId="77777777" w:rsidR="00401546" w:rsidRPr="00A9330B" w:rsidRDefault="00401546" w:rsidP="00475C70">
            <w:pPr>
              <w:widowControl w:val="0"/>
              <w:autoSpaceDE w:val="0"/>
              <w:autoSpaceDN w:val="0"/>
              <w:adjustRightInd w:val="0"/>
              <w:spacing w:before="60"/>
              <w:jc w:val="left"/>
              <w:rPr>
                <w:rFonts w:eastAsia="Calibri" w:cs="Arial"/>
                <w:b/>
                <w:sz w:val="18"/>
                <w:szCs w:val="18"/>
              </w:rPr>
            </w:pPr>
          </w:p>
          <w:p w14:paraId="7DE8850A" w14:textId="30B3DABE" w:rsidR="00401546" w:rsidRPr="00A9330B" w:rsidRDefault="00A02080" w:rsidP="00475C70">
            <w:pPr>
              <w:widowControl w:val="0"/>
              <w:autoSpaceDE w:val="0"/>
              <w:autoSpaceDN w:val="0"/>
              <w:adjustRightInd w:val="0"/>
              <w:spacing w:before="60"/>
              <w:jc w:val="left"/>
              <w:rPr>
                <w:rFonts w:eastAsia="Calibri" w:cs="Arial"/>
                <w:b/>
              </w:rPr>
            </w:pPr>
            <w:r w:rsidRPr="00A9330B">
              <w:rPr>
                <w:rFonts w:eastAsia="Calibri" w:cs="Arial"/>
                <w:b/>
              </w:rPr>
              <w:t>6</w:t>
            </w:r>
            <w:r w:rsidR="00401546" w:rsidRPr="00A9330B">
              <w:rPr>
                <w:rFonts w:eastAsia="Calibri" w:cs="Arial"/>
                <w:b/>
              </w:rPr>
              <w:t>0 000 000 FCFA /an</w:t>
            </w:r>
          </w:p>
          <w:p w14:paraId="5C44D721" w14:textId="77777777" w:rsidR="00401546" w:rsidRPr="00A9330B" w:rsidRDefault="00401546" w:rsidP="00475C70">
            <w:pPr>
              <w:jc w:val="left"/>
            </w:pPr>
          </w:p>
        </w:tc>
        <w:tc>
          <w:tcPr>
            <w:tcW w:w="6237" w:type="dxa"/>
          </w:tcPr>
          <w:p w14:paraId="57FDE8A0" w14:textId="77777777" w:rsidR="00401546" w:rsidRPr="00A9330B" w:rsidRDefault="00401546" w:rsidP="00BD2F72">
            <w:pPr>
              <w:widowControl w:val="0"/>
              <w:numPr>
                <w:ilvl w:val="0"/>
                <w:numId w:val="73"/>
              </w:numPr>
              <w:autoSpaceDE w:val="0"/>
              <w:autoSpaceDN w:val="0"/>
              <w:adjustRightInd w:val="0"/>
              <w:spacing w:before="60" w:line="240" w:lineRule="auto"/>
              <w:contextualSpacing/>
              <w:jc w:val="left"/>
              <w:rPr>
                <w:rFonts w:eastAsia="Calibri" w:cs="Arial"/>
                <w:sz w:val="18"/>
                <w:szCs w:val="18"/>
                <w:lang w:eastAsia="de-DE"/>
              </w:rPr>
            </w:pPr>
            <w:r w:rsidRPr="00A9330B">
              <w:rPr>
                <w:rFonts w:eastAsia="Calibri" w:cs="Arial"/>
                <w:sz w:val="18"/>
                <w:szCs w:val="18"/>
                <w:lang w:eastAsia="de-DE"/>
              </w:rPr>
              <w:t xml:space="preserve">Acquisition des EPI </w:t>
            </w:r>
          </w:p>
          <w:p w14:paraId="42D22195" w14:textId="77777777" w:rsidR="00401546" w:rsidRPr="00A9330B" w:rsidRDefault="00401546" w:rsidP="00475C70">
            <w:pPr>
              <w:widowControl w:val="0"/>
              <w:autoSpaceDE w:val="0"/>
              <w:autoSpaceDN w:val="0"/>
              <w:adjustRightInd w:val="0"/>
              <w:spacing w:before="60"/>
              <w:jc w:val="left"/>
              <w:rPr>
                <w:rFonts w:eastAsia="Calibri" w:cs="Arial"/>
                <w:b/>
                <w:sz w:val="18"/>
                <w:szCs w:val="18"/>
              </w:rPr>
            </w:pPr>
            <w:r w:rsidRPr="00A9330B">
              <w:rPr>
                <w:rFonts w:eastAsia="Calibri" w:cs="Arial"/>
                <w:sz w:val="18"/>
                <w:szCs w:val="18"/>
              </w:rPr>
              <w:t xml:space="preserve"> (chaussures de sécurité, gilets, masques, gants, casques, mesures de protection contre Covid 19, et autres EPI spécifiques)</w:t>
            </w:r>
            <w:r w:rsidRPr="00A9330B">
              <w:rPr>
                <w:rFonts w:eastAsia="Calibri" w:cs="Arial"/>
                <w:b/>
                <w:sz w:val="18"/>
                <w:szCs w:val="18"/>
              </w:rPr>
              <w:t xml:space="preserve"> </w:t>
            </w:r>
          </w:p>
        </w:tc>
      </w:tr>
      <w:tr w:rsidR="00401546" w:rsidRPr="00A9330B" w14:paraId="0686C71E" w14:textId="77777777" w:rsidTr="00401546">
        <w:tc>
          <w:tcPr>
            <w:tcW w:w="3681" w:type="dxa"/>
          </w:tcPr>
          <w:p w14:paraId="6A5BE29B" w14:textId="77777777" w:rsidR="00401546" w:rsidRPr="00A9330B" w:rsidRDefault="00401546" w:rsidP="00475C70">
            <w:pPr>
              <w:widowControl w:val="0"/>
              <w:spacing w:before="60"/>
              <w:jc w:val="left"/>
              <w:rPr>
                <w:rFonts w:eastAsia="Calibri" w:cs="Arial"/>
                <w:sz w:val="18"/>
                <w:szCs w:val="18"/>
              </w:rPr>
            </w:pPr>
            <w:r w:rsidRPr="00A9330B">
              <w:rPr>
                <w:rFonts w:eastAsia="Calibri" w:cs="Arial"/>
                <w:sz w:val="18"/>
                <w:szCs w:val="18"/>
              </w:rPr>
              <w:t xml:space="preserve">1.2.a.3.2. ; 2.2.a.3.1. ; 2.4.a.1.1. ; 2.7.a.1.1. ; 2.8.a.1.1. ; </w:t>
            </w:r>
          </w:p>
          <w:p w14:paraId="62113EA1" w14:textId="77777777" w:rsidR="00401546" w:rsidRPr="00A9330B" w:rsidRDefault="00401546" w:rsidP="00475C70">
            <w:pPr>
              <w:jc w:val="left"/>
            </w:pPr>
            <w:r w:rsidRPr="00A9330B">
              <w:rPr>
                <w:rFonts w:eastAsia="Calibri" w:cs="Arial"/>
                <w:sz w:val="18"/>
                <w:szCs w:val="18"/>
              </w:rPr>
              <w:t>Elaborer  et mettre en œuvre un plan de reboisement en compensation sur les sites identifiés</w:t>
            </w:r>
          </w:p>
        </w:tc>
        <w:tc>
          <w:tcPr>
            <w:tcW w:w="3544" w:type="dxa"/>
          </w:tcPr>
          <w:p w14:paraId="4A9C9D06" w14:textId="497E9A45" w:rsidR="00401546" w:rsidRPr="00A9330B" w:rsidRDefault="00401546" w:rsidP="00BD2F72">
            <w:pPr>
              <w:widowControl w:val="0"/>
              <w:numPr>
                <w:ilvl w:val="0"/>
                <w:numId w:val="74"/>
              </w:numPr>
              <w:autoSpaceDE w:val="0"/>
              <w:autoSpaceDN w:val="0"/>
              <w:adjustRightInd w:val="0"/>
              <w:spacing w:before="60" w:line="240" w:lineRule="auto"/>
              <w:contextualSpacing/>
              <w:jc w:val="left"/>
              <w:rPr>
                <w:rFonts w:eastAsia="Calibri" w:cs="Arial"/>
                <w:sz w:val="18"/>
                <w:szCs w:val="18"/>
                <w:lang w:eastAsia="de-DE"/>
              </w:rPr>
            </w:pPr>
            <w:r w:rsidRPr="00A9330B">
              <w:rPr>
                <w:rFonts w:eastAsia="Calibri" w:cs="Arial"/>
                <w:sz w:val="18"/>
                <w:szCs w:val="18"/>
                <w:lang w:eastAsia="de-DE"/>
              </w:rPr>
              <w:t xml:space="preserve">Mise en terre de de </w:t>
            </w:r>
            <w:r w:rsidR="00A02080" w:rsidRPr="00A9330B">
              <w:rPr>
                <w:rFonts w:eastAsia="Calibri" w:cs="Arial"/>
                <w:sz w:val="18"/>
                <w:szCs w:val="18"/>
                <w:lang w:eastAsia="de-DE"/>
              </w:rPr>
              <w:t>4</w:t>
            </w:r>
            <w:r w:rsidRPr="00A9330B">
              <w:rPr>
                <w:rFonts w:eastAsia="Calibri" w:cs="Arial"/>
                <w:sz w:val="18"/>
                <w:szCs w:val="18"/>
                <w:lang w:eastAsia="de-DE"/>
              </w:rPr>
              <w:t xml:space="preserve">000 plants </w:t>
            </w:r>
          </w:p>
          <w:p w14:paraId="7540D6A7" w14:textId="77777777" w:rsidR="00401546" w:rsidRPr="00A9330B" w:rsidRDefault="00401546" w:rsidP="00475C70">
            <w:pPr>
              <w:widowControl w:val="0"/>
              <w:overflowPunct w:val="0"/>
              <w:autoSpaceDE w:val="0"/>
              <w:autoSpaceDN w:val="0"/>
              <w:adjustRightInd w:val="0"/>
              <w:spacing w:before="60" w:line="288" w:lineRule="auto"/>
              <w:ind w:left="405"/>
              <w:contextualSpacing/>
              <w:jc w:val="left"/>
              <w:rPr>
                <w:rFonts w:eastAsia="Calibri" w:cs="Arial"/>
                <w:sz w:val="18"/>
                <w:szCs w:val="18"/>
                <w:lang w:eastAsia="de-DE"/>
              </w:rPr>
            </w:pPr>
          </w:p>
          <w:p w14:paraId="5377BEF3" w14:textId="350E4578" w:rsidR="00401546" w:rsidRPr="00A9330B" w:rsidRDefault="00401546" w:rsidP="00BD2F72">
            <w:pPr>
              <w:widowControl w:val="0"/>
              <w:numPr>
                <w:ilvl w:val="0"/>
                <w:numId w:val="74"/>
              </w:numPr>
              <w:autoSpaceDE w:val="0"/>
              <w:autoSpaceDN w:val="0"/>
              <w:adjustRightInd w:val="0"/>
              <w:spacing w:before="60" w:line="240" w:lineRule="auto"/>
              <w:contextualSpacing/>
              <w:jc w:val="left"/>
              <w:rPr>
                <w:rFonts w:eastAsia="Calibri" w:cs="Arial"/>
                <w:sz w:val="18"/>
                <w:szCs w:val="18"/>
                <w:lang w:eastAsia="de-DE"/>
              </w:rPr>
            </w:pPr>
            <w:r w:rsidRPr="00A9330B">
              <w:rPr>
                <w:rFonts w:eastAsia="Calibri" w:cs="Arial"/>
                <w:sz w:val="18"/>
                <w:szCs w:val="18"/>
                <w:lang w:eastAsia="de-DE"/>
              </w:rPr>
              <w:t xml:space="preserve">Mise en terre de </w:t>
            </w:r>
            <w:r w:rsidR="00A02080" w:rsidRPr="00A9330B">
              <w:rPr>
                <w:rFonts w:eastAsia="Calibri" w:cs="Arial"/>
                <w:sz w:val="18"/>
                <w:szCs w:val="18"/>
                <w:lang w:eastAsia="de-DE"/>
              </w:rPr>
              <w:t>5</w:t>
            </w:r>
            <w:r w:rsidRPr="00A9330B">
              <w:rPr>
                <w:rFonts w:eastAsia="Calibri" w:cs="Arial"/>
                <w:sz w:val="18"/>
                <w:szCs w:val="18"/>
                <w:lang w:eastAsia="de-DE"/>
              </w:rPr>
              <w:t xml:space="preserve">00 plants par site après le démantèlement des bases vie (02) </w:t>
            </w:r>
          </w:p>
          <w:p w14:paraId="33E55AE7" w14:textId="1FE4E435" w:rsidR="00401546" w:rsidRPr="00A9330B" w:rsidRDefault="00401546" w:rsidP="00475C70">
            <w:pPr>
              <w:widowControl w:val="0"/>
              <w:autoSpaceDE w:val="0"/>
              <w:autoSpaceDN w:val="0"/>
              <w:adjustRightInd w:val="0"/>
              <w:spacing w:before="60"/>
              <w:jc w:val="left"/>
              <w:rPr>
                <w:rFonts w:eastAsia="Calibri" w:cs="Arial"/>
                <w:b/>
              </w:rPr>
            </w:pPr>
            <w:r w:rsidRPr="00A9330B">
              <w:rPr>
                <w:rFonts w:eastAsia="Calibri" w:cs="Arial"/>
                <w:sz w:val="18"/>
                <w:szCs w:val="18"/>
              </w:rPr>
              <w:t xml:space="preserve"> </w:t>
            </w:r>
            <w:r w:rsidR="00A02080" w:rsidRPr="00A9330B">
              <w:rPr>
                <w:rFonts w:eastAsia="Calibri" w:cs="Arial"/>
                <w:b/>
              </w:rPr>
              <w:t>13 500 000 FCFA</w:t>
            </w:r>
          </w:p>
        </w:tc>
        <w:tc>
          <w:tcPr>
            <w:tcW w:w="6237" w:type="dxa"/>
          </w:tcPr>
          <w:p w14:paraId="00DD159B" w14:textId="72AB17FD" w:rsidR="00401546" w:rsidRPr="00A9330B" w:rsidRDefault="00401546" w:rsidP="00BD2F72">
            <w:pPr>
              <w:widowControl w:val="0"/>
              <w:numPr>
                <w:ilvl w:val="0"/>
                <w:numId w:val="75"/>
              </w:numPr>
              <w:autoSpaceDE w:val="0"/>
              <w:autoSpaceDN w:val="0"/>
              <w:adjustRightInd w:val="0"/>
              <w:spacing w:before="60" w:line="240" w:lineRule="auto"/>
              <w:contextualSpacing/>
              <w:jc w:val="left"/>
              <w:rPr>
                <w:rFonts w:eastAsia="Calibri" w:cs="Arial"/>
                <w:sz w:val="18"/>
                <w:szCs w:val="18"/>
                <w:lang w:eastAsia="de-DE"/>
              </w:rPr>
            </w:pPr>
            <w:r w:rsidRPr="00A9330B">
              <w:rPr>
                <w:rFonts w:eastAsia="Calibri" w:cs="Arial"/>
                <w:sz w:val="18"/>
                <w:szCs w:val="18"/>
                <w:lang w:eastAsia="de-DE"/>
              </w:rPr>
              <w:t xml:space="preserve">Mise en terre d’environs </w:t>
            </w:r>
            <w:r w:rsidR="00A02080" w:rsidRPr="00A9330B">
              <w:rPr>
                <w:rFonts w:eastAsia="Calibri" w:cs="Arial"/>
                <w:sz w:val="18"/>
                <w:szCs w:val="18"/>
                <w:lang w:eastAsia="de-DE"/>
              </w:rPr>
              <w:t>4000</w:t>
            </w:r>
            <w:r w:rsidRPr="00A9330B">
              <w:rPr>
                <w:rFonts w:eastAsia="Calibri" w:cs="Arial"/>
                <w:sz w:val="18"/>
                <w:szCs w:val="18"/>
                <w:lang w:eastAsia="de-DE"/>
              </w:rPr>
              <w:t xml:space="preserve"> plants en compensation sur le site devant abriter les bases-vie ;</w:t>
            </w:r>
          </w:p>
          <w:p w14:paraId="3C928BF0" w14:textId="77777777" w:rsidR="00401546" w:rsidRPr="00A9330B" w:rsidRDefault="00401546" w:rsidP="00475C70">
            <w:pPr>
              <w:widowControl w:val="0"/>
              <w:autoSpaceDE w:val="0"/>
              <w:autoSpaceDN w:val="0"/>
              <w:adjustRightInd w:val="0"/>
              <w:spacing w:before="60"/>
              <w:jc w:val="left"/>
              <w:rPr>
                <w:rFonts w:eastAsia="Calibri" w:cs="Arial"/>
                <w:sz w:val="18"/>
                <w:szCs w:val="18"/>
              </w:rPr>
            </w:pPr>
            <w:r w:rsidRPr="00A9330B">
              <w:rPr>
                <w:rFonts w:eastAsia="Calibri" w:cs="Arial"/>
                <w:sz w:val="18"/>
                <w:szCs w:val="18"/>
              </w:rPr>
              <w:t>- la superficie d’une base vie est estimée à environ 1 à 1,5 ha</w:t>
            </w:r>
          </w:p>
          <w:p w14:paraId="5D0F4B9B" w14:textId="5AD5527D" w:rsidR="00401546" w:rsidRPr="00A9330B" w:rsidRDefault="00401546" w:rsidP="00475C70">
            <w:pPr>
              <w:widowControl w:val="0"/>
              <w:autoSpaceDE w:val="0"/>
              <w:autoSpaceDN w:val="0"/>
              <w:adjustRightInd w:val="0"/>
              <w:spacing w:before="60"/>
              <w:jc w:val="left"/>
              <w:rPr>
                <w:rFonts w:eastAsia="Calibri" w:cs="Arial"/>
                <w:sz w:val="18"/>
                <w:szCs w:val="18"/>
              </w:rPr>
            </w:pPr>
            <w:r w:rsidRPr="00A9330B">
              <w:rPr>
                <w:rFonts w:eastAsia="Calibri" w:cs="Arial"/>
                <w:sz w:val="18"/>
                <w:szCs w:val="18"/>
              </w:rPr>
              <w:t>- les arbres seront mis en terre sur 1</w:t>
            </w:r>
            <w:r w:rsidR="00A02080" w:rsidRPr="00A9330B">
              <w:rPr>
                <w:rFonts w:eastAsia="Calibri" w:cs="Arial"/>
                <w:sz w:val="18"/>
                <w:szCs w:val="18"/>
              </w:rPr>
              <w:t>0</w:t>
            </w:r>
            <w:r w:rsidRPr="00A9330B">
              <w:rPr>
                <w:rFonts w:eastAsia="Calibri" w:cs="Arial"/>
                <w:sz w:val="18"/>
                <w:szCs w:val="18"/>
              </w:rPr>
              <w:t xml:space="preserve">000 m² </w:t>
            </w:r>
          </w:p>
          <w:p w14:paraId="2ED4614F" w14:textId="0CA30D9E" w:rsidR="00401546" w:rsidRPr="00A9330B" w:rsidRDefault="00401546" w:rsidP="00475C70">
            <w:pPr>
              <w:widowControl w:val="0"/>
              <w:autoSpaceDE w:val="0"/>
              <w:autoSpaceDN w:val="0"/>
              <w:adjustRightInd w:val="0"/>
              <w:spacing w:before="60"/>
              <w:jc w:val="left"/>
              <w:rPr>
                <w:rFonts w:eastAsia="Calibri" w:cs="Arial"/>
                <w:sz w:val="18"/>
                <w:szCs w:val="18"/>
              </w:rPr>
            </w:pPr>
            <w:r w:rsidRPr="00A9330B">
              <w:rPr>
                <w:rFonts w:eastAsia="Calibri" w:cs="Arial"/>
                <w:sz w:val="18"/>
                <w:szCs w:val="18"/>
              </w:rPr>
              <w:t xml:space="preserve">- les opérations d’acquisition de plants, de trouaison, mise en terre, et entretien jusqu’à croissance optimale sont estimées à </w:t>
            </w:r>
            <w:r w:rsidR="00A02080" w:rsidRPr="00A9330B">
              <w:rPr>
                <w:rFonts w:eastAsia="Calibri" w:cs="Arial"/>
                <w:sz w:val="18"/>
                <w:szCs w:val="18"/>
              </w:rPr>
              <w:t>3</w:t>
            </w:r>
            <w:r w:rsidRPr="00A9330B">
              <w:rPr>
                <w:rFonts w:eastAsia="Calibri" w:cs="Arial"/>
                <w:sz w:val="18"/>
                <w:szCs w:val="18"/>
              </w:rPr>
              <w:t xml:space="preserve">000 F / plants </w:t>
            </w:r>
          </w:p>
          <w:p w14:paraId="24A5F209" w14:textId="77777777" w:rsidR="00401546" w:rsidRPr="00A9330B" w:rsidRDefault="00401546" w:rsidP="00475C70">
            <w:pPr>
              <w:widowControl w:val="0"/>
              <w:overflowPunct w:val="0"/>
              <w:autoSpaceDE w:val="0"/>
              <w:autoSpaceDN w:val="0"/>
              <w:adjustRightInd w:val="0"/>
              <w:spacing w:before="60" w:line="288" w:lineRule="auto"/>
              <w:ind w:left="405"/>
              <w:contextualSpacing/>
              <w:jc w:val="left"/>
              <w:rPr>
                <w:rFonts w:eastAsia="Calibri" w:cs="Arial"/>
                <w:sz w:val="18"/>
                <w:szCs w:val="18"/>
                <w:lang w:eastAsia="de-DE"/>
              </w:rPr>
            </w:pPr>
          </w:p>
          <w:p w14:paraId="0D43110C" w14:textId="37015CF8" w:rsidR="00401546" w:rsidRPr="00A9330B" w:rsidRDefault="00401546" w:rsidP="00475C70">
            <w:pPr>
              <w:widowControl w:val="0"/>
              <w:overflowPunct w:val="0"/>
              <w:autoSpaceDE w:val="0"/>
              <w:autoSpaceDN w:val="0"/>
              <w:adjustRightInd w:val="0"/>
              <w:spacing w:before="60" w:line="288" w:lineRule="auto"/>
              <w:ind w:left="405"/>
              <w:contextualSpacing/>
              <w:jc w:val="left"/>
              <w:rPr>
                <w:rFonts w:eastAsia="Calibri" w:cs="Arial"/>
                <w:b/>
                <w:sz w:val="18"/>
                <w:szCs w:val="18"/>
                <w:lang w:eastAsia="de-DE"/>
              </w:rPr>
            </w:pPr>
            <w:r w:rsidRPr="00A9330B">
              <w:rPr>
                <w:rFonts w:eastAsia="Calibri" w:cs="Arial"/>
                <w:sz w:val="18"/>
                <w:szCs w:val="18"/>
                <w:lang w:eastAsia="de-DE"/>
              </w:rPr>
              <w:t xml:space="preserve">Cout du reboisement pour deux sites : </w:t>
            </w:r>
            <w:r w:rsidR="00A02080" w:rsidRPr="00A9330B">
              <w:rPr>
                <w:rFonts w:eastAsia="Calibri" w:cs="Arial"/>
                <w:b/>
                <w:sz w:val="18"/>
                <w:szCs w:val="18"/>
                <w:lang w:eastAsia="de-DE"/>
              </w:rPr>
              <w:t>12 000</w:t>
            </w:r>
            <w:r w:rsidRPr="00A9330B">
              <w:rPr>
                <w:rFonts w:eastAsia="Calibri" w:cs="Arial"/>
                <w:b/>
                <w:sz w:val="18"/>
                <w:szCs w:val="18"/>
                <w:lang w:eastAsia="de-DE"/>
              </w:rPr>
              <w:t> 000 F CFA</w:t>
            </w:r>
          </w:p>
          <w:p w14:paraId="60F1C1AA" w14:textId="77777777" w:rsidR="00401546" w:rsidRPr="00A9330B" w:rsidRDefault="00401546" w:rsidP="00475C70">
            <w:pPr>
              <w:widowControl w:val="0"/>
              <w:overflowPunct w:val="0"/>
              <w:autoSpaceDE w:val="0"/>
              <w:autoSpaceDN w:val="0"/>
              <w:adjustRightInd w:val="0"/>
              <w:spacing w:before="60" w:line="288" w:lineRule="auto"/>
              <w:ind w:left="405"/>
              <w:contextualSpacing/>
              <w:jc w:val="left"/>
              <w:rPr>
                <w:rFonts w:eastAsia="Calibri" w:cs="Arial"/>
                <w:b/>
                <w:sz w:val="18"/>
                <w:szCs w:val="18"/>
                <w:lang w:eastAsia="de-DE"/>
              </w:rPr>
            </w:pPr>
          </w:p>
          <w:p w14:paraId="359F7B76" w14:textId="6C0F25E2" w:rsidR="00401546" w:rsidRPr="00A9330B" w:rsidRDefault="00A02080" w:rsidP="00BD2F72">
            <w:pPr>
              <w:widowControl w:val="0"/>
              <w:numPr>
                <w:ilvl w:val="0"/>
                <w:numId w:val="75"/>
              </w:numPr>
              <w:autoSpaceDE w:val="0"/>
              <w:autoSpaceDN w:val="0"/>
              <w:adjustRightInd w:val="0"/>
              <w:spacing w:before="60" w:line="240" w:lineRule="auto"/>
              <w:contextualSpacing/>
              <w:jc w:val="left"/>
              <w:rPr>
                <w:rFonts w:eastAsia="Calibri" w:cs="Arial"/>
                <w:sz w:val="18"/>
                <w:szCs w:val="18"/>
                <w:lang w:eastAsia="de-DE"/>
              </w:rPr>
            </w:pPr>
            <w:r w:rsidRPr="00A9330B">
              <w:rPr>
                <w:rFonts w:eastAsia="Calibri" w:cs="Arial"/>
                <w:sz w:val="18"/>
                <w:szCs w:val="18"/>
                <w:lang w:eastAsia="de-DE"/>
              </w:rPr>
              <w:t>Mise en terre de 5</w:t>
            </w:r>
            <w:r w:rsidR="00401546" w:rsidRPr="00A9330B">
              <w:rPr>
                <w:rFonts w:eastAsia="Calibri" w:cs="Arial"/>
                <w:sz w:val="18"/>
                <w:szCs w:val="18"/>
                <w:lang w:eastAsia="de-DE"/>
              </w:rPr>
              <w:t xml:space="preserve">00 plants par site après le démantèlement des bases vie (02) </w:t>
            </w:r>
          </w:p>
          <w:p w14:paraId="42503C80" w14:textId="266FF61A" w:rsidR="00401546" w:rsidRPr="00A9330B" w:rsidRDefault="00401546" w:rsidP="00475C70">
            <w:pPr>
              <w:widowControl w:val="0"/>
              <w:overflowPunct w:val="0"/>
              <w:autoSpaceDE w:val="0"/>
              <w:autoSpaceDN w:val="0"/>
              <w:adjustRightInd w:val="0"/>
              <w:spacing w:before="60" w:line="288" w:lineRule="auto"/>
              <w:ind w:left="405"/>
              <w:contextualSpacing/>
              <w:jc w:val="left"/>
              <w:rPr>
                <w:rFonts w:eastAsia="Calibri" w:cs="Arial"/>
                <w:b/>
                <w:sz w:val="18"/>
                <w:szCs w:val="18"/>
                <w:lang w:eastAsia="de-DE"/>
              </w:rPr>
            </w:pPr>
            <w:r w:rsidRPr="00A9330B">
              <w:rPr>
                <w:rFonts w:eastAsia="Calibri" w:cs="Arial"/>
                <w:sz w:val="18"/>
                <w:szCs w:val="18"/>
                <w:lang w:eastAsia="de-DE"/>
              </w:rPr>
              <w:t xml:space="preserve">Cout du reboisement pour deux bases vie : </w:t>
            </w:r>
            <w:r w:rsidR="00A02080" w:rsidRPr="00A9330B">
              <w:rPr>
                <w:rFonts w:eastAsia="Calibri" w:cs="Arial"/>
                <w:b/>
                <w:sz w:val="18"/>
                <w:szCs w:val="18"/>
                <w:lang w:eastAsia="de-DE"/>
              </w:rPr>
              <w:t>1 5</w:t>
            </w:r>
            <w:r w:rsidRPr="00A9330B">
              <w:rPr>
                <w:rFonts w:eastAsia="Calibri" w:cs="Arial"/>
                <w:b/>
                <w:sz w:val="18"/>
                <w:szCs w:val="18"/>
                <w:lang w:eastAsia="de-DE"/>
              </w:rPr>
              <w:t xml:space="preserve">00 000 FCFA </w:t>
            </w:r>
          </w:p>
          <w:p w14:paraId="1B2DE427" w14:textId="77777777" w:rsidR="00401546" w:rsidRPr="00A9330B" w:rsidRDefault="00401546" w:rsidP="00475C70">
            <w:pPr>
              <w:widowControl w:val="0"/>
              <w:overflowPunct w:val="0"/>
              <w:autoSpaceDE w:val="0"/>
              <w:autoSpaceDN w:val="0"/>
              <w:adjustRightInd w:val="0"/>
              <w:spacing w:before="60" w:line="288" w:lineRule="auto"/>
              <w:ind w:left="405"/>
              <w:contextualSpacing/>
              <w:jc w:val="left"/>
              <w:rPr>
                <w:rFonts w:eastAsia="Calibri" w:cs="Arial"/>
                <w:b/>
                <w:sz w:val="18"/>
                <w:szCs w:val="18"/>
                <w:lang w:eastAsia="de-DE"/>
              </w:rPr>
            </w:pPr>
          </w:p>
          <w:p w14:paraId="4A9663FD" w14:textId="3C98AA14" w:rsidR="00401546" w:rsidRPr="00A9330B" w:rsidRDefault="00401546" w:rsidP="00475C70">
            <w:pPr>
              <w:jc w:val="left"/>
              <w:rPr>
                <w:b/>
              </w:rPr>
            </w:pPr>
            <w:r w:rsidRPr="00A9330B">
              <w:rPr>
                <w:rFonts w:eastAsia="Calibri" w:cs="Arial"/>
                <w:b/>
                <w:sz w:val="18"/>
                <w:szCs w:val="18"/>
              </w:rPr>
              <w:t xml:space="preserve">TOTAL : </w:t>
            </w:r>
            <w:r w:rsidR="00A02080" w:rsidRPr="00A9330B">
              <w:rPr>
                <w:rFonts w:eastAsia="Calibri" w:cs="Arial"/>
                <w:b/>
                <w:sz w:val="18"/>
                <w:szCs w:val="18"/>
              </w:rPr>
              <w:t>13 500</w:t>
            </w:r>
            <w:r w:rsidRPr="00A9330B">
              <w:rPr>
                <w:rFonts w:eastAsia="Calibri" w:cs="Arial"/>
                <w:b/>
                <w:sz w:val="18"/>
                <w:szCs w:val="18"/>
              </w:rPr>
              <w:t> 000 FCFA</w:t>
            </w:r>
          </w:p>
        </w:tc>
      </w:tr>
      <w:tr w:rsidR="00401546" w:rsidRPr="00A9330B" w14:paraId="6961DB72" w14:textId="77777777" w:rsidTr="00401546">
        <w:tc>
          <w:tcPr>
            <w:tcW w:w="3681" w:type="dxa"/>
          </w:tcPr>
          <w:p w14:paraId="7B917414" w14:textId="77777777" w:rsidR="00401546" w:rsidRPr="00A9330B" w:rsidRDefault="00401546" w:rsidP="00475C70">
            <w:pPr>
              <w:widowControl w:val="0"/>
              <w:spacing w:before="60"/>
              <w:jc w:val="left"/>
              <w:rPr>
                <w:rFonts w:eastAsia="Calibri" w:cs="Arial"/>
                <w:sz w:val="18"/>
                <w:szCs w:val="18"/>
              </w:rPr>
            </w:pPr>
            <w:r w:rsidRPr="00A9330B">
              <w:rPr>
                <w:rFonts w:eastAsia="Calibri" w:cs="Arial"/>
                <w:sz w:val="18"/>
                <w:szCs w:val="18"/>
              </w:rPr>
              <w:t xml:space="preserve">1.2.a.3.3. ; 2.2.a.3.2. ; 2.8.a.1.2. ; 2.10.a.2.2. ; 2.10.a.2.2 ; </w:t>
            </w:r>
          </w:p>
          <w:p w14:paraId="161F2D96" w14:textId="77777777" w:rsidR="00401546" w:rsidRPr="00A9330B" w:rsidRDefault="00401546" w:rsidP="00475C70">
            <w:pPr>
              <w:widowControl w:val="0"/>
              <w:spacing w:before="60"/>
              <w:jc w:val="left"/>
              <w:rPr>
                <w:rFonts w:eastAsia="Calibri" w:cs="Arial"/>
                <w:sz w:val="18"/>
                <w:szCs w:val="18"/>
              </w:rPr>
            </w:pPr>
            <w:r w:rsidRPr="00A9330B">
              <w:rPr>
                <w:rFonts w:eastAsia="Calibri" w:cs="Arial"/>
                <w:sz w:val="18"/>
                <w:szCs w:val="18"/>
              </w:rPr>
              <w:t>Faire un aménagement paysager pour la route (revégétaliser les abords, les terres-plein ou les accotements)</w:t>
            </w:r>
          </w:p>
        </w:tc>
        <w:tc>
          <w:tcPr>
            <w:tcW w:w="3544" w:type="dxa"/>
          </w:tcPr>
          <w:p w14:paraId="452492F5" w14:textId="03A181C4" w:rsidR="00401546" w:rsidRPr="00A9330B" w:rsidRDefault="00401546" w:rsidP="00475C70">
            <w:pPr>
              <w:widowControl w:val="0"/>
              <w:autoSpaceDE w:val="0"/>
              <w:autoSpaceDN w:val="0"/>
              <w:adjustRightInd w:val="0"/>
              <w:spacing w:before="60"/>
              <w:jc w:val="left"/>
              <w:rPr>
                <w:rFonts w:eastAsia="Calibri" w:cs="Arial"/>
                <w:sz w:val="18"/>
                <w:szCs w:val="18"/>
              </w:rPr>
            </w:pPr>
            <w:r w:rsidRPr="00A9330B">
              <w:rPr>
                <w:rFonts w:eastAsia="Calibri" w:cs="Arial"/>
                <w:sz w:val="18"/>
                <w:szCs w:val="18"/>
              </w:rPr>
              <w:t xml:space="preserve">Mise en terre des arbres d’alignement sur environ </w:t>
            </w:r>
            <w:r w:rsidR="00A02080" w:rsidRPr="00A9330B">
              <w:rPr>
                <w:rFonts w:eastAsia="Calibri" w:cs="Arial"/>
                <w:sz w:val="18"/>
                <w:szCs w:val="18"/>
              </w:rPr>
              <w:t>2000 plants</w:t>
            </w:r>
            <w:r w:rsidRPr="00A9330B">
              <w:rPr>
                <w:rFonts w:eastAsia="Calibri" w:cs="Arial"/>
                <w:sz w:val="18"/>
                <w:szCs w:val="18"/>
              </w:rPr>
              <w:t xml:space="preserve"> </w:t>
            </w:r>
          </w:p>
          <w:p w14:paraId="27269513" w14:textId="77777777" w:rsidR="00401546" w:rsidRPr="00A9330B" w:rsidRDefault="00401546" w:rsidP="00475C70">
            <w:pPr>
              <w:widowControl w:val="0"/>
              <w:autoSpaceDE w:val="0"/>
              <w:autoSpaceDN w:val="0"/>
              <w:adjustRightInd w:val="0"/>
              <w:spacing w:before="60"/>
              <w:jc w:val="left"/>
              <w:rPr>
                <w:rFonts w:eastAsia="Calibri" w:cs="Arial"/>
                <w:sz w:val="18"/>
                <w:szCs w:val="18"/>
              </w:rPr>
            </w:pPr>
          </w:p>
          <w:p w14:paraId="0E31CC1A" w14:textId="21D8C809" w:rsidR="00401546" w:rsidRPr="00A9330B" w:rsidRDefault="00A02080" w:rsidP="00475C70">
            <w:pPr>
              <w:widowControl w:val="0"/>
              <w:autoSpaceDE w:val="0"/>
              <w:autoSpaceDN w:val="0"/>
              <w:adjustRightInd w:val="0"/>
              <w:spacing w:before="60"/>
              <w:jc w:val="left"/>
              <w:rPr>
                <w:rFonts w:eastAsia="Calibri" w:cs="Arial"/>
                <w:b/>
              </w:rPr>
            </w:pPr>
            <w:r w:rsidRPr="00A9330B">
              <w:rPr>
                <w:rFonts w:eastAsia="Calibri" w:cs="Arial"/>
                <w:b/>
              </w:rPr>
              <w:t>6</w:t>
            </w:r>
            <w:r w:rsidR="00401546" w:rsidRPr="00A9330B">
              <w:rPr>
                <w:rFonts w:eastAsia="Calibri" w:cs="Arial"/>
                <w:b/>
              </w:rPr>
              <w:t xml:space="preserve"> 000 000 FCFA  </w:t>
            </w:r>
          </w:p>
        </w:tc>
        <w:tc>
          <w:tcPr>
            <w:tcW w:w="6237" w:type="dxa"/>
          </w:tcPr>
          <w:p w14:paraId="276FBEE3" w14:textId="0C0B6B9D" w:rsidR="00401546" w:rsidRPr="00A9330B" w:rsidRDefault="00401546" w:rsidP="00475C70">
            <w:pPr>
              <w:widowControl w:val="0"/>
              <w:autoSpaceDE w:val="0"/>
              <w:autoSpaceDN w:val="0"/>
              <w:adjustRightInd w:val="0"/>
              <w:spacing w:before="60"/>
              <w:jc w:val="left"/>
              <w:rPr>
                <w:rFonts w:eastAsia="Calibri" w:cs="Arial"/>
                <w:sz w:val="18"/>
                <w:szCs w:val="18"/>
              </w:rPr>
            </w:pPr>
            <w:r w:rsidRPr="00A9330B">
              <w:rPr>
                <w:rFonts w:eastAsia="Calibri" w:cs="Arial"/>
                <w:sz w:val="18"/>
                <w:szCs w:val="18"/>
              </w:rPr>
              <w:t xml:space="preserve">Mise en terre d’environs </w:t>
            </w:r>
            <w:r w:rsidR="00A02080" w:rsidRPr="00A9330B">
              <w:rPr>
                <w:rFonts w:eastAsia="Calibri" w:cs="Arial"/>
                <w:sz w:val="18"/>
                <w:szCs w:val="18"/>
              </w:rPr>
              <w:t>2000</w:t>
            </w:r>
            <w:r w:rsidRPr="00A9330B">
              <w:rPr>
                <w:rFonts w:eastAsia="Calibri" w:cs="Arial"/>
                <w:sz w:val="18"/>
                <w:szCs w:val="18"/>
              </w:rPr>
              <w:t xml:space="preserve"> plants le long de l’autoroute et éventuellement sur le terre-plein (linéaire </w:t>
            </w:r>
            <w:r w:rsidR="008C1E90" w:rsidRPr="00A9330B">
              <w:rPr>
                <w:rFonts w:eastAsia="Calibri" w:cs="Arial"/>
                <w:sz w:val="18"/>
                <w:szCs w:val="18"/>
              </w:rPr>
              <w:t xml:space="preserve">10 </w:t>
            </w:r>
            <w:r w:rsidRPr="00A9330B">
              <w:rPr>
                <w:rFonts w:eastAsia="Calibri" w:cs="Arial"/>
                <w:sz w:val="18"/>
                <w:szCs w:val="18"/>
              </w:rPr>
              <w:t>Km)</w:t>
            </w:r>
          </w:p>
          <w:p w14:paraId="04FAE236" w14:textId="64E38959" w:rsidR="00401546" w:rsidRPr="00A9330B" w:rsidRDefault="00401546" w:rsidP="00475C70">
            <w:pPr>
              <w:widowControl w:val="0"/>
              <w:autoSpaceDE w:val="0"/>
              <w:autoSpaceDN w:val="0"/>
              <w:adjustRightInd w:val="0"/>
              <w:spacing w:before="60"/>
              <w:jc w:val="left"/>
              <w:rPr>
                <w:rFonts w:eastAsia="Calibri" w:cs="Arial"/>
                <w:sz w:val="18"/>
                <w:szCs w:val="18"/>
              </w:rPr>
            </w:pPr>
            <w:r w:rsidRPr="00A9330B">
              <w:rPr>
                <w:rFonts w:eastAsia="Calibri" w:cs="Arial"/>
                <w:sz w:val="18"/>
                <w:szCs w:val="18"/>
              </w:rPr>
              <w:t xml:space="preserve">- les arbres seront mis en terre </w:t>
            </w:r>
            <w:r w:rsidR="00A02080" w:rsidRPr="00A9330B">
              <w:rPr>
                <w:rFonts w:eastAsia="Calibri" w:cs="Arial"/>
                <w:sz w:val="18"/>
                <w:szCs w:val="18"/>
              </w:rPr>
              <w:t xml:space="preserve">avec un espacement </w:t>
            </w:r>
            <w:r w:rsidRPr="00A9330B">
              <w:rPr>
                <w:rFonts w:eastAsia="Calibri" w:cs="Arial"/>
                <w:sz w:val="18"/>
                <w:szCs w:val="18"/>
              </w:rPr>
              <w:t xml:space="preserve">de 25 m </w:t>
            </w:r>
          </w:p>
          <w:p w14:paraId="21102E2C" w14:textId="7375BCAC" w:rsidR="00A02080" w:rsidRPr="00A9330B" w:rsidRDefault="00401546" w:rsidP="00475C70">
            <w:pPr>
              <w:widowControl w:val="0"/>
              <w:autoSpaceDE w:val="0"/>
              <w:autoSpaceDN w:val="0"/>
              <w:adjustRightInd w:val="0"/>
              <w:spacing w:before="60"/>
              <w:jc w:val="left"/>
              <w:rPr>
                <w:rFonts w:eastAsia="Calibri" w:cs="Arial"/>
                <w:sz w:val="18"/>
                <w:szCs w:val="18"/>
              </w:rPr>
            </w:pPr>
            <w:r w:rsidRPr="00A9330B">
              <w:rPr>
                <w:rFonts w:eastAsia="Calibri" w:cs="Arial"/>
                <w:sz w:val="18"/>
                <w:szCs w:val="18"/>
              </w:rPr>
              <w:t>- les opérations d’acquisition de plants, de trouaison, mise en terre, de protection et entretien jusqu’à croiss</w:t>
            </w:r>
            <w:r w:rsidR="00A02080" w:rsidRPr="00A9330B">
              <w:rPr>
                <w:rFonts w:eastAsia="Calibri" w:cs="Arial"/>
                <w:sz w:val="18"/>
                <w:szCs w:val="18"/>
              </w:rPr>
              <w:t>ance optimale sont estimées à 3</w:t>
            </w:r>
            <w:r w:rsidRPr="00A9330B">
              <w:rPr>
                <w:rFonts w:eastAsia="Calibri" w:cs="Arial"/>
                <w:sz w:val="18"/>
                <w:szCs w:val="18"/>
              </w:rPr>
              <w:t xml:space="preserve">000 F / plants </w:t>
            </w:r>
          </w:p>
          <w:p w14:paraId="45DDCF2D" w14:textId="1A341FDD" w:rsidR="00401546" w:rsidRPr="00A9330B" w:rsidRDefault="00401546" w:rsidP="00475C70">
            <w:pPr>
              <w:jc w:val="left"/>
              <w:rPr>
                <w:b/>
                <w:sz w:val="20"/>
                <w:szCs w:val="20"/>
              </w:rPr>
            </w:pPr>
            <w:r w:rsidRPr="00A9330B">
              <w:rPr>
                <w:b/>
                <w:sz w:val="20"/>
                <w:szCs w:val="20"/>
              </w:rPr>
              <w:t xml:space="preserve">Cout : </w:t>
            </w:r>
            <w:r w:rsidR="00A02080" w:rsidRPr="00A9330B">
              <w:rPr>
                <w:b/>
                <w:sz w:val="20"/>
                <w:szCs w:val="20"/>
              </w:rPr>
              <w:t>6</w:t>
            </w:r>
            <w:r w:rsidRPr="00A9330B">
              <w:rPr>
                <w:b/>
                <w:sz w:val="20"/>
                <w:szCs w:val="20"/>
              </w:rPr>
              <w:t xml:space="preserve"> 000 000  FCFA </w:t>
            </w:r>
          </w:p>
        </w:tc>
      </w:tr>
      <w:tr w:rsidR="00401546" w:rsidRPr="00A9330B" w14:paraId="526AD7BD" w14:textId="77777777" w:rsidTr="00401546">
        <w:tc>
          <w:tcPr>
            <w:tcW w:w="3681" w:type="dxa"/>
          </w:tcPr>
          <w:p w14:paraId="6A2C860B" w14:textId="77777777" w:rsidR="00401546" w:rsidRPr="00A9330B" w:rsidRDefault="00401546" w:rsidP="00475C70">
            <w:pPr>
              <w:widowControl w:val="0"/>
              <w:spacing w:before="60"/>
              <w:jc w:val="left"/>
              <w:rPr>
                <w:rFonts w:eastAsia="Calibri" w:cs="Arial"/>
                <w:sz w:val="18"/>
                <w:szCs w:val="18"/>
              </w:rPr>
            </w:pPr>
            <w:r w:rsidRPr="00A9330B">
              <w:rPr>
                <w:rFonts w:eastAsia="Calibri" w:cs="Arial"/>
                <w:sz w:val="18"/>
                <w:szCs w:val="18"/>
              </w:rPr>
              <w:t xml:space="preserve">1.2.a.4.1. </w:t>
            </w:r>
          </w:p>
          <w:p w14:paraId="491F47D6" w14:textId="77777777" w:rsidR="00401546" w:rsidRPr="00A9330B" w:rsidRDefault="00401546" w:rsidP="00475C70">
            <w:pPr>
              <w:widowControl w:val="0"/>
              <w:spacing w:before="60"/>
              <w:jc w:val="left"/>
              <w:rPr>
                <w:rFonts w:eastAsia="Calibri" w:cs="Arial"/>
                <w:sz w:val="18"/>
                <w:szCs w:val="18"/>
              </w:rPr>
            </w:pPr>
            <w:r w:rsidRPr="00A9330B">
              <w:rPr>
                <w:rFonts w:eastAsia="Calibri" w:cs="Arial"/>
                <w:sz w:val="18"/>
                <w:szCs w:val="18"/>
              </w:rPr>
              <w:t xml:space="preserve">Disposer de poubelles sur la base vie </w:t>
            </w:r>
          </w:p>
        </w:tc>
        <w:tc>
          <w:tcPr>
            <w:tcW w:w="3544" w:type="dxa"/>
          </w:tcPr>
          <w:p w14:paraId="5013AF8A" w14:textId="77777777" w:rsidR="00401546" w:rsidRPr="00A9330B" w:rsidRDefault="00401546" w:rsidP="00475C70">
            <w:pPr>
              <w:widowControl w:val="0"/>
              <w:autoSpaceDE w:val="0"/>
              <w:autoSpaceDN w:val="0"/>
              <w:adjustRightInd w:val="0"/>
              <w:spacing w:before="60"/>
              <w:jc w:val="left"/>
              <w:rPr>
                <w:rFonts w:eastAsia="Calibri" w:cs="Arial"/>
                <w:sz w:val="18"/>
                <w:szCs w:val="18"/>
              </w:rPr>
            </w:pPr>
            <w:r w:rsidRPr="00A9330B">
              <w:rPr>
                <w:rFonts w:eastAsia="Calibri" w:cs="Arial"/>
                <w:sz w:val="18"/>
                <w:szCs w:val="18"/>
              </w:rPr>
              <w:t xml:space="preserve">Ligne budgétaire HSE </w:t>
            </w:r>
          </w:p>
          <w:p w14:paraId="1E420FF6" w14:textId="77777777" w:rsidR="00401546" w:rsidRPr="00A9330B" w:rsidRDefault="00401546" w:rsidP="00475C70">
            <w:pPr>
              <w:jc w:val="left"/>
            </w:pPr>
          </w:p>
        </w:tc>
        <w:tc>
          <w:tcPr>
            <w:tcW w:w="6237" w:type="dxa"/>
          </w:tcPr>
          <w:p w14:paraId="676B0723" w14:textId="77777777" w:rsidR="00401546" w:rsidRPr="00A9330B" w:rsidRDefault="00401546" w:rsidP="00475C70">
            <w:pPr>
              <w:widowControl w:val="0"/>
              <w:autoSpaceDE w:val="0"/>
              <w:autoSpaceDN w:val="0"/>
              <w:adjustRightInd w:val="0"/>
              <w:spacing w:before="60"/>
              <w:jc w:val="left"/>
              <w:rPr>
                <w:rFonts w:eastAsia="Calibri" w:cs="Arial"/>
                <w:sz w:val="18"/>
                <w:szCs w:val="18"/>
              </w:rPr>
            </w:pPr>
            <w:r w:rsidRPr="00A9330B">
              <w:rPr>
                <w:rFonts w:eastAsia="Calibri" w:cs="Arial"/>
                <w:sz w:val="18"/>
                <w:szCs w:val="18"/>
              </w:rPr>
              <w:t xml:space="preserve">Ligne budgétaire HSE </w:t>
            </w:r>
          </w:p>
          <w:p w14:paraId="0FFDC174" w14:textId="77777777" w:rsidR="00401546" w:rsidRPr="00A9330B" w:rsidRDefault="00401546" w:rsidP="00475C70">
            <w:pPr>
              <w:widowControl w:val="0"/>
              <w:autoSpaceDE w:val="0"/>
              <w:autoSpaceDN w:val="0"/>
              <w:adjustRightInd w:val="0"/>
              <w:spacing w:before="60"/>
              <w:jc w:val="left"/>
              <w:rPr>
                <w:rFonts w:eastAsia="Calibri" w:cs="Arial"/>
                <w:sz w:val="18"/>
                <w:szCs w:val="18"/>
              </w:rPr>
            </w:pPr>
            <w:r w:rsidRPr="00A9330B">
              <w:rPr>
                <w:rFonts w:eastAsia="Calibri" w:cs="Arial"/>
                <w:sz w:val="18"/>
                <w:szCs w:val="18"/>
              </w:rPr>
              <w:t xml:space="preserve">2- Entretien de la base vie </w:t>
            </w:r>
          </w:p>
          <w:p w14:paraId="14F33CA9" w14:textId="77777777" w:rsidR="00401546" w:rsidRPr="00A9330B" w:rsidRDefault="00401546" w:rsidP="00475C70">
            <w:pPr>
              <w:widowControl w:val="0"/>
              <w:overflowPunct w:val="0"/>
              <w:autoSpaceDE w:val="0"/>
              <w:autoSpaceDN w:val="0"/>
              <w:adjustRightInd w:val="0"/>
              <w:spacing w:before="60" w:line="288" w:lineRule="auto"/>
              <w:ind w:left="405"/>
              <w:contextualSpacing/>
              <w:jc w:val="left"/>
              <w:rPr>
                <w:rFonts w:eastAsia="Calibri" w:cs="Arial"/>
                <w:sz w:val="18"/>
                <w:szCs w:val="18"/>
                <w:lang w:eastAsia="de-DE"/>
              </w:rPr>
            </w:pPr>
            <w:r w:rsidRPr="00A9330B">
              <w:rPr>
                <w:rFonts w:eastAsia="Calibri" w:cs="Arial"/>
                <w:sz w:val="18"/>
                <w:szCs w:val="18"/>
                <w:lang w:eastAsia="de-DE"/>
              </w:rPr>
              <w:t>(voir gestion des déchets)</w:t>
            </w:r>
          </w:p>
        </w:tc>
      </w:tr>
      <w:tr w:rsidR="00401546" w:rsidRPr="00A9330B" w14:paraId="2EAC723F" w14:textId="77777777" w:rsidTr="00401546">
        <w:tc>
          <w:tcPr>
            <w:tcW w:w="3681" w:type="dxa"/>
          </w:tcPr>
          <w:p w14:paraId="67E35E46" w14:textId="77777777" w:rsidR="00401546" w:rsidRPr="00A9330B" w:rsidRDefault="00401546" w:rsidP="00475C70">
            <w:pPr>
              <w:widowControl w:val="0"/>
              <w:spacing w:before="60"/>
              <w:jc w:val="left"/>
              <w:rPr>
                <w:rFonts w:eastAsia="Calibri" w:cs="Arial"/>
                <w:sz w:val="18"/>
                <w:szCs w:val="18"/>
              </w:rPr>
            </w:pPr>
            <w:r w:rsidRPr="00A9330B">
              <w:rPr>
                <w:rFonts w:eastAsia="Calibri" w:cs="Arial"/>
                <w:sz w:val="18"/>
                <w:szCs w:val="18"/>
              </w:rPr>
              <w:lastRenderedPageBreak/>
              <w:t xml:space="preserve">1.2.a.4.2. ; 2.1.a.5.1. ; 2.8.a.4.1. ; 2.10.a.1.4. ; </w:t>
            </w:r>
          </w:p>
          <w:p w14:paraId="18A4A3DC" w14:textId="77777777" w:rsidR="00401546" w:rsidRPr="00A9330B" w:rsidRDefault="00401546" w:rsidP="00475C70">
            <w:pPr>
              <w:widowControl w:val="0"/>
              <w:spacing w:before="60"/>
              <w:jc w:val="left"/>
              <w:rPr>
                <w:rFonts w:eastAsia="Calibri" w:cs="Arial"/>
                <w:sz w:val="18"/>
                <w:szCs w:val="18"/>
              </w:rPr>
            </w:pPr>
            <w:r w:rsidRPr="00A9330B">
              <w:rPr>
                <w:rFonts w:eastAsia="Calibri" w:cs="Arial"/>
                <w:sz w:val="18"/>
                <w:szCs w:val="18"/>
              </w:rPr>
              <w:t xml:space="preserve">Mettre en place un système de collecte de déchets conforme aux normes  </w:t>
            </w:r>
          </w:p>
        </w:tc>
        <w:tc>
          <w:tcPr>
            <w:tcW w:w="3544" w:type="dxa"/>
          </w:tcPr>
          <w:p w14:paraId="7F2EEF22" w14:textId="77777777" w:rsidR="00401546" w:rsidRPr="00A9330B" w:rsidRDefault="00401546" w:rsidP="00475C70">
            <w:pPr>
              <w:widowControl w:val="0"/>
              <w:autoSpaceDE w:val="0"/>
              <w:autoSpaceDN w:val="0"/>
              <w:adjustRightInd w:val="0"/>
              <w:spacing w:before="60"/>
              <w:jc w:val="left"/>
              <w:rPr>
                <w:rFonts w:eastAsia="Calibri" w:cs="Arial"/>
                <w:sz w:val="18"/>
                <w:szCs w:val="18"/>
              </w:rPr>
            </w:pPr>
            <w:r w:rsidRPr="00A9330B">
              <w:rPr>
                <w:rFonts w:eastAsia="Calibri" w:cs="Arial"/>
                <w:sz w:val="18"/>
                <w:szCs w:val="18"/>
              </w:rPr>
              <w:t xml:space="preserve">Entretien des bases vie et gestion des déchets </w:t>
            </w:r>
          </w:p>
          <w:p w14:paraId="4698DEBE" w14:textId="77777777" w:rsidR="00401546" w:rsidRPr="00A9330B" w:rsidRDefault="00401546" w:rsidP="00475C70">
            <w:pPr>
              <w:widowControl w:val="0"/>
              <w:autoSpaceDE w:val="0"/>
              <w:autoSpaceDN w:val="0"/>
              <w:adjustRightInd w:val="0"/>
              <w:spacing w:before="60"/>
              <w:jc w:val="left"/>
            </w:pPr>
            <w:r w:rsidRPr="00A9330B">
              <w:rPr>
                <w:rFonts w:eastAsia="Calibri" w:cs="Arial"/>
                <w:b/>
              </w:rPr>
              <w:t>20 000 000 FCFA /an</w:t>
            </w:r>
          </w:p>
        </w:tc>
        <w:tc>
          <w:tcPr>
            <w:tcW w:w="6237" w:type="dxa"/>
          </w:tcPr>
          <w:p w14:paraId="71A5EE5F" w14:textId="77777777" w:rsidR="00401546" w:rsidRPr="00A9330B" w:rsidRDefault="00401546" w:rsidP="00475C70">
            <w:pPr>
              <w:widowControl w:val="0"/>
              <w:autoSpaceDE w:val="0"/>
              <w:autoSpaceDN w:val="0"/>
              <w:adjustRightInd w:val="0"/>
              <w:spacing w:before="60"/>
              <w:jc w:val="left"/>
              <w:rPr>
                <w:rFonts w:eastAsia="Calibri" w:cs="Arial"/>
                <w:sz w:val="18"/>
                <w:szCs w:val="18"/>
              </w:rPr>
            </w:pPr>
            <w:r w:rsidRPr="00A9330B">
              <w:rPr>
                <w:rFonts w:eastAsia="Calibri" w:cs="Arial"/>
                <w:sz w:val="18"/>
                <w:szCs w:val="18"/>
              </w:rPr>
              <w:t xml:space="preserve">Ligne budgétaire HSE </w:t>
            </w:r>
          </w:p>
          <w:p w14:paraId="05B69A11" w14:textId="18A8B92A" w:rsidR="00401546" w:rsidRPr="00A9330B" w:rsidRDefault="00401546" w:rsidP="00475C70">
            <w:pPr>
              <w:widowControl w:val="0"/>
              <w:autoSpaceDE w:val="0"/>
              <w:autoSpaceDN w:val="0"/>
              <w:adjustRightInd w:val="0"/>
              <w:spacing w:before="60"/>
              <w:jc w:val="left"/>
              <w:rPr>
                <w:rFonts w:eastAsia="Calibri" w:cs="Arial"/>
                <w:sz w:val="18"/>
                <w:szCs w:val="18"/>
              </w:rPr>
            </w:pPr>
            <w:r w:rsidRPr="00A9330B">
              <w:rPr>
                <w:rFonts w:eastAsia="Calibri" w:cs="Arial"/>
                <w:sz w:val="18"/>
                <w:szCs w:val="18"/>
              </w:rPr>
              <w:t xml:space="preserve">2- Entretien </w:t>
            </w:r>
            <w:r w:rsidR="00475C70" w:rsidRPr="00A9330B">
              <w:rPr>
                <w:rFonts w:eastAsia="Calibri" w:cs="Arial"/>
                <w:sz w:val="18"/>
                <w:szCs w:val="18"/>
              </w:rPr>
              <w:t>des bases</w:t>
            </w:r>
            <w:r w:rsidRPr="00A9330B">
              <w:rPr>
                <w:rFonts w:eastAsia="Calibri" w:cs="Arial"/>
                <w:sz w:val="18"/>
                <w:szCs w:val="18"/>
              </w:rPr>
              <w:t xml:space="preserve"> vie </w:t>
            </w:r>
          </w:p>
          <w:p w14:paraId="494132DA" w14:textId="5F871E7A" w:rsidR="00401546" w:rsidRPr="00A9330B" w:rsidRDefault="00401546" w:rsidP="00475C70">
            <w:pPr>
              <w:widowControl w:val="0"/>
              <w:autoSpaceDE w:val="0"/>
              <w:autoSpaceDN w:val="0"/>
              <w:adjustRightInd w:val="0"/>
              <w:spacing w:before="60"/>
              <w:jc w:val="left"/>
              <w:rPr>
                <w:rFonts w:eastAsia="Calibri" w:cs="Arial"/>
                <w:sz w:val="18"/>
                <w:szCs w:val="18"/>
              </w:rPr>
            </w:pPr>
            <w:r w:rsidRPr="00A9330B">
              <w:rPr>
                <w:rFonts w:eastAsia="Calibri" w:cs="Arial"/>
                <w:sz w:val="18"/>
                <w:szCs w:val="18"/>
              </w:rPr>
              <w:t xml:space="preserve">(02 agents d’entretien, acquisition et renouvellement des poubelles, abonnement à une structure de collecte, gestion des huiles </w:t>
            </w:r>
            <w:r w:rsidR="00475C70" w:rsidRPr="00A9330B">
              <w:rPr>
                <w:rFonts w:eastAsia="Calibri" w:cs="Arial"/>
                <w:sz w:val="18"/>
                <w:szCs w:val="18"/>
              </w:rPr>
              <w:t>usagées …</w:t>
            </w:r>
            <w:r w:rsidRPr="00A9330B">
              <w:rPr>
                <w:rFonts w:eastAsia="Calibri" w:cs="Arial"/>
                <w:sz w:val="18"/>
                <w:szCs w:val="18"/>
              </w:rPr>
              <w:t>)</w:t>
            </w:r>
          </w:p>
          <w:p w14:paraId="6548A345" w14:textId="77777777" w:rsidR="00401546" w:rsidRPr="00A9330B" w:rsidRDefault="00401546" w:rsidP="00475C70">
            <w:pPr>
              <w:widowControl w:val="0"/>
              <w:autoSpaceDE w:val="0"/>
              <w:autoSpaceDN w:val="0"/>
              <w:adjustRightInd w:val="0"/>
              <w:spacing w:before="60"/>
              <w:jc w:val="left"/>
              <w:rPr>
                <w:rFonts w:eastAsia="Calibri" w:cs="Arial"/>
                <w:b/>
              </w:rPr>
            </w:pPr>
            <w:r w:rsidRPr="00A9330B">
              <w:rPr>
                <w:rFonts w:eastAsia="Calibri" w:cs="Arial"/>
                <w:b/>
              </w:rPr>
              <w:t xml:space="preserve">20 000 000 FCFA /an </w:t>
            </w:r>
          </w:p>
        </w:tc>
      </w:tr>
      <w:tr w:rsidR="00401546" w:rsidRPr="00A9330B" w14:paraId="19DFBD6F" w14:textId="77777777" w:rsidTr="00401546">
        <w:tc>
          <w:tcPr>
            <w:tcW w:w="3681" w:type="dxa"/>
          </w:tcPr>
          <w:p w14:paraId="28A7AF1C" w14:textId="77777777" w:rsidR="00401546" w:rsidRPr="00A9330B" w:rsidRDefault="00401546" w:rsidP="00475C70">
            <w:pPr>
              <w:widowControl w:val="0"/>
              <w:spacing w:before="60"/>
              <w:jc w:val="left"/>
              <w:rPr>
                <w:rFonts w:eastAsia="Calibri" w:cs="Arial"/>
                <w:sz w:val="18"/>
                <w:szCs w:val="18"/>
              </w:rPr>
            </w:pPr>
            <w:r w:rsidRPr="00A9330B">
              <w:rPr>
                <w:rFonts w:eastAsia="Calibri" w:cs="Arial"/>
                <w:sz w:val="18"/>
                <w:szCs w:val="18"/>
              </w:rPr>
              <w:t xml:space="preserve">1.2.a.5.1. ; 2.5.a.3.2. ;  2.8.a.2.1. ; 2.8.a.2.1. ; 2.10.a.4.1. ; </w:t>
            </w:r>
          </w:p>
          <w:p w14:paraId="43F57EF1" w14:textId="77777777" w:rsidR="00401546" w:rsidRPr="00A9330B" w:rsidRDefault="00401546" w:rsidP="00475C70">
            <w:pPr>
              <w:jc w:val="left"/>
            </w:pPr>
            <w:r w:rsidRPr="00A9330B">
              <w:rPr>
                <w:rFonts w:eastAsia="Calibri" w:cs="Arial"/>
                <w:sz w:val="18"/>
                <w:szCs w:val="18"/>
              </w:rPr>
              <w:t>Aménager des aires étanches pour la manipulation des huiles usagées, graisses, hydrocarbures … dans la base vie</w:t>
            </w:r>
          </w:p>
        </w:tc>
        <w:tc>
          <w:tcPr>
            <w:tcW w:w="3544" w:type="dxa"/>
          </w:tcPr>
          <w:p w14:paraId="3C13BF1D" w14:textId="77777777" w:rsidR="00401546" w:rsidRPr="00A9330B" w:rsidRDefault="00401546" w:rsidP="00475C70">
            <w:pPr>
              <w:widowControl w:val="0"/>
              <w:autoSpaceDE w:val="0"/>
              <w:autoSpaceDN w:val="0"/>
              <w:adjustRightInd w:val="0"/>
              <w:spacing w:before="60"/>
              <w:jc w:val="left"/>
              <w:rPr>
                <w:rFonts w:eastAsia="Calibri" w:cs="Arial"/>
                <w:sz w:val="18"/>
                <w:szCs w:val="18"/>
              </w:rPr>
            </w:pPr>
            <w:r w:rsidRPr="00A9330B">
              <w:rPr>
                <w:rFonts w:eastAsia="Calibri" w:cs="Arial"/>
                <w:sz w:val="18"/>
                <w:szCs w:val="18"/>
              </w:rPr>
              <w:t xml:space="preserve">Ligne budgétaire HSE </w:t>
            </w:r>
          </w:p>
          <w:p w14:paraId="5C979406" w14:textId="77777777" w:rsidR="00401546" w:rsidRPr="00A9330B" w:rsidRDefault="00401546" w:rsidP="00475C70">
            <w:pPr>
              <w:jc w:val="left"/>
            </w:pPr>
          </w:p>
        </w:tc>
        <w:tc>
          <w:tcPr>
            <w:tcW w:w="6237" w:type="dxa"/>
          </w:tcPr>
          <w:p w14:paraId="3E1697E0" w14:textId="77777777" w:rsidR="00401546" w:rsidRPr="00A9330B" w:rsidRDefault="00401546" w:rsidP="00475C70">
            <w:pPr>
              <w:widowControl w:val="0"/>
              <w:autoSpaceDE w:val="0"/>
              <w:autoSpaceDN w:val="0"/>
              <w:adjustRightInd w:val="0"/>
              <w:spacing w:before="60"/>
              <w:jc w:val="left"/>
              <w:rPr>
                <w:rFonts w:eastAsia="Calibri" w:cs="Arial"/>
                <w:sz w:val="18"/>
                <w:szCs w:val="18"/>
              </w:rPr>
            </w:pPr>
            <w:r w:rsidRPr="00A9330B">
              <w:rPr>
                <w:rFonts w:eastAsia="Calibri" w:cs="Arial"/>
                <w:sz w:val="18"/>
                <w:szCs w:val="18"/>
              </w:rPr>
              <w:t xml:space="preserve">Ligne budgétaire HSE </w:t>
            </w:r>
          </w:p>
          <w:p w14:paraId="03CD4339" w14:textId="77777777" w:rsidR="00401546" w:rsidRPr="00A9330B" w:rsidRDefault="00401546" w:rsidP="00475C70">
            <w:pPr>
              <w:widowControl w:val="0"/>
              <w:autoSpaceDE w:val="0"/>
              <w:autoSpaceDN w:val="0"/>
              <w:adjustRightInd w:val="0"/>
              <w:spacing w:before="60"/>
              <w:jc w:val="left"/>
              <w:rPr>
                <w:rFonts w:eastAsia="Calibri" w:cs="Arial"/>
                <w:sz w:val="18"/>
                <w:szCs w:val="18"/>
              </w:rPr>
            </w:pPr>
            <w:r w:rsidRPr="00A9330B">
              <w:rPr>
                <w:rFonts w:eastAsia="Calibri" w:cs="Arial"/>
                <w:sz w:val="18"/>
                <w:szCs w:val="18"/>
              </w:rPr>
              <w:t xml:space="preserve">2- Entretien des bases vie </w:t>
            </w:r>
          </w:p>
          <w:p w14:paraId="749882D3" w14:textId="77777777" w:rsidR="00401546" w:rsidRPr="00A9330B" w:rsidRDefault="00401546" w:rsidP="00475C70">
            <w:pPr>
              <w:jc w:val="left"/>
            </w:pPr>
            <w:r w:rsidRPr="00A9330B">
              <w:rPr>
                <w:rFonts w:eastAsia="Calibri" w:cs="Arial"/>
                <w:sz w:val="18"/>
                <w:szCs w:val="18"/>
              </w:rPr>
              <w:t>(voir gestion des déchets)</w:t>
            </w:r>
          </w:p>
        </w:tc>
      </w:tr>
      <w:tr w:rsidR="00401546" w:rsidRPr="00A9330B" w14:paraId="53367E25" w14:textId="77777777" w:rsidTr="00401546">
        <w:tc>
          <w:tcPr>
            <w:tcW w:w="3681" w:type="dxa"/>
          </w:tcPr>
          <w:p w14:paraId="37730AA4" w14:textId="77777777" w:rsidR="00401546" w:rsidRPr="00A9330B" w:rsidRDefault="00401546" w:rsidP="00475C70">
            <w:pPr>
              <w:widowControl w:val="0"/>
              <w:spacing w:before="60"/>
              <w:jc w:val="left"/>
              <w:rPr>
                <w:rFonts w:eastAsia="Calibri" w:cs="Arial"/>
                <w:b/>
                <w:sz w:val="18"/>
                <w:szCs w:val="18"/>
              </w:rPr>
            </w:pPr>
            <w:r w:rsidRPr="00A9330B">
              <w:rPr>
                <w:rFonts w:eastAsia="Calibri" w:cs="Arial"/>
                <w:b/>
                <w:sz w:val="18"/>
                <w:szCs w:val="18"/>
              </w:rPr>
              <w:t xml:space="preserve">PLAN DE COMMUNICATION ET DE SENSIBILISATION POUR LES TRAVAUX </w:t>
            </w:r>
          </w:p>
        </w:tc>
        <w:tc>
          <w:tcPr>
            <w:tcW w:w="3544" w:type="dxa"/>
          </w:tcPr>
          <w:p w14:paraId="536BFBB6" w14:textId="77777777" w:rsidR="00401546" w:rsidRPr="00A9330B" w:rsidRDefault="00401546" w:rsidP="00475C70">
            <w:pPr>
              <w:widowControl w:val="0"/>
              <w:autoSpaceDE w:val="0"/>
              <w:autoSpaceDN w:val="0"/>
              <w:adjustRightInd w:val="0"/>
              <w:spacing w:before="60"/>
              <w:jc w:val="left"/>
              <w:rPr>
                <w:rFonts w:eastAsia="Calibri" w:cs="Arial"/>
                <w:sz w:val="18"/>
                <w:szCs w:val="18"/>
              </w:rPr>
            </w:pPr>
            <w:r w:rsidRPr="00A9330B">
              <w:rPr>
                <w:rFonts w:eastAsia="Calibri" w:cs="Arial"/>
                <w:sz w:val="18"/>
                <w:szCs w:val="18"/>
              </w:rPr>
              <w:t>Plan de communication (03 an)</w:t>
            </w:r>
          </w:p>
          <w:p w14:paraId="70A44F8E" w14:textId="77777777" w:rsidR="00401546" w:rsidRPr="00A9330B" w:rsidRDefault="00401546" w:rsidP="00475C70">
            <w:pPr>
              <w:widowControl w:val="0"/>
              <w:autoSpaceDE w:val="0"/>
              <w:autoSpaceDN w:val="0"/>
              <w:adjustRightInd w:val="0"/>
              <w:spacing w:before="60"/>
              <w:jc w:val="left"/>
              <w:rPr>
                <w:rFonts w:eastAsia="Calibri" w:cs="Arial"/>
                <w:b/>
              </w:rPr>
            </w:pPr>
            <w:r w:rsidRPr="00A9330B">
              <w:rPr>
                <w:rFonts w:eastAsia="Calibri" w:cs="Arial"/>
                <w:b/>
              </w:rPr>
              <w:t xml:space="preserve">Cout :   37 100 000 FCFA </w:t>
            </w:r>
          </w:p>
          <w:p w14:paraId="6A8CDDA4" w14:textId="77777777" w:rsidR="00401546" w:rsidRPr="00A9330B" w:rsidRDefault="00401546" w:rsidP="00475C70">
            <w:pPr>
              <w:widowControl w:val="0"/>
              <w:autoSpaceDE w:val="0"/>
              <w:autoSpaceDN w:val="0"/>
              <w:adjustRightInd w:val="0"/>
              <w:spacing w:before="60"/>
              <w:jc w:val="left"/>
              <w:rPr>
                <w:rFonts w:eastAsia="Calibri" w:cs="Arial"/>
                <w:sz w:val="18"/>
                <w:szCs w:val="18"/>
              </w:rPr>
            </w:pPr>
          </w:p>
        </w:tc>
        <w:tc>
          <w:tcPr>
            <w:tcW w:w="6237" w:type="dxa"/>
          </w:tcPr>
          <w:p w14:paraId="391FBB83" w14:textId="77777777" w:rsidR="00401546" w:rsidRPr="00A9330B" w:rsidRDefault="00401546" w:rsidP="00475C70">
            <w:pPr>
              <w:widowControl w:val="0"/>
              <w:autoSpaceDE w:val="0"/>
              <w:autoSpaceDN w:val="0"/>
              <w:adjustRightInd w:val="0"/>
              <w:spacing w:before="60"/>
              <w:jc w:val="left"/>
              <w:rPr>
                <w:rFonts w:eastAsia="Calibri" w:cs="Arial"/>
                <w:sz w:val="18"/>
                <w:szCs w:val="18"/>
              </w:rPr>
            </w:pPr>
            <w:r w:rsidRPr="00A9330B">
              <w:rPr>
                <w:rFonts w:eastAsia="Calibri" w:cs="Arial"/>
                <w:sz w:val="18"/>
                <w:szCs w:val="18"/>
              </w:rPr>
              <w:t>Communication et sensibilisation pour la libération des emprises</w:t>
            </w:r>
          </w:p>
          <w:p w14:paraId="11696FC0" w14:textId="77777777" w:rsidR="00401546" w:rsidRPr="00A9330B" w:rsidRDefault="00401546" w:rsidP="00475C70">
            <w:pPr>
              <w:widowControl w:val="0"/>
              <w:autoSpaceDE w:val="0"/>
              <w:autoSpaceDN w:val="0"/>
              <w:adjustRightInd w:val="0"/>
              <w:spacing w:before="60"/>
              <w:jc w:val="left"/>
              <w:rPr>
                <w:rFonts w:eastAsia="Calibri" w:cs="Arial"/>
                <w:b/>
                <w:sz w:val="18"/>
                <w:szCs w:val="18"/>
              </w:rPr>
            </w:pPr>
            <w:r w:rsidRPr="00A9330B">
              <w:rPr>
                <w:rFonts w:eastAsia="Calibri" w:cs="Arial"/>
                <w:b/>
                <w:sz w:val="18"/>
                <w:szCs w:val="18"/>
              </w:rPr>
              <w:t xml:space="preserve">Cout:   2 100 000  FCFA / an </w:t>
            </w:r>
          </w:p>
          <w:p w14:paraId="14F0E674" w14:textId="77777777" w:rsidR="00401546" w:rsidRPr="00A9330B" w:rsidRDefault="00401546" w:rsidP="00475C70">
            <w:pPr>
              <w:widowControl w:val="0"/>
              <w:autoSpaceDE w:val="0"/>
              <w:autoSpaceDN w:val="0"/>
              <w:adjustRightInd w:val="0"/>
              <w:spacing w:before="60"/>
              <w:jc w:val="left"/>
              <w:rPr>
                <w:rFonts w:eastAsia="Calibri" w:cs="Arial"/>
                <w:b/>
                <w:sz w:val="18"/>
                <w:szCs w:val="18"/>
              </w:rPr>
            </w:pPr>
            <w:r w:rsidRPr="00A9330B">
              <w:rPr>
                <w:rFonts w:eastAsia="Calibri" w:cs="Arial"/>
                <w:b/>
                <w:sz w:val="18"/>
                <w:szCs w:val="18"/>
              </w:rPr>
              <w:t>Cout : 1 500 000  FCFA / an</w:t>
            </w:r>
          </w:p>
          <w:p w14:paraId="78C5B17A" w14:textId="77777777" w:rsidR="00401546" w:rsidRPr="00A9330B" w:rsidRDefault="00401546" w:rsidP="00475C70">
            <w:pPr>
              <w:widowControl w:val="0"/>
              <w:autoSpaceDE w:val="0"/>
              <w:autoSpaceDN w:val="0"/>
              <w:adjustRightInd w:val="0"/>
              <w:spacing w:before="60"/>
              <w:jc w:val="left"/>
              <w:rPr>
                <w:rFonts w:eastAsia="Calibri" w:cs="Arial"/>
                <w:sz w:val="18"/>
                <w:szCs w:val="18"/>
              </w:rPr>
            </w:pPr>
            <w:r w:rsidRPr="00A9330B">
              <w:rPr>
                <w:rFonts w:eastAsia="Calibri" w:cs="Arial"/>
                <w:b/>
                <w:sz w:val="18"/>
                <w:szCs w:val="18"/>
              </w:rPr>
              <w:t xml:space="preserve">Cout :  9 000 000 F CFA / an  </w:t>
            </w:r>
          </w:p>
        </w:tc>
      </w:tr>
      <w:tr w:rsidR="00401546" w:rsidRPr="00A9330B" w14:paraId="35EA34C5" w14:textId="77777777" w:rsidTr="00401546">
        <w:tc>
          <w:tcPr>
            <w:tcW w:w="3681" w:type="dxa"/>
          </w:tcPr>
          <w:p w14:paraId="6C922FC6" w14:textId="77777777" w:rsidR="00401546" w:rsidRPr="00A9330B" w:rsidRDefault="00401546" w:rsidP="00475C70">
            <w:pPr>
              <w:widowControl w:val="0"/>
              <w:spacing w:before="60"/>
              <w:jc w:val="left"/>
              <w:rPr>
                <w:rFonts w:eastAsia="Calibri" w:cs="Arial"/>
                <w:sz w:val="18"/>
                <w:szCs w:val="18"/>
              </w:rPr>
            </w:pPr>
            <w:r w:rsidRPr="00A9330B">
              <w:rPr>
                <w:rFonts w:eastAsia="Calibri" w:cs="Arial"/>
                <w:sz w:val="18"/>
                <w:szCs w:val="18"/>
              </w:rPr>
              <w:t xml:space="preserve">2.8.a.5.3. ;  .31.a.5.2. ; </w:t>
            </w:r>
          </w:p>
          <w:p w14:paraId="3F3FB312" w14:textId="77777777" w:rsidR="00401546" w:rsidRPr="00A9330B" w:rsidRDefault="00401546" w:rsidP="00475C70">
            <w:pPr>
              <w:jc w:val="left"/>
            </w:pPr>
            <w:r w:rsidRPr="00A9330B">
              <w:rPr>
                <w:rFonts w:eastAsia="Calibri" w:cs="Arial"/>
                <w:sz w:val="18"/>
                <w:szCs w:val="18"/>
              </w:rPr>
              <w:t>Elaborer et mettre en œuvre un plan de communication et de sensibilisation pour la libération des emprises de la route à aménager</w:t>
            </w:r>
          </w:p>
        </w:tc>
        <w:tc>
          <w:tcPr>
            <w:tcW w:w="3544" w:type="dxa"/>
          </w:tcPr>
          <w:p w14:paraId="09C58200" w14:textId="77777777" w:rsidR="00401546" w:rsidRPr="00A9330B" w:rsidRDefault="00401546" w:rsidP="00475C70">
            <w:pPr>
              <w:widowControl w:val="0"/>
              <w:autoSpaceDE w:val="0"/>
              <w:autoSpaceDN w:val="0"/>
              <w:adjustRightInd w:val="0"/>
              <w:spacing w:before="60"/>
              <w:jc w:val="left"/>
              <w:rPr>
                <w:rFonts w:eastAsia="Calibri" w:cs="Arial"/>
                <w:sz w:val="18"/>
                <w:szCs w:val="18"/>
              </w:rPr>
            </w:pPr>
            <w:r w:rsidRPr="00A9330B">
              <w:rPr>
                <w:rFonts w:eastAsia="Calibri" w:cs="Arial"/>
                <w:sz w:val="18"/>
                <w:szCs w:val="18"/>
              </w:rPr>
              <w:t>Sensibilisation par les crieurs publics, les radios locales et porte à porte par les agents HSE (03 séquences espacées de deux semaines)</w:t>
            </w:r>
          </w:p>
          <w:p w14:paraId="7918DFE9" w14:textId="77777777" w:rsidR="00401546" w:rsidRPr="00A9330B" w:rsidRDefault="00401546" w:rsidP="00475C70">
            <w:pPr>
              <w:jc w:val="left"/>
              <w:rPr>
                <w:rFonts w:eastAsia="Calibri" w:cs="Arial"/>
                <w:b/>
                <w:sz w:val="18"/>
                <w:szCs w:val="18"/>
              </w:rPr>
            </w:pPr>
          </w:p>
          <w:p w14:paraId="4A52EA66" w14:textId="77777777" w:rsidR="00401546" w:rsidRPr="00A9330B" w:rsidRDefault="00401546" w:rsidP="00475C70">
            <w:pPr>
              <w:jc w:val="left"/>
            </w:pPr>
            <w:r w:rsidRPr="00A9330B">
              <w:rPr>
                <w:rFonts w:eastAsia="Calibri" w:cs="Arial"/>
                <w:b/>
                <w:sz w:val="18"/>
                <w:szCs w:val="18"/>
              </w:rPr>
              <w:t>Cout:   2 100 000  FCFA</w:t>
            </w:r>
          </w:p>
        </w:tc>
        <w:tc>
          <w:tcPr>
            <w:tcW w:w="6237" w:type="dxa"/>
          </w:tcPr>
          <w:p w14:paraId="69F73587" w14:textId="77777777" w:rsidR="00401546" w:rsidRPr="00A9330B" w:rsidRDefault="00401546" w:rsidP="00475C70">
            <w:pPr>
              <w:widowControl w:val="0"/>
              <w:autoSpaceDE w:val="0"/>
              <w:autoSpaceDN w:val="0"/>
              <w:adjustRightInd w:val="0"/>
              <w:spacing w:before="60"/>
              <w:jc w:val="left"/>
              <w:rPr>
                <w:rFonts w:eastAsia="Calibri" w:cs="Arial"/>
                <w:sz w:val="18"/>
                <w:szCs w:val="18"/>
              </w:rPr>
            </w:pPr>
            <w:r w:rsidRPr="00A9330B">
              <w:rPr>
                <w:rFonts w:eastAsia="Calibri" w:cs="Arial"/>
                <w:sz w:val="18"/>
                <w:szCs w:val="18"/>
              </w:rPr>
              <w:t xml:space="preserve">Sensibilisation par les crieurs publics </w:t>
            </w:r>
          </w:p>
          <w:p w14:paraId="4BCD5A27" w14:textId="77777777" w:rsidR="00401546" w:rsidRPr="00A9330B" w:rsidRDefault="00401546" w:rsidP="00475C70">
            <w:pPr>
              <w:widowControl w:val="0"/>
              <w:autoSpaceDE w:val="0"/>
              <w:autoSpaceDN w:val="0"/>
              <w:adjustRightInd w:val="0"/>
              <w:spacing w:before="60"/>
              <w:jc w:val="left"/>
              <w:rPr>
                <w:rFonts w:eastAsia="Calibri" w:cs="Arial"/>
                <w:sz w:val="18"/>
                <w:szCs w:val="18"/>
              </w:rPr>
            </w:pPr>
            <w:r w:rsidRPr="00A9330B">
              <w:rPr>
                <w:rFonts w:eastAsia="Calibri" w:cs="Arial"/>
                <w:sz w:val="18"/>
                <w:szCs w:val="18"/>
              </w:rPr>
              <w:t xml:space="preserve">FORFAIT : 200 000 F  X 03 </w:t>
            </w:r>
          </w:p>
          <w:p w14:paraId="20086967" w14:textId="77777777" w:rsidR="00401546" w:rsidRPr="00A9330B" w:rsidRDefault="00401546" w:rsidP="00475C70">
            <w:pPr>
              <w:widowControl w:val="0"/>
              <w:autoSpaceDE w:val="0"/>
              <w:autoSpaceDN w:val="0"/>
              <w:adjustRightInd w:val="0"/>
              <w:spacing w:before="60"/>
              <w:jc w:val="left"/>
              <w:rPr>
                <w:rFonts w:eastAsia="Calibri" w:cs="Arial"/>
                <w:sz w:val="18"/>
                <w:szCs w:val="18"/>
              </w:rPr>
            </w:pPr>
            <w:r w:rsidRPr="00A9330B">
              <w:rPr>
                <w:rFonts w:eastAsia="Calibri" w:cs="Arial"/>
                <w:sz w:val="18"/>
                <w:szCs w:val="18"/>
              </w:rPr>
              <w:t xml:space="preserve">Sensibilisation par les radios locales </w:t>
            </w:r>
          </w:p>
          <w:p w14:paraId="7DC06915" w14:textId="77777777" w:rsidR="00401546" w:rsidRPr="00A9330B" w:rsidRDefault="00401546" w:rsidP="00475C70">
            <w:pPr>
              <w:widowControl w:val="0"/>
              <w:autoSpaceDE w:val="0"/>
              <w:autoSpaceDN w:val="0"/>
              <w:adjustRightInd w:val="0"/>
              <w:spacing w:before="60"/>
              <w:jc w:val="left"/>
              <w:rPr>
                <w:rFonts w:eastAsia="Calibri" w:cs="Arial"/>
                <w:sz w:val="18"/>
                <w:szCs w:val="18"/>
              </w:rPr>
            </w:pPr>
            <w:r w:rsidRPr="00A9330B">
              <w:rPr>
                <w:rFonts w:eastAsia="Calibri" w:cs="Arial"/>
                <w:sz w:val="18"/>
                <w:szCs w:val="18"/>
              </w:rPr>
              <w:t xml:space="preserve">FORFAIT : 500 000 F X 03 </w:t>
            </w:r>
          </w:p>
          <w:p w14:paraId="598C5492" w14:textId="77777777" w:rsidR="00401546" w:rsidRPr="00A9330B" w:rsidRDefault="00401546" w:rsidP="00475C70">
            <w:pPr>
              <w:widowControl w:val="0"/>
              <w:autoSpaceDE w:val="0"/>
              <w:autoSpaceDN w:val="0"/>
              <w:adjustRightInd w:val="0"/>
              <w:spacing w:before="60"/>
              <w:jc w:val="left"/>
              <w:rPr>
                <w:rFonts w:eastAsia="Calibri" w:cs="Arial"/>
                <w:sz w:val="18"/>
                <w:szCs w:val="18"/>
              </w:rPr>
            </w:pPr>
            <w:r w:rsidRPr="00A9330B">
              <w:rPr>
                <w:rFonts w:eastAsia="Calibri" w:cs="Arial"/>
                <w:sz w:val="18"/>
                <w:szCs w:val="18"/>
              </w:rPr>
              <w:t xml:space="preserve">03 séquences à intervalle de deux semaines </w:t>
            </w:r>
          </w:p>
          <w:p w14:paraId="77954E4F" w14:textId="77777777" w:rsidR="00401546" w:rsidRPr="00A9330B" w:rsidRDefault="00401546" w:rsidP="00475C70">
            <w:pPr>
              <w:jc w:val="left"/>
            </w:pPr>
            <w:r w:rsidRPr="00A9330B">
              <w:rPr>
                <w:rFonts w:eastAsia="Calibri" w:cs="Arial"/>
                <w:b/>
                <w:sz w:val="18"/>
                <w:szCs w:val="18"/>
              </w:rPr>
              <w:t>Cout:   2 100 000  FCFA</w:t>
            </w:r>
          </w:p>
        </w:tc>
      </w:tr>
      <w:tr w:rsidR="00401546" w:rsidRPr="00A9330B" w14:paraId="1069B04A" w14:textId="77777777" w:rsidTr="00401546">
        <w:tc>
          <w:tcPr>
            <w:tcW w:w="3681" w:type="dxa"/>
          </w:tcPr>
          <w:p w14:paraId="74F73E02" w14:textId="77777777" w:rsidR="00401546" w:rsidRPr="00A9330B" w:rsidRDefault="00401546" w:rsidP="00475C70">
            <w:pPr>
              <w:jc w:val="left"/>
            </w:pPr>
            <w:r w:rsidRPr="00A9330B">
              <w:rPr>
                <w:rFonts w:eastAsia="Calibri" w:cs="Arial"/>
                <w:sz w:val="18"/>
                <w:szCs w:val="18"/>
              </w:rPr>
              <w:t>2.8.a.6.2. Informer les populations riveraines et les usagers des réseaux de toute perturbation envisagée</w:t>
            </w:r>
          </w:p>
        </w:tc>
        <w:tc>
          <w:tcPr>
            <w:tcW w:w="3544" w:type="dxa"/>
          </w:tcPr>
          <w:p w14:paraId="4C12C7C4" w14:textId="77777777" w:rsidR="00401546" w:rsidRPr="00A9330B" w:rsidRDefault="00401546" w:rsidP="00475C70">
            <w:pPr>
              <w:widowControl w:val="0"/>
              <w:autoSpaceDE w:val="0"/>
              <w:autoSpaceDN w:val="0"/>
              <w:adjustRightInd w:val="0"/>
              <w:spacing w:before="60"/>
              <w:jc w:val="left"/>
              <w:rPr>
                <w:rFonts w:eastAsia="Calibri" w:cs="Arial"/>
                <w:sz w:val="18"/>
                <w:szCs w:val="18"/>
              </w:rPr>
            </w:pPr>
            <w:r w:rsidRPr="00A9330B">
              <w:rPr>
                <w:rFonts w:eastAsia="Calibri" w:cs="Arial"/>
                <w:sz w:val="18"/>
                <w:szCs w:val="18"/>
              </w:rPr>
              <w:t>Sensibilisation par les crieurs publics, les radios locales (chaque fois au besoin)</w:t>
            </w:r>
          </w:p>
          <w:p w14:paraId="0786798E" w14:textId="77777777" w:rsidR="00401546" w:rsidRPr="00A9330B" w:rsidRDefault="00401546" w:rsidP="00475C70">
            <w:pPr>
              <w:jc w:val="left"/>
              <w:rPr>
                <w:rFonts w:eastAsia="Calibri" w:cs="Arial"/>
                <w:b/>
                <w:sz w:val="18"/>
                <w:szCs w:val="18"/>
              </w:rPr>
            </w:pPr>
          </w:p>
          <w:p w14:paraId="4CF1FDC6" w14:textId="77777777" w:rsidR="00401546" w:rsidRPr="00A9330B" w:rsidRDefault="00401546" w:rsidP="00475C70">
            <w:pPr>
              <w:jc w:val="left"/>
            </w:pPr>
            <w:r w:rsidRPr="00A9330B">
              <w:rPr>
                <w:rFonts w:eastAsia="Calibri" w:cs="Arial"/>
                <w:b/>
                <w:sz w:val="18"/>
                <w:szCs w:val="18"/>
              </w:rPr>
              <w:t xml:space="preserve">Cout :    1 500 000  FCFA / an </w:t>
            </w:r>
          </w:p>
        </w:tc>
        <w:tc>
          <w:tcPr>
            <w:tcW w:w="6237" w:type="dxa"/>
          </w:tcPr>
          <w:p w14:paraId="7AA16FD0" w14:textId="77777777" w:rsidR="00401546" w:rsidRPr="00A9330B" w:rsidRDefault="00401546" w:rsidP="00475C70">
            <w:pPr>
              <w:widowControl w:val="0"/>
              <w:autoSpaceDE w:val="0"/>
              <w:autoSpaceDN w:val="0"/>
              <w:adjustRightInd w:val="0"/>
              <w:spacing w:before="60"/>
              <w:jc w:val="left"/>
              <w:rPr>
                <w:rFonts w:eastAsia="Calibri" w:cs="Arial"/>
                <w:sz w:val="18"/>
                <w:szCs w:val="18"/>
              </w:rPr>
            </w:pPr>
            <w:r w:rsidRPr="00A9330B">
              <w:rPr>
                <w:rFonts w:eastAsia="Calibri" w:cs="Arial"/>
                <w:sz w:val="18"/>
                <w:szCs w:val="18"/>
              </w:rPr>
              <w:t>Sensibilisation par les crieurs publics, les radios locales (chaque fois au besoin)</w:t>
            </w:r>
          </w:p>
          <w:p w14:paraId="1E4B8B6E" w14:textId="77777777" w:rsidR="00401546" w:rsidRPr="00A9330B" w:rsidRDefault="00401546" w:rsidP="00475C70">
            <w:pPr>
              <w:jc w:val="left"/>
              <w:rPr>
                <w:rFonts w:eastAsia="Calibri" w:cs="Arial"/>
                <w:b/>
                <w:sz w:val="18"/>
                <w:szCs w:val="18"/>
              </w:rPr>
            </w:pPr>
          </w:p>
          <w:p w14:paraId="5330C105" w14:textId="77777777" w:rsidR="00401546" w:rsidRPr="00A9330B" w:rsidRDefault="00401546" w:rsidP="00475C70">
            <w:pPr>
              <w:jc w:val="left"/>
            </w:pPr>
            <w:r w:rsidRPr="00A9330B">
              <w:rPr>
                <w:rFonts w:eastAsia="Calibri" w:cs="Arial"/>
                <w:b/>
                <w:sz w:val="18"/>
                <w:szCs w:val="18"/>
              </w:rPr>
              <w:t>Cout : 1 500 000  FCFA / an</w:t>
            </w:r>
          </w:p>
        </w:tc>
      </w:tr>
      <w:tr w:rsidR="00401546" w:rsidRPr="00A9330B" w14:paraId="53FF2921" w14:textId="77777777" w:rsidTr="00401546">
        <w:tc>
          <w:tcPr>
            <w:tcW w:w="3681" w:type="dxa"/>
          </w:tcPr>
          <w:p w14:paraId="419CC7B2" w14:textId="77777777" w:rsidR="00401546" w:rsidRPr="00A9330B" w:rsidRDefault="00401546" w:rsidP="00475C70">
            <w:pPr>
              <w:widowControl w:val="0"/>
              <w:spacing w:before="60"/>
              <w:jc w:val="left"/>
              <w:rPr>
                <w:rFonts w:eastAsia="Calibri" w:cs="Arial"/>
                <w:sz w:val="18"/>
                <w:szCs w:val="18"/>
              </w:rPr>
            </w:pPr>
            <w:r w:rsidRPr="00A9330B">
              <w:rPr>
                <w:rFonts w:eastAsia="Calibri" w:cs="Arial"/>
                <w:sz w:val="18"/>
                <w:szCs w:val="18"/>
              </w:rPr>
              <w:t>2.8.a.10.2. Mettre à disposition de préservatifs</w:t>
            </w:r>
          </w:p>
        </w:tc>
        <w:tc>
          <w:tcPr>
            <w:tcW w:w="3544" w:type="dxa"/>
            <w:vMerge w:val="restart"/>
          </w:tcPr>
          <w:p w14:paraId="36A5D613" w14:textId="77777777" w:rsidR="00401546" w:rsidRPr="00A9330B" w:rsidRDefault="00401546" w:rsidP="00475C70">
            <w:pPr>
              <w:jc w:val="left"/>
              <w:rPr>
                <w:rFonts w:eastAsia="Calibri" w:cs="Arial"/>
                <w:sz w:val="18"/>
                <w:szCs w:val="18"/>
              </w:rPr>
            </w:pPr>
            <w:r w:rsidRPr="00A9330B">
              <w:rPr>
                <w:rFonts w:eastAsia="Calibri" w:cs="Arial"/>
                <w:sz w:val="18"/>
                <w:szCs w:val="18"/>
              </w:rPr>
              <w:t xml:space="preserve">Sensibilisation grand public  </w:t>
            </w:r>
          </w:p>
          <w:p w14:paraId="13126BA6" w14:textId="77777777" w:rsidR="00401546" w:rsidRPr="00A9330B" w:rsidRDefault="00401546" w:rsidP="00475C70">
            <w:pPr>
              <w:jc w:val="left"/>
              <w:rPr>
                <w:rFonts w:eastAsia="Calibri" w:cs="Arial"/>
                <w:sz w:val="18"/>
                <w:szCs w:val="18"/>
              </w:rPr>
            </w:pPr>
            <w:r w:rsidRPr="00A9330B">
              <w:rPr>
                <w:rFonts w:eastAsia="Calibri" w:cs="Arial"/>
                <w:sz w:val="18"/>
                <w:szCs w:val="18"/>
              </w:rPr>
              <w:t xml:space="preserve">03 séances par an </w:t>
            </w:r>
          </w:p>
          <w:p w14:paraId="44B8837D" w14:textId="77777777" w:rsidR="00401546" w:rsidRPr="00A9330B" w:rsidRDefault="00401546" w:rsidP="00475C70">
            <w:pPr>
              <w:jc w:val="left"/>
              <w:rPr>
                <w:rFonts w:eastAsia="Calibri" w:cs="Arial"/>
                <w:sz w:val="18"/>
                <w:szCs w:val="18"/>
              </w:rPr>
            </w:pPr>
            <w:r w:rsidRPr="00A9330B">
              <w:rPr>
                <w:rFonts w:eastAsia="Calibri" w:cs="Arial"/>
                <w:sz w:val="18"/>
                <w:szCs w:val="18"/>
              </w:rPr>
              <w:t xml:space="preserve">Sensibilisation par les radios locales une fois par mois  </w:t>
            </w:r>
          </w:p>
          <w:p w14:paraId="7599377C" w14:textId="77777777" w:rsidR="00401546" w:rsidRPr="00A9330B" w:rsidRDefault="00401546" w:rsidP="00475C70">
            <w:pPr>
              <w:jc w:val="left"/>
              <w:rPr>
                <w:rFonts w:eastAsia="Calibri" w:cs="Arial"/>
                <w:sz w:val="18"/>
                <w:szCs w:val="18"/>
              </w:rPr>
            </w:pPr>
          </w:p>
          <w:p w14:paraId="11F29187" w14:textId="77777777" w:rsidR="00401546" w:rsidRPr="00A9330B" w:rsidRDefault="00401546" w:rsidP="00475C70">
            <w:pPr>
              <w:jc w:val="left"/>
              <w:rPr>
                <w:rFonts w:eastAsia="Calibri" w:cs="Arial"/>
                <w:b/>
              </w:rPr>
            </w:pPr>
            <w:r w:rsidRPr="00A9330B">
              <w:rPr>
                <w:rFonts w:eastAsia="Calibri" w:cs="Arial"/>
                <w:b/>
              </w:rPr>
              <w:t xml:space="preserve">Cout :   9 000 000 F CFA / an  </w:t>
            </w:r>
          </w:p>
        </w:tc>
        <w:tc>
          <w:tcPr>
            <w:tcW w:w="6237" w:type="dxa"/>
            <w:vMerge w:val="restart"/>
          </w:tcPr>
          <w:p w14:paraId="21C596BA" w14:textId="77777777" w:rsidR="00401546" w:rsidRPr="00A9330B" w:rsidRDefault="00401546" w:rsidP="00475C70">
            <w:pPr>
              <w:jc w:val="left"/>
              <w:rPr>
                <w:rFonts w:eastAsia="Calibri" w:cs="Arial"/>
                <w:sz w:val="18"/>
                <w:szCs w:val="18"/>
              </w:rPr>
            </w:pPr>
            <w:r w:rsidRPr="00A9330B">
              <w:rPr>
                <w:rFonts w:eastAsia="Calibri" w:cs="Arial"/>
                <w:sz w:val="18"/>
                <w:szCs w:val="18"/>
              </w:rPr>
              <w:t xml:space="preserve">Sensibilisation grand public  </w:t>
            </w:r>
          </w:p>
          <w:p w14:paraId="34341744" w14:textId="77777777" w:rsidR="00401546" w:rsidRPr="00A9330B" w:rsidRDefault="00401546" w:rsidP="00475C70">
            <w:pPr>
              <w:jc w:val="left"/>
              <w:rPr>
                <w:rFonts w:eastAsia="Calibri" w:cs="Arial"/>
                <w:sz w:val="18"/>
                <w:szCs w:val="18"/>
              </w:rPr>
            </w:pPr>
            <w:r w:rsidRPr="00A9330B">
              <w:rPr>
                <w:rFonts w:eastAsia="Calibri" w:cs="Arial"/>
                <w:sz w:val="18"/>
                <w:szCs w:val="18"/>
              </w:rPr>
              <w:t>Cout : 3 000 000 F</w:t>
            </w:r>
          </w:p>
          <w:p w14:paraId="4D6D604C" w14:textId="77777777" w:rsidR="00401546" w:rsidRPr="00A9330B" w:rsidRDefault="00401546" w:rsidP="00475C70">
            <w:pPr>
              <w:jc w:val="left"/>
              <w:rPr>
                <w:rFonts w:eastAsia="Calibri" w:cs="Arial"/>
                <w:sz w:val="18"/>
                <w:szCs w:val="18"/>
              </w:rPr>
            </w:pPr>
          </w:p>
          <w:p w14:paraId="78142038" w14:textId="77777777" w:rsidR="00401546" w:rsidRPr="00A9330B" w:rsidRDefault="00401546" w:rsidP="00475C70">
            <w:pPr>
              <w:jc w:val="left"/>
              <w:rPr>
                <w:rFonts w:eastAsia="Calibri" w:cs="Arial"/>
                <w:sz w:val="18"/>
                <w:szCs w:val="18"/>
              </w:rPr>
            </w:pPr>
            <w:r w:rsidRPr="00A9330B">
              <w:rPr>
                <w:rFonts w:eastAsia="Calibri" w:cs="Arial"/>
                <w:sz w:val="18"/>
                <w:szCs w:val="18"/>
              </w:rPr>
              <w:t>Sensibilisation par les radios locales</w:t>
            </w:r>
          </w:p>
          <w:p w14:paraId="3724F1AA" w14:textId="77777777" w:rsidR="00401546" w:rsidRPr="00A9330B" w:rsidRDefault="00401546" w:rsidP="00475C70">
            <w:pPr>
              <w:jc w:val="left"/>
              <w:rPr>
                <w:rFonts w:eastAsia="Calibri" w:cs="Arial"/>
                <w:sz w:val="18"/>
                <w:szCs w:val="18"/>
              </w:rPr>
            </w:pPr>
            <w:r w:rsidRPr="00A9330B">
              <w:rPr>
                <w:rFonts w:eastAsia="Calibri" w:cs="Arial"/>
                <w:sz w:val="18"/>
                <w:szCs w:val="18"/>
              </w:rPr>
              <w:t>Cout : 6 000 000 F</w:t>
            </w:r>
          </w:p>
          <w:p w14:paraId="1F57E133" w14:textId="77777777" w:rsidR="00401546" w:rsidRPr="00A9330B" w:rsidRDefault="00401546" w:rsidP="00475C70">
            <w:pPr>
              <w:jc w:val="left"/>
              <w:rPr>
                <w:rFonts w:eastAsia="Calibri" w:cs="Arial"/>
                <w:sz w:val="18"/>
                <w:szCs w:val="18"/>
              </w:rPr>
            </w:pPr>
          </w:p>
          <w:p w14:paraId="09671E39" w14:textId="77777777" w:rsidR="00401546" w:rsidRPr="00A9330B" w:rsidRDefault="00401546" w:rsidP="00475C70">
            <w:pPr>
              <w:jc w:val="left"/>
              <w:rPr>
                <w:rFonts w:eastAsia="Calibri" w:cs="Arial"/>
                <w:b/>
                <w:sz w:val="18"/>
                <w:szCs w:val="18"/>
              </w:rPr>
            </w:pPr>
            <w:r w:rsidRPr="00A9330B">
              <w:rPr>
                <w:rFonts w:eastAsia="Calibri" w:cs="Arial"/>
                <w:sz w:val="18"/>
                <w:szCs w:val="18"/>
              </w:rPr>
              <w:lastRenderedPageBreak/>
              <w:t xml:space="preserve"> </w:t>
            </w:r>
            <w:r w:rsidRPr="00A9330B">
              <w:rPr>
                <w:rFonts w:eastAsia="Calibri" w:cs="Arial"/>
                <w:b/>
                <w:sz w:val="18"/>
                <w:szCs w:val="18"/>
              </w:rPr>
              <w:t xml:space="preserve">TOTAL : 9 000 000 FCFA / an </w:t>
            </w:r>
          </w:p>
        </w:tc>
      </w:tr>
      <w:tr w:rsidR="00401546" w:rsidRPr="00A9330B" w14:paraId="160A285F" w14:textId="77777777" w:rsidTr="00401546">
        <w:tc>
          <w:tcPr>
            <w:tcW w:w="3681" w:type="dxa"/>
          </w:tcPr>
          <w:p w14:paraId="7ED9A835" w14:textId="77777777" w:rsidR="00401546" w:rsidRPr="00A9330B" w:rsidRDefault="00401546" w:rsidP="00475C70">
            <w:pPr>
              <w:widowControl w:val="0"/>
              <w:spacing w:before="60"/>
              <w:jc w:val="left"/>
              <w:rPr>
                <w:rFonts w:eastAsia="Calibri" w:cs="Arial"/>
                <w:sz w:val="18"/>
                <w:szCs w:val="18"/>
              </w:rPr>
            </w:pPr>
            <w:r w:rsidRPr="00A9330B">
              <w:rPr>
                <w:rFonts w:eastAsia="Calibri" w:cs="Arial"/>
                <w:sz w:val="18"/>
                <w:szCs w:val="18"/>
              </w:rPr>
              <w:t>2.8.a.10.4. Elaborer et mettre en œuvre un plan de communication sur les IST et le VIH SIDA lors des travaux</w:t>
            </w:r>
          </w:p>
        </w:tc>
        <w:tc>
          <w:tcPr>
            <w:tcW w:w="3544" w:type="dxa"/>
            <w:vMerge/>
          </w:tcPr>
          <w:p w14:paraId="7F16F58E" w14:textId="77777777" w:rsidR="00401546" w:rsidRPr="00A9330B" w:rsidRDefault="00401546" w:rsidP="00475C70">
            <w:pPr>
              <w:jc w:val="left"/>
            </w:pPr>
          </w:p>
        </w:tc>
        <w:tc>
          <w:tcPr>
            <w:tcW w:w="6237" w:type="dxa"/>
            <w:vMerge/>
          </w:tcPr>
          <w:p w14:paraId="2ED755FA" w14:textId="77777777" w:rsidR="00401546" w:rsidRPr="00A9330B" w:rsidRDefault="00401546" w:rsidP="00475C70">
            <w:pPr>
              <w:jc w:val="left"/>
            </w:pPr>
          </w:p>
        </w:tc>
      </w:tr>
      <w:tr w:rsidR="00401546" w:rsidRPr="00A9330B" w14:paraId="296D480B" w14:textId="77777777" w:rsidTr="00401546">
        <w:tc>
          <w:tcPr>
            <w:tcW w:w="3681" w:type="dxa"/>
          </w:tcPr>
          <w:p w14:paraId="1EBB821B" w14:textId="77777777" w:rsidR="00401546" w:rsidRPr="00A9330B" w:rsidRDefault="00401546" w:rsidP="00475C70">
            <w:pPr>
              <w:jc w:val="left"/>
            </w:pPr>
            <w:r w:rsidRPr="00A9330B">
              <w:rPr>
                <w:rFonts w:eastAsia="Calibri" w:cs="Arial"/>
                <w:sz w:val="18"/>
                <w:szCs w:val="18"/>
              </w:rPr>
              <w:lastRenderedPageBreak/>
              <w:t xml:space="preserve">Elaborer et mettre en œuvre un plan de communication et de sensibilisation pour la sécurité des riverains et usagers de la route en chantier </w:t>
            </w:r>
          </w:p>
        </w:tc>
        <w:tc>
          <w:tcPr>
            <w:tcW w:w="3544" w:type="dxa"/>
          </w:tcPr>
          <w:p w14:paraId="1A7B0520" w14:textId="77777777" w:rsidR="00401546" w:rsidRPr="00A9330B" w:rsidRDefault="00401546" w:rsidP="00475C70">
            <w:pPr>
              <w:widowControl w:val="0"/>
              <w:autoSpaceDE w:val="0"/>
              <w:autoSpaceDN w:val="0"/>
              <w:adjustRightInd w:val="0"/>
              <w:spacing w:before="60"/>
              <w:jc w:val="left"/>
              <w:rPr>
                <w:rFonts w:eastAsia="Calibri" w:cs="Arial"/>
                <w:sz w:val="18"/>
                <w:szCs w:val="18"/>
              </w:rPr>
            </w:pPr>
            <w:r w:rsidRPr="00A9330B">
              <w:rPr>
                <w:rFonts w:eastAsia="Calibri" w:cs="Arial"/>
                <w:sz w:val="18"/>
                <w:szCs w:val="18"/>
              </w:rPr>
              <w:t>Sensibilisation par les crieurs publics, les radios locales et porte à porte par les agents HSE (04 séances par zones de travaux)</w:t>
            </w:r>
          </w:p>
          <w:p w14:paraId="7C8062C1" w14:textId="77777777" w:rsidR="00401546" w:rsidRPr="00A9330B" w:rsidRDefault="00401546" w:rsidP="00475C70">
            <w:pPr>
              <w:widowControl w:val="0"/>
              <w:autoSpaceDE w:val="0"/>
              <w:autoSpaceDN w:val="0"/>
              <w:adjustRightInd w:val="0"/>
              <w:spacing w:before="60"/>
              <w:jc w:val="left"/>
              <w:rPr>
                <w:rFonts w:eastAsia="Calibri" w:cs="Arial"/>
                <w:sz w:val="18"/>
                <w:szCs w:val="18"/>
              </w:rPr>
            </w:pPr>
            <w:r w:rsidRPr="00A9330B">
              <w:rPr>
                <w:rFonts w:eastAsia="Calibri" w:cs="Arial"/>
                <w:b/>
              </w:rPr>
              <w:t>Cout :   6 500 000 F CFA </w:t>
            </w:r>
          </w:p>
        </w:tc>
        <w:tc>
          <w:tcPr>
            <w:tcW w:w="6237" w:type="dxa"/>
          </w:tcPr>
          <w:p w14:paraId="645986EA" w14:textId="77777777" w:rsidR="00401546" w:rsidRPr="00A9330B" w:rsidRDefault="00401546" w:rsidP="00475C70">
            <w:pPr>
              <w:widowControl w:val="0"/>
              <w:autoSpaceDE w:val="0"/>
              <w:autoSpaceDN w:val="0"/>
              <w:adjustRightInd w:val="0"/>
              <w:spacing w:before="60"/>
              <w:jc w:val="left"/>
              <w:rPr>
                <w:rFonts w:eastAsia="Calibri" w:cs="Arial"/>
                <w:sz w:val="18"/>
                <w:szCs w:val="18"/>
              </w:rPr>
            </w:pPr>
            <w:r w:rsidRPr="00A9330B">
              <w:rPr>
                <w:rFonts w:eastAsia="Calibri" w:cs="Arial"/>
                <w:sz w:val="18"/>
                <w:szCs w:val="18"/>
              </w:rPr>
              <w:t xml:space="preserve">Sensibilisation par les crieurs publics </w:t>
            </w:r>
          </w:p>
          <w:p w14:paraId="5999A223" w14:textId="77777777" w:rsidR="00401546" w:rsidRPr="00A9330B" w:rsidRDefault="00401546" w:rsidP="00475C70">
            <w:pPr>
              <w:widowControl w:val="0"/>
              <w:autoSpaceDE w:val="0"/>
              <w:autoSpaceDN w:val="0"/>
              <w:adjustRightInd w:val="0"/>
              <w:spacing w:before="60"/>
              <w:jc w:val="left"/>
              <w:rPr>
                <w:rFonts w:eastAsia="Calibri" w:cs="Arial"/>
                <w:sz w:val="18"/>
                <w:szCs w:val="18"/>
              </w:rPr>
            </w:pPr>
            <w:r w:rsidRPr="00A9330B">
              <w:rPr>
                <w:rFonts w:eastAsia="Calibri" w:cs="Arial"/>
                <w:sz w:val="18"/>
                <w:szCs w:val="18"/>
              </w:rPr>
              <w:t>FORFAIT : 1 500 000</w:t>
            </w:r>
          </w:p>
          <w:p w14:paraId="75EDFE77" w14:textId="77777777" w:rsidR="00401546" w:rsidRPr="00A9330B" w:rsidRDefault="00401546" w:rsidP="00475C70">
            <w:pPr>
              <w:widowControl w:val="0"/>
              <w:autoSpaceDE w:val="0"/>
              <w:autoSpaceDN w:val="0"/>
              <w:adjustRightInd w:val="0"/>
              <w:spacing w:before="60"/>
              <w:jc w:val="left"/>
              <w:rPr>
                <w:rFonts w:eastAsia="Calibri" w:cs="Arial"/>
                <w:sz w:val="18"/>
                <w:szCs w:val="18"/>
              </w:rPr>
            </w:pPr>
            <w:r w:rsidRPr="00A9330B">
              <w:rPr>
                <w:rFonts w:eastAsia="Calibri" w:cs="Arial"/>
                <w:sz w:val="18"/>
                <w:szCs w:val="18"/>
              </w:rPr>
              <w:t xml:space="preserve">Sensibilisation par les radios locales </w:t>
            </w:r>
          </w:p>
          <w:p w14:paraId="46480EB2" w14:textId="77777777" w:rsidR="00401546" w:rsidRPr="00A9330B" w:rsidRDefault="00401546" w:rsidP="00475C70">
            <w:pPr>
              <w:widowControl w:val="0"/>
              <w:autoSpaceDE w:val="0"/>
              <w:autoSpaceDN w:val="0"/>
              <w:adjustRightInd w:val="0"/>
              <w:spacing w:before="60"/>
              <w:jc w:val="left"/>
              <w:rPr>
                <w:rFonts w:eastAsia="Calibri" w:cs="Arial"/>
                <w:sz w:val="18"/>
                <w:szCs w:val="18"/>
              </w:rPr>
            </w:pPr>
            <w:r w:rsidRPr="00A9330B">
              <w:rPr>
                <w:rFonts w:eastAsia="Calibri" w:cs="Arial"/>
                <w:sz w:val="18"/>
                <w:szCs w:val="18"/>
              </w:rPr>
              <w:t xml:space="preserve">FORFAIT : 5 000 000 </w:t>
            </w:r>
          </w:p>
          <w:p w14:paraId="5568990E" w14:textId="77777777" w:rsidR="00401546" w:rsidRPr="00A9330B" w:rsidRDefault="00401546" w:rsidP="00475C70">
            <w:pPr>
              <w:widowControl w:val="0"/>
              <w:autoSpaceDE w:val="0"/>
              <w:autoSpaceDN w:val="0"/>
              <w:adjustRightInd w:val="0"/>
              <w:spacing w:before="60"/>
              <w:jc w:val="left"/>
              <w:rPr>
                <w:rFonts w:eastAsia="Calibri" w:cs="Arial"/>
                <w:sz w:val="18"/>
                <w:szCs w:val="18"/>
              </w:rPr>
            </w:pPr>
            <w:r w:rsidRPr="00A9330B">
              <w:rPr>
                <w:rFonts w:eastAsia="Calibri" w:cs="Arial"/>
                <w:sz w:val="18"/>
                <w:szCs w:val="18"/>
              </w:rPr>
              <w:t xml:space="preserve">02 au démarrage </w:t>
            </w:r>
          </w:p>
          <w:p w14:paraId="28C4987C" w14:textId="77777777" w:rsidR="00401546" w:rsidRPr="00A9330B" w:rsidRDefault="00401546" w:rsidP="00475C70">
            <w:pPr>
              <w:widowControl w:val="0"/>
              <w:autoSpaceDE w:val="0"/>
              <w:autoSpaceDN w:val="0"/>
              <w:adjustRightInd w:val="0"/>
              <w:spacing w:before="60"/>
              <w:jc w:val="left"/>
              <w:rPr>
                <w:rFonts w:eastAsia="Calibri" w:cs="Arial"/>
                <w:sz w:val="18"/>
                <w:szCs w:val="18"/>
              </w:rPr>
            </w:pPr>
            <w:r w:rsidRPr="00A9330B">
              <w:rPr>
                <w:rFonts w:eastAsia="Calibri" w:cs="Arial"/>
                <w:sz w:val="18"/>
                <w:szCs w:val="18"/>
              </w:rPr>
              <w:t xml:space="preserve">01 à mi-parcours </w:t>
            </w:r>
          </w:p>
          <w:p w14:paraId="191AA431" w14:textId="77777777" w:rsidR="00401546" w:rsidRPr="00A9330B" w:rsidRDefault="00401546" w:rsidP="00475C70">
            <w:pPr>
              <w:widowControl w:val="0"/>
              <w:autoSpaceDE w:val="0"/>
              <w:autoSpaceDN w:val="0"/>
              <w:adjustRightInd w:val="0"/>
              <w:spacing w:before="60"/>
              <w:jc w:val="left"/>
              <w:rPr>
                <w:rFonts w:eastAsia="Calibri" w:cs="Arial"/>
                <w:sz w:val="18"/>
                <w:szCs w:val="18"/>
              </w:rPr>
            </w:pPr>
            <w:r w:rsidRPr="00A9330B">
              <w:rPr>
                <w:rFonts w:eastAsia="Calibri" w:cs="Arial"/>
                <w:sz w:val="18"/>
                <w:szCs w:val="18"/>
              </w:rPr>
              <w:t xml:space="preserve">01 au trois quart des travaux </w:t>
            </w:r>
          </w:p>
          <w:p w14:paraId="2E19A8CB" w14:textId="77777777" w:rsidR="00401546" w:rsidRPr="00A9330B" w:rsidRDefault="00401546" w:rsidP="00475C70">
            <w:pPr>
              <w:jc w:val="left"/>
              <w:rPr>
                <w:b/>
              </w:rPr>
            </w:pPr>
            <w:r w:rsidRPr="00A9330B">
              <w:rPr>
                <w:b/>
              </w:rPr>
              <w:t>TOTAL : 6 500 000 FCFA</w:t>
            </w:r>
          </w:p>
        </w:tc>
      </w:tr>
      <w:tr w:rsidR="00401546" w:rsidRPr="00A9330B" w14:paraId="06A8EBF2" w14:textId="77777777" w:rsidTr="00401546">
        <w:tc>
          <w:tcPr>
            <w:tcW w:w="3681" w:type="dxa"/>
          </w:tcPr>
          <w:p w14:paraId="60718EBC" w14:textId="77777777" w:rsidR="00401546" w:rsidRPr="00A9330B" w:rsidRDefault="00401546" w:rsidP="00475C70">
            <w:pPr>
              <w:jc w:val="left"/>
              <w:rPr>
                <w:rFonts w:eastAsia="Calibri" w:cs="Arial"/>
                <w:sz w:val="18"/>
                <w:szCs w:val="18"/>
              </w:rPr>
            </w:pPr>
            <w:r w:rsidRPr="00A9330B">
              <w:rPr>
                <w:rFonts w:eastAsia="Calibri" w:cs="Arial"/>
                <w:sz w:val="18"/>
                <w:szCs w:val="18"/>
              </w:rPr>
              <w:t xml:space="preserve">Budget pour la surveillance environnementale et sociale </w:t>
            </w:r>
          </w:p>
        </w:tc>
        <w:tc>
          <w:tcPr>
            <w:tcW w:w="3544" w:type="dxa"/>
          </w:tcPr>
          <w:p w14:paraId="7F7D99BC" w14:textId="77777777" w:rsidR="00401546" w:rsidRPr="00A9330B" w:rsidRDefault="00401546" w:rsidP="00475C70">
            <w:pPr>
              <w:widowControl w:val="0"/>
              <w:autoSpaceDE w:val="0"/>
              <w:autoSpaceDN w:val="0"/>
              <w:adjustRightInd w:val="0"/>
              <w:spacing w:before="60"/>
              <w:jc w:val="left"/>
              <w:rPr>
                <w:rFonts w:eastAsia="Calibri" w:cs="Arial"/>
                <w:sz w:val="18"/>
                <w:szCs w:val="18"/>
              </w:rPr>
            </w:pPr>
            <w:r w:rsidRPr="00A9330B">
              <w:rPr>
                <w:rFonts w:eastAsia="Calibri" w:cs="Arial"/>
                <w:sz w:val="18"/>
                <w:szCs w:val="18"/>
              </w:rPr>
              <w:t xml:space="preserve">Recrutement d’agents HSE à la mission de contrôle </w:t>
            </w:r>
          </w:p>
          <w:p w14:paraId="107FC087" w14:textId="77777777" w:rsidR="00401546" w:rsidRPr="00A9330B" w:rsidRDefault="00401546" w:rsidP="00475C70">
            <w:pPr>
              <w:widowControl w:val="0"/>
              <w:autoSpaceDE w:val="0"/>
              <w:autoSpaceDN w:val="0"/>
              <w:adjustRightInd w:val="0"/>
              <w:spacing w:before="60"/>
              <w:jc w:val="left"/>
              <w:rPr>
                <w:rFonts w:eastAsia="Calibri" w:cs="Arial"/>
                <w:sz w:val="18"/>
                <w:szCs w:val="18"/>
              </w:rPr>
            </w:pPr>
            <w:r w:rsidRPr="00A9330B">
              <w:rPr>
                <w:rFonts w:eastAsia="Calibri" w:cs="Arial"/>
                <w:sz w:val="18"/>
                <w:szCs w:val="18"/>
              </w:rPr>
              <w:t xml:space="preserve">01 Responsable </w:t>
            </w:r>
          </w:p>
          <w:p w14:paraId="1009BF02" w14:textId="04D6506F" w:rsidR="00401546" w:rsidRPr="00A9330B" w:rsidRDefault="00475C70" w:rsidP="00475C70">
            <w:pPr>
              <w:widowControl w:val="0"/>
              <w:autoSpaceDE w:val="0"/>
              <w:autoSpaceDN w:val="0"/>
              <w:adjustRightInd w:val="0"/>
              <w:spacing w:before="60"/>
              <w:jc w:val="left"/>
              <w:rPr>
                <w:rFonts w:eastAsia="Calibri" w:cs="Arial"/>
                <w:sz w:val="18"/>
                <w:szCs w:val="18"/>
              </w:rPr>
            </w:pPr>
            <w:r w:rsidRPr="00A9330B">
              <w:rPr>
                <w:rFonts w:eastAsia="Calibri" w:cs="Arial"/>
                <w:sz w:val="18"/>
                <w:szCs w:val="18"/>
              </w:rPr>
              <w:t>02</w:t>
            </w:r>
            <w:r w:rsidR="00401546" w:rsidRPr="00A9330B">
              <w:rPr>
                <w:rFonts w:eastAsia="Calibri" w:cs="Arial"/>
                <w:sz w:val="18"/>
                <w:szCs w:val="18"/>
              </w:rPr>
              <w:t xml:space="preserve"> assistant</w:t>
            </w:r>
            <w:r w:rsidRPr="00A9330B">
              <w:rPr>
                <w:rFonts w:eastAsia="Calibri" w:cs="Arial"/>
                <w:sz w:val="18"/>
                <w:szCs w:val="18"/>
              </w:rPr>
              <w:t>s</w:t>
            </w:r>
            <w:r w:rsidR="00401546" w:rsidRPr="00A9330B">
              <w:rPr>
                <w:rFonts w:eastAsia="Calibri" w:cs="Arial"/>
                <w:sz w:val="18"/>
                <w:szCs w:val="18"/>
              </w:rPr>
              <w:t xml:space="preserve"> </w:t>
            </w:r>
          </w:p>
          <w:p w14:paraId="60F15989" w14:textId="77777777" w:rsidR="00401546" w:rsidRPr="00A9330B" w:rsidRDefault="00401546" w:rsidP="00475C70">
            <w:pPr>
              <w:widowControl w:val="0"/>
              <w:autoSpaceDE w:val="0"/>
              <w:autoSpaceDN w:val="0"/>
              <w:adjustRightInd w:val="0"/>
              <w:spacing w:before="60"/>
              <w:jc w:val="left"/>
              <w:rPr>
                <w:rFonts w:eastAsia="Calibri" w:cs="Arial"/>
                <w:sz w:val="18"/>
                <w:szCs w:val="18"/>
              </w:rPr>
            </w:pPr>
            <w:r w:rsidRPr="00A9330B">
              <w:rPr>
                <w:rFonts w:eastAsia="Calibri" w:cs="Arial"/>
                <w:b/>
              </w:rPr>
              <w:t xml:space="preserve">Cout :  24 000 000 F CFA / an </w:t>
            </w:r>
          </w:p>
        </w:tc>
        <w:tc>
          <w:tcPr>
            <w:tcW w:w="6237" w:type="dxa"/>
          </w:tcPr>
          <w:p w14:paraId="2604C43F" w14:textId="77777777" w:rsidR="00401546" w:rsidRPr="00A9330B" w:rsidRDefault="00401546" w:rsidP="00475C70">
            <w:pPr>
              <w:widowControl w:val="0"/>
              <w:autoSpaceDE w:val="0"/>
              <w:autoSpaceDN w:val="0"/>
              <w:adjustRightInd w:val="0"/>
              <w:spacing w:before="60"/>
              <w:jc w:val="left"/>
              <w:rPr>
                <w:rFonts w:eastAsia="Calibri" w:cs="Arial"/>
                <w:sz w:val="18"/>
                <w:szCs w:val="18"/>
              </w:rPr>
            </w:pPr>
            <w:r w:rsidRPr="00A9330B">
              <w:rPr>
                <w:rFonts w:eastAsia="Calibri" w:cs="Arial"/>
                <w:sz w:val="18"/>
                <w:szCs w:val="18"/>
              </w:rPr>
              <w:t xml:space="preserve">Recrutement d’agents HSE à la mission de contrôle </w:t>
            </w:r>
          </w:p>
          <w:p w14:paraId="1FE978CF" w14:textId="77777777" w:rsidR="00401546" w:rsidRPr="00A9330B" w:rsidRDefault="00401546" w:rsidP="00475C70">
            <w:pPr>
              <w:widowControl w:val="0"/>
              <w:autoSpaceDE w:val="0"/>
              <w:autoSpaceDN w:val="0"/>
              <w:adjustRightInd w:val="0"/>
              <w:spacing w:before="60"/>
              <w:jc w:val="left"/>
              <w:rPr>
                <w:rFonts w:eastAsia="Calibri" w:cs="Arial"/>
                <w:sz w:val="18"/>
                <w:szCs w:val="18"/>
              </w:rPr>
            </w:pPr>
            <w:r w:rsidRPr="00A9330B">
              <w:rPr>
                <w:rFonts w:eastAsia="Calibri" w:cs="Arial"/>
                <w:sz w:val="18"/>
                <w:szCs w:val="18"/>
              </w:rPr>
              <w:t xml:space="preserve">01 Responsable </w:t>
            </w:r>
          </w:p>
          <w:p w14:paraId="5ACC6175" w14:textId="77777777" w:rsidR="00401546" w:rsidRPr="00A9330B" w:rsidRDefault="00401546" w:rsidP="00475C70">
            <w:pPr>
              <w:widowControl w:val="0"/>
              <w:autoSpaceDE w:val="0"/>
              <w:autoSpaceDN w:val="0"/>
              <w:adjustRightInd w:val="0"/>
              <w:spacing w:before="60"/>
              <w:jc w:val="left"/>
              <w:rPr>
                <w:rFonts w:eastAsia="Calibri" w:cs="Arial"/>
                <w:sz w:val="18"/>
                <w:szCs w:val="18"/>
              </w:rPr>
            </w:pPr>
            <w:r w:rsidRPr="00A9330B">
              <w:rPr>
                <w:rFonts w:eastAsia="Calibri" w:cs="Arial"/>
                <w:sz w:val="18"/>
                <w:szCs w:val="18"/>
              </w:rPr>
              <w:t xml:space="preserve">1 000 000 000 X 12 / an </w:t>
            </w:r>
          </w:p>
          <w:p w14:paraId="6DC3B18C" w14:textId="77777777" w:rsidR="00401546" w:rsidRPr="00A9330B" w:rsidRDefault="00401546" w:rsidP="00475C70">
            <w:pPr>
              <w:widowControl w:val="0"/>
              <w:autoSpaceDE w:val="0"/>
              <w:autoSpaceDN w:val="0"/>
              <w:adjustRightInd w:val="0"/>
              <w:spacing w:before="60"/>
              <w:jc w:val="left"/>
              <w:rPr>
                <w:rFonts w:eastAsia="Calibri" w:cs="Arial"/>
                <w:b/>
                <w:sz w:val="18"/>
                <w:szCs w:val="18"/>
              </w:rPr>
            </w:pPr>
            <w:r w:rsidRPr="00A9330B">
              <w:rPr>
                <w:rFonts w:eastAsia="Calibri" w:cs="Arial"/>
                <w:b/>
                <w:sz w:val="18"/>
                <w:szCs w:val="18"/>
              </w:rPr>
              <w:t>12 000 000 F CFA</w:t>
            </w:r>
          </w:p>
          <w:p w14:paraId="077F4538" w14:textId="77777777" w:rsidR="00401546" w:rsidRPr="00A9330B" w:rsidRDefault="00401546" w:rsidP="00475C70">
            <w:pPr>
              <w:widowControl w:val="0"/>
              <w:autoSpaceDE w:val="0"/>
              <w:autoSpaceDN w:val="0"/>
              <w:adjustRightInd w:val="0"/>
              <w:spacing w:before="60"/>
              <w:jc w:val="left"/>
              <w:rPr>
                <w:rFonts w:eastAsia="Calibri" w:cs="Arial"/>
                <w:sz w:val="18"/>
                <w:szCs w:val="18"/>
              </w:rPr>
            </w:pPr>
            <w:r w:rsidRPr="00A9330B">
              <w:rPr>
                <w:rFonts w:eastAsia="Calibri" w:cs="Arial"/>
                <w:sz w:val="18"/>
                <w:szCs w:val="18"/>
              </w:rPr>
              <w:t>02 assistants</w:t>
            </w:r>
          </w:p>
          <w:p w14:paraId="388F2479" w14:textId="77777777" w:rsidR="00401546" w:rsidRPr="00A9330B" w:rsidRDefault="00401546" w:rsidP="00475C70">
            <w:pPr>
              <w:widowControl w:val="0"/>
              <w:autoSpaceDE w:val="0"/>
              <w:autoSpaceDN w:val="0"/>
              <w:adjustRightInd w:val="0"/>
              <w:spacing w:before="60"/>
              <w:jc w:val="left"/>
              <w:rPr>
                <w:rFonts w:eastAsia="Calibri" w:cs="Arial"/>
                <w:sz w:val="18"/>
                <w:szCs w:val="18"/>
              </w:rPr>
            </w:pPr>
            <w:r w:rsidRPr="00A9330B">
              <w:rPr>
                <w:rFonts w:eastAsia="Calibri" w:cs="Arial"/>
                <w:sz w:val="18"/>
                <w:szCs w:val="18"/>
              </w:rPr>
              <w:t xml:space="preserve"> 500 000 X 12/ an X 2 </w:t>
            </w:r>
          </w:p>
          <w:p w14:paraId="66771976" w14:textId="77777777" w:rsidR="00401546" w:rsidRPr="00A9330B" w:rsidRDefault="00401546" w:rsidP="00475C70">
            <w:pPr>
              <w:widowControl w:val="0"/>
              <w:autoSpaceDE w:val="0"/>
              <w:autoSpaceDN w:val="0"/>
              <w:adjustRightInd w:val="0"/>
              <w:spacing w:before="60"/>
              <w:jc w:val="left"/>
              <w:rPr>
                <w:rFonts w:eastAsia="Calibri" w:cs="Arial"/>
                <w:b/>
                <w:sz w:val="18"/>
                <w:szCs w:val="18"/>
              </w:rPr>
            </w:pPr>
            <w:r w:rsidRPr="00A9330B">
              <w:rPr>
                <w:rFonts w:eastAsia="Calibri" w:cs="Arial"/>
                <w:b/>
                <w:sz w:val="18"/>
                <w:szCs w:val="18"/>
              </w:rPr>
              <w:t xml:space="preserve">12 000 000 FCFA / an </w:t>
            </w:r>
          </w:p>
          <w:p w14:paraId="0218A61A" w14:textId="77777777" w:rsidR="00401546" w:rsidRPr="00A9330B" w:rsidRDefault="00401546" w:rsidP="00475C70">
            <w:pPr>
              <w:widowControl w:val="0"/>
              <w:autoSpaceDE w:val="0"/>
              <w:autoSpaceDN w:val="0"/>
              <w:adjustRightInd w:val="0"/>
              <w:spacing w:before="60"/>
              <w:jc w:val="left"/>
              <w:rPr>
                <w:rFonts w:eastAsia="Calibri" w:cs="Arial"/>
                <w:b/>
                <w:sz w:val="18"/>
                <w:szCs w:val="18"/>
              </w:rPr>
            </w:pPr>
            <w:r w:rsidRPr="00A9330B">
              <w:rPr>
                <w:rFonts w:eastAsia="Calibri" w:cs="Arial"/>
                <w:b/>
                <w:sz w:val="18"/>
                <w:szCs w:val="18"/>
              </w:rPr>
              <w:t xml:space="preserve">Total :  24 000 000  / an </w:t>
            </w:r>
          </w:p>
        </w:tc>
      </w:tr>
      <w:tr w:rsidR="00CB4E93" w:rsidRPr="00CB4E93" w14:paraId="69465071" w14:textId="77777777" w:rsidTr="00401546">
        <w:tc>
          <w:tcPr>
            <w:tcW w:w="3681" w:type="dxa"/>
          </w:tcPr>
          <w:p w14:paraId="7CDDD235" w14:textId="61543B5A" w:rsidR="00CB4E93" w:rsidRPr="00CB4E93" w:rsidRDefault="00CB4E93" w:rsidP="00CB4E93">
            <w:pPr>
              <w:jc w:val="left"/>
              <w:rPr>
                <w:rFonts w:eastAsia="Calibri" w:cs="Arial"/>
                <w:sz w:val="20"/>
                <w:szCs w:val="20"/>
              </w:rPr>
            </w:pPr>
            <w:r w:rsidRPr="00CB4E93">
              <w:rPr>
                <w:rFonts w:eastAsia="Calibri" w:cs="Arial"/>
                <w:sz w:val="20"/>
                <w:szCs w:val="20"/>
              </w:rPr>
              <w:t xml:space="preserve">Budget des mesures d’accompagnement  </w:t>
            </w:r>
          </w:p>
        </w:tc>
        <w:tc>
          <w:tcPr>
            <w:tcW w:w="3544" w:type="dxa"/>
          </w:tcPr>
          <w:p w14:paraId="64D62B1F" w14:textId="105293C8" w:rsidR="00CB4E93" w:rsidRPr="00CB4E93" w:rsidRDefault="00CB4E93" w:rsidP="00CB4E93">
            <w:pPr>
              <w:widowControl w:val="0"/>
              <w:autoSpaceDE w:val="0"/>
              <w:autoSpaceDN w:val="0"/>
              <w:adjustRightInd w:val="0"/>
              <w:spacing w:before="60"/>
              <w:jc w:val="left"/>
              <w:rPr>
                <w:rFonts w:eastAsia="Calibri" w:cs="Arial"/>
                <w:b/>
                <w:sz w:val="20"/>
                <w:szCs w:val="20"/>
              </w:rPr>
            </w:pPr>
            <w:r w:rsidRPr="00CB4E93">
              <w:rPr>
                <w:rFonts w:eastAsia="Calibri" w:cs="Arial"/>
                <w:b/>
                <w:sz w:val="20"/>
                <w:szCs w:val="20"/>
              </w:rPr>
              <w:t xml:space="preserve">Cout : 390 720 000 FCFA </w:t>
            </w:r>
          </w:p>
        </w:tc>
        <w:tc>
          <w:tcPr>
            <w:tcW w:w="6237" w:type="dxa"/>
          </w:tcPr>
          <w:p w14:paraId="07412573" w14:textId="77777777" w:rsidR="00CB4E93" w:rsidRPr="00CB4E93" w:rsidRDefault="00CB4E93" w:rsidP="00CB4E93">
            <w:pPr>
              <w:widowControl w:val="0"/>
              <w:autoSpaceDE w:val="0"/>
              <w:autoSpaceDN w:val="0"/>
              <w:adjustRightInd w:val="0"/>
              <w:spacing w:before="60"/>
              <w:jc w:val="left"/>
              <w:rPr>
                <w:rFonts w:eastAsia="Calibri" w:cs="Arial"/>
                <w:sz w:val="20"/>
                <w:szCs w:val="20"/>
              </w:rPr>
            </w:pPr>
          </w:p>
        </w:tc>
      </w:tr>
      <w:tr w:rsidR="00475C70" w:rsidRPr="00A9330B" w14:paraId="3207013B" w14:textId="77777777" w:rsidTr="00401546">
        <w:tc>
          <w:tcPr>
            <w:tcW w:w="3681" w:type="dxa"/>
          </w:tcPr>
          <w:p w14:paraId="21E2B6A8" w14:textId="6E956503" w:rsidR="00475C70" w:rsidRPr="00A9330B" w:rsidRDefault="00475C70" w:rsidP="00475C70">
            <w:pPr>
              <w:jc w:val="left"/>
              <w:rPr>
                <w:rFonts w:eastAsia="Calibri" w:cs="Arial"/>
                <w:sz w:val="18"/>
                <w:szCs w:val="18"/>
              </w:rPr>
            </w:pPr>
            <w:r w:rsidRPr="00A9330B">
              <w:rPr>
                <w:rFonts w:eastAsia="Calibri" w:cs="Arial"/>
                <w:sz w:val="20"/>
                <w:szCs w:val="20"/>
              </w:rPr>
              <w:t xml:space="preserve">Budget pour le suivi du PGES et l’audit externe  </w:t>
            </w:r>
          </w:p>
        </w:tc>
        <w:tc>
          <w:tcPr>
            <w:tcW w:w="3544" w:type="dxa"/>
          </w:tcPr>
          <w:p w14:paraId="118621F4" w14:textId="74510FE9" w:rsidR="00475C70" w:rsidRPr="00A9330B" w:rsidRDefault="00475C70" w:rsidP="00475C70">
            <w:pPr>
              <w:widowControl w:val="0"/>
              <w:autoSpaceDE w:val="0"/>
              <w:autoSpaceDN w:val="0"/>
              <w:adjustRightInd w:val="0"/>
              <w:spacing w:before="60"/>
              <w:jc w:val="left"/>
              <w:rPr>
                <w:rFonts w:eastAsia="Calibri" w:cs="Arial"/>
                <w:sz w:val="18"/>
                <w:szCs w:val="18"/>
              </w:rPr>
            </w:pPr>
            <w:r w:rsidRPr="00A9330B">
              <w:rPr>
                <w:rFonts w:eastAsia="Calibri" w:cs="Arial"/>
                <w:b/>
                <w:sz w:val="20"/>
                <w:szCs w:val="20"/>
              </w:rPr>
              <w:t>Coût : 25 000 000 F CFA ou  an</w:t>
            </w:r>
          </w:p>
        </w:tc>
        <w:tc>
          <w:tcPr>
            <w:tcW w:w="6237" w:type="dxa"/>
          </w:tcPr>
          <w:p w14:paraId="64DC462B" w14:textId="77777777" w:rsidR="00475C70" w:rsidRPr="00A9330B" w:rsidRDefault="00475C70" w:rsidP="00475C70">
            <w:pPr>
              <w:widowControl w:val="0"/>
              <w:autoSpaceDE w:val="0"/>
              <w:autoSpaceDN w:val="0"/>
              <w:adjustRightInd w:val="0"/>
              <w:spacing w:before="60" w:line="240" w:lineRule="auto"/>
              <w:jc w:val="left"/>
              <w:rPr>
                <w:rFonts w:eastAsia="Calibri" w:cs="Arial"/>
                <w:sz w:val="20"/>
                <w:szCs w:val="20"/>
              </w:rPr>
            </w:pPr>
            <w:r w:rsidRPr="00A9330B">
              <w:rPr>
                <w:rFonts w:eastAsia="Calibri" w:cs="Arial"/>
                <w:sz w:val="20"/>
                <w:szCs w:val="20"/>
              </w:rPr>
              <w:t xml:space="preserve">02 suivi /an    5 000 000 </w:t>
            </w:r>
          </w:p>
          <w:p w14:paraId="717CC871" w14:textId="59007586" w:rsidR="00475C70" w:rsidRPr="00A9330B" w:rsidRDefault="00475C70" w:rsidP="00475C70">
            <w:pPr>
              <w:widowControl w:val="0"/>
              <w:autoSpaceDE w:val="0"/>
              <w:autoSpaceDN w:val="0"/>
              <w:adjustRightInd w:val="0"/>
              <w:spacing w:before="60" w:line="240" w:lineRule="auto"/>
              <w:jc w:val="left"/>
              <w:rPr>
                <w:rFonts w:eastAsia="Calibri" w:cs="Arial"/>
                <w:sz w:val="20"/>
                <w:szCs w:val="20"/>
              </w:rPr>
            </w:pPr>
            <w:r w:rsidRPr="00A9330B">
              <w:rPr>
                <w:rFonts w:eastAsia="Calibri" w:cs="Arial"/>
                <w:sz w:val="20"/>
                <w:szCs w:val="20"/>
              </w:rPr>
              <w:t>01 audit externe / an   5 000 000 x 2</w:t>
            </w:r>
          </w:p>
          <w:p w14:paraId="61D135BA" w14:textId="5B229BAC" w:rsidR="00475C70" w:rsidRPr="00A9330B" w:rsidRDefault="00475C70" w:rsidP="00475C70">
            <w:pPr>
              <w:widowControl w:val="0"/>
              <w:autoSpaceDE w:val="0"/>
              <w:autoSpaceDN w:val="0"/>
              <w:adjustRightInd w:val="0"/>
              <w:spacing w:before="60"/>
              <w:jc w:val="left"/>
              <w:rPr>
                <w:rFonts w:eastAsia="Calibri" w:cs="Arial"/>
                <w:sz w:val="18"/>
                <w:szCs w:val="18"/>
              </w:rPr>
            </w:pPr>
            <w:r w:rsidRPr="00A9330B">
              <w:rPr>
                <w:rFonts w:eastAsia="Calibri" w:cs="Arial"/>
                <w:sz w:val="20"/>
                <w:szCs w:val="20"/>
              </w:rPr>
              <w:t xml:space="preserve">01 audit fin de projet   10 000 000 </w:t>
            </w:r>
          </w:p>
        </w:tc>
      </w:tr>
      <w:tr w:rsidR="00475C70" w:rsidRPr="00A9330B" w14:paraId="165E01AF" w14:textId="77777777" w:rsidTr="00401546">
        <w:tc>
          <w:tcPr>
            <w:tcW w:w="3681" w:type="dxa"/>
          </w:tcPr>
          <w:p w14:paraId="197054BF" w14:textId="77777777" w:rsidR="00475C70" w:rsidRPr="00A9330B" w:rsidRDefault="00475C70" w:rsidP="00475C70">
            <w:pPr>
              <w:jc w:val="left"/>
              <w:rPr>
                <w:b/>
              </w:rPr>
            </w:pPr>
            <w:r w:rsidRPr="00A9330B">
              <w:rPr>
                <w:b/>
              </w:rPr>
              <w:t xml:space="preserve">COUT TOTAL PGES </w:t>
            </w:r>
          </w:p>
        </w:tc>
        <w:tc>
          <w:tcPr>
            <w:tcW w:w="3544" w:type="dxa"/>
          </w:tcPr>
          <w:p w14:paraId="590A2FDB" w14:textId="77777777" w:rsidR="00CB4E93" w:rsidRDefault="00CB4E93" w:rsidP="00475C70">
            <w:pPr>
              <w:jc w:val="left"/>
              <w:rPr>
                <w:rFonts w:eastAsia="Calibri" w:cs="Arial"/>
                <w:b/>
                <w:sz w:val="24"/>
                <w:szCs w:val="24"/>
              </w:rPr>
            </w:pPr>
            <w:r>
              <w:rPr>
                <w:rFonts w:eastAsia="Calibri" w:cs="Arial"/>
                <w:b/>
                <w:sz w:val="24"/>
                <w:szCs w:val="24"/>
              </w:rPr>
              <w:t>576 320 000</w:t>
            </w:r>
            <w:r w:rsidRPr="00A9330B">
              <w:rPr>
                <w:rFonts w:eastAsia="Calibri" w:cs="Arial"/>
                <w:b/>
                <w:sz w:val="24"/>
                <w:szCs w:val="24"/>
              </w:rPr>
              <w:t xml:space="preserve"> F CFA </w:t>
            </w:r>
          </w:p>
          <w:p w14:paraId="30D1381E" w14:textId="2DD82B84" w:rsidR="00475C70" w:rsidRPr="00A9330B" w:rsidRDefault="00475C70" w:rsidP="00475C70">
            <w:pPr>
              <w:jc w:val="left"/>
              <w:rPr>
                <w:b/>
              </w:rPr>
            </w:pPr>
            <w:r w:rsidRPr="00A9330B">
              <w:rPr>
                <w:b/>
              </w:rPr>
              <w:t>Ce coût n’intègre pas le coût du PAR</w:t>
            </w:r>
          </w:p>
        </w:tc>
        <w:tc>
          <w:tcPr>
            <w:tcW w:w="6237" w:type="dxa"/>
          </w:tcPr>
          <w:p w14:paraId="6562B246" w14:textId="77777777" w:rsidR="00475C70" w:rsidRPr="00A9330B" w:rsidRDefault="00475C70" w:rsidP="00475C70">
            <w:pPr>
              <w:jc w:val="left"/>
              <w:rPr>
                <w:b/>
              </w:rPr>
            </w:pPr>
          </w:p>
        </w:tc>
      </w:tr>
    </w:tbl>
    <w:p w14:paraId="2F735511" w14:textId="77777777" w:rsidR="00401546" w:rsidRPr="00A9330B" w:rsidRDefault="00401546" w:rsidP="00401546"/>
    <w:p w14:paraId="76933361" w14:textId="77777777" w:rsidR="00401546" w:rsidRPr="00A9330B" w:rsidRDefault="00401546" w:rsidP="00401546">
      <w:pPr>
        <w:rPr>
          <w:lang w:eastAsia="fr-FR"/>
        </w:rPr>
      </w:pPr>
    </w:p>
    <w:p w14:paraId="08271803" w14:textId="77777777" w:rsidR="00401546" w:rsidRPr="00A9330B" w:rsidRDefault="00401546" w:rsidP="00401546">
      <w:pPr>
        <w:spacing w:before="0" w:line="120" w:lineRule="auto"/>
        <w:jc w:val="center"/>
        <w:rPr>
          <w:lang w:eastAsia="fr-FR"/>
        </w:rPr>
      </w:pPr>
      <w:r w:rsidRPr="00A9330B">
        <w:rPr>
          <w:lang w:eastAsia="fr-FR"/>
        </w:rPr>
        <w:br w:type="page"/>
      </w:r>
    </w:p>
    <w:p w14:paraId="5ED0E3A9" w14:textId="77777777" w:rsidR="00401546" w:rsidRPr="00A9330B" w:rsidRDefault="00401546" w:rsidP="00401546">
      <w:pPr>
        <w:rPr>
          <w:lang w:eastAsia="fr-FR"/>
        </w:rPr>
        <w:sectPr w:rsidR="00401546" w:rsidRPr="00A9330B" w:rsidSect="00401546">
          <w:pgSz w:w="16838" w:h="11906" w:orient="landscape" w:code="9"/>
          <w:pgMar w:top="1418" w:right="1276" w:bottom="1418" w:left="1276" w:header="709" w:footer="510" w:gutter="0"/>
          <w:cols w:space="708"/>
          <w:docGrid w:linePitch="360"/>
        </w:sectPr>
      </w:pPr>
    </w:p>
    <w:p w14:paraId="0EBAA98F" w14:textId="09E538F5" w:rsidR="00401546" w:rsidRPr="00A9330B" w:rsidRDefault="00A02080" w:rsidP="00401546">
      <w:pPr>
        <w:keepNext/>
        <w:keepLines/>
        <w:spacing w:line="240" w:lineRule="auto"/>
        <w:outlineLvl w:val="0"/>
        <w:rPr>
          <w:rFonts w:eastAsia="Calibri" w:cstheme="majorBidi"/>
          <w:b/>
          <w:caps/>
          <w:color w:val="00B050"/>
          <w:sz w:val="30"/>
          <w:szCs w:val="32"/>
        </w:rPr>
      </w:pPr>
      <w:bookmarkStart w:id="2127" w:name="_Toc43697722"/>
      <w:bookmarkStart w:id="2128" w:name="_Toc52869746"/>
      <w:bookmarkStart w:id="2129" w:name="_Toc52869896"/>
      <w:r w:rsidRPr="00A9330B">
        <w:rPr>
          <w:rFonts w:eastAsia="Calibri" w:cstheme="majorBidi"/>
          <w:b/>
          <w:caps/>
          <w:color w:val="00B050"/>
          <w:sz w:val="30"/>
          <w:szCs w:val="30"/>
        </w:rPr>
        <w:lastRenderedPageBreak/>
        <w:t>12</w:t>
      </w:r>
      <w:r w:rsidR="00401546" w:rsidRPr="00A9330B">
        <w:rPr>
          <w:rFonts w:eastAsia="Calibri" w:cstheme="majorBidi"/>
          <w:b/>
          <w:caps/>
          <w:color w:val="00B050"/>
          <w:sz w:val="30"/>
          <w:szCs w:val="30"/>
        </w:rPr>
        <w:t>. Renforcement de capacité pour le suivi de la mise en œuvre des mesures</w:t>
      </w:r>
      <w:bookmarkEnd w:id="1997"/>
      <w:bookmarkEnd w:id="1998"/>
      <w:bookmarkEnd w:id="2127"/>
      <w:bookmarkEnd w:id="2128"/>
      <w:bookmarkEnd w:id="2129"/>
      <w:r w:rsidR="00401546" w:rsidRPr="00A9330B">
        <w:rPr>
          <w:rFonts w:eastAsia="Calibri" w:cstheme="majorBidi"/>
          <w:b/>
          <w:caps/>
          <w:color w:val="00B050"/>
          <w:sz w:val="30"/>
          <w:szCs w:val="30"/>
        </w:rPr>
        <w:t xml:space="preserve">  </w:t>
      </w:r>
    </w:p>
    <w:p w14:paraId="2A077A4A" w14:textId="47B313E9" w:rsidR="00401546" w:rsidRPr="00A9330B" w:rsidRDefault="00401546" w:rsidP="00401546">
      <w:pPr>
        <w:jc w:val="both"/>
        <w:rPr>
          <w:noProof/>
          <w:lang w:eastAsia="de-DE"/>
        </w:rPr>
      </w:pPr>
      <w:r w:rsidRPr="00A9330B">
        <w:rPr>
          <w:noProof/>
          <w:lang w:eastAsia="de-DE"/>
        </w:rPr>
        <w:t>Pour permettre la mise en œuvre adéquate des mesures en confor</w:t>
      </w:r>
      <w:r w:rsidR="00F23BBF" w:rsidRPr="00A9330B">
        <w:rPr>
          <w:noProof/>
          <w:lang w:eastAsia="de-DE"/>
        </w:rPr>
        <w:t xml:space="preserve">mitté </w:t>
      </w:r>
      <w:r w:rsidRPr="00A9330B">
        <w:rPr>
          <w:noProof/>
          <w:lang w:eastAsia="de-DE"/>
        </w:rPr>
        <w:t xml:space="preserve"> avec les exigences environnementales, il est indispensable de renforcer les capacités de certains acteurs clés impliqués dans ladite mise en œuvre, à travers des formations, sensibilisations et autres actions de renforcement de capacité.</w:t>
      </w:r>
    </w:p>
    <w:p w14:paraId="7BEB2A38" w14:textId="7BE37E72" w:rsidR="00401546" w:rsidRPr="00A9330B" w:rsidRDefault="00A02080" w:rsidP="00401546">
      <w:pPr>
        <w:keepNext/>
        <w:keepLines/>
        <w:spacing w:before="200" w:line="276" w:lineRule="auto"/>
        <w:outlineLvl w:val="1"/>
        <w:rPr>
          <w:b/>
          <w:caps/>
          <w:sz w:val="26"/>
        </w:rPr>
      </w:pPr>
      <w:bookmarkStart w:id="2130" w:name="_Toc531434280"/>
      <w:bookmarkStart w:id="2131" w:name="_Toc535244653"/>
      <w:bookmarkStart w:id="2132" w:name="_Toc43697723"/>
      <w:bookmarkStart w:id="2133" w:name="_Toc52869747"/>
      <w:bookmarkStart w:id="2134" w:name="_Toc52869897"/>
      <w:r w:rsidRPr="00A9330B">
        <w:rPr>
          <w:b/>
          <w:caps/>
          <w:sz w:val="26"/>
        </w:rPr>
        <w:t>12</w:t>
      </w:r>
      <w:r w:rsidR="00401546" w:rsidRPr="00A9330B">
        <w:rPr>
          <w:b/>
          <w:caps/>
          <w:sz w:val="26"/>
        </w:rPr>
        <w:t>.1. Cibles concernées par le renforcement</w:t>
      </w:r>
      <w:bookmarkEnd w:id="2130"/>
      <w:bookmarkEnd w:id="2131"/>
      <w:bookmarkEnd w:id="2132"/>
      <w:bookmarkEnd w:id="2133"/>
      <w:bookmarkEnd w:id="2134"/>
    </w:p>
    <w:p w14:paraId="1C06272A" w14:textId="77777777" w:rsidR="001A2ADB" w:rsidRPr="00A9330B" w:rsidRDefault="001A2ADB" w:rsidP="001A2ADB">
      <w:pPr>
        <w:spacing w:line="360" w:lineRule="auto"/>
        <w:ind w:right="57"/>
        <w:rPr>
          <w:rFonts w:eastAsia="Calibri" w:cs="Arial"/>
          <w:noProof/>
          <w:spacing w:val="2"/>
          <w:lang w:eastAsia="de-DE"/>
        </w:rPr>
      </w:pPr>
      <w:bookmarkStart w:id="2135" w:name="_Toc535244656"/>
      <w:bookmarkStart w:id="2136" w:name="_Toc533016077"/>
      <w:r w:rsidRPr="00A9330B">
        <w:rPr>
          <w:rFonts w:eastAsia="Calibri" w:cs="Arial"/>
          <w:noProof/>
          <w:spacing w:val="2"/>
          <w:lang w:eastAsia="de-DE"/>
        </w:rPr>
        <w:t xml:space="preserve">Les acteurs clés concernés par le renforcement des capacités sont : </w:t>
      </w:r>
    </w:p>
    <w:p w14:paraId="331925C3" w14:textId="237A6FBA" w:rsidR="001A2ADB" w:rsidRPr="00A9330B" w:rsidRDefault="001A2ADB" w:rsidP="00BD2F72">
      <w:pPr>
        <w:numPr>
          <w:ilvl w:val="0"/>
          <w:numId w:val="52"/>
        </w:numPr>
        <w:autoSpaceDE w:val="0"/>
        <w:autoSpaceDN w:val="0"/>
        <w:adjustRightInd w:val="0"/>
        <w:jc w:val="both"/>
        <w:rPr>
          <w:rFonts w:eastAsia="Calibri" w:cs="Arial"/>
        </w:rPr>
      </w:pPr>
      <w:r w:rsidRPr="00A9330B">
        <w:rPr>
          <w:rFonts w:cs="Arial"/>
        </w:rPr>
        <w:t xml:space="preserve">la Direction des Services Techniques (DST) de la mairie </w:t>
      </w:r>
      <w:r w:rsidR="0068413B" w:rsidRPr="00A9330B">
        <w:rPr>
          <w:rFonts w:cs="Arial"/>
        </w:rPr>
        <w:t>de  Natitingou</w:t>
      </w:r>
      <w:r w:rsidRPr="00A9330B">
        <w:rPr>
          <w:rFonts w:cs="Arial"/>
        </w:rPr>
        <w:t xml:space="preserve"> ;</w:t>
      </w:r>
    </w:p>
    <w:p w14:paraId="66CA89D2" w14:textId="2B1CE932" w:rsidR="001A2ADB" w:rsidRPr="00A9330B" w:rsidRDefault="001A2ADB" w:rsidP="00BD2F72">
      <w:pPr>
        <w:widowControl w:val="0"/>
        <w:numPr>
          <w:ilvl w:val="0"/>
          <w:numId w:val="52"/>
        </w:numPr>
        <w:autoSpaceDE w:val="0"/>
        <w:autoSpaceDN w:val="0"/>
        <w:adjustRightInd w:val="0"/>
        <w:spacing w:after="120" w:line="360" w:lineRule="auto"/>
        <w:contextualSpacing/>
        <w:jc w:val="both"/>
        <w:rPr>
          <w:rFonts w:eastAsia="Calibri" w:cs="Arial"/>
        </w:rPr>
      </w:pPr>
      <w:r w:rsidRPr="00A9330B">
        <w:rPr>
          <w:rFonts w:eastAsia="Calibri" w:cs="Arial"/>
        </w:rPr>
        <w:t>la Direction Départementale de Cadre de Vie et du Développement Durable d</w:t>
      </w:r>
      <w:r w:rsidR="0068413B" w:rsidRPr="00A9330B">
        <w:rPr>
          <w:rFonts w:eastAsia="Calibri" w:cs="Arial"/>
        </w:rPr>
        <w:t xml:space="preserve">e l’Atacora/Donga </w:t>
      </w:r>
      <w:r w:rsidRPr="00A9330B">
        <w:rPr>
          <w:rFonts w:eastAsia="Calibri" w:cs="Arial"/>
        </w:rPr>
        <w:t xml:space="preserve"> ; </w:t>
      </w:r>
    </w:p>
    <w:p w14:paraId="03163148" w14:textId="0F2AE69A" w:rsidR="001A2ADB" w:rsidRPr="00A9330B" w:rsidRDefault="001A2ADB" w:rsidP="00BD2F72">
      <w:pPr>
        <w:widowControl w:val="0"/>
        <w:numPr>
          <w:ilvl w:val="0"/>
          <w:numId w:val="52"/>
        </w:numPr>
        <w:autoSpaceDE w:val="0"/>
        <w:autoSpaceDN w:val="0"/>
        <w:adjustRightInd w:val="0"/>
        <w:spacing w:after="120" w:line="360" w:lineRule="auto"/>
        <w:contextualSpacing/>
        <w:jc w:val="both"/>
        <w:rPr>
          <w:rFonts w:eastAsia="Calibri" w:cs="Arial"/>
        </w:rPr>
      </w:pPr>
      <w:r w:rsidRPr="00A9330B">
        <w:rPr>
          <w:rFonts w:eastAsia="Calibri" w:cs="Arial"/>
        </w:rPr>
        <w:t>les élus locaux des arrondissements d</w:t>
      </w:r>
      <w:r w:rsidR="0068413B" w:rsidRPr="00A9330B">
        <w:rPr>
          <w:rFonts w:eastAsia="Calibri" w:cs="Arial"/>
        </w:rPr>
        <w:t>e Natitingou</w:t>
      </w:r>
      <w:r w:rsidRPr="00A9330B">
        <w:rPr>
          <w:rFonts w:eastAsia="Calibri" w:cs="Arial"/>
        </w:rPr>
        <w:t> ;</w:t>
      </w:r>
    </w:p>
    <w:p w14:paraId="056D5187" w14:textId="7BDD67B3" w:rsidR="001A2ADB" w:rsidRPr="00A9330B" w:rsidRDefault="001A2ADB" w:rsidP="00BD2F72">
      <w:pPr>
        <w:widowControl w:val="0"/>
        <w:numPr>
          <w:ilvl w:val="0"/>
          <w:numId w:val="52"/>
        </w:numPr>
        <w:autoSpaceDE w:val="0"/>
        <w:autoSpaceDN w:val="0"/>
        <w:adjustRightInd w:val="0"/>
        <w:spacing w:line="240" w:lineRule="auto"/>
        <w:contextualSpacing/>
        <w:jc w:val="both"/>
        <w:rPr>
          <w:rFonts w:eastAsia="Calibri" w:cs="Arial"/>
        </w:rPr>
      </w:pPr>
      <w:r w:rsidRPr="00A9330B">
        <w:rPr>
          <w:rFonts w:eastAsia="Calibri" w:cs="Arial"/>
        </w:rPr>
        <w:t>les ONGs impliquées dans la problématique de l’assainissement au niveau de la ville d</w:t>
      </w:r>
      <w:r w:rsidR="0068413B" w:rsidRPr="00A9330B">
        <w:rPr>
          <w:rFonts w:eastAsia="Calibri" w:cs="Arial"/>
        </w:rPr>
        <w:t xml:space="preserve">e Natitingou </w:t>
      </w:r>
      <w:r w:rsidRPr="00A9330B">
        <w:rPr>
          <w:rFonts w:eastAsia="Calibri" w:cs="Arial"/>
        </w:rPr>
        <w:t>.</w:t>
      </w:r>
    </w:p>
    <w:p w14:paraId="702FCE7A" w14:textId="77777777" w:rsidR="00204F63" w:rsidRPr="00A9330B" w:rsidRDefault="00204F63" w:rsidP="00204F63">
      <w:pPr>
        <w:rPr>
          <w:noProof/>
        </w:rPr>
      </w:pPr>
      <w:r w:rsidRPr="00A9330B">
        <w:rPr>
          <w:noProof/>
        </w:rPr>
        <w:t>En dehors de ces cibles, l’ACVDT mettra sur pied « un Pool d’experts techniques » chargés du suivi environnemental de la mise en œuvre des PGESs. La composition de ce pool d’experts est présenté dans le cadre institutionnel.</w:t>
      </w:r>
    </w:p>
    <w:p w14:paraId="49AD72A5" w14:textId="77777777" w:rsidR="001A2ADB" w:rsidRPr="00A9330B" w:rsidRDefault="001A2ADB" w:rsidP="001A2ADB">
      <w:pPr>
        <w:rPr>
          <w:rFonts w:cs="Arial"/>
          <w:noProof/>
          <w:lang w:eastAsia="de-DE"/>
        </w:rPr>
      </w:pPr>
      <w:r w:rsidRPr="00A9330B">
        <w:rPr>
          <w:rFonts w:cs="Arial"/>
          <w:noProof/>
          <w:lang w:eastAsia="de-DE"/>
        </w:rPr>
        <w:t>L’ABE est l’organe chargé du suivi environnemental de tous les projets au niveau national. Elle jouera donc le rôle d’appui technique et de la formation au niveau national.</w:t>
      </w:r>
    </w:p>
    <w:p w14:paraId="1E13F8EA" w14:textId="77777777" w:rsidR="001A2ADB" w:rsidRPr="00A9330B" w:rsidRDefault="001A2ADB" w:rsidP="000F7BA7">
      <w:pPr>
        <w:pStyle w:val="Titre20"/>
      </w:pPr>
      <w:bookmarkStart w:id="2137" w:name="_Toc531434281"/>
      <w:bookmarkStart w:id="2138" w:name="_Toc535244654"/>
      <w:bookmarkStart w:id="2139" w:name="_Toc43697724"/>
      <w:bookmarkStart w:id="2140" w:name="_Toc46313721"/>
      <w:bookmarkStart w:id="2141" w:name="_Toc46314018"/>
      <w:bookmarkStart w:id="2142" w:name="_Toc52869748"/>
      <w:bookmarkStart w:id="2143" w:name="_Toc52869898"/>
      <w:r w:rsidRPr="00A9330B">
        <w:t>12.2. Mission des structures de suivi environnemental</w:t>
      </w:r>
      <w:bookmarkEnd w:id="2137"/>
      <w:bookmarkEnd w:id="2138"/>
      <w:bookmarkEnd w:id="2139"/>
      <w:bookmarkEnd w:id="2140"/>
      <w:bookmarkEnd w:id="2141"/>
      <w:bookmarkEnd w:id="2142"/>
      <w:bookmarkEnd w:id="2143"/>
    </w:p>
    <w:p w14:paraId="7F40DBBB" w14:textId="77777777" w:rsidR="001A2ADB" w:rsidRPr="00A9330B" w:rsidRDefault="001A2ADB" w:rsidP="001A2ADB">
      <w:pPr>
        <w:autoSpaceDE w:val="0"/>
        <w:autoSpaceDN w:val="0"/>
        <w:adjustRightInd w:val="0"/>
        <w:spacing w:line="240" w:lineRule="auto"/>
        <w:rPr>
          <w:rFonts w:eastAsia="Calibri" w:cs="Arial"/>
        </w:rPr>
      </w:pPr>
      <w:r w:rsidRPr="00A9330B">
        <w:rPr>
          <w:rFonts w:eastAsia="Calibri" w:cs="Arial"/>
        </w:rPr>
        <w:t>Les structures identifiées auront pour mission :</w:t>
      </w:r>
    </w:p>
    <w:p w14:paraId="763A9402" w14:textId="426CFFDC" w:rsidR="001A2ADB" w:rsidRPr="00A9330B" w:rsidRDefault="001A2ADB" w:rsidP="00BD2F72">
      <w:pPr>
        <w:widowControl w:val="0"/>
        <w:numPr>
          <w:ilvl w:val="0"/>
          <w:numId w:val="53"/>
        </w:numPr>
        <w:autoSpaceDE w:val="0"/>
        <w:autoSpaceDN w:val="0"/>
        <w:adjustRightInd w:val="0"/>
        <w:spacing w:line="240" w:lineRule="auto"/>
        <w:jc w:val="both"/>
        <w:rPr>
          <w:rFonts w:eastAsia="Calibri" w:cs="Arial"/>
        </w:rPr>
      </w:pPr>
      <w:r w:rsidRPr="00A9330B">
        <w:rPr>
          <w:rFonts w:eastAsia="Calibri" w:cs="Arial"/>
        </w:rPr>
        <w:t>de suivre et d’approuver la mise en œuvre des mesures d'atténuation et de maximisation contenues dans les PGES ;</w:t>
      </w:r>
    </w:p>
    <w:p w14:paraId="404D1354" w14:textId="77777777" w:rsidR="001A2ADB" w:rsidRPr="00A9330B" w:rsidRDefault="001A2ADB" w:rsidP="00BD2F72">
      <w:pPr>
        <w:widowControl w:val="0"/>
        <w:numPr>
          <w:ilvl w:val="0"/>
          <w:numId w:val="53"/>
        </w:numPr>
        <w:autoSpaceDE w:val="0"/>
        <w:autoSpaceDN w:val="0"/>
        <w:adjustRightInd w:val="0"/>
        <w:spacing w:line="240" w:lineRule="auto"/>
        <w:jc w:val="both"/>
        <w:rPr>
          <w:rFonts w:eastAsia="Calibri" w:cs="Arial"/>
        </w:rPr>
      </w:pPr>
      <w:r w:rsidRPr="00A9330B">
        <w:rPr>
          <w:rFonts w:eastAsia="Calibri" w:cs="Arial"/>
        </w:rPr>
        <w:t>d’identifier les composantes du milieu pouvant faire l’objet de suivi environnemental ;</w:t>
      </w:r>
    </w:p>
    <w:p w14:paraId="67EB4811" w14:textId="77777777" w:rsidR="001A2ADB" w:rsidRPr="00A9330B" w:rsidRDefault="001A2ADB" w:rsidP="00BD2F72">
      <w:pPr>
        <w:widowControl w:val="0"/>
        <w:numPr>
          <w:ilvl w:val="0"/>
          <w:numId w:val="53"/>
        </w:numPr>
        <w:autoSpaceDE w:val="0"/>
        <w:autoSpaceDN w:val="0"/>
        <w:adjustRightInd w:val="0"/>
        <w:spacing w:line="240" w:lineRule="auto"/>
        <w:jc w:val="both"/>
        <w:rPr>
          <w:rFonts w:eastAsia="Calibri" w:cs="Arial"/>
        </w:rPr>
      </w:pPr>
      <w:r w:rsidRPr="00A9330B">
        <w:rPr>
          <w:rFonts w:eastAsia="Calibri" w:cs="Arial"/>
        </w:rPr>
        <w:t>d’identifier au besoin, les laboratoires pour des analyses ponctuelles ;</w:t>
      </w:r>
    </w:p>
    <w:p w14:paraId="4838AA1D" w14:textId="77777777" w:rsidR="001A2ADB" w:rsidRPr="00A9330B" w:rsidRDefault="001A2ADB" w:rsidP="00BD2F72">
      <w:pPr>
        <w:widowControl w:val="0"/>
        <w:numPr>
          <w:ilvl w:val="0"/>
          <w:numId w:val="53"/>
        </w:numPr>
        <w:autoSpaceDE w:val="0"/>
        <w:autoSpaceDN w:val="0"/>
        <w:adjustRightInd w:val="0"/>
        <w:spacing w:line="240" w:lineRule="auto"/>
        <w:jc w:val="both"/>
        <w:rPr>
          <w:rFonts w:eastAsia="Calibri" w:cs="Arial"/>
        </w:rPr>
      </w:pPr>
      <w:r w:rsidRPr="00A9330B">
        <w:rPr>
          <w:rFonts w:eastAsia="Calibri" w:cs="Arial"/>
        </w:rPr>
        <w:t>de diffuser les rapports d’évaluation au niveau des structures publiques appropriées ;</w:t>
      </w:r>
    </w:p>
    <w:p w14:paraId="40E2F0A1" w14:textId="77777777" w:rsidR="001A2ADB" w:rsidRPr="00A9330B" w:rsidRDefault="001A2ADB" w:rsidP="00BD2F72">
      <w:pPr>
        <w:widowControl w:val="0"/>
        <w:numPr>
          <w:ilvl w:val="0"/>
          <w:numId w:val="53"/>
        </w:numPr>
        <w:autoSpaceDE w:val="0"/>
        <w:autoSpaceDN w:val="0"/>
        <w:adjustRightInd w:val="0"/>
        <w:spacing w:line="240" w:lineRule="auto"/>
        <w:jc w:val="both"/>
        <w:rPr>
          <w:rFonts w:eastAsia="Calibri" w:cs="Arial"/>
        </w:rPr>
      </w:pPr>
      <w:r w:rsidRPr="00A9330B">
        <w:rPr>
          <w:rFonts w:eastAsia="Calibri" w:cs="Arial"/>
        </w:rPr>
        <w:t xml:space="preserve">de valider les ajustements proposés lors des différentes évaluations ; </w:t>
      </w:r>
    </w:p>
    <w:p w14:paraId="5D361F03" w14:textId="77777777" w:rsidR="001A2ADB" w:rsidRPr="00A9330B" w:rsidRDefault="001A2ADB" w:rsidP="00BD2F72">
      <w:pPr>
        <w:widowControl w:val="0"/>
        <w:numPr>
          <w:ilvl w:val="0"/>
          <w:numId w:val="53"/>
        </w:numPr>
        <w:autoSpaceDE w:val="0"/>
        <w:autoSpaceDN w:val="0"/>
        <w:adjustRightInd w:val="0"/>
        <w:spacing w:line="240" w:lineRule="auto"/>
        <w:jc w:val="both"/>
        <w:rPr>
          <w:rFonts w:eastAsia="Calibri" w:cs="Arial"/>
        </w:rPr>
      </w:pPr>
      <w:r w:rsidRPr="00A9330B">
        <w:rPr>
          <w:rFonts w:eastAsia="Calibri" w:cs="Arial"/>
        </w:rPr>
        <w:t>d’organiser des ateliers d'information et de sensibilisation sur les changements de comportements souhaités par le PAPVS, de la part des différents acteurs.</w:t>
      </w:r>
    </w:p>
    <w:p w14:paraId="00509DB8" w14:textId="77777777" w:rsidR="001A2ADB" w:rsidRPr="00A9330B" w:rsidRDefault="001A2ADB" w:rsidP="001A2ADB">
      <w:pPr>
        <w:overflowPunct w:val="0"/>
        <w:autoSpaceDE w:val="0"/>
        <w:autoSpaceDN w:val="0"/>
        <w:adjustRightInd w:val="0"/>
        <w:spacing w:after="120" w:line="360" w:lineRule="auto"/>
        <w:rPr>
          <w:rFonts w:eastAsia="Calibri" w:cs="Arial"/>
        </w:rPr>
      </w:pPr>
      <w:r w:rsidRPr="00A9330B">
        <w:rPr>
          <w:rFonts w:eastAsia="Calibri" w:cs="Arial"/>
        </w:rPr>
        <w:t>Pour assurer cette mission, des formations s’imposent.</w:t>
      </w:r>
    </w:p>
    <w:p w14:paraId="2FBF5757" w14:textId="266DBF76" w:rsidR="001A2ADB" w:rsidRPr="00A9330B" w:rsidRDefault="001A2ADB" w:rsidP="000F7BA7">
      <w:pPr>
        <w:pStyle w:val="Titre20"/>
      </w:pPr>
      <w:bookmarkStart w:id="2144" w:name="_Toc531434282"/>
      <w:bookmarkStart w:id="2145" w:name="_Toc535244655"/>
      <w:bookmarkStart w:id="2146" w:name="_Toc43697725"/>
      <w:bookmarkStart w:id="2147" w:name="_Toc46313722"/>
      <w:bookmarkStart w:id="2148" w:name="_Toc46314019"/>
      <w:bookmarkStart w:id="2149" w:name="_Toc52869749"/>
      <w:bookmarkStart w:id="2150" w:name="_Toc52869899"/>
      <w:r w:rsidRPr="00A9330B">
        <w:t xml:space="preserve">12.3. </w:t>
      </w:r>
      <w:bookmarkEnd w:id="2144"/>
      <w:bookmarkEnd w:id="2145"/>
      <w:bookmarkEnd w:id="2146"/>
      <w:bookmarkEnd w:id="2147"/>
      <w:bookmarkEnd w:id="2148"/>
      <w:r w:rsidR="00204F63" w:rsidRPr="00A9330B">
        <w:t>Capacités, besoins en formation et coûts des entités publiques</w:t>
      </w:r>
      <w:bookmarkEnd w:id="2149"/>
      <w:bookmarkEnd w:id="2150"/>
    </w:p>
    <w:p w14:paraId="5A8660A0" w14:textId="77777777" w:rsidR="001A2ADB" w:rsidRPr="00A9330B" w:rsidRDefault="001A2ADB" w:rsidP="001A2ADB">
      <w:pPr>
        <w:spacing w:line="240" w:lineRule="auto"/>
        <w:ind w:right="57"/>
        <w:rPr>
          <w:rFonts w:eastAsia="Calibri" w:cs="Arial"/>
          <w:noProof/>
          <w:spacing w:val="2"/>
          <w:lang w:eastAsia="de-DE"/>
        </w:rPr>
      </w:pPr>
      <w:r w:rsidRPr="00A9330B">
        <w:rPr>
          <w:rFonts w:eastAsia="Calibri" w:cs="Arial"/>
          <w:noProof/>
          <w:spacing w:val="2"/>
          <w:lang w:eastAsia="de-DE"/>
        </w:rPr>
        <w:t>Les besoins en formation diffèrent selon les catégories de groupes-cibles.</w:t>
      </w:r>
    </w:p>
    <w:p w14:paraId="7035AEF1" w14:textId="77777777" w:rsidR="001A2ADB" w:rsidRPr="00A9330B" w:rsidRDefault="001A2ADB" w:rsidP="001A2ADB">
      <w:pPr>
        <w:spacing w:line="240" w:lineRule="auto"/>
        <w:ind w:right="57"/>
        <w:rPr>
          <w:rFonts w:eastAsia="Calibri" w:cs="Arial"/>
          <w:noProof/>
          <w:spacing w:val="2"/>
          <w:lang w:eastAsia="de-DE"/>
        </w:rPr>
      </w:pPr>
      <w:r w:rsidRPr="00A9330B">
        <w:rPr>
          <w:rFonts w:eastAsia="Calibri" w:cs="Arial"/>
          <w:noProof/>
          <w:spacing w:val="2"/>
          <w:lang w:eastAsia="de-DE"/>
        </w:rPr>
        <w:t>Un diagnostic est nécessaire pour mieux appréhender les besoins en formation</w:t>
      </w:r>
    </w:p>
    <w:p w14:paraId="56854511" w14:textId="77E04259" w:rsidR="001A2ADB" w:rsidRPr="00A9330B" w:rsidRDefault="001A2ADB" w:rsidP="00AA56E7">
      <w:pPr>
        <w:spacing w:line="240" w:lineRule="auto"/>
        <w:ind w:right="57"/>
        <w:jc w:val="both"/>
        <w:rPr>
          <w:rFonts w:eastAsia="Calibri" w:cs="Arial"/>
          <w:noProof/>
          <w:spacing w:val="2"/>
          <w:lang w:eastAsia="de-DE"/>
        </w:rPr>
      </w:pPr>
      <w:r w:rsidRPr="00A9330B">
        <w:rPr>
          <w:rFonts w:eastAsia="Calibri" w:cs="Arial"/>
          <w:noProof/>
          <w:spacing w:val="2"/>
          <w:lang w:eastAsia="de-DE"/>
        </w:rPr>
        <w:t xml:space="preserve">Un provision sera faite au niveau de l’ACVDT pour couvrir </w:t>
      </w:r>
      <w:r w:rsidR="0068413B" w:rsidRPr="00A9330B">
        <w:rPr>
          <w:rFonts w:eastAsia="Calibri" w:cs="Arial"/>
          <w:noProof/>
          <w:spacing w:val="2"/>
          <w:lang w:eastAsia="de-DE"/>
        </w:rPr>
        <w:t>c</w:t>
      </w:r>
      <w:r w:rsidRPr="00A9330B">
        <w:rPr>
          <w:rFonts w:eastAsia="Calibri" w:cs="Arial"/>
          <w:noProof/>
          <w:spacing w:val="2"/>
          <w:lang w:eastAsia="de-DE"/>
        </w:rPr>
        <w:t>es formations au moment opportun.</w:t>
      </w:r>
    </w:p>
    <w:p w14:paraId="51B77E35" w14:textId="6C9BF47C" w:rsidR="001A2ADB" w:rsidRPr="00A9330B" w:rsidRDefault="001A2ADB" w:rsidP="001A2ADB">
      <w:pPr>
        <w:spacing w:after="240" w:line="240" w:lineRule="auto"/>
        <w:ind w:right="57"/>
        <w:rPr>
          <w:rFonts w:eastAsia="Calibri" w:cs="Arial"/>
          <w:noProof/>
          <w:spacing w:val="2"/>
          <w:lang w:eastAsia="de-DE"/>
        </w:rPr>
      </w:pPr>
      <w:r w:rsidRPr="00A9330B">
        <w:rPr>
          <w:rFonts w:eastAsia="Calibri" w:cs="Arial"/>
          <w:noProof/>
          <w:spacing w:val="2"/>
          <w:lang w:eastAsia="de-DE"/>
        </w:rPr>
        <w:t xml:space="preserve">Le tableau ci-après présente lesdits besoins approximatifs en fonction des </w:t>
      </w:r>
      <w:r w:rsidR="00204F63" w:rsidRPr="00A9330B">
        <w:rPr>
          <w:rFonts w:eastAsia="Calibri" w:cs="Arial"/>
          <w:noProof/>
          <w:spacing w:val="2"/>
          <w:lang w:eastAsia="de-DE"/>
        </w:rPr>
        <w:t xml:space="preserve">cibles </w:t>
      </w:r>
    </w:p>
    <w:p w14:paraId="354FBA52" w14:textId="77777777" w:rsidR="00204F63" w:rsidRPr="00A9330B" w:rsidRDefault="00204F63" w:rsidP="00A9330B">
      <w:pPr>
        <w:pStyle w:val="Lgende"/>
        <w:sectPr w:rsidR="00204F63" w:rsidRPr="00A9330B" w:rsidSect="00720558">
          <w:pgSz w:w="11907" w:h="16840" w:code="9"/>
          <w:pgMar w:top="1418" w:right="1418" w:bottom="1985" w:left="1418" w:header="567" w:footer="340" w:gutter="0"/>
          <w:pgNumType w:chapStyle="1"/>
          <w:cols w:space="708"/>
          <w:docGrid w:linePitch="272"/>
        </w:sectPr>
      </w:pPr>
      <w:bookmarkStart w:id="2151" w:name="_Toc533058634"/>
      <w:bookmarkStart w:id="2152" w:name="_Toc535237447"/>
      <w:bookmarkStart w:id="2153" w:name="_Toc43696272"/>
      <w:bookmarkStart w:id="2154" w:name="_Toc46314281"/>
    </w:p>
    <w:p w14:paraId="68045A4A" w14:textId="385760E1" w:rsidR="00204F63" w:rsidRPr="00A9330B" w:rsidRDefault="001A2ADB" w:rsidP="00A9330B">
      <w:pPr>
        <w:pStyle w:val="Lgende"/>
        <w:rPr>
          <w:rFonts w:eastAsia="Calibri"/>
        </w:rPr>
      </w:pPr>
      <w:bookmarkStart w:id="2155" w:name="_Toc52873799"/>
      <w:r w:rsidRPr="00A9330B">
        <w:lastRenderedPageBreak/>
        <w:t xml:space="preserve">Tableau </w:t>
      </w:r>
      <w:r w:rsidRPr="00A9330B">
        <w:rPr>
          <w:noProof/>
        </w:rPr>
        <w:fldChar w:fldCharType="begin"/>
      </w:r>
      <w:r w:rsidRPr="00A9330B">
        <w:rPr>
          <w:noProof/>
        </w:rPr>
        <w:instrText xml:space="preserve"> SEQ Tableau \* ARABIC </w:instrText>
      </w:r>
      <w:r w:rsidRPr="00A9330B">
        <w:rPr>
          <w:noProof/>
        </w:rPr>
        <w:fldChar w:fldCharType="separate"/>
      </w:r>
      <w:r w:rsidR="002E4838">
        <w:rPr>
          <w:noProof/>
        </w:rPr>
        <w:t>75</w:t>
      </w:r>
      <w:r w:rsidRPr="00A9330B">
        <w:rPr>
          <w:noProof/>
        </w:rPr>
        <w:fldChar w:fldCharType="end"/>
      </w:r>
      <w:r w:rsidRPr="00A9330B">
        <w:t xml:space="preserve"> </w:t>
      </w:r>
      <w:r w:rsidRPr="00A9330B">
        <w:rPr>
          <w:rFonts w:eastAsia="Calibri"/>
        </w:rPr>
        <w:t>: Besoins en formation, thèmes et coûts en fonction des cibles</w:t>
      </w:r>
      <w:bookmarkEnd w:id="2151"/>
      <w:bookmarkEnd w:id="2152"/>
      <w:bookmarkEnd w:id="2153"/>
      <w:bookmarkEnd w:id="2154"/>
      <w:bookmarkEnd w:id="2155"/>
      <w:r w:rsidRPr="00A9330B">
        <w:rPr>
          <w:rFonts w:eastAsia="Calibri"/>
        </w:rPr>
        <w:t xml:space="preserve"> </w:t>
      </w:r>
    </w:p>
    <w:tbl>
      <w:tblPr>
        <w:tblStyle w:val="Grilledutableau"/>
        <w:tblW w:w="12477" w:type="dxa"/>
        <w:tblLook w:val="04A0" w:firstRow="1" w:lastRow="0" w:firstColumn="1" w:lastColumn="0" w:noHBand="0" w:noVBand="1"/>
      </w:tblPr>
      <w:tblGrid>
        <w:gridCol w:w="571"/>
        <w:gridCol w:w="1963"/>
        <w:gridCol w:w="2115"/>
        <w:gridCol w:w="2398"/>
        <w:gridCol w:w="1974"/>
        <w:gridCol w:w="1834"/>
        <w:gridCol w:w="1622"/>
      </w:tblGrid>
      <w:tr w:rsidR="00204F63" w:rsidRPr="00A9330B" w14:paraId="101BAA53" w14:textId="77777777" w:rsidTr="00204F63">
        <w:trPr>
          <w:trHeight w:val="328"/>
        </w:trPr>
        <w:tc>
          <w:tcPr>
            <w:tcW w:w="0" w:type="auto"/>
            <w:vMerge w:val="restart"/>
            <w:shd w:val="clear" w:color="auto" w:fill="00B0F0"/>
            <w:vAlign w:val="center"/>
          </w:tcPr>
          <w:p w14:paraId="065C327F" w14:textId="77777777" w:rsidR="00204F63" w:rsidRPr="00A9330B" w:rsidRDefault="00204F63" w:rsidP="00204F63">
            <w:pPr>
              <w:spacing w:line="240" w:lineRule="auto"/>
              <w:rPr>
                <w:b/>
                <w:sz w:val="18"/>
                <w:szCs w:val="18"/>
              </w:rPr>
            </w:pPr>
            <w:r w:rsidRPr="00A9330B">
              <w:rPr>
                <w:b/>
                <w:sz w:val="18"/>
                <w:szCs w:val="18"/>
                <w:lang w:eastAsia="fr-FR"/>
              </w:rPr>
              <w:t xml:space="preserve">N° </w:t>
            </w:r>
          </w:p>
        </w:tc>
        <w:tc>
          <w:tcPr>
            <w:tcW w:w="1963" w:type="dxa"/>
            <w:vMerge w:val="restart"/>
            <w:shd w:val="clear" w:color="auto" w:fill="00B0F0"/>
          </w:tcPr>
          <w:p w14:paraId="1A09EFA8" w14:textId="77777777" w:rsidR="00204F63" w:rsidRPr="00A9330B" w:rsidRDefault="00204F63" w:rsidP="00204F63">
            <w:pPr>
              <w:spacing w:line="240" w:lineRule="auto"/>
              <w:rPr>
                <w:b/>
                <w:sz w:val="18"/>
                <w:szCs w:val="18"/>
              </w:rPr>
            </w:pPr>
            <w:r w:rsidRPr="00A9330B">
              <w:rPr>
                <w:b/>
                <w:sz w:val="18"/>
                <w:szCs w:val="18"/>
              </w:rPr>
              <w:t xml:space="preserve">Entité Publiques </w:t>
            </w:r>
          </w:p>
        </w:tc>
        <w:tc>
          <w:tcPr>
            <w:tcW w:w="2115" w:type="dxa"/>
            <w:vMerge w:val="restart"/>
            <w:shd w:val="clear" w:color="auto" w:fill="00B0F0"/>
          </w:tcPr>
          <w:p w14:paraId="0A3BB862" w14:textId="77777777" w:rsidR="00204F63" w:rsidRPr="00A9330B" w:rsidRDefault="00204F63" w:rsidP="00204F63">
            <w:pPr>
              <w:spacing w:line="240" w:lineRule="auto"/>
              <w:rPr>
                <w:b/>
                <w:sz w:val="18"/>
                <w:szCs w:val="18"/>
              </w:rPr>
            </w:pPr>
            <w:r w:rsidRPr="00A9330B">
              <w:rPr>
                <w:b/>
                <w:sz w:val="18"/>
                <w:szCs w:val="18"/>
              </w:rPr>
              <w:t>Rôle et responsabilités</w:t>
            </w:r>
          </w:p>
        </w:tc>
        <w:tc>
          <w:tcPr>
            <w:tcW w:w="2398" w:type="dxa"/>
            <w:vMerge w:val="restart"/>
            <w:shd w:val="clear" w:color="auto" w:fill="00B0F0"/>
          </w:tcPr>
          <w:p w14:paraId="301D2B7E" w14:textId="77777777" w:rsidR="00204F63" w:rsidRPr="00A9330B" w:rsidRDefault="00204F63" w:rsidP="00204F63">
            <w:pPr>
              <w:spacing w:line="240" w:lineRule="auto"/>
              <w:rPr>
                <w:b/>
                <w:sz w:val="18"/>
                <w:szCs w:val="18"/>
              </w:rPr>
            </w:pPr>
            <w:r w:rsidRPr="00A9330B">
              <w:rPr>
                <w:b/>
                <w:sz w:val="18"/>
                <w:szCs w:val="18"/>
              </w:rPr>
              <w:t>Etat de Capacités</w:t>
            </w:r>
          </w:p>
        </w:tc>
        <w:tc>
          <w:tcPr>
            <w:tcW w:w="5430" w:type="dxa"/>
            <w:gridSpan w:val="3"/>
            <w:shd w:val="clear" w:color="auto" w:fill="00B0F0"/>
          </w:tcPr>
          <w:p w14:paraId="6A1A5AD6" w14:textId="77777777" w:rsidR="00204F63" w:rsidRPr="00A9330B" w:rsidRDefault="00204F63" w:rsidP="00204F63">
            <w:pPr>
              <w:spacing w:line="240" w:lineRule="auto"/>
              <w:rPr>
                <w:b/>
                <w:sz w:val="18"/>
                <w:szCs w:val="18"/>
              </w:rPr>
            </w:pPr>
            <w:r w:rsidRPr="00A9330B">
              <w:rPr>
                <w:b/>
                <w:sz w:val="18"/>
                <w:szCs w:val="18"/>
              </w:rPr>
              <w:t xml:space="preserve">Besoin en Renforcement </w:t>
            </w:r>
          </w:p>
        </w:tc>
      </w:tr>
      <w:tr w:rsidR="00204F63" w:rsidRPr="00A9330B" w14:paraId="5DDC30C3" w14:textId="77777777" w:rsidTr="00204F63">
        <w:trPr>
          <w:trHeight w:val="267"/>
        </w:trPr>
        <w:tc>
          <w:tcPr>
            <w:tcW w:w="0" w:type="auto"/>
            <w:vMerge/>
            <w:vAlign w:val="center"/>
          </w:tcPr>
          <w:p w14:paraId="1061D8D2" w14:textId="77777777" w:rsidR="00204F63" w:rsidRPr="00A9330B" w:rsidRDefault="00204F63" w:rsidP="00204F63">
            <w:pPr>
              <w:spacing w:line="240" w:lineRule="auto"/>
              <w:rPr>
                <w:b/>
                <w:sz w:val="18"/>
                <w:szCs w:val="18"/>
              </w:rPr>
            </w:pPr>
          </w:p>
        </w:tc>
        <w:tc>
          <w:tcPr>
            <w:tcW w:w="1963" w:type="dxa"/>
            <w:vMerge/>
            <w:vAlign w:val="center"/>
          </w:tcPr>
          <w:p w14:paraId="14C79947" w14:textId="77777777" w:rsidR="00204F63" w:rsidRPr="00A9330B" w:rsidRDefault="00204F63" w:rsidP="00204F63">
            <w:pPr>
              <w:spacing w:line="240" w:lineRule="auto"/>
              <w:rPr>
                <w:b/>
                <w:sz w:val="18"/>
                <w:szCs w:val="18"/>
              </w:rPr>
            </w:pPr>
          </w:p>
        </w:tc>
        <w:tc>
          <w:tcPr>
            <w:tcW w:w="2115" w:type="dxa"/>
            <w:vMerge/>
          </w:tcPr>
          <w:p w14:paraId="484FF9FB" w14:textId="77777777" w:rsidR="00204F63" w:rsidRPr="00A9330B" w:rsidRDefault="00204F63" w:rsidP="00204F63">
            <w:pPr>
              <w:spacing w:line="240" w:lineRule="auto"/>
              <w:rPr>
                <w:b/>
                <w:sz w:val="18"/>
                <w:szCs w:val="18"/>
              </w:rPr>
            </w:pPr>
          </w:p>
        </w:tc>
        <w:tc>
          <w:tcPr>
            <w:tcW w:w="2398" w:type="dxa"/>
            <w:vMerge/>
          </w:tcPr>
          <w:p w14:paraId="3F35ED12" w14:textId="77777777" w:rsidR="00204F63" w:rsidRPr="00A9330B" w:rsidRDefault="00204F63" w:rsidP="00204F63">
            <w:pPr>
              <w:spacing w:line="240" w:lineRule="auto"/>
              <w:rPr>
                <w:b/>
                <w:sz w:val="18"/>
                <w:szCs w:val="18"/>
              </w:rPr>
            </w:pPr>
          </w:p>
        </w:tc>
        <w:tc>
          <w:tcPr>
            <w:tcW w:w="1974" w:type="dxa"/>
          </w:tcPr>
          <w:p w14:paraId="12D4B20B" w14:textId="77777777" w:rsidR="00204F63" w:rsidRPr="00A9330B" w:rsidRDefault="00204F63" w:rsidP="00204F63">
            <w:pPr>
              <w:spacing w:line="240" w:lineRule="auto"/>
              <w:rPr>
                <w:b/>
                <w:sz w:val="18"/>
                <w:szCs w:val="18"/>
              </w:rPr>
            </w:pPr>
            <w:r w:rsidRPr="00A9330B">
              <w:rPr>
                <w:b/>
                <w:sz w:val="18"/>
                <w:szCs w:val="18"/>
              </w:rPr>
              <w:t xml:space="preserve">Formations </w:t>
            </w:r>
          </w:p>
        </w:tc>
        <w:tc>
          <w:tcPr>
            <w:tcW w:w="1834" w:type="dxa"/>
          </w:tcPr>
          <w:p w14:paraId="04BF160F" w14:textId="77777777" w:rsidR="00204F63" w:rsidRPr="00A9330B" w:rsidRDefault="00204F63" w:rsidP="00204F63">
            <w:pPr>
              <w:spacing w:line="240" w:lineRule="auto"/>
              <w:rPr>
                <w:b/>
                <w:sz w:val="18"/>
                <w:szCs w:val="18"/>
              </w:rPr>
            </w:pPr>
            <w:r w:rsidRPr="00A9330B">
              <w:rPr>
                <w:b/>
                <w:sz w:val="18"/>
                <w:szCs w:val="18"/>
              </w:rPr>
              <w:t xml:space="preserve">Matériels </w:t>
            </w:r>
          </w:p>
        </w:tc>
        <w:tc>
          <w:tcPr>
            <w:tcW w:w="1622" w:type="dxa"/>
          </w:tcPr>
          <w:p w14:paraId="31BDEA8F" w14:textId="77777777" w:rsidR="00204F63" w:rsidRPr="00A9330B" w:rsidRDefault="00204F63" w:rsidP="00204F63">
            <w:pPr>
              <w:spacing w:line="240" w:lineRule="auto"/>
              <w:rPr>
                <w:b/>
                <w:sz w:val="18"/>
                <w:szCs w:val="18"/>
              </w:rPr>
            </w:pPr>
            <w:r w:rsidRPr="00A9330B">
              <w:rPr>
                <w:b/>
                <w:sz w:val="18"/>
                <w:szCs w:val="18"/>
              </w:rPr>
              <w:t xml:space="preserve">Financiers </w:t>
            </w:r>
          </w:p>
        </w:tc>
      </w:tr>
      <w:tr w:rsidR="00204F63" w:rsidRPr="00A9330B" w14:paraId="02E78587" w14:textId="77777777" w:rsidTr="00204F63">
        <w:trPr>
          <w:trHeight w:val="359"/>
        </w:trPr>
        <w:tc>
          <w:tcPr>
            <w:tcW w:w="0" w:type="auto"/>
            <w:vAlign w:val="center"/>
          </w:tcPr>
          <w:p w14:paraId="6347873F" w14:textId="77777777" w:rsidR="00204F63" w:rsidRPr="00A9330B" w:rsidRDefault="00204F63" w:rsidP="00204F63">
            <w:pPr>
              <w:spacing w:line="240" w:lineRule="auto"/>
              <w:rPr>
                <w:b/>
                <w:sz w:val="18"/>
                <w:szCs w:val="18"/>
                <w:lang w:eastAsia="fr-FR"/>
              </w:rPr>
            </w:pPr>
            <w:r w:rsidRPr="00A9330B">
              <w:rPr>
                <w:b/>
                <w:sz w:val="18"/>
                <w:szCs w:val="18"/>
                <w:lang w:eastAsia="fr-FR"/>
              </w:rPr>
              <w:t>1.</w:t>
            </w:r>
          </w:p>
        </w:tc>
        <w:tc>
          <w:tcPr>
            <w:tcW w:w="1963" w:type="dxa"/>
            <w:vAlign w:val="center"/>
          </w:tcPr>
          <w:p w14:paraId="4A1C76FE" w14:textId="77777777" w:rsidR="00204F63" w:rsidRPr="00A9330B" w:rsidRDefault="00204F63" w:rsidP="00204F63">
            <w:pPr>
              <w:spacing w:line="240" w:lineRule="auto"/>
              <w:jc w:val="left"/>
              <w:rPr>
                <w:sz w:val="18"/>
                <w:szCs w:val="18"/>
                <w:lang w:eastAsia="fr-FR"/>
              </w:rPr>
            </w:pPr>
            <w:r w:rsidRPr="00A9330B">
              <w:rPr>
                <w:sz w:val="18"/>
                <w:szCs w:val="18"/>
                <w:lang w:eastAsia="fr-FR"/>
              </w:rPr>
              <w:t>ACVDT</w:t>
            </w:r>
          </w:p>
        </w:tc>
        <w:tc>
          <w:tcPr>
            <w:tcW w:w="2115" w:type="dxa"/>
          </w:tcPr>
          <w:p w14:paraId="410DD8D2" w14:textId="77777777" w:rsidR="00204F63" w:rsidRPr="00A9330B" w:rsidRDefault="00204F63" w:rsidP="00AA56E7">
            <w:pPr>
              <w:spacing w:line="240" w:lineRule="auto"/>
              <w:jc w:val="left"/>
              <w:rPr>
                <w:sz w:val="18"/>
                <w:szCs w:val="18"/>
              </w:rPr>
            </w:pPr>
            <w:r w:rsidRPr="00A9330B">
              <w:rPr>
                <w:sz w:val="18"/>
                <w:szCs w:val="18"/>
              </w:rPr>
              <w:t>Comité de pilotage du programme</w:t>
            </w:r>
          </w:p>
          <w:p w14:paraId="4B43D55E" w14:textId="77777777" w:rsidR="00204F63" w:rsidRPr="00A9330B" w:rsidRDefault="00204F63" w:rsidP="00AA56E7">
            <w:pPr>
              <w:spacing w:line="240" w:lineRule="auto"/>
              <w:jc w:val="left"/>
              <w:rPr>
                <w:sz w:val="18"/>
                <w:szCs w:val="18"/>
              </w:rPr>
            </w:pPr>
            <w:r w:rsidRPr="00A9330B">
              <w:rPr>
                <w:sz w:val="18"/>
                <w:szCs w:val="18"/>
              </w:rPr>
              <w:t>Comité Technique de Suivi</w:t>
            </w:r>
          </w:p>
        </w:tc>
        <w:tc>
          <w:tcPr>
            <w:tcW w:w="2398" w:type="dxa"/>
          </w:tcPr>
          <w:p w14:paraId="045D5244" w14:textId="77777777" w:rsidR="00204F63" w:rsidRPr="00A9330B" w:rsidRDefault="00204F63" w:rsidP="00204F63">
            <w:pPr>
              <w:spacing w:line="240" w:lineRule="auto"/>
              <w:rPr>
                <w:b/>
                <w:sz w:val="18"/>
                <w:szCs w:val="18"/>
              </w:rPr>
            </w:pPr>
            <w:r w:rsidRPr="00A9330B">
              <w:rPr>
                <w:b/>
                <w:sz w:val="18"/>
                <w:szCs w:val="18"/>
              </w:rPr>
              <w:t>-</w:t>
            </w:r>
          </w:p>
        </w:tc>
        <w:tc>
          <w:tcPr>
            <w:tcW w:w="1974" w:type="dxa"/>
          </w:tcPr>
          <w:p w14:paraId="0B29A963" w14:textId="77777777" w:rsidR="00204F63" w:rsidRPr="00A9330B" w:rsidRDefault="00204F63" w:rsidP="00204F63">
            <w:pPr>
              <w:spacing w:line="240" w:lineRule="auto"/>
              <w:rPr>
                <w:b/>
                <w:sz w:val="18"/>
                <w:szCs w:val="18"/>
              </w:rPr>
            </w:pPr>
            <w:r w:rsidRPr="00A9330B">
              <w:rPr>
                <w:b/>
                <w:sz w:val="18"/>
                <w:szCs w:val="18"/>
              </w:rPr>
              <w:t>-</w:t>
            </w:r>
          </w:p>
        </w:tc>
        <w:tc>
          <w:tcPr>
            <w:tcW w:w="1834" w:type="dxa"/>
          </w:tcPr>
          <w:p w14:paraId="5853F4A9" w14:textId="77777777" w:rsidR="00204F63" w:rsidRPr="00A9330B" w:rsidRDefault="00204F63" w:rsidP="00204F63">
            <w:pPr>
              <w:spacing w:line="240" w:lineRule="auto"/>
              <w:rPr>
                <w:b/>
                <w:sz w:val="18"/>
                <w:szCs w:val="18"/>
              </w:rPr>
            </w:pPr>
            <w:r w:rsidRPr="00A9330B">
              <w:rPr>
                <w:b/>
                <w:sz w:val="18"/>
                <w:szCs w:val="18"/>
              </w:rPr>
              <w:t>-</w:t>
            </w:r>
          </w:p>
        </w:tc>
        <w:tc>
          <w:tcPr>
            <w:tcW w:w="1622" w:type="dxa"/>
          </w:tcPr>
          <w:p w14:paraId="27DDCBFE" w14:textId="77777777" w:rsidR="00204F63" w:rsidRPr="00A9330B" w:rsidRDefault="00204F63" w:rsidP="00204F63">
            <w:pPr>
              <w:spacing w:line="240" w:lineRule="auto"/>
              <w:rPr>
                <w:b/>
                <w:sz w:val="18"/>
                <w:szCs w:val="18"/>
              </w:rPr>
            </w:pPr>
            <w:r w:rsidRPr="00A9330B">
              <w:rPr>
                <w:b/>
                <w:sz w:val="18"/>
                <w:szCs w:val="18"/>
              </w:rPr>
              <w:t>-</w:t>
            </w:r>
          </w:p>
        </w:tc>
      </w:tr>
      <w:tr w:rsidR="00204F63" w:rsidRPr="00A9330B" w14:paraId="4151A21E" w14:textId="77777777" w:rsidTr="00204F63">
        <w:trPr>
          <w:trHeight w:val="558"/>
        </w:trPr>
        <w:tc>
          <w:tcPr>
            <w:tcW w:w="0" w:type="auto"/>
            <w:vAlign w:val="center"/>
          </w:tcPr>
          <w:p w14:paraId="06FA2CA4" w14:textId="77777777" w:rsidR="00204F63" w:rsidRPr="00A9330B" w:rsidRDefault="00204F63" w:rsidP="00204F63">
            <w:pPr>
              <w:spacing w:line="240" w:lineRule="auto"/>
              <w:rPr>
                <w:b/>
                <w:sz w:val="18"/>
                <w:szCs w:val="18"/>
              </w:rPr>
            </w:pPr>
            <w:r w:rsidRPr="00A9330B">
              <w:rPr>
                <w:b/>
                <w:sz w:val="18"/>
                <w:szCs w:val="18"/>
                <w:lang w:eastAsia="fr-FR"/>
              </w:rPr>
              <w:t>2.</w:t>
            </w:r>
          </w:p>
        </w:tc>
        <w:tc>
          <w:tcPr>
            <w:tcW w:w="1963" w:type="dxa"/>
            <w:vAlign w:val="center"/>
          </w:tcPr>
          <w:p w14:paraId="468F4395" w14:textId="77777777" w:rsidR="00204F63" w:rsidRPr="00A9330B" w:rsidRDefault="00204F63" w:rsidP="00204F63">
            <w:pPr>
              <w:spacing w:line="240" w:lineRule="auto"/>
              <w:jc w:val="left"/>
              <w:rPr>
                <w:b/>
                <w:sz w:val="18"/>
                <w:szCs w:val="18"/>
              </w:rPr>
            </w:pPr>
            <w:r w:rsidRPr="00A9330B">
              <w:rPr>
                <w:sz w:val="18"/>
                <w:szCs w:val="18"/>
                <w:lang w:eastAsia="fr-FR"/>
              </w:rPr>
              <w:t xml:space="preserve">ABE </w:t>
            </w:r>
          </w:p>
        </w:tc>
        <w:tc>
          <w:tcPr>
            <w:tcW w:w="2115" w:type="dxa"/>
          </w:tcPr>
          <w:p w14:paraId="012077DA" w14:textId="77777777" w:rsidR="00204F63" w:rsidRPr="00A9330B" w:rsidRDefault="00204F63" w:rsidP="00AA56E7">
            <w:pPr>
              <w:spacing w:line="240" w:lineRule="auto"/>
              <w:jc w:val="left"/>
              <w:rPr>
                <w:sz w:val="18"/>
                <w:szCs w:val="18"/>
              </w:rPr>
            </w:pPr>
            <w:r w:rsidRPr="00A9330B">
              <w:rPr>
                <w:sz w:val="18"/>
                <w:szCs w:val="18"/>
              </w:rPr>
              <w:t xml:space="preserve">Supervision environnementale et sociale – Suivi de PGES </w:t>
            </w:r>
          </w:p>
        </w:tc>
        <w:tc>
          <w:tcPr>
            <w:tcW w:w="2398" w:type="dxa"/>
          </w:tcPr>
          <w:p w14:paraId="55A28A62" w14:textId="338A362A" w:rsidR="00204F63" w:rsidRPr="00A9330B" w:rsidRDefault="00204F63" w:rsidP="00AA56E7">
            <w:pPr>
              <w:spacing w:line="240" w:lineRule="auto"/>
              <w:jc w:val="left"/>
              <w:rPr>
                <w:sz w:val="18"/>
                <w:szCs w:val="18"/>
                <w:lang w:eastAsia="fr-FR"/>
              </w:rPr>
            </w:pPr>
            <w:r w:rsidRPr="00A9330B">
              <w:rPr>
                <w:sz w:val="18"/>
                <w:szCs w:val="18"/>
                <w:lang w:eastAsia="fr-FR"/>
              </w:rPr>
              <w:t xml:space="preserve">Possibilité de faire la formation ou recruter un expert pour le faire </w:t>
            </w:r>
          </w:p>
        </w:tc>
        <w:tc>
          <w:tcPr>
            <w:tcW w:w="1974" w:type="dxa"/>
          </w:tcPr>
          <w:p w14:paraId="57A3C78A" w14:textId="77777777" w:rsidR="00204F63" w:rsidRPr="00A9330B" w:rsidRDefault="00204F63" w:rsidP="00204F63">
            <w:pPr>
              <w:spacing w:line="240" w:lineRule="auto"/>
              <w:rPr>
                <w:b/>
                <w:sz w:val="18"/>
                <w:szCs w:val="18"/>
              </w:rPr>
            </w:pPr>
            <w:r w:rsidRPr="00A9330B">
              <w:rPr>
                <w:b/>
                <w:sz w:val="18"/>
                <w:szCs w:val="18"/>
              </w:rPr>
              <w:t>-</w:t>
            </w:r>
          </w:p>
        </w:tc>
        <w:tc>
          <w:tcPr>
            <w:tcW w:w="1834" w:type="dxa"/>
          </w:tcPr>
          <w:p w14:paraId="412ADAB1" w14:textId="77777777" w:rsidR="00204F63" w:rsidRPr="00A9330B" w:rsidRDefault="00204F63" w:rsidP="00204F63">
            <w:pPr>
              <w:spacing w:line="240" w:lineRule="auto"/>
              <w:rPr>
                <w:b/>
                <w:sz w:val="18"/>
                <w:szCs w:val="18"/>
              </w:rPr>
            </w:pPr>
            <w:r w:rsidRPr="00A9330B">
              <w:rPr>
                <w:b/>
                <w:sz w:val="18"/>
                <w:szCs w:val="18"/>
              </w:rPr>
              <w:t>-</w:t>
            </w:r>
          </w:p>
        </w:tc>
        <w:tc>
          <w:tcPr>
            <w:tcW w:w="1622" w:type="dxa"/>
          </w:tcPr>
          <w:p w14:paraId="24147ECF" w14:textId="77777777" w:rsidR="00204F63" w:rsidRPr="00A9330B" w:rsidRDefault="00204F63" w:rsidP="00204F63">
            <w:pPr>
              <w:spacing w:line="240" w:lineRule="auto"/>
              <w:rPr>
                <w:b/>
                <w:sz w:val="18"/>
                <w:szCs w:val="18"/>
              </w:rPr>
            </w:pPr>
            <w:r w:rsidRPr="00A9330B">
              <w:rPr>
                <w:b/>
                <w:sz w:val="18"/>
                <w:szCs w:val="18"/>
              </w:rPr>
              <w:t>-</w:t>
            </w:r>
          </w:p>
        </w:tc>
      </w:tr>
      <w:tr w:rsidR="00204F63" w:rsidRPr="00A9330B" w14:paraId="1F6AE787" w14:textId="77777777" w:rsidTr="00204F63">
        <w:trPr>
          <w:trHeight w:val="1068"/>
        </w:trPr>
        <w:tc>
          <w:tcPr>
            <w:tcW w:w="0" w:type="auto"/>
            <w:vAlign w:val="center"/>
          </w:tcPr>
          <w:p w14:paraId="73C52758" w14:textId="77777777" w:rsidR="00204F63" w:rsidRPr="00A9330B" w:rsidRDefault="00204F63" w:rsidP="00204F63">
            <w:pPr>
              <w:spacing w:line="240" w:lineRule="auto"/>
              <w:rPr>
                <w:b/>
                <w:sz w:val="18"/>
                <w:szCs w:val="18"/>
              </w:rPr>
            </w:pPr>
            <w:r w:rsidRPr="00A9330B">
              <w:rPr>
                <w:b/>
                <w:sz w:val="18"/>
                <w:szCs w:val="18"/>
                <w:lang w:eastAsia="fr-FR"/>
              </w:rPr>
              <w:t>3.</w:t>
            </w:r>
          </w:p>
        </w:tc>
        <w:tc>
          <w:tcPr>
            <w:tcW w:w="1963" w:type="dxa"/>
            <w:vAlign w:val="center"/>
          </w:tcPr>
          <w:p w14:paraId="6D8361FD" w14:textId="77777777" w:rsidR="00204F63" w:rsidRPr="00A9330B" w:rsidRDefault="00204F63" w:rsidP="00204F63">
            <w:pPr>
              <w:spacing w:line="240" w:lineRule="auto"/>
              <w:jc w:val="left"/>
              <w:rPr>
                <w:b/>
                <w:sz w:val="18"/>
                <w:szCs w:val="18"/>
              </w:rPr>
            </w:pPr>
            <w:r w:rsidRPr="00A9330B">
              <w:rPr>
                <w:sz w:val="18"/>
                <w:szCs w:val="18"/>
              </w:rPr>
              <w:t xml:space="preserve">MAIRIE </w:t>
            </w:r>
            <w:r w:rsidRPr="00A9330B">
              <w:rPr>
                <w:sz w:val="18"/>
                <w:szCs w:val="18"/>
                <w:lang w:eastAsia="fr-FR"/>
              </w:rPr>
              <w:t>et Elus locaux des arrondissements concernés </w:t>
            </w:r>
          </w:p>
        </w:tc>
        <w:tc>
          <w:tcPr>
            <w:tcW w:w="2115" w:type="dxa"/>
          </w:tcPr>
          <w:p w14:paraId="64530D09" w14:textId="77777777" w:rsidR="00204F63" w:rsidRPr="00A9330B" w:rsidRDefault="00204F63" w:rsidP="00204F63">
            <w:pPr>
              <w:spacing w:line="240" w:lineRule="auto"/>
              <w:jc w:val="left"/>
              <w:rPr>
                <w:sz w:val="18"/>
                <w:szCs w:val="18"/>
                <w:lang w:eastAsia="fr-FR"/>
              </w:rPr>
            </w:pPr>
            <w:r w:rsidRPr="00A9330B">
              <w:rPr>
                <w:sz w:val="18"/>
                <w:szCs w:val="18"/>
                <w:lang w:eastAsia="fr-FR"/>
              </w:rPr>
              <w:t>Maître d’Ouvrage après transfert de propriété sur la base de convention spécifique de transfert à signer avec l’Etat.</w:t>
            </w:r>
          </w:p>
          <w:p w14:paraId="61280249" w14:textId="77777777" w:rsidR="00204F63" w:rsidRPr="00A9330B" w:rsidRDefault="00204F63" w:rsidP="00204F63">
            <w:pPr>
              <w:spacing w:line="240" w:lineRule="auto"/>
              <w:jc w:val="left"/>
              <w:rPr>
                <w:sz w:val="18"/>
                <w:szCs w:val="18"/>
                <w:lang w:eastAsia="fr-FR"/>
              </w:rPr>
            </w:pPr>
            <w:r w:rsidRPr="00A9330B">
              <w:rPr>
                <w:sz w:val="18"/>
                <w:szCs w:val="18"/>
                <w:lang w:eastAsia="fr-FR"/>
              </w:rPr>
              <w:t>Communes sont parties prenantes de l’ensemble du programme et sont étroitement associées à la phase de définition et de conduite du programme.</w:t>
            </w:r>
          </w:p>
          <w:p w14:paraId="56EC9990" w14:textId="77777777" w:rsidR="00204F63" w:rsidRPr="00A9330B" w:rsidRDefault="00204F63" w:rsidP="00204F63">
            <w:pPr>
              <w:spacing w:line="240" w:lineRule="auto"/>
              <w:rPr>
                <w:sz w:val="18"/>
                <w:szCs w:val="18"/>
              </w:rPr>
            </w:pPr>
            <w:r w:rsidRPr="00A9330B">
              <w:rPr>
                <w:sz w:val="18"/>
                <w:szCs w:val="18"/>
              </w:rPr>
              <w:t xml:space="preserve">Création des pôles de crieurs publics </w:t>
            </w:r>
          </w:p>
          <w:p w14:paraId="4DCC0A7E" w14:textId="77777777" w:rsidR="00204F63" w:rsidRPr="00A9330B" w:rsidRDefault="00204F63" w:rsidP="00204F63">
            <w:pPr>
              <w:spacing w:line="240" w:lineRule="auto"/>
              <w:rPr>
                <w:sz w:val="18"/>
                <w:szCs w:val="18"/>
              </w:rPr>
            </w:pPr>
            <w:r w:rsidRPr="00A9330B">
              <w:rPr>
                <w:sz w:val="18"/>
                <w:szCs w:val="18"/>
              </w:rPr>
              <w:t xml:space="preserve">Création d’un centre de collecte de déchets </w:t>
            </w:r>
          </w:p>
          <w:p w14:paraId="27BB742B" w14:textId="77777777" w:rsidR="00204F63" w:rsidRPr="00A9330B" w:rsidRDefault="00204F63" w:rsidP="00204F63">
            <w:pPr>
              <w:spacing w:line="240" w:lineRule="auto"/>
              <w:rPr>
                <w:b/>
                <w:sz w:val="18"/>
                <w:szCs w:val="18"/>
              </w:rPr>
            </w:pPr>
            <w:r w:rsidRPr="00A9330B">
              <w:rPr>
                <w:sz w:val="18"/>
                <w:szCs w:val="18"/>
              </w:rPr>
              <w:t>Suivi du processus de dédommagements des PAP avant la mise en œuvre du projet</w:t>
            </w:r>
          </w:p>
        </w:tc>
        <w:tc>
          <w:tcPr>
            <w:tcW w:w="2398" w:type="dxa"/>
          </w:tcPr>
          <w:p w14:paraId="5D645AC7" w14:textId="77777777" w:rsidR="00204F63" w:rsidRPr="00A9330B" w:rsidRDefault="00204F63" w:rsidP="00204F63">
            <w:pPr>
              <w:spacing w:line="240" w:lineRule="auto"/>
              <w:jc w:val="left"/>
              <w:rPr>
                <w:sz w:val="18"/>
                <w:szCs w:val="18"/>
              </w:rPr>
            </w:pPr>
            <w:r w:rsidRPr="00A9330B">
              <w:rPr>
                <w:sz w:val="18"/>
                <w:szCs w:val="18"/>
              </w:rPr>
              <w:t xml:space="preserve">Les personnes ressources disponibles, les services techniques de la Mairie déployés aux arrondissements, les services techniques déconcentrés de l’état, les élus locaux, les points focaux. </w:t>
            </w:r>
          </w:p>
          <w:p w14:paraId="6DFB773B" w14:textId="77777777" w:rsidR="00204F63" w:rsidRPr="00A9330B" w:rsidRDefault="00204F63" w:rsidP="00204F63">
            <w:pPr>
              <w:spacing w:line="240" w:lineRule="auto"/>
              <w:jc w:val="left"/>
              <w:rPr>
                <w:b/>
                <w:sz w:val="18"/>
                <w:szCs w:val="18"/>
              </w:rPr>
            </w:pPr>
          </w:p>
        </w:tc>
        <w:tc>
          <w:tcPr>
            <w:tcW w:w="1974" w:type="dxa"/>
          </w:tcPr>
          <w:p w14:paraId="631A04B3" w14:textId="77777777" w:rsidR="00204F63" w:rsidRPr="00A9330B" w:rsidRDefault="00204F63" w:rsidP="00204F63">
            <w:pPr>
              <w:spacing w:line="240" w:lineRule="auto"/>
              <w:jc w:val="left"/>
              <w:rPr>
                <w:sz w:val="18"/>
                <w:szCs w:val="18"/>
                <w:lang w:eastAsia="fr-FR"/>
              </w:rPr>
            </w:pPr>
            <w:r w:rsidRPr="00A9330B">
              <w:rPr>
                <w:sz w:val="18"/>
                <w:szCs w:val="18"/>
                <w:lang w:eastAsia="fr-FR"/>
              </w:rPr>
              <w:t>Présentation des activités de mise et de Suivi environnemental du PAPVS dans toutes ses phases</w:t>
            </w:r>
          </w:p>
          <w:p w14:paraId="78332103" w14:textId="77777777" w:rsidR="00204F63" w:rsidRPr="00A9330B" w:rsidRDefault="00204F63" w:rsidP="00204F63">
            <w:pPr>
              <w:spacing w:line="240" w:lineRule="auto"/>
              <w:jc w:val="left"/>
              <w:rPr>
                <w:sz w:val="18"/>
                <w:szCs w:val="18"/>
                <w:lang w:eastAsia="fr-FR"/>
              </w:rPr>
            </w:pPr>
            <w:r w:rsidRPr="00A9330B">
              <w:rPr>
                <w:sz w:val="18"/>
                <w:szCs w:val="18"/>
                <w:lang w:eastAsia="fr-FR"/>
              </w:rPr>
              <w:t>Participation publique et méthode de sensibilisation des parties prenantes au PAPVS</w:t>
            </w:r>
          </w:p>
          <w:p w14:paraId="5C86760F" w14:textId="77777777" w:rsidR="00204F63" w:rsidRPr="00A9330B" w:rsidRDefault="00204F63" w:rsidP="00204F63">
            <w:pPr>
              <w:spacing w:line="240" w:lineRule="auto"/>
              <w:jc w:val="left"/>
              <w:rPr>
                <w:sz w:val="18"/>
                <w:szCs w:val="18"/>
              </w:rPr>
            </w:pPr>
            <w:r w:rsidRPr="00A9330B">
              <w:rPr>
                <w:sz w:val="18"/>
                <w:szCs w:val="18"/>
              </w:rPr>
              <w:t xml:space="preserve">Rôles et responsabilités des parties prenantes dans la mise en œuvre du projet </w:t>
            </w:r>
          </w:p>
          <w:p w14:paraId="2D6C14F6" w14:textId="77777777" w:rsidR="00204F63" w:rsidRPr="00A9330B" w:rsidRDefault="00204F63" w:rsidP="00204F63">
            <w:pPr>
              <w:spacing w:line="240" w:lineRule="auto"/>
              <w:jc w:val="left"/>
              <w:rPr>
                <w:sz w:val="18"/>
                <w:szCs w:val="18"/>
              </w:rPr>
            </w:pPr>
          </w:p>
        </w:tc>
        <w:tc>
          <w:tcPr>
            <w:tcW w:w="1834" w:type="dxa"/>
          </w:tcPr>
          <w:p w14:paraId="266CF058" w14:textId="77777777" w:rsidR="00204F63" w:rsidRPr="00A9330B" w:rsidRDefault="00204F63" w:rsidP="00204F63">
            <w:pPr>
              <w:spacing w:line="240" w:lineRule="auto"/>
              <w:rPr>
                <w:sz w:val="18"/>
                <w:szCs w:val="18"/>
              </w:rPr>
            </w:pPr>
            <w:r w:rsidRPr="00A9330B">
              <w:rPr>
                <w:sz w:val="18"/>
                <w:szCs w:val="18"/>
              </w:rPr>
              <w:t xml:space="preserve">Moyens roulants </w:t>
            </w:r>
          </w:p>
          <w:p w14:paraId="3C4D24AE" w14:textId="77777777" w:rsidR="00204F63" w:rsidRPr="00A9330B" w:rsidRDefault="00204F63" w:rsidP="00204F63">
            <w:pPr>
              <w:spacing w:line="240" w:lineRule="auto"/>
              <w:rPr>
                <w:sz w:val="18"/>
                <w:szCs w:val="18"/>
              </w:rPr>
            </w:pPr>
            <w:r w:rsidRPr="00A9330B">
              <w:rPr>
                <w:sz w:val="18"/>
                <w:szCs w:val="18"/>
              </w:rPr>
              <w:t xml:space="preserve">Matériels informatiques </w:t>
            </w:r>
          </w:p>
          <w:p w14:paraId="7684F057" w14:textId="77777777" w:rsidR="00204F63" w:rsidRPr="00A9330B" w:rsidRDefault="00204F63" w:rsidP="00204F63">
            <w:pPr>
              <w:spacing w:line="240" w:lineRule="auto"/>
              <w:rPr>
                <w:sz w:val="18"/>
                <w:szCs w:val="18"/>
              </w:rPr>
            </w:pPr>
            <w:r w:rsidRPr="00A9330B">
              <w:rPr>
                <w:sz w:val="18"/>
                <w:szCs w:val="18"/>
              </w:rPr>
              <w:t xml:space="preserve">EPI </w:t>
            </w:r>
          </w:p>
          <w:p w14:paraId="65051E3B" w14:textId="77777777" w:rsidR="00204F63" w:rsidRPr="00A9330B" w:rsidRDefault="00204F63" w:rsidP="00204F63">
            <w:pPr>
              <w:spacing w:line="240" w:lineRule="auto"/>
              <w:rPr>
                <w:sz w:val="18"/>
                <w:szCs w:val="18"/>
              </w:rPr>
            </w:pPr>
            <w:r w:rsidRPr="00A9330B">
              <w:rPr>
                <w:sz w:val="18"/>
                <w:szCs w:val="18"/>
              </w:rPr>
              <w:t xml:space="preserve">Fournitures de bureaux </w:t>
            </w:r>
          </w:p>
          <w:p w14:paraId="1065BB8B" w14:textId="77777777" w:rsidR="00204F63" w:rsidRPr="00A9330B" w:rsidRDefault="00204F63" w:rsidP="00204F63">
            <w:pPr>
              <w:spacing w:line="240" w:lineRule="auto"/>
              <w:rPr>
                <w:sz w:val="18"/>
                <w:szCs w:val="18"/>
              </w:rPr>
            </w:pPr>
            <w:r w:rsidRPr="00A9330B">
              <w:rPr>
                <w:sz w:val="18"/>
                <w:szCs w:val="18"/>
              </w:rPr>
              <w:t>Kit anti Covid 19</w:t>
            </w:r>
          </w:p>
        </w:tc>
        <w:tc>
          <w:tcPr>
            <w:tcW w:w="1622" w:type="dxa"/>
          </w:tcPr>
          <w:p w14:paraId="29D86B82" w14:textId="77777777" w:rsidR="00204F63" w:rsidRPr="00A9330B" w:rsidRDefault="00204F63" w:rsidP="00204F63">
            <w:pPr>
              <w:spacing w:line="240" w:lineRule="auto"/>
              <w:rPr>
                <w:sz w:val="18"/>
                <w:szCs w:val="18"/>
              </w:rPr>
            </w:pPr>
            <w:r w:rsidRPr="00A9330B">
              <w:rPr>
                <w:sz w:val="18"/>
                <w:szCs w:val="18"/>
              </w:rPr>
              <w:t xml:space="preserve">Déplacement </w:t>
            </w:r>
          </w:p>
          <w:p w14:paraId="6EA133EA" w14:textId="66BA7AD9" w:rsidR="00204F63" w:rsidRPr="00A9330B" w:rsidRDefault="00204F63" w:rsidP="00204F63">
            <w:pPr>
              <w:spacing w:line="240" w:lineRule="auto"/>
              <w:rPr>
                <w:sz w:val="18"/>
                <w:szCs w:val="18"/>
              </w:rPr>
            </w:pPr>
            <w:r w:rsidRPr="00A9330B">
              <w:rPr>
                <w:sz w:val="18"/>
                <w:szCs w:val="18"/>
              </w:rPr>
              <w:t xml:space="preserve">Perdiem </w:t>
            </w:r>
          </w:p>
          <w:p w14:paraId="1B07D17E" w14:textId="27509C83" w:rsidR="00204F63" w:rsidRPr="00A9330B" w:rsidRDefault="00204F63" w:rsidP="00204F63">
            <w:pPr>
              <w:spacing w:line="240" w:lineRule="auto"/>
              <w:rPr>
                <w:sz w:val="18"/>
                <w:szCs w:val="18"/>
              </w:rPr>
            </w:pPr>
            <w:r w:rsidRPr="00A9330B">
              <w:rPr>
                <w:sz w:val="18"/>
                <w:szCs w:val="18"/>
              </w:rPr>
              <w:t xml:space="preserve">Rémunération de prestations au besoin </w:t>
            </w:r>
          </w:p>
          <w:p w14:paraId="3951821B" w14:textId="77777777" w:rsidR="00204F63" w:rsidRPr="00A9330B" w:rsidRDefault="00204F63" w:rsidP="00204F63">
            <w:pPr>
              <w:spacing w:line="240" w:lineRule="auto"/>
              <w:rPr>
                <w:sz w:val="18"/>
                <w:szCs w:val="18"/>
              </w:rPr>
            </w:pPr>
          </w:p>
          <w:p w14:paraId="06F92772" w14:textId="77777777" w:rsidR="00204F63" w:rsidRPr="00A9330B" w:rsidRDefault="00204F63" w:rsidP="00204F63">
            <w:pPr>
              <w:spacing w:line="240" w:lineRule="auto"/>
              <w:rPr>
                <w:sz w:val="18"/>
                <w:szCs w:val="18"/>
              </w:rPr>
            </w:pPr>
          </w:p>
        </w:tc>
      </w:tr>
      <w:tr w:rsidR="00204F63" w:rsidRPr="00A9330B" w14:paraId="49B4CFBB" w14:textId="77777777" w:rsidTr="00204F63">
        <w:trPr>
          <w:trHeight w:val="785"/>
        </w:trPr>
        <w:tc>
          <w:tcPr>
            <w:tcW w:w="0" w:type="auto"/>
            <w:vAlign w:val="center"/>
          </w:tcPr>
          <w:p w14:paraId="6340F8D6" w14:textId="77777777" w:rsidR="00204F63" w:rsidRPr="00A9330B" w:rsidRDefault="00204F63" w:rsidP="00204F63">
            <w:pPr>
              <w:spacing w:line="240" w:lineRule="auto"/>
              <w:rPr>
                <w:b/>
                <w:sz w:val="18"/>
                <w:szCs w:val="18"/>
              </w:rPr>
            </w:pPr>
            <w:r w:rsidRPr="00A9330B">
              <w:rPr>
                <w:b/>
                <w:sz w:val="18"/>
                <w:szCs w:val="18"/>
                <w:lang w:eastAsia="fr-FR"/>
              </w:rPr>
              <w:t>4.</w:t>
            </w:r>
          </w:p>
        </w:tc>
        <w:tc>
          <w:tcPr>
            <w:tcW w:w="1963" w:type="dxa"/>
            <w:vAlign w:val="center"/>
          </w:tcPr>
          <w:p w14:paraId="4E971EEE" w14:textId="79176B6A" w:rsidR="00204F63" w:rsidRPr="00A9330B" w:rsidRDefault="00204F63" w:rsidP="00204F63">
            <w:pPr>
              <w:spacing w:line="240" w:lineRule="auto"/>
              <w:jc w:val="left"/>
              <w:rPr>
                <w:b/>
                <w:sz w:val="18"/>
                <w:szCs w:val="18"/>
              </w:rPr>
            </w:pPr>
            <w:r w:rsidRPr="00A9330B">
              <w:rPr>
                <w:sz w:val="18"/>
                <w:szCs w:val="18"/>
                <w:lang w:eastAsia="fr-FR"/>
              </w:rPr>
              <w:t>DDCVDD</w:t>
            </w:r>
          </w:p>
        </w:tc>
        <w:tc>
          <w:tcPr>
            <w:tcW w:w="2115" w:type="dxa"/>
          </w:tcPr>
          <w:p w14:paraId="168A6D9A" w14:textId="77777777" w:rsidR="00204F63" w:rsidRPr="00A9330B" w:rsidRDefault="00204F63" w:rsidP="00204F63">
            <w:pPr>
              <w:spacing w:line="240" w:lineRule="auto"/>
              <w:jc w:val="left"/>
              <w:rPr>
                <w:sz w:val="18"/>
                <w:szCs w:val="18"/>
                <w:lang w:eastAsia="fr-FR"/>
              </w:rPr>
            </w:pPr>
            <w:r w:rsidRPr="00A9330B">
              <w:rPr>
                <w:sz w:val="18"/>
                <w:szCs w:val="18"/>
                <w:lang w:eastAsia="fr-FR"/>
              </w:rPr>
              <w:t>Suivi environnemental du PAPVS dans toutes ses phases</w:t>
            </w:r>
          </w:p>
          <w:p w14:paraId="579B57F4" w14:textId="77777777" w:rsidR="00204F63" w:rsidRPr="00A9330B" w:rsidRDefault="00204F63" w:rsidP="00204F63">
            <w:pPr>
              <w:spacing w:line="240" w:lineRule="auto"/>
              <w:rPr>
                <w:b/>
                <w:sz w:val="18"/>
                <w:szCs w:val="18"/>
              </w:rPr>
            </w:pPr>
          </w:p>
        </w:tc>
        <w:tc>
          <w:tcPr>
            <w:tcW w:w="2398" w:type="dxa"/>
          </w:tcPr>
          <w:p w14:paraId="7D8A0F84" w14:textId="77777777" w:rsidR="00204F63" w:rsidRPr="00A9330B" w:rsidRDefault="00204F63" w:rsidP="00204F63">
            <w:pPr>
              <w:spacing w:line="240" w:lineRule="auto"/>
              <w:rPr>
                <w:sz w:val="18"/>
                <w:szCs w:val="18"/>
              </w:rPr>
            </w:pPr>
            <w:r w:rsidRPr="00A9330B">
              <w:rPr>
                <w:sz w:val="18"/>
                <w:szCs w:val="18"/>
              </w:rPr>
              <w:lastRenderedPageBreak/>
              <w:t xml:space="preserve">Personnel disponible </w:t>
            </w:r>
          </w:p>
          <w:p w14:paraId="34824007" w14:textId="77777777" w:rsidR="00204F63" w:rsidRPr="00A9330B" w:rsidRDefault="00204F63" w:rsidP="00204F63">
            <w:pPr>
              <w:spacing w:line="240" w:lineRule="auto"/>
              <w:jc w:val="left"/>
              <w:rPr>
                <w:b/>
                <w:sz w:val="18"/>
                <w:szCs w:val="18"/>
              </w:rPr>
            </w:pPr>
            <w:r w:rsidRPr="00A9330B">
              <w:rPr>
                <w:sz w:val="18"/>
                <w:szCs w:val="18"/>
              </w:rPr>
              <w:lastRenderedPageBreak/>
              <w:t>Renforcement en formations, moyens matériels et appui financiers</w:t>
            </w:r>
            <w:r w:rsidRPr="00A9330B">
              <w:rPr>
                <w:b/>
                <w:sz w:val="18"/>
                <w:szCs w:val="18"/>
              </w:rPr>
              <w:t xml:space="preserve"> </w:t>
            </w:r>
          </w:p>
        </w:tc>
        <w:tc>
          <w:tcPr>
            <w:tcW w:w="1974" w:type="dxa"/>
            <w:vAlign w:val="center"/>
          </w:tcPr>
          <w:p w14:paraId="03DF16CD" w14:textId="77777777" w:rsidR="00204F63" w:rsidRPr="00A9330B" w:rsidRDefault="00204F63" w:rsidP="00204F63">
            <w:pPr>
              <w:spacing w:line="240" w:lineRule="auto"/>
              <w:jc w:val="left"/>
              <w:rPr>
                <w:sz w:val="18"/>
                <w:szCs w:val="18"/>
                <w:lang w:eastAsia="fr-FR"/>
              </w:rPr>
            </w:pPr>
            <w:r w:rsidRPr="00A9330B">
              <w:rPr>
                <w:sz w:val="18"/>
                <w:szCs w:val="18"/>
                <w:lang w:eastAsia="fr-FR"/>
              </w:rPr>
              <w:lastRenderedPageBreak/>
              <w:t xml:space="preserve">Notions sommaires sur les EIES </w:t>
            </w:r>
          </w:p>
          <w:p w14:paraId="207A6A2D" w14:textId="77777777" w:rsidR="00204F63" w:rsidRPr="00A9330B" w:rsidRDefault="00204F63" w:rsidP="00204F63">
            <w:pPr>
              <w:spacing w:line="240" w:lineRule="auto"/>
              <w:jc w:val="left"/>
              <w:rPr>
                <w:sz w:val="18"/>
                <w:szCs w:val="18"/>
                <w:lang w:eastAsia="fr-FR"/>
              </w:rPr>
            </w:pPr>
            <w:r w:rsidRPr="00A9330B">
              <w:rPr>
                <w:sz w:val="18"/>
                <w:szCs w:val="18"/>
                <w:lang w:eastAsia="fr-FR"/>
              </w:rPr>
              <w:lastRenderedPageBreak/>
              <w:t>Clarification des notions de surveillance et de suivi environnemental</w:t>
            </w:r>
          </w:p>
          <w:p w14:paraId="13480090" w14:textId="77777777" w:rsidR="00204F63" w:rsidRPr="00A9330B" w:rsidRDefault="00204F63" w:rsidP="00204F63">
            <w:pPr>
              <w:spacing w:line="240" w:lineRule="auto"/>
              <w:jc w:val="left"/>
              <w:rPr>
                <w:sz w:val="18"/>
                <w:szCs w:val="18"/>
                <w:lang w:eastAsia="fr-FR"/>
              </w:rPr>
            </w:pPr>
            <w:r w:rsidRPr="00A9330B">
              <w:rPr>
                <w:sz w:val="18"/>
                <w:szCs w:val="18"/>
                <w:lang w:eastAsia="fr-FR"/>
              </w:rPr>
              <w:t xml:space="preserve">Les indicateurs de suivi </w:t>
            </w:r>
          </w:p>
          <w:p w14:paraId="4C4A6157" w14:textId="77777777" w:rsidR="00204F63" w:rsidRPr="00A9330B" w:rsidRDefault="00204F63" w:rsidP="00204F63">
            <w:pPr>
              <w:spacing w:line="240" w:lineRule="auto"/>
              <w:jc w:val="left"/>
              <w:rPr>
                <w:sz w:val="18"/>
                <w:szCs w:val="18"/>
              </w:rPr>
            </w:pPr>
            <w:r w:rsidRPr="00A9330B">
              <w:rPr>
                <w:sz w:val="18"/>
                <w:szCs w:val="18"/>
              </w:rPr>
              <w:t xml:space="preserve">Méthodes de suivi des PGES </w:t>
            </w:r>
          </w:p>
          <w:p w14:paraId="5C8515F4" w14:textId="70972ED0" w:rsidR="00204F63" w:rsidRPr="00A9330B" w:rsidRDefault="00204F63" w:rsidP="00B7444E">
            <w:pPr>
              <w:spacing w:line="240" w:lineRule="auto"/>
              <w:jc w:val="left"/>
              <w:rPr>
                <w:sz w:val="18"/>
                <w:szCs w:val="18"/>
              </w:rPr>
            </w:pPr>
            <w:r w:rsidRPr="00A9330B">
              <w:rPr>
                <w:sz w:val="18"/>
                <w:szCs w:val="18"/>
              </w:rPr>
              <w:t xml:space="preserve">Rôles et responsabilités des parties prenantes dans la mise </w:t>
            </w:r>
            <w:r w:rsidR="00B7444E" w:rsidRPr="00A9330B">
              <w:rPr>
                <w:sz w:val="18"/>
                <w:szCs w:val="18"/>
              </w:rPr>
              <w:t xml:space="preserve">en </w:t>
            </w:r>
            <w:r w:rsidRPr="00A9330B">
              <w:rPr>
                <w:sz w:val="18"/>
                <w:szCs w:val="18"/>
              </w:rPr>
              <w:t>œuvre du projet</w:t>
            </w:r>
          </w:p>
        </w:tc>
        <w:tc>
          <w:tcPr>
            <w:tcW w:w="1834" w:type="dxa"/>
          </w:tcPr>
          <w:p w14:paraId="78A81930" w14:textId="77777777" w:rsidR="00204F63" w:rsidRPr="00A9330B" w:rsidRDefault="00204F63" w:rsidP="00204F63">
            <w:pPr>
              <w:spacing w:line="240" w:lineRule="auto"/>
              <w:rPr>
                <w:sz w:val="18"/>
                <w:szCs w:val="18"/>
              </w:rPr>
            </w:pPr>
            <w:r w:rsidRPr="00A9330B">
              <w:rPr>
                <w:sz w:val="18"/>
                <w:szCs w:val="18"/>
              </w:rPr>
              <w:lastRenderedPageBreak/>
              <w:t xml:space="preserve">Moyens roulants </w:t>
            </w:r>
          </w:p>
          <w:p w14:paraId="63DB47B0" w14:textId="77777777" w:rsidR="00204F63" w:rsidRPr="00A9330B" w:rsidRDefault="00204F63" w:rsidP="00204F63">
            <w:pPr>
              <w:spacing w:line="240" w:lineRule="auto"/>
              <w:rPr>
                <w:sz w:val="18"/>
                <w:szCs w:val="18"/>
              </w:rPr>
            </w:pPr>
            <w:r w:rsidRPr="00A9330B">
              <w:rPr>
                <w:sz w:val="18"/>
                <w:szCs w:val="18"/>
              </w:rPr>
              <w:lastRenderedPageBreak/>
              <w:t xml:space="preserve">Matériels informatiques </w:t>
            </w:r>
          </w:p>
          <w:p w14:paraId="6E5A1183" w14:textId="77777777" w:rsidR="00204F63" w:rsidRPr="00A9330B" w:rsidRDefault="00204F63" w:rsidP="00204F63">
            <w:pPr>
              <w:spacing w:line="240" w:lineRule="auto"/>
              <w:rPr>
                <w:sz w:val="18"/>
                <w:szCs w:val="18"/>
              </w:rPr>
            </w:pPr>
            <w:r w:rsidRPr="00A9330B">
              <w:rPr>
                <w:sz w:val="18"/>
                <w:szCs w:val="18"/>
              </w:rPr>
              <w:t xml:space="preserve">EPI </w:t>
            </w:r>
          </w:p>
          <w:p w14:paraId="105EC1FC" w14:textId="1B0542CC" w:rsidR="00204F63" w:rsidRPr="00A9330B" w:rsidRDefault="00204F63" w:rsidP="00AA56E7">
            <w:pPr>
              <w:spacing w:line="240" w:lineRule="auto"/>
              <w:rPr>
                <w:sz w:val="18"/>
                <w:szCs w:val="18"/>
              </w:rPr>
            </w:pPr>
            <w:r w:rsidRPr="00A9330B">
              <w:rPr>
                <w:sz w:val="18"/>
                <w:szCs w:val="18"/>
              </w:rPr>
              <w:t>Fournitures de bureaux</w:t>
            </w:r>
          </w:p>
          <w:p w14:paraId="1E448989" w14:textId="77777777" w:rsidR="00204F63" w:rsidRPr="00A9330B" w:rsidRDefault="00204F63" w:rsidP="00204F63">
            <w:pPr>
              <w:spacing w:line="240" w:lineRule="auto"/>
              <w:rPr>
                <w:b/>
                <w:sz w:val="18"/>
                <w:szCs w:val="18"/>
              </w:rPr>
            </w:pPr>
            <w:r w:rsidRPr="00A9330B">
              <w:rPr>
                <w:sz w:val="18"/>
                <w:szCs w:val="18"/>
              </w:rPr>
              <w:t>Kit anti Covid 19</w:t>
            </w:r>
          </w:p>
        </w:tc>
        <w:tc>
          <w:tcPr>
            <w:tcW w:w="1622" w:type="dxa"/>
          </w:tcPr>
          <w:p w14:paraId="465D0DF5" w14:textId="77777777" w:rsidR="00204F63" w:rsidRPr="00A9330B" w:rsidRDefault="00204F63" w:rsidP="00204F63">
            <w:pPr>
              <w:spacing w:line="240" w:lineRule="auto"/>
              <w:rPr>
                <w:sz w:val="18"/>
                <w:szCs w:val="18"/>
              </w:rPr>
            </w:pPr>
            <w:r w:rsidRPr="00A9330B">
              <w:rPr>
                <w:sz w:val="18"/>
                <w:szCs w:val="18"/>
              </w:rPr>
              <w:lastRenderedPageBreak/>
              <w:t xml:space="preserve">Déplacement </w:t>
            </w:r>
          </w:p>
          <w:p w14:paraId="7AED4AE3" w14:textId="77777777" w:rsidR="00204F63" w:rsidRPr="00A9330B" w:rsidRDefault="00204F63" w:rsidP="00204F63">
            <w:pPr>
              <w:spacing w:line="240" w:lineRule="auto"/>
              <w:rPr>
                <w:sz w:val="18"/>
                <w:szCs w:val="18"/>
              </w:rPr>
            </w:pPr>
            <w:r w:rsidRPr="00A9330B">
              <w:rPr>
                <w:sz w:val="18"/>
                <w:szCs w:val="18"/>
              </w:rPr>
              <w:t xml:space="preserve">Perdiem </w:t>
            </w:r>
          </w:p>
          <w:p w14:paraId="7C5EF354" w14:textId="77777777" w:rsidR="00204F63" w:rsidRPr="00A9330B" w:rsidRDefault="00204F63" w:rsidP="00204F63">
            <w:pPr>
              <w:spacing w:line="240" w:lineRule="auto"/>
              <w:rPr>
                <w:sz w:val="18"/>
                <w:szCs w:val="18"/>
              </w:rPr>
            </w:pPr>
          </w:p>
          <w:p w14:paraId="61A9C9EF" w14:textId="77777777" w:rsidR="00204F63" w:rsidRPr="00A9330B" w:rsidRDefault="00204F63" w:rsidP="00204F63">
            <w:pPr>
              <w:spacing w:line="240" w:lineRule="auto"/>
              <w:rPr>
                <w:b/>
                <w:sz w:val="18"/>
                <w:szCs w:val="18"/>
              </w:rPr>
            </w:pPr>
          </w:p>
        </w:tc>
      </w:tr>
      <w:tr w:rsidR="00204F63" w:rsidRPr="00A9330B" w14:paraId="056CF01F" w14:textId="77777777" w:rsidTr="00204F63">
        <w:trPr>
          <w:trHeight w:val="921"/>
        </w:trPr>
        <w:tc>
          <w:tcPr>
            <w:tcW w:w="0" w:type="auto"/>
            <w:vAlign w:val="center"/>
          </w:tcPr>
          <w:p w14:paraId="38922714" w14:textId="77777777" w:rsidR="00204F63" w:rsidRPr="00A9330B" w:rsidRDefault="00204F63" w:rsidP="00204F63">
            <w:pPr>
              <w:spacing w:line="240" w:lineRule="auto"/>
              <w:rPr>
                <w:b/>
                <w:sz w:val="18"/>
                <w:szCs w:val="18"/>
              </w:rPr>
            </w:pPr>
            <w:r w:rsidRPr="00A9330B">
              <w:rPr>
                <w:b/>
                <w:sz w:val="18"/>
                <w:szCs w:val="18"/>
                <w:lang w:eastAsia="fr-FR"/>
              </w:rPr>
              <w:lastRenderedPageBreak/>
              <w:t>5.</w:t>
            </w:r>
          </w:p>
        </w:tc>
        <w:tc>
          <w:tcPr>
            <w:tcW w:w="1963" w:type="dxa"/>
            <w:vAlign w:val="center"/>
          </w:tcPr>
          <w:p w14:paraId="59F2048E" w14:textId="77777777" w:rsidR="00204F63" w:rsidRPr="00A9330B" w:rsidRDefault="00204F63" w:rsidP="00204F63">
            <w:pPr>
              <w:spacing w:line="240" w:lineRule="auto"/>
              <w:jc w:val="left"/>
              <w:rPr>
                <w:b/>
                <w:sz w:val="18"/>
                <w:szCs w:val="18"/>
              </w:rPr>
            </w:pPr>
            <w:r w:rsidRPr="00A9330B">
              <w:rPr>
                <w:sz w:val="18"/>
                <w:szCs w:val="18"/>
                <w:lang w:eastAsia="fr-FR"/>
              </w:rPr>
              <w:t xml:space="preserve">Personnes ressources </w:t>
            </w:r>
          </w:p>
        </w:tc>
        <w:tc>
          <w:tcPr>
            <w:tcW w:w="2115" w:type="dxa"/>
            <w:vAlign w:val="center"/>
          </w:tcPr>
          <w:p w14:paraId="34A590B5" w14:textId="77777777" w:rsidR="00204F63" w:rsidRPr="00A9330B" w:rsidRDefault="00204F63" w:rsidP="00204F63">
            <w:pPr>
              <w:spacing w:line="240" w:lineRule="auto"/>
              <w:rPr>
                <w:sz w:val="18"/>
                <w:szCs w:val="18"/>
                <w:lang w:eastAsia="fr-FR"/>
              </w:rPr>
            </w:pPr>
            <w:r w:rsidRPr="00A9330B">
              <w:rPr>
                <w:sz w:val="18"/>
                <w:szCs w:val="18"/>
                <w:lang w:eastAsia="fr-FR"/>
              </w:rPr>
              <w:t>Suivi environnemental du PAPVS dans toutes ses phases</w:t>
            </w:r>
          </w:p>
          <w:p w14:paraId="4EAD306B" w14:textId="77777777" w:rsidR="00204F63" w:rsidRPr="00A9330B" w:rsidRDefault="00204F63" w:rsidP="00204F63">
            <w:pPr>
              <w:spacing w:line="240" w:lineRule="auto"/>
              <w:rPr>
                <w:b/>
                <w:sz w:val="18"/>
                <w:szCs w:val="18"/>
              </w:rPr>
            </w:pPr>
          </w:p>
        </w:tc>
        <w:tc>
          <w:tcPr>
            <w:tcW w:w="2398" w:type="dxa"/>
          </w:tcPr>
          <w:p w14:paraId="65274958" w14:textId="77777777" w:rsidR="00204F63" w:rsidRPr="00A9330B" w:rsidRDefault="00204F63" w:rsidP="00204F63">
            <w:pPr>
              <w:spacing w:line="240" w:lineRule="auto"/>
              <w:jc w:val="left"/>
              <w:rPr>
                <w:sz w:val="18"/>
                <w:szCs w:val="18"/>
              </w:rPr>
            </w:pPr>
            <w:r w:rsidRPr="00A9330B">
              <w:rPr>
                <w:sz w:val="18"/>
                <w:szCs w:val="18"/>
              </w:rPr>
              <w:t xml:space="preserve">Disponibilités de ressources humaines </w:t>
            </w:r>
          </w:p>
          <w:p w14:paraId="2F3591F5" w14:textId="77777777" w:rsidR="00204F63" w:rsidRPr="00A9330B" w:rsidRDefault="00204F63" w:rsidP="00204F63">
            <w:pPr>
              <w:spacing w:line="240" w:lineRule="auto"/>
              <w:jc w:val="left"/>
              <w:rPr>
                <w:sz w:val="18"/>
                <w:szCs w:val="18"/>
              </w:rPr>
            </w:pPr>
          </w:p>
        </w:tc>
        <w:tc>
          <w:tcPr>
            <w:tcW w:w="1974" w:type="dxa"/>
            <w:vAlign w:val="center"/>
          </w:tcPr>
          <w:p w14:paraId="352D2771" w14:textId="77777777" w:rsidR="00204F63" w:rsidRPr="00A9330B" w:rsidRDefault="00204F63" w:rsidP="00204F63">
            <w:pPr>
              <w:spacing w:line="240" w:lineRule="auto"/>
              <w:jc w:val="left"/>
              <w:rPr>
                <w:sz w:val="18"/>
                <w:szCs w:val="18"/>
                <w:lang w:eastAsia="fr-FR"/>
              </w:rPr>
            </w:pPr>
            <w:r w:rsidRPr="00A9330B">
              <w:rPr>
                <w:sz w:val="18"/>
                <w:szCs w:val="18"/>
                <w:lang w:eastAsia="fr-FR"/>
              </w:rPr>
              <w:t>Présentation des activités de mise et de Suivi environnemental du PAPVS dans toutes ses phases</w:t>
            </w:r>
          </w:p>
          <w:p w14:paraId="204EDFD0" w14:textId="77777777" w:rsidR="00204F63" w:rsidRPr="00A9330B" w:rsidRDefault="00204F63" w:rsidP="00204F63">
            <w:pPr>
              <w:spacing w:line="240" w:lineRule="auto"/>
              <w:jc w:val="left"/>
              <w:rPr>
                <w:sz w:val="18"/>
                <w:szCs w:val="18"/>
                <w:lang w:eastAsia="fr-FR"/>
              </w:rPr>
            </w:pPr>
            <w:r w:rsidRPr="00A9330B">
              <w:rPr>
                <w:sz w:val="18"/>
                <w:szCs w:val="18"/>
                <w:lang w:eastAsia="fr-FR"/>
              </w:rPr>
              <w:t>Participation publique et méthode de sensibilisation des parties prenantes au PAPVS</w:t>
            </w:r>
          </w:p>
          <w:p w14:paraId="0CECE62A" w14:textId="081AED61" w:rsidR="00204F63" w:rsidRPr="00A9330B" w:rsidRDefault="00204F63" w:rsidP="00B7444E">
            <w:pPr>
              <w:spacing w:line="240" w:lineRule="auto"/>
              <w:jc w:val="left"/>
              <w:rPr>
                <w:sz w:val="18"/>
                <w:szCs w:val="18"/>
              </w:rPr>
            </w:pPr>
            <w:r w:rsidRPr="00A9330B">
              <w:rPr>
                <w:sz w:val="18"/>
                <w:szCs w:val="18"/>
              </w:rPr>
              <w:t xml:space="preserve">Rôles et responsabilités des parties prenantes dans la mise </w:t>
            </w:r>
            <w:r w:rsidR="00B7444E" w:rsidRPr="00A9330B">
              <w:rPr>
                <w:sz w:val="18"/>
                <w:szCs w:val="18"/>
              </w:rPr>
              <w:t xml:space="preserve">en </w:t>
            </w:r>
            <w:r w:rsidRPr="00A9330B">
              <w:rPr>
                <w:sz w:val="18"/>
                <w:szCs w:val="18"/>
              </w:rPr>
              <w:t>œuvre du</w:t>
            </w:r>
            <w:r w:rsidR="00B7444E" w:rsidRPr="00A9330B">
              <w:rPr>
                <w:sz w:val="18"/>
                <w:szCs w:val="18"/>
              </w:rPr>
              <w:t xml:space="preserve"> projet </w:t>
            </w:r>
          </w:p>
        </w:tc>
        <w:tc>
          <w:tcPr>
            <w:tcW w:w="1834" w:type="dxa"/>
          </w:tcPr>
          <w:p w14:paraId="77468430" w14:textId="77777777" w:rsidR="00204F63" w:rsidRPr="00A9330B" w:rsidRDefault="00204F63" w:rsidP="00204F63">
            <w:pPr>
              <w:spacing w:line="240" w:lineRule="auto"/>
              <w:rPr>
                <w:b/>
                <w:sz w:val="18"/>
                <w:szCs w:val="18"/>
              </w:rPr>
            </w:pPr>
            <w:r w:rsidRPr="00A9330B">
              <w:rPr>
                <w:b/>
                <w:sz w:val="18"/>
                <w:szCs w:val="18"/>
              </w:rPr>
              <w:t>-</w:t>
            </w:r>
          </w:p>
        </w:tc>
        <w:tc>
          <w:tcPr>
            <w:tcW w:w="1622" w:type="dxa"/>
          </w:tcPr>
          <w:p w14:paraId="674A28B6" w14:textId="77777777" w:rsidR="00204F63" w:rsidRPr="00A9330B" w:rsidRDefault="00204F63" w:rsidP="00204F63">
            <w:pPr>
              <w:spacing w:line="240" w:lineRule="auto"/>
              <w:rPr>
                <w:sz w:val="18"/>
                <w:szCs w:val="18"/>
              </w:rPr>
            </w:pPr>
            <w:r w:rsidRPr="00A9330B">
              <w:rPr>
                <w:sz w:val="18"/>
                <w:szCs w:val="18"/>
              </w:rPr>
              <w:t xml:space="preserve">Déplacement </w:t>
            </w:r>
          </w:p>
          <w:p w14:paraId="2308B0F3" w14:textId="77777777" w:rsidR="00204F63" w:rsidRPr="00A9330B" w:rsidRDefault="00204F63" w:rsidP="00204F63">
            <w:pPr>
              <w:spacing w:line="240" w:lineRule="auto"/>
              <w:rPr>
                <w:sz w:val="18"/>
                <w:szCs w:val="18"/>
              </w:rPr>
            </w:pPr>
            <w:r w:rsidRPr="00A9330B">
              <w:rPr>
                <w:sz w:val="18"/>
                <w:szCs w:val="18"/>
              </w:rPr>
              <w:t xml:space="preserve">Perdiem </w:t>
            </w:r>
          </w:p>
          <w:p w14:paraId="1F792429" w14:textId="77777777" w:rsidR="00204F63" w:rsidRPr="00A9330B" w:rsidRDefault="00204F63" w:rsidP="00204F63">
            <w:pPr>
              <w:spacing w:line="240" w:lineRule="auto"/>
              <w:rPr>
                <w:b/>
                <w:sz w:val="18"/>
                <w:szCs w:val="18"/>
              </w:rPr>
            </w:pPr>
          </w:p>
        </w:tc>
      </w:tr>
      <w:tr w:rsidR="00204F63" w:rsidRPr="00A9330B" w14:paraId="3273C644" w14:textId="77777777" w:rsidTr="00204F63">
        <w:trPr>
          <w:trHeight w:val="1248"/>
        </w:trPr>
        <w:tc>
          <w:tcPr>
            <w:tcW w:w="0" w:type="auto"/>
          </w:tcPr>
          <w:p w14:paraId="3F4483B8" w14:textId="77777777" w:rsidR="00204F63" w:rsidRPr="00A9330B" w:rsidRDefault="00204F63" w:rsidP="00204F63">
            <w:pPr>
              <w:spacing w:line="240" w:lineRule="auto"/>
              <w:rPr>
                <w:b/>
                <w:sz w:val="18"/>
                <w:szCs w:val="18"/>
              </w:rPr>
            </w:pPr>
            <w:r w:rsidRPr="00A9330B">
              <w:rPr>
                <w:b/>
                <w:sz w:val="18"/>
                <w:szCs w:val="18"/>
              </w:rPr>
              <w:t xml:space="preserve">6. </w:t>
            </w:r>
          </w:p>
        </w:tc>
        <w:tc>
          <w:tcPr>
            <w:tcW w:w="1963" w:type="dxa"/>
            <w:vAlign w:val="center"/>
          </w:tcPr>
          <w:p w14:paraId="427DF4FF" w14:textId="77777777" w:rsidR="00204F63" w:rsidRPr="00A9330B" w:rsidRDefault="00204F63" w:rsidP="00204F63">
            <w:pPr>
              <w:spacing w:line="240" w:lineRule="auto"/>
              <w:jc w:val="left"/>
              <w:rPr>
                <w:sz w:val="18"/>
                <w:szCs w:val="18"/>
                <w:lang w:eastAsia="fr-FR"/>
              </w:rPr>
            </w:pPr>
            <w:r w:rsidRPr="00A9330B">
              <w:rPr>
                <w:sz w:val="18"/>
                <w:szCs w:val="18"/>
                <w:lang w:eastAsia="fr-FR"/>
              </w:rPr>
              <w:t xml:space="preserve">ONG impliquées dans la problématique de l’assainissement  </w:t>
            </w:r>
          </w:p>
        </w:tc>
        <w:tc>
          <w:tcPr>
            <w:tcW w:w="2115" w:type="dxa"/>
          </w:tcPr>
          <w:p w14:paraId="752CBB97" w14:textId="77777777" w:rsidR="00204F63" w:rsidRPr="00A9330B" w:rsidRDefault="00204F63" w:rsidP="00204F63">
            <w:pPr>
              <w:spacing w:line="240" w:lineRule="auto"/>
              <w:rPr>
                <w:sz w:val="18"/>
                <w:szCs w:val="18"/>
              </w:rPr>
            </w:pPr>
            <w:r w:rsidRPr="00A9330B">
              <w:rPr>
                <w:sz w:val="18"/>
                <w:szCs w:val="18"/>
              </w:rPr>
              <w:t xml:space="preserve">Appui technique pour les sensibilisations de masse ou pour des thématiques prises </w:t>
            </w:r>
          </w:p>
        </w:tc>
        <w:tc>
          <w:tcPr>
            <w:tcW w:w="2398" w:type="dxa"/>
          </w:tcPr>
          <w:p w14:paraId="502591B5" w14:textId="77777777" w:rsidR="00204F63" w:rsidRPr="00A9330B" w:rsidRDefault="00204F63" w:rsidP="00204F63">
            <w:pPr>
              <w:spacing w:line="240" w:lineRule="auto"/>
              <w:rPr>
                <w:sz w:val="18"/>
                <w:szCs w:val="18"/>
              </w:rPr>
            </w:pPr>
            <w:r w:rsidRPr="00A9330B">
              <w:rPr>
                <w:sz w:val="18"/>
                <w:szCs w:val="18"/>
              </w:rPr>
              <w:t xml:space="preserve">Recruter suivant leur compétence </w:t>
            </w:r>
          </w:p>
        </w:tc>
        <w:tc>
          <w:tcPr>
            <w:tcW w:w="1974" w:type="dxa"/>
            <w:vAlign w:val="center"/>
          </w:tcPr>
          <w:p w14:paraId="4C539E5A" w14:textId="77777777" w:rsidR="00204F63" w:rsidRPr="00A9330B" w:rsidRDefault="00204F63" w:rsidP="00204F63">
            <w:pPr>
              <w:spacing w:line="240" w:lineRule="auto"/>
              <w:rPr>
                <w:b/>
                <w:sz w:val="18"/>
                <w:szCs w:val="18"/>
              </w:rPr>
            </w:pPr>
            <w:r w:rsidRPr="00A9330B">
              <w:rPr>
                <w:b/>
                <w:sz w:val="18"/>
                <w:szCs w:val="18"/>
              </w:rPr>
              <w:t>-</w:t>
            </w:r>
          </w:p>
        </w:tc>
        <w:tc>
          <w:tcPr>
            <w:tcW w:w="1834" w:type="dxa"/>
            <w:vAlign w:val="center"/>
          </w:tcPr>
          <w:p w14:paraId="3EEEB51E" w14:textId="77777777" w:rsidR="00204F63" w:rsidRPr="00A9330B" w:rsidRDefault="00204F63" w:rsidP="00204F63">
            <w:pPr>
              <w:spacing w:line="240" w:lineRule="auto"/>
              <w:rPr>
                <w:b/>
                <w:sz w:val="18"/>
                <w:szCs w:val="18"/>
              </w:rPr>
            </w:pPr>
            <w:r w:rsidRPr="00A9330B">
              <w:rPr>
                <w:b/>
                <w:sz w:val="18"/>
                <w:szCs w:val="18"/>
              </w:rPr>
              <w:t>-</w:t>
            </w:r>
          </w:p>
        </w:tc>
        <w:tc>
          <w:tcPr>
            <w:tcW w:w="1622" w:type="dxa"/>
          </w:tcPr>
          <w:p w14:paraId="66A7123E" w14:textId="77777777" w:rsidR="00204F63" w:rsidRPr="00A9330B" w:rsidRDefault="00204F63" w:rsidP="00204F63">
            <w:pPr>
              <w:spacing w:line="240" w:lineRule="auto"/>
              <w:rPr>
                <w:sz w:val="18"/>
                <w:szCs w:val="18"/>
              </w:rPr>
            </w:pPr>
            <w:r w:rsidRPr="00A9330B">
              <w:rPr>
                <w:sz w:val="18"/>
                <w:szCs w:val="18"/>
              </w:rPr>
              <w:t xml:space="preserve">Rémunération de la prestation </w:t>
            </w:r>
          </w:p>
        </w:tc>
      </w:tr>
    </w:tbl>
    <w:p w14:paraId="4FB9D54A" w14:textId="77777777" w:rsidR="001A2ADB" w:rsidRPr="00A9330B" w:rsidRDefault="001A2ADB" w:rsidP="001A2ADB">
      <w:pPr>
        <w:spacing w:line="120" w:lineRule="auto"/>
        <w:rPr>
          <w:rFonts w:eastAsiaTheme="majorEastAsia" w:cs="Arial"/>
          <w:b/>
          <w:caps/>
          <w:color w:val="2E74B5" w:themeColor="accent1" w:themeShade="BF"/>
        </w:rPr>
      </w:pPr>
    </w:p>
    <w:p w14:paraId="2F83D6CE" w14:textId="70ED060B" w:rsidR="00401546" w:rsidRPr="00A9330B" w:rsidRDefault="001A2ADB" w:rsidP="001A2ADB">
      <w:pPr>
        <w:spacing w:line="120" w:lineRule="auto"/>
        <w:rPr>
          <w:rFonts w:eastAsiaTheme="majorEastAsia" w:cs="Arial"/>
          <w:caps/>
          <w:sz w:val="20"/>
          <w:szCs w:val="20"/>
        </w:rPr>
      </w:pPr>
      <w:r w:rsidRPr="00A9330B">
        <w:rPr>
          <w:rFonts w:eastAsiaTheme="majorEastAsia" w:cs="Arial"/>
          <w:b/>
          <w:caps/>
          <w:sz w:val="20"/>
          <w:szCs w:val="20"/>
        </w:rPr>
        <w:t>S</w:t>
      </w:r>
      <w:r w:rsidRPr="00A9330B">
        <w:rPr>
          <w:rFonts w:eastAsiaTheme="majorEastAsia" w:cs="Arial"/>
          <w:b/>
          <w:sz w:val="20"/>
          <w:szCs w:val="20"/>
        </w:rPr>
        <w:t>ource</w:t>
      </w:r>
      <w:r w:rsidRPr="00A9330B">
        <w:rPr>
          <w:rFonts w:eastAsiaTheme="majorEastAsia" w:cs="Arial"/>
          <w:b/>
          <w:caps/>
          <w:sz w:val="20"/>
          <w:szCs w:val="20"/>
        </w:rPr>
        <w:t xml:space="preserve"> : </w:t>
      </w:r>
      <w:r w:rsidRPr="00A9330B">
        <w:rPr>
          <w:rFonts w:eastAsiaTheme="majorEastAsia" w:cs="Arial"/>
          <w:caps/>
          <w:sz w:val="20"/>
          <w:szCs w:val="20"/>
        </w:rPr>
        <w:t>CECO-BTP, 2020</w:t>
      </w:r>
      <w:r w:rsidR="00401546" w:rsidRPr="00A9330B">
        <w:rPr>
          <w:rFonts w:eastAsiaTheme="majorEastAsia" w:cstheme="majorBidi"/>
          <w:b/>
          <w:caps/>
          <w:color w:val="2E74B5" w:themeColor="accent1" w:themeShade="BF"/>
          <w:sz w:val="28"/>
          <w:szCs w:val="32"/>
        </w:rPr>
        <w:br w:type="page"/>
      </w:r>
    </w:p>
    <w:p w14:paraId="292AB847" w14:textId="77777777" w:rsidR="00204F63" w:rsidRPr="00A9330B" w:rsidRDefault="00204F63" w:rsidP="00401546">
      <w:pPr>
        <w:keepNext/>
        <w:keepLines/>
        <w:spacing w:line="240" w:lineRule="auto"/>
        <w:outlineLvl w:val="0"/>
        <w:rPr>
          <w:rFonts w:eastAsiaTheme="majorEastAsia" w:cstheme="majorBidi"/>
          <w:b/>
          <w:caps/>
          <w:color w:val="00B050"/>
          <w:sz w:val="30"/>
          <w:szCs w:val="30"/>
        </w:rPr>
        <w:sectPr w:rsidR="00204F63" w:rsidRPr="00A9330B" w:rsidSect="00204F63">
          <w:pgSz w:w="16840" w:h="11907" w:orient="landscape" w:code="9"/>
          <w:pgMar w:top="1418" w:right="1418" w:bottom="1418" w:left="1985" w:header="567" w:footer="340" w:gutter="0"/>
          <w:pgNumType w:chapStyle="1"/>
          <w:cols w:space="708"/>
          <w:docGrid w:linePitch="272"/>
        </w:sectPr>
      </w:pPr>
      <w:bookmarkStart w:id="2156" w:name="_Toc43697726"/>
    </w:p>
    <w:p w14:paraId="6FD4654A" w14:textId="4EABA020" w:rsidR="00401546" w:rsidRPr="00A9330B" w:rsidRDefault="00401546" w:rsidP="00401546">
      <w:pPr>
        <w:keepNext/>
        <w:keepLines/>
        <w:spacing w:line="240" w:lineRule="auto"/>
        <w:outlineLvl w:val="0"/>
        <w:rPr>
          <w:rFonts w:eastAsia="Times New Roman" w:cstheme="majorBidi"/>
          <w:b/>
          <w:bCs/>
          <w:caps/>
          <w:color w:val="323E4F"/>
          <w:spacing w:val="5"/>
          <w:kern w:val="28"/>
          <w:sz w:val="30"/>
          <w:szCs w:val="30"/>
        </w:rPr>
      </w:pPr>
      <w:bookmarkStart w:id="2157" w:name="_Toc52869750"/>
      <w:bookmarkStart w:id="2158" w:name="_Toc52869900"/>
      <w:r w:rsidRPr="00A9330B">
        <w:rPr>
          <w:rFonts w:eastAsiaTheme="majorEastAsia" w:cstheme="majorBidi"/>
          <w:b/>
          <w:caps/>
          <w:color w:val="00B050"/>
          <w:sz w:val="30"/>
          <w:szCs w:val="30"/>
        </w:rPr>
        <w:lastRenderedPageBreak/>
        <w:t>Conclusion</w:t>
      </w:r>
      <w:bookmarkEnd w:id="2135"/>
      <w:bookmarkEnd w:id="2156"/>
      <w:bookmarkEnd w:id="2157"/>
      <w:bookmarkEnd w:id="2158"/>
    </w:p>
    <w:bookmarkEnd w:id="2136"/>
    <w:p w14:paraId="423EBA86" w14:textId="77777777" w:rsidR="00401546" w:rsidRPr="00A9330B" w:rsidRDefault="00401546" w:rsidP="00401546">
      <w:pPr>
        <w:autoSpaceDE w:val="0"/>
        <w:autoSpaceDN w:val="0"/>
        <w:adjustRightInd w:val="0"/>
        <w:jc w:val="both"/>
        <w:rPr>
          <w:rFonts w:cs="Arial"/>
          <w:color w:val="231F20"/>
        </w:rPr>
      </w:pPr>
      <w:r w:rsidRPr="00A9330B">
        <w:rPr>
          <w:rFonts w:cs="Arial"/>
          <w:color w:val="231F20"/>
        </w:rPr>
        <w:t>Les routes et ouvrages d’assainissement constituent des liens entre des espaces distants, assurent une continuité physique entre les personnes. Ils constituent donc un vecteur social très important au sein de notre société.</w:t>
      </w:r>
    </w:p>
    <w:p w14:paraId="7B867D38" w14:textId="77777777" w:rsidR="00401546" w:rsidRPr="00A9330B" w:rsidRDefault="00401546" w:rsidP="00401546">
      <w:pPr>
        <w:autoSpaceDE w:val="0"/>
        <w:autoSpaceDN w:val="0"/>
        <w:adjustRightInd w:val="0"/>
        <w:jc w:val="both"/>
        <w:rPr>
          <w:rFonts w:cs="Arial"/>
          <w:b/>
          <w:bCs/>
        </w:rPr>
      </w:pPr>
      <w:r w:rsidRPr="00A9330B">
        <w:rPr>
          <w:rFonts w:cs="Arial"/>
          <w:color w:val="231F20"/>
        </w:rPr>
        <w:t>Outre leur rôle économique, ils permettent également le développement social de l’environnement qu’ils desservent. L’accessibilité d’un espace est donc primordiale tant pour le développement de celui-ci que pour le bien-être de ses habitants.</w:t>
      </w:r>
    </w:p>
    <w:p w14:paraId="717EC5AD" w14:textId="619AEF24" w:rsidR="00401546" w:rsidRPr="00A9330B" w:rsidRDefault="00EE34BC" w:rsidP="00401546">
      <w:pPr>
        <w:jc w:val="both"/>
        <w:rPr>
          <w:rFonts w:cs="Arial"/>
          <w:b/>
        </w:rPr>
      </w:pPr>
      <w:r w:rsidRPr="00A9330B">
        <w:rPr>
          <w:rFonts w:cs="Arial"/>
          <w:bCs/>
        </w:rPr>
        <w:t>La mise en œuvre du projet</w:t>
      </w:r>
      <w:r w:rsidR="00401546" w:rsidRPr="00A9330B">
        <w:rPr>
          <w:rFonts w:cs="Arial"/>
          <w:bCs/>
        </w:rPr>
        <w:t xml:space="preserve"> d’Assainissement Pluvial des villes secondaires </w:t>
      </w:r>
      <w:r w:rsidR="00401546" w:rsidRPr="00A9330B">
        <w:rPr>
          <w:rFonts w:cs="Arial"/>
          <w:b/>
        </w:rPr>
        <w:t>dans les 1</w:t>
      </w:r>
      <w:r w:rsidR="00401546" w:rsidRPr="00A9330B">
        <w:rPr>
          <w:rFonts w:cs="Arial"/>
          <w:b/>
          <w:vertAlign w:val="superscript"/>
        </w:rPr>
        <w:t>er</w:t>
      </w:r>
      <w:r w:rsidR="00401546" w:rsidRPr="00A9330B">
        <w:rPr>
          <w:rFonts w:cs="Arial"/>
          <w:b/>
        </w:rPr>
        <w:t>, 2</w:t>
      </w:r>
      <w:r w:rsidR="00401546" w:rsidRPr="00A9330B">
        <w:rPr>
          <w:rFonts w:cs="Arial"/>
          <w:b/>
          <w:vertAlign w:val="superscript"/>
        </w:rPr>
        <w:t>ème</w:t>
      </w:r>
      <w:r w:rsidR="00401546" w:rsidRPr="00A9330B">
        <w:rPr>
          <w:rFonts w:cs="Arial"/>
          <w:b/>
        </w:rPr>
        <w:t xml:space="preserve"> et 3</w:t>
      </w:r>
      <w:r w:rsidR="00401546" w:rsidRPr="00A9330B">
        <w:rPr>
          <w:rFonts w:cs="Arial"/>
          <w:b/>
          <w:vertAlign w:val="superscript"/>
        </w:rPr>
        <w:t>ème</w:t>
      </w:r>
      <w:r w:rsidR="00401546" w:rsidRPr="00A9330B">
        <w:rPr>
          <w:rFonts w:cs="Arial"/>
          <w:b/>
        </w:rPr>
        <w:t xml:space="preserve"> arrondissements de la Ville de </w:t>
      </w:r>
      <w:r w:rsidR="00BA7D70" w:rsidRPr="00A9330B">
        <w:rPr>
          <w:rFonts w:cs="Arial"/>
          <w:b/>
        </w:rPr>
        <w:t xml:space="preserve">Natitingou </w:t>
      </w:r>
      <w:r w:rsidR="00401546" w:rsidRPr="00A9330B">
        <w:rPr>
          <w:rFonts w:cs="Arial"/>
          <w:bCs/>
        </w:rPr>
        <w:t>apparait comme une opportunité pour le désenclavement de plusieurs zones à vocation urbaine et regorgeant d’énormes potentialités.</w:t>
      </w:r>
    </w:p>
    <w:p w14:paraId="27727343" w14:textId="77777777" w:rsidR="00401546" w:rsidRPr="00A9330B" w:rsidRDefault="00401546" w:rsidP="00401546">
      <w:pPr>
        <w:jc w:val="both"/>
        <w:rPr>
          <w:rFonts w:cs="Arial"/>
          <w:bCs/>
        </w:rPr>
      </w:pPr>
      <w:r w:rsidRPr="00A9330B">
        <w:rPr>
          <w:rFonts w:cs="Arial"/>
          <w:bCs/>
        </w:rPr>
        <w:t>Les impacts positifs de ce projet sont nombreux, allant du confort, de la fluidité et de la rapidité du trafic au développement de pôle d’activités commerciales et à l’accès aux infrastructures sociales, amélioration de l’assainissement, mobilité urbaine, etc..</w:t>
      </w:r>
    </w:p>
    <w:p w14:paraId="6CBC9D17" w14:textId="77777777" w:rsidR="00401546" w:rsidRPr="00A9330B" w:rsidRDefault="00401546" w:rsidP="00401546">
      <w:pPr>
        <w:jc w:val="both"/>
        <w:rPr>
          <w:rFonts w:cs="Arial"/>
        </w:rPr>
      </w:pPr>
      <w:r w:rsidRPr="00A9330B">
        <w:rPr>
          <w:rFonts w:cs="Arial"/>
        </w:rPr>
        <w:t xml:space="preserve">L’aménagement des ouvrages de drainage et des rues a un effet bénéfique car elle permet de contribuer à la réduction des émissions de gaz par les moteurs (fluidité du trafic). </w:t>
      </w:r>
    </w:p>
    <w:p w14:paraId="1AE36DB3" w14:textId="0FD51451" w:rsidR="00401546" w:rsidRPr="00A9330B" w:rsidRDefault="00401546" w:rsidP="00401546">
      <w:pPr>
        <w:jc w:val="both"/>
        <w:rPr>
          <w:rFonts w:cs="Arial"/>
          <w:bCs/>
        </w:rPr>
      </w:pPr>
      <w:r w:rsidRPr="00A9330B">
        <w:rPr>
          <w:rFonts w:cs="Arial"/>
          <w:bCs/>
        </w:rPr>
        <w:t>Comme tout projet d’infrastructures, le PAPVS génère des impacts négatifs surtout en phase chantier, impacts qui restent quand même maîtrisables par la mise en œuvre de mesures d’atténuation.</w:t>
      </w:r>
    </w:p>
    <w:p w14:paraId="21F426B3" w14:textId="4B2F14D8" w:rsidR="00401546" w:rsidRPr="00A9330B" w:rsidRDefault="00401546" w:rsidP="000F7BA7">
      <w:pPr>
        <w:jc w:val="both"/>
        <w:rPr>
          <w:b/>
        </w:rPr>
      </w:pPr>
      <w:r w:rsidRPr="00A9330B">
        <w:rPr>
          <w:rFonts w:cs="Arial"/>
          <w:bCs/>
        </w:rPr>
        <w:t>Un plan de gestion environnemental et social est conçu à cet effet, de même que des prescriptions environnementales ont été élaborées, et sont à mettre dans le cahier de charge des entreprises.</w:t>
      </w:r>
      <w:r w:rsidR="00E24640" w:rsidRPr="00A9330B">
        <w:rPr>
          <w:rFonts w:cs="Arial"/>
          <w:bCs/>
        </w:rPr>
        <w:t xml:space="preserve"> Le coût du PGES est de </w:t>
      </w:r>
      <w:r w:rsidR="00CB4E93">
        <w:rPr>
          <w:b/>
        </w:rPr>
        <w:t>576 320</w:t>
      </w:r>
      <w:r w:rsidR="00E24640" w:rsidRPr="00A9330B">
        <w:rPr>
          <w:b/>
        </w:rPr>
        <w:t> 000 FCFA</w:t>
      </w:r>
    </w:p>
    <w:p w14:paraId="2E7D5D1F" w14:textId="77777777" w:rsidR="00401546" w:rsidRPr="00A9330B" w:rsidRDefault="00401546" w:rsidP="00401546">
      <w:pPr>
        <w:jc w:val="both"/>
        <w:rPr>
          <w:rFonts w:cs="Arial"/>
        </w:rPr>
      </w:pPr>
      <w:r w:rsidRPr="00A9330B">
        <w:rPr>
          <w:rFonts w:cs="Arial"/>
          <w:bCs/>
        </w:rPr>
        <w:t xml:space="preserve">Malgré ces impacts négatifs le projet reste viable car il peut induire le </w:t>
      </w:r>
      <w:r w:rsidRPr="00A9330B">
        <w:rPr>
          <w:rFonts w:cs="Arial"/>
        </w:rPr>
        <w:t xml:space="preserve">développement. </w:t>
      </w:r>
    </w:p>
    <w:p w14:paraId="1A6A3BAA" w14:textId="77777777" w:rsidR="00401546" w:rsidRPr="00A9330B" w:rsidRDefault="00401546" w:rsidP="00401546">
      <w:pPr>
        <w:spacing w:before="0" w:line="120" w:lineRule="auto"/>
        <w:jc w:val="center"/>
        <w:rPr>
          <w:rFonts w:eastAsia="Times New Roman" w:cs="Arial"/>
          <w:b/>
          <w:bCs/>
          <w:color w:val="000000"/>
          <w:spacing w:val="-4"/>
          <w:sz w:val="24"/>
          <w:szCs w:val="24"/>
          <w:lang w:eastAsia="fr-FR"/>
        </w:rPr>
      </w:pPr>
      <w:r w:rsidRPr="00A9330B">
        <w:rPr>
          <w:rFonts w:eastAsia="Times New Roman" w:cs="Arial"/>
          <w:b/>
          <w:bCs/>
          <w:color w:val="000000"/>
          <w:spacing w:val="-4"/>
          <w:sz w:val="24"/>
          <w:szCs w:val="24"/>
          <w:lang w:eastAsia="fr-FR"/>
        </w:rPr>
        <w:br w:type="page"/>
      </w:r>
    </w:p>
    <w:p w14:paraId="787FB495" w14:textId="77777777" w:rsidR="00401546" w:rsidRPr="00A9330B" w:rsidRDefault="00401546" w:rsidP="00401546">
      <w:pPr>
        <w:keepNext/>
        <w:keepLines/>
        <w:spacing w:line="240" w:lineRule="auto"/>
        <w:outlineLvl w:val="0"/>
        <w:rPr>
          <w:rFonts w:eastAsia="Times New Roman" w:cstheme="majorBidi"/>
          <w:b/>
          <w:caps/>
          <w:color w:val="00B050"/>
          <w:sz w:val="30"/>
          <w:szCs w:val="30"/>
          <w:lang w:eastAsia="fr-FR"/>
        </w:rPr>
      </w:pPr>
      <w:bookmarkStart w:id="2159" w:name="_Toc43697727"/>
      <w:bookmarkStart w:id="2160" w:name="_Toc52869751"/>
      <w:bookmarkStart w:id="2161" w:name="_Toc52869901"/>
      <w:r w:rsidRPr="00A9330B">
        <w:rPr>
          <w:rFonts w:eastAsia="Times New Roman" w:cstheme="majorBidi"/>
          <w:b/>
          <w:caps/>
          <w:color w:val="00B050"/>
          <w:sz w:val="30"/>
          <w:szCs w:val="30"/>
          <w:lang w:eastAsia="fr-FR"/>
        </w:rPr>
        <w:lastRenderedPageBreak/>
        <w:t>BIBLIOGRAPHIE</w:t>
      </w:r>
      <w:bookmarkEnd w:id="2159"/>
      <w:bookmarkEnd w:id="2160"/>
      <w:bookmarkEnd w:id="2161"/>
    </w:p>
    <w:p w14:paraId="563FB170" w14:textId="77777777" w:rsidR="008C1E90" w:rsidRPr="00A9330B" w:rsidRDefault="008C1E90" w:rsidP="008C1E90">
      <w:pPr>
        <w:spacing w:before="60" w:line="240" w:lineRule="auto"/>
        <w:jc w:val="both"/>
        <w:rPr>
          <w:rFonts w:cs="Arial"/>
          <w:b/>
          <w:sz w:val="20"/>
          <w:szCs w:val="20"/>
        </w:rPr>
      </w:pPr>
    </w:p>
    <w:p w14:paraId="6486F286" w14:textId="77777777" w:rsidR="008C1E90" w:rsidRPr="00A9330B" w:rsidRDefault="008C1E90" w:rsidP="008C1E90">
      <w:pPr>
        <w:autoSpaceDE w:val="0"/>
        <w:autoSpaceDN w:val="0"/>
        <w:adjustRightInd w:val="0"/>
        <w:spacing w:before="60" w:line="240" w:lineRule="auto"/>
        <w:rPr>
          <w:rFonts w:cs="Arial"/>
          <w:color w:val="000000"/>
          <w:sz w:val="20"/>
          <w:szCs w:val="20"/>
        </w:rPr>
      </w:pPr>
      <w:r w:rsidRPr="00A9330B">
        <w:rPr>
          <w:rFonts w:cs="Arial"/>
          <w:color w:val="000000"/>
          <w:sz w:val="20"/>
          <w:szCs w:val="20"/>
        </w:rPr>
        <w:t>ABE (2001) : Guide Sectoriel de réalisation d’une étude d’impact sur l’environnement des projets routiers. ABE/ MEHU, Cotonou, Février 2001. 76 p.</w:t>
      </w:r>
    </w:p>
    <w:p w14:paraId="2812DA8B" w14:textId="77777777" w:rsidR="008C1E90" w:rsidRPr="00A9330B" w:rsidRDefault="008C1E90" w:rsidP="008C1E90">
      <w:pPr>
        <w:spacing w:before="60" w:line="240" w:lineRule="auto"/>
        <w:jc w:val="both"/>
        <w:rPr>
          <w:rFonts w:cs="Arial"/>
          <w:sz w:val="20"/>
          <w:szCs w:val="20"/>
        </w:rPr>
      </w:pPr>
      <w:r w:rsidRPr="00A9330B">
        <w:rPr>
          <w:rFonts w:cs="Arial"/>
          <w:sz w:val="20"/>
          <w:szCs w:val="20"/>
        </w:rPr>
        <w:t>ABE (2011) : Fiche descriptive sur les zones humides Ramsar. Complexe Est.</w:t>
      </w:r>
    </w:p>
    <w:p w14:paraId="7656D47E" w14:textId="77777777" w:rsidR="008C1E90" w:rsidRPr="00A9330B" w:rsidRDefault="008C1E90" w:rsidP="008C1E90">
      <w:pPr>
        <w:spacing w:before="60" w:line="240" w:lineRule="auto"/>
        <w:jc w:val="both"/>
        <w:rPr>
          <w:rFonts w:cs="Arial"/>
          <w:sz w:val="20"/>
          <w:szCs w:val="20"/>
        </w:rPr>
      </w:pPr>
      <w:r w:rsidRPr="00A9330B">
        <w:rPr>
          <w:rFonts w:cs="Arial"/>
          <w:sz w:val="20"/>
          <w:szCs w:val="20"/>
        </w:rPr>
        <w:t>ABE (2006) : Guide général de réalisation d’une étude d’impact sur l’environnement, n.d. Cotonou, Février, 2006, 56 p.</w:t>
      </w:r>
    </w:p>
    <w:p w14:paraId="7C22E958" w14:textId="77777777" w:rsidR="008C1E90" w:rsidRPr="00A9330B" w:rsidRDefault="008C1E90" w:rsidP="008C1E90">
      <w:pPr>
        <w:autoSpaceDE w:val="0"/>
        <w:autoSpaceDN w:val="0"/>
        <w:adjustRightInd w:val="0"/>
        <w:spacing w:before="60" w:line="240" w:lineRule="auto"/>
        <w:rPr>
          <w:rFonts w:cs="Arial"/>
          <w:color w:val="000000"/>
          <w:sz w:val="20"/>
          <w:szCs w:val="20"/>
        </w:rPr>
      </w:pPr>
      <w:r w:rsidRPr="00A9330B">
        <w:rPr>
          <w:rFonts w:cs="Arial"/>
          <w:color w:val="000000"/>
          <w:sz w:val="20"/>
          <w:szCs w:val="20"/>
        </w:rPr>
        <w:t>Adam S. K. &amp; Boko, M. (1993) : Le Bénin EDICEF, Paris. 96 p.</w:t>
      </w:r>
    </w:p>
    <w:p w14:paraId="625ED3AC" w14:textId="77777777" w:rsidR="008C1E90" w:rsidRPr="00A9330B" w:rsidRDefault="008C1E90" w:rsidP="008C1E90">
      <w:pPr>
        <w:autoSpaceDE w:val="0"/>
        <w:autoSpaceDN w:val="0"/>
        <w:adjustRightInd w:val="0"/>
        <w:spacing w:before="60" w:line="240" w:lineRule="auto"/>
        <w:rPr>
          <w:rFonts w:cs="Arial"/>
          <w:color w:val="000000"/>
          <w:sz w:val="20"/>
          <w:szCs w:val="20"/>
        </w:rPr>
      </w:pPr>
      <w:r w:rsidRPr="00A9330B">
        <w:rPr>
          <w:rFonts w:cs="Arial"/>
          <w:color w:val="000000"/>
          <w:sz w:val="20"/>
          <w:szCs w:val="20"/>
        </w:rPr>
        <w:t>André P., Delislegé et Révéret J.P (2003) : L’évaluation des impacts sur l’environnement. Processus, acteurs et pratique pour un développement durable. Presse internationale polytechnique, 2003, 519 p.</w:t>
      </w:r>
    </w:p>
    <w:p w14:paraId="6AEB4D51" w14:textId="77777777" w:rsidR="008C1E90" w:rsidRPr="00A9330B" w:rsidRDefault="008C1E90" w:rsidP="008C1E90">
      <w:pPr>
        <w:autoSpaceDE w:val="0"/>
        <w:autoSpaceDN w:val="0"/>
        <w:adjustRightInd w:val="0"/>
        <w:spacing w:before="60" w:line="240" w:lineRule="auto"/>
        <w:rPr>
          <w:rFonts w:cs="Arial"/>
          <w:color w:val="000000"/>
          <w:sz w:val="20"/>
          <w:szCs w:val="20"/>
        </w:rPr>
      </w:pPr>
      <w:r w:rsidRPr="00A9330B">
        <w:rPr>
          <w:rFonts w:cs="Arial"/>
          <w:color w:val="000000"/>
          <w:sz w:val="20"/>
          <w:szCs w:val="20"/>
        </w:rPr>
        <w:t>Banque Mondiale (1999) : Manuel d’évaluation environnementale. Edition française, 1999. Volume II, Lignes directrices sectorielles.</w:t>
      </w:r>
    </w:p>
    <w:p w14:paraId="6002027A" w14:textId="77777777" w:rsidR="008C1E90" w:rsidRPr="00A9330B" w:rsidRDefault="008C1E90" w:rsidP="008C1E90">
      <w:pPr>
        <w:autoSpaceDE w:val="0"/>
        <w:autoSpaceDN w:val="0"/>
        <w:adjustRightInd w:val="0"/>
        <w:spacing w:before="60" w:line="240" w:lineRule="auto"/>
        <w:jc w:val="both"/>
        <w:rPr>
          <w:rFonts w:cs="Arial"/>
          <w:color w:val="000000"/>
          <w:sz w:val="20"/>
          <w:szCs w:val="20"/>
        </w:rPr>
      </w:pPr>
      <w:r w:rsidRPr="00A9330B">
        <w:rPr>
          <w:rFonts w:cs="Arial"/>
          <w:color w:val="000000"/>
          <w:sz w:val="20"/>
          <w:szCs w:val="20"/>
        </w:rPr>
        <w:t>Banque Mondiale et le SSATP (2008) : Résume du document de référence 14 Diagnostics des Infrastructures Nationales en Afrique : les routes en Afrique subsaharienne (Kengwilliam, Vivien foster, Rodrigo archondo-callao, Cecilia briceñogarmendia, Alberto nogales, et Kavita Sethi).</w:t>
      </w:r>
    </w:p>
    <w:p w14:paraId="4825EB72" w14:textId="77777777" w:rsidR="008C1E90" w:rsidRPr="00A9330B" w:rsidRDefault="008C1E90" w:rsidP="008C1E90">
      <w:pPr>
        <w:autoSpaceDE w:val="0"/>
        <w:autoSpaceDN w:val="0"/>
        <w:adjustRightInd w:val="0"/>
        <w:spacing w:before="60" w:line="240" w:lineRule="auto"/>
        <w:jc w:val="both"/>
        <w:rPr>
          <w:rFonts w:cs="Arial"/>
          <w:color w:val="000000"/>
          <w:sz w:val="20"/>
          <w:szCs w:val="20"/>
        </w:rPr>
      </w:pPr>
      <w:r w:rsidRPr="00A9330B">
        <w:rPr>
          <w:rFonts w:cs="Arial"/>
          <w:color w:val="000000"/>
          <w:sz w:val="20"/>
          <w:szCs w:val="20"/>
        </w:rPr>
        <w:t>Banque Mondiale, République du Bénin (2010) : Analyse Environnementale Pays. Rapport Final - Département du Développement Durable - Numéro du Rapport : 58190 - BJ Région Afrique 58190.</w:t>
      </w:r>
    </w:p>
    <w:p w14:paraId="71C6482E" w14:textId="77777777" w:rsidR="008C1E90" w:rsidRPr="00A9330B" w:rsidRDefault="008C1E90" w:rsidP="008C1E90">
      <w:pPr>
        <w:autoSpaceDE w:val="0"/>
        <w:autoSpaceDN w:val="0"/>
        <w:adjustRightInd w:val="0"/>
        <w:spacing w:before="60" w:line="240" w:lineRule="auto"/>
        <w:jc w:val="both"/>
        <w:rPr>
          <w:rFonts w:cs="Arial"/>
          <w:color w:val="000000"/>
          <w:sz w:val="20"/>
          <w:szCs w:val="20"/>
        </w:rPr>
      </w:pPr>
      <w:r w:rsidRPr="00A9330B">
        <w:rPr>
          <w:rFonts w:cs="Arial"/>
          <w:color w:val="000000"/>
          <w:sz w:val="20"/>
          <w:szCs w:val="20"/>
        </w:rPr>
        <w:t>Cabinet Conseil Afrique (2006). Programme d’Appui au Démarrage des Communes Monographie de la Commune de Cotonou, 47 p.</w:t>
      </w:r>
    </w:p>
    <w:p w14:paraId="5ECC0FC2" w14:textId="77777777" w:rsidR="008C1E90" w:rsidRPr="00A9330B" w:rsidRDefault="008C1E90" w:rsidP="008C1E90">
      <w:pPr>
        <w:autoSpaceDE w:val="0"/>
        <w:autoSpaceDN w:val="0"/>
        <w:adjustRightInd w:val="0"/>
        <w:spacing w:before="60" w:line="240" w:lineRule="auto"/>
        <w:jc w:val="both"/>
        <w:rPr>
          <w:rFonts w:cs="Arial"/>
          <w:color w:val="231F20"/>
          <w:sz w:val="20"/>
          <w:szCs w:val="20"/>
        </w:rPr>
      </w:pPr>
      <w:r w:rsidRPr="00A9330B">
        <w:rPr>
          <w:rFonts w:cs="Arial"/>
          <w:color w:val="231F20"/>
          <w:sz w:val="20"/>
          <w:szCs w:val="20"/>
        </w:rPr>
        <w:t>Centre de Recherches Routières, Bruxelles (2007) : La route : acteur de la mobilité durable - Publication F46/09.</w:t>
      </w:r>
    </w:p>
    <w:p w14:paraId="558579D7" w14:textId="77777777" w:rsidR="008C1E90" w:rsidRPr="00A9330B" w:rsidRDefault="008C1E90" w:rsidP="008C1E90">
      <w:pPr>
        <w:autoSpaceDE w:val="0"/>
        <w:autoSpaceDN w:val="0"/>
        <w:adjustRightInd w:val="0"/>
        <w:spacing w:before="60" w:line="240" w:lineRule="auto"/>
        <w:jc w:val="both"/>
        <w:rPr>
          <w:rFonts w:cs="Arial"/>
          <w:color w:val="000000"/>
          <w:sz w:val="20"/>
          <w:szCs w:val="20"/>
        </w:rPr>
      </w:pPr>
      <w:r w:rsidRPr="00A9330B">
        <w:rPr>
          <w:rFonts w:cs="Arial"/>
          <w:color w:val="000000"/>
          <w:sz w:val="20"/>
          <w:szCs w:val="20"/>
        </w:rPr>
        <w:t>EUROPEAID, (2007) : Manuel d’intégration de l’environnement pour la conception au développement de la CE. Commission Européenne.</w:t>
      </w:r>
    </w:p>
    <w:p w14:paraId="7CA00A50" w14:textId="77777777" w:rsidR="008C1E90" w:rsidRPr="00A9330B" w:rsidRDefault="008C1E90" w:rsidP="008C1E90">
      <w:pPr>
        <w:autoSpaceDE w:val="0"/>
        <w:autoSpaceDN w:val="0"/>
        <w:adjustRightInd w:val="0"/>
        <w:spacing w:before="60" w:line="240" w:lineRule="auto"/>
        <w:jc w:val="both"/>
        <w:rPr>
          <w:rFonts w:cs="Arial"/>
          <w:color w:val="000000"/>
          <w:sz w:val="20"/>
          <w:szCs w:val="20"/>
        </w:rPr>
      </w:pPr>
      <w:r w:rsidRPr="00A9330B">
        <w:rPr>
          <w:rFonts w:cs="Arial"/>
          <w:color w:val="000000"/>
          <w:sz w:val="20"/>
          <w:szCs w:val="20"/>
        </w:rPr>
        <w:t>FAO (1996) : Banque de données statistiques sur l’Agriculture.</w:t>
      </w:r>
    </w:p>
    <w:p w14:paraId="22B89DC5" w14:textId="77777777" w:rsidR="008C1E90" w:rsidRPr="00A9330B" w:rsidRDefault="008C1E90" w:rsidP="008C1E90">
      <w:pPr>
        <w:autoSpaceDE w:val="0"/>
        <w:autoSpaceDN w:val="0"/>
        <w:adjustRightInd w:val="0"/>
        <w:spacing w:before="60" w:line="240" w:lineRule="auto"/>
        <w:jc w:val="both"/>
        <w:rPr>
          <w:rFonts w:cs="Arial"/>
          <w:color w:val="000000"/>
          <w:sz w:val="20"/>
          <w:szCs w:val="20"/>
        </w:rPr>
      </w:pPr>
      <w:r w:rsidRPr="00A9330B">
        <w:rPr>
          <w:rFonts w:cs="Arial"/>
          <w:color w:val="000000"/>
          <w:sz w:val="20"/>
          <w:szCs w:val="20"/>
        </w:rPr>
        <w:t>Guigo M., Allier C., Chapot A., Chapot-Blanquet M., Dauphine A. (1991) : Gestion de l’environnement et études d’impacts. Paris.</w:t>
      </w:r>
    </w:p>
    <w:p w14:paraId="1F89480A" w14:textId="77777777" w:rsidR="008C1E90" w:rsidRPr="00A9330B" w:rsidRDefault="008C1E90" w:rsidP="008C1E90">
      <w:pPr>
        <w:autoSpaceDE w:val="0"/>
        <w:autoSpaceDN w:val="0"/>
        <w:adjustRightInd w:val="0"/>
        <w:spacing w:before="60" w:line="240" w:lineRule="auto"/>
        <w:jc w:val="both"/>
        <w:rPr>
          <w:rFonts w:cs="Arial"/>
          <w:color w:val="000000"/>
          <w:sz w:val="20"/>
          <w:szCs w:val="20"/>
        </w:rPr>
      </w:pPr>
      <w:r w:rsidRPr="00A9330B">
        <w:rPr>
          <w:rFonts w:cs="Arial"/>
          <w:color w:val="000000"/>
          <w:sz w:val="20"/>
          <w:szCs w:val="20"/>
        </w:rPr>
        <w:t>Hulot F. et Délomè A. (1997) : Guide de l’environnement. Notion d’écologie ; Réglementation de l’environnement. Seconde édition. France.</w:t>
      </w:r>
    </w:p>
    <w:p w14:paraId="709D6752" w14:textId="77777777" w:rsidR="008C1E90" w:rsidRPr="00A9330B" w:rsidRDefault="008C1E90" w:rsidP="008C1E90">
      <w:pPr>
        <w:autoSpaceDE w:val="0"/>
        <w:autoSpaceDN w:val="0"/>
        <w:adjustRightInd w:val="0"/>
        <w:spacing w:before="60" w:line="240" w:lineRule="auto"/>
        <w:jc w:val="both"/>
        <w:rPr>
          <w:rFonts w:cs="Arial"/>
          <w:color w:val="000000"/>
          <w:sz w:val="20"/>
          <w:szCs w:val="20"/>
        </w:rPr>
      </w:pPr>
      <w:r w:rsidRPr="00A9330B">
        <w:rPr>
          <w:rFonts w:cs="Arial"/>
          <w:color w:val="000000"/>
          <w:sz w:val="20"/>
          <w:szCs w:val="20"/>
        </w:rPr>
        <w:t>MDAEP-PD/INSAE (2015) : Quatrième Recensement Général de la Population et de l’habitat (RGPH4) ; Que Retenir des Effectifs de Populations en 2013.</w:t>
      </w:r>
    </w:p>
    <w:p w14:paraId="61919DC3" w14:textId="77777777" w:rsidR="008C1E90" w:rsidRPr="00A9330B" w:rsidRDefault="008C1E90" w:rsidP="008C1E90">
      <w:pPr>
        <w:autoSpaceDE w:val="0"/>
        <w:autoSpaceDN w:val="0"/>
        <w:adjustRightInd w:val="0"/>
        <w:spacing w:before="60" w:line="240" w:lineRule="auto"/>
        <w:jc w:val="both"/>
        <w:rPr>
          <w:rFonts w:cs="Arial"/>
          <w:color w:val="000000"/>
          <w:sz w:val="20"/>
          <w:szCs w:val="20"/>
        </w:rPr>
      </w:pPr>
      <w:r w:rsidRPr="00A9330B">
        <w:rPr>
          <w:rFonts w:cs="Arial"/>
          <w:color w:val="000000"/>
          <w:sz w:val="20"/>
          <w:szCs w:val="20"/>
        </w:rPr>
        <w:t>MCCAG-PD/INSAE (2002) : Résultats du Troisième Recensement Général de la Population et de l’Habitat (RGPH3) ; Synthèse des Analyses en Bref de la Direction des Etudes Démographiques de Février 2002.</w:t>
      </w:r>
    </w:p>
    <w:p w14:paraId="2A5E2E1D" w14:textId="77777777" w:rsidR="008C1E90" w:rsidRPr="00A9330B" w:rsidRDefault="008C1E90" w:rsidP="008C1E90">
      <w:pPr>
        <w:autoSpaceDE w:val="0"/>
        <w:autoSpaceDN w:val="0"/>
        <w:adjustRightInd w:val="0"/>
        <w:spacing w:before="60" w:line="240" w:lineRule="auto"/>
        <w:rPr>
          <w:rFonts w:cs="Arial"/>
          <w:color w:val="000000"/>
          <w:sz w:val="20"/>
          <w:szCs w:val="20"/>
        </w:rPr>
      </w:pPr>
      <w:r w:rsidRPr="00A9330B">
        <w:rPr>
          <w:rFonts w:cs="Arial"/>
          <w:color w:val="000000"/>
          <w:sz w:val="20"/>
          <w:szCs w:val="20"/>
        </w:rPr>
        <w:t>MEHU-ABE (2001) : Guide général de réalisation d’une EIE ; Bénin ; 76 p.</w:t>
      </w:r>
    </w:p>
    <w:p w14:paraId="7A1BD411" w14:textId="77777777" w:rsidR="008C1E90" w:rsidRPr="00A9330B" w:rsidRDefault="008C1E90" w:rsidP="008C1E90">
      <w:pPr>
        <w:autoSpaceDE w:val="0"/>
        <w:autoSpaceDN w:val="0"/>
        <w:adjustRightInd w:val="0"/>
        <w:spacing w:before="60" w:line="240" w:lineRule="auto"/>
        <w:jc w:val="both"/>
        <w:rPr>
          <w:rFonts w:cs="Arial"/>
          <w:color w:val="000000"/>
          <w:sz w:val="20"/>
          <w:szCs w:val="20"/>
        </w:rPr>
      </w:pPr>
      <w:r w:rsidRPr="00A9330B">
        <w:rPr>
          <w:rFonts w:cs="Arial"/>
          <w:color w:val="000000"/>
          <w:sz w:val="20"/>
          <w:szCs w:val="20"/>
        </w:rPr>
        <w:t>MEHU (1999) : Loi-Cadre sur l’environnement en République du Bénin ; 65 p.</w:t>
      </w:r>
    </w:p>
    <w:p w14:paraId="18A37F99" w14:textId="77777777" w:rsidR="008C1E90" w:rsidRPr="00A9330B" w:rsidRDefault="008C1E90" w:rsidP="008C1E90">
      <w:pPr>
        <w:autoSpaceDE w:val="0"/>
        <w:autoSpaceDN w:val="0"/>
        <w:adjustRightInd w:val="0"/>
        <w:spacing w:before="60" w:line="240" w:lineRule="auto"/>
        <w:rPr>
          <w:rFonts w:cs="Arial"/>
          <w:color w:val="000000"/>
          <w:sz w:val="20"/>
          <w:szCs w:val="20"/>
        </w:rPr>
      </w:pPr>
      <w:r w:rsidRPr="00A9330B">
        <w:rPr>
          <w:rFonts w:cs="Arial"/>
          <w:color w:val="000000"/>
          <w:sz w:val="20"/>
          <w:szCs w:val="20"/>
        </w:rPr>
        <w:t>MEHU-ABE (2002) : Atlas des Communes du Bénin.</w:t>
      </w:r>
    </w:p>
    <w:p w14:paraId="5362C7F4" w14:textId="77777777" w:rsidR="008C1E90" w:rsidRPr="00A9330B" w:rsidRDefault="008C1E90" w:rsidP="008C1E90">
      <w:pPr>
        <w:autoSpaceDE w:val="0"/>
        <w:autoSpaceDN w:val="0"/>
        <w:adjustRightInd w:val="0"/>
        <w:spacing w:before="60" w:line="240" w:lineRule="auto"/>
        <w:rPr>
          <w:rFonts w:cs="Arial"/>
          <w:color w:val="000000"/>
          <w:sz w:val="20"/>
          <w:szCs w:val="20"/>
        </w:rPr>
      </w:pPr>
      <w:r w:rsidRPr="00A9330B">
        <w:rPr>
          <w:rFonts w:cs="Arial"/>
          <w:color w:val="000000"/>
          <w:sz w:val="20"/>
          <w:szCs w:val="20"/>
        </w:rPr>
        <w:t>MISD (2001) : Atlas monographique des circonscriptions administratives du Bénin.</w:t>
      </w:r>
    </w:p>
    <w:p w14:paraId="0F9DBE66" w14:textId="77777777" w:rsidR="008C1E90" w:rsidRPr="00A9330B" w:rsidRDefault="008C1E90" w:rsidP="008C1E90">
      <w:pPr>
        <w:autoSpaceDE w:val="0"/>
        <w:autoSpaceDN w:val="0"/>
        <w:adjustRightInd w:val="0"/>
        <w:spacing w:before="60" w:line="240" w:lineRule="auto"/>
        <w:rPr>
          <w:rFonts w:cs="Arial"/>
          <w:color w:val="000000"/>
          <w:sz w:val="20"/>
          <w:szCs w:val="20"/>
        </w:rPr>
      </w:pPr>
      <w:r w:rsidRPr="00A9330B">
        <w:rPr>
          <w:rFonts w:cs="Arial"/>
          <w:color w:val="000000"/>
          <w:sz w:val="20"/>
          <w:szCs w:val="20"/>
        </w:rPr>
        <w:t xml:space="preserve">MISD-Mission de Décentralisation (2002) : Recueil des lois sur la décentralisation ; 172 p. </w:t>
      </w:r>
    </w:p>
    <w:p w14:paraId="319E11F8" w14:textId="77777777" w:rsidR="008C1E90" w:rsidRPr="00A9330B" w:rsidRDefault="008C1E90" w:rsidP="008C1E90">
      <w:pPr>
        <w:autoSpaceDE w:val="0"/>
        <w:autoSpaceDN w:val="0"/>
        <w:adjustRightInd w:val="0"/>
        <w:spacing w:before="60" w:line="240" w:lineRule="auto"/>
        <w:rPr>
          <w:rFonts w:cs="Arial"/>
          <w:color w:val="000000"/>
          <w:sz w:val="20"/>
          <w:szCs w:val="20"/>
        </w:rPr>
      </w:pPr>
      <w:r w:rsidRPr="00A9330B">
        <w:rPr>
          <w:rFonts w:cs="Arial"/>
          <w:color w:val="000000"/>
          <w:sz w:val="20"/>
          <w:szCs w:val="20"/>
        </w:rPr>
        <w:t>Mise en place de la Norme ISO 24 510 dans la ville de Parakou (2013 - 2017) : Version finale Août 2013. Rapport final de diagnostic de Parakou. Version finale, Août 2013.</w:t>
      </w:r>
    </w:p>
    <w:p w14:paraId="18241271" w14:textId="77777777" w:rsidR="008C1E90" w:rsidRPr="00A9330B" w:rsidRDefault="008C1E90" w:rsidP="008C1E90">
      <w:pPr>
        <w:autoSpaceDE w:val="0"/>
        <w:autoSpaceDN w:val="0"/>
        <w:adjustRightInd w:val="0"/>
        <w:spacing w:before="60" w:line="240" w:lineRule="auto"/>
        <w:rPr>
          <w:rFonts w:cs="Arial"/>
          <w:color w:val="000000"/>
          <w:sz w:val="20"/>
          <w:szCs w:val="20"/>
        </w:rPr>
      </w:pPr>
      <w:r w:rsidRPr="00A9330B">
        <w:rPr>
          <w:rFonts w:cs="Arial"/>
          <w:color w:val="000000"/>
          <w:sz w:val="20"/>
          <w:szCs w:val="20"/>
        </w:rPr>
        <w:t>République du Bénin (2011) : Les inondations au Bénin. Rapport d’Evaluation des Besoins Post Catastrophes. Banque Mondiale avec appui du Système des Nations Unies, Avril 2011, 84 p.</w:t>
      </w:r>
    </w:p>
    <w:p w14:paraId="3AE42722" w14:textId="77777777" w:rsidR="008C1E90" w:rsidRPr="00A9330B" w:rsidRDefault="008C1E90" w:rsidP="008C1E90">
      <w:pPr>
        <w:autoSpaceDE w:val="0"/>
        <w:autoSpaceDN w:val="0"/>
        <w:adjustRightInd w:val="0"/>
        <w:spacing w:before="60" w:line="240" w:lineRule="auto"/>
        <w:rPr>
          <w:rFonts w:cs="Arial"/>
          <w:color w:val="000000"/>
          <w:sz w:val="20"/>
          <w:szCs w:val="20"/>
        </w:rPr>
      </w:pPr>
      <w:r w:rsidRPr="00A9330B">
        <w:rPr>
          <w:rFonts w:cs="Arial"/>
          <w:color w:val="000000"/>
          <w:sz w:val="20"/>
          <w:szCs w:val="20"/>
        </w:rPr>
        <w:t>République du Bénin, MAEP (2011) : Plan Stratégique de Relance du Secteur Agricole. 116 p.</w:t>
      </w:r>
    </w:p>
    <w:p w14:paraId="5DBE1206" w14:textId="77777777" w:rsidR="008C1E90" w:rsidRPr="00A9330B" w:rsidRDefault="008C1E90" w:rsidP="008C1E90">
      <w:pPr>
        <w:autoSpaceDE w:val="0"/>
        <w:autoSpaceDN w:val="0"/>
        <w:adjustRightInd w:val="0"/>
        <w:spacing w:before="60" w:line="240" w:lineRule="auto"/>
        <w:jc w:val="both"/>
        <w:rPr>
          <w:rFonts w:cs="Arial"/>
          <w:color w:val="000000"/>
          <w:sz w:val="20"/>
          <w:szCs w:val="20"/>
        </w:rPr>
      </w:pPr>
      <w:r w:rsidRPr="00A9330B">
        <w:rPr>
          <w:rFonts w:cs="Arial"/>
          <w:color w:val="000000"/>
          <w:sz w:val="20"/>
          <w:szCs w:val="20"/>
        </w:rPr>
        <w:t>République du Bénin, Ministère du Cadre de Vie et du Développement Durable, Agence du Cadre de Vie pour le Développement du Territoire (ACVDT) (2017) : Plan des Rues Primaires, Secondaire et Tertiaires du Projet de Réhabilitation et d’Aménagement des Voiries dans les Villes de Cotonou, Porto-Novo, Abomey-Calavi, Sèmè-Podji, Parakou, Bohicon, Natitingou et Lokossa ; Projet ASPHALTAGE, 1 p.</w:t>
      </w:r>
    </w:p>
    <w:p w14:paraId="5FC665BE" w14:textId="77777777" w:rsidR="008C1E90" w:rsidRPr="00A9330B" w:rsidRDefault="008C1E90" w:rsidP="008C1E90">
      <w:pPr>
        <w:autoSpaceDE w:val="0"/>
        <w:autoSpaceDN w:val="0"/>
        <w:adjustRightInd w:val="0"/>
        <w:spacing w:before="60" w:line="240" w:lineRule="auto"/>
        <w:jc w:val="both"/>
        <w:rPr>
          <w:rFonts w:cs="Arial"/>
          <w:color w:val="000000"/>
          <w:sz w:val="20"/>
          <w:szCs w:val="20"/>
        </w:rPr>
      </w:pPr>
      <w:r w:rsidRPr="00A9330B">
        <w:rPr>
          <w:rFonts w:cs="Arial"/>
          <w:color w:val="000000"/>
          <w:sz w:val="20"/>
          <w:szCs w:val="20"/>
        </w:rPr>
        <w:lastRenderedPageBreak/>
        <w:t>République du Bénin, Ministère du Cadre de Vie et du Développement Durable, Agence du Cadre de Vie pour le Développement du Territoire (ACVDT) (2017). Tableau Synoptique des Rues Primaires, Secondaires et Tertiaires de COTONOU - Projet ASPHALTAGE, 1 p.</w:t>
      </w:r>
    </w:p>
    <w:p w14:paraId="593A03A3" w14:textId="77777777" w:rsidR="008C1E90" w:rsidRPr="00A9330B" w:rsidRDefault="008C1E90" w:rsidP="008C1E90">
      <w:pPr>
        <w:autoSpaceDE w:val="0"/>
        <w:autoSpaceDN w:val="0"/>
        <w:adjustRightInd w:val="0"/>
        <w:spacing w:before="60" w:line="240" w:lineRule="auto"/>
        <w:jc w:val="both"/>
        <w:rPr>
          <w:rFonts w:cs="Arial"/>
          <w:color w:val="000000"/>
          <w:sz w:val="20"/>
          <w:szCs w:val="20"/>
        </w:rPr>
      </w:pPr>
      <w:r w:rsidRPr="00A9330B">
        <w:rPr>
          <w:rFonts w:cs="Arial"/>
          <w:color w:val="000000"/>
          <w:sz w:val="20"/>
          <w:szCs w:val="20"/>
        </w:rPr>
        <w:t>République du Bénin, Ministère du Développement de l’Analyse Economique et de la Prospective, Institut National de la Statistique et de l’Analyse Economique (2013) : Tableau de bord social 2012, Profils socioéconomiques et indicateurs de développement, tome I, Cotonou.</w:t>
      </w:r>
    </w:p>
    <w:p w14:paraId="21AA6759" w14:textId="77777777" w:rsidR="008C1E90" w:rsidRPr="00A9330B" w:rsidRDefault="008C1E90" w:rsidP="008C1E90">
      <w:pPr>
        <w:autoSpaceDE w:val="0"/>
        <w:autoSpaceDN w:val="0"/>
        <w:adjustRightInd w:val="0"/>
        <w:spacing w:before="60" w:line="240" w:lineRule="auto"/>
        <w:jc w:val="both"/>
        <w:rPr>
          <w:rFonts w:cs="Arial"/>
          <w:color w:val="000000"/>
          <w:sz w:val="20"/>
          <w:szCs w:val="20"/>
        </w:rPr>
      </w:pPr>
      <w:r w:rsidRPr="00A9330B">
        <w:rPr>
          <w:rFonts w:cs="Arial"/>
          <w:color w:val="000000"/>
          <w:sz w:val="20"/>
          <w:szCs w:val="20"/>
        </w:rPr>
        <w:t>République du Bénin Présidence de la République, Ministère Délégué Chargé des Transports et des Travaux Publics (2007) : Stratégie sectorielle des transports actualisée (2007-2011).</w:t>
      </w:r>
    </w:p>
    <w:p w14:paraId="214B80B9" w14:textId="77777777" w:rsidR="008C1E90" w:rsidRPr="00A9330B" w:rsidRDefault="008C1E90" w:rsidP="008C1E90">
      <w:pPr>
        <w:autoSpaceDE w:val="0"/>
        <w:autoSpaceDN w:val="0"/>
        <w:adjustRightInd w:val="0"/>
        <w:spacing w:before="60" w:line="240" w:lineRule="auto"/>
        <w:jc w:val="both"/>
        <w:rPr>
          <w:rFonts w:cs="Arial"/>
          <w:color w:val="000000"/>
          <w:sz w:val="20"/>
          <w:szCs w:val="20"/>
        </w:rPr>
      </w:pPr>
      <w:r w:rsidRPr="00A9330B">
        <w:rPr>
          <w:rFonts w:cs="Arial"/>
          <w:color w:val="000000"/>
          <w:sz w:val="20"/>
          <w:szCs w:val="20"/>
        </w:rPr>
        <w:t>République du Bénin Présidence de la République, Programme d’Actions du Gouvernement (2016 – 2021), 98 p.</w:t>
      </w:r>
    </w:p>
    <w:p w14:paraId="6896064E" w14:textId="77777777" w:rsidR="008C1E90" w:rsidRPr="00A9330B" w:rsidRDefault="008C1E90" w:rsidP="008C1E90">
      <w:pPr>
        <w:autoSpaceDE w:val="0"/>
        <w:autoSpaceDN w:val="0"/>
        <w:adjustRightInd w:val="0"/>
        <w:spacing w:before="60" w:line="240" w:lineRule="auto"/>
        <w:jc w:val="both"/>
        <w:rPr>
          <w:rFonts w:cs="Arial"/>
          <w:color w:val="000000"/>
          <w:sz w:val="20"/>
          <w:szCs w:val="20"/>
        </w:rPr>
      </w:pPr>
      <w:r w:rsidRPr="00A9330B">
        <w:rPr>
          <w:rFonts w:cs="Arial"/>
          <w:color w:val="000000"/>
          <w:sz w:val="20"/>
          <w:szCs w:val="20"/>
        </w:rPr>
        <w:t xml:space="preserve">Tecsult International Limitée (2012) : Ministère de l’Environnement et de la Protection de la Nature, Projet d’Appui à la Gestion des Forêts Communales (PAGEFCOM), 2012. </w:t>
      </w:r>
    </w:p>
    <w:p w14:paraId="5E7CDB04" w14:textId="77777777" w:rsidR="008C1E90" w:rsidRPr="00A9330B" w:rsidRDefault="008C1E90" w:rsidP="008C1E90">
      <w:pPr>
        <w:autoSpaceDE w:val="0"/>
        <w:autoSpaceDN w:val="0"/>
        <w:adjustRightInd w:val="0"/>
        <w:spacing w:before="60" w:line="240" w:lineRule="auto"/>
        <w:jc w:val="both"/>
        <w:rPr>
          <w:rFonts w:cs="Arial"/>
          <w:color w:val="000000"/>
          <w:sz w:val="20"/>
          <w:szCs w:val="20"/>
        </w:rPr>
      </w:pPr>
      <w:r w:rsidRPr="00A9330B">
        <w:rPr>
          <w:rFonts w:cs="Arial"/>
          <w:color w:val="000000"/>
          <w:sz w:val="20"/>
          <w:szCs w:val="20"/>
        </w:rPr>
        <w:t>Schéma Directeur d’Aménagement Communal (SDAC). Direction Générale des Forêts et des Ressources Naturelles - Département des Collines - Banque Africaine de Développement/- FAD.</w:t>
      </w:r>
    </w:p>
    <w:p w14:paraId="76EB0BE1" w14:textId="77777777" w:rsidR="008C1E90" w:rsidRPr="00A9330B" w:rsidRDefault="008C1E90" w:rsidP="008C1E90">
      <w:pPr>
        <w:spacing w:before="60" w:line="240" w:lineRule="auto"/>
        <w:jc w:val="both"/>
        <w:rPr>
          <w:rFonts w:cs="Arial"/>
          <w:sz w:val="20"/>
          <w:szCs w:val="20"/>
        </w:rPr>
      </w:pPr>
      <w:r w:rsidRPr="00A9330B">
        <w:rPr>
          <w:rFonts w:cs="Arial"/>
          <w:sz w:val="20"/>
          <w:szCs w:val="20"/>
        </w:rPr>
        <w:t xml:space="preserve">Adomou A. (2011) : Phytogéographie du Bénin. In : Neuenschwander P. </w:t>
      </w:r>
      <w:r w:rsidRPr="00A9330B">
        <w:rPr>
          <w:rFonts w:cs="Arial"/>
          <w:i/>
          <w:sz w:val="20"/>
          <w:szCs w:val="20"/>
        </w:rPr>
        <w:t>et al</w:t>
      </w:r>
      <w:r w:rsidRPr="00A9330B">
        <w:rPr>
          <w:rFonts w:cs="Arial"/>
          <w:sz w:val="20"/>
          <w:szCs w:val="20"/>
        </w:rPr>
        <w:t>. Protection de la Nature en Afrique de l’Ouest. Une Liste Rouge pour le Bénin.</w:t>
      </w:r>
    </w:p>
    <w:p w14:paraId="3233B85E" w14:textId="77777777" w:rsidR="008C1E90" w:rsidRPr="00A9330B" w:rsidRDefault="008C1E90" w:rsidP="008C1E90">
      <w:pPr>
        <w:spacing w:before="60" w:line="240" w:lineRule="auto"/>
        <w:jc w:val="both"/>
        <w:rPr>
          <w:rFonts w:cs="Arial"/>
          <w:sz w:val="20"/>
          <w:szCs w:val="20"/>
        </w:rPr>
      </w:pPr>
      <w:r w:rsidRPr="00A9330B">
        <w:rPr>
          <w:rFonts w:cs="Arial"/>
          <w:sz w:val="20"/>
          <w:szCs w:val="20"/>
        </w:rPr>
        <w:t xml:space="preserve">Adomou A.K et Sinsin B. (2011) : Plantes. In : Neuenschwander P. </w:t>
      </w:r>
      <w:r w:rsidRPr="00A9330B">
        <w:rPr>
          <w:rFonts w:cs="Arial"/>
          <w:i/>
          <w:sz w:val="20"/>
          <w:szCs w:val="20"/>
        </w:rPr>
        <w:t>et al.</w:t>
      </w:r>
      <w:r w:rsidRPr="00A9330B">
        <w:rPr>
          <w:rFonts w:cs="Arial"/>
          <w:sz w:val="20"/>
          <w:szCs w:val="20"/>
        </w:rPr>
        <w:t xml:space="preserve"> : Protection de la Nature en Afrique de l’Ouest. Une Liste Rouge pour le Bénin.</w:t>
      </w:r>
    </w:p>
    <w:p w14:paraId="0534AAEB" w14:textId="77777777" w:rsidR="008C1E90" w:rsidRPr="00A9330B" w:rsidRDefault="008C1E90" w:rsidP="008C1E90">
      <w:pPr>
        <w:spacing w:before="60" w:line="240" w:lineRule="auto"/>
        <w:jc w:val="both"/>
        <w:rPr>
          <w:rFonts w:cs="Arial"/>
          <w:sz w:val="20"/>
          <w:szCs w:val="20"/>
        </w:rPr>
      </w:pPr>
      <w:r w:rsidRPr="00A9330B">
        <w:rPr>
          <w:rFonts w:cs="Arial"/>
          <w:sz w:val="20"/>
          <w:szCs w:val="20"/>
        </w:rPr>
        <w:t>Agence Française de Développement : Genre en Action, Profil Genre Bénin, mise à jour en novembre 2016.</w:t>
      </w:r>
    </w:p>
    <w:p w14:paraId="508DB8C2" w14:textId="77777777" w:rsidR="008C1E90" w:rsidRPr="00A9330B" w:rsidRDefault="008C1E90" w:rsidP="008C1E90">
      <w:pPr>
        <w:spacing w:before="60" w:line="240" w:lineRule="auto"/>
        <w:jc w:val="both"/>
        <w:rPr>
          <w:rFonts w:cs="Arial"/>
          <w:sz w:val="20"/>
          <w:szCs w:val="20"/>
        </w:rPr>
      </w:pPr>
      <w:r w:rsidRPr="00A9330B">
        <w:rPr>
          <w:rFonts w:cs="Arial"/>
          <w:sz w:val="20"/>
          <w:szCs w:val="20"/>
        </w:rPr>
        <w:t>Ahononga F.C. (2011) : Élaboration du cadre institutionnel de gestion communautaire des Forêts Sa-crées au Bénin. Ministère de l’Environnement, de l’Habitat et de l’Urbanisme, Cotonou.</w:t>
      </w:r>
    </w:p>
    <w:p w14:paraId="67F5DDF0" w14:textId="77777777" w:rsidR="008C1E90" w:rsidRPr="00A9330B" w:rsidRDefault="008C1E90" w:rsidP="008C1E90">
      <w:pPr>
        <w:spacing w:before="60" w:line="240" w:lineRule="auto"/>
        <w:jc w:val="both"/>
        <w:rPr>
          <w:rFonts w:cs="Arial"/>
          <w:sz w:val="20"/>
          <w:szCs w:val="20"/>
        </w:rPr>
      </w:pPr>
      <w:r w:rsidRPr="00A9330B">
        <w:rPr>
          <w:rFonts w:cs="Arial"/>
          <w:sz w:val="20"/>
          <w:szCs w:val="20"/>
        </w:rPr>
        <w:t>Ajonina G. &amp; Ago E. (2013) : Établissement du bilan carbone des mangroves des zones humides du Complexe Ouest du Sud-Bénin en vue de la préparation d’un projet MDP. Eco-Bénin, Cotonou.</w:t>
      </w:r>
    </w:p>
    <w:p w14:paraId="5E503CDE" w14:textId="77777777" w:rsidR="008C1E90" w:rsidRPr="00A9330B" w:rsidRDefault="008C1E90" w:rsidP="008C1E90">
      <w:pPr>
        <w:spacing w:before="60" w:line="240" w:lineRule="auto"/>
        <w:jc w:val="both"/>
        <w:rPr>
          <w:rFonts w:cs="Arial"/>
          <w:sz w:val="20"/>
          <w:szCs w:val="20"/>
        </w:rPr>
      </w:pPr>
      <w:r w:rsidRPr="00A9330B">
        <w:rPr>
          <w:rFonts w:cs="Arial"/>
          <w:sz w:val="20"/>
          <w:szCs w:val="20"/>
        </w:rPr>
        <w:t xml:space="preserve">André </w:t>
      </w:r>
      <w:r w:rsidRPr="00A9330B">
        <w:rPr>
          <w:rFonts w:cs="Arial"/>
          <w:i/>
          <w:sz w:val="20"/>
          <w:szCs w:val="20"/>
        </w:rPr>
        <w:t>et al.</w:t>
      </w:r>
      <w:r w:rsidRPr="00A9330B">
        <w:rPr>
          <w:rFonts w:cs="Arial"/>
          <w:sz w:val="20"/>
          <w:szCs w:val="20"/>
        </w:rPr>
        <w:t xml:space="preserve"> (2002) : Vulnérabilité de la zone côtière du Bénin à un rehaussement relatif du niveau marin : état de la question et préconisations.</w:t>
      </w:r>
    </w:p>
    <w:p w14:paraId="473BF414" w14:textId="77777777" w:rsidR="008C1E90" w:rsidRPr="00A9330B" w:rsidRDefault="008C1E90" w:rsidP="008C1E90">
      <w:pPr>
        <w:spacing w:before="60" w:line="240" w:lineRule="auto"/>
        <w:jc w:val="both"/>
        <w:rPr>
          <w:rFonts w:cs="Arial"/>
          <w:sz w:val="20"/>
          <w:szCs w:val="20"/>
        </w:rPr>
      </w:pPr>
      <w:r w:rsidRPr="00A9330B">
        <w:rPr>
          <w:rFonts w:cs="Arial"/>
          <w:sz w:val="20"/>
          <w:szCs w:val="20"/>
        </w:rPr>
        <w:t>Banque Africaine de Développement (2013) : Séries sur les Sauvegardes et la Durabilité : Déclaration de la Politique de Sauvegarde Intégrée, Sauvegarde Opérationnelle (SO1) sur l’Evaluation Environnementale et Sociale, Volume 1 - Numéro 1, Déc. 2013, 59 p.</w:t>
      </w:r>
    </w:p>
    <w:p w14:paraId="620F7E87" w14:textId="77777777" w:rsidR="008C1E90" w:rsidRPr="00A9330B" w:rsidRDefault="008C1E90" w:rsidP="008C1E90">
      <w:pPr>
        <w:spacing w:before="60" w:line="240" w:lineRule="auto"/>
        <w:jc w:val="both"/>
        <w:rPr>
          <w:rFonts w:cs="Arial"/>
          <w:sz w:val="20"/>
          <w:szCs w:val="20"/>
        </w:rPr>
      </w:pPr>
      <w:r w:rsidRPr="00A9330B">
        <w:rPr>
          <w:rFonts w:cs="Arial"/>
          <w:sz w:val="20"/>
          <w:szCs w:val="20"/>
        </w:rPr>
        <w:t>Banque Africaine de Développement (2013) : Séries sur les Sauvegardes et la Durabilité : Déclaration de la Politique de Sauvegarde Intégrée, Sauvegarde Opérationnelle (SO2) sur la Réinstallation involontaire, l’acquisition des terres, le déplacement des populations et indemnisation. Volume 1 - Numéro 1, Déc. 2013, 59 p.</w:t>
      </w:r>
    </w:p>
    <w:p w14:paraId="0775E407" w14:textId="77777777" w:rsidR="008C1E90" w:rsidRPr="00A9330B" w:rsidRDefault="008C1E90" w:rsidP="008C1E90">
      <w:pPr>
        <w:spacing w:before="60" w:line="240" w:lineRule="auto"/>
        <w:jc w:val="both"/>
        <w:rPr>
          <w:rFonts w:cs="Arial"/>
          <w:sz w:val="20"/>
          <w:szCs w:val="20"/>
        </w:rPr>
      </w:pPr>
      <w:r w:rsidRPr="00A9330B">
        <w:rPr>
          <w:rFonts w:cs="Arial"/>
          <w:sz w:val="20"/>
          <w:szCs w:val="20"/>
        </w:rPr>
        <w:t>Banque Africaine de Développement (2013) : Séries sur les Sauvegardes et la Durabilité : Déclaration de la Politique de Sauvegarde Intégrée, Sauvegarde Opérationnelle (SO3) sur la Biodiversité et les services écosystémiques-Patrimoine Culturel, Volume 1 - Numéro 1, Déc. 2013, 59 p.</w:t>
      </w:r>
    </w:p>
    <w:p w14:paraId="50B991FF" w14:textId="77777777" w:rsidR="008C1E90" w:rsidRPr="00A9330B" w:rsidRDefault="008C1E90" w:rsidP="008C1E90">
      <w:pPr>
        <w:spacing w:before="60" w:line="240" w:lineRule="auto"/>
        <w:jc w:val="both"/>
        <w:rPr>
          <w:rFonts w:cs="Arial"/>
          <w:sz w:val="20"/>
          <w:szCs w:val="20"/>
        </w:rPr>
      </w:pPr>
      <w:r w:rsidRPr="00A9330B">
        <w:rPr>
          <w:rFonts w:cs="Arial"/>
          <w:sz w:val="20"/>
          <w:szCs w:val="20"/>
        </w:rPr>
        <w:t>Boco V. (2012) : Égalité de genre dans les services publics : Participation des filles aux formations techniques et scientifiques, secondaires et universitaires au Bénin, Présentation à la Conférence Internationale sur la Femme, Tampere Finlande, INPF.</w:t>
      </w:r>
    </w:p>
    <w:p w14:paraId="7A22B8FA" w14:textId="77777777" w:rsidR="008C1E90" w:rsidRPr="00A9330B" w:rsidRDefault="008C1E90" w:rsidP="008C1E90">
      <w:pPr>
        <w:spacing w:before="60" w:line="240" w:lineRule="auto"/>
        <w:jc w:val="both"/>
        <w:rPr>
          <w:rFonts w:cs="Arial"/>
          <w:sz w:val="20"/>
          <w:szCs w:val="20"/>
        </w:rPr>
      </w:pPr>
      <w:r w:rsidRPr="00A9330B">
        <w:rPr>
          <w:rFonts w:cs="Arial"/>
          <w:sz w:val="20"/>
          <w:szCs w:val="20"/>
        </w:rPr>
        <w:t>Bigou L.B.B. (2013) : Effets des pesanteurs ethniques sur le développement. Fraternité INFO 11.07.2013.</w:t>
      </w:r>
    </w:p>
    <w:p w14:paraId="211F4AC1" w14:textId="77777777" w:rsidR="008C1E90" w:rsidRPr="00A9330B" w:rsidRDefault="008C1E90" w:rsidP="008C1E90">
      <w:pPr>
        <w:spacing w:before="60" w:line="240" w:lineRule="auto"/>
        <w:jc w:val="both"/>
        <w:rPr>
          <w:rFonts w:cs="Arial"/>
          <w:sz w:val="20"/>
          <w:szCs w:val="20"/>
        </w:rPr>
      </w:pPr>
      <w:r w:rsidRPr="00A9330B">
        <w:rPr>
          <w:rFonts w:cs="Arial"/>
          <w:sz w:val="20"/>
          <w:szCs w:val="20"/>
        </w:rPr>
        <w:t>Communauté Économique des États d’Afrique de l’Ouest, Directives CEDEA (2017) : les Évaluations de Genre dans les projets énergétiques, n.ds. 17 juillet 2017, n.ds.www.ecreee.org&gt;news&gt;la-cedeao-valide-sa-directive.</w:t>
      </w:r>
    </w:p>
    <w:p w14:paraId="4883925F" w14:textId="77777777" w:rsidR="008C1E90" w:rsidRPr="00A9330B" w:rsidRDefault="008C1E90" w:rsidP="008C1E90">
      <w:pPr>
        <w:spacing w:before="60" w:line="240" w:lineRule="auto"/>
        <w:jc w:val="both"/>
        <w:rPr>
          <w:rFonts w:cs="Arial"/>
          <w:sz w:val="20"/>
          <w:szCs w:val="20"/>
        </w:rPr>
      </w:pPr>
      <w:r w:rsidRPr="00A9330B">
        <w:rPr>
          <w:rFonts w:cs="Arial"/>
          <w:sz w:val="20"/>
          <w:szCs w:val="20"/>
        </w:rPr>
        <w:t xml:space="preserve">CREDEL ONG (2010) : Changements climatiques et inondations dans le Grand Cotonou. Situations de base et Analyse perspective. </w:t>
      </w:r>
    </w:p>
    <w:p w14:paraId="7A93328E" w14:textId="77777777" w:rsidR="008C1E90" w:rsidRPr="00A9330B" w:rsidRDefault="008C1E90" w:rsidP="008C1E90">
      <w:pPr>
        <w:spacing w:before="60" w:line="240" w:lineRule="auto"/>
        <w:jc w:val="both"/>
        <w:rPr>
          <w:rFonts w:cs="Arial"/>
          <w:sz w:val="20"/>
          <w:szCs w:val="20"/>
        </w:rPr>
      </w:pPr>
      <w:r w:rsidRPr="00A9330B">
        <w:rPr>
          <w:rFonts w:cs="Arial"/>
          <w:sz w:val="20"/>
          <w:szCs w:val="20"/>
        </w:rPr>
        <w:t xml:space="preserve">Daouda Mama, Véronique Débuchât, James Bowen, Waris Chouti, Benjamin Yao, </w:t>
      </w:r>
      <w:r w:rsidRPr="00A9330B">
        <w:rPr>
          <w:rFonts w:cs="Arial"/>
          <w:i/>
          <w:sz w:val="20"/>
          <w:szCs w:val="20"/>
        </w:rPr>
        <w:t xml:space="preserve">et al. </w:t>
      </w:r>
      <w:r w:rsidRPr="00A9330B">
        <w:rPr>
          <w:rFonts w:cs="Arial"/>
          <w:sz w:val="20"/>
          <w:szCs w:val="20"/>
        </w:rPr>
        <w:t>(2011) Caractérisation d’un Système Lagunaire en Zone Tropicale : Cas du lac Nokoué (Bénin). European Journal of Scientific Research, EuroJournals, 2011, 56 (4), pp.516-528. &lt;hal-00654657&gt;.</w:t>
      </w:r>
    </w:p>
    <w:p w14:paraId="7C076EF0" w14:textId="77777777" w:rsidR="008C1E90" w:rsidRPr="00A9330B" w:rsidRDefault="008C1E90" w:rsidP="008C1E90">
      <w:pPr>
        <w:spacing w:before="60" w:line="240" w:lineRule="auto"/>
        <w:jc w:val="both"/>
        <w:rPr>
          <w:rFonts w:cs="Arial"/>
          <w:sz w:val="20"/>
          <w:szCs w:val="20"/>
        </w:rPr>
      </w:pPr>
      <w:r w:rsidRPr="00A9330B">
        <w:rPr>
          <w:rFonts w:cs="Arial"/>
          <w:sz w:val="20"/>
          <w:szCs w:val="20"/>
        </w:rPr>
        <w:t>Diogo A. (2013) : Microfinance et impact sur les femmes. Conférence annuelle 2011. : Protection de la Nature en Afrique de l’Ouest. Une Liste Rouge pour le Bénin.</w:t>
      </w:r>
    </w:p>
    <w:p w14:paraId="4437E90B" w14:textId="77777777" w:rsidR="008C1E90" w:rsidRPr="00A9330B" w:rsidRDefault="008C1E90" w:rsidP="008C1E90">
      <w:pPr>
        <w:spacing w:before="60" w:line="240" w:lineRule="auto"/>
        <w:jc w:val="both"/>
        <w:rPr>
          <w:rFonts w:cs="Arial"/>
          <w:sz w:val="20"/>
          <w:szCs w:val="20"/>
        </w:rPr>
      </w:pPr>
      <w:r w:rsidRPr="00A9330B">
        <w:rPr>
          <w:rFonts w:cs="Arial"/>
          <w:sz w:val="20"/>
          <w:szCs w:val="20"/>
        </w:rPr>
        <w:lastRenderedPageBreak/>
        <w:t xml:space="preserve">Djagoun C.A.M.S., Akpona H.A. &amp; Daouda I.A. (2011C) : Petits Carnivores. In Neuenschwander P. </w:t>
      </w:r>
      <w:r w:rsidRPr="00A9330B">
        <w:rPr>
          <w:rFonts w:cs="Arial"/>
          <w:i/>
          <w:sz w:val="20"/>
          <w:szCs w:val="20"/>
        </w:rPr>
        <w:t>et al.</w:t>
      </w:r>
      <w:r w:rsidRPr="00A9330B">
        <w:rPr>
          <w:rFonts w:cs="Arial"/>
          <w:sz w:val="20"/>
          <w:szCs w:val="20"/>
        </w:rPr>
        <w:t xml:space="preserve"> : Protection de la Nature en Afrique de l’Ouest. Une Liste Rouge pour le Bénin.</w:t>
      </w:r>
    </w:p>
    <w:p w14:paraId="2FF42E94" w14:textId="77777777" w:rsidR="008C1E90" w:rsidRPr="00A9330B" w:rsidRDefault="008C1E90" w:rsidP="008C1E90">
      <w:pPr>
        <w:spacing w:before="60" w:line="240" w:lineRule="auto"/>
        <w:jc w:val="both"/>
        <w:rPr>
          <w:rFonts w:cs="Arial"/>
          <w:sz w:val="20"/>
          <w:szCs w:val="20"/>
        </w:rPr>
      </w:pPr>
      <w:r w:rsidRPr="00A9330B">
        <w:rPr>
          <w:rFonts w:cs="Arial"/>
          <w:sz w:val="20"/>
          <w:szCs w:val="20"/>
        </w:rPr>
        <w:t xml:space="preserve">Djossa B.A. &amp; Kassa B. (2011) : Antilopes. In Neuenschwander P. </w:t>
      </w:r>
      <w:r w:rsidRPr="00A9330B">
        <w:rPr>
          <w:rFonts w:cs="Arial"/>
          <w:i/>
          <w:sz w:val="20"/>
          <w:szCs w:val="20"/>
        </w:rPr>
        <w:t>et al</w:t>
      </w:r>
      <w:r w:rsidRPr="00A9330B">
        <w:rPr>
          <w:rFonts w:cs="Arial"/>
          <w:sz w:val="20"/>
          <w:szCs w:val="20"/>
        </w:rPr>
        <w:t xml:space="preserve"> : Protection de la Nature en Afrique de l’Ouest. Une Liste Rouge pour le Bénin.</w:t>
      </w:r>
    </w:p>
    <w:p w14:paraId="45ABA69A" w14:textId="77777777" w:rsidR="008C1E90" w:rsidRPr="00A9330B" w:rsidRDefault="008C1E90" w:rsidP="008C1E90">
      <w:pPr>
        <w:spacing w:before="60" w:line="240" w:lineRule="auto"/>
        <w:jc w:val="both"/>
        <w:rPr>
          <w:rFonts w:cs="Arial"/>
          <w:sz w:val="20"/>
          <w:szCs w:val="20"/>
        </w:rPr>
      </w:pPr>
      <w:r w:rsidRPr="00A9330B">
        <w:rPr>
          <w:rFonts w:cs="Arial"/>
          <w:sz w:val="20"/>
          <w:szCs w:val="20"/>
        </w:rPr>
        <w:t xml:space="preserve">Dodman T. </w:t>
      </w:r>
      <w:r w:rsidRPr="00A9330B">
        <w:rPr>
          <w:rFonts w:cs="Arial"/>
          <w:i/>
          <w:sz w:val="20"/>
          <w:szCs w:val="20"/>
        </w:rPr>
        <w:t>et al</w:t>
      </w:r>
      <w:r w:rsidRPr="00A9330B">
        <w:rPr>
          <w:rFonts w:cs="Arial"/>
          <w:sz w:val="20"/>
          <w:szCs w:val="20"/>
        </w:rPr>
        <w:t>. (1997) : African waterfowl census 1997. Wetlands International.</w:t>
      </w:r>
    </w:p>
    <w:p w14:paraId="65233CAE" w14:textId="77777777" w:rsidR="008C1E90" w:rsidRPr="00A9330B" w:rsidRDefault="008C1E90" w:rsidP="008C1E90">
      <w:pPr>
        <w:spacing w:before="60" w:line="240" w:lineRule="auto"/>
        <w:jc w:val="both"/>
        <w:rPr>
          <w:rFonts w:cs="Arial"/>
          <w:sz w:val="20"/>
          <w:szCs w:val="20"/>
        </w:rPr>
      </w:pPr>
      <w:r w:rsidRPr="00A9330B">
        <w:rPr>
          <w:rFonts w:cs="Arial"/>
          <w:sz w:val="20"/>
          <w:szCs w:val="20"/>
        </w:rPr>
        <w:t>Dossou-Bodjrenou J.S. (2001) : Espèces de tortues marines et sites d’intérêt pour leur conservation. Rapport PAZH, Cotonou.</w:t>
      </w:r>
    </w:p>
    <w:p w14:paraId="13DBDE24" w14:textId="77777777" w:rsidR="008C1E90" w:rsidRPr="00A9330B" w:rsidRDefault="008C1E90" w:rsidP="008C1E90">
      <w:pPr>
        <w:spacing w:before="60" w:line="240" w:lineRule="auto"/>
        <w:jc w:val="both"/>
        <w:rPr>
          <w:rFonts w:cs="Arial"/>
          <w:sz w:val="20"/>
          <w:szCs w:val="20"/>
        </w:rPr>
      </w:pPr>
      <w:r w:rsidRPr="00A9330B">
        <w:rPr>
          <w:rFonts w:cs="Arial"/>
          <w:sz w:val="20"/>
          <w:szCs w:val="20"/>
        </w:rPr>
        <w:t xml:space="preserve">Dossa S.. et Dossou-Bodjrenou J. (2011) : Tortues marines. In : Neuenschwander P. </w:t>
      </w:r>
      <w:r w:rsidRPr="00A9330B">
        <w:rPr>
          <w:rFonts w:cs="Arial"/>
          <w:i/>
          <w:sz w:val="20"/>
          <w:szCs w:val="20"/>
        </w:rPr>
        <w:t>et al.</w:t>
      </w:r>
      <w:r w:rsidRPr="00A9330B">
        <w:rPr>
          <w:rFonts w:cs="Arial"/>
          <w:sz w:val="20"/>
          <w:szCs w:val="20"/>
        </w:rPr>
        <w:t xml:space="preserve"> : Protection de la Nature en Afrique de l’Ouest. Une Liste Rouge pour le Bénin.</w:t>
      </w:r>
    </w:p>
    <w:p w14:paraId="74E5D960" w14:textId="77777777" w:rsidR="008C1E90" w:rsidRPr="00A9330B" w:rsidRDefault="008C1E90" w:rsidP="008C1E90">
      <w:pPr>
        <w:spacing w:before="60" w:line="240" w:lineRule="auto"/>
        <w:jc w:val="both"/>
        <w:rPr>
          <w:rFonts w:cs="Arial"/>
          <w:sz w:val="20"/>
          <w:szCs w:val="20"/>
        </w:rPr>
      </w:pPr>
      <w:r w:rsidRPr="00A9330B">
        <w:rPr>
          <w:rFonts w:cs="Arial"/>
          <w:sz w:val="20"/>
          <w:szCs w:val="20"/>
        </w:rPr>
        <w:t>Dossou-Bodjrenou, Sohou Z. &amp; Sagbo P. (2011) : Lamantin de l’Afrique de l’Ouest. In Neuenschwander P. et al. : Protection de la Nature en Afrique de l’Ouest. Une Liste Rouge pour le Bénin.</w:t>
      </w:r>
    </w:p>
    <w:p w14:paraId="30D130F6" w14:textId="77777777" w:rsidR="008C1E90" w:rsidRPr="00A9330B" w:rsidRDefault="008C1E90" w:rsidP="008C1E90">
      <w:pPr>
        <w:spacing w:before="60" w:line="240" w:lineRule="auto"/>
        <w:jc w:val="both"/>
        <w:rPr>
          <w:rFonts w:cs="Arial"/>
          <w:sz w:val="20"/>
          <w:szCs w:val="20"/>
        </w:rPr>
      </w:pPr>
      <w:r w:rsidRPr="00A9330B">
        <w:rPr>
          <w:rFonts w:cs="Arial"/>
          <w:sz w:val="20"/>
          <w:szCs w:val="20"/>
        </w:rPr>
        <w:t>Houinsa D.G. (2013) : Rapport final de l’Étude. Bilan de la contribution des femmes aux ressources des ménages. INPF/DANIDA.</w:t>
      </w:r>
    </w:p>
    <w:p w14:paraId="64501539" w14:textId="77777777" w:rsidR="008C1E90" w:rsidRPr="00A9330B" w:rsidRDefault="008C1E90" w:rsidP="008C1E90">
      <w:pPr>
        <w:spacing w:before="60" w:line="240" w:lineRule="auto"/>
        <w:jc w:val="both"/>
        <w:rPr>
          <w:rFonts w:cs="Arial"/>
          <w:sz w:val="20"/>
          <w:szCs w:val="20"/>
        </w:rPr>
      </w:pPr>
      <w:r w:rsidRPr="00A9330B">
        <w:rPr>
          <w:rFonts w:cs="Arial"/>
          <w:sz w:val="20"/>
          <w:szCs w:val="20"/>
        </w:rPr>
        <w:t>Houinsa D.G. (2008) : Le Livre Blanc : Femmes du Bénin au cœur de la dynamique du changement sociale. Fondation Friedrich Ebert Stiftung.</w:t>
      </w:r>
    </w:p>
    <w:p w14:paraId="6F4B0CF6" w14:textId="77777777" w:rsidR="008C1E90" w:rsidRPr="00A9330B" w:rsidRDefault="008C1E90" w:rsidP="008C1E90">
      <w:pPr>
        <w:spacing w:before="60" w:line="240" w:lineRule="auto"/>
        <w:jc w:val="both"/>
        <w:rPr>
          <w:rFonts w:cs="Arial"/>
          <w:sz w:val="20"/>
          <w:szCs w:val="20"/>
        </w:rPr>
      </w:pPr>
      <w:r w:rsidRPr="00A9330B">
        <w:rPr>
          <w:rFonts w:cs="Arial"/>
          <w:sz w:val="20"/>
          <w:szCs w:val="20"/>
        </w:rPr>
        <w:t>FAO (2017) : Évaluation de la situation du genre dans le secteur de l’agriculture, du développement rural et de la mise en œuvre du PNIA au Bénin (2011-2016).</w:t>
      </w:r>
    </w:p>
    <w:p w14:paraId="2D3D30BB" w14:textId="77777777" w:rsidR="008C1E90" w:rsidRPr="00A9330B" w:rsidRDefault="008C1E90" w:rsidP="008C1E90">
      <w:pPr>
        <w:spacing w:before="60" w:line="240" w:lineRule="auto"/>
        <w:jc w:val="both"/>
        <w:rPr>
          <w:rFonts w:cs="Arial"/>
          <w:sz w:val="20"/>
          <w:szCs w:val="20"/>
        </w:rPr>
      </w:pPr>
      <w:r w:rsidRPr="00A9330B">
        <w:rPr>
          <w:rFonts w:cs="Arial"/>
          <w:sz w:val="20"/>
          <w:szCs w:val="20"/>
        </w:rPr>
        <w:t>FAO (2008) : Profils des pêches et de l’aquaculture par pays : vue générale du secteur des pêches nationales, Bénin, 41 p.</w:t>
      </w:r>
    </w:p>
    <w:p w14:paraId="1F83370C" w14:textId="77777777" w:rsidR="008C1E90" w:rsidRPr="00A9330B" w:rsidRDefault="008C1E90" w:rsidP="008C1E90">
      <w:pPr>
        <w:spacing w:before="60" w:line="240" w:lineRule="auto"/>
        <w:jc w:val="both"/>
        <w:rPr>
          <w:rFonts w:cs="Arial"/>
          <w:sz w:val="20"/>
          <w:szCs w:val="20"/>
        </w:rPr>
      </w:pPr>
      <w:r w:rsidRPr="00A9330B">
        <w:rPr>
          <w:rFonts w:cs="Arial"/>
          <w:sz w:val="20"/>
          <w:szCs w:val="20"/>
        </w:rPr>
        <w:t>Fishner Cardot (2015) : Rapport d'étude de faisabilité sur le système de distribution.</w:t>
      </w:r>
    </w:p>
    <w:p w14:paraId="07E39B48" w14:textId="77777777" w:rsidR="008C1E90" w:rsidRPr="00A9330B" w:rsidRDefault="008C1E90" w:rsidP="008C1E90">
      <w:pPr>
        <w:spacing w:before="60" w:line="240" w:lineRule="auto"/>
        <w:jc w:val="both"/>
        <w:rPr>
          <w:rFonts w:cs="Arial"/>
          <w:sz w:val="20"/>
          <w:szCs w:val="20"/>
        </w:rPr>
      </w:pPr>
      <w:r w:rsidRPr="00A9330B">
        <w:rPr>
          <w:rFonts w:cs="Arial"/>
          <w:sz w:val="20"/>
          <w:szCs w:val="20"/>
        </w:rPr>
        <w:t>Global Gender Gap (2015) : Country Profile Bénin 2015.</w:t>
      </w:r>
    </w:p>
    <w:p w14:paraId="41C8DD6B" w14:textId="77777777" w:rsidR="008C1E90" w:rsidRPr="00A9330B" w:rsidRDefault="008C1E90" w:rsidP="008C1E90">
      <w:pPr>
        <w:spacing w:before="60" w:line="240" w:lineRule="auto"/>
        <w:jc w:val="both"/>
        <w:rPr>
          <w:rFonts w:cs="Arial"/>
          <w:sz w:val="20"/>
          <w:szCs w:val="20"/>
        </w:rPr>
      </w:pPr>
      <w:r w:rsidRPr="00A9330B">
        <w:rPr>
          <w:rFonts w:cs="Arial"/>
          <w:sz w:val="20"/>
          <w:szCs w:val="20"/>
        </w:rPr>
        <w:t xml:space="preserve">Gnanglé </w:t>
      </w:r>
      <w:r w:rsidRPr="00A9330B">
        <w:rPr>
          <w:rFonts w:cs="Arial"/>
          <w:i/>
          <w:sz w:val="20"/>
          <w:szCs w:val="20"/>
        </w:rPr>
        <w:t>et al.</w:t>
      </w:r>
      <w:r w:rsidRPr="00A9330B">
        <w:rPr>
          <w:rFonts w:cs="Arial"/>
          <w:sz w:val="20"/>
          <w:szCs w:val="20"/>
        </w:rPr>
        <w:t xml:space="preserve"> (2011) : Tendances climatiques passées, modélisation, perception et adaptation locales au Bénin.</w:t>
      </w:r>
    </w:p>
    <w:p w14:paraId="51E3178E" w14:textId="77777777" w:rsidR="008C1E90" w:rsidRPr="00A9330B" w:rsidRDefault="008C1E90" w:rsidP="008C1E90">
      <w:pPr>
        <w:spacing w:before="60" w:line="240" w:lineRule="auto"/>
        <w:jc w:val="both"/>
        <w:rPr>
          <w:rFonts w:cs="Arial"/>
          <w:sz w:val="20"/>
          <w:szCs w:val="20"/>
        </w:rPr>
      </w:pPr>
      <w:r w:rsidRPr="00A9330B">
        <w:rPr>
          <w:rFonts w:cs="Arial"/>
          <w:sz w:val="20"/>
          <w:szCs w:val="20"/>
        </w:rPr>
        <w:t>Hunyet O. (2013) : Rapport de l’étude d’inventaire de la biodiversité des forêts sacrées des sites Ram-sar 1017 et 2018 du Bénin. Organisation Internationale des Bois Tropicaux.</w:t>
      </w:r>
    </w:p>
    <w:p w14:paraId="100B7995" w14:textId="77777777" w:rsidR="008C1E90" w:rsidRPr="00A9330B" w:rsidRDefault="008C1E90" w:rsidP="008C1E90">
      <w:pPr>
        <w:spacing w:before="60" w:line="240" w:lineRule="auto"/>
        <w:jc w:val="both"/>
        <w:rPr>
          <w:rFonts w:cs="Arial"/>
          <w:sz w:val="20"/>
          <w:szCs w:val="20"/>
        </w:rPr>
      </w:pPr>
      <w:r w:rsidRPr="00A9330B">
        <w:rPr>
          <w:rFonts w:cs="Arial"/>
          <w:sz w:val="20"/>
          <w:szCs w:val="20"/>
        </w:rPr>
        <w:t>INSAE (2016 A) : Cahier villages et quartiers de ville de l’Ouémé.</w:t>
      </w:r>
    </w:p>
    <w:p w14:paraId="2343F830" w14:textId="77777777" w:rsidR="008C1E90" w:rsidRPr="00A9330B" w:rsidRDefault="008C1E90" w:rsidP="008C1E90">
      <w:pPr>
        <w:spacing w:before="60" w:line="240" w:lineRule="auto"/>
        <w:jc w:val="both"/>
        <w:rPr>
          <w:rFonts w:cs="Arial"/>
          <w:sz w:val="20"/>
          <w:szCs w:val="20"/>
        </w:rPr>
      </w:pPr>
      <w:r w:rsidRPr="00A9330B">
        <w:rPr>
          <w:rFonts w:cs="Arial"/>
          <w:sz w:val="20"/>
          <w:szCs w:val="20"/>
        </w:rPr>
        <w:t>INSAE (2016 B) : Cahier villages et quartiers de ville Littoral.</w:t>
      </w:r>
    </w:p>
    <w:p w14:paraId="0194FF9D" w14:textId="77777777" w:rsidR="008C1E90" w:rsidRPr="00A9330B" w:rsidRDefault="008C1E90" w:rsidP="008C1E90">
      <w:pPr>
        <w:spacing w:before="60" w:line="240" w:lineRule="auto"/>
        <w:jc w:val="both"/>
        <w:rPr>
          <w:rFonts w:cs="Arial"/>
          <w:sz w:val="20"/>
          <w:szCs w:val="20"/>
        </w:rPr>
      </w:pPr>
      <w:r w:rsidRPr="00A9330B">
        <w:rPr>
          <w:rFonts w:cs="Arial"/>
          <w:sz w:val="20"/>
          <w:szCs w:val="20"/>
        </w:rPr>
        <w:t>INSAE (2016 C) : Principaux indicateurs socio-économiques des 12 départements (RPGH4-2013).</w:t>
      </w:r>
    </w:p>
    <w:p w14:paraId="4C1EEA06" w14:textId="77777777" w:rsidR="008C1E90" w:rsidRPr="00A9330B" w:rsidRDefault="008C1E90" w:rsidP="008C1E90">
      <w:pPr>
        <w:spacing w:before="60" w:line="240" w:lineRule="auto"/>
        <w:jc w:val="both"/>
        <w:rPr>
          <w:rFonts w:cs="Arial"/>
          <w:sz w:val="20"/>
          <w:szCs w:val="20"/>
        </w:rPr>
      </w:pPr>
      <w:r w:rsidRPr="00A9330B">
        <w:rPr>
          <w:rFonts w:cs="Arial"/>
          <w:sz w:val="20"/>
          <w:szCs w:val="20"/>
        </w:rPr>
        <w:t>INSAE (2015 A) : UCF-MCA-Bénin II. Enquête sur la consommation d’électricité au Bénin : Rapport ménage.</w:t>
      </w:r>
    </w:p>
    <w:p w14:paraId="5904C6AA" w14:textId="77777777" w:rsidR="008C1E90" w:rsidRPr="00A9330B" w:rsidRDefault="008C1E90" w:rsidP="008C1E90">
      <w:pPr>
        <w:spacing w:before="60" w:line="240" w:lineRule="auto"/>
        <w:jc w:val="both"/>
        <w:rPr>
          <w:rFonts w:cs="Arial"/>
          <w:sz w:val="20"/>
          <w:szCs w:val="20"/>
        </w:rPr>
      </w:pPr>
      <w:r w:rsidRPr="00A9330B">
        <w:rPr>
          <w:rFonts w:cs="Arial"/>
          <w:sz w:val="20"/>
          <w:szCs w:val="20"/>
        </w:rPr>
        <w:t>INSAE (2015 B) : RPGH 2013 : Que retenir des effectifs de la population en 2013?</w:t>
      </w:r>
    </w:p>
    <w:p w14:paraId="27464EF0" w14:textId="77777777" w:rsidR="008C1E90" w:rsidRPr="00A9330B" w:rsidRDefault="008C1E90" w:rsidP="008C1E90">
      <w:pPr>
        <w:spacing w:before="60" w:line="240" w:lineRule="auto"/>
        <w:jc w:val="both"/>
        <w:rPr>
          <w:rFonts w:cs="Arial"/>
          <w:sz w:val="20"/>
          <w:szCs w:val="20"/>
        </w:rPr>
      </w:pPr>
      <w:r w:rsidRPr="00A9330B">
        <w:rPr>
          <w:rFonts w:cs="Arial"/>
          <w:sz w:val="20"/>
          <w:szCs w:val="20"/>
        </w:rPr>
        <w:t>INSAE (2015 C) : Note sur la pauvreté au Bénin en 2015.</w:t>
      </w:r>
    </w:p>
    <w:p w14:paraId="4F4F053C" w14:textId="77777777" w:rsidR="008C1E90" w:rsidRPr="00A9330B" w:rsidRDefault="008C1E90" w:rsidP="008C1E90">
      <w:pPr>
        <w:spacing w:before="60" w:line="240" w:lineRule="auto"/>
        <w:jc w:val="both"/>
        <w:rPr>
          <w:rFonts w:cs="Arial"/>
          <w:sz w:val="20"/>
          <w:szCs w:val="20"/>
        </w:rPr>
      </w:pPr>
      <w:r w:rsidRPr="00A9330B">
        <w:rPr>
          <w:rFonts w:cs="Arial"/>
          <w:sz w:val="20"/>
          <w:szCs w:val="20"/>
        </w:rPr>
        <w:t>INSAE (2013) : Enquête démographique et de santé 2011-2012.</w:t>
      </w:r>
    </w:p>
    <w:p w14:paraId="2588A38B" w14:textId="77777777" w:rsidR="008C1E90" w:rsidRPr="00A9330B" w:rsidRDefault="008C1E90" w:rsidP="008C1E90">
      <w:pPr>
        <w:spacing w:before="60" w:line="240" w:lineRule="auto"/>
        <w:jc w:val="both"/>
        <w:rPr>
          <w:rFonts w:cs="Arial"/>
          <w:sz w:val="20"/>
          <w:szCs w:val="20"/>
        </w:rPr>
      </w:pPr>
      <w:r w:rsidRPr="00A9330B">
        <w:rPr>
          <w:rFonts w:cs="Arial"/>
          <w:sz w:val="20"/>
          <w:szCs w:val="20"/>
        </w:rPr>
        <w:t>INSAE (2016 D) : Enquête modulaire intégrée sur les conditions de vie des ménages 2ème édition (EMICOV - 2015 : Rapport d’analyse du volet emploi du temps).</w:t>
      </w:r>
    </w:p>
    <w:p w14:paraId="05F6CFAF" w14:textId="77777777" w:rsidR="008C1E90" w:rsidRPr="00A9330B" w:rsidRDefault="008C1E90" w:rsidP="008C1E90">
      <w:pPr>
        <w:spacing w:before="60" w:line="240" w:lineRule="auto"/>
        <w:jc w:val="both"/>
        <w:rPr>
          <w:rFonts w:cs="Arial"/>
          <w:sz w:val="20"/>
          <w:szCs w:val="20"/>
        </w:rPr>
      </w:pPr>
      <w:r w:rsidRPr="00A9330B">
        <w:rPr>
          <w:rFonts w:cs="Arial"/>
          <w:sz w:val="20"/>
          <w:szCs w:val="20"/>
        </w:rPr>
        <w:t>Institut National de Promotion de la Femme et Direction du Développement et de la Coopération, Suisse (2013) : Rapport final sur l’Étude des relations Homme et Femme et leur impact sur la vie sociale au Bénin.</w:t>
      </w:r>
    </w:p>
    <w:p w14:paraId="688A2B49" w14:textId="77777777" w:rsidR="008C1E90" w:rsidRPr="00A9330B" w:rsidRDefault="008C1E90" w:rsidP="008C1E90">
      <w:pPr>
        <w:spacing w:before="60" w:line="240" w:lineRule="auto"/>
        <w:jc w:val="both"/>
        <w:rPr>
          <w:rFonts w:cs="Arial"/>
          <w:sz w:val="20"/>
          <w:szCs w:val="20"/>
        </w:rPr>
      </w:pPr>
      <w:r w:rsidRPr="00A9330B">
        <w:rPr>
          <w:rFonts w:cs="Arial"/>
          <w:sz w:val="20"/>
          <w:szCs w:val="20"/>
        </w:rPr>
        <w:t xml:space="preserve">Kpéra G.N., Mensah G.A. et Sinsin B. (2011) : Crocodiles. In : Neuenschwander P. </w:t>
      </w:r>
      <w:r w:rsidRPr="00A9330B">
        <w:rPr>
          <w:rFonts w:cs="Arial"/>
          <w:i/>
          <w:sz w:val="20"/>
          <w:szCs w:val="20"/>
        </w:rPr>
        <w:t>et al</w:t>
      </w:r>
      <w:r w:rsidRPr="00A9330B">
        <w:rPr>
          <w:rFonts w:cs="Arial"/>
          <w:sz w:val="20"/>
          <w:szCs w:val="20"/>
        </w:rPr>
        <w:t>. : Protection de la Nature en Afrique de l’Ouest. Une Liste Rouge pour le Bénin.</w:t>
      </w:r>
    </w:p>
    <w:p w14:paraId="17AB9100" w14:textId="77777777" w:rsidR="008C1E90" w:rsidRPr="00A9330B" w:rsidRDefault="008C1E90" w:rsidP="008C1E90">
      <w:pPr>
        <w:spacing w:before="60" w:line="240" w:lineRule="auto"/>
        <w:jc w:val="both"/>
        <w:rPr>
          <w:rFonts w:cs="Arial"/>
          <w:sz w:val="20"/>
          <w:szCs w:val="20"/>
        </w:rPr>
      </w:pPr>
      <w:r w:rsidRPr="00A9330B">
        <w:rPr>
          <w:rFonts w:cs="Arial"/>
          <w:sz w:val="20"/>
          <w:szCs w:val="20"/>
        </w:rPr>
        <w:t>Lokossou C. (2012) : Cadastre et inondations cycliques dans la ville de Cotonou, mémoire de DEA, UAC, Cotonou, Bénin, 78 p.</w:t>
      </w:r>
    </w:p>
    <w:p w14:paraId="2BE65BAF" w14:textId="77777777" w:rsidR="008C1E90" w:rsidRPr="00A9330B" w:rsidRDefault="008C1E90" w:rsidP="008C1E90">
      <w:pPr>
        <w:spacing w:before="60" w:line="240" w:lineRule="auto"/>
        <w:jc w:val="both"/>
        <w:rPr>
          <w:rFonts w:cs="Arial"/>
          <w:sz w:val="20"/>
          <w:szCs w:val="20"/>
        </w:rPr>
      </w:pPr>
      <w:r w:rsidRPr="00A9330B">
        <w:rPr>
          <w:rFonts w:cs="Arial"/>
          <w:sz w:val="20"/>
          <w:szCs w:val="20"/>
        </w:rPr>
        <w:t>Lougbégnon T.O. &amp; Libois R.M. (2011) : Oiseaux. In : Neuenschwander P. et al. Protection de la Nature en Afrique de l’Ouest. Une Liste Rouge pour le Bénin.</w:t>
      </w:r>
    </w:p>
    <w:p w14:paraId="3F580245" w14:textId="77777777" w:rsidR="008C1E90" w:rsidRPr="00A9330B" w:rsidRDefault="008C1E90" w:rsidP="008C1E90">
      <w:pPr>
        <w:spacing w:before="60" w:line="240" w:lineRule="auto"/>
        <w:jc w:val="both"/>
        <w:rPr>
          <w:rFonts w:cs="Arial"/>
          <w:sz w:val="20"/>
          <w:szCs w:val="20"/>
        </w:rPr>
      </w:pPr>
      <w:r w:rsidRPr="00A9330B">
        <w:rPr>
          <w:rFonts w:cs="Arial"/>
          <w:sz w:val="20"/>
          <w:szCs w:val="20"/>
        </w:rPr>
        <w:t>Mairie de Natitingou, Direction des Services Techniques (2013) : Élaboration du plan directeur d'urbanisme de Cotonou - Rapport diagnostic thématique : patrimoine historique et touristique – Espace 202. SCP.</w:t>
      </w:r>
    </w:p>
    <w:p w14:paraId="2E5BE5A9" w14:textId="77777777" w:rsidR="008C1E90" w:rsidRPr="00A9330B" w:rsidRDefault="008C1E90" w:rsidP="008C1E90">
      <w:pPr>
        <w:spacing w:before="60" w:line="240" w:lineRule="auto"/>
        <w:jc w:val="both"/>
        <w:rPr>
          <w:rFonts w:cs="Arial"/>
          <w:sz w:val="20"/>
          <w:szCs w:val="20"/>
        </w:rPr>
      </w:pPr>
      <w:r w:rsidRPr="00A9330B">
        <w:rPr>
          <w:rFonts w:cs="Arial"/>
          <w:sz w:val="20"/>
          <w:szCs w:val="20"/>
        </w:rPr>
        <w:t>Millenium Challenge Account, Benin (2017) : Plan d’engagement avec les parties prenantes.</w:t>
      </w:r>
    </w:p>
    <w:p w14:paraId="16866102" w14:textId="77777777" w:rsidR="008C1E90" w:rsidRPr="00A9330B" w:rsidRDefault="008C1E90" w:rsidP="008C1E90">
      <w:pPr>
        <w:spacing w:before="60" w:line="240" w:lineRule="auto"/>
        <w:jc w:val="both"/>
        <w:rPr>
          <w:rFonts w:cs="Arial"/>
          <w:sz w:val="20"/>
          <w:szCs w:val="20"/>
        </w:rPr>
      </w:pPr>
      <w:r w:rsidRPr="00A9330B">
        <w:rPr>
          <w:rFonts w:cs="Arial"/>
          <w:sz w:val="20"/>
          <w:szCs w:val="20"/>
        </w:rPr>
        <w:t>Millennium Challenge Account (2011) : Gender Policy.</w:t>
      </w:r>
    </w:p>
    <w:p w14:paraId="3C4450AF" w14:textId="77777777" w:rsidR="008C1E90" w:rsidRPr="00A9330B" w:rsidRDefault="008C1E90" w:rsidP="008C1E90">
      <w:pPr>
        <w:spacing w:before="60" w:line="240" w:lineRule="auto"/>
        <w:jc w:val="both"/>
        <w:rPr>
          <w:rFonts w:cs="Arial"/>
          <w:sz w:val="20"/>
          <w:szCs w:val="20"/>
        </w:rPr>
      </w:pPr>
      <w:r w:rsidRPr="00A9330B">
        <w:rPr>
          <w:rFonts w:cs="Arial"/>
          <w:sz w:val="20"/>
          <w:szCs w:val="20"/>
        </w:rPr>
        <w:t>Millennium Challenge Account (2016) : Plan d’Inclusion Sociale et de Genre.</w:t>
      </w:r>
    </w:p>
    <w:p w14:paraId="23D823F1" w14:textId="77777777" w:rsidR="008C1E90" w:rsidRPr="00A9330B" w:rsidRDefault="008C1E90" w:rsidP="008C1E90">
      <w:pPr>
        <w:spacing w:before="60" w:line="240" w:lineRule="auto"/>
        <w:jc w:val="both"/>
        <w:rPr>
          <w:rFonts w:cs="Arial"/>
          <w:sz w:val="20"/>
          <w:szCs w:val="20"/>
        </w:rPr>
      </w:pPr>
      <w:r w:rsidRPr="00A9330B">
        <w:rPr>
          <w:rFonts w:cs="Arial"/>
          <w:sz w:val="20"/>
          <w:szCs w:val="20"/>
        </w:rPr>
        <w:lastRenderedPageBreak/>
        <w:t>Ministère chargé des Relations avec les Institutions, Programme Société Civile et Culture (2010) : Guide de clarification Thématique APPA 2010 : Promotion du Genre.</w:t>
      </w:r>
    </w:p>
    <w:p w14:paraId="35E78A46" w14:textId="77777777" w:rsidR="008C1E90" w:rsidRPr="00A9330B" w:rsidRDefault="008C1E90" w:rsidP="008C1E90">
      <w:pPr>
        <w:spacing w:before="60" w:line="240" w:lineRule="auto"/>
        <w:jc w:val="both"/>
        <w:rPr>
          <w:rFonts w:cs="Arial"/>
          <w:sz w:val="20"/>
          <w:szCs w:val="20"/>
        </w:rPr>
      </w:pPr>
      <w:r w:rsidRPr="00A9330B">
        <w:rPr>
          <w:rFonts w:cs="Arial"/>
          <w:sz w:val="20"/>
          <w:szCs w:val="20"/>
        </w:rPr>
        <w:t>Medegan V.K. (2011) : Étude sur l’intégration des besoins différentiels des femmes en santé. INPF / DANIDA.</w:t>
      </w:r>
    </w:p>
    <w:p w14:paraId="0EB08257" w14:textId="77777777" w:rsidR="008C1E90" w:rsidRPr="00A9330B" w:rsidRDefault="008C1E90" w:rsidP="008C1E90">
      <w:pPr>
        <w:spacing w:before="60" w:line="240" w:lineRule="auto"/>
        <w:jc w:val="both"/>
        <w:rPr>
          <w:rFonts w:cs="Arial"/>
          <w:sz w:val="20"/>
          <w:szCs w:val="20"/>
        </w:rPr>
      </w:pPr>
      <w:r w:rsidRPr="00A9330B">
        <w:rPr>
          <w:rFonts w:cs="Arial"/>
          <w:sz w:val="20"/>
          <w:szCs w:val="20"/>
        </w:rPr>
        <w:t>Ministère de la Décentralisation, de la Gouvernance Locale, de l’Administration et de l’Aménagement du Territoire - Projet de Services Décentralisés Conduits par les Communautés (PSDCC) (2015) : Rapport Enquête PMT, Répartition par critère des bénéficiaires des transferts sociaux inconditionnels du programme pilote de filets sociaux.</w:t>
      </w:r>
    </w:p>
    <w:p w14:paraId="2484EE18" w14:textId="77777777" w:rsidR="008C1E90" w:rsidRPr="00A9330B" w:rsidRDefault="008C1E90" w:rsidP="008C1E90">
      <w:pPr>
        <w:spacing w:before="60" w:line="240" w:lineRule="auto"/>
        <w:jc w:val="both"/>
        <w:rPr>
          <w:rFonts w:cs="Arial"/>
          <w:sz w:val="20"/>
          <w:szCs w:val="20"/>
        </w:rPr>
      </w:pPr>
      <w:r w:rsidRPr="00A9330B">
        <w:rPr>
          <w:rFonts w:cs="Arial"/>
          <w:sz w:val="20"/>
          <w:szCs w:val="20"/>
        </w:rPr>
        <w:t>Ministère de la Décentralisation, de la Gouvernance Locale, de l’Administration et de l’Aménagement du Territoire - Projet de Services Décentralisés Conduits par les Communautés (PSDCC) (2017) : Rapport Enquête PMT, Base de données C11 et C12 : cohortes d’infrastructures réalisées au niveau des communautés.</w:t>
      </w:r>
    </w:p>
    <w:p w14:paraId="1AAEC1D3" w14:textId="77777777" w:rsidR="008C1E90" w:rsidRPr="00A9330B" w:rsidRDefault="008C1E90" w:rsidP="008C1E90">
      <w:pPr>
        <w:spacing w:before="60" w:line="240" w:lineRule="auto"/>
        <w:jc w:val="both"/>
        <w:rPr>
          <w:rFonts w:cs="Arial"/>
          <w:sz w:val="20"/>
          <w:szCs w:val="20"/>
        </w:rPr>
      </w:pPr>
      <w:r w:rsidRPr="00A9330B">
        <w:rPr>
          <w:rFonts w:cs="Arial"/>
          <w:sz w:val="20"/>
          <w:szCs w:val="20"/>
        </w:rPr>
        <w:t>Ministère de l’Environnement chargé de la gestion des Changements Climatiques, du Reboisement et de la Protection des ressources naturelles (2011) : Stratégie et Plan d’Action pour la Biodiversité 2011 - 2020. Cotonou.</w:t>
      </w:r>
    </w:p>
    <w:p w14:paraId="3D4E6A7C" w14:textId="77777777" w:rsidR="008C1E90" w:rsidRPr="00A9330B" w:rsidRDefault="008C1E90" w:rsidP="008C1E90">
      <w:pPr>
        <w:spacing w:before="60" w:line="240" w:lineRule="auto"/>
        <w:jc w:val="both"/>
        <w:rPr>
          <w:rFonts w:cs="Arial"/>
          <w:sz w:val="20"/>
          <w:szCs w:val="20"/>
        </w:rPr>
      </w:pPr>
      <w:r w:rsidRPr="00A9330B">
        <w:rPr>
          <w:rFonts w:cs="Arial"/>
          <w:sz w:val="20"/>
          <w:szCs w:val="20"/>
        </w:rPr>
        <w:t xml:space="preserve">MEPN (2008) : Programme d’action national d’adaptation aux changements climatiques du Bénin. </w:t>
      </w:r>
    </w:p>
    <w:p w14:paraId="0457DEAF" w14:textId="77777777" w:rsidR="008C1E90" w:rsidRPr="00A9330B" w:rsidRDefault="008C1E90" w:rsidP="008C1E90">
      <w:pPr>
        <w:spacing w:before="60" w:line="240" w:lineRule="auto"/>
        <w:jc w:val="both"/>
        <w:rPr>
          <w:rFonts w:cs="Arial"/>
          <w:sz w:val="20"/>
          <w:szCs w:val="20"/>
        </w:rPr>
      </w:pPr>
      <w:r w:rsidRPr="00A9330B">
        <w:rPr>
          <w:rFonts w:cs="Arial"/>
          <w:sz w:val="20"/>
          <w:szCs w:val="20"/>
        </w:rPr>
        <w:t>MEHU (1999) : Inventaire et diagnostic du schéma directeur d’aménagement du littoral : livre blanc, rapport provisoire, Cotonou, Bénin, 137 p.</w:t>
      </w:r>
    </w:p>
    <w:p w14:paraId="3A068590" w14:textId="77777777" w:rsidR="008C1E90" w:rsidRPr="00A9330B" w:rsidRDefault="008C1E90" w:rsidP="008C1E90">
      <w:pPr>
        <w:spacing w:before="60" w:line="240" w:lineRule="auto"/>
        <w:jc w:val="both"/>
        <w:rPr>
          <w:rFonts w:cs="Arial"/>
          <w:sz w:val="20"/>
          <w:szCs w:val="20"/>
        </w:rPr>
      </w:pPr>
      <w:r w:rsidRPr="00A9330B">
        <w:rPr>
          <w:rFonts w:cs="Arial"/>
          <w:sz w:val="20"/>
          <w:szCs w:val="20"/>
        </w:rPr>
        <w:t>MEHU (2003) : Stratégie Nationale de mise en œuvre au Bénin de la Convention Cadre des Nations Unies sur les Changements Climatiques.</w:t>
      </w:r>
    </w:p>
    <w:p w14:paraId="273EC2AD" w14:textId="77777777" w:rsidR="008C1E90" w:rsidRPr="00A9330B" w:rsidRDefault="008C1E90" w:rsidP="008C1E90">
      <w:pPr>
        <w:spacing w:before="60" w:line="240" w:lineRule="auto"/>
        <w:jc w:val="both"/>
        <w:rPr>
          <w:rFonts w:cs="Arial"/>
          <w:sz w:val="20"/>
          <w:szCs w:val="20"/>
        </w:rPr>
      </w:pPr>
      <w:r w:rsidRPr="00A9330B">
        <w:rPr>
          <w:rFonts w:cs="Arial"/>
          <w:sz w:val="20"/>
          <w:szCs w:val="20"/>
        </w:rPr>
        <w:t>MEHU (2011) : Deuxième communication nationale de République du Bénin sur les changements climatiques. Rapport final, Cotonou, Bénin, 168 p.</w:t>
      </w:r>
    </w:p>
    <w:p w14:paraId="2DBF26C3" w14:textId="77777777" w:rsidR="008C1E90" w:rsidRPr="00A9330B" w:rsidRDefault="008C1E90" w:rsidP="008C1E90">
      <w:pPr>
        <w:spacing w:before="60" w:line="240" w:lineRule="auto"/>
        <w:jc w:val="both"/>
        <w:rPr>
          <w:rFonts w:cs="Arial"/>
          <w:sz w:val="20"/>
          <w:szCs w:val="20"/>
        </w:rPr>
      </w:pPr>
      <w:r w:rsidRPr="00A9330B">
        <w:rPr>
          <w:rFonts w:cs="Arial"/>
          <w:sz w:val="20"/>
          <w:szCs w:val="20"/>
        </w:rPr>
        <w:t>MEMH (1993) : Les ressources en eaux superficielles de la République du Bénin, Collection monographies hydrologiques n°11, Edition ORSTOM, Paris, France, 543 p.</w:t>
      </w:r>
    </w:p>
    <w:p w14:paraId="193EDE5C" w14:textId="77777777" w:rsidR="008C1E90" w:rsidRPr="00A9330B" w:rsidRDefault="008C1E90" w:rsidP="008C1E90">
      <w:pPr>
        <w:spacing w:before="60" w:line="240" w:lineRule="auto"/>
        <w:jc w:val="both"/>
        <w:rPr>
          <w:rFonts w:cs="Arial"/>
          <w:sz w:val="20"/>
          <w:szCs w:val="20"/>
        </w:rPr>
      </w:pPr>
      <w:r w:rsidRPr="00A9330B">
        <w:rPr>
          <w:rFonts w:cs="Arial"/>
          <w:sz w:val="20"/>
          <w:szCs w:val="20"/>
        </w:rPr>
        <w:t>MERPMED, Direction Générale de l’Eau du Bénin (2012) : Carte hydrogéologique du bassin sédimentaire côtier du Bénin au 1/200 000, GIZ, Cotonou, Bénin.</w:t>
      </w:r>
    </w:p>
    <w:p w14:paraId="1BE528E5" w14:textId="77777777" w:rsidR="008C1E90" w:rsidRPr="00A9330B" w:rsidRDefault="008C1E90" w:rsidP="008C1E90">
      <w:pPr>
        <w:spacing w:before="60" w:line="240" w:lineRule="auto"/>
        <w:jc w:val="both"/>
        <w:rPr>
          <w:rFonts w:cs="Arial"/>
          <w:sz w:val="20"/>
          <w:szCs w:val="20"/>
        </w:rPr>
      </w:pPr>
      <w:r w:rsidRPr="00A9330B">
        <w:rPr>
          <w:rFonts w:cs="Arial"/>
          <w:sz w:val="20"/>
          <w:szCs w:val="20"/>
        </w:rPr>
        <w:t>Ministère de la Famille et de la Solidarité Nationale (2009) : Plan d’action national sur la famille (2009-2016).</w:t>
      </w:r>
    </w:p>
    <w:p w14:paraId="415E98E1" w14:textId="77777777" w:rsidR="008C1E90" w:rsidRPr="00A9330B" w:rsidRDefault="008C1E90" w:rsidP="008C1E90">
      <w:pPr>
        <w:spacing w:before="60" w:line="240" w:lineRule="auto"/>
        <w:jc w:val="both"/>
        <w:rPr>
          <w:rFonts w:cs="Arial"/>
          <w:sz w:val="20"/>
          <w:szCs w:val="20"/>
        </w:rPr>
      </w:pPr>
      <w:r w:rsidRPr="00A9330B">
        <w:rPr>
          <w:rFonts w:cs="Arial"/>
          <w:sz w:val="20"/>
          <w:szCs w:val="20"/>
        </w:rPr>
        <w:t>Ministère de la Famille et de la Solidarité Nationale (2008) : Politique Nationale de Promotion du Genre au Bénin.</w:t>
      </w:r>
    </w:p>
    <w:p w14:paraId="651BD8B6" w14:textId="77777777" w:rsidR="008C1E90" w:rsidRPr="00A9330B" w:rsidRDefault="008C1E90" w:rsidP="008C1E90">
      <w:pPr>
        <w:spacing w:before="60" w:line="240" w:lineRule="auto"/>
        <w:jc w:val="both"/>
        <w:rPr>
          <w:rFonts w:cs="Arial"/>
          <w:sz w:val="20"/>
          <w:szCs w:val="20"/>
        </w:rPr>
      </w:pPr>
      <w:r w:rsidRPr="00A9330B">
        <w:rPr>
          <w:rFonts w:cs="Arial"/>
          <w:sz w:val="20"/>
          <w:szCs w:val="20"/>
        </w:rPr>
        <w:t>Ministère du Développement, De l’Analyse Économique et de la Prospective (2012) : Rapport de l’Etude sur la faisabilité d'un programme de transferts sociaux en espèces au Bénin, Version finale.</w:t>
      </w:r>
    </w:p>
    <w:p w14:paraId="7855AA4F" w14:textId="77777777" w:rsidR="008C1E90" w:rsidRPr="00A9330B" w:rsidRDefault="008C1E90" w:rsidP="008C1E90">
      <w:pPr>
        <w:spacing w:before="60" w:line="240" w:lineRule="auto"/>
        <w:jc w:val="both"/>
        <w:rPr>
          <w:rFonts w:cs="Arial"/>
          <w:sz w:val="20"/>
          <w:szCs w:val="20"/>
        </w:rPr>
      </w:pPr>
      <w:r w:rsidRPr="00A9330B">
        <w:rPr>
          <w:rFonts w:cs="Arial"/>
          <w:sz w:val="20"/>
          <w:szCs w:val="20"/>
        </w:rPr>
        <w:t>Ministères de la Famille, des Affaires Sociales, de la Solidarité Nationale, des Handicapés et des Personnes du Troisième Age (2013) : Indicateurs du Développement et des Inégalités entre les Sexes au Bénin (IDISA/Bénin-2011).</w:t>
      </w:r>
    </w:p>
    <w:p w14:paraId="0973A3FF" w14:textId="77777777" w:rsidR="008C1E90" w:rsidRPr="00A9330B" w:rsidRDefault="008C1E90" w:rsidP="008C1E90">
      <w:pPr>
        <w:spacing w:before="60" w:line="240" w:lineRule="auto"/>
        <w:jc w:val="both"/>
        <w:rPr>
          <w:rFonts w:cs="Arial"/>
          <w:sz w:val="20"/>
          <w:szCs w:val="20"/>
        </w:rPr>
      </w:pPr>
      <w:r w:rsidRPr="00A9330B">
        <w:rPr>
          <w:rFonts w:cs="Arial"/>
          <w:sz w:val="20"/>
          <w:szCs w:val="20"/>
        </w:rPr>
        <w:t>Nature Tropicale-ONG (2006) : Réhabilitation et gestion intégrée des ressources des zones Humides dans les vallées de l’Ouémé et du Mono au Benin : plan d’action stratégique pour la gestion rationnelle et communautaire des ressources biologiques et des écosystèmes des sites et des couloirs de migration du lamantin d’Afrique de l’Ouest dans les zones humides du Sud- Bénin, rapport définitif, Cotonou, Bénin, 83 p.</w:t>
      </w:r>
    </w:p>
    <w:p w14:paraId="34671487" w14:textId="77777777" w:rsidR="008C1E90" w:rsidRPr="00A9330B" w:rsidRDefault="008C1E90" w:rsidP="008C1E90">
      <w:pPr>
        <w:spacing w:before="60" w:line="240" w:lineRule="auto"/>
        <w:jc w:val="both"/>
        <w:rPr>
          <w:rFonts w:cs="Arial"/>
          <w:sz w:val="20"/>
          <w:szCs w:val="20"/>
        </w:rPr>
      </w:pPr>
      <w:r w:rsidRPr="00A9330B">
        <w:rPr>
          <w:rFonts w:cs="Arial"/>
          <w:sz w:val="20"/>
          <w:szCs w:val="20"/>
        </w:rPr>
        <w:t xml:space="preserve">Neuenschwander P., Sinsin B. et Goergen G. (2011) : Protection de la Nature en Afrique de l’Ouest : une Liste Rouge pour le Bénin. Eds. International Institute for Tropical Agriculture, Ibadan, Nigéria. </w:t>
      </w:r>
    </w:p>
    <w:p w14:paraId="718B3CEE" w14:textId="77777777" w:rsidR="008C1E90" w:rsidRPr="00A9330B" w:rsidRDefault="008C1E90" w:rsidP="008C1E90">
      <w:pPr>
        <w:spacing w:before="60" w:line="240" w:lineRule="auto"/>
        <w:jc w:val="both"/>
        <w:rPr>
          <w:rFonts w:cs="Arial"/>
          <w:sz w:val="20"/>
          <w:szCs w:val="20"/>
        </w:rPr>
      </w:pPr>
      <w:r w:rsidRPr="00A9330B">
        <w:rPr>
          <w:rFonts w:cs="Arial"/>
          <w:sz w:val="20"/>
          <w:szCs w:val="20"/>
        </w:rPr>
        <w:t xml:space="preserve">Nago G. (2011) : Amphibiens. In Neuenschwander P. </w:t>
      </w:r>
      <w:r w:rsidRPr="00A9330B">
        <w:rPr>
          <w:rFonts w:cs="Arial"/>
          <w:i/>
          <w:sz w:val="20"/>
          <w:szCs w:val="20"/>
        </w:rPr>
        <w:t>et al.</w:t>
      </w:r>
      <w:r w:rsidRPr="00A9330B">
        <w:rPr>
          <w:rFonts w:cs="Arial"/>
          <w:sz w:val="20"/>
          <w:szCs w:val="20"/>
        </w:rPr>
        <w:t xml:space="preserve"> : Protection de la Nature en Afrique de l’Ouest. Une Liste Rouge pour le Bénin.</w:t>
      </w:r>
    </w:p>
    <w:p w14:paraId="05AD7804" w14:textId="77777777" w:rsidR="008C1E90" w:rsidRPr="00A9330B" w:rsidRDefault="008C1E90" w:rsidP="008C1E90">
      <w:pPr>
        <w:spacing w:before="60" w:line="240" w:lineRule="auto"/>
        <w:jc w:val="both"/>
        <w:rPr>
          <w:rFonts w:cs="Arial"/>
          <w:sz w:val="20"/>
          <w:szCs w:val="20"/>
        </w:rPr>
      </w:pPr>
      <w:r w:rsidRPr="00A9330B">
        <w:rPr>
          <w:rFonts w:cs="Arial"/>
          <w:sz w:val="20"/>
          <w:szCs w:val="20"/>
        </w:rPr>
        <w:t>Nature Tropicale (2006) : Réhabilitation et Gestion intégrée des ressources des zones humides dans les vallées de l’Ouémé et du Mono au Bénin. UICN et NT ONG, Cotonou.</w:t>
      </w:r>
    </w:p>
    <w:p w14:paraId="6AE1E72D" w14:textId="77777777" w:rsidR="008C1E90" w:rsidRPr="00A9330B" w:rsidRDefault="008C1E90" w:rsidP="008C1E90">
      <w:pPr>
        <w:spacing w:before="60" w:line="240" w:lineRule="auto"/>
        <w:jc w:val="both"/>
        <w:rPr>
          <w:rFonts w:cs="Arial"/>
          <w:sz w:val="20"/>
          <w:szCs w:val="20"/>
        </w:rPr>
      </w:pPr>
      <w:r w:rsidRPr="00A9330B">
        <w:rPr>
          <w:rFonts w:cs="Arial"/>
          <w:sz w:val="20"/>
          <w:szCs w:val="20"/>
        </w:rPr>
        <w:t>Nobimé G. Sinsin B. &amp; Neuenschwander P. (2011) : Primates. In Neuenschwander P. et al. : Protection de la Nature en Afrique de l’Ouest. Une Liste Rouge pour le Bénin.</w:t>
      </w:r>
    </w:p>
    <w:p w14:paraId="776E8C40" w14:textId="77777777" w:rsidR="008C1E90" w:rsidRPr="00A9330B" w:rsidRDefault="008C1E90" w:rsidP="008C1E90">
      <w:pPr>
        <w:spacing w:before="60" w:line="240" w:lineRule="auto"/>
        <w:jc w:val="both"/>
        <w:rPr>
          <w:rFonts w:cs="Arial"/>
          <w:sz w:val="20"/>
          <w:szCs w:val="20"/>
        </w:rPr>
      </w:pPr>
      <w:r w:rsidRPr="00A9330B">
        <w:rPr>
          <w:rFonts w:cs="Arial"/>
          <w:sz w:val="20"/>
          <w:szCs w:val="20"/>
        </w:rPr>
        <w:t>ONU HABITAT (2013) : Élaboration de la Stratégie de Développement Urbain de l’Agglomération de Cotonou. Rapport Final.</w:t>
      </w:r>
    </w:p>
    <w:p w14:paraId="67076A75" w14:textId="77777777" w:rsidR="008C1E90" w:rsidRPr="00A9330B" w:rsidRDefault="008C1E90" w:rsidP="008C1E90">
      <w:pPr>
        <w:spacing w:before="60" w:line="240" w:lineRule="auto"/>
        <w:jc w:val="both"/>
        <w:rPr>
          <w:rFonts w:cs="Arial"/>
          <w:sz w:val="20"/>
          <w:szCs w:val="20"/>
        </w:rPr>
      </w:pPr>
      <w:r w:rsidRPr="00A9330B">
        <w:rPr>
          <w:rFonts w:cs="Arial"/>
          <w:sz w:val="20"/>
          <w:szCs w:val="20"/>
        </w:rPr>
        <w:t>Organisation de Coopération et de Développement Économiques (OCDE) (2014) : Social Institutions and Gender Index (SIGI), Bénin- SiGI (www.genderindex.org/country/benin/).</w:t>
      </w:r>
    </w:p>
    <w:p w14:paraId="228C0A69" w14:textId="77777777" w:rsidR="008C1E90" w:rsidRPr="00A9330B" w:rsidRDefault="008C1E90" w:rsidP="008C1E90">
      <w:pPr>
        <w:spacing w:before="60" w:line="240" w:lineRule="auto"/>
        <w:jc w:val="both"/>
        <w:rPr>
          <w:rFonts w:cs="Arial"/>
          <w:sz w:val="20"/>
          <w:szCs w:val="20"/>
        </w:rPr>
      </w:pPr>
      <w:r w:rsidRPr="00A9330B">
        <w:rPr>
          <w:rFonts w:cs="Arial"/>
          <w:sz w:val="20"/>
          <w:szCs w:val="20"/>
        </w:rPr>
        <w:lastRenderedPageBreak/>
        <w:t>Organisation de Coopération et de Développement Économiques (OCDE) (2015) : Social Institutions and Gender Index (SIGI), 2014 Synthesis Report.</w:t>
      </w:r>
    </w:p>
    <w:p w14:paraId="717813F1" w14:textId="77777777" w:rsidR="008C1E90" w:rsidRPr="00A9330B" w:rsidRDefault="008C1E90" w:rsidP="008C1E90">
      <w:pPr>
        <w:spacing w:before="60" w:line="240" w:lineRule="auto"/>
        <w:jc w:val="both"/>
        <w:rPr>
          <w:rFonts w:cs="Arial"/>
          <w:sz w:val="20"/>
          <w:szCs w:val="20"/>
        </w:rPr>
      </w:pPr>
      <w:r w:rsidRPr="00A9330B">
        <w:rPr>
          <w:rFonts w:cs="Arial"/>
          <w:sz w:val="20"/>
          <w:szCs w:val="20"/>
        </w:rPr>
        <w:t xml:space="preserve">Organisation Mondiale de la Santé – Observatoire Africain de la Santé, Bénin (2014) : Genre et santé des femmes (y compris santé reproductive et sexuelle), </w:t>
      </w:r>
      <w:hyperlink r:id="rId104" w:history="1">
        <w:r w:rsidRPr="00A9330B">
          <w:rPr>
            <w:rStyle w:val="Lienhypertexte"/>
            <w:rFonts w:cs="Arial"/>
            <w:sz w:val="20"/>
            <w:szCs w:val="20"/>
          </w:rPr>
          <w:t>http://www.aho.afro.who.int/profiles_information/index.php/Benin:Gender_and_women%27s_health/fr</w:t>
        </w:r>
      </w:hyperlink>
      <w:r w:rsidRPr="00A9330B">
        <w:rPr>
          <w:rFonts w:cs="Arial"/>
          <w:sz w:val="20"/>
          <w:szCs w:val="20"/>
        </w:rPr>
        <w:t>.</w:t>
      </w:r>
    </w:p>
    <w:p w14:paraId="26A1EE6D" w14:textId="77777777" w:rsidR="008C1E90" w:rsidRPr="00A9330B" w:rsidRDefault="008C1E90" w:rsidP="008C1E90">
      <w:pPr>
        <w:spacing w:before="60" w:line="240" w:lineRule="auto"/>
        <w:jc w:val="both"/>
        <w:rPr>
          <w:rFonts w:cs="Arial"/>
          <w:sz w:val="20"/>
          <w:szCs w:val="20"/>
        </w:rPr>
      </w:pPr>
      <w:r w:rsidRPr="00A9330B">
        <w:rPr>
          <w:rFonts w:cs="Arial"/>
          <w:sz w:val="20"/>
          <w:szCs w:val="20"/>
        </w:rPr>
        <w:t>PCC (2012) : Plan de Contingence de la Commune de Natitingou. PDDC-GIZ, 63 p.</w:t>
      </w:r>
    </w:p>
    <w:p w14:paraId="2D449867" w14:textId="77777777" w:rsidR="008C1E90" w:rsidRPr="00A9330B" w:rsidRDefault="008C1E90" w:rsidP="008C1E90">
      <w:pPr>
        <w:spacing w:before="60" w:line="240" w:lineRule="auto"/>
        <w:jc w:val="both"/>
        <w:rPr>
          <w:rFonts w:eastAsia="Georgia" w:cs="Arial"/>
          <w:bCs/>
          <w:color w:val="000000"/>
          <w:sz w:val="20"/>
          <w:szCs w:val="20"/>
        </w:rPr>
      </w:pPr>
      <w:r w:rsidRPr="00A9330B">
        <w:rPr>
          <w:rFonts w:cs="Arial"/>
          <w:sz w:val="20"/>
          <w:szCs w:val="20"/>
        </w:rPr>
        <w:t xml:space="preserve">PCDA (2020) : Plan Communal de Développement Agricole. </w:t>
      </w:r>
      <w:r w:rsidRPr="00A9330B">
        <w:rPr>
          <w:rFonts w:eastAsia="Georgia" w:cs="Arial"/>
          <w:bCs/>
          <w:color w:val="000000"/>
          <w:sz w:val="20"/>
          <w:szCs w:val="20"/>
        </w:rPr>
        <w:t>Programme d’Appui au Secteur du Développement Rural, Phase 3 (PASDeR-3). Rapport final, LARES, SWISS CONTACT, 101 p.</w:t>
      </w:r>
    </w:p>
    <w:p w14:paraId="3B9761DD" w14:textId="77777777" w:rsidR="008C1E90" w:rsidRPr="00A9330B" w:rsidRDefault="008C1E90" w:rsidP="008C1E90">
      <w:pPr>
        <w:spacing w:before="60" w:line="240" w:lineRule="auto"/>
        <w:jc w:val="both"/>
        <w:rPr>
          <w:rFonts w:cs="Arial"/>
          <w:sz w:val="20"/>
          <w:szCs w:val="20"/>
        </w:rPr>
      </w:pPr>
      <w:r w:rsidRPr="00A9330B">
        <w:rPr>
          <w:rFonts w:cs="Arial"/>
          <w:sz w:val="20"/>
          <w:szCs w:val="20"/>
        </w:rPr>
        <w:t>PDA (2019) : Plan de Développement et d’Aménagement de la ville de Natitingou</w:t>
      </w:r>
    </w:p>
    <w:p w14:paraId="399228D6" w14:textId="77777777" w:rsidR="008C1E90" w:rsidRPr="00A9330B" w:rsidRDefault="008C1E90" w:rsidP="008C1E90">
      <w:pPr>
        <w:spacing w:before="60" w:line="240" w:lineRule="auto"/>
        <w:jc w:val="both"/>
        <w:rPr>
          <w:rFonts w:cs="Arial"/>
          <w:sz w:val="20"/>
          <w:szCs w:val="20"/>
        </w:rPr>
      </w:pPr>
      <w:r w:rsidRPr="00A9330B">
        <w:rPr>
          <w:rFonts w:cs="Arial"/>
          <w:sz w:val="20"/>
          <w:szCs w:val="20"/>
        </w:rPr>
        <w:t>PDC (2017) : Plan de Développement de la Commune de Natitingou, juillet, 2017, 3</w:t>
      </w:r>
      <w:r w:rsidRPr="00A9330B">
        <w:rPr>
          <w:rFonts w:cs="Arial"/>
          <w:sz w:val="20"/>
          <w:szCs w:val="20"/>
          <w:vertAlign w:val="superscript"/>
        </w:rPr>
        <w:t>ième</w:t>
      </w:r>
      <w:r w:rsidRPr="00A9330B">
        <w:rPr>
          <w:rFonts w:cs="Arial"/>
          <w:sz w:val="20"/>
          <w:szCs w:val="20"/>
        </w:rPr>
        <w:t xml:space="preserve"> génération.</w:t>
      </w:r>
    </w:p>
    <w:p w14:paraId="37357382" w14:textId="77777777" w:rsidR="008C1E90" w:rsidRPr="00A9330B" w:rsidRDefault="008C1E90" w:rsidP="008C1E90">
      <w:pPr>
        <w:spacing w:before="60" w:line="240" w:lineRule="auto"/>
        <w:jc w:val="both"/>
        <w:rPr>
          <w:rFonts w:cs="Arial"/>
          <w:sz w:val="20"/>
          <w:szCs w:val="20"/>
        </w:rPr>
      </w:pPr>
      <w:r w:rsidRPr="00A9330B">
        <w:rPr>
          <w:rFonts w:cs="Arial"/>
          <w:sz w:val="20"/>
          <w:szCs w:val="20"/>
        </w:rPr>
        <w:t>PHDA (2011) : Plan d’hygiène et d’assainissement de la Commune de Natitingou, Rapport provisoire, 117 p.</w:t>
      </w:r>
    </w:p>
    <w:p w14:paraId="189D0CEF" w14:textId="77777777" w:rsidR="008C1E90" w:rsidRPr="00A9330B" w:rsidRDefault="008C1E90" w:rsidP="008C1E90">
      <w:pPr>
        <w:spacing w:before="60" w:line="240" w:lineRule="auto"/>
        <w:jc w:val="both"/>
        <w:rPr>
          <w:rFonts w:cs="Arial"/>
          <w:sz w:val="20"/>
          <w:szCs w:val="20"/>
        </w:rPr>
      </w:pPr>
      <w:r w:rsidRPr="00A9330B">
        <w:rPr>
          <w:rFonts w:cs="Arial"/>
          <w:sz w:val="20"/>
          <w:szCs w:val="20"/>
        </w:rPr>
        <w:t>PNUD – Institut National de la Statistique (INSAE) (2016) : Les tendances de la pauvreté au Bénin (2007 - 2015).</w:t>
      </w:r>
    </w:p>
    <w:p w14:paraId="5C05E3F8" w14:textId="77777777" w:rsidR="008C1E90" w:rsidRPr="00A9330B" w:rsidRDefault="008C1E90" w:rsidP="008C1E90">
      <w:pPr>
        <w:spacing w:before="60" w:line="240" w:lineRule="auto"/>
        <w:jc w:val="both"/>
        <w:rPr>
          <w:rFonts w:cs="Arial"/>
          <w:sz w:val="20"/>
          <w:szCs w:val="20"/>
        </w:rPr>
      </w:pPr>
      <w:r w:rsidRPr="00A9330B">
        <w:rPr>
          <w:rFonts w:cs="Arial"/>
          <w:sz w:val="20"/>
          <w:szCs w:val="20"/>
        </w:rPr>
        <w:t>PNUD (1998) : Enquête emploi du temps 1998 au Bénin.</w:t>
      </w:r>
    </w:p>
    <w:p w14:paraId="6907954E" w14:textId="77777777" w:rsidR="008C1E90" w:rsidRPr="00A9330B" w:rsidRDefault="008C1E90" w:rsidP="008C1E90">
      <w:pPr>
        <w:spacing w:before="60" w:line="240" w:lineRule="auto"/>
        <w:jc w:val="both"/>
        <w:rPr>
          <w:rFonts w:cs="Arial"/>
          <w:sz w:val="20"/>
          <w:szCs w:val="20"/>
        </w:rPr>
      </w:pPr>
      <w:r w:rsidRPr="00A9330B">
        <w:rPr>
          <w:rFonts w:cs="Arial"/>
          <w:sz w:val="20"/>
          <w:szCs w:val="20"/>
        </w:rPr>
        <w:t xml:space="preserve">PNUD (2016) : Rapport sur le développement humain en Afrique 2016, Accélérer les progrès en faveur de l’égalité des genres et de l’autonomisation des femmes en Afrique. </w:t>
      </w:r>
    </w:p>
    <w:p w14:paraId="62F7C6F9" w14:textId="77777777" w:rsidR="008C1E90" w:rsidRPr="00A9330B" w:rsidRDefault="008C1E90" w:rsidP="008C1E90">
      <w:pPr>
        <w:spacing w:before="60" w:line="240" w:lineRule="auto"/>
        <w:jc w:val="both"/>
        <w:rPr>
          <w:rFonts w:cs="Arial"/>
          <w:sz w:val="20"/>
          <w:szCs w:val="20"/>
        </w:rPr>
      </w:pPr>
      <w:r w:rsidRPr="00A9330B">
        <w:rPr>
          <w:rFonts w:cs="Arial"/>
          <w:sz w:val="20"/>
          <w:szCs w:val="20"/>
        </w:rPr>
        <w:t>Premier Ministère Bénin - PNUD (2015) : Rapport sur le Développement Humain 2015 - Agriculture, Sécurité alimentaire et développement humain au Bénin.</w:t>
      </w:r>
    </w:p>
    <w:p w14:paraId="56991F0A" w14:textId="77777777" w:rsidR="008C1E90" w:rsidRPr="00A9330B" w:rsidRDefault="008C1E90" w:rsidP="008C1E90">
      <w:pPr>
        <w:spacing w:before="60" w:line="240" w:lineRule="auto"/>
        <w:jc w:val="both"/>
        <w:rPr>
          <w:rFonts w:cs="Arial"/>
          <w:sz w:val="20"/>
          <w:szCs w:val="20"/>
        </w:rPr>
      </w:pPr>
      <w:r w:rsidRPr="00A9330B">
        <w:rPr>
          <w:rFonts w:cs="Arial"/>
          <w:sz w:val="20"/>
          <w:szCs w:val="20"/>
        </w:rPr>
        <w:t>Programme des Nations Unies pour le Développement (2014) : Situation de la Femme au Bénin en 2013.</w:t>
      </w:r>
    </w:p>
    <w:p w14:paraId="4B48A1A4" w14:textId="77777777" w:rsidR="008C1E90" w:rsidRPr="00A9330B" w:rsidRDefault="008C1E90" w:rsidP="008C1E90">
      <w:pPr>
        <w:spacing w:before="60" w:line="240" w:lineRule="auto"/>
        <w:jc w:val="both"/>
        <w:rPr>
          <w:rFonts w:cs="Arial"/>
          <w:sz w:val="20"/>
          <w:szCs w:val="20"/>
        </w:rPr>
      </w:pPr>
      <w:r w:rsidRPr="00A9330B">
        <w:rPr>
          <w:rFonts w:cs="Arial"/>
          <w:sz w:val="20"/>
          <w:szCs w:val="20"/>
        </w:rPr>
        <w:t>PSDCC (2014) : Standards environnementaux et sociaux à mettre en œuvre dans le cadre du PSDCC.</w:t>
      </w:r>
    </w:p>
    <w:p w14:paraId="3C6DF6B5" w14:textId="77777777" w:rsidR="008C1E90" w:rsidRPr="00A9330B" w:rsidRDefault="008C1E90" w:rsidP="008C1E90">
      <w:pPr>
        <w:spacing w:before="60" w:line="240" w:lineRule="auto"/>
        <w:jc w:val="both"/>
        <w:rPr>
          <w:rFonts w:cs="Arial"/>
          <w:sz w:val="20"/>
          <w:szCs w:val="20"/>
        </w:rPr>
      </w:pPr>
      <w:r w:rsidRPr="00A9330B">
        <w:rPr>
          <w:rFonts w:cs="Arial"/>
          <w:sz w:val="20"/>
          <w:szCs w:val="20"/>
        </w:rPr>
        <w:t>République du Bénin (2014) : Analyse Globale de la vulnérabilité et de la sécurité alimentaire : Résumé.</w:t>
      </w:r>
    </w:p>
    <w:p w14:paraId="619E4755" w14:textId="77777777" w:rsidR="008C1E90" w:rsidRPr="00A9330B" w:rsidRDefault="008C1E90" w:rsidP="008C1E90">
      <w:pPr>
        <w:spacing w:before="60" w:line="240" w:lineRule="auto"/>
        <w:jc w:val="both"/>
        <w:rPr>
          <w:rFonts w:cs="Arial"/>
          <w:sz w:val="20"/>
          <w:szCs w:val="20"/>
        </w:rPr>
      </w:pPr>
      <w:r w:rsidRPr="00A9330B">
        <w:rPr>
          <w:rFonts w:cs="Arial"/>
          <w:sz w:val="20"/>
          <w:szCs w:val="20"/>
        </w:rPr>
        <w:t>République du Bénin (2012) : Loi n° 2011-26 du 9 janvier 2012 portant prévention et répression des violences faites aux femmes.</w:t>
      </w:r>
    </w:p>
    <w:p w14:paraId="10236FF5" w14:textId="77777777" w:rsidR="008C1E90" w:rsidRPr="00A9330B" w:rsidRDefault="008C1E90" w:rsidP="008C1E90">
      <w:pPr>
        <w:spacing w:before="60" w:line="240" w:lineRule="auto"/>
        <w:jc w:val="both"/>
        <w:rPr>
          <w:rFonts w:cs="Arial"/>
          <w:sz w:val="20"/>
          <w:szCs w:val="20"/>
        </w:rPr>
      </w:pPr>
      <w:r w:rsidRPr="00A9330B">
        <w:rPr>
          <w:rFonts w:cs="Arial"/>
          <w:sz w:val="20"/>
          <w:szCs w:val="20"/>
        </w:rPr>
        <w:t>République du Bénin (2015) : Programme d’action d’Istanbul en faveur des Pays les Moins Avancés pour la Décennie 2011-2012. Rapport d’évaluation à mi-parcours 2011+5 de mise en œuvre au Bénin.</w:t>
      </w:r>
    </w:p>
    <w:p w14:paraId="3A8AC8F2" w14:textId="77777777" w:rsidR="008C1E90" w:rsidRPr="00A9330B" w:rsidRDefault="008C1E90" w:rsidP="008C1E90">
      <w:pPr>
        <w:spacing w:before="60" w:line="240" w:lineRule="auto"/>
        <w:jc w:val="both"/>
        <w:rPr>
          <w:rFonts w:cs="Arial"/>
          <w:sz w:val="20"/>
          <w:szCs w:val="20"/>
        </w:rPr>
      </w:pPr>
      <w:r w:rsidRPr="00A9330B">
        <w:rPr>
          <w:rFonts w:cs="Arial"/>
          <w:sz w:val="20"/>
          <w:szCs w:val="20"/>
        </w:rPr>
        <w:t>République du Bénin (2014) : Analyse Globale de la vulnérabilité et de la sécurité alimentaire : Résumé.</w:t>
      </w:r>
    </w:p>
    <w:p w14:paraId="794BB591" w14:textId="77777777" w:rsidR="008C1E90" w:rsidRPr="00A9330B" w:rsidRDefault="008C1E90" w:rsidP="008C1E90">
      <w:pPr>
        <w:autoSpaceDE w:val="0"/>
        <w:autoSpaceDN w:val="0"/>
        <w:adjustRightInd w:val="0"/>
        <w:spacing w:before="60" w:line="240" w:lineRule="auto"/>
        <w:jc w:val="both"/>
        <w:rPr>
          <w:rFonts w:cs="Arial"/>
          <w:color w:val="000000"/>
          <w:sz w:val="20"/>
          <w:szCs w:val="20"/>
        </w:rPr>
      </w:pPr>
      <w:r w:rsidRPr="00A9330B">
        <w:rPr>
          <w:rFonts w:cs="Arial"/>
          <w:color w:val="000000"/>
          <w:sz w:val="20"/>
          <w:szCs w:val="20"/>
        </w:rPr>
        <w:t>République du Bénin (2011) : Les inondations au Bénin. Rapport d’Evaluation des Besoins Post Catastrophes. Banque Mondiale avec appui du Système des Nations Unies, Avril 2011 84 p.</w:t>
      </w:r>
    </w:p>
    <w:p w14:paraId="68816AB8" w14:textId="77777777" w:rsidR="008C1E90" w:rsidRPr="00A9330B" w:rsidRDefault="008C1E90" w:rsidP="008C1E90">
      <w:pPr>
        <w:spacing w:before="60" w:line="240" w:lineRule="auto"/>
        <w:jc w:val="both"/>
        <w:rPr>
          <w:rFonts w:cs="Arial"/>
          <w:sz w:val="20"/>
          <w:szCs w:val="20"/>
        </w:rPr>
      </w:pPr>
      <w:r w:rsidRPr="00A9330B">
        <w:rPr>
          <w:rFonts w:cs="Arial"/>
          <w:sz w:val="20"/>
          <w:szCs w:val="20"/>
        </w:rPr>
        <w:t>République du Bénin (2012) : Loi n° 2011-26 du 9 janvier 2012 portant prévention et répression des violences faites aux femmes.</w:t>
      </w:r>
    </w:p>
    <w:p w14:paraId="47E7F62D" w14:textId="77777777" w:rsidR="008C1E90" w:rsidRPr="00A9330B" w:rsidRDefault="008C1E90" w:rsidP="008C1E90">
      <w:pPr>
        <w:autoSpaceDE w:val="0"/>
        <w:autoSpaceDN w:val="0"/>
        <w:adjustRightInd w:val="0"/>
        <w:spacing w:before="60" w:line="240" w:lineRule="auto"/>
        <w:rPr>
          <w:rFonts w:cs="Arial"/>
          <w:color w:val="000000"/>
          <w:sz w:val="20"/>
          <w:szCs w:val="20"/>
        </w:rPr>
      </w:pPr>
      <w:r w:rsidRPr="00A9330B">
        <w:rPr>
          <w:rFonts w:cs="Arial"/>
          <w:color w:val="000000"/>
          <w:sz w:val="20"/>
          <w:szCs w:val="20"/>
        </w:rPr>
        <w:t>République du Bénin, MAEP (2011) : Plan Stratégique de Relance du Secteur Agricole. 116 p.</w:t>
      </w:r>
    </w:p>
    <w:p w14:paraId="28DBF451" w14:textId="77777777" w:rsidR="008C1E90" w:rsidRPr="00A9330B" w:rsidRDefault="008C1E90" w:rsidP="008C1E90">
      <w:pPr>
        <w:spacing w:before="60" w:line="240" w:lineRule="auto"/>
        <w:jc w:val="both"/>
        <w:rPr>
          <w:rFonts w:cs="Arial"/>
          <w:sz w:val="20"/>
          <w:szCs w:val="20"/>
        </w:rPr>
      </w:pPr>
      <w:r w:rsidRPr="00A9330B">
        <w:rPr>
          <w:rFonts w:cs="Arial"/>
          <w:sz w:val="20"/>
          <w:szCs w:val="20"/>
        </w:rPr>
        <w:t xml:space="preserve">République du Bénin, </w:t>
      </w:r>
      <w:r w:rsidRPr="00A9330B">
        <w:rPr>
          <w:rFonts w:cs="Arial"/>
          <w:color w:val="000000"/>
          <w:sz w:val="20"/>
          <w:szCs w:val="20"/>
        </w:rPr>
        <w:t xml:space="preserve">Ministère du Cadre de Vie et du Développement Durable </w:t>
      </w:r>
      <w:r w:rsidRPr="00A9330B">
        <w:rPr>
          <w:rFonts w:cs="Arial"/>
          <w:sz w:val="20"/>
          <w:szCs w:val="20"/>
        </w:rPr>
        <w:t>(2017) : Actualisation/Elaboration des plans directeurs d’assainissement pluvial de la ville de Natitingou. Rapport d’état des lieux, Version provisoire, PUGEMU, APD, 109 p.</w:t>
      </w:r>
    </w:p>
    <w:p w14:paraId="19388458" w14:textId="77777777" w:rsidR="008C1E90" w:rsidRPr="00A9330B" w:rsidRDefault="008C1E90" w:rsidP="008C1E90">
      <w:pPr>
        <w:spacing w:before="60" w:line="240" w:lineRule="auto"/>
        <w:jc w:val="both"/>
        <w:rPr>
          <w:rFonts w:cs="Arial"/>
          <w:sz w:val="20"/>
          <w:szCs w:val="20"/>
        </w:rPr>
      </w:pPr>
      <w:r w:rsidRPr="00A9330B">
        <w:rPr>
          <w:rFonts w:cs="Arial"/>
          <w:sz w:val="20"/>
          <w:szCs w:val="20"/>
        </w:rPr>
        <w:t xml:space="preserve">République du Bénin, </w:t>
      </w:r>
      <w:r w:rsidRPr="00A9330B">
        <w:rPr>
          <w:rFonts w:cs="Arial"/>
          <w:color w:val="000000"/>
          <w:sz w:val="20"/>
          <w:szCs w:val="20"/>
        </w:rPr>
        <w:t>Ministère du Cadre de Vie et du Développement Durable, Agence du Cadre de Vie pour le Développement du Territoire (ACVDT) (2018) </w:t>
      </w:r>
      <w:r w:rsidRPr="00A9330B">
        <w:rPr>
          <w:rFonts w:cs="Arial"/>
          <w:sz w:val="20"/>
          <w:szCs w:val="20"/>
        </w:rPr>
        <w:t xml:space="preserve"> Rapport d’étude d’impact environnementale et sociale de la ville de Natitingou. Rapport Final. CECO-BTP Ingénieurs-Conseils. Budget national, juin 2018, 207 p.</w:t>
      </w:r>
    </w:p>
    <w:p w14:paraId="2839F14C" w14:textId="77777777" w:rsidR="008C1E90" w:rsidRPr="00A9330B" w:rsidRDefault="008C1E90" w:rsidP="008C1E90">
      <w:pPr>
        <w:autoSpaceDE w:val="0"/>
        <w:autoSpaceDN w:val="0"/>
        <w:adjustRightInd w:val="0"/>
        <w:spacing w:before="60" w:line="240" w:lineRule="auto"/>
        <w:jc w:val="both"/>
        <w:rPr>
          <w:rFonts w:cs="Arial"/>
          <w:color w:val="000000"/>
          <w:sz w:val="20"/>
          <w:szCs w:val="20"/>
        </w:rPr>
      </w:pPr>
      <w:r w:rsidRPr="00A9330B">
        <w:rPr>
          <w:rFonts w:cs="Arial"/>
          <w:color w:val="000000"/>
          <w:sz w:val="20"/>
          <w:szCs w:val="20"/>
        </w:rPr>
        <w:t>République du Bénin, Ministère du Cadre de Vie et du Développement Durable, Agence du Cadre de Vie pour le Développement du Territoire (ACVDT) (2017) : Plan des Rues Primaires, Secondaire et Tertiaires du Projet de Réhabilitation et d’Aménagement des Voiries dans les Villes de Cotonou, Porto-Novo, Abomey-Calavi, Sèmè-Podji, Parakou, Bohicon, Natitingou et Lokossa ; Projet ASPHALTAGE, 1 p.</w:t>
      </w:r>
    </w:p>
    <w:p w14:paraId="51EAB578" w14:textId="77777777" w:rsidR="008C1E90" w:rsidRPr="00A9330B" w:rsidRDefault="008C1E90" w:rsidP="008C1E90">
      <w:pPr>
        <w:autoSpaceDE w:val="0"/>
        <w:autoSpaceDN w:val="0"/>
        <w:adjustRightInd w:val="0"/>
        <w:spacing w:before="60" w:line="240" w:lineRule="auto"/>
        <w:jc w:val="both"/>
        <w:rPr>
          <w:rFonts w:cs="Arial"/>
          <w:color w:val="000000"/>
          <w:sz w:val="20"/>
          <w:szCs w:val="20"/>
        </w:rPr>
      </w:pPr>
      <w:r w:rsidRPr="00A9330B">
        <w:rPr>
          <w:rFonts w:cs="Arial"/>
          <w:color w:val="000000"/>
          <w:sz w:val="20"/>
          <w:szCs w:val="20"/>
        </w:rPr>
        <w:t>République du Bénin, Ministère du Cadre de Vie et du Développement Durable, Agence du Cadre de Vie pour le Développement du Territoire (ACVDT) (2017). Tableau Synoptique des Rues Primaires, Secondaires et Tertiaires de COTONOU - Projet ASPHALTAGE, 1 p.</w:t>
      </w:r>
    </w:p>
    <w:p w14:paraId="344093A9" w14:textId="77777777" w:rsidR="008C1E90" w:rsidRPr="00A9330B" w:rsidRDefault="008C1E90" w:rsidP="008C1E90">
      <w:pPr>
        <w:autoSpaceDE w:val="0"/>
        <w:autoSpaceDN w:val="0"/>
        <w:adjustRightInd w:val="0"/>
        <w:spacing w:before="60" w:line="240" w:lineRule="auto"/>
        <w:jc w:val="both"/>
        <w:rPr>
          <w:rFonts w:cs="Arial"/>
          <w:color w:val="000000"/>
          <w:sz w:val="20"/>
          <w:szCs w:val="20"/>
        </w:rPr>
      </w:pPr>
      <w:r w:rsidRPr="00A9330B">
        <w:rPr>
          <w:rFonts w:cs="Arial"/>
          <w:color w:val="000000"/>
          <w:sz w:val="20"/>
          <w:szCs w:val="20"/>
        </w:rPr>
        <w:t>République du Bénin, Ministère du Développement de l’Analyse Economique et de la Prospective, Institut National de la Statistique et de l’Analyse Economique (2013) : Tableau de bord social 2012, Profils socioéconomiques et indicateurs de développement, tome I, Cotonou.</w:t>
      </w:r>
    </w:p>
    <w:p w14:paraId="2C6D96C8" w14:textId="77777777" w:rsidR="008C1E90" w:rsidRPr="00A9330B" w:rsidRDefault="008C1E90" w:rsidP="008C1E90">
      <w:pPr>
        <w:autoSpaceDE w:val="0"/>
        <w:autoSpaceDN w:val="0"/>
        <w:adjustRightInd w:val="0"/>
        <w:spacing w:before="60" w:line="240" w:lineRule="auto"/>
        <w:jc w:val="both"/>
        <w:rPr>
          <w:rFonts w:cs="Arial"/>
          <w:color w:val="000000"/>
          <w:sz w:val="20"/>
          <w:szCs w:val="20"/>
        </w:rPr>
      </w:pPr>
      <w:r w:rsidRPr="00A9330B">
        <w:rPr>
          <w:rFonts w:cs="Arial"/>
          <w:color w:val="000000"/>
          <w:sz w:val="20"/>
          <w:szCs w:val="20"/>
        </w:rPr>
        <w:lastRenderedPageBreak/>
        <w:t>République du Bénin, Présidence de la République, Ministère Délégué Chargé des Transports et des Travaux Publics (2007) : Stratégie sectorielle des transports actualisée (2007-2011).</w:t>
      </w:r>
    </w:p>
    <w:p w14:paraId="033E4F13" w14:textId="77777777" w:rsidR="008C1E90" w:rsidRPr="00A9330B" w:rsidRDefault="008C1E90" w:rsidP="008C1E90">
      <w:pPr>
        <w:spacing w:before="60" w:line="240" w:lineRule="auto"/>
        <w:jc w:val="both"/>
        <w:rPr>
          <w:rFonts w:cs="Arial"/>
          <w:sz w:val="20"/>
          <w:szCs w:val="20"/>
        </w:rPr>
      </w:pPr>
      <w:r w:rsidRPr="00A9330B">
        <w:rPr>
          <w:rFonts w:cs="Arial"/>
          <w:sz w:val="20"/>
          <w:szCs w:val="20"/>
        </w:rPr>
        <w:t xml:space="preserve">SDAC (2011) : Schéma Directeur d’Aménagement de la Commune de Natitingou. </w:t>
      </w:r>
      <w:r w:rsidRPr="00A9330B">
        <w:rPr>
          <w:rFonts w:cs="Arial"/>
          <w:color w:val="000000"/>
          <w:sz w:val="20"/>
          <w:szCs w:val="20"/>
        </w:rPr>
        <w:t xml:space="preserve">Direction Générale des Forêts et des Ressources Naturelles - Département du Zou. </w:t>
      </w:r>
      <w:r w:rsidRPr="00A9330B">
        <w:rPr>
          <w:rFonts w:cs="Arial"/>
          <w:noProof/>
          <w:sz w:val="20"/>
          <w:szCs w:val="20"/>
        </w:rPr>
        <w:t>PAPDC &amp; PDDC, 134 p.</w:t>
      </w:r>
    </w:p>
    <w:p w14:paraId="086C4C45" w14:textId="77777777" w:rsidR="008C1E90" w:rsidRPr="00A9330B" w:rsidRDefault="008C1E90" w:rsidP="008C1E90">
      <w:pPr>
        <w:spacing w:before="60" w:line="240" w:lineRule="auto"/>
        <w:jc w:val="both"/>
        <w:rPr>
          <w:rFonts w:cs="Arial"/>
          <w:sz w:val="20"/>
          <w:szCs w:val="20"/>
        </w:rPr>
      </w:pPr>
      <w:r w:rsidRPr="00A9330B">
        <w:rPr>
          <w:rFonts w:cs="Arial"/>
          <w:sz w:val="20"/>
          <w:szCs w:val="20"/>
        </w:rPr>
        <w:t>Sinsin B. &amp; Kampmann D. (2012) : Atlas de la Biodiversité de l’Afrique de l’Ouest. Bénin. Eds. Vol. 1. Biota.</w:t>
      </w:r>
    </w:p>
    <w:p w14:paraId="67CFC340" w14:textId="77777777" w:rsidR="00C6529D" w:rsidRPr="00A9330B" w:rsidRDefault="00C6529D" w:rsidP="00C6529D">
      <w:pPr>
        <w:spacing w:before="60" w:line="240" w:lineRule="auto"/>
        <w:jc w:val="both"/>
        <w:rPr>
          <w:rFonts w:cs="Arial"/>
          <w:sz w:val="20"/>
          <w:szCs w:val="20"/>
        </w:rPr>
      </w:pPr>
      <w:r w:rsidRPr="00A9330B">
        <w:rPr>
          <w:rFonts w:cs="Arial"/>
          <w:sz w:val="20"/>
          <w:szCs w:val="20"/>
        </w:rPr>
        <w:t xml:space="preserve">Tenté B. (2005) : Recherche sur les facteurs de la diversité floristique des versants du massif de l'Atacora : secteur Perma-Toucountouna (Bénin). Thèse de doctorat, Université d'Abomey-Calavi, 252 p.  </w:t>
      </w:r>
    </w:p>
    <w:p w14:paraId="3DB6A7AB" w14:textId="77777777" w:rsidR="008C1E90" w:rsidRPr="00A9330B" w:rsidRDefault="008C1E90" w:rsidP="008C1E90">
      <w:pPr>
        <w:spacing w:before="60" w:line="240" w:lineRule="auto"/>
        <w:jc w:val="both"/>
        <w:rPr>
          <w:rFonts w:cs="Arial"/>
          <w:sz w:val="20"/>
          <w:szCs w:val="20"/>
        </w:rPr>
      </w:pPr>
      <w:r w:rsidRPr="00A9330B">
        <w:rPr>
          <w:rFonts w:cs="Arial"/>
          <w:sz w:val="20"/>
          <w:szCs w:val="20"/>
        </w:rPr>
        <w:t>Unicef (2013) : Étude de faisabilité des forages manuels identification des zones potentiellement favorables, rapport final, Cotonou, Benin, 34 p.</w:t>
      </w:r>
    </w:p>
    <w:p w14:paraId="234B2939" w14:textId="77777777" w:rsidR="008C1E90" w:rsidRPr="00A9330B" w:rsidRDefault="008C1E90" w:rsidP="008C1E90">
      <w:pPr>
        <w:spacing w:after="120"/>
        <w:jc w:val="both"/>
      </w:pPr>
    </w:p>
    <w:p w14:paraId="15793FA9" w14:textId="77777777" w:rsidR="008C1E90" w:rsidRPr="00A9330B" w:rsidRDefault="008C1E90" w:rsidP="008C1E90">
      <w:pPr>
        <w:spacing w:after="120"/>
        <w:jc w:val="both"/>
        <w:rPr>
          <w:rFonts w:cs="Arial"/>
        </w:rPr>
        <w:sectPr w:rsidR="008C1E90" w:rsidRPr="00A9330B" w:rsidSect="00720558">
          <w:pgSz w:w="11907" w:h="16840" w:code="9"/>
          <w:pgMar w:top="1418" w:right="1418" w:bottom="1985" w:left="1418" w:header="567" w:footer="340" w:gutter="0"/>
          <w:pgNumType w:chapStyle="1"/>
          <w:cols w:space="708"/>
          <w:docGrid w:linePitch="272"/>
        </w:sectPr>
      </w:pPr>
    </w:p>
    <w:p w14:paraId="678BE29A" w14:textId="77777777" w:rsidR="008C1E90" w:rsidRPr="00A9330B" w:rsidRDefault="008C1E90" w:rsidP="008C1E90"/>
    <w:p w14:paraId="7C810E3A" w14:textId="77777777" w:rsidR="00401546" w:rsidRPr="00A9330B" w:rsidRDefault="00401546" w:rsidP="00401546">
      <w:pPr>
        <w:rPr>
          <w:rFonts w:eastAsia="Times New Roman" w:cs="Times New Roman"/>
          <w:color w:val="auto"/>
          <w:szCs w:val="24"/>
          <w:lang w:eastAsia="fr-FR"/>
        </w:rPr>
      </w:pPr>
    </w:p>
    <w:p w14:paraId="7E0BB091" w14:textId="77777777" w:rsidR="00401546" w:rsidRPr="00A9330B" w:rsidRDefault="00401546" w:rsidP="00401546">
      <w:pPr>
        <w:rPr>
          <w:rFonts w:eastAsia="Times New Roman" w:cs="Times New Roman"/>
          <w:color w:val="auto"/>
          <w:szCs w:val="24"/>
          <w:lang w:eastAsia="fr-FR"/>
        </w:rPr>
      </w:pPr>
    </w:p>
    <w:p w14:paraId="2181A14A" w14:textId="77777777" w:rsidR="00401546" w:rsidRPr="00A9330B" w:rsidRDefault="00401546" w:rsidP="00401546">
      <w:pPr>
        <w:rPr>
          <w:rFonts w:eastAsia="Times New Roman" w:cs="Times New Roman"/>
          <w:color w:val="auto"/>
          <w:szCs w:val="24"/>
          <w:lang w:eastAsia="fr-FR"/>
        </w:rPr>
      </w:pPr>
    </w:p>
    <w:p w14:paraId="05155C0B" w14:textId="77777777" w:rsidR="00401546" w:rsidRPr="00A9330B" w:rsidRDefault="00401546" w:rsidP="00AB7F3D">
      <w:pPr>
        <w:keepNext/>
        <w:keepLines/>
        <w:spacing w:line="240" w:lineRule="auto"/>
        <w:jc w:val="both"/>
        <w:outlineLvl w:val="0"/>
        <w:rPr>
          <w:rFonts w:eastAsiaTheme="majorEastAsia" w:cstheme="majorBidi"/>
          <w:b/>
          <w:caps/>
          <w:color w:val="00B050"/>
          <w:sz w:val="30"/>
          <w:szCs w:val="30"/>
        </w:rPr>
      </w:pPr>
      <w:bookmarkStart w:id="2162" w:name="_Toc43697728"/>
      <w:bookmarkStart w:id="2163" w:name="_Toc52869752"/>
      <w:bookmarkStart w:id="2164" w:name="_Toc52869902"/>
      <w:r w:rsidRPr="00A9330B">
        <w:rPr>
          <w:rFonts w:eastAsiaTheme="majorEastAsia" w:cstheme="majorBidi"/>
          <w:b/>
          <w:caps/>
          <w:color w:val="00B050"/>
          <w:sz w:val="30"/>
          <w:szCs w:val="30"/>
        </w:rPr>
        <w:t>ANNEXES</w:t>
      </w:r>
      <w:bookmarkEnd w:id="2162"/>
      <w:bookmarkEnd w:id="2163"/>
      <w:bookmarkEnd w:id="2164"/>
      <w:r w:rsidRPr="00A9330B">
        <w:rPr>
          <w:rFonts w:eastAsiaTheme="majorEastAsia" w:cstheme="majorBidi"/>
          <w:b/>
          <w:caps/>
          <w:color w:val="00B050"/>
          <w:sz w:val="30"/>
          <w:szCs w:val="30"/>
        </w:rPr>
        <w:t xml:space="preserve"> </w:t>
      </w:r>
    </w:p>
    <w:p w14:paraId="1F78C267" w14:textId="77777777" w:rsidR="00401546" w:rsidRPr="00A9330B" w:rsidRDefault="00401546" w:rsidP="00AB7F3D">
      <w:pPr>
        <w:keepNext/>
        <w:keepLines/>
        <w:spacing w:line="240" w:lineRule="auto"/>
        <w:jc w:val="both"/>
        <w:outlineLvl w:val="0"/>
        <w:rPr>
          <w:rFonts w:eastAsiaTheme="majorEastAsia" w:cstheme="majorBidi"/>
          <w:b/>
          <w:caps/>
          <w:color w:val="00B050"/>
          <w:sz w:val="30"/>
          <w:szCs w:val="30"/>
        </w:rPr>
      </w:pPr>
    </w:p>
    <w:p w14:paraId="76C6A9EE" w14:textId="7A6C7C8B" w:rsidR="00401546" w:rsidRPr="00A9330B" w:rsidRDefault="00B915B8" w:rsidP="000F7BA7">
      <w:pPr>
        <w:pStyle w:val="Titre20"/>
      </w:pPr>
      <w:bookmarkStart w:id="2165" w:name="_Toc43697729"/>
      <w:bookmarkStart w:id="2166" w:name="_Toc52869753"/>
      <w:bookmarkStart w:id="2167" w:name="_Toc52869903"/>
      <w:r w:rsidRPr="00A9330B">
        <w:t xml:space="preserve">Annexe 1 : Terme de </w:t>
      </w:r>
      <w:bookmarkEnd w:id="2165"/>
      <w:r w:rsidRPr="00A9330B">
        <w:t>référence</w:t>
      </w:r>
      <w:bookmarkEnd w:id="2166"/>
      <w:bookmarkEnd w:id="2167"/>
      <w:r w:rsidRPr="00A9330B">
        <w:t xml:space="preserve"> </w:t>
      </w:r>
    </w:p>
    <w:p w14:paraId="3E71F85C" w14:textId="6EFF5C25" w:rsidR="00401546" w:rsidRPr="00A9330B" w:rsidRDefault="00B915B8" w:rsidP="000F7BA7">
      <w:pPr>
        <w:pStyle w:val="Titre20"/>
      </w:pPr>
      <w:bookmarkStart w:id="2168" w:name="_Toc43697730"/>
      <w:bookmarkStart w:id="2169" w:name="_Toc52869754"/>
      <w:bookmarkStart w:id="2170" w:name="_Toc52869904"/>
      <w:r w:rsidRPr="00A9330B">
        <w:t>Annexe 2 : Fiche d’</w:t>
      </w:r>
      <w:bookmarkEnd w:id="2168"/>
      <w:r w:rsidRPr="00A9330B">
        <w:t>enquête</w:t>
      </w:r>
      <w:bookmarkEnd w:id="2169"/>
      <w:bookmarkEnd w:id="2170"/>
      <w:r w:rsidRPr="00A9330B">
        <w:t xml:space="preserve"> </w:t>
      </w:r>
    </w:p>
    <w:p w14:paraId="3551C6A7" w14:textId="7CAA1F6C" w:rsidR="00401546" w:rsidRPr="00A9330B" w:rsidRDefault="00B915B8" w:rsidP="000F7BA7">
      <w:pPr>
        <w:pStyle w:val="Titre20"/>
      </w:pPr>
      <w:bookmarkStart w:id="2171" w:name="_Toc43697731"/>
      <w:bookmarkStart w:id="2172" w:name="_Toc52869755"/>
      <w:bookmarkStart w:id="2173" w:name="_Toc52869905"/>
      <w:r w:rsidRPr="00A9330B">
        <w:t>Annexe 3 : Rapports de consultation publique</w:t>
      </w:r>
      <w:bookmarkEnd w:id="2171"/>
      <w:bookmarkEnd w:id="2172"/>
      <w:bookmarkEnd w:id="2173"/>
    </w:p>
    <w:p w14:paraId="1D3EB75B" w14:textId="25ED5435" w:rsidR="00401546" w:rsidRPr="00A9330B" w:rsidRDefault="00B915B8" w:rsidP="000F7BA7">
      <w:pPr>
        <w:pStyle w:val="Titre20"/>
      </w:pPr>
      <w:bookmarkStart w:id="2174" w:name="_Toc43697732"/>
      <w:bookmarkStart w:id="2175" w:name="_Toc52869756"/>
      <w:bookmarkStart w:id="2176" w:name="_Toc52869906"/>
      <w:r w:rsidRPr="00A9330B">
        <w:t>Annexe 4 : Plan d’hygiène sante</w:t>
      </w:r>
      <w:r w:rsidR="00401546" w:rsidRPr="00A9330B">
        <w:t xml:space="preserve"> </w:t>
      </w:r>
      <w:r w:rsidRPr="00A9330B">
        <w:t>sécurité</w:t>
      </w:r>
      <w:r w:rsidR="00401546" w:rsidRPr="00A9330B">
        <w:t xml:space="preserve"> et environnement</w:t>
      </w:r>
      <w:bookmarkEnd w:id="2174"/>
      <w:bookmarkEnd w:id="2175"/>
      <w:bookmarkEnd w:id="2176"/>
      <w:r w:rsidR="00401546" w:rsidRPr="00A9330B">
        <w:t xml:space="preserve"> </w:t>
      </w:r>
    </w:p>
    <w:p w14:paraId="0A0CEADD" w14:textId="4EBAED1B" w:rsidR="00401546" w:rsidRPr="00A9330B" w:rsidRDefault="00B915B8" w:rsidP="000F7BA7">
      <w:pPr>
        <w:pStyle w:val="Titre20"/>
      </w:pPr>
      <w:bookmarkStart w:id="2177" w:name="_Toc43697733"/>
      <w:bookmarkStart w:id="2178" w:name="_Toc52869757"/>
      <w:bookmarkStart w:id="2179" w:name="_Toc52869907"/>
      <w:r w:rsidRPr="00A9330B">
        <w:t>Annexe 5 : Prescriptions envir</w:t>
      </w:r>
      <w:r w:rsidR="00401546" w:rsidRPr="00A9330B">
        <w:t>onnementales et sociale</w:t>
      </w:r>
      <w:bookmarkEnd w:id="2177"/>
      <w:bookmarkEnd w:id="2178"/>
      <w:bookmarkEnd w:id="2179"/>
    </w:p>
    <w:p w14:paraId="2C9ADABB" w14:textId="2278C15D" w:rsidR="00401546" w:rsidRPr="00A9330B" w:rsidRDefault="00B915B8" w:rsidP="000F7BA7">
      <w:pPr>
        <w:pStyle w:val="Titre20"/>
      </w:pPr>
      <w:bookmarkStart w:id="2180" w:name="_Toc43697734"/>
      <w:bookmarkStart w:id="2181" w:name="_Toc52869758"/>
      <w:bookmarkStart w:id="2182" w:name="_Toc52869908"/>
      <w:r w:rsidRPr="00A9330B">
        <w:t>Annexe 6 : Plan de communication</w:t>
      </w:r>
      <w:bookmarkEnd w:id="2180"/>
      <w:bookmarkEnd w:id="2181"/>
      <w:bookmarkEnd w:id="2182"/>
      <w:r w:rsidRPr="00A9330B">
        <w:t xml:space="preserve"> </w:t>
      </w:r>
    </w:p>
    <w:p w14:paraId="334A4AEA" w14:textId="7D96356D" w:rsidR="001A2ADB" w:rsidRPr="00A9330B" w:rsidRDefault="00B915B8" w:rsidP="000F7BA7">
      <w:pPr>
        <w:pStyle w:val="Titre20"/>
      </w:pPr>
      <w:bookmarkStart w:id="2183" w:name="_Toc52869759"/>
      <w:bookmarkStart w:id="2184" w:name="_Toc52869909"/>
      <w:r w:rsidRPr="00A9330B">
        <w:t xml:space="preserve">Annexe 7 : </w:t>
      </w:r>
      <w:r w:rsidR="001A2ADB" w:rsidRPr="00A9330B">
        <w:t>Liste des personnes rencontrées</w:t>
      </w:r>
      <w:bookmarkEnd w:id="2183"/>
      <w:bookmarkEnd w:id="2184"/>
      <w:r w:rsidR="001A2ADB" w:rsidRPr="00A9330B">
        <w:t xml:space="preserve"> </w:t>
      </w:r>
    </w:p>
    <w:p w14:paraId="4BC6057C" w14:textId="73D6D000" w:rsidR="00DB55C0" w:rsidRDefault="001A2ADB" w:rsidP="000F7BA7">
      <w:pPr>
        <w:pStyle w:val="Titre20"/>
      </w:pPr>
      <w:bookmarkStart w:id="2185" w:name="_Toc52869760"/>
      <w:bookmarkStart w:id="2186" w:name="_Toc52869910"/>
      <w:r w:rsidRPr="00A9330B">
        <w:t xml:space="preserve">Annexe 8 : </w:t>
      </w:r>
      <w:r w:rsidR="00B915B8" w:rsidRPr="00A9330B">
        <w:t>Carte des rues de Natitingou</w:t>
      </w:r>
      <w:bookmarkEnd w:id="2185"/>
      <w:bookmarkEnd w:id="2186"/>
      <w:r w:rsidR="00B915B8" w:rsidRPr="00A9330B">
        <w:t xml:space="preserve"> </w:t>
      </w:r>
    </w:p>
    <w:p w14:paraId="12F69081" w14:textId="7AB07D3D" w:rsidR="00CB4E93" w:rsidRPr="00A9330B" w:rsidRDefault="00CB4E93" w:rsidP="000F7BA7">
      <w:pPr>
        <w:pStyle w:val="Titre20"/>
      </w:pPr>
      <w:bookmarkStart w:id="2187" w:name="_Toc52869761"/>
      <w:bookmarkStart w:id="2188" w:name="_Toc52869911"/>
      <w:r>
        <w:t>Annexe 9 : Mesure d’accompagnement  _ Infrastructures sociocommunautaires recensées dans la zone d’influence du projet</w:t>
      </w:r>
      <w:bookmarkEnd w:id="2187"/>
      <w:bookmarkEnd w:id="2188"/>
      <w:r>
        <w:t xml:space="preserve">  </w:t>
      </w:r>
    </w:p>
    <w:p w14:paraId="06CD3FD1" w14:textId="5A23B732" w:rsidR="00AE6E4C" w:rsidRPr="00A9330B" w:rsidRDefault="00AE6E4C">
      <w:pPr>
        <w:spacing w:before="0" w:after="160" w:line="259" w:lineRule="auto"/>
        <w:rPr>
          <w:sz w:val="32"/>
          <w:szCs w:val="32"/>
        </w:rPr>
      </w:pPr>
      <w:r w:rsidRPr="00A9330B">
        <w:rPr>
          <w:sz w:val="32"/>
          <w:szCs w:val="32"/>
        </w:rPr>
        <w:br w:type="page"/>
      </w:r>
    </w:p>
    <w:p w14:paraId="16BFD32B" w14:textId="77777777" w:rsidR="0066693C" w:rsidRPr="00A9330B" w:rsidRDefault="00AE6E4C" w:rsidP="00AE6E4C">
      <w:pPr>
        <w:keepNext/>
        <w:keepLines/>
        <w:spacing w:line="240" w:lineRule="auto"/>
        <w:jc w:val="both"/>
        <w:outlineLvl w:val="0"/>
        <w:rPr>
          <w:rFonts w:eastAsiaTheme="majorEastAsia" w:cstheme="majorBidi"/>
          <w:b/>
          <w:caps/>
          <w:color w:val="00B050"/>
          <w:sz w:val="30"/>
          <w:szCs w:val="30"/>
        </w:rPr>
      </w:pPr>
      <w:bookmarkStart w:id="2189" w:name="_Toc46416637"/>
      <w:bookmarkStart w:id="2190" w:name="_Toc46417613"/>
      <w:bookmarkStart w:id="2191" w:name="_Toc51843853"/>
      <w:bookmarkStart w:id="2192" w:name="_Toc52869762"/>
      <w:bookmarkStart w:id="2193" w:name="_Toc52869912"/>
      <w:r w:rsidRPr="00A9330B">
        <w:rPr>
          <w:rFonts w:eastAsiaTheme="majorEastAsia" w:cstheme="majorBidi"/>
          <w:b/>
          <w:caps/>
          <w:color w:val="00B050"/>
          <w:sz w:val="30"/>
          <w:szCs w:val="30"/>
        </w:rPr>
        <w:lastRenderedPageBreak/>
        <w:t>table des matieres</w:t>
      </w:r>
      <w:bookmarkEnd w:id="2189"/>
      <w:bookmarkEnd w:id="2190"/>
      <w:bookmarkEnd w:id="2191"/>
      <w:bookmarkEnd w:id="2192"/>
      <w:bookmarkEnd w:id="2193"/>
      <w:r w:rsidRPr="00A9330B">
        <w:rPr>
          <w:rFonts w:eastAsiaTheme="majorEastAsia" w:cstheme="majorBidi"/>
          <w:b/>
          <w:caps/>
          <w:color w:val="00B050"/>
          <w:sz w:val="30"/>
          <w:szCs w:val="30"/>
        </w:rPr>
        <w:t xml:space="preserve"> </w:t>
      </w:r>
    </w:p>
    <w:p w14:paraId="0CF83DB7" w14:textId="77777777" w:rsidR="00CB4E93" w:rsidRPr="00CB4E93" w:rsidRDefault="00AE6E4C" w:rsidP="00CB4E93">
      <w:pPr>
        <w:spacing w:before="60" w:line="240" w:lineRule="auto"/>
        <w:contextualSpacing/>
        <w:rPr>
          <w:rFonts w:cs="Arial"/>
          <w:noProof/>
          <w:sz w:val="20"/>
          <w:szCs w:val="20"/>
        </w:rPr>
      </w:pPr>
      <w:r w:rsidRPr="00A9330B">
        <w:t xml:space="preserve"> </w:t>
      </w:r>
      <w:r w:rsidR="0066693C" w:rsidRPr="00CB4E93">
        <w:rPr>
          <w:rFonts w:cs="Arial"/>
          <w:sz w:val="20"/>
          <w:szCs w:val="20"/>
        </w:rPr>
        <w:fldChar w:fldCharType="begin"/>
      </w:r>
      <w:r w:rsidR="0066693C" w:rsidRPr="00CB4E93">
        <w:rPr>
          <w:rFonts w:cs="Arial"/>
          <w:sz w:val="20"/>
          <w:szCs w:val="20"/>
        </w:rPr>
        <w:instrText xml:space="preserve"> TOC \o "1-5" \h \z \u </w:instrText>
      </w:r>
      <w:r w:rsidR="0066693C" w:rsidRPr="00CB4E93">
        <w:rPr>
          <w:rFonts w:cs="Arial"/>
          <w:sz w:val="20"/>
          <w:szCs w:val="20"/>
        </w:rPr>
        <w:fldChar w:fldCharType="separate"/>
      </w:r>
    </w:p>
    <w:p w14:paraId="2A645DA3" w14:textId="30370E3A" w:rsidR="00CB4E93" w:rsidRPr="00CB4E93" w:rsidRDefault="00CB4E93" w:rsidP="00CB4E93">
      <w:pPr>
        <w:pStyle w:val="TM1"/>
        <w:tabs>
          <w:tab w:val="right" w:leader="dot" w:pos="9062"/>
        </w:tabs>
        <w:spacing w:before="60" w:after="0" w:line="240" w:lineRule="auto"/>
        <w:contextualSpacing/>
        <w:rPr>
          <w:rFonts w:ascii="Arial" w:eastAsiaTheme="minorEastAsia" w:hAnsi="Arial" w:cs="Arial"/>
          <w:b w:val="0"/>
          <w:bCs w:val="0"/>
          <w:caps w:val="0"/>
          <w:noProof/>
          <w:color w:val="auto"/>
          <w:lang w:eastAsia="fr-FR"/>
        </w:rPr>
      </w:pPr>
      <w:hyperlink w:anchor="_Toc52869524" w:history="1">
        <w:r w:rsidRPr="00CB4E93">
          <w:rPr>
            <w:rStyle w:val="Lienhypertexte"/>
            <w:rFonts w:ascii="Arial" w:hAnsi="Arial" w:cs="Arial"/>
            <w:noProof/>
          </w:rPr>
          <w:t>SOMMAIRE</w:t>
        </w:r>
        <w:r w:rsidRPr="00CB4E93">
          <w:rPr>
            <w:rFonts w:ascii="Arial" w:hAnsi="Arial" w:cs="Arial"/>
            <w:noProof/>
            <w:webHidden/>
          </w:rPr>
          <w:tab/>
        </w:r>
        <w:r w:rsidRPr="00CB4E93">
          <w:rPr>
            <w:rFonts w:ascii="Arial" w:hAnsi="Arial" w:cs="Arial"/>
            <w:noProof/>
            <w:webHidden/>
          </w:rPr>
          <w:fldChar w:fldCharType="begin"/>
        </w:r>
        <w:r w:rsidRPr="00CB4E93">
          <w:rPr>
            <w:rFonts w:ascii="Arial" w:hAnsi="Arial" w:cs="Arial"/>
            <w:noProof/>
            <w:webHidden/>
          </w:rPr>
          <w:instrText xml:space="preserve"> PAGEREF _Toc52869524 \h </w:instrText>
        </w:r>
        <w:r w:rsidRPr="00CB4E93">
          <w:rPr>
            <w:rFonts w:ascii="Arial" w:hAnsi="Arial" w:cs="Arial"/>
            <w:noProof/>
            <w:webHidden/>
          </w:rPr>
        </w:r>
        <w:r w:rsidRPr="00CB4E93">
          <w:rPr>
            <w:rFonts w:ascii="Arial" w:hAnsi="Arial" w:cs="Arial"/>
            <w:noProof/>
            <w:webHidden/>
          </w:rPr>
          <w:fldChar w:fldCharType="separate"/>
        </w:r>
        <w:r w:rsidR="009E27E4">
          <w:rPr>
            <w:rFonts w:ascii="Arial" w:hAnsi="Arial" w:cs="Arial"/>
            <w:noProof/>
            <w:webHidden/>
          </w:rPr>
          <w:t>i</w:t>
        </w:r>
        <w:r w:rsidRPr="00CB4E93">
          <w:rPr>
            <w:rFonts w:ascii="Arial" w:hAnsi="Arial" w:cs="Arial"/>
            <w:noProof/>
            <w:webHidden/>
          </w:rPr>
          <w:fldChar w:fldCharType="end"/>
        </w:r>
      </w:hyperlink>
    </w:p>
    <w:p w14:paraId="67690CFB" w14:textId="1648853E" w:rsidR="00CB4E93" w:rsidRPr="00CB4E93" w:rsidRDefault="00CB4E93" w:rsidP="00CB4E93">
      <w:pPr>
        <w:pStyle w:val="TM1"/>
        <w:tabs>
          <w:tab w:val="right" w:leader="dot" w:pos="9062"/>
        </w:tabs>
        <w:spacing w:before="60" w:after="0" w:line="240" w:lineRule="auto"/>
        <w:contextualSpacing/>
        <w:rPr>
          <w:rFonts w:ascii="Arial" w:eastAsiaTheme="minorEastAsia" w:hAnsi="Arial" w:cs="Arial"/>
          <w:b w:val="0"/>
          <w:bCs w:val="0"/>
          <w:caps w:val="0"/>
          <w:noProof/>
          <w:color w:val="auto"/>
          <w:lang w:eastAsia="fr-FR"/>
        </w:rPr>
      </w:pPr>
      <w:hyperlink w:anchor="_Toc52869525" w:history="1">
        <w:r w:rsidRPr="00CB4E93">
          <w:rPr>
            <w:rStyle w:val="Lienhypertexte"/>
            <w:rFonts w:ascii="Arial" w:hAnsi="Arial" w:cs="Arial"/>
            <w:noProof/>
          </w:rPr>
          <w:t>LISTE DES TABLEAUX</w:t>
        </w:r>
        <w:r w:rsidRPr="00CB4E93">
          <w:rPr>
            <w:rFonts w:ascii="Arial" w:hAnsi="Arial" w:cs="Arial"/>
            <w:noProof/>
            <w:webHidden/>
          </w:rPr>
          <w:tab/>
        </w:r>
        <w:r w:rsidRPr="00CB4E93">
          <w:rPr>
            <w:rFonts w:ascii="Arial" w:hAnsi="Arial" w:cs="Arial"/>
            <w:noProof/>
            <w:webHidden/>
          </w:rPr>
          <w:fldChar w:fldCharType="begin"/>
        </w:r>
        <w:r w:rsidRPr="00CB4E93">
          <w:rPr>
            <w:rFonts w:ascii="Arial" w:hAnsi="Arial" w:cs="Arial"/>
            <w:noProof/>
            <w:webHidden/>
          </w:rPr>
          <w:instrText xml:space="preserve"> PAGEREF _Toc52869525 \h </w:instrText>
        </w:r>
        <w:r w:rsidRPr="00CB4E93">
          <w:rPr>
            <w:rFonts w:ascii="Arial" w:hAnsi="Arial" w:cs="Arial"/>
            <w:noProof/>
            <w:webHidden/>
          </w:rPr>
        </w:r>
        <w:r w:rsidRPr="00CB4E93">
          <w:rPr>
            <w:rFonts w:ascii="Arial" w:hAnsi="Arial" w:cs="Arial"/>
            <w:noProof/>
            <w:webHidden/>
          </w:rPr>
          <w:fldChar w:fldCharType="separate"/>
        </w:r>
        <w:r w:rsidR="009E27E4">
          <w:rPr>
            <w:rFonts w:ascii="Arial" w:hAnsi="Arial" w:cs="Arial"/>
            <w:noProof/>
            <w:webHidden/>
          </w:rPr>
          <w:t>iii</w:t>
        </w:r>
        <w:r w:rsidRPr="00CB4E93">
          <w:rPr>
            <w:rFonts w:ascii="Arial" w:hAnsi="Arial" w:cs="Arial"/>
            <w:noProof/>
            <w:webHidden/>
          </w:rPr>
          <w:fldChar w:fldCharType="end"/>
        </w:r>
      </w:hyperlink>
    </w:p>
    <w:p w14:paraId="4423E00F" w14:textId="7C2CCA28" w:rsidR="00CB4E93" w:rsidRPr="00CB4E93" w:rsidRDefault="00CB4E93" w:rsidP="00CB4E93">
      <w:pPr>
        <w:pStyle w:val="TM1"/>
        <w:tabs>
          <w:tab w:val="right" w:leader="dot" w:pos="9062"/>
        </w:tabs>
        <w:spacing w:before="60" w:after="0" w:line="240" w:lineRule="auto"/>
        <w:contextualSpacing/>
        <w:rPr>
          <w:rFonts w:ascii="Arial" w:eastAsiaTheme="minorEastAsia" w:hAnsi="Arial" w:cs="Arial"/>
          <w:b w:val="0"/>
          <w:bCs w:val="0"/>
          <w:caps w:val="0"/>
          <w:noProof/>
          <w:color w:val="auto"/>
          <w:lang w:eastAsia="fr-FR"/>
        </w:rPr>
      </w:pPr>
      <w:hyperlink w:anchor="_Toc52869526" w:history="1">
        <w:r w:rsidRPr="00CB4E93">
          <w:rPr>
            <w:rStyle w:val="Lienhypertexte"/>
            <w:rFonts w:ascii="Arial" w:hAnsi="Arial" w:cs="Arial"/>
            <w:noProof/>
          </w:rPr>
          <w:t>LISTE DES FIGURES</w:t>
        </w:r>
        <w:r w:rsidRPr="00CB4E93">
          <w:rPr>
            <w:rFonts w:ascii="Arial" w:hAnsi="Arial" w:cs="Arial"/>
            <w:noProof/>
            <w:webHidden/>
          </w:rPr>
          <w:tab/>
        </w:r>
        <w:r w:rsidRPr="00CB4E93">
          <w:rPr>
            <w:rFonts w:ascii="Arial" w:hAnsi="Arial" w:cs="Arial"/>
            <w:noProof/>
            <w:webHidden/>
          </w:rPr>
          <w:fldChar w:fldCharType="begin"/>
        </w:r>
        <w:r w:rsidRPr="00CB4E93">
          <w:rPr>
            <w:rFonts w:ascii="Arial" w:hAnsi="Arial" w:cs="Arial"/>
            <w:noProof/>
            <w:webHidden/>
          </w:rPr>
          <w:instrText xml:space="preserve"> PAGEREF _Toc52869526 \h </w:instrText>
        </w:r>
        <w:r w:rsidRPr="00CB4E93">
          <w:rPr>
            <w:rFonts w:ascii="Arial" w:hAnsi="Arial" w:cs="Arial"/>
            <w:noProof/>
            <w:webHidden/>
          </w:rPr>
        </w:r>
        <w:r w:rsidRPr="00CB4E93">
          <w:rPr>
            <w:rFonts w:ascii="Arial" w:hAnsi="Arial" w:cs="Arial"/>
            <w:noProof/>
            <w:webHidden/>
          </w:rPr>
          <w:fldChar w:fldCharType="separate"/>
        </w:r>
        <w:r w:rsidR="009E27E4">
          <w:rPr>
            <w:rFonts w:ascii="Arial" w:hAnsi="Arial" w:cs="Arial"/>
            <w:noProof/>
            <w:webHidden/>
          </w:rPr>
          <w:t>v</w:t>
        </w:r>
        <w:r w:rsidRPr="00CB4E93">
          <w:rPr>
            <w:rFonts w:ascii="Arial" w:hAnsi="Arial" w:cs="Arial"/>
            <w:noProof/>
            <w:webHidden/>
          </w:rPr>
          <w:fldChar w:fldCharType="end"/>
        </w:r>
      </w:hyperlink>
    </w:p>
    <w:p w14:paraId="2F57885A" w14:textId="08E1E01E" w:rsidR="00CB4E93" w:rsidRPr="00CB4E93" w:rsidRDefault="00CB4E93" w:rsidP="00CB4E93">
      <w:pPr>
        <w:pStyle w:val="TM1"/>
        <w:tabs>
          <w:tab w:val="right" w:leader="dot" w:pos="9062"/>
        </w:tabs>
        <w:spacing w:before="60" w:after="0" w:line="240" w:lineRule="auto"/>
        <w:contextualSpacing/>
        <w:rPr>
          <w:rFonts w:ascii="Arial" w:eastAsiaTheme="minorEastAsia" w:hAnsi="Arial" w:cs="Arial"/>
          <w:b w:val="0"/>
          <w:bCs w:val="0"/>
          <w:caps w:val="0"/>
          <w:noProof/>
          <w:color w:val="auto"/>
          <w:lang w:eastAsia="fr-FR"/>
        </w:rPr>
      </w:pPr>
      <w:hyperlink w:anchor="_Toc52869527" w:history="1">
        <w:r w:rsidRPr="00CB4E93">
          <w:rPr>
            <w:rStyle w:val="Lienhypertexte"/>
            <w:rFonts w:ascii="Arial" w:hAnsi="Arial" w:cs="Arial"/>
            <w:noProof/>
          </w:rPr>
          <w:t>Planches et photos</w:t>
        </w:r>
        <w:r w:rsidRPr="00CB4E93">
          <w:rPr>
            <w:rFonts w:ascii="Arial" w:hAnsi="Arial" w:cs="Arial"/>
            <w:noProof/>
            <w:webHidden/>
          </w:rPr>
          <w:tab/>
        </w:r>
        <w:r w:rsidRPr="00CB4E93">
          <w:rPr>
            <w:rFonts w:ascii="Arial" w:hAnsi="Arial" w:cs="Arial"/>
            <w:noProof/>
            <w:webHidden/>
          </w:rPr>
          <w:fldChar w:fldCharType="begin"/>
        </w:r>
        <w:r w:rsidRPr="00CB4E93">
          <w:rPr>
            <w:rFonts w:ascii="Arial" w:hAnsi="Arial" w:cs="Arial"/>
            <w:noProof/>
            <w:webHidden/>
          </w:rPr>
          <w:instrText xml:space="preserve"> PAGEREF _Toc52869527 \h </w:instrText>
        </w:r>
        <w:r w:rsidRPr="00CB4E93">
          <w:rPr>
            <w:rFonts w:ascii="Arial" w:hAnsi="Arial" w:cs="Arial"/>
            <w:noProof/>
            <w:webHidden/>
          </w:rPr>
        </w:r>
        <w:r w:rsidRPr="00CB4E93">
          <w:rPr>
            <w:rFonts w:ascii="Arial" w:hAnsi="Arial" w:cs="Arial"/>
            <w:noProof/>
            <w:webHidden/>
          </w:rPr>
          <w:fldChar w:fldCharType="separate"/>
        </w:r>
        <w:r w:rsidR="009E27E4">
          <w:rPr>
            <w:rFonts w:ascii="Arial" w:hAnsi="Arial" w:cs="Arial"/>
            <w:noProof/>
            <w:webHidden/>
          </w:rPr>
          <w:t>v</w:t>
        </w:r>
        <w:r w:rsidRPr="00CB4E93">
          <w:rPr>
            <w:rFonts w:ascii="Arial" w:hAnsi="Arial" w:cs="Arial"/>
            <w:noProof/>
            <w:webHidden/>
          </w:rPr>
          <w:fldChar w:fldCharType="end"/>
        </w:r>
      </w:hyperlink>
    </w:p>
    <w:p w14:paraId="4C16A38F" w14:textId="58DB65EB" w:rsidR="00CB4E93" w:rsidRPr="00CB4E93" w:rsidRDefault="00CB4E93" w:rsidP="00CB4E93">
      <w:pPr>
        <w:pStyle w:val="TM1"/>
        <w:tabs>
          <w:tab w:val="right" w:leader="dot" w:pos="9062"/>
        </w:tabs>
        <w:spacing w:before="60" w:after="0" w:line="240" w:lineRule="auto"/>
        <w:contextualSpacing/>
        <w:rPr>
          <w:rFonts w:ascii="Arial" w:eastAsiaTheme="minorEastAsia" w:hAnsi="Arial" w:cs="Arial"/>
          <w:b w:val="0"/>
          <w:bCs w:val="0"/>
          <w:caps w:val="0"/>
          <w:noProof/>
          <w:color w:val="auto"/>
          <w:lang w:eastAsia="fr-FR"/>
        </w:rPr>
      </w:pPr>
      <w:hyperlink w:anchor="_Toc52869528" w:history="1">
        <w:r w:rsidRPr="00CB4E93">
          <w:rPr>
            <w:rStyle w:val="Lienhypertexte"/>
            <w:rFonts w:ascii="Arial" w:hAnsi="Arial" w:cs="Arial"/>
            <w:noProof/>
          </w:rPr>
          <w:t>SIGLES ET ABBREVIATIONS</w:t>
        </w:r>
        <w:r w:rsidRPr="00CB4E93">
          <w:rPr>
            <w:rFonts w:ascii="Arial" w:hAnsi="Arial" w:cs="Arial"/>
            <w:noProof/>
            <w:webHidden/>
          </w:rPr>
          <w:tab/>
        </w:r>
        <w:r w:rsidRPr="00CB4E93">
          <w:rPr>
            <w:rFonts w:ascii="Arial" w:hAnsi="Arial" w:cs="Arial"/>
            <w:noProof/>
            <w:webHidden/>
          </w:rPr>
          <w:fldChar w:fldCharType="begin"/>
        </w:r>
        <w:r w:rsidRPr="00CB4E93">
          <w:rPr>
            <w:rFonts w:ascii="Arial" w:hAnsi="Arial" w:cs="Arial"/>
            <w:noProof/>
            <w:webHidden/>
          </w:rPr>
          <w:instrText xml:space="preserve"> PAGEREF _Toc52869528 \h </w:instrText>
        </w:r>
        <w:r w:rsidRPr="00CB4E93">
          <w:rPr>
            <w:rFonts w:ascii="Arial" w:hAnsi="Arial" w:cs="Arial"/>
            <w:noProof/>
            <w:webHidden/>
          </w:rPr>
        </w:r>
        <w:r w:rsidRPr="00CB4E93">
          <w:rPr>
            <w:rFonts w:ascii="Arial" w:hAnsi="Arial" w:cs="Arial"/>
            <w:noProof/>
            <w:webHidden/>
          </w:rPr>
          <w:fldChar w:fldCharType="separate"/>
        </w:r>
        <w:r w:rsidR="009E27E4">
          <w:rPr>
            <w:rFonts w:ascii="Arial" w:hAnsi="Arial" w:cs="Arial"/>
            <w:noProof/>
            <w:webHidden/>
          </w:rPr>
          <w:t>vi</w:t>
        </w:r>
        <w:r w:rsidRPr="00CB4E93">
          <w:rPr>
            <w:rFonts w:ascii="Arial" w:hAnsi="Arial" w:cs="Arial"/>
            <w:noProof/>
            <w:webHidden/>
          </w:rPr>
          <w:fldChar w:fldCharType="end"/>
        </w:r>
      </w:hyperlink>
    </w:p>
    <w:p w14:paraId="1B8D8E00" w14:textId="37883BEB" w:rsidR="00CB4E93" w:rsidRPr="00CB4E93" w:rsidRDefault="00CB4E93" w:rsidP="00CB4E93">
      <w:pPr>
        <w:pStyle w:val="TM1"/>
        <w:tabs>
          <w:tab w:val="right" w:leader="dot" w:pos="9062"/>
        </w:tabs>
        <w:spacing w:before="60" w:after="0" w:line="240" w:lineRule="auto"/>
        <w:contextualSpacing/>
        <w:rPr>
          <w:rFonts w:ascii="Arial" w:eastAsiaTheme="minorEastAsia" w:hAnsi="Arial" w:cs="Arial"/>
          <w:b w:val="0"/>
          <w:bCs w:val="0"/>
          <w:caps w:val="0"/>
          <w:noProof/>
          <w:color w:val="auto"/>
          <w:lang w:eastAsia="fr-FR"/>
        </w:rPr>
      </w:pPr>
      <w:hyperlink w:anchor="_Toc52869529" w:history="1">
        <w:r w:rsidRPr="00CB4E93">
          <w:rPr>
            <w:rStyle w:val="Lienhypertexte"/>
            <w:rFonts w:ascii="Arial" w:hAnsi="Arial" w:cs="Arial"/>
            <w:noProof/>
          </w:rPr>
          <w:t>RESUME non technique</w:t>
        </w:r>
        <w:r w:rsidRPr="00CB4E93">
          <w:rPr>
            <w:rFonts w:ascii="Arial" w:hAnsi="Arial" w:cs="Arial"/>
            <w:noProof/>
            <w:webHidden/>
          </w:rPr>
          <w:tab/>
        </w:r>
        <w:r w:rsidRPr="00CB4E93">
          <w:rPr>
            <w:rFonts w:ascii="Arial" w:hAnsi="Arial" w:cs="Arial"/>
            <w:noProof/>
            <w:webHidden/>
          </w:rPr>
          <w:fldChar w:fldCharType="begin"/>
        </w:r>
        <w:r w:rsidRPr="00CB4E93">
          <w:rPr>
            <w:rFonts w:ascii="Arial" w:hAnsi="Arial" w:cs="Arial"/>
            <w:noProof/>
            <w:webHidden/>
          </w:rPr>
          <w:instrText xml:space="preserve"> PAGEREF _Toc52869529 \h </w:instrText>
        </w:r>
        <w:r w:rsidRPr="00CB4E93">
          <w:rPr>
            <w:rFonts w:ascii="Arial" w:hAnsi="Arial" w:cs="Arial"/>
            <w:noProof/>
            <w:webHidden/>
          </w:rPr>
        </w:r>
        <w:r w:rsidRPr="00CB4E93">
          <w:rPr>
            <w:rFonts w:ascii="Arial" w:hAnsi="Arial" w:cs="Arial"/>
            <w:noProof/>
            <w:webHidden/>
          </w:rPr>
          <w:fldChar w:fldCharType="separate"/>
        </w:r>
        <w:r w:rsidR="009E27E4">
          <w:rPr>
            <w:rFonts w:ascii="Arial" w:hAnsi="Arial" w:cs="Arial"/>
            <w:noProof/>
            <w:webHidden/>
          </w:rPr>
          <w:t>viii</w:t>
        </w:r>
        <w:r w:rsidRPr="00CB4E93">
          <w:rPr>
            <w:rFonts w:ascii="Arial" w:hAnsi="Arial" w:cs="Arial"/>
            <w:noProof/>
            <w:webHidden/>
          </w:rPr>
          <w:fldChar w:fldCharType="end"/>
        </w:r>
      </w:hyperlink>
    </w:p>
    <w:p w14:paraId="208D62CE" w14:textId="4FD2F215" w:rsidR="00CB4E93" w:rsidRPr="00CB4E93" w:rsidRDefault="00CB4E93" w:rsidP="00CB4E93">
      <w:pPr>
        <w:pStyle w:val="TM2"/>
        <w:contextualSpacing/>
        <w:rPr>
          <w:rFonts w:eastAsiaTheme="minorEastAsia"/>
          <w:b w:val="0"/>
          <w:i w:val="0"/>
          <w:caps w:val="0"/>
          <w:color w:val="auto"/>
        </w:rPr>
      </w:pPr>
      <w:hyperlink w:anchor="_Toc52869530" w:history="1">
        <w:r w:rsidRPr="00CB4E93">
          <w:rPr>
            <w:rStyle w:val="Lienhypertexte"/>
            <w:rFonts w:eastAsiaTheme="majorEastAsia"/>
          </w:rPr>
          <w:t>A. Aperçu sur le projet</w:t>
        </w:r>
        <w:r w:rsidRPr="00CB4E93">
          <w:rPr>
            <w:webHidden/>
          </w:rPr>
          <w:tab/>
        </w:r>
        <w:r w:rsidRPr="00CB4E93">
          <w:rPr>
            <w:webHidden/>
          </w:rPr>
          <w:fldChar w:fldCharType="begin"/>
        </w:r>
        <w:r w:rsidRPr="00CB4E93">
          <w:rPr>
            <w:webHidden/>
          </w:rPr>
          <w:instrText xml:space="preserve"> PAGEREF _Toc52869530 \h </w:instrText>
        </w:r>
        <w:r w:rsidRPr="00CB4E93">
          <w:rPr>
            <w:webHidden/>
          </w:rPr>
        </w:r>
        <w:r w:rsidRPr="00CB4E93">
          <w:rPr>
            <w:webHidden/>
          </w:rPr>
          <w:fldChar w:fldCharType="separate"/>
        </w:r>
        <w:r w:rsidR="009E27E4">
          <w:rPr>
            <w:webHidden/>
          </w:rPr>
          <w:t>viii</w:t>
        </w:r>
        <w:r w:rsidRPr="00CB4E93">
          <w:rPr>
            <w:webHidden/>
          </w:rPr>
          <w:fldChar w:fldCharType="end"/>
        </w:r>
      </w:hyperlink>
    </w:p>
    <w:p w14:paraId="102105A8" w14:textId="48C1AA55" w:rsidR="00CB4E93" w:rsidRPr="00CB4E93" w:rsidRDefault="00CB4E93" w:rsidP="00CB4E93">
      <w:pPr>
        <w:pStyle w:val="TM2"/>
        <w:contextualSpacing/>
        <w:rPr>
          <w:rFonts w:eastAsiaTheme="minorEastAsia"/>
          <w:b w:val="0"/>
          <w:i w:val="0"/>
          <w:caps w:val="0"/>
          <w:color w:val="auto"/>
        </w:rPr>
      </w:pPr>
      <w:hyperlink w:anchor="_Toc52869536" w:history="1">
        <w:r w:rsidRPr="00CB4E93">
          <w:rPr>
            <w:rStyle w:val="Lienhypertexte"/>
            <w:rFonts w:eastAsiaTheme="majorEastAsia"/>
          </w:rPr>
          <w:t>B. Description du site d’accueil du projet</w:t>
        </w:r>
        <w:r w:rsidRPr="00CB4E93">
          <w:rPr>
            <w:webHidden/>
          </w:rPr>
          <w:tab/>
        </w:r>
        <w:r w:rsidRPr="00CB4E93">
          <w:rPr>
            <w:webHidden/>
          </w:rPr>
          <w:fldChar w:fldCharType="begin"/>
        </w:r>
        <w:r w:rsidRPr="00CB4E93">
          <w:rPr>
            <w:webHidden/>
          </w:rPr>
          <w:instrText xml:space="preserve"> PAGEREF _Toc52869536 \h </w:instrText>
        </w:r>
        <w:r w:rsidRPr="00CB4E93">
          <w:rPr>
            <w:webHidden/>
          </w:rPr>
        </w:r>
        <w:r w:rsidRPr="00CB4E93">
          <w:rPr>
            <w:webHidden/>
          </w:rPr>
          <w:fldChar w:fldCharType="separate"/>
        </w:r>
        <w:r w:rsidR="009E27E4">
          <w:rPr>
            <w:webHidden/>
          </w:rPr>
          <w:t>xiii</w:t>
        </w:r>
        <w:r w:rsidRPr="00CB4E93">
          <w:rPr>
            <w:webHidden/>
          </w:rPr>
          <w:fldChar w:fldCharType="end"/>
        </w:r>
      </w:hyperlink>
    </w:p>
    <w:p w14:paraId="4DF93ACE" w14:textId="2E5CD2A2" w:rsidR="00CB4E93" w:rsidRPr="00CB4E93" w:rsidRDefault="00CB4E93" w:rsidP="00CB4E93">
      <w:pPr>
        <w:pStyle w:val="TM2"/>
        <w:contextualSpacing/>
        <w:rPr>
          <w:rFonts w:eastAsiaTheme="minorEastAsia"/>
          <w:b w:val="0"/>
          <w:i w:val="0"/>
          <w:caps w:val="0"/>
          <w:color w:val="auto"/>
        </w:rPr>
      </w:pPr>
      <w:hyperlink w:anchor="_Toc52869541" w:history="1">
        <w:r w:rsidRPr="00CB4E93">
          <w:rPr>
            <w:rStyle w:val="Lienhypertexte"/>
            <w:rFonts w:eastAsiaTheme="majorEastAsia"/>
          </w:rPr>
          <w:t>C. Les principaux enjeux du projet</w:t>
        </w:r>
        <w:r w:rsidRPr="00CB4E93">
          <w:rPr>
            <w:webHidden/>
          </w:rPr>
          <w:tab/>
        </w:r>
        <w:r w:rsidRPr="00CB4E93">
          <w:rPr>
            <w:webHidden/>
          </w:rPr>
          <w:fldChar w:fldCharType="begin"/>
        </w:r>
        <w:r w:rsidRPr="00CB4E93">
          <w:rPr>
            <w:webHidden/>
          </w:rPr>
          <w:instrText xml:space="preserve"> PAGEREF _Toc52869541 \h </w:instrText>
        </w:r>
        <w:r w:rsidRPr="00CB4E93">
          <w:rPr>
            <w:webHidden/>
          </w:rPr>
        </w:r>
        <w:r w:rsidRPr="00CB4E93">
          <w:rPr>
            <w:webHidden/>
          </w:rPr>
          <w:fldChar w:fldCharType="separate"/>
        </w:r>
        <w:r w:rsidR="009E27E4">
          <w:rPr>
            <w:webHidden/>
          </w:rPr>
          <w:t>xviii</w:t>
        </w:r>
        <w:r w:rsidRPr="00CB4E93">
          <w:rPr>
            <w:webHidden/>
          </w:rPr>
          <w:fldChar w:fldCharType="end"/>
        </w:r>
      </w:hyperlink>
    </w:p>
    <w:p w14:paraId="6D51C80D" w14:textId="129D2486" w:rsidR="00CB4E93" w:rsidRPr="00CB4E93" w:rsidRDefault="00CB4E93" w:rsidP="00CB4E93">
      <w:pPr>
        <w:pStyle w:val="TM2"/>
        <w:contextualSpacing/>
        <w:rPr>
          <w:rFonts w:eastAsiaTheme="minorEastAsia"/>
          <w:b w:val="0"/>
          <w:i w:val="0"/>
          <w:caps w:val="0"/>
          <w:color w:val="auto"/>
        </w:rPr>
      </w:pPr>
      <w:hyperlink w:anchor="_Toc52869542" w:history="1">
        <w:r w:rsidRPr="00CB4E93">
          <w:rPr>
            <w:rStyle w:val="Lienhypertexte"/>
            <w:rFonts w:eastAsiaTheme="majorEastAsia"/>
            <w:lang w:eastAsia="de-DE"/>
          </w:rPr>
          <w:t>D. Cadre politique, juridique et institutionnel du projet</w:t>
        </w:r>
        <w:r w:rsidRPr="00CB4E93">
          <w:rPr>
            <w:webHidden/>
          </w:rPr>
          <w:tab/>
        </w:r>
        <w:r w:rsidRPr="00CB4E93">
          <w:rPr>
            <w:webHidden/>
          </w:rPr>
          <w:fldChar w:fldCharType="begin"/>
        </w:r>
        <w:r w:rsidRPr="00CB4E93">
          <w:rPr>
            <w:webHidden/>
          </w:rPr>
          <w:instrText xml:space="preserve"> PAGEREF _Toc52869542 \h </w:instrText>
        </w:r>
        <w:r w:rsidRPr="00CB4E93">
          <w:rPr>
            <w:webHidden/>
          </w:rPr>
        </w:r>
        <w:r w:rsidRPr="00CB4E93">
          <w:rPr>
            <w:webHidden/>
          </w:rPr>
          <w:fldChar w:fldCharType="separate"/>
        </w:r>
        <w:r w:rsidR="009E27E4">
          <w:rPr>
            <w:webHidden/>
          </w:rPr>
          <w:t>xix</w:t>
        </w:r>
        <w:r w:rsidRPr="00CB4E93">
          <w:rPr>
            <w:webHidden/>
          </w:rPr>
          <w:fldChar w:fldCharType="end"/>
        </w:r>
      </w:hyperlink>
    </w:p>
    <w:p w14:paraId="7574850B" w14:textId="52868659" w:rsidR="00CB4E93" w:rsidRPr="00CB4E93" w:rsidRDefault="00CB4E93" w:rsidP="00CB4E93">
      <w:pPr>
        <w:pStyle w:val="TM2"/>
        <w:contextualSpacing/>
        <w:rPr>
          <w:rFonts w:eastAsiaTheme="minorEastAsia"/>
          <w:b w:val="0"/>
          <w:i w:val="0"/>
          <w:caps w:val="0"/>
          <w:color w:val="auto"/>
        </w:rPr>
      </w:pPr>
      <w:hyperlink w:anchor="_Toc52869543" w:history="1">
        <w:r w:rsidRPr="00CB4E93">
          <w:rPr>
            <w:rStyle w:val="Lienhypertexte"/>
            <w:rFonts w:eastAsia="Arial"/>
          </w:rPr>
          <w:t>E. Les impacts majeurs du projet</w:t>
        </w:r>
        <w:r w:rsidRPr="00CB4E93">
          <w:rPr>
            <w:webHidden/>
          </w:rPr>
          <w:tab/>
        </w:r>
        <w:r w:rsidRPr="00CB4E93">
          <w:rPr>
            <w:webHidden/>
          </w:rPr>
          <w:fldChar w:fldCharType="begin"/>
        </w:r>
        <w:r w:rsidRPr="00CB4E93">
          <w:rPr>
            <w:webHidden/>
          </w:rPr>
          <w:instrText xml:space="preserve"> PAGEREF _Toc52869543 \h </w:instrText>
        </w:r>
        <w:r w:rsidRPr="00CB4E93">
          <w:rPr>
            <w:webHidden/>
          </w:rPr>
        </w:r>
        <w:r w:rsidRPr="00CB4E93">
          <w:rPr>
            <w:webHidden/>
          </w:rPr>
          <w:fldChar w:fldCharType="separate"/>
        </w:r>
        <w:r w:rsidR="009E27E4">
          <w:rPr>
            <w:webHidden/>
          </w:rPr>
          <w:t>xxi</w:t>
        </w:r>
        <w:r w:rsidRPr="00CB4E93">
          <w:rPr>
            <w:webHidden/>
          </w:rPr>
          <w:fldChar w:fldCharType="end"/>
        </w:r>
      </w:hyperlink>
    </w:p>
    <w:p w14:paraId="1220ED9C" w14:textId="6C4FBAA6" w:rsidR="00CB4E93" w:rsidRPr="00CB4E93" w:rsidRDefault="00CB4E93" w:rsidP="00CB4E93">
      <w:pPr>
        <w:pStyle w:val="TM2"/>
        <w:contextualSpacing/>
        <w:rPr>
          <w:rFonts w:eastAsiaTheme="minorEastAsia"/>
          <w:b w:val="0"/>
          <w:i w:val="0"/>
          <w:caps w:val="0"/>
          <w:color w:val="auto"/>
        </w:rPr>
      </w:pPr>
      <w:hyperlink w:anchor="_Toc52869544" w:history="1">
        <w:r w:rsidRPr="00CB4E93">
          <w:rPr>
            <w:rStyle w:val="Lienhypertexte"/>
            <w:rFonts w:eastAsiaTheme="majorEastAsia"/>
          </w:rPr>
          <w:t>F. Consultations publiques</w:t>
        </w:r>
        <w:r w:rsidRPr="00CB4E93">
          <w:rPr>
            <w:webHidden/>
          </w:rPr>
          <w:tab/>
        </w:r>
        <w:r w:rsidRPr="00CB4E93">
          <w:rPr>
            <w:webHidden/>
          </w:rPr>
          <w:fldChar w:fldCharType="begin"/>
        </w:r>
        <w:r w:rsidRPr="00CB4E93">
          <w:rPr>
            <w:webHidden/>
          </w:rPr>
          <w:instrText xml:space="preserve"> PAGEREF _Toc52869544 \h </w:instrText>
        </w:r>
        <w:r w:rsidRPr="00CB4E93">
          <w:rPr>
            <w:webHidden/>
          </w:rPr>
        </w:r>
        <w:r w:rsidRPr="00CB4E93">
          <w:rPr>
            <w:webHidden/>
          </w:rPr>
          <w:fldChar w:fldCharType="separate"/>
        </w:r>
        <w:r w:rsidR="009E27E4">
          <w:rPr>
            <w:webHidden/>
          </w:rPr>
          <w:t>xxiv</w:t>
        </w:r>
        <w:r w:rsidRPr="00CB4E93">
          <w:rPr>
            <w:webHidden/>
          </w:rPr>
          <w:fldChar w:fldCharType="end"/>
        </w:r>
      </w:hyperlink>
    </w:p>
    <w:p w14:paraId="144841D5" w14:textId="3EFD513A" w:rsidR="00CB4E93" w:rsidRPr="00CB4E93" w:rsidRDefault="00CB4E93" w:rsidP="00CB4E93">
      <w:pPr>
        <w:pStyle w:val="TM2"/>
        <w:contextualSpacing/>
        <w:rPr>
          <w:rFonts w:eastAsiaTheme="minorEastAsia"/>
          <w:b w:val="0"/>
          <w:i w:val="0"/>
          <w:caps w:val="0"/>
          <w:color w:val="auto"/>
        </w:rPr>
      </w:pPr>
      <w:hyperlink w:anchor="_Toc52869545" w:history="1">
        <w:r w:rsidRPr="00CB4E93">
          <w:rPr>
            <w:rStyle w:val="Lienhypertexte"/>
            <w:rFonts w:eastAsiaTheme="majorEastAsia"/>
          </w:rPr>
          <w:t>G. Plan de Gestion Environnementale et Sociale</w:t>
        </w:r>
        <w:r w:rsidRPr="00CB4E93">
          <w:rPr>
            <w:webHidden/>
          </w:rPr>
          <w:tab/>
        </w:r>
        <w:r w:rsidRPr="00CB4E93">
          <w:rPr>
            <w:webHidden/>
          </w:rPr>
          <w:fldChar w:fldCharType="begin"/>
        </w:r>
        <w:r w:rsidRPr="00CB4E93">
          <w:rPr>
            <w:webHidden/>
          </w:rPr>
          <w:instrText xml:space="preserve"> PAGEREF _Toc52869545 \h </w:instrText>
        </w:r>
        <w:r w:rsidRPr="00CB4E93">
          <w:rPr>
            <w:webHidden/>
          </w:rPr>
        </w:r>
        <w:r w:rsidRPr="00CB4E93">
          <w:rPr>
            <w:webHidden/>
          </w:rPr>
          <w:fldChar w:fldCharType="separate"/>
        </w:r>
        <w:r w:rsidR="009E27E4">
          <w:rPr>
            <w:webHidden/>
          </w:rPr>
          <w:t>xxvi</w:t>
        </w:r>
        <w:r w:rsidRPr="00CB4E93">
          <w:rPr>
            <w:webHidden/>
          </w:rPr>
          <w:fldChar w:fldCharType="end"/>
        </w:r>
      </w:hyperlink>
    </w:p>
    <w:p w14:paraId="331238C9" w14:textId="09F1BCB2" w:rsidR="00CB4E93" w:rsidRPr="00CB4E93" w:rsidRDefault="00CB4E93" w:rsidP="00CB4E93">
      <w:pPr>
        <w:pStyle w:val="TM1"/>
        <w:tabs>
          <w:tab w:val="left" w:pos="440"/>
          <w:tab w:val="right" w:leader="dot" w:pos="9062"/>
        </w:tabs>
        <w:spacing w:before="60" w:after="0" w:line="240" w:lineRule="auto"/>
        <w:contextualSpacing/>
        <w:rPr>
          <w:rFonts w:ascii="Arial" w:eastAsiaTheme="minorEastAsia" w:hAnsi="Arial" w:cs="Arial"/>
          <w:b w:val="0"/>
          <w:bCs w:val="0"/>
          <w:caps w:val="0"/>
          <w:noProof/>
          <w:color w:val="auto"/>
          <w:lang w:eastAsia="fr-FR"/>
        </w:rPr>
      </w:pPr>
      <w:hyperlink w:anchor="_Toc52869546" w:history="1">
        <w:r w:rsidRPr="00CB4E93">
          <w:rPr>
            <w:rStyle w:val="Lienhypertexte"/>
            <w:rFonts w:ascii="Arial" w:hAnsi="Arial" w:cs="Arial"/>
            <w:noProof/>
          </w:rPr>
          <w:t>I.</w:t>
        </w:r>
        <w:r w:rsidRPr="00CB4E93">
          <w:rPr>
            <w:rFonts w:ascii="Arial" w:eastAsiaTheme="minorEastAsia" w:hAnsi="Arial" w:cs="Arial"/>
            <w:b w:val="0"/>
            <w:bCs w:val="0"/>
            <w:caps w:val="0"/>
            <w:noProof/>
            <w:color w:val="auto"/>
            <w:lang w:eastAsia="fr-FR"/>
          </w:rPr>
          <w:tab/>
        </w:r>
        <w:r w:rsidRPr="00CB4E93">
          <w:rPr>
            <w:rStyle w:val="Lienhypertexte"/>
            <w:rFonts w:ascii="Arial" w:hAnsi="Arial" w:cs="Arial"/>
            <w:noProof/>
          </w:rPr>
          <w:t>INTRODUCTION</w:t>
        </w:r>
        <w:r w:rsidRPr="00CB4E93">
          <w:rPr>
            <w:rFonts w:ascii="Arial" w:hAnsi="Arial" w:cs="Arial"/>
            <w:noProof/>
            <w:webHidden/>
          </w:rPr>
          <w:tab/>
        </w:r>
        <w:r w:rsidRPr="00CB4E93">
          <w:rPr>
            <w:rFonts w:ascii="Arial" w:hAnsi="Arial" w:cs="Arial"/>
            <w:noProof/>
            <w:webHidden/>
          </w:rPr>
          <w:fldChar w:fldCharType="begin"/>
        </w:r>
        <w:r w:rsidRPr="00CB4E93">
          <w:rPr>
            <w:rFonts w:ascii="Arial" w:hAnsi="Arial" w:cs="Arial"/>
            <w:noProof/>
            <w:webHidden/>
          </w:rPr>
          <w:instrText xml:space="preserve"> PAGEREF _Toc52869546 \h </w:instrText>
        </w:r>
        <w:r w:rsidRPr="00CB4E93">
          <w:rPr>
            <w:rFonts w:ascii="Arial" w:hAnsi="Arial" w:cs="Arial"/>
            <w:noProof/>
            <w:webHidden/>
          </w:rPr>
        </w:r>
        <w:r w:rsidRPr="00CB4E93">
          <w:rPr>
            <w:rFonts w:ascii="Arial" w:hAnsi="Arial" w:cs="Arial"/>
            <w:noProof/>
            <w:webHidden/>
          </w:rPr>
          <w:fldChar w:fldCharType="separate"/>
        </w:r>
        <w:r w:rsidR="009E27E4">
          <w:rPr>
            <w:rFonts w:ascii="Arial" w:hAnsi="Arial" w:cs="Arial"/>
            <w:noProof/>
            <w:webHidden/>
          </w:rPr>
          <w:t>1</w:t>
        </w:r>
        <w:r w:rsidRPr="00CB4E93">
          <w:rPr>
            <w:rFonts w:ascii="Arial" w:hAnsi="Arial" w:cs="Arial"/>
            <w:noProof/>
            <w:webHidden/>
          </w:rPr>
          <w:fldChar w:fldCharType="end"/>
        </w:r>
      </w:hyperlink>
    </w:p>
    <w:p w14:paraId="5D193788" w14:textId="5B69908D" w:rsidR="00CB4E93" w:rsidRPr="00CB4E93" w:rsidRDefault="00CB4E93" w:rsidP="00CB4E93">
      <w:pPr>
        <w:pStyle w:val="TM2"/>
        <w:contextualSpacing/>
        <w:rPr>
          <w:rFonts w:eastAsiaTheme="minorEastAsia"/>
          <w:b w:val="0"/>
          <w:i w:val="0"/>
          <w:caps w:val="0"/>
          <w:color w:val="auto"/>
        </w:rPr>
      </w:pPr>
      <w:hyperlink w:anchor="_Toc52869547" w:history="1">
        <w:r w:rsidRPr="00CB4E93">
          <w:rPr>
            <w:rStyle w:val="Lienhypertexte"/>
            <w:rFonts w:eastAsiaTheme="majorEastAsia"/>
          </w:rPr>
          <w:t>1.1. Contexte général</w:t>
        </w:r>
        <w:r w:rsidRPr="00CB4E93">
          <w:rPr>
            <w:webHidden/>
          </w:rPr>
          <w:tab/>
        </w:r>
        <w:r w:rsidRPr="00CB4E93">
          <w:rPr>
            <w:webHidden/>
          </w:rPr>
          <w:fldChar w:fldCharType="begin"/>
        </w:r>
        <w:r w:rsidRPr="00CB4E93">
          <w:rPr>
            <w:webHidden/>
          </w:rPr>
          <w:instrText xml:space="preserve"> PAGEREF _Toc52869547 \h </w:instrText>
        </w:r>
        <w:r w:rsidRPr="00CB4E93">
          <w:rPr>
            <w:webHidden/>
          </w:rPr>
        </w:r>
        <w:r w:rsidRPr="00CB4E93">
          <w:rPr>
            <w:webHidden/>
          </w:rPr>
          <w:fldChar w:fldCharType="separate"/>
        </w:r>
        <w:r w:rsidR="009E27E4">
          <w:rPr>
            <w:webHidden/>
          </w:rPr>
          <w:t>1</w:t>
        </w:r>
        <w:r w:rsidRPr="00CB4E93">
          <w:rPr>
            <w:webHidden/>
          </w:rPr>
          <w:fldChar w:fldCharType="end"/>
        </w:r>
      </w:hyperlink>
    </w:p>
    <w:p w14:paraId="2B74454F" w14:textId="27CA0BC1" w:rsidR="00CB4E93" w:rsidRPr="00CB4E93" w:rsidRDefault="00CB4E93" w:rsidP="00CB4E93">
      <w:pPr>
        <w:pStyle w:val="TM3"/>
        <w:tabs>
          <w:tab w:val="right" w:leader="dot" w:pos="9062"/>
        </w:tabs>
        <w:spacing w:before="60" w:after="0" w:line="240" w:lineRule="auto"/>
        <w:contextualSpacing/>
        <w:rPr>
          <w:rFonts w:eastAsiaTheme="minorEastAsia" w:cs="Arial"/>
          <w:noProof/>
          <w:color w:val="auto"/>
          <w:sz w:val="20"/>
          <w:szCs w:val="20"/>
          <w:lang w:eastAsia="fr-FR"/>
        </w:rPr>
      </w:pPr>
      <w:hyperlink w:anchor="_Toc52869548" w:history="1">
        <w:r w:rsidRPr="00CB4E93">
          <w:rPr>
            <w:rStyle w:val="Lienhypertexte"/>
            <w:rFonts w:cs="Arial"/>
            <w:noProof/>
            <w:sz w:val="20"/>
            <w:szCs w:val="20"/>
          </w:rPr>
          <w:t>1.1.1. Présentation du promoteur</w:t>
        </w:r>
        <w:r w:rsidRPr="00CB4E93">
          <w:rPr>
            <w:rFonts w:cs="Arial"/>
            <w:noProof/>
            <w:webHidden/>
            <w:sz w:val="20"/>
            <w:szCs w:val="20"/>
          </w:rPr>
          <w:tab/>
        </w:r>
        <w:r w:rsidRPr="00CB4E93">
          <w:rPr>
            <w:rFonts w:cs="Arial"/>
            <w:noProof/>
            <w:webHidden/>
            <w:sz w:val="20"/>
            <w:szCs w:val="20"/>
          </w:rPr>
          <w:fldChar w:fldCharType="begin"/>
        </w:r>
        <w:r w:rsidRPr="00CB4E93">
          <w:rPr>
            <w:rFonts w:cs="Arial"/>
            <w:noProof/>
            <w:webHidden/>
            <w:sz w:val="20"/>
            <w:szCs w:val="20"/>
          </w:rPr>
          <w:instrText xml:space="preserve"> PAGEREF _Toc52869548 \h </w:instrText>
        </w:r>
        <w:r w:rsidRPr="00CB4E93">
          <w:rPr>
            <w:rFonts w:cs="Arial"/>
            <w:noProof/>
            <w:webHidden/>
            <w:sz w:val="20"/>
            <w:szCs w:val="20"/>
          </w:rPr>
        </w:r>
        <w:r w:rsidRPr="00CB4E93">
          <w:rPr>
            <w:rFonts w:cs="Arial"/>
            <w:noProof/>
            <w:webHidden/>
            <w:sz w:val="20"/>
            <w:szCs w:val="20"/>
          </w:rPr>
          <w:fldChar w:fldCharType="separate"/>
        </w:r>
        <w:r w:rsidR="009E27E4">
          <w:rPr>
            <w:rFonts w:cs="Arial"/>
            <w:noProof/>
            <w:webHidden/>
            <w:sz w:val="20"/>
            <w:szCs w:val="20"/>
          </w:rPr>
          <w:t>2</w:t>
        </w:r>
        <w:r w:rsidRPr="00CB4E93">
          <w:rPr>
            <w:rFonts w:cs="Arial"/>
            <w:noProof/>
            <w:webHidden/>
            <w:sz w:val="20"/>
            <w:szCs w:val="20"/>
          </w:rPr>
          <w:fldChar w:fldCharType="end"/>
        </w:r>
      </w:hyperlink>
    </w:p>
    <w:p w14:paraId="2693A691" w14:textId="440B139D" w:rsidR="00CB4E93" w:rsidRPr="00CB4E93" w:rsidRDefault="00CB4E93" w:rsidP="00CB4E93">
      <w:pPr>
        <w:pStyle w:val="TM4"/>
        <w:tabs>
          <w:tab w:val="right" w:leader="dot" w:pos="9062"/>
        </w:tabs>
        <w:spacing w:before="60" w:after="0" w:line="240" w:lineRule="auto"/>
        <w:contextualSpacing/>
        <w:rPr>
          <w:rFonts w:eastAsiaTheme="minorEastAsia" w:cs="Arial"/>
          <w:noProof/>
          <w:color w:val="auto"/>
          <w:sz w:val="20"/>
          <w:szCs w:val="20"/>
          <w:lang w:eastAsia="fr-FR"/>
        </w:rPr>
      </w:pPr>
      <w:hyperlink w:anchor="_Toc52869549" w:history="1">
        <w:r w:rsidRPr="00CB4E93">
          <w:rPr>
            <w:rStyle w:val="Lienhypertexte"/>
            <w:rFonts w:cs="Arial"/>
            <w:noProof/>
            <w:sz w:val="20"/>
            <w:szCs w:val="20"/>
            <w:lang w:eastAsia="fr-FR"/>
          </w:rPr>
          <w:t>1.1.1.2. Maître d’Ouvrage</w:t>
        </w:r>
        <w:r w:rsidRPr="00CB4E93">
          <w:rPr>
            <w:rFonts w:cs="Arial"/>
            <w:noProof/>
            <w:webHidden/>
            <w:sz w:val="20"/>
            <w:szCs w:val="20"/>
          </w:rPr>
          <w:tab/>
        </w:r>
        <w:r w:rsidRPr="00CB4E93">
          <w:rPr>
            <w:rFonts w:cs="Arial"/>
            <w:noProof/>
            <w:webHidden/>
            <w:sz w:val="20"/>
            <w:szCs w:val="20"/>
          </w:rPr>
          <w:fldChar w:fldCharType="begin"/>
        </w:r>
        <w:r w:rsidRPr="00CB4E93">
          <w:rPr>
            <w:rFonts w:cs="Arial"/>
            <w:noProof/>
            <w:webHidden/>
            <w:sz w:val="20"/>
            <w:szCs w:val="20"/>
          </w:rPr>
          <w:instrText xml:space="preserve"> PAGEREF _Toc52869549 \h </w:instrText>
        </w:r>
        <w:r w:rsidRPr="00CB4E93">
          <w:rPr>
            <w:rFonts w:cs="Arial"/>
            <w:noProof/>
            <w:webHidden/>
            <w:sz w:val="20"/>
            <w:szCs w:val="20"/>
          </w:rPr>
        </w:r>
        <w:r w:rsidRPr="00CB4E93">
          <w:rPr>
            <w:rFonts w:cs="Arial"/>
            <w:noProof/>
            <w:webHidden/>
            <w:sz w:val="20"/>
            <w:szCs w:val="20"/>
          </w:rPr>
          <w:fldChar w:fldCharType="separate"/>
        </w:r>
        <w:r w:rsidR="009E27E4">
          <w:rPr>
            <w:rFonts w:cs="Arial"/>
            <w:noProof/>
            <w:webHidden/>
            <w:sz w:val="20"/>
            <w:szCs w:val="20"/>
          </w:rPr>
          <w:t>3</w:t>
        </w:r>
        <w:r w:rsidRPr="00CB4E93">
          <w:rPr>
            <w:rFonts w:cs="Arial"/>
            <w:noProof/>
            <w:webHidden/>
            <w:sz w:val="20"/>
            <w:szCs w:val="20"/>
          </w:rPr>
          <w:fldChar w:fldCharType="end"/>
        </w:r>
      </w:hyperlink>
    </w:p>
    <w:p w14:paraId="0969CB5E" w14:textId="23D43442" w:rsidR="00CB4E93" w:rsidRPr="00CB4E93" w:rsidRDefault="00CB4E93" w:rsidP="00CB4E93">
      <w:pPr>
        <w:pStyle w:val="TM3"/>
        <w:tabs>
          <w:tab w:val="right" w:leader="dot" w:pos="9062"/>
        </w:tabs>
        <w:spacing w:before="60" w:after="0" w:line="240" w:lineRule="auto"/>
        <w:contextualSpacing/>
        <w:rPr>
          <w:rFonts w:eastAsiaTheme="minorEastAsia" w:cs="Arial"/>
          <w:noProof/>
          <w:color w:val="auto"/>
          <w:sz w:val="20"/>
          <w:szCs w:val="20"/>
          <w:lang w:eastAsia="fr-FR"/>
        </w:rPr>
      </w:pPr>
      <w:hyperlink w:anchor="_Toc52869550" w:history="1">
        <w:r w:rsidRPr="00CB4E93">
          <w:rPr>
            <w:rStyle w:val="Lienhypertexte"/>
            <w:rFonts w:cs="Arial"/>
            <w:noProof/>
            <w:sz w:val="20"/>
            <w:szCs w:val="20"/>
          </w:rPr>
          <w:t>1.1.2. Présentation du consultant</w:t>
        </w:r>
        <w:r w:rsidRPr="00CB4E93">
          <w:rPr>
            <w:rFonts w:cs="Arial"/>
            <w:noProof/>
            <w:webHidden/>
            <w:sz w:val="20"/>
            <w:szCs w:val="20"/>
          </w:rPr>
          <w:tab/>
        </w:r>
        <w:r w:rsidRPr="00CB4E93">
          <w:rPr>
            <w:rFonts w:cs="Arial"/>
            <w:noProof/>
            <w:webHidden/>
            <w:sz w:val="20"/>
            <w:szCs w:val="20"/>
          </w:rPr>
          <w:fldChar w:fldCharType="begin"/>
        </w:r>
        <w:r w:rsidRPr="00CB4E93">
          <w:rPr>
            <w:rFonts w:cs="Arial"/>
            <w:noProof/>
            <w:webHidden/>
            <w:sz w:val="20"/>
            <w:szCs w:val="20"/>
          </w:rPr>
          <w:instrText xml:space="preserve"> PAGEREF _Toc52869550 \h </w:instrText>
        </w:r>
        <w:r w:rsidRPr="00CB4E93">
          <w:rPr>
            <w:rFonts w:cs="Arial"/>
            <w:noProof/>
            <w:webHidden/>
            <w:sz w:val="20"/>
            <w:szCs w:val="20"/>
          </w:rPr>
        </w:r>
        <w:r w:rsidRPr="00CB4E93">
          <w:rPr>
            <w:rFonts w:cs="Arial"/>
            <w:noProof/>
            <w:webHidden/>
            <w:sz w:val="20"/>
            <w:szCs w:val="20"/>
          </w:rPr>
          <w:fldChar w:fldCharType="separate"/>
        </w:r>
        <w:r w:rsidR="009E27E4">
          <w:rPr>
            <w:rFonts w:cs="Arial"/>
            <w:noProof/>
            <w:webHidden/>
            <w:sz w:val="20"/>
            <w:szCs w:val="20"/>
          </w:rPr>
          <w:t>3</w:t>
        </w:r>
        <w:r w:rsidRPr="00CB4E93">
          <w:rPr>
            <w:rFonts w:cs="Arial"/>
            <w:noProof/>
            <w:webHidden/>
            <w:sz w:val="20"/>
            <w:szCs w:val="20"/>
          </w:rPr>
          <w:fldChar w:fldCharType="end"/>
        </w:r>
      </w:hyperlink>
    </w:p>
    <w:p w14:paraId="3AAB7B96" w14:textId="659858FB" w:rsidR="00CB4E93" w:rsidRPr="00CB4E93" w:rsidRDefault="00CB4E93" w:rsidP="00CB4E93">
      <w:pPr>
        <w:pStyle w:val="TM3"/>
        <w:tabs>
          <w:tab w:val="right" w:leader="dot" w:pos="9062"/>
        </w:tabs>
        <w:spacing w:before="60" w:after="0" w:line="240" w:lineRule="auto"/>
        <w:contextualSpacing/>
        <w:rPr>
          <w:rFonts w:eastAsiaTheme="minorEastAsia" w:cs="Arial"/>
          <w:noProof/>
          <w:color w:val="auto"/>
          <w:sz w:val="20"/>
          <w:szCs w:val="20"/>
          <w:lang w:eastAsia="fr-FR"/>
        </w:rPr>
      </w:pPr>
      <w:hyperlink w:anchor="_Toc52869551" w:history="1">
        <w:r w:rsidRPr="00CB4E93">
          <w:rPr>
            <w:rStyle w:val="Lienhypertexte"/>
            <w:rFonts w:cs="Arial"/>
            <w:noProof/>
            <w:sz w:val="20"/>
            <w:szCs w:val="20"/>
          </w:rPr>
          <w:t>1.1.3. Justification du projet</w:t>
        </w:r>
        <w:r w:rsidRPr="00CB4E93">
          <w:rPr>
            <w:rFonts w:cs="Arial"/>
            <w:noProof/>
            <w:webHidden/>
            <w:sz w:val="20"/>
            <w:szCs w:val="20"/>
          </w:rPr>
          <w:tab/>
        </w:r>
        <w:r w:rsidRPr="00CB4E93">
          <w:rPr>
            <w:rFonts w:cs="Arial"/>
            <w:noProof/>
            <w:webHidden/>
            <w:sz w:val="20"/>
            <w:szCs w:val="20"/>
          </w:rPr>
          <w:fldChar w:fldCharType="begin"/>
        </w:r>
        <w:r w:rsidRPr="00CB4E93">
          <w:rPr>
            <w:rFonts w:cs="Arial"/>
            <w:noProof/>
            <w:webHidden/>
            <w:sz w:val="20"/>
            <w:szCs w:val="20"/>
          </w:rPr>
          <w:instrText xml:space="preserve"> PAGEREF _Toc52869551 \h </w:instrText>
        </w:r>
        <w:r w:rsidRPr="00CB4E93">
          <w:rPr>
            <w:rFonts w:cs="Arial"/>
            <w:noProof/>
            <w:webHidden/>
            <w:sz w:val="20"/>
            <w:szCs w:val="20"/>
          </w:rPr>
        </w:r>
        <w:r w:rsidRPr="00CB4E93">
          <w:rPr>
            <w:rFonts w:cs="Arial"/>
            <w:noProof/>
            <w:webHidden/>
            <w:sz w:val="20"/>
            <w:szCs w:val="20"/>
          </w:rPr>
          <w:fldChar w:fldCharType="separate"/>
        </w:r>
        <w:r w:rsidR="009E27E4">
          <w:rPr>
            <w:rFonts w:cs="Arial"/>
            <w:noProof/>
            <w:webHidden/>
            <w:sz w:val="20"/>
            <w:szCs w:val="20"/>
          </w:rPr>
          <w:t>4</w:t>
        </w:r>
        <w:r w:rsidRPr="00CB4E93">
          <w:rPr>
            <w:rFonts w:cs="Arial"/>
            <w:noProof/>
            <w:webHidden/>
            <w:sz w:val="20"/>
            <w:szCs w:val="20"/>
          </w:rPr>
          <w:fldChar w:fldCharType="end"/>
        </w:r>
      </w:hyperlink>
    </w:p>
    <w:p w14:paraId="5FB10A4C" w14:textId="645F1446" w:rsidR="00CB4E93" w:rsidRPr="00CB4E93" w:rsidRDefault="00CB4E93" w:rsidP="00CB4E93">
      <w:pPr>
        <w:pStyle w:val="TM3"/>
        <w:tabs>
          <w:tab w:val="right" w:leader="dot" w:pos="9062"/>
        </w:tabs>
        <w:spacing w:before="60" w:after="0" w:line="240" w:lineRule="auto"/>
        <w:contextualSpacing/>
        <w:rPr>
          <w:rFonts w:eastAsiaTheme="minorEastAsia" w:cs="Arial"/>
          <w:noProof/>
          <w:color w:val="auto"/>
          <w:sz w:val="20"/>
          <w:szCs w:val="20"/>
          <w:lang w:eastAsia="fr-FR"/>
        </w:rPr>
      </w:pPr>
      <w:hyperlink w:anchor="_Toc52869552" w:history="1">
        <w:r w:rsidRPr="00CB4E93">
          <w:rPr>
            <w:rStyle w:val="Lienhypertexte"/>
            <w:rFonts w:cs="Arial"/>
            <w:noProof/>
            <w:sz w:val="20"/>
            <w:szCs w:val="20"/>
          </w:rPr>
          <w:t>1.1.4. Les objectifs du projet</w:t>
        </w:r>
        <w:r w:rsidRPr="00CB4E93">
          <w:rPr>
            <w:rFonts w:cs="Arial"/>
            <w:noProof/>
            <w:webHidden/>
            <w:sz w:val="20"/>
            <w:szCs w:val="20"/>
          </w:rPr>
          <w:tab/>
        </w:r>
        <w:r w:rsidRPr="00CB4E93">
          <w:rPr>
            <w:rFonts w:cs="Arial"/>
            <w:noProof/>
            <w:webHidden/>
            <w:sz w:val="20"/>
            <w:szCs w:val="20"/>
          </w:rPr>
          <w:fldChar w:fldCharType="begin"/>
        </w:r>
        <w:r w:rsidRPr="00CB4E93">
          <w:rPr>
            <w:rFonts w:cs="Arial"/>
            <w:noProof/>
            <w:webHidden/>
            <w:sz w:val="20"/>
            <w:szCs w:val="20"/>
          </w:rPr>
          <w:instrText xml:space="preserve"> PAGEREF _Toc52869552 \h </w:instrText>
        </w:r>
        <w:r w:rsidRPr="00CB4E93">
          <w:rPr>
            <w:rFonts w:cs="Arial"/>
            <w:noProof/>
            <w:webHidden/>
            <w:sz w:val="20"/>
            <w:szCs w:val="20"/>
          </w:rPr>
        </w:r>
        <w:r w:rsidRPr="00CB4E93">
          <w:rPr>
            <w:rFonts w:cs="Arial"/>
            <w:noProof/>
            <w:webHidden/>
            <w:sz w:val="20"/>
            <w:szCs w:val="20"/>
          </w:rPr>
          <w:fldChar w:fldCharType="separate"/>
        </w:r>
        <w:r w:rsidR="009E27E4">
          <w:rPr>
            <w:rFonts w:cs="Arial"/>
            <w:noProof/>
            <w:webHidden/>
            <w:sz w:val="20"/>
            <w:szCs w:val="20"/>
          </w:rPr>
          <w:t>6</w:t>
        </w:r>
        <w:r w:rsidRPr="00CB4E93">
          <w:rPr>
            <w:rFonts w:cs="Arial"/>
            <w:noProof/>
            <w:webHidden/>
            <w:sz w:val="20"/>
            <w:szCs w:val="20"/>
          </w:rPr>
          <w:fldChar w:fldCharType="end"/>
        </w:r>
      </w:hyperlink>
    </w:p>
    <w:p w14:paraId="25E4F986" w14:textId="59AC4C49" w:rsidR="00CB4E93" w:rsidRPr="00CB4E93" w:rsidRDefault="00CB4E93" w:rsidP="00CB4E93">
      <w:pPr>
        <w:pStyle w:val="TM3"/>
        <w:tabs>
          <w:tab w:val="right" w:leader="dot" w:pos="9062"/>
        </w:tabs>
        <w:spacing w:before="60" w:after="0" w:line="240" w:lineRule="auto"/>
        <w:contextualSpacing/>
        <w:rPr>
          <w:rFonts w:eastAsiaTheme="minorEastAsia" w:cs="Arial"/>
          <w:noProof/>
          <w:color w:val="auto"/>
          <w:sz w:val="20"/>
          <w:szCs w:val="20"/>
          <w:lang w:eastAsia="fr-FR"/>
        </w:rPr>
      </w:pPr>
      <w:hyperlink w:anchor="_Toc52869553" w:history="1">
        <w:r w:rsidRPr="00CB4E93">
          <w:rPr>
            <w:rStyle w:val="Lienhypertexte"/>
            <w:rFonts w:cs="Arial"/>
            <w:noProof/>
            <w:sz w:val="20"/>
            <w:szCs w:val="20"/>
          </w:rPr>
          <w:t>1.1.5. Justification de la nature de l’EIES</w:t>
        </w:r>
        <w:r w:rsidRPr="00CB4E93">
          <w:rPr>
            <w:rFonts w:cs="Arial"/>
            <w:noProof/>
            <w:webHidden/>
            <w:sz w:val="20"/>
            <w:szCs w:val="20"/>
          </w:rPr>
          <w:tab/>
        </w:r>
        <w:r w:rsidRPr="00CB4E93">
          <w:rPr>
            <w:rFonts w:cs="Arial"/>
            <w:noProof/>
            <w:webHidden/>
            <w:sz w:val="20"/>
            <w:szCs w:val="20"/>
          </w:rPr>
          <w:fldChar w:fldCharType="begin"/>
        </w:r>
        <w:r w:rsidRPr="00CB4E93">
          <w:rPr>
            <w:rFonts w:cs="Arial"/>
            <w:noProof/>
            <w:webHidden/>
            <w:sz w:val="20"/>
            <w:szCs w:val="20"/>
          </w:rPr>
          <w:instrText xml:space="preserve"> PAGEREF _Toc52869553 \h </w:instrText>
        </w:r>
        <w:r w:rsidRPr="00CB4E93">
          <w:rPr>
            <w:rFonts w:cs="Arial"/>
            <w:noProof/>
            <w:webHidden/>
            <w:sz w:val="20"/>
            <w:szCs w:val="20"/>
          </w:rPr>
        </w:r>
        <w:r w:rsidRPr="00CB4E93">
          <w:rPr>
            <w:rFonts w:cs="Arial"/>
            <w:noProof/>
            <w:webHidden/>
            <w:sz w:val="20"/>
            <w:szCs w:val="20"/>
          </w:rPr>
          <w:fldChar w:fldCharType="separate"/>
        </w:r>
        <w:r w:rsidR="009E27E4">
          <w:rPr>
            <w:rFonts w:cs="Arial"/>
            <w:noProof/>
            <w:webHidden/>
            <w:sz w:val="20"/>
            <w:szCs w:val="20"/>
          </w:rPr>
          <w:t>7</w:t>
        </w:r>
        <w:r w:rsidRPr="00CB4E93">
          <w:rPr>
            <w:rFonts w:cs="Arial"/>
            <w:noProof/>
            <w:webHidden/>
            <w:sz w:val="20"/>
            <w:szCs w:val="20"/>
          </w:rPr>
          <w:fldChar w:fldCharType="end"/>
        </w:r>
      </w:hyperlink>
    </w:p>
    <w:p w14:paraId="5C456371" w14:textId="4A837014" w:rsidR="00CB4E93" w:rsidRPr="00CB4E93" w:rsidRDefault="00CB4E93" w:rsidP="00CB4E93">
      <w:pPr>
        <w:pStyle w:val="TM2"/>
        <w:contextualSpacing/>
        <w:rPr>
          <w:rFonts w:eastAsiaTheme="minorEastAsia"/>
          <w:b w:val="0"/>
          <w:i w:val="0"/>
          <w:caps w:val="0"/>
          <w:color w:val="auto"/>
        </w:rPr>
      </w:pPr>
      <w:hyperlink w:anchor="_Toc52869554" w:history="1">
        <w:r w:rsidRPr="00CB4E93">
          <w:rPr>
            <w:rStyle w:val="Lienhypertexte"/>
            <w:rFonts w:eastAsiaTheme="majorEastAsia"/>
          </w:rPr>
          <w:t>1.2. Portée de l’étude d’impact environnemental et social</w:t>
        </w:r>
        <w:r w:rsidRPr="00CB4E93">
          <w:rPr>
            <w:webHidden/>
          </w:rPr>
          <w:tab/>
        </w:r>
        <w:r w:rsidRPr="00CB4E93">
          <w:rPr>
            <w:webHidden/>
          </w:rPr>
          <w:fldChar w:fldCharType="begin"/>
        </w:r>
        <w:r w:rsidRPr="00CB4E93">
          <w:rPr>
            <w:webHidden/>
          </w:rPr>
          <w:instrText xml:space="preserve"> PAGEREF _Toc52869554 \h </w:instrText>
        </w:r>
        <w:r w:rsidRPr="00CB4E93">
          <w:rPr>
            <w:webHidden/>
          </w:rPr>
        </w:r>
        <w:r w:rsidRPr="00CB4E93">
          <w:rPr>
            <w:webHidden/>
          </w:rPr>
          <w:fldChar w:fldCharType="separate"/>
        </w:r>
        <w:r w:rsidR="009E27E4">
          <w:rPr>
            <w:webHidden/>
          </w:rPr>
          <w:t>8</w:t>
        </w:r>
        <w:r w:rsidRPr="00CB4E93">
          <w:rPr>
            <w:webHidden/>
          </w:rPr>
          <w:fldChar w:fldCharType="end"/>
        </w:r>
      </w:hyperlink>
    </w:p>
    <w:p w14:paraId="6D04D71D" w14:textId="63B53072" w:rsidR="00CB4E93" w:rsidRPr="00CB4E93" w:rsidRDefault="00CB4E93" w:rsidP="00CB4E93">
      <w:pPr>
        <w:pStyle w:val="TM3"/>
        <w:tabs>
          <w:tab w:val="right" w:leader="dot" w:pos="9062"/>
        </w:tabs>
        <w:spacing w:before="60" w:after="0" w:line="240" w:lineRule="auto"/>
        <w:contextualSpacing/>
        <w:rPr>
          <w:rFonts w:eastAsiaTheme="minorEastAsia" w:cs="Arial"/>
          <w:noProof/>
          <w:color w:val="auto"/>
          <w:sz w:val="20"/>
          <w:szCs w:val="20"/>
          <w:lang w:eastAsia="fr-FR"/>
        </w:rPr>
      </w:pPr>
      <w:hyperlink w:anchor="_Toc52869555" w:history="1">
        <w:r w:rsidRPr="00CB4E93">
          <w:rPr>
            <w:rStyle w:val="Lienhypertexte"/>
            <w:rFonts w:cs="Arial"/>
            <w:noProof/>
            <w:sz w:val="20"/>
            <w:szCs w:val="20"/>
          </w:rPr>
          <w:t>1.2.1. Objectif général</w:t>
        </w:r>
        <w:r w:rsidRPr="00CB4E93">
          <w:rPr>
            <w:rFonts w:cs="Arial"/>
            <w:noProof/>
            <w:webHidden/>
            <w:sz w:val="20"/>
            <w:szCs w:val="20"/>
          </w:rPr>
          <w:tab/>
        </w:r>
        <w:r w:rsidRPr="00CB4E93">
          <w:rPr>
            <w:rFonts w:cs="Arial"/>
            <w:noProof/>
            <w:webHidden/>
            <w:sz w:val="20"/>
            <w:szCs w:val="20"/>
          </w:rPr>
          <w:fldChar w:fldCharType="begin"/>
        </w:r>
        <w:r w:rsidRPr="00CB4E93">
          <w:rPr>
            <w:rFonts w:cs="Arial"/>
            <w:noProof/>
            <w:webHidden/>
            <w:sz w:val="20"/>
            <w:szCs w:val="20"/>
          </w:rPr>
          <w:instrText xml:space="preserve"> PAGEREF _Toc52869555 \h </w:instrText>
        </w:r>
        <w:r w:rsidRPr="00CB4E93">
          <w:rPr>
            <w:rFonts w:cs="Arial"/>
            <w:noProof/>
            <w:webHidden/>
            <w:sz w:val="20"/>
            <w:szCs w:val="20"/>
          </w:rPr>
        </w:r>
        <w:r w:rsidRPr="00CB4E93">
          <w:rPr>
            <w:rFonts w:cs="Arial"/>
            <w:noProof/>
            <w:webHidden/>
            <w:sz w:val="20"/>
            <w:szCs w:val="20"/>
          </w:rPr>
          <w:fldChar w:fldCharType="separate"/>
        </w:r>
        <w:r w:rsidR="009E27E4">
          <w:rPr>
            <w:rFonts w:cs="Arial"/>
            <w:noProof/>
            <w:webHidden/>
            <w:sz w:val="20"/>
            <w:szCs w:val="20"/>
          </w:rPr>
          <w:t>8</w:t>
        </w:r>
        <w:r w:rsidRPr="00CB4E93">
          <w:rPr>
            <w:rFonts w:cs="Arial"/>
            <w:noProof/>
            <w:webHidden/>
            <w:sz w:val="20"/>
            <w:szCs w:val="20"/>
          </w:rPr>
          <w:fldChar w:fldCharType="end"/>
        </w:r>
      </w:hyperlink>
    </w:p>
    <w:p w14:paraId="6DBD7768" w14:textId="47872B3B" w:rsidR="00CB4E93" w:rsidRPr="00CB4E93" w:rsidRDefault="00CB4E93" w:rsidP="00CB4E93">
      <w:pPr>
        <w:pStyle w:val="TM3"/>
        <w:tabs>
          <w:tab w:val="right" w:leader="dot" w:pos="9062"/>
        </w:tabs>
        <w:spacing w:before="60" w:after="0" w:line="240" w:lineRule="auto"/>
        <w:contextualSpacing/>
        <w:rPr>
          <w:rFonts w:eastAsiaTheme="minorEastAsia" w:cs="Arial"/>
          <w:noProof/>
          <w:color w:val="auto"/>
          <w:sz w:val="20"/>
          <w:szCs w:val="20"/>
          <w:lang w:eastAsia="fr-FR"/>
        </w:rPr>
      </w:pPr>
      <w:hyperlink w:anchor="_Toc52869556" w:history="1">
        <w:r w:rsidRPr="00CB4E93">
          <w:rPr>
            <w:rStyle w:val="Lienhypertexte"/>
            <w:rFonts w:cs="Arial"/>
            <w:noProof/>
            <w:sz w:val="20"/>
            <w:szCs w:val="20"/>
          </w:rPr>
          <w:t>1.2.2. Objectifs spécifiques</w:t>
        </w:r>
        <w:r w:rsidRPr="00CB4E93">
          <w:rPr>
            <w:rFonts w:cs="Arial"/>
            <w:noProof/>
            <w:webHidden/>
            <w:sz w:val="20"/>
            <w:szCs w:val="20"/>
          </w:rPr>
          <w:tab/>
        </w:r>
        <w:r w:rsidRPr="00CB4E93">
          <w:rPr>
            <w:rFonts w:cs="Arial"/>
            <w:noProof/>
            <w:webHidden/>
            <w:sz w:val="20"/>
            <w:szCs w:val="20"/>
          </w:rPr>
          <w:fldChar w:fldCharType="begin"/>
        </w:r>
        <w:r w:rsidRPr="00CB4E93">
          <w:rPr>
            <w:rFonts w:cs="Arial"/>
            <w:noProof/>
            <w:webHidden/>
            <w:sz w:val="20"/>
            <w:szCs w:val="20"/>
          </w:rPr>
          <w:instrText xml:space="preserve"> PAGEREF _Toc52869556 \h </w:instrText>
        </w:r>
        <w:r w:rsidRPr="00CB4E93">
          <w:rPr>
            <w:rFonts w:cs="Arial"/>
            <w:noProof/>
            <w:webHidden/>
            <w:sz w:val="20"/>
            <w:szCs w:val="20"/>
          </w:rPr>
        </w:r>
        <w:r w:rsidRPr="00CB4E93">
          <w:rPr>
            <w:rFonts w:cs="Arial"/>
            <w:noProof/>
            <w:webHidden/>
            <w:sz w:val="20"/>
            <w:szCs w:val="20"/>
          </w:rPr>
          <w:fldChar w:fldCharType="separate"/>
        </w:r>
        <w:r w:rsidR="009E27E4">
          <w:rPr>
            <w:rFonts w:cs="Arial"/>
            <w:noProof/>
            <w:webHidden/>
            <w:sz w:val="20"/>
            <w:szCs w:val="20"/>
          </w:rPr>
          <w:t>8</w:t>
        </w:r>
        <w:r w:rsidRPr="00CB4E93">
          <w:rPr>
            <w:rFonts w:cs="Arial"/>
            <w:noProof/>
            <w:webHidden/>
            <w:sz w:val="20"/>
            <w:szCs w:val="20"/>
          </w:rPr>
          <w:fldChar w:fldCharType="end"/>
        </w:r>
      </w:hyperlink>
    </w:p>
    <w:p w14:paraId="189AC4FF" w14:textId="30837D1B" w:rsidR="00CB4E93" w:rsidRPr="00CB4E93" w:rsidRDefault="00CB4E93" w:rsidP="00CB4E93">
      <w:pPr>
        <w:pStyle w:val="TM2"/>
        <w:contextualSpacing/>
        <w:rPr>
          <w:rFonts w:eastAsiaTheme="minorEastAsia"/>
          <w:b w:val="0"/>
          <w:i w:val="0"/>
          <w:caps w:val="0"/>
          <w:color w:val="auto"/>
        </w:rPr>
      </w:pPr>
      <w:hyperlink w:anchor="_Toc52869557" w:history="1">
        <w:r w:rsidRPr="00CB4E93">
          <w:rPr>
            <w:rStyle w:val="Lienhypertexte"/>
            <w:rFonts w:eastAsiaTheme="majorEastAsia"/>
          </w:rPr>
          <w:t>1.3. Démarche méthodologique</w:t>
        </w:r>
        <w:r w:rsidRPr="00CB4E93">
          <w:rPr>
            <w:webHidden/>
          </w:rPr>
          <w:tab/>
        </w:r>
        <w:r w:rsidRPr="00CB4E93">
          <w:rPr>
            <w:webHidden/>
          </w:rPr>
          <w:fldChar w:fldCharType="begin"/>
        </w:r>
        <w:r w:rsidRPr="00CB4E93">
          <w:rPr>
            <w:webHidden/>
          </w:rPr>
          <w:instrText xml:space="preserve"> PAGEREF _Toc52869557 \h </w:instrText>
        </w:r>
        <w:r w:rsidRPr="00CB4E93">
          <w:rPr>
            <w:webHidden/>
          </w:rPr>
        </w:r>
        <w:r w:rsidRPr="00CB4E93">
          <w:rPr>
            <w:webHidden/>
          </w:rPr>
          <w:fldChar w:fldCharType="separate"/>
        </w:r>
        <w:r w:rsidR="009E27E4">
          <w:rPr>
            <w:webHidden/>
          </w:rPr>
          <w:t>8</w:t>
        </w:r>
        <w:r w:rsidRPr="00CB4E93">
          <w:rPr>
            <w:webHidden/>
          </w:rPr>
          <w:fldChar w:fldCharType="end"/>
        </w:r>
      </w:hyperlink>
    </w:p>
    <w:p w14:paraId="048439FD" w14:textId="5F48CDED" w:rsidR="00CB4E93" w:rsidRPr="00CB4E93" w:rsidRDefault="00CB4E93" w:rsidP="00CB4E93">
      <w:pPr>
        <w:pStyle w:val="TM3"/>
        <w:tabs>
          <w:tab w:val="right" w:leader="dot" w:pos="9062"/>
        </w:tabs>
        <w:spacing w:before="60" w:after="0" w:line="240" w:lineRule="auto"/>
        <w:contextualSpacing/>
        <w:rPr>
          <w:rFonts w:eastAsiaTheme="minorEastAsia" w:cs="Arial"/>
          <w:noProof/>
          <w:color w:val="auto"/>
          <w:sz w:val="20"/>
          <w:szCs w:val="20"/>
          <w:lang w:eastAsia="fr-FR"/>
        </w:rPr>
      </w:pPr>
      <w:hyperlink w:anchor="_Toc52869558" w:history="1">
        <w:r w:rsidRPr="00CB4E93">
          <w:rPr>
            <w:rStyle w:val="Lienhypertexte"/>
            <w:rFonts w:cs="Arial"/>
            <w:noProof/>
            <w:sz w:val="20"/>
            <w:szCs w:val="20"/>
          </w:rPr>
          <w:t>1.3.1. Séance de travail préliminaire avec le maitre d’ouvrage – cadrage de la mission</w:t>
        </w:r>
        <w:r w:rsidRPr="00CB4E93">
          <w:rPr>
            <w:rFonts w:cs="Arial"/>
            <w:noProof/>
            <w:webHidden/>
            <w:sz w:val="20"/>
            <w:szCs w:val="20"/>
          </w:rPr>
          <w:tab/>
        </w:r>
        <w:r w:rsidRPr="00CB4E93">
          <w:rPr>
            <w:rFonts w:cs="Arial"/>
            <w:noProof/>
            <w:webHidden/>
            <w:sz w:val="20"/>
            <w:szCs w:val="20"/>
          </w:rPr>
          <w:fldChar w:fldCharType="begin"/>
        </w:r>
        <w:r w:rsidRPr="00CB4E93">
          <w:rPr>
            <w:rFonts w:cs="Arial"/>
            <w:noProof/>
            <w:webHidden/>
            <w:sz w:val="20"/>
            <w:szCs w:val="20"/>
          </w:rPr>
          <w:instrText xml:space="preserve"> PAGEREF _Toc52869558 \h </w:instrText>
        </w:r>
        <w:r w:rsidRPr="00CB4E93">
          <w:rPr>
            <w:rFonts w:cs="Arial"/>
            <w:noProof/>
            <w:webHidden/>
            <w:sz w:val="20"/>
            <w:szCs w:val="20"/>
          </w:rPr>
        </w:r>
        <w:r w:rsidRPr="00CB4E93">
          <w:rPr>
            <w:rFonts w:cs="Arial"/>
            <w:noProof/>
            <w:webHidden/>
            <w:sz w:val="20"/>
            <w:szCs w:val="20"/>
          </w:rPr>
          <w:fldChar w:fldCharType="separate"/>
        </w:r>
        <w:r w:rsidR="009E27E4">
          <w:rPr>
            <w:rFonts w:cs="Arial"/>
            <w:noProof/>
            <w:webHidden/>
            <w:sz w:val="20"/>
            <w:szCs w:val="20"/>
          </w:rPr>
          <w:t>8</w:t>
        </w:r>
        <w:r w:rsidRPr="00CB4E93">
          <w:rPr>
            <w:rFonts w:cs="Arial"/>
            <w:noProof/>
            <w:webHidden/>
            <w:sz w:val="20"/>
            <w:szCs w:val="20"/>
          </w:rPr>
          <w:fldChar w:fldCharType="end"/>
        </w:r>
      </w:hyperlink>
    </w:p>
    <w:p w14:paraId="5FB16019" w14:textId="2BAB0B84" w:rsidR="00CB4E93" w:rsidRPr="00CB4E93" w:rsidRDefault="00CB4E93" w:rsidP="00CB4E93">
      <w:pPr>
        <w:pStyle w:val="TM3"/>
        <w:tabs>
          <w:tab w:val="right" w:leader="dot" w:pos="9062"/>
        </w:tabs>
        <w:spacing w:before="60" w:after="0" w:line="240" w:lineRule="auto"/>
        <w:contextualSpacing/>
        <w:rPr>
          <w:rFonts w:eastAsiaTheme="minorEastAsia" w:cs="Arial"/>
          <w:noProof/>
          <w:color w:val="auto"/>
          <w:sz w:val="20"/>
          <w:szCs w:val="20"/>
          <w:lang w:eastAsia="fr-FR"/>
        </w:rPr>
      </w:pPr>
      <w:hyperlink w:anchor="_Toc52869559" w:history="1">
        <w:r w:rsidRPr="00CB4E93">
          <w:rPr>
            <w:rStyle w:val="Lienhypertexte"/>
            <w:rFonts w:cs="Arial"/>
            <w:noProof/>
            <w:sz w:val="20"/>
            <w:szCs w:val="20"/>
          </w:rPr>
          <w:t>1.3.2. Recherche documentaire</w:t>
        </w:r>
        <w:r w:rsidRPr="00CB4E93">
          <w:rPr>
            <w:rFonts w:cs="Arial"/>
            <w:noProof/>
            <w:webHidden/>
            <w:sz w:val="20"/>
            <w:szCs w:val="20"/>
          </w:rPr>
          <w:tab/>
        </w:r>
        <w:r w:rsidRPr="00CB4E93">
          <w:rPr>
            <w:rFonts w:cs="Arial"/>
            <w:noProof/>
            <w:webHidden/>
            <w:sz w:val="20"/>
            <w:szCs w:val="20"/>
          </w:rPr>
          <w:fldChar w:fldCharType="begin"/>
        </w:r>
        <w:r w:rsidRPr="00CB4E93">
          <w:rPr>
            <w:rFonts w:cs="Arial"/>
            <w:noProof/>
            <w:webHidden/>
            <w:sz w:val="20"/>
            <w:szCs w:val="20"/>
          </w:rPr>
          <w:instrText xml:space="preserve"> PAGEREF _Toc52869559 \h </w:instrText>
        </w:r>
        <w:r w:rsidRPr="00CB4E93">
          <w:rPr>
            <w:rFonts w:cs="Arial"/>
            <w:noProof/>
            <w:webHidden/>
            <w:sz w:val="20"/>
            <w:szCs w:val="20"/>
          </w:rPr>
        </w:r>
        <w:r w:rsidRPr="00CB4E93">
          <w:rPr>
            <w:rFonts w:cs="Arial"/>
            <w:noProof/>
            <w:webHidden/>
            <w:sz w:val="20"/>
            <w:szCs w:val="20"/>
          </w:rPr>
          <w:fldChar w:fldCharType="separate"/>
        </w:r>
        <w:r w:rsidR="009E27E4">
          <w:rPr>
            <w:rFonts w:cs="Arial"/>
            <w:noProof/>
            <w:webHidden/>
            <w:sz w:val="20"/>
            <w:szCs w:val="20"/>
          </w:rPr>
          <w:t>9</w:t>
        </w:r>
        <w:r w:rsidRPr="00CB4E93">
          <w:rPr>
            <w:rFonts w:cs="Arial"/>
            <w:noProof/>
            <w:webHidden/>
            <w:sz w:val="20"/>
            <w:szCs w:val="20"/>
          </w:rPr>
          <w:fldChar w:fldCharType="end"/>
        </w:r>
      </w:hyperlink>
    </w:p>
    <w:p w14:paraId="32C079F9" w14:textId="1281A6FE" w:rsidR="00CB4E93" w:rsidRPr="00CB4E93" w:rsidRDefault="00CB4E93" w:rsidP="00CB4E93">
      <w:pPr>
        <w:pStyle w:val="TM3"/>
        <w:tabs>
          <w:tab w:val="right" w:leader="dot" w:pos="9062"/>
        </w:tabs>
        <w:spacing w:before="60" w:after="0" w:line="240" w:lineRule="auto"/>
        <w:contextualSpacing/>
        <w:rPr>
          <w:rFonts w:eastAsiaTheme="minorEastAsia" w:cs="Arial"/>
          <w:noProof/>
          <w:color w:val="auto"/>
          <w:sz w:val="20"/>
          <w:szCs w:val="20"/>
          <w:lang w:eastAsia="fr-FR"/>
        </w:rPr>
      </w:pPr>
      <w:hyperlink w:anchor="_Toc52869560" w:history="1">
        <w:r w:rsidRPr="00CB4E93">
          <w:rPr>
            <w:rStyle w:val="Lienhypertexte"/>
            <w:rFonts w:cs="Arial"/>
            <w:noProof/>
            <w:sz w:val="20"/>
            <w:szCs w:val="20"/>
          </w:rPr>
          <w:t>1.3.3. Travaux de terrain</w:t>
        </w:r>
        <w:r w:rsidRPr="00CB4E93">
          <w:rPr>
            <w:rFonts w:cs="Arial"/>
            <w:noProof/>
            <w:webHidden/>
            <w:sz w:val="20"/>
            <w:szCs w:val="20"/>
          </w:rPr>
          <w:tab/>
        </w:r>
        <w:r w:rsidRPr="00CB4E93">
          <w:rPr>
            <w:rFonts w:cs="Arial"/>
            <w:noProof/>
            <w:webHidden/>
            <w:sz w:val="20"/>
            <w:szCs w:val="20"/>
          </w:rPr>
          <w:fldChar w:fldCharType="begin"/>
        </w:r>
        <w:r w:rsidRPr="00CB4E93">
          <w:rPr>
            <w:rFonts w:cs="Arial"/>
            <w:noProof/>
            <w:webHidden/>
            <w:sz w:val="20"/>
            <w:szCs w:val="20"/>
          </w:rPr>
          <w:instrText xml:space="preserve"> PAGEREF _Toc52869560 \h </w:instrText>
        </w:r>
        <w:r w:rsidRPr="00CB4E93">
          <w:rPr>
            <w:rFonts w:cs="Arial"/>
            <w:noProof/>
            <w:webHidden/>
            <w:sz w:val="20"/>
            <w:szCs w:val="20"/>
          </w:rPr>
        </w:r>
        <w:r w:rsidRPr="00CB4E93">
          <w:rPr>
            <w:rFonts w:cs="Arial"/>
            <w:noProof/>
            <w:webHidden/>
            <w:sz w:val="20"/>
            <w:szCs w:val="20"/>
          </w:rPr>
          <w:fldChar w:fldCharType="separate"/>
        </w:r>
        <w:r w:rsidR="009E27E4">
          <w:rPr>
            <w:rFonts w:cs="Arial"/>
            <w:noProof/>
            <w:webHidden/>
            <w:sz w:val="20"/>
            <w:szCs w:val="20"/>
          </w:rPr>
          <w:t>9</w:t>
        </w:r>
        <w:r w:rsidRPr="00CB4E93">
          <w:rPr>
            <w:rFonts w:cs="Arial"/>
            <w:noProof/>
            <w:webHidden/>
            <w:sz w:val="20"/>
            <w:szCs w:val="20"/>
          </w:rPr>
          <w:fldChar w:fldCharType="end"/>
        </w:r>
      </w:hyperlink>
    </w:p>
    <w:p w14:paraId="1D140599" w14:textId="1E89C890" w:rsidR="00CB4E93" w:rsidRPr="00CB4E93" w:rsidRDefault="00CB4E93" w:rsidP="00CB4E93">
      <w:pPr>
        <w:pStyle w:val="TM4"/>
        <w:tabs>
          <w:tab w:val="right" w:leader="dot" w:pos="9062"/>
        </w:tabs>
        <w:spacing w:before="60" w:after="0" w:line="240" w:lineRule="auto"/>
        <w:contextualSpacing/>
        <w:rPr>
          <w:rFonts w:eastAsiaTheme="minorEastAsia" w:cs="Arial"/>
          <w:noProof/>
          <w:color w:val="auto"/>
          <w:sz w:val="20"/>
          <w:szCs w:val="20"/>
          <w:lang w:eastAsia="fr-FR"/>
        </w:rPr>
      </w:pPr>
      <w:hyperlink w:anchor="_Toc52869561" w:history="1">
        <w:r w:rsidRPr="00CB4E93">
          <w:rPr>
            <w:rStyle w:val="Lienhypertexte"/>
            <w:rFonts w:cs="Arial"/>
            <w:noProof/>
            <w:sz w:val="20"/>
            <w:szCs w:val="20"/>
          </w:rPr>
          <w:t>1.3.3.1. Délimitation de la zone d’étude</w:t>
        </w:r>
        <w:r w:rsidRPr="00CB4E93">
          <w:rPr>
            <w:rFonts w:cs="Arial"/>
            <w:noProof/>
            <w:webHidden/>
            <w:sz w:val="20"/>
            <w:szCs w:val="20"/>
          </w:rPr>
          <w:tab/>
        </w:r>
        <w:r w:rsidRPr="00CB4E93">
          <w:rPr>
            <w:rFonts w:cs="Arial"/>
            <w:noProof/>
            <w:webHidden/>
            <w:sz w:val="20"/>
            <w:szCs w:val="20"/>
          </w:rPr>
          <w:fldChar w:fldCharType="begin"/>
        </w:r>
        <w:r w:rsidRPr="00CB4E93">
          <w:rPr>
            <w:rFonts w:cs="Arial"/>
            <w:noProof/>
            <w:webHidden/>
            <w:sz w:val="20"/>
            <w:szCs w:val="20"/>
          </w:rPr>
          <w:instrText xml:space="preserve"> PAGEREF _Toc52869561 \h </w:instrText>
        </w:r>
        <w:r w:rsidRPr="00CB4E93">
          <w:rPr>
            <w:rFonts w:cs="Arial"/>
            <w:noProof/>
            <w:webHidden/>
            <w:sz w:val="20"/>
            <w:szCs w:val="20"/>
          </w:rPr>
        </w:r>
        <w:r w:rsidRPr="00CB4E93">
          <w:rPr>
            <w:rFonts w:cs="Arial"/>
            <w:noProof/>
            <w:webHidden/>
            <w:sz w:val="20"/>
            <w:szCs w:val="20"/>
          </w:rPr>
          <w:fldChar w:fldCharType="separate"/>
        </w:r>
        <w:r w:rsidR="009E27E4">
          <w:rPr>
            <w:rFonts w:cs="Arial"/>
            <w:noProof/>
            <w:webHidden/>
            <w:sz w:val="20"/>
            <w:szCs w:val="20"/>
          </w:rPr>
          <w:t>9</w:t>
        </w:r>
        <w:r w:rsidRPr="00CB4E93">
          <w:rPr>
            <w:rFonts w:cs="Arial"/>
            <w:noProof/>
            <w:webHidden/>
            <w:sz w:val="20"/>
            <w:szCs w:val="20"/>
          </w:rPr>
          <w:fldChar w:fldCharType="end"/>
        </w:r>
      </w:hyperlink>
    </w:p>
    <w:p w14:paraId="242784A4" w14:textId="7A718DDC" w:rsidR="00CB4E93" w:rsidRPr="00CB4E93" w:rsidRDefault="00CB4E93" w:rsidP="00CB4E93">
      <w:pPr>
        <w:pStyle w:val="TM4"/>
        <w:tabs>
          <w:tab w:val="right" w:leader="dot" w:pos="9062"/>
        </w:tabs>
        <w:spacing w:before="60" w:after="0" w:line="240" w:lineRule="auto"/>
        <w:contextualSpacing/>
        <w:rPr>
          <w:rFonts w:eastAsiaTheme="minorEastAsia" w:cs="Arial"/>
          <w:noProof/>
          <w:color w:val="auto"/>
          <w:sz w:val="20"/>
          <w:szCs w:val="20"/>
          <w:lang w:eastAsia="fr-FR"/>
        </w:rPr>
      </w:pPr>
      <w:hyperlink w:anchor="_Toc52869562" w:history="1">
        <w:r w:rsidRPr="00CB4E93">
          <w:rPr>
            <w:rStyle w:val="Lienhypertexte"/>
            <w:rFonts w:cs="Arial"/>
            <w:noProof/>
            <w:sz w:val="20"/>
            <w:szCs w:val="20"/>
          </w:rPr>
          <w:t>1.3.3.2. Collecte des données pour l’état initial</w:t>
        </w:r>
        <w:r w:rsidRPr="00CB4E93">
          <w:rPr>
            <w:rFonts w:cs="Arial"/>
            <w:noProof/>
            <w:webHidden/>
            <w:sz w:val="20"/>
            <w:szCs w:val="20"/>
          </w:rPr>
          <w:tab/>
        </w:r>
        <w:r w:rsidRPr="00CB4E93">
          <w:rPr>
            <w:rFonts w:cs="Arial"/>
            <w:noProof/>
            <w:webHidden/>
            <w:sz w:val="20"/>
            <w:szCs w:val="20"/>
          </w:rPr>
          <w:fldChar w:fldCharType="begin"/>
        </w:r>
        <w:r w:rsidRPr="00CB4E93">
          <w:rPr>
            <w:rFonts w:cs="Arial"/>
            <w:noProof/>
            <w:webHidden/>
            <w:sz w:val="20"/>
            <w:szCs w:val="20"/>
          </w:rPr>
          <w:instrText xml:space="preserve"> PAGEREF _Toc52869562 \h </w:instrText>
        </w:r>
        <w:r w:rsidRPr="00CB4E93">
          <w:rPr>
            <w:rFonts w:cs="Arial"/>
            <w:noProof/>
            <w:webHidden/>
            <w:sz w:val="20"/>
            <w:szCs w:val="20"/>
          </w:rPr>
        </w:r>
        <w:r w:rsidRPr="00CB4E93">
          <w:rPr>
            <w:rFonts w:cs="Arial"/>
            <w:noProof/>
            <w:webHidden/>
            <w:sz w:val="20"/>
            <w:szCs w:val="20"/>
          </w:rPr>
          <w:fldChar w:fldCharType="separate"/>
        </w:r>
        <w:r w:rsidR="009E27E4">
          <w:rPr>
            <w:rFonts w:cs="Arial"/>
            <w:noProof/>
            <w:webHidden/>
            <w:sz w:val="20"/>
            <w:szCs w:val="20"/>
          </w:rPr>
          <w:t>11</w:t>
        </w:r>
        <w:r w:rsidRPr="00CB4E93">
          <w:rPr>
            <w:rFonts w:cs="Arial"/>
            <w:noProof/>
            <w:webHidden/>
            <w:sz w:val="20"/>
            <w:szCs w:val="20"/>
          </w:rPr>
          <w:fldChar w:fldCharType="end"/>
        </w:r>
      </w:hyperlink>
    </w:p>
    <w:p w14:paraId="1B185B0D" w14:textId="765D06D2" w:rsidR="00CB4E93" w:rsidRPr="00CB4E93" w:rsidRDefault="00CB4E93" w:rsidP="00CB4E93">
      <w:pPr>
        <w:pStyle w:val="TM4"/>
        <w:tabs>
          <w:tab w:val="right" w:leader="dot" w:pos="9062"/>
        </w:tabs>
        <w:spacing w:before="60" w:after="0" w:line="240" w:lineRule="auto"/>
        <w:contextualSpacing/>
        <w:rPr>
          <w:rFonts w:eastAsiaTheme="minorEastAsia" w:cs="Arial"/>
          <w:noProof/>
          <w:color w:val="auto"/>
          <w:sz w:val="20"/>
          <w:szCs w:val="20"/>
          <w:lang w:eastAsia="fr-FR"/>
        </w:rPr>
      </w:pPr>
      <w:hyperlink w:anchor="_Toc52869563" w:history="1">
        <w:r w:rsidRPr="00CB4E93">
          <w:rPr>
            <w:rStyle w:val="Lienhypertexte"/>
            <w:rFonts w:cs="Arial"/>
            <w:noProof/>
            <w:sz w:val="20"/>
            <w:szCs w:val="20"/>
          </w:rPr>
          <w:t>Source : CECO-BTP, 2020</w:t>
        </w:r>
        <w:r w:rsidRPr="00CB4E93">
          <w:rPr>
            <w:rFonts w:cs="Arial"/>
            <w:noProof/>
            <w:webHidden/>
            <w:sz w:val="20"/>
            <w:szCs w:val="20"/>
          </w:rPr>
          <w:tab/>
        </w:r>
        <w:r w:rsidRPr="00CB4E93">
          <w:rPr>
            <w:rFonts w:cs="Arial"/>
            <w:noProof/>
            <w:webHidden/>
            <w:sz w:val="20"/>
            <w:szCs w:val="20"/>
          </w:rPr>
          <w:fldChar w:fldCharType="begin"/>
        </w:r>
        <w:r w:rsidRPr="00CB4E93">
          <w:rPr>
            <w:rFonts w:cs="Arial"/>
            <w:noProof/>
            <w:webHidden/>
            <w:sz w:val="20"/>
            <w:szCs w:val="20"/>
          </w:rPr>
          <w:instrText xml:space="preserve"> PAGEREF _Toc52869563 \h </w:instrText>
        </w:r>
        <w:r w:rsidRPr="00CB4E93">
          <w:rPr>
            <w:rFonts w:cs="Arial"/>
            <w:noProof/>
            <w:webHidden/>
            <w:sz w:val="20"/>
            <w:szCs w:val="20"/>
          </w:rPr>
        </w:r>
        <w:r w:rsidRPr="00CB4E93">
          <w:rPr>
            <w:rFonts w:cs="Arial"/>
            <w:noProof/>
            <w:webHidden/>
            <w:sz w:val="20"/>
            <w:szCs w:val="20"/>
          </w:rPr>
          <w:fldChar w:fldCharType="separate"/>
        </w:r>
        <w:r w:rsidR="009E27E4">
          <w:rPr>
            <w:rFonts w:cs="Arial"/>
            <w:noProof/>
            <w:webHidden/>
            <w:sz w:val="20"/>
            <w:szCs w:val="20"/>
          </w:rPr>
          <w:t>14</w:t>
        </w:r>
        <w:r w:rsidRPr="00CB4E93">
          <w:rPr>
            <w:rFonts w:cs="Arial"/>
            <w:noProof/>
            <w:webHidden/>
            <w:sz w:val="20"/>
            <w:szCs w:val="20"/>
          </w:rPr>
          <w:fldChar w:fldCharType="end"/>
        </w:r>
      </w:hyperlink>
    </w:p>
    <w:p w14:paraId="1069C28A" w14:textId="296F8E74" w:rsidR="00CB4E93" w:rsidRPr="00CB4E93" w:rsidRDefault="00CB4E93" w:rsidP="00CB4E93">
      <w:pPr>
        <w:pStyle w:val="TM4"/>
        <w:tabs>
          <w:tab w:val="right" w:leader="dot" w:pos="9062"/>
        </w:tabs>
        <w:spacing w:before="60" w:after="0" w:line="240" w:lineRule="auto"/>
        <w:contextualSpacing/>
        <w:rPr>
          <w:rFonts w:eastAsiaTheme="minorEastAsia" w:cs="Arial"/>
          <w:noProof/>
          <w:color w:val="auto"/>
          <w:sz w:val="20"/>
          <w:szCs w:val="20"/>
          <w:lang w:eastAsia="fr-FR"/>
        </w:rPr>
      </w:pPr>
      <w:hyperlink w:anchor="_Toc52869564" w:history="1">
        <w:r w:rsidRPr="00CB4E93">
          <w:rPr>
            <w:rStyle w:val="Lienhypertexte"/>
            <w:rFonts w:cs="Arial"/>
            <w:noProof/>
            <w:sz w:val="20"/>
            <w:szCs w:val="20"/>
          </w:rPr>
          <w:t>1.3.3.3. Enquêtes socio-économiques</w:t>
        </w:r>
        <w:r w:rsidRPr="00CB4E93">
          <w:rPr>
            <w:rFonts w:cs="Arial"/>
            <w:noProof/>
            <w:webHidden/>
            <w:sz w:val="20"/>
            <w:szCs w:val="20"/>
          </w:rPr>
          <w:tab/>
        </w:r>
        <w:r w:rsidRPr="00CB4E93">
          <w:rPr>
            <w:rFonts w:cs="Arial"/>
            <w:noProof/>
            <w:webHidden/>
            <w:sz w:val="20"/>
            <w:szCs w:val="20"/>
          </w:rPr>
          <w:fldChar w:fldCharType="begin"/>
        </w:r>
        <w:r w:rsidRPr="00CB4E93">
          <w:rPr>
            <w:rFonts w:cs="Arial"/>
            <w:noProof/>
            <w:webHidden/>
            <w:sz w:val="20"/>
            <w:szCs w:val="20"/>
          </w:rPr>
          <w:instrText xml:space="preserve"> PAGEREF _Toc52869564 \h </w:instrText>
        </w:r>
        <w:r w:rsidRPr="00CB4E93">
          <w:rPr>
            <w:rFonts w:cs="Arial"/>
            <w:noProof/>
            <w:webHidden/>
            <w:sz w:val="20"/>
            <w:szCs w:val="20"/>
          </w:rPr>
        </w:r>
        <w:r w:rsidRPr="00CB4E93">
          <w:rPr>
            <w:rFonts w:cs="Arial"/>
            <w:noProof/>
            <w:webHidden/>
            <w:sz w:val="20"/>
            <w:szCs w:val="20"/>
          </w:rPr>
          <w:fldChar w:fldCharType="separate"/>
        </w:r>
        <w:r w:rsidR="009E27E4">
          <w:rPr>
            <w:rFonts w:cs="Arial"/>
            <w:noProof/>
            <w:webHidden/>
            <w:sz w:val="20"/>
            <w:szCs w:val="20"/>
          </w:rPr>
          <w:t>14</w:t>
        </w:r>
        <w:r w:rsidRPr="00CB4E93">
          <w:rPr>
            <w:rFonts w:cs="Arial"/>
            <w:noProof/>
            <w:webHidden/>
            <w:sz w:val="20"/>
            <w:szCs w:val="20"/>
          </w:rPr>
          <w:fldChar w:fldCharType="end"/>
        </w:r>
      </w:hyperlink>
    </w:p>
    <w:p w14:paraId="4458E02E" w14:textId="47DB01AD" w:rsidR="00CB4E93" w:rsidRPr="00CB4E93" w:rsidRDefault="00CB4E93" w:rsidP="00CB4E93">
      <w:pPr>
        <w:pStyle w:val="TM4"/>
        <w:tabs>
          <w:tab w:val="right" w:leader="dot" w:pos="9062"/>
        </w:tabs>
        <w:spacing w:before="60" w:after="0" w:line="240" w:lineRule="auto"/>
        <w:contextualSpacing/>
        <w:rPr>
          <w:rFonts w:eastAsiaTheme="minorEastAsia" w:cs="Arial"/>
          <w:noProof/>
          <w:color w:val="auto"/>
          <w:sz w:val="20"/>
          <w:szCs w:val="20"/>
          <w:lang w:eastAsia="fr-FR"/>
        </w:rPr>
      </w:pPr>
      <w:hyperlink w:anchor="_Toc52869565" w:history="1">
        <w:r w:rsidRPr="00CB4E93">
          <w:rPr>
            <w:rStyle w:val="Lienhypertexte"/>
            <w:rFonts w:cs="Arial"/>
            <w:noProof/>
            <w:sz w:val="20"/>
            <w:szCs w:val="20"/>
          </w:rPr>
          <w:t>1.3.3.4. Données cartographiques</w:t>
        </w:r>
        <w:r w:rsidRPr="00CB4E93">
          <w:rPr>
            <w:rFonts w:cs="Arial"/>
            <w:noProof/>
            <w:webHidden/>
            <w:sz w:val="20"/>
            <w:szCs w:val="20"/>
          </w:rPr>
          <w:tab/>
        </w:r>
        <w:r w:rsidRPr="00CB4E93">
          <w:rPr>
            <w:rFonts w:cs="Arial"/>
            <w:noProof/>
            <w:webHidden/>
            <w:sz w:val="20"/>
            <w:szCs w:val="20"/>
          </w:rPr>
          <w:fldChar w:fldCharType="begin"/>
        </w:r>
        <w:r w:rsidRPr="00CB4E93">
          <w:rPr>
            <w:rFonts w:cs="Arial"/>
            <w:noProof/>
            <w:webHidden/>
            <w:sz w:val="20"/>
            <w:szCs w:val="20"/>
          </w:rPr>
          <w:instrText xml:space="preserve"> PAGEREF _Toc52869565 \h </w:instrText>
        </w:r>
        <w:r w:rsidRPr="00CB4E93">
          <w:rPr>
            <w:rFonts w:cs="Arial"/>
            <w:noProof/>
            <w:webHidden/>
            <w:sz w:val="20"/>
            <w:szCs w:val="20"/>
          </w:rPr>
        </w:r>
        <w:r w:rsidRPr="00CB4E93">
          <w:rPr>
            <w:rFonts w:cs="Arial"/>
            <w:noProof/>
            <w:webHidden/>
            <w:sz w:val="20"/>
            <w:szCs w:val="20"/>
          </w:rPr>
          <w:fldChar w:fldCharType="separate"/>
        </w:r>
        <w:r w:rsidR="009E27E4">
          <w:rPr>
            <w:rFonts w:cs="Arial"/>
            <w:noProof/>
            <w:webHidden/>
            <w:sz w:val="20"/>
            <w:szCs w:val="20"/>
          </w:rPr>
          <w:t>20</w:t>
        </w:r>
        <w:r w:rsidRPr="00CB4E93">
          <w:rPr>
            <w:rFonts w:cs="Arial"/>
            <w:noProof/>
            <w:webHidden/>
            <w:sz w:val="20"/>
            <w:szCs w:val="20"/>
          </w:rPr>
          <w:fldChar w:fldCharType="end"/>
        </w:r>
      </w:hyperlink>
    </w:p>
    <w:p w14:paraId="209D1975" w14:textId="124C5462" w:rsidR="00CB4E93" w:rsidRPr="00CB4E93" w:rsidRDefault="00CB4E93" w:rsidP="00CB4E93">
      <w:pPr>
        <w:pStyle w:val="TM4"/>
        <w:tabs>
          <w:tab w:val="right" w:leader="dot" w:pos="9062"/>
        </w:tabs>
        <w:spacing w:before="60" w:after="0" w:line="240" w:lineRule="auto"/>
        <w:contextualSpacing/>
        <w:rPr>
          <w:rFonts w:eastAsiaTheme="minorEastAsia" w:cs="Arial"/>
          <w:noProof/>
          <w:color w:val="auto"/>
          <w:sz w:val="20"/>
          <w:szCs w:val="20"/>
          <w:lang w:eastAsia="fr-FR"/>
        </w:rPr>
      </w:pPr>
      <w:hyperlink w:anchor="_Toc52869566" w:history="1">
        <w:r w:rsidRPr="00CB4E93">
          <w:rPr>
            <w:rStyle w:val="Lienhypertexte"/>
            <w:rFonts w:cs="Arial"/>
            <w:noProof/>
            <w:sz w:val="20"/>
            <w:szCs w:val="20"/>
          </w:rPr>
          <w:t>1.3.3.5. Démarche adoptée pour les consultations publiques</w:t>
        </w:r>
        <w:r w:rsidRPr="00CB4E93">
          <w:rPr>
            <w:rFonts w:cs="Arial"/>
            <w:noProof/>
            <w:webHidden/>
            <w:sz w:val="20"/>
            <w:szCs w:val="20"/>
          </w:rPr>
          <w:tab/>
        </w:r>
        <w:r w:rsidRPr="00CB4E93">
          <w:rPr>
            <w:rFonts w:cs="Arial"/>
            <w:noProof/>
            <w:webHidden/>
            <w:sz w:val="20"/>
            <w:szCs w:val="20"/>
          </w:rPr>
          <w:fldChar w:fldCharType="begin"/>
        </w:r>
        <w:r w:rsidRPr="00CB4E93">
          <w:rPr>
            <w:rFonts w:cs="Arial"/>
            <w:noProof/>
            <w:webHidden/>
            <w:sz w:val="20"/>
            <w:szCs w:val="20"/>
          </w:rPr>
          <w:instrText xml:space="preserve"> PAGEREF _Toc52869566 \h </w:instrText>
        </w:r>
        <w:r w:rsidRPr="00CB4E93">
          <w:rPr>
            <w:rFonts w:cs="Arial"/>
            <w:noProof/>
            <w:webHidden/>
            <w:sz w:val="20"/>
            <w:szCs w:val="20"/>
          </w:rPr>
        </w:r>
        <w:r w:rsidRPr="00CB4E93">
          <w:rPr>
            <w:rFonts w:cs="Arial"/>
            <w:noProof/>
            <w:webHidden/>
            <w:sz w:val="20"/>
            <w:szCs w:val="20"/>
          </w:rPr>
          <w:fldChar w:fldCharType="separate"/>
        </w:r>
        <w:r w:rsidR="009E27E4">
          <w:rPr>
            <w:rFonts w:cs="Arial"/>
            <w:noProof/>
            <w:webHidden/>
            <w:sz w:val="20"/>
            <w:szCs w:val="20"/>
          </w:rPr>
          <w:t>21</w:t>
        </w:r>
        <w:r w:rsidRPr="00CB4E93">
          <w:rPr>
            <w:rFonts w:cs="Arial"/>
            <w:noProof/>
            <w:webHidden/>
            <w:sz w:val="20"/>
            <w:szCs w:val="20"/>
          </w:rPr>
          <w:fldChar w:fldCharType="end"/>
        </w:r>
      </w:hyperlink>
    </w:p>
    <w:p w14:paraId="45E661B0" w14:textId="674AEB95" w:rsidR="00CB4E93" w:rsidRPr="00CB4E93" w:rsidRDefault="00CB4E93" w:rsidP="00CB4E93">
      <w:pPr>
        <w:pStyle w:val="TM3"/>
        <w:tabs>
          <w:tab w:val="right" w:leader="dot" w:pos="9062"/>
        </w:tabs>
        <w:spacing w:before="60" w:after="0" w:line="240" w:lineRule="auto"/>
        <w:contextualSpacing/>
        <w:rPr>
          <w:rFonts w:eastAsiaTheme="minorEastAsia" w:cs="Arial"/>
          <w:noProof/>
          <w:color w:val="auto"/>
          <w:sz w:val="20"/>
          <w:szCs w:val="20"/>
          <w:lang w:eastAsia="fr-FR"/>
        </w:rPr>
      </w:pPr>
      <w:hyperlink w:anchor="_Toc52869567" w:history="1">
        <w:r w:rsidRPr="00CB4E93">
          <w:rPr>
            <w:rStyle w:val="Lienhypertexte"/>
            <w:rFonts w:cs="Arial"/>
            <w:noProof/>
            <w:sz w:val="20"/>
            <w:szCs w:val="20"/>
          </w:rPr>
          <w:t>1.3.4. Méthodologie spécifique à l’analyse environnementale</w:t>
        </w:r>
        <w:r w:rsidRPr="00CB4E93">
          <w:rPr>
            <w:rFonts w:cs="Arial"/>
            <w:noProof/>
            <w:webHidden/>
            <w:sz w:val="20"/>
            <w:szCs w:val="20"/>
          </w:rPr>
          <w:tab/>
        </w:r>
        <w:r w:rsidRPr="00CB4E93">
          <w:rPr>
            <w:rFonts w:cs="Arial"/>
            <w:noProof/>
            <w:webHidden/>
            <w:sz w:val="20"/>
            <w:szCs w:val="20"/>
          </w:rPr>
          <w:fldChar w:fldCharType="begin"/>
        </w:r>
        <w:r w:rsidRPr="00CB4E93">
          <w:rPr>
            <w:rFonts w:cs="Arial"/>
            <w:noProof/>
            <w:webHidden/>
            <w:sz w:val="20"/>
            <w:szCs w:val="20"/>
          </w:rPr>
          <w:instrText xml:space="preserve"> PAGEREF _Toc52869567 \h </w:instrText>
        </w:r>
        <w:r w:rsidRPr="00CB4E93">
          <w:rPr>
            <w:rFonts w:cs="Arial"/>
            <w:noProof/>
            <w:webHidden/>
            <w:sz w:val="20"/>
            <w:szCs w:val="20"/>
          </w:rPr>
        </w:r>
        <w:r w:rsidRPr="00CB4E93">
          <w:rPr>
            <w:rFonts w:cs="Arial"/>
            <w:noProof/>
            <w:webHidden/>
            <w:sz w:val="20"/>
            <w:szCs w:val="20"/>
          </w:rPr>
          <w:fldChar w:fldCharType="separate"/>
        </w:r>
        <w:r w:rsidR="009E27E4">
          <w:rPr>
            <w:rFonts w:cs="Arial"/>
            <w:noProof/>
            <w:webHidden/>
            <w:sz w:val="20"/>
            <w:szCs w:val="20"/>
          </w:rPr>
          <w:t>22</w:t>
        </w:r>
        <w:r w:rsidRPr="00CB4E93">
          <w:rPr>
            <w:rFonts w:cs="Arial"/>
            <w:noProof/>
            <w:webHidden/>
            <w:sz w:val="20"/>
            <w:szCs w:val="20"/>
          </w:rPr>
          <w:fldChar w:fldCharType="end"/>
        </w:r>
      </w:hyperlink>
    </w:p>
    <w:p w14:paraId="323E8204" w14:textId="73A47674" w:rsidR="00CB4E93" w:rsidRPr="00CB4E93" w:rsidRDefault="00CB4E93" w:rsidP="00CB4E93">
      <w:pPr>
        <w:pStyle w:val="TM4"/>
        <w:tabs>
          <w:tab w:val="right" w:leader="dot" w:pos="9062"/>
        </w:tabs>
        <w:spacing w:before="60" w:after="0" w:line="240" w:lineRule="auto"/>
        <w:contextualSpacing/>
        <w:rPr>
          <w:rFonts w:eastAsiaTheme="minorEastAsia" w:cs="Arial"/>
          <w:noProof/>
          <w:color w:val="auto"/>
          <w:sz w:val="20"/>
          <w:szCs w:val="20"/>
          <w:lang w:eastAsia="fr-FR"/>
        </w:rPr>
      </w:pPr>
      <w:hyperlink w:anchor="_Toc52869568" w:history="1">
        <w:r w:rsidRPr="00CB4E93">
          <w:rPr>
            <w:rStyle w:val="Lienhypertexte"/>
            <w:rFonts w:cs="Arial"/>
            <w:noProof/>
            <w:sz w:val="20"/>
            <w:szCs w:val="20"/>
          </w:rPr>
          <w:t>1.3.4.1. Analyse des variantes</w:t>
        </w:r>
        <w:r w:rsidRPr="00CB4E93">
          <w:rPr>
            <w:rFonts w:cs="Arial"/>
            <w:noProof/>
            <w:webHidden/>
            <w:sz w:val="20"/>
            <w:szCs w:val="20"/>
          </w:rPr>
          <w:tab/>
        </w:r>
        <w:r w:rsidRPr="00CB4E93">
          <w:rPr>
            <w:rFonts w:cs="Arial"/>
            <w:noProof/>
            <w:webHidden/>
            <w:sz w:val="20"/>
            <w:szCs w:val="20"/>
          </w:rPr>
          <w:fldChar w:fldCharType="begin"/>
        </w:r>
        <w:r w:rsidRPr="00CB4E93">
          <w:rPr>
            <w:rFonts w:cs="Arial"/>
            <w:noProof/>
            <w:webHidden/>
            <w:sz w:val="20"/>
            <w:szCs w:val="20"/>
          </w:rPr>
          <w:instrText xml:space="preserve"> PAGEREF _Toc52869568 \h </w:instrText>
        </w:r>
        <w:r w:rsidRPr="00CB4E93">
          <w:rPr>
            <w:rFonts w:cs="Arial"/>
            <w:noProof/>
            <w:webHidden/>
            <w:sz w:val="20"/>
            <w:szCs w:val="20"/>
          </w:rPr>
        </w:r>
        <w:r w:rsidRPr="00CB4E93">
          <w:rPr>
            <w:rFonts w:cs="Arial"/>
            <w:noProof/>
            <w:webHidden/>
            <w:sz w:val="20"/>
            <w:szCs w:val="20"/>
          </w:rPr>
          <w:fldChar w:fldCharType="separate"/>
        </w:r>
        <w:r w:rsidR="009E27E4">
          <w:rPr>
            <w:rFonts w:cs="Arial"/>
            <w:noProof/>
            <w:webHidden/>
            <w:sz w:val="20"/>
            <w:szCs w:val="20"/>
          </w:rPr>
          <w:t>22</w:t>
        </w:r>
        <w:r w:rsidRPr="00CB4E93">
          <w:rPr>
            <w:rFonts w:cs="Arial"/>
            <w:noProof/>
            <w:webHidden/>
            <w:sz w:val="20"/>
            <w:szCs w:val="20"/>
          </w:rPr>
          <w:fldChar w:fldCharType="end"/>
        </w:r>
      </w:hyperlink>
    </w:p>
    <w:p w14:paraId="230EAE91" w14:textId="376FF2FE" w:rsidR="00CB4E93" w:rsidRPr="00CB4E93" w:rsidRDefault="00CB4E93" w:rsidP="00CB4E93">
      <w:pPr>
        <w:pStyle w:val="TM4"/>
        <w:tabs>
          <w:tab w:val="right" w:leader="dot" w:pos="9062"/>
        </w:tabs>
        <w:spacing w:before="60" w:after="0" w:line="240" w:lineRule="auto"/>
        <w:contextualSpacing/>
        <w:rPr>
          <w:rFonts w:eastAsiaTheme="minorEastAsia" w:cs="Arial"/>
          <w:noProof/>
          <w:color w:val="auto"/>
          <w:sz w:val="20"/>
          <w:szCs w:val="20"/>
          <w:lang w:eastAsia="fr-FR"/>
        </w:rPr>
      </w:pPr>
      <w:hyperlink w:anchor="_Toc52869569" w:history="1">
        <w:r w:rsidRPr="00CB4E93">
          <w:rPr>
            <w:rStyle w:val="Lienhypertexte"/>
            <w:rFonts w:cs="Arial"/>
            <w:noProof/>
            <w:sz w:val="20"/>
            <w:szCs w:val="20"/>
          </w:rPr>
          <w:t>1.3.4.2.  Identification et analyse des impacts</w:t>
        </w:r>
        <w:r w:rsidRPr="00CB4E93">
          <w:rPr>
            <w:rFonts w:cs="Arial"/>
            <w:noProof/>
            <w:webHidden/>
            <w:sz w:val="20"/>
            <w:szCs w:val="20"/>
          </w:rPr>
          <w:tab/>
        </w:r>
        <w:r w:rsidRPr="00CB4E93">
          <w:rPr>
            <w:rFonts w:cs="Arial"/>
            <w:noProof/>
            <w:webHidden/>
            <w:sz w:val="20"/>
            <w:szCs w:val="20"/>
          </w:rPr>
          <w:fldChar w:fldCharType="begin"/>
        </w:r>
        <w:r w:rsidRPr="00CB4E93">
          <w:rPr>
            <w:rFonts w:cs="Arial"/>
            <w:noProof/>
            <w:webHidden/>
            <w:sz w:val="20"/>
            <w:szCs w:val="20"/>
          </w:rPr>
          <w:instrText xml:space="preserve"> PAGEREF _Toc52869569 \h </w:instrText>
        </w:r>
        <w:r w:rsidRPr="00CB4E93">
          <w:rPr>
            <w:rFonts w:cs="Arial"/>
            <w:noProof/>
            <w:webHidden/>
            <w:sz w:val="20"/>
            <w:szCs w:val="20"/>
          </w:rPr>
        </w:r>
        <w:r w:rsidRPr="00CB4E93">
          <w:rPr>
            <w:rFonts w:cs="Arial"/>
            <w:noProof/>
            <w:webHidden/>
            <w:sz w:val="20"/>
            <w:szCs w:val="20"/>
          </w:rPr>
          <w:fldChar w:fldCharType="separate"/>
        </w:r>
        <w:r w:rsidR="009E27E4">
          <w:rPr>
            <w:rFonts w:cs="Arial"/>
            <w:noProof/>
            <w:webHidden/>
            <w:sz w:val="20"/>
            <w:szCs w:val="20"/>
          </w:rPr>
          <w:t>22</w:t>
        </w:r>
        <w:r w:rsidRPr="00CB4E93">
          <w:rPr>
            <w:rFonts w:cs="Arial"/>
            <w:noProof/>
            <w:webHidden/>
            <w:sz w:val="20"/>
            <w:szCs w:val="20"/>
          </w:rPr>
          <w:fldChar w:fldCharType="end"/>
        </w:r>
      </w:hyperlink>
    </w:p>
    <w:p w14:paraId="054BC5B9" w14:textId="43C76622" w:rsidR="00CB4E93" w:rsidRPr="00CB4E93" w:rsidRDefault="00CB4E93" w:rsidP="00CB4E93">
      <w:pPr>
        <w:pStyle w:val="TM4"/>
        <w:tabs>
          <w:tab w:val="right" w:leader="dot" w:pos="9062"/>
        </w:tabs>
        <w:spacing w:before="60" w:after="0" w:line="240" w:lineRule="auto"/>
        <w:contextualSpacing/>
        <w:rPr>
          <w:rFonts w:eastAsiaTheme="minorEastAsia" w:cs="Arial"/>
          <w:noProof/>
          <w:color w:val="auto"/>
          <w:sz w:val="20"/>
          <w:szCs w:val="20"/>
          <w:lang w:eastAsia="fr-FR"/>
        </w:rPr>
      </w:pPr>
      <w:hyperlink w:anchor="_Toc52869570" w:history="1">
        <w:r w:rsidRPr="00CB4E93">
          <w:rPr>
            <w:rStyle w:val="Lienhypertexte"/>
            <w:rFonts w:cs="Arial"/>
            <w:noProof/>
            <w:sz w:val="20"/>
            <w:szCs w:val="20"/>
          </w:rPr>
          <w:t>1.3.4.3. Méthodologie d’analyse de l’importance des impacts</w:t>
        </w:r>
        <w:r w:rsidRPr="00CB4E93">
          <w:rPr>
            <w:rFonts w:cs="Arial"/>
            <w:noProof/>
            <w:webHidden/>
            <w:sz w:val="20"/>
            <w:szCs w:val="20"/>
          </w:rPr>
          <w:tab/>
        </w:r>
        <w:r w:rsidRPr="00CB4E93">
          <w:rPr>
            <w:rFonts w:cs="Arial"/>
            <w:noProof/>
            <w:webHidden/>
            <w:sz w:val="20"/>
            <w:szCs w:val="20"/>
          </w:rPr>
          <w:fldChar w:fldCharType="begin"/>
        </w:r>
        <w:r w:rsidRPr="00CB4E93">
          <w:rPr>
            <w:rFonts w:cs="Arial"/>
            <w:noProof/>
            <w:webHidden/>
            <w:sz w:val="20"/>
            <w:szCs w:val="20"/>
          </w:rPr>
          <w:instrText xml:space="preserve"> PAGEREF _Toc52869570 \h </w:instrText>
        </w:r>
        <w:r w:rsidRPr="00CB4E93">
          <w:rPr>
            <w:rFonts w:cs="Arial"/>
            <w:noProof/>
            <w:webHidden/>
            <w:sz w:val="20"/>
            <w:szCs w:val="20"/>
          </w:rPr>
        </w:r>
        <w:r w:rsidRPr="00CB4E93">
          <w:rPr>
            <w:rFonts w:cs="Arial"/>
            <w:noProof/>
            <w:webHidden/>
            <w:sz w:val="20"/>
            <w:szCs w:val="20"/>
          </w:rPr>
          <w:fldChar w:fldCharType="separate"/>
        </w:r>
        <w:r w:rsidR="009E27E4">
          <w:rPr>
            <w:rFonts w:cs="Arial"/>
            <w:noProof/>
            <w:webHidden/>
            <w:sz w:val="20"/>
            <w:szCs w:val="20"/>
          </w:rPr>
          <w:t>23</w:t>
        </w:r>
        <w:r w:rsidRPr="00CB4E93">
          <w:rPr>
            <w:rFonts w:cs="Arial"/>
            <w:noProof/>
            <w:webHidden/>
            <w:sz w:val="20"/>
            <w:szCs w:val="20"/>
          </w:rPr>
          <w:fldChar w:fldCharType="end"/>
        </w:r>
      </w:hyperlink>
    </w:p>
    <w:p w14:paraId="46ED03E7" w14:textId="219612A8" w:rsidR="00CB4E93" w:rsidRPr="00CB4E93" w:rsidRDefault="00CB4E93" w:rsidP="00CB4E93">
      <w:pPr>
        <w:pStyle w:val="TM4"/>
        <w:tabs>
          <w:tab w:val="right" w:leader="dot" w:pos="9062"/>
        </w:tabs>
        <w:spacing w:before="60" w:after="0" w:line="240" w:lineRule="auto"/>
        <w:contextualSpacing/>
        <w:rPr>
          <w:rFonts w:eastAsiaTheme="minorEastAsia" w:cs="Arial"/>
          <w:noProof/>
          <w:color w:val="auto"/>
          <w:sz w:val="20"/>
          <w:szCs w:val="20"/>
          <w:lang w:eastAsia="fr-FR"/>
        </w:rPr>
      </w:pPr>
      <w:hyperlink w:anchor="_Toc52869571" w:history="1">
        <w:r w:rsidRPr="00CB4E93">
          <w:rPr>
            <w:rStyle w:val="Lienhypertexte"/>
            <w:rFonts w:cs="Arial"/>
            <w:noProof/>
            <w:sz w:val="20"/>
            <w:szCs w:val="20"/>
          </w:rPr>
          <w:t>1.3.4.4. Proposition de mesures environnementales et sociales</w:t>
        </w:r>
        <w:r w:rsidRPr="00CB4E93">
          <w:rPr>
            <w:rFonts w:cs="Arial"/>
            <w:noProof/>
            <w:webHidden/>
            <w:sz w:val="20"/>
            <w:szCs w:val="20"/>
          </w:rPr>
          <w:tab/>
        </w:r>
        <w:r w:rsidRPr="00CB4E93">
          <w:rPr>
            <w:rFonts w:cs="Arial"/>
            <w:noProof/>
            <w:webHidden/>
            <w:sz w:val="20"/>
            <w:szCs w:val="20"/>
          </w:rPr>
          <w:fldChar w:fldCharType="begin"/>
        </w:r>
        <w:r w:rsidRPr="00CB4E93">
          <w:rPr>
            <w:rFonts w:cs="Arial"/>
            <w:noProof/>
            <w:webHidden/>
            <w:sz w:val="20"/>
            <w:szCs w:val="20"/>
          </w:rPr>
          <w:instrText xml:space="preserve"> PAGEREF _Toc52869571 \h </w:instrText>
        </w:r>
        <w:r w:rsidRPr="00CB4E93">
          <w:rPr>
            <w:rFonts w:cs="Arial"/>
            <w:noProof/>
            <w:webHidden/>
            <w:sz w:val="20"/>
            <w:szCs w:val="20"/>
          </w:rPr>
        </w:r>
        <w:r w:rsidRPr="00CB4E93">
          <w:rPr>
            <w:rFonts w:cs="Arial"/>
            <w:noProof/>
            <w:webHidden/>
            <w:sz w:val="20"/>
            <w:szCs w:val="20"/>
          </w:rPr>
          <w:fldChar w:fldCharType="separate"/>
        </w:r>
        <w:r w:rsidR="009E27E4">
          <w:rPr>
            <w:rFonts w:cs="Arial"/>
            <w:noProof/>
            <w:webHidden/>
            <w:sz w:val="20"/>
            <w:szCs w:val="20"/>
          </w:rPr>
          <w:t>25</w:t>
        </w:r>
        <w:r w:rsidRPr="00CB4E93">
          <w:rPr>
            <w:rFonts w:cs="Arial"/>
            <w:noProof/>
            <w:webHidden/>
            <w:sz w:val="20"/>
            <w:szCs w:val="20"/>
          </w:rPr>
          <w:fldChar w:fldCharType="end"/>
        </w:r>
      </w:hyperlink>
    </w:p>
    <w:p w14:paraId="0DBB8984" w14:textId="32CA4629" w:rsidR="00CB4E93" w:rsidRPr="00CB4E93" w:rsidRDefault="00CB4E93" w:rsidP="00CB4E93">
      <w:pPr>
        <w:pStyle w:val="TM4"/>
        <w:tabs>
          <w:tab w:val="right" w:leader="dot" w:pos="9062"/>
        </w:tabs>
        <w:spacing w:before="60" w:after="0" w:line="240" w:lineRule="auto"/>
        <w:contextualSpacing/>
        <w:rPr>
          <w:rFonts w:eastAsiaTheme="minorEastAsia" w:cs="Arial"/>
          <w:noProof/>
          <w:color w:val="auto"/>
          <w:sz w:val="20"/>
          <w:szCs w:val="20"/>
          <w:lang w:eastAsia="fr-FR"/>
        </w:rPr>
      </w:pPr>
      <w:hyperlink w:anchor="_Toc52869572" w:history="1">
        <w:r w:rsidRPr="00CB4E93">
          <w:rPr>
            <w:rStyle w:val="Lienhypertexte"/>
            <w:rFonts w:cs="Arial"/>
            <w:noProof/>
            <w:sz w:val="20"/>
            <w:szCs w:val="20"/>
          </w:rPr>
          <w:t>1.3.4.5. Risques et accidents technologiques</w:t>
        </w:r>
        <w:r w:rsidRPr="00CB4E93">
          <w:rPr>
            <w:rFonts w:cs="Arial"/>
            <w:noProof/>
            <w:webHidden/>
            <w:sz w:val="20"/>
            <w:szCs w:val="20"/>
          </w:rPr>
          <w:tab/>
        </w:r>
        <w:r w:rsidRPr="00CB4E93">
          <w:rPr>
            <w:rFonts w:cs="Arial"/>
            <w:noProof/>
            <w:webHidden/>
            <w:sz w:val="20"/>
            <w:szCs w:val="20"/>
          </w:rPr>
          <w:fldChar w:fldCharType="begin"/>
        </w:r>
        <w:r w:rsidRPr="00CB4E93">
          <w:rPr>
            <w:rFonts w:cs="Arial"/>
            <w:noProof/>
            <w:webHidden/>
            <w:sz w:val="20"/>
            <w:szCs w:val="20"/>
          </w:rPr>
          <w:instrText xml:space="preserve"> PAGEREF _Toc52869572 \h </w:instrText>
        </w:r>
        <w:r w:rsidRPr="00CB4E93">
          <w:rPr>
            <w:rFonts w:cs="Arial"/>
            <w:noProof/>
            <w:webHidden/>
            <w:sz w:val="20"/>
            <w:szCs w:val="20"/>
          </w:rPr>
        </w:r>
        <w:r w:rsidRPr="00CB4E93">
          <w:rPr>
            <w:rFonts w:cs="Arial"/>
            <w:noProof/>
            <w:webHidden/>
            <w:sz w:val="20"/>
            <w:szCs w:val="20"/>
          </w:rPr>
          <w:fldChar w:fldCharType="separate"/>
        </w:r>
        <w:r w:rsidR="009E27E4">
          <w:rPr>
            <w:rFonts w:cs="Arial"/>
            <w:noProof/>
            <w:webHidden/>
            <w:sz w:val="20"/>
            <w:szCs w:val="20"/>
          </w:rPr>
          <w:t>26</w:t>
        </w:r>
        <w:r w:rsidRPr="00CB4E93">
          <w:rPr>
            <w:rFonts w:cs="Arial"/>
            <w:noProof/>
            <w:webHidden/>
            <w:sz w:val="20"/>
            <w:szCs w:val="20"/>
          </w:rPr>
          <w:fldChar w:fldCharType="end"/>
        </w:r>
      </w:hyperlink>
    </w:p>
    <w:p w14:paraId="6E974333" w14:textId="341F9003" w:rsidR="00CB4E93" w:rsidRPr="00CB4E93" w:rsidRDefault="00CB4E93" w:rsidP="00CB4E93">
      <w:pPr>
        <w:pStyle w:val="TM4"/>
        <w:tabs>
          <w:tab w:val="right" w:leader="dot" w:pos="9062"/>
        </w:tabs>
        <w:spacing w:before="60" w:after="0" w:line="240" w:lineRule="auto"/>
        <w:contextualSpacing/>
        <w:rPr>
          <w:rFonts w:eastAsiaTheme="minorEastAsia" w:cs="Arial"/>
          <w:noProof/>
          <w:color w:val="auto"/>
          <w:sz w:val="20"/>
          <w:szCs w:val="20"/>
          <w:lang w:eastAsia="fr-FR"/>
        </w:rPr>
      </w:pPr>
      <w:hyperlink w:anchor="_Toc52869573" w:history="1">
        <w:r w:rsidRPr="00CB4E93">
          <w:rPr>
            <w:rStyle w:val="Lienhypertexte"/>
            <w:rFonts w:cs="Arial"/>
            <w:noProof/>
            <w:sz w:val="20"/>
            <w:szCs w:val="20"/>
          </w:rPr>
          <w:t>1.3.5.6. Plan de gestion environnementale et sociale</w:t>
        </w:r>
        <w:r w:rsidRPr="00CB4E93">
          <w:rPr>
            <w:rFonts w:cs="Arial"/>
            <w:noProof/>
            <w:webHidden/>
            <w:sz w:val="20"/>
            <w:szCs w:val="20"/>
          </w:rPr>
          <w:tab/>
        </w:r>
        <w:r w:rsidRPr="00CB4E93">
          <w:rPr>
            <w:rFonts w:cs="Arial"/>
            <w:noProof/>
            <w:webHidden/>
            <w:sz w:val="20"/>
            <w:szCs w:val="20"/>
          </w:rPr>
          <w:fldChar w:fldCharType="begin"/>
        </w:r>
        <w:r w:rsidRPr="00CB4E93">
          <w:rPr>
            <w:rFonts w:cs="Arial"/>
            <w:noProof/>
            <w:webHidden/>
            <w:sz w:val="20"/>
            <w:szCs w:val="20"/>
          </w:rPr>
          <w:instrText xml:space="preserve"> PAGEREF _Toc52869573 \h </w:instrText>
        </w:r>
        <w:r w:rsidRPr="00CB4E93">
          <w:rPr>
            <w:rFonts w:cs="Arial"/>
            <w:noProof/>
            <w:webHidden/>
            <w:sz w:val="20"/>
            <w:szCs w:val="20"/>
          </w:rPr>
        </w:r>
        <w:r w:rsidRPr="00CB4E93">
          <w:rPr>
            <w:rFonts w:cs="Arial"/>
            <w:noProof/>
            <w:webHidden/>
            <w:sz w:val="20"/>
            <w:szCs w:val="20"/>
          </w:rPr>
          <w:fldChar w:fldCharType="separate"/>
        </w:r>
        <w:r w:rsidR="009E27E4">
          <w:rPr>
            <w:rFonts w:cs="Arial"/>
            <w:noProof/>
            <w:webHidden/>
            <w:sz w:val="20"/>
            <w:szCs w:val="20"/>
          </w:rPr>
          <w:t>27</w:t>
        </w:r>
        <w:r w:rsidRPr="00CB4E93">
          <w:rPr>
            <w:rFonts w:cs="Arial"/>
            <w:noProof/>
            <w:webHidden/>
            <w:sz w:val="20"/>
            <w:szCs w:val="20"/>
          </w:rPr>
          <w:fldChar w:fldCharType="end"/>
        </w:r>
      </w:hyperlink>
    </w:p>
    <w:p w14:paraId="3BF9E8D9" w14:textId="10C45AE3" w:rsidR="00CB4E93" w:rsidRPr="00CB4E93" w:rsidRDefault="00CB4E93" w:rsidP="00CB4E93">
      <w:pPr>
        <w:pStyle w:val="TM4"/>
        <w:tabs>
          <w:tab w:val="right" w:leader="dot" w:pos="9062"/>
        </w:tabs>
        <w:spacing w:before="60" w:after="0" w:line="240" w:lineRule="auto"/>
        <w:contextualSpacing/>
        <w:rPr>
          <w:rFonts w:eastAsiaTheme="minorEastAsia" w:cs="Arial"/>
          <w:noProof/>
          <w:color w:val="auto"/>
          <w:sz w:val="20"/>
          <w:szCs w:val="20"/>
          <w:lang w:eastAsia="fr-FR"/>
        </w:rPr>
      </w:pPr>
      <w:hyperlink w:anchor="_Toc52869574" w:history="1">
        <w:r w:rsidRPr="00CB4E93">
          <w:rPr>
            <w:rStyle w:val="Lienhypertexte"/>
            <w:rFonts w:cs="Arial"/>
            <w:noProof/>
            <w:sz w:val="20"/>
            <w:szCs w:val="20"/>
          </w:rPr>
          <w:t>1.3.5.7. Surveillance environnementale et suivi environnemental.</w:t>
        </w:r>
        <w:r w:rsidRPr="00CB4E93">
          <w:rPr>
            <w:rFonts w:cs="Arial"/>
            <w:noProof/>
            <w:webHidden/>
            <w:sz w:val="20"/>
            <w:szCs w:val="20"/>
          </w:rPr>
          <w:tab/>
        </w:r>
        <w:r w:rsidRPr="00CB4E93">
          <w:rPr>
            <w:rFonts w:cs="Arial"/>
            <w:noProof/>
            <w:webHidden/>
            <w:sz w:val="20"/>
            <w:szCs w:val="20"/>
          </w:rPr>
          <w:fldChar w:fldCharType="begin"/>
        </w:r>
        <w:r w:rsidRPr="00CB4E93">
          <w:rPr>
            <w:rFonts w:cs="Arial"/>
            <w:noProof/>
            <w:webHidden/>
            <w:sz w:val="20"/>
            <w:szCs w:val="20"/>
          </w:rPr>
          <w:instrText xml:space="preserve"> PAGEREF _Toc52869574 \h </w:instrText>
        </w:r>
        <w:r w:rsidRPr="00CB4E93">
          <w:rPr>
            <w:rFonts w:cs="Arial"/>
            <w:noProof/>
            <w:webHidden/>
            <w:sz w:val="20"/>
            <w:szCs w:val="20"/>
          </w:rPr>
        </w:r>
        <w:r w:rsidRPr="00CB4E93">
          <w:rPr>
            <w:rFonts w:cs="Arial"/>
            <w:noProof/>
            <w:webHidden/>
            <w:sz w:val="20"/>
            <w:szCs w:val="20"/>
          </w:rPr>
          <w:fldChar w:fldCharType="separate"/>
        </w:r>
        <w:r w:rsidR="009E27E4">
          <w:rPr>
            <w:rFonts w:cs="Arial"/>
            <w:noProof/>
            <w:webHidden/>
            <w:sz w:val="20"/>
            <w:szCs w:val="20"/>
          </w:rPr>
          <w:t>28</w:t>
        </w:r>
        <w:r w:rsidRPr="00CB4E93">
          <w:rPr>
            <w:rFonts w:cs="Arial"/>
            <w:noProof/>
            <w:webHidden/>
            <w:sz w:val="20"/>
            <w:szCs w:val="20"/>
          </w:rPr>
          <w:fldChar w:fldCharType="end"/>
        </w:r>
      </w:hyperlink>
    </w:p>
    <w:p w14:paraId="7D66A744" w14:textId="342ECED9" w:rsidR="00CB4E93" w:rsidRPr="00CB4E93" w:rsidRDefault="00CB4E93" w:rsidP="00CB4E93">
      <w:pPr>
        <w:pStyle w:val="TM3"/>
        <w:tabs>
          <w:tab w:val="right" w:leader="dot" w:pos="9062"/>
        </w:tabs>
        <w:spacing w:before="60" w:after="0" w:line="240" w:lineRule="auto"/>
        <w:contextualSpacing/>
        <w:rPr>
          <w:rFonts w:eastAsiaTheme="minorEastAsia" w:cs="Arial"/>
          <w:noProof/>
          <w:color w:val="auto"/>
          <w:sz w:val="20"/>
          <w:szCs w:val="20"/>
          <w:lang w:eastAsia="fr-FR"/>
        </w:rPr>
      </w:pPr>
      <w:hyperlink w:anchor="_Toc52869575" w:history="1">
        <w:r w:rsidRPr="00CB4E93">
          <w:rPr>
            <w:rStyle w:val="Lienhypertexte"/>
            <w:rFonts w:cs="Arial"/>
            <w:noProof/>
            <w:sz w:val="20"/>
            <w:szCs w:val="20"/>
          </w:rPr>
          <w:t>1.3.6. Réalisation d’un Plan d’Action de Réinstallation (PAR)</w:t>
        </w:r>
        <w:r w:rsidRPr="00CB4E93">
          <w:rPr>
            <w:rFonts w:cs="Arial"/>
            <w:noProof/>
            <w:webHidden/>
            <w:sz w:val="20"/>
            <w:szCs w:val="20"/>
          </w:rPr>
          <w:tab/>
        </w:r>
        <w:r w:rsidRPr="00CB4E93">
          <w:rPr>
            <w:rFonts w:cs="Arial"/>
            <w:noProof/>
            <w:webHidden/>
            <w:sz w:val="20"/>
            <w:szCs w:val="20"/>
          </w:rPr>
          <w:fldChar w:fldCharType="begin"/>
        </w:r>
        <w:r w:rsidRPr="00CB4E93">
          <w:rPr>
            <w:rFonts w:cs="Arial"/>
            <w:noProof/>
            <w:webHidden/>
            <w:sz w:val="20"/>
            <w:szCs w:val="20"/>
          </w:rPr>
          <w:instrText xml:space="preserve"> PAGEREF _Toc52869575 \h </w:instrText>
        </w:r>
        <w:r w:rsidRPr="00CB4E93">
          <w:rPr>
            <w:rFonts w:cs="Arial"/>
            <w:noProof/>
            <w:webHidden/>
            <w:sz w:val="20"/>
            <w:szCs w:val="20"/>
          </w:rPr>
        </w:r>
        <w:r w:rsidRPr="00CB4E93">
          <w:rPr>
            <w:rFonts w:cs="Arial"/>
            <w:noProof/>
            <w:webHidden/>
            <w:sz w:val="20"/>
            <w:szCs w:val="20"/>
          </w:rPr>
          <w:fldChar w:fldCharType="separate"/>
        </w:r>
        <w:r w:rsidR="009E27E4">
          <w:rPr>
            <w:rFonts w:cs="Arial"/>
            <w:noProof/>
            <w:webHidden/>
            <w:sz w:val="20"/>
            <w:szCs w:val="20"/>
          </w:rPr>
          <w:t>29</w:t>
        </w:r>
        <w:r w:rsidRPr="00CB4E93">
          <w:rPr>
            <w:rFonts w:cs="Arial"/>
            <w:noProof/>
            <w:webHidden/>
            <w:sz w:val="20"/>
            <w:szCs w:val="20"/>
          </w:rPr>
          <w:fldChar w:fldCharType="end"/>
        </w:r>
      </w:hyperlink>
    </w:p>
    <w:p w14:paraId="662BE51F" w14:textId="6F181FE7" w:rsidR="00CB4E93" w:rsidRPr="00CB4E93" w:rsidRDefault="00CB4E93" w:rsidP="00CB4E93">
      <w:pPr>
        <w:pStyle w:val="TM3"/>
        <w:tabs>
          <w:tab w:val="right" w:leader="dot" w:pos="9062"/>
        </w:tabs>
        <w:spacing w:before="60" w:after="0" w:line="240" w:lineRule="auto"/>
        <w:contextualSpacing/>
        <w:rPr>
          <w:rFonts w:eastAsiaTheme="minorEastAsia" w:cs="Arial"/>
          <w:noProof/>
          <w:color w:val="auto"/>
          <w:sz w:val="20"/>
          <w:szCs w:val="20"/>
          <w:lang w:eastAsia="fr-FR"/>
        </w:rPr>
      </w:pPr>
      <w:hyperlink w:anchor="_Toc52869576" w:history="1">
        <w:r w:rsidRPr="00CB4E93">
          <w:rPr>
            <w:rStyle w:val="Lienhypertexte"/>
            <w:rFonts w:cs="Arial"/>
            <w:noProof/>
            <w:sz w:val="20"/>
            <w:szCs w:val="20"/>
          </w:rPr>
          <w:t>1.3.7. Traitement et analyse des données</w:t>
        </w:r>
        <w:r w:rsidRPr="00CB4E93">
          <w:rPr>
            <w:rFonts w:cs="Arial"/>
            <w:noProof/>
            <w:webHidden/>
            <w:sz w:val="20"/>
            <w:szCs w:val="20"/>
          </w:rPr>
          <w:tab/>
        </w:r>
        <w:r w:rsidRPr="00CB4E93">
          <w:rPr>
            <w:rFonts w:cs="Arial"/>
            <w:noProof/>
            <w:webHidden/>
            <w:sz w:val="20"/>
            <w:szCs w:val="20"/>
          </w:rPr>
          <w:fldChar w:fldCharType="begin"/>
        </w:r>
        <w:r w:rsidRPr="00CB4E93">
          <w:rPr>
            <w:rFonts w:cs="Arial"/>
            <w:noProof/>
            <w:webHidden/>
            <w:sz w:val="20"/>
            <w:szCs w:val="20"/>
          </w:rPr>
          <w:instrText xml:space="preserve"> PAGEREF _Toc52869576 \h </w:instrText>
        </w:r>
        <w:r w:rsidRPr="00CB4E93">
          <w:rPr>
            <w:rFonts w:cs="Arial"/>
            <w:noProof/>
            <w:webHidden/>
            <w:sz w:val="20"/>
            <w:szCs w:val="20"/>
          </w:rPr>
        </w:r>
        <w:r w:rsidRPr="00CB4E93">
          <w:rPr>
            <w:rFonts w:cs="Arial"/>
            <w:noProof/>
            <w:webHidden/>
            <w:sz w:val="20"/>
            <w:szCs w:val="20"/>
          </w:rPr>
          <w:fldChar w:fldCharType="separate"/>
        </w:r>
        <w:r w:rsidR="009E27E4">
          <w:rPr>
            <w:rFonts w:cs="Arial"/>
            <w:noProof/>
            <w:webHidden/>
            <w:sz w:val="20"/>
            <w:szCs w:val="20"/>
          </w:rPr>
          <w:t>29</w:t>
        </w:r>
        <w:r w:rsidRPr="00CB4E93">
          <w:rPr>
            <w:rFonts w:cs="Arial"/>
            <w:noProof/>
            <w:webHidden/>
            <w:sz w:val="20"/>
            <w:szCs w:val="20"/>
          </w:rPr>
          <w:fldChar w:fldCharType="end"/>
        </w:r>
      </w:hyperlink>
    </w:p>
    <w:p w14:paraId="3D01B532" w14:textId="373DA428" w:rsidR="00CB4E93" w:rsidRPr="00CB4E93" w:rsidRDefault="00CB4E93" w:rsidP="00CB4E93">
      <w:pPr>
        <w:pStyle w:val="TM1"/>
        <w:tabs>
          <w:tab w:val="right" w:leader="dot" w:pos="9062"/>
        </w:tabs>
        <w:spacing w:before="60" w:after="0" w:line="240" w:lineRule="auto"/>
        <w:contextualSpacing/>
        <w:rPr>
          <w:rFonts w:ascii="Arial" w:eastAsiaTheme="minorEastAsia" w:hAnsi="Arial" w:cs="Arial"/>
          <w:b w:val="0"/>
          <w:bCs w:val="0"/>
          <w:caps w:val="0"/>
          <w:noProof/>
          <w:color w:val="auto"/>
          <w:lang w:eastAsia="fr-FR"/>
        </w:rPr>
      </w:pPr>
      <w:hyperlink w:anchor="_Toc52869577" w:history="1">
        <w:r w:rsidRPr="00CB4E93">
          <w:rPr>
            <w:rStyle w:val="Lienhypertexte"/>
            <w:rFonts w:ascii="Arial" w:hAnsi="Arial" w:cs="Arial"/>
            <w:noProof/>
          </w:rPr>
          <w:t>2. ANALYSE DU CADRE POLITIQUE, JURIDIQUE ET INSTITUTIONNEL DU PROJET</w:t>
        </w:r>
        <w:r w:rsidRPr="00CB4E93">
          <w:rPr>
            <w:rFonts w:ascii="Arial" w:hAnsi="Arial" w:cs="Arial"/>
            <w:noProof/>
            <w:webHidden/>
          </w:rPr>
          <w:tab/>
        </w:r>
        <w:r w:rsidRPr="00CB4E93">
          <w:rPr>
            <w:rFonts w:ascii="Arial" w:hAnsi="Arial" w:cs="Arial"/>
            <w:noProof/>
            <w:webHidden/>
          </w:rPr>
          <w:fldChar w:fldCharType="begin"/>
        </w:r>
        <w:r w:rsidRPr="00CB4E93">
          <w:rPr>
            <w:rFonts w:ascii="Arial" w:hAnsi="Arial" w:cs="Arial"/>
            <w:noProof/>
            <w:webHidden/>
          </w:rPr>
          <w:instrText xml:space="preserve"> PAGEREF _Toc52869577 \h </w:instrText>
        </w:r>
        <w:r w:rsidRPr="00CB4E93">
          <w:rPr>
            <w:rFonts w:ascii="Arial" w:hAnsi="Arial" w:cs="Arial"/>
            <w:noProof/>
            <w:webHidden/>
          </w:rPr>
        </w:r>
        <w:r w:rsidRPr="00CB4E93">
          <w:rPr>
            <w:rFonts w:ascii="Arial" w:hAnsi="Arial" w:cs="Arial"/>
            <w:noProof/>
            <w:webHidden/>
          </w:rPr>
          <w:fldChar w:fldCharType="separate"/>
        </w:r>
        <w:r w:rsidR="009E27E4">
          <w:rPr>
            <w:rFonts w:ascii="Arial" w:hAnsi="Arial" w:cs="Arial"/>
            <w:noProof/>
            <w:webHidden/>
          </w:rPr>
          <w:t>30</w:t>
        </w:r>
        <w:r w:rsidRPr="00CB4E93">
          <w:rPr>
            <w:rFonts w:ascii="Arial" w:hAnsi="Arial" w:cs="Arial"/>
            <w:noProof/>
            <w:webHidden/>
          </w:rPr>
          <w:fldChar w:fldCharType="end"/>
        </w:r>
      </w:hyperlink>
    </w:p>
    <w:p w14:paraId="05911E54" w14:textId="7BDEDA46" w:rsidR="00CB4E93" w:rsidRPr="00CB4E93" w:rsidRDefault="00CB4E93" w:rsidP="00CB4E93">
      <w:pPr>
        <w:pStyle w:val="TM2"/>
        <w:contextualSpacing/>
        <w:rPr>
          <w:rFonts w:eastAsiaTheme="minorEastAsia"/>
          <w:b w:val="0"/>
          <w:i w:val="0"/>
          <w:caps w:val="0"/>
          <w:color w:val="auto"/>
        </w:rPr>
      </w:pPr>
      <w:hyperlink w:anchor="_Toc52869578" w:history="1">
        <w:r w:rsidRPr="00CB4E93">
          <w:rPr>
            <w:rStyle w:val="Lienhypertexte"/>
            <w:rFonts w:eastAsiaTheme="majorEastAsia"/>
          </w:rPr>
          <w:t>2.1. Cadre politique</w:t>
        </w:r>
        <w:r w:rsidRPr="00CB4E93">
          <w:rPr>
            <w:webHidden/>
          </w:rPr>
          <w:tab/>
        </w:r>
        <w:r w:rsidRPr="00CB4E93">
          <w:rPr>
            <w:webHidden/>
          </w:rPr>
          <w:fldChar w:fldCharType="begin"/>
        </w:r>
        <w:r w:rsidRPr="00CB4E93">
          <w:rPr>
            <w:webHidden/>
          </w:rPr>
          <w:instrText xml:space="preserve"> PAGEREF _Toc52869578 \h </w:instrText>
        </w:r>
        <w:r w:rsidRPr="00CB4E93">
          <w:rPr>
            <w:webHidden/>
          </w:rPr>
        </w:r>
        <w:r w:rsidRPr="00CB4E93">
          <w:rPr>
            <w:webHidden/>
          </w:rPr>
          <w:fldChar w:fldCharType="separate"/>
        </w:r>
        <w:r w:rsidR="009E27E4">
          <w:rPr>
            <w:webHidden/>
          </w:rPr>
          <w:t>30</w:t>
        </w:r>
        <w:r w:rsidRPr="00CB4E93">
          <w:rPr>
            <w:webHidden/>
          </w:rPr>
          <w:fldChar w:fldCharType="end"/>
        </w:r>
      </w:hyperlink>
    </w:p>
    <w:p w14:paraId="2B4523DB" w14:textId="5CDC1A65" w:rsidR="00CB4E93" w:rsidRPr="00CB4E93" w:rsidRDefault="00CB4E93" w:rsidP="00CB4E93">
      <w:pPr>
        <w:pStyle w:val="TM2"/>
        <w:contextualSpacing/>
        <w:rPr>
          <w:rFonts w:eastAsiaTheme="minorEastAsia"/>
          <w:b w:val="0"/>
          <w:i w:val="0"/>
          <w:caps w:val="0"/>
          <w:color w:val="auto"/>
        </w:rPr>
      </w:pPr>
      <w:hyperlink w:anchor="_Toc52869579" w:history="1">
        <w:r w:rsidRPr="00CB4E93">
          <w:rPr>
            <w:rStyle w:val="Lienhypertexte"/>
            <w:rFonts w:eastAsiaTheme="majorEastAsia"/>
          </w:rPr>
          <w:t>2.2. CADRE JURIDIQUE DU PROJET</w:t>
        </w:r>
        <w:r w:rsidRPr="00CB4E93">
          <w:rPr>
            <w:webHidden/>
          </w:rPr>
          <w:tab/>
        </w:r>
        <w:r w:rsidRPr="00CB4E93">
          <w:rPr>
            <w:webHidden/>
          </w:rPr>
          <w:fldChar w:fldCharType="begin"/>
        </w:r>
        <w:r w:rsidRPr="00CB4E93">
          <w:rPr>
            <w:webHidden/>
          </w:rPr>
          <w:instrText xml:space="preserve"> PAGEREF _Toc52869579 \h </w:instrText>
        </w:r>
        <w:r w:rsidRPr="00CB4E93">
          <w:rPr>
            <w:webHidden/>
          </w:rPr>
        </w:r>
        <w:r w:rsidRPr="00CB4E93">
          <w:rPr>
            <w:webHidden/>
          </w:rPr>
          <w:fldChar w:fldCharType="separate"/>
        </w:r>
        <w:r w:rsidR="009E27E4">
          <w:rPr>
            <w:webHidden/>
          </w:rPr>
          <w:t>30</w:t>
        </w:r>
        <w:r w:rsidRPr="00CB4E93">
          <w:rPr>
            <w:webHidden/>
          </w:rPr>
          <w:fldChar w:fldCharType="end"/>
        </w:r>
      </w:hyperlink>
    </w:p>
    <w:p w14:paraId="167D49E6" w14:textId="6BAD3272" w:rsidR="00CB4E93" w:rsidRPr="00CB4E93" w:rsidRDefault="00CB4E93" w:rsidP="00CB4E93">
      <w:pPr>
        <w:pStyle w:val="TM3"/>
        <w:tabs>
          <w:tab w:val="right" w:leader="dot" w:pos="9062"/>
        </w:tabs>
        <w:spacing w:before="60" w:after="0" w:line="240" w:lineRule="auto"/>
        <w:contextualSpacing/>
        <w:rPr>
          <w:rFonts w:eastAsiaTheme="minorEastAsia" w:cs="Arial"/>
          <w:noProof/>
          <w:color w:val="auto"/>
          <w:sz w:val="20"/>
          <w:szCs w:val="20"/>
          <w:lang w:eastAsia="fr-FR"/>
        </w:rPr>
      </w:pPr>
      <w:hyperlink w:anchor="_Toc52869580" w:history="1">
        <w:r w:rsidRPr="00CB4E93">
          <w:rPr>
            <w:rStyle w:val="Lienhypertexte"/>
            <w:rFonts w:cs="Arial"/>
            <w:noProof/>
            <w:sz w:val="20"/>
            <w:szCs w:val="20"/>
          </w:rPr>
          <w:t>2.2.1. Normes internationales</w:t>
        </w:r>
        <w:r w:rsidRPr="00CB4E93">
          <w:rPr>
            <w:rFonts w:cs="Arial"/>
            <w:noProof/>
            <w:webHidden/>
            <w:sz w:val="20"/>
            <w:szCs w:val="20"/>
          </w:rPr>
          <w:tab/>
        </w:r>
        <w:r w:rsidRPr="00CB4E93">
          <w:rPr>
            <w:rFonts w:cs="Arial"/>
            <w:noProof/>
            <w:webHidden/>
            <w:sz w:val="20"/>
            <w:szCs w:val="20"/>
          </w:rPr>
          <w:fldChar w:fldCharType="begin"/>
        </w:r>
        <w:r w:rsidRPr="00CB4E93">
          <w:rPr>
            <w:rFonts w:cs="Arial"/>
            <w:noProof/>
            <w:webHidden/>
            <w:sz w:val="20"/>
            <w:szCs w:val="20"/>
          </w:rPr>
          <w:instrText xml:space="preserve"> PAGEREF _Toc52869580 \h </w:instrText>
        </w:r>
        <w:r w:rsidRPr="00CB4E93">
          <w:rPr>
            <w:rFonts w:cs="Arial"/>
            <w:noProof/>
            <w:webHidden/>
            <w:sz w:val="20"/>
            <w:szCs w:val="20"/>
          </w:rPr>
        </w:r>
        <w:r w:rsidRPr="00CB4E93">
          <w:rPr>
            <w:rFonts w:cs="Arial"/>
            <w:noProof/>
            <w:webHidden/>
            <w:sz w:val="20"/>
            <w:szCs w:val="20"/>
          </w:rPr>
          <w:fldChar w:fldCharType="separate"/>
        </w:r>
        <w:r w:rsidR="009E27E4">
          <w:rPr>
            <w:rFonts w:cs="Arial"/>
            <w:noProof/>
            <w:webHidden/>
            <w:sz w:val="20"/>
            <w:szCs w:val="20"/>
          </w:rPr>
          <w:t>31</w:t>
        </w:r>
        <w:r w:rsidRPr="00CB4E93">
          <w:rPr>
            <w:rFonts w:cs="Arial"/>
            <w:noProof/>
            <w:webHidden/>
            <w:sz w:val="20"/>
            <w:szCs w:val="20"/>
          </w:rPr>
          <w:fldChar w:fldCharType="end"/>
        </w:r>
      </w:hyperlink>
    </w:p>
    <w:p w14:paraId="5F88BF04" w14:textId="1E6D8ED2" w:rsidR="00CB4E93" w:rsidRPr="00CB4E93" w:rsidRDefault="00CB4E93" w:rsidP="00CB4E93">
      <w:pPr>
        <w:pStyle w:val="TM4"/>
        <w:tabs>
          <w:tab w:val="right" w:leader="dot" w:pos="9062"/>
        </w:tabs>
        <w:spacing w:before="60" w:after="0" w:line="240" w:lineRule="auto"/>
        <w:contextualSpacing/>
        <w:rPr>
          <w:rFonts w:eastAsiaTheme="minorEastAsia" w:cs="Arial"/>
          <w:noProof/>
          <w:color w:val="auto"/>
          <w:sz w:val="20"/>
          <w:szCs w:val="20"/>
          <w:lang w:eastAsia="fr-FR"/>
        </w:rPr>
      </w:pPr>
      <w:hyperlink w:anchor="_Toc52869581" w:history="1">
        <w:r w:rsidRPr="00CB4E93">
          <w:rPr>
            <w:rStyle w:val="Lienhypertexte"/>
            <w:rFonts w:cs="Arial"/>
            <w:noProof/>
            <w:sz w:val="20"/>
            <w:szCs w:val="20"/>
          </w:rPr>
          <w:t>2.2.1.1. Les conventions internationales</w:t>
        </w:r>
        <w:r w:rsidRPr="00CB4E93">
          <w:rPr>
            <w:rFonts w:cs="Arial"/>
            <w:noProof/>
            <w:webHidden/>
            <w:sz w:val="20"/>
            <w:szCs w:val="20"/>
          </w:rPr>
          <w:tab/>
        </w:r>
        <w:r w:rsidRPr="00CB4E93">
          <w:rPr>
            <w:rFonts w:cs="Arial"/>
            <w:noProof/>
            <w:webHidden/>
            <w:sz w:val="20"/>
            <w:szCs w:val="20"/>
          </w:rPr>
          <w:fldChar w:fldCharType="begin"/>
        </w:r>
        <w:r w:rsidRPr="00CB4E93">
          <w:rPr>
            <w:rFonts w:cs="Arial"/>
            <w:noProof/>
            <w:webHidden/>
            <w:sz w:val="20"/>
            <w:szCs w:val="20"/>
          </w:rPr>
          <w:instrText xml:space="preserve"> PAGEREF _Toc52869581 \h </w:instrText>
        </w:r>
        <w:r w:rsidRPr="00CB4E93">
          <w:rPr>
            <w:rFonts w:cs="Arial"/>
            <w:noProof/>
            <w:webHidden/>
            <w:sz w:val="20"/>
            <w:szCs w:val="20"/>
          </w:rPr>
        </w:r>
        <w:r w:rsidRPr="00CB4E93">
          <w:rPr>
            <w:rFonts w:cs="Arial"/>
            <w:noProof/>
            <w:webHidden/>
            <w:sz w:val="20"/>
            <w:szCs w:val="20"/>
          </w:rPr>
          <w:fldChar w:fldCharType="separate"/>
        </w:r>
        <w:r w:rsidR="009E27E4">
          <w:rPr>
            <w:rFonts w:cs="Arial"/>
            <w:noProof/>
            <w:webHidden/>
            <w:sz w:val="20"/>
            <w:szCs w:val="20"/>
          </w:rPr>
          <w:t>31</w:t>
        </w:r>
        <w:r w:rsidRPr="00CB4E93">
          <w:rPr>
            <w:rFonts w:cs="Arial"/>
            <w:noProof/>
            <w:webHidden/>
            <w:sz w:val="20"/>
            <w:szCs w:val="20"/>
          </w:rPr>
          <w:fldChar w:fldCharType="end"/>
        </w:r>
      </w:hyperlink>
    </w:p>
    <w:p w14:paraId="1C14DAB7" w14:textId="43692BBC" w:rsidR="00CB4E93" w:rsidRPr="00CB4E93" w:rsidRDefault="00CB4E93" w:rsidP="00CB4E93">
      <w:pPr>
        <w:pStyle w:val="TM4"/>
        <w:tabs>
          <w:tab w:val="right" w:leader="dot" w:pos="9062"/>
        </w:tabs>
        <w:spacing w:before="60" w:after="0" w:line="240" w:lineRule="auto"/>
        <w:contextualSpacing/>
        <w:rPr>
          <w:rFonts w:eastAsiaTheme="minorEastAsia" w:cs="Arial"/>
          <w:noProof/>
          <w:color w:val="auto"/>
          <w:sz w:val="20"/>
          <w:szCs w:val="20"/>
          <w:lang w:eastAsia="fr-FR"/>
        </w:rPr>
      </w:pPr>
      <w:hyperlink w:anchor="_Toc52869582" w:history="1">
        <w:r w:rsidRPr="00CB4E93">
          <w:rPr>
            <w:rStyle w:val="Lienhypertexte"/>
            <w:rFonts w:cs="Arial"/>
            <w:noProof/>
            <w:sz w:val="20"/>
            <w:szCs w:val="20"/>
            <w:lang w:eastAsia="fr-FR"/>
          </w:rPr>
          <w:t>2.2.1.2. Les politiques opérationnelles des partenaires techniques et financiers</w:t>
        </w:r>
        <w:r w:rsidRPr="00CB4E93">
          <w:rPr>
            <w:rFonts w:cs="Arial"/>
            <w:noProof/>
            <w:webHidden/>
            <w:sz w:val="20"/>
            <w:szCs w:val="20"/>
          </w:rPr>
          <w:tab/>
        </w:r>
        <w:r w:rsidRPr="00CB4E93">
          <w:rPr>
            <w:rFonts w:cs="Arial"/>
            <w:noProof/>
            <w:webHidden/>
            <w:sz w:val="20"/>
            <w:szCs w:val="20"/>
          </w:rPr>
          <w:fldChar w:fldCharType="begin"/>
        </w:r>
        <w:r w:rsidRPr="00CB4E93">
          <w:rPr>
            <w:rFonts w:cs="Arial"/>
            <w:noProof/>
            <w:webHidden/>
            <w:sz w:val="20"/>
            <w:szCs w:val="20"/>
          </w:rPr>
          <w:instrText xml:space="preserve"> PAGEREF _Toc52869582 \h </w:instrText>
        </w:r>
        <w:r w:rsidRPr="00CB4E93">
          <w:rPr>
            <w:rFonts w:cs="Arial"/>
            <w:noProof/>
            <w:webHidden/>
            <w:sz w:val="20"/>
            <w:szCs w:val="20"/>
          </w:rPr>
        </w:r>
        <w:r w:rsidRPr="00CB4E93">
          <w:rPr>
            <w:rFonts w:cs="Arial"/>
            <w:noProof/>
            <w:webHidden/>
            <w:sz w:val="20"/>
            <w:szCs w:val="20"/>
          </w:rPr>
          <w:fldChar w:fldCharType="separate"/>
        </w:r>
        <w:r w:rsidR="009E27E4">
          <w:rPr>
            <w:rFonts w:cs="Arial"/>
            <w:noProof/>
            <w:webHidden/>
            <w:sz w:val="20"/>
            <w:szCs w:val="20"/>
          </w:rPr>
          <w:t>33</w:t>
        </w:r>
        <w:r w:rsidRPr="00CB4E93">
          <w:rPr>
            <w:rFonts w:cs="Arial"/>
            <w:noProof/>
            <w:webHidden/>
            <w:sz w:val="20"/>
            <w:szCs w:val="20"/>
          </w:rPr>
          <w:fldChar w:fldCharType="end"/>
        </w:r>
      </w:hyperlink>
    </w:p>
    <w:p w14:paraId="67176549" w14:textId="351299B3" w:rsidR="00CB4E93" w:rsidRPr="00CB4E93" w:rsidRDefault="00CB4E93" w:rsidP="00CB4E93">
      <w:pPr>
        <w:pStyle w:val="TM3"/>
        <w:tabs>
          <w:tab w:val="right" w:leader="dot" w:pos="9062"/>
        </w:tabs>
        <w:spacing w:before="60" w:after="0" w:line="240" w:lineRule="auto"/>
        <w:contextualSpacing/>
        <w:rPr>
          <w:rFonts w:eastAsiaTheme="minorEastAsia" w:cs="Arial"/>
          <w:noProof/>
          <w:color w:val="auto"/>
          <w:sz w:val="20"/>
          <w:szCs w:val="20"/>
          <w:lang w:eastAsia="fr-FR"/>
        </w:rPr>
      </w:pPr>
      <w:hyperlink w:anchor="_Toc52869583" w:history="1">
        <w:r w:rsidRPr="00CB4E93">
          <w:rPr>
            <w:rStyle w:val="Lienhypertexte"/>
            <w:rFonts w:cs="Arial"/>
            <w:noProof/>
            <w:sz w:val="20"/>
            <w:szCs w:val="20"/>
          </w:rPr>
          <w:t xml:space="preserve">2.2.2. Les textes nationaux </w:t>
        </w:r>
        <w:r w:rsidRPr="00CB4E93">
          <w:rPr>
            <w:rStyle w:val="Lienhypertexte"/>
            <w:rFonts w:eastAsia="Calibri" w:cs="Arial"/>
            <w:noProof/>
            <w:sz w:val="20"/>
            <w:szCs w:val="20"/>
          </w:rPr>
          <w:t>applicables au projet</w:t>
        </w:r>
        <w:r w:rsidRPr="00CB4E93">
          <w:rPr>
            <w:rFonts w:cs="Arial"/>
            <w:noProof/>
            <w:webHidden/>
            <w:sz w:val="20"/>
            <w:szCs w:val="20"/>
          </w:rPr>
          <w:tab/>
        </w:r>
        <w:r w:rsidRPr="00CB4E93">
          <w:rPr>
            <w:rFonts w:cs="Arial"/>
            <w:noProof/>
            <w:webHidden/>
            <w:sz w:val="20"/>
            <w:szCs w:val="20"/>
          </w:rPr>
          <w:fldChar w:fldCharType="begin"/>
        </w:r>
        <w:r w:rsidRPr="00CB4E93">
          <w:rPr>
            <w:rFonts w:cs="Arial"/>
            <w:noProof/>
            <w:webHidden/>
            <w:sz w:val="20"/>
            <w:szCs w:val="20"/>
          </w:rPr>
          <w:instrText xml:space="preserve"> PAGEREF _Toc52869583 \h </w:instrText>
        </w:r>
        <w:r w:rsidRPr="00CB4E93">
          <w:rPr>
            <w:rFonts w:cs="Arial"/>
            <w:noProof/>
            <w:webHidden/>
            <w:sz w:val="20"/>
            <w:szCs w:val="20"/>
          </w:rPr>
        </w:r>
        <w:r w:rsidRPr="00CB4E93">
          <w:rPr>
            <w:rFonts w:cs="Arial"/>
            <w:noProof/>
            <w:webHidden/>
            <w:sz w:val="20"/>
            <w:szCs w:val="20"/>
          </w:rPr>
          <w:fldChar w:fldCharType="separate"/>
        </w:r>
        <w:r w:rsidR="009E27E4">
          <w:rPr>
            <w:rFonts w:cs="Arial"/>
            <w:noProof/>
            <w:webHidden/>
            <w:sz w:val="20"/>
            <w:szCs w:val="20"/>
          </w:rPr>
          <w:t>35</w:t>
        </w:r>
        <w:r w:rsidRPr="00CB4E93">
          <w:rPr>
            <w:rFonts w:cs="Arial"/>
            <w:noProof/>
            <w:webHidden/>
            <w:sz w:val="20"/>
            <w:szCs w:val="20"/>
          </w:rPr>
          <w:fldChar w:fldCharType="end"/>
        </w:r>
      </w:hyperlink>
    </w:p>
    <w:p w14:paraId="4570E259" w14:textId="6ABCE729" w:rsidR="00CB4E93" w:rsidRPr="00CB4E93" w:rsidRDefault="00CB4E93" w:rsidP="00CB4E93">
      <w:pPr>
        <w:pStyle w:val="TM3"/>
        <w:tabs>
          <w:tab w:val="right" w:leader="dot" w:pos="9062"/>
        </w:tabs>
        <w:spacing w:before="60" w:after="0" w:line="240" w:lineRule="auto"/>
        <w:contextualSpacing/>
        <w:rPr>
          <w:rFonts w:eastAsiaTheme="minorEastAsia" w:cs="Arial"/>
          <w:noProof/>
          <w:color w:val="auto"/>
          <w:sz w:val="20"/>
          <w:szCs w:val="20"/>
          <w:lang w:eastAsia="fr-FR"/>
        </w:rPr>
      </w:pPr>
      <w:hyperlink w:anchor="_Toc52869603" w:history="1">
        <w:r w:rsidRPr="00CB4E93">
          <w:rPr>
            <w:rStyle w:val="Lienhypertexte"/>
            <w:rFonts w:cs="Arial"/>
            <w:noProof/>
            <w:sz w:val="20"/>
            <w:szCs w:val="20"/>
          </w:rPr>
          <w:t>2.2.3. Cadre institutionnel du projet</w:t>
        </w:r>
        <w:r w:rsidRPr="00CB4E93">
          <w:rPr>
            <w:rFonts w:cs="Arial"/>
            <w:noProof/>
            <w:webHidden/>
            <w:sz w:val="20"/>
            <w:szCs w:val="20"/>
          </w:rPr>
          <w:tab/>
        </w:r>
        <w:r w:rsidRPr="00CB4E93">
          <w:rPr>
            <w:rFonts w:cs="Arial"/>
            <w:noProof/>
            <w:webHidden/>
            <w:sz w:val="20"/>
            <w:szCs w:val="20"/>
          </w:rPr>
          <w:fldChar w:fldCharType="begin"/>
        </w:r>
        <w:r w:rsidRPr="00CB4E93">
          <w:rPr>
            <w:rFonts w:cs="Arial"/>
            <w:noProof/>
            <w:webHidden/>
            <w:sz w:val="20"/>
            <w:szCs w:val="20"/>
          </w:rPr>
          <w:instrText xml:space="preserve"> PAGEREF _Toc52869603 \h </w:instrText>
        </w:r>
        <w:r w:rsidRPr="00CB4E93">
          <w:rPr>
            <w:rFonts w:cs="Arial"/>
            <w:noProof/>
            <w:webHidden/>
            <w:sz w:val="20"/>
            <w:szCs w:val="20"/>
          </w:rPr>
        </w:r>
        <w:r w:rsidRPr="00CB4E93">
          <w:rPr>
            <w:rFonts w:cs="Arial"/>
            <w:noProof/>
            <w:webHidden/>
            <w:sz w:val="20"/>
            <w:szCs w:val="20"/>
          </w:rPr>
          <w:fldChar w:fldCharType="separate"/>
        </w:r>
        <w:r w:rsidR="009E27E4">
          <w:rPr>
            <w:rFonts w:cs="Arial"/>
            <w:noProof/>
            <w:webHidden/>
            <w:sz w:val="20"/>
            <w:szCs w:val="20"/>
          </w:rPr>
          <w:t>44</w:t>
        </w:r>
        <w:r w:rsidRPr="00CB4E93">
          <w:rPr>
            <w:rFonts w:cs="Arial"/>
            <w:noProof/>
            <w:webHidden/>
            <w:sz w:val="20"/>
            <w:szCs w:val="20"/>
          </w:rPr>
          <w:fldChar w:fldCharType="end"/>
        </w:r>
      </w:hyperlink>
    </w:p>
    <w:p w14:paraId="16A83ABD" w14:textId="65BE67FF" w:rsidR="00CB4E93" w:rsidRPr="00CB4E93" w:rsidRDefault="00CB4E93" w:rsidP="00CB4E93">
      <w:pPr>
        <w:pStyle w:val="TM4"/>
        <w:tabs>
          <w:tab w:val="right" w:leader="dot" w:pos="9062"/>
        </w:tabs>
        <w:spacing w:before="60" w:after="0" w:line="240" w:lineRule="auto"/>
        <w:contextualSpacing/>
        <w:rPr>
          <w:rFonts w:eastAsiaTheme="minorEastAsia" w:cs="Arial"/>
          <w:noProof/>
          <w:color w:val="auto"/>
          <w:sz w:val="20"/>
          <w:szCs w:val="20"/>
          <w:lang w:eastAsia="fr-FR"/>
        </w:rPr>
      </w:pPr>
      <w:hyperlink w:anchor="_Toc52869604" w:history="1">
        <w:r w:rsidRPr="00CB4E93">
          <w:rPr>
            <w:rStyle w:val="Lienhypertexte"/>
            <w:rFonts w:cs="Arial"/>
            <w:noProof/>
            <w:sz w:val="20"/>
            <w:szCs w:val="20"/>
            <w:lang w:eastAsia="fr-FR"/>
          </w:rPr>
          <w:t xml:space="preserve">2.2.3.1. Maître d’ouvrage : </w:t>
        </w:r>
        <w:r w:rsidRPr="00CB4E93">
          <w:rPr>
            <w:rStyle w:val="Lienhypertexte"/>
            <w:rFonts w:cs="Arial"/>
            <w:noProof/>
            <w:sz w:val="20"/>
            <w:szCs w:val="20"/>
          </w:rPr>
          <w:t>Ministère du Cadre de Vie et du Développement Durable (MCVDD)</w:t>
        </w:r>
        <w:r w:rsidRPr="00CB4E93">
          <w:rPr>
            <w:rFonts w:cs="Arial"/>
            <w:noProof/>
            <w:webHidden/>
            <w:sz w:val="20"/>
            <w:szCs w:val="20"/>
          </w:rPr>
          <w:tab/>
        </w:r>
        <w:r w:rsidRPr="00CB4E93">
          <w:rPr>
            <w:rFonts w:cs="Arial"/>
            <w:noProof/>
            <w:webHidden/>
            <w:sz w:val="20"/>
            <w:szCs w:val="20"/>
          </w:rPr>
          <w:fldChar w:fldCharType="begin"/>
        </w:r>
        <w:r w:rsidRPr="00CB4E93">
          <w:rPr>
            <w:rFonts w:cs="Arial"/>
            <w:noProof/>
            <w:webHidden/>
            <w:sz w:val="20"/>
            <w:szCs w:val="20"/>
          </w:rPr>
          <w:instrText xml:space="preserve"> PAGEREF _Toc52869604 \h </w:instrText>
        </w:r>
        <w:r w:rsidRPr="00CB4E93">
          <w:rPr>
            <w:rFonts w:cs="Arial"/>
            <w:noProof/>
            <w:webHidden/>
            <w:sz w:val="20"/>
            <w:szCs w:val="20"/>
          </w:rPr>
        </w:r>
        <w:r w:rsidRPr="00CB4E93">
          <w:rPr>
            <w:rFonts w:cs="Arial"/>
            <w:noProof/>
            <w:webHidden/>
            <w:sz w:val="20"/>
            <w:szCs w:val="20"/>
          </w:rPr>
          <w:fldChar w:fldCharType="separate"/>
        </w:r>
        <w:r w:rsidR="009E27E4">
          <w:rPr>
            <w:rFonts w:cs="Arial"/>
            <w:noProof/>
            <w:webHidden/>
            <w:sz w:val="20"/>
            <w:szCs w:val="20"/>
          </w:rPr>
          <w:t>44</w:t>
        </w:r>
        <w:r w:rsidRPr="00CB4E93">
          <w:rPr>
            <w:rFonts w:cs="Arial"/>
            <w:noProof/>
            <w:webHidden/>
            <w:sz w:val="20"/>
            <w:szCs w:val="20"/>
          </w:rPr>
          <w:fldChar w:fldCharType="end"/>
        </w:r>
      </w:hyperlink>
    </w:p>
    <w:p w14:paraId="4EE2264C" w14:textId="5EA14879" w:rsidR="00CB4E93" w:rsidRPr="00CB4E93" w:rsidRDefault="00CB4E93" w:rsidP="00CB4E93">
      <w:pPr>
        <w:pStyle w:val="TM4"/>
        <w:tabs>
          <w:tab w:val="right" w:leader="dot" w:pos="9062"/>
        </w:tabs>
        <w:spacing w:before="60" w:after="0" w:line="240" w:lineRule="auto"/>
        <w:contextualSpacing/>
        <w:rPr>
          <w:rFonts w:eastAsiaTheme="minorEastAsia" w:cs="Arial"/>
          <w:noProof/>
          <w:color w:val="auto"/>
          <w:sz w:val="20"/>
          <w:szCs w:val="20"/>
          <w:lang w:eastAsia="fr-FR"/>
        </w:rPr>
      </w:pPr>
      <w:hyperlink w:anchor="_Toc52869605" w:history="1">
        <w:r w:rsidRPr="00CB4E93">
          <w:rPr>
            <w:rStyle w:val="Lienhypertexte"/>
            <w:rFonts w:cs="Arial"/>
            <w:noProof/>
            <w:sz w:val="20"/>
            <w:szCs w:val="20"/>
            <w:lang w:eastAsia="fr-FR"/>
          </w:rPr>
          <w:t xml:space="preserve">2.2.3.2. </w:t>
        </w:r>
        <w:r w:rsidRPr="00CB4E93">
          <w:rPr>
            <w:rStyle w:val="Lienhypertexte"/>
            <w:rFonts w:cs="Arial"/>
            <w:noProof/>
            <w:sz w:val="20"/>
            <w:szCs w:val="20"/>
          </w:rPr>
          <w:t>Ministère de la Santé à travers la Direction Nationale de la Santé Publique (DNSP)</w:t>
        </w:r>
        <w:r w:rsidRPr="00CB4E93">
          <w:rPr>
            <w:rFonts w:cs="Arial"/>
            <w:noProof/>
            <w:webHidden/>
            <w:sz w:val="20"/>
            <w:szCs w:val="20"/>
          </w:rPr>
          <w:tab/>
        </w:r>
        <w:r w:rsidRPr="00CB4E93">
          <w:rPr>
            <w:rFonts w:cs="Arial"/>
            <w:noProof/>
            <w:webHidden/>
            <w:sz w:val="20"/>
            <w:szCs w:val="20"/>
          </w:rPr>
          <w:fldChar w:fldCharType="begin"/>
        </w:r>
        <w:r w:rsidRPr="00CB4E93">
          <w:rPr>
            <w:rFonts w:cs="Arial"/>
            <w:noProof/>
            <w:webHidden/>
            <w:sz w:val="20"/>
            <w:szCs w:val="20"/>
          </w:rPr>
          <w:instrText xml:space="preserve"> PAGEREF _Toc52869605 \h </w:instrText>
        </w:r>
        <w:r w:rsidRPr="00CB4E93">
          <w:rPr>
            <w:rFonts w:cs="Arial"/>
            <w:noProof/>
            <w:webHidden/>
            <w:sz w:val="20"/>
            <w:szCs w:val="20"/>
          </w:rPr>
        </w:r>
        <w:r w:rsidRPr="00CB4E93">
          <w:rPr>
            <w:rFonts w:cs="Arial"/>
            <w:noProof/>
            <w:webHidden/>
            <w:sz w:val="20"/>
            <w:szCs w:val="20"/>
          </w:rPr>
          <w:fldChar w:fldCharType="separate"/>
        </w:r>
        <w:r w:rsidR="009E27E4">
          <w:rPr>
            <w:rFonts w:cs="Arial"/>
            <w:noProof/>
            <w:webHidden/>
            <w:sz w:val="20"/>
            <w:szCs w:val="20"/>
          </w:rPr>
          <w:t>45</w:t>
        </w:r>
        <w:r w:rsidRPr="00CB4E93">
          <w:rPr>
            <w:rFonts w:cs="Arial"/>
            <w:noProof/>
            <w:webHidden/>
            <w:sz w:val="20"/>
            <w:szCs w:val="20"/>
          </w:rPr>
          <w:fldChar w:fldCharType="end"/>
        </w:r>
      </w:hyperlink>
    </w:p>
    <w:p w14:paraId="54E40FF1" w14:textId="28AE35CC" w:rsidR="00CB4E93" w:rsidRPr="00CB4E93" w:rsidRDefault="00CB4E93" w:rsidP="00CB4E93">
      <w:pPr>
        <w:pStyle w:val="TM4"/>
        <w:tabs>
          <w:tab w:val="right" w:leader="dot" w:pos="9062"/>
        </w:tabs>
        <w:spacing w:before="60" w:after="0" w:line="240" w:lineRule="auto"/>
        <w:contextualSpacing/>
        <w:rPr>
          <w:rFonts w:eastAsiaTheme="minorEastAsia" w:cs="Arial"/>
          <w:noProof/>
          <w:color w:val="auto"/>
          <w:sz w:val="20"/>
          <w:szCs w:val="20"/>
          <w:lang w:eastAsia="fr-FR"/>
        </w:rPr>
      </w:pPr>
      <w:hyperlink w:anchor="_Toc52869606" w:history="1">
        <w:r w:rsidRPr="00CB4E93">
          <w:rPr>
            <w:rStyle w:val="Lienhypertexte"/>
            <w:rFonts w:cs="Arial"/>
            <w:noProof/>
            <w:sz w:val="20"/>
            <w:szCs w:val="20"/>
            <w:lang w:eastAsia="fr-FR"/>
          </w:rPr>
          <w:t xml:space="preserve">2.2.3.3. </w:t>
        </w:r>
        <w:r w:rsidRPr="00CB4E93">
          <w:rPr>
            <w:rStyle w:val="Lienhypertexte"/>
            <w:rFonts w:cs="Arial"/>
            <w:noProof/>
            <w:sz w:val="20"/>
            <w:szCs w:val="20"/>
          </w:rPr>
          <w:t>Agence du Cadre de Vie pour le Développement du Territoire (ACVDT)</w:t>
        </w:r>
        <w:r w:rsidRPr="00CB4E93">
          <w:rPr>
            <w:rFonts w:cs="Arial"/>
            <w:noProof/>
            <w:webHidden/>
            <w:sz w:val="20"/>
            <w:szCs w:val="20"/>
          </w:rPr>
          <w:tab/>
        </w:r>
        <w:r w:rsidRPr="00CB4E93">
          <w:rPr>
            <w:rFonts w:cs="Arial"/>
            <w:noProof/>
            <w:webHidden/>
            <w:sz w:val="20"/>
            <w:szCs w:val="20"/>
          </w:rPr>
          <w:fldChar w:fldCharType="begin"/>
        </w:r>
        <w:r w:rsidRPr="00CB4E93">
          <w:rPr>
            <w:rFonts w:cs="Arial"/>
            <w:noProof/>
            <w:webHidden/>
            <w:sz w:val="20"/>
            <w:szCs w:val="20"/>
          </w:rPr>
          <w:instrText xml:space="preserve"> PAGEREF _Toc52869606 \h </w:instrText>
        </w:r>
        <w:r w:rsidRPr="00CB4E93">
          <w:rPr>
            <w:rFonts w:cs="Arial"/>
            <w:noProof/>
            <w:webHidden/>
            <w:sz w:val="20"/>
            <w:szCs w:val="20"/>
          </w:rPr>
        </w:r>
        <w:r w:rsidRPr="00CB4E93">
          <w:rPr>
            <w:rFonts w:cs="Arial"/>
            <w:noProof/>
            <w:webHidden/>
            <w:sz w:val="20"/>
            <w:szCs w:val="20"/>
          </w:rPr>
          <w:fldChar w:fldCharType="separate"/>
        </w:r>
        <w:r w:rsidR="009E27E4">
          <w:rPr>
            <w:rFonts w:cs="Arial"/>
            <w:noProof/>
            <w:webHidden/>
            <w:sz w:val="20"/>
            <w:szCs w:val="20"/>
          </w:rPr>
          <w:t>45</w:t>
        </w:r>
        <w:r w:rsidRPr="00CB4E93">
          <w:rPr>
            <w:rFonts w:cs="Arial"/>
            <w:noProof/>
            <w:webHidden/>
            <w:sz w:val="20"/>
            <w:szCs w:val="20"/>
          </w:rPr>
          <w:fldChar w:fldCharType="end"/>
        </w:r>
      </w:hyperlink>
    </w:p>
    <w:p w14:paraId="4C4484B0" w14:textId="0088E894" w:rsidR="00CB4E93" w:rsidRPr="00CB4E93" w:rsidRDefault="00CB4E93" w:rsidP="00CB4E93">
      <w:pPr>
        <w:pStyle w:val="TM4"/>
        <w:tabs>
          <w:tab w:val="right" w:leader="dot" w:pos="9062"/>
        </w:tabs>
        <w:spacing w:before="60" w:after="0" w:line="240" w:lineRule="auto"/>
        <w:contextualSpacing/>
        <w:rPr>
          <w:rFonts w:eastAsiaTheme="minorEastAsia" w:cs="Arial"/>
          <w:noProof/>
          <w:color w:val="auto"/>
          <w:sz w:val="20"/>
          <w:szCs w:val="20"/>
          <w:lang w:eastAsia="fr-FR"/>
        </w:rPr>
      </w:pPr>
      <w:hyperlink w:anchor="_Toc52869607" w:history="1">
        <w:r w:rsidRPr="00CB4E93">
          <w:rPr>
            <w:rStyle w:val="Lienhypertexte"/>
            <w:rFonts w:cs="Arial"/>
            <w:noProof/>
            <w:sz w:val="20"/>
            <w:szCs w:val="20"/>
            <w:lang w:eastAsia="fr-FR"/>
          </w:rPr>
          <w:t xml:space="preserve">2.2.3.4. </w:t>
        </w:r>
        <w:r w:rsidRPr="00CB4E93">
          <w:rPr>
            <w:rStyle w:val="Lienhypertexte"/>
            <w:rFonts w:cs="Arial"/>
            <w:noProof/>
            <w:sz w:val="20"/>
            <w:szCs w:val="20"/>
          </w:rPr>
          <w:t>Agence Nationale du Domaine et du Foncier (ANDF)</w:t>
        </w:r>
        <w:r w:rsidRPr="00CB4E93">
          <w:rPr>
            <w:rFonts w:cs="Arial"/>
            <w:noProof/>
            <w:webHidden/>
            <w:sz w:val="20"/>
            <w:szCs w:val="20"/>
          </w:rPr>
          <w:tab/>
        </w:r>
        <w:r w:rsidRPr="00CB4E93">
          <w:rPr>
            <w:rFonts w:cs="Arial"/>
            <w:noProof/>
            <w:webHidden/>
            <w:sz w:val="20"/>
            <w:szCs w:val="20"/>
          </w:rPr>
          <w:fldChar w:fldCharType="begin"/>
        </w:r>
        <w:r w:rsidRPr="00CB4E93">
          <w:rPr>
            <w:rFonts w:cs="Arial"/>
            <w:noProof/>
            <w:webHidden/>
            <w:sz w:val="20"/>
            <w:szCs w:val="20"/>
          </w:rPr>
          <w:instrText xml:space="preserve"> PAGEREF _Toc52869607 \h </w:instrText>
        </w:r>
        <w:r w:rsidRPr="00CB4E93">
          <w:rPr>
            <w:rFonts w:cs="Arial"/>
            <w:noProof/>
            <w:webHidden/>
            <w:sz w:val="20"/>
            <w:szCs w:val="20"/>
          </w:rPr>
        </w:r>
        <w:r w:rsidRPr="00CB4E93">
          <w:rPr>
            <w:rFonts w:cs="Arial"/>
            <w:noProof/>
            <w:webHidden/>
            <w:sz w:val="20"/>
            <w:szCs w:val="20"/>
          </w:rPr>
          <w:fldChar w:fldCharType="separate"/>
        </w:r>
        <w:r w:rsidR="009E27E4">
          <w:rPr>
            <w:rFonts w:cs="Arial"/>
            <w:noProof/>
            <w:webHidden/>
            <w:sz w:val="20"/>
            <w:szCs w:val="20"/>
          </w:rPr>
          <w:t>47</w:t>
        </w:r>
        <w:r w:rsidRPr="00CB4E93">
          <w:rPr>
            <w:rFonts w:cs="Arial"/>
            <w:noProof/>
            <w:webHidden/>
            <w:sz w:val="20"/>
            <w:szCs w:val="20"/>
          </w:rPr>
          <w:fldChar w:fldCharType="end"/>
        </w:r>
      </w:hyperlink>
    </w:p>
    <w:p w14:paraId="7BA3429A" w14:textId="3D1BA81C" w:rsidR="00CB4E93" w:rsidRPr="00CB4E93" w:rsidRDefault="00CB4E93" w:rsidP="00CB4E93">
      <w:pPr>
        <w:pStyle w:val="TM4"/>
        <w:tabs>
          <w:tab w:val="right" w:leader="dot" w:pos="9062"/>
        </w:tabs>
        <w:spacing w:before="60" w:after="0" w:line="240" w:lineRule="auto"/>
        <w:contextualSpacing/>
        <w:rPr>
          <w:rFonts w:eastAsiaTheme="minorEastAsia" w:cs="Arial"/>
          <w:noProof/>
          <w:color w:val="auto"/>
          <w:sz w:val="20"/>
          <w:szCs w:val="20"/>
          <w:lang w:eastAsia="fr-FR"/>
        </w:rPr>
      </w:pPr>
      <w:hyperlink w:anchor="_Toc52869608" w:history="1">
        <w:r w:rsidRPr="00CB4E93">
          <w:rPr>
            <w:rStyle w:val="Lienhypertexte"/>
            <w:rFonts w:cs="Arial"/>
            <w:noProof/>
            <w:sz w:val="20"/>
            <w:szCs w:val="20"/>
            <w:lang w:eastAsia="fr-FR"/>
          </w:rPr>
          <w:t xml:space="preserve">2.2.3.5. </w:t>
        </w:r>
        <w:r w:rsidRPr="00CB4E93">
          <w:rPr>
            <w:rStyle w:val="Lienhypertexte"/>
            <w:rFonts w:cs="Arial"/>
            <w:noProof/>
            <w:sz w:val="20"/>
            <w:szCs w:val="20"/>
          </w:rPr>
          <w:t>Bénéficiaires</w:t>
        </w:r>
        <w:r w:rsidRPr="00CB4E93">
          <w:rPr>
            <w:rFonts w:cs="Arial"/>
            <w:noProof/>
            <w:webHidden/>
            <w:sz w:val="20"/>
            <w:szCs w:val="20"/>
          </w:rPr>
          <w:tab/>
        </w:r>
        <w:r w:rsidRPr="00CB4E93">
          <w:rPr>
            <w:rFonts w:cs="Arial"/>
            <w:noProof/>
            <w:webHidden/>
            <w:sz w:val="20"/>
            <w:szCs w:val="20"/>
          </w:rPr>
          <w:fldChar w:fldCharType="begin"/>
        </w:r>
        <w:r w:rsidRPr="00CB4E93">
          <w:rPr>
            <w:rFonts w:cs="Arial"/>
            <w:noProof/>
            <w:webHidden/>
            <w:sz w:val="20"/>
            <w:szCs w:val="20"/>
          </w:rPr>
          <w:instrText xml:space="preserve"> PAGEREF _Toc52869608 \h </w:instrText>
        </w:r>
        <w:r w:rsidRPr="00CB4E93">
          <w:rPr>
            <w:rFonts w:cs="Arial"/>
            <w:noProof/>
            <w:webHidden/>
            <w:sz w:val="20"/>
            <w:szCs w:val="20"/>
          </w:rPr>
        </w:r>
        <w:r w:rsidRPr="00CB4E93">
          <w:rPr>
            <w:rFonts w:cs="Arial"/>
            <w:noProof/>
            <w:webHidden/>
            <w:sz w:val="20"/>
            <w:szCs w:val="20"/>
          </w:rPr>
          <w:fldChar w:fldCharType="separate"/>
        </w:r>
        <w:r w:rsidR="009E27E4">
          <w:rPr>
            <w:rFonts w:cs="Arial"/>
            <w:noProof/>
            <w:webHidden/>
            <w:sz w:val="20"/>
            <w:szCs w:val="20"/>
          </w:rPr>
          <w:t>47</w:t>
        </w:r>
        <w:r w:rsidRPr="00CB4E93">
          <w:rPr>
            <w:rFonts w:cs="Arial"/>
            <w:noProof/>
            <w:webHidden/>
            <w:sz w:val="20"/>
            <w:szCs w:val="20"/>
          </w:rPr>
          <w:fldChar w:fldCharType="end"/>
        </w:r>
      </w:hyperlink>
    </w:p>
    <w:p w14:paraId="413F1903" w14:textId="32997D56" w:rsidR="00CB4E93" w:rsidRPr="00CB4E93" w:rsidRDefault="00CB4E93" w:rsidP="00CB4E93">
      <w:pPr>
        <w:pStyle w:val="TM5"/>
        <w:tabs>
          <w:tab w:val="right" w:leader="dot" w:pos="9062"/>
        </w:tabs>
        <w:spacing w:before="60" w:after="0" w:line="240" w:lineRule="auto"/>
        <w:contextualSpacing/>
        <w:rPr>
          <w:rFonts w:eastAsiaTheme="minorEastAsia" w:cs="Arial"/>
          <w:noProof/>
          <w:color w:val="auto"/>
          <w:sz w:val="20"/>
          <w:szCs w:val="20"/>
          <w:lang w:eastAsia="fr-FR"/>
        </w:rPr>
      </w:pPr>
      <w:hyperlink w:anchor="_Toc52869609" w:history="1">
        <w:r w:rsidRPr="00CB4E93">
          <w:rPr>
            <w:rStyle w:val="Lienhypertexte"/>
            <w:rFonts w:cs="Arial"/>
            <w:noProof/>
            <w:sz w:val="20"/>
            <w:szCs w:val="20"/>
          </w:rPr>
          <w:t>2.2.3.5.1. Préfecture</w:t>
        </w:r>
        <w:r w:rsidRPr="00CB4E93">
          <w:rPr>
            <w:rFonts w:cs="Arial"/>
            <w:noProof/>
            <w:webHidden/>
            <w:sz w:val="20"/>
            <w:szCs w:val="20"/>
          </w:rPr>
          <w:tab/>
        </w:r>
        <w:r w:rsidRPr="00CB4E93">
          <w:rPr>
            <w:rFonts w:cs="Arial"/>
            <w:noProof/>
            <w:webHidden/>
            <w:sz w:val="20"/>
            <w:szCs w:val="20"/>
          </w:rPr>
          <w:fldChar w:fldCharType="begin"/>
        </w:r>
        <w:r w:rsidRPr="00CB4E93">
          <w:rPr>
            <w:rFonts w:cs="Arial"/>
            <w:noProof/>
            <w:webHidden/>
            <w:sz w:val="20"/>
            <w:szCs w:val="20"/>
          </w:rPr>
          <w:instrText xml:space="preserve"> PAGEREF _Toc52869609 \h </w:instrText>
        </w:r>
        <w:r w:rsidRPr="00CB4E93">
          <w:rPr>
            <w:rFonts w:cs="Arial"/>
            <w:noProof/>
            <w:webHidden/>
            <w:sz w:val="20"/>
            <w:szCs w:val="20"/>
          </w:rPr>
        </w:r>
        <w:r w:rsidRPr="00CB4E93">
          <w:rPr>
            <w:rFonts w:cs="Arial"/>
            <w:noProof/>
            <w:webHidden/>
            <w:sz w:val="20"/>
            <w:szCs w:val="20"/>
          </w:rPr>
          <w:fldChar w:fldCharType="separate"/>
        </w:r>
        <w:r w:rsidR="009E27E4">
          <w:rPr>
            <w:rFonts w:cs="Arial"/>
            <w:noProof/>
            <w:webHidden/>
            <w:sz w:val="20"/>
            <w:szCs w:val="20"/>
          </w:rPr>
          <w:t>47</w:t>
        </w:r>
        <w:r w:rsidRPr="00CB4E93">
          <w:rPr>
            <w:rFonts w:cs="Arial"/>
            <w:noProof/>
            <w:webHidden/>
            <w:sz w:val="20"/>
            <w:szCs w:val="20"/>
          </w:rPr>
          <w:fldChar w:fldCharType="end"/>
        </w:r>
      </w:hyperlink>
    </w:p>
    <w:p w14:paraId="2CAF66BA" w14:textId="10F6AB53" w:rsidR="00CB4E93" w:rsidRPr="00CB4E93" w:rsidRDefault="00CB4E93" w:rsidP="00CB4E93">
      <w:pPr>
        <w:pStyle w:val="TM4"/>
        <w:tabs>
          <w:tab w:val="right" w:leader="dot" w:pos="9062"/>
        </w:tabs>
        <w:spacing w:before="60" w:after="0" w:line="240" w:lineRule="auto"/>
        <w:contextualSpacing/>
        <w:rPr>
          <w:rFonts w:eastAsiaTheme="minorEastAsia" w:cs="Arial"/>
          <w:noProof/>
          <w:color w:val="auto"/>
          <w:sz w:val="20"/>
          <w:szCs w:val="20"/>
          <w:lang w:eastAsia="fr-FR"/>
        </w:rPr>
      </w:pPr>
      <w:hyperlink w:anchor="_Toc52869610" w:history="1">
        <w:r w:rsidRPr="00CB4E93">
          <w:rPr>
            <w:rStyle w:val="Lienhypertexte"/>
            <w:rFonts w:cs="Arial"/>
            <w:noProof/>
            <w:sz w:val="20"/>
            <w:szCs w:val="20"/>
          </w:rPr>
          <w:t>2.2.3.5.2. La Commune de Natitingou</w:t>
        </w:r>
        <w:r w:rsidRPr="00CB4E93">
          <w:rPr>
            <w:rFonts w:cs="Arial"/>
            <w:noProof/>
            <w:webHidden/>
            <w:sz w:val="20"/>
            <w:szCs w:val="20"/>
          </w:rPr>
          <w:tab/>
        </w:r>
        <w:r w:rsidRPr="00CB4E93">
          <w:rPr>
            <w:rFonts w:cs="Arial"/>
            <w:noProof/>
            <w:webHidden/>
            <w:sz w:val="20"/>
            <w:szCs w:val="20"/>
          </w:rPr>
          <w:fldChar w:fldCharType="begin"/>
        </w:r>
        <w:r w:rsidRPr="00CB4E93">
          <w:rPr>
            <w:rFonts w:cs="Arial"/>
            <w:noProof/>
            <w:webHidden/>
            <w:sz w:val="20"/>
            <w:szCs w:val="20"/>
          </w:rPr>
          <w:instrText xml:space="preserve"> PAGEREF _Toc52869610 \h </w:instrText>
        </w:r>
        <w:r w:rsidRPr="00CB4E93">
          <w:rPr>
            <w:rFonts w:cs="Arial"/>
            <w:noProof/>
            <w:webHidden/>
            <w:sz w:val="20"/>
            <w:szCs w:val="20"/>
          </w:rPr>
        </w:r>
        <w:r w:rsidRPr="00CB4E93">
          <w:rPr>
            <w:rFonts w:cs="Arial"/>
            <w:noProof/>
            <w:webHidden/>
            <w:sz w:val="20"/>
            <w:szCs w:val="20"/>
          </w:rPr>
          <w:fldChar w:fldCharType="separate"/>
        </w:r>
        <w:r w:rsidR="009E27E4">
          <w:rPr>
            <w:rFonts w:cs="Arial"/>
            <w:noProof/>
            <w:webHidden/>
            <w:sz w:val="20"/>
            <w:szCs w:val="20"/>
          </w:rPr>
          <w:t>47</w:t>
        </w:r>
        <w:r w:rsidRPr="00CB4E93">
          <w:rPr>
            <w:rFonts w:cs="Arial"/>
            <w:noProof/>
            <w:webHidden/>
            <w:sz w:val="20"/>
            <w:szCs w:val="20"/>
          </w:rPr>
          <w:fldChar w:fldCharType="end"/>
        </w:r>
      </w:hyperlink>
    </w:p>
    <w:p w14:paraId="6004B0DB" w14:textId="34AB4666" w:rsidR="00CB4E93" w:rsidRPr="00CB4E93" w:rsidRDefault="00CB4E93" w:rsidP="00CB4E93">
      <w:pPr>
        <w:pStyle w:val="TM1"/>
        <w:tabs>
          <w:tab w:val="right" w:leader="dot" w:pos="9062"/>
        </w:tabs>
        <w:spacing w:before="60" w:after="0" w:line="240" w:lineRule="auto"/>
        <w:contextualSpacing/>
        <w:rPr>
          <w:rFonts w:ascii="Arial" w:eastAsiaTheme="minorEastAsia" w:hAnsi="Arial" w:cs="Arial"/>
          <w:b w:val="0"/>
          <w:bCs w:val="0"/>
          <w:caps w:val="0"/>
          <w:noProof/>
          <w:color w:val="auto"/>
          <w:lang w:eastAsia="fr-FR"/>
        </w:rPr>
      </w:pPr>
      <w:hyperlink w:anchor="_Toc52869611" w:history="1">
        <w:r w:rsidRPr="00CB4E93">
          <w:rPr>
            <w:rStyle w:val="Lienhypertexte"/>
            <w:rFonts w:ascii="Arial" w:hAnsi="Arial" w:cs="Arial"/>
            <w:noProof/>
          </w:rPr>
          <w:t>3. DESCRIPTION DU MILIEU RECEPTEUR des interventions du projeT</w:t>
        </w:r>
        <w:r w:rsidRPr="00CB4E93">
          <w:rPr>
            <w:rFonts w:ascii="Arial" w:hAnsi="Arial" w:cs="Arial"/>
            <w:noProof/>
            <w:webHidden/>
          </w:rPr>
          <w:tab/>
        </w:r>
        <w:r w:rsidRPr="00CB4E93">
          <w:rPr>
            <w:rFonts w:ascii="Arial" w:hAnsi="Arial" w:cs="Arial"/>
            <w:noProof/>
            <w:webHidden/>
          </w:rPr>
          <w:fldChar w:fldCharType="begin"/>
        </w:r>
        <w:r w:rsidRPr="00CB4E93">
          <w:rPr>
            <w:rFonts w:ascii="Arial" w:hAnsi="Arial" w:cs="Arial"/>
            <w:noProof/>
            <w:webHidden/>
          </w:rPr>
          <w:instrText xml:space="preserve"> PAGEREF _Toc52869611 \h </w:instrText>
        </w:r>
        <w:r w:rsidRPr="00CB4E93">
          <w:rPr>
            <w:rFonts w:ascii="Arial" w:hAnsi="Arial" w:cs="Arial"/>
            <w:noProof/>
            <w:webHidden/>
          </w:rPr>
        </w:r>
        <w:r w:rsidRPr="00CB4E93">
          <w:rPr>
            <w:rFonts w:ascii="Arial" w:hAnsi="Arial" w:cs="Arial"/>
            <w:noProof/>
            <w:webHidden/>
          </w:rPr>
          <w:fldChar w:fldCharType="separate"/>
        </w:r>
        <w:r w:rsidR="009E27E4">
          <w:rPr>
            <w:rFonts w:ascii="Arial" w:hAnsi="Arial" w:cs="Arial"/>
            <w:noProof/>
            <w:webHidden/>
          </w:rPr>
          <w:t>48</w:t>
        </w:r>
        <w:r w:rsidRPr="00CB4E93">
          <w:rPr>
            <w:rFonts w:ascii="Arial" w:hAnsi="Arial" w:cs="Arial"/>
            <w:noProof/>
            <w:webHidden/>
          </w:rPr>
          <w:fldChar w:fldCharType="end"/>
        </w:r>
      </w:hyperlink>
    </w:p>
    <w:p w14:paraId="2F019FBF" w14:textId="266DCBF4" w:rsidR="00CB4E93" w:rsidRPr="00CB4E93" w:rsidRDefault="00CB4E93" w:rsidP="00CB4E93">
      <w:pPr>
        <w:pStyle w:val="TM2"/>
        <w:contextualSpacing/>
        <w:rPr>
          <w:rFonts w:eastAsiaTheme="minorEastAsia"/>
          <w:b w:val="0"/>
          <w:i w:val="0"/>
          <w:caps w:val="0"/>
          <w:color w:val="auto"/>
        </w:rPr>
      </w:pPr>
      <w:hyperlink w:anchor="_Toc52869612" w:history="1">
        <w:r w:rsidRPr="00CB4E93">
          <w:rPr>
            <w:rStyle w:val="Lienhypertexte"/>
          </w:rPr>
          <w:t>3.1 Généralités sur la zone d’étude</w:t>
        </w:r>
        <w:r w:rsidRPr="00CB4E93">
          <w:rPr>
            <w:webHidden/>
          </w:rPr>
          <w:tab/>
        </w:r>
        <w:r w:rsidRPr="00CB4E93">
          <w:rPr>
            <w:webHidden/>
          </w:rPr>
          <w:fldChar w:fldCharType="begin"/>
        </w:r>
        <w:r w:rsidRPr="00CB4E93">
          <w:rPr>
            <w:webHidden/>
          </w:rPr>
          <w:instrText xml:space="preserve"> PAGEREF _Toc52869612 \h </w:instrText>
        </w:r>
        <w:r w:rsidRPr="00CB4E93">
          <w:rPr>
            <w:webHidden/>
          </w:rPr>
        </w:r>
        <w:r w:rsidRPr="00CB4E93">
          <w:rPr>
            <w:webHidden/>
          </w:rPr>
          <w:fldChar w:fldCharType="separate"/>
        </w:r>
        <w:r w:rsidR="009E27E4">
          <w:rPr>
            <w:webHidden/>
          </w:rPr>
          <w:t>48</w:t>
        </w:r>
        <w:r w:rsidRPr="00CB4E93">
          <w:rPr>
            <w:webHidden/>
          </w:rPr>
          <w:fldChar w:fldCharType="end"/>
        </w:r>
      </w:hyperlink>
    </w:p>
    <w:p w14:paraId="6C5A2239" w14:textId="00E530BE" w:rsidR="00CB4E93" w:rsidRPr="00CB4E93" w:rsidRDefault="00CB4E93" w:rsidP="00CB4E93">
      <w:pPr>
        <w:pStyle w:val="TM3"/>
        <w:tabs>
          <w:tab w:val="right" w:leader="dot" w:pos="9062"/>
        </w:tabs>
        <w:spacing w:before="60" w:after="0" w:line="240" w:lineRule="auto"/>
        <w:contextualSpacing/>
        <w:rPr>
          <w:rFonts w:eastAsiaTheme="minorEastAsia" w:cs="Arial"/>
          <w:noProof/>
          <w:color w:val="auto"/>
          <w:sz w:val="20"/>
          <w:szCs w:val="20"/>
          <w:lang w:eastAsia="fr-FR"/>
        </w:rPr>
      </w:pPr>
      <w:hyperlink w:anchor="_Toc52869613" w:history="1">
        <w:r w:rsidRPr="00CB4E93">
          <w:rPr>
            <w:rStyle w:val="Lienhypertexte"/>
            <w:rFonts w:cs="Arial"/>
            <w:noProof/>
            <w:sz w:val="20"/>
            <w:szCs w:val="20"/>
          </w:rPr>
          <w:t>3.1.1 Présentation du milieu physique</w:t>
        </w:r>
        <w:r w:rsidRPr="00CB4E93">
          <w:rPr>
            <w:rFonts w:cs="Arial"/>
            <w:noProof/>
            <w:webHidden/>
            <w:sz w:val="20"/>
            <w:szCs w:val="20"/>
          </w:rPr>
          <w:tab/>
        </w:r>
        <w:r w:rsidRPr="00CB4E93">
          <w:rPr>
            <w:rFonts w:cs="Arial"/>
            <w:noProof/>
            <w:webHidden/>
            <w:sz w:val="20"/>
            <w:szCs w:val="20"/>
          </w:rPr>
          <w:fldChar w:fldCharType="begin"/>
        </w:r>
        <w:r w:rsidRPr="00CB4E93">
          <w:rPr>
            <w:rFonts w:cs="Arial"/>
            <w:noProof/>
            <w:webHidden/>
            <w:sz w:val="20"/>
            <w:szCs w:val="20"/>
          </w:rPr>
          <w:instrText xml:space="preserve"> PAGEREF _Toc52869613 \h </w:instrText>
        </w:r>
        <w:r w:rsidRPr="00CB4E93">
          <w:rPr>
            <w:rFonts w:cs="Arial"/>
            <w:noProof/>
            <w:webHidden/>
            <w:sz w:val="20"/>
            <w:szCs w:val="20"/>
          </w:rPr>
        </w:r>
        <w:r w:rsidRPr="00CB4E93">
          <w:rPr>
            <w:rFonts w:cs="Arial"/>
            <w:noProof/>
            <w:webHidden/>
            <w:sz w:val="20"/>
            <w:szCs w:val="20"/>
          </w:rPr>
          <w:fldChar w:fldCharType="separate"/>
        </w:r>
        <w:r w:rsidR="009E27E4">
          <w:rPr>
            <w:rFonts w:cs="Arial"/>
            <w:noProof/>
            <w:webHidden/>
            <w:sz w:val="20"/>
            <w:szCs w:val="20"/>
          </w:rPr>
          <w:t>48</w:t>
        </w:r>
        <w:r w:rsidRPr="00CB4E93">
          <w:rPr>
            <w:rFonts w:cs="Arial"/>
            <w:noProof/>
            <w:webHidden/>
            <w:sz w:val="20"/>
            <w:szCs w:val="20"/>
          </w:rPr>
          <w:fldChar w:fldCharType="end"/>
        </w:r>
      </w:hyperlink>
    </w:p>
    <w:p w14:paraId="58DFDB9E" w14:textId="4AC99129" w:rsidR="00CB4E93" w:rsidRPr="00CB4E93" w:rsidRDefault="00CB4E93" w:rsidP="00CB4E93">
      <w:pPr>
        <w:pStyle w:val="TM4"/>
        <w:tabs>
          <w:tab w:val="right" w:leader="dot" w:pos="9062"/>
        </w:tabs>
        <w:spacing w:before="60" w:after="0" w:line="240" w:lineRule="auto"/>
        <w:contextualSpacing/>
        <w:rPr>
          <w:rFonts w:eastAsiaTheme="minorEastAsia" w:cs="Arial"/>
          <w:noProof/>
          <w:color w:val="auto"/>
          <w:sz w:val="20"/>
          <w:szCs w:val="20"/>
          <w:lang w:eastAsia="fr-FR"/>
        </w:rPr>
      </w:pPr>
      <w:hyperlink w:anchor="_Toc52869614" w:history="1">
        <w:r w:rsidRPr="00CB4E93">
          <w:rPr>
            <w:rStyle w:val="Lienhypertexte"/>
            <w:rFonts w:cs="Arial"/>
            <w:noProof/>
            <w:sz w:val="20"/>
            <w:szCs w:val="20"/>
          </w:rPr>
          <w:t>3.1.1.1 Situation géographique</w:t>
        </w:r>
        <w:r w:rsidRPr="00CB4E93">
          <w:rPr>
            <w:rFonts w:cs="Arial"/>
            <w:noProof/>
            <w:webHidden/>
            <w:sz w:val="20"/>
            <w:szCs w:val="20"/>
          </w:rPr>
          <w:tab/>
        </w:r>
        <w:r w:rsidRPr="00CB4E93">
          <w:rPr>
            <w:rFonts w:cs="Arial"/>
            <w:noProof/>
            <w:webHidden/>
            <w:sz w:val="20"/>
            <w:szCs w:val="20"/>
          </w:rPr>
          <w:fldChar w:fldCharType="begin"/>
        </w:r>
        <w:r w:rsidRPr="00CB4E93">
          <w:rPr>
            <w:rFonts w:cs="Arial"/>
            <w:noProof/>
            <w:webHidden/>
            <w:sz w:val="20"/>
            <w:szCs w:val="20"/>
          </w:rPr>
          <w:instrText xml:space="preserve"> PAGEREF _Toc52869614 \h </w:instrText>
        </w:r>
        <w:r w:rsidRPr="00CB4E93">
          <w:rPr>
            <w:rFonts w:cs="Arial"/>
            <w:noProof/>
            <w:webHidden/>
            <w:sz w:val="20"/>
            <w:szCs w:val="20"/>
          </w:rPr>
        </w:r>
        <w:r w:rsidRPr="00CB4E93">
          <w:rPr>
            <w:rFonts w:cs="Arial"/>
            <w:noProof/>
            <w:webHidden/>
            <w:sz w:val="20"/>
            <w:szCs w:val="20"/>
          </w:rPr>
          <w:fldChar w:fldCharType="separate"/>
        </w:r>
        <w:r w:rsidR="009E27E4">
          <w:rPr>
            <w:rFonts w:cs="Arial"/>
            <w:noProof/>
            <w:webHidden/>
            <w:sz w:val="20"/>
            <w:szCs w:val="20"/>
          </w:rPr>
          <w:t>48</w:t>
        </w:r>
        <w:r w:rsidRPr="00CB4E93">
          <w:rPr>
            <w:rFonts w:cs="Arial"/>
            <w:noProof/>
            <w:webHidden/>
            <w:sz w:val="20"/>
            <w:szCs w:val="20"/>
          </w:rPr>
          <w:fldChar w:fldCharType="end"/>
        </w:r>
      </w:hyperlink>
    </w:p>
    <w:p w14:paraId="1EF9206E" w14:textId="7A245C31" w:rsidR="00CB4E93" w:rsidRPr="00CB4E93" w:rsidRDefault="00CB4E93" w:rsidP="00CB4E93">
      <w:pPr>
        <w:pStyle w:val="TM4"/>
        <w:tabs>
          <w:tab w:val="right" w:leader="dot" w:pos="9062"/>
        </w:tabs>
        <w:spacing w:before="60" w:after="0" w:line="240" w:lineRule="auto"/>
        <w:contextualSpacing/>
        <w:rPr>
          <w:rFonts w:eastAsiaTheme="minorEastAsia" w:cs="Arial"/>
          <w:noProof/>
          <w:color w:val="auto"/>
          <w:sz w:val="20"/>
          <w:szCs w:val="20"/>
          <w:lang w:eastAsia="fr-FR"/>
        </w:rPr>
      </w:pPr>
      <w:hyperlink w:anchor="_Toc52869615" w:history="1">
        <w:r w:rsidRPr="00CB4E93">
          <w:rPr>
            <w:rStyle w:val="Lienhypertexte"/>
            <w:rFonts w:cs="Arial"/>
            <w:noProof/>
            <w:sz w:val="20"/>
            <w:szCs w:val="20"/>
          </w:rPr>
          <w:t>3.1.1.2 Climat</w:t>
        </w:r>
        <w:r w:rsidRPr="00CB4E93">
          <w:rPr>
            <w:rFonts w:cs="Arial"/>
            <w:noProof/>
            <w:webHidden/>
            <w:sz w:val="20"/>
            <w:szCs w:val="20"/>
          </w:rPr>
          <w:tab/>
        </w:r>
        <w:r w:rsidRPr="00CB4E93">
          <w:rPr>
            <w:rFonts w:cs="Arial"/>
            <w:noProof/>
            <w:webHidden/>
            <w:sz w:val="20"/>
            <w:szCs w:val="20"/>
          </w:rPr>
          <w:fldChar w:fldCharType="begin"/>
        </w:r>
        <w:r w:rsidRPr="00CB4E93">
          <w:rPr>
            <w:rFonts w:cs="Arial"/>
            <w:noProof/>
            <w:webHidden/>
            <w:sz w:val="20"/>
            <w:szCs w:val="20"/>
          </w:rPr>
          <w:instrText xml:space="preserve"> PAGEREF _Toc52869615 \h </w:instrText>
        </w:r>
        <w:r w:rsidRPr="00CB4E93">
          <w:rPr>
            <w:rFonts w:cs="Arial"/>
            <w:noProof/>
            <w:webHidden/>
            <w:sz w:val="20"/>
            <w:szCs w:val="20"/>
          </w:rPr>
        </w:r>
        <w:r w:rsidRPr="00CB4E93">
          <w:rPr>
            <w:rFonts w:cs="Arial"/>
            <w:noProof/>
            <w:webHidden/>
            <w:sz w:val="20"/>
            <w:szCs w:val="20"/>
          </w:rPr>
          <w:fldChar w:fldCharType="separate"/>
        </w:r>
        <w:r w:rsidR="009E27E4">
          <w:rPr>
            <w:rFonts w:cs="Arial"/>
            <w:noProof/>
            <w:webHidden/>
            <w:sz w:val="20"/>
            <w:szCs w:val="20"/>
          </w:rPr>
          <w:t>50</w:t>
        </w:r>
        <w:r w:rsidRPr="00CB4E93">
          <w:rPr>
            <w:rFonts w:cs="Arial"/>
            <w:noProof/>
            <w:webHidden/>
            <w:sz w:val="20"/>
            <w:szCs w:val="20"/>
          </w:rPr>
          <w:fldChar w:fldCharType="end"/>
        </w:r>
      </w:hyperlink>
    </w:p>
    <w:p w14:paraId="565DE23E" w14:textId="55335790" w:rsidR="00CB4E93" w:rsidRPr="00CB4E93" w:rsidRDefault="00CB4E93" w:rsidP="00CB4E93">
      <w:pPr>
        <w:pStyle w:val="TM4"/>
        <w:tabs>
          <w:tab w:val="right" w:leader="dot" w:pos="9062"/>
        </w:tabs>
        <w:spacing w:before="60" w:after="0" w:line="240" w:lineRule="auto"/>
        <w:contextualSpacing/>
        <w:rPr>
          <w:rFonts w:eastAsiaTheme="minorEastAsia" w:cs="Arial"/>
          <w:noProof/>
          <w:color w:val="auto"/>
          <w:sz w:val="20"/>
          <w:szCs w:val="20"/>
          <w:lang w:eastAsia="fr-FR"/>
        </w:rPr>
      </w:pPr>
      <w:hyperlink w:anchor="_Toc52869616" w:history="1">
        <w:r w:rsidRPr="00CB4E93">
          <w:rPr>
            <w:rStyle w:val="Lienhypertexte"/>
            <w:rFonts w:cs="Arial"/>
            <w:noProof/>
            <w:sz w:val="20"/>
            <w:szCs w:val="20"/>
          </w:rPr>
          <w:t>3.1.1.3 Analyse des Données Climatiques</w:t>
        </w:r>
        <w:r w:rsidRPr="00CB4E93">
          <w:rPr>
            <w:rFonts w:cs="Arial"/>
            <w:noProof/>
            <w:webHidden/>
            <w:sz w:val="20"/>
            <w:szCs w:val="20"/>
          </w:rPr>
          <w:tab/>
        </w:r>
        <w:r w:rsidRPr="00CB4E93">
          <w:rPr>
            <w:rFonts w:cs="Arial"/>
            <w:noProof/>
            <w:webHidden/>
            <w:sz w:val="20"/>
            <w:szCs w:val="20"/>
          </w:rPr>
          <w:fldChar w:fldCharType="begin"/>
        </w:r>
        <w:r w:rsidRPr="00CB4E93">
          <w:rPr>
            <w:rFonts w:cs="Arial"/>
            <w:noProof/>
            <w:webHidden/>
            <w:sz w:val="20"/>
            <w:szCs w:val="20"/>
          </w:rPr>
          <w:instrText xml:space="preserve"> PAGEREF _Toc52869616 \h </w:instrText>
        </w:r>
        <w:r w:rsidRPr="00CB4E93">
          <w:rPr>
            <w:rFonts w:cs="Arial"/>
            <w:noProof/>
            <w:webHidden/>
            <w:sz w:val="20"/>
            <w:szCs w:val="20"/>
          </w:rPr>
        </w:r>
        <w:r w:rsidRPr="00CB4E93">
          <w:rPr>
            <w:rFonts w:cs="Arial"/>
            <w:noProof/>
            <w:webHidden/>
            <w:sz w:val="20"/>
            <w:szCs w:val="20"/>
          </w:rPr>
          <w:fldChar w:fldCharType="separate"/>
        </w:r>
        <w:r w:rsidR="009E27E4">
          <w:rPr>
            <w:rFonts w:cs="Arial"/>
            <w:noProof/>
            <w:webHidden/>
            <w:sz w:val="20"/>
            <w:szCs w:val="20"/>
          </w:rPr>
          <w:t>52</w:t>
        </w:r>
        <w:r w:rsidRPr="00CB4E93">
          <w:rPr>
            <w:rFonts w:cs="Arial"/>
            <w:noProof/>
            <w:webHidden/>
            <w:sz w:val="20"/>
            <w:szCs w:val="20"/>
          </w:rPr>
          <w:fldChar w:fldCharType="end"/>
        </w:r>
      </w:hyperlink>
    </w:p>
    <w:p w14:paraId="6ABD4CE5" w14:textId="49F6FD61" w:rsidR="00CB4E93" w:rsidRPr="00CB4E93" w:rsidRDefault="00CB4E93" w:rsidP="00CB4E93">
      <w:pPr>
        <w:pStyle w:val="TM4"/>
        <w:tabs>
          <w:tab w:val="right" w:leader="dot" w:pos="9062"/>
        </w:tabs>
        <w:spacing w:before="60" w:after="0" w:line="240" w:lineRule="auto"/>
        <w:contextualSpacing/>
        <w:rPr>
          <w:rFonts w:eastAsiaTheme="minorEastAsia" w:cs="Arial"/>
          <w:noProof/>
          <w:color w:val="auto"/>
          <w:sz w:val="20"/>
          <w:szCs w:val="20"/>
          <w:lang w:eastAsia="fr-FR"/>
        </w:rPr>
      </w:pPr>
      <w:hyperlink w:anchor="_Toc52869617" w:history="1">
        <w:r w:rsidRPr="00CB4E93">
          <w:rPr>
            <w:rStyle w:val="Lienhypertexte"/>
            <w:rFonts w:cs="Arial"/>
            <w:noProof/>
            <w:sz w:val="20"/>
            <w:szCs w:val="20"/>
          </w:rPr>
          <w:t>3.1.1.3 Reconnaissance des bassins versants, principaux couloirs d’écoulement et exutoires</w:t>
        </w:r>
        <w:r w:rsidRPr="00CB4E93">
          <w:rPr>
            <w:rFonts w:cs="Arial"/>
            <w:noProof/>
            <w:webHidden/>
            <w:sz w:val="20"/>
            <w:szCs w:val="20"/>
          </w:rPr>
          <w:tab/>
        </w:r>
        <w:r w:rsidRPr="00CB4E93">
          <w:rPr>
            <w:rFonts w:cs="Arial"/>
            <w:noProof/>
            <w:webHidden/>
            <w:sz w:val="20"/>
            <w:szCs w:val="20"/>
          </w:rPr>
          <w:fldChar w:fldCharType="begin"/>
        </w:r>
        <w:r w:rsidRPr="00CB4E93">
          <w:rPr>
            <w:rFonts w:cs="Arial"/>
            <w:noProof/>
            <w:webHidden/>
            <w:sz w:val="20"/>
            <w:szCs w:val="20"/>
          </w:rPr>
          <w:instrText xml:space="preserve"> PAGEREF _Toc52869617 \h </w:instrText>
        </w:r>
        <w:r w:rsidRPr="00CB4E93">
          <w:rPr>
            <w:rFonts w:cs="Arial"/>
            <w:noProof/>
            <w:webHidden/>
            <w:sz w:val="20"/>
            <w:szCs w:val="20"/>
          </w:rPr>
        </w:r>
        <w:r w:rsidRPr="00CB4E93">
          <w:rPr>
            <w:rFonts w:cs="Arial"/>
            <w:noProof/>
            <w:webHidden/>
            <w:sz w:val="20"/>
            <w:szCs w:val="20"/>
          </w:rPr>
          <w:fldChar w:fldCharType="separate"/>
        </w:r>
        <w:r w:rsidR="009E27E4">
          <w:rPr>
            <w:rFonts w:cs="Arial"/>
            <w:noProof/>
            <w:webHidden/>
            <w:sz w:val="20"/>
            <w:szCs w:val="20"/>
          </w:rPr>
          <w:t>55</w:t>
        </w:r>
        <w:r w:rsidRPr="00CB4E93">
          <w:rPr>
            <w:rFonts w:cs="Arial"/>
            <w:noProof/>
            <w:webHidden/>
            <w:sz w:val="20"/>
            <w:szCs w:val="20"/>
          </w:rPr>
          <w:fldChar w:fldCharType="end"/>
        </w:r>
      </w:hyperlink>
    </w:p>
    <w:p w14:paraId="7B3BEE5D" w14:textId="36362CBC" w:rsidR="00CB4E93" w:rsidRPr="00CB4E93" w:rsidRDefault="00CB4E93" w:rsidP="00CB4E93">
      <w:pPr>
        <w:pStyle w:val="TM4"/>
        <w:tabs>
          <w:tab w:val="right" w:leader="dot" w:pos="9062"/>
        </w:tabs>
        <w:spacing w:before="60" w:after="0" w:line="240" w:lineRule="auto"/>
        <w:contextualSpacing/>
        <w:rPr>
          <w:rFonts w:eastAsiaTheme="minorEastAsia" w:cs="Arial"/>
          <w:noProof/>
          <w:color w:val="auto"/>
          <w:sz w:val="20"/>
          <w:szCs w:val="20"/>
          <w:lang w:eastAsia="fr-FR"/>
        </w:rPr>
      </w:pPr>
      <w:hyperlink w:anchor="_Toc52869618" w:history="1">
        <w:r w:rsidRPr="00CB4E93">
          <w:rPr>
            <w:rStyle w:val="Lienhypertexte"/>
            <w:rFonts w:cs="Arial"/>
            <w:noProof/>
            <w:sz w:val="20"/>
            <w:szCs w:val="20"/>
          </w:rPr>
          <w:t>3.1.1.4 Relief</w:t>
        </w:r>
        <w:r w:rsidRPr="00CB4E93">
          <w:rPr>
            <w:rFonts w:cs="Arial"/>
            <w:noProof/>
            <w:webHidden/>
            <w:sz w:val="20"/>
            <w:szCs w:val="20"/>
          </w:rPr>
          <w:tab/>
        </w:r>
        <w:r w:rsidRPr="00CB4E93">
          <w:rPr>
            <w:rFonts w:cs="Arial"/>
            <w:noProof/>
            <w:webHidden/>
            <w:sz w:val="20"/>
            <w:szCs w:val="20"/>
          </w:rPr>
          <w:fldChar w:fldCharType="begin"/>
        </w:r>
        <w:r w:rsidRPr="00CB4E93">
          <w:rPr>
            <w:rFonts w:cs="Arial"/>
            <w:noProof/>
            <w:webHidden/>
            <w:sz w:val="20"/>
            <w:szCs w:val="20"/>
          </w:rPr>
          <w:instrText xml:space="preserve"> PAGEREF _Toc52869618 \h </w:instrText>
        </w:r>
        <w:r w:rsidRPr="00CB4E93">
          <w:rPr>
            <w:rFonts w:cs="Arial"/>
            <w:noProof/>
            <w:webHidden/>
            <w:sz w:val="20"/>
            <w:szCs w:val="20"/>
          </w:rPr>
        </w:r>
        <w:r w:rsidRPr="00CB4E93">
          <w:rPr>
            <w:rFonts w:cs="Arial"/>
            <w:noProof/>
            <w:webHidden/>
            <w:sz w:val="20"/>
            <w:szCs w:val="20"/>
          </w:rPr>
          <w:fldChar w:fldCharType="separate"/>
        </w:r>
        <w:r w:rsidR="009E27E4">
          <w:rPr>
            <w:rFonts w:cs="Arial"/>
            <w:noProof/>
            <w:webHidden/>
            <w:sz w:val="20"/>
            <w:szCs w:val="20"/>
          </w:rPr>
          <w:t>56</w:t>
        </w:r>
        <w:r w:rsidRPr="00CB4E93">
          <w:rPr>
            <w:rFonts w:cs="Arial"/>
            <w:noProof/>
            <w:webHidden/>
            <w:sz w:val="20"/>
            <w:szCs w:val="20"/>
          </w:rPr>
          <w:fldChar w:fldCharType="end"/>
        </w:r>
      </w:hyperlink>
    </w:p>
    <w:p w14:paraId="45346BAF" w14:textId="74435A7A" w:rsidR="00CB4E93" w:rsidRPr="00CB4E93" w:rsidRDefault="00CB4E93" w:rsidP="00CB4E93">
      <w:pPr>
        <w:pStyle w:val="TM4"/>
        <w:tabs>
          <w:tab w:val="right" w:leader="dot" w:pos="9062"/>
        </w:tabs>
        <w:spacing w:before="60" w:after="0" w:line="240" w:lineRule="auto"/>
        <w:contextualSpacing/>
        <w:rPr>
          <w:rFonts w:eastAsiaTheme="minorEastAsia" w:cs="Arial"/>
          <w:noProof/>
          <w:color w:val="auto"/>
          <w:sz w:val="20"/>
          <w:szCs w:val="20"/>
          <w:lang w:eastAsia="fr-FR"/>
        </w:rPr>
      </w:pPr>
      <w:hyperlink w:anchor="_Toc52869619" w:history="1">
        <w:r w:rsidRPr="00CB4E93">
          <w:rPr>
            <w:rStyle w:val="Lienhypertexte"/>
            <w:rFonts w:cs="Arial"/>
            <w:noProof/>
            <w:sz w:val="20"/>
            <w:szCs w:val="20"/>
          </w:rPr>
          <w:t>3.1.1.5. Géomorphologie</w:t>
        </w:r>
        <w:r w:rsidRPr="00CB4E93">
          <w:rPr>
            <w:rFonts w:cs="Arial"/>
            <w:noProof/>
            <w:webHidden/>
            <w:sz w:val="20"/>
            <w:szCs w:val="20"/>
          </w:rPr>
          <w:tab/>
        </w:r>
        <w:r w:rsidRPr="00CB4E93">
          <w:rPr>
            <w:rFonts w:cs="Arial"/>
            <w:noProof/>
            <w:webHidden/>
            <w:sz w:val="20"/>
            <w:szCs w:val="20"/>
          </w:rPr>
          <w:fldChar w:fldCharType="begin"/>
        </w:r>
        <w:r w:rsidRPr="00CB4E93">
          <w:rPr>
            <w:rFonts w:cs="Arial"/>
            <w:noProof/>
            <w:webHidden/>
            <w:sz w:val="20"/>
            <w:szCs w:val="20"/>
          </w:rPr>
          <w:instrText xml:space="preserve"> PAGEREF _Toc52869619 \h </w:instrText>
        </w:r>
        <w:r w:rsidRPr="00CB4E93">
          <w:rPr>
            <w:rFonts w:cs="Arial"/>
            <w:noProof/>
            <w:webHidden/>
            <w:sz w:val="20"/>
            <w:szCs w:val="20"/>
          </w:rPr>
        </w:r>
        <w:r w:rsidRPr="00CB4E93">
          <w:rPr>
            <w:rFonts w:cs="Arial"/>
            <w:noProof/>
            <w:webHidden/>
            <w:sz w:val="20"/>
            <w:szCs w:val="20"/>
          </w:rPr>
          <w:fldChar w:fldCharType="separate"/>
        </w:r>
        <w:r w:rsidR="009E27E4">
          <w:rPr>
            <w:rFonts w:cs="Arial"/>
            <w:noProof/>
            <w:webHidden/>
            <w:sz w:val="20"/>
            <w:szCs w:val="20"/>
          </w:rPr>
          <w:t>56</w:t>
        </w:r>
        <w:r w:rsidRPr="00CB4E93">
          <w:rPr>
            <w:rFonts w:cs="Arial"/>
            <w:noProof/>
            <w:webHidden/>
            <w:sz w:val="20"/>
            <w:szCs w:val="20"/>
          </w:rPr>
          <w:fldChar w:fldCharType="end"/>
        </w:r>
      </w:hyperlink>
    </w:p>
    <w:p w14:paraId="0713E2D5" w14:textId="41372739" w:rsidR="00CB4E93" w:rsidRPr="00CB4E93" w:rsidRDefault="00CB4E93" w:rsidP="00CB4E93">
      <w:pPr>
        <w:pStyle w:val="TM4"/>
        <w:tabs>
          <w:tab w:val="right" w:leader="dot" w:pos="9062"/>
        </w:tabs>
        <w:spacing w:before="60" w:after="0" w:line="240" w:lineRule="auto"/>
        <w:contextualSpacing/>
        <w:rPr>
          <w:rFonts w:eastAsiaTheme="minorEastAsia" w:cs="Arial"/>
          <w:noProof/>
          <w:color w:val="auto"/>
          <w:sz w:val="20"/>
          <w:szCs w:val="20"/>
          <w:lang w:eastAsia="fr-FR"/>
        </w:rPr>
      </w:pPr>
      <w:hyperlink w:anchor="_Toc52869620" w:history="1">
        <w:r w:rsidRPr="00CB4E93">
          <w:rPr>
            <w:rStyle w:val="Lienhypertexte"/>
            <w:rFonts w:cs="Arial"/>
            <w:noProof/>
            <w:sz w:val="20"/>
            <w:szCs w:val="20"/>
          </w:rPr>
          <w:t>3.1.1. 7.  Sols</w:t>
        </w:r>
        <w:r w:rsidRPr="00CB4E93">
          <w:rPr>
            <w:rFonts w:cs="Arial"/>
            <w:noProof/>
            <w:webHidden/>
            <w:sz w:val="20"/>
            <w:szCs w:val="20"/>
          </w:rPr>
          <w:tab/>
        </w:r>
        <w:r w:rsidRPr="00CB4E93">
          <w:rPr>
            <w:rFonts w:cs="Arial"/>
            <w:noProof/>
            <w:webHidden/>
            <w:sz w:val="20"/>
            <w:szCs w:val="20"/>
          </w:rPr>
          <w:fldChar w:fldCharType="begin"/>
        </w:r>
        <w:r w:rsidRPr="00CB4E93">
          <w:rPr>
            <w:rFonts w:cs="Arial"/>
            <w:noProof/>
            <w:webHidden/>
            <w:sz w:val="20"/>
            <w:szCs w:val="20"/>
          </w:rPr>
          <w:instrText xml:space="preserve"> PAGEREF _Toc52869620 \h </w:instrText>
        </w:r>
        <w:r w:rsidRPr="00CB4E93">
          <w:rPr>
            <w:rFonts w:cs="Arial"/>
            <w:noProof/>
            <w:webHidden/>
            <w:sz w:val="20"/>
            <w:szCs w:val="20"/>
          </w:rPr>
        </w:r>
        <w:r w:rsidRPr="00CB4E93">
          <w:rPr>
            <w:rFonts w:cs="Arial"/>
            <w:noProof/>
            <w:webHidden/>
            <w:sz w:val="20"/>
            <w:szCs w:val="20"/>
          </w:rPr>
          <w:fldChar w:fldCharType="separate"/>
        </w:r>
        <w:r w:rsidR="009E27E4">
          <w:rPr>
            <w:rFonts w:cs="Arial"/>
            <w:noProof/>
            <w:webHidden/>
            <w:sz w:val="20"/>
            <w:szCs w:val="20"/>
          </w:rPr>
          <w:t>60</w:t>
        </w:r>
        <w:r w:rsidRPr="00CB4E93">
          <w:rPr>
            <w:rFonts w:cs="Arial"/>
            <w:noProof/>
            <w:webHidden/>
            <w:sz w:val="20"/>
            <w:szCs w:val="20"/>
          </w:rPr>
          <w:fldChar w:fldCharType="end"/>
        </w:r>
      </w:hyperlink>
    </w:p>
    <w:p w14:paraId="20F1B915" w14:textId="25CEC8E7" w:rsidR="00CB4E93" w:rsidRPr="00CB4E93" w:rsidRDefault="00CB4E93" w:rsidP="00CB4E93">
      <w:pPr>
        <w:pStyle w:val="TM4"/>
        <w:tabs>
          <w:tab w:val="right" w:leader="dot" w:pos="9062"/>
        </w:tabs>
        <w:spacing w:before="60" w:after="0" w:line="240" w:lineRule="auto"/>
        <w:contextualSpacing/>
        <w:rPr>
          <w:rFonts w:eastAsiaTheme="minorEastAsia" w:cs="Arial"/>
          <w:noProof/>
          <w:color w:val="auto"/>
          <w:sz w:val="20"/>
          <w:szCs w:val="20"/>
          <w:lang w:eastAsia="fr-FR"/>
        </w:rPr>
      </w:pPr>
      <w:hyperlink w:anchor="_Toc52869621" w:history="1">
        <w:r w:rsidRPr="00CB4E93">
          <w:rPr>
            <w:rStyle w:val="Lienhypertexte"/>
            <w:rFonts w:cs="Arial"/>
            <w:noProof/>
            <w:sz w:val="20"/>
            <w:szCs w:val="20"/>
          </w:rPr>
          <w:t>3.1.1.7. Hydrologie et hydrogéologie</w:t>
        </w:r>
        <w:r w:rsidRPr="00CB4E93">
          <w:rPr>
            <w:rFonts w:cs="Arial"/>
            <w:noProof/>
            <w:webHidden/>
            <w:sz w:val="20"/>
            <w:szCs w:val="20"/>
          </w:rPr>
          <w:tab/>
        </w:r>
        <w:r w:rsidRPr="00CB4E93">
          <w:rPr>
            <w:rFonts w:cs="Arial"/>
            <w:noProof/>
            <w:webHidden/>
            <w:sz w:val="20"/>
            <w:szCs w:val="20"/>
          </w:rPr>
          <w:fldChar w:fldCharType="begin"/>
        </w:r>
        <w:r w:rsidRPr="00CB4E93">
          <w:rPr>
            <w:rFonts w:cs="Arial"/>
            <w:noProof/>
            <w:webHidden/>
            <w:sz w:val="20"/>
            <w:szCs w:val="20"/>
          </w:rPr>
          <w:instrText xml:space="preserve"> PAGEREF _Toc52869621 \h </w:instrText>
        </w:r>
        <w:r w:rsidRPr="00CB4E93">
          <w:rPr>
            <w:rFonts w:cs="Arial"/>
            <w:noProof/>
            <w:webHidden/>
            <w:sz w:val="20"/>
            <w:szCs w:val="20"/>
          </w:rPr>
        </w:r>
        <w:r w:rsidRPr="00CB4E93">
          <w:rPr>
            <w:rFonts w:cs="Arial"/>
            <w:noProof/>
            <w:webHidden/>
            <w:sz w:val="20"/>
            <w:szCs w:val="20"/>
          </w:rPr>
          <w:fldChar w:fldCharType="separate"/>
        </w:r>
        <w:r w:rsidR="009E27E4">
          <w:rPr>
            <w:rFonts w:cs="Arial"/>
            <w:noProof/>
            <w:webHidden/>
            <w:sz w:val="20"/>
            <w:szCs w:val="20"/>
          </w:rPr>
          <w:t>62</w:t>
        </w:r>
        <w:r w:rsidRPr="00CB4E93">
          <w:rPr>
            <w:rFonts w:cs="Arial"/>
            <w:noProof/>
            <w:webHidden/>
            <w:sz w:val="20"/>
            <w:szCs w:val="20"/>
          </w:rPr>
          <w:fldChar w:fldCharType="end"/>
        </w:r>
      </w:hyperlink>
    </w:p>
    <w:p w14:paraId="74561AD7" w14:textId="136F1CB1" w:rsidR="00CB4E93" w:rsidRPr="00CB4E93" w:rsidRDefault="00CB4E93" w:rsidP="00CB4E93">
      <w:pPr>
        <w:pStyle w:val="TM4"/>
        <w:tabs>
          <w:tab w:val="right" w:leader="dot" w:pos="9062"/>
        </w:tabs>
        <w:spacing w:before="60" w:after="0" w:line="240" w:lineRule="auto"/>
        <w:contextualSpacing/>
        <w:rPr>
          <w:rFonts w:eastAsiaTheme="minorEastAsia" w:cs="Arial"/>
          <w:noProof/>
          <w:color w:val="auto"/>
          <w:sz w:val="20"/>
          <w:szCs w:val="20"/>
          <w:lang w:eastAsia="fr-FR"/>
        </w:rPr>
      </w:pPr>
      <w:hyperlink w:anchor="_Toc52869622" w:history="1">
        <w:r w:rsidRPr="00CB4E93">
          <w:rPr>
            <w:rStyle w:val="Lienhypertexte"/>
            <w:rFonts w:cs="Arial"/>
            <w:noProof/>
            <w:sz w:val="20"/>
            <w:szCs w:val="20"/>
          </w:rPr>
          <w:t>3.1.1.8.  Végétation</w:t>
        </w:r>
        <w:r w:rsidRPr="00CB4E93">
          <w:rPr>
            <w:rFonts w:cs="Arial"/>
            <w:noProof/>
            <w:webHidden/>
            <w:sz w:val="20"/>
            <w:szCs w:val="20"/>
          </w:rPr>
          <w:tab/>
        </w:r>
        <w:r w:rsidRPr="00CB4E93">
          <w:rPr>
            <w:rFonts w:cs="Arial"/>
            <w:noProof/>
            <w:webHidden/>
            <w:sz w:val="20"/>
            <w:szCs w:val="20"/>
          </w:rPr>
          <w:fldChar w:fldCharType="begin"/>
        </w:r>
        <w:r w:rsidRPr="00CB4E93">
          <w:rPr>
            <w:rFonts w:cs="Arial"/>
            <w:noProof/>
            <w:webHidden/>
            <w:sz w:val="20"/>
            <w:szCs w:val="20"/>
          </w:rPr>
          <w:instrText xml:space="preserve"> PAGEREF _Toc52869622 \h </w:instrText>
        </w:r>
        <w:r w:rsidRPr="00CB4E93">
          <w:rPr>
            <w:rFonts w:cs="Arial"/>
            <w:noProof/>
            <w:webHidden/>
            <w:sz w:val="20"/>
            <w:szCs w:val="20"/>
          </w:rPr>
        </w:r>
        <w:r w:rsidRPr="00CB4E93">
          <w:rPr>
            <w:rFonts w:cs="Arial"/>
            <w:noProof/>
            <w:webHidden/>
            <w:sz w:val="20"/>
            <w:szCs w:val="20"/>
          </w:rPr>
          <w:fldChar w:fldCharType="separate"/>
        </w:r>
        <w:r w:rsidR="009E27E4">
          <w:rPr>
            <w:rFonts w:cs="Arial"/>
            <w:noProof/>
            <w:webHidden/>
            <w:sz w:val="20"/>
            <w:szCs w:val="20"/>
          </w:rPr>
          <w:t>64</w:t>
        </w:r>
        <w:r w:rsidRPr="00CB4E93">
          <w:rPr>
            <w:rFonts w:cs="Arial"/>
            <w:noProof/>
            <w:webHidden/>
            <w:sz w:val="20"/>
            <w:szCs w:val="20"/>
          </w:rPr>
          <w:fldChar w:fldCharType="end"/>
        </w:r>
      </w:hyperlink>
    </w:p>
    <w:p w14:paraId="26509D7F" w14:textId="7B6FB671" w:rsidR="00CB4E93" w:rsidRPr="00CB4E93" w:rsidRDefault="00CB4E93" w:rsidP="00CB4E93">
      <w:pPr>
        <w:pStyle w:val="TM4"/>
        <w:tabs>
          <w:tab w:val="right" w:leader="dot" w:pos="9062"/>
        </w:tabs>
        <w:spacing w:before="60" w:after="0" w:line="240" w:lineRule="auto"/>
        <w:contextualSpacing/>
        <w:rPr>
          <w:rFonts w:eastAsiaTheme="minorEastAsia" w:cs="Arial"/>
          <w:noProof/>
          <w:color w:val="auto"/>
          <w:sz w:val="20"/>
          <w:szCs w:val="20"/>
          <w:lang w:eastAsia="fr-FR"/>
        </w:rPr>
      </w:pPr>
      <w:hyperlink w:anchor="_Toc52869623" w:history="1">
        <w:r w:rsidRPr="00CB4E93">
          <w:rPr>
            <w:rStyle w:val="Lienhypertexte"/>
            <w:rFonts w:cs="Arial"/>
            <w:noProof/>
            <w:sz w:val="20"/>
            <w:szCs w:val="20"/>
          </w:rPr>
          <w:t>3.1.1.9.   Champs et jachères</w:t>
        </w:r>
        <w:r w:rsidRPr="00CB4E93">
          <w:rPr>
            <w:rFonts w:cs="Arial"/>
            <w:noProof/>
            <w:webHidden/>
            <w:sz w:val="20"/>
            <w:szCs w:val="20"/>
          </w:rPr>
          <w:tab/>
        </w:r>
        <w:r w:rsidRPr="00CB4E93">
          <w:rPr>
            <w:rFonts w:cs="Arial"/>
            <w:noProof/>
            <w:webHidden/>
            <w:sz w:val="20"/>
            <w:szCs w:val="20"/>
          </w:rPr>
          <w:fldChar w:fldCharType="begin"/>
        </w:r>
        <w:r w:rsidRPr="00CB4E93">
          <w:rPr>
            <w:rFonts w:cs="Arial"/>
            <w:noProof/>
            <w:webHidden/>
            <w:sz w:val="20"/>
            <w:szCs w:val="20"/>
          </w:rPr>
          <w:instrText xml:space="preserve"> PAGEREF _Toc52869623 \h </w:instrText>
        </w:r>
        <w:r w:rsidRPr="00CB4E93">
          <w:rPr>
            <w:rFonts w:cs="Arial"/>
            <w:noProof/>
            <w:webHidden/>
            <w:sz w:val="20"/>
            <w:szCs w:val="20"/>
          </w:rPr>
        </w:r>
        <w:r w:rsidRPr="00CB4E93">
          <w:rPr>
            <w:rFonts w:cs="Arial"/>
            <w:noProof/>
            <w:webHidden/>
            <w:sz w:val="20"/>
            <w:szCs w:val="20"/>
          </w:rPr>
          <w:fldChar w:fldCharType="separate"/>
        </w:r>
        <w:r w:rsidR="009E27E4">
          <w:rPr>
            <w:rFonts w:cs="Arial"/>
            <w:noProof/>
            <w:webHidden/>
            <w:sz w:val="20"/>
            <w:szCs w:val="20"/>
          </w:rPr>
          <w:t>66</w:t>
        </w:r>
        <w:r w:rsidRPr="00CB4E93">
          <w:rPr>
            <w:rFonts w:cs="Arial"/>
            <w:noProof/>
            <w:webHidden/>
            <w:sz w:val="20"/>
            <w:szCs w:val="20"/>
          </w:rPr>
          <w:fldChar w:fldCharType="end"/>
        </w:r>
      </w:hyperlink>
    </w:p>
    <w:p w14:paraId="7DB6E07B" w14:textId="126DA06B" w:rsidR="00CB4E93" w:rsidRPr="00CB4E93" w:rsidRDefault="00CB4E93" w:rsidP="00CB4E93">
      <w:pPr>
        <w:pStyle w:val="TM4"/>
        <w:tabs>
          <w:tab w:val="right" w:leader="dot" w:pos="9062"/>
        </w:tabs>
        <w:spacing w:before="60" w:after="0" w:line="240" w:lineRule="auto"/>
        <w:contextualSpacing/>
        <w:rPr>
          <w:rFonts w:eastAsiaTheme="minorEastAsia" w:cs="Arial"/>
          <w:noProof/>
          <w:color w:val="auto"/>
          <w:sz w:val="20"/>
          <w:szCs w:val="20"/>
          <w:lang w:eastAsia="fr-FR"/>
        </w:rPr>
      </w:pPr>
      <w:hyperlink w:anchor="_Toc52869624" w:history="1">
        <w:r w:rsidRPr="00CB4E93">
          <w:rPr>
            <w:rStyle w:val="Lienhypertexte"/>
            <w:rFonts w:cs="Arial"/>
            <w:noProof/>
            <w:sz w:val="20"/>
            <w:szCs w:val="20"/>
          </w:rPr>
          <w:t>3.1.1.10.   Aire protégée et forêt de galerie</w:t>
        </w:r>
        <w:r w:rsidRPr="00CB4E93">
          <w:rPr>
            <w:rFonts w:cs="Arial"/>
            <w:noProof/>
            <w:webHidden/>
            <w:sz w:val="20"/>
            <w:szCs w:val="20"/>
          </w:rPr>
          <w:tab/>
        </w:r>
        <w:r w:rsidRPr="00CB4E93">
          <w:rPr>
            <w:rFonts w:cs="Arial"/>
            <w:noProof/>
            <w:webHidden/>
            <w:sz w:val="20"/>
            <w:szCs w:val="20"/>
          </w:rPr>
          <w:fldChar w:fldCharType="begin"/>
        </w:r>
        <w:r w:rsidRPr="00CB4E93">
          <w:rPr>
            <w:rFonts w:cs="Arial"/>
            <w:noProof/>
            <w:webHidden/>
            <w:sz w:val="20"/>
            <w:szCs w:val="20"/>
          </w:rPr>
          <w:instrText xml:space="preserve"> PAGEREF _Toc52869624 \h </w:instrText>
        </w:r>
        <w:r w:rsidRPr="00CB4E93">
          <w:rPr>
            <w:rFonts w:cs="Arial"/>
            <w:noProof/>
            <w:webHidden/>
            <w:sz w:val="20"/>
            <w:szCs w:val="20"/>
          </w:rPr>
        </w:r>
        <w:r w:rsidRPr="00CB4E93">
          <w:rPr>
            <w:rFonts w:cs="Arial"/>
            <w:noProof/>
            <w:webHidden/>
            <w:sz w:val="20"/>
            <w:szCs w:val="20"/>
          </w:rPr>
          <w:fldChar w:fldCharType="separate"/>
        </w:r>
        <w:r w:rsidR="009E27E4">
          <w:rPr>
            <w:rFonts w:cs="Arial"/>
            <w:noProof/>
            <w:webHidden/>
            <w:sz w:val="20"/>
            <w:szCs w:val="20"/>
          </w:rPr>
          <w:t>66</w:t>
        </w:r>
        <w:r w:rsidRPr="00CB4E93">
          <w:rPr>
            <w:rFonts w:cs="Arial"/>
            <w:noProof/>
            <w:webHidden/>
            <w:sz w:val="20"/>
            <w:szCs w:val="20"/>
          </w:rPr>
          <w:fldChar w:fldCharType="end"/>
        </w:r>
      </w:hyperlink>
    </w:p>
    <w:p w14:paraId="6BCEDC98" w14:textId="00826A0D" w:rsidR="00CB4E93" w:rsidRPr="00CB4E93" w:rsidRDefault="00CB4E93" w:rsidP="00CB4E93">
      <w:pPr>
        <w:pStyle w:val="TM4"/>
        <w:tabs>
          <w:tab w:val="right" w:leader="dot" w:pos="9062"/>
        </w:tabs>
        <w:spacing w:before="60" w:after="0" w:line="240" w:lineRule="auto"/>
        <w:contextualSpacing/>
        <w:rPr>
          <w:rFonts w:eastAsiaTheme="minorEastAsia" w:cs="Arial"/>
          <w:noProof/>
          <w:color w:val="auto"/>
          <w:sz w:val="20"/>
          <w:szCs w:val="20"/>
          <w:lang w:eastAsia="fr-FR"/>
        </w:rPr>
      </w:pPr>
      <w:hyperlink w:anchor="_Toc52869625" w:history="1">
        <w:r w:rsidRPr="00CB4E93">
          <w:rPr>
            <w:rStyle w:val="Lienhypertexte"/>
            <w:rFonts w:cs="Arial"/>
            <w:noProof/>
            <w:sz w:val="20"/>
            <w:szCs w:val="20"/>
          </w:rPr>
          <w:t xml:space="preserve">3.1.1.11 </w:t>
        </w:r>
        <w:r w:rsidRPr="00CB4E93">
          <w:rPr>
            <w:rStyle w:val="Lienhypertexte"/>
            <w:rFonts w:cs="Arial"/>
            <w:bCs/>
            <w:noProof/>
            <w:sz w:val="20"/>
            <w:szCs w:val="20"/>
          </w:rPr>
          <w:t>Faune</w:t>
        </w:r>
        <w:r w:rsidRPr="00CB4E93">
          <w:rPr>
            <w:rFonts w:cs="Arial"/>
            <w:noProof/>
            <w:webHidden/>
            <w:sz w:val="20"/>
            <w:szCs w:val="20"/>
          </w:rPr>
          <w:tab/>
        </w:r>
        <w:r w:rsidRPr="00CB4E93">
          <w:rPr>
            <w:rFonts w:cs="Arial"/>
            <w:noProof/>
            <w:webHidden/>
            <w:sz w:val="20"/>
            <w:szCs w:val="20"/>
          </w:rPr>
          <w:fldChar w:fldCharType="begin"/>
        </w:r>
        <w:r w:rsidRPr="00CB4E93">
          <w:rPr>
            <w:rFonts w:cs="Arial"/>
            <w:noProof/>
            <w:webHidden/>
            <w:sz w:val="20"/>
            <w:szCs w:val="20"/>
          </w:rPr>
          <w:instrText xml:space="preserve"> PAGEREF _Toc52869625 \h </w:instrText>
        </w:r>
        <w:r w:rsidRPr="00CB4E93">
          <w:rPr>
            <w:rFonts w:cs="Arial"/>
            <w:noProof/>
            <w:webHidden/>
            <w:sz w:val="20"/>
            <w:szCs w:val="20"/>
          </w:rPr>
        </w:r>
        <w:r w:rsidRPr="00CB4E93">
          <w:rPr>
            <w:rFonts w:cs="Arial"/>
            <w:noProof/>
            <w:webHidden/>
            <w:sz w:val="20"/>
            <w:szCs w:val="20"/>
          </w:rPr>
          <w:fldChar w:fldCharType="separate"/>
        </w:r>
        <w:r w:rsidR="009E27E4">
          <w:rPr>
            <w:rFonts w:cs="Arial"/>
            <w:noProof/>
            <w:webHidden/>
            <w:sz w:val="20"/>
            <w:szCs w:val="20"/>
          </w:rPr>
          <w:t>66</w:t>
        </w:r>
        <w:r w:rsidRPr="00CB4E93">
          <w:rPr>
            <w:rFonts w:cs="Arial"/>
            <w:noProof/>
            <w:webHidden/>
            <w:sz w:val="20"/>
            <w:szCs w:val="20"/>
          </w:rPr>
          <w:fldChar w:fldCharType="end"/>
        </w:r>
      </w:hyperlink>
    </w:p>
    <w:p w14:paraId="79F1B49E" w14:textId="5F1130F3" w:rsidR="00CB4E93" w:rsidRPr="00CB4E93" w:rsidRDefault="00CB4E93" w:rsidP="00CB4E93">
      <w:pPr>
        <w:pStyle w:val="TM3"/>
        <w:tabs>
          <w:tab w:val="right" w:leader="dot" w:pos="9062"/>
        </w:tabs>
        <w:spacing w:before="60" w:after="0" w:line="240" w:lineRule="auto"/>
        <w:contextualSpacing/>
        <w:rPr>
          <w:rFonts w:eastAsiaTheme="minorEastAsia" w:cs="Arial"/>
          <w:noProof/>
          <w:color w:val="auto"/>
          <w:sz w:val="20"/>
          <w:szCs w:val="20"/>
          <w:lang w:eastAsia="fr-FR"/>
        </w:rPr>
      </w:pPr>
      <w:hyperlink w:anchor="_Toc52869626" w:history="1">
        <w:r w:rsidRPr="00CB4E93">
          <w:rPr>
            <w:rStyle w:val="Lienhypertexte"/>
            <w:rFonts w:cs="Arial"/>
            <w:noProof/>
            <w:sz w:val="20"/>
            <w:szCs w:val="20"/>
          </w:rPr>
          <w:t>3.1.2. Milieu humain</w:t>
        </w:r>
        <w:r w:rsidRPr="00CB4E93">
          <w:rPr>
            <w:rFonts w:cs="Arial"/>
            <w:noProof/>
            <w:webHidden/>
            <w:sz w:val="20"/>
            <w:szCs w:val="20"/>
          </w:rPr>
          <w:tab/>
        </w:r>
        <w:r w:rsidRPr="00CB4E93">
          <w:rPr>
            <w:rFonts w:cs="Arial"/>
            <w:noProof/>
            <w:webHidden/>
            <w:sz w:val="20"/>
            <w:szCs w:val="20"/>
          </w:rPr>
          <w:fldChar w:fldCharType="begin"/>
        </w:r>
        <w:r w:rsidRPr="00CB4E93">
          <w:rPr>
            <w:rFonts w:cs="Arial"/>
            <w:noProof/>
            <w:webHidden/>
            <w:sz w:val="20"/>
            <w:szCs w:val="20"/>
          </w:rPr>
          <w:instrText xml:space="preserve"> PAGEREF _Toc52869626 \h </w:instrText>
        </w:r>
        <w:r w:rsidRPr="00CB4E93">
          <w:rPr>
            <w:rFonts w:cs="Arial"/>
            <w:noProof/>
            <w:webHidden/>
            <w:sz w:val="20"/>
            <w:szCs w:val="20"/>
          </w:rPr>
        </w:r>
        <w:r w:rsidRPr="00CB4E93">
          <w:rPr>
            <w:rFonts w:cs="Arial"/>
            <w:noProof/>
            <w:webHidden/>
            <w:sz w:val="20"/>
            <w:szCs w:val="20"/>
          </w:rPr>
          <w:fldChar w:fldCharType="separate"/>
        </w:r>
        <w:r w:rsidR="009E27E4">
          <w:rPr>
            <w:rFonts w:cs="Arial"/>
            <w:noProof/>
            <w:webHidden/>
            <w:sz w:val="20"/>
            <w:szCs w:val="20"/>
          </w:rPr>
          <w:t>66</w:t>
        </w:r>
        <w:r w:rsidRPr="00CB4E93">
          <w:rPr>
            <w:rFonts w:cs="Arial"/>
            <w:noProof/>
            <w:webHidden/>
            <w:sz w:val="20"/>
            <w:szCs w:val="20"/>
          </w:rPr>
          <w:fldChar w:fldCharType="end"/>
        </w:r>
      </w:hyperlink>
    </w:p>
    <w:p w14:paraId="48AB05E9" w14:textId="75F5AB4E" w:rsidR="00CB4E93" w:rsidRPr="00CB4E93" w:rsidRDefault="00CB4E93" w:rsidP="00CB4E93">
      <w:pPr>
        <w:pStyle w:val="TM4"/>
        <w:tabs>
          <w:tab w:val="right" w:leader="dot" w:pos="9062"/>
        </w:tabs>
        <w:spacing w:before="60" w:after="0" w:line="240" w:lineRule="auto"/>
        <w:contextualSpacing/>
        <w:rPr>
          <w:rFonts w:eastAsiaTheme="minorEastAsia" w:cs="Arial"/>
          <w:noProof/>
          <w:color w:val="auto"/>
          <w:sz w:val="20"/>
          <w:szCs w:val="20"/>
          <w:lang w:eastAsia="fr-FR"/>
        </w:rPr>
      </w:pPr>
      <w:hyperlink w:anchor="_Toc52869627" w:history="1">
        <w:r w:rsidRPr="00CB4E93">
          <w:rPr>
            <w:rStyle w:val="Lienhypertexte"/>
            <w:rFonts w:cs="Arial"/>
            <w:noProof/>
            <w:sz w:val="20"/>
            <w:szCs w:val="20"/>
          </w:rPr>
          <w:t>3.1.2.1 Caractéristiques démographiques de la ville de Natitingou</w:t>
        </w:r>
        <w:r w:rsidRPr="00CB4E93">
          <w:rPr>
            <w:rFonts w:cs="Arial"/>
            <w:noProof/>
            <w:webHidden/>
            <w:sz w:val="20"/>
            <w:szCs w:val="20"/>
          </w:rPr>
          <w:tab/>
        </w:r>
        <w:r w:rsidRPr="00CB4E93">
          <w:rPr>
            <w:rFonts w:cs="Arial"/>
            <w:noProof/>
            <w:webHidden/>
            <w:sz w:val="20"/>
            <w:szCs w:val="20"/>
          </w:rPr>
          <w:fldChar w:fldCharType="begin"/>
        </w:r>
        <w:r w:rsidRPr="00CB4E93">
          <w:rPr>
            <w:rFonts w:cs="Arial"/>
            <w:noProof/>
            <w:webHidden/>
            <w:sz w:val="20"/>
            <w:szCs w:val="20"/>
          </w:rPr>
          <w:instrText xml:space="preserve"> PAGEREF _Toc52869627 \h </w:instrText>
        </w:r>
        <w:r w:rsidRPr="00CB4E93">
          <w:rPr>
            <w:rFonts w:cs="Arial"/>
            <w:noProof/>
            <w:webHidden/>
            <w:sz w:val="20"/>
            <w:szCs w:val="20"/>
          </w:rPr>
        </w:r>
        <w:r w:rsidRPr="00CB4E93">
          <w:rPr>
            <w:rFonts w:cs="Arial"/>
            <w:noProof/>
            <w:webHidden/>
            <w:sz w:val="20"/>
            <w:szCs w:val="20"/>
          </w:rPr>
          <w:fldChar w:fldCharType="separate"/>
        </w:r>
        <w:r w:rsidR="009E27E4">
          <w:rPr>
            <w:rFonts w:cs="Arial"/>
            <w:noProof/>
            <w:webHidden/>
            <w:sz w:val="20"/>
            <w:szCs w:val="20"/>
          </w:rPr>
          <w:t>66</w:t>
        </w:r>
        <w:r w:rsidRPr="00CB4E93">
          <w:rPr>
            <w:rFonts w:cs="Arial"/>
            <w:noProof/>
            <w:webHidden/>
            <w:sz w:val="20"/>
            <w:szCs w:val="20"/>
          </w:rPr>
          <w:fldChar w:fldCharType="end"/>
        </w:r>
      </w:hyperlink>
    </w:p>
    <w:p w14:paraId="640EA6DD" w14:textId="2BB29D0B" w:rsidR="00CB4E93" w:rsidRPr="00CB4E93" w:rsidRDefault="00CB4E93" w:rsidP="00CB4E93">
      <w:pPr>
        <w:pStyle w:val="TM4"/>
        <w:tabs>
          <w:tab w:val="right" w:leader="dot" w:pos="9062"/>
        </w:tabs>
        <w:spacing w:before="60" w:after="0" w:line="240" w:lineRule="auto"/>
        <w:contextualSpacing/>
        <w:rPr>
          <w:rFonts w:eastAsiaTheme="minorEastAsia" w:cs="Arial"/>
          <w:noProof/>
          <w:color w:val="auto"/>
          <w:sz w:val="20"/>
          <w:szCs w:val="20"/>
          <w:lang w:eastAsia="fr-FR"/>
        </w:rPr>
      </w:pPr>
      <w:hyperlink w:anchor="_Toc52869628" w:history="1">
        <w:r w:rsidRPr="00CB4E93">
          <w:rPr>
            <w:rStyle w:val="Lienhypertexte"/>
            <w:rFonts w:cs="Arial"/>
            <w:noProof/>
            <w:sz w:val="20"/>
            <w:szCs w:val="20"/>
          </w:rPr>
          <w:t>3.1.2.2   Milieu socioéconomique dans la ville de Natitingou</w:t>
        </w:r>
        <w:r w:rsidRPr="00CB4E93">
          <w:rPr>
            <w:rFonts w:cs="Arial"/>
            <w:noProof/>
            <w:webHidden/>
            <w:sz w:val="20"/>
            <w:szCs w:val="20"/>
          </w:rPr>
          <w:tab/>
        </w:r>
        <w:r w:rsidRPr="00CB4E93">
          <w:rPr>
            <w:rFonts w:cs="Arial"/>
            <w:noProof/>
            <w:webHidden/>
            <w:sz w:val="20"/>
            <w:szCs w:val="20"/>
          </w:rPr>
          <w:fldChar w:fldCharType="begin"/>
        </w:r>
        <w:r w:rsidRPr="00CB4E93">
          <w:rPr>
            <w:rFonts w:cs="Arial"/>
            <w:noProof/>
            <w:webHidden/>
            <w:sz w:val="20"/>
            <w:szCs w:val="20"/>
          </w:rPr>
          <w:instrText xml:space="preserve"> PAGEREF _Toc52869628 \h </w:instrText>
        </w:r>
        <w:r w:rsidRPr="00CB4E93">
          <w:rPr>
            <w:rFonts w:cs="Arial"/>
            <w:noProof/>
            <w:webHidden/>
            <w:sz w:val="20"/>
            <w:szCs w:val="20"/>
          </w:rPr>
        </w:r>
        <w:r w:rsidRPr="00CB4E93">
          <w:rPr>
            <w:rFonts w:cs="Arial"/>
            <w:noProof/>
            <w:webHidden/>
            <w:sz w:val="20"/>
            <w:szCs w:val="20"/>
          </w:rPr>
          <w:fldChar w:fldCharType="separate"/>
        </w:r>
        <w:r w:rsidR="009E27E4">
          <w:rPr>
            <w:rFonts w:cs="Arial"/>
            <w:noProof/>
            <w:webHidden/>
            <w:sz w:val="20"/>
            <w:szCs w:val="20"/>
          </w:rPr>
          <w:t>68</w:t>
        </w:r>
        <w:r w:rsidRPr="00CB4E93">
          <w:rPr>
            <w:rFonts w:cs="Arial"/>
            <w:noProof/>
            <w:webHidden/>
            <w:sz w:val="20"/>
            <w:szCs w:val="20"/>
          </w:rPr>
          <w:fldChar w:fldCharType="end"/>
        </w:r>
      </w:hyperlink>
    </w:p>
    <w:p w14:paraId="212469B8" w14:textId="61CB40F4" w:rsidR="00CB4E93" w:rsidRPr="00CB4E93" w:rsidRDefault="00CB4E93" w:rsidP="00CB4E93">
      <w:pPr>
        <w:pStyle w:val="TM2"/>
        <w:contextualSpacing/>
        <w:rPr>
          <w:rFonts w:eastAsiaTheme="minorEastAsia"/>
          <w:b w:val="0"/>
          <w:i w:val="0"/>
          <w:caps w:val="0"/>
          <w:color w:val="auto"/>
        </w:rPr>
      </w:pPr>
      <w:hyperlink w:anchor="_Toc52869629" w:history="1">
        <w:r w:rsidRPr="00CB4E93">
          <w:rPr>
            <w:rStyle w:val="Lienhypertexte"/>
            <w:rFonts w:eastAsiaTheme="majorEastAsia"/>
          </w:rPr>
          <w:t>3.2 Description des milieux restreint des rues et collecteurs du Projet</w:t>
        </w:r>
        <w:r w:rsidRPr="00CB4E93">
          <w:rPr>
            <w:webHidden/>
          </w:rPr>
          <w:tab/>
        </w:r>
        <w:r w:rsidRPr="00CB4E93">
          <w:rPr>
            <w:webHidden/>
          </w:rPr>
          <w:fldChar w:fldCharType="begin"/>
        </w:r>
        <w:r w:rsidRPr="00CB4E93">
          <w:rPr>
            <w:webHidden/>
          </w:rPr>
          <w:instrText xml:space="preserve"> PAGEREF _Toc52869629 \h </w:instrText>
        </w:r>
        <w:r w:rsidRPr="00CB4E93">
          <w:rPr>
            <w:webHidden/>
          </w:rPr>
        </w:r>
        <w:r w:rsidRPr="00CB4E93">
          <w:rPr>
            <w:webHidden/>
          </w:rPr>
          <w:fldChar w:fldCharType="separate"/>
        </w:r>
        <w:r w:rsidR="009E27E4">
          <w:rPr>
            <w:webHidden/>
          </w:rPr>
          <w:t>68</w:t>
        </w:r>
        <w:r w:rsidRPr="00CB4E93">
          <w:rPr>
            <w:webHidden/>
          </w:rPr>
          <w:fldChar w:fldCharType="end"/>
        </w:r>
      </w:hyperlink>
    </w:p>
    <w:p w14:paraId="0CF86DDF" w14:textId="6B4A63D5" w:rsidR="00CB4E93" w:rsidRPr="00CB4E93" w:rsidRDefault="00CB4E93" w:rsidP="00CB4E93">
      <w:pPr>
        <w:pStyle w:val="TM3"/>
        <w:tabs>
          <w:tab w:val="right" w:leader="dot" w:pos="9062"/>
        </w:tabs>
        <w:spacing w:before="60" w:after="0" w:line="240" w:lineRule="auto"/>
        <w:contextualSpacing/>
        <w:rPr>
          <w:rFonts w:eastAsiaTheme="minorEastAsia" w:cs="Arial"/>
          <w:noProof/>
          <w:color w:val="auto"/>
          <w:sz w:val="20"/>
          <w:szCs w:val="20"/>
          <w:lang w:eastAsia="fr-FR"/>
        </w:rPr>
      </w:pPr>
      <w:hyperlink w:anchor="_Toc52869630" w:history="1">
        <w:r w:rsidRPr="00CB4E93">
          <w:rPr>
            <w:rStyle w:val="Lienhypertexte"/>
            <w:rFonts w:cs="Arial"/>
            <w:noProof/>
            <w:sz w:val="20"/>
            <w:szCs w:val="20"/>
          </w:rPr>
          <w:t>3.2.1.  Types et linéaires des ouvrages à aménager</w:t>
        </w:r>
        <w:r w:rsidRPr="00CB4E93">
          <w:rPr>
            <w:rFonts w:cs="Arial"/>
            <w:noProof/>
            <w:webHidden/>
            <w:sz w:val="20"/>
            <w:szCs w:val="20"/>
          </w:rPr>
          <w:tab/>
        </w:r>
        <w:r w:rsidRPr="00CB4E93">
          <w:rPr>
            <w:rFonts w:cs="Arial"/>
            <w:noProof/>
            <w:webHidden/>
            <w:sz w:val="20"/>
            <w:szCs w:val="20"/>
          </w:rPr>
          <w:fldChar w:fldCharType="begin"/>
        </w:r>
        <w:r w:rsidRPr="00CB4E93">
          <w:rPr>
            <w:rFonts w:cs="Arial"/>
            <w:noProof/>
            <w:webHidden/>
            <w:sz w:val="20"/>
            <w:szCs w:val="20"/>
          </w:rPr>
          <w:instrText xml:space="preserve"> PAGEREF _Toc52869630 \h </w:instrText>
        </w:r>
        <w:r w:rsidRPr="00CB4E93">
          <w:rPr>
            <w:rFonts w:cs="Arial"/>
            <w:noProof/>
            <w:webHidden/>
            <w:sz w:val="20"/>
            <w:szCs w:val="20"/>
          </w:rPr>
        </w:r>
        <w:r w:rsidRPr="00CB4E93">
          <w:rPr>
            <w:rFonts w:cs="Arial"/>
            <w:noProof/>
            <w:webHidden/>
            <w:sz w:val="20"/>
            <w:szCs w:val="20"/>
          </w:rPr>
          <w:fldChar w:fldCharType="separate"/>
        </w:r>
        <w:r w:rsidR="009E27E4">
          <w:rPr>
            <w:rFonts w:cs="Arial"/>
            <w:noProof/>
            <w:webHidden/>
            <w:sz w:val="20"/>
            <w:szCs w:val="20"/>
          </w:rPr>
          <w:t>69</w:t>
        </w:r>
        <w:r w:rsidRPr="00CB4E93">
          <w:rPr>
            <w:rFonts w:cs="Arial"/>
            <w:noProof/>
            <w:webHidden/>
            <w:sz w:val="20"/>
            <w:szCs w:val="20"/>
          </w:rPr>
          <w:fldChar w:fldCharType="end"/>
        </w:r>
      </w:hyperlink>
    </w:p>
    <w:p w14:paraId="67980B18" w14:textId="28BE97EF" w:rsidR="00CB4E93" w:rsidRPr="00CB4E93" w:rsidRDefault="00CB4E93" w:rsidP="00CB4E93">
      <w:pPr>
        <w:pStyle w:val="TM3"/>
        <w:tabs>
          <w:tab w:val="right" w:leader="dot" w:pos="9062"/>
        </w:tabs>
        <w:spacing w:before="60" w:after="0" w:line="240" w:lineRule="auto"/>
        <w:contextualSpacing/>
        <w:rPr>
          <w:rFonts w:eastAsiaTheme="minorEastAsia" w:cs="Arial"/>
          <w:noProof/>
          <w:color w:val="auto"/>
          <w:sz w:val="20"/>
          <w:szCs w:val="20"/>
          <w:lang w:eastAsia="fr-FR"/>
        </w:rPr>
      </w:pPr>
      <w:hyperlink w:anchor="_Toc52869633" w:history="1">
        <w:r w:rsidRPr="00CB4E93">
          <w:rPr>
            <w:rStyle w:val="Lienhypertexte"/>
            <w:rFonts w:cs="Arial"/>
            <w:noProof/>
            <w:sz w:val="20"/>
            <w:szCs w:val="20"/>
          </w:rPr>
          <w:t>3.2.2 Environnement biophysique</w:t>
        </w:r>
        <w:r w:rsidRPr="00CB4E93">
          <w:rPr>
            <w:rFonts w:cs="Arial"/>
            <w:noProof/>
            <w:webHidden/>
            <w:sz w:val="20"/>
            <w:szCs w:val="20"/>
          </w:rPr>
          <w:tab/>
        </w:r>
        <w:r w:rsidRPr="00CB4E93">
          <w:rPr>
            <w:rFonts w:cs="Arial"/>
            <w:noProof/>
            <w:webHidden/>
            <w:sz w:val="20"/>
            <w:szCs w:val="20"/>
          </w:rPr>
          <w:fldChar w:fldCharType="begin"/>
        </w:r>
        <w:r w:rsidRPr="00CB4E93">
          <w:rPr>
            <w:rFonts w:cs="Arial"/>
            <w:noProof/>
            <w:webHidden/>
            <w:sz w:val="20"/>
            <w:szCs w:val="20"/>
          </w:rPr>
          <w:instrText xml:space="preserve"> PAGEREF _Toc52869633 \h </w:instrText>
        </w:r>
        <w:r w:rsidRPr="00CB4E93">
          <w:rPr>
            <w:rFonts w:cs="Arial"/>
            <w:noProof/>
            <w:webHidden/>
            <w:sz w:val="20"/>
            <w:szCs w:val="20"/>
          </w:rPr>
        </w:r>
        <w:r w:rsidRPr="00CB4E93">
          <w:rPr>
            <w:rFonts w:cs="Arial"/>
            <w:noProof/>
            <w:webHidden/>
            <w:sz w:val="20"/>
            <w:szCs w:val="20"/>
          </w:rPr>
          <w:fldChar w:fldCharType="separate"/>
        </w:r>
        <w:r w:rsidR="009E27E4">
          <w:rPr>
            <w:rFonts w:cs="Arial"/>
            <w:noProof/>
            <w:webHidden/>
            <w:sz w:val="20"/>
            <w:szCs w:val="20"/>
          </w:rPr>
          <w:t>70</w:t>
        </w:r>
        <w:r w:rsidRPr="00CB4E93">
          <w:rPr>
            <w:rFonts w:cs="Arial"/>
            <w:noProof/>
            <w:webHidden/>
            <w:sz w:val="20"/>
            <w:szCs w:val="20"/>
          </w:rPr>
          <w:fldChar w:fldCharType="end"/>
        </w:r>
      </w:hyperlink>
    </w:p>
    <w:p w14:paraId="4EEE8530" w14:textId="0C4D34B1" w:rsidR="00CB4E93" w:rsidRPr="00CB4E93" w:rsidRDefault="00CB4E93" w:rsidP="00CB4E93">
      <w:pPr>
        <w:pStyle w:val="TM4"/>
        <w:tabs>
          <w:tab w:val="right" w:leader="dot" w:pos="9062"/>
        </w:tabs>
        <w:spacing w:before="60" w:after="0" w:line="240" w:lineRule="auto"/>
        <w:contextualSpacing/>
        <w:rPr>
          <w:rFonts w:eastAsiaTheme="minorEastAsia" w:cs="Arial"/>
          <w:noProof/>
          <w:color w:val="auto"/>
          <w:sz w:val="20"/>
          <w:szCs w:val="20"/>
          <w:lang w:eastAsia="fr-FR"/>
        </w:rPr>
      </w:pPr>
      <w:hyperlink w:anchor="_Toc52869634" w:history="1">
        <w:r w:rsidRPr="00CB4E93">
          <w:rPr>
            <w:rStyle w:val="Lienhypertexte"/>
            <w:rFonts w:cs="Arial"/>
            <w:noProof/>
            <w:sz w:val="20"/>
            <w:szCs w:val="20"/>
          </w:rPr>
          <w:t>3.2.2.1. CANAL A (rivière Fourigninkèrè)</w:t>
        </w:r>
        <w:r w:rsidRPr="00CB4E93">
          <w:rPr>
            <w:rFonts w:cs="Arial"/>
            <w:noProof/>
            <w:webHidden/>
            <w:sz w:val="20"/>
            <w:szCs w:val="20"/>
          </w:rPr>
          <w:tab/>
        </w:r>
        <w:r w:rsidRPr="00CB4E93">
          <w:rPr>
            <w:rFonts w:cs="Arial"/>
            <w:noProof/>
            <w:webHidden/>
            <w:sz w:val="20"/>
            <w:szCs w:val="20"/>
          </w:rPr>
          <w:fldChar w:fldCharType="begin"/>
        </w:r>
        <w:r w:rsidRPr="00CB4E93">
          <w:rPr>
            <w:rFonts w:cs="Arial"/>
            <w:noProof/>
            <w:webHidden/>
            <w:sz w:val="20"/>
            <w:szCs w:val="20"/>
          </w:rPr>
          <w:instrText xml:space="preserve"> PAGEREF _Toc52869634 \h </w:instrText>
        </w:r>
        <w:r w:rsidRPr="00CB4E93">
          <w:rPr>
            <w:rFonts w:cs="Arial"/>
            <w:noProof/>
            <w:webHidden/>
            <w:sz w:val="20"/>
            <w:szCs w:val="20"/>
          </w:rPr>
        </w:r>
        <w:r w:rsidRPr="00CB4E93">
          <w:rPr>
            <w:rFonts w:cs="Arial"/>
            <w:noProof/>
            <w:webHidden/>
            <w:sz w:val="20"/>
            <w:szCs w:val="20"/>
          </w:rPr>
          <w:fldChar w:fldCharType="separate"/>
        </w:r>
        <w:r w:rsidR="009E27E4">
          <w:rPr>
            <w:rFonts w:cs="Arial"/>
            <w:noProof/>
            <w:webHidden/>
            <w:sz w:val="20"/>
            <w:szCs w:val="20"/>
          </w:rPr>
          <w:t>73</w:t>
        </w:r>
        <w:r w:rsidRPr="00CB4E93">
          <w:rPr>
            <w:rFonts w:cs="Arial"/>
            <w:noProof/>
            <w:webHidden/>
            <w:sz w:val="20"/>
            <w:szCs w:val="20"/>
          </w:rPr>
          <w:fldChar w:fldCharType="end"/>
        </w:r>
      </w:hyperlink>
    </w:p>
    <w:p w14:paraId="2F786ABD" w14:textId="3D415FB8" w:rsidR="00CB4E93" w:rsidRPr="00CB4E93" w:rsidRDefault="00CB4E93" w:rsidP="00CB4E93">
      <w:pPr>
        <w:pStyle w:val="TM4"/>
        <w:tabs>
          <w:tab w:val="right" w:leader="dot" w:pos="9062"/>
        </w:tabs>
        <w:spacing w:before="60" w:after="0" w:line="240" w:lineRule="auto"/>
        <w:contextualSpacing/>
        <w:rPr>
          <w:rFonts w:eastAsiaTheme="minorEastAsia" w:cs="Arial"/>
          <w:noProof/>
          <w:color w:val="auto"/>
          <w:sz w:val="20"/>
          <w:szCs w:val="20"/>
          <w:lang w:eastAsia="fr-FR"/>
        </w:rPr>
      </w:pPr>
      <w:hyperlink w:anchor="_Toc52869635" w:history="1">
        <w:r w:rsidRPr="00CB4E93">
          <w:rPr>
            <w:rStyle w:val="Lienhypertexte"/>
            <w:rFonts w:cs="Arial"/>
            <w:noProof/>
            <w:sz w:val="20"/>
            <w:szCs w:val="20"/>
          </w:rPr>
          <w:t>3.2.2.2. CANAL B (rivière Waadata)</w:t>
        </w:r>
        <w:r w:rsidRPr="00CB4E93">
          <w:rPr>
            <w:rFonts w:cs="Arial"/>
            <w:noProof/>
            <w:webHidden/>
            <w:sz w:val="20"/>
            <w:szCs w:val="20"/>
          </w:rPr>
          <w:tab/>
        </w:r>
        <w:r w:rsidRPr="00CB4E93">
          <w:rPr>
            <w:rFonts w:cs="Arial"/>
            <w:noProof/>
            <w:webHidden/>
            <w:sz w:val="20"/>
            <w:szCs w:val="20"/>
          </w:rPr>
          <w:fldChar w:fldCharType="begin"/>
        </w:r>
        <w:r w:rsidRPr="00CB4E93">
          <w:rPr>
            <w:rFonts w:cs="Arial"/>
            <w:noProof/>
            <w:webHidden/>
            <w:sz w:val="20"/>
            <w:szCs w:val="20"/>
          </w:rPr>
          <w:instrText xml:space="preserve"> PAGEREF _Toc52869635 \h </w:instrText>
        </w:r>
        <w:r w:rsidRPr="00CB4E93">
          <w:rPr>
            <w:rFonts w:cs="Arial"/>
            <w:noProof/>
            <w:webHidden/>
            <w:sz w:val="20"/>
            <w:szCs w:val="20"/>
          </w:rPr>
        </w:r>
        <w:r w:rsidRPr="00CB4E93">
          <w:rPr>
            <w:rFonts w:cs="Arial"/>
            <w:noProof/>
            <w:webHidden/>
            <w:sz w:val="20"/>
            <w:szCs w:val="20"/>
          </w:rPr>
          <w:fldChar w:fldCharType="separate"/>
        </w:r>
        <w:r w:rsidR="009E27E4">
          <w:rPr>
            <w:rFonts w:cs="Arial"/>
            <w:noProof/>
            <w:webHidden/>
            <w:sz w:val="20"/>
            <w:szCs w:val="20"/>
          </w:rPr>
          <w:t>74</w:t>
        </w:r>
        <w:r w:rsidRPr="00CB4E93">
          <w:rPr>
            <w:rFonts w:cs="Arial"/>
            <w:noProof/>
            <w:webHidden/>
            <w:sz w:val="20"/>
            <w:szCs w:val="20"/>
          </w:rPr>
          <w:fldChar w:fldCharType="end"/>
        </w:r>
      </w:hyperlink>
    </w:p>
    <w:p w14:paraId="39A3A881" w14:textId="32D3DB16" w:rsidR="00CB4E93" w:rsidRPr="00CB4E93" w:rsidRDefault="00CB4E93" w:rsidP="00CB4E93">
      <w:pPr>
        <w:pStyle w:val="TM3"/>
        <w:tabs>
          <w:tab w:val="right" w:leader="dot" w:pos="9062"/>
        </w:tabs>
        <w:spacing w:before="60" w:after="0" w:line="240" w:lineRule="auto"/>
        <w:contextualSpacing/>
        <w:rPr>
          <w:rFonts w:eastAsiaTheme="minorEastAsia" w:cs="Arial"/>
          <w:noProof/>
          <w:color w:val="auto"/>
          <w:sz w:val="20"/>
          <w:szCs w:val="20"/>
          <w:lang w:eastAsia="fr-FR"/>
        </w:rPr>
      </w:pPr>
      <w:hyperlink w:anchor="_Toc52869636" w:history="1">
        <w:r w:rsidRPr="00CB4E93">
          <w:rPr>
            <w:rStyle w:val="Lienhypertexte"/>
            <w:rFonts w:cs="Arial"/>
            <w:noProof/>
            <w:sz w:val="20"/>
            <w:szCs w:val="20"/>
          </w:rPr>
          <w:t>3.2.4. Données socioéconomiques autour des rues et collecteurs concernées</w:t>
        </w:r>
        <w:r w:rsidRPr="00CB4E93">
          <w:rPr>
            <w:rFonts w:cs="Arial"/>
            <w:noProof/>
            <w:webHidden/>
            <w:sz w:val="20"/>
            <w:szCs w:val="20"/>
          </w:rPr>
          <w:tab/>
        </w:r>
        <w:r w:rsidRPr="00CB4E93">
          <w:rPr>
            <w:rFonts w:cs="Arial"/>
            <w:noProof/>
            <w:webHidden/>
            <w:sz w:val="20"/>
            <w:szCs w:val="20"/>
          </w:rPr>
          <w:fldChar w:fldCharType="begin"/>
        </w:r>
        <w:r w:rsidRPr="00CB4E93">
          <w:rPr>
            <w:rFonts w:cs="Arial"/>
            <w:noProof/>
            <w:webHidden/>
            <w:sz w:val="20"/>
            <w:szCs w:val="20"/>
          </w:rPr>
          <w:instrText xml:space="preserve"> PAGEREF _Toc52869636 \h </w:instrText>
        </w:r>
        <w:r w:rsidRPr="00CB4E93">
          <w:rPr>
            <w:rFonts w:cs="Arial"/>
            <w:noProof/>
            <w:webHidden/>
            <w:sz w:val="20"/>
            <w:szCs w:val="20"/>
          </w:rPr>
        </w:r>
        <w:r w:rsidRPr="00CB4E93">
          <w:rPr>
            <w:rFonts w:cs="Arial"/>
            <w:noProof/>
            <w:webHidden/>
            <w:sz w:val="20"/>
            <w:szCs w:val="20"/>
          </w:rPr>
          <w:fldChar w:fldCharType="separate"/>
        </w:r>
        <w:r w:rsidR="009E27E4">
          <w:rPr>
            <w:rFonts w:cs="Arial"/>
            <w:noProof/>
            <w:webHidden/>
            <w:sz w:val="20"/>
            <w:szCs w:val="20"/>
          </w:rPr>
          <w:t>79</w:t>
        </w:r>
        <w:r w:rsidRPr="00CB4E93">
          <w:rPr>
            <w:rFonts w:cs="Arial"/>
            <w:noProof/>
            <w:webHidden/>
            <w:sz w:val="20"/>
            <w:szCs w:val="20"/>
          </w:rPr>
          <w:fldChar w:fldCharType="end"/>
        </w:r>
      </w:hyperlink>
    </w:p>
    <w:p w14:paraId="56844084" w14:textId="0B3AC4CE" w:rsidR="00CB4E93" w:rsidRPr="00CB4E93" w:rsidRDefault="00CB4E93" w:rsidP="00CB4E93">
      <w:pPr>
        <w:pStyle w:val="TM4"/>
        <w:tabs>
          <w:tab w:val="right" w:leader="dot" w:pos="9062"/>
        </w:tabs>
        <w:spacing w:before="60" w:after="0" w:line="240" w:lineRule="auto"/>
        <w:contextualSpacing/>
        <w:rPr>
          <w:rFonts w:eastAsiaTheme="minorEastAsia" w:cs="Arial"/>
          <w:noProof/>
          <w:color w:val="auto"/>
          <w:sz w:val="20"/>
          <w:szCs w:val="20"/>
          <w:lang w:eastAsia="fr-FR"/>
        </w:rPr>
      </w:pPr>
      <w:hyperlink w:anchor="_Toc52869637" w:history="1">
        <w:r w:rsidRPr="00CB4E93">
          <w:rPr>
            <w:rStyle w:val="Lienhypertexte"/>
            <w:rFonts w:cs="Arial"/>
            <w:noProof/>
            <w:sz w:val="20"/>
            <w:szCs w:val="20"/>
          </w:rPr>
          <w:t>3.2.4.1. Aspects sociaux et économiques</w:t>
        </w:r>
        <w:r w:rsidRPr="00CB4E93">
          <w:rPr>
            <w:rFonts w:cs="Arial"/>
            <w:noProof/>
            <w:webHidden/>
            <w:sz w:val="20"/>
            <w:szCs w:val="20"/>
          </w:rPr>
          <w:tab/>
        </w:r>
        <w:r w:rsidRPr="00CB4E93">
          <w:rPr>
            <w:rFonts w:cs="Arial"/>
            <w:noProof/>
            <w:webHidden/>
            <w:sz w:val="20"/>
            <w:szCs w:val="20"/>
          </w:rPr>
          <w:fldChar w:fldCharType="begin"/>
        </w:r>
        <w:r w:rsidRPr="00CB4E93">
          <w:rPr>
            <w:rFonts w:cs="Arial"/>
            <w:noProof/>
            <w:webHidden/>
            <w:sz w:val="20"/>
            <w:szCs w:val="20"/>
          </w:rPr>
          <w:instrText xml:space="preserve"> PAGEREF _Toc52869637 \h </w:instrText>
        </w:r>
        <w:r w:rsidRPr="00CB4E93">
          <w:rPr>
            <w:rFonts w:cs="Arial"/>
            <w:noProof/>
            <w:webHidden/>
            <w:sz w:val="20"/>
            <w:szCs w:val="20"/>
          </w:rPr>
        </w:r>
        <w:r w:rsidRPr="00CB4E93">
          <w:rPr>
            <w:rFonts w:cs="Arial"/>
            <w:noProof/>
            <w:webHidden/>
            <w:sz w:val="20"/>
            <w:szCs w:val="20"/>
          </w:rPr>
          <w:fldChar w:fldCharType="separate"/>
        </w:r>
        <w:r w:rsidR="009E27E4">
          <w:rPr>
            <w:rFonts w:cs="Arial"/>
            <w:noProof/>
            <w:webHidden/>
            <w:sz w:val="20"/>
            <w:szCs w:val="20"/>
          </w:rPr>
          <w:t>79</w:t>
        </w:r>
        <w:r w:rsidRPr="00CB4E93">
          <w:rPr>
            <w:rFonts w:cs="Arial"/>
            <w:noProof/>
            <w:webHidden/>
            <w:sz w:val="20"/>
            <w:szCs w:val="20"/>
          </w:rPr>
          <w:fldChar w:fldCharType="end"/>
        </w:r>
      </w:hyperlink>
    </w:p>
    <w:p w14:paraId="2AABF81F" w14:textId="620915E1" w:rsidR="00CB4E93" w:rsidRPr="00CB4E93" w:rsidRDefault="00CB4E93" w:rsidP="00CB4E93">
      <w:pPr>
        <w:pStyle w:val="TM5"/>
        <w:tabs>
          <w:tab w:val="right" w:leader="dot" w:pos="9062"/>
        </w:tabs>
        <w:spacing w:before="60" w:after="0" w:line="240" w:lineRule="auto"/>
        <w:contextualSpacing/>
        <w:rPr>
          <w:rFonts w:eastAsiaTheme="minorEastAsia" w:cs="Arial"/>
          <w:noProof/>
          <w:color w:val="auto"/>
          <w:sz w:val="20"/>
          <w:szCs w:val="20"/>
          <w:lang w:eastAsia="fr-FR"/>
        </w:rPr>
      </w:pPr>
      <w:hyperlink w:anchor="_Toc52869638" w:history="1">
        <w:r w:rsidRPr="00CB4E93">
          <w:rPr>
            <w:rStyle w:val="Lienhypertexte"/>
            <w:rFonts w:cs="Arial"/>
            <w:noProof/>
            <w:sz w:val="20"/>
            <w:szCs w:val="20"/>
          </w:rPr>
          <w:t>3.2.4.1.1. Identification des personnes rencontrées</w:t>
        </w:r>
        <w:r w:rsidRPr="00CB4E93">
          <w:rPr>
            <w:rFonts w:cs="Arial"/>
            <w:noProof/>
            <w:webHidden/>
            <w:sz w:val="20"/>
            <w:szCs w:val="20"/>
          </w:rPr>
          <w:tab/>
        </w:r>
        <w:r w:rsidRPr="00CB4E93">
          <w:rPr>
            <w:rFonts w:cs="Arial"/>
            <w:noProof/>
            <w:webHidden/>
            <w:sz w:val="20"/>
            <w:szCs w:val="20"/>
          </w:rPr>
          <w:fldChar w:fldCharType="begin"/>
        </w:r>
        <w:r w:rsidRPr="00CB4E93">
          <w:rPr>
            <w:rFonts w:cs="Arial"/>
            <w:noProof/>
            <w:webHidden/>
            <w:sz w:val="20"/>
            <w:szCs w:val="20"/>
          </w:rPr>
          <w:instrText xml:space="preserve"> PAGEREF _Toc52869638 \h </w:instrText>
        </w:r>
        <w:r w:rsidRPr="00CB4E93">
          <w:rPr>
            <w:rFonts w:cs="Arial"/>
            <w:noProof/>
            <w:webHidden/>
            <w:sz w:val="20"/>
            <w:szCs w:val="20"/>
          </w:rPr>
        </w:r>
        <w:r w:rsidRPr="00CB4E93">
          <w:rPr>
            <w:rFonts w:cs="Arial"/>
            <w:noProof/>
            <w:webHidden/>
            <w:sz w:val="20"/>
            <w:szCs w:val="20"/>
          </w:rPr>
          <w:fldChar w:fldCharType="separate"/>
        </w:r>
        <w:r w:rsidR="009E27E4">
          <w:rPr>
            <w:rFonts w:cs="Arial"/>
            <w:noProof/>
            <w:webHidden/>
            <w:sz w:val="20"/>
            <w:szCs w:val="20"/>
          </w:rPr>
          <w:t>79</w:t>
        </w:r>
        <w:r w:rsidRPr="00CB4E93">
          <w:rPr>
            <w:rFonts w:cs="Arial"/>
            <w:noProof/>
            <w:webHidden/>
            <w:sz w:val="20"/>
            <w:szCs w:val="20"/>
          </w:rPr>
          <w:fldChar w:fldCharType="end"/>
        </w:r>
      </w:hyperlink>
    </w:p>
    <w:p w14:paraId="225A93E2" w14:textId="3EE835E9" w:rsidR="00CB4E93" w:rsidRPr="00CB4E93" w:rsidRDefault="00CB4E93" w:rsidP="00CB4E93">
      <w:pPr>
        <w:pStyle w:val="TM5"/>
        <w:tabs>
          <w:tab w:val="right" w:leader="dot" w:pos="9062"/>
        </w:tabs>
        <w:spacing w:before="60" w:after="0" w:line="240" w:lineRule="auto"/>
        <w:contextualSpacing/>
        <w:rPr>
          <w:rFonts w:eastAsiaTheme="minorEastAsia" w:cs="Arial"/>
          <w:noProof/>
          <w:color w:val="auto"/>
          <w:sz w:val="20"/>
          <w:szCs w:val="20"/>
          <w:lang w:eastAsia="fr-FR"/>
        </w:rPr>
      </w:pPr>
      <w:hyperlink w:anchor="_Toc52869639" w:history="1">
        <w:r w:rsidRPr="00CB4E93">
          <w:rPr>
            <w:rStyle w:val="Lienhypertexte"/>
            <w:rFonts w:cs="Arial"/>
            <w:noProof/>
            <w:sz w:val="20"/>
            <w:szCs w:val="20"/>
          </w:rPr>
          <w:t>3.2.4.1.2. Activités et emplois</w:t>
        </w:r>
        <w:r w:rsidRPr="00CB4E93">
          <w:rPr>
            <w:rFonts w:cs="Arial"/>
            <w:noProof/>
            <w:webHidden/>
            <w:sz w:val="20"/>
            <w:szCs w:val="20"/>
          </w:rPr>
          <w:tab/>
        </w:r>
        <w:r w:rsidRPr="00CB4E93">
          <w:rPr>
            <w:rFonts w:cs="Arial"/>
            <w:noProof/>
            <w:webHidden/>
            <w:sz w:val="20"/>
            <w:szCs w:val="20"/>
          </w:rPr>
          <w:fldChar w:fldCharType="begin"/>
        </w:r>
        <w:r w:rsidRPr="00CB4E93">
          <w:rPr>
            <w:rFonts w:cs="Arial"/>
            <w:noProof/>
            <w:webHidden/>
            <w:sz w:val="20"/>
            <w:szCs w:val="20"/>
          </w:rPr>
          <w:instrText xml:space="preserve"> PAGEREF _Toc52869639 \h </w:instrText>
        </w:r>
        <w:r w:rsidRPr="00CB4E93">
          <w:rPr>
            <w:rFonts w:cs="Arial"/>
            <w:noProof/>
            <w:webHidden/>
            <w:sz w:val="20"/>
            <w:szCs w:val="20"/>
          </w:rPr>
        </w:r>
        <w:r w:rsidRPr="00CB4E93">
          <w:rPr>
            <w:rFonts w:cs="Arial"/>
            <w:noProof/>
            <w:webHidden/>
            <w:sz w:val="20"/>
            <w:szCs w:val="20"/>
          </w:rPr>
          <w:fldChar w:fldCharType="separate"/>
        </w:r>
        <w:r w:rsidR="009E27E4">
          <w:rPr>
            <w:rFonts w:cs="Arial"/>
            <w:noProof/>
            <w:webHidden/>
            <w:sz w:val="20"/>
            <w:szCs w:val="20"/>
          </w:rPr>
          <w:t>81</w:t>
        </w:r>
        <w:r w:rsidRPr="00CB4E93">
          <w:rPr>
            <w:rFonts w:cs="Arial"/>
            <w:noProof/>
            <w:webHidden/>
            <w:sz w:val="20"/>
            <w:szCs w:val="20"/>
          </w:rPr>
          <w:fldChar w:fldCharType="end"/>
        </w:r>
      </w:hyperlink>
    </w:p>
    <w:p w14:paraId="07E7F7AF" w14:textId="6FAE271B" w:rsidR="00CB4E93" w:rsidRPr="00CB4E93" w:rsidRDefault="00CB4E93" w:rsidP="00CB4E93">
      <w:pPr>
        <w:pStyle w:val="TM5"/>
        <w:tabs>
          <w:tab w:val="right" w:leader="dot" w:pos="9062"/>
        </w:tabs>
        <w:spacing w:before="60" w:after="0" w:line="240" w:lineRule="auto"/>
        <w:contextualSpacing/>
        <w:rPr>
          <w:rFonts w:eastAsiaTheme="minorEastAsia" w:cs="Arial"/>
          <w:noProof/>
          <w:color w:val="auto"/>
          <w:sz w:val="20"/>
          <w:szCs w:val="20"/>
          <w:lang w:eastAsia="fr-FR"/>
        </w:rPr>
      </w:pPr>
      <w:hyperlink w:anchor="_Toc52869640" w:history="1">
        <w:r w:rsidRPr="00CB4E93">
          <w:rPr>
            <w:rStyle w:val="Lienhypertexte"/>
            <w:rFonts w:eastAsia="Calibri" w:cs="Arial"/>
            <w:noProof/>
            <w:sz w:val="20"/>
            <w:szCs w:val="20"/>
          </w:rPr>
          <w:t>3.2.4.1.3. Inondation dans le milieu récepteur du projet</w:t>
        </w:r>
        <w:r w:rsidRPr="00CB4E93">
          <w:rPr>
            <w:rFonts w:cs="Arial"/>
            <w:noProof/>
            <w:webHidden/>
            <w:sz w:val="20"/>
            <w:szCs w:val="20"/>
          </w:rPr>
          <w:tab/>
        </w:r>
        <w:r w:rsidRPr="00CB4E93">
          <w:rPr>
            <w:rFonts w:cs="Arial"/>
            <w:noProof/>
            <w:webHidden/>
            <w:sz w:val="20"/>
            <w:szCs w:val="20"/>
          </w:rPr>
          <w:fldChar w:fldCharType="begin"/>
        </w:r>
        <w:r w:rsidRPr="00CB4E93">
          <w:rPr>
            <w:rFonts w:cs="Arial"/>
            <w:noProof/>
            <w:webHidden/>
            <w:sz w:val="20"/>
            <w:szCs w:val="20"/>
          </w:rPr>
          <w:instrText xml:space="preserve"> PAGEREF _Toc52869640 \h </w:instrText>
        </w:r>
        <w:r w:rsidRPr="00CB4E93">
          <w:rPr>
            <w:rFonts w:cs="Arial"/>
            <w:noProof/>
            <w:webHidden/>
            <w:sz w:val="20"/>
            <w:szCs w:val="20"/>
          </w:rPr>
        </w:r>
        <w:r w:rsidRPr="00CB4E93">
          <w:rPr>
            <w:rFonts w:cs="Arial"/>
            <w:noProof/>
            <w:webHidden/>
            <w:sz w:val="20"/>
            <w:szCs w:val="20"/>
          </w:rPr>
          <w:fldChar w:fldCharType="separate"/>
        </w:r>
        <w:r w:rsidR="009E27E4">
          <w:rPr>
            <w:rFonts w:cs="Arial"/>
            <w:noProof/>
            <w:webHidden/>
            <w:sz w:val="20"/>
            <w:szCs w:val="20"/>
          </w:rPr>
          <w:t>83</w:t>
        </w:r>
        <w:r w:rsidRPr="00CB4E93">
          <w:rPr>
            <w:rFonts w:cs="Arial"/>
            <w:noProof/>
            <w:webHidden/>
            <w:sz w:val="20"/>
            <w:szCs w:val="20"/>
          </w:rPr>
          <w:fldChar w:fldCharType="end"/>
        </w:r>
      </w:hyperlink>
    </w:p>
    <w:p w14:paraId="691598FD" w14:textId="5240CED6" w:rsidR="00CB4E93" w:rsidRPr="00CB4E93" w:rsidRDefault="00CB4E93" w:rsidP="00CB4E93">
      <w:pPr>
        <w:pStyle w:val="TM4"/>
        <w:tabs>
          <w:tab w:val="right" w:leader="dot" w:pos="9062"/>
        </w:tabs>
        <w:spacing w:before="60" w:after="0" w:line="240" w:lineRule="auto"/>
        <w:contextualSpacing/>
        <w:rPr>
          <w:rFonts w:eastAsiaTheme="minorEastAsia" w:cs="Arial"/>
          <w:noProof/>
          <w:color w:val="auto"/>
          <w:sz w:val="20"/>
          <w:szCs w:val="20"/>
          <w:lang w:eastAsia="fr-FR"/>
        </w:rPr>
      </w:pPr>
      <w:hyperlink w:anchor="_Toc52869641" w:history="1">
        <w:r w:rsidRPr="00CB4E93">
          <w:rPr>
            <w:rStyle w:val="Lienhypertexte"/>
            <w:rFonts w:cs="Arial"/>
            <w:noProof/>
            <w:sz w:val="20"/>
            <w:szCs w:val="20"/>
          </w:rPr>
          <w:t>3.2.4.2. Environnement et assainissement</w:t>
        </w:r>
        <w:r w:rsidRPr="00CB4E93">
          <w:rPr>
            <w:rFonts w:cs="Arial"/>
            <w:noProof/>
            <w:webHidden/>
            <w:sz w:val="20"/>
            <w:szCs w:val="20"/>
          </w:rPr>
          <w:tab/>
        </w:r>
        <w:r w:rsidRPr="00CB4E93">
          <w:rPr>
            <w:rFonts w:cs="Arial"/>
            <w:noProof/>
            <w:webHidden/>
            <w:sz w:val="20"/>
            <w:szCs w:val="20"/>
          </w:rPr>
          <w:fldChar w:fldCharType="begin"/>
        </w:r>
        <w:r w:rsidRPr="00CB4E93">
          <w:rPr>
            <w:rFonts w:cs="Arial"/>
            <w:noProof/>
            <w:webHidden/>
            <w:sz w:val="20"/>
            <w:szCs w:val="20"/>
          </w:rPr>
          <w:instrText xml:space="preserve"> PAGEREF _Toc52869641 \h </w:instrText>
        </w:r>
        <w:r w:rsidRPr="00CB4E93">
          <w:rPr>
            <w:rFonts w:cs="Arial"/>
            <w:noProof/>
            <w:webHidden/>
            <w:sz w:val="20"/>
            <w:szCs w:val="20"/>
          </w:rPr>
        </w:r>
        <w:r w:rsidRPr="00CB4E93">
          <w:rPr>
            <w:rFonts w:cs="Arial"/>
            <w:noProof/>
            <w:webHidden/>
            <w:sz w:val="20"/>
            <w:szCs w:val="20"/>
          </w:rPr>
          <w:fldChar w:fldCharType="separate"/>
        </w:r>
        <w:r w:rsidR="009E27E4">
          <w:rPr>
            <w:rFonts w:cs="Arial"/>
            <w:noProof/>
            <w:webHidden/>
            <w:sz w:val="20"/>
            <w:szCs w:val="20"/>
          </w:rPr>
          <w:t>84</w:t>
        </w:r>
        <w:r w:rsidRPr="00CB4E93">
          <w:rPr>
            <w:rFonts w:cs="Arial"/>
            <w:noProof/>
            <w:webHidden/>
            <w:sz w:val="20"/>
            <w:szCs w:val="20"/>
          </w:rPr>
          <w:fldChar w:fldCharType="end"/>
        </w:r>
      </w:hyperlink>
    </w:p>
    <w:p w14:paraId="7C9B0663" w14:textId="47EEB907" w:rsidR="00CB4E93" w:rsidRPr="00CB4E93" w:rsidRDefault="00CB4E93" w:rsidP="00CB4E93">
      <w:pPr>
        <w:pStyle w:val="TM4"/>
        <w:tabs>
          <w:tab w:val="right" w:leader="dot" w:pos="9062"/>
        </w:tabs>
        <w:spacing w:before="60" w:after="0" w:line="240" w:lineRule="auto"/>
        <w:contextualSpacing/>
        <w:rPr>
          <w:rFonts w:eastAsiaTheme="minorEastAsia" w:cs="Arial"/>
          <w:noProof/>
          <w:color w:val="auto"/>
          <w:sz w:val="20"/>
          <w:szCs w:val="20"/>
          <w:lang w:eastAsia="fr-FR"/>
        </w:rPr>
      </w:pPr>
      <w:hyperlink w:anchor="_Toc52869642" w:history="1">
        <w:r w:rsidRPr="00CB4E93">
          <w:rPr>
            <w:rStyle w:val="Lienhypertexte"/>
            <w:rFonts w:cs="Arial"/>
            <w:noProof/>
            <w:sz w:val="20"/>
            <w:szCs w:val="20"/>
          </w:rPr>
          <w:t>3.2.4.3. Contraintes et perspectives liées aux activités du projet</w:t>
        </w:r>
        <w:r w:rsidRPr="00CB4E93">
          <w:rPr>
            <w:rFonts w:cs="Arial"/>
            <w:noProof/>
            <w:webHidden/>
            <w:sz w:val="20"/>
            <w:szCs w:val="20"/>
          </w:rPr>
          <w:tab/>
        </w:r>
        <w:r w:rsidRPr="00CB4E93">
          <w:rPr>
            <w:rFonts w:cs="Arial"/>
            <w:noProof/>
            <w:webHidden/>
            <w:sz w:val="20"/>
            <w:szCs w:val="20"/>
          </w:rPr>
          <w:fldChar w:fldCharType="begin"/>
        </w:r>
        <w:r w:rsidRPr="00CB4E93">
          <w:rPr>
            <w:rFonts w:cs="Arial"/>
            <w:noProof/>
            <w:webHidden/>
            <w:sz w:val="20"/>
            <w:szCs w:val="20"/>
          </w:rPr>
          <w:instrText xml:space="preserve"> PAGEREF _Toc52869642 \h </w:instrText>
        </w:r>
        <w:r w:rsidRPr="00CB4E93">
          <w:rPr>
            <w:rFonts w:cs="Arial"/>
            <w:noProof/>
            <w:webHidden/>
            <w:sz w:val="20"/>
            <w:szCs w:val="20"/>
          </w:rPr>
        </w:r>
        <w:r w:rsidRPr="00CB4E93">
          <w:rPr>
            <w:rFonts w:cs="Arial"/>
            <w:noProof/>
            <w:webHidden/>
            <w:sz w:val="20"/>
            <w:szCs w:val="20"/>
          </w:rPr>
          <w:fldChar w:fldCharType="separate"/>
        </w:r>
        <w:r w:rsidR="009E27E4">
          <w:rPr>
            <w:rFonts w:cs="Arial"/>
            <w:noProof/>
            <w:webHidden/>
            <w:sz w:val="20"/>
            <w:szCs w:val="20"/>
          </w:rPr>
          <w:t>88</w:t>
        </w:r>
        <w:r w:rsidRPr="00CB4E93">
          <w:rPr>
            <w:rFonts w:cs="Arial"/>
            <w:noProof/>
            <w:webHidden/>
            <w:sz w:val="20"/>
            <w:szCs w:val="20"/>
          </w:rPr>
          <w:fldChar w:fldCharType="end"/>
        </w:r>
      </w:hyperlink>
    </w:p>
    <w:p w14:paraId="6250F40E" w14:textId="40FC9D01" w:rsidR="00CB4E93" w:rsidRPr="00CB4E93" w:rsidRDefault="00CB4E93" w:rsidP="00CB4E93">
      <w:pPr>
        <w:pStyle w:val="TM4"/>
        <w:tabs>
          <w:tab w:val="right" w:leader="dot" w:pos="9062"/>
        </w:tabs>
        <w:spacing w:before="60" w:after="0" w:line="240" w:lineRule="auto"/>
        <w:contextualSpacing/>
        <w:rPr>
          <w:rFonts w:eastAsiaTheme="minorEastAsia" w:cs="Arial"/>
          <w:noProof/>
          <w:color w:val="auto"/>
          <w:sz w:val="20"/>
          <w:szCs w:val="20"/>
          <w:lang w:eastAsia="fr-FR"/>
        </w:rPr>
      </w:pPr>
      <w:hyperlink w:anchor="_Toc52869643" w:history="1">
        <w:r w:rsidRPr="00CB4E93">
          <w:rPr>
            <w:rStyle w:val="Lienhypertexte"/>
            <w:rFonts w:cs="Arial"/>
            <w:noProof/>
            <w:sz w:val="20"/>
            <w:szCs w:val="20"/>
          </w:rPr>
          <w:t>3.2.4.4. Impacts économiques et sociaux de la construction d’aménagement et de l’assainissement de la rue</w:t>
        </w:r>
        <w:r w:rsidRPr="00CB4E93">
          <w:rPr>
            <w:rFonts w:cs="Arial"/>
            <w:noProof/>
            <w:webHidden/>
            <w:sz w:val="20"/>
            <w:szCs w:val="20"/>
          </w:rPr>
          <w:tab/>
        </w:r>
        <w:r w:rsidRPr="00CB4E93">
          <w:rPr>
            <w:rFonts w:cs="Arial"/>
            <w:noProof/>
            <w:webHidden/>
            <w:sz w:val="20"/>
            <w:szCs w:val="20"/>
          </w:rPr>
          <w:fldChar w:fldCharType="begin"/>
        </w:r>
        <w:r w:rsidRPr="00CB4E93">
          <w:rPr>
            <w:rFonts w:cs="Arial"/>
            <w:noProof/>
            <w:webHidden/>
            <w:sz w:val="20"/>
            <w:szCs w:val="20"/>
          </w:rPr>
          <w:instrText xml:space="preserve"> PAGEREF _Toc52869643 \h </w:instrText>
        </w:r>
        <w:r w:rsidRPr="00CB4E93">
          <w:rPr>
            <w:rFonts w:cs="Arial"/>
            <w:noProof/>
            <w:webHidden/>
            <w:sz w:val="20"/>
            <w:szCs w:val="20"/>
          </w:rPr>
        </w:r>
        <w:r w:rsidRPr="00CB4E93">
          <w:rPr>
            <w:rFonts w:cs="Arial"/>
            <w:noProof/>
            <w:webHidden/>
            <w:sz w:val="20"/>
            <w:szCs w:val="20"/>
          </w:rPr>
          <w:fldChar w:fldCharType="separate"/>
        </w:r>
        <w:r w:rsidR="009E27E4">
          <w:rPr>
            <w:rFonts w:cs="Arial"/>
            <w:noProof/>
            <w:webHidden/>
            <w:sz w:val="20"/>
            <w:szCs w:val="20"/>
          </w:rPr>
          <w:t>90</w:t>
        </w:r>
        <w:r w:rsidRPr="00CB4E93">
          <w:rPr>
            <w:rFonts w:cs="Arial"/>
            <w:noProof/>
            <w:webHidden/>
            <w:sz w:val="20"/>
            <w:szCs w:val="20"/>
          </w:rPr>
          <w:fldChar w:fldCharType="end"/>
        </w:r>
      </w:hyperlink>
    </w:p>
    <w:p w14:paraId="56AFB319" w14:textId="05F402BB" w:rsidR="00CB4E93" w:rsidRPr="00CB4E93" w:rsidRDefault="00CB4E93" w:rsidP="00CB4E93">
      <w:pPr>
        <w:pStyle w:val="TM4"/>
        <w:tabs>
          <w:tab w:val="right" w:leader="dot" w:pos="9062"/>
        </w:tabs>
        <w:spacing w:before="60" w:after="0" w:line="240" w:lineRule="auto"/>
        <w:contextualSpacing/>
        <w:rPr>
          <w:rFonts w:eastAsiaTheme="minorEastAsia" w:cs="Arial"/>
          <w:noProof/>
          <w:color w:val="auto"/>
          <w:sz w:val="20"/>
          <w:szCs w:val="20"/>
          <w:lang w:eastAsia="fr-FR"/>
        </w:rPr>
      </w:pPr>
      <w:hyperlink w:anchor="_Toc52869644" w:history="1">
        <w:r w:rsidRPr="00CB4E93">
          <w:rPr>
            <w:rStyle w:val="Lienhypertexte"/>
            <w:rFonts w:cs="Arial"/>
            <w:noProof/>
            <w:sz w:val="20"/>
            <w:szCs w:val="20"/>
          </w:rPr>
          <w:t>3.2.4.5. Attentes des populations du projet</w:t>
        </w:r>
        <w:r w:rsidRPr="00CB4E93">
          <w:rPr>
            <w:rFonts w:cs="Arial"/>
            <w:noProof/>
            <w:webHidden/>
            <w:sz w:val="20"/>
            <w:szCs w:val="20"/>
          </w:rPr>
          <w:tab/>
        </w:r>
        <w:r w:rsidRPr="00CB4E93">
          <w:rPr>
            <w:rFonts w:cs="Arial"/>
            <w:noProof/>
            <w:webHidden/>
            <w:sz w:val="20"/>
            <w:szCs w:val="20"/>
          </w:rPr>
          <w:fldChar w:fldCharType="begin"/>
        </w:r>
        <w:r w:rsidRPr="00CB4E93">
          <w:rPr>
            <w:rFonts w:cs="Arial"/>
            <w:noProof/>
            <w:webHidden/>
            <w:sz w:val="20"/>
            <w:szCs w:val="20"/>
          </w:rPr>
          <w:instrText xml:space="preserve"> PAGEREF _Toc52869644 \h </w:instrText>
        </w:r>
        <w:r w:rsidRPr="00CB4E93">
          <w:rPr>
            <w:rFonts w:cs="Arial"/>
            <w:noProof/>
            <w:webHidden/>
            <w:sz w:val="20"/>
            <w:szCs w:val="20"/>
          </w:rPr>
        </w:r>
        <w:r w:rsidRPr="00CB4E93">
          <w:rPr>
            <w:rFonts w:cs="Arial"/>
            <w:noProof/>
            <w:webHidden/>
            <w:sz w:val="20"/>
            <w:szCs w:val="20"/>
          </w:rPr>
          <w:fldChar w:fldCharType="separate"/>
        </w:r>
        <w:r w:rsidR="009E27E4">
          <w:rPr>
            <w:rFonts w:cs="Arial"/>
            <w:noProof/>
            <w:webHidden/>
            <w:sz w:val="20"/>
            <w:szCs w:val="20"/>
          </w:rPr>
          <w:t>90</w:t>
        </w:r>
        <w:r w:rsidRPr="00CB4E93">
          <w:rPr>
            <w:rFonts w:cs="Arial"/>
            <w:noProof/>
            <w:webHidden/>
            <w:sz w:val="20"/>
            <w:szCs w:val="20"/>
          </w:rPr>
          <w:fldChar w:fldCharType="end"/>
        </w:r>
      </w:hyperlink>
    </w:p>
    <w:p w14:paraId="2D76A325" w14:textId="542B37CA" w:rsidR="00CB4E93" w:rsidRPr="00CB4E93" w:rsidRDefault="00CB4E93" w:rsidP="00CB4E93">
      <w:pPr>
        <w:pStyle w:val="TM4"/>
        <w:tabs>
          <w:tab w:val="right" w:leader="dot" w:pos="9062"/>
        </w:tabs>
        <w:spacing w:before="60" w:after="0" w:line="240" w:lineRule="auto"/>
        <w:contextualSpacing/>
        <w:rPr>
          <w:rFonts w:eastAsiaTheme="minorEastAsia" w:cs="Arial"/>
          <w:noProof/>
          <w:color w:val="auto"/>
          <w:sz w:val="20"/>
          <w:szCs w:val="20"/>
          <w:lang w:eastAsia="fr-FR"/>
        </w:rPr>
      </w:pPr>
      <w:hyperlink w:anchor="_Toc52869645" w:history="1">
        <w:r w:rsidRPr="00CB4E93">
          <w:rPr>
            <w:rStyle w:val="Lienhypertexte"/>
            <w:rFonts w:cs="Arial"/>
            <w:noProof/>
            <w:sz w:val="20"/>
            <w:szCs w:val="20"/>
          </w:rPr>
          <w:t>3.2.4.6. Dynamique foncière et économique du projet selon les populations</w:t>
        </w:r>
        <w:r w:rsidRPr="00CB4E93">
          <w:rPr>
            <w:rFonts w:cs="Arial"/>
            <w:noProof/>
            <w:webHidden/>
            <w:sz w:val="20"/>
            <w:szCs w:val="20"/>
          </w:rPr>
          <w:tab/>
        </w:r>
        <w:r w:rsidRPr="00CB4E93">
          <w:rPr>
            <w:rFonts w:cs="Arial"/>
            <w:noProof/>
            <w:webHidden/>
            <w:sz w:val="20"/>
            <w:szCs w:val="20"/>
          </w:rPr>
          <w:fldChar w:fldCharType="begin"/>
        </w:r>
        <w:r w:rsidRPr="00CB4E93">
          <w:rPr>
            <w:rFonts w:cs="Arial"/>
            <w:noProof/>
            <w:webHidden/>
            <w:sz w:val="20"/>
            <w:szCs w:val="20"/>
          </w:rPr>
          <w:instrText xml:space="preserve"> PAGEREF _Toc52869645 \h </w:instrText>
        </w:r>
        <w:r w:rsidRPr="00CB4E93">
          <w:rPr>
            <w:rFonts w:cs="Arial"/>
            <w:noProof/>
            <w:webHidden/>
            <w:sz w:val="20"/>
            <w:szCs w:val="20"/>
          </w:rPr>
        </w:r>
        <w:r w:rsidRPr="00CB4E93">
          <w:rPr>
            <w:rFonts w:cs="Arial"/>
            <w:noProof/>
            <w:webHidden/>
            <w:sz w:val="20"/>
            <w:szCs w:val="20"/>
          </w:rPr>
          <w:fldChar w:fldCharType="separate"/>
        </w:r>
        <w:r w:rsidR="009E27E4">
          <w:rPr>
            <w:rFonts w:cs="Arial"/>
            <w:noProof/>
            <w:webHidden/>
            <w:sz w:val="20"/>
            <w:szCs w:val="20"/>
          </w:rPr>
          <w:t>90</w:t>
        </w:r>
        <w:r w:rsidRPr="00CB4E93">
          <w:rPr>
            <w:rFonts w:cs="Arial"/>
            <w:noProof/>
            <w:webHidden/>
            <w:sz w:val="20"/>
            <w:szCs w:val="20"/>
          </w:rPr>
          <w:fldChar w:fldCharType="end"/>
        </w:r>
      </w:hyperlink>
    </w:p>
    <w:p w14:paraId="3B5D8CD9" w14:textId="69892FDB" w:rsidR="00CB4E93" w:rsidRPr="00CB4E93" w:rsidRDefault="00CB4E93" w:rsidP="00CB4E93">
      <w:pPr>
        <w:pStyle w:val="TM1"/>
        <w:tabs>
          <w:tab w:val="right" w:leader="dot" w:pos="9062"/>
        </w:tabs>
        <w:spacing w:before="60" w:after="0" w:line="240" w:lineRule="auto"/>
        <w:contextualSpacing/>
        <w:rPr>
          <w:rFonts w:ascii="Arial" w:eastAsiaTheme="minorEastAsia" w:hAnsi="Arial" w:cs="Arial"/>
          <w:b w:val="0"/>
          <w:bCs w:val="0"/>
          <w:caps w:val="0"/>
          <w:noProof/>
          <w:color w:val="auto"/>
          <w:lang w:eastAsia="fr-FR"/>
        </w:rPr>
      </w:pPr>
      <w:hyperlink w:anchor="_Toc52869646" w:history="1">
        <w:r w:rsidRPr="00CB4E93">
          <w:rPr>
            <w:rStyle w:val="Lienhypertexte"/>
            <w:rFonts w:ascii="Arial" w:eastAsiaTheme="majorEastAsia" w:hAnsi="Arial" w:cs="Arial"/>
            <w:noProof/>
          </w:rPr>
          <w:t>4. CONSULTATIONS PUBLIQUES</w:t>
        </w:r>
        <w:r w:rsidRPr="00CB4E93">
          <w:rPr>
            <w:rFonts w:ascii="Arial" w:hAnsi="Arial" w:cs="Arial"/>
            <w:noProof/>
            <w:webHidden/>
          </w:rPr>
          <w:tab/>
        </w:r>
        <w:r w:rsidRPr="00CB4E93">
          <w:rPr>
            <w:rFonts w:ascii="Arial" w:hAnsi="Arial" w:cs="Arial"/>
            <w:noProof/>
            <w:webHidden/>
          </w:rPr>
          <w:fldChar w:fldCharType="begin"/>
        </w:r>
        <w:r w:rsidRPr="00CB4E93">
          <w:rPr>
            <w:rFonts w:ascii="Arial" w:hAnsi="Arial" w:cs="Arial"/>
            <w:noProof/>
            <w:webHidden/>
          </w:rPr>
          <w:instrText xml:space="preserve"> PAGEREF _Toc52869646 \h </w:instrText>
        </w:r>
        <w:r w:rsidRPr="00CB4E93">
          <w:rPr>
            <w:rFonts w:ascii="Arial" w:hAnsi="Arial" w:cs="Arial"/>
            <w:noProof/>
            <w:webHidden/>
          </w:rPr>
        </w:r>
        <w:r w:rsidRPr="00CB4E93">
          <w:rPr>
            <w:rFonts w:ascii="Arial" w:hAnsi="Arial" w:cs="Arial"/>
            <w:noProof/>
            <w:webHidden/>
          </w:rPr>
          <w:fldChar w:fldCharType="separate"/>
        </w:r>
        <w:r w:rsidR="009E27E4">
          <w:rPr>
            <w:rFonts w:ascii="Arial" w:hAnsi="Arial" w:cs="Arial"/>
            <w:noProof/>
            <w:webHidden/>
          </w:rPr>
          <w:t>92</w:t>
        </w:r>
        <w:r w:rsidRPr="00CB4E93">
          <w:rPr>
            <w:rFonts w:ascii="Arial" w:hAnsi="Arial" w:cs="Arial"/>
            <w:noProof/>
            <w:webHidden/>
          </w:rPr>
          <w:fldChar w:fldCharType="end"/>
        </w:r>
      </w:hyperlink>
    </w:p>
    <w:p w14:paraId="0EF12279" w14:textId="7B273690" w:rsidR="00CB4E93" w:rsidRPr="00CB4E93" w:rsidRDefault="00CB4E93" w:rsidP="00CB4E93">
      <w:pPr>
        <w:pStyle w:val="TM2"/>
        <w:contextualSpacing/>
        <w:rPr>
          <w:rFonts w:eastAsiaTheme="minorEastAsia"/>
          <w:b w:val="0"/>
          <w:i w:val="0"/>
          <w:caps w:val="0"/>
          <w:color w:val="auto"/>
        </w:rPr>
      </w:pPr>
      <w:hyperlink w:anchor="_Toc52869647" w:history="1">
        <w:r w:rsidRPr="00CB4E93">
          <w:rPr>
            <w:rStyle w:val="Lienhypertexte"/>
            <w:rFonts w:eastAsiaTheme="majorEastAsia"/>
          </w:rPr>
          <w:t>4.1.  Perception des autorités communales, parties intéressées et des riverains</w:t>
        </w:r>
        <w:r w:rsidRPr="00CB4E93">
          <w:rPr>
            <w:webHidden/>
          </w:rPr>
          <w:tab/>
        </w:r>
        <w:r w:rsidRPr="00CB4E93">
          <w:rPr>
            <w:webHidden/>
          </w:rPr>
          <w:fldChar w:fldCharType="begin"/>
        </w:r>
        <w:r w:rsidRPr="00CB4E93">
          <w:rPr>
            <w:webHidden/>
          </w:rPr>
          <w:instrText xml:space="preserve"> PAGEREF _Toc52869647 \h </w:instrText>
        </w:r>
        <w:r w:rsidRPr="00CB4E93">
          <w:rPr>
            <w:webHidden/>
          </w:rPr>
        </w:r>
        <w:r w:rsidRPr="00CB4E93">
          <w:rPr>
            <w:webHidden/>
          </w:rPr>
          <w:fldChar w:fldCharType="separate"/>
        </w:r>
        <w:r w:rsidR="009E27E4">
          <w:rPr>
            <w:webHidden/>
          </w:rPr>
          <w:t>92</w:t>
        </w:r>
        <w:r w:rsidRPr="00CB4E93">
          <w:rPr>
            <w:webHidden/>
          </w:rPr>
          <w:fldChar w:fldCharType="end"/>
        </w:r>
      </w:hyperlink>
    </w:p>
    <w:p w14:paraId="53C433ED" w14:textId="0721C5C6" w:rsidR="00CB4E93" w:rsidRPr="00CB4E93" w:rsidRDefault="00CB4E93" w:rsidP="00CB4E93">
      <w:pPr>
        <w:pStyle w:val="TM2"/>
        <w:contextualSpacing/>
        <w:rPr>
          <w:rFonts w:eastAsiaTheme="minorEastAsia"/>
          <w:b w:val="0"/>
          <w:i w:val="0"/>
          <w:caps w:val="0"/>
          <w:color w:val="auto"/>
        </w:rPr>
      </w:pPr>
      <w:hyperlink w:anchor="_Toc52869648" w:history="1">
        <w:r w:rsidRPr="00CB4E93">
          <w:rPr>
            <w:rStyle w:val="Lienhypertexte"/>
            <w:rFonts w:eastAsiaTheme="majorEastAsia"/>
          </w:rPr>
          <w:t>4.2.  Position des groupes sociaux face au projet, à ses contraintes et conditions</w:t>
        </w:r>
        <w:r w:rsidRPr="00CB4E93">
          <w:rPr>
            <w:webHidden/>
          </w:rPr>
          <w:tab/>
        </w:r>
        <w:r w:rsidRPr="00CB4E93">
          <w:rPr>
            <w:webHidden/>
          </w:rPr>
          <w:fldChar w:fldCharType="begin"/>
        </w:r>
        <w:r w:rsidRPr="00CB4E93">
          <w:rPr>
            <w:webHidden/>
          </w:rPr>
          <w:instrText xml:space="preserve"> PAGEREF _Toc52869648 \h </w:instrText>
        </w:r>
        <w:r w:rsidRPr="00CB4E93">
          <w:rPr>
            <w:webHidden/>
          </w:rPr>
        </w:r>
        <w:r w:rsidRPr="00CB4E93">
          <w:rPr>
            <w:webHidden/>
          </w:rPr>
          <w:fldChar w:fldCharType="separate"/>
        </w:r>
        <w:r w:rsidR="009E27E4">
          <w:rPr>
            <w:webHidden/>
          </w:rPr>
          <w:t>92</w:t>
        </w:r>
        <w:r w:rsidRPr="00CB4E93">
          <w:rPr>
            <w:webHidden/>
          </w:rPr>
          <w:fldChar w:fldCharType="end"/>
        </w:r>
      </w:hyperlink>
    </w:p>
    <w:p w14:paraId="2908FF3D" w14:textId="45EBBED3" w:rsidR="00CB4E93" w:rsidRPr="00CB4E93" w:rsidRDefault="00CB4E93" w:rsidP="00CB4E93">
      <w:pPr>
        <w:pStyle w:val="TM3"/>
        <w:tabs>
          <w:tab w:val="right" w:leader="dot" w:pos="9062"/>
        </w:tabs>
        <w:spacing w:before="60" w:after="0" w:line="240" w:lineRule="auto"/>
        <w:contextualSpacing/>
        <w:rPr>
          <w:rFonts w:eastAsiaTheme="minorEastAsia" w:cs="Arial"/>
          <w:noProof/>
          <w:color w:val="auto"/>
          <w:sz w:val="20"/>
          <w:szCs w:val="20"/>
          <w:lang w:eastAsia="fr-FR"/>
        </w:rPr>
      </w:pPr>
      <w:hyperlink w:anchor="_Toc52869649" w:history="1">
        <w:r w:rsidRPr="00CB4E93">
          <w:rPr>
            <w:rStyle w:val="Lienhypertexte"/>
            <w:rFonts w:eastAsiaTheme="majorEastAsia" w:cs="Arial"/>
            <w:i/>
            <w:noProof/>
            <w:sz w:val="20"/>
            <w:szCs w:val="20"/>
          </w:rPr>
          <w:t>4.2.1. Perception du projet</w:t>
        </w:r>
        <w:r w:rsidRPr="00CB4E93">
          <w:rPr>
            <w:rFonts w:cs="Arial"/>
            <w:noProof/>
            <w:webHidden/>
            <w:sz w:val="20"/>
            <w:szCs w:val="20"/>
          </w:rPr>
          <w:tab/>
        </w:r>
        <w:r w:rsidRPr="00CB4E93">
          <w:rPr>
            <w:rFonts w:cs="Arial"/>
            <w:noProof/>
            <w:webHidden/>
            <w:sz w:val="20"/>
            <w:szCs w:val="20"/>
          </w:rPr>
          <w:fldChar w:fldCharType="begin"/>
        </w:r>
        <w:r w:rsidRPr="00CB4E93">
          <w:rPr>
            <w:rFonts w:cs="Arial"/>
            <w:noProof/>
            <w:webHidden/>
            <w:sz w:val="20"/>
            <w:szCs w:val="20"/>
          </w:rPr>
          <w:instrText xml:space="preserve"> PAGEREF _Toc52869649 \h </w:instrText>
        </w:r>
        <w:r w:rsidRPr="00CB4E93">
          <w:rPr>
            <w:rFonts w:cs="Arial"/>
            <w:noProof/>
            <w:webHidden/>
            <w:sz w:val="20"/>
            <w:szCs w:val="20"/>
          </w:rPr>
        </w:r>
        <w:r w:rsidRPr="00CB4E93">
          <w:rPr>
            <w:rFonts w:cs="Arial"/>
            <w:noProof/>
            <w:webHidden/>
            <w:sz w:val="20"/>
            <w:szCs w:val="20"/>
          </w:rPr>
          <w:fldChar w:fldCharType="separate"/>
        </w:r>
        <w:r w:rsidR="009E27E4">
          <w:rPr>
            <w:rFonts w:cs="Arial"/>
            <w:noProof/>
            <w:webHidden/>
            <w:sz w:val="20"/>
            <w:szCs w:val="20"/>
          </w:rPr>
          <w:t>92</w:t>
        </w:r>
        <w:r w:rsidRPr="00CB4E93">
          <w:rPr>
            <w:rFonts w:cs="Arial"/>
            <w:noProof/>
            <w:webHidden/>
            <w:sz w:val="20"/>
            <w:szCs w:val="20"/>
          </w:rPr>
          <w:fldChar w:fldCharType="end"/>
        </w:r>
      </w:hyperlink>
    </w:p>
    <w:p w14:paraId="59348F77" w14:textId="48195213" w:rsidR="00CB4E93" w:rsidRPr="00CB4E93" w:rsidRDefault="00CB4E93" w:rsidP="00CB4E93">
      <w:pPr>
        <w:pStyle w:val="TM3"/>
        <w:tabs>
          <w:tab w:val="right" w:leader="dot" w:pos="9062"/>
        </w:tabs>
        <w:spacing w:before="60" w:after="0" w:line="240" w:lineRule="auto"/>
        <w:contextualSpacing/>
        <w:rPr>
          <w:rFonts w:eastAsiaTheme="minorEastAsia" w:cs="Arial"/>
          <w:noProof/>
          <w:color w:val="auto"/>
          <w:sz w:val="20"/>
          <w:szCs w:val="20"/>
          <w:lang w:eastAsia="fr-FR"/>
        </w:rPr>
      </w:pPr>
      <w:hyperlink w:anchor="_Toc52869650" w:history="1">
        <w:r w:rsidRPr="00CB4E93">
          <w:rPr>
            <w:rStyle w:val="Lienhypertexte"/>
            <w:rFonts w:eastAsiaTheme="majorEastAsia" w:cs="Arial"/>
            <w:i/>
            <w:noProof/>
            <w:sz w:val="20"/>
            <w:szCs w:val="20"/>
          </w:rPr>
          <w:t>4.2.2 - Organisation et tenue de la séance de consultation</w:t>
        </w:r>
        <w:r w:rsidRPr="00CB4E93">
          <w:rPr>
            <w:rFonts w:cs="Arial"/>
            <w:noProof/>
            <w:webHidden/>
            <w:sz w:val="20"/>
            <w:szCs w:val="20"/>
          </w:rPr>
          <w:tab/>
        </w:r>
        <w:r w:rsidRPr="00CB4E93">
          <w:rPr>
            <w:rFonts w:cs="Arial"/>
            <w:noProof/>
            <w:webHidden/>
            <w:sz w:val="20"/>
            <w:szCs w:val="20"/>
          </w:rPr>
          <w:fldChar w:fldCharType="begin"/>
        </w:r>
        <w:r w:rsidRPr="00CB4E93">
          <w:rPr>
            <w:rFonts w:cs="Arial"/>
            <w:noProof/>
            <w:webHidden/>
            <w:sz w:val="20"/>
            <w:szCs w:val="20"/>
          </w:rPr>
          <w:instrText xml:space="preserve"> PAGEREF _Toc52869650 \h </w:instrText>
        </w:r>
        <w:r w:rsidRPr="00CB4E93">
          <w:rPr>
            <w:rFonts w:cs="Arial"/>
            <w:noProof/>
            <w:webHidden/>
            <w:sz w:val="20"/>
            <w:szCs w:val="20"/>
          </w:rPr>
        </w:r>
        <w:r w:rsidRPr="00CB4E93">
          <w:rPr>
            <w:rFonts w:cs="Arial"/>
            <w:noProof/>
            <w:webHidden/>
            <w:sz w:val="20"/>
            <w:szCs w:val="20"/>
          </w:rPr>
          <w:fldChar w:fldCharType="separate"/>
        </w:r>
        <w:r w:rsidR="009E27E4">
          <w:rPr>
            <w:rFonts w:cs="Arial"/>
            <w:noProof/>
            <w:webHidden/>
            <w:sz w:val="20"/>
            <w:szCs w:val="20"/>
          </w:rPr>
          <w:t>93</w:t>
        </w:r>
        <w:r w:rsidRPr="00CB4E93">
          <w:rPr>
            <w:rFonts w:cs="Arial"/>
            <w:noProof/>
            <w:webHidden/>
            <w:sz w:val="20"/>
            <w:szCs w:val="20"/>
          </w:rPr>
          <w:fldChar w:fldCharType="end"/>
        </w:r>
      </w:hyperlink>
    </w:p>
    <w:p w14:paraId="5070ACEF" w14:textId="3EEE0D7B" w:rsidR="00CB4E93" w:rsidRPr="00CB4E93" w:rsidRDefault="00CB4E93" w:rsidP="00CB4E93">
      <w:pPr>
        <w:pStyle w:val="TM1"/>
        <w:tabs>
          <w:tab w:val="right" w:leader="dot" w:pos="9062"/>
        </w:tabs>
        <w:spacing w:before="60" w:after="0" w:line="240" w:lineRule="auto"/>
        <w:contextualSpacing/>
        <w:rPr>
          <w:rFonts w:ascii="Arial" w:eastAsiaTheme="minorEastAsia" w:hAnsi="Arial" w:cs="Arial"/>
          <w:b w:val="0"/>
          <w:bCs w:val="0"/>
          <w:caps w:val="0"/>
          <w:noProof/>
          <w:color w:val="auto"/>
          <w:lang w:eastAsia="fr-FR"/>
        </w:rPr>
      </w:pPr>
      <w:hyperlink w:anchor="_Toc52869651" w:history="1">
        <w:r w:rsidRPr="00CB4E93">
          <w:rPr>
            <w:rStyle w:val="Lienhypertexte"/>
            <w:rFonts w:ascii="Arial" w:hAnsi="Arial" w:cs="Arial"/>
            <w:noProof/>
          </w:rPr>
          <w:t>5. DESCRIPTION DU PROJET</w:t>
        </w:r>
        <w:r w:rsidRPr="00CB4E93">
          <w:rPr>
            <w:rFonts w:ascii="Arial" w:hAnsi="Arial" w:cs="Arial"/>
            <w:noProof/>
            <w:webHidden/>
          </w:rPr>
          <w:tab/>
        </w:r>
        <w:r w:rsidRPr="00CB4E93">
          <w:rPr>
            <w:rFonts w:ascii="Arial" w:hAnsi="Arial" w:cs="Arial"/>
            <w:noProof/>
            <w:webHidden/>
          </w:rPr>
          <w:fldChar w:fldCharType="begin"/>
        </w:r>
        <w:r w:rsidRPr="00CB4E93">
          <w:rPr>
            <w:rFonts w:ascii="Arial" w:hAnsi="Arial" w:cs="Arial"/>
            <w:noProof/>
            <w:webHidden/>
          </w:rPr>
          <w:instrText xml:space="preserve"> PAGEREF _Toc52869651 \h </w:instrText>
        </w:r>
        <w:r w:rsidRPr="00CB4E93">
          <w:rPr>
            <w:rFonts w:ascii="Arial" w:hAnsi="Arial" w:cs="Arial"/>
            <w:noProof/>
            <w:webHidden/>
          </w:rPr>
        </w:r>
        <w:r w:rsidRPr="00CB4E93">
          <w:rPr>
            <w:rFonts w:ascii="Arial" w:hAnsi="Arial" w:cs="Arial"/>
            <w:noProof/>
            <w:webHidden/>
          </w:rPr>
          <w:fldChar w:fldCharType="separate"/>
        </w:r>
        <w:r w:rsidR="009E27E4">
          <w:rPr>
            <w:rFonts w:ascii="Arial" w:hAnsi="Arial" w:cs="Arial"/>
            <w:noProof/>
            <w:webHidden/>
          </w:rPr>
          <w:t>96</w:t>
        </w:r>
        <w:r w:rsidRPr="00CB4E93">
          <w:rPr>
            <w:rFonts w:ascii="Arial" w:hAnsi="Arial" w:cs="Arial"/>
            <w:noProof/>
            <w:webHidden/>
          </w:rPr>
          <w:fldChar w:fldCharType="end"/>
        </w:r>
      </w:hyperlink>
    </w:p>
    <w:p w14:paraId="0DA72B76" w14:textId="75B50317" w:rsidR="00CB4E93" w:rsidRPr="00CB4E93" w:rsidRDefault="00CB4E93" w:rsidP="00CB4E93">
      <w:pPr>
        <w:pStyle w:val="TM2"/>
        <w:contextualSpacing/>
        <w:rPr>
          <w:rFonts w:eastAsiaTheme="minorEastAsia"/>
          <w:b w:val="0"/>
          <w:i w:val="0"/>
          <w:caps w:val="0"/>
          <w:color w:val="auto"/>
        </w:rPr>
      </w:pPr>
      <w:hyperlink w:anchor="_Toc52869652" w:history="1">
        <w:r w:rsidRPr="00CB4E93">
          <w:rPr>
            <w:rStyle w:val="Lienhypertexte"/>
            <w:rFonts w:eastAsiaTheme="majorEastAsia"/>
          </w:rPr>
          <w:t>5.1. Titre du projet</w:t>
        </w:r>
        <w:r w:rsidRPr="00CB4E93">
          <w:rPr>
            <w:webHidden/>
          </w:rPr>
          <w:tab/>
        </w:r>
        <w:r w:rsidRPr="00CB4E93">
          <w:rPr>
            <w:webHidden/>
          </w:rPr>
          <w:fldChar w:fldCharType="begin"/>
        </w:r>
        <w:r w:rsidRPr="00CB4E93">
          <w:rPr>
            <w:webHidden/>
          </w:rPr>
          <w:instrText xml:space="preserve"> PAGEREF _Toc52869652 \h </w:instrText>
        </w:r>
        <w:r w:rsidRPr="00CB4E93">
          <w:rPr>
            <w:webHidden/>
          </w:rPr>
        </w:r>
        <w:r w:rsidRPr="00CB4E93">
          <w:rPr>
            <w:webHidden/>
          </w:rPr>
          <w:fldChar w:fldCharType="separate"/>
        </w:r>
        <w:r w:rsidR="009E27E4">
          <w:rPr>
            <w:webHidden/>
          </w:rPr>
          <w:t>96</w:t>
        </w:r>
        <w:r w:rsidRPr="00CB4E93">
          <w:rPr>
            <w:webHidden/>
          </w:rPr>
          <w:fldChar w:fldCharType="end"/>
        </w:r>
      </w:hyperlink>
    </w:p>
    <w:p w14:paraId="613B1127" w14:textId="2B1093B3" w:rsidR="00CB4E93" w:rsidRPr="00CB4E93" w:rsidRDefault="00CB4E93" w:rsidP="00CB4E93">
      <w:pPr>
        <w:pStyle w:val="TM2"/>
        <w:contextualSpacing/>
        <w:rPr>
          <w:rFonts w:eastAsiaTheme="minorEastAsia"/>
          <w:b w:val="0"/>
          <w:i w:val="0"/>
          <w:caps w:val="0"/>
          <w:color w:val="auto"/>
        </w:rPr>
      </w:pPr>
      <w:hyperlink w:anchor="_Toc52869653" w:history="1">
        <w:r w:rsidRPr="00CB4E93">
          <w:rPr>
            <w:rStyle w:val="Lienhypertexte"/>
            <w:rFonts w:eastAsiaTheme="majorEastAsia"/>
          </w:rPr>
          <w:t>5.2- Type de projet</w:t>
        </w:r>
        <w:r w:rsidRPr="00CB4E93">
          <w:rPr>
            <w:webHidden/>
          </w:rPr>
          <w:tab/>
        </w:r>
        <w:r w:rsidRPr="00CB4E93">
          <w:rPr>
            <w:webHidden/>
          </w:rPr>
          <w:fldChar w:fldCharType="begin"/>
        </w:r>
        <w:r w:rsidRPr="00CB4E93">
          <w:rPr>
            <w:webHidden/>
          </w:rPr>
          <w:instrText xml:space="preserve"> PAGEREF _Toc52869653 \h </w:instrText>
        </w:r>
        <w:r w:rsidRPr="00CB4E93">
          <w:rPr>
            <w:webHidden/>
          </w:rPr>
        </w:r>
        <w:r w:rsidRPr="00CB4E93">
          <w:rPr>
            <w:webHidden/>
          </w:rPr>
          <w:fldChar w:fldCharType="separate"/>
        </w:r>
        <w:r w:rsidR="009E27E4">
          <w:rPr>
            <w:webHidden/>
          </w:rPr>
          <w:t>96</w:t>
        </w:r>
        <w:r w:rsidRPr="00CB4E93">
          <w:rPr>
            <w:webHidden/>
          </w:rPr>
          <w:fldChar w:fldCharType="end"/>
        </w:r>
      </w:hyperlink>
    </w:p>
    <w:p w14:paraId="320DE35B" w14:textId="138AB5C4" w:rsidR="00CB4E93" w:rsidRPr="00CB4E93" w:rsidRDefault="00CB4E93" w:rsidP="00CB4E93">
      <w:pPr>
        <w:pStyle w:val="TM2"/>
        <w:contextualSpacing/>
        <w:rPr>
          <w:rFonts w:eastAsiaTheme="minorEastAsia"/>
          <w:b w:val="0"/>
          <w:i w:val="0"/>
          <w:caps w:val="0"/>
          <w:color w:val="auto"/>
        </w:rPr>
      </w:pPr>
      <w:hyperlink w:anchor="_Toc52869654" w:history="1">
        <w:r w:rsidRPr="00CB4E93">
          <w:rPr>
            <w:rStyle w:val="Lienhypertexte"/>
            <w:rFonts w:eastAsiaTheme="majorEastAsia"/>
          </w:rPr>
          <w:t>5.3 contenu du projet</w:t>
        </w:r>
        <w:r w:rsidRPr="00CB4E93">
          <w:rPr>
            <w:webHidden/>
          </w:rPr>
          <w:tab/>
        </w:r>
        <w:r w:rsidRPr="00CB4E93">
          <w:rPr>
            <w:webHidden/>
          </w:rPr>
          <w:fldChar w:fldCharType="begin"/>
        </w:r>
        <w:r w:rsidRPr="00CB4E93">
          <w:rPr>
            <w:webHidden/>
          </w:rPr>
          <w:instrText xml:space="preserve"> PAGEREF _Toc52869654 \h </w:instrText>
        </w:r>
        <w:r w:rsidRPr="00CB4E93">
          <w:rPr>
            <w:webHidden/>
          </w:rPr>
        </w:r>
        <w:r w:rsidRPr="00CB4E93">
          <w:rPr>
            <w:webHidden/>
          </w:rPr>
          <w:fldChar w:fldCharType="separate"/>
        </w:r>
        <w:r w:rsidR="009E27E4">
          <w:rPr>
            <w:webHidden/>
          </w:rPr>
          <w:t>96</w:t>
        </w:r>
        <w:r w:rsidRPr="00CB4E93">
          <w:rPr>
            <w:webHidden/>
          </w:rPr>
          <w:fldChar w:fldCharType="end"/>
        </w:r>
      </w:hyperlink>
    </w:p>
    <w:p w14:paraId="59D7D9E5" w14:textId="0450D89E" w:rsidR="00CB4E93" w:rsidRPr="00CB4E93" w:rsidRDefault="00CB4E93" w:rsidP="00CB4E93">
      <w:pPr>
        <w:pStyle w:val="TM3"/>
        <w:tabs>
          <w:tab w:val="right" w:leader="dot" w:pos="9062"/>
        </w:tabs>
        <w:spacing w:before="60" w:after="0" w:line="240" w:lineRule="auto"/>
        <w:contextualSpacing/>
        <w:rPr>
          <w:rFonts w:eastAsiaTheme="minorEastAsia" w:cs="Arial"/>
          <w:noProof/>
          <w:color w:val="auto"/>
          <w:sz w:val="20"/>
          <w:szCs w:val="20"/>
          <w:lang w:eastAsia="fr-FR"/>
        </w:rPr>
      </w:pPr>
      <w:hyperlink w:anchor="_Toc52869655" w:history="1">
        <w:r w:rsidRPr="00CB4E93">
          <w:rPr>
            <w:rStyle w:val="Lienhypertexte"/>
            <w:rFonts w:eastAsiaTheme="majorEastAsia" w:cs="Arial"/>
            <w:i/>
            <w:noProof/>
            <w:sz w:val="20"/>
            <w:szCs w:val="20"/>
          </w:rPr>
          <w:t>5.3.1. Présentation des ouvrages et rues à aménager</w:t>
        </w:r>
        <w:r w:rsidRPr="00CB4E93">
          <w:rPr>
            <w:rFonts w:cs="Arial"/>
            <w:noProof/>
            <w:webHidden/>
            <w:sz w:val="20"/>
            <w:szCs w:val="20"/>
          </w:rPr>
          <w:tab/>
        </w:r>
        <w:r w:rsidRPr="00CB4E93">
          <w:rPr>
            <w:rFonts w:cs="Arial"/>
            <w:noProof/>
            <w:webHidden/>
            <w:sz w:val="20"/>
            <w:szCs w:val="20"/>
          </w:rPr>
          <w:fldChar w:fldCharType="begin"/>
        </w:r>
        <w:r w:rsidRPr="00CB4E93">
          <w:rPr>
            <w:rFonts w:cs="Arial"/>
            <w:noProof/>
            <w:webHidden/>
            <w:sz w:val="20"/>
            <w:szCs w:val="20"/>
          </w:rPr>
          <w:instrText xml:space="preserve"> PAGEREF _Toc52869655 \h </w:instrText>
        </w:r>
        <w:r w:rsidRPr="00CB4E93">
          <w:rPr>
            <w:rFonts w:cs="Arial"/>
            <w:noProof/>
            <w:webHidden/>
            <w:sz w:val="20"/>
            <w:szCs w:val="20"/>
          </w:rPr>
        </w:r>
        <w:r w:rsidRPr="00CB4E93">
          <w:rPr>
            <w:rFonts w:cs="Arial"/>
            <w:noProof/>
            <w:webHidden/>
            <w:sz w:val="20"/>
            <w:szCs w:val="20"/>
          </w:rPr>
          <w:fldChar w:fldCharType="separate"/>
        </w:r>
        <w:r w:rsidR="009E27E4">
          <w:rPr>
            <w:rFonts w:cs="Arial"/>
            <w:noProof/>
            <w:webHidden/>
            <w:sz w:val="20"/>
            <w:szCs w:val="20"/>
          </w:rPr>
          <w:t>97</w:t>
        </w:r>
        <w:r w:rsidRPr="00CB4E93">
          <w:rPr>
            <w:rFonts w:cs="Arial"/>
            <w:noProof/>
            <w:webHidden/>
            <w:sz w:val="20"/>
            <w:szCs w:val="20"/>
          </w:rPr>
          <w:fldChar w:fldCharType="end"/>
        </w:r>
      </w:hyperlink>
    </w:p>
    <w:p w14:paraId="48CF1D1A" w14:textId="187CFC37" w:rsidR="00CB4E93" w:rsidRPr="00CB4E93" w:rsidRDefault="00CB4E93" w:rsidP="00CB4E93">
      <w:pPr>
        <w:pStyle w:val="TM4"/>
        <w:tabs>
          <w:tab w:val="right" w:leader="dot" w:pos="9062"/>
        </w:tabs>
        <w:spacing w:before="60" w:after="0" w:line="240" w:lineRule="auto"/>
        <w:contextualSpacing/>
        <w:rPr>
          <w:rFonts w:eastAsiaTheme="minorEastAsia" w:cs="Arial"/>
          <w:noProof/>
          <w:color w:val="auto"/>
          <w:sz w:val="20"/>
          <w:szCs w:val="20"/>
          <w:lang w:eastAsia="fr-FR"/>
        </w:rPr>
      </w:pPr>
      <w:hyperlink w:anchor="_Toc52869656" w:history="1">
        <w:r w:rsidRPr="00CB4E93">
          <w:rPr>
            <w:rStyle w:val="Lienhypertexte"/>
            <w:rFonts w:cs="Arial"/>
            <w:noProof/>
            <w:sz w:val="20"/>
            <w:szCs w:val="20"/>
          </w:rPr>
          <w:t>5.3.1.1. Collecteurs à aménager</w:t>
        </w:r>
        <w:r w:rsidRPr="00CB4E93">
          <w:rPr>
            <w:rFonts w:cs="Arial"/>
            <w:noProof/>
            <w:webHidden/>
            <w:sz w:val="20"/>
            <w:szCs w:val="20"/>
          </w:rPr>
          <w:tab/>
        </w:r>
        <w:r w:rsidRPr="00CB4E93">
          <w:rPr>
            <w:rFonts w:cs="Arial"/>
            <w:noProof/>
            <w:webHidden/>
            <w:sz w:val="20"/>
            <w:szCs w:val="20"/>
          </w:rPr>
          <w:fldChar w:fldCharType="begin"/>
        </w:r>
        <w:r w:rsidRPr="00CB4E93">
          <w:rPr>
            <w:rFonts w:cs="Arial"/>
            <w:noProof/>
            <w:webHidden/>
            <w:sz w:val="20"/>
            <w:szCs w:val="20"/>
          </w:rPr>
          <w:instrText xml:space="preserve"> PAGEREF _Toc52869656 \h </w:instrText>
        </w:r>
        <w:r w:rsidRPr="00CB4E93">
          <w:rPr>
            <w:rFonts w:cs="Arial"/>
            <w:noProof/>
            <w:webHidden/>
            <w:sz w:val="20"/>
            <w:szCs w:val="20"/>
          </w:rPr>
        </w:r>
        <w:r w:rsidRPr="00CB4E93">
          <w:rPr>
            <w:rFonts w:cs="Arial"/>
            <w:noProof/>
            <w:webHidden/>
            <w:sz w:val="20"/>
            <w:szCs w:val="20"/>
          </w:rPr>
          <w:fldChar w:fldCharType="separate"/>
        </w:r>
        <w:r w:rsidR="009E27E4">
          <w:rPr>
            <w:rFonts w:cs="Arial"/>
            <w:noProof/>
            <w:webHidden/>
            <w:sz w:val="20"/>
            <w:szCs w:val="20"/>
          </w:rPr>
          <w:t>97</w:t>
        </w:r>
        <w:r w:rsidRPr="00CB4E93">
          <w:rPr>
            <w:rFonts w:cs="Arial"/>
            <w:noProof/>
            <w:webHidden/>
            <w:sz w:val="20"/>
            <w:szCs w:val="20"/>
          </w:rPr>
          <w:fldChar w:fldCharType="end"/>
        </w:r>
      </w:hyperlink>
    </w:p>
    <w:p w14:paraId="4C9C5266" w14:textId="116BA627" w:rsidR="00CB4E93" w:rsidRPr="00CB4E93" w:rsidRDefault="00CB4E93" w:rsidP="00CB4E93">
      <w:pPr>
        <w:pStyle w:val="TM1"/>
        <w:tabs>
          <w:tab w:val="right" w:leader="dot" w:pos="9062"/>
        </w:tabs>
        <w:spacing w:before="60" w:after="0" w:line="240" w:lineRule="auto"/>
        <w:contextualSpacing/>
        <w:rPr>
          <w:rFonts w:ascii="Arial" w:eastAsiaTheme="minorEastAsia" w:hAnsi="Arial" w:cs="Arial"/>
          <w:b w:val="0"/>
          <w:bCs w:val="0"/>
          <w:caps w:val="0"/>
          <w:noProof/>
          <w:color w:val="auto"/>
          <w:lang w:eastAsia="fr-FR"/>
        </w:rPr>
      </w:pPr>
      <w:hyperlink w:anchor="_Toc52869657" w:history="1">
        <w:r w:rsidRPr="00CB4E93">
          <w:rPr>
            <w:rStyle w:val="Lienhypertexte"/>
            <w:rFonts w:ascii="Arial" w:eastAsiaTheme="majorEastAsia" w:hAnsi="Arial" w:cs="Arial"/>
            <w:noProof/>
          </w:rPr>
          <w:t>6. ANALYSE DES choix et VARIANTES DU PROJET</w:t>
        </w:r>
        <w:r w:rsidRPr="00CB4E93">
          <w:rPr>
            <w:rFonts w:ascii="Arial" w:hAnsi="Arial" w:cs="Arial"/>
            <w:noProof/>
            <w:webHidden/>
          </w:rPr>
          <w:tab/>
        </w:r>
        <w:r w:rsidRPr="00CB4E93">
          <w:rPr>
            <w:rFonts w:ascii="Arial" w:hAnsi="Arial" w:cs="Arial"/>
            <w:noProof/>
            <w:webHidden/>
          </w:rPr>
          <w:fldChar w:fldCharType="begin"/>
        </w:r>
        <w:r w:rsidRPr="00CB4E93">
          <w:rPr>
            <w:rFonts w:ascii="Arial" w:hAnsi="Arial" w:cs="Arial"/>
            <w:noProof/>
            <w:webHidden/>
          </w:rPr>
          <w:instrText xml:space="preserve"> PAGEREF _Toc52869657 \h </w:instrText>
        </w:r>
        <w:r w:rsidRPr="00CB4E93">
          <w:rPr>
            <w:rFonts w:ascii="Arial" w:hAnsi="Arial" w:cs="Arial"/>
            <w:noProof/>
            <w:webHidden/>
          </w:rPr>
        </w:r>
        <w:r w:rsidRPr="00CB4E93">
          <w:rPr>
            <w:rFonts w:ascii="Arial" w:hAnsi="Arial" w:cs="Arial"/>
            <w:noProof/>
            <w:webHidden/>
          </w:rPr>
          <w:fldChar w:fldCharType="separate"/>
        </w:r>
        <w:r w:rsidR="009E27E4">
          <w:rPr>
            <w:rFonts w:ascii="Arial" w:hAnsi="Arial" w:cs="Arial"/>
            <w:noProof/>
            <w:webHidden/>
          </w:rPr>
          <w:t>106</w:t>
        </w:r>
        <w:r w:rsidRPr="00CB4E93">
          <w:rPr>
            <w:rFonts w:ascii="Arial" w:hAnsi="Arial" w:cs="Arial"/>
            <w:noProof/>
            <w:webHidden/>
          </w:rPr>
          <w:fldChar w:fldCharType="end"/>
        </w:r>
      </w:hyperlink>
    </w:p>
    <w:p w14:paraId="2411F8BC" w14:textId="353AE239" w:rsidR="00CB4E93" w:rsidRPr="00CB4E93" w:rsidRDefault="00CB4E93" w:rsidP="00CB4E93">
      <w:pPr>
        <w:pStyle w:val="TM2"/>
        <w:contextualSpacing/>
        <w:rPr>
          <w:rFonts w:eastAsiaTheme="minorEastAsia"/>
          <w:b w:val="0"/>
          <w:i w:val="0"/>
          <w:caps w:val="0"/>
          <w:color w:val="auto"/>
        </w:rPr>
      </w:pPr>
      <w:hyperlink w:anchor="_Toc52869658" w:history="1">
        <w:r w:rsidRPr="00CB4E93">
          <w:rPr>
            <w:rStyle w:val="Lienhypertexte"/>
            <w:rFonts w:eastAsiaTheme="majorEastAsia"/>
          </w:rPr>
          <w:t>6.1. ANALYSE DES variantes</w:t>
        </w:r>
        <w:r w:rsidRPr="00CB4E93">
          <w:rPr>
            <w:webHidden/>
          </w:rPr>
          <w:tab/>
        </w:r>
        <w:r w:rsidRPr="00CB4E93">
          <w:rPr>
            <w:webHidden/>
          </w:rPr>
          <w:fldChar w:fldCharType="begin"/>
        </w:r>
        <w:r w:rsidRPr="00CB4E93">
          <w:rPr>
            <w:webHidden/>
          </w:rPr>
          <w:instrText xml:space="preserve"> PAGEREF _Toc52869658 \h </w:instrText>
        </w:r>
        <w:r w:rsidRPr="00CB4E93">
          <w:rPr>
            <w:webHidden/>
          </w:rPr>
        </w:r>
        <w:r w:rsidRPr="00CB4E93">
          <w:rPr>
            <w:webHidden/>
          </w:rPr>
          <w:fldChar w:fldCharType="separate"/>
        </w:r>
        <w:r w:rsidR="009E27E4">
          <w:rPr>
            <w:webHidden/>
          </w:rPr>
          <w:t>106</w:t>
        </w:r>
        <w:r w:rsidRPr="00CB4E93">
          <w:rPr>
            <w:webHidden/>
          </w:rPr>
          <w:fldChar w:fldCharType="end"/>
        </w:r>
      </w:hyperlink>
    </w:p>
    <w:p w14:paraId="60800A6E" w14:textId="7F5C0378" w:rsidR="00CB4E93" w:rsidRPr="00CB4E93" w:rsidRDefault="00CB4E93" w:rsidP="00CB4E93">
      <w:pPr>
        <w:pStyle w:val="TM3"/>
        <w:tabs>
          <w:tab w:val="right" w:leader="dot" w:pos="9062"/>
        </w:tabs>
        <w:spacing w:before="60" w:after="0" w:line="240" w:lineRule="auto"/>
        <w:contextualSpacing/>
        <w:rPr>
          <w:rFonts w:eastAsiaTheme="minorEastAsia" w:cs="Arial"/>
          <w:noProof/>
          <w:color w:val="auto"/>
          <w:sz w:val="20"/>
          <w:szCs w:val="20"/>
          <w:lang w:eastAsia="fr-FR"/>
        </w:rPr>
      </w:pPr>
      <w:hyperlink w:anchor="_Toc52869659" w:history="1">
        <w:r w:rsidRPr="00CB4E93">
          <w:rPr>
            <w:rStyle w:val="Lienhypertexte"/>
            <w:rFonts w:eastAsiaTheme="majorEastAsia" w:cs="Arial"/>
            <w:i/>
            <w:noProof/>
            <w:sz w:val="20"/>
            <w:szCs w:val="20"/>
          </w:rPr>
          <w:t>6.1.1. Analyse des variantes de Collecteurs</w:t>
        </w:r>
        <w:r w:rsidRPr="00CB4E93">
          <w:rPr>
            <w:rFonts w:cs="Arial"/>
            <w:noProof/>
            <w:webHidden/>
            <w:sz w:val="20"/>
            <w:szCs w:val="20"/>
          </w:rPr>
          <w:tab/>
        </w:r>
        <w:r w:rsidRPr="00CB4E93">
          <w:rPr>
            <w:rFonts w:cs="Arial"/>
            <w:noProof/>
            <w:webHidden/>
            <w:sz w:val="20"/>
            <w:szCs w:val="20"/>
          </w:rPr>
          <w:fldChar w:fldCharType="begin"/>
        </w:r>
        <w:r w:rsidRPr="00CB4E93">
          <w:rPr>
            <w:rFonts w:cs="Arial"/>
            <w:noProof/>
            <w:webHidden/>
            <w:sz w:val="20"/>
            <w:szCs w:val="20"/>
          </w:rPr>
          <w:instrText xml:space="preserve"> PAGEREF _Toc52869659 \h </w:instrText>
        </w:r>
        <w:r w:rsidRPr="00CB4E93">
          <w:rPr>
            <w:rFonts w:cs="Arial"/>
            <w:noProof/>
            <w:webHidden/>
            <w:sz w:val="20"/>
            <w:szCs w:val="20"/>
          </w:rPr>
        </w:r>
        <w:r w:rsidRPr="00CB4E93">
          <w:rPr>
            <w:rFonts w:cs="Arial"/>
            <w:noProof/>
            <w:webHidden/>
            <w:sz w:val="20"/>
            <w:szCs w:val="20"/>
          </w:rPr>
          <w:fldChar w:fldCharType="separate"/>
        </w:r>
        <w:r w:rsidR="009E27E4">
          <w:rPr>
            <w:rFonts w:cs="Arial"/>
            <w:noProof/>
            <w:webHidden/>
            <w:sz w:val="20"/>
            <w:szCs w:val="20"/>
          </w:rPr>
          <w:t>106</w:t>
        </w:r>
        <w:r w:rsidRPr="00CB4E93">
          <w:rPr>
            <w:rFonts w:cs="Arial"/>
            <w:noProof/>
            <w:webHidden/>
            <w:sz w:val="20"/>
            <w:szCs w:val="20"/>
          </w:rPr>
          <w:fldChar w:fldCharType="end"/>
        </w:r>
      </w:hyperlink>
    </w:p>
    <w:p w14:paraId="2B1CF867" w14:textId="397D09EC" w:rsidR="00CB4E93" w:rsidRPr="00CB4E93" w:rsidRDefault="00CB4E93" w:rsidP="00CB4E93">
      <w:pPr>
        <w:pStyle w:val="TM3"/>
        <w:tabs>
          <w:tab w:val="right" w:leader="dot" w:pos="9062"/>
        </w:tabs>
        <w:spacing w:before="60" w:after="0" w:line="240" w:lineRule="auto"/>
        <w:contextualSpacing/>
        <w:rPr>
          <w:rFonts w:eastAsiaTheme="minorEastAsia" w:cs="Arial"/>
          <w:noProof/>
          <w:color w:val="auto"/>
          <w:sz w:val="20"/>
          <w:szCs w:val="20"/>
          <w:lang w:eastAsia="fr-FR"/>
        </w:rPr>
      </w:pPr>
      <w:hyperlink w:anchor="_Toc52869660" w:history="1">
        <w:r w:rsidRPr="00CB4E93">
          <w:rPr>
            <w:rStyle w:val="Lienhypertexte"/>
            <w:rFonts w:eastAsiaTheme="majorEastAsia" w:cs="Arial"/>
            <w:i/>
            <w:noProof/>
            <w:sz w:val="20"/>
            <w:szCs w:val="20"/>
          </w:rPr>
          <w:t>6.1.2. Analyse des variantes de rues</w:t>
        </w:r>
        <w:r w:rsidRPr="00CB4E93">
          <w:rPr>
            <w:rFonts w:cs="Arial"/>
            <w:noProof/>
            <w:webHidden/>
            <w:sz w:val="20"/>
            <w:szCs w:val="20"/>
          </w:rPr>
          <w:tab/>
        </w:r>
        <w:r w:rsidRPr="00CB4E93">
          <w:rPr>
            <w:rFonts w:cs="Arial"/>
            <w:noProof/>
            <w:webHidden/>
            <w:sz w:val="20"/>
            <w:szCs w:val="20"/>
          </w:rPr>
          <w:fldChar w:fldCharType="begin"/>
        </w:r>
        <w:r w:rsidRPr="00CB4E93">
          <w:rPr>
            <w:rFonts w:cs="Arial"/>
            <w:noProof/>
            <w:webHidden/>
            <w:sz w:val="20"/>
            <w:szCs w:val="20"/>
          </w:rPr>
          <w:instrText xml:space="preserve"> PAGEREF _Toc52869660 \h </w:instrText>
        </w:r>
        <w:r w:rsidRPr="00CB4E93">
          <w:rPr>
            <w:rFonts w:cs="Arial"/>
            <w:noProof/>
            <w:webHidden/>
            <w:sz w:val="20"/>
            <w:szCs w:val="20"/>
          </w:rPr>
        </w:r>
        <w:r w:rsidRPr="00CB4E93">
          <w:rPr>
            <w:rFonts w:cs="Arial"/>
            <w:noProof/>
            <w:webHidden/>
            <w:sz w:val="20"/>
            <w:szCs w:val="20"/>
          </w:rPr>
          <w:fldChar w:fldCharType="separate"/>
        </w:r>
        <w:r w:rsidR="009E27E4">
          <w:rPr>
            <w:rFonts w:cs="Arial"/>
            <w:noProof/>
            <w:webHidden/>
            <w:sz w:val="20"/>
            <w:szCs w:val="20"/>
          </w:rPr>
          <w:t>107</w:t>
        </w:r>
        <w:r w:rsidRPr="00CB4E93">
          <w:rPr>
            <w:rFonts w:cs="Arial"/>
            <w:noProof/>
            <w:webHidden/>
            <w:sz w:val="20"/>
            <w:szCs w:val="20"/>
          </w:rPr>
          <w:fldChar w:fldCharType="end"/>
        </w:r>
      </w:hyperlink>
    </w:p>
    <w:p w14:paraId="1172441D" w14:textId="4DC183A7" w:rsidR="00CB4E93" w:rsidRPr="00CB4E93" w:rsidRDefault="00CB4E93" w:rsidP="00CB4E93">
      <w:pPr>
        <w:pStyle w:val="TM2"/>
        <w:contextualSpacing/>
        <w:rPr>
          <w:rFonts w:eastAsiaTheme="minorEastAsia"/>
          <w:b w:val="0"/>
          <w:i w:val="0"/>
          <w:caps w:val="0"/>
          <w:color w:val="auto"/>
        </w:rPr>
      </w:pPr>
      <w:hyperlink w:anchor="_Toc52869661" w:history="1">
        <w:r w:rsidRPr="00CB4E93">
          <w:rPr>
            <w:rStyle w:val="Lienhypertexte"/>
            <w:rFonts w:eastAsiaTheme="majorEastAsia"/>
          </w:rPr>
          <w:t>6.2. Présentation de la variante choisie</w:t>
        </w:r>
        <w:r w:rsidRPr="00CB4E93">
          <w:rPr>
            <w:webHidden/>
          </w:rPr>
          <w:tab/>
        </w:r>
        <w:r w:rsidRPr="00CB4E93">
          <w:rPr>
            <w:webHidden/>
          </w:rPr>
          <w:fldChar w:fldCharType="begin"/>
        </w:r>
        <w:r w:rsidRPr="00CB4E93">
          <w:rPr>
            <w:webHidden/>
          </w:rPr>
          <w:instrText xml:space="preserve"> PAGEREF _Toc52869661 \h </w:instrText>
        </w:r>
        <w:r w:rsidRPr="00CB4E93">
          <w:rPr>
            <w:webHidden/>
          </w:rPr>
        </w:r>
        <w:r w:rsidRPr="00CB4E93">
          <w:rPr>
            <w:webHidden/>
          </w:rPr>
          <w:fldChar w:fldCharType="separate"/>
        </w:r>
        <w:r w:rsidR="009E27E4">
          <w:rPr>
            <w:webHidden/>
          </w:rPr>
          <w:t>109</w:t>
        </w:r>
        <w:r w:rsidRPr="00CB4E93">
          <w:rPr>
            <w:webHidden/>
          </w:rPr>
          <w:fldChar w:fldCharType="end"/>
        </w:r>
      </w:hyperlink>
    </w:p>
    <w:p w14:paraId="67ABC4F4" w14:textId="3DACF4B4" w:rsidR="00CB4E93" w:rsidRPr="00CB4E93" w:rsidRDefault="00CB4E93" w:rsidP="00CB4E93">
      <w:pPr>
        <w:pStyle w:val="TM3"/>
        <w:tabs>
          <w:tab w:val="right" w:leader="dot" w:pos="9062"/>
        </w:tabs>
        <w:spacing w:before="60" w:after="0" w:line="240" w:lineRule="auto"/>
        <w:contextualSpacing/>
        <w:rPr>
          <w:rFonts w:eastAsiaTheme="minorEastAsia" w:cs="Arial"/>
          <w:noProof/>
          <w:color w:val="auto"/>
          <w:sz w:val="20"/>
          <w:szCs w:val="20"/>
          <w:lang w:eastAsia="fr-FR"/>
        </w:rPr>
      </w:pPr>
      <w:hyperlink w:anchor="_Toc52869662" w:history="1">
        <w:r w:rsidRPr="00CB4E93">
          <w:rPr>
            <w:rStyle w:val="Lienhypertexte"/>
            <w:rFonts w:eastAsiaTheme="majorEastAsia" w:cs="Arial"/>
            <w:i/>
            <w:noProof/>
            <w:sz w:val="20"/>
            <w:szCs w:val="20"/>
          </w:rPr>
          <w:t>6.2.1.  Les ouvrages et les rues retenues</w:t>
        </w:r>
        <w:r w:rsidRPr="00CB4E93">
          <w:rPr>
            <w:rFonts w:cs="Arial"/>
            <w:noProof/>
            <w:webHidden/>
            <w:sz w:val="20"/>
            <w:szCs w:val="20"/>
          </w:rPr>
          <w:tab/>
        </w:r>
        <w:r w:rsidRPr="00CB4E93">
          <w:rPr>
            <w:rFonts w:cs="Arial"/>
            <w:noProof/>
            <w:webHidden/>
            <w:sz w:val="20"/>
            <w:szCs w:val="20"/>
          </w:rPr>
          <w:fldChar w:fldCharType="begin"/>
        </w:r>
        <w:r w:rsidRPr="00CB4E93">
          <w:rPr>
            <w:rFonts w:cs="Arial"/>
            <w:noProof/>
            <w:webHidden/>
            <w:sz w:val="20"/>
            <w:szCs w:val="20"/>
          </w:rPr>
          <w:instrText xml:space="preserve"> PAGEREF _Toc52869662 \h </w:instrText>
        </w:r>
        <w:r w:rsidRPr="00CB4E93">
          <w:rPr>
            <w:rFonts w:cs="Arial"/>
            <w:noProof/>
            <w:webHidden/>
            <w:sz w:val="20"/>
            <w:szCs w:val="20"/>
          </w:rPr>
        </w:r>
        <w:r w:rsidRPr="00CB4E93">
          <w:rPr>
            <w:rFonts w:cs="Arial"/>
            <w:noProof/>
            <w:webHidden/>
            <w:sz w:val="20"/>
            <w:szCs w:val="20"/>
          </w:rPr>
          <w:fldChar w:fldCharType="separate"/>
        </w:r>
        <w:r w:rsidR="009E27E4">
          <w:rPr>
            <w:rFonts w:cs="Arial"/>
            <w:noProof/>
            <w:webHidden/>
            <w:sz w:val="20"/>
            <w:szCs w:val="20"/>
          </w:rPr>
          <w:t>109</w:t>
        </w:r>
        <w:r w:rsidRPr="00CB4E93">
          <w:rPr>
            <w:rFonts w:cs="Arial"/>
            <w:noProof/>
            <w:webHidden/>
            <w:sz w:val="20"/>
            <w:szCs w:val="20"/>
          </w:rPr>
          <w:fldChar w:fldCharType="end"/>
        </w:r>
      </w:hyperlink>
    </w:p>
    <w:p w14:paraId="43AFBC3A" w14:textId="08A41D12" w:rsidR="00CB4E93" w:rsidRPr="00CB4E93" w:rsidRDefault="00CB4E93" w:rsidP="00CB4E93">
      <w:pPr>
        <w:pStyle w:val="TM3"/>
        <w:tabs>
          <w:tab w:val="right" w:leader="dot" w:pos="9062"/>
        </w:tabs>
        <w:spacing w:before="60" w:after="0" w:line="240" w:lineRule="auto"/>
        <w:contextualSpacing/>
        <w:rPr>
          <w:rFonts w:eastAsiaTheme="minorEastAsia" w:cs="Arial"/>
          <w:noProof/>
          <w:color w:val="auto"/>
          <w:sz w:val="20"/>
          <w:szCs w:val="20"/>
          <w:lang w:eastAsia="fr-FR"/>
        </w:rPr>
      </w:pPr>
      <w:hyperlink w:anchor="_Toc52869663" w:history="1">
        <w:r w:rsidRPr="00CB4E93">
          <w:rPr>
            <w:rStyle w:val="Lienhypertexte"/>
            <w:rFonts w:eastAsiaTheme="majorEastAsia" w:cs="Arial"/>
            <w:noProof/>
            <w:sz w:val="20"/>
            <w:szCs w:val="20"/>
          </w:rPr>
          <w:t xml:space="preserve">6.2.1.1.  </w:t>
        </w:r>
        <w:r w:rsidRPr="00CB4E93">
          <w:rPr>
            <w:rStyle w:val="Lienhypertexte"/>
            <w:rFonts w:cs="Arial"/>
            <w:noProof/>
            <w:sz w:val="20"/>
            <w:szCs w:val="20"/>
          </w:rPr>
          <w:t>Collecteurs</w:t>
        </w:r>
        <w:r w:rsidRPr="00CB4E93">
          <w:rPr>
            <w:rFonts w:cs="Arial"/>
            <w:noProof/>
            <w:webHidden/>
            <w:sz w:val="20"/>
            <w:szCs w:val="20"/>
          </w:rPr>
          <w:tab/>
        </w:r>
        <w:r w:rsidRPr="00CB4E93">
          <w:rPr>
            <w:rFonts w:cs="Arial"/>
            <w:noProof/>
            <w:webHidden/>
            <w:sz w:val="20"/>
            <w:szCs w:val="20"/>
          </w:rPr>
          <w:fldChar w:fldCharType="begin"/>
        </w:r>
        <w:r w:rsidRPr="00CB4E93">
          <w:rPr>
            <w:rFonts w:cs="Arial"/>
            <w:noProof/>
            <w:webHidden/>
            <w:sz w:val="20"/>
            <w:szCs w:val="20"/>
          </w:rPr>
          <w:instrText xml:space="preserve"> PAGEREF _Toc52869663 \h </w:instrText>
        </w:r>
        <w:r w:rsidRPr="00CB4E93">
          <w:rPr>
            <w:rFonts w:cs="Arial"/>
            <w:noProof/>
            <w:webHidden/>
            <w:sz w:val="20"/>
            <w:szCs w:val="20"/>
          </w:rPr>
        </w:r>
        <w:r w:rsidRPr="00CB4E93">
          <w:rPr>
            <w:rFonts w:cs="Arial"/>
            <w:noProof/>
            <w:webHidden/>
            <w:sz w:val="20"/>
            <w:szCs w:val="20"/>
          </w:rPr>
          <w:fldChar w:fldCharType="separate"/>
        </w:r>
        <w:r w:rsidR="009E27E4">
          <w:rPr>
            <w:rFonts w:cs="Arial"/>
            <w:noProof/>
            <w:webHidden/>
            <w:sz w:val="20"/>
            <w:szCs w:val="20"/>
          </w:rPr>
          <w:t>109</w:t>
        </w:r>
        <w:r w:rsidRPr="00CB4E93">
          <w:rPr>
            <w:rFonts w:cs="Arial"/>
            <w:noProof/>
            <w:webHidden/>
            <w:sz w:val="20"/>
            <w:szCs w:val="20"/>
          </w:rPr>
          <w:fldChar w:fldCharType="end"/>
        </w:r>
      </w:hyperlink>
    </w:p>
    <w:p w14:paraId="47D4D303" w14:textId="4C72309E" w:rsidR="00CB4E93" w:rsidRPr="00CB4E93" w:rsidRDefault="00CB4E93" w:rsidP="00CB4E93">
      <w:pPr>
        <w:pStyle w:val="TM3"/>
        <w:tabs>
          <w:tab w:val="right" w:leader="dot" w:pos="9062"/>
        </w:tabs>
        <w:spacing w:before="60" w:after="0" w:line="240" w:lineRule="auto"/>
        <w:contextualSpacing/>
        <w:rPr>
          <w:rFonts w:eastAsiaTheme="minorEastAsia" w:cs="Arial"/>
          <w:noProof/>
          <w:color w:val="auto"/>
          <w:sz w:val="20"/>
          <w:szCs w:val="20"/>
          <w:lang w:eastAsia="fr-FR"/>
        </w:rPr>
      </w:pPr>
      <w:hyperlink w:anchor="_Toc52869664" w:history="1">
        <w:r w:rsidRPr="00CB4E93">
          <w:rPr>
            <w:rStyle w:val="Lienhypertexte"/>
            <w:rFonts w:eastAsiaTheme="majorEastAsia" w:cs="Arial"/>
            <w:noProof/>
            <w:sz w:val="20"/>
            <w:szCs w:val="20"/>
          </w:rPr>
          <w:t xml:space="preserve">6.2.1.1.  </w:t>
        </w:r>
        <w:r w:rsidRPr="00CB4E93">
          <w:rPr>
            <w:rStyle w:val="Lienhypertexte"/>
            <w:rFonts w:cs="Arial"/>
            <w:noProof/>
            <w:sz w:val="20"/>
            <w:szCs w:val="20"/>
          </w:rPr>
          <w:t>Rues à aménager</w:t>
        </w:r>
        <w:r w:rsidRPr="00CB4E93">
          <w:rPr>
            <w:rFonts w:cs="Arial"/>
            <w:noProof/>
            <w:webHidden/>
            <w:sz w:val="20"/>
            <w:szCs w:val="20"/>
          </w:rPr>
          <w:tab/>
        </w:r>
        <w:r w:rsidRPr="00CB4E93">
          <w:rPr>
            <w:rFonts w:cs="Arial"/>
            <w:noProof/>
            <w:webHidden/>
            <w:sz w:val="20"/>
            <w:szCs w:val="20"/>
          </w:rPr>
          <w:fldChar w:fldCharType="begin"/>
        </w:r>
        <w:r w:rsidRPr="00CB4E93">
          <w:rPr>
            <w:rFonts w:cs="Arial"/>
            <w:noProof/>
            <w:webHidden/>
            <w:sz w:val="20"/>
            <w:szCs w:val="20"/>
          </w:rPr>
          <w:instrText xml:space="preserve"> PAGEREF _Toc52869664 \h </w:instrText>
        </w:r>
        <w:r w:rsidRPr="00CB4E93">
          <w:rPr>
            <w:rFonts w:cs="Arial"/>
            <w:noProof/>
            <w:webHidden/>
            <w:sz w:val="20"/>
            <w:szCs w:val="20"/>
          </w:rPr>
        </w:r>
        <w:r w:rsidRPr="00CB4E93">
          <w:rPr>
            <w:rFonts w:cs="Arial"/>
            <w:noProof/>
            <w:webHidden/>
            <w:sz w:val="20"/>
            <w:szCs w:val="20"/>
          </w:rPr>
          <w:fldChar w:fldCharType="separate"/>
        </w:r>
        <w:r w:rsidR="009E27E4">
          <w:rPr>
            <w:rFonts w:cs="Arial"/>
            <w:noProof/>
            <w:webHidden/>
            <w:sz w:val="20"/>
            <w:szCs w:val="20"/>
          </w:rPr>
          <w:t>110</w:t>
        </w:r>
        <w:r w:rsidRPr="00CB4E93">
          <w:rPr>
            <w:rFonts w:cs="Arial"/>
            <w:noProof/>
            <w:webHidden/>
            <w:sz w:val="20"/>
            <w:szCs w:val="20"/>
          </w:rPr>
          <w:fldChar w:fldCharType="end"/>
        </w:r>
      </w:hyperlink>
    </w:p>
    <w:p w14:paraId="4AB0010A" w14:textId="087F39B0" w:rsidR="00CB4E93" w:rsidRPr="00CB4E93" w:rsidRDefault="00CB4E93" w:rsidP="00CB4E93">
      <w:pPr>
        <w:pStyle w:val="TM3"/>
        <w:tabs>
          <w:tab w:val="right" w:leader="dot" w:pos="9062"/>
        </w:tabs>
        <w:spacing w:before="60" w:after="0" w:line="240" w:lineRule="auto"/>
        <w:contextualSpacing/>
        <w:rPr>
          <w:rFonts w:eastAsiaTheme="minorEastAsia" w:cs="Arial"/>
          <w:noProof/>
          <w:color w:val="auto"/>
          <w:sz w:val="20"/>
          <w:szCs w:val="20"/>
          <w:lang w:eastAsia="fr-FR"/>
        </w:rPr>
      </w:pPr>
      <w:hyperlink w:anchor="_Toc52869665" w:history="1">
        <w:r w:rsidRPr="00CB4E93">
          <w:rPr>
            <w:rStyle w:val="Lienhypertexte"/>
            <w:rFonts w:eastAsiaTheme="majorEastAsia" w:cs="Arial"/>
            <w:i/>
            <w:noProof/>
            <w:sz w:val="20"/>
            <w:szCs w:val="20"/>
          </w:rPr>
          <w:t>6.2.2. Activités du projet</w:t>
        </w:r>
        <w:r w:rsidRPr="00CB4E93">
          <w:rPr>
            <w:rFonts w:cs="Arial"/>
            <w:noProof/>
            <w:webHidden/>
            <w:sz w:val="20"/>
            <w:szCs w:val="20"/>
          </w:rPr>
          <w:tab/>
        </w:r>
        <w:r w:rsidRPr="00CB4E93">
          <w:rPr>
            <w:rFonts w:cs="Arial"/>
            <w:noProof/>
            <w:webHidden/>
            <w:sz w:val="20"/>
            <w:szCs w:val="20"/>
          </w:rPr>
          <w:fldChar w:fldCharType="begin"/>
        </w:r>
        <w:r w:rsidRPr="00CB4E93">
          <w:rPr>
            <w:rFonts w:cs="Arial"/>
            <w:noProof/>
            <w:webHidden/>
            <w:sz w:val="20"/>
            <w:szCs w:val="20"/>
          </w:rPr>
          <w:instrText xml:space="preserve"> PAGEREF _Toc52869665 \h </w:instrText>
        </w:r>
        <w:r w:rsidRPr="00CB4E93">
          <w:rPr>
            <w:rFonts w:cs="Arial"/>
            <w:noProof/>
            <w:webHidden/>
            <w:sz w:val="20"/>
            <w:szCs w:val="20"/>
          </w:rPr>
        </w:r>
        <w:r w:rsidRPr="00CB4E93">
          <w:rPr>
            <w:rFonts w:cs="Arial"/>
            <w:noProof/>
            <w:webHidden/>
            <w:sz w:val="20"/>
            <w:szCs w:val="20"/>
          </w:rPr>
          <w:fldChar w:fldCharType="separate"/>
        </w:r>
        <w:r w:rsidR="009E27E4">
          <w:rPr>
            <w:rFonts w:cs="Arial"/>
            <w:noProof/>
            <w:webHidden/>
            <w:sz w:val="20"/>
            <w:szCs w:val="20"/>
          </w:rPr>
          <w:t>112</w:t>
        </w:r>
        <w:r w:rsidRPr="00CB4E93">
          <w:rPr>
            <w:rFonts w:cs="Arial"/>
            <w:noProof/>
            <w:webHidden/>
            <w:sz w:val="20"/>
            <w:szCs w:val="20"/>
          </w:rPr>
          <w:fldChar w:fldCharType="end"/>
        </w:r>
      </w:hyperlink>
    </w:p>
    <w:p w14:paraId="5D24CC80" w14:textId="63B7CC16" w:rsidR="00CB4E93" w:rsidRPr="00CB4E93" w:rsidRDefault="00CB4E93" w:rsidP="00CB4E93">
      <w:pPr>
        <w:pStyle w:val="TM4"/>
        <w:tabs>
          <w:tab w:val="right" w:leader="dot" w:pos="9062"/>
        </w:tabs>
        <w:spacing w:before="60" w:after="0" w:line="240" w:lineRule="auto"/>
        <w:contextualSpacing/>
        <w:rPr>
          <w:rFonts w:eastAsiaTheme="minorEastAsia" w:cs="Arial"/>
          <w:noProof/>
          <w:color w:val="auto"/>
          <w:sz w:val="20"/>
          <w:szCs w:val="20"/>
          <w:lang w:eastAsia="fr-FR"/>
        </w:rPr>
      </w:pPr>
      <w:hyperlink w:anchor="_Toc52869666" w:history="1">
        <w:r w:rsidRPr="00CB4E93">
          <w:rPr>
            <w:rStyle w:val="Lienhypertexte"/>
            <w:rFonts w:cs="Arial"/>
            <w:noProof/>
            <w:sz w:val="20"/>
            <w:szCs w:val="20"/>
          </w:rPr>
          <w:t>6.2.2.1.  Phase démarrage (Préparation des travaux)</w:t>
        </w:r>
        <w:r w:rsidRPr="00CB4E93">
          <w:rPr>
            <w:rFonts w:cs="Arial"/>
            <w:noProof/>
            <w:webHidden/>
            <w:sz w:val="20"/>
            <w:szCs w:val="20"/>
          </w:rPr>
          <w:tab/>
        </w:r>
        <w:r w:rsidRPr="00CB4E93">
          <w:rPr>
            <w:rFonts w:cs="Arial"/>
            <w:noProof/>
            <w:webHidden/>
            <w:sz w:val="20"/>
            <w:szCs w:val="20"/>
          </w:rPr>
          <w:fldChar w:fldCharType="begin"/>
        </w:r>
        <w:r w:rsidRPr="00CB4E93">
          <w:rPr>
            <w:rFonts w:cs="Arial"/>
            <w:noProof/>
            <w:webHidden/>
            <w:sz w:val="20"/>
            <w:szCs w:val="20"/>
          </w:rPr>
          <w:instrText xml:space="preserve"> PAGEREF _Toc52869666 \h </w:instrText>
        </w:r>
        <w:r w:rsidRPr="00CB4E93">
          <w:rPr>
            <w:rFonts w:cs="Arial"/>
            <w:noProof/>
            <w:webHidden/>
            <w:sz w:val="20"/>
            <w:szCs w:val="20"/>
          </w:rPr>
        </w:r>
        <w:r w:rsidRPr="00CB4E93">
          <w:rPr>
            <w:rFonts w:cs="Arial"/>
            <w:noProof/>
            <w:webHidden/>
            <w:sz w:val="20"/>
            <w:szCs w:val="20"/>
          </w:rPr>
          <w:fldChar w:fldCharType="separate"/>
        </w:r>
        <w:r w:rsidR="009E27E4">
          <w:rPr>
            <w:rFonts w:cs="Arial"/>
            <w:noProof/>
            <w:webHidden/>
            <w:sz w:val="20"/>
            <w:szCs w:val="20"/>
          </w:rPr>
          <w:t>112</w:t>
        </w:r>
        <w:r w:rsidRPr="00CB4E93">
          <w:rPr>
            <w:rFonts w:cs="Arial"/>
            <w:noProof/>
            <w:webHidden/>
            <w:sz w:val="20"/>
            <w:szCs w:val="20"/>
          </w:rPr>
          <w:fldChar w:fldCharType="end"/>
        </w:r>
      </w:hyperlink>
    </w:p>
    <w:p w14:paraId="67C62B9B" w14:textId="079B6CBC" w:rsidR="00CB4E93" w:rsidRPr="00CB4E93" w:rsidRDefault="00CB4E93" w:rsidP="00CB4E93">
      <w:pPr>
        <w:pStyle w:val="TM4"/>
        <w:tabs>
          <w:tab w:val="right" w:leader="dot" w:pos="9062"/>
        </w:tabs>
        <w:spacing w:before="60" w:after="0" w:line="240" w:lineRule="auto"/>
        <w:contextualSpacing/>
        <w:rPr>
          <w:rFonts w:eastAsiaTheme="minorEastAsia" w:cs="Arial"/>
          <w:noProof/>
          <w:color w:val="auto"/>
          <w:sz w:val="20"/>
          <w:szCs w:val="20"/>
          <w:lang w:eastAsia="fr-FR"/>
        </w:rPr>
      </w:pPr>
      <w:hyperlink w:anchor="_Toc52869667" w:history="1">
        <w:r w:rsidRPr="00CB4E93">
          <w:rPr>
            <w:rStyle w:val="Lienhypertexte"/>
            <w:rFonts w:cs="Arial"/>
            <w:noProof/>
            <w:sz w:val="20"/>
            <w:szCs w:val="20"/>
          </w:rPr>
          <w:t>6.2.2.2.  Phase des aménagements (Travaux)</w:t>
        </w:r>
        <w:r w:rsidRPr="00CB4E93">
          <w:rPr>
            <w:rFonts w:cs="Arial"/>
            <w:noProof/>
            <w:webHidden/>
            <w:sz w:val="20"/>
            <w:szCs w:val="20"/>
          </w:rPr>
          <w:tab/>
        </w:r>
        <w:r w:rsidRPr="00CB4E93">
          <w:rPr>
            <w:rFonts w:cs="Arial"/>
            <w:noProof/>
            <w:webHidden/>
            <w:sz w:val="20"/>
            <w:szCs w:val="20"/>
          </w:rPr>
          <w:fldChar w:fldCharType="begin"/>
        </w:r>
        <w:r w:rsidRPr="00CB4E93">
          <w:rPr>
            <w:rFonts w:cs="Arial"/>
            <w:noProof/>
            <w:webHidden/>
            <w:sz w:val="20"/>
            <w:szCs w:val="20"/>
          </w:rPr>
          <w:instrText xml:space="preserve"> PAGEREF _Toc52869667 \h </w:instrText>
        </w:r>
        <w:r w:rsidRPr="00CB4E93">
          <w:rPr>
            <w:rFonts w:cs="Arial"/>
            <w:noProof/>
            <w:webHidden/>
            <w:sz w:val="20"/>
            <w:szCs w:val="20"/>
          </w:rPr>
        </w:r>
        <w:r w:rsidRPr="00CB4E93">
          <w:rPr>
            <w:rFonts w:cs="Arial"/>
            <w:noProof/>
            <w:webHidden/>
            <w:sz w:val="20"/>
            <w:szCs w:val="20"/>
          </w:rPr>
          <w:fldChar w:fldCharType="separate"/>
        </w:r>
        <w:r w:rsidR="009E27E4">
          <w:rPr>
            <w:rFonts w:cs="Arial"/>
            <w:noProof/>
            <w:webHidden/>
            <w:sz w:val="20"/>
            <w:szCs w:val="20"/>
          </w:rPr>
          <w:t>113</w:t>
        </w:r>
        <w:r w:rsidRPr="00CB4E93">
          <w:rPr>
            <w:rFonts w:cs="Arial"/>
            <w:noProof/>
            <w:webHidden/>
            <w:sz w:val="20"/>
            <w:szCs w:val="20"/>
          </w:rPr>
          <w:fldChar w:fldCharType="end"/>
        </w:r>
      </w:hyperlink>
    </w:p>
    <w:p w14:paraId="3883C2BC" w14:textId="557131A5" w:rsidR="00CB4E93" w:rsidRPr="00CB4E93" w:rsidRDefault="00CB4E93" w:rsidP="00CB4E93">
      <w:pPr>
        <w:pStyle w:val="TM4"/>
        <w:tabs>
          <w:tab w:val="right" w:leader="dot" w:pos="9062"/>
        </w:tabs>
        <w:spacing w:before="60" w:after="0" w:line="240" w:lineRule="auto"/>
        <w:contextualSpacing/>
        <w:rPr>
          <w:rFonts w:eastAsiaTheme="minorEastAsia" w:cs="Arial"/>
          <w:noProof/>
          <w:color w:val="auto"/>
          <w:sz w:val="20"/>
          <w:szCs w:val="20"/>
          <w:lang w:eastAsia="fr-FR"/>
        </w:rPr>
      </w:pPr>
      <w:hyperlink w:anchor="_Toc52869668" w:history="1">
        <w:r w:rsidRPr="00CB4E93">
          <w:rPr>
            <w:rStyle w:val="Lienhypertexte"/>
            <w:rFonts w:cs="Arial"/>
            <w:noProof/>
            <w:sz w:val="20"/>
            <w:szCs w:val="20"/>
          </w:rPr>
          <w:t>6.2.2.3.  Phase d’exploitation</w:t>
        </w:r>
        <w:r w:rsidRPr="00CB4E93">
          <w:rPr>
            <w:rFonts w:cs="Arial"/>
            <w:noProof/>
            <w:webHidden/>
            <w:sz w:val="20"/>
            <w:szCs w:val="20"/>
          </w:rPr>
          <w:tab/>
        </w:r>
        <w:r w:rsidRPr="00CB4E93">
          <w:rPr>
            <w:rFonts w:cs="Arial"/>
            <w:noProof/>
            <w:webHidden/>
            <w:sz w:val="20"/>
            <w:szCs w:val="20"/>
          </w:rPr>
          <w:fldChar w:fldCharType="begin"/>
        </w:r>
        <w:r w:rsidRPr="00CB4E93">
          <w:rPr>
            <w:rFonts w:cs="Arial"/>
            <w:noProof/>
            <w:webHidden/>
            <w:sz w:val="20"/>
            <w:szCs w:val="20"/>
          </w:rPr>
          <w:instrText xml:space="preserve"> PAGEREF _Toc52869668 \h </w:instrText>
        </w:r>
        <w:r w:rsidRPr="00CB4E93">
          <w:rPr>
            <w:rFonts w:cs="Arial"/>
            <w:noProof/>
            <w:webHidden/>
            <w:sz w:val="20"/>
            <w:szCs w:val="20"/>
          </w:rPr>
        </w:r>
        <w:r w:rsidRPr="00CB4E93">
          <w:rPr>
            <w:rFonts w:cs="Arial"/>
            <w:noProof/>
            <w:webHidden/>
            <w:sz w:val="20"/>
            <w:szCs w:val="20"/>
          </w:rPr>
          <w:fldChar w:fldCharType="separate"/>
        </w:r>
        <w:r w:rsidR="009E27E4">
          <w:rPr>
            <w:rFonts w:cs="Arial"/>
            <w:noProof/>
            <w:webHidden/>
            <w:sz w:val="20"/>
            <w:szCs w:val="20"/>
          </w:rPr>
          <w:t>115</w:t>
        </w:r>
        <w:r w:rsidRPr="00CB4E93">
          <w:rPr>
            <w:rFonts w:cs="Arial"/>
            <w:noProof/>
            <w:webHidden/>
            <w:sz w:val="20"/>
            <w:szCs w:val="20"/>
          </w:rPr>
          <w:fldChar w:fldCharType="end"/>
        </w:r>
      </w:hyperlink>
    </w:p>
    <w:p w14:paraId="31D26F94" w14:textId="42B81E6E" w:rsidR="00CB4E93" w:rsidRPr="00CB4E93" w:rsidRDefault="00CB4E93" w:rsidP="00CB4E93">
      <w:pPr>
        <w:pStyle w:val="TM1"/>
        <w:tabs>
          <w:tab w:val="right" w:leader="dot" w:pos="9062"/>
        </w:tabs>
        <w:spacing w:before="60" w:after="0" w:line="240" w:lineRule="auto"/>
        <w:contextualSpacing/>
        <w:rPr>
          <w:rFonts w:ascii="Arial" w:eastAsiaTheme="minorEastAsia" w:hAnsi="Arial" w:cs="Arial"/>
          <w:b w:val="0"/>
          <w:bCs w:val="0"/>
          <w:caps w:val="0"/>
          <w:noProof/>
          <w:color w:val="auto"/>
          <w:lang w:eastAsia="fr-FR"/>
        </w:rPr>
      </w:pPr>
      <w:hyperlink w:anchor="_Toc52869669" w:history="1">
        <w:r w:rsidRPr="00CB4E93">
          <w:rPr>
            <w:rStyle w:val="Lienhypertexte"/>
            <w:rFonts w:ascii="Arial" w:eastAsiaTheme="majorEastAsia" w:hAnsi="Arial" w:cs="Arial"/>
            <w:noProof/>
          </w:rPr>
          <w:t>7. PRINCIPAUX ENJEUX ENVIRONNEMENTAUX ET SOCIAUX DU PROJET</w:t>
        </w:r>
        <w:r w:rsidRPr="00CB4E93">
          <w:rPr>
            <w:rFonts w:ascii="Arial" w:hAnsi="Arial" w:cs="Arial"/>
            <w:noProof/>
            <w:webHidden/>
          </w:rPr>
          <w:tab/>
        </w:r>
        <w:r w:rsidRPr="00CB4E93">
          <w:rPr>
            <w:rFonts w:ascii="Arial" w:hAnsi="Arial" w:cs="Arial"/>
            <w:noProof/>
            <w:webHidden/>
          </w:rPr>
          <w:fldChar w:fldCharType="begin"/>
        </w:r>
        <w:r w:rsidRPr="00CB4E93">
          <w:rPr>
            <w:rFonts w:ascii="Arial" w:hAnsi="Arial" w:cs="Arial"/>
            <w:noProof/>
            <w:webHidden/>
          </w:rPr>
          <w:instrText xml:space="preserve"> PAGEREF _Toc52869669 \h </w:instrText>
        </w:r>
        <w:r w:rsidRPr="00CB4E93">
          <w:rPr>
            <w:rFonts w:ascii="Arial" w:hAnsi="Arial" w:cs="Arial"/>
            <w:noProof/>
            <w:webHidden/>
          </w:rPr>
        </w:r>
        <w:r w:rsidRPr="00CB4E93">
          <w:rPr>
            <w:rFonts w:ascii="Arial" w:hAnsi="Arial" w:cs="Arial"/>
            <w:noProof/>
            <w:webHidden/>
          </w:rPr>
          <w:fldChar w:fldCharType="separate"/>
        </w:r>
        <w:r w:rsidR="009E27E4">
          <w:rPr>
            <w:rFonts w:ascii="Arial" w:hAnsi="Arial" w:cs="Arial"/>
            <w:noProof/>
            <w:webHidden/>
          </w:rPr>
          <w:t>116</w:t>
        </w:r>
        <w:r w:rsidRPr="00CB4E93">
          <w:rPr>
            <w:rFonts w:ascii="Arial" w:hAnsi="Arial" w:cs="Arial"/>
            <w:noProof/>
            <w:webHidden/>
          </w:rPr>
          <w:fldChar w:fldCharType="end"/>
        </w:r>
      </w:hyperlink>
    </w:p>
    <w:p w14:paraId="710F4CF7" w14:textId="02C7F1E8" w:rsidR="00CB4E93" w:rsidRPr="00CB4E93" w:rsidRDefault="00CB4E93" w:rsidP="00CB4E93">
      <w:pPr>
        <w:pStyle w:val="TM2"/>
        <w:contextualSpacing/>
        <w:rPr>
          <w:rFonts w:eastAsiaTheme="minorEastAsia"/>
          <w:b w:val="0"/>
          <w:i w:val="0"/>
          <w:caps w:val="0"/>
          <w:color w:val="auto"/>
        </w:rPr>
      </w:pPr>
      <w:hyperlink w:anchor="_Toc52869670" w:history="1">
        <w:r w:rsidRPr="00CB4E93">
          <w:rPr>
            <w:rStyle w:val="Lienhypertexte"/>
            <w:rFonts w:eastAsia="Calibri"/>
          </w:rPr>
          <w:t xml:space="preserve">7.1. </w:t>
        </w:r>
        <w:r w:rsidRPr="00CB4E93">
          <w:rPr>
            <w:rStyle w:val="Lienhypertexte"/>
            <w:rFonts w:eastAsiaTheme="majorEastAsia"/>
          </w:rPr>
          <w:t>Enjeux politiques et institutionnels</w:t>
        </w:r>
        <w:r w:rsidRPr="00CB4E93">
          <w:rPr>
            <w:webHidden/>
          </w:rPr>
          <w:tab/>
        </w:r>
        <w:r w:rsidRPr="00CB4E93">
          <w:rPr>
            <w:webHidden/>
          </w:rPr>
          <w:fldChar w:fldCharType="begin"/>
        </w:r>
        <w:r w:rsidRPr="00CB4E93">
          <w:rPr>
            <w:webHidden/>
          </w:rPr>
          <w:instrText xml:space="preserve"> PAGEREF _Toc52869670 \h </w:instrText>
        </w:r>
        <w:r w:rsidRPr="00CB4E93">
          <w:rPr>
            <w:webHidden/>
          </w:rPr>
        </w:r>
        <w:r w:rsidRPr="00CB4E93">
          <w:rPr>
            <w:webHidden/>
          </w:rPr>
          <w:fldChar w:fldCharType="separate"/>
        </w:r>
        <w:r w:rsidR="009E27E4">
          <w:rPr>
            <w:webHidden/>
          </w:rPr>
          <w:t>116</w:t>
        </w:r>
        <w:r w:rsidRPr="00CB4E93">
          <w:rPr>
            <w:webHidden/>
          </w:rPr>
          <w:fldChar w:fldCharType="end"/>
        </w:r>
      </w:hyperlink>
    </w:p>
    <w:p w14:paraId="73089584" w14:textId="21D319F7" w:rsidR="00CB4E93" w:rsidRPr="00CB4E93" w:rsidRDefault="00CB4E93" w:rsidP="00CB4E93">
      <w:pPr>
        <w:pStyle w:val="TM3"/>
        <w:tabs>
          <w:tab w:val="right" w:leader="dot" w:pos="9062"/>
        </w:tabs>
        <w:spacing w:before="60" w:after="0" w:line="240" w:lineRule="auto"/>
        <w:contextualSpacing/>
        <w:rPr>
          <w:rFonts w:eastAsiaTheme="minorEastAsia" w:cs="Arial"/>
          <w:noProof/>
          <w:color w:val="auto"/>
          <w:sz w:val="20"/>
          <w:szCs w:val="20"/>
          <w:lang w:eastAsia="fr-FR"/>
        </w:rPr>
      </w:pPr>
      <w:hyperlink w:anchor="_Toc52869671" w:history="1">
        <w:r w:rsidRPr="00CB4E93">
          <w:rPr>
            <w:rStyle w:val="Lienhypertexte"/>
            <w:rFonts w:eastAsiaTheme="majorEastAsia" w:cs="Arial"/>
            <w:i/>
            <w:noProof/>
            <w:sz w:val="20"/>
            <w:szCs w:val="20"/>
          </w:rPr>
          <w:t>7.1.1. Réponse aux objectifs du PAG</w:t>
        </w:r>
        <w:r w:rsidRPr="00CB4E93">
          <w:rPr>
            <w:rFonts w:cs="Arial"/>
            <w:noProof/>
            <w:webHidden/>
            <w:sz w:val="20"/>
            <w:szCs w:val="20"/>
          </w:rPr>
          <w:tab/>
        </w:r>
        <w:r w:rsidRPr="00CB4E93">
          <w:rPr>
            <w:rFonts w:cs="Arial"/>
            <w:noProof/>
            <w:webHidden/>
            <w:sz w:val="20"/>
            <w:szCs w:val="20"/>
          </w:rPr>
          <w:fldChar w:fldCharType="begin"/>
        </w:r>
        <w:r w:rsidRPr="00CB4E93">
          <w:rPr>
            <w:rFonts w:cs="Arial"/>
            <w:noProof/>
            <w:webHidden/>
            <w:sz w:val="20"/>
            <w:szCs w:val="20"/>
          </w:rPr>
          <w:instrText xml:space="preserve"> PAGEREF _Toc52869671 \h </w:instrText>
        </w:r>
        <w:r w:rsidRPr="00CB4E93">
          <w:rPr>
            <w:rFonts w:cs="Arial"/>
            <w:noProof/>
            <w:webHidden/>
            <w:sz w:val="20"/>
            <w:szCs w:val="20"/>
          </w:rPr>
        </w:r>
        <w:r w:rsidRPr="00CB4E93">
          <w:rPr>
            <w:rFonts w:cs="Arial"/>
            <w:noProof/>
            <w:webHidden/>
            <w:sz w:val="20"/>
            <w:szCs w:val="20"/>
          </w:rPr>
          <w:fldChar w:fldCharType="separate"/>
        </w:r>
        <w:r w:rsidR="009E27E4">
          <w:rPr>
            <w:rFonts w:cs="Arial"/>
            <w:noProof/>
            <w:webHidden/>
            <w:sz w:val="20"/>
            <w:szCs w:val="20"/>
          </w:rPr>
          <w:t>116</w:t>
        </w:r>
        <w:r w:rsidRPr="00CB4E93">
          <w:rPr>
            <w:rFonts w:cs="Arial"/>
            <w:noProof/>
            <w:webHidden/>
            <w:sz w:val="20"/>
            <w:szCs w:val="20"/>
          </w:rPr>
          <w:fldChar w:fldCharType="end"/>
        </w:r>
      </w:hyperlink>
    </w:p>
    <w:p w14:paraId="2B5CD779" w14:textId="6D08F8D8" w:rsidR="00CB4E93" w:rsidRPr="00CB4E93" w:rsidRDefault="00CB4E93" w:rsidP="00CB4E93">
      <w:pPr>
        <w:pStyle w:val="TM3"/>
        <w:tabs>
          <w:tab w:val="right" w:leader="dot" w:pos="9062"/>
        </w:tabs>
        <w:spacing w:before="60" w:after="0" w:line="240" w:lineRule="auto"/>
        <w:contextualSpacing/>
        <w:rPr>
          <w:rFonts w:eastAsiaTheme="minorEastAsia" w:cs="Arial"/>
          <w:noProof/>
          <w:color w:val="auto"/>
          <w:sz w:val="20"/>
          <w:szCs w:val="20"/>
          <w:lang w:eastAsia="fr-FR"/>
        </w:rPr>
      </w:pPr>
      <w:hyperlink w:anchor="_Toc52869672" w:history="1">
        <w:r w:rsidRPr="00CB4E93">
          <w:rPr>
            <w:rStyle w:val="Lienhypertexte"/>
            <w:rFonts w:eastAsiaTheme="majorEastAsia" w:cs="Arial"/>
            <w:i/>
            <w:noProof/>
            <w:sz w:val="20"/>
            <w:szCs w:val="20"/>
          </w:rPr>
          <w:t>7.1.2. Participation à la politique d’aménagement du territoire</w:t>
        </w:r>
        <w:r w:rsidRPr="00CB4E93">
          <w:rPr>
            <w:rFonts w:cs="Arial"/>
            <w:noProof/>
            <w:webHidden/>
            <w:sz w:val="20"/>
            <w:szCs w:val="20"/>
          </w:rPr>
          <w:tab/>
        </w:r>
        <w:r w:rsidRPr="00CB4E93">
          <w:rPr>
            <w:rFonts w:cs="Arial"/>
            <w:noProof/>
            <w:webHidden/>
            <w:sz w:val="20"/>
            <w:szCs w:val="20"/>
          </w:rPr>
          <w:fldChar w:fldCharType="begin"/>
        </w:r>
        <w:r w:rsidRPr="00CB4E93">
          <w:rPr>
            <w:rFonts w:cs="Arial"/>
            <w:noProof/>
            <w:webHidden/>
            <w:sz w:val="20"/>
            <w:szCs w:val="20"/>
          </w:rPr>
          <w:instrText xml:space="preserve"> PAGEREF _Toc52869672 \h </w:instrText>
        </w:r>
        <w:r w:rsidRPr="00CB4E93">
          <w:rPr>
            <w:rFonts w:cs="Arial"/>
            <w:noProof/>
            <w:webHidden/>
            <w:sz w:val="20"/>
            <w:szCs w:val="20"/>
          </w:rPr>
        </w:r>
        <w:r w:rsidRPr="00CB4E93">
          <w:rPr>
            <w:rFonts w:cs="Arial"/>
            <w:noProof/>
            <w:webHidden/>
            <w:sz w:val="20"/>
            <w:szCs w:val="20"/>
          </w:rPr>
          <w:fldChar w:fldCharType="separate"/>
        </w:r>
        <w:r w:rsidR="009E27E4">
          <w:rPr>
            <w:rFonts w:cs="Arial"/>
            <w:noProof/>
            <w:webHidden/>
            <w:sz w:val="20"/>
            <w:szCs w:val="20"/>
          </w:rPr>
          <w:t>116</w:t>
        </w:r>
        <w:r w:rsidRPr="00CB4E93">
          <w:rPr>
            <w:rFonts w:cs="Arial"/>
            <w:noProof/>
            <w:webHidden/>
            <w:sz w:val="20"/>
            <w:szCs w:val="20"/>
          </w:rPr>
          <w:fldChar w:fldCharType="end"/>
        </w:r>
      </w:hyperlink>
    </w:p>
    <w:p w14:paraId="23C313CD" w14:textId="795F5A2A" w:rsidR="00CB4E93" w:rsidRPr="00CB4E93" w:rsidRDefault="00CB4E93" w:rsidP="00CB4E93">
      <w:pPr>
        <w:pStyle w:val="TM2"/>
        <w:contextualSpacing/>
        <w:rPr>
          <w:rFonts w:eastAsiaTheme="minorEastAsia"/>
          <w:b w:val="0"/>
          <w:i w:val="0"/>
          <w:caps w:val="0"/>
          <w:color w:val="auto"/>
        </w:rPr>
      </w:pPr>
      <w:hyperlink w:anchor="_Toc52869673" w:history="1">
        <w:r w:rsidRPr="00CB4E93">
          <w:rPr>
            <w:rStyle w:val="Lienhypertexte"/>
            <w:rFonts w:eastAsiaTheme="majorEastAsia"/>
          </w:rPr>
          <w:t>7.2. Enjeux environnementaux</w:t>
        </w:r>
        <w:r w:rsidRPr="00CB4E93">
          <w:rPr>
            <w:webHidden/>
          </w:rPr>
          <w:tab/>
        </w:r>
        <w:r w:rsidRPr="00CB4E93">
          <w:rPr>
            <w:webHidden/>
          </w:rPr>
          <w:fldChar w:fldCharType="begin"/>
        </w:r>
        <w:r w:rsidRPr="00CB4E93">
          <w:rPr>
            <w:webHidden/>
          </w:rPr>
          <w:instrText xml:space="preserve"> PAGEREF _Toc52869673 \h </w:instrText>
        </w:r>
        <w:r w:rsidRPr="00CB4E93">
          <w:rPr>
            <w:webHidden/>
          </w:rPr>
        </w:r>
        <w:r w:rsidRPr="00CB4E93">
          <w:rPr>
            <w:webHidden/>
          </w:rPr>
          <w:fldChar w:fldCharType="separate"/>
        </w:r>
        <w:r w:rsidR="009E27E4">
          <w:rPr>
            <w:webHidden/>
          </w:rPr>
          <w:t>116</w:t>
        </w:r>
        <w:r w:rsidRPr="00CB4E93">
          <w:rPr>
            <w:webHidden/>
          </w:rPr>
          <w:fldChar w:fldCharType="end"/>
        </w:r>
      </w:hyperlink>
    </w:p>
    <w:p w14:paraId="0DDB66F5" w14:textId="21A736D3" w:rsidR="00CB4E93" w:rsidRPr="00CB4E93" w:rsidRDefault="00CB4E93" w:rsidP="00CB4E93">
      <w:pPr>
        <w:pStyle w:val="TM3"/>
        <w:tabs>
          <w:tab w:val="right" w:leader="dot" w:pos="9062"/>
        </w:tabs>
        <w:spacing w:before="60" w:after="0" w:line="240" w:lineRule="auto"/>
        <w:contextualSpacing/>
        <w:rPr>
          <w:rFonts w:eastAsiaTheme="minorEastAsia" w:cs="Arial"/>
          <w:noProof/>
          <w:color w:val="auto"/>
          <w:sz w:val="20"/>
          <w:szCs w:val="20"/>
          <w:lang w:eastAsia="fr-FR"/>
        </w:rPr>
      </w:pPr>
      <w:hyperlink w:anchor="_Toc52869674" w:history="1">
        <w:r w:rsidRPr="00CB4E93">
          <w:rPr>
            <w:rStyle w:val="Lienhypertexte"/>
            <w:rFonts w:eastAsiaTheme="majorEastAsia" w:cs="Arial"/>
            <w:i/>
            <w:noProof/>
            <w:sz w:val="20"/>
            <w:szCs w:val="20"/>
          </w:rPr>
          <w:t>7.2.1. Structuration de l’espace</w:t>
        </w:r>
        <w:r w:rsidRPr="00CB4E93">
          <w:rPr>
            <w:rFonts w:cs="Arial"/>
            <w:noProof/>
            <w:webHidden/>
            <w:sz w:val="20"/>
            <w:szCs w:val="20"/>
          </w:rPr>
          <w:tab/>
        </w:r>
        <w:r w:rsidRPr="00CB4E93">
          <w:rPr>
            <w:rFonts w:cs="Arial"/>
            <w:noProof/>
            <w:webHidden/>
            <w:sz w:val="20"/>
            <w:szCs w:val="20"/>
          </w:rPr>
          <w:fldChar w:fldCharType="begin"/>
        </w:r>
        <w:r w:rsidRPr="00CB4E93">
          <w:rPr>
            <w:rFonts w:cs="Arial"/>
            <w:noProof/>
            <w:webHidden/>
            <w:sz w:val="20"/>
            <w:szCs w:val="20"/>
          </w:rPr>
          <w:instrText xml:space="preserve"> PAGEREF _Toc52869674 \h </w:instrText>
        </w:r>
        <w:r w:rsidRPr="00CB4E93">
          <w:rPr>
            <w:rFonts w:cs="Arial"/>
            <w:noProof/>
            <w:webHidden/>
            <w:sz w:val="20"/>
            <w:szCs w:val="20"/>
          </w:rPr>
        </w:r>
        <w:r w:rsidRPr="00CB4E93">
          <w:rPr>
            <w:rFonts w:cs="Arial"/>
            <w:noProof/>
            <w:webHidden/>
            <w:sz w:val="20"/>
            <w:szCs w:val="20"/>
          </w:rPr>
          <w:fldChar w:fldCharType="separate"/>
        </w:r>
        <w:r w:rsidR="009E27E4">
          <w:rPr>
            <w:rFonts w:cs="Arial"/>
            <w:noProof/>
            <w:webHidden/>
            <w:sz w:val="20"/>
            <w:szCs w:val="20"/>
          </w:rPr>
          <w:t>116</w:t>
        </w:r>
        <w:r w:rsidRPr="00CB4E93">
          <w:rPr>
            <w:rFonts w:cs="Arial"/>
            <w:noProof/>
            <w:webHidden/>
            <w:sz w:val="20"/>
            <w:szCs w:val="20"/>
          </w:rPr>
          <w:fldChar w:fldCharType="end"/>
        </w:r>
      </w:hyperlink>
    </w:p>
    <w:p w14:paraId="3509836C" w14:textId="3C55DBEC" w:rsidR="00CB4E93" w:rsidRPr="00CB4E93" w:rsidRDefault="00CB4E93" w:rsidP="00CB4E93">
      <w:pPr>
        <w:pStyle w:val="TM3"/>
        <w:tabs>
          <w:tab w:val="right" w:leader="dot" w:pos="9062"/>
        </w:tabs>
        <w:spacing w:before="60" w:after="0" w:line="240" w:lineRule="auto"/>
        <w:contextualSpacing/>
        <w:rPr>
          <w:rFonts w:eastAsiaTheme="minorEastAsia" w:cs="Arial"/>
          <w:noProof/>
          <w:color w:val="auto"/>
          <w:sz w:val="20"/>
          <w:szCs w:val="20"/>
          <w:lang w:eastAsia="fr-FR"/>
        </w:rPr>
      </w:pPr>
      <w:hyperlink w:anchor="_Toc52869675" w:history="1">
        <w:r w:rsidRPr="00CB4E93">
          <w:rPr>
            <w:rStyle w:val="Lienhypertexte"/>
            <w:rFonts w:eastAsiaTheme="majorEastAsia" w:cs="Arial"/>
            <w:i/>
            <w:noProof/>
            <w:sz w:val="20"/>
            <w:szCs w:val="20"/>
          </w:rPr>
          <w:t>7.2.2. Meilleur assainissement de la ville</w:t>
        </w:r>
        <w:r w:rsidRPr="00CB4E93">
          <w:rPr>
            <w:rFonts w:cs="Arial"/>
            <w:noProof/>
            <w:webHidden/>
            <w:sz w:val="20"/>
            <w:szCs w:val="20"/>
          </w:rPr>
          <w:tab/>
        </w:r>
        <w:r w:rsidRPr="00CB4E93">
          <w:rPr>
            <w:rFonts w:cs="Arial"/>
            <w:noProof/>
            <w:webHidden/>
            <w:sz w:val="20"/>
            <w:szCs w:val="20"/>
          </w:rPr>
          <w:fldChar w:fldCharType="begin"/>
        </w:r>
        <w:r w:rsidRPr="00CB4E93">
          <w:rPr>
            <w:rFonts w:cs="Arial"/>
            <w:noProof/>
            <w:webHidden/>
            <w:sz w:val="20"/>
            <w:szCs w:val="20"/>
          </w:rPr>
          <w:instrText xml:space="preserve"> PAGEREF _Toc52869675 \h </w:instrText>
        </w:r>
        <w:r w:rsidRPr="00CB4E93">
          <w:rPr>
            <w:rFonts w:cs="Arial"/>
            <w:noProof/>
            <w:webHidden/>
            <w:sz w:val="20"/>
            <w:szCs w:val="20"/>
          </w:rPr>
        </w:r>
        <w:r w:rsidRPr="00CB4E93">
          <w:rPr>
            <w:rFonts w:cs="Arial"/>
            <w:noProof/>
            <w:webHidden/>
            <w:sz w:val="20"/>
            <w:szCs w:val="20"/>
          </w:rPr>
          <w:fldChar w:fldCharType="separate"/>
        </w:r>
        <w:r w:rsidR="009E27E4">
          <w:rPr>
            <w:rFonts w:cs="Arial"/>
            <w:noProof/>
            <w:webHidden/>
            <w:sz w:val="20"/>
            <w:szCs w:val="20"/>
          </w:rPr>
          <w:t>117</w:t>
        </w:r>
        <w:r w:rsidRPr="00CB4E93">
          <w:rPr>
            <w:rFonts w:cs="Arial"/>
            <w:noProof/>
            <w:webHidden/>
            <w:sz w:val="20"/>
            <w:szCs w:val="20"/>
          </w:rPr>
          <w:fldChar w:fldCharType="end"/>
        </w:r>
      </w:hyperlink>
    </w:p>
    <w:p w14:paraId="49038579" w14:textId="491FBBA3" w:rsidR="00CB4E93" w:rsidRPr="00CB4E93" w:rsidRDefault="00CB4E93" w:rsidP="00CB4E93">
      <w:pPr>
        <w:pStyle w:val="TM3"/>
        <w:tabs>
          <w:tab w:val="right" w:leader="dot" w:pos="9062"/>
        </w:tabs>
        <w:spacing w:before="60" w:after="0" w:line="240" w:lineRule="auto"/>
        <w:contextualSpacing/>
        <w:rPr>
          <w:rFonts w:eastAsiaTheme="minorEastAsia" w:cs="Arial"/>
          <w:noProof/>
          <w:color w:val="auto"/>
          <w:sz w:val="20"/>
          <w:szCs w:val="20"/>
          <w:lang w:eastAsia="fr-FR"/>
        </w:rPr>
      </w:pPr>
      <w:hyperlink w:anchor="_Toc52869676" w:history="1">
        <w:r w:rsidRPr="00CB4E93">
          <w:rPr>
            <w:rStyle w:val="Lienhypertexte"/>
            <w:rFonts w:eastAsiaTheme="majorEastAsia" w:cs="Arial"/>
            <w:i/>
            <w:noProof/>
            <w:sz w:val="20"/>
            <w:szCs w:val="20"/>
          </w:rPr>
          <w:t xml:space="preserve">7.2.3. </w:t>
        </w:r>
        <w:r w:rsidRPr="00CB4E93">
          <w:rPr>
            <w:rStyle w:val="Lienhypertexte"/>
            <w:rFonts w:eastAsia="Calibri" w:cs="Arial"/>
            <w:i/>
            <w:noProof/>
            <w:sz w:val="20"/>
            <w:szCs w:val="20"/>
          </w:rPr>
          <w:t>La préservation de la biodiversité</w:t>
        </w:r>
        <w:r w:rsidRPr="00CB4E93">
          <w:rPr>
            <w:rFonts w:cs="Arial"/>
            <w:noProof/>
            <w:webHidden/>
            <w:sz w:val="20"/>
            <w:szCs w:val="20"/>
          </w:rPr>
          <w:tab/>
        </w:r>
        <w:r w:rsidRPr="00CB4E93">
          <w:rPr>
            <w:rFonts w:cs="Arial"/>
            <w:noProof/>
            <w:webHidden/>
            <w:sz w:val="20"/>
            <w:szCs w:val="20"/>
          </w:rPr>
          <w:fldChar w:fldCharType="begin"/>
        </w:r>
        <w:r w:rsidRPr="00CB4E93">
          <w:rPr>
            <w:rFonts w:cs="Arial"/>
            <w:noProof/>
            <w:webHidden/>
            <w:sz w:val="20"/>
            <w:szCs w:val="20"/>
          </w:rPr>
          <w:instrText xml:space="preserve"> PAGEREF _Toc52869676 \h </w:instrText>
        </w:r>
        <w:r w:rsidRPr="00CB4E93">
          <w:rPr>
            <w:rFonts w:cs="Arial"/>
            <w:noProof/>
            <w:webHidden/>
            <w:sz w:val="20"/>
            <w:szCs w:val="20"/>
          </w:rPr>
        </w:r>
        <w:r w:rsidRPr="00CB4E93">
          <w:rPr>
            <w:rFonts w:cs="Arial"/>
            <w:noProof/>
            <w:webHidden/>
            <w:sz w:val="20"/>
            <w:szCs w:val="20"/>
          </w:rPr>
          <w:fldChar w:fldCharType="separate"/>
        </w:r>
        <w:r w:rsidR="009E27E4">
          <w:rPr>
            <w:rFonts w:cs="Arial"/>
            <w:noProof/>
            <w:webHidden/>
            <w:sz w:val="20"/>
            <w:szCs w:val="20"/>
          </w:rPr>
          <w:t>117</w:t>
        </w:r>
        <w:r w:rsidRPr="00CB4E93">
          <w:rPr>
            <w:rFonts w:cs="Arial"/>
            <w:noProof/>
            <w:webHidden/>
            <w:sz w:val="20"/>
            <w:szCs w:val="20"/>
          </w:rPr>
          <w:fldChar w:fldCharType="end"/>
        </w:r>
      </w:hyperlink>
    </w:p>
    <w:p w14:paraId="2724587D" w14:textId="5C81243B" w:rsidR="00CB4E93" w:rsidRPr="00CB4E93" w:rsidRDefault="00CB4E93" w:rsidP="00CB4E93">
      <w:pPr>
        <w:pStyle w:val="TM3"/>
        <w:tabs>
          <w:tab w:val="right" w:leader="dot" w:pos="9062"/>
        </w:tabs>
        <w:spacing w:before="60" w:after="0" w:line="240" w:lineRule="auto"/>
        <w:contextualSpacing/>
        <w:rPr>
          <w:rFonts w:eastAsiaTheme="minorEastAsia" w:cs="Arial"/>
          <w:noProof/>
          <w:color w:val="auto"/>
          <w:sz w:val="20"/>
          <w:szCs w:val="20"/>
          <w:lang w:eastAsia="fr-FR"/>
        </w:rPr>
      </w:pPr>
      <w:hyperlink w:anchor="_Toc52869677" w:history="1">
        <w:r w:rsidRPr="00CB4E93">
          <w:rPr>
            <w:rStyle w:val="Lienhypertexte"/>
            <w:rFonts w:eastAsiaTheme="majorEastAsia" w:cs="Arial"/>
            <w:i/>
            <w:noProof/>
            <w:sz w:val="20"/>
            <w:szCs w:val="20"/>
          </w:rPr>
          <w:t xml:space="preserve">7.2.4. </w:t>
        </w:r>
        <w:r w:rsidRPr="00CB4E93">
          <w:rPr>
            <w:rStyle w:val="Lienhypertexte"/>
            <w:rFonts w:eastAsia="Calibri" w:cs="Arial"/>
            <w:i/>
            <w:noProof/>
            <w:sz w:val="20"/>
            <w:szCs w:val="20"/>
          </w:rPr>
          <w:t>Modification de l’aspect paysager</w:t>
        </w:r>
        <w:r w:rsidRPr="00CB4E93">
          <w:rPr>
            <w:rFonts w:cs="Arial"/>
            <w:noProof/>
            <w:webHidden/>
            <w:sz w:val="20"/>
            <w:szCs w:val="20"/>
          </w:rPr>
          <w:tab/>
        </w:r>
        <w:r w:rsidRPr="00CB4E93">
          <w:rPr>
            <w:rFonts w:cs="Arial"/>
            <w:noProof/>
            <w:webHidden/>
            <w:sz w:val="20"/>
            <w:szCs w:val="20"/>
          </w:rPr>
          <w:fldChar w:fldCharType="begin"/>
        </w:r>
        <w:r w:rsidRPr="00CB4E93">
          <w:rPr>
            <w:rFonts w:cs="Arial"/>
            <w:noProof/>
            <w:webHidden/>
            <w:sz w:val="20"/>
            <w:szCs w:val="20"/>
          </w:rPr>
          <w:instrText xml:space="preserve"> PAGEREF _Toc52869677 \h </w:instrText>
        </w:r>
        <w:r w:rsidRPr="00CB4E93">
          <w:rPr>
            <w:rFonts w:cs="Arial"/>
            <w:noProof/>
            <w:webHidden/>
            <w:sz w:val="20"/>
            <w:szCs w:val="20"/>
          </w:rPr>
        </w:r>
        <w:r w:rsidRPr="00CB4E93">
          <w:rPr>
            <w:rFonts w:cs="Arial"/>
            <w:noProof/>
            <w:webHidden/>
            <w:sz w:val="20"/>
            <w:szCs w:val="20"/>
          </w:rPr>
          <w:fldChar w:fldCharType="separate"/>
        </w:r>
        <w:r w:rsidR="009E27E4">
          <w:rPr>
            <w:rFonts w:cs="Arial"/>
            <w:noProof/>
            <w:webHidden/>
            <w:sz w:val="20"/>
            <w:szCs w:val="20"/>
          </w:rPr>
          <w:t>117</w:t>
        </w:r>
        <w:r w:rsidRPr="00CB4E93">
          <w:rPr>
            <w:rFonts w:cs="Arial"/>
            <w:noProof/>
            <w:webHidden/>
            <w:sz w:val="20"/>
            <w:szCs w:val="20"/>
          </w:rPr>
          <w:fldChar w:fldCharType="end"/>
        </w:r>
      </w:hyperlink>
    </w:p>
    <w:p w14:paraId="38636B9B" w14:textId="008830F9" w:rsidR="00CB4E93" w:rsidRPr="00CB4E93" w:rsidRDefault="00CB4E93" w:rsidP="00CB4E93">
      <w:pPr>
        <w:pStyle w:val="TM3"/>
        <w:tabs>
          <w:tab w:val="right" w:leader="dot" w:pos="9062"/>
        </w:tabs>
        <w:spacing w:before="60" w:after="0" w:line="240" w:lineRule="auto"/>
        <w:contextualSpacing/>
        <w:rPr>
          <w:rFonts w:eastAsiaTheme="minorEastAsia" w:cs="Arial"/>
          <w:noProof/>
          <w:color w:val="auto"/>
          <w:sz w:val="20"/>
          <w:szCs w:val="20"/>
          <w:lang w:eastAsia="fr-FR"/>
        </w:rPr>
      </w:pPr>
      <w:hyperlink w:anchor="_Toc52869678" w:history="1">
        <w:r w:rsidRPr="00CB4E93">
          <w:rPr>
            <w:rStyle w:val="Lienhypertexte"/>
            <w:rFonts w:eastAsiaTheme="majorEastAsia" w:cs="Arial"/>
            <w:i/>
            <w:noProof/>
            <w:sz w:val="20"/>
            <w:szCs w:val="20"/>
          </w:rPr>
          <w:t xml:space="preserve">7.2.5. </w:t>
        </w:r>
        <w:r w:rsidRPr="00CB4E93">
          <w:rPr>
            <w:rStyle w:val="Lienhypertexte"/>
            <w:rFonts w:eastAsia="Calibri" w:cs="Arial"/>
            <w:i/>
            <w:noProof/>
            <w:sz w:val="20"/>
            <w:szCs w:val="20"/>
          </w:rPr>
          <w:t>Déplacement des persones et des biens</w:t>
        </w:r>
        <w:r w:rsidRPr="00CB4E93">
          <w:rPr>
            <w:rFonts w:cs="Arial"/>
            <w:noProof/>
            <w:webHidden/>
            <w:sz w:val="20"/>
            <w:szCs w:val="20"/>
          </w:rPr>
          <w:tab/>
        </w:r>
        <w:r w:rsidRPr="00CB4E93">
          <w:rPr>
            <w:rFonts w:cs="Arial"/>
            <w:noProof/>
            <w:webHidden/>
            <w:sz w:val="20"/>
            <w:szCs w:val="20"/>
          </w:rPr>
          <w:fldChar w:fldCharType="begin"/>
        </w:r>
        <w:r w:rsidRPr="00CB4E93">
          <w:rPr>
            <w:rFonts w:cs="Arial"/>
            <w:noProof/>
            <w:webHidden/>
            <w:sz w:val="20"/>
            <w:szCs w:val="20"/>
          </w:rPr>
          <w:instrText xml:space="preserve"> PAGEREF _Toc52869678 \h </w:instrText>
        </w:r>
        <w:r w:rsidRPr="00CB4E93">
          <w:rPr>
            <w:rFonts w:cs="Arial"/>
            <w:noProof/>
            <w:webHidden/>
            <w:sz w:val="20"/>
            <w:szCs w:val="20"/>
          </w:rPr>
        </w:r>
        <w:r w:rsidRPr="00CB4E93">
          <w:rPr>
            <w:rFonts w:cs="Arial"/>
            <w:noProof/>
            <w:webHidden/>
            <w:sz w:val="20"/>
            <w:szCs w:val="20"/>
          </w:rPr>
          <w:fldChar w:fldCharType="separate"/>
        </w:r>
        <w:r w:rsidR="009E27E4">
          <w:rPr>
            <w:rFonts w:cs="Arial"/>
            <w:noProof/>
            <w:webHidden/>
            <w:sz w:val="20"/>
            <w:szCs w:val="20"/>
          </w:rPr>
          <w:t>117</w:t>
        </w:r>
        <w:r w:rsidRPr="00CB4E93">
          <w:rPr>
            <w:rFonts w:cs="Arial"/>
            <w:noProof/>
            <w:webHidden/>
            <w:sz w:val="20"/>
            <w:szCs w:val="20"/>
          </w:rPr>
          <w:fldChar w:fldCharType="end"/>
        </w:r>
      </w:hyperlink>
    </w:p>
    <w:p w14:paraId="5923FBFD" w14:textId="31956DB2" w:rsidR="00CB4E93" w:rsidRPr="00CB4E93" w:rsidRDefault="00CB4E93" w:rsidP="00CB4E93">
      <w:pPr>
        <w:pStyle w:val="TM3"/>
        <w:tabs>
          <w:tab w:val="right" w:leader="dot" w:pos="9062"/>
        </w:tabs>
        <w:spacing w:before="60" w:after="0" w:line="240" w:lineRule="auto"/>
        <w:contextualSpacing/>
        <w:rPr>
          <w:rFonts w:eastAsiaTheme="minorEastAsia" w:cs="Arial"/>
          <w:noProof/>
          <w:color w:val="auto"/>
          <w:sz w:val="20"/>
          <w:szCs w:val="20"/>
          <w:lang w:eastAsia="fr-FR"/>
        </w:rPr>
      </w:pPr>
      <w:hyperlink w:anchor="_Toc52869679" w:history="1">
        <w:r w:rsidRPr="00CB4E93">
          <w:rPr>
            <w:rStyle w:val="Lienhypertexte"/>
            <w:rFonts w:eastAsiaTheme="majorEastAsia" w:cs="Arial"/>
            <w:i/>
            <w:noProof/>
            <w:sz w:val="20"/>
            <w:szCs w:val="20"/>
          </w:rPr>
          <w:t>7.2.6. Amélioration des conditions de vie</w:t>
        </w:r>
        <w:r w:rsidRPr="00CB4E93">
          <w:rPr>
            <w:rFonts w:cs="Arial"/>
            <w:noProof/>
            <w:webHidden/>
            <w:sz w:val="20"/>
            <w:szCs w:val="20"/>
          </w:rPr>
          <w:tab/>
        </w:r>
        <w:r w:rsidRPr="00CB4E93">
          <w:rPr>
            <w:rFonts w:cs="Arial"/>
            <w:noProof/>
            <w:webHidden/>
            <w:sz w:val="20"/>
            <w:szCs w:val="20"/>
          </w:rPr>
          <w:fldChar w:fldCharType="begin"/>
        </w:r>
        <w:r w:rsidRPr="00CB4E93">
          <w:rPr>
            <w:rFonts w:cs="Arial"/>
            <w:noProof/>
            <w:webHidden/>
            <w:sz w:val="20"/>
            <w:szCs w:val="20"/>
          </w:rPr>
          <w:instrText xml:space="preserve"> PAGEREF _Toc52869679 \h </w:instrText>
        </w:r>
        <w:r w:rsidRPr="00CB4E93">
          <w:rPr>
            <w:rFonts w:cs="Arial"/>
            <w:noProof/>
            <w:webHidden/>
            <w:sz w:val="20"/>
            <w:szCs w:val="20"/>
          </w:rPr>
        </w:r>
        <w:r w:rsidRPr="00CB4E93">
          <w:rPr>
            <w:rFonts w:cs="Arial"/>
            <w:noProof/>
            <w:webHidden/>
            <w:sz w:val="20"/>
            <w:szCs w:val="20"/>
          </w:rPr>
          <w:fldChar w:fldCharType="separate"/>
        </w:r>
        <w:r w:rsidR="009E27E4">
          <w:rPr>
            <w:rFonts w:cs="Arial"/>
            <w:noProof/>
            <w:webHidden/>
            <w:sz w:val="20"/>
            <w:szCs w:val="20"/>
          </w:rPr>
          <w:t>117</w:t>
        </w:r>
        <w:r w:rsidRPr="00CB4E93">
          <w:rPr>
            <w:rFonts w:cs="Arial"/>
            <w:noProof/>
            <w:webHidden/>
            <w:sz w:val="20"/>
            <w:szCs w:val="20"/>
          </w:rPr>
          <w:fldChar w:fldCharType="end"/>
        </w:r>
      </w:hyperlink>
    </w:p>
    <w:p w14:paraId="5486FB37" w14:textId="6486A101" w:rsidR="00CB4E93" w:rsidRPr="00CB4E93" w:rsidRDefault="00CB4E93" w:rsidP="00CB4E93">
      <w:pPr>
        <w:pStyle w:val="TM2"/>
        <w:contextualSpacing/>
        <w:rPr>
          <w:rFonts w:eastAsiaTheme="minorEastAsia"/>
          <w:b w:val="0"/>
          <w:i w:val="0"/>
          <w:caps w:val="0"/>
          <w:color w:val="auto"/>
        </w:rPr>
      </w:pPr>
      <w:hyperlink w:anchor="_Toc52869680" w:history="1">
        <w:r w:rsidRPr="00CB4E93">
          <w:rPr>
            <w:rStyle w:val="Lienhypertexte"/>
            <w:rFonts w:eastAsiaTheme="majorEastAsia"/>
          </w:rPr>
          <w:t>7.3. Enjeux sur la santé</w:t>
        </w:r>
        <w:r w:rsidRPr="00CB4E93">
          <w:rPr>
            <w:webHidden/>
          </w:rPr>
          <w:tab/>
        </w:r>
        <w:r w:rsidRPr="00CB4E93">
          <w:rPr>
            <w:webHidden/>
          </w:rPr>
          <w:fldChar w:fldCharType="begin"/>
        </w:r>
        <w:r w:rsidRPr="00CB4E93">
          <w:rPr>
            <w:webHidden/>
          </w:rPr>
          <w:instrText xml:space="preserve"> PAGEREF _Toc52869680 \h </w:instrText>
        </w:r>
        <w:r w:rsidRPr="00CB4E93">
          <w:rPr>
            <w:webHidden/>
          </w:rPr>
        </w:r>
        <w:r w:rsidRPr="00CB4E93">
          <w:rPr>
            <w:webHidden/>
          </w:rPr>
          <w:fldChar w:fldCharType="separate"/>
        </w:r>
        <w:r w:rsidR="009E27E4">
          <w:rPr>
            <w:webHidden/>
          </w:rPr>
          <w:t>117</w:t>
        </w:r>
        <w:r w:rsidRPr="00CB4E93">
          <w:rPr>
            <w:webHidden/>
          </w:rPr>
          <w:fldChar w:fldCharType="end"/>
        </w:r>
      </w:hyperlink>
    </w:p>
    <w:p w14:paraId="596052CF" w14:textId="508F8C58" w:rsidR="00CB4E93" w:rsidRPr="00CB4E93" w:rsidRDefault="00CB4E93" w:rsidP="00CB4E93">
      <w:pPr>
        <w:pStyle w:val="TM3"/>
        <w:tabs>
          <w:tab w:val="right" w:leader="dot" w:pos="9062"/>
        </w:tabs>
        <w:spacing w:before="60" w:after="0" w:line="240" w:lineRule="auto"/>
        <w:contextualSpacing/>
        <w:rPr>
          <w:rFonts w:eastAsiaTheme="minorEastAsia" w:cs="Arial"/>
          <w:noProof/>
          <w:color w:val="auto"/>
          <w:sz w:val="20"/>
          <w:szCs w:val="20"/>
          <w:lang w:eastAsia="fr-FR"/>
        </w:rPr>
      </w:pPr>
      <w:hyperlink w:anchor="_Toc52869681" w:history="1">
        <w:r w:rsidRPr="00CB4E93">
          <w:rPr>
            <w:rStyle w:val="Lienhypertexte"/>
            <w:rFonts w:eastAsiaTheme="majorEastAsia" w:cs="Arial"/>
            <w:i/>
            <w:noProof/>
            <w:sz w:val="20"/>
            <w:szCs w:val="20"/>
          </w:rPr>
          <w:t>7.3.1. Amélioration de la santé</w:t>
        </w:r>
        <w:r w:rsidRPr="00CB4E93">
          <w:rPr>
            <w:rFonts w:cs="Arial"/>
            <w:noProof/>
            <w:webHidden/>
            <w:sz w:val="20"/>
            <w:szCs w:val="20"/>
          </w:rPr>
          <w:tab/>
        </w:r>
        <w:r w:rsidRPr="00CB4E93">
          <w:rPr>
            <w:rFonts w:cs="Arial"/>
            <w:noProof/>
            <w:webHidden/>
            <w:sz w:val="20"/>
            <w:szCs w:val="20"/>
          </w:rPr>
          <w:fldChar w:fldCharType="begin"/>
        </w:r>
        <w:r w:rsidRPr="00CB4E93">
          <w:rPr>
            <w:rFonts w:cs="Arial"/>
            <w:noProof/>
            <w:webHidden/>
            <w:sz w:val="20"/>
            <w:szCs w:val="20"/>
          </w:rPr>
          <w:instrText xml:space="preserve"> PAGEREF _Toc52869681 \h </w:instrText>
        </w:r>
        <w:r w:rsidRPr="00CB4E93">
          <w:rPr>
            <w:rFonts w:cs="Arial"/>
            <w:noProof/>
            <w:webHidden/>
            <w:sz w:val="20"/>
            <w:szCs w:val="20"/>
          </w:rPr>
        </w:r>
        <w:r w:rsidRPr="00CB4E93">
          <w:rPr>
            <w:rFonts w:cs="Arial"/>
            <w:noProof/>
            <w:webHidden/>
            <w:sz w:val="20"/>
            <w:szCs w:val="20"/>
          </w:rPr>
          <w:fldChar w:fldCharType="separate"/>
        </w:r>
        <w:r w:rsidR="009E27E4">
          <w:rPr>
            <w:rFonts w:cs="Arial"/>
            <w:noProof/>
            <w:webHidden/>
            <w:sz w:val="20"/>
            <w:szCs w:val="20"/>
          </w:rPr>
          <w:t>117</w:t>
        </w:r>
        <w:r w:rsidRPr="00CB4E93">
          <w:rPr>
            <w:rFonts w:cs="Arial"/>
            <w:noProof/>
            <w:webHidden/>
            <w:sz w:val="20"/>
            <w:szCs w:val="20"/>
          </w:rPr>
          <w:fldChar w:fldCharType="end"/>
        </w:r>
      </w:hyperlink>
    </w:p>
    <w:p w14:paraId="5F55A344" w14:textId="00446529" w:rsidR="00CB4E93" w:rsidRPr="00CB4E93" w:rsidRDefault="00CB4E93" w:rsidP="00CB4E93">
      <w:pPr>
        <w:pStyle w:val="TM3"/>
        <w:tabs>
          <w:tab w:val="right" w:leader="dot" w:pos="9062"/>
        </w:tabs>
        <w:spacing w:before="60" w:after="0" w:line="240" w:lineRule="auto"/>
        <w:contextualSpacing/>
        <w:rPr>
          <w:rFonts w:eastAsiaTheme="minorEastAsia" w:cs="Arial"/>
          <w:noProof/>
          <w:color w:val="auto"/>
          <w:sz w:val="20"/>
          <w:szCs w:val="20"/>
          <w:lang w:eastAsia="fr-FR"/>
        </w:rPr>
      </w:pPr>
      <w:hyperlink w:anchor="_Toc52869682" w:history="1">
        <w:r w:rsidRPr="00CB4E93">
          <w:rPr>
            <w:rStyle w:val="Lienhypertexte"/>
            <w:rFonts w:eastAsiaTheme="majorEastAsia" w:cs="Arial"/>
            <w:i/>
            <w:noProof/>
            <w:sz w:val="20"/>
            <w:szCs w:val="20"/>
          </w:rPr>
          <w:t>7.3.2. Enjeux liés à l’assainissement de la ville</w:t>
        </w:r>
        <w:r w:rsidRPr="00CB4E93">
          <w:rPr>
            <w:rFonts w:cs="Arial"/>
            <w:noProof/>
            <w:webHidden/>
            <w:sz w:val="20"/>
            <w:szCs w:val="20"/>
          </w:rPr>
          <w:tab/>
        </w:r>
        <w:r w:rsidRPr="00CB4E93">
          <w:rPr>
            <w:rFonts w:cs="Arial"/>
            <w:noProof/>
            <w:webHidden/>
            <w:sz w:val="20"/>
            <w:szCs w:val="20"/>
          </w:rPr>
          <w:fldChar w:fldCharType="begin"/>
        </w:r>
        <w:r w:rsidRPr="00CB4E93">
          <w:rPr>
            <w:rFonts w:cs="Arial"/>
            <w:noProof/>
            <w:webHidden/>
            <w:sz w:val="20"/>
            <w:szCs w:val="20"/>
          </w:rPr>
          <w:instrText xml:space="preserve"> PAGEREF _Toc52869682 \h </w:instrText>
        </w:r>
        <w:r w:rsidRPr="00CB4E93">
          <w:rPr>
            <w:rFonts w:cs="Arial"/>
            <w:noProof/>
            <w:webHidden/>
            <w:sz w:val="20"/>
            <w:szCs w:val="20"/>
          </w:rPr>
        </w:r>
        <w:r w:rsidRPr="00CB4E93">
          <w:rPr>
            <w:rFonts w:cs="Arial"/>
            <w:noProof/>
            <w:webHidden/>
            <w:sz w:val="20"/>
            <w:szCs w:val="20"/>
          </w:rPr>
          <w:fldChar w:fldCharType="separate"/>
        </w:r>
        <w:r w:rsidR="009E27E4">
          <w:rPr>
            <w:rFonts w:cs="Arial"/>
            <w:noProof/>
            <w:webHidden/>
            <w:sz w:val="20"/>
            <w:szCs w:val="20"/>
          </w:rPr>
          <w:t>118</w:t>
        </w:r>
        <w:r w:rsidRPr="00CB4E93">
          <w:rPr>
            <w:rFonts w:cs="Arial"/>
            <w:noProof/>
            <w:webHidden/>
            <w:sz w:val="20"/>
            <w:szCs w:val="20"/>
          </w:rPr>
          <w:fldChar w:fldCharType="end"/>
        </w:r>
      </w:hyperlink>
    </w:p>
    <w:p w14:paraId="73656043" w14:textId="4ABE04E7" w:rsidR="00CB4E93" w:rsidRPr="00CB4E93" w:rsidRDefault="00CB4E93" w:rsidP="00CB4E93">
      <w:pPr>
        <w:pStyle w:val="TM2"/>
        <w:contextualSpacing/>
        <w:rPr>
          <w:rFonts w:eastAsiaTheme="minorEastAsia"/>
          <w:b w:val="0"/>
          <w:i w:val="0"/>
          <w:caps w:val="0"/>
          <w:color w:val="auto"/>
        </w:rPr>
      </w:pPr>
      <w:hyperlink w:anchor="_Toc52869683" w:history="1">
        <w:r w:rsidRPr="00CB4E93">
          <w:rPr>
            <w:rStyle w:val="Lienhypertexte"/>
            <w:rFonts w:eastAsiaTheme="majorEastAsia"/>
          </w:rPr>
          <w:t>7.4. Enjeux socio-économiques</w:t>
        </w:r>
        <w:r w:rsidRPr="00CB4E93">
          <w:rPr>
            <w:webHidden/>
          </w:rPr>
          <w:tab/>
        </w:r>
        <w:r w:rsidRPr="00CB4E93">
          <w:rPr>
            <w:webHidden/>
          </w:rPr>
          <w:fldChar w:fldCharType="begin"/>
        </w:r>
        <w:r w:rsidRPr="00CB4E93">
          <w:rPr>
            <w:webHidden/>
          </w:rPr>
          <w:instrText xml:space="preserve"> PAGEREF _Toc52869683 \h </w:instrText>
        </w:r>
        <w:r w:rsidRPr="00CB4E93">
          <w:rPr>
            <w:webHidden/>
          </w:rPr>
        </w:r>
        <w:r w:rsidRPr="00CB4E93">
          <w:rPr>
            <w:webHidden/>
          </w:rPr>
          <w:fldChar w:fldCharType="separate"/>
        </w:r>
        <w:r w:rsidR="009E27E4">
          <w:rPr>
            <w:webHidden/>
          </w:rPr>
          <w:t>118</w:t>
        </w:r>
        <w:r w:rsidRPr="00CB4E93">
          <w:rPr>
            <w:webHidden/>
          </w:rPr>
          <w:fldChar w:fldCharType="end"/>
        </w:r>
      </w:hyperlink>
    </w:p>
    <w:p w14:paraId="132ACE26" w14:textId="7BAD1DD8" w:rsidR="00CB4E93" w:rsidRPr="00CB4E93" w:rsidRDefault="00CB4E93" w:rsidP="00CB4E93">
      <w:pPr>
        <w:pStyle w:val="TM3"/>
        <w:tabs>
          <w:tab w:val="right" w:leader="dot" w:pos="9062"/>
        </w:tabs>
        <w:spacing w:before="60" w:after="0" w:line="240" w:lineRule="auto"/>
        <w:contextualSpacing/>
        <w:rPr>
          <w:rFonts w:eastAsiaTheme="minorEastAsia" w:cs="Arial"/>
          <w:noProof/>
          <w:color w:val="auto"/>
          <w:sz w:val="20"/>
          <w:szCs w:val="20"/>
          <w:lang w:eastAsia="fr-FR"/>
        </w:rPr>
      </w:pPr>
      <w:hyperlink w:anchor="_Toc52869684" w:history="1">
        <w:r w:rsidRPr="00CB4E93">
          <w:rPr>
            <w:rStyle w:val="Lienhypertexte"/>
            <w:rFonts w:eastAsiaTheme="majorEastAsia" w:cs="Arial"/>
            <w:i/>
            <w:noProof/>
            <w:sz w:val="20"/>
            <w:szCs w:val="20"/>
          </w:rPr>
          <w:t xml:space="preserve">7.4.1. </w:t>
        </w:r>
        <w:r w:rsidRPr="00CB4E93">
          <w:rPr>
            <w:rStyle w:val="Lienhypertexte"/>
            <w:rFonts w:eastAsia="Calibri" w:cs="Arial"/>
            <w:i/>
            <w:noProof/>
            <w:sz w:val="20"/>
            <w:szCs w:val="20"/>
          </w:rPr>
          <w:t>Foncier</w:t>
        </w:r>
        <w:r w:rsidRPr="00CB4E93">
          <w:rPr>
            <w:rFonts w:cs="Arial"/>
            <w:noProof/>
            <w:webHidden/>
            <w:sz w:val="20"/>
            <w:szCs w:val="20"/>
          </w:rPr>
          <w:tab/>
        </w:r>
        <w:r w:rsidRPr="00CB4E93">
          <w:rPr>
            <w:rFonts w:cs="Arial"/>
            <w:noProof/>
            <w:webHidden/>
            <w:sz w:val="20"/>
            <w:szCs w:val="20"/>
          </w:rPr>
          <w:fldChar w:fldCharType="begin"/>
        </w:r>
        <w:r w:rsidRPr="00CB4E93">
          <w:rPr>
            <w:rFonts w:cs="Arial"/>
            <w:noProof/>
            <w:webHidden/>
            <w:sz w:val="20"/>
            <w:szCs w:val="20"/>
          </w:rPr>
          <w:instrText xml:space="preserve"> PAGEREF _Toc52869684 \h </w:instrText>
        </w:r>
        <w:r w:rsidRPr="00CB4E93">
          <w:rPr>
            <w:rFonts w:cs="Arial"/>
            <w:noProof/>
            <w:webHidden/>
            <w:sz w:val="20"/>
            <w:szCs w:val="20"/>
          </w:rPr>
        </w:r>
        <w:r w:rsidRPr="00CB4E93">
          <w:rPr>
            <w:rFonts w:cs="Arial"/>
            <w:noProof/>
            <w:webHidden/>
            <w:sz w:val="20"/>
            <w:szCs w:val="20"/>
          </w:rPr>
          <w:fldChar w:fldCharType="separate"/>
        </w:r>
        <w:r w:rsidR="009E27E4">
          <w:rPr>
            <w:rFonts w:cs="Arial"/>
            <w:noProof/>
            <w:webHidden/>
            <w:sz w:val="20"/>
            <w:szCs w:val="20"/>
          </w:rPr>
          <w:t>118</w:t>
        </w:r>
        <w:r w:rsidRPr="00CB4E93">
          <w:rPr>
            <w:rFonts w:cs="Arial"/>
            <w:noProof/>
            <w:webHidden/>
            <w:sz w:val="20"/>
            <w:szCs w:val="20"/>
          </w:rPr>
          <w:fldChar w:fldCharType="end"/>
        </w:r>
      </w:hyperlink>
    </w:p>
    <w:p w14:paraId="6C33392E" w14:textId="40891EA6" w:rsidR="00CB4E93" w:rsidRPr="00CB4E93" w:rsidRDefault="00CB4E93" w:rsidP="00CB4E93">
      <w:pPr>
        <w:pStyle w:val="TM3"/>
        <w:tabs>
          <w:tab w:val="right" w:leader="dot" w:pos="9062"/>
        </w:tabs>
        <w:spacing w:before="60" w:after="0" w:line="240" w:lineRule="auto"/>
        <w:contextualSpacing/>
        <w:rPr>
          <w:rFonts w:eastAsiaTheme="minorEastAsia" w:cs="Arial"/>
          <w:noProof/>
          <w:color w:val="auto"/>
          <w:sz w:val="20"/>
          <w:szCs w:val="20"/>
          <w:lang w:eastAsia="fr-FR"/>
        </w:rPr>
      </w:pPr>
      <w:hyperlink w:anchor="_Toc52869685" w:history="1">
        <w:r w:rsidRPr="00CB4E93">
          <w:rPr>
            <w:rStyle w:val="Lienhypertexte"/>
            <w:rFonts w:eastAsiaTheme="majorEastAsia" w:cs="Arial"/>
            <w:i/>
            <w:noProof/>
            <w:sz w:val="20"/>
            <w:szCs w:val="20"/>
          </w:rPr>
          <w:t xml:space="preserve">7.4.2. </w:t>
        </w:r>
        <w:r w:rsidRPr="00CB4E93">
          <w:rPr>
            <w:rStyle w:val="Lienhypertexte"/>
            <w:rFonts w:eastAsia="Calibri" w:cs="Arial"/>
            <w:i/>
            <w:noProof/>
            <w:sz w:val="20"/>
            <w:szCs w:val="20"/>
          </w:rPr>
          <w:t>Les retombées économiques et sociales</w:t>
        </w:r>
        <w:r w:rsidRPr="00CB4E93">
          <w:rPr>
            <w:rFonts w:cs="Arial"/>
            <w:noProof/>
            <w:webHidden/>
            <w:sz w:val="20"/>
            <w:szCs w:val="20"/>
          </w:rPr>
          <w:tab/>
        </w:r>
        <w:r w:rsidRPr="00CB4E93">
          <w:rPr>
            <w:rFonts w:cs="Arial"/>
            <w:noProof/>
            <w:webHidden/>
            <w:sz w:val="20"/>
            <w:szCs w:val="20"/>
          </w:rPr>
          <w:fldChar w:fldCharType="begin"/>
        </w:r>
        <w:r w:rsidRPr="00CB4E93">
          <w:rPr>
            <w:rFonts w:cs="Arial"/>
            <w:noProof/>
            <w:webHidden/>
            <w:sz w:val="20"/>
            <w:szCs w:val="20"/>
          </w:rPr>
          <w:instrText xml:space="preserve"> PAGEREF _Toc52869685 \h </w:instrText>
        </w:r>
        <w:r w:rsidRPr="00CB4E93">
          <w:rPr>
            <w:rFonts w:cs="Arial"/>
            <w:noProof/>
            <w:webHidden/>
            <w:sz w:val="20"/>
            <w:szCs w:val="20"/>
          </w:rPr>
        </w:r>
        <w:r w:rsidRPr="00CB4E93">
          <w:rPr>
            <w:rFonts w:cs="Arial"/>
            <w:noProof/>
            <w:webHidden/>
            <w:sz w:val="20"/>
            <w:szCs w:val="20"/>
          </w:rPr>
          <w:fldChar w:fldCharType="separate"/>
        </w:r>
        <w:r w:rsidR="009E27E4">
          <w:rPr>
            <w:rFonts w:cs="Arial"/>
            <w:noProof/>
            <w:webHidden/>
            <w:sz w:val="20"/>
            <w:szCs w:val="20"/>
          </w:rPr>
          <w:t>118</w:t>
        </w:r>
        <w:r w:rsidRPr="00CB4E93">
          <w:rPr>
            <w:rFonts w:cs="Arial"/>
            <w:noProof/>
            <w:webHidden/>
            <w:sz w:val="20"/>
            <w:szCs w:val="20"/>
          </w:rPr>
          <w:fldChar w:fldCharType="end"/>
        </w:r>
      </w:hyperlink>
    </w:p>
    <w:p w14:paraId="04258E74" w14:textId="59DE20DD" w:rsidR="00CB4E93" w:rsidRPr="00CB4E93" w:rsidRDefault="00CB4E93" w:rsidP="00CB4E93">
      <w:pPr>
        <w:pStyle w:val="TM3"/>
        <w:tabs>
          <w:tab w:val="right" w:leader="dot" w:pos="9062"/>
        </w:tabs>
        <w:spacing w:before="60" w:after="0" w:line="240" w:lineRule="auto"/>
        <w:contextualSpacing/>
        <w:rPr>
          <w:rFonts w:eastAsiaTheme="minorEastAsia" w:cs="Arial"/>
          <w:noProof/>
          <w:color w:val="auto"/>
          <w:sz w:val="20"/>
          <w:szCs w:val="20"/>
          <w:lang w:eastAsia="fr-FR"/>
        </w:rPr>
      </w:pPr>
      <w:hyperlink w:anchor="_Toc52869686" w:history="1">
        <w:r w:rsidRPr="00CB4E93">
          <w:rPr>
            <w:rStyle w:val="Lienhypertexte"/>
            <w:rFonts w:eastAsia="Calibri" w:cs="Arial"/>
            <w:i/>
            <w:noProof/>
            <w:sz w:val="20"/>
            <w:szCs w:val="20"/>
          </w:rPr>
          <w:t>7.4.3. La restriction de la circulation, des accès aux propriétés et des activités dans les zones en travaux</w:t>
        </w:r>
        <w:r w:rsidRPr="00CB4E93">
          <w:rPr>
            <w:rFonts w:cs="Arial"/>
            <w:noProof/>
            <w:webHidden/>
            <w:sz w:val="20"/>
            <w:szCs w:val="20"/>
          </w:rPr>
          <w:tab/>
        </w:r>
        <w:r w:rsidRPr="00CB4E93">
          <w:rPr>
            <w:rFonts w:cs="Arial"/>
            <w:noProof/>
            <w:webHidden/>
            <w:sz w:val="20"/>
            <w:szCs w:val="20"/>
          </w:rPr>
          <w:fldChar w:fldCharType="begin"/>
        </w:r>
        <w:r w:rsidRPr="00CB4E93">
          <w:rPr>
            <w:rFonts w:cs="Arial"/>
            <w:noProof/>
            <w:webHidden/>
            <w:sz w:val="20"/>
            <w:szCs w:val="20"/>
          </w:rPr>
          <w:instrText xml:space="preserve"> PAGEREF _Toc52869686 \h </w:instrText>
        </w:r>
        <w:r w:rsidRPr="00CB4E93">
          <w:rPr>
            <w:rFonts w:cs="Arial"/>
            <w:noProof/>
            <w:webHidden/>
            <w:sz w:val="20"/>
            <w:szCs w:val="20"/>
          </w:rPr>
        </w:r>
        <w:r w:rsidRPr="00CB4E93">
          <w:rPr>
            <w:rFonts w:cs="Arial"/>
            <w:noProof/>
            <w:webHidden/>
            <w:sz w:val="20"/>
            <w:szCs w:val="20"/>
          </w:rPr>
          <w:fldChar w:fldCharType="separate"/>
        </w:r>
        <w:r w:rsidR="009E27E4">
          <w:rPr>
            <w:rFonts w:cs="Arial"/>
            <w:noProof/>
            <w:webHidden/>
            <w:sz w:val="20"/>
            <w:szCs w:val="20"/>
          </w:rPr>
          <w:t>118</w:t>
        </w:r>
        <w:r w:rsidRPr="00CB4E93">
          <w:rPr>
            <w:rFonts w:cs="Arial"/>
            <w:noProof/>
            <w:webHidden/>
            <w:sz w:val="20"/>
            <w:szCs w:val="20"/>
          </w:rPr>
          <w:fldChar w:fldCharType="end"/>
        </w:r>
      </w:hyperlink>
    </w:p>
    <w:p w14:paraId="2FD6AB9E" w14:textId="3B342E71" w:rsidR="00CB4E93" w:rsidRPr="00CB4E93" w:rsidRDefault="00CB4E93" w:rsidP="00CB4E93">
      <w:pPr>
        <w:pStyle w:val="TM1"/>
        <w:tabs>
          <w:tab w:val="right" w:leader="dot" w:pos="9062"/>
        </w:tabs>
        <w:spacing w:before="60" w:after="0" w:line="240" w:lineRule="auto"/>
        <w:contextualSpacing/>
        <w:rPr>
          <w:rFonts w:ascii="Arial" w:eastAsiaTheme="minorEastAsia" w:hAnsi="Arial" w:cs="Arial"/>
          <w:b w:val="0"/>
          <w:bCs w:val="0"/>
          <w:caps w:val="0"/>
          <w:noProof/>
          <w:color w:val="auto"/>
          <w:lang w:eastAsia="fr-FR"/>
        </w:rPr>
      </w:pPr>
      <w:hyperlink w:anchor="_Toc52869687" w:history="1">
        <w:r w:rsidRPr="00CB4E93">
          <w:rPr>
            <w:rStyle w:val="Lienhypertexte"/>
            <w:rFonts w:ascii="Arial" w:eastAsiaTheme="majorEastAsia" w:hAnsi="Arial" w:cs="Arial"/>
            <w:noProof/>
          </w:rPr>
          <w:t>8. analyse environnementale</w:t>
        </w:r>
        <w:r w:rsidRPr="00CB4E93">
          <w:rPr>
            <w:rFonts w:ascii="Arial" w:hAnsi="Arial" w:cs="Arial"/>
            <w:noProof/>
            <w:webHidden/>
          </w:rPr>
          <w:tab/>
        </w:r>
        <w:r w:rsidRPr="00CB4E93">
          <w:rPr>
            <w:rFonts w:ascii="Arial" w:hAnsi="Arial" w:cs="Arial"/>
            <w:noProof/>
            <w:webHidden/>
          </w:rPr>
          <w:fldChar w:fldCharType="begin"/>
        </w:r>
        <w:r w:rsidRPr="00CB4E93">
          <w:rPr>
            <w:rFonts w:ascii="Arial" w:hAnsi="Arial" w:cs="Arial"/>
            <w:noProof/>
            <w:webHidden/>
          </w:rPr>
          <w:instrText xml:space="preserve"> PAGEREF _Toc52869687 \h </w:instrText>
        </w:r>
        <w:r w:rsidRPr="00CB4E93">
          <w:rPr>
            <w:rFonts w:ascii="Arial" w:hAnsi="Arial" w:cs="Arial"/>
            <w:noProof/>
            <w:webHidden/>
          </w:rPr>
        </w:r>
        <w:r w:rsidRPr="00CB4E93">
          <w:rPr>
            <w:rFonts w:ascii="Arial" w:hAnsi="Arial" w:cs="Arial"/>
            <w:noProof/>
            <w:webHidden/>
          </w:rPr>
          <w:fldChar w:fldCharType="separate"/>
        </w:r>
        <w:r w:rsidR="009E27E4">
          <w:rPr>
            <w:rFonts w:ascii="Arial" w:hAnsi="Arial" w:cs="Arial"/>
            <w:noProof/>
            <w:webHidden/>
          </w:rPr>
          <w:t>119</w:t>
        </w:r>
        <w:r w:rsidRPr="00CB4E93">
          <w:rPr>
            <w:rFonts w:ascii="Arial" w:hAnsi="Arial" w:cs="Arial"/>
            <w:noProof/>
            <w:webHidden/>
          </w:rPr>
          <w:fldChar w:fldCharType="end"/>
        </w:r>
      </w:hyperlink>
    </w:p>
    <w:p w14:paraId="59829E12" w14:textId="3650CEF9" w:rsidR="00CB4E93" w:rsidRPr="00CB4E93" w:rsidRDefault="00CB4E93" w:rsidP="00CB4E93">
      <w:pPr>
        <w:pStyle w:val="TM2"/>
        <w:contextualSpacing/>
        <w:rPr>
          <w:rFonts w:eastAsiaTheme="minorEastAsia"/>
          <w:b w:val="0"/>
          <w:i w:val="0"/>
          <w:caps w:val="0"/>
          <w:color w:val="auto"/>
        </w:rPr>
      </w:pPr>
      <w:hyperlink w:anchor="_Toc52869688" w:history="1">
        <w:r w:rsidRPr="00CB4E93">
          <w:rPr>
            <w:rStyle w:val="Lienhypertexte"/>
            <w:rFonts w:eastAsiaTheme="majorEastAsia"/>
          </w:rPr>
          <w:t>8.1- Identification des impacts</w:t>
        </w:r>
        <w:r w:rsidRPr="00CB4E93">
          <w:rPr>
            <w:webHidden/>
          </w:rPr>
          <w:tab/>
        </w:r>
        <w:r w:rsidRPr="00CB4E93">
          <w:rPr>
            <w:webHidden/>
          </w:rPr>
          <w:fldChar w:fldCharType="begin"/>
        </w:r>
        <w:r w:rsidRPr="00CB4E93">
          <w:rPr>
            <w:webHidden/>
          </w:rPr>
          <w:instrText xml:space="preserve"> PAGEREF _Toc52869688 \h </w:instrText>
        </w:r>
        <w:r w:rsidRPr="00CB4E93">
          <w:rPr>
            <w:webHidden/>
          </w:rPr>
        </w:r>
        <w:r w:rsidRPr="00CB4E93">
          <w:rPr>
            <w:webHidden/>
          </w:rPr>
          <w:fldChar w:fldCharType="separate"/>
        </w:r>
        <w:r w:rsidR="009E27E4">
          <w:rPr>
            <w:webHidden/>
          </w:rPr>
          <w:t>119</w:t>
        </w:r>
        <w:r w:rsidRPr="00CB4E93">
          <w:rPr>
            <w:webHidden/>
          </w:rPr>
          <w:fldChar w:fldCharType="end"/>
        </w:r>
      </w:hyperlink>
    </w:p>
    <w:p w14:paraId="02F6F1EF" w14:textId="6CBF24AB" w:rsidR="00CB4E93" w:rsidRPr="00CB4E93" w:rsidRDefault="00CB4E93" w:rsidP="00CB4E93">
      <w:pPr>
        <w:pStyle w:val="TM3"/>
        <w:tabs>
          <w:tab w:val="right" w:leader="dot" w:pos="9062"/>
        </w:tabs>
        <w:spacing w:before="60" w:after="0" w:line="240" w:lineRule="auto"/>
        <w:contextualSpacing/>
        <w:rPr>
          <w:rFonts w:eastAsiaTheme="minorEastAsia" w:cs="Arial"/>
          <w:noProof/>
          <w:color w:val="auto"/>
          <w:sz w:val="20"/>
          <w:szCs w:val="20"/>
          <w:lang w:eastAsia="fr-FR"/>
        </w:rPr>
      </w:pPr>
      <w:hyperlink w:anchor="_Toc52869689" w:history="1">
        <w:r w:rsidRPr="00CB4E93">
          <w:rPr>
            <w:rStyle w:val="Lienhypertexte"/>
            <w:rFonts w:eastAsiaTheme="majorEastAsia" w:cs="Arial"/>
            <w:i/>
            <w:noProof/>
            <w:sz w:val="20"/>
            <w:szCs w:val="20"/>
          </w:rPr>
          <w:t>8.1.1. Détermination des composantes environnementales susceptibles d’être touchées par le projet</w:t>
        </w:r>
        <w:r w:rsidRPr="00CB4E93">
          <w:rPr>
            <w:rFonts w:cs="Arial"/>
            <w:noProof/>
            <w:webHidden/>
            <w:sz w:val="20"/>
            <w:szCs w:val="20"/>
          </w:rPr>
          <w:tab/>
        </w:r>
        <w:r w:rsidRPr="00CB4E93">
          <w:rPr>
            <w:rFonts w:cs="Arial"/>
            <w:noProof/>
            <w:webHidden/>
            <w:sz w:val="20"/>
            <w:szCs w:val="20"/>
          </w:rPr>
          <w:fldChar w:fldCharType="begin"/>
        </w:r>
        <w:r w:rsidRPr="00CB4E93">
          <w:rPr>
            <w:rFonts w:cs="Arial"/>
            <w:noProof/>
            <w:webHidden/>
            <w:sz w:val="20"/>
            <w:szCs w:val="20"/>
          </w:rPr>
          <w:instrText xml:space="preserve"> PAGEREF _Toc52869689 \h </w:instrText>
        </w:r>
        <w:r w:rsidRPr="00CB4E93">
          <w:rPr>
            <w:rFonts w:cs="Arial"/>
            <w:noProof/>
            <w:webHidden/>
            <w:sz w:val="20"/>
            <w:szCs w:val="20"/>
          </w:rPr>
        </w:r>
        <w:r w:rsidRPr="00CB4E93">
          <w:rPr>
            <w:rFonts w:cs="Arial"/>
            <w:noProof/>
            <w:webHidden/>
            <w:sz w:val="20"/>
            <w:szCs w:val="20"/>
          </w:rPr>
          <w:fldChar w:fldCharType="separate"/>
        </w:r>
        <w:r w:rsidR="009E27E4">
          <w:rPr>
            <w:rFonts w:cs="Arial"/>
            <w:noProof/>
            <w:webHidden/>
            <w:sz w:val="20"/>
            <w:szCs w:val="20"/>
          </w:rPr>
          <w:t>119</w:t>
        </w:r>
        <w:r w:rsidRPr="00CB4E93">
          <w:rPr>
            <w:rFonts w:cs="Arial"/>
            <w:noProof/>
            <w:webHidden/>
            <w:sz w:val="20"/>
            <w:szCs w:val="20"/>
          </w:rPr>
          <w:fldChar w:fldCharType="end"/>
        </w:r>
      </w:hyperlink>
    </w:p>
    <w:p w14:paraId="56AC05AF" w14:textId="0E38551C" w:rsidR="00CB4E93" w:rsidRPr="00CB4E93" w:rsidRDefault="00CB4E93" w:rsidP="00CB4E93">
      <w:pPr>
        <w:pStyle w:val="TM3"/>
        <w:tabs>
          <w:tab w:val="right" w:leader="dot" w:pos="9062"/>
        </w:tabs>
        <w:spacing w:before="60" w:after="0" w:line="240" w:lineRule="auto"/>
        <w:contextualSpacing/>
        <w:rPr>
          <w:rFonts w:eastAsiaTheme="minorEastAsia" w:cs="Arial"/>
          <w:noProof/>
          <w:color w:val="auto"/>
          <w:sz w:val="20"/>
          <w:szCs w:val="20"/>
          <w:lang w:eastAsia="fr-FR"/>
        </w:rPr>
      </w:pPr>
      <w:hyperlink w:anchor="_Toc52869690" w:history="1">
        <w:r w:rsidRPr="00CB4E93">
          <w:rPr>
            <w:rStyle w:val="Lienhypertexte"/>
            <w:rFonts w:eastAsiaTheme="majorEastAsia" w:cs="Arial"/>
            <w:i/>
            <w:noProof/>
            <w:sz w:val="20"/>
            <w:szCs w:val="20"/>
          </w:rPr>
          <w:t>8.1.2. Identification des principaux impacts du projet</w:t>
        </w:r>
        <w:r w:rsidRPr="00CB4E93">
          <w:rPr>
            <w:rFonts w:cs="Arial"/>
            <w:noProof/>
            <w:webHidden/>
            <w:sz w:val="20"/>
            <w:szCs w:val="20"/>
          </w:rPr>
          <w:tab/>
        </w:r>
        <w:r w:rsidRPr="00CB4E93">
          <w:rPr>
            <w:rFonts w:cs="Arial"/>
            <w:noProof/>
            <w:webHidden/>
            <w:sz w:val="20"/>
            <w:szCs w:val="20"/>
          </w:rPr>
          <w:fldChar w:fldCharType="begin"/>
        </w:r>
        <w:r w:rsidRPr="00CB4E93">
          <w:rPr>
            <w:rFonts w:cs="Arial"/>
            <w:noProof/>
            <w:webHidden/>
            <w:sz w:val="20"/>
            <w:szCs w:val="20"/>
          </w:rPr>
          <w:instrText xml:space="preserve"> PAGEREF _Toc52869690 \h </w:instrText>
        </w:r>
        <w:r w:rsidRPr="00CB4E93">
          <w:rPr>
            <w:rFonts w:cs="Arial"/>
            <w:noProof/>
            <w:webHidden/>
            <w:sz w:val="20"/>
            <w:szCs w:val="20"/>
          </w:rPr>
        </w:r>
        <w:r w:rsidRPr="00CB4E93">
          <w:rPr>
            <w:rFonts w:cs="Arial"/>
            <w:noProof/>
            <w:webHidden/>
            <w:sz w:val="20"/>
            <w:szCs w:val="20"/>
          </w:rPr>
          <w:fldChar w:fldCharType="separate"/>
        </w:r>
        <w:r w:rsidR="009E27E4">
          <w:rPr>
            <w:rFonts w:cs="Arial"/>
            <w:noProof/>
            <w:webHidden/>
            <w:sz w:val="20"/>
            <w:szCs w:val="20"/>
          </w:rPr>
          <w:t>122</w:t>
        </w:r>
        <w:r w:rsidRPr="00CB4E93">
          <w:rPr>
            <w:rFonts w:cs="Arial"/>
            <w:noProof/>
            <w:webHidden/>
            <w:sz w:val="20"/>
            <w:szCs w:val="20"/>
          </w:rPr>
          <w:fldChar w:fldCharType="end"/>
        </w:r>
      </w:hyperlink>
    </w:p>
    <w:p w14:paraId="2062FCB2" w14:textId="1DCFA527" w:rsidR="00CB4E93" w:rsidRPr="00CB4E93" w:rsidRDefault="00CB4E93" w:rsidP="00CB4E93">
      <w:pPr>
        <w:pStyle w:val="TM4"/>
        <w:tabs>
          <w:tab w:val="right" w:leader="dot" w:pos="9062"/>
        </w:tabs>
        <w:spacing w:before="60" w:after="0" w:line="240" w:lineRule="auto"/>
        <w:contextualSpacing/>
        <w:rPr>
          <w:rFonts w:eastAsiaTheme="minorEastAsia" w:cs="Arial"/>
          <w:noProof/>
          <w:color w:val="auto"/>
          <w:sz w:val="20"/>
          <w:szCs w:val="20"/>
          <w:lang w:eastAsia="fr-FR"/>
        </w:rPr>
      </w:pPr>
      <w:hyperlink w:anchor="_Toc52869691" w:history="1">
        <w:r w:rsidRPr="00CB4E93">
          <w:rPr>
            <w:rStyle w:val="Lienhypertexte"/>
            <w:rFonts w:cs="Arial"/>
            <w:noProof/>
            <w:sz w:val="20"/>
            <w:szCs w:val="20"/>
          </w:rPr>
          <w:t>8.1.2.1. Identification et description des impacts positifs du projet</w:t>
        </w:r>
        <w:r w:rsidRPr="00CB4E93">
          <w:rPr>
            <w:rFonts w:cs="Arial"/>
            <w:noProof/>
            <w:webHidden/>
            <w:sz w:val="20"/>
            <w:szCs w:val="20"/>
          </w:rPr>
          <w:tab/>
        </w:r>
        <w:r w:rsidRPr="00CB4E93">
          <w:rPr>
            <w:rFonts w:cs="Arial"/>
            <w:noProof/>
            <w:webHidden/>
            <w:sz w:val="20"/>
            <w:szCs w:val="20"/>
          </w:rPr>
          <w:fldChar w:fldCharType="begin"/>
        </w:r>
        <w:r w:rsidRPr="00CB4E93">
          <w:rPr>
            <w:rFonts w:cs="Arial"/>
            <w:noProof/>
            <w:webHidden/>
            <w:sz w:val="20"/>
            <w:szCs w:val="20"/>
          </w:rPr>
          <w:instrText xml:space="preserve"> PAGEREF _Toc52869691 \h </w:instrText>
        </w:r>
        <w:r w:rsidRPr="00CB4E93">
          <w:rPr>
            <w:rFonts w:cs="Arial"/>
            <w:noProof/>
            <w:webHidden/>
            <w:sz w:val="20"/>
            <w:szCs w:val="20"/>
          </w:rPr>
        </w:r>
        <w:r w:rsidRPr="00CB4E93">
          <w:rPr>
            <w:rFonts w:cs="Arial"/>
            <w:noProof/>
            <w:webHidden/>
            <w:sz w:val="20"/>
            <w:szCs w:val="20"/>
          </w:rPr>
          <w:fldChar w:fldCharType="separate"/>
        </w:r>
        <w:r w:rsidR="009E27E4">
          <w:rPr>
            <w:rFonts w:cs="Arial"/>
            <w:noProof/>
            <w:webHidden/>
            <w:sz w:val="20"/>
            <w:szCs w:val="20"/>
          </w:rPr>
          <w:t>122</w:t>
        </w:r>
        <w:r w:rsidRPr="00CB4E93">
          <w:rPr>
            <w:rFonts w:cs="Arial"/>
            <w:noProof/>
            <w:webHidden/>
            <w:sz w:val="20"/>
            <w:szCs w:val="20"/>
          </w:rPr>
          <w:fldChar w:fldCharType="end"/>
        </w:r>
      </w:hyperlink>
    </w:p>
    <w:p w14:paraId="1084F549" w14:textId="030144BC" w:rsidR="00CB4E93" w:rsidRPr="003E0C70" w:rsidRDefault="00CB4E93" w:rsidP="00CB4E93">
      <w:pPr>
        <w:pStyle w:val="TM4"/>
        <w:tabs>
          <w:tab w:val="right" w:leader="dot" w:pos="9062"/>
        </w:tabs>
        <w:spacing w:before="60" w:after="0" w:line="240" w:lineRule="auto"/>
        <w:contextualSpacing/>
        <w:rPr>
          <w:rFonts w:eastAsiaTheme="minorEastAsia" w:cs="Arial"/>
          <w:b/>
          <w:i/>
          <w:noProof/>
          <w:color w:val="auto"/>
          <w:sz w:val="20"/>
          <w:szCs w:val="20"/>
          <w:lang w:eastAsia="fr-FR"/>
        </w:rPr>
      </w:pPr>
      <w:hyperlink w:anchor="_Toc52869692" w:history="1">
        <w:r w:rsidRPr="003E0C70">
          <w:rPr>
            <w:rStyle w:val="Lienhypertexte"/>
            <w:rFonts w:eastAsiaTheme="majorEastAsia" w:cs="Arial"/>
            <w:b/>
            <w:i/>
            <w:iCs/>
            <w:noProof/>
            <w:sz w:val="20"/>
            <w:szCs w:val="20"/>
          </w:rPr>
          <w:t>8.1.1.2. Identification, description et évaluation de l’importance des impacts négatifs du projet</w:t>
        </w:r>
        <w:r w:rsidRPr="003E0C70">
          <w:rPr>
            <w:rFonts w:cs="Arial"/>
            <w:b/>
            <w:i/>
            <w:noProof/>
            <w:webHidden/>
            <w:sz w:val="20"/>
            <w:szCs w:val="20"/>
          </w:rPr>
          <w:tab/>
        </w:r>
        <w:r w:rsidRPr="003E0C70">
          <w:rPr>
            <w:rFonts w:cs="Arial"/>
            <w:b/>
            <w:i/>
            <w:noProof/>
            <w:webHidden/>
            <w:sz w:val="20"/>
            <w:szCs w:val="20"/>
          </w:rPr>
          <w:fldChar w:fldCharType="begin"/>
        </w:r>
        <w:r w:rsidRPr="003E0C70">
          <w:rPr>
            <w:rFonts w:cs="Arial"/>
            <w:b/>
            <w:i/>
            <w:noProof/>
            <w:webHidden/>
            <w:sz w:val="20"/>
            <w:szCs w:val="20"/>
          </w:rPr>
          <w:instrText xml:space="preserve"> PAGEREF _Toc52869692 \h </w:instrText>
        </w:r>
        <w:r w:rsidRPr="003E0C70">
          <w:rPr>
            <w:rFonts w:cs="Arial"/>
            <w:b/>
            <w:i/>
            <w:noProof/>
            <w:webHidden/>
            <w:sz w:val="20"/>
            <w:szCs w:val="20"/>
          </w:rPr>
        </w:r>
        <w:r w:rsidRPr="003E0C70">
          <w:rPr>
            <w:rFonts w:cs="Arial"/>
            <w:b/>
            <w:i/>
            <w:noProof/>
            <w:webHidden/>
            <w:sz w:val="20"/>
            <w:szCs w:val="20"/>
          </w:rPr>
          <w:fldChar w:fldCharType="separate"/>
        </w:r>
        <w:r w:rsidR="009E27E4">
          <w:rPr>
            <w:rFonts w:cs="Arial"/>
            <w:b/>
            <w:i/>
            <w:noProof/>
            <w:webHidden/>
            <w:sz w:val="20"/>
            <w:szCs w:val="20"/>
          </w:rPr>
          <w:t>125</w:t>
        </w:r>
        <w:r w:rsidRPr="003E0C70">
          <w:rPr>
            <w:rFonts w:cs="Arial"/>
            <w:b/>
            <w:i/>
            <w:noProof/>
            <w:webHidden/>
            <w:sz w:val="20"/>
            <w:szCs w:val="20"/>
          </w:rPr>
          <w:fldChar w:fldCharType="end"/>
        </w:r>
      </w:hyperlink>
    </w:p>
    <w:p w14:paraId="57C2A2F9" w14:textId="1310506F" w:rsidR="00CB4E93" w:rsidRPr="00CB4E93" w:rsidRDefault="00CB4E93" w:rsidP="00CB4E93">
      <w:pPr>
        <w:pStyle w:val="TM4"/>
        <w:tabs>
          <w:tab w:val="right" w:leader="dot" w:pos="9062"/>
        </w:tabs>
        <w:spacing w:before="60" w:after="0" w:line="240" w:lineRule="auto"/>
        <w:contextualSpacing/>
        <w:rPr>
          <w:rFonts w:eastAsiaTheme="minorEastAsia" w:cs="Arial"/>
          <w:noProof/>
          <w:color w:val="auto"/>
          <w:sz w:val="20"/>
          <w:szCs w:val="20"/>
          <w:lang w:eastAsia="fr-FR"/>
        </w:rPr>
      </w:pPr>
      <w:hyperlink w:anchor="_Toc52869693" w:history="1">
        <w:r w:rsidRPr="00CB4E93">
          <w:rPr>
            <w:rStyle w:val="Lienhypertexte"/>
            <w:rFonts w:cs="Arial"/>
            <w:noProof/>
            <w:sz w:val="20"/>
            <w:szCs w:val="20"/>
          </w:rPr>
          <w:t>8.1.1.3. Impacts cumulatifs probables</w:t>
        </w:r>
        <w:r w:rsidRPr="00CB4E93">
          <w:rPr>
            <w:rFonts w:cs="Arial"/>
            <w:noProof/>
            <w:webHidden/>
            <w:sz w:val="20"/>
            <w:szCs w:val="20"/>
          </w:rPr>
          <w:tab/>
        </w:r>
        <w:r w:rsidRPr="00CB4E93">
          <w:rPr>
            <w:rFonts w:cs="Arial"/>
            <w:noProof/>
            <w:webHidden/>
            <w:sz w:val="20"/>
            <w:szCs w:val="20"/>
          </w:rPr>
          <w:fldChar w:fldCharType="begin"/>
        </w:r>
        <w:r w:rsidRPr="00CB4E93">
          <w:rPr>
            <w:rFonts w:cs="Arial"/>
            <w:noProof/>
            <w:webHidden/>
            <w:sz w:val="20"/>
            <w:szCs w:val="20"/>
          </w:rPr>
          <w:instrText xml:space="preserve"> PAGEREF _Toc52869693 \h </w:instrText>
        </w:r>
        <w:r w:rsidRPr="00CB4E93">
          <w:rPr>
            <w:rFonts w:cs="Arial"/>
            <w:noProof/>
            <w:webHidden/>
            <w:sz w:val="20"/>
            <w:szCs w:val="20"/>
          </w:rPr>
        </w:r>
        <w:r w:rsidRPr="00CB4E93">
          <w:rPr>
            <w:rFonts w:cs="Arial"/>
            <w:noProof/>
            <w:webHidden/>
            <w:sz w:val="20"/>
            <w:szCs w:val="20"/>
          </w:rPr>
          <w:fldChar w:fldCharType="separate"/>
        </w:r>
        <w:r w:rsidR="009E27E4">
          <w:rPr>
            <w:rFonts w:cs="Arial"/>
            <w:noProof/>
            <w:webHidden/>
            <w:sz w:val="20"/>
            <w:szCs w:val="20"/>
          </w:rPr>
          <w:t>140</w:t>
        </w:r>
        <w:r w:rsidRPr="00CB4E93">
          <w:rPr>
            <w:rFonts w:cs="Arial"/>
            <w:noProof/>
            <w:webHidden/>
            <w:sz w:val="20"/>
            <w:szCs w:val="20"/>
          </w:rPr>
          <w:fldChar w:fldCharType="end"/>
        </w:r>
      </w:hyperlink>
    </w:p>
    <w:p w14:paraId="60F2FFCC" w14:textId="01562666" w:rsidR="00CB4E93" w:rsidRPr="00CB4E93" w:rsidRDefault="00CB4E93" w:rsidP="00CB4E93">
      <w:pPr>
        <w:pStyle w:val="TM2"/>
        <w:contextualSpacing/>
        <w:rPr>
          <w:rFonts w:eastAsiaTheme="minorEastAsia"/>
          <w:b w:val="0"/>
          <w:i w:val="0"/>
          <w:caps w:val="0"/>
          <w:color w:val="auto"/>
        </w:rPr>
      </w:pPr>
      <w:hyperlink w:anchor="_Toc52869694" w:history="1">
        <w:r w:rsidRPr="00CB4E93">
          <w:rPr>
            <w:rStyle w:val="Lienhypertexte"/>
            <w:rFonts w:eastAsiaTheme="majorEastAsia"/>
          </w:rPr>
          <w:t>8.2. Proposition de mesures</w:t>
        </w:r>
        <w:r w:rsidRPr="00CB4E93">
          <w:rPr>
            <w:webHidden/>
          </w:rPr>
          <w:tab/>
        </w:r>
        <w:r w:rsidRPr="00CB4E93">
          <w:rPr>
            <w:webHidden/>
          </w:rPr>
          <w:fldChar w:fldCharType="begin"/>
        </w:r>
        <w:r w:rsidRPr="00CB4E93">
          <w:rPr>
            <w:webHidden/>
          </w:rPr>
          <w:instrText xml:space="preserve"> PAGEREF _Toc52869694 \h </w:instrText>
        </w:r>
        <w:r w:rsidRPr="00CB4E93">
          <w:rPr>
            <w:webHidden/>
          </w:rPr>
        </w:r>
        <w:r w:rsidRPr="00CB4E93">
          <w:rPr>
            <w:webHidden/>
          </w:rPr>
          <w:fldChar w:fldCharType="separate"/>
        </w:r>
        <w:r w:rsidR="009E27E4">
          <w:rPr>
            <w:webHidden/>
          </w:rPr>
          <w:t>140</w:t>
        </w:r>
        <w:r w:rsidRPr="00CB4E93">
          <w:rPr>
            <w:webHidden/>
          </w:rPr>
          <w:fldChar w:fldCharType="end"/>
        </w:r>
      </w:hyperlink>
    </w:p>
    <w:p w14:paraId="654C310A" w14:textId="1E53FED6" w:rsidR="00CB4E93" w:rsidRPr="00CB4E93" w:rsidRDefault="00CB4E93" w:rsidP="00CB4E93">
      <w:pPr>
        <w:pStyle w:val="TM1"/>
        <w:tabs>
          <w:tab w:val="right" w:leader="dot" w:pos="9062"/>
        </w:tabs>
        <w:spacing w:before="60" w:after="0" w:line="240" w:lineRule="auto"/>
        <w:contextualSpacing/>
        <w:rPr>
          <w:rFonts w:ascii="Arial" w:eastAsiaTheme="minorEastAsia" w:hAnsi="Arial" w:cs="Arial"/>
          <w:b w:val="0"/>
          <w:bCs w:val="0"/>
          <w:caps w:val="0"/>
          <w:noProof/>
          <w:color w:val="auto"/>
          <w:lang w:eastAsia="fr-FR"/>
        </w:rPr>
      </w:pPr>
      <w:hyperlink w:anchor="_Toc52869695" w:history="1">
        <w:r w:rsidRPr="00CB4E93">
          <w:rPr>
            <w:rStyle w:val="Lienhypertexte"/>
            <w:rFonts w:ascii="Arial" w:eastAsiaTheme="majorEastAsia" w:hAnsi="Arial" w:cs="Arial"/>
            <w:noProof/>
          </w:rPr>
          <w:t>9. Gestion des risques et accidents</w:t>
        </w:r>
        <w:r w:rsidRPr="00CB4E93">
          <w:rPr>
            <w:rFonts w:ascii="Arial" w:hAnsi="Arial" w:cs="Arial"/>
            <w:noProof/>
            <w:webHidden/>
          </w:rPr>
          <w:tab/>
        </w:r>
        <w:r w:rsidRPr="00CB4E93">
          <w:rPr>
            <w:rFonts w:ascii="Arial" w:hAnsi="Arial" w:cs="Arial"/>
            <w:noProof/>
            <w:webHidden/>
          </w:rPr>
          <w:fldChar w:fldCharType="begin"/>
        </w:r>
        <w:r w:rsidRPr="00CB4E93">
          <w:rPr>
            <w:rFonts w:ascii="Arial" w:hAnsi="Arial" w:cs="Arial"/>
            <w:noProof/>
            <w:webHidden/>
          </w:rPr>
          <w:instrText xml:space="preserve"> PAGEREF _Toc52869695 \h </w:instrText>
        </w:r>
        <w:r w:rsidRPr="00CB4E93">
          <w:rPr>
            <w:rFonts w:ascii="Arial" w:hAnsi="Arial" w:cs="Arial"/>
            <w:noProof/>
            <w:webHidden/>
          </w:rPr>
        </w:r>
        <w:r w:rsidRPr="00CB4E93">
          <w:rPr>
            <w:rFonts w:ascii="Arial" w:hAnsi="Arial" w:cs="Arial"/>
            <w:noProof/>
            <w:webHidden/>
          </w:rPr>
          <w:fldChar w:fldCharType="separate"/>
        </w:r>
        <w:r w:rsidR="009E27E4">
          <w:rPr>
            <w:rFonts w:ascii="Arial" w:hAnsi="Arial" w:cs="Arial"/>
            <w:noProof/>
            <w:webHidden/>
          </w:rPr>
          <w:t>157</w:t>
        </w:r>
        <w:r w:rsidRPr="00CB4E93">
          <w:rPr>
            <w:rFonts w:ascii="Arial" w:hAnsi="Arial" w:cs="Arial"/>
            <w:noProof/>
            <w:webHidden/>
          </w:rPr>
          <w:fldChar w:fldCharType="end"/>
        </w:r>
      </w:hyperlink>
    </w:p>
    <w:p w14:paraId="3702371B" w14:textId="78B81F58" w:rsidR="00CB4E93" w:rsidRPr="00CB4E93" w:rsidRDefault="00CB4E93" w:rsidP="00CB4E93">
      <w:pPr>
        <w:pStyle w:val="TM2"/>
        <w:contextualSpacing/>
        <w:rPr>
          <w:rFonts w:eastAsiaTheme="minorEastAsia"/>
          <w:b w:val="0"/>
          <w:i w:val="0"/>
          <w:caps w:val="0"/>
          <w:color w:val="auto"/>
        </w:rPr>
      </w:pPr>
      <w:hyperlink w:anchor="_Toc52869696" w:history="1">
        <w:r w:rsidRPr="00CB4E93">
          <w:rPr>
            <w:rStyle w:val="Lienhypertexte"/>
            <w:rFonts w:eastAsiaTheme="majorEastAsia"/>
          </w:rPr>
          <w:t>9.1. Rappel de la définition du RISQUE</w:t>
        </w:r>
        <w:r w:rsidRPr="00CB4E93">
          <w:rPr>
            <w:webHidden/>
          </w:rPr>
          <w:tab/>
        </w:r>
        <w:r w:rsidRPr="00CB4E93">
          <w:rPr>
            <w:webHidden/>
          </w:rPr>
          <w:fldChar w:fldCharType="begin"/>
        </w:r>
        <w:r w:rsidRPr="00CB4E93">
          <w:rPr>
            <w:webHidden/>
          </w:rPr>
          <w:instrText xml:space="preserve"> PAGEREF _Toc52869696 \h </w:instrText>
        </w:r>
        <w:r w:rsidRPr="00CB4E93">
          <w:rPr>
            <w:webHidden/>
          </w:rPr>
        </w:r>
        <w:r w:rsidRPr="00CB4E93">
          <w:rPr>
            <w:webHidden/>
          </w:rPr>
          <w:fldChar w:fldCharType="separate"/>
        </w:r>
        <w:r w:rsidR="009E27E4">
          <w:rPr>
            <w:webHidden/>
          </w:rPr>
          <w:t>157</w:t>
        </w:r>
        <w:r w:rsidRPr="00CB4E93">
          <w:rPr>
            <w:webHidden/>
          </w:rPr>
          <w:fldChar w:fldCharType="end"/>
        </w:r>
      </w:hyperlink>
    </w:p>
    <w:p w14:paraId="6B08E4EB" w14:textId="2BC337D8" w:rsidR="00CB4E93" w:rsidRPr="00CB4E93" w:rsidRDefault="00CB4E93" w:rsidP="00CB4E93">
      <w:pPr>
        <w:pStyle w:val="TM2"/>
        <w:contextualSpacing/>
        <w:rPr>
          <w:rFonts w:eastAsiaTheme="minorEastAsia"/>
          <w:b w:val="0"/>
          <w:i w:val="0"/>
          <w:caps w:val="0"/>
          <w:color w:val="auto"/>
        </w:rPr>
      </w:pPr>
      <w:hyperlink w:anchor="_Toc52869697" w:history="1">
        <w:r w:rsidRPr="00CB4E93">
          <w:rPr>
            <w:rStyle w:val="Lienhypertexte"/>
            <w:rFonts w:eastAsiaTheme="majorEastAsia"/>
          </w:rPr>
          <w:t>9.2. Risques vis-à-vis des personnes pour chaque type d’activités</w:t>
        </w:r>
        <w:r w:rsidRPr="00CB4E93">
          <w:rPr>
            <w:webHidden/>
          </w:rPr>
          <w:tab/>
        </w:r>
        <w:r w:rsidRPr="00CB4E93">
          <w:rPr>
            <w:webHidden/>
          </w:rPr>
          <w:fldChar w:fldCharType="begin"/>
        </w:r>
        <w:r w:rsidRPr="00CB4E93">
          <w:rPr>
            <w:webHidden/>
          </w:rPr>
          <w:instrText xml:space="preserve"> PAGEREF _Toc52869697 \h </w:instrText>
        </w:r>
        <w:r w:rsidRPr="00CB4E93">
          <w:rPr>
            <w:webHidden/>
          </w:rPr>
        </w:r>
        <w:r w:rsidRPr="00CB4E93">
          <w:rPr>
            <w:webHidden/>
          </w:rPr>
          <w:fldChar w:fldCharType="separate"/>
        </w:r>
        <w:r w:rsidR="009E27E4">
          <w:rPr>
            <w:webHidden/>
          </w:rPr>
          <w:t>157</w:t>
        </w:r>
        <w:r w:rsidRPr="00CB4E93">
          <w:rPr>
            <w:webHidden/>
          </w:rPr>
          <w:fldChar w:fldCharType="end"/>
        </w:r>
      </w:hyperlink>
    </w:p>
    <w:p w14:paraId="4F42EA9B" w14:textId="330DEE06" w:rsidR="00CB4E93" w:rsidRPr="00CB4E93" w:rsidRDefault="00CB4E93" w:rsidP="00CB4E93">
      <w:pPr>
        <w:pStyle w:val="TM2"/>
        <w:contextualSpacing/>
        <w:rPr>
          <w:rFonts w:eastAsiaTheme="minorEastAsia"/>
          <w:b w:val="0"/>
          <w:i w:val="0"/>
          <w:caps w:val="0"/>
          <w:color w:val="auto"/>
        </w:rPr>
      </w:pPr>
      <w:hyperlink w:anchor="_Toc52869698" w:history="1">
        <w:r w:rsidRPr="00CB4E93">
          <w:rPr>
            <w:rStyle w:val="Lienhypertexte"/>
            <w:rFonts w:eastAsiaTheme="majorEastAsia"/>
          </w:rPr>
          <w:t>9.3. Travaux de déplacement des réseaux divers (eau, électricité, ligne téléphonique, etc</w:t>
        </w:r>
        <w:r w:rsidRPr="00CB4E93">
          <w:rPr>
            <w:webHidden/>
          </w:rPr>
          <w:tab/>
        </w:r>
        <w:r w:rsidRPr="00CB4E93">
          <w:rPr>
            <w:webHidden/>
          </w:rPr>
          <w:fldChar w:fldCharType="begin"/>
        </w:r>
        <w:r w:rsidRPr="00CB4E93">
          <w:rPr>
            <w:webHidden/>
          </w:rPr>
          <w:instrText xml:space="preserve"> PAGEREF _Toc52869698 \h </w:instrText>
        </w:r>
        <w:r w:rsidRPr="00CB4E93">
          <w:rPr>
            <w:webHidden/>
          </w:rPr>
        </w:r>
        <w:r w:rsidRPr="00CB4E93">
          <w:rPr>
            <w:webHidden/>
          </w:rPr>
          <w:fldChar w:fldCharType="separate"/>
        </w:r>
        <w:r w:rsidR="009E27E4">
          <w:rPr>
            <w:webHidden/>
          </w:rPr>
          <w:t>158</w:t>
        </w:r>
        <w:r w:rsidRPr="00CB4E93">
          <w:rPr>
            <w:webHidden/>
          </w:rPr>
          <w:fldChar w:fldCharType="end"/>
        </w:r>
      </w:hyperlink>
    </w:p>
    <w:p w14:paraId="552F110D" w14:textId="670793F5" w:rsidR="00CB4E93" w:rsidRPr="00CB4E93" w:rsidRDefault="00CB4E93" w:rsidP="00CB4E93">
      <w:pPr>
        <w:pStyle w:val="TM2"/>
        <w:contextualSpacing/>
        <w:rPr>
          <w:rFonts w:eastAsiaTheme="minorEastAsia"/>
          <w:b w:val="0"/>
          <w:i w:val="0"/>
          <w:caps w:val="0"/>
          <w:color w:val="auto"/>
        </w:rPr>
      </w:pPr>
      <w:hyperlink w:anchor="_Toc52869699" w:history="1">
        <w:r w:rsidRPr="00CB4E93">
          <w:rPr>
            <w:rStyle w:val="Lienhypertexte"/>
            <w:rFonts w:eastAsiaTheme="majorEastAsia"/>
          </w:rPr>
          <w:t>9.4. Aménagement des déviations</w:t>
        </w:r>
        <w:r w:rsidRPr="00CB4E93">
          <w:rPr>
            <w:webHidden/>
          </w:rPr>
          <w:tab/>
        </w:r>
        <w:r w:rsidRPr="00CB4E93">
          <w:rPr>
            <w:webHidden/>
          </w:rPr>
          <w:fldChar w:fldCharType="begin"/>
        </w:r>
        <w:r w:rsidRPr="00CB4E93">
          <w:rPr>
            <w:webHidden/>
          </w:rPr>
          <w:instrText xml:space="preserve"> PAGEREF _Toc52869699 \h </w:instrText>
        </w:r>
        <w:r w:rsidRPr="00CB4E93">
          <w:rPr>
            <w:webHidden/>
          </w:rPr>
        </w:r>
        <w:r w:rsidRPr="00CB4E93">
          <w:rPr>
            <w:webHidden/>
          </w:rPr>
          <w:fldChar w:fldCharType="separate"/>
        </w:r>
        <w:r w:rsidR="009E27E4">
          <w:rPr>
            <w:webHidden/>
          </w:rPr>
          <w:t>159</w:t>
        </w:r>
        <w:r w:rsidRPr="00CB4E93">
          <w:rPr>
            <w:webHidden/>
          </w:rPr>
          <w:fldChar w:fldCharType="end"/>
        </w:r>
      </w:hyperlink>
    </w:p>
    <w:p w14:paraId="09AE0A46" w14:textId="02A5D886" w:rsidR="00CB4E93" w:rsidRPr="00CB4E93" w:rsidRDefault="00CB4E93" w:rsidP="00CB4E93">
      <w:pPr>
        <w:pStyle w:val="TM2"/>
        <w:contextualSpacing/>
        <w:rPr>
          <w:rFonts w:eastAsiaTheme="minorEastAsia"/>
          <w:b w:val="0"/>
          <w:i w:val="0"/>
          <w:caps w:val="0"/>
          <w:color w:val="auto"/>
        </w:rPr>
      </w:pPr>
      <w:hyperlink w:anchor="_Toc52869700" w:history="1">
        <w:r w:rsidRPr="00CB4E93">
          <w:rPr>
            <w:rStyle w:val="Lienhypertexte"/>
            <w:rFonts w:eastAsiaTheme="majorEastAsia"/>
          </w:rPr>
          <w:t>9.5. Terrassement, décapage, travaux de fouilles et mis en dépôt</w:t>
        </w:r>
        <w:r w:rsidRPr="00CB4E93">
          <w:rPr>
            <w:webHidden/>
          </w:rPr>
          <w:tab/>
        </w:r>
        <w:r w:rsidRPr="00CB4E93">
          <w:rPr>
            <w:webHidden/>
          </w:rPr>
          <w:fldChar w:fldCharType="begin"/>
        </w:r>
        <w:r w:rsidRPr="00CB4E93">
          <w:rPr>
            <w:webHidden/>
          </w:rPr>
          <w:instrText xml:space="preserve"> PAGEREF _Toc52869700 \h </w:instrText>
        </w:r>
        <w:r w:rsidRPr="00CB4E93">
          <w:rPr>
            <w:webHidden/>
          </w:rPr>
        </w:r>
        <w:r w:rsidRPr="00CB4E93">
          <w:rPr>
            <w:webHidden/>
          </w:rPr>
          <w:fldChar w:fldCharType="separate"/>
        </w:r>
        <w:r w:rsidR="009E27E4">
          <w:rPr>
            <w:webHidden/>
          </w:rPr>
          <w:t>160</w:t>
        </w:r>
        <w:r w:rsidRPr="00CB4E93">
          <w:rPr>
            <w:webHidden/>
          </w:rPr>
          <w:fldChar w:fldCharType="end"/>
        </w:r>
      </w:hyperlink>
    </w:p>
    <w:p w14:paraId="74CCDE24" w14:textId="7D96F004" w:rsidR="00CB4E93" w:rsidRPr="00CB4E93" w:rsidRDefault="00CB4E93" w:rsidP="00CB4E93">
      <w:pPr>
        <w:pStyle w:val="TM2"/>
        <w:contextualSpacing/>
        <w:rPr>
          <w:rFonts w:eastAsiaTheme="minorEastAsia"/>
          <w:b w:val="0"/>
          <w:i w:val="0"/>
          <w:caps w:val="0"/>
          <w:color w:val="auto"/>
        </w:rPr>
      </w:pPr>
      <w:hyperlink w:anchor="_Toc52869701" w:history="1">
        <w:r w:rsidRPr="00CB4E93">
          <w:rPr>
            <w:rStyle w:val="Lienhypertexte"/>
            <w:rFonts w:eastAsiaTheme="majorEastAsia"/>
          </w:rPr>
          <w:t>9.7. Purge importante et mise en dépôt des produits, transport et mise en remblai des terres</w:t>
        </w:r>
        <w:r w:rsidRPr="00CB4E93">
          <w:rPr>
            <w:webHidden/>
          </w:rPr>
          <w:tab/>
        </w:r>
        <w:r w:rsidRPr="00CB4E93">
          <w:rPr>
            <w:webHidden/>
          </w:rPr>
          <w:fldChar w:fldCharType="begin"/>
        </w:r>
        <w:r w:rsidRPr="00CB4E93">
          <w:rPr>
            <w:webHidden/>
          </w:rPr>
          <w:instrText xml:space="preserve"> PAGEREF _Toc52869701 \h </w:instrText>
        </w:r>
        <w:r w:rsidRPr="00CB4E93">
          <w:rPr>
            <w:webHidden/>
          </w:rPr>
        </w:r>
        <w:r w:rsidRPr="00CB4E93">
          <w:rPr>
            <w:webHidden/>
          </w:rPr>
          <w:fldChar w:fldCharType="separate"/>
        </w:r>
        <w:r w:rsidR="009E27E4">
          <w:rPr>
            <w:webHidden/>
          </w:rPr>
          <w:t>161</w:t>
        </w:r>
        <w:r w:rsidRPr="00CB4E93">
          <w:rPr>
            <w:webHidden/>
          </w:rPr>
          <w:fldChar w:fldCharType="end"/>
        </w:r>
      </w:hyperlink>
    </w:p>
    <w:p w14:paraId="72730C8D" w14:textId="0E9322F3" w:rsidR="00CB4E93" w:rsidRPr="00CB4E93" w:rsidRDefault="00CB4E93" w:rsidP="00CB4E93">
      <w:pPr>
        <w:pStyle w:val="TM2"/>
        <w:contextualSpacing/>
        <w:rPr>
          <w:rFonts w:eastAsiaTheme="minorEastAsia"/>
          <w:b w:val="0"/>
          <w:i w:val="0"/>
          <w:caps w:val="0"/>
          <w:color w:val="auto"/>
        </w:rPr>
      </w:pPr>
      <w:hyperlink w:anchor="_Toc52869702" w:history="1">
        <w:r w:rsidRPr="00CB4E93">
          <w:rPr>
            <w:rStyle w:val="Lienhypertexte"/>
            <w:rFonts w:eastAsiaTheme="majorEastAsia"/>
          </w:rPr>
          <w:t>9.7. Dépose de pavés, démolition d’ouvrage d’assainissement existant enterrés et aériens-remblaiement et réfection de voirie</w:t>
        </w:r>
        <w:r w:rsidRPr="00CB4E93">
          <w:rPr>
            <w:webHidden/>
          </w:rPr>
          <w:tab/>
        </w:r>
        <w:r w:rsidRPr="00CB4E93">
          <w:rPr>
            <w:webHidden/>
          </w:rPr>
          <w:fldChar w:fldCharType="begin"/>
        </w:r>
        <w:r w:rsidRPr="00CB4E93">
          <w:rPr>
            <w:webHidden/>
          </w:rPr>
          <w:instrText xml:space="preserve"> PAGEREF _Toc52869702 \h </w:instrText>
        </w:r>
        <w:r w:rsidRPr="00CB4E93">
          <w:rPr>
            <w:webHidden/>
          </w:rPr>
        </w:r>
        <w:r w:rsidRPr="00CB4E93">
          <w:rPr>
            <w:webHidden/>
          </w:rPr>
          <w:fldChar w:fldCharType="separate"/>
        </w:r>
        <w:r w:rsidR="009E27E4">
          <w:rPr>
            <w:webHidden/>
          </w:rPr>
          <w:t>162</w:t>
        </w:r>
        <w:r w:rsidRPr="00CB4E93">
          <w:rPr>
            <w:webHidden/>
          </w:rPr>
          <w:fldChar w:fldCharType="end"/>
        </w:r>
      </w:hyperlink>
    </w:p>
    <w:p w14:paraId="42B578A1" w14:textId="39617115" w:rsidR="00CB4E93" w:rsidRPr="00CB4E93" w:rsidRDefault="00CB4E93" w:rsidP="00CB4E93">
      <w:pPr>
        <w:pStyle w:val="TM2"/>
        <w:contextualSpacing/>
        <w:rPr>
          <w:rFonts w:eastAsiaTheme="minorEastAsia"/>
          <w:b w:val="0"/>
          <w:i w:val="0"/>
          <w:caps w:val="0"/>
          <w:color w:val="auto"/>
        </w:rPr>
      </w:pPr>
      <w:hyperlink w:anchor="_Toc52869703" w:history="1">
        <w:r w:rsidRPr="00CB4E93">
          <w:rPr>
            <w:rStyle w:val="Lienhypertexte"/>
            <w:rFonts w:eastAsiaTheme="majorEastAsia"/>
          </w:rPr>
          <w:t>9.8. Travaux de construction des ouvrages d’assainissement (gros œuvre et mise en place de remblai compacté)</w:t>
        </w:r>
        <w:r w:rsidRPr="00CB4E93">
          <w:rPr>
            <w:webHidden/>
          </w:rPr>
          <w:tab/>
        </w:r>
        <w:r w:rsidRPr="00CB4E93">
          <w:rPr>
            <w:webHidden/>
          </w:rPr>
          <w:fldChar w:fldCharType="begin"/>
        </w:r>
        <w:r w:rsidRPr="00CB4E93">
          <w:rPr>
            <w:webHidden/>
          </w:rPr>
          <w:instrText xml:space="preserve"> PAGEREF _Toc52869703 \h </w:instrText>
        </w:r>
        <w:r w:rsidRPr="00CB4E93">
          <w:rPr>
            <w:webHidden/>
          </w:rPr>
        </w:r>
        <w:r w:rsidRPr="00CB4E93">
          <w:rPr>
            <w:webHidden/>
          </w:rPr>
          <w:fldChar w:fldCharType="separate"/>
        </w:r>
        <w:r w:rsidR="009E27E4">
          <w:rPr>
            <w:webHidden/>
          </w:rPr>
          <w:t>164</w:t>
        </w:r>
        <w:r w:rsidRPr="00CB4E93">
          <w:rPr>
            <w:webHidden/>
          </w:rPr>
          <w:fldChar w:fldCharType="end"/>
        </w:r>
      </w:hyperlink>
    </w:p>
    <w:p w14:paraId="46E1989F" w14:textId="1CC5889F" w:rsidR="00CB4E93" w:rsidRPr="00CB4E93" w:rsidRDefault="00CB4E93" w:rsidP="00CB4E93">
      <w:pPr>
        <w:pStyle w:val="TM2"/>
        <w:contextualSpacing/>
        <w:rPr>
          <w:rFonts w:eastAsiaTheme="minorEastAsia"/>
          <w:b w:val="0"/>
          <w:i w:val="0"/>
          <w:caps w:val="0"/>
          <w:color w:val="auto"/>
        </w:rPr>
      </w:pPr>
      <w:hyperlink w:anchor="_Toc52869704" w:history="1">
        <w:r w:rsidRPr="00CB4E93">
          <w:rPr>
            <w:rStyle w:val="Lienhypertexte"/>
            <w:rFonts w:eastAsiaTheme="majorEastAsia"/>
          </w:rPr>
          <w:t>9.9. Terrassement pour l’aménagement de la voirie (pose des pavés et aménagement jusqu’aux riverains)</w:t>
        </w:r>
        <w:r w:rsidRPr="00CB4E93">
          <w:rPr>
            <w:webHidden/>
          </w:rPr>
          <w:tab/>
        </w:r>
        <w:r w:rsidRPr="00CB4E93">
          <w:rPr>
            <w:webHidden/>
          </w:rPr>
          <w:fldChar w:fldCharType="begin"/>
        </w:r>
        <w:r w:rsidRPr="00CB4E93">
          <w:rPr>
            <w:webHidden/>
          </w:rPr>
          <w:instrText xml:space="preserve"> PAGEREF _Toc52869704 \h </w:instrText>
        </w:r>
        <w:r w:rsidRPr="00CB4E93">
          <w:rPr>
            <w:webHidden/>
          </w:rPr>
        </w:r>
        <w:r w:rsidRPr="00CB4E93">
          <w:rPr>
            <w:webHidden/>
          </w:rPr>
          <w:fldChar w:fldCharType="separate"/>
        </w:r>
        <w:r w:rsidR="009E27E4">
          <w:rPr>
            <w:webHidden/>
          </w:rPr>
          <w:t>165</w:t>
        </w:r>
        <w:r w:rsidRPr="00CB4E93">
          <w:rPr>
            <w:webHidden/>
          </w:rPr>
          <w:fldChar w:fldCharType="end"/>
        </w:r>
      </w:hyperlink>
    </w:p>
    <w:p w14:paraId="57A8E753" w14:textId="4A7CCAF5" w:rsidR="00CB4E93" w:rsidRPr="00CB4E93" w:rsidRDefault="00CB4E93" w:rsidP="00CB4E93">
      <w:pPr>
        <w:pStyle w:val="TM2"/>
        <w:contextualSpacing/>
        <w:rPr>
          <w:rFonts w:eastAsiaTheme="minorEastAsia"/>
          <w:b w:val="0"/>
          <w:i w:val="0"/>
          <w:caps w:val="0"/>
          <w:color w:val="auto"/>
        </w:rPr>
      </w:pPr>
      <w:hyperlink w:anchor="_Toc52869705" w:history="1">
        <w:r w:rsidRPr="00CB4E93">
          <w:rPr>
            <w:rStyle w:val="Lienhypertexte"/>
            <w:rFonts w:eastAsiaTheme="majorEastAsia"/>
          </w:rPr>
          <w:t>9.10. Mise en service des ouvrages et entretien pendant la période de garantie</w:t>
        </w:r>
        <w:r w:rsidRPr="00CB4E93">
          <w:rPr>
            <w:webHidden/>
          </w:rPr>
          <w:tab/>
        </w:r>
        <w:r w:rsidRPr="00CB4E93">
          <w:rPr>
            <w:webHidden/>
          </w:rPr>
          <w:fldChar w:fldCharType="begin"/>
        </w:r>
        <w:r w:rsidRPr="00CB4E93">
          <w:rPr>
            <w:webHidden/>
          </w:rPr>
          <w:instrText xml:space="preserve"> PAGEREF _Toc52869705 \h </w:instrText>
        </w:r>
        <w:r w:rsidRPr="00CB4E93">
          <w:rPr>
            <w:webHidden/>
          </w:rPr>
        </w:r>
        <w:r w:rsidRPr="00CB4E93">
          <w:rPr>
            <w:webHidden/>
          </w:rPr>
          <w:fldChar w:fldCharType="separate"/>
        </w:r>
        <w:r w:rsidR="009E27E4">
          <w:rPr>
            <w:webHidden/>
          </w:rPr>
          <w:t>166</w:t>
        </w:r>
        <w:r w:rsidRPr="00CB4E93">
          <w:rPr>
            <w:webHidden/>
          </w:rPr>
          <w:fldChar w:fldCharType="end"/>
        </w:r>
      </w:hyperlink>
    </w:p>
    <w:p w14:paraId="05BF33A6" w14:textId="2BAAEEA2" w:rsidR="00CB4E93" w:rsidRPr="00CB4E93" w:rsidRDefault="00CB4E93" w:rsidP="00CB4E93">
      <w:pPr>
        <w:pStyle w:val="TM2"/>
        <w:contextualSpacing/>
        <w:rPr>
          <w:rFonts w:eastAsiaTheme="minorEastAsia"/>
          <w:b w:val="0"/>
          <w:i w:val="0"/>
          <w:caps w:val="0"/>
          <w:color w:val="auto"/>
        </w:rPr>
      </w:pPr>
      <w:hyperlink w:anchor="_Toc52869706" w:history="1">
        <w:r w:rsidRPr="00CB4E93">
          <w:rPr>
            <w:rStyle w:val="Lienhypertexte"/>
            <w:rFonts w:eastAsiaTheme="majorEastAsia"/>
          </w:rPr>
          <w:t>9.11. Risques vis-à-vis des biens et du milieu naturel pour chaque type d’activités</w:t>
        </w:r>
        <w:r w:rsidRPr="00CB4E93">
          <w:rPr>
            <w:webHidden/>
          </w:rPr>
          <w:tab/>
        </w:r>
        <w:r w:rsidRPr="00CB4E93">
          <w:rPr>
            <w:webHidden/>
          </w:rPr>
          <w:fldChar w:fldCharType="begin"/>
        </w:r>
        <w:r w:rsidRPr="00CB4E93">
          <w:rPr>
            <w:webHidden/>
          </w:rPr>
          <w:instrText xml:space="preserve"> PAGEREF _Toc52869706 \h </w:instrText>
        </w:r>
        <w:r w:rsidRPr="00CB4E93">
          <w:rPr>
            <w:webHidden/>
          </w:rPr>
        </w:r>
        <w:r w:rsidRPr="00CB4E93">
          <w:rPr>
            <w:webHidden/>
          </w:rPr>
          <w:fldChar w:fldCharType="separate"/>
        </w:r>
        <w:r w:rsidR="009E27E4">
          <w:rPr>
            <w:webHidden/>
          </w:rPr>
          <w:t>167</w:t>
        </w:r>
        <w:r w:rsidRPr="00CB4E93">
          <w:rPr>
            <w:webHidden/>
          </w:rPr>
          <w:fldChar w:fldCharType="end"/>
        </w:r>
      </w:hyperlink>
    </w:p>
    <w:p w14:paraId="132D0847" w14:textId="04049BDE" w:rsidR="00CB4E93" w:rsidRPr="00CB4E93" w:rsidRDefault="00CB4E93" w:rsidP="00CB4E93">
      <w:pPr>
        <w:pStyle w:val="TM2"/>
        <w:contextualSpacing/>
        <w:rPr>
          <w:rFonts w:eastAsiaTheme="minorEastAsia"/>
          <w:b w:val="0"/>
          <w:i w:val="0"/>
          <w:caps w:val="0"/>
          <w:color w:val="auto"/>
        </w:rPr>
      </w:pPr>
      <w:hyperlink w:anchor="_Toc52869707" w:history="1">
        <w:r w:rsidRPr="00CB4E93">
          <w:rPr>
            <w:rStyle w:val="Lienhypertexte"/>
            <w:rFonts w:eastAsiaTheme="majorEastAsia"/>
          </w:rPr>
          <w:t>9.12. Mesures générales de prévention et minimisation des risques pendant les travaux</w:t>
        </w:r>
        <w:r w:rsidRPr="00CB4E93">
          <w:rPr>
            <w:webHidden/>
          </w:rPr>
          <w:tab/>
        </w:r>
        <w:r w:rsidRPr="00CB4E93">
          <w:rPr>
            <w:webHidden/>
          </w:rPr>
          <w:fldChar w:fldCharType="begin"/>
        </w:r>
        <w:r w:rsidRPr="00CB4E93">
          <w:rPr>
            <w:webHidden/>
          </w:rPr>
          <w:instrText xml:space="preserve"> PAGEREF _Toc52869707 \h </w:instrText>
        </w:r>
        <w:r w:rsidRPr="00CB4E93">
          <w:rPr>
            <w:webHidden/>
          </w:rPr>
        </w:r>
        <w:r w:rsidRPr="00CB4E93">
          <w:rPr>
            <w:webHidden/>
          </w:rPr>
          <w:fldChar w:fldCharType="separate"/>
        </w:r>
        <w:r w:rsidR="009E27E4">
          <w:rPr>
            <w:webHidden/>
          </w:rPr>
          <w:t>172</w:t>
        </w:r>
        <w:r w:rsidRPr="00CB4E93">
          <w:rPr>
            <w:webHidden/>
          </w:rPr>
          <w:fldChar w:fldCharType="end"/>
        </w:r>
      </w:hyperlink>
    </w:p>
    <w:p w14:paraId="41A33C46" w14:textId="034AA9A7" w:rsidR="00CB4E93" w:rsidRPr="00CB4E93" w:rsidRDefault="00CB4E93" w:rsidP="00CB4E93">
      <w:pPr>
        <w:pStyle w:val="TM3"/>
        <w:tabs>
          <w:tab w:val="right" w:leader="dot" w:pos="9062"/>
        </w:tabs>
        <w:spacing w:before="60" w:after="0" w:line="240" w:lineRule="auto"/>
        <w:contextualSpacing/>
        <w:rPr>
          <w:rFonts w:eastAsiaTheme="minorEastAsia" w:cs="Arial"/>
          <w:noProof/>
          <w:color w:val="auto"/>
          <w:sz w:val="20"/>
          <w:szCs w:val="20"/>
          <w:lang w:eastAsia="fr-FR"/>
        </w:rPr>
      </w:pPr>
      <w:hyperlink w:anchor="_Toc52869708" w:history="1">
        <w:r w:rsidRPr="00CB4E93">
          <w:rPr>
            <w:rStyle w:val="Lienhypertexte"/>
            <w:rFonts w:eastAsiaTheme="majorEastAsia" w:cs="Arial"/>
            <w:i/>
            <w:noProof/>
            <w:sz w:val="20"/>
            <w:szCs w:val="20"/>
          </w:rPr>
          <w:t>9.12.1. Protection du personnel sur site</w:t>
        </w:r>
        <w:r w:rsidRPr="00CB4E93">
          <w:rPr>
            <w:rFonts w:cs="Arial"/>
            <w:noProof/>
            <w:webHidden/>
            <w:sz w:val="20"/>
            <w:szCs w:val="20"/>
          </w:rPr>
          <w:tab/>
        </w:r>
        <w:r w:rsidRPr="00CB4E93">
          <w:rPr>
            <w:rFonts w:cs="Arial"/>
            <w:noProof/>
            <w:webHidden/>
            <w:sz w:val="20"/>
            <w:szCs w:val="20"/>
          </w:rPr>
          <w:fldChar w:fldCharType="begin"/>
        </w:r>
        <w:r w:rsidRPr="00CB4E93">
          <w:rPr>
            <w:rFonts w:cs="Arial"/>
            <w:noProof/>
            <w:webHidden/>
            <w:sz w:val="20"/>
            <w:szCs w:val="20"/>
          </w:rPr>
          <w:instrText xml:space="preserve"> PAGEREF _Toc52869708 \h </w:instrText>
        </w:r>
        <w:r w:rsidRPr="00CB4E93">
          <w:rPr>
            <w:rFonts w:cs="Arial"/>
            <w:noProof/>
            <w:webHidden/>
            <w:sz w:val="20"/>
            <w:szCs w:val="20"/>
          </w:rPr>
        </w:r>
        <w:r w:rsidRPr="00CB4E93">
          <w:rPr>
            <w:rFonts w:cs="Arial"/>
            <w:noProof/>
            <w:webHidden/>
            <w:sz w:val="20"/>
            <w:szCs w:val="20"/>
          </w:rPr>
          <w:fldChar w:fldCharType="separate"/>
        </w:r>
        <w:r w:rsidR="009E27E4">
          <w:rPr>
            <w:rFonts w:cs="Arial"/>
            <w:noProof/>
            <w:webHidden/>
            <w:sz w:val="20"/>
            <w:szCs w:val="20"/>
          </w:rPr>
          <w:t>172</w:t>
        </w:r>
        <w:r w:rsidRPr="00CB4E93">
          <w:rPr>
            <w:rFonts w:cs="Arial"/>
            <w:noProof/>
            <w:webHidden/>
            <w:sz w:val="20"/>
            <w:szCs w:val="20"/>
          </w:rPr>
          <w:fldChar w:fldCharType="end"/>
        </w:r>
      </w:hyperlink>
    </w:p>
    <w:p w14:paraId="2E4C10EA" w14:textId="5A11DF48" w:rsidR="00CB4E93" w:rsidRPr="00CB4E93" w:rsidRDefault="00CB4E93" w:rsidP="00CB4E93">
      <w:pPr>
        <w:pStyle w:val="TM3"/>
        <w:tabs>
          <w:tab w:val="right" w:leader="dot" w:pos="9062"/>
        </w:tabs>
        <w:spacing w:before="60" w:after="0" w:line="240" w:lineRule="auto"/>
        <w:contextualSpacing/>
        <w:rPr>
          <w:rFonts w:eastAsiaTheme="minorEastAsia" w:cs="Arial"/>
          <w:noProof/>
          <w:color w:val="auto"/>
          <w:sz w:val="20"/>
          <w:szCs w:val="20"/>
          <w:lang w:eastAsia="fr-FR"/>
        </w:rPr>
      </w:pPr>
      <w:hyperlink w:anchor="_Toc52869709" w:history="1">
        <w:r w:rsidRPr="00CB4E93">
          <w:rPr>
            <w:rStyle w:val="Lienhypertexte"/>
            <w:rFonts w:eastAsiaTheme="majorEastAsia" w:cs="Arial"/>
            <w:i/>
            <w:noProof/>
            <w:sz w:val="20"/>
            <w:szCs w:val="20"/>
          </w:rPr>
          <w:t>9.12.2. Etablissement d’un Plan Hygiène Santé et Sécurité</w:t>
        </w:r>
        <w:r w:rsidRPr="00CB4E93">
          <w:rPr>
            <w:rFonts w:cs="Arial"/>
            <w:noProof/>
            <w:webHidden/>
            <w:sz w:val="20"/>
            <w:szCs w:val="20"/>
          </w:rPr>
          <w:tab/>
        </w:r>
        <w:r w:rsidRPr="00CB4E93">
          <w:rPr>
            <w:rFonts w:cs="Arial"/>
            <w:noProof/>
            <w:webHidden/>
            <w:sz w:val="20"/>
            <w:szCs w:val="20"/>
          </w:rPr>
          <w:fldChar w:fldCharType="begin"/>
        </w:r>
        <w:r w:rsidRPr="00CB4E93">
          <w:rPr>
            <w:rFonts w:cs="Arial"/>
            <w:noProof/>
            <w:webHidden/>
            <w:sz w:val="20"/>
            <w:szCs w:val="20"/>
          </w:rPr>
          <w:instrText xml:space="preserve"> PAGEREF _Toc52869709 \h </w:instrText>
        </w:r>
        <w:r w:rsidRPr="00CB4E93">
          <w:rPr>
            <w:rFonts w:cs="Arial"/>
            <w:noProof/>
            <w:webHidden/>
            <w:sz w:val="20"/>
            <w:szCs w:val="20"/>
          </w:rPr>
        </w:r>
        <w:r w:rsidRPr="00CB4E93">
          <w:rPr>
            <w:rFonts w:cs="Arial"/>
            <w:noProof/>
            <w:webHidden/>
            <w:sz w:val="20"/>
            <w:szCs w:val="20"/>
          </w:rPr>
          <w:fldChar w:fldCharType="separate"/>
        </w:r>
        <w:r w:rsidR="009E27E4">
          <w:rPr>
            <w:rFonts w:cs="Arial"/>
            <w:noProof/>
            <w:webHidden/>
            <w:sz w:val="20"/>
            <w:szCs w:val="20"/>
          </w:rPr>
          <w:t>173</w:t>
        </w:r>
        <w:r w:rsidRPr="00CB4E93">
          <w:rPr>
            <w:rFonts w:cs="Arial"/>
            <w:noProof/>
            <w:webHidden/>
            <w:sz w:val="20"/>
            <w:szCs w:val="20"/>
          </w:rPr>
          <w:fldChar w:fldCharType="end"/>
        </w:r>
      </w:hyperlink>
    </w:p>
    <w:p w14:paraId="37319F6D" w14:textId="4263B6C1" w:rsidR="00CB4E93" w:rsidRPr="00CB4E93" w:rsidRDefault="00CB4E93" w:rsidP="00CB4E93">
      <w:pPr>
        <w:pStyle w:val="TM3"/>
        <w:tabs>
          <w:tab w:val="right" w:leader="dot" w:pos="9062"/>
        </w:tabs>
        <w:spacing w:before="60" w:after="0" w:line="240" w:lineRule="auto"/>
        <w:contextualSpacing/>
        <w:rPr>
          <w:rFonts w:eastAsiaTheme="minorEastAsia" w:cs="Arial"/>
          <w:noProof/>
          <w:color w:val="auto"/>
          <w:sz w:val="20"/>
          <w:szCs w:val="20"/>
          <w:lang w:eastAsia="fr-FR"/>
        </w:rPr>
      </w:pPr>
      <w:hyperlink w:anchor="_Toc52869710" w:history="1">
        <w:r w:rsidRPr="00CB4E93">
          <w:rPr>
            <w:rStyle w:val="Lienhypertexte"/>
            <w:rFonts w:eastAsiaTheme="majorEastAsia" w:cs="Arial"/>
            <w:i/>
            <w:noProof/>
            <w:sz w:val="20"/>
            <w:szCs w:val="20"/>
          </w:rPr>
          <w:t>9.12.3. Prévention en terme de santé et d’hygiène du personnel</w:t>
        </w:r>
        <w:r w:rsidRPr="00CB4E93">
          <w:rPr>
            <w:rFonts w:cs="Arial"/>
            <w:noProof/>
            <w:webHidden/>
            <w:sz w:val="20"/>
            <w:szCs w:val="20"/>
          </w:rPr>
          <w:tab/>
        </w:r>
        <w:r w:rsidRPr="00CB4E93">
          <w:rPr>
            <w:rFonts w:cs="Arial"/>
            <w:noProof/>
            <w:webHidden/>
            <w:sz w:val="20"/>
            <w:szCs w:val="20"/>
          </w:rPr>
          <w:fldChar w:fldCharType="begin"/>
        </w:r>
        <w:r w:rsidRPr="00CB4E93">
          <w:rPr>
            <w:rFonts w:cs="Arial"/>
            <w:noProof/>
            <w:webHidden/>
            <w:sz w:val="20"/>
            <w:szCs w:val="20"/>
          </w:rPr>
          <w:instrText xml:space="preserve"> PAGEREF _Toc52869710 \h </w:instrText>
        </w:r>
        <w:r w:rsidRPr="00CB4E93">
          <w:rPr>
            <w:rFonts w:cs="Arial"/>
            <w:noProof/>
            <w:webHidden/>
            <w:sz w:val="20"/>
            <w:szCs w:val="20"/>
          </w:rPr>
        </w:r>
        <w:r w:rsidRPr="00CB4E93">
          <w:rPr>
            <w:rFonts w:cs="Arial"/>
            <w:noProof/>
            <w:webHidden/>
            <w:sz w:val="20"/>
            <w:szCs w:val="20"/>
          </w:rPr>
          <w:fldChar w:fldCharType="separate"/>
        </w:r>
        <w:r w:rsidR="009E27E4">
          <w:rPr>
            <w:rFonts w:cs="Arial"/>
            <w:noProof/>
            <w:webHidden/>
            <w:sz w:val="20"/>
            <w:szCs w:val="20"/>
          </w:rPr>
          <w:t>173</w:t>
        </w:r>
        <w:r w:rsidRPr="00CB4E93">
          <w:rPr>
            <w:rFonts w:cs="Arial"/>
            <w:noProof/>
            <w:webHidden/>
            <w:sz w:val="20"/>
            <w:szCs w:val="20"/>
          </w:rPr>
          <w:fldChar w:fldCharType="end"/>
        </w:r>
      </w:hyperlink>
    </w:p>
    <w:p w14:paraId="05BDD7D7" w14:textId="3301E7CC" w:rsidR="00CB4E93" w:rsidRPr="00CB4E93" w:rsidRDefault="00CB4E93" w:rsidP="00CB4E93">
      <w:pPr>
        <w:pStyle w:val="TM3"/>
        <w:tabs>
          <w:tab w:val="right" w:leader="dot" w:pos="9062"/>
        </w:tabs>
        <w:spacing w:before="60" w:after="0" w:line="240" w:lineRule="auto"/>
        <w:contextualSpacing/>
        <w:rPr>
          <w:rFonts w:eastAsiaTheme="minorEastAsia" w:cs="Arial"/>
          <w:noProof/>
          <w:color w:val="auto"/>
          <w:sz w:val="20"/>
          <w:szCs w:val="20"/>
          <w:lang w:eastAsia="fr-FR"/>
        </w:rPr>
      </w:pPr>
      <w:hyperlink w:anchor="_Toc52869711" w:history="1">
        <w:r w:rsidRPr="00CB4E93">
          <w:rPr>
            <w:rStyle w:val="Lienhypertexte"/>
            <w:rFonts w:eastAsiaTheme="majorEastAsia" w:cs="Arial"/>
            <w:i/>
            <w:noProof/>
            <w:sz w:val="20"/>
            <w:szCs w:val="20"/>
          </w:rPr>
          <w:t>9.12.4. Communication, formation et évaluation</w:t>
        </w:r>
        <w:r w:rsidRPr="00CB4E93">
          <w:rPr>
            <w:rFonts w:cs="Arial"/>
            <w:noProof/>
            <w:webHidden/>
            <w:sz w:val="20"/>
            <w:szCs w:val="20"/>
          </w:rPr>
          <w:tab/>
        </w:r>
        <w:r w:rsidRPr="00CB4E93">
          <w:rPr>
            <w:rFonts w:cs="Arial"/>
            <w:noProof/>
            <w:webHidden/>
            <w:sz w:val="20"/>
            <w:szCs w:val="20"/>
          </w:rPr>
          <w:fldChar w:fldCharType="begin"/>
        </w:r>
        <w:r w:rsidRPr="00CB4E93">
          <w:rPr>
            <w:rFonts w:cs="Arial"/>
            <w:noProof/>
            <w:webHidden/>
            <w:sz w:val="20"/>
            <w:szCs w:val="20"/>
          </w:rPr>
          <w:instrText xml:space="preserve"> PAGEREF _Toc52869711 \h </w:instrText>
        </w:r>
        <w:r w:rsidRPr="00CB4E93">
          <w:rPr>
            <w:rFonts w:cs="Arial"/>
            <w:noProof/>
            <w:webHidden/>
            <w:sz w:val="20"/>
            <w:szCs w:val="20"/>
          </w:rPr>
        </w:r>
        <w:r w:rsidRPr="00CB4E93">
          <w:rPr>
            <w:rFonts w:cs="Arial"/>
            <w:noProof/>
            <w:webHidden/>
            <w:sz w:val="20"/>
            <w:szCs w:val="20"/>
          </w:rPr>
          <w:fldChar w:fldCharType="separate"/>
        </w:r>
        <w:r w:rsidR="009E27E4">
          <w:rPr>
            <w:rFonts w:cs="Arial"/>
            <w:noProof/>
            <w:webHidden/>
            <w:sz w:val="20"/>
            <w:szCs w:val="20"/>
          </w:rPr>
          <w:t>174</w:t>
        </w:r>
        <w:r w:rsidRPr="00CB4E93">
          <w:rPr>
            <w:rFonts w:cs="Arial"/>
            <w:noProof/>
            <w:webHidden/>
            <w:sz w:val="20"/>
            <w:szCs w:val="20"/>
          </w:rPr>
          <w:fldChar w:fldCharType="end"/>
        </w:r>
      </w:hyperlink>
    </w:p>
    <w:p w14:paraId="5F0E1245" w14:textId="38FF38A8" w:rsidR="00CB4E93" w:rsidRPr="00CB4E93" w:rsidRDefault="00CB4E93" w:rsidP="00CB4E93">
      <w:pPr>
        <w:pStyle w:val="TM3"/>
        <w:tabs>
          <w:tab w:val="right" w:leader="dot" w:pos="9062"/>
        </w:tabs>
        <w:spacing w:before="60" w:after="0" w:line="240" w:lineRule="auto"/>
        <w:contextualSpacing/>
        <w:rPr>
          <w:rFonts w:eastAsiaTheme="minorEastAsia" w:cs="Arial"/>
          <w:noProof/>
          <w:color w:val="auto"/>
          <w:sz w:val="20"/>
          <w:szCs w:val="20"/>
          <w:lang w:eastAsia="fr-FR"/>
        </w:rPr>
      </w:pPr>
      <w:hyperlink w:anchor="_Toc52869712" w:history="1">
        <w:r w:rsidRPr="00CB4E93">
          <w:rPr>
            <w:rStyle w:val="Lienhypertexte"/>
            <w:rFonts w:eastAsiaTheme="majorEastAsia" w:cs="Arial"/>
            <w:i/>
            <w:noProof/>
            <w:sz w:val="20"/>
            <w:szCs w:val="20"/>
          </w:rPr>
          <w:t>9.12.6. Sécurité incendie</w:t>
        </w:r>
        <w:r w:rsidRPr="00CB4E93">
          <w:rPr>
            <w:rFonts w:cs="Arial"/>
            <w:noProof/>
            <w:webHidden/>
            <w:sz w:val="20"/>
            <w:szCs w:val="20"/>
          </w:rPr>
          <w:tab/>
        </w:r>
        <w:r w:rsidRPr="00CB4E93">
          <w:rPr>
            <w:rFonts w:cs="Arial"/>
            <w:noProof/>
            <w:webHidden/>
            <w:sz w:val="20"/>
            <w:szCs w:val="20"/>
          </w:rPr>
          <w:fldChar w:fldCharType="begin"/>
        </w:r>
        <w:r w:rsidRPr="00CB4E93">
          <w:rPr>
            <w:rFonts w:cs="Arial"/>
            <w:noProof/>
            <w:webHidden/>
            <w:sz w:val="20"/>
            <w:szCs w:val="20"/>
          </w:rPr>
          <w:instrText xml:space="preserve"> PAGEREF _Toc52869712 \h </w:instrText>
        </w:r>
        <w:r w:rsidRPr="00CB4E93">
          <w:rPr>
            <w:rFonts w:cs="Arial"/>
            <w:noProof/>
            <w:webHidden/>
            <w:sz w:val="20"/>
            <w:szCs w:val="20"/>
          </w:rPr>
        </w:r>
        <w:r w:rsidRPr="00CB4E93">
          <w:rPr>
            <w:rFonts w:cs="Arial"/>
            <w:noProof/>
            <w:webHidden/>
            <w:sz w:val="20"/>
            <w:szCs w:val="20"/>
          </w:rPr>
          <w:fldChar w:fldCharType="separate"/>
        </w:r>
        <w:r w:rsidR="009E27E4">
          <w:rPr>
            <w:rFonts w:cs="Arial"/>
            <w:noProof/>
            <w:webHidden/>
            <w:sz w:val="20"/>
            <w:szCs w:val="20"/>
          </w:rPr>
          <w:t>174</w:t>
        </w:r>
        <w:r w:rsidRPr="00CB4E93">
          <w:rPr>
            <w:rFonts w:cs="Arial"/>
            <w:noProof/>
            <w:webHidden/>
            <w:sz w:val="20"/>
            <w:szCs w:val="20"/>
          </w:rPr>
          <w:fldChar w:fldCharType="end"/>
        </w:r>
      </w:hyperlink>
    </w:p>
    <w:p w14:paraId="39DFBFA0" w14:textId="111EE861" w:rsidR="00CB4E93" w:rsidRPr="00CB4E93" w:rsidRDefault="00CB4E93" w:rsidP="00CB4E93">
      <w:pPr>
        <w:pStyle w:val="TM2"/>
        <w:contextualSpacing/>
        <w:rPr>
          <w:rFonts w:eastAsiaTheme="minorEastAsia"/>
          <w:b w:val="0"/>
          <w:i w:val="0"/>
          <w:caps w:val="0"/>
          <w:color w:val="auto"/>
        </w:rPr>
      </w:pPr>
      <w:hyperlink w:anchor="_Toc52869713" w:history="1">
        <w:r w:rsidRPr="00CB4E93">
          <w:rPr>
            <w:rStyle w:val="Lienhypertexte"/>
            <w:rFonts w:eastAsiaTheme="majorEastAsia"/>
          </w:rPr>
          <w:t>9.13. Mesures spécifiques a chaque type d’activités</w:t>
        </w:r>
        <w:r w:rsidRPr="00CB4E93">
          <w:rPr>
            <w:webHidden/>
          </w:rPr>
          <w:tab/>
        </w:r>
        <w:r w:rsidRPr="00CB4E93">
          <w:rPr>
            <w:webHidden/>
          </w:rPr>
          <w:fldChar w:fldCharType="begin"/>
        </w:r>
        <w:r w:rsidRPr="00CB4E93">
          <w:rPr>
            <w:webHidden/>
          </w:rPr>
          <w:instrText xml:space="preserve"> PAGEREF _Toc52869713 \h </w:instrText>
        </w:r>
        <w:r w:rsidRPr="00CB4E93">
          <w:rPr>
            <w:webHidden/>
          </w:rPr>
        </w:r>
        <w:r w:rsidRPr="00CB4E93">
          <w:rPr>
            <w:webHidden/>
          </w:rPr>
          <w:fldChar w:fldCharType="separate"/>
        </w:r>
        <w:r w:rsidR="009E27E4">
          <w:rPr>
            <w:webHidden/>
          </w:rPr>
          <w:t>175</w:t>
        </w:r>
        <w:r w:rsidRPr="00CB4E93">
          <w:rPr>
            <w:webHidden/>
          </w:rPr>
          <w:fldChar w:fldCharType="end"/>
        </w:r>
      </w:hyperlink>
    </w:p>
    <w:p w14:paraId="57C73FCE" w14:textId="57DD8508" w:rsidR="00CB4E93" w:rsidRPr="00CB4E93" w:rsidRDefault="00CB4E93" w:rsidP="00CB4E93">
      <w:pPr>
        <w:pStyle w:val="TM3"/>
        <w:tabs>
          <w:tab w:val="right" w:leader="dot" w:pos="9062"/>
        </w:tabs>
        <w:spacing w:before="60" w:after="0" w:line="240" w:lineRule="auto"/>
        <w:contextualSpacing/>
        <w:rPr>
          <w:rFonts w:eastAsiaTheme="minorEastAsia" w:cs="Arial"/>
          <w:noProof/>
          <w:color w:val="auto"/>
          <w:sz w:val="20"/>
          <w:szCs w:val="20"/>
          <w:lang w:eastAsia="fr-FR"/>
        </w:rPr>
      </w:pPr>
      <w:hyperlink w:anchor="_Toc52869714" w:history="1">
        <w:r w:rsidRPr="00CB4E93">
          <w:rPr>
            <w:rStyle w:val="Lienhypertexte"/>
            <w:rFonts w:eastAsiaTheme="majorEastAsia" w:cs="Arial"/>
            <w:i/>
            <w:noProof/>
            <w:sz w:val="20"/>
            <w:szCs w:val="20"/>
          </w:rPr>
          <w:t>9.13.1. Travaux de déplacement des réseaux divers (eau, électricité et téléphonique)</w:t>
        </w:r>
        <w:r w:rsidRPr="00CB4E93">
          <w:rPr>
            <w:rFonts w:cs="Arial"/>
            <w:noProof/>
            <w:webHidden/>
            <w:sz w:val="20"/>
            <w:szCs w:val="20"/>
          </w:rPr>
          <w:tab/>
        </w:r>
        <w:r w:rsidRPr="00CB4E93">
          <w:rPr>
            <w:rFonts w:cs="Arial"/>
            <w:noProof/>
            <w:webHidden/>
            <w:sz w:val="20"/>
            <w:szCs w:val="20"/>
          </w:rPr>
          <w:fldChar w:fldCharType="begin"/>
        </w:r>
        <w:r w:rsidRPr="00CB4E93">
          <w:rPr>
            <w:rFonts w:cs="Arial"/>
            <w:noProof/>
            <w:webHidden/>
            <w:sz w:val="20"/>
            <w:szCs w:val="20"/>
          </w:rPr>
          <w:instrText xml:space="preserve"> PAGEREF _Toc52869714 \h </w:instrText>
        </w:r>
        <w:r w:rsidRPr="00CB4E93">
          <w:rPr>
            <w:rFonts w:cs="Arial"/>
            <w:noProof/>
            <w:webHidden/>
            <w:sz w:val="20"/>
            <w:szCs w:val="20"/>
          </w:rPr>
        </w:r>
        <w:r w:rsidRPr="00CB4E93">
          <w:rPr>
            <w:rFonts w:cs="Arial"/>
            <w:noProof/>
            <w:webHidden/>
            <w:sz w:val="20"/>
            <w:szCs w:val="20"/>
          </w:rPr>
          <w:fldChar w:fldCharType="separate"/>
        </w:r>
        <w:r w:rsidR="009E27E4">
          <w:rPr>
            <w:rFonts w:cs="Arial"/>
            <w:noProof/>
            <w:webHidden/>
            <w:sz w:val="20"/>
            <w:szCs w:val="20"/>
          </w:rPr>
          <w:t>175</w:t>
        </w:r>
        <w:r w:rsidRPr="00CB4E93">
          <w:rPr>
            <w:rFonts w:cs="Arial"/>
            <w:noProof/>
            <w:webHidden/>
            <w:sz w:val="20"/>
            <w:szCs w:val="20"/>
          </w:rPr>
          <w:fldChar w:fldCharType="end"/>
        </w:r>
      </w:hyperlink>
    </w:p>
    <w:p w14:paraId="11E7A425" w14:textId="4C070D92" w:rsidR="00CB4E93" w:rsidRPr="00CB4E93" w:rsidRDefault="00CB4E93" w:rsidP="00CB4E93">
      <w:pPr>
        <w:pStyle w:val="TM3"/>
        <w:tabs>
          <w:tab w:val="right" w:leader="dot" w:pos="9062"/>
        </w:tabs>
        <w:spacing w:before="60" w:after="0" w:line="240" w:lineRule="auto"/>
        <w:contextualSpacing/>
        <w:rPr>
          <w:rFonts w:eastAsiaTheme="minorEastAsia" w:cs="Arial"/>
          <w:noProof/>
          <w:color w:val="auto"/>
          <w:sz w:val="20"/>
          <w:szCs w:val="20"/>
          <w:lang w:eastAsia="fr-FR"/>
        </w:rPr>
      </w:pPr>
      <w:hyperlink w:anchor="_Toc52869715" w:history="1">
        <w:r w:rsidRPr="00CB4E93">
          <w:rPr>
            <w:rStyle w:val="Lienhypertexte"/>
            <w:rFonts w:eastAsiaTheme="majorEastAsia" w:cs="Arial"/>
            <w:i/>
            <w:noProof/>
            <w:sz w:val="20"/>
            <w:szCs w:val="20"/>
          </w:rPr>
          <w:t>9.13.2. Terrassement (déviation, gros œuvre), purge, démolition, transport et mise en dépôt et remblai des terres</w:t>
        </w:r>
        <w:r w:rsidRPr="00CB4E93">
          <w:rPr>
            <w:rFonts w:cs="Arial"/>
            <w:noProof/>
            <w:webHidden/>
            <w:sz w:val="20"/>
            <w:szCs w:val="20"/>
          </w:rPr>
          <w:tab/>
        </w:r>
        <w:r w:rsidRPr="00CB4E93">
          <w:rPr>
            <w:rFonts w:cs="Arial"/>
            <w:noProof/>
            <w:webHidden/>
            <w:sz w:val="20"/>
            <w:szCs w:val="20"/>
          </w:rPr>
          <w:fldChar w:fldCharType="begin"/>
        </w:r>
        <w:r w:rsidRPr="00CB4E93">
          <w:rPr>
            <w:rFonts w:cs="Arial"/>
            <w:noProof/>
            <w:webHidden/>
            <w:sz w:val="20"/>
            <w:szCs w:val="20"/>
          </w:rPr>
          <w:instrText xml:space="preserve"> PAGEREF _Toc52869715 \h </w:instrText>
        </w:r>
        <w:r w:rsidRPr="00CB4E93">
          <w:rPr>
            <w:rFonts w:cs="Arial"/>
            <w:noProof/>
            <w:webHidden/>
            <w:sz w:val="20"/>
            <w:szCs w:val="20"/>
          </w:rPr>
        </w:r>
        <w:r w:rsidRPr="00CB4E93">
          <w:rPr>
            <w:rFonts w:cs="Arial"/>
            <w:noProof/>
            <w:webHidden/>
            <w:sz w:val="20"/>
            <w:szCs w:val="20"/>
          </w:rPr>
          <w:fldChar w:fldCharType="separate"/>
        </w:r>
        <w:r w:rsidR="009E27E4">
          <w:rPr>
            <w:rFonts w:cs="Arial"/>
            <w:noProof/>
            <w:webHidden/>
            <w:sz w:val="20"/>
            <w:szCs w:val="20"/>
          </w:rPr>
          <w:t>177</w:t>
        </w:r>
        <w:r w:rsidRPr="00CB4E93">
          <w:rPr>
            <w:rFonts w:cs="Arial"/>
            <w:noProof/>
            <w:webHidden/>
            <w:sz w:val="20"/>
            <w:szCs w:val="20"/>
          </w:rPr>
          <w:fldChar w:fldCharType="end"/>
        </w:r>
      </w:hyperlink>
    </w:p>
    <w:p w14:paraId="7E90DEE7" w14:textId="37BE0E15" w:rsidR="00CB4E93" w:rsidRPr="00CB4E93" w:rsidRDefault="00CB4E93" w:rsidP="00CB4E93">
      <w:pPr>
        <w:pStyle w:val="TM3"/>
        <w:tabs>
          <w:tab w:val="right" w:leader="dot" w:pos="9062"/>
        </w:tabs>
        <w:spacing w:before="60" w:after="0" w:line="240" w:lineRule="auto"/>
        <w:contextualSpacing/>
        <w:rPr>
          <w:rFonts w:eastAsiaTheme="minorEastAsia" w:cs="Arial"/>
          <w:noProof/>
          <w:color w:val="auto"/>
          <w:sz w:val="20"/>
          <w:szCs w:val="20"/>
          <w:lang w:eastAsia="fr-FR"/>
        </w:rPr>
      </w:pPr>
      <w:hyperlink w:anchor="_Toc52869716" w:history="1">
        <w:r w:rsidRPr="00CB4E93">
          <w:rPr>
            <w:rStyle w:val="Lienhypertexte"/>
            <w:rFonts w:eastAsiaTheme="majorEastAsia" w:cs="Arial"/>
            <w:i/>
            <w:noProof/>
            <w:sz w:val="20"/>
            <w:szCs w:val="20"/>
          </w:rPr>
          <w:t>9.13.3. Terrassement pour l’aménagement de la voirie (pose des pavés, bitumage et aménagement jusqu’aux riverains)</w:t>
        </w:r>
        <w:r w:rsidRPr="00CB4E93">
          <w:rPr>
            <w:rFonts w:cs="Arial"/>
            <w:noProof/>
            <w:webHidden/>
            <w:sz w:val="20"/>
            <w:szCs w:val="20"/>
          </w:rPr>
          <w:tab/>
        </w:r>
        <w:r w:rsidRPr="00CB4E93">
          <w:rPr>
            <w:rFonts w:cs="Arial"/>
            <w:noProof/>
            <w:webHidden/>
            <w:sz w:val="20"/>
            <w:szCs w:val="20"/>
          </w:rPr>
          <w:fldChar w:fldCharType="begin"/>
        </w:r>
        <w:r w:rsidRPr="00CB4E93">
          <w:rPr>
            <w:rFonts w:cs="Arial"/>
            <w:noProof/>
            <w:webHidden/>
            <w:sz w:val="20"/>
            <w:szCs w:val="20"/>
          </w:rPr>
          <w:instrText xml:space="preserve"> PAGEREF _Toc52869716 \h </w:instrText>
        </w:r>
        <w:r w:rsidRPr="00CB4E93">
          <w:rPr>
            <w:rFonts w:cs="Arial"/>
            <w:noProof/>
            <w:webHidden/>
            <w:sz w:val="20"/>
            <w:szCs w:val="20"/>
          </w:rPr>
        </w:r>
        <w:r w:rsidRPr="00CB4E93">
          <w:rPr>
            <w:rFonts w:cs="Arial"/>
            <w:noProof/>
            <w:webHidden/>
            <w:sz w:val="20"/>
            <w:szCs w:val="20"/>
          </w:rPr>
          <w:fldChar w:fldCharType="separate"/>
        </w:r>
        <w:r w:rsidR="009E27E4">
          <w:rPr>
            <w:rFonts w:cs="Arial"/>
            <w:noProof/>
            <w:webHidden/>
            <w:sz w:val="20"/>
            <w:szCs w:val="20"/>
          </w:rPr>
          <w:t>180</w:t>
        </w:r>
        <w:r w:rsidRPr="00CB4E93">
          <w:rPr>
            <w:rFonts w:cs="Arial"/>
            <w:noProof/>
            <w:webHidden/>
            <w:sz w:val="20"/>
            <w:szCs w:val="20"/>
          </w:rPr>
          <w:fldChar w:fldCharType="end"/>
        </w:r>
      </w:hyperlink>
    </w:p>
    <w:p w14:paraId="16C43E5B" w14:textId="56A7EAA5" w:rsidR="00CB4E93" w:rsidRPr="00CB4E93" w:rsidRDefault="00CB4E93" w:rsidP="00CB4E93">
      <w:pPr>
        <w:pStyle w:val="TM3"/>
        <w:tabs>
          <w:tab w:val="right" w:leader="dot" w:pos="9062"/>
        </w:tabs>
        <w:spacing w:before="60" w:after="0" w:line="240" w:lineRule="auto"/>
        <w:contextualSpacing/>
        <w:rPr>
          <w:rFonts w:eastAsiaTheme="minorEastAsia" w:cs="Arial"/>
          <w:noProof/>
          <w:color w:val="auto"/>
          <w:sz w:val="20"/>
          <w:szCs w:val="20"/>
          <w:lang w:eastAsia="fr-FR"/>
        </w:rPr>
      </w:pPr>
      <w:hyperlink w:anchor="_Toc52869717" w:history="1">
        <w:r w:rsidRPr="00CB4E93">
          <w:rPr>
            <w:rStyle w:val="Lienhypertexte"/>
            <w:rFonts w:eastAsiaTheme="majorEastAsia" w:cs="Arial"/>
            <w:i/>
            <w:noProof/>
            <w:sz w:val="20"/>
            <w:szCs w:val="20"/>
          </w:rPr>
          <w:t>9.14. Analyse des risques spécifiques liés à l’exploitation</w:t>
        </w:r>
        <w:r w:rsidRPr="00CB4E93">
          <w:rPr>
            <w:rFonts w:cs="Arial"/>
            <w:noProof/>
            <w:webHidden/>
            <w:sz w:val="20"/>
            <w:szCs w:val="20"/>
          </w:rPr>
          <w:tab/>
        </w:r>
        <w:r w:rsidRPr="00CB4E93">
          <w:rPr>
            <w:rFonts w:cs="Arial"/>
            <w:noProof/>
            <w:webHidden/>
            <w:sz w:val="20"/>
            <w:szCs w:val="20"/>
          </w:rPr>
          <w:fldChar w:fldCharType="begin"/>
        </w:r>
        <w:r w:rsidRPr="00CB4E93">
          <w:rPr>
            <w:rFonts w:cs="Arial"/>
            <w:noProof/>
            <w:webHidden/>
            <w:sz w:val="20"/>
            <w:szCs w:val="20"/>
          </w:rPr>
          <w:instrText xml:space="preserve"> PAGEREF _Toc52869717 \h </w:instrText>
        </w:r>
        <w:r w:rsidRPr="00CB4E93">
          <w:rPr>
            <w:rFonts w:cs="Arial"/>
            <w:noProof/>
            <w:webHidden/>
            <w:sz w:val="20"/>
            <w:szCs w:val="20"/>
          </w:rPr>
        </w:r>
        <w:r w:rsidRPr="00CB4E93">
          <w:rPr>
            <w:rFonts w:cs="Arial"/>
            <w:noProof/>
            <w:webHidden/>
            <w:sz w:val="20"/>
            <w:szCs w:val="20"/>
          </w:rPr>
          <w:fldChar w:fldCharType="separate"/>
        </w:r>
        <w:r w:rsidR="009E27E4">
          <w:rPr>
            <w:rFonts w:cs="Arial"/>
            <w:noProof/>
            <w:webHidden/>
            <w:sz w:val="20"/>
            <w:szCs w:val="20"/>
          </w:rPr>
          <w:t>181</w:t>
        </w:r>
        <w:r w:rsidRPr="00CB4E93">
          <w:rPr>
            <w:rFonts w:cs="Arial"/>
            <w:noProof/>
            <w:webHidden/>
            <w:sz w:val="20"/>
            <w:szCs w:val="20"/>
          </w:rPr>
          <w:fldChar w:fldCharType="end"/>
        </w:r>
      </w:hyperlink>
    </w:p>
    <w:p w14:paraId="0198D50C" w14:textId="231F2CA0" w:rsidR="00CB4E93" w:rsidRPr="00CB4E93" w:rsidRDefault="00CB4E93" w:rsidP="00CB4E93">
      <w:pPr>
        <w:pStyle w:val="TM2"/>
        <w:contextualSpacing/>
        <w:rPr>
          <w:rFonts w:eastAsiaTheme="minorEastAsia"/>
          <w:b w:val="0"/>
          <w:i w:val="0"/>
          <w:caps w:val="0"/>
          <w:color w:val="auto"/>
        </w:rPr>
      </w:pPr>
      <w:hyperlink w:anchor="_Toc52869718" w:history="1">
        <w:r w:rsidRPr="00CB4E93">
          <w:rPr>
            <w:rStyle w:val="Lienhypertexte"/>
            <w:rFonts w:eastAsiaTheme="majorEastAsia"/>
          </w:rPr>
          <w:t>9.15. Mesures générales de prévention et de minimisation des risques pendant l’exploitation</w:t>
        </w:r>
        <w:r w:rsidRPr="00CB4E93">
          <w:rPr>
            <w:webHidden/>
          </w:rPr>
          <w:tab/>
        </w:r>
        <w:r w:rsidRPr="00CB4E93">
          <w:rPr>
            <w:webHidden/>
          </w:rPr>
          <w:fldChar w:fldCharType="begin"/>
        </w:r>
        <w:r w:rsidRPr="00CB4E93">
          <w:rPr>
            <w:webHidden/>
          </w:rPr>
          <w:instrText xml:space="preserve"> PAGEREF _Toc52869718 \h </w:instrText>
        </w:r>
        <w:r w:rsidRPr="00CB4E93">
          <w:rPr>
            <w:webHidden/>
          </w:rPr>
        </w:r>
        <w:r w:rsidRPr="00CB4E93">
          <w:rPr>
            <w:webHidden/>
          </w:rPr>
          <w:fldChar w:fldCharType="separate"/>
        </w:r>
        <w:r w:rsidR="009E27E4">
          <w:rPr>
            <w:webHidden/>
          </w:rPr>
          <w:t>183</w:t>
        </w:r>
        <w:r w:rsidRPr="00CB4E93">
          <w:rPr>
            <w:webHidden/>
          </w:rPr>
          <w:fldChar w:fldCharType="end"/>
        </w:r>
      </w:hyperlink>
    </w:p>
    <w:p w14:paraId="5F31D25F" w14:textId="54765D7B" w:rsidR="00CB4E93" w:rsidRPr="00CB4E93" w:rsidRDefault="00CB4E93" w:rsidP="00CB4E93">
      <w:pPr>
        <w:pStyle w:val="TM1"/>
        <w:tabs>
          <w:tab w:val="right" w:leader="dot" w:pos="9062"/>
        </w:tabs>
        <w:spacing w:before="60" w:after="0" w:line="240" w:lineRule="auto"/>
        <w:contextualSpacing/>
        <w:rPr>
          <w:rFonts w:ascii="Arial" w:eastAsiaTheme="minorEastAsia" w:hAnsi="Arial" w:cs="Arial"/>
          <w:b w:val="0"/>
          <w:bCs w:val="0"/>
          <w:caps w:val="0"/>
          <w:noProof/>
          <w:color w:val="auto"/>
          <w:lang w:eastAsia="fr-FR"/>
        </w:rPr>
      </w:pPr>
      <w:hyperlink w:anchor="_Toc52869719" w:history="1">
        <w:r w:rsidRPr="00CB4E93">
          <w:rPr>
            <w:rStyle w:val="Lienhypertexte"/>
            <w:rFonts w:ascii="Arial" w:hAnsi="Arial" w:cs="Arial"/>
            <w:noProof/>
          </w:rPr>
          <w:t>10. RESUME DU plan d’ACTION DE REINSTALLATION</w:t>
        </w:r>
        <w:r w:rsidRPr="00CB4E93">
          <w:rPr>
            <w:rFonts w:ascii="Arial" w:hAnsi="Arial" w:cs="Arial"/>
            <w:noProof/>
            <w:webHidden/>
          </w:rPr>
          <w:tab/>
        </w:r>
        <w:r w:rsidRPr="00CB4E93">
          <w:rPr>
            <w:rFonts w:ascii="Arial" w:hAnsi="Arial" w:cs="Arial"/>
            <w:noProof/>
            <w:webHidden/>
          </w:rPr>
          <w:fldChar w:fldCharType="begin"/>
        </w:r>
        <w:r w:rsidRPr="00CB4E93">
          <w:rPr>
            <w:rFonts w:ascii="Arial" w:hAnsi="Arial" w:cs="Arial"/>
            <w:noProof/>
            <w:webHidden/>
          </w:rPr>
          <w:instrText xml:space="preserve"> PAGEREF _Toc52869719 \h </w:instrText>
        </w:r>
        <w:r w:rsidRPr="00CB4E93">
          <w:rPr>
            <w:rFonts w:ascii="Arial" w:hAnsi="Arial" w:cs="Arial"/>
            <w:noProof/>
            <w:webHidden/>
          </w:rPr>
        </w:r>
        <w:r w:rsidRPr="00CB4E93">
          <w:rPr>
            <w:rFonts w:ascii="Arial" w:hAnsi="Arial" w:cs="Arial"/>
            <w:noProof/>
            <w:webHidden/>
          </w:rPr>
          <w:fldChar w:fldCharType="separate"/>
        </w:r>
        <w:r w:rsidR="009E27E4">
          <w:rPr>
            <w:rFonts w:ascii="Arial" w:hAnsi="Arial" w:cs="Arial"/>
            <w:noProof/>
            <w:webHidden/>
          </w:rPr>
          <w:t>184</w:t>
        </w:r>
        <w:r w:rsidRPr="00CB4E93">
          <w:rPr>
            <w:rFonts w:ascii="Arial" w:hAnsi="Arial" w:cs="Arial"/>
            <w:noProof/>
            <w:webHidden/>
          </w:rPr>
          <w:fldChar w:fldCharType="end"/>
        </w:r>
      </w:hyperlink>
    </w:p>
    <w:p w14:paraId="15607C61" w14:textId="3297BE67" w:rsidR="00CB4E93" w:rsidRPr="00CB4E93" w:rsidRDefault="00CB4E93" w:rsidP="00CB4E93">
      <w:pPr>
        <w:pStyle w:val="TM2"/>
        <w:contextualSpacing/>
        <w:rPr>
          <w:rFonts w:eastAsiaTheme="minorEastAsia"/>
          <w:b w:val="0"/>
          <w:i w:val="0"/>
          <w:caps w:val="0"/>
          <w:color w:val="auto"/>
        </w:rPr>
      </w:pPr>
      <w:hyperlink w:anchor="_Toc52869720" w:history="1">
        <w:r w:rsidRPr="00CB4E93">
          <w:rPr>
            <w:rStyle w:val="Lienhypertexte"/>
            <w:rFonts w:eastAsiaTheme="majorEastAsia"/>
          </w:rPr>
          <w:t>10.1. Personnes impactées par le projet</w:t>
        </w:r>
        <w:r w:rsidRPr="00CB4E93">
          <w:rPr>
            <w:webHidden/>
          </w:rPr>
          <w:tab/>
        </w:r>
        <w:r w:rsidRPr="00CB4E93">
          <w:rPr>
            <w:webHidden/>
          </w:rPr>
          <w:fldChar w:fldCharType="begin"/>
        </w:r>
        <w:r w:rsidRPr="00CB4E93">
          <w:rPr>
            <w:webHidden/>
          </w:rPr>
          <w:instrText xml:space="preserve"> PAGEREF _Toc52869720 \h </w:instrText>
        </w:r>
        <w:r w:rsidRPr="00CB4E93">
          <w:rPr>
            <w:webHidden/>
          </w:rPr>
        </w:r>
        <w:r w:rsidRPr="00CB4E93">
          <w:rPr>
            <w:webHidden/>
          </w:rPr>
          <w:fldChar w:fldCharType="separate"/>
        </w:r>
        <w:r w:rsidR="009E27E4">
          <w:rPr>
            <w:webHidden/>
          </w:rPr>
          <w:t>185</w:t>
        </w:r>
        <w:r w:rsidRPr="00CB4E93">
          <w:rPr>
            <w:webHidden/>
          </w:rPr>
          <w:fldChar w:fldCharType="end"/>
        </w:r>
      </w:hyperlink>
    </w:p>
    <w:p w14:paraId="31904977" w14:textId="273C0411" w:rsidR="00CB4E93" w:rsidRPr="00CB4E93" w:rsidRDefault="00CB4E93" w:rsidP="00CB4E93">
      <w:pPr>
        <w:pStyle w:val="TM2"/>
        <w:contextualSpacing/>
        <w:rPr>
          <w:rFonts w:eastAsiaTheme="minorEastAsia"/>
          <w:b w:val="0"/>
          <w:i w:val="0"/>
          <w:caps w:val="0"/>
          <w:color w:val="auto"/>
        </w:rPr>
      </w:pPr>
      <w:hyperlink w:anchor="_Toc52869721" w:history="1">
        <w:r w:rsidRPr="00CB4E93">
          <w:rPr>
            <w:rStyle w:val="Lienhypertexte"/>
            <w:rFonts w:eastAsiaTheme="majorEastAsia"/>
          </w:rPr>
          <w:t>10.2. Informations générales sur le PAR</w:t>
        </w:r>
        <w:r w:rsidRPr="00CB4E93">
          <w:rPr>
            <w:webHidden/>
          </w:rPr>
          <w:tab/>
        </w:r>
        <w:r w:rsidRPr="00CB4E93">
          <w:rPr>
            <w:webHidden/>
          </w:rPr>
          <w:fldChar w:fldCharType="begin"/>
        </w:r>
        <w:r w:rsidRPr="00CB4E93">
          <w:rPr>
            <w:webHidden/>
          </w:rPr>
          <w:instrText xml:space="preserve"> PAGEREF _Toc52869721 \h </w:instrText>
        </w:r>
        <w:r w:rsidRPr="00CB4E93">
          <w:rPr>
            <w:webHidden/>
          </w:rPr>
        </w:r>
        <w:r w:rsidRPr="00CB4E93">
          <w:rPr>
            <w:webHidden/>
          </w:rPr>
          <w:fldChar w:fldCharType="separate"/>
        </w:r>
        <w:r w:rsidR="009E27E4">
          <w:rPr>
            <w:webHidden/>
          </w:rPr>
          <w:t>185</w:t>
        </w:r>
        <w:r w:rsidRPr="00CB4E93">
          <w:rPr>
            <w:webHidden/>
          </w:rPr>
          <w:fldChar w:fldCharType="end"/>
        </w:r>
      </w:hyperlink>
    </w:p>
    <w:p w14:paraId="075F24DD" w14:textId="507E03E8" w:rsidR="00CB4E93" w:rsidRPr="00CB4E93" w:rsidRDefault="00CB4E93" w:rsidP="00CB4E93">
      <w:pPr>
        <w:pStyle w:val="TM2"/>
        <w:contextualSpacing/>
        <w:rPr>
          <w:rFonts w:eastAsiaTheme="minorEastAsia"/>
          <w:b w:val="0"/>
          <w:i w:val="0"/>
          <w:caps w:val="0"/>
          <w:color w:val="auto"/>
        </w:rPr>
      </w:pPr>
      <w:hyperlink w:anchor="_Toc52869722" w:history="1">
        <w:r w:rsidRPr="00CB4E93">
          <w:rPr>
            <w:rStyle w:val="Lienhypertexte"/>
            <w:rFonts w:eastAsiaTheme="majorEastAsia"/>
          </w:rPr>
          <w:t>10.3. Les activités du PAR</w:t>
        </w:r>
        <w:r w:rsidRPr="00CB4E93">
          <w:rPr>
            <w:webHidden/>
          </w:rPr>
          <w:tab/>
        </w:r>
        <w:r w:rsidRPr="00CB4E93">
          <w:rPr>
            <w:webHidden/>
          </w:rPr>
          <w:fldChar w:fldCharType="begin"/>
        </w:r>
        <w:r w:rsidRPr="00CB4E93">
          <w:rPr>
            <w:webHidden/>
          </w:rPr>
          <w:instrText xml:space="preserve"> PAGEREF _Toc52869722 \h </w:instrText>
        </w:r>
        <w:r w:rsidRPr="00CB4E93">
          <w:rPr>
            <w:webHidden/>
          </w:rPr>
        </w:r>
        <w:r w:rsidRPr="00CB4E93">
          <w:rPr>
            <w:webHidden/>
          </w:rPr>
          <w:fldChar w:fldCharType="separate"/>
        </w:r>
        <w:r w:rsidR="009E27E4">
          <w:rPr>
            <w:webHidden/>
          </w:rPr>
          <w:t>186</w:t>
        </w:r>
        <w:r w:rsidRPr="00CB4E93">
          <w:rPr>
            <w:webHidden/>
          </w:rPr>
          <w:fldChar w:fldCharType="end"/>
        </w:r>
      </w:hyperlink>
    </w:p>
    <w:p w14:paraId="6815E276" w14:textId="04276161" w:rsidR="00CB4E93" w:rsidRPr="00CB4E93" w:rsidRDefault="00CB4E93" w:rsidP="00CB4E93">
      <w:pPr>
        <w:pStyle w:val="TM2"/>
        <w:contextualSpacing/>
        <w:rPr>
          <w:rFonts w:eastAsiaTheme="minorEastAsia"/>
          <w:b w:val="0"/>
          <w:i w:val="0"/>
          <w:caps w:val="0"/>
          <w:color w:val="auto"/>
        </w:rPr>
      </w:pPr>
      <w:hyperlink w:anchor="_Toc52869723" w:history="1">
        <w:r w:rsidRPr="00CB4E93">
          <w:rPr>
            <w:rStyle w:val="Lienhypertexte"/>
            <w:rFonts w:eastAsiaTheme="majorEastAsia"/>
          </w:rPr>
          <w:t xml:space="preserve">10.4. </w:t>
        </w:r>
        <w:r w:rsidRPr="00CB4E93">
          <w:rPr>
            <w:rStyle w:val="Lienhypertexte"/>
          </w:rPr>
          <w:t>Approche méthodologique de réalisation du PAR</w:t>
        </w:r>
        <w:r w:rsidRPr="00CB4E93">
          <w:rPr>
            <w:webHidden/>
          </w:rPr>
          <w:tab/>
        </w:r>
        <w:r w:rsidRPr="00CB4E93">
          <w:rPr>
            <w:webHidden/>
          </w:rPr>
          <w:fldChar w:fldCharType="begin"/>
        </w:r>
        <w:r w:rsidRPr="00CB4E93">
          <w:rPr>
            <w:webHidden/>
          </w:rPr>
          <w:instrText xml:space="preserve"> PAGEREF _Toc52869723 \h </w:instrText>
        </w:r>
        <w:r w:rsidRPr="00CB4E93">
          <w:rPr>
            <w:webHidden/>
          </w:rPr>
        </w:r>
        <w:r w:rsidRPr="00CB4E93">
          <w:rPr>
            <w:webHidden/>
          </w:rPr>
          <w:fldChar w:fldCharType="separate"/>
        </w:r>
        <w:r w:rsidR="009E27E4">
          <w:rPr>
            <w:webHidden/>
          </w:rPr>
          <w:t>186</w:t>
        </w:r>
        <w:r w:rsidRPr="00CB4E93">
          <w:rPr>
            <w:webHidden/>
          </w:rPr>
          <w:fldChar w:fldCharType="end"/>
        </w:r>
      </w:hyperlink>
    </w:p>
    <w:p w14:paraId="2A9DC134" w14:textId="32831E68" w:rsidR="00CB4E93" w:rsidRPr="00CB4E93" w:rsidRDefault="00CB4E93" w:rsidP="00CB4E93">
      <w:pPr>
        <w:pStyle w:val="TM3"/>
        <w:tabs>
          <w:tab w:val="right" w:leader="dot" w:pos="9062"/>
        </w:tabs>
        <w:spacing w:before="60" w:after="0" w:line="240" w:lineRule="auto"/>
        <w:contextualSpacing/>
        <w:rPr>
          <w:rFonts w:eastAsiaTheme="minorEastAsia" w:cs="Arial"/>
          <w:noProof/>
          <w:color w:val="auto"/>
          <w:sz w:val="20"/>
          <w:szCs w:val="20"/>
          <w:lang w:eastAsia="fr-FR"/>
        </w:rPr>
      </w:pPr>
      <w:hyperlink w:anchor="_Toc52869724" w:history="1">
        <w:r w:rsidRPr="00CB4E93">
          <w:rPr>
            <w:rStyle w:val="Lienhypertexte"/>
            <w:rFonts w:cs="Arial"/>
            <w:noProof/>
            <w:sz w:val="20"/>
            <w:szCs w:val="20"/>
          </w:rPr>
          <w:t xml:space="preserve">10.4.1. </w:t>
        </w:r>
        <w:r w:rsidRPr="00CB4E93">
          <w:rPr>
            <w:rStyle w:val="Lienhypertexte"/>
            <w:rFonts w:eastAsia="Calibri" w:cs="Arial"/>
            <w:noProof/>
            <w:sz w:val="20"/>
            <w:szCs w:val="20"/>
          </w:rPr>
          <w:t>Différentes étapes du PAR</w:t>
        </w:r>
        <w:r w:rsidRPr="00CB4E93">
          <w:rPr>
            <w:rFonts w:cs="Arial"/>
            <w:noProof/>
            <w:webHidden/>
            <w:sz w:val="20"/>
            <w:szCs w:val="20"/>
          </w:rPr>
          <w:tab/>
        </w:r>
        <w:r w:rsidRPr="00CB4E93">
          <w:rPr>
            <w:rFonts w:cs="Arial"/>
            <w:noProof/>
            <w:webHidden/>
            <w:sz w:val="20"/>
            <w:szCs w:val="20"/>
          </w:rPr>
          <w:fldChar w:fldCharType="begin"/>
        </w:r>
        <w:r w:rsidRPr="00CB4E93">
          <w:rPr>
            <w:rFonts w:cs="Arial"/>
            <w:noProof/>
            <w:webHidden/>
            <w:sz w:val="20"/>
            <w:szCs w:val="20"/>
          </w:rPr>
          <w:instrText xml:space="preserve"> PAGEREF _Toc52869724 \h </w:instrText>
        </w:r>
        <w:r w:rsidRPr="00CB4E93">
          <w:rPr>
            <w:rFonts w:cs="Arial"/>
            <w:noProof/>
            <w:webHidden/>
            <w:sz w:val="20"/>
            <w:szCs w:val="20"/>
          </w:rPr>
        </w:r>
        <w:r w:rsidRPr="00CB4E93">
          <w:rPr>
            <w:rFonts w:cs="Arial"/>
            <w:noProof/>
            <w:webHidden/>
            <w:sz w:val="20"/>
            <w:szCs w:val="20"/>
          </w:rPr>
          <w:fldChar w:fldCharType="separate"/>
        </w:r>
        <w:r w:rsidR="009E27E4">
          <w:rPr>
            <w:rFonts w:cs="Arial"/>
            <w:noProof/>
            <w:webHidden/>
            <w:sz w:val="20"/>
            <w:szCs w:val="20"/>
          </w:rPr>
          <w:t>186</w:t>
        </w:r>
        <w:r w:rsidRPr="00CB4E93">
          <w:rPr>
            <w:rFonts w:cs="Arial"/>
            <w:noProof/>
            <w:webHidden/>
            <w:sz w:val="20"/>
            <w:szCs w:val="20"/>
          </w:rPr>
          <w:fldChar w:fldCharType="end"/>
        </w:r>
      </w:hyperlink>
    </w:p>
    <w:p w14:paraId="0109B6CB" w14:textId="013A3269" w:rsidR="00CB4E93" w:rsidRPr="00CB4E93" w:rsidRDefault="00CB4E93" w:rsidP="00CB4E93">
      <w:pPr>
        <w:pStyle w:val="TM2"/>
        <w:contextualSpacing/>
        <w:rPr>
          <w:rFonts w:eastAsiaTheme="minorEastAsia"/>
          <w:b w:val="0"/>
          <w:i w:val="0"/>
          <w:caps w:val="0"/>
          <w:color w:val="auto"/>
        </w:rPr>
      </w:pPr>
      <w:hyperlink w:anchor="_Toc52869725" w:history="1">
        <w:r w:rsidRPr="00CB4E93">
          <w:rPr>
            <w:rStyle w:val="Lienhypertexte"/>
            <w:rFonts w:eastAsiaTheme="majorEastAsia"/>
          </w:rPr>
          <w:t>10.4.1. Outil de collecte des données du PAR</w:t>
        </w:r>
        <w:r w:rsidRPr="00CB4E93">
          <w:rPr>
            <w:webHidden/>
          </w:rPr>
          <w:tab/>
        </w:r>
        <w:r w:rsidRPr="00CB4E93">
          <w:rPr>
            <w:webHidden/>
          </w:rPr>
          <w:fldChar w:fldCharType="begin"/>
        </w:r>
        <w:r w:rsidRPr="00CB4E93">
          <w:rPr>
            <w:webHidden/>
          </w:rPr>
          <w:instrText xml:space="preserve"> PAGEREF _Toc52869725 \h </w:instrText>
        </w:r>
        <w:r w:rsidRPr="00CB4E93">
          <w:rPr>
            <w:webHidden/>
          </w:rPr>
        </w:r>
        <w:r w:rsidRPr="00CB4E93">
          <w:rPr>
            <w:webHidden/>
          </w:rPr>
          <w:fldChar w:fldCharType="separate"/>
        </w:r>
        <w:r w:rsidR="009E27E4">
          <w:rPr>
            <w:webHidden/>
          </w:rPr>
          <w:t>187</w:t>
        </w:r>
        <w:r w:rsidRPr="00CB4E93">
          <w:rPr>
            <w:webHidden/>
          </w:rPr>
          <w:fldChar w:fldCharType="end"/>
        </w:r>
      </w:hyperlink>
    </w:p>
    <w:p w14:paraId="6CB6477C" w14:textId="65C55A81" w:rsidR="00CB4E93" w:rsidRPr="00CB4E93" w:rsidRDefault="00CB4E93" w:rsidP="00CB4E93">
      <w:pPr>
        <w:pStyle w:val="TM2"/>
        <w:contextualSpacing/>
        <w:rPr>
          <w:rFonts w:eastAsiaTheme="minorEastAsia"/>
          <w:b w:val="0"/>
          <w:i w:val="0"/>
          <w:caps w:val="0"/>
          <w:color w:val="auto"/>
        </w:rPr>
      </w:pPr>
      <w:hyperlink w:anchor="_Toc52869726" w:history="1">
        <w:r w:rsidRPr="00CB4E93">
          <w:rPr>
            <w:rStyle w:val="Lienhypertexte"/>
            <w:rFonts w:eastAsiaTheme="majorEastAsia"/>
          </w:rPr>
          <w:t xml:space="preserve">10.5. </w:t>
        </w:r>
        <w:r w:rsidRPr="00CB4E93">
          <w:rPr>
            <w:rStyle w:val="Lienhypertexte"/>
            <w:lang w:eastAsia="de-DE"/>
          </w:rPr>
          <w:t>Analyse du cadre juridique du projet</w:t>
        </w:r>
        <w:r w:rsidRPr="00CB4E93">
          <w:rPr>
            <w:webHidden/>
          </w:rPr>
          <w:tab/>
        </w:r>
        <w:r w:rsidRPr="00CB4E93">
          <w:rPr>
            <w:webHidden/>
          </w:rPr>
          <w:fldChar w:fldCharType="begin"/>
        </w:r>
        <w:r w:rsidRPr="00CB4E93">
          <w:rPr>
            <w:webHidden/>
          </w:rPr>
          <w:instrText xml:space="preserve"> PAGEREF _Toc52869726 \h </w:instrText>
        </w:r>
        <w:r w:rsidRPr="00CB4E93">
          <w:rPr>
            <w:webHidden/>
          </w:rPr>
        </w:r>
        <w:r w:rsidRPr="00CB4E93">
          <w:rPr>
            <w:webHidden/>
          </w:rPr>
          <w:fldChar w:fldCharType="separate"/>
        </w:r>
        <w:r w:rsidR="009E27E4">
          <w:rPr>
            <w:webHidden/>
          </w:rPr>
          <w:t>188</w:t>
        </w:r>
        <w:r w:rsidRPr="00CB4E93">
          <w:rPr>
            <w:webHidden/>
          </w:rPr>
          <w:fldChar w:fldCharType="end"/>
        </w:r>
      </w:hyperlink>
    </w:p>
    <w:p w14:paraId="27E153AA" w14:textId="0368FD9C" w:rsidR="00CB4E93" w:rsidRPr="00CB4E93" w:rsidRDefault="00CB4E93" w:rsidP="00CB4E93">
      <w:pPr>
        <w:pStyle w:val="TM2"/>
        <w:contextualSpacing/>
        <w:rPr>
          <w:rFonts w:eastAsiaTheme="minorEastAsia"/>
          <w:b w:val="0"/>
          <w:i w:val="0"/>
          <w:caps w:val="0"/>
          <w:color w:val="auto"/>
        </w:rPr>
      </w:pPr>
      <w:hyperlink w:anchor="_Toc52869727" w:history="1">
        <w:r w:rsidRPr="00CB4E93">
          <w:rPr>
            <w:rStyle w:val="Lienhypertexte"/>
            <w:rFonts w:eastAsiaTheme="majorEastAsia"/>
          </w:rPr>
          <w:t xml:space="preserve">10.6. </w:t>
        </w:r>
        <w:r w:rsidRPr="00CB4E93">
          <w:rPr>
            <w:rStyle w:val="Lienhypertexte"/>
            <w:lang w:eastAsia="de-DE"/>
          </w:rPr>
          <w:t>Cadre institutionnel</w:t>
        </w:r>
        <w:r w:rsidRPr="00CB4E93">
          <w:rPr>
            <w:webHidden/>
          </w:rPr>
          <w:tab/>
        </w:r>
        <w:r w:rsidRPr="00CB4E93">
          <w:rPr>
            <w:webHidden/>
          </w:rPr>
          <w:fldChar w:fldCharType="begin"/>
        </w:r>
        <w:r w:rsidRPr="00CB4E93">
          <w:rPr>
            <w:webHidden/>
          </w:rPr>
          <w:instrText xml:space="preserve"> PAGEREF _Toc52869727 \h </w:instrText>
        </w:r>
        <w:r w:rsidRPr="00CB4E93">
          <w:rPr>
            <w:webHidden/>
          </w:rPr>
        </w:r>
        <w:r w:rsidRPr="00CB4E93">
          <w:rPr>
            <w:webHidden/>
          </w:rPr>
          <w:fldChar w:fldCharType="separate"/>
        </w:r>
        <w:r w:rsidR="009E27E4">
          <w:rPr>
            <w:webHidden/>
          </w:rPr>
          <w:t>188</w:t>
        </w:r>
        <w:r w:rsidRPr="00CB4E93">
          <w:rPr>
            <w:webHidden/>
          </w:rPr>
          <w:fldChar w:fldCharType="end"/>
        </w:r>
      </w:hyperlink>
    </w:p>
    <w:p w14:paraId="0A536A44" w14:textId="455D6C7A" w:rsidR="00CB4E93" w:rsidRPr="00CB4E93" w:rsidRDefault="00CB4E93" w:rsidP="00CB4E93">
      <w:pPr>
        <w:pStyle w:val="TM2"/>
        <w:contextualSpacing/>
        <w:rPr>
          <w:rFonts w:eastAsiaTheme="minorEastAsia"/>
          <w:b w:val="0"/>
          <w:i w:val="0"/>
          <w:caps w:val="0"/>
          <w:color w:val="auto"/>
        </w:rPr>
      </w:pPr>
      <w:hyperlink w:anchor="_Toc52869728" w:history="1">
        <w:r w:rsidRPr="00CB4E93">
          <w:rPr>
            <w:rStyle w:val="Lienhypertexte"/>
            <w:rFonts w:eastAsiaTheme="majorEastAsia"/>
          </w:rPr>
          <w:t xml:space="preserve">10.7. </w:t>
        </w:r>
        <w:r w:rsidRPr="00CB4E93">
          <w:rPr>
            <w:rStyle w:val="Lienhypertexte"/>
            <w:lang w:eastAsia="de-DE"/>
          </w:rPr>
          <w:t>Eligibilité et date butoir</w:t>
        </w:r>
        <w:r w:rsidRPr="00CB4E93">
          <w:rPr>
            <w:webHidden/>
          </w:rPr>
          <w:tab/>
        </w:r>
        <w:r w:rsidRPr="00CB4E93">
          <w:rPr>
            <w:webHidden/>
          </w:rPr>
          <w:fldChar w:fldCharType="begin"/>
        </w:r>
        <w:r w:rsidRPr="00CB4E93">
          <w:rPr>
            <w:webHidden/>
          </w:rPr>
          <w:instrText xml:space="preserve"> PAGEREF _Toc52869728 \h </w:instrText>
        </w:r>
        <w:r w:rsidRPr="00CB4E93">
          <w:rPr>
            <w:webHidden/>
          </w:rPr>
        </w:r>
        <w:r w:rsidRPr="00CB4E93">
          <w:rPr>
            <w:webHidden/>
          </w:rPr>
          <w:fldChar w:fldCharType="separate"/>
        </w:r>
        <w:r w:rsidR="009E27E4">
          <w:rPr>
            <w:webHidden/>
          </w:rPr>
          <w:t>188</w:t>
        </w:r>
        <w:r w:rsidRPr="00CB4E93">
          <w:rPr>
            <w:webHidden/>
          </w:rPr>
          <w:fldChar w:fldCharType="end"/>
        </w:r>
      </w:hyperlink>
    </w:p>
    <w:p w14:paraId="3D206D73" w14:textId="17789D16" w:rsidR="00CB4E93" w:rsidRPr="00CB4E93" w:rsidRDefault="00CB4E93" w:rsidP="00CB4E93">
      <w:pPr>
        <w:pStyle w:val="TM2"/>
        <w:contextualSpacing/>
        <w:rPr>
          <w:rFonts w:eastAsiaTheme="minorEastAsia"/>
          <w:b w:val="0"/>
          <w:i w:val="0"/>
          <w:caps w:val="0"/>
          <w:color w:val="auto"/>
        </w:rPr>
      </w:pPr>
      <w:hyperlink w:anchor="_Toc52869729" w:history="1">
        <w:r w:rsidRPr="00CB4E93">
          <w:rPr>
            <w:rStyle w:val="Lienhypertexte"/>
            <w:rFonts w:eastAsiaTheme="majorEastAsia"/>
          </w:rPr>
          <w:t xml:space="preserve">10.8. </w:t>
        </w:r>
        <w:r w:rsidRPr="00CB4E93">
          <w:rPr>
            <w:rStyle w:val="Lienhypertexte"/>
            <w:lang w:eastAsia="de-DE"/>
          </w:rPr>
          <w:t>Caractérisation des PAP</w:t>
        </w:r>
        <w:r w:rsidRPr="00CB4E93">
          <w:rPr>
            <w:webHidden/>
          </w:rPr>
          <w:tab/>
        </w:r>
        <w:r w:rsidRPr="00CB4E93">
          <w:rPr>
            <w:webHidden/>
          </w:rPr>
          <w:fldChar w:fldCharType="begin"/>
        </w:r>
        <w:r w:rsidRPr="00CB4E93">
          <w:rPr>
            <w:webHidden/>
          </w:rPr>
          <w:instrText xml:space="preserve"> PAGEREF _Toc52869729 \h </w:instrText>
        </w:r>
        <w:r w:rsidRPr="00CB4E93">
          <w:rPr>
            <w:webHidden/>
          </w:rPr>
        </w:r>
        <w:r w:rsidRPr="00CB4E93">
          <w:rPr>
            <w:webHidden/>
          </w:rPr>
          <w:fldChar w:fldCharType="separate"/>
        </w:r>
        <w:r w:rsidR="009E27E4">
          <w:rPr>
            <w:webHidden/>
          </w:rPr>
          <w:t>188</w:t>
        </w:r>
        <w:r w:rsidRPr="00CB4E93">
          <w:rPr>
            <w:webHidden/>
          </w:rPr>
          <w:fldChar w:fldCharType="end"/>
        </w:r>
      </w:hyperlink>
    </w:p>
    <w:p w14:paraId="201397D7" w14:textId="6ECBD996" w:rsidR="00CB4E93" w:rsidRPr="00CB4E93" w:rsidRDefault="00CB4E93" w:rsidP="00CB4E93">
      <w:pPr>
        <w:pStyle w:val="TM2"/>
        <w:contextualSpacing/>
        <w:rPr>
          <w:rFonts w:eastAsiaTheme="minorEastAsia"/>
          <w:b w:val="0"/>
          <w:i w:val="0"/>
          <w:caps w:val="0"/>
          <w:color w:val="auto"/>
        </w:rPr>
      </w:pPr>
      <w:hyperlink w:anchor="_Toc52869730" w:history="1">
        <w:r w:rsidRPr="00CB4E93">
          <w:rPr>
            <w:rStyle w:val="Lienhypertexte"/>
          </w:rPr>
          <w:t>10.9. Activités génératrices de revenus des PAP</w:t>
        </w:r>
        <w:r w:rsidRPr="00CB4E93">
          <w:rPr>
            <w:webHidden/>
          </w:rPr>
          <w:tab/>
        </w:r>
        <w:r w:rsidRPr="00CB4E93">
          <w:rPr>
            <w:webHidden/>
          </w:rPr>
          <w:fldChar w:fldCharType="begin"/>
        </w:r>
        <w:r w:rsidRPr="00CB4E93">
          <w:rPr>
            <w:webHidden/>
          </w:rPr>
          <w:instrText xml:space="preserve"> PAGEREF _Toc52869730 \h </w:instrText>
        </w:r>
        <w:r w:rsidRPr="00CB4E93">
          <w:rPr>
            <w:webHidden/>
          </w:rPr>
        </w:r>
        <w:r w:rsidRPr="00CB4E93">
          <w:rPr>
            <w:webHidden/>
          </w:rPr>
          <w:fldChar w:fldCharType="separate"/>
        </w:r>
        <w:r w:rsidR="009E27E4">
          <w:rPr>
            <w:webHidden/>
          </w:rPr>
          <w:t>191</w:t>
        </w:r>
        <w:r w:rsidRPr="00CB4E93">
          <w:rPr>
            <w:webHidden/>
          </w:rPr>
          <w:fldChar w:fldCharType="end"/>
        </w:r>
      </w:hyperlink>
    </w:p>
    <w:p w14:paraId="2AB4DC63" w14:textId="1F69316A" w:rsidR="00CB4E93" w:rsidRPr="00CB4E93" w:rsidRDefault="00CB4E93" w:rsidP="00CB4E93">
      <w:pPr>
        <w:pStyle w:val="TM2"/>
        <w:contextualSpacing/>
        <w:rPr>
          <w:rFonts w:eastAsiaTheme="minorEastAsia"/>
          <w:b w:val="0"/>
          <w:i w:val="0"/>
          <w:caps w:val="0"/>
          <w:color w:val="auto"/>
        </w:rPr>
      </w:pPr>
      <w:hyperlink w:anchor="_Toc52869731" w:history="1">
        <w:r w:rsidRPr="00CB4E93">
          <w:rPr>
            <w:rStyle w:val="Lienhypertexte"/>
          </w:rPr>
          <w:t>10.10. Biens affectés dans l’emprise des travaux dans la ville de NATITINGOU</w:t>
        </w:r>
        <w:r w:rsidRPr="00CB4E93">
          <w:rPr>
            <w:webHidden/>
          </w:rPr>
          <w:tab/>
        </w:r>
        <w:r w:rsidRPr="00CB4E93">
          <w:rPr>
            <w:webHidden/>
          </w:rPr>
          <w:fldChar w:fldCharType="begin"/>
        </w:r>
        <w:r w:rsidRPr="00CB4E93">
          <w:rPr>
            <w:webHidden/>
          </w:rPr>
          <w:instrText xml:space="preserve"> PAGEREF _Toc52869731 \h </w:instrText>
        </w:r>
        <w:r w:rsidRPr="00CB4E93">
          <w:rPr>
            <w:webHidden/>
          </w:rPr>
        </w:r>
        <w:r w:rsidRPr="00CB4E93">
          <w:rPr>
            <w:webHidden/>
          </w:rPr>
          <w:fldChar w:fldCharType="separate"/>
        </w:r>
        <w:r w:rsidR="009E27E4">
          <w:rPr>
            <w:webHidden/>
          </w:rPr>
          <w:t>194</w:t>
        </w:r>
        <w:r w:rsidRPr="00CB4E93">
          <w:rPr>
            <w:webHidden/>
          </w:rPr>
          <w:fldChar w:fldCharType="end"/>
        </w:r>
      </w:hyperlink>
    </w:p>
    <w:p w14:paraId="77778E2A" w14:textId="157143F8" w:rsidR="00CB4E93" w:rsidRPr="00CB4E93" w:rsidRDefault="00CB4E93" w:rsidP="00CB4E93">
      <w:pPr>
        <w:pStyle w:val="TM2"/>
        <w:contextualSpacing/>
        <w:rPr>
          <w:rFonts w:eastAsiaTheme="minorEastAsia"/>
          <w:b w:val="0"/>
          <w:i w:val="0"/>
          <w:caps w:val="0"/>
          <w:color w:val="auto"/>
        </w:rPr>
      </w:pPr>
      <w:hyperlink w:anchor="_Toc52869732" w:history="1">
        <w:r w:rsidRPr="00CB4E93">
          <w:rPr>
            <w:rStyle w:val="Lienhypertexte"/>
            <w:rFonts w:eastAsiaTheme="majorEastAsia"/>
          </w:rPr>
          <w:t xml:space="preserve">10 .11. </w:t>
        </w:r>
        <w:r w:rsidRPr="00CB4E93">
          <w:rPr>
            <w:rStyle w:val="Lienhypertexte"/>
            <w:bCs/>
            <w:iCs/>
          </w:rPr>
          <w:t>Processus d’indemnisation</w:t>
        </w:r>
        <w:r w:rsidRPr="00CB4E93">
          <w:rPr>
            <w:webHidden/>
          </w:rPr>
          <w:tab/>
        </w:r>
        <w:r w:rsidRPr="00CB4E93">
          <w:rPr>
            <w:webHidden/>
          </w:rPr>
          <w:fldChar w:fldCharType="begin"/>
        </w:r>
        <w:r w:rsidRPr="00CB4E93">
          <w:rPr>
            <w:webHidden/>
          </w:rPr>
          <w:instrText xml:space="preserve"> PAGEREF _Toc52869732 \h </w:instrText>
        </w:r>
        <w:r w:rsidRPr="00CB4E93">
          <w:rPr>
            <w:webHidden/>
          </w:rPr>
        </w:r>
        <w:r w:rsidRPr="00CB4E93">
          <w:rPr>
            <w:webHidden/>
          </w:rPr>
          <w:fldChar w:fldCharType="separate"/>
        </w:r>
        <w:r w:rsidR="009E27E4">
          <w:rPr>
            <w:webHidden/>
          </w:rPr>
          <w:t>195</w:t>
        </w:r>
        <w:r w:rsidRPr="00CB4E93">
          <w:rPr>
            <w:webHidden/>
          </w:rPr>
          <w:fldChar w:fldCharType="end"/>
        </w:r>
      </w:hyperlink>
    </w:p>
    <w:p w14:paraId="4095D70C" w14:textId="58244C29" w:rsidR="00CB4E93" w:rsidRPr="00CB4E93" w:rsidRDefault="00CB4E93" w:rsidP="00CB4E93">
      <w:pPr>
        <w:pStyle w:val="TM2"/>
        <w:contextualSpacing/>
        <w:rPr>
          <w:rFonts w:eastAsiaTheme="minorEastAsia"/>
          <w:b w:val="0"/>
          <w:i w:val="0"/>
          <w:caps w:val="0"/>
          <w:color w:val="auto"/>
        </w:rPr>
      </w:pPr>
      <w:hyperlink w:anchor="_Toc52869733" w:history="1">
        <w:r w:rsidRPr="00CB4E93">
          <w:rPr>
            <w:rStyle w:val="Lienhypertexte"/>
          </w:rPr>
          <w:t>10.12. Mesures de compensation</w:t>
        </w:r>
        <w:r w:rsidRPr="00CB4E93">
          <w:rPr>
            <w:webHidden/>
          </w:rPr>
          <w:tab/>
        </w:r>
        <w:r w:rsidRPr="00CB4E93">
          <w:rPr>
            <w:webHidden/>
          </w:rPr>
          <w:fldChar w:fldCharType="begin"/>
        </w:r>
        <w:r w:rsidRPr="00CB4E93">
          <w:rPr>
            <w:webHidden/>
          </w:rPr>
          <w:instrText xml:space="preserve"> PAGEREF _Toc52869733 \h </w:instrText>
        </w:r>
        <w:r w:rsidRPr="00CB4E93">
          <w:rPr>
            <w:webHidden/>
          </w:rPr>
        </w:r>
        <w:r w:rsidRPr="00CB4E93">
          <w:rPr>
            <w:webHidden/>
          </w:rPr>
          <w:fldChar w:fldCharType="separate"/>
        </w:r>
        <w:r w:rsidR="009E27E4">
          <w:rPr>
            <w:webHidden/>
          </w:rPr>
          <w:t>196</w:t>
        </w:r>
        <w:r w:rsidRPr="00CB4E93">
          <w:rPr>
            <w:webHidden/>
          </w:rPr>
          <w:fldChar w:fldCharType="end"/>
        </w:r>
      </w:hyperlink>
    </w:p>
    <w:p w14:paraId="4F67AF84" w14:textId="7B166529" w:rsidR="00CB4E93" w:rsidRPr="00CB4E93" w:rsidRDefault="00CB4E93" w:rsidP="00CB4E93">
      <w:pPr>
        <w:pStyle w:val="TM2"/>
        <w:contextualSpacing/>
        <w:rPr>
          <w:rFonts w:eastAsiaTheme="minorEastAsia"/>
          <w:b w:val="0"/>
          <w:i w:val="0"/>
          <w:caps w:val="0"/>
          <w:color w:val="auto"/>
        </w:rPr>
      </w:pPr>
      <w:hyperlink w:anchor="_Toc52869734" w:history="1">
        <w:r w:rsidRPr="00CB4E93">
          <w:rPr>
            <w:rStyle w:val="Lienhypertexte"/>
            <w:rFonts w:eastAsiaTheme="majorEastAsia"/>
          </w:rPr>
          <w:t xml:space="preserve">10.13. </w:t>
        </w:r>
        <w:r w:rsidRPr="00CB4E93">
          <w:rPr>
            <w:rStyle w:val="Lienhypertexte"/>
          </w:rPr>
          <w:t>Mesures d’accompagnement du PAR</w:t>
        </w:r>
        <w:r w:rsidRPr="00CB4E93">
          <w:rPr>
            <w:webHidden/>
          </w:rPr>
          <w:tab/>
        </w:r>
        <w:r w:rsidRPr="00CB4E93">
          <w:rPr>
            <w:webHidden/>
          </w:rPr>
          <w:fldChar w:fldCharType="begin"/>
        </w:r>
        <w:r w:rsidRPr="00CB4E93">
          <w:rPr>
            <w:webHidden/>
          </w:rPr>
          <w:instrText xml:space="preserve"> PAGEREF _Toc52869734 \h </w:instrText>
        </w:r>
        <w:r w:rsidRPr="00CB4E93">
          <w:rPr>
            <w:webHidden/>
          </w:rPr>
        </w:r>
        <w:r w:rsidRPr="00CB4E93">
          <w:rPr>
            <w:webHidden/>
          </w:rPr>
          <w:fldChar w:fldCharType="separate"/>
        </w:r>
        <w:r w:rsidR="009E27E4">
          <w:rPr>
            <w:webHidden/>
          </w:rPr>
          <w:t>197</w:t>
        </w:r>
        <w:r w:rsidRPr="00CB4E93">
          <w:rPr>
            <w:webHidden/>
          </w:rPr>
          <w:fldChar w:fldCharType="end"/>
        </w:r>
      </w:hyperlink>
    </w:p>
    <w:p w14:paraId="57C531B8" w14:textId="4D64D463" w:rsidR="00CB4E93" w:rsidRPr="00CB4E93" w:rsidRDefault="00CB4E93" w:rsidP="00CB4E93">
      <w:pPr>
        <w:pStyle w:val="TM2"/>
        <w:contextualSpacing/>
        <w:rPr>
          <w:rFonts w:eastAsiaTheme="minorEastAsia"/>
          <w:b w:val="0"/>
          <w:i w:val="0"/>
          <w:caps w:val="0"/>
          <w:color w:val="auto"/>
        </w:rPr>
      </w:pPr>
      <w:hyperlink w:anchor="_Toc52869735" w:history="1">
        <w:r w:rsidRPr="00CB4E93">
          <w:rPr>
            <w:rStyle w:val="Lienhypertexte"/>
          </w:rPr>
          <w:t>10.14. Procédures de règlement des griefs</w:t>
        </w:r>
        <w:r w:rsidRPr="00CB4E93">
          <w:rPr>
            <w:webHidden/>
          </w:rPr>
          <w:tab/>
        </w:r>
        <w:r w:rsidRPr="00CB4E93">
          <w:rPr>
            <w:webHidden/>
          </w:rPr>
          <w:fldChar w:fldCharType="begin"/>
        </w:r>
        <w:r w:rsidRPr="00CB4E93">
          <w:rPr>
            <w:webHidden/>
          </w:rPr>
          <w:instrText xml:space="preserve"> PAGEREF _Toc52869735 \h </w:instrText>
        </w:r>
        <w:r w:rsidRPr="00CB4E93">
          <w:rPr>
            <w:webHidden/>
          </w:rPr>
        </w:r>
        <w:r w:rsidRPr="00CB4E93">
          <w:rPr>
            <w:webHidden/>
          </w:rPr>
          <w:fldChar w:fldCharType="separate"/>
        </w:r>
        <w:r w:rsidR="009E27E4">
          <w:rPr>
            <w:webHidden/>
          </w:rPr>
          <w:t>198</w:t>
        </w:r>
        <w:r w:rsidRPr="00CB4E93">
          <w:rPr>
            <w:webHidden/>
          </w:rPr>
          <w:fldChar w:fldCharType="end"/>
        </w:r>
      </w:hyperlink>
    </w:p>
    <w:p w14:paraId="431146B8" w14:textId="724FC715" w:rsidR="00CB4E93" w:rsidRPr="00CB4E93" w:rsidRDefault="00CB4E93" w:rsidP="00CB4E93">
      <w:pPr>
        <w:pStyle w:val="TM2"/>
        <w:contextualSpacing/>
        <w:rPr>
          <w:rFonts w:eastAsiaTheme="minorEastAsia"/>
          <w:b w:val="0"/>
          <w:i w:val="0"/>
          <w:caps w:val="0"/>
          <w:color w:val="auto"/>
        </w:rPr>
      </w:pPr>
      <w:hyperlink w:anchor="_Toc52869736" w:history="1">
        <w:r w:rsidRPr="00CB4E93">
          <w:rPr>
            <w:rStyle w:val="Lienhypertexte"/>
            <w:rFonts w:eastAsiaTheme="majorEastAsia"/>
          </w:rPr>
          <w:t xml:space="preserve">10.15. </w:t>
        </w:r>
        <w:r w:rsidRPr="00CB4E93">
          <w:rPr>
            <w:rStyle w:val="Lienhypertexte"/>
          </w:rPr>
          <w:t>Responsabilités organisationnelles de la mise en œuvre du PAR</w:t>
        </w:r>
        <w:r w:rsidRPr="00CB4E93">
          <w:rPr>
            <w:webHidden/>
          </w:rPr>
          <w:tab/>
        </w:r>
        <w:r w:rsidRPr="00CB4E93">
          <w:rPr>
            <w:webHidden/>
          </w:rPr>
          <w:fldChar w:fldCharType="begin"/>
        </w:r>
        <w:r w:rsidRPr="00CB4E93">
          <w:rPr>
            <w:webHidden/>
          </w:rPr>
          <w:instrText xml:space="preserve"> PAGEREF _Toc52869736 \h </w:instrText>
        </w:r>
        <w:r w:rsidRPr="00CB4E93">
          <w:rPr>
            <w:webHidden/>
          </w:rPr>
        </w:r>
        <w:r w:rsidRPr="00CB4E93">
          <w:rPr>
            <w:webHidden/>
          </w:rPr>
          <w:fldChar w:fldCharType="separate"/>
        </w:r>
        <w:r w:rsidR="009E27E4">
          <w:rPr>
            <w:webHidden/>
          </w:rPr>
          <w:t>198</w:t>
        </w:r>
        <w:r w:rsidRPr="00CB4E93">
          <w:rPr>
            <w:webHidden/>
          </w:rPr>
          <w:fldChar w:fldCharType="end"/>
        </w:r>
      </w:hyperlink>
    </w:p>
    <w:p w14:paraId="08D2E9BF" w14:textId="7153785F" w:rsidR="00CB4E93" w:rsidRPr="00CB4E93" w:rsidRDefault="00CB4E93" w:rsidP="00CB4E93">
      <w:pPr>
        <w:pStyle w:val="TM2"/>
        <w:contextualSpacing/>
        <w:rPr>
          <w:rFonts w:eastAsiaTheme="minorEastAsia"/>
          <w:b w:val="0"/>
          <w:i w:val="0"/>
          <w:caps w:val="0"/>
          <w:color w:val="auto"/>
        </w:rPr>
      </w:pPr>
      <w:hyperlink w:anchor="_Toc52869737" w:history="1">
        <w:r w:rsidRPr="00CB4E93">
          <w:rPr>
            <w:rStyle w:val="Lienhypertexte"/>
            <w:rFonts w:eastAsiaTheme="majorEastAsia"/>
          </w:rPr>
          <w:t>10.16. Suivi et évaluation</w:t>
        </w:r>
        <w:r w:rsidRPr="00CB4E93">
          <w:rPr>
            <w:webHidden/>
          </w:rPr>
          <w:tab/>
        </w:r>
        <w:r w:rsidRPr="00CB4E93">
          <w:rPr>
            <w:webHidden/>
          </w:rPr>
          <w:fldChar w:fldCharType="begin"/>
        </w:r>
        <w:r w:rsidRPr="00CB4E93">
          <w:rPr>
            <w:webHidden/>
          </w:rPr>
          <w:instrText xml:space="preserve"> PAGEREF _Toc52869737 \h </w:instrText>
        </w:r>
        <w:r w:rsidRPr="00CB4E93">
          <w:rPr>
            <w:webHidden/>
          </w:rPr>
        </w:r>
        <w:r w:rsidRPr="00CB4E93">
          <w:rPr>
            <w:webHidden/>
          </w:rPr>
          <w:fldChar w:fldCharType="separate"/>
        </w:r>
        <w:r w:rsidR="009E27E4">
          <w:rPr>
            <w:webHidden/>
          </w:rPr>
          <w:t>198</w:t>
        </w:r>
        <w:r w:rsidRPr="00CB4E93">
          <w:rPr>
            <w:webHidden/>
          </w:rPr>
          <w:fldChar w:fldCharType="end"/>
        </w:r>
      </w:hyperlink>
    </w:p>
    <w:p w14:paraId="1E5E0341" w14:textId="20F3C3C8" w:rsidR="00CB4E93" w:rsidRPr="00CB4E93" w:rsidRDefault="00CB4E93" w:rsidP="00CB4E93">
      <w:pPr>
        <w:pStyle w:val="TM2"/>
        <w:contextualSpacing/>
        <w:rPr>
          <w:rFonts w:eastAsiaTheme="minorEastAsia"/>
          <w:b w:val="0"/>
          <w:i w:val="0"/>
          <w:caps w:val="0"/>
          <w:color w:val="auto"/>
        </w:rPr>
      </w:pPr>
      <w:hyperlink w:anchor="_Toc52869738" w:history="1">
        <w:r w:rsidRPr="00CB4E93">
          <w:rPr>
            <w:rStyle w:val="Lienhypertexte"/>
            <w:rFonts w:eastAsiaTheme="majorEastAsia"/>
          </w:rPr>
          <w:t xml:space="preserve">10.17. </w:t>
        </w:r>
        <w:r w:rsidRPr="00CB4E93">
          <w:rPr>
            <w:rStyle w:val="Lienhypertexte"/>
            <w:bCs/>
            <w:iCs/>
          </w:rPr>
          <w:t>Diffusion</w:t>
        </w:r>
        <w:r w:rsidRPr="00CB4E93">
          <w:rPr>
            <w:webHidden/>
          </w:rPr>
          <w:tab/>
        </w:r>
        <w:r w:rsidRPr="00CB4E93">
          <w:rPr>
            <w:webHidden/>
          </w:rPr>
          <w:fldChar w:fldCharType="begin"/>
        </w:r>
        <w:r w:rsidRPr="00CB4E93">
          <w:rPr>
            <w:webHidden/>
          </w:rPr>
          <w:instrText xml:space="preserve"> PAGEREF _Toc52869738 \h </w:instrText>
        </w:r>
        <w:r w:rsidRPr="00CB4E93">
          <w:rPr>
            <w:webHidden/>
          </w:rPr>
        </w:r>
        <w:r w:rsidRPr="00CB4E93">
          <w:rPr>
            <w:webHidden/>
          </w:rPr>
          <w:fldChar w:fldCharType="separate"/>
        </w:r>
        <w:r w:rsidR="009E27E4">
          <w:rPr>
            <w:webHidden/>
          </w:rPr>
          <w:t>201</w:t>
        </w:r>
        <w:r w:rsidRPr="00CB4E93">
          <w:rPr>
            <w:webHidden/>
          </w:rPr>
          <w:fldChar w:fldCharType="end"/>
        </w:r>
      </w:hyperlink>
    </w:p>
    <w:p w14:paraId="17AF974D" w14:textId="251902A2" w:rsidR="00CB4E93" w:rsidRPr="00CB4E93" w:rsidRDefault="00CB4E93" w:rsidP="00CB4E93">
      <w:pPr>
        <w:pStyle w:val="TM2"/>
        <w:contextualSpacing/>
        <w:rPr>
          <w:rFonts w:eastAsiaTheme="minorEastAsia"/>
          <w:b w:val="0"/>
          <w:i w:val="0"/>
          <w:caps w:val="0"/>
          <w:color w:val="auto"/>
        </w:rPr>
      </w:pPr>
      <w:hyperlink w:anchor="_Toc52869739" w:history="1">
        <w:r w:rsidRPr="00CB4E93">
          <w:rPr>
            <w:rStyle w:val="Lienhypertexte"/>
            <w:rFonts w:eastAsiaTheme="majorEastAsia"/>
          </w:rPr>
          <w:t xml:space="preserve">10.18. </w:t>
        </w:r>
        <w:r w:rsidRPr="00CB4E93">
          <w:rPr>
            <w:rStyle w:val="Lienhypertexte"/>
            <w:bCs/>
            <w:iCs/>
          </w:rPr>
          <w:t>Coût et budget</w:t>
        </w:r>
        <w:r w:rsidRPr="00CB4E93">
          <w:rPr>
            <w:webHidden/>
          </w:rPr>
          <w:tab/>
        </w:r>
        <w:r w:rsidRPr="00CB4E93">
          <w:rPr>
            <w:webHidden/>
          </w:rPr>
          <w:fldChar w:fldCharType="begin"/>
        </w:r>
        <w:r w:rsidRPr="00CB4E93">
          <w:rPr>
            <w:webHidden/>
          </w:rPr>
          <w:instrText xml:space="preserve"> PAGEREF _Toc52869739 \h </w:instrText>
        </w:r>
        <w:r w:rsidRPr="00CB4E93">
          <w:rPr>
            <w:webHidden/>
          </w:rPr>
        </w:r>
        <w:r w:rsidRPr="00CB4E93">
          <w:rPr>
            <w:webHidden/>
          </w:rPr>
          <w:fldChar w:fldCharType="separate"/>
        </w:r>
        <w:r w:rsidR="009E27E4">
          <w:rPr>
            <w:webHidden/>
          </w:rPr>
          <w:t>201</w:t>
        </w:r>
        <w:r w:rsidRPr="00CB4E93">
          <w:rPr>
            <w:webHidden/>
          </w:rPr>
          <w:fldChar w:fldCharType="end"/>
        </w:r>
      </w:hyperlink>
    </w:p>
    <w:p w14:paraId="464C31C6" w14:textId="0E07FAEB" w:rsidR="00CB4E93" w:rsidRPr="00CB4E93" w:rsidRDefault="00CB4E93" w:rsidP="00CB4E93">
      <w:pPr>
        <w:pStyle w:val="TM1"/>
        <w:tabs>
          <w:tab w:val="right" w:leader="dot" w:pos="9062"/>
        </w:tabs>
        <w:spacing w:before="60" w:after="0" w:line="240" w:lineRule="auto"/>
        <w:contextualSpacing/>
        <w:rPr>
          <w:rFonts w:ascii="Arial" w:eastAsiaTheme="minorEastAsia" w:hAnsi="Arial" w:cs="Arial"/>
          <w:b w:val="0"/>
          <w:bCs w:val="0"/>
          <w:caps w:val="0"/>
          <w:noProof/>
          <w:color w:val="auto"/>
          <w:lang w:eastAsia="fr-FR"/>
        </w:rPr>
      </w:pPr>
      <w:hyperlink w:anchor="_Toc52869740" w:history="1">
        <w:r w:rsidRPr="00CB4E93">
          <w:rPr>
            <w:rStyle w:val="Lienhypertexte"/>
            <w:rFonts w:ascii="Arial" w:eastAsia="Calibri" w:hAnsi="Arial" w:cs="Arial"/>
            <w:noProof/>
          </w:rPr>
          <w:t>11.  plan de gestion environneMentale et sociale</w:t>
        </w:r>
        <w:r w:rsidRPr="00CB4E93">
          <w:rPr>
            <w:rFonts w:ascii="Arial" w:hAnsi="Arial" w:cs="Arial"/>
            <w:noProof/>
            <w:webHidden/>
          </w:rPr>
          <w:tab/>
        </w:r>
        <w:r w:rsidRPr="00CB4E93">
          <w:rPr>
            <w:rFonts w:ascii="Arial" w:hAnsi="Arial" w:cs="Arial"/>
            <w:noProof/>
            <w:webHidden/>
          </w:rPr>
          <w:fldChar w:fldCharType="begin"/>
        </w:r>
        <w:r w:rsidRPr="00CB4E93">
          <w:rPr>
            <w:rFonts w:ascii="Arial" w:hAnsi="Arial" w:cs="Arial"/>
            <w:noProof/>
            <w:webHidden/>
          </w:rPr>
          <w:instrText xml:space="preserve"> PAGEREF _Toc52869740 \h </w:instrText>
        </w:r>
        <w:r w:rsidRPr="00CB4E93">
          <w:rPr>
            <w:rFonts w:ascii="Arial" w:hAnsi="Arial" w:cs="Arial"/>
            <w:noProof/>
            <w:webHidden/>
          </w:rPr>
        </w:r>
        <w:r w:rsidRPr="00CB4E93">
          <w:rPr>
            <w:rFonts w:ascii="Arial" w:hAnsi="Arial" w:cs="Arial"/>
            <w:noProof/>
            <w:webHidden/>
          </w:rPr>
          <w:fldChar w:fldCharType="separate"/>
        </w:r>
        <w:r w:rsidR="009E27E4">
          <w:rPr>
            <w:rFonts w:ascii="Arial" w:hAnsi="Arial" w:cs="Arial"/>
            <w:noProof/>
            <w:webHidden/>
          </w:rPr>
          <w:t>203</w:t>
        </w:r>
        <w:r w:rsidRPr="00CB4E93">
          <w:rPr>
            <w:rFonts w:ascii="Arial" w:hAnsi="Arial" w:cs="Arial"/>
            <w:noProof/>
            <w:webHidden/>
          </w:rPr>
          <w:fldChar w:fldCharType="end"/>
        </w:r>
      </w:hyperlink>
    </w:p>
    <w:p w14:paraId="741E59BC" w14:textId="067FBE80" w:rsidR="00CB4E93" w:rsidRPr="00CB4E93" w:rsidRDefault="00CB4E93" w:rsidP="00CB4E93">
      <w:pPr>
        <w:pStyle w:val="TM2"/>
        <w:contextualSpacing/>
        <w:rPr>
          <w:rFonts w:eastAsiaTheme="minorEastAsia"/>
          <w:b w:val="0"/>
          <w:i w:val="0"/>
          <w:caps w:val="0"/>
          <w:color w:val="auto"/>
        </w:rPr>
      </w:pPr>
      <w:hyperlink w:anchor="_Toc52869741" w:history="1">
        <w:r w:rsidRPr="00CB4E93">
          <w:rPr>
            <w:rStyle w:val="Lienhypertexte"/>
            <w:rFonts w:eastAsiaTheme="majorEastAsia"/>
          </w:rPr>
          <w:t>11.1. Plan d’atténuation, de maximisation et de prévention des risques</w:t>
        </w:r>
        <w:r w:rsidRPr="00CB4E93">
          <w:rPr>
            <w:webHidden/>
          </w:rPr>
          <w:tab/>
        </w:r>
        <w:r w:rsidRPr="00CB4E93">
          <w:rPr>
            <w:webHidden/>
          </w:rPr>
          <w:fldChar w:fldCharType="begin"/>
        </w:r>
        <w:r w:rsidRPr="00CB4E93">
          <w:rPr>
            <w:webHidden/>
          </w:rPr>
          <w:instrText xml:space="preserve"> PAGEREF _Toc52869741 \h </w:instrText>
        </w:r>
        <w:r w:rsidRPr="00CB4E93">
          <w:rPr>
            <w:webHidden/>
          </w:rPr>
        </w:r>
        <w:r w:rsidRPr="00CB4E93">
          <w:rPr>
            <w:webHidden/>
          </w:rPr>
          <w:fldChar w:fldCharType="separate"/>
        </w:r>
        <w:r w:rsidR="009E27E4">
          <w:rPr>
            <w:webHidden/>
          </w:rPr>
          <w:t>203</w:t>
        </w:r>
        <w:r w:rsidRPr="00CB4E93">
          <w:rPr>
            <w:webHidden/>
          </w:rPr>
          <w:fldChar w:fldCharType="end"/>
        </w:r>
      </w:hyperlink>
    </w:p>
    <w:p w14:paraId="4B657536" w14:textId="5AC82A1F" w:rsidR="00CB4E93" w:rsidRPr="00CB4E93" w:rsidRDefault="00CB4E93" w:rsidP="00CB4E93">
      <w:pPr>
        <w:pStyle w:val="TM2"/>
        <w:contextualSpacing/>
        <w:rPr>
          <w:rFonts w:eastAsiaTheme="minorEastAsia"/>
          <w:b w:val="0"/>
          <w:i w:val="0"/>
          <w:caps w:val="0"/>
          <w:color w:val="auto"/>
        </w:rPr>
      </w:pPr>
      <w:hyperlink w:anchor="_Toc52869742" w:history="1">
        <w:r w:rsidRPr="00CB4E93">
          <w:rPr>
            <w:rStyle w:val="Lienhypertexte"/>
            <w:rFonts w:eastAsiaTheme="majorEastAsia"/>
          </w:rPr>
          <w:t>11.2. Programme de surveillance environnementale</w:t>
        </w:r>
        <w:r w:rsidRPr="00CB4E93">
          <w:rPr>
            <w:webHidden/>
          </w:rPr>
          <w:tab/>
        </w:r>
        <w:r w:rsidRPr="00CB4E93">
          <w:rPr>
            <w:webHidden/>
          </w:rPr>
          <w:fldChar w:fldCharType="begin"/>
        </w:r>
        <w:r w:rsidRPr="00CB4E93">
          <w:rPr>
            <w:webHidden/>
          </w:rPr>
          <w:instrText xml:space="preserve"> PAGEREF _Toc52869742 \h </w:instrText>
        </w:r>
        <w:r w:rsidRPr="00CB4E93">
          <w:rPr>
            <w:webHidden/>
          </w:rPr>
        </w:r>
        <w:r w:rsidRPr="00CB4E93">
          <w:rPr>
            <w:webHidden/>
          </w:rPr>
          <w:fldChar w:fldCharType="separate"/>
        </w:r>
        <w:r w:rsidR="009E27E4">
          <w:rPr>
            <w:webHidden/>
          </w:rPr>
          <w:t>204</w:t>
        </w:r>
        <w:r w:rsidRPr="00CB4E93">
          <w:rPr>
            <w:webHidden/>
          </w:rPr>
          <w:fldChar w:fldCharType="end"/>
        </w:r>
      </w:hyperlink>
    </w:p>
    <w:p w14:paraId="0E4E7276" w14:textId="71FA1FDE" w:rsidR="00CB4E93" w:rsidRPr="00CB4E93" w:rsidRDefault="00CB4E93" w:rsidP="00CB4E93">
      <w:pPr>
        <w:pStyle w:val="TM2"/>
        <w:contextualSpacing/>
        <w:rPr>
          <w:rFonts w:eastAsiaTheme="minorEastAsia"/>
          <w:b w:val="0"/>
          <w:i w:val="0"/>
          <w:caps w:val="0"/>
          <w:color w:val="auto"/>
        </w:rPr>
      </w:pPr>
      <w:hyperlink w:anchor="_Toc52869743" w:history="1">
        <w:r w:rsidRPr="00CB4E93">
          <w:rPr>
            <w:rStyle w:val="Lienhypertexte"/>
            <w:rFonts w:eastAsiaTheme="majorEastAsia"/>
          </w:rPr>
          <w:t>11.3. Mécanisme de gestion des plaintes</w:t>
        </w:r>
        <w:r w:rsidRPr="00CB4E93">
          <w:rPr>
            <w:webHidden/>
          </w:rPr>
          <w:tab/>
        </w:r>
        <w:r w:rsidRPr="00CB4E93">
          <w:rPr>
            <w:webHidden/>
          </w:rPr>
          <w:fldChar w:fldCharType="begin"/>
        </w:r>
        <w:r w:rsidRPr="00CB4E93">
          <w:rPr>
            <w:webHidden/>
          </w:rPr>
          <w:instrText xml:space="preserve"> PAGEREF _Toc52869743 \h </w:instrText>
        </w:r>
        <w:r w:rsidRPr="00CB4E93">
          <w:rPr>
            <w:webHidden/>
          </w:rPr>
        </w:r>
        <w:r w:rsidRPr="00CB4E93">
          <w:rPr>
            <w:webHidden/>
          </w:rPr>
          <w:fldChar w:fldCharType="separate"/>
        </w:r>
        <w:r w:rsidR="009E27E4">
          <w:rPr>
            <w:webHidden/>
          </w:rPr>
          <w:t>205</w:t>
        </w:r>
        <w:r w:rsidRPr="00CB4E93">
          <w:rPr>
            <w:webHidden/>
          </w:rPr>
          <w:fldChar w:fldCharType="end"/>
        </w:r>
      </w:hyperlink>
    </w:p>
    <w:p w14:paraId="7289C42C" w14:textId="1DFDE31A" w:rsidR="00CB4E93" w:rsidRPr="00CB4E93" w:rsidRDefault="00CB4E93" w:rsidP="00CB4E93">
      <w:pPr>
        <w:pStyle w:val="TM2"/>
        <w:contextualSpacing/>
        <w:rPr>
          <w:rFonts w:eastAsiaTheme="minorEastAsia"/>
          <w:b w:val="0"/>
          <w:i w:val="0"/>
          <w:caps w:val="0"/>
          <w:color w:val="auto"/>
        </w:rPr>
      </w:pPr>
      <w:hyperlink w:anchor="_Toc52869744" w:history="1">
        <w:r w:rsidRPr="00CB4E93">
          <w:rPr>
            <w:rStyle w:val="Lienhypertexte"/>
            <w:rFonts w:eastAsiaTheme="majorEastAsia"/>
          </w:rPr>
          <w:t>11.4. Programme de suivi environnemental.</w:t>
        </w:r>
        <w:r w:rsidRPr="00CB4E93">
          <w:rPr>
            <w:webHidden/>
          </w:rPr>
          <w:tab/>
        </w:r>
        <w:r w:rsidRPr="00CB4E93">
          <w:rPr>
            <w:webHidden/>
          </w:rPr>
          <w:fldChar w:fldCharType="begin"/>
        </w:r>
        <w:r w:rsidRPr="00CB4E93">
          <w:rPr>
            <w:webHidden/>
          </w:rPr>
          <w:instrText xml:space="preserve"> PAGEREF _Toc52869744 \h </w:instrText>
        </w:r>
        <w:r w:rsidRPr="00CB4E93">
          <w:rPr>
            <w:webHidden/>
          </w:rPr>
        </w:r>
        <w:r w:rsidRPr="00CB4E93">
          <w:rPr>
            <w:webHidden/>
          </w:rPr>
          <w:fldChar w:fldCharType="separate"/>
        </w:r>
        <w:r w:rsidR="009E27E4">
          <w:rPr>
            <w:webHidden/>
          </w:rPr>
          <w:t>206</w:t>
        </w:r>
        <w:r w:rsidRPr="00CB4E93">
          <w:rPr>
            <w:webHidden/>
          </w:rPr>
          <w:fldChar w:fldCharType="end"/>
        </w:r>
      </w:hyperlink>
    </w:p>
    <w:p w14:paraId="2A37CBBD" w14:textId="44E5D22B" w:rsidR="00CB4E93" w:rsidRPr="00CB4E93" w:rsidRDefault="00CB4E93" w:rsidP="00CB4E93">
      <w:pPr>
        <w:pStyle w:val="TM2"/>
        <w:contextualSpacing/>
        <w:rPr>
          <w:rFonts w:eastAsiaTheme="minorEastAsia"/>
          <w:b w:val="0"/>
          <w:i w:val="0"/>
          <w:caps w:val="0"/>
          <w:color w:val="auto"/>
        </w:rPr>
      </w:pPr>
      <w:hyperlink w:anchor="_Toc52869745" w:history="1">
        <w:r w:rsidRPr="00CB4E93">
          <w:rPr>
            <w:rStyle w:val="Lienhypertexte"/>
            <w:rFonts w:eastAsiaTheme="majorEastAsia"/>
          </w:rPr>
          <w:t>11.5. Plan de gestion environnementale et sociale « tableau de synthèse »</w:t>
        </w:r>
        <w:r w:rsidRPr="00CB4E93">
          <w:rPr>
            <w:webHidden/>
          </w:rPr>
          <w:tab/>
        </w:r>
        <w:r w:rsidRPr="00CB4E93">
          <w:rPr>
            <w:webHidden/>
          </w:rPr>
          <w:fldChar w:fldCharType="begin"/>
        </w:r>
        <w:r w:rsidRPr="00CB4E93">
          <w:rPr>
            <w:webHidden/>
          </w:rPr>
          <w:instrText xml:space="preserve"> PAGEREF _Toc52869745 \h </w:instrText>
        </w:r>
        <w:r w:rsidRPr="00CB4E93">
          <w:rPr>
            <w:webHidden/>
          </w:rPr>
        </w:r>
        <w:r w:rsidRPr="00CB4E93">
          <w:rPr>
            <w:webHidden/>
          </w:rPr>
          <w:fldChar w:fldCharType="separate"/>
        </w:r>
        <w:r w:rsidR="009E27E4">
          <w:rPr>
            <w:webHidden/>
          </w:rPr>
          <w:t>207</w:t>
        </w:r>
        <w:r w:rsidRPr="00CB4E93">
          <w:rPr>
            <w:webHidden/>
          </w:rPr>
          <w:fldChar w:fldCharType="end"/>
        </w:r>
      </w:hyperlink>
    </w:p>
    <w:p w14:paraId="398FDFF6" w14:textId="4048C6D7" w:rsidR="00CB4E93" w:rsidRPr="00CB4E93" w:rsidRDefault="00CB4E93" w:rsidP="00CB4E93">
      <w:pPr>
        <w:pStyle w:val="TM1"/>
        <w:tabs>
          <w:tab w:val="right" w:leader="dot" w:pos="9062"/>
        </w:tabs>
        <w:spacing w:before="60" w:after="0" w:line="240" w:lineRule="auto"/>
        <w:contextualSpacing/>
        <w:rPr>
          <w:rFonts w:ascii="Arial" w:eastAsiaTheme="minorEastAsia" w:hAnsi="Arial" w:cs="Arial"/>
          <w:b w:val="0"/>
          <w:bCs w:val="0"/>
          <w:caps w:val="0"/>
          <w:noProof/>
          <w:color w:val="auto"/>
          <w:lang w:eastAsia="fr-FR"/>
        </w:rPr>
      </w:pPr>
      <w:hyperlink w:anchor="_Toc52869746" w:history="1">
        <w:r w:rsidRPr="00CB4E93">
          <w:rPr>
            <w:rStyle w:val="Lienhypertexte"/>
            <w:rFonts w:ascii="Arial" w:eastAsia="Calibri" w:hAnsi="Arial" w:cs="Arial"/>
            <w:noProof/>
          </w:rPr>
          <w:t>12. Renforcement de capacité pour le suivi de la mise en œuvre des mesures</w:t>
        </w:r>
        <w:r w:rsidRPr="00CB4E93">
          <w:rPr>
            <w:rFonts w:ascii="Arial" w:hAnsi="Arial" w:cs="Arial"/>
            <w:noProof/>
            <w:webHidden/>
          </w:rPr>
          <w:tab/>
        </w:r>
        <w:r w:rsidRPr="00CB4E93">
          <w:rPr>
            <w:rFonts w:ascii="Arial" w:hAnsi="Arial" w:cs="Arial"/>
            <w:noProof/>
            <w:webHidden/>
          </w:rPr>
          <w:fldChar w:fldCharType="begin"/>
        </w:r>
        <w:r w:rsidRPr="00CB4E93">
          <w:rPr>
            <w:rFonts w:ascii="Arial" w:hAnsi="Arial" w:cs="Arial"/>
            <w:noProof/>
            <w:webHidden/>
          </w:rPr>
          <w:instrText xml:space="preserve"> PAGEREF _Toc52869746 \h </w:instrText>
        </w:r>
        <w:r w:rsidRPr="00CB4E93">
          <w:rPr>
            <w:rFonts w:ascii="Arial" w:hAnsi="Arial" w:cs="Arial"/>
            <w:noProof/>
            <w:webHidden/>
          </w:rPr>
        </w:r>
        <w:r w:rsidRPr="00CB4E93">
          <w:rPr>
            <w:rFonts w:ascii="Arial" w:hAnsi="Arial" w:cs="Arial"/>
            <w:noProof/>
            <w:webHidden/>
          </w:rPr>
          <w:fldChar w:fldCharType="separate"/>
        </w:r>
        <w:r w:rsidR="009E27E4">
          <w:rPr>
            <w:rFonts w:ascii="Arial" w:hAnsi="Arial" w:cs="Arial"/>
            <w:noProof/>
            <w:webHidden/>
          </w:rPr>
          <w:t>222</w:t>
        </w:r>
        <w:r w:rsidRPr="00CB4E93">
          <w:rPr>
            <w:rFonts w:ascii="Arial" w:hAnsi="Arial" w:cs="Arial"/>
            <w:noProof/>
            <w:webHidden/>
          </w:rPr>
          <w:fldChar w:fldCharType="end"/>
        </w:r>
      </w:hyperlink>
    </w:p>
    <w:p w14:paraId="5F8FB316" w14:textId="1AA97E98" w:rsidR="00CB4E93" w:rsidRPr="00CB4E93" w:rsidRDefault="00CB4E93" w:rsidP="00CB4E93">
      <w:pPr>
        <w:pStyle w:val="TM2"/>
        <w:contextualSpacing/>
        <w:rPr>
          <w:rFonts w:eastAsiaTheme="minorEastAsia"/>
          <w:b w:val="0"/>
          <w:i w:val="0"/>
          <w:caps w:val="0"/>
          <w:color w:val="auto"/>
        </w:rPr>
      </w:pPr>
      <w:hyperlink w:anchor="_Toc52869747" w:history="1">
        <w:r w:rsidRPr="00CB4E93">
          <w:rPr>
            <w:rStyle w:val="Lienhypertexte"/>
            <w:rFonts w:eastAsiaTheme="majorEastAsia"/>
          </w:rPr>
          <w:t>12.1. Cibles concernées par le renforcement</w:t>
        </w:r>
        <w:r w:rsidRPr="00CB4E93">
          <w:rPr>
            <w:webHidden/>
          </w:rPr>
          <w:tab/>
        </w:r>
        <w:r w:rsidRPr="00CB4E93">
          <w:rPr>
            <w:webHidden/>
          </w:rPr>
          <w:fldChar w:fldCharType="begin"/>
        </w:r>
        <w:r w:rsidRPr="00CB4E93">
          <w:rPr>
            <w:webHidden/>
          </w:rPr>
          <w:instrText xml:space="preserve"> PAGEREF _Toc52869747 \h </w:instrText>
        </w:r>
        <w:r w:rsidRPr="00CB4E93">
          <w:rPr>
            <w:webHidden/>
          </w:rPr>
        </w:r>
        <w:r w:rsidRPr="00CB4E93">
          <w:rPr>
            <w:webHidden/>
          </w:rPr>
          <w:fldChar w:fldCharType="separate"/>
        </w:r>
        <w:r w:rsidR="009E27E4">
          <w:rPr>
            <w:webHidden/>
          </w:rPr>
          <w:t>222</w:t>
        </w:r>
        <w:r w:rsidRPr="00CB4E93">
          <w:rPr>
            <w:webHidden/>
          </w:rPr>
          <w:fldChar w:fldCharType="end"/>
        </w:r>
      </w:hyperlink>
    </w:p>
    <w:p w14:paraId="26D64137" w14:textId="50884415" w:rsidR="00CB4E93" w:rsidRPr="00CB4E93" w:rsidRDefault="00CB4E93" w:rsidP="00CB4E93">
      <w:pPr>
        <w:pStyle w:val="TM2"/>
        <w:contextualSpacing/>
        <w:rPr>
          <w:rFonts w:eastAsiaTheme="minorEastAsia"/>
          <w:b w:val="0"/>
          <w:i w:val="0"/>
          <w:caps w:val="0"/>
          <w:color w:val="auto"/>
        </w:rPr>
      </w:pPr>
      <w:hyperlink w:anchor="_Toc52869748" w:history="1">
        <w:r w:rsidRPr="00CB4E93">
          <w:rPr>
            <w:rStyle w:val="Lienhypertexte"/>
            <w:rFonts w:eastAsiaTheme="majorEastAsia"/>
          </w:rPr>
          <w:t>12.2. Mission des structures de suivi environnemental</w:t>
        </w:r>
        <w:r w:rsidRPr="00CB4E93">
          <w:rPr>
            <w:webHidden/>
          </w:rPr>
          <w:tab/>
        </w:r>
        <w:r w:rsidRPr="00CB4E93">
          <w:rPr>
            <w:webHidden/>
          </w:rPr>
          <w:fldChar w:fldCharType="begin"/>
        </w:r>
        <w:r w:rsidRPr="00CB4E93">
          <w:rPr>
            <w:webHidden/>
          </w:rPr>
          <w:instrText xml:space="preserve"> PAGEREF _Toc52869748 \h </w:instrText>
        </w:r>
        <w:r w:rsidRPr="00CB4E93">
          <w:rPr>
            <w:webHidden/>
          </w:rPr>
        </w:r>
        <w:r w:rsidRPr="00CB4E93">
          <w:rPr>
            <w:webHidden/>
          </w:rPr>
          <w:fldChar w:fldCharType="separate"/>
        </w:r>
        <w:r w:rsidR="009E27E4">
          <w:rPr>
            <w:webHidden/>
          </w:rPr>
          <w:t>222</w:t>
        </w:r>
        <w:r w:rsidRPr="00CB4E93">
          <w:rPr>
            <w:webHidden/>
          </w:rPr>
          <w:fldChar w:fldCharType="end"/>
        </w:r>
      </w:hyperlink>
    </w:p>
    <w:p w14:paraId="049095E1" w14:textId="6208081B" w:rsidR="00CB4E93" w:rsidRPr="00CB4E93" w:rsidRDefault="00CB4E93" w:rsidP="00CB4E93">
      <w:pPr>
        <w:pStyle w:val="TM2"/>
        <w:contextualSpacing/>
        <w:rPr>
          <w:rFonts w:eastAsiaTheme="minorEastAsia"/>
          <w:b w:val="0"/>
          <w:i w:val="0"/>
          <w:caps w:val="0"/>
          <w:color w:val="auto"/>
        </w:rPr>
      </w:pPr>
      <w:hyperlink w:anchor="_Toc52869749" w:history="1">
        <w:r w:rsidRPr="00CB4E93">
          <w:rPr>
            <w:rStyle w:val="Lienhypertexte"/>
            <w:rFonts w:eastAsiaTheme="majorEastAsia"/>
          </w:rPr>
          <w:t>12.3. Capacités, besoins en formation et coûts des entités publiques</w:t>
        </w:r>
        <w:r w:rsidRPr="00CB4E93">
          <w:rPr>
            <w:webHidden/>
          </w:rPr>
          <w:tab/>
        </w:r>
        <w:r w:rsidRPr="00CB4E93">
          <w:rPr>
            <w:webHidden/>
          </w:rPr>
          <w:fldChar w:fldCharType="begin"/>
        </w:r>
        <w:r w:rsidRPr="00CB4E93">
          <w:rPr>
            <w:webHidden/>
          </w:rPr>
          <w:instrText xml:space="preserve"> PAGEREF _Toc52869749 \h </w:instrText>
        </w:r>
        <w:r w:rsidRPr="00CB4E93">
          <w:rPr>
            <w:webHidden/>
          </w:rPr>
        </w:r>
        <w:r w:rsidRPr="00CB4E93">
          <w:rPr>
            <w:webHidden/>
          </w:rPr>
          <w:fldChar w:fldCharType="separate"/>
        </w:r>
        <w:r w:rsidR="009E27E4">
          <w:rPr>
            <w:webHidden/>
          </w:rPr>
          <w:t>222</w:t>
        </w:r>
        <w:r w:rsidRPr="00CB4E93">
          <w:rPr>
            <w:webHidden/>
          </w:rPr>
          <w:fldChar w:fldCharType="end"/>
        </w:r>
      </w:hyperlink>
    </w:p>
    <w:p w14:paraId="39D28360" w14:textId="559BF001" w:rsidR="00CB4E93" w:rsidRPr="00CB4E93" w:rsidRDefault="00CB4E93" w:rsidP="00CB4E93">
      <w:pPr>
        <w:pStyle w:val="TM1"/>
        <w:tabs>
          <w:tab w:val="right" w:leader="dot" w:pos="9062"/>
        </w:tabs>
        <w:spacing w:before="60" w:after="0" w:line="240" w:lineRule="auto"/>
        <w:contextualSpacing/>
        <w:rPr>
          <w:rFonts w:ascii="Arial" w:eastAsiaTheme="minorEastAsia" w:hAnsi="Arial" w:cs="Arial"/>
          <w:b w:val="0"/>
          <w:bCs w:val="0"/>
          <w:caps w:val="0"/>
          <w:noProof/>
          <w:color w:val="auto"/>
          <w:lang w:eastAsia="fr-FR"/>
        </w:rPr>
      </w:pPr>
      <w:hyperlink w:anchor="_Toc52869750" w:history="1">
        <w:r w:rsidRPr="00CB4E93">
          <w:rPr>
            <w:rStyle w:val="Lienhypertexte"/>
            <w:rFonts w:ascii="Arial" w:eastAsiaTheme="majorEastAsia" w:hAnsi="Arial" w:cs="Arial"/>
            <w:noProof/>
          </w:rPr>
          <w:t>Conclusion</w:t>
        </w:r>
        <w:r w:rsidRPr="00CB4E93">
          <w:rPr>
            <w:rFonts w:ascii="Arial" w:hAnsi="Arial" w:cs="Arial"/>
            <w:noProof/>
            <w:webHidden/>
          </w:rPr>
          <w:tab/>
        </w:r>
        <w:r w:rsidRPr="00CB4E93">
          <w:rPr>
            <w:rFonts w:ascii="Arial" w:hAnsi="Arial" w:cs="Arial"/>
            <w:noProof/>
            <w:webHidden/>
          </w:rPr>
          <w:fldChar w:fldCharType="begin"/>
        </w:r>
        <w:r w:rsidRPr="00CB4E93">
          <w:rPr>
            <w:rFonts w:ascii="Arial" w:hAnsi="Arial" w:cs="Arial"/>
            <w:noProof/>
            <w:webHidden/>
          </w:rPr>
          <w:instrText xml:space="preserve"> PAGEREF _Toc52869750 \h </w:instrText>
        </w:r>
        <w:r w:rsidRPr="00CB4E93">
          <w:rPr>
            <w:rFonts w:ascii="Arial" w:hAnsi="Arial" w:cs="Arial"/>
            <w:noProof/>
            <w:webHidden/>
          </w:rPr>
        </w:r>
        <w:r w:rsidRPr="00CB4E93">
          <w:rPr>
            <w:rFonts w:ascii="Arial" w:hAnsi="Arial" w:cs="Arial"/>
            <w:noProof/>
            <w:webHidden/>
          </w:rPr>
          <w:fldChar w:fldCharType="separate"/>
        </w:r>
        <w:r w:rsidR="009E27E4">
          <w:rPr>
            <w:rFonts w:ascii="Arial" w:hAnsi="Arial" w:cs="Arial"/>
            <w:noProof/>
            <w:webHidden/>
          </w:rPr>
          <w:t>225</w:t>
        </w:r>
        <w:r w:rsidRPr="00CB4E93">
          <w:rPr>
            <w:rFonts w:ascii="Arial" w:hAnsi="Arial" w:cs="Arial"/>
            <w:noProof/>
            <w:webHidden/>
          </w:rPr>
          <w:fldChar w:fldCharType="end"/>
        </w:r>
      </w:hyperlink>
    </w:p>
    <w:p w14:paraId="5C06BAE9" w14:textId="4472CC4E" w:rsidR="00CB4E93" w:rsidRPr="00CB4E93" w:rsidRDefault="00CB4E93" w:rsidP="00CB4E93">
      <w:pPr>
        <w:pStyle w:val="TM1"/>
        <w:tabs>
          <w:tab w:val="right" w:leader="dot" w:pos="9062"/>
        </w:tabs>
        <w:spacing w:before="60" w:after="0" w:line="240" w:lineRule="auto"/>
        <w:contextualSpacing/>
        <w:rPr>
          <w:rFonts w:ascii="Arial" w:eastAsiaTheme="minorEastAsia" w:hAnsi="Arial" w:cs="Arial"/>
          <w:b w:val="0"/>
          <w:bCs w:val="0"/>
          <w:caps w:val="0"/>
          <w:noProof/>
          <w:color w:val="auto"/>
          <w:lang w:eastAsia="fr-FR"/>
        </w:rPr>
      </w:pPr>
      <w:hyperlink w:anchor="_Toc52869751" w:history="1">
        <w:r w:rsidRPr="00CB4E93">
          <w:rPr>
            <w:rStyle w:val="Lienhypertexte"/>
            <w:rFonts w:ascii="Arial" w:eastAsia="Times New Roman" w:hAnsi="Arial" w:cs="Arial"/>
            <w:noProof/>
            <w:lang w:eastAsia="fr-FR"/>
          </w:rPr>
          <w:t>BIBLIOGRAPHIE</w:t>
        </w:r>
        <w:r w:rsidRPr="00CB4E93">
          <w:rPr>
            <w:rFonts w:ascii="Arial" w:hAnsi="Arial" w:cs="Arial"/>
            <w:noProof/>
            <w:webHidden/>
          </w:rPr>
          <w:tab/>
        </w:r>
        <w:r w:rsidRPr="00CB4E93">
          <w:rPr>
            <w:rFonts w:ascii="Arial" w:hAnsi="Arial" w:cs="Arial"/>
            <w:noProof/>
            <w:webHidden/>
          </w:rPr>
          <w:fldChar w:fldCharType="begin"/>
        </w:r>
        <w:r w:rsidRPr="00CB4E93">
          <w:rPr>
            <w:rFonts w:ascii="Arial" w:hAnsi="Arial" w:cs="Arial"/>
            <w:noProof/>
            <w:webHidden/>
          </w:rPr>
          <w:instrText xml:space="preserve"> PAGEREF _Toc52869751 \h </w:instrText>
        </w:r>
        <w:r w:rsidRPr="00CB4E93">
          <w:rPr>
            <w:rFonts w:ascii="Arial" w:hAnsi="Arial" w:cs="Arial"/>
            <w:noProof/>
            <w:webHidden/>
          </w:rPr>
        </w:r>
        <w:r w:rsidRPr="00CB4E93">
          <w:rPr>
            <w:rFonts w:ascii="Arial" w:hAnsi="Arial" w:cs="Arial"/>
            <w:noProof/>
            <w:webHidden/>
          </w:rPr>
          <w:fldChar w:fldCharType="separate"/>
        </w:r>
        <w:r w:rsidR="009E27E4">
          <w:rPr>
            <w:rFonts w:ascii="Arial" w:hAnsi="Arial" w:cs="Arial"/>
            <w:noProof/>
            <w:webHidden/>
          </w:rPr>
          <w:t>226</w:t>
        </w:r>
        <w:r w:rsidRPr="00CB4E93">
          <w:rPr>
            <w:rFonts w:ascii="Arial" w:hAnsi="Arial" w:cs="Arial"/>
            <w:noProof/>
            <w:webHidden/>
          </w:rPr>
          <w:fldChar w:fldCharType="end"/>
        </w:r>
      </w:hyperlink>
    </w:p>
    <w:p w14:paraId="093D6FF6" w14:textId="48EA6D05" w:rsidR="00CB4E93" w:rsidRPr="00CB4E93" w:rsidRDefault="00CB4E93" w:rsidP="00CB4E93">
      <w:pPr>
        <w:pStyle w:val="TM1"/>
        <w:tabs>
          <w:tab w:val="right" w:leader="dot" w:pos="9062"/>
        </w:tabs>
        <w:spacing w:before="60" w:after="0" w:line="240" w:lineRule="auto"/>
        <w:contextualSpacing/>
        <w:rPr>
          <w:rFonts w:ascii="Arial" w:eastAsiaTheme="minorEastAsia" w:hAnsi="Arial" w:cs="Arial"/>
          <w:b w:val="0"/>
          <w:bCs w:val="0"/>
          <w:caps w:val="0"/>
          <w:noProof/>
          <w:color w:val="auto"/>
          <w:lang w:eastAsia="fr-FR"/>
        </w:rPr>
      </w:pPr>
      <w:hyperlink w:anchor="_Toc52869752" w:history="1">
        <w:r w:rsidRPr="00CB4E93">
          <w:rPr>
            <w:rStyle w:val="Lienhypertexte"/>
            <w:rFonts w:ascii="Arial" w:eastAsiaTheme="majorEastAsia" w:hAnsi="Arial" w:cs="Arial"/>
            <w:noProof/>
          </w:rPr>
          <w:t>ANNEXES</w:t>
        </w:r>
        <w:r w:rsidRPr="00CB4E93">
          <w:rPr>
            <w:rFonts w:ascii="Arial" w:hAnsi="Arial" w:cs="Arial"/>
            <w:noProof/>
            <w:webHidden/>
          </w:rPr>
          <w:tab/>
        </w:r>
        <w:r w:rsidRPr="00CB4E93">
          <w:rPr>
            <w:rFonts w:ascii="Arial" w:hAnsi="Arial" w:cs="Arial"/>
            <w:noProof/>
            <w:webHidden/>
          </w:rPr>
          <w:fldChar w:fldCharType="begin"/>
        </w:r>
        <w:r w:rsidRPr="00CB4E93">
          <w:rPr>
            <w:rFonts w:ascii="Arial" w:hAnsi="Arial" w:cs="Arial"/>
            <w:noProof/>
            <w:webHidden/>
          </w:rPr>
          <w:instrText xml:space="preserve"> PAGEREF _Toc52869752 \h </w:instrText>
        </w:r>
        <w:r w:rsidRPr="00CB4E93">
          <w:rPr>
            <w:rFonts w:ascii="Arial" w:hAnsi="Arial" w:cs="Arial"/>
            <w:noProof/>
            <w:webHidden/>
          </w:rPr>
        </w:r>
        <w:r w:rsidRPr="00CB4E93">
          <w:rPr>
            <w:rFonts w:ascii="Arial" w:hAnsi="Arial" w:cs="Arial"/>
            <w:noProof/>
            <w:webHidden/>
          </w:rPr>
          <w:fldChar w:fldCharType="separate"/>
        </w:r>
        <w:r w:rsidR="009E27E4">
          <w:rPr>
            <w:rFonts w:ascii="Arial" w:hAnsi="Arial" w:cs="Arial"/>
            <w:noProof/>
            <w:webHidden/>
          </w:rPr>
          <w:t>232</w:t>
        </w:r>
        <w:r w:rsidRPr="00CB4E93">
          <w:rPr>
            <w:rFonts w:ascii="Arial" w:hAnsi="Arial" w:cs="Arial"/>
            <w:noProof/>
            <w:webHidden/>
          </w:rPr>
          <w:fldChar w:fldCharType="end"/>
        </w:r>
      </w:hyperlink>
    </w:p>
    <w:p w14:paraId="14FCF8C0" w14:textId="1BEA61F7" w:rsidR="00CB4E93" w:rsidRPr="00CB4E93" w:rsidRDefault="00CB4E93" w:rsidP="00CB4E93">
      <w:pPr>
        <w:pStyle w:val="TM2"/>
        <w:contextualSpacing/>
        <w:rPr>
          <w:rFonts w:eastAsiaTheme="minorEastAsia"/>
          <w:b w:val="0"/>
          <w:i w:val="0"/>
          <w:caps w:val="0"/>
          <w:color w:val="auto"/>
        </w:rPr>
      </w:pPr>
      <w:hyperlink w:anchor="_Toc52869753" w:history="1">
        <w:r w:rsidRPr="00CB4E93">
          <w:rPr>
            <w:rStyle w:val="Lienhypertexte"/>
            <w:rFonts w:eastAsiaTheme="majorEastAsia"/>
          </w:rPr>
          <w:t>Annexe 1 : Terme de référence</w:t>
        </w:r>
        <w:r w:rsidRPr="00CB4E93">
          <w:rPr>
            <w:webHidden/>
          </w:rPr>
          <w:tab/>
        </w:r>
        <w:r w:rsidRPr="00CB4E93">
          <w:rPr>
            <w:webHidden/>
          </w:rPr>
          <w:fldChar w:fldCharType="begin"/>
        </w:r>
        <w:r w:rsidRPr="00CB4E93">
          <w:rPr>
            <w:webHidden/>
          </w:rPr>
          <w:instrText xml:space="preserve"> PAGEREF _Toc52869753 \h </w:instrText>
        </w:r>
        <w:r w:rsidRPr="00CB4E93">
          <w:rPr>
            <w:webHidden/>
          </w:rPr>
        </w:r>
        <w:r w:rsidRPr="00CB4E93">
          <w:rPr>
            <w:webHidden/>
          </w:rPr>
          <w:fldChar w:fldCharType="separate"/>
        </w:r>
        <w:r w:rsidR="009E27E4">
          <w:rPr>
            <w:webHidden/>
          </w:rPr>
          <w:t>232</w:t>
        </w:r>
        <w:r w:rsidRPr="00CB4E93">
          <w:rPr>
            <w:webHidden/>
          </w:rPr>
          <w:fldChar w:fldCharType="end"/>
        </w:r>
      </w:hyperlink>
    </w:p>
    <w:p w14:paraId="47DFA30F" w14:textId="313383F4" w:rsidR="00CB4E93" w:rsidRPr="00CB4E93" w:rsidRDefault="00CB4E93" w:rsidP="00CB4E93">
      <w:pPr>
        <w:pStyle w:val="TM2"/>
        <w:contextualSpacing/>
        <w:rPr>
          <w:rFonts w:eastAsiaTheme="minorEastAsia"/>
          <w:b w:val="0"/>
          <w:i w:val="0"/>
          <w:caps w:val="0"/>
          <w:color w:val="auto"/>
        </w:rPr>
      </w:pPr>
      <w:hyperlink w:anchor="_Toc52869754" w:history="1">
        <w:r w:rsidRPr="00CB4E93">
          <w:rPr>
            <w:rStyle w:val="Lienhypertexte"/>
            <w:rFonts w:eastAsiaTheme="majorEastAsia"/>
          </w:rPr>
          <w:t>Annexe 2 : Fiche d’enquête</w:t>
        </w:r>
        <w:r w:rsidRPr="00CB4E93">
          <w:rPr>
            <w:webHidden/>
          </w:rPr>
          <w:tab/>
        </w:r>
        <w:r w:rsidRPr="00CB4E93">
          <w:rPr>
            <w:webHidden/>
          </w:rPr>
          <w:fldChar w:fldCharType="begin"/>
        </w:r>
        <w:r w:rsidRPr="00CB4E93">
          <w:rPr>
            <w:webHidden/>
          </w:rPr>
          <w:instrText xml:space="preserve"> PAGEREF _Toc52869754 \h </w:instrText>
        </w:r>
        <w:r w:rsidRPr="00CB4E93">
          <w:rPr>
            <w:webHidden/>
          </w:rPr>
        </w:r>
        <w:r w:rsidRPr="00CB4E93">
          <w:rPr>
            <w:webHidden/>
          </w:rPr>
          <w:fldChar w:fldCharType="separate"/>
        </w:r>
        <w:r w:rsidR="009E27E4">
          <w:rPr>
            <w:webHidden/>
          </w:rPr>
          <w:t>232</w:t>
        </w:r>
        <w:r w:rsidRPr="00CB4E93">
          <w:rPr>
            <w:webHidden/>
          </w:rPr>
          <w:fldChar w:fldCharType="end"/>
        </w:r>
      </w:hyperlink>
    </w:p>
    <w:p w14:paraId="697F50F6" w14:textId="35319D4D" w:rsidR="00CB4E93" w:rsidRPr="00CB4E93" w:rsidRDefault="00CB4E93" w:rsidP="00CB4E93">
      <w:pPr>
        <w:pStyle w:val="TM2"/>
        <w:contextualSpacing/>
        <w:rPr>
          <w:rFonts w:eastAsiaTheme="minorEastAsia"/>
          <w:b w:val="0"/>
          <w:i w:val="0"/>
          <w:caps w:val="0"/>
          <w:color w:val="auto"/>
        </w:rPr>
      </w:pPr>
      <w:hyperlink w:anchor="_Toc52869755" w:history="1">
        <w:r w:rsidRPr="00CB4E93">
          <w:rPr>
            <w:rStyle w:val="Lienhypertexte"/>
            <w:rFonts w:eastAsiaTheme="majorEastAsia"/>
          </w:rPr>
          <w:t>Annexe 3 : Rapports de consultation publique</w:t>
        </w:r>
        <w:r w:rsidRPr="00CB4E93">
          <w:rPr>
            <w:webHidden/>
          </w:rPr>
          <w:tab/>
        </w:r>
        <w:r w:rsidRPr="00CB4E93">
          <w:rPr>
            <w:webHidden/>
          </w:rPr>
          <w:fldChar w:fldCharType="begin"/>
        </w:r>
        <w:r w:rsidRPr="00CB4E93">
          <w:rPr>
            <w:webHidden/>
          </w:rPr>
          <w:instrText xml:space="preserve"> PAGEREF _Toc52869755 \h </w:instrText>
        </w:r>
        <w:r w:rsidRPr="00CB4E93">
          <w:rPr>
            <w:webHidden/>
          </w:rPr>
        </w:r>
        <w:r w:rsidRPr="00CB4E93">
          <w:rPr>
            <w:webHidden/>
          </w:rPr>
          <w:fldChar w:fldCharType="separate"/>
        </w:r>
        <w:r w:rsidR="009E27E4">
          <w:rPr>
            <w:webHidden/>
          </w:rPr>
          <w:t>232</w:t>
        </w:r>
        <w:r w:rsidRPr="00CB4E93">
          <w:rPr>
            <w:webHidden/>
          </w:rPr>
          <w:fldChar w:fldCharType="end"/>
        </w:r>
      </w:hyperlink>
    </w:p>
    <w:p w14:paraId="5451D764" w14:textId="16D6F8EC" w:rsidR="00CB4E93" w:rsidRPr="00CB4E93" w:rsidRDefault="00CB4E93" w:rsidP="00CB4E93">
      <w:pPr>
        <w:pStyle w:val="TM2"/>
        <w:contextualSpacing/>
        <w:rPr>
          <w:rFonts w:eastAsiaTheme="minorEastAsia"/>
          <w:b w:val="0"/>
          <w:i w:val="0"/>
          <w:caps w:val="0"/>
          <w:color w:val="auto"/>
        </w:rPr>
      </w:pPr>
      <w:hyperlink w:anchor="_Toc52869756" w:history="1">
        <w:r w:rsidRPr="00CB4E93">
          <w:rPr>
            <w:rStyle w:val="Lienhypertexte"/>
            <w:rFonts w:eastAsiaTheme="majorEastAsia"/>
          </w:rPr>
          <w:t>Annexe 4 : Plan d’hygiène sante sécurité et environnement</w:t>
        </w:r>
        <w:r w:rsidRPr="00CB4E93">
          <w:rPr>
            <w:webHidden/>
          </w:rPr>
          <w:tab/>
        </w:r>
        <w:r w:rsidRPr="00CB4E93">
          <w:rPr>
            <w:webHidden/>
          </w:rPr>
          <w:fldChar w:fldCharType="begin"/>
        </w:r>
        <w:r w:rsidRPr="00CB4E93">
          <w:rPr>
            <w:webHidden/>
          </w:rPr>
          <w:instrText xml:space="preserve"> PAGEREF _Toc52869756 \h </w:instrText>
        </w:r>
        <w:r w:rsidRPr="00CB4E93">
          <w:rPr>
            <w:webHidden/>
          </w:rPr>
        </w:r>
        <w:r w:rsidRPr="00CB4E93">
          <w:rPr>
            <w:webHidden/>
          </w:rPr>
          <w:fldChar w:fldCharType="separate"/>
        </w:r>
        <w:r w:rsidR="009E27E4">
          <w:rPr>
            <w:webHidden/>
          </w:rPr>
          <w:t>232</w:t>
        </w:r>
        <w:r w:rsidRPr="00CB4E93">
          <w:rPr>
            <w:webHidden/>
          </w:rPr>
          <w:fldChar w:fldCharType="end"/>
        </w:r>
      </w:hyperlink>
    </w:p>
    <w:p w14:paraId="62C0F1FD" w14:textId="4BB519FC" w:rsidR="00CB4E93" w:rsidRPr="00CB4E93" w:rsidRDefault="00CB4E93" w:rsidP="00CB4E93">
      <w:pPr>
        <w:pStyle w:val="TM2"/>
        <w:contextualSpacing/>
        <w:rPr>
          <w:rFonts w:eastAsiaTheme="minorEastAsia"/>
          <w:b w:val="0"/>
          <w:i w:val="0"/>
          <w:caps w:val="0"/>
          <w:color w:val="auto"/>
        </w:rPr>
      </w:pPr>
      <w:hyperlink w:anchor="_Toc52869757" w:history="1">
        <w:r w:rsidRPr="00CB4E93">
          <w:rPr>
            <w:rStyle w:val="Lienhypertexte"/>
            <w:rFonts w:eastAsiaTheme="majorEastAsia"/>
          </w:rPr>
          <w:t>Annexe 5 : Prescriptions environnementales et sociale</w:t>
        </w:r>
        <w:r w:rsidRPr="00CB4E93">
          <w:rPr>
            <w:webHidden/>
          </w:rPr>
          <w:tab/>
        </w:r>
        <w:r w:rsidRPr="00CB4E93">
          <w:rPr>
            <w:webHidden/>
          </w:rPr>
          <w:fldChar w:fldCharType="begin"/>
        </w:r>
        <w:r w:rsidRPr="00CB4E93">
          <w:rPr>
            <w:webHidden/>
          </w:rPr>
          <w:instrText xml:space="preserve"> PAGEREF _Toc52869757 \h </w:instrText>
        </w:r>
        <w:r w:rsidRPr="00CB4E93">
          <w:rPr>
            <w:webHidden/>
          </w:rPr>
        </w:r>
        <w:r w:rsidRPr="00CB4E93">
          <w:rPr>
            <w:webHidden/>
          </w:rPr>
          <w:fldChar w:fldCharType="separate"/>
        </w:r>
        <w:r w:rsidR="009E27E4">
          <w:rPr>
            <w:webHidden/>
          </w:rPr>
          <w:t>232</w:t>
        </w:r>
        <w:r w:rsidRPr="00CB4E93">
          <w:rPr>
            <w:webHidden/>
          </w:rPr>
          <w:fldChar w:fldCharType="end"/>
        </w:r>
      </w:hyperlink>
    </w:p>
    <w:p w14:paraId="1F106EDF" w14:textId="4C27697D" w:rsidR="00CB4E93" w:rsidRPr="00CB4E93" w:rsidRDefault="00CB4E93" w:rsidP="00CB4E93">
      <w:pPr>
        <w:pStyle w:val="TM2"/>
        <w:contextualSpacing/>
        <w:rPr>
          <w:rFonts w:eastAsiaTheme="minorEastAsia"/>
          <w:b w:val="0"/>
          <w:i w:val="0"/>
          <w:caps w:val="0"/>
          <w:color w:val="auto"/>
        </w:rPr>
      </w:pPr>
      <w:hyperlink w:anchor="_Toc52869758" w:history="1">
        <w:r w:rsidRPr="00CB4E93">
          <w:rPr>
            <w:rStyle w:val="Lienhypertexte"/>
            <w:rFonts w:eastAsiaTheme="majorEastAsia"/>
          </w:rPr>
          <w:t>Annexe 6 : Plan de communication</w:t>
        </w:r>
        <w:r w:rsidRPr="00CB4E93">
          <w:rPr>
            <w:webHidden/>
          </w:rPr>
          <w:tab/>
        </w:r>
        <w:r w:rsidRPr="00CB4E93">
          <w:rPr>
            <w:webHidden/>
          </w:rPr>
          <w:fldChar w:fldCharType="begin"/>
        </w:r>
        <w:r w:rsidRPr="00CB4E93">
          <w:rPr>
            <w:webHidden/>
          </w:rPr>
          <w:instrText xml:space="preserve"> PAGEREF _Toc52869758 \h </w:instrText>
        </w:r>
        <w:r w:rsidRPr="00CB4E93">
          <w:rPr>
            <w:webHidden/>
          </w:rPr>
        </w:r>
        <w:r w:rsidRPr="00CB4E93">
          <w:rPr>
            <w:webHidden/>
          </w:rPr>
          <w:fldChar w:fldCharType="separate"/>
        </w:r>
        <w:r w:rsidR="009E27E4">
          <w:rPr>
            <w:webHidden/>
          </w:rPr>
          <w:t>232</w:t>
        </w:r>
        <w:r w:rsidRPr="00CB4E93">
          <w:rPr>
            <w:webHidden/>
          </w:rPr>
          <w:fldChar w:fldCharType="end"/>
        </w:r>
      </w:hyperlink>
    </w:p>
    <w:p w14:paraId="547A336F" w14:textId="616BAC2D" w:rsidR="00CB4E93" w:rsidRPr="00CB4E93" w:rsidRDefault="00CB4E93" w:rsidP="00CB4E93">
      <w:pPr>
        <w:pStyle w:val="TM2"/>
        <w:contextualSpacing/>
        <w:rPr>
          <w:rFonts w:eastAsiaTheme="minorEastAsia"/>
          <w:b w:val="0"/>
          <w:i w:val="0"/>
          <w:caps w:val="0"/>
          <w:color w:val="auto"/>
        </w:rPr>
      </w:pPr>
      <w:hyperlink w:anchor="_Toc52869759" w:history="1">
        <w:r w:rsidRPr="00CB4E93">
          <w:rPr>
            <w:rStyle w:val="Lienhypertexte"/>
            <w:rFonts w:eastAsiaTheme="majorEastAsia"/>
          </w:rPr>
          <w:t>Annexe 7 : Liste des personnes rencontrées</w:t>
        </w:r>
        <w:r w:rsidRPr="00CB4E93">
          <w:rPr>
            <w:webHidden/>
          </w:rPr>
          <w:tab/>
        </w:r>
        <w:r w:rsidRPr="00CB4E93">
          <w:rPr>
            <w:webHidden/>
          </w:rPr>
          <w:fldChar w:fldCharType="begin"/>
        </w:r>
        <w:r w:rsidRPr="00CB4E93">
          <w:rPr>
            <w:webHidden/>
          </w:rPr>
          <w:instrText xml:space="preserve"> PAGEREF _Toc52869759 \h </w:instrText>
        </w:r>
        <w:r w:rsidRPr="00CB4E93">
          <w:rPr>
            <w:webHidden/>
          </w:rPr>
        </w:r>
        <w:r w:rsidRPr="00CB4E93">
          <w:rPr>
            <w:webHidden/>
          </w:rPr>
          <w:fldChar w:fldCharType="separate"/>
        </w:r>
        <w:r w:rsidR="009E27E4">
          <w:rPr>
            <w:webHidden/>
          </w:rPr>
          <w:t>232</w:t>
        </w:r>
        <w:r w:rsidRPr="00CB4E93">
          <w:rPr>
            <w:webHidden/>
          </w:rPr>
          <w:fldChar w:fldCharType="end"/>
        </w:r>
      </w:hyperlink>
    </w:p>
    <w:p w14:paraId="6F13FBAB" w14:textId="2D8C95F8" w:rsidR="00CB4E93" w:rsidRPr="00CB4E93" w:rsidRDefault="00CB4E93" w:rsidP="00CB4E93">
      <w:pPr>
        <w:pStyle w:val="TM2"/>
        <w:contextualSpacing/>
        <w:rPr>
          <w:rFonts w:eastAsiaTheme="minorEastAsia"/>
          <w:b w:val="0"/>
          <w:i w:val="0"/>
          <w:caps w:val="0"/>
          <w:color w:val="auto"/>
        </w:rPr>
      </w:pPr>
      <w:hyperlink w:anchor="_Toc52869760" w:history="1">
        <w:r w:rsidRPr="00CB4E93">
          <w:rPr>
            <w:rStyle w:val="Lienhypertexte"/>
            <w:rFonts w:eastAsiaTheme="majorEastAsia"/>
          </w:rPr>
          <w:t>Annexe 8 : Carte des rues de Natitingou</w:t>
        </w:r>
        <w:r w:rsidRPr="00CB4E93">
          <w:rPr>
            <w:webHidden/>
          </w:rPr>
          <w:tab/>
        </w:r>
        <w:r w:rsidRPr="00CB4E93">
          <w:rPr>
            <w:webHidden/>
          </w:rPr>
          <w:fldChar w:fldCharType="begin"/>
        </w:r>
        <w:r w:rsidRPr="00CB4E93">
          <w:rPr>
            <w:webHidden/>
          </w:rPr>
          <w:instrText xml:space="preserve"> PAGEREF _Toc52869760 \h </w:instrText>
        </w:r>
        <w:r w:rsidRPr="00CB4E93">
          <w:rPr>
            <w:webHidden/>
          </w:rPr>
        </w:r>
        <w:r w:rsidRPr="00CB4E93">
          <w:rPr>
            <w:webHidden/>
          </w:rPr>
          <w:fldChar w:fldCharType="separate"/>
        </w:r>
        <w:r w:rsidR="009E27E4">
          <w:rPr>
            <w:webHidden/>
          </w:rPr>
          <w:t>232</w:t>
        </w:r>
        <w:r w:rsidRPr="00CB4E93">
          <w:rPr>
            <w:webHidden/>
          </w:rPr>
          <w:fldChar w:fldCharType="end"/>
        </w:r>
      </w:hyperlink>
    </w:p>
    <w:p w14:paraId="6CAAC0DC" w14:textId="1C6CED55" w:rsidR="00CB4E93" w:rsidRPr="00CB4E93" w:rsidRDefault="00CB4E93" w:rsidP="00CB4E93">
      <w:pPr>
        <w:pStyle w:val="TM2"/>
        <w:contextualSpacing/>
        <w:rPr>
          <w:rFonts w:eastAsiaTheme="minorEastAsia"/>
          <w:b w:val="0"/>
          <w:i w:val="0"/>
          <w:caps w:val="0"/>
          <w:color w:val="auto"/>
        </w:rPr>
      </w:pPr>
      <w:hyperlink w:anchor="_Toc52869761" w:history="1">
        <w:r w:rsidRPr="00CB4E93">
          <w:rPr>
            <w:rStyle w:val="Lienhypertexte"/>
            <w:rFonts w:eastAsiaTheme="majorEastAsia"/>
          </w:rPr>
          <w:t>Annexe 9 : Mesure d’accompagnement  _ Infrastructures sociocommunautaires recensées dans la zone d’influence du projet</w:t>
        </w:r>
        <w:r w:rsidRPr="00CB4E93">
          <w:rPr>
            <w:webHidden/>
          </w:rPr>
          <w:tab/>
        </w:r>
        <w:r w:rsidRPr="00CB4E93">
          <w:rPr>
            <w:webHidden/>
          </w:rPr>
          <w:fldChar w:fldCharType="begin"/>
        </w:r>
        <w:r w:rsidRPr="00CB4E93">
          <w:rPr>
            <w:webHidden/>
          </w:rPr>
          <w:instrText xml:space="preserve"> PAGEREF _Toc52869761 \h </w:instrText>
        </w:r>
        <w:r w:rsidRPr="00CB4E93">
          <w:rPr>
            <w:webHidden/>
          </w:rPr>
        </w:r>
        <w:r w:rsidRPr="00CB4E93">
          <w:rPr>
            <w:webHidden/>
          </w:rPr>
          <w:fldChar w:fldCharType="separate"/>
        </w:r>
        <w:r w:rsidR="009E27E4">
          <w:rPr>
            <w:webHidden/>
          </w:rPr>
          <w:t>232</w:t>
        </w:r>
        <w:r w:rsidRPr="00CB4E93">
          <w:rPr>
            <w:webHidden/>
          </w:rPr>
          <w:fldChar w:fldCharType="end"/>
        </w:r>
      </w:hyperlink>
    </w:p>
    <w:p w14:paraId="6E3E7DF1" w14:textId="68E7A8FC" w:rsidR="00AE6E4C" w:rsidRPr="00A9330B" w:rsidRDefault="0066693C" w:rsidP="00CB4E93">
      <w:pPr>
        <w:keepNext/>
        <w:keepLines/>
        <w:spacing w:before="60" w:line="240" w:lineRule="auto"/>
        <w:contextualSpacing/>
        <w:jc w:val="both"/>
        <w:outlineLvl w:val="0"/>
        <w:rPr>
          <w:rFonts w:eastAsiaTheme="majorEastAsia" w:cstheme="majorBidi"/>
          <w:b/>
          <w:caps/>
          <w:color w:val="00B050"/>
          <w:sz w:val="30"/>
          <w:szCs w:val="30"/>
        </w:rPr>
      </w:pPr>
      <w:r w:rsidRPr="00CB4E93">
        <w:rPr>
          <w:rFonts w:eastAsiaTheme="majorEastAsia" w:cs="Arial"/>
          <w:b/>
          <w:i/>
          <w:caps/>
          <w:color w:val="00B050"/>
          <w:sz w:val="20"/>
          <w:szCs w:val="20"/>
        </w:rPr>
        <w:fldChar w:fldCharType="end"/>
      </w:r>
    </w:p>
    <w:p w14:paraId="2737EF1A" w14:textId="77777777" w:rsidR="00CB2ACB" w:rsidRPr="00A9330B" w:rsidRDefault="00CB2ACB" w:rsidP="00B915B8">
      <w:pPr>
        <w:rPr>
          <w:sz w:val="32"/>
          <w:szCs w:val="32"/>
        </w:rPr>
      </w:pPr>
    </w:p>
    <w:sectPr w:rsidR="00CB2ACB" w:rsidRPr="00A9330B">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CDD322E" w14:textId="77777777" w:rsidR="008E424D" w:rsidRDefault="008E424D" w:rsidP="00AB04ED">
      <w:pPr>
        <w:spacing w:before="0" w:line="240" w:lineRule="auto"/>
      </w:pPr>
      <w:r>
        <w:separator/>
      </w:r>
    </w:p>
  </w:endnote>
  <w:endnote w:type="continuationSeparator" w:id="0">
    <w:p w14:paraId="69794875" w14:textId="77777777" w:rsidR="008E424D" w:rsidRDefault="008E424D" w:rsidP="00AB04ED">
      <w:pPr>
        <w:spacing w:before="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entury Gothic">
    <w:panose1 w:val="020B0502020202020204"/>
    <w:charset w:val="00"/>
    <w:family w:val="swiss"/>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Georgia">
    <w:panose1 w:val="02040502050405020303"/>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Segoe UI">
    <w:panose1 w:val="020B0502040204020203"/>
    <w:charset w:val="00"/>
    <w:family w:val="swiss"/>
    <w:pitch w:val="variable"/>
    <w:sig w:usb0="E4002EFF" w:usb1="C000E47F" w:usb2="00000009" w:usb3="00000000" w:csb0="000001FF" w:csb1="00000000"/>
  </w:font>
  <w:font w:name="Avenir LT Std 35 Light">
    <w:altName w:val="Calibri"/>
    <w:panose1 w:val="00000000000000000000"/>
    <w:charset w:val="00"/>
    <w:family w:val="swiss"/>
    <w:notTrueType/>
    <w:pitch w:val="variable"/>
    <w:sig w:usb0="00000003" w:usb1="00000000" w:usb2="00000000" w:usb3="00000000" w:csb0="00000001" w:csb1="00000000"/>
  </w:font>
  <w:font w:name="Calibri Light">
    <w:panose1 w:val="020F0302020204030204"/>
    <w:charset w:val="00"/>
    <w:family w:val="swiss"/>
    <w:pitch w:val="variable"/>
    <w:sig w:usb0="E0002AFF" w:usb1="C000247B" w:usb2="00000009" w:usb3="00000000" w:csb0="000001FF" w:csb1="00000000"/>
  </w:font>
  <w:font w:name="TrueHelveticaLight">
    <w:altName w:val="Calibri"/>
    <w:charset w:val="00"/>
    <w:family w:val="auto"/>
    <w:pitch w:val="variable"/>
    <w:sig w:usb0="00000003" w:usb1="00000000" w:usb2="00000000" w:usb3="00000000" w:csb0="00000001" w:csb1="00000000"/>
  </w:font>
  <w:font w:name="Arial Gras">
    <w:panose1 w:val="00000000000000000000"/>
    <w:charset w:val="00"/>
    <w:family w:val="roman"/>
    <w:notTrueType/>
    <w:pitch w:val="default"/>
  </w:font>
  <w:font w:name="Comic Sans MS">
    <w:panose1 w:val="030F0702030302020204"/>
    <w:charset w:val="00"/>
    <w:family w:val="script"/>
    <w:pitch w:val="variable"/>
    <w:sig w:usb0="00000287" w:usb1="00000013" w:usb2="00000000" w:usb3="00000000" w:csb0="0000009F" w:csb1="00000000"/>
  </w:font>
  <w:font w:name="Garamond">
    <w:panose1 w:val="02020404030301010803"/>
    <w:charset w:val="00"/>
    <w:family w:val="roman"/>
    <w:pitch w:val="variable"/>
    <w:sig w:usb0="00000287" w:usb1="00000000" w:usb2="00000000" w:usb3="00000000" w:csb0="0000009F" w:csb1="00000000"/>
  </w:font>
  <w:font w:name="Candara">
    <w:panose1 w:val="020E0502030303020204"/>
    <w:charset w:val="00"/>
    <w:family w:val="swiss"/>
    <w:pitch w:val="variable"/>
    <w:sig w:usb0="A00002EF" w:usb1="4000A44B" w:usb2="00000000" w:usb3="00000000" w:csb0="0000019F" w:csb1="00000000"/>
  </w:font>
  <w:font w:name="Century">
    <w:panose1 w:val="02040604050505020304"/>
    <w:charset w:val="00"/>
    <w:family w:val="roman"/>
    <w:pitch w:val="variable"/>
    <w:sig w:usb0="00000287" w:usb1="00000000" w:usb2="00000000" w:usb3="00000000" w:csb0="0000009F" w:csb1="00000000"/>
  </w:font>
  <w:font w:name="Book Antiqua">
    <w:panose1 w:val="02040602050305030304"/>
    <w:charset w:val="00"/>
    <w:family w:val="roman"/>
    <w:pitch w:val="variable"/>
    <w:sig w:usb0="00000287" w:usb1="000000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TTE16F2AB0t00">
    <w:altName w:val="Yu Gothic UI"/>
    <w:panose1 w:val="00000000000000000000"/>
    <w:charset w:val="80"/>
    <w:family w:val="auto"/>
    <w:notTrueType/>
    <w:pitch w:val="default"/>
    <w:sig w:usb0="00000001" w:usb1="08070000" w:usb2="00000010" w:usb3="00000000" w:csb0="00020000" w:csb1="00000000"/>
  </w:font>
  <w:font w:name="Cambria Math">
    <w:panose1 w:val="02040503050406030204"/>
    <w:charset w:val="00"/>
    <w:family w:val="roman"/>
    <w:pitch w:val="variable"/>
    <w:sig w:usb0="E00002FF" w:usb1="420024FF" w:usb2="00000000" w:usb3="00000000" w:csb0="0000019F" w:csb1="00000000"/>
  </w:font>
  <w:font w:name="GEJIJJ+TimesNewRoman">
    <w:altName w:val="Times New Roman"/>
    <w:panose1 w:val="00000000000000000000"/>
    <w:charset w:val="00"/>
    <w:family w:val="roman"/>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941185666"/>
      <w:docPartObj>
        <w:docPartGallery w:val="Page Numbers (Bottom of Page)"/>
        <w:docPartUnique/>
      </w:docPartObj>
    </w:sdtPr>
    <w:sdtContent>
      <w:p w14:paraId="2A379D25" w14:textId="1163F5CF" w:rsidR="00803148" w:rsidRDefault="00803148">
        <w:pPr>
          <w:pStyle w:val="Pieddepage"/>
          <w:jc w:val="center"/>
        </w:pPr>
        <w:r>
          <w:fldChar w:fldCharType="begin"/>
        </w:r>
        <w:r>
          <w:instrText>PAGE   \* MERGEFORMAT</w:instrText>
        </w:r>
        <w:r>
          <w:fldChar w:fldCharType="separate"/>
        </w:r>
        <w:r w:rsidR="009E27E4">
          <w:rPr>
            <w:noProof/>
          </w:rPr>
          <w:t>xx</w:t>
        </w:r>
        <w:r>
          <w:fldChar w:fldCharType="end"/>
        </w:r>
      </w:p>
    </w:sdtContent>
  </w:sdt>
  <w:p w14:paraId="0F0F57A9" w14:textId="77777777" w:rsidR="00803148" w:rsidRDefault="00803148">
    <w:pPr>
      <w:pStyle w:val="Pieddepage"/>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883177645"/>
      <w:docPartObj>
        <w:docPartGallery w:val="Page Numbers (Bottom of Page)"/>
        <w:docPartUnique/>
      </w:docPartObj>
    </w:sdtPr>
    <w:sdtContent>
      <w:p w14:paraId="5B2FD362" w14:textId="3A7011A6" w:rsidR="00803148" w:rsidRDefault="00803148">
        <w:pPr>
          <w:pStyle w:val="Pieddepage"/>
          <w:jc w:val="right"/>
        </w:pPr>
        <w:r>
          <w:fldChar w:fldCharType="begin"/>
        </w:r>
        <w:r>
          <w:instrText>PAGE   \* MERGEFORMAT</w:instrText>
        </w:r>
        <w:r>
          <w:fldChar w:fldCharType="separate"/>
        </w:r>
        <w:r w:rsidR="009E27E4">
          <w:rPr>
            <w:noProof/>
          </w:rPr>
          <w:t>1</w:t>
        </w:r>
        <w:r>
          <w:fldChar w:fldCharType="end"/>
        </w:r>
      </w:p>
    </w:sdtContent>
  </w:sdt>
  <w:p w14:paraId="54CD4558" w14:textId="77777777" w:rsidR="00803148" w:rsidRDefault="00803148"/>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100CD57" w14:textId="00C816FD" w:rsidR="00803148" w:rsidRDefault="00803148">
    <w:pPr>
      <w:pStyle w:val="Pieddepage"/>
      <w:jc w:val="right"/>
    </w:pPr>
    <w:r>
      <w:fldChar w:fldCharType="begin"/>
    </w:r>
    <w:r>
      <w:instrText>PAGE   \* MERGEFORMAT</w:instrText>
    </w:r>
    <w:r>
      <w:fldChar w:fldCharType="separate"/>
    </w:r>
    <w:r w:rsidR="009E27E4">
      <w:rPr>
        <w:noProof/>
      </w:rPr>
      <w:t>184</w:t>
    </w:r>
    <w:r>
      <w:fldChar w:fldCharType="end"/>
    </w:r>
  </w:p>
  <w:p w14:paraId="56D262AA" w14:textId="77777777" w:rsidR="00803148" w:rsidRDefault="00803148"/>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38121DE" w14:textId="0EA39775" w:rsidR="00803148" w:rsidRDefault="00803148">
    <w:pPr>
      <w:pStyle w:val="Pieddepage"/>
      <w:jc w:val="right"/>
    </w:pPr>
    <w:r>
      <w:fldChar w:fldCharType="begin"/>
    </w:r>
    <w:r>
      <w:instrText>PAGE   \* MERGEFORMAT</w:instrText>
    </w:r>
    <w:r>
      <w:fldChar w:fldCharType="separate"/>
    </w:r>
    <w:r w:rsidR="009E27E4">
      <w:rPr>
        <w:noProof/>
      </w:rPr>
      <w:t>237</w:t>
    </w:r>
    <w:r>
      <w:fldChar w:fldCharType="end"/>
    </w:r>
  </w:p>
  <w:p w14:paraId="2BFD08FB" w14:textId="77777777" w:rsidR="00803148" w:rsidRDefault="00803148"/>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041AF39" w14:textId="77777777" w:rsidR="008E424D" w:rsidRDefault="008E424D" w:rsidP="00AB04ED">
      <w:pPr>
        <w:spacing w:before="0" w:line="240" w:lineRule="auto"/>
      </w:pPr>
      <w:r>
        <w:separator/>
      </w:r>
    </w:p>
  </w:footnote>
  <w:footnote w:type="continuationSeparator" w:id="0">
    <w:p w14:paraId="23563295" w14:textId="77777777" w:rsidR="008E424D" w:rsidRDefault="008E424D" w:rsidP="00AB04ED">
      <w:pPr>
        <w:spacing w:before="0" w:line="240" w:lineRule="auto"/>
      </w:pPr>
      <w:r>
        <w:continuationSeparator/>
      </w:r>
    </w:p>
  </w:footnote>
  <w:footnote w:id="1">
    <w:p w14:paraId="14289463" w14:textId="77777777" w:rsidR="00803148" w:rsidRDefault="00803148" w:rsidP="00AB04ED">
      <w:pPr>
        <w:pStyle w:val="Notedebasdepage"/>
        <w:rPr>
          <w:rFonts w:cs="Arial"/>
        </w:rPr>
      </w:pPr>
      <w:r>
        <w:rPr>
          <w:rStyle w:val="Appelnotedebasdep"/>
          <w:rFonts w:cs="Arial"/>
        </w:rPr>
        <w:footnoteRef/>
      </w:r>
      <w:r>
        <w:rPr>
          <w:rFonts w:cs="Arial"/>
        </w:rPr>
        <w:t xml:space="preserve"> Elle s’étire d’Est en Ouest entre les frontières bénino-togolaise et bénino-négigériane, puis du sud au nord en partant de la mer jusqu’à la limite supérieure de la dépression de la Lama soit environ 93.375 hectares ;</w:t>
      </w:r>
    </w:p>
  </w:footnote>
  <w:footnote w:id="2">
    <w:p w14:paraId="73D16844" w14:textId="77777777" w:rsidR="00803148" w:rsidRDefault="00803148" w:rsidP="00AB04ED">
      <w:pPr>
        <w:pStyle w:val="Notedebasdepage"/>
        <w:rPr>
          <w:rFonts w:cs="Arial"/>
        </w:rPr>
      </w:pPr>
      <w:r>
        <w:rPr>
          <w:rStyle w:val="Appelnotedebasdep"/>
          <w:rFonts w:cs="Arial"/>
        </w:rPr>
        <w:footnoteRef/>
      </w:r>
      <w:r>
        <w:rPr>
          <w:rFonts w:cs="Arial"/>
        </w:rPr>
        <w:t xml:space="preserve"> Elles sont constituées par le bassin de </w:t>
      </w:r>
      <w:smartTag w:uri="urn:schemas-microsoft-com:office:smarttags" w:element="PersonName">
        <w:smartTagPr>
          <w:attr w:name="ProductID" w:val="la Pendjari"/>
        </w:smartTagPr>
        <w:r>
          <w:rPr>
            <w:rFonts w:cs="Arial"/>
          </w:rPr>
          <w:t>la Pendjari</w:t>
        </w:r>
      </w:smartTag>
      <w:r>
        <w:rPr>
          <w:rFonts w:cs="Arial"/>
        </w:rPr>
        <w:t xml:space="preserve">, le bassin hydrographique du fleuve Niger avec ses affluents : la Mékrou, l’Alibori, </w:t>
      </w:r>
      <w:smartTag w:uri="urn:schemas-microsoft-com:office:smarttags" w:element="PersonName">
        <w:smartTagPr>
          <w:attr w:name="ProductID" w:val="la Sota"/>
        </w:smartTagPr>
        <w:r>
          <w:rPr>
            <w:rFonts w:cs="Arial"/>
          </w:rPr>
          <w:t>la Sota</w:t>
        </w:r>
      </w:smartTag>
      <w:r>
        <w:rPr>
          <w:rFonts w:cs="Arial"/>
        </w:rPr>
        <w:t>, la plaine alluviale du fleuve Niger, certaines mares du Parc National de Pendjari (mare Bali, mare Bori, mare Yengouali)</w:t>
      </w:r>
    </w:p>
  </w:footnote>
  <w:footnote w:id="3">
    <w:p w14:paraId="4399E26D" w14:textId="77777777" w:rsidR="00803148" w:rsidRDefault="00803148" w:rsidP="00AB04ED">
      <w:pPr>
        <w:pStyle w:val="Notedebasdepage"/>
        <w:rPr>
          <w:rFonts w:cs="Arial"/>
        </w:rPr>
      </w:pPr>
      <w:r>
        <w:rPr>
          <w:rStyle w:val="Appelnotedebasdep"/>
          <w:rFonts w:cs="Arial"/>
        </w:rPr>
        <w:footnoteRef/>
      </w:r>
      <w:r>
        <w:rPr>
          <w:rFonts w:cs="Arial"/>
        </w:rPr>
        <w:t xml:space="preserve"> Elles sont constituées par le bassin de </w:t>
      </w:r>
      <w:smartTag w:uri="urn:schemas-microsoft-com:office:smarttags" w:element="PersonName">
        <w:smartTagPr>
          <w:attr w:name="ProductID" w:val="la Pendjari"/>
        </w:smartTagPr>
        <w:r>
          <w:rPr>
            <w:rFonts w:cs="Arial"/>
          </w:rPr>
          <w:t>la Pendjari</w:t>
        </w:r>
      </w:smartTag>
      <w:r>
        <w:rPr>
          <w:rFonts w:cs="Arial"/>
        </w:rPr>
        <w:t xml:space="preserve">, le bassin hydrographique du fleuve Niger avec ses affluents : la Mékrou, l’Alibori, </w:t>
      </w:r>
      <w:smartTag w:uri="urn:schemas-microsoft-com:office:smarttags" w:element="PersonName">
        <w:smartTagPr>
          <w:attr w:name="ProductID" w:val="la Sota"/>
        </w:smartTagPr>
        <w:r>
          <w:rPr>
            <w:rFonts w:cs="Arial"/>
          </w:rPr>
          <w:t>la Sota</w:t>
        </w:r>
      </w:smartTag>
      <w:r>
        <w:rPr>
          <w:rFonts w:cs="Arial"/>
        </w:rPr>
        <w:t>, la plaine alluviale du fleuve Niger, certaines mares du Parc National de Pendjari (mare Bali, mare Bori, mare Yengouali)</w:t>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FBF6A17" w14:textId="77777777" w:rsidR="00803148" w:rsidRPr="00CC76F6" w:rsidRDefault="00803148" w:rsidP="00401546">
    <w:pPr>
      <w:pStyle w:val="En-tte"/>
      <w:jc w:val="both"/>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FB"/>
    <w:multiLevelType w:val="multilevel"/>
    <w:tmpl w:val="8A50BF94"/>
    <w:styleLink w:val="Style1232"/>
    <w:lvl w:ilvl="0">
      <w:start w:val="1"/>
      <w:numFmt w:val="decimal"/>
      <w:lvlText w:val="%1."/>
      <w:lvlJc w:val="left"/>
      <w:pPr>
        <w:tabs>
          <w:tab w:val="num" w:pos="6031"/>
        </w:tabs>
        <w:ind w:left="5955" w:hanging="284"/>
      </w:pPr>
      <w:rPr>
        <w:rFonts w:hint="default"/>
      </w:rPr>
    </w:lvl>
    <w:lvl w:ilvl="1">
      <w:start w:val="1"/>
      <w:numFmt w:val="decimal"/>
      <w:lvlText w:val="%1.%2."/>
      <w:lvlJc w:val="left"/>
      <w:pPr>
        <w:tabs>
          <w:tab w:val="num" w:pos="3119"/>
        </w:tabs>
        <w:ind w:left="3119" w:hanging="850"/>
      </w:pPr>
      <w:rPr>
        <w:rFonts w:hint="default"/>
      </w:rPr>
    </w:lvl>
    <w:lvl w:ilvl="2">
      <w:start w:val="1"/>
      <w:numFmt w:val="decimal"/>
      <w:lvlText w:val="%1.%2.%3."/>
      <w:lvlJc w:val="left"/>
      <w:pPr>
        <w:tabs>
          <w:tab w:val="num" w:pos="-284"/>
        </w:tabs>
        <w:ind w:left="568" w:hanging="284"/>
      </w:pPr>
      <w:rPr>
        <w:rFonts w:hint="default"/>
      </w:rPr>
    </w:lvl>
    <w:lvl w:ilvl="3">
      <w:start w:val="1"/>
      <w:numFmt w:val="decimal"/>
      <w:lvlText w:val="%1.%2.%3.%4."/>
      <w:lvlJc w:val="left"/>
      <w:pPr>
        <w:tabs>
          <w:tab w:val="num" w:pos="1932"/>
        </w:tabs>
        <w:ind w:left="1560" w:hanging="708"/>
      </w:pPr>
      <w:rPr>
        <w:rFonts w:hint="default"/>
        <w:b/>
        <w:color w:val="C00000"/>
      </w:rPr>
    </w:lvl>
    <w:lvl w:ilvl="4">
      <w:start w:val="1"/>
      <w:numFmt w:val="lowerLetter"/>
      <w:lvlText w:val="%5)"/>
      <w:lvlJc w:val="left"/>
      <w:pPr>
        <w:tabs>
          <w:tab w:val="num" w:pos="2268"/>
        </w:tabs>
        <w:ind w:left="2268" w:hanging="708"/>
      </w:pPr>
      <w:rPr>
        <w:rFonts w:hint="default"/>
      </w:rPr>
    </w:lvl>
    <w:lvl w:ilvl="5">
      <w:start w:val="1"/>
      <w:numFmt w:val="decimal"/>
      <w:lvlText w:val="%5.%6)"/>
      <w:lvlJc w:val="left"/>
      <w:pPr>
        <w:tabs>
          <w:tab w:val="num" w:pos="2976"/>
        </w:tabs>
        <w:ind w:left="2976" w:hanging="708"/>
      </w:pPr>
      <w:rPr>
        <w:rFonts w:hint="default"/>
      </w:rPr>
    </w:lvl>
    <w:lvl w:ilvl="6">
      <w:start w:val="1"/>
      <w:numFmt w:val="decimal"/>
      <w:lvlText w:val="%1.%2.%3.%4.%5.%6.%7."/>
      <w:lvlJc w:val="left"/>
      <w:pPr>
        <w:tabs>
          <w:tab w:val="num" w:pos="0"/>
        </w:tabs>
        <w:ind w:left="3684" w:hanging="708"/>
      </w:pPr>
      <w:rPr>
        <w:rFonts w:hint="default"/>
      </w:rPr>
    </w:lvl>
    <w:lvl w:ilvl="7">
      <w:start w:val="1"/>
      <w:numFmt w:val="decimal"/>
      <w:lvlText w:val="%1.%2.%3.%4.%5.%6.%7.%8."/>
      <w:lvlJc w:val="left"/>
      <w:pPr>
        <w:tabs>
          <w:tab w:val="num" w:pos="0"/>
        </w:tabs>
        <w:ind w:left="4392" w:hanging="708"/>
      </w:pPr>
      <w:rPr>
        <w:rFonts w:hint="default"/>
      </w:rPr>
    </w:lvl>
    <w:lvl w:ilvl="8">
      <w:start w:val="1"/>
      <w:numFmt w:val="decimal"/>
      <w:lvlText w:val="Annexe.%9."/>
      <w:lvlJc w:val="left"/>
      <w:pPr>
        <w:tabs>
          <w:tab w:val="num" w:pos="6192"/>
        </w:tabs>
        <w:ind w:left="5100" w:hanging="708"/>
      </w:pPr>
      <w:rPr>
        <w:rFonts w:hint="default"/>
      </w:rPr>
    </w:lvl>
  </w:abstractNum>
  <w:abstractNum w:abstractNumId="1" w15:restartNumberingAfterBreak="0">
    <w:nsid w:val="002A7B47"/>
    <w:multiLevelType w:val="singleLevel"/>
    <w:tmpl w:val="95C08772"/>
    <w:lvl w:ilvl="0">
      <w:start w:val="1"/>
      <w:numFmt w:val="bullet"/>
      <w:pStyle w:val="E1"/>
      <w:lvlText w:val=""/>
      <w:lvlJc w:val="left"/>
      <w:pPr>
        <w:tabs>
          <w:tab w:val="num" w:pos="360"/>
        </w:tabs>
        <w:ind w:left="284" w:hanging="284"/>
      </w:pPr>
      <w:rPr>
        <w:rFonts w:ascii="Symbol" w:hAnsi="Symbol" w:hint="default"/>
      </w:rPr>
    </w:lvl>
  </w:abstractNum>
  <w:abstractNum w:abstractNumId="2" w15:restartNumberingAfterBreak="0">
    <w:nsid w:val="01605D57"/>
    <w:multiLevelType w:val="hybridMultilevel"/>
    <w:tmpl w:val="8048CA7C"/>
    <w:lvl w:ilvl="0" w:tplc="B37AF394">
      <w:start w:val="1"/>
      <w:numFmt w:val="bullet"/>
      <w:pStyle w:val="liste3"/>
      <w:lvlText w:val=""/>
      <w:lvlJc w:val="left"/>
      <w:pPr>
        <w:tabs>
          <w:tab w:val="num" w:pos="644"/>
        </w:tabs>
        <w:ind w:left="644" w:hanging="360"/>
      </w:pPr>
      <w:rPr>
        <w:rFonts w:ascii="Wingdings" w:hAnsi="Wingdings" w:hint="default"/>
        <w:color w:val="auto"/>
      </w:rPr>
    </w:lvl>
    <w:lvl w:ilvl="1" w:tplc="0916FD82">
      <w:start w:val="1"/>
      <w:numFmt w:val="bullet"/>
      <w:lvlText w:val="o"/>
      <w:lvlJc w:val="left"/>
      <w:pPr>
        <w:tabs>
          <w:tab w:val="num" w:pos="1364"/>
        </w:tabs>
        <w:ind w:left="1364" w:hanging="360"/>
      </w:pPr>
      <w:rPr>
        <w:rFonts w:ascii="Courier New" w:hAnsi="Courier New" w:cs="Courier New" w:hint="default"/>
      </w:rPr>
    </w:lvl>
    <w:lvl w:ilvl="2" w:tplc="FB00CF06">
      <w:start w:val="1"/>
      <w:numFmt w:val="bullet"/>
      <w:lvlText w:val=""/>
      <w:lvlJc w:val="left"/>
      <w:pPr>
        <w:tabs>
          <w:tab w:val="num" w:pos="2084"/>
        </w:tabs>
        <w:ind w:left="2084" w:hanging="360"/>
      </w:pPr>
      <w:rPr>
        <w:rFonts w:ascii="Wingdings" w:hAnsi="Wingdings" w:hint="default"/>
      </w:rPr>
    </w:lvl>
    <w:lvl w:ilvl="3" w:tplc="93860110" w:tentative="1">
      <w:start w:val="1"/>
      <w:numFmt w:val="bullet"/>
      <w:lvlText w:val=""/>
      <w:lvlJc w:val="left"/>
      <w:pPr>
        <w:tabs>
          <w:tab w:val="num" w:pos="2804"/>
        </w:tabs>
        <w:ind w:left="2804" w:hanging="360"/>
      </w:pPr>
      <w:rPr>
        <w:rFonts w:ascii="Symbol" w:hAnsi="Symbol" w:hint="default"/>
      </w:rPr>
    </w:lvl>
    <w:lvl w:ilvl="4" w:tplc="333C0990" w:tentative="1">
      <w:start w:val="1"/>
      <w:numFmt w:val="bullet"/>
      <w:lvlText w:val="o"/>
      <w:lvlJc w:val="left"/>
      <w:pPr>
        <w:tabs>
          <w:tab w:val="num" w:pos="3524"/>
        </w:tabs>
        <w:ind w:left="3524" w:hanging="360"/>
      </w:pPr>
      <w:rPr>
        <w:rFonts w:ascii="Courier New" w:hAnsi="Courier New" w:cs="Courier New" w:hint="default"/>
      </w:rPr>
    </w:lvl>
    <w:lvl w:ilvl="5" w:tplc="38B4B23A" w:tentative="1">
      <w:start w:val="1"/>
      <w:numFmt w:val="bullet"/>
      <w:lvlText w:val=""/>
      <w:lvlJc w:val="left"/>
      <w:pPr>
        <w:tabs>
          <w:tab w:val="num" w:pos="4244"/>
        </w:tabs>
        <w:ind w:left="4244" w:hanging="360"/>
      </w:pPr>
      <w:rPr>
        <w:rFonts w:ascii="Wingdings" w:hAnsi="Wingdings" w:hint="default"/>
      </w:rPr>
    </w:lvl>
    <w:lvl w:ilvl="6" w:tplc="E3EC6A4C" w:tentative="1">
      <w:start w:val="1"/>
      <w:numFmt w:val="bullet"/>
      <w:lvlText w:val=""/>
      <w:lvlJc w:val="left"/>
      <w:pPr>
        <w:tabs>
          <w:tab w:val="num" w:pos="4964"/>
        </w:tabs>
        <w:ind w:left="4964" w:hanging="360"/>
      </w:pPr>
      <w:rPr>
        <w:rFonts w:ascii="Symbol" w:hAnsi="Symbol" w:hint="default"/>
      </w:rPr>
    </w:lvl>
    <w:lvl w:ilvl="7" w:tplc="7E561F34" w:tentative="1">
      <w:start w:val="1"/>
      <w:numFmt w:val="bullet"/>
      <w:lvlText w:val="o"/>
      <w:lvlJc w:val="left"/>
      <w:pPr>
        <w:tabs>
          <w:tab w:val="num" w:pos="5684"/>
        </w:tabs>
        <w:ind w:left="5684" w:hanging="360"/>
      </w:pPr>
      <w:rPr>
        <w:rFonts w:ascii="Courier New" w:hAnsi="Courier New" w:cs="Courier New" w:hint="default"/>
      </w:rPr>
    </w:lvl>
    <w:lvl w:ilvl="8" w:tplc="7A907A5A" w:tentative="1">
      <w:start w:val="1"/>
      <w:numFmt w:val="bullet"/>
      <w:lvlText w:val=""/>
      <w:lvlJc w:val="left"/>
      <w:pPr>
        <w:tabs>
          <w:tab w:val="num" w:pos="6404"/>
        </w:tabs>
        <w:ind w:left="6404" w:hanging="360"/>
      </w:pPr>
      <w:rPr>
        <w:rFonts w:ascii="Wingdings" w:hAnsi="Wingdings" w:hint="default"/>
      </w:rPr>
    </w:lvl>
  </w:abstractNum>
  <w:abstractNum w:abstractNumId="3" w15:restartNumberingAfterBreak="0">
    <w:nsid w:val="027D17AA"/>
    <w:multiLevelType w:val="hybridMultilevel"/>
    <w:tmpl w:val="16263498"/>
    <w:lvl w:ilvl="0" w:tplc="040C0005">
      <w:start w:val="1"/>
      <w:numFmt w:val="bullet"/>
      <w:lvlText w:val=""/>
      <w:lvlJc w:val="left"/>
      <w:pPr>
        <w:ind w:left="720" w:hanging="360"/>
      </w:pPr>
      <w:rPr>
        <w:rFonts w:ascii="Wingdings" w:hAnsi="Wingdings"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15:restartNumberingAfterBreak="0">
    <w:nsid w:val="042648B0"/>
    <w:multiLevelType w:val="hybridMultilevel"/>
    <w:tmpl w:val="7EE6AA40"/>
    <w:lvl w:ilvl="0" w:tplc="357AFD7A">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15:restartNumberingAfterBreak="0">
    <w:nsid w:val="04CE1093"/>
    <w:multiLevelType w:val="hybridMultilevel"/>
    <w:tmpl w:val="048E3004"/>
    <w:lvl w:ilvl="0" w:tplc="040C0003">
      <w:numFmt w:val="bullet"/>
      <w:lvlText w:val="-"/>
      <w:lvlJc w:val="left"/>
      <w:pPr>
        <w:ind w:left="720" w:hanging="360"/>
      </w:pPr>
      <w:rPr>
        <w:rFonts w:ascii="Arial" w:eastAsia="Times New Roma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15:restartNumberingAfterBreak="0">
    <w:nsid w:val="0882263B"/>
    <w:multiLevelType w:val="hybridMultilevel"/>
    <w:tmpl w:val="D5687850"/>
    <w:lvl w:ilvl="0" w:tplc="E79C07D0">
      <w:numFmt w:val="bullet"/>
      <w:lvlText w:val="-"/>
      <w:lvlJc w:val="left"/>
      <w:pPr>
        <w:ind w:left="360" w:hanging="360"/>
      </w:pPr>
      <w:rPr>
        <w:rFonts w:ascii="Arial" w:eastAsia="Calibri" w:hAnsi="Arial" w:cs="Aria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08EB4C59"/>
    <w:multiLevelType w:val="hybridMultilevel"/>
    <w:tmpl w:val="454257D2"/>
    <w:lvl w:ilvl="0" w:tplc="95CC2B74">
      <w:start w:val="1"/>
      <w:numFmt w:val="bullet"/>
      <w:lvlText w:val="-"/>
      <w:lvlJc w:val="left"/>
      <w:pPr>
        <w:ind w:left="720" w:hanging="360"/>
      </w:pPr>
      <w:rPr>
        <w:rFonts w:ascii="Arial" w:eastAsiaTheme="minorHAnsi"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15:restartNumberingAfterBreak="0">
    <w:nsid w:val="0C1A7421"/>
    <w:multiLevelType w:val="hybridMultilevel"/>
    <w:tmpl w:val="AF42EF06"/>
    <w:lvl w:ilvl="0" w:tplc="C27489AA">
      <w:start w:val="2"/>
      <w:numFmt w:val="bullet"/>
      <w:lvlText w:val="-"/>
      <w:lvlJc w:val="left"/>
      <w:pPr>
        <w:ind w:left="360" w:hanging="360"/>
      </w:pPr>
      <w:rPr>
        <w:rFonts w:ascii="Times New Roman" w:eastAsiaTheme="minorHAnsi" w:hAnsi="Times New Roman" w:cs="Times New Roman"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9" w15:restartNumberingAfterBreak="0">
    <w:nsid w:val="0D6D49D1"/>
    <w:multiLevelType w:val="hybridMultilevel"/>
    <w:tmpl w:val="183AB19E"/>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15:restartNumberingAfterBreak="0">
    <w:nsid w:val="0D7023D5"/>
    <w:multiLevelType w:val="hybridMultilevel"/>
    <w:tmpl w:val="B3BE19E8"/>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15:restartNumberingAfterBreak="0">
    <w:nsid w:val="0F8D514D"/>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12" w15:restartNumberingAfterBreak="0">
    <w:nsid w:val="0FF71C2E"/>
    <w:multiLevelType w:val="hybridMultilevel"/>
    <w:tmpl w:val="E97CDF5C"/>
    <w:lvl w:ilvl="0" w:tplc="DD4E750C">
      <w:numFmt w:val="bullet"/>
      <w:lvlText w:val="-"/>
      <w:lvlJc w:val="left"/>
      <w:pPr>
        <w:ind w:left="720" w:hanging="360"/>
      </w:pPr>
      <w:rPr>
        <w:rFonts w:ascii="Arial" w:eastAsia="Times New Roma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15:restartNumberingAfterBreak="0">
    <w:nsid w:val="10CC23D2"/>
    <w:multiLevelType w:val="hybridMultilevel"/>
    <w:tmpl w:val="5F06FC42"/>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15:restartNumberingAfterBreak="0">
    <w:nsid w:val="1138339D"/>
    <w:multiLevelType w:val="hybridMultilevel"/>
    <w:tmpl w:val="E41467D2"/>
    <w:lvl w:ilvl="0" w:tplc="D2A8321C">
      <w:numFmt w:val="bullet"/>
      <w:lvlText w:val="-"/>
      <w:lvlJc w:val="left"/>
      <w:pPr>
        <w:ind w:left="720" w:hanging="360"/>
      </w:pPr>
      <w:rPr>
        <w:rFonts w:ascii="Arial" w:eastAsiaTheme="minorHAnsi"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15:restartNumberingAfterBreak="0">
    <w:nsid w:val="11D72907"/>
    <w:multiLevelType w:val="hybridMultilevel"/>
    <w:tmpl w:val="68588D70"/>
    <w:lvl w:ilvl="0" w:tplc="040C0003">
      <w:numFmt w:val="bullet"/>
      <w:lvlText w:val="-"/>
      <w:lvlJc w:val="left"/>
      <w:pPr>
        <w:ind w:left="720" w:hanging="360"/>
      </w:pPr>
      <w:rPr>
        <w:rFonts w:ascii="Arial" w:eastAsia="Times New Roma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15:restartNumberingAfterBreak="0">
    <w:nsid w:val="12AD26AF"/>
    <w:multiLevelType w:val="hybridMultilevel"/>
    <w:tmpl w:val="7D7A50A8"/>
    <w:lvl w:ilvl="0" w:tplc="E79C07D0">
      <w:numFmt w:val="bullet"/>
      <w:lvlText w:val="-"/>
      <w:lvlJc w:val="left"/>
      <w:pPr>
        <w:ind w:left="360" w:hanging="360"/>
      </w:pPr>
      <w:rPr>
        <w:rFonts w:ascii="Arial" w:eastAsia="Calibri" w:hAnsi="Arial" w:cs="Aria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 w15:restartNumberingAfterBreak="0">
    <w:nsid w:val="12F14BB9"/>
    <w:multiLevelType w:val="hybridMultilevel"/>
    <w:tmpl w:val="09F0A0CE"/>
    <w:lvl w:ilvl="0" w:tplc="040C0003">
      <w:numFmt w:val="bullet"/>
      <w:lvlText w:val="-"/>
      <w:lvlJc w:val="left"/>
      <w:pPr>
        <w:ind w:left="720" w:hanging="360"/>
      </w:pPr>
      <w:rPr>
        <w:rFonts w:ascii="Arial" w:eastAsia="Times New Roma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15:restartNumberingAfterBreak="0">
    <w:nsid w:val="13BF479B"/>
    <w:multiLevelType w:val="hybridMultilevel"/>
    <w:tmpl w:val="A2E830BC"/>
    <w:lvl w:ilvl="0" w:tplc="040C0003">
      <w:numFmt w:val="bullet"/>
      <w:lvlText w:val="-"/>
      <w:lvlJc w:val="left"/>
      <w:pPr>
        <w:ind w:left="720" w:hanging="360"/>
      </w:pPr>
      <w:rPr>
        <w:rFonts w:ascii="Arial" w:eastAsia="Times New Roma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 w15:restartNumberingAfterBreak="0">
    <w:nsid w:val="144E3A5A"/>
    <w:multiLevelType w:val="hybridMultilevel"/>
    <w:tmpl w:val="AF3AF320"/>
    <w:lvl w:ilvl="0" w:tplc="040C0003">
      <w:numFmt w:val="bullet"/>
      <w:lvlText w:val="-"/>
      <w:lvlJc w:val="left"/>
      <w:pPr>
        <w:ind w:left="720" w:hanging="360"/>
      </w:pPr>
      <w:rPr>
        <w:rFonts w:ascii="Arial" w:eastAsia="Times New Roma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 w15:restartNumberingAfterBreak="0">
    <w:nsid w:val="14885E88"/>
    <w:multiLevelType w:val="hybridMultilevel"/>
    <w:tmpl w:val="92DED502"/>
    <w:lvl w:ilvl="0" w:tplc="040C0003">
      <w:numFmt w:val="bullet"/>
      <w:lvlText w:val="-"/>
      <w:lvlJc w:val="left"/>
      <w:pPr>
        <w:ind w:left="720" w:hanging="360"/>
      </w:pPr>
      <w:rPr>
        <w:rFonts w:ascii="Arial" w:eastAsia="Times New Roma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 w15:restartNumberingAfterBreak="0">
    <w:nsid w:val="14EE1C6C"/>
    <w:multiLevelType w:val="hybridMultilevel"/>
    <w:tmpl w:val="FFDC31BA"/>
    <w:lvl w:ilvl="0" w:tplc="FFFFFFFF">
      <w:numFmt w:val="bullet"/>
      <w:lvlText w:val="-"/>
      <w:lvlJc w:val="left"/>
      <w:pPr>
        <w:ind w:left="720" w:hanging="360"/>
      </w:pPr>
      <w:rPr>
        <w:rFonts w:ascii="Times New Roman" w:eastAsia="Times New Roman"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 w15:restartNumberingAfterBreak="0">
    <w:nsid w:val="14FF2D6B"/>
    <w:multiLevelType w:val="hybridMultilevel"/>
    <w:tmpl w:val="5F3E4974"/>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3" w15:restartNumberingAfterBreak="0">
    <w:nsid w:val="162C4297"/>
    <w:multiLevelType w:val="hybridMultilevel"/>
    <w:tmpl w:val="A8A2DB00"/>
    <w:lvl w:ilvl="0" w:tplc="E79C07D0">
      <w:numFmt w:val="bullet"/>
      <w:lvlText w:val="-"/>
      <w:lvlJc w:val="left"/>
      <w:pPr>
        <w:ind w:left="360" w:hanging="360"/>
      </w:pPr>
      <w:rPr>
        <w:rFonts w:ascii="Arial" w:eastAsia="Calibri" w:hAnsi="Arial" w:cs="Aria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24" w15:restartNumberingAfterBreak="0">
    <w:nsid w:val="166B4D4D"/>
    <w:multiLevelType w:val="hybridMultilevel"/>
    <w:tmpl w:val="3AFE94D4"/>
    <w:lvl w:ilvl="0" w:tplc="040C000D">
      <w:start w:val="1"/>
      <w:numFmt w:val="bullet"/>
      <w:lvlText w:val=""/>
      <w:lvlJc w:val="left"/>
      <w:pPr>
        <w:ind w:left="360" w:hanging="360"/>
      </w:pPr>
      <w:rPr>
        <w:rFonts w:ascii="Wingdings" w:hAnsi="Wingdings"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25" w15:restartNumberingAfterBreak="0">
    <w:nsid w:val="16ED3F3F"/>
    <w:multiLevelType w:val="hybridMultilevel"/>
    <w:tmpl w:val="271CB036"/>
    <w:lvl w:ilvl="0" w:tplc="E79C07D0">
      <w:numFmt w:val="bullet"/>
      <w:lvlText w:val="-"/>
      <w:lvlJc w:val="left"/>
      <w:pPr>
        <w:ind w:left="360" w:hanging="360"/>
      </w:pPr>
      <w:rPr>
        <w:rFonts w:ascii="Arial" w:eastAsia="Calibri" w:hAnsi="Arial" w:cs="Aria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26" w15:restartNumberingAfterBreak="0">
    <w:nsid w:val="1768260B"/>
    <w:multiLevelType w:val="hybridMultilevel"/>
    <w:tmpl w:val="6C383A50"/>
    <w:lvl w:ilvl="0" w:tplc="040C0003">
      <w:numFmt w:val="bullet"/>
      <w:lvlText w:val="-"/>
      <w:lvlJc w:val="left"/>
      <w:pPr>
        <w:ind w:left="720" w:hanging="360"/>
      </w:pPr>
      <w:rPr>
        <w:rFonts w:ascii="Arial" w:eastAsia="Times New Roma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7" w15:restartNumberingAfterBreak="0">
    <w:nsid w:val="19A50A6D"/>
    <w:multiLevelType w:val="hybridMultilevel"/>
    <w:tmpl w:val="65EC7C10"/>
    <w:lvl w:ilvl="0" w:tplc="95CC2B74">
      <w:start w:val="1"/>
      <w:numFmt w:val="bullet"/>
      <w:lvlText w:val="-"/>
      <w:lvlJc w:val="left"/>
      <w:pPr>
        <w:ind w:left="1068" w:hanging="360"/>
      </w:pPr>
      <w:rPr>
        <w:rFonts w:ascii="Arial" w:eastAsiaTheme="minorHAnsi" w:hAnsi="Arial" w:cs="Arial"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28" w15:restartNumberingAfterBreak="0">
    <w:nsid w:val="1ADC26CC"/>
    <w:multiLevelType w:val="multilevel"/>
    <w:tmpl w:val="20E0AB86"/>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lowerLetter"/>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9" w15:restartNumberingAfterBreak="0">
    <w:nsid w:val="1B3620D3"/>
    <w:multiLevelType w:val="hybridMultilevel"/>
    <w:tmpl w:val="E30E3970"/>
    <w:lvl w:ilvl="0" w:tplc="B6160918">
      <w:numFmt w:val="bullet"/>
      <w:lvlText w:val="-"/>
      <w:lvlJc w:val="left"/>
      <w:pPr>
        <w:ind w:left="720" w:hanging="360"/>
      </w:pPr>
      <w:rPr>
        <w:rFonts w:ascii="Arial Narrow" w:eastAsiaTheme="minorHAnsi" w:hAnsi="Arial Narrow"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0" w15:restartNumberingAfterBreak="0">
    <w:nsid w:val="1B677032"/>
    <w:multiLevelType w:val="hybridMultilevel"/>
    <w:tmpl w:val="DAFA2CCC"/>
    <w:lvl w:ilvl="0" w:tplc="040C0003">
      <w:numFmt w:val="bullet"/>
      <w:lvlText w:val="-"/>
      <w:lvlJc w:val="left"/>
      <w:pPr>
        <w:ind w:left="720" w:hanging="360"/>
      </w:pPr>
      <w:rPr>
        <w:rFonts w:ascii="Arial" w:eastAsia="Times New Roma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1" w15:restartNumberingAfterBreak="0">
    <w:nsid w:val="1C244EEB"/>
    <w:multiLevelType w:val="hybridMultilevel"/>
    <w:tmpl w:val="83861260"/>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2" w15:restartNumberingAfterBreak="0">
    <w:nsid w:val="1C6B7DBF"/>
    <w:multiLevelType w:val="hybridMultilevel"/>
    <w:tmpl w:val="C314492E"/>
    <w:lvl w:ilvl="0" w:tplc="01A0D184">
      <w:numFmt w:val="bullet"/>
      <w:lvlText w:val="-"/>
      <w:lvlJc w:val="left"/>
      <w:pPr>
        <w:ind w:left="720" w:hanging="360"/>
      </w:pPr>
      <w:rPr>
        <w:rFonts w:ascii="Arial" w:eastAsia="Times New Roma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3" w15:restartNumberingAfterBreak="0">
    <w:nsid w:val="1D7B3235"/>
    <w:multiLevelType w:val="hybridMultilevel"/>
    <w:tmpl w:val="AA1A3E3A"/>
    <w:lvl w:ilvl="0" w:tplc="040C000D">
      <w:start w:val="1"/>
      <w:numFmt w:val="bullet"/>
      <w:lvlText w:val=""/>
      <w:lvlJc w:val="left"/>
      <w:pPr>
        <w:ind w:left="720" w:hanging="360"/>
      </w:pPr>
      <w:rPr>
        <w:rFonts w:ascii="Wingdings" w:hAnsi="Wingdings"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4" w15:restartNumberingAfterBreak="0">
    <w:nsid w:val="1EF42725"/>
    <w:multiLevelType w:val="hybridMultilevel"/>
    <w:tmpl w:val="D808378E"/>
    <w:lvl w:ilvl="0" w:tplc="FFFFFFFF">
      <w:numFmt w:val="bullet"/>
      <w:lvlText w:val="-"/>
      <w:lvlJc w:val="left"/>
      <w:pPr>
        <w:ind w:left="720" w:hanging="360"/>
      </w:pPr>
      <w:rPr>
        <w:rFonts w:ascii="Times New Roman" w:eastAsia="Times New Roman"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5" w15:restartNumberingAfterBreak="0">
    <w:nsid w:val="217A6D0F"/>
    <w:multiLevelType w:val="hybridMultilevel"/>
    <w:tmpl w:val="C7E63FAA"/>
    <w:lvl w:ilvl="0" w:tplc="81DE8390">
      <w:numFmt w:val="bullet"/>
      <w:lvlText w:val="-"/>
      <w:lvlJc w:val="left"/>
      <w:pPr>
        <w:ind w:left="1068" w:hanging="360"/>
      </w:pPr>
      <w:rPr>
        <w:rFonts w:ascii="Century Gothic" w:eastAsia="Arial" w:hAnsi="Century Gothic" w:cs="Arial" w:hint="default"/>
      </w:rPr>
    </w:lvl>
    <w:lvl w:ilvl="1" w:tplc="04090003" w:tentative="1">
      <w:start w:val="1"/>
      <w:numFmt w:val="bullet"/>
      <w:lvlText w:val="o"/>
      <w:lvlJc w:val="left"/>
      <w:pPr>
        <w:ind w:left="1788" w:hanging="360"/>
      </w:pPr>
      <w:rPr>
        <w:rFonts w:ascii="Courier New" w:hAnsi="Courier New" w:cs="Courier New" w:hint="default"/>
      </w:rPr>
    </w:lvl>
    <w:lvl w:ilvl="2" w:tplc="04090005" w:tentative="1">
      <w:start w:val="1"/>
      <w:numFmt w:val="bullet"/>
      <w:lvlText w:val=""/>
      <w:lvlJc w:val="left"/>
      <w:pPr>
        <w:ind w:left="2508" w:hanging="360"/>
      </w:pPr>
      <w:rPr>
        <w:rFonts w:ascii="Wingdings" w:hAnsi="Wingdings" w:hint="default"/>
      </w:rPr>
    </w:lvl>
    <w:lvl w:ilvl="3" w:tplc="04090001" w:tentative="1">
      <w:start w:val="1"/>
      <w:numFmt w:val="bullet"/>
      <w:lvlText w:val=""/>
      <w:lvlJc w:val="left"/>
      <w:pPr>
        <w:ind w:left="3228" w:hanging="360"/>
      </w:pPr>
      <w:rPr>
        <w:rFonts w:ascii="Symbol" w:hAnsi="Symbol" w:hint="default"/>
      </w:rPr>
    </w:lvl>
    <w:lvl w:ilvl="4" w:tplc="04090003" w:tentative="1">
      <w:start w:val="1"/>
      <w:numFmt w:val="bullet"/>
      <w:lvlText w:val="o"/>
      <w:lvlJc w:val="left"/>
      <w:pPr>
        <w:ind w:left="3948" w:hanging="360"/>
      </w:pPr>
      <w:rPr>
        <w:rFonts w:ascii="Courier New" w:hAnsi="Courier New" w:cs="Courier New" w:hint="default"/>
      </w:rPr>
    </w:lvl>
    <w:lvl w:ilvl="5" w:tplc="04090005" w:tentative="1">
      <w:start w:val="1"/>
      <w:numFmt w:val="bullet"/>
      <w:lvlText w:val=""/>
      <w:lvlJc w:val="left"/>
      <w:pPr>
        <w:ind w:left="4668" w:hanging="360"/>
      </w:pPr>
      <w:rPr>
        <w:rFonts w:ascii="Wingdings" w:hAnsi="Wingdings" w:hint="default"/>
      </w:rPr>
    </w:lvl>
    <w:lvl w:ilvl="6" w:tplc="04090001" w:tentative="1">
      <w:start w:val="1"/>
      <w:numFmt w:val="bullet"/>
      <w:lvlText w:val=""/>
      <w:lvlJc w:val="left"/>
      <w:pPr>
        <w:ind w:left="5388" w:hanging="360"/>
      </w:pPr>
      <w:rPr>
        <w:rFonts w:ascii="Symbol" w:hAnsi="Symbol" w:hint="default"/>
      </w:rPr>
    </w:lvl>
    <w:lvl w:ilvl="7" w:tplc="04090003" w:tentative="1">
      <w:start w:val="1"/>
      <w:numFmt w:val="bullet"/>
      <w:lvlText w:val="o"/>
      <w:lvlJc w:val="left"/>
      <w:pPr>
        <w:ind w:left="6108" w:hanging="360"/>
      </w:pPr>
      <w:rPr>
        <w:rFonts w:ascii="Courier New" w:hAnsi="Courier New" w:cs="Courier New" w:hint="default"/>
      </w:rPr>
    </w:lvl>
    <w:lvl w:ilvl="8" w:tplc="04090005" w:tentative="1">
      <w:start w:val="1"/>
      <w:numFmt w:val="bullet"/>
      <w:lvlText w:val=""/>
      <w:lvlJc w:val="left"/>
      <w:pPr>
        <w:ind w:left="6828" w:hanging="360"/>
      </w:pPr>
      <w:rPr>
        <w:rFonts w:ascii="Wingdings" w:hAnsi="Wingdings" w:hint="default"/>
      </w:rPr>
    </w:lvl>
  </w:abstractNum>
  <w:abstractNum w:abstractNumId="36" w15:restartNumberingAfterBreak="0">
    <w:nsid w:val="217E184B"/>
    <w:multiLevelType w:val="hybridMultilevel"/>
    <w:tmpl w:val="62AE08BA"/>
    <w:lvl w:ilvl="0" w:tplc="040C0003">
      <w:numFmt w:val="bullet"/>
      <w:lvlText w:val="-"/>
      <w:lvlJc w:val="left"/>
      <w:pPr>
        <w:ind w:left="720" w:hanging="360"/>
      </w:pPr>
      <w:rPr>
        <w:rFonts w:ascii="Arial" w:eastAsia="Times New Roma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7" w15:restartNumberingAfterBreak="0">
    <w:nsid w:val="230D5B72"/>
    <w:multiLevelType w:val="hybridMultilevel"/>
    <w:tmpl w:val="E30A92AC"/>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8" w15:restartNumberingAfterBreak="0">
    <w:nsid w:val="232A299A"/>
    <w:multiLevelType w:val="hybridMultilevel"/>
    <w:tmpl w:val="E0E8D5FE"/>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9" w15:restartNumberingAfterBreak="0">
    <w:nsid w:val="273A2324"/>
    <w:multiLevelType w:val="hybridMultilevel"/>
    <w:tmpl w:val="88F0DA0E"/>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0" w15:restartNumberingAfterBreak="0">
    <w:nsid w:val="274069F4"/>
    <w:multiLevelType w:val="hybridMultilevel"/>
    <w:tmpl w:val="F3FE0A78"/>
    <w:lvl w:ilvl="0" w:tplc="040C0003">
      <w:numFmt w:val="bullet"/>
      <w:lvlText w:val="-"/>
      <w:lvlJc w:val="left"/>
      <w:pPr>
        <w:ind w:left="720" w:hanging="360"/>
      </w:pPr>
      <w:rPr>
        <w:rFonts w:ascii="Arial" w:eastAsia="Times New Roma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1" w15:restartNumberingAfterBreak="0">
    <w:nsid w:val="274D738F"/>
    <w:multiLevelType w:val="hybridMultilevel"/>
    <w:tmpl w:val="E8FC8BCC"/>
    <w:lvl w:ilvl="0" w:tplc="040C000B">
      <w:start w:val="1"/>
      <w:numFmt w:val="bullet"/>
      <w:lvlText w:val=""/>
      <w:lvlJc w:val="left"/>
      <w:pPr>
        <w:ind w:left="720" w:hanging="360"/>
      </w:pPr>
      <w:rPr>
        <w:rFonts w:ascii="Wingdings" w:hAnsi="Wingdings"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42" w15:restartNumberingAfterBreak="0">
    <w:nsid w:val="27EC52D7"/>
    <w:multiLevelType w:val="hybridMultilevel"/>
    <w:tmpl w:val="B0F6605C"/>
    <w:lvl w:ilvl="0" w:tplc="F86838F6">
      <w:start w:val="1"/>
      <w:numFmt w:val="lowerRoman"/>
      <w:lvlText w:val="%1)"/>
      <w:lvlJc w:val="left"/>
      <w:pPr>
        <w:ind w:left="1786" w:hanging="720"/>
      </w:pPr>
      <w:rPr>
        <w:rFonts w:hint="default"/>
      </w:rPr>
    </w:lvl>
    <w:lvl w:ilvl="1" w:tplc="040C0019" w:tentative="1">
      <w:start w:val="1"/>
      <w:numFmt w:val="lowerLetter"/>
      <w:lvlText w:val="%2."/>
      <w:lvlJc w:val="left"/>
      <w:pPr>
        <w:ind w:left="2146" w:hanging="360"/>
      </w:pPr>
    </w:lvl>
    <w:lvl w:ilvl="2" w:tplc="040C001B" w:tentative="1">
      <w:start w:val="1"/>
      <w:numFmt w:val="lowerRoman"/>
      <w:lvlText w:val="%3."/>
      <w:lvlJc w:val="right"/>
      <w:pPr>
        <w:ind w:left="2866" w:hanging="180"/>
      </w:pPr>
    </w:lvl>
    <w:lvl w:ilvl="3" w:tplc="040C000F" w:tentative="1">
      <w:start w:val="1"/>
      <w:numFmt w:val="decimal"/>
      <w:lvlText w:val="%4."/>
      <w:lvlJc w:val="left"/>
      <w:pPr>
        <w:ind w:left="3586" w:hanging="360"/>
      </w:pPr>
    </w:lvl>
    <w:lvl w:ilvl="4" w:tplc="040C0019" w:tentative="1">
      <w:start w:val="1"/>
      <w:numFmt w:val="lowerLetter"/>
      <w:lvlText w:val="%5."/>
      <w:lvlJc w:val="left"/>
      <w:pPr>
        <w:ind w:left="4306" w:hanging="360"/>
      </w:pPr>
    </w:lvl>
    <w:lvl w:ilvl="5" w:tplc="040C001B" w:tentative="1">
      <w:start w:val="1"/>
      <w:numFmt w:val="lowerRoman"/>
      <w:lvlText w:val="%6."/>
      <w:lvlJc w:val="right"/>
      <w:pPr>
        <w:ind w:left="5026" w:hanging="180"/>
      </w:pPr>
    </w:lvl>
    <w:lvl w:ilvl="6" w:tplc="040C000F" w:tentative="1">
      <w:start w:val="1"/>
      <w:numFmt w:val="decimal"/>
      <w:lvlText w:val="%7."/>
      <w:lvlJc w:val="left"/>
      <w:pPr>
        <w:ind w:left="5746" w:hanging="360"/>
      </w:pPr>
    </w:lvl>
    <w:lvl w:ilvl="7" w:tplc="040C0019" w:tentative="1">
      <w:start w:val="1"/>
      <w:numFmt w:val="lowerLetter"/>
      <w:lvlText w:val="%8."/>
      <w:lvlJc w:val="left"/>
      <w:pPr>
        <w:ind w:left="6466" w:hanging="360"/>
      </w:pPr>
    </w:lvl>
    <w:lvl w:ilvl="8" w:tplc="040C001B" w:tentative="1">
      <w:start w:val="1"/>
      <w:numFmt w:val="lowerRoman"/>
      <w:lvlText w:val="%9."/>
      <w:lvlJc w:val="right"/>
      <w:pPr>
        <w:ind w:left="7186" w:hanging="180"/>
      </w:pPr>
    </w:lvl>
  </w:abstractNum>
  <w:abstractNum w:abstractNumId="43" w15:restartNumberingAfterBreak="0">
    <w:nsid w:val="29D20719"/>
    <w:multiLevelType w:val="hybridMultilevel"/>
    <w:tmpl w:val="DEA2A6D8"/>
    <w:lvl w:ilvl="0" w:tplc="040C0003">
      <w:numFmt w:val="bullet"/>
      <w:lvlText w:val="-"/>
      <w:lvlJc w:val="left"/>
      <w:pPr>
        <w:ind w:left="720" w:hanging="360"/>
      </w:pPr>
      <w:rPr>
        <w:rFonts w:ascii="Arial" w:eastAsia="Times New Roma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4" w15:restartNumberingAfterBreak="0">
    <w:nsid w:val="2B163521"/>
    <w:multiLevelType w:val="hybridMultilevel"/>
    <w:tmpl w:val="31BA2220"/>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5" w15:restartNumberingAfterBreak="0">
    <w:nsid w:val="2BB27D32"/>
    <w:multiLevelType w:val="hybridMultilevel"/>
    <w:tmpl w:val="C3647894"/>
    <w:lvl w:ilvl="0" w:tplc="3C02A01C">
      <w:start w:val="4"/>
      <w:numFmt w:val="bullet"/>
      <w:lvlText w:val="-"/>
      <w:lvlJc w:val="left"/>
      <w:pPr>
        <w:ind w:left="720" w:hanging="360"/>
      </w:pPr>
      <w:rPr>
        <w:rFonts w:ascii="Times New Roman" w:eastAsia="Times New Roman"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6" w15:restartNumberingAfterBreak="0">
    <w:nsid w:val="2C003394"/>
    <w:multiLevelType w:val="hybridMultilevel"/>
    <w:tmpl w:val="C916E5F2"/>
    <w:lvl w:ilvl="0" w:tplc="040C0003">
      <w:numFmt w:val="bullet"/>
      <w:lvlText w:val="-"/>
      <w:lvlJc w:val="left"/>
      <w:pPr>
        <w:ind w:left="720" w:hanging="360"/>
      </w:pPr>
      <w:rPr>
        <w:rFonts w:ascii="Arial" w:eastAsia="Times New Roma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7" w15:restartNumberingAfterBreak="0">
    <w:nsid w:val="2D861FEB"/>
    <w:multiLevelType w:val="hybridMultilevel"/>
    <w:tmpl w:val="4734EFCA"/>
    <w:lvl w:ilvl="0" w:tplc="BF34B882">
      <w:start w:val="1"/>
      <w:numFmt w:val="bullet"/>
      <w:lvlText w:val="-"/>
      <w:lvlJc w:val="left"/>
      <w:pPr>
        <w:ind w:left="720" w:hanging="360"/>
      </w:pPr>
      <w:rPr>
        <w:rFonts w:ascii="Tahoma" w:hAnsi="Tahoma"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8" w15:restartNumberingAfterBreak="0">
    <w:nsid w:val="2E2279A4"/>
    <w:multiLevelType w:val="hybridMultilevel"/>
    <w:tmpl w:val="F4AC03E6"/>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9" w15:restartNumberingAfterBreak="0">
    <w:nsid w:val="2E290A7F"/>
    <w:multiLevelType w:val="multilevel"/>
    <w:tmpl w:val="6952D2AC"/>
    <w:lvl w:ilvl="0">
      <w:start w:val="1"/>
      <w:numFmt w:val="decimal"/>
      <w:lvlText w:val="%1."/>
      <w:lvlJc w:val="left"/>
      <w:pPr>
        <w:ind w:left="360" w:hanging="360"/>
      </w:pPr>
      <w:rPr>
        <w:rFonts w:hint="default"/>
      </w:rPr>
    </w:lvl>
    <w:lvl w:ilvl="1">
      <w:start w:val="1"/>
      <w:numFmt w:val="decimal"/>
      <w:pStyle w:val="didi1"/>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50" w15:restartNumberingAfterBreak="0">
    <w:nsid w:val="2F225CD9"/>
    <w:multiLevelType w:val="hybridMultilevel"/>
    <w:tmpl w:val="759C4C24"/>
    <w:lvl w:ilvl="0" w:tplc="040C0003">
      <w:numFmt w:val="bullet"/>
      <w:lvlText w:val="-"/>
      <w:lvlJc w:val="left"/>
      <w:pPr>
        <w:ind w:left="720" w:hanging="360"/>
      </w:pPr>
      <w:rPr>
        <w:rFonts w:ascii="Arial" w:eastAsia="Times New Roma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1" w15:restartNumberingAfterBreak="0">
    <w:nsid w:val="2FA80A79"/>
    <w:multiLevelType w:val="multilevel"/>
    <w:tmpl w:val="67F211B8"/>
    <w:lvl w:ilvl="0">
      <w:start w:val="1"/>
      <w:numFmt w:val="decimal"/>
      <w:pStyle w:val="T1"/>
      <w:lvlText w:val="%1."/>
      <w:lvlJc w:val="left"/>
      <w:pPr>
        <w:ind w:left="502" w:hanging="360"/>
      </w:pPr>
      <w:rPr>
        <w:color w:val="C2002F"/>
        <w:sz w:val="30"/>
      </w:rPr>
    </w:lvl>
    <w:lvl w:ilvl="1">
      <w:start w:val="1"/>
      <w:numFmt w:val="decimal"/>
      <w:lvlText w:val="%1.%2."/>
      <w:lvlJc w:val="left"/>
      <w:pPr>
        <w:ind w:left="792" w:hanging="432"/>
      </w:pPr>
      <w:rPr>
        <w:color w:val="007078"/>
      </w:rPr>
    </w:lvl>
    <w:lvl w:ilvl="2">
      <w:start w:val="1"/>
      <w:numFmt w:val="decimal"/>
      <w:lvlText w:val="%1.%2.%3."/>
      <w:lvlJc w:val="left"/>
      <w:pPr>
        <w:ind w:left="2206" w:hanging="504"/>
      </w:pPr>
      <w:rPr>
        <w:color w:val="auto"/>
      </w:rPr>
    </w:lvl>
    <w:lvl w:ilvl="3">
      <w:start w:val="1"/>
      <w:numFmt w:val="decimal"/>
      <w:lvlText w:val="%1.%2.%3.%4."/>
      <w:lvlJc w:val="left"/>
      <w:pPr>
        <w:ind w:left="1728" w:hanging="648"/>
      </w:pPr>
      <w:rPr>
        <w:b/>
        <w:i/>
        <w:color w:val="auto"/>
      </w:r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2" w15:restartNumberingAfterBreak="0">
    <w:nsid w:val="2FF20A49"/>
    <w:multiLevelType w:val="hybridMultilevel"/>
    <w:tmpl w:val="A5E495C6"/>
    <w:lvl w:ilvl="0" w:tplc="FFFFFFFF">
      <w:numFmt w:val="bullet"/>
      <w:lvlText w:val="-"/>
      <w:lvlJc w:val="left"/>
      <w:pPr>
        <w:ind w:left="720" w:hanging="360"/>
      </w:pPr>
      <w:rPr>
        <w:rFonts w:ascii="Times New Roman" w:eastAsia="Times New Roman"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3" w15:restartNumberingAfterBreak="0">
    <w:nsid w:val="310C5DA3"/>
    <w:multiLevelType w:val="hybridMultilevel"/>
    <w:tmpl w:val="0624D72A"/>
    <w:lvl w:ilvl="0" w:tplc="E79C07D0">
      <w:numFmt w:val="bullet"/>
      <w:lvlText w:val="-"/>
      <w:lvlJc w:val="left"/>
      <w:pPr>
        <w:ind w:left="720" w:hanging="360"/>
      </w:pPr>
      <w:rPr>
        <w:rFonts w:ascii="Arial" w:eastAsia="Calibri"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4" w15:restartNumberingAfterBreak="0">
    <w:nsid w:val="318A3C39"/>
    <w:multiLevelType w:val="hybridMultilevel"/>
    <w:tmpl w:val="495227D2"/>
    <w:lvl w:ilvl="0" w:tplc="BF34B882">
      <w:start w:val="1"/>
      <w:numFmt w:val="bullet"/>
      <w:lvlText w:val="-"/>
      <w:lvlJc w:val="left"/>
      <w:pPr>
        <w:ind w:left="720" w:hanging="360"/>
      </w:pPr>
      <w:rPr>
        <w:rFonts w:ascii="Tahoma" w:hAnsi="Tahoma"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5" w15:restartNumberingAfterBreak="0">
    <w:nsid w:val="31A82C16"/>
    <w:multiLevelType w:val="hybridMultilevel"/>
    <w:tmpl w:val="046E3554"/>
    <w:lvl w:ilvl="0" w:tplc="FFFFFFFF">
      <w:numFmt w:val="bullet"/>
      <w:lvlText w:val="-"/>
      <w:lvlJc w:val="left"/>
      <w:pPr>
        <w:ind w:left="720" w:hanging="360"/>
      </w:pPr>
      <w:rPr>
        <w:rFonts w:ascii="Times New Roman" w:eastAsia="Times New Roman"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6" w15:restartNumberingAfterBreak="0">
    <w:nsid w:val="31AC5DA6"/>
    <w:multiLevelType w:val="hybridMultilevel"/>
    <w:tmpl w:val="CFE8AC7A"/>
    <w:lvl w:ilvl="0" w:tplc="5B289626">
      <w:numFmt w:val="bullet"/>
      <w:lvlText w:val="-"/>
      <w:lvlJc w:val="left"/>
      <w:pPr>
        <w:ind w:left="720" w:hanging="360"/>
      </w:pPr>
      <w:rPr>
        <w:rFonts w:ascii="Georgia" w:eastAsia="Calibri" w:hAnsi="Georgia"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7" w15:restartNumberingAfterBreak="0">
    <w:nsid w:val="32077E3F"/>
    <w:multiLevelType w:val="hybridMultilevel"/>
    <w:tmpl w:val="35F448E4"/>
    <w:lvl w:ilvl="0" w:tplc="040C0003">
      <w:start w:val="1"/>
      <w:numFmt w:val="bullet"/>
      <w:lvlText w:val="o"/>
      <w:lvlJc w:val="left"/>
      <w:pPr>
        <w:ind w:left="360" w:hanging="360"/>
      </w:pPr>
      <w:rPr>
        <w:rFonts w:ascii="Courier New" w:hAnsi="Courier New" w:cs="Courier New"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58" w15:restartNumberingAfterBreak="0">
    <w:nsid w:val="32150681"/>
    <w:multiLevelType w:val="hybridMultilevel"/>
    <w:tmpl w:val="4D02CF30"/>
    <w:lvl w:ilvl="0" w:tplc="040C0003">
      <w:numFmt w:val="bullet"/>
      <w:lvlText w:val="-"/>
      <w:lvlJc w:val="left"/>
      <w:pPr>
        <w:ind w:left="720" w:hanging="360"/>
      </w:pPr>
      <w:rPr>
        <w:rFonts w:ascii="Arial" w:eastAsia="Times New Roma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9" w15:restartNumberingAfterBreak="0">
    <w:nsid w:val="33272583"/>
    <w:multiLevelType w:val="hybridMultilevel"/>
    <w:tmpl w:val="B6DA5D06"/>
    <w:lvl w:ilvl="0" w:tplc="E79C07D0">
      <w:numFmt w:val="bullet"/>
      <w:lvlText w:val="-"/>
      <w:lvlJc w:val="left"/>
      <w:pPr>
        <w:ind w:left="720" w:hanging="360"/>
      </w:pPr>
      <w:rPr>
        <w:rFonts w:ascii="Arial" w:eastAsia="Calibri"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0" w15:restartNumberingAfterBreak="0">
    <w:nsid w:val="3379650D"/>
    <w:multiLevelType w:val="hybridMultilevel"/>
    <w:tmpl w:val="1FC2C7E0"/>
    <w:lvl w:ilvl="0" w:tplc="9896347A">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1" w15:restartNumberingAfterBreak="0">
    <w:nsid w:val="33D11DE8"/>
    <w:multiLevelType w:val="hybridMultilevel"/>
    <w:tmpl w:val="18722A32"/>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2" w15:restartNumberingAfterBreak="0">
    <w:nsid w:val="346F33F3"/>
    <w:multiLevelType w:val="hybridMultilevel"/>
    <w:tmpl w:val="372AA320"/>
    <w:lvl w:ilvl="0" w:tplc="1A4C2430">
      <w:start w:val="1"/>
      <w:numFmt w:val="bullet"/>
      <w:pStyle w:val="puces1"/>
      <w:lvlText w:val=""/>
      <w:lvlJc w:val="left"/>
      <w:pPr>
        <w:ind w:left="360" w:hanging="360"/>
      </w:pPr>
      <w:rPr>
        <w:rFonts w:ascii="Wingdings" w:hAnsi="Wingdings" w:hint="default"/>
      </w:rPr>
    </w:lvl>
    <w:lvl w:ilvl="1" w:tplc="040C0003">
      <w:start w:val="1"/>
      <w:numFmt w:val="bullet"/>
      <w:lvlText w:val="o"/>
      <w:lvlJc w:val="left"/>
      <w:pPr>
        <w:ind w:left="1080" w:hanging="360"/>
      </w:pPr>
      <w:rPr>
        <w:rFonts w:ascii="Courier New" w:hAnsi="Courier New" w:cs="Courier New" w:hint="default"/>
      </w:rPr>
    </w:lvl>
    <w:lvl w:ilvl="2" w:tplc="040C0005">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63" w15:restartNumberingAfterBreak="0">
    <w:nsid w:val="347E0B7A"/>
    <w:multiLevelType w:val="hybridMultilevel"/>
    <w:tmpl w:val="F606D0F6"/>
    <w:lvl w:ilvl="0" w:tplc="040C000F">
      <w:start w:val="1"/>
      <w:numFmt w:val="decimal"/>
      <w:lvlText w:val="%1."/>
      <w:lvlJc w:val="left"/>
      <w:pPr>
        <w:ind w:left="360" w:hanging="360"/>
      </w:p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64" w15:restartNumberingAfterBreak="0">
    <w:nsid w:val="352E7208"/>
    <w:multiLevelType w:val="hybridMultilevel"/>
    <w:tmpl w:val="FEACB94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5" w15:restartNumberingAfterBreak="0">
    <w:nsid w:val="3532759B"/>
    <w:multiLevelType w:val="hybridMultilevel"/>
    <w:tmpl w:val="FCF282FA"/>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6" w15:restartNumberingAfterBreak="0">
    <w:nsid w:val="358913F4"/>
    <w:multiLevelType w:val="hybridMultilevel"/>
    <w:tmpl w:val="7952DF28"/>
    <w:lvl w:ilvl="0" w:tplc="95CC2B74">
      <w:start w:val="1"/>
      <w:numFmt w:val="bullet"/>
      <w:lvlText w:val="-"/>
      <w:lvlJc w:val="left"/>
      <w:pPr>
        <w:ind w:left="720" w:hanging="360"/>
      </w:pPr>
      <w:rPr>
        <w:rFonts w:ascii="Arial" w:eastAsiaTheme="minorHAnsi"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7" w15:restartNumberingAfterBreak="0">
    <w:nsid w:val="35BD5F80"/>
    <w:multiLevelType w:val="hybridMultilevel"/>
    <w:tmpl w:val="000C31AE"/>
    <w:lvl w:ilvl="0" w:tplc="040C0003">
      <w:numFmt w:val="bullet"/>
      <w:lvlText w:val="-"/>
      <w:lvlJc w:val="left"/>
      <w:pPr>
        <w:ind w:left="720" w:hanging="360"/>
      </w:pPr>
      <w:rPr>
        <w:rFonts w:ascii="Arial" w:eastAsia="Times New Roma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8" w15:restartNumberingAfterBreak="0">
    <w:nsid w:val="360A65D0"/>
    <w:multiLevelType w:val="hybridMultilevel"/>
    <w:tmpl w:val="740C829A"/>
    <w:lvl w:ilvl="0" w:tplc="040C000D">
      <w:start w:val="1"/>
      <w:numFmt w:val="bullet"/>
      <w:lvlText w:val=""/>
      <w:lvlJc w:val="left"/>
      <w:pPr>
        <w:ind w:left="1788" w:hanging="360"/>
      </w:pPr>
      <w:rPr>
        <w:rFonts w:ascii="Wingdings" w:hAnsi="Wingdings" w:hint="default"/>
      </w:rPr>
    </w:lvl>
    <w:lvl w:ilvl="1" w:tplc="040C0003" w:tentative="1">
      <w:start w:val="1"/>
      <w:numFmt w:val="bullet"/>
      <w:lvlText w:val="o"/>
      <w:lvlJc w:val="left"/>
      <w:pPr>
        <w:ind w:left="2508" w:hanging="360"/>
      </w:pPr>
      <w:rPr>
        <w:rFonts w:ascii="Courier New" w:hAnsi="Courier New" w:cs="Courier New" w:hint="default"/>
      </w:rPr>
    </w:lvl>
    <w:lvl w:ilvl="2" w:tplc="040C0005" w:tentative="1">
      <w:start w:val="1"/>
      <w:numFmt w:val="bullet"/>
      <w:lvlText w:val=""/>
      <w:lvlJc w:val="left"/>
      <w:pPr>
        <w:ind w:left="3228" w:hanging="360"/>
      </w:pPr>
      <w:rPr>
        <w:rFonts w:ascii="Wingdings" w:hAnsi="Wingdings" w:hint="default"/>
      </w:rPr>
    </w:lvl>
    <w:lvl w:ilvl="3" w:tplc="040C0001" w:tentative="1">
      <w:start w:val="1"/>
      <w:numFmt w:val="bullet"/>
      <w:lvlText w:val=""/>
      <w:lvlJc w:val="left"/>
      <w:pPr>
        <w:ind w:left="3948" w:hanging="360"/>
      </w:pPr>
      <w:rPr>
        <w:rFonts w:ascii="Symbol" w:hAnsi="Symbol" w:hint="default"/>
      </w:rPr>
    </w:lvl>
    <w:lvl w:ilvl="4" w:tplc="040C0003" w:tentative="1">
      <w:start w:val="1"/>
      <w:numFmt w:val="bullet"/>
      <w:lvlText w:val="o"/>
      <w:lvlJc w:val="left"/>
      <w:pPr>
        <w:ind w:left="4668" w:hanging="360"/>
      </w:pPr>
      <w:rPr>
        <w:rFonts w:ascii="Courier New" w:hAnsi="Courier New" w:cs="Courier New" w:hint="default"/>
      </w:rPr>
    </w:lvl>
    <w:lvl w:ilvl="5" w:tplc="040C0005" w:tentative="1">
      <w:start w:val="1"/>
      <w:numFmt w:val="bullet"/>
      <w:lvlText w:val=""/>
      <w:lvlJc w:val="left"/>
      <w:pPr>
        <w:ind w:left="5388" w:hanging="360"/>
      </w:pPr>
      <w:rPr>
        <w:rFonts w:ascii="Wingdings" w:hAnsi="Wingdings" w:hint="default"/>
      </w:rPr>
    </w:lvl>
    <w:lvl w:ilvl="6" w:tplc="040C0001" w:tentative="1">
      <w:start w:val="1"/>
      <w:numFmt w:val="bullet"/>
      <w:lvlText w:val=""/>
      <w:lvlJc w:val="left"/>
      <w:pPr>
        <w:ind w:left="6108" w:hanging="360"/>
      </w:pPr>
      <w:rPr>
        <w:rFonts w:ascii="Symbol" w:hAnsi="Symbol" w:hint="default"/>
      </w:rPr>
    </w:lvl>
    <w:lvl w:ilvl="7" w:tplc="040C0003" w:tentative="1">
      <w:start w:val="1"/>
      <w:numFmt w:val="bullet"/>
      <w:lvlText w:val="o"/>
      <w:lvlJc w:val="left"/>
      <w:pPr>
        <w:ind w:left="6828" w:hanging="360"/>
      </w:pPr>
      <w:rPr>
        <w:rFonts w:ascii="Courier New" w:hAnsi="Courier New" w:cs="Courier New" w:hint="default"/>
      </w:rPr>
    </w:lvl>
    <w:lvl w:ilvl="8" w:tplc="040C0005" w:tentative="1">
      <w:start w:val="1"/>
      <w:numFmt w:val="bullet"/>
      <w:lvlText w:val=""/>
      <w:lvlJc w:val="left"/>
      <w:pPr>
        <w:ind w:left="7548" w:hanging="360"/>
      </w:pPr>
      <w:rPr>
        <w:rFonts w:ascii="Wingdings" w:hAnsi="Wingdings" w:hint="default"/>
      </w:rPr>
    </w:lvl>
  </w:abstractNum>
  <w:abstractNum w:abstractNumId="69" w15:restartNumberingAfterBreak="0">
    <w:nsid w:val="372532D7"/>
    <w:multiLevelType w:val="hybridMultilevel"/>
    <w:tmpl w:val="4E045BFE"/>
    <w:lvl w:ilvl="0" w:tplc="83F23A4E">
      <w:numFmt w:val="bullet"/>
      <w:lvlText w:val="-"/>
      <w:lvlJc w:val="left"/>
      <w:pPr>
        <w:tabs>
          <w:tab w:val="num" w:pos="360"/>
        </w:tabs>
        <w:ind w:left="360" w:hanging="360"/>
      </w:pPr>
      <w:rPr>
        <w:rFonts w:ascii="Times New Roman" w:eastAsia="Times New Roman" w:hAnsi="Times New Roman" w:cs="Times New Roman"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70" w15:restartNumberingAfterBreak="0">
    <w:nsid w:val="373E0194"/>
    <w:multiLevelType w:val="hybridMultilevel"/>
    <w:tmpl w:val="79CE4E32"/>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71" w15:restartNumberingAfterBreak="0">
    <w:nsid w:val="374B671C"/>
    <w:multiLevelType w:val="hybridMultilevel"/>
    <w:tmpl w:val="E0606E2E"/>
    <w:lvl w:ilvl="0" w:tplc="FFFFFFFF">
      <w:numFmt w:val="bullet"/>
      <w:lvlText w:val="-"/>
      <w:lvlJc w:val="left"/>
      <w:pPr>
        <w:ind w:left="720" w:hanging="360"/>
      </w:pPr>
      <w:rPr>
        <w:rFonts w:ascii="Times New Roman" w:eastAsia="Times New Roman"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2" w15:restartNumberingAfterBreak="0">
    <w:nsid w:val="376B4ECF"/>
    <w:multiLevelType w:val="hybridMultilevel"/>
    <w:tmpl w:val="DCB6BBA8"/>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3" w15:restartNumberingAfterBreak="0">
    <w:nsid w:val="391341C2"/>
    <w:multiLevelType w:val="hybridMultilevel"/>
    <w:tmpl w:val="D7DEDBE8"/>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4" w15:restartNumberingAfterBreak="0">
    <w:nsid w:val="3A6858CF"/>
    <w:multiLevelType w:val="hybridMultilevel"/>
    <w:tmpl w:val="8938CC2C"/>
    <w:lvl w:ilvl="0" w:tplc="040C0003">
      <w:numFmt w:val="bullet"/>
      <w:lvlText w:val="-"/>
      <w:lvlJc w:val="left"/>
      <w:pPr>
        <w:ind w:left="720" w:hanging="360"/>
      </w:pPr>
      <w:rPr>
        <w:rFonts w:ascii="Arial" w:eastAsia="Times New Roma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5" w15:restartNumberingAfterBreak="0">
    <w:nsid w:val="3D743EB0"/>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76" w15:restartNumberingAfterBreak="0">
    <w:nsid w:val="3E256022"/>
    <w:multiLevelType w:val="hybridMultilevel"/>
    <w:tmpl w:val="7024AF4A"/>
    <w:lvl w:ilvl="0" w:tplc="040C0003">
      <w:numFmt w:val="bullet"/>
      <w:lvlText w:val="-"/>
      <w:lvlJc w:val="left"/>
      <w:pPr>
        <w:ind w:left="720" w:hanging="360"/>
      </w:pPr>
      <w:rPr>
        <w:rFonts w:ascii="Arial" w:eastAsia="Times New Roma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7" w15:restartNumberingAfterBreak="0">
    <w:nsid w:val="413F4375"/>
    <w:multiLevelType w:val="hybridMultilevel"/>
    <w:tmpl w:val="2978658A"/>
    <w:lvl w:ilvl="0" w:tplc="E79C07D0">
      <w:numFmt w:val="bullet"/>
      <w:lvlText w:val="-"/>
      <w:lvlJc w:val="left"/>
      <w:pPr>
        <w:ind w:left="720" w:hanging="360"/>
      </w:pPr>
      <w:rPr>
        <w:rFonts w:ascii="Arial" w:eastAsia="Calibri" w:hAnsi="Arial" w:cs="Aria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8" w15:restartNumberingAfterBreak="0">
    <w:nsid w:val="415C2A16"/>
    <w:multiLevelType w:val="hybridMultilevel"/>
    <w:tmpl w:val="AB06A9A8"/>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9" w15:restartNumberingAfterBreak="0">
    <w:nsid w:val="450A611E"/>
    <w:multiLevelType w:val="hybridMultilevel"/>
    <w:tmpl w:val="74E6F766"/>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0" w15:restartNumberingAfterBreak="0">
    <w:nsid w:val="4514603F"/>
    <w:multiLevelType w:val="hybridMultilevel"/>
    <w:tmpl w:val="3CAE3A6A"/>
    <w:lvl w:ilvl="0" w:tplc="FFFFFFFF">
      <w:numFmt w:val="bullet"/>
      <w:lvlText w:val="-"/>
      <w:lvlJc w:val="left"/>
      <w:pPr>
        <w:ind w:left="720" w:hanging="360"/>
      </w:pPr>
      <w:rPr>
        <w:rFonts w:ascii="Times New Roman" w:eastAsia="Times New Roman"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1" w15:restartNumberingAfterBreak="0">
    <w:nsid w:val="460E5C04"/>
    <w:multiLevelType w:val="hybridMultilevel"/>
    <w:tmpl w:val="9C0C042C"/>
    <w:lvl w:ilvl="0" w:tplc="BF34B882">
      <w:start w:val="1"/>
      <w:numFmt w:val="bullet"/>
      <w:lvlText w:val="-"/>
      <w:lvlJc w:val="left"/>
      <w:pPr>
        <w:ind w:left="720" w:hanging="360"/>
      </w:pPr>
      <w:rPr>
        <w:rFonts w:ascii="Tahoma" w:hAnsi="Tahoma"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2" w15:restartNumberingAfterBreak="0">
    <w:nsid w:val="47D04A53"/>
    <w:multiLevelType w:val="hybridMultilevel"/>
    <w:tmpl w:val="1BD6519A"/>
    <w:lvl w:ilvl="0" w:tplc="E79C07D0">
      <w:numFmt w:val="bullet"/>
      <w:lvlText w:val="-"/>
      <w:lvlJc w:val="left"/>
      <w:pPr>
        <w:ind w:left="360" w:hanging="360"/>
      </w:pPr>
      <w:rPr>
        <w:rFonts w:ascii="Arial" w:eastAsia="Calibri" w:hAnsi="Arial" w:cs="Aria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83" w15:restartNumberingAfterBreak="0">
    <w:nsid w:val="482C767D"/>
    <w:multiLevelType w:val="hybridMultilevel"/>
    <w:tmpl w:val="90929C5C"/>
    <w:lvl w:ilvl="0" w:tplc="1FC2BCE6">
      <w:start w:val="1"/>
      <w:numFmt w:val="decimal"/>
      <w:lvlText w:val="%1)"/>
      <w:lvlJc w:val="left"/>
      <w:pPr>
        <w:ind w:left="360" w:hanging="360"/>
      </w:pPr>
      <w:rPr>
        <w:rFonts w:hint="default"/>
        <w:b/>
      </w:r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84" w15:restartNumberingAfterBreak="0">
    <w:nsid w:val="48703182"/>
    <w:multiLevelType w:val="hybridMultilevel"/>
    <w:tmpl w:val="EC3C5188"/>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5" w15:restartNumberingAfterBreak="0">
    <w:nsid w:val="48D604CC"/>
    <w:multiLevelType w:val="hybridMultilevel"/>
    <w:tmpl w:val="4A8EA65A"/>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6" w15:restartNumberingAfterBreak="0">
    <w:nsid w:val="495A45CE"/>
    <w:multiLevelType w:val="hybridMultilevel"/>
    <w:tmpl w:val="61128DC2"/>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7" w15:restartNumberingAfterBreak="0">
    <w:nsid w:val="4AC23673"/>
    <w:multiLevelType w:val="hybridMultilevel"/>
    <w:tmpl w:val="496288C8"/>
    <w:lvl w:ilvl="0" w:tplc="040C0005">
      <w:start w:val="1"/>
      <w:numFmt w:val="bullet"/>
      <w:lvlText w:val=""/>
      <w:lvlJc w:val="left"/>
      <w:pPr>
        <w:tabs>
          <w:tab w:val="num" w:pos="659"/>
        </w:tabs>
        <w:ind w:left="1379" w:hanging="360"/>
      </w:pPr>
      <w:rPr>
        <w:rFonts w:ascii="Wingdings" w:hAnsi="Wingdings" w:hint="default"/>
        <w:color w:val="auto"/>
      </w:rPr>
    </w:lvl>
    <w:lvl w:ilvl="1" w:tplc="040C0003">
      <w:start w:val="1"/>
      <w:numFmt w:val="bullet"/>
      <w:lvlText w:val="o"/>
      <w:lvlJc w:val="left"/>
      <w:pPr>
        <w:ind w:left="1182" w:hanging="360"/>
      </w:pPr>
      <w:rPr>
        <w:rFonts w:ascii="Courier New" w:hAnsi="Courier New" w:cs="Courier New" w:hint="default"/>
      </w:rPr>
    </w:lvl>
    <w:lvl w:ilvl="2" w:tplc="040C0005">
      <w:start w:val="1"/>
      <w:numFmt w:val="bullet"/>
      <w:lvlText w:val=""/>
      <w:lvlJc w:val="left"/>
      <w:pPr>
        <w:ind w:left="1902" w:hanging="360"/>
      </w:pPr>
      <w:rPr>
        <w:rFonts w:ascii="Wingdings" w:hAnsi="Wingdings" w:hint="default"/>
      </w:rPr>
    </w:lvl>
    <w:lvl w:ilvl="3" w:tplc="040C0001">
      <w:start w:val="1"/>
      <w:numFmt w:val="bullet"/>
      <w:lvlText w:val=""/>
      <w:lvlJc w:val="left"/>
      <w:pPr>
        <w:ind w:left="2622" w:hanging="360"/>
      </w:pPr>
      <w:rPr>
        <w:rFonts w:ascii="Symbol" w:hAnsi="Symbol" w:hint="default"/>
      </w:rPr>
    </w:lvl>
    <w:lvl w:ilvl="4" w:tplc="040C0003">
      <w:numFmt w:val="bullet"/>
      <w:lvlText w:val="-"/>
      <w:lvlJc w:val="left"/>
      <w:pPr>
        <w:ind w:left="3342" w:hanging="360"/>
      </w:pPr>
      <w:rPr>
        <w:rFonts w:ascii="Arial" w:eastAsia="Times New Roman" w:hAnsi="Arial" w:cs="Arial" w:hint="default"/>
      </w:rPr>
    </w:lvl>
    <w:lvl w:ilvl="5" w:tplc="040C0005" w:tentative="1">
      <w:start w:val="1"/>
      <w:numFmt w:val="bullet"/>
      <w:lvlText w:val=""/>
      <w:lvlJc w:val="left"/>
      <w:pPr>
        <w:ind w:left="4062" w:hanging="360"/>
      </w:pPr>
      <w:rPr>
        <w:rFonts w:ascii="Wingdings" w:hAnsi="Wingdings" w:hint="default"/>
      </w:rPr>
    </w:lvl>
    <w:lvl w:ilvl="6" w:tplc="040C0001" w:tentative="1">
      <w:start w:val="1"/>
      <w:numFmt w:val="bullet"/>
      <w:lvlText w:val=""/>
      <w:lvlJc w:val="left"/>
      <w:pPr>
        <w:ind w:left="4782" w:hanging="360"/>
      </w:pPr>
      <w:rPr>
        <w:rFonts w:ascii="Symbol" w:hAnsi="Symbol" w:hint="default"/>
      </w:rPr>
    </w:lvl>
    <w:lvl w:ilvl="7" w:tplc="040C0003" w:tentative="1">
      <w:start w:val="1"/>
      <w:numFmt w:val="bullet"/>
      <w:lvlText w:val="o"/>
      <w:lvlJc w:val="left"/>
      <w:pPr>
        <w:ind w:left="5502" w:hanging="360"/>
      </w:pPr>
      <w:rPr>
        <w:rFonts w:ascii="Courier New" w:hAnsi="Courier New" w:cs="Courier New" w:hint="default"/>
      </w:rPr>
    </w:lvl>
    <w:lvl w:ilvl="8" w:tplc="040C0005" w:tentative="1">
      <w:start w:val="1"/>
      <w:numFmt w:val="bullet"/>
      <w:lvlText w:val=""/>
      <w:lvlJc w:val="left"/>
      <w:pPr>
        <w:ind w:left="6222" w:hanging="360"/>
      </w:pPr>
      <w:rPr>
        <w:rFonts w:ascii="Wingdings" w:hAnsi="Wingdings" w:hint="default"/>
      </w:rPr>
    </w:lvl>
  </w:abstractNum>
  <w:abstractNum w:abstractNumId="88" w15:restartNumberingAfterBreak="0">
    <w:nsid w:val="4B9F6A82"/>
    <w:multiLevelType w:val="hybridMultilevel"/>
    <w:tmpl w:val="098C7CBA"/>
    <w:lvl w:ilvl="0" w:tplc="A1A231A2">
      <w:start w:val="1"/>
      <w:numFmt w:val="decimal"/>
      <w:lvlText w:val="%1-"/>
      <w:lvlJc w:val="left"/>
      <w:pPr>
        <w:ind w:left="405" w:hanging="360"/>
      </w:pPr>
      <w:rPr>
        <w:rFonts w:hint="default"/>
      </w:rPr>
    </w:lvl>
    <w:lvl w:ilvl="1" w:tplc="040C0019" w:tentative="1">
      <w:start w:val="1"/>
      <w:numFmt w:val="lowerLetter"/>
      <w:lvlText w:val="%2."/>
      <w:lvlJc w:val="left"/>
      <w:pPr>
        <w:ind w:left="1125" w:hanging="360"/>
      </w:pPr>
    </w:lvl>
    <w:lvl w:ilvl="2" w:tplc="040C001B" w:tentative="1">
      <w:start w:val="1"/>
      <w:numFmt w:val="lowerRoman"/>
      <w:lvlText w:val="%3."/>
      <w:lvlJc w:val="right"/>
      <w:pPr>
        <w:ind w:left="1845" w:hanging="180"/>
      </w:pPr>
    </w:lvl>
    <w:lvl w:ilvl="3" w:tplc="040C000F" w:tentative="1">
      <w:start w:val="1"/>
      <w:numFmt w:val="decimal"/>
      <w:lvlText w:val="%4."/>
      <w:lvlJc w:val="left"/>
      <w:pPr>
        <w:ind w:left="2565" w:hanging="360"/>
      </w:pPr>
    </w:lvl>
    <w:lvl w:ilvl="4" w:tplc="040C0019" w:tentative="1">
      <w:start w:val="1"/>
      <w:numFmt w:val="lowerLetter"/>
      <w:lvlText w:val="%5."/>
      <w:lvlJc w:val="left"/>
      <w:pPr>
        <w:ind w:left="3285" w:hanging="360"/>
      </w:pPr>
    </w:lvl>
    <w:lvl w:ilvl="5" w:tplc="040C001B" w:tentative="1">
      <w:start w:val="1"/>
      <w:numFmt w:val="lowerRoman"/>
      <w:lvlText w:val="%6."/>
      <w:lvlJc w:val="right"/>
      <w:pPr>
        <w:ind w:left="4005" w:hanging="180"/>
      </w:pPr>
    </w:lvl>
    <w:lvl w:ilvl="6" w:tplc="040C000F" w:tentative="1">
      <w:start w:val="1"/>
      <w:numFmt w:val="decimal"/>
      <w:lvlText w:val="%7."/>
      <w:lvlJc w:val="left"/>
      <w:pPr>
        <w:ind w:left="4725" w:hanging="360"/>
      </w:pPr>
    </w:lvl>
    <w:lvl w:ilvl="7" w:tplc="040C0019" w:tentative="1">
      <w:start w:val="1"/>
      <w:numFmt w:val="lowerLetter"/>
      <w:lvlText w:val="%8."/>
      <w:lvlJc w:val="left"/>
      <w:pPr>
        <w:ind w:left="5445" w:hanging="360"/>
      </w:pPr>
    </w:lvl>
    <w:lvl w:ilvl="8" w:tplc="040C001B" w:tentative="1">
      <w:start w:val="1"/>
      <w:numFmt w:val="lowerRoman"/>
      <w:lvlText w:val="%9."/>
      <w:lvlJc w:val="right"/>
      <w:pPr>
        <w:ind w:left="6165" w:hanging="180"/>
      </w:pPr>
    </w:lvl>
  </w:abstractNum>
  <w:abstractNum w:abstractNumId="89" w15:restartNumberingAfterBreak="0">
    <w:nsid w:val="4BC869DF"/>
    <w:multiLevelType w:val="hybridMultilevel"/>
    <w:tmpl w:val="A1B8A69C"/>
    <w:lvl w:ilvl="0" w:tplc="1A4C2430">
      <w:start w:val="1"/>
      <w:numFmt w:val="bullet"/>
      <w:lvlText w:val=""/>
      <w:lvlJc w:val="left"/>
      <w:pPr>
        <w:ind w:left="360" w:hanging="360"/>
      </w:pPr>
      <w:rPr>
        <w:rFonts w:ascii="Wingdings" w:hAnsi="Wingdings" w:hint="default"/>
      </w:rPr>
    </w:lvl>
    <w:lvl w:ilvl="1" w:tplc="040C0005">
      <w:start w:val="1"/>
      <w:numFmt w:val="bullet"/>
      <w:lvlText w:val=""/>
      <w:lvlJc w:val="left"/>
      <w:pPr>
        <w:ind w:left="1080" w:hanging="360"/>
      </w:pPr>
      <w:rPr>
        <w:rFonts w:ascii="Wingdings" w:hAnsi="Wingdings" w:hint="default"/>
      </w:rPr>
    </w:lvl>
    <w:lvl w:ilvl="2" w:tplc="040C0005">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90" w15:restartNumberingAfterBreak="0">
    <w:nsid w:val="4BCE6518"/>
    <w:multiLevelType w:val="hybridMultilevel"/>
    <w:tmpl w:val="267A5A78"/>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1" w15:restartNumberingAfterBreak="0">
    <w:nsid w:val="4C341A72"/>
    <w:multiLevelType w:val="hybridMultilevel"/>
    <w:tmpl w:val="64384402"/>
    <w:lvl w:ilvl="0" w:tplc="040C000B">
      <w:start w:val="1"/>
      <w:numFmt w:val="bullet"/>
      <w:lvlText w:val=""/>
      <w:lvlJc w:val="left"/>
      <w:pPr>
        <w:ind w:left="720" w:hanging="360"/>
      </w:pPr>
      <w:rPr>
        <w:rFonts w:ascii="Wingdings" w:hAnsi="Wingdings"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92" w15:restartNumberingAfterBreak="0">
    <w:nsid w:val="4C5D4392"/>
    <w:multiLevelType w:val="hybridMultilevel"/>
    <w:tmpl w:val="03B81692"/>
    <w:lvl w:ilvl="0" w:tplc="040C0003">
      <w:numFmt w:val="bullet"/>
      <w:lvlText w:val="-"/>
      <w:lvlJc w:val="left"/>
      <w:pPr>
        <w:ind w:left="720" w:hanging="360"/>
      </w:pPr>
      <w:rPr>
        <w:rFonts w:ascii="Arial" w:eastAsia="Times New Roma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3" w15:restartNumberingAfterBreak="0">
    <w:nsid w:val="4CE06A79"/>
    <w:multiLevelType w:val="hybridMultilevel"/>
    <w:tmpl w:val="ED580BB6"/>
    <w:lvl w:ilvl="0" w:tplc="040C0003">
      <w:numFmt w:val="bullet"/>
      <w:lvlText w:val="-"/>
      <w:lvlJc w:val="left"/>
      <w:pPr>
        <w:ind w:left="720" w:hanging="360"/>
      </w:pPr>
      <w:rPr>
        <w:rFonts w:ascii="Arial" w:eastAsia="Times New Roma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4" w15:restartNumberingAfterBreak="0">
    <w:nsid w:val="4CE701DB"/>
    <w:multiLevelType w:val="hybridMultilevel"/>
    <w:tmpl w:val="A476B750"/>
    <w:lvl w:ilvl="0" w:tplc="040C0003">
      <w:numFmt w:val="bullet"/>
      <w:lvlText w:val="-"/>
      <w:lvlJc w:val="left"/>
      <w:pPr>
        <w:ind w:left="720" w:hanging="360"/>
      </w:pPr>
      <w:rPr>
        <w:rFonts w:ascii="Arial" w:eastAsia="Times New Roma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5" w15:restartNumberingAfterBreak="0">
    <w:nsid w:val="4E5A2137"/>
    <w:multiLevelType w:val="hybridMultilevel"/>
    <w:tmpl w:val="CC4ACC9A"/>
    <w:lvl w:ilvl="0" w:tplc="BF34B882">
      <w:start w:val="1"/>
      <w:numFmt w:val="bullet"/>
      <w:lvlText w:val="-"/>
      <w:lvlJc w:val="left"/>
      <w:pPr>
        <w:ind w:left="720" w:hanging="360"/>
      </w:pPr>
      <w:rPr>
        <w:rFonts w:ascii="Tahoma" w:hAnsi="Tahoma"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6" w15:restartNumberingAfterBreak="0">
    <w:nsid w:val="4F2E548A"/>
    <w:multiLevelType w:val="hybridMultilevel"/>
    <w:tmpl w:val="0D607F8E"/>
    <w:lvl w:ilvl="0" w:tplc="8F8EA92C">
      <w:numFmt w:val="bullet"/>
      <w:lvlText w:val="-"/>
      <w:lvlJc w:val="left"/>
      <w:pPr>
        <w:ind w:left="720" w:hanging="360"/>
      </w:pPr>
      <w:rPr>
        <w:rFonts w:ascii="Arial" w:eastAsia="Times New Roma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7" w15:restartNumberingAfterBreak="0">
    <w:nsid w:val="4F692B44"/>
    <w:multiLevelType w:val="hybridMultilevel"/>
    <w:tmpl w:val="F8C8A05A"/>
    <w:lvl w:ilvl="0" w:tplc="FFFFFFFF">
      <w:numFmt w:val="bullet"/>
      <w:lvlText w:val="-"/>
      <w:lvlJc w:val="left"/>
      <w:pPr>
        <w:ind w:left="720" w:hanging="360"/>
      </w:pPr>
      <w:rPr>
        <w:rFonts w:ascii="Times New Roman" w:eastAsia="Times New Roman"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8" w15:restartNumberingAfterBreak="0">
    <w:nsid w:val="506F7E24"/>
    <w:multiLevelType w:val="hybridMultilevel"/>
    <w:tmpl w:val="162A9D5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9" w15:restartNumberingAfterBreak="0">
    <w:nsid w:val="52443324"/>
    <w:multiLevelType w:val="hybridMultilevel"/>
    <w:tmpl w:val="470AA706"/>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0" w15:restartNumberingAfterBreak="0">
    <w:nsid w:val="52501A3B"/>
    <w:multiLevelType w:val="hybridMultilevel"/>
    <w:tmpl w:val="098C7CBA"/>
    <w:lvl w:ilvl="0" w:tplc="A1A231A2">
      <w:start w:val="1"/>
      <w:numFmt w:val="decimal"/>
      <w:lvlText w:val="%1-"/>
      <w:lvlJc w:val="left"/>
      <w:pPr>
        <w:ind w:left="405" w:hanging="360"/>
      </w:pPr>
      <w:rPr>
        <w:rFonts w:hint="default"/>
      </w:rPr>
    </w:lvl>
    <w:lvl w:ilvl="1" w:tplc="040C0019" w:tentative="1">
      <w:start w:val="1"/>
      <w:numFmt w:val="lowerLetter"/>
      <w:lvlText w:val="%2."/>
      <w:lvlJc w:val="left"/>
      <w:pPr>
        <w:ind w:left="1125" w:hanging="360"/>
      </w:pPr>
    </w:lvl>
    <w:lvl w:ilvl="2" w:tplc="040C001B" w:tentative="1">
      <w:start w:val="1"/>
      <w:numFmt w:val="lowerRoman"/>
      <w:lvlText w:val="%3."/>
      <w:lvlJc w:val="right"/>
      <w:pPr>
        <w:ind w:left="1845" w:hanging="180"/>
      </w:pPr>
    </w:lvl>
    <w:lvl w:ilvl="3" w:tplc="040C000F" w:tentative="1">
      <w:start w:val="1"/>
      <w:numFmt w:val="decimal"/>
      <w:lvlText w:val="%4."/>
      <w:lvlJc w:val="left"/>
      <w:pPr>
        <w:ind w:left="2565" w:hanging="360"/>
      </w:pPr>
    </w:lvl>
    <w:lvl w:ilvl="4" w:tplc="040C0019" w:tentative="1">
      <w:start w:val="1"/>
      <w:numFmt w:val="lowerLetter"/>
      <w:lvlText w:val="%5."/>
      <w:lvlJc w:val="left"/>
      <w:pPr>
        <w:ind w:left="3285" w:hanging="360"/>
      </w:pPr>
    </w:lvl>
    <w:lvl w:ilvl="5" w:tplc="040C001B" w:tentative="1">
      <w:start w:val="1"/>
      <w:numFmt w:val="lowerRoman"/>
      <w:lvlText w:val="%6."/>
      <w:lvlJc w:val="right"/>
      <w:pPr>
        <w:ind w:left="4005" w:hanging="180"/>
      </w:pPr>
    </w:lvl>
    <w:lvl w:ilvl="6" w:tplc="040C000F" w:tentative="1">
      <w:start w:val="1"/>
      <w:numFmt w:val="decimal"/>
      <w:lvlText w:val="%7."/>
      <w:lvlJc w:val="left"/>
      <w:pPr>
        <w:ind w:left="4725" w:hanging="360"/>
      </w:pPr>
    </w:lvl>
    <w:lvl w:ilvl="7" w:tplc="040C0019" w:tentative="1">
      <w:start w:val="1"/>
      <w:numFmt w:val="lowerLetter"/>
      <w:lvlText w:val="%8."/>
      <w:lvlJc w:val="left"/>
      <w:pPr>
        <w:ind w:left="5445" w:hanging="360"/>
      </w:pPr>
    </w:lvl>
    <w:lvl w:ilvl="8" w:tplc="040C001B" w:tentative="1">
      <w:start w:val="1"/>
      <w:numFmt w:val="lowerRoman"/>
      <w:lvlText w:val="%9."/>
      <w:lvlJc w:val="right"/>
      <w:pPr>
        <w:ind w:left="6165" w:hanging="180"/>
      </w:pPr>
    </w:lvl>
  </w:abstractNum>
  <w:abstractNum w:abstractNumId="101" w15:restartNumberingAfterBreak="0">
    <w:nsid w:val="52844947"/>
    <w:multiLevelType w:val="hybridMultilevel"/>
    <w:tmpl w:val="F1806C9A"/>
    <w:lvl w:ilvl="0" w:tplc="040C0013">
      <w:start w:val="1"/>
      <w:numFmt w:val="upperRoman"/>
      <w:lvlText w:val="%1."/>
      <w:lvlJc w:val="righ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02" w15:restartNumberingAfterBreak="0">
    <w:nsid w:val="52C9428A"/>
    <w:multiLevelType w:val="hybridMultilevel"/>
    <w:tmpl w:val="585A0348"/>
    <w:lvl w:ilvl="0" w:tplc="040C0009">
      <w:start w:val="1"/>
      <w:numFmt w:val="bullet"/>
      <w:lvlText w:val=""/>
      <w:lvlJc w:val="left"/>
      <w:pPr>
        <w:ind w:left="720" w:hanging="360"/>
      </w:pPr>
      <w:rPr>
        <w:rFonts w:ascii="Wingdings" w:hAnsi="Wingdings" w:hint="default"/>
      </w:rPr>
    </w:lvl>
    <w:lvl w:ilvl="1" w:tplc="65B09F1A">
      <w:start w:val="4"/>
      <w:numFmt w:val="bullet"/>
      <w:lvlText w:val="-"/>
      <w:lvlJc w:val="left"/>
      <w:pPr>
        <w:ind w:left="1440" w:hanging="360"/>
      </w:pPr>
      <w:rPr>
        <w:rFonts w:ascii="Arial" w:eastAsia="Calibri" w:hAnsi="Arial" w:cs="Arial"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3" w15:restartNumberingAfterBreak="0">
    <w:nsid w:val="557C34B3"/>
    <w:multiLevelType w:val="hybridMultilevel"/>
    <w:tmpl w:val="C946F666"/>
    <w:lvl w:ilvl="0" w:tplc="E1983C9E">
      <w:numFmt w:val="bullet"/>
      <w:lvlText w:val="-"/>
      <w:lvlJc w:val="left"/>
      <w:pPr>
        <w:ind w:left="1080" w:hanging="360"/>
      </w:pPr>
      <w:rPr>
        <w:rFonts w:ascii="Century Gothic" w:eastAsiaTheme="minorHAnsi" w:hAnsi="Century Gothic" w:cstheme="minorBidi" w:hint="default"/>
      </w:rPr>
    </w:lvl>
    <w:lvl w:ilvl="1" w:tplc="040C0003">
      <w:start w:val="1"/>
      <w:numFmt w:val="decimal"/>
      <w:lvlText w:val="%2."/>
      <w:lvlJc w:val="left"/>
      <w:pPr>
        <w:tabs>
          <w:tab w:val="num" w:pos="1440"/>
        </w:tabs>
        <w:ind w:left="1440" w:hanging="360"/>
      </w:pPr>
    </w:lvl>
    <w:lvl w:ilvl="2" w:tplc="040C0005">
      <w:start w:val="1"/>
      <w:numFmt w:val="decimal"/>
      <w:lvlText w:val="%3."/>
      <w:lvlJc w:val="left"/>
      <w:pPr>
        <w:tabs>
          <w:tab w:val="num" w:pos="2160"/>
        </w:tabs>
        <w:ind w:left="2160" w:hanging="360"/>
      </w:pPr>
    </w:lvl>
    <w:lvl w:ilvl="3" w:tplc="040C0001">
      <w:start w:val="1"/>
      <w:numFmt w:val="decimal"/>
      <w:lvlText w:val="%4."/>
      <w:lvlJc w:val="left"/>
      <w:pPr>
        <w:tabs>
          <w:tab w:val="num" w:pos="2880"/>
        </w:tabs>
        <w:ind w:left="2880" w:hanging="360"/>
      </w:pPr>
    </w:lvl>
    <w:lvl w:ilvl="4" w:tplc="040C0003">
      <w:start w:val="1"/>
      <w:numFmt w:val="decimal"/>
      <w:lvlText w:val="%5."/>
      <w:lvlJc w:val="left"/>
      <w:pPr>
        <w:tabs>
          <w:tab w:val="num" w:pos="3600"/>
        </w:tabs>
        <w:ind w:left="3600" w:hanging="360"/>
      </w:pPr>
    </w:lvl>
    <w:lvl w:ilvl="5" w:tplc="040C0005">
      <w:start w:val="1"/>
      <w:numFmt w:val="decimal"/>
      <w:lvlText w:val="%6."/>
      <w:lvlJc w:val="left"/>
      <w:pPr>
        <w:tabs>
          <w:tab w:val="num" w:pos="4320"/>
        </w:tabs>
        <w:ind w:left="4320" w:hanging="360"/>
      </w:pPr>
    </w:lvl>
    <w:lvl w:ilvl="6" w:tplc="040C0001">
      <w:start w:val="1"/>
      <w:numFmt w:val="decimal"/>
      <w:lvlText w:val="%7."/>
      <w:lvlJc w:val="left"/>
      <w:pPr>
        <w:tabs>
          <w:tab w:val="num" w:pos="5040"/>
        </w:tabs>
        <w:ind w:left="5040" w:hanging="360"/>
      </w:pPr>
    </w:lvl>
    <w:lvl w:ilvl="7" w:tplc="040C0003">
      <w:start w:val="1"/>
      <w:numFmt w:val="decimal"/>
      <w:lvlText w:val="%8."/>
      <w:lvlJc w:val="left"/>
      <w:pPr>
        <w:tabs>
          <w:tab w:val="num" w:pos="5760"/>
        </w:tabs>
        <w:ind w:left="5760" w:hanging="360"/>
      </w:pPr>
    </w:lvl>
    <w:lvl w:ilvl="8" w:tplc="040C0005">
      <w:start w:val="1"/>
      <w:numFmt w:val="decimal"/>
      <w:lvlText w:val="%9."/>
      <w:lvlJc w:val="left"/>
      <w:pPr>
        <w:tabs>
          <w:tab w:val="num" w:pos="6480"/>
        </w:tabs>
        <w:ind w:left="6480" w:hanging="360"/>
      </w:pPr>
    </w:lvl>
  </w:abstractNum>
  <w:abstractNum w:abstractNumId="104" w15:restartNumberingAfterBreak="0">
    <w:nsid w:val="559C14BB"/>
    <w:multiLevelType w:val="hybridMultilevel"/>
    <w:tmpl w:val="0FC8C5EC"/>
    <w:lvl w:ilvl="0" w:tplc="040C0003">
      <w:numFmt w:val="bullet"/>
      <w:lvlText w:val="-"/>
      <w:lvlJc w:val="left"/>
      <w:pPr>
        <w:ind w:left="720" w:hanging="360"/>
      </w:pPr>
      <w:rPr>
        <w:rFonts w:ascii="Arial" w:eastAsia="Times New Roma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5" w15:restartNumberingAfterBreak="0">
    <w:nsid w:val="564426A3"/>
    <w:multiLevelType w:val="hybridMultilevel"/>
    <w:tmpl w:val="E67A668E"/>
    <w:lvl w:ilvl="0" w:tplc="0C0C0001">
      <w:start w:val="1"/>
      <w:numFmt w:val="bullet"/>
      <w:lvlText w:val=""/>
      <w:lvlJc w:val="left"/>
      <w:pPr>
        <w:ind w:left="-360" w:hanging="360"/>
      </w:pPr>
      <w:rPr>
        <w:rFonts w:ascii="Symbol" w:hAnsi="Symbol" w:hint="default"/>
      </w:rPr>
    </w:lvl>
    <w:lvl w:ilvl="1" w:tplc="040C0003">
      <w:start w:val="1"/>
      <w:numFmt w:val="bullet"/>
      <w:lvlText w:val="o"/>
      <w:lvlJc w:val="left"/>
      <w:pPr>
        <w:ind w:left="360" w:hanging="360"/>
      </w:pPr>
      <w:rPr>
        <w:rFonts w:ascii="Courier New" w:hAnsi="Courier New" w:cs="Courier New" w:hint="default"/>
      </w:rPr>
    </w:lvl>
    <w:lvl w:ilvl="2" w:tplc="040C0005">
      <w:start w:val="1"/>
      <w:numFmt w:val="bullet"/>
      <w:lvlText w:val=""/>
      <w:lvlJc w:val="left"/>
      <w:pPr>
        <w:ind w:left="1080" w:hanging="360"/>
      </w:pPr>
      <w:rPr>
        <w:rFonts w:ascii="Wingdings" w:hAnsi="Wingdings" w:hint="default"/>
      </w:rPr>
    </w:lvl>
    <w:lvl w:ilvl="3" w:tplc="E1983C9E">
      <w:numFmt w:val="bullet"/>
      <w:lvlText w:val="-"/>
      <w:lvlJc w:val="left"/>
      <w:pPr>
        <w:ind w:left="1800" w:hanging="360"/>
      </w:pPr>
      <w:rPr>
        <w:rFonts w:ascii="Century Gothic" w:eastAsiaTheme="minorHAnsi" w:hAnsi="Century Gothic" w:cstheme="minorBidi" w:hint="default"/>
      </w:rPr>
    </w:lvl>
    <w:lvl w:ilvl="4" w:tplc="040C0003" w:tentative="1">
      <w:start w:val="1"/>
      <w:numFmt w:val="bullet"/>
      <w:lvlText w:val="o"/>
      <w:lvlJc w:val="left"/>
      <w:pPr>
        <w:ind w:left="2520" w:hanging="360"/>
      </w:pPr>
      <w:rPr>
        <w:rFonts w:ascii="Courier New" w:hAnsi="Courier New" w:cs="Courier New" w:hint="default"/>
      </w:rPr>
    </w:lvl>
    <w:lvl w:ilvl="5" w:tplc="040C0005" w:tentative="1">
      <w:start w:val="1"/>
      <w:numFmt w:val="bullet"/>
      <w:lvlText w:val=""/>
      <w:lvlJc w:val="left"/>
      <w:pPr>
        <w:ind w:left="3240" w:hanging="360"/>
      </w:pPr>
      <w:rPr>
        <w:rFonts w:ascii="Wingdings" w:hAnsi="Wingdings" w:hint="default"/>
      </w:rPr>
    </w:lvl>
    <w:lvl w:ilvl="6" w:tplc="040C0001" w:tentative="1">
      <w:start w:val="1"/>
      <w:numFmt w:val="bullet"/>
      <w:lvlText w:val=""/>
      <w:lvlJc w:val="left"/>
      <w:pPr>
        <w:ind w:left="3960" w:hanging="360"/>
      </w:pPr>
      <w:rPr>
        <w:rFonts w:ascii="Symbol" w:hAnsi="Symbol" w:hint="default"/>
      </w:rPr>
    </w:lvl>
    <w:lvl w:ilvl="7" w:tplc="040C0003" w:tentative="1">
      <w:start w:val="1"/>
      <w:numFmt w:val="bullet"/>
      <w:lvlText w:val="o"/>
      <w:lvlJc w:val="left"/>
      <w:pPr>
        <w:ind w:left="4680" w:hanging="360"/>
      </w:pPr>
      <w:rPr>
        <w:rFonts w:ascii="Courier New" w:hAnsi="Courier New" w:cs="Courier New" w:hint="default"/>
      </w:rPr>
    </w:lvl>
    <w:lvl w:ilvl="8" w:tplc="040C0005" w:tentative="1">
      <w:start w:val="1"/>
      <w:numFmt w:val="bullet"/>
      <w:lvlText w:val=""/>
      <w:lvlJc w:val="left"/>
      <w:pPr>
        <w:ind w:left="5400" w:hanging="360"/>
      </w:pPr>
      <w:rPr>
        <w:rFonts w:ascii="Wingdings" w:hAnsi="Wingdings" w:hint="default"/>
      </w:rPr>
    </w:lvl>
  </w:abstractNum>
  <w:abstractNum w:abstractNumId="106" w15:restartNumberingAfterBreak="0">
    <w:nsid w:val="57D30C17"/>
    <w:multiLevelType w:val="hybridMultilevel"/>
    <w:tmpl w:val="E026B53C"/>
    <w:lvl w:ilvl="0" w:tplc="FFFFFFFF">
      <w:numFmt w:val="bullet"/>
      <w:lvlText w:val="-"/>
      <w:lvlJc w:val="left"/>
      <w:pPr>
        <w:ind w:left="720" w:hanging="360"/>
      </w:pPr>
      <w:rPr>
        <w:rFonts w:ascii="Times New Roman" w:eastAsia="Times New Roman"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7" w15:restartNumberingAfterBreak="0">
    <w:nsid w:val="584046A7"/>
    <w:multiLevelType w:val="hybridMultilevel"/>
    <w:tmpl w:val="8678379E"/>
    <w:lvl w:ilvl="0" w:tplc="357AFD7A">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8" w15:restartNumberingAfterBreak="0">
    <w:nsid w:val="59235B12"/>
    <w:multiLevelType w:val="hybridMultilevel"/>
    <w:tmpl w:val="206C2FA4"/>
    <w:lvl w:ilvl="0" w:tplc="040C0003">
      <w:numFmt w:val="bullet"/>
      <w:lvlText w:val="-"/>
      <w:lvlJc w:val="left"/>
      <w:pPr>
        <w:ind w:left="720" w:hanging="360"/>
      </w:pPr>
      <w:rPr>
        <w:rFonts w:ascii="Arial" w:eastAsia="Times New Roma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9" w15:restartNumberingAfterBreak="0">
    <w:nsid w:val="596D76E0"/>
    <w:multiLevelType w:val="hybridMultilevel"/>
    <w:tmpl w:val="5FB2AD94"/>
    <w:lvl w:ilvl="0" w:tplc="040C0005">
      <w:start w:val="1"/>
      <w:numFmt w:val="bullet"/>
      <w:lvlText w:val=""/>
      <w:lvlJc w:val="left"/>
      <w:pPr>
        <w:ind w:left="1068" w:hanging="360"/>
      </w:pPr>
      <w:rPr>
        <w:rFonts w:ascii="Wingdings" w:hAnsi="Wingdings"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110" w15:restartNumberingAfterBreak="0">
    <w:nsid w:val="5AE24C5F"/>
    <w:multiLevelType w:val="hybridMultilevel"/>
    <w:tmpl w:val="532AFA4E"/>
    <w:lvl w:ilvl="0" w:tplc="040C000F">
      <w:start w:val="1"/>
      <w:numFmt w:val="decimal"/>
      <w:lvlText w:val="%1."/>
      <w:lvlJc w:val="left"/>
      <w:pPr>
        <w:ind w:left="720" w:hanging="360"/>
      </w:p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11" w15:restartNumberingAfterBreak="0">
    <w:nsid w:val="5B5478F7"/>
    <w:multiLevelType w:val="hybridMultilevel"/>
    <w:tmpl w:val="DDA8FC5C"/>
    <w:lvl w:ilvl="0" w:tplc="040C0003">
      <w:numFmt w:val="bullet"/>
      <w:lvlText w:val="-"/>
      <w:lvlJc w:val="left"/>
      <w:pPr>
        <w:ind w:left="720" w:hanging="360"/>
      </w:pPr>
      <w:rPr>
        <w:rFonts w:ascii="Arial" w:eastAsia="Times New Roma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2" w15:restartNumberingAfterBreak="0">
    <w:nsid w:val="5C9A479A"/>
    <w:multiLevelType w:val="hybridMultilevel"/>
    <w:tmpl w:val="42E23D28"/>
    <w:lvl w:ilvl="0" w:tplc="B7909966">
      <w:start w:val="1"/>
      <w:numFmt w:val="decimal"/>
      <w:lvlText w:val="%1-"/>
      <w:lvlJc w:val="left"/>
      <w:pPr>
        <w:ind w:left="720" w:hanging="360"/>
      </w:pPr>
    </w:lvl>
    <w:lvl w:ilvl="1" w:tplc="040C0019">
      <w:start w:val="1"/>
      <w:numFmt w:val="lowerLetter"/>
      <w:lvlText w:val="%2."/>
      <w:lvlJc w:val="left"/>
      <w:pPr>
        <w:ind w:left="1440" w:hanging="360"/>
      </w:pPr>
    </w:lvl>
    <w:lvl w:ilvl="2" w:tplc="040C001B">
      <w:start w:val="1"/>
      <w:numFmt w:val="lowerRoman"/>
      <w:lvlText w:val="%3."/>
      <w:lvlJc w:val="right"/>
      <w:pPr>
        <w:ind w:left="2160" w:hanging="180"/>
      </w:pPr>
    </w:lvl>
    <w:lvl w:ilvl="3" w:tplc="040C000F">
      <w:start w:val="1"/>
      <w:numFmt w:val="decimal"/>
      <w:lvlText w:val="%4."/>
      <w:lvlJc w:val="left"/>
      <w:pPr>
        <w:ind w:left="2880" w:hanging="360"/>
      </w:pPr>
    </w:lvl>
    <w:lvl w:ilvl="4" w:tplc="040C0019">
      <w:start w:val="1"/>
      <w:numFmt w:val="lowerLetter"/>
      <w:lvlText w:val="%5."/>
      <w:lvlJc w:val="left"/>
      <w:pPr>
        <w:ind w:left="3600" w:hanging="360"/>
      </w:pPr>
    </w:lvl>
    <w:lvl w:ilvl="5" w:tplc="040C001B">
      <w:start w:val="1"/>
      <w:numFmt w:val="lowerRoman"/>
      <w:lvlText w:val="%6."/>
      <w:lvlJc w:val="right"/>
      <w:pPr>
        <w:ind w:left="4320" w:hanging="180"/>
      </w:pPr>
    </w:lvl>
    <w:lvl w:ilvl="6" w:tplc="040C000F">
      <w:start w:val="1"/>
      <w:numFmt w:val="decimal"/>
      <w:lvlText w:val="%7."/>
      <w:lvlJc w:val="left"/>
      <w:pPr>
        <w:ind w:left="5040" w:hanging="360"/>
      </w:pPr>
    </w:lvl>
    <w:lvl w:ilvl="7" w:tplc="040C0019">
      <w:start w:val="1"/>
      <w:numFmt w:val="lowerLetter"/>
      <w:lvlText w:val="%8."/>
      <w:lvlJc w:val="left"/>
      <w:pPr>
        <w:ind w:left="5760" w:hanging="360"/>
      </w:pPr>
    </w:lvl>
    <w:lvl w:ilvl="8" w:tplc="040C001B">
      <w:start w:val="1"/>
      <w:numFmt w:val="lowerRoman"/>
      <w:lvlText w:val="%9."/>
      <w:lvlJc w:val="right"/>
      <w:pPr>
        <w:ind w:left="6480" w:hanging="180"/>
      </w:pPr>
    </w:lvl>
  </w:abstractNum>
  <w:abstractNum w:abstractNumId="113" w15:restartNumberingAfterBreak="0">
    <w:nsid w:val="5D1365E9"/>
    <w:multiLevelType w:val="hybridMultilevel"/>
    <w:tmpl w:val="F66AD428"/>
    <w:lvl w:ilvl="0" w:tplc="040C0003">
      <w:numFmt w:val="bullet"/>
      <w:lvlText w:val="-"/>
      <w:lvlJc w:val="left"/>
      <w:pPr>
        <w:ind w:left="720" w:hanging="360"/>
      </w:pPr>
      <w:rPr>
        <w:rFonts w:ascii="Arial" w:eastAsia="Times New Roma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4" w15:restartNumberingAfterBreak="0">
    <w:nsid w:val="5DC80E53"/>
    <w:multiLevelType w:val="hybridMultilevel"/>
    <w:tmpl w:val="89064F1E"/>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5" w15:restartNumberingAfterBreak="0">
    <w:nsid w:val="5E4D7191"/>
    <w:multiLevelType w:val="hybridMultilevel"/>
    <w:tmpl w:val="310ABFDC"/>
    <w:lvl w:ilvl="0" w:tplc="E1983C9E">
      <w:numFmt w:val="bullet"/>
      <w:lvlText w:val="-"/>
      <w:lvlJc w:val="left"/>
      <w:pPr>
        <w:ind w:left="720" w:hanging="360"/>
      </w:pPr>
      <w:rPr>
        <w:rFonts w:ascii="Century Gothic" w:eastAsiaTheme="minorHAnsi" w:hAnsi="Century Gothic"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6" w15:restartNumberingAfterBreak="0">
    <w:nsid w:val="5F1C7683"/>
    <w:multiLevelType w:val="hybridMultilevel"/>
    <w:tmpl w:val="C0BC5D72"/>
    <w:lvl w:ilvl="0" w:tplc="E79C07D0">
      <w:numFmt w:val="bullet"/>
      <w:lvlText w:val="-"/>
      <w:lvlJc w:val="left"/>
      <w:pPr>
        <w:ind w:left="720" w:hanging="360"/>
      </w:pPr>
      <w:rPr>
        <w:rFonts w:ascii="Arial" w:eastAsia="Calibri"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7" w15:restartNumberingAfterBreak="0">
    <w:nsid w:val="5FC84BE0"/>
    <w:multiLevelType w:val="hybridMultilevel"/>
    <w:tmpl w:val="1F30E142"/>
    <w:lvl w:ilvl="0" w:tplc="357AFD7A">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8" w15:restartNumberingAfterBreak="0">
    <w:nsid w:val="600B4621"/>
    <w:multiLevelType w:val="hybridMultilevel"/>
    <w:tmpl w:val="40CC5968"/>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9" w15:restartNumberingAfterBreak="0">
    <w:nsid w:val="608648FC"/>
    <w:multiLevelType w:val="hybridMultilevel"/>
    <w:tmpl w:val="46AA636A"/>
    <w:lvl w:ilvl="0" w:tplc="040C000F">
      <w:start w:val="1"/>
      <w:numFmt w:val="decimal"/>
      <w:lvlText w:val="%1."/>
      <w:lvlJc w:val="left"/>
      <w:pPr>
        <w:ind w:left="360" w:hanging="360"/>
      </w:p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120" w15:restartNumberingAfterBreak="0">
    <w:nsid w:val="60FA10D3"/>
    <w:multiLevelType w:val="hybridMultilevel"/>
    <w:tmpl w:val="5C8264C8"/>
    <w:lvl w:ilvl="0" w:tplc="040C000B">
      <w:start w:val="1"/>
      <w:numFmt w:val="bullet"/>
      <w:lvlText w:val=""/>
      <w:lvlJc w:val="left"/>
      <w:pPr>
        <w:ind w:left="720" w:hanging="360"/>
      </w:pPr>
      <w:rPr>
        <w:rFonts w:ascii="Wingdings" w:hAnsi="Wingdings"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121" w15:restartNumberingAfterBreak="0">
    <w:nsid w:val="62F06050"/>
    <w:multiLevelType w:val="hybridMultilevel"/>
    <w:tmpl w:val="3CD41F0A"/>
    <w:lvl w:ilvl="0" w:tplc="040C0003">
      <w:numFmt w:val="bullet"/>
      <w:lvlText w:val="-"/>
      <w:lvlJc w:val="left"/>
      <w:pPr>
        <w:ind w:left="720" w:hanging="360"/>
      </w:pPr>
      <w:rPr>
        <w:rFonts w:ascii="Arial" w:eastAsia="Times New Roma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2" w15:restartNumberingAfterBreak="0">
    <w:nsid w:val="634358A1"/>
    <w:multiLevelType w:val="hybridMultilevel"/>
    <w:tmpl w:val="C40815AE"/>
    <w:lvl w:ilvl="0" w:tplc="FFFFFFFF">
      <w:numFmt w:val="bullet"/>
      <w:lvlText w:val="-"/>
      <w:lvlJc w:val="left"/>
      <w:pPr>
        <w:ind w:left="720" w:hanging="360"/>
      </w:pPr>
      <w:rPr>
        <w:rFonts w:ascii="Times New Roman" w:eastAsia="Times New Roman"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3" w15:restartNumberingAfterBreak="0">
    <w:nsid w:val="63AA42BC"/>
    <w:multiLevelType w:val="hybridMultilevel"/>
    <w:tmpl w:val="0CEC3DAC"/>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4" w15:restartNumberingAfterBreak="0">
    <w:nsid w:val="65FE7D20"/>
    <w:multiLevelType w:val="hybridMultilevel"/>
    <w:tmpl w:val="2EEEA5EC"/>
    <w:lvl w:ilvl="0" w:tplc="E79C07D0">
      <w:numFmt w:val="bullet"/>
      <w:lvlText w:val="-"/>
      <w:lvlJc w:val="left"/>
      <w:pPr>
        <w:ind w:left="720" w:hanging="360"/>
      </w:pPr>
      <w:rPr>
        <w:rFonts w:ascii="Arial" w:eastAsia="Calibri"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5" w15:restartNumberingAfterBreak="0">
    <w:nsid w:val="663B3F55"/>
    <w:multiLevelType w:val="hybridMultilevel"/>
    <w:tmpl w:val="E1CAC05C"/>
    <w:lvl w:ilvl="0" w:tplc="040C0003">
      <w:numFmt w:val="bullet"/>
      <w:lvlText w:val="-"/>
      <w:lvlJc w:val="left"/>
      <w:pPr>
        <w:ind w:left="720" w:hanging="360"/>
      </w:pPr>
      <w:rPr>
        <w:rFonts w:ascii="Arial" w:eastAsia="Times New Roma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6" w15:restartNumberingAfterBreak="0">
    <w:nsid w:val="66400471"/>
    <w:multiLevelType w:val="hybridMultilevel"/>
    <w:tmpl w:val="DFFA3FBA"/>
    <w:lvl w:ilvl="0" w:tplc="040C000D">
      <w:start w:val="1"/>
      <w:numFmt w:val="bullet"/>
      <w:lvlText w:val=""/>
      <w:lvlJc w:val="left"/>
      <w:pPr>
        <w:ind w:left="1068" w:hanging="360"/>
      </w:pPr>
      <w:rPr>
        <w:rFonts w:ascii="Wingdings" w:hAnsi="Wingdings"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127" w15:restartNumberingAfterBreak="0">
    <w:nsid w:val="66B85E3C"/>
    <w:multiLevelType w:val="hybridMultilevel"/>
    <w:tmpl w:val="098C7CBA"/>
    <w:lvl w:ilvl="0" w:tplc="A1A231A2">
      <w:start w:val="1"/>
      <w:numFmt w:val="decimal"/>
      <w:lvlText w:val="%1-"/>
      <w:lvlJc w:val="left"/>
      <w:pPr>
        <w:ind w:left="405" w:hanging="360"/>
      </w:pPr>
      <w:rPr>
        <w:rFonts w:hint="default"/>
      </w:rPr>
    </w:lvl>
    <w:lvl w:ilvl="1" w:tplc="040C0019" w:tentative="1">
      <w:start w:val="1"/>
      <w:numFmt w:val="lowerLetter"/>
      <w:lvlText w:val="%2."/>
      <w:lvlJc w:val="left"/>
      <w:pPr>
        <w:ind w:left="1125" w:hanging="360"/>
      </w:pPr>
    </w:lvl>
    <w:lvl w:ilvl="2" w:tplc="040C001B" w:tentative="1">
      <w:start w:val="1"/>
      <w:numFmt w:val="lowerRoman"/>
      <w:lvlText w:val="%3."/>
      <w:lvlJc w:val="right"/>
      <w:pPr>
        <w:ind w:left="1845" w:hanging="180"/>
      </w:pPr>
    </w:lvl>
    <w:lvl w:ilvl="3" w:tplc="040C000F" w:tentative="1">
      <w:start w:val="1"/>
      <w:numFmt w:val="decimal"/>
      <w:lvlText w:val="%4."/>
      <w:lvlJc w:val="left"/>
      <w:pPr>
        <w:ind w:left="2565" w:hanging="360"/>
      </w:pPr>
    </w:lvl>
    <w:lvl w:ilvl="4" w:tplc="040C0019" w:tentative="1">
      <w:start w:val="1"/>
      <w:numFmt w:val="lowerLetter"/>
      <w:lvlText w:val="%5."/>
      <w:lvlJc w:val="left"/>
      <w:pPr>
        <w:ind w:left="3285" w:hanging="360"/>
      </w:pPr>
    </w:lvl>
    <w:lvl w:ilvl="5" w:tplc="040C001B" w:tentative="1">
      <w:start w:val="1"/>
      <w:numFmt w:val="lowerRoman"/>
      <w:lvlText w:val="%6."/>
      <w:lvlJc w:val="right"/>
      <w:pPr>
        <w:ind w:left="4005" w:hanging="180"/>
      </w:pPr>
    </w:lvl>
    <w:lvl w:ilvl="6" w:tplc="040C000F" w:tentative="1">
      <w:start w:val="1"/>
      <w:numFmt w:val="decimal"/>
      <w:lvlText w:val="%7."/>
      <w:lvlJc w:val="left"/>
      <w:pPr>
        <w:ind w:left="4725" w:hanging="360"/>
      </w:pPr>
    </w:lvl>
    <w:lvl w:ilvl="7" w:tplc="040C0019" w:tentative="1">
      <w:start w:val="1"/>
      <w:numFmt w:val="lowerLetter"/>
      <w:lvlText w:val="%8."/>
      <w:lvlJc w:val="left"/>
      <w:pPr>
        <w:ind w:left="5445" w:hanging="360"/>
      </w:pPr>
    </w:lvl>
    <w:lvl w:ilvl="8" w:tplc="040C001B" w:tentative="1">
      <w:start w:val="1"/>
      <w:numFmt w:val="lowerRoman"/>
      <w:lvlText w:val="%9."/>
      <w:lvlJc w:val="right"/>
      <w:pPr>
        <w:ind w:left="6165" w:hanging="180"/>
      </w:pPr>
    </w:lvl>
  </w:abstractNum>
  <w:abstractNum w:abstractNumId="128" w15:restartNumberingAfterBreak="0">
    <w:nsid w:val="67E47087"/>
    <w:multiLevelType w:val="hybridMultilevel"/>
    <w:tmpl w:val="85489F96"/>
    <w:lvl w:ilvl="0" w:tplc="EEA82EEE">
      <w:start w:val="1"/>
      <w:numFmt w:val="bullet"/>
      <w:lvlText w:val="-"/>
      <w:lvlJc w:val="left"/>
      <w:pPr>
        <w:ind w:left="720" w:hanging="360"/>
      </w:pPr>
      <w:rPr>
        <w:rFonts w:ascii="Times New Roman" w:eastAsia="Times New Roman" w:hAnsi="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9" w15:restartNumberingAfterBreak="0">
    <w:nsid w:val="68234D92"/>
    <w:multiLevelType w:val="hybridMultilevel"/>
    <w:tmpl w:val="2FAAFB7C"/>
    <w:lvl w:ilvl="0" w:tplc="FFFFFFFF">
      <w:numFmt w:val="bullet"/>
      <w:lvlText w:val="-"/>
      <w:lvlJc w:val="left"/>
      <w:pPr>
        <w:ind w:left="720" w:hanging="360"/>
      </w:pPr>
      <w:rPr>
        <w:rFonts w:ascii="Times New Roman" w:eastAsia="Times New Roman"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0" w15:restartNumberingAfterBreak="0">
    <w:nsid w:val="69F40873"/>
    <w:multiLevelType w:val="hybridMultilevel"/>
    <w:tmpl w:val="C53ABCE0"/>
    <w:lvl w:ilvl="0" w:tplc="040C0003">
      <w:numFmt w:val="bullet"/>
      <w:lvlText w:val="-"/>
      <w:lvlJc w:val="left"/>
      <w:pPr>
        <w:ind w:left="720" w:hanging="360"/>
      </w:pPr>
      <w:rPr>
        <w:rFonts w:ascii="Arial" w:eastAsia="Times New Roma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1" w15:restartNumberingAfterBreak="0">
    <w:nsid w:val="6A005295"/>
    <w:multiLevelType w:val="hybridMultilevel"/>
    <w:tmpl w:val="D2BAA51C"/>
    <w:lvl w:ilvl="0" w:tplc="040C0003">
      <w:numFmt w:val="bullet"/>
      <w:lvlText w:val="-"/>
      <w:lvlJc w:val="left"/>
      <w:pPr>
        <w:ind w:left="720" w:hanging="360"/>
      </w:pPr>
      <w:rPr>
        <w:rFonts w:ascii="Arial" w:eastAsia="Times New Roma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2" w15:restartNumberingAfterBreak="0">
    <w:nsid w:val="6B630664"/>
    <w:multiLevelType w:val="hybridMultilevel"/>
    <w:tmpl w:val="72FE171A"/>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3" w15:restartNumberingAfterBreak="0">
    <w:nsid w:val="6BA200D6"/>
    <w:multiLevelType w:val="hybridMultilevel"/>
    <w:tmpl w:val="703C1C8A"/>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4" w15:restartNumberingAfterBreak="0">
    <w:nsid w:val="6D2C0ECE"/>
    <w:multiLevelType w:val="hybridMultilevel"/>
    <w:tmpl w:val="3BA23C62"/>
    <w:lvl w:ilvl="0" w:tplc="253E386C">
      <w:numFmt w:val="bullet"/>
      <w:pStyle w:val="E2"/>
      <w:lvlText w:val="-"/>
      <w:lvlJc w:val="left"/>
      <w:pPr>
        <w:ind w:left="720" w:hanging="360"/>
      </w:pPr>
      <w:rPr>
        <w:rFonts w:ascii="Times New Roman" w:eastAsiaTheme="minorHAnsi"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5" w15:restartNumberingAfterBreak="0">
    <w:nsid w:val="6D384746"/>
    <w:multiLevelType w:val="hybridMultilevel"/>
    <w:tmpl w:val="2EC6BD10"/>
    <w:lvl w:ilvl="0" w:tplc="BF34B882">
      <w:start w:val="1"/>
      <w:numFmt w:val="bullet"/>
      <w:lvlText w:val="-"/>
      <w:lvlJc w:val="left"/>
      <w:pPr>
        <w:ind w:left="720" w:hanging="360"/>
      </w:pPr>
      <w:rPr>
        <w:rFonts w:ascii="Tahoma" w:hAnsi="Tahoma"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6" w15:restartNumberingAfterBreak="0">
    <w:nsid w:val="6E823BE8"/>
    <w:multiLevelType w:val="hybridMultilevel"/>
    <w:tmpl w:val="0386AD9A"/>
    <w:lvl w:ilvl="0" w:tplc="FFFFFFFF">
      <w:numFmt w:val="bullet"/>
      <w:lvlText w:val="-"/>
      <w:lvlJc w:val="left"/>
      <w:pPr>
        <w:ind w:left="720" w:hanging="360"/>
      </w:pPr>
      <w:rPr>
        <w:rFonts w:ascii="Times New Roman" w:eastAsia="Times New Roman"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7" w15:restartNumberingAfterBreak="0">
    <w:nsid w:val="6F556949"/>
    <w:multiLevelType w:val="hybridMultilevel"/>
    <w:tmpl w:val="A1B400B0"/>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8" w15:restartNumberingAfterBreak="0">
    <w:nsid w:val="70C63C37"/>
    <w:multiLevelType w:val="hybridMultilevel"/>
    <w:tmpl w:val="A1FA7444"/>
    <w:lvl w:ilvl="0" w:tplc="040C000B">
      <w:start w:val="1"/>
      <w:numFmt w:val="bullet"/>
      <w:lvlText w:val=""/>
      <w:lvlJc w:val="left"/>
      <w:pPr>
        <w:ind w:left="720" w:hanging="360"/>
      </w:pPr>
      <w:rPr>
        <w:rFonts w:ascii="Wingdings" w:hAnsi="Wingdings"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139" w15:restartNumberingAfterBreak="0">
    <w:nsid w:val="711B724A"/>
    <w:multiLevelType w:val="hybridMultilevel"/>
    <w:tmpl w:val="F784198C"/>
    <w:lvl w:ilvl="0" w:tplc="3E885BD8">
      <w:start w:val="1"/>
      <w:numFmt w:val="decimal"/>
      <w:pStyle w:val="123"/>
      <w:lvlText w:val="%1."/>
      <w:lvlJc w:val="left"/>
      <w:pPr>
        <w:tabs>
          <w:tab w:val="num" w:pos="567"/>
        </w:tabs>
        <w:ind w:left="567" w:hanging="567"/>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0" w15:restartNumberingAfterBreak="0">
    <w:nsid w:val="716E68FD"/>
    <w:multiLevelType w:val="hybridMultilevel"/>
    <w:tmpl w:val="20A2366E"/>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1" w15:restartNumberingAfterBreak="0">
    <w:nsid w:val="71EA7908"/>
    <w:multiLevelType w:val="hybridMultilevel"/>
    <w:tmpl w:val="E144A1F2"/>
    <w:lvl w:ilvl="0" w:tplc="040C0003">
      <w:start w:val="1"/>
      <w:numFmt w:val="bullet"/>
      <w:lvlText w:val="o"/>
      <w:lvlJc w:val="left"/>
      <w:pPr>
        <w:ind w:left="360" w:hanging="360"/>
      </w:pPr>
      <w:rPr>
        <w:rFonts w:ascii="Courier New" w:hAnsi="Courier New" w:cs="Courier New"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42" w15:restartNumberingAfterBreak="0">
    <w:nsid w:val="73961D1A"/>
    <w:multiLevelType w:val="hybridMultilevel"/>
    <w:tmpl w:val="BCACBC0A"/>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3" w15:restartNumberingAfterBreak="0">
    <w:nsid w:val="74123609"/>
    <w:multiLevelType w:val="hybridMultilevel"/>
    <w:tmpl w:val="84264188"/>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4" w15:restartNumberingAfterBreak="0">
    <w:nsid w:val="750D3B53"/>
    <w:multiLevelType w:val="hybridMultilevel"/>
    <w:tmpl w:val="4DDC7D44"/>
    <w:lvl w:ilvl="0" w:tplc="FFFFFFFF">
      <w:numFmt w:val="bullet"/>
      <w:lvlText w:val="-"/>
      <w:lvlJc w:val="left"/>
      <w:pPr>
        <w:ind w:left="720" w:hanging="360"/>
      </w:pPr>
      <w:rPr>
        <w:rFonts w:ascii="Times New Roman" w:eastAsia="Times New Roman"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5" w15:restartNumberingAfterBreak="0">
    <w:nsid w:val="7548178B"/>
    <w:multiLevelType w:val="hybridMultilevel"/>
    <w:tmpl w:val="B844C054"/>
    <w:lvl w:ilvl="0" w:tplc="FFFFFFFF">
      <w:numFmt w:val="bullet"/>
      <w:lvlText w:val="-"/>
      <w:lvlJc w:val="left"/>
      <w:pPr>
        <w:ind w:left="720" w:hanging="360"/>
      </w:pPr>
      <w:rPr>
        <w:rFonts w:ascii="Times New Roman" w:eastAsia="Times New Roman"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6" w15:restartNumberingAfterBreak="0">
    <w:nsid w:val="781A451F"/>
    <w:multiLevelType w:val="hybridMultilevel"/>
    <w:tmpl w:val="CE1E1066"/>
    <w:lvl w:ilvl="0" w:tplc="FFFFFFFF">
      <w:numFmt w:val="bullet"/>
      <w:lvlText w:val="-"/>
      <w:lvlJc w:val="left"/>
      <w:pPr>
        <w:ind w:left="720" w:hanging="360"/>
      </w:pPr>
      <w:rPr>
        <w:rFonts w:ascii="Times New Roman" w:eastAsia="Times New Roman"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7" w15:restartNumberingAfterBreak="0">
    <w:nsid w:val="78221042"/>
    <w:multiLevelType w:val="hybridMultilevel"/>
    <w:tmpl w:val="E8DCBDD6"/>
    <w:lvl w:ilvl="0" w:tplc="BF34B882">
      <w:start w:val="1"/>
      <w:numFmt w:val="bullet"/>
      <w:lvlText w:val="-"/>
      <w:lvlJc w:val="left"/>
      <w:pPr>
        <w:ind w:left="1068" w:hanging="360"/>
      </w:pPr>
      <w:rPr>
        <w:rFonts w:ascii="Tahoma" w:hAnsi="Tahoma" w:cs="Times New Roman" w:hint="default"/>
      </w:rPr>
    </w:lvl>
    <w:lvl w:ilvl="1" w:tplc="040C0003">
      <w:start w:val="1"/>
      <w:numFmt w:val="bullet"/>
      <w:lvlText w:val="o"/>
      <w:lvlJc w:val="left"/>
      <w:pPr>
        <w:ind w:left="1788" w:hanging="360"/>
      </w:pPr>
      <w:rPr>
        <w:rFonts w:ascii="Courier New" w:hAnsi="Courier New" w:cs="Courier New" w:hint="default"/>
      </w:rPr>
    </w:lvl>
    <w:lvl w:ilvl="2" w:tplc="040C0005">
      <w:start w:val="1"/>
      <w:numFmt w:val="bullet"/>
      <w:lvlText w:val=""/>
      <w:lvlJc w:val="left"/>
      <w:pPr>
        <w:ind w:left="2508" w:hanging="360"/>
      </w:pPr>
      <w:rPr>
        <w:rFonts w:ascii="Wingdings" w:hAnsi="Wingdings" w:hint="default"/>
      </w:rPr>
    </w:lvl>
    <w:lvl w:ilvl="3" w:tplc="040C0001">
      <w:start w:val="1"/>
      <w:numFmt w:val="bullet"/>
      <w:lvlText w:val=""/>
      <w:lvlJc w:val="left"/>
      <w:pPr>
        <w:ind w:left="3228" w:hanging="360"/>
      </w:pPr>
      <w:rPr>
        <w:rFonts w:ascii="Symbol" w:hAnsi="Symbol" w:hint="default"/>
      </w:rPr>
    </w:lvl>
    <w:lvl w:ilvl="4" w:tplc="040C0003">
      <w:start w:val="1"/>
      <w:numFmt w:val="bullet"/>
      <w:lvlText w:val="o"/>
      <w:lvlJc w:val="left"/>
      <w:pPr>
        <w:ind w:left="3948" w:hanging="360"/>
      </w:pPr>
      <w:rPr>
        <w:rFonts w:ascii="Courier New" w:hAnsi="Courier New" w:cs="Courier New" w:hint="default"/>
      </w:rPr>
    </w:lvl>
    <w:lvl w:ilvl="5" w:tplc="040C0005">
      <w:start w:val="1"/>
      <w:numFmt w:val="bullet"/>
      <w:lvlText w:val=""/>
      <w:lvlJc w:val="left"/>
      <w:pPr>
        <w:ind w:left="4668" w:hanging="360"/>
      </w:pPr>
      <w:rPr>
        <w:rFonts w:ascii="Wingdings" w:hAnsi="Wingdings" w:hint="default"/>
      </w:rPr>
    </w:lvl>
    <w:lvl w:ilvl="6" w:tplc="040C0001">
      <w:start w:val="1"/>
      <w:numFmt w:val="bullet"/>
      <w:lvlText w:val=""/>
      <w:lvlJc w:val="left"/>
      <w:pPr>
        <w:ind w:left="5388" w:hanging="360"/>
      </w:pPr>
      <w:rPr>
        <w:rFonts w:ascii="Symbol" w:hAnsi="Symbol" w:hint="default"/>
      </w:rPr>
    </w:lvl>
    <w:lvl w:ilvl="7" w:tplc="040C0003">
      <w:start w:val="1"/>
      <w:numFmt w:val="bullet"/>
      <w:lvlText w:val="o"/>
      <w:lvlJc w:val="left"/>
      <w:pPr>
        <w:ind w:left="6108" w:hanging="360"/>
      </w:pPr>
      <w:rPr>
        <w:rFonts w:ascii="Courier New" w:hAnsi="Courier New" w:cs="Courier New" w:hint="default"/>
      </w:rPr>
    </w:lvl>
    <w:lvl w:ilvl="8" w:tplc="040C0005">
      <w:start w:val="1"/>
      <w:numFmt w:val="bullet"/>
      <w:lvlText w:val=""/>
      <w:lvlJc w:val="left"/>
      <w:pPr>
        <w:ind w:left="6828" w:hanging="360"/>
      </w:pPr>
      <w:rPr>
        <w:rFonts w:ascii="Wingdings" w:hAnsi="Wingdings" w:hint="default"/>
      </w:rPr>
    </w:lvl>
  </w:abstractNum>
  <w:abstractNum w:abstractNumId="148" w15:restartNumberingAfterBreak="0">
    <w:nsid w:val="7A112886"/>
    <w:multiLevelType w:val="hybridMultilevel"/>
    <w:tmpl w:val="B79EA472"/>
    <w:lvl w:ilvl="0" w:tplc="040C0003">
      <w:start w:val="1"/>
      <w:numFmt w:val="bullet"/>
      <w:lvlText w:val="o"/>
      <w:lvlJc w:val="left"/>
      <w:pPr>
        <w:ind w:left="360" w:hanging="360"/>
      </w:pPr>
      <w:rPr>
        <w:rFonts w:ascii="Courier New" w:hAnsi="Courier New" w:cs="Courier New"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49" w15:restartNumberingAfterBreak="0">
    <w:nsid w:val="7A12599C"/>
    <w:multiLevelType w:val="hybridMultilevel"/>
    <w:tmpl w:val="95823C2C"/>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0" w15:restartNumberingAfterBreak="0">
    <w:nsid w:val="7B177A2D"/>
    <w:multiLevelType w:val="hybridMultilevel"/>
    <w:tmpl w:val="C3C85248"/>
    <w:lvl w:ilvl="0" w:tplc="FFFFFFFF">
      <w:numFmt w:val="bullet"/>
      <w:lvlText w:val="-"/>
      <w:lvlJc w:val="left"/>
      <w:pPr>
        <w:ind w:left="720" w:hanging="360"/>
      </w:pPr>
      <w:rPr>
        <w:rFonts w:ascii="Times New Roman" w:eastAsia="Times New Roman"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1" w15:restartNumberingAfterBreak="0">
    <w:nsid w:val="7E9A283A"/>
    <w:multiLevelType w:val="hybridMultilevel"/>
    <w:tmpl w:val="8592A50C"/>
    <w:lvl w:ilvl="0" w:tplc="6D70DAA4">
      <w:start w:val="45"/>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52" w15:restartNumberingAfterBreak="0">
    <w:nsid w:val="7EFD76B3"/>
    <w:multiLevelType w:val="hybridMultilevel"/>
    <w:tmpl w:val="69541EA2"/>
    <w:lvl w:ilvl="0" w:tplc="FDDA2D12">
      <w:start w:val="3"/>
      <w:numFmt w:val="bullet"/>
      <w:lvlText w:val="-"/>
      <w:lvlJc w:val="left"/>
      <w:pPr>
        <w:ind w:left="862" w:hanging="360"/>
      </w:pPr>
      <w:rPr>
        <w:rFonts w:ascii="Arial" w:eastAsiaTheme="minorHAnsi" w:hAnsi="Arial" w:cs="Arial" w:hint="default"/>
      </w:rPr>
    </w:lvl>
    <w:lvl w:ilvl="1" w:tplc="040C0003" w:tentative="1">
      <w:start w:val="1"/>
      <w:numFmt w:val="bullet"/>
      <w:lvlText w:val="o"/>
      <w:lvlJc w:val="left"/>
      <w:pPr>
        <w:ind w:left="1582" w:hanging="360"/>
      </w:pPr>
      <w:rPr>
        <w:rFonts w:ascii="Courier New" w:hAnsi="Courier New" w:cs="Courier New" w:hint="default"/>
      </w:rPr>
    </w:lvl>
    <w:lvl w:ilvl="2" w:tplc="040C0005" w:tentative="1">
      <w:start w:val="1"/>
      <w:numFmt w:val="bullet"/>
      <w:lvlText w:val=""/>
      <w:lvlJc w:val="left"/>
      <w:pPr>
        <w:ind w:left="2302" w:hanging="360"/>
      </w:pPr>
      <w:rPr>
        <w:rFonts w:ascii="Wingdings" w:hAnsi="Wingdings" w:hint="default"/>
      </w:rPr>
    </w:lvl>
    <w:lvl w:ilvl="3" w:tplc="040C0001" w:tentative="1">
      <w:start w:val="1"/>
      <w:numFmt w:val="bullet"/>
      <w:lvlText w:val=""/>
      <w:lvlJc w:val="left"/>
      <w:pPr>
        <w:ind w:left="3022" w:hanging="360"/>
      </w:pPr>
      <w:rPr>
        <w:rFonts w:ascii="Symbol" w:hAnsi="Symbol" w:hint="default"/>
      </w:rPr>
    </w:lvl>
    <w:lvl w:ilvl="4" w:tplc="040C0003" w:tentative="1">
      <w:start w:val="1"/>
      <w:numFmt w:val="bullet"/>
      <w:lvlText w:val="o"/>
      <w:lvlJc w:val="left"/>
      <w:pPr>
        <w:ind w:left="3742" w:hanging="360"/>
      </w:pPr>
      <w:rPr>
        <w:rFonts w:ascii="Courier New" w:hAnsi="Courier New" w:cs="Courier New" w:hint="default"/>
      </w:rPr>
    </w:lvl>
    <w:lvl w:ilvl="5" w:tplc="040C0005" w:tentative="1">
      <w:start w:val="1"/>
      <w:numFmt w:val="bullet"/>
      <w:lvlText w:val=""/>
      <w:lvlJc w:val="left"/>
      <w:pPr>
        <w:ind w:left="4462" w:hanging="360"/>
      </w:pPr>
      <w:rPr>
        <w:rFonts w:ascii="Wingdings" w:hAnsi="Wingdings" w:hint="default"/>
      </w:rPr>
    </w:lvl>
    <w:lvl w:ilvl="6" w:tplc="040C0001" w:tentative="1">
      <w:start w:val="1"/>
      <w:numFmt w:val="bullet"/>
      <w:lvlText w:val=""/>
      <w:lvlJc w:val="left"/>
      <w:pPr>
        <w:ind w:left="5182" w:hanging="360"/>
      </w:pPr>
      <w:rPr>
        <w:rFonts w:ascii="Symbol" w:hAnsi="Symbol" w:hint="default"/>
      </w:rPr>
    </w:lvl>
    <w:lvl w:ilvl="7" w:tplc="040C0003" w:tentative="1">
      <w:start w:val="1"/>
      <w:numFmt w:val="bullet"/>
      <w:lvlText w:val="o"/>
      <w:lvlJc w:val="left"/>
      <w:pPr>
        <w:ind w:left="5902" w:hanging="360"/>
      </w:pPr>
      <w:rPr>
        <w:rFonts w:ascii="Courier New" w:hAnsi="Courier New" w:cs="Courier New" w:hint="default"/>
      </w:rPr>
    </w:lvl>
    <w:lvl w:ilvl="8" w:tplc="040C0005" w:tentative="1">
      <w:start w:val="1"/>
      <w:numFmt w:val="bullet"/>
      <w:lvlText w:val=""/>
      <w:lvlJc w:val="left"/>
      <w:pPr>
        <w:ind w:left="6622" w:hanging="360"/>
      </w:pPr>
      <w:rPr>
        <w:rFonts w:ascii="Wingdings" w:hAnsi="Wingdings" w:hint="default"/>
      </w:rPr>
    </w:lvl>
  </w:abstractNum>
  <w:abstractNum w:abstractNumId="153" w15:restartNumberingAfterBreak="0">
    <w:nsid w:val="7F035767"/>
    <w:multiLevelType w:val="hybridMultilevel"/>
    <w:tmpl w:val="011277FA"/>
    <w:lvl w:ilvl="0" w:tplc="3D5C6826">
      <w:numFmt w:val="bullet"/>
      <w:lvlText w:val="-"/>
      <w:lvlJc w:val="left"/>
      <w:pPr>
        <w:ind w:left="720" w:hanging="360"/>
      </w:pPr>
      <w:rPr>
        <w:rFonts w:ascii="Arial" w:eastAsiaTheme="minorHAnsi"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4" w15:restartNumberingAfterBreak="0">
    <w:nsid w:val="7F6E04F8"/>
    <w:multiLevelType w:val="hybridMultilevel"/>
    <w:tmpl w:val="78FCF850"/>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5" w15:restartNumberingAfterBreak="0">
    <w:nsid w:val="7FBA59BE"/>
    <w:multiLevelType w:val="hybridMultilevel"/>
    <w:tmpl w:val="877AFB9C"/>
    <w:lvl w:ilvl="0" w:tplc="E1565274">
      <w:start w:val="1"/>
      <w:numFmt w:val="decimal"/>
      <w:lvlText w:val="%1-"/>
      <w:lvlJc w:val="left"/>
      <w:pPr>
        <w:ind w:left="1065" w:hanging="705"/>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num w:numId="1">
    <w:abstractNumId w:val="62"/>
  </w:num>
  <w:num w:numId="2">
    <w:abstractNumId w:val="133"/>
  </w:num>
  <w:num w:numId="3">
    <w:abstractNumId w:val="107"/>
  </w:num>
  <w:num w:numId="4">
    <w:abstractNumId w:val="4"/>
  </w:num>
  <w:num w:numId="5">
    <w:abstractNumId w:val="117"/>
  </w:num>
  <w:num w:numId="6">
    <w:abstractNumId w:val="153"/>
  </w:num>
  <w:num w:numId="7">
    <w:abstractNumId w:val="135"/>
  </w:num>
  <w:num w:numId="8">
    <w:abstractNumId w:val="137"/>
  </w:num>
  <w:num w:numId="9">
    <w:abstractNumId w:val="60"/>
  </w:num>
  <w:num w:numId="10">
    <w:abstractNumId w:val="85"/>
  </w:num>
  <w:num w:numId="11">
    <w:abstractNumId w:val="123"/>
  </w:num>
  <w:num w:numId="12">
    <w:abstractNumId w:val="1"/>
  </w:num>
  <w:num w:numId="13">
    <w:abstractNumId w:val="47"/>
  </w:num>
  <w:num w:numId="14">
    <w:abstractNumId w:val="18"/>
  </w:num>
  <w:num w:numId="15">
    <w:abstractNumId w:val="43"/>
  </w:num>
  <w:num w:numId="16">
    <w:abstractNumId w:val="86"/>
  </w:num>
  <w:num w:numId="17">
    <w:abstractNumId w:val="84"/>
  </w:num>
  <w:num w:numId="18">
    <w:abstractNumId w:val="50"/>
  </w:num>
  <w:num w:numId="19">
    <w:abstractNumId w:val="61"/>
  </w:num>
  <w:num w:numId="20">
    <w:abstractNumId w:val="67"/>
  </w:num>
  <w:num w:numId="21">
    <w:abstractNumId w:val="9"/>
  </w:num>
  <w:num w:numId="22">
    <w:abstractNumId w:val="99"/>
  </w:num>
  <w:num w:numId="23">
    <w:abstractNumId w:val="2"/>
  </w:num>
  <w:num w:numId="24">
    <w:abstractNumId w:val="134"/>
  </w:num>
  <w:num w:numId="25">
    <w:abstractNumId w:val="57"/>
  </w:num>
  <w:num w:numId="26">
    <w:abstractNumId w:val="141"/>
  </w:num>
  <w:num w:numId="27">
    <w:abstractNumId w:val="148"/>
  </w:num>
  <w:num w:numId="28">
    <w:abstractNumId w:val="93"/>
  </w:num>
  <w:num w:numId="29">
    <w:abstractNumId w:val="5"/>
  </w:num>
  <w:num w:numId="30">
    <w:abstractNumId w:val="32"/>
  </w:num>
  <w:num w:numId="31">
    <w:abstractNumId w:val="76"/>
  </w:num>
  <w:num w:numId="32">
    <w:abstractNumId w:val="54"/>
  </w:num>
  <w:num w:numId="33">
    <w:abstractNumId w:val="81"/>
  </w:num>
  <w:num w:numId="34">
    <w:abstractNumId w:val="48"/>
  </w:num>
  <w:num w:numId="35">
    <w:abstractNumId w:val="95"/>
  </w:num>
  <w:num w:numId="36">
    <w:abstractNumId w:val="149"/>
  </w:num>
  <w:num w:numId="37">
    <w:abstractNumId w:val="38"/>
  </w:num>
  <w:num w:numId="38">
    <w:abstractNumId w:val="0"/>
  </w:num>
  <w:num w:numId="39">
    <w:abstractNumId w:val="130"/>
  </w:num>
  <w:num w:numId="40">
    <w:abstractNumId w:val="74"/>
  </w:num>
  <w:num w:numId="41">
    <w:abstractNumId w:val="36"/>
  </w:num>
  <w:num w:numId="42">
    <w:abstractNumId w:val="26"/>
  </w:num>
  <w:num w:numId="43">
    <w:abstractNumId w:val="102"/>
  </w:num>
  <w:num w:numId="44">
    <w:abstractNumId w:val="49"/>
  </w:num>
  <w:num w:numId="45">
    <w:abstractNumId w:val="34"/>
  </w:num>
  <w:num w:numId="46">
    <w:abstractNumId w:val="145"/>
  </w:num>
  <w:num w:numId="47">
    <w:abstractNumId w:val="144"/>
  </w:num>
  <w:num w:numId="48">
    <w:abstractNumId w:val="87"/>
  </w:num>
  <w:num w:numId="49">
    <w:abstractNumId w:val="83"/>
  </w:num>
  <w:num w:numId="50">
    <w:abstractNumId w:val="89"/>
  </w:num>
  <w:num w:numId="51">
    <w:abstractNumId w:val="8"/>
  </w:num>
  <w:num w:numId="52">
    <w:abstractNumId w:val="154"/>
  </w:num>
  <w:num w:numId="53">
    <w:abstractNumId w:val="140"/>
  </w:num>
  <w:num w:numId="54">
    <w:abstractNumId w:val="17"/>
  </w:num>
  <w:num w:numId="55">
    <w:abstractNumId w:val="128"/>
  </w:num>
  <w:num w:numId="56">
    <w:abstractNumId w:val="96"/>
  </w:num>
  <w:num w:numId="57">
    <w:abstractNumId w:val="19"/>
  </w:num>
  <w:num w:numId="58">
    <w:abstractNumId w:val="72"/>
  </w:num>
  <w:num w:numId="59">
    <w:abstractNumId w:val="104"/>
  </w:num>
  <w:num w:numId="60">
    <w:abstractNumId w:val="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abstractNumId w:val="106"/>
  </w:num>
  <w:num w:numId="62">
    <w:abstractNumId w:val="11"/>
  </w:num>
  <w:num w:numId="63">
    <w:abstractNumId w:val="75"/>
  </w:num>
  <w:num w:numId="64">
    <w:abstractNumId w:val="69"/>
  </w:num>
  <w:num w:numId="65">
    <w:abstractNumId w:val="29"/>
  </w:num>
  <w:num w:numId="66">
    <w:abstractNumId w:val="28"/>
  </w:num>
  <w:num w:numId="67">
    <w:abstractNumId w:val="55"/>
  </w:num>
  <w:num w:numId="68">
    <w:abstractNumId w:val="80"/>
  </w:num>
  <w:num w:numId="69">
    <w:abstractNumId w:val="97"/>
  </w:num>
  <w:num w:numId="70">
    <w:abstractNumId w:val="146"/>
  </w:num>
  <w:num w:numId="71">
    <w:abstractNumId w:val="150"/>
  </w:num>
  <w:num w:numId="72">
    <w:abstractNumId w:val="21"/>
  </w:num>
  <w:num w:numId="73">
    <w:abstractNumId w:val="88"/>
  </w:num>
  <w:num w:numId="74">
    <w:abstractNumId w:val="100"/>
  </w:num>
  <w:num w:numId="75">
    <w:abstractNumId w:val="127"/>
  </w:num>
  <w:num w:numId="76">
    <w:abstractNumId w:val="31"/>
  </w:num>
  <w:num w:numId="77">
    <w:abstractNumId w:val="132"/>
  </w:num>
  <w:num w:numId="78">
    <w:abstractNumId w:val="52"/>
  </w:num>
  <w:num w:numId="79">
    <w:abstractNumId w:val="122"/>
  </w:num>
  <w:num w:numId="80">
    <w:abstractNumId w:val="129"/>
  </w:num>
  <w:num w:numId="81">
    <w:abstractNumId w:val="71"/>
  </w:num>
  <w:num w:numId="82">
    <w:abstractNumId w:val="7"/>
  </w:num>
  <w:num w:numId="83">
    <w:abstractNumId w:val="12"/>
  </w:num>
  <w:num w:numId="84">
    <w:abstractNumId w:val="139"/>
  </w:num>
  <w:num w:numId="85">
    <w:abstractNumId w:val="45"/>
  </w:num>
  <w:num w:numId="86">
    <w:abstractNumId w:val="77"/>
  </w:num>
  <w:num w:numId="87">
    <w:abstractNumId w:val="3"/>
  </w:num>
  <w:num w:numId="88">
    <w:abstractNumId w:val="98"/>
  </w:num>
  <w:num w:numId="89">
    <w:abstractNumId w:val="59"/>
  </w:num>
  <w:num w:numId="90">
    <w:abstractNumId w:val="109"/>
  </w:num>
  <w:num w:numId="91">
    <w:abstractNumId w:val="70"/>
  </w:num>
  <w:num w:numId="92">
    <w:abstractNumId w:val="63"/>
  </w:num>
  <w:num w:numId="93">
    <w:abstractNumId w:val="103"/>
  </w:num>
  <w:num w:numId="94">
    <w:abstractNumId w:val="79"/>
  </w:num>
  <w:num w:numId="95">
    <w:abstractNumId w:val="142"/>
  </w:num>
  <w:num w:numId="96">
    <w:abstractNumId w:val="151"/>
  </w:num>
  <w:num w:numId="97">
    <w:abstractNumId w:val="105"/>
  </w:num>
  <w:num w:numId="98">
    <w:abstractNumId w:val="126"/>
  </w:num>
  <w:num w:numId="99">
    <w:abstractNumId w:val="24"/>
  </w:num>
  <w:num w:numId="100">
    <w:abstractNumId w:val="13"/>
  </w:num>
  <w:num w:numId="101">
    <w:abstractNumId w:val="147"/>
  </w:num>
  <w:num w:numId="102">
    <w:abstractNumId w:val="101"/>
  </w:num>
  <w:num w:numId="103">
    <w:abstractNumId w:val="41"/>
  </w:num>
  <w:num w:numId="104">
    <w:abstractNumId w:val="91"/>
  </w:num>
  <w:num w:numId="105">
    <w:abstractNumId w:val="138"/>
  </w:num>
  <w:num w:numId="106">
    <w:abstractNumId w:val="120"/>
  </w:num>
  <w:num w:numId="107">
    <w:abstractNumId w:val="20"/>
  </w:num>
  <w:num w:numId="108">
    <w:abstractNumId w:val="121"/>
  </w:num>
  <w:num w:numId="109">
    <w:abstractNumId w:val="92"/>
  </w:num>
  <w:num w:numId="110">
    <w:abstractNumId w:val="15"/>
  </w:num>
  <w:num w:numId="111">
    <w:abstractNumId w:val="40"/>
  </w:num>
  <w:num w:numId="112">
    <w:abstractNumId w:val="38"/>
  </w:num>
  <w:num w:numId="113">
    <w:abstractNumId w:val="108"/>
  </w:num>
  <w:num w:numId="114">
    <w:abstractNumId w:val="111"/>
  </w:num>
  <w:num w:numId="115">
    <w:abstractNumId w:val="125"/>
  </w:num>
  <w:num w:numId="116">
    <w:abstractNumId w:val="58"/>
  </w:num>
  <w:num w:numId="117">
    <w:abstractNumId w:val="131"/>
  </w:num>
  <w:num w:numId="118">
    <w:abstractNumId w:val="94"/>
  </w:num>
  <w:num w:numId="119">
    <w:abstractNumId w:val="46"/>
  </w:num>
  <w:num w:numId="120">
    <w:abstractNumId w:val="30"/>
  </w:num>
  <w:num w:numId="121">
    <w:abstractNumId w:val="113"/>
  </w:num>
  <w:num w:numId="122">
    <w:abstractNumId w:val="1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3">
    <w:abstractNumId w:val="90"/>
  </w:num>
  <w:num w:numId="124">
    <w:abstractNumId w:val="115"/>
  </w:num>
  <w:num w:numId="125">
    <w:abstractNumId w:val="25"/>
  </w:num>
  <w:num w:numId="126">
    <w:abstractNumId w:val="23"/>
  </w:num>
  <w:num w:numId="127">
    <w:abstractNumId w:val="152"/>
  </w:num>
  <w:num w:numId="128">
    <w:abstractNumId w:val="14"/>
  </w:num>
  <w:num w:numId="129">
    <w:abstractNumId w:val="124"/>
  </w:num>
  <w:num w:numId="130">
    <w:abstractNumId w:val="42"/>
  </w:num>
  <w:num w:numId="131">
    <w:abstractNumId w:val="114"/>
  </w:num>
  <w:num w:numId="132">
    <w:abstractNumId w:val="116"/>
  </w:num>
  <w:num w:numId="133">
    <w:abstractNumId w:val="65"/>
  </w:num>
  <w:num w:numId="134">
    <w:abstractNumId w:val="53"/>
  </w:num>
  <w:num w:numId="135">
    <w:abstractNumId w:val="56"/>
  </w:num>
  <w:num w:numId="136">
    <w:abstractNumId w:val="22"/>
  </w:num>
  <w:num w:numId="137">
    <w:abstractNumId w:val="39"/>
  </w:num>
  <w:num w:numId="138">
    <w:abstractNumId w:val="78"/>
  </w:num>
  <w:num w:numId="139">
    <w:abstractNumId w:val="118"/>
  </w:num>
  <w:num w:numId="140">
    <w:abstractNumId w:val="110"/>
  </w:num>
  <w:num w:numId="141">
    <w:abstractNumId w:val="35"/>
  </w:num>
  <w:num w:numId="142">
    <w:abstractNumId w:val="44"/>
  </w:num>
  <w:num w:numId="143">
    <w:abstractNumId w:val="143"/>
  </w:num>
  <w:num w:numId="144">
    <w:abstractNumId w:val="16"/>
  </w:num>
  <w:num w:numId="145">
    <w:abstractNumId w:val="73"/>
  </w:num>
  <w:num w:numId="146">
    <w:abstractNumId w:val="82"/>
  </w:num>
  <w:num w:numId="147">
    <w:abstractNumId w:val="6"/>
  </w:num>
  <w:num w:numId="148">
    <w:abstractNumId w:val="66"/>
  </w:num>
  <w:num w:numId="149">
    <w:abstractNumId w:val="27"/>
  </w:num>
  <w:num w:numId="150">
    <w:abstractNumId w:val="136"/>
  </w:num>
  <w:num w:numId="151">
    <w:abstractNumId w:val="37"/>
  </w:num>
  <w:num w:numId="152">
    <w:abstractNumId w:val="155"/>
  </w:num>
  <w:num w:numId="153">
    <w:abstractNumId w:val="33"/>
  </w:num>
  <w:num w:numId="154">
    <w:abstractNumId w:val="68"/>
  </w:num>
  <w:num w:numId="155">
    <w:abstractNumId w:val="64"/>
  </w:num>
  <w:num w:numId="156">
    <w:abstractNumId w:val="10"/>
  </w:num>
  <w:num w:numId="157">
    <w:abstractNumId w:val="119"/>
  </w:num>
  <w:numIdMacAtCleanup w:val="14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B04ED"/>
    <w:rsid w:val="00002D78"/>
    <w:rsid w:val="00005EB5"/>
    <w:rsid w:val="00010F72"/>
    <w:rsid w:val="000220F0"/>
    <w:rsid w:val="00033156"/>
    <w:rsid w:val="000357A9"/>
    <w:rsid w:val="00036217"/>
    <w:rsid w:val="000462C6"/>
    <w:rsid w:val="000515AE"/>
    <w:rsid w:val="000566F0"/>
    <w:rsid w:val="00057D37"/>
    <w:rsid w:val="000616E1"/>
    <w:rsid w:val="00065554"/>
    <w:rsid w:val="00067067"/>
    <w:rsid w:val="000671A1"/>
    <w:rsid w:val="00067477"/>
    <w:rsid w:val="00081E45"/>
    <w:rsid w:val="0008610C"/>
    <w:rsid w:val="0009253E"/>
    <w:rsid w:val="00095E2A"/>
    <w:rsid w:val="000A3FEC"/>
    <w:rsid w:val="000A5D58"/>
    <w:rsid w:val="000B29BE"/>
    <w:rsid w:val="000C74F1"/>
    <w:rsid w:val="000E2141"/>
    <w:rsid w:val="000F4D1B"/>
    <w:rsid w:val="000F7BA7"/>
    <w:rsid w:val="0010057F"/>
    <w:rsid w:val="001053D5"/>
    <w:rsid w:val="0011523E"/>
    <w:rsid w:val="00115F3F"/>
    <w:rsid w:val="001275D6"/>
    <w:rsid w:val="0013133A"/>
    <w:rsid w:val="0013556B"/>
    <w:rsid w:val="00141693"/>
    <w:rsid w:val="00142848"/>
    <w:rsid w:val="00144F98"/>
    <w:rsid w:val="001520FB"/>
    <w:rsid w:val="00154A60"/>
    <w:rsid w:val="00154F6B"/>
    <w:rsid w:val="00155583"/>
    <w:rsid w:val="00160620"/>
    <w:rsid w:val="001625F0"/>
    <w:rsid w:val="00170594"/>
    <w:rsid w:val="001735DB"/>
    <w:rsid w:val="00177163"/>
    <w:rsid w:val="001777E6"/>
    <w:rsid w:val="001821AC"/>
    <w:rsid w:val="001A2ADB"/>
    <w:rsid w:val="001B1EC0"/>
    <w:rsid w:val="001B4EEE"/>
    <w:rsid w:val="001B6F5A"/>
    <w:rsid w:val="001C4003"/>
    <w:rsid w:val="001C6D4B"/>
    <w:rsid w:val="001C7E6D"/>
    <w:rsid w:val="001D262B"/>
    <w:rsid w:val="001E0555"/>
    <w:rsid w:val="001E3CF2"/>
    <w:rsid w:val="001E6177"/>
    <w:rsid w:val="001E656E"/>
    <w:rsid w:val="001F02A5"/>
    <w:rsid w:val="00204F63"/>
    <w:rsid w:val="00207F11"/>
    <w:rsid w:val="00213AFE"/>
    <w:rsid w:val="00223E33"/>
    <w:rsid w:val="00224551"/>
    <w:rsid w:val="00224FE2"/>
    <w:rsid w:val="002276A2"/>
    <w:rsid w:val="00227747"/>
    <w:rsid w:val="00231B34"/>
    <w:rsid w:val="002359B0"/>
    <w:rsid w:val="00237185"/>
    <w:rsid w:val="00240D51"/>
    <w:rsid w:val="00246F44"/>
    <w:rsid w:val="00247DBE"/>
    <w:rsid w:val="0025132A"/>
    <w:rsid w:val="002523FB"/>
    <w:rsid w:val="00253E4D"/>
    <w:rsid w:val="002558B6"/>
    <w:rsid w:val="0026132A"/>
    <w:rsid w:val="002629B7"/>
    <w:rsid w:val="00266379"/>
    <w:rsid w:val="00270CF2"/>
    <w:rsid w:val="00272539"/>
    <w:rsid w:val="002769BF"/>
    <w:rsid w:val="002776D5"/>
    <w:rsid w:val="00294B8E"/>
    <w:rsid w:val="002A027C"/>
    <w:rsid w:val="002A2B57"/>
    <w:rsid w:val="002B2F2F"/>
    <w:rsid w:val="002D0926"/>
    <w:rsid w:val="002D68D2"/>
    <w:rsid w:val="002D6CDB"/>
    <w:rsid w:val="002E4838"/>
    <w:rsid w:val="002E4BBA"/>
    <w:rsid w:val="002E526A"/>
    <w:rsid w:val="002E6EF0"/>
    <w:rsid w:val="0030131E"/>
    <w:rsid w:val="0030299F"/>
    <w:rsid w:val="00305985"/>
    <w:rsid w:val="003067C4"/>
    <w:rsid w:val="00310C03"/>
    <w:rsid w:val="00313248"/>
    <w:rsid w:val="00334F1B"/>
    <w:rsid w:val="00340594"/>
    <w:rsid w:val="003452ED"/>
    <w:rsid w:val="00350C9E"/>
    <w:rsid w:val="003524A7"/>
    <w:rsid w:val="003533D2"/>
    <w:rsid w:val="00354FAB"/>
    <w:rsid w:val="00362D97"/>
    <w:rsid w:val="003634C9"/>
    <w:rsid w:val="003635B7"/>
    <w:rsid w:val="00375009"/>
    <w:rsid w:val="0037530E"/>
    <w:rsid w:val="0038033E"/>
    <w:rsid w:val="00385BF7"/>
    <w:rsid w:val="00393DB8"/>
    <w:rsid w:val="003C5233"/>
    <w:rsid w:val="003D5C78"/>
    <w:rsid w:val="003E007D"/>
    <w:rsid w:val="003E0C70"/>
    <w:rsid w:val="003F7ECC"/>
    <w:rsid w:val="00401546"/>
    <w:rsid w:val="00402C1E"/>
    <w:rsid w:val="004112EB"/>
    <w:rsid w:val="00414237"/>
    <w:rsid w:val="00417D31"/>
    <w:rsid w:val="004205C6"/>
    <w:rsid w:val="004253ED"/>
    <w:rsid w:val="00430D7D"/>
    <w:rsid w:val="004359C3"/>
    <w:rsid w:val="0045021B"/>
    <w:rsid w:val="00451996"/>
    <w:rsid w:val="0045250F"/>
    <w:rsid w:val="00457368"/>
    <w:rsid w:val="00457592"/>
    <w:rsid w:val="00457BC2"/>
    <w:rsid w:val="0046727A"/>
    <w:rsid w:val="00471359"/>
    <w:rsid w:val="00475C70"/>
    <w:rsid w:val="0048283A"/>
    <w:rsid w:val="00483816"/>
    <w:rsid w:val="00484A58"/>
    <w:rsid w:val="0048720A"/>
    <w:rsid w:val="004943A0"/>
    <w:rsid w:val="00494B1A"/>
    <w:rsid w:val="00496269"/>
    <w:rsid w:val="004A7AF0"/>
    <w:rsid w:val="004B0E18"/>
    <w:rsid w:val="004C234F"/>
    <w:rsid w:val="004C3F69"/>
    <w:rsid w:val="004D07E3"/>
    <w:rsid w:val="004D157F"/>
    <w:rsid w:val="004D2DF4"/>
    <w:rsid w:val="004D53E1"/>
    <w:rsid w:val="004D74C8"/>
    <w:rsid w:val="004E032A"/>
    <w:rsid w:val="0050062C"/>
    <w:rsid w:val="0051077A"/>
    <w:rsid w:val="00512304"/>
    <w:rsid w:val="005160AF"/>
    <w:rsid w:val="005245A8"/>
    <w:rsid w:val="00525E29"/>
    <w:rsid w:val="005344A9"/>
    <w:rsid w:val="00537FBE"/>
    <w:rsid w:val="00540BA5"/>
    <w:rsid w:val="00560D6A"/>
    <w:rsid w:val="0056622F"/>
    <w:rsid w:val="0057538E"/>
    <w:rsid w:val="00577850"/>
    <w:rsid w:val="005815D0"/>
    <w:rsid w:val="005822C3"/>
    <w:rsid w:val="00584002"/>
    <w:rsid w:val="00590288"/>
    <w:rsid w:val="00596C69"/>
    <w:rsid w:val="005A0043"/>
    <w:rsid w:val="005A2696"/>
    <w:rsid w:val="005B45C8"/>
    <w:rsid w:val="005B6DFB"/>
    <w:rsid w:val="005B72AA"/>
    <w:rsid w:val="005C51BF"/>
    <w:rsid w:val="005E2E74"/>
    <w:rsid w:val="005E52E2"/>
    <w:rsid w:val="005E71B1"/>
    <w:rsid w:val="005F0243"/>
    <w:rsid w:val="005F0465"/>
    <w:rsid w:val="005F2A2E"/>
    <w:rsid w:val="005F424F"/>
    <w:rsid w:val="005F4B0D"/>
    <w:rsid w:val="005F67A3"/>
    <w:rsid w:val="00606E97"/>
    <w:rsid w:val="00610227"/>
    <w:rsid w:val="00613DF7"/>
    <w:rsid w:val="006237FC"/>
    <w:rsid w:val="00626181"/>
    <w:rsid w:val="00626741"/>
    <w:rsid w:val="00637D57"/>
    <w:rsid w:val="0064324E"/>
    <w:rsid w:val="00645DF1"/>
    <w:rsid w:val="00655D39"/>
    <w:rsid w:val="00656CD9"/>
    <w:rsid w:val="006623FD"/>
    <w:rsid w:val="0066693C"/>
    <w:rsid w:val="00667A3D"/>
    <w:rsid w:val="006721DD"/>
    <w:rsid w:val="00674545"/>
    <w:rsid w:val="00676F9F"/>
    <w:rsid w:val="0068413B"/>
    <w:rsid w:val="00696C76"/>
    <w:rsid w:val="006B11E2"/>
    <w:rsid w:val="006B3249"/>
    <w:rsid w:val="006C08BE"/>
    <w:rsid w:val="006C383B"/>
    <w:rsid w:val="006D02D8"/>
    <w:rsid w:val="006D253E"/>
    <w:rsid w:val="006D669A"/>
    <w:rsid w:val="006E37A6"/>
    <w:rsid w:val="006E44FB"/>
    <w:rsid w:val="006E7967"/>
    <w:rsid w:val="006F0EBF"/>
    <w:rsid w:val="006F1B84"/>
    <w:rsid w:val="006F3566"/>
    <w:rsid w:val="006F6F83"/>
    <w:rsid w:val="00701C80"/>
    <w:rsid w:val="007025F6"/>
    <w:rsid w:val="00715270"/>
    <w:rsid w:val="00715938"/>
    <w:rsid w:val="00720558"/>
    <w:rsid w:val="00723150"/>
    <w:rsid w:val="00725149"/>
    <w:rsid w:val="00736197"/>
    <w:rsid w:val="00741C01"/>
    <w:rsid w:val="007430DB"/>
    <w:rsid w:val="00743DD1"/>
    <w:rsid w:val="007553CA"/>
    <w:rsid w:val="00765ED8"/>
    <w:rsid w:val="007753B1"/>
    <w:rsid w:val="0077549F"/>
    <w:rsid w:val="00775C05"/>
    <w:rsid w:val="00786178"/>
    <w:rsid w:val="00792067"/>
    <w:rsid w:val="007947A7"/>
    <w:rsid w:val="007A04BC"/>
    <w:rsid w:val="007B34B9"/>
    <w:rsid w:val="007C043F"/>
    <w:rsid w:val="007C1E97"/>
    <w:rsid w:val="007C2D0C"/>
    <w:rsid w:val="007E1C1E"/>
    <w:rsid w:val="007E42F5"/>
    <w:rsid w:val="007E530D"/>
    <w:rsid w:val="007F7A52"/>
    <w:rsid w:val="008028BC"/>
    <w:rsid w:val="00803148"/>
    <w:rsid w:val="008120E6"/>
    <w:rsid w:val="0082045A"/>
    <w:rsid w:val="00824618"/>
    <w:rsid w:val="00825201"/>
    <w:rsid w:val="0083160A"/>
    <w:rsid w:val="00875E65"/>
    <w:rsid w:val="00876DD5"/>
    <w:rsid w:val="00877531"/>
    <w:rsid w:val="008815DC"/>
    <w:rsid w:val="00896715"/>
    <w:rsid w:val="008A3AB7"/>
    <w:rsid w:val="008A45BA"/>
    <w:rsid w:val="008A72B9"/>
    <w:rsid w:val="008B3124"/>
    <w:rsid w:val="008B70AC"/>
    <w:rsid w:val="008B73FC"/>
    <w:rsid w:val="008C1E90"/>
    <w:rsid w:val="008C2AB0"/>
    <w:rsid w:val="008C6E12"/>
    <w:rsid w:val="008C7E4B"/>
    <w:rsid w:val="008D3933"/>
    <w:rsid w:val="008E0054"/>
    <w:rsid w:val="008E1281"/>
    <w:rsid w:val="008E424D"/>
    <w:rsid w:val="008E44CE"/>
    <w:rsid w:val="008E4844"/>
    <w:rsid w:val="008F5195"/>
    <w:rsid w:val="008F6974"/>
    <w:rsid w:val="0090195C"/>
    <w:rsid w:val="0090325B"/>
    <w:rsid w:val="00904FDE"/>
    <w:rsid w:val="009064E1"/>
    <w:rsid w:val="00913D06"/>
    <w:rsid w:val="00917EB7"/>
    <w:rsid w:val="009235C4"/>
    <w:rsid w:val="009236F2"/>
    <w:rsid w:val="00923D87"/>
    <w:rsid w:val="009315B3"/>
    <w:rsid w:val="00935A72"/>
    <w:rsid w:val="00940ABD"/>
    <w:rsid w:val="00941208"/>
    <w:rsid w:val="00942A3B"/>
    <w:rsid w:val="00951814"/>
    <w:rsid w:val="00964BE0"/>
    <w:rsid w:val="009719FE"/>
    <w:rsid w:val="009748B7"/>
    <w:rsid w:val="00977C95"/>
    <w:rsid w:val="009808D2"/>
    <w:rsid w:val="00992C3B"/>
    <w:rsid w:val="009962DA"/>
    <w:rsid w:val="009A6443"/>
    <w:rsid w:val="009C2C40"/>
    <w:rsid w:val="009C5C1D"/>
    <w:rsid w:val="009D26AD"/>
    <w:rsid w:val="009D5702"/>
    <w:rsid w:val="009E0AAB"/>
    <w:rsid w:val="009E0BCC"/>
    <w:rsid w:val="009E1E81"/>
    <w:rsid w:val="009E27E4"/>
    <w:rsid w:val="009E64BB"/>
    <w:rsid w:val="009E699D"/>
    <w:rsid w:val="009F634F"/>
    <w:rsid w:val="009F6E5D"/>
    <w:rsid w:val="00A02080"/>
    <w:rsid w:val="00A05240"/>
    <w:rsid w:val="00A12C52"/>
    <w:rsid w:val="00A220E0"/>
    <w:rsid w:val="00A2623F"/>
    <w:rsid w:val="00A43C6A"/>
    <w:rsid w:val="00A43CC0"/>
    <w:rsid w:val="00A50695"/>
    <w:rsid w:val="00A512FC"/>
    <w:rsid w:val="00A63BCD"/>
    <w:rsid w:val="00A6586F"/>
    <w:rsid w:val="00A67D1F"/>
    <w:rsid w:val="00A82C80"/>
    <w:rsid w:val="00A860F6"/>
    <w:rsid w:val="00A9330B"/>
    <w:rsid w:val="00A96726"/>
    <w:rsid w:val="00AA56E7"/>
    <w:rsid w:val="00AB04ED"/>
    <w:rsid w:val="00AB12F4"/>
    <w:rsid w:val="00AB3877"/>
    <w:rsid w:val="00AB47F2"/>
    <w:rsid w:val="00AB7F3D"/>
    <w:rsid w:val="00AD060A"/>
    <w:rsid w:val="00AD0B7B"/>
    <w:rsid w:val="00AD3566"/>
    <w:rsid w:val="00AD3758"/>
    <w:rsid w:val="00AD5193"/>
    <w:rsid w:val="00AE180F"/>
    <w:rsid w:val="00AE574E"/>
    <w:rsid w:val="00AE6338"/>
    <w:rsid w:val="00AE6E4C"/>
    <w:rsid w:val="00AF5D59"/>
    <w:rsid w:val="00B01F23"/>
    <w:rsid w:val="00B04203"/>
    <w:rsid w:val="00B203AE"/>
    <w:rsid w:val="00B21BFD"/>
    <w:rsid w:val="00B2380D"/>
    <w:rsid w:val="00B25F50"/>
    <w:rsid w:val="00B26D48"/>
    <w:rsid w:val="00B30A17"/>
    <w:rsid w:val="00B31E28"/>
    <w:rsid w:val="00B33ED3"/>
    <w:rsid w:val="00B35A4E"/>
    <w:rsid w:val="00B401AF"/>
    <w:rsid w:val="00B41194"/>
    <w:rsid w:val="00B46A16"/>
    <w:rsid w:val="00B4756B"/>
    <w:rsid w:val="00B522BB"/>
    <w:rsid w:val="00B61BFA"/>
    <w:rsid w:val="00B655B7"/>
    <w:rsid w:val="00B7444E"/>
    <w:rsid w:val="00B77A5F"/>
    <w:rsid w:val="00B830DB"/>
    <w:rsid w:val="00B84FE3"/>
    <w:rsid w:val="00B85902"/>
    <w:rsid w:val="00B86A87"/>
    <w:rsid w:val="00B915B8"/>
    <w:rsid w:val="00B970B0"/>
    <w:rsid w:val="00B97F07"/>
    <w:rsid w:val="00BA18AC"/>
    <w:rsid w:val="00BA77B6"/>
    <w:rsid w:val="00BA7D70"/>
    <w:rsid w:val="00BB4598"/>
    <w:rsid w:val="00BC1D7C"/>
    <w:rsid w:val="00BD13FE"/>
    <w:rsid w:val="00BD2F72"/>
    <w:rsid w:val="00BD32CF"/>
    <w:rsid w:val="00BE1E2F"/>
    <w:rsid w:val="00BE2B0F"/>
    <w:rsid w:val="00BE3DF4"/>
    <w:rsid w:val="00BE4C78"/>
    <w:rsid w:val="00BE541F"/>
    <w:rsid w:val="00BF5279"/>
    <w:rsid w:val="00BF5824"/>
    <w:rsid w:val="00BF65F2"/>
    <w:rsid w:val="00C07BE5"/>
    <w:rsid w:val="00C124F7"/>
    <w:rsid w:val="00C20401"/>
    <w:rsid w:val="00C2099F"/>
    <w:rsid w:val="00C20AC7"/>
    <w:rsid w:val="00C218F3"/>
    <w:rsid w:val="00C230F5"/>
    <w:rsid w:val="00C24C74"/>
    <w:rsid w:val="00C26443"/>
    <w:rsid w:val="00C26ACB"/>
    <w:rsid w:val="00C30CCB"/>
    <w:rsid w:val="00C34E24"/>
    <w:rsid w:val="00C35CA6"/>
    <w:rsid w:val="00C438EA"/>
    <w:rsid w:val="00C50418"/>
    <w:rsid w:val="00C5253D"/>
    <w:rsid w:val="00C55B18"/>
    <w:rsid w:val="00C6529D"/>
    <w:rsid w:val="00C65F5B"/>
    <w:rsid w:val="00C66731"/>
    <w:rsid w:val="00C66B62"/>
    <w:rsid w:val="00C66F30"/>
    <w:rsid w:val="00C71BF3"/>
    <w:rsid w:val="00C729C8"/>
    <w:rsid w:val="00C75DCA"/>
    <w:rsid w:val="00C77031"/>
    <w:rsid w:val="00C77A28"/>
    <w:rsid w:val="00C85B07"/>
    <w:rsid w:val="00C85C15"/>
    <w:rsid w:val="00C91485"/>
    <w:rsid w:val="00CA3AF9"/>
    <w:rsid w:val="00CA61C0"/>
    <w:rsid w:val="00CB2ACB"/>
    <w:rsid w:val="00CB4E93"/>
    <w:rsid w:val="00CB67D3"/>
    <w:rsid w:val="00CB6BF2"/>
    <w:rsid w:val="00CC6586"/>
    <w:rsid w:val="00CD51F4"/>
    <w:rsid w:val="00CD7397"/>
    <w:rsid w:val="00CE63FC"/>
    <w:rsid w:val="00CE65F7"/>
    <w:rsid w:val="00CE7466"/>
    <w:rsid w:val="00CF424F"/>
    <w:rsid w:val="00CF7003"/>
    <w:rsid w:val="00CF7FC2"/>
    <w:rsid w:val="00D24D0D"/>
    <w:rsid w:val="00D40989"/>
    <w:rsid w:val="00D43122"/>
    <w:rsid w:val="00D456AE"/>
    <w:rsid w:val="00D50CC8"/>
    <w:rsid w:val="00D6106B"/>
    <w:rsid w:val="00D62476"/>
    <w:rsid w:val="00D628E1"/>
    <w:rsid w:val="00D641FA"/>
    <w:rsid w:val="00D652EC"/>
    <w:rsid w:val="00D676D0"/>
    <w:rsid w:val="00D72778"/>
    <w:rsid w:val="00D9264D"/>
    <w:rsid w:val="00D94FF6"/>
    <w:rsid w:val="00D960CE"/>
    <w:rsid w:val="00DA1D11"/>
    <w:rsid w:val="00DA7A72"/>
    <w:rsid w:val="00DB04E9"/>
    <w:rsid w:val="00DB55C0"/>
    <w:rsid w:val="00DC33E6"/>
    <w:rsid w:val="00DC7BC1"/>
    <w:rsid w:val="00DD0EA7"/>
    <w:rsid w:val="00DE2CE1"/>
    <w:rsid w:val="00DE4B64"/>
    <w:rsid w:val="00DE6881"/>
    <w:rsid w:val="00DF39A6"/>
    <w:rsid w:val="00DF6167"/>
    <w:rsid w:val="00E02DA1"/>
    <w:rsid w:val="00E03664"/>
    <w:rsid w:val="00E1347E"/>
    <w:rsid w:val="00E142B1"/>
    <w:rsid w:val="00E1470A"/>
    <w:rsid w:val="00E17F38"/>
    <w:rsid w:val="00E201CB"/>
    <w:rsid w:val="00E2060C"/>
    <w:rsid w:val="00E216F6"/>
    <w:rsid w:val="00E2338D"/>
    <w:rsid w:val="00E24640"/>
    <w:rsid w:val="00E278DB"/>
    <w:rsid w:val="00E27E68"/>
    <w:rsid w:val="00E329A9"/>
    <w:rsid w:val="00E33E4E"/>
    <w:rsid w:val="00E34C13"/>
    <w:rsid w:val="00E36DA4"/>
    <w:rsid w:val="00E45B58"/>
    <w:rsid w:val="00E468AD"/>
    <w:rsid w:val="00E4696F"/>
    <w:rsid w:val="00E47486"/>
    <w:rsid w:val="00E47644"/>
    <w:rsid w:val="00E47FDE"/>
    <w:rsid w:val="00E575A2"/>
    <w:rsid w:val="00E60EEF"/>
    <w:rsid w:val="00E613E5"/>
    <w:rsid w:val="00E63C17"/>
    <w:rsid w:val="00E64BCC"/>
    <w:rsid w:val="00E66FD1"/>
    <w:rsid w:val="00E70EB1"/>
    <w:rsid w:val="00E7466C"/>
    <w:rsid w:val="00E7483D"/>
    <w:rsid w:val="00E765FE"/>
    <w:rsid w:val="00E7778D"/>
    <w:rsid w:val="00E8181C"/>
    <w:rsid w:val="00E82414"/>
    <w:rsid w:val="00E82E56"/>
    <w:rsid w:val="00EA06B1"/>
    <w:rsid w:val="00EA3EC4"/>
    <w:rsid w:val="00EA4914"/>
    <w:rsid w:val="00EA4BD6"/>
    <w:rsid w:val="00EA5A97"/>
    <w:rsid w:val="00EA60B5"/>
    <w:rsid w:val="00EB096D"/>
    <w:rsid w:val="00EB4FF6"/>
    <w:rsid w:val="00EC282F"/>
    <w:rsid w:val="00EC4194"/>
    <w:rsid w:val="00EC4E7E"/>
    <w:rsid w:val="00EC6099"/>
    <w:rsid w:val="00EC72A9"/>
    <w:rsid w:val="00EE207C"/>
    <w:rsid w:val="00EE34BC"/>
    <w:rsid w:val="00EE3A5B"/>
    <w:rsid w:val="00EF1D54"/>
    <w:rsid w:val="00EF4C26"/>
    <w:rsid w:val="00F115A4"/>
    <w:rsid w:val="00F13F2B"/>
    <w:rsid w:val="00F23BBF"/>
    <w:rsid w:val="00F25271"/>
    <w:rsid w:val="00F278B6"/>
    <w:rsid w:val="00F51175"/>
    <w:rsid w:val="00F561A7"/>
    <w:rsid w:val="00F646C0"/>
    <w:rsid w:val="00F67E71"/>
    <w:rsid w:val="00F76DB0"/>
    <w:rsid w:val="00F8352E"/>
    <w:rsid w:val="00F83DC9"/>
    <w:rsid w:val="00F84093"/>
    <w:rsid w:val="00F854A6"/>
    <w:rsid w:val="00F90CDF"/>
    <w:rsid w:val="00F9134C"/>
    <w:rsid w:val="00FA4D70"/>
    <w:rsid w:val="00FA530F"/>
    <w:rsid w:val="00FA6F0D"/>
    <w:rsid w:val="00FB4228"/>
    <w:rsid w:val="00FB5161"/>
    <w:rsid w:val="00FB5541"/>
    <w:rsid w:val="00FB5FCD"/>
    <w:rsid w:val="00FB7027"/>
    <w:rsid w:val="00FC172B"/>
    <w:rsid w:val="00FE23AC"/>
    <w:rsid w:val="00FE54F3"/>
    <w:rsid w:val="00FF09EF"/>
    <w:rsid w:val="00FF53D8"/>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ersonName"/>
  <w:shapeDefaults>
    <o:shapedefaults v:ext="edit" spidmax="1026"/>
    <o:shapelayout v:ext="edit">
      <o:idmap v:ext="edit" data="1"/>
    </o:shapelayout>
  </w:shapeDefaults>
  <w:decimalSymbol w:val=","/>
  <w:listSeparator w:val=";"/>
  <w14:docId w14:val="362FED4D"/>
  <w15:chartTrackingRefBased/>
  <w15:docId w15:val="{045A34C2-1DE2-47C7-879B-AA07DAD4BEE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qFormat="1"/>
    <w:lsdException w:name="footer" w:semiHidden="1" w:unhideWhenUsed="1"/>
    <w:lsdException w:name="index heading" w:semiHidden="1" w:unhideWhenUsed="1"/>
    <w:lsdException w:name="caption" w:semiHidden="1" w:uiPriority="35" w:unhideWhenUsed="1" w:qFormat="1"/>
    <w:lsdException w:name="table of figures" w:semiHidden="1" w:unhideWhenUsed="1" w:qFormat="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qFormat="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30"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96715"/>
    <w:pPr>
      <w:spacing w:before="120" w:after="0" w:line="264" w:lineRule="auto"/>
    </w:pPr>
    <w:rPr>
      <w:rFonts w:ascii="Arial" w:hAnsi="Arial"/>
      <w:color w:val="000000" w:themeColor="text1"/>
    </w:rPr>
  </w:style>
  <w:style w:type="paragraph" w:styleId="Titre1">
    <w:name w:val="heading 1"/>
    <w:basedOn w:val="Normal"/>
    <w:next w:val="Normal"/>
    <w:link w:val="Titre1Car"/>
    <w:autoRedefine/>
    <w:qFormat/>
    <w:rsid w:val="00F854A6"/>
    <w:pPr>
      <w:keepNext/>
      <w:keepLines/>
      <w:spacing w:after="120" w:line="240" w:lineRule="auto"/>
      <w:outlineLvl w:val="0"/>
    </w:pPr>
    <w:rPr>
      <w:rFonts w:eastAsia="Arial" w:cs="Arial"/>
      <w:b/>
      <w:caps/>
      <w:color w:val="007434"/>
      <w:sz w:val="28"/>
      <w:szCs w:val="28"/>
      <w:lang w:eastAsia="fr-FR"/>
    </w:rPr>
  </w:style>
  <w:style w:type="paragraph" w:styleId="Titre2">
    <w:name w:val="heading 2"/>
    <w:aliases w:val="OD2,Title Header2,Paranum,alec2,Heading 2 Char,Chapitre 2,an,(1.1),Titre secondaire (2),Titre secondaire (2) Car,Reset numbering,CPR Heading 2,Titre3,Sub Heading,h2,Header 2-cpr,Sub-Heading1,1.1,SLE - Heading,Section,in head,Olga,T2Seureca"/>
    <w:basedOn w:val="Normal"/>
    <w:next w:val="Normal"/>
    <w:link w:val="Titre2Car"/>
    <w:autoRedefine/>
    <w:unhideWhenUsed/>
    <w:qFormat/>
    <w:rsid w:val="00C75DCA"/>
    <w:pPr>
      <w:keepNext/>
      <w:keepLines/>
      <w:spacing w:line="240" w:lineRule="auto"/>
      <w:outlineLvl w:val="1"/>
    </w:pPr>
    <w:rPr>
      <w:rFonts w:eastAsia="Arial" w:cstheme="majorBidi"/>
      <w:color w:val="auto"/>
      <w:sz w:val="40"/>
      <w:szCs w:val="26"/>
      <w:vertAlign w:val="superscript"/>
      <w:lang w:eastAsia="fr-FR"/>
    </w:rPr>
  </w:style>
  <w:style w:type="paragraph" w:styleId="Titre3">
    <w:name w:val="heading 3"/>
    <w:aliases w:val="Titre 2b,Section heading level 1,Chapitre 3,Chapitre 3 + Avant : 12 pt,Après :..."/>
    <w:basedOn w:val="Normal"/>
    <w:next w:val="Normal"/>
    <w:link w:val="Titre3Car"/>
    <w:autoRedefine/>
    <w:unhideWhenUsed/>
    <w:qFormat/>
    <w:rsid w:val="00C75DCA"/>
    <w:pPr>
      <w:keepNext/>
      <w:keepLines/>
      <w:numPr>
        <w:ilvl w:val="2"/>
      </w:numPr>
      <w:spacing w:line="288" w:lineRule="auto"/>
      <w:ind w:left="1928" w:hanging="964"/>
      <w:jc w:val="both"/>
      <w:outlineLvl w:val="2"/>
    </w:pPr>
    <w:rPr>
      <w:rFonts w:eastAsia="Times New Roman" w:cs="Arial"/>
      <w:b/>
      <w:i/>
      <w:lang w:eastAsia="fr-FR"/>
    </w:rPr>
  </w:style>
  <w:style w:type="paragraph" w:styleId="Titre4">
    <w:name w:val="heading 4"/>
    <w:aliases w:val="italic,carter ecological heading 4,Level 4,D&amp;M4,D&amp;M 4,RSKH4,L4,Main Body Heading,Minor Heading,Minor Heading1,Minor Heading2,Minor Heading3,Minor Heading4,Minor Heading5,Minor Heading6,Minor Heading7,Minor Heading8,Minor Heading11,Minor Headi"/>
    <w:basedOn w:val="Normal"/>
    <w:next w:val="Normal"/>
    <w:link w:val="Titre4Car"/>
    <w:autoRedefine/>
    <w:uiPriority w:val="9"/>
    <w:unhideWhenUsed/>
    <w:qFormat/>
    <w:rsid w:val="00EA5A97"/>
    <w:pPr>
      <w:suppressAutoHyphens/>
      <w:spacing w:before="240" w:after="120" w:line="240" w:lineRule="auto"/>
      <w:outlineLvl w:val="3"/>
    </w:pPr>
    <w:rPr>
      <w:rFonts w:eastAsia="Calibri" w:cstheme="majorBidi"/>
      <w:b/>
      <w:i/>
      <w:iCs/>
      <w:color w:val="auto"/>
    </w:rPr>
  </w:style>
  <w:style w:type="paragraph" w:styleId="Titre5">
    <w:name w:val="heading 5"/>
    <w:aliases w:val="level5,level 5,Annexe1,Titre1.1.1.1.1,T5 or,T5,Heading 5.§1.1.1.1.1.,Titre 5 ESREDA,Side"/>
    <w:basedOn w:val="Normal"/>
    <w:next w:val="Normal"/>
    <w:link w:val="Titre5Car"/>
    <w:autoRedefine/>
    <w:uiPriority w:val="9"/>
    <w:unhideWhenUsed/>
    <w:qFormat/>
    <w:rsid w:val="00AB04ED"/>
    <w:pPr>
      <w:keepNext/>
      <w:keepLines/>
      <w:spacing w:before="40" w:line="240" w:lineRule="auto"/>
      <w:outlineLvl w:val="4"/>
    </w:pPr>
    <w:rPr>
      <w:rFonts w:eastAsia="Times New Roman" w:cstheme="majorBidi"/>
      <w:i/>
      <w:color w:val="auto"/>
    </w:rPr>
  </w:style>
  <w:style w:type="paragraph" w:styleId="Titre6">
    <w:name w:val="heading 6"/>
    <w:aliases w:val="level6,level 6"/>
    <w:basedOn w:val="Normal"/>
    <w:next w:val="Normal"/>
    <w:link w:val="Titre6Car"/>
    <w:uiPriority w:val="9"/>
    <w:unhideWhenUsed/>
    <w:qFormat/>
    <w:rsid w:val="00AB04ED"/>
    <w:pPr>
      <w:keepNext/>
      <w:keepLines/>
      <w:spacing w:before="40"/>
      <w:outlineLvl w:val="5"/>
    </w:pPr>
    <w:rPr>
      <w:rFonts w:eastAsiaTheme="majorEastAsia" w:cstheme="majorBidi"/>
      <w:i/>
      <w:color w:val="auto"/>
    </w:rPr>
  </w:style>
  <w:style w:type="paragraph" w:styleId="Titre7">
    <w:name w:val="heading 7"/>
    <w:aliases w:val="level1noheading,level1-noHeading"/>
    <w:basedOn w:val="Normal"/>
    <w:next w:val="Normal"/>
    <w:link w:val="Titre7Car"/>
    <w:uiPriority w:val="9"/>
    <w:unhideWhenUsed/>
    <w:qFormat/>
    <w:rsid w:val="00AB04ED"/>
    <w:pPr>
      <w:keepNext/>
      <w:keepLines/>
      <w:spacing w:before="40"/>
      <w:outlineLvl w:val="6"/>
    </w:pPr>
    <w:rPr>
      <w:rFonts w:eastAsiaTheme="majorEastAsia" w:cstheme="majorBidi"/>
      <w:i/>
      <w:iCs/>
      <w:color w:val="auto"/>
    </w:rPr>
  </w:style>
  <w:style w:type="paragraph" w:styleId="Titre8">
    <w:name w:val="heading 8"/>
    <w:aliases w:val="level2(a),Synthèse"/>
    <w:basedOn w:val="Normal"/>
    <w:next w:val="Normal"/>
    <w:link w:val="Titre8Car"/>
    <w:uiPriority w:val="9"/>
    <w:qFormat/>
    <w:rsid w:val="00AB04ED"/>
    <w:pPr>
      <w:tabs>
        <w:tab w:val="num" w:pos="1135"/>
      </w:tabs>
      <w:suppressAutoHyphens/>
      <w:spacing w:before="240" w:after="60" w:line="240" w:lineRule="auto"/>
      <w:ind w:left="1135" w:hanging="851"/>
      <w:jc w:val="both"/>
      <w:outlineLvl w:val="7"/>
    </w:pPr>
    <w:rPr>
      <w:rFonts w:eastAsia="Times New Roman" w:cs="Times New Roman"/>
      <w:i/>
      <w:color w:val="auto"/>
      <w:sz w:val="20"/>
      <w:szCs w:val="20"/>
    </w:rPr>
  </w:style>
  <w:style w:type="paragraph" w:styleId="Titre9">
    <w:name w:val="heading 9"/>
    <w:aliases w:val="level3(i),Titre 10,annexe,Titre 9 annexe,Heading 9-paranum"/>
    <w:basedOn w:val="Normal"/>
    <w:next w:val="Normal"/>
    <w:link w:val="Titre9Car"/>
    <w:uiPriority w:val="9"/>
    <w:qFormat/>
    <w:rsid w:val="00AB04ED"/>
    <w:pPr>
      <w:tabs>
        <w:tab w:val="num" w:pos="1135"/>
      </w:tabs>
      <w:suppressAutoHyphens/>
      <w:spacing w:before="240" w:after="60" w:line="240" w:lineRule="auto"/>
      <w:ind w:left="1135" w:hanging="851"/>
      <w:jc w:val="both"/>
      <w:outlineLvl w:val="8"/>
    </w:pPr>
    <w:rPr>
      <w:rFonts w:eastAsia="Times New Roman" w:cs="Times New Roman"/>
      <w:b/>
      <w:i/>
      <w:color w:val="auto"/>
      <w:sz w:val="18"/>
      <w:szCs w:val="20"/>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qFormat/>
    <w:rsid w:val="00F854A6"/>
    <w:rPr>
      <w:rFonts w:ascii="Arial" w:eastAsia="Arial" w:hAnsi="Arial" w:cs="Arial"/>
      <w:b/>
      <w:caps/>
      <w:color w:val="007434"/>
      <w:sz w:val="28"/>
      <w:szCs w:val="28"/>
      <w:lang w:eastAsia="fr-FR"/>
    </w:rPr>
  </w:style>
  <w:style w:type="character" w:customStyle="1" w:styleId="Titre2Car">
    <w:name w:val="Titre 2 Car"/>
    <w:aliases w:val="OD2 Car,Title Header2 Car,Paranum Car,alec2 Car,Heading 2 Char Car,Chapitre 2 Car,an Car,(1.1) Car,Titre secondaire (2) Car1,Titre secondaire (2) Car Car,Reset numbering Car,CPR Heading 2 Car,Titre3 Car,Sub Heading Car,h2 Car,1.1 Car"/>
    <w:basedOn w:val="Policepardfaut"/>
    <w:link w:val="Titre2"/>
    <w:rsid w:val="00C75DCA"/>
    <w:rPr>
      <w:rFonts w:ascii="Arial" w:eastAsia="Arial" w:hAnsi="Arial" w:cstheme="majorBidi"/>
      <w:sz w:val="40"/>
      <w:szCs w:val="26"/>
      <w:vertAlign w:val="superscript"/>
      <w:lang w:eastAsia="fr-FR"/>
    </w:rPr>
  </w:style>
  <w:style w:type="paragraph" w:styleId="Lgende">
    <w:name w:val="caption"/>
    <w:aliases w:val="Igip 2, Car Car Car,Car Car Car,dernier,alinéa,1e,re,Car1,Car2,Car121,Caption Char,Caption [+C],0-Caption-Table,Char,Fig,Table Caption,Figure,headings,CPR Caption,CPR Caption Char,Table1,Figure1,headings1 Char,headings1,Table Char,Figure Char"/>
    <w:basedOn w:val="Normal"/>
    <w:next w:val="Normal"/>
    <w:link w:val="LgendeCar"/>
    <w:autoRedefine/>
    <w:uiPriority w:val="35"/>
    <w:qFormat/>
    <w:rsid w:val="00A9330B"/>
    <w:pPr>
      <w:keepNext/>
      <w:spacing w:after="120" w:line="240" w:lineRule="auto"/>
      <w:jc w:val="center"/>
    </w:pPr>
    <w:rPr>
      <w:rFonts w:eastAsia="Times New Roman" w:cs="Arial"/>
      <w:b/>
      <w:color w:val="auto"/>
      <w:sz w:val="20"/>
      <w:szCs w:val="20"/>
      <w:lang w:eastAsia="fr-FR"/>
    </w:rPr>
  </w:style>
  <w:style w:type="character" w:customStyle="1" w:styleId="LgendeCar">
    <w:name w:val="Légende Car"/>
    <w:aliases w:val="Igip 2 Car, Car Car Car Car,Car Car Car Car,dernier Car,alinéa Car,1e Car,re Car,Car1 Car,Car2 Car,Car121 Car,Caption Char Car,Caption [+C] Car,0-Caption-Table Car,Char Car,Fig Car,Table Caption Car,Figure Car,headings Car,CPR Caption Car"/>
    <w:link w:val="Lgende"/>
    <w:uiPriority w:val="35"/>
    <w:rsid w:val="00A9330B"/>
    <w:rPr>
      <w:rFonts w:ascii="Arial" w:eastAsia="Times New Roman" w:hAnsi="Arial" w:cs="Arial"/>
      <w:b/>
      <w:sz w:val="20"/>
      <w:szCs w:val="20"/>
      <w:lang w:eastAsia="fr-FR"/>
    </w:rPr>
  </w:style>
  <w:style w:type="paragraph" w:customStyle="1" w:styleId="tableau">
    <w:name w:val="tableau"/>
    <w:basedOn w:val="Normal"/>
    <w:link w:val="tableauCar"/>
    <w:qFormat/>
    <w:rsid w:val="00AB04ED"/>
    <w:pPr>
      <w:spacing w:line="240" w:lineRule="auto"/>
      <w:jc w:val="center"/>
    </w:pPr>
    <w:rPr>
      <w:rFonts w:ascii="Arial Narrow" w:eastAsia="Calibri" w:hAnsi="Arial Narrow" w:cs="Times New Roman"/>
      <w:b/>
      <w:sz w:val="20"/>
      <w:szCs w:val="20"/>
      <w:lang w:val="x-none" w:eastAsia="de-DE"/>
    </w:rPr>
  </w:style>
  <w:style w:type="character" w:customStyle="1" w:styleId="tableauCar">
    <w:name w:val="tableau Car"/>
    <w:basedOn w:val="Policepardfaut"/>
    <w:link w:val="tableau"/>
    <w:rsid w:val="00AB04ED"/>
    <w:rPr>
      <w:rFonts w:ascii="Arial Narrow" w:eastAsia="Calibri" w:hAnsi="Arial Narrow" w:cs="Times New Roman"/>
      <w:b/>
      <w:color w:val="000000" w:themeColor="text1"/>
      <w:sz w:val="20"/>
      <w:szCs w:val="20"/>
      <w:lang w:val="x-none" w:eastAsia="de-DE"/>
    </w:rPr>
  </w:style>
  <w:style w:type="character" w:customStyle="1" w:styleId="Titre3Car">
    <w:name w:val="Titre 3 Car"/>
    <w:aliases w:val="Titre 2b Car,Section heading level 1 Car,Chapitre 3 Car,Chapitre 3 + Avant : 12 pt Car,Après :... Car"/>
    <w:basedOn w:val="Policepardfaut"/>
    <w:link w:val="Titre3"/>
    <w:rsid w:val="00C75DCA"/>
    <w:rPr>
      <w:rFonts w:ascii="Arial" w:eastAsia="Times New Roman" w:hAnsi="Arial" w:cs="Arial"/>
      <w:b/>
      <w:i/>
      <w:color w:val="000000" w:themeColor="text1"/>
      <w:lang w:eastAsia="fr-FR"/>
    </w:rPr>
  </w:style>
  <w:style w:type="character" w:customStyle="1" w:styleId="Titre4Car">
    <w:name w:val="Titre 4 Car"/>
    <w:aliases w:val="italic Car,carter ecological heading 4 Car,Level 4 Car,D&amp;M4 Car,D&amp;M 4 Car,RSKH4 Car,L4 Car,Main Body Heading Car,Minor Heading Car,Minor Heading1 Car,Minor Heading2 Car,Minor Heading3 Car,Minor Heading4 Car,Minor Heading5 Car,Minor Headi Car"/>
    <w:basedOn w:val="Policepardfaut"/>
    <w:link w:val="Titre4"/>
    <w:uiPriority w:val="9"/>
    <w:rsid w:val="00EA5A97"/>
    <w:rPr>
      <w:rFonts w:ascii="Arial" w:eastAsia="Calibri" w:hAnsi="Arial" w:cstheme="majorBidi"/>
      <w:b/>
      <w:i/>
      <w:iCs/>
    </w:rPr>
  </w:style>
  <w:style w:type="character" w:customStyle="1" w:styleId="Titre5Car">
    <w:name w:val="Titre 5 Car"/>
    <w:aliases w:val="level5 Car,level 5 Car,Annexe1 Car,Titre1.1.1.1.1 Car,T5 or Car,T5 Car,Heading 5.§1.1.1.1.1. Car,Titre 5 ESREDA Car,Side Car"/>
    <w:basedOn w:val="Policepardfaut"/>
    <w:link w:val="Titre5"/>
    <w:uiPriority w:val="9"/>
    <w:rsid w:val="00AB04ED"/>
    <w:rPr>
      <w:rFonts w:ascii="Arial" w:eastAsia="Times New Roman" w:hAnsi="Arial" w:cstheme="majorBidi"/>
      <w:i/>
    </w:rPr>
  </w:style>
  <w:style w:type="character" w:customStyle="1" w:styleId="Titre6Car">
    <w:name w:val="Titre 6 Car"/>
    <w:aliases w:val="level6 Car,level 6 Car"/>
    <w:basedOn w:val="Policepardfaut"/>
    <w:link w:val="Titre6"/>
    <w:uiPriority w:val="9"/>
    <w:rsid w:val="00AB04ED"/>
    <w:rPr>
      <w:rFonts w:ascii="Arial" w:eastAsiaTheme="majorEastAsia" w:hAnsi="Arial" w:cstheme="majorBidi"/>
      <w:i/>
    </w:rPr>
  </w:style>
  <w:style w:type="character" w:customStyle="1" w:styleId="Titre7Car">
    <w:name w:val="Titre 7 Car"/>
    <w:aliases w:val="level1noheading Car,level1-noHeading Car"/>
    <w:basedOn w:val="Policepardfaut"/>
    <w:link w:val="Titre7"/>
    <w:uiPriority w:val="9"/>
    <w:rsid w:val="00AB04ED"/>
    <w:rPr>
      <w:rFonts w:ascii="Arial" w:eastAsiaTheme="majorEastAsia" w:hAnsi="Arial" w:cstheme="majorBidi"/>
      <w:i/>
      <w:iCs/>
    </w:rPr>
  </w:style>
  <w:style w:type="character" w:customStyle="1" w:styleId="Titre8Car">
    <w:name w:val="Titre 8 Car"/>
    <w:aliases w:val="level2(a) Car,Synthèse Car"/>
    <w:basedOn w:val="Policepardfaut"/>
    <w:link w:val="Titre8"/>
    <w:uiPriority w:val="9"/>
    <w:rsid w:val="00AB04ED"/>
    <w:rPr>
      <w:rFonts w:ascii="Arial" w:eastAsia="Times New Roman" w:hAnsi="Arial" w:cs="Times New Roman"/>
      <w:i/>
      <w:sz w:val="20"/>
      <w:szCs w:val="20"/>
    </w:rPr>
  </w:style>
  <w:style w:type="character" w:customStyle="1" w:styleId="Titre9Car">
    <w:name w:val="Titre 9 Car"/>
    <w:aliases w:val="level3(i) Car,Titre 10 Car,annexe Car,Titre 9 annexe Car,Heading 9-paranum Car"/>
    <w:basedOn w:val="Policepardfaut"/>
    <w:link w:val="Titre9"/>
    <w:uiPriority w:val="9"/>
    <w:rsid w:val="00AB04ED"/>
    <w:rPr>
      <w:rFonts w:ascii="Arial" w:eastAsia="Times New Roman" w:hAnsi="Arial" w:cs="Times New Roman"/>
      <w:b/>
      <w:i/>
      <w:sz w:val="18"/>
      <w:szCs w:val="20"/>
    </w:rPr>
  </w:style>
  <w:style w:type="paragraph" w:styleId="En-tte">
    <w:name w:val="header"/>
    <w:aliases w:val="En-tête client,/ pied de page,heading 3 after h2,h,ContentsHeader,h3+,hd,En-tête CV,he,*Header,Section Header,En-tête1,E.e,Cover Page,normal3,En-tête11,E.e1,et pied de page,En-tête SQ,he1,he2,he3,he4,he5,he6,he7,he8,he9,he10,he11,he12,he13,he14"/>
    <w:basedOn w:val="Normal"/>
    <w:link w:val="En-tteCar"/>
    <w:unhideWhenUsed/>
    <w:qFormat/>
    <w:rsid w:val="00AB04ED"/>
    <w:pPr>
      <w:tabs>
        <w:tab w:val="center" w:pos="4536"/>
        <w:tab w:val="right" w:pos="9072"/>
      </w:tabs>
      <w:spacing w:line="240" w:lineRule="auto"/>
    </w:pPr>
  </w:style>
  <w:style w:type="character" w:customStyle="1" w:styleId="En-tteCar">
    <w:name w:val="En-tête Car"/>
    <w:aliases w:val="En-tête client Car,/ pied de page Car,heading 3 after h2 Car,h Car,ContentsHeader Car,h3+ Car,hd Car,En-tête CV Car,he Car,*Header Car,Section Header Car,En-tête1 Car,E.e Car,Cover Page Car,normal3 Car,En-tête11 Car,E.e1 Car,En-tête SQ Car"/>
    <w:basedOn w:val="Policepardfaut"/>
    <w:link w:val="En-tte"/>
    <w:qFormat/>
    <w:rsid w:val="00AB04ED"/>
    <w:rPr>
      <w:rFonts w:ascii="Arial" w:hAnsi="Arial"/>
      <w:color w:val="000000" w:themeColor="text1"/>
    </w:rPr>
  </w:style>
  <w:style w:type="paragraph" w:styleId="Pieddepage">
    <w:name w:val="footer"/>
    <w:aliases w:val="Car, Car"/>
    <w:basedOn w:val="Normal"/>
    <w:link w:val="PieddepageCar"/>
    <w:uiPriority w:val="99"/>
    <w:unhideWhenUsed/>
    <w:rsid w:val="00AB04ED"/>
    <w:pPr>
      <w:tabs>
        <w:tab w:val="center" w:pos="4536"/>
        <w:tab w:val="right" w:pos="9072"/>
      </w:tabs>
      <w:spacing w:line="240" w:lineRule="auto"/>
    </w:pPr>
  </w:style>
  <w:style w:type="character" w:customStyle="1" w:styleId="PieddepageCar">
    <w:name w:val="Pied de page Car"/>
    <w:aliases w:val="Car Car, Car Car"/>
    <w:basedOn w:val="Policepardfaut"/>
    <w:link w:val="Pieddepage"/>
    <w:uiPriority w:val="99"/>
    <w:rsid w:val="00AB04ED"/>
    <w:rPr>
      <w:rFonts w:ascii="Arial" w:hAnsi="Arial"/>
      <w:color w:val="000000" w:themeColor="text1"/>
    </w:rPr>
  </w:style>
  <w:style w:type="paragraph" w:styleId="Sansinterligne">
    <w:name w:val="No Spacing"/>
    <w:aliases w:val="puce1,FIGURE"/>
    <w:link w:val="SansinterligneCar1"/>
    <w:uiPriority w:val="1"/>
    <w:qFormat/>
    <w:rsid w:val="00AB04ED"/>
    <w:pPr>
      <w:spacing w:after="0" w:line="240" w:lineRule="auto"/>
      <w:jc w:val="center"/>
    </w:pPr>
  </w:style>
  <w:style w:type="paragraph" w:styleId="Paragraphedeliste">
    <w:name w:val="List Paragraph"/>
    <w:aliases w:val="Puce 1-2,References,Bullets,texte,Paragraphe,1,Bullet Points,Farbige Liste - Akzent 11,Liste couleur - Accent 11,Tiret lettres,- List tir,liste 1,puce 1,Puces,List Paragraph (numbered (a)),List Bullet Mary,Liste 1,List Paragraph,RM1"/>
    <w:basedOn w:val="Normal"/>
    <w:link w:val="ParagraphedelisteCar"/>
    <w:uiPriority w:val="34"/>
    <w:qFormat/>
    <w:rsid w:val="00AB04ED"/>
    <w:pPr>
      <w:overflowPunct w:val="0"/>
      <w:autoSpaceDE w:val="0"/>
      <w:autoSpaceDN w:val="0"/>
      <w:adjustRightInd w:val="0"/>
      <w:spacing w:line="288" w:lineRule="auto"/>
      <w:ind w:left="720"/>
      <w:contextualSpacing/>
    </w:pPr>
    <w:rPr>
      <w:rFonts w:eastAsia="Times New Roman" w:cs="Times New Roman"/>
      <w:szCs w:val="20"/>
      <w:lang w:val="en-GB" w:eastAsia="de-DE"/>
    </w:rPr>
  </w:style>
  <w:style w:type="character" w:customStyle="1" w:styleId="ParagraphedelisteCar">
    <w:name w:val="Paragraphe de liste Car"/>
    <w:aliases w:val="Puce 1-2 Car,References Car,Bullets Car,texte Car,Paragraphe Car,1 Car,Bullet Points Car,Farbige Liste - Akzent 11 Car,Liste couleur - Accent 11 Car,Tiret lettres Car,- List tir Car,liste 1 Car,puce 1 Car,Puces Car,Liste 1 Car"/>
    <w:link w:val="Paragraphedeliste"/>
    <w:uiPriority w:val="34"/>
    <w:qFormat/>
    <w:locked/>
    <w:rsid w:val="00AB04ED"/>
    <w:rPr>
      <w:rFonts w:ascii="Arial" w:eastAsia="Times New Roman" w:hAnsi="Arial" w:cs="Times New Roman"/>
      <w:color w:val="000000" w:themeColor="text1"/>
      <w:szCs w:val="20"/>
      <w:lang w:val="en-GB" w:eastAsia="de-DE"/>
    </w:rPr>
  </w:style>
  <w:style w:type="paragraph" w:customStyle="1" w:styleId="puces1">
    <w:name w:val="puces1"/>
    <w:basedOn w:val="Paragraphedeliste"/>
    <w:link w:val="puces1Car"/>
    <w:qFormat/>
    <w:rsid w:val="00AB04ED"/>
    <w:pPr>
      <w:numPr>
        <w:numId w:val="1"/>
      </w:numPr>
      <w:overflowPunct/>
      <w:autoSpaceDE/>
      <w:autoSpaceDN/>
      <w:adjustRightInd/>
      <w:spacing w:line="276" w:lineRule="auto"/>
    </w:pPr>
    <w:rPr>
      <w:color w:val="auto"/>
      <w:szCs w:val="24"/>
      <w:lang w:val="fr-FR" w:eastAsia="fr-FR"/>
    </w:rPr>
  </w:style>
  <w:style w:type="character" w:customStyle="1" w:styleId="puces1Car">
    <w:name w:val="puces1 Car"/>
    <w:link w:val="puces1"/>
    <w:rsid w:val="00AB04ED"/>
    <w:rPr>
      <w:rFonts w:ascii="Arial" w:eastAsia="Times New Roman" w:hAnsi="Arial" w:cs="Times New Roman"/>
      <w:szCs w:val="24"/>
      <w:lang w:eastAsia="fr-FR"/>
    </w:rPr>
  </w:style>
  <w:style w:type="paragraph" w:customStyle="1" w:styleId="Default">
    <w:name w:val="Default"/>
    <w:link w:val="DefaultCar"/>
    <w:qFormat/>
    <w:rsid w:val="00AB04ED"/>
    <w:pPr>
      <w:autoSpaceDE w:val="0"/>
      <w:autoSpaceDN w:val="0"/>
      <w:adjustRightInd w:val="0"/>
      <w:spacing w:after="0" w:line="240" w:lineRule="auto"/>
    </w:pPr>
    <w:rPr>
      <w:rFonts w:ascii="Georgia" w:eastAsia="Calibri" w:hAnsi="Georgia" w:cs="Georgia"/>
      <w:color w:val="000000"/>
      <w:sz w:val="24"/>
      <w:szCs w:val="24"/>
      <w:lang w:eastAsia="fr-FR"/>
    </w:rPr>
  </w:style>
  <w:style w:type="character" w:customStyle="1" w:styleId="DefaultCar">
    <w:name w:val="Default Car"/>
    <w:basedOn w:val="Policepardfaut"/>
    <w:link w:val="Default"/>
    <w:rsid w:val="00AB04ED"/>
    <w:rPr>
      <w:rFonts w:ascii="Georgia" w:eastAsia="Calibri" w:hAnsi="Georgia" w:cs="Georgia"/>
      <w:color w:val="000000"/>
      <w:sz w:val="24"/>
      <w:szCs w:val="24"/>
      <w:lang w:eastAsia="fr-FR"/>
    </w:rPr>
  </w:style>
  <w:style w:type="paragraph" w:styleId="Notedebasdepage">
    <w:name w:val="footnote text"/>
    <w:basedOn w:val="Normal"/>
    <w:link w:val="NotedebasdepageCar"/>
    <w:uiPriority w:val="99"/>
    <w:unhideWhenUsed/>
    <w:rsid w:val="00AB04ED"/>
    <w:pPr>
      <w:spacing w:line="240" w:lineRule="auto"/>
    </w:pPr>
    <w:rPr>
      <w:sz w:val="20"/>
      <w:szCs w:val="20"/>
    </w:rPr>
  </w:style>
  <w:style w:type="character" w:customStyle="1" w:styleId="NotedebasdepageCar">
    <w:name w:val="Note de bas de page Car"/>
    <w:basedOn w:val="Policepardfaut"/>
    <w:link w:val="Notedebasdepage"/>
    <w:uiPriority w:val="99"/>
    <w:rsid w:val="00AB04ED"/>
    <w:rPr>
      <w:rFonts w:ascii="Arial" w:hAnsi="Arial"/>
      <w:color w:val="000000" w:themeColor="text1"/>
      <w:sz w:val="20"/>
      <w:szCs w:val="20"/>
    </w:rPr>
  </w:style>
  <w:style w:type="character" w:styleId="Appelnotedebasdep">
    <w:name w:val="footnote reference"/>
    <w:aliases w:val="ftref,16 Point,Superscript 6 Point,BVI fnr, BVI fnr"/>
    <w:unhideWhenUsed/>
    <w:rsid w:val="00AB04ED"/>
    <w:rPr>
      <w:vertAlign w:val="superscript"/>
    </w:rPr>
  </w:style>
  <w:style w:type="table" w:customStyle="1" w:styleId="Grilledutableau1">
    <w:name w:val="Grille du tableau1"/>
    <w:basedOn w:val="TableauNormal"/>
    <w:next w:val="Grilledutableau"/>
    <w:uiPriority w:val="39"/>
    <w:rsid w:val="00AB04ED"/>
    <w:pPr>
      <w:spacing w:after="0" w:line="240" w:lineRule="auto"/>
    </w:pPr>
    <w:rPr>
      <w:rFonts w:ascii="Calibri" w:eastAsia="Calibri" w:hAnsi="Calibri" w:cs="Times New Roman"/>
      <w:sz w:val="20"/>
      <w:szCs w:val="20"/>
      <w:lang w:eastAsia="fr-F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styleId="Grilledutableau">
    <w:name w:val="Table Grid"/>
    <w:basedOn w:val="TableauNormal"/>
    <w:uiPriority w:val="39"/>
    <w:qFormat/>
    <w:rsid w:val="00AB04ED"/>
    <w:pPr>
      <w:spacing w:after="0" w:line="240" w:lineRule="auto"/>
      <w:jc w:val="center"/>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14">
    <w:name w:val="Grille du tableau14"/>
    <w:basedOn w:val="TableauNormal"/>
    <w:next w:val="Grilledutableau"/>
    <w:uiPriority w:val="59"/>
    <w:rsid w:val="00AB04ED"/>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Grilledutableau15">
    <w:name w:val="Grille du tableau15"/>
    <w:basedOn w:val="TableauNormal"/>
    <w:next w:val="Grilledutableau"/>
    <w:uiPriority w:val="39"/>
    <w:rsid w:val="00AB04E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auGrille1Clair1">
    <w:name w:val="Tableau Grille 1 Clair1"/>
    <w:basedOn w:val="TableauNormal"/>
    <w:uiPriority w:val="46"/>
    <w:rsid w:val="00AB04ED"/>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customStyle="1" w:styleId="fig">
    <w:name w:val="fig"/>
    <w:basedOn w:val="Normal"/>
    <w:link w:val="figCar"/>
    <w:qFormat/>
    <w:rsid w:val="00AB04ED"/>
    <w:pPr>
      <w:spacing w:line="240" w:lineRule="auto"/>
      <w:contextualSpacing/>
      <w:jc w:val="center"/>
    </w:pPr>
    <w:rPr>
      <w:rFonts w:ascii="Arial Narrow" w:eastAsia="Calibri" w:hAnsi="Arial Narrow" w:cs="Times New Roman"/>
      <w:b/>
      <w:sz w:val="20"/>
      <w:szCs w:val="20"/>
      <w:lang w:val="x-none" w:eastAsia="de-DE"/>
    </w:rPr>
  </w:style>
  <w:style w:type="character" w:customStyle="1" w:styleId="figCar">
    <w:name w:val="fig Car"/>
    <w:link w:val="fig"/>
    <w:qFormat/>
    <w:rsid w:val="00AB04ED"/>
    <w:rPr>
      <w:rFonts w:ascii="Arial Narrow" w:eastAsia="Calibri" w:hAnsi="Arial Narrow" w:cs="Times New Roman"/>
      <w:b/>
      <w:color w:val="000000" w:themeColor="text1"/>
      <w:sz w:val="20"/>
      <w:szCs w:val="20"/>
      <w:lang w:val="x-none" w:eastAsia="de-DE"/>
    </w:rPr>
  </w:style>
  <w:style w:type="table" w:customStyle="1" w:styleId="Grilledutableau2">
    <w:name w:val="Grille du tableau2"/>
    <w:basedOn w:val="TableauNormal"/>
    <w:next w:val="Grilledutableau"/>
    <w:uiPriority w:val="39"/>
    <w:rsid w:val="00AB04ED"/>
    <w:pPr>
      <w:spacing w:after="0" w:line="240" w:lineRule="auto"/>
    </w:pPr>
    <w:rPr>
      <w:rFonts w:ascii="Calibri" w:eastAsia="Calibri" w:hAnsi="Calibri" w:cs="Times New Roman"/>
      <w:sz w:val="20"/>
      <w:szCs w:val="20"/>
      <w:lang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3">
    <w:name w:val="Grille du tableau3"/>
    <w:basedOn w:val="TableauNormal"/>
    <w:next w:val="Grilledutableau"/>
    <w:uiPriority w:val="39"/>
    <w:qFormat/>
    <w:rsid w:val="00AB04ED"/>
    <w:pPr>
      <w:spacing w:after="0" w:line="240" w:lineRule="auto"/>
    </w:pPr>
    <w:rPr>
      <w:rFonts w:ascii="Times New Roman" w:eastAsia="Times New Roman" w:hAnsi="Times New Roman" w:cs="Times New Roman"/>
      <w:sz w:val="20"/>
      <w:szCs w:val="20"/>
      <w:lang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4">
    <w:name w:val="Grille du tableau4"/>
    <w:basedOn w:val="TableauNormal"/>
    <w:next w:val="Grilledutableau"/>
    <w:uiPriority w:val="39"/>
    <w:qFormat/>
    <w:rsid w:val="00AB04ED"/>
    <w:pPr>
      <w:spacing w:after="0" w:line="240" w:lineRule="auto"/>
    </w:pPr>
    <w:rPr>
      <w:rFonts w:ascii="Times New Roman" w:eastAsia="Times New Roman" w:hAnsi="Times New Roman" w:cs="Times New Roman"/>
      <w:sz w:val="20"/>
      <w:szCs w:val="20"/>
      <w:lang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5">
    <w:name w:val="Grille du tableau5"/>
    <w:basedOn w:val="TableauNormal"/>
    <w:next w:val="Grilledutableau"/>
    <w:uiPriority w:val="39"/>
    <w:qFormat/>
    <w:rsid w:val="00AB04ED"/>
    <w:pPr>
      <w:spacing w:after="0" w:line="240" w:lineRule="auto"/>
    </w:pPr>
    <w:rPr>
      <w:rFonts w:ascii="Times New Roman" w:eastAsia="Times New Roman" w:hAnsi="Times New Roman" w:cs="Times New Roman"/>
      <w:sz w:val="20"/>
      <w:szCs w:val="20"/>
      <w:lang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6">
    <w:name w:val="Grille du tableau6"/>
    <w:basedOn w:val="TableauNormal"/>
    <w:next w:val="Grilledutableau"/>
    <w:uiPriority w:val="39"/>
    <w:qFormat/>
    <w:rsid w:val="00AB04ED"/>
    <w:pPr>
      <w:spacing w:after="0" w:line="240" w:lineRule="auto"/>
    </w:pPr>
    <w:rPr>
      <w:rFonts w:ascii="Times New Roman" w:eastAsia="Times New Roman" w:hAnsi="Times New Roman" w:cs="Times New Roman"/>
      <w:sz w:val="20"/>
      <w:szCs w:val="20"/>
      <w:lang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7">
    <w:name w:val="Grille du tableau7"/>
    <w:basedOn w:val="TableauNormal"/>
    <w:next w:val="Grilledutableau"/>
    <w:uiPriority w:val="39"/>
    <w:qFormat/>
    <w:rsid w:val="00AB04ED"/>
    <w:pPr>
      <w:spacing w:after="0" w:line="240" w:lineRule="auto"/>
    </w:pPr>
    <w:rPr>
      <w:rFonts w:ascii="Times New Roman" w:eastAsia="Times New Roman" w:hAnsi="Times New Roman" w:cs="Times New Roman"/>
      <w:sz w:val="20"/>
      <w:szCs w:val="20"/>
      <w:lang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8">
    <w:name w:val="Grille du tableau8"/>
    <w:basedOn w:val="TableauNormal"/>
    <w:next w:val="Grilledutableau"/>
    <w:uiPriority w:val="39"/>
    <w:qFormat/>
    <w:rsid w:val="00AB04ED"/>
    <w:pPr>
      <w:spacing w:after="0" w:line="240" w:lineRule="auto"/>
    </w:pPr>
    <w:rPr>
      <w:rFonts w:ascii="Times New Roman" w:eastAsia="Times New Roman" w:hAnsi="Times New Roman" w:cs="Times New Roman"/>
      <w:sz w:val="20"/>
      <w:szCs w:val="20"/>
      <w:lang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9">
    <w:name w:val="Grille du tableau9"/>
    <w:basedOn w:val="TableauNormal"/>
    <w:next w:val="Grilledutableau"/>
    <w:uiPriority w:val="39"/>
    <w:qFormat/>
    <w:rsid w:val="00AB04ED"/>
    <w:pPr>
      <w:spacing w:after="0" w:line="240" w:lineRule="auto"/>
    </w:pPr>
    <w:rPr>
      <w:rFonts w:ascii="Times New Roman" w:eastAsia="Times New Roman" w:hAnsi="Times New Roman" w:cs="Times New Roman"/>
      <w:sz w:val="20"/>
      <w:szCs w:val="20"/>
      <w:lang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Igip1">
    <w:name w:val="Igip1"/>
    <w:basedOn w:val="Normal"/>
    <w:link w:val="Igip1ZchnZchn"/>
    <w:autoRedefine/>
    <w:qFormat/>
    <w:rsid w:val="0008610C"/>
    <w:pPr>
      <w:suppressAutoHyphens/>
      <w:spacing w:before="240" w:after="240"/>
      <w:jc w:val="center"/>
    </w:pPr>
    <w:rPr>
      <w:rFonts w:eastAsia="Calibri" w:cs="Arial"/>
      <w:b/>
      <w:bCs/>
      <w:noProof/>
      <w:szCs w:val="20"/>
      <w:lang w:eastAsia="de-DE"/>
    </w:rPr>
  </w:style>
  <w:style w:type="character" w:customStyle="1" w:styleId="Igip1ZchnZchn">
    <w:name w:val="Igip1 Zchn Zchn"/>
    <w:link w:val="Igip1"/>
    <w:rsid w:val="0008610C"/>
    <w:rPr>
      <w:rFonts w:ascii="Arial" w:eastAsia="Calibri" w:hAnsi="Arial" w:cs="Arial"/>
      <w:b/>
      <w:bCs/>
      <w:noProof/>
      <w:color w:val="000000" w:themeColor="text1"/>
      <w:szCs w:val="20"/>
      <w:lang w:eastAsia="de-DE"/>
    </w:rPr>
  </w:style>
  <w:style w:type="table" w:customStyle="1" w:styleId="Grilledutableau10">
    <w:name w:val="Grille du tableau10"/>
    <w:basedOn w:val="TableauNormal"/>
    <w:next w:val="Grilledutableau"/>
    <w:uiPriority w:val="39"/>
    <w:qFormat/>
    <w:rsid w:val="00AB04ED"/>
    <w:pPr>
      <w:spacing w:after="0" w:line="240" w:lineRule="auto"/>
    </w:pPr>
    <w:rPr>
      <w:rFonts w:ascii="Times New Roman" w:eastAsia="Times New Roman" w:hAnsi="Times New Roman" w:cs="Times New Roman"/>
      <w:sz w:val="20"/>
      <w:szCs w:val="20"/>
      <w:lang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11">
    <w:name w:val="Grille du tableau11"/>
    <w:basedOn w:val="TableauNormal"/>
    <w:next w:val="Grilledutableau"/>
    <w:uiPriority w:val="59"/>
    <w:qFormat/>
    <w:rsid w:val="00AB04ED"/>
    <w:pPr>
      <w:spacing w:after="0" w:line="240" w:lineRule="auto"/>
    </w:pPr>
    <w:rPr>
      <w:rFonts w:ascii="Times New Roman" w:eastAsia="Times New Roman" w:hAnsi="Times New Roman" w:cs="Times New Roman"/>
      <w:sz w:val="20"/>
      <w:szCs w:val="20"/>
      <w:lang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12">
    <w:name w:val="Grille du tableau12"/>
    <w:basedOn w:val="TableauNormal"/>
    <w:next w:val="Grilledutableau"/>
    <w:uiPriority w:val="39"/>
    <w:qFormat/>
    <w:rsid w:val="00AB04ED"/>
    <w:pPr>
      <w:spacing w:after="0" w:line="240" w:lineRule="auto"/>
    </w:pPr>
    <w:rPr>
      <w:rFonts w:ascii="Times New Roman" w:eastAsia="Times New Roman" w:hAnsi="Times New Roman" w:cs="Times New Roman"/>
      <w:sz w:val="20"/>
      <w:szCs w:val="20"/>
      <w:lang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13">
    <w:name w:val="Grille du tableau13"/>
    <w:basedOn w:val="TableauNormal"/>
    <w:next w:val="Grilledutableau"/>
    <w:uiPriority w:val="39"/>
    <w:qFormat/>
    <w:rsid w:val="00AB04ED"/>
    <w:pPr>
      <w:spacing w:after="0" w:line="240" w:lineRule="auto"/>
    </w:pPr>
    <w:rPr>
      <w:rFonts w:ascii="Times New Roman" w:eastAsia="Times New Roman" w:hAnsi="Times New Roman" w:cs="Times New Roman"/>
      <w:sz w:val="20"/>
      <w:szCs w:val="20"/>
      <w:lang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16">
    <w:name w:val="Grille du tableau16"/>
    <w:basedOn w:val="TableauNormal"/>
    <w:next w:val="Grilledutableau"/>
    <w:uiPriority w:val="39"/>
    <w:qFormat/>
    <w:rsid w:val="00AB04ED"/>
    <w:pPr>
      <w:spacing w:after="0" w:line="240" w:lineRule="auto"/>
    </w:pPr>
    <w:rPr>
      <w:rFonts w:ascii="Times New Roman" w:eastAsia="Times New Roman" w:hAnsi="Times New Roman" w:cs="Times New Roman"/>
      <w:sz w:val="20"/>
      <w:szCs w:val="20"/>
      <w:lang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17">
    <w:name w:val="Grille du tableau17"/>
    <w:basedOn w:val="TableauNormal"/>
    <w:next w:val="Grilledutableau"/>
    <w:uiPriority w:val="39"/>
    <w:qFormat/>
    <w:rsid w:val="00AB04ED"/>
    <w:pPr>
      <w:spacing w:after="0" w:line="240" w:lineRule="auto"/>
    </w:pPr>
    <w:rPr>
      <w:rFonts w:ascii="Times New Roman" w:eastAsia="Times New Roman" w:hAnsi="Times New Roman" w:cs="Times New Roman"/>
      <w:sz w:val="20"/>
      <w:szCs w:val="20"/>
      <w:lang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idi1">
    <w:name w:val="didi1"/>
    <w:basedOn w:val="Titre2"/>
    <w:link w:val="didi1Car"/>
    <w:autoRedefine/>
    <w:qFormat/>
    <w:rsid w:val="00C20401"/>
    <w:pPr>
      <w:numPr>
        <w:ilvl w:val="1"/>
        <w:numId w:val="44"/>
      </w:numPr>
    </w:pPr>
  </w:style>
  <w:style w:type="character" w:customStyle="1" w:styleId="didi1Car">
    <w:name w:val="didi1 Car"/>
    <w:link w:val="didi1"/>
    <w:rsid w:val="00C20401"/>
    <w:rPr>
      <w:rFonts w:ascii="Arial" w:eastAsia="Arial" w:hAnsi="Arial" w:cstheme="majorBidi"/>
      <w:sz w:val="40"/>
      <w:szCs w:val="26"/>
      <w:vertAlign w:val="superscript"/>
      <w:lang w:eastAsia="fr-FR"/>
    </w:rPr>
  </w:style>
  <w:style w:type="paragraph" w:customStyle="1" w:styleId="DateduCV">
    <w:name w:val="Date du C.V."/>
    <w:basedOn w:val="Normal"/>
    <w:qFormat/>
    <w:rsid w:val="00AB04ED"/>
    <w:pPr>
      <w:spacing w:before="40" w:after="40" w:line="288" w:lineRule="auto"/>
      <w:ind w:right="1440"/>
    </w:pPr>
    <w:rPr>
      <w:rFonts w:asciiTheme="minorHAnsi" w:hAnsiTheme="minorHAnsi"/>
      <w:color w:val="595959" w:themeColor="text1" w:themeTint="A6"/>
      <w:kern w:val="20"/>
      <w:sz w:val="20"/>
      <w:szCs w:val="20"/>
      <w:lang w:eastAsia="fr-FR"/>
    </w:rPr>
  </w:style>
  <w:style w:type="character" w:styleId="Lienhypertexte">
    <w:name w:val="Hyperlink"/>
    <w:uiPriority w:val="99"/>
    <w:qFormat/>
    <w:rsid w:val="00AB04ED"/>
    <w:rPr>
      <w:color w:val="0000FF"/>
      <w:u w:val="single"/>
    </w:rPr>
  </w:style>
  <w:style w:type="paragraph" w:styleId="TM1">
    <w:name w:val="toc 1"/>
    <w:basedOn w:val="Normal"/>
    <w:next w:val="Normal"/>
    <w:uiPriority w:val="39"/>
    <w:qFormat/>
    <w:rsid w:val="00AB04ED"/>
    <w:pPr>
      <w:spacing w:after="120" w:line="360" w:lineRule="auto"/>
    </w:pPr>
    <w:rPr>
      <w:rFonts w:asciiTheme="minorHAnsi" w:hAnsiTheme="minorHAnsi"/>
      <w:b/>
      <w:bCs/>
      <w:caps/>
      <w:sz w:val="20"/>
      <w:szCs w:val="20"/>
    </w:rPr>
  </w:style>
  <w:style w:type="paragraph" w:styleId="Titre">
    <w:name w:val="Title"/>
    <w:aliases w:val="Titre5,Titre Car Car Car Car Car,Titre Car Car Car Car Car Car,Titre Car Car Car Car,Titre Car Car Car"/>
    <w:basedOn w:val="Titre5"/>
    <w:next w:val="Normal"/>
    <w:link w:val="TitreCar"/>
    <w:autoRedefine/>
    <w:uiPriority w:val="10"/>
    <w:qFormat/>
    <w:rsid w:val="007553CA"/>
    <w:pPr>
      <w:spacing w:before="240" w:after="120"/>
    </w:pPr>
  </w:style>
  <w:style w:type="character" w:customStyle="1" w:styleId="TitreCar">
    <w:name w:val="Titre Car"/>
    <w:aliases w:val="Titre5 Car,Titre Car Car Car Car Car Car1,Titre Car Car Car Car Car Car Car,Titre Car Car Car Car Car1,Titre Car Car Car Car1"/>
    <w:basedOn w:val="Policepardfaut"/>
    <w:link w:val="Titre"/>
    <w:uiPriority w:val="10"/>
    <w:rsid w:val="007553CA"/>
    <w:rPr>
      <w:rFonts w:ascii="Arial" w:eastAsia="Times New Roman" w:hAnsi="Arial" w:cstheme="majorBidi"/>
      <w:i/>
    </w:rPr>
  </w:style>
  <w:style w:type="paragraph" w:styleId="TM3">
    <w:name w:val="toc 3"/>
    <w:basedOn w:val="Normal"/>
    <w:next w:val="Normal"/>
    <w:autoRedefine/>
    <w:uiPriority w:val="39"/>
    <w:unhideWhenUsed/>
    <w:rsid w:val="00AB04ED"/>
    <w:pPr>
      <w:spacing w:after="100"/>
      <w:ind w:left="440"/>
    </w:pPr>
  </w:style>
  <w:style w:type="paragraph" w:styleId="TM2">
    <w:name w:val="toc 2"/>
    <w:basedOn w:val="Normal"/>
    <w:next w:val="Normal"/>
    <w:autoRedefine/>
    <w:uiPriority w:val="39"/>
    <w:unhideWhenUsed/>
    <w:rsid w:val="00F51175"/>
    <w:pPr>
      <w:tabs>
        <w:tab w:val="right" w:leader="dot" w:pos="9062"/>
      </w:tabs>
      <w:spacing w:before="60" w:line="240" w:lineRule="auto"/>
      <w:ind w:left="220"/>
    </w:pPr>
    <w:rPr>
      <w:rFonts w:eastAsia="Times New Roman" w:cs="Arial"/>
      <w:b/>
      <w:i/>
      <w:caps/>
      <w:noProof/>
      <w:sz w:val="20"/>
      <w:szCs w:val="20"/>
      <w:lang w:eastAsia="fr-FR"/>
    </w:rPr>
  </w:style>
  <w:style w:type="paragraph" w:styleId="TM4">
    <w:name w:val="toc 4"/>
    <w:basedOn w:val="Normal"/>
    <w:next w:val="Normal"/>
    <w:autoRedefine/>
    <w:uiPriority w:val="39"/>
    <w:unhideWhenUsed/>
    <w:rsid w:val="00AB04ED"/>
    <w:pPr>
      <w:spacing w:after="100"/>
      <w:ind w:left="660"/>
    </w:pPr>
  </w:style>
  <w:style w:type="paragraph" w:styleId="TM5">
    <w:name w:val="toc 5"/>
    <w:basedOn w:val="Normal"/>
    <w:next w:val="Normal"/>
    <w:autoRedefine/>
    <w:uiPriority w:val="39"/>
    <w:unhideWhenUsed/>
    <w:rsid w:val="00AB04ED"/>
    <w:pPr>
      <w:spacing w:after="100"/>
      <w:ind w:left="880"/>
    </w:pPr>
  </w:style>
  <w:style w:type="character" w:styleId="Accentuation">
    <w:name w:val="Emphasis"/>
    <w:basedOn w:val="Policepardfaut"/>
    <w:uiPriority w:val="20"/>
    <w:qFormat/>
    <w:rsid w:val="00AB04ED"/>
    <w:rPr>
      <w:i/>
      <w:iCs/>
    </w:rPr>
  </w:style>
  <w:style w:type="paragraph" w:styleId="NormalWeb">
    <w:name w:val="Normal (Web)"/>
    <w:aliases w:val="Normal (Web) Car"/>
    <w:basedOn w:val="Normal"/>
    <w:uiPriority w:val="30"/>
    <w:unhideWhenUsed/>
    <w:qFormat/>
    <w:rsid w:val="002359B0"/>
    <w:rPr>
      <w:rFonts w:eastAsia="Times New Roman" w:cs="Times New Roman"/>
      <w:color w:val="auto"/>
      <w:szCs w:val="24"/>
      <w:lang w:eastAsia="fr-FR"/>
    </w:rPr>
  </w:style>
  <w:style w:type="character" w:customStyle="1" w:styleId="nowrap1">
    <w:name w:val="nowrap1"/>
    <w:basedOn w:val="Policepardfaut"/>
    <w:rsid w:val="00AB04ED"/>
  </w:style>
  <w:style w:type="character" w:customStyle="1" w:styleId="citecrochet1">
    <w:name w:val="cite_crochet1"/>
    <w:basedOn w:val="Policepardfaut"/>
    <w:rsid w:val="00AB04ED"/>
    <w:rPr>
      <w:vanish/>
      <w:webHidden w:val="0"/>
      <w:specVanish w:val="0"/>
    </w:rPr>
  </w:style>
  <w:style w:type="paragraph" w:customStyle="1" w:styleId="E1">
    <w:name w:val="E1"/>
    <w:basedOn w:val="Normal"/>
    <w:link w:val="E1Zchn"/>
    <w:qFormat/>
    <w:rsid w:val="00AB04ED"/>
    <w:pPr>
      <w:numPr>
        <w:numId w:val="12"/>
      </w:numPr>
      <w:tabs>
        <w:tab w:val="left" w:pos="284"/>
      </w:tabs>
      <w:suppressAutoHyphens/>
      <w:spacing w:after="120" w:line="240" w:lineRule="auto"/>
      <w:jc w:val="both"/>
    </w:pPr>
    <w:rPr>
      <w:rFonts w:eastAsia="Arial Unicode MS" w:cs="Arial"/>
      <w:snapToGrid w:val="0"/>
      <w:color w:val="auto"/>
      <w:sz w:val="20"/>
      <w:szCs w:val="20"/>
      <w:lang w:eastAsia="de-DE"/>
    </w:rPr>
  </w:style>
  <w:style w:type="character" w:customStyle="1" w:styleId="E1Zchn">
    <w:name w:val="E1 Zchn"/>
    <w:link w:val="E1"/>
    <w:rsid w:val="00AB04ED"/>
    <w:rPr>
      <w:rFonts w:ascii="Arial" w:eastAsia="Arial Unicode MS" w:hAnsi="Arial" w:cs="Arial"/>
      <w:snapToGrid w:val="0"/>
      <w:sz w:val="20"/>
      <w:szCs w:val="20"/>
      <w:lang w:eastAsia="de-DE"/>
    </w:rPr>
  </w:style>
  <w:style w:type="paragraph" w:customStyle="1" w:styleId="Table">
    <w:name w:val="Table"/>
    <w:basedOn w:val="Lgende"/>
    <w:next w:val="Normal"/>
    <w:rsid w:val="00AB04ED"/>
    <w:pPr>
      <w:keepNext w:val="0"/>
      <w:tabs>
        <w:tab w:val="left" w:pos="1418"/>
      </w:tabs>
      <w:suppressAutoHyphens/>
      <w:ind w:left="1418" w:hanging="1418"/>
    </w:pPr>
    <w:rPr>
      <w:rFonts w:cs="Times New Roman"/>
      <w:color w:val="002060"/>
      <w:szCs w:val="24"/>
    </w:rPr>
  </w:style>
  <w:style w:type="paragraph" w:customStyle="1" w:styleId="E2">
    <w:name w:val="E2"/>
    <w:basedOn w:val="Normal"/>
    <w:link w:val="E2Car"/>
    <w:qFormat/>
    <w:rsid w:val="00AB04ED"/>
    <w:pPr>
      <w:numPr>
        <w:numId w:val="24"/>
      </w:numPr>
      <w:suppressAutoHyphens/>
      <w:spacing w:after="120" w:line="240" w:lineRule="auto"/>
      <w:jc w:val="both"/>
    </w:pPr>
    <w:rPr>
      <w:rFonts w:eastAsia="Arial Unicode MS" w:cs="Times New Roman"/>
      <w:snapToGrid w:val="0"/>
      <w:color w:val="auto"/>
      <w:sz w:val="20"/>
      <w:szCs w:val="20"/>
      <w:lang w:eastAsia="de-DE"/>
    </w:rPr>
  </w:style>
  <w:style w:type="character" w:customStyle="1" w:styleId="E2Car">
    <w:name w:val="E2 Car"/>
    <w:link w:val="E2"/>
    <w:rsid w:val="00AB04ED"/>
    <w:rPr>
      <w:rFonts w:ascii="Arial" w:eastAsia="Arial Unicode MS" w:hAnsi="Arial" w:cs="Times New Roman"/>
      <w:snapToGrid w:val="0"/>
      <w:sz w:val="20"/>
      <w:szCs w:val="20"/>
      <w:lang w:eastAsia="de-DE"/>
    </w:rPr>
  </w:style>
  <w:style w:type="paragraph" w:customStyle="1" w:styleId="liste3">
    <w:name w:val="liste 3"/>
    <w:basedOn w:val="Normal"/>
    <w:link w:val="liste3Car"/>
    <w:qFormat/>
    <w:rsid w:val="00AB04ED"/>
    <w:pPr>
      <w:numPr>
        <w:numId w:val="23"/>
      </w:numPr>
      <w:suppressAutoHyphens/>
      <w:spacing w:after="120" w:line="240" w:lineRule="auto"/>
      <w:jc w:val="both"/>
    </w:pPr>
    <w:rPr>
      <w:rFonts w:eastAsia="Times New Roman" w:cs="Arial"/>
      <w:color w:val="auto"/>
      <w:sz w:val="20"/>
      <w:lang w:bidi="en-US"/>
    </w:rPr>
  </w:style>
  <w:style w:type="character" w:customStyle="1" w:styleId="liste3Car">
    <w:name w:val="liste 3 Car"/>
    <w:link w:val="liste3"/>
    <w:rsid w:val="00AB04ED"/>
    <w:rPr>
      <w:rFonts w:ascii="Arial" w:eastAsia="Times New Roman" w:hAnsi="Arial" w:cs="Arial"/>
      <w:sz w:val="20"/>
      <w:lang w:bidi="en-US"/>
    </w:rPr>
  </w:style>
  <w:style w:type="paragraph" w:customStyle="1" w:styleId="Source">
    <w:name w:val="Source"/>
    <w:basedOn w:val="Corpsdetexte"/>
    <w:link w:val="SourceCar"/>
    <w:qFormat/>
    <w:rsid w:val="00AB04ED"/>
    <w:pPr>
      <w:suppressAutoHyphens/>
      <w:overflowPunct w:val="0"/>
      <w:autoSpaceDE w:val="0"/>
      <w:autoSpaceDN w:val="0"/>
      <w:adjustRightInd w:val="0"/>
      <w:spacing w:before="40" w:line="240" w:lineRule="auto"/>
      <w:jc w:val="both"/>
      <w:textAlignment w:val="baseline"/>
    </w:pPr>
    <w:rPr>
      <w:rFonts w:eastAsia="Times New Roman" w:cs="Times New Roman"/>
      <w:smallCaps/>
      <w:color w:val="auto"/>
      <w:sz w:val="16"/>
      <w:szCs w:val="16"/>
      <w:lang w:val="x-none" w:eastAsia="fr-CA"/>
    </w:rPr>
  </w:style>
  <w:style w:type="character" w:customStyle="1" w:styleId="SourceCar">
    <w:name w:val="Source Car"/>
    <w:link w:val="Source"/>
    <w:rsid w:val="00AB04ED"/>
    <w:rPr>
      <w:rFonts w:ascii="Arial" w:eastAsia="Times New Roman" w:hAnsi="Arial" w:cs="Times New Roman"/>
      <w:smallCaps/>
      <w:sz w:val="16"/>
      <w:szCs w:val="16"/>
      <w:lang w:val="x-none" w:eastAsia="fr-CA"/>
    </w:rPr>
  </w:style>
  <w:style w:type="paragraph" w:styleId="Corpsdetexte">
    <w:name w:val="Body Text"/>
    <w:basedOn w:val="Normal"/>
    <w:link w:val="CorpsdetexteCar"/>
    <w:unhideWhenUsed/>
    <w:rsid w:val="00AB04ED"/>
    <w:pPr>
      <w:spacing w:after="120"/>
    </w:pPr>
  </w:style>
  <w:style w:type="character" w:customStyle="1" w:styleId="CorpsdetexteCar">
    <w:name w:val="Corps de texte Car"/>
    <w:basedOn w:val="Policepardfaut"/>
    <w:link w:val="Corpsdetexte"/>
    <w:rsid w:val="00AB04ED"/>
    <w:rPr>
      <w:rFonts w:ascii="Arial" w:hAnsi="Arial"/>
      <w:color w:val="000000" w:themeColor="text1"/>
    </w:rPr>
  </w:style>
  <w:style w:type="numbering" w:customStyle="1" w:styleId="Style1232">
    <w:name w:val="Style1232"/>
    <w:rsid w:val="00AB04ED"/>
    <w:pPr>
      <w:numPr>
        <w:numId w:val="38"/>
      </w:numPr>
    </w:pPr>
  </w:style>
  <w:style w:type="table" w:customStyle="1" w:styleId="Grilledutableau18">
    <w:name w:val="Grille du tableau18"/>
    <w:basedOn w:val="TableauNormal"/>
    <w:next w:val="Grilledutableau"/>
    <w:uiPriority w:val="39"/>
    <w:rsid w:val="00701C80"/>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19">
    <w:name w:val="Grille du tableau19"/>
    <w:basedOn w:val="TableauNormal"/>
    <w:next w:val="Grilledutableau"/>
    <w:uiPriority w:val="39"/>
    <w:rsid w:val="00701C80"/>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20">
    <w:name w:val="Grille du tableau20"/>
    <w:basedOn w:val="TableauNormal"/>
    <w:next w:val="Grilledutableau"/>
    <w:uiPriority w:val="39"/>
    <w:rsid w:val="00701C80"/>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edebulles">
    <w:name w:val="Balloon Text"/>
    <w:basedOn w:val="Normal"/>
    <w:link w:val="TextedebullesCar"/>
    <w:uiPriority w:val="99"/>
    <w:semiHidden/>
    <w:unhideWhenUsed/>
    <w:rsid w:val="00401546"/>
    <w:pPr>
      <w:spacing w:before="0" w:line="240" w:lineRule="auto"/>
    </w:pPr>
    <w:rPr>
      <w:rFonts w:ascii="Segoe UI" w:hAnsi="Segoe UI" w:cs="Segoe UI"/>
      <w:sz w:val="18"/>
      <w:szCs w:val="18"/>
    </w:rPr>
  </w:style>
  <w:style w:type="character" w:customStyle="1" w:styleId="TextedebullesCar">
    <w:name w:val="Texte de bulles Car"/>
    <w:basedOn w:val="Policepardfaut"/>
    <w:link w:val="Textedebulles"/>
    <w:uiPriority w:val="99"/>
    <w:semiHidden/>
    <w:rsid w:val="00401546"/>
    <w:rPr>
      <w:rFonts w:ascii="Segoe UI" w:hAnsi="Segoe UI" w:cs="Segoe UI"/>
      <w:color w:val="000000" w:themeColor="text1"/>
      <w:sz w:val="18"/>
      <w:szCs w:val="18"/>
    </w:rPr>
  </w:style>
  <w:style w:type="table" w:customStyle="1" w:styleId="Grilledutableau181">
    <w:name w:val="Grille du tableau181"/>
    <w:basedOn w:val="TableauNormal"/>
    <w:next w:val="Grilledutableau"/>
    <w:uiPriority w:val="59"/>
    <w:rsid w:val="00401546"/>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T1">
    <w:name w:val="T1"/>
    <w:basedOn w:val="Titre1"/>
    <w:qFormat/>
    <w:rsid w:val="00401546"/>
    <w:pPr>
      <w:widowControl w:val="0"/>
      <w:numPr>
        <w:numId w:val="60"/>
      </w:numPr>
      <w:pBdr>
        <w:bottom w:val="single" w:sz="12" w:space="1" w:color="C2002F"/>
      </w:pBdr>
      <w:spacing w:before="60" w:after="60" w:line="259" w:lineRule="auto"/>
      <w:ind w:left="501"/>
    </w:pPr>
    <w:rPr>
      <w:rFonts w:ascii="Avenir LT Std 35 Light" w:eastAsia="Times New Roman" w:hAnsi="Avenir LT Std 35 Light" w:cs="Times New Roman"/>
      <w:bCs/>
      <w:caps w:val="0"/>
      <w:color w:val="C2002F"/>
      <w:szCs w:val="36"/>
      <w:lang w:eastAsia="en-US"/>
    </w:rPr>
  </w:style>
  <w:style w:type="paragraph" w:customStyle="1" w:styleId="T3">
    <w:name w:val="T3"/>
    <w:basedOn w:val="Normal"/>
    <w:qFormat/>
    <w:rsid w:val="00401546"/>
    <w:pPr>
      <w:keepNext/>
      <w:keepLines/>
      <w:widowControl w:val="0"/>
      <w:spacing w:before="60" w:after="60" w:line="259" w:lineRule="auto"/>
      <w:jc w:val="both"/>
      <w:outlineLvl w:val="2"/>
    </w:pPr>
    <w:rPr>
      <w:rFonts w:ascii="Avenir LT Std 35 Light" w:eastAsia="Times New Roman" w:hAnsi="Avenir LT Std 35 Light" w:cs="Times New Roman"/>
      <w:b/>
      <w:color w:val="000000"/>
      <w:sz w:val="26"/>
      <w:szCs w:val="28"/>
      <w:u w:val="single"/>
    </w:rPr>
  </w:style>
  <w:style w:type="paragraph" w:styleId="En-ttedetabledesmatires">
    <w:name w:val="TOC Heading"/>
    <w:basedOn w:val="Titre1"/>
    <w:next w:val="Normal"/>
    <w:uiPriority w:val="39"/>
    <w:unhideWhenUsed/>
    <w:qFormat/>
    <w:rsid w:val="00401546"/>
    <w:pPr>
      <w:widowControl w:val="0"/>
      <w:spacing w:before="480" w:after="0" w:line="276" w:lineRule="auto"/>
      <w:outlineLvl w:val="9"/>
    </w:pPr>
    <w:rPr>
      <w:rFonts w:asciiTheme="majorHAnsi" w:eastAsiaTheme="majorEastAsia" w:hAnsiTheme="majorHAnsi"/>
      <w:bCs/>
      <w:color w:val="2E74B5" w:themeColor="accent1" w:themeShade="BF"/>
      <w:lang w:eastAsia="en-US"/>
    </w:rPr>
  </w:style>
  <w:style w:type="paragraph" w:customStyle="1" w:styleId="FrontPage3">
    <w:name w:val="FrontPage3"/>
    <w:basedOn w:val="Normal"/>
    <w:next w:val="Normalcentr"/>
    <w:rsid w:val="00401546"/>
    <w:pPr>
      <w:widowControl w:val="0"/>
      <w:suppressAutoHyphens/>
      <w:spacing w:before="160" w:line="320" w:lineRule="exact"/>
    </w:pPr>
    <w:rPr>
      <w:rFonts w:ascii="TrueHelveticaLight" w:eastAsia="Times New Roman" w:hAnsi="TrueHelveticaLight" w:cs="Times New Roman"/>
      <w:color w:val="auto"/>
      <w:sz w:val="20"/>
      <w:szCs w:val="20"/>
      <w:lang w:val="en-GB" w:eastAsia="da-DK"/>
    </w:rPr>
  </w:style>
  <w:style w:type="paragraph" w:styleId="Normalcentr">
    <w:name w:val="Block Text"/>
    <w:basedOn w:val="Normal"/>
    <w:uiPriority w:val="99"/>
    <w:semiHidden/>
    <w:unhideWhenUsed/>
    <w:rsid w:val="00401546"/>
    <w:pPr>
      <w:widowControl w:val="0"/>
      <w:pBdr>
        <w:top w:val="single" w:sz="2" w:space="10" w:color="5B9BD5" w:themeColor="accent1"/>
        <w:left w:val="single" w:sz="2" w:space="10" w:color="5B9BD5" w:themeColor="accent1"/>
        <w:bottom w:val="single" w:sz="2" w:space="10" w:color="5B9BD5" w:themeColor="accent1"/>
        <w:right w:val="single" w:sz="2" w:space="10" w:color="5B9BD5" w:themeColor="accent1"/>
      </w:pBdr>
      <w:spacing w:before="0" w:line="240" w:lineRule="auto"/>
      <w:ind w:left="1152" w:right="1152"/>
      <w:jc w:val="both"/>
    </w:pPr>
    <w:rPr>
      <w:rFonts w:asciiTheme="minorHAnsi" w:eastAsiaTheme="minorEastAsia" w:hAnsiTheme="minorHAnsi"/>
      <w:i/>
      <w:iCs/>
      <w:color w:val="5B9BD5" w:themeColor="accent1"/>
    </w:rPr>
  </w:style>
  <w:style w:type="character" w:styleId="Numrodepage">
    <w:name w:val="page number"/>
    <w:basedOn w:val="Policepardfaut"/>
    <w:rsid w:val="00401546"/>
  </w:style>
  <w:style w:type="character" w:styleId="Marquedecommentaire">
    <w:name w:val="annotation reference"/>
    <w:basedOn w:val="Policepardfaut"/>
    <w:uiPriority w:val="99"/>
    <w:unhideWhenUsed/>
    <w:qFormat/>
    <w:rsid w:val="00401546"/>
    <w:rPr>
      <w:sz w:val="16"/>
      <w:szCs w:val="16"/>
    </w:rPr>
  </w:style>
  <w:style w:type="paragraph" w:styleId="Commentaire">
    <w:name w:val="annotation text"/>
    <w:basedOn w:val="Normal"/>
    <w:link w:val="CommentaireCar"/>
    <w:uiPriority w:val="99"/>
    <w:unhideWhenUsed/>
    <w:rsid w:val="00401546"/>
    <w:pPr>
      <w:widowControl w:val="0"/>
      <w:spacing w:before="0" w:line="240" w:lineRule="auto"/>
      <w:jc w:val="both"/>
    </w:pPr>
    <w:rPr>
      <w:color w:val="auto"/>
      <w:sz w:val="20"/>
      <w:szCs w:val="20"/>
    </w:rPr>
  </w:style>
  <w:style w:type="character" w:customStyle="1" w:styleId="CommentaireCar">
    <w:name w:val="Commentaire Car"/>
    <w:basedOn w:val="Policepardfaut"/>
    <w:link w:val="Commentaire"/>
    <w:uiPriority w:val="99"/>
    <w:qFormat/>
    <w:rsid w:val="00401546"/>
    <w:rPr>
      <w:rFonts w:ascii="Arial" w:hAnsi="Arial"/>
      <w:sz w:val="20"/>
      <w:szCs w:val="20"/>
    </w:rPr>
  </w:style>
  <w:style w:type="paragraph" w:styleId="Objetducommentaire">
    <w:name w:val="annotation subject"/>
    <w:basedOn w:val="Commentaire"/>
    <w:next w:val="Commentaire"/>
    <w:link w:val="ObjetducommentaireCar"/>
    <w:uiPriority w:val="99"/>
    <w:semiHidden/>
    <w:unhideWhenUsed/>
    <w:rsid w:val="00401546"/>
    <w:rPr>
      <w:b/>
      <w:bCs/>
    </w:rPr>
  </w:style>
  <w:style w:type="character" w:customStyle="1" w:styleId="ObjetducommentaireCar">
    <w:name w:val="Objet du commentaire Car"/>
    <w:basedOn w:val="CommentaireCar"/>
    <w:link w:val="Objetducommentaire"/>
    <w:uiPriority w:val="99"/>
    <w:semiHidden/>
    <w:rsid w:val="00401546"/>
    <w:rPr>
      <w:rFonts w:ascii="Arial" w:hAnsi="Arial"/>
      <w:b/>
      <w:bCs/>
      <w:sz w:val="20"/>
      <w:szCs w:val="20"/>
    </w:rPr>
  </w:style>
  <w:style w:type="character" w:styleId="lev">
    <w:name w:val="Strong"/>
    <w:basedOn w:val="Policepardfaut"/>
    <w:uiPriority w:val="22"/>
    <w:qFormat/>
    <w:rsid w:val="00401546"/>
    <w:rPr>
      <w:b/>
      <w:bCs/>
    </w:rPr>
  </w:style>
  <w:style w:type="character" w:customStyle="1" w:styleId="mw-headline">
    <w:name w:val="mw-headline"/>
    <w:basedOn w:val="Policepardfaut"/>
    <w:rsid w:val="00401546"/>
  </w:style>
  <w:style w:type="character" w:customStyle="1" w:styleId="mw-editsection">
    <w:name w:val="mw-editsection"/>
    <w:basedOn w:val="Policepardfaut"/>
    <w:rsid w:val="00401546"/>
  </w:style>
  <w:style w:type="character" w:customStyle="1" w:styleId="mw-editsection-bracket">
    <w:name w:val="mw-editsection-bracket"/>
    <w:basedOn w:val="Policepardfaut"/>
    <w:rsid w:val="00401546"/>
  </w:style>
  <w:style w:type="character" w:customStyle="1" w:styleId="mw-editsection-divider">
    <w:name w:val="mw-editsection-divider"/>
    <w:basedOn w:val="Policepardfaut"/>
    <w:rsid w:val="00401546"/>
  </w:style>
  <w:style w:type="character" w:customStyle="1" w:styleId="apple-converted-space">
    <w:name w:val="apple-converted-space"/>
    <w:basedOn w:val="Policepardfaut"/>
    <w:rsid w:val="00401546"/>
  </w:style>
  <w:style w:type="character" w:styleId="Emphaseple">
    <w:name w:val="Subtle Emphasis"/>
    <w:basedOn w:val="Policepardfaut"/>
    <w:uiPriority w:val="19"/>
    <w:rsid w:val="00401546"/>
    <w:rPr>
      <w:i/>
      <w:iCs/>
      <w:color w:val="404040" w:themeColor="text1" w:themeTint="BF"/>
    </w:rPr>
  </w:style>
  <w:style w:type="paragraph" w:styleId="Tabledesillustrations">
    <w:name w:val="table of figures"/>
    <w:basedOn w:val="Normal"/>
    <w:next w:val="Normal"/>
    <w:uiPriority w:val="99"/>
    <w:unhideWhenUsed/>
    <w:qFormat/>
    <w:rsid w:val="00401546"/>
    <w:pPr>
      <w:widowControl w:val="0"/>
      <w:spacing w:before="0" w:line="240" w:lineRule="auto"/>
      <w:jc w:val="both"/>
    </w:pPr>
    <w:rPr>
      <w:color w:val="auto"/>
    </w:rPr>
  </w:style>
  <w:style w:type="paragraph" w:customStyle="1" w:styleId="BodyText21">
    <w:name w:val="Body Text 21"/>
    <w:basedOn w:val="Normal"/>
    <w:rsid w:val="00401546"/>
    <w:pPr>
      <w:widowControl w:val="0"/>
      <w:spacing w:before="0" w:line="240" w:lineRule="auto"/>
      <w:jc w:val="both"/>
    </w:pPr>
    <w:rPr>
      <w:rFonts w:eastAsia="Times New Roman" w:cs="Times New Roman"/>
      <w:color w:val="auto"/>
      <w:szCs w:val="20"/>
      <w:lang w:eastAsia="fr-FR"/>
    </w:rPr>
  </w:style>
  <w:style w:type="paragraph" w:customStyle="1" w:styleId="Titre20">
    <w:name w:val="Titre2"/>
    <w:basedOn w:val="Titre2"/>
    <w:uiPriority w:val="99"/>
    <w:qFormat/>
    <w:rsid w:val="007025F6"/>
    <w:pPr>
      <w:spacing w:before="240" w:after="120"/>
    </w:pPr>
    <w:rPr>
      <w:rFonts w:ascii="Arial Gras" w:eastAsiaTheme="majorEastAsia" w:hAnsi="Arial Gras" w:cs="Arial"/>
      <w:sz w:val="26"/>
      <w:szCs w:val="32"/>
      <w:vertAlign w:val="baseline"/>
      <w:lang w:eastAsia="en-US"/>
    </w:rPr>
  </w:style>
  <w:style w:type="paragraph" w:customStyle="1" w:styleId="Titre40">
    <w:name w:val="Titre4"/>
    <w:basedOn w:val="Titre4"/>
    <w:qFormat/>
    <w:rsid w:val="002769BF"/>
  </w:style>
  <w:style w:type="paragraph" w:customStyle="1" w:styleId="Corpstexte">
    <w:name w:val="Corps texte"/>
    <w:basedOn w:val="Normal"/>
    <w:qFormat/>
    <w:rsid w:val="00401546"/>
    <w:pPr>
      <w:widowControl w:val="0"/>
      <w:spacing w:before="0" w:line="252" w:lineRule="auto"/>
      <w:jc w:val="both"/>
    </w:pPr>
    <w:rPr>
      <w:rFonts w:cs="Arial"/>
      <w:color w:val="auto"/>
    </w:rPr>
  </w:style>
  <w:style w:type="paragraph" w:styleId="TM6">
    <w:name w:val="toc 6"/>
    <w:basedOn w:val="Normal"/>
    <w:next w:val="Normal"/>
    <w:autoRedefine/>
    <w:uiPriority w:val="39"/>
    <w:unhideWhenUsed/>
    <w:rsid w:val="00401546"/>
    <w:pPr>
      <w:widowControl w:val="0"/>
      <w:spacing w:before="0" w:line="240" w:lineRule="auto"/>
      <w:ind w:left="1100"/>
    </w:pPr>
    <w:rPr>
      <w:rFonts w:asciiTheme="minorHAnsi" w:hAnsiTheme="minorHAnsi"/>
      <w:color w:val="auto"/>
      <w:sz w:val="20"/>
      <w:szCs w:val="20"/>
    </w:rPr>
  </w:style>
  <w:style w:type="paragraph" w:styleId="TM7">
    <w:name w:val="toc 7"/>
    <w:basedOn w:val="Normal"/>
    <w:next w:val="Normal"/>
    <w:autoRedefine/>
    <w:uiPriority w:val="39"/>
    <w:unhideWhenUsed/>
    <w:rsid w:val="00401546"/>
    <w:pPr>
      <w:widowControl w:val="0"/>
      <w:spacing w:before="0" w:line="240" w:lineRule="auto"/>
      <w:ind w:left="1320"/>
    </w:pPr>
    <w:rPr>
      <w:rFonts w:asciiTheme="minorHAnsi" w:hAnsiTheme="minorHAnsi"/>
      <w:color w:val="auto"/>
      <w:sz w:val="20"/>
      <w:szCs w:val="20"/>
    </w:rPr>
  </w:style>
  <w:style w:type="paragraph" w:styleId="TM8">
    <w:name w:val="toc 8"/>
    <w:basedOn w:val="Normal"/>
    <w:next w:val="Normal"/>
    <w:autoRedefine/>
    <w:uiPriority w:val="39"/>
    <w:unhideWhenUsed/>
    <w:rsid w:val="00401546"/>
    <w:pPr>
      <w:widowControl w:val="0"/>
      <w:spacing w:before="0" w:line="240" w:lineRule="auto"/>
      <w:ind w:left="1540"/>
    </w:pPr>
    <w:rPr>
      <w:rFonts w:asciiTheme="minorHAnsi" w:hAnsiTheme="minorHAnsi"/>
      <w:color w:val="auto"/>
      <w:sz w:val="20"/>
      <w:szCs w:val="20"/>
    </w:rPr>
  </w:style>
  <w:style w:type="paragraph" w:styleId="TM9">
    <w:name w:val="toc 9"/>
    <w:basedOn w:val="Normal"/>
    <w:next w:val="Normal"/>
    <w:autoRedefine/>
    <w:uiPriority w:val="39"/>
    <w:unhideWhenUsed/>
    <w:rsid w:val="00401546"/>
    <w:pPr>
      <w:widowControl w:val="0"/>
      <w:spacing w:before="0" w:line="240" w:lineRule="auto"/>
      <w:ind w:left="1760"/>
    </w:pPr>
    <w:rPr>
      <w:rFonts w:asciiTheme="minorHAnsi" w:hAnsiTheme="minorHAnsi"/>
      <w:color w:val="auto"/>
      <w:sz w:val="20"/>
      <w:szCs w:val="20"/>
    </w:rPr>
  </w:style>
  <w:style w:type="paragraph" w:customStyle="1" w:styleId="Illustration">
    <w:name w:val="Illustration"/>
    <w:basedOn w:val="Normal"/>
    <w:qFormat/>
    <w:rsid w:val="00401546"/>
    <w:pPr>
      <w:widowControl w:val="0"/>
      <w:spacing w:before="0" w:line="240" w:lineRule="auto"/>
      <w:jc w:val="center"/>
    </w:pPr>
    <w:rPr>
      <w:b/>
      <w:i/>
      <w:color w:val="auto"/>
      <w:sz w:val="18"/>
      <w:szCs w:val="20"/>
      <w:u w:val="single"/>
    </w:rPr>
  </w:style>
  <w:style w:type="paragraph" w:styleId="Index1">
    <w:name w:val="index 1"/>
    <w:basedOn w:val="Normal"/>
    <w:next w:val="Normal"/>
    <w:autoRedefine/>
    <w:uiPriority w:val="99"/>
    <w:semiHidden/>
    <w:unhideWhenUsed/>
    <w:rsid w:val="00401546"/>
    <w:pPr>
      <w:widowControl w:val="0"/>
      <w:spacing w:before="0" w:line="240" w:lineRule="auto"/>
      <w:ind w:left="220" w:hanging="220"/>
      <w:jc w:val="both"/>
    </w:pPr>
    <w:rPr>
      <w:color w:val="auto"/>
    </w:rPr>
  </w:style>
  <w:style w:type="paragraph" w:styleId="TitreTR">
    <w:name w:val="toa heading"/>
    <w:basedOn w:val="Normal"/>
    <w:next w:val="Normal"/>
    <w:uiPriority w:val="99"/>
    <w:semiHidden/>
    <w:unhideWhenUsed/>
    <w:rsid w:val="00401546"/>
    <w:pPr>
      <w:widowControl w:val="0"/>
      <w:spacing w:line="240" w:lineRule="auto"/>
      <w:jc w:val="both"/>
    </w:pPr>
    <w:rPr>
      <w:rFonts w:asciiTheme="majorHAnsi" w:eastAsiaTheme="majorEastAsia" w:hAnsiTheme="majorHAnsi" w:cstheme="majorBidi"/>
      <w:b/>
      <w:bCs/>
      <w:color w:val="auto"/>
      <w:sz w:val="24"/>
      <w:szCs w:val="24"/>
    </w:rPr>
  </w:style>
  <w:style w:type="paragraph" w:customStyle="1" w:styleId="Tableau0">
    <w:name w:val="Tableau"/>
    <w:basedOn w:val="Normal"/>
    <w:qFormat/>
    <w:rsid w:val="00401546"/>
    <w:pPr>
      <w:widowControl w:val="0"/>
      <w:spacing w:before="0" w:line="240" w:lineRule="auto"/>
      <w:jc w:val="both"/>
    </w:pPr>
    <w:rPr>
      <w:b/>
      <w:i/>
      <w:color w:val="auto"/>
      <w:sz w:val="20"/>
      <w:u w:val="single"/>
    </w:rPr>
  </w:style>
  <w:style w:type="paragraph" w:customStyle="1" w:styleId="INDEXFigure">
    <w:name w:val="INDEX Figure"/>
    <w:basedOn w:val="Illustration"/>
    <w:qFormat/>
    <w:rsid w:val="00401546"/>
  </w:style>
  <w:style w:type="table" w:customStyle="1" w:styleId="Tableausimple21">
    <w:name w:val="Tableau simple 21"/>
    <w:basedOn w:val="TableauNormal"/>
    <w:uiPriority w:val="42"/>
    <w:rsid w:val="00401546"/>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leauListe21">
    <w:name w:val="Tableau Liste 21"/>
    <w:basedOn w:val="TableauNormal"/>
    <w:uiPriority w:val="47"/>
    <w:rsid w:val="00401546"/>
    <w:pPr>
      <w:spacing w:after="0" w:line="240" w:lineRule="auto"/>
    </w:pPr>
    <w:tblPr>
      <w:tblStyleRowBandSize w:val="1"/>
      <w:tblStyleColBandSize w:val="1"/>
      <w:tblBorders>
        <w:top w:val="single" w:sz="4" w:space="0" w:color="666666" w:themeColor="text1" w:themeTint="99"/>
        <w:bottom w:val="single" w:sz="4" w:space="0" w:color="666666" w:themeColor="text1" w:themeTint="99"/>
        <w:insideH w:val="single" w:sz="4" w:space="0" w:color="66666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customStyle="1" w:styleId="xl90">
    <w:name w:val="xl90"/>
    <w:basedOn w:val="Normal"/>
    <w:rsid w:val="00401546"/>
    <w:pPr>
      <w:widowControl w:val="0"/>
      <w:shd w:val="clear" w:color="000000" w:fill="F8CBAD"/>
      <w:spacing w:before="100" w:beforeAutospacing="1" w:after="100" w:afterAutospacing="1" w:line="240" w:lineRule="auto"/>
      <w:jc w:val="center"/>
    </w:pPr>
    <w:rPr>
      <w:rFonts w:ascii="Times New Roman" w:eastAsia="Times New Roman" w:hAnsi="Times New Roman" w:cs="Times New Roman"/>
      <w:b/>
      <w:bCs/>
      <w:color w:val="auto"/>
      <w:sz w:val="14"/>
      <w:szCs w:val="14"/>
      <w:lang w:eastAsia="fr-FR"/>
    </w:rPr>
  </w:style>
  <w:style w:type="paragraph" w:customStyle="1" w:styleId="xl116">
    <w:name w:val="xl116"/>
    <w:basedOn w:val="Normal"/>
    <w:rsid w:val="00401546"/>
    <w:pPr>
      <w:widowControl w:val="0"/>
      <w:shd w:val="clear" w:color="000000" w:fill="F8CBAD"/>
      <w:spacing w:before="100" w:beforeAutospacing="1" w:after="100" w:afterAutospacing="1" w:line="240" w:lineRule="auto"/>
      <w:jc w:val="center"/>
    </w:pPr>
    <w:rPr>
      <w:rFonts w:ascii="Times New Roman" w:eastAsia="Times New Roman" w:hAnsi="Times New Roman" w:cs="Times New Roman"/>
      <w:color w:val="auto"/>
      <w:sz w:val="16"/>
      <w:szCs w:val="16"/>
      <w:lang w:eastAsia="fr-FR"/>
    </w:rPr>
  </w:style>
  <w:style w:type="paragraph" w:customStyle="1" w:styleId="xl117">
    <w:name w:val="xl117"/>
    <w:basedOn w:val="Normal"/>
    <w:rsid w:val="00401546"/>
    <w:pPr>
      <w:widowControl w:val="0"/>
      <w:spacing w:before="100" w:beforeAutospacing="1" w:after="100" w:afterAutospacing="1" w:line="240" w:lineRule="auto"/>
      <w:jc w:val="center"/>
    </w:pPr>
    <w:rPr>
      <w:rFonts w:ascii="Times New Roman" w:eastAsia="Times New Roman" w:hAnsi="Times New Roman" w:cs="Times New Roman"/>
      <w:color w:val="auto"/>
      <w:sz w:val="16"/>
      <w:szCs w:val="16"/>
      <w:lang w:eastAsia="fr-FR"/>
    </w:rPr>
  </w:style>
  <w:style w:type="paragraph" w:customStyle="1" w:styleId="xl123">
    <w:name w:val="xl123"/>
    <w:basedOn w:val="Normal"/>
    <w:rsid w:val="00401546"/>
    <w:pPr>
      <w:widowControl w:val="0"/>
      <w:pBdr>
        <w:top w:val="single" w:sz="8" w:space="0" w:color="auto"/>
        <w:bottom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auto"/>
      <w:sz w:val="16"/>
      <w:szCs w:val="16"/>
      <w:lang w:eastAsia="fr-FR"/>
    </w:rPr>
  </w:style>
  <w:style w:type="paragraph" w:customStyle="1" w:styleId="xl125">
    <w:name w:val="xl125"/>
    <w:basedOn w:val="Normal"/>
    <w:rsid w:val="00401546"/>
    <w:pPr>
      <w:widowControl w:val="0"/>
      <w:pBdr>
        <w:bottom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auto"/>
      <w:sz w:val="16"/>
      <w:szCs w:val="16"/>
      <w:lang w:eastAsia="fr-FR"/>
    </w:rPr>
  </w:style>
  <w:style w:type="paragraph" w:customStyle="1" w:styleId="xl126">
    <w:name w:val="xl126"/>
    <w:basedOn w:val="Normal"/>
    <w:rsid w:val="00401546"/>
    <w:pPr>
      <w:widowControl w:val="0"/>
      <w:pBdr>
        <w:top w:val="single" w:sz="8" w:space="0" w:color="auto"/>
      </w:pBdr>
      <w:shd w:val="clear" w:color="000000" w:fill="E2EFDA"/>
      <w:spacing w:before="100" w:beforeAutospacing="1" w:after="100" w:afterAutospacing="1" w:line="240" w:lineRule="auto"/>
      <w:jc w:val="center"/>
    </w:pPr>
    <w:rPr>
      <w:rFonts w:ascii="Times New Roman" w:eastAsia="Times New Roman" w:hAnsi="Times New Roman" w:cs="Times New Roman"/>
      <w:color w:val="auto"/>
      <w:sz w:val="14"/>
      <w:szCs w:val="14"/>
      <w:lang w:eastAsia="fr-FR"/>
    </w:rPr>
  </w:style>
  <w:style w:type="paragraph" w:customStyle="1" w:styleId="xl128">
    <w:name w:val="xl128"/>
    <w:basedOn w:val="Normal"/>
    <w:rsid w:val="00401546"/>
    <w:pPr>
      <w:widowControl w:val="0"/>
      <w:pBdr>
        <w:bottom w:val="single" w:sz="8" w:space="0" w:color="auto"/>
      </w:pBdr>
      <w:spacing w:before="100" w:beforeAutospacing="1" w:after="100" w:afterAutospacing="1" w:line="240" w:lineRule="auto"/>
      <w:jc w:val="center"/>
    </w:pPr>
    <w:rPr>
      <w:rFonts w:ascii="Times New Roman" w:eastAsia="Times New Roman" w:hAnsi="Times New Roman" w:cs="Times New Roman"/>
      <w:color w:val="auto"/>
      <w:sz w:val="14"/>
      <w:szCs w:val="14"/>
      <w:lang w:eastAsia="fr-FR"/>
    </w:rPr>
  </w:style>
  <w:style w:type="paragraph" w:customStyle="1" w:styleId="xl129">
    <w:name w:val="xl129"/>
    <w:basedOn w:val="Normal"/>
    <w:rsid w:val="00401546"/>
    <w:pPr>
      <w:widowControl w:val="0"/>
      <w:pBdr>
        <w:lef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auto"/>
      <w:sz w:val="18"/>
      <w:szCs w:val="18"/>
      <w:lang w:eastAsia="fr-FR"/>
    </w:rPr>
  </w:style>
  <w:style w:type="paragraph" w:customStyle="1" w:styleId="xl132">
    <w:name w:val="xl132"/>
    <w:basedOn w:val="Normal"/>
    <w:rsid w:val="00401546"/>
    <w:pPr>
      <w:widowControl w:val="0"/>
      <w:pBdr>
        <w:top w:val="single" w:sz="8" w:space="0" w:color="auto"/>
        <w:left w:val="single" w:sz="8" w:space="0" w:color="auto"/>
        <w:bottom w:val="single" w:sz="8" w:space="0" w:color="auto"/>
      </w:pBdr>
      <w:shd w:val="clear" w:color="000000" w:fill="E2EFDA"/>
      <w:spacing w:before="100" w:beforeAutospacing="1" w:after="100" w:afterAutospacing="1" w:line="240" w:lineRule="auto"/>
      <w:jc w:val="center"/>
      <w:textAlignment w:val="center"/>
    </w:pPr>
    <w:rPr>
      <w:rFonts w:ascii="Times New Roman" w:eastAsia="Times New Roman" w:hAnsi="Times New Roman" w:cs="Times New Roman"/>
      <w:b/>
      <w:bCs/>
      <w:color w:val="auto"/>
      <w:sz w:val="18"/>
      <w:szCs w:val="18"/>
      <w:lang w:eastAsia="fr-FR"/>
    </w:rPr>
  </w:style>
  <w:style w:type="character" w:styleId="Rfrenceintense">
    <w:name w:val="Intense Reference"/>
    <w:uiPriority w:val="32"/>
    <w:qFormat/>
    <w:rsid w:val="00401546"/>
    <w:rPr>
      <w:color w:val="0070C0"/>
    </w:rPr>
  </w:style>
  <w:style w:type="table" w:customStyle="1" w:styleId="Tableausimple11">
    <w:name w:val="Tableau simple 11"/>
    <w:basedOn w:val="TableauNormal"/>
    <w:uiPriority w:val="41"/>
    <w:rsid w:val="00401546"/>
    <w:pPr>
      <w:spacing w:after="0" w:line="240" w:lineRule="auto"/>
    </w:pPr>
    <w:rPr>
      <w:rFonts w:ascii="Calibri" w:eastAsia="Times New Roman" w:hAnsi="Calibri" w:cs="Times New Roman"/>
      <w:sz w:val="20"/>
      <w:szCs w:val="20"/>
      <w:lang w:eastAsia="fr-FR"/>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TableauListe211">
    <w:name w:val="Tableau Liste 211"/>
    <w:basedOn w:val="TableauNormal"/>
    <w:next w:val="TableauListe21"/>
    <w:uiPriority w:val="47"/>
    <w:rsid w:val="00401546"/>
    <w:pPr>
      <w:spacing w:after="0" w:line="240" w:lineRule="auto"/>
    </w:pPr>
    <w:rPr>
      <w:rFonts w:ascii="Calibri" w:eastAsia="Times New Roman" w:hAnsi="Calibri" w:cs="Times New Roman"/>
      <w:sz w:val="20"/>
      <w:szCs w:val="20"/>
      <w:lang w:eastAsia="fr-FR"/>
    </w:rPr>
    <w:tblPr>
      <w:tblStyleRowBandSize w:val="1"/>
      <w:tblStyleColBandSize w:val="1"/>
      <w:tblBorders>
        <w:top w:val="single" w:sz="4" w:space="0" w:color="666666"/>
        <w:bottom w:val="single" w:sz="4" w:space="0" w:color="666666"/>
        <w:insideH w:val="single" w:sz="4" w:space="0" w:color="666666"/>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paragraph" w:customStyle="1" w:styleId="xl66">
    <w:name w:val="xl66"/>
    <w:basedOn w:val="Normal"/>
    <w:rsid w:val="00401546"/>
    <w:pPr>
      <w:widowControl w:val="0"/>
      <w:spacing w:before="100" w:beforeAutospacing="1" w:after="100" w:afterAutospacing="1" w:line="240" w:lineRule="auto"/>
    </w:pPr>
    <w:rPr>
      <w:rFonts w:ascii="Times New Roman" w:eastAsia="Times New Roman" w:hAnsi="Times New Roman" w:cs="Times New Roman"/>
      <w:color w:val="auto"/>
      <w:sz w:val="20"/>
      <w:szCs w:val="20"/>
      <w:lang w:eastAsia="fr-FR"/>
    </w:rPr>
  </w:style>
  <w:style w:type="paragraph" w:customStyle="1" w:styleId="xl67">
    <w:name w:val="xl67"/>
    <w:basedOn w:val="Normal"/>
    <w:rsid w:val="00401546"/>
    <w:pPr>
      <w:widowControl w:val="0"/>
      <w:spacing w:before="100" w:beforeAutospacing="1" w:after="100" w:afterAutospacing="1" w:line="240" w:lineRule="auto"/>
    </w:pPr>
    <w:rPr>
      <w:rFonts w:ascii="Times New Roman" w:eastAsia="Times New Roman" w:hAnsi="Times New Roman" w:cs="Times New Roman"/>
      <w:b/>
      <w:bCs/>
      <w:color w:val="C00000"/>
      <w:sz w:val="20"/>
      <w:szCs w:val="20"/>
      <w:lang w:eastAsia="fr-FR"/>
    </w:rPr>
  </w:style>
  <w:style w:type="paragraph" w:customStyle="1" w:styleId="xl68">
    <w:name w:val="xl68"/>
    <w:basedOn w:val="Normal"/>
    <w:rsid w:val="00401546"/>
    <w:pPr>
      <w:widowControl w:val="0"/>
      <w:spacing w:before="100" w:beforeAutospacing="1" w:after="100" w:afterAutospacing="1" w:line="240" w:lineRule="auto"/>
    </w:pPr>
    <w:rPr>
      <w:rFonts w:ascii="Times New Roman" w:eastAsia="Times New Roman" w:hAnsi="Times New Roman" w:cs="Times New Roman"/>
      <w:b/>
      <w:bCs/>
      <w:color w:val="auto"/>
      <w:sz w:val="14"/>
      <w:szCs w:val="14"/>
      <w:u w:val="single"/>
      <w:lang w:eastAsia="fr-FR"/>
    </w:rPr>
  </w:style>
  <w:style w:type="paragraph" w:customStyle="1" w:styleId="xl69">
    <w:name w:val="xl69"/>
    <w:basedOn w:val="Normal"/>
    <w:rsid w:val="00401546"/>
    <w:pPr>
      <w:widowControl w:val="0"/>
      <w:spacing w:before="100" w:beforeAutospacing="1" w:after="100" w:afterAutospacing="1" w:line="240" w:lineRule="auto"/>
    </w:pPr>
    <w:rPr>
      <w:rFonts w:ascii="Times New Roman" w:eastAsia="Times New Roman" w:hAnsi="Times New Roman" w:cs="Times New Roman"/>
      <w:color w:val="auto"/>
      <w:sz w:val="14"/>
      <w:szCs w:val="14"/>
      <w:lang w:eastAsia="fr-FR"/>
    </w:rPr>
  </w:style>
  <w:style w:type="paragraph" w:customStyle="1" w:styleId="xl70">
    <w:name w:val="xl70"/>
    <w:basedOn w:val="Normal"/>
    <w:rsid w:val="00401546"/>
    <w:pPr>
      <w:widowControl w:val="0"/>
      <w:spacing w:before="100" w:beforeAutospacing="1" w:after="100" w:afterAutospacing="1" w:line="240" w:lineRule="auto"/>
    </w:pPr>
    <w:rPr>
      <w:rFonts w:ascii="Times New Roman" w:eastAsia="Times New Roman" w:hAnsi="Times New Roman" w:cs="Times New Roman"/>
      <w:color w:val="FFFFFF"/>
      <w:sz w:val="14"/>
      <w:szCs w:val="14"/>
      <w:lang w:eastAsia="fr-FR"/>
    </w:rPr>
  </w:style>
  <w:style w:type="paragraph" w:customStyle="1" w:styleId="xl71">
    <w:name w:val="xl71"/>
    <w:basedOn w:val="Normal"/>
    <w:rsid w:val="00401546"/>
    <w:pPr>
      <w:widowControl w:val="0"/>
      <w:pBdr>
        <w:top w:val="single" w:sz="8" w:space="0" w:color="auto"/>
        <w:left w:val="single" w:sz="8" w:space="0" w:color="auto"/>
        <w:bottom w:val="single" w:sz="8" w:space="0" w:color="auto"/>
      </w:pBdr>
      <w:shd w:val="clear" w:color="000000" w:fill="808080"/>
      <w:spacing w:before="100" w:beforeAutospacing="1" w:after="100" w:afterAutospacing="1" w:line="240" w:lineRule="auto"/>
    </w:pPr>
    <w:rPr>
      <w:rFonts w:ascii="Times New Roman" w:eastAsia="Times New Roman" w:hAnsi="Times New Roman" w:cs="Times New Roman"/>
      <w:color w:val="FFFFFF"/>
      <w:sz w:val="14"/>
      <w:szCs w:val="14"/>
      <w:lang w:eastAsia="fr-FR"/>
    </w:rPr>
  </w:style>
  <w:style w:type="paragraph" w:customStyle="1" w:styleId="xl72">
    <w:name w:val="xl72"/>
    <w:basedOn w:val="Normal"/>
    <w:rsid w:val="00401546"/>
    <w:pPr>
      <w:widowControl w:val="0"/>
      <w:pBdr>
        <w:top w:val="single" w:sz="8" w:space="0" w:color="auto"/>
        <w:bottom w:val="single" w:sz="8" w:space="0" w:color="auto"/>
      </w:pBdr>
      <w:shd w:val="clear" w:color="000000" w:fill="808080"/>
      <w:spacing w:before="100" w:beforeAutospacing="1" w:after="100" w:afterAutospacing="1" w:line="240" w:lineRule="auto"/>
    </w:pPr>
    <w:rPr>
      <w:rFonts w:ascii="Times New Roman" w:eastAsia="Times New Roman" w:hAnsi="Times New Roman" w:cs="Times New Roman"/>
      <w:color w:val="FFFFFF"/>
      <w:sz w:val="14"/>
      <w:szCs w:val="14"/>
      <w:lang w:eastAsia="fr-FR"/>
    </w:rPr>
  </w:style>
  <w:style w:type="paragraph" w:customStyle="1" w:styleId="xl73">
    <w:name w:val="xl73"/>
    <w:basedOn w:val="Normal"/>
    <w:rsid w:val="00401546"/>
    <w:pPr>
      <w:widowControl w:val="0"/>
      <w:pBdr>
        <w:top w:val="single" w:sz="8" w:space="0" w:color="auto"/>
        <w:bottom w:val="single" w:sz="8" w:space="0" w:color="auto"/>
        <w:right w:val="single" w:sz="8" w:space="0" w:color="auto"/>
      </w:pBdr>
      <w:shd w:val="clear" w:color="000000" w:fill="808080"/>
      <w:spacing w:before="100" w:beforeAutospacing="1" w:after="100" w:afterAutospacing="1" w:line="240" w:lineRule="auto"/>
    </w:pPr>
    <w:rPr>
      <w:rFonts w:ascii="Times New Roman" w:eastAsia="Times New Roman" w:hAnsi="Times New Roman" w:cs="Times New Roman"/>
      <w:color w:val="FFFFFF"/>
      <w:sz w:val="14"/>
      <w:szCs w:val="14"/>
      <w:lang w:eastAsia="fr-FR"/>
    </w:rPr>
  </w:style>
  <w:style w:type="paragraph" w:customStyle="1" w:styleId="xl74">
    <w:name w:val="xl74"/>
    <w:basedOn w:val="Normal"/>
    <w:rsid w:val="00401546"/>
    <w:pPr>
      <w:widowControl w:val="0"/>
      <w:pBdr>
        <w:top w:val="single" w:sz="8" w:space="0" w:color="auto"/>
        <w:left w:val="single" w:sz="8" w:space="0" w:color="auto"/>
      </w:pBdr>
      <w:shd w:val="clear" w:color="000000" w:fill="808080"/>
      <w:spacing w:before="100" w:beforeAutospacing="1" w:after="100" w:afterAutospacing="1" w:line="240" w:lineRule="auto"/>
    </w:pPr>
    <w:rPr>
      <w:rFonts w:ascii="Times New Roman" w:eastAsia="Times New Roman" w:hAnsi="Times New Roman" w:cs="Times New Roman"/>
      <w:b/>
      <w:bCs/>
      <w:color w:val="FFFFFF"/>
      <w:sz w:val="18"/>
      <w:szCs w:val="18"/>
      <w:lang w:eastAsia="fr-FR"/>
    </w:rPr>
  </w:style>
  <w:style w:type="paragraph" w:customStyle="1" w:styleId="xl75">
    <w:name w:val="xl75"/>
    <w:basedOn w:val="Normal"/>
    <w:rsid w:val="00401546"/>
    <w:pPr>
      <w:widowControl w:val="0"/>
      <w:pBdr>
        <w:top w:val="single" w:sz="8" w:space="0" w:color="auto"/>
      </w:pBdr>
      <w:shd w:val="clear" w:color="000000" w:fill="808080"/>
      <w:spacing w:before="100" w:beforeAutospacing="1" w:after="100" w:afterAutospacing="1" w:line="240" w:lineRule="auto"/>
    </w:pPr>
    <w:rPr>
      <w:rFonts w:ascii="Times New Roman" w:eastAsia="Times New Roman" w:hAnsi="Times New Roman" w:cs="Times New Roman"/>
      <w:color w:val="FFFFFF"/>
      <w:sz w:val="20"/>
      <w:szCs w:val="20"/>
      <w:lang w:eastAsia="fr-FR"/>
    </w:rPr>
  </w:style>
  <w:style w:type="paragraph" w:customStyle="1" w:styleId="xl76">
    <w:name w:val="xl76"/>
    <w:basedOn w:val="Normal"/>
    <w:rsid w:val="00401546"/>
    <w:pPr>
      <w:widowControl w:val="0"/>
      <w:pBdr>
        <w:left w:val="single" w:sz="8" w:space="0" w:color="auto"/>
        <w:bottom w:val="single" w:sz="8" w:space="0" w:color="auto"/>
      </w:pBdr>
      <w:shd w:val="clear" w:color="000000" w:fill="808080"/>
      <w:spacing w:before="100" w:beforeAutospacing="1" w:after="100" w:afterAutospacing="1" w:line="240" w:lineRule="auto"/>
    </w:pPr>
    <w:rPr>
      <w:rFonts w:ascii="Times New Roman" w:eastAsia="Times New Roman" w:hAnsi="Times New Roman" w:cs="Times New Roman"/>
      <w:b/>
      <w:bCs/>
      <w:color w:val="FFFFFF"/>
      <w:sz w:val="18"/>
      <w:szCs w:val="18"/>
      <w:lang w:eastAsia="fr-FR"/>
    </w:rPr>
  </w:style>
  <w:style w:type="paragraph" w:customStyle="1" w:styleId="xl77">
    <w:name w:val="xl77"/>
    <w:basedOn w:val="Normal"/>
    <w:rsid w:val="00401546"/>
    <w:pPr>
      <w:widowControl w:val="0"/>
      <w:pBdr>
        <w:bottom w:val="single" w:sz="8" w:space="0" w:color="auto"/>
      </w:pBdr>
      <w:shd w:val="clear" w:color="000000" w:fill="808080"/>
      <w:spacing w:before="100" w:beforeAutospacing="1" w:after="100" w:afterAutospacing="1" w:line="240" w:lineRule="auto"/>
    </w:pPr>
    <w:rPr>
      <w:rFonts w:ascii="Times New Roman" w:eastAsia="Times New Roman" w:hAnsi="Times New Roman" w:cs="Times New Roman"/>
      <w:color w:val="FFFFFF"/>
      <w:sz w:val="14"/>
      <w:szCs w:val="14"/>
      <w:lang w:eastAsia="fr-FR"/>
    </w:rPr>
  </w:style>
  <w:style w:type="paragraph" w:customStyle="1" w:styleId="xl78">
    <w:name w:val="xl78"/>
    <w:basedOn w:val="Normal"/>
    <w:rsid w:val="00401546"/>
    <w:pPr>
      <w:widowControl w:val="0"/>
      <w:spacing w:before="100" w:beforeAutospacing="1" w:after="100" w:afterAutospacing="1" w:line="240" w:lineRule="auto"/>
      <w:jc w:val="center"/>
    </w:pPr>
    <w:rPr>
      <w:rFonts w:ascii="Times New Roman" w:eastAsia="Times New Roman" w:hAnsi="Times New Roman" w:cs="Times New Roman"/>
      <w:color w:val="auto"/>
      <w:sz w:val="14"/>
      <w:szCs w:val="14"/>
      <w:lang w:eastAsia="fr-FR"/>
    </w:rPr>
  </w:style>
  <w:style w:type="paragraph" w:customStyle="1" w:styleId="xl79">
    <w:name w:val="xl79"/>
    <w:basedOn w:val="Normal"/>
    <w:rsid w:val="00401546"/>
    <w:pPr>
      <w:widowControl w:val="0"/>
      <w:pBdr>
        <w:top w:val="single" w:sz="8" w:space="0" w:color="auto"/>
        <w:left w:val="single" w:sz="8" w:space="0" w:color="auto"/>
      </w:pBdr>
      <w:shd w:val="clear" w:color="000000" w:fill="FFCC99"/>
      <w:spacing w:before="100" w:beforeAutospacing="1" w:after="100" w:afterAutospacing="1" w:line="240" w:lineRule="auto"/>
      <w:jc w:val="center"/>
    </w:pPr>
    <w:rPr>
      <w:rFonts w:ascii="Times New Roman" w:eastAsia="Times New Roman" w:hAnsi="Times New Roman" w:cs="Times New Roman"/>
      <w:color w:val="auto"/>
      <w:sz w:val="14"/>
      <w:szCs w:val="14"/>
      <w:lang w:eastAsia="fr-FR"/>
    </w:rPr>
  </w:style>
  <w:style w:type="paragraph" w:customStyle="1" w:styleId="xl80">
    <w:name w:val="xl80"/>
    <w:basedOn w:val="Normal"/>
    <w:rsid w:val="00401546"/>
    <w:pPr>
      <w:widowControl w:val="0"/>
      <w:pBdr>
        <w:top w:val="single" w:sz="8" w:space="0" w:color="auto"/>
      </w:pBdr>
      <w:shd w:val="clear" w:color="000000" w:fill="FFCC99"/>
      <w:spacing w:before="100" w:beforeAutospacing="1" w:after="100" w:afterAutospacing="1" w:line="240" w:lineRule="auto"/>
      <w:jc w:val="center"/>
    </w:pPr>
    <w:rPr>
      <w:rFonts w:ascii="Times New Roman" w:eastAsia="Times New Roman" w:hAnsi="Times New Roman" w:cs="Times New Roman"/>
      <w:color w:val="auto"/>
      <w:sz w:val="14"/>
      <w:szCs w:val="14"/>
      <w:lang w:eastAsia="fr-FR"/>
    </w:rPr>
  </w:style>
  <w:style w:type="paragraph" w:customStyle="1" w:styleId="xl81">
    <w:name w:val="xl81"/>
    <w:basedOn w:val="Normal"/>
    <w:rsid w:val="00401546"/>
    <w:pPr>
      <w:widowControl w:val="0"/>
      <w:pBdr>
        <w:top w:val="single" w:sz="8" w:space="0" w:color="auto"/>
      </w:pBdr>
      <w:shd w:val="clear" w:color="000000" w:fill="FFCC99"/>
      <w:spacing w:before="100" w:beforeAutospacing="1" w:after="100" w:afterAutospacing="1" w:line="240" w:lineRule="auto"/>
      <w:jc w:val="center"/>
    </w:pPr>
    <w:rPr>
      <w:rFonts w:ascii="Times New Roman" w:eastAsia="Times New Roman" w:hAnsi="Times New Roman" w:cs="Times New Roman"/>
      <w:b/>
      <w:bCs/>
      <w:color w:val="auto"/>
      <w:sz w:val="14"/>
      <w:szCs w:val="14"/>
      <w:lang w:eastAsia="fr-FR"/>
    </w:rPr>
  </w:style>
  <w:style w:type="paragraph" w:customStyle="1" w:styleId="xl82">
    <w:name w:val="xl82"/>
    <w:basedOn w:val="Normal"/>
    <w:rsid w:val="00401546"/>
    <w:pPr>
      <w:widowControl w:val="0"/>
      <w:pBdr>
        <w:top w:val="single" w:sz="8" w:space="0" w:color="auto"/>
      </w:pBdr>
      <w:shd w:val="clear" w:color="000000" w:fill="FFCC99"/>
      <w:spacing w:before="100" w:beforeAutospacing="1" w:after="100" w:afterAutospacing="1" w:line="240" w:lineRule="auto"/>
    </w:pPr>
    <w:rPr>
      <w:rFonts w:ascii="Times New Roman" w:eastAsia="Times New Roman" w:hAnsi="Times New Roman" w:cs="Times New Roman"/>
      <w:color w:val="auto"/>
      <w:sz w:val="14"/>
      <w:szCs w:val="14"/>
      <w:lang w:eastAsia="fr-FR"/>
    </w:rPr>
  </w:style>
  <w:style w:type="paragraph" w:customStyle="1" w:styleId="xl83">
    <w:name w:val="xl83"/>
    <w:basedOn w:val="Normal"/>
    <w:rsid w:val="00401546"/>
    <w:pPr>
      <w:widowControl w:val="0"/>
      <w:pBdr>
        <w:left w:val="single" w:sz="8" w:space="0" w:color="auto"/>
        <w:bottom w:val="single" w:sz="8" w:space="0" w:color="auto"/>
      </w:pBdr>
      <w:shd w:val="clear" w:color="000000" w:fill="FFCC99"/>
      <w:spacing w:before="100" w:beforeAutospacing="1" w:after="100" w:afterAutospacing="1" w:line="240" w:lineRule="auto"/>
      <w:jc w:val="center"/>
    </w:pPr>
    <w:rPr>
      <w:rFonts w:ascii="Times New Roman" w:eastAsia="Times New Roman" w:hAnsi="Times New Roman" w:cs="Times New Roman"/>
      <w:color w:val="auto"/>
      <w:sz w:val="14"/>
      <w:szCs w:val="14"/>
      <w:lang w:eastAsia="fr-FR"/>
    </w:rPr>
  </w:style>
  <w:style w:type="paragraph" w:customStyle="1" w:styleId="xl84">
    <w:name w:val="xl84"/>
    <w:basedOn w:val="Normal"/>
    <w:rsid w:val="00401546"/>
    <w:pPr>
      <w:widowControl w:val="0"/>
      <w:pBdr>
        <w:bottom w:val="single" w:sz="8" w:space="0" w:color="auto"/>
      </w:pBdr>
      <w:shd w:val="clear" w:color="000000" w:fill="FFCC99"/>
      <w:spacing w:before="100" w:beforeAutospacing="1" w:after="100" w:afterAutospacing="1" w:line="240" w:lineRule="auto"/>
      <w:jc w:val="center"/>
    </w:pPr>
    <w:rPr>
      <w:rFonts w:ascii="Times New Roman" w:eastAsia="Times New Roman" w:hAnsi="Times New Roman" w:cs="Times New Roman"/>
      <w:color w:val="auto"/>
      <w:sz w:val="14"/>
      <w:szCs w:val="14"/>
      <w:lang w:eastAsia="fr-FR"/>
    </w:rPr>
  </w:style>
  <w:style w:type="paragraph" w:customStyle="1" w:styleId="xl85">
    <w:name w:val="xl85"/>
    <w:basedOn w:val="Normal"/>
    <w:rsid w:val="00401546"/>
    <w:pPr>
      <w:widowControl w:val="0"/>
      <w:pBdr>
        <w:bottom w:val="single" w:sz="8" w:space="0" w:color="auto"/>
      </w:pBdr>
      <w:shd w:val="clear" w:color="000000" w:fill="FFCC99"/>
      <w:spacing w:before="100" w:beforeAutospacing="1" w:after="100" w:afterAutospacing="1" w:line="240" w:lineRule="auto"/>
    </w:pPr>
    <w:rPr>
      <w:rFonts w:ascii="Times New Roman" w:eastAsia="Times New Roman" w:hAnsi="Times New Roman" w:cs="Times New Roman"/>
      <w:color w:val="auto"/>
      <w:sz w:val="14"/>
      <w:szCs w:val="14"/>
      <w:lang w:eastAsia="fr-FR"/>
    </w:rPr>
  </w:style>
  <w:style w:type="paragraph" w:customStyle="1" w:styleId="xl86">
    <w:name w:val="xl86"/>
    <w:basedOn w:val="Normal"/>
    <w:rsid w:val="00401546"/>
    <w:pPr>
      <w:widowControl w:val="0"/>
      <w:pBdr>
        <w:bottom w:val="single" w:sz="8" w:space="0" w:color="auto"/>
      </w:pBdr>
      <w:shd w:val="clear" w:color="000000" w:fill="FFCC99"/>
      <w:spacing w:before="100" w:beforeAutospacing="1" w:after="100" w:afterAutospacing="1" w:line="240" w:lineRule="auto"/>
      <w:jc w:val="center"/>
    </w:pPr>
    <w:rPr>
      <w:rFonts w:ascii="Times New Roman" w:eastAsia="Times New Roman" w:hAnsi="Times New Roman" w:cs="Times New Roman"/>
      <w:b/>
      <w:bCs/>
      <w:color w:val="auto"/>
      <w:sz w:val="14"/>
      <w:szCs w:val="14"/>
      <w:lang w:eastAsia="fr-FR"/>
    </w:rPr>
  </w:style>
  <w:style w:type="paragraph" w:customStyle="1" w:styleId="xl87">
    <w:name w:val="xl87"/>
    <w:basedOn w:val="Normal"/>
    <w:rsid w:val="00401546"/>
    <w:pPr>
      <w:widowControl w:val="0"/>
      <w:spacing w:before="100" w:beforeAutospacing="1" w:after="100" w:afterAutospacing="1" w:line="240" w:lineRule="auto"/>
      <w:jc w:val="center"/>
    </w:pPr>
    <w:rPr>
      <w:rFonts w:ascii="Times New Roman" w:eastAsia="Times New Roman" w:hAnsi="Times New Roman" w:cs="Times New Roman"/>
      <w:b/>
      <w:bCs/>
      <w:color w:val="auto"/>
      <w:sz w:val="14"/>
      <w:szCs w:val="14"/>
      <w:lang w:eastAsia="fr-FR"/>
    </w:rPr>
  </w:style>
  <w:style w:type="paragraph" w:customStyle="1" w:styleId="xl88">
    <w:name w:val="xl88"/>
    <w:basedOn w:val="Normal"/>
    <w:rsid w:val="00401546"/>
    <w:pPr>
      <w:widowControl w:val="0"/>
      <w:shd w:val="clear" w:color="000000" w:fill="F8CBAD"/>
      <w:spacing w:before="100" w:beforeAutospacing="1" w:after="100" w:afterAutospacing="1" w:line="240" w:lineRule="auto"/>
    </w:pPr>
    <w:rPr>
      <w:rFonts w:ascii="Times New Roman" w:eastAsia="Times New Roman" w:hAnsi="Times New Roman" w:cs="Times New Roman"/>
      <w:b/>
      <w:bCs/>
      <w:color w:val="auto"/>
      <w:sz w:val="18"/>
      <w:szCs w:val="18"/>
      <w:u w:val="single"/>
      <w:lang w:eastAsia="fr-FR"/>
    </w:rPr>
  </w:style>
  <w:style w:type="paragraph" w:customStyle="1" w:styleId="xl89">
    <w:name w:val="xl89"/>
    <w:basedOn w:val="Normal"/>
    <w:rsid w:val="00401546"/>
    <w:pPr>
      <w:widowControl w:val="0"/>
      <w:shd w:val="clear" w:color="000000" w:fill="F8CBAD"/>
      <w:spacing w:before="100" w:beforeAutospacing="1" w:after="100" w:afterAutospacing="1" w:line="240" w:lineRule="auto"/>
      <w:jc w:val="center"/>
    </w:pPr>
    <w:rPr>
      <w:rFonts w:ascii="Times New Roman" w:eastAsia="Times New Roman" w:hAnsi="Times New Roman" w:cs="Times New Roman"/>
      <w:color w:val="auto"/>
      <w:sz w:val="14"/>
      <w:szCs w:val="14"/>
      <w:lang w:eastAsia="fr-FR"/>
    </w:rPr>
  </w:style>
  <w:style w:type="paragraph" w:customStyle="1" w:styleId="xl91">
    <w:name w:val="xl91"/>
    <w:basedOn w:val="Normal"/>
    <w:rsid w:val="00401546"/>
    <w:pPr>
      <w:widowControl w:val="0"/>
      <w:pBdr>
        <w:top w:val="single" w:sz="8" w:space="0" w:color="auto"/>
        <w:left w:val="single" w:sz="8" w:space="0" w:color="auto"/>
      </w:pBdr>
      <w:spacing w:before="100" w:beforeAutospacing="1" w:after="100" w:afterAutospacing="1" w:line="240" w:lineRule="auto"/>
      <w:jc w:val="center"/>
    </w:pPr>
    <w:rPr>
      <w:rFonts w:ascii="Times New Roman" w:eastAsia="Times New Roman" w:hAnsi="Times New Roman" w:cs="Times New Roman"/>
      <w:b/>
      <w:bCs/>
      <w:color w:val="auto"/>
      <w:sz w:val="16"/>
      <w:szCs w:val="16"/>
      <w:lang w:eastAsia="fr-FR"/>
    </w:rPr>
  </w:style>
  <w:style w:type="paragraph" w:customStyle="1" w:styleId="xl92">
    <w:name w:val="xl92"/>
    <w:basedOn w:val="Normal"/>
    <w:rsid w:val="00401546"/>
    <w:pPr>
      <w:widowControl w:val="0"/>
      <w:pBdr>
        <w:top w:val="single" w:sz="8" w:space="0" w:color="auto"/>
      </w:pBdr>
      <w:spacing w:before="100" w:beforeAutospacing="1" w:after="100" w:afterAutospacing="1" w:line="240" w:lineRule="auto"/>
      <w:jc w:val="center"/>
    </w:pPr>
    <w:rPr>
      <w:rFonts w:ascii="Times New Roman" w:eastAsia="Times New Roman" w:hAnsi="Times New Roman" w:cs="Times New Roman"/>
      <w:color w:val="auto"/>
      <w:sz w:val="16"/>
      <w:szCs w:val="16"/>
      <w:lang w:eastAsia="fr-FR"/>
    </w:rPr>
  </w:style>
  <w:style w:type="paragraph" w:customStyle="1" w:styleId="xl93">
    <w:name w:val="xl93"/>
    <w:basedOn w:val="Normal"/>
    <w:rsid w:val="00401546"/>
    <w:pPr>
      <w:widowControl w:val="0"/>
      <w:pBdr>
        <w:top w:val="single" w:sz="8" w:space="0" w:color="auto"/>
      </w:pBdr>
      <w:spacing w:before="100" w:beforeAutospacing="1" w:after="100" w:afterAutospacing="1" w:line="240" w:lineRule="auto"/>
      <w:jc w:val="center"/>
    </w:pPr>
    <w:rPr>
      <w:rFonts w:ascii="Times New Roman" w:eastAsia="Times New Roman" w:hAnsi="Times New Roman" w:cs="Times New Roman"/>
      <w:color w:val="auto"/>
      <w:sz w:val="16"/>
      <w:szCs w:val="16"/>
      <w:lang w:eastAsia="fr-FR"/>
    </w:rPr>
  </w:style>
  <w:style w:type="paragraph" w:customStyle="1" w:styleId="xl94">
    <w:name w:val="xl94"/>
    <w:basedOn w:val="Normal"/>
    <w:rsid w:val="00401546"/>
    <w:pPr>
      <w:widowControl w:val="0"/>
      <w:pBdr>
        <w:top w:val="single" w:sz="8" w:space="0" w:color="auto"/>
      </w:pBdr>
      <w:spacing w:before="100" w:beforeAutospacing="1" w:after="100" w:afterAutospacing="1" w:line="240" w:lineRule="auto"/>
      <w:jc w:val="center"/>
    </w:pPr>
    <w:rPr>
      <w:rFonts w:ascii="Times New Roman" w:eastAsia="Times New Roman" w:hAnsi="Times New Roman" w:cs="Times New Roman"/>
      <w:b/>
      <w:bCs/>
      <w:color w:val="auto"/>
      <w:sz w:val="16"/>
      <w:szCs w:val="16"/>
      <w:lang w:eastAsia="fr-FR"/>
    </w:rPr>
  </w:style>
  <w:style w:type="paragraph" w:customStyle="1" w:styleId="xl95">
    <w:name w:val="xl95"/>
    <w:basedOn w:val="Normal"/>
    <w:rsid w:val="00401546"/>
    <w:pPr>
      <w:widowControl w:val="0"/>
      <w:pBdr>
        <w:top w:val="single" w:sz="8" w:space="0" w:color="auto"/>
      </w:pBdr>
      <w:spacing w:before="100" w:beforeAutospacing="1" w:after="100" w:afterAutospacing="1" w:line="240" w:lineRule="auto"/>
    </w:pPr>
    <w:rPr>
      <w:rFonts w:ascii="Times New Roman" w:eastAsia="Times New Roman" w:hAnsi="Times New Roman" w:cs="Times New Roman"/>
      <w:b/>
      <w:bCs/>
      <w:color w:val="00B050"/>
      <w:sz w:val="16"/>
      <w:szCs w:val="16"/>
      <w:lang w:eastAsia="fr-FR"/>
    </w:rPr>
  </w:style>
  <w:style w:type="paragraph" w:customStyle="1" w:styleId="xl96">
    <w:name w:val="xl96"/>
    <w:basedOn w:val="Normal"/>
    <w:rsid w:val="00401546"/>
    <w:pPr>
      <w:widowControl w:val="0"/>
      <w:pBdr>
        <w:left w:val="single" w:sz="8" w:space="0" w:color="auto"/>
        <w:bottom w:val="single" w:sz="8" w:space="0" w:color="auto"/>
      </w:pBdr>
      <w:spacing w:before="100" w:beforeAutospacing="1" w:after="100" w:afterAutospacing="1" w:line="240" w:lineRule="auto"/>
      <w:jc w:val="center"/>
    </w:pPr>
    <w:rPr>
      <w:rFonts w:ascii="Times New Roman" w:eastAsia="Times New Roman" w:hAnsi="Times New Roman" w:cs="Times New Roman"/>
      <w:b/>
      <w:bCs/>
      <w:color w:val="auto"/>
      <w:sz w:val="16"/>
      <w:szCs w:val="16"/>
      <w:lang w:eastAsia="fr-FR"/>
    </w:rPr>
  </w:style>
  <w:style w:type="paragraph" w:customStyle="1" w:styleId="xl97">
    <w:name w:val="xl97"/>
    <w:basedOn w:val="Normal"/>
    <w:rsid w:val="00401546"/>
    <w:pPr>
      <w:widowControl w:val="0"/>
      <w:pBdr>
        <w:bottom w:val="single" w:sz="8" w:space="0" w:color="auto"/>
      </w:pBdr>
      <w:spacing w:before="100" w:beforeAutospacing="1" w:after="100" w:afterAutospacing="1" w:line="240" w:lineRule="auto"/>
      <w:jc w:val="center"/>
    </w:pPr>
    <w:rPr>
      <w:rFonts w:ascii="Times New Roman" w:eastAsia="Times New Roman" w:hAnsi="Times New Roman" w:cs="Times New Roman"/>
      <w:color w:val="auto"/>
      <w:sz w:val="16"/>
      <w:szCs w:val="16"/>
      <w:lang w:eastAsia="fr-FR"/>
    </w:rPr>
  </w:style>
  <w:style w:type="paragraph" w:customStyle="1" w:styleId="xl98">
    <w:name w:val="xl98"/>
    <w:basedOn w:val="Normal"/>
    <w:rsid w:val="00401546"/>
    <w:pPr>
      <w:widowControl w:val="0"/>
      <w:pBdr>
        <w:bottom w:val="single" w:sz="8" w:space="0" w:color="auto"/>
      </w:pBdr>
      <w:spacing w:before="100" w:beforeAutospacing="1" w:after="100" w:afterAutospacing="1" w:line="240" w:lineRule="auto"/>
      <w:jc w:val="center"/>
    </w:pPr>
    <w:rPr>
      <w:rFonts w:ascii="Times New Roman" w:eastAsia="Times New Roman" w:hAnsi="Times New Roman" w:cs="Times New Roman"/>
      <w:color w:val="auto"/>
      <w:sz w:val="16"/>
      <w:szCs w:val="16"/>
      <w:lang w:eastAsia="fr-FR"/>
    </w:rPr>
  </w:style>
  <w:style w:type="paragraph" w:customStyle="1" w:styleId="xl99">
    <w:name w:val="xl99"/>
    <w:basedOn w:val="Normal"/>
    <w:rsid w:val="00401546"/>
    <w:pPr>
      <w:widowControl w:val="0"/>
      <w:pBdr>
        <w:bottom w:val="single" w:sz="8" w:space="0" w:color="auto"/>
      </w:pBdr>
      <w:spacing w:before="100" w:beforeAutospacing="1" w:after="100" w:afterAutospacing="1" w:line="240" w:lineRule="auto"/>
      <w:jc w:val="center"/>
    </w:pPr>
    <w:rPr>
      <w:rFonts w:ascii="Times New Roman" w:eastAsia="Times New Roman" w:hAnsi="Times New Roman" w:cs="Times New Roman"/>
      <w:b/>
      <w:bCs/>
      <w:color w:val="auto"/>
      <w:sz w:val="16"/>
      <w:szCs w:val="16"/>
      <w:lang w:eastAsia="fr-FR"/>
    </w:rPr>
  </w:style>
  <w:style w:type="paragraph" w:customStyle="1" w:styleId="xl100">
    <w:name w:val="xl100"/>
    <w:basedOn w:val="Normal"/>
    <w:rsid w:val="00401546"/>
    <w:pPr>
      <w:widowControl w:val="0"/>
      <w:pBdr>
        <w:bottom w:val="single" w:sz="8" w:space="0" w:color="auto"/>
      </w:pBdr>
      <w:spacing w:before="100" w:beforeAutospacing="1" w:after="100" w:afterAutospacing="1" w:line="240" w:lineRule="auto"/>
    </w:pPr>
    <w:rPr>
      <w:rFonts w:ascii="Times New Roman" w:eastAsia="Times New Roman" w:hAnsi="Times New Roman" w:cs="Times New Roman"/>
      <w:b/>
      <w:bCs/>
      <w:color w:val="00B050"/>
      <w:sz w:val="16"/>
      <w:szCs w:val="16"/>
      <w:lang w:eastAsia="fr-FR"/>
    </w:rPr>
  </w:style>
  <w:style w:type="paragraph" w:customStyle="1" w:styleId="xl101">
    <w:name w:val="xl101"/>
    <w:basedOn w:val="Normal"/>
    <w:rsid w:val="00401546"/>
    <w:pPr>
      <w:widowControl w:val="0"/>
      <w:spacing w:before="100" w:beforeAutospacing="1" w:after="100" w:afterAutospacing="1" w:line="240" w:lineRule="auto"/>
      <w:jc w:val="center"/>
    </w:pPr>
    <w:rPr>
      <w:rFonts w:ascii="Times New Roman" w:eastAsia="Times New Roman" w:hAnsi="Times New Roman" w:cs="Times New Roman"/>
      <w:b/>
      <w:bCs/>
      <w:color w:val="auto"/>
      <w:sz w:val="16"/>
      <w:szCs w:val="16"/>
      <w:lang w:eastAsia="fr-FR"/>
    </w:rPr>
  </w:style>
  <w:style w:type="paragraph" w:customStyle="1" w:styleId="xl102">
    <w:name w:val="xl102"/>
    <w:basedOn w:val="Normal"/>
    <w:rsid w:val="00401546"/>
    <w:pPr>
      <w:widowControl w:val="0"/>
      <w:spacing w:before="100" w:beforeAutospacing="1" w:after="100" w:afterAutospacing="1" w:line="240" w:lineRule="auto"/>
      <w:jc w:val="center"/>
    </w:pPr>
    <w:rPr>
      <w:rFonts w:ascii="Times New Roman" w:eastAsia="Times New Roman" w:hAnsi="Times New Roman" w:cs="Times New Roman"/>
      <w:color w:val="auto"/>
      <w:sz w:val="16"/>
      <w:szCs w:val="16"/>
      <w:lang w:eastAsia="fr-FR"/>
    </w:rPr>
  </w:style>
  <w:style w:type="paragraph" w:customStyle="1" w:styleId="xl103">
    <w:name w:val="xl103"/>
    <w:basedOn w:val="Normal"/>
    <w:rsid w:val="00401546"/>
    <w:pPr>
      <w:widowControl w:val="0"/>
      <w:spacing w:before="100" w:beforeAutospacing="1" w:after="100" w:afterAutospacing="1" w:line="240" w:lineRule="auto"/>
      <w:jc w:val="center"/>
    </w:pPr>
    <w:rPr>
      <w:rFonts w:ascii="Times New Roman" w:eastAsia="Times New Roman" w:hAnsi="Times New Roman" w:cs="Times New Roman"/>
      <w:b/>
      <w:bCs/>
      <w:color w:val="auto"/>
      <w:sz w:val="16"/>
      <w:szCs w:val="16"/>
      <w:lang w:eastAsia="fr-FR"/>
    </w:rPr>
  </w:style>
  <w:style w:type="paragraph" w:customStyle="1" w:styleId="xl104">
    <w:name w:val="xl104"/>
    <w:basedOn w:val="Normal"/>
    <w:rsid w:val="00401546"/>
    <w:pPr>
      <w:widowControl w:val="0"/>
      <w:spacing w:before="100" w:beforeAutospacing="1" w:after="100" w:afterAutospacing="1" w:line="240" w:lineRule="auto"/>
    </w:pPr>
    <w:rPr>
      <w:rFonts w:ascii="Times New Roman" w:eastAsia="Times New Roman" w:hAnsi="Times New Roman" w:cs="Times New Roman"/>
      <w:color w:val="00B050"/>
      <w:sz w:val="16"/>
      <w:szCs w:val="16"/>
      <w:lang w:eastAsia="fr-FR"/>
    </w:rPr>
  </w:style>
  <w:style w:type="paragraph" w:customStyle="1" w:styleId="xl105">
    <w:name w:val="xl105"/>
    <w:basedOn w:val="Normal"/>
    <w:rsid w:val="00401546"/>
    <w:pPr>
      <w:widowControl w:val="0"/>
      <w:spacing w:before="100" w:beforeAutospacing="1" w:after="100" w:afterAutospacing="1" w:line="240" w:lineRule="auto"/>
      <w:jc w:val="center"/>
      <w:textAlignment w:val="center"/>
    </w:pPr>
    <w:rPr>
      <w:rFonts w:ascii="Times New Roman" w:eastAsia="Times New Roman" w:hAnsi="Times New Roman" w:cs="Times New Roman"/>
      <w:color w:val="auto"/>
      <w:sz w:val="16"/>
      <w:szCs w:val="16"/>
      <w:lang w:eastAsia="fr-FR"/>
    </w:rPr>
  </w:style>
  <w:style w:type="paragraph" w:customStyle="1" w:styleId="xl106">
    <w:name w:val="xl106"/>
    <w:basedOn w:val="Normal"/>
    <w:rsid w:val="00401546"/>
    <w:pPr>
      <w:widowControl w:val="0"/>
      <w:spacing w:before="100" w:beforeAutospacing="1" w:after="100" w:afterAutospacing="1" w:line="240" w:lineRule="auto"/>
    </w:pPr>
    <w:rPr>
      <w:rFonts w:ascii="Times New Roman" w:eastAsia="Times New Roman" w:hAnsi="Times New Roman" w:cs="Times New Roman"/>
      <w:color w:val="auto"/>
      <w:sz w:val="16"/>
      <w:szCs w:val="16"/>
      <w:lang w:eastAsia="fr-FR"/>
    </w:rPr>
  </w:style>
  <w:style w:type="paragraph" w:customStyle="1" w:styleId="xl107">
    <w:name w:val="xl107"/>
    <w:basedOn w:val="Normal"/>
    <w:rsid w:val="00401546"/>
    <w:pPr>
      <w:widowControl w:val="0"/>
      <w:shd w:val="clear" w:color="000000" w:fill="FFF2CC"/>
      <w:spacing w:before="100" w:beforeAutospacing="1" w:after="100" w:afterAutospacing="1" w:line="240" w:lineRule="auto"/>
    </w:pPr>
    <w:rPr>
      <w:rFonts w:ascii="Times New Roman" w:eastAsia="Times New Roman" w:hAnsi="Times New Roman" w:cs="Times New Roman"/>
      <w:b/>
      <w:bCs/>
      <w:color w:val="auto"/>
      <w:sz w:val="18"/>
      <w:szCs w:val="18"/>
      <w:lang w:eastAsia="fr-FR"/>
    </w:rPr>
  </w:style>
  <w:style w:type="paragraph" w:customStyle="1" w:styleId="xl108">
    <w:name w:val="xl108"/>
    <w:basedOn w:val="Normal"/>
    <w:rsid w:val="00401546"/>
    <w:pPr>
      <w:widowControl w:val="0"/>
      <w:shd w:val="clear" w:color="000000" w:fill="FFF2CC"/>
      <w:spacing w:before="100" w:beforeAutospacing="1" w:after="100" w:afterAutospacing="1" w:line="240" w:lineRule="auto"/>
      <w:jc w:val="center"/>
    </w:pPr>
    <w:rPr>
      <w:rFonts w:ascii="Times New Roman" w:eastAsia="Times New Roman" w:hAnsi="Times New Roman" w:cs="Times New Roman"/>
      <w:color w:val="auto"/>
      <w:sz w:val="14"/>
      <w:szCs w:val="14"/>
      <w:lang w:eastAsia="fr-FR"/>
    </w:rPr>
  </w:style>
  <w:style w:type="paragraph" w:customStyle="1" w:styleId="xl109">
    <w:name w:val="xl109"/>
    <w:basedOn w:val="Normal"/>
    <w:rsid w:val="00401546"/>
    <w:pPr>
      <w:widowControl w:val="0"/>
      <w:spacing w:before="100" w:beforeAutospacing="1" w:after="100" w:afterAutospacing="1" w:line="240" w:lineRule="auto"/>
      <w:jc w:val="center"/>
    </w:pPr>
    <w:rPr>
      <w:rFonts w:ascii="Times New Roman" w:eastAsia="Times New Roman" w:hAnsi="Times New Roman" w:cs="Times New Roman"/>
      <w:color w:val="auto"/>
      <w:sz w:val="14"/>
      <w:szCs w:val="14"/>
      <w:lang w:eastAsia="fr-FR"/>
    </w:rPr>
  </w:style>
  <w:style w:type="paragraph" w:customStyle="1" w:styleId="xl110">
    <w:name w:val="xl110"/>
    <w:basedOn w:val="Normal"/>
    <w:rsid w:val="00401546"/>
    <w:pPr>
      <w:widowControl w:val="0"/>
      <w:spacing w:before="100" w:beforeAutospacing="1" w:after="100" w:afterAutospacing="1" w:line="240" w:lineRule="auto"/>
    </w:pPr>
    <w:rPr>
      <w:rFonts w:ascii="Times New Roman" w:eastAsia="Times New Roman" w:hAnsi="Times New Roman" w:cs="Times New Roman"/>
      <w:color w:val="auto"/>
      <w:sz w:val="14"/>
      <w:szCs w:val="14"/>
      <w:lang w:eastAsia="fr-FR"/>
    </w:rPr>
  </w:style>
  <w:style w:type="paragraph" w:customStyle="1" w:styleId="xl111">
    <w:name w:val="xl111"/>
    <w:basedOn w:val="Normal"/>
    <w:rsid w:val="00401546"/>
    <w:pPr>
      <w:widowControl w:val="0"/>
      <w:pBdr>
        <w:top w:val="single" w:sz="8" w:space="0" w:color="auto"/>
        <w:left w:val="single" w:sz="8" w:space="0" w:color="auto"/>
        <w:bottom w:val="single" w:sz="8" w:space="0" w:color="auto"/>
      </w:pBdr>
      <w:spacing w:before="100" w:beforeAutospacing="1" w:after="100" w:afterAutospacing="1" w:line="240" w:lineRule="auto"/>
      <w:jc w:val="center"/>
    </w:pPr>
    <w:rPr>
      <w:rFonts w:ascii="Times New Roman" w:eastAsia="Times New Roman" w:hAnsi="Times New Roman" w:cs="Times New Roman"/>
      <w:b/>
      <w:bCs/>
      <w:color w:val="auto"/>
      <w:sz w:val="16"/>
      <w:szCs w:val="16"/>
      <w:lang w:eastAsia="fr-FR"/>
    </w:rPr>
  </w:style>
  <w:style w:type="paragraph" w:customStyle="1" w:styleId="xl112">
    <w:name w:val="xl112"/>
    <w:basedOn w:val="Normal"/>
    <w:rsid w:val="00401546"/>
    <w:pPr>
      <w:widowControl w:val="0"/>
      <w:pBdr>
        <w:top w:val="single" w:sz="8" w:space="0" w:color="auto"/>
        <w:bottom w:val="single" w:sz="8" w:space="0" w:color="auto"/>
      </w:pBdr>
      <w:spacing w:before="100" w:beforeAutospacing="1" w:after="100" w:afterAutospacing="1" w:line="240" w:lineRule="auto"/>
      <w:jc w:val="center"/>
    </w:pPr>
    <w:rPr>
      <w:rFonts w:ascii="Times New Roman" w:eastAsia="Times New Roman" w:hAnsi="Times New Roman" w:cs="Times New Roman"/>
      <w:color w:val="auto"/>
      <w:sz w:val="16"/>
      <w:szCs w:val="16"/>
      <w:lang w:eastAsia="fr-FR"/>
    </w:rPr>
  </w:style>
  <w:style w:type="paragraph" w:customStyle="1" w:styleId="xl113">
    <w:name w:val="xl113"/>
    <w:basedOn w:val="Normal"/>
    <w:rsid w:val="00401546"/>
    <w:pPr>
      <w:widowControl w:val="0"/>
      <w:pBdr>
        <w:top w:val="single" w:sz="8" w:space="0" w:color="auto"/>
        <w:bottom w:val="single" w:sz="8" w:space="0" w:color="auto"/>
      </w:pBdr>
      <w:spacing w:before="100" w:beforeAutospacing="1" w:after="100" w:afterAutospacing="1" w:line="240" w:lineRule="auto"/>
      <w:jc w:val="center"/>
    </w:pPr>
    <w:rPr>
      <w:rFonts w:ascii="Times New Roman" w:eastAsia="Times New Roman" w:hAnsi="Times New Roman" w:cs="Times New Roman"/>
      <w:b/>
      <w:bCs/>
      <w:color w:val="auto"/>
      <w:sz w:val="16"/>
      <w:szCs w:val="16"/>
      <w:lang w:eastAsia="fr-FR"/>
    </w:rPr>
  </w:style>
  <w:style w:type="paragraph" w:customStyle="1" w:styleId="xl114">
    <w:name w:val="xl114"/>
    <w:basedOn w:val="Normal"/>
    <w:rsid w:val="00401546"/>
    <w:pPr>
      <w:widowControl w:val="0"/>
      <w:pBdr>
        <w:top w:val="single" w:sz="8" w:space="0" w:color="auto"/>
        <w:bottom w:val="single" w:sz="8" w:space="0" w:color="auto"/>
      </w:pBdr>
      <w:spacing w:before="100" w:beforeAutospacing="1" w:after="100" w:afterAutospacing="1" w:line="240" w:lineRule="auto"/>
    </w:pPr>
    <w:rPr>
      <w:rFonts w:ascii="Times New Roman" w:eastAsia="Times New Roman" w:hAnsi="Times New Roman" w:cs="Times New Roman"/>
      <w:b/>
      <w:bCs/>
      <w:color w:val="00B050"/>
      <w:sz w:val="16"/>
      <w:szCs w:val="16"/>
      <w:lang w:eastAsia="fr-FR"/>
    </w:rPr>
  </w:style>
  <w:style w:type="paragraph" w:customStyle="1" w:styleId="xl115">
    <w:name w:val="xl115"/>
    <w:basedOn w:val="Normal"/>
    <w:rsid w:val="00401546"/>
    <w:pPr>
      <w:widowControl w:val="0"/>
      <w:spacing w:before="100" w:beforeAutospacing="1" w:after="100" w:afterAutospacing="1" w:line="240" w:lineRule="auto"/>
    </w:pPr>
    <w:rPr>
      <w:rFonts w:ascii="Times New Roman" w:eastAsia="Times New Roman" w:hAnsi="Times New Roman" w:cs="Times New Roman"/>
      <w:b/>
      <w:bCs/>
      <w:color w:val="00B050"/>
      <w:sz w:val="16"/>
      <w:szCs w:val="16"/>
      <w:lang w:eastAsia="fr-FR"/>
    </w:rPr>
  </w:style>
  <w:style w:type="paragraph" w:customStyle="1" w:styleId="xl118">
    <w:name w:val="xl118"/>
    <w:basedOn w:val="Normal"/>
    <w:rsid w:val="00401546"/>
    <w:pPr>
      <w:widowControl w:val="0"/>
      <w:spacing w:before="100" w:beforeAutospacing="1" w:after="100" w:afterAutospacing="1" w:line="240" w:lineRule="auto"/>
    </w:pPr>
    <w:rPr>
      <w:rFonts w:ascii="Times New Roman" w:eastAsia="Times New Roman" w:hAnsi="Times New Roman" w:cs="Times New Roman"/>
      <w:b/>
      <w:bCs/>
      <w:color w:val="auto"/>
      <w:sz w:val="18"/>
      <w:szCs w:val="18"/>
      <w:u w:val="single"/>
      <w:lang w:eastAsia="fr-FR"/>
    </w:rPr>
  </w:style>
  <w:style w:type="paragraph" w:customStyle="1" w:styleId="xl119">
    <w:name w:val="xl119"/>
    <w:basedOn w:val="Normal"/>
    <w:rsid w:val="00401546"/>
    <w:pPr>
      <w:widowControl w:val="0"/>
      <w:spacing w:before="100" w:beforeAutospacing="1" w:after="100" w:afterAutospacing="1" w:line="240" w:lineRule="auto"/>
    </w:pPr>
    <w:rPr>
      <w:rFonts w:ascii="Times New Roman" w:eastAsia="Times New Roman" w:hAnsi="Times New Roman" w:cs="Times New Roman"/>
      <w:color w:val="auto"/>
      <w:sz w:val="20"/>
      <w:szCs w:val="20"/>
      <w:lang w:eastAsia="fr-FR"/>
    </w:rPr>
  </w:style>
  <w:style w:type="paragraph" w:customStyle="1" w:styleId="xl120">
    <w:name w:val="xl120"/>
    <w:basedOn w:val="Normal"/>
    <w:rsid w:val="00401546"/>
    <w:pPr>
      <w:widowControl w:val="0"/>
      <w:spacing w:before="100" w:beforeAutospacing="1" w:after="100" w:afterAutospacing="1" w:line="240" w:lineRule="auto"/>
    </w:pPr>
    <w:rPr>
      <w:rFonts w:ascii="Times New Roman" w:eastAsia="Times New Roman" w:hAnsi="Times New Roman" w:cs="Times New Roman"/>
      <w:color w:val="auto"/>
      <w:sz w:val="20"/>
      <w:szCs w:val="20"/>
      <w:lang w:eastAsia="fr-FR"/>
    </w:rPr>
  </w:style>
  <w:style w:type="paragraph" w:customStyle="1" w:styleId="xl121">
    <w:name w:val="xl121"/>
    <w:basedOn w:val="Normal"/>
    <w:rsid w:val="00401546"/>
    <w:pPr>
      <w:widowControl w:val="0"/>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b/>
      <w:bCs/>
      <w:color w:val="FF0000"/>
      <w:sz w:val="14"/>
      <w:szCs w:val="14"/>
      <w:lang w:eastAsia="fr-FR"/>
    </w:rPr>
  </w:style>
  <w:style w:type="paragraph" w:customStyle="1" w:styleId="xl122">
    <w:name w:val="xl122"/>
    <w:basedOn w:val="Normal"/>
    <w:rsid w:val="00401546"/>
    <w:pPr>
      <w:widowControl w:val="0"/>
      <w:pBdr>
        <w:top w:val="single" w:sz="8" w:space="0" w:color="auto"/>
        <w:bottom w:val="single" w:sz="8" w:space="0" w:color="auto"/>
      </w:pBdr>
      <w:spacing w:before="100" w:beforeAutospacing="1" w:after="100" w:afterAutospacing="1" w:line="240" w:lineRule="auto"/>
      <w:jc w:val="center"/>
    </w:pPr>
    <w:rPr>
      <w:rFonts w:ascii="Times New Roman" w:eastAsia="Times New Roman" w:hAnsi="Times New Roman" w:cs="Times New Roman"/>
      <w:color w:val="auto"/>
      <w:sz w:val="16"/>
      <w:szCs w:val="16"/>
      <w:lang w:eastAsia="fr-FR"/>
    </w:rPr>
  </w:style>
  <w:style w:type="paragraph" w:customStyle="1" w:styleId="xl124">
    <w:name w:val="xl124"/>
    <w:basedOn w:val="Normal"/>
    <w:rsid w:val="00401546"/>
    <w:pPr>
      <w:widowControl w:val="0"/>
      <w:pBdr>
        <w:top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auto"/>
      <w:sz w:val="16"/>
      <w:szCs w:val="16"/>
      <w:lang w:eastAsia="fr-FR"/>
    </w:rPr>
  </w:style>
  <w:style w:type="paragraph" w:customStyle="1" w:styleId="xl127">
    <w:name w:val="xl127"/>
    <w:basedOn w:val="Normal"/>
    <w:rsid w:val="00401546"/>
    <w:pPr>
      <w:widowControl w:val="0"/>
      <w:pBdr>
        <w:bottom w:val="single" w:sz="8" w:space="0" w:color="auto"/>
      </w:pBdr>
      <w:shd w:val="clear" w:color="000000" w:fill="E2EFDA"/>
      <w:spacing w:before="100" w:beforeAutospacing="1" w:after="100" w:afterAutospacing="1" w:line="240" w:lineRule="auto"/>
      <w:jc w:val="center"/>
    </w:pPr>
    <w:rPr>
      <w:rFonts w:ascii="Times New Roman" w:eastAsia="Times New Roman" w:hAnsi="Times New Roman" w:cs="Times New Roman"/>
      <w:color w:val="auto"/>
      <w:sz w:val="14"/>
      <w:szCs w:val="14"/>
      <w:lang w:eastAsia="fr-FR"/>
    </w:rPr>
  </w:style>
  <w:style w:type="paragraph" w:customStyle="1" w:styleId="xl130">
    <w:name w:val="xl130"/>
    <w:basedOn w:val="Normal"/>
    <w:rsid w:val="00401546"/>
    <w:pPr>
      <w:widowControl w:val="0"/>
      <w:pBdr>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auto"/>
      <w:sz w:val="18"/>
      <w:szCs w:val="18"/>
      <w:lang w:eastAsia="fr-FR"/>
    </w:rPr>
  </w:style>
  <w:style w:type="paragraph" w:customStyle="1" w:styleId="xl131">
    <w:name w:val="xl131"/>
    <w:basedOn w:val="Normal"/>
    <w:rsid w:val="00401546"/>
    <w:pPr>
      <w:widowControl w:val="0"/>
      <w:pBdr>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auto"/>
      <w:sz w:val="18"/>
      <w:szCs w:val="18"/>
      <w:lang w:eastAsia="fr-FR"/>
    </w:rPr>
  </w:style>
  <w:style w:type="paragraph" w:customStyle="1" w:styleId="xl133">
    <w:name w:val="xl133"/>
    <w:basedOn w:val="Normal"/>
    <w:rsid w:val="00401546"/>
    <w:pPr>
      <w:widowControl w:val="0"/>
      <w:pBdr>
        <w:top w:val="single" w:sz="8" w:space="0" w:color="auto"/>
        <w:bottom w:val="single" w:sz="8" w:space="0" w:color="auto"/>
      </w:pBdr>
      <w:shd w:val="clear" w:color="000000" w:fill="E2EFDA"/>
      <w:spacing w:before="100" w:beforeAutospacing="1" w:after="100" w:afterAutospacing="1" w:line="240" w:lineRule="auto"/>
      <w:jc w:val="center"/>
      <w:textAlignment w:val="center"/>
    </w:pPr>
    <w:rPr>
      <w:rFonts w:ascii="Times New Roman" w:eastAsia="Times New Roman" w:hAnsi="Times New Roman" w:cs="Times New Roman"/>
      <w:b/>
      <w:bCs/>
      <w:color w:val="auto"/>
      <w:sz w:val="18"/>
      <w:szCs w:val="18"/>
      <w:lang w:eastAsia="fr-FR"/>
    </w:rPr>
  </w:style>
  <w:style w:type="paragraph" w:customStyle="1" w:styleId="xl134">
    <w:name w:val="xl134"/>
    <w:basedOn w:val="Normal"/>
    <w:rsid w:val="00401546"/>
    <w:pPr>
      <w:widowControl w:val="0"/>
      <w:pBdr>
        <w:top w:val="single" w:sz="8" w:space="0" w:color="auto"/>
        <w:bottom w:val="single" w:sz="8" w:space="0" w:color="auto"/>
        <w:right w:val="single" w:sz="8" w:space="0" w:color="auto"/>
      </w:pBdr>
      <w:shd w:val="clear" w:color="000000" w:fill="E2EFDA"/>
      <w:spacing w:before="100" w:beforeAutospacing="1" w:after="100" w:afterAutospacing="1" w:line="240" w:lineRule="auto"/>
      <w:jc w:val="center"/>
      <w:textAlignment w:val="center"/>
    </w:pPr>
    <w:rPr>
      <w:rFonts w:ascii="Times New Roman" w:eastAsia="Times New Roman" w:hAnsi="Times New Roman" w:cs="Times New Roman"/>
      <w:b/>
      <w:bCs/>
      <w:color w:val="auto"/>
      <w:sz w:val="18"/>
      <w:szCs w:val="18"/>
      <w:lang w:eastAsia="fr-FR"/>
    </w:rPr>
  </w:style>
  <w:style w:type="paragraph" w:customStyle="1" w:styleId="xl135">
    <w:name w:val="xl135"/>
    <w:basedOn w:val="Normal"/>
    <w:rsid w:val="00401546"/>
    <w:pPr>
      <w:widowControl w:val="0"/>
      <w:pBdr>
        <w:top w:val="single" w:sz="8" w:space="0" w:color="auto"/>
        <w:left w:val="single" w:sz="8" w:space="0" w:color="auto"/>
        <w:right w:val="single" w:sz="4" w:space="0" w:color="auto"/>
      </w:pBdr>
      <w:shd w:val="clear" w:color="000000" w:fill="FEF0CE"/>
      <w:spacing w:before="100" w:beforeAutospacing="1" w:after="100" w:afterAutospacing="1" w:line="240" w:lineRule="auto"/>
      <w:jc w:val="center"/>
      <w:textAlignment w:val="center"/>
    </w:pPr>
    <w:rPr>
      <w:rFonts w:ascii="Comic Sans MS" w:eastAsia="Times New Roman" w:hAnsi="Comic Sans MS" w:cs="Times New Roman"/>
      <w:b/>
      <w:bCs/>
      <w:color w:val="auto"/>
      <w:sz w:val="18"/>
      <w:szCs w:val="18"/>
      <w:lang w:eastAsia="fr-FR"/>
    </w:rPr>
  </w:style>
  <w:style w:type="paragraph" w:customStyle="1" w:styleId="xl136">
    <w:name w:val="xl136"/>
    <w:basedOn w:val="Normal"/>
    <w:rsid w:val="00401546"/>
    <w:pPr>
      <w:widowControl w:val="0"/>
      <w:pBdr>
        <w:left w:val="single" w:sz="8" w:space="0" w:color="auto"/>
        <w:right w:val="single" w:sz="4" w:space="0" w:color="auto"/>
      </w:pBdr>
      <w:shd w:val="clear" w:color="000000" w:fill="FEF0CE"/>
      <w:spacing w:before="100" w:beforeAutospacing="1" w:after="100" w:afterAutospacing="1" w:line="240" w:lineRule="auto"/>
      <w:jc w:val="center"/>
      <w:textAlignment w:val="center"/>
    </w:pPr>
    <w:rPr>
      <w:rFonts w:ascii="Comic Sans MS" w:eastAsia="Times New Roman" w:hAnsi="Comic Sans MS" w:cs="Times New Roman"/>
      <w:b/>
      <w:bCs/>
      <w:color w:val="auto"/>
      <w:sz w:val="18"/>
      <w:szCs w:val="18"/>
      <w:lang w:eastAsia="fr-FR"/>
    </w:rPr>
  </w:style>
  <w:style w:type="paragraph" w:customStyle="1" w:styleId="xl137">
    <w:name w:val="xl137"/>
    <w:basedOn w:val="Normal"/>
    <w:rsid w:val="00401546"/>
    <w:pPr>
      <w:widowControl w:val="0"/>
      <w:pBdr>
        <w:top w:val="single" w:sz="8" w:space="0" w:color="auto"/>
        <w:left w:val="single" w:sz="4" w:space="0" w:color="auto"/>
        <w:right w:val="single" w:sz="4" w:space="0" w:color="auto"/>
      </w:pBdr>
      <w:shd w:val="clear" w:color="000000" w:fill="FEF0CE"/>
      <w:spacing w:before="100" w:beforeAutospacing="1" w:after="100" w:afterAutospacing="1" w:line="240" w:lineRule="auto"/>
      <w:jc w:val="center"/>
      <w:textAlignment w:val="center"/>
    </w:pPr>
    <w:rPr>
      <w:rFonts w:ascii="Comic Sans MS" w:eastAsia="Times New Roman" w:hAnsi="Comic Sans MS" w:cs="Times New Roman"/>
      <w:b/>
      <w:bCs/>
      <w:color w:val="auto"/>
      <w:sz w:val="18"/>
      <w:szCs w:val="18"/>
      <w:lang w:eastAsia="fr-FR"/>
    </w:rPr>
  </w:style>
  <w:style w:type="paragraph" w:customStyle="1" w:styleId="xl138">
    <w:name w:val="xl138"/>
    <w:basedOn w:val="Normal"/>
    <w:rsid w:val="00401546"/>
    <w:pPr>
      <w:widowControl w:val="0"/>
      <w:pBdr>
        <w:left w:val="single" w:sz="4" w:space="0" w:color="auto"/>
        <w:right w:val="single" w:sz="4" w:space="0" w:color="auto"/>
      </w:pBdr>
      <w:shd w:val="clear" w:color="000000" w:fill="FEF0CE"/>
      <w:spacing w:before="100" w:beforeAutospacing="1" w:after="100" w:afterAutospacing="1" w:line="240" w:lineRule="auto"/>
      <w:jc w:val="center"/>
      <w:textAlignment w:val="center"/>
    </w:pPr>
    <w:rPr>
      <w:rFonts w:ascii="Comic Sans MS" w:eastAsia="Times New Roman" w:hAnsi="Comic Sans MS" w:cs="Times New Roman"/>
      <w:b/>
      <w:bCs/>
      <w:color w:val="auto"/>
      <w:sz w:val="18"/>
      <w:szCs w:val="18"/>
      <w:lang w:eastAsia="fr-FR"/>
    </w:rPr>
  </w:style>
  <w:style w:type="paragraph" w:customStyle="1" w:styleId="xl139">
    <w:name w:val="xl139"/>
    <w:basedOn w:val="Normal"/>
    <w:rsid w:val="00401546"/>
    <w:pPr>
      <w:widowControl w:val="0"/>
      <w:pBdr>
        <w:top w:val="single" w:sz="8" w:space="0" w:color="auto"/>
        <w:left w:val="single" w:sz="4" w:space="0" w:color="auto"/>
      </w:pBdr>
      <w:shd w:val="clear" w:color="000000" w:fill="FEF0CE"/>
      <w:spacing w:before="100" w:beforeAutospacing="1" w:after="100" w:afterAutospacing="1" w:line="240" w:lineRule="auto"/>
      <w:jc w:val="center"/>
      <w:textAlignment w:val="center"/>
    </w:pPr>
    <w:rPr>
      <w:rFonts w:ascii="Comic Sans MS" w:eastAsia="Times New Roman" w:hAnsi="Comic Sans MS" w:cs="Times New Roman"/>
      <w:b/>
      <w:bCs/>
      <w:color w:val="auto"/>
      <w:sz w:val="18"/>
      <w:szCs w:val="18"/>
      <w:lang w:eastAsia="fr-FR"/>
    </w:rPr>
  </w:style>
  <w:style w:type="paragraph" w:customStyle="1" w:styleId="xl140">
    <w:name w:val="xl140"/>
    <w:basedOn w:val="Normal"/>
    <w:rsid w:val="00401546"/>
    <w:pPr>
      <w:widowControl w:val="0"/>
      <w:pBdr>
        <w:left w:val="single" w:sz="4" w:space="0" w:color="auto"/>
      </w:pBdr>
      <w:shd w:val="clear" w:color="000000" w:fill="FEF0CE"/>
      <w:spacing w:before="100" w:beforeAutospacing="1" w:after="100" w:afterAutospacing="1" w:line="240" w:lineRule="auto"/>
      <w:jc w:val="center"/>
      <w:textAlignment w:val="center"/>
    </w:pPr>
    <w:rPr>
      <w:rFonts w:ascii="Comic Sans MS" w:eastAsia="Times New Roman" w:hAnsi="Comic Sans MS" w:cs="Times New Roman"/>
      <w:b/>
      <w:bCs/>
      <w:color w:val="auto"/>
      <w:sz w:val="18"/>
      <w:szCs w:val="18"/>
      <w:lang w:eastAsia="fr-FR"/>
    </w:rPr>
  </w:style>
  <w:style w:type="paragraph" w:customStyle="1" w:styleId="xl141">
    <w:name w:val="xl141"/>
    <w:basedOn w:val="Normal"/>
    <w:rsid w:val="00401546"/>
    <w:pPr>
      <w:widowControl w:val="0"/>
      <w:pBdr>
        <w:top w:val="single" w:sz="8" w:space="0" w:color="auto"/>
        <w:left w:val="single" w:sz="8" w:space="0" w:color="auto"/>
        <w:bottom w:val="single" w:sz="8" w:space="0" w:color="auto"/>
        <w:right w:val="single" w:sz="4" w:space="0" w:color="auto"/>
      </w:pBdr>
      <w:shd w:val="clear" w:color="000000" w:fill="FEF0CE"/>
      <w:spacing w:before="100" w:beforeAutospacing="1" w:after="100" w:afterAutospacing="1" w:line="240" w:lineRule="auto"/>
      <w:jc w:val="center"/>
      <w:textAlignment w:val="center"/>
    </w:pPr>
    <w:rPr>
      <w:rFonts w:ascii="Comic Sans MS" w:eastAsia="Times New Roman" w:hAnsi="Comic Sans MS" w:cs="Times New Roman"/>
      <w:b/>
      <w:bCs/>
      <w:color w:val="auto"/>
      <w:sz w:val="18"/>
      <w:szCs w:val="18"/>
      <w:lang w:eastAsia="fr-FR"/>
    </w:rPr>
  </w:style>
  <w:style w:type="paragraph" w:customStyle="1" w:styleId="xl142">
    <w:name w:val="xl142"/>
    <w:basedOn w:val="Normal"/>
    <w:rsid w:val="00401546"/>
    <w:pPr>
      <w:widowControl w:val="0"/>
      <w:pBdr>
        <w:top w:val="single" w:sz="8" w:space="0" w:color="auto"/>
        <w:left w:val="single" w:sz="4" w:space="0" w:color="auto"/>
        <w:bottom w:val="single" w:sz="8" w:space="0" w:color="auto"/>
        <w:right w:val="single" w:sz="4" w:space="0" w:color="auto"/>
      </w:pBdr>
      <w:shd w:val="clear" w:color="000000" w:fill="FEF0CE"/>
      <w:spacing w:before="100" w:beforeAutospacing="1" w:after="100" w:afterAutospacing="1" w:line="240" w:lineRule="auto"/>
      <w:jc w:val="center"/>
      <w:textAlignment w:val="center"/>
    </w:pPr>
    <w:rPr>
      <w:rFonts w:ascii="Comic Sans MS" w:eastAsia="Times New Roman" w:hAnsi="Comic Sans MS" w:cs="Times New Roman"/>
      <w:b/>
      <w:bCs/>
      <w:color w:val="auto"/>
      <w:sz w:val="18"/>
      <w:szCs w:val="18"/>
      <w:lang w:eastAsia="fr-FR"/>
    </w:rPr>
  </w:style>
  <w:style w:type="paragraph" w:customStyle="1" w:styleId="xl143">
    <w:name w:val="xl143"/>
    <w:basedOn w:val="Normal"/>
    <w:rsid w:val="00401546"/>
    <w:pPr>
      <w:widowControl w:val="0"/>
      <w:pBdr>
        <w:top w:val="single" w:sz="8" w:space="0" w:color="auto"/>
        <w:left w:val="single" w:sz="4" w:space="0" w:color="auto"/>
        <w:bottom w:val="single" w:sz="8" w:space="0" w:color="auto"/>
        <w:right w:val="single" w:sz="8" w:space="0" w:color="auto"/>
      </w:pBdr>
      <w:shd w:val="clear" w:color="000000" w:fill="FEF0CE"/>
      <w:spacing w:before="100" w:beforeAutospacing="1" w:after="100" w:afterAutospacing="1" w:line="240" w:lineRule="auto"/>
      <w:jc w:val="center"/>
      <w:textAlignment w:val="center"/>
    </w:pPr>
    <w:rPr>
      <w:rFonts w:ascii="Comic Sans MS" w:eastAsia="Times New Roman" w:hAnsi="Comic Sans MS" w:cs="Times New Roman"/>
      <w:b/>
      <w:bCs/>
      <w:color w:val="auto"/>
      <w:sz w:val="18"/>
      <w:szCs w:val="18"/>
      <w:lang w:eastAsia="fr-FR"/>
    </w:rPr>
  </w:style>
  <w:style w:type="paragraph" w:customStyle="1" w:styleId="xl144">
    <w:name w:val="xl144"/>
    <w:basedOn w:val="Normal"/>
    <w:rsid w:val="00401546"/>
    <w:pPr>
      <w:widowControl w:val="0"/>
      <w:pBdr>
        <w:top w:val="single" w:sz="8" w:space="0" w:color="auto"/>
        <w:left w:val="single" w:sz="8" w:space="0" w:color="auto"/>
        <w:right w:val="single" w:sz="8" w:space="0" w:color="auto"/>
      </w:pBdr>
      <w:shd w:val="clear" w:color="000000" w:fill="FEF0CE"/>
      <w:spacing w:before="100" w:beforeAutospacing="1" w:after="100" w:afterAutospacing="1" w:line="240" w:lineRule="auto"/>
      <w:jc w:val="center"/>
      <w:textAlignment w:val="center"/>
    </w:pPr>
    <w:rPr>
      <w:rFonts w:ascii="Comic Sans MS" w:eastAsia="Times New Roman" w:hAnsi="Comic Sans MS" w:cs="Times New Roman"/>
      <w:b/>
      <w:bCs/>
      <w:color w:val="auto"/>
      <w:sz w:val="18"/>
      <w:szCs w:val="18"/>
      <w:lang w:eastAsia="fr-FR"/>
    </w:rPr>
  </w:style>
  <w:style w:type="paragraph" w:customStyle="1" w:styleId="xl145">
    <w:name w:val="xl145"/>
    <w:basedOn w:val="Normal"/>
    <w:rsid w:val="00401546"/>
    <w:pPr>
      <w:widowControl w:val="0"/>
      <w:pBdr>
        <w:left w:val="single" w:sz="8" w:space="0" w:color="auto"/>
        <w:right w:val="single" w:sz="8" w:space="0" w:color="auto"/>
      </w:pBdr>
      <w:shd w:val="clear" w:color="000000" w:fill="FEF0CE"/>
      <w:spacing w:before="100" w:beforeAutospacing="1" w:after="100" w:afterAutospacing="1" w:line="240" w:lineRule="auto"/>
      <w:jc w:val="center"/>
      <w:textAlignment w:val="center"/>
    </w:pPr>
    <w:rPr>
      <w:rFonts w:ascii="Comic Sans MS" w:eastAsia="Times New Roman" w:hAnsi="Comic Sans MS" w:cs="Times New Roman"/>
      <w:b/>
      <w:bCs/>
      <w:color w:val="auto"/>
      <w:sz w:val="18"/>
      <w:szCs w:val="18"/>
      <w:lang w:eastAsia="fr-FR"/>
    </w:rPr>
  </w:style>
  <w:style w:type="paragraph" w:customStyle="1" w:styleId="xl146">
    <w:name w:val="xl146"/>
    <w:basedOn w:val="Normal"/>
    <w:rsid w:val="00401546"/>
    <w:pPr>
      <w:widowControl w:val="0"/>
      <w:pBdr>
        <w:top w:val="single" w:sz="8" w:space="0" w:color="auto"/>
        <w:left w:val="single" w:sz="8" w:space="0" w:color="auto"/>
        <w:bottom w:val="single" w:sz="8" w:space="0" w:color="auto"/>
      </w:pBdr>
      <w:shd w:val="clear" w:color="000000" w:fill="E2EFDA"/>
      <w:spacing w:before="100" w:beforeAutospacing="1" w:after="100" w:afterAutospacing="1" w:line="240" w:lineRule="auto"/>
      <w:jc w:val="center"/>
      <w:textAlignment w:val="center"/>
    </w:pPr>
    <w:rPr>
      <w:rFonts w:ascii="Times New Roman" w:eastAsia="Times New Roman" w:hAnsi="Times New Roman" w:cs="Times New Roman"/>
      <w:b/>
      <w:bCs/>
      <w:color w:val="auto"/>
      <w:sz w:val="18"/>
      <w:szCs w:val="18"/>
      <w:lang w:eastAsia="fr-FR"/>
    </w:rPr>
  </w:style>
  <w:style w:type="paragraph" w:customStyle="1" w:styleId="xl147">
    <w:name w:val="xl147"/>
    <w:basedOn w:val="Normal"/>
    <w:rsid w:val="00401546"/>
    <w:pPr>
      <w:widowControl w:val="0"/>
      <w:pBdr>
        <w:top w:val="single" w:sz="8" w:space="0" w:color="auto"/>
        <w:bottom w:val="single" w:sz="8" w:space="0" w:color="auto"/>
      </w:pBdr>
      <w:shd w:val="clear" w:color="000000" w:fill="E2EFDA"/>
      <w:spacing w:before="100" w:beforeAutospacing="1" w:after="100" w:afterAutospacing="1" w:line="240" w:lineRule="auto"/>
      <w:jc w:val="center"/>
      <w:textAlignment w:val="center"/>
    </w:pPr>
    <w:rPr>
      <w:rFonts w:ascii="Times New Roman" w:eastAsia="Times New Roman" w:hAnsi="Times New Roman" w:cs="Times New Roman"/>
      <w:b/>
      <w:bCs/>
      <w:color w:val="auto"/>
      <w:sz w:val="18"/>
      <w:szCs w:val="18"/>
      <w:lang w:eastAsia="fr-FR"/>
    </w:rPr>
  </w:style>
  <w:style w:type="paragraph" w:customStyle="1" w:styleId="xl148">
    <w:name w:val="xl148"/>
    <w:basedOn w:val="Normal"/>
    <w:rsid w:val="00401546"/>
    <w:pPr>
      <w:widowControl w:val="0"/>
      <w:pBdr>
        <w:top w:val="single" w:sz="8" w:space="0" w:color="auto"/>
        <w:bottom w:val="single" w:sz="8" w:space="0" w:color="auto"/>
        <w:right w:val="single" w:sz="8" w:space="0" w:color="auto"/>
      </w:pBdr>
      <w:shd w:val="clear" w:color="000000" w:fill="E2EFDA"/>
      <w:spacing w:before="100" w:beforeAutospacing="1" w:after="100" w:afterAutospacing="1" w:line="240" w:lineRule="auto"/>
      <w:jc w:val="center"/>
      <w:textAlignment w:val="center"/>
    </w:pPr>
    <w:rPr>
      <w:rFonts w:ascii="Times New Roman" w:eastAsia="Times New Roman" w:hAnsi="Times New Roman" w:cs="Times New Roman"/>
      <w:b/>
      <w:bCs/>
      <w:color w:val="auto"/>
      <w:sz w:val="18"/>
      <w:szCs w:val="18"/>
      <w:lang w:eastAsia="fr-FR"/>
    </w:rPr>
  </w:style>
  <w:style w:type="paragraph" w:customStyle="1" w:styleId="xl149">
    <w:name w:val="xl149"/>
    <w:basedOn w:val="Normal"/>
    <w:rsid w:val="00401546"/>
    <w:pPr>
      <w:widowControl w:val="0"/>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auto"/>
      <w:sz w:val="18"/>
      <w:szCs w:val="18"/>
      <w:lang w:eastAsia="fr-FR"/>
    </w:rPr>
  </w:style>
  <w:style w:type="paragraph" w:customStyle="1" w:styleId="xl150">
    <w:name w:val="xl150"/>
    <w:basedOn w:val="Normal"/>
    <w:rsid w:val="00401546"/>
    <w:pPr>
      <w:widowControl w:val="0"/>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auto"/>
      <w:sz w:val="18"/>
      <w:szCs w:val="18"/>
      <w:lang w:eastAsia="fr-FR"/>
    </w:rPr>
  </w:style>
  <w:style w:type="paragraph" w:customStyle="1" w:styleId="xl151">
    <w:name w:val="xl151"/>
    <w:basedOn w:val="Normal"/>
    <w:rsid w:val="00401546"/>
    <w:pPr>
      <w:widowControl w:val="0"/>
      <w:pBdr>
        <w:top w:val="single" w:sz="8" w:space="0" w:color="auto"/>
        <w:left w:val="single" w:sz="8" w:space="0" w:color="auto"/>
        <w:bottom w:val="single" w:sz="8" w:space="0" w:color="auto"/>
      </w:pBdr>
      <w:shd w:val="clear" w:color="000000" w:fill="E2EFDA"/>
      <w:spacing w:before="100" w:beforeAutospacing="1" w:after="100" w:afterAutospacing="1" w:line="240" w:lineRule="auto"/>
      <w:jc w:val="center"/>
      <w:textAlignment w:val="center"/>
    </w:pPr>
    <w:rPr>
      <w:rFonts w:ascii="Times New Roman" w:eastAsia="Times New Roman" w:hAnsi="Times New Roman" w:cs="Times New Roman"/>
      <w:b/>
      <w:bCs/>
      <w:color w:val="FF0000"/>
      <w:sz w:val="18"/>
      <w:szCs w:val="18"/>
      <w:lang w:eastAsia="fr-FR"/>
    </w:rPr>
  </w:style>
  <w:style w:type="paragraph" w:customStyle="1" w:styleId="xl152">
    <w:name w:val="xl152"/>
    <w:basedOn w:val="Normal"/>
    <w:rsid w:val="00401546"/>
    <w:pPr>
      <w:widowControl w:val="0"/>
      <w:pBdr>
        <w:top w:val="single" w:sz="8" w:space="0" w:color="auto"/>
        <w:bottom w:val="single" w:sz="8" w:space="0" w:color="auto"/>
      </w:pBdr>
      <w:shd w:val="clear" w:color="000000" w:fill="E2EFDA"/>
      <w:spacing w:before="100" w:beforeAutospacing="1" w:after="100" w:afterAutospacing="1" w:line="240" w:lineRule="auto"/>
      <w:jc w:val="center"/>
      <w:textAlignment w:val="center"/>
    </w:pPr>
    <w:rPr>
      <w:rFonts w:ascii="Times New Roman" w:eastAsia="Times New Roman" w:hAnsi="Times New Roman" w:cs="Times New Roman"/>
      <w:b/>
      <w:bCs/>
      <w:color w:val="FF0000"/>
      <w:sz w:val="18"/>
      <w:szCs w:val="18"/>
      <w:lang w:eastAsia="fr-FR"/>
    </w:rPr>
  </w:style>
  <w:style w:type="paragraph" w:customStyle="1" w:styleId="xl153">
    <w:name w:val="xl153"/>
    <w:basedOn w:val="Normal"/>
    <w:rsid w:val="00401546"/>
    <w:pPr>
      <w:widowControl w:val="0"/>
      <w:pBdr>
        <w:top w:val="single" w:sz="8" w:space="0" w:color="auto"/>
        <w:bottom w:val="single" w:sz="8" w:space="0" w:color="auto"/>
        <w:right w:val="single" w:sz="8" w:space="0" w:color="auto"/>
      </w:pBdr>
      <w:shd w:val="clear" w:color="000000" w:fill="E2EFDA"/>
      <w:spacing w:before="100" w:beforeAutospacing="1" w:after="100" w:afterAutospacing="1" w:line="240" w:lineRule="auto"/>
      <w:jc w:val="center"/>
      <w:textAlignment w:val="center"/>
    </w:pPr>
    <w:rPr>
      <w:rFonts w:ascii="Times New Roman" w:eastAsia="Times New Roman" w:hAnsi="Times New Roman" w:cs="Times New Roman"/>
      <w:b/>
      <w:bCs/>
      <w:color w:val="FF0000"/>
      <w:sz w:val="18"/>
      <w:szCs w:val="18"/>
      <w:lang w:eastAsia="fr-FR"/>
    </w:rPr>
  </w:style>
  <w:style w:type="paragraph" w:customStyle="1" w:styleId="msonormal0">
    <w:name w:val="msonormal"/>
    <w:basedOn w:val="Normal"/>
    <w:rsid w:val="00401546"/>
    <w:pPr>
      <w:widowControl w:val="0"/>
      <w:spacing w:before="100" w:beforeAutospacing="1" w:after="100" w:afterAutospacing="1" w:line="240" w:lineRule="auto"/>
    </w:pPr>
    <w:rPr>
      <w:rFonts w:ascii="Times New Roman" w:eastAsia="Times New Roman" w:hAnsi="Times New Roman" w:cs="Times New Roman"/>
      <w:color w:val="auto"/>
      <w:sz w:val="24"/>
      <w:szCs w:val="24"/>
      <w:lang w:eastAsia="fr-FR"/>
    </w:rPr>
  </w:style>
  <w:style w:type="paragraph" w:customStyle="1" w:styleId="font5">
    <w:name w:val="font5"/>
    <w:basedOn w:val="Normal"/>
    <w:rsid w:val="00401546"/>
    <w:pPr>
      <w:widowControl w:val="0"/>
      <w:spacing w:before="100" w:beforeAutospacing="1" w:after="100" w:afterAutospacing="1" w:line="240" w:lineRule="auto"/>
    </w:pPr>
    <w:rPr>
      <w:rFonts w:ascii="Comic Sans MS" w:eastAsia="Times New Roman" w:hAnsi="Comic Sans MS" w:cs="Times New Roman"/>
      <w:b/>
      <w:bCs/>
      <w:color w:val="000000"/>
      <w:sz w:val="16"/>
      <w:szCs w:val="16"/>
      <w:lang w:eastAsia="fr-FR"/>
    </w:rPr>
  </w:style>
  <w:style w:type="paragraph" w:customStyle="1" w:styleId="font6">
    <w:name w:val="font6"/>
    <w:basedOn w:val="Normal"/>
    <w:rsid w:val="00401546"/>
    <w:pPr>
      <w:widowControl w:val="0"/>
      <w:spacing w:before="100" w:beforeAutospacing="1" w:after="100" w:afterAutospacing="1" w:line="240" w:lineRule="auto"/>
    </w:pPr>
    <w:rPr>
      <w:rFonts w:ascii="Comic Sans MS" w:eastAsia="Times New Roman" w:hAnsi="Comic Sans MS" w:cs="Times New Roman"/>
      <w:b/>
      <w:bCs/>
      <w:color w:val="000000"/>
      <w:sz w:val="16"/>
      <w:szCs w:val="16"/>
      <w:lang w:eastAsia="fr-FR"/>
    </w:rPr>
  </w:style>
  <w:style w:type="character" w:styleId="Lienhypertextesuivivisit">
    <w:name w:val="FollowedHyperlink"/>
    <w:basedOn w:val="Policepardfaut"/>
    <w:uiPriority w:val="99"/>
    <w:semiHidden/>
    <w:unhideWhenUsed/>
    <w:rsid w:val="00401546"/>
    <w:rPr>
      <w:color w:val="954F72"/>
      <w:u w:val="single"/>
    </w:rPr>
  </w:style>
  <w:style w:type="character" w:styleId="Textedelespacerserv">
    <w:name w:val="Placeholder Text"/>
    <w:basedOn w:val="Policepardfaut"/>
    <w:uiPriority w:val="99"/>
    <w:semiHidden/>
    <w:rsid w:val="00401546"/>
    <w:rPr>
      <w:color w:val="808080"/>
    </w:rPr>
  </w:style>
  <w:style w:type="character" w:customStyle="1" w:styleId="Mentionnonrsolue1">
    <w:name w:val="Mention non résolue1"/>
    <w:basedOn w:val="Policepardfaut"/>
    <w:uiPriority w:val="99"/>
    <w:semiHidden/>
    <w:unhideWhenUsed/>
    <w:rsid w:val="00401546"/>
    <w:rPr>
      <w:color w:val="808080"/>
      <w:shd w:val="clear" w:color="auto" w:fill="E6E6E6"/>
    </w:rPr>
  </w:style>
  <w:style w:type="numbering" w:customStyle="1" w:styleId="Aucuneliste1">
    <w:name w:val="Aucune liste1"/>
    <w:next w:val="Aucuneliste"/>
    <w:uiPriority w:val="99"/>
    <w:semiHidden/>
    <w:unhideWhenUsed/>
    <w:rsid w:val="00401546"/>
  </w:style>
  <w:style w:type="table" w:customStyle="1" w:styleId="Tableausimple211">
    <w:name w:val="Tableau simple 211"/>
    <w:basedOn w:val="TableauNormal"/>
    <w:next w:val="Tableausimple21"/>
    <w:uiPriority w:val="42"/>
    <w:rsid w:val="00401546"/>
    <w:pPr>
      <w:spacing w:after="0" w:line="240" w:lineRule="auto"/>
    </w:pPr>
    <w:rPr>
      <w:rFonts w:ascii="Calibri" w:eastAsia="Times New Roman" w:hAnsi="Calibri" w:cs="Times New Roman"/>
      <w:sz w:val="20"/>
      <w:szCs w:val="20"/>
      <w:lang w:eastAsia="fr-FR"/>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TableauListe22">
    <w:name w:val="Tableau Liste 22"/>
    <w:basedOn w:val="TableauNormal"/>
    <w:next w:val="TableauListe21"/>
    <w:uiPriority w:val="47"/>
    <w:rsid w:val="00401546"/>
    <w:pPr>
      <w:spacing w:after="0" w:line="240" w:lineRule="auto"/>
    </w:pPr>
    <w:rPr>
      <w:rFonts w:ascii="Calibri" w:eastAsia="Times New Roman" w:hAnsi="Calibri" w:cs="Times New Roman"/>
      <w:sz w:val="20"/>
      <w:szCs w:val="20"/>
      <w:lang w:eastAsia="fr-FR"/>
    </w:rPr>
    <w:tblPr>
      <w:tblStyleRowBandSize w:val="1"/>
      <w:tblStyleColBandSize w:val="1"/>
      <w:tblBorders>
        <w:top w:val="single" w:sz="4" w:space="0" w:color="666666"/>
        <w:bottom w:val="single" w:sz="4" w:space="0" w:color="666666"/>
        <w:insideH w:val="single" w:sz="4" w:space="0" w:color="666666"/>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paragraph" w:customStyle="1" w:styleId="00N">
    <w:name w:val="00_N"/>
    <w:basedOn w:val="Normal"/>
    <w:link w:val="00NCar"/>
    <w:qFormat/>
    <w:rsid w:val="00401546"/>
    <w:pPr>
      <w:widowControl w:val="0"/>
      <w:overflowPunct w:val="0"/>
      <w:autoSpaceDE w:val="0"/>
      <w:autoSpaceDN w:val="0"/>
      <w:adjustRightInd w:val="0"/>
      <w:spacing w:before="0" w:line="240" w:lineRule="auto"/>
      <w:jc w:val="both"/>
      <w:textAlignment w:val="baseline"/>
    </w:pPr>
    <w:rPr>
      <w:rFonts w:eastAsia="Times New Roman" w:cs="Times New Roman"/>
      <w:color w:val="auto"/>
      <w:szCs w:val="20"/>
      <w:lang w:eastAsia="fr-FR"/>
    </w:rPr>
  </w:style>
  <w:style w:type="character" w:customStyle="1" w:styleId="00NCar">
    <w:name w:val="00_N Car"/>
    <w:basedOn w:val="Policepardfaut"/>
    <w:link w:val="00N"/>
    <w:rsid w:val="00401546"/>
    <w:rPr>
      <w:rFonts w:ascii="Arial" w:eastAsia="Times New Roman" w:hAnsi="Arial" w:cs="Times New Roman"/>
      <w:szCs w:val="20"/>
      <w:lang w:eastAsia="fr-FR"/>
    </w:rPr>
  </w:style>
  <w:style w:type="table" w:customStyle="1" w:styleId="TableauGrille1Clair2">
    <w:name w:val="Tableau Grille 1 Clair2"/>
    <w:basedOn w:val="TableauNormal"/>
    <w:uiPriority w:val="46"/>
    <w:rsid w:val="00401546"/>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customStyle="1" w:styleId="FrontPage1">
    <w:name w:val="FrontPage1"/>
    <w:basedOn w:val="Normal"/>
    <w:next w:val="Corpsdetexte"/>
    <w:rsid w:val="00401546"/>
    <w:pPr>
      <w:suppressAutoHyphens/>
      <w:spacing w:before="0" w:after="160" w:line="320" w:lineRule="exact"/>
    </w:pPr>
    <w:rPr>
      <w:rFonts w:ascii="TrueHelveticaLight" w:eastAsia="Times New Roman" w:hAnsi="TrueHelveticaLight" w:cs="Times New Roman"/>
      <w:color w:val="auto"/>
      <w:sz w:val="28"/>
      <w:szCs w:val="20"/>
      <w:lang w:val="en-GB" w:eastAsia="da-DK"/>
    </w:rPr>
  </w:style>
  <w:style w:type="paragraph" w:customStyle="1" w:styleId="xl63">
    <w:name w:val="xl63"/>
    <w:basedOn w:val="Normal"/>
    <w:rsid w:val="00401546"/>
    <w:pPr>
      <w:spacing w:before="100" w:beforeAutospacing="1" w:after="100" w:afterAutospacing="1" w:line="240" w:lineRule="auto"/>
    </w:pPr>
    <w:rPr>
      <w:rFonts w:ascii="Times New Roman" w:eastAsia="Times New Roman" w:hAnsi="Times New Roman" w:cs="Times New Roman"/>
      <w:color w:val="auto"/>
      <w:sz w:val="18"/>
      <w:szCs w:val="18"/>
      <w:lang w:eastAsia="fr-FR"/>
    </w:rPr>
  </w:style>
  <w:style w:type="paragraph" w:customStyle="1" w:styleId="xl64">
    <w:name w:val="xl64"/>
    <w:basedOn w:val="Normal"/>
    <w:rsid w:val="00401546"/>
    <w:pPr>
      <w:pBdr>
        <w:top w:val="single" w:sz="8" w:space="0" w:color="auto"/>
        <w:left w:val="single" w:sz="8" w:space="0" w:color="auto"/>
        <w:bottom w:val="single" w:sz="8" w:space="0" w:color="auto"/>
        <w:right w:val="single" w:sz="8" w:space="0" w:color="auto"/>
      </w:pBdr>
      <w:spacing w:before="100" w:beforeAutospacing="1" w:after="100" w:afterAutospacing="1" w:line="240" w:lineRule="auto"/>
    </w:pPr>
    <w:rPr>
      <w:rFonts w:ascii="Times New Roman" w:eastAsia="Times New Roman" w:hAnsi="Times New Roman" w:cs="Times New Roman"/>
      <w:b/>
      <w:bCs/>
      <w:color w:val="auto"/>
      <w:sz w:val="18"/>
      <w:szCs w:val="18"/>
      <w:lang w:eastAsia="fr-FR"/>
    </w:rPr>
  </w:style>
  <w:style w:type="paragraph" w:customStyle="1" w:styleId="xl65">
    <w:name w:val="xl65"/>
    <w:basedOn w:val="Normal"/>
    <w:rsid w:val="00401546"/>
    <w:pPr>
      <w:pBdr>
        <w:top w:val="single" w:sz="8"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color w:val="auto"/>
      <w:sz w:val="18"/>
      <w:szCs w:val="18"/>
      <w:lang w:eastAsia="fr-FR"/>
    </w:rPr>
  </w:style>
  <w:style w:type="character" w:customStyle="1" w:styleId="Titre1Car1">
    <w:name w:val="Titre 1 Car1"/>
    <w:aliases w:val="(cntl 1) Car1,t&amp; Car1"/>
    <w:basedOn w:val="Policepardfaut"/>
    <w:rsid w:val="00401546"/>
    <w:rPr>
      <w:rFonts w:asciiTheme="majorHAnsi" w:eastAsiaTheme="majorEastAsia" w:hAnsiTheme="majorHAnsi" w:cstheme="majorBidi"/>
      <w:color w:val="2E74B5" w:themeColor="accent1" w:themeShade="BF"/>
      <w:sz w:val="32"/>
      <w:szCs w:val="32"/>
    </w:rPr>
  </w:style>
  <w:style w:type="character" w:customStyle="1" w:styleId="apple-style-span">
    <w:name w:val="apple-style-span"/>
    <w:basedOn w:val="Policepardfaut"/>
    <w:rsid w:val="00401546"/>
  </w:style>
  <w:style w:type="table" w:customStyle="1" w:styleId="TableauGrille1Clair-Accentuation41">
    <w:name w:val="Tableau Grille 1 Clair - Accentuation 41"/>
    <w:basedOn w:val="TableauNormal"/>
    <w:uiPriority w:val="46"/>
    <w:rsid w:val="00401546"/>
    <w:pPr>
      <w:spacing w:after="0" w:line="240" w:lineRule="auto"/>
    </w:pPr>
    <w:tblPr>
      <w:tblStyleRowBandSize w:val="1"/>
      <w:tblStyleColBandSize w:val="1"/>
      <w:tblBorders>
        <w:top w:val="single" w:sz="4" w:space="0" w:color="FFE599" w:themeColor="accent4" w:themeTint="66"/>
        <w:left w:val="single" w:sz="4" w:space="0" w:color="FFE599" w:themeColor="accent4" w:themeTint="66"/>
        <w:bottom w:val="single" w:sz="4" w:space="0" w:color="FFE599" w:themeColor="accent4" w:themeTint="66"/>
        <w:right w:val="single" w:sz="4" w:space="0" w:color="FFE599" w:themeColor="accent4" w:themeTint="66"/>
        <w:insideH w:val="single" w:sz="4" w:space="0" w:color="FFE599" w:themeColor="accent4" w:themeTint="66"/>
        <w:insideV w:val="single" w:sz="4" w:space="0" w:color="FFE599" w:themeColor="accent4" w:themeTint="66"/>
      </w:tblBorders>
    </w:tblPr>
    <w:tblStylePr w:type="firstRow">
      <w:rPr>
        <w:b/>
        <w:bCs/>
      </w:rPr>
      <w:tblPr/>
      <w:tcPr>
        <w:tcBorders>
          <w:bottom w:val="single" w:sz="12" w:space="0" w:color="FFD966" w:themeColor="accent4" w:themeTint="99"/>
        </w:tcBorders>
      </w:tcPr>
    </w:tblStylePr>
    <w:tblStylePr w:type="lastRow">
      <w:rPr>
        <w:b/>
        <w:bCs/>
      </w:rPr>
      <w:tblPr/>
      <w:tcPr>
        <w:tcBorders>
          <w:top w:val="double" w:sz="2" w:space="0" w:color="FFD966" w:themeColor="accent4" w:themeTint="99"/>
        </w:tcBorders>
      </w:tcPr>
    </w:tblStylePr>
    <w:tblStylePr w:type="firstCol">
      <w:rPr>
        <w:b/>
        <w:bCs/>
      </w:rPr>
    </w:tblStylePr>
    <w:tblStylePr w:type="lastCol">
      <w:rPr>
        <w:b/>
        <w:bCs/>
      </w:rPr>
    </w:tblStylePr>
  </w:style>
  <w:style w:type="table" w:customStyle="1" w:styleId="TableauGrille1Clair-Accentuation31">
    <w:name w:val="Tableau Grille 1 Clair - Accentuation 31"/>
    <w:basedOn w:val="TableauNormal"/>
    <w:uiPriority w:val="46"/>
    <w:rsid w:val="00401546"/>
    <w:pPr>
      <w:spacing w:after="0" w:line="240" w:lineRule="auto"/>
    </w:pPr>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paragraph" w:styleId="Retraitcorpsdetexte">
    <w:name w:val="Body Text Indent"/>
    <w:basedOn w:val="Normal"/>
    <w:link w:val="RetraitcorpsdetexteCar"/>
    <w:uiPriority w:val="99"/>
    <w:semiHidden/>
    <w:unhideWhenUsed/>
    <w:rsid w:val="00401546"/>
    <w:pPr>
      <w:widowControl w:val="0"/>
      <w:spacing w:before="0" w:after="120" w:line="240" w:lineRule="auto"/>
      <w:ind w:left="283"/>
      <w:jc w:val="both"/>
    </w:pPr>
    <w:rPr>
      <w:color w:val="auto"/>
    </w:rPr>
  </w:style>
  <w:style w:type="character" w:customStyle="1" w:styleId="RetraitcorpsdetexteCar">
    <w:name w:val="Retrait corps de texte Car"/>
    <w:basedOn w:val="Policepardfaut"/>
    <w:link w:val="Retraitcorpsdetexte"/>
    <w:uiPriority w:val="99"/>
    <w:semiHidden/>
    <w:rsid w:val="00401546"/>
    <w:rPr>
      <w:rFonts w:ascii="Arial" w:hAnsi="Arial"/>
    </w:rPr>
  </w:style>
  <w:style w:type="table" w:customStyle="1" w:styleId="Ombrageclair2">
    <w:name w:val="Ombrage clair2"/>
    <w:basedOn w:val="TableauNormal"/>
    <w:uiPriority w:val="60"/>
    <w:rsid w:val="00401546"/>
    <w:pPr>
      <w:spacing w:after="0" w:line="240" w:lineRule="auto"/>
      <w:jc w:val="both"/>
    </w:pPr>
    <w:rPr>
      <w:rFonts w:ascii="Calibri" w:eastAsia="Times New Roman" w:hAnsi="Calibri" w:cs="Times New Roman"/>
      <w:color w:val="000000" w:themeColor="text1" w:themeShade="BF"/>
      <w:sz w:val="20"/>
      <w:szCs w:val="20"/>
      <w:lang w:eastAsia="fr-FR"/>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styleId="AdresseHTML">
    <w:name w:val="HTML Address"/>
    <w:basedOn w:val="Normal"/>
    <w:link w:val="AdresseHTMLCar"/>
    <w:uiPriority w:val="99"/>
    <w:semiHidden/>
    <w:unhideWhenUsed/>
    <w:rsid w:val="00401546"/>
    <w:pPr>
      <w:spacing w:before="0" w:line="240" w:lineRule="auto"/>
    </w:pPr>
    <w:rPr>
      <w:rFonts w:ascii="Times New Roman" w:eastAsia="Times New Roman" w:hAnsi="Times New Roman" w:cs="Times New Roman"/>
      <w:i/>
      <w:iCs/>
      <w:color w:val="auto"/>
      <w:sz w:val="24"/>
      <w:szCs w:val="24"/>
      <w:lang w:eastAsia="fr-FR"/>
    </w:rPr>
  </w:style>
  <w:style w:type="character" w:customStyle="1" w:styleId="AdresseHTMLCar">
    <w:name w:val="Adresse HTML Car"/>
    <w:basedOn w:val="Policepardfaut"/>
    <w:link w:val="AdresseHTML"/>
    <w:uiPriority w:val="99"/>
    <w:semiHidden/>
    <w:rsid w:val="00401546"/>
    <w:rPr>
      <w:rFonts w:ascii="Times New Roman" w:eastAsia="Times New Roman" w:hAnsi="Times New Roman" w:cs="Times New Roman"/>
      <w:i/>
      <w:iCs/>
      <w:sz w:val="24"/>
      <w:szCs w:val="24"/>
      <w:lang w:eastAsia="fr-FR"/>
    </w:rPr>
  </w:style>
  <w:style w:type="character" w:customStyle="1" w:styleId="En-tteCar1">
    <w:name w:val="En-tête Car1"/>
    <w:aliases w:val="En-tête client Car1,heading 3 after h2 Car1,h Car1,ContentsHeader Car1,h3+ Car1,hd Car1,En-tête CV Car1,he Car1,*Header Car1,Section Header Car1,En-tête1 Car1,E.e Car1,Cover Page Car1,normal3 Car1,En-tête11 Car1,E.e1 Car1,En-tête SQ Car1"/>
    <w:basedOn w:val="Policepardfaut"/>
    <w:semiHidden/>
    <w:rsid w:val="00401546"/>
  </w:style>
  <w:style w:type="character" w:customStyle="1" w:styleId="CitationintenseCar">
    <w:name w:val="Citation intense Car"/>
    <w:basedOn w:val="Policepardfaut"/>
    <w:link w:val="Citationintense"/>
    <w:uiPriority w:val="30"/>
    <w:locked/>
    <w:rsid w:val="00401546"/>
    <w:rPr>
      <w:rFonts w:ascii="Calibri Light" w:eastAsia="Times New Roman" w:hAnsi="Calibri Light" w:cs="Times New Roman"/>
      <w:b/>
      <w:i/>
      <w:iCs/>
      <w:color w:val="0070C0"/>
      <w:sz w:val="28"/>
      <w:lang w:eastAsia="fr-FR"/>
    </w:rPr>
  </w:style>
  <w:style w:type="paragraph" w:customStyle="1" w:styleId="Pa29">
    <w:name w:val="Pa29"/>
    <w:basedOn w:val="Normal"/>
    <w:next w:val="Normal"/>
    <w:uiPriority w:val="99"/>
    <w:rsid w:val="00401546"/>
    <w:pPr>
      <w:autoSpaceDE w:val="0"/>
      <w:autoSpaceDN w:val="0"/>
      <w:adjustRightInd w:val="0"/>
      <w:spacing w:before="0" w:line="221" w:lineRule="atLeast"/>
    </w:pPr>
    <w:rPr>
      <w:rFonts w:ascii="Garamond" w:hAnsi="Garamond"/>
      <w:color w:val="auto"/>
      <w:sz w:val="24"/>
      <w:szCs w:val="24"/>
    </w:rPr>
  </w:style>
  <w:style w:type="paragraph" w:customStyle="1" w:styleId="Pa21">
    <w:name w:val="Pa21"/>
    <w:basedOn w:val="Normal"/>
    <w:next w:val="Normal"/>
    <w:uiPriority w:val="99"/>
    <w:rsid w:val="00401546"/>
    <w:pPr>
      <w:autoSpaceDE w:val="0"/>
      <w:autoSpaceDN w:val="0"/>
      <w:adjustRightInd w:val="0"/>
      <w:spacing w:before="0" w:line="221" w:lineRule="atLeast"/>
    </w:pPr>
    <w:rPr>
      <w:rFonts w:ascii="Garamond" w:hAnsi="Garamond"/>
      <w:color w:val="auto"/>
      <w:sz w:val="24"/>
      <w:szCs w:val="24"/>
    </w:rPr>
  </w:style>
  <w:style w:type="paragraph" w:customStyle="1" w:styleId="Pa45">
    <w:name w:val="Pa45"/>
    <w:basedOn w:val="Normal"/>
    <w:next w:val="Normal"/>
    <w:uiPriority w:val="99"/>
    <w:rsid w:val="00401546"/>
    <w:pPr>
      <w:autoSpaceDE w:val="0"/>
      <w:autoSpaceDN w:val="0"/>
      <w:adjustRightInd w:val="0"/>
      <w:spacing w:before="0" w:line="221" w:lineRule="atLeast"/>
    </w:pPr>
    <w:rPr>
      <w:rFonts w:ascii="Garamond" w:hAnsi="Garamond"/>
      <w:color w:val="auto"/>
      <w:sz w:val="24"/>
      <w:szCs w:val="24"/>
    </w:rPr>
  </w:style>
  <w:style w:type="paragraph" w:customStyle="1" w:styleId="Style">
    <w:name w:val="Style"/>
    <w:uiPriority w:val="99"/>
    <w:rsid w:val="00401546"/>
    <w:pPr>
      <w:widowControl w:val="0"/>
      <w:autoSpaceDE w:val="0"/>
      <w:autoSpaceDN w:val="0"/>
      <w:adjustRightInd w:val="0"/>
      <w:spacing w:after="0" w:line="240" w:lineRule="auto"/>
    </w:pPr>
    <w:rPr>
      <w:rFonts w:ascii="Arial" w:eastAsia="Times New Roman" w:hAnsi="Arial" w:cs="Arial"/>
      <w:sz w:val="24"/>
      <w:szCs w:val="24"/>
      <w:lang w:eastAsia="fr-FR"/>
    </w:rPr>
  </w:style>
  <w:style w:type="character" w:customStyle="1" w:styleId="phone-area-code">
    <w:name w:val="phone-area-code"/>
    <w:basedOn w:val="Policepardfaut"/>
    <w:rsid w:val="00401546"/>
  </w:style>
  <w:style w:type="character" w:customStyle="1" w:styleId="TextedebullesCar1">
    <w:name w:val="Texte de bulles Car1"/>
    <w:basedOn w:val="Policepardfaut"/>
    <w:uiPriority w:val="99"/>
    <w:semiHidden/>
    <w:rsid w:val="00401546"/>
    <w:rPr>
      <w:rFonts w:ascii="Segoe UI" w:hAnsi="Segoe UI" w:cs="Segoe UI"/>
      <w:sz w:val="18"/>
      <w:szCs w:val="18"/>
    </w:rPr>
  </w:style>
  <w:style w:type="character" w:customStyle="1" w:styleId="PieddepageCar1">
    <w:name w:val="Pied de page Car1"/>
    <w:basedOn w:val="Policepardfaut"/>
    <w:uiPriority w:val="99"/>
    <w:semiHidden/>
    <w:rsid w:val="00401546"/>
  </w:style>
  <w:style w:type="character" w:customStyle="1" w:styleId="A7">
    <w:name w:val="A7"/>
    <w:uiPriority w:val="99"/>
    <w:rsid w:val="00401546"/>
    <w:rPr>
      <w:rFonts w:ascii="Garamond" w:hAnsi="Garamond" w:cs="Garamond" w:hint="default"/>
      <w:color w:val="000000"/>
      <w:sz w:val="16"/>
      <w:szCs w:val="16"/>
    </w:rPr>
  </w:style>
  <w:style w:type="character" w:customStyle="1" w:styleId="e24kjd">
    <w:name w:val="e24kjd"/>
    <w:basedOn w:val="Policepardfaut"/>
    <w:rsid w:val="00401546"/>
  </w:style>
  <w:style w:type="paragraph" w:styleId="Citationintense">
    <w:name w:val="Intense Quote"/>
    <w:basedOn w:val="Normal"/>
    <w:next w:val="Normal"/>
    <w:link w:val="CitationintenseCar"/>
    <w:uiPriority w:val="30"/>
    <w:qFormat/>
    <w:rsid w:val="00401546"/>
    <w:pPr>
      <w:pBdr>
        <w:top w:val="single" w:sz="4" w:space="10" w:color="5B9BD5" w:themeColor="accent1"/>
        <w:bottom w:val="single" w:sz="4" w:space="10" w:color="5B9BD5" w:themeColor="accent1"/>
      </w:pBdr>
      <w:spacing w:before="360" w:after="360" w:line="276" w:lineRule="auto"/>
      <w:ind w:left="864" w:right="864"/>
      <w:jc w:val="center"/>
    </w:pPr>
    <w:rPr>
      <w:rFonts w:ascii="Calibri Light" w:eastAsia="Times New Roman" w:hAnsi="Calibri Light" w:cs="Times New Roman"/>
      <w:b/>
      <w:i/>
      <w:iCs/>
      <w:color w:val="0070C0"/>
      <w:sz w:val="28"/>
      <w:lang w:eastAsia="fr-FR"/>
    </w:rPr>
  </w:style>
  <w:style w:type="character" w:customStyle="1" w:styleId="CitationintenseCar1">
    <w:name w:val="Citation intense Car1"/>
    <w:basedOn w:val="Policepardfaut"/>
    <w:uiPriority w:val="30"/>
    <w:rsid w:val="00401546"/>
    <w:rPr>
      <w:rFonts w:ascii="Arial" w:hAnsi="Arial"/>
      <w:i/>
      <w:iCs/>
      <w:color w:val="5B9BD5" w:themeColor="accent1"/>
    </w:rPr>
  </w:style>
  <w:style w:type="table" w:styleId="TableauGrille3">
    <w:name w:val="Grid Table 3"/>
    <w:basedOn w:val="TableauNormal"/>
    <w:uiPriority w:val="48"/>
    <w:rsid w:val="00401546"/>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paragraph" w:styleId="Corpsdetexte3">
    <w:name w:val="Body Text 3"/>
    <w:basedOn w:val="Normal"/>
    <w:link w:val="Corpsdetexte3Car"/>
    <w:uiPriority w:val="99"/>
    <w:semiHidden/>
    <w:unhideWhenUsed/>
    <w:rsid w:val="00401546"/>
    <w:pPr>
      <w:widowControl w:val="0"/>
      <w:spacing w:before="0" w:after="120" w:line="240" w:lineRule="auto"/>
      <w:jc w:val="both"/>
    </w:pPr>
    <w:rPr>
      <w:color w:val="auto"/>
      <w:sz w:val="16"/>
      <w:szCs w:val="16"/>
    </w:rPr>
  </w:style>
  <w:style w:type="character" w:customStyle="1" w:styleId="Corpsdetexte3Car">
    <w:name w:val="Corps de texte 3 Car"/>
    <w:basedOn w:val="Policepardfaut"/>
    <w:link w:val="Corpsdetexte3"/>
    <w:uiPriority w:val="99"/>
    <w:semiHidden/>
    <w:rsid w:val="00401546"/>
    <w:rPr>
      <w:rFonts w:ascii="Arial" w:hAnsi="Arial"/>
      <w:sz w:val="16"/>
      <w:szCs w:val="16"/>
    </w:rPr>
  </w:style>
  <w:style w:type="paragraph" w:customStyle="1" w:styleId="Corpsdetexte31">
    <w:name w:val="Corps de texte 31"/>
    <w:basedOn w:val="Normal"/>
    <w:rsid w:val="00401546"/>
    <w:pPr>
      <w:widowControl w:val="0"/>
      <w:tabs>
        <w:tab w:val="left" w:pos="426"/>
        <w:tab w:val="left" w:pos="851"/>
        <w:tab w:val="left" w:pos="1134"/>
      </w:tabs>
      <w:overflowPunct w:val="0"/>
      <w:autoSpaceDE w:val="0"/>
      <w:autoSpaceDN w:val="0"/>
      <w:adjustRightInd w:val="0"/>
      <w:spacing w:before="0" w:line="240" w:lineRule="auto"/>
      <w:textAlignment w:val="baseline"/>
    </w:pPr>
    <w:rPr>
      <w:rFonts w:eastAsia="Times New Roman" w:cs="Times New Roman"/>
      <w:i/>
      <w:color w:val="auto"/>
      <w:szCs w:val="20"/>
      <w:lang w:eastAsia="fr-FR"/>
    </w:rPr>
  </w:style>
  <w:style w:type="table" w:customStyle="1" w:styleId="Grilledutableau49">
    <w:name w:val="Grille du tableau49"/>
    <w:basedOn w:val="TableauNormal"/>
    <w:next w:val="Grilledutableau"/>
    <w:uiPriority w:val="39"/>
    <w:rsid w:val="0040154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Mentionnonrsolue2">
    <w:name w:val="Mention non résolue2"/>
    <w:basedOn w:val="Policepardfaut"/>
    <w:uiPriority w:val="99"/>
    <w:semiHidden/>
    <w:unhideWhenUsed/>
    <w:rsid w:val="00401546"/>
    <w:rPr>
      <w:color w:val="605E5C"/>
      <w:shd w:val="clear" w:color="auto" w:fill="E1DFDD"/>
    </w:rPr>
  </w:style>
  <w:style w:type="character" w:customStyle="1" w:styleId="il">
    <w:name w:val="il"/>
    <w:basedOn w:val="Policepardfaut"/>
    <w:rsid w:val="00401546"/>
  </w:style>
  <w:style w:type="table" w:customStyle="1" w:styleId="Grilledutableau21">
    <w:name w:val="Grille du tableau21"/>
    <w:basedOn w:val="TableauNormal"/>
    <w:next w:val="Grilledutableau"/>
    <w:uiPriority w:val="39"/>
    <w:rsid w:val="00F8352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Aucuneliste2">
    <w:name w:val="Aucune liste2"/>
    <w:next w:val="Aucuneliste"/>
    <w:uiPriority w:val="99"/>
    <w:semiHidden/>
    <w:unhideWhenUsed/>
    <w:rsid w:val="00170594"/>
  </w:style>
  <w:style w:type="numbering" w:customStyle="1" w:styleId="Aucuneliste11">
    <w:name w:val="Aucune liste11"/>
    <w:next w:val="Aucuneliste"/>
    <w:uiPriority w:val="99"/>
    <w:semiHidden/>
    <w:unhideWhenUsed/>
    <w:rsid w:val="00170594"/>
  </w:style>
  <w:style w:type="table" w:customStyle="1" w:styleId="Grilledutableau29">
    <w:name w:val="Grille du tableau29"/>
    <w:basedOn w:val="TableauNormal"/>
    <w:next w:val="Grilledutableau"/>
    <w:uiPriority w:val="59"/>
    <w:rsid w:val="00170594"/>
    <w:pPr>
      <w:spacing w:after="0" w:line="240" w:lineRule="auto"/>
    </w:pPr>
    <w:rPr>
      <w:rFonts w:ascii="Calibri" w:eastAsia="Calibri" w:hAnsi="Calibri" w:cs="Times New Roman"/>
      <w:sz w:val="20"/>
      <w:szCs w:val="20"/>
      <w:lang w:eastAsia="fr-F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Grilledutableau22">
    <w:name w:val="Grille du tableau22"/>
    <w:basedOn w:val="TableauNormal"/>
    <w:next w:val="Grilledutableau"/>
    <w:uiPriority w:val="39"/>
    <w:qFormat/>
    <w:rsid w:val="00170594"/>
    <w:pPr>
      <w:spacing w:after="0" w:line="240" w:lineRule="auto"/>
    </w:pPr>
    <w:rPr>
      <w:rFonts w:ascii="Calibri" w:eastAsia="Calibri" w:hAnsi="Calibri" w:cs="Times New Roman"/>
      <w:sz w:val="20"/>
      <w:szCs w:val="20"/>
      <w:lang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23">
    <w:name w:val="123"/>
    <w:basedOn w:val="Normal"/>
    <w:qFormat/>
    <w:rsid w:val="00170594"/>
    <w:pPr>
      <w:numPr>
        <w:numId w:val="84"/>
      </w:numPr>
      <w:spacing w:line="260" w:lineRule="atLeast"/>
      <w:jc w:val="both"/>
    </w:pPr>
    <w:rPr>
      <w:rFonts w:eastAsia="Times New Roman" w:cs="Times New Roman"/>
      <w:color w:val="auto"/>
      <w:szCs w:val="20"/>
    </w:rPr>
  </w:style>
  <w:style w:type="character" w:customStyle="1" w:styleId="SansinterligneCar1">
    <w:name w:val="Sans interligne Car1"/>
    <w:aliases w:val="puce1 Car1,FIGURE Car1"/>
    <w:link w:val="Sansinterligne"/>
    <w:uiPriority w:val="1"/>
    <w:rsid w:val="00170594"/>
  </w:style>
  <w:style w:type="paragraph" w:customStyle="1" w:styleId="Sansinterligne1">
    <w:name w:val="Sans interligne1"/>
    <w:link w:val="SansinterligneCar"/>
    <w:uiPriority w:val="1"/>
    <w:qFormat/>
    <w:rsid w:val="00170594"/>
    <w:pPr>
      <w:spacing w:after="0" w:line="240" w:lineRule="auto"/>
    </w:pPr>
    <w:rPr>
      <w:rFonts w:ascii="Calibri" w:eastAsia="Calibri" w:hAnsi="Calibri" w:cs="Times New Roman"/>
    </w:rPr>
  </w:style>
  <w:style w:type="character" w:customStyle="1" w:styleId="SansinterligneCar">
    <w:name w:val="Sans interligne Car"/>
    <w:aliases w:val="puce1 Car,FIGURE Car"/>
    <w:link w:val="Sansinterligne1"/>
    <w:uiPriority w:val="1"/>
    <w:rsid w:val="00170594"/>
    <w:rPr>
      <w:rFonts w:ascii="Calibri" w:eastAsia="Calibri" w:hAnsi="Calibri" w:cs="Times New Roman"/>
    </w:rPr>
  </w:style>
  <w:style w:type="paragraph" w:customStyle="1" w:styleId="TEXTE1">
    <w:name w:val="TEXTE1"/>
    <w:basedOn w:val="Normal"/>
    <w:next w:val="Corpsdetexte"/>
    <w:unhideWhenUsed/>
    <w:qFormat/>
    <w:rsid w:val="00170594"/>
    <w:pPr>
      <w:widowControl w:val="0"/>
      <w:tabs>
        <w:tab w:val="left" w:pos="0"/>
        <w:tab w:val="left" w:pos="4395"/>
        <w:tab w:val="left" w:pos="4820"/>
        <w:tab w:val="left" w:pos="5245"/>
        <w:tab w:val="left" w:pos="5529"/>
        <w:tab w:val="left" w:pos="6096"/>
        <w:tab w:val="left" w:pos="6521"/>
        <w:tab w:val="left" w:pos="6804"/>
        <w:tab w:val="left" w:pos="8222"/>
      </w:tabs>
      <w:spacing w:line="240" w:lineRule="auto"/>
      <w:jc w:val="both"/>
    </w:pPr>
    <w:rPr>
      <w:rFonts w:asciiTheme="minorHAnsi" w:hAnsiTheme="minorHAnsi"/>
      <w:color w:val="auto"/>
      <w:sz w:val="24"/>
      <w:szCs w:val="24"/>
    </w:rPr>
  </w:style>
  <w:style w:type="character" w:customStyle="1" w:styleId="CorpsdetexteCar1">
    <w:name w:val="Corps de texte Car1"/>
    <w:basedOn w:val="Policepardfaut"/>
    <w:uiPriority w:val="99"/>
    <w:semiHidden/>
    <w:rsid w:val="00170594"/>
    <w:rPr>
      <w:rFonts w:ascii="Arial" w:eastAsia="Times New Roman" w:hAnsi="Arial" w:cs="Times New Roman"/>
      <w:szCs w:val="24"/>
      <w:lang w:eastAsia="de-DE"/>
    </w:rPr>
  </w:style>
  <w:style w:type="paragraph" w:customStyle="1" w:styleId="Normalmatrice">
    <w:name w:val="Normal matrice"/>
    <w:basedOn w:val="Normal"/>
    <w:rsid w:val="00170594"/>
    <w:pPr>
      <w:widowControl w:val="0"/>
      <w:tabs>
        <w:tab w:val="left" w:pos="720"/>
      </w:tabs>
      <w:suppressAutoHyphens/>
      <w:spacing w:line="240" w:lineRule="auto"/>
    </w:pPr>
    <w:rPr>
      <w:rFonts w:ascii="Times New Roman" w:eastAsia="Times New Roman" w:hAnsi="Times New Roman" w:cs="Times New Roman"/>
      <w:color w:val="auto"/>
      <w:spacing w:val="-1"/>
      <w:sz w:val="16"/>
      <w:szCs w:val="20"/>
      <w:lang w:eastAsia="fr-FR"/>
    </w:rPr>
  </w:style>
  <w:style w:type="paragraph" w:customStyle="1" w:styleId="TABLEAUX">
    <w:name w:val="TABLEAUX"/>
    <w:basedOn w:val="Normal"/>
    <w:link w:val="TABLEAUXCar"/>
    <w:qFormat/>
    <w:rsid w:val="00170594"/>
    <w:pPr>
      <w:spacing w:line="360" w:lineRule="auto"/>
      <w:ind w:left="1134"/>
      <w:jc w:val="both"/>
    </w:pPr>
    <w:rPr>
      <w:rFonts w:eastAsia="Times New Roman" w:cs="Times New Roman"/>
      <w:color w:val="auto"/>
      <w:szCs w:val="20"/>
      <w:lang w:val="x-none" w:eastAsia="zh-CN"/>
    </w:rPr>
  </w:style>
  <w:style w:type="character" w:customStyle="1" w:styleId="TABLEAUXCar">
    <w:name w:val="TABLEAUX Car"/>
    <w:link w:val="TABLEAUX"/>
    <w:qFormat/>
    <w:rsid w:val="00170594"/>
    <w:rPr>
      <w:rFonts w:ascii="Arial" w:eastAsia="Times New Roman" w:hAnsi="Arial" w:cs="Times New Roman"/>
      <w:szCs w:val="20"/>
      <w:lang w:val="x-none" w:eastAsia="zh-CN"/>
    </w:rPr>
  </w:style>
  <w:style w:type="character" w:customStyle="1" w:styleId="ArticlesCarCar">
    <w:name w:val="Articles Car Car"/>
    <w:link w:val="Articles"/>
    <w:uiPriority w:val="99"/>
    <w:qFormat/>
    <w:locked/>
    <w:rsid w:val="00170594"/>
    <w:rPr>
      <w:rFonts w:ascii="Tahoma" w:hAnsi="Tahoma" w:cs="Tahoma"/>
    </w:rPr>
  </w:style>
  <w:style w:type="paragraph" w:customStyle="1" w:styleId="Articles">
    <w:name w:val="Articles"/>
    <w:basedOn w:val="Normal"/>
    <w:link w:val="ArticlesCarCar"/>
    <w:uiPriority w:val="99"/>
    <w:qFormat/>
    <w:rsid w:val="00170594"/>
    <w:pPr>
      <w:spacing w:after="120" w:line="360" w:lineRule="auto"/>
    </w:pPr>
    <w:rPr>
      <w:rFonts w:ascii="Tahoma" w:hAnsi="Tahoma" w:cs="Tahoma"/>
      <w:color w:val="auto"/>
    </w:rPr>
  </w:style>
  <w:style w:type="paragraph" w:customStyle="1" w:styleId="normalgrasmajuscule">
    <w:name w:val="normal gras majuscule"/>
    <w:basedOn w:val="Normal"/>
    <w:rsid w:val="00170594"/>
    <w:pPr>
      <w:widowControl w:val="0"/>
      <w:spacing w:line="240" w:lineRule="auto"/>
      <w:jc w:val="both"/>
    </w:pPr>
    <w:rPr>
      <w:rFonts w:eastAsia="Times New Roman" w:cs="Times New Roman"/>
      <w:b/>
      <w:caps/>
      <w:color w:val="auto"/>
      <w:szCs w:val="20"/>
      <w:lang w:eastAsia="fr-FR"/>
    </w:rPr>
  </w:style>
  <w:style w:type="table" w:customStyle="1" w:styleId="Grilledutableau30">
    <w:name w:val="Grille du tableau30"/>
    <w:basedOn w:val="TableauNormal"/>
    <w:next w:val="Grilledutableau"/>
    <w:uiPriority w:val="59"/>
    <w:rsid w:val="00170594"/>
    <w:pPr>
      <w:spacing w:after="0" w:line="240" w:lineRule="auto"/>
    </w:pPr>
    <w:rPr>
      <w:rFonts w:ascii="Calibri" w:eastAsia="Calibri" w:hAnsi="Calibri" w:cs="Times New Roman"/>
      <w:sz w:val="20"/>
      <w:szCs w:val="20"/>
      <w:lang w:eastAsia="fr-F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Normal1">
    <w:name w:val="Normal1"/>
    <w:basedOn w:val="Normal"/>
    <w:link w:val="normalCar"/>
    <w:qFormat/>
    <w:rsid w:val="00170594"/>
    <w:pPr>
      <w:widowControl w:val="0"/>
      <w:autoSpaceDE w:val="0"/>
      <w:autoSpaceDN w:val="0"/>
      <w:adjustRightInd w:val="0"/>
      <w:spacing w:after="120" w:line="300" w:lineRule="auto"/>
      <w:jc w:val="both"/>
      <w:textAlignment w:val="center"/>
    </w:pPr>
    <w:rPr>
      <w:rFonts w:ascii="Calibri" w:eastAsia="Calibri" w:hAnsi="Calibri" w:cs="Times New Roman"/>
      <w:color w:val="000000"/>
      <w:szCs w:val="20"/>
      <w:lang w:val="en-US" w:eastAsia="x-none"/>
    </w:rPr>
  </w:style>
  <w:style w:type="character" w:customStyle="1" w:styleId="normalCar">
    <w:name w:val="normal Car"/>
    <w:link w:val="Normal1"/>
    <w:rsid w:val="00170594"/>
    <w:rPr>
      <w:rFonts w:ascii="Calibri" w:eastAsia="Calibri" w:hAnsi="Calibri" w:cs="Times New Roman"/>
      <w:color w:val="000000"/>
      <w:szCs w:val="20"/>
      <w:lang w:val="en-US" w:eastAsia="x-none"/>
    </w:rPr>
  </w:style>
  <w:style w:type="table" w:customStyle="1" w:styleId="TableGrid">
    <w:name w:val="TableGrid"/>
    <w:rsid w:val="00170594"/>
    <w:pPr>
      <w:spacing w:after="0" w:line="240" w:lineRule="auto"/>
    </w:pPr>
    <w:rPr>
      <w:rFonts w:ascii="Calibri" w:eastAsia="Times New Roman" w:hAnsi="Calibri" w:cs="Times New Roman"/>
      <w:lang w:eastAsia="fr-FR"/>
    </w:rPr>
    <w:tblPr>
      <w:tblCellMar>
        <w:top w:w="0" w:type="dxa"/>
        <w:left w:w="0" w:type="dxa"/>
        <w:bottom w:w="0" w:type="dxa"/>
        <w:right w:w="0" w:type="dxa"/>
      </w:tblCellMar>
    </w:tblPr>
  </w:style>
  <w:style w:type="paragraph" w:customStyle="1" w:styleId="yiv2461229572gmail-m289730324696962116ydpf3b250emsonospacing">
    <w:name w:val="yiv2461229572gmail-m289730324696962116ydpf3b250emsonospacing"/>
    <w:basedOn w:val="Normal"/>
    <w:rsid w:val="00170594"/>
    <w:pPr>
      <w:spacing w:before="100" w:beforeAutospacing="1" w:after="100" w:afterAutospacing="1" w:line="240" w:lineRule="auto"/>
    </w:pPr>
    <w:rPr>
      <w:rFonts w:ascii="Times New Roman" w:eastAsia="Times New Roman" w:hAnsi="Times New Roman" w:cs="Times New Roman"/>
      <w:color w:val="auto"/>
      <w:sz w:val="24"/>
      <w:szCs w:val="24"/>
      <w:lang w:eastAsia="fr-FR"/>
    </w:rPr>
  </w:style>
  <w:style w:type="paragraph" w:customStyle="1" w:styleId="yiv2461229572gmail-m289730324696962116ydpf3b250emsonormal">
    <w:name w:val="yiv2461229572gmail-m289730324696962116ydpf3b250emsonormal"/>
    <w:basedOn w:val="Normal"/>
    <w:rsid w:val="00170594"/>
    <w:pPr>
      <w:spacing w:before="100" w:beforeAutospacing="1" w:after="100" w:afterAutospacing="1" w:line="240" w:lineRule="auto"/>
    </w:pPr>
    <w:rPr>
      <w:rFonts w:ascii="Times New Roman" w:eastAsia="Times New Roman" w:hAnsi="Times New Roman" w:cs="Times New Roman"/>
      <w:color w:val="auto"/>
      <w:sz w:val="24"/>
      <w:szCs w:val="24"/>
      <w:lang w:eastAsia="fr-FR"/>
    </w:rPr>
  </w:style>
  <w:style w:type="paragraph" w:styleId="Rvision">
    <w:name w:val="Revision"/>
    <w:hidden/>
    <w:uiPriority w:val="99"/>
    <w:semiHidden/>
    <w:rsid w:val="00170594"/>
    <w:pPr>
      <w:spacing w:after="0" w:line="240" w:lineRule="auto"/>
    </w:pPr>
    <w:rPr>
      <w:rFonts w:ascii="Arial" w:eastAsia="Times New Roman" w:hAnsi="Arial" w:cs="Times New Roman"/>
      <w:sz w:val="20"/>
      <w:szCs w:val="24"/>
      <w:lang w:eastAsia="de-DE"/>
    </w:rPr>
  </w:style>
  <w:style w:type="table" w:customStyle="1" w:styleId="TableauIgip0">
    <w:name w:val="Tableau Igip0"/>
    <w:basedOn w:val="TableauNormal"/>
    <w:rsid w:val="00170594"/>
    <w:pPr>
      <w:spacing w:before="120" w:after="60" w:line="288" w:lineRule="auto"/>
    </w:pPr>
    <w:rPr>
      <w:rFonts w:ascii="Arial" w:eastAsia="Times New Roman" w:hAnsi="Arial" w:cs="Times New Roman"/>
      <w:sz w:val="18"/>
      <w:szCs w:val="20"/>
      <w:lang w:val="de-DE" w:eastAsia="de-DE"/>
    </w:rPr>
    <w:tblPr>
      <w:tblInd w:w="113"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
    <w:tblStylePr w:type="firstRow">
      <w:pPr>
        <w:wordWrap/>
        <w:spacing w:beforeLines="0" w:beforeAutospacing="0" w:afterLines="60" w:afterAutospacing="0" w:line="288" w:lineRule="auto"/>
        <w:contextualSpacing w:val="0"/>
        <w:jc w:val="center"/>
      </w:pPr>
      <w:rPr>
        <w:rFonts w:ascii="Arial" w:hAnsi="Arial"/>
        <w:b/>
        <w:i w:val="0"/>
        <w:caps w:val="0"/>
        <w:smallCaps w:val="0"/>
        <w:strike w:val="0"/>
        <w:dstrike w:val="0"/>
        <w:vanish w:val="0"/>
        <w:color w:val="auto"/>
        <w:sz w:val="22"/>
        <w:vertAlign w:val="baseline"/>
      </w:rPr>
      <w:tblPr/>
      <w:trPr>
        <w:tblHeader/>
      </w:trPr>
      <w:tcPr>
        <w:tcBorders>
          <w:top w:val="single" w:sz="6" w:space="0" w:color="auto"/>
          <w:left w:val="single" w:sz="6" w:space="0" w:color="auto"/>
          <w:bottom w:val="single" w:sz="6" w:space="0" w:color="auto"/>
          <w:right w:val="single" w:sz="6" w:space="0" w:color="auto"/>
          <w:insideH w:val="single" w:sz="6" w:space="0" w:color="auto"/>
          <w:insideV w:val="single" w:sz="6" w:space="0" w:color="auto"/>
          <w:tl2br w:val="nil"/>
          <w:tr2bl w:val="nil"/>
        </w:tcBorders>
        <w:shd w:val="clear" w:color="auto" w:fill="FF6600"/>
      </w:tcPr>
    </w:tblStylePr>
  </w:style>
  <w:style w:type="paragraph" w:styleId="Explorateurdedocuments">
    <w:name w:val="Document Map"/>
    <w:basedOn w:val="Normal"/>
    <w:link w:val="ExplorateurdedocumentsCar"/>
    <w:uiPriority w:val="99"/>
    <w:semiHidden/>
    <w:unhideWhenUsed/>
    <w:rsid w:val="00170594"/>
    <w:pPr>
      <w:spacing w:line="360" w:lineRule="auto"/>
    </w:pPr>
    <w:rPr>
      <w:rFonts w:ascii="Tahoma" w:eastAsia="Times New Roman" w:hAnsi="Tahoma" w:cs="Tahoma"/>
      <w:color w:val="auto"/>
      <w:sz w:val="16"/>
      <w:szCs w:val="16"/>
      <w:lang w:eastAsia="de-DE"/>
    </w:rPr>
  </w:style>
  <w:style w:type="character" w:customStyle="1" w:styleId="ExplorateurdedocumentsCar">
    <w:name w:val="Explorateur de documents Car"/>
    <w:basedOn w:val="Policepardfaut"/>
    <w:link w:val="Explorateurdedocuments"/>
    <w:uiPriority w:val="99"/>
    <w:semiHidden/>
    <w:rsid w:val="00170594"/>
    <w:rPr>
      <w:rFonts w:ascii="Tahoma" w:eastAsia="Times New Roman" w:hAnsi="Tahoma" w:cs="Tahoma"/>
      <w:sz w:val="16"/>
      <w:szCs w:val="16"/>
      <w:lang w:eastAsia="de-DE"/>
    </w:rPr>
  </w:style>
  <w:style w:type="character" w:customStyle="1" w:styleId="Mentionnonrsolue">
    <w:name w:val="Mention non résolue"/>
    <w:uiPriority w:val="99"/>
    <w:semiHidden/>
    <w:unhideWhenUsed/>
    <w:rsid w:val="00170594"/>
    <w:rPr>
      <w:color w:val="605E5C"/>
      <w:shd w:val="clear" w:color="auto" w:fill="E1DFDD"/>
    </w:rPr>
  </w:style>
  <w:style w:type="table" w:customStyle="1" w:styleId="Grilledutableau110">
    <w:name w:val="Grille du tableau110"/>
    <w:basedOn w:val="TableauNormal"/>
    <w:next w:val="Grilledutableau"/>
    <w:uiPriority w:val="39"/>
    <w:rsid w:val="00170594"/>
    <w:pPr>
      <w:spacing w:after="0" w:line="240" w:lineRule="auto"/>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Aucuneliste111">
    <w:name w:val="Aucune liste111"/>
    <w:next w:val="Aucuneliste"/>
    <w:uiPriority w:val="99"/>
    <w:semiHidden/>
    <w:unhideWhenUsed/>
    <w:rsid w:val="00170594"/>
  </w:style>
  <w:style w:type="numbering" w:customStyle="1" w:styleId="Aucuneliste1111">
    <w:name w:val="Aucune liste1111"/>
    <w:next w:val="Aucuneliste"/>
    <w:uiPriority w:val="99"/>
    <w:semiHidden/>
    <w:unhideWhenUsed/>
    <w:rsid w:val="00170594"/>
  </w:style>
  <w:style w:type="table" w:customStyle="1" w:styleId="Grilledutableau23">
    <w:name w:val="Grille du tableau23"/>
    <w:basedOn w:val="TableauNormal"/>
    <w:next w:val="Grilledutableau"/>
    <w:uiPriority w:val="39"/>
    <w:rsid w:val="00170594"/>
    <w:pPr>
      <w:spacing w:after="0" w:line="240" w:lineRule="auto"/>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31">
    <w:name w:val="Grille du tableau31"/>
    <w:basedOn w:val="TableauNormal"/>
    <w:next w:val="Grilledutableau"/>
    <w:uiPriority w:val="59"/>
    <w:rsid w:val="00170594"/>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Aucuneliste21">
    <w:name w:val="Aucune liste21"/>
    <w:next w:val="Aucuneliste"/>
    <w:uiPriority w:val="99"/>
    <w:semiHidden/>
    <w:unhideWhenUsed/>
    <w:rsid w:val="00170594"/>
  </w:style>
  <w:style w:type="numbering" w:customStyle="1" w:styleId="Aucuneliste12">
    <w:name w:val="Aucune liste12"/>
    <w:next w:val="Aucuneliste"/>
    <w:uiPriority w:val="99"/>
    <w:semiHidden/>
    <w:unhideWhenUsed/>
    <w:rsid w:val="00170594"/>
  </w:style>
  <w:style w:type="numbering" w:customStyle="1" w:styleId="Aucuneliste11111">
    <w:name w:val="Aucune liste11111"/>
    <w:next w:val="Aucuneliste"/>
    <w:uiPriority w:val="99"/>
    <w:semiHidden/>
    <w:unhideWhenUsed/>
    <w:rsid w:val="00170594"/>
  </w:style>
  <w:style w:type="numbering" w:customStyle="1" w:styleId="Aucuneliste111111">
    <w:name w:val="Aucune liste111111"/>
    <w:next w:val="Aucuneliste"/>
    <w:uiPriority w:val="99"/>
    <w:semiHidden/>
    <w:unhideWhenUsed/>
    <w:rsid w:val="00170594"/>
  </w:style>
  <w:style w:type="table" w:customStyle="1" w:styleId="Grilledutableau41">
    <w:name w:val="Grille du tableau41"/>
    <w:basedOn w:val="TableauNormal"/>
    <w:next w:val="Grilledutableau"/>
    <w:uiPriority w:val="59"/>
    <w:rsid w:val="00170594"/>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231">
    <w:name w:val="Grille du tableau231"/>
    <w:basedOn w:val="TableauNormal"/>
    <w:next w:val="Grilledutableau"/>
    <w:uiPriority w:val="39"/>
    <w:rsid w:val="00170594"/>
    <w:pPr>
      <w:spacing w:after="0" w:line="240" w:lineRule="auto"/>
      <w:jc w:val="center"/>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Aucuneliste3">
    <w:name w:val="Aucune liste3"/>
    <w:next w:val="Aucuneliste"/>
    <w:uiPriority w:val="99"/>
    <w:semiHidden/>
    <w:unhideWhenUsed/>
    <w:rsid w:val="00170594"/>
  </w:style>
  <w:style w:type="table" w:customStyle="1" w:styleId="Tableausimple31">
    <w:name w:val="Tableau simple 31"/>
    <w:basedOn w:val="TableauNormal"/>
    <w:uiPriority w:val="43"/>
    <w:rsid w:val="00170594"/>
    <w:pPr>
      <w:spacing w:after="0" w:line="240" w:lineRule="auto"/>
    </w:pPr>
    <w:rPr>
      <w:rFonts w:ascii="Calibri" w:eastAsia="Calibri" w:hAnsi="Calibri" w:cs="Times New Roman"/>
      <w:sz w:val="20"/>
      <w:szCs w:val="20"/>
      <w:lang w:eastAsia="fr-FR"/>
    </w:rPr>
    <w:tblPr>
      <w:tblStyleRowBandSize w:val="1"/>
      <w:tblStyleColBandSize w:val="1"/>
    </w:tblPr>
    <w:tblStylePr w:type="firstRow">
      <w:rPr>
        <w:b/>
        <w:bCs/>
        <w:caps/>
      </w:rPr>
      <w:tblPr/>
      <w:tcPr>
        <w:tcBorders>
          <w:bottom w:val="single" w:sz="4" w:space="0" w:color="7F7F7F"/>
        </w:tcBorders>
      </w:tcPr>
    </w:tblStylePr>
    <w:tblStylePr w:type="lastRow">
      <w:rPr>
        <w:b/>
        <w:bCs/>
        <w:caps/>
      </w:rPr>
      <w:tblPr/>
      <w:tcPr>
        <w:tcBorders>
          <w:top w:val="nil"/>
        </w:tcBorders>
      </w:tcPr>
    </w:tblStylePr>
    <w:tblStylePr w:type="firstCol">
      <w:rPr>
        <w:b/>
        <w:bCs/>
        <w:caps/>
      </w:rPr>
      <w:tblPr/>
      <w:tcPr>
        <w:tcBorders>
          <w:right w:val="single" w:sz="4" w:space="0" w:color="7F7F7F"/>
        </w:tcBorders>
      </w:tcPr>
    </w:tblStylePr>
    <w:tblStylePr w:type="lastCol">
      <w:rPr>
        <w:b/>
        <w:bCs/>
        <w:caps/>
      </w:rPr>
      <w:tblPr/>
      <w:tcPr>
        <w:tcBorders>
          <w:left w:val="nil"/>
        </w:tcBorders>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style>
  <w:style w:type="table" w:customStyle="1" w:styleId="TableauGrille31">
    <w:name w:val="Tableau Grille 31"/>
    <w:basedOn w:val="TableauNormal"/>
    <w:uiPriority w:val="48"/>
    <w:rsid w:val="00170594"/>
    <w:pPr>
      <w:spacing w:after="0" w:line="240" w:lineRule="auto"/>
    </w:pPr>
    <w:rPr>
      <w:rFonts w:ascii="Calibri" w:eastAsia="Calibri" w:hAnsi="Calibri" w:cs="Times New Roman"/>
      <w:sz w:val="20"/>
      <w:szCs w:val="20"/>
      <w:lang w:eastAsia="fr-FR"/>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table" w:customStyle="1" w:styleId="Grilledutableau211">
    <w:name w:val="Grille du tableau211"/>
    <w:basedOn w:val="TableauNormal"/>
    <w:next w:val="Grilledutableau"/>
    <w:uiPriority w:val="39"/>
    <w:rsid w:val="00170594"/>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Aucuneliste4">
    <w:name w:val="Aucune liste4"/>
    <w:next w:val="Aucuneliste"/>
    <w:uiPriority w:val="99"/>
    <w:semiHidden/>
    <w:unhideWhenUsed/>
    <w:rsid w:val="00170594"/>
  </w:style>
  <w:style w:type="numbering" w:customStyle="1" w:styleId="Aucuneliste13">
    <w:name w:val="Aucune liste13"/>
    <w:next w:val="Aucuneliste"/>
    <w:uiPriority w:val="99"/>
    <w:semiHidden/>
    <w:unhideWhenUsed/>
    <w:rsid w:val="00170594"/>
  </w:style>
  <w:style w:type="numbering" w:customStyle="1" w:styleId="Aucuneliste112">
    <w:name w:val="Aucune liste112"/>
    <w:next w:val="Aucuneliste"/>
    <w:uiPriority w:val="99"/>
    <w:semiHidden/>
    <w:unhideWhenUsed/>
    <w:rsid w:val="00170594"/>
  </w:style>
  <w:style w:type="numbering" w:customStyle="1" w:styleId="Aucuneliste211">
    <w:name w:val="Aucune liste211"/>
    <w:next w:val="Aucuneliste"/>
    <w:uiPriority w:val="99"/>
    <w:semiHidden/>
    <w:unhideWhenUsed/>
    <w:rsid w:val="00170594"/>
  </w:style>
  <w:style w:type="numbering" w:customStyle="1" w:styleId="Aucuneliste121">
    <w:name w:val="Aucune liste121"/>
    <w:next w:val="Aucuneliste"/>
    <w:uiPriority w:val="99"/>
    <w:semiHidden/>
    <w:unhideWhenUsed/>
    <w:rsid w:val="00170594"/>
  </w:style>
  <w:style w:type="numbering" w:customStyle="1" w:styleId="Aucuneliste1112">
    <w:name w:val="Aucune liste1112"/>
    <w:next w:val="Aucuneliste"/>
    <w:uiPriority w:val="99"/>
    <w:semiHidden/>
    <w:unhideWhenUsed/>
    <w:rsid w:val="00170594"/>
  </w:style>
  <w:style w:type="numbering" w:customStyle="1" w:styleId="Aucuneliste1111111">
    <w:name w:val="Aucune liste1111111"/>
    <w:next w:val="Aucuneliste"/>
    <w:uiPriority w:val="99"/>
    <w:semiHidden/>
    <w:unhideWhenUsed/>
    <w:rsid w:val="00170594"/>
  </w:style>
  <w:style w:type="table" w:customStyle="1" w:styleId="Grilledutableau182">
    <w:name w:val="Grille du tableau182"/>
    <w:basedOn w:val="TableauNormal"/>
    <w:next w:val="Grilledutableau"/>
    <w:uiPriority w:val="39"/>
    <w:rsid w:val="00170594"/>
    <w:pPr>
      <w:spacing w:after="0" w:line="240" w:lineRule="auto"/>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51">
    <w:name w:val="Grille du tableau51"/>
    <w:basedOn w:val="TableauNormal"/>
    <w:next w:val="Grilledutableau"/>
    <w:uiPriority w:val="59"/>
    <w:rsid w:val="00170594"/>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orpsdetexteCar2">
    <w:name w:val="Corps de texte Car2"/>
    <w:basedOn w:val="Policepardfaut"/>
    <w:uiPriority w:val="99"/>
    <w:semiHidden/>
    <w:rsid w:val="00170594"/>
  </w:style>
  <w:style w:type="table" w:customStyle="1" w:styleId="Grilledutableau24">
    <w:name w:val="Grille du tableau24"/>
    <w:basedOn w:val="TableauNormal"/>
    <w:next w:val="Grilledutableau"/>
    <w:uiPriority w:val="59"/>
    <w:qFormat/>
    <w:rsid w:val="00FA6F0D"/>
    <w:pPr>
      <w:spacing w:after="0" w:line="240" w:lineRule="auto"/>
      <w:jc w:val="center"/>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331302">
      <w:bodyDiv w:val="1"/>
      <w:marLeft w:val="0"/>
      <w:marRight w:val="0"/>
      <w:marTop w:val="0"/>
      <w:marBottom w:val="0"/>
      <w:divBdr>
        <w:top w:val="none" w:sz="0" w:space="0" w:color="auto"/>
        <w:left w:val="none" w:sz="0" w:space="0" w:color="auto"/>
        <w:bottom w:val="none" w:sz="0" w:space="0" w:color="auto"/>
        <w:right w:val="none" w:sz="0" w:space="0" w:color="auto"/>
      </w:divBdr>
    </w:div>
    <w:div w:id="154495293">
      <w:bodyDiv w:val="1"/>
      <w:marLeft w:val="0"/>
      <w:marRight w:val="0"/>
      <w:marTop w:val="0"/>
      <w:marBottom w:val="0"/>
      <w:divBdr>
        <w:top w:val="none" w:sz="0" w:space="0" w:color="auto"/>
        <w:left w:val="none" w:sz="0" w:space="0" w:color="auto"/>
        <w:bottom w:val="none" w:sz="0" w:space="0" w:color="auto"/>
        <w:right w:val="none" w:sz="0" w:space="0" w:color="auto"/>
      </w:divBdr>
    </w:div>
    <w:div w:id="176778635">
      <w:bodyDiv w:val="1"/>
      <w:marLeft w:val="0"/>
      <w:marRight w:val="0"/>
      <w:marTop w:val="0"/>
      <w:marBottom w:val="0"/>
      <w:divBdr>
        <w:top w:val="none" w:sz="0" w:space="0" w:color="auto"/>
        <w:left w:val="none" w:sz="0" w:space="0" w:color="auto"/>
        <w:bottom w:val="none" w:sz="0" w:space="0" w:color="auto"/>
        <w:right w:val="none" w:sz="0" w:space="0" w:color="auto"/>
      </w:divBdr>
    </w:div>
    <w:div w:id="270430029">
      <w:bodyDiv w:val="1"/>
      <w:marLeft w:val="0"/>
      <w:marRight w:val="0"/>
      <w:marTop w:val="0"/>
      <w:marBottom w:val="0"/>
      <w:divBdr>
        <w:top w:val="none" w:sz="0" w:space="0" w:color="auto"/>
        <w:left w:val="none" w:sz="0" w:space="0" w:color="auto"/>
        <w:bottom w:val="none" w:sz="0" w:space="0" w:color="auto"/>
        <w:right w:val="none" w:sz="0" w:space="0" w:color="auto"/>
      </w:divBdr>
    </w:div>
    <w:div w:id="692800324">
      <w:bodyDiv w:val="1"/>
      <w:marLeft w:val="0"/>
      <w:marRight w:val="0"/>
      <w:marTop w:val="0"/>
      <w:marBottom w:val="0"/>
      <w:divBdr>
        <w:top w:val="none" w:sz="0" w:space="0" w:color="auto"/>
        <w:left w:val="none" w:sz="0" w:space="0" w:color="auto"/>
        <w:bottom w:val="none" w:sz="0" w:space="0" w:color="auto"/>
        <w:right w:val="none" w:sz="0" w:space="0" w:color="auto"/>
      </w:divBdr>
    </w:div>
    <w:div w:id="696664127">
      <w:bodyDiv w:val="1"/>
      <w:marLeft w:val="0"/>
      <w:marRight w:val="0"/>
      <w:marTop w:val="0"/>
      <w:marBottom w:val="0"/>
      <w:divBdr>
        <w:top w:val="none" w:sz="0" w:space="0" w:color="auto"/>
        <w:left w:val="none" w:sz="0" w:space="0" w:color="auto"/>
        <w:bottom w:val="none" w:sz="0" w:space="0" w:color="auto"/>
        <w:right w:val="none" w:sz="0" w:space="0" w:color="auto"/>
      </w:divBdr>
    </w:div>
    <w:div w:id="737821889">
      <w:bodyDiv w:val="1"/>
      <w:marLeft w:val="0"/>
      <w:marRight w:val="0"/>
      <w:marTop w:val="0"/>
      <w:marBottom w:val="0"/>
      <w:divBdr>
        <w:top w:val="none" w:sz="0" w:space="0" w:color="auto"/>
        <w:left w:val="none" w:sz="0" w:space="0" w:color="auto"/>
        <w:bottom w:val="none" w:sz="0" w:space="0" w:color="auto"/>
        <w:right w:val="none" w:sz="0" w:space="0" w:color="auto"/>
      </w:divBdr>
    </w:div>
    <w:div w:id="747729265">
      <w:bodyDiv w:val="1"/>
      <w:marLeft w:val="0"/>
      <w:marRight w:val="0"/>
      <w:marTop w:val="0"/>
      <w:marBottom w:val="0"/>
      <w:divBdr>
        <w:top w:val="none" w:sz="0" w:space="0" w:color="auto"/>
        <w:left w:val="none" w:sz="0" w:space="0" w:color="auto"/>
        <w:bottom w:val="none" w:sz="0" w:space="0" w:color="auto"/>
        <w:right w:val="none" w:sz="0" w:space="0" w:color="auto"/>
      </w:divBdr>
    </w:div>
    <w:div w:id="812212401">
      <w:bodyDiv w:val="1"/>
      <w:marLeft w:val="0"/>
      <w:marRight w:val="0"/>
      <w:marTop w:val="0"/>
      <w:marBottom w:val="0"/>
      <w:divBdr>
        <w:top w:val="none" w:sz="0" w:space="0" w:color="auto"/>
        <w:left w:val="none" w:sz="0" w:space="0" w:color="auto"/>
        <w:bottom w:val="none" w:sz="0" w:space="0" w:color="auto"/>
        <w:right w:val="none" w:sz="0" w:space="0" w:color="auto"/>
      </w:divBdr>
    </w:div>
    <w:div w:id="913509868">
      <w:bodyDiv w:val="1"/>
      <w:marLeft w:val="0"/>
      <w:marRight w:val="0"/>
      <w:marTop w:val="0"/>
      <w:marBottom w:val="0"/>
      <w:divBdr>
        <w:top w:val="none" w:sz="0" w:space="0" w:color="auto"/>
        <w:left w:val="none" w:sz="0" w:space="0" w:color="auto"/>
        <w:bottom w:val="none" w:sz="0" w:space="0" w:color="auto"/>
        <w:right w:val="none" w:sz="0" w:space="0" w:color="auto"/>
      </w:divBdr>
    </w:div>
    <w:div w:id="1049841956">
      <w:bodyDiv w:val="1"/>
      <w:marLeft w:val="0"/>
      <w:marRight w:val="0"/>
      <w:marTop w:val="0"/>
      <w:marBottom w:val="0"/>
      <w:divBdr>
        <w:top w:val="none" w:sz="0" w:space="0" w:color="auto"/>
        <w:left w:val="none" w:sz="0" w:space="0" w:color="auto"/>
        <w:bottom w:val="none" w:sz="0" w:space="0" w:color="auto"/>
        <w:right w:val="none" w:sz="0" w:space="0" w:color="auto"/>
      </w:divBdr>
    </w:div>
    <w:div w:id="1095517158">
      <w:bodyDiv w:val="1"/>
      <w:marLeft w:val="0"/>
      <w:marRight w:val="0"/>
      <w:marTop w:val="0"/>
      <w:marBottom w:val="0"/>
      <w:divBdr>
        <w:top w:val="none" w:sz="0" w:space="0" w:color="auto"/>
        <w:left w:val="none" w:sz="0" w:space="0" w:color="auto"/>
        <w:bottom w:val="none" w:sz="0" w:space="0" w:color="auto"/>
        <w:right w:val="none" w:sz="0" w:space="0" w:color="auto"/>
      </w:divBdr>
    </w:div>
    <w:div w:id="1253078271">
      <w:bodyDiv w:val="1"/>
      <w:marLeft w:val="0"/>
      <w:marRight w:val="0"/>
      <w:marTop w:val="0"/>
      <w:marBottom w:val="0"/>
      <w:divBdr>
        <w:top w:val="none" w:sz="0" w:space="0" w:color="auto"/>
        <w:left w:val="none" w:sz="0" w:space="0" w:color="auto"/>
        <w:bottom w:val="none" w:sz="0" w:space="0" w:color="auto"/>
        <w:right w:val="none" w:sz="0" w:space="0" w:color="auto"/>
      </w:divBdr>
    </w:div>
    <w:div w:id="1355963431">
      <w:bodyDiv w:val="1"/>
      <w:marLeft w:val="0"/>
      <w:marRight w:val="0"/>
      <w:marTop w:val="0"/>
      <w:marBottom w:val="0"/>
      <w:divBdr>
        <w:top w:val="none" w:sz="0" w:space="0" w:color="auto"/>
        <w:left w:val="none" w:sz="0" w:space="0" w:color="auto"/>
        <w:bottom w:val="none" w:sz="0" w:space="0" w:color="auto"/>
        <w:right w:val="none" w:sz="0" w:space="0" w:color="auto"/>
      </w:divBdr>
    </w:div>
    <w:div w:id="1656059883">
      <w:bodyDiv w:val="1"/>
      <w:marLeft w:val="0"/>
      <w:marRight w:val="0"/>
      <w:marTop w:val="0"/>
      <w:marBottom w:val="0"/>
      <w:divBdr>
        <w:top w:val="none" w:sz="0" w:space="0" w:color="auto"/>
        <w:left w:val="none" w:sz="0" w:space="0" w:color="auto"/>
        <w:bottom w:val="none" w:sz="0" w:space="0" w:color="auto"/>
        <w:right w:val="none" w:sz="0" w:space="0" w:color="auto"/>
      </w:divBdr>
    </w:div>
    <w:div w:id="1659966938">
      <w:bodyDiv w:val="1"/>
      <w:marLeft w:val="0"/>
      <w:marRight w:val="0"/>
      <w:marTop w:val="0"/>
      <w:marBottom w:val="0"/>
      <w:divBdr>
        <w:top w:val="none" w:sz="0" w:space="0" w:color="auto"/>
        <w:left w:val="none" w:sz="0" w:space="0" w:color="auto"/>
        <w:bottom w:val="none" w:sz="0" w:space="0" w:color="auto"/>
        <w:right w:val="none" w:sz="0" w:space="0" w:color="auto"/>
      </w:divBdr>
    </w:div>
    <w:div w:id="1883863367">
      <w:bodyDiv w:val="1"/>
      <w:marLeft w:val="0"/>
      <w:marRight w:val="0"/>
      <w:marTop w:val="0"/>
      <w:marBottom w:val="0"/>
      <w:divBdr>
        <w:top w:val="none" w:sz="0" w:space="0" w:color="auto"/>
        <w:left w:val="none" w:sz="0" w:space="0" w:color="auto"/>
        <w:bottom w:val="none" w:sz="0" w:space="0" w:color="auto"/>
        <w:right w:val="none" w:sz="0" w:space="0" w:color="auto"/>
      </w:divBdr>
    </w:div>
    <w:div w:id="2029208932">
      <w:bodyDiv w:val="1"/>
      <w:marLeft w:val="0"/>
      <w:marRight w:val="0"/>
      <w:marTop w:val="0"/>
      <w:marBottom w:val="0"/>
      <w:divBdr>
        <w:top w:val="none" w:sz="0" w:space="0" w:color="auto"/>
        <w:left w:val="none" w:sz="0" w:space="0" w:color="auto"/>
        <w:bottom w:val="none" w:sz="0" w:space="0" w:color="auto"/>
        <w:right w:val="none" w:sz="0" w:space="0" w:color="auto"/>
      </w:divBdr>
    </w:div>
    <w:div w:id="20554266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jpeg"/><Relationship Id="rId21" Type="http://schemas.openxmlformats.org/officeDocument/2006/relationships/diagramLayout" Target="diagrams/layout1.xml"/><Relationship Id="rId42" Type="http://schemas.openxmlformats.org/officeDocument/2006/relationships/image" Target="media/image23.jpeg"/><Relationship Id="rId47" Type="http://schemas.openxmlformats.org/officeDocument/2006/relationships/image" Target="media/image28.jpeg"/><Relationship Id="rId63" Type="http://schemas.openxmlformats.org/officeDocument/2006/relationships/image" Target="media/image41.jpeg"/><Relationship Id="rId68" Type="http://schemas.openxmlformats.org/officeDocument/2006/relationships/chart" Target="charts/chart13.xml"/><Relationship Id="rId84" Type="http://schemas.openxmlformats.org/officeDocument/2006/relationships/image" Target="media/image47.emf"/><Relationship Id="rId89" Type="http://schemas.openxmlformats.org/officeDocument/2006/relationships/image" Target="media/image51.png"/><Relationship Id="rId16" Type="http://schemas.openxmlformats.org/officeDocument/2006/relationships/image" Target="media/image7.png"/><Relationship Id="rId11" Type="http://schemas.openxmlformats.org/officeDocument/2006/relationships/footer" Target="footer1.xml"/><Relationship Id="rId32" Type="http://schemas.openxmlformats.org/officeDocument/2006/relationships/image" Target="media/image18.png"/><Relationship Id="rId37" Type="http://schemas.openxmlformats.org/officeDocument/2006/relationships/footer" Target="footer2.xml"/><Relationship Id="rId53" Type="http://schemas.openxmlformats.org/officeDocument/2006/relationships/image" Target="media/image32.jpeg"/><Relationship Id="rId58" Type="http://schemas.openxmlformats.org/officeDocument/2006/relationships/image" Target="media/image36.png"/><Relationship Id="rId74" Type="http://schemas.openxmlformats.org/officeDocument/2006/relationships/chart" Target="charts/chart19.xml"/><Relationship Id="rId79" Type="http://schemas.openxmlformats.org/officeDocument/2006/relationships/chart" Target="charts/chart22.xml"/><Relationship Id="rId102" Type="http://schemas.openxmlformats.org/officeDocument/2006/relationships/footer" Target="footer3.xml"/><Relationship Id="rId5" Type="http://schemas.openxmlformats.org/officeDocument/2006/relationships/webSettings" Target="webSettings.xml"/><Relationship Id="rId90" Type="http://schemas.openxmlformats.org/officeDocument/2006/relationships/image" Target="media/image52.png"/><Relationship Id="rId95" Type="http://schemas.openxmlformats.org/officeDocument/2006/relationships/hyperlink" Target="https://fr.wikipedia.org/wiki/Gilet_haute_visibilit%C3%A9" TargetMode="External"/><Relationship Id="rId22" Type="http://schemas.openxmlformats.org/officeDocument/2006/relationships/diagramQuickStyle" Target="diagrams/quickStyle1.xml"/><Relationship Id="rId27" Type="http://schemas.openxmlformats.org/officeDocument/2006/relationships/image" Target="media/image13.jpeg"/><Relationship Id="rId43" Type="http://schemas.openxmlformats.org/officeDocument/2006/relationships/image" Target="media/image24.jpeg"/><Relationship Id="rId48" Type="http://schemas.openxmlformats.org/officeDocument/2006/relationships/image" Target="media/image29.jpeg"/><Relationship Id="rId64" Type="http://schemas.openxmlformats.org/officeDocument/2006/relationships/chart" Target="charts/chart9.xml"/><Relationship Id="rId69" Type="http://schemas.openxmlformats.org/officeDocument/2006/relationships/chart" Target="charts/chart14.xml"/><Relationship Id="rId80" Type="http://schemas.openxmlformats.org/officeDocument/2006/relationships/chart" Target="charts/chart23.xml"/><Relationship Id="rId85" Type="http://schemas.openxmlformats.org/officeDocument/2006/relationships/header" Target="header1.xml"/><Relationship Id="rId12" Type="http://schemas.openxmlformats.org/officeDocument/2006/relationships/image" Target="media/image4.wmf"/><Relationship Id="rId17" Type="http://schemas.openxmlformats.org/officeDocument/2006/relationships/image" Target="media/image8.jpeg"/><Relationship Id="rId33" Type="http://schemas.openxmlformats.org/officeDocument/2006/relationships/image" Target="media/image19.wmf"/><Relationship Id="rId38" Type="http://schemas.openxmlformats.org/officeDocument/2006/relationships/chart" Target="charts/chart2.xml"/><Relationship Id="rId59" Type="http://schemas.openxmlformats.org/officeDocument/2006/relationships/image" Target="media/image37.jpeg"/><Relationship Id="rId103" Type="http://schemas.openxmlformats.org/officeDocument/2006/relationships/footer" Target="footer4.xml"/><Relationship Id="rId20" Type="http://schemas.openxmlformats.org/officeDocument/2006/relationships/diagramData" Target="diagrams/data1.xml"/><Relationship Id="rId41" Type="http://schemas.openxmlformats.org/officeDocument/2006/relationships/chart" Target="charts/chart5.xml"/><Relationship Id="rId54" Type="http://schemas.openxmlformats.org/officeDocument/2006/relationships/image" Target="media/image33.png"/><Relationship Id="rId62" Type="http://schemas.openxmlformats.org/officeDocument/2006/relationships/image" Target="media/image40.jpeg"/><Relationship Id="rId70" Type="http://schemas.openxmlformats.org/officeDocument/2006/relationships/chart" Target="charts/chart15.xml"/><Relationship Id="rId75" Type="http://schemas.openxmlformats.org/officeDocument/2006/relationships/image" Target="media/image42.jpeg"/><Relationship Id="rId83" Type="http://schemas.openxmlformats.org/officeDocument/2006/relationships/image" Target="media/image46.emf"/><Relationship Id="rId88" Type="http://schemas.openxmlformats.org/officeDocument/2006/relationships/image" Target="media/image50.png"/><Relationship Id="rId91" Type="http://schemas.openxmlformats.org/officeDocument/2006/relationships/image" Target="media/image53.png"/><Relationship Id="rId96" Type="http://schemas.openxmlformats.org/officeDocument/2006/relationships/hyperlink" Target="https://fr.wikipedia.org/wiki/Gant"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chart" Target="charts/chart1.xml"/><Relationship Id="rId23" Type="http://schemas.openxmlformats.org/officeDocument/2006/relationships/diagramColors" Target="diagrams/colors1.xml"/><Relationship Id="rId28" Type="http://schemas.openxmlformats.org/officeDocument/2006/relationships/image" Target="media/image14.jpeg"/><Relationship Id="rId36" Type="http://schemas.openxmlformats.org/officeDocument/2006/relationships/image" Target="media/image22.png"/><Relationship Id="rId49" Type="http://schemas.openxmlformats.org/officeDocument/2006/relationships/image" Target="media/image30.jpeg"/><Relationship Id="rId57" Type="http://schemas.openxmlformats.org/officeDocument/2006/relationships/image" Target="media/image35.png"/><Relationship Id="rId106" Type="http://schemas.openxmlformats.org/officeDocument/2006/relationships/theme" Target="theme/theme1.xml"/><Relationship Id="rId10" Type="http://schemas.openxmlformats.org/officeDocument/2006/relationships/image" Target="media/image3.png"/><Relationship Id="rId31" Type="http://schemas.openxmlformats.org/officeDocument/2006/relationships/image" Target="media/image17.jpeg"/><Relationship Id="rId44" Type="http://schemas.openxmlformats.org/officeDocument/2006/relationships/image" Target="media/image25.jpeg"/><Relationship Id="rId52" Type="http://schemas.openxmlformats.org/officeDocument/2006/relationships/image" Target="media/image31.jpeg"/><Relationship Id="rId60" Type="http://schemas.openxmlformats.org/officeDocument/2006/relationships/image" Target="media/image38.jpeg"/><Relationship Id="rId65" Type="http://schemas.openxmlformats.org/officeDocument/2006/relationships/chart" Target="charts/chart10.xml"/><Relationship Id="rId73" Type="http://schemas.openxmlformats.org/officeDocument/2006/relationships/chart" Target="charts/chart18.xml"/><Relationship Id="rId78" Type="http://schemas.openxmlformats.org/officeDocument/2006/relationships/chart" Target="charts/chart21.xml"/><Relationship Id="rId81" Type="http://schemas.openxmlformats.org/officeDocument/2006/relationships/image" Target="media/image44.emf"/><Relationship Id="rId86" Type="http://schemas.openxmlformats.org/officeDocument/2006/relationships/image" Target="media/image48.png"/><Relationship Id="rId94" Type="http://schemas.openxmlformats.org/officeDocument/2006/relationships/image" Target="media/image56.emf"/><Relationship Id="rId99" Type="http://schemas.openxmlformats.org/officeDocument/2006/relationships/hyperlink" Target="https://fr.wikipedia.org/wiki/Transfert_thermique" TargetMode="External"/><Relationship Id="rId101" Type="http://schemas.openxmlformats.org/officeDocument/2006/relationships/hyperlink" Target="https://fr.wikipedia.org/wiki/Plaie" TargetMode="External"/><Relationship Id="rId4" Type="http://schemas.openxmlformats.org/officeDocument/2006/relationships/settings" Target="settings.xml"/><Relationship Id="rId9" Type="http://schemas.openxmlformats.org/officeDocument/2006/relationships/image" Target="media/image2.emf"/><Relationship Id="rId13" Type="http://schemas.openxmlformats.org/officeDocument/2006/relationships/image" Target="media/image5.jpeg"/><Relationship Id="rId18" Type="http://schemas.openxmlformats.org/officeDocument/2006/relationships/image" Target="media/image9.jpeg"/><Relationship Id="rId39" Type="http://schemas.openxmlformats.org/officeDocument/2006/relationships/chart" Target="charts/chart3.xml"/><Relationship Id="rId34" Type="http://schemas.openxmlformats.org/officeDocument/2006/relationships/image" Target="media/image20.jpeg"/><Relationship Id="rId50" Type="http://schemas.openxmlformats.org/officeDocument/2006/relationships/chart" Target="charts/chart6.xml"/><Relationship Id="rId55" Type="http://schemas.openxmlformats.org/officeDocument/2006/relationships/image" Target="media/image34.png"/><Relationship Id="rId76" Type="http://schemas.openxmlformats.org/officeDocument/2006/relationships/chart" Target="charts/chart20.xml"/><Relationship Id="rId97" Type="http://schemas.openxmlformats.org/officeDocument/2006/relationships/hyperlink" Target="https://fr.wikipedia.org/wiki/Lunettes" TargetMode="External"/><Relationship Id="rId104" Type="http://schemas.openxmlformats.org/officeDocument/2006/relationships/hyperlink" Target="http://www.aho.afro.who.int/profiles_information/index.php/Benin:Gender_and_women%27s_health/fr" TargetMode="External"/><Relationship Id="rId7" Type="http://schemas.openxmlformats.org/officeDocument/2006/relationships/endnotes" Target="endnotes.xml"/><Relationship Id="rId71" Type="http://schemas.openxmlformats.org/officeDocument/2006/relationships/chart" Target="charts/chart16.xml"/><Relationship Id="rId92" Type="http://schemas.openxmlformats.org/officeDocument/2006/relationships/image" Target="media/image54.emf"/><Relationship Id="rId2" Type="http://schemas.openxmlformats.org/officeDocument/2006/relationships/numbering" Target="numbering.xml"/><Relationship Id="rId29" Type="http://schemas.openxmlformats.org/officeDocument/2006/relationships/image" Target="media/image15.jpeg"/><Relationship Id="rId24" Type="http://schemas.microsoft.com/office/2007/relationships/diagramDrawing" Target="diagrams/drawing1.xml"/><Relationship Id="rId40" Type="http://schemas.openxmlformats.org/officeDocument/2006/relationships/chart" Target="charts/chart4.xml"/><Relationship Id="rId45" Type="http://schemas.openxmlformats.org/officeDocument/2006/relationships/image" Target="media/image26.jpeg"/><Relationship Id="rId66" Type="http://schemas.openxmlformats.org/officeDocument/2006/relationships/chart" Target="charts/chart11.xml"/><Relationship Id="rId87" Type="http://schemas.openxmlformats.org/officeDocument/2006/relationships/image" Target="media/image49.png"/><Relationship Id="rId61" Type="http://schemas.openxmlformats.org/officeDocument/2006/relationships/image" Target="media/image39.jpeg"/><Relationship Id="rId82" Type="http://schemas.openxmlformats.org/officeDocument/2006/relationships/image" Target="media/image45.emf"/><Relationship Id="rId19" Type="http://schemas.openxmlformats.org/officeDocument/2006/relationships/image" Target="media/image10.jpeg"/><Relationship Id="rId14" Type="http://schemas.openxmlformats.org/officeDocument/2006/relationships/image" Target="media/image6.jpeg"/><Relationship Id="rId30" Type="http://schemas.openxmlformats.org/officeDocument/2006/relationships/image" Target="media/image16.jpeg"/><Relationship Id="rId35" Type="http://schemas.openxmlformats.org/officeDocument/2006/relationships/image" Target="media/image21.png"/><Relationship Id="rId56" Type="http://schemas.openxmlformats.org/officeDocument/2006/relationships/chart" Target="charts/chart8.xml"/><Relationship Id="rId77" Type="http://schemas.openxmlformats.org/officeDocument/2006/relationships/image" Target="media/image43.jpeg"/><Relationship Id="rId100" Type="http://schemas.openxmlformats.org/officeDocument/2006/relationships/hyperlink" Target="https://fr.wikipedia.org/wiki/Feu" TargetMode="External"/><Relationship Id="rId105"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chart" Target="charts/chart7.xml"/><Relationship Id="rId72" Type="http://schemas.openxmlformats.org/officeDocument/2006/relationships/chart" Target="charts/chart17.xml"/><Relationship Id="rId93" Type="http://schemas.openxmlformats.org/officeDocument/2006/relationships/image" Target="media/image55.emf"/><Relationship Id="rId98" Type="http://schemas.openxmlformats.org/officeDocument/2006/relationships/hyperlink" Target="https://fr.wikipedia.org/wiki/Masque" TargetMode="External"/><Relationship Id="rId3" Type="http://schemas.openxmlformats.org/officeDocument/2006/relationships/styles" Target="styles.xml"/><Relationship Id="rId25" Type="http://schemas.openxmlformats.org/officeDocument/2006/relationships/image" Target="media/image11.jpeg"/><Relationship Id="rId46" Type="http://schemas.openxmlformats.org/officeDocument/2006/relationships/image" Target="media/image27.jpeg"/><Relationship Id="rId67" Type="http://schemas.openxmlformats.org/officeDocument/2006/relationships/chart" Target="charts/chart12.xml"/></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oleObject" Target="file:///D:\EIE\BOHICON\Indentification_NATITINGOU.xls" TargetMode="External"/></Relationships>
</file>

<file path=word/charts/_rels/chart10.xml.rels><?xml version="1.0" encoding="UTF-8" standalone="yes"?>
<Relationships xmlns="http://schemas.openxmlformats.org/package/2006/relationships"><Relationship Id="rId3" Type="http://schemas.openxmlformats.org/officeDocument/2006/relationships/themeOverride" Target="../theme/themeOverride10.xm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oleObject" Target="file:///D:\EIE\BOHICON\BASE\EIES_NATITINGOU.xlsx" TargetMode="External"/></Relationships>
</file>

<file path=word/charts/_rels/chart11.xml.rels><?xml version="1.0" encoding="UTF-8" standalone="yes"?>
<Relationships xmlns="http://schemas.openxmlformats.org/package/2006/relationships"><Relationship Id="rId3" Type="http://schemas.openxmlformats.org/officeDocument/2006/relationships/themeOverride" Target="../theme/themeOverride11.xm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oleObject" Target="file:///D:\EIE\BOHICON\BASE\EIES_NATITINGOU.xlsx" TargetMode="External"/></Relationships>
</file>

<file path=word/charts/_rels/chart12.xml.rels><?xml version="1.0" encoding="UTF-8" standalone="yes"?>
<Relationships xmlns="http://schemas.openxmlformats.org/package/2006/relationships"><Relationship Id="rId3" Type="http://schemas.openxmlformats.org/officeDocument/2006/relationships/themeOverride" Target="../theme/themeOverride12.xml"/><Relationship Id="rId2" Type="http://schemas.microsoft.com/office/2011/relationships/chartColorStyle" Target="colors9.xml"/><Relationship Id="rId1" Type="http://schemas.microsoft.com/office/2011/relationships/chartStyle" Target="style9.xml"/><Relationship Id="rId4" Type="http://schemas.openxmlformats.org/officeDocument/2006/relationships/oleObject" Target="file:///D:\EIE\BOHICON\BASE\EIES_NATITINGOU.xlsx" TargetMode="External"/></Relationships>
</file>

<file path=word/charts/_rels/chart13.xml.rels><?xml version="1.0" encoding="UTF-8" standalone="yes"?>
<Relationships xmlns="http://schemas.openxmlformats.org/package/2006/relationships"><Relationship Id="rId3" Type="http://schemas.openxmlformats.org/officeDocument/2006/relationships/themeOverride" Target="../theme/themeOverride13.xml"/><Relationship Id="rId2" Type="http://schemas.microsoft.com/office/2011/relationships/chartColorStyle" Target="colors10.xml"/><Relationship Id="rId1" Type="http://schemas.microsoft.com/office/2011/relationships/chartStyle" Target="style10.xml"/><Relationship Id="rId4" Type="http://schemas.openxmlformats.org/officeDocument/2006/relationships/oleObject" Target="file:///D:\EIE\BOHICON\BASE\EIES_NATITINGOU.xlsx" TargetMode="External"/></Relationships>
</file>

<file path=word/charts/_rels/chart14.xml.rels><?xml version="1.0" encoding="UTF-8" standalone="yes"?>
<Relationships xmlns="http://schemas.openxmlformats.org/package/2006/relationships"><Relationship Id="rId3" Type="http://schemas.openxmlformats.org/officeDocument/2006/relationships/themeOverride" Target="../theme/themeOverride14.xml"/><Relationship Id="rId2" Type="http://schemas.microsoft.com/office/2011/relationships/chartColorStyle" Target="colors11.xml"/><Relationship Id="rId1" Type="http://schemas.microsoft.com/office/2011/relationships/chartStyle" Target="style11.xml"/><Relationship Id="rId4" Type="http://schemas.openxmlformats.org/officeDocument/2006/relationships/oleObject" Target="file:///D:\EIE\BOHICON\BASE\EIES_NATITINGOU.xlsx" TargetMode="External"/></Relationships>
</file>

<file path=word/charts/_rels/chart15.xml.rels><?xml version="1.0" encoding="UTF-8" standalone="yes"?>
<Relationships xmlns="http://schemas.openxmlformats.org/package/2006/relationships"><Relationship Id="rId3" Type="http://schemas.openxmlformats.org/officeDocument/2006/relationships/themeOverride" Target="../theme/themeOverride15.xml"/><Relationship Id="rId2" Type="http://schemas.microsoft.com/office/2011/relationships/chartColorStyle" Target="colors12.xml"/><Relationship Id="rId1" Type="http://schemas.microsoft.com/office/2011/relationships/chartStyle" Target="style12.xml"/><Relationship Id="rId4" Type="http://schemas.openxmlformats.org/officeDocument/2006/relationships/oleObject" Target="file:///D:\EIE\BOHICON\BASE\EIES_NATITINGOU.xlsx" TargetMode="External"/></Relationships>
</file>

<file path=word/charts/_rels/chart16.xml.rels><?xml version="1.0" encoding="UTF-8" standalone="yes"?>
<Relationships xmlns="http://schemas.openxmlformats.org/package/2006/relationships"><Relationship Id="rId3" Type="http://schemas.openxmlformats.org/officeDocument/2006/relationships/themeOverride" Target="../theme/themeOverride16.xml"/><Relationship Id="rId2" Type="http://schemas.microsoft.com/office/2011/relationships/chartColorStyle" Target="colors13.xml"/><Relationship Id="rId1" Type="http://schemas.microsoft.com/office/2011/relationships/chartStyle" Target="style13.xml"/><Relationship Id="rId4" Type="http://schemas.openxmlformats.org/officeDocument/2006/relationships/oleObject" Target="file:///D:\EIE\BOHICON\BASE\EIES_NATITINGOU.xlsx" TargetMode="External"/></Relationships>
</file>

<file path=word/charts/_rels/chart17.xml.rels><?xml version="1.0" encoding="UTF-8" standalone="yes"?>
<Relationships xmlns="http://schemas.openxmlformats.org/package/2006/relationships"><Relationship Id="rId3" Type="http://schemas.openxmlformats.org/officeDocument/2006/relationships/themeOverride" Target="../theme/themeOverride17.xml"/><Relationship Id="rId2" Type="http://schemas.microsoft.com/office/2011/relationships/chartColorStyle" Target="colors14.xml"/><Relationship Id="rId1" Type="http://schemas.microsoft.com/office/2011/relationships/chartStyle" Target="style14.xml"/><Relationship Id="rId4" Type="http://schemas.openxmlformats.org/officeDocument/2006/relationships/oleObject" Target="file:///D:\EIE\BOHICON\BASE\EIES_NATITINGOU.xlsx" TargetMode="External"/></Relationships>
</file>

<file path=word/charts/_rels/chart18.xml.rels><?xml version="1.0" encoding="UTF-8" standalone="yes"?>
<Relationships xmlns="http://schemas.openxmlformats.org/package/2006/relationships"><Relationship Id="rId3" Type="http://schemas.openxmlformats.org/officeDocument/2006/relationships/themeOverride" Target="../theme/themeOverride18.xml"/><Relationship Id="rId2" Type="http://schemas.microsoft.com/office/2011/relationships/chartColorStyle" Target="colors15.xml"/><Relationship Id="rId1" Type="http://schemas.microsoft.com/office/2011/relationships/chartStyle" Target="style15.xml"/><Relationship Id="rId4" Type="http://schemas.openxmlformats.org/officeDocument/2006/relationships/oleObject" Target="file:///D:\EIE\BOHICON\BASE\EIES_NATITINGOU.xlsx" TargetMode="External"/></Relationships>
</file>

<file path=word/charts/_rels/chart19.xml.rels><?xml version="1.0" encoding="UTF-8" standalone="yes"?>
<Relationships xmlns="http://schemas.openxmlformats.org/package/2006/relationships"><Relationship Id="rId3" Type="http://schemas.openxmlformats.org/officeDocument/2006/relationships/themeOverride" Target="../theme/themeOverride19.xml"/><Relationship Id="rId2" Type="http://schemas.microsoft.com/office/2011/relationships/chartColorStyle" Target="colors16.xml"/><Relationship Id="rId1" Type="http://schemas.microsoft.com/office/2011/relationships/chartStyle" Target="style16.xml"/><Relationship Id="rId4" Type="http://schemas.openxmlformats.org/officeDocument/2006/relationships/oleObject" Target="file:///D:\EIE\BOHICON\BASE\EIES_NATITINGOU.xlsx" TargetMode="External"/></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oleObject" Target="file:///C:\Users\Mindri\AppData\Roaming\Microsoft\Excel\Copie%20de%20Donnee%20IDANI%20(version%201).xls" TargetMode="External"/></Relationships>
</file>

<file path=word/charts/_rels/chart20.xml.rels><?xml version="1.0" encoding="UTF-8" standalone="yes"?>
<Relationships xmlns="http://schemas.openxmlformats.org/package/2006/relationships"><Relationship Id="rId3" Type="http://schemas.openxmlformats.org/officeDocument/2006/relationships/themeOverride" Target="../theme/themeOverride20.xml"/><Relationship Id="rId2" Type="http://schemas.microsoft.com/office/2011/relationships/chartColorStyle" Target="colors17.xml"/><Relationship Id="rId1" Type="http://schemas.microsoft.com/office/2011/relationships/chartStyle" Target="style17.xml"/><Relationship Id="rId4" Type="http://schemas.openxmlformats.org/officeDocument/2006/relationships/oleObject" Target="file:///D:\EIE\BOHICON\BASE\EIES_NATITINGOU.xlsx" TargetMode="External"/></Relationships>
</file>

<file path=word/charts/_rels/chart21.xml.rels><?xml version="1.0" encoding="UTF-8" standalone="yes"?>
<Relationships xmlns="http://schemas.openxmlformats.org/package/2006/relationships"><Relationship Id="rId3" Type="http://schemas.openxmlformats.org/officeDocument/2006/relationships/themeOverride" Target="../theme/themeOverride21.xml"/><Relationship Id="rId2" Type="http://schemas.microsoft.com/office/2011/relationships/chartColorStyle" Target="colors18.xml"/><Relationship Id="rId1" Type="http://schemas.microsoft.com/office/2011/relationships/chartStyle" Target="style18.xml"/><Relationship Id="rId4" Type="http://schemas.openxmlformats.org/officeDocument/2006/relationships/oleObject" Target="file:///D:\EIE\BOHICON\BASE\EIES_NATITINGOU.xlsx" TargetMode="External"/></Relationships>
</file>

<file path=word/charts/_rels/chart22.xml.rels><?xml version="1.0" encoding="UTF-8" standalone="yes"?>
<Relationships xmlns="http://schemas.openxmlformats.org/package/2006/relationships"><Relationship Id="rId3" Type="http://schemas.openxmlformats.org/officeDocument/2006/relationships/themeOverride" Target="../theme/themeOverride22.xml"/><Relationship Id="rId2" Type="http://schemas.microsoft.com/office/2011/relationships/chartColorStyle" Target="colors19.xml"/><Relationship Id="rId1" Type="http://schemas.microsoft.com/office/2011/relationships/chartStyle" Target="style19.xml"/><Relationship Id="rId4" Type="http://schemas.openxmlformats.org/officeDocument/2006/relationships/oleObject" Target="file:///D:\EIE\BOHICON\BASE\EIES_NATITINGOU.xlsx" TargetMode="External"/></Relationships>
</file>

<file path=word/charts/_rels/chart23.xml.rels><?xml version="1.0" encoding="UTF-8" standalone="yes"?>
<Relationships xmlns="http://schemas.openxmlformats.org/package/2006/relationships"><Relationship Id="rId3" Type="http://schemas.openxmlformats.org/officeDocument/2006/relationships/themeOverride" Target="../theme/themeOverride23.xml"/><Relationship Id="rId2" Type="http://schemas.microsoft.com/office/2011/relationships/chartColorStyle" Target="colors20.xml"/><Relationship Id="rId1" Type="http://schemas.microsoft.com/office/2011/relationships/chartStyle" Target="style20.xml"/><Relationship Id="rId4" Type="http://schemas.openxmlformats.org/officeDocument/2006/relationships/package" Target="../embeddings/Feuille_de_calcul_Microsoft_Excel.xlsx"/></Relationships>
</file>

<file path=word/charts/_rels/chart3.xml.rels><?xml version="1.0" encoding="UTF-8" standalone="yes"?>
<Relationships xmlns="http://schemas.openxmlformats.org/package/2006/relationships"><Relationship Id="rId2" Type="http://schemas.openxmlformats.org/officeDocument/2006/relationships/oleObject" Target="file:///C:\Users\Mindri\Desktop\Windows.old\Users\SAMBIENI\Desktop\ARTICLE%20FLASH\SPSS%20FORMATION\NEKOUA\IDANI\SAMBIENI\IDANI\KIANSI\TEMP%20%20%20%20%20%20%20%20%20%20MAXI.xlsx" TargetMode="External"/><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oleObject" Target="file:///F:\Construction%20de%20courbe%20IDF%20Natitingou.xlsx" TargetMode="External"/><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oleObject" Target="file:///F:\Construction%20de%20courbe%20IDF%20Natitingou.xlsx" TargetMode="External"/><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oleObject" Target="file:///C:\Users\Mindri\Desktop\LISTE%20DES%20ENQUETEURS.xlsx" TargetMode="External"/></Relationships>
</file>

<file path=word/charts/_rels/chart7.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oleObject" Target="file:///C:\Users\Mindri\Desktop\LISTE%20DES%20ENQUETEURS.xlsx" TargetMode="External"/></Relationships>
</file>

<file path=word/charts/_rels/chart8.xml.rels><?xml version="1.0" encoding="UTF-8" standalone="yes"?>
<Relationships xmlns="http://schemas.openxmlformats.org/package/2006/relationships"><Relationship Id="rId3" Type="http://schemas.openxmlformats.org/officeDocument/2006/relationships/themeOverride" Target="../theme/themeOverride8.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oleObject" Target="file:///D:\EIE\BOHICON\Indentification_NATITINGOU.xls" TargetMode="External"/></Relationships>
</file>

<file path=word/charts/_rels/chart9.xml.rels><?xml version="1.0" encoding="UTF-8" standalone="yes"?>
<Relationships xmlns="http://schemas.openxmlformats.org/package/2006/relationships"><Relationship Id="rId3" Type="http://schemas.openxmlformats.org/officeDocument/2006/relationships/themeOverride" Target="../theme/themeOverride9.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oleObject" Target="file:///D:\EIE\BOHICON\BASE\EIES_NATITINGOU.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solidFill>
              <a:srgbClr val="5B9BD5"/>
            </a:solidFill>
            <a:ln>
              <a:noFill/>
            </a:ln>
            <a:effectLst/>
          </c:spPr>
          <c:invertIfNegative val="0"/>
          <c:cat>
            <c:strRef>
              <c:f>Feuil4!$F$1:$F$17</c:f>
              <c:strCache>
                <c:ptCount val="17"/>
                <c:pt idx="0">
                  <c:v>Anacardiaceae</c:v>
                </c:pt>
                <c:pt idx="1">
                  <c:v>Legum-Caesal</c:v>
                </c:pt>
                <c:pt idx="2">
                  <c:v>Legum-Mimo</c:v>
                </c:pt>
                <c:pt idx="3">
                  <c:v>Meliaceae</c:v>
                </c:pt>
                <c:pt idx="4">
                  <c:v>Verbenaceae</c:v>
                </c:pt>
                <c:pt idx="5">
                  <c:v>Musaceae</c:v>
                </c:pt>
                <c:pt idx="6">
                  <c:v>Rutaceae</c:v>
                </c:pt>
                <c:pt idx="7">
                  <c:v>Combretaceae</c:v>
                </c:pt>
                <c:pt idx="8">
                  <c:v>Arecaceae</c:v>
                </c:pt>
                <c:pt idx="9">
                  <c:v>Sapotaceae</c:v>
                </c:pt>
                <c:pt idx="10">
                  <c:v>Bombacaceae</c:v>
                </c:pt>
                <c:pt idx="11">
                  <c:v>Myrtaceae</c:v>
                </c:pt>
                <c:pt idx="12">
                  <c:v>Apocynaceae</c:v>
                </c:pt>
                <c:pt idx="13">
                  <c:v>Boraginaceae</c:v>
                </c:pt>
                <c:pt idx="14">
                  <c:v>Caricaceae</c:v>
                </c:pt>
                <c:pt idx="15">
                  <c:v>Gentianaceae</c:v>
                </c:pt>
                <c:pt idx="16">
                  <c:v>Lauraceae</c:v>
                </c:pt>
              </c:strCache>
            </c:strRef>
          </c:cat>
          <c:val>
            <c:numRef>
              <c:f>Feuil4!$G$1:$G$17</c:f>
              <c:numCache>
                <c:formatCode>General</c:formatCode>
                <c:ptCount val="17"/>
                <c:pt idx="0">
                  <c:v>21.316614420062695</c:v>
                </c:pt>
                <c:pt idx="1">
                  <c:v>20.689655172413794</c:v>
                </c:pt>
                <c:pt idx="2">
                  <c:v>16.927899686520377</c:v>
                </c:pt>
                <c:pt idx="3">
                  <c:v>10.9717868338558</c:v>
                </c:pt>
                <c:pt idx="4">
                  <c:v>7.523510971786834</c:v>
                </c:pt>
                <c:pt idx="5">
                  <c:v>7.2100313479623823</c:v>
                </c:pt>
                <c:pt idx="6">
                  <c:v>3.1347962382445136</c:v>
                </c:pt>
                <c:pt idx="7">
                  <c:v>2.507836990595611</c:v>
                </c:pt>
                <c:pt idx="8">
                  <c:v>1.8808777429467085</c:v>
                </c:pt>
                <c:pt idx="9">
                  <c:v>1.8808777429467085</c:v>
                </c:pt>
                <c:pt idx="10">
                  <c:v>1.2539184952978055</c:v>
                </c:pt>
                <c:pt idx="11">
                  <c:v>1.2539184952978055</c:v>
                </c:pt>
                <c:pt idx="12">
                  <c:v>0.94043887147335425</c:v>
                </c:pt>
                <c:pt idx="13">
                  <c:v>0.62695924764890276</c:v>
                </c:pt>
                <c:pt idx="14">
                  <c:v>0.62695924764890276</c:v>
                </c:pt>
                <c:pt idx="15">
                  <c:v>0.62695924764890276</c:v>
                </c:pt>
                <c:pt idx="16">
                  <c:v>0.62695924764890276</c:v>
                </c:pt>
              </c:numCache>
            </c:numRef>
          </c:val>
          <c:extLst>
            <c:ext xmlns:c16="http://schemas.microsoft.com/office/drawing/2014/chart" uri="{C3380CC4-5D6E-409C-BE32-E72D297353CC}">
              <c16:uniqueId val="{00000000-0C71-4D73-9763-08FE49036F5D}"/>
            </c:ext>
          </c:extLst>
        </c:ser>
        <c:dLbls>
          <c:showLegendKey val="0"/>
          <c:showVal val="0"/>
          <c:showCatName val="0"/>
          <c:showSerName val="0"/>
          <c:showPercent val="0"/>
          <c:showBubbleSize val="0"/>
        </c:dLbls>
        <c:gapWidth val="219"/>
        <c:overlap val="-27"/>
        <c:axId val="1689227392"/>
        <c:axId val="1689229024"/>
      </c:barChart>
      <c:catAx>
        <c:axId val="1689227392"/>
        <c:scaling>
          <c:orientation val="minMax"/>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fr-FR"/>
                  <a:t>Familles</a:t>
                </a:r>
              </a:p>
            </c:rich>
          </c:tx>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fr-FR"/>
            </a:p>
          </c:txPr>
        </c:title>
        <c:numFmt formatCode="General" sourceLinked="1"/>
        <c:majorTickMark val="out"/>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fr-FR"/>
          </a:p>
        </c:txPr>
        <c:crossAx val="1689229024"/>
        <c:crosses val="autoZero"/>
        <c:auto val="1"/>
        <c:lblAlgn val="ctr"/>
        <c:lblOffset val="100"/>
        <c:noMultiLvlLbl val="0"/>
      </c:catAx>
      <c:valAx>
        <c:axId val="1689229024"/>
        <c:scaling>
          <c:orientation val="minMax"/>
        </c:scaling>
        <c:delete val="0"/>
        <c:axPos val="l"/>
        <c:title>
          <c:tx>
            <c:rich>
              <a:bodyPr rot="-54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fr-FR"/>
                  <a:t>Proportion (%)</a:t>
                </a:r>
              </a:p>
            </c:rich>
          </c:tx>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fr-FR"/>
            </a:p>
          </c:txPr>
        </c:title>
        <c:numFmt formatCode="General" sourceLinked="1"/>
        <c:majorTickMark val="out"/>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fr-FR"/>
          </a:p>
        </c:txPr>
        <c:crossAx val="168922739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solidFill>
      <a:round/>
    </a:ln>
    <a:effectLst/>
  </c:spPr>
  <c:txPr>
    <a:bodyPr/>
    <a:lstStyle/>
    <a:p>
      <a:pPr>
        <a:defRPr>
          <a:solidFill>
            <a:sysClr val="windowText" lastClr="000000"/>
          </a:solidFill>
          <a:latin typeface="Arial" panose="020B0604020202020204" pitchFamily="34" charset="0"/>
          <a:cs typeface="Arial" panose="020B0604020202020204" pitchFamily="34" charset="0"/>
        </a:defRPr>
      </a:pPr>
      <a:endParaRPr lang="fr-FR"/>
    </a:p>
  </c:txPr>
  <c:externalData r:id="rId4">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solidFill>
              <a:schemeClr val="accent5">
                <a:lumMod val="75000"/>
              </a:schemeClr>
            </a:solidFill>
            <a:ln>
              <a:noFill/>
            </a:ln>
            <a:effectLst/>
          </c:spPr>
          <c:invertIfNegative val="0"/>
          <c:cat>
            <c:strRef>
              <c:f>Feuil2!$AQ$4:$AQ$6</c:f>
              <c:strCache>
                <c:ptCount val="3"/>
                <c:pt idx="0">
                  <c:v>Héritage </c:v>
                </c:pt>
                <c:pt idx="1">
                  <c:v>Manque de moyen ﬁnancier </c:v>
                </c:pt>
                <c:pt idx="2">
                  <c:v>Activités de revenues</c:v>
                </c:pt>
              </c:strCache>
            </c:strRef>
          </c:cat>
          <c:val>
            <c:numRef>
              <c:f>Feuil2!$AS$4:$AS$6</c:f>
              <c:numCache>
                <c:formatCode>General</c:formatCode>
                <c:ptCount val="3"/>
                <c:pt idx="0">
                  <c:v>48.301886792452834</c:v>
                </c:pt>
                <c:pt idx="1">
                  <c:v>27.924528301886792</c:v>
                </c:pt>
                <c:pt idx="2">
                  <c:v>23.773584905660378</c:v>
                </c:pt>
              </c:numCache>
            </c:numRef>
          </c:val>
          <c:extLst>
            <c:ext xmlns:c16="http://schemas.microsoft.com/office/drawing/2014/chart" uri="{C3380CC4-5D6E-409C-BE32-E72D297353CC}">
              <c16:uniqueId val="{00000000-6976-43A0-88C2-55D0E54B5855}"/>
            </c:ext>
          </c:extLst>
        </c:ser>
        <c:dLbls>
          <c:showLegendKey val="0"/>
          <c:showVal val="0"/>
          <c:showCatName val="0"/>
          <c:showSerName val="0"/>
          <c:showPercent val="0"/>
          <c:showBubbleSize val="0"/>
        </c:dLbls>
        <c:gapWidth val="219"/>
        <c:overlap val="-27"/>
        <c:axId val="1443481552"/>
        <c:axId val="1443482096"/>
      </c:barChart>
      <c:catAx>
        <c:axId val="1443481552"/>
        <c:scaling>
          <c:orientation val="minMax"/>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fr-FR"/>
                  <a:t>Motif d'installation</a:t>
                </a:r>
              </a:p>
            </c:rich>
          </c:tx>
          <c:layout>
            <c:manualLayout>
              <c:xMode val="edge"/>
              <c:yMode val="edge"/>
              <c:x val="0.40288232824961523"/>
              <c:y val="0.91886831703765337"/>
            </c:manualLayout>
          </c:layout>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fr-FR"/>
            </a:p>
          </c:txPr>
        </c:title>
        <c:numFmt formatCode="General" sourceLinked="1"/>
        <c:majorTickMark val="out"/>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fr-FR"/>
          </a:p>
        </c:txPr>
        <c:crossAx val="1443482096"/>
        <c:crosses val="autoZero"/>
        <c:auto val="1"/>
        <c:lblAlgn val="ctr"/>
        <c:lblOffset val="100"/>
        <c:noMultiLvlLbl val="0"/>
      </c:catAx>
      <c:valAx>
        <c:axId val="1443482096"/>
        <c:scaling>
          <c:orientation val="minMax"/>
        </c:scaling>
        <c:delete val="0"/>
        <c:axPos val="l"/>
        <c:title>
          <c:tx>
            <c:rich>
              <a:bodyPr rot="-54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fr-FR"/>
                  <a:t>Proportion</a:t>
                </a:r>
              </a:p>
            </c:rich>
          </c:tx>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fr-FR"/>
            </a:p>
          </c:txPr>
        </c:title>
        <c:numFmt formatCode="General" sourceLinked="1"/>
        <c:majorTickMark val="out"/>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fr-FR"/>
          </a:p>
        </c:txPr>
        <c:crossAx val="144348155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solidFill>
      <a:round/>
    </a:ln>
    <a:effectLst/>
  </c:spPr>
  <c:txPr>
    <a:bodyPr/>
    <a:lstStyle/>
    <a:p>
      <a:pPr>
        <a:defRPr>
          <a:solidFill>
            <a:sysClr val="windowText" lastClr="000000"/>
          </a:solidFill>
          <a:latin typeface="Arial" panose="020B0604020202020204" pitchFamily="34" charset="0"/>
          <a:cs typeface="Arial" panose="020B0604020202020204" pitchFamily="34" charset="0"/>
        </a:defRPr>
      </a:pPr>
      <a:endParaRPr lang="fr-FR"/>
    </a:p>
  </c:txPr>
  <c:externalData r:id="rId4">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AD48-44EC-A00B-5F5E62451FEC}"/>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AD48-44EC-A00B-5F5E62451FEC}"/>
              </c:ext>
            </c:extLst>
          </c:dPt>
          <c:cat>
            <c:strRef>
              <c:f>Feuil2!$B$2:$C$2</c:f>
              <c:strCache>
                <c:ptCount val="2"/>
                <c:pt idx="0">
                  <c:v>Homme</c:v>
                </c:pt>
                <c:pt idx="1">
                  <c:v> Féminin</c:v>
                </c:pt>
              </c:strCache>
            </c:strRef>
          </c:cat>
          <c:val>
            <c:numRef>
              <c:f>Feuil2!$B$4:$C$4</c:f>
              <c:numCache>
                <c:formatCode>General</c:formatCode>
                <c:ptCount val="2"/>
                <c:pt idx="0">
                  <c:v>133.89830508474577</c:v>
                </c:pt>
                <c:pt idx="1">
                  <c:v>42.753623188405797</c:v>
                </c:pt>
              </c:numCache>
            </c:numRef>
          </c:val>
          <c:extLst>
            <c:ext xmlns:c16="http://schemas.microsoft.com/office/drawing/2014/chart" uri="{C3380CC4-5D6E-409C-BE32-E72D297353CC}">
              <c16:uniqueId val="{00000004-AD48-44EC-A00B-5F5E62451FEC}"/>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fr-FR"/>
        </a:p>
      </c:txPr>
    </c:legend>
    <c:plotVisOnly val="1"/>
    <c:dispBlanksAs val="gap"/>
    <c:showDLblsOverMax val="0"/>
  </c:chart>
  <c:spPr>
    <a:solidFill>
      <a:schemeClr val="bg1"/>
    </a:solidFill>
    <a:ln w="9525" cap="flat" cmpd="sng" algn="ctr">
      <a:solidFill>
        <a:sysClr val="windowText" lastClr="000000"/>
      </a:solidFill>
      <a:round/>
    </a:ln>
    <a:effectLst/>
  </c:spPr>
  <c:txPr>
    <a:bodyPr/>
    <a:lstStyle/>
    <a:p>
      <a:pPr>
        <a:defRPr sz="1000">
          <a:solidFill>
            <a:sysClr val="windowText" lastClr="000000"/>
          </a:solidFill>
          <a:latin typeface="Arial" panose="020B0604020202020204" pitchFamily="34" charset="0"/>
          <a:cs typeface="Arial" panose="020B0604020202020204" pitchFamily="34" charset="0"/>
        </a:defRPr>
      </a:pPr>
      <a:endParaRPr lang="fr-FR"/>
    </a:p>
  </c:txPr>
  <c:externalData r:id="rId4">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solidFill>
              <a:schemeClr val="accent1"/>
            </a:solidFill>
            <a:ln>
              <a:noFill/>
            </a:ln>
            <a:effectLst/>
          </c:spPr>
          <c:invertIfNegative val="0"/>
          <c:cat>
            <c:strRef>
              <c:f>Feuil2!$I$3:$M$3</c:f>
              <c:strCache>
                <c:ptCount val="5"/>
                <c:pt idx="0">
                  <c:v>36 à 45 ans </c:v>
                </c:pt>
                <c:pt idx="1">
                  <c:v> 26 à 35 ans </c:v>
                </c:pt>
                <c:pt idx="2">
                  <c:v> + de 55 ans</c:v>
                </c:pt>
                <c:pt idx="3">
                  <c:v>46 à 55ans </c:v>
                </c:pt>
                <c:pt idx="4">
                  <c:v>18 à 25 ans</c:v>
                </c:pt>
              </c:strCache>
            </c:strRef>
          </c:cat>
          <c:val>
            <c:numRef>
              <c:f>Feuil2!$I$5:$M$5</c:f>
              <c:numCache>
                <c:formatCode>0.0</c:formatCode>
                <c:ptCount val="5"/>
                <c:pt idx="0">
                  <c:v>29.951690821256037</c:v>
                </c:pt>
                <c:pt idx="1">
                  <c:v>28.743961352657006</c:v>
                </c:pt>
                <c:pt idx="2">
                  <c:v>19.565217391304348</c:v>
                </c:pt>
                <c:pt idx="3">
                  <c:v>11.111111111111111</c:v>
                </c:pt>
                <c:pt idx="4">
                  <c:v>10.628019323671497</c:v>
                </c:pt>
              </c:numCache>
            </c:numRef>
          </c:val>
          <c:extLst>
            <c:ext xmlns:c16="http://schemas.microsoft.com/office/drawing/2014/chart" uri="{C3380CC4-5D6E-409C-BE32-E72D297353CC}">
              <c16:uniqueId val="{00000000-3A10-43AF-9E08-25186BB304F3}"/>
            </c:ext>
          </c:extLst>
        </c:ser>
        <c:dLbls>
          <c:showLegendKey val="0"/>
          <c:showVal val="0"/>
          <c:showCatName val="0"/>
          <c:showSerName val="0"/>
          <c:showPercent val="0"/>
          <c:showBubbleSize val="0"/>
        </c:dLbls>
        <c:gapWidth val="300"/>
        <c:axId val="1304663552"/>
        <c:axId val="1139862496"/>
      </c:barChart>
      <c:catAx>
        <c:axId val="1304663552"/>
        <c:scaling>
          <c:orientation val="minMax"/>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US"/>
                  <a:t>Tranche Âge </a:t>
                </a:r>
              </a:p>
            </c:rich>
          </c:tx>
          <c:layout>
            <c:manualLayout>
              <c:xMode val="edge"/>
              <c:yMode val="edge"/>
              <c:x val="0.40609601924759403"/>
              <c:y val="0.89256926217556143"/>
            </c:manualLayout>
          </c:layout>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fr-FR"/>
            </a:p>
          </c:txPr>
        </c:title>
        <c:numFmt formatCode="General" sourceLinked="1"/>
        <c:majorTickMark val="out"/>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fr-FR"/>
          </a:p>
        </c:txPr>
        <c:crossAx val="1139862496"/>
        <c:crosses val="autoZero"/>
        <c:auto val="1"/>
        <c:lblAlgn val="ctr"/>
        <c:lblOffset val="100"/>
        <c:noMultiLvlLbl val="0"/>
      </c:catAx>
      <c:valAx>
        <c:axId val="1139862496"/>
        <c:scaling>
          <c:orientation val="minMax"/>
        </c:scaling>
        <c:delete val="0"/>
        <c:axPos val="l"/>
        <c:title>
          <c:tx>
            <c:rich>
              <a:bodyPr rot="-54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US"/>
                  <a:t>Proportion</a:t>
                </a:r>
              </a:p>
            </c:rich>
          </c:tx>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fr-FR"/>
            </a:p>
          </c:txPr>
        </c:title>
        <c:numFmt formatCode="0.0" sourceLinked="1"/>
        <c:majorTickMark val="out"/>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fr-FR"/>
          </a:p>
        </c:txPr>
        <c:crossAx val="130466355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solidFill>
      <a:round/>
    </a:ln>
    <a:effectLst/>
  </c:spPr>
  <c:txPr>
    <a:bodyPr/>
    <a:lstStyle/>
    <a:p>
      <a:pPr>
        <a:defRPr>
          <a:solidFill>
            <a:sysClr val="windowText" lastClr="000000"/>
          </a:solidFill>
          <a:latin typeface="Arial" panose="020B0604020202020204" pitchFamily="34" charset="0"/>
          <a:cs typeface="Arial" panose="020B0604020202020204" pitchFamily="34" charset="0"/>
        </a:defRPr>
      </a:pPr>
      <a:endParaRPr lang="fr-FR"/>
    </a:p>
  </c:txPr>
  <c:externalData r:id="rId4">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00" b="1"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r>
              <a:rPr lang="fr-FR" sz="1000"/>
              <a:t>Réligion</a:t>
            </a:r>
          </a:p>
        </c:rich>
      </c:tx>
      <c:layout>
        <c:manualLayout>
          <c:xMode val="edge"/>
          <c:yMode val="edge"/>
          <c:x val="0.39549209198591107"/>
          <c:y val="0.85400763358778631"/>
        </c:manualLayout>
      </c:layout>
      <c:overlay val="0"/>
      <c:spPr>
        <a:noFill/>
        <a:ln>
          <a:noFill/>
        </a:ln>
        <a:effectLst/>
      </c:spPr>
      <c:txPr>
        <a:bodyPr rot="0" spcFirstLastPara="1" vertOverflow="ellipsis" vert="horz" wrap="square" anchor="ctr" anchorCtr="1"/>
        <a:lstStyle/>
        <a:p>
          <a:pPr>
            <a:defRPr sz="1000" b="1"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fr-FR"/>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01-CBB9-4DDC-AD34-8892F81A5CEE}"/>
              </c:ext>
            </c:extLst>
          </c:dPt>
          <c:dPt>
            <c:idx val="1"/>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03-CBB9-4DDC-AD34-8892F81A5CEE}"/>
              </c:ext>
            </c:extLst>
          </c:dPt>
          <c:dPt>
            <c:idx val="2"/>
            <c:bubble3D val="0"/>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05-CBB9-4DDC-AD34-8892F81A5CEE}"/>
              </c:ext>
            </c:extLst>
          </c:dPt>
          <c:dPt>
            <c:idx val="3"/>
            <c:bubble3D val="0"/>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07-CBB9-4DDC-AD34-8892F81A5CEE}"/>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fr-FR"/>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Feuil2!$J$25:$M$25</c:f>
              <c:strCache>
                <c:ptCount val="4"/>
                <c:pt idx="0">
                  <c:v>Chrétien </c:v>
                </c:pt>
                <c:pt idx="1">
                  <c:v>Musulman</c:v>
                </c:pt>
                <c:pt idx="2">
                  <c:v> Animiste </c:v>
                </c:pt>
                <c:pt idx="3">
                  <c:v>Ne souhaite pas répondre</c:v>
                </c:pt>
              </c:strCache>
            </c:strRef>
          </c:cat>
          <c:val>
            <c:numRef>
              <c:f>Feuil2!$J$27:$M$27</c:f>
              <c:numCache>
                <c:formatCode>General</c:formatCode>
                <c:ptCount val="4"/>
                <c:pt idx="0">
                  <c:v>70.432692307692307</c:v>
                </c:pt>
                <c:pt idx="1">
                  <c:v>22.355769230769234</c:v>
                </c:pt>
                <c:pt idx="2">
                  <c:v>3.8461538461538463</c:v>
                </c:pt>
                <c:pt idx="3">
                  <c:v>3.3653846153846154</c:v>
                </c:pt>
              </c:numCache>
            </c:numRef>
          </c:val>
          <c:extLst>
            <c:ext xmlns:c16="http://schemas.microsoft.com/office/drawing/2014/chart" uri="{C3380CC4-5D6E-409C-BE32-E72D297353CC}">
              <c16:uniqueId val="{00000008-CBB9-4DDC-AD34-8892F81A5CEE}"/>
            </c:ext>
          </c:extLst>
        </c:ser>
        <c:dLbls>
          <c:showLegendKey val="0"/>
          <c:showVal val="0"/>
          <c:showCatName val="0"/>
          <c:showSerName val="0"/>
          <c:showPercent val="1"/>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fr-FR"/>
        </a:p>
      </c:txPr>
    </c:legend>
    <c:plotVisOnly val="1"/>
    <c:dispBlanksAs val="gap"/>
    <c:showDLblsOverMax val="0"/>
  </c:chart>
  <c:spPr>
    <a:solidFill>
      <a:schemeClr val="bg1"/>
    </a:solidFill>
    <a:ln w="9525" cap="flat" cmpd="sng" algn="ctr">
      <a:solidFill>
        <a:schemeClr val="tx1"/>
      </a:solidFill>
      <a:round/>
    </a:ln>
    <a:effectLst/>
  </c:spPr>
  <c:txPr>
    <a:bodyPr/>
    <a:lstStyle/>
    <a:p>
      <a:pPr>
        <a:defRPr>
          <a:latin typeface="Arial" panose="020B0604020202020204" pitchFamily="34" charset="0"/>
          <a:cs typeface="Arial" panose="020B0604020202020204" pitchFamily="34" charset="0"/>
        </a:defRPr>
      </a:pPr>
      <a:endParaRPr lang="fr-FR"/>
    </a:p>
  </c:txPr>
  <c:externalData r:id="rId4">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3809201037818622"/>
          <c:y val="7.2174738841405503E-2"/>
          <c:w val="0.83560478541330108"/>
          <c:h val="0.6244523708040769"/>
        </c:manualLayout>
      </c:layout>
      <c:barChart>
        <c:barDir val="col"/>
        <c:grouping val="clustered"/>
        <c:varyColors val="0"/>
        <c:ser>
          <c:idx val="0"/>
          <c:order val="0"/>
          <c:spPr>
            <a:solidFill>
              <a:schemeClr val="accent1"/>
            </a:solidFill>
            <a:ln>
              <a:noFill/>
            </a:ln>
            <a:effectLst/>
          </c:spPr>
          <c:invertIfNegative val="0"/>
          <c:cat>
            <c:strRef>
              <c:f>Feuil2!$AA$10:$AA$16</c:f>
              <c:strCache>
                <c:ptCount val="7"/>
                <c:pt idx="0">
                  <c:v>Commerçant </c:v>
                </c:pt>
                <c:pt idx="1">
                  <c:v>Artisan </c:v>
                </c:pt>
                <c:pt idx="2">
                  <c:v>Fonctionnaire </c:v>
                </c:pt>
                <c:pt idx="3">
                  <c:v>Ménagère </c:v>
                </c:pt>
                <c:pt idx="4">
                  <c:v>Agriculteur</c:v>
                </c:pt>
                <c:pt idx="5">
                  <c:v>Aucun</c:v>
                </c:pt>
                <c:pt idx="6">
                  <c:v> Éleveur </c:v>
                </c:pt>
              </c:strCache>
            </c:strRef>
          </c:cat>
          <c:val>
            <c:numRef>
              <c:f>Feuil2!$AC$10:$AC$16</c:f>
              <c:numCache>
                <c:formatCode>General</c:formatCode>
                <c:ptCount val="7"/>
                <c:pt idx="0">
                  <c:v>33.623188405797102</c:v>
                </c:pt>
                <c:pt idx="1">
                  <c:v>23.768115942028984</c:v>
                </c:pt>
                <c:pt idx="2">
                  <c:v>17.681159420289855</c:v>
                </c:pt>
                <c:pt idx="3">
                  <c:v>9.8550724637681171</c:v>
                </c:pt>
                <c:pt idx="4">
                  <c:v>9.27536231884058</c:v>
                </c:pt>
                <c:pt idx="5">
                  <c:v>5.2173913043478262</c:v>
                </c:pt>
                <c:pt idx="6">
                  <c:v>0.57971014492753625</c:v>
                </c:pt>
              </c:numCache>
            </c:numRef>
          </c:val>
          <c:extLst>
            <c:ext xmlns:c16="http://schemas.microsoft.com/office/drawing/2014/chart" uri="{C3380CC4-5D6E-409C-BE32-E72D297353CC}">
              <c16:uniqueId val="{00000000-C6D3-454E-BAA9-DF99EF2A1F06}"/>
            </c:ext>
          </c:extLst>
        </c:ser>
        <c:dLbls>
          <c:showLegendKey val="0"/>
          <c:showVal val="0"/>
          <c:showCatName val="0"/>
          <c:showSerName val="0"/>
          <c:showPercent val="0"/>
          <c:showBubbleSize val="0"/>
        </c:dLbls>
        <c:gapWidth val="219"/>
        <c:overlap val="-27"/>
        <c:axId val="1567610368"/>
        <c:axId val="1567597312"/>
      </c:barChart>
      <c:catAx>
        <c:axId val="1567610368"/>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r>
                  <a:rPr lang="fr-FR"/>
                  <a:t>Activités principales</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fr-FR"/>
            </a:p>
          </c:txPr>
        </c:title>
        <c:numFmt formatCode="General" sourceLinked="1"/>
        <c:majorTickMark val="out"/>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fr-FR"/>
          </a:p>
        </c:txPr>
        <c:crossAx val="1567597312"/>
        <c:crosses val="autoZero"/>
        <c:auto val="1"/>
        <c:lblAlgn val="ctr"/>
        <c:lblOffset val="100"/>
        <c:noMultiLvlLbl val="0"/>
      </c:catAx>
      <c:valAx>
        <c:axId val="1567597312"/>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r>
                  <a:rPr lang="fr-FR"/>
                  <a:t>Proportion</a:t>
                </a:r>
              </a:p>
            </c:rich>
          </c:tx>
          <c:layout>
            <c:manualLayout>
              <c:xMode val="edge"/>
              <c:yMode val="edge"/>
              <c:x val="2.0792726802397875E-2"/>
              <c:y val="0.33492945689481124"/>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fr-FR"/>
            </a:p>
          </c:txPr>
        </c:title>
        <c:numFmt formatCode="General" sourceLinked="1"/>
        <c:majorTickMark val="out"/>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fr-FR"/>
          </a:p>
        </c:txPr>
        <c:crossAx val="156761036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solidFill>
      <a:round/>
    </a:ln>
    <a:effectLst/>
  </c:spPr>
  <c:txPr>
    <a:bodyPr/>
    <a:lstStyle/>
    <a:p>
      <a:pPr>
        <a:defRPr>
          <a:latin typeface="Arial" panose="020B0604020202020204" pitchFamily="34" charset="0"/>
          <a:cs typeface="Arial" panose="020B0604020202020204" pitchFamily="34" charset="0"/>
        </a:defRPr>
      </a:pPr>
      <a:endParaRPr lang="fr-FR"/>
    </a:p>
  </c:txPr>
  <c:externalData r:id="rId4">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solidFill>
              <a:schemeClr val="accent5">
                <a:lumMod val="75000"/>
              </a:schemeClr>
            </a:solidFill>
            <a:ln>
              <a:noFill/>
            </a:ln>
            <a:effectLst/>
          </c:spPr>
          <c:invertIfNegative val="0"/>
          <c:cat>
            <c:strRef>
              <c:f>Feuil2!$AH$10:$AH$12</c:f>
              <c:strCache>
                <c:ptCount val="3"/>
                <c:pt idx="0">
                  <c:v>Journée </c:v>
                </c:pt>
                <c:pt idx="1">
                  <c:v>Jour et nuit</c:v>
                </c:pt>
                <c:pt idx="2">
                  <c:v>Nuit </c:v>
                </c:pt>
              </c:strCache>
            </c:strRef>
          </c:cat>
          <c:val>
            <c:numRef>
              <c:f>Feuil2!$AJ$10:$AJ$12</c:f>
              <c:numCache>
                <c:formatCode>General</c:formatCode>
                <c:ptCount val="3"/>
                <c:pt idx="0">
                  <c:v>85</c:v>
                </c:pt>
                <c:pt idx="1">
                  <c:v>13.888888888888889</c:v>
                </c:pt>
                <c:pt idx="2">
                  <c:v>1.1111111111111112</c:v>
                </c:pt>
              </c:numCache>
            </c:numRef>
          </c:val>
          <c:extLst>
            <c:ext xmlns:c16="http://schemas.microsoft.com/office/drawing/2014/chart" uri="{C3380CC4-5D6E-409C-BE32-E72D297353CC}">
              <c16:uniqueId val="{00000000-18F0-41E9-A58F-58B5FCE0AA16}"/>
            </c:ext>
          </c:extLst>
        </c:ser>
        <c:dLbls>
          <c:showLegendKey val="0"/>
          <c:showVal val="0"/>
          <c:showCatName val="0"/>
          <c:showSerName val="0"/>
          <c:showPercent val="0"/>
          <c:showBubbleSize val="0"/>
        </c:dLbls>
        <c:gapWidth val="219"/>
        <c:overlap val="-27"/>
        <c:axId val="1567601120"/>
        <c:axId val="1567596224"/>
      </c:barChart>
      <c:catAx>
        <c:axId val="156760112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r>
                  <a:rPr lang="fr-FR"/>
                  <a:t>Période</a:t>
                </a:r>
              </a:p>
            </c:rich>
          </c:tx>
          <c:layout>
            <c:manualLayout>
              <c:xMode val="edge"/>
              <c:yMode val="edge"/>
              <c:x val="0.40588079615048112"/>
              <c:y val="0.87868037328667248"/>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fr-FR"/>
            </a:p>
          </c:txPr>
        </c:title>
        <c:numFmt formatCode="General" sourceLinked="1"/>
        <c:majorTickMark val="out"/>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fr-FR"/>
          </a:p>
        </c:txPr>
        <c:crossAx val="1567596224"/>
        <c:crosses val="autoZero"/>
        <c:auto val="1"/>
        <c:lblAlgn val="ctr"/>
        <c:lblOffset val="100"/>
        <c:noMultiLvlLbl val="0"/>
      </c:catAx>
      <c:valAx>
        <c:axId val="1567596224"/>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r>
                  <a:rPr lang="fr-FR"/>
                  <a:t>Proportion</a:t>
                </a:r>
              </a:p>
            </c:rich>
          </c:tx>
          <c:layout>
            <c:manualLayout>
              <c:xMode val="edge"/>
              <c:yMode val="edge"/>
              <c:x val="2.8776978417266189E-2"/>
              <c:y val="0.29219361944237526"/>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fr-FR"/>
            </a:p>
          </c:txPr>
        </c:title>
        <c:numFmt formatCode="General" sourceLinked="1"/>
        <c:majorTickMark val="out"/>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fr-FR"/>
          </a:p>
        </c:txPr>
        <c:crossAx val="156760112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solidFill>
      <a:round/>
    </a:ln>
    <a:effectLst/>
  </c:spPr>
  <c:txPr>
    <a:bodyPr/>
    <a:lstStyle/>
    <a:p>
      <a:pPr>
        <a:defRPr>
          <a:latin typeface="Arial" panose="020B0604020202020204" pitchFamily="34" charset="0"/>
          <a:cs typeface="Arial" panose="020B0604020202020204" pitchFamily="34" charset="0"/>
        </a:defRPr>
      </a:pPr>
      <a:endParaRPr lang="fr-FR"/>
    </a:p>
  </c:txPr>
  <c:externalData r:id="rId4">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solidFill>
              <a:schemeClr val="accent1">
                <a:lumMod val="75000"/>
              </a:schemeClr>
            </a:solidFill>
            <a:ln>
              <a:noFill/>
            </a:ln>
            <a:effectLst/>
          </c:spPr>
          <c:invertIfNegative val="0"/>
          <c:cat>
            <c:strRef>
              <c:f>Feuil2!$CS$10:$CS$11</c:f>
              <c:strCache>
                <c:ptCount val="2"/>
                <c:pt idx="0">
                  <c:v>Perturbation_économiques</c:v>
                </c:pt>
                <c:pt idx="1">
                  <c:v>Perte de biens </c:v>
                </c:pt>
              </c:strCache>
            </c:strRef>
          </c:cat>
          <c:val>
            <c:numRef>
              <c:f>Feuil2!$CU$10:$CU$11</c:f>
              <c:numCache>
                <c:formatCode>General</c:formatCode>
                <c:ptCount val="2"/>
                <c:pt idx="0">
                  <c:v>70.085470085470078</c:v>
                </c:pt>
                <c:pt idx="1">
                  <c:v>29.914529914529915</c:v>
                </c:pt>
              </c:numCache>
            </c:numRef>
          </c:val>
          <c:extLst>
            <c:ext xmlns:c16="http://schemas.microsoft.com/office/drawing/2014/chart" uri="{C3380CC4-5D6E-409C-BE32-E72D297353CC}">
              <c16:uniqueId val="{00000000-6323-404E-853A-F6AF2D9F2B84}"/>
            </c:ext>
          </c:extLst>
        </c:ser>
        <c:dLbls>
          <c:showLegendKey val="0"/>
          <c:showVal val="0"/>
          <c:showCatName val="0"/>
          <c:showSerName val="0"/>
          <c:showPercent val="0"/>
          <c:showBubbleSize val="0"/>
        </c:dLbls>
        <c:gapWidth val="219"/>
        <c:overlap val="-27"/>
        <c:axId val="1567604384"/>
        <c:axId val="1567607104"/>
      </c:barChart>
      <c:catAx>
        <c:axId val="1567604384"/>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r>
                  <a:rPr lang="fr-FR"/>
                  <a:t>Impacts</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fr-FR"/>
            </a:p>
          </c:txPr>
        </c:title>
        <c:numFmt formatCode="General" sourceLinked="1"/>
        <c:majorTickMark val="out"/>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fr-FR"/>
          </a:p>
        </c:txPr>
        <c:crossAx val="1567607104"/>
        <c:crosses val="autoZero"/>
        <c:auto val="1"/>
        <c:lblAlgn val="ctr"/>
        <c:lblOffset val="100"/>
        <c:noMultiLvlLbl val="0"/>
      </c:catAx>
      <c:valAx>
        <c:axId val="1567607104"/>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r>
                  <a:rPr lang="fr-FR"/>
                  <a:t>Proportion</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fr-FR"/>
            </a:p>
          </c:txPr>
        </c:title>
        <c:numFmt formatCode="General" sourceLinked="1"/>
        <c:majorTickMark val="out"/>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fr-FR"/>
          </a:p>
        </c:txPr>
        <c:crossAx val="156760438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solidFill>
      <a:round/>
    </a:ln>
    <a:effectLst/>
  </c:spPr>
  <c:txPr>
    <a:bodyPr/>
    <a:lstStyle/>
    <a:p>
      <a:pPr>
        <a:defRPr>
          <a:latin typeface="Arial" panose="020B0604020202020204" pitchFamily="34" charset="0"/>
          <a:cs typeface="Arial" panose="020B0604020202020204" pitchFamily="34" charset="0"/>
        </a:defRPr>
      </a:pPr>
      <a:endParaRPr lang="fr-FR"/>
    </a:p>
  </c:txPr>
  <c:externalData r:id="rId4">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solidFill>
              <a:schemeClr val="accent1"/>
            </a:solidFill>
            <a:ln>
              <a:noFill/>
            </a:ln>
            <a:effectLst/>
          </c:spPr>
          <c:invertIfNegative val="0"/>
          <c:cat>
            <c:strRef>
              <c:f>Feuil2!$CI$10:$CI$12</c:f>
              <c:strCache>
                <c:ptCount val="3"/>
                <c:pt idx="0">
                  <c:v>Dégradations des routes </c:v>
                </c:pt>
                <c:pt idx="1">
                  <c:v>Destructions des constructions</c:v>
                </c:pt>
                <c:pt idx="2">
                  <c:v>Court-circuit électrique </c:v>
                </c:pt>
              </c:strCache>
            </c:strRef>
          </c:cat>
          <c:val>
            <c:numRef>
              <c:f>Feuil2!$CJ$10:$CJ$12</c:f>
              <c:numCache>
                <c:formatCode>General</c:formatCode>
                <c:ptCount val="3"/>
                <c:pt idx="0">
                  <c:v>67.358229598893502</c:v>
                </c:pt>
                <c:pt idx="1">
                  <c:v>24.896265560165975</c:v>
                </c:pt>
                <c:pt idx="2">
                  <c:v>7.7455048409405256</c:v>
                </c:pt>
              </c:numCache>
            </c:numRef>
          </c:val>
          <c:extLst>
            <c:ext xmlns:c16="http://schemas.microsoft.com/office/drawing/2014/chart" uri="{C3380CC4-5D6E-409C-BE32-E72D297353CC}">
              <c16:uniqueId val="{00000000-3D1F-4535-8A57-347F9AEF89F9}"/>
            </c:ext>
          </c:extLst>
        </c:ser>
        <c:dLbls>
          <c:showLegendKey val="0"/>
          <c:showVal val="0"/>
          <c:showCatName val="0"/>
          <c:showSerName val="0"/>
          <c:showPercent val="0"/>
          <c:showBubbleSize val="0"/>
        </c:dLbls>
        <c:gapWidth val="219"/>
        <c:overlap val="-27"/>
        <c:axId val="1567595680"/>
        <c:axId val="1382204496"/>
      </c:barChart>
      <c:catAx>
        <c:axId val="156759568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r>
                  <a:rPr lang="fr-FR"/>
                  <a:t>Impacts des inondations</a:t>
                </a:r>
              </a:p>
            </c:rich>
          </c:tx>
          <c:layout>
            <c:manualLayout>
              <c:xMode val="edge"/>
              <c:yMode val="edge"/>
              <c:x val="0.3831237970253718"/>
              <c:y val="0.89256926217556143"/>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fr-FR"/>
            </a:p>
          </c:txPr>
        </c:title>
        <c:numFmt formatCode="General" sourceLinked="1"/>
        <c:majorTickMark val="out"/>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fr-FR"/>
          </a:p>
        </c:txPr>
        <c:crossAx val="1382204496"/>
        <c:crosses val="autoZero"/>
        <c:auto val="1"/>
        <c:lblAlgn val="ctr"/>
        <c:lblOffset val="100"/>
        <c:noMultiLvlLbl val="0"/>
      </c:catAx>
      <c:valAx>
        <c:axId val="1382204496"/>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r>
                  <a:rPr lang="fr-FR"/>
                  <a:t>Proportion</a:t>
                </a:r>
              </a:p>
            </c:rich>
          </c:tx>
          <c:layout>
            <c:manualLayout>
              <c:xMode val="edge"/>
              <c:yMode val="edge"/>
              <c:x val="2.2222222222222223E-2"/>
              <c:y val="0.27198272090988629"/>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fr-FR"/>
            </a:p>
          </c:txPr>
        </c:title>
        <c:numFmt formatCode="General" sourceLinked="1"/>
        <c:majorTickMark val="out"/>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fr-FR"/>
          </a:p>
        </c:txPr>
        <c:crossAx val="156759568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solidFill>
      <a:round/>
    </a:ln>
    <a:effectLst/>
  </c:spPr>
  <c:txPr>
    <a:bodyPr/>
    <a:lstStyle/>
    <a:p>
      <a:pPr>
        <a:defRPr>
          <a:latin typeface="Arial" panose="020B0604020202020204" pitchFamily="34" charset="0"/>
          <a:cs typeface="Arial" panose="020B0604020202020204" pitchFamily="34" charset="0"/>
        </a:defRPr>
      </a:pPr>
      <a:endParaRPr lang="fr-FR"/>
    </a:p>
  </c:txPr>
  <c:externalData r:id="rId4">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solidFill>
              <a:schemeClr val="accent1"/>
            </a:solidFill>
            <a:ln>
              <a:noFill/>
            </a:ln>
            <a:effectLst/>
          </c:spPr>
          <c:invertIfNegative val="0"/>
          <c:cat>
            <c:strRef>
              <c:f>Feuil2!$BY$4:$BY$8</c:f>
              <c:strCache>
                <c:ptCount val="5"/>
                <c:pt idx="0">
                  <c:v>Eau de puits </c:v>
                </c:pt>
                <c:pt idx="1">
                  <c:v>SONEB </c:v>
                </c:pt>
                <c:pt idx="2">
                  <c:v>Forage </c:v>
                </c:pt>
                <c:pt idx="3">
                  <c:v>Eau de marigot </c:v>
                </c:pt>
                <c:pt idx="4">
                  <c:v>Eau stagnante</c:v>
                </c:pt>
              </c:strCache>
            </c:strRef>
          </c:cat>
          <c:val>
            <c:numRef>
              <c:f>Feuil2!$CA$4:$CA$8</c:f>
              <c:numCache>
                <c:formatCode>General</c:formatCode>
                <c:ptCount val="5"/>
                <c:pt idx="0">
                  <c:v>49.855072463768117</c:v>
                </c:pt>
                <c:pt idx="1">
                  <c:v>42.608695652173914</c:v>
                </c:pt>
                <c:pt idx="2">
                  <c:v>6.666666666666667</c:v>
                </c:pt>
                <c:pt idx="3">
                  <c:v>0.57971014492753625</c:v>
                </c:pt>
                <c:pt idx="4">
                  <c:v>0.28985507246376813</c:v>
                </c:pt>
              </c:numCache>
            </c:numRef>
          </c:val>
          <c:extLst>
            <c:ext xmlns:c16="http://schemas.microsoft.com/office/drawing/2014/chart" uri="{C3380CC4-5D6E-409C-BE32-E72D297353CC}">
              <c16:uniqueId val="{00000000-4DC6-4235-8BD5-A67E155074A8}"/>
            </c:ext>
          </c:extLst>
        </c:ser>
        <c:dLbls>
          <c:showLegendKey val="0"/>
          <c:showVal val="0"/>
          <c:showCatName val="0"/>
          <c:showSerName val="0"/>
          <c:showPercent val="0"/>
          <c:showBubbleSize val="0"/>
        </c:dLbls>
        <c:gapWidth val="219"/>
        <c:overlap val="-27"/>
        <c:axId val="1382198512"/>
        <c:axId val="1382205040"/>
      </c:barChart>
      <c:catAx>
        <c:axId val="1382198512"/>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fr-FR"/>
                  <a:t>Source d'approvisionnement</a:t>
                </a:r>
              </a:p>
            </c:rich>
          </c:tx>
          <c:layout>
            <c:manualLayout>
              <c:xMode val="edge"/>
              <c:yMode val="edge"/>
              <c:x val="0.3767141294838145"/>
              <c:y val="0.89256926217556143"/>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fr-FR"/>
            </a:p>
          </c:txPr>
        </c:title>
        <c:numFmt formatCode="General" sourceLinked="1"/>
        <c:majorTickMark val="out"/>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1382205040"/>
        <c:crosses val="autoZero"/>
        <c:auto val="1"/>
        <c:lblAlgn val="ctr"/>
        <c:lblOffset val="100"/>
        <c:noMultiLvlLbl val="0"/>
      </c:catAx>
      <c:valAx>
        <c:axId val="1382205040"/>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fr-FR"/>
                  <a:t>Fréquence</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fr-FR"/>
            </a:p>
          </c:txPr>
        </c:title>
        <c:numFmt formatCode="General" sourceLinked="1"/>
        <c:majorTickMark val="out"/>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138219851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solidFill>
      <a:round/>
    </a:ln>
    <a:effectLst/>
  </c:spPr>
  <c:txPr>
    <a:bodyPr/>
    <a:lstStyle/>
    <a:p>
      <a:pPr>
        <a:defRPr/>
      </a:pPr>
      <a:endParaRPr lang="fr-FR"/>
    </a:p>
  </c:txPr>
  <c:externalData r:id="rId4">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spPr>
            <a:solidFill>
              <a:schemeClr val="accent1"/>
            </a:solidFill>
            <a:ln>
              <a:noFill/>
            </a:ln>
            <a:effectLst/>
          </c:spPr>
          <c:invertIfNegative val="0"/>
          <c:cat>
            <c:strRef>
              <c:f>Feuil2!$BB$2:$BB$7</c:f>
              <c:strCache>
                <c:ptCount val="6"/>
                <c:pt idx="0">
                  <c:v>Dépotoirs sauvages </c:v>
                </c:pt>
                <c:pt idx="1">
                  <c:v>Brousse_Trou_Fossé </c:v>
                </c:pt>
                <c:pt idx="2">
                  <c:v>Dans la rue </c:v>
                </c:pt>
                <c:pt idx="3">
                  <c:v>Parcelles non construites </c:v>
                </c:pt>
                <c:pt idx="4">
                  <c:v>ONG de collecte</c:v>
                </c:pt>
                <c:pt idx="5">
                  <c:v>Dans les caniveaux Incinération </c:v>
                </c:pt>
              </c:strCache>
            </c:strRef>
          </c:cat>
          <c:val>
            <c:numRef>
              <c:f>Feuil2!$BD$2:$BD$7</c:f>
              <c:numCache>
                <c:formatCode>General</c:formatCode>
                <c:ptCount val="6"/>
                <c:pt idx="0">
                  <c:v>36.666666666666664</c:v>
                </c:pt>
                <c:pt idx="1">
                  <c:v>31.25</c:v>
                </c:pt>
                <c:pt idx="2">
                  <c:v>11.875</c:v>
                </c:pt>
                <c:pt idx="3">
                  <c:v>11.041666666666666</c:v>
                </c:pt>
                <c:pt idx="4">
                  <c:v>6.8750000000000009</c:v>
                </c:pt>
                <c:pt idx="5">
                  <c:v>2.2916666666666665</c:v>
                </c:pt>
              </c:numCache>
            </c:numRef>
          </c:val>
          <c:extLst>
            <c:ext xmlns:c16="http://schemas.microsoft.com/office/drawing/2014/chart" uri="{C3380CC4-5D6E-409C-BE32-E72D297353CC}">
              <c16:uniqueId val="{00000000-7002-4440-A62F-CD369F185D33}"/>
            </c:ext>
          </c:extLst>
        </c:ser>
        <c:dLbls>
          <c:showLegendKey val="0"/>
          <c:showVal val="0"/>
          <c:showCatName val="0"/>
          <c:showSerName val="0"/>
          <c:showPercent val="0"/>
          <c:showBubbleSize val="0"/>
        </c:dLbls>
        <c:gapWidth val="219"/>
        <c:axId val="1382193072"/>
        <c:axId val="1382203952"/>
      </c:barChart>
      <c:catAx>
        <c:axId val="1382193072"/>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fr-FR"/>
                  <a:t>Mode de</a:t>
                </a:r>
                <a:r>
                  <a:rPr lang="fr-FR" baseline="0"/>
                  <a:t> Gestion</a:t>
                </a:r>
                <a:endParaRPr lang="fr-FR"/>
              </a:p>
            </c:rich>
          </c:tx>
          <c:layout>
            <c:manualLayout>
              <c:xMode val="edge"/>
              <c:yMode val="edge"/>
              <c:x val="4.9438062045522993E-2"/>
              <c:y val="0.37684764830755685"/>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fr-FR"/>
            </a:p>
          </c:txPr>
        </c:title>
        <c:numFmt formatCode="General" sourceLinked="1"/>
        <c:majorTickMark val="out"/>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1382203952"/>
        <c:crosses val="autoZero"/>
        <c:auto val="1"/>
        <c:lblAlgn val="ctr"/>
        <c:lblOffset val="100"/>
        <c:noMultiLvlLbl val="0"/>
      </c:catAx>
      <c:valAx>
        <c:axId val="1382203952"/>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fr-FR"/>
                  <a:t>Proportion</a:t>
                </a:r>
              </a:p>
            </c:rich>
          </c:tx>
          <c:layout>
            <c:manualLayout>
              <c:xMode val="edge"/>
              <c:yMode val="edge"/>
              <c:x val="0.59053913342799358"/>
              <c:y val="0.9086773675331985"/>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fr-FR"/>
            </a:p>
          </c:txPr>
        </c:title>
        <c:numFmt formatCode="General" sourceLinked="1"/>
        <c:majorTickMark val="out"/>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138219307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solidFill>
      <a:round/>
    </a:ln>
    <a:effectLst/>
  </c:spPr>
  <c:txPr>
    <a:bodyPr/>
    <a:lstStyle/>
    <a:p>
      <a:pPr>
        <a:defRPr/>
      </a:pPr>
      <a:endParaRPr lang="fr-FR"/>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solidFill>
              <a:schemeClr val="accent1"/>
            </a:solidFill>
            <a:ln>
              <a:noFill/>
            </a:ln>
            <a:effectLst/>
          </c:spPr>
          <c:invertIfNegative val="0"/>
          <c:cat>
            <c:strRef>
              <c:f>'Feuille 2'!$F$3:$Q$3</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'Feuille 2'!$F$37:$Q$37</c:f>
              <c:numCache>
                <c:formatCode>General</c:formatCode>
                <c:ptCount val="12"/>
                <c:pt idx="0">
                  <c:v>0</c:v>
                </c:pt>
                <c:pt idx="1">
                  <c:v>12.200000000000001</c:v>
                </c:pt>
                <c:pt idx="2">
                  <c:v>62.800000000000004</c:v>
                </c:pt>
                <c:pt idx="3">
                  <c:v>85</c:v>
                </c:pt>
                <c:pt idx="4">
                  <c:v>79.2</c:v>
                </c:pt>
                <c:pt idx="5">
                  <c:v>155.9</c:v>
                </c:pt>
                <c:pt idx="6">
                  <c:v>189.9</c:v>
                </c:pt>
                <c:pt idx="7">
                  <c:v>387.2</c:v>
                </c:pt>
                <c:pt idx="8">
                  <c:v>200.9</c:v>
                </c:pt>
                <c:pt idx="9">
                  <c:v>99.3</c:v>
                </c:pt>
                <c:pt idx="10">
                  <c:v>34.800000000000004</c:v>
                </c:pt>
                <c:pt idx="11">
                  <c:v>2</c:v>
                </c:pt>
              </c:numCache>
            </c:numRef>
          </c:val>
          <c:extLst>
            <c:ext xmlns:c16="http://schemas.microsoft.com/office/drawing/2014/chart" uri="{C3380CC4-5D6E-409C-BE32-E72D297353CC}">
              <c16:uniqueId val="{00000000-CCE0-42C4-BBBE-96C37DECE8C3}"/>
            </c:ext>
          </c:extLst>
        </c:ser>
        <c:dLbls>
          <c:showLegendKey val="0"/>
          <c:showVal val="0"/>
          <c:showCatName val="0"/>
          <c:showSerName val="0"/>
          <c:showPercent val="0"/>
          <c:showBubbleSize val="0"/>
        </c:dLbls>
        <c:gapWidth val="300"/>
        <c:axId val="1689234464"/>
        <c:axId val="1689235008"/>
      </c:barChart>
      <c:catAx>
        <c:axId val="1689234464"/>
        <c:scaling>
          <c:orientation val="minMax"/>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fr-FR"/>
                  <a:t>Mois </a:t>
                </a:r>
              </a:p>
            </c:rich>
          </c:tx>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fr-FR"/>
            </a:p>
          </c:txPr>
        </c:title>
        <c:numFmt formatCode="General" sourceLinked="1"/>
        <c:majorTickMark val="out"/>
        <c:minorTickMark val="none"/>
        <c:tickLblPos val="nextTo"/>
        <c:spPr>
          <a:noFill/>
          <a:ln w="9525" cap="flat" cmpd="sng" algn="ctr">
            <a:solidFill>
              <a:sysClr val="windowText" lastClr="000000"/>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fr-FR"/>
          </a:p>
        </c:txPr>
        <c:crossAx val="1689235008"/>
        <c:crosses val="autoZero"/>
        <c:auto val="1"/>
        <c:lblAlgn val="ctr"/>
        <c:lblOffset val="100"/>
        <c:noMultiLvlLbl val="0"/>
      </c:catAx>
      <c:valAx>
        <c:axId val="1689235008"/>
        <c:scaling>
          <c:orientation val="minMax"/>
        </c:scaling>
        <c:delete val="0"/>
        <c:axPos val="l"/>
        <c:title>
          <c:tx>
            <c:rich>
              <a:bodyPr rot="-54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fr-FR"/>
                  <a:t>Hauteurs des pluies (mm)</a:t>
                </a:r>
              </a:p>
            </c:rich>
          </c:tx>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fr-FR"/>
            </a:p>
          </c:txPr>
        </c:title>
        <c:numFmt formatCode="General" sourceLinked="1"/>
        <c:majorTickMark val="out"/>
        <c:minorTickMark val="none"/>
        <c:tickLblPos val="nextTo"/>
        <c:spPr>
          <a:noFill/>
          <a:ln>
            <a:solidFill>
              <a:sysClr val="windowText" lastClr="000000"/>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fr-FR"/>
          </a:p>
        </c:txPr>
        <c:crossAx val="1689234464"/>
        <c:crosses val="autoZero"/>
        <c:crossBetween val="between"/>
      </c:valAx>
      <c:spPr>
        <a:noFill/>
        <a:ln>
          <a:solidFill>
            <a:schemeClr val="tx1"/>
          </a:solid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ysClr val="windowText" lastClr="000000"/>
      </a:solidFill>
      <a:round/>
    </a:ln>
    <a:effectLst/>
  </c:spPr>
  <c:txPr>
    <a:bodyPr/>
    <a:lstStyle/>
    <a:p>
      <a:pPr>
        <a:defRPr>
          <a:solidFill>
            <a:sysClr val="windowText" lastClr="000000"/>
          </a:solidFill>
          <a:latin typeface="Arial" panose="020B0604020202020204" pitchFamily="34" charset="0"/>
          <a:cs typeface="Arial" panose="020B0604020202020204" pitchFamily="34" charset="0"/>
        </a:defRPr>
      </a:pPr>
      <a:endParaRPr lang="fr-FR"/>
    </a:p>
  </c:txPr>
  <c:externalData r:id="rId4">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solidFill>
              <a:schemeClr val="accent1"/>
            </a:solidFill>
            <a:ln>
              <a:noFill/>
            </a:ln>
            <a:effectLst/>
          </c:spPr>
          <c:invertIfNegative val="0"/>
          <c:cat>
            <c:strRef>
              <c:f>Feuil2!$CZ$3:$CZ$5</c:f>
              <c:strCache>
                <c:ptCount val="3"/>
                <c:pt idx="0">
                  <c:v>Aucune</c:v>
                </c:pt>
                <c:pt idx="1">
                  <c:v>Gestion participative </c:v>
                </c:pt>
                <c:pt idx="2">
                  <c:v>Contrat de prestation</c:v>
                </c:pt>
              </c:strCache>
            </c:strRef>
          </c:cat>
          <c:val>
            <c:numRef>
              <c:f>Feuil2!$DB$3:$DB$5</c:f>
              <c:numCache>
                <c:formatCode>General</c:formatCode>
                <c:ptCount val="3"/>
                <c:pt idx="0">
                  <c:v>58.312655086848629</c:v>
                </c:pt>
                <c:pt idx="1">
                  <c:v>29.032258064516132</c:v>
                </c:pt>
                <c:pt idx="2">
                  <c:v>12.655086848635236</c:v>
                </c:pt>
              </c:numCache>
            </c:numRef>
          </c:val>
          <c:extLst>
            <c:ext xmlns:c16="http://schemas.microsoft.com/office/drawing/2014/chart" uri="{C3380CC4-5D6E-409C-BE32-E72D297353CC}">
              <c16:uniqueId val="{00000000-CDB7-47BA-BE69-4C23514167A7}"/>
            </c:ext>
          </c:extLst>
        </c:ser>
        <c:dLbls>
          <c:showLegendKey val="0"/>
          <c:showVal val="0"/>
          <c:showCatName val="0"/>
          <c:showSerName val="0"/>
          <c:showPercent val="0"/>
          <c:showBubbleSize val="0"/>
        </c:dLbls>
        <c:gapWidth val="219"/>
        <c:overlap val="-27"/>
        <c:axId val="1382200144"/>
        <c:axId val="1382197424"/>
      </c:barChart>
      <c:catAx>
        <c:axId val="1382200144"/>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r>
                  <a:rPr lang="fr-FR"/>
                  <a:t>Strategie de gestion</a:t>
                </a:r>
              </a:p>
            </c:rich>
          </c:tx>
          <c:layout>
            <c:manualLayout>
              <c:xMode val="edge"/>
              <c:yMode val="edge"/>
              <c:x val="0.39047090988626426"/>
              <c:y val="0.89719889180519097"/>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fr-FR"/>
            </a:p>
          </c:txPr>
        </c:title>
        <c:numFmt formatCode="General" sourceLinked="1"/>
        <c:majorTickMark val="out"/>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fr-FR"/>
          </a:p>
        </c:txPr>
        <c:crossAx val="1382197424"/>
        <c:crosses val="autoZero"/>
        <c:auto val="1"/>
        <c:lblAlgn val="ctr"/>
        <c:lblOffset val="100"/>
        <c:noMultiLvlLbl val="0"/>
      </c:catAx>
      <c:valAx>
        <c:axId val="1382197424"/>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r>
                  <a:rPr lang="fr-FR"/>
                  <a:t>Proportion</a:t>
                </a:r>
              </a:p>
            </c:rich>
          </c:tx>
          <c:layout>
            <c:manualLayout>
              <c:xMode val="edge"/>
              <c:yMode val="edge"/>
              <c:x val="2.2222222222222223E-2"/>
              <c:y val="0.33423592884222803"/>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fr-FR"/>
            </a:p>
          </c:txPr>
        </c:title>
        <c:numFmt formatCode="General" sourceLinked="1"/>
        <c:majorTickMark val="out"/>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fr-FR"/>
          </a:p>
        </c:txPr>
        <c:crossAx val="138220014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solidFill>
      <a:round/>
    </a:ln>
    <a:effectLst/>
  </c:spPr>
  <c:txPr>
    <a:bodyPr/>
    <a:lstStyle/>
    <a:p>
      <a:pPr>
        <a:defRPr>
          <a:latin typeface="Arial" panose="020B0604020202020204" pitchFamily="34" charset="0"/>
          <a:cs typeface="Arial" panose="020B0604020202020204" pitchFamily="34" charset="0"/>
        </a:defRPr>
      </a:pPr>
      <a:endParaRPr lang="fr-FR"/>
    </a:p>
  </c:txPr>
  <c:externalData r:id="rId4">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spPr>
            <a:solidFill>
              <a:schemeClr val="accent1"/>
            </a:solidFill>
            <a:ln>
              <a:noFill/>
            </a:ln>
            <a:effectLst/>
          </c:spPr>
          <c:invertIfNegative val="0"/>
          <c:cat>
            <c:strRef>
              <c:f>Feuil2!$DI$3:$DI$8</c:f>
              <c:strCache>
                <c:ptCount val="6"/>
                <c:pt idx="0">
                  <c:v>Destruction_biens situés_l'emprise</c:v>
                </c:pt>
                <c:pt idx="1">
                  <c:v>Insécurité</c:v>
                </c:pt>
                <c:pt idx="2">
                  <c:v>Accident_Dérangement</c:v>
                </c:pt>
                <c:pt idx="3">
                  <c:v>Perte d'activités </c:v>
                </c:pt>
                <c:pt idx="4">
                  <c:v>Perturbation des réseaux (Coupure d'électrique, eau, etc.)</c:v>
                </c:pt>
                <c:pt idx="5">
                  <c:v>Risque_transmission_IST/MST/VIH</c:v>
                </c:pt>
              </c:strCache>
            </c:strRef>
          </c:cat>
          <c:val>
            <c:numRef>
              <c:f>Feuil2!$DK$3:$DK$8</c:f>
              <c:numCache>
                <c:formatCode>General</c:formatCode>
                <c:ptCount val="6"/>
                <c:pt idx="0">
                  <c:v>52.110625909752549</c:v>
                </c:pt>
                <c:pt idx="1">
                  <c:v>17.321688500727802</c:v>
                </c:pt>
                <c:pt idx="2">
                  <c:v>14.701601164483261</c:v>
                </c:pt>
                <c:pt idx="3">
                  <c:v>8.1513828238719075</c:v>
                </c:pt>
                <c:pt idx="4">
                  <c:v>7.5691411935953425</c:v>
                </c:pt>
                <c:pt idx="5">
                  <c:v>0.14556040756914121</c:v>
                </c:pt>
              </c:numCache>
            </c:numRef>
          </c:val>
          <c:extLst>
            <c:ext xmlns:c16="http://schemas.microsoft.com/office/drawing/2014/chart" uri="{C3380CC4-5D6E-409C-BE32-E72D297353CC}">
              <c16:uniqueId val="{00000000-B0C4-4199-9A99-72C9AA212C11}"/>
            </c:ext>
          </c:extLst>
        </c:ser>
        <c:dLbls>
          <c:showLegendKey val="0"/>
          <c:showVal val="0"/>
          <c:showCatName val="0"/>
          <c:showSerName val="0"/>
          <c:showPercent val="0"/>
          <c:showBubbleSize val="0"/>
        </c:dLbls>
        <c:gapWidth val="182"/>
        <c:axId val="1522162192"/>
        <c:axId val="1522162736"/>
      </c:barChart>
      <c:catAx>
        <c:axId val="1522162192"/>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fr-FR"/>
                  <a:t>Contraintes avant travaux</a:t>
                </a:r>
              </a:p>
            </c:rich>
          </c:tx>
          <c:layout>
            <c:manualLayout>
              <c:xMode val="edge"/>
              <c:yMode val="edge"/>
              <c:x val="2.2222222222222223E-2"/>
              <c:y val="0.1703510498687664"/>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fr-FR"/>
            </a:p>
          </c:txPr>
        </c:title>
        <c:numFmt formatCode="General" sourceLinked="1"/>
        <c:majorTickMark val="out"/>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1522162736"/>
        <c:crosses val="autoZero"/>
        <c:auto val="1"/>
        <c:lblAlgn val="ctr"/>
        <c:lblOffset val="100"/>
        <c:noMultiLvlLbl val="0"/>
      </c:catAx>
      <c:valAx>
        <c:axId val="1522162736"/>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fr-FR"/>
                  <a:t>Proportion</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fr-FR"/>
            </a:p>
          </c:txPr>
        </c:title>
        <c:numFmt formatCode="General" sourceLinked="1"/>
        <c:majorTickMark val="out"/>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152216219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4">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spPr>
            <a:solidFill>
              <a:schemeClr val="accent1"/>
            </a:solidFill>
            <a:ln>
              <a:noFill/>
            </a:ln>
            <a:effectLst/>
          </c:spPr>
          <c:invertIfNegative val="0"/>
          <c:cat>
            <c:strRef>
              <c:f>Feuil2!$DQ$4:$DQ$7</c:f>
              <c:strCache>
                <c:ptCount val="4"/>
                <c:pt idx="0">
                  <c:v>Accident</c:v>
                </c:pt>
                <c:pt idx="1">
                  <c:v> Perte d'activité</c:v>
                </c:pt>
                <c:pt idx="2">
                  <c:v>Pas de remise en état initial</c:v>
                </c:pt>
                <c:pt idx="3">
                  <c:v> Insécurité</c:v>
                </c:pt>
              </c:strCache>
            </c:strRef>
          </c:cat>
          <c:val>
            <c:numRef>
              <c:f>Feuil2!$DS$4:$DS$7</c:f>
              <c:numCache>
                <c:formatCode>General</c:formatCode>
                <c:ptCount val="4"/>
                <c:pt idx="0">
                  <c:v>27.149321266968325</c:v>
                </c:pt>
                <c:pt idx="1">
                  <c:v>26.546003016591253</c:v>
                </c:pt>
                <c:pt idx="2">
                  <c:v>25.791855203619914</c:v>
                </c:pt>
                <c:pt idx="3">
                  <c:v>20.512820512820511</c:v>
                </c:pt>
              </c:numCache>
            </c:numRef>
          </c:val>
          <c:extLst>
            <c:ext xmlns:c16="http://schemas.microsoft.com/office/drawing/2014/chart" uri="{C3380CC4-5D6E-409C-BE32-E72D297353CC}">
              <c16:uniqueId val="{00000000-A237-454A-A1F5-EA6332918E58}"/>
            </c:ext>
          </c:extLst>
        </c:ser>
        <c:dLbls>
          <c:showLegendKey val="0"/>
          <c:showVal val="0"/>
          <c:showCatName val="0"/>
          <c:showSerName val="0"/>
          <c:showPercent val="0"/>
          <c:showBubbleSize val="0"/>
        </c:dLbls>
        <c:gapWidth val="182"/>
        <c:axId val="1522160016"/>
        <c:axId val="1522153488"/>
      </c:barChart>
      <c:catAx>
        <c:axId val="1522160016"/>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fr-FR"/>
                  <a:t>Craintes après travaux</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fr-FR"/>
            </a:p>
          </c:txPr>
        </c:title>
        <c:numFmt formatCode="General" sourceLinked="1"/>
        <c:majorTickMark val="out"/>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1522153488"/>
        <c:crosses val="autoZero"/>
        <c:auto val="1"/>
        <c:lblAlgn val="ctr"/>
        <c:lblOffset val="100"/>
        <c:noMultiLvlLbl val="0"/>
      </c:catAx>
      <c:valAx>
        <c:axId val="1522153488"/>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fr-FR"/>
                  <a:t>Proportion</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fr-FR"/>
            </a:p>
          </c:txPr>
        </c:title>
        <c:numFmt formatCode="General" sourceLinked="1"/>
        <c:majorTickMark val="out"/>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152216001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solidFill>
      <a:round/>
    </a:ln>
    <a:effectLst/>
  </c:spPr>
  <c:txPr>
    <a:bodyPr/>
    <a:lstStyle/>
    <a:p>
      <a:pPr>
        <a:defRPr/>
      </a:pPr>
      <a:endParaRPr lang="fr-FR"/>
    </a:p>
  </c:txPr>
  <c:externalData r:id="rId4">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solidFill>
              <a:schemeClr val="accent1"/>
            </a:solidFill>
            <a:ln>
              <a:noFill/>
            </a:ln>
            <a:effectLst/>
          </c:spPr>
          <c:invertIfNegative val="0"/>
          <c:cat>
            <c:strRef>
              <c:f>Feuil1!$AE$48:$AE$50</c:f>
              <c:strCache>
                <c:ptCount val="3"/>
                <c:pt idx="0">
                  <c:v>Amélioration</c:v>
                </c:pt>
                <c:pt idx="1">
                  <c:v>Pas d'amélioration</c:v>
                </c:pt>
                <c:pt idx="2">
                  <c:v>Ne sait pas</c:v>
                </c:pt>
              </c:strCache>
            </c:strRef>
          </c:cat>
          <c:val>
            <c:numRef>
              <c:f>Feuil1!$AF$48:$AF$50</c:f>
              <c:numCache>
                <c:formatCode>General</c:formatCode>
                <c:ptCount val="3"/>
                <c:pt idx="0">
                  <c:v>82</c:v>
                </c:pt>
                <c:pt idx="1">
                  <c:v>12</c:v>
                </c:pt>
                <c:pt idx="2">
                  <c:v>6</c:v>
                </c:pt>
              </c:numCache>
            </c:numRef>
          </c:val>
          <c:extLst>
            <c:ext xmlns:c16="http://schemas.microsoft.com/office/drawing/2014/chart" uri="{C3380CC4-5D6E-409C-BE32-E72D297353CC}">
              <c16:uniqueId val="{00000000-D0F5-4FCF-8218-FA1F1DB74FD6}"/>
            </c:ext>
          </c:extLst>
        </c:ser>
        <c:dLbls>
          <c:showLegendKey val="0"/>
          <c:showVal val="0"/>
          <c:showCatName val="0"/>
          <c:showSerName val="0"/>
          <c:showPercent val="0"/>
          <c:showBubbleSize val="0"/>
        </c:dLbls>
        <c:gapWidth val="219"/>
        <c:overlap val="-27"/>
        <c:axId val="1522149680"/>
        <c:axId val="1522156208"/>
      </c:barChart>
      <c:catAx>
        <c:axId val="1522149680"/>
        <c:scaling>
          <c:orientation val="minMax"/>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fr-FR"/>
                  <a:t>Avis</a:t>
                </a:r>
              </a:p>
            </c:rich>
          </c:tx>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fr-FR"/>
            </a:p>
          </c:txPr>
        </c:title>
        <c:numFmt formatCode="General" sourceLinked="1"/>
        <c:majorTickMark val="out"/>
        <c:minorTickMark val="none"/>
        <c:tickLblPos val="nextTo"/>
        <c:spPr>
          <a:noFill/>
          <a:ln w="9525" cap="flat" cmpd="sng" algn="ctr">
            <a:solidFill>
              <a:sysClr val="windowText" lastClr="000000"/>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fr-FR"/>
          </a:p>
        </c:txPr>
        <c:crossAx val="1522156208"/>
        <c:crosses val="autoZero"/>
        <c:auto val="1"/>
        <c:lblAlgn val="ctr"/>
        <c:lblOffset val="100"/>
        <c:noMultiLvlLbl val="0"/>
      </c:catAx>
      <c:valAx>
        <c:axId val="1522156208"/>
        <c:scaling>
          <c:orientation val="minMax"/>
        </c:scaling>
        <c:delete val="0"/>
        <c:axPos val="l"/>
        <c:title>
          <c:tx>
            <c:rich>
              <a:bodyPr rot="-54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fr-FR"/>
                  <a:t>Proportion (%)</a:t>
                </a:r>
              </a:p>
            </c:rich>
          </c:tx>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fr-FR"/>
            </a:p>
          </c:txPr>
        </c:title>
        <c:numFmt formatCode="General" sourceLinked="1"/>
        <c:majorTickMark val="out"/>
        <c:minorTickMark val="none"/>
        <c:tickLblPos val="nextTo"/>
        <c:spPr>
          <a:noFill/>
          <a:ln>
            <a:solidFill>
              <a:sysClr val="windowText" lastClr="000000"/>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fr-FR"/>
          </a:p>
        </c:txPr>
        <c:crossAx val="152214968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Arial" panose="020B0604020202020204" pitchFamily="34" charset="0"/>
          <a:cs typeface="Arial" panose="020B0604020202020204" pitchFamily="34" charset="0"/>
        </a:defRPr>
      </a:pPr>
      <a:endParaRPr lang="fr-FR"/>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fr-FR"/>
              <a:t>Natitingou</a:t>
            </a:r>
          </a:p>
        </c:rich>
      </c:tx>
      <c:layout>
        <c:manualLayout>
          <c:xMode val="edge"/>
          <c:yMode val="edge"/>
          <c:x val="2.5611111111111109E-2"/>
          <c:y val="2.7777777777777776E-2"/>
        </c:manualLayout>
      </c:layout>
      <c:overlay val="0"/>
    </c:title>
    <c:autoTitleDeleted val="0"/>
    <c:plotArea>
      <c:layout>
        <c:manualLayout>
          <c:layoutTarget val="inner"/>
          <c:xMode val="edge"/>
          <c:yMode val="edge"/>
          <c:x val="0.13453703811395806"/>
          <c:y val="0.1463079615048119"/>
          <c:w val="0.8478618371219625"/>
          <c:h val="0.55823771379086384"/>
        </c:manualLayout>
      </c:layout>
      <c:lineChart>
        <c:grouping val="standard"/>
        <c:varyColors val="0"/>
        <c:ser>
          <c:idx val="0"/>
          <c:order val="0"/>
          <c:tx>
            <c:strRef>
              <c:f>Feuil1!$A$2</c:f>
              <c:strCache>
                <c:ptCount val="1"/>
                <c:pt idx="0">
                  <c:v>T maxi (°c)</c:v>
                </c:pt>
              </c:strCache>
            </c:strRef>
          </c:tx>
          <c:spPr>
            <a:ln w="22225">
              <a:solidFill>
                <a:schemeClr val="tx1">
                  <a:alpha val="99000"/>
                </a:schemeClr>
              </a:solidFill>
              <a:prstDash val="sysDot"/>
            </a:ln>
          </c:spPr>
          <c:marker>
            <c:spPr>
              <a:solidFill>
                <a:schemeClr val="tx1">
                  <a:alpha val="99000"/>
                </a:schemeClr>
              </a:solidFill>
              <a:ln w="19050">
                <a:solidFill>
                  <a:schemeClr val="tx1">
                    <a:alpha val="99000"/>
                  </a:schemeClr>
                </a:solidFill>
              </a:ln>
            </c:spPr>
          </c:marker>
          <c:cat>
            <c:strRef>
              <c:f>Feuil1!$B$1:$M$1</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Feuil1!$B$2:$M$2</c:f>
              <c:numCache>
                <c:formatCode>0.0</c:formatCode>
                <c:ptCount val="12"/>
                <c:pt idx="0">
                  <c:v>33.1</c:v>
                </c:pt>
                <c:pt idx="1">
                  <c:v>36.9</c:v>
                </c:pt>
                <c:pt idx="2">
                  <c:v>38.6</c:v>
                </c:pt>
                <c:pt idx="3">
                  <c:v>37.6</c:v>
                </c:pt>
                <c:pt idx="4">
                  <c:v>33.6</c:v>
                </c:pt>
                <c:pt idx="5">
                  <c:v>32.299999999999997</c:v>
                </c:pt>
                <c:pt idx="6">
                  <c:v>29.9</c:v>
                </c:pt>
                <c:pt idx="7">
                  <c:v>29.4</c:v>
                </c:pt>
                <c:pt idx="8">
                  <c:v>30.3</c:v>
                </c:pt>
                <c:pt idx="9">
                  <c:v>33.200000000000003</c:v>
                </c:pt>
                <c:pt idx="10">
                  <c:v>36.299999999999997</c:v>
                </c:pt>
                <c:pt idx="11">
                  <c:v>36.200000000000003</c:v>
                </c:pt>
              </c:numCache>
            </c:numRef>
          </c:val>
          <c:smooth val="0"/>
          <c:extLst>
            <c:ext xmlns:c16="http://schemas.microsoft.com/office/drawing/2014/chart" uri="{C3380CC4-5D6E-409C-BE32-E72D297353CC}">
              <c16:uniqueId val="{00000000-7B64-43B0-9F3E-496A8A003614}"/>
            </c:ext>
          </c:extLst>
        </c:ser>
        <c:ser>
          <c:idx val="1"/>
          <c:order val="1"/>
          <c:tx>
            <c:strRef>
              <c:f>Feuil1!$A$3</c:f>
              <c:strCache>
                <c:ptCount val="1"/>
                <c:pt idx="0">
                  <c:v>T mini (°c)</c:v>
                </c:pt>
              </c:strCache>
            </c:strRef>
          </c:tx>
          <c:spPr>
            <a:ln w="25400">
              <a:solidFill>
                <a:sysClr val="windowText" lastClr="000000"/>
              </a:solidFill>
            </a:ln>
          </c:spPr>
          <c:marker>
            <c:spPr>
              <a:solidFill>
                <a:schemeClr val="tx1"/>
              </a:solidFill>
              <a:ln>
                <a:solidFill>
                  <a:schemeClr val="tx1"/>
                </a:solidFill>
              </a:ln>
            </c:spPr>
          </c:marker>
          <c:cat>
            <c:strRef>
              <c:f>Feuil1!$B$1:$M$1</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Feuil1!$B$3:$M$3</c:f>
              <c:numCache>
                <c:formatCode>0.0</c:formatCode>
                <c:ptCount val="12"/>
                <c:pt idx="0">
                  <c:v>19.7</c:v>
                </c:pt>
                <c:pt idx="1">
                  <c:v>20.6</c:v>
                </c:pt>
                <c:pt idx="2">
                  <c:v>22.9</c:v>
                </c:pt>
                <c:pt idx="3">
                  <c:v>23.8</c:v>
                </c:pt>
                <c:pt idx="4">
                  <c:v>22.8</c:v>
                </c:pt>
                <c:pt idx="5">
                  <c:v>22</c:v>
                </c:pt>
                <c:pt idx="6">
                  <c:v>20.8</c:v>
                </c:pt>
                <c:pt idx="7" formatCode="General">
                  <c:v>21.1</c:v>
                </c:pt>
                <c:pt idx="8">
                  <c:v>21</c:v>
                </c:pt>
                <c:pt idx="9">
                  <c:v>20.9</c:v>
                </c:pt>
                <c:pt idx="10">
                  <c:v>20.9</c:v>
                </c:pt>
                <c:pt idx="11">
                  <c:v>19.600000000000001</c:v>
                </c:pt>
              </c:numCache>
            </c:numRef>
          </c:val>
          <c:smooth val="0"/>
          <c:extLst>
            <c:ext xmlns:c16="http://schemas.microsoft.com/office/drawing/2014/chart" uri="{C3380CC4-5D6E-409C-BE32-E72D297353CC}">
              <c16:uniqueId val="{00000001-7B64-43B0-9F3E-496A8A003614}"/>
            </c:ext>
          </c:extLst>
        </c:ser>
        <c:ser>
          <c:idx val="2"/>
          <c:order val="2"/>
          <c:tx>
            <c:strRef>
              <c:f>Feuil1!$A$4</c:f>
              <c:strCache>
                <c:ptCount val="1"/>
                <c:pt idx="0">
                  <c:v>T moy (°c)</c:v>
                </c:pt>
              </c:strCache>
            </c:strRef>
          </c:tx>
          <c:spPr>
            <a:ln>
              <a:solidFill>
                <a:schemeClr val="tx1"/>
              </a:solidFill>
            </a:ln>
          </c:spPr>
          <c:marker>
            <c:spPr>
              <a:solidFill>
                <a:schemeClr val="tx1"/>
              </a:solidFill>
              <a:ln>
                <a:solidFill>
                  <a:schemeClr val="tx1"/>
                </a:solidFill>
              </a:ln>
            </c:spPr>
          </c:marker>
          <c:cat>
            <c:strRef>
              <c:f>Feuil1!$B$1:$M$1</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Feuil1!$B$4:$M$4</c:f>
              <c:numCache>
                <c:formatCode>0.0</c:formatCode>
                <c:ptCount val="12"/>
                <c:pt idx="0">
                  <c:v>27.5</c:v>
                </c:pt>
                <c:pt idx="1">
                  <c:v>27.5</c:v>
                </c:pt>
                <c:pt idx="2">
                  <c:v>27.5</c:v>
                </c:pt>
                <c:pt idx="3">
                  <c:v>27.5</c:v>
                </c:pt>
                <c:pt idx="4">
                  <c:v>27.5</c:v>
                </c:pt>
                <c:pt idx="5">
                  <c:v>27.5</c:v>
                </c:pt>
                <c:pt idx="6">
                  <c:v>27.5</c:v>
                </c:pt>
                <c:pt idx="7">
                  <c:v>27.5</c:v>
                </c:pt>
                <c:pt idx="8">
                  <c:v>27.5</c:v>
                </c:pt>
                <c:pt idx="9">
                  <c:v>27.5</c:v>
                </c:pt>
                <c:pt idx="10">
                  <c:v>27.5</c:v>
                </c:pt>
                <c:pt idx="11">
                  <c:v>27.5</c:v>
                </c:pt>
              </c:numCache>
            </c:numRef>
          </c:val>
          <c:smooth val="0"/>
          <c:extLst>
            <c:ext xmlns:c16="http://schemas.microsoft.com/office/drawing/2014/chart" uri="{C3380CC4-5D6E-409C-BE32-E72D297353CC}">
              <c16:uniqueId val="{00000002-7B64-43B0-9F3E-496A8A003614}"/>
            </c:ext>
          </c:extLst>
        </c:ser>
        <c:dLbls>
          <c:showLegendKey val="0"/>
          <c:showVal val="0"/>
          <c:showCatName val="0"/>
          <c:showSerName val="0"/>
          <c:showPercent val="0"/>
          <c:showBubbleSize val="0"/>
        </c:dLbls>
        <c:marker val="1"/>
        <c:smooth val="0"/>
        <c:axId val="1689232832"/>
        <c:axId val="1689233920"/>
      </c:lineChart>
      <c:catAx>
        <c:axId val="1689232832"/>
        <c:scaling>
          <c:orientation val="minMax"/>
        </c:scaling>
        <c:delete val="0"/>
        <c:axPos val="b"/>
        <c:title>
          <c:tx>
            <c:rich>
              <a:bodyPr/>
              <a:lstStyle/>
              <a:p>
                <a:pPr>
                  <a:defRPr/>
                </a:pPr>
                <a:r>
                  <a:rPr lang="fr-FR"/>
                  <a:t>Mois</a:t>
                </a:r>
              </a:p>
            </c:rich>
          </c:tx>
          <c:overlay val="0"/>
        </c:title>
        <c:numFmt formatCode="General" sourceLinked="0"/>
        <c:majorTickMark val="none"/>
        <c:minorTickMark val="none"/>
        <c:tickLblPos val="nextTo"/>
        <c:crossAx val="1689233920"/>
        <c:crosses val="autoZero"/>
        <c:auto val="1"/>
        <c:lblAlgn val="ctr"/>
        <c:lblOffset val="100"/>
        <c:noMultiLvlLbl val="0"/>
      </c:catAx>
      <c:valAx>
        <c:axId val="1689233920"/>
        <c:scaling>
          <c:orientation val="minMax"/>
        </c:scaling>
        <c:delete val="0"/>
        <c:axPos val="l"/>
        <c:title>
          <c:tx>
            <c:rich>
              <a:bodyPr/>
              <a:lstStyle/>
              <a:p>
                <a:pPr>
                  <a:defRPr/>
                </a:pPr>
                <a:r>
                  <a:rPr lang="fr-FR"/>
                  <a:t>Température (°c)</a:t>
                </a:r>
              </a:p>
            </c:rich>
          </c:tx>
          <c:layout>
            <c:manualLayout>
              <c:xMode val="edge"/>
              <c:yMode val="edge"/>
              <c:x val="3.1136492553815389E-3"/>
              <c:y val="0.22989447306740979"/>
            </c:manualLayout>
          </c:layout>
          <c:overlay val="0"/>
        </c:title>
        <c:numFmt formatCode="0.0" sourceLinked="1"/>
        <c:majorTickMark val="out"/>
        <c:minorTickMark val="none"/>
        <c:tickLblPos val="nextTo"/>
        <c:crossAx val="1689232832"/>
        <c:crosses val="autoZero"/>
        <c:crossBetween val="between"/>
      </c:valAx>
      <c:spPr>
        <a:ln>
          <a:solidFill>
            <a:schemeClr val="dk1">
              <a:tint val="88000"/>
              <a:shade val="95000"/>
              <a:satMod val="105000"/>
              <a:alpha val="99000"/>
            </a:schemeClr>
          </a:solidFill>
        </a:ln>
      </c:spPr>
    </c:plotArea>
    <c:legend>
      <c:legendPos val="r"/>
      <c:layout>
        <c:manualLayout>
          <c:xMode val="edge"/>
          <c:yMode val="edge"/>
          <c:x val="0.20422200349956254"/>
          <c:y val="1.9099956255468079E-2"/>
          <c:w val="0.66244466316710415"/>
          <c:h val="7.9855278506853325E-2"/>
        </c:manualLayout>
      </c:layout>
      <c:overlay val="0"/>
      <c:spPr>
        <a:ln>
          <a:noFill/>
        </a:ln>
      </c:spPr>
    </c:legend>
    <c:plotVisOnly val="1"/>
    <c:dispBlanksAs val="gap"/>
    <c:showDLblsOverMax val="0"/>
  </c:chart>
  <c:spPr>
    <a:ln>
      <a:solidFill>
        <a:sysClr val="windowText" lastClr="000000">
          <a:alpha val="99000"/>
        </a:sysClr>
      </a:solidFill>
    </a:ln>
  </c:spPr>
  <c:txPr>
    <a:bodyPr/>
    <a:lstStyle/>
    <a:p>
      <a:pPr>
        <a:defRPr sz="900">
          <a:latin typeface="Times New Roman" pitchFamily="18" charset="0"/>
          <a:cs typeface="Times New Roman" pitchFamily="18" charset="0"/>
        </a:defRPr>
      </a:pPr>
      <a:endParaRPr lang="fr-FR"/>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200">
                <a:latin typeface="Times New Roman" panose="02020603050405020304" pitchFamily="18" charset="0"/>
                <a:cs typeface="Times New Roman" panose="02020603050405020304" pitchFamily="18" charset="0"/>
              </a:defRPr>
            </a:pPr>
            <a:r>
              <a:rPr lang="fr-FR" sz="1200">
                <a:latin typeface="Times New Roman" panose="02020603050405020304" pitchFamily="18" charset="0"/>
                <a:cs typeface="Times New Roman" panose="02020603050405020304" pitchFamily="18" charset="0"/>
              </a:rPr>
              <a:t>Courbe IDF obtenue au modèle</a:t>
            </a:r>
            <a:r>
              <a:rPr lang="fr-FR" sz="1200" baseline="0">
                <a:latin typeface="Times New Roman" panose="02020603050405020304" pitchFamily="18" charset="0"/>
                <a:cs typeface="Times New Roman" panose="02020603050405020304" pitchFamily="18" charset="0"/>
              </a:rPr>
              <a:t> de Montana</a:t>
            </a:r>
            <a:endParaRPr lang="fr-FR" sz="1200">
              <a:latin typeface="Times New Roman" panose="02020603050405020304" pitchFamily="18" charset="0"/>
              <a:cs typeface="Times New Roman" panose="02020603050405020304" pitchFamily="18" charset="0"/>
            </a:endParaRPr>
          </a:p>
        </c:rich>
      </c:tx>
      <c:overlay val="0"/>
    </c:title>
    <c:autoTitleDeleted val="0"/>
    <c:plotArea>
      <c:layout/>
      <c:lineChart>
        <c:grouping val="standard"/>
        <c:varyColors val="0"/>
        <c:ser>
          <c:idx val="1"/>
          <c:order val="0"/>
          <c:tx>
            <c:strRef>
              <c:f>'IDF (MONTANA)'!$N$85</c:f>
              <c:strCache>
                <c:ptCount val="1"/>
                <c:pt idx="0">
                  <c:v>T=2ans </c:v>
                </c:pt>
              </c:strCache>
            </c:strRef>
          </c:tx>
          <c:spPr>
            <a:ln w="12700">
              <a:noFill/>
            </a:ln>
          </c:spPr>
          <c:marker>
            <c:symbol val="circle"/>
            <c:size val="2"/>
            <c:spPr>
              <a:noFill/>
              <a:ln>
                <a:noFill/>
              </a:ln>
            </c:spPr>
          </c:marker>
          <c:trendline>
            <c:name>T = 2 ans</c:name>
            <c:spPr>
              <a:ln>
                <a:solidFill>
                  <a:srgbClr val="FFC000"/>
                </a:solidFill>
              </a:ln>
            </c:spPr>
            <c:trendlineType val="power"/>
            <c:dispRSqr val="0"/>
            <c:dispEq val="0"/>
          </c:trendline>
          <c:cat>
            <c:numRef>
              <c:f>Brouillon!$N$7:$N$22</c:f>
              <c:numCache>
                <c:formatCode>General</c:formatCode>
                <c:ptCount val="16"/>
                <c:pt idx="0">
                  <c:v>5</c:v>
                </c:pt>
                <c:pt idx="1">
                  <c:v>15</c:v>
                </c:pt>
                <c:pt idx="2">
                  <c:v>25</c:v>
                </c:pt>
                <c:pt idx="3">
                  <c:v>35</c:v>
                </c:pt>
                <c:pt idx="4">
                  <c:v>45</c:v>
                </c:pt>
                <c:pt idx="5">
                  <c:v>60</c:v>
                </c:pt>
                <c:pt idx="6">
                  <c:v>75</c:v>
                </c:pt>
                <c:pt idx="7">
                  <c:v>90</c:v>
                </c:pt>
                <c:pt idx="8">
                  <c:v>105</c:v>
                </c:pt>
                <c:pt idx="9">
                  <c:v>120</c:v>
                </c:pt>
              </c:numCache>
            </c:numRef>
          </c:cat>
          <c:val>
            <c:numRef>
              <c:f>'IDF (MONTANA)'!$Q$36:$Q$45</c:f>
              <c:numCache>
                <c:formatCode>0.000</c:formatCode>
                <c:ptCount val="10"/>
                <c:pt idx="0">
                  <c:v>47.09311428542177</c:v>
                </c:pt>
                <c:pt idx="1">
                  <c:v>26.746867473239753</c:v>
                </c:pt>
                <c:pt idx="2">
                  <c:v>20.560617113525318</c:v>
                </c:pt>
                <c:pt idx="3">
                  <c:v>17.289813235539516</c:v>
                </c:pt>
                <c:pt idx="4">
                  <c:v>15.191072633149473</c:v>
                </c:pt>
                <c:pt idx="5">
                  <c:v>13.099466902744958</c:v>
                </c:pt>
                <c:pt idx="6">
                  <c:v>11.677547969549476</c:v>
                </c:pt>
                <c:pt idx="7">
                  <c:v>10.631114319596035</c:v>
                </c:pt>
                <c:pt idx="8">
                  <c:v>9.8198717639533726</c:v>
                </c:pt>
                <c:pt idx="9">
                  <c:v>9.1673533220394923</c:v>
                </c:pt>
              </c:numCache>
            </c:numRef>
          </c:val>
          <c:smooth val="1"/>
          <c:extLst>
            <c:ext xmlns:c16="http://schemas.microsoft.com/office/drawing/2014/chart" uri="{C3380CC4-5D6E-409C-BE32-E72D297353CC}">
              <c16:uniqueId val="{00000000-426E-4DAD-8A16-6F9A02BA5C8E}"/>
            </c:ext>
          </c:extLst>
        </c:ser>
        <c:ser>
          <c:idx val="2"/>
          <c:order val="1"/>
          <c:tx>
            <c:strRef>
              <c:f>'IDF (MONTANA)'!$N$86</c:f>
              <c:strCache>
                <c:ptCount val="1"/>
                <c:pt idx="0">
                  <c:v>T=5ans </c:v>
                </c:pt>
              </c:strCache>
            </c:strRef>
          </c:tx>
          <c:spPr>
            <a:ln w="12700">
              <a:noFill/>
            </a:ln>
          </c:spPr>
          <c:marker>
            <c:symbol val="circle"/>
            <c:size val="2"/>
            <c:spPr>
              <a:noFill/>
              <a:ln>
                <a:noFill/>
              </a:ln>
            </c:spPr>
          </c:marker>
          <c:trendline>
            <c:name>T = 5 ans</c:name>
            <c:spPr>
              <a:ln>
                <a:solidFill>
                  <a:srgbClr val="FF0000"/>
                </a:solidFill>
              </a:ln>
            </c:spPr>
            <c:trendlineType val="power"/>
            <c:dispRSqr val="0"/>
            <c:dispEq val="0"/>
          </c:trendline>
          <c:cat>
            <c:numRef>
              <c:f>Brouillon!$N$7:$N$16</c:f>
              <c:numCache>
                <c:formatCode>General</c:formatCode>
                <c:ptCount val="10"/>
                <c:pt idx="0">
                  <c:v>5</c:v>
                </c:pt>
                <c:pt idx="1">
                  <c:v>15</c:v>
                </c:pt>
                <c:pt idx="2">
                  <c:v>25</c:v>
                </c:pt>
                <c:pt idx="3">
                  <c:v>35</c:v>
                </c:pt>
                <c:pt idx="4">
                  <c:v>45</c:v>
                </c:pt>
                <c:pt idx="5">
                  <c:v>60</c:v>
                </c:pt>
                <c:pt idx="6">
                  <c:v>75</c:v>
                </c:pt>
                <c:pt idx="7">
                  <c:v>90</c:v>
                </c:pt>
                <c:pt idx="8">
                  <c:v>105</c:v>
                </c:pt>
                <c:pt idx="9">
                  <c:v>120</c:v>
                </c:pt>
              </c:numCache>
            </c:numRef>
          </c:cat>
          <c:val>
            <c:numRef>
              <c:f>'IDF (MONTANA)'!$S$36:$S$45</c:f>
              <c:numCache>
                <c:formatCode>0.000</c:formatCode>
                <c:ptCount val="10"/>
                <c:pt idx="0">
                  <c:v>57.635200326439367</c:v>
                </c:pt>
                <c:pt idx="1">
                  <c:v>32.734319832445422</c:v>
                </c:pt>
                <c:pt idx="2">
                  <c:v>25.16323891835048</c:v>
                </c:pt>
                <c:pt idx="3">
                  <c:v>21.160245283364549</c:v>
                </c:pt>
                <c:pt idx="4">
                  <c:v>18.591688565733588</c:v>
                </c:pt>
                <c:pt idx="5">
                  <c:v>16.031863905483618</c:v>
                </c:pt>
                <c:pt idx="6">
                  <c:v>14.291639590183925</c:v>
                </c:pt>
                <c:pt idx="7">
                  <c:v>13.010955270224558</c:v>
                </c:pt>
                <c:pt idx="8">
                  <c:v>12.018111031374318</c:v>
                </c:pt>
                <c:pt idx="9">
                  <c:v>11.219522284652916</c:v>
                </c:pt>
              </c:numCache>
            </c:numRef>
          </c:val>
          <c:smooth val="1"/>
          <c:extLst>
            <c:ext xmlns:c16="http://schemas.microsoft.com/office/drawing/2014/chart" uri="{C3380CC4-5D6E-409C-BE32-E72D297353CC}">
              <c16:uniqueId val="{00000001-426E-4DAD-8A16-6F9A02BA5C8E}"/>
            </c:ext>
          </c:extLst>
        </c:ser>
        <c:ser>
          <c:idx val="3"/>
          <c:order val="2"/>
          <c:tx>
            <c:strRef>
              <c:f>'IDF (MONTANA)'!$N$87</c:f>
              <c:strCache>
                <c:ptCount val="1"/>
                <c:pt idx="0">
                  <c:v>T=10ans </c:v>
                </c:pt>
              </c:strCache>
            </c:strRef>
          </c:tx>
          <c:spPr>
            <a:ln w="12700">
              <a:noFill/>
            </a:ln>
          </c:spPr>
          <c:marker>
            <c:symbol val="circle"/>
            <c:size val="2"/>
            <c:spPr>
              <a:noFill/>
              <a:ln>
                <a:noFill/>
              </a:ln>
            </c:spPr>
          </c:marker>
          <c:trendline>
            <c:name>T = 10 ans</c:name>
            <c:spPr>
              <a:ln>
                <a:solidFill>
                  <a:schemeClr val="tx1"/>
                </a:solidFill>
              </a:ln>
            </c:spPr>
            <c:trendlineType val="power"/>
            <c:dispRSqr val="0"/>
            <c:dispEq val="0"/>
          </c:trendline>
          <c:cat>
            <c:numRef>
              <c:f>Brouillon!$N$7:$N$22</c:f>
              <c:numCache>
                <c:formatCode>General</c:formatCode>
                <c:ptCount val="16"/>
                <c:pt idx="0">
                  <c:v>5</c:v>
                </c:pt>
                <c:pt idx="1">
                  <c:v>15</c:v>
                </c:pt>
                <c:pt idx="2">
                  <c:v>25</c:v>
                </c:pt>
                <c:pt idx="3">
                  <c:v>35</c:v>
                </c:pt>
                <c:pt idx="4">
                  <c:v>45</c:v>
                </c:pt>
                <c:pt idx="5">
                  <c:v>60</c:v>
                </c:pt>
                <c:pt idx="6">
                  <c:v>75</c:v>
                </c:pt>
                <c:pt idx="7">
                  <c:v>90</c:v>
                </c:pt>
                <c:pt idx="8">
                  <c:v>105</c:v>
                </c:pt>
                <c:pt idx="9">
                  <c:v>120</c:v>
                </c:pt>
              </c:numCache>
            </c:numRef>
          </c:cat>
          <c:val>
            <c:numRef>
              <c:f>'IDF (MONTANA)'!$U$36:$U$45</c:f>
              <c:numCache>
                <c:formatCode>0.000</c:formatCode>
                <c:ptCount val="10"/>
                <c:pt idx="0">
                  <c:v>64.637607842735648</c:v>
                </c:pt>
                <c:pt idx="1">
                  <c:v>36.711386727976127</c:v>
                </c:pt>
                <c:pt idx="2">
                  <c:v>28.220454861701459</c:v>
                </c:pt>
                <c:pt idx="3">
                  <c:v>23.731116205642497</c:v>
                </c:pt>
                <c:pt idx="4">
                  <c:v>20.85049184942083</c:v>
                </c:pt>
                <c:pt idx="5">
                  <c:v>17.979660454747954</c:v>
                </c:pt>
                <c:pt idx="6">
                  <c:v>16.028007017028692</c:v>
                </c:pt>
                <c:pt idx="7">
                  <c:v>14.591725536700439</c:v>
                </c:pt>
                <c:pt idx="8">
                  <c:v>13.478255362288957</c:v>
                </c:pt>
                <c:pt idx="9">
                  <c:v>12.582641814564026</c:v>
                </c:pt>
              </c:numCache>
            </c:numRef>
          </c:val>
          <c:smooth val="1"/>
          <c:extLst>
            <c:ext xmlns:c16="http://schemas.microsoft.com/office/drawing/2014/chart" uri="{C3380CC4-5D6E-409C-BE32-E72D297353CC}">
              <c16:uniqueId val="{00000002-426E-4DAD-8A16-6F9A02BA5C8E}"/>
            </c:ext>
          </c:extLst>
        </c:ser>
        <c:ser>
          <c:idx val="4"/>
          <c:order val="3"/>
          <c:tx>
            <c:strRef>
              <c:f>'IDF (MONTANA)'!$N$88</c:f>
              <c:strCache>
                <c:ptCount val="1"/>
                <c:pt idx="0">
                  <c:v>T=20ans </c:v>
                </c:pt>
              </c:strCache>
            </c:strRef>
          </c:tx>
          <c:spPr>
            <a:ln w="12700">
              <a:noFill/>
            </a:ln>
          </c:spPr>
          <c:marker>
            <c:symbol val="circle"/>
            <c:size val="2"/>
            <c:spPr>
              <a:noFill/>
              <a:ln>
                <a:noFill/>
              </a:ln>
            </c:spPr>
          </c:marker>
          <c:trendline>
            <c:name>T = 20 ans</c:name>
            <c:spPr>
              <a:ln>
                <a:solidFill>
                  <a:schemeClr val="accent1"/>
                </a:solidFill>
              </a:ln>
            </c:spPr>
            <c:trendlineType val="power"/>
            <c:dispRSqr val="0"/>
            <c:dispEq val="0"/>
          </c:trendline>
          <c:cat>
            <c:numRef>
              <c:f>Brouillon!$N$7:$N$22</c:f>
              <c:numCache>
                <c:formatCode>General</c:formatCode>
                <c:ptCount val="16"/>
                <c:pt idx="0">
                  <c:v>5</c:v>
                </c:pt>
                <c:pt idx="1">
                  <c:v>15</c:v>
                </c:pt>
                <c:pt idx="2">
                  <c:v>25</c:v>
                </c:pt>
                <c:pt idx="3">
                  <c:v>35</c:v>
                </c:pt>
                <c:pt idx="4">
                  <c:v>45</c:v>
                </c:pt>
                <c:pt idx="5">
                  <c:v>60</c:v>
                </c:pt>
                <c:pt idx="6">
                  <c:v>75</c:v>
                </c:pt>
                <c:pt idx="7">
                  <c:v>90</c:v>
                </c:pt>
                <c:pt idx="8">
                  <c:v>105</c:v>
                </c:pt>
                <c:pt idx="9">
                  <c:v>120</c:v>
                </c:pt>
              </c:numCache>
            </c:numRef>
          </c:cat>
          <c:val>
            <c:numRef>
              <c:f>'IDF (MONTANA)'!$W$36:$W$45</c:f>
              <c:numCache>
                <c:formatCode>0.000</c:formatCode>
                <c:ptCount val="10"/>
                <c:pt idx="0">
                  <c:v>71.332217226447611</c:v>
                </c:pt>
                <c:pt idx="1">
                  <c:v>40.513637496230771</c:v>
                </c:pt>
                <c:pt idx="2">
                  <c:v>31.143287686663381</c:v>
                </c:pt>
                <c:pt idx="3">
                  <c:v>26.188981812655484</c:v>
                </c:pt>
                <c:pt idx="4">
                  <c:v>23.010007076682292</c:v>
                </c:pt>
                <c:pt idx="5">
                  <c:v>19.841839573275429</c:v>
                </c:pt>
                <c:pt idx="6">
                  <c:v>17.688050600935217</c:v>
                </c:pt>
                <c:pt idx="7">
                  <c:v>16.103011395858719</c:v>
                </c:pt>
                <c:pt idx="8">
                  <c:v>14.874217524811742</c:v>
                </c:pt>
                <c:pt idx="9">
                  <c:v>13.885844002501019</c:v>
                </c:pt>
              </c:numCache>
            </c:numRef>
          </c:val>
          <c:smooth val="1"/>
          <c:extLst>
            <c:ext xmlns:c16="http://schemas.microsoft.com/office/drawing/2014/chart" uri="{C3380CC4-5D6E-409C-BE32-E72D297353CC}">
              <c16:uniqueId val="{00000003-426E-4DAD-8A16-6F9A02BA5C8E}"/>
            </c:ext>
          </c:extLst>
        </c:ser>
        <c:ser>
          <c:idx val="5"/>
          <c:order val="4"/>
          <c:tx>
            <c:strRef>
              <c:f>'IDF (MONTANA)'!$N$89</c:f>
              <c:strCache>
                <c:ptCount val="1"/>
                <c:pt idx="0">
                  <c:v>T=50ans </c:v>
                </c:pt>
              </c:strCache>
            </c:strRef>
          </c:tx>
          <c:spPr>
            <a:ln w="12700">
              <a:noFill/>
            </a:ln>
          </c:spPr>
          <c:marker>
            <c:symbol val="circle"/>
            <c:size val="2"/>
            <c:spPr>
              <a:noFill/>
              <a:ln>
                <a:noFill/>
              </a:ln>
            </c:spPr>
          </c:marker>
          <c:trendline>
            <c:name>T = 50 ans</c:name>
            <c:spPr>
              <a:ln>
                <a:solidFill>
                  <a:schemeClr val="accent2"/>
                </a:solidFill>
              </a:ln>
            </c:spPr>
            <c:trendlineType val="power"/>
            <c:dispRSqr val="0"/>
            <c:dispEq val="0"/>
          </c:trendline>
          <c:cat>
            <c:numRef>
              <c:f>Brouillon!$N$7:$N$22</c:f>
              <c:numCache>
                <c:formatCode>General</c:formatCode>
                <c:ptCount val="16"/>
                <c:pt idx="0">
                  <c:v>5</c:v>
                </c:pt>
                <c:pt idx="1">
                  <c:v>15</c:v>
                </c:pt>
                <c:pt idx="2">
                  <c:v>25</c:v>
                </c:pt>
                <c:pt idx="3">
                  <c:v>35</c:v>
                </c:pt>
                <c:pt idx="4">
                  <c:v>45</c:v>
                </c:pt>
                <c:pt idx="5">
                  <c:v>60</c:v>
                </c:pt>
                <c:pt idx="6">
                  <c:v>75</c:v>
                </c:pt>
                <c:pt idx="7">
                  <c:v>90</c:v>
                </c:pt>
                <c:pt idx="8">
                  <c:v>105</c:v>
                </c:pt>
                <c:pt idx="9">
                  <c:v>120</c:v>
                </c:pt>
              </c:numCache>
            </c:numRef>
          </c:cat>
          <c:val>
            <c:numRef>
              <c:f>'IDF (MONTANA)'!$Y$36:$Y$45</c:f>
              <c:numCache>
                <c:formatCode>0.000</c:formatCode>
                <c:ptCount val="10"/>
                <c:pt idx="0">
                  <c:v>80.027514471958497</c:v>
                </c:pt>
                <c:pt idx="1">
                  <c:v>45.452193091779968</c:v>
                </c:pt>
                <c:pt idx="2">
                  <c:v>34.939610781154187</c:v>
                </c:pt>
                <c:pt idx="3">
                  <c:v>29.381381968890729</c:v>
                </c:pt>
                <c:pt idx="4">
                  <c:v>25.814894670711531</c:v>
                </c:pt>
                <c:pt idx="5">
                  <c:v>22.260531991592707</c:v>
                </c:pt>
                <c:pt idx="6">
                  <c:v>19.844199163940285</c:v>
                </c:pt>
                <c:pt idx="7">
                  <c:v>18.065945902581486</c:v>
                </c:pt>
                <c:pt idx="8">
                  <c:v>16.687363781881565</c:v>
                </c:pt>
                <c:pt idx="9">
                  <c:v>15.578508913269744</c:v>
                </c:pt>
              </c:numCache>
            </c:numRef>
          </c:val>
          <c:smooth val="1"/>
          <c:extLst>
            <c:ext xmlns:c16="http://schemas.microsoft.com/office/drawing/2014/chart" uri="{C3380CC4-5D6E-409C-BE32-E72D297353CC}">
              <c16:uniqueId val="{00000004-426E-4DAD-8A16-6F9A02BA5C8E}"/>
            </c:ext>
          </c:extLst>
        </c:ser>
        <c:ser>
          <c:idx val="6"/>
          <c:order val="5"/>
          <c:tx>
            <c:strRef>
              <c:f>'IDF (MONTANA)'!$N$90</c:f>
              <c:strCache>
                <c:ptCount val="1"/>
                <c:pt idx="0">
                  <c:v>T=100ans </c:v>
                </c:pt>
              </c:strCache>
            </c:strRef>
          </c:tx>
          <c:spPr>
            <a:ln w="12700">
              <a:noFill/>
            </a:ln>
          </c:spPr>
          <c:marker>
            <c:symbol val="circle"/>
            <c:size val="2"/>
            <c:spPr>
              <a:noFill/>
              <a:ln>
                <a:noFill/>
              </a:ln>
            </c:spPr>
          </c:marker>
          <c:trendline>
            <c:name>T = 100 ans</c:name>
            <c:spPr>
              <a:ln>
                <a:solidFill>
                  <a:srgbClr val="00B050"/>
                </a:solidFill>
              </a:ln>
            </c:spPr>
            <c:trendlineType val="power"/>
            <c:dispRSqr val="0"/>
            <c:dispEq val="0"/>
          </c:trendline>
          <c:cat>
            <c:numRef>
              <c:f>Brouillon!$N$7:$N$22</c:f>
              <c:numCache>
                <c:formatCode>General</c:formatCode>
                <c:ptCount val="16"/>
                <c:pt idx="0">
                  <c:v>5</c:v>
                </c:pt>
                <c:pt idx="1">
                  <c:v>15</c:v>
                </c:pt>
                <c:pt idx="2">
                  <c:v>25</c:v>
                </c:pt>
                <c:pt idx="3">
                  <c:v>35</c:v>
                </c:pt>
                <c:pt idx="4">
                  <c:v>45</c:v>
                </c:pt>
                <c:pt idx="5">
                  <c:v>60</c:v>
                </c:pt>
                <c:pt idx="6">
                  <c:v>75</c:v>
                </c:pt>
                <c:pt idx="7">
                  <c:v>90</c:v>
                </c:pt>
                <c:pt idx="8">
                  <c:v>105</c:v>
                </c:pt>
                <c:pt idx="9">
                  <c:v>120</c:v>
                </c:pt>
              </c:numCache>
            </c:numRef>
          </c:cat>
          <c:val>
            <c:numRef>
              <c:f>'IDF (MONTANA)'!$AA$36:$AA$45</c:f>
              <c:numCache>
                <c:formatCode>0.000</c:formatCode>
                <c:ptCount val="10"/>
                <c:pt idx="0">
                  <c:v>86.183477123647478</c:v>
                </c:pt>
                <c:pt idx="1">
                  <c:v>48.948515637301512</c:v>
                </c:pt>
                <c:pt idx="2">
                  <c:v>37.627273148935316</c:v>
                </c:pt>
                <c:pt idx="3">
                  <c:v>31.641488274189989</c:v>
                </c:pt>
                <c:pt idx="4">
                  <c:v>27.800655799227794</c:v>
                </c:pt>
                <c:pt idx="5">
                  <c:v>23.972880606330623</c:v>
                </c:pt>
                <c:pt idx="6">
                  <c:v>21.370676022704924</c:v>
                </c:pt>
                <c:pt idx="7">
                  <c:v>19.455634048933891</c:v>
                </c:pt>
                <c:pt idx="8">
                  <c:v>17.971007149718623</c:v>
                </c:pt>
                <c:pt idx="9">
                  <c:v>16.776855752752041</c:v>
                </c:pt>
              </c:numCache>
            </c:numRef>
          </c:val>
          <c:smooth val="1"/>
          <c:extLst>
            <c:ext xmlns:c16="http://schemas.microsoft.com/office/drawing/2014/chart" uri="{C3380CC4-5D6E-409C-BE32-E72D297353CC}">
              <c16:uniqueId val="{00000005-426E-4DAD-8A16-6F9A02BA5C8E}"/>
            </c:ext>
          </c:extLst>
        </c:ser>
        <c:dLbls>
          <c:showLegendKey val="0"/>
          <c:showVal val="0"/>
          <c:showCatName val="0"/>
          <c:showSerName val="0"/>
          <c:showPercent val="0"/>
          <c:showBubbleSize val="0"/>
        </c:dLbls>
        <c:marker val="1"/>
        <c:smooth val="0"/>
        <c:axId val="1310832224"/>
        <c:axId val="1310819168"/>
      </c:lineChart>
      <c:catAx>
        <c:axId val="1310832224"/>
        <c:scaling>
          <c:orientation val="minMax"/>
        </c:scaling>
        <c:delete val="0"/>
        <c:axPos val="b"/>
        <c:majorGridlines>
          <c:spPr>
            <a:ln>
              <a:solidFill>
                <a:sysClr val="windowText" lastClr="000000">
                  <a:alpha val="18000"/>
                </a:sysClr>
              </a:solidFill>
              <a:prstDash val="sysDot"/>
            </a:ln>
          </c:spPr>
        </c:majorGridlines>
        <c:title>
          <c:tx>
            <c:rich>
              <a:bodyPr/>
              <a:lstStyle/>
              <a:p>
                <a:pPr>
                  <a:defRPr b="0">
                    <a:latin typeface="Times New Roman" panose="02020603050405020304" pitchFamily="18" charset="0"/>
                    <a:cs typeface="Times New Roman" panose="02020603050405020304" pitchFamily="18" charset="0"/>
                  </a:defRPr>
                </a:pPr>
                <a:r>
                  <a:rPr lang="en-US" b="0">
                    <a:latin typeface="Times New Roman" panose="02020603050405020304" pitchFamily="18" charset="0"/>
                    <a:cs typeface="Times New Roman" panose="02020603050405020304" pitchFamily="18" charset="0"/>
                  </a:rPr>
                  <a:t>Durée (min)</a:t>
                </a:r>
              </a:p>
            </c:rich>
          </c:tx>
          <c:layout>
            <c:manualLayout>
              <c:xMode val="edge"/>
              <c:yMode val="edge"/>
              <c:x val="0.40164226281202381"/>
              <c:y val="0.93768115942028984"/>
            </c:manualLayout>
          </c:layout>
          <c:overlay val="0"/>
        </c:title>
        <c:numFmt formatCode="General" sourceLinked="0"/>
        <c:majorTickMark val="none"/>
        <c:minorTickMark val="none"/>
        <c:tickLblPos val="nextTo"/>
        <c:txPr>
          <a:bodyPr rot="-2400000" vert="horz" anchor="b" anchorCtr="0"/>
          <a:lstStyle/>
          <a:p>
            <a:pPr>
              <a:defRPr sz="800">
                <a:latin typeface="Times New Roman" panose="02020603050405020304" pitchFamily="18" charset="0"/>
                <a:cs typeface="Times New Roman" panose="02020603050405020304" pitchFamily="18" charset="0"/>
              </a:defRPr>
            </a:pPr>
            <a:endParaRPr lang="fr-FR"/>
          </a:p>
        </c:txPr>
        <c:crossAx val="1310819168"/>
        <c:crosses val="autoZero"/>
        <c:auto val="1"/>
        <c:lblAlgn val="ctr"/>
        <c:lblOffset val="100"/>
        <c:tickLblSkip val="1"/>
        <c:noMultiLvlLbl val="0"/>
      </c:catAx>
      <c:valAx>
        <c:axId val="1310819168"/>
        <c:scaling>
          <c:orientation val="minMax"/>
          <c:max val="100"/>
          <c:min val="5"/>
        </c:scaling>
        <c:delete val="0"/>
        <c:axPos val="l"/>
        <c:majorGridlines>
          <c:spPr>
            <a:ln>
              <a:solidFill>
                <a:sysClr val="windowText" lastClr="000000">
                  <a:alpha val="13000"/>
                </a:sysClr>
              </a:solidFill>
            </a:ln>
          </c:spPr>
        </c:majorGridlines>
        <c:title>
          <c:tx>
            <c:rich>
              <a:bodyPr/>
              <a:lstStyle/>
              <a:p>
                <a:pPr>
                  <a:defRPr b="0">
                    <a:latin typeface="Times New Roman" panose="02020603050405020304" pitchFamily="18" charset="0"/>
                    <a:cs typeface="Times New Roman" panose="02020603050405020304" pitchFamily="18" charset="0"/>
                  </a:defRPr>
                </a:pPr>
                <a:r>
                  <a:rPr lang="fr-FR" b="0">
                    <a:latin typeface="Times New Roman" panose="02020603050405020304" pitchFamily="18" charset="0"/>
                    <a:cs typeface="Times New Roman" panose="02020603050405020304" pitchFamily="18" charset="0"/>
                  </a:rPr>
                  <a:t>Intensité (mm/h)</a:t>
                </a:r>
              </a:p>
            </c:rich>
          </c:tx>
          <c:layout>
            <c:manualLayout>
              <c:xMode val="edge"/>
              <c:yMode val="edge"/>
              <c:x val="1.51111142840485E-2"/>
              <c:y val="0.36667585039198658"/>
            </c:manualLayout>
          </c:layout>
          <c:overlay val="0"/>
        </c:title>
        <c:numFmt formatCode="0" sourceLinked="0"/>
        <c:majorTickMark val="none"/>
        <c:minorTickMark val="none"/>
        <c:tickLblPos val="nextTo"/>
        <c:spPr>
          <a:ln>
            <a:solidFill>
              <a:sysClr val="windowText" lastClr="000000">
                <a:tint val="75000"/>
                <a:shade val="95000"/>
                <a:satMod val="105000"/>
                <a:alpha val="21000"/>
              </a:sysClr>
            </a:solidFill>
          </a:ln>
          <a:effectLst>
            <a:outerShdw blurRad="50800" dist="50800" dir="5400000" sx="1000" sy="1000" algn="ctr" rotWithShape="0">
              <a:srgbClr val="1F497D">
                <a:alpha val="42000"/>
              </a:srgbClr>
            </a:outerShdw>
          </a:effectLst>
        </c:spPr>
        <c:txPr>
          <a:bodyPr/>
          <a:lstStyle/>
          <a:p>
            <a:pPr>
              <a:defRPr sz="800" b="0">
                <a:latin typeface="Times New Roman" panose="02020603050405020304" pitchFamily="18" charset="0"/>
                <a:cs typeface="Times New Roman" panose="02020603050405020304" pitchFamily="18" charset="0"/>
              </a:defRPr>
            </a:pPr>
            <a:endParaRPr lang="fr-FR"/>
          </a:p>
        </c:txPr>
        <c:crossAx val="1310832224"/>
        <c:crosses val="autoZero"/>
        <c:crossBetween val="between"/>
        <c:majorUnit val="20"/>
      </c:valAx>
    </c:plotArea>
    <c:legend>
      <c:legendPos val="r"/>
      <c:legendEntry>
        <c:idx val="0"/>
        <c:delete val="1"/>
      </c:legendEntry>
      <c:legendEntry>
        <c:idx val="1"/>
        <c:delete val="1"/>
      </c:legendEntry>
      <c:legendEntry>
        <c:idx val="2"/>
        <c:delete val="1"/>
      </c:legendEntry>
      <c:legendEntry>
        <c:idx val="3"/>
        <c:delete val="1"/>
      </c:legendEntry>
      <c:legendEntry>
        <c:idx val="4"/>
        <c:delete val="1"/>
      </c:legendEntry>
      <c:legendEntry>
        <c:idx val="5"/>
        <c:delete val="1"/>
      </c:legendEntry>
      <c:overlay val="0"/>
    </c:legend>
    <c:plotVisOnly val="1"/>
    <c:dispBlanksAs val="gap"/>
    <c:showDLblsOverMax val="0"/>
  </c:chart>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v>Pluie décennale</c:v>
          </c:tx>
          <c:spPr>
            <a:solidFill>
              <a:schemeClr val="accent1"/>
            </a:solidFill>
            <a:ln>
              <a:noFill/>
            </a:ln>
            <a:effectLst/>
          </c:spPr>
          <c:invertIfNegative val="0"/>
          <c:cat>
            <c:numRef>
              <c:f>'IDF (MONTANA)'!$O$36:$O$45</c:f>
              <c:numCache>
                <c:formatCode>General</c:formatCode>
                <c:ptCount val="10"/>
                <c:pt idx="0">
                  <c:v>5</c:v>
                </c:pt>
                <c:pt idx="1">
                  <c:v>15</c:v>
                </c:pt>
                <c:pt idx="2">
                  <c:v>25</c:v>
                </c:pt>
                <c:pt idx="3">
                  <c:v>35</c:v>
                </c:pt>
                <c:pt idx="4">
                  <c:v>45</c:v>
                </c:pt>
                <c:pt idx="5">
                  <c:v>60</c:v>
                </c:pt>
                <c:pt idx="6">
                  <c:v>75</c:v>
                </c:pt>
                <c:pt idx="7">
                  <c:v>90</c:v>
                </c:pt>
                <c:pt idx="8">
                  <c:v>105</c:v>
                </c:pt>
                <c:pt idx="9">
                  <c:v>120</c:v>
                </c:pt>
              </c:numCache>
            </c:numRef>
          </c:cat>
          <c:val>
            <c:numRef>
              <c:f>'IDF (MONTANA)'!$U$36:$U$45</c:f>
              <c:numCache>
                <c:formatCode>0.000</c:formatCode>
                <c:ptCount val="10"/>
                <c:pt idx="0">
                  <c:v>64.637607842735648</c:v>
                </c:pt>
                <c:pt idx="1">
                  <c:v>36.711386727976127</c:v>
                </c:pt>
                <c:pt idx="2">
                  <c:v>28.220454861701459</c:v>
                </c:pt>
                <c:pt idx="3">
                  <c:v>23.731116205642497</c:v>
                </c:pt>
                <c:pt idx="4">
                  <c:v>20.85049184942083</c:v>
                </c:pt>
                <c:pt idx="5">
                  <c:v>17.979660454747954</c:v>
                </c:pt>
                <c:pt idx="6">
                  <c:v>16.028007017028692</c:v>
                </c:pt>
                <c:pt idx="7">
                  <c:v>14.591725536700439</c:v>
                </c:pt>
                <c:pt idx="8">
                  <c:v>13.478255362288957</c:v>
                </c:pt>
                <c:pt idx="9">
                  <c:v>12.582641814564026</c:v>
                </c:pt>
              </c:numCache>
            </c:numRef>
          </c:val>
          <c:extLst>
            <c:ext xmlns:c16="http://schemas.microsoft.com/office/drawing/2014/chart" uri="{C3380CC4-5D6E-409C-BE32-E72D297353CC}">
              <c16:uniqueId val="{00000000-7BD2-432C-ABE6-471C59576FF9}"/>
            </c:ext>
          </c:extLst>
        </c:ser>
        <c:ser>
          <c:idx val="1"/>
          <c:order val="1"/>
          <c:tx>
            <c:v>Pluie biannuelle</c:v>
          </c:tx>
          <c:spPr>
            <a:solidFill>
              <a:schemeClr val="accent2"/>
            </a:solidFill>
            <a:ln>
              <a:noFill/>
            </a:ln>
            <a:effectLst/>
          </c:spPr>
          <c:invertIfNegative val="0"/>
          <c:val>
            <c:numRef>
              <c:f>'IDF (MONTANA)'!$Q$36:$Q$45</c:f>
              <c:numCache>
                <c:formatCode>0.000</c:formatCode>
                <c:ptCount val="10"/>
                <c:pt idx="0">
                  <c:v>47.09311428542177</c:v>
                </c:pt>
                <c:pt idx="1">
                  <c:v>26.746867473239753</c:v>
                </c:pt>
                <c:pt idx="2">
                  <c:v>20.560617113525318</c:v>
                </c:pt>
                <c:pt idx="3">
                  <c:v>17.289813235539516</c:v>
                </c:pt>
                <c:pt idx="4">
                  <c:v>15.191072633149473</c:v>
                </c:pt>
                <c:pt idx="5">
                  <c:v>13.099466902744958</c:v>
                </c:pt>
                <c:pt idx="6">
                  <c:v>11.677547969549476</c:v>
                </c:pt>
                <c:pt idx="7">
                  <c:v>10.631114319596035</c:v>
                </c:pt>
                <c:pt idx="8">
                  <c:v>9.8198717639533726</c:v>
                </c:pt>
                <c:pt idx="9">
                  <c:v>9.1673533220394923</c:v>
                </c:pt>
              </c:numCache>
            </c:numRef>
          </c:val>
          <c:extLst>
            <c:ext xmlns:c16="http://schemas.microsoft.com/office/drawing/2014/chart" uri="{C3380CC4-5D6E-409C-BE32-E72D297353CC}">
              <c16:uniqueId val="{00000001-7BD2-432C-ABE6-471C59576FF9}"/>
            </c:ext>
          </c:extLst>
        </c:ser>
        <c:dLbls>
          <c:showLegendKey val="0"/>
          <c:showVal val="0"/>
          <c:showCatName val="0"/>
          <c:showSerName val="0"/>
          <c:showPercent val="0"/>
          <c:showBubbleSize val="0"/>
        </c:dLbls>
        <c:gapWidth val="267"/>
        <c:overlap val="-43"/>
        <c:axId val="1310823520"/>
        <c:axId val="1310830592"/>
      </c:barChart>
      <c:catAx>
        <c:axId val="1310823520"/>
        <c:scaling>
          <c:orientation val="minMax"/>
        </c:scaling>
        <c:delete val="0"/>
        <c:axPos val="b"/>
        <c:majorGridlines>
          <c:spPr>
            <a:ln w="9525" cap="flat" cmpd="sng" algn="ctr">
              <a:solidFill>
                <a:schemeClr val="dk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r>
                  <a:rPr lang="fr-FR" sz="1000" b="0">
                    <a:latin typeface="Times New Roman" panose="02020603050405020304" pitchFamily="18" charset="0"/>
                    <a:cs typeface="Times New Roman" panose="02020603050405020304" pitchFamily="18" charset="0"/>
                  </a:rPr>
                  <a:t>Durée</a:t>
                </a:r>
                <a:r>
                  <a:rPr lang="fr-FR" sz="1000" b="0" baseline="0">
                    <a:latin typeface="Times New Roman" panose="02020603050405020304" pitchFamily="18" charset="0"/>
                    <a:cs typeface="Times New Roman" panose="02020603050405020304" pitchFamily="18" charset="0"/>
                  </a:rPr>
                  <a:t> (min)</a:t>
                </a:r>
                <a:endParaRPr lang="fr-FR" sz="1000" b="0">
                  <a:latin typeface="Times New Roman" panose="02020603050405020304" pitchFamily="18" charset="0"/>
                  <a:cs typeface="Times New Roman" panose="02020603050405020304" pitchFamily="18" charset="0"/>
                </a:endParaRPr>
              </a:p>
            </c:rich>
          </c:tx>
          <c:overlay val="0"/>
          <c:spPr>
            <a:noFill/>
            <a:ln>
              <a:noFill/>
            </a:ln>
            <a:effectLst/>
          </c:spPr>
        </c:title>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800" b="0" i="0" u="none" strike="noStrike" kern="1200" cap="none" spc="0" normalizeH="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fr-FR"/>
          </a:p>
        </c:txPr>
        <c:crossAx val="1310830592"/>
        <c:crosses val="autoZero"/>
        <c:auto val="1"/>
        <c:lblAlgn val="ctr"/>
        <c:lblOffset val="100"/>
        <c:noMultiLvlLbl val="0"/>
      </c:catAx>
      <c:valAx>
        <c:axId val="1310830592"/>
        <c:scaling>
          <c:orientation val="minMax"/>
          <c:max val="80"/>
        </c:scaling>
        <c:delete val="0"/>
        <c:axPos val="l"/>
        <c:majorGridlines>
          <c:spPr>
            <a:ln w="9525" cap="flat" cmpd="sng" algn="ctr">
              <a:solidFill>
                <a:schemeClr val="dk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r>
                  <a:rPr lang="fr-FR" sz="1000" b="0">
                    <a:latin typeface="Times New Roman" panose="02020603050405020304" pitchFamily="18" charset="0"/>
                    <a:cs typeface="Times New Roman" panose="02020603050405020304" pitchFamily="18" charset="0"/>
                  </a:rPr>
                  <a:t>Intensités (mm/h)</a:t>
                </a:r>
              </a:p>
            </c:rich>
          </c:tx>
          <c:layout>
            <c:manualLayout>
              <c:xMode val="edge"/>
              <c:yMode val="edge"/>
              <c:x val="1.4718610872185853E-2"/>
              <c:y val="0.3061236556210315"/>
            </c:manualLayout>
          </c:layout>
          <c:overlay val="0"/>
          <c:spPr>
            <a:noFill/>
            <a:ln>
              <a:noFill/>
            </a:ln>
            <a:effectLst/>
          </c:sp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fr-FR"/>
          </a:p>
        </c:txPr>
        <c:crossAx val="1310823520"/>
        <c:crosses val="autoZero"/>
        <c:crossBetween val="between"/>
      </c:valAx>
      <c:spPr>
        <a:pattFill prst="ltDnDiag">
          <a:fgClr>
            <a:schemeClr val="dk1">
              <a:lumMod val="15000"/>
              <a:lumOff val="85000"/>
            </a:schemeClr>
          </a:fgClr>
          <a:bgClr>
            <a:schemeClr val="lt1"/>
          </a:bgClr>
        </a:pattFill>
        <a:ln>
          <a:noFill/>
        </a:ln>
        <a:effectLst/>
      </c:spPr>
    </c:plotArea>
    <c:legend>
      <c:legendPos val="r"/>
      <c:overlay val="0"/>
      <c:spPr>
        <a:noFill/>
        <a:ln>
          <a:noFill/>
        </a:ln>
        <a:effectLst/>
      </c:spPr>
      <c:txPr>
        <a:bodyPr rot="0" spcFirstLastPara="1" vertOverflow="ellipsis" vert="horz" wrap="square" anchor="ctr" anchorCtr="1"/>
        <a:lstStyle/>
        <a:p>
          <a:pPr>
            <a:defRPr sz="800" b="0"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fr-FR"/>
        </a:p>
      </c:txPr>
    </c:legend>
    <c:plotVisOnly val="1"/>
    <c:dispBlanksAs val="gap"/>
    <c:showDLblsOverMax val="0"/>
  </c:chart>
  <c:spPr>
    <a:solidFill>
      <a:schemeClr val="lt1"/>
    </a:solidFill>
    <a:ln w="9525" cap="flat" cmpd="sng" algn="ctr">
      <a:solidFill>
        <a:schemeClr val="dk1">
          <a:lumMod val="15000"/>
          <a:lumOff val="85000"/>
        </a:schemeClr>
      </a:solidFill>
      <a:round/>
    </a:ln>
    <a:effectLst/>
  </c:spPr>
  <c:txPr>
    <a:bodyPr/>
    <a:lstStyle/>
    <a:p>
      <a:pPr>
        <a:defRPr/>
      </a:pPr>
      <a:endParaRPr lang="fr-FR"/>
    </a:p>
  </c:tx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Feuil2!$B$5</c:f>
              <c:strCache>
                <c:ptCount val="1"/>
                <c:pt idx="0">
                  <c:v>Natitingou I</c:v>
                </c:pt>
              </c:strCache>
            </c:strRef>
          </c:tx>
          <c:spPr>
            <a:pattFill prst="lgCheck">
              <a:fgClr>
                <a:schemeClr val="tx1"/>
              </a:fgClr>
              <a:bgClr>
                <a:schemeClr val="bg1"/>
              </a:bgClr>
            </a:pattFill>
            <a:ln>
              <a:solidFill>
                <a:schemeClr val="tx1"/>
              </a:solidFill>
            </a:ln>
            <a:effectLst/>
          </c:spPr>
          <c:invertIfNegative val="0"/>
          <c:cat>
            <c:numRef>
              <c:f>Feuil2!$C$4:$E$4</c:f>
              <c:numCache>
                <c:formatCode>General</c:formatCode>
                <c:ptCount val="3"/>
                <c:pt idx="0">
                  <c:v>1992</c:v>
                </c:pt>
                <c:pt idx="1">
                  <c:v>2002</c:v>
                </c:pt>
                <c:pt idx="2">
                  <c:v>2013</c:v>
                </c:pt>
              </c:numCache>
            </c:numRef>
          </c:cat>
          <c:val>
            <c:numRef>
              <c:f>Feuil2!$C$5:$E$5</c:f>
              <c:numCache>
                <c:formatCode>#,##0</c:formatCode>
                <c:ptCount val="3"/>
                <c:pt idx="0">
                  <c:v>7735</c:v>
                </c:pt>
                <c:pt idx="1">
                  <c:v>10012</c:v>
                </c:pt>
                <c:pt idx="2">
                  <c:v>12309</c:v>
                </c:pt>
              </c:numCache>
            </c:numRef>
          </c:val>
          <c:extLst>
            <c:ext xmlns:c16="http://schemas.microsoft.com/office/drawing/2014/chart" uri="{C3380CC4-5D6E-409C-BE32-E72D297353CC}">
              <c16:uniqueId val="{00000000-CBB9-4638-B485-CE100C79180B}"/>
            </c:ext>
          </c:extLst>
        </c:ser>
        <c:ser>
          <c:idx val="1"/>
          <c:order val="1"/>
          <c:tx>
            <c:strRef>
              <c:f>Feuil2!$B$6</c:f>
              <c:strCache>
                <c:ptCount val="1"/>
                <c:pt idx="0">
                  <c:v>Natitingou II</c:v>
                </c:pt>
              </c:strCache>
            </c:strRef>
          </c:tx>
          <c:spPr>
            <a:gradFill flip="none" rotWithShape="1">
              <a:gsLst>
                <a:gs pos="0">
                  <a:schemeClr val="accent4">
                    <a:lumMod val="67000"/>
                  </a:schemeClr>
                </a:gs>
                <a:gs pos="48000">
                  <a:schemeClr val="accent4">
                    <a:lumMod val="97000"/>
                    <a:lumOff val="3000"/>
                  </a:schemeClr>
                </a:gs>
                <a:gs pos="100000">
                  <a:schemeClr val="accent4">
                    <a:lumMod val="60000"/>
                    <a:lumOff val="40000"/>
                  </a:schemeClr>
                </a:gs>
              </a:gsLst>
              <a:lin ang="16200000" scaled="1"/>
              <a:tileRect/>
            </a:gradFill>
            <a:ln>
              <a:solidFill>
                <a:schemeClr val="tx1"/>
              </a:solidFill>
            </a:ln>
            <a:effectLst/>
          </c:spPr>
          <c:invertIfNegative val="0"/>
          <c:cat>
            <c:numRef>
              <c:f>Feuil2!$C$4:$E$4</c:f>
              <c:numCache>
                <c:formatCode>General</c:formatCode>
                <c:ptCount val="3"/>
                <c:pt idx="0">
                  <c:v>1992</c:v>
                </c:pt>
                <c:pt idx="1">
                  <c:v>2002</c:v>
                </c:pt>
                <c:pt idx="2">
                  <c:v>2013</c:v>
                </c:pt>
              </c:numCache>
            </c:numRef>
          </c:cat>
          <c:val>
            <c:numRef>
              <c:f>Feuil2!$C$6:$E$6</c:f>
              <c:numCache>
                <c:formatCode>#,##0</c:formatCode>
                <c:ptCount val="3"/>
                <c:pt idx="0">
                  <c:v>7197</c:v>
                </c:pt>
                <c:pt idx="1">
                  <c:v>10458</c:v>
                </c:pt>
                <c:pt idx="2">
                  <c:v>11551</c:v>
                </c:pt>
              </c:numCache>
            </c:numRef>
          </c:val>
          <c:extLst>
            <c:ext xmlns:c16="http://schemas.microsoft.com/office/drawing/2014/chart" uri="{C3380CC4-5D6E-409C-BE32-E72D297353CC}">
              <c16:uniqueId val="{00000001-CBB9-4638-B485-CE100C79180B}"/>
            </c:ext>
          </c:extLst>
        </c:ser>
        <c:ser>
          <c:idx val="2"/>
          <c:order val="2"/>
          <c:tx>
            <c:strRef>
              <c:f>Feuil2!$B$7</c:f>
              <c:strCache>
                <c:ptCount val="1"/>
                <c:pt idx="0">
                  <c:v>Natitingou III</c:v>
                </c:pt>
              </c:strCache>
            </c:strRef>
          </c:tx>
          <c:spPr>
            <a:pattFill prst="horzBrick">
              <a:fgClr>
                <a:schemeClr val="tx1"/>
              </a:fgClr>
              <a:bgClr>
                <a:schemeClr val="bg1"/>
              </a:bgClr>
            </a:pattFill>
            <a:ln>
              <a:solidFill>
                <a:schemeClr val="tx1"/>
              </a:solidFill>
            </a:ln>
            <a:effectLst/>
          </c:spPr>
          <c:invertIfNegative val="0"/>
          <c:cat>
            <c:numRef>
              <c:f>Feuil2!$C$4:$E$4</c:f>
              <c:numCache>
                <c:formatCode>General</c:formatCode>
                <c:ptCount val="3"/>
                <c:pt idx="0">
                  <c:v>1992</c:v>
                </c:pt>
                <c:pt idx="1">
                  <c:v>2002</c:v>
                </c:pt>
                <c:pt idx="2">
                  <c:v>2013</c:v>
                </c:pt>
              </c:numCache>
            </c:numRef>
          </c:cat>
          <c:val>
            <c:numRef>
              <c:f>Feuil2!$C$7:$E$7</c:f>
              <c:numCache>
                <c:formatCode>#,##0</c:formatCode>
                <c:ptCount val="3"/>
                <c:pt idx="0">
                  <c:v>9716</c:v>
                </c:pt>
                <c:pt idx="1">
                  <c:v>14559</c:v>
                </c:pt>
                <c:pt idx="2">
                  <c:v>22011</c:v>
                </c:pt>
              </c:numCache>
            </c:numRef>
          </c:val>
          <c:extLst>
            <c:ext xmlns:c16="http://schemas.microsoft.com/office/drawing/2014/chart" uri="{C3380CC4-5D6E-409C-BE32-E72D297353CC}">
              <c16:uniqueId val="{00000002-CBB9-4638-B485-CE100C79180B}"/>
            </c:ext>
          </c:extLst>
        </c:ser>
        <c:dLbls>
          <c:showLegendKey val="0"/>
          <c:showVal val="0"/>
          <c:showCatName val="0"/>
          <c:showSerName val="0"/>
          <c:showPercent val="0"/>
          <c:showBubbleSize val="0"/>
        </c:dLbls>
        <c:gapWidth val="300"/>
        <c:axId val="1310821344"/>
        <c:axId val="1310822432"/>
      </c:barChart>
      <c:catAx>
        <c:axId val="1310821344"/>
        <c:scaling>
          <c:orientation val="minMax"/>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Georgia" panose="02040502050405020303" pitchFamily="18" charset="0"/>
                    <a:ea typeface="+mn-ea"/>
                    <a:cs typeface="+mn-cs"/>
                  </a:defRPr>
                </a:pPr>
                <a:r>
                  <a:rPr lang="fr-FR"/>
                  <a:t>Années</a:t>
                </a:r>
              </a:p>
            </c:rich>
          </c:tx>
          <c:layout>
            <c:manualLayout>
              <c:xMode val="edge"/>
              <c:yMode val="edge"/>
              <c:x val="0.50518635170603676"/>
              <c:y val="0.91571741032370957"/>
            </c:manualLayout>
          </c:layout>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Georgia" panose="02040502050405020303" pitchFamily="18" charset="0"/>
                  <a:ea typeface="+mn-ea"/>
                  <a:cs typeface="+mn-cs"/>
                </a:defRPr>
              </a:pPr>
              <a:endParaRPr lang="fr-FR"/>
            </a:p>
          </c:txPr>
        </c:title>
        <c:numFmt formatCode="General" sourceLinked="1"/>
        <c:majorTickMark val="out"/>
        <c:minorTickMark val="none"/>
        <c:tickLblPos val="nextTo"/>
        <c:spPr>
          <a:noFill/>
          <a:ln w="9525" cap="flat" cmpd="sng" algn="ctr">
            <a:solidFill>
              <a:sysClr val="windowText" lastClr="000000"/>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Georgia" panose="02040502050405020303" pitchFamily="18" charset="0"/>
                <a:ea typeface="+mn-ea"/>
                <a:cs typeface="+mn-cs"/>
              </a:defRPr>
            </a:pPr>
            <a:endParaRPr lang="fr-FR"/>
          </a:p>
        </c:txPr>
        <c:crossAx val="1310822432"/>
        <c:crosses val="autoZero"/>
        <c:auto val="1"/>
        <c:lblAlgn val="ctr"/>
        <c:lblOffset val="100"/>
        <c:noMultiLvlLbl val="0"/>
      </c:catAx>
      <c:valAx>
        <c:axId val="1310822432"/>
        <c:scaling>
          <c:orientation val="minMax"/>
        </c:scaling>
        <c:delete val="0"/>
        <c:axPos val="l"/>
        <c:title>
          <c:tx>
            <c:rich>
              <a:bodyPr rot="-5400000" spcFirstLastPara="1" vertOverflow="ellipsis" vert="horz" wrap="square" anchor="ctr" anchorCtr="1"/>
              <a:lstStyle/>
              <a:p>
                <a:pPr>
                  <a:defRPr sz="1000" b="0" i="0" u="none" strike="noStrike" kern="1200" baseline="0">
                    <a:solidFill>
                      <a:sysClr val="windowText" lastClr="000000"/>
                    </a:solidFill>
                    <a:latin typeface="Georgia" panose="02040502050405020303" pitchFamily="18" charset="0"/>
                    <a:ea typeface="+mn-ea"/>
                    <a:cs typeface="+mn-cs"/>
                  </a:defRPr>
                </a:pPr>
                <a:r>
                  <a:rPr lang="fr-FR"/>
                  <a:t>Nombre d'habitants (hbts) </a:t>
                </a:r>
              </a:p>
            </c:rich>
          </c:tx>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Georgia" panose="02040502050405020303" pitchFamily="18" charset="0"/>
                  <a:ea typeface="+mn-ea"/>
                  <a:cs typeface="+mn-cs"/>
                </a:defRPr>
              </a:pPr>
              <a:endParaRPr lang="fr-FR"/>
            </a:p>
          </c:txPr>
        </c:title>
        <c:numFmt formatCode="#,##0" sourceLinked="1"/>
        <c:majorTickMark val="out"/>
        <c:minorTickMark val="none"/>
        <c:tickLblPos val="nextTo"/>
        <c:spPr>
          <a:noFill/>
          <a:ln>
            <a:solidFill>
              <a:sysClr val="windowText" lastClr="000000"/>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Georgia" panose="02040502050405020303" pitchFamily="18" charset="0"/>
                <a:ea typeface="+mn-ea"/>
                <a:cs typeface="+mn-cs"/>
              </a:defRPr>
            </a:pPr>
            <a:endParaRPr lang="fr-FR"/>
          </a:p>
        </c:txPr>
        <c:crossAx val="1310821344"/>
        <c:crosses val="autoZero"/>
        <c:crossBetween val="between"/>
      </c:valAx>
      <c:spPr>
        <a:noFill/>
        <a:ln>
          <a:solidFill>
            <a:schemeClr val="tx1"/>
          </a:solidFill>
        </a:ln>
        <a:effectLst/>
      </c:spPr>
    </c:plotArea>
    <c:legend>
      <c:legendPos val="t"/>
      <c:layout>
        <c:manualLayout>
          <c:xMode val="edge"/>
          <c:yMode val="edge"/>
          <c:x val="0.22409098862642171"/>
          <c:y val="2.7777777777777776E-2"/>
          <c:w val="0.62404024496937882"/>
          <c:h val="7.8125546806649168E-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Georgia" panose="02040502050405020303" pitchFamily="18" charset="0"/>
              <a:ea typeface="+mn-ea"/>
              <a:cs typeface="+mn-cs"/>
            </a:defRPr>
          </a:pPr>
          <a:endParaRPr lang="fr-FR"/>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solidFill>
      <a:round/>
    </a:ln>
    <a:effectLst/>
  </c:spPr>
  <c:txPr>
    <a:bodyPr/>
    <a:lstStyle/>
    <a:p>
      <a:pPr>
        <a:defRPr>
          <a:solidFill>
            <a:sysClr val="windowText" lastClr="000000"/>
          </a:solidFill>
          <a:latin typeface="Georgia" panose="02040502050405020303" pitchFamily="18" charset="0"/>
        </a:defRPr>
      </a:pPr>
      <a:endParaRPr lang="fr-FR"/>
    </a:p>
  </c:txPr>
  <c:externalData r:id="rId4">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1"/>
          <c:order val="0"/>
          <c:spPr>
            <a:ln w="28575" cap="rnd" cmpd="dbl">
              <a:solidFill>
                <a:schemeClr val="tx1"/>
              </a:solidFill>
              <a:prstDash val="sysDash"/>
              <a:round/>
              <a:tailEnd type="triangle"/>
            </a:ln>
            <a:effectLst/>
          </c:spPr>
          <c:marker>
            <c:symbol val="circle"/>
            <c:size val="5"/>
            <c:spPr>
              <a:solidFill>
                <a:schemeClr val="tx1"/>
              </a:solidFill>
              <a:ln w="9525">
                <a:solidFill>
                  <a:schemeClr val="tx1"/>
                </a:solidFill>
              </a:ln>
              <a:effectLst/>
            </c:spPr>
          </c:marker>
          <c:cat>
            <c:numRef>
              <c:f>Feuil3!$G$11:$M$11</c:f>
              <c:numCache>
                <c:formatCode>General</c:formatCode>
                <c:ptCount val="7"/>
                <c:pt idx="0">
                  <c:v>1992</c:v>
                </c:pt>
                <c:pt idx="1">
                  <c:v>2002</c:v>
                </c:pt>
                <c:pt idx="2">
                  <c:v>2013</c:v>
                </c:pt>
                <c:pt idx="3">
                  <c:v>2020</c:v>
                </c:pt>
                <c:pt idx="4">
                  <c:v>2025</c:v>
                </c:pt>
                <c:pt idx="5">
                  <c:v>2030</c:v>
                </c:pt>
                <c:pt idx="6">
                  <c:v>2035</c:v>
                </c:pt>
              </c:numCache>
            </c:numRef>
          </c:cat>
          <c:val>
            <c:numRef>
              <c:f>Feuil3!$G$12:$M$12</c:f>
              <c:numCache>
                <c:formatCode>General</c:formatCode>
                <c:ptCount val="7"/>
                <c:pt idx="0">
                  <c:v>29373</c:v>
                </c:pt>
                <c:pt idx="1">
                  <c:v>35029</c:v>
                </c:pt>
                <c:pt idx="2">
                  <c:v>45813</c:v>
                </c:pt>
                <c:pt idx="3">
                  <c:v>55881</c:v>
                </c:pt>
                <c:pt idx="4">
                  <c:v>64343</c:v>
                </c:pt>
                <c:pt idx="5">
                  <c:v>74084</c:v>
                </c:pt>
                <c:pt idx="6">
                  <c:v>85303</c:v>
                </c:pt>
              </c:numCache>
            </c:numRef>
          </c:val>
          <c:smooth val="0"/>
          <c:extLst>
            <c:ext xmlns:c16="http://schemas.microsoft.com/office/drawing/2014/chart" uri="{C3380CC4-5D6E-409C-BE32-E72D297353CC}">
              <c16:uniqueId val="{00000000-846B-4B79-BF58-BACC02D30524}"/>
            </c:ext>
          </c:extLst>
        </c:ser>
        <c:dLbls>
          <c:showLegendKey val="0"/>
          <c:showVal val="0"/>
          <c:showCatName val="0"/>
          <c:showSerName val="0"/>
          <c:showPercent val="0"/>
          <c:showBubbleSize val="0"/>
        </c:dLbls>
        <c:marker val="1"/>
        <c:smooth val="0"/>
        <c:axId val="1444514960"/>
        <c:axId val="1444519856"/>
      </c:lineChart>
      <c:catAx>
        <c:axId val="144451496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fr-FR"/>
                  <a:t>Années</a:t>
                </a:r>
              </a:p>
            </c:rich>
          </c:tx>
          <c:layout>
            <c:manualLayout>
              <c:xMode val="edge"/>
              <c:yMode val="edge"/>
              <c:x val="0.49275012525401879"/>
              <c:y val="0.9352463704551045"/>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fr-FR"/>
            </a:p>
          </c:txPr>
        </c:title>
        <c:numFmt formatCode="General" sourceLinked="1"/>
        <c:majorTickMark val="cross"/>
        <c:minorTickMark val="cross"/>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1444519856"/>
        <c:crosses val="autoZero"/>
        <c:auto val="0"/>
        <c:lblAlgn val="ctr"/>
        <c:lblOffset val="100"/>
        <c:noMultiLvlLbl val="0"/>
      </c:catAx>
      <c:valAx>
        <c:axId val="1444519856"/>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fr-FR"/>
                  <a:t>Population</a:t>
                </a:r>
                <a:r>
                  <a:rPr lang="fr-FR" baseline="0"/>
                  <a:t> (hbts)</a:t>
                </a:r>
                <a:endParaRPr lang="fr-F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fr-FR"/>
            </a:p>
          </c:txPr>
        </c:title>
        <c:numFmt formatCode="General" sourceLinked="1"/>
        <c:majorTickMark val="out"/>
        <c:minorTickMark val="cross"/>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1444514960"/>
        <c:crosses val="autoZero"/>
        <c:crossBetween val="between"/>
      </c:valAx>
      <c:spPr>
        <a:noFill/>
        <a:ln>
          <a:solidFill>
            <a:schemeClr val="tx1"/>
          </a:solid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solidFill>
      <a:round/>
    </a:ln>
    <a:effectLst/>
  </c:spPr>
  <c:txPr>
    <a:bodyPr/>
    <a:lstStyle/>
    <a:p>
      <a:pPr>
        <a:defRPr/>
      </a:pPr>
      <a:endParaRPr lang="fr-FR"/>
    </a:p>
  </c:txPr>
  <c:externalData r:id="rId4">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solidFill>
              <a:srgbClr val="5B9BD5"/>
            </a:solidFill>
            <a:ln>
              <a:noFill/>
            </a:ln>
            <a:effectLst/>
          </c:spPr>
          <c:invertIfNegative val="0"/>
          <c:cat>
            <c:strRef>
              <c:f>Feuil4!$F$1:$F$17</c:f>
              <c:strCache>
                <c:ptCount val="17"/>
                <c:pt idx="0">
                  <c:v>Anacardiaceae</c:v>
                </c:pt>
                <c:pt idx="1">
                  <c:v>Legum-Caesal</c:v>
                </c:pt>
                <c:pt idx="2">
                  <c:v>Legum-Mimo</c:v>
                </c:pt>
                <c:pt idx="3">
                  <c:v>Meliaceae</c:v>
                </c:pt>
                <c:pt idx="4">
                  <c:v>Verbenaceae</c:v>
                </c:pt>
                <c:pt idx="5">
                  <c:v>Musaceae</c:v>
                </c:pt>
                <c:pt idx="6">
                  <c:v>Rutaceae</c:v>
                </c:pt>
                <c:pt idx="7">
                  <c:v>Combretaceae</c:v>
                </c:pt>
                <c:pt idx="8">
                  <c:v>Arecaceae</c:v>
                </c:pt>
                <c:pt idx="9">
                  <c:v>Sapotaceae</c:v>
                </c:pt>
                <c:pt idx="10">
                  <c:v>Bombacaceae</c:v>
                </c:pt>
                <c:pt idx="11">
                  <c:v>Myrtaceae</c:v>
                </c:pt>
                <c:pt idx="12">
                  <c:v>Apocynaceae</c:v>
                </c:pt>
                <c:pt idx="13">
                  <c:v>Boraginaceae</c:v>
                </c:pt>
                <c:pt idx="14">
                  <c:v>Caricaceae</c:v>
                </c:pt>
                <c:pt idx="15">
                  <c:v>Gentianaceae</c:v>
                </c:pt>
                <c:pt idx="16">
                  <c:v>Lauraceae</c:v>
                </c:pt>
              </c:strCache>
            </c:strRef>
          </c:cat>
          <c:val>
            <c:numRef>
              <c:f>Feuil4!$G$1:$G$17</c:f>
              <c:numCache>
                <c:formatCode>General</c:formatCode>
                <c:ptCount val="17"/>
                <c:pt idx="0">
                  <c:v>21.316614420062695</c:v>
                </c:pt>
                <c:pt idx="1">
                  <c:v>20.689655172413794</c:v>
                </c:pt>
                <c:pt idx="2">
                  <c:v>16.927899686520377</c:v>
                </c:pt>
                <c:pt idx="3">
                  <c:v>10.9717868338558</c:v>
                </c:pt>
                <c:pt idx="4">
                  <c:v>7.523510971786834</c:v>
                </c:pt>
                <c:pt idx="5">
                  <c:v>7.2100313479623823</c:v>
                </c:pt>
                <c:pt idx="6">
                  <c:v>3.1347962382445136</c:v>
                </c:pt>
                <c:pt idx="7">
                  <c:v>2.507836990595611</c:v>
                </c:pt>
                <c:pt idx="8">
                  <c:v>1.8808777429467085</c:v>
                </c:pt>
                <c:pt idx="9">
                  <c:v>1.8808777429467085</c:v>
                </c:pt>
                <c:pt idx="10">
                  <c:v>1.2539184952978055</c:v>
                </c:pt>
                <c:pt idx="11">
                  <c:v>1.2539184952978055</c:v>
                </c:pt>
                <c:pt idx="12">
                  <c:v>0.94043887147335425</c:v>
                </c:pt>
                <c:pt idx="13">
                  <c:v>0.62695924764890276</c:v>
                </c:pt>
                <c:pt idx="14">
                  <c:v>0.62695924764890276</c:v>
                </c:pt>
                <c:pt idx="15">
                  <c:v>0.62695924764890276</c:v>
                </c:pt>
                <c:pt idx="16">
                  <c:v>0.62695924764890276</c:v>
                </c:pt>
              </c:numCache>
            </c:numRef>
          </c:val>
          <c:extLst>
            <c:ext xmlns:c16="http://schemas.microsoft.com/office/drawing/2014/chart" uri="{C3380CC4-5D6E-409C-BE32-E72D297353CC}">
              <c16:uniqueId val="{00000000-E64B-4C04-85A4-E9EB273FDF7A}"/>
            </c:ext>
          </c:extLst>
        </c:ser>
        <c:dLbls>
          <c:showLegendKey val="0"/>
          <c:showVal val="0"/>
          <c:showCatName val="0"/>
          <c:showSerName val="0"/>
          <c:showPercent val="0"/>
          <c:showBubbleSize val="0"/>
        </c:dLbls>
        <c:gapWidth val="219"/>
        <c:overlap val="-27"/>
        <c:axId val="1444512240"/>
        <c:axId val="1207011056"/>
      </c:barChart>
      <c:catAx>
        <c:axId val="1444512240"/>
        <c:scaling>
          <c:orientation val="minMax"/>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fr-FR"/>
                  <a:t>Familles</a:t>
                </a:r>
              </a:p>
            </c:rich>
          </c:tx>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fr-FR"/>
            </a:p>
          </c:txPr>
        </c:title>
        <c:numFmt formatCode="General" sourceLinked="1"/>
        <c:majorTickMark val="out"/>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fr-FR"/>
          </a:p>
        </c:txPr>
        <c:crossAx val="1207011056"/>
        <c:crosses val="autoZero"/>
        <c:auto val="1"/>
        <c:lblAlgn val="ctr"/>
        <c:lblOffset val="100"/>
        <c:noMultiLvlLbl val="0"/>
      </c:catAx>
      <c:valAx>
        <c:axId val="1207011056"/>
        <c:scaling>
          <c:orientation val="minMax"/>
        </c:scaling>
        <c:delete val="0"/>
        <c:axPos val="l"/>
        <c:title>
          <c:tx>
            <c:rich>
              <a:bodyPr rot="-54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fr-FR"/>
                  <a:t>Proportion (%)</a:t>
                </a:r>
              </a:p>
            </c:rich>
          </c:tx>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fr-FR"/>
            </a:p>
          </c:txPr>
        </c:title>
        <c:numFmt formatCode="General" sourceLinked="1"/>
        <c:majorTickMark val="out"/>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fr-FR"/>
          </a:p>
        </c:txPr>
        <c:crossAx val="144451224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solidFill>
      <a:round/>
    </a:ln>
    <a:effectLst/>
  </c:spPr>
  <c:txPr>
    <a:bodyPr/>
    <a:lstStyle/>
    <a:p>
      <a:pPr>
        <a:defRPr>
          <a:solidFill>
            <a:sysClr val="windowText" lastClr="000000"/>
          </a:solidFill>
          <a:latin typeface="Arial" panose="020B0604020202020204" pitchFamily="34" charset="0"/>
          <a:cs typeface="Arial" panose="020B0604020202020204" pitchFamily="34" charset="0"/>
        </a:defRPr>
      </a:pPr>
      <a:endParaRPr lang="fr-FR"/>
    </a:p>
  </c:txPr>
  <c:externalData r:id="rId4">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solidFill>
              <a:schemeClr val="accent1">
                <a:lumMod val="75000"/>
              </a:schemeClr>
            </a:solidFill>
            <a:ln>
              <a:noFill/>
            </a:ln>
            <a:effectLst/>
          </c:spPr>
          <c:invertIfNegative val="0"/>
          <c:cat>
            <c:strRef>
              <c:f>Feuil2!$P$8:$P$12</c:f>
              <c:strCache>
                <c:ptCount val="5"/>
                <c:pt idx="0">
                  <c:v>de 0 à 5 ans </c:v>
                </c:pt>
                <c:pt idx="1">
                  <c:v> + de 20 ans</c:v>
                </c:pt>
                <c:pt idx="2">
                  <c:v>de 5 à 10 ans</c:v>
                </c:pt>
                <c:pt idx="3">
                  <c:v>de 10 à 15 ans</c:v>
                </c:pt>
                <c:pt idx="4">
                  <c:v>de 15 à 20 ans</c:v>
                </c:pt>
              </c:strCache>
            </c:strRef>
          </c:cat>
          <c:val>
            <c:numRef>
              <c:f>Feuil2!$R$8:$R$12</c:f>
              <c:numCache>
                <c:formatCode>General</c:formatCode>
                <c:ptCount val="5"/>
                <c:pt idx="0">
                  <c:v>33.578431372549019</c:v>
                </c:pt>
                <c:pt idx="1">
                  <c:v>31.862745098039213</c:v>
                </c:pt>
                <c:pt idx="2">
                  <c:v>15.196078431372548</c:v>
                </c:pt>
                <c:pt idx="3">
                  <c:v>11.274509803921569</c:v>
                </c:pt>
                <c:pt idx="4">
                  <c:v>8.0882352941176467</c:v>
                </c:pt>
              </c:numCache>
            </c:numRef>
          </c:val>
          <c:extLst>
            <c:ext xmlns:c16="http://schemas.microsoft.com/office/drawing/2014/chart" uri="{C3380CC4-5D6E-409C-BE32-E72D297353CC}">
              <c16:uniqueId val="{00000000-9C26-4D4B-A117-82EF0F9E5EC2}"/>
            </c:ext>
          </c:extLst>
        </c:ser>
        <c:dLbls>
          <c:showLegendKey val="0"/>
          <c:showVal val="0"/>
          <c:showCatName val="0"/>
          <c:showSerName val="0"/>
          <c:showPercent val="0"/>
          <c:showBubbleSize val="0"/>
        </c:dLbls>
        <c:gapWidth val="150"/>
        <c:axId val="1207007248"/>
        <c:axId val="1207019216"/>
      </c:barChart>
      <c:catAx>
        <c:axId val="1207007248"/>
        <c:scaling>
          <c:orientation val="minMax"/>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fr-FR"/>
                  <a:t>Durée d'installation</a:t>
                </a:r>
              </a:p>
            </c:rich>
          </c:tx>
          <c:layout>
            <c:manualLayout>
              <c:xMode val="edge"/>
              <c:yMode val="edge"/>
              <c:x val="0.38225962379702544"/>
              <c:y val="0.89913641003207934"/>
            </c:manualLayout>
          </c:layout>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fr-FR"/>
            </a:p>
          </c:txPr>
        </c:title>
        <c:numFmt formatCode="General" sourceLinked="1"/>
        <c:majorTickMark val="out"/>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fr-FR"/>
          </a:p>
        </c:txPr>
        <c:crossAx val="1207019216"/>
        <c:crosses val="autoZero"/>
        <c:auto val="1"/>
        <c:lblAlgn val="ctr"/>
        <c:lblOffset val="100"/>
        <c:noMultiLvlLbl val="0"/>
      </c:catAx>
      <c:valAx>
        <c:axId val="1207019216"/>
        <c:scaling>
          <c:orientation val="minMax"/>
        </c:scaling>
        <c:delete val="0"/>
        <c:axPos val="l"/>
        <c:title>
          <c:tx>
            <c:rich>
              <a:bodyPr rot="-54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fr-FR"/>
                  <a:t>Proportion</a:t>
                </a:r>
              </a:p>
            </c:rich>
          </c:tx>
          <c:layout>
            <c:manualLayout>
              <c:xMode val="edge"/>
              <c:yMode val="edge"/>
              <c:x val="2.2222222222222223E-2"/>
              <c:y val="0.37127296587926506"/>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fr-FR"/>
            </a:p>
          </c:txPr>
        </c:title>
        <c:numFmt formatCode="General" sourceLinked="1"/>
        <c:majorTickMark val="out"/>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fr-FR"/>
          </a:p>
        </c:txPr>
        <c:crossAx val="120700724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solidFill>
      <a:round/>
    </a:ln>
    <a:effectLst/>
  </c:spPr>
  <c:txPr>
    <a:bodyPr/>
    <a:lstStyle/>
    <a:p>
      <a:pPr>
        <a:defRPr>
          <a:solidFill>
            <a:sysClr val="windowText" lastClr="000000"/>
          </a:solidFill>
          <a:latin typeface="Arial" panose="020B0604020202020204" pitchFamily="34" charset="0"/>
          <a:cs typeface="Arial" panose="020B0604020202020204" pitchFamily="34" charset="0"/>
        </a:defRPr>
      </a:pPr>
      <a:endParaRPr lang="fr-FR"/>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345">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1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19BA9B26-B88B-4FEF-85B1-8828AE0BD121}" type="doc">
      <dgm:prSet loTypeId="urn:microsoft.com/office/officeart/2005/8/layout/hierarchy6" loCatId="hierarchy" qsTypeId="urn:microsoft.com/office/officeart/2005/8/quickstyle/simple3" qsCatId="simple" csTypeId="urn:microsoft.com/office/officeart/2005/8/colors/colorful2" csCatId="colorful" phldr="1"/>
      <dgm:spPr/>
      <dgm:t>
        <a:bodyPr/>
        <a:lstStyle/>
        <a:p>
          <a:endParaRPr lang="fr-FR"/>
        </a:p>
      </dgm:t>
    </dgm:pt>
    <dgm:pt modelId="{5DBE99B2-EB55-41D5-9164-11017B3B5EC4}">
      <dgm:prSet phldrT="[Texte]" custT="1"/>
      <dgm:spPr/>
      <dgm:t>
        <a:bodyPr/>
        <a:lstStyle/>
        <a:p>
          <a:r>
            <a:rPr lang="fr-FR" sz="1400"/>
            <a:t>Comité de Pilotage du PAPVS</a:t>
          </a:r>
        </a:p>
        <a:p>
          <a:r>
            <a:rPr lang="fr-FR" sz="1200"/>
            <a:t>[ CA de l'ACVDT + Mairies Concernées ]</a:t>
          </a:r>
        </a:p>
      </dgm:t>
    </dgm:pt>
    <dgm:pt modelId="{4091FEA4-F3A8-4899-940B-91F16346BBD7}" type="parTrans" cxnId="{161CB4C5-1C9C-408F-905A-A10E78A14589}">
      <dgm:prSet/>
      <dgm:spPr/>
      <dgm:t>
        <a:bodyPr/>
        <a:lstStyle/>
        <a:p>
          <a:endParaRPr lang="fr-FR"/>
        </a:p>
      </dgm:t>
    </dgm:pt>
    <dgm:pt modelId="{D7C95DFA-2536-4E1B-9457-18190BC63B20}" type="sibTrans" cxnId="{161CB4C5-1C9C-408F-905A-A10E78A14589}">
      <dgm:prSet/>
      <dgm:spPr/>
      <dgm:t>
        <a:bodyPr/>
        <a:lstStyle/>
        <a:p>
          <a:endParaRPr lang="fr-FR"/>
        </a:p>
      </dgm:t>
    </dgm:pt>
    <dgm:pt modelId="{DEECAC2C-41E0-4611-B024-5407FBB23FA0}">
      <dgm:prSet phldrT="[Texte]" custT="1"/>
      <dgm:spPr/>
      <dgm:t>
        <a:bodyPr/>
        <a:lstStyle/>
        <a:p>
          <a:r>
            <a:rPr lang="fr-FR" sz="1500"/>
            <a:t>Comité Technique de Suivi </a:t>
          </a:r>
        </a:p>
        <a:p>
          <a:r>
            <a:rPr lang="fr-FR" sz="1200"/>
            <a:t>[ ACVDT  étendue au besoin  aux structures ressources]</a:t>
          </a:r>
        </a:p>
      </dgm:t>
    </dgm:pt>
    <dgm:pt modelId="{7ED4588E-4DA9-4A3C-BD52-53CC5B97F9E4}" type="sibTrans" cxnId="{C0DE8A35-37EB-4EF1-9E35-46B04A8E8570}">
      <dgm:prSet/>
      <dgm:spPr/>
      <dgm:t>
        <a:bodyPr/>
        <a:lstStyle/>
        <a:p>
          <a:endParaRPr lang="fr-FR"/>
        </a:p>
      </dgm:t>
    </dgm:pt>
    <dgm:pt modelId="{2ACE4CCD-FB2D-4305-997D-F56DAA20E8A8}" type="parTrans" cxnId="{C0DE8A35-37EB-4EF1-9E35-46B04A8E8570}">
      <dgm:prSet/>
      <dgm:spPr/>
      <dgm:t>
        <a:bodyPr/>
        <a:lstStyle/>
        <a:p>
          <a:endParaRPr lang="fr-FR"/>
        </a:p>
      </dgm:t>
    </dgm:pt>
    <dgm:pt modelId="{BBB581B8-84A3-4F7D-87F0-C29D7DB2B607}">
      <dgm:prSet phldrT="[Texte]" custT="1"/>
      <dgm:spPr/>
      <dgm:t>
        <a:bodyPr/>
        <a:lstStyle/>
        <a:p>
          <a:r>
            <a:rPr lang="fr-FR" sz="1400"/>
            <a:t>POOL PAPVS</a:t>
          </a:r>
        </a:p>
        <a:p>
          <a:r>
            <a:rPr lang="fr-FR" sz="1200"/>
            <a:t>[ Experts de l'ACVDT dédiés au PAPC ]</a:t>
          </a:r>
        </a:p>
      </dgm:t>
    </dgm:pt>
    <dgm:pt modelId="{3881F583-7CFE-4084-AD23-CA724D6F4BB1}" type="sibTrans" cxnId="{BE5EFD67-FC4B-469E-A9A1-4619E266E2B2}">
      <dgm:prSet/>
      <dgm:spPr/>
      <dgm:t>
        <a:bodyPr/>
        <a:lstStyle/>
        <a:p>
          <a:endParaRPr lang="fr-FR"/>
        </a:p>
      </dgm:t>
    </dgm:pt>
    <dgm:pt modelId="{CFF5855D-FB33-449B-944A-9AE0CD9EADB4}" type="parTrans" cxnId="{BE5EFD67-FC4B-469E-A9A1-4619E266E2B2}">
      <dgm:prSet/>
      <dgm:spPr/>
      <dgm:t>
        <a:bodyPr/>
        <a:lstStyle/>
        <a:p>
          <a:endParaRPr lang="fr-FR"/>
        </a:p>
      </dgm:t>
    </dgm:pt>
    <dgm:pt modelId="{4CDC6BEF-6906-4732-8BA4-1DAE4FE69EF1}">
      <dgm:prSet phldrT="[Texte]" custT="1"/>
      <dgm:spPr/>
      <dgm:t>
        <a:bodyPr/>
        <a:lstStyle/>
        <a:p>
          <a:r>
            <a:rPr lang="fr-FR" sz="1200"/>
            <a:t>ASSISTANT TECHNIQUE AU MAITRE D'OUVRAGE ( AMO) </a:t>
          </a:r>
        </a:p>
      </dgm:t>
    </dgm:pt>
    <dgm:pt modelId="{D4909020-D116-4D67-9843-DA232950C0A6}" type="sibTrans" cxnId="{D13B1189-2950-4420-9AFF-80AD5D77B24B}">
      <dgm:prSet/>
      <dgm:spPr/>
      <dgm:t>
        <a:bodyPr/>
        <a:lstStyle/>
        <a:p>
          <a:endParaRPr lang="fr-FR"/>
        </a:p>
      </dgm:t>
    </dgm:pt>
    <dgm:pt modelId="{D17D7FC0-1F08-4935-B9FA-322EE0EE799F}" type="parTrans" cxnId="{D13B1189-2950-4420-9AFF-80AD5D77B24B}">
      <dgm:prSet/>
      <dgm:spPr/>
      <dgm:t>
        <a:bodyPr/>
        <a:lstStyle/>
        <a:p>
          <a:endParaRPr lang="fr-FR"/>
        </a:p>
      </dgm:t>
    </dgm:pt>
    <dgm:pt modelId="{B578A6E2-A9DC-4575-A514-4E138BE641E9}" type="pres">
      <dgm:prSet presAssocID="{19BA9B26-B88B-4FEF-85B1-8828AE0BD121}" presName="mainComposite" presStyleCnt="0">
        <dgm:presLayoutVars>
          <dgm:chPref val="1"/>
          <dgm:dir/>
          <dgm:animOne val="branch"/>
          <dgm:animLvl val="lvl"/>
          <dgm:resizeHandles val="exact"/>
        </dgm:presLayoutVars>
      </dgm:prSet>
      <dgm:spPr/>
      <dgm:t>
        <a:bodyPr/>
        <a:lstStyle/>
        <a:p>
          <a:endParaRPr lang="fr-FR"/>
        </a:p>
      </dgm:t>
    </dgm:pt>
    <dgm:pt modelId="{A9166FEA-A28A-49E7-B25F-4D3D53D290DC}" type="pres">
      <dgm:prSet presAssocID="{19BA9B26-B88B-4FEF-85B1-8828AE0BD121}" presName="hierFlow" presStyleCnt="0"/>
      <dgm:spPr/>
      <dgm:t>
        <a:bodyPr/>
        <a:lstStyle/>
        <a:p>
          <a:endParaRPr lang="fr-FR"/>
        </a:p>
      </dgm:t>
    </dgm:pt>
    <dgm:pt modelId="{1175B731-FF9B-4DAF-AB27-CF62D31CB6D3}" type="pres">
      <dgm:prSet presAssocID="{19BA9B26-B88B-4FEF-85B1-8828AE0BD121}" presName="hierChild1" presStyleCnt="0">
        <dgm:presLayoutVars>
          <dgm:chPref val="1"/>
          <dgm:animOne val="branch"/>
          <dgm:animLvl val="lvl"/>
        </dgm:presLayoutVars>
      </dgm:prSet>
      <dgm:spPr/>
      <dgm:t>
        <a:bodyPr/>
        <a:lstStyle/>
        <a:p>
          <a:endParaRPr lang="fr-FR"/>
        </a:p>
      </dgm:t>
    </dgm:pt>
    <dgm:pt modelId="{16956789-BBC7-4399-8A35-B77324EFBFD4}" type="pres">
      <dgm:prSet presAssocID="{5DBE99B2-EB55-41D5-9164-11017B3B5EC4}" presName="Name14" presStyleCnt="0"/>
      <dgm:spPr/>
      <dgm:t>
        <a:bodyPr/>
        <a:lstStyle/>
        <a:p>
          <a:endParaRPr lang="fr-FR"/>
        </a:p>
      </dgm:t>
    </dgm:pt>
    <dgm:pt modelId="{A4A902F8-02A5-4A4A-AB04-53A4416C8C4C}" type="pres">
      <dgm:prSet presAssocID="{5DBE99B2-EB55-41D5-9164-11017B3B5EC4}" presName="level1Shape" presStyleLbl="node0" presStyleIdx="0" presStyleCnt="1" custScaleX="234936">
        <dgm:presLayoutVars>
          <dgm:chPref val="3"/>
        </dgm:presLayoutVars>
      </dgm:prSet>
      <dgm:spPr/>
      <dgm:t>
        <a:bodyPr/>
        <a:lstStyle/>
        <a:p>
          <a:endParaRPr lang="fr-FR"/>
        </a:p>
      </dgm:t>
    </dgm:pt>
    <dgm:pt modelId="{1898E245-ACD3-408D-8C24-C7CE5FFE23AF}" type="pres">
      <dgm:prSet presAssocID="{5DBE99B2-EB55-41D5-9164-11017B3B5EC4}" presName="hierChild2" presStyleCnt="0"/>
      <dgm:spPr/>
      <dgm:t>
        <a:bodyPr/>
        <a:lstStyle/>
        <a:p>
          <a:endParaRPr lang="fr-FR"/>
        </a:p>
      </dgm:t>
    </dgm:pt>
    <dgm:pt modelId="{88710BCF-CA78-49F5-AE17-8F4F2077A070}" type="pres">
      <dgm:prSet presAssocID="{2ACE4CCD-FB2D-4305-997D-F56DAA20E8A8}" presName="Name19" presStyleLbl="parChTrans1D2" presStyleIdx="0" presStyleCnt="1"/>
      <dgm:spPr/>
      <dgm:t>
        <a:bodyPr/>
        <a:lstStyle/>
        <a:p>
          <a:endParaRPr lang="fr-FR"/>
        </a:p>
      </dgm:t>
    </dgm:pt>
    <dgm:pt modelId="{7E68D02D-DF34-4704-AB71-07674E029CAA}" type="pres">
      <dgm:prSet presAssocID="{DEECAC2C-41E0-4611-B024-5407FBB23FA0}" presName="Name21" presStyleCnt="0"/>
      <dgm:spPr/>
      <dgm:t>
        <a:bodyPr/>
        <a:lstStyle/>
        <a:p>
          <a:endParaRPr lang="fr-FR"/>
        </a:p>
      </dgm:t>
    </dgm:pt>
    <dgm:pt modelId="{D11EE648-8882-4EFA-8446-2708778EF0F0}" type="pres">
      <dgm:prSet presAssocID="{DEECAC2C-41E0-4611-B024-5407FBB23FA0}" presName="level2Shape" presStyleLbl="node2" presStyleIdx="0" presStyleCnt="1" custScaleX="350993"/>
      <dgm:spPr/>
      <dgm:t>
        <a:bodyPr/>
        <a:lstStyle/>
        <a:p>
          <a:endParaRPr lang="fr-FR"/>
        </a:p>
      </dgm:t>
    </dgm:pt>
    <dgm:pt modelId="{25B63266-A8EA-43F1-8A02-AC3B9E844636}" type="pres">
      <dgm:prSet presAssocID="{DEECAC2C-41E0-4611-B024-5407FBB23FA0}" presName="hierChild3" presStyleCnt="0"/>
      <dgm:spPr/>
      <dgm:t>
        <a:bodyPr/>
        <a:lstStyle/>
        <a:p>
          <a:endParaRPr lang="fr-FR"/>
        </a:p>
      </dgm:t>
    </dgm:pt>
    <dgm:pt modelId="{A92815AE-20FB-4C4E-A869-A855EBBDD6D4}" type="pres">
      <dgm:prSet presAssocID="{CFF5855D-FB33-449B-944A-9AE0CD9EADB4}" presName="Name19" presStyleLbl="parChTrans1D3" presStyleIdx="0" presStyleCnt="2"/>
      <dgm:spPr/>
      <dgm:t>
        <a:bodyPr/>
        <a:lstStyle/>
        <a:p>
          <a:endParaRPr lang="fr-FR"/>
        </a:p>
      </dgm:t>
    </dgm:pt>
    <dgm:pt modelId="{8DB87C33-9729-42CF-AEDE-D87D2D4A5596}" type="pres">
      <dgm:prSet presAssocID="{BBB581B8-84A3-4F7D-87F0-C29D7DB2B607}" presName="Name21" presStyleCnt="0"/>
      <dgm:spPr/>
      <dgm:t>
        <a:bodyPr/>
        <a:lstStyle/>
        <a:p>
          <a:endParaRPr lang="fr-FR"/>
        </a:p>
      </dgm:t>
    </dgm:pt>
    <dgm:pt modelId="{E1B771AC-6B77-4A28-A4BA-D00B26F9FCF7}" type="pres">
      <dgm:prSet presAssocID="{BBB581B8-84A3-4F7D-87F0-C29D7DB2B607}" presName="level2Shape" presStyleLbl="node3" presStyleIdx="0" presStyleCnt="2" custScaleX="233114"/>
      <dgm:spPr/>
      <dgm:t>
        <a:bodyPr/>
        <a:lstStyle/>
        <a:p>
          <a:endParaRPr lang="fr-FR"/>
        </a:p>
      </dgm:t>
    </dgm:pt>
    <dgm:pt modelId="{81861A2D-FE95-4DD1-9EAD-34E947B22939}" type="pres">
      <dgm:prSet presAssocID="{BBB581B8-84A3-4F7D-87F0-C29D7DB2B607}" presName="hierChild3" presStyleCnt="0"/>
      <dgm:spPr/>
      <dgm:t>
        <a:bodyPr/>
        <a:lstStyle/>
        <a:p>
          <a:endParaRPr lang="fr-FR"/>
        </a:p>
      </dgm:t>
    </dgm:pt>
    <dgm:pt modelId="{40DDCFAB-575B-4AB8-AA7F-215C9E1F79A6}" type="pres">
      <dgm:prSet presAssocID="{D17D7FC0-1F08-4935-B9FA-322EE0EE799F}" presName="Name19" presStyleLbl="parChTrans1D3" presStyleIdx="1" presStyleCnt="2"/>
      <dgm:spPr/>
      <dgm:t>
        <a:bodyPr/>
        <a:lstStyle/>
        <a:p>
          <a:endParaRPr lang="fr-FR"/>
        </a:p>
      </dgm:t>
    </dgm:pt>
    <dgm:pt modelId="{A07B5B9E-E048-4EFD-86EB-DBF71A18DD8B}" type="pres">
      <dgm:prSet presAssocID="{4CDC6BEF-6906-4732-8BA4-1DAE4FE69EF1}" presName="Name21" presStyleCnt="0"/>
      <dgm:spPr/>
      <dgm:t>
        <a:bodyPr/>
        <a:lstStyle/>
        <a:p>
          <a:endParaRPr lang="fr-FR"/>
        </a:p>
      </dgm:t>
    </dgm:pt>
    <dgm:pt modelId="{9708B9A1-56EC-4285-962D-1FCA862FD9B2}" type="pres">
      <dgm:prSet presAssocID="{4CDC6BEF-6906-4732-8BA4-1DAE4FE69EF1}" presName="level2Shape" presStyleLbl="node3" presStyleIdx="1" presStyleCnt="2" custScaleX="229786"/>
      <dgm:spPr/>
      <dgm:t>
        <a:bodyPr/>
        <a:lstStyle/>
        <a:p>
          <a:endParaRPr lang="fr-FR"/>
        </a:p>
      </dgm:t>
    </dgm:pt>
    <dgm:pt modelId="{C5DF9458-983B-4A04-8799-DF7DC869D5C7}" type="pres">
      <dgm:prSet presAssocID="{4CDC6BEF-6906-4732-8BA4-1DAE4FE69EF1}" presName="hierChild3" presStyleCnt="0"/>
      <dgm:spPr/>
      <dgm:t>
        <a:bodyPr/>
        <a:lstStyle/>
        <a:p>
          <a:endParaRPr lang="fr-FR"/>
        </a:p>
      </dgm:t>
    </dgm:pt>
    <dgm:pt modelId="{A0490A82-654F-471C-A394-27F372D3241B}" type="pres">
      <dgm:prSet presAssocID="{19BA9B26-B88B-4FEF-85B1-8828AE0BD121}" presName="bgShapesFlow" presStyleCnt="0"/>
      <dgm:spPr/>
      <dgm:t>
        <a:bodyPr/>
        <a:lstStyle/>
        <a:p>
          <a:endParaRPr lang="fr-FR"/>
        </a:p>
      </dgm:t>
    </dgm:pt>
  </dgm:ptLst>
  <dgm:cxnLst>
    <dgm:cxn modelId="{524A6CBD-AC74-47BD-8930-50330B7DCD07}" type="presOf" srcId="{4CDC6BEF-6906-4732-8BA4-1DAE4FE69EF1}" destId="{9708B9A1-56EC-4285-962D-1FCA862FD9B2}" srcOrd="0" destOrd="0" presId="urn:microsoft.com/office/officeart/2005/8/layout/hierarchy6"/>
    <dgm:cxn modelId="{D13B1189-2950-4420-9AFF-80AD5D77B24B}" srcId="{DEECAC2C-41E0-4611-B024-5407FBB23FA0}" destId="{4CDC6BEF-6906-4732-8BA4-1DAE4FE69EF1}" srcOrd="1" destOrd="0" parTransId="{D17D7FC0-1F08-4935-B9FA-322EE0EE799F}" sibTransId="{D4909020-D116-4D67-9843-DA232950C0A6}"/>
    <dgm:cxn modelId="{BE5EFD67-FC4B-469E-A9A1-4619E266E2B2}" srcId="{DEECAC2C-41E0-4611-B024-5407FBB23FA0}" destId="{BBB581B8-84A3-4F7D-87F0-C29D7DB2B607}" srcOrd="0" destOrd="0" parTransId="{CFF5855D-FB33-449B-944A-9AE0CD9EADB4}" sibTransId="{3881F583-7CFE-4084-AD23-CA724D6F4BB1}"/>
    <dgm:cxn modelId="{A3EE9305-03F2-4959-99ED-E1401793A855}" type="presOf" srcId="{2ACE4CCD-FB2D-4305-997D-F56DAA20E8A8}" destId="{88710BCF-CA78-49F5-AE17-8F4F2077A070}" srcOrd="0" destOrd="0" presId="urn:microsoft.com/office/officeart/2005/8/layout/hierarchy6"/>
    <dgm:cxn modelId="{2334725C-0871-4A71-90AC-4521CCFA1A0E}" type="presOf" srcId="{5DBE99B2-EB55-41D5-9164-11017B3B5EC4}" destId="{A4A902F8-02A5-4A4A-AB04-53A4416C8C4C}" srcOrd="0" destOrd="0" presId="urn:microsoft.com/office/officeart/2005/8/layout/hierarchy6"/>
    <dgm:cxn modelId="{1C8A8AB2-8B8E-4C9A-B72D-9C7A4715C2EC}" type="presOf" srcId="{CFF5855D-FB33-449B-944A-9AE0CD9EADB4}" destId="{A92815AE-20FB-4C4E-A869-A855EBBDD6D4}" srcOrd="0" destOrd="0" presId="urn:microsoft.com/office/officeart/2005/8/layout/hierarchy6"/>
    <dgm:cxn modelId="{161CB4C5-1C9C-408F-905A-A10E78A14589}" srcId="{19BA9B26-B88B-4FEF-85B1-8828AE0BD121}" destId="{5DBE99B2-EB55-41D5-9164-11017B3B5EC4}" srcOrd="0" destOrd="0" parTransId="{4091FEA4-F3A8-4899-940B-91F16346BBD7}" sibTransId="{D7C95DFA-2536-4E1B-9457-18190BC63B20}"/>
    <dgm:cxn modelId="{A55B6013-A2FB-44CB-AAFC-B61A6CC3EE9B}" type="presOf" srcId="{DEECAC2C-41E0-4611-B024-5407FBB23FA0}" destId="{D11EE648-8882-4EFA-8446-2708778EF0F0}" srcOrd="0" destOrd="0" presId="urn:microsoft.com/office/officeart/2005/8/layout/hierarchy6"/>
    <dgm:cxn modelId="{C0DE8A35-37EB-4EF1-9E35-46B04A8E8570}" srcId="{5DBE99B2-EB55-41D5-9164-11017B3B5EC4}" destId="{DEECAC2C-41E0-4611-B024-5407FBB23FA0}" srcOrd="0" destOrd="0" parTransId="{2ACE4CCD-FB2D-4305-997D-F56DAA20E8A8}" sibTransId="{7ED4588E-4DA9-4A3C-BD52-53CC5B97F9E4}"/>
    <dgm:cxn modelId="{97F939E7-5080-461F-9461-DE5C9F6ADDFB}" type="presOf" srcId="{19BA9B26-B88B-4FEF-85B1-8828AE0BD121}" destId="{B578A6E2-A9DC-4575-A514-4E138BE641E9}" srcOrd="0" destOrd="0" presId="urn:microsoft.com/office/officeart/2005/8/layout/hierarchy6"/>
    <dgm:cxn modelId="{65A15E56-88CC-4923-A49A-DAFB0D6162BE}" type="presOf" srcId="{D17D7FC0-1F08-4935-B9FA-322EE0EE799F}" destId="{40DDCFAB-575B-4AB8-AA7F-215C9E1F79A6}" srcOrd="0" destOrd="0" presId="urn:microsoft.com/office/officeart/2005/8/layout/hierarchy6"/>
    <dgm:cxn modelId="{51D84128-E456-4E27-9E4E-B3426DAFC94E}" type="presOf" srcId="{BBB581B8-84A3-4F7D-87F0-C29D7DB2B607}" destId="{E1B771AC-6B77-4A28-A4BA-D00B26F9FCF7}" srcOrd="0" destOrd="0" presId="urn:microsoft.com/office/officeart/2005/8/layout/hierarchy6"/>
    <dgm:cxn modelId="{0CD29B95-C75D-4862-A386-81AB8792E69A}" type="presParOf" srcId="{B578A6E2-A9DC-4575-A514-4E138BE641E9}" destId="{A9166FEA-A28A-49E7-B25F-4D3D53D290DC}" srcOrd="0" destOrd="0" presId="urn:microsoft.com/office/officeart/2005/8/layout/hierarchy6"/>
    <dgm:cxn modelId="{746F556F-9A5A-4946-BC84-318BA26BA7D8}" type="presParOf" srcId="{A9166FEA-A28A-49E7-B25F-4D3D53D290DC}" destId="{1175B731-FF9B-4DAF-AB27-CF62D31CB6D3}" srcOrd="0" destOrd="0" presId="urn:microsoft.com/office/officeart/2005/8/layout/hierarchy6"/>
    <dgm:cxn modelId="{40B82266-EC71-4D79-A4C4-D91B9ED3D216}" type="presParOf" srcId="{1175B731-FF9B-4DAF-AB27-CF62D31CB6D3}" destId="{16956789-BBC7-4399-8A35-B77324EFBFD4}" srcOrd="0" destOrd="0" presId="urn:microsoft.com/office/officeart/2005/8/layout/hierarchy6"/>
    <dgm:cxn modelId="{A9914571-59ED-4468-A919-E1563A6F74FC}" type="presParOf" srcId="{16956789-BBC7-4399-8A35-B77324EFBFD4}" destId="{A4A902F8-02A5-4A4A-AB04-53A4416C8C4C}" srcOrd="0" destOrd="0" presId="urn:microsoft.com/office/officeart/2005/8/layout/hierarchy6"/>
    <dgm:cxn modelId="{4D28A56B-DA71-424E-BC1E-574D69FCD02B}" type="presParOf" srcId="{16956789-BBC7-4399-8A35-B77324EFBFD4}" destId="{1898E245-ACD3-408D-8C24-C7CE5FFE23AF}" srcOrd="1" destOrd="0" presId="urn:microsoft.com/office/officeart/2005/8/layout/hierarchy6"/>
    <dgm:cxn modelId="{DCA3B361-8D62-4A9D-994F-C2E51CBBEDAA}" type="presParOf" srcId="{1898E245-ACD3-408D-8C24-C7CE5FFE23AF}" destId="{88710BCF-CA78-49F5-AE17-8F4F2077A070}" srcOrd="0" destOrd="0" presId="urn:microsoft.com/office/officeart/2005/8/layout/hierarchy6"/>
    <dgm:cxn modelId="{8E0B26B0-8575-4452-A063-D42EE9367196}" type="presParOf" srcId="{1898E245-ACD3-408D-8C24-C7CE5FFE23AF}" destId="{7E68D02D-DF34-4704-AB71-07674E029CAA}" srcOrd="1" destOrd="0" presId="urn:microsoft.com/office/officeart/2005/8/layout/hierarchy6"/>
    <dgm:cxn modelId="{0A84F9FA-678A-401B-929F-F6EBAFDAD977}" type="presParOf" srcId="{7E68D02D-DF34-4704-AB71-07674E029CAA}" destId="{D11EE648-8882-4EFA-8446-2708778EF0F0}" srcOrd="0" destOrd="0" presId="urn:microsoft.com/office/officeart/2005/8/layout/hierarchy6"/>
    <dgm:cxn modelId="{D8AAF93E-2306-4592-A557-FBFB7CC25CE7}" type="presParOf" srcId="{7E68D02D-DF34-4704-AB71-07674E029CAA}" destId="{25B63266-A8EA-43F1-8A02-AC3B9E844636}" srcOrd="1" destOrd="0" presId="urn:microsoft.com/office/officeart/2005/8/layout/hierarchy6"/>
    <dgm:cxn modelId="{3A896308-40D2-48C8-B2F6-CF876C8978AA}" type="presParOf" srcId="{25B63266-A8EA-43F1-8A02-AC3B9E844636}" destId="{A92815AE-20FB-4C4E-A869-A855EBBDD6D4}" srcOrd="0" destOrd="0" presId="urn:microsoft.com/office/officeart/2005/8/layout/hierarchy6"/>
    <dgm:cxn modelId="{7308A22B-D44D-47BA-8550-37C5D1B188B3}" type="presParOf" srcId="{25B63266-A8EA-43F1-8A02-AC3B9E844636}" destId="{8DB87C33-9729-42CF-AEDE-D87D2D4A5596}" srcOrd="1" destOrd="0" presId="urn:microsoft.com/office/officeart/2005/8/layout/hierarchy6"/>
    <dgm:cxn modelId="{8568B28E-1A16-4CA3-A91E-FA68FAF62C32}" type="presParOf" srcId="{8DB87C33-9729-42CF-AEDE-D87D2D4A5596}" destId="{E1B771AC-6B77-4A28-A4BA-D00B26F9FCF7}" srcOrd="0" destOrd="0" presId="urn:microsoft.com/office/officeart/2005/8/layout/hierarchy6"/>
    <dgm:cxn modelId="{FB0795A2-16EB-4597-A87A-825FAF66BEED}" type="presParOf" srcId="{8DB87C33-9729-42CF-AEDE-D87D2D4A5596}" destId="{81861A2D-FE95-4DD1-9EAD-34E947B22939}" srcOrd="1" destOrd="0" presId="urn:microsoft.com/office/officeart/2005/8/layout/hierarchy6"/>
    <dgm:cxn modelId="{5247EECB-48ED-49D9-BA86-16713EC897EC}" type="presParOf" srcId="{25B63266-A8EA-43F1-8A02-AC3B9E844636}" destId="{40DDCFAB-575B-4AB8-AA7F-215C9E1F79A6}" srcOrd="2" destOrd="0" presId="urn:microsoft.com/office/officeart/2005/8/layout/hierarchy6"/>
    <dgm:cxn modelId="{53E8BEE1-FE61-43A9-907C-7C3ADFFE5CBE}" type="presParOf" srcId="{25B63266-A8EA-43F1-8A02-AC3B9E844636}" destId="{A07B5B9E-E048-4EFD-86EB-DBF71A18DD8B}" srcOrd="3" destOrd="0" presId="urn:microsoft.com/office/officeart/2005/8/layout/hierarchy6"/>
    <dgm:cxn modelId="{19A8BC84-3F82-4C6D-96E5-37D1E29D9997}" type="presParOf" srcId="{A07B5B9E-E048-4EFD-86EB-DBF71A18DD8B}" destId="{9708B9A1-56EC-4285-962D-1FCA862FD9B2}" srcOrd="0" destOrd="0" presId="urn:microsoft.com/office/officeart/2005/8/layout/hierarchy6"/>
    <dgm:cxn modelId="{4C4D5BEE-8A66-4499-B733-2108927F0C02}" type="presParOf" srcId="{A07B5B9E-E048-4EFD-86EB-DBF71A18DD8B}" destId="{C5DF9458-983B-4A04-8799-DF7DC869D5C7}" srcOrd="1" destOrd="0" presId="urn:microsoft.com/office/officeart/2005/8/layout/hierarchy6"/>
    <dgm:cxn modelId="{0E5272FF-AE00-433C-8D5A-79EF975E0C9A}" type="presParOf" srcId="{B578A6E2-A9DC-4575-A514-4E138BE641E9}" destId="{A0490A82-654F-471C-A394-27F372D3241B}" srcOrd="1" destOrd="0" presId="urn:microsoft.com/office/officeart/2005/8/layout/hierarchy6"/>
  </dgm:cxnLst>
  <dgm:bg/>
  <dgm:whole/>
  <dgm:extLst>
    <a:ext uri="http://schemas.microsoft.com/office/drawing/2008/diagram">
      <dsp:dataModelExt xmlns:dsp="http://schemas.microsoft.com/office/drawing/2008/diagram" relId="rId24"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4A902F8-02A5-4A4A-AB04-53A4416C8C4C}">
      <dsp:nvSpPr>
        <dsp:cNvPr id="0" name=""/>
        <dsp:cNvSpPr/>
      </dsp:nvSpPr>
      <dsp:spPr>
        <a:xfrm>
          <a:off x="1389844" y="314"/>
          <a:ext cx="2525735" cy="716715"/>
        </a:xfrm>
        <a:prstGeom prst="roundRect">
          <a:avLst>
            <a:gd name="adj" fmla="val 10000"/>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fr-FR" sz="1400" kern="1200"/>
            <a:t>Comité de Pilotage du PAPVS</a:t>
          </a:r>
        </a:p>
        <a:p>
          <a:pPr lvl="0" algn="ctr" defTabSz="622300">
            <a:lnSpc>
              <a:spcPct val="90000"/>
            </a:lnSpc>
            <a:spcBef>
              <a:spcPct val="0"/>
            </a:spcBef>
            <a:spcAft>
              <a:spcPct val="35000"/>
            </a:spcAft>
          </a:pPr>
          <a:r>
            <a:rPr lang="fr-FR" sz="1200" kern="1200"/>
            <a:t>[ CA de l'ACVDT + Mairies Concernées ]</a:t>
          </a:r>
        </a:p>
      </dsp:txBody>
      <dsp:txXfrm>
        <a:off x="1410836" y="21306"/>
        <a:ext cx="2483751" cy="674731"/>
      </dsp:txXfrm>
    </dsp:sp>
    <dsp:sp modelId="{88710BCF-CA78-49F5-AE17-8F4F2077A070}">
      <dsp:nvSpPr>
        <dsp:cNvPr id="0" name=""/>
        <dsp:cNvSpPr/>
      </dsp:nvSpPr>
      <dsp:spPr>
        <a:xfrm>
          <a:off x="2606992" y="717030"/>
          <a:ext cx="91440" cy="286686"/>
        </a:xfrm>
        <a:custGeom>
          <a:avLst/>
          <a:gdLst/>
          <a:ahLst/>
          <a:cxnLst/>
          <a:rect l="0" t="0" r="0" b="0"/>
          <a:pathLst>
            <a:path>
              <a:moveTo>
                <a:pt x="45720" y="0"/>
              </a:moveTo>
              <a:lnTo>
                <a:pt x="45720" y="286686"/>
              </a:lnTo>
            </a:path>
          </a:pathLst>
        </a:custGeom>
        <a:noFill/>
        <a:ln w="12700" cap="flat" cmpd="sng" algn="ctr">
          <a:solidFill>
            <a:schemeClr val="accent3">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D11EE648-8882-4EFA-8446-2708778EF0F0}">
      <dsp:nvSpPr>
        <dsp:cNvPr id="0" name=""/>
        <dsp:cNvSpPr/>
      </dsp:nvSpPr>
      <dsp:spPr>
        <a:xfrm>
          <a:off x="765995" y="1003717"/>
          <a:ext cx="3773434" cy="716715"/>
        </a:xfrm>
        <a:prstGeom prst="roundRect">
          <a:avLst>
            <a:gd name="adj" fmla="val 10000"/>
          </a:avLst>
        </a:prstGeom>
        <a:gradFill rotWithShape="0">
          <a:gsLst>
            <a:gs pos="0">
              <a:schemeClr val="accent3">
                <a:hueOff val="0"/>
                <a:satOff val="0"/>
                <a:lumOff val="0"/>
                <a:alphaOff val="0"/>
                <a:lumMod val="110000"/>
                <a:satMod val="105000"/>
                <a:tint val="67000"/>
              </a:schemeClr>
            </a:gs>
            <a:gs pos="50000">
              <a:schemeClr val="accent3">
                <a:hueOff val="0"/>
                <a:satOff val="0"/>
                <a:lumOff val="0"/>
                <a:alphaOff val="0"/>
                <a:lumMod val="105000"/>
                <a:satMod val="103000"/>
                <a:tint val="73000"/>
              </a:schemeClr>
            </a:gs>
            <a:gs pos="100000">
              <a:schemeClr val="accent3">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7150" tIns="57150" rIns="57150" bIns="57150" numCol="1" spcCol="1270" anchor="ctr" anchorCtr="0">
          <a:noAutofit/>
        </a:bodyPr>
        <a:lstStyle/>
        <a:p>
          <a:pPr lvl="0" algn="ctr" defTabSz="666750">
            <a:lnSpc>
              <a:spcPct val="90000"/>
            </a:lnSpc>
            <a:spcBef>
              <a:spcPct val="0"/>
            </a:spcBef>
            <a:spcAft>
              <a:spcPct val="35000"/>
            </a:spcAft>
          </a:pPr>
          <a:r>
            <a:rPr lang="fr-FR" sz="1500" kern="1200"/>
            <a:t>Comité Technique de Suivi </a:t>
          </a:r>
        </a:p>
        <a:p>
          <a:pPr lvl="0" algn="ctr" defTabSz="666750">
            <a:lnSpc>
              <a:spcPct val="90000"/>
            </a:lnSpc>
            <a:spcBef>
              <a:spcPct val="0"/>
            </a:spcBef>
            <a:spcAft>
              <a:spcPct val="35000"/>
            </a:spcAft>
          </a:pPr>
          <a:r>
            <a:rPr lang="fr-FR" sz="1200" kern="1200"/>
            <a:t>[ ACVDT  étendue au besoin  aux structures ressources]</a:t>
          </a:r>
        </a:p>
      </dsp:txBody>
      <dsp:txXfrm>
        <a:off x="786987" y="1024709"/>
        <a:ext cx="3731450" cy="674731"/>
      </dsp:txXfrm>
    </dsp:sp>
    <dsp:sp modelId="{A92815AE-20FB-4C4E-A869-A855EBBDD6D4}">
      <dsp:nvSpPr>
        <dsp:cNvPr id="0" name=""/>
        <dsp:cNvSpPr/>
      </dsp:nvSpPr>
      <dsp:spPr>
        <a:xfrm>
          <a:off x="1256266" y="1720432"/>
          <a:ext cx="1396445" cy="286686"/>
        </a:xfrm>
        <a:custGeom>
          <a:avLst/>
          <a:gdLst/>
          <a:ahLst/>
          <a:cxnLst/>
          <a:rect l="0" t="0" r="0" b="0"/>
          <a:pathLst>
            <a:path>
              <a:moveTo>
                <a:pt x="1396445" y="0"/>
              </a:moveTo>
              <a:lnTo>
                <a:pt x="1396445" y="143343"/>
              </a:lnTo>
              <a:lnTo>
                <a:pt x="0" y="143343"/>
              </a:lnTo>
              <a:lnTo>
                <a:pt x="0" y="286686"/>
              </a:lnTo>
            </a:path>
          </a:pathLst>
        </a:custGeom>
        <a:noFill/>
        <a:ln w="12700" cap="flat" cmpd="sng" algn="ctr">
          <a:solidFill>
            <a:schemeClr val="accent4">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E1B771AC-6B77-4A28-A4BA-D00B26F9FCF7}">
      <dsp:nvSpPr>
        <dsp:cNvPr id="0" name=""/>
        <dsp:cNvSpPr/>
      </dsp:nvSpPr>
      <dsp:spPr>
        <a:xfrm>
          <a:off x="3192" y="2007119"/>
          <a:ext cx="2506147" cy="716715"/>
        </a:xfrm>
        <a:prstGeom prst="roundRect">
          <a:avLst>
            <a:gd name="adj" fmla="val 10000"/>
          </a:avLst>
        </a:prstGeom>
        <a:gradFill rotWithShape="0">
          <a:gsLst>
            <a:gs pos="0">
              <a:schemeClr val="accent4">
                <a:hueOff val="0"/>
                <a:satOff val="0"/>
                <a:lumOff val="0"/>
                <a:alphaOff val="0"/>
                <a:lumMod val="110000"/>
                <a:satMod val="105000"/>
                <a:tint val="67000"/>
              </a:schemeClr>
            </a:gs>
            <a:gs pos="50000">
              <a:schemeClr val="accent4">
                <a:hueOff val="0"/>
                <a:satOff val="0"/>
                <a:lumOff val="0"/>
                <a:alphaOff val="0"/>
                <a:lumMod val="105000"/>
                <a:satMod val="103000"/>
                <a:tint val="73000"/>
              </a:schemeClr>
            </a:gs>
            <a:gs pos="100000">
              <a:schemeClr val="accent4">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fr-FR" sz="1400" kern="1200"/>
            <a:t>POOL PAPVS</a:t>
          </a:r>
        </a:p>
        <a:p>
          <a:pPr lvl="0" algn="ctr" defTabSz="622300">
            <a:lnSpc>
              <a:spcPct val="90000"/>
            </a:lnSpc>
            <a:spcBef>
              <a:spcPct val="0"/>
            </a:spcBef>
            <a:spcAft>
              <a:spcPct val="35000"/>
            </a:spcAft>
          </a:pPr>
          <a:r>
            <a:rPr lang="fr-FR" sz="1200" kern="1200"/>
            <a:t>[ Experts de l'ACVDT dédiés au PAPC ]</a:t>
          </a:r>
        </a:p>
      </dsp:txBody>
      <dsp:txXfrm>
        <a:off x="24184" y="2028111"/>
        <a:ext cx="2464163" cy="674731"/>
      </dsp:txXfrm>
    </dsp:sp>
    <dsp:sp modelId="{40DDCFAB-575B-4AB8-AA7F-215C9E1F79A6}">
      <dsp:nvSpPr>
        <dsp:cNvPr id="0" name=""/>
        <dsp:cNvSpPr/>
      </dsp:nvSpPr>
      <dsp:spPr>
        <a:xfrm>
          <a:off x="2652712" y="1720432"/>
          <a:ext cx="1414334" cy="286686"/>
        </a:xfrm>
        <a:custGeom>
          <a:avLst/>
          <a:gdLst/>
          <a:ahLst/>
          <a:cxnLst/>
          <a:rect l="0" t="0" r="0" b="0"/>
          <a:pathLst>
            <a:path>
              <a:moveTo>
                <a:pt x="0" y="0"/>
              </a:moveTo>
              <a:lnTo>
                <a:pt x="0" y="143343"/>
              </a:lnTo>
              <a:lnTo>
                <a:pt x="1414334" y="143343"/>
              </a:lnTo>
              <a:lnTo>
                <a:pt x="1414334" y="286686"/>
              </a:lnTo>
            </a:path>
          </a:pathLst>
        </a:custGeom>
        <a:noFill/>
        <a:ln w="12700" cap="flat" cmpd="sng" algn="ctr">
          <a:solidFill>
            <a:schemeClr val="accent4">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9708B9A1-56EC-4285-962D-1FCA862FD9B2}">
      <dsp:nvSpPr>
        <dsp:cNvPr id="0" name=""/>
        <dsp:cNvSpPr/>
      </dsp:nvSpPr>
      <dsp:spPr>
        <a:xfrm>
          <a:off x="2831862" y="2007119"/>
          <a:ext cx="2470369" cy="716715"/>
        </a:xfrm>
        <a:prstGeom prst="roundRect">
          <a:avLst>
            <a:gd name="adj" fmla="val 10000"/>
          </a:avLst>
        </a:prstGeom>
        <a:gradFill rotWithShape="0">
          <a:gsLst>
            <a:gs pos="0">
              <a:schemeClr val="accent4">
                <a:hueOff val="0"/>
                <a:satOff val="0"/>
                <a:lumOff val="0"/>
                <a:alphaOff val="0"/>
                <a:lumMod val="110000"/>
                <a:satMod val="105000"/>
                <a:tint val="67000"/>
              </a:schemeClr>
            </a:gs>
            <a:gs pos="50000">
              <a:schemeClr val="accent4">
                <a:hueOff val="0"/>
                <a:satOff val="0"/>
                <a:lumOff val="0"/>
                <a:alphaOff val="0"/>
                <a:lumMod val="105000"/>
                <a:satMod val="103000"/>
                <a:tint val="73000"/>
              </a:schemeClr>
            </a:gs>
            <a:gs pos="100000">
              <a:schemeClr val="accent4">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fr-FR" sz="1200" kern="1200"/>
            <a:t>ASSISTANT TECHNIQUE AU MAITRE D'OUVRAGE ( AMO) </a:t>
          </a:r>
        </a:p>
      </dsp:txBody>
      <dsp:txXfrm>
        <a:off x="2852854" y="2028111"/>
        <a:ext cx="2428385" cy="674731"/>
      </dsp:txXfrm>
    </dsp:sp>
  </dsp:spTree>
</dsp:drawing>
</file>

<file path=word/diagrams/layout1.xml><?xml version="1.0" encoding="utf-8"?>
<dgm:layoutDef xmlns:dgm="http://schemas.openxmlformats.org/drawingml/2006/diagram" xmlns:a="http://schemas.openxmlformats.org/drawingml/2006/main" uniqueId="urn:microsoft.com/office/officeart/2005/8/layout/hierarchy6">
  <dgm:title val=""/>
  <dgm:desc val=""/>
  <dgm:catLst>
    <dgm:cat type="hierarchy" pri="3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 modelId="4">
          <dgm:prSet phldr="1"/>
        </dgm:pt>
        <dgm:pt modelId="5">
          <dgm:prSet phldr="1"/>
        </dgm:pt>
        <dgm:pt modelId="6">
          <dgm:prSet phldr="1"/>
        </dgm:pt>
      </dgm:ptLst>
      <dgm:cxnLst>
        <dgm:cxn modelId="7" srcId="0" destId="1" srcOrd="0" destOrd="0"/>
        <dgm:cxn modelId="8" srcId="1" destId="2" srcOrd="0" destOrd="0"/>
        <dgm:cxn modelId="9" srcId="1" destId="3" srcOrd="1" destOrd="0"/>
        <dgm:cxn modelId="23" srcId="2" destId="21" srcOrd="0" destOrd="0"/>
        <dgm:cxn modelId="24" srcId="2" destId="22" srcOrd="1" destOrd="0"/>
        <dgm:cxn modelId="33" srcId="3" destId="31" srcOrd="0" destOrd="0"/>
        <dgm:cxn modelId="10" srcId="0" destId="4" srcOrd="1" destOrd="0"/>
        <dgm:cxn modelId="11" srcId="0" destId="5" srcOrd="2" destOrd="0"/>
        <dgm:cxn modelId="12" srcId="0" destId="6" srcOrd="3" destOrd="0"/>
      </dgm:cxnLst>
      <dgm:bg/>
      <dgm:whole/>
    </dgm:dataModel>
  </dgm:sampData>
  <dgm:styleData>
    <dgm:dataModel>
      <dgm:ptLst>
        <dgm:pt modelId="0" type="doc"/>
        <dgm:pt modelId="1"/>
        <dgm:pt modelId="11"/>
        <dgm:pt modelId="12"/>
        <dgm:pt modelId="2"/>
        <dgm:pt modelId="3"/>
      </dgm:ptLst>
      <dgm:cxnLst>
        <dgm:cxn modelId="4" srcId="0" destId="1" srcOrd="0" destOrd="0"/>
        <dgm:cxn modelId="13" srcId="1" destId="11" srcOrd="0" destOrd="0"/>
        <dgm:cxn modelId="14" srcId="1" destId="12" srcOrd="1" destOrd="0"/>
        <dgm:cxn modelId="5" srcId="0" destId="2" srcOrd="1" destOrd="0"/>
        <dgm:cxn modelId="6" srcId="0" destId="3" srcOrd="2" destOrd="0"/>
      </dgm:cxnLst>
      <dgm:bg/>
      <dgm:whole/>
    </dgm:dataModel>
  </dgm:styleData>
  <dgm:clrData>
    <dgm:dataModel>
      <dgm:ptLst>
        <dgm:pt modelId="0" type="doc"/>
        <dgm:pt modelId="1"/>
        <dgm:pt modelId="2"/>
        <dgm:pt modelId="21"/>
        <dgm:pt modelId="211"/>
        <dgm:pt modelId="3"/>
        <dgm:pt modelId="31"/>
        <dgm:pt modelId="311"/>
        <dgm:pt modelId="4"/>
        <dgm:pt modelId="5"/>
        <dgm:pt modelId="6"/>
        <dgm:pt modelId="7"/>
      </dgm:ptLst>
      <dgm:cxnLst>
        <dgm:cxn modelId="8" srcId="0" destId="1" srcOrd="0" destOrd="0"/>
        <dgm:cxn modelId="9" srcId="1" destId="2" srcOrd="0" destOrd="0"/>
        <dgm:cxn modelId="10" srcId="1" destId="3" srcOrd="1" destOrd="0"/>
        <dgm:cxn modelId="23" srcId="2" destId="21" srcOrd="0" destOrd="0"/>
        <dgm:cxn modelId="24" srcId="21" destId="211" srcOrd="0" destOrd="0"/>
        <dgm:cxn modelId="33" srcId="3" destId="31" srcOrd="0" destOrd="0"/>
        <dgm:cxn modelId="34" srcId="31" destId="311" srcOrd="0" destOrd="0"/>
        <dgm:cxn modelId="11" srcId="0" destId="4" srcOrd="1" destOrd="0"/>
        <dgm:cxn modelId="12" srcId="0" destId="5" srcOrd="2" destOrd="0"/>
        <dgm:cxn modelId="13" srcId="0" destId="6" srcOrd="3" destOrd="0"/>
        <dgm:cxn modelId="14" srcId="0" destId="7" srcOrd="4" destOrd="0"/>
      </dgm:cxnLst>
      <dgm:bg/>
      <dgm:whole/>
    </dgm:dataModel>
  </dgm:clrData>
  <dgm:layoutNode name="mainComposite">
    <dgm:varLst>
      <dgm:chPref val="1"/>
      <dgm:dir/>
      <dgm:animOne val="branch"/>
      <dgm:animLvl val="lvl"/>
      <dgm:resizeHandles val="exact"/>
    </dgm:varLst>
    <dgm:alg type="composite">
      <dgm:param type="vertAlign" val="mid"/>
      <dgm:param type="horzAlign" val="ctr"/>
    </dgm:alg>
    <dgm:shape xmlns:r="http://schemas.openxmlformats.org/officeDocument/2006/relationships" r:blip="">
      <dgm:adjLst/>
    </dgm:shape>
    <dgm:presOf/>
    <dgm:choose name="Name0">
      <dgm:if name="Name1" axis="ch" ptType="node" func="cnt" op="gte" val="2">
        <dgm:choose name="Name2">
          <dgm:if name="Name3" func="var" arg="dir" op="equ" val="norm">
            <dgm:constrLst>
              <dgm:constr type="l" for="ch" forName="hierFlow" refType="w" fact="0.3"/>
              <dgm:constr type="t" for="ch" forName="hierFlow"/>
              <dgm:constr type="r" for="ch" forName="hierFlow" refType="w" fact="0.98"/>
              <dgm:constr type="b" for="ch" forName="hierFlow" refType="h" fact="0.98"/>
              <dgm:constr type="l" for="ch" forName="bgShapesFlow"/>
              <dgm:constr type="t" for="ch" forName="bgShapesFlow"/>
              <dgm:constr type="r" for="ch" forName="bgShapesFlow" refType="w"/>
              <dgm:constr type="b" for="ch" forName="bgShapesFlow" refType="h"/>
              <dgm:constr type="w" for="des" forName="level1Shape" refType="w"/>
              <dgm:constr type="h" for="des" forName="level1Shape" refType="w" refFor="des" refForName="level1Shape" fact="0.66667"/>
              <dgm:constr type="w" for="des" forName="level2Shape" refType="w" refFor="des" refForName="level1Shape" op="equ"/>
              <dgm:constr type="h" for="des" forName="level2Shape" refType="h" refFor="des" refForName="level1Shape" op="equ"/>
              <dgm:constr type="sp" for="des" refType="h" refFor="des" refForName="level1Shape" op="equ" fact="0.4"/>
              <dgm:constr type="sibSp" for="des" forName="hierChild1" refType="w" refFor="des" refForName="level1Shape" op="equ" fact="0.3"/>
              <dgm:constr type="sibSp" for="des" forName="hierChild2" refType="sibSp" refFor="des" refForName="hierChild1" op="equ"/>
              <dgm:constr type="sibSp" for="des" forName="hierChild3" refType="sibSp" refFor="des" refForName="hierChild1" op="equ"/>
              <dgm:constr type="userA" for="des" refType="h" refFor="des" refForName="level1Shape" op="equ"/>
              <dgm:constr type="userB" for="des" refType="sp" refFor="des" op="equ"/>
              <dgm:constr type="h" for="des" forName="firstBuf" refType="h" refFor="des" refForName="level1Shape" fact="0.1"/>
            </dgm:constrLst>
          </dgm:if>
          <dgm:else name="Name4">
            <dgm:constrLst>
              <dgm:constr type="l" for="ch" forName="hierFlow" refType="w" fact="0.02"/>
              <dgm:constr type="t" for="ch" forName="hierFlow"/>
              <dgm:constr type="r" for="ch" forName="hierFlow" refType="w" fact="0.7"/>
              <dgm:constr type="b" for="ch" forName="hierFlow" refType="h" fact="0.98"/>
              <dgm:constr type="l" for="ch" forName="bgShapesFlow"/>
              <dgm:constr type="t" for="ch" forName="bgShapesFlow"/>
              <dgm:constr type="r" for="ch" forName="bgShapesFlow" refType="w"/>
              <dgm:constr type="b" for="ch" forName="bgShapesFlow" refType="h"/>
              <dgm:constr type="w" for="des" forName="level1Shape" refType="w"/>
              <dgm:constr type="h" for="des" forName="level1Shape" refType="w" refFor="des" refForName="level1Shape" fact="0.66667"/>
              <dgm:constr type="w" for="des" forName="level2Shape" refType="w" refFor="des" refForName="level1Shape" op="equ"/>
              <dgm:constr type="h" for="des" forName="level2Shape" refType="h" refFor="des" refForName="level1Shape" op="equ"/>
              <dgm:constr type="sp" for="des" refType="h" refFor="des" refForName="level1Shape" op="equ" fact="0.4"/>
              <dgm:constr type="sibSp" for="des" forName="hierChild1" refType="w" refFor="des" refForName="level1Shape" op="equ" fact="0.3"/>
              <dgm:constr type="sibSp" for="des" forName="hierChild2" refType="sibSp" refFor="des" refForName="hierChild1" op="equ"/>
              <dgm:constr type="sibSp" for="des" forName="hierChild3" refType="sibSp" refFor="des" refForName="hierChild1" op="equ"/>
              <dgm:constr type="userA" for="des" refType="h" refFor="des" refForName="level1Shape" op="equ"/>
              <dgm:constr type="userB" for="des" refType="sp" refFor="des" op="equ"/>
              <dgm:constr type="h" for="des" forName="firstBuf" refType="h" refFor="des" refForName="level1Shape" fact="0.1"/>
            </dgm:constrLst>
          </dgm:else>
        </dgm:choose>
      </dgm:if>
      <dgm:else name="Name5">
        <dgm:constrLst>
          <dgm:constr type="l" for="ch" forName="hierFlow"/>
          <dgm:constr type="t" for="ch" forName="hierFlow"/>
          <dgm:constr type="r" for="ch" forName="hierFlow" refType="w"/>
          <dgm:constr type="b" for="ch" forName="hierFlow" refType="h"/>
          <dgm:constr type="l" for="ch" forName="bgShapesFlow"/>
          <dgm:constr type="t" for="ch" forName="bgShapesFlow"/>
          <dgm:constr type="r" for="ch" forName="bgShapesFlow" refType="w"/>
          <dgm:constr type="b" for="ch" forName="bgShapesFlow" refType="h"/>
          <dgm:constr type="w" for="des" forName="level1Shape" refType="w"/>
          <dgm:constr type="h" for="des" forName="level1Shape" refType="w" refFor="des" refForName="level1Shape" fact="0.66667"/>
          <dgm:constr type="w" for="des" forName="level2Shape" refType="w" refFor="des" refForName="level1Shape" op="equ"/>
          <dgm:constr type="h" for="des" forName="level2Shape" refType="h" refFor="des" refForName="level1Shape" op="equ"/>
          <dgm:constr type="sp" for="des" refType="h" refFor="des" refForName="level1Shape" op="equ" fact="0.4"/>
          <dgm:constr type="sibSp" for="des" forName="hierChild1" refType="w" refFor="des" refForName="level1Shape" op="equ" fact="0.3"/>
          <dgm:constr type="sibSp" for="des" forName="hierChild2" refType="sibSp" refFor="des" refForName="hierChild1" op="equ"/>
          <dgm:constr type="sibSp" for="des" forName="hierChild3" refType="sibSp" refFor="des" refForName="hierChild1" op="equ"/>
          <dgm:constr type="userA" for="des" refType="h" refFor="des" refForName="level1Shape" op="equ"/>
          <dgm:constr type="userB" for="des" refType="sp" refFor="des" op="equ"/>
          <dgm:constr type="h" for="des" forName="firstBuf" refType="h" refFor="des" refForName="level1Shape" fact="0.1"/>
        </dgm:constrLst>
      </dgm:else>
    </dgm:choose>
    <dgm:ruleLst/>
    <dgm:layoutNode name="hierFlow">
      <dgm:alg type="lin">
        <dgm:param type="linDir" val="fromT"/>
        <dgm:param type="nodeVertAlign" val="t"/>
        <dgm:param type="vertAlign" val="t"/>
        <dgm:param type="nodeHorzAlign" val="ctr"/>
        <dgm:param type="fallback" val="2D"/>
      </dgm:alg>
      <dgm:shape xmlns:r="http://schemas.openxmlformats.org/officeDocument/2006/relationships" r:blip="">
        <dgm:adjLst/>
      </dgm:shape>
      <dgm:presOf/>
      <dgm:constrLst/>
      <dgm:ruleLst/>
      <dgm:choose name="Name6">
        <dgm:if name="Name7" axis="ch" ptType="node" func="cnt" op="gte" val="2">
          <dgm:layoutNode name="firstBuf">
            <dgm:alg type="sp"/>
            <dgm:shape xmlns:r="http://schemas.openxmlformats.org/officeDocument/2006/relationships" r:blip="">
              <dgm:adjLst/>
            </dgm:shape>
            <dgm:presOf/>
            <dgm:constrLst/>
            <dgm:ruleLst/>
          </dgm:layoutNode>
        </dgm:if>
        <dgm:else name="Name8"/>
      </dgm:choose>
      <dgm:layoutNode name="hierChild1">
        <dgm:varLst>
          <dgm:chPref val="1"/>
          <dgm:animOne val="branch"/>
          <dgm:animLvl val="lvl"/>
        </dgm:varLst>
        <dgm:choose name="Name9">
          <dgm:if name="Name10" func="var" arg="dir" op="equ" val="norm">
            <dgm:alg type="hierChild">
              <dgm:param type="linDir" val="fromL"/>
              <dgm:param type="vertAlign" val="t"/>
            </dgm:alg>
          </dgm:if>
          <dgm:else name="Name11">
            <dgm:alg type="hierChild">
              <dgm:param type="linDir" val="fromR"/>
              <dgm:param type="vertAlign" val="t"/>
            </dgm:alg>
          </dgm:else>
        </dgm:choose>
        <dgm:shape xmlns:r="http://schemas.openxmlformats.org/officeDocument/2006/relationships" r:blip="">
          <dgm:adjLst/>
        </dgm:shape>
        <dgm:presOf/>
        <dgm:constrLst>
          <dgm:constr type="primFontSz" for="des" ptType="node" op="equ"/>
        </dgm:constrLst>
        <dgm:ruleLst/>
        <dgm:forEach name="Name12" axis="ch" cnt="3">
          <dgm:forEach name="Name13" axis="self" ptType="node">
            <dgm:layoutNode name="Name14">
              <dgm:alg type="hierRoot"/>
              <dgm:shape xmlns:r="http://schemas.openxmlformats.org/officeDocument/2006/relationships" r:blip="">
                <dgm:adjLst/>
              </dgm:shape>
              <dgm:presOf/>
              <dgm:constrLst/>
              <dgm:ruleLst/>
              <dgm:layoutNode name="level1Shape" styleLbl="node0">
                <dgm:varLst>
                  <dgm:chPref val="3"/>
                </dgm:varLst>
                <dgm:alg type="tx"/>
                <dgm:shape xmlns:r="http://schemas.openxmlformats.org/officeDocument/2006/relationships" type="roundRect" r:blip="">
                  <dgm:adjLst>
                    <dgm:adj idx="1" val="0.1"/>
                  </dgm:adjLst>
                </dgm:shape>
                <dgm:presOf axis="self"/>
                <dgm:constrLst>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hierChild2">
                <dgm:choose name="Name15">
                  <dgm:if name="Name16" func="var" arg="dir" op="equ" val="norm">
                    <dgm:alg type="hierChild">
                      <dgm:param type="linDir" val="fromL"/>
                    </dgm:alg>
                  </dgm:if>
                  <dgm:else name="Name17">
                    <dgm:alg type="hierChild">
                      <dgm:param type="linDir" val="fromR"/>
                    </dgm:alg>
                  </dgm:else>
                </dgm:choose>
                <dgm:shape xmlns:r="http://schemas.openxmlformats.org/officeDocument/2006/relationships" r:blip="">
                  <dgm:adjLst/>
                </dgm:shape>
                <dgm:presOf/>
                <dgm:constrLst/>
                <dgm:ruleLst/>
                <dgm:forEach name="repeat" axis="ch">
                  <dgm:forEach name="Name18" axis="self" ptType="parTrans" cnt="1">
                    <dgm:layoutNode name="Name19">
                      <dgm:alg type="conn">
                        <dgm:param type="dim" val="1D"/>
                        <dgm:param type="endSty" val="noArr"/>
                        <dgm:param type="connRout" val="bend"/>
                        <dgm:param type="begPts" val="bCtr"/>
                        <dgm:param type="endPts" val="tCtr"/>
                      </dgm:alg>
                      <dgm:shape xmlns:r="http://schemas.openxmlformats.org/officeDocument/2006/relationships" type="conn" r:blip="">
                        <dgm:adjLst/>
                      </dgm:shape>
                      <dgm:presOf axis="self"/>
                      <dgm:constrLst>
                        <dgm:constr type="w" val="1"/>
                        <dgm:constr type="h" val="1"/>
                        <dgm:constr type="begPad"/>
                        <dgm:constr type="endPad"/>
                      </dgm:constrLst>
                      <dgm:ruleLst/>
                    </dgm:layoutNode>
                  </dgm:forEach>
                  <dgm:forEach name="Name20" axis="self" ptType="node">
                    <dgm:layoutNode name="Name21">
                      <dgm:alg type="hierRoot"/>
                      <dgm:shape xmlns:r="http://schemas.openxmlformats.org/officeDocument/2006/relationships" r:blip="">
                        <dgm:adjLst/>
                      </dgm:shape>
                      <dgm:presOf/>
                      <dgm:constrLst/>
                      <dgm:ruleLst/>
                      <dgm:layoutNode name="level2Shape">
                        <dgm:alg type="tx"/>
                        <dgm:shape xmlns:r="http://schemas.openxmlformats.org/officeDocument/2006/relationships" type="roundRect" r:blip="">
                          <dgm:adjLst>
                            <dgm:adj idx="1" val="0.1"/>
                          </dgm:adjLst>
                        </dgm:shape>
                        <dgm:presOf axis="self"/>
                        <dgm:constrLst>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hierChild3">
                        <dgm:choose name="Name22">
                          <dgm:if name="Name23" func="var" arg="dir" op="equ" val="norm">
                            <dgm:alg type="hierChild">
                              <dgm:param type="linDir" val="fromL"/>
                            </dgm:alg>
                          </dgm:if>
                          <dgm:else name="Name24">
                            <dgm:alg type="hierChild">
                              <dgm:param type="linDir" val="fromR"/>
                            </dgm:alg>
                          </dgm:else>
                        </dgm:choose>
                        <dgm:shape xmlns:r="http://schemas.openxmlformats.org/officeDocument/2006/relationships" r:blip="">
                          <dgm:adjLst/>
                        </dgm:shape>
                        <dgm:presOf/>
                        <dgm:constrLst/>
                        <dgm:ruleLst/>
                        <dgm:forEach name="Name25" ref="repeat"/>
                      </dgm:layoutNode>
                    </dgm:layoutNode>
                  </dgm:forEach>
                </dgm:forEach>
              </dgm:layoutNode>
            </dgm:layoutNode>
          </dgm:forEach>
        </dgm:forEach>
      </dgm:layoutNode>
    </dgm:layoutNode>
    <dgm:layoutNode name="bgShapesFlow">
      <dgm:alg type="lin">
        <dgm:param type="linDir" val="fromT"/>
        <dgm:param type="nodeVertAlign" val="t"/>
        <dgm:param type="vertAlign" val="t"/>
        <dgm:param type="nodeHorzAlign" val="ctr"/>
      </dgm:alg>
      <dgm:shape xmlns:r="http://schemas.openxmlformats.org/officeDocument/2006/relationships" r:blip="">
        <dgm:adjLst/>
      </dgm:shape>
      <dgm:presOf/>
      <dgm:constrLst>
        <dgm:constr type="userB"/>
        <dgm:constr type="w" for="ch" forName="rectComp" refType="w"/>
        <dgm:constr type="h" for="ch" forName="rectComp" refType="h"/>
        <dgm:constr type="w" for="des" forName="bgRect" refType="w"/>
        <dgm:constr type="primFontSz" for="des" forName="bgRectTx" op="equ"/>
      </dgm:constrLst>
      <dgm:ruleLst/>
      <dgm:forEach name="Name26" axis="ch" ptType="node" st="2">
        <dgm:layoutNode name="rectComp">
          <dgm:alg type="composite">
            <dgm:param type="vertAlign" val="t"/>
            <dgm:param type="horzAlign" val="ctr"/>
          </dgm:alg>
          <dgm:shape xmlns:r="http://schemas.openxmlformats.org/officeDocument/2006/relationships" r:blip="">
            <dgm:adjLst/>
          </dgm:shape>
          <dgm:presOf/>
          <dgm:choose name="Name27">
            <dgm:if name="Name28" func="var" arg="dir" op="equ" val="norm">
              <dgm:constrLst>
                <dgm:constr type="userA"/>
                <dgm:constr type="l" for="ch" forName="bgRect"/>
                <dgm:constr type="t" for="ch" forName="bgRect"/>
                <dgm:constr type="h" for="ch" forName="bgRect" refType="userA" fact="1.2"/>
                <dgm:constr type="l" for="ch" forName="bgRectTx"/>
                <dgm:constr type="t" for="ch" forName="bgRectTx"/>
                <dgm:constr type="w" for="ch" forName="bgRectTx" refType="w" refFor="ch" refForName="bgRect" fact="0.3"/>
                <dgm:constr type="h" for="ch" forName="bgRectTx" refType="h" refFor="ch" refForName="bgRect" op="equ"/>
              </dgm:constrLst>
            </dgm:if>
            <dgm:else name="Name29">
              <dgm:constrLst>
                <dgm:constr type="userA"/>
                <dgm:constr type="l" for="ch" forName="bgRect"/>
                <dgm:constr type="t" for="ch" forName="bgRect"/>
                <dgm:constr type="h" for="ch" forName="bgRect" refType="userA" fact="1.2"/>
                <dgm:constr type="r" for="ch" forName="bgRectTx" refType="w"/>
                <dgm:constr type="t" for="ch" forName="bgRectTx"/>
                <dgm:constr type="w" for="ch" forName="bgRectTx" refType="w" refFor="ch" refForName="bgRect" fact="0.3"/>
                <dgm:constr type="h" for="ch" forName="bgRectTx" refType="h" refFor="ch" refForName="bgRect" op="equ"/>
              </dgm:constrLst>
            </dgm:else>
          </dgm:choose>
          <dgm:ruleLst/>
          <dgm:layoutNode name="bgRect" styleLbl="bgShp">
            <dgm:alg type="sp"/>
            <dgm:shape xmlns:r="http://schemas.openxmlformats.org/officeDocument/2006/relationships" type="roundRect" r:blip="" zOrderOff="-999">
              <dgm:adjLst>
                <dgm:adj idx="1" val="0.1"/>
              </dgm:adjLst>
            </dgm:shape>
            <dgm:presOf axis="desOrSelf" ptType="node"/>
            <dgm:constrLst/>
            <dgm:ruleLst/>
          </dgm:layoutNode>
          <dgm:layoutNode name="bgRectTx" styleLbl="bgShp">
            <dgm:varLst>
              <dgm:bulletEnabled val="1"/>
            </dgm:varLst>
            <dgm:alg type="tx"/>
            <dgm:presOf axis="desOrSelf" ptType="node"/>
            <dgm:shape xmlns:r="http://schemas.openxmlformats.org/officeDocument/2006/relationships" type="rect" r:blip="" zOrderOff="-999" hideGeom="1">
              <dgm:adjLst/>
            </dgm:shape>
            <dgm:constrLst>
              <dgm:constr type="primFontSz" val="65"/>
            </dgm:constrLst>
            <dgm:ruleLst>
              <dgm:rule type="primFontSz" val="5" fact="NaN" max="NaN"/>
            </dgm:ruleLst>
          </dgm:layoutNode>
        </dgm:layoutNode>
        <dgm:choose name="Name30">
          <dgm:if name="Name31" axis="self" ptType="node" func="revPos" op="gte" val="2">
            <dgm:layoutNode name="spComp">
              <dgm:alg type="composite">
                <dgm:param type="vertAlign" val="t"/>
                <dgm:param type="horzAlign" val="ctr"/>
              </dgm:alg>
              <dgm:shape xmlns:r="http://schemas.openxmlformats.org/officeDocument/2006/relationships" r:blip="">
                <dgm:adjLst/>
              </dgm:shape>
              <dgm:presOf/>
              <dgm:constrLst>
                <dgm:constr type="userA"/>
                <dgm:constr type="userB"/>
                <dgm:constr type="l" for="ch" forName="vSp"/>
                <dgm:constr type="t" for="ch" forName="vSp"/>
                <dgm:constr type="h" for="ch" forName="vSp" refType="userB"/>
                <dgm:constr type="hOff" for="ch" forName="vSp" refType="userA" fact="-0.2"/>
              </dgm:constrLst>
              <dgm:ruleLst/>
              <dgm:layoutNode name="vSp">
                <dgm:alg type="sp"/>
                <dgm:shape xmlns:r="http://schemas.openxmlformats.org/officeDocument/2006/relationships" r:blip="">
                  <dgm:adjLst/>
                </dgm:shape>
                <dgm:presOf/>
                <dgm:constrLst/>
                <dgm:ruleLst/>
              </dgm:layoutNode>
            </dgm:layoutNode>
          </dgm:if>
          <dgm:else name="Name32"/>
        </dgm:choose>
      </dgm:forEach>
    </dgm:layoutNode>
  </dgm:layoutNode>
</dgm:layoutDef>
</file>

<file path=word/diagrams/quickStyle1.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D7E6E28-54F7-4A8F-AD81-1E9A81EF419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605</TotalTime>
  <Pages>277</Pages>
  <Words>92677</Words>
  <Characters>509724</Characters>
  <Application>Microsoft Office Word</Application>
  <DocSecurity>0</DocSecurity>
  <Lines>4247</Lines>
  <Paragraphs>1202</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601199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Mme Alice</dc:creator>
  <cp:keywords/>
  <dc:description/>
  <cp:lastModifiedBy>Elsa AG</cp:lastModifiedBy>
  <cp:revision>17</cp:revision>
  <dcterms:created xsi:type="dcterms:W3CDTF">2020-09-24T11:54:00Z</dcterms:created>
  <dcterms:modified xsi:type="dcterms:W3CDTF">2020-10-06T09:50:00Z</dcterms:modified>
</cp:coreProperties>
</file>